
<file path=[Content_Types].xml><?xml version="1.0" encoding="utf-8"?>
<Types xmlns="http://schemas.openxmlformats.org/package/2006/content-types">
  <Default Extension="png" ContentType="image/png"/>
  <Default Extension="tmp" ContentType="image/png"/>
  <Default Extension="bin"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bookmarkEnd w:id="0"/>
    <w:p w14:paraId="6C2F14F9" w14:textId="57F44D68" w:rsidR="00C24E60" w:rsidRDefault="00C24E60" w:rsidP="00C24E60">
      <w:pPr>
        <w:spacing w:before="5160"/>
      </w:pPr>
      <w:r>
        <w:rPr>
          <w:rFonts w:ascii="Times New Roman" w:eastAsiaTheme="minorHAnsi" w:hAnsi="Times New Roman" w:cs="Times New Roman"/>
          <w:noProof/>
          <w:sz w:val="24"/>
          <w:szCs w:val="24"/>
        </w:rPr>
        <mc:AlternateContent>
          <mc:Choice Requires="wpg">
            <w:drawing>
              <wp:anchor distT="0" distB="0" distL="114300" distR="114300" simplePos="0" relativeHeight="251592192" behindDoc="0" locked="0" layoutInCell="1" allowOverlap="1" wp14:anchorId="6C2F18EC" wp14:editId="7E38AFA6">
                <wp:simplePos x="0" y="0"/>
                <wp:positionH relativeFrom="page">
                  <wp:align>right</wp:align>
                </wp:positionH>
                <wp:positionV relativeFrom="paragraph">
                  <wp:posOffset>-914400</wp:posOffset>
                </wp:positionV>
                <wp:extent cx="7896225" cy="3894455"/>
                <wp:effectExtent l="0" t="0" r="9525" b="0"/>
                <wp:wrapNone/>
                <wp:docPr id="22" name="Group 22"/>
                <wp:cNvGraphicFramePr/>
                <a:graphic xmlns:a="http://schemas.openxmlformats.org/drawingml/2006/main">
                  <a:graphicData uri="http://schemas.microsoft.com/office/word/2010/wordprocessingGroup">
                    <wpg:wgp>
                      <wpg:cNvGrpSpPr/>
                      <wpg:grpSpPr>
                        <a:xfrm>
                          <a:off x="0" y="0"/>
                          <a:ext cx="7896225" cy="3894455"/>
                          <a:chOff x="0" y="0"/>
                          <a:chExt cx="9048750" cy="3894455"/>
                        </a:xfrm>
                      </wpg:grpSpPr>
                      <wps:wsp>
                        <wps:cNvPr id="23" name="Rectangle 23"/>
                        <wps:cNvSpPr/>
                        <wps:spPr>
                          <a:xfrm>
                            <a:off x="0" y="0"/>
                            <a:ext cx="9048750" cy="3820005"/>
                          </a:xfrm>
                          <a:prstGeom prst="rect">
                            <a:avLst/>
                          </a:prstGeom>
                          <a:solidFill>
                            <a:srgbClr val="0072C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 name="Rectangle 24"/>
                        <wps:cNvSpPr/>
                        <wps:spPr>
                          <a:xfrm>
                            <a:off x="0" y="1990725"/>
                            <a:ext cx="4514850" cy="1826128"/>
                          </a:xfrm>
                          <a:prstGeom prst="rect">
                            <a:avLst/>
                          </a:prstGeom>
                          <a:solidFill>
                            <a:srgbClr val="00BC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 name="Text Box 12"/>
                        <wps:cNvSpPr txBox="1"/>
                        <wps:spPr>
                          <a:xfrm>
                            <a:off x="123825" y="2066925"/>
                            <a:ext cx="4333875" cy="18275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alias w:val="Title"/>
                                <w:id w:val="-567965466"/>
                                <w:dataBinding w:prefixMappings="xmlns:ns0='http://purl.org/dc/elements/1.1/' xmlns:ns1='http://schemas.openxmlformats.org/package/2006/metadata/core-properties' " w:xpath="/ns1:coreProperties[1]/ns0:title[1]" w:storeItemID="{6C3C8BC8-F283-45AE-878A-BAB7291924A1}"/>
                                <w:text/>
                              </w:sdtPr>
                              <w:sdtEndPr/>
                              <w:sdtContent>
                                <w:p w14:paraId="6C2F1962" w14:textId="2F60C735" w:rsidR="008D2C68" w:rsidRDefault="008D2C68" w:rsidP="00C24E60">
                                  <w:pPr>
                                    <w:pStyle w:val="CoverTitle"/>
                                  </w:pPr>
                                  <w:r>
                                    <w:t>Hybrid Cloud</w:t>
                                  </w:r>
                                </w:p>
                              </w:sdtContent>
                            </w:sdt>
                          </w:txbxContent>
                        </wps:txbx>
                        <wps:bodyPr rot="0" spcFirstLastPara="0" vert="horz" wrap="square" lIns="457200" tIns="45720" rIns="91440" bIns="45720" numCol="1" spcCol="0" rtlCol="0" fromWordArt="0" anchor="t" anchorCtr="0" forceAA="0" compatLnSpc="1">
                          <a:prstTxWarp prst="textNoShape">
                            <a:avLst/>
                          </a:prstTxWarp>
                          <a:noAutofit/>
                        </wps:bodyPr>
                      </wps:wsp>
                      <pic:pic xmlns:pic="http://schemas.openxmlformats.org/drawingml/2006/picture">
                        <pic:nvPicPr>
                          <pic:cNvPr id="26" name="Picture 26" descr="C:\Users\jameswhi\Desktop\SDM Templates\3393d980-0436-4e28-b1fd-32c927c2f3c0\MSFT_logo_rgb_C-Wht_D.pn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65493" y="323849"/>
                            <a:ext cx="1789446" cy="638175"/>
                          </a:xfrm>
                          <a:prstGeom prst="rect">
                            <a:avLst/>
                          </a:prstGeom>
                          <a:noFill/>
                          <a:ln>
                            <a:noFill/>
                          </a:ln>
                        </pic:spPr>
                      </pic:pic>
                    </wpg:wgp>
                  </a:graphicData>
                </a:graphic>
                <wp14:sizeRelH relativeFrom="page">
                  <wp14:pctWidth>0</wp14:pctWidth>
                </wp14:sizeRelH>
                <wp14:sizeRelV relativeFrom="margin">
                  <wp14:pctHeight>0</wp14:pctHeight>
                </wp14:sizeRelV>
              </wp:anchor>
            </w:drawing>
          </mc:Choice>
          <mc:Fallback xmlns:w16se="http://schemas.microsoft.com/office/word/2015/wordml/symex" xmlns:cx="http://schemas.microsoft.com/office/drawing/2014/chartex">
            <w:pict>
              <v:group w14:anchorId="6C2F18EC" id="Group 22" o:spid="_x0000_s1026" style="position:absolute;margin-left:570.55pt;margin-top:-1in;width:621.75pt;height:306.65pt;z-index:251592192;mso-position-horizontal:right;mso-position-horizontal-relative:page;mso-height-relative:margin" coordsize="90487,38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GBx5ZgUAANERAAAOAAAAZHJzL2Uyb0RvYy54bWzsWFtv2zYUfh+w/yDo&#10;3bFuvkiIU7h2UxRIuqBJ0RcDAU1RlhaJ5Eg6djbsv+8cUlJuxpplRTFgfYjDy+G5kefy6fjNvqm9&#10;W6Z0JfjMD48C32Ocirzim5n/+ep0MPU9bQjPSS04m/l3TPtvTn7+6XgnMxaJUtQ5Ux4w4TrbyZlf&#10;GiOz4VDTkjVEHwnJOGwWQjXEwFRthrkiO+De1MMoCMbDnVC5VIIyrWF16Tb9E8u/KBg1vxSFZsar&#10;Zz7oZuyvsr9r/B2eHJNso4gsK9qqQV6hRUMqDkJ7VktiiLdV1TNWTUWV0KIwR1Q0Q1EUFWXWBrAm&#10;DJ5Y816JrbS2bLLdRvZuAtc+8dOr2dKPtxfKq/KZH0W+x0kDd2TFejAH5+zkJgOa90peygvVLmzc&#10;DO3dF6rB/2CJt7duvevdyvbGo7A4mabjKBr5HoW9eJomyWjkHE9LuJ1n52j5rj2ZBsl0MoJ7e3Jy&#10;2Akeon69OjsJj0jf+0n/Oz9dlkQy636NPuj8FHd++gSvi/BNzbwodr6ydL2jdKbBZy/10hNb4XEH&#10;1ku9rSSTSpv3TDQeDma+Avn20ZHbM23gboC0I0GpWtRVflrVtZ2ozXpRK++WYCQEk2gxRp3hyCOy&#10;miMxF3jMbeMKuLkzxo7MXc2QruafWAGvBy45sprYuGW9HEIp4yZ0WyXJmRM/Atts6KF0jHQ8YXWx&#10;DJFzAfJ73i2DjtIx6Xg7LVt6PMps2PeHg79TzB3uT1jJgpv+cFNxoQ4xqMGqVrKj75zkXINeWov8&#10;Dt6MEi7paElPK7i3M6LNBVGQZeBdQ+aE3VKo331vB1lo5uvftkQx36s/cHi+aZgkmLbsJBlNIpio&#10;hzvrhzt82ywEXG8IOVdSO0R6U3fDQonmCyTMOUqFLcIpyJ751KhusjAuO0LKpWw+t2SQqiQxZ/xS&#10;UmSOXsJ3drX/QpRsH6OBaP8oupAh2ZM36WjxJBfzrRFFZR/svZ9a/0H4YtL5HnGcHIjj5BVxHKYp&#10;hFOb0bqcl4zCZNplrnAajcNo2j6YLmV2ofoNovnt4tRm6x/RDB74Ec3/x2iG9sJ1L1cYgm/F3gvb&#10;BqYvyp7ZwzpmMMjcto4dLs9hFE+xXYFuJQrG4/RZbMdxDG2J60ogtiejuKtmr4ztvt5iSfV2M38c&#10;Q+5w2fJxJe6ed1vw762wowN1+QXl73DRfcHB711085uvFl2zX+/b2/0W9deW3O9QgM1/qfzKimbw&#10;18INGD1ro78Oy+CU2WIf46Bd8yIeDVE3Wzlw7Ua1rurK3FmUB6GASvHbi4piR42TBx35uIt92Eap&#10;XgQrOdMUWplFtvqsAZ+ufgVso3dltVoyfWOEXF0uz70r1siaGKZXcZzGeToNBkESjwcJi6aDdVjk&#10;gziiaTShURHTYHV+eXp1XYuNuIZu+nox+FKa6+WR5BvMKJ1STkVokSp6JuiN9rhYlIAT2FxL6Njb&#10;/DN8TG6nj+xb15XE2McsgOPWk2DSE+x34DIcrlwKum2g/3ZAWTEwFFC6LiupoSvMWLNmOaCIDzn0&#10;ixRAugHsJ1XFHaiANApJBqVjQrVY9o9oOg+CNHo7WIyCxSAJJu8G8zSZDCbBu0kCWC1chIs/MW+F&#10;SbbVDMwn9VJWreqw+kz5g8C1hfgOElto3cKWtoMChSxa6FSEoo8eQl21ogjL4DpgbBQztMShy1R2&#10;HXukbsN6/d7ReCUI2bz17lzk4A0CnapNw11eb2FuPB4lKeBAxLNQLJIUFXOOQsAbAuJNEniDCFvH&#10;8TSEYgEEILnj8w97v0f1ASX1C8DTArROdZCCQ/izDbX9bmAlt9848MPEw7mluv8Sc/IX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K1hf++EAAAAKAQAADwAAAGRycy9kb3ducmV2&#10;LnhtbEyPQUvDQBCF74L/YRnBW7tJkxaNmZRS1FMRbAXxts1Ok9DsbMhuk/Tfuz3p7Q1veO97+Xoy&#10;rRiod41lhHgegSAurW64Qvg6vM2eQDivWKvWMiFcycG6uL/LVabtyJ807H0lQgi7TCHU3neZlK6s&#10;ySg3tx1x8E62N8qHs6+k7tUYwk0rF1G0kkY1HBpq1dG2pvK8vxiE91GNmyR+HXbn0/b6c1h+fO9i&#10;Qnx8mDYvIDxN/u8ZbvgBHYrAdLQX1k60CGGIR5jFaRrUzV+kyRLEESFdPScgi1z+n1D8AgAA//8D&#10;AFBLAwQKAAAAAAAAACEAnKhZgWsRAABrEQAAFAAAAGRycy9tZWRpYS9pbWFnZTEucG5niVBORw0K&#10;GgoAAAANSUhEUgAAAewAAAC1CAMAAAHdBQxPAAAAAXNSR0IArs4c6QAAAARnQU1BAACxjwv8YQUA&#10;AAKaUExURQAAAP39/f////39/f7+/v7+/v39/f39/f////7+/v39/f7+/gCk7/39/f7+/v////39&#10;/f7+/v39/f////////39/f7+/v7+/v7+/v39/X+6AH+5AP39/f7+/v39/f39/f7+/v39/f7+/v//&#10;//7+/v39/f39/f39/f////39/f39/f////39/f7+/v39/f7+/v39/f39/f39/f7+/v39/f////39&#10;/f7+/v39/f7+/v////39/f7+/v7+/v7+/v39/f7+/v39/f39/f7+/v39/f39/f7+/v////////39&#10;/f39/f7+/v////7+/v39/f7+/v7+/v39/f////39/f39/f39/f7+/v39/f7+/v////39/f7+/v//&#10;//39/f7+/v39/fRPIP7+/v39/f39/f39/f39/fJOIvJPIf39/f////7+/v39/f7+/v////39/f39&#10;/f7+/v////////39/f7+/v7+/v39/f7+/v39/f////39/f7+/v////39/f7+/v39/f7+/v39/fFL&#10;G/39/f39/f7+/gCj7v7+/v39/f39/f7+/v39/f7+/v39/f7+/v39/f7+/v39/f7+/v39/f7+/v7+&#10;/v////7+/v39/f7+/v7+/v39/f7+/v39/f7+/v////39/f39/f7+/v39/f39/f7+/v////39/f7+&#10;/vJPIP39/f////39/fNQH/39/f7+/v////39/f39/f7+/v////39/f7+/v39/f///366AP7+/v39&#10;/fRNIf7+/v39/f7+/v39/f////39/f7+/vBMIf39/f////39/QCj7f39/f7+/v////39/f7+/v39&#10;/f////39/f39/fJQIv39/f39/f7+/v////39/f7+/v39/f7+/v39/f39/f+5APYeecAAAADddFJO&#10;UwCJQMpbB7f48DXldv/SYyKsPe0PUJkqaxfH/+C0RfWhMuJzBB/PvP1gqeoMlifXaIPEsULyFJ4v&#10;33ABixxdCblK+qY355MkzHjBrj8RLNxtGcmAtvejNOR1BpAhiNEOvl1Pq+yY2eBqhTwWxlf/9OFy&#10;A0TOXwu7TPweqDmg6XqVJtYlgsNUakHxnS7eb4oby1y4Sfk2dwgj02RRrT7ufxCa22yHyFnAtUbb&#10;9hiiWeN0BY/QYTO9Tv4gWTvrTHyXaYQoskPB86qf2+BxAowdzTC6+/+n6HkKlCXVEq/d6xUTLgAA&#10;AAlwSFlzAAAh1QAAIdUBBJy0nQAADXFJREFUeF7tnYmDHFURxtsjBlFRQRE8EI1iBNGIoBgvIN7x&#10;igQxCiriBfqAKCJoEBBiUIIHSFTUgBjALIiIRzQoeKGBGCAiAQP+L76q+t7V05OZ2ZmdY+f7he5X&#10;9dU7uqaWnumZ3emKTDb/FqpneyD0Ri/DnYORKIavkbjv1NpNaQiUwzf6uA3Xvf+nE55SfcA94G2P&#10;Dkp8Sqie4/GODj9Uh+0f5/H/doupsg1KPFmo/ufxzpqN9660Xroo/rNpxNC2oDY8LJIP95tbVZ3W&#10;3XBbBktud+4SMf1mAb8vKIb3Tp/DCSHdIee4zXKOm9UZupfR9XNEbbSeQ+z00oCeZkpaRstYaex8&#10;lG16dvZmjpyc/y4nZzk720j7J54YOsBMbQvk/LRNzk9yggojnfs4PN2rgV1JfbT1WxTH2Zi0K6mN&#10;Dv3kgMWUxm8rnFttvo0KFKN7pr/RhBAyh8iTgrJZX7grCM05WHnM1l6TnvrUqj8h7BE/onN3rNxm&#10;bRvf1UQlOqDTKKzcuPZGG+z3Ysi2VA5DbWl0L+5HpLkUcgoIOlXP+LV1vWx7XphLW+cOg401EJUG&#10;HdRvizwRK9v0MkmxiKwts4ZZ/ObcTyyWTw1bw1GAqH5bsHK7tWVS3YdNdmbLfqXsFogi0q3OXVWt&#10;1Rh2u6RbW7Byw9pzD1YeydqEEEIIIWSswUWJJ12WDOtaEAt7uPYg1j7Lrmf2CBb2tKydRtuVUOfJ&#10;Egt87z7XxnA1nDvcvG7Qkc4tNq8NWNjTfu10EF0ziLV/EwxMVx3l7avEvt5mx1EFA600QNQ2YGFP&#10;w9ryX1W91tps0hAyLxgxfHAICDJTG/RzZUU/XDYshAVCa5sIx6B17mQL6wYzEzo95nsgzOG3zERI&#10;DPOc2xn0IMDqtDYuvj3p8hvX35gjTBW2EAr7P/vGHtyFQT7OQn2vvcGatIVQ2L9AG1l87yCfbqE+&#10;15Y59zMzbDFU7H2zKRPUcu794rcFC3varg1TtsudO6LagJ9Bi9kudEk7Hz/Q7/eVjm3Awp7mtW0f&#10;p/MTy9wWCh6MUghxaduAhT0ta885WNjDtYe1NiGEEEIIIYQQQgiZT+Ct+5zNVfZGfgT95wlINYdp&#10;Z6D/PAGp5ox72q9+5a9hzR6kmtM5bf095foHAkl7eUtsYJxhq/Q9PVLN6Trts+Eqx5omZjQGTph5&#10;u9+umf1Hjv2lnaf27lx66wptBk9cQa1RpL0xHYLgndtLZS5IK4g1krS3p2PA8QQhtDANONWVcLKQ&#10;Wyh+VT0GrvzdgABP2F26Gda1V5BqTpdpV1LdLSbY+rZPLQ50lw6IrpCF7lbj+hD27YWWtrpuUbXI&#10;jHx4jnQdEpa2HsdR4mN5NEX7JzGA+DjMzIz9c8m8JbDPCaHQmtXHDzk+A83ZVmWfiEbQX0Ha4SiO&#10;tyYeFFpp8NNgiLAhmWZ5tpgnezWEzybTI84ytEkZVdo4DL/bmbzYSvNB8QPQa2ZVfTV40grBFE0R&#10;5zi0SRlZ2vmBpoNCK006ck/mFyFxjoZto75VfUcaSKl7EsUaXdrvkOXzQ6m3CFWr/Za5N4r9RbPF&#10;DLpHvGtLVcyZYKhSH9QrSDWnl7Rbji5vLQhyXVAxcHtNEfdU2IYoxQyqeuD2CFLN6SltWf6AZOpR&#10;hFYQWzgPtqnKJzXggQ/PPQV+Ut4Gv5hhp4byCXsAqeZ0TnvyQao5TDsD/ecJSDVnGtImhBBCCCGE&#10;EEIIIYQQQgghhBBCCCGEDJNP41fncxp/i774NfqJh2lHmHYGBswPmHaEaWdgwOhZ99E3wZo9E5d2&#10;P787n5hd2o1rJ9E3K1UaPLbISNM+H55hmhxQaOcAndoDd9b0k3a5eNJCOwfIzFfAvqyPNQaW9nOT&#10;tgrt4LkrzdzfGn2lna8LxaQVB2szcOSvIvHXv3GtWTE3ac8VssAYpH0RfFP0awrgzw2ywIjTLhcW&#10;J6S9Aa1yojjwrQ1e9SSxPGvVExZDgVuthL9UHNg1tF/PDCjtvcVuSPsWMZXjvSetHb3E1DDEzRVz&#10;Z+AJebTAuvZKH2nvk62qZmvaYoCQtlFVV8Eyar1rrlD3A9q1Z/pIG/sgrG9Ney8x5EfUP6XV07Z2&#10;qd0qQ7vvklaeAmyw/AA596yq+qUaW7LROdK1dz6GOzHkVNltGRIYoNh6sv9r5rekLW04rpj2cnXV&#10;VKtaL+YJJh1pkiAuekRT2oGc0mYH1oxLm1FPWxqLA/Hj/StTSGzvoAH44gJD7L3Qjk/aaJvSfoXE&#10;A9A9+lfrZuIWplV1tDQPQ9O+8S/4w5eWSDOQtL+Ov+vMafwTz+JvPLHmY9GiaUrbN4kkiJW+rQK6&#10;NM6tKzQAT5rRp412f7+/3Hs9pn2HmR7oC6X1nJVpAJ40Y5C2/A/4r+j1mPZDZnqCfrEYQqYZmTgG&#10;aZsRvB7T/qmZnqS/TEx9RKQxTYAnzbikLajTY9opljv3IST7O6H5S2vVVByHtL8iVnCa0i4OLflP&#10;zUNiZ/3MK0Sx5SswpB2HtO3o3Bq162k/TVp5mSLE1+SGmLl9elWdmbl4VsM3cFxikoXGIm37FhCz&#10;62lrN7NuS5cixiMakjt9f1ctbzj3T4nojOrCMGtTsLK0fVS+xWYW9Jt2WF5oSduCRi3tPOSpKW16&#10;qJSn7TGvVwaSNszWtO0W8ko97XjcQk34svqtPVRB2iEKr0f6Tvs1yWxNu6ouEttTfMMW0IDnHnO/&#10;BDd1WQIhKmKHtPXL+Yr5emB2aU88TDvCtDMwYH7AtCNMOwMD5gdTmjYhhBBCCCGEEEIIIYQQQggh&#10;hBBCCCGEEEIIIYQQQgghhBBCCCGEEEIIIYSQaeFrv+iKP0rfP3SHzkvGkKbvo29gs/TFF9N3Qucl&#10;YwiLPUWw2FMEiz1FsNhTBIs9RbDYc84N9iXqApRRMTnFXiuP1hI4E0N+87ppKvYaZKwcALGJL6CP&#10;Au00uO4BCBNBuJtrAPKoGFWx95D3MvQwIMLzQJgE9LZtxg93fPPB/NhvXQZjmIys2G2Llt16RYCq&#10;t/xTIEwAu3HE7hAICn6WF8MdJqMr9omQ6yAcgFrtMPfncCcBvZmO5yXwFWhTVmy3D/QSBCOQJxFk&#10;EO9tpECblmK/E63e+azOmYjZPdU80CcRZDDVxd74GRgNhbwOkWvCKbCbYh92NXq/dAeUFnaftGLT&#10;Ha+HA3bo/Qc9/6gFEqvXnWpd1u+GUrL7Hqz86NZFkDIsNOXFrs6H1VLJ8JLmvfH5LnTRm8gJ8MGC&#10;eAaI4O6R8KQ/CpaNfQKEnKsRC9wEPXIpAsaPoebchlhcvBswZBiMpNjxwbgIoQBk/9qtm2Lj/n41&#10;6sV+HQyPRe6E18pS6yBshJSRFbt2xZCxVeNwukIHDIfRFDs+GqdYCECU/LsoNoQ6tWK/B60gOl7V&#10;NxNPuPALUrHTdWAD0gFmV+iMw2FExY6XoPnNZfeFJnbHYj8dvmcTJM+qg+rFFg5V5UG5BIrPIO5I&#10;FZXbIHlqgrnK3aHY5yHmeRGkqloHxXMFpHgIY/OcPUTyYlcvhJM9nG+B8j5xOhV7K1znboJSA1HP&#10;76AI90Iryuh5HFTosO3WyDVWI+Zc+ZpsP6j+1SUUuCx29R948VE/HP7P1OtUbHj1oiUQLjtcCM39&#10;AEIkPkdfKx7sxtkRaYhBbznGsSl2020cG9gmfXE/x07ovA2UxY5Z329u8Pc1r0Ox4TRWw0Dc3Qxf&#10;gdY0DAEL6SdsxpGrNBz5HHRX0z03IxJmh8die+C67xWeOl0X+3xzG0AHtx2+As1dAj/jRwjZAhfA&#10;AXeoqNwCKRxYDiLupNJlsf2LKfj6sC3MbKHLYp9lbgPoUNYEmnsIfsbjEQoDwgEFQsXg1iY2EHHH&#10;lS6L7VkMwT9uN8L6PkLdFvu35jaADmVNoLlH4Gd8AqFswLehBFSsH1gOIm596bLYwl5QdobrqPTq&#10;d2DP2XANaE3DEKiHnghVEeFA2A1TnI1ICMFjsQ0ogYMgezoU+83w3PPNbwXxsiaPQHTPgBB5FwLu&#10;DRAy4luybxcPtjtWYzkIsNiehmKnx0eBKHQodhp4O4Q6CJfFTsOugxCA7K6EX4CYO1mcS+G4czWW&#10;gJyWhNtc7HPgD5MRF3sRNCV7a7pjsdNDi/fHwAkNH4TkQPW8Coone5PdBOfWmmEg5g5WLx6ae1R9&#10;I57e3QIocVhjsd1+EIbIiItdXQHRYw8l6Fjs6lwIxrkzM3jHes/FTg+2sGVmJpXOg5fRodNdz9y6&#10;z/0r4aQ3xz8E37hypnzhjk4eCGWx/wZRWCm/ewp9GIy62NWjUN0REIzOxc7etyzoUOzqjQi0cgZ6&#10;1H4iAhcj6KlflyU2oIcAqSx29o6tAXkYjLzY4SGpvd7potieQyDmdCq2J70TnnE6ggKknOysL3wY&#10;csEmBAHUWrHb/EblMBhisf+yzvg9/ICpcALLTY36drj1flX1+f/iUfOn3ew9FnRv7Q+WvxiD/Mn8&#10;V/lnb+CYFYg6d9kx0Grs+gY6eG64D2IGjmDdcviJh8PVxJbaT/7cMsRik1HDYk8RLPYUwWJPESz2&#10;FMFiTxEs9hTBYhNCCCGEEEIIIYQQQgghhBBCCCGEEEIIIYQQQgghY0ZV/R+AXaoYEEX9TAAAAABJ&#10;RU5ErkJgglBLAQItABQABgAIAAAAIQCxgme2CgEAABMCAAATAAAAAAAAAAAAAAAAAAAAAABbQ29u&#10;dGVudF9UeXBlc10ueG1sUEsBAi0AFAAGAAgAAAAhADj9If/WAAAAlAEAAAsAAAAAAAAAAAAAAAAA&#10;OwEAAF9yZWxzLy5yZWxzUEsBAi0AFAAGAAgAAAAhALMYHHlmBQAA0REAAA4AAAAAAAAAAAAAAAAA&#10;OgIAAGRycy9lMm9Eb2MueG1sUEsBAi0AFAAGAAgAAAAhAKomDr68AAAAIQEAABkAAAAAAAAAAAAA&#10;AAAAzAcAAGRycy9fcmVscy9lMm9Eb2MueG1sLnJlbHNQSwECLQAUAAYACAAAACEAK1hf++EAAAAK&#10;AQAADwAAAAAAAAAAAAAAAAC/CAAAZHJzL2Rvd25yZXYueG1sUEsBAi0ACgAAAAAAAAAhAJyoWYFr&#10;EQAAaxEAABQAAAAAAAAAAAAAAAAAzQkAAGRycy9tZWRpYS9pbWFnZTEucG5nUEsFBgAAAAAGAAYA&#10;fAEAAGobAAAAAA==&#10;">
                <v:rect id="Rectangle 23" o:spid="_x0000_s1027" style="position:absolute;width:90487;height:38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S/zxQAAANsAAAAPAAAAZHJzL2Rvd25yZXYueG1sRI/dasJA&#10;FITvhb7Dcgre6aax/hBdRaQteiH49wAn2WMSzJ4N2a2mfXpXELwcZuYbZrZoTSWu1LjSsoKPfgSC&#10;OLO65FzB6fjdm4BwHlljZZkU/JGDxfytM8NE2xvv6XrwuQgQdgkqKLyvEyldVpBB17c1cfDOtjHo&#10;g2xyqRu8BbipZBxFI2mw5LBQYE2rgrLL4dcoqP93y1hvefU53lWjnzQdpqevjVLd93Y5BeGp9a/w&#10;s73WCuIBPL6EHyDndwAAAP//AwBQSwECLQAUAAYACAAAACEA2+H2y+4AAACFAQAAEwAAAAAAAAAA&#10;AAAAAAAAAAAAW0NvbnRlbnRfVHlwZXNdLnhtbFBLAQItABQABgAIAAAAIQBa9CxbvwAAABUBAAAL&#10;AAAAAAAAAAAAAAAAAB8BAABfcmVscy8ucmVsc1BLAQItABQABgAIAAAAIQDcjS/zxQAAANsAAAAP&#10;AAAAAAAAAAAAAAAAAAcCAABkcnMvZG93bnJldi54bWxQSwUGAAAAAAMAAwC3AAAA+QIAAAAA&#10;" fillcolor="#0072c6" stroked="f" strokeweight="1pt"/>
                <v:rect id="Rectangle 24" o:spid="_x0000_s1028" style="position:absolute;top:19907;width:45148;height:18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upNwQAAANsAAAAPAAAAZHJzL2Rvd25yZXYueG1sRI9BawIx&#10;FITvhf6H8AreatYoWlajFEHx6tbeH5vnJrh52W6irv++KQg9DjPzDbPaDL4VN+qjC6xhMi5AENfB&#10;OG40nL527x8gYkI22AYmDQ+KsFm/vqywNOHOR7pVqREZwrFEDTalrpQy1pY8xnHoiLN3Dr3HlGXf&#10;SNPjPcN9K1VRzKVHx3nBYkdbS/WlunoNi7lVx8Np6pS7fO+ni6qVP2qi9eht+FyCSDSk//CzfTAa&#10;1Az+vuQfINe/AAAA//8DAFBLAQItABQABgAIAAAAIQDb4fbL7gAAAIUBAAATAAAAAAAAAAAAAAAA&#10;AAAAAABbQ29udGVudF9UeXBlc10ueG1sUEsBAi0AFAAGAAgAAAAhAFr0LFu/AAAAFQEAAAsAAAAA&#10;AAAAAAAAAAAAHwEAAF9yZWxzLy5yZWxzUEsBAi0AFAAGAAgAAAAhAHY26k3BAAAA2wAAAA8AAAAA&#10;AAAAAAAAAAAABwIAAGRycy9kb3ducmV2LnhtbFBLBQYAAAAAAwADALcAAAD1AgAAAAA=&#10;" fillcolor="#00bcf2" stroked="f" strokeweight="1pt"/>
                <v:shapetype id="_x0000_t202" coordsize="21600,21600" o:spt="202" path="m,l,21600r21600,l21600,xe">
                  <v:stroke joinstyle="miter"/>
                  <v:path gradientshapeok="t" o:connecttype="rect"/>
                </v:shapetype>
                <v:shape id="Text Box 12" o:spid="_x0000_s1029" type="#_x0000_t202" style="position:absolute;left:1238;top:20669;width:43339;height:18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lgcxQAAANsAAAAPAAAAZHJzL2Rvd25yZXYueG1sRI9Ba8JA&#10;FITvhf6H5Qm96UZRKdFVpBBqrR5MBfH2zD6TYPZtyG419te7gtDjMDPfMNN5aypxocaVlhX0exEI&#10;4szqknMFu5+k+w7CeWSNlWVScCMH89nryxRjba+8pUvqcxEg7GJUUHhfx1K6rCCDrmdr4uCdbGPQ&#10;B9nkUjd4DXBTyUEUjaXBksNCgTV9FJSd01+jYI8bu/xcDYfrxdftnB3/ku/0kCj11mkXExCeWv8f&#10;fraXWsFgBI8v4QfI2R0AAP//AwBQSwECLQAUAAYACAAAACEA2+H2y+4AAACFAQAAEwAAAAAAAAAA&#10;AAAAAAAAAAAAW0NvbnRlbnRfVHlwZXNdLnhtbFBLAQItABQABgAIAAAAIQBa9CxbvwAAABUBAAAL&#10;AAAAAAAAAAAAAAAAAB8BAABfcmVscy8ucmVsc1BLAQItABQABgAIAAAAIQCiHlgcxQAAANsAAAAP&#10;AAAAAAAAAAAAAAAAAAcCAABkcnMvZG93bnJldi54bWxQSwUGAAAAAAMAAwC3AAAA+QIAAAAA&#10;" filled="f" stroked="f" strokeweight=".5pt">
                  <v:textbox inset="36pt">
                    <w:txbxContent>
                      <w:sdt>
                        <w:sdtPr>
                          <w:alias w:val="Title"/>
                          <w:id w:val="-567965466"/>
                          <w:dataBinding w:prefixMappings="xmlns:ns0='http://purl.org/dc/elements/1.1/' xmlns:ns1='http://schemas.openxmlformats.org/package/2006/metadata/core-properties' " w:xpath="/ns1:coreProperties[1]/ns0:title[1]" w:storeItemID="{6C3C8BC8-F283-45AE-878A-BAB7291924A1}"/>
                          <w:text/>
                        </w:sdtPr>
                        <w:sdtContent>
                          <w:p w14:paraId="6C2F1962" w14:textId="2F60C735" w:rsidR="008D2C68" w:rsidRDefault="008D2C68" w:rsidP="00C24E60">
                            <w:pPr>
                              <w:pStyle w:val="CoverTitle"/>
                            </w:pPr>
                            <w:r>
                              <w:t>Hybrid Cloud</w:t>
                            </w:r>
                          </w:p>
                        </w:sdtContent>
                      </w:sdt>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30" type="#_x0000_t75" style="position:absolute;left:3654;top:3238;width:17895;height:6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dTHwwAAANsAAAAPAAAAZHJzL2Rvd25yZXYueG1sRI9Pi8Iw&#10;FMTvwn6H8Ba8aboeRKpRxGUXRT34B8/P5tkWm5eaRFu//WZB8DjMzG+Yyaw1lXiQ86VlBV/9BARx&#10;ZnXJuYLj4ac3AuEDssbKMil4kofZ9KMzwVTbhnf02IdcRAj7FBUUIdSplD4ryKDv25o4ehfrDIYo&#10;XS61wybCTSUHSTKUBkuOCwXWtCgou+7vRsHNnY+b1drfm+a2/Q4XOv2ut0ap7mc7H4MI1IZ3+NVe&#10;agWDIfx/iT9ATv8AAAD//wMAUEsBAi0AFAAGAAgAAAAhANvh9svuAAAAhQEAABMAAAAAAAAAAAAA&#10;AAAAAAAAAFtDb250ZW50X1R5cGVzXS54bWxQSwECLQAUAAYACAAAACEAWvQsW78AAAAVAQAACwAA&#10;AAAAAAAAAAAAAAAfAQAAX3JlbHMvLnJlbHNQSwECLQAUAAYACAAAACEA7bnUx8MAAADbAAAADwAA&#10;AAAAAAAAAAAAAAAHAgAAZHJzL2Rvd25yZXYueG1sUEsFBgAAAAADAAMAtwAAAPcCAAAAAA==&#10;">
                  <v:imagedata r:id="rId14" o:title="MSFT_logo_rgb_C-Wht_D"/>
                  <v:path arrowok="t"/>
                </v:shape>
                <w10:wrap anchorx="page"/>
              </v:group>
            </w:pict>
          </mc:Fallback>
        </mc:AlternateContent>
      </w:r>
      <w:r w:rsidR="00E422FB">
        <w:t xml:space="preserve"> </w:t>
      </w:r>
    </w:p>
    <w:p w14:paraId="6C2F14FA" w14:textId="7C8C22A4" w:rsidR="00C24E60" w:rsidRDefault="00872E47" w:rsidP="00C24E60">
      <w:pPr>
        <w:pStyle w:val="CoverSubject"/>
      </w:pPr>
      <w:sdt>
        <w:sdtPr>
          <w:alias w:val="Subject"/>
          <w:tag w:val=""/>
          <w:id w:val="-1853331704"/>
          <w:dataBinding w:prefixMappings="xmlns:ns0='http://purl.org/dc/elements/1.1/' xmlns:ns1='http://schemas.openxmlformats.org/package/2006/metadata/core-properties' " w:xpath="/ns1:coreProperties[1]/ns0:subject[1]" w:storeItemID="{6C3C8BC8-F283-45AE-878A-BAB7291924A1}"/>
          <w:text/>
        </w:sdtPr>
        <w:sdtEndPr/>
        <w:sdtContent>
          <w:r w:rsidR="00E909C3">
            <w:t>Azure Reference Architecture</w:t>
          </w:r>
        </w:sdtContent>
      </w:sdt>
    </w:p>
    <w:sdt>
      <w:sdtPr>
        <w:rPr>
          <w:rFonts w:eastAsiaTheme="minorHAnsi"/>
          <w:bCs/>
          <w:noProof/>
          <w:szCs w:val="20"/>
          <w:lang w:eastAsia="en-AU"/>
        </w:rPr>
        <w:id w:val="94592970"/>
        <w:docPartObj>
          <w:docPartGallery w:val="Cover Pages"/>
          <w:docPartUnique/>
        </w:docPartObj>
      </w:sdtPr>
      <w:sdtEndPr>
        <w:rPr>
          <w:rFonts w:eastAsiaTheme="minorEastAsia"/>
          <w:bCs w:val="0"/>
          <w:noProof w:val="0"/>
          <w:szCs w:val="22"/>
          <w:lang w:eastAsia="en-US"/>
        </w:rPr>
      </w:sdtEndPr>
      <w:sdtContent>
        <w:p w14:paraId="6C2F14FB" w14:textId="2C0B1B93" w:rsidR="00DC1C1E" w:rsidRDefault="00DC1C1E" w:rsidP="00DC1C1E">
          <w:r>
            <w:fldChar w:fldCharType="begin"/>
          </w:r>
          <w:r>
            <w:instrText xml:space="preserve"> DATE  \@ "d-MMM-yy" \l  \* MERGEFORMAT </w:instrText>
          </w:r>
          <w:r>
            <w:fldChar w:fldCharType="separate"/>
          </w:r>
          <w:r w:rsidR="00872E47">
            <w:rPr>
              <w:noProof/>
            </w:rPr>
            <w:t>12-Nov-15</w:t>
          </w:r>
          <w:r>
            <w:fldChar w:fldCharType="end"/>
          </w:r>
        </w:p>
        <w:p w14:paraId="6C2F14FC" w14:textId="7FBEFFF3" w:rsidR="00DC1C1E" w:rsidRDefault="00907EDE" w:rsidP="00DC1C1E">
          <w:r>
            <w:t>Version 1.</w:t>
          </w:r>
          <w:r w:rsidR="009E102D">
            <w:t>3</w:t>
          </w:r>
        </w:p>
        <w:p w14:paraId="6C2F14FD" w14:textId="77777777" w:rsidR="00DC1C1E" w:rsidRDefault="00DC1C1E" w:rsidP="00C24E60">
          <w:pPr>
            <w:rPr>
              <w:rFonts w:eastAsiaTheme="minorHAnsi"/>
              <w:bCs/>
              <w:noProof/>
              <w:szCs w:val="20"/>
              <w:lang w:eastAsia="en-AU"/>
            </w:rPr>
          </w:pPr>
        </w:p>
        <w:p w14:paraId="6C2F14FE" w14:textId="77777777" w:rsidR="00C24E60" w:rsidRDefault="00C24E60" w:rsidP="00C24E60">
          <w:pPr>
            <w:rPr>
              <w:rStyle w:val="Emphasis"/>
            </w:rPr>
          </w:pPr>
          <w:r>
            <w:rPr>
              <w:rStyle w:val="Emphasis"/>
            </w:rPr>
            <w:t>Prepared by</w:t>
          </w:r>
        </w:p>
        <w:sdt>
          <w:sdtPr>
            <w:rPr>
              <w:rStyle w:val="Strong"/>
            </w:rPr>
            <w:alias w:val="Author"/>
            <w:tag w:val=""/>
            <w:id w:val="80649995"/>
            <w:dataBinding w:prefixMappings="xmlns:ns0='http://purl.org/dc/elements/1.1/' xmlns:ns1='http://schemas.openxmlformats.org/package/2006/metadata/core-properties' " w:xpath="/ns1:coreProperties[1]/ns0:creator[1]" w:storeItemID="{6C3C8BC8-F283-45AE-878A-BAB7291924A1}"/>
            <w:text/>
          </w:sdtPr>
          <w:sdtEndPr>
            <w:rPr>
              <w:rStyle w:val="Strong"/>
            </w:rPr>
          </w:sdtEndPr>
          <w:sdtContent>
            <w:p w14:paraId="6C2F14FF" w14:textId="6FF5DF7E" w:rsidR="00C24E60" w:rsidRDefault="00E909C3" w:rsidP="00C24E60">
              <w:pPr>
                <w:rPr>
                  <w:rStyle w:val="Strong"/>
                </w:rPr>
              </w:pPr>
              <w:r>
                <w:rPr>
                  <w:rStyle w:val="Strong"/>
                </w:rPr>
                <w:t>David Alberto, Jeff Baker, Randy Campbell, Richard Carpenter, Michael Collier, Jason Cornellier, Aaron Cushner, Robert Deluca, Simon Gurevich, Jim Hamel, Andrew Harris, Julia Hazelwood, Ulrich Homann, Kevin Jellow, Robert Larson, Michael Lubanski, Neil Mackenzie, Marc Mercuri, Duzianthan Mohanadoss, George Moore, Ian Nelson, Junior Sawney, Henry Schulman, Mark Simos, Ken St. Cyr, Cale Teeter, Boklyn Wong, Rafael Yactayo, Joel Yoker, David Ziembicki</w:t>
              </w:r>
            </w:p>
          </w:sdtContent>
        </w:sdt>
        <w:p w14:paraId="6C2F1500" w14:textId="77777777" w:rsidR="00C24E60" w:rsidRDefault="00C24E60" w:rsidP="00C24E60"/>
        <w:p w14:paraId="6C2F1501" w14:textId="77777777" w:rsidR="00457F2C" w:rsidRDefault="00457F2C" w:rsidP="00457F2C">
          <w:pPr>
            <w:rPr>
              <w:rStyle w:val="Strong"/>
            </w:rPr>
          </w:pPr>
        </w:p>
        <w:p w14:paraId="7D0552A8" w14:textId="77777777" w:rsidR="00AD2CA5" w:rsidRDefault="00AD2CA5" w:rsidP="00457F2C">
          <w:pPr>
            <w:rPr>
              <w:rStyle w:val="Strong"/>
            </w:rPr>
          </w:pPr>
        </w:p>
        <w:p w14:paraId="6C2F150A" w14:textId="77777777" w:rsidR="00C24E60" w:rsidRDefault="00C24E60" w:rsidP="00C24E60">
          <w:pPr>
            <w:pStyle w:val="CoverSubject"/>
          </w:pPr>
          <w:r>
            <w:lastRenderedPageBreak/>
            <w:t>Revision and Signoff Sheet</w:t>
          </w:r>
        </w:p>
        <w:p w14:paraId="6C2F150B" w14:textId="77777777" w:rsidR="00C24E60" w:rsidRDefault="00C24E60" w:rsidP="00C24E60">
          <w:pPr>
            <w:pStyle w:val="CoverHeading2"/>
          </w:pPr>
          <w:r>
            <w:t>Change Record</w:t>
          </w:r>
        </w:p>
        <w:tbl>
          <w:tblPr>
            <w:tblStyle w:val="TableGrid"/>
            <w:tblW w:w="9270" w:type="dxa"/>
            <w:tblLook w:val="0620" w:firstRow="1" w:lastRow="0" w:firstColumn="0" w:lastColumn="0" w:noHBand="1" w:noVBand="1"/>
          </w:tblPr>
          <w:tblGrid>
            <w:gridCol w:w="1170"/>
            <w:gridCol w:w="1890"/>
            <w:gridCol w:w="1530"/>
            <w:gridCol w:w="4680"/>
          </w:tblGrid>
          <w:tr w:rsidR="002A5467" w:rsidRPr="00E85706" w14:paraId="6C2F1510" w14:textId="77777777" w:rsidTr="002A5467">
            <w:trPr>
              <w:cnfStyle w:val="100000000000" w:firstRow="1" w:lastRow="0" w:firstColumn="0" w:lastColumn="0" w:oddVBand="0" w:evenVBand="0" w:oddHBand="0" w:evenHBand="0" w:firstRowFirstColumn="0" w:firstRowLastColumn="0" w:lastRowFirstColumn="0" w:lastRowLastColumn="0"/>
            </w:trPr>
            <w:tc>
              <w:tcPr>
                <w:tcW w:w="1170" w:type="dxa"/>
              </w:tcPr>
              <w:p w14:paraId="6C2F150C" w14:textId="77777777" w:rsidR="002A5467" w:rsidRPr="00E85706" w:rsidRDefault="002A5467" w:rsidP="003F2102">
                <w:pPr>
                  <w:pStyle w:val="TableText"/>
                  <w:rPr>
                    <w:szCs w:val="16"/>
                  </w:rPr>
                </w:pPr>
                <w:r w:rsidRPr="00E85706">
                  <w:rPr>
                    <w:szCs w:val="16"/>
                  </w:rPr>
                  <w:t>Date</w:t>
                </w:r>
              </w:p>
            </w:tc>
            <w:tc>
              <w:tcPr>
                <w:tcW w:w="1890" w:type="dxa"/>
              </w:tcPr>
              <w:p w14:paraId="6C2F150D" w14:textId="77777777" w:rsidR="002A5467" w:rsidRPr="00E85706" w:rsidRDefault="002A5467" w:rsidP="003F2102">
                <w:pPr>
                  <w:pStyle w:val="TableText"/>
                  <w:rPr>
                    <w:szCs w:val="16"/>
                  </w:rPr>
                </w:pPr>
                <w:r w:rsidRPr="00E85706">
                  <w:rPr>
                    <w:szCs w:val="16"/>
                  </w:rPr>
                  <w:t>Author</w:t>
                </w:r>
              </w:p>
            </w:tc>
            <w:tc>
              <w:tcPr>
                <w:tcW w:w="1530" w:type="dxa"/>
              </w:tcPr>
              <w:p w14:paraId="6C2F150E" w14:textId="77777777" w:rsidR="002A5467" w:rsidRPr="00E85706" w:rsidRDefault="002A5467" w:rsidP="003F2102">
                <w:pPr>
                  <w:pStyle w:val="TableText"/>
                  <w:rPr>
                    <w:szCs w:val="16"/>
                  </w:rPr>
                </w:pPr>
                <w:r w:rsidRPr="00E85706">
                  <w:rPr>
                    <w:szCs w:val="16"/>
                  </w:rPr>
                  <w:t>Version</w:t>
                </w:r>
              </w:p>
            </w:tc>
            <w:tc>
              <w:tcPr>
                <w:tcW w:w="4680" w:type="dxa"/>
              </w:tcPr>
              <w:p w14:paraId="6C2F150F" w14:textId="77777777" w:rsidR="002A5467" w:rsidRPr="00E85706" w:rsidRDefault="002A5467" w:rsidP="003F2102">
                <w:pPr>
                  <w:pStyle w:val="TableText"/>
                  <w:rPr>
                    <w:szCs w:val="16"/>
                  </w:rPr>
                </w:pPr>
                <w:r w:rsidRPr="00E85706">
                  <w:rPr>
                    <w:szCs w:val="16"/>
                  </w:rPr>
                  <w:t>Change Reference</w:t>
                </w:r>
              </w:p>
            </w:tc>
          </w:tr>
          <w:tr w:rsidR="002A5467" w:rsidRPr="00E85706" w14:paraId="6C2F1515" w14:textId="77777777" w:rsidTr="002A5467">
            <w:tc>
              <w:tcPr>
                <w:tcW w:w="1170" w:type="dxa"/>
              </w:tcPr>
              <w:p w14:paraId="6C2F1511" w14:textId="2BF61DBD" w:rsidR="002A5467" w:rsidRPr="00E85706" w:rsidRDefault="005557A9" w:rsidP="003F2102">
                <w:pPr>
                  <w:pStyle w:val="TableText"/>
                  <w:rPr>
                    <w:rStyle w:val="StyleLatinSegoeUI10pt"/>
                    <w:sz w:val="16"/>
                    <w:szCs w:val="16"/>
                  </w:rPr>
                </w:pPr>
                <w:r>
                  <w:rPr>
                    <w:rStyle w:val="StyleLatinSegoeUI10pt"/>
                    <w:sz w:val="16"/>
                    <w:szCs w:val="16"/>
                  </w:rPr>
                  <w:t>4/30/2015</w:t>
                </w:r>
              </w:p>
            </w:tc>
            <w:tc>
              <w:tcPr>
                <w:tcW w:w="1890" w:type="dxa"/>
              </w:tcPr>
              <w:p w14:paraId="6C2F1512" w14:textId="77777777" w:rsidR="002A5467" w:rsidRPr="00E85706" w:rsidRDefault="00DC1C1E" w:rsidP="003F2102">
                <w:pPr>
                  <w:pStyle w:val="TableText"/>
                  <w:rPr>
                    <w:rStyle w:val="StyleLatinSegoeUI10pt"/>
                    <w:sz w:val="16"/>
                    <w:szCs w:val="16"/>
                  </w:rPr>
                </w:pPr>
                <w:r>
                  <w:rPr>
                    <w:rStyle w:val="StyleLatinSegoeUI10pt"/>
                    <w:sz w:val="16"/>
                    <w:szCs w:val="16"/>
                  </w:rPr>
                  <w:t>Microsoft</w:t>
                </w:r>
              </w:p>
            </w:tc>
            <w:tc>
              <w:tcPr>
                <w:tcW w:w="1530" w:type="dxa"/>
              </w:tcPr>
              <w:p w14:paraId="6C2F1513" w14:textId="7233761E" w:rsidR="002A5467" w:rsidRPr="00E85706" w:rsidRDefault="002A5467" w:rsidP="003F2102">
                <w:pPr>
                  <w:pStyle w:val="TableText"/>
                  <w:rPr>
                    <w:rStyle w:val="StyleLatinSegoeUI10pt"/>
                    <w:sz w:val="16"/>
                    <w:szCs w:val="16"/>
                  </w:rPr>
                </w:pPr>
                <w:r>
                  <w:t>1</w:t>
                </w:r>
                <w:r w:rsidR="005557A9">
                  <w:t>.0</w:t>
                </w:r>
              </w:p>
            </w:tc>
            <w:tc>
              <w:tcPr>
                <w:tcW w:w="4680" w:type="dxa"/>
              </w:tcPr>
              <w:p w14:paraId="6C2F1514" w14:textId="260188DF" w:rsidR="002A5467" w:rsidRPr="00E85706" w:rsidRDefault="005557A9" w:rsidP="003F2102">
                <w:pPr>
                  <w:pStyle w:val="TableText"/>
                  <w:rPr>
                    <w:rStyle w:val="StyleLatinSegoeUI10pt"/>
                    <w:sz w:val="16"/>
                    <w:szCs w:val="16"/>
                  </w:rPr>
                </w:pPr>
                <w:r>
                  <w:t>Initial Release</w:t>
                </w:r>
              </w:p>
            </w:tc>
          </w:tr>
          <w:tr w:rsidR="002A5467" w:rsidRPr="00E85706" w14:paraId="6C2F151A" w14:textId="77777777" w:rsidTr="002A5467">
            <w:tc>
              <w:tcPr>
                <w:tcW w:w="1170" w:type="dxa"/>
              </w:tcPr>
              <w:p w14:paraId="6C2F1516" w14:textId="6CFB4FD5" w:rsidR="002A5467" w:rsidRPr="00E85706" w:rsidRDefault="003C0B16" w:rsidP="003F2102">
                <w:pPr>
                  <w:pStyle w:val="TableText"/>
                  <w:rPr>
                    <w:rStyle w:val="StyleLatinSegoeUI10pt"/>
                    <w:sz w:val="16"/>
                    <w:szCs w:val="16"/>
                  </w:rPr>
                </w:pPr>
                <w:r>
                  <w:rPr>
                    <w:rStyle w:val="StyleLatinSegoeUI10pt"/>
                    <w:sz w:val="16"/>
                    <w:szCs w:val="16"/>
                  </w:rPr>
                  <w:t>6/30/2015</w:t>
                </w:r>
              </w:p>
            </w:tc>
            <w:tc>
              <w:tcPr>
                <w:tcW w:w="1890" w:type="dxa"/>
              </w:tcPr>
              <w:p w14:paraId="6C2F1517" w14:textId="003294FF" w:rsidR="002A5467" w:rsidRPr="00E85706" w:rsidRDefault="003C0B16" w:rsidP="003F2102">
                <w:pPr>
                  <w:pStyle w:val="TableText"/>
                  <w:rPr>
                    <w:rStyle w:val="StyleLatinSegoeUI10pt"/>
                    <w:sz w:val="16"/>
                    <w:szCs w:val="16"/>
                  </w:rPr>
                </w:pPr>
                <w:r>
                  <w:rPr>
                    <w:rStyle w:val="StyleLatinSegoeUI10pt"/>
                    <w:sz w:val="16"/>
                    <w:szCs w:val="16"/>
                  </w:rPr>
                  <w:t>Microsoft</w:t>
                </w:r>
              </w:p>
            </w:tc>
            <w:tc>
              <w:tcPr>
                <w:tcW w:w="1530" w:type="dxa"/>
              </w:tcPr>
              <w:p w14:paraId="6C2F1518" w14:textId="2F8A9C6E" w:rsidR="002A5467" w:rsidRPr="00E85706" w:rsidRDefault="003C0B16" w:rsidP="003F2102">
                <w:pPr>
                  <w:pStyle w:val="TableText"/>
                  <w:rPr>
                    <w:rStyle w:val="StyleLatinSegoeUI10pt"/>
                    <w:sz w:val="16"/>
                    <w:szCs w:val="16"/>
                  </w:rPr>
                </w:pPr>
                <w:r>
                  <w:rPr>
                    <w:rStyle w:val="StyleLatinSegoeUI10pt"/>
                    <w:sz w:val="16"/>
                    <w:szCs w:val="16"/>
                  </w:rPr>
                  <w:t>1.1</w:t>
                </w:r>
              </w:p>
            </w:tc>
            <w:tc>
              <w:tcPr>
                <w:tcW w:w="4680" w:type="dxa"/>
              </w:tcPr>
              <w:p w14:paraId="6C2F1519" w14:textId="739FFEBA" w:rsidR="002A5467" w:rsidRPr="00E85706" w:rsidRDefault="003C0B16" w:rsidP="003F2102">
                <w:pPr>
                  <w:pStyle w:val="TableText"/>
                  <w:rPr>
                    <w:rStyle w:val="StyleLatinSegoeUI10pt"/>
                    <w:sz w:val="16"/>
                    <w:szCs w:val="16"/>
                  </w:rPr>
                </w:pPr>
                <w:r>
                  <w:rPr>
                    <w:rStyle w:val="StyleLatinSegoeUI10pt"/>
                    <w:sz w:val="16"/>
                    <w:szCs w:val="16"/>
                  </w:rPr>
                  <w:t>Update to include Azure General Availability releases and security guidance for hybrid environments</w:t>
                </w:r>
              </w:p>
            </w:tc>
          </w:tr>
          <w:tr w:rsidR="002A5467" w:rsidRPr="00E85706" w14:paraId="6C2F151F" w14:textId="77777777" w:rsidTr="002A5467">
            <w:tc>
              <w:tcPr>
                <w:tcW w:w="1170" w:type="dxa"/>
              </w:tcPr>
              <w:p w14:paraId="6C2F151B" w14:textId="59AAD267" w:rsidR="002A5467" w:rsidRPr="00E85706" w:rsidRDefault="006C3AE9" w:rsidP="003F2102">
                <w:pPr>
                  <w:pStyle w:val="TableText"/>
                  <w:rPr>
                    <w:rStyle w:val="StyleLatinSegoeUI10pt"/>
                    <w:sz w:val="16"/>
                    <w:szCs w:val="16"/>
                  </w:rPr>
                </w:pPr>
                <w:r>
                  <w:rPr>
                    <w:rStyle w:val="StyleLatinSegoeUI10pt"/>
                    <w:sz w:val="16"/>
                    <w:szCs w:val="16"/>
                  </w:rPr>
                  <w:t>9/3</w:t>
                </w:r>
                <w:r w:rsidR="00AD2CA5">
                  <w:rPr>
                    <w:rStyle w:val="StyleLatinSegoeUI10pt"/>
                    <w:sz w:val="16"/>
                    <w:szCs w:val="16"/>
                  </w:rPr>
                  <w:t>/</w:t>
                </w:r>
                <w:r w:rsidR="00863C45">
                  <w:rPr>
                    <w:rStyle w:val="StyleLatinSegoeUI10pt"/>
                    <w:sz w:val="16"/>
                    <w:szCs w:val="16"/>
                  </w:rPr>
                  <w:t>2015</w:t>
                </w:r>
              </w:p>
            </w:tc>
            <w:tc>
              <w:tcPr>
                <w:tcW w:w="1890" w:type="dxa"/>
              </w:tcPr>
              <w:p w14:paraId="6C2F151C" w14:textId="1662DC95" w:rsidR="002A5467" w:rsidRPr="00E85706" w:rsidRDefault="00863C45" w:rsidP="003F2102">
                <w:pPr>
                  <w:pStyle w:val="TableText"/>
                  <w:rPr>
                    <w:rStyle w:val="StyleLatinSegoeUI10pt"/>
                    <w:sz w:val="16"/>
                    <w:szCs w:val="16"/>
                  </w:rPr>
                </w:pPr>
                <w:r>
                  <w:rPr>
                    <w:rStyle w:val="StyleLatinSegoeUI10pt"/>
                    <w:sz w:val="16"/>
                    <w:szCs w:val="16"/>
                  </w:rPr>
                  <w:t>Microsoft</w:t>
                </w:r>
              </w:p>
            </w:tc>
            <w:tc>
              <w:tcPr>
                <w:tcW w:w="1530" w:type="dxa"/>
              </w:tcPr>
              <w:p w14:paraId="6C2F151D" w14:textId="57179AF3" w:rsidR="002A5467" w:rsidRPr="00E85706" w:rsidRDefault="00863C45" w:rsidP="003F2102">
                <w:pPr>
                  <w:pStyle w:val="TableText"/>
                  <w:rPr>
                    <w:rStyle w:val="StyleLatinSegoeUI10pt"/>
                    <w:sz w:val="16"/>
                    <w:szCs w:val="16"/>
                  </w:rPr>
                </w:pPr>
                <w:r>
                  <w:rPr>
                    <w:rStyle w:val="StyleLatinSegoeUI10pt"/>
                    <w:sz w:val="16"/>
                    <w:szCs w:val="16"/>
                  </w:rPr>
                  <w:t>1.2</w:t>
                </w:r>
              </w:p>
            </w:tc>
            <w:tc>
              <w:tcPr>
                <w:tcW w:w="4680" w:type="dxa"/>
              </w:tcPr>
              <w:p w14:paraId="6C2F151E" w14:textId="39B5528D" w:rsidR="002A5467" w:rsidRPr="00E85706" w:rsidRDefault="00863C45" w:rsidP="003F2102">
                <w:pPr>
                  <w:pStyle w:val="TableText"/>
                  <w:rPr>
                    <w:rStyle w:val="StyleLatinSegoeUI10pt"/>
                    <w:sz w:val="16"/>
                    <w:szCs w:val="16"/>
                  </w:rPr>
                </w:pPr>
                <w:r>
                  <w:rPr>
                    <w:rStyle w:val="StyleLatinSegoeUI10pt"/>
                    <w:sz w:val="16"/>
                    <w:szCs w:val="16"/>
                  </w:rPr>
                  <w:t>Update to include coverage of Azure Resource Manager and Cloud Solution Provider program</w:t>
                </w:r>
              </w:p>
            </w:tc>
          </w:tr>
          <w:tr w:rsidR="009E102D" w:rsidRPr="00E85706" w14:paraId="202914DC" w14:textId="77777777" w:rsidTr="002A5467">
            <w:tc>
              <w:tcPr>
                <w:tcW w:w="1170" w:type="dxa"/>
              </w:tcPr>
              <w:p w14:paraId="646A6F23" w14:textId="44746B65" w:rsidR="009E102D" w:rsidRDefault="00A2726C" w:rsidP="00A2726C">
                <w:pPr>
                  <w:pStyle w:val="TableText"/>
                  <w:rPr>
                    <w:rStyle w:val="StyleLatinSegoeUI10pt"/>
                    <w:sz w:val="16"/>
                    <w:szCs w:val="16"/>
                  </w:rPr>
                </w:pPr>
                <w:r>
                  <w:rPr>
                    <w:rStyle w:val="StyleLatinSegoeUI10pt"/>
                    <w:sz w:val="16"/>
                    <w:szCs w:val="16"/>
                  </w:rPr>
                  <w:t>9/29</w:t>
                </w:r>
                <w:r w:rsidR="009E102D">
                  <w:rPr>
                    <w:rStyle w:val="StyleLatinSegoeUI10pt"/>
                    <w:sz w:val="16"/>
                    <w:szCs w:val="16"/>
                  </w:rPr>
                  <w:t>/2015</w:t>
                </w:r>
              </w:p>
            </w:tc>
            <w:tc>
              <w:tcPr>
                <w:tcW w:w="1890" w:type="dxa"/>
              </w:tcPr>
              <w:p w14:paraId="623688ED" w14:textId="10AB62E5" w:rsidR="009E102D" w:rsidRDefault="009E102D" w:rsidP="003F2102">
                <w:pPr>
                  <w:pStyle w:val="TableText"/>
                  <w:rPr>
                    <w:rStyle w:val="StyleLatinSegoeUI10pt"/>
                    <w:sz w:val="16"/>
                    <w:szCs w:val="16"/>
                  </w:rPr>
                </w:pPr>
                <w:r>
                  <w:rPr>
                    <w:rStyle w:val="StyleLatinSegoeUI10pt"/>
                    <w:sz w:val="16"/>
                    <w:szCs w:val="16"/>
                  </w:rPr>
                  <w:t>Microsoft</w:t>
                </w:r>
              </w:p>
            </w:tc>
            <w:tc>
              <w:tcPr>
                <w:tcW w:w="1530" w:type="dxa"/>
              </w:tcPr>
              <w:p w14:paraId="612FC58F" w14:textId="7E8E4A84" w:rsidR="009E102D" w:rsidRDefault="009E102D" w:rsidP="003F2102">
                <w:pPr>
                  <w:pStyle w:val="TableText"/>
                  <w:rPr>
                    <w:rStyle w:val="StyleLatinSegoeUI10pt"/>
                    <w:sz w:val="16"/>
                    <w:szCs w:val="16"/>
                  </w:rPr>
                </w:pPr>
                <w:r>
                  <w:rPr>
                    <w:rStyle w:val="StyleLatinSegoeUI10pt"/>
                    <w:sz w:val="16"/>
                    <w:szCs w:val="16"/>
                  </w:rPr>
                  <w:t>1.3</w:t>
                </w:r>
              </w:p>
            </w:tc>
            <w:tc>
              <w:tcPr>
                <w:tcW w:w="4680" w:type="dxa"/>
              </w:tcPr>
              <w:p w14:paraId="00BAFA83" w14:textId="3B217855" w:rsidR="009E102D" w:rsidRDefault="009E102D" w:rsidP="00F86A88">
                <w:pPr>
                  <w:pStyle w:val="TableText"/>
                  <w:rPr>
                    <w:rStyle w:val="StyleLatinSegoeUI10pt"/>
                    <w:sz w:val="16"/>
                    <w:szCs w:val="16"/>
                  </w:rPr>
                </w:pPr>
                <w:r>
                  <w:rPr>
                    <w:rStyle w:val="StyleLatinSegoeUI10pt"/>
                    <w:sz w:val="16"/>
                    <w:szCs w:val="16"/>
                  </w:rPr>
                  <w:t xml:space="preserve">Update to </w:t>
                </w:r>
                <w:r w:rsidR="00F86A88">
                  <w:rPr>
                    <w:rStyle w:val="StyleLatinSegoeUI10pt"/>
                    <w:sz w:val="16"/>
                    <w:szCs w:val="16"/>
                  </w:rPr>
                  <w:t>support Partner and Public release</w:t>
                </w:r>
              </w:p>
            </w:tc>
          </w:tr>
        </w:tbl>
        <w:p w14:paraId="6C2F1520" w14:textId="77777777" w:rsidR="00C24E60" w:rsidRDefault="00C24E60" w:rsidP="00876F0E">
          <w:pPr>
            <w:pStyle w:val="Bullet1"/>
            <w:numPr>
              <w:ilvl w:val="0"/>
              <w:numId w:val="0"/>
            </w:numPr>
          </w:pPr>
        </w:p>
        <w:p w14:paraId="6C2F1521" w14:textId="77777777" w:rsidR="00C24E60" w:rsidRDefault="00C24E60" w:rsidP="00C24E60">
          <w:pPr>
            <w:pStyle w:val="CoverSubject"/>
          </w:pPr>
          <w:r>
            <w:br w:type="page"/>
          </w:r>
          <w:r>
            <w:lastRenderedPageBreak/>
            <w:t>Table of Contents</w:t>
          </w:r>
        </w:p>
        <w:p w14:paraId="398E15A2" w14:textId="1AF71FAE" w:rsidR="00387802" w:rsidRDefault="00DA6339">
          <w:pPr>
            <w:pStyle w:val="TOC1"/>
            <w:rPr>
              <w:rFonts w:asciiTheme="minorHAnsi" w:hAnsiTheme="minorHAnsi"/>
              <w:sz w:val="22"/>
            </w:rPr>
          </w:pPr>
          <w:r>
            <w:fldChar w:fldCharType="begin"/>
          </w:r>
          <w:r>
            <w:instrText xml:space="preserve"> TOC \o "1-2" \h \z \t "Heading 3,3,Heading 3 (Numbered),3" </w:instrText>
          </w:r>
          <w:r>
            <w:fldChar w:fldCharType="separate"/>
          </w:r>
          <w:hyperlink w:anchor="_Toc431288760" w:history="1">
            <w:r w:rsidR="00387802" w:rsidRPr="00365A20">
              <w:rPr>
                <w:rStyle w:val="Hyperlink"/>
              </w:rPr>
              <w:t>1</w:t>
            </w:r>
            <w:r w:rsidR="00387802">
              <w:rPr>
                <w:rFonts w:asciiTheme="minorHAnsi" w:hAnsiTheme="minorHAnsi"/>
                <w:sz w:val="22"/>
              </w:rPr>
              <w:tab/>
            </w:r>
            <w:r w:rsidR="00387802" w:rsidRPr="00365A20">
              <w:rPr>
                <w:rStyle w:val="Hyperlink"/>
              </w:rPr>
              <w:t>Introduction</w:t>
            </w:r>
            <w:r w:rsidR="00387802">
              <w:rPr>
                <w:webHidden/>
              </w:rPr>
              <w:tab/>
            </w:r>
            <w:r w:rsidR="00387802">
              <w:rPr>
                <w:webHidden/>
              </w:rPr>
              <w:fldChar w:fldCharType="begin"/>
            </w:r>
            <w:r w:rsidR="00387802">
              <w:rPr>
                <w:webHidden/>
              </w:rPr>
              <w:instrText xml:space="preserve"> PAGEREF _Toc431288760 \h </w:instrText>
            </w:r>
            <w:r w:rsidR="00387802">
              <w:rPr>
                <w:webHidden/>
              </w:rPr>
            </w:r>
            <w:r w:rsidR="00387802">
              <w:rPr>
                <w:webHidden/>
              </w:rPr>
              <w:fldChar w:fldCharType="separate"/>
            </w:r>
            <w:r w:rsidR="00387802">
              <w:rPr>
                <w:webHidden/>
              </w:rPr>
              <w:t>2</w:t>
            </w:r>
            <w:r w:rsidR="00387802">
              <w:rPr>
                <w:webHidden/>
              </w:rPr>
              <w:fldChar w:fldCharType="end"/>
            </w:r>
          </w:hyperlink>
        </w:p>
        <w:p w14:paraId="1AE0B8ED" w14:textId="43B35DA7" w:rsidR="00387802" w:rsidRDefault="00872E47">
          <w:pPr>
            <w:pStyle w:val="TOC2"/>
            <w:tabs>
              <w:tab w:val="left" w:pos="880"/>
              <w:tab w:val="right" w:leader="dot" w:pos="9350"/>
            </w:tabs>
            <w:rPr>
              <w:rFonts w:asciiTheme="minorHAnsi" w:hAnsiTheme="minorHAnsi"/>
              <w:noProof/>
            </w:rPr>
          </w:pPr>
          <w:hyperlink w:anchor="_Toc431288761" w:history="1">
            <w:r w:rsidR="00387802" w:rsidRPr="00365A20">
              <w:rPr>
                <w:rStyle w:val="Hyperlink"/>
                <w:noProof/>
              </w:rPr>
              <w:t>1.1</w:t>
            </w:r>
            <w:r w:rsidR="00387802">
              <w:rPr>
                <w:rFonts w:asciiTheme="minorHAnsi" w:hAnsiTheme="minorHAnsi"/>
                <w:noProof/>
              </w:rPr>
              <w:tab/>
            </w:r>
            <w:r w:rsidR="00387802" w:rsidRPr="00365A20">
              <w:rPr>
                <w:rStyle w:val="Hyperlink"/>
                <w:noProof/>
              </w:rPr>
              <w:t>Scope</w:t>
            </w:r>
            <w:r w:rsidR="00387802">
              <w:rPr>
                <w:noProof/>
                <w:webHidden/>
              </w:rPr>
              <w:tab/>
            </w:r>
            <w:r w:rsidR="00387802">
              <w:rPr>
                <w:noProof/>
                <w:webHidden/>
              </w:rPr>
              <w:fldChar w:fldCharType="begin"/>
            </w:r>
            <w:r w:rsidR="00387802">
              <w:rPr>
                <w:noProof/>
                <w:webHidden/>
              </w:rPr>
              <w:instrText xml:space="preserve"> PAGEREF _Toc431288761 \h </w:instrText>
            </w:r>
            <w:r w:rsidR="00387802">
              <w:rPr>
                <w:noProof/>
                <w:webHidden/>
              </w:rPr>
            </w:r>
            <w:r w:rsidR="00387802">
              <w:rPr>
                <w:noProof/>
                <w:webHidden/>
              </w:rPr>
              <w:fldChar w:fldCharType="separate"/>
            </w:r>
            <w:r w:rsidR="00387802">
              <w:rPr>
                <w:noProof/>
                <w:webHidden/>
              </w:rPr>
              <w:t>2</w:t>
            </w:r>
            <w:r w:rsidR="00387802">
              <w:rPr>
                <w:noProof/>
                <w:webHidden/>
              </w:rPr>
              <w:fldChar w:fldCharType="end"/>
            </w:r>
          </w:hyperlink>
        </w:p>
        <w:p w14:paraId="3A23241B" w14:textId="1C5EBB6E" w:rsidR="00387802" w:rsidRDefault="00872E47">
          <w:pPr>
            <w:pStyle w:val="TOC2"/>
            <w:tabs>
              <w:tab w:val="left" w:pos="880"/>
              <w:tab w:val="right" w:leader="dot" w:pos="9350"/>
            </w:tabs>
            <w:rPr>
              <w:rFonts w:asciiTheme="minorHAnsi" w:hAnsiTheme="minorHAnsi"/>
              <w:noProof/>
            </w:rPr>
          </w:pPr>
          <w:hyperlink w:anchor="_Toc431288762" w:history="1">
            <w:r w:rsidR="00387802" w:rsidRPr="00365A20">
              <w:rPr>
                <w:rStyle w:val="Hyperlink"/>
                <w:noProof/>
              </w:rPr>
              <w:t>1.2</w:t>
            </w:r>
            <w:r w:rsidR="00387802">
              <w:rPr>
                <w:rFonts w:asciiTheme="minorHAnsi" w:hAnsiTheme="minorHAnsi"/>
                <w:noProof/>
              </w:rPr>
              <w:tab/>
            </w:r>
            <w:r w:rsidR="00387802" w:rsidRPr="00365A20">
              <w:rPr>
                <w:rStyle w:val="Hyperlink"/>
                <w:noProof/>
              </w:rPr>
              <w:t>Cloud OS</w:t>
            </w:r>
            <w:r w:rsidR="00387802">
              <w:rPr>
                <w:noProof/>
                <w:webHidden/>
              </w:rPr>
              <w:tab/>
            </w:r>
            <w:r w:rsidR="00387802">
              <w:rPr>
                <w:noProof/>
                <w:webHidden/>
              </w:rPr>
              <w:fldChar w:fldCharType="begin"/>
            </w:r>
            <w:r w:rsidR="00387802">
              <w:rPr>
                <w:noProof/>
                <w:webHidden/>
              </w:rPr>
              <w:instrText xml:space="preserve"> PAGEREF _Toc431288762 \h </w:instrText>
            </w:r>
            <w:r w:rsidR="00387802">
              <w:rPr>
                <w:noProof/>
                <w:webHidden/>
              </w:rPr>
            </w:r>
            <w:r w:rsidR="00387802">
              <w:rPr>
                <w:noProof/>
                <w:webHidden/>
              </w:rPr>
              <w:fldChar w:fldCharType="separate"/>
            </w:r>
            <w:r w:rsidR="00387802">
              <w:rPr>
                <w:noProof/>
                <w:webHidden/>
              </w:rPr>
              <w:t>3</w:t>
            </w:r>
            <w:r w:rsidR="00387802">
              <w:rPr>
                <w:noProof/>
                <w:webHidden/>
              </w:rPr>
              <w:fldChar w:fldCharType="end"/>
            </w:r>
          </w:hyperlink>
        </w:p>
        <w:p w14:paraId="712CE8A3" w14:textId="67F8408F" w:rsidR="00387802" w:rsidRDefault="00872E47">
          <w:pPr>
            <w:pStyle w:val="TOC2"/>
            <w:tabs>
              <w:tab w:val="left" w:pos="880"/>
              <w:tab w:val="right" w:leader="dot" w:pos="9350"/>
            </w:tabs>
            <w:rPr>
              <w:rFonts w:asciiTheme="minorHAnsi" w:hAnsiTheme="minorHAnsi"/>
              <w:noProof/>
            </w:rPr>
          </w:pPr>
          <w:hyperlink w:anchor="_Toc431288763" w:history="1">
            <w:r w:rsidR="00387802" w:rsidRPr="00365A20">
              <w:rPr>
                <w:rStyle w:val="Hyperlink"/>
                <w:noProof/>
              </w:rPr>
              <w:t>1.3</w:t>
            </w:r>
            <w:r w:rsidR="00387802">
              <w:rPr>
                <w:rFonts w:asciiTheme="minorHAnsi" w:hAnsiTheme="minorHAnsi"/>
                <w:noProof/>
              </w:rPr>
              <w:tab/>
            </w:r>
            <w:r w:rsidR="00387802" w:rsidRPr="00365A20">
              <w:rPr>
                <w:rStyle w:val="Hyperlink"/>
                <w:noProof/>
              </w:rPr>
              <w:t>Microsoft Cloud Service Provider Program</w:t>
            </w:r>
            <w:r w:rsidR="00387802">
              <w:rPr>
                <w:noProof/>
                <w:webHidden/>
              </w:rPr>
              <w:tab/>
            </w:r>
            <w:r w:rsidR="00387802">
              <w:rPr>
                <w:noProof/>
                <w:webHidden/>
              </w:rPr>
              <w:fldChar w:fldCharType="begin"/>
            </w:r>
            <w:r w:rsidR="00387802">
              <w:rPr>
                <w:noProof/>
                <w:webHidden/>
              </w:rPr>
              <w:instrText xml:space="preserve"> PAGEREF _Toc431288763 \h </w:instrText>
            </w:r>
            <w:r w:rsidR="00387802">
              <w:rPr>
                <w:noProof/>
                <w:webHidden/>
              </w:rPr>
            </w:r>
            <w:r w:rsidR="00387802">
              <w:rPr>
                <w:noProof/>
                <w:webHidden/>
              </w:rPr>
              <w:fldChar w:fldCharType="separate"/>
            </w:r>
            <w:r w:rsidR="00387802">
              <w:rPr>
                <w:noProof/>
                <w:webHidden/>
              </w:rPr>
              <w:t>3</w:t>
            </w:r>
            <w:r w:rsidR="00387802">
              <w:rPr>
                <w:noProof/>
                <w:webHidden/>
              </w:rPr>
              <w:fldChar w:fldCharType="end"/>
            </w:r>
          </w:hyperlink>
        </w:p>
        <w:p w14:paraId="62E5A455" w14:textId="48A5596B" w:rsidR="00387802" w:rsidRDefault="00872E47">
          <w:pPr>
            <w:pStyle w:val="TOC2"/>
            <w:tabs>
              <w:tab w:val="left" w:pos="880"/>
              <w:tab w:val="right" w:leader="dot" w:pos="9350"/>
            </w:tabs>
            <w:rPr>
              <w:rFonts w:asciiTheme="minorHAnsi" w:hAnsiTheme="minorHAnsi"/>
              <w:noProof/>
            </w:rPr>
          </w:pPr>
          <w:hyperlink w:anchor="_Toc431288764" w:history="1">
            <w:r w:rsidR="00387802" w:rsidRPr="00365A20">
              <w:rPr>
                <w:rStyle w:val="Hyperlink"/>
                <w:noProof/>
              </w:rPr>
              <w:t>1.4</w:t>
            </w:r>
            <w:r w:rsidR="00387802">
              <w:rPr>
                <w:rFonts w:asciiTheme="minorHAnsi" w:hAnsiTheme="minorHAnsi"/>
                <w:noProof/>
              </w:rPr>
              <w:tab/>
            </w:r>
            <w:r w:rsidR="00387802" w:rsidRPr="00365A20">
              <w:rPr>
                <w:rStyle w:val="Hyperlink"/>
                <w:noProof/>
              </w:rPr>
              <w:t>Modern Datacenter and Cloud Offering Portfolio</w:t>
            </w:r>
            <w:r w:rsidR="00387802">
              <w:rPr>
                <w:noProof/>
                <w:webHidden/>
              </w:rPr>
              <w:tab/>
            </w:r>
            <w:r w:rsidR="00387802">
              <w:rPr>
                <w:noProof/>
                <w:webHidden/>
              </w:rPr>
              <w:fldChar w:fldCharType="begin"/>
            </w:r>
            <w:r w:rsidR="00387802">
              <w:rPr>
                <w:noProof/>
                <w:webHidden/>
              </w:rPr>
              <w:instrText xml:space="preserve"> PAGEREF _Toc431288764 \h </w:instrText>
            </w:r>
            <w:r w:rsidR="00387802">
              <w:rPr>
                <w:noProof/>
                <w:webHidden/>
              </w:rPr>
            </w:r>
            <w:r w:rsidR="00387802">
              <w:rPr>
                <w:noProof/>
                <w:webHidden/>
              </w:rPr>
              <w:fldChar w:fldCharType="separate"/>
            </w:r>
            <w:r w:rsidR="00387802">
              <w:rPr>
                <w:noProof/>
                <w:webHidden/>
              </w:rPr>
              <w:t>4</w:t>
            </w:r>
            <w:r w:rsidR="00387802">
              <w:rPr>
                <w:noProof/>
                <w:webHidden/>
              </w:rPr>
              <w:fldChar w:fldCharType="end"/>
            </w:r>
          </w:hyperlink>
        </w:p>
        <w:p w14:paraId="1EDE391B" w14:textId="77A44518" w:rsidR="00387802" w:rsidRDefault="00872E47">
          <w:pPr>
            <w:pStyle w:val="TOC1"/>
            <w:rPr>
              <w:rFonts w:asciiTheme="minorHAnsi" w:hAnsiTheme="minorHAnsi"/>
              <w:sz w:val="22"/>
            </w:rPr>
          </w:pPr>
          <w:hyperlink w:anchor="_Toc431288765" w:history="1">
            <w:r w:rsidR="00387802" w:rsidRPr="00365A20">
              <w:rPr>
                <w:rStyle w:val="Hyperlink"/>
              </w:rPr>
              <w:t>2</w:t>
            </w:r>
            <w:r w:rsidR="00387802">
              <w:rPr>
                <w:rFonts w:asciiTheme="minorHAnsi" w:hAnsiTheme="minorHAnsi"/>
                <w:sz w:val="22"/>
              </w:rPr>
              <w:tab/>
            </w:r>
            <w:r w:rsidR="00387802" w:rsidRPr="00365A20">
              <w:rPr>
                <w:rStyle w:val="Hyperlink"/>
              </w:rPr>
              <w:t>Azure Reference Architecture Overview</w:t>
            </w:r>
            <w:r w:rsidR="00387802">
              <w:rPr>
                <w:webHidden/>
              </w:rPr>
              <w:tab/>
            </w:r>
            <w:r w:rsidR="00387802">
              <w:rPr>
                <w:webHidden/>
              </w:rPr>
              <w:fldChar w:fldCharType="begin"/>
            </w:r>
            <w:r w:rsidR="00387802">
              <w:rPr>
                <w:webHidden/>
              </w:rPr>
              <w:instrText xml:space="preserve"> PAGEREF _Toc431288765 \h </w:instrText>
            </w:r>
            <w:r w:rsidR="00387802">
              <w:rPr>
                <w:webHidden/>
              </w:rPr>
            </w:r>
            <w:r w:rsidR="00387802">
              <w:rPr>
                <w:webHidden/>
              </w:rPr>
              <w:fldChar w:fldCharType="separate"/>
            </w:r>
            <w:r w:rsidR="00387802">
              <w:rPr>
                <w:webHidden/>
              </w:rPr>
              <w:t>5</w:t>
            </w:r>
            <w:r w:rsidR="00387802">
              <w:rPr>
                <w:webHidden/>
              </w:rPr>
              <w:fldChar w:fldCharType="end"/>
            </w:r>
          </w:hyperlink>
        </w:p>
        <w:p w14:paraId="4E418DAF" w14:textId="21AD1A1F" w:rsidR="00387802" w:rsidRDefault="00872E47">
          <w:pPr>
            <w:pStyle w:val="TOC2"/>
            <w:tabs>
              <w:tab w:val="left" w:pos="880"/>
              <w:tab w:val="right" w:leader="dot" w:pos="9350"/>
            </w:tabs>
            <w:rPr>
              <w:rFonts w:asciiTheme="minorHAnsi" w:hAnsiTheme="minorHAnsi"/>
              <w:noProof/>
            </w:rPr>
          </w:pPr>
          <w:hyperlink w:anchor="_Toc431288766" w:history="1">
            <w:r w:rsidR="00387802" w:rsidRPr="00365A20">
              <w:rPr>
                <w:rStyle w:val="Hyperlink"/>
                <w:noProof/>
              </w:rPr>
              <w:t>2.1</w:t>
            </w:r>
            <w:r w:rsidR="00387802">
              <w:rPr>
                <w:rFonts w:asciiTheme="minorHAnsi" w:hAnsiTheme="minorHAnsi"/>
                <w:noProof/>
              </w:rPr>
              <w:tab/>
            </w:r>
            <w:r w:rsidR="00387802" w:rsidRPr="00365A20">
              <w:rPr>
                <w:rStyle w:val="Hyperlink"/>
                <w:noProof/>
              </w:rPr>
              <w:t>Azure Deployment Models and Audiences</w:t>
            </w:r>
            <w:r w:rsidR="00387802">
              <w:rPr>
                <w:noProof/>
                <w:webHidden/>
              </w:rPr>
              <w:tab/>
            </w:r>
            <w:r w:rsidR="00387802">
              <w:rPr>
                <w:noProof/>
                <w:webHidden/>
              </w:rPr>
              <w:fldChar w:fldCharType="begin"/>
            </w:r>
            <w:r w:rsidR="00387802">
              <w:rPr>
                <w:noProof/>
                <w:webHidden/>
              </w:rPr>
              <w:instrText xml:space="preserve"> PAGEREF _Toc431288766 \h </w:instrText>
            </w:r>
            <w:r w:rsidR="00387802">
              <w:rPr>
                <w:noProof/>
                <w:webHidden/>
              </w:rPr>
            </w:r>
            <w:r w:rsidR="00387802">
              <w:rPr>
                <w:noProof/>
                <w:webHidden/>
              </w:rPr>
              <w:fldChar w:fldCharType="separate"/>
            </w:r>
            <w:r w:rsidR="00387802">
              <w:rPr>
                <w:noProof/>
                <w:webHidden/>
              </w:rPr>
              <w:t>5</w:t>
            </w:r>
            <w:r w:rsidR="00387802">
              <w:rPr>
                <w:noProof/>
                <w:webHidden/>
              </w:rPr>
              <w:fldChar w:fldCharType="end"/>
            </w:r>
          </w:hyperlink>
        </w:p>
        <w:p w14:paraId="43E55A5A" w14:textId="0E12605E" w:rsidR="00387802" w:rsidRDefault="00872E47">
          <w:pPr>
            <w:pStyle w:val="TOC2"/>
            <w:tabs>
              <w:tab w:val="left" w:pos="1100"/>
              <w:tab w:val="right" w:leader="dot" w:pos="9350"/>
            </w:tabs>
            <w:rPr>
              <w:rFonts w:asciiTheme="minorHAnsi" w:hAnsiTheme="minorHAnsi"/>
              <w:noProof/>
            </w:rPr>
          </w:pPr>
          <w:hyperlink w:anchor="_Toc431288767" w:history="1">
            <w:r w:rsidR="00387802" w:rsidRPr="00365A20">
              <w:rPr>
                <w:rStyle w:val="Hyperlink"/>
                <w:noProof/>
                <w14:scene3d>
                  <w14:camera w14:prst="orthographicFront"/>
                  <w14:lightRig w14:rig="threePt" w14:dir="t">
                    <w14:rot w14:lat="0" w14:lon="0" w14:rev="0"/>
                  </w14:lightRig>
                </w14:scene3d>
              </w:rPr>
              <w:t>2.1.1</w:t>
            </w:r>
            <w:r w:rsidR="00387802">
              <w:rPr>
                <w:rFonts w:asciiTheme="minorHAnsi" w:hAnsiTheme="minorHAnsi"/>
                <w:noProof/>
              </w:rPr>
              <w:tab/>
            </w:r>
            <w:r w:rsidR="00387802" w:rsidRPr="00365A20">
              <w:rPr>
                <w:rStyle w:val="Hyperlink"/>
                <w:noProof/>
              </w:rPr>
              <w:t>Customer-Owned Models</w:t>
            </w:r>
            <w:r w:rsidR="00387802">
              <w:rPr>
                <w:noProof/>
                <w:webHidden/>
              </w:rPr>
              <w:tab/>
            </w:r>
            <w:r w:rsidR="00387802">
              <w:rPr>
                <w:noProof/>
                <w:webHidden/>
              </w:rPr>
              <w:fldChar w:fldCharType="begin"/>
            </w:r>
            <w:r w:rsidR="00387802">
              <w:rPr>
                <w:noProof/>
                <w:webHidden/>
              </w:rPr>
              <w:instrText xml:space="preserve"> PAGEREF _Toc431288767 \h </w:instrText>
            </w:r>
            <w:r w:rsidR="00387802">
              <w:rPr>
                <w:noProof/>
                <w:webHidden/>
              </w:rPr>
            </w:r>
            <w:r w:rsidR="00387802">
              <w:rPr>
                <w:noProof/>
                <w:webHidden/>
              </w:rPr>
              <w:fldChar w:fldCharType="separate"/>
            </w:r>
            <w:r w:rsidR="00387802">
              <w:rPr>
                <w:noProof/>
                <w:webHidden/>
              </w:rPr>
              <w:t>6</w:t>
            </w:r>
            <w:r w:rsidR="00387802">
              <w:rPr>
                <w:noProof/>
                <w:webHidden/>
              </w:rPr>
              <w:fldChar w:fldCharType="end"/>
            </w:r>
          </w:hyperlink>
        </w:p>
        <w:p w14:paraId="50C7F820" w14:textId="795B4326" w:rsidR="00387802" w:rsidRDefault="00872E47">
          <w:pPr>
            <w:pStyle w:val="TOC2"/>
            <w:tabs>
              <w:tab w:val="left" w:pos="1100"/>
              <w:tab w:val="right" w:leader="dot" w:pos="9350"/>
            </w:tabs>
            <w:rPr>
              <w:rFonts w:asciiTheme="minorHAnsi" w:hAnsiTheme="minorHAnsi"/>
              <w:noProof/>
            </w:rPr>
          </w:pPr>
          <w:hyperlink w:anchor="_Toc431288768" w:history="1">
            <w:r w:rsidR="00387802" w:rsidRPr="00365A20">
              <w:rPr>
                <w:rStyle w:val="Hyperlink"/>
                <w:noProof/>
                <w14:scene3d>
                  <w14:camera w14:prst="orthographicFront"/>
                  <w14:lightRig w14:rig="threePt" w14:dir="t">
                    <w14:rot w14:lat="0" w14:lon="0" w14:rev="0"/>
                  </w14:lightRig>
                </w14:scene3d>
              </w:rPr>
              <w:t>2.1.2</w:t>
            </w:r>
            <w:r w:rsidR="00387802">
              <w:rPr>
                <w:rFonts w:asciiTheme="minorHAnsi" w:hAnsiTheme="minorHAnsi"/>
                <w:noProof/>
              </w:rPr>
              <w:tab/>
            </w:r>
            <w:r w:rsidR="00387802" w:rsidRPr="00365A20">
              <w:rPr>
                <w:rStyle w:val="Hyperlink"/>
                <w:noProof/>
              </w:rPr>
              <w:t>Cloud Solution Provider –Managed Models</w:t>
            </w:r>
            <w:r w:rsidR="00387802">
              <w:rPr>
                <w:noProof/>
                <w:webHidden/>
              </w:rPr>
              <w:tab/>
            </w:r>
            <w:r w:rsidR="00387802">
              <w:rPr>
                <w:noProof/>
                <w:webHidden/>
              </w:rPr>
              <w:fldChar w:fldCharType="begin"/>
            </w:r>
            <w:r w:rsidR="00387802">
              <w:rPr>
                <w:noProof/>
                <w:webHidden/>
              </w:rPr>
              <w:instrText xml:space="preserve"> PAGEREF _Toc431288768 \h </w:instrText>
            </w:r>
            <w:r w:rsidR="00387802">
              <w:rPr>
                <w:noProof/>
                <w:webHidden/>
              </w:rPr>
            </w:r>
            <w:r w:rsidR="00387802">
              <w:rPr>
                <w:noProof/>
                <w:webHidden/>
              </w:rPr>
              <w:fldChar w:fldCharType="separate"/>
            </w:r>
            <w:r w:rsidR="00387802">
              <w:rPr>
                <w:noProof/>
                <w:webHidden/>
              </w:rPr>
              <w:t>7</w:t>
            </w:r>
            <w:r w:rsidR="00387802">
              <w:rPr>
                <w:noProof/>
                <w:webHidden/>
              </w:rPr>
              <w:fldChar w:fldCharType="end"/>
            </w:r>
          </w:hyperlink>
        </w:p>
        <w:p w14:paraId="2286BDC4" w14:textId="01B41DD9" w:rsidR="00387802" w:rsidRDefault="00872E47">
          <w:pPr>
            <w:pStyle w:val="TOC2"/>
            <w:tabs>
              <w:tab w:val="left" w:pos="880"/>
              <w:tab w:val="right" w:leader="dot" w:pos="9350"/>
            </w:tabs>
            <w:rPr>
              <w:rFonts w:asciiTheme="minorHAnsi" w:hAnsiTheme="minorHAnsi"/>
              <w:noProof/>
            </w:rPr>
          </w:pPr>
          <w:hyperlink w:anchor="_Toc431288769" w:history="1">
            <w:r w:rsidR="00387802" w:rsidRPr="00365A20">
              <w:rPr>
                <w:rStyle w:val="Hyperlink"/>
                <w:noProof/>
              </w:rPr>
              <w:t>2.2</w:t>
            </w:r>
            <w:r w:rsidR="00387802">
              <w:rPr>
                <w:rFonts w:asciiTheme="minorHAnsi" w:hAnsiTheme="minorHAnsi"/>
                <w:noProof/>
              </w:rPr>
              <w:tab/>
            </w:r>
            <w:r w:rsidR="00387802" w:rsidRPr="00365A20">
              <w:rPr>
                <w:rStyle w:val="Hyperlink"/>
                <w:noProof/>
              </w:rPr>
              <w:t>Azure Reference Architecture Guide Use</w:t>
            </w:r>
            <w:r w:rsidR="00387802">
              <w:rPr>
                <w:noProof/>
                <w:webHidden/>
              </w:rPr>
              <w:tab/>
            </w:r>
            <w:r w:rsidR="00387802">
              <w:rPr>
                <w:noProof/>
                <w:webHidden/>
              </w:rPr>
              <w:fldChar w:fldCharType="begin"/>
            </w:r>
            <w:r w:rsidR="00387802">
              <w:rPr>
                <w:noProof/>
                <w:webHidden/>
              </w:rPr>
              <w:instrText xml:space="preserve"> PAGEREF _Toc431288769 \h </w:instrText>
            </w:r>
            <w:r w:rsidR="00387802">
              <w:rPr>
                <w:noProof/>
                <w:webHidden/>
              </w:rPr>
            </w:r>
            <w:r w:rsidR="00387802">
              <w:rPr>
                <w:noProof/>
                <w:webHidden/>
              </w:rPr>
              <w:fldChar w:fldCharType="separate"/>
            </w:r>
            <w:r w:rsidR="00387802">
              <w:rPr>
                <w:noProof/>
                <w:webHidden/>
              </w:rPr>
              <w:t>9</w:t>
            </w:r>
            <w:r w:rsidR="00387802">
              <w:rPr>
                <w:noProof/>
                <w:webHidden/>
              </w:rPr>
              <w:fldChar w:fldCharType="end"/>
            </w:r>
          </w:hyperlink>
        </w:p>
        <w:p w14:paraId="262ACF63" w14:textId="3C85F20B" w:rsidR="00387802" w:rsidRDefault="00872E47">
          <w:pPr>
            <w:pStyle w:val="TOC3"/>
            <w:tabs>
              <w:tab w:val="left" w:pos="1320"/>
            </w:tabs>
            <w:rPr>
              <w:rFonts w:asciiTheme="minorHAnsi" w:eastAsiaTheme="minorEastAsia" w:hAnsiTheme="minorHAnsi"/>
              <w:noProof/>
              <w:spacing w:val="0"/>
              <w:sz w:val="22"/>
              <w:szCs w:val="22"/>
            </w:rPr>
          </w:pPr>
          <w:hyperlink w:anchor="_Toc431288770" w:history="1">
            <w:r w:rsidR="00387802" w:rsidRPr="00365A20">
              <w:rPr>
                <w:rStyle w:val="Hyperlink"/>
                <w:noProof/>
                <w14:scene3d>
                  <w14:camera w14:prst="orthographicFront"/>
                  <w14:lightRig w14:rig="threePt" w14:dir="t">
                    <w14:rot w14:lat="0" w14:lon="0" w14:rev="0"/>
                  </w14:lightRig>
                </w14:scene3d>
              </w:rPr>
              <w:t>2.2.1</w:t>
            </w:r>
            <w:r w:rsidR="00387802">
              <w:rPr>
                <w:rFonts w:asciiTheme="minorHAnsi" w:eastAsiaTheme="minorEastAsia" w:hAnsiTheme="minorHAnsi"/>
                <w:noProof/>
                <w:spacing w:val="0"/>
                <w:sz w:val="22"/>
                <w:szCs w:val="22"/>
              </w:rPr>
              <w:tab/>
            </w:r>
            <w:r w:rsidR="00387802" w:rsidRPr="00365A20">
              <w:rPr>
                <w:rStyle w:val="Hyperlink"/>
                <w:noProof/>
              </w:rPr>
              <w:t>Rule Set Criteria</w:t>
            </w:r>
            <w:r w:rsidR="00387802">
              <w:rPr>
                <w:noProof/>
                <w:webHidden/>
              </w:rPr>
              <w:tab/>
            </w:r>
            <w:r w:rsidR="00387802">
              <w:rPr>
                <w:noProof/>
                <w:webHidden/>
              </w:rPr>
              <w:fldChar w:fldCharType="begin"/>
            </w:r>
            <w:r w:rsidR="00387802">
              <w:rPr>
                <w:noProof/>
                <w:webHidden/>
              </w:rPr>
              <w:instrText xml:space="preserve"> PAGEREF _Toc431288770 \h </w:instrText>
            </w:r>
            <w:r w:rsidR="00387802">
              <w:rPr>
                <w:noProof/>
                <w:webHidden/>
              </w:rPr>
            </w:r>
            <w:r w:rsidR="00387802">
              <w:rPr>
                <w:noProof/>
                <w:webHidden/>
              </w:rPr>
              <w:fldChar w:fldCharType="separate"/>
            </w:r>
            <w:r w:rsidR="00387802">
              <w:rPr>
                <w:noProof/>
                <w:webHidden/>
              </w:rPr>
              <w:t>11</w:t>
            </w:r>
            <w:r w:rsidR="00387802">
              <w:rPr>
                <w:noProof/>
                <w:webHidden/>
              </w:rPr>
              <w:fldChar w:fldCharType="end"/>
            </w:r>
          </w:hyperlink>
        </w:p>
        <w:p w14:paraId="5362D1DF" w14:textId="1A60E48F" w:rsidR="00387802" w:rsidRDefault="00872E47">
          <w:pPr>
            <w:pStyle w:val="TOC2"/>
            <w:tabs>
              <w:tab w:val="left" w:pos="880"/>
              <w:tab w:val="right" w:leader="dot" w:pos="9350"/>
            </w:tabs>
            <w:rPr>
              <w:rFonts w:asciiTheme="minorHAnsi" w:hAnsiTheme="minorHAnsi"/>
              <w:noProof/>
            </w:rPr>
          </w:pPr>
          <w:hyperlink w:anchor="_Toc431288771" w:history="1">
            <w:r w:rsidR="00387802" w:rsidRPr="00365A20">
              <w:rPr>
                <w:rStyle w:val="Hyperlink"/>
                <w:noProof/>
              </w:rPr>
              <w:t>2.3</w:t>
            </w:r>
            <w:r w:rsidR="00387802">
              <w:rPr>
                <w:rFonts w:asciiTheme="minorHAnsi" w:hAnsiTheme="minorHAnsi"/>
                <w:noProof/>
              </w:rPr>
              <w:tab/>
            </w:r>
            <w:r w:rsidR="00387802" w:rsidRPr="00365A20">
              <w:rPr>
                <w:rStyle w:val="Hyperlink"/>
                <w:noProof/>
              </w:rPr>
              <w:t>Azure Architecture Patterns</w:t>
            </w:r>
            <w:r w:rsidR="00387802">
              <w:rPr>
                <w:noProof/>
                <w:webHidden/>
              </w:rPr>
              <w:tab/>
            </w:r>
            <w:r w:rsidR="00387802">
              <w:rPr>
                <w:noProof/>
                <w:webHidden/>
              </w:rPr>
              <w:fldChar w:fldCharType="begin"/>
            </w:r>
            <w:r w:rsidR="00387802">
              <w:rPr>
                <w:noProof/>
                <w:webHidden/>
              </w:rPr>
              <w:instrText xml:space="preserve"> PAGEREF _Toc431288771 \h </w:instrText>
            </w:r>
            <w:r w:rsidR="00387802">
              <w:rPr>
                <w:noProof/>
                <w:webHidden/>
              </w:rPr>
            </w:r>
            <w:r w:rsidR="00387802">
              <w:rPr>
                <w:noProof/>
                <w:webHidden/>
              </w:rPr>
              <w:fldChar w:fldCharType="separate"/>
            </w:r>
            <w:r w:rsidR="00387802">
              <w:rPr>
                <w:noProof/>
                <w:webHidden/>
              </w:rPr>
              <w:t>11</w:t>
            </w:r>
            <w:r w:rsidR="00387802">
              <w:rPr>
                <w:noProof/>
                <w:webHidden/>
              </w:rPr>
              <w:fldChar w:fldCharType="end"/>
            </w:r>
          </w:hyperlink>
        </w:p>
        <w:p w14:paraId="111A27BD" w14:textId="425AE140" w:rsidR="00387802" w:rsidRDefault="00872E47">
          <w:pPr>
            <w:pStyle w:val="TOC1"/>
            <w:rPr>
              <w:rFonts w:asciiTheme="minorHAnsi" w:hAnsiTheme="minorHAnsi"/>
              <w:sz w:val="22"/>
            </w:rPr>
          </w:pPr>
          <w:hyperlink w:anchor="_Toc431288772" w:history="1">
            <w:r w:rsidR="00387802" w:rsidRPr="00365A20">
              <w:rPr>
                <w:rStyle w:val="Hyperlink"/>
              </w:rPr>
              <w:t>3</w:t>
            </w:r>
            <w:r w:rsidR="00387802">
              <w:rPr>
                <w:rFonts w:asciiTheme="minorHAnsi" w:hAnsiTheme="minorHAnsi"/>
                <w:sz w:val="22"/>
              </w:rPr>
              <w:tab/>
            </w:r>
            <w:r w:rsidR="00387802" w:rsidRPr="00365A20">
              <w:rPr>
                <w:rStyle w:val="Hyperlink"/>
              </w:rPr>
              <w:t>Microsoft Azure Overview</w:t>
            </w:r>
            <w:r w:rsidR="00387802">
              <w:rPr>
                <w:webHidden/>
              </w:rPr>
              <w:tab/>
            </w:r>
            <w:r w:rsidR="00387802">
              <w:rPr>
                <w:webHidden/>
              </w:rPr>
              <w:fldChar w:fldCharType="begin"/>
            </w:r>
            <w:r w:rsidR="00387802">
              <w:rPr>
                <w:webHidden/>
              </w:rPr>
              <w:instrText xml:space="preserve"> PAGEREF _Toc431288772 \h </w:instrText>
            </w:r>
            <w:r w:rsidR="00387802">
              <w:rPr>
                <w:webHidden/>
              </w:rPr>
            </w:r>
            <w:r w:rsidR="00387802">
              <w:rPr>
                <w:webHidden/>
              </w:rPr>
              <w:fldChar w:fldCharType="separate"/>
            </w:r>
            <w:r w:rsidR="00387802">
              <w:rPr>
                <w:webHidden/>
              </w:rPr>
              <w:t>14</w:t>
            </w:r>
            <w:r w:rsidR="00387802">
              <w:rPr>
                <w:webHidden/>
              </w:rPr>
              <w:fldChar w:fldCharType="end"/>
            </w:r>
          </w:hyperlink>
        </w:p>
        <w:p w14:paraId="33733B54" w14:textId="1BFB73C4" w:rsidR="00387802" w:rsidRDefault="00872E47">
          <w:pPr>
            <w:pStyle w:val="TOC2"/>
            <w:tabs>
              <w:tab w:val="left" w:pos="880"/>
              <w:tab w:val="right" w:leader="dot" w:pos="9350"/>
            </w:tabs>
            <w:rPr>
              <w:rFonts w:asciiTheme="minorHAnsi" w:hAnsiTheme="minorHAnsi"/>
              <w:noProof/>
            </w:rPr>
          </w:pPr>
          <w:hyperlink w:anchor="_Toc431288773" w:history="1">
            <w:r w:rsidR="00387802" w:rsidRPr="00365A20">
              <w:rPr>
                <w:rStyle w:val="Hyperlink"/>
                <w:noProof/>
              </w:rPr>
              <w:t>3.1</w:t>
            </w:r>
            <w:r w:rsidR="00387802">
              <w:rPr>
                <w:rFonts w:asciiTheme="minorHAnsi" w:hAnsiTheme="minorHAnsi"/>
                <w:noProof/>
              </w:rPr>
              <w:tab/>
            </w:r>
            <w:r w:rsidR="00387802" w:rsidRPr="00365A20">
              <w:rPr>
                <w:rStyle w:val="Hyperlink"/>
                <w:noProof/>
              </w:rPr>
              <w:t>Microsoft Azure Services</w:t>
            </w:r>
            <w:r w:rsidR="00387802">
              <w:rPr>
                <w:noProof/>
                <w:webHidden/>
              </w:rPr>
              <w:tab/>
            </w:r>
            <w:r w:rsidR="00387802">
              <w:rPr>
                <w:noProof/>
                <w:webHidden/>
              </w:rPr>
              <w:fldChar w:fldCharType="begin"/>
            </w:r>
            <w:r w:rsidR="00387802">
              <w:rPr>
                <w:noProof/>
                <w:webHidden/>
              </w:rPr>
              <w:instrText xml:space="preserve"> PAGEREF _Toc431288773 \h </w:instrText>
            </w:r>
            <w:r w:rsidR="00387802">
              <w:rPr>
                <w:noProof/>
                <w:webHidden/>
              </w:rPr>
            </w:r>
            <w:r w:rsidR="00387802">
              <w:rPr>
                <w:noProof/>
                <w:webHidden/>
              </w:rPr>
              <w:fldChar w:fldCharType="separate"/>
            </w:r>
            <w:r w:rsidR="00387802">
              <w:rPr>
                <w:noProof/>
                <w:webHidden/>
              </w:rPr>
              <w:t>14</w:t>
            </w:r>
            <w:r w:rsidR="00387802">
              <w:rPr>
                <w:noProof/>
                <w:webHidden/>
              </w:rPr>
              <w:fldChar w:fldCharType="end"/>
            </w:r>
          </w:hyperlink>
        </w:p>
        <w:p w14:paraId="66B7CBCC" w14:textId="73109E8E" w:rsidR="00387802" w:rsidRDefault="00872E47">
          <w:pPr>
            <w:pStyle w:val="TOC3"/>
            <w:tabs>
              <w:tab w:val="left" w:pos="1320"/>
            </w:tabs>
            <w:rPr>
              <w:rFonts w:asciiTheme="minorHAnsi" w:eastAsiaTheme="minorEastAsia" w:hAnsiTheme="minorHAnsi"/>
              <w:noProof/>
              <w:spacing w:val="0"/>
              <w:sz w:val="22"/>
              <w:szCs w:val="22"/>
            </w:rPr>
          </w:pPr>
          <w:hyperlink w:anchor="_Toc431288774" w:history="1">
            <w:r w:rsidR="00387802" w:rsidRPr="00365A20">
              <w:rPr>
                <w:rStyle w:val="Hyperlink"/>
                <w:noProof/>
                <w14:scene3d>
                  <w14:camera w14:prst="orthographicFront"/>
                  <w14:lightRig w14:rig="threePt" w14:dir="t">
                    <w14:rot w14:lat="0" w14:lon="0" w14:rev="0"/>
                  </w14:lightRig>
                </w14:scene3d>
              </w:rPr>
              <w:t>3.1.1</w:t>
            </w:r>
            <w:r w:rsidR="00387802">
              <w:rPr>
                <w:rFonts w:asciiTheme="minorHAnsi" w:eastAsiaTheme="minorEastAsia" w:hAnsiTheme="minorHAnsi"/>
                <w:noProof/>
                <w:spacing w:val="0"/>
                <w:sz w:val="22"/>
                <w:szCs w:val="22"/>
              </w:rPr>
              <w:tab/>
            </w:r>
            <w:r w:rsidR="00387802" w:rsidRPr="00365A20">
              <w:rPr>
                <w:rStyle w:val="Hyperlink"/>
                <w:noProof/>
              </w:rPr>
              <w:t>Available Azure Services</w:t>
            </w:r>
            <w:r w:rsidR="00387802">
              <w:rPr>
                <w:noProof/>
                <w:webHidden/>
              </w:rPr>
              <w:tab/>
            </w:r>
            <w:r w:rsidR="00387802">
              <w:rPr>
                <w:noProof/>
                <w:webHidden/>
              </w:rPr>
              <w:fldChar w:fldCharType="begin"/>
            </w:r>
            <w:r w:rsidR="00387802">
              <w:rPr>
                <w:noProof/>
                <w:webHidden/>
              </w:rPr>
              <w:instrText xml:space="preserve"> PAGEREF _Toc431288774 \h </w:instrText>
            </w:r>
            <w:r w:rsidR="00387802">
              <w:rPr>
                <w:noProof/>
                <w:webHidden/>
              </w:rPr>
            </w:r>
            <w:r w:rsidR="00387802">
              <w:rPr>
                <w:noProof/>
                <w:webHidden/>
              </w:rPr>
              <w:fldChar w:fldCharType="separate"/>
            </w:r>
            <w:r w:rsidR="00387802">
              <w:rPr>
                <w:noProof/>
                <w:webHidden/>
              </w:rPr>
              <w:t>15</w:t>
            </w:r>
            <w:r w:rsidR="00387802">
              <w:rPr>
                <w:noProof/>
                <w:webHidden/>
              </w:rPr>
              <w:fldChar w:fldCharType="end"/>
            </w:r>
          </w:hyperlink>
        </w:p>
        <w:p w14:paraId="3412397C" w14:textId="31373631" w:rsidR="00387802" w:rsidRDefault="00872E47">
          <w:pPr>
            <w:pStyle w:val="TOC2"/>
            <w:tabs>
              <w:tab w:val="left" w:pos="880"/>
              <w:tab w:val="right" w:leader="dot" w:pos="9350"/>
            </w:tabs>
            <w:rPr>
              <w:rFonts w:asciiTheme="minorHAnsi" w:hAnsiTheme="minorHAnsi"/>
              <w:noProof/>
            </w:rPr>
          </w:pPr>
          <w:hyperlink w:anchor="_Toc431288775" w:history="1">
            <w:r w:rsidR="00387802" w:rsidRPr="00365A20">
              <w:rPr>
                <w:rStyle w:val="Hyperlink"/>
                <w:noProof/>
              </w:rPr>
              <w:t>3.2</w:t>
            </w:r>
            <w:r w:rsidR="00387802">
              <w:rPr>
                <w:rFonts w:asciiTheme="minorHAnsi" w:hAnsiTheme="minorHAnsi"/>
                <w:noProof/>
              </w:rPr>
              <w:tab/>
            </w:r>
            <w:r w:rsidR="00387802" w:rsidRPr="00365A20">
              <w:rPr>
                <w:rStyle w:val="Hyperlink"/>
                <w:noProof/>
              </w:rPr>
              <w:t>Cloud Computing Models</w:t>
            </w:r>
            <w:r w:rsidR="00387802">
              <w:rPr>
                <w:noProof/>
                <w:webHidden/>
              </w:rPr>
              <w:tab/>
            </w:r>
            <w:r w:rsidR="00387802">
              <w:rPr>
                <w:noProof/>
                <w:webHidden/>
              </w:rPr>
              <w:fldChar w:fldCharType="begin"/>
            </w:r>
            <w:r w:rsidR="00387802">
              <w:rPr>
                <w:noProof/>
                <w:webHidden/>
              </w:rPr>
              <w:instrText xml:space="preserve"> PAGEREF _Toc431288775 \h </w:instrText>
            </w:r>
            <w:r w:rsidR="00387802">
              <w:rPr>
                <w:noProof/>
                <w:webHidden/>
              </w:rPr>
            </w:r>
            <w:r w:rsidR="00387802">
              <w:rPr>
                <w:noProof/>
                <w:webHidden/>
              </w:rPr>
              <w:fldChar w:fldCharType="separate"/>
            </w:r>
            <w:r w:rsidR="00387802">
              <w:rPr>
                <w:noProof/>
                <w:webHidden/>
              </w:rPr>
              <w:t>16</w:t>
            </w:r>
            <w:r w:rsidR="00387802">
              <w:rPr>
                <w:noProof/>
                <w:webHidden/>
              </w:rPr>
              <w:fldChar w:fldCharType="end"/>
            </w:r>
          </w:hyperlink>
        </w:p>
        <w:p w14:paraId="3A3424DC" w14:textId="64668DCA" w:rsidR="00387802" w:rsidRDefault="00872E47">
          <w:pPr>
            <w:pStyle w:val="TOC3"/>
            <w:tabs>
              <w:tab w:val="left" w:pos="1320"/>
            </w:tabs>
            <w:rPr>
              <w:rFonts w:asciiTheme="minorHAnsi" w:eastAsiaTheme="minorEastAsia" w:hAnsiTheme="minorHAnsi"/>
              <w:noProof/>
              <w:spacing w:val="0"/>
              <w:sz w:val="22"/>
              <w:szCs w:val="22"/>
            </w:rPr>
          </w:pPr>
          <w:hyperlink w:anchor="_Toc431288776" w:history="1">
            <w:r w:rsidR="00387802" w:rsidRPr="00365A20">
              <w:rPr>
                <w:rStyle w:val="Hyperlink"/>
                <w:noProof/>
                <w14:scene3d>
                  <w14:camera w14:prst="orthographicFront"/>
                  <w14:lightRig w14:rig="threePt" w14:dir="t">
                    <w14:rot w14:lat="0" w14:lon="0" w14:rev="0"/>
                  </w14:lightRig>
                </w14:scene3d>
              </w:rPr>
              <w:t>3.2.1</w:t>
            </w:r>
            <w:r w:rsidR="00387802">
              <w:rPr>
                <w:rFonts w:asciiTheme="minorHAnsi" w:eastAsiaTheme="minorEastAsia" w:hAnsiTheme="minorHAnsi"/>
                <w:noProof/>
                <w:spacing w:val="0"/>
                <w:sz w:val="22"/>
                <w:szCs w:val="22"/>
              </w:rPr>
              <w:tab/>
            </w:r>
            <w:r w:rsidR="00387802" w:rsidRPr="00365A20">
              <w:rPr>
                <w:rStyle w:val="Hyperlink"/>
                <w:noProof/>
              </w:rPr>
              <w:t>Infrastructure as a Service (IaaS)</w:t>
            </w:r>
            <w:r w:rsidR="00387802">
              <w:rPr>
                <w:noProof/>
                <w:webHidden/>
              </w:rPr>
              <w:tab/>
            </w:r>
            <w:r w:rsidR="00387802">
              <w:rPr>
                <w:noProof/>
                <w:webHidden/>
              </w:rPr>
              <w:fldChar w:fldCharType="begin"/>
            </w:r>
            <w:r w:rsidR="00387802">
              <w:rPr>
                <w:noProof/>
                <w:webHidden/>
              </w:rPr>
              <w:instrText xml:space="preserve"> PAGEREF _Toc431288776 \h </w:instrText>
            </w:r>
            <w:r w:rsidR="00387802">
              <w:rPr>
                <w:noProof/>
                <w:webHidden/>
              </w:rPr>
            </w:r>
            <w:r w:rsidR="00387802">
              <w:rPr>
                <w:noProof/>
                <w:webHidden/>
              </w:rPr>
              <w:fldChar w:fldCharType="separate"/>
            </w:r>
            <w:r w:rsidR="00387802">
              <w:rPr>
                <w:noProof/>
                <w:webHidden/>
              </w:rPr>
              <w:t>16</w:t>
            </w:r>
            <w:r w:rsidR="00387802">
              <w:rPr>
                <w:noProof/>
                <w:webHidden/>
              </w:rPr>
              <w:fldChar w:fldCharType="end"/>
            </w:r>
          </w:hyperlink>
        </w:p>
        <w:p w14:paraId="7D76EB74" w14:textId="69AF58AB" w:rsidR="00387802" w:rsidRDefault="00872E47">
          <w:pPr>
            <w:pStyle w:val="TOC3"/>
            <w:tabs>
              <w:tab w:val="left" w:pos="1320"/>
            </w:tabs>
            <w:rPr>
              <w:rFonts w:asciiTheme="minorHAnsi" w:eastAsiaTheme="minorEastAsia" w:hAnsiTheme="minorHAnsi"/>
              <w:noProof/>
              <w:spacing w:val="0"/>
              <w:sz w:val="22"/>
              <w:szCs w:val="22"/>
            </w:rPr>
          </w:pPr>
          <w:hyperlink w:anchor="_Toc431288777" w:history="1">
            <w:r w:rsidR="00387802" w:rsidRPr="00365A20">
              <w:rPr>
                <w:rStyle w:val="Hyperlink"/>
                <w:noProof/>
                <w14:scene3d>
                  <w14:camera w14:prst="orthographicFront"/>
                  <w14:lightRig w14:rig="threePt" w14:dir="t">
                    <w14:rot w14:lat="0" w14:lon="0" w14:rev="0"/>
                  </w14:lightRig>
                </w14:scene3d>
              </w:rPr>
              <w:t>3.2.2</w:t>
            </w:r>
            <w:r w:rsidR="00387802">
              <w:rPr>
                <w:rFonts w:asciiTheme="minorHAnsi" w:eastAsiaTheme="minorEastAsia" w:hAnsiTheme="minorHAnsi"/>
                <w:noProof/>
                <w:spacing w:val="0"/>
                <w:sz w:val="22"/>
                <w:szCs w:val="22"/>
              </w:rPr>
              <w:tab/>
            </w:r>
            <w:r w:rsidR="00387802" w:rsidRPr="00365A20">
              <w:rPr>
                <w:rStyle w:val="Hyperlink"/>
                <w:noProof/>
              </w:rPr>
              <w:t>Platform as a Service (PaaS)</w:t>
            </w:r>
            <w:r w:rsidR="00387802">
              <w:rPr>
                <w:noProof/>
                <w:webHidden/>
              </w:rPr>
              <w:tab/>
            </w:r>
            <w:r w:rsidR="00387802">
              <w:rPr>
                <w:noProof/>
                <w:webHidden/>
              </w:rPr>
              <w:fldChar w:fldCharType="begin"/>
            </w:r>
            <w:r w:rsidR="00387802">
              <w:rPr>
                <w:noProof/>
                <w:webHidden/>
              </w:rPr>
              <w:instrText xml:space="preserve"> PAGEREF _Toc431288777 \h </w:instrText>
            </w:r>
            <w:r w:rsidR="00387802">
              <w:rPr>
                <w:noProof/>
                <w:webHidden/>
              </w:rPr>
            </w:r>
            <w:r w:rsidR="00387802">
              <w:rPr>
                <w:noProof/>
                <w:webHidden/>
              </w:rPr>
              <w:fldChar w:fldCharType="separate"/>
            </w:r>
            <w:r w:rsidR="00387802">
              <w:rPr>
                <w:noProof/>
                <w:webHidden/>
              </w:rPr>
              <w:t>17</w:t>
            </w:r>
            <w:r w:rsidR="00387802">
              <w:rPr>
                <w:noProof/>
                <w:webHidden/>
              </w:rPr>
              <w:fldChar w:fldCharType="end"/>
            </w:r>
          </w:hyperlink>
        </w:p>
        <w:p w14:paraId="5633B1AF" w14:textId="156E0340" w:rsidR="00387802" w:rsidRDefault="00872E47">
          <w:pPr>
            <w:pStyle w:val="TOC3"/>
            <w:tabs>
              <w:tab w:val="left" w:pos="1320"/>
            </w:tabs>
            <w:rPr>
              <w:rFonts w:asciiTheme="minorHAnsi" w:eastAsiaTheme="minorEastAsia" w:hAnsiTheme="minorHAnsi"/>
              <w:noProof/>
              <w:spacing w:val="0"/>
              <w:sz w:val="22"/>
              <w:szCs w:val="22"/>
            </w:rPr>
          </w:pPr>
          <w:hyperlink w:anchor="_Toc431288778" w:history="1">
            <w:r w:rsidR="00387802" w:rsidRPr="00365A20">
              <w:rPr>
                <w:rStyle w:val="Hyperlink"/>
                <w:noProof/>
                <w14:scene3d>
                  <w14:camera w14:prst="orthographicFront"/>
                  <w14:lightRig w14:rig="threePt" w14:dir="t">
                    <w14:rot w14:lat="0" w14:lon="0" w14:rev="0"/>
                  </w14:lightRig>
                </w14:scene3d>
              </w:rPr>
              <w:t>3.2.3</w:t>
            </w:r>
            <w:r w:rsidR="00387802">
              <w:rPr>
                <w:rFonts w:asciiTheme="minorHAnsi" w:eastAsiaTheme="minorEastAsia" w:hAnsiTheme="minorHAnsi"/>
                <w:noProof/>
                <w:spacing w:val="0"/>
                <w:sz w:val="22"/>
                <w:szCs w:val="22"/>
              </w:rPr>
              <w:tab/>
            </w:r>
            <w:r w:rsidR="00387802" w:rsidRPr="00365A20">
              <w:rPr>
                <w:rStyle w:val="Hyperlink"/>
                <w:noProof/>
              </w:rPr>
              <w:t>Software as a Service (SaaS)</w:t>
            </w:r>
            <w:r w:rsidR="00387802">
              <w:rPr>
                <w:noProof/>
                <w:webHidden/>
              </w:rPr>
              <w:tab/>
            </w:r>
            <w:r w:rsidR="00387802">
              <w:rPr>
                <w:noProof/>
                <w:webHidden/>
              </w:rPr>
              <w:fldChar w:fldCharType="begin"/>
            </w:r>
            <w:r w:rsidR="00387802">
              <w:rPr>
                <w:noProof/>
                <w:webHidden/>
              </w:rPr>
              <w:instrText xml:space="preserve"> PAGEREF _Toc431288778 \h </w:instrText>
            </w:r>
            <w:r w:rsidR="00387802">
              <w:rPr>
                <w:noProof/>
                <w:webHidden/>
              </w:rPr>
            </w:r>
            <w:r w:rsidR="00387802">
              <w:rPr>
                <w:noProof/>
                <w:webHidden/>
              </w:rPr>
              <w:fldChar w:fldCharType="separate"/>
            </w:r>
            <w:r w:rsidR="00387802">
              <w:rPr>
                <w:noProof/>
                <w:webHidden/>
              </w:rPr>
              <w:t>17</w:t>
            </w:r>
            <w:r w:rsidR="00387802">
              <w:rPr>
                <w:noProof/>
                <w:webHidden/>
              </w:rPr>
              <w:fldChar w:fldCharType="end"/>
            </w:r>
          </w:hyperlink>
        </w:p>
        <w:p w14:paraId="183459D3" w14:textId="2E49325A" w:rsidR="00387802" w:rsidRDefault="00872E47">
          <w:pPr>
            <w:pStyle w:val="TOC3"/>
            <w:tabs>
              <w:tab w:val="left" w:pos="1320"/>
            </w:tabs>
            <w:rPr>
              <w:rFonts w:asciiTheme="minorHAnsi" w:eastAsiaTheme="minorEastAsia" w:hAnsiTheme="minorHAnsi"/>
              <w:noProof/>
              <w:spacing w:val="0"/>
              <w:sz w:val="22"/>
              <w:szCs w:val="22"/>
            </w:rPr>
          </w:pPr>
          <w:hyperlink w:anchor="_Toc431288779" w:history="1">
            <w:r w:rsidR="00387802" w:rsidRPr="00365A20">
              <w:rPr>
                <w:rStyle w:val="Hyperlink"/>
                <w:noProof/>
                <w14:scene3d>
                  <w14:camera w14:prst="orthographicFront"/>
                  <w14:lightRig w14:rig="threePt" w14:dir="t">
                    <w14:rot w14:lat="0" w14:lon="0" w14:rev="0"/>
                  </w14:lightRig>
                </w14:scene3d>
              </w:rPr>
              <w:t>3.2.4</w:t>
            </w:r>
            <w:r w:rsidR="00387802">
              <w:rPr>
                <w:rFonts w:asciiTheme="minorHAnsi" w:eastAsiaTheme="minorEastAsia" w:hAnsiTheme="minorHAnsi"/>
                <w:noProof/>
                <w:spacing w:val="0"/>
                <w:sz w:val="22"/>
                <w:szCs w:val="22"/>
              </w:rPr>
              <w:tab/>
            </w:r>
            <w:r w:rsidR="00387802" w:rsidRPr="00365A20">
              <w:rPr>
                <w:rStyle w:val="Hyperlink"/>
                <w:noProof/>
              </w:rPr>
              <w:t>Hybrid</w:t>
            </w:r>
            <w:r w:rsidR="00387802">
              <w:rPr>
                <w:noProof/>
                <w:webHidden/>
              </w:rPr>
              <w:tab/>
            </w:r>
            <w:r w:rsidR="00387802">
              <w:rPr>
                <w:noProof/>
                <w:webHidden/>
              </w:rPr>
              <w:fldChar w:fldCharType="begin"/>
            </w:r>
            <w:r w:rsidR="00387802">
              <w:rPr>
                <w:noProof/>
                <w:webHidden/>
              </w:rPr>
              <w:instrText xml:space="preserve"> PAGEREF _Toc431288779 \h </w:instrText>
            </w:r>
            <w:r w:rsidR="00387802">
              <w:rPr>
                <w:noProof/>
                <w:webHidden/>
              </w:rPr>
            </w:r>
            <w:r w:rsidR="00387802">
              <w:rPr>
                <w:noProof/>
                <w:webHidden/>
              </w:rPr>
              <w:fldChar w:fldCharType="separate"/>
            </w:r>
            <w:r w:rsidR="00387802">
              <w:rPr>
                <w:noProof/>
                <w:webHidden/>
              </w:rPr>
              <w:t>18</w:t>
            </w:r>
            <w:r w:rsidR="00387802">
              <w:rPr>
                <w:noProof/>
                <w:webHidden/>
              </w:rPr>
              <w:fldChar w:fldCharType="end"/>
            </w:r>
          </w:hyperlink>
        </w:p>
        <w:p w14:paraId="2B669F90" w14:textId="5CDFC6BE" w:rsidR="00387802" w:rsidRDefault="00872E47">
          <w:pPr>
            <w:pStyle w:val="TOC2"/>
            <w:tabs>
              <w:tab w:val="left" w:pos="880"/>
              <w:tab w:val="right" w:leader="dot" w:pos="9350"/>
            </w:tabs>
            <w:rPr>
              <w:rFonts w:asciiTheme="minorHAnsi" w:hAnsiTheme="minorHAnsi"/>
              <w:noProof/>
            </w:rPr>
          </w:pPr>
          <w:hyperlink w:anchor="_Toc431288780" w:history="1">
            <w:r w:rsidR="00387802" w:rsidRPr="00365A20">
              <w:rPr>
                <w:rStyle w:val="Hyperlink"/>
                <w:noProof/>
              </w:rPr>
              <w:t>3.3</w:t>
            </w:r>
            <w:r w:rsidR="00387802">
              <w:rPr>
                <w:rFonts w:asciiTheme="minorHAnsi" w:hAnsiTheme="minorHAnsi"/>
                <w:noProof/>
              </w:rPr>
              <w:tab/>
            </w:r>
            <w:r w:rsidR="00387802" w:rsidRPr="00365A20">
              <w:rPr>
                <w:rStyle w:val="Hyperlink"/>
                <w:noProof/>
              </w:rPr>
              <w:t>Azure Datacenter Model</w:t>
            </w:r>
            <w:r w:rsidR="00387802">
              <w:rPr>
                <w:noProof/>
                <w:webHidden/>
              </w:rPr>
              <w:tab/>
            </w:r>
            <w:r w:rsidR="00387802">
              <w:rPr>
                <w:noProof/>
                <w:webHidden/>
              </w:rPr>
              <w:fldChar w:fldCharType="begin"/>
            </w:r>
            <w:r w:rsidR="00387802">
              <w:rPr>
                <w:noProof/>
                <w:webHidden/>
              </w:rPr>
              <w:instrText xml:space="preserve"> PAGEREF _Toc431288780 \h </w:instrText>
            </w:r>
            <w:r w:rsidR="00387802">
              <w:rPr>
                <w:noProof/>
                <w:webHidden/>
              </w:rPr>
            </w:r>
            <w:r w:rsidR="00387802">
              <w:rPr>
                <w:noProof/>
                <w:webHidden/>
              </w:rPr>
              <w:fldChar w:fldCharType="separate"/>
            </w:r>
            <w:r w:rsidR="00387802">
              <w:rPr>
                <w:noProof/>
                <w:webHidden/>
              </w:rPr>
              <w:t>19</w:t>
            </w:r>
            <w:r w:rsidR="00387802">
              <w:rPr>
                <w:noProof/>
                <w:webHidden/>
              </w:rPr>
              <w:fldChar w:fldCharType="end"/>
            </w:r>
          </w:hyperlink>
        </w:p>
        <w:p w14:paraId="1B041BBA" w14:textId="13E1C86D" w:rsidR="00387802" w:rsidRDefault="00872E47">
          <w:pPr>
            <w:pStyle w:val="TOC3"/>
            <w:tabs>
              <w:tab w:val="left" w:pos="1320"/>
            </w:tabs>
            <w:rPr>
              <w:rFonts w:asciiTheme="minorHAnsi" w:eastAsiaTheme="minorEastAsia" w:hAnsiTheme="minorHAnsi"/>
              <w:noProof/>
              <w:spacing w:val="0"/>
              <w:sz w:val="22"/>
              <w:szCs w:val="22"/>
            </w:rPr>
          </w:pPr>
          <w:hyperlink w:anchor="_Toc431288781" w:history="1">
            <w:r w:rsidR="00387802" w:rsidRPr="00365A20">
              <w:rPr>
                <w:rStyle w:val="Hyperlink"/>
                <w:noProof/>
                <w14:scene3d>
                  <w14:camera w14:prst="orthographicFront"/>
                  <w14:lightRig w14:rig="threePt" w14:dir="t">
                    <w14:rot w14:lat="0" w14:lon="0" w14:rev="0"/>
                  </w14:lightRig>
                </w14:scene3d>
              </w:rPr>
              <w:t>3.3.1</w:t>
            </w:r>
            <w:r w:rsidR="00387802">
              <w:rPr>
                <w:rFonts w:asciiTheme="minorHAnsi" w:eastAsiaTheme="minorEastAsia" w:hAnsiTheme="minorHAnsi"/>
                <w:noProof/>
                <w:spacing w:val="0"/>
                <w:sz w:val="22"/>
                <w:szCs w:val="22"/>
              </w:rPr>
              <w:tab/>
            </w:r>
            <w:r w:rsidR="00387802" w:rsidRPr="00365A20">
              <w:rPr>
                <w:rStyle w:val="Hyperlink"/>
                <w:noProof/>
              </w:rPr>
              <w:t>Global Datacenter Presence</w:t>
            </w:r>
            <w:r w:rsidR="00387802">
              <w:rPr>
                <w:noProof/>
                <w:webHidden/>
              </w:rPr>
              <w:tab/>
            </w:r>
            <w:r w:rsidR="00387802">
              <w:rPr>
                <w:noProof/>
                <w:webHidden/>
              </w:rPr>
              <w:fldChar w:fldCharType="begin"/>
            </w:r>
            <w:r w:rsidR="00387802">
              <w:rPr>
                <w:noProof/>
                <w:webHidden/>
              </w:rPr>
              <w:instrText xml:space="preserve"> PAGEREF _Toc431288781 \h </w:instrText>
            </w:r>
            <w:r w:rsidR="00387802">
              <w:rPr>
                <w:noProof/>
                <w:webHidden/>
              </w:rPr>
            </w:r>
            <w:r w:rsidR="00387802">
              <w:rPr>
                <w:noProof/>
                <w:webHidden/>
              </w:rPr>
              <w:fldChar w:fldCharType="separate"/>
            </w:r>
            <w:r w:rsidR="00387802">
              <w:rPr>
                <w:noProof/>
                <w:webHidden/>
              </w:rPr>
              <w:t>19</w:t>
            </w:r>
            <w:r w:rsidR="00387802">
              <w:rPr>
                <w:noProof/>
                <w:webHidden/>
              </w:rPr>
              <w:fldChar w:fldCharType="end"/>
            </w:r>
          </w:hyperlink>
        </w:p>
        <w:p w14:paraId="07A85BD5" w14:textId="65920ECC" w:rsidR="00387802" w:rsidRDefault="00872E47">
          <w:pPr>
            <w:pStyle w:val="TOC3"/>
            <w:tabs>
              <w:tab w:val="left" w:pos="1320"/>
            </w:tabs>
            <w:rPr>
              <w:rFonts w:asciiTheme="minorHAnsi" w:eastAsiaTheme="minorEastAsia" w:hAnsiTheme="minorHAnsi"/>
              <w:noProof/>
              <w:spacing w:val="0"/>
              <w:sz w:val="22"/>
              <w:szCs w:val="22"/>
            </w:rPr>
          </w:pPr>
          <w:hyperlink w:anchor="_Toc431288782" w:history="1">
            <w:r w:rsidR="00387802" w:rsidRPr="00365A20">
              <w:rPr>
                <w:rStyle w:val="Hyperlink"/>
                <w:noProof/>
                <w14:scene3d>
                  <w14:camera w14:prst="orthographicFront"/>
                  <w14:lightRig w14:rig="threePt" w14:dir="t">
                    <w14:rot w14:lat="0" w14:lon="0" w14:rev="0"/>
                  </w14:lightRig>
                </w14:scene3d>
              </w:rPr>
              <w:t>3.3.2</w:t>
            </w:r>
            <w:r w:rsidR="00387802">
              <w:rPr>
                <w:rFonts w:asciiTheme="minorHAnsi" w:eastAsiaTheme="minorEastAsia" w:hAnsiTheme="minorHAnsi"/>
                <w:noProof/>
                <w:spacing w:val="0"/>
                <w:sz w:val="22"/>
                <w:szCs w:val="22"/>
              </w:rPr>
              <w:tab/>
            </w:r>
            <w:r w:rsidR="00387802" w:rsidRPr="00365A20">
              <w:rPr>
                <w:rStyle w:val="Hyperlink"/>
                <w:noProof/>
              </w:rPr>
              <w:t>Azure Regions</w:t>
            </w:r>
            <w:r w:rsidR="00387802">
              <w:rPr>
                <w:noProof/>
                <w:webHidden/>
              </w:rPr>
              <w:tab/>
            </w:r>
            <w:r w:rsidR="00387802">
              <w:rPr>
                <w:noProof/>
                <w:webHidden/>
              </w:rPr>
              <w:fldChar w:fldCharType="begin"/>
            </w:r>
            <w:r w:rsidR="00387802">
              <w:rPr>
                <w:noProof/>
                <w:webHidden/>
              </w:rPr>
              <w:instrText xml:space="preserve"> PAGEREF _Toc431288782 \h </w:instrText>
            </w:r>
            <w:r w:rsidR="00387802">
              <w:rPr>
                <w:noProof/>
                <w:webHidden/>
              </w:rPr>
            </w:r>
            <w:r w:rsidR="00387802">
              <w:rPr>
                <w:noProof/>
                <w:webHidden/>
              </w:rPr>
              <w:fldChar w:fldCharType="separate"/>
            </w:r>
            <w:r w:rsidR="00387802">
              <w:rPr>
                <w:noProof/>
                <w:webHidden/>
              </w:rPr>
              <w:t>19</w:t>
            </w:r>
            <w:r w:rsidR="00387802">
              <w:rPr>
                <w:noProof/>
                <w:webHidden/>
              </w:rPr>
              <w:fldChar w:fldCharType="end"/>
            </w:r>
          </w:hyperlink>
        </w:p>
        <w:p w14:paraId="60D7A2C3" w14:textId="36AAAEFE" w:rsidR="00387802" w:rsidRDefault="00872E47">
          <w:pPr>
            <w:pStyle w:val="TOC3"/>
            <w:tabs>
              <w:tab w:val="left" w:pos="1320"/>
            </w:tabs>
            <w:rPr>
              <w:rFonts w:asciiTheme="minorHAnsi" w:eastAsiaTheme="minorEastAsia" w:hAnsiTheme="minorHAnsi"/>
              <w:noProof/>
              <w:spacing w:val="0"/>
              <w:sz w:val="22"/>
              <w:szCs w:val="22"/>
            </w:rPr>
          </w:pPr>
          <w:hyperlink w:anchor="_Toc431288783" w:history="1">
            <w:r w:rsidR="00387802" w:rsidRPr="00365A20">
              <w:rPr>
                <w:rStyle w:val="Hyperlink"/>
                <w:noProof/>
                <w14:scene3d>
                  <w14:camera w14:prst="orthographicFront"/>
                  <w14:lightRig w14:rig="threePt" w14:dir="t">
                    <w14:rot w14:lat="0" w14:lon="0" w14:rev="0"/>
                  </w14:lightRig>
                </w14:scene3d>
              </w:rPr>
              <w:t>3.3.3</w:t>
            </w:r>
            <w:r w:rsidR="00387802">
              <w:rPr>
                <w:rFonts w:asciiTheme="minorHAnsi" w:eastAsiaTheme="minorEastAsia" w:hAnsiTheme="minorHAnsi"/>
                <w:noProof/>
                <w:spacing w:val="0"/>
                <w:sz w:val="22"/>
                <w:szCs w:val="22"/>
              </w:rPr>
              <w:tab/>
            </w:r>
            <w:r w:rsidR="00387802" w:rsidRPr="00365A20">
              <w:rPr>
                <w:rStyle w:val="Hyperlink"/>
                <w:noProof/>
              </w:rPr>
              <w:t>Using Regions and Affinity Groups</w:t>
            </w:r>
            <w:r w:rsidR="00387802">
              <w:rPr>
                <w:noProof/>
                <w:webHidden/>
              </w:rPr>
              <w:tab/>
            </w:r>
            <w:r w:rsidR="00387802">
              <w:rPr>
                <w:noProof/>
                <w:webHidden/>
              </w:rPr>
              <w:fldChar w:fldCharType="begin"/>
            </w:r>
            <w:r w:rsidR="00387802">
              <w:rPr>
                <w:noProof/>
                <w:webHidden/>
              </w:rPr>
              <w:instrText xml:space="preserve"> PAGEREF _Toc431288783 \h </w:instrText>
            </w:r>
            <w:r w:rsidR="00387802">
              <w:rPr>
                <w:noProof/>
                <w:webHidden/>
              </w:rPr>
            </w:r>
            <w:r w:rsidR="00387802">
              <w:rPr>
                <w:noProof/>
                <w:webHidden/>
              </w:rPr>
              <w:fldChar w:fldCharType="separate"/>
            </w:r>
            <w:r w:rsidR="00387802">
              <w:rPr>
                <w:noProof/>
                <w:webHidden/>
              </w:rPr>
              <w:t>23</w:t>
            </w:r>
            <w:r w:rsidR="00387802">
              <w:rPr>
                <w:noProof/>
                <w:webHidden/>
              </w:rPr>
              <w:fldChar w:fldCharType="end"/>
            </w:r>
          </w:hyperlink>
        </w:p>
        <w:p w14:paraId="4B8C0F5F" w14:textId="6D293447" w:rsidR="00387802" w:rsidRDefault="00872E47">
          <w:pPr>
            <w:pStyle w:val="TOC3"/>
            <w:tabs>
              <w:tab w:val="left" w:pos="1320"/>
            </w:tabs>
            <w:rPr>
              <w:rFonts w:asciiTheme="minorHAnsi" w:eastAsiaTheme="minorEastAsia" w:hAnsiTheme="minorHAnsi"/>
              <w:noProof/>
              <w:spacing w:val="0"/>
              <w:sz w:val="22"/>
              <w:szCs w:val="22"/>
            </w:rPr>
          </w:pPr>
          <w:hyperlink w:anchor="_Toc431288784" w:history="1">
            <w:r w:rsidR="00387802" w:rsidRPr="00365A20">
              <w:rPr>
                <w:rStyle w:val="Hyperlink"/>
                <w:noProof/>
                <w14:scene3d>
                  <w14:camera w14:prst="orthographicFront"/>
                  <w14:lightRig w14:rig="threePt" w14:dir="t">
                    <w14:rot w14:lat="0" w14:lon="0" w14:rev="0"/>
                  </w14:lightRig>
                </w14:scene3d>
              </w:rPr>
              <w:t>3.3.4</w:t>
            </w:r>
            <w:r w:rsidR="00387802">
              <w:rPr>
                <w:rFonts w:asciiTheme="minorHAnsi" w:eastAsiaTheme="minorEastAsia" w:hAnsiTheme="minorHAnsi"/>
                <w:noProof/>
                <w:spacing w:val="0"/>
                <w:sz w:val="22"/>
                <w:szCs w:val="22"/>
              </w:rPr>
              <w:tab/>
            </w:r>
            <w:r w:rsidR="00387802" w:rsidRPr="00365A20">
              <w:rPr>
                <w:rStyle w:val="Hyperlink"/>
                <w:noProof/>
              </w:rPr>
              <w:t>Datacenter Architecture</w:t>
            </w:r>
            <w:r w:rsidR="00387802">
              <w:rPr>
                <w:noProof/>
                <w:webHidden/>
              </w:rPr>
              <w:tab/>
            </w:r>
            <w:r w:rsidR="00387802">
              <w:rPr>
                <w:noProof/>
                <w:webHidden/>
              </w:rPr>
              <w:fldChar w:fldCharType="begin"/>
            </w:r>
            <w:r w:rsidR="00387802">
              <w:rPr>
                <w:noProof/>
                <w:webHidden/>
              </w:rPr>
              <w:instrText xml:space="preserve"> PAGEREF _Toc431288784 \h </w:instrText>
            </w:r>
            <w:r w:rsidR="00387802">
              <w:rPr>
                <w:noProof/>
                <w:webHidden/>
              </w:rPr>
            </w:r>
            <w:r w:rsidR="00387802">
              <w:rPr>
                <w:noProof/>
                <w:webHidden/>
              </w:rPr>
              <w:fldChar w:fldCharType="separate"/>
            </w:r>
            <w:r w:rsidR="00387802">
              <w:rPr>
                <w:noProof/>
                <w:webHidden/>
              </w:rPr>
              <w:t>25</w:t>
            </w:r>
            <w:r w:rsidR="00387802">
              <w:rPr>
                <w:noProof/>
                <w:webHidden/>
              </w:rPr>
              <w:fldChar w:fldCharType="end"/>
            </w:r>
          </w:hyperlink>
        </w:p>
        <w:p w14:paraId="57368501" w14:textId="58C69A57" w:rsidR="00387802" w:rsidRDefault="00872E47">
          <w:pPr>
            <w:pStyle w:val="TOC3"/>
            <w:tabs>
              <w:tab w:val="left" w:pos="1320"/>
            </w:tabs>
            <w:rPr>
              <w:rFonts w:asciiTheme="minorHAnsi" w:eastAsiaTheme="minorEastAsia" w:hAnsiTheme="minorHAnsi"/>
              <w:noProof/>
              <w:spacing w:val="0"/>
              <w:sz w:val="22"/>
              <w:szCs w:val="22"/>
            </w:rPr>
          </w:pPr>
          <w:hyperlink w:anchor="_Toc431288785" w:history="1">
            <w:r w:rsidR="00387802" w:rsidRPr="00365A20">
              <w:rPr>
                <w:rStyle w:val="Hyperlink"/>
                <w:noProof/>
                <w14:scene3d>
                  <w14:camera w14:prst="orthographicFront"/>
                  <w14:lightRig w14:rig="threePt" w14:dir="t">
                    <w14:rot w14:lat="0" w14:lon="0" w14:rev="0"/>
                  </w14:lightRig>
                </w14:scene3d>
              </w:rPr>
              <w:t>3.3.5</w:t>
            </w:r>
            <w:r w:rsidR="00387802">
              <w:rPr>
                <w:rFonts w:asciiTheme="minorHAnsi" w:eastAsiaTheme="minorEastAsia" w:hAnsiTheme="minorHAnsi"/>
                <w:noProof/>
                <w:spacing w:val="0"/>
                <w:sz w:val="22"/>
                <w:szCs w:val="22"/>
              </w:rPr>
              <w:tab/>
            </w:r>
            <w:r w:rsidR="00387802" w:rsidRPr="00365A20">
              <w:rPr>
                <w:rStyle w:val="Hyperlink"/>
                <w:noProof/>
              </w:rPr>
              <w:t>Server Optimization</w:t>
            </w:r>
            <w:r w:rsidR="00387802">
              <w:rPr>
                <w:noProof/>
                <w:webHidden/>
              </w:rPr>
              <w:tab/>
            </w:r>
            <w:r w:rsidR="00387802">
              <w:rPr>
                <w:noProof/>
                <w:webHidden/>
              </w:rPr>
              <w:fldChar w:fldCharType="begin"/>
            </w:r>
            <w:r w:rsidR="00387802">
              <w:rPr>
                <w:noProof/>
                <w:webHidden/>
              </w:rPr>
              <w:instrText xml:space="preserve"> PAGEREF _Toc431288785 \h </w:instrText>
            </w:r>
            <w:r w:rsidR="00387802">
              <w:rPr>
                <w:noProof/>
                <w:webHidden/>
              </w:rPr>
            </w:r>
            <w:r w:rsidR="00387802">
              <w:rPr>
                <w:noProof/>
                <w:webHidden/>
              </w:rPr>
              <w:fldChar w:fldCharType="separate"/>
            </w:r>
            <w:r w:rsidR="00387802">
              <w:rPr>
                <w:noProof/>
                <w:webHidden/>
              </w:rPr>
              <w:t>26</w:t>
            </w:r>
            <w:r w:rsidR="00387802">
              <w:rPr>
                <w:noProof/>
                <w:webHidden/>
              </w:rPr>
              <w:fldChar w:fldCharType="end"/>
            </w:r>
          </w:hyperlink>
        </w:p>
        <w:p w14:paraId="61995ADE" w14:textId="375263CA" w:rsidR="00387802" w:rsidRDefault="00872E47">
          <w:pPr>
            <w:pStyle w:val="TOC2"/>
            <w:tabs>
              <w:tab w:val="left" w:pos="880"/>
              <w:tab w:val="right" w:leader="dot" w:pos="9350"/>
            </w:tabs>
            <w:rPr>
              <w:rFonts w:asciiTheme="minorHAnsi" w:hAnsiTheme="minorHAnsi"/>
              <w:noProof/>
            </w:rPr>
          </w:pPr>
          <w:hyperlink w:anchor="_Toc431288786" w:history="1">
            <w:r w:rsidR="00387802" w:rsidRPr="00365A20">
              <w:rPr>
                <w:rStyle w:val="Hyperlink"/>
                <w:noProof/>
              </w:rPr>
              <w:t>3.4</w:t>
            </w:r>
            <w:r w:rsidR="00387802">
              <w:rPr>
                <w:rFonts w:asciiTheme="minorHAnsi" w:hAnsiTheme="minorHAnsi"/>
                <w:noProof/>
              </w:rPr>
              <w:tab/>
            </w:r>
            <w:r w:rsidR="00387802" w:rsidRPr="00365A20">
              <w:rPr>
                <w:rStyle w:val="Hyperlink"/>
                <w:noProof/>
              </w:rPr>
              <w:t>Microsoft Azure Enterprise Operations</w:t>
            </w:r>
            <w:r w:rsidR="00387802">
              <w:rPr>
                <w:noProof/>
                <w:webHidden/>
              </w:rPr>
              <w:tab/>
            </w:r>
            <w:r w:rsidR="00387802">
              <w:rPr>
                <w:noProof/>
                <w:webHidden/>
              </w:rPr>
              <w:fldChar w:fldCharType="begin"/>
            </w:r>
            <w:r w:rsidR="00387802">
              <w:rPr>
                <w:noProof/>
                <w:webHidden/>
              </w:rPr>
              <w:instrText xml:space="preserve"> PAGEREF _Toc431288786 \h </w:instrText>
            </w:r>
            <w:r w:rsidR="00387802">
              <w:rPr>
                <w:noProof/>
                <w:webHidden/>
              </w:rPr>
            </w:r>
            <w:r w:rsidR="00387802">
              <w:rPr>
                <w:noProof/>
                <w:webHidden/>
              </w:rPr>
              <w:fldChar w:fldCharType="separate"/>
            </w:r>
            <w:r w:rsidR="00387802">
              <w:rPr>
                <w:noProof/>
                <w:webHidden/>
              </w:rPr>
              <w:t>28</w:t>
            </w:r>
            <w:r w:rsidR="00387802">
              <w:rPr>
                <w:noProof/>
                <w:webHidden/>
              </w:rPr>
              <w:fldChar w:fldCharType="end"/>
            </w:r>
          </w:hyperlink>
        </w:p>
        <w:p w14:paraId="533FD8E1" w14:textId="08B4BFE6" w:rsidR="00387802" w:rsidRDefault="00872E47">
          <w:pPr>
            <w:pStyle w:val="TOC3"/>
            <w:tabs>
              <w:tab w:val="left" w:pos="1320"/>
            </w:tabs>
            <w:rPr>
              <w:rFonts w:asciiTheme="minorHAnsi" w:eastAsiaTheme="minorEastAsia" w:hAnsiTheme="minorHAnsi"/>
              <w:noProof/>
              <w:spacing w:val="0"/>
              <w:sz w:val="22"/>
              <w:szCs w:val="22"/>
            </w:rPr>
          </w:pPr>
          <w:hyperlink w:anchor="_Toc431288787" w:history="1">
            <w:r w:rsidR="00387802" w:rsidRPr="00365A20">
              <w:rPr>
                <w:rStyle w:val="Hyperlink"/>
                <w:noProof/>
                <w14:scene3d>
                  <w14:camera w14:prst="orthographicFront"/>
                  <w14:lightRig w14:rig="threePt" w14:dir="t">
                    <w14:rot w14:lat="0" w14:lon="0" w14:rev="0"/>
                  </w14:lightRig>
                </w14:scene3d>
              </w:rPr>
              <w:t>3.4.1</w:t>
            </w:r>
            <w:r w:rsidR="00387802">
              <w:rPr>
                <w:rFonts w:asciiTheme="minorHAnsi" w:eastAsiaTheme="minorEastAsia" w:hAnsiTheme="minorHAnsi"/>
                <w:noProof/>
                <w:spacing w:val="0"/>
                <w:sz w:val="22"/>
                <w:szCs w:val="22"/>
              </w:rPr>
              <w:tab/>
            </w:r>
            <w:r w:rsidR="00387802" w:rsidRPr="00365A20">
              <w:rPr>
                <w:rStyle w:val="Hyperlink"/>
                <w:noProof/>
              </w:rPr>
              <w:t>Enterprise Roles and Portals</w:t>
            </w:r>
            <w:r w:rsidR="00387802">
              <w:rPr>
                <w:noProof/>
                <w:webHidden/>
              </w:rPr>
              <w:tab/>
            </w:r>
            <w:r w:rsidR="00387802">
              <w:rPr>
                <w:noProof/>
                <w:webHidden/>
              </w:rPr>
              <w:fldChar w:fldCharType="begin"/>
            </w:r>
            <w:r w:rsidR="00387802">
              <w:rPr>
                <w:noProof/>
                <w:webHidden/>
              </w:rPr>
              <w:instrText xml:space="preserve"> PAGEREF _Toc431288787 \h </w:instrText>
            </w:r>
            <w:r w:rsidR="00387802">
              <w:rPr>
                <w:noProof/>
                <w:webHidden/>
              </w:rPr>
            </w:r>
            <w:r w:rsidR="00387802">
              <w:rPr>
                <w:noProof/>
                <w:webHidden/>
              </w:rPr>
              <w:fldChar w:fldCharType="separate"/>
            </w:r>
            <w:r w:rsidR="00387802">
              <w:rPr>
                <w:noProof/>
                <w:webHidden/>
              </w:rPr>
              <w:t>29</w:t>
            </w:r>
            <w:r w:rsidR="00387802">
              <w:rPr>
                <w:noProof/>
                <w:webHidden/>
              </w:rPr>
              <w:fldChar w:fldCharType="end"/>
            </w:r>
          </w:hyperlink>
        </w:p>
        <w:p w14:paraId="53700E99" w14:textId="42E49F61" w:rsidR="00387802" w:rsidRDefault="00872E47">
          <w:pPr>
            <w:pStyle w:val="TOC3"/>
            <w:tabs>
              <w:tab w:val="left" w:pos="1320"/>
            </w:tabs>
            <w:rPr>
              <w:rFonts w:asciiTheme="minorHAnsi" w:eastAsiaTheme="minorEastAsia" w:hAnsiTheme="minorHAnsi"/>
              <w:noProof/>
              <w:spacing w:val="0"/>
              <w:sz w:val="22"/>
              <w:szCs w:val="22"/>
            </w:rPr>
          </w:pPr>
          <w:hyperlink w:anchor="_Toc431288788" w:history="1">
            <w:r w:rsidR="00387802" w:rsidRPr="00365A20">
              <w:rPr>
                <w:rStyle w:val="Hyperlink"/>
                <w:noProof/>
                <w14:scene3d>
                  <w14:camera w14:prst="orthographicFront"/>
                  <w14:lightRig w14:rig="threePt" w14:dir="t">
                    <w14:rot w14:lat="0" w14:lon="0" w14:rev="0"/>
                  </w14:lightRig>
                </w14:scene3d>
              </w:rPr>
              <w:t>3.4.2</w:t>
            </w:r>
            <w:r w:rsidR="00387802">
              <w:rPr>
                <w:rFonts w:asciiTheme="minorHAnsi" w:eastAsiaTheme="minorEastAsia" w:hAnsiTheme="minorHAnsi"/>
                <w:noProof/>
                <w:spacing w:val="0"/>
                <w:sz w:val="22"/>
                <w:szCs w:val="22"/>
              </w:rPr>
              <w:tab/>
            </w:r>
            <w:r w:rsidR="00387802" w:rsidRPr="00365A20">
              <w:rPr>
                <w:rStyle w:val="Hyperlink"/>
                <w:noProof/>
              </w:rPr>
              <w:t>Additional Role Considerations</w:t>
            </w:r>
            <w:r w:rsidR="00387802">
              <w:rPr>
                <w:noProof/>
                <w:webHidden/>
              </w:rPr>
              <w:tab/>
            </w:r>
            <w:r w:rsidR="00387802">
              <w:rPr>
                <w:noProof/>
                <w:webHidden/>
              </w:rPr>
              <w:fldChar w:fldCharType="begin"/>
            </w:r>
            <w:r w:rsidR="00387802">
              <w:rPr>
                <w:noProof/>
                <w:webHidden/>
              </w:rPr>
              <w:instrText xml:space="preserve"> PAGEREF _Toc431288788 \h </w:instrText>
            </w:r>
            <w:r w:rsidR="00387802">
              <w:rPr>
                <w:noProof/>
                <w:webHidden/>
              </w:rPr>
            </w:r>
            <w:r w:rsidR="00387802">
              <w:rPr>
                <w:noProof/>
                <w:webHidden/>
              </w:rPr>
              <w:fldChar w:fldCharType="separate"/>
            </w:r>
            <w:r w:rsidR="00387802">
              <w:rPr>
                <w:noProof/>
                <w:webHidden/>
              </w:rPr>
              <w:t>35</w:t>
            </w:r>
            <w:r w:rsidR="00387802">
              <w:rPr>
                <w:noProof/>
                <w:webHidden/>
              </w:rPr>
              <w:fldChar w:fldCharType="end"/>
            </w:r>
          </w:hyperlink>
        </w:p>
        <w:p w14:paraId="0CECDBC7" w14:textId="47C02B3D" w:rsidR="00387802" w:rsidRDefault="00872E47">
          <w:pPr>
            <w:pStyle w:val="TOC2"/>
            <w:tabs>
              <w:tab w:val="left" w:pos="880"/>
              <w:tab w:val="right" w:leader="dot" w:pos="9350"/>
            </w:tabs>
            <w:rPr>
              <w:rFonts w:asciiTheme="minorHAnsi" w:hAnsiTheme="minorHAnsi"/>
              <w:noProof/>
            </w:rPr>
          </w:pPr>
          <w:hyperlink w:anchor="_Toc431288789" w:history="1">
            <w:r w:rsidR="00387802" w:rsidRPr="00365A20">
              <w:rPr>
                <w:rStyle w:val="Hyperlink"/>
                <w:noProof/>
              </w:rPr>
              <w:t>3.5</w:t>
            </w:r>
            <w:r w:rsidR="00387802">
              <w:rPr>
                <w:rFonts w:asciiTheme="minorHAnsi" w:hAnsiTheme="minorHAnsi"/>
                <w:noProof/>
              </w:rPr>
              <w:tab/>
            </w:r>
            <w:r w:rsidR="00387802" w:rsidRPr="00365A20">
              <w:rPr>
                <w:rStyle w:val="Hyperlink"/>
                <w:noProof/>
              </w:rPr>
              <w:t>Azure Subscriptions</w:t>
            </w:r>
            <w:r w:rsidR="00387802">
              <w:rPr>
                <w:noProof/>
                <w:webHidden/>
              </w:rPr>
              <w:tab/>
            </w:r>
            <w:r w:rsidR="00387802">
              <w:rPr>
                <w:noProof/>
                <w:webHidden/>
              </w:rPr>
              <w:fldChar w:fldCharType="begin"/>
            </w:r>
            <w:r w:rsidR="00387802">
              <w:rPr>
                <w:noProof/>
                <w:webHidden/>
              </w:rPr>
              <w:instrText xml:space="preserve"> PAGEREF _Toc431288789 \h </w:instrText>
            </w:r>
            <w:r w:rsidR="00387802">
              <w:rPr>
                <w:noProof/>
                <w:webHidden/>
              </w:rPr>
            </w:r>
            <w:r w:rsidR="00387802">
              <w:rPr>
                <w:noProof/>
                <w:webHidden/>
              </w:rPr>
              <w:fldChar w:fldCharType="separate"/>
            </w:r>
            <w:r w:rsidR="00387802">
              <w:rPr>
                <w:noProof/>
                <w:webHidden/>
              </w:rPr>
              <w:t>35</w:t>
            </w:r>
            <w:r w:rsidR="00387802">
              <w:rPr>
                <w:noProof/>
                <w:webHidden/>
              </w:rPr>
              <w:fldChar w:fldCharType="end"/>
            </w:r>
          </w:hyperlink>
        </w:p>
        <w:p w14:paraId="75B80CC0" w14:textId="2BB74145" w:rsidR="00387802" w:rsidRDefault="00872E47">
          <w:pPr>
            <w:pStyle w:val="TOC3"/>
            <w:tabs>
              <w:tab w:val="left" w:pos="1320"/>
            </w:tabs>
            <w:rPr>
              <w:rFonts w:asciiTheme="minorHAnsi" w:eastAsiaTheme="minorEastAsia" w:hAnsiTheme="minorHAnsi"/>
              <w:noProof/>
              <w:spacing w:val="0"/>
              <w:sz w:val="22"/>
              <w:szCs w:val="22"/>
            </w:rPr>
          </w:pPr>
          <w:hyperlink w:anchor="_Toc431288790" w:history="1">
            <w:r w:rsidR="00387802" w:rsidRPr="00365A20">
              <w:rPr>
                <w:rStyle w:val="Hyperlink"/>
                <w:noProof/>
                <w14:scene3d>
                  <w14:camera w14:prst="orthographicFront"/>
                  <w14:lightRig w14:rig="threePt" w14:dir="t">
                    <w14:rot w14:lat="0" w14:lon="0" w14:rev="0"/>
                  </w14:lightRig>
                </w14:scene3d>
              </w:rPr>
              <w:t>3.5.1</w:t>
            </w:r>
            <w:r w:rsidR="00387802">
              <w:rPr>
                <w:rFonts w:asciiTheme="minorHAnsi" w:eastAsiaTheme="minorEastAsia" w:hAnsiTheme="minorHAnsi"/>
                <w:noProof/>
                <w:spacing w:val="0"/>
                <w:sz w:val="22"/>
                <w:szCs w:val="22"/>
              </w:rPr>
              <w:tab/>
            </w:r>
            <w:r w:rsidR="00387802" w:rsidRPr="00365A20">
              <w:rPr>
                <w:rStyle w:val="Hyperlink"/>
                <w:noProof/>
              </w:rPr>
              <w:t>What is a Subscription?</w:t>
            </w:r>
            <w:r w:rsidR="00387802">
              <w:rPr>
                <w:noProof/>
                <w:webHidden/>
              </w:rPr>
              <w:tab/>
            </w:r>
            <w:r w:rsidR="00387802">
              <w:rPr>
                <w:noProof/>
                <w:webHidden/>
              </w:rPr>
              <w:fldChar w:fldCharType="begin"/>
            </w:r>
            <w:r w:rsidR="00387802">
              <w:rPr>
                <w:noProof/>
                <w:webHidden/>
              </w:rPr>
              <w:instrText xml:space="preserve"> PAGEREF _Toc431288790 \h </w:instrText>
            </w:r>
            <w:r w:rsidR="00387802">
              <w:rPr>
                <w:noProof/>
                <w:webHidden/>
              </w:rPr>
            </w:r>
            <w:r w:rsidR="00387802">
              <w:rPr>
                <w:noProof/>
                <w:webHidden/>
              </w:rPr>
              <w:fldChar w:fldCharType="separate"/>
            </w:r>
            <w:r w:rsidR="00387802">
              <w:rPr>
                <w:noProof/>
                <w:webHidden/>
              </w:rPr>
              <w:t>35</w:t>
            </w:r>
            <w:r w:rsidR="00387802">
              <w:rPr>
                <w:noProof/>
                <w:webHidden/>
              </w:rPr>
              <w:fldChar w:fldCharType="end"/>
            </w:r>
          </w:hyperlink>
        </w:p>
        <w:p w14:paraId="30CE0914" w14:textId="718FF5FA" w:rsidR="00387802" w:rsidRDefault="00872E47">
          <w:pPr>
            <w:pStyle w:val="TOC3"/>
            <w:tabs>
              <w:tab w:val="left" w:pos="1320"/>
            </w:tabs>
            <w:rPr>
              <w:rFonts w:asciiTheme="minorHAnsi" w:eastAsiaTheme="minorEastAsia" w:hAnsiTheme="minorHAnsi"/>
              <w:noProof/>
              <w:spacing w:val="0"/>
              <w:sz w:val="22"/>
              <w:szCs w:val="22"/>
            </w:rPr>
          </w:pPr>
          <w:hyperlink w:anchor="_Toc431288791" w:history="1">
            <w:r w:rsidR="00387802" w:rsidRPr="00365A20">
              <w:rPr>
                <w:rStyle w:val="Hyperlink"/>
                <w:noProof/>
                <w14:scene3d>
                  <w14:camera w14:prst="orthographicFront"/>
                  <w14:lightRig w14:rig="threePt" w14:dir="t">
                    <w14:rot w14:lat="0" w14:lon="0" w14:rev="0"/>
                  </w14:lightRig>
                </w14:scene3d>
              </w:rPr>
              <w:t>3.5.2</w:t>
            </w:r>
            <w:r w:rsidR="00387802">
              <w:rPr>
                <w:rFonts w:asciiTheme="minorHAnsi" w:eastAsiaTheme="minorEastAsia" w:hAnsiTheme="minorHAnsi"/>
                <w:noProof/>
                <w:spacing w:val="0"/>
                <w:sz w:val="22"/>
                <w:szCs w:val="22"/>
              </w:rPr>
              <w:tab/>
            </w:r>
            <w:r w:rsidR="00387802" w:rsidRPr="00365A20">
              <w:rPr>
                <w:rStyle w:val="Hyperlink"/>
                <w:noProof/>
              </w:rPr>
              <w:t>Design Considerations</w:t>
            </w:r>
            <w:r w:rsidR="00387802">
              <w:rPr>
                <w:noProof/>
                <w:webHidden/>
              </w:rPr>
              <w:tab/>
            </w:r>
            <w:r w:rsidR="00387802">
              <w:rPr>
                <w:noProof/>
                <w:webHidden/>
              </w:rPr>
              <w:fldChar w:fldCharType="begin"/>
            </w:r>
            <w:r w:rsidR="00387802">
              <w:rPr>
                <w:noProof/>
                <w:webHidden/>
              </w:rPr>
              <w:instrText xml:space="preserve"> PAGEREF _Toc431288791 \h </w:instrText>
            </w:r>
            <w:r w:rsidR="00387802">
              <w:rPr>
                <w:noProof/>
                <w:webHidden/>
              </w:rPr>
            </w:r>
            <w:r w:rsidR="00387802">
              <w:rPr>
                <w:noProof/>
                <w:webHidden/>
              </w:rPr>
              <w:fldChar w:fldCharType="separate"/>
            </w:r>
            <w:r w:rsidR="00387802">
              <w:rPr>
                <w:noProof/>
                <w:webHidden/>
              </w:rPr>
              <w:t>36</w:t>
            </w:r>
            <w:r w:rsidR="00387802">
              <w:rPr>
                <w:noProof/>
                <w:webHidden/>
              </w:rPr>
              <w:fldChar w:fldCharType="end"/>
            </w:r>
          </w:hyperlink>
        </w:p>
        <w:p w14:paraId="6B3F0A52" w14:textId="50919774" w:rsidR="00387802" w:rsidRDefault="00872E47">
          <w:pPr>
            <w:pStyle w:val="TOC3"/>
            <w:tabs>
              <w:tab w:val="left" w:pos="1320"/>
            </w:tabs>
            <w:rPr>
              <w:rFonts w:asciiTheme="minorHAnsi" w:eastAsiaTheme="minorEastAsia" w:hAnsiTheme="minorHAnsi"/>
              <w:noProof/>
              <w:spacing w:val="0"/>
              <w:sz w:val="22"/>
              <w:szCs w:val="22"/>
            </w:rPr>
          </w:pPr>
          <w:hyperlink w:anchor="_Toc431288792" w:history="1">
            <w:r w:rsidR="00387802" w:rsidRPr="00365A20">
              <w:rPr>
                <w:rStyle w:val="Hyperlink"/>
                <w:noProof/>
                <w14:scene3d>
                  <w14:camera w14:prst="orthographicFront"/>
                  <w14:lightRig w14:rig="threePt" w14:dir="t">
                    <w14:rot w14:lat="0" w14:lon="0" w14:rev="0"/>
                  </w14:lightRig>
                </w14:scene3d>
              </w:rPr>
              <w:t>3.5.3</w:t>
            </w:r>
            <w:r w:rsidR="00387802">
              <w:rPr>
                <w:rFonts w:asciiTheme="minorHAnsi" w:eastAsiaTheme="minorEastAsia" w:hAnsiTheme="minorHAnsi"/>
                <w:noProof/>
                <w:spacing w:val="0"/>
                <w:sz w:val="22"/>
                <w:szCs w:val="22"/>
              </w:rPr>
              <w:tab/>
            </w:r>
            <w:r w:rsidR="00387802" w:rsidRPr="00365A20">
              <w:rPr>
                <w:rStyle w:val="Hyperlink"/>
                <w:noProof/>
              </w:rPr>
              <w:t>Enterprise Model</w:t>
            </w:r>
            <w:r w:rsidR="00387802">
              <w:rPr>
                <w:noProof/>
                <w:webHidden/>
              </w:rPr>
              <w:tab/>
            </w:r>
            <w:r w:rsidR="00387802">
              <w:rPr>
                <w:noProof/>
                <w:webHidden/>
              </w:rPr>
              <w:fldChar w:fldCharType="begin"/>
            </w:r>
            <w:r w:rsidR="00387802">
              <w:rPr>
                <w:noProof/>
                <w:webHidden/>
              </w:rPr>
              <w:instrText xml:space="preserve"> PAGEREF _Toc431288792 \h </w:instrText>
            </w:r>
            <w:r w:rsidR="00387802">
              <w:rPr>
                <w:noProof/>
                <w:webHidden/>
              </w:rPr>
            </w:r>
            <w:r w:rsidR="00387802">
              <w:rPr>
                <w:noProof/>
                <w:webHidden/>
              </w:rPr>
              <w:fldChar w:fldCharType="separate"/>
            </w:r>
            <w:r w:rsidR="00387802">
              <w:rPr>
                <w:noProof/>
                <w:webHidden/>
              </w:rPr>
              <w:t>44</w:t>
            </w:r>
            <w:r w:rsidR="00387802">
              <w:rPr>
                <w:noProof/>
                <w:webHidden/>
              </w:rPr>
              <w:fldChar w:fldCharType="end"/>
            </w:r>
          </w:hyperlink>
        </w:p>
        <w:p w14:paraId="6C7BE59F" w14:textId="6E484CA0" w:rsidR="00387802" w:rsidRDefault="00872E47">
          <w:pPr>
            <w:pStyle w:val="TOC3"/>
            <w:tabs>
              <w:tab w:val="left" w:pos="1320"/>
            </w:tabs>
            <w:rPr>
              <w:rFonts w:asciiTheme="minorHAnsi" w:eastAsiaTheme="minorEastAsia" w:hAnsiTheme="minorHAnsi"/>
              <w:noProof/>
              <w:spacing w:val="0"/>
              <w:sz w:val="22"/>
              <w:szCs w:val="22"/>
            </w:rPr>
          </w:pPr>
          <w:hyperlink w:anchor="_Toc431288793" w:history="1">
            <w:r w:rsidR="00387802" w:rsidRPr="00365A20">
              <w:rPr>
                <w:rStyle w:val="Hyperlink"/>
                <w:noProof/>
                <w14:scene3d>
                  <w14:camera w14:prst="orthographicFront"/>
                  <w14:lightRig w14:rig="threePt" w14:dir="t">
                    <w14:rot w14:lat="0" w14:lon="0" w14:rev="0"/>
                  </w14:lightRig>
                </w14:scene3d>
              </w:rPr>
              <w:t>3.5.4</w:t>
            </w:r>
            <w:r w:rsidR="00387802">
              <w:rPr>
                <w:rFonts w:asciiTheme="minorHAnsi" w:eastAsiaTheme="minorEastAsia" w:hAnsiTheme="minorHAnsi"/>
                <w:noProof/>
                <w:spacing w:val="0"/>
                <w:sz w:val="22"/>
                <w:szCs w:val="22"/>
              </w:rPr>
              <w:tab/>
            </w:r>
            <w:r w:rsidR="00387802" w:rsidRPr="00365A20">
              <w:rPr>
                <w:rStyle w:val="Hyperlink"/>
                <w:noProof/>
              </w:rPr>
              <w:t>Subscription Naming Convention Considerations</w:t>
            </w:r>
            <w:r w:rsidR="00387802">
              <w:rPr>
                <w:noProof/>
                <w:webHidden/>
              </w:rPr>
              <w:tab/>
            </w:r>
            <w:r w:rsidR="00387802">
              <w:rPr>
                <w:noProof/>
                <w:webHidden/>
              </w:rPr>
              <w:fldChar w:fldCharType="begin"/>
            </w:r>
            <w:r w:rsidR="00387802">
              <w:rPr>
                <w:noProof/>
                <w:webHidden/>
              </w:rPr>
              <w:instrText xml:space="preserve"> PAGEREF _Toc431288793 \h </w:instrText>
            </w:r>
            <w:r w:rsidR="00387802">
              <w:rPr>
                <w:noProof/>
                <w:webHidden/>
              </w:rPr>
            </w:r>
            <w:r w:rsidR="00387802">
              <w:rPr>
                <w:noProof/>
                <w:webHidden/>
              </w:rPr>
              <w:fldChar w:fldCharType="separate"/>
            </w:r>
            <w:r w:rsidR="00387802">
              <w:rPr>
                <w:noProof/>
                <w:webHidden/>
              </w:rPr>
              <w:t>46</w:t>
            </w:r>
            <w:r w:rsidR="00387802">
              <w:rPr>
                <w:noProof/>
                <w:webHidden/>
              </w:rPr>
              <w:fldChar w:fldCharType="end"/>
            </w:r>
          </w:hyperlink>
        </w:p>
        <w:p w14:paraId="6824EC16" w14:textId="4A153185" w:rsidR="00387802" w:rsidRDefault="00872E47">
          <w:pPr>
            <w:pStyle w:val="TOC3"/>
            <w:tabs>
              <w:tab w:val="left" w:pos="1320"/>
            </w:tabs>
            <w:rPr>
              <w:rFonts w:asciiTheme="minorHAnsi" w:eastAsiaTheme="minorEastAsia" w:hAnsiTheme="minorHAnsi"/>
              <w:noProof/>
              <w:spacing w:val="0"/>
              <w:sz w:val="22"/>
              <w:szCs w:val="22"/>
            </w:rPr>
          </w:pPr>
          <w:hyperlink w:anchor="_Toc431288794" w:history="1">
            <w:r w:rsidR="00387802" w:rsidRPr="00365A20">
              <w:rPr>
                <w:rStyle w:val="Hyperlink"/>
                <w:noProof/>
                <w14:scene3d>
                  <w14:camera w14:prst="orthographicFront"/>
                  <w14:lightRig w14:rig="threePt" w14:dir="t">
                    <w14:rot w14:lat="0" w14:lon="0" w14:rev="0"/>
                  </w14:lightRig>
                </w14:scene3d>
              </w:rPr>
              <w:t>3.5.5</w:t>
            </w:r>
            <w:r w:rsidR="00387802">
              <w:rPr>
                <w:rFonts w:asciiTheme="minorHAnsi" w:eastAsiaTheme="minorEastAsia" w:hAnsiTheme="minorHAnsi"/>
                <w:noProof/>
                <w:spacing w:val="0"/>
                <w:sz w:val="22"/>
                <w:szCs w:val="22"/>
              </w:rPr>
              <w:tab/>
            </w:r>
            <w:r w:rsidR="00387802" w:rsidRPr="00365A20">
              <w:rPr>
                <w:rStyle w:val="Hyperlink"/>
                <w:noProof/>
              </w:rPr>
              <w:t>Subscription Management</w:t>
            </w:r>
            <w:r w:rsidR="00387802">
              <w:rPr>
                <w:noProof/>
                <w:webHidden/>
              </w:rPr>
              <w:tab/>
            </w:r>
            <w:r w:rsidR="00387802">
              <w:rPr>
                <w:noProof/>
                <w:webHidden/>
              </w:rPr>
              <w:fldChar w:fldCharType="begin"/>
            </w:r>
            <w:r w:rsidR="00387802">
              <w:rPr>
                <w:noProof/>
                <w:webHidden/>
              </w:rPr>
              <w:instrText xml:space="preserve"> PAGEREF _Toc431288794 \h </w:instrText>
            </w:r>
            <w:r w:rsidR="00387802">
              <w:rPr>
                <w:noProof/>
                <w:webHidden/>
              </w:rPr>
            </w:r>
            <w:r w:rsidR="00387802">
              <w:rPr>
                <w:noProof/>
                <w:webHidden/>
              </w:rPr>
              <w:fldChar w:fldCharType="separate"/>
            </w:r>
            <w:r w:rsidR="00387802">
              <w:rPr>
                <w:noProof/>
                <w:webHidden/>
              </w:rPr>
              <w:t>47</w:t>
            </w:r>
            <w:r w:rsidR="00387802">
              <w:rPr>
                <w:noProof/>
                <w:webHidden/>
              </w:rPr>
              <w:fldChar w:fldCharType="end"/>
            </w:r>
          </w:hyperlink>
        </w:p>
        <w:p w14:paraId="6B81F469" w14:textId="043033D8" w:rsidR="00387802" w:rsidRDefault="00872E47">
          <w:pPr>
            <w:pStyle w:val="TOC3"/>
            <w:tabs>
              <w:tab w:val="left" w:pos="1320"/>
            </w:tabs>
            <w:rPr>
              <w:rFonts w:asciiTheme="minorHAnsi" w:eastAsiaTheme="minorEastAsia" w:hAnsiTheme="minorHAnsi"/>
              <w:noProof/>
              <w:spacing w:val="0"/>
              <w:sz w:val="22"/>
              <w:szCs w:val="22"/>
            </w:rPr>
          </w:pPr>
          <w:hyperlink w:anchor="_Toc431288795" w:history="1">
            <w:r w:rsidR="00387802" w:rsidRPr="00365A20">
              <w:rPr>
                <w:rStyle w:val="Hyperlink"/>
                <w:noProof/>
                <w14:scene3d>
                  <w14:camera w14:prst="orthographicFront"/>
                  <w14:lightRig w14:rig="threePt" w14:dir="t">
                    <w14:rot w14:lat="0" w14:lon="0" w14:rev="0"/>
                  </w14:lightRig>
                </w14:scene3d>
              </w:rPr>
              <w:t>3.5.6</w:t>
            </w:r>
            <w:r w:rsidR="00387802">
              <w:rPr>
                <w:rFonts w:asciiTheme="minorHAnsi" w:eastAsiaTheme="minorEastAsia" w:hAnsiTheme="minorHAnsi"/>
                <w:noProof/>
                <w:spacing w:val="0"/>
                <w:sz w:val="22"/>
                <w:szCs w:val="22"/>
              </w:rPr>
              <w:tab/>
            </w:r>
            <w:r w:rsidR="00387802" w:rsidRPr="00365A20">
              <w:rPr>
                <w:rStyle w:val="Hyperlink"/>
                <w:noProof/>
              </w:rPr>
              <w:t>Azure Service Limits Considerations</w:t>
            </w:r>
            <w:r w:rsidR="00387802">
              <w:rPr>
                <w:noProof/>
                <w:webHidden/>
              </w:rPr>
              <w:tab/>
            </w:r>
            <w:r w:rsidR="00387802">
              <w:rPr>
                <w:noProof/>
                <w:webHidden/>
              </w:rPr>
              <w:fldChar w:fldCharType="begin"/>
            </w:r>
            <w:r w:rsidR="00387802">
              <w:rPr>
                <w:noProof/>
                <w:webHidden/>
              </w:rPr>
              <w:instrText xml:space="preserve"> PAGEREF _Toc431288795 \h </w:instrText>
            </w:r>
            <w:r w:rsidR="00387802">
              <w:rPr>
                <w:noProof/>
                <w:webHidden/>
              </w:rPr>
            </w:r>
            <w:r w:rsidR="00387802">
              <w:rPr>
                <w:noProof/>
                <w:webHidden/>
              </w:rPr>
              <w:fldChar w:fldCharType="separate"/>
            </w:r>
            <w:r w:rsidR="00387802">
              <w:rPr>
                <w:noProof/>
                <w:webHidden/>
              </w:rPr>
              <w:t>51</w:t>
            </w:r>
            <w:r w:rsidR="00387802">
              <w:rPr>
                <w:noProof/>
                <w:webHidden/>
              </w:rPr>
              <w:fldChar w:fldCharType="end"/>
            </w:r>
          </w:hyperlink>
        </w:p>
        <w:p w14:paraId="738A59FA" w14:textId="2314EB3E" w:rsidR="00387802" w:rsidRDefault="00872E47">
          <w:pPr>
            <w:pStyle w:val="TOC3"/>
            <w:tabs>
              <w:tab w:val="left" w:pos="1320"/>
            </w:tabs>
            <w:rPr>
              <w:rFonts w:asciiTheme="minorHAnsi" w:eastAsiaTheme="minorEastAsia" w:hAnsiTheme="minorHAnsi"/>
              <w:noProof/>
              <w:spacing w:val="0"/>
              <w:sz w:val="22"/>
              <w:szCs w:val="22"/>
            </w:rPr>
          </w:pPr>
          <w:hyperlink w:anchor="_Toc431288796" w:history="1">
            <w:r w:rsidR="00387802" w:rsidRPr="00365A20">
              <w:rPr>
                <w:rStyle w:val="Hyperlink"/>
                <w:noProof/>
                <w14:scene3d>
                  <w14:camera w14:prst="orthographicFront"/>
                  <w14:lightRig w14:rig="threePt" w14:dir="t">
                    <w14:rot w14:lat="0" w14:lon="0" w14:rev="0"/>
                  </w14:lightRig>
                </w14:scene3d>
              </w:rPr>
              <w:t>3.5.7</w:t>
            </w:r>
            <w:r w:rsidR="00387802">
              <w:rPr>
                <w:rFonts w:asciiTheme="minorHAnsi" w:eastAsiaTheme="minorEastAsia" w:hAnsiTheme="minorHAnsi"/>
                <w:noProof/>
                <w:spacing w:val="0"/>
                <w:sz w:val="22"/>
                <w:szCs w:val="22"/>
              </w:rPr>
              <w:tab/>
            </w:r>
            <w:r w:rsidR="00387802" w:rsidRPr="00365A20">
              <w:rPr>
                <w:rStyle w:val="Hyperlink"/>
                <w:noProof/>
              </w:rPr>
              <w:t>Azure Billing</w:t>
            </w:r>
            <w:r w:rsidR="00387802">
              <w:rPr>
                <w:noProof/>
                <w:webHidden/>
              </w:rPr>
              <w:tab/>
            </w:r>
            <w:r w:rsidR="00387802">
              <w:rPr>
                <w:noProof/>
                <w:webHidden/>
              </w:rPr>
              <w:fldChar w:fldCharType="begin"/>
            </w:r>
            <w:r w:rsidR="00387802">
              <w:rPr>
                <w:noProof/>
                <w:webHidden/>
              </w:rPr>
              <w:instrText xml:space="preserve"> PAGEREF _Toc431288796 \h </w:instrText>
            </w:r>
            <w:r w:rsidR="00387802">
              <w:rPr>
                <w:noProof/>
                <w:webHidden/>
              </w:rPr>
            </w:r>
            <w:r w:rsidR="00387802">
              <w:rPr>
                <w:noProof/>
                <w:webHidden/>
              </w:rPr>
              <w:fldChar w:fldCharType="separate"/>
            </w:r>
            <w:r w:rsidR="00387802">
              <w:rPr>
                <w:noProof/>
                <w:webHidden/>
              </w:rPr>
              <w:t>52</w:t>
            </w:r>
            <w:r w:rsidR="00387802">
              <w:rPr>
                <w:noProof/>
                <w:webHidden/>
              </w:rPr>
              <w:fldChar w:fldCharType="end"/>
            </w:r>
          </w:hyperlink>
        </w:p>
        <w:p w14:paraId="1DAAB326" w14:textId="52CC13CE" w:rsidR="00387802" w:rsidRDefault="00872E47">
          <w:pPr>
            <w:pStyle w:val="TOC2"/>
            <w:tabs>
              <w:tab w:val="left" w:pos="880"/>
              <w:tab w:val="right" w:leader="dot" w:pos="9350"/>
            </w:tabs>
            <w:rPr>
              <w:rFonts w:asciiTheme="minorHAnsi" w:hAnsiTheme="minorHAnsi"/>
              <w:noProof/>
            </w:rPr>
          </w:pPr>
          <w:hyperlink w:anchor="_Toc431288797" w:history="1">
            <w:r w:rsidR="00387802" w:rsidRPr="00365A20">
              <w:rPr>
                <w:rStyle w:val="Hyperlink"/>
                <w:noProof/>
              </w:rPr>
              <w:t>3.6</w:t>
            </w:r>
            <w:r w:rsidR="00387802">
              <w:rPr>
                <w:rFonts w:asciiTheme="minorHAnsi" w:hAnsiTheme="minorHAnsi"/>
                <w:noProof/>
              </w:rPr>
              <w:tab/>
            </w:r>
            <w:r w:rsidR="00387802" w:rsidRPr="00365A20">
              <w:rPr>
                <w:rStyle w:val="Hyperlink"/>
                <w:noProof/>
              </w:rPr>
              <w:t>Azure Accounts and Access Permissions</w:t>
            </w:r>
            <w:r w:rsidR="00387802">
              <w:rPr>
                <w:noProof/>
                <w:webHidden/>
              </w:rPr>
              <w:tab/>
            </w:r>
            <w:r w:rsidR="00387802">
              <w:rPr>
                <w:noProof/>
                <w:webHidden/>
              </w:rPr>
              <w:fldChar w:fldCharType="begin"/>
            </w:r>
            <w:r w:rsidR="00387802">
              <w:rPr>
                <w:noProof/>
                <w:webHidden/>
              </w:rPr>
              <w:instrText xml:space="preserve"> PAGEREF _Toc431288797 \h </w:instrText>
            </w:r>
            <w:r w:rsidR="00387802">
              <w:rPr>
                <w:noProof/>
                <w:webHidden/>
              </w:rPr>
            </w:r>
            <w:r w:rsidR="00387802">
              <w:rPr>
                <w:noProof/>
                <w:webHidden/>
              </w:rPr>
              <w:fldChar w:fldCharType="separate"/>
            </w:r>
            <w:r w:rsidR="00387802">
              <w:rPr>
                <w:noProof/>
                <w:webHidden/>
              </w:rPr>
              <w:t>56</w:t>
            </w:r>
            <w:r w:rsidR="00387802">
              <w:rPr>
                <w:noProof/>
                <w:webHidden/>
              </w:rPr>
              <w:fldChar w:fldCharType="end"/>
            </w:r>
          </w:hyperlink>
        </w:p>
        <w:p w14:paraId="38A77EDD" w14:textId="32B8EA0C" w:rsidR="00387802" w:rsidRDefault="00872E47">
          <w:pPr>
            <w:pStyle w:val="TOC3"/>
            <w:tabs>
              <w:tab w:val="left" w:pos="1320"/>
            </w:tabs>
            <w:rPr>
              <w:rFonts w:asciiTheme="minorHAnsi" w:eastAsiaTheme="minorEastAsia" w:hAnsiTheme="minorHAnsi"/>
              <w:noProof/>
              <w:spacing w:val="0"/>
              <w:sz w:val="22"/>
              <w:szCs w:val="22"/>
            </w:rPr>
          </w:pPr>
          <w:hyperlink w:anchor="_Toc431288798" w:history="1">
            <w:r w:rsidR="00387802" w:rsidRPr="00365A20">
              <w:rPr>
                <w:rStyle w:val="Hyperlink"/>
                <w:noProof/>
                <w14:scene3d>
                  <w14:camera w14:prst="orthographicFront"/>
                  <w14:lightRig w14:rig="threePt" w14:dir="t">
                    <w14:rot w14:lat="0" w14:lon="0" w14:rev="0"/>
                  </w14:lightRig>
                </w14:scene3d>
              </w:rPr>
              <w:t>3.6.1</w:t>
            </w:r>
            <w:r w:rsidR="00387802">
              <w:rPr>
                <w:rFonts w:asciiTheme="minorHAnsi" w:eastAsiaTheme="minorEastAsia" w:hAnsiTheme="minorHAnsi"/>
                <w:noProof/>
                <w:spacing w:val="0"/>
                <w:sz w:val="22"/>
                <w:szCs w:val="22"/>
              </w:rPr>
              <w:tab/>
            </w:r>
            <w:r w:rsidR="00387802" w:rsidRPr="00365A20">
              <w:rPr>
                <w:rStyle w:val="Hyperlink"/>
                <w:noProof/>
              </w:rPr>
              <w:t>Account Types and Directory Source</w:t>
            </w:r>
            <w:r w:rsidR="00387802">
              <w:rPr>
                <w:noProof/>
                <w:webHidden/>
              </w:rPr>
              <w:tab/>
            </w:r>
            <w:r w:rsidR="00387802">
              <w:rPr>
                <w:noProof/>
                <w:webHidden/>
              </w:rPr>
              <w:fldChar w:fldCharType="begin"/>
            </w:r>
            <w:r w:rsidR="00387802">
              <w:rPr>
                <w:noProof/>
                <w:webHidden/>
              </w:rPr>
              <w:instrText xml:space="preserve"> PAGEREF _Toc431288798 \h </w:instrText>
            </w:r>
            <w:r w:rsidR="00387802">
              <w:rPr>
                <w:noProof/>
                <w:webHidden/>
              </w:rPr>
            </w:r>
            <w:r w:rsidR="00387802">
              <w:rPr>
                <w:noProof/>
                <w:webHidden/>
              </w:rPr>
              <w:fldChar w:fldCharType="separate"/>
            </w:r>
            <w:r w:rsidR="00387802">
              <w:rPr>
                <w:noProof/>
                <w:webHidden/>
              </w:rPr>
              <w:t>56</w:t>
            </w:r>
            <w:r w:rsidR="00387802">
              <w:rPr>
                <w:noProof/>
                <w:webHidden/>
              </w:rPr>
              <w:fldChar w:fldCharType="end"/>
            </w:r>
          </w:hyperlink>
        </w:p>
        <w:p w14:paraId="0CBAB7C2" w14:textId="459C0BE0" w:rsidR="00387802" w:rsidRDefault="00872E47">
          <w:pPr>
            <w:pStyle w:val="TOC3"/>
            <w:tabs>
              <w:tab w:val="left" w:pos="1320"/>
            </w:tabs>
            <w:rPr>
              <w:rFonts w:asciiTheme="minorHAnsi" w:eastAsiaTheme="minorEastAsia" w:hAnsiTheme="minorHAnsi"/>
              <w:noProof/>
              <w:spacing w:val="0"/>
              <w:sz w:val="22"/>
              <w:szCs w:val="22"/>
            </w:rPr>
          </w:pPr>
          <w:hyperlink w:anchor="_Toc431288799" w:history="1">
            <w:r w:rsidR="00387802" w:rsidRPr="00365A20">
              <w:rPr>
                <w:rStyle w:val="Hyperlink"/>
                <w:noProof/>
                <w14:scene3d>
                  <w14:camera w14:prst="orthographicFront"/>
                  <w14:lightRig w14:rig="threePt" w14:dir="t">
                    <w14:rot w14:lat="0" w14:lon="0" w14:rev="0"/>
                  </w14:lightRig>
                </w14:scene3d>
              </w:rPr>
              <w:t>3.6.2</w:t>
            </w:r>
            <w:r w:rsidR="00387802">
              <w:rPr>
                <w:rFonts w:asciiTheme="minorHAnsi" w:eastAsiaTheme="minorEastAsia" w:hAnsiTheme="minorHAnsi"/>
                <w:noProof/>
                <w:spacing w:val="0"/>
                <w:sz w:val="22"/>
                <w:szCs w:val="22"/>
              </w:rPr>
              <w:tab/>
            </w:r>
            <w:r w:rsidR="00387802" w:rsidRPr="00365A20">
              <w:rPr>
                <w:rStyle w:val="Hyperlink"/>
                <w:noProof/>
              </w:rPr>
              <w:t>Access Permissions</w:t>
            </w:r>
            <w:r w:rsidR="00387802">
              <w:rPr>
                <w:noProof/>
                <w:webHidden/>
              </w:rPr>
              <w:tab/>
            </w:r>
            <w:r w:rsidR="00387802">
              <w:rPr>
                <w:noProof/>
                <w:webHidden/>
              </w:rPr>
              <w:fldChar w:fldCharType="begin"/>
            </w:r>
            <w:r w:rsidR="00387802">
              <w:rPr>
                <w:noProof/>
                <w:webHidden/>
              </w:rPr>
              <w:instrText xml:space="preserve"> PAGEREF _Toc431288799 \h </w:instrText>
            </w:r>
            <w:r w:rsidR="00387802">
              <w:rPr>
                <w:noProof/>
                <w:webHidden/>
              </w:rPr>
            </w:r>
            <w:r w:rsidR="00387802">
              <w:rPr>
                <w:noProof/>
                <w:webHidden/>
              </w:rPr>
              <w:fldChar w:fldCharType="separate"/>
            </w:r>
            <w:r w:rsidR="00387802">
              <w:rPr>
                <w:noProof/>
                <w:webHidden/>
              </w:rPr>
              <w:t>57</w:t>
            </w:r>
            <w:r w:rsidR="00387802">
              <w:rPr>
                <w:noProof/>
                <w:webHidden/>
              </w:rPr>
              <w:fldChar w:fldCharType="end"/>
            </w:r>
          </w:hyperlink>
        </w:p>
        <w:p w14:paraId="72284E49" w14:textId="17123E4A" w:rsidR="00387802" w:rsidRDefault="00872E47">
          <w:pPr>
            <w:pStyle w:val="TOC3"/>
            <w:tabs>
              <w:tab w:val="left" w:pos="1320"/>
            </w:tabs>
            <w:rPr>
              <w:rFonts w:asciiTheme="minorHAnsi" w:eastAsiaTheme="minorEastAsia" w:hAnsiTheme="minorHAnsi"/>
              <w:noProof/>
              <w:spacing w:val="0"/>
              <w:sz w:val="22"/>
              <w:szCs w:val="22"/>
            </w:rPr>
          </w:pPr>
          <w:hyperlink w:anchor="_Toc431288800" w:history="1">
            <w:r w:rsidR="00387802" w:rsidRPr="00365A20">
              <w:rPr>
                <w:rStyle w:val="Hyperlink"/>
                <w:noProof/>
                <w14:scene3d>
                  <w14:camera w14:prst="orthographicFront"/>
                  <w14:lightRig w14:rig="threePt" w14:dir="t">
                    <w14:rot w14:lat="0" w14:lon="0" w14:rev="0"/>
                  </w14:lightRig>
                </w14:scene3d>
              </w:rPr>
              <w:t>3.6.3</w:t>
            </w:r>
            <w:r w:rsidR="00387802">
              <w:rPr>
                <w:rFonts w:asciiTheme="minorHAnsi" w:eastAsiaTheme="minorEastAsia" w:hAnsiTheme="minorHAnsi"/>
                <w:noProof/>
                <w:spacing w:val="0"/>
                <w:sz w:val="22"/>
                <w:szCs w:val="22"/>
              </w:rPr>
              <w:tab/>
            </w:r>
            <w:r w:rsidR="00387802" w:rsidRPr="00365A20">
              <w:rPr>
                <w:rStyle w:val="Hyperlink"/>
                <w:noProof/>
              </w:rPr>
              <w:t>Extending the Datacenter Fabric to Microsoft Azure</w:t>
            </w:r>
            <w:r w:rsidR="00387802">
              <w:rPr>
                <w:noProof/>
                <w:webHidden/>
              </w:rPr>
              <w:tab/>
            </w:r>
            <w:r w:rsidR="00387802">
              <w:rPr>
                <w:noProof/>
                <w:webHidden/>
              </w:rPr>
              <w:fldChar w:fldCharType="begin"/>
            </w:r>
            <w:r w:rsidR="00387802">
              <w:rPr>
                <w:noProof/>
                <w:webHidden/>
              </w:rPr>
              <w:instrText xml:space="preserve"> PAGEREF _Toc431288800 \h </w:instrText>
            </w:r>
            <w:r w:rsidR="00387802">
              <w:rPr>
                <w:noProof/>
                <w:webHidden/>
              </w:rPr>
            </w:r>
            <w:r w:rsidR="00387802">
              <w:rPr>
                <w:noProof/>
                <w:webHidden/>
              </w:rPr>
              <w:fldChar w:fldCharType="separate"/>
            </w:r>
            <w:r w:rsidR="00387802">
              <w:rPr>
                <w:noProof/>
                <w:webHidden/>
              </w:rPr>
              <w:t>61</w:t>
            </w:r>
            <w:r w:rsidR="00387802">
              <w:rPr>
                <w:noProof/>
                <w:webHidden/>
              </w:rPr>
              <w:fldChar w:fldCharType="end"/>
            </w:r>
          </w:hyperlink>
        </w:p>
        <w:p w14:paraId="0F504B4C" w14:textId="2F877963" w:rsidR="00387802" w:rsidRDefault="00872E47">
          <w:pPr>
            <w:pStyle w:val="TOC1"/>
            <w:rPr>
              <w:rFonts w:asciiTheme="minorHAnsi" w:hAnsiTheme="minorHAnsi"/>
              <w:sz w:val="22"/>
            </w:rPr>
          </w:pPr>
          <w:hyperlink w:anchor="_Toc431288801" w:history="1">
            <w:r w:rsidR="00387802" w:rsidRPr="00365A20">
              <w:rPr>
                <w:rStyle w:val="Hyperlink"/>
              </w:rPr>
              <w:t>4</w:t>
            </w:r>
            <w:r w:rsidR="00387802">
              <w:rPr>
                <w:rFonts w:asciiTheme="minorHAnsi" w:hAnsiTheme="minorHAnsi"/>
                <w:sz w:val="22"/>
              </w:rPr>
              <w:tab/>
            </w:r>
            <w:r w:rsidR="00387802" w:rsidRPr="00365A20">
              <w:rPr>
                <w:rStyle w:val="Hyperlink"/>
              </w:rPr>
              <w:t>Microsoft Azure Management Models</w:t>
            </w:r>
            <w:r w:rsidR="00387802">
              <w:rPr>
                <w:webHidden/>
              </w:rPr>
              <w:tab/>
            </w:r>
            <w:r w:rsidR="00387802">
              <w:rPr>
                <w:webHidden/>
              </w:rPr>
              <w:fldChar w:fldCharType="begin"/>
            </w:r>
            <w:r w:rsidR="00387802">
              <w:rPr>
                <w:webHidden/>
              </w:rPr>
              <w:instrText xml:space="preserve"> PAGEREF _Toc431288801 \h </w:instrText>
            </w:r>
            <w:r w:rsidR="00387802">
              <w:rPr>
                <w:webHidden/>
              </w:rPr>
            </w:r>
            <w:r w:rsidR="00387802">
              <w:rPr>
                <w:webHidden/>
              </w:rPr>
              <w:fldChar w:fldCharType="separate"/>
            </w:r>
            <w:r w:rsidR="00387802">
              <w:rPr>
                <w:webHidden/>
              </w:rPr>
              <w:t>63</w:t>
            </w:r>
            <w:r w:rsidR="00387802">
              <w:rPr>
                <w:webHidden/>
              </w:rPr>
              <w:fldChar w:fldCharType="end"/>
            </w:r>
          </w:hyperlink>
        </w:p>
        <w:p w14:paraId="166550FE" w14:textId="3641BFBD" w:rsidR="00387802" w:rsidRDefault="00872E47">
          <w:pPr>
            <w:pStyle w:val="TOC2"/>
            <w:tabs>
              <w:tab w:val="left" w:pos="880"/>
              <w:tab w:val="right" w:leader="dot" w:pos="9350"/>
            </w:tabs>
            <w:rPr>
              <w:rFonts w:asciiTheme="minorHAnsi" w:hAnsiTheme="minorHAnsi"/>
              <w:noProof/>
            </w:rPr>
          </w:pPr>
          <w:hyperlink w:anchor="_Toc431288802" w:history="1">
            <w:r w:rsidR="00387802" w:rsidRPr="00365A20">
              <w:rPr>
                <w:rStyle w:val="Hyperlink"/>
                <w:noProof/>
              </w:rPr>
              <w:t>4.1</w:t>
            </w:r>
            <w:r w:rsidR="00387802">
              <w:rPr>
                <w:rFonts w:asciiTheme="minorHAnsi" w:hAnsiTheme="minorHAnsi"/>
                <w:noProof/>
              </w:rPr>
              <w:tab/>
            </w:r>
            <w:r w:rsidR="00387802" w:rsidRPr="00365A20">
              <w:rPr>
                <w:rStyle w:val="Hyperlink"/>
                <w:noProof/>
              </w:rPr>
              <w:t>Azure Service Management Overview</w:t>
            </w:r>
            <w:r w:rsidR="00387802">
              <w:rPr>
                <w:noProof/>
                <w:webHidden/>
              </w:rPr>
              <w:tab/>
            </w:r>
            <w:r w:rsidR="00387802">
              <w:rPr>
                <w:noProof/>
                <w:webHidden/>
              </w:rPr>
              <w:fldChar w:fldCharType="begin"/>
            </w:r>
            <w:r w:rsidR="00387802">
              <w:rPr>
                <w:noProof/>
                <w:webHidden/>
              </w:rPr>
              <w:instrText xml:space="preserve"> PAGEREF _Toc431288802 \h </w:instrText>
            </w:r>
            <w:r w:rsidR="00387802">
              <w:rPr>
                <w:noProof/>
                <w:webHidden/>
              </w:rPr>
            </w:r>
            <w:r w:rsidR="00387802">
              <w:rPr>
                <w:noProof/>
                <w:webHidden/>
              </w:rPr>
              <w:fldChar w:fldCharType="separate"/>
            </w:r>
            <w:r w:rsidR="00387802">
              <w:rPr>
                <w:noProof/>
                <w:webHidden/>
              </w:rPr>
              <w:t>63</w:t>
            </w:r>
            <w:r w:rsidR="00387802">
              <w:rPr>
                <w:noProof/>
                <w:webHidden/>
              </w:rPr>
              <w:fldChar w:fldCharType="end"/>
            </w:r>
          </w:hyperlink>
        </w:p>
        <w:p w14:paraId="47E0E475" w14:textId="69353A81" w:rsidR="00387802" w:rsidRDefault="00872E47">
          <w:pPr>
            <w:pStyle w:val="TOC2"/>
            <w:tabs>
              <w:tab w:val="left" w:pos="880"/>
              <w:tab w:val="right" w:leader="dot" w:pos="9350"/>
            </w:tabs>
            <w:rPr>
              <w:rFonts w:asciiTheme="minorHAnsi" w:hAnsiTheme="minorHAnsi"/>
              <w:noProof/>
            </w:rPr>
          </w:pPr>
          <w:hyperlink w:anchor="_Toc431288803" w:history="1">
            <w:r w:rsidR="00387802" w:rsidRPr="00365A20">
              <w:rPr>
                <w:rStyle w:val="Hyperlink"/>
                <w:noProof/>
              </w:rPr>
              <w:t>4.2</w:t>
            </w:r>
            <w:r w:rsidR="00387802">
              <w:rPr>
                <w:rFonts w:asciiTheme="minorHAnsi" w:hAnsiTheme="minorHAnsi"/>
                <w:noProof/>
              </w:rPr>
              <w:tab/>
            </w:r>
            <w:r w:rsidR="00387802" w:rsidRPr="00365A20">
              <w:rPr>
                <w:rStyle w:val="Hyperlink"/>
                <w:noProof/>
              </w:rPr>
              <w:t>Azure Resource Manager Overview</w:t>
            </w:r>
            <w:r w:rsidR="00387802">
              <w:rPr>
                <w:noProof/>
                <w:webHidden/>
              </w:rPr>
              <w:tab/>
            </w:r>
            <w:r w:rsidR="00387802">
              <w:rPr>
                <w:noProof/>
                <w:webHidden/>
              </w:rPr>
              <w:fldChar w:fldCharType="begin"/>
            </w:r>
            <w:r w:rsidR="00387802">
              <w:rPr>
                <w:noProof/>
                <w:webHidden/>
              </w:rPr>
              <w:instrText xml:space="preserve"> PAGEREF _Toc431288803 \h </w:instrText>
            </w:r>
            <w:r w:rsidR="00387802">
              <w:rPr>
                <w:noProof/>
                <w:webHidden/>
              </w:rPr>
            </w:r>
            <w:r w:rsidR="00387802">
              <w:rPr>
                <w:noProof/>
                <w:webHidden/>
              </w:rPr>
              <w:fldChar w:fldCharType="separate"/>
            </w:r>
            <w:r w:rsidR="00387802">
              <w:rPr>
                <w:noProof/>
                <w:webHidden/>
              </w:rPr>
              <w:t>63</w:t>
            </w:r>
            <w:r w:rsidR="00387802">
              <w:rPr>
                <w:noProof/>
                <w:webHidden/>
              </w:rPr>
              <w:fldChar w:fldCharType="end"/>
            </w:r>
          </w:hyperlink>
        </w:p>
        <w:p w14:paraId="19A94196" w14:textId="2647EC64" w:rsidR="00387802" w:rsidRDefault="00872E47">
          <w:pPr>
            <w:pStyle w:val="TOC2"/>
            <w:tabs>
              <w:tab w:val="left" w:pos="1100"/>
              <w:tab w:val="right" w:leader="dot" w:pos="9350"/>
            </w:tabs>
            <w:rPr>
              <w:rFonts w:asciiTheme="minorHAnsi" w:hAnsiTheme="minorHAnsi"/>
              <w:noProof/>
            </w:rPr>
          </w:pPr>
          <w:hyperlink w:anchor="_Toc431288804" w:history="1">
            <w:r w:rsidR="00387802" w:rsidRPr="00365A20">
              <w:rPr>
                <w:rStyle w:val="Hyperlink"/>
                <w:noProof/>
                <w14:scene3d>
                  <w14:camera w14:prst="orthographicFront"/>
                  <w14:lightRig w14:rig="threePt" w14:dir="t">
                    <w14:rot w14:lat="0" w14:lon="0" w14:rev="0"/>
                  </w14:lightRig>
                </w14:scene3d>
              </w:rPr>
              <w:t>4.2.1</w:t>
            </w:r>
            <w:r w:rsidR="00387802">
              <w:rPr>
                <w:rFonts w:asciiTheme="minorHAnsi" w:hAnsiTheme="minorHAnsi"/>
                <w:noProof/>
              </w:rPr>
              <w:tab/>
            </w:r>
            <w:r w:rsidR="00387802" w:rsidRPr="00365A20">
              <w:rPr>
                <w:rStyle w:val="Hyperlink"/>
                <w:noProof/>
              </w:rPr>
              <w:t>Azure Resource Manager Templates</w:t>
            </w:r>
            <w:r w:rsidR="00387802">
              <w:rPr>
                <w:noProof/>
                <w:webHidden/>
              </w:rPr>
              <w:tab/>
            </w:r>
            <w:r w:rsidR="00387802">
              <w:rPr>
                <w:noProof/>
                <w:webHidden/>
              </w:rPr>
              <w:fldChar w:fldCharType="begin"/>
            </w:r>
            <w:r w:rsidR="00387802">
              <w:rPr>
                <w:noProof/>
                <w:webHidden/>
              </w:rPr>
              <w:instrText xml:space="preserve"> PAGEREF _Toc431288804 \h </w:instrText>
            </w:r>
            <w:r w:rsidR="00387802">
              <w:rPr>
                <w:noProof/>
                <w:webHidden/>
              </w:rPr>
            </w:r>
            <w:r w:rsidR="00387802">
              <w:rPr>
                <w:noProof/>
                <w:webHidden/>
              </w:rPr>
              <w:fldChar w:fldCharType="separate"/>
            </w:r>
            <w:r w:rsidR="00387802">
              <w:rPr>
                <w:noProof/>
                <w:webHidden/>
              </w:rPr>
              <w:t>64</w:t>
            </w:r>
            <w:r w:rsidR="00387802">
              <w:rPr>
                <w:noProof/>
                <w:webHidden/>
              </w:rPr>
              <w:fldChar w:fldCharType="end"/>
            </w:r>
          </w:hyperlink>
        </w:p>
        <w:p w14:paraId="0D45CC3F" w14:textId="01FEF0CF" w:rsidR="00387802" w:rsidRDefault="00872E47">
          <w:pPr>
            <w:pStyle w:val="TOC2"/>
            <w:tabs>
              <w:tab w:val="left" w:pos="1100"/>
              <w:tab w:val="right" w:leader="dot" w:pos="9350"/>
            </w:tabs>
            <w:rPr>
              <w:rFonts w:asciiTheme="minorHAnsi" w:hAnsiTheme="minorHAnsi"/>
              <w:noProof/>
            </w:rPr>
          </w:pPr>
          <w:hyperlink w:anchor="_Toc431288805" w:history="1">
            <w:r w:rsidR="00387802" w:rsidRPr="00365A20">
              <w:rPr>
                <w:rStyle w:val="Hyperlink"/>
                <w:noProof/>
                <w14:scene3d>
                  <w14:camera w14:prst="orthographicFront"/>
                  <w14:lightRig w14:rig="threePt" w14:dir="t">
                    <w14:rot w14:lat="0" w14:lon="0" w14:rev="0"/>
                  </w14:lightRig>
                </w14:scene3d>
              </w:rPr>
              <w:t>4.2.2</w:t>
            </w:r>
            <w:r w:rsidR="00387802">
              <w:rPr>
                <w:rFonts w:asciiTheme="minorHAnsi" w:hAnsiTheme="minorHAnsi"/>
                <w:noProof/>
              </w:rPr>
              <w:tab/>
            </w:r>
            <w:r w:rsidR="00387802" w:rsidRPr="00365A20">
              <w:rPr>
                <w:rStyle w:val="Hyperlink"/>
                <w:noProof/>
              </w:rPr>
              <w:t>Azure Resource Manager Resource Locks</w:t>
            </w:r>
            <w:r w:rsidR="00387802">
              <w:rPr>
                <w:noProof/>
                <w:webHidden/>
              </w:rPr>
              <w:tab/>
            </w:r>
            <w:r w:rsidR="00387802">
              <w:rPr>
                <w:noProof/>
                <w:webHidden/>
              </w:rPr>
              <w:fldChar w:fldCharType="begin"/>
            </w:r>
            <w:r w:rsidR="00387802">
              <w:rPr>
                <w:noProof/>
                <w:webHidden/>
              </w:rPr>
              <w:instrText xml:space="preserve"> PAGEREF _Toc431288805 \h </w:instrText>
            </w:r>
            <w:r w:rsidR="00387802">
              <w:rPr>
                <w:noProof/>
                <w:webHidden/>
              </w:rPr>
            </w:r>
            <w:r w:rsidR="00387802">
              <w:rPr>
                <w:noProof/>
                <w:webHidden/>
              </w:rPr>
              <w:fldChar w:fldCharType="separate"/>
            </w:r>
            <w:r w:rsidR="00387802">
              <w:rPr>
                <w:noProof/>
                <w:webHidden/>
              </w:rPr>
              <w:t>69</w:t>
            </w:r>
            <w:r w:rsidR="00387802">
              <w:rPr>
                <w:noProof/>
                <w:webHidden/>
              </w:rPr>
              <w:fldChar w:fldCharType="end"/>
            </w:r>
          </w:hyperlink>
        </w:p>
        <w:p w14:paraId="49B93B91" w14:textId="2FED3842" w:rsidR="00387802" w:rsidRDefault="00872E47">
          <w:pPr>
            <w:pStyle w:val="TOC2"/>
            <w:tabs>
              <w:tab w:val="left" w:pos="1100"/>
              <w:tab w:val="right" w:leader="dot" w:pos="9350"/>
            </w:tabs>
            <w:rPr>
              <w:rFonts w:asciiTheme="minorHAnsi" w:hAnsiTheme="minorHAnsi"/>
              <w:noProof/>
            </w:rPr>
          </w:pPr>
          <w:hyperlink w:anchor="_Toc431288806" w:history="1">
            <w:r w:rsidR="00387802" w:rsidRPr="00365A20">
              <w:rPr>
                <w:rStyle w:val="Hyperlink"/>
                <w:noProof/>
                <w14:scene3d>
                  <w14:camera w14:prst="orthographicFront"/>
                  <w14:lightRig w14:rig="threePt" w14:dir="t">
                    <w14:rot w14:lat="0" w14:lon="0" w14:rev="0"/>
                  </w14:lightRig>
                </w14:scene3d>
              </w:rPr>
              <w:t>4.2.3</w:t>
            </w:r>
            <w:r w:rsidR="00387802">
              <w:rPr>
                <w:rFonts w:asciiTheme="minorHAnsi" w:hAnsiTheme="minorHAnsi"/>
                <w:noProof/>
              </w:rPr>
              <w:tab/>
            </w:r>
            <w:r w:rsidR="00387802" w:rsidRPr="00365A20">
              <w:rPr>
                <w:rStyle w:val="Hyperlink"/>
                <w:noProof/>
              </w:rPr>
              <w:t>Azure Resource Manager QuickStart Templates</w:t>
            </w:r>
            <w:r w:rsidR="00387802">
              <w:rPr>
                <w:noProof/>
                <w:webHidden/>
              </w:rPr>
              <w:tab/>
            </w:r>
            <w:r w:rsidR="00387802">
              <w:rPr>
                <w:noProof/>
                <w:webHidden/>
              </w:rPr>
              <w:fldChar w:fldCharType="begin"/>
            </w:r>
            <w:r w:rsidR="00387802">
              <w:rPr>
                <w:noProof/>
                <w:webHidden/>
              </w:rPr>
              <w:instrText xml:space="preserve"> PAGEREF _Toc431288806 \h </w:instrText>
            </w:r>
            <w:r w:rsidR="00387802">
              <w:rPr>
                <w:noProof/>
                <w:webHidden/>
              </w:rPr>
            </w:r>
            <w:r w:rsidR="00387802">
              <w:rPr>
                <w:noProof/>
                <w:webHidden/>
              </w:rPr>
              <w:fldChar w:fldCharType="separate"/>
            </w:r>
            <w:r w:rsidR="00387802">
              <w:rPr>
                <w:noProof/>
                <w:webHidden/>
              </w:rPr>
              <w:t>70</w:t>
            </w:r>
            <w:r w:rsidR="00387802">
              <w:rPr>
                <w:noProof/>
                <w:webHidden/>
              </w:rPr>
              <w:fldChar w:fldCharType="end"/>
            </w:r>
          </w:hyperlink>
        </w:p>
        <w:p w14:paraId="622F09BB" w14:textId="586FCA67" w:rsidR="00387802" w:rsidRDefault="00872E47">
          <w:pPr>
            <w:pStyle w:val="TOC2"/>
            <w:tabs>
              <w:tab w:val="left" w:pos="1100"/>
              <w:tab w:val="right" w:leader="dot" w:pos="9350"/>
            </w:tabs>
            <w:rPr>
              <w:rFonts w:asciiTheme="minorHAnsi" w:hAnsiTheme="minorHAnsi"/>
              <w:noProof/>
            </w:rPr>
          </w:pPr>
          <w:hyperlink w:anchor="_Toc431288807" w:history="1">
            <w:r w:rsidR="00387802" w:rsidRPr="00365A20">
              <w:rPr>
                <w:rStyle w:val="Hyperlink"/>
                <w:noProof/>
                <w14:scene3d>
                  <w14:camera w14:prst="orthographicFront"/>
                  <w14:lightRig w14:rig="threePt" w14:dir="t">
                    <w14:rot w14:lat="0" w14:lon="0" w14:rev="0"/>
                  </w14:lightRig>
                </w14:scene3d>
              </w:rPr>
              <w:t>4.2.4</w:t>
            </w:r>
            <w:r w:rsidR="00387802">
              <w:rPr>
                <w:rFonts w:asciiTheme="minorHAnsi" w:hAnsiTheme="minorHAnsi"/>
                <w:noProof/>
              </w:rPr>
              <w:tab/>
            </w:r>
            <w:r w:rsidR="00387802" w:rsidRPr="00365A20">
              <w:rPr>
                <w:rStyle w:val="Hyperlink"/>
                <w:noProof/>
              </w:rPr>
              <w:t>Azure Resource Manager Tags</w:t>
            </w:r>
            <w:r w:rsidR="00387802">
              <w:rPr>
                <w:noProof/>
                <w:webHidden/>
              </w:rPr>
              <w:tab/>
            </w:r>
            <w:r w:rsidR="00387802">
              <w:rPr>
                <w:noProof/>
                <w:webHidden/>
              </w:rPr>
              <w:fldChar w:fldCharType="begin"/>
            </w:r>
            <w:r w:rsidR="00387802">
              <w:rPr>
                <w:noProof/>
                <w:webHidden/>
              </w:rPr>
              <w:instrText xml:space="preserve"> PAGEREF _Toc431288807 \h </w:instrText>
            </w:r>
            <w:r w:rsidR="00387802">
              <w:rPr>
                <w:noProof/>
                <w:webHidden/>
              </w:rPr>
            </w:r>
            <w:r w:rsidR="00387802">
              <w:rPr>
                <w:noProof/>
                <w:webHidden/>
              </w:rPr>
              <w:fldChar w:fldCharType="separate"/>
            </w:r>
            <w:r w:rsidR="00387802">
              <w:rPr>
                <w:noProof/>
                <w:webHidden/>
              </w:rPr>
              <w:t>70</w:t>
            </w:r>
            <w:r w:rsidR="00387802">
              <w:rPr>
                <w:noProof/>
                <w:webHidden/>
              </w:rPr>
              <w:fldChar w:fldCharType="end"/>
            </w:r>
          </w:hyperlink>
        </w:p>
        <w:p w14:paraId="419545E4" w14:textId="05117D5F" w:rsidR="00387802" w:rsidRDefault="00872E47">
          <w:pPr>
            <w:pStyle w:val="TOC1"/>
            <w:rPr>
              <w:rFonts w:asciiTheme="minorHAnsi" w:hAnsiTheme="minorHAnsi"/>
              <w:sz w:val="22"/>
            </w:rPr>
          </w:pPr>
          <w:hyperlink w:anchor="_Toc431288808" w:history="1">
            <w:r w:rsidR="00387802" w:rsidRPr="00365A20">
              <w:rPr>
                <w:rStyle w:val="Hyperlink"/>
              </w:rPr>
              <w:t>5</w:t>
            </w:r>
            <w:r w:rsidR="00387802">
              <w:rPr>
                <w:rFonts w:asciiTheme="minorHAnsi" w:hAnsiTheme="minorHAnsi"/>
                <w:sz w:val="22"/>
              </w:rPr>
              <w:tab/>
            </w:r>
            <w:r w:rsidR="00387802" w:rsidRPr="00365A20">
              <w:rPr>
                <w:rStyle w:val="Hyperlink"/>
              </w:rPr>
              <w:t>Microsoft Azure Storage</w:t>
            </w:r>
            <w:r w:rsidR="00387802">
              <w:rPr>
                <w:webHidden/>
              </w:rPr>
              <w:tab/>
            </w:r>
            <w:r w:rsidR="00387802">
              <w:rPr>
                <w:webHidden/>
              </w:rPr>
              <w:fldChar w:fldCharType="begin"/>
            </w:r>
            <w:r w:rsidR="00387802">
              <w:rPr>
                <w:webHidden/>
              </w:rPr>
              <w:instrText xml:space="preserve"> PAGEREF _Toc431288808 \h </w:instrText>
            </w:r>
            <w:r w:rsidR="00387802">
              <w:rPr>
                <w:webHidden/>
              </w:rPr>
            </w:r>
            <w:r w:rsidR="00387802">
              <w:rPr>
                <w:webHidden/>
              </w:rPr>
              <w:fldChar w:fldCharType="separate"/>
            </w:r>
            <w:r w:rsidR="00387802">
              <w:rPr>
                <w:webHidden/>
              </w:rPr>
              <w:t>74</w:t>
            </w:r>
            <w:r w:rsidR="00387802">
              <w:rPr>
                <w:webHidden/>
              </w:rPr>
              <w:fldChar w:fldCharType="end"/>
            </w:r>
          </w:hyperlink>
        </w:p>
        <w:p w14:paraId="16A71871" w14:textId="2CBB2235" w:rsidR="00387802" w:rsidRDefault="00872E47">
          <w:pPr>
            <w:pStyle w:val="TOC2"/>
            <w:tabs>
              <w:tab w:val="left" w:pos="880"/>
              <w:tab w:val="right" w:leader="dot" w:pos="9350"/>
            </w:tabs>
            <w:rPr>
              <w:rFonts w:asciiTheme="minorHAnsi" w:hAnsiTheme="minorHAnsi"/>
              <w:noProof/>
            </w:rPr>
          </w:pPr>
          <w:hyperlink w:anchor="_Toc431288809" w:history="1">
            <w:r w:rsidR="00387802" w:rsidRPr="00365A20">
              <w:rPr>
                <w:rStyle w:val="Hyperlink"/>
                <w:noProof/>
              </w:rPr>
              <w:t>5.1</w:t>
            </w:r>
            <w:r w:rsidR="00387802">
              <w:rPr>
                <w:rFonts w:asciiTheme="minorHAnsi" w:hAnsiTheme="minorHAnsi"/>
                <w:noProof/>
              </w:rPr>
              <w:tab/>
            </w:r>
            <w:r w:rsidR="00387802" w:rsidRPr="00365A20">
              <w:rPr>
                <w:rStyle w:val="Hyperlink"/>
                <w:noProof/>
              </w:rPr>
              <w:t>Microsoft Azure Storage Services Overview</w:t>
            </w:r>
            <w:r w:rsidR="00387802">
              <w:rPr>
                <w:noProof/>
                <w:webHidden/>
              </w:rPr>
              <w:tab/>
            </w:r>
            <w:r w:rsidR="00387802">
              <w:rPr>
                <w:noProof/>
                <w:webHidden/>
              </w:rPr>
              <w:fldChar w:fldCharType="begin"/>
            </w:r>
            <w:r w:rsidR="00387802">
              <w:rPr>
                <w:noProof/>
                <w:webHidden/>
              </w:rPr>
              <w:instrText xml:space="preserve"> PAGEREF _Toc431288809 \h </w:instrText>
            </w:r>
            <w:r w:rsidR="00387802">
              <w:rPr>
                <w:noProof/>
                <w:webHidden/>
              </w:rPr>
            </w:r>
            <w:r w:rsidR="00387802">
              <w:rPr>
                <w:noProof/>
                <w:webHidden/>
              </w:rPr>
              <w:fldChar w:fldCharType="separate"/>
            </w:r>
            <w:r w:rsidR="00387802">
              <w:rPr>
                <w:noProof/>
                <w:webHidden/>
              </w:rPr>
              <w:t>74</w:t>
            </w:r>
            <w:r w:rsidR="00387802">
              <w:rPr>
                <w:noProof/>
                <w:webHidden/>
              </w:rPr>
              <w:fldChar w:fldCharType="end"/>
            </w:r>
          </w:hyperlink>
        </w:p>
        <w:p w14:paraId="23616E03" w14:textId="7D83A8FA" w:rsidR="00387802" w:rsidRDefault="00872E47">
          <w:pPr>
            <w:pStyle w:val="TOC2"/>
            <w:tabs>
              <w:tab w:val="left" w:pos="880"/>
              <w:tab w:val="right" w:leader="dot" w:pos="9350"/>
            </w:tabs>
            <w:rPr>
              <w:rFonts w:asciiTheme="minorHAnsi" w:hAnsiTheme="minorHAnsi"/>
              <w:noProof/>
            </w:rPr>
          </w:pPr>
          <w:hyperlink w:anchor="_Toc431288810" w:history="1">
            <w:r w:rsidR="00387802" w:rsidRPr="00365A20">
              <w:rPr>
                <w:rStyle w:val="Hyperlink"/>
                <w:noProof/>
              </w:rPr>
              <w:t>5.2</w:t>
            </w:r>
            <w:r w:rsidR="00387802">
              <w:rPr>
                <w:rFonts w:asciiTheme="minorHAnsi" w:hAnsiTheme="minorHAnsi"/>
                <w:noProof/>
              </w:rPr>
              <w:tab/>
            </w:r>
            <w:r w:rsidR="00387802" w:rsidRPr="00365A20">
              <w:rPr>
                <w:rStyle w:val="Hyperlink"/>
                <w:noProof/>
              </w:rPr>
              <w:t>Storage Planning</w:t>
            </w:r>
            <w:r w:rsidR="00387802">
              <w:rPr>
                <w:noProof/>
                <w:webHidden/>
              </w:rPr>
              <w:tab/>
            </w:r>
            <w:r w:rsidR="00387802">
              <w:rPr>
                <w:noProof/>
                <w:webHidden/>
              </w:rPr>
              <w:fldChar w:fldCharType="begin"/>
            </w:r>
            <w:r w:rsidR="00387802">
              <w:rPr>
                <w:noProof/>
                <w:webHidden/>
              </w:rPr>
              <w:instrText xml:space="preserve"> PAGEREF _Toc431288810 \h </w:instrText>
            </w:r>
            <w:r w:rsidR="00387802">
              <w:rPr>
                <w:noProof/>
                <w:webHidden/>
              </w:rPr>
            </w:r>
            <w:r w:rsidR="00387802">
              <w:rPr>
                <w:noProof/>
                <w:webHidden/>
              </w:rPr>
              <w:fldChar w:fldCharType="separate"/>
            </w:r>
            <w:r w:rsidR="00387802">
              <w:rPr>
                <w:noProof/>
                <w:webHidden/>
              </w:rPr>
              <w:t>74</w:t>
            </w:r>
            <w:r w:rsidR="00387802">
              <w:rPr>
                <w:noProof/>
                <w:webHidden/>
              </w:rPr>
              <w:fldChar w:fldCharType="end"/>
            </w:r>
          </w:hyperlink>
        </w:p>
        <w:p w14:paraId="6BC61D16" w14:textId="3480AE26" w:rsidR="00387802" w:rsidRDefault="00872E47">
          <w:pPr>
            <w:pStyle w:val="TOC3"/>
            <w:tabs>
              <w:tab w:val="left" w:pos="1320"/>
            </w:tabs>
            <w:rPr>
              <w:rFonts w:asciiTheme="minorHAnsi" w:eastAsiaTheme="minorEastAsia" w:hAnsiTheme="minorHAnsi"/>
              <w:noProof/>
              <w:spacing w:val="0"/>
              <w:sz w:val="22"/>
              <w:szCs w:val="22"/>
            </w:rPr>
          </w:pPr>
          <w:hyperlink w:anchor="_Toc431288811" w:history="1">
            <w:r w:rsidR="00387802" w:rsidRPr="00365A20">
              <w:rPr>
                <w:rStyle w:val="Hyperlink"/>
                <w:noProof/>
                <w14:scene3d>
                  <w14:camera w14:prst="orthographicFront"/>
                  <w14:lightRig w14:rig="threePt" w14:dir="t">
                    <w14:rot w14:lat="0" w14:lon="0" w14:rev="0"/>
                  </w14:lightRig>
                </w14:scene3d>
              </w:rPr>
              <w:t>5.2.1</w:t>
            </w:r>
            <w:r w:rsidR="00387802">
              <w:rPr>
                <w:rFonts w:asciiTheme="minorHAnsi" w:eastAsiaTheme="minorEastAsia" w:hAnsiTheme="minorHAnsi"/>
                <w:noProof/>
                <w:spacing w:val="0"/>
                <w:sz w:val="22"/>
                <w:szCs w:val="22"/>
              </w:rPr>
              <w:tab/>
            </w:r>
            <w:r w:rsidR="00387802" w:rsidRPr="00365A20">
              <w:rPr>
                <w:rStyle w:val="Hyperlink"/>
                <w:noProof/>
              </w:rPr>
              <w:t>Storage Account Types and Services</w:t>
            </w:r>
            <w:r w:rsidR="00387802">
              <w:rPr>
                <w:noProof/>
                <w:webHidden/>
              </w:rPr>
              <w:tab/>
            </w:r>
            <w:r w:rsidR="00387802">
              <w:rPr>
                <w:noProof/>
                <w:webHidden/>
              </w:rPr>
              <w:fldChar w:fldCharType="begin"/>
            </w:r>
            <w:r w:rsidR="00387802">
              <w:rPr>
                <w:noProof/>
                <w:webHidden/>
              </w:rPr>
              <w:instrText xml:space="preserve"> PAGEREF _Toc431288811 \h </w:instrText>
            </w:r>
            <w:r w:rsidR="00387802">
              <w:rPr>
                <w:noProof/>
                <w:webHidden/>
              </w:rPr>
            </w:r>
            <w:r w:rsidR="00387802">
              <w:rPr>
                <w:noProof/>
                <w:webHidden/>
              </w:rPr>
              <w:fldChar w:fldCharType="separate"/>
            </w:r>
            <w:r w:rsidR="00387802">
              <w:rPr>
                <w:noProof/>
                <w:webHidden/>
              </w:rPr>
              <w:t>75</w:t>
            </w:r>
            <w:r w:rsidR="00387802">
              <w:rPr>
                <w:noProof/>
                <w:webHidden/>
              </w:rPr>
              <w:fldChar w:fldCharType="end"/>
            </w:r>
          </w:hyperlink>
        </w:p>
        <w:p w14:paraId="2A56D772" w14:textId="084857BE" w:rsidR="00387802" w:rsidRDefault="00872E47">
          <w:pPr>
            <w:pStyle w:val="TOC3"/>
            <w:tabs>
              <w:tab w:val="left" w:pos="1320"/>
            </w:tabs>
            <w:rPr>
              <w:rFonts w:asciiTheme="minorHAnsi" w:eastAsiaTheme="minorEastAsia" w:hAnsiTheme="minorHAnsi"/>
              <w:noProof/>
              <w:spacing w:val="0"/>
              <w:sz w:val="22"/>
              <w:szCs w:val="22"/>
            </w:rPr>
          </w:pPr>
          <w:hyperlink w:anchor="_Toc431288812" w:history="1">
            <w:r w:rsidR="00387802" w:rsidRPr="00365A20">
              <w:rPr>
                <w:rStyle w:val="Hyperlink"/>
                <w:noProof/>
                <w14:scene3d>
                  <w14:camera w14:prst="orthographicFront"/>
                  <w14:lightRig w14:rig="threePt" w14:dir="t">
                    <w14:rot w14:lat="0" w14:lon="0" w14:rev="0"/>
                  </w14:lightRig>
                </w14:scene3d>
              </w:rPr>
              <w:t>5.2.2</w:t>
            </w:r>
            <w:r w:rsidR="00387802">
              <w:rPr>
                <w:rFonts w:asciiTheme="minorHAnsi" w:eastAsiaTheme="minorEastAsia" w:hAnsiTheme="minorHAnsi"/>
                <w:noProof/>
                <w:spacing w:val="0"/>
                <w:sz w:val="22"/>
                <w:szCs w:val="22"/>
              </w:rPr>
              <w:tab/>
            </w:r>
            <w:r w:rsidR="00387802" w:rsidRPr="00365A20">
              <w:rPr>
                <w:rStyle w:val="Hyperlink"/>
                <w:noProof/>
              </w:rPr>
              <w:t>Naming Conventions</w:t>
            </w:r>
            <w:r w:rsidR="00387802">
              <w:rPr>
                <w:noProof/>
                <w:webHidden/>
              </w:rPr>
              <w:tab/>
            </w:r>
            <w:r w:rsidR="00387802">
              <w:rPr>
                <w:noProof/>
                <w:webHidden/>
              </w:rPr>
              <w:fldChar w:fldCharType="begin"/>
            </w:r>
            <w:r w:rsidR="00387802">
              <w:rPr>
                <w:noProof/>
                <w:webHidden/>
              </w:rPr>
              <w:instrText xml:space="preserve"> PAGEREF _Toc431288812 \h </w:instrText>
            </w:r>
            <w:r w:rsidR="00387802">
              <w:rPr>
                <w:noProof/>
                <w:webHidden/>
              </w:rPr>
            </w:r>
            <w:r w:rsidR="00387802">
              <w:rPr>
                <w:noProof/>
                <w:webHidden/>
              </w:rPr>
              <w:fldChar w:fldCharType="separate"/>
            </w:r>
            <w:r w:rsidR="00387802">
              <w:rPr>
                <w:noProof/>
                <w:webHidden/>
              </w:rPr>
              <w:t>84</w:t>
            </w:r>
            <w:r w:rsidR="00387802">
              <w:rPr>
                <w:noProof/>
                <w:webHidden/>
              </w:rPr>
              <w:fldChar w:fldCharType="end"/>
            </w:r>
          </w:hyperlink>
        </w:p>
        <w:p w14:paraId="6093ED08" w14:textId="528A0EEC" w:rsidR="00387802" w:rsidRDefault="00872E47">
          <w:pPr>
            <w:pStyle w:val="TOC3"/>
            <w:tabs>
              <w:tab w:val="left" w:pos="1320"/>
            </w:tabs>
            <w:rPr>
              <w:rFonts w:asciiTheme="minorHAnsi" w:eastAsiaTheme="minorEastAsia" w:hAnsiTheme="minorHAnsi"/>
              <w:noProof/>
              <w:spacing w:val="0"/>
              <w:sz w:val="22"/>
              <w:szCs w:val="22"/>
            </w:rPr>
          </w:pPr>
          <w:hyperlink w:anchor="_Toc431288813" w:history="1">
            <w:r w:rsidR="00387802" w:rsidRPr="00365A20">
              <w:rPr>
                <w:rStyle w:val="Hyperlink"/>
                <w:noProof/>
                <w14:scene3d>
                  <w14:camera w14:prst="orthographicFront"/>
                  <w14:lightRig w14:rig="threePt" w14:dir="t">
                    <w14:rot w14:lat="0" w14:lon="0" w14:rev="0"/>
                  </w14:lightRig>
                </w14:scene3d>
              </w:rPr>
              <w:t>5.2.3</w:t>
            </w:r>
            <w:r w:rsidR="00387802">
              <w:rPr>
                <w:rFonts w:asciiTheme="minorHAnsi" w:eastAsiaTheme="minorEastAsia" w:hAnsiTheme="minorHAnsi"/>
                <w:noProof/>
                <w:spacing w:val="0"/>
                <w:sz w:val="22"/>
                <w:szCs w:val="22"/>
              </w:rPr>
              <w:tab/>
            </w:r>
            <w:r w:rsidR="00387802" w:rsidRPr="00365A20">
              <w:rPr>
                <w:rStyle w:val="Hyperlink"/>
                <w:noProof/>
              </w:rPr>
              <w:t>Location, Durability, and Redundancy</w:t>
            </w:r>
            <w:r w:rsidR="00387802">
              <w:rPr>
                <w:noProof/>
                <w:webHidden/>
              </w:rPr>
              <w:tab/>
            </w:r>
            <w:r w:rsidR="00387802">
              <w:rPr>
                <w:noProof/>
                <w:webHidden/>
              </w:rPr>
              <w:fldChar w:fldCharType="begin"/>
            </w:r>
            <w:r w:rsidR="00387802">
              <w:rPr>
                <w:noProof/>
                <w:webHidden/>
              </w:rPr>
              <w:instrText xml:space="preserve"> PAGEREF _Toc431288813 \h </w:instrText>
            </w:r>
            <w:r w:rsidR="00387802">
              <w:rPr>
                <w:noProof/>
                <w:webHidden/>
              </w:rPr>
            </w:r>
            <w:r w:rsidR="00387802">
              <w:rPr>
                <w:noProof/>
                <w:webHidden/>
              </w:rPr>
              <w:fldChar w:fldCharType="separate"/>
            </w:r>
            <w:r w:rsidR="00387802">
              <w:rPr>
                <w:noProof/>
                <w:webHidden/>
              </w:rPr>
              <w:t>87</w:t>
            </w:r>
            <w:r w:rsidR="00387802">
              <w:rPr>
                <w:noProof/>
                <w:webHidden/>
              </w:rPr>
              <w:fldChar w:fldCharType="end"/>
            </w:r>
          </w:hyperlink>
        </w:p>
        <w:p w14:paraId="25F923B9" w14:textId="523ECD31" w:rsidR="00387802" w:rsidRDefault="00872E47">
          <w:pPr>
            <w:pStyle w:val="TOC2"/>
            <w:tabs>
              <w:tab w:val="left" w:pos="880"/>
              <w:tab w:val="right" w:leader="dot" w:pos="9350"/>
            </w:tabs>
            <w:rPr>
              <w:rFonts w:asciiTheme="minorHAnsi" w:hAnsiTheme="minorHAnsi"/>
              <w:noProof/>
            </w:rPr>
          </w:pPr>
          <w:hyperlink w:anchor="_Toc431288814" w:history="1">
            <w:r w:rsidR="00387802" w:rsidRPr="00365A20">
              <w:rPr>
                <w:rStyle w:val="Hyperlink"/>
                <w:noProof/>
              </w:rPr>
              <w:t>5.3</w:t>
            </w:r>
            <w:r w:rsidR="00387802">
              <w:rPr>
                <w:rFonts w:asciiTheme="minorHAnsi" w:hAnsiTheme="minorHAnsi"/>
                <w:noProof/>
              </w:rPr>
              <w:tab/>
            </w:r>
            <w:r w:rsidR="00387802" w:rsidRPr="00365A20">
              <w:rPr>
                <w:rStyle w:val="Hyperlink"/>
                <w:noProof/>
              </w:rPr>
              <w:t>Storage Security</w:t>
            </w:r>
            <w:r w:rsidR="00387802">
              <w:rPr>
                <w:noProof/>
                <w:webHidden/>
              </w:rPr>
              <w:tab/>
            </w:r>
            <w:r w:rsidR="00387802">
              <w:rPr>
                <w:noProof/>
                <w:webHidden/>
              </w:rPr>
              <w:fldChar w:fldCharType="begin"/>
            </w:r>
            <w:r w:rsidR="00387802">
              <w:rPr>
                <w:noProof/>
                <w:webHidden/>
              </w:rPr>
              <w:instrText xml:space="preserve"> PAGEREF _Toc431288814 \h </w:instrText>
            </w:r>
            <w:r w:rsidR="00387802">
              <w:rPr>
                <w:noProof/>
                <w:webHidden/>
              </w:rPr>
            </w:r>
            <w:r w:rsidR="00387802">
              <w:rPr>
                <w:noProof/>
                <w:webHidden/>
              </w:rPr>
              <w:fldChar w:fldCharType="separate"/>
            </w:r>
            <w:r w:rsidR="00387802">
              <w:rPr>
                <w:noProof/>
                <w:webHidden/>
              </w:rPr>
              <w:t>91</w:t>
            </w:r>
            <w:r w:rsidR="00387802">
              <w:rPr>
                <w:noProof/>
                <w:webHidden/>
              </w:rPr>
              <w:fldChar w:fldCharType="end"/>
            </w:r>
          </w:hyperlink>
        </w:p>
        <w:p w14:paraId="61DC458C" w14:textId="1501F47A" w:rsidR="00387802" w:rsidRDefault="00872E47">
          <w:pPr>
            <w:pStyle w:val="TOC3"/>
            <w:tabs>
              <w:tab w:val="left" w:pos="1320"/>
            </w:tabs>
            <w:rPr>
              <w:rFonts w:asciiTheme="minorHAnsi" w:eastAsiaTheme="minorEastAsia" w:hAnsiTheme="minorHAnsi"/>
              <w:noProof/>
              <w:spacing w:val="0"/>
              <w:sz w:val="22"/>
              <w:szCs w:val="22"/>
            </w:rPr>
          </w:pPr>
          <w:hyperlink w:anchor="_Toc431288815" w:history="1">
            <w:r w:rsidR="00387802" w:rsidRPr="00365A20">
              <w:rPr>
                <w:rStyle w:val="Hyperlink"/>
                <w:noProof/>
                <w14:scene3d>
                  <w14:camera w14:prst="orthographicFront"/>
                  <w14:lightRig w14:rig="threePt" w14:dir="t">
                    <w14:rot w14:lat="0" w14:lon="0" w14:rev="0"/>
                  </w14:lightRig>
                </w14:scene3d>
              </w:rPr>
              <w:t>5.3.1</w:t>
            </w:r>
            <w:r w:rsidR="00387802">
              <w:rPr>
                <w:rFonts w:asciiTheme="minorHAnsi" w:eastAsiaTheme="minorEastAsia" w:hAnsiTheme="minorHAnsi"/>
                <w:noProof/>
                <w:spacing w:val="0"/>
                <w:sz w:val="22"/>
                <w:szCs w:val="22"/>
              </w:rPr>
              <w:tab/>
            </w:r>
            <w:r w:rsidR="00387802" w:rsidRPr="00365A20">
              <w:rPr>
                <w:rStyle w:val="Hyperlink"/>
                <w:noProof/>
              </w:rPr>
              <w:t>Access Control</w:t>
            </w:r>
            <w:r w:rsidR="00387802">
              <w:rPr>
                <w:noProof/>
                <w:webHidden/>
              </w:rPr>
              <w:tab/>
            </w:r>
            <w:r w:rsidR="00387802">
              <w:rPr>
                <w:noProof/>
                <w:webHidden/>
              </w:rPr>
              <w:fldChar w:fldCharType="begin"/>
            </w:r>
            <w:r w:rsidR="00387802">
              <w:rPr>
                <w:noProof/>
                <w:webHidden/>
              </w:rPr>
              <w:instrText xml:space="preserve"> PAGEREF _Toc431288815 \h </w:instrText>
            </w:r>
            <w:r w:rsidR="00387802">
              <w:rPr>
                <w:noProof/>
                <w:webHidden/>
              </w:rPr>
            </w:r>
            <w:r w:rsidR="00387802">
              <w:rPr>
                <w:noProof/>
                <w:webHidden/>
              </w:rPr>
              <w:fldChar w:fldCharType="separate"/>
            </w:r>
            <w:r w:rsidR="00387802">
              <w:rPr>
                <w:noProof/>
                <w:webHidden/>
              </w:rPr>
              <w:t>91</w:t>
            </w:r>
            <w:r w:rsidR="00387802">
              <w:rPr>
                <w:noProof/>
                <w:webHidden/>
              </w:rPr>
              <w:fldChar w:fldCharType="end"/>
            </w:r>
          </w:hyperlink>
        </w:p>
        <w:p w14:paraId="5A6507CA" w14:textId="727C3D73" w:rsidR="00387802" w:rsidRDefault="00872E47">
          <w:pPr>
            <w:pStyle w:val="TOC3"/>
            <w:tabs>
              <w:tab w:val="left" w:pos="1320"/>
            </w:tabs>
            <w:rPr>
              <w:rFonts w:asciiTheme="minorHAnsi" w:eastAsiaTheme="minorEastAsia" w:hAnsiTheme="minorHAnsi"/>
              <w:noProof/>
              <w:spacing w:val="0"/>
              <w:sz w:val="22"/>
              <w:szCs w:val="22"/>
            </w:rPr>
          </w:pPr>
          <w:hyperlink w:anchor="_Toc431288816" w:history="1">
            <w:r w:rsidR="00387802" w:rsidRPr="00365A20">
              <w:rPr>
                <w:rStyle w:val="Hyperlink"/>
                <w:noProof/>
                <w14:scene3d>
                  <w14:camera w14:prst="orthographicFront"/>
                  <w14:lightRig w14:rig="threePt" w14:dir="t">
                    <w14:rot w14:lat="0" w14:lon="0" w14:rev="0"/>
                  </w14:lightRig>
                </w14:scene3d>
              </w:rPr>
              <w:t>5.3.2</w:t>
            </w:r>
            <w:r w:rsidR="00387802">
              <w:rPr>
                <w:rFonts w:asciiTheme="minorHAnsi" w:eastAsiaTheme="minorEastAsia" w:hAnsiTheme="minorHAnsi"/>
                <w:noProof/>
                <w:spacing w:val="0"/>
                <w:sz w:val="22"/>
                <w:szCs w:val="22"/>
              </w:rPr>
              <w:tab/>
            </w:r>
            <w:r w:rsidR="00387802" w:rsidRPr="00365A20">
              <w:rPr>
                <w:rStyle w:val="Hyperlink"/>
                <w:noProof/>
              </w:rPr>
              <w:t>Authentication</w:t>
            </w:r>
            <w:r w:rsidR="00387802">
              <w:rPr>
                <w:noProof/>
                <w:webHidden/>
              </w:rPr>
              <w:tab/>
            </w:r>
            <w:r w:rsidR="00387802">
              <w:rPr>
                <w:noProof/>
                <w:webHidden/>
              </w:rPr>
              <w:fldChar w:fldCharType="begin"/>
            </w:r>
            <w:r w:rsidR="00387802">
              <w:rPr>
                <w:noProof/>
                <w:webHidden/>
              </w:rPr>
              <w:instrText xml:space="preserve"> PAGEREF _Toc431288816 \h </w:instrText>
            </w:r>
            <w:r w:rsidR="00387802">
              <w:rPr>
                <w:noProof/>
                <w:webHidden/>
              </w:rPr>
            </w:r>
            <w:r w:rsidR="00387802">
              <w:rPr>
                <w:noProof/>
                <w:webHidden/>
              </w:rPr>
              <w:fldChar w:fldCharType="separate"/>
            </w:r>
            <w:r w:rsidR="00387802">
              <w:rPr>
                <w:noProof/>
                <w:webHidden/>
              </w:rPr>
              <w:t>91</w:t>
            </w:r>
            <w:r w:rsidR="00387802">
              <w:rPr>
                <w:noProof/>
                <w:webHidden/>
              </w:rPr>
              <w:fldChar w:fldCharType="end"/>
            </w:r>
          </w:hyperlink>
        </w:p>
        <w:p w14:paraId="70E8BADA" w14:textId="2DF15173" w:rsidR="00387802" w:rsidRDefault="00872E47">
          <w:pPr>
            <w:pStyle w:val="TOC3"/>
            <w:tabs>
              <w:tab w:val="left" w:pos="1320"/>
            </w:tabs>
            <w:rPr>
              <w:rFonts w:asciiTheme="minorHAnsi" w:eastAsiaTheme="minorEastAsia" w:hAnsiTheme="minorHAnsi"/>
              <w:noProof/>
              <w:spacing w:val="0"/>
              <w:sz w:val="22"/>
              <w:szCs w:val="22"/>
            </w:rPr>
          </w:pPr>
          <w:hyperlink w:anchor="_Toc431288817" w:history="1">
            <w:r w:rsidR="00387802" w:rsidRPr="00365A20">
              <w:rPr>
                <w:rStyle w:val="Hyperlink"/>
                <w:noProof/>
                <w14:scene3d>
                  <w14:camera w14:prst="orthographicFront"/>
                  <w14:lightRig w14:rig="threePt" w14:dir="t">
                    <w14:rot w14:lat="0" w14:lon="0" w14:rev="0"/>
                  </w14:lightRig>
                </w14:scene3d>
              </w:rPr>
              <w:t>5.3.3</w:t>
            </w:r>
            <w:r w:rsidR="00387802">
              <w:rPr>
                <w:rFonts w:asciiTheme="minorHAnsi" w:eastAsiaTheme="minorEastAsia" w:hAnsiTheme="minorHAnsi"/>
                <w:noProof/>
                <w:spacing w:val="0"/>
                <w:sz w:val="22"/>
                <w:szCs w:val="22"/>
              </w:rPr>
              <w:tab/>
            </w:r>
            <w:r w:rsidR="00387802" w:rsidRPr="00365A20">
              <w:rPr>
                <w:rStyle w:val="Hyperlink"/>
                <w:noProof/>
              </w:rPr>
              <w:t>Encryption</w:t>
            </w:r>
            <w:r w:rsidR="00387802">
              <w:rPr>
                <w:noProof/>
                <w:webHidden/>
              </w:rPr>
              <w:tab/>
            </w:r>
            <w:r w:rsidR="00387802">
              <w:rPr>
                <w:noProof/>
                <w:webHidden/>
              </w:rPr>
              <w:fldChar w:fldCharType="begin"/>
            </w:r>
            <w:r w:rsidR="00387802">
              <w:rPr>
                <w:noProof/>
                <w:webHidden/>
              </w:rPr>
              <w:instrText xml:space="preserve"> PAGEREF _Toc431288817 \h </w:instrText>
            </w:r>
            <w:r w:rsidR="00387802">
              <w:rPr>
                <w:noProof/>
                <w:webHidden/>
              </w:rPr>
            </w:r>
            <w:r w:rsidR="00387802">
              <w:rPr>
                <w:noProof/>
                <w:webHidden/>
              </w:rPr>
              <w:fldChar w:fldCharType="separate"/>
            </w:r>
            <w:r w:rsidR="00387802">
              <w:rPr>
                <w:noProof/>
                <w:webHidden/>
              </w:rPr>
              <w:t>95</w:t>
            </w:r>
            <w:r w:rsidR="00387802">
              <w:rPr>
                <w:noProof/>
                <w:webHidden/>
              </w:rPr>
              <w:fldChar w:fldCharType="end"/>
            </w:r>
          </w:hyperlink>
        </w:p>
        <w:p w14:paraId="2B5541AC" w14:textId="0FBAA39B" w:rsidR="00387802" w:rsidRDefault="00872E47">
          <w:pPr>
            <w:pStyle w:val="TOC3"/>
            <w:tabs>
              <w:tab w:val="left" w:pos="1320"/>
            </w:tabs>
            <w:rPr>
              <w:rFonts w:asciiTheme="minorHAnsi" w:eastAsiaTheme="minorEastAsia" w:hAnsiTheme="minorHAnsi"/>
              <w:noProof/>
              <w:spacing w:val="0"/>
              <w:sz w:val="22"/>
              <w:szCs w:val="22"/>
            </w:rPr>
          </w:pPr>
          <w:hyperlink w:anchor="_Toc431288818" w:history="1">
            <w:r w:rsidR="00387802" w:rsidRPr="00365A20">
              <w:rPr>
                <w:rStyle w:val="Hyperlink"/>
                <w:noProof/>
                <w14:scene3d>
                  <w14:camera w14:prst="orthographicFront"/>
                  <w14:lightRig w14:rig="threePt" w14:dir="t">
                    <w14:rot w14:lat="0" w14:lon="0" w14:rev="0"/>
                  </w14:lightRig>
                </w14:scene3d>
              </w:rPr>
              <w:t>5.3.4</w:t>
            </w:r>
            <w:r w:rsidR="00387802">
              <w:rPr>
                <w:rFonts w:asciiTheme="minorHAnsi" w:eastAsiaTheme="minorEastAsia" w:hAnsiTheme="minorHAnsi"/>
                <w:noProof/>
                <w:spacing w:val="0"/>
                <w:sz w:val="22"/>
                <w:szCs w:val="22"/>
              </w:rPr>
              <w:tab/>
            </w:r>
            <w:r w:rsidR="00387802" w:rsidRPr="00365A20">
              <w:rPr>
                <w:rStyle w:val="Hyperlink"/>
                <w:noProof/>
              </w:rPr>
              <w:t>Storage Protection</w:t>
            </w:r>
            <w:r w:rsidR="00387802">
              <w:rPr>
                <w:noProof/>
                <w:webHidden/>
              </w:rPr>
              <w:tab/>
            </w:r>
            <w:r w:rsidR="00387802">
              <w:rPr>
                <w:noProof/>
                <w:webHidden/>
              </w:rPr>
              <w:fldChar w:fldCharType="begin"/>
            </w:r>
            <w:r w:rsidR="00387802">
              <w:rPr>
                <w:noProof/>
                <w:webHidden/>
              </w:rPr>
              <w:instrText xml:space="preserve"> PAGEREF _Toc431288818 \h </w:instrText>
            </w:r>
            <w:r w:rsidR="00387802">
              <w:rPr>
                <w:noProof/>
                <w:webHidden/>
              </w:rPr>
            </w:r>
            <w:r w:rsidR="00387802">
              <w:rPr>
                <w:noProof/>
                <w:webHidden/>
              </w:rPr>
              <w:fldChar w:fldCharType="separate"/>
            </w:r>
            <w:r w:rsidR="00387802">
              <w:rPr>
                <w:noProof/>
                <w:webHidden/>
              </w:rPr>
              <w:t>95</w:t>
            </w:r>
            <w:r w:rsidR="00387802">
              <w:rPr>
                <w:noProof/>
                <w:webHidden/>
              </w:rPr>
              <w:fldChar w:fldCharType="end"/>
            </w:r>
          </w:hyperlink>
        </w:p>
        <w:p w14:paraId="00C51C5C" w14:textId="504A8390" w:rsidR="00387802" w:rsidRDefault="00872E47">
          <w:pPr>
            <w:pStyle w:val="TOC2"/>
            <w:tabs>
              <w:tab w:val="left" w:pos="880"/>
              <w:tab w:val="right" w:leader="dot" w:pos="9350"/>
            </w:tabs>
            <w:rPr>
              <w:rFonts w:asciiTheme="minorHAnsi" w:hAnsiTheme="minorHAnsi"/>
              <w:noProof/>
            </w:rPr>
          </w:pPr>
          <w:hyperlink w:anchor="_Toc431288819" w:history="1">
            <w:r w:rsidR="00387802" w:rsidRPr="00365A20">
              <w:rPr>
                <w:rStyle w:val="Hyperlink"/>
                <w:noProof/>
              </w:rPr>
              <w:t>5.4</w:t>
            </w:r>
            <w:r w:rsidR="00387802">
              <w:rPr>
                <w:rFonts w:asciiTheme="minorHAnsi" w:hAnsiTheme="minorHAnsi"/>
                <w:noProof/>
              </w:rPr>
              <w:tab/>
            </w:r>
            <w:r w:rsidR="00387802" w:rsidRPr="00365A20">
              <w:rPr>
                <w:rStyle w:val="Hyperlink"/>
                <w:noProof/>
              </w:rPr>
              <w:t>Storage for IaaS</w:t>
            </w:r>
            <w:r w:rsidR="00387802">
              <w:rPr>
                <w:noProof/>
                <w:webHidden/>
              </w:rPr>
              <w:tab/>
            </w:r>
            <w:r w:rsidR="00387802">
              <w:rPr>
                <w:noProof/>
                <w:webHidden/>
              </w:rPr>
              <w:fldChar w:fldCharType="begin"/>
            </w:r>
            <w:r w:rsidR="00387802">
              <w:rPr>
                <w:noProof/>
                <w:webHidden/>
              </w:rPr>
              <w:instrText xml:space="preserve"> PAGEREF _Toc431288819 \h </w:instrText>
            </w:r>
            <w:r w:rsidR="00387802">
              <w:rPr>
                <w:noProof/>
                <w:webHidden/>
              </w:rPr>
            </w:r>
            <w:r w:rsidR="00387802">
              <w:rPr>
                <w:noProof/>
                <w:webHidden/>
              </w:rPr>
              <w:fldChar w:fldCharType="separate"/>
            </w:r>
            <w:r w:rsidR="00387802">
              <w:rPr>
                <w:noProof/>
                <w:webHidden/>
              </w:rPr>
              <w:t>99</w:t>
            </w:r>
            <w:r w:rsidR="00387802">
              <w:rPr>
                <w:noProof/>
                <w:webHidden/>
              </w:rPr>
              <w:fldChar w:fldCharType="end"/>
            </w:r>
          </w:hyperlink>
        </w:p>
        <w:p w14:paraId="24DDA3BB" w14:textId="0C8A898C" w:rsidR="00387802" w:rsidRDefault="00872E47">
          <w:pPr>
            <w:pStyle w:val="TOC3"/>
            <w:tabs>
              <w:tab w:val="left" w:pos="1320"/>
            </w:tabs>
            <w:rPr>
              <w:rFonts w:asciiTheme="minorHAnsi" w:eastAsiaTheme="minorEastAsia" w:hAnsiTheme="minorHAnsi"/>
              <w:noProof/>
              <w:spacing w:val="0"/>
              <w:sz w:val="22"/>
              <w:szCs w:val="22"/>
            </w:rPr>
          </w:pPr>
          <w:hyperlink w:anchor="_Toc431288820" w:history="1">
            <w:r w:rsidR="00387802" w:rsidRPr="00365A20">
              <w:rPr>
                <w:rStyle w:val="Hyperlink"/>
                <w:rFonts w:eastAsia="Times New Roman" w:cs="Times New Roman"/>
                <w:noProof/>
                <w14:scene3d>
                  <w14:camera w14:prst="orthographicFront"/>
                  <w14:lightRig w14:rig="threePt" w14:dir="t">
                    <w14:rot w14:lat="0" w14:lon="0" w14:rev="0"/>
                  </w14:lightRig>
                </w14:scene3d>
              </w:rPr>
              <w:t>5.4.1</w:t>
            </w:r>
            <w:r w:rsidR="00387802">
              <w:rPr>
                <w:rFonts w:asciiTheme="minorHAnsi" w:eastAsiaTheme="minorEastAsia" w:hAnsiTheme="minorHAnsi"/>
                <w:noProof/>
                <w:spacing w:val="0"/>
                <w:sz w:val="22"/>
                <w:szCs w:val="22"/>
              </w:rPr>
              <w:tab/>
            </w:r>
            <w:r w:rsidR="00387802" w:rsidRPr="00365A20">
              <w:rPr>
                <w:rStyle w:val="Hyperlink"/>
                <w:noProof/>
              </w:rPr>
              <w:t>Disks</w:t>
            </w:r>
            <w:r w:rsidR="00387802">
              <w:rPr>
                <w:noProof/>
                <w:webHidden/>
              </w:rPr>
              <w:tab/>
            </w:r>
            <w:r w:rsidR="00387802">
              <w:rPr>
                <w:noProof/>
                <w:webHidden/>
              </w:rPr>
              <w:fldChar w:fldCharType="begin"/>
            </w:r>
            <w:r w:rsidR="00387802">
              <w:rPr>
                <w:noProof/>
                <w:webHidden/>
              </w:rPr>
              <w:instrText xml:space="preserve"> PAGEREF _Toc431288820 \h </w:instrText>
            </w:r>
            <w:r w:rsidR="00387802">
              <w:rPr>
                <w:noProof/>
                <w:webHidden/>
              </w:rPr>
            </w:r>
            <w:r w:rsidR="00387802">
              <w:rPr>
                <w:noProof/>
                <w:webHidden/>
              </w:rPr>
              <w:fldChar w:fldCharType="separate"/>
            </w:r>
            <w:r w:rsidR="00387802">
              <w:rPr>
                <w:noProof/>
                <w:webHidden/>
              </w:rPr>
              <w:t>99</w:t>
            </w:r>
            <w:r w:rsidR="00387802">
              <w:rPr>
                <w:noProof/>
                <w:webHidden/>
              </w:rPr>
              <w:fldChar w:fldCharType="end"/>
            </w:r>
          </w:hyperlink>
        </w:p>
        <w:p w14:paraId="65DEFA26" w14:textId="140BE8CA" w:rsidR="00387802" w:rsidRDefault="00872E47">
          <w:pPr>
            <w:pStyle w:val="TOC3"/>
            <w:tabs>
              <w:tab w:val="left" w:pos="1320"/>
            </w:tabs>
            <w:rPr>
              <w:rFonts w:asciiTheme="minorHAnsi" w:eastAsiaTheme="minorEastAsia" w:hAnsiTheme="minorHAnsi"/>
              <w:noProof/>
              <w:spacing w:val="0"/>
              <w:sz w:val="22"/>
              <w:szCs w:val="22"/>
            </w:rPr>
          </w:pPr>
          <w:hyperlink w:anchor="_Toc431288821" w:history="1">
            <w:r w:rsidR="00387802" w:rsidRPr="00365A20">
              <w:rPr>
                <w:rStyle w:val="Hyperlink"/>
                <w:rFonts w:eastAsia="Times New Roman" w:cs="Times New Roman"/>
                <w:noProof/>
                <w14:scene3d>
                  <w14:camera w14:prst="orthographicFront"/>
                  <w14:lightRig w14:rig="threePt" w14:dir="t">
                    <w14:rot w14:lat="0" w14:lon="0" w14:rev="0"/>
                  </w14:lightRig>
                </w14:scene3d>
              </w:rPr>
              <w:t>5.4.2</w:t>
            </w:r>
            <w:r w:rsidR="00387802">
              <w:rPr>
                <w:rFonts w:asciiTheme="minorHAnsi" w:eastAsiaTheme="minorEastAsia" w:hAnsiTheme="minorHAnsi"/>
                <w:noProof/>
                <w:spacing w:val="0"/>
                <w:sz w:val="22"/>
                <w:szCs w:val="22"/>
              </w:rPr>
              <w:tab/>
            </w:r>
            <w:r w:rsidR="00387802" w:rsidRPr="00365A20">
              <w:rPr>
                <w:rStyle w:val="Hyperlink"/>
                <w:noProof/>
              </w:rPr>
              <w:t>Temporary Disk</w:t>
            </w:r>
            <w:r w:rsidR="00387802">
              <w:rPr>
                <w:noProof/>
                <w:webHidden/>
              </w:rPr>
              <w:tab/>
            </w:r>
            <w:r w:rsidR="00387802">
              <w:rPr>
                <w:noProof/>
                <w:webHidden/>
              </w:rPr>
              <w:fldChar w:fldCharType="begin"/>
            </w:r>
            <w:r w:rsidR="00387802">
              <w:rPr>
                <w:noProof/>
                <w:webHidden/>
              </w:rPr>
              <w:instrText xml:space="preserve"> PAGEREF _Toc431288821 \h </w:instrText>
            </w:r>
            <w:r w:rsidR="00387802">
              <w:rPr>
                <w:noProof/>
                <w:webHidden/>
              </w:rPr>
            </w:r>
            <w:r w:rsidR="00387802">
              <w:rPr>
                <w:noProof/>
                <w:webHidden/>
              </w:rPr>
              <w:fldChar w:fldCharType="separate"/>
            </w:r>
            <w:r w:rsidR="00387802">
              <w:rPr>
                <w:noProof/>
                <w:webHidden/>
              </w:rPr>
              <w:t>100</w:t>
            </w:r>
            <w:r w:rsidR="00387802">
              <w:rPr>
                <w:noProof/>
                <w:webHidden/>
              </w:rPr>
              <w:fldChar w:fldCharType="end"/>
            </w:r>
          </w:hyperlink>
        </w:p>
        <w:p w14:paraId="362F7882" w14:textId="4BD2BE1D" w:rsidR="00387802" w:rsidRDefault="00872E47">
          <w:pPr>
            <w:pStyle w:val="TOC3"/>
            <w:tabs>
              <w:tab w:val="left" w:pos="1320"/>
            </w:tabs>
            <w:rPr>
              <w:rFonts w:asciiTheme="minorHAnsi" w:eastAsiaTheme="minorEastAsia" w:hAnsiTheme="minorHAnsi"/>
              <w:noProof/>
              <w:spacing w:val="0"/>
              <w:sz w:val="22"/>
              <w:szCs w:val="22"/>
            </w:rPr>
          </w:pPr>
          <w:hyperlink w:anchor="_Toc431288822" w:history="1">
            <w:r w:rsidR="00387802" w:rsidRPr="00365A20">
              <w:rPr>
                <w:rStyle w:val="Hyperlink"/>
                <w:noProof/>
                <w14:scene3d>
                  <w14:camera w14:prst="orthographicFront"/>
                  <w14:lightRig w14:rig="threePt" w14:dir="t">
                    <w14:rot w14:lat="0" w14:lon="0" w14:rev="0"/>
                  </w14:lightRig>
                </w14:scene3d>
              </w:rPr>
              <w:t>5.4.3</w:t>
            </w:r>
            <w:r w:rsidR="00387802">
              <w:rPr>
                <w:rFonts w:asciiTheme="minorHAnsi" w:eastAsiaTheme="minorEastAsia" w:hAnsiTheme="minorHAnsi"/>
                <w:noProof/>
                <w:spacing w:val="0"/>
                <w:sz w:val="22"/>
                <w:szCs w:val="22"/>
              </w:rPr>
              <w:tab/>
            </w:r>
            <w:r w:rsidR="00387802" w:rsidRPr="00365A20">
              <w:rPr>
                <w:rStyle w:val="Hyperlink"/>
                <w:noProof/>
              </w:rPr>
              <w:t>Caching</w:t>
            </w:r>
            <w:r w:rsidR="00387802">
              <w:rPr>
                <w:noProof/>
                <w:webHidden/>
              </w:rPr>
              <w:tab/>
            </w:r>
            <w:r w:rsidR="00387802">
              <w:rPr>
                <w:noProof/>
                <w:webHidden/>
              </w:rPr>
              <w:fldChar w:fldCharType="begin"/>
            </w:r>
            <w:r w:rsidR="00387802">
              <w:rPr>
                <w:noProof/>
                <w:webHidden/>
              </w:rPr>
              <w:instrText xml:space="preserve"> PAGEREF _Toc431288822 \h </w:instrText>
            </w:r>
            <w:r w:rsidR="00387802">
              <w:rPr>
                <w:noProof/>
                <w:webHidden/>
              </w:rPr>
            </w:r>
            <w:r w:rsidR="00387802">
              <w:rPr>
                <w:noProof/>
                <w:webHidden/>
              </w:rPr>
              <w:fldChar w:fldCharType="separate"/>
            </w:r>
            <w:r w:rsidR="00387802">
              <w:rPr>
                <w:noProof/>
                <w:webHidden/>
              </w:rPr>
              <w:t>100</w:t>
            </w:r>
            <w:r w:rsidR="00387802">
              <w:rPr>
                <w:noProof/>
                <w:webHidden/>
              </w:rPr>
              <w:fldChar w:fldCharType="end"/>
            </w:r>
          </w:hyperlink>
        </w:p>
        <w:p w14:paraId="562ED636" w14:textId="119E520F" w:rsidR="00387802" w:rsidRDefault="00872E47">
          <w:pPr>
            <w:pStyle w:val="TOC3"/>
            <w:tabs>
              <w:tab w:val="left" w:pos="1320"/>
            </w:tabs>
            <w:rPr>
              <w:rFonts w:asciiTheme="minorHAnsi" w:eastAsiaTheme="minorEastAsia" w:hAnsiTheme="minorHAnsi"/>
              <w:noProof/>
              <w:spacing w:val="0"/>
              <w:sz w:val="22"/>
              <w:szCs w:val="22"/>
            </w:rPr>
          </w:pPr>
          <w:hyperlink w:anchor="_Toc431288823" w:history="1">
            <w:r w:rsidR="00387802" w:rsidRPr="00365A20">
              <w:rPr>
                <w:rStyle w:val="Hyperlink"/>
                <w:rFonts w:eastAsia="Times New Roman" w:cs="Times New Roman"/>
                <w:noProof/>
                <w14:scene3d>
                  <w14:camera w14:prst="orthographicFront"/>
                  <w14:lightRig w14:rig="threePt" w14:dir="t">
                    <w14:rot w14:lat="0" w14:lon="0" w14:rev="0"/>
                  </w14:lightRig>
                </w14:scene3d>
              </w:rPr>
              <w:t>5.4.4</w:t>
            </w:r>
            <w:r w:rsidR="00387802">
              <w:rPr>
                <w:rFonts w:asciiTheme="minorHAnsi" w:eastAsiaTheme="minorEastAsia" w:hAnsiTheme="minorHAnsi"/>
                <w:noProof/>
                <w:spacing w:val="0"/>
                <w:sz w:val="22"/>
                <w:szCs w:val="22"/>
              </w:rPr>
              <w:tab/>
            </w:r>
            <w:r w:rsidR="00387802" w:rsidRPr="00365A20">
              <w:rPr>
                <w:rStyle w:val="Hyperlink"/>
                <w:noProof/>
              </w:rPr>
              <w:t>Images</w:t>
            </w:r>
            <w:r w:rsidR="00387802">
              <w:rPr>
                <w:noProof/>
                <w:webHidden/>
              </w:rPr>
              <w:tab/>
            </w:r>
            <w:r w:rsidR="00387802">
              <w:rPr>
                <w:noProof/>
                <w:webHidden/>
              </w:rPr>
              <w:fldChar w:fldCharType="begin"/>
            </w:r>
            <w:r w:rsidR="00387802">
              <w:rPr>
                <w:noProof/>
                <w:webHidden/>
              </w:rPr>
              <w:instrText xml:space="preserve"> PAGEREF _Toc431288823 \h </w:instrText>
            </w:r>
            <w:r w:rsidR="00387802">
              <w:rPr>
                <w:noProof/>
                <w:webHidden/>
              </w:rPr>
            </w:r>
            <w:r w:rsidR="00387802">
              <w:rPr>
                <w:noProof/>
                <w:webHidden/>
              </w:rPr>
              <w:fldChar w:fldCharType="separate"/>
            </w:r>
            <w:r w:rsidR="00387802">
              <w:rPr>
                <w:noProof/>
                <w:webHidden/>
              </w:rPr>
              <w:t>100</w:t>
            </w:r>
            <w:r w:rsidR="00387802">
              <w:rPr>
                <w:noProof/>
                <w:webHidden/>
              </w:rPr>
              <w:fldChar w:fldCharType="end"/>
            </w:r>
          </w:hyperlink>
        </w:p>
        <w:p w14:paraId="5DDCBE4A" w14:textId="4E09E1D9" w:rsidR="00387802" w:rsidRDefault="00872E47">
          <w:pPr>
            <w:pStyle w:val="TOC3"/>
            <w:tabs>
              <w:tab w:val="left" w:pos="1320"/>
            </w:tabs>
            <w:rPr>
              <w:rFonts w:asciiTheme="minorHAnsi" w:eastAsiaTheme="minorEastAsia" w:hAnsiTheme="minorHAnsi"/>
              <w:noProof/>
              <w:spacing w:val="0"/>
              <w:sz w:val="22"/>
              <w:szCs w:val="22"/>
            </w:rPr>
          </w:pPr>
          <w:hyperlink w:anchor="_Toc431288824" w:history="1">
            <w:r w:rsidR="00387802" w:rsidRPr="00365A20">
              <w:rPr>
                <w:rStyle w:val="Hyperlink"/>
                <w:noProof/>
                <w14:scene3d>
                  <w14:camera w14:prst="orthographicFront"/>
                  <w14:lightRig w14:rig="threePt" w14:dir="t">
                    <w14:rot w14:lat="0" w14:lon="0" w14:rev="0"/>
                  </w14:lightRig>
                </w14:scene3d>
              </w:rPr>
              <w:t>5.4.5</w:t>
            </w:r>
            <w:r w:rsidR="00387802">
              <w:rPr>
                <w:rFonts w:asciiTheme="minorHAnsi" w:eastAsiaTheme="minorEastAsia" w:hAnsiTheme="minorHAnsi"/>
                <w:noProof/>
                <w:spacing w:val="0"/>
                <w:sz w:val="22"/>
                <w:szCs w:val="22"/>
              </w:rPr>
              <w:tab/>
            </w:r>
            <w:r w:rsidR="00387802" w:rsidRPr="00365A20">
              <w:rPr>
                <w:rStyle w:val="Hyperlink"/>
                <w:noProof/>
              </w:rPr>
              <w:t>VHD Files</w:t>
            </w:r>
            <w:r w:rsidR="00387802">
              <w:rPr>
                <w:noProof/>
                <w:webHidden/>
              </w:rPr>
              <w:tab/>
            </w:r>
            <w:r w:rsidR="00387802">
              <w:rPr>
                <w:noProof/>
                <w:webHidden/>
              </w:rPr>
              <w:fldChar w:fldCharType="begin"/>
            </w:r>
            <w:r w:rsidR="00387802">
              <w:rPr>
                <w:noProof/>
                <w:webHidden/>
              </w:rPr>
              <w:instrText xml:space="preserve"> PAGEREF _Toc431288824 \h </w:instrText>
            </w:r>
            <w:r w:rsidR="00387802">
              <w:rPr>
                <w:noProof/>
                <w:webHidden/>
              </w:rPr>
            </w:r>
            <w:r w:rsidR="00387802">
              <w:rPr>
                <w:noProof/>
                <w:webHidden/>
              </w:rPr>
              <w:fldChar w:fldCharType="separate"/>
            </w:r>
            <w:r w:rsidR="00387802">
              <w:rPr>
                <w:noProof/>
                <w:webHidden/>
              </w:rPr>
              <w:t>100</w:t>
            </w:r>
            <w:r w:rsidR="00387802">
              <w:rPr>
                <w:noProof/>
                <w:webHidden/>
              </w:rPr>
              <w:fldChar w:fldCharType="end"/>
            </w:r>
          </w:hyperlink>
        </w:p>
        <w:p w14:paraId="787D1391" w14:textId="4D800A1E" w:rsidR="00387802" w:rsidRDefault="00872E47">
          <w:pPr>
            <w:pStyle w:val="TOC2"/>
            <w:tabs>
              <w:tab w:val="left" w:pos="880"/>
              <w:tab w:val="right" w:leader="dot" w:pos="9350"/>
            </w:tabs>
            <w:rPr>
              <w:rFonts w:asciiTheme="minorHAnsi" w:hAnsiTheme="minorHAnsi"/>
              <w:noProof/>
            </w:rPr>
          </w:pPr>
          <w:hyperlink w:anchor="_Toc431288825" w:history="1">
            <w:r w:rsidR="00387802" w:rsidRPr="00365A20">
              <w:rPr>
                <w:rStyle w:val="Hyperlink"/>
                <w:noProof/>
              </w:rPr>
              <w:t>5.5</w:t>
            </w:r>
            <w:r w:rsidR="00387802">
              <w:rPr>
                <w:rFonts w:asciiTheme="minorHAnsi" w:hAnsiTheme="minorHAnsi"/>
                <w:noProof/>
              </w:rPr>
              <w:tab/>
            </w:r>
            <w:r w:rsidR="00387802" w:rsidRPr="00365A20">
              <w:rPr>
                <w:rStyle w:val="Hyperlink"/>
                <w:noProof/>
              </w:rPr>
              <w:t>Storage Management</w:t>
            </w:r>
            <w:r w:rsidR="00387802">
              <w:rPr>
                <w:noProof/>
                <w:webHidden/>
              </w:rPr>
              <w:tab/>
            </w:r>
            <w:r w:rsidR="00387802">
              <w:rPr>
                <w:noProof/>
                <w:webHidden/>
              </w:rPr>
              <w:fldChar w:fldCharType="begin"/>
            </w:r>
            <w:r w:rsidR="00387802">
              <w:rPr>
                <w:noProof/>
                <w:webHidden/>
              </w:rPr>
              <w:instrText xml:space="preserve"> PAGEREF _Toc431288825 \h </w:instrText>
            </w:r>
            <w:r w:rsidR="00387802">
              <w:rPr>
                <w:noProof/>
                <w:webHidden/>
              </w:rPr>
            </w:r>
            <w:r w:rsidR="00387802">
              <w:rPr>
                <w:noProof/>
                <w:webHidden/>
              </w:rPr>
              <w:fldChar w:fldCharType="separate"/>
            </w:r>
            <w:r w:rsidR="00387802">
              <w:rPr>
                <w:noProof/>
                <w:webHidden/>
              </w:rPr>
              <w:t>105</w:t>
            </w:r>
            <w:r w:rsidR="00387802">
              <w:rPr>
                <w:noProof/>
                <w:webHidden/>
              </w:rPr>
              <w:fldChar w:fldCharType="end"/>
            </w:r>
          </w:hyperlink>
        </w:p>
        <w:p w14:paraId="71649716" w14:textId="73230A02" w:rsidR="00387802" w:rsidRDefault="00872E47">
          <w:pPr>
            <w:pStyle w:val="TOC3"/>
            <w:tabs>
              <w:tab w:val="left" w:pos="1320"/>
            </w:tabs>
            <w:rPr>
              <w:rFonts w:asciiTheme="minorHAnsi" w:eastAsiaTheme="minorEastAsia" w:hAnsiTheme="minorHAnsi"/>
              <w:noProof/>
              <w:spacing w:val="0"/>
              <w:sz w:val="22"/>
              <w:szCs w:val="22"/>
            </w:rPr>
          </w:pPr>
          <w:hyperlink w:anchor="_Toc431288826" w:history="1">
            <w:r w:rsidR="00387802" w:rsidRPr="00365A20">
              <w:rPr>
                <w:rStyle w:val="Hyperlink"/>
                <w:noProof/>
                <w14:scene3d>
                  <w14:camera w14:prst="orthographicFront"/>
                  <w14:lightRig w14:rig="threePt" w14:dir="t">
                    <w14:rot w14:lat="0" w14:lon="0" w14:rev="0"/>
                  </w14:lightRig>
                </w14:scene3d>
              </w:rPr>
              <w:t>5.5.1</w:t>
            </w:r>
            <w:r w:rsidR="00387802">
              <w:rPr>
                <w:rFonts w:asciiTheme="minorHAnsi" w:eastAsiaTheme="minorEastAsia" w:hAnsiTheme="minorHAnsi"/>
                <w:noProof/>
                <w:spacing w:val="0"/>
                <w:sz w:val="22"/>
                <w:szCs w:val="22"/>
              </w:rPr>
              <w:tab/>
            </w:r>
            <w:r w:rsidR="00387802" w:rsidRPr="00365A20">
              <w:rPr>
                <w:rStyle w:val="Hyperlink"/>
                <w:noProof/>
              </w:rPr>
              <w:t>Graphical User Interface (GUI) Tools</w:t>
            </w:r>
            <w:r w:rsidR="00387802">
              <w:rPr>
                <w:noProof/>
                <w:webHidden/>
              </w:rPr>
              <w:tab/>
            </w:r>
            <w:r w:rsidR="00387802">
              <w:rPr>
                <w:noProof/>
                <w:webHidden/>
              </w:rPr>
              <w:fldChar w:fldCharType="begin"/>
            </w:r>
            <w:r w:rsidR="00387802">
              <w:rPr>
                <w:noProof/>
                <w:webHidden/>
              </w:rPr>
              <w:instrText xml:space="preserve"> PAGEREF _Toc431288826 \h </w:instrText>
            </w:r>
            <w:r w:rsidR="00387802">
              <w:rPr>
                <w:noProof/>
                <w:webHidden/>
              </w:rPr>
            </w:r>
            <w:r w:rsidR="00387802">
              <w:rPr>
                <w:noProof/>
                <w:webHidden/>
              </w:rPr>
              <w:fldChar w:fldCharType="separate"/>
            </w:r>
            <w:r w:rsidR="00387802">
              <w:rPr>
                <w:noProof/>
                <w:webHidden/>
              </w:rPr>
              <w:t>105</w:t>
            </w:r>
            <w:r w:rsidR="00387802">
              <w:rPr>
                <w:noProof/>
                <w:webHidden/>
              </w:rPr>
              <w:fldChar w:fldCharType="end"/>
            </w:r>
          </w:hyperlink>
        </w:p>
        <w:p w14:paraId="3B05191C" w14:textId="14C47833" w:rsidR="00387802" w:rsidRDefault="00872E47">
          <w:pPr>
            <w:pStyle w:val="TOC3"/>
            <w:tabs>
              <w:tab w:val="left" w:pos="1320"/>
            </w:tabs>
            <w:rPr>
              <w:rFonts w:asciiTheme="minorHAnsi" w:eastAsiaTheme="minorEastAsia" w:hAnsiTheme="minorHAnsi"/>
              <w:noProof/>
              <w:spacing w:val="0"/>
              <w:sz w:val="22"/>
              <w:szCs w:val="22"/>
            </w:rPr>
          </w:pPr>
          <w:hyperlink w:anchor="_Toc431288827" w:history="1">
            <w:r w:rsidR="00387802" w:rsidRPr="00365A20">
              <w:rPr>
                <w:rStyle w:val="Hyperlink"/>
                <w:noProof/>
                <w14:scene3d>
                  <w14:camera w14:prst="orthographicFront"/>
                  <w14:lightRig w14:rig="threePt" w14:dir="t">
                    <w14:rot w14:lat="0" w14:lon="0" w14:rev="0"/>
                  </w14:lightRig>
                </w14:scene3d>
              </w:rPr>
              <w:t>5.5.2</w:t>
            </w:r>
            <w:r w:rsidR="00387802">
              <w:rPr>
                <w:rFonts w:asciiTheme="minorHAnsi" w:eastAsiaTheme="minorEastAsia" w:hAnsiTheme="minorHAnsi"/>
                <w:noProof/>
                <w:spacing w:val="0"/>
                <w:sz w:val="22"/>
                <w:szCs w:val="22"/>
              </w:rPr>
              <w:tab/>
            </w:r>
            <w:r w:rsidR="00387802" w:rsidRPr="00365A20">
              <w:rPr>
                <w:rStyle w:val="Hyperlink"/>
                <w:noProof/>
              </w:rPr>
              <w:t>Command-Line Interface (CLI) Tools</w:t>
            </w:r>
            <w:r w:rsidR="00387802">
              <w:rPr>
                <w:noProof/>
                <w:webHidden/>
              </w:rPr>
              <w:tab/>
            </w:r>
            <w:r w:rsidR="00387802">
              <w:rPr>
                <w:noProof/>
                <w:webHidden/>
              </w:rPr>
              <w:fldChar w:fldCharType="begin"/>
            </w:r>
            <w:r w:rsidR="00387802">
              <w:rPr>
                <w:noProof/>
                <w:webHidden/>
              </w:rPr>
              <w:instrText xml:space="preserve"> PAGEREF _Toc431288827 \h </w:instrText>
            </w:r>
            <w:r w:rsidR="00387802">
              <w:rPr>
                <w:noProof/>
                <w:webHidden/>
              </w:rPr>
            </w:r>
            <w:r w:rsidR="00387802">
              <w:rPr>
                <w:noProof/>
                <w:webHidden/>
              </w:rPr>
              <w:fldChar w:fldCharType="separate"/>
            </w:r>
            <w:r w:rsidR="00387802">
              <w:rPr>
                <w:noProof/>
                <w:webHidden/>
              </w:rPr>
              <w:t>105</w:t>
            </w:r>
            <w:r w:rsidR="00387802">
              <w:rPr>
                <w:noProof/>
                <w:webHidden/>
              </w:rPr>
              <w:fldChar w:fldCharType="end"/>
            </w:r>
          </w:hyperlink>
        </w:p>
        <w:p w14:paraId="4DA11339" w14:textId="2D4092D1" w:rsidR="00387802" w:rsidRDefault="00872E47">
          <w:pPr>
            <w:pStyle w:val="TOC3"/>
            <w:tabs>
              <w:tab w:val="left" w:pos="1320"/>
            </w:tabs>
            <w:rPr>
              <w:rFonts w:asciiTheme="minorHAnsi" w:eastAsiaTheme="minorEastAsia" w:hAnsiTheme="minorHAnsi"/>
              <w:noProof/>
              <w:spacing w:val="0"/>
              <w:sz w:val="22"/>
              <w:szCs w:val="22"/>
            </w:rPr>
          </w:pPr>
          <w:hyperlink w:anchor="_Toc431288828" w:history="1">
            <w:r w:rsidR="00387802" w:rsidRPr="00365A20">
              <w:rPr>
                <w:rStyle w:val="Hyperlink"/>
                <w:noProof/>
                <w14:scene3d>
                  <w14:camera w14:prst="orthographicFront"/>
                  <w14:lightRig w14:rig="threePt" w14:dir="t">
                    <w14:rot w14:lat="0" w14:lon="0" w14:rev="0"/>
                  </w14:lightRig>
                </w14:scene3d>
              </w:rPr>
              <w:t>5.5.3</w:t>
            </w:r>
            <w:r w:rsidR="00387802">
              <w:rPr>
                <w:rFonts w:asciiTheme="minorHAnsi" w:eastAsiaTheme="minorEastAsia" w:hAnsiTheme="minorHAnsi"/>
                <w:noProof/>
                <w:spacing w:val="0"/>
                <w:sz w:val="22"/>
                <w:szCs w:val="22"/>
              </w:rPr>
              <w:tab/>
            </w:r>
            <w:r w:rsidR="00387802" w:rsidRPr="00365A20">
              <w:rPr>
                <w:rStyle w:val="Hyperlink"/>
                <w:noProof/>
              </w:rPr>
              <w:t>REST Interfaces</w:t>
            </w:r>
            <w:r w:rsidR="00387802">
              <w:rPr>
                <w:noProof/>
                <w:webHidden/>
              </w:rPr>
              <w:tab/>
            </w:r>
            <w:r w:rsidR="00387802">
              <w:rPr>
                <w:noProof/>
                <w:webHidden/>
              </w:rPr>
              <w:fldChar w:fldCharType="begin"/>
            </w:r>
            <w:r w:rsidR="00387802">
              <w:rPr>
                <w:noProof/>
                <w:webHidden/>
              </w:rPr>
              <w:instrText xml:space="preserve"> PAGEREF _Toc431288828 \h </w:instrText>
            </w:r>
            <w:r w:rsidR="00387802">
              <w:rPr>
                <w:noProof/>
                <w:webHidden/>
              </w:rPr>
            </w:r>
            <w:r w:rsidR="00387802">
              <w:rPr>
                <w:noProof/>
                <w:webHidden/>
              </w:rPr>
              <w:fldChar w:fldCharType="separate"/>
            </w:r>
            <w:r w:rsidR="00387802">
              <w:rPr>
                <w:noProof/>
                <w:webHidden/>
              </w:rPr>
              <w:t>105</w:t>
            </w:r>
            <w:r w:rsidR="00387802">
              <w:rPr>
                <w:noProof/>
                <w:webHidden/>
              </w:rPr>
              <w:fldChar w:fldCharType="end"/>
            </w:r>
          </w:hyperlink>
        </w:p>
        <w:p w14:paraId="376B598F" w14:textId="613E5047" w:rsidR="00387802" w:rsidRDefault="00872E47">
          <w:pPr>
            <w:pStyle w:val="TOC3"/>
            <w:tabs>
              <w:tab w:val="left" w:pos="1320"/>
            </w:tabs>
            <w:rPr>
              <w:rFonts w:asciiTheme="minorHAnsi" w:eastAsiaTheme="minorEastAsia" w:hAnsiTheme="minorHAnsi"/>
              <w:noProof/>
              <w:spacing w:val="0"/>
              <w:sz w:val="22"/>
              <w:szCs w:val="22"/>
            </w:rPr>
          </w:pPr>
          <w:hyperlink w:anchor="_Toc431288829" w:history="1">
            <w:r w:rsidR="00387802" w:rsidRPr="00365A20">
              <w:rPr>
                <w:rStyle w:val="Hyperlink"/>
                <w:noProof/>
                <w14:scene3d>
                  <w14:camera w14:prst="orthographicFront"/>
                  <w14:lightRig w14:rig="threePt" w14:dir="t">
                    <w14:rot w14:lat="0" w14:lon="0" w14:rev="0"/>
                  </w14:lightRig>
                </w14:scene3d>
              </w:rPr>
              <w:t>5.5.4</w:t>
            </w:r>
            <w:r w:rsidR="00387802">
              <w:rPr>
                <w:rFonts w:asciiTheme="minorHAnsi" w:eastAsiaTheme="minorEastAsia" w:hAnsiTheme="minorHAnsi"/>
                <w:noProof/>
                <w:spacing w:val="0"/>
                <w:sz w:val="22"/>
                <w:szCs w:val="22"/>
              </w:rPr>
              <w:tab/>
            </w:r>
            <w:r w:rsidR="00387802" w:rsidRPr="00365A20">
              <w:rPr>
                <w:rStyle w:val="Hyperlink"/>
                <w:noProof/>
              </w:rPr>
              <w:t>Client Libraries</w:t>
            </w:r>
            <w:r w:rsidR="00387802">
              <w:rPr>
                <w:noProof/>
                <w:webHidden/>
              </w:rPr>
              <w:tab/>
            </w:r>
            <w:r w:rsidR="00387802">
              <w:rPr>
                <w:noProof/>
                <w:webHidden/>
              </w:rPr>
              <w:fldChar w:fldCharType="begin"/>
            </w:r>
            <w:r w:rsidR="00387802">
              <w:rPr>
                <w:noProof/>
                <w:webHidden/>
              </w:rPr>
              <w:instrText xml:space="preserve"> PAGEREF _Toc431288829 \h </w:instrText>
            </w:r>
            <w:r w:rsidR="00387802">
              <w:rPr>
                <w:noProof/>
                <w:webHidden/>
              </w:rPr>
            </w:r>
            <w:r w:rsidR="00387802">
              <w:rPr>
                <w:noProof/>
                <w:webHidden/>
              </w:rPr>
              <w:fldChar w:fldCharType="separate"/>
            </w:r>
            <w:r w:rsidR="00387802">
              <w:rPr>
                <w:noProof/>
                <w:webHidden/>
              </w:rPr>
              <w:t>105</w:t>
            </w:r>
            <w:r w:rsidR="00387802">
              <w:rPr>
                <w:noProof/>
                <w:webHidden/>
              </w:rPr>
              <w:fldChar w:fldCharType="end"/>
            </w:r>
          </w:hyperlink>
        </w:p>
        <w:p w14:paraId="2C579359" w14:textId="736FFAA6" w:rsidR="00387802" w:rsidRDefault="00872E47">
          <w:pPr>
            <w:pStyle w:val="TOC3"/>
            <w:tabs>
              <w:tab w:val="left" w:pos="1320"/>
            </w:tabs>
            <w:rPr>
              <w:rFonts w:asciiTheme="minorHAnsi" w:eastAsiaTheme="minorEastAsia" w:hAnsiTheme="minorHAnsi"/>
              <w:noProof/>
              <w:spacing w:val="0"/>
              <w:sz w:val="22"/>
              <w:szCs w:val="22"/>
            </w:rPr>
          </w:pPr>
          <w:hyperlink w:anchor="_Toc431288830" w:history="1">
            <w:r w:rsidR="00387802" w:rsidRPr="00365A20">
              <w:rPr>
                <w:rStyle w:val="Hyperlink"/>
                <w:noProof/>
                <w14:scene3d>
                  <w14:camera w14:prst="orthographicFront"/>
                  <w14:lightRig w14:rig="threePt" w14:dir="t">
                    <w14:rot w14:lat="0" w14:lon="0" w14:rev="0"/>
                  </w14:lightRig>
                </w14:scene3d>
              </w:rPr>
              <w:t>5.5.5</w:t>
            </w:r>
            <w:r w:rsidR="00387802">
              <w:rPr>
                <w:rFonts w:asciiTheme="minorHAnsi" w:eastAsiaTheme="minorEastAsia" w:hAnsiTheme="minorHAnsi"/>
                <w:noProof/>
                <w:spacing w:val="0"/>
                <w:sz w:val="22"/>
                <w:szCs w:val="22"/>
              </w:rPr>
              <w:tab/>
            </w:r>
            <w:r w:rsidR="00387802" w:rsidRPr="00365A20">
              <w:rPr>
                <w:rStyle w:val="Hyperlink"/>
                <w:noProof/>
              </w:rPr>
              <w:t>Cross-Platform Options</w:t>
            </w:r>
            <w:r w:rsidR="00387802">
              <w:rPr>
                <w:noProof/>
                <w:webHidden/>
              </w:rPr>
              <w:tab/>
            </w:r>
            <w:r w:rsidR="00387802">
              <w:rPr>
                <w:noProof/>
                <w:webHidden/>
              </w:rPr>
              <w:fldChar w:fldCharType="begin"/>
            </w:r>
            <w:r w:rsidR="00387802">
              <w:rPr>
                <w:noProof/>
                <w:webHidden/>
              </w:rPr>
              <w:instrText xml:space="preserve"> PAGEREF _Toc431288830 \h </w:instrText>
            </w:r>
            <w:r w:rsidR="00387802">
              <w:rPr>
                <w:noProof/>
                <w:webHidden/>
              </w:rPr>
            </w:r>
            <w:r w:rsidR="00387802">
              <w:rPr>
                <w:noProof/>
                <w:webHidden/>
              </w:rPr>
              <w:fldChar w:fldCharType="separate"/>
            </w:r>
            <w:r w:rsidR="00387802">
              <w:rPr>
                <w:noProof/>
                <w:webHidden/>
              </w:rPr>
              <w:t>106</w:t>
            </w:r>
            <w:r w:rsidR="00387802">
              <w:rPr>
                <w:noProof/>
                <w:webHidden/>
              </w:rPr>
              <w:fldChar w:fldCharType="end"/>
            </w:r>
          </w:hyperlink>
        </w:p>
        <w:p w14:paraId="36BC935A" w14:textId="7476B965" w:rsidR="00387802" w:rsidRDefault="00872E47">
          <w:pPr>
            <w:pStyle w:val="TOC3"/>
            <w:tabs>
              <w:tab w:val="left" w:pos="1320"/>
            </w:tabs>
            <w:rPr>
              <w:rFonts w:asciiTheme="minorHAnsi" w:eastAsiaTheme="minorEastAsia" w:hAnsiTheme="minorHAnsi"/>
              <w:noProof/>
              <w:spacing w:val="0"/>
              <w:sz w:val="22"/>
              <w:szCs w:val="22"/>
            </w:rPr>
          </w:pPr>
          <w:hyperlink w:anchor="_Toc431288831" w:history="1">
            <w:r w:rsidR="00387802" w:rsidRPr="00365A20">
              <w:rPr>
                <w:rStyle w:val="Hyperlink"/>
                <w:noProof/>
                <w14:scene3d>
                  <w14:camera w14:prst="orthographicFront"/>
                  <w14:lightRig w14:rig="threePt" w14:dir="t">
                    <w14:rot w14:lat="0" w14:lon="0" w14:rev="0"/>
                  </w14:lightRig>
                </w14:scene3d>
              </w:rPr>
              <w:t>5.5.6</w:t>
            </w:r>
            <w:r w:rsidR="00387802">
              <w:rPr>
                <w:rFonts w:asciiTheme="minorHAnsi" w:eastAsiaTheme="minorEastAsia" w:hAnsiTheme="minorHAnsi"/>
                <w:noProof/>
                <w:spacing w:val="0"/>
                <w:sz w:val="22"/>
                <w:szCs w:val="22"/>
              </w:rPr>
              <w:tab/>
            </w:r>
            <w:r w:rsidR="00387802" w:rsidRPr="00365A20">
              <w:rPr>
                <w:rStyle w:val="Hyperlink"/>
                <w:noProof/>
              </w:rPr>
              <w:t>Vendor Solutions</w:t>
            </w:r>
            <w:r w:rsidR="00387802">
              <w:rPr>
                <w:noProof/>
                <w:webHidden/>
              </w:rPr>
              <w:tab/>
            </w:r>
            <w:r w:rsidR="00387802">
              <w:rPr>
                <w:noProof/>
                <w:webHidden/>
              </w:rPr>
              <w:fldChar w:fldCharType="begin"/>
            </w:r>
            <w:r w:rsidR="00387802">
              <w:rPr>
                <w:noProof/>
                <w:webHidden/>
              </w:rPr>
              <w:instrText xml:space="preserve"> PAGEREF _Toc431288831 \h </w:instrText>
            </w:r>
            <w:r w:rsidR="00387802">
              <w:rPr>
                <w:noProof/>
                <w:webHidden/>
              </w:rPr>
            </w:r>
            <w:r w:rsidR="00387802">
              <w:rPr>
                <w:noProof/>
                <w:webHidden/>
              </w:rPr>
              <w:fldChar w:fldCharType="separate"/>
            </w:r>
            <w:r w:rsidR="00387802">
              <w:rPr>
                <w:noProof/>
                <w:webHidden/>
              </w:rPr>
              <w:t>106</w:t>
            </w:r>
            <w:r w:rsidR="00387802">
              <w:rPr>
                <w:noProof/>
                <w:webHidden/>
              </w:rPr>
              <w:fldChar w:fldCharType="end"/>
            </w:r>
          </w:hyperlink>
        </w:p>
        <w:p w14:paraId="7B6DAB40" w14:textId="4CCA726C" w:rsidR="00387802" w:rsidRDefault="00872E47">
          <w:pPr>
            <w:pStyle w:val="TOC3"/>
            <w:tabs>
              <w:tab w:val="left" w:pos="1320"/>
            </w:tabs>
            <w:rPr>
              <w:rFonts w:asciiTheme="minorHAnsi" w:eastAsiaTheme="minorEastAsia" w:hAnsiTheme="minorHAnsi"/>
              <w:noProof/>
              <w:spacing w:val="0"/>
              <w:sz w:val="22"/>
              <w:szCs w:val="22"/>
            </w:rPr>
          </w:pPr>
          <w:hyperlink w:anchor="_Toc431288832" w:history="1">
            <w:r w:rsidR="00387802" w:rsidRPr="00365A20">
              <w:rPr>
                <w:rStyle w:val="Hyperlink"/>
                <w:noProof/>
                <w14:scene3d>
                  <w14:camera w14:prst="orthographicFront"/>
                  <w14:lightRig w14:rig="threePt" w14:dir="t">
                    <w14:rot w14:lat="0" w14:lon="0" w14:rev="0"/>
                  </w14:lightRig>
                </w14:scene3d>
              </w:rPr>
              <w:t>5.5.7</w:t>
            </w:r>
            <w:r w:rsidR="00387802">
              <w:rPr>
                <w:rFonts w:asciiTheme="minorHAnsi" w:eastAsiaTheme="minorEastAsia" w:hAnsiTheme="minorHAnsi"/>
                <w:noProof/>
                <w:spacing w:val="0"/>
                <w:sz w:val="22"/>
                <w:szCs w:val="22"/>
              </w:rPr>
              <w:tab/>
            </w:r>
            <w:r w:rsidR="00387802" w:rsidRPr="00365A20">
              <w:rPr>
                <w:rStyle w:val="Hyperlink"/>
                <w:noProof/>
              </w:rPr>
              <w:t>Storage Emulator</w:t>
            </w:r>
            <w:r w:rsidR="00387802">
              <w:rPr>
                <w:noProof/>
                <w:webHidden/>
              </w:rPr>
              <w:tab/>
            </w:r>
            <w:r w:rsidR="00387802">
              <w:rPr>
                <w:noProof/>
                <w:webHidden/>
              </w:rPr>
              <w:fldChar w:fldCharType="begin"/>
            </w:r>
            <w:r w:rsidR="00387802">
              <w:rPr>
                <w:noProof/>
                <w:webHidden/>
              </w:rPr>
              <w:instrText xml:space="preserve"> PAGEREF _Toc431288832 \h </w:instrText>
            </w:r>
            <w:r w:rsidR="00387802">
              <w:rPr>
                <w:noProof/>
                <w:webHidden/>
              </w:rPr>
            </w:r>
            <w:r w:rsidR="00387802">
              <w:rPr>
                <w:noProof/>
                <w:webHidden/>
              </w:rPr>
              <w:fldChar w:fldCharType="separate"/>
            </w:r>
            <w:r w:rsidR="00387802">
              <w:rPr>
                <w:noProof/>
                <w:webHidden/>
              </w:rPr>
              <w:t>106</w:t>
            </w:r>
            <w:r w:rsidR="00387802">
              <w:rPr>
                <w:noProof/>
                <w:webHidden/>
              </w:rPr>
              <w:fldChar w:fldCharType="end"/>
            </w:r>
          </w:hyperlink>
        </w:p>
        <w:p w14:paraId="394FA1FF" w14:textId="6188E5B7" w:rsidR="00387802" w:rsidRDefault="00872E47">
          <w:pPr>
            <w:pStyle w:val="TOC3"/>
            <w:tabs>
              <w:tab w:val="left" w:pos="1320"/>
            </w:tabs>
            <w:rPr>
              <w:rFonts w:asciiTheme="minorHAnsi" w:eastAsiaTheme="minorEastAsia" w:hAnsiTheme="minorHAnsi"/>
              <w:noProof/>
              <w:spacing w:val="0"/>
              <w:sz w:val="22"/>
              <w:szCs w:val="22"/>
            </w:rPr>
          </w:pPr>
          <w:hyperlink w:anchor="_Toc431288833" w:history="1">
            <w:r w:rsidR="00387802" w:rsidRPr="00365A20">
              <w:rPr>
                <w:rStyle w:val="Hyperlink"/>
                <w:noProof/>
                <w14:scene3d>
                  <w14:camera w14:prst="orthographicFront"/>
                  <w14:lightRig w14:rig="threePt" w14:dir="t">
                    <w14:rot w14:lat="0" w14:lon="0" w14:rev="0"/>
                  </w14:lightRig>
                </w14:scene3d>
              </w:rPr>
              <w:t>5.5.8</w:t>
            </w:r>
            <w:r w:rsidR="00387802">
              <w:rPr>
                <w:rFonts w:asciiTheme="minorHAnsi" w:eastAsiaTheme="minorEastAsia" w:hAnsiTheme="minorHAnsi"/>
                <w:noProof/>
                <w:spacing w:val="0"/>
                <w:sz w:val="22"/>
                <w:szCs w:val="22"/>
              </w:rPr>
              <w:tab/>
            </w:r>
            <w:r w:rsidR="00387802" w:rsidRPr="00365A20">
              <w:rPr>
                <w:rStyle w:val="Hyperlink"/>
                <w:noProof/>
              </w:rPr>
              <w:t>Data Migration</w:t>
            </w:r>
            <w:r w:rsidR="00387802">
              <w:rPr>
                <w:noProof/>
                <w:webHidden/>
              </w:rPr>
              <w:tab/>
            </w:r>
            <w:r w:rsidR="00387802">
              <w:rPr>
                <w:noProof/>
                <w:webHidden/>
              </w:rPr>
              <w:fldChar w:fldCharType="begin"/>
            </w:r>
            <w:r w:rsidR="00387802">
              <w:rPr>
                <w:noProof/>
                <w:webHidden/>
              </w:rPr>
              <w:instrText xml:space="preserve"> PAGEREF _Toc431288833 \h </w:instrText>
            </w:r>
            <w:r w:rsidR="00387802">
              <w:rPr>
                <w:noProof/>
                <w:webHidden/>
              </w:rPr>
            </w:r>
            <w:r w:rsidR="00387802">
              <w:rPr>
                <w:noProof/>
                <w:webHidden/>
              </w:rPr>
              <w:fldChar w:fldCharType="separate"/>
            </w:r>
            <w:r w:rsidR="00387802">
              <w:rPr>
                <w:noProof/>
                <w:webHidden/>
              </w:rPr>
              <w:t>106</w:t>
            </w:r>
            <w:r w:rsidR="00387802">
              <w:rPr>
                <w:noProof/>
                <w:webHidden/>
              </w:rPr>
              <w:fldChar w:fldCharType="end"/>
            </w:r>
          </w:hyperlink>
        </w:p>
        <w:p w14:paraId="3F069545" w14:textId="48D5E8CB" w:rsidR="00387802" w:rsidRDefault="00872E47">
          <w:pPr>
            <w:pStyle w:val="TOC2"/>
            <w:tabs>
              <w:tab w:val="left" w:pos="880"/>
              <w:tab w:val="right" w:leader="dot" w:pos="9350"/>
            </w:tabs>
            <w:rPr>
              <w:rFonts w:asciiTheme="minorHAnsi" w:hAnsiTheme="minorHAnsi"/>
              <w:noProof/>
            </w:rPr>
          </w:pPr>
          <w:hyperlink w:anchor="_Toc431288834" w:history="1">
            <w:r w:rsidR="00387802" w:rsidRPr="00365A20">
              <w:rPr>
                <w:rStyle w:val="Hyperlink"/>
                <w:noProof/>
              </w:rPr>
              <w:t>5.6</w:t>
            </w:r>
            <w:r w:rsidR="00387802">
              <w:rPr>
                <w:rFonts w:asciiTheme="minorHAnsi" w:hAnsiTheme="minorHAnsi"/>
                <w:noProof/>
              </w:rPr>
              <w:tab/>
            </w:r>
            <w:r w:rsidR="00387802" w:rsidRPr="00365A20">
              <w:rPr>
                <w:rStyle w:val="Hyperlink"/>
                <w:noProof/>
              </w:rPr>
              <w:t>Storage Monitoring</w:t>
            </w:r>
            <w:r w:rsidR="00387802">
              <w:rPr>
                <w:noProof/>
                <w:webHidden/>
              </w:rPr>
              <w:tab/>
            </w:r>
            <w:r w:rsidR="00387802">
              <w:rPr>
                <w:noProof/>
                <w:webHidden/>
              </w:rPr>
              <w:fldChar w:fldCharType="begin"/>
            </w:r>
            <w:r w:rsidR="00387802">
              <w:rPr>
                <w:noProof/>
                <w:webHidden/>
              </w:rPr>
              <w:instrText xml:space="preserve"> PAGEREF _Toc431288834 \h </w:instrText>
            </w:r>
            <w:r w:rsidR="00387802">
              <w:rPr>
                <w:noProof/>
                <w:webHidden/>
              </w:rPr>
            </w:r>
            <w:r w:rsidR="00387802">
              <w:rPr>
                <w:noProof/>
                <w:webHidden/>
              </w:rPr>
              <w:fldChar w:fldCharType="separate"/>
            </w:r>
            <w:r w:rsidR="00387802">
              <w:rPr>
                <w:noProof/>
                <w:webHidden/>
              </w:rPr>
              <w:t>110</w:t>
            </w:r>
            <w:r w:rsidR="00387802">
              <w:rPr>
                <w:noProof/>
                <w:webHidden/>
              </w:rPr>
              <w:fldChar w:fldCharType="end"/>
            </w:r>
          </w:hyperlink>
        </w:p>
        <w:p w14:paraId="7A99458A" w14:textId="4D796090" w:rsidR="00387802" w:rsidRDefault="00872E47">
          <w:pPr>
            <w:pStyle w:val="TOC3"/>
            <w:tabs>
              <w:tab w:val="left" w:pos="1320"/>
            </w:tabs>
            <w:rPr>
              <w:rFonts w:asciiTheme="minorHAnsi" w:eastAsiaTheme="minorEastAsia" w:hAnsiTheme="minorHAnsi"/>
              <w:noProof/>
              <w:spacing w:val="0"/>
              <w:sz w:val="22"/>
              <w:szCs w:val="22"/>
            </w:rPr>
          </w:pPr>
          <w:hyperlink w:anchor="_Toc431288835" w:history="1">
            <w:r w:rsidR="00387802" w:rsidRPr="00365A20">
              <w:rPr>
                <w:rStyle w:val="Hyperlink"/>
                <w:noProof/>
                <w14:scene3d>
                  <w14:camera w14:prst="orthographicFront"/>
                  <w14:lightRig w14:rig="threePt" w14:dir="t">
                    <w14:rot w14:lat="0" w14:lon="0" w14:rev="0"/>
                  </w14:lightRig>
                </w14:scene3d>
              </w:rPr>
              <w:t>5.6.1</w:t>
            </w:r>
            <w:r w:rsidR="00387802">
              <w:rPr>
                <w:rFonts w:asciiTheme="minorHAnsi" w:eastAsiaTheme="minorEastAsia" w:hAnsiTheme="minorHAnsi"/>
                <w:noProof/>
                <w:spacing w:val="0"/>
                <w:sz w:val="22"/>
                <w:szCs w:val="22"/>
              </w:rPr>
              <w:tab/>
            </w:r>
            <w:r w:rsidR="00387802" w:rsidRPr="00365A20">
              <w:rPr>
                <w:rStyle w:val="Hyperlink"/>
                <w:noProof/>
              </w:rPr>
              <w:t>Monitoring</w:t>
            </w:r>
            <w:r w:rsidR="00387802">
              <w:rPr>
                <w:noProof/>
                <w:webHidden/>
              </w:rPr>
              <w:tab/>
            </w:r>
            <w:r w:rsidR="00387802">
              <w:rPr>
                <w:noProof/>
                <w:webHidden/>
              </w:rPr>
              <w:fldChar w:fldCharType="begin"/>
            </w:r>
            <w:r w:rsidR="00387802">
              <w:rPr>
                <w:noProof/>
                <w:webHidden/>
              </w:rPr>
              <w:instrText xml:space="preserve"> PAGEREF _Toc431288835 \h </w:instrText>
            </w:r>
            <w:r w:rsidR="00387802">
              <w:rPr>
                <w:noProof/>
                <w:webHidden/>
              </w:rPr>
            </w:r>
            <w:r w:rsidR="00387802">
              <w:rPr>
                <w:noProof/>
                <w:webHidden/>
              </w:rPr>
              <w:fldChar w:fldCharType="separate"/>
            </w:r>
            <w:r w:rsidR="00387802">
              <w:rPr>
                <w:noProof/>
                <w:webHidden/>
              </w:rPr>
              <w:t>110</w:t>
            </w:r>
            <w:r w:rsidR="00387802">
              <w:rPr>
                <w:noProof/>
                <w:webHidden/>
              </w:rPr>
              <w:fldChar w:fldCharType="end"/>
            </w:r>
          </w:hyperlink>
        </w:p>
        <w:p w14:paraId="650DB84A" w14:textId="3E23C28F" w:rsidR="00387802" w:rsidRDefault="00872E47">
          <w:pPr>
            <w:pStyle w:val="TOC3"/>
            <w:tabs>
              <w:tab w:val="left" w:pos="1320"/>
            </w:tabs>
            <w:rPr>
              <w:rFonts w:asciiTheme="minorHAnsi" w:eastAsiaTheme="minorEastAsia" w:hAnsiTheme="minorHAnsi"/>
              <w:noProof/>
              <w:spacing w:val="0"/>
              <w:sz w:val="22"/>
              <w:szCs w:val="22"/>
            </w:rPr>
          </w:pPr>
          <w:hyperlink w:anchor="_Toc431288836" w:history="1">
            <w:r w:rsidR="00387802" w:rsidRPr="00365A20">
              <w:rPr>
                <w:rStyle w:val="Hyperlink"/>
                <w:noProof/>
                <w14:scene3d>
                  <w14:camera w14:prst="orthographicFront"/>
                  <w14:lightRig w14:rig="threePt" w14:dir="t">
                    <w14:rot w14:lat="0" w14:lon="0" w14:rev="0"/>
                  </w14:lightRig>
                </w14:scene3d>
              </w:rPr>
              <w:t>5.6.2</w:t>
            </w:r>
            <w:r w:rsidR="00387802">
              <w:rPr>
                <w:rFonts w:asciiTheme="minorHAnsi" w:eastAsiaTheme="minorEastAsia" w:hAnsiTheme="minorHAnsi"/>
                <w:noProof/>
                <w:spacing w:val="0"/>
                <w:sz w:val="22"/>
                <w:szCs w:val="22"/>
              </w:rPr>
              <w:tab/>
            </w:r>
            <w:r w:rsidR="00387802" w:rsidRPr="00365A20">
              <w:rPr>
                <w:rStyle w:val="Hyperlink"/>
                <w:noProof/>
              </w:rPr>
              <w:t>Alerting</w:t>
            </w:r>
            <w:r w:rsidR="00387802">
              <w:rPr>
                <w:noProof/>
                <w:webHidden/>
              </w:rPr>
              <w:tab/>
            </w:r>
            <w:r w:rsidR="00387802">
              <w:rPr>
                <w:noProof/>
                <w:webHidden/>
              </w:rPr>
              <w:fldChar w:fldCharType="begin"/>
            </w:r>
            <w:r w:rsidR="00387802">
              <w:rPr>
                <w:noProof/>
                <w:webHidden/>
              </w:rPr>
              <w:instrText xml:space="preserve"> PAGEREF _Toc431288836 \h </w:instrText>
            </w:r>
            <w:r w:rsidR="00387802">
              <w:rPr>
                <w:noProof/>
                <w:webHidden/>
              </w:rPr>
            </w:r>
            <w:r w:rsidR="00387802">
              <w:rPr>
                <w:noProof/>
                <w:webHidden/>
              </w:rPr>
              <w:fldChar w:fldCharType="separate"/>
            </w:r>
            <w:r w:rsidR="00387802">
              <w:rPr>
                <w:noProof/>
                <w:webHidden/>
              </w:rPr>
              <w:t>113</w:t>
            </w:r>
            <w:r w:rsidR="00387802">
              <w:rPr>
                <w:noProof/>
                <w:webHidden/>
              </w:rPr>
              <w:fldChar w:fldCharType="end"/>
            </w:r>
          </w:hyperlink>
        </w:p>
        <w:p w14:paraId="5A63E425" w14:textId="09082847" w:rsidR="00387802" w:rsidRDefault="00872E47">
          <w:pPr>
            <w:pStyle w:val="TOC3"/>
            <w:tabs>
              <w:tab w:val="left" w:pos="1320"/>
            </w:tabs>
            <w:rPr>
              <w:rFonts w:asciiTheme="minorHAnsi" w:eastAsiaTheme="minorEastAsia" w:hAnsiTheme="minorHAnsi"/>
              <w:noProof/>
              <w:spacing w:val="0"/>
              <w:sz w:val="22"/>
              <w:szCs w:val="22"/>
            </w:rPr>
          </w:pPr>
          <w:hyperlink w:anchor="_Toc431288837" w:history="1">
            <w:r w:rsidR="00387802" w:rsidRPr="00365A20">
              <w:rPr>
                <w:rStyle w:val="Hyperlink"/>
                <w:noProof/>
                <w14:scene3d>
                  <w14:camera w14:prst="orthographicFront"/>
                  <w14:lightRig w14:rig="threePt" w14:dir="t">
                    <w14:rot w14:lat="0" w14:lon="0" w14:rev="0"/>
                  </w14:lightRig>
                </w14:scene3d>
              </w:rPr>
              <w:t>5.6.3</w:t>
            </w:r>
            <w:r w:rsidR="00387802">
              <w:rPr>
                <w:rFonts w:asciiTheme="minorHAnsi" w:eastAsiaTheme="minorEastAsia" w:hAnsiTheme="minorHAnsi"/>
                <w:noProof/>
                <w:spacing w:val="0"/>
                <w:sz w:val="22"/>
                <w:szCs w:val="22"/>
              </w:rPr>
              <w:tab/>
            </w:r>
            <w:r w:rsidR="00387802" w:rsidRPr="00365A20">
              <w:rPr>
                <w:rStyle w:val="Hyperlink"/>
                <w:noProof/>
              </w:rPr>
              <w:t>Diagnosing Azure Storage Issues</w:t>
            </w:r>
            <w:r w:rsidR="00387802">
              <w:rPr>
                <w:noProof/>
                <w:webHidden/>
              </w:rPr>
              <w:tab/>
            </w:r>
            <w:r w:rsidR="00387802">
              <w:rPr>
                <w:noProof/>
                <w:webHidden/>
              </w:rPr>
              <w:fldChar w:fldCharType="begin"/>
            </w:r>
            <w:r w:rsidR="00387802">
              <w:rPr>
                <w:noProof/>
                <w:webHidden/>
              </w:rPr>
              <w:instrText xml:space="preserve"> PAGEREF _Toc431288837 \h </w:instrText>
            </w:r>
            <w:r w:rsidR="00387802">
              <w:rPr>
                <w:noProof/>
                <w:webHidden/>
              </w:rPr>
            </w:r>
            <w:r w:rsidR="00387802">
              <w:rPr>
                <w:noProof/>
                <w:webHidden/>
              </w:rPr>
              <w:fldChar w:fldCharType="separate"/>
            </w:r>
            <w:r w:rsidR="00387802">
              <w:rPr>
                <w:noProof/>
                <w:webHidden/>
              </w:rPr>
              <w:t>113</w:t>
            </w:r>
            <w:r w:rsidR="00387802">
              <w:rPr>
                <w:noProof/>
                <w:webHidden/>
              </w:rPr>
              <w:fldChar w:fldCharType="end"/>
            </w:r>
          </w:hyperlink>
        </w:p>
        <w:p w14:paraId="4534438C" w14:textId="63B17D2D" w:rsidR="00387802" w:rsidRDefault="00872E47">
          <w:pPr>
            <w:pStyle w:val="TOC3"/>
            <w:tabs>
              <w:tab w:val="left" w:pos="1320"/>
            </w:tabs>
            <w:rPr>
              <w:rFonts w:asciiTheme="minorHAnsi" w:eastAsiaTheme="minorEastAsia" w:hAnsiTheme="minorHAnsi"/>
              <w:noProof/>
              <w:spacing w:val="0"/>
              <w:sz w:val="22"/>
              <w:szCs w:val="22"/>
            </w:rPr>
          </w:pPr>
          <w:hyperlink w:anchor="_Toc431288838" w:history="1">
            <w:r w:rsidR="00387802" w:rsidRPr="00365A20">
              <w:rPr>
                <w:rStyle w:val="Hyperlink"/>
                <w:noProof/>
                <w14:scene3d>
                  <w14:camera w14:prst="orthographicFront"/>
                  <w14:lightRig w14:rig="threePt" w14:dir="t">
                    <w14:rot w14:lat="0" w14:lon="0" w14:rev="0"/>
                  </w14:lightRig>
                </w14:scene3d>
              </w:rPr>
              <w:t>5.6.4</w:t>
            </w:r>
            <w:r w:rsidR="00387802">
              <w:rPr>
                <w:rFonts w:asciiTheme="minorHAnsi" w:eastAsiaTheme="minorEastAsia" w:hAnsiTheme="minorHAnsi"/>
                <w:noProof/>
                <w:spacing w:val="0"/>
                <w:sz w:val="22"/>
                <w:szCs w:val="22"/>
              </w:rPr>
              <w:tab/>
            </w:r>
            <w:r w:rsidR="00387802" w:rsidRPr="00365A20">
              <w:rPr>
                <w:rStyle w:val="Hyperlink"/>
                <w:noProof/>
              </w:rPr>
              <w:t>Troubleshooting</w:t>
            </w:r>
            <w:r w:rsidR="00387802">
              <w:rPr>
                <w:noProof/>
                <w:webHidden/>
              </w:rPr>
              <w:tab/>
            </w:r>
            <w:r w:rsidR="00387802">
              <w:rPr>
                <w:noProof/>
                <w:webHidden/>
              </w:rPr>
              <w:fldChar w:fldCharType="begin"/>
            </w:r>
            <w:r w:rsidR="00387802">
              <w:rPr>
                <w:noProof/>
                <w:webHidden/>
              </w:rPr>
              <w:instrText xml:space="preserve"> PAGEREF _Toc431288838 \h </w:instrText>
            </w:r>
            <w:r w:rsidR="00387802">
              <w:rPr>
                <w:noProof/>
                <w:webHidden/>
              </w:rPr>
            </w:r>
            <w:r w:rsidR="00387802">
              <w:rPr>
                <w:noProof/>
                <w:webHidden/>
              </w:rPr>
              <w:fldChar w:fldCharType="separate"/>
            </w:r>
            <w:r w:rsidR="00387802">
              <w:rPr>
                <w:noProof/>
                <w:webHidden/>
              </w:rPr>
              <w:t>114</w:t>
            </w:r>
            <w:r w:rsidR="00387802">
              <w:rPr>
                <w:noProof/>
                <w:webHidden/>
              </w:rPr>
              <w:fldChar w:fldCharType="end"/>
            </w:r>
          </w:hyperlink>
        </w:p>
        <w:p w14:paraId="01101F1D" w14:textId="66A20E05" w:rsidR="00387802" w:rsidRDefault="00872E47">
          <w:pPr>
            <w:pStyle w:val="TOC3"/>
            <w:tabs>
              <w:tab w:val="left" w:pos="1320"/>
            </w:tabs>
            <w:rPr>
              <w:rFonts w:asciiTheme="minorHAnsi" w:eastAsiaTheme="minorEastAsia" w:hAnsiTheme="minorHAnsi"/>
              <w:noProof/>
              <w:spacing w:val="0"/>
              <w:sz w:val="22"/>
              <w:szCs w:val="22"/>
            </w:rPr>
          </w:pPr>
          <w:hyperlink w:anchor="_Toc431288839" w:history="1">
            <w:r w:rsidR="00387802" w:rsidRPr="00365A20">
              <w:rPr>
                <w:rStyle w:val="Hyperlink"/>
                <w:noProof/>
                <w14:scene3d>
                  <w14:camera w14:prst="orthographicFront"/>
                  <w14:lightRig w14:rig="threePt" w14:dir="t">
                    <w14:rot w14:lat="0" w14:lon="0" w14:rev="0"/>
                  </w14:lightRig>
                </w14:scene3d>
              </w:rPr>
              <w:t>5.6.5</w:t>
            </w:r>
            <w:r w:rsidR="00387802">
              <w:rPr>
                <w:rFonts w:asciiTheme="minorHAnsi" w:eastAsiaTheme="minorEastAsia" w:hAnsiTheme="minorHAnsi"/>
                <w:noProof/>
                <w:spacing w:val="0"/>
                <w:sz w:val="22"/>
                <w:szCs w:val="22"/>
              </w:rPr>
              <w:tab/>
            </w:r>
            <w:r w:rsidR="00387802" w:rsidRPr="00365A20">
              <w:rPr>
                <w:rStyle w:val="Hyperlink"/>
                <w:noProof/>
              </w:rPr>
              <w:t>Azure Portal Options</w:t>
            </w:r>
            <w:r w:rsidR="00387802">
              <w:rPr>
                <w:noProof/>
                <w:webHidden/>
              </w:rPr>
              <w:tab/>
            </w:r>
            <w:r w:rsidR="00387802">
              <w:rPr>
                <w:noProof/>
                <w:webHidden/>
              </w:rPr>
              <w:fldChar w:fldCharType="begin"/>
            </w:r>
            <w:r w:rsidR="00387802">
              <w:rPr>
                <w:noProof/>
                <w:webHidden/>
              </w:rPr>
              <w:instrText xml:space="preserve"> PAGEREF _Toc431288839 \h </w:instrText>
            </w:r>
            <w:r w:rsidR="00387802">
              <w:rPr>
                <w:noProof/>
                <w:webHidden/>
              </w:rPr>
            </w:r>
            <w:r w:rsidR="00387802">
              <w:rPr>
                <w:noProof/>
                <w:webHidden/>
              </w:rPr>
              <w:fldChar w:fldCharType="separate"/>
            </w:r>
            <w:r w:rsidR="00387802">
              <w:rPr>
                <w:noProof/>
                <w:webHidden/>
              </w:rPr>
              <w:t>115</w:t>
            </w:r>
            <w:r w:rsidR="00387802">
              <w:rPr>
                <w:noProof/>
                <w:webHidden/>
              </w:rPr>
              <w:fldChar w:fldCharType="end"/>
            </w:r>
          </w:hyperlink>
        </w:p>
        <w:p w14:paraId="6286596D" w14:textId="59C0CA79" w:rsidR="00387802" w:rsidRDefault="00872E47">
          <w:pPr>
            <w:pStyle w:val="TOC3"/>
            <w:tabs>
              <w:tab w:val="left" w:pos="1320"/>
            </w:tabs>
            <w:rPr>
              <w:rFonts w:asciiTheme="minorHAnsi" w:eastAsiaTheme="minorEastAsia" w:hAnsiTheme="minorHAnsi"/>
              <w:noProof/>
              <w:spacing w:val="0"/>
              <w:sz w:val="22"/>
              <w:szCs w:val="22"/>
            </w:rPr>
          </w:pPr>
          <w:hyperlink w:anchor="_Toc431288840" w:history="1">
            <w:r w:rsidR="00387802" w:rsidRPr="00365A20">
              <w:rPr>
                <w:rStyle w:val="Hyperlink"/>
                <w:noProof/>
                <w14:scene3d>
                  <w14:camera w14:prst="orthographicFront"/>
                  <w14:lightRig w14:rig="threePt" w14:dir="t">
                    <w14:rot w14:lat="0" w14:lon="0" w14:rev="0"/>
                  </w14:lightRig>
                </w14:scene3d>
              </w:rPr>
              <w:t>5.6.6</w:t>
            </w:r>
            <w:r w:rsidR="00387802">
              <w:rPr>
                <w:rFonts w:asciiTheme="minorHAnsi" w:eastAsiaTheme="minorEastAsia" w:hAnsiTheme="minorHAnsi"/>
                <w:noProof/>
                <w:spacing w:val="0"/>
                <w:sz w:val="22"/>
                <w:szCs w:val="22"/>
              </w:rPr>
              <w:tab/>
            </w:r>
            <w:r w:rsidR="00387802" w:rsidRPr="00365A20">
              <w:rPr>
                <w:rStyle w:val="Hyperlink"/>
                <w:noProof/>
              </w:rPr>
              <w:t>System Center Operations Manager Management Packs</w:t>
            </w:r>
            <w:r w:rsidR="00387802">
              <w:rPr>
                <w:noProof/>
                <w:webHidden/>
              </w:rPr>
              <w:tab/>
            </w:r>
            <w:r w:rsidR="00387802">
              <w:rPr>
                <w:noProof/>
                <w:webHidden/>
              </w:rPr>
              <w:fldChar w:fldCharType="begin"/>
            </w:r>
            <w:r w:rsidR="00387802">
              <w:rPr>
                <w:noProof/>
                <w:webHidden/>
              </w:rPr>
              <w:instrText xml:space="preserve"> PAGEREF _Toc431288840 \h </w:instrText>
            </w:r>
            <w:r w:rsidR="00387802">
              <w:rPr>
                <w:noProof/>
                <w:webHidden/>
              </w:rPr>
            </w:r>
            <w:r w:rsidR="00387802">
              <w:rPr>
                <w:noProof/>
                <w:webHidden/>
              </w:rPr>
              <w:fldChar w:fldCharType="separate"/>
            </w:r>
            <w:r w:rsidR="00387802">
              <w:rPr>
                <w:noProof/>
                <w:webHidden/>
              </w:rPr>
              <w:t>116</w:t>
            </w:r>
            <w:r w:rsidR="00387802">
              <w:rPr>
                <w:noProof/>
                <w:webHidden/>
              </w:rPr>
              <w:fldChar w:fldCharType="end"/>
            </w:r>
          </w:hyperlink>
        </w:p>
        <w:p w14:paraId="572185C9" w14:textId="4D07B1F0" w:rsidR="00387802" w:rsidRDefault="00872E47">
          <w:pPr>
            <w:pStyle w:val="TOC2"/>
            <w:tabs>
              <w:tab w:val="left" w:pos="880"/>
              <w:tab w:val="right" w:leader="dot" w:pos="9350"/>
            </w:tabs>
            <w:rPr>
              <w:rFonts w:asciiTheme="minorHAnsi" w:hAnsiTheme="minorHAnsi"/>
              <w:noProof/>
            </w:rPr>
          </w:pPr>
          <w:hyperlink w:anchor="_Toc431288841" w:history="1">
            <w:r w:rsidR="00387802" w:rsidRPr="00365A20">
              <w:rPr>
                <w:rStyle w:val="Hyperlink"/>
                <w:noProof/>
              </w:rPr>
              <w:t>5.7</w:t>
            </w:r>
            <w:r w:rsidR="00387802">
              <w:rPr>
                <w:rFonts w:asciiTheme="minorHAnsi" w:hAnsiTheme="minorHAnsi"/>
                <w:noProof/>
              </w:rPr>
              <w:tab/>
            </w:r>
            <w:r w:rsidR="00387802" w:rsidRPr="00365A20">
              <w:rPr>
                <w:rStyle w:val="Hyperlink"/>
                <w:noProof/>
              </w:rPr>
              <w:t>Cloud Integrated Storage</w:t>
            </w:r>
            <w:r w:rsidR="00387802">
              <w:rPr>
                <w:noProof/>
                <w:webHidden/>
              </w:rPr>
              <w:tab/>
            </w:r>
            <w:r w:rsidR="00387802">
              <w:rPr>
                <w:noProof/>
                <w:webHidden/>
              </w:rPr>
              <w:fldChar w:fldCharType="begin"/>
            </w:r>
            <w:r w:rsidR="00387802">
              <w:rPr>
                <w:noProof/>
                <w:webHidden/>
              </w:rPr>
              <w:instrText xml:space="preserve"> PAGEREF _Toc431288841 \h </w:instrText>
            </w:r>
            <w:r w:rsidR="00387802">
              <w:rPr>
                <w:noProof/>
                <w:webHidden/>
              </w:rPr>
            </w:r>
            <w:r w:rsidR="00387802">
              <w:rPr>
                <w:noProof/>
                <w:webHidden/>
              </w:rPr>
              <w:fldChar w:fldCharType="separate"/>
            </w:r>
            <w:r w:rsidR="00387802">
              <w:rPr>
                <w:noProof/>
                <w:webHidden/>
              </w:rPr>
              <w:t>119</w:t>
            </w:r>
            <w:r w:rsidR="00387802">
              <w:rPr>
                <w:noProof/>
                <w:webHidden/>
              </w:rPr>
              <w:fldChar w:fldCharType="end"/>
            </w:r>
          </w:hyperlink>
        </w:p>
        <w:p w14:paraId="3C16577F" w14:textId="407C7AD0" w:rsidR="00387802" w:rsidRDefault="00872E47">
          <w:pPr>
            <w:pStyle w:val="TOC3"/>
            <w:tabs>
              <w:tab w:val="left" w:pos="1320"/>
            </w:tabs>
            <w:rPr>
              <w:rFonts w:asciiTheme="minorHAnsi" w:eastAsiaTheme="minorEastAsia" w:hAnsiTheme="minorHAnsi"/>
              <w:noProof/>
              <w:spacing w:val="0"/>
              <w:sz w:val="22"/>
              <w:szCs w:val="22"/>
            </w:rPr>
          </w:pPr>
          <w:hyperlink w:anchor="_Toc431288842" w:history="1">
            <w:r w:rsidR="00387802" w:rsidRPr="00365A20">
              <w:rPr>
                <w:rStyle w:val="Hyperlink"/>
                <w:noProof/>
                <w14:scene3d>
                  <w14:camera w14:prst="orthographicFront"/>
                  <w14:lightRig w14:rig="threePt" w14:dir="t">
                    <w14:rot w14:lat="0" w14:lon="0" w14:rev="0"/>
                  </w14:lightRig>
                </w14:scene3d>
              </w:rPr>
              <w:t>5.7.1</w:t>
            </w:r>
            <w:r w:rsidR="00387802">
              <w:rPr>
                <w:rFonts w:asciiTheme="minorHAnsi" w:eastAsiaTheme="minorEastAsia" w:hAnsiTheme="minorHAnsi"/>
                <w:noProof/>
                <w:spacing w:val="0"/>
                <w:sz w:val="22"/>
                <w:szCs w:val="22"/>
              </w:rPr>
              <w:tab/>
            </w:r>
            <w:r w:rsidR="00387802" w:rsidRPr="00365A20">
              <w:rPr>
                <w:rStyle w:val="Hyperlink"/>
                <w:noProof/>
              </w:rPr>
              <w:t>StorSimple</w:t>
            </w:r>
            <w:r w:rsidR="00387802">
              <w:rPr>
                <w:noProof/>
                <w:webHidden/>
              </w:rPr>
              <w:tab/>
            </w:r>
            <w:r w:rsidR="00387802">
              <w:rPr>
                <w:noProof/>
                <w:webHidden/>
              </w:rPr>
              <w:fldChar w:fldCharType="begin"/>
            </w:r>
            <w:r w:rsidR="00387802">
              <w:rPr>
                <w:noProof/>
                <w:webHidden/>
              </w:rPr>
              <w:instrText xml:space="preserve"> PAGEREF _Toc431288842 \h </w:instrText>
            </w:r>
            <w:r w:rsidR="00387802">
              <w:rPr>
                <w:noProof/>
                <w:webHidden/>
              </w:rPr>
            </w:r>
            <w:r w:rsidR="00387802">
              <w:rPr>
                <w:noProof/>
                <w:webHidden/>
              </w:rPr>
              <w:fldChar w:fldCharType="separate"/>
            </w:r>
            <w:r w:rsidR="00387802">
              <w:rPr>
                <w:noProof/>
                <w:webHidden/>
              </w:rPr>
              <w:t>119</w:t>
            </w:r>
            <w:r w:rsidR="00387802">
              <w:rPr>
                <w:noProof/>
                <w:webHidden/>
              </w:rPr>
              <w:fldChar w:fldCharType="end"/>
            </w:r>
          </w:hyperlink>
        </w:p>
        <w:p w14:paraId="4027770F" w14:textId="68C114C8" w:rsidR="00387802" w:rsidRDefault="00872E47">
          <w:pPr>
            <w:pStyle w:val="TOC1"/>
            <w:rPr>
              <w:rFonts w:asciiTheme="minorHAnsi" w:hAnsiTheme="minorHAnsi"/>
              <w:sz w:val="22"/>
            </w:rPr>
          </w:pPr>
          <w:hyperlink w:anchor="_Toc431288843" w:history="1">
            <w:r w:rsidR="00387802" w:rsidRPr="00365A20">
              <w:rPr>
                <w:rStyle w:val="Hyperlink"/>
              </w:rPr>
              <w:t>6</w:t>
            </w:r>
            <w:r w:rsidR="00387802">
              <w:rPr>
                <w:rFonts w:asciiTheme="minorHAnsi" w:hAnsiTheme="minorHAnsi"/>
                <w:sz w:val="22"/>
              </w:rPr>
              <w:tab/>
            </w:r>
            <w:r w:rsidR="00387802" w:rsidRPr="00365A20">
              <w:rPr>
                <w:rStyle w:val="Hyperlink"/>
              </w:rPr>
              <w:t>Microsoft Azure Compute: IaaS</w:t>
            </w:r>
            <w:r w:rsidR="00387802">
              <w:rPr>
                <w:webHidden/>
              </w:rPr>
              <w:tab/>
            </w:r>
            <w:r w:rsidR="00387802">
              <w:rPr>
                <w:webHidden/>
              </w:rPr>
              <w:fldChar w:fldCharType="begin"/>
            </w:r>
            <w:r w:rsidR="00387802">
              <w:rPr>
                <w:webHidden/>
              </w:rPr>
              <w:instrText xml:space="preserve"> PAGEREF _Toc431288843 \h </w:instrText>
            </w:r>
            <w:r w:rsidR="00387802">
              <w:rPr>
                <w:webHidden/>
              </w:rPr>
            </w:r>
            <w:r w:rsidR="00387802">
              <w:rPr>
                <w:webHidden/>
              </w:rPr>
              <w:fldChar w:fldCharType="separate"/>
            </w:r>
            <w:r w:rsidR="00387802">
              <w:rPr>
                <w:webHidden/>
              </w:rPr>
              <w:t>128</w:t>
            </w:r>
            <w:r w:rsidR="00387802">
              <w:rPr>
                <w:webHidden/>
              </w:rPr>
              <w:fldChar w:fldCharType="end"/>
            </w:r>
          </w:hyperlink>
        </w:p>
        <w:p w14:paraId="450F3EB5" w14:textId="2958CADA" w:rsidR="00387802" w:rsidRDefault="00872E47">
          <w:pPr>
            <w:pStyle w:val="TOC2"/>
            <w:tabs>
              <w:tab w:val="left" w:pos="880"/>
              <w:tab w:val="right" w:leader="dot" w:pos="9350"/>
            </w:tabs>
            <w:rPr>
              <w:rFonts w:asciiTheme="minorHAnsi" w:hAnsiTheme="minorHAnsi"/>
              <w:noProof/>
            </w:rPr>
          </w:pPr>
          <w:hyperlink w:anchor="_Toc431288844" w:history="1">
            <w:r w:rsidR="00387802" w:rsidRPr="00365A20">
              <w:rPr>
                <w:rStyle w:val="Hyperlink"/>
                <w:noProof/>
              </w:rPr>
              <w:t>6.1</w:t>
            </w:r>
            <w:r w:rsidR="00387802">
              <w:rPr>
                <w:rFonts w:asciiTheme="minorHAnsi" w:hAnsiTheme="minorHAnsi"/>
                <w:noProof/>
              </w:rPr>
              <w:tab/>
            </w:r>
            <w:r w:rsidR="00387802" w:rsidRPr="00365A20">
              <w:rPr>
                <w:rStyle w:val="Hyperlink"/>
                <w:noProof/>
              </w:rPr>
              <w:t>Virtual Machines</w:t>
            </w:r>
            <w:r w:rsidR="00387802">
              <w:rPr>
                <w:noProof/>
                <w:webHidden/>
              </w:rPr>
              <w:tab/>
            </w:r>
            <w:r w:rsidR="00387802">
              <w:rPr>
                <w:noProof/>
                <w:webHidden/>
              </w:rPr>
              <w:fldChar w:fldCharType="begin"/>
            </w:r>
            <w:r w:rsidR="00387802">
              <w:rPr>
                <w:noProof/>
                <w:webHidden/>
              </w:rPr>
              <w:instrText xml:space="preserve"> PAGEREF _Toc431288844 \h </w:instrText>
            </w:r>
            <w:r w:rsidR="00387802">
              <w:rPr>
                <w:noProof/>
                <w:webHidden/>
              </w:rPr>
            </w:r>
            <w:r w:rsidR="00387802">
              <w:rPr>
                <w:noProof/>
                <w:webHidden/>
              </w:rPr>
              <w:fldChar w:fldCharType="separate"/>
            </w:r>
            <w:r w:rsidR="00387802">
              <w:rPr>
                <w:noProof/>
                <w:webHidden/>
              </w:rPr>
              <w:t>129</w:t>
            </w:r>
            <w:r w:rsidR="00387802">
              <w:rPr>
                <w:noProof/>
                <w:webHidden/>
              </w:rPr>
              <w:fldChar w:fldCharType="end"/>
            </w:r>
          </w:hyperlink>
        </w:p>
        <w:p w14:paraId="74E591CC" w14:textId="7723573A" w:rsidR="00387802" w:rsidRDefault="00872E47">
          <w:pPr>
            <w:pStyle w:val="TOC3"/>
            <w:tabs>
              <w:tab w:val="left" w:pos="1320"/>
            </w:tabs>
            <w:rPr>
              <w:rFonts w:asciiTheme="minorHAnsi" w:eastAsiaTheme="minorEastAsia" w:hAnsiTheme="minorHAnsi"/>
              <w:noProof/>
              <w:spacing w:val="0"/>
              <w:sz w:val="22"/>
              <w:szCs w:val="22"/>
            </w:rPr>
          </w:pPr>
          <w:hyperlink w:anchor="_Toc431288845" w:history="1">
            <w:r w:rsidR="00387802" w:rsidRPr="00365A20">
              <w:rPr>
                <w:rStyle w:val="Hyperlink"/>
                <w:noProof/>
                <w14:scene3d>
                  <w14:camera w14:prst="orthographicFront"/>
                  <w14:lightRig w14:rig="threePt" w14:dir="t">
                    <w14:rot w14:lat="0" w14:lon="0" w14:rev="0"/>
                  </w14:lightRig>
                </w14:scene3d>
              </w:rPr>
              <w:t>6.1.1</w:t>
            </w:r>
            <w:r w:rsidR="00387802">
              <w:rPr>
                <w:rFonts w:asciiTheme="minorHAnsi" w:eastAsiaTheme="minorEastAsia" w:hAnsiTheme="minorHAnsi"/>
                <w:noProof/>
                <w:spacing w:val="0"/>
                <w:sz w:val="22"/>
                <w:szCs w:val="22"/>
              </w:rPr>
              <w:tab/>
            </w:r>
            <w:r w:rsidR="00387802" w:rsidRPr="00365A20">
              <w:rPr>
                <w:rStyle w:val="Hyperlink"/>
                <w:noProof/>
              </w:rPr>
              <w:t>Virtual Machine Sizes and Tiers</w:t>
            </w:r>
            <w:r w:rsidR="00387802">
              <w:rPr>
                <w:noProof/>
                <w:webHidden/>
              </w:rPr>
              <w:tab/>
            </w:r>
            <w:r w:rsidR="00387802">
              <w:rPr>
                <w:noProof/>
                <w:webHidden/>
              </w:rPr>
              <w:fldChar w:fldCharType="begin"/>
            </w:r>
            <w:r w:rsidR="00387802">
              <w:rPr>
                <w:noProof/>
                <w:webHidden/>
              </w:rPr>
              <w:instrText xml:space="preserve"> PAGEREF _Toc431288845 \h </w:instrText>
            </w:r>
            <w:r w:rsidR="00387802">
              <w:rPr>
                <w:noProof/>
                <w:webHidden/>
              </w:rPr>
            </w:r>
            <w:r w:rsidR="00387802">
              <w:rPr>
                <w:noProof/>
                <w:webHidden/>
              </w:rPr>
              <w:fldChar w:fldCharType="separate"/>
            </w:r>
            <w:r w:rsidR="00387802">
              <w:rPr>
                <w:noProof/>
                <w:webHidden/>
              </w:rPr>
              <w:t>129</w:t>
            </w:r>
            <w:r w:rsidR="00387802">
              <w:rPr>
                <w:noProof/>
                <w:webHidden/>
              </w:rPr>
              <w:fldChar w:fldCharType="end"/>
            </w:r>
          </w:hyperlink>
        </w:p>
        <w:p w14:paraId="26173C77" w14:textId="7A4D77BC" w:rsidR="00387802" w:rsidRDefault="00872E47">
          <w:pPr>
            <w:pStyle w:val="TOC3"/>
            <w:tabs>
              <w:tab w:val="left" w:pos="1320"/>
            </w:tabs>
            <w:rPr>
              <w:rFonts w:asciiTheme="minorHAnsi" w:eastAsiaTheme="minorEastAsia" w:hAnsiTheme="minorHAnsi"/>
              <w:noProof/>
              <w:spacing w:val="0"/>
              <w:sz w:val="22"/>
              <w:szCs w:val="22"/>
            </w:rPr>
          </w:pPr>
          <w:hyperlink w:anchor="_Toc431288846" w:history="1">
            <w:r w:rsidR="00387802" w:rsidRPr="00365A20">
              <w:rPr>
                <w:rStyle w:val="Hyperlink"/>
                <w:noProof/>
                <w14:scene3d>
                  <w14:camera w14:prst="orthographicFront"/>
                  <w14:lightRig w14:rig="threePt" w14:dir="t">
                    <w14:rot w14:lat="0" w14:lon="0" w14:rev="0"/>
                  </w14:lightRig>
                </w14:scene3d>
              </w:rPr>
              <w:t>6.1.2</w:t>
            </w:r>
            <w:r w:rsidR="00387802">
              <w:rPr>
                <w:rFonts w:asciiTheme="minorHAnsi" w:eastAsiaTheme="minorEastAsia" w:hAnsiTheme="minorHAnsi"/>
                <w:noProof/>
                <w:spacing w:val="0"/>
                <w:sz w:val="22"/>
                <w:szCs w:val="22"/>
              </w:rPr>
              <w:tab/>
            </w:r>
            <w:r w:rsidR="00387802" w:rsidRPr="00365A20">
              <w:rPr>
                <w:rStyle w:val="Hyperlink"/>
                <w:noProof/>
              </w:rPr>
              <w:t>Virtual Machine Storage</w:t>
            </w:r>
            <w:r w:rsidR="00387802">
              <w:rPr>
                <w:noProof/>
                <w:webHidden/>
              </w:rPr>
              <w:tab/>
            </w:r>
            <w:r w:rsidR="00387802">
              <w:rPr>
                <w:noProof/>
                <w:webHidden/>
              </w:rPr>
              <w:fldChar w:fldCharType="begin"/>
            </w:r>
            <w:r w:rsidR="00387802">
              <w:rPr>
                <w:noProof/>
                <w:webHidden/>
              </w:rPr>
              <w:instrText xml:space="preserve"> PAGEREF _Toc431288846 \h </w:instrText>
            </w:r>
            <w:r w:rsidR="00387802">
              <w:rPr>
                <w:noProof/>
                <w:webHidden/>
              </w:rPr>
            </w:r>
            <w:r w:rsidR="00387802">
              <w:rPr>
                <w:noProof/>
                <w:webHidden/>
              </w:rPr>
              <w:fldChar w:fldCharType="separate"/>
            </w:r>
            <w:r w:rsidR="00387802">
              <w:rPr>
                <w:noProof/>
                <w:webHidden/>
              </w:rPr>
              <w:t>133</w:t>
            </w:r>
            <w:r w:rsidR="00387802">
              <w:rPr>
                <w:noProof/>
                <w:webHidden/>
              </w:rPr>
              <w:fldChar w:fldCharType="end"/>
            </w:r>
          </w:hyperlink>
        </w:p>
        <w:p w14:paraId="647776B9" w14:textId="04CC559D" w:rsidR="00387802" w:rsidRDefault="00872E47">
          <w:pPr>
            <w:pStyle w:val="TOC3"/>
            <w:tabs>
              <w:tab w:val="left" w:pos="1320"/>
            </w:tabs>
            <w:rPr>
              <w:rFonts w:asciiTheme="minorHAnsi" w:eastAsiaTheme="minorEastAsia" w:hAnsiTheme="minorHAnsi"/>
              <w:noProof/>
              <w:spacing w:val="0"/>
              <w:sz w:val="22"/>
              <w:szCs w:val="22"/>
            </w:rPr>
          </w:pPr>
          <w:hyperlink w:anchor="_Toc431288847" w:history="1">
            <w:r w:rsidR="00387802" w:rsidRPr="00365A20">
              <w:rPr>
                <w:rStyle w:val="Hyperlink"/>
                <w:noProof/>
                <w14:scene3d>
                  <w14:camera w14:prst="orthographicFront"/>
                  <w14:lightRig w14:rig="threePt" w14:dir="t">
                    <w14:rot w14:lat="0" w14:lon="0" w14:rev="0"/>
                  </w14:lightRig>
                </w14:scene3d>
              </w:rPr>
              <w:t>6.1.3</w:t>
            </w:r>
            <w:r w:rsidR="00387802">
              <w:rPr>
                <w:rFonts w:asciiTheme="minorHAnsi" w:eastAsiaTheme="minorEastAsia" w:hAnsiTheme="minorHAnsi"/>
                <w:noProof/>
                <w:spacing w:val="0"/>
                <w:sz w:val="22"/>
                <w:szCs w:val="22"/>
              </w:rPr>
              <w:tab/>
            </w:r>
            <w:r w:rsidR="00387802" w:rsidRPr="00365A20">
              <w:rPr>
                <w:rStyle w:val="Hyperlink"/>
                <w:noProof/>
              </w:rPr>
              <w:t>Virtual Machine Placement</w:t>
            </w:r>
            <w:r w:rsidR="00387802">
              <w:rPr>
                <w:noProof/>
                <w:webHidden/>
              </w:rPr>
              <w:tab/>
            </w:r>
            <w:r w:rsidR="00387802">
              <w:rPr>
                <w:noProof/>
                <w:webHidden/>
              </w:rPr>
              <w:fldChar w:fldCharType="begin"/>
            </w:r>
            <w:r w:rsidR="00387802">
              <w:rPr>
                <w:noProof/>
                <w:webHidden/>
              </w:rPr>
              <w:instrText xml:space="preserve"> PAGEREF _Toc431288847 \h </w:instrText>
            </w:r>
            <w:r w:rsidR="00387802">
              <w:rPr>
                <w:noProof/>
                <w:webHidden/>
              </w:rPr>
            </w:r>
            <w:r w:rsidR="00387802">
              <w:rPr>
                <w:noProof/>
                <w:webHidden/>
              </w:rPr>
              <w:fldChar w:fldCharType="separate"/>
            </w:r>
            <w:r w:rsidR="00387802">
              <w:rPr>
                <w:noProof/>
                <w:webHidden/>
              </w:rPr>
              <w:t>136</w:t>
            </w:r>
            <w:r w:rsidR="00387802">
              <w:rPr>
                <w:noProof/>
                <w:webHidden/>
              </w:rPr>
              <w:fldChar w:fldCharType="end"/>
            </w:r>
          </w:hyperlink>
        </w:p>
        <w:p w14:paraId="56127AB6" w14:textId="3A82A6C3" w:rsidR="00387802" w:rsidRDefault="00872E47">
          <w:pPr>
            <w:pStyle w:val="TOC3"/>
            <w:tabs>
              <w:tab w:val="left" w:pos="1320"/>
            </w:tabs>
            <w:rPr>
              <w:rFonts w:asciiTheme="minorHAnsi" w:eastAsiaTheme="minorEastAsia" w:hAnsiTheme="minorHAnsi"/>
              <w:noProof/>
              <w:spacing w:val="0"/>
              <w:sz w:val="22"/>
              <w:szCs w:val="22"/>
            </w:rPr>
          </w:pPr>
          <w:hyperlink w:anchor="_Toc431288848" w:history="1">
            <w:r w:rsidR="00387802" w:rsidRPr="00365A20">
              <w:rPr>
                <w:rStyle w:val="Hyperlink"/>
                <w:rFonts w:cs="Segoe UI"/>
                <w:noProof/>
                <w14:scene3d>
                  <w14:camera w14:prst="orthographicFront"/>
                  <w14:lightRig w14:rig="threePt" w14:dir="t">
                    <w14:rot w14:lat="0" w14:lon="0" w14:rev="0"/>
                  </w14:lightRig>
                </w14:scene3d>
              </w:rPr>
              <w:t>6.1.4</w:t>
            </w:r>
            <w:r w:rsidR="00387802">
              <w:rPr>
                <w:rFonts w:asciiTheme="minorHAnsi" w:eastAsiaTheme="minorEastAsia" w:hAnsiTheme="minorHAnsi"/>
                <w:noProof/>
                <w:spacing w:val="0"/>
                <w:sz w:val="22"/>
                <w:szCs w:val="22"/>
              </w:rPr>
              <w:tab/>
            </w:r>
            <w:r w:rsidR="00387802" w:rsidRPr="00365A20">
              <w:rPr>
                <w:rStyle w:val="Hyperlink"/>
                <w:noProof/>
              </w:rPr>
              <w:t>Virtual Machine Availability</w:t>
            </w:r>
            <w:r w:rsidR="00387802">
              <w:rPr>
                <w:noProof/>
                <w:webHidden/>
              </w:rPr>
              <w:tab/>
            </w:r>
            <w:r w:rsidR="00387802">
              <w:rPr>
                <w:noProof/>
                <w:webHidden/>
              </w:rPr>
              <w:fldChar w:fldCharType="begin"/>
            </w:r>
            <w:r w:rsidR="00387802">
              <w:rPr>
                <w:noProof/>
                <w:webHidden/>
              </w:rPr>
              <w:instrText xml:space="preserve"> PAGEREF _Toc431288848 \h </w:instrText>
            </w:r>
            <w:r w:rsidR="00387802">
              <w:rPr>
                <w:noProof/>
                <w:webHidden/>
              </w:rPr>
            </w:r>
            <w:r w:rsidR="00387802">
              <w:rPr>
                <w:noProof/>
                <w:webHidden/>
              </w:rPr>
              <w:fldChar w:fldCharType="separate"/>
            </w:r>
            <w:r w:rsidR="00387802">
              <w:rPr>
                <w:noProof/>
                <w:webHidden/>
              </w:rPr>
              <w:t>137</w:t>
            </w:r>
            <w:r w:rsidR="00387802">
              <w:rPr>
                <w:noProof/>
                <w:webHidden/>
              </w:rPr>
              <w:fldChar w:fldCharType="end"/>
            </w:r>
          </w:hyperlink>
        </w:p>
        <w:p w14:paraId="1DFA7A5A" w14:textId="3FF3F5C7" w:rsidR="00387802" w:rsidRDefault="00872E47">
          <w:pPr>
            <w:pStyle w:val="TOC3"/>
            <w:tabs>
              <w:tab w:val="left" w:pos="1320"/>
            </w:tabs>
            <w:rPr>
              <w:rFonts w:asciiTheme="minorHAnsi" w:eastAsiaTheme="minorEastAsia" w:hAnsiTheme="minorHAnsi"/>
              <w:noProof/>
              <w:spacing w:val="0"/>
              <w:sz w:val="22"/>
              <w:szCs w:val="22"/>
            </w:rPr>
          </w:pPr>
          <w:hyperlink w:anchor="_Toc431288849" w:history="1">
            <w:r w:rsidR="00387802" w:rsidRPr="00365A20">
              <w:rPr>
                <w:rStyle w:val="Hyperlink"/>
                <w:noProof/>
                <w14:scene3d>
                  <w14:camera w14:prst="orthographicFront"/>
                  <w14:lightRig w14:rig="threePt" w14:dir="t">
                    <w14:rot w14:lat="0" w14:lon="0" w14:rev="0"/>
                  </w14:lightRig>
                </w14:scene3d>
              </w:rPr>
              <w:t>6.1.5</w:t>
            </w:r>
            <w:r w:rsidR="00387802">
              <w:rPr>
                <w:rFonts w:asciiTheme="minorHAnsi" w:eastAsiaTheme="minorEastAsia" w:hAnsiTheme="minorHAnsi"/>
                <w:noProof/>
                <w:spacing w:val="0"/>
                <w:sz w:val="22"/>
                <w:szCs w:val="22"/>
              </w:rPr>
              <w:tab/>
            </w:r>
            <w:r w:rsidR="00387802" w:rsidRPr="00365A20">
              <w:rPr>
                <w:rStyle w:val="Hyperlink"/>
                <w:noProof/>
              </w:rPr>
              <w:t>Virtual Machine Load Balancing</w:t>
            </w:r>
            <w:r w:rsidR="00387802">
              <w:rPr>
                <w:noProof/>
                <w:webHidden/>
              </w:rPr>
              <w:tab/>
            </w:r>
            <w:r w:rsidR="00387802">
              <w:rPr>
                <w:noProof/>
                <w:webHidden/>
              </w:rPr>
              <w:fldChar w:fldCharType="begin"/>
            </w:r>
            <w:r w:rsidR="00387802">
              <w:rPr>
                <w:noProof/>
                <w:webHidden/>
              </w:rPr>
              <w:instrText xml:space="preserve"> PAGEREF _Toc431288849 \h </w:instrText>
            </w:r>
            <w:r w:rsidR="00387802">
              <w:rPr>
                <w:noProof/>
                <w:webHidden/>
              </w:rPr>
            </w:r>
            <w:r w:rsidR="00387802">
              <w:rPr>
                <w:noProof/>
                <w:webHidden/>
              </w:rPr>
              <w:fldChar w:fldCharType="separate"/>
            </w:r>
            <w:r w:rsidR="00387802">
              <w:rPr>
                <w:noProof/>
                <w:webHidden/>
              </w:rPr>
              <w:t>138</w:t>
            </w:r>
            <w:r w:rsidR="00387802">
              <w:rPr>
                <w:noProof/>
                <w:webHidden/>
              </w:rPr>
              <w:fldChar w:fldCharType="end"/>
            </w:r>
          </w:hyperlink>
        </w:p>
        <w:p w14:paraId="2D348731" w14:textId="6AA86CE5" w:rsidR="00387802" w:rsidRDefault="00872E47">
          <w:pPr>
            <w:pStyle w:val="TOC3"/>
            <w:tabs>
              <w:tab w:val="left" w:pos="1320"/>
            </w:tabs>
            <w:rPr>
              <w:rFonts w:asciiTheme="minorHAnsi" w:eastAsiaTheme="minorEastAsia" w:hAnsiTheme="minorHAnsi"/>
              <w:noProof/>
              <w:spacing w:val="0"/>
              <w:sz w:val="22"/>
              <w:szCs w:val="22"/>
            </w:rPr>
          </w:pPr>
          <w:hyperlink w:anchor="_Toc431288850" w:history="1">
            <w:r w:rsidR="00387802" w:rsidRPr="00365A20">
              <w:rPr>
                <w:rStyle w:val="Hyperlink"/>
                <w:noProof/>
                <w14:scene3d>
                  <w14:camera w14:prst="orthographicFront"/>
                  <w14:lightRig w14:rig="threePt" w14:dir="t">
                    <w14:rot w14:lat="0" w14:lon="0" w14:rev="0"/>
                  </w14:lightRig>
                </w14:scene3d>
              </w:rPr>
              <w:t>6.1.6</w:t>
            </w:r>
            <w:r w:rsidR="00387802">
              <w:rPr>
                <w:rFonts w:asciiTheme="minorHAnsi" w:eastAsiaTheme="minorEastAsia" w:hAnsiTheme="minorHAnsi"/>
                <w:noProof/>
                <w:spacing w:val="0"/>
                <w:sz w:val="22"/>
                <w:szCs w:val="22"/>
              </w:rPr>
              <w:tab/>
            </w:r>
            <w:r w:rsidR="00387802" w:rsidRPr="00365A20">
              <w:rPr>
                <w:rStyle w:val="Hyperlink"/>
                <w:noProof/>
              </w:rPr>
              <w:t>Virtual Machine Gallery Items and Images</w:t>
            </w:r>
            <w:r w:rsidR="00387802">
              <w:rPr>
                <w:noProof/>
                <w:webHidden/>
              </w:rPr>
              <w:tab/>
            </w:r>
            <w:r w:rsidR="00387802">
              <w:rPr>
                <w:noProof/>
                <w:webHidden/>
              </w:rPr>
              <w:fldChar w:fldCharType="begin"/>
            </w:r>
            <w:r w:rsidR="00387802">
              <w:rPr>
                <w:noProof/>
                <w:webHidden/>
              </w:rPr>
              <w:instrText xml:space="preserve"> PAGEREF _Toc431288850 \h </w:instrText>
            </w:r>
            <w:r w:rsidR="00387802">
              <w:rPr>
                <w:noProof/>
                <w:webHidden/>
              </w:rPr>
            </w:r>
            <w:r w:rsidR="00387802">
              <w:rPr>
                <w:noProof/>
                <w:webHidden/>
              </w:rPr>
              <w:fldChar w:fldCharType="separate"/>
            </w:r>
            <w:r w:rsidR="00387802">
              <w:rPr>
                <w:noProof/>
                <w:webHidden/>
              </w:rPr>
              <w:t>139</w:t>
            </w:r>
            <w:r w:rsidR="00387802">
              <w:rPr>
                <w:noProof/>
                <w:webHidden/>
              </w:rPr>
              <w:fldChar w:fldCharType="end"/>
            </w:r>
          </w:hyperlink>
        </w:p>
        <w:p w14:paraId="53333AFE" w14:textId="7FAD5C2D" w:rsidR="00387802" w:rsidRDefault="00872E47">
          <w:pPr>
            <w:pStyle w:val="TOC3"/>
            <w:tabs>
              <w:tab w:val="left" w:pos="1320"/>
            </w:tabs>
            <w:rPr>
              <w:rFonts w:asciiTheme="minorHAnsi" w:eastAsiaTheme="minorEastAsia" w:hAnsiTheme="minorHAnsi"/>
              <w:noProof/>
              <w:spacing w:val="0"/>
              <w:sz w:val="22"/>
              <w:szCs w:val="22"/>
            </w:rPr>
          </w:pPr>
          <w:hyperlink w:anchor="_Toc431288851" w:history="1">
            <w:r w:rsidR="00387802" w:rsidRPr="00365A20">
              <w:rPr>
                <w:rStyle w:val="Hyperlink"/>
                <w:noProof/>
                <w14:scene3d>
                  <w14:camera w14:prst="orthographicFront"/>
                  <w14:lightRig w14:rig="threePt" w14:dir="t">
                    <w14:rot w14:lat="0" w14:lon="0" w14:rev="0"/>
                  </w14:lightRig>
                </w14:scene3d>
              </w:rPr>
              <w:t>6.1.7</w:t>
            </w:r>
            <w:r w:rsidR="00387802">
              <w:rPr>
                <w:rFonts w:asciiTheme="minorHAnsi" w:eastAsiaTheme="minorEastAsia" w:hAnsiTheme="minorHAnsi"/>
                <w:noProof/>
                <w:spacing w:val="0"/>
                <w:sz w:val="22"/>
                <w:szCs w:val="22"/>
              </w:rPr>
              <w:tab/>
            </w:r>
            <w:r w:rsidR="00387802" w:rsidRPr="00365A20">
              <w:rPr>
                <w:rStyle w:val="Hyperlink"/>
                <w:noProof/>
              </w:rPr>
              <w:t>Virtual Machine Extensions</w:t>
            </w:r>
            <w:r w:rsidR="00387802">
              <w:rPr>
                <w:noProof/>
                <w:webHidden/>
              </w:rPr>
              <w:tab/>
            </w:r>
            <w:r w:rsidR="00387802">
              <w:rPr>
                <w:noProof/>
                <w:webHidden/>
              </w:rPr>
              <w:fldChar w:fldCharType="begin"/>
            </w:r>
            <w:r w:rsidR="00387802">
              <w:rPr>
                <w:noProof/>
                <w:webHidden/>
              </w:rPr>
              <w:instrText xml:space="preserve"> PAGEREF _Toc431288851 \h </w:instrText>
            </w:r>
            <w:r w:rsidR="00387802">
              <w:rPr>
                <w:noProof/>
                <w:webHidden/>
              </w:rPr>
            </w:r>
            <w:r w:rsidR="00387802">
              <w:rPr>
                <w:noProof/>
                <w:webHidden/>
              </w:rPr>
              <w:fldChar w:fldCharType="separate"/>
            </w:r>
            <w:r w:rsidR="00387802">
              <w:rPr>
                <w:noProof/>
                <w:webHidden/>
              </w:rPr>
              <w:t>140</w:t>
            </w:r>
            <w:r w:rsidR="00387802">
              <w:rPr>
                <w:noProof/>
                <w:webHidden/>
              </w:rPr>
              <w:fldChar w:fldCharType="end"/>
            </w:r>
          </w:hyperlink>
        </w:p>
        <w:p w14:paraId="6F6AF418" w14:textId="3FBD3B2A" w:rsidR="00387802" w:rsidRDefault="00872E47">
          <w:pPr>
            <w:pStyle w:val="TOC2"/>
            <w:tabs>
              <w:tab w:val="left" w:pos="880"/>
              <w:tab w:val="right" w:leader="dot" w:pos="9350"/>
            </w:tabs>
            <w:rPr>
              <w:rFonts w:asciiTheme="minorHAnsi" w:hAnsiTheme="minorHAnsi"/>
              <w:noProof/>
            </w:rPr>
          </w:pPr>
          <w:hyperlink w:anchor="_Toc431288852" w:history="1">
            <w:r w:rsidR="00387802" w:rsidRPr="00365A20">
              <w:rPr>
                <w:rStyle w:val="Hyperlink"/>
                <w:noProof/>
              </w:rPr>
              <w:t>6.2</w:t>
            </w:r>
            <w:r w:rsidR="00387802">
              <w:rPr>
                <w:rFonts w:asciiTheme="minorHAnsi" w:hAnsiTheme="minorHAnsi"/>
                <w:noProof/>
              </w:rPr>
              <w:tab/>
            </w:r>
            <w:r w:rsidR="00387802" w:rsidRPr="00365A20">
              <w:rPr>
                <w:rStyle w:val="Hyperlink"/>
                <w:noProof/>
              </w:rPr>
              <w:t>Cloud Services</w:t>
            </w:r>
            <w:r w:rsidR="00387802">
              <w:rPr>
                <w:noProof/>
                <w:webHidden/>
              </w:rPr>
              <w:tab/>
            </w:r>
            <w:r w:rsidR="00387802">
              <w:rPr>
                <w:noProof/>
                <w:webHidden/>
              </w:rPr>
              <w:fldChar w:fldCharType="begin"/>
            </w:r>
            <w:r w:rsidR="00387802">
              <w:rPr>
                <w:noProof/>
                <w:webHidden/>
              </w:rPr>
              <w:instrText xml:space="preserve"> PAGEREF _Toc431288852 \h </w:instrText>
            </w:r>
            <w:r w:rsidR="00387802">
              <w:rPr>
                <w:noProof/>
                <w:webHidden/>
              </w:rPr>
            </w:r>
            <w:r w:rsidR="00387802">
              <w:rPr>
                <w:noProof/>
                <w:webHidden/>
              </w:rPr>
              <w:fldChar w:fldCharType="separate"/>
            </w:r>
            <w:r w:rsidR="00387802">
              <w:rPr>
                <w:noProof/>
                <w:webHidden/>
              </w:rPr>
              <w:t>148</w:t>
            </w:r>
            <w:r w:rsidR="00387802">
              <w:rPr>
                <w:noProof/>
                <w:webHidden/>
              </w:rPr>
              <w:fldChar w:fldCharType="end"/>
            </w:r>
          </w:hyperlink>
        </w:p>
        <w:p w14:paraId="7523240B" w14:textId="22C675FB" w:rsidR="00387802" w:rsidRDefault="00872E47">
          <w:pPr>
            <w:pStyle w:val="TOC3"/>
            <w:tabs>
              <w:tab w:val="left" w:pos="1320"/>
            </w:tabs>
            <w:rPr>
              <w:rFonts w:asciiTheme="minorHAnsi" w:eastAsiaTheme="minorEastAsia" w:hAnsiTheme="minorHAnsi"/>
              <w:noProof/>
              <w:spacing w:val="0"/>
              <w:sz w:val="22"/>
              <w:szCs w:val="22"/>
            </w:rPr>
          </w:pPr>
          <w:hyperlink w:anchor="_Toc431288853" w:history="1">
            <w:r w:rsidR="00387802" w:rsidRPr="00365A20">
              <w:rPr>
                <w:rStyle w:val="Hyperlink"/>
                <w:noProof/>
                <w14:scene3d>
                  <w14:camera w14:prst="orthographicFront"/>
                  <w14:lightRig w14:rig="threePt" w14:dir="t">
                    <w14:rot w14:lat="0" w14:lon="0" w14:rev="0"/>
                  </w14:lightRig>
                </w14:scene3d>
              </w:rPr>
              <w:t>6.2.1</w:t>
            </w:r>
            <w:r w:rsidR="00387802">
              <w:rPr>
                <w:rFonts w:asciiTheme="minorHAnsi" w:eastAsiaTheme="minorEastAsia" w:hAnsiTheme="minorHAnsi"/>
                <w:noProof/>
                <w:spacing w:val="0"/>
                <w:sz w:val="22"/>
                <w:szCs w:val="22"/>
              </w:rPr>
              <w:tab/>
            </w:r>
            <w:r w:rsidR="00387802" w:rsidRPr="00365A20">
              <w:rPr>
                <w:rStyle w:val="Hyperlink"/>
                <w:noProof/>
              </w:rPr>
              <w:t>Cloud Services Load Balancing</w:t>
            </w:r>
            <w:r w:rsidR="00387802">
              <w:rPr>
                <w:noProof/>
                <w:webHidden/>
              </w:rPr>
              <w:tab/>
            </w:r>
            <w:r w:rsidR="00387802">
              <w:rPr>
                <w:noProof/>
                <w:webHidden/>
              </w:rPr>
              <w:fldChar w:fldCharType="begin"/>
            </w:r>
            <w:r w:rsidR="00387802">
              <w:rPr>
                <w:noProof/>
                <w:webHidden/>
              </w:rPr>
              <w:instrText xml:space="preserve"> PAGEREF _Toc431288853 \h </w:instrText>
            </w:r>
            <w:r w:rsidR="00387802">
              <w:rPr>
                <w:noProof/>
                <w:webHidden/>
              </w:rPr>
            </w:r>
            <w:r w:rsidR="00387802">
              <w:rPr>
                <w:noProof/>
                <w:webHidden/>
              </w:rPr>
              <w:fldChar w:fldCharType="separate"/>
            </w:r>
            <w:r w:rsidR="00387802">
              <w:rPr>
                <w:noProof/>
                <w:webHidden/>
              </w:rPr>
              <w:t>149</w:t>
            </w:r>
            <w:r w:rsidR="00387802">
              <w:rPr>
                <w:noProof/>
                <w:webHidden/>
              </w:rPr>
              <w:fldChar w:fldCharType="end"/>
            </w:r>
          </w:hyperlink>
        </w:p>
        <w:p w14:paraId="602AA66A" w14:textId="1C2D6091" w:rsidR="00387802" w:rsidRDefault="00872E47">
          <w:pPr>
            <w:pStyle w:val="TOC2"/>
            <w:tabs>
              <w:tab w:val="left" w:pos="880"/>
              <w:tab w:val="right" w:leader="dot" w:pos="9350"/>
            </w:tabs>
            <w:rPr>
              <w:rFonts w:asciiTheme="minorHAnsi" w:hAnsiTheme="minorHAnsi"/>
              <w:noProof/>
            </w:rPr>
          </w:pPr>
          <w:hyperlink w:anchor="_Toc431288854" w:history="1">
            <w:r w:rsidR="00387802" w:rsidRPr="00365A20">
              <w:rPr>
                <w:rStyle w:val="Hyperlink"/>
                <w:noProof/>
              </w:rPr>
              <w:t>6.3</w:t>
            </w:r>
            <w:r w:rsidR="00387802">
              <w:rPr>
                <w:rFonts w:asciiTheme="minorHAnsi" w:hAnsiTheme="minorHAnsi"/>
                <w:noProof/>
              </w:rPr>
              <w:tab/>
            </w:r>
            <w:r w:rsidR="00387802" w:rsidRPr="00365A20">
              <w:rPr>
                <w:rStyle w:val="Hyperlink"/>
                <w:noProof/>
              </w:rPr>
              <w:t>Azure RemoteApp</w:t>
            </w:r>
            <w:r w:rsidR="00387802">
              <w:rPr>
                <w:noProof/>
                <w:webHidden/>
              </w:rPr>
              <w:tab/>
            </w:r>
            <w:r w:rsidR="00387802">
              <w:rPr>
                <w:noProof/>
                <w:webHidden/>
              </w:rPr>
              <w:fldChar w:fldCharType="begin"/>
            </w:r>
            <w:r w:rsidR="00387802">
              <w:rPr>
                <w:noProof/>
                <w:webHidden/>
              </w:rPr>
              <w:instrText xml:space="preserve"> PAGEREF _Toc431288854 \h </w:instrText>
            </w:r>
            <w:r w:rsidR="00387802">
              <w:rPr>
                <w:noProof/>
                <w:webHidden/>
              </w:rPr>
            </w:r>
            <w:r w:rsidR="00387802">
              <w:rPr>
                <w:noProof/>
                <w:webHidden/>
              </w:rPr>
              <w:fldChar w:fldCharType="separate"/>
            </w:r>
            <w:r w:rsidR="00387802">
              <w:rPr>
                <w:noProof/>
                <w:webHidden/>
              </w:rPr>
              <w:t>152</w:t>
            </w:r>
            <w:r w:rsidR="00387802">
              <w:rPr>
                <w:noProof/>
                <w:webHidden/>
              </w:rPr>
              <w:fldChar w:fldCharType="end"/>
            </w:r>
          </w:hyperlink>
        </w:p>
        <w:p w14:paraId="5F3F2A6A" w14:textId="763C0B6B" w:rsidR="00387802" w:rsidRDefault="00872E47">
          <w:pPr>
            <w:pStyle w:val="TOC2"/>
            <w:tabs>
              <w:tab w:val="left" w:pos="880"/>
              <w:tab w:val="right" w:leader="dot" w:pos="9350"/>
            </w:tabs>
            <w:rPr>
              <w:rFonts w:asciiTheme="minorHAnsi" w:hAnsiTheme="minorHAnsi"/>
              <w:noProof/>
            </w:rPr>
          </w:pPr>
          <w:hyperlink w:anchor="_Toc431288855" w:history="1">
            <w:r w:rsidR="00387802" w:rsidRPr="00365A20">
              <w:rPr>
                <w:rStyle w:val="Hyperlink"/>
                <w:noProof/>
              </w:rPr>
              <w:t>6.4</w:t>
            </w:r>
            <w:r w:rsidR="00387802">
              <w:rPr>
                <w:rFonts w:asciiTheme="minorHAnsi" w:hAnsiTheme="minorHAnsi"/>
                <w:noProof/>
              </w:rPr>
              <w:tab/>
            </w:r>
            <w:r w:rsidR="00387802" w:rsidRPr="00365A20">
              <w:rPr>
                <w:rStyle w:val="Hyperlink"/>
                <w:noProof/>
              </w:rPr>
              <w:t>IaaS Considerations</w:t>
            </w:r>
            <w:r w:rsidR="00387802">
              <w:rPr>
                <w:noProof/>
                <w:webHidden/>
              </w:rPr>
              <w:tab/>
            </w:r>
            <w:r w:rsidR="00387802">
              <w:rPr>
                <w:noProof/>
                <w:webHidden/>
              </w:rPr>
              <w:fldChar w:fldCharType="begin"/>
            </w:r>
            <w:r w:rsidR="00387802">
              <w:rPr>
                <w:noProof/>
                <w:webHidden/>
              </w:rPr>
              <w:instrText xml:space="preserve"> PAGEREF _Toc431288855 \h </w:instrText>
            </w:r>
            <w:r w:rsidR="00387802">
              <w:rPr>
                <w:noProof/>
                <w:webHidden/>
              </w:rPr>
            </w:r>
            <w:r w:rsidR="00387802">
              <w:rPr>
                <w:noProof/>
                <w:webHidden/>
              </w:rPr>
              <w:fldChar w:fldCharType="separate"/>
            </w:r>
            <w:r w:rsidR="00387802">
              <w:rPr>
                <w:noProof/>
                <w:webHidden/>
              </w:rPr>
              <w:t>157</w:t>
            </w:r>
            <w:r w:rsidR="00387802">
              <w:rPr>
                <w:noProof/>
                <w:webHidden/>
              </w:rPr>
              <w:fldChar w:fldCharType="end"/>
            </w:r>
          </w:hyperlink>
        </w:p>
        <w:p w14:paraId="154B12A8" w14:textId="75A06633" w:rsidR="00387802" w:rsidRDefault="00872E47">
          <w:pPr>
            <w:pStyle w:val="TOC3"/>
            <w:tabs>
              <w:tab w:val="left" w:pos="1320"/>
            </w:tabs>
            <w:rPr>
              <w:rFonts w:asciiTheme="minorHAnsi" w:eastAsiaTheme="minorEastAsia" w:hAnsiTheme="minorHAnsi"/>
              <w:noProof/>
              <w:spacing w:val="0"/>
              <w:sz w:val="22"/>
              <w:szCs w:val="22"/>
            </w:rPr>
          </w:pPr>
          <w:hyperlink w:anchor="_Toc431288856" w:history="1">
            <w:r w:rsidR="00387802" w:rsidRPr="00365A20">
              <w:rPr>
                <w:rStyle w:val="Hyperlink"/>
                <w:noProof/>
                <w14:scene3d>
                  <w14:camera w14:prst="orthographicFront"/>
                  <w14:lightRig w14:rig="threePt" w14:dir="t">
                    <w14:rot w14:lat="0" w14:lon="0" w14:rev="0"/>
                  </w14:lightRig>
                </w14:scene3d>
              </w:rPr>
              <w:t>6.4.1</w:t>
            </w:r>
            <w:r w:rsidR="00387802">
              <w:rPr>
                <w:rFonts w:asciiTheme="minorHAnsi" w:eastAsiaTheme="minorEastAsia" w:hAnsiTheme="minorHAnsi"/>
                <w:noProof/>
                <w:spacing w:val="0"/>
                <w:sz w:val="22"/>
                <w:szCs w:val="22"/>
              </w:rPr>
              <w:tab/>
            </w:r>
            <w:r w:rsidR="00387802" w:rsidRPr="00365A20">
              <w:rPr>
                <w:rStyle w:val="Hyperlink"/>
                <w:noProof/>
              </w:rPr>
              <w:t>Cost</w:t>
            </w:r>
            <w:r w:rsidR="00387802">
              <w:rPr>
                <w:noProof/>
                <w:webHidden/>
              </w:rPr>
              <w:tab/>
            </w:r>
            <w:r w:rsidR="00387802">
              <w:rPr>
                <w:noProof/>
                <w:webHidden/>
              </w:rPr>
              <w:fldChar w:fldCharType="begin"/>
            </w:r>
            <w:r w:rsidR="00387802">
              <w:rPr>
                <w:noProof/>
                <w:webHidden/>
              </w:rPr>
              <w:instrText xml:space="preserve"> PAGEREF _Toc431288856 \h </w:instrText>
            </w:r>
            <w:r w:rsidR="00387802">
              <w:rPr>
                <w:noProof/>
                <w:webHidden/>
              </w:rPr>
            </w:r>
            <w:r w:rsidR="00387802">
              <w:rPr>
                <w:noProof/>
                <w:webHidden/>
              </w:rPr>
              <w:fldChar w:fldCharType="separate"/>
            </w:r>
            <w:r w:rsidR="00387802">
              <w:rPr>
                <w:noProof/>
                <w:webHidden/>
              </w:rPr>
              <w:t>157</w:t>
            </w:r>
            <w:r w:rsidR="00387802">
              <w:rPr>
                <w:noProof/>
                <w:webHidden/>
              </w:rPr>
              <w:fldChar w:fldCharType="end"/>
            </w:r>
          </w:hyperlink>
        </w:p>
        <w:p w14:paraId="7C176AF4" w14:textId="001A0038" w:rsidR="00387802" w:rsidRDefault="00872E47">
          <w:pPr>
            <w:pStyle w:val="TOC3"/>
            <w:tabs>
              <w:tab w:val="left" w:pos="1320"/>
            </w:tabs>
            <w:rPr>
              <w:rFonts w:asciiTheme="minorHAnsi" w:eastAsiaTheme="minorEastAsia" w:hAnsiTheme="minorHAnsi"/>
              <w:noProof/>
              <w:spacing w:val="0"/>
              <w:sz w:val="22"/>
              <w:szCs w:val="22"/>
            </w:rPr>
          </w:pPr>
          <w:hyperlink w:anchor="_Toc431288857" w:history="1">
            <w:r w:rsidR="00387802" w:rsidRPr="00365A20">
              <w:rPr>
                <w:rStyle w:val="Hyperlink"/>
                <w:noProof/>
                <w14:scene3d>
                  <w14:camera w14:prst="orthographicFront"/>
                  <w14:lightRig w14:rig="threePt" w14:dir="t">
                    <w14:rot w14:lat="0" w14:lon="0" w14:rev="0"/>
                  </w14:lightRig>
                </w14:scene3d>
              </w:rPr>
              <w:t>6.4.2</w:t>
            </w:r>
            <w:r w:rsidR="00387802">
              <w:rPr>
                <w:rFonts w:asciiTheme="minorHAnsi" w:eastAsiaTheme="minorEastAsia" w:hAnsiTheme="minorHAnsi"/>
                <w:noProof/>
                <w:spacing w:val="0"/>
                <w:sz w:val="22"/>
                <w:szCs w:val="22"/>
              </w:rPr>
              <w:tab/>
            </w:r>
            <w:r w:rsidR="00387802" w:rsidRPr="00365A20">
              <w:rPr>
                <w:rStyle w:val="Hyperlink"/>
                <w:noProof/>
              </w:rPr>
              <w:t>Load Balancing</w:t>
            </w:r>
            <w:r w:rsidR="00387802">
              <w:rPr>
                <w:noProof/>
                <w:webHidden/>
              </w:rPr>
              <w:tab/>
            </w:r>
            <w:r w:rsidR="00387802">
              <w:rPr>
                <w:noProof/>
                <w:webHidden/>
              </w:rPr>
              <w:fldChar w:fldCharType="begin"/>
            </w:r>
            <w:r w:rsidR="00387802">
              <w:rPr>
                <w:noProof/>
                <w:webHidden/>
              </w:rPr>
              <w:instrText xml:space="preserve"> PAGEREF _Toc431288857 \h </w:instrText>
            </w:r>
            <w:r w:rsidR="00387802">
              <w:rPr>
                <w:noProof/>
                <w:webHidden/>
              </w:rPr>
            </w:r>
            <w:r w:rsidR="00387802">
              <w:rPr>
                <w:noProof/>
                <w:webHidden/>
              </w:rPr>
              <w:fldChar w:fldCharType="separate"/>
            </w:r>
            <w:r w:rsidR="00387802">
              <w:rPr>
                <w:noProof/>
                <w:webHidden/>
              </w:rPr>
              <w:t>158</w:t>
            </w:r>
            <w:r w:rsidR="00387802">
              <w:rPr>
                <w:noProof/>
                <w:webHidden/>
              </w:rPr>
              <w:fldChar w:fldCharType="end"/>
            </w:r>
          </w:hyperlink>
        </w:p>
        <w:p w14:paraId="296F0E20" w14:textId="0CEDCDBD" w:rsidR="00387802" w:rsidRDefault="00872E47">
          <w:pPr>
            <w:pStyle w:val="TOC3"/>
            <w:tabs>
              <w:tab w:val="left" w:pos="1320"/>
            </w:tabs>
            <w:rPr>
              <w:rFonts w:asciiTheme="minorHAnsi" w:eastAsiaTheme="minorEastAsia" w:hAnsiTheme="minorHAnsi"/>
              <w:noProof/>
              <w:spacing w:val="0"/>
              <w:sz w:val="22"/>
              <w:szCs w:val="22"/>
            </w:rPr>
          </w:pPr>
          <w:hyperlink w:anchor="_Toc431288858" w:history="1">
            <w:r w:rsidR="00387802" w:rsidRPr="00365A20">
              <w:rPr>
                <w:rStyle w:val="Hyperlink"/>
                <w:noProof/>
                <w14:scene3d>
                  <w14:camera w14:prst="orthographicFront"/>
                  <w14:lightRig w14:rig="threePt" w14:dir="t">
                    <w14:rot w14:lat="0" w14:lon="0" w14:rev="0"/>
                  </w14:lightRig>
                </w14:scene3d>
              </w:rPr>
              <w:t>6.4.3</w:t>
            </w:r>
            <w:r w:rsidR="00387802">
              <w:rPr>
                <w:rFonts w:asciiTheme="minorHAnsi" w:eastAsiaTheme="minorEastAsia" w:hAnsiTheme="minorHAnsi"/>
                <w:noProof/>
                <w:spacing w:val="0"/>
                <w:sz w:val="22"/>
                <w:szCs w:val="22"/>
              </w:rPr>
              <w:tab/>
            </w:r>
            <w:r w:rsidR="00387802" w:rsidRPr="00365A20">
              <w:rPr>
                <w:rStyle w:val="Hyperlink"/>
                <w:noProof/>
              </w:rPr>
              <w:t>Encryption</w:t>
            </w:r>
            <w:r w:rsidR="00387802">
              <w:rPr>
                <w:noProof/>
                <w:webHidden/>
              </w:rPr>
              <w:tab/>
            </w:r>
            <w:r w:rsidR="00387802">
              <w:rPr>
                <w:noProof/>
                <w:webHidden/>
              </w:rPr>
              <w:fldChar w:fldCharType="begin"/>
            </w:r>
            <w:r w:rsidR="00387802">
              <w:rPr>
                <w:noProof/>
                <w:webHidden/>
              </w:rPr>
              <w:instrText xml:space="preserve"> PAGEREF _Toc431288858 \h </w:instrText>
            </w:r>
            <w:r w:rsidR="00387802">
              <w:rPr>
                <w:noProof/>
                <w:webHidden/>
              </w:rPr>
            </w:r>
            <w:r w:rsidR="00387802">
              <w:rPr>
                <w:noProof/>
                <w:webHidden/>
              </w:rPr>
              <w:fldChar w:fldCharType="separate"/>
            </w:r>
            <w:r w:rsidR="00387802">
              <w:rPr>
                <w:noProof/>
                <w:webHidden/>
              </w:rPr>
              <w:t>158</w:t>
            </w:r>
            <w:r w:rsidR="00387802">
              <w:rPr>
                <w:noProof/>
                <w:webHidden/>
              </w:rPr>
              <w:fldChar w:fldCharType="end"/>
            </w:r>
          </w:hyperlink>
        </w:p>
        <w:p w14:paraId="247DA24A" w14:textId="119713D8" w:rsidR="00387802" w:rsidRDefault="00872E47">
          <w:pPr>
            <w:pStyle w:val="TOC3"/>
            <w:tabs>
              <w:tab w:val="left" w:pos="1320"/>
            </w:tabs>
            <w:rPr>
              <w:rFonts w:asciiTheme="minorHAnsi" w:eastAsiaTheme="minorEastAsia" w:hAnsiTheme="minorHAnsi"/>
              <w:noProof/>
              <w:spacing w:val="0"/>
              <w:sz w:val="22"/>
              <w:szCs w:val="22"/>
            </w:rPr>
          </w:pPr>
          <w:hyperlink w:anchor="_Toc431288859" w:history="1">
            <w:r w:rsidR="00387802" w:rsidRPr="00365A20">
              <w:rPr>
                <w:rStyle w:val="Hyperlink"/>
                <w:noProof/>
                <w14:scene3d>
                  <w14:camera w14:prst="orthographicFront"/>
                  <w14:lightRig w14:rig="threePt" w14:dir="t">
                    <w14:rot w14:lat="0" w14:lon="0" w14:rev="0"/>
                  </w14:lightRig>
                </w14:scene3d>
              </w:rPr>
              <w:t>6.4.4</w:t>
            </w:r>
            <w:r w:rsidR="00387802">
              <w:rPr>
                <w:rFonts w:asciiTheme="minorHAnsi" w:eastAsiaTheme="minorEastAsia" w:hAnsiTheme="minorHAnsi"/>
                <w:noProof/>
                <w:spacing w:val="0"/>
                <w:sz w:val="22"/>
                <w:szCs w:val="22"/>
              </w:rPr>
              <w:tab/>
            </w:r>
            <w:r w:rsidR="00387802" w:rsidRPr="00365A20">
              <w:rPr>
                <w:rStyle w:val="Hyperlink"/>
                <w:noProof/>
              </w:rPr>
              <w:t>Networking</w:t>
            </w:r>
            <w:r w:rsidR="00387802">
              <w:rPr>
                <w:noProof/>
                <w:webHidden/>
              </w:rPr>
              <w:tab/>
            </w:r>
            <w:r w:rsidR="00387802">
              <w:rPr>
                <w:noProof/>
                <w:webHidden/>
              </w:rPr>
              <w:fldChar w:fldCharType="begin"/>
            </w:r>
            <w:r w:rsidR="00387802">
              <w:rPr>
                <w:noProof/>
                <w:webHidden/>
              </w:rPr>
              <w:instrText xml:space="preserve"> PAGEREF _Toc431288859 \h </w:instrText>
            </w:r>
            <w:r w:rsidR="00387802">
              <w:rPr>
                <w:noProof/>
                <w:webHidden/>
              </w:rPr>
            </w:r>
            <w:r w:rsidR="00387802">
              <w:rPr>
                <w:noProof/>
                <w:webHidden/>
              </w:rPr>
              <w:fldChar w:fldCharType="separate"/>
            </w:r>
            <w:r w:rsidR="00387802">
              <w:rPr>
                <w:noProof/>
                <w:webHidden/>
              </w:rPr>
              <w:t>159</w:t>
            </w:r>
            <w:r w:rsidR="00387802">
              <w:rPr>
                <w:noProof/>
                <w:webHidden/>
              </w:rPr>
              <w:fldChar w:fldCharType="end"/>
            </w:r>
          </w:hyperlink>
        </w:p>
        <w:p w14:paraId="02C7C15C" w14:textId="7C0C0FE5" w:rsidR="00387802" w:rsidRDefault="00872E47">
          <w:pPr>
            <w:pStyle w:val="TOC3"/>
            <w:tabs>
              <w:tab w:val="left" w:pos="1320"/>
            </w:tabs>
            <w:rPr>
              <w:rFonts w:asciiTheme="minorHAnsi" w:eastAsiaTheme="minorEastAsia" w:hAnsiTheme="minorHAnsi"/>
              <w:noProof/>
              <w:spacing w:val="0"/>
              <w:sz w:val="22"/>
              <w:szCs w:val="22"/>
            </w:rPr>
          </w:pPr>
          <w:hyperlink w:anchor="_Toc431288860" w:history="1">
            <w:r w:rsidR="00387802" w:rsidRPr="00365A20">
              <w:rPr>
                <w:rStyle w:val="Hyperlink"/>
                <w:noProof/>
                <w14:scene3d>
                  <w14:camera w14:prst="orthographicFront"/>
                  <w14:lightRig w14:rig="threePt" w14:dir="t">
                    <w14:rot w14:lat="0" w14:lon="0" w14:rev="0"/>
                  </w14:lightRig>
                </w14:scene3d>
              </w:rPr>
              <w:t>6.4.5</w:t>
            </w:r>
            <w:r w:rsidR="00387802">
              <w:rPr>
                <w:rFonts w:asciiTheme="minorHAnsi" w:eastAsiaTheme="minorEastAsia" w:hAnsiTheme="minorHAnsi"/>
                <w:noProof/>
                <w:spacing w:val="0"/>
                <w:sz w:val="22"/>
                <w:szCs w:val="22"/>
              </w:rPr>
              <w:tab/>
            </w:r>
            <w:r w:rsidR="00387802" w:rsidRPr="00365A20">
              <w:rPr>
                <w:rStyle w:val="Hyperlink"/>
                <w:noProof/>
              </w:rPr>
              <w:t>Limitations</w:t>
            </w:r>
            <w:r w:rsidR="00387802">
              <w:rPr>
                <w:noProof/>
                <w:webHidden/>
              </w:rPr>
              <w:tab/>
            </w:r>
            <w:r w:rsidR="00387802">
              <w:rPr>
                <w:noProof/>
                <w:webHidden/>
              </w:rPr>
              <w:fldChar w:fldCharType="begin"/>
            </w:r>
            <w:r w:rsidR="00387802">
              <w:rPr>
                <w:noProof/>
                <w:webHidden/>
              </w:rPr>
              <w:instrText xml:space="preserve"> PAGEREF _Toc431288860 \h </w:instrText>
            </w:r>
            <w:r w:rsidR="00387802">
              <w:rPr>
                <w:noProof/>
                <w:webHidden/>
              </w:rPr>
            </w:r>
            <w:r w:rsidR="00387802">
              <w:rPr>
                <w:noProof/>
                <w:webHidden/>
              </w:rPr>
              <w:fldChar w:fldCharType="separate"/>
            </w:r>
            <w:r w:rsidR="00387802">
              <w:rPr>
                <w:noProof/>
                <w:webHidden/>
              </w:rPr>
              <w:t>161</w:t>
            </w:r>
            <w:r w:rsidR="00387802">
              <w:rPr>
                <w:noProof/>
                <w:webHidden/>
              </w:rPr>
              <w:fldChar w:fldCharType="end"/>
            </w:r>
          </w:hyperlink>
        </w:p>
        <w:p w14:paraId="44519D0B" w14:textId="78C884F5" w:rsidR="00387802" w:rsidRDefault="00872E47">
          <w:pPr>
            <w:pStyle w:val="TOC3"/>
            <w:tabs>
              <w:tab w:val="left" w:pos="1320"/>
            </w:tabs>
            <w:rPr>
              <w:rFonts w:asciiTheme="minorHAnsi" w:eastAsiaTheme="minorEastAsia" w:hAnsiTheme="minorHAnsi"/>
              <w:noProof/>
              <w:spacing w:val="0"/>
              <w:sz w:val="22"/>
              <w:szCs w:val="22"/>
            </w:rPr>
          </w:pPr>
          <w:hyperlink w:anchor="_Toc431288861" w:history="1">
            <w:r w:rsidR="00387802" w:rsidRPr="00365A20">
              <w:rPr>
                <w:rStyle w:val="Hyperlink"/>
                <w:noProof/>
                <w14:scene3d>
                  <w14:camera w14:prst="orthographicFront"/>
                  <w14:lightRig w14:rig="threePt" w14:dir="t">
                    <w14:rot w14:lat="0" w14:lon="0" w14:rev="0"/>
                  </w14:lightRig>
                </w14:scene3d>
              </w:rPr>
              <w:t>6.4.6</w:t>
            </w:r>
            <w:r w:rsidR="00387802">
              <w:rPr>
                <w:rFonts w:asciiTheme="minorHAnsi" w:eastAsiaTheme="minorEastAsia" w:hAnsiTheme="minorHAnsi"/>
                <w:noProof/>
                <w:spacing w:val="0"/>
                <w:sz w:val="22"/>
                <w:szCs w:val="22"/>
              </w:rPr>
              <w:tab/>
            </w:r>
            <w:r w:rsidR="00387802" w:rsidRPr="00365A20">
              <w:rPr>
                <w:rStyle w:val="Hyperlink"/>
                <w:noProof/>
              </w:rPr>
              <w:t>Management Considerations for Azure IaaS Virtual Machines</w:t>
            </w:r>
            <w:r w:rsidR="00387802">
              <w:rPr>
                <w:noProof/>
                <w:webHidden/>
              </w:rPr>
              <w:tab/>
            </w:r>
            <w:r w:rsidR="00387802">
              <w:rPr>
                <w:noProof/>
                <w:webHidden/>
              </w:rPr>
              <w:fldChar w:fldCharType="begin"/>
            </w:r>
            <w:r w:rsidR="00387802">
              <w:rPr>
                <w:noProof/>
                <w:webHidden/>
              </w:rPr>
              <w:instrText xml:space="preserve"> PAGEREF _Toc431288861 \h </w:instrText>
            </w:r>
            <w:r w:rsidR="00387802">
              <w:rPr>
                <w:noProof/>
                <w:webHidden/>
              </w:rPr>
            </w:r>
            <w:r w:rsidR="00387802">
              <w:rPr>
                <w:noProof/>
                <w:webHidden/>
              </w:rPr>
              <w:fldChar w:fldCharType="separate"/>
            </w:r>
            <w:r w:rsidR="00387802">
              <w:rPr>
                <w:noProof/>
                <w:webHidden/>
              </w:rPr>
              <w:t>162</w:t>
            </w:r>
            <w:r w:rsidR="00387802">
              <w:rPr>
                <w:noProof/>
                <w:webHidden/>
              </w:rPr>
              <w:fldChar w:fldCharType="end"/>
            </w:r>
          </w:hyperlink>
        </w:p>
        <w:p w14:paraId="0A0298CD" w14:textId="48D72E91" w:rsidR="00387802" w:rsidRDefault="00872E47">
          <w:pPr>
            <w:pStyle w:val="TOC1"/>
            <w:rPr>
              <w:rFonts w:asciiTheme="minorHAnsi" w:hAnsiTheme="minorHAnsi"/>
              <w:sz w:val="22"/>
            </w:rPr>
          </w:pPr>
          <w:hyperlink w:anchor="_Toc431288862" w:history="1">
            <w:r w:rsidR="00387802" w:rsidRPr="00365A20">
              <w:rPr>
                <w:rStyle w:val="Hyperlink"/>
              </w:rPr>
              <w:t>7</w:t>
            </w:r>
            <w:r w:rsidR="00387802">
              <w:rPr>
                <w:rFonts w:asciiTheme="minorHAnsi" w:hAnsiTheme="minorHAnsi"/>
                <w:sz w:val="22"/>
              </w:rPr>
              <w:tab/>
            </w:r>
            <w:r w:rsidR="00387802" w:rsidRPr="00365A20">
              <w:rPr>
                <w:rStyle w:val="Hyperlink"/>
              </w:rPr>
              <w:t>Microsoft Azure Compute: PaaS</w:t>
            </w:r>
            <w:r w:rsidR="00387802">
              <w:rPr>
                <w:webHidden/>
              </w:rPr>
              <w:tab/>
            </w:r>
            <w:r w:rsidR="00387802">
              <w:rPr>
                <w:webHidden/>
              </w:rPr>
              <w:fldChar w:fldCharType="begin"/>
            </w:r>
            <w:r w:rsidR="00387802">
              <w:rPr>
                <w:webHidden/>
              </w:rPr>
              <w:instrText xml:space="preserve"> PAGEREF _Toc431288862 \h </w:instrText>
            </w:r>
            <w:r w:rsidR="00387802">
              <w:rPr>
                <w:webHidden/>
              </w:rPr>
            </w:r>
            <w:r w:rsidR="00387802">
              <w:rPr>
                <w:webHidden/>
              </w:rPr>
              <w:fldChar w:fldCharType="separate"/>
            </w:r>
            <w:r w:rsidR="00387802">
              <w:rPr>
                <w:webHidden/>
              </w:rPr>
              <w:t>164</w:t>
            </w:r>
            <w:r w:rsidR="00387802">
              <w:rPr>
                <w:webHidden/>
              </w:rPr>
              <w:fldChar w:fldCharType="end"/>
            </w:r>
          </w:hyperlink>
        </w:p>
        <w:p w14:paraId="20ACA6DF" w14:textId="4D782F28" w:rsidR="00387802" w:rsidRDefault="00872E47">
          <w:pPr>
            <w:pStyle w:val="TOC2"/>
            <w:tabs>
              <w:tab w:val="left" w:pos="880"/>
              <w:tab w:val="right" w:leader="dot" w:pos="9350"/>
            </w:tabs>
            <w:rPr>
              <w:rFonts w:asciiTheme="minorHAnsi" w:hAnsiTheme="minorHAnsi"/>
              <w:noProof/>
            </w:rPr>
          </w:pPr>
          <w:hyperlink w:anchor="_Toc431288863" w:history="1">
            <w:r w:rsidR="00387802" w:rsidRPr="00365A20">
              <w:rPr>
                <w:rStyle w:val="Hyperlink"/>
                <w:noProof/>
              </w:rPr>
              <w:t>7.1</w:t>
            </w:r>
            <w:r w:rsidR="00387802">
              <w:rPr>
                <w:rFonts w:asciiTheme="minorHAnsi" w:hAnsiTheme="minorHAnsi"/>
                <w:noProof/>
              </w:rPr>
              <w:tab/>
            </w:r>
            <w:r w:rsidR="00387802" w:rsidRPr="00365A20">
              <w:rPr>
                <w:rStyle w:val="Hyperlink"/>
                <w:noProof/>
              </w:rPr>
              <w:t>Cloud Services</w:t>
            </w:r>
            <w:r w:rsidR="00387802">
              <w:rPr>
                <w:noProof/>
                <w:webHidden/>
              </w:rPr>
              <w:tab/>
            </w:r>
            <w:r w:rsidR="00387802">
              <w:rPr>
                <w:noProof/>
                <w:webHidden/>
              </w:rPr>
              <w:fldChar w:fldCharType="begin"/>
            </w:r>
            <w:r w:rsidR="00387802">
              <w:rPr>
                <w:noProof/>
                <w:webHidden/>
              </w:rPr>
              <w:instrText xml:space="preserve"> PAGEREF _Toc431288863 \h </w:instrText>
            </w:r>
            <w:r w:rsidR="00387802">
              <w:rPr>
                <w:noProof/>
                <w:webHidden/>
              </w:rPr>
            </w:r>
            <w:r w:rsidR="00387802">
              <w:rPr>
                <w:noProof/>
                <w:webHidden/>
              </w:rPr>
              <w:fldChar w:fldCharType="separate"/>
            </w:r>
            <w:r w:rsidR="00387802">
              <w:rPr>
                <w:noProof/>
                <w:webHidden/>
              </w:rPr>
              <w:t>167</w:t>
            </w:r>
            <w:r w:rsidR="00387802">
              <w:rPr>
                <w:noProof/>
                <w:webHidden/>
              </w:rPr>
              <w:fldChar w:fldCharType="end"/>
            </w:r>
          </w:hyperlink>
        </w:p>
        <w:p w14:paraId="1A8A8DE8" w14:textId="0D94F20F" w:rsidR="00387802" w:rsidRDefault="00872E47">
          <w:pPr>
            <w:pStyle w:val="TOC3"/>
            <w:tabs>
              <w:tab w:val="left" w:pos="1320"/>
            </w:tabs>
            <w:rPr>
              <w:rFonts w:asciiTheme="minorHAnsi" w:eastAsiaTheme="minorEastAsia" w:hAnsiTheme="minorHAnsi"/>
              <w:noProof/>
              <w:spacing w:val="0"/>
              <w:sz w:val="22"/>
              <w:szCs w:val="22"/>
            </w:rPr>
          </w:pPr>
          <w:hyperlink w:anchor="_Toc431288864" w:history="1">
            <w:r w:rsidR="00387802" w:rsidRPr="00365A20">
              <w:rPr>
                <w:rStyle w:val="Hyperlink"/>
                <w:noProof/>
                <w14:scene3d>
                  <w14:camera w14:prst="orthographicFront"/>
                  <w14:lightRig w14:rig="threePt" w14:dir="t">
                    <w14:rot w14:lat="0" w14:lon="0" w14:rev="0"/>
                  </w14:lightRig>
                </w14:scene3d>
              </w:rPr>
              <w:t>7.1.1</w:t>
            </w:r>
            <w:r w:rsidR="00387802">
              <w:rPr>
                <w:rFonts w:asciiTheme="minorHAnsi" w:eastAsiaTheme="minorEastAsia" w:hAnsiTheme="minorHAnsi"/>
                <w:noProof/>
                <w:spacing w:val="0"/>
                <w:sz w:val="22"/>
                <w:szCs w:val="22"/>
              </w:rPr>
              <w:tab/>
            </w:r>
            <w:r w:rsidR="00387802" w:rsidRPr="00365A20">
              <w:rPr>
                <w:rStyle w:val="Hyperlink"/>
                <w:noProof/>
              </w:rPr>
              <w:t>Web and Worker Roles</w:t>
            </w:r>
            <w:r w:rsidR="00387802">
              <w:rPr>
                <w:noProof/>
                <w:webHidden/>
              </w:rPr>
              <w:tab/>
            </w:r>
            <w:r w:rsidR="00387802">
              <w:rPr>
                <w:noProof/>
                <w:webHidden/>
              </w:rPr>
              <w:fldChar w:fldCharType="begin"/>
            </w:r>
            <w:r w:rsidR="00387802">
              <w:rPr>
                <w:noProof/>
                <w:webHidden/>
              </w:rPr>
              <w:instrText xml:space="preserve"> PAGEREF _Toc431288864 \h </w:instrText>
            </w:r>
            <w:r w:rsidR="00387802">
              <w:rPr>
                <w:noProof/>
                <w:webHidden/>
              </w:rPr>
            </w:r>
            <w:r w:rsidR="00387802">
              <w:rPr>
                <w:noProof/>
                <w:webHidden/>
              </w:rPr>
              <w:fldChar w:fldCharType="separate"/>
            </w:r>
            <w:r w:rsidR="00387802">
              <w:rPr>
                <w:noProof/>
                <w:webHidden/>
              </w:rPr>
              <w:t>168</w:t>
            </w:r>
            <w:r w:rsidR="00387802">
              <w:rPr>
                <w:noProof/>
                <w:webHidden/>
              </w:rPr>
              <w:fldChar w:fldCharType="end"/>
            </w:r>
          </w:hyperlink>
        </w:p>
        <w:p w14:paraId="5072CF67" w14:textId="1E604084" w:rsidR="00387802" w:rsidRDefault="00872E47">
          <w:pPr>
            <w:pStyle w:val="TOC3"/>
            <w:tabs>
              <w:tab w:val="left" w:pos="1320"/>
            </w:tabs>
            <w:rPr>
              <w:rFonts w:asciiTheme="minorHAnsi" w:eastAsiaTheme="minorEastAsia" w:hAnsiTheme="minorHAnsi"/>
              <w:noProof/>
              <w:spacing w:val="0"/>
              <w:sz w:val="22"/>
              <w:szCs w:val="22"/>
            </w:rPr>
          </w:pPr>
          <w:hyperlink w:anchor="_Toc431288865" w:history="1">
            <w:r w:rsidR="00387802" w:rsidRPr="00365A20">
              <w:rPr>
                <w:rStyle w:val="Hyperlink"/>
                <w:noProof/>
                <w14:scene3d>
                  <w14:camera w14:prst="orthographicFront"/>
                  <w14:lightRig w14:rig="threePt" w14:dir="t">
                    <w14:rot w14:lat="0" w14:lon="0" w14:rev="0"/>
                  </w14:lightRig>
                </w14:scene3d>
              </w:rPr>
              <w:t>7.1.2</w:t>
            </w:r>
            <w:r w:rsidR="00387802">
              <w:rPr>
                <w:rFonts w:asciiTheme="minorHAnsi" w:eastAsiaTheme="minorEastAsia" w:hAnsiTheme="minorHAnsi"/>
                <w:noProof/>
                <w:spacing w:val="0"/>
                <w:sz w:val="22"/>
                <w:szCs w:val="22"/>
              </w:rPr>
              <w:tab/>
            </w:r>
            <w:r w:rsidR="00387802" w:rsidRPr="00365A20">
              <w:rPr>
                <w:rStyle w:val="Hyperlink"/>
                <w:noProof/>
              </w:rPr>
              <w:t>Azure App Service</w:t>
            </w:r>
            <w:r w:rsidR="00387802">
              <w:rPr>
                <w:noProof/>
                <w:webHidden/>
              </w:rPr>
              <w:tab/>
            </w:r>
            <w:r w:rsidR="00387802">
              <w:rPr>
                <w:noProof/>
                <w:webHidden/>
              </w:rPr>
              <w:fldChar w:fldCharType="begin"/>
            </w:r>
            <w:r w:rsidR="00387802">
              <w:rPr>
                <w:noProof/>
                <w:webHidden/>
              </w:rPr>
              <w:instrText xml:space="preserve"> PAGEREF _Toc431288865 \h </w:instrText>
            </w:r>
            <w:r w:rsidR="00387802">
              <w:rPr>
                <w:noProof/>
                <w:webHidden/>
              </w:rPr>
            </w:r>
            <w:r w:rsidR="00387802">
              <w:rPr>
                <w:noProof/>
                <w:webHidden/>
              </w:rPr>
              <w:fldChar w:fldCharType="separate"/>
            </w:r>
            <w:r w:rsidR="00387802">
              <w:rPr>
                <w:noProof/>
                <w:webHidden/>
              </w:rPr>
              <w:t>170</w:t>
            </w:r>
            <w:r w:rsidR="00387802">
              <w:rPr>
                <w:noProof/>
                <w:webHidden/>
              </w:rPr>
              <w:fldChar w:fldCharType="end"/>
            </w:r>
          </w:hyperlink>
        </w:p>
        <w:p w14:paraId="5F8B7F41" w14:textId="6DD6AB67" w:rsidR="00387802" w:rsidRDefault="00872E47">
          <w:pPr>
            <w:pStyle w:val="TOC3"/>
            <w:tabs>
              <w:tab w:val="left" w:pos="1320"/>
            </w:tabs>
            <w:rPr>
              <w:rFonts w:asciiTheme="minorHAnsi" w:eastAsiaTheme="minorEastAsia" w:hAnsiTheme="minorHAnsi"/>
              <w:noProof/>
              <w:spacing w:val="0"/>
              <w:sz w:val="22"/>
              <w:szCs w:val="22"/>
            </w:rPr>
          </w:pPr>
          <w:hyperlink w:anchor="_Toc431288866" w:history="1">
            <w:r w:rsidR="00387802" w:rsidRPr="00365A20">
              <w:rPr>
                <w:rStyle w:val="Hyperlink"/>
                <w:noProof/>
                <w14:scene3d>
                  <w14:camera w14:prst="orthographicFront"/>
                  <w14:lightRig w14:rig="threePt" w14:dir="t">
                    <w14:rot w14:lat="0" w14:lon="0" w14:rev="0"/>
                  </w14:lightRig>
                </w14:scene3d>
              </w:rPr>
              <w:t>7.1.3</w:t>
            </w:r>
            <w:r w:rsidR="00387802">
              <w:rPr>
                <w:rFonts w:asciiTheme="minorHAnsi" w:eastAsiaTheme="minorEastAsia" w:hAnsiTheme="minorHAnsi"/>
                <w:noProof/>
                <w:spacing w:val="0"/>
                <w:sz w:val="22"/>
                <w:szCs w:val="22"/>
              </w:rPr>
              <w:tab/>
            </w:r>
            <w:r w:rsidR="00387802" w:rsidRPr="00365A20">
              <w:rPr>
                <w:rStyle w:val="Hyperlink"/>
                <w:noProof/>
              </w:rPr>
              <w:t>Azure SQL Database</w:t>
            </w:r>
            <w:r w:rsidR="00387802">
              <w:rPr>
                <w:noProof/>
                <w:webHidden/>
              </w:rPr>
              <w:tab/>
            </w:r>
            <w:r w:rsidR="00387802">
              <w:rPr>
                <w:noProof/>
                <w:webHidden/>
              </w:rPr>
              <w:fldChar w:fldCharType="begin"/>
            </w:r>
            <w:r w:rsidR="00387802">
              <w:rPr>
                <w:noProof/>
                <w:webHidden/>
              </w:rPr>
              <w:instrText xml:space="preserve"> PAGEREF _Toc431288866 \h </w:instrText>
            </w:r>
            <w:r w:rsidR="00387802">
              <w:rPr>
                <w:noProof/>
                <w:webHidden/>
              </w:rPr>
            </w:r>
            <w:r w:rsidR="00387802">
              <w:rPr>
                <w:noProof/>
                <w:webHidden/>
              </w:rPr>
              <w:fldChar w:fldCharType="separate"/>
            </w:r>
            <w:r w:rsidR="00387802">
              <w:rPr>
                <w:noProof/>
                <w:webHidden/>
              </w:rPr>
              <w:t>172</w:t>
            </w:r>
            <w:r w:rsidR="00387802">
              <w:rPr>
                <w:noProof/>
                <w:webHidden/>
              </w:rPr>
              <w:fldChar w:fldCharType="end"/>
            </w:r>
          </w:hyperlink>
        </w:p>
        <w:p w14:paraId="059DBC7B" w14:textId="4940EFD6" w:rsidR="00387802" w:rsidRDefault="00872E47">
          <w:pPr>
            <w:pStyle w:val="TOC3"/>
            <w:tabs>
              <w:tab w:val="left" w:pos="1320"/>
            </w:tabs>
            <w:rPr>
              <w:rFonts w:asciiTheme="minorHAnsi" w:eastAsiaTheme="minorEastAsia" w:hAnsiTheme="minorHAnsi"/>
              <w:noProof/>
              <w:spacing w:val="0"/>
              <w:sz w:val="22"/>
              <w:szCs w:val="22"/>
            </w:rPr>
          </w:pPr>
          <w:hyperlink w:anchor="_Toc431288867" w:history="1">
            <w:r w:rsidR="00387802" w:rsidRPr="00365A20">
              <w:rPr>
                <w:rStyle w:val="Hyperlink"/>
                <w:noProof/>
                <w14:scene3d>
                  <w14:camera w14:prst="orthographicFront"/>
                  <w14:lightRig w14:rig="threePt" w14:dir="t">
                    <w14:rot w14:lat="0" w14:lon="0" w14:rev="0"/>
                  </w14:lightRig>
                </w14:scene3d>
              </w:rPr>
              <w:t>7.1.4</w:t>
            </w:r>
            <w:r w:rsidR="00387802">
              <w:rPr>
                <w:rFonts w:asciiTheme="minorHAnsi" w:eastAsiaTheme="minorEastAsia" w:hAnsiTheme="minorHAnsi"/>
                <w:noProof/>
                <w:spacing w:val="0"/>
                <w:sz w:val="22"/>
                <w:szCs w:val="22"/>
              </w:rPr>
              <w:tab/>
            </w:r>
            <w:r w:rsidR="00387802" w:rsidRPr="00365A20">
              <w:rPr>
                <w:rStyle w:val="Hyperlink"/>
                <w:noProof/>
              </w:rPr>
              <w:t>Azure Batch</w:t>
            </w:r>
            <w:r w:rsidR="00387802">
              <w:rPr>
                <w:noProof/>
                <w:webHidden/>
              </w:rPr>
              <w:tab/>
            </w:r>
            <w:r w:rsidR="00387802">
              <w:rPr>
                <w:noProof/>
                <w:webHidden/>
              </w:rPr>
              <w:fldChar w:fldCharType="begin"/>
            </w:r>
            <w:r w:rsidR="00387802">
              <w:rPr>
                <w:noProof/>
                <w:webHidden/>
              </w:rPr>
              <w:instrText xml:space="preserve"> PAGEREF _Toc431288867 \h </w:instrText>
            </w:r>
            <w:r w:rsidR="00387802">
              <w:rPr>
                <w:noProof/>
                <w:webHidden/>
              </w:rPr>
            </w:r>
            <w:r w:rsidR="00387802">
              <w:rPr>
                <w:noProof/>
                <w:webHidden/>
              </w:rPr>
              <w:fldChar w:fldCharType="separate"/>
            </w:r>
            <w:r w:rsidR="00387802">
              <w:rPr>
                <w:noProof/>
                <w:webHidden/>
              </w:rPr>
              <w:t>175</w:t>
            </w:r>
            <w:r w:rsidR="00387802">
              <w:rPr>
                <w:noProof/>
                <w:webHidden/>
              </w:rPr>
              <w:fldChar w:fldCharType="end"/>
            </w:r>
          </w:hyperlink>
        </w:p>
        <w:p w14:paraId="0F546253" w14:textId="284CA7FF" w:rsidR="00387802" w:rsidRDefault="00872E47">
          <w:pPr>
            <w:pStyle w:val="TOC3"/>
            <w:tabs>
              <w:tab w:val="left" w:pos="1320"/>
            </w:tabs>
            <w:rPr>
              <w:rFonts w:asciiTheme="minorHAnsi" w:eastAsiaTheme="minorEastAsia" w:hAnsiTheme="minorHAnsi"/>
              <w:noProof/>
              <w:spacing w:val="0"/>
              <w:sz w:val="22"/>
              <w:szCs w:val="22"/>
            </w:rPr>
          </w:pPr>
          <w:hyperlink w:anchor="_Toc431288868" w:history="1">
            <w:r w:rsidR="00387802" w:rsidRPr="00365A20">
              <w:rPr>
                <w:rStyle w:val="Hyperlink"/>
                <w:noProof/>
                <w14:scene3d>
                  <w14:camera w14:prst="orthographicFront"/>
                  <w14:lightRig w14:rig="threePt" w14:dir="t">
                    <w14:rot w14:lat="0" w14:lon="0" w14:rev="0"/>
                  </w14:lightRig>
                </w14:scene3d>
              </w:rPr>
              <w:t>7.1.5</w:t>
            </w:r>
            <w:r w:rsidR="00387802">
              <w:rPr>
                <w:rFonts w:asciiTheme="minorHAnsi" w:eastAsiaTheme="minorEastAsia" w:hAnsiTheme="minorHAnsi"/>
                <w:noProof/>
                <w:spacing w:val="0"/>
                <w:sz w:val="22"/>
                <w:szCs w:val="22"/>
              </w:rPr>
              <w:tab/>
            </w:r>
            <w:r w:rsidR="00387802" w:rsidRPr="00365A20">
              <w:rPr>
                <w:rStyle w:val="Hyperlink"/>
                <w:noProof/>
              </w:rPr>
              <w:t>Azure HDInsight (Hadoop)</w:t>
            </w:r>
            <w:r w:rsidR="00387802">
              <w:rPr>
                <w:noProof/>
                <w:webHidden/>
              </w:rPr>
              <w:tab/>
            </w:r>
            <w:r w:rsidR="00387802">
              <w:rPr>
                <w:noProof/>
                <w:webHidden/>
              </w:rPr>
              <w:fldChar w:fldCharType="begin"/>
            </w:r>
            <w:r w:rsidR="00387802">
              <w:rPr>
                <w:noProof/>
                <w:webHidden/>
              </w:rPr>
              <w:instrText xml:space="preserve"> PAGEREF _Toc431288868 \h </w:instrText>
            </w:r>
            <w:r w:rsidR="00387802">
              <w:rPr>
                <w:noProof/>
                <w:webHidden/>
              </w:rPr>
            </w:r>
            <w:r w:rsidR="00387802">
              <w:rPr>
                <w:noProof/>
                <w:webHidden/>
              </w:rPr>
              <w:fldChar w:fldCharType="separate"/>
            </w:r>
            <w:r w:rsidR="00387802">
              <w:rPr>
                <w:noProof/>
                <w:webHidden/>
              </w:rPr>
              <w:t>177</w:t>
            </w:r>
            <w:r w:rsidR="00387802">
              <w:rPr>
                <w:noProof/>
                <w:webHidden/>
              </w:rPr>
              <w:fldChar w:fldCharType="end"/>
            </w:r>
          </w:hyperlink>
        </w:p>
        <w:p w14:paraId="334CC100" w14:textId="356AE3A3" w:rsidR="00387802" w:rsidRDefault="00872E47">
          <w:pPr>
            <w:pStyle w:val="TOC3"/>
            <w:tabs>
              <w:tab w:val="left" w:pos="1320"/>
            </w:tabs>
            <w:rPr>
              <w:rFonts w:asciiTheme="minorHAnsi" w:eastAsiaTheme="minorEastAsia" w:hAnsiTheme="minorHAnsi"/>
              <w:noProof/>
              <w:spacing w:val="0"/>
              <w:sz w:val="22"/>
              <w:szCs w:val="22"/>
            </w:rPr>
          </w:pPr>
          <w:hyperlink w:anchor="_Toc431288869" w:history="1">
            <w:r w:rsidR="00387802" w:rsidRPr="00365A20">
              <w:rPr>
                <w:rStyle w:val="Hyperlink"/>
                <w:noProof/>
                <w14:scene3d>
                  <w14:camera w14:prst="orthographicFront"/>
                  <w14:lightRig w14:rig="threePt" w14:dir="t">
                    <w14:rot w14:lat="0" w14:lon="0" w14:rev="0"/>
                  </w14:lightRig>
                </w14:scene3d>
              </w:rPr>
              <w:t>7.1.6</w:t>
            </w:r>
            <w:r w:rsidR="00387802">
              <w:rPr>
                <w:rFonts w:asciiTheme="minorHAnsi" w:eastAsiaTheme="minorEastAsia" w:hAnsiTheme="minorHAnsi"/>
                <w:noProof/>
                <w:spacing w:val="0"/>
                <w:sz w:val="22"/>
                <w:szCs w:val="22"/>
              </w:rPr>
              <w:tab/>
            </w:r>
            <w:r w:rsidR="00387802" w:rsidRPr="00365A20">
              <w:rPr>
                <w:rStyle w:val="Hyperlink"/>
                <w:noProof/>
              </w:rPr>
              <w:t>Azure Machine Learning</w:t>
            </w:r>
            <w:r w:rsidR="00387802">
              <w:rPr>
                <w:noProof/>
                <w:webHidden/>
              </w:rPr>
              <w:tab/>
            </w:r>
            <w:r w:rsidR="00387802">
              <w:rPr>
                <w:noProof/>
                <w:webHidden/>
              </w:rPr>
              <w:fldChar w:fldCharType="begin"/>
            </w:r>
            <w:r w:rsidR="00387802">
              <w:rPr>
                <w:noProof/>
                <w:webHidden/>
              </w:rPr>
              <w:instrText xml:space="preserve"> PAGEREF _Toc431288869 \h </w:instrText>
            </w:r>
            <w:r w:rsidR="00387802">
              <w:rPr>
                <w:noProof/>
                <w:webHidden/>
              </w:rPr>
            </w:r>
            <w:r w:rsidR="00387802">
              <w:rPr>
                <w:noProof/>
                <w:webHidden/>
              </w:rPr>
              <w:fldChar w:fldCharType="separate"/>
            </w:r>
            <w:r w:rsidR="00387802">
              <w:rPr>
                <w:noProof/>
                <w:webHidden/>
              </w:rPr>
              <w:t>178</w:t>
            </w:r>
            <w:r w:rsidR="00387802">
              <w:rPr>
                <w:noProof/>
                <w:webHidden/>
              </w:rPr>
              <w:fldChar w:fldCharType="end"/>
            </w:r>
          </w:hyperlink>
        </w:p>
        <w:p w14:paraId="2294F558" w14:textId="2D60636A" w:rsidR="00387802" w:rsidRDefault="00872E47">
          <w:pPr>
            <w:pStyle w:val="TOC3"/>
            <w:tabs>
              <w:tab w:val="left" w:pos="1320"/>
            </w:tabs>
            <w:rPr>
              <w:rFonts w:asciiTheme="minorHAnsi" w:eastAsiaTheme="minorEastAsia" w:hAnsiTheme="minorHAnsi"/>
              <w:noProof/>
              <w:spacing w:val="0"/>
              <w:sz w:val="22"/>
              <w:szCs w:val="22"/>
            </w:rPr>
          </w:pPr>
          <w:hyperlink w:anchor="_Toc431288870" w:history="1">
            <w:r w:rsidR="00387802" w:rsidRPr="00365A20">
              <w:rPr>
                <w:rStyle w:val="Hyperlink"/>
                <w:noProof/>
                <w14:scene3d>
                  <w14:camera w14:prst="orthographicFront"/>
                  <w14:lightRig w14:rig="threePt" w14:dir="t">
                    <w14:rot w14:lat="0" w14:lon="0" w14:rev="0"/>
                  </w14:lightRig>
                </w14:scene3d>
              </w:rPr>
              <w:t>7.1.7</w:t>
            </w:r>
            <w:r w:rsidR="00387802">
              <w:rPr>
                <w:rFonts w:asciiTheme="minorHAnsi" w:eastAsiaTheme="minorEastAsia" w:hAnsiTheme="minorHAnsi"/>
                <w:noProof/>
                <w:spacing w:val="0"/>
                <w:sz w:val="22"/>
                <w:szCs w:val="22"/>
              </w:rPr>
              <w:tab/>
            </w:r>
            <w:r w:rsidR="00387802" w:rsidRPr="00365A20">
              <w:rPr>
                <w:rStyle w:val="Hyperlink"/>
                <w:noProof/>
              </w:rPr>
              <w:t>High-Performance Computing</w:t>
            </w:r>
            <w:r w:rsidR="00387802">
              <w:rPr>
                <w:noProof/>
                <w:webHidden/>
              </w:rPr>
              <w:tab/>
            </w:r>
            <w:r w:rsidR="00387802">
              <w:rPr>
                <w:noProof/>
                <w:webHidden/>
              </w:rPr>
              <w:fldChar w:fldCharType="begin"/>
            </w:r>
            <w:r w:rsidR="00387802">
              <w:rPr>
                <w:noProof/>
                <w:webHidden/>
              </w:rPr>
              <w:instrText xml:space="preserve"> PAGEREF _Toc431288870 \h </w:instrText>
            </w:r>
            <w:r w:rsidR="00387802">
              <w:rPr>
                <w:noProof/>
                <w:webHidden/>
              </w:rPr>
            </w:r>
            <w:r w:rsidR="00387802">
              <w:rPr>
                <w:noProof/>
                <w:webHidden/>
              </w:rPr>
              <w:fldChar w:fldCharType="separate"/>
            </w:r>
            <w:r w:rsidR="00387802">
              <w:rPr>
                <w:noProof/>
                <w:webHidden/>
              </w:rPr>
              <w:t>179</w:t>
            </w:r>
            <w:r w:rsidR="00387802">
              <w:rPr>
                <w:noProof/>
                <w:webHidden/>
              </w:rPr>
              <w:fldChar w:fldCharType="end"/>
            </w:r>
          </w:hyperlink>
        </w:p>
        <w:p w14:paraId="4794EA5D" w14:textId="38D532A1" w:rsidR="00387802" w:rsidRDefault="00872E47">
          <w:pPr>
            <w:pStyle w:val="TOC3"/>
            <w:tabs>
              <w:tab w:val="left" w:pos="1320"/>
            </w:tabs>
            <w:rPr>
              <w:rFonts w:asciiTheme="minorHAnsi" w:eastAsiaTheme="minorEastAsia" w:hAnsiTheme="minorHAnsi"/>
              <w:noProof/>
              <w:spacing w:val="0"/>
              <w:sz w:val="22"/>
              <w:szCs w:val="22"/>
            </w:rPr>
          </w:pPr>
          <w:hyperlink w:anchor="_Toc431288871" w:history="1">
            <w:r w:rsidR="00387802" w:rsidRPr="00365A20">
              <w:rPr>
                <w:rStyle w:val="Hyperlink"/>
                <w:noProof/>
                <w14:scene3d>
                  <w14:camera w14:prst="orthographicFront"/>
                  <w14:lightRig w14:rig="threePt" w14:dir="t">
                    <w14:rot w14:lat="0" w14:lon="0" w14:rev="0"/>
                  </w14:lightRig>
                </w14:scene3d>
              </w:rPr>
              <w:t>7.1.8</w:t>
            </w:r>
            <w:r w:rsidR="00387802">
              <w:rPr>
                <w:rFonts w:asciiTheme="minorHAnsi" w:eastAsiaTheme="minorEastAsia" w:hAnsiTheme="minorHAnsi"/>
                <w:noProof/>
                <w:spacing w:val="0"/>
                <w:sz w:val="22"/>
                <w:szCs w:val="22"/>
              </w:rPr>
              <w:tab/>
            </w:r>
            <w:r w:rsidR="00387802" w:rsidRPr="00365A20">
              <w:rPr>
                <w:rStyle w:val="Hyperlink"/>
                <w:noProof/>
              </w:rPr>
              <w:t>Content Delivery Network</w:t>
            </w:r>
            <w:r w:rsidR="00387802">
              <w:rPr>
                <w:noProof/>
                <w:webHidden/>
              </w:rPr>
              <w:tab/>
            </w:r>
            <w:r w:rsidR="00387802">
              <w:rPr>
                <w:noProof/>
                <w:webHidden/>
              </w:rPr>
              <w:fldChar w:fldCharType="begin"/>
            </w:r>
            <w:r w:rsidR="00387802">
              <w:rPr>
                <w:noProof/>
                <w:webHidden/>
              </w:rPr>
              <w:instrText xml:space="preserve"> PAGEREF _Toc431288871 \h </w:instrText>
            </w:r>
            <w:r w:rsidR="00387802">
              <w:rPr>
                <w:noProof/>
                <w:webHidden/>
              </w:rPr>
            </w:r>
            <w:r w:rsidR="00387802">
              <w:rPr>
                <w:noProof/>
                <w:webHidden/>
              </w:rPr>
              <w:fldChar w:fldCharType="separate"/>
            </w:r>
            <w:r w:rsidR="00387802">
              <w:rPr>
                <w:noProof/>
                <w:webHidden/>
              </w:rPr>
              <w:t>180</w:t>
            </w:r>
            <w:r w:rsidR="00387802">
              <w:rPr>
                <w:noProof/>
                <w:webHidden/>
              </w:rPr>
              <w:fldChar w:fldCharType="end"/>
            </w:r>
          </w:hyperlink>
        </w:p>
        <w:p w14:paraId="36EFD0DF" w14:textId="078B9991" w:rsidR="00387802" w:rsidRDefault="00872E47">
          <w:pPr>
            <w:pStyle w:val="TOC3"/>
            <w:tabs>
              <w:tab w:val="left" w:pos="1320"/>
            </w:tabs>
            <w:rPr>
              <w:rFonts w:asciiTheme="minorHAnsi" w:eastAsiaTheme="minorEastAsia" w:hAnsiTheme="minorHAnsi"/>
              <w:noProof/>
              <w:spacing w:val="0"/>
              <w:sz w:val="22"/>
              <w:szCs w:val="22"/>
            </w:rPr>
          </w:pPr>
          <w:hyperlink w:anchor="_Toc431288872" w:history="1">
            <w:r w:rsidR="00387802" w:rsidRPr="00365A20">
              <w:rPr>
                <w:rStyle w:val="Hyperlink"/>
                <w:noProof/>
                <w14:scene3d>
                  <w14:camera w14:prst="orthographicFront"/>
                  <w14:lightRig w14:rig="threePt" w14:dir="t">
                    <w14:rot w14:lat="0" w14:lon="0" w14:rev="0"/>
                  </w14:lightRig>
                </w14:scene3d>
              </w:rPr>
              <w:t>7.1.9</w:t>
            </w:r>
            <w:r w:rsidR="00387802">
              <w:rPr>
                <w:rFonts w:asciiTheme="minorHAnsi" w:eastAsiaTheme="minorEastAsia" w:hAnsiTheme="minorHAnsi"/>
                <w:noProof/>
                <w:spacing w:val="0"/>
                <w:sz w:val="22"/>
                <w:szCs w:val="22"/>
              </w:rPr>
              <w:tab/>
            </w:r>
            <w:r w:rsidR="00387802" w:rsidRPr="00365A20">
              <w:rPr>
                <w:rStyle w:val="Hyperlink"/>
                <w:noProof/>
              </w:rPr>
              <w:t>Redis Cache</w:t>
            </w:r>
            <w:r w:rsidR="00387802">
              <w:rPr>
                <w:noProof/>
                <w:webHidden/>
              </w:rPr>
              <w:tab/>
            </w:r>
            <w:r w:rsidR="00387802">
              <w:rPr>
                <w:noProof/>
                <w:webHidden/>
              </w:rPr>
              <w:fldChar w:fldCharType="begin"/>
            </w:r>
            <w:r w:rsidR="00387802">
              <w:rPr>
                <w:noProof/>
                <w:webHidden/>
              </w:rPr>
              <w:instrText xml:space="preserve"> PAGEREF _Toc431288872 \h </w:instrText>
            </w:r>
            <w:r w:rsidR="00387802">
              <w:rPr>
                <w:noProof/>
                <w:webHidden/>
              </w:rPr>
            </w:r>
            <w:r w:rsidR="00387802">
              <w:rPr>
                <w:noProof/>
                <w:webHidden/>
              </w:rPr>
              <w:fldChar w:fldCharType="separate"/>
            </w:r>
            <w:r w:rsidR="00387802">
              <w:rPr>
                <w:noProof/>
                <w:webHidden/>
              </w:rPr>
              <w:t>181</w:t>
            </w:r>
            <w:r w:rsidR="00387802">
              <w:rPr>
                <w:noProof/>
                <w:webHidden/>
              </w:rPr>
              <w:fldChar w:fldCharType="end"/>
            </w:r>
          </w:hyperlink>
        </w:p>
        <w:p w14:paraId="292CC1BF" w14:textId="0B85AA3B" w:rsidR="00387802" w:rsidRDefault="00872E47">
          <w:pPr>
            <w:pStyle w:val="TOC3"/>
            <w:tabs>
              <w:tab w:val="left" w:pos="1320"/>
            </w:tabs>
            <w:rPr>
              <w:rFonts w:asciiTheme="minorHAnsi" w:eastAsiaTheme="minorEastAsia" w:hAnsiTheme="minorHAnsi"/>
              <w:noProof/>
              <w:spacing w:val="0"/>
              <w:sz w:val="22"/>
              <w:szCs w:val="22"/>
            </w:rPr>
          </w:pPr>
          <w:hyperlink w:anchor="_Toc431288873" w:history="1">
            <w:r w:rsidR="00387802" w:rsidRPr="00365A20">
              <w:rPr>
                <w:rStyle w:val="Hyperlink"/>
                <w:noProof/>
                <w14:scene3d>
                  <w14:camera w14:prst="orthographicFront"/>
                  <w14:lightRig w14:rig="threePt" w14:dir="t">
                    <w14:rot w14:lat="0" w14:lon="0" w14:rev="0"/>
                  </w14:lightRig>
                </w14:scene3d>
              </w:rPr>
              <w:t>7.1.10</w:t>
            </w:r>
            <w:r w:rsidR="00387802">
              <w:rPr>
                <w:rFonts w:asciiTheme="minorHAnsi" w:eastAsiaTheme="minorEastAsia" w:hAnsiTheme="minorHAnsi"/>
                <w:noProof/>
                <w:spacing w:val="0"/>
                <w:sz w:val="22"/>
                <w:szCs w:val="22"/>
              </w:rPr>
              <w:tab/>
            </w:r>
            <w:r w:rsidR="00387802" w:rsidRPr="00365A20">
              <w:rPr>
                <w:rStyle w:val="Hyperlink"/>
                <w:noProof/>
              </w:rPr>
              <w:t>Service Bus</w:t>
            </w:r>
            <w:r w:rsidR="00387802">
              <w:rPr>
                <w:noProof/>
                <w:webHidden/>
              </w:rPr>
              <w:tab/>
            </w:r>
            <w:r w:rsidR="00387802">
              <w:rPr>
                <w:noProof/>
                <w:webHidden/>
              </w:rPr>
              <w:fldChar w:fldCharType="begin"/>
            </w:r>
            <w:r w:rsidR="00387802">
              <w:rPr>
                <w:noProof/>
                <w:webHidden/>
              </w:rPr>
              <w:instrText xml:space="preserve"> PAGEREF _Toc431288873 \h </w:instrText>
            </w:r>
            <w:r w:rsidR="00387802">
              <w:rPr>
                <w:noProof/>
                <w:webHidden/>
              </w:rPr>
            </w:r>
            <w:r w:rsidR="00387802">
              <w:rPr>
                <w:noProof/>
                <w:webHidden/>
              </w:rPr>
              <w:fldChar w:fldCharType="separate"/>
            </w:r>
            <w:r w:rsidR="00387802">
              <w:rPr>
                <w:noProof/>
                <w:webHidden/>
              </w:rPr>
              <w:t>182</w:t>
            </w:r>
            <w:r w:rsidR="00387802">
              <w:rPr>
                <w:noProof/>
                <w:webHidden/>
              </w:rPr>
              <w:fldChar w:fldCharType="end"/>
            </w:r>
          </w:hyperlink>
        </w:p>
        <w:p w14:paraId="351181D9" w14:textId="0EC6A693" w:rsidR="00387802" w:rsidRDefault="00872E47">
          <w:pPr>
            <w:pStyle w:val="TOC3"/>
            <w:tabs>
              <w:tab w:val="left" w:pos="1320"/>
            </w:tabs>
            <w:rPr>
              <w:rFonts w:asciiTheme="minorHAnsi" w:eastAsiaTheme="minorEastAsia" w:hAnsiTheme="minorHAnsi"/>
              <w:noProof/>
              <w:spacing w:val="0"/>
              <w:sz w:val="22"/>
              <w:szCs w:val="22"/>
            </w:rPr>
          </w:pPr>
          <w:hyperlink w:anchor="_Toc431288874" w:history="1">
            <w:r w:rsidR="00387802" w:rsidRPr="00365A20">
              <w:rPr>
                <w:rStyle w:val="Hyperlink"/>
                <w:noProof/>
                <w14:scene3d>
                  <w14:camera w14:prst="orthographicFront"/>
                  <w14:lightRig w14:rig="threePt" w14:dir="t">
                    <w14:rot w14:lat="0" w14:lon="0" w14:rev="0"/>
                  </w14:lightRig>
                </w14:scene3d>
              </w:rPr>
              <w:t>7.1.11</w:t>
            </w:r>
            <w:r w:rsidR="00387802">
              <w:rPr>
                <w:rFonts w:asciiTheme="minorHAnsi" w:eastAsiaTheme="minorEastAsia" w:hAnsiTheme="minorHAnsi"/>
                <w:noProof/>
                <w:spacing w:val="0"/>
                <w:sz w:val="22"/>
                <w:szCs w:val="22"/>
              </w:rPr>
              <w:tab/>
            </w:r>
            <w:r w:rsidR="00387802" w:rsidRPr="00365A20">
              <w:rPr>
                <w:rStyle w:val="Hyperlink"/>
                <w:noProof/>
              </w:rPr>
              <w:t>API Management</w:t>
            </w:r>
            <w:r w:rsidR="00387802">
              <w:rPr>
                <w:noProof/>
                <w:webHidden/>
              </w:rPr>
              <w:tab/>
            </w:r>
            <w:r w:rsidR="00387802">
              <w:rPr>
                <w:noProof/>
                <w:webHidden/>
              </w:rPr>
              <w:fldChar w:fldCharType="begin"/>
            </w:r>
            <w:r w:rsidR="00387802">
              <w:rPr>
                <w:noProof/>
                <w:webHidden/>
              </w:rPr>
              <w:instrText xml:space="preserve"> PAGEREF _Toc431288874 \h </w:instrText>
            </w:r>
            <w:r w:rsidR="00387802">
              <w:rPr>
                <w:noProof/>
                <w:webHidden/>
              </w:rPr>
            </w:r>
            <w:r w:rsidR="00387802">
              <w:rPr>
                <w:noProof/>
                <w:webHidden/>
              </w:rPr>
              <w:fldChar w:fldCharType="separate"/>
            </w:r>
            <w:r w:rsidR="00387802">
              <w:rPr>
                <w:noProof/>
                <w:webHidden/>
              </w:rPr>
              <w:t>183</w:t>
            </w:r>
            <w:r w:rsidR="00387802">
              <w:rPr>
                <w:noProof/>
                <w:webHidden/>
              </w:rPr>
              <w:fldChar w:fldCharType="end"/>
            </w:r>
          </w:hyperlink>
        </w:p>
        <w:p w14:paraId="7BAF23EA" w14:textId="2F8DD507" w:rsidR="00387802" w:rsidRDefault="00872E47">
          <w:pPr>
            <w:pStyle w:val="TOC3"/>
            <w:tabs>
              <w:tab w:val="left" w:pos="1320"/>
            </w:tabs>
            <w:rPr>
              <w:rFonts w:asciiTheme="minorHAnsi" w:eastAsiaTheme="minorEastAsia" w:hAnsiTheme="minorHAnsi"/>
              <w:noProof/>
              <w:spacing w:val="0"/>
              <w:sz w:val="22"/>
              <w:szCs w:val="22"/>
            </w:rPr>
          </w:pPr>
          <w:hyperlink w:anchor="_Toc431288875" w:history="1">
            <w:r w:rsidR="00387802" w:rsidRPr="00365A20">
              <w:rPr>
                <w:rStyle w:val="Hyperlink"/>
                <w:noProof/>
                <w14:scene3d>
                  <w14:camera w14:prst="orthographicFront"/>
                  <w14:lightRig w14:rig="threePt" w14:dir="t">
                    <w14:rot w14:lat="0" w14:lon="0" w14:rev="0"/>
                  </w14:lightRig>
                </w14:scene3d>
              </w:rPr>
              <w:t>7.1.12</w:t>
            </w:r>
            <w:r w:rsidR="00387802">
              <w:rPr>
                <w:rFonts w:asciiTheme="minorHAnsi" w:eastAsiaTheme="minorEastAsia" w:hAnsiTheme="minorHAnsi"/>
                <w:noProof/>
                <w:spacing w:val="0"/>
                <w:sz w:val="22"/>
                <w:szCs w:val="22"/>
              </w:rPr>
              <w:tab/>
            </w:r>
            <w:r w:rsidR="00387802" w:rsidRPr="00365A20">
              <w:rPr>
                <w:rStyle w:val="Hyperlink"/>
                <w:noProof/>
              </w:rPr>
              <w:t>Azure Search</w:t>
            </w:r>
            <w:r w:rsidR="00387802">
              <w:rPr>
                <w:noProof/>
                <w:webHidden/>
              </w:rPr>
              <w:tab/>
            </w:r>
            <w:r w:rsidR="00387802">
              <w:rPr>
                <w:noProof/>
                <w:webHidden/>
              </w:rPr>
              <w:fldChar w:fldCharType="begin"/>
            </w:r>
            <w:r w:rsidR="00387802">
              <w:rPr>
                <w:noProof/>
                <w:webHidden/>
              </w:rPr>
              <w:instrText xml:space="preserve"> PAGEREF _Toc431288875 \h </w:instrText>
            </w:r>
            <w:r w:rsidR="00387802">
              <w:rPr>
                <w:noProof/>
                <w:webHidden/>
              </w:rPr>
            </w:r>
            <w:r w:rsidR="00387802">
              <w:rPr>
                <w:noProof/>
                <w:webHidden/>
              </w:rPr>
              <w:fldChar w:fldCharType="separate"/>
            </w:r>
            <w:r w:rsidR="00387802">
              <w:rPr>
                <w:noProof/>
                <w:webHidden/>
              </w:rPr>
              <w:t>184</w:t>
            </w:r>
            <w:r w:rsidR="00387802">
              <w:rPr>
                <w:noProof/>
                <w:webHidden/>
              </w:rPr>
              <w:fldChar w:fldCharType="end"/>
            </w:r>
          </w:hyperlink>
        </w:p>
        <w:p w14:paraId="0901D028" w14:textId="74001737" w:rsidR="00387802" w:rsidRDefault="00872E47">
          <w:pPr>
            <w:pStyle w:val="TOC2"/>
            <w:tabs>
              <w:tab w:val="left" w:pos="880"/>
              <w:tab w:val="right" w:leader="dot" w:pos="9350"/>
            </w:tabs>
            <w:rPr>
              <w:rFonts w:asciiTheme="minorHAnsi" w:hAnsiTheme="minorHAnsi"/>
              <w:noProof/>
            </w:rPr>
          </w:pPr>
          <w:hyperlink w:anchor="_Toc431288876" w:history="1">
            <w:r w:rsidR="00387802" w:rsidRPr="00365A20">
              <w:rPr>
                <w:rStyle w:val="Hyperlink"/>
                <w:noProof/>
              </w:rPr>
              <w:t>7.2</w:t>
            </w:r>
            <w:r w:rsidR="00387802">
              <w:rPr>
                <w:rFonts w:asciiTheme="minorHAnsi" w:hAnsiTheme="minorHAnsi"/>
                <w:noProof/>
              </w:rPr>
              <w:tab/>
            </w:r>
            <w:r w:rsidR="00387802" w:rsidRPr="00365A20">
              <w:rPr>
                <w:rStyle w:val="Hyperlink"/>
                <w:noProof/>
              </w:rPr>
              <w:t>PaaS Considerations</w:t>
            </w:r>
            <w:r w:rsidR="00387802">
              <w:rPr>
                <w:noProof/>
                <w:webHidden/>
              </w:rPr>
              <w:tab/>
            </w:r>
            <w:r w:rsidR="00387802">
              <w:rPr>
                <w:noProof/>
                <w:webHidden/>
              </w:rPr>
              <w:fldChar w:fldCharType="begin"/>
            </w:r>
            <w:r w:rsidR="00387802">
              <w:rPr>
                <w:noProof/>
                <w:webHidden/>
              </w:rPr>
              <w:instrText xml:space="preserve"> PAGEREF _Toc431288876 \h </w:instrText>
            </w:r>
            <w:r w:rsidR="00387802">
              <w:rPr>
                <w:noProof/>
                <w:webHidden/>
              </w:rPr>
            </w:r>
            <w:r w:rsidR="00387802">
              <w:rPr>
                <w:noProof/>
                <w:webHidden/>
              </w:rPr>
              <w:fldChar w:fldCharType="separate"/>
            </w:r>
            <w:r w:rsidR="00387802">
              <w:rPr>
                <w:noProof/>
                <w:webHidden/>
              </w:rPr>
              <w:t>186</w:t>
            </w:r>
            <w:r w:rsidR="00387802">
              <w:rPr>
                <w:noProof/>
                <w:webHidden/>
              </w:rPr>
              <w:fldChar w:fldCharType="end"/>
            </w:r>
          </w:hyperlink>
        </w:p>
        <w:p w14:paraId="259B43A8" w14:textId="300FC5D6" w:rsidR="00387802" w:rsidRDefault="00872E47">
          <w:pPr>
            <w:pStyle w:val="TOC3"/>
            <w:tabs>
              <w:tab w:val="left" w:pos="1320"/>
            </w:tabs>
            <w:rPr>
              <w:rFonts w:asciiTheme="minorHAnsi" w:eastAsiaTheme="minorEastAsia" w:hAnsiTheme="minorHAnsi"/>
              <w:noProof/>
              <w:spacing w:val="0"/>
              <w:sz w:val="22"/>
              <w:szCs w:val="22"/>
            </w:rPr>
          </w:pPr>
          <w:hyperlink w:anchor="_Toc431288877" w:history="1">
            <w:r w:rsidR="00387802" w:rsidRPr="00365A20">
              <w:rPr>
                <w:rStyle w:val="Hyperlink"/>
                <w:noProof/>
                <w14:scene3d>
                  <w14:camera w14:prst="orthographicFront"/>
                  <w14:lightRig w14:rig="threePt" w14:dir="t">
                    <w14:rot w14:lat="0" w14:lon="0" w14:rev="0"/>
                  </w14:lightRig>
                </w14:scene3d>
              </w:rPr>
              <w:t>7.2.1</w:t>
            </w:r>
            <w:r w:rsidR="00387802">
              <w:rPr>
                <w:rFonts w:asciiTheme="minorHAnsi" w:eastAsiaTheme="minorEastAsia" w:hAnsiTheme="minorHAnsi"/>
                <w:noProof/>
                <w:spacing w:val="0"/>
                <w:sz w:val="22"/>
                <w:szCs w:val="22"/>
              </w:rPr>
              <w:tab/>
            </w:r>
            <w:r w:rsidR="00387802" w:rsidRPr="00365A20">
              <w:rPr>
                <w:rStyle w:val="Hyperlink"/>
                <w:noProof/>
              </w:rPr>
              <w:t>Deployment Methods</w:t>
            </w:r>
            <w:r w:rsidR="00387802">
              <w:rPr>
                <w:noProof/>
                <w:webHidden/>
              </w:rPr>
              <w:tab/>
            </w:r>
            <w:r w:rsidR="00387802">
              <w:rPr>
                <w:noProof/>
                <w:webHidden/>
              </w:rPr>
              <w:fldChar w:fldCharType="begin"/>
            </w:r>
            <w:r w:rsidR="00387802">
              <w:rPr>
                <w:noProof/>
                <w:webHidden/>
              </w:rPr>
              <w:instrText xml:space="preserve"> PAGEREF _Toc431288877 \h </w:instrText>
            </w:r>
            <w:r w:rsidR="00387802">
              <w:rPr>
                <w:noProof/>
                <w:webHidden/>
              </w:rPr>
            </w:r>
            <w:r w:rsidR="00387802">
              <w:rPr>
                <w:noProof/>
                <w:webHidden/>
              </w:rPr>
              <w:fldChar w:fldCharType="separate"/>
            </w:r>
            <w:r w:rsidR="00387802">
              <w:rPr>
                <w:noProof/>
                <w:webHidden/>
              </w:rPr>
              <w:t>186</w:t>
            </w:r>
            <w:r w:rsidR="00387802">
              <w:rPr>
                <w:noProof/>
                <w:webHidden/>
              </w:rPr>
              <w:fldChar w:fldCharType="end"/>
            </w:r>
          </w:hyperlink>
        </w:p>
        <w:p w14:paraId="507F558D" w14:textId="5227DEC6" w:rsidR="00387802" w:rsidRDefault="00872E47">
          <w:pPr>
            <w:pStyle w:val="TOC3"/>
            <w:tabs>
              <w:tab w:val="left" w:pos="1320"/>
            </w:tabs>
            <w:rPr>
              <w:rFonts w:asciiTheme="minorHAnsi" w:eastAsiaTheme="minorEastAsia" w:hAnsiTheme="minorHAnsi"/>
              <w:noProof/>
              <w:spacing w:val="0"/>
              <w:sz w:val="22"/>
              <w:szCs w:val="22"/>
            </w:rPr>
          </w:pPr>
          <w:hyperlink w:anchor="_Toc431288878" w:history="1">
            <w:r w:rsidR="00387802" w:rsidRPr="00365A20">
              <w:rPr>
                <w:rStyle w:val="Hyperlink"/>
                <w:noProof/>
                <w14:scene3d>
                  <w14:camera w14:prst="orthographicFront"/>
                  <w14:lightRig w14:rig="threePt" w14:dir="t">
                    <w14:rot w14:lat="0" w14:lon="0" w14:rev="0"/>
                  </w14:lightRig>
                </w14:scene3d>
              </w:rPr>
              <w:t>7.2.2</w:t>
            </w:r>
            <w:r w:rsidR="00387802">
              <w:rPr>
                <w:rFonts w:asciiTheme="minorHAnsi" w:eastAsiaTheme="minorEastAsia" w:hAnsiTheme="minorHAnsi"/>
                <w:noProof/>
                <w:spacing w:val="0"/>
                <w:sz w:val="22"/>
                <w:szCs w:val="22"/>
              </w:rPr>
              <w:tab/>
            </w:r>
            <w:r w:rsidR="00387802" w:rsidRPr="00365A20">
              <w:rPr>
                <w:rStyle w:val="Hyperlink"/>
                <w:noProof/>
              </w:rPr>
              <w:t>Load Balancing</w:t>
            </w:r>
            <w:r w:rsidR="00387802">
              <w:rPr>
                <w:noProof/>
                <w:webHidden/>
              </w:rPr>
              <w:tab/>
            </w:r>
            <w:r w:rsidR="00387802">
              <w:rPr>
                <w:noProof/>
                <w:webHidden/>
              </w:rPr>
              <w:fldChar w:fldCharType="begin"/>
            </w:r>
            <w:r w:rsidR="00387802">
              <w:rPr>
                <w:noProof/>
                <w:webHidden/>
              </w:rPr>
              <w:instrText xml:space="preserve"> PAGEREF _Toc431288878 \h </w:instrText>
            </w:r>
            <w:r w:rsidR="00387802">
              <w:rPr>
                <w:noProof/>
                <w:webHidden/>
              </w:rPr>
            </w:r>
            <w:r w:rsidR="00387802">
              <w:rPr>
                <w:noProof/>
                <w:webHidden/>
              </w:rPr>
              <w:fldChar w:fldCharType="separate"/>
            </w:r>
            <w:r w:rsidR="00387802">
              <w:rPr>
                <w:noProof/>
                <w:webHidden/>
              </w:rPr>
              <w:t>187</w:t>
            </w:r>
            <w:r w:rsidR="00387802">
              <w:rPr>
                <w:noProof/>
                <w:webHidden/>
              </w:rPr>
              <w:fldChar w:fldCharType="end"/>
            </w:r>
          </w:hyperlink>
        </w:p>
        <w:p w14:paraId="4001F40A" w14:textId="0C37A687" w:rsidR="00387802" w:rsidRDefault="00872E47">
          <w:pPr>
            <w:pStyle w:val="TOC3"/>
            <w:tabs>
              <w:tab w:val="left" w:pos="1320"/>
            </w:tabs>
            <w:rPr>
              <w:rFonts w:asciiTheme="minorHAnsi" w:eastAsiaTheme="minorEastAsia" w:hAnsiTheme="minorHAnsi"/>
              <w:noProof/>
              <w:spacing w:val="0"/>
              <w:sz w:val="22"/>
              <w:szCs w:val="22"/>
            </w:rPr>
          </w:pPr>
          <w:hyperlink w:anchor="_Toc431288879" w:history="1">
            <w:r w:rsidR="00387802" w:rsidRPr="00365A20">
              <w:rPr>
                <w:rStyle w:val="Hyperlink"/>
                <w:noProof/>
                <w14:scene3d>
                  <w14:camera w14:prst="orthographicFront"/>
                  <w14:lightRig w14:rig="threePt" w14:dir="t">
                    <w14:rot w14:lat="0" w14:lon="0" w14:rev="0"/>
                  </w14:lightRig>
                </w14:scene3d>
              </w:rPr>
              <w:t>7.2.3</w:t>
            </w:r>
            <w:r w:rsidR="00387802">
              <w:rPr>
                <w:rFonts w:asciiTheme="minorHAnsi" w:eastAsiaTheme="minorEastAsia" w:hAnsiTheme="minorHAnsi"/>
                <w:noProof/>
                <w:spacing w:val="0"/>
                <w:sz w:val="22"/>
                <w:szCs w:val="22"/>
              </w:rPr>
              <w:tab/>
            </w:r>
            <w:r w:rsidR="00387802" w:rsidRPr="00365A20">
              <w:rPr>
                <w:rStyle w:val="Hyperlink"/>
                <w:noProof/>
              </w:rPr>
              <w:t>Networking</w:t>
            </w:r>
            <w:r w:rsidR="00387802">
              <w:rPr>
                <w:noProof/>
                <w:webHidden/>
              </w:rPr>
              <w:tab/>
            </w:r>
            <w:r w:rsidR="00387802">
              <w:rPr>
                <w:noProof/>
                <w:webHidden/>
              </w:rPr>
              <w:fldChar w:fldCharType="begin"/>
            </w:r>
            <w:r w:rsidR="00387802">
              <w:rPr>
                <w:noProof/>
                <w:webHidden/>
              </w:rPr>
              <w:instrText xml:space="preserve"> PAGEREF _Toc431288879 \h </w:instrText>
            </w:r>
            <w:r w:rsidR="00387802">
              <w:rPr>
                <w:noProof/>
                <w:webHidden/>
              </w:rPr>
            </w:r>
            <w:r w:rsidR="00387802">
              <w:rPr>
                <w:noProof/>
                <w:webHidden/>
              </w:rPr>
              <w:fldChar w:fldCharType="separate"/>
            </w:r>
            <w:r w:rsidR="00387802">
              <w:rPr>
                <w:noProof/>
                <w:webHidden/>
              </w:rPr>
              <w:t>188</w:t>
            </w:r>
            <w:r w:rsidR="00387802">
              <w:rPr>
                <w:noProof/>
                <w:webHidden/>
              </w:rPr>
              <w:fldChar w:fldCharType="end"/>
            </w:r>
          </w:hyperlink>
        </w:p>
        <w:p w14:paraId="25FBFA1A" w14:textId="0E2A66E7" w:rsidR="00387802" w:rsidRDefault="00872E47">
          <w:pPr>
            <w:pStyle w:val="TOC3"/>
            <w:tabs>
              <w:tab w:val="left" w:pos="1320"/>
            </w:tabs>
            <w:rPr>
              <w:rFonts w:asciiTheme="minorHAnsi" w:eastAsiaTheme="minorEastAsia" w:hAnsiTheme="minorHAnsi"/>
              <w:noProof/>
              <w:spacing w:val="0"/>
              <w:sz w:val="22"/>
              <w:szCs w:val="22"/>
            </w:rPr>
          </w:pPr>
          <w:hyperlink w:anchor="_Toc431288880" w:history="1">
            <w:r w:rsidR="00387802" w:rsidRPr="00365A20">
              <w:rPr>
                <w:rStyle w:val="Hyperlink"/>
                <w:noProof/>
                <w14:scene3d>
                  <w14:camera w14:prst="orthographicFront"/>
                  <w14:lightRig w14:rig="threePt" w14:dir="t">
                    <w14:rot w14:lat="0" w14:lon="0" w14:rev="0"/>
                  </w14:lightRig>
                </w14:scene3d>
              </w:rPr>
              <w:t>7.2.4</w:t>
            </w:r>
            <w:r w:rsidR="00387802">
              <w:rPr>
                <w:rFonts w:asciiTheme="minorHAnsi" w:eastAsiaTheme="minorEastAsia" w:hAnsiTheme="minorHAnsi"/>
                <w:noProof/>
                <w:spacing w:val="0"/>
                <w:sz w:val="22"/>
                <w:szCs w:val="22"/>
              </w:rPr>
              <w:tab/>
            </w:r>
            <w:r w:rsidR="00387802" w:rsidRPr="00365A20">
              <w:rPr>
                <w:rStyle w:val="Hyperlink"/>
                <w:noProof/>
              </w:rPr>
              <w:t>Limitations</w:t>
            </w:r>
            <w:r w:rsidR="00387802">
              <w:rPr>
                <w:noProof/>
                <w:webHidden/>
              </w:rPr>
              <w:tab/>
            </w:r>
            <w:r w:rsidR="00387802">
              <w:rPr>
                <w:noProof/>
                <w:webHidden/>
              </w:rPr>
              <w:fldChar w:fldCharType="begin"/>
            </w:r>
            <w:r w:rsidR="00387802">
              <w:rPr>
                <w:noProof/>
                <w:webHidden/>
              </w:rPr>
              <w:instrText xml:space="preserve"> PAGEREF _Toc431288880 \h </w:instrText>
            </w:r>
            <w:r w:rsidR="00387802">
              <w:rPr>
                <w:noProof/>
                <w:webHidden/>
              </w:rPr>
            </w:r>
            <w:r w:rsidR="00387802">
              <w:rPr>
                <w:noProof/>
                <w:webHidden/>
              </w:rPr>
              <w:fldChar w:fldCharType="separate"/>
            </w:r>
            <w:r w:rsidR="00387802">
              <w:rPr>
                <w:noProof/>
                <w:webHidden/>
              </w:rPr>
              <w:t>190</w:t>
            </w:r>
            <w:r w:rsidR="00387802">
              <w:rPr>
                <w:noProof/>
                <w:webHidden/>
              </w:rPr>
              <w:fldChar w:fldCharType="end"/>
            </w:r>
          </w:hyperlink>
        </w:p>
        <w:p w14:paraId="4EB68273" w14:textId="5381E01C" w:rsidR="00387802" w:rsidRDefault="00872E47">
          <w:pPr>
            <w:pStyle w:val="TOC3"/>
            <w:tabs>
              <w:tab w:val="left" w:pos="1320"/>
            </w:tabs>
            <w:rPr>
              <w:rFonts w:asciiTheme="minorHAnsi" w:eastAsiaTheme="minorEastAsia" w:hAnsiTheme="minorHAnsi"/>
              <w:noProof/>
              <w:spacing w:val="0"/>
              <w:sz w:val="22"/>
              <w:szCs w:val="22"/>
            </w:rPr>
          </w:pPr>
          <w:hyperlink w:anchor="_Toc431288881" w:history="1">
            <w:r w:rsidR="00387802" w:rsidRPr="00365A20">
              <w:rPr>
                <w:rStyle w:val="Hyperlink"/>
                <w:noProof/>
                <w14:scene3d>
                  <w14:camera w14:prst="orthographicFront"/>
                  <w14:lightRig w14:rig="threePt" w14:dir="t">
                    <w14:rot w14:lat="0" w14:lon="0" w14:rev="0"/>
                  </w14:lightRig>
                </w14:scene3d>
              </w:rPr>
              <w:t>7.2.5</w:t>
            </w:r>
            <w:r w:rsidR="00387802">
              <w:rPr>
                <w:rFonts w:asciiTheme="minorHAnsi" w:eastAsiaTheme="minorEastAsia" w:hAnsiTheme="minorHAnsi"/>
                <w:noProof/>
                <w:spacing w:val="0"/>
                <w:sz w:val="22"/>
                <w:szCs w:val="22"/>
              </w:rPr>
              <w:tab/>
            </w:r>
            <w:r w:rsidR="00387802" w:rsidRPr="00365A20">
              <w:rPr>
                <w:rStyle w:val="Hyperlink"/>
                <w:noProof/>
              </w:rPr>
              <w:t>Management Considerations for Azure PaaS Cloud Services</w:t>
            </w:r>
            <w:r w:rsidR="00387802">
              <w:rPr>
                <w:noProof/>
                <w:webHidden/>
              </w:rPr>
              <w:tab/>
            </w:r>
            <w:r w:rsidR="00387802">
              <w:rPr>
                <w:noProof/>
                <w:webHidden/>
              </w:rPr>
              <w:fldChar w:fldCharType="begin"/>
            </w:r>
            <w:r w:rsidR="00387802">
              <w:rPr>
                <w:noProof/>
                <w:webHidden/>
              </w:rPr>
              <w:instrText xml:space="preserve"> PAGEREF _Toc431288881 \h </w:instrText>
            </w:r>
            <w:r w:rsidR="00387802">
              <w:rPr>
                <w:noProof/>
                <w:webHidden/>
              </w:rPr>
            </w:r>
            <w:r w:rsidR="00387802">
              <w:rPr>
                <w:noProof/>
                <w:webHidden/>
              </w:rPr>
              <w:fldChar w:fldCharType="separate"/>
            </w:r>
            <w:r w:rsidR="00387802">
              <w:rPr>
                <w:noProof/>
                <w:webHidden/>
              </w:rPr>
              <w:t>190</w:t>
            </w:r>
            <w:r w:rsidR="00387802">
              <w:rPr>
                <w:noProof/>
                <w:webHidden/>
              </w:rPr>
              <w:fldChar w:fldCharType="end"/>
            </w:r>
          </w:hyperlink>
        </w:p>
        <w:p w14:paraId="4AB748CC" w14:textId="0346A1B4" w:rsidR="00387802" w:rsidRDefault="00872E47">
          <w:pPr>
            <w:pStyle w:val="TOC1"/>
            <w:rPr>
              <w:rFonts w:asciiTheme="minorHAnsi" w:hAnsiTheme="minorHAnsi"/>
              <w:sz w:val="22"/>
            </w:rPr>
          </w:pPr>
          <w:hyperlink w:anchor="_Toc431288882" w:history="1">
            <w:r w:rsidR="00387802" w:rsidRPr="00365A20">
              <w:rPr>
                <w:rStyle w:val="Hyperlink"/>
              </w:rPr>
              <w:t>8</w:t>
            </w:r>
            <w:r w:rsidR="00387802">
              <w:rPr>
                <w:rFonts w:asciiTheme="minorHAnsi" w:hAnsiTheme="minorHAnsi"/>
                <w:sz w:val="22"/>
              </w:rPr>
              <w:tab/>
            </w:r>
            <w:r w:rsidR="00387802" w:rsidRPr="00365A20">
              <w:rPr>
                <w:rStyle w:val="Hyperlink"/>
              </w:rPr>
              <w:t>Microsoft Azure Networking</w:t>
            </w:r>
            <w:r w:rsidR="00387802">
              <w:rPr>
                <w:webHidden/>
              </w:rPr>
              <w:tab/>
            </w:r>
            <w:r w:rsidR="00387802">
              <w:rPr>
                <w:webHidden/>
              </w:rPr>
              <w:fldChar w:fldCharType="begin"/>
            </w:r>
            <w:r w:rsidR="00387802">
              <w:rPr>
                <w:webHidden/>
              </w:rPr>
              <w:instrText xml:space="preserve"> PAGEREF _Toc431288882 \h </w:instrText>
            </w:r>
            <w:r w:rsidR="00387802">
              <w:rPr>
                <w:webHidden/>
              </w:rPr>
            </w:r>
            <w:r w:rsidR="00387802">
              <w:rPr>
                <w:webHidden/>
              </w:rPr>
              <w:fldChar w:fldCharType="separate"/>
            </w:r>
            <w:r w:rsidR="00387802">
              <w:rPr>
                <w:webHidden/>
              </w:rPr>
              <w:t>192</w:t>
            </w:r>
            <w:r w:rsidR="00387802">
              <w:rPr>
                <w:webHidden/>
              </w:rPr>
              <w:fldChar w:fldCharType="end"/>
            </w:r>
          </w:hyperlink>
        </w:p>
        <w:p w14:paraId="74709DD6" w14:textId="348D1FC1" w:rsidR="00387802" w:rsidRDefault="00872E47">
          <w:pPr>
            <w:pStyle w:val="TOC2"/>
            <w:tabs>
              <w:tab w:val="left" w:pos="880"/>
              <w:tab w:val="right" w:leader="dot" w:pos="9350"/>
            </w:tabs>
            <w:rPr>
              <w:rFonts w:asciiTheme="minorHAnsi" w:hAnsiTheme="minorHAnsi"/>
              <w:noProof/>
            </w:rPr>
          </w:pPr>
          <w:hyperlink w:anchor="_Toc431288883" w:history="1">
            <w:r w:rsidR="00387802" w:rsidRPr="00365A20">
              <w:rPr>
                <w:rStyle w:val="Hyperlink"/>
                <w:noProof/>
              </w:rPr>
              <w:t>8.1</w:t>
            </w:r>
            <w:r w:rsidR="00387802">
              <w:rPr>
                <w:rFonts w:asciiTheme="minorHAnsi" w:hAnsiTheme="minorHAnsi"/>
                <w:noProof/>
              </w:rPr>
              <w:tab/>
            </w:r>
            <w:r w:rsidR="00387802" w:rsidRPr="00365A20">
              <w:rPr>
                <w:rStyle w:val="Hyperlink"/>
                <w:noProof/>
              </w:rPr>
              <w:t>Cloud Service Provider and Enterprise Customer Connectivity</w:t>
            </w:r>
            <w:r w:rsidR="00387802">
              <w:rPr>
                <w:noProof/>
                <w:webHidden/>
              </w:rPr>
              <w:tab/>
            </w:r>
            <w:r w:rsidR="00387802">
              <w:rPr>
                <w:noProof/>
                <w:webHidden/>
              </w:rPr>
              <w:fldChar w:fldCharType="begin"/>
            </w:r>
            <w:r w:rsidR="00387802">
              <w:rPr>
                <w:noProof/>
                <w:webHidden/>
              </w:rPr>
              <w:instrText xml:space="preserve"> PAGEREF _Toc431288883 \h </w:instrText>
            </w:r>
            <w:r w:rsidR="00387802">
              <w:rPr>
                <w:noProof/>
                <w:webHidden/>
              </w:rPr>
            </w:r>
            <w:r w:rsidR="00387802">
              <w:rPr>
                <w:noProof/>
                <w:webHidden/>
              </w:rPr>
              <w:fldChar w:fldCharType="separate"/>
            </w:r>
            <w:r w:rsidR="00387802">
              <w:rPr>
                <w:noProof/>
                <w:webHidden/>
              </w:rPr>
              <w:t>192</w:t>
            </w:r>
            <w:r w:rsidR="00387802">
              <w:rPr>
                <w:noProof/>
                <w:webHidden/>
              </w:rPr>
              <w:fldChar w:fldCharType="end"/>
            </w:r>
          </w:hyperlink>
        </w:p>
        <w:p w14:paraId="1F6411E1" w14:textId="64658C2A" w:rsidR="00387802" w:rsidRDefault="00872E47">
          <w:pPr>
            <w:pStyle w:val="TOC2"/>
            <w:tabs>
              <w:tab w:val="left" w:pos="880"/>
              <w:tab w:val="right" w:leader="dot" w:pos="9350"/>
            </w:tabs>
            <w:rPr>
              <w:rFonts w:asciiTheme="minorHAnsi" w:hAnsiTheme="minorHAnsi"/>
              <w:noProof/>
            </w:rPr>
          </w:pPr>
          <w:hyperlink w:anchor="_Toc431288884" w:history="1">
            <w:r w:rsidR="00387802" w:rsidRPr="00365A20">
              <w:rPr>
                <w:rStyle w:val="Hyperlink"/>
                <w:noProof/>
              </w:rPr>
              <w:t>8.2</w:t>
            </w:r>
            <w:r w:rsidR="00387802">
              <w:rPr>
                <w:rFonts w:asciiTheme="minorHAnsi" w:hAnsiTheme="minorHAnsi"/>
                <w:noProof/>
              </w:rPr>
              <w:tab/>
            </w:r>
            <w:r w:rsidR="00387802" w:rsidRPr="00365A20">
              <w:rPr>
                <w:rStyle w:val="Hyperlink"/>
                <w:noProof/>
              </w:rPr>
              <w:t>Azure Resource Management versus Service Management</w:t>
            </w:r>
            <w:r w:rsidR="00387802">
              <w:rPr>
                <w:noProof/>
                <w:webHidden/>
              </w:rPr>
              <w:tab/>
            </w:r>
            <w:r w:rsidR="00387802">
              <w:rPr>
                <w:noProof/>
                <w:webHidden/>
              </w:rPr>
              <w:fldChar w:fldCharType="begin"/>
            </w:r>
            <w:r w:rsidR="00387802">
              <w:rPr>
                <w:noProof/>
                <w:webHidden/>
              </w:rPr>
              <w:instrText xml:space="preserve"> PAGEREF _Toc431288884 \h </w:instrText>
            </w:r>
            <w:r w:rsidR="00387802">
              <w:rPr>
                <w:noProof/>
                <w:webHidden/>
              </w:rPr>
            </w:r>
            <w:r w:rsidR="00387802">
              <w:rPr>
                <w:noProof/>
                <w:webHidden/>
              </w:rPr>
              <w:fldChar w:fldCharType="separate"/>
            </w:r>
            <w:r w:rsidR="00387802">
              <w:rPr>
                <w:noProof/>
                <w:webHidden/>
              </w:rPr>
              <w:t>193</w:t>
            </w:r>
            <w:r w:rsidR="00387802">
              <w:rPr>
                <w:noProof/>
                <w:webHidden/>
              </w:rPr>
              <w:fldChar w:fldCharType="end"/>
            </w:r>
          </w:hyperlink>
        </w:p>
        <w:p w14:paraId="5D0EB762" w14:textId="1135EA9C" w:rsidR="00387802" w:rsidRDefault="00872E47">
          <w:pPr>
            <w:pStyle w:val="TOC2"/>
            <w:tabs>
              <w:tab w:val="left" w:pos="880"/>
              <w:tab w:val="right" w:leader="dot" w:pos="9350"/>
            </w:tabs>
            <w:rPr>
              <w:rFonts w:asciiTheme="minorHAnsi" w:hAnsiTheme="minorHAnsi"/>
              <w:noProof/>
            </w:rPr>
          </w:pPr>
          <w:hyperlink w:anchor="_Toc431288885" w:history="1">
            <w:r w:rsidR="00387802" w:rsidRPr="00365A20">
              <w:rPr>
                <w:rStyle w:val="Hyperlink"/>
                <w:noProof/>
              </w:rPr>
              <w:t>8.3</w:t>
            </w:r>
            <w:r w:rsidR="00387802">
              <w:rPr>
                <w:rFonts w:asciiTheme="minorHAnsi" w:hAnsiTheme="minorHAnsi"/>
                <w:noProof/>
              </w:rPr>
              <w:tab/>
            </w:r>
            <w:r w:rsidR="00387802" w:rsidRPr="00365A20">
              <w:rPr>
                <w:rStyle w:val="Hyperlink"/>
                <w:noProof/>
              </w:rPr>
              <w:t>Virtual Networks</w:t>
            </w:r>
            <w:r w:rsidR="00387802">
              <w:rPr>
                <w:noProof/>
                <w:webHidden/>
              </w:rPr>
              <w:tab/>
            </w:r>
            <w:r w:rsidR="00387802">
              <w:rPr>
                <w:noProof/>
                <w:webHidden/>
              </w:rPr>
              <w:fldChar w:fldCharType="begin"/>
            </w:r>
            <w:r w:rsidR="00387802">
              <w:rPr>
                <w:noProof/>
                <w:webHidden/>
              </w:rPr>
              <w:instrText xml:space="preserve"> PAGEREF _Toc431288885 \h </w:instrText>
            </w:r>
            <w:r w:rsidR="00387802">
              <w:rPr>
                <w:noProof/>
                <w:webHidden/>
              </w:rPr>
            </w:r>
            <w:r w:rsidR="00387802">
              <w:rPr>
                <w:noProof/>
                <w:webHidden/>
              </w:rPr>
              <w:fldChar w:fldCharType="separate"/>
            </w:r>
            <w:r w:rsidR="00387802">
              <w:rPr>
                <w:noProof/>
                <w:webHidden/>
              </w:rPr>
              <w:t>194</w:t>
            </w:r>
            <w:r w:rsidR="00387802">
              <w:rPr>
                <w:noProof/>
                <w:webHidden/>
              </w:rPr>
              <w:fldChar w:fldCharType="end"/>
            </w:r>
          </w:hyperlink>
        </w:p>
        <w:p w14:paraId="189E11DB" w14:textId="05799EC1" w:rsidR="00387802" w:rsidRDefault="00872E47">
          <w:pPr>
            <w:pStyle w:val="TOC2"/>
            <w:tabs>
              <w:tab w:val="left" w:pos="880"/>
              <w:tab w:val="right" w:leader="dot" w:pos="9350"/>
            </w:tabs>
            <w:rPr>
              <w:rFonts w:asciiTheme="minorHAnsi" w:hAnsiTheme="minorHAnsi"/>
              <w:noProof/>
            </w:rPr>
          </w:pPr>
          <w:hyperlink w:anchor="_Toc431288886" w:history="1">
            <w:r w:rsidR="00387802" w:rsidRPr="00365A20">
              <w:rPr>
                <w:rStyle w:val="Hyperlink"/>
                <w:noProof/>
              </w:rPr>
              <w:t>8.4</w:t>
            </w:r>
            <w:r w:rsidR="00387802">
              <w:rPr>
                <w:rFonts w:asciiTheme="minorHAnsi" w:hAnsiTheme="minorHAnsi"/>
                <w:noProof/>
              </w:rPr>
              <w:tab/>
            </w:r>
            <w:r w:rsidR="00387802" w:rsidRPr="00365A20">
              <w:rPr>
                <w:rStyle w:val="Hyperlink"/>
                <w:noProof/>
              </w:rPr>
              <w:t>Virtual Network Gateways</w:t>
            </w:r>
            <w:r w:rsidR="00387802">
              <w:rPr>
                <w:noProof/>
                <w:webHidden/>
              </w:rPr>
              <w:tab/>
            </w:r>
            <w:r w:rsidR="00387802">
              <w:rPr>
                <w:noProof/>
                <w:webHidden/>
              </w:rPr>
              <w:fldChar w:fldCharType="begin"/>
            </w:r>
            <w:r w:rsidR="00387802">
              <w:rPr>
                <w:noProof/>
                <w:webHidden/>
              </w:rPr>
              <w:instrText xml:space="preserve"> PAGEREF _Toc431288886 \h </w:instrText>
            </w:r>
            <w:r w:rsidR="00387802">
              <w:rPr>
                <w:noProof/>
                <w:webHidden/>
              </w:rPr>
            </w:r>
            <w:r w:rsidR="00387802">
              <w:rPr>
                <w:noProof/>
                <w:webHidden/>
              </w:rPr>
              <w:fldChar w:fldCharType="separate"/>
            </w:r>
            <w:r w:rsidR="00387802">
              <w:rPr>
                <w:noProof/>
                <w:webHidden/>
              </w:rPr>
              <w:t>196</w:t>
            </w:r>
            <w:r w:rsidR="00387802">
              <w:rPr>
                <w:noProof/>
                <w:webHidden/>
              </w:rPr>
              <w:fldChar w:fldCharType="end"/>
            </w:r>
          </w:hyperlink>
        </w:p>
        <w:p w14:paraId="031FBD94" w14:textId="68ADB12A" w:rsidR="00387802" w:rsidRDefault="00872E47">
          <w:pPr>
            <w:pStyle w:val="TOC3"/>
            <w:tabs>
              <w:tab w:val="left" w:pos="1320"/>
            </w:tabs>
            <w:rPr>
              <w:rFonts w:asciiTheme="minorHAnsi" w:eastAsiaTheme="minorEastAsia" w:hAnsiTheme="minorHAnsi"/>
              <w:noProof/>
              <w:spacing w:val="0"/>
              <w:sz w:val="22"/>
              <w:szCs w:val="22"/>
            </w:rPr>
          </w:pPr>
          <w:hyperlink w:anchor="_Toc431288887" w:history="1">
            <w:r w:rsidR="00387802" w:rsidRPr="00365A20">
              <w:rPr>
                <w:rStyle w:val="Hyperlink"/>
                <w:noProof/>
                <w14:scene3d>
                  <w14:camera w14:prst="orthographicFront"/>
                  <w14:lightRig w14:rig="threePt" w14:dir="t">
                    <w14:rot w14:lat="0" w14:lon="0" w14:rev="0"/>
                  </w14:lightRig>
                </w14:scene3d>
              </w:rPr>
              <w:t>8.4.1</w:t>
            </w:r>
            <w:r w:rsidR="00387802">
              <w:rPr>
                <w:rFonts w:asciiTheme="minorHAnsi" w:eastAsiaTheme="minorEastAsia" w:hAnsiTheme="minorHAnsi"/>
                <w:noProof/>
                <w:spacing w:val="0"/>
                <w:sz w:val="22"/>
                <w:szCs w:val="22"/>
              </w:rPr>
              <w:tab/>
            </w:r>
            <w:r w:rsidR="00387802" w:rsidRPr="00365A20">
              <w:rPr>
                <w:rStyle w:val="Hyperlink"/>
                <w:noProof/>
              </w:rPr>
              <w:t>Virtual Network Gateway Address Requirements</w:t>
            </w:r>
            <w:r w:rsidR="00387802">
              <w:rPr>
                <w:noProof/>
                <w:webHidden/>
              </w:rPr>
              <w:tab/>
            </w:r>
            <w:r w:rsidR="00387802">
              <w:rPr>
                <w:noProof/>
                <w:webHidden/>
              </w:rPr>
              <w:fldChar w:fldCharType="begin"/>
            </w:r>
            <w:r w:rsidR="00387802">
              <w:rPr>
                <w:noProof/>
                <w:webHidden/>
              </w:rPr>
              <w:instrText xml:space="preserve"> PAGEREF _Toc431288887 \h </w:instrText>
            </w:r>
            <w:r w:rsidR="00387802">
              <w:rPr>
                <w:noProof/>
                <w:webHidden/>
              </w:rPr>
            </w:r>
            <w:r w:rsidR="00387802">
              <w:rPr>
                <w:noProof/>
                <w:webHidden/>
              </w:rPr>
              <w:fldChar w:fldCharType="separate"/>
            </w:r>
            <w:r w:rsidR="00387802">
              <w:rPr>
                <w:noProof/>
                <w:webHidden/>
              </w:rPr>
              <w:t>201</w:t>
            </w:r>
            <w:r w:rsidR="00387802">
              <w:rPr>
                <w:noProof/>
                <w:webHidden/>
              </w:rPr>
              <w:fldChar w:fldCharType="end"/>
            </w:r>
          </w:hyperlink>
        </w:p>
        <w:p w14:paraId="73B88106" w14:textId="4DFF9D2E" w:rsidR="00387802" w:rsidRDefault="00872E47">
          <w:pPr>
            <w:pStyle w:val="TOC2"/>
            <w:tabs>
              <w:tab w:val="left" w:pos="880"/>
              <w:tab w:val="right" w:leader="dot" w:pos="9350"/>
            </w:tabs>
            <w:rPr>
              <w:rFonts w:asciiTheme="minorHAnsi" w:hAnsiTheme="minorHAnsi"/>
              <w:noProof/>
            </w:rPr>
          </w:pPr>
          <w:hyperlink w:anchor="_Toc431288888" w:history="1">
            <w:r w:rsidR="00387802" w:rsidRPr="00365A20">
              <w:rPr>
                <w:rStyle w:val="Hyperlink"/>
                <w:noProof/>
              </w:rPr>
              <w:t>8.5</w:t>
            </w:r>
            <w:r w:rsidR="00387802">
              <w:rPr>
                <w:rFonts w:asciiTheme="minorHAnsi" w:hAnsiTheme="minorHAnsi"/>
                <w:noProof/>
              </w:rPr>
              <w:tab/>
            </w:r>
            <w:r w:rsidR="00387802" w:rsidRPr="00365A20">
              <w:rPr>
                <w:rStyle w:val="Hyperlink"/>
                <w:noProof/>
              </w:rPr>
              <w:t>Virtual Network to Virtual Network Routing</w:t>
            </w:r>
            <w:r w:rsidR="00387802">
              <w:rPr>
                <w:noProof/>
                <w:webHidden/>
              </w:rPr>
              <w:tab/>
            </w:r>
            <w:r w:rsidR="00387802">
              <w:rPr>
                <w:noProof/>
                <w:webHidden/>
              </w:rPr>
              <w:fldChar w:fldCharType="begin"/>
            </w:r>
            <w:r w:rsidR="00387802">
              <w:rPr>
                <w:noProof/>
                <w:webHidden/>
              </w:rPr>
              <w:instrText xml:space="preserve"> PAGEREF _Toc431288888 \h </w:instrText>
            </w:r>
            <w:r w:rsidR="00387802">
              <w:rPr>
                <w:noProof/>
                <w:webHidden/>
              </w:rPr>
            </w:r>
            <w:r w:rsidR="00387802">
              <w:rPr>
                <w:noProof/>
                <w:webHidden/>
              </w:rPr>
              <w:fldChar w:fldCharType="separate"/>
            </w:r>
            <w:r w:rsidR="00387802">
              <w:rPr>
                <w:noProof/>
                <w:webHidden/>
              </w:rPr>
              <w:t>202</w:t>
            </w:r>
            <w:r w:rsidR="00387802">
              <w:rPr>
                <w:noProof/>
                <w:webHidden/>
              </w:rPr>
              <w:fldChar w:fldCharType="end"/>
            </w:r>
          </w:hyperlink>
        </w:p>
        <w:p w14:paraId="083AAE1C" w14:textId="0BDAA261" w:rsidR="00387802" w:rsidRDefault="00872E47">
          <w:pPr>
            <w:pStyle w:val="TOC3"/>
            <w:tabs>
              <w:tab w:val="left" w:pos="1320"/>
            </w:tabs>
            <w:rPr>
              <w:rFonts w:asciiTheme="minorHAnsi" w:eastAsiaTheme="minorEastAsia" w:hAnsiTheme="minorHAnsi"/>
              <w:noProof/>
              <w:spacing w:val="0"/>
              <w:sz w:val="22"/>
              <w:szCs w:val="22"/>
            </w:rPr>
          </w:pPr>
          <w:hyperlink w:anchor="_Toc431288889" w:history="1">
            <w:r w:rsidR="00387802" w:rsidRPr="00365A20">
              <w:rPr>
                <w:rStyle w:val="Hyperlink"/>
                <w:noProof/>
                <w14:scene3d>
                  <w14:camera w14:prst="orthographicFront"/>
                  <w14:lightRig w14:rig="threePt" w14:dir="t">
                    <w14:rot w14:lat="0" w14:lon="0" w14:rev="0"/>
                  </w14:lightRig>
                </w14:scene3d>
              </w:rPr>
              <w:t>8.5.1</w:t>
            </w:r>
            <w:r w:rsidR="00387802">
              <w:rPr>
                <w:rFonts w:asciiTheme="minorHAnsi" w:eastAsiaTheme="minorEastAsia" w:hAnsiTheme="minorHAnsi"/>
                <w:noProof/>
                <w:spacing w:val="0"/>
                <w:sz w:val="22"/>
                <w:szCs w:val="22"/>
              </w:rPr>
              <w:tab/>
            </w:r>
            <w:r w:rsidR="00387802" w:rsidRPr="00365A20">
              <w:rPr>
                <w:rStyle w:val="Hyperlink"/>
                <w:noProof/>
              </w:rPr>
              <w:t>Multiple Virtual Network Routing Configuration</w:t>
            </w:r>
            <w:r w:rsidR="00387802">
              <w:rPr>
                <w:noProof/>
                <w:webHidden/>
              </w:rPr>
              <w:tab/>
            </w:r>
            <w:r w:rsidR="00387802">
              <w:rPr>
                <w:noProof/>
                <w:webHidden/>
              </w:rPr>
              <w:fldChar w:fldCharType="begin"/>
            </w:r>
            <w:r w:rsidR="00387802">
              <w:rPr>
                <w:noProof/>
                <w:webHidden/>
              </w:rPr>
              <w:instrText xml:space="preserve"> PAGEREF _Toc431288889 \h </w:instrText>
            </w:r>
            <w:r w:rsidR="00387802">
              <w:rPr>
                <w:noProof/>
                <w:webHidden/>
              </w:rPr>
            </w:r>
            <w:r w:rsidR="00387802">
              <w:rPr>
                <w:noProof/>
                <w:webHidden/>
              </w:rPr>
              <w:fldChar w:fldCharType="separate"/>
            </w:r>
            <w:r w:rsidR="00387802">
              <w:rPr>
                <w:noProof/>
                <w:webHidden/>
              </w:rPr>
              <w:t>203</w:t>
            </w:r>
            <w:r w:rsidR="00387802">
              <w:rPr>
                <w:noProof/>
                <w:webHidden/>
              </w:rPr>
              <w:fldChar w:fldCharType="end"/>
            </w:r>
          </w:hyperlink>
        </w:p>
        <w:p w14:paraId="4E361401" w14:textId="339A0682" w:rsidR="00387802" w:rsidRDefault="00872E47">
          <w:pPr>
            <w:pStyle w:val="TOC2"/>
            <w:tabs>
              <w:tab w:val="left" w:pos="880"/>
              <w:tab w:val="right" w:leader="dot" w:pos="9350"/>
            </w:tabs>
            <w:rPr>
              <w:rFonts w:asciiTheme="minorHAnsi" w:hAnsiTheme="minorHAnsi"/>
              <w:noProof/>
            </w:rPr>
          </w:pPr>
          <w:hyperlink w:anchor="_Toc431288890" w:history="1">
            <w:r w:rsidR="00387802" w:rsidRPr="00365A20">
              <w:rPr>
                <w:rStyle w:val="Hyperlink"/>
                <w:noProof/>
              </w:rPr>
              <w:t>8.6</w:t>
            </w:r>
            <w:r w:rsidR="00387802">
              <w:rPr>
                <w:rFonts w:asciiTheme="minorHAnsi" w:hAnsiTheme="minorHAnsi"/>
                <w:noProof/>
              </w:rPr>
              <w:tab/>
            </w:r>
            <w:r w:rsidR="00387802" w:rsidRPr="00365A20">
              <w:rPr>
                <w:rStyle w:val="Hyperlink"/>
                <w:noProof/>
              </w:rPr>
              <w:t>Virtual Network IP Address Space Planning</w:t>
            </w:r>
            <w:r w:rsidR="00387802">
              <w:rPr>
                <w:noProof/>
                <w:webHidden/>
              </w:rPr>
              <w:tab/>
            </w:r>
            <w:r w:rsidR="00387802">
              <w:rPr>
                <w:noProof/>
                <w:webHidden/>
              </w:rPr>
              <w:fldChar w:fldCharType="begin"/>
            </w:r>
            <w:r w:rsidR="00387802">
              <w:rPr>
                <w:noProof/>
                <w:webHidden/>
              </w:rPr>
              <w:instrText xml:space="preserve"> PAGEREF _Toc431288890 \h </w:instrText>
            </w:r>
            <w:r w:rsidR="00387802">
              <w:rPr>
                <w:noProof/>
                <w:webHidden/>
              </w:rPr>
            </w:r>
            <w:r w:rsidR="00387802">
              <w:rPr>
                <w:noProof/>
                <w:webHidden/>
              </w:rPr>
              <w:fldChar w:fldCharType="separate"/>
            </w:r>
            <w:r w:rsidR="00387802">
              <w:rPr>
                <w:noProof/>
                <w:webHidden/>
              </w:rPr>
              <w:t>205</w:t>
            </w:r>
            <w:r w:rsidR="00387802">
              <w:rPr>
                <w:noProof/>
                <w:webHidden/>
              </w:rPr>
              <w:fldChar w:fldCharType="end"/>
            </w:r>
          </w:hyperlink>
        </w:p>
        <w:p w14:paraId="0BAA4E2C" w14:textId="2DAC3735" w:rsidR="00387802" w:rsidRDefault="00872E47">
          <w:pPr>
            <w:pStyle w:val="TOC3"/>
            <w:tabs>
              <w:tab w:val="left" w:pos="1320"/>
            </w:tabs>
            <w:rPr>
              <w:rFonts w:asciiTheme="minorHAnsi" w:eastAsiaTheme="minorEastAsia" w:hAnsiTheme="minorHAnsi"/>
              <w:noProof/>
              <w:spacing w:val="0"/>
              <w:sz w:val="22"/>
              <w:szCs w:val="22"/>
            </w:rPr>
          </w:pPr>
          <w:hyperlink w:anchor="_Toc431288891" w:history="1">
            <w:r w:rsidR="00387802" w:rsidRPr="00365A20">
              <w:rPr>
                <w:rStyle w:val="Hyperlink"/>
                <w:noProof/>
                <w14:scene3d>
                  <w14:camera w14:prst="orthographicFront"/>
                  <w14:lightRig w14:rig="threePt" w14:dir="t">
                    <w14:rot w14:lat="0" w14:lon="0" w14:rev="0"/>
                  </w14:lightRig>
                </w14:scene3d>
              </w:rPr>
              <w:t>8.6.1</w:t>
            </w:r>
            <w:r w:rsidR="00387802">
              <w:rPr>
                <w:rFonts w:asciiTheme="minorHAnsi" w:eastAsiaTheme="minorEastAsia" w:hAnsiTheme="minorHAnsi"/>
                <w:noProof/>
                <w:spacing w:val="0"/>
                <w:sz w:val="22"/>
                <w:szCs w:val="22"/>
              </w:rPr>
              <w:tab/>
            </w:r>
            <w:r w:rsidR="00387802" w:rsidRPr="00365A20">
              <w:rPr>
                <w:rStyle w:val="Hyperlink"/>
                <w:noProof/>
              </w:rPr>
              <w:t>Virtual Network Logging</w:t>
            </w:r>
            <w:r w:rsidR="00387802">
              <w:rPr>
                <w:noProof/>
                <w:webHidden/>
              </w:rPr>
              <w:tab/>
            </w:r>
            <w:r w:rsidR="00387802">
              <w:rPr>
                <w:noProof/>
                <w:webHidden/>
              </w:rPr>
              <w:fldChar w:fldCharType="begin"/>
            </w:r>
            <w:r w:rsidR="00387802">
              <w:rPr>
                <w:noProof/>
                <w:webHidden/>
              </w:rPr>
              <w:instrText xml:space="preserve"> PAGEREF _Toc431288891 \h </w:instrText>
            </w:r>
            <w:r w:rsidR="00387802">
              <w:rPr>
                <w:noProof/>
                <w:webHidden/>
              </w:rPr>
            </w:r>
            <w:r w:rsidR="00387802">
              <w:rPr>
                <w:noProof/>
                <w:webHidden/>
              </w:rPr>
              <w:fldChar w:fldCharType="separate"/>
            </w:r>
            <w:r w:rsidR="00387802">
              <w:rPr>
                <w:noProof/>
                <w:webHidden/>
              </w:rPr>
              <w:t>207</w:t>
            </w:r>
            <w:r w:rsidR="00387802">
              <w:rPr>
                <w:noProof/>
                <w:webHidden/>
              </w:rPr>
              <w:fldChar w:fldCharType="end"/>
            </w:r>
          </w:hyperlink>
        </w:p>
        <w:p w14:paraId="1F859F5D" w14:textId="6163A753" w:rsidR="00387802" w:rsidRDefault="00872E47">
          <w:pPr>
            <w:pStyle w:val="TOC2"/>
            <w:tabs>
              <w:tab w:val="left" w:pos="880"/>
              <w:tab w:val="right" w:leader="dot" w:pos="9350"/>
            </w:tabs>
            <w:rPr>
              <w:rFonts w:asciiTheme="minorHAnsi" w:hAnsiTheme="minorHAnsi"/>
              <w:noProof/>
            </w:rPr>
          </w:pPr>
          <w:hyperlink w:anchor="_Toc431288892" w:history="1">
            <w:r w:rsidR="00387802" w:rsidRPr="00365A20">
              <w:rPr>
                <w:rStyle w:val="Hyperlink"/>
                <w:noProof/>
              </w:rPr>
              <w:t>8.7</w:t>
            </w:r>
            <w:r w:rsidR="00387802">
              <w:rPr>
                <w:rFonts w:asciiTheme="minorHAnsi" w:hAnsiTheme="minorHAnsi"/>
                <w:noProof/>
              </w:rPr>
              <w:tab/>
            </w:r>
            <w:r w:rsidR="00387802" w:rsidRPr="00365A20">
              <w:rPr>
                <w:rStyle w:val="Hyperlink"/>
                <w:noProof/>
              </w:rPr>
              <w:t>Network Connectivity</w:t>
            </w:r>
            <w:r w:rsidR="00387802">
              <w:rPr>
                <w:noProof/>
                <w:webHidden/>
              </w:rPr>
              <w:tab/>
            </w:r>
            <w:r w:rsidR="00387802">
              <w:rPr>
                <w:noProof/>
                <w:webHidden/>
              </w:rPr>
              <w:fldChar w:fldCharType="begin"/>
            </w:r>
            <w:r w:rsidR="00387802">
              <w:rPr>
                <w:noProof/>
                <w:webHidden/>
              </w:rPr>
              <w:instrText xml:space="preserve"> PAGEREF _Toc431288892 \h </w:instrText>
            </w:r>
            <w:r w:rsidR="00387802">
              <w:rPr>
                <w:noProof/>
                <w:webHidden/>
              </w:rPr>
            </w:r>
            <w:r w:rsidR="00387802">
              <w:rPr>
                <w:noProof/>
                <w:webHidden/>
              </w:rPr>
              <w:fldChar w:fldCharType="separate"/>
            </w:r>
            <w:r w:rsidR="00387802">
              <w:rPr>
                <w:noProof/>
                <w:webHidden/>
              </w:rPr>
              <w:t>208</w:t>
            </w:r>
            <w:r w:rsidR="00387802">
              <w:rPr>
                <w:noProof/>
                <w:webHidden/>
              </w:rPr>
              <w:fldChar w:fldCharType="end"/>
            </w:r>
          </w:hyperlink>
        </w:p>
        <w:p w14:paraId="643F8129" w14:textId="05FE60A9" w:rsidR="00387802" w:rsidRDefault="00872E47">
          <w:pPr>
            <w:pStyle w:val="TOC3"/>
            <w:tabs>
              <w:tab w:val="left" w:pos="1320"/>
            </w:tabs>
            <w:rPr>
              <w:rFonts w:asciiTheme="minorHAnsi" w:eastAsiaTheme="minorEastAsia" w:hAnsiTheme="minorHAnsi"/>
              <w:noProof/>
              <w:spacing w:val="0"/>
              <w:sz w:val="22"/>
              <w:szCs w:val="22"/>
            </w:rPr>
          </w:pPr>
          <w:hyperlink w:anchor="_Toc431288893" w:history="1">
            <w:r w:rsidR="00387802" w:rsidRPr="00365A20">
              <w:rPr>
                <w:rStyle w:val="Hyperlink"/>
                <w:noProof/>
                <w14:scene3d>
                  <w14:camera w14:prst="orthographicFront"/>
                  <w14:lightRig w14:rig="threePt" w14:dir="t">
                    <w14:rot w14:lat="0" w14:lon="0" w14:rev="0"/>
                  </w14:lightRig>
                </w14:scene3d>
              </w:rPr>
              <w:t>8.7.1</w:t>
            </w:r>
            <w:r w:rsidR="00387802">
              <w:rPr>
                <w:rFonts w:asciiTheme="minorHAnsi" w:eastAsiaTheme="minorEastAsia" w:hAnsiTheme="minorHAnsi"/>
                <w:noProof/>
                <w:spacing w:val="0"/>
                <w:sz w:val="22"/>
                <w:szCs w:val="22"/>
              </w:rPr>
              <w:tab/>
            </w:r>
            <w:r w:rsidR="00387802" w:rsidRPr="00365A20">
              <w:rPr>
                <w:rStyle w:val="Hyperlink"/>
                <w:noProof/>
              </w:rPr>
              <w:t>ExpressRoute Overview</w:t>
            </w:r>
            <w:r w:rsidR="00387802">
              <w:rPr>
                <w:noProof/>
                <w:webHidden/>
              </w:rPr>
              <w:tab/>
            </w:r>
            <w:r w:rsidR="00387802">
              <w:rPr>
                <w:noProof/>
                <w:webHidden/>
              </w:rPr>
              <w:fldChar w:fldCharType="begin"/>
            </w:r>
            <w:r w:rsidR="00387802">
              <w:rPr>
                <w:noProof/>
                <w:webHidden/>
              </w:rPr>
              <w:instrText xml:space="preserve"> PAGEREF _Toc431288893 \h </w:instrText>
            </w:r>
            <w:r w:rsidR="00387802">
              <w:rPr>
                <w:noProof/>
                <w:webHidden/>
              </w:rPr>
            </w:r>
            <w:r w:rsidR="00387802">
              <w:rPr>
                <w:noProof/>
                <w:webHidden/>
              </w:rPr>
              <w:fldChar w:fldCharType="separate"/>
            </w:r>
            <w:r w:rsidR="00387802">
              <w:rPr>
                <w:noProof/>
                <w:webHidden/>
              </w:rPr>
              <w:t>210</w:t>
            </w:r>
            <w:r w:rsidR="00387802">
              <w:rPr>
                <w:noProof/>
                <w:webHidden/>
              </w:rPr>
              <w:fldChar w:fldCharType="end"/>
            </w:r>
          </w:hyperlink>
        </w:p>
        <w:p w14:paraId="734ADB95" w14:textId="7334FDE5" w:rsidR="00387802" w:rsidRDefault="00872E47">
          <w:pPr>
            <w:pStyle w:val="TOC3"/>
            <w:tabs>
              <w:tab w:val="left" w:pos="1320"/>
            </w:tabs>
            <w:rPr>
              <w:rFonts w:asciiTheme="minorHAnsi" w:eastAsiaTheme="minorEastAsia" w:hAnsiTheme="minorHAnsi"/>
              <w:noProof/>
              <w:spacing w:val="0"/>
              <w:sz w:val="22"/>
              <w:szCs w:val="22"/>
            </w:rPr>
          </w:pPr>
          <w:hyperlink w:anchor="_Toc431288894" w:history="1">
            <w:r w:rsidR="00387802" w:rsidRPr="00365A20">
              <w:rPr>
                <w:rStyle w:val="Hyperlink"/>
                <w:noProof/>
                <w14:scene3d>
                  <w14:camera w14:prst="orthographicFront"/>
                  <w14:lightRig w14:rig="threePt" w14:dir="t">
                    <w14:rot w14:lat="0" w14:lon="0" w14:rev="0"/>
                  </w14:lightRig>
                </w14:scene3d>
              </w:rPr>
              <w:t>8.7.2</w:t>
            </w:r>
            <w:r w:rsidR="00387802">
              <w:rPr>
                <w:rFonts w:asciiTheme="minorHAnsi" w:eastAsiaTheme="minorEastAsia" w:hAnsiTheme="minorHAnsi"/>
                <w:noProof/>
                <w:spacing w:val="0"/>
                <w:sz w:val="22"/>
                <w:szCs w:val="22"/>
              </w:rPr>
              <w:tab/>
            </w:r>
            <w:r w:rsidR="00387802" w:rsidRPr="00365A20">
              <w:rPr>
                <w:rStyle w:val="Hyperlink"/>
                <w:noProof/>
              </w:rPr>
              <w:t>Microsoft Azure Site–to-Site VPN</w:t>
            </w:r>
            <w:r w:rsidR="00387802">
              <w:rPr>
                <w:noProof/>
                <w:webHidden/>
              </w:rPr>
              <w:tab/>
            </w:r>
            <w:r w:rsidR="00387802">
              <w:rPr>
                <w:noProof/>
                <w:webHidden/>
              </w:rPr>
              <w:fldChar w:fldCharType="begin"/>
            </w:r>
            <w:r w:rsidR="00387802">
              <w:rPr>
                <w:noProof/>
                <w:webHidden/>
              </w:rPr>
              <w:instrText xml:space="preserve"> PAGEREF _Toc431288894 \h </w:instrText>
            </w:r>
            <w:r w:rsidR="00387802">
              <w:rPr>
                <w:noProof/>
                <w:webHidden/>
              </w:rPr>
            </w:r>
            <w:r w:rsidR="00387802">
              <w:rPr>
                <w:noProof/>
                <w:webHidden/>
              </w:rPr>
              <w:fldChar w:fldCharType="separate"/>
            </w:r>
            <w:r w:rsidR="00387802">
              <w:rPr>
                <w:noProof/>
                <w:webHidden/>
              </w:rPr>
              <w:t>216</w:t>
            </w:r>
            <w:r w:rsidR="00387802">
              <w:rPr>
                <w:noProof/>
                <w:webHidden/>
              </w:rPr>
              <w:fldChar w:fldCharType="end"/>
            </w:r>
          </w:hyperlink>
        </w:p>
        <w:p w14:paraId="19D6CD3B" w14:textId="762B047D" w:rsidR="00387802" w:rsidRDefault="00872E47">
          <w:pPr>
            <w:pStyle w:val="TOC3"/>
            <w:tabs>
              <w:tab w:val="left" w:pos="1320"/>
            </w:tabs>
            <w:rPr>
              <w:rFonts w:asciiTheme="minorHAnsi" w:eastAsiaTheme="minorEastAsia" w:hAnsiTheme="minorHAnsi"/>
              <w:noProof/>
              <w:spacing w:val="0"/>
              <w:sz w:val="22"/>
              <w:szCs w:val="22"/>
            </w:rPr>
          </w:pPr>
          <w:hyperlink w:anchor="_Toc431288895" w:history="1">
            <w:r w:rsidR="00387802" w:rsidRPr="00365A20">
              <w:rPr>
                <w:rStyle w:val="Hyperlink"/>
                <w:noProof/>
                <w14:scene3d>
                  <w14:camera w14:prst="orthographicFront"/>
                  <w14:lightRig w14:rig="threePt" w14:dir="t">
                    <w14:rot w14:lat="0" w14:lon="0" w14:rev="0"/>
                  </w14:lightRig>
                </w14:scene3d>
              </w:rPr>
              <w:t>8.7.3</w:t>
            </w:r>
            <w:r w:rsidR="00387802">
              <w:rPr>
                <w:rFonts w:asciiTheme="minorHAnsi" w:eastAsiaTheme="minorEastAsia" w:hAnsiTheme="minorHAnsi"/>
                <w:noProof/>
                <w:spacing w:val="0"/>
                <w:sz w:val="22"/>
                <w:szCs w:val="22"/>
              </w:rPr>
              <w:tab/>
            </w:r>
            <w:r w:rsidR="00387802" w:rsidRPr="00365A20">
              <w:rPr>
                <w:rStyle w:val="Hyperlink"/>
                <w:noProof/>
              </w:rPr>
              <w:t>Microsoft Azure Point-to-Site VPN</w:t>
            </w:r>
            <w:r w:rsidR="00387802">
              <w:rPr>
                <w:noProof/>
                <w:webHidden/>
              </w:rPr>
              <w:tab/>
            </w:r>
            <w:r w:rsidR="00387802">
              <w:rPr>
                <w:noProof/>
                <w:webHidden/>
              </w:rPr>
              <w:fldChar w:fldCharType="begin"/>
            </w:r>
            <w:r w:rsidR="00387802">
              <w:rPr>
                <w:noProof/>
                <w:webHidden/>
              </w:rPr>
              <w:instrText xml:space="preserve"> PAGEREF _Toc431288895 \h </w:instrText>
            </w:r>
            <w:r w:rsidR="00387802">
              <w:rPr>
                <w:noProof/>
                <w:webHidden/>
              </w:rPr>
            </w:r>
            <w:r w:rsidR="00387802">
              <w:rPr>
                <w:noProof/>
                <w:webHidden/>
              </w:rPr>
              <w:fldChar w:fldCharType="separate"/>
            </w:r>
            <w:r w:rsidR="00387802">
              <w:rPr>
                <w:noProof/>
                <w:webHidden/>
              </w:rPr>
              <w:t>218</w:t>
            </w:r>
            <w:r w:rsidR="00387802">
              <w:rPr>
                <w:noProof/>
                <w:webHidden/>
              </w:rPr>
              <w:fldChar w:fldCharType="end"/>
            </w:r>
          </w:hyperlink>
        </w:p>
        <w:p w14:paraId="608C0BB3" w14:textId="5263EA95" w:rsidR="00387802" w:rsidRDefault="00872E47">
          <w:pPr>
            <w:pStyle w:val="TOC3"/>
            <w:tabs>
              <w:tab w:val="left" w:pos="1320"/>
            </w:tabs>
            <w:rPr>
              <w:rFonts w:asciiTheme="minorHAnsi" w:eastAsiaTheme="minorEastAsia" w:hAnsiTheme="minorHAnsi"/>
              <w:noProof/>
              <w:spacing w:val="0"/>
              <w:sz w:val="22"/>
              <w:szCs w:val="22"/>
            </w:rPr>
          </w:pPr>
          <w:hyperlink w:anchor="_Toc431288896" w:history="1">
            <w:r w:rsidR="00387802" w:rsidRPr="00365A20">
              <w:rPr>
                <w:rStyle w:val="Hyperlink"/>
                <w:noProof/>
                <w14:scene3d>
                  <w14:camera w14:prst="orthographicFront"/>
                  <w14:lightRig w14:rig="threePt" w14:dir="t">
                    <w14:rot w14:lat="0" w14:lon="0" w14:rev="0"/>
                  </w14:lightRig>
                </w14:scene3d>
              </w:rPr>
              <w:t>8.7.4</w:t>
            </w:r>
            <w:r w:rsidR="00387802">
              <w:rPr>
                <w:rFonts w:asciiTheme="minorHAnsi" w:eastAsiaTheme="minorEastAsia" w:hAnsiTheme="minorHAnsi"/>
                <w:noProof/>
                <w:spacing w:val="0"/>
                <w:sz w:val="22"/>
                <w:szCs w:val="22"/>
              </w:rPr>
              <w:tab/>
            </w:r>
            <w:r w:rsidR="00387802" w:rsidRPr="00365A20">
              <w:rPr>
                <w:rStyle w:val="Hyperlink"/>
                <w:noProof/>
              </w:rPr>
              <w:t>Forced Tunneling</w:t>
            </w:r>
            <w:r w:rsidR="00387802">
              <w:rPr>
                <w:noProof/>
                <w:webHidden/>
              </w:rPr>
              <w:tab/>
            </w:r>
            <w:r w:rsidR="00387802">
              <w:rPr>
                <w:noProof/>
                <w:webHidden/>
              </w:rPr>
              <w:fldChar w:fldCharType="begin"/>
            </w:r>
            <w:r w:rsidR="00387802">
              <w:rPr>
                <w:noProof/>
                <w:webHidden/>
              </w:rPr>
              <w:instrText xml:space="preserve"> PAGEREF _Toc431288896 \h </w:instrText>
            </w:r>
            <w:r w:rsidR="00387802">
              <w:rPr>
                <w:noProof/>
                <w:webHidden/>
              </w:rPr>
            </w:r>
            <w:r w:rsidR="00387802">
              <w:rPr>
                <w:noProof/>
                <w:webHidden/>
              </w:rPr>
              <w:fldChar w:fldCharType="separate"/>
            </w:r>
            <w:r w:rsidR="00387802">
              <w:rPr>
                <w:noProof/>
                <w:webHidden/>
              </w:rPr>
              <w:t>219</w:t>
            </w:r>
            <w:r w:rsidR="00387802">
              <w:rPr>
                <w:noProof/>
                <w:webHidden/>
              </w:rPr>
              <w:fldChar w:fldCharType="end"/>
            </w:r>
          </w:hyperlink>
        </w:p>
        <w:p w14:paraId="77A9C5DD" w14:textId="05517D7D" w:rsidR="00387802" w:rsidRDefault="00872E47">
          <w:pPr>
            <w:pStyle w:val="TOC2"/>
            <w:tabs>
              <w:tab w:val="left" w:pos="880"/>
              <w:tab w:val="right" w:leader="dot" w:pos="9350"/>
            </w:tabs>
            <w:rPr>
              <w:rFonts w:asciiTheme="minorHAnsi" w:hAnsiTheme="minorHAnsi"/>
              <w:noProof/>
            </w:rPr>
          </w:pPr>
          <w:hyperlink w:anchor="_Toc431288897" w:history="1">
            <w:r w:rsidR="00387802" w:rsidRPr="00365A20">
              <w:rPr>
                <w:rStyle w:val="Hyperlink"/>
                <w:noProof/>
              </w:rPr>
              <w:t>8.8</w:t>
            </w:r>
            <w:r w:rsidR="00387802">
              <w:rPr>
                <w:rFonts w:asciiTheme="minorHAnsi" w:hAnsiTheme="minorHAnsi"/>
                <w:noProof/>
              </w:rPr>
              <w:tab/>
            </w:r>
            <w:r w:rsidR="00387802" w:rsidRPr="00365A20">
              <w:rPr>
                <w:rStyle w:val="Hyperlink"/>
                <w:noProof/>
              </w:rPr>
              <w:t>Network Security</w:t>
            </w:r>
            <w:r w:rsidR="00387802">
              <w:rPr>
                <w:noProof/>
                <w:webHidden/>
              </w:rPr>
              <w:tab/>
            </w:r>
            <w:r w:rsidR="00387802">
              <w:rPr>
                <w:noProof/>
                <w:webHidden/>
              </w:rPr>
              <w:fldChar w:fldCharType="begin"/>
            </w:r>
            <w:r w:rsidR="00387802">
              <w:rPr>
                <w:noProof/>
                <w:webHidden/>
              </w:rPr>
              <w:instrText xml:space="preserve"> PAGEREF _Toc431288897 \h </w:instrText>
            </w:r>
            <w:r w:rsidR="00387802">
              <w:rPr>
                <w:noProof/>
                <w:webHidden/>
              </w:rPr>
            </w:r>
            <w:r w:rsidR="00387802">
              <w:rPr>
                <w:noProof/>
                <w:webHidden/>
              </w:rPr>
              <w:fldChar w:fldCharType="separate"/>
            </w:r>
            <w:r w:rsidR="00387802">
              <w:rPr>
                <w:noProof/>
                <w:webHidden/>
              </w:rPr>
              <w:t>221</w:t>
            </w:r>
            <w:r w:rsidR="00387802">
              <w:rPr>
                <w:noProof/>
                <w:webHidden/>
              </w:rPr>
              <w:fldChar w:fldCharType="end"/>
            </w:r>
          </w:hyperlink>
        </w:p>
        <w:p w14:paraId="4718A872" w14:textId="163148FC" w:rsidR="00387802" w:rsidRDefault="00872E47">
          <w:pPr>
            <w:pStyle w:val="TOC3"/>
            <w:tabs>
              <w:tab w:val="left" w:pos="1320"/>
            </w:tabs>
            <w:rPr>
              <w:rFonts w:asciiTheme="minorHAnsi" w:eastAsiaTheme="minorEastAsia" w:hAnsiTheme="minorHAnsi"/>
              <w:noProof/>
              <w:spacing w:val="0"/>
              <w:sz w:val="22"/>
              <w:szCs w:val="22"/>
            </w:rPr>
          </w:pPr>
          <w:hyperlink w:anchor="_Toc431288898" w:history="1">
            <w:r w:rsidR="00387802" w:rsidRPr="00365A20">
              <w:rPr>
                <w:rStyle w:val="Hyperlink"/>
                <w:noProof/>
                <w14:scene3d>
                  <w14:camera w14:prst="orthographicFront"/>
                  <w14:lightRig w14:rig="threePt" w14:dir="t">
                    <w14:rot w14:lat="0" w14:lon="0" w14:rev="0"/>
                  </w14:lightRig>
                </w14:scene3d>
              </w:rPr>
              <w:t>8.8.1</w:t>
            </w:r>
            <w:r w:rsidR="00387802">
              <w:rPr>
                <w:rFonts w:asciiTheme="minorHAnsi" w:eastAsiaTheme="minorEastAsia" w:hAnsiTheme="minorHAnsi"/>
                <w:noProof/>
                <w:spacing w:val="0"/>
                <w:sz w:val="22"/>
                <w:szCs w:val="22"/>
              </w:rPr>
              <w:tab/>
            </w:r>
            <w:r w:rsidR="00387802" w:rsidRPr="00365A20">
              <w:rPr>
                <w:rStyle w:val="Hyperlink"/>
                <w:noProof/>
              </w:rPr>
              <w:t>Traditional Security Approaches</w:t>
            </w:r>
            <w:r w:rsidR="00387802">
              <w:rPr>
                <w:noProof/>
                <w:webHidden/>
              </w:rPr>
              <w:tab/>
            </w:r>
            <w:r w:rsidR="00387802">
              <w:rPr>
                <w:noProof/>
                <w:webHidden/>
              </w:rPr>
              <w:fldChar w:fldCharType="begin"/>
            </w:r>
            <w:r w:rsidR="00387802">
              <w:rPr>
                <w:noProof/>
                <w:webHidden/>
              </w:rPr>
              <w:instrText xml:space="preserve"> PAGEREF _Toc431288898 \h </w:instrText>
            </w:r>
            <w:r w:rsidR="00387802">
              <w:rPr>
                <w:noProof/>
                <w:webHidden/>
              </w:rPr>
            </w:r>
            <w:r w:rsidR="00387802">
              <w:rPr>
                <w:noProof/>
                <w:webHidden/>
              </w:rPr>
              <w:fldChar w:fldCharType="separate"/>
            </w:r>
            <w:r w:rsidR="00387802">
              <w:rPr>
                <w:noProof/>
                <w:webHidden/>
              </w:rPr>
              <w:t>222</w:t>
            </w:r>
            <w:r w:rsidR="00387802">
              <w:rPr>
                <w:noProof/>
                <w:webHidden/>
              </w:rPr>
              <w:fldChar w:fldCharType="end"/>
            </w:r>
          </w:hyperlink>
        </w:p>
        <w:p w14:paraId="1802EC51" w14:textId="54492457" w:rsidR="00387802" w:rsidRDefault="00872E47">
          <w:pPr>
            <w:pStyle w:val="TOC3"/>
            <w:tabs>
              <w:tab w:val="left" w:pos="1320"/>
            </w:tabs>
            <w:rPr>
              <w:rFonts w:asciiTheme="minorHAnsi" w:eastAsiaTheme="minorEastAsia" w:hAnsiTheme="minorHAnsi"/>
              <w:noProof/>
              <w:spacing w:val="0"/>
              <w:sz w:val="22"/>
              <w:szCs w:val="22"/>
            </w:rPr>
          </w:pPr>
          <w:hyperlink w:anchor="_Toc431288899" w:history="1">
            <w:r w:rsidR="00387802" w:rsidRPr="00365A20">
              <w:rPr>
                <w:rStyle w:val="Hyperlink"/>
                <w:noProof/>
                <w14:scene3d>
                  <w14:camera w14:prst="orthographicFront"/>
                  <w14:lightRig w14:rig="threePt" w14:dir="t">
                    <w14:rot w14:lat="0" w14:lon="0" w14:rev="0"/>
                  </w14:lightRig>
                </w14:scene3d>
              </w:rPr>
              <w:t>8.8.2</w:t>
            </w:r>
            <w:r w:rsidR="00387802">
              <w:rPr>
                <w:rFonts w:asciiTheme="minorHAnsi" w:eastAsiaTheme="minorEastAsia" w:hAnsiTheme="minorHAnsi"/>
                <w:noProof/>
                <w:spacing w:val="0"/>
                <w:sz w:val="22"/>
                <w:szCs w:val="22"/>
              </w:rPr>
              <w:tab/>
            </w:r>
            <w:r w:rsidR="00387802" w:rsidRPr="00365A20">
              <w:rPr>
                <w:rStyle w:val="Hyperlink"/>
                <w:noProof/>
              </w:rPr>
              <w:t>Network Access Approaches</w:t>
            </w:r>
            <w:r w:rsidR="00387802">
              <w:rPr>
                <w:noProof/>
                <w:webHidden/>
              </w:rPr>
              <w:tab/>
            </w:r>
            <w:r w:rsidR="00387802">
              <w:rPr>
                <w:noProof/>
                <w:webHidden/>
              </w:rPr>
              <w:fldChar w:fldCharType="begin"/>
            </w:r>
            <w:r w:rsidR="00387802">
              <w:rPr>
                <w:noProof/>
                <w:webHidden/>
              </w:rPr>
              <w:instrText xml:space="preserve"> PAGEREF _Toc431288899 \h </w:instrText>
            </w:r>
            <w:r w:rsidR="00387802">
              <w:rPr>
                <w:noProof/>
                <w:webHidden/>
              </w:rPr>
            </w:r>
            <w:r w:rsidR="00387802">
              <w:rPr>
                <w:noProof/>
                <w:webHidden/>
              </w:rPr>
              <w:fldChar w:fldCharType="separate"/>
            </w:r>
            <w:r w:rsidR="00387802">
              <w:rPr>
                <w:noProof/>
                <w:webHidden/>
              </w:rPr>
              <w:t>223</w:t>
            </w:r>
            <w:r w:rsidR="00387802">
              <w:rPr>
                <w:noProof/>
                <w:webHidden/>
              </w:rPr>
              <w:fldChar w:fldCharType="end"/>
            </w:r>
          </w:hyperlink>
        </w:p>
        <w:p w14:paraId="43309D2B" w14:textId="69B7AF24" w:rsidR="00387802" w:rsidRDefault="00872E47">
          <w:pPr>
            <w:pStyle w:val="TOC3"/>
            <w:tabs>
              <w:tab w:val="left" w:pos="1320"/>
            </w:tabs>
            <w:rPr>
              <w:rFonts w:asciiTheme="minorHAnsi" w:eastAsiaTheme="minorEastAsia" w:hAnsiTheme="minorHAnsi"/>
              <w:noProof/>
              <w:spacing w:val="0"/>
              <w:sz w:val="22"/>
              <w:szCs w:val="22"/>
            </w:rPr>
          </w:pPr>
          <w:hyperlink w:anchor="_Toc431288900" w:history="1">
            <w:r w:rsidR="00387802" w:rsidRPr="00365A20">
              <w:rPr>
                <w:rStyle w:val="Hyperlink"/>
                <w:noProof/>
                <w14:scene3d>
                  <w14:camera w14:prst="orthographicFront"/>
                  <w14:lightRig w14:rig="threePt" w14:dir="t">
                    <w14:rot w14:lat="0" w14:lon="0" w14:rev="0"/>
                  </w14:lightRig>
                </w14:scene3d>
              </w:rPr>
              <w:t>8.8.3</w:t>
            </w:r>
            <w:r w:rsidR="00387802">
              <w:rPr>
                <w:rFonts w:asciiTheme="minorHAnsi" w:eastAsiaTheme="minorEastAsia" w:hAnsiTheme="minorHAnsi"/>
                <w:noProof/>
                <w:spacing w:val="0"/>
                <w:sz w:val="22"/>
                <w:szCs w:val="22"/>
              </w:rPr>
              <w:tab/>
            </w:r>
            <w:r w:rsidR="00387802" w:rsidRPr="00365A20">
              <w:rPr>
                <w:rStyle w:val="Hyperlink"/>
                <w:noProof/>
              </w:rPr>
              <w:t>Virtual Appliances</w:t>
            </w:r>
            <w:r w:rsidR="00387802">
              <w:rPr>
                <w:noProof/>
                <w:webHidden/>
              </w:rPr>
              <w:tab/>
            </w:r>
            <w:r w:rsidR="00387802">
              <w:rPr>
                <w:noProof/>
                <w:webHidden/>
              </w:rPr>
              <w:fldChar w:fldCharType="begin"/>
            </w:r>
            <w:r w:rsidR="00387802">
              <w:rPr>
                <w:noProof/>
                <w:webHidden/>
              </w:rPr>
              <w:instrText xml:space="preserve"> PAGEREF _Toc431288900 \h </w:instrText>
            </w:r>
            <w:r w:rsidR="00387802">
              <w:rPr>
                <w:noProof/>
                <w:webHidden/>
              </w:rPr>
            </w:r>
            <w:r w:rsidR="00387802">
              <w:rPr>
                <w:noProof/>
                <w:webHidden/>
              </w:rPr>
              <w:fldChar w:fldCharType="separate"/>
            </w:r>
            <w:r w:rsidR="00387802">
              <w:rPr>
                <w:noProof/>
                <w:webHidden/>
              </w:rPr>
              <w:t>225</w:t>
            </w:r>
            <w:r w:rsidR="00387802">
              <w:rPr>
                <w:noProof/>
                <w:webHidden/>
              </w:rPr>
              <w:fldChar w:fldCharType="end"/>
            </w:r>
          </w:hyperlink>
        </w:p>
        <w:p w14:paraId="3B0A47DF" w14:textId="7D4BC026" w:rsidR="00387802" w:rsidRDefault="00872E47">
          <w:pPr>
            <w:pStyle w:val="TOC3"/>
            <w:tabs>
              <w:tab w:val="left" w:pos="1320"/>
            </w:tabs>
            <w:rPr>
              <w:rFonts w:asciiTheme="minorHAnsi" w:eastAsiaTheme="minorEastAsia" w:hAnsiTheme="minorHAnsi"/>
              <w:noProof/>
              <w:spacing w:val="0"/>
              <w:sz w:val="22"/>
              <w:szCs w:val="22"/>
            </w:rPr>
          </w:pPr>
          <w:hyperlink w:anchor="_Toc431288901" w:history="1">
            <w:r w:rsidR="00387802" w:rsidRPr="00365A20">
              <w:rPr>
                <w:rStyle w:val="Hyperlink"/>
                <w:noProof/>
                <w14:scene3d>
                  <w14:camera w14:prst="orthographicFront"/>
                  <w14:lightRig w14:rig="threePt" w14:dir="t">
                    <w14:rot w14:lat="0" w14:lon="0" w14:rev="0"/>
                  </w14:lightRig>
                </w14:scene3d>
              </w:rPr>
              <w:t>8.8.4</w:t>
            </w:r>
            <w:r w:rsidR="00387802">
              <w:rPr>
                <w:rFonts w:asciiTheme="minorHAnsi" w:eastAsiaTheme="minorEastAsia" w:hAnsiTheme="minorHAnsi"/>
                <w:noProof/>
                <w:spacing w:val="0"/>
                <w:sz w:val="22"/>
                <w:szCs w:val="22"/>
              </w:rPr>
              <w:tab/>
            </w:r>
            <w:r w:rsidR="00387802" w:rsidRPr="00365A20">
              <w:rPr>
                <w:rStyle w:val="Hyperlink"/>
                <w:noProof/>
              </w:rPr>
              <w:t>User Defined Routing</w:t>
            </w:r>
            <w:r w:rsidR="00387802">
              <w:rPr>
                <w:noProof/>
                <w:webHidden/>
              </w:rPr>
              <w:tab/>
            </w:r>
            <w:r w:rsidR="00387802">
              <w:rPr>
                <w:noProof/>
                <w:webHidden/>
              </w:rPr>
              <w:fldChar w:fldCharType="begin"/>
            </w:r>
            <w:r w:rsidR="00387802">
              <w:rPr>
                <w:noProof/>
                <w:webHidden/>
              </w:rPr>
              <w:instrText xml:space="preserve"> PAGEREF _Toc431288901 \h </w:instrText>
            </w:r>
            <w:r w:rsidR="00387802">
              <w:rPr>
                <w:noProof/>
                <w:webHidden/>
              </w:rPr>
            </w:r>
            <w:r w:rsidR="00387802">
              <w:rPr>
                <w:noProof/>
                <w:webHidden/>
              </w:rPr>
              <w:fldChar w:fldCharType="separate"/>
            </w:r>
            <w:r w:rsidR="00387802">
              <w:rPr>
                <w:noProof/>
                <w:webHidden/>
              </w:rPr>
              <w:t>227</w:t>
            </w:r>
            <w:r w:rsidR="00387802">
              <w:rPr>
                <w:noProof/>
                <w:webHidden/>
              </w:rPr>
              <w:fldChar w:fldCharType="end"/>
            </w:r>
          </w:hyperlink>
        </w:p>
        <w:p w14:paraId="14741A45" w14:textId="20377AFE" w:rsidR="00387802" w:rsidRDefault="00872E47">
          <w:pPr>
            <w:pStyle w:val="TOC3"/>
            <w:tabs>
              <w:tab w:val="left" w:pos="1320"/>
            </w:tabs>
            <w:rPr>
              <w:rFonts w:asciiTheme="minorHAnsi" w:eastAsiaTheme="minorEastAsia" w:hAnsiTheme="minorHAnsi"/>
              <w:noProof/>
              <w:spacing w:val="0"/>
              <w:sz w:val="22"/>
              <w:szCs w:val="22"/>
            </w:rPr>
          </w:pPr>
          <w:hyperlink w:anchor="_Toc431288902" w:history="1">
            <w:r w:rsidR="00387802" w:rsidRPr="00365A20">
              <w:rPr>
                <w:rStyle w:val="Hyperlink"/>
                <w:noProof/>
                <w14:scene3d>
                  <w14:camera w14:prst="orthographicFront"/>
                  <w14:lightRig w14:rig="threePt" w14:dir="t">
                    <w14:rot w14:lat="0" w14:lon="0" w14:rev="0"/>
                  </w14:lightRig>
                </w14:scene3d>
              </w:rPr>
              <w:t>8.8.5</w:t>
            </w:r>
            <w:r w:rsidR="00387802">
              <w:rPr>
                <w:rFonts w:asciiTheme="minorHAnsi" w:eastAsiaTheme="minorEastAsia" w:hAnsiTheme="minorHAnsi"/>
                <w:noProof/>
                <w:spacing w:val="0"/>
                <w:sz w:val="22"/>
                <w:szCs w:val="22"/>
              </w:rPr>
              <w:tab/>
            </w:r>
            <w:r w:rsidR="00387802" w:rsidRPr="00365A20">
              <w:rPr>
                <w:rStyle w:val="Hyperlink"/>
                <w:noProof/>
              </w:rPr>
              <w:t>Network Security Groups</w:t>
            </w:r>
            <w:r w:rsidR="00387802">
              <w:rPr>
                <w:noProof/>
                <w:webHidden/>
              </w:rPr>
              <w:tab/>
            </w:r>
            <w:r w:rsidR="00387802">
              <w:rPr>
                <w:noProof/>
                <w:webHidden/>
              </w:rPr>
              <w:fldChar w:fldCharType="begin"/>
            </w:r>
            <w:r w:rsidR="00387802">
              <w:rPr>
                <w:noProof/>
                <w:webHidden/>
              </w:rPr>
              <w:instrText xml:space="preserve"> PAGEREF _Toc431288902 \h </w:instrText>
            </w:r>
            <w:r w:rsidR="00387802">
              <w:rPr>
                <w:noProof/>
                <w:webHidden/>
              </w:rPr>
            </w:r>
            <w:r w:rsidR="00387802">
              <w:rPr>
                <w:noProof/>
                <w:webHidden/>
              </w:rPr>
              <w:fldChar w:fldCharType="separate"/>
            </w:r>
            <w:r w:rsidR="00387802">
              <w:rPr>
                <w:noProof/>
                <w:webHidden/>
              </w:rPr>
              <w:t>231</w:t>
            </w:r>
            <w:r w:rsidR="00387802">
              <w:rPr>
                <w:noProof/>
                <w:webHidden/>
              </w:rPr>
              <w:fldChar w:fldCharType="end"/>
            </w:r>
          </w:hyperlink>
        </w:p>
        <w:p w14:paraId="45207DE4" w14:textId="606B1D54" w:rsidR="00387802" w:rsidRDefault="00872E47">
          <w:pPr>
            <w:pStyle w:val="TOC3"/>
            <w:tabs>
              <w:tab w:val="left" w:pos="1320"/>
            </w:tabs>
            <w:rPr>
              <w:rFonts w:asciiTheme="minorHAnsi" w:eastAsiaTheme="minorEastAsia" w:hAnsiTheme="minorHAnsi"/>
              <w:noProof/>
              <w:spacing w:val="0"/>
              <w:sz w:val="22"/>
              <w:szCs w:val="22"/>
            </w:rPr>
          </w:pPr>
          <w:hyperlink w:anchor="_Toc431288903" w:history="1">
            <w:r w:rsidR="00387802" w:rsidRPr="00365A20">
              <w:rPr>
                <w:rStyle w:val="Hyperlink"/>
                <w:noProof/>
                <w14:scene3d>
                  <w14:camera w14:prst="orthographicFront"/>
                  <w14:lightRig w14:rig="threePt" w14:dir="t">
                    <w14:rot w14:lat="0" w14:lon="0" w14:rev="0"/>
                  </w14:lightRig>
                </w14:scene3d>
              </w:rPr>
              <w:t>8.8.6</w:t>
            </w:r>
            <w:r w:rsidR="00387802">
              <w:rPr>
                <w:rFonts w:asciiTheme="minorHAnsi" w:eastAsiaTheme="minorEastAsia" w:hAnsiTheme="minorHAnsi"/>
                <w:noProof/>
                <w:spacing w:val="0"/>
                <w:sz w:val="22"/>
                <w:szCs w:val="22"/>
              </w:rPr>
              <w:tab/>
            </w:r>
            <w:r w:rsidR="00387802" w:rsidRPr="00365A20">
              <w:rPr>
                <w:rStyle w:val="Hyperlink"/>
                <w:noProof/>
              </w:rPr>
              <w:t>Azure Endpoints and ACLs</w:t>
            </w:r>
            <w:r w:rsidR="00387802">
              <w:rPr>
                <w:noProof/>
                <w:webHidden/>
              </w:rPr>
              <w:tab/>
            </w:r>
            <w:r w:rsidR="00387802">
              <w:rPr>
                <w:noProof/>
                <w:webHidden/>
              </w:rPr>
              <w:fldChar w:fldCharType="begin"/>
            </w:r>
            <w:r w:rsidR="00387802">
              <w:rPr>
                <w:noProof/>
                <w:webHidden/>
              </w:rPr>
              <w:instrText xml:space="preserve"> PAGEREF _Toc431288903 \h </w:instrText>
            </w:r>
            <w:r w:rsidR="00387802">
              <w:rPr>
                <w:noProof/>
                <w:webHidden/>
              </w:rPr>
            </w:r>
            <w:r w:rsidR="00387802">
              <w:rPr>
                <w:noProof/>
                <w:webHidden/>
              </w:rPr>
              <w:fldChar w:fldCharType="separate"/>
            </w:r>
            <w:r w:rsidR="00387802">
              <w:rPr>
                <w:noProof/>
                <w:webHidden/>
              </w:rPr>
              <w:t>236</w:t>
            </w:r>
            <w:r w:rsidR="00387802">
              <w:rPr>
                <w:noProof/>
                <w:webHidden/>
              </w:rPr>
              <w:fldChar w:fldCharType="end"/>
            </w:r>
          </w:hyperlink>
        </w:p>
        <w:p w14:paraId="0A8A6FD8" w14:textId="754932B4" w:rsidR="00387802" w:rsidRDefault="00872E47">
          <w:pPr>
            <w:pStyle w:val="TOC2"/>
            <w:tabs>
              <w:tab w:val="left" w:pos="880"/>
              <w:tab w:val="right" w:leader="dot" w:pos="9350"/>
            </w:tabs>
            <w:rPr>
              <w:rFonts w:asciiTheme="minorHAnsi" w:hAnsiTheme="minorHAnsi"/>
              <w:noProof/>
            </w:rPr>
          </w:pPr>
          <w:hyperlink w:anchor="_Toc431288904" w:history="1">
            <w:r w:rsidR="00387802" w:rsidRPr="00365A20">
              <w:rPr>
                <w:rStyle w:val="Hyperlink"/>
                <w:noProof/>
              </w:rPr>
              <w:t>8.9</w:t>
            </w:r>
            <w:r w:rsidR="00387802">
              <w:rPr>
                <w:rFonts w:asciiTheme="minorHAnsi" w:hAnsiTheme="minorHAnsi"/>
                <w:noProof/>
              </w:rPr>
              <w:tab/>
            </w:r>
            <w:r w:rsidR="00387802" w:rsidRPr="00365A20">
              <w:rPr>
                <w:rStyle w:val="Hyperlink"/>
                <w:noProof/>
              </w:rPr>
              <w:t>IP Addresses</w:t>
            </w:r>
            <w:r w:rsidR="00387802">
              <w:rPr>
                <w:noProof/>
                <w:webHidden/>
              </w:rPr>
              <w:tab/>
            </w:r>
            <w:r w:rsidR="00387802">
              <w:rPr>
                <w:noProof/>
                <w:webHidden/>
              </w:rPr>
              <w:fldChar w:fldCharType="begin"/>
            </w:r>
            <w:r w:rsidR="00387802">
              <w:rPr>
                <w:noProof/>
                <w:webHidden/>
              </w:rPr>
              <w:instrText xml:space="preserve"> PAGEREF _Toc431288904 \h </w:instrText>
            </w:r>
            <w:r w:rsidR="00387802">
              <w:rPr>
                <w:noProof/>
                <w:webHidden/>
              </w:rPr>
            </w:r>
            <w:r w:rsidR="00387802">
              <w:rPr>
                <w:noProof/>
                <w:webHidden/>
              </w:rPr>
              <w:fldChar w:fldCharType="separate"/>
            </w:r>
            <w:r w:rsidR="00387802">
              <w:rPr>
                <w:noProof/>
                <w:webHidden/>
              </w:rPr>
              <w:t>238</w:t>
            </w:r>
            <w:r w:rsidR="00387802">
              <w:rPr>
                <w:noProof/>
                <w:webHidden/>
              </w:rPr>
              <w:fldChar w:fldCharType="end"/>
            </w:r>
          </w:hyperlink>
        </w:p>
        <w:p w14:paraId="7BF1670A" w14:textId="3DF02209" w:rsidR="00387802" w:rsidRDefault="00872E47">
          <w:pPr>
            <w:pStyle w:val="TOC3"/>
            <w:tabs>
              <w:tab w:val="left" w:pos="1320"/>
            </w:tabs>
            <w:rPr>
              <w:rFonts w:asciiTheme="minorHAnsi" w:eastAsiaTheme="minorEastAsia" w:hAnsiTheme="minorHAnsi"/>
              <w:noProof/>
              <w:spacing w:val="0"/>
              <w:sz w:val="22"/>
              <w:szCs w:val="22"/>
            </w:rPr>
          </w:pPr>
          <w:hyperlink w:anchor="_Toc431288905" w:history="1">
            <w:r w:rsidR="00387802" w:rsidRPr="00365A20">
              <w:rPr>
                <w:rStyle w:val="Hyperlink"/>
                <w:noProof/>
                <w14:scene3d>
                  <w14:camera w14:prst="orthographicFront"/>
                  <w14:lightRig w14:rig="threePt" w14:dir="t">
                    <w14:rot w14:lat="0" w14:lon="0" w14:rev="0"/>
                  </w14:lightRig>
                </w14:scene3d>
              </w:rPr>
              <w:t>8.9.1</w:t>
            </w:r>
            <w:r w:rsidR="00387802">
              <w:rPr>
                <w:rFonts w:asciiTheme="minorHAnsi" w:eastAsiaTheme="minorEastAsia" w:hAnsiTheme="minorHAnsi"/>
                <w:noProof/>
                <w:spacing w:val="0"/>
                <w:sz w:val="22"/>
                <w:szCs w:val="22"/>
              </w:rPr>
              <w:tab/>
            </w:r>
            <w:r w:rsidR="00387802" w:rsidRPr="00365A20">
              <w:rPr>
                <w:rStyle w:val="Hyperlink"/>
                <w:noProof/>
              </w:rPr>
              <w:t>Address Assignment</w:t>
            </w:r>
            <w:r w:rsidR="00387802">
              <w:rPr>
                <w:noProof/>
                <w:webHidden/>
              </w:rPr>
              <w:tab/>
            </w:r>
            <w:r w:rsidR="00387802">
              <w:rPr>
                <w:noProof/>
                <w:webHidden/>
              </w:rPr>
              <w:fldChar w:fldCharType="begin"/>
            </w:r>
            <w:r w:rsidR="00387802">
              <w:rPr>
                <w:noProof/>
                <w:webHidden/>
              </w:rPr>
              <w:instrText xml:space="preserve"> PAGEREF _Toc431288905 \h </w:instrText>
            </w:r>
            <w:r w:rsidR="00387802">
              <w:rPr>
                <w:noProof/>
                <w:webHidden/>
              </w:rPr>
            </w:r>
            <w:r w:rsidR="00387802">
              <w:rPr>
                <w:noProof/>
                <w:webHidden/>
              </w:rPr>
              <w:fldChar w:fldCharType="separate"/>
            </w:r>
            <w:r w:rsidR="00387802">
              <w:rPr>
                <w:noProof/>
                <w:webHidden/>
              </w:rPr>
              <w:t>240</w:t>
            </w:r>
            <w:r w:rsidR="00387802">
              <w:rPr>
                <w:noProof/>
                <w:webHidden/>
              </w:rPr>
              <w:fldChar w:fldCharType="end"/>
            </w:r>
          </w:hyperlink>
        </w:p>
        <w:p w14:paraId="770AE5F6" w14:textId="1D9B84C3" w:rsidR="00387802" w:rsidRDefault="00872E47">
          <w:pPr>
            <w:pStyle w:val="TOC3"/>
            <w:tabs>
              <w:tab w:val="left" w:pos="1320"/>
            </w:tabs>
            <w:rPr>
              <w:rFonts w:asciiTheme="minorHAnsi" w:eastAsiaTheme="minorEastAsia" w:hAnsiTheme="minorHAnsi"/>
              <w:noProof/>
              <w:spacing w:val="0"/>
              <w:sz w:val="22"/>
              <w:szCs w:val="22"/>
            </w:rPr>
          </w:pPr>
          <w:hyperlink w:anchor="_Toc431288906" w:history="1">
            <w:r w:rsidR="00387802" w:rsidRPr="00365A20">
              <w:rPr>
                <w:rStyle w:val="Hyperlink"/>
                <w:noProof/>
                <w14:scene3d>
                  <w14:camera w14:prst="orthographicFront"/>
                  <w14:lightRig w14:rig="threePt" w14:dir="t">
                    <w14:rot w14:lat="0" w14:lon="0" w14:rev="0"/>
                  </w14:lightRig>
                </w14:scene3d>
              </w:rPr>
              <w:t>8.9.2</w:t>
            </w:r>
            <w:r w:rsidR="00387802">
              <w:rPr>
                <w:rFonts w:asciiTheme="minorHAnsi" w:eastAsiaTheme="minorEastAsia" w:hAnsiTheme="minorHAnsi"/>
                <w:noProof/>
                <w:spacing w:val="0"/>
                <w:sz w:val="22"/>
                <w:szCs w:val="22"/>
              </w:rPr>
              <w:tab/>
            </w:r>
            <w:r w:rsidR="00387802" w:rsidRPr="00365A20">
              <w:rPr>
                <w:rStyle w:val="Hyperlink"/>
                <w:noProof/>
              </w:rPr>
              <w:t>Static Addresses</w:t>
            </w:r>
            <w:r w:rsidR="00387802">
              <w:rPr>
                <w:noProof/>
                <w:webHidden/>
              </w:rPr>
              <w:tab/>
            </w:r>
            <w:r w:rsidR="00387802">
              <w:rPr>
                <w:noProof/>
                <w:webHidden/>
              </w:rPr>
              <w:fldChar w:fldCharType="begin"/>
            </w:r>
            <w:r w:rsidR="00387802">
              <w:rPr>
                <w:noProof/>
                <w:webHidden/>
              </w:rPr>
              <w:instrText xml:space="preserve"> PAGEREF _Toc431288906 \h </w:instrText>
            </w:r>
            <w:r w:rsidR="00387802">
              <w:rPr>
                <w:noProof/>
                <w:webHidden/>
              </w:rPr>
            </w:r>
            <w:r w:rsidR="00387802">
              <w:rPr>
                <w:noProof/>
                <w:webHidden/>
              </w:rPr>
              <w:fldChar w:fldCharType="separate"/>
            </w:r>
            <w:r w:rsidR="00387802">
              <w:rPr>
                <w:noProof/>
                <w:webHidden/>
              </w:rPr>
              <w:t>241</w:t>
            </w:r>
            <w:r w:rsidR="00387802">
              <w:rPr>
                <w:noProof/>
                <w:webHidden/>
              </w:rPr>
              <w:fldChar w:fldCharType="end"/>
            </w:r>
          </w:hyperlink>
        </w:p>
        <w:p w14:paraId="78250DF8" w14:textId="07EC8629" w:rsidR="00387802" w:rsidRDefault="00872E47">
          <w:pPr>
            <w:pStyle w:val="TOC2"/>
            <w:tabs>
              <w:tab w:val="left" w:pos="880"/>
              <w:tab w:val="right" w:leader="dot" w:pos="9350"/>
            </w:tabs>
            <w:rPr>
              <w:rFonts w:asciiTheme="minorHAnsi" w:hAnsiTheme="minorHAnsi"/>
              <w:noProof/>
            </w:rPr>
          </w:pPr>
          <w:hyperlink w:anchor="_Toc431288907" w:history="1">
            <w:r w:rsidR="00387802" w:rsidRPr="00365A20">
              <w:rPr>
                <w:rStyle w:val="Hyperlink"/>
                <w:noProof/>
              </w:rPr>
              <w:t>8.10</w:t>
            </w:r>
            <w:r w:rsidR="00387802">
              <w:rPr>
                <w:rFonts w:asciiTheme="minorHAnsi" w:hAnsiTheme="minorHAnsi"/>
                <w:noProof/>
              </w:rPr>
              <w:tab/>
            </w:r>
            <w:r w:rsidR="00387802" w:rsidRPr="00365A20">
              <w:rPr>
                <w:rStyle w:val="Hyperlink"/>
                <w:noProof/>
              </w:rPr>
              <w:t>Name Resolution</w:t>
            </w:r>
            <w:r w:rsidR="00387802">
              <w:rPr>
                <w:noProof/>
                <w:webHidden/>
              </w:rPr>
              <w:tab/>
            </w:r>
            <w:r w:rsidR="00387802">
              <w:rPr>
                <w:noProof/>
                <w:webHidden/>
              </w:rPr>
              <w:fldChar w:fldCharType="begin"/>
            </w:r>
            <w:r w:rsidR="00387802">
              <w:rPr>
                <w:noProof/>
                <w:webHidden/>
              </w:rPr>
              <w:instrText xml:space="preserve"> PAGEREF _Toc431288907 \h </w:instrText>
            </w:r>
            <w:r w:rsidR="00387802">
              <w:rPr>
                <w:noProof/>
                <w:webHidden/>
              </w:rPr>
            </w:r>
            <w:r w:rsidR="00387802">
              <w:rPr>
                <w:noProof/>
                <w:webHidden/>
              </w:rPr>
              <w:fldChar w:fldCharType="separate"/>
            </w:r>
            <w:r w:rsidR="00387802">
              <w:rPr>
                <w:noProof/>
                <w:webHidden/>
              </w:rPr>
              <w:t>242</w:t>
            </w:r>
            <w:r w:rsidR="00387802">
              <w:rPr>
                <w:noProof/>
                <w:webHidden/>
              </w:rPr>
              <w:fldChar w:fldCharType="end"/>
            </w:r>
          </w:hyperlink>
        </w:p>
        <w:p w14:paraId="4095C9D2" w14:textId="08E463E4" w:rsidR="00387802" w:rsidRDefault="00872E47">
          <w:pPr>
            <w:pStyle w:val="TOC3"/>
            <w:tabs>
              <w:tab w:val="left" w:pos="1320"/>
            </w:tabs>
            <w:rPr>
              <w:rFonts w:asciiTheme="minorHAnsi" w:eastAsiaTheme="minorEastAsia" w:hAnsiTheme="minorHAnsi"/>
              <w:noProof/>
              <w:spacing w:val="0"/>
              <w:sz w:val="22"/>
              <w:szCs w:val="22"/>
            </w:rPr>
          </w:pPr>
          <w:hyperlink w:anchor="_Toc431288908" w:history="1">
            <w:r w:rsidR="00387802" w:rsidRPr="00365A20">
              <w:rPr>
                <w:rStyle w:val="Hyperlink"/>
                <w:noProof/>
                <w14:scene3d>
                  <w14:camera w14:prst="orthographicFront"/>
                  <w14:lightRig w14:rig="threePt" w14:dir="t">
                    <w14:rot w14:lat="0" w14:lon="0" w14:rev="0"/>
                  </w14:lightRig>
                </w14:scene3d>
              </w:rPr>
              <w:t>8.10.1</w:t>
            </w:r>
            <w:r w:rsidR="00387802">
              <w:rPr>
                <w:rFonts w:asciiTheme="minorHAnsi" w:eastAsiaTheme="minorEastAsia" w:hAnsiTheme="minorHAnsi"/>
                <w:noProof/>
                <w:spacing w:val="0"/>
                <w:sz w:val="22"/>
                <w:szCs w:val="22"/>
              </w:rPr>
              <w:tab/>
            </w:r>
            <w:r w:rsidR="00387802" w:rsidRPr="00365A20">
              <w:rPr>
                <w:rStyle w:val="Hyperlink"/>
                <w:noProof/>
              </w:rPr>
              <w:t>Azure DNS Service</w:t>
            </w:r>
            <w:r w:rsidR="00387802">
              <w:rPr>
                <w:noProof/>
                <w:webHidden/>
              </w:rPr>
              <w:tab/>
            </w:r>
            <w:r w:rsidR="00387802">
              <w:rPr>
                <w:noProof/>
                <w:webHidden/>
              </w:rPr>
              <w:fldChar w:fldCharType="begin"/>
            </w:r>
            <w:r w:rsidR="00387802">
              <w:rPr>
                <w:noProof/>
                <w:webHidden/>
              </w:rPr>
              <w:instrText xml:space="preserve"> PAGEREF _Toc431288908 \h </w:instrText>
            </w:r>
            <w:r w:rsidR="00387802">
              <w:rPr>
                <w:noProof/>
                <w:webHidden/>
              </w:rPr>
            </w:r>
            <w:r w:rsidR="00387802">
              <w:rPr>
                <w:noProof/>
                <w:webHidden/>
              </w:rPr>
              <w:fldChar w:fldCharType="separate"/>
            </w:r>
            <w:r w:rsidR="00387802">
              <w:rPr>
                <w:noProof/>
                <w:webHidden/>
              </w:rPr>
              <w:t>244</w:t>
            </w:r>
            <w:r w:rsidR="00387802">
              <w:rPr>
                <w:noProof/>
                <w:webHidden/>
              </w:rPr>
              <w:fldChar w:fldCharType="end"/>
            </w:r>
          </w:hyperlink>
        </w:p>
        <w:p w14:paraId="4D6C5854" w14:textId="00788C97" w:rsidR="00387802" w:rsidRDefault="00872E47">
          <w:pPr>
            <w:pStyle w:val="TOC2"/>
            <w:tabs>
              <w:tab w:val="left" w:pos="880"/>
              <w:tab w:val="right" w:leader="dot" w:pos="9350"/>
            </w:tabs>
            <w:rPr>
              <w:rFonts w:asciiTheme="minorHAnsi" w:hAnsiTheme="minorHAnsi"/>
              <w:noProof/>
            </w:rPr>
          </w:pPr>
          <w:hyperlink w:anchor="_Toc431288909" w:history="1">
            <w:r w:rsidR="00387802" w:rsidRPr="00365A20">
              <w:rPr>
                <w:rStyle w:val="Hyperlink"/>
                <w:noProof/>
              </w:rPr>
              <w:t>8.11</w:t>
            </w:r>
            <w:r w:rsidR="00387802">
              <w:rPr>
                <w:rFonts w:asciiTheme="minorHAnsi" w:hAnsiTheme="minorHAnsi"/>
                <w:noProof/>
              </w:rPr>
              <w:tab/>
            </w:r>
            <w:r w:rsidR="00387802" w:rsidRPr="00365A20">
              <w:rPr>
                <w:rStyle w:val="Hyperlink"/>
                <w:noProof/>
              </w:rPr>
              <w:t>Load Balancing</w:t>
            </w:r>
            <w:r w:rsidR="00387802">
              <w:rPr>
                <w:noProof/>
                <w:webHidden/>
              </w:rPr>
              <w:tab/>
            </w:r>
            <w:r w:rsidR="00387802">
              <w:rPr>
                <w:noProof/>
                <w:webHidden/>
              </w:rPr>
              <w:fldChar w:fldCharType="begin"/>
            </w:r>
            <w:r w:rsidR="00387802">
              <w:rPr>
                <w:noProof/>
                <w:webHidden/>
              </w:rPr>
              <w:instrText xml:space="preserve"> PAGEREF _Toc431288909 \h </w:instrText>
            </w:r>
            <w:r w:rsidR="00387802">
              <w:rPr>
                <w:noProof/>
                <w:webHidden/>
              </w:rPr>
            </w:r>
            <w:r w:rsidR="00387802">
              <w:rPr>
                <w:noProof/>
                <w:webHidden/>
              </w:rPr>
              <w:fldChar w:fldCharType="separate"/>
            </w:r>
            <w:r w:rsidR="00387802">
              <w:rPr>
                <w:noProof/>
                <w:webHidden/>
              </w:rPr>
              <w:t>245</w:t>
            </w:r>
            <w:r w:rsidR="00387802">
              <w:rPr>
                <w:noProof/>
                <w:webHidden/>
              </w:rPr>
              <w:fldChar w:fldCharType="end"/>
            </w:r>
          </w:hyperlink>
        </w:p>
        <w:p w14:paraId="50855C97" w14:textId="5FFD2CCD" w:rsidR="00387802" w:rsidRDefault="00872E47">
          <w:pPr>
            <w:pStyle w:val="TOC2"/>
            <w:tabs>
              <w:tab w:val="left" w:pos="880"/>
              <w:tab w:val="right" w:leader="dot" w:pos="9350"/>
            </w:tabs>
            <w:rPr>
              <w:rFonts w:asciiTheme="minorHAnsi" w:hAnsiTheme="minorHAnsi"/>
              <w:noProof/>
            </w:rPr>
          </w:pPr>
          <w:hyperlink w:anchor="_Toc431288910" w:history="1">
            <w:r w:rsidR="00387802" w:rsidRPr="00365A20">
              <w:rPr>
                <w:rStyle w:val="Hyperlink"/>
                <w:noProof/>
              </w:rPr>
              <w:t>8.12</w:t>
            </w:r>
            <w:r w:rsidR="00387802">
              <w:rPr>
                <w:rFonts w:asciiTheme="minorHAnsi" w:hAnsiTheme="minorHAnsi"/>
                <w:noProof/>
              </w:rPr>
              <w:tab/>
            </w:r>
            <w:r w:rsidR="00387802" w:rsidRPr="00365A20">
              <w:rPr>
                <w:rStyle w:val="Hyperlink"/>
                <w:noProof/>
              </w:rPr>
              <w:t>Naming Conventions</w:t>
            </w:r>
            <w:r w:rsidR="00387802">
              <w:rPr>
                <w:noProof/>
                <w:webHidden/>
              </w:rPr>
              <w:tab/>
            </w:r>
            <w:r w:rsidR="00387802">
              <w:rPr>
                <w:noProof/>
                <w:webHidden/>
              </w:rPr>
              <w:fldChar w:fldCharType="begin"/>
            </w:r>
            <w:r w:rsidR="00387802">
              <w:rPr>
                <w:noProof/>
                <w:webHidden/>
              </w:rPr>
              <w:instrText xml:space="preserve"> PAGEREF _Toc431288910 \h </w:instrText>
            </w:r>
            <w:r w:rsidR="00387802">
              <w:rPr>
                <w:noProof/>
                <w:webHidden/>
              </w:rPr>
            </w:r>
            <w:r w:rsidR="00387802">
              <w:rPr>
                <w:noProof/>
                <w:webHidden/>
              </w:rPr>
              <w:fldChar w:fldCharType="separate"/>
            </w:r>
            <w:r w:rsidR="00387802">
              <w:rPr>
                <w:noProof/>
                <w:webHidden/>
              </w:rPr>
              <w:t>247</w:t>
            </w:r>
            <w:r w:rsidR="00387802">
              <w:rPr>
                <w:noProof/>
                <w:webHidden/>
              </w:rPr>
              <w:fldChar w:fldCharType="end"/>
            </w:r>
          </w:hyperlink>
        </w:p>
        <w:p w14:paraId="273DF109" w14:textId="47A3EC38" w:rsidR="00387802" w:rsidRDefault="00872E47">
          <w:pPr>
            <w:pStyle w:val="TOC1"/>
            <w:rPr>
              <w:rFonts w:asciiTheme="minorHAnsi" w:hAnsiTheme="minorHAnsi"/>
              <w:sz w:val="22"/>
            </w:rPr>
          </w:pPr>
          <w:hyperlink w:anchor="_Toc431288911" w:history="1">
            <w:r w:rsidR="00387802" w:rsidRPr="00365A20">
              <w:rPr>
                <w:rStyle w:val="Hyperlink"/>
              </w:rPr>
              <w:t>9</w:t>
            </w:r>
            <w:r w:rsidR="00387802">
              <w:rPr>
                <w:rFonts w:asciiTheme="minorHAnsi" w:hAnsiTheme="minorHAnsi"/>
                <w:sz w:val="22"/>
              </w:rPr>
              <w:tab/>
            </w:r>
            <w:r w:rsidR="00387802" w:rsidRPr="00365A20">
              <w:rPr>
                <w:rStyle w:val="Hyperlink"/>
              </w:rPr>
              <w:t>Microsoft Azure Identity</w:t>
            </w:r>
            <w:r w:rsidR="00387802">
              <w:rPr>
                <w:webHidden/>
              </w:rPr>
              <w:tab/>
            </w:r>
            <w:r w:rsidR="00387802">
              <w:rPr>
                <w:webHidden/>
              </w:rPr>
              <w:fldChar w:fldCharType="begin"/>
            </w:r>
            <w:r w:rsidR="00387802">
              <w:rPr>
                <w:webHidden/>
              </w:rPr>
              <w:instrText xml:space="preserve"> PAGEREF _Toc431288911 \h </w:instrText>
            </w:r>
            <w:r w:rsidR="00387802">
              <w:rPr>
                <w:webHidden/>
              </w:rPr>
            </w:r>
            <w:r w:rsidR="00387802">
              <w:rPr>
                <w:webHidden/>
              </w:rPr>
              <w:fldChar w:fldCharType="separate"/>
            </w:r>
            <w:r w:rsidR="00387802">
              <w:rPr>
                <w:webHidden/>
              </w:rPr>
              <w:t>249</w:t>
            </w:r>
            <w:r w:rsidR="00387802">
              <w:rPr>
                <w:webHidden/>
              </w:rPr>
              <w:fldChar w:fldCharType="end"/>
            </w:r>
          </w:hyperlink>
        </w:p>
        <w:p w14:paraId="0E54BA7E" w14:textId="75845F73" w:rsidR="00387802" w:rsidRDefault="00872E47">
          <w:pPr>
            <w:pStyle w:val="TOC2"/>
            <w:tabs>
              <w:tab w:val="left" w:pos="880"/>
              <w:tab w:val="right" w:leader="dot" w:pos="9350"/>
            </w:tabs>
            <w:rPr>
              <w:rFonts w:asciiTheme="minorHAnsi" w:hAnsiTheme="minorHAnsi"/>
              <w:noProof/>
            </w:rPr>
          </w:pPr>
          <w:hyperlink w:anchor="_Toc431288912" w:history="1">
            <w:r w:rsidR="00387802" w:rsidRPr="00365A20">
              <w:rPr>
                <w:rStyle w:val="Hyperlink"/>
                <w:noProof/>
              </w:rPr>
              <w:t>9.1</w:t>
            </w:r>
            <w:r w:rsidR="00387802">
              <w:rPr>
                <w:rFonts w:asciiTheme="minorHAnsi" w:hAnsiTheme="minorHAnsi"/>
                <w:noProof/>
              </w:rPr>
              <w:tab/>
            </w:r>
            <w:r w:rsidR="00387802" w:rsidRPr="00365A20">
              <w:rPr>
                <w:rStyle w:val="Hyperlink"/>
                <w:noProof/>
              </w:rPr>
              <w:t>Azure Active Directory</w:t>
            </w:r>
            <w:r w:rsidR="00387802">
              <w:rPr>
                <w:noProof/>
                <w:webHidden/>
              </w:rPr>
              <w:tab/>
            </w:r>
            <w:r w:rsidR="00387802">
              <w:rPr>
                <w:noProof/>
                <w:webHidden/>
              </w:rPr>
              <w:fldChar w:fldCharType="begin"/>
            </w:r>
            <w:r w:rsidR="00387802">
              <w:rPr>
                <w:noProof/>
                <w:webHidden/>
              </w:rPr>
              <w:instrText xml:space="preserve"> PAGEREF _Toc431288912 \h </w:instrText>
            </w:r>
            <w:r w:rsidR="00387802">
              <w:rPr>
                <w:noProof/>
                <w:webHidden/>
              </w:rPr>
            </w:r>
            <w:r w:rsidR="00387802">
              <w:rPr>
                <w:noProof/>
                <w:webHidden/>
              </w:rPr>
              <w:fldChar w:fldCharType="separate"/>
            </w:r>
            <w:r w:rsidR="00387802">
              <w:rPr>
                <w:noProof/>
                <w:webHidden/>
              </w:rPr>
              <w:t>250</w:t>
            </w:r>
            <w:r w:rsidR="00387802">
              <w:rPr>
                <w:noProof/>
                <w:webHidden/>
              </w:rPr>
              <w:fldChar w:fldCharType="end"/>
            </w:r>
          </w:hyperlink>
        </w:p>
        <w:p w14:paraId="63832D8B" w14:textId="304332FB" w:rsidR="00387802" w:rsidRDefault="00872E47">
          <w:pPr>
            <w:pStyle w:val="TOC3"/>
            <w:tabs>
              <w:tab w:val="left" w:pos="1320"/>
            </w:tabs>
            <w:rPr>
              <w:rFonts w:asciiTheme="minorHAnsi" w:eastAsiaTheme="minorEastAsia" w:hAnsiTheme="minorHAnsi"/>
              <w:noProof/>
              <w:spacing w:val="0"/>
              <w:sz w:val="22"/>
              <w:szCs w:val="22"/>
            </w:rPr>
          </w:pPr>
          <w:hyperlink w:anchor="_Toc431288913" w:history="1">
            <w:r w:rsidR="00387802" w:rsidRPr="00365A20">
              <w:rPr>
                <w:rStyle w:val="Hyperlink"/>
                <w:noProof/>
                <w14:scene3d>
                  <w14:camera w14:prst="orthographicFront"/>
                  <w14:lightRig w14:rig="threePt" w14:dir="t">
                    <w14:rot w14:lat="0" w14:lon="0" w14:rev="0"/>
                  </w14:lightRig>
                </w14:scene3d>
              </w:rPr>
              <w:t>9.1.1</w:t>
            </w:r>
            <w:r w:rsidR="00387802">
              <w:rPr>
                <w:rFonts w:asciiTheme="minorHAnsi" w:eastAsiaTheme="minorEastAsia" w:hAnsiTheme="minorHAnsi"/>
                <w:noProof/>
                <w:spacing w:val="0"/>
                <w:sz w:val="22"/>
                <w:szCs w:val="22"/>
              </w:rPr>
              <w:tab/>
            </w:r>
            <w:r w:rsidR="00387802" w:rsidRPr="00365A20">
              <w:rPr>
                <w:rStyle w:val="Hyperlink"/>
                <w:noProof/>
              </w:rPr>
              <w:t>Tenant Directory Planning</w:t>
            </w:r>
            <w:r w:rsidR="00387802">
              <w:rPr>
                <w:noProof/>
                <w:webHidden/>
              </w:rPr>
              <w:tab/>
            </w:r>
            <w:r w:rsidR="00387802">
              <w:rPr>
                <w:noProof/>
                <w:webHidden/>
              </w:rPr>
              <w:fldChar w:fldCharType="begin"/>
            </w:r>
            <w:r w:rsidR="00387802">
              <w:rPr>
                <w:noProof/>
                <w:webHidden/>
              </w:rPr>
              <w:instrText xml:space="preserve"> PAGEREF _Toc431288913 \h </w:instrText>
            </w:r>
            <w:r w:rsidR="00387802">
              <w:rPr>
                <w:noProof/>
                <w:webHidden/>
              </w:rPr>
            </w:r>
            <w:r w:rsidR="00387802">
              <w:rPr>
                <w:noProof/>
                <w:webHidden/>
              </w:rPr>
              <w:fldChar w:fldCharType="separate"/>
            </w:r>
            <w:r w:rsidR="00387802">
              <w:rPr>
                <w:noProof/>
                <w:webHidden/>
              </w:rPr>
              <w:t>252</w:t>
            </w:r>
            <w:r w:rsidR="00387802">
              <w:rPr>
                <w:noProof/>
                <w:webHidden/>
              </w:rPr>
              <w:fldChar w:fldCharType="end"/>
            </w:r>
          </w:hyperlink>
        </w:p>
        <w:p w14:paraId="3A77090F" w14:textId="32960040" w:rsidR="00387802" w:rsidRDefault="00872E47">
          <w:pPr>
            <w:pStyle w:val="TOC3"/>
            <w:tabs>
              <w:tab w:val="left" w:pos="1320"/>
            </w:tabs>
            <w:rPr>
              <w:rFonts w:asciiTheme="minorHAnsi" w:eastAsiaTheme="minorEastAsia" w:hAnsiTheme="minorHAnsi"/>
              <w:noProof/>
              <w:spacing w:val="0"/>
              <w:sz w:val="22"/>
              <w:szCs w:val="22"/>
            </w:rPr>
          </w:pPr>
          <w:hyperlink w:anchor="_Toc431288914" w:history="1">
            <w:r w:rsidR="00387802" w:rsidRPr="00365A20">
              <w:rPr>
                <w:rStyle w:val="Hyperlink"/>
                <w:noProof/>
                <w14:scene3d>
                  <w14:camera w14:prst="orthographicFront"/>
                  <w14:lightRig w14:rig="threePt" w14:dir="t">
                    <w14:rot w14:lat="0" w14:lon="0" w14:rev="0"/>
                  </w14:lightRig>
                </w14:scene3d>
              </w:rPr>
              <w:t>9.1.2</w:t>
            </w:r>
            <w:r w:rsidR="00387802">
              <w:rPr>
                <w:rFonts w:asciiTheme="minorHAnsi" w:eastAsiaTheme="minorEastAsia" w:hAnsiTheme="minorHAnsi"/>
                <w:noProof/>
                <w:spacing w:val="0"/>
                <w:sz w:val="22"/>
                <w:szCs w:val="22"/>
              </w:rPr>
              <w:tab/>
            </w:r>
            <w:r w:rsidR="00387802" w:rsidRPr="00365A20">
              <w:rPr>
                <w:rStyle w:val="Hyperlink"/>
                <w:noProof/>
              </w:rPr>
              <w:t>Integrating On-Premises Active Directory (Identity Bridge)</w:t>
            </w:r>
            <w:r w:rsidR="00387802">
              <w:rPr>
                <w:noProof/>
                <w:webHidden/>
              </w:rPr>
              <w:tab/>
            </w:r>
            <w:r w:rsidR="00387802">
              <w:rPr>
                <w:noProof/>
                <w:webHidden/>
              </w:rPr>
              <w:fldChar w:fldCharType="begin"/>
            </w:r>
            <w:r w:rsidR="00387802">
              <w:rPr>
                <w:noProof/>
                <w:webHidden/>
              </w:rPr>
              <w:instrText xml:space="preserve"> PAGEREF _Toc431288914 \h </w:instrText>
            </w:r>
            <w:r w:rsidR="00387802">
              <w:rPr>
                <w:noProof/>
                <w:webHidden/>
              </w:rPr>
            </w:r>
            <w:r w:rsidR="00387802">
              <w:rPr>
                <w:noProof/>
                <w:webHidden/>
              </w:rPr>
              <w:fldChar w:fldCharType="separate"/>
            </w:r>
            <w:r w:rsidR="00387802">
              <w:rPr>
                <w:noProof/>
                <w:webHidden/>
              </w:rPr>
              <w:t>255</w:t>
            </w:r>
            <w:r w:rsidR="00387802">
              <w:rPr>
                <w:noProof/>
                <w:webHidden/>
              </w:rPr>
              <w:fldChar w:fldCharType="end"/>
            </w:r>
          </w:hyperlink>
        </w:p>
        <w:p w14:paraId="03A35CF2" w14:textId="7CFFEF31" w:rsidR="00387802" w:rsidRDefault="00872E47">
          <w:pPr>
            <w:pStyle w:val="TOC3"/>
            <w:tabs>
              <w:tab w:val="left" w:pos="1320"/>
            </w:tabs>
            <w:rPr>
              <w:rFonts w:asciiTheme="minorHAnsi" w:eastAsiaTheme="minorEastAsia" w:hAnsiTheme="minorHAnsi"/>
              <w:noProof/>
              <w:spacing w:val="0"/>
              <w:sz w:val="22"/>
              <w:szCs w:val="22"/>
            </w:rPr>
          </w:pPr>
          <w:hyperlink w:anchor="_Toc431288915" w:history="1">
            <w:r w:rsidR="00387802" w:rsidRPr="00365A20">
              <w:rPr>
                <w:rStyle w:val="Hyperlink"/>
                <w:noProof/>
                <w14:scene3d>
                  <w14:camera w14:prst="orthographicFront"/>
                  <w14:lightRig w14:rig="threePt" w14:dir="t">
                    <w14:rot w14:lat="0" w14:lon="0" w14:rev="0"/>
                  </w14:lightRig>
                </w14:scene3d>
              </w:rPr>
              <w:t>9.1.3</w:t>
            </w:r>
            <w:r w:rsidR="00387802">
              <w:rPr>
                <w:rFonts w:asciiTheme="minorHAnsi" w:eastAsiaTheme="minorEastAsia" w:hAnsiTheme="minorHAnsi"/>
                <w:noProof/>
                <w:spacing w:val="0"/>
                <w:sz w:val="22"/>
                <w:szCs w:val="22"/>
              </w:rPr>
              <w:tab/>
            </w:r>
            <w:r w:rsidR="00387802" w:rsidRPr="00365A20">
              <w:rPr>
                <w:rStyle w:val="Hyperlink"/>
                <w:noProof/>
              </w:rPr>
              <w:t>Azure Multi-Factor Authentication</w:t>
            </w:r>
            <w:r w:rsidR="00387802">
              <w:rPr>
                <w:noProof/>
                <w:webHidden/>
              </w:rPr>
              <w:tab/>
            </w:r>
            <w:r w:rsidR="00387802">
              <w:rPr>
                <w:noProof/>
                <w:webHidden/>
              </w:rPr>
              <w:fldChar w:fldCharType="begin"/>
            </w:r>
            <w:r w:rsidR="00387802">
              <w:rPr>
                <w:noProof/>
                <w:webHidden/>
              </w:rPr>
              <w:instrText xml:space="preserve"> PAGEREF _Toc431288915 \h </w:instrText>
            </w:r>
            <w:r w:rsidR="00387802">
              <w:rPr>
                <w:noProof/>
                <w:webHidden/>
              </w:rPr>
            </w:r>
            <w:r w:rsidR="00387802">
              <w:rPr>
                <w:noProof/>
                <w:webHidden/>
              </w:rPr>
              <w:fldChar w:fldCharType="separate"/>
            </w:r>
            <w:r w:rsidR="00387802">
              <w:rPr>
                <w:noProof/>
                <w:webHidden/>
              </w:rPr>
              <w:t>276</w:t>
            </w:r>
            <w:r w:rsidR="00387802">
              <w:rPr>
                <w:noProof/>
                <w:webHidden/>
              </w:rPr>
              <w:fldChar w:fldCharType="end"/>
            </w:r>
          </w:hyperlink>
        </w:p>
        <w:p w14:paraId="2D3150E2" w14:textId="6244C8A0" w:rsidR="00387802" w:rsidRDefault="00872E47">
          <w:pPr>
            <w:pStyle w:val="TOC3"/>
            <w:tabs>
              <w:tab w:val="left" w:pos="1320"/>
            </w:tabs>
            <w:rPr>
              <w:rFonts w:asciiTheme="minorHAnsi" w:eastAsiaTheme="minorEastAsia" w:hAnsiTheme="minorHAnsi"/>
              <w:noProof/>
              <w:spacing w:val="0"/>
              <w:sz w:val="22"/>
              <w:szCs w:val="22"/>
            </w:rPr>
          </w:pPr>
          <w:hyperlink w:anchor="_Toc431288916" w:history="1">
            <w:r w:rsidR="00387802" w:rsidRPr="00365A20">
              <w:rPr>
                <w:rStyle w:val="Hyperlink"/>
                <w:noProof/>
                <w14:scene3d>
                  <w14:camera w14:prst="orthographicFront"/>
                  <w14:lightRig w14:rig="threePt" w14:dir="t">
                    <w14:rot w14:lat="0" w14:lon="0" w14:rev="0"/>
                  </w14:lightRig>
                </w14:scene3d>
              </w:rPr>
              <w:t>9.1.4</w:t>
            </w:r>
            <w:r w:rsidR="00387802">
              <w:rPr>
                <w:rFonts w:asciiTheme="minorHAnsi" w:eastAsiaTheme="minorEastAsia" w:hAnsiTheme="minorHAnsi"/>
                <w:noProof/>
                <w:spacing w:val="0"/>
                <w:sz w:val="22"/>
                <w:szCs w:val="22"/>
              </w:rPr>
              <w:tab/>
            </w:r>
            <w:r w:rsidR="00387802" w:rsidRPr="00365A20">
              <w:rPr>
                <w:rStyle w:val="Hyperlink"/>
                <w:noProof/>
              </w:rPr>
              <w:t>Reporting</w:t>
            </w:r>
            <w:r w:rsidR="00387802">
              <w:rPr>
                <w:noProof/>
                <w:webHidden/>
              </w:rPr>
              <w:tab/>
            </w:r>
            <w:r w:rsidR="00387802">
              <w:rPr>
                <w:noProof/>
                <w:webHidden/>
              </w:rPr>
              <w:fldChar w:fldCharType="begin"/>
            </w:r>
            <w:r w:rsidR="00387802">
              <w:rPr>
                <w:noProof/>
                <w:webHidden/>
              </w:rPr>
              <w:instrText xml:space="preserve"> PAGEREF _Toc431288916 \h </w:instrText>
            </w:r>
            <w:r w:rsidR="00387802">
              <w:rPr>
                <w:noProof/>
                <w:webHidden/>
              </w:rPr>
            </w:r>
            <w:r w:rsidR="00387802">
              <w:rPr>
                <w:noProof/>
                <w:webHidden/>
              </w:rPr>
              <w:fldChar w:fldCharType="separate"/>
            </w:r>
            <w:r w:rsidR="00387802">
              <w:rPr>
                <w:noProof/>
                <w:webHidden/>
              </w:rPr>
              <w:t>278</w:t>
            </w:r>
            <w:r w:rsidR="00387802">
              <w:rPr>
                <w:noProof/>
                <w:webHidden/>
              </w:rPr>
              <w:fldChar w:fldCharType="end"/>
            </w:r>
          </w:hyperlink>
        </w:p>
        <w:p w14:paraId="57F8C4F1" w14:textId="00369F8E" w:rsidR="00387802" w:rsidRDefault="00872E47">
          <w:pPr>
            <w:pStyle w:val="TOC3"/>
            <w:tabs>
              <w:tab w:val="left" w:pos="1320"/>
            </w:tabs>
            <w:rPr>
              <w:rFonts w:asciiTheme="minorHAnsi" w:eastAsiaTheme="minorEastAsia" w:hAnsiTheme="minorHAnsi"/>
              <w:noProof/>
              <w:spacing w:val="0"/>
              <w:sz w:val="22"/>
              <w:szCs w:val="22"/>
            </w:rPr>
          </w:pPr>
          <w:hyperlink w:anchor="_Toc431288917" w:history="1">
            <w:r w:rsidR="00387802" w:rsidRPr="00365A20">
              <w:rPr>
                <w:rStyle w:val="Hyperlink"/>
                <w:noProof/>
                <w14:scene3d>
                  <w14:camera w14:prst="orthographicFront"/>
                  <w14:lightRig w14:rig="threePt" w14:dir="t">
                    <w14:rot w14:lat="0" w14:lon="0" w14:rev="0"/>
                  </w14:lightRig>
                </w14:scene3d>
              </w:rPr>
              <w:t>9.1.5</w:t>
            </w:r>
            <w:r w:rsidR="00387802">
              <w:rPr>
                <w:rFonts w:asciiTheme="minorHAnsi" w:eastAsiaTheme="minorEastAsia" w:hAnsiTheme="minorHAnsi"/>
                <w:noProof/>
                <w:spacing w:val="0"/>
                <w:sz w:val="22"/>
                <w:szCs w:val="22"/>
              </w:rPr>
              <w:tab/>
            </w:r>
            <w:r w:rsidR="00387802" w:rsidRPr="00365A20">
              <w:rPr>
                <w:rStyle w:val="Hyperlink"/>
                <w:noProof/>
              </w:rPr>
              <w:t>Monitoring</w:t>
            </w:r>
            <w:r w:rsidR="00387802">
              <w:rPr>
                <w:noProof/>
                <w:webHidden/>
              </w:rPr>
              <w:tab/>
            </w:r>
            <w:r w:rsidR="00387802">
              <w:rPr>
                <w:noProof/>
                <w:webHidden/>
              </w:rPr>
              <w:fldChar w:fldCharType="begin"/>
            </w:r>
            <w:r w:rsidR="00387802">
              <w:rPr>
                <w:noProof/>
                <w:webHidden/>
              </w:rPr>
              <w:instrText xml:space="preserve"> PAGEREF _Toc431288917 \h </w:instrText>
            </w:r>
            <w:r w:rsidR="00387802">
              <w:rPr>
                <w:noProof/>
                <w:webHidden/>
              </w:rPr>
            </w:r>
            <w:r w:rsidR="00387802">
              <w:rPr>
                <w:noProof/>
                <w:webHidden/>
              </w:rPr>
              <w:fldChar w:fldCharType="separate"/>
            </w:r>
            <w:r w:rsidR="00387802">
              <w:rPr>
                <w:noProof/>
                <w:webHidden/>
              </w:rPr>
              <w:t>279</w:t>
            </w:r>
            <w:r w:rsidR="00387802">
              <w:rPr>
                <w:noProof/>
                <w:webHidden/>
              </w:rPr>
              <w:fldChar w:fldCharType="end"/>
            </w:r>
          </w:hyperlink>
        </w:p>
        <w:p w14:paraId="7DA83F64" w14:textId="5FA4A50B" w:rsidR="00387802" w:rsidRDefault="00872E47">
          <w:pPr>
            <w:pStyle w:val="TOC3"/>
            <w:tabs>
              <w:tab w:val="left" w:pos="1320"/>
            </w:tabs>
            <w:rPr>
              <w:rFonts w:asciiTheme="minorHAnsi" w:eastAsiaTheme="minorEastAsia" w:hAnsiTheme="minorHAnsi"/>
              <w:noProof/>
              <w:spacing w:val="0"/>
              <w:sz w:val="22"/>
              <w:szCs w:val="22"/>
            </w:rPr>
          </w:pPr>
          <w:hyperlink w:anchor="_Toc431288918" w:history="1">
            <w:r w:rsidR="00387802" w:rsidRPr="00365A20">
              <w:rPr>
                <w:rStyle w:val="Hyperlink"/>
                <w:noProof/>
                <w14:scene3d>
                  <w14:camera w14:prst="orthographicFront"/>
                  <w14:lightRig w14:rig="threePt" w14:dir="t">
                    <w14:rot w14:lat="0" w14:lon="0" w14:rev="0"/>
                  </w14:lightRig>
                </w14:scene3d>
              </w:rPr>
              <w:t>9.1.6</w:t>
            </w:r>
            <w:r w:rsidR="00387802">
              <w:rPr>
                <w:rFonts w:asciiTheme="minorHAnsi" w:eastAsiaTheme="minorEastAsia" w:hAnsiTheme="minorHAnsi"/>
                <w:noProof/>
                <w:spacing w:val="0"/>
                <w:sz w:val="22"/>
                <w:szCs w:val="22"/>
              </w:rPr>
              <w:tab/>
            </w:r>
            <w:r w:rsidR="00387802" w:rsidRPr="00365A20">
              <w:rPr>
                <w:rStyle w:val="Hyperlink"/>
                <w:noProof/>
              </w:rPr>
              <w:t>Directory Management</w:t>
            </w:r>
            <w:r w:rsidR="00387802">
              <w:rPr>
                <w:noProof/>
                <w:webHidden/>
              </w:rPr>
              <w:tab/>
            </w:r>
            <w:r w:rsidR="00387802">
              <w:rPr>
                <w:noProof/>
                <w:webHidden/>
              </w:rPr>
              <w:fldChar w:fldCharType="begin"/>
            </w:r>
            <w:r w:rsidR="00387802">
              <w:rPr>
                <w:noProof/>
                <w:webHidden/>
              </w:rPr>
              <w:instrText xml:space="preserve"> PAGEREF _Toc431288918 \h </w:instrText>
            </w:r>
            <w:r w:rsidR="00387802">
              <w:rPr>
                <w:noProof/>
                <w:webHidden/>
              </w:rPr>
            </w:r>
            <w:r w:rsidR="00387802">
              <w:rPr>
                <w:noProof/>
                <w:webHidden/>
              </w:rPr>
              <w:fldChar w:fldCharType="separate"/>
            </w:r>
            <w:r w:rsidR="00387802">
              <w:rPr>
                <w:noProof/>
                <w:webHidden/>
              </w:rPr>
              <w:t>280</w:t>
            </w:r>
            <w:r w:rsidR="00387802">
              <w:rPr>
                <w:noProof/>
                <w:webHidden/>
              </w:rPr>
              <w:fldChar w:fldCharType="end"/>
            </w:r>
          </w:hyperlink>
        </w:p>
        <w:p w14:paraId="3A94EA78" w14:textId="4F78730B" w:rsidR="00387802" w:rsidRDefault="00872E47">
          <w:pPr>
            <w:pStyle w:val="TOC3"/>
            <w:tabs>
              <w:tab w:val="left" w:pos="1320"/>
            </w:tabs>
            <w:rPr>
              <w:rFonts w:asciiTheme="minorHAnsi" w:eastAsiaTheme="minorEastAsia" w:hAnsiTheme="minorHAnsi"/>
              <w:noProof/>
              <w:spacing w:val="0"/>
              <w:sz w:val="22"/>
              <w:szCs w:val="22"/>
            </w:rPr>
          </w:pPr>
          <w:hyperlink w:anchor="_Toc431288919" w:history="1">
            <w:r w:rsidR="00387802" w:rsidRPr="00365A20">
              <w:rPr>
                <w:rStyle w:val="Hyperlink"/>
                <w:noProof/>
                <w14:scene3d>
                  <w14:camera w14:prst="orthographicFront"/>
                  <w14:lightRig w14:rig="threePt" w14:dir="t">
                    <w14:rot w14:lat="0" w14:lon="0" w14:rev="0"/>
                  </w14:lightRig>
                </w14:scene3d>
              </w:rPr>
              <w:t>9.1.7</w:t>
            </w:r>
            <w:r w:rsidR="00387802">
              <w:rPr>
                <w:rFonts w:asciiTheme="minorHAnsi" w:eastAsiaTheme="minorEastAsia" w:hAnsiTheme="minorHAnsi"/>
                <w:noProof/>
                <w:spacing w:val="0"/>
                <w:sz w:val="22"/>
                <w:szCs w:val="22"/>
              </w:rPr>
              <w:tab/>
            </w:r>
            <w:r w:rsidR="00387802" w:rsidRPr="00365A20">
              <w:rPr>
                <w:rStyle w:val="Hyperlink"/>
                <w:noProof/>
              </w:rPr>
              <w:t>Identity Management-as-a-Service Capabilities</w:t>
            </w:r>
            <w:r w:rsidR="00387802">
              <w:rPr>
                <w:noProof/>
                <w:webHidden/>
              </w:rPr>
              <w:tab/>
            </w:r>
            <w:r w:rsidR="00387802">
              <w:rPr>
                <w:noProof/>
                <w:webHidden/>
              </w:rPr>
              <w:fldChar w:fldCharType="begin"/>
            </w:r>
            <w:r w:rsidR="00387802">
              <w:rPr>
                <w:noProof/>
                <w:webHidden/>
              </w:rPr>
              <w:instrText xml:space="preserve"> PAGEREF _Toc431288919 \h </w:instrText>
            </w:r>
            <w:r w:rsidR="00387802">
              <w:rPr>
                <w:noProof/>
                <w:webHidden/>
              </w:rPr>
            </w:r>
            <w:r w:rsidR="00387802">
              <w:rPr>
                <w:noProof/>
                <w:webHidden/>
              </w:rPr>
              <w:fldChar w:fldCharType="separate"/>
            </w:r>
            <w:r w:rsidR="00387802">
              <w:rPr>
                <w:noProof/>
                <w:webHidden/>
              </w:rPr>
              <w:t>281</w:t>
            </w:r>
            <w:r w:rsidR="00387802">
              <w:rPr>
                <w:noProof/>
                <w:webHidden/>
              </w:rPr>
              <w:fldChar w:fldCharType="end"/>
            </w:r>
          </w:hyperlink>
        </w:p>
        <w:p w14:paraId="7DF3E345" w14:textId="70BAFD56" w:rsidR="00387802" w:rsidRDefault="00872E47">
          <w:pPr>
            <w:pStyle w:val="TOC3"/>
            <w:tabs>
              <w:tab w:val="left" w:pos="1320"/>
            </w:tabs>
            <w:rPr>
              <w:rFonts w:asciiTheme="minorHAnsi" w:eastAsiaTheme="minorEastAsia" w:hAnsiTheme="minorHAnsi"/>
              <w:noProof/>
              <w:spacing w:val="0"/>
              <w:sz w:val="22"/>
              <w:szCs w:val="22"/>
            </w:rPr>
          </w:pPr>
          <w:hyperlink w:anchor="_Toc431288920" w:history="1">
            <w:r w:rsidR="00387802" w:rsidRPr="00365A20">
              <w:rPr>
                <w:rStyle w:val="Hyperlink"/>
                <w:noProof/>
                <w14:scene3d>
                  <w14:camera w14:prst="orthographicFront"/>
                  <w14:lightRig w14:rig="threePt" w14:dir="t">
                    <w14:rot w14:lat="0" w14:lon="0" w14:rev="0"/>
                  </w14:lightRig>
                </w14:scene3d>
              </w:rPr>
              <w:t>9.1.8</w:t>
            </w:r>
            <w:r w:rsidR="00387802">
              <w:rPr>
                <w:rFonts w:asciiTheme="minorHAnsi" w:eastAsiaTheme="minorEastAsia" w:hAnsiTheme="minorHAnsi"/>
                <w:noProof/>
                <w:spacing w:val="0"/>
                <w:sz w:val="22"/>
                <w:szCs w:val="22"/>
              </w:rPr>
              <w:tab/>
            </w:r>
            <w:r w:rsidR="00387802" w:rsidRPr="00365A20">
              <w:rPr>
                <w:rStyle w:val="Hyperlink"/>
                <w:noProof/>
              </w:rPr>
              <w:t>Branding and Customization</w:t>
            </w:r>
            <w:r w:rsidR="00387802">
              <w:rPr>
                <w:noProof/>
                <w:webHidden/>
              </w:rPr>
              <w:tab/>
            </w:r>
            <w:r w:rsidR="00387802">
              <w:rPr>
                <w:noProof/>
                <w:webHidden/>
              </w:rPr>
              <w:fldChar w:fldCharType="begin"/>
            </w:r>
            <w:r w:rsidR="00387802">
              <w:rPr>
                <w:noProof/>
                <w:webHidden/>
              </w:rPr>
              <w:instrText xml:space="preserve"> PAGEREF _Toc431288920 \h </w:instrText>
            </w:r>
            <w:r w:rsidR="00387802">
              <w:rPr>
                <w:noProof/>
                <w:webHidden/>
              </w:rPr>
            </w:r>
            <w:r w:rsidR="00387802">
              <w:rPr>
                <w:noProof/>
                <w:webHidden/>
              </w:rPr>
              <w:fldChar w:fldCharType="separate"/>
            </w:r>
            <w:r w:rsidR="00387802">
              <w:rPr>
                <w:noProof/>
                <w:webHidden/>
              </w:rPr>
              <w:t>287</w:t>
            </w:r>
            <w:r w:rsidR="00387802">
              <w:rPr>
                <w:noProof/>
                <w:webHidden/>
              </w:rPr>
              <w:fldChar w:fldCharType="end"/>
            </w:r>
          </w:hyperlink>
        </w:p>
        <w:p w14:paraId="1062BA91" w14:textId="7F93CA04" w:rsidR="00387802" w:rsidRDefault="00872E47">
          <w:pPr>
            <w:pStyle w:val="TOC2"/>
            <w:tabs>
              <w:tab w:val="left" w:pos="880"/>
              <w:tab w:val="right" w:leader="dot" w:pos="9350"/>
            </w:tabs>
            <w:rPr>
              <w:rFonts w:asciiTheme="minorHAnsi" w:hAnsiTheme="minorHAnsi"/>
              <w:noProof/>
            </w:rPr>
          </w:pPr>
          <w:hyperlink w:anchor="_Toc431288921" w:history="1">
            <w:r w:rsidR="00387802" w:rsidRPr="00365A20">
              <w:rPr>
                <w:rStyle w:val="Hyperlink"/>
                <w:noProof/>
              </w:rPr>
              <w:t>9.2</w:t>
            </w:r>
            <w:r w:rsidR="00387802">
              <w:rPr>
                <w:rFonts w:asciiTheme="minorHAnsi" w:hAnsiTheme="minorHAnsi"/>
                <w:noProof/>
              </w:rPr>
              <w:tab/>
            </w:r>
            <w:r w:rsidR="00387802" w:rsidRPr="00365A20">
              <w:rPr>
                <w:rStyle w:val="Hyperlink"/>
                <w:noProof/>
              </w:rPr>
              <w:t>Extending On-Premises Active Directory to Microsoft Azure</w:t>
            </w:r>
            <w:r w:rsidR="00387802">
              <w:rPr>
                <w:noProof/>
                <w:webHidden/>
              </w:rPr>
              <w:tab/>
            </w:r>
            <w:r w:rsidR="00387802">
              <w:rPr>
                <w:noProof/>
                <w:webHidden/>
              </w:rPr>
              <w:fldChar w:fldCharType="begin"/>
            </w:r>
            <w:r w:rsidR="00387802">
              <w:rPr>
                <w:noProof/>
                <w:webHidden/>
              </w:rPr>
              <w:instrText xml:space="preserve"> PAGEREF _Toc431288921 \h </w:instrText>
            </w:r>
            <w:r w:rsidR="00387802">
              <w:rPr>
                <w:noProof/>
                <w:webHidden/>
              </w:rPr>
            </w:r>
            <w:r w:rsidR="00387802">
              <w:rPr>
                <w:noProof/>
                <w:webHidden/>
              </w:rPr>
              <w:fldChar w:fldCharType="separate"/>
            </w:r>
            <w:r w:rsidR="00387802">
              <w:rPr>
                <w:noProof/>
                <w:webHidden/>
              </w:rPr>
              <w:t>288</w:t>
            </w:r>
            <w:r w:rsidR="00387802">
              <w:rPr>
                <w:noProof/>
                <w:webHidden/>
              </w:rPr>
              <w:fldChar w:fldCharType="end"/>
            </w:r>
          </w:hyperlink>
        </w:p>
        <w:p w14:paraId="369C00C0" w14:textId="2418ACEB" w:rsidR="00387802" w:rsidRDefault="00872E47">
          <w:pPr>
            <w:pStyle w:val="TOC3"/>
            <w:tabs>
              <w:tab w:val="left" w:pos="1320"/>
            </w:tabs>
            <w:rPr>
              <w:rFonts w:asciiTheme="minorHAnsi" w:eastAsiaTheme="minorEastAsia" w:hAnsiTheme="minorHAnsi"/>
              <w:noProof/>
              <w:spacing w:val="0"/>
              <w:sz w:val="22"/>
              <w:szCs w:val="22"/>
            </w:rPr>
          </w:pPr>
          <w:hyperlink w:anchor="_Toc431288922" w:history="1">
            <w:r w:rsidR="00387802" w:rsidRPr="00365A20">
              <w:rPr>
                <w:rStyle w:val="Hyperlink"/>
                <w:noProof/>
                <w14:scene3d>
                  <w14:camera w14:prst="orthographicFront"/>
                  <w14:lightRig w14:rig="threePt" w14:dir="t">
                    <w14:rot w14:lat="0" w14:lon="0" w14:rev="0"/>
                  </w14:lightRig>
                </w14:scene3d>
              </w:rPr>
              <w:t>9.2.1</w:t>
            </w:r>
            <w:r w:rsidR="00387802">
              <w:rPr>
                <w:rFonts w:asciiTheme="minorHAnsi" w:eastAsiaTheme="minorEastAsia" w:hAnsiTheme="minorHAnsi"/>
                <w:noProof/>
                <w:spacing w:val="0"/>
                <w:sz w:val="22"/>
                <w:szCs w:val="22"/>
              </w:rPr>
              <w:tab/>
            </w:r>
            <w:r w:rsidR="00387802" w:rsidRPr="00365A20">
              <w:rPr>
                <w:rStyle w:val="Hyperlink"/>
                <w:noProof/>
              </w:rPr>
              <w:t>Networking Considerations</w:t>
            </w:r>
            <w:r w:rsidR="00387802">
              <w:rPr>
                <w:noProof/>
                <w:webHidden/>
              </w:rPr>
              <w:tab/>
            </w:r>
            <w:r w:rsidR="00387802">
              <w:rPr>
                <w:noProof/>
                <w:webHidden/>
              </w:rPr>
              <w:fldChar w:fldCharType="begin"/>
            </w:r>
            <w:r w:rsidR="00387802">
              <w:rPr>
                <w:noProof/>
                <w:webHidden/>
              </w:rPr>
              <w:instrText xml:space="preserve"> PAGEREF _Toc431288922 \h </w:instrText>
            </w:r>
            <w:r w:rsidR="00387802">
              <w:rPr>
                <w:noProof/>
                <w:webHidden/>
              </w:rPr>
            </w:r>
            <w:r w:rsidR="00387802">
              <w:rPr>
                <w:noProof/>
                <w:webHidden/>
              </w:rPr>
              <w:fldChar w:fldCharType="separate"/>
            </w:r>
            <w:r w:rsidR="00387802">
              <w:rPr>
                <w:noProof/>
                <w:webHidden/>
              </w:rPr>
              <w:t>289</w:t>
            </w:r>
            <w:r w:rsidR="00387802">
              <w:rPr>
                <w:noProof/>
                <w:webHidden/>
              </w:rPr>
              <w:fldChar w:fldCharType="end"/>
            </w:r>
          </w:hyperlink>
        </w:p>
        <w:p w14:paraId="19D5A8CF" w14:textId="09BA34E8" w:rsidR="00387802" w:rsidRDefault="00872E47">
          <w:pPr>
            <w:pStyle w:val="TOC3"/>
            <w:tabs>
              <w:tab w:val="left" w:pos="1320"/>
            </w:tabs>
            <w:rPr>
              <w:rFonts w:asciiTheme="minorHAnsi" w:eastAsiaTheme="minorEastAsia" w:hAnsiTheme="minorHAnsi"/>
              <w:noProof/>
              <w:spacing w:val="0"/>
              <w:sz w:val="22"/>
              <w:szCs w:val="22"/>
            </w:rPr>
          </w:pPr>
          <w:hyperlink w:anchor="_Toc431288923" w:history="1">
            <w:r w:rsidR="00387802" w:rsidRPr="00365A20">
              <w:rPr>
                <w:rStyle w:val="Hyperlink"/>
                <w:noProof/>
                <w14:scene3d>
                  <w14:camera w14:prst="orthographicFront"/>
                  <w14:lightRig w14:rig="threePt" w14:dir="t">
                    <w14:rot w14:lat="0" w14:lon="0" w14:rev="0"/>
                  </w14:lightRig>
                </w14:scene3d>
              </w:rPr>
              <w:t>9.2.2</w:t>
            </w:r>
            <w:r w:rsidR="00387802">
              <w:rPr>
                <w:rFonts w:asciiTheme="minorHAnsi" w:eastAsiaTheme="minorEastAsia" w:hAnsiTheme="minorHAnsi"/>
                <w:noProof/>
                <w:spacing w:val="0"/>
                <w:sz w:val="22"/>
                <w:szCs w:val="22"/>
              </w:rPr>
              <w:tab/>
            </w:r>
            <w:r w:rsidR="00387802" w:rsidRPr="00365A20">
              <w:rPr>
                <w:rStyle w:val="Hyperlink"/>
                <w:noProof/>
              </w:rPr>
              <w:t>Storage Considerations</w:t>
            </w:r>
            <w:r w:rsidR="00387802">
              <w:rPr>
                <w:noProof/>
                <w:webHidden/>
              </w:rPr>
              <w:tab/>
            </w:r>
            <w:r w:rsidR="00387802">
              <w:rPr>
                <w:noProof/>
                <w:webHidden/>
              </w:rPr>
              <w:fldChar w:fldCharType="begin"/>
            </w:r>
            <w:r w:rsidR="00387802">
              <w:rPr>
                <w:noProof/>
                <w:webHidden/>
              </w:rPr>
              <w:instrText xml:space="preserve"> PAGEREF _Toc431288923 \h </w:instrText>
            </w:r>
            <w:r w:rsidR="00387802">
              <w:rPr>
                <w:noProof/>
                <w:webHidden/>
              </w:rPr>
            </w:r>
            <w:r w:rsidR="00387802">
              <w:rPr>
                <w:noProof/>
                <w:webHidden/>
              </w:rPr>
              <w:fldChar w:fldCharType="separate"/>
            </w:r>
            <w:r w:rsidR="00387802">
              <w:rPr>
                <w:noProof/>
                <w:webHidden/>
              </w:rPr>
              <w:t>290</w:t>
            </w:r>
            <w:r w:rsidR="00387802">
              <w:rPr>
                <w:noProof/>
                <w:webHidden/>
              </w:rPr>
              <w:fldChar w:fldCharType="end"/>
            </w:r>
          </w:hyperlink>
        </w:p>
        <w:p w14:paraId="34B9C59F" w14:textId="5C84D52E" w:rsidR="00387802" w:rsidRDefault="00872E47">
          <w:pPr>
            <w:pStyle w:val="TOC3"/>
            <w:tabs>
              <w:tab w:val="left" w:pos="1320"/>
            </w:tabs>
            <w:rPr>
              <w:rFonts w:asciiTheme="minorHAnsi" w:eastAsiaTheme="minorEastAsia" w:hAnsiTheme="minorHAnsi"/>
              <w:noProof/>
              <w:spacing w:val="0"/>
              <w:sz w:val="22"/>
              <w:szCs w:val="22"/>
            </w:rPr>
          </w:pPr>
          <w:hyperlink w:anchor="_Toc431288924" w:history="1">
            <w:r w:rsidR="00387802" w:rsidRPr="00365A20">
              <w:rPr>
                <w:rStyle w:val="Hyperlink"/>
                <w:noProof/>
                <w14:scene3d>
                  <w14:camera w14:prst="orthographicFront"/>
                  <w14:lightRig w14:rig="threePt" w14:dir="t">
                    <w14:rot w14:lat="0" w14:lon="0" w14:rev="0"/>
                  </w14:lightRig>
                </w14:scene3d>
              </w:rPr>
              <w:t>9.2.3</w:t>
            </w:r>
            <w:r w:rsidR="00387802">
              <w:rPr>
                <w:rFonts w:asciiTheme="minorHAnsi" w:eastAsiaTheme="minorEastAsia" w:hAnsiTheme="minorHAnsi"/>
                <w:noProof/>
                <w:spacing w:val="0"/>
                <w:sz w:val="22"/>
                <w:szCs w:val="22"/>
              </w:rPr>
              <w:tab/>
            </w:r>
            <w:r w:rsidR="00387802" w:rsidRPr="00365A20">
              <w:rPr>
                <w:rStyle w:val="Hyperlink"/>
                <w:noProof/>
              </w:rPr>
              <w:t>Security Considerations</w:t>
            </w:r>
            <w:r w:rsidR="00387802">
              <w:rPr>
                <w:noProof/>
                <w:webHidden/>
              </w:rPr>
              <w:tab/>
            </w:r>
            <w:r w:rsidR="00387802">
              <w:rPr>
                <w:noProof/>
                <w:webHidden/>
              </w:rPr>
              <w:fldChar w:fldCharType="begin"/>
            </w:r>
            <w:r w:rsidR="00387802">
              <w:rPr>
                <w:noProof/>
                <w:webHidden/>
              </w:rPr>
              <w:instrText xml:space="preserve"> PAGEREF _Toc431288924 \h </w:instrText>
            </w:r>
            <w:r w:rsidR="00387802">
              <w:rPr>
                <w:noProof/>
                <w:webHidden/>
              </w:rPr>
            </w:r>
            <w:r w:rsidR="00387802">
              <w:rPr>
                <w:noProof/>
                <w:webHidden/>
              </w:rPr>
              <w:fldChar w:fldCharType="separate"/>
            </w:r>
            <w:r w:rsidR="00387802">
              <w:rPr>
                <w:noProof/>
                <w:webHidden/>
              </w:rPr>
              <w:t>291</w:t>
            </w:r>
            <w:r w:rsidR="00387802">
              <w:rPr>
                <w:noProof/>
                <w:webHidden/>
              </w:rPr>
              <w:fldChar w:fldCharType="end"/>
            </w:r>
          </w:hyperlink>
        </w:p>
        <w:p w14:paraId="55DF35FC" w14:textId="2E802331" w:rsidR="00387802" w:rsidRDefault="00872E47">
          <w:pPr>
            <w:pStyle w:val="TOC3"/>
            <w:tabs>
              <w:tab w:val="left" w:pos="1320"/>
            </w:tabs>
            <w:rPr>
              <w:rFonts w:asciiTheme="minorHAnsi" w:eastAsiaTheme="minorEastAsia" w:hAnsiTheme="minorHAnsi"/>
              <w:noProof/>
              <w:spacing w:val="0"/>
              <w:sz w:val="22"/>
              <w:szCs w:val="22"/>
            </w:rPr>
          </w:pPr>
          <w:hyperlink w:anchor="_Toc431288925" w:history="1">
            <w:r w:rsidR="00387802" w:rsidRPr="00365A20">
              <w:rPr>
                <w:rStyle w:val="Hyperlink"/>
                <w:noProof/>
                <w14:scene3d>
                  <w14:camera w14:prst="orthographicFront"/>
                  <w14:lightRig w14:rig="threePt" w14:dir="t">
                    <w14:rot w14:lat="0" w14:lon="0" w14:rev="0"/>
                  </w14:lightRig>
                </w14:scene3d>
              </w:rPr>
              <w:t>9.2.4</w:t>
            </w:r>
            <w:r w:rsidR="00387802">
              <w:rPr>
                <w:rFonts w:asciiTheme="minorHAnsi" w:eastAsiaTheme="minorEastAsia" w:hAnsiTheme="minorHAnsi"/>
                <w:noProof/>
                <w:spacing w:val="0"/>
                <w:sz w:val="22"/>
                <w:szCs w:val="22"/>
              </w:rPr>
              <w:tab/>
            </w:r>
            <w:r w:rsidR="00387802" w:rsidRPr="00365A20">
              <w:rPr>
                <w:rStyle w:val="Hyperlink"/>
                <w:noProof/>
              </w:rPr>
              <w:t>Deployment Considerations</w:t>
            </w:r>
            <w:r w:rsidR="00387802">
              <w:rPr>
                <w:noProof/>
                <w:webHidden/>
              </w:rPr>
              <w:tab/>
            </w:r>
            <w:r w:rsidR="00387802">
              <w:rPr>
                <w:noProof/>
                <w:webHidden/>
              </w:rPr>
              <w:fldChar w:fldCharType="begin"/>
            </w:r>
            <w:r w:rsidR="00387802">
              <w:rPr>
                <w:noProof/>
                <w:webHidden/>
              </w:rPr>
              <w:instrText xml:space="preserve"> PAGEREF _Toc431288925 \h </w:instrText>
            </w:r>
            <w:r w:rsidR="00387802">
              <w:rPr>
                <w:noProof/>
                <w:webHidden/>
              </w:rPr>
            </w:r>
            <w:r w:rsidR="00387802">
              <w:rPr>
                <w:noProof/>
                <w:webHidden/>
              </w:rPr>
              <w:fldChar w:fldCharType="separate"/>
            </w:r>
            <w:r w:rsidR="00387802">
              <w:rPr>
                <w:noProof/>
                <w:webHidden/>
              </w:rPr>
              <w:t>296</w:t>
            </w:r>
            <w:r w:rsidR="00387802">
              <w:rPr>
                <w:noProof/>
                <w:webHidden/>
              </w:rPr>
              <w:fldChar w:fldCharType="end"/>
            </w:r>
          </w:hyperlink>
        </w:p>
        <w:p w14:paraId="6F26DA7D" w14:textId="3CEE4C89" w:rsidR="00387802" w:rsidRDefault="00872E47">
          <w:pPr>
            <w:pStyle w:val="TOC3"/>
            <w:tabs>
              <w:tab w:val="left" w:pos="1320"/>
            </w:tabs>
            <w:rPr>
              <w:rFonts w:asciiTheme="minorHAnsi" w:eastAsiaTheme="minorEastAsia" w:hAnsiTheme="minorHAnsi"/>
              <w:noProof/>
              <w:spacing w:val="0"/>
              <w:sz w:val="22"/>
              <w:szCs w:val="22"/>
            </w:rPr>
          </w:pPr>
          <w:hyperlink w:anchor="_Toc431288926" w:history="1">
            <w:r w:rsidR="00387802" w:rsidRPr="00365A20">
              <w:rPr>
                <w:rStyle w:val="Hyperlink"/>
                <w:noProof/>
                <w14:scene3d>
                  <w14:camera w14:prst="orthographicFront"/>
                  <w14:lightRig w14:rig="threePt" w14:dir="t">
                    <w14:rot w14:lat="0" w14:lon="0" w14:rev="0"/>
                  </w14:lightRig>
                </w14:scene3d>
              </w:rPr>
              <w:t>9.2.5</w:t>
            </w:r>
            <w:r w:rsidR="00387802">
              <w:rPr>
                <w:rFonts w:asciiTheme="minorHAnsi" w:eastAsiaTheme="minorEastAsia" w:hAnsiTheme="minorHAnsi"/>
                <w:noProof/>
                <w:spacing w:val="0"/>
                <w:sz w:val="22"/>
                <w:szCs w:val="22"/>
              </w:rPr>
              <w:tab/>
            </w:r>
            <w:r w:rsidR="00387802" w:rsidRPr="00365A20">
              <w:rPr>
                <w:rStyle w:val="Hyperlink"/>
                <w:noProof/>
              </w:rPr>
              <w:t>Administrative Considerations</w:t>
            </w:r>
            <w:r w:rsidR="00387802">
              <w:rPr>
                <w:noProof/>
                <w:webHidden/>
              </w:rPr>
              <w:tab/>
            </w:r>
            <w:r w:rsidR="00387802">
              <w:rPr>
                <w:noProof/>
                <w:webHidden/>
              </w:rPr>
              <w:fldChar w:fldCharType="begin"/>
            </w:r>
            <w:r w:rsidR="00387802">
              <w:rPr>
                <w:noProof/>
                <w:webHidden/>
              </w:rPr>
              <w:instrText xml:space="preserve"> PAGEREF _Toc431288926 \h </w:instrText>
            </w:r>
            <w:r w:rsidR="00387802">
              <w:rPr>
                <w:noProof/>
                <w:webHidden/>
              </w:rPr>
            </w:r>
            <w:r w:rsidR="00387802">
              <w:rPr>
                <w:noProof/>
                <w:webHidden/>
              </w:rPr>
              <w:fldChar w:fldCharType="separate"/>
            </w:r>
            <w:r w:rsidR="00387802">
              <w:rPr>
                <w:noProof/>
                <w:webHidden/>
              </w:rPr>
              <w:t>297</w:t>
            </w:r>
            <w:r w:rsidR="00387802">
              <w:rPr>
                <w:noProof/>
                <w:webHidden/>
              </w:rPr>
              <w:fldChar w:fldCharType="end"/>
            </w:r>
          </w:hyperlink>
        </w:p>
        <w:p w14:paraId="4098D45D" w14:textId="72B66B96" w:rsidR="00387802" w:rsidRDefault="00872E47">
          <w:pPr>
            <w:pStyle w:val="TOC3"/>
            <w:tabs>
              <w:tab w:val="left" w:pos="1320"/>
            </w:tabs>
            <w:rPr>
              <w:rFonts w:asciiTheme="minorHAnsi" w:eastAsiaTheme="minorEastAsia" w:hAnsiTheme="minorHAnsi"/>
              <w:noProof/>
              <w:spacing w:val="0"/>
              <w:sz w:val="22"/>
              <w:szCs w:val="22"/>
            </w:rPr>
          </w:pPr>
          <w:hyperlink w:anchor="_Toc431288927" w:history="1">
            <w:r w:rsidR="00387802" w:rsidRPr="00365A20">
              <w:rPr>
                <w:rStyle w:val="Hyperlink"/>
                <w:noProof/>
                <w14:scene3d>
                  <w14:camera w14:prst="orthographicFront"/>
                  <w14:lightRig w14:rig="threePt" w14:dir="t">
                    <w14:rot w14:lat="0" w14:lon="0" w14:rev="0"/>
                  </w14:lightRig>
                </w14:scene3d>
              </w:rPr>
              <w:t>9.2.6</w:t>
            </w:r>
            <w:r w:rsidR="00387802">
              <w:rPr>
                <w:rFonts w:asciiTheme="minorHAnsi" w:eastAsiaTheme="minorEastAsia" w:hAnsiTheme="minorHAnsi"/>
                <w:noProof/>
                <w:spacing w:val="0"/>
                <w:sz w:val="22"/>
                <w:szCs w:val="22"/>
              </w:rPr>
              <w:tab/>
            </w:r>
            <w:r w:rsidR="00387802" w:rsidRPr="00365A20">
              <w:rPr>
                <w:rStyle w:val="Hyperlink"/>
                <w:noProof/>
              </w:rPr>
              <w:t>AD Design Considerations</w:t>
            </w:r>
            <w:r w:rsidR="00387802">
              <w:rPr>
                <w:noProof/>
                <w:webHidden/>
              </w:rPr>
              <w:tab/>
            </w:r>
            <w:r w:rsidR="00387802">
              <w:rPr>
                <w:noProof/>
                <w:webHidden/>
              </w:rPr>
              <w:fldChar w:fldCharType="begin"/>
            </w:r>
            <w:r w:rsidR="00387802">
              <w:rPr>
                <w:noProof/>
                <w:webHidden/>
              </w:rPr>
              <w:instrText xml:space="preserve"> PAGEREF _Toc431288927 \h </w:instrText>
            </w:r>
            <w:r w:rsidR="00387802">
              <w:rPr>
                <w:noProof/>
                <w:webHidden/>
              </w:rPr>
            </w:r>
            <w:r w:rsidR="00387802">
              <w:rPr>
                <w:noProof/>
                <w:webHidden/>
              </w:rPr>
              <w:fldChar w:fldCharType="separate"/>
            </w:r>
            <w:r w:rsidR="00387802">
              <w:rPr>
                <w:noProof/>
                <w:webHidden/>
              </w:rPr>
              <w:t>300</w:t>
            </w:r>
            <w:r w:rsidR="00387802">
              <w:rPr>
                <w:noProof/>
                <w:webHidden/>
              </w:rPr>
              <w:fldChar w:fldCharType="end"/>
            </w:r>
          </w:hyperlink>
        </w:p>
        <w:p w14:paraId="4217BD71" w14:textId="20E0087C" w:rsidR="00387802" w:rsidRDefault="00872E47">
          <w:pPr>
            <w:pStyle w:val="TOC2"/>
            <w:tabs>
              <w:tab w:val="left" w:pos="880"/>
              <w:tab w:val="right" w:leader="dot" w:pos="9350"/>
            </w:tabs>
            <w:rPr>
              <w:rFonts w:asciiTheme="minorHAnsi" w:hAnsiTheme="minorHAnsi"/>
              <w:noProof/>
            </w:rPr>
          </w:pPr>
          <w:hyperlink w:anchor="_Toc431288928" w:history="1">
            <w:r w:rsidR="00387802" w:rsidRPr="00365A20">
              <w:rPr>
                <w:rStyle w:val="Hyperlink"/>
                <w:noProof/>
              </w:rPr>
              <w:t>9.3</w:t>
            </w:r>
            <w:r w:rsidR="00387802">
              <w:rPr>
                <w:rFonts w:asciiTheme="minorHAnsi" w:hAnsiTheme="minorHAnsi"/>
                <w:noProof/>
              </w:rPr>
              <w:tab/>
            </w:r>
            <w:r w:rsidR="00387802" w:rsidRPr="00365A20">
              <w:rPr>
                <w:rStyle w:val="Hyperlink"/>
                <w:noProof/>
              </w:rPr>
              <w:t>Integrating Applications with Azure Identity Solutions</w:t>
            </w:r>
            <w:r w:rsidR="00387802">
              <w:rPr>
                <w:noProof/>
                <w:webHidden/>
              </w:rPr>
              <w:tab/>
            </w:r>
            <w:r w:rsidR="00387802">
              <w:rPr>
                <w:noProof/>
                <w:webHidden/>
              </w:rPr>
              <w:fldChar w:fldCharType="begin"/>
            </w:r>
            <w:r w:rsidR="00387802">
              <w:rPr>
                <w:noProof/>
                <w:webHidden/>
              </w:rPr>
              <w:instrText xml:space="preserve"> PAGEREF _Toc431288928 \h </w:instrText>
            </w:r>
            <w:r w:rsidR="00387802">
              <w:rPr>
                <w:noProof/>
                <w:webHidden/>
              </w:rPr>
            </w:r>
            <w:r w:rsidR="00387802">
              <w:rPr>
                <w:noProof/>
                <w:webHidden/>
              </w:rPr>
              <w:fldChar w:fldCharType="separate"/>
            </w:r>
            <w:r w:rsidR="00387802">
              <w:rPr>
                <w:noProof/>
                <w:webHidden/>
              </w:rPr>
              <w:t>301</w:t>
            </w:r>
            <w:r w:rsidR="00387802">
              <w:rPr>
                <w:noProof/>
                <w:webHidden/>
              </w:rPr>
              <w:fldChar w:fldCharType="end"/>
            </w:r>
          </w:hyperlink>
        </w:p>
        <w:p w14:paraId="23CB60BC" w14:textId="63FF656A" w:rsidR="00387802" w:rsidRDefault="00872E47">
          <w:pPr>
            <w:pStyle w:val="TOC3"/>
            <w:tabs>
              <w:tab w:val="left" w:pos="1320"/>
            </w:tabs>
            <w:rPr>
              <w:rFonts w:asciiTheme="minorHAnsi" w:eastAsiaTheme="minorEastAsia" w:hAnsiTheme="minorHAnsi"/>
              <w:noProof/>
              <w:spacing w:val="0"/>
              <w:sz w:val="22"/>
              <w:szCs w:val="22"/>
            </w:rPr>
          </w:pPr>
          <w:hyperlink w:anchor="_Toc431288929" w:history="1">
            <w:r w:rsidR="00387802" w:rsidRPr="00365A20">
              <w:rPr>
                <w:rStyle w:val="Hyperlink"/>
                <w:noProof/>
                <w14:scene3d>
                  <w14:camera w14:prst="orthographicFront"/>
                  <w14:lightRig w14:rig="threePt" w14:dir="t">
                    <w14:rot w14:lat="0" w14:lon="0" w14:rev="0"/>
                  </w14:lightRig>
                </w14:scene3d>
              </w:rPr>
              <w:t>9.3.1</w:t>
            </w:r>
            <w:r w:rsidR="00387802">
              <w:rPr>
                <w:rFonts w:asciiTheme="minorHAnsi" w:eastAsiaTheme="minorEastAsia" w:hAnsiTheme="minorHAnsi"/>
                <w:noProof/>
                <w:spacing w:val="0"/>
                <w:sz w:val="22"/>
                <w:szCs w:val="22"/>
              </w:rPr>
              <w:tab/>
            </w:r>
            <w:r w:rsidR="00387802" w:rsidRPr="00365A20">
              <w:rPr>
                <w:rStyle w:val="Hyperlink"/>
                <w:noProof/>
              </w:rPr>
              <w:t>Application Integration Methodologies</w:t>
            </w:r>
            <w:r w:rsidR="00387802">
              <w:rPr>
                <w:noProof/>
                <w:webHidden/>
              </w:rPr>
              <w:tab/>
            </w:r>
            <w:r w:rsidR="00387802">
              <w:rPr>
                <w:noProof/>
                <w:webHidden/>
              </w:rPr>
              <w:fldChar w:fldCharType="begin"/>
            </w:r>
            <w:r w:rsidR="00387802">
              <w:rPr>
                <w:noProof/>
                <w:webHidden/>
              </w:rPr>
              <w:instrText xml:space="preserve"> PAGEREF _Toc431288929 \h </w:instrText>
            </w:r>
            <w:r w:rsidR="00387802">
              <w:rPr>
                <w:noProof/>
                <w:webHidden/>
              </w:rPr>
            </w:r>
            <w:r w:rsidR="00387802">
              <w:rPr>
                <w:noProof/>
                <w:webHidden/>
              </w:rPr>
              <w:fldChar w:fldCharType="separate"/>
            </w:r>
            <w:r w:rsidR="00387802">
              <w:rPr>
                <w:noProof/>
                <w:webHidden/>
              </w:rPr>
              <w:t>303</w:t>
            </w:r>
            <w:r w:rsidR="00387802">
              <w:rPr>
                <w:noProof/>
                <w:webHidden/>
              </w:rPr>
              <w:fldChar w:fldCharType="end"/>
            </w:r>
          </w:hyperlink>
        </w:p>
        <w:p w14:paraId="4C4AC71D" w14:textId="7A3A1296" w:rsidR="00387802" w:rsidRDefault="00872E47">
          <w:pPr>
            <w:pStyle w:val="TOC3"/>
            <w:tabs>
              <w:tab w:val="left" w:pos="1320"/>
            </w:tabs>
            <w:rPr>
              <w:rFonts w:asciiTheme="minorHAnsi" w:eastAsiaTheme="minorEastAsia" w:hAnsiTheme="minorHAnsi"/>
              <w:noProof/>
              <w:spacing w:val="0"/>
              <w:sz w:val="22"/>
              <w:szCs w:val="22"/>
            </w:rPr>
          </w:pPr>
          <w:hyperlink w:anchor="_Toc431288930" w:history="1">
            <w:r w:rsidR="00387802" w:rsidRPr="00365A20">
              <w:rPr>
                <w:rStyle w:val="Hyperlink"/>
                <w:noProof/>
                <w14:scene3d>
                  <w14:camera w14:prst="orthographicFront"/>
                  <w14:lightRig w14:rig="threePt" w14:dir="t">
                    <w14:rot w14:lat="0" w14:lon="0" w14:rev="0"/>
                  </w14:lightRig>
                </w14:scene3d>
              </w:rPr>
              <w:t>9.3.2</w:t>
            </w:r>
            <w:r w:rsidR="00387802">
              <w:rPr>
                <w:rFonts w:asciiTheme="minorHAnsi" w:eastAsiaTheme="minorEastAsia" w:hAnsiTheme="minorHAnsi"/>
                <w:noProof/>
                <w:spacing w:val="0"/>
                <w:sz w:val="22"/>
                <w:szCs w:val="22"/>
              </w:rPr>
              <w:tab/>
            </w:r>
            <w:r w:rsidR="00387802" w:rsidRPr="00365A20">
              <w:rPr>
                <w:rStyle w:val="Hyperlink"/>
                <w:noProof/>
              </w:rPr>
              <w:t>On-Premises Applications</w:t>
            </w:r>
            <w:r w:rsidR="00387802">
              <w:rPr>
                <w:noProof/>
                <w:webHidden/>
              </w:rPr>
              <w:tab/>
            </w:r>
            <w:r w:rsidR="00387802">
              <w:rPr>
                <w:noProof/>
                <w:webHidden/>
              </w:rPr>
              <w:fldChar w:fldCharType="begin"/>
            </w:r>
            <w:r w:rsidR="00387802">
              <w:rPr>
                <w:noProof/>
                <w:webHidden/>
              </w:rPr>
              <w:instrText xml:space="preserve"> PAGEREF _Toc431288930 \h </w:instrText>
            </w:r>
            <w:r w:rsidR="00387802">
              <w:rPr>
                <w:noProof/>
                <w:webHidden/>
              </w:rPr>
            </w:r>
            <w:r w:rsidR="00387802">
              <w:rPr>
                <w:noProof/>
                <w:webHidden/>
              </w:rPr>
              <w:fldChar w:fldCharType="separate"/>
            </w:r>
            <w:r w:rsidR="00387802">
              <w:rPr>
                <w:noProof/>
                <w:webHidden/>
              </w:rPr>
              <w:t>319</w:t>
            </w:r>
            <w:r w:rsidR="00387802">
              <w:rPr>
                <w:noProof/>
                <w:webHidden/>
              </w:rPr>
              <w:fldChar w:fldCharType="end"/>
            </w:r>
          </w:hyperlink>
        </w:p>
        <w:p w14:paraId="6BC593ED" w14:textId="03B22E23" w:rsidR="00387802" w:rsidRDefault="00872E47">
          <w:pPr>
            <w:pStyle w:val="TOC3"/>
            <w:tabs>
              <w:tab w:val="left" w:pos="1320"/>
            </w:tabs>
            <w:rPr>
              <w:rFonts w:asciiTheme="minorHAnsi" w:eastAsiaTheme="minorEastAsia" w:hAnsiTheme="minorHAnsi"/>
              <w:noProof/>
              <w:spacing w:val="0"/>
              <w:sz w:val="22"/>
              <w:szCs w:val="22"/>
            </w:rPr>
          </w:pPr>
          <w:hyperlink w:anchor="_Toc431288931" w:history="1">
            <w:r w:rsidR="00387802" w:rsidRPr="00365A20">
              <w:rPr>
                <w:rStyle w:val="Hyperlink"/>
                <w:noProof/>
                <w14:scene3d>
                  <w14:camera w14:prst="orthographicFront"/>
                  <w14:lightRig w14:rig="threePt" w14:dir="t">
                    <w14:rot w14:lat="0" w14:lon="0" w14:rev="0"/>
                  </w14:lightRig>
                </w14:scene3d>
              </w:rPr>
              <w:t>9.3.3</w:t>
            </w:r>
            <w:r w:rsidR="00387802">
              <w:rPr>
                <w:rFonts w:asciiTheme="minorHAnsi" w:eastAsiaTheme="minorEastAsia" w:hAnsiTheme="minorHAnsi"/>
                <w:noProof/>
                <w:spacing w:val="0"/>
                <w:sz w:val="22"/>
                <w:szCs w:val="22"/>
              </w:rPr>
              <w:tab/>
            </w:r>
            <w:r w:rsidR="00387802" w:rsidRPr="00365A20">
              <w:rPr>
                <w:rStyle w:val="Hyperlink"/>
                <w:noProof/>
              </w:rPr>
              <w:t>IaaS Applications</w:t>
            </w:r>
            <w:r w:rsidR="00387802">
              <w:rPr>
                <w:noProof/>
                <w:webHidden/>
              </w:rPr>
              <w:tab/>
            </w:r>
            <w:r w:rsidR="00387802">
              <w:rPr>
                <w:noProof/>
                <w:webHidden/>
              </w:rPr>
              <w:fldChar w:fldCharType="begin"/>
            </w:r>
            <w:r w:rsidR="00387802">
              <w:rPr>
                <w:noProof/>
                <w:webHidden/>
              </w:rPr>
              <w:instrText xml:space="preserve"> PAGEREF _Toc431288931 \h </w:instrText>
            </w:r>
            <w:r w:rsidR="00387802">
              <w:rPr>
                <w:noProof/>
                <w:webHidden/>
              </w:rPr>
            </w:r>
            <w:r w:rsidR="00387802">
              <w:rPr>
                <w:noProof/>
                <w:webHidden/>
              </w:rPr>
              <w:fldChar w:fldCharType="separate"/>
            </w:r>
            <w:r w:rsidR="00387802">
              <w:rPr>
                <w:noProof/>
                <w:webHidden/>
              </w:rPr>
              <w:t>322</w:t>
            </w:r>
            <w:r w:rsidR="00387802">
              <w:rPr>
                <w:noProof/>
                <w:webHidden/>
              </w:rPr>
              <w:fldChar w:fldCharType="end"/>
            </w:r>
          </w:hyperlink>
        </w:p>
        <w:p w14:paraId="15C8D69F" w14:textId="084B1466" w:rsidR="00387802" w:rsidRDefault="00872E47">
          <w:pPr>
            <w:pStyle w:val="TOC3"/>
            <w:tabs>
              <w:tab w:val="left" w:pos="1320"/>
            </w:tabs>
            <w:rPr>
              <w:rFonts w:asciiTheme="minorHAnsi" w:eastAsiaTheme="minorEastAsia" w:hAnsiTheme="minorHAnsi"/>
              <w:noProof/>
              <w:spacing w:val="0"/>
              <w:sz w:val="22"/>
              <w:szCs w:val="22"/>
            </w:rPr>
          </w:pPr>
          <w:hyperlink w:anchor="_Toc431288932" w:history="1">
            <w:r w:rsidR="00387802" w:rsidRPr="00365A20">
              <w:rPr>
                <w:rStyle w:val="Hyperlink"/>
                <w:noProof/>
                <w14:scene3d>
                  <w14:camera w14:prst="orthographicFront"/>
                  <w14:lightRig w14:rig="threePt" w14:dir="t">
                    <w14:rot w14:lat="0" w14:lon="0" w14:rev="0"/>
                  </w14:lightRig>
                </w14:scene3d>
              </w:rPr>
              <w:t>9.3.4</w:t>
            </w:r>
            <w:r w:rsidR="00387802">
              <w:rPr>
                <w:rFonts w:asciiTheme="minorHAnsi" w:eastAsiaTheme="minorEastAsia" w:hAnsiTheme="minorHAnsi"/>
                <w:noProof/>
                <w:spacing w:val="0"/>
                <w:sz w:val="22"/>
                <w:szCs w:val="22"/>
              </w:rPr>
              <w:tab/>
            </w:r>
            <w:r w:rsidR="00387802" w:rsidRPr="00365A20">
              <w:rPr>
                <w:rStyle w:val="Hyperlink"/>
                <w:noProof/>
              </w:rPr>
              <w:t>PaaS Applications</w:t>
            </w:r>
            <w:r w:rsidR="00387802">
              <w:rPr>
                <w:noProof/>
                <w:webHidden/>
              </w:rPr>
              <w:tab/>
            </w:r>
            <w:r w:rsidR="00387802">
              <w:rPr>
                <w:noProof/>
                <w:webHidden/>
              </w:rPr>
              <w:fldChar w:fldCharType="begin"/>
            </w:r>
            <w:r w:rsidR="00387802">
              <w:rPr>
                <w:noProof/>
                <w:webHidden/>
              </w:rPr>
              <w:instrText xml:space="preserve"> PAGEREF _Toc431288932 \h </w:instrText>
            </w:r>
            <w:r w:rsidR="00387802">
              <w:rPr>
                <w:noProof/>
                <w:webHidden/>
              </w:rPr>
            </w:r>
            <w:r w:rsidR="00387802">
              <w:rPr>
                <w:noProof/>
                <w:webHidden/>
              </w:rPr>
              <w:fldChar w:fldCharType="separate"/>
            </w:r>
            <w:r w:rsidR="00387802">
              <w:rPr>
                <w:noProof/>
                <w:webHidden/>
              </w:rPr>
              <w:t>325</w:t>
            </w:r>
            <w:r w:rsidR="00387802">
              <w:rPr>
                <w:noProof/>
                <w:webHidden/>
              </w:rPr>
              <w:fldChar w:fldCharType="end"/>
            </w:r>
          </w:hyperlink>
        </w:p>
        <w:p w14:paraId="54DE5E6A" w14:textId="1BC5312B" w:rsidR="00387802" w:rsidRDefault="00872E47">
          <w:pPr>
            <w:pStyle w:val="TOC3"/>
            <w:tabs>
              <w:tab w:val="left" w:pos="1320"/>
            </w:tabs>
            <w:rPr>
              <w:rFonts w:asciiTheme="minorHAnsi" w:eastAsiaTheme="minorEastAsia" w:hAnsiTheme="minorHAnsi"/>
              <w:noProof/>
              <w:spacing w:val="0"/>
              <w:sz w:val="22"/>
              <w:szCs w:val="22"/>
            </w:rPr>
          </w:pPr>
          <w:hyperlink w:anchor="_Toc431288933" w:history="1">
            <w:r w:rsidR="00387802" w:rsidRPr="00365A20">
              <w:rPr>
                <w:rStyle w:val="Hyperlink"/>
                <w:noProof/>
                <w14:scene3d>
                  <w14:camera w14:prst="orthographicFront"/>
                  <w14:lightRig w14:rig="threePt" w14:dir="t">
                    <w14:rot w14:lat="0" w14:lon="0" w14:rev="0"/>
                  </w14:lightRig>
                </w14:scene3d>
              </w:rPr>
              <w:t>9.3.5</w:t>
            </w:r>
            <w:r w:rsidR="00387802">
              <w:rPr>
                <w:rFonts w:asciiTheme="minorHAnsi" w:eastAsiaTheme="minorEastAsia" w:hAnsiTheme="minorHAnsi"/>
                <w:noProof/>
                <w:spacing w:val="0"/>
                <w:sz w:val="22"/>
                <w:szCs w:val="22"/>
              </w:rPr>
              <w:tab/>
            </w:r>
            <w:r w:rsidR="00387802" w:rsidRPr="00365A20">
              <w:rPr>
                <w:rStyle w:val="Hyperlink"/>
                <w:noProof/>
              </w:rPr>
              <w:t>SaaS Applications</w:t>
            </w:r>
            <w:r w:rsidR="00387802">
              <w:rPr>
                <w:noProof/>
                <w:webHidden/>
              </w:rPr>
              <w:tab/>
            </w:r>
            <w:r w:rsidR="00387802">
              <w:rPr>
                <w:noProof/>
                <w:webHidden/>
              </w:rPr>
              <w:fldChar w:fldCharType="begin"/>
            </w:r>
            <w:r w:rsidR="00387802">
              <w:rPr>
                <w:noProof/>
                <w:webHidden/>
              </w:rPr>
              <w:instrText xml:space="preserve"> PAGEREF _Toc431288933 \h </w:instrText>
            </w:r>
            <w:r w:rsidR="00387802">
              <w:rPr>
                <w:noProof/>
                <w:webHidden/>
              </w:rPr>
            </w:r>
            <w:r w:rsidR="00387802">
              <w:rPr>
                <w:noProof/>
                <w:webHidden/>
              </w:rPr>
              <w:fldChar w:fldCharType="separate"/>
            </w:r>
            <w:r w:rsidR="00387802">
              <w:rPr>
                <w:noProof/>
                <w:webHidden/>
              </w:rPr>
              <w:t>327</w:t>
            </w:r>
            <w:r w:rsidR="00387802">
              <w:rPr>
                <w:noProof/>
                <w:webHidden/>
              </w:rPr>
              <w:fldChar w:fldCharType="end"/>
            </w:r>
          </w:hyperlink>
        </w:p>
        <w:p w14:paraId="71D8DB60" w14:textId="0ACF2139" w:rsidR="00387802" w:rsidRDefault="00872E47">
          <w:pPr>
            <w:pStyle w:val="TOC2"/>
            <w:tabs>
              <w:tab w:val="left" w:pos="880"/>
              <w:tab w:val="right" w:leader="dot" w:pos="9350"/>
            </w:tabs>
            <w:rPr>
              <w:rFonts w:asciiTheme="minorHAnsi" w:hAnsiTheme="minorHAnsi"/>
              <w:noProof/>
            </w:rPr>
          </w:pPr>
          <w:hyperlink w:anchor="_Toc431288934" w:history="1">
            <w:r w:rsidR="00387802" w:rsidRPr="00365A20">
              <w:rPr>
                <w:rStyle w:val="Hyperlink"/>
                <w:noProof/>
              </w:rPr>
              <w:t>9.4</w:t>
            </w:r>
            <w:r w:rsidR="00387802">
              <w:rPr>
                <w:rFonts w:asciiTheme="minorHAnsi" w:hAnsiTheme="minorHAnsi"/>
                <w:noProof/>
              </w:rPr>
              <w:tab/>
            </w:r>
            <w:r w:rsidR="00387802" w:rsidRPr="00365A20">
              <w:rPr>
                <w:rStyle w:val="Hyperlink"/>
                <w:noProof/>
              </w:rPr>
              <w:t>Azure Hybrid Identity for CSPs</w:t>
            </w:r>
            <w:r w:rsidR="00387802">
              <w:rPr>
                <w:noProof/>
                <w:webHidden/>
              </w:rPr>
              <w:tab/>
            </w:r>
            <w:r w:rsidR="00387802">
              <w:rPr>
                <w:noProof/>
                <w:webHidden/>
              </w:rPr>
              <w:fldChar w:fldCharType="begin"/>
            </w:r>
            <w:r w:rsidR="00387802">
              <w:rPr>
                <w:noProof/>
                <w:webHidden/>
              </w:rPr>
              <w:instrText xml:space="preserve"> PAGEREF _Toc431288934 \h </w:instrText>
            </w:r>
            <w:r w:rsidR="00387802">
              <w:rPr>
                <w:noProof/>
                <w:webHidden/>
              </w:rPr>
            </w:r>
            <w:r w:rsidR="00387802">
              <w:rPr>
                <w:noProof/>
                <w:webHidden/>
              </w:rPr>
              <w:fldChar w:fldCharType="separate"/>
            </w:r>
            <w:r w:rsidR="00387802">
              <w:rPr>
                <w:noProof/>
                <w:webHidden/>
              </w:rPr>
              <w:t>330</w:t>
            </w:r>
            <w:r w:rsidR="00387802">
              <w:rPr>
                <w:noProof/>
                <w:webHidden/>
              </w:rPr>
              <w:fldChar w:fldCharType="end"/>
            </w:r>
          </w:hyperlink>
        </w:p>
        <w:p w14:paraId="2764EE08" w14:textId="795B1F9F" w:rsidR="00387802" w:rsidRDefault="00872E47">
          <w:pPr>
            <w:pStyle w:val="TOC3"/>
            <w:tabs>
              <w:tab w:val="left" w:pos="1320"/>
            </w:tabs>
            <w:rPr>
              <w:rFonts w:asciiTheme="minorHAnsi" w:eastAsiaTheme="minorEastAsia" w:hAnsiTheme="minorHAnsi"/>
              <w:noProof/>
              <w:spacing w:val="0"/>
              <w:sz w:val="22"/>
              <w:szCs w:val="22"/>
            </w:rPr>
          </w:pPr>
          <w:hyperlink w:anchor="_Toc431288935" w:history="1">
            <w:r w:rsidR="00387802" w:rsidRPr="00365A20">
              <w:rPr>
                <w:rStyle w:val="Hyperlink"/>
                <w:noProof/>
                <w14:scene3d>
                  <w14:camera w14:prst="orthographicFront"/>
                  <w14:lightRig w14:rig="threePt" w14:dir="t">
                    <w14:rot w14:lat="0" w14:lon="0" w14:rev="0"/>
                  </w14:lightRig>
                </w14:scene3d>
              </w:rPr>
              <w:t>9.4.1</w:t>
            </w:r>
            <w:r w:rsidR="00387802">
              <w:rPr>
                <w:rFonts w:asciiTheme="minorHAnsi" w:eastAsiaTheme="minorEastAsia" w:hAnsiTheme="minorHAnsi"/>
                <w:noProof/>
                <w:spacing w:val="0"/>
                <w:sz w:val="22"/>
                <w:szCs w:val="22"/>
              </w:rPr>
              <w:tab/>
            </w:r>
            <w:r w:rsidR="00387802" w:rsidRPr="00365A20">
              <w:rPr>
                <w:rStyle w:val="Hyperlink"/>
                <w:noProof/>
              </w:rPr>
              <w:t>Provider Azure Active Directory Tenant</w:t>
            </w:r>
            <w:r w:rsidR="00387802">
              <w:rPr>
                <w:noProof/>
                <w:webHidden/>
              </w:rPr>
              <w:tab/>
            </w:r>
            <w:r w:rsidR="00387802">
              <w:rPr>
                <w:noProof/>
                <w:webHidden/>
              </w:rPr>
              <w:fldChar w:fldCharType="begin"/>
            </w:r>
            <w:r w:rsidR="00387802">
              <w:rPr>
                <w:noProof/>
                <w:webHidden/>
              </w:rPr>
              <w:instrText xml:space="preserve"> PAGEREF _Toc431288935 \h </w:instrText>
            </w:r>
            <w:r w:rsidR="00387802">
              <w:rPr>
                <w:noProof/>
                <w:webHidden/>
              </w:rPr>
            </w:r>
            <w:r w:rsidR="00387802">
              <w:rPr>
                <w:noProof/>
                <w:webHidden/>
              </w:rPr>
              <w:fldChar w:fldCharType="separate"/>
            </w:r>
            <w:r w:rsidR="00387802">
              <w:rPr>
                <w:noProof/>
                <w:webHidden/>
              </w:rPr>
              <w:t>330</w:t>
            </w:r>
            <w:r w:rsidR="00387802">
              <w:rPr>
                <w:noProof/>
                <w:webHidden/>
              </w:rPr>
              <w:fldChar w:fldCharType="end"/>
            </w:r>
          </w:hyperlink>
        </w:p>
        <w:p w14:paraId="660C81FE" w14:textId="5DC3C806" w:rsidR="00387802" w:rsidRDefault="00872E47">
          <w:pPr>
            <w:pStyle w:val="TOC3"/>
            <w:tabs>
              <w:tab w:val="left" w:pos="1320"/>
            </w:tabs>
            <w:rPr>
              <w:rFonts w:asciiTheme="minorHAnsi" w:eastAsiaTheme="minorEastAsia" w:hAnsiTheme="minorHAnsi"/>
              <w:noProof/>
              <w:spacing w:val="0"/>
              <w:sz w:val="22"/>
              <w:szCs w:val="22"/>
            </w:rPr>
          </w:pPr>
          <w:hyperlink w:anchor="_Toc431288936" w:history="1">
            <w:r w:rsidR="00387802" w:rsidRPr="00365A20">
              <w:rPr>
                <w:rStyle w:val="Hyperlink"/>
                <w:noProof/>
                <w14:scene3d>
                  <w14:camera w14:prst="orthographicFront"/>
                  <w14:lightRig w14:rig="threePt" w14:dir="t">
                    <w14:rot w14:lat="0" w14:lon="0" w14:rev="0"/>
                  </w14:lightRig>
                </w14:scene3d>
              </w:rPr>
              <w:t>9.4.2</w:t>
            </w:r>
            <w:r w:rsidR="00387802">
              <w:rPr>
                <w:rFonts w:asciiTheme="minorHAnsi" w:eastAsiaTheme="minorEastAsia" w:hAnsiTheme="minorHAnsi"/>
                <w:noProof/>
                <w:spacing w:val="0"/>
                <w:sz w:val="22"/>
                <w:szCs w:val="22"/>
              </w:rPr>
              <w:tab/>
            </w:r>
            <w:r w:rsidR="00387802" w:rsidRPr="00365A20">
              <w:rPr>
                <w:rStyle w:val="Hyperlink"/>
                <w:noProof/>
              </w:rPr>
              <w:t>Provider Agent and Admin Roles</w:t>
            </w:r>
            <w:r w:rsidR="00387802">
              <w:rPr>
                <w:noProof/>
                <w:webHidden/>
              </w:rPr>
              <w:tab/>
            </w:r>
            <w:r w:rsidR="00387802">
              <w:rPr>
                <w:noProof/>
                <w:webHidden/>
              </w:rPr>
              <w:fldChar w:fldCharType="begin"/>
            </w:r>
            <w:r w:rsidR="00387802">
              <w:rPr>
                <w:noProof/>
                <w:webHidden/>
              </w:rPr>
              <w:instrText xml:space="preserve"> PAGEREF _Toc431288936 \h </w:instrText>
            </w:r>
            <w:r w:rsidR="00387802">
              <w:rPr>
                <w:noProof/>
                <w:webHidden/>
              </w:rPr>
            </w:r>
            <w:r w:rsidR="00387802">
              <w:rPr>
                <w:noProof/>
                <w:webHidden/>
              </w:rPr>
              <w:fldChar w:fldCharType="separate"/>
            </w:r>
            <w:r w:rsidR="00387802">
              <w:rPr>
                <w:noProof/>
                <w:webHidden/>
              </w:rPr>
              <w:t>331</w:t>
            </w:r>
            <w:r w:rsidR="00387802">
              <w:rPr>
                <w:noProof/>
                <w:webHidden/>
              </w:rPr>
              <w:fldChar w:fldCharType="end"/>
            </w:r>
          </w:hyperlink>
        </w:p>
        <w:p w14:paraId="08E3EC5B" w14:textId="798962E9" w:rsidR="00387802" w:rsidRDefault="00872E47">
          <w:pPr>
            <w:pStyle w:val="TOC3"/>
            <w:tabs>
              <w:tab w:val="left" w:pos="1320"/>
            </w:tabs>
            <w:rPr>
              <w:rFonts w:asciiTheme="minorHAnsi" w:eastAsiaTheme="minorEastAsia" w:hAnsiTheme="minorHAnsi"/>
              <w:noProof/>
              <w:spacing w:val="0"/>
              <w:sz w:val="22"/>
              <w:szCs w:val="22"/>
            </w:rPr>
          </w:pPr>
          <w:hyperlink w:anchor="_Toc431288937" w:history="1">
            <w:r w:rsidR="00387802" w:rsidRPr="00365A20">
              <w:rPr>
                <w:rStyle w:val="Hyperlink"/>
                <w:noProof/>
                <w14:scene3d>
                  <w14:camera w14:prst="orthographicFront"/>
                  <w14:lightRig w14:rig="threePt" w14:dir="t">
                    <w14:rot w14:lat="0" w14:lon="0" w14:rev="0"/>
                  </w14:lightRig>
                </w14:scene3d>
              </w:rPr>
              <w:t>9.4.3</w:t>
            </w:r>
            <w:r w:rsidR="00387802">
              <w:rPr>
                <w:rFonts w:asciiTheme="minorHAnsi" w:eastAsiaTheme="minorEastAsia" w:hAnsiTheme="minorHAnsi"/>
                <w:noProof/>
                <w:spacing w:val="0"/>
                <w:sz w:val="22"/>
                <w:szCs w:val="22"/>
              </w:rPr>
              <w:tab/>
            </w:r>
            <w:r w:rsidR="00387802" w:rsidRPr="00365A20">
              <w:rPr>
                <w:rStyle w:val="Hyperlink"/>
                <w:noProof/>
              </w:rPr>
              <w:t>Administered On Behalf of (AOBO) and Tenant Management</w:t>
            </w:r>
            <w:r w:rsidR="00387802">
              <w:rPr>
                <w:noProof/>
                <w:webHidden/>
              </w:rPr>
              <w:tab/>
            </w:r>
            <w:r w:rsidR="00387802">
              <w:rPr>
                <w:noProof/>
                <w:webHidden/>
              </w:rPr>
              <w:fldChar w:fldCharType="begin"/>
            </w:r>
            <w:r w:rsidR="00387802">
              <w:rPr>
                <w:noProof/>
                <w:webHidden/>
              </w:rPr>
              <w:instrText xml:space="preserve"> PAGEREF _Toc431288937 \h </w:instrText>
            </w:r>
            <w:r w:rsidR="00387802">
              <w:rPr>
                <w:noProof/>
                <w:webHidden/>
              </w:rPr>
            </w:r>
            <w:r w:rsidR="00387802">
              <w:rPr>
                <w:noProof/>
                <w:webHidden/>
              </w:rPr>
              <w:fldChar w:fldCharType="separate"/>
            </w:r>
            <w:r w:rsidR="00387802">
              <w:rPr>
                <w:noProof/>
                <w:webHidden/>
              </w:rPr>
              <w:t>334</w:t>
            </w:r>
            <w:r w:rsidR="00387802">
              <w:rPr>
                <w:noProof/>
                <w:webHidden/>
              </w:rPr>
              <w:fldChar w:fldCharType="end"/>
            </w:r>
          </w:hyperlink>
        </w:p>
        <w:p w14:paraId="2AEF14EF" w14:textId="2D2FBBFC" w:rsidR="00387802" w:rsidRDefault="00872E47">
          <w:pPr>
            <w:pStyle w:val="TOC3"/>
            <w:tabs>
              <w:tab w:val="left" w:pos="1320"/>
            </w:tabs>
            <w:rPr>
              <w:rFonts w:asciiTheme="minorHAnsi" w:eastAsiaTheme="minorEastAsia" w:hAnsiTheme="minorHAnsi"/>
              <w:noProof/>
              <w:spacing w:val="0"/>
              <w:sz w:val="22"/>
              <w:szCs w:val="22"/>
            </w:rPr>
          </w:pPr>
          <w:hyperlink w:anchor="_Toc431288938" w:history="1">
            <w:r w:rsidR="00387802" w:rsidRPr="00365A20">
              <w:rPr>
                <w:rStyle w:val="Hyperlink"/>
                <w:noProof/>
                <w14:scene3d>
                  <w14:camera w14:prst="orthographicFront"/>
                  <w14:lightRig w14:rig="threePt" w14:dir="t">
                    <w14:rot w14:lat="0" w14:lon="0" w14:rev="0"/>
                  </w14:lightRig>
                </w14:scene3d>
              </w:rPr>
              <w:t>9.4.4</w:t>
            </w:r>
            <w:r w:rsidR="00387802">
              <w:rPr>
                <w:rFonts w:asciiTheme="minorHAnsi" w:eastAsiaTheme="minorEastAsia" w:hAnsiTheme="minorHAnsi"/>
                <w:noProof/>
                <w:spacing w:val="0"/>
                <w:sz w:val="22"/>
                <w:szCs w:val="22"/>
              </w:rPr>
              <w:tab/>
            </w:r>
            <w:r w:rsidR="00387802" w:rsidRPr="00365A20">
              <w:rPr>
                <w:rStyle w:val="Hyperlink"/>
                <w:noProof/>
              </w:rPr>
              <w:t>Customer Azure Active Directory Tenant</w:t>
            </w:r>
            <w:r w:rsidR="00387802">
              <w:rPr>
                <w:noProof/>
                <w:webHidden/>
              </w:rPr>
              <w:tab/>
            </w:r>
            <w:r w:rsidR="00387802">
              <w:rPr>
                <w:noProof/>
                <w:webHidden/>
              </w:rPr>
              <w:fldChar w:fldCharType="begin"/>
            </w:r>
            <w:r w:rsidR="00387802">
              <w:rPr>
                <w:noProof/>
                <w:webHidden/>
              </w:rPr>
              <w:instrText xml:space="preserve"> PAGEREF _Toc431288938 \h </w:instrText>
            </w:r>
            <w:r w:rsidR="00387802">
              <w:rPr>
                <w:noProof/>
                <w:webHidden/>
              </w:rPr>
            </w:r>
            <w:r w:rsidR="00387802">
              <w:rPr>
                <w:noProof/>
                <w:webHidden/>
              </w:rPr>
              <w:fldChar w:fldCharType="separate"/>
            </w:r>
            <w:r w:rsidR="00387802">
              <w:rPr>
                <w:noProof/>
                <w:webHidden/>
              </w:rPr>
              <w:t>337</w:t>
            </w:r>
            <w:r w:rsidR="00387802">
              <w:rPr>
                <w:noProof/>
                <w:webHidden/>
              </w:rPr>
              <w:fldChar w:fldCharType="end"/>
            </w:r>
          </w:hyperlink>
        </w:p>
        <w:p w14:paraId="3102DF4E" w14:textId="3BC67204" w:rsidR="00387802" w:rsidRDefault="00872E47">
          <w:pPr>
            <w:pStyle w:val="TOC3"/>
            <w:tabs>
              <w:tab w:val="left" w:pos="1320"/>
            </w:tabs>
            <w:rPr>
              <w:rFonts w:asciiTheme="minorHAnsi" w:eastAsiaTheme="minorEastAsia" w:hAnsiTheme="minorHAnsi"/>
              <w:noProof/>
              <w:spacing w:val="0"/>
              <w:sz w:val="22"/>
              <w:szCs w:val="22"/>
            </w:rPr>
          </w:pPr>
          <w:hyperlink w:anchor="_Toc431288939" w:history="1">
            <w:r w:rsidR="00387802" w:rsidRPr="00365A20">
              <w:rPr>
                <w:rStyle w:val="Hyperlink"/>
                <w:noProof/>
                <w14:scene3d>
                  <w14:camera w14:prst="orthographicFront"/>
                  <w14:lightRig w14:rig="threePt" w14:dir="t">
                    <w14:rot w14:lat="0" w14:lon="0" w14:rev="0"/>
                  </w14:lightRig>
                </w14:scene3d>
              </w:rPr>
              <w:t>9.4.5</w:t>
            </w:r>
            <w:r w:rsidR="00387802">
              <w:rPr>
                <w:rFonts w:asciiTheme="minorHAnsi" w:eastAsiaTheme="minorEastAsia" w:hAnsiTheme="minorHAnsi"/>
                <w:noProof/>
                <w:spacing w:val="0"/>
                <w:sz w:val="22"/>
                <w:szCs w:val="22"/>
              </w:rPr>
              <w:tab/>
            </w:r>
            <w:r w:rsidR="00387802" w:rsidRPr="00365A20">
              <w:rPr>
                <w:rStyle w:val="Hyperlink"/>
                <w:noProof/>
              </w:rPr>
              <w:t>Integration using Graph API</w:t>
            </w:r>
            <w:r w:rsidR="00387802">
              <w:rPr>
                <w:noProof/>
                <w:webHidden/>
              </w:rPr>
              <w:tab/>
            </w:r>
            <w:r w:rsidR="00387802">
              <w:rPr>
                <w:noProof/>
                <w:webHidden/>
              </w:rPr>
              <w:fldChar w:fldCharType="begin"/>
            </w:r>
            <w:r w:rsidR="00387802">
              <w:rPr>
                <w:noProof/>
                <w:webHidden/>
              </w:rPr>
              <w:instrText xml:space="preserve"> PAGEREF _Toc431288939 \h </w:instrText>
            </w:r>
            <w:r w:rsidR="00387802">
              <w:rPr>
                <w:noProof/>
                <w:webHidden/>
              </w:rPr>
            </w:r>
            <w:r w:rsidR="00387802">
              <w:rPr>
                <w:noProof/>
                <w:webHidden/>
              </w:rPr>
              <w:fldChar w:fldCharType="separate"/>
            </w:r>
            <w:r w:rsidR="00387802">
              <w:rPr>
                <w:noProof/>
                <w:webHidden/>
              </w:rPr>
              <w:t>339</w:t>
            </w:r>
            <w:r w:rsidR="00387802">
              <w:rPr>
                <w:noProof/>
                <w:webHidden/>
              </w:rPr>
              <w:fldChar w:fldCharType="end"/>
            </w:r>
          </w:hyperlink>
        </w:p>
        <w:p w14:paraId="563D7BF1" w14:textId="4074326B" w:rsidR="00387802" w:rsidRDefault="00872E47">
          <w:pPr>
            <w:pStyle w:val="TOC3"/>
            <w:tabs>
              <w:tab w:val="left" w:pos="1320"/>
            </w:tabs>
            <w:rPr>
              <w:rFonts w:asciiTheme="minorHAnsi" w:eastAsiaTheme="minorEastAsia" w:hAnsiTheme="minorHAnsi"/>
              <w:noProof/>
              <w:spacing w:val="0"/>
              <w:sz w:val="22"/>
              <w:szCs w:val="22"/>
            </w:rPr>
          </w:pPr>
          <w:hyperlink w:anchor="_Toc431288940" w:history="1">
            <w:r w:rsidR="00387802" w:rsidRPr="00365A20">
              <w:rPr>
                <w:rStyle w:val="Hyperlink"/>
                <w:noProof/>
                <w14:scene3d>
                  <w14:camera w14:prst="orthographicFront"/>
                  <w14:lightRig w14:rig="threePt" w14:dir="t">
                    <w14:rot w14:lat="0" w14:lon="0" w14:rev="0"/>
                  </w14:lightRig>
                </w14:scene3d>
              </w:rPr>
              <w:t>9.4.6</w:t>
            </w:r>
            <w:r w:rsidR="00387802">
              <w:rPr>
                <w:rFonts w:asciiTheme="minorHAnsi" w:eastAsiaTheme="minorEastAsia" w:hAnsiTheme="minorHAnsi"/>
                <w:noProof/>
                <w:spacing w:val="0"/>
                <w:sz w:val="22"/>
                <w:szCs w:val="22"/>
              </w:rPr>
              <w:tab/>
            </w:r>
            <w:r w:rsidR="00387802" w:rsidRPr="00365A20">
              <w:rPr>
                <w:rStyle w:val="Hyperlink"/>
                <w:noProof/>
              </w:rPr>
              <w:t>Azure AD PowerShell for Tenant Management</w:t>
            </w:r>
            <w:r w:rsidR="00387802">
              <w:rPr>
                <w:noProof/>
                <w:webHidden/>
              </w:rPr>
              <w:tab/>
            </w:r>
            <w:r w:rsidR="00387802">
              <w:rPr>
                <w:noProof/>
                <w:webHidden/>
              </w:rPr>
              <w:fldChar w:fldCharType="begin"/>
            </w:r>
            <w:r w:rsidR="00387802">
              <w:rPr>
                <w:noProof/>
                <w:webHidden/>
              </w:rPr>
              <w:instrText xml:space="preserve"> PAGEREF _Toc431288940 \h </w:instrText>
            </w:r>
            <w:r w:rsidR="00387802">
              <w:rPr>
                <w:noProof/>
                <w:webHidden/>
              </w:rPr>
            </w:r>
            <w:r w:rsidR="00387802">
              <w:rPr>
                <w:noProof/>
                <w:webHidden/>
              </w:rPr>
              <w:fldChar w:fldCharType="separate"/>
            </w:r>
            <w:r w:rsidR="00387802">
              <w:rPr>
                <w:noProof/>
                <w:webHidden/>
              </w:rPr>
              <w:t>343</w:t>
            </w:r>
            <w:r w:rsidR="00387802">
              <w:rPr>
                <w:noProof/>
                <w:webHidden/>
              </w:rPr>
              <w:fldChar w:fldCharType="end"/>
            </w:r>
          </w:hyperlink>
        </w:p>
        <w:p w14:paraId="0FC8A6C5" w14:textId="402390D0" w:rsidR="00387802" w:rsidRDefault="00872E47">
          <w:pPr>
            <w:pStyle w:val="TOC1"/>
            <w:rPr>
              <w:rFonts w:asciiTheme="minorHAnsi" w:hAnsiTheme="minorHAnsi"/>
              <w:sz w:val="22"/>
            </w:rPr>
          </w:pPr>
          <w:hyperlink w:anchor="_Toc431288941" w:history="1">
            <w:r w:rsidR="00387802" w:rsidRPr="00365A20">
              <w:rPr>
                <w:rStyle w:val="Hyperlink"/>
              </w:rPr>
              <w:t>10</w:t>
            </w:r>
            <w:r w:rsidR="00387802">
              <w:rPr>
                <w:rFonts w:asciiTheme="minorHAnsi" w:hAnsiTheme="minorHAnsi"/>
                <w:sz w:val="22"/>
              </w:rPr>
              <w:tab/>
            </w:r>
            <w:r w:rsidR="00387802" w:rsidRPr="00365A20">
              <w:rPr>
                <w:rStyle w:val="Hyperlink"/>
              </w:rPr>
              <w:t>Microsoft Azure Security</w:t>
            </w:r>
            <w:r w:rsidR="00387802">
              <w:rPr>
                <w:webHidden/>
              </w:rPr>
              <w:tab/>
            </w:r>
            <w:r w:rsidR="00387802">
              <w:rPr>
                <w:webHidden/>
              </w:rPr>
              <w:fldChar w:fldCharType="begin"/>
            </w:r>
            <w:r w:rsidR="00387802">
              <w:rPr>
                <w:webHidden/>
              </w:rPr>
              <w:instrText xml:space="preserve"> PAGEREF _Toc431288941 \h </w:instrText>
            </w:r>
            <w:r w:rsidR="00387802">
              <w:rPr>
                <w:webHidden/>
              </w:rPr>
            </w:r>
            <w:r w:rsidR="00387802">
              <w:rPr>
                <w:webHidden/>
              </w:rPr>
              <w:fldChar w:fldCharType="separate"/>
            </w:r>
            <w:r w:rsidR="00387802">
              <w:rPr>
                <w:webHidden/>
              </w:rPr>
              <w:t>345</w:t>
            </w:r>
            <w:r w:rsidR="00387802">
              <w:rPr>
                <w:webHidden/>
              </w:rPr>
              <w:fldChar w:fldCharType="end"/>
            </w:r>
          </w:hyperlink>
        </w:p>
        <w:p w14:paraId="1FB27B5B" w14:textId="608E2C41" w:rsidR="00387802" w:rsidRDefault="00872E47">
          <w:pPr>
            <w:pStyle w:val="TOC2"/>
            <w:tabs>
              <w:tab w:val="left" w:pos="880"/>
              <w:tab w:val="right" w:leader="dot" w:pos="9350"/>
            </w:tabs>
            <w:rPr>
              <w:rFonts w:asciiTheme="minorHAnsi" w:hAnsiTheme="minorHAnsi"/>
              <w:noProof/>
            </w:rPr>
          </w:pPr>
          <w:hyperlink w:anchor="_Toc431288942" w:history="1">
            <w:r w:rsidR="00387802" w:rsidRPr="00365A20">
              <w:rPr>
                <w:rStyle w:val="Hyperlink"/>
                <w:noProof/>
              </w:rPr>
              <w:t>10.1</w:t>
            </w:r>
            <w:r w:rsidR="00387802">
              <w:rPr>
                <w:rFonts w:asciiTheme="minorHAnsi" w:hAnsiTheme="minorHAnsi"/>
                <w:noProof/>
              </w:rPr>
              <w:tab/>
            </w:r>
            <w:r w:rsidR="00387802" w:rsidRPr="00365A20">
              <w:rPr>
                <w:rStyle w:val="Hyperlink"/>
                <w:noProof/>
              </w:rPr>
              <w:t>Microsoft Azure Fabric and Datacenter Security</w:t>
            </w:r>
            <w:r w:rsidR="00387802">
              <w:rPr>
                <w:noProof/>
                <w:webHidden/>
              </w:rPr>
              <w:tab/>
            </w:r>
            <w:r w:rsidR="00387802">
              <w:rPr>
                <w:noProof/>
                <w:webHidden/>
              </w:rPr>
              <w:fldChar w:fldCharType="begin"/>
            </w:r>
            <w:r w:rsidR="00387802">
              <w:rPr>
                <w:noProof/>
                <w:webHidden/>
              </w:rPr>
              <w:instrText xml:space="preserve"> PAGEREF _Toc431288942 \h </w:instrText>
            </w:r>
            <w:r w:rsidR="00387802">
              <w:rPr>
                <w:noProof/>
                <w:webHidden/>
              </w:rPr>
            </w:r>
            <w:r w:rsidR="00387802">
              <w:rPr>
                <w:noProof/>
                <w:webHidden/>
              </w:rPr>
              <w:fldChar w:fldCharType="separate"/>
            </w:r>
            <w:r w:rsidR="00387802">
              <w:rPr>
                <w:noProof/>
                <w:webHidden/>
              </w:rPr>
              <w:t>345</w:t>
            </w:r>
            <w:r w:rsidR="00387802">
              <w:rPr>
                <w:noProof/>
                <w:webHidden/>
              </w:rPr>
              <w:fldChar w:fldCharType="end"/>
            </w:r>
          </w:hyperlink>
        </w:p>
        <w:p w14:paraId="1D3316D8" w14:textId="7C13691B" w:rsidR="00387802" w:rsidRDefault="00872E47">
          <w:pPr>
            <w:pStyle w:val="TOC2"/>
            <w:tabs>
              <w:tab w:val="left" w:pos="880"/>
              <w:tab w:val="right" w:leader="dot" w:pos="9350"/>
            </w:tabs>
            <w:rPr>
              <w:rFonts w:asciiTheme="minorHAnsi" w:hAnsiTheme="minorHAnsi"/>
              <w:noProof/>
            </w:rPr>
          </w:pPr>
          <w:hyperlink w:anchor="_Toc431288943" w:history="1">
            <w:r w:rsidR="00387802" w:rsidRPr="00365A20">
              <w:rPr>
                <w:rStyle w:val="Hyperlink"/>
                <w:noProof/>
              </w:rPr>
              <w:t>10.2</w:t>
            </w:r>
            <w:r w:rsidR="00387802">
              <w:rPr>
                <w:rFonts w:asciiTheme="minorHAnsi" w:hAnsiTheme="minorHAnsi"/>
                <w:noProof/>
              </w:rPr>
              <w:tab/>
            </w:r>
            <w:r w:rsidR="00387802" w:rsidRPr="00365A20">
              <w:rPr>
                <w:rStyle w:val="Hyperlink"/>
                <w:noProof/>
              </w:rPr>
              <w:t>Azure Security Strategies</w:t>
            </w:r>
            <w:r w:rsidR="00387802">
              <w:rPr>
                <w:noProof/>
                <w:webHidden/>
              </w:rPr>
              <w:tab/>
            </w:r>
            <w:r w:rsidR="00387802">
              <w:rPr>
                <w:noProof/>
                <w:webHidden/>
              </w:rPr>
              <w:fldChar w:fldCharType="begin"/>
            </w:r>
            <w:r w:rsidR="00387802">
              <w:rPr>
                <w:noProof/>
                <w:webHidden/>
              </w:rPr>
              <w:instrText xml:space="preserve"> PAGEREF _Toc431288943 \h </w:instrText>
            </w:r>
            <w:r w:rsidR="00387802">
              <w:rPr>
                <w:noProof/>
                <w:webHidden/>
              </w:rPr>
            </w:r>
            <w:r w:rsidR="00387802">
              <w:rPr>
                <w:noProof/>
                <w:webHidden/>
              </w:rPr>
              <w:fldChar w:fldCharType="separate"/>
            </w:r>
            <w:r w:rsidR="00387802">
              <w:rPr>
                <w:noProof/>
                <w:webHidden/>
              </w:rPr>
              <w:t>346</w:t>
            </w:r>
            <w:r w:rsidR="00387802">
              <w:rPr>
                <w:noProof/>
                <w:webHidden/>
              </w:rPr>
              <w:fldChar w:fldCharType="end"/>
            </w:r>
          </w:hyperlink>
        </w:p>
        <w:p w14:paraId="4C002C91" w14:textId="71114379" w:rsidR="00387802" w:rsidRDefault="00872E47">
          <w:pPr>
            <w:pStyle w:val="TOC3"/>
            <w:tabs>
              <w:tab w:val="left" w:pos="1320"/>
            </w:tabs>
            <w:rPr>
              <w:rFonts w:asciiTheme="minorHAnsi" w:eastAsiaTheme="minorEastAsia" w:hAnsiTheme="minorHAnsi"/>
              <w:noProof/>
              <w:spacing w:val="0"/>
              <w:sz w:val="22"/>
              <w:szCs w:val="22"/>
            </w:rPr>
          </w:pPr>
          <w:hyperlink w:anchor="_Toc431288944" w:history="1">
            <w:r w:rsidR="00387802" w:rsidRPr="00365A20">
              <w:rPr>
                <w:rStyle w:val="Hyperlink"/>
                <w:noProof/>
                <w14:scene3d>
                  <w14:camera w14:prst="orthographicFront"/>
                  <w14:lightRig w14:rig="threePt" w14:dir="t">
                    <w14:rot w14:lat="0" w14:lon="0" w14:rev="0"/>
                  </w14:lightRig>
                </w14:scene3d>
              </w:rPr>
              <w:t>10.2.1</w:t>
            </w:r>
            <w:r w:rsidR="00387802">
              <w:rPr>
                <w:rFonts w:asciiTheme="minorHAnsi" w:eastAsiaTheme="minorEastAsia" w:hAnsiTheme="minorHAnsi"/>
                <w:noProof/>
                <w:spacing w:val="0"/>
                <w:sz w:val="22"/>
                <w:szCs w:val="22"/>
              </w:rPr>
              <w:tab/>
            </w:r>
            <w:r w:rsidR="00387802" w:rsidRPr="00365A20">
              <w:rPr>
                <w:rStyle w:val="Hyperlink"/>
                <w:noProof/>
              </w:rPr>
              <w:t>Risk 1: Availability of Administrative Interfaces to the Public Internet</w:t>
            </w:r>
            <w:r w:rsidR="00387802">
              <w:rPr>
                <w:noProof/>
                <w:webHidden/>
              </w:rPr>
              <w:tab/>
            </w:r>
            <w:r w:rsidR="00387802">
              <w:rPr>
                <w:noProof/>
                <w:webHidden/>
              </w:rPr>
              <w:fldChar w:fldCharType="begin"/>
            </w:r>
            <w:r w:rsidR="00387802">
              <w:rPr>
                <w:noProof/>
                <w:webHidden/>
              </w:rPr>
              <w:instrText xml:space="preserve"> PAGEREF _Toc431288944 \h </w:instrText>
            </w:r>
            <w:r w:rsidR="00387802">
              <w:rPr>
                <w:noProof/>
                <w:webHidden/>
              </w:rPr>
            </w:r>
            <w:r w:rsidR="00387802">
              <w:rPr>
                <w:noProof/>
                <w:webHidden/>
              </w:rPr>
              <w:fldChar w:fldCharType="separate"/>
            </w:r>
            <w:r w:rsidR="00387802">
              <w:rPr>
                <w:noProof/>
                <w:webHidden/>
              </w:rPr>
              <w:t>347</w:t>
            </w:r>
            <w:r w:rsidR="00387802">
              <w:rPr>
                <w:noProof/>
                <w:webHidden/>
              </w:rPr>
              <w:fldChar w:fldCharType="end"/>
            </w:r>
          </w:hyperlink>
        </w:p>
        <w:p w14:paraId="3DBA972F" w14:textId="7169EBB5" w:rsidR="00387802" w:rsidRDefault="00872E47">
          <w:pPr>
            <w:pStyle w:val="TOC3"/>
            <w:tabs>
              <w:tab w:val="left" w:pos="1320"/>
            </w:tabs>
            <w:rPr>
              <w:rFonts w:asciiTheme="minorHAnsi" w:eastAsiaTheme="minorEastAsia" w:hAnsiTheme="minorHAnsi"/>
              <w:noProof/>
              <w:spacing w:val="0"/>
              <w:sz w:val="22"/>
              <w:szCs w:val="22"/>
            </w:rPr>
          </w:pPr>
          <w:hyperlink w:anchor="_Toc431288945" w:history="1">
            <w:r w:rsidR="00387802" w:rsidRPr="00365A20">
              <w:rPr>
                <w:rStyle w:val="Hyperlink"/>
                <w:noProof/>
                <w14:scene3d>
                  <w14:camera w14:prst="orthographicFront"/>
                  <w14:lightRig w14:rig="threePt" w14:dir="t">
                    <w14:rot w14:lat="0" w14:lon="0" w14:rev="0"/>
                  </w14:lightRig>
                </w14:scene3d>
              </w:rPr>
              <w:t>10.2.2</w:t>
            </w:r>
            <w:r w:rsidR="00387802">
              <w:rPr>
                <w:rFonts w:asciiTheme="minorHAnsi" w:eastAsiaTheme="minorEastAsia" w:hAnsiTheme="minorHAnsi"/>
                <w:noProof/>
                <w:spacing w:val="0"/>
                <w:sz w:val="22"/>
                <w:szCs w:val="22"/>
              </w:rPr>
              <w:tab/>
            </w:r>
            <w:r w:rsidR="00387802" w:rsidRPr="00365A20">
              <w:rPr>
                <w:rStyle w:val="Hyperlink"/>
                <w:noProof/>
              </w:rPr>
              <w:t>Risk 2: Potential Inadvertent Exposure of Intranet Services to Public Internet</w:t>
            </w:r>
            <w:r w:rsidR="00387802">
              <w:rPr>
                <w:noProof/>
                <w:webHidden/>
              </w:rPr>
              <w:tab/>
            </w:r>
            <w:r w:rsidR="00387802">
              <w:rPr>
                <w:noProof/>
                <w:webHidden/>
              </w:rPr>
              <w:fldChar w:fldCharType="begin"/>
            </w:r>
            <w:r w:rsidR="00387802">
              <w:rPr>
                <w:noProof/>
                <w:webHidden/>
              </w:rPr>
              <w:instrText xml:space="preserve"> PAGEREF _Toc431288945 \h </w:instrText>
            </w:r>
            <w:r w:rsidR="00387802">
              <w:rPr>
                <w:noProof/>
                <w:webHidden/>
              </w:rPr>
            </w:r>
            <w:r w:rsidR="00387802">
              <w:rPr>
                <w:noProof/>
                <w:webHidden/>
              </w:rPr>
              <w:fldChar w:fldCharType="separate"/>
            </w:r>
            <w:r w:rsidR="00387802">
              <w:rPr>
                <w:noProof/>
                <w:webHidden/>
              </w:rPr>
              <w:t>347</w:t>
            </w:r>
            <w:r w:rsidR="00387802">
              <w:rPr>
                <w:noProof/>
                <w:webHidden/>
              </w:rPr>
              <w:fldChar w:fldCharType="end"/>
            </w:r>
          </w:hyperlink>
        </w:p>
        <w:p w14:paraId="3A46BE1E" w14:textId="6E6510D0" w:rsidR="00387802" w:rsidRDefault="00872E47">
          <w:pPr>
            <w:pStyle w:val="TOC3"/>
            <w:tabs>
              <w:tab w:val="left" w:pos="1320"/>
            </w:tabs>
            <w:rPr>
              <w:rFonts w:asciiTheme="minorHAnsi" w:eastAsiaTheme="minorEastAsia" w:hAnsiTheme="minorHAnsi"/>
              <w:noProof/>
              <w:spacing w:val="0"/>
              <w:sz w:val="22"/>
              <w:szCs w:val="22"/>
            </w:rPr>
          </w:pPr>
          <w:hyperlink w:anchor="_Toc431288946" w:history="1">
            <w:r w:rsidR="00387802" w:rsidRPr="00365A20">
              <w:rPr>
                <w:rStyle w:val="Hyperlink"/>
                <w:noProof/>
                <w14:scene3d>
                  <w14:camera w14:prst="orthographicFront"/>
                  <w14:lightRig w14:rig="threePt" w14:dir="t">
                    <w14:rot w14:lat="0" w14:lon="0" w14:rev="0"/>
                  </w14:lightRig>
                </w14:scene3d>
              </w:rPr>
              <w:t>10.2.3</w:t>
            </w:r>
            <w:r w:rsidR="00387802">
              <w:rPr>
                <w:rFonts w:asciiTheme="minorHAnsi" w:eastAsiaTheme="minorEastAsia" w:hAnsiTheme="minorHAnsi"/>
                <w:noProof/>
                <w:spacing w:val="0"/>
                <w:sz w:val="22"/>
                <w:szCs w:val="22"/>
              </w:rPr>
              <w:tab/>
            </w:r>
            <w:r w:rsidR="00387802" w:rsidRPr="00365A20">
              <w:rPr>
                <w:rStyle w:val="Hyperlink"/>
                <w:noProof/>
              </w:rPr>
              <w:t>Rapid Azure Onboarding Security:  Start with “Do No Harm”</w:t>
            </w:r>
            <w:r w:rsidR="00387802">
              <w:rPr>
                <w:noProof/>
                <w:webHidden/>
              </w:rPr>
              <w:tab/>
            </w:r>
            <w:r w:rsidR="00387802">
              <w:rPr>
                <w:noProof/>
                <w:webHidden/>
              </w:rPr>
              <w:fldChar w:fldCharType="begin"/>
            </w:r>
            <w:r w:rsidR="00387802">
              <w:rPr>
                <w:noProof/>
                <w:webHidden/>
              </w:rPr>
              <w:instrText xml:space="preserve"> PAGEREF _Toc431288946 \h </w:instrText>
            </w:r>
            <w:r w:rsidR="00387802">
              <w:rPr>
                <w:noProof/>
                <w:webHidden/>
              </w:rPr>
            </w:r>
            <w:r w:rsidR="00387802">
              <w:rPr>
                <w:noProof/>
                <w:webHidden/>
              </w:rPr>
              <w:fldChar w:fldCharType="separate"/>
            </w:r>
            <w:r w:rsidR="00387802">
              <w:rPr>
                <w:noProof/>
                <w:webHidden/>
              </w:rPr>
              <w:t>348</w:t>
            </w:r>
            <w:r w:rsidR="00387802">
              <w:rPr>
                <w:noProof/>
                <w:webHidden/>
              </w:rPr>
              <w:fldChar w:fldCharType="end"/>
            </w:r>
          </w:hyperlink>
        </w:p>
        <w:p w14:paraId="46F848C9" w14:textId="6B722555" w:rsidR="00387802" w:rsidRDefault="00872E47">
          <w:pPr>
            <w:pStyle w:val="TOC3"/>
            <w:tabs>
              <w:tab w:val="left" w:pos="1320"/>
            </w:tabs>
            <w:rPr>
              <w:rFonts w:asciiTheme="minorHAnsi" w:eastAsiaTheme="minorEastAsia" w:hAnsiTheme="minorHAnsi"/>
              <w:noProof/>
              <w:spacing w:val="0"/>
              <w:sz w:val="22"/>
              <w:szCs w:val="22"/>
            </w:rPr>
          </w:pPr>
          <w:hyperlink w:anchor="_Toc431288947" w:history="1">
            <w:r w:rsidR="00387802" w:rsidRPr="00365A20">
              <w:rPr>
                <w:rStyle w:val="Hyperlink"/>
                <w:noProof/>
                <w14:scene3d>
                  <w14:camera w14:prst="orthographicFront"/>
                  <w14:lightRig w14:rig="threePt" w14:dir="t">
                    <w14:rot w14:lat="0" w14:lon="0" w14:rev="0"/>
                  </w14:lightRig>
                </w14:scene3d>
              </w:rPr>
              <w:t>10.2.4</w:t>
            </w:r>
            <w:r w:rsidR="00387802">
              <w:rPr>
                <w:rFonts w:asciiTheme="minorHAnsi" w:eastAsiaTheme="minorEastAsia" w:hAnsiTheme="minorHAnsi"/>
                <w:noProof/>
                <w:spacing w:val="0"/>
                <w:sz w:val="22"/>
                <w:szCs w:val="22"/>
              </w:rPr>
              <w:tab/>
            </w:r>
            <w:r w:rsidR="00387802" w:rsidRPr="00365A20">
              <w:rPr>
                <w:rStyle w:val="Hyperlink"/>
                <w:noProof/>
              </w:rPr>
              <w:t>Security Compliance and Accreditation</w:t>
            </w:r>
            <w:r w:rsidR="00387802">
              <w:rPr>
                <w:noProof/>
                <w:webHidden/>
              </w:rPr>
              <w:tab/>
            </w:r>
            <w:r w:rsidR="00387802">
              <w:rPr>
                <w:noProof/>
                <w:webHidden/>
              </w:rPr>
              <w:fldChar w:fldCharType="begin"/>
            </w:r>
            <w:r w:rsidR="00387802">
              <w:rPr>
                <w:noProof/>
                <w:webHidden/>
              </w:rPr>
              <w:instrText xml:space="preserve"> PAGEREF _Toc431288947 \h </w:instrText>
            </w:r>
            <w:r w:rsidR="00387802">
              <w:rPr>
                <w:noProof/>
                <w:webHidden/>
              </w:rPr>
            </w:r>
            <w:r w:rsidR="00387802">
              <w:rPr>
                <w:noProof/>
                <w:webHidden/>
              </w:rPr>
              <w:fldChar w:fldCharType="separate"/>
            </w:r>
            <w:r w:rsidR="00387802">
              <w:rPr>
                <w:noProof/>
                <w:webHidden/>
              </w:rPr>
              <w:t>350</w:t>
            </w:r>
            <w:r w:rsidR="00387802">
              <w:rPr>
                <w:noProof/>
                <w:webHidden/>
              </w:rPr>
              <w:fldChar w:fldCharType="end"/>
            </w:r>
          </w:hyperlink>
        </w:p>
        <w:p w14:paraId="3E0D103A" w14:textId="65B4D8AD" w:rsidR="00387802" w:rsidRDefault="00872E47">
          <w:pPr>
            <w:pStyle w:val="TOC3"/>
            <w:tabs>
              <w:tab w:val="left" w:pos="1320"/>
            </w:tabs>
            <w:rPr>
              <w:rFonts w:asciiTheme="minorHAnsi" w:eastAsiaTheme="minorEastAsia" w:hAnsiTheme="minorHAnsi"/>
              <w:noProof/>
              <w:spacing w:val="0"/>
              <w:sz w:val="22"/>
              <w:szCs w:val="22"/>
            </w:rPr>
          </w:pPr>
          <w:hyperlink w:anchor="_Toc431288948" w:history="1">
            <w:r w:rsidR="00387802" w:rsidRPr="00365A20">
              <w:rPr>
                <w:rStyle w:val="Hyperlink"/>
                <w:noProof/>
                <w14:scene3d>
                  <w14:camera w14:prst="orthographicFront"/>
                  <w14:lightRig w14:rig="threePt" w14:dir="t">
                    <w14:rot w14:lat="0" w14:lon="0" w14:rev="0"/>
                  </w14:lightRig>
                </w14:scene3d>
              </w:rPr>
              <w:t>10.2.5</w:t>
            </w:r>
            <w:r w:rsidR="00387802">
              <w:rPr>
                <w:rFonts w:asciiTheme="minorHAnsi" w:eastAsiaTheme="minorEastAsia" w:hAnsiTheme="minorHAnsi"/>
                <w:noProof/>
                <w:spacing w:val="0"/>
                <w:sz w:val="22"/>
                <w:szCs w:val="22"/>
              </w:rPr>
              <w:tab/>
            </w:r>
            <w:r w:rsidR="00387802" w:rsidRPr="00365A20">
              <w:rPr>
                <w:rStyle w:val="Hyperlink"/>
                <w:noProof/>
              </w:rPr>
              <w:t>Containment and Segmentation Strategy</w:t>
            </w:r>
            <w:r w:rsidR="00387802">
              <w:rPr>
                <w:noProof/>
                <w:webHidden/>
              </w:rPr>
              <w:tab/>
            </w:r>
            <w:r w:rsidR="00387802">
              <w:rPr>
                <w:noProof/>
                <w:webHidden/>
              </w:rPr>
              <w:fldChar w:fldCharType="begin"/>
            </w:r>
            <w:r w:rsidR="00387802">
              <w:rPr>
                <w:noProof/>
                <w:webHidden/>
              </w:rPr>
              <w:instrText xml:space="preserve"> PAGEREF _Toc431288948 \h </w:instrText>
            </w:r>
            <w:r w:rsidR="00387802">
              <w:rPr>
                <w:noProof/>
                <w:webHidden/>
              </w:rPr>
            </w:r>
            <w:r w:rsidR="00387802">
              <w:rPr>
                <w:noProof/>
                <w:webHidden/>
              </w:rPr>
              <w:fldChar w:fldCharType="separate"/>
            </w:r>
            <w:r w:rsidR="00387802">
              <w:rPr>
                <w:noProof/>
                <w:webHidden/>
              </w:rPr>
              <w:t>352</w:t>
            </w:r>
            <w:r w:rsidR="00387802">
              <w:rPr>
                <w:noProof/>
                <w:webHidden/>
              </w:rPr>
              <w:fldChar w:fldCharType="end"/>
            </w:r>
          </w:hyperlink>
        </w:p>
        <w:p w14:paraId="1634464F" w14:textId="40EC4622" w:rsidR="00387802" w:rsidRDefault="00872E47">
          <w:pPr>
            <w:pStyle w:val="TOC3"/>
            <w:tabs>
              <w:tab w:val="left" w:pos="1320"/>
            </w:tabs>
            <w:rPr>
              <w:rFonts w:asciiTheme="minorHAnsi" w:eastAsiaTheme="minorEastAsia" w:hAnsiTheme="minorHAnsi"/>
              <w:noProof/>
              <w:spacing w:val="0"/>
              <w:sz w:val="22"/>
              <w:szCs w:val="22"/>
            </w:rPr>
          </w:pPr>
          <w:hyperlink w:anchor="_Toc431288949" w:history="1">
            <w:r w:rsidR="00387802" w:rsidRPr="00365A20">
              <w:rPr>
                <w:rStyle w:val="Hyperlink"/>
                <w:noProof/>
                <w14:scene3d>
                  <w14:camera w14:prst="orthographicFront"/>
                  <w14:lightRig w14:rig="threePt" w14:dir="t">
                    <w14:rot w14:lat="0" w14:lon="0" w14:rev="0"/>
                  </w14:lightRig>
                </w14:scene3d>
              </w:rPr>
              <w:t>10.2.6</w:t>
            </w:r>
            <w:r w:rsidR="00387802">
              <w:rPr>
                <w:rFonts w:asciiTheme="minorHAnsi" w:eastAsiaTheme="minorEastAsia" w:hAnsiTheme="minorHAnsi"/>
                <w:noProof/>
                <w:spacing w:val="0"/>
                <w:sz w:val="22"/>
                <w:szCs w:val="22"/>
              </w:rPr>
              <w:tab/>
            </w:r>
            <w:r w:rsidR="00387802" w:rsidRPr="00365A20">
              <w:rPr>
                <w:rStyle w:val="Hyperlink"/>
                <w:noProof/>
              </w:rPr>
              <w:t>Security Standardization for Administrative Control</w:t>
            </w:r>
            <w:r w:rsidR="00387802">
              <w:rPr>
                <w:noProof/>
                <w:webHidden/>
              </w:rPr>
              <w:tab/>
            </w:r>
            <w:r w:rsidR="00387802">
              <w:rPr>
                <w:noProof/>
                <w:webHidden/>
              </w:rPr>
              <w:fldChar w:fldCharType="begin"/>
            </w:r>
            <w:r w:rsidR="00387802">
              <w:rPr>
                <w:noProof/>
                <w:webHidden/>
              </w:rPr>
              <w:instrText xml:space="preserve"> PAGEREF _Toc431288949 \h </w:instrText>
            </w:r>
            <w:r w:rsidR="00387802">
              <w:rPr>
                <w:noProof/>
                <w:webHidden/>
              </w:rPr>
            </w:r>
            <w:r w:rsidR="00387802">
              <w:rPr>
                <w:noProof/>
                <w:webHidden/>
              </w:rPr>
              <w:fldChar w:fldCharType="separate"/>
            </w:r>
            <w:r w:rsidR="00387802">
              <w:rPr>
                <w:noProof/>
                <w:webHidden/>
              </w:rPr>
              <w:t>361</w:t>
            </w:r>
            <w:r w:rsidR="00387802">
              <w:rPr>
                <w:noProof/>
                <w:webHidden/>
              </w:rPr>
              <w:fldChar w:fldCharType="end"/>
            </w:r>
          </w:hyperlink>
        </w:p>
        <w:p w14:paraId="6E79F1E1" w14:textId="6C0E0855" w:rsidR="00387802" w:rsidRDefault="00872E47">
          <w:pPr>
            <w:pStyle w:val="TOC1"/>
            <w:rPr>
              <w:rFonts w:asciiTheme="minorHAnsi" w:hAnsiTheme="minorHAnsi"/>
              <w:sz w:val="22"/>
            </w:rPr>
          </w:pPr>
          <w:hyperlink w:anchor="_Toc431288950" w:history="1">
            <w:r w:rsidR="00387802" w:rsidRPr="00365A20">
              <w:rPr>
                <w:rStyle w:val="Hyperlink"/>
              </w:rPr>
              <w:t>11</w:t>
            </w:r>
            <w:r w:rsidR="00387802">
              <w:rPr>
                <w:rFonts w:asciiTheme="minorHAnsi" w:hAnsiTheme="minorHAnsi"/>
                <w:sz w:val="22"/>
              </w:rPr>
              <w:tab/>
            </w:r>
            <w:r w:rsidR="00387802" w:rsidRPr="00365A20">
              <w:rPr>
                <w:rStyle w:val="Hyperlink"/>
              </w:rPr>
              <w:t>Leveraging the Cloud Platform Integration Framework in Azure</w:t>
            </w:r>
            <w:r w:rsidR="00387802">
              <w:rPr>
                <w:webHidden/>
              </w:rPr>
              <w:tab/>
            </w:r>
            <w:r w:rsidR="00387802">
              <w:rPr>
                <w:webHidden/>
              </w:rPr>
              <w:fldChar w:fldCharType="begin"/>
            </w:r>
            <w:r w:rsidR="00387802">
              <w:rPr>
                <w:webHidden/>
              </w:rPr>
              <w:instrText xml:space="preserve"> PAGEREF _Toc431288950 \h </w:instrText>
            </w:r>
            <w:r w:rsidR="00387802">
              <w:rPr>
                <w:webHidden/>
              </w:rPr>
            </w:r>
            <w:r w:rsidR="00387802">
              <w:rPr>
                <w:webHidden/>
              </w:rPr>
              <w:fldChar w:fldCharType="separate"/>
            </w:r>
            <w:r w:rsidR="00387802">
              <w:rPr>
                <w:webHidden/>
              </w:rPr>
              <w:t>364</w:t>
            </w:r>
            <w:r w:rsidR="00387802">
              <w:rPr>
                <w:webHidden/>
              </w:rPr>
              <w:fldChar w:fldCharType="end"/>
            </w:r>
          </w:hyperlink>
        </w:p>
        <w:p w14:paraId="574132E2" w14:textId="76E03EC9" w:rsidR="00387802" w:rsidRDefault="00872E47">
          <w:pPr>
            <w:pStyle w:val="TOC2"/>
            <w:tabs>
              <w:tab w:val="left" w:pos="880"/>
              <w:tab w:val="right" w:leader="dot" w:pos="9350"/>
            </w:tabs>
            <w:rPr>
              <w:rFonts w:asciiTheme="minorHAnsi" w:hAnsiTheme="minorHAnsi"/>
              <w:noProof/>
            </w:rPr>
          </w:pPr>
          <w:hyperlink w:anchor="_Toc431288951" w:history="1">
            <w:r w:rsidR="00387802" w:rsidRPr="00365A20">
              <w:rPr>
                <w:rStyle w:val="Hyperlink"/>
                <w:noProof/>
              </w:rPr>
              <w:t>11.1</w:t>
            </w:r>
            <w:r w:rsidR="00387802">
              <w:rPr>
                <w:rFonts w:asciiTheme="minorHAnsi" w:hAnsiTheme="minorHAnsi"/>
                <w:noProof/>
              </w:rPr>
              <w:tab/>
            </w:r>
            <w:r w:rsidR="00387802" w:rsidRPr="00365A20">
              <w:rPr>
                <w:rStyle w:val="Hyperlink"/>
                <w:noProof/>
              </w:rPr>
              <w:t>Deployment</w:t>
            </w:r>
            <w:r w:rsidR="00387802">
              <w:rPr>
                <w:noProof/>
                <w:webHidden/>
              </w:rPr>
              <w:tab/>
            </w:r>
            <w:r w:rsidR="00387802">
              <w:rPr>
                <w:noProof/>
                <w:webHidden/>
              </w:rPr>
              <w:fldChar w:fldCharType="begin"/>
            </w:r>
            <w:r w:rsidR="00387802">
              <w:rPr>
                <w:noProof/>
                <w:webHidden/>
              </w:rPr>
              <w:instrText xml:space="preserve"> PAGEREF _Toc431288951 \h </w:instrText>
            </w:r>
            <w:r w:rsidR="00387802">
              <w:rPr>
                <w:noProof/>
                <w:webHidden/>
              </w:rPr>
            </w:r>
            <w:r w:rsidR="00387802">
              <w:rPr>
                <w:noProof/>
                <w:webHidden/>
              </w:rPr>
              <w:fldChar w:fldCharType="separate"/>
            </w:r>
            <w:r w:rsidR="00387802">
              <w:rPr>
                <w:noProof/>
                <w:webHidden/>
              </w:rPr>
              <w:t>364</w:t>
            </w:r>
            <w:r w:rsidR="00387802">
              <w:rPr>
                <w:noProof/>
                <w:webHidden/>
              </w:rPr>
              <w:fldChar w:fldCharType="end"/>
            </w:r>
          </w:hyperlink>
        </w:p>
        <w:p w14:paraId="7B49E289" w14:textId="1FBDFFC5" w:rsidR="00387802" w:rsidRDefault="00872E47">
          <w:pPr>
            <w:pStyle w:val="TOC3"/>
            <w:tabs>
              <w:tab w:val="left" w:pos="1320"/>
            </w:tabs>
            <w:rPr>
              <w:rFonts w:asciiTheme="minorHAnsi" w:eastAsiaTheme="minorEastAsia" w:hAnsiTheme="minorHAnsi"/>
              <w:noProof/>
              <w:spacing w:val="0"/>
              <w:sz w:val="22"/>
              <w:szCs w:val="22"/>
            </w:rPr>
          </w:pPr>
          <w:hyperlink w:anchor="_Toc431288952" w:history="1">
            <w:r w:rsidR="00387802" w:rsidRPr="00365A20">
              <w:rPr>
                <w:rStyle w:val="Hyperlink"/>
                <w:noProof/>
                <w14:scene3d>
                  <w14:camera w14:prst="orthographicFront"/>
                  <w14:lightRig w14:rig="threePt" w14:dir="t">
                    <w14:rot w14:lat="0" w14:lon="0" w14:rev="0"/>
                  </w14:lightRig>
                </w14:scene3d>
              </w:rPr>
              <w:t>11.1.1</w:t>
            </w:r>
            <w:r w:rsidR="00387802">
              <w:rPr>
                <w:rFonts w:asciiTheme="minorHAnsi" w:eastAsiaTheme="minorEastAsia" w:hAnsiTheme="minorHAnsi"/>
                <w:noProof/>
                <w:spacing w:val="0"/>
                <w:sz w:val="22"/>
                <w:szCs w:val="22"/>
              </w:rPr>
              <w:tab/>
            </w:r>
            <w:r w:rsidR="00387802" w:rsidRPr="00365A20">
              <w:rPr>
                <w:rStyle w:val="Hyperlink"/>
                <w:noProof/>
              </w:rPr>
              <w:t>Automation</w:t>
            </w:r>
            <w:r w:rsidR="00387802">
              <w:rPr>
                <w:noProof/>
                <w:webHidden/>
              </w:rPr>
              <w:tab/>
            </w:r>
            <w:r w:rsidR="00387802">
              <w:rPr>
                <w:noProof/>
                <w:webHidden/>
              </w:rPr>
              <w:fldChar w:fldCharType="begin"/>
            </w:r>
            <w:r w:rsidR="00387802">
              <w:rPr>
                <w:noProof/>
                <w:webHidden/>
              </w:rPr>
              <w:instrText xml:space="preserve"> PAGEREF _Toc431288952 \h </w:instrText>
            </w:r>
            <w:r w:rsidR="00387802">
              <w:rPr>
                <w:noProof/>
                <w:webHidden/>
              </w:rPr>
            </w:r>
            <w:r w:rsidR="00387802">
              <w:rPr>
                <w:noProof/>
                <w:webHidden/>
              </w:rPr>
              <w:fldChar w:fldCharType="separate"/>
            </w:r>
            <w:r w:rsidR="00387802">
              <w:rPr>
                <w:noProof/>
                <w:webHidden/>
              </w:rPr>
              <w:t>365</w:t>
            </w:r>
            <w:r w:rsidR="00387802">
              <w:rPr>
                <w:noProof/>
                <w:webHidden/>
              </w:rPr>
              <w:fldChar w:fldCharType="end"/>
            </w:r>
          </w:hyperlink>
        </w:p>
        <w:p w14:paraId="5C84AB30" w14:textId="71241C9D" w:rsidR="00387802" w:rsidRDefault="00872E47">
          <w:pPr>
            <w:pStyle w:val="TOC3"/>
            <w:tabs>
              <w:tab w:val="left" w:pos="1320"/>
            </w:tabs>
            <w:rPr>
              <w:rFonts w:asciiTheme="minorHAnsi" w:eastAsiaTheme="minorEastAsia" w:hAnsiTheme="minorHAnsi"/>
              <w:noProof/>
              <w:spacing w:val="0"/>
              <w:sz w:val="22"/>
              <w:szCs w:val="22"/>
            </w:rPr>
          </w:pPr>
          <w:hyperlink w:anchor="_Toc431288953" w:history="1">
            <w:r w:rsidR="00387802" w:rsidRPr="00365A20">
              <w:rPr>
                <w:rStyle w:val="Hyperlink"/>
                <w:noProof/>
                <w14:scene3d>
                  <w14:camera w14:prst="orthographicFront"/>
                  <w14:lightRig w14:rig="threePt" w14:dir="t">
                    <w14:rot w14:lat="0" w14:lon="0" w14:rev="0"/>
                  </w14:lightRig>
                </w14:scene3d>
              </w:rPr>
              <w:t>11.1.2</w:t>
            </w:r>
            <w:r w:rsidR="00387802">
              <w:rPr>
                <w:rFonts w:asciiTheme="minorHAnsi" w:eastAsiaTheme="minorEastAsia" w:hAnsiTheme="minorHAnsi"/>
                <w:noProof/>
                <w:spacing w:val="0"/>
                <w:sz w:val="22"/>
                <w:szCs w:val="22"/>
              </w:rPr>
              <w:tab/>
            </w:r>
            <w:r w:rsidR="00387802" w:rsidRPr="00365A20">
              <w:rPr>
                <w:rStyle w:val="Hyperlink"/>
                <w:noProof/>
              </w:rPr>
              <w:t>Azure Resource Groups</w:t>
            </w:r>
            <w:r w:rsidR="00387802">
              <w:rPr>
                <w:noProof/>
                <w:webHidden/>
              </w:rPr>
              <w:tab/>
            </w:r>
            <w:r w:rsidR="00387802">
              <w:rPr>
                <w:noProof/>
                <w:webHidden/>
              </w:rPr>
              <w:fldChar w:fldCharType="begin"/>
            </w:r>
            <w:r w:rsidR="00387802">
              <w:rPr>
                <w:noProof/>
                <w:webHidden/>
              </w:rPr>
              <w:instrText xml:space="preserve"> PAGEREF _Toc431288953 \h </w:instrText>
            </w:r>
            <w:r w:rsidR="00387802">
              <w:rPr>
                <w:noProof/>
                <w:webHidden/>
              </w:rPr>
            </w:r>
            <w:r w:rsidR="00387802">
              <w:rPr>
                <w:noProof/>
                <w:webHidden/>
              </w:rPr>
              <w:fldChar w:fldCharType="separate"/>
            </w:r>
            <w:r w:rsidR="00387802">
              <w:rPr>
                <w:noProof/>
                <w:webHidden/>
              </w:rPr>
              <w:t>376</w:t>
            </w:r>
            <w:r w:rsidR="00387802">
              <w:rPr>
                <w:noProof/>
                <w:webHidden/>
              </w:rPr>
              <w:fldChar w:fldCharType="end"/>
            </w:r>
          </w:hyperlink>
        </w:p>
        <w:p w14:paraId="68A82F5F" w14:textId="6D77214C" w:rsidR="00387802" w:rsidRDefault="00872E47">
          <w:pPr>
            <w:pStyle w:val="TOC2"/>
            <w:tabs>
              <w:tab w:val="left" w:pos="880"/>
              <w:tab w:val="right" w:leader="dot" w:pos="9350"/>
            </w:tabs>
            <w:rPr>
              <w:rFonts w:asciiTheme="minorHAnsi" w:hAnsiTheme="minorHAnsi"/>
              <w:noProof/>
            </w:rPr>
          </w:pPr>
          <w:hyperlink w:anchor="_Toc431288954" w:history="1">
            <w:r w:rsidR="00387802" w:rsidRPr="00365A20">
              <w:rPr>
                <w:rStyle w:val="Hyperlink"/>
                <w:noProof/>
              </w:rPr>
              <w:t>11.2</w:t>
            </w:r>
            <w:r w:rsidR="00387802">
              <w:rPr>
                <w:rFonts w:asciiTheme="minorHAnsi" w:hAnsiTheme="minorHAnsi"/>
                <w:noProof/>
              </w:rPr>
              <w:tab/>
            </w:r>
            <w:r w:rsidR="00387802" w:rsidRPr="00365A20">
              <w:rPr>
                <w:rStyle w:val="Hyperlink"/>
                <w:noProof/>
              </w:rPr>
              <w:t>Backup and Disaster Recovery</w:t>
            </w:r>
            <w:r w:rsidR="00387802">
              <w:rPr>
                <w:noProof/>
                <w:webHidden/>
              </w:rPr>
              <w:tab/>
            </w:r>
            <w:r w:rsidR="00387802">
              <w:rPr>
                <w:noProof/>
                <w:webHidden/>
              </w:rPr>
              <w:fldChar w:fldCharType="begin"/>
            </w:r>
            <w:r w:rsidR="00387802">
              <w:rPr>
                <w:noProof/>
                <w:webHidden/>
              </w:rPr>
              <w:instrText xml:space="preserve"> PAGEREF _Toc431288954 \h </w:instrText>
            </w:r>
            <w:r w:rsidR="00387802">
              <w:rPr>
                <w:noProof/>
                <w:webHidden/>
              </w:rPr>
            </w:r>
            <w:r w:rsidR="00387802">
              <w:rPr>
                <w:noProof/>
                <w:webHidden/>
              </w:rPr>
              <w:fldChar w:fldCharType="separate"/>
            </w:r>
            <w:r w:rsidR="00387802">
              <w:rPr>
                <w:noProof/>
                <w:webHidden/>
              </w:rPr>
              <w:t>377</w:t>
            </w:r>
            <w:r w:rsidR="00387802">
              <w:rPr>
                <w:noProof/>
                <w:webHidden/>
              </w:rPr>
              <w:fldChar w:fldCharType="end"/>
            </w:r>
          </w:hyperlink>
        </w:p>
        <w:p w14:paraId="172E2EAC" w14:textId="0D3F4791" w:rsidR="00387802" w:rsidRDefault="00872E47">
          <w:pPr>
            <w:pStyle w:val="TOC3"/>
            <w:tabs>
              <w:tab w:val="left" w:pos="1320"/>
            </w:tabs>
            <w:rPr>
              <w:rFonts w:asciiTheme="minorHAnsi" w:eastAsiaTheme="minorEastAsia" w:hAnsiTheme="minorHAnsi"/>
              <w:noProof/>
              <w:spacing w:val="0"/>
              <w:sz w:val="22"/>
              <w:szCs w:val="22"/>
            </w:rPr>
          </w:pPr>
          <w:hyperlink w:anchor="_Toc431288955" w:history="1">
            <w:r w:rsidR="00387802" w:rsidRPr="00365A20">
              <w:rPr>
                <w:rStyle w:val="Hyperlink"/>
                <w:noProof/>
                <w14:scene3d>
                  <w14:camera w14:prst="orthographicFront"/>
                  <w14:lightRig w14:rig="threePt" w14:dir="t">
                    <w14:rot w14:lat="0" w14:lon="0" w14:rev="0"/>
                  </w14:lightRig>
                </w14:scene3d>
              </w:rPr>
              <w:t>11.2.1</w:t>
            </w:r>
            <w:r w:rsidR="00387802">
              <w:rPr>
                <w:rFonts w:asciiTheme="minorHAnsi" w:eastAsiaTheme="minorEastAsia" w:hAnsiTheme="minorHAnsi"/>
                <w:noProof/>
                <w:spacing w:val="0"/>
                <w:sz w:val="22"/>
                <w:szCs w:val="22"/>
              </w:rPr>
              <w:tab/>
            </w:r>
            <w:r w:rsidR="00387802" w:rsidRPr="00365A20">
              <w:rPr>
                <w:rStyle w:val="Hyperlink"/>
                <w:noProof/>
              </w:rPr>
              <w:t>Microsoft Azure Backup</w:t>
            </w:r>
            <w:r w:rsidR="00387802">
              <w:rPr>
                <w:noProof/>
                <w:webHidden/>
              </w:rPr>
              <w:tab/>
            </w:r>
            <w:r w:rsidR="00387802">
              <w:rPr>
                <w:noProof/>
                <w:webHidden/>
              </w:rPr>
              <w:fldChar w:fldCharType="begin"/>
            </w:r>
            <w:r w:rsidR="00387802">
              <w:rPr>
                <w:noProof/>
                <w:webHidden/>
              </w:rPr>
              <w:instrText xml:space="preserve"> PAGEREF _Toc431288955 \h </w:instrText>
            </w:r>
            <w:r w:rsidR="00387802">
              <w:rPr>
                <w:noProof/>
                <w:webHidden/>
              </w:rPr>
            </w:r>
            <w:r w:rsidR="00387802">
              <w:rPr>
                <w:noProof/>
                <w:webHidden/>
              </w:rPr>
              <w:fldChar w:fldCharType="separate"/>
            </w:r>
            <w:r w:rsidR="00387802">
              <w:rPr>
                <w:noProof/>
                <w:webHidden/>
              </w:rPr>
              <w:t>377</w:t>
            </w:r>
            <w:r w:rsidR="00387802">
              <w:rPr>
                <w:noProof/>
                <w:webHidden/>
              </w:rPr>
              <w:fldChar w:fldCharType="end"/>
            </w:r>
          </w:hyperlink>
        </w:p>
        <w:p w14:paraId="61C14A2F" w14:textId="099B4810" w:rsidR="00387802" w:rsidRDefault="00872E47">
          <w:pPr>
            <w:pStyle w:val="TOC3"/>
            <w:tabs>
              <w:tab w:val="left" w:pos="1320"/>
            </w:tabs>
            <w:rPr>
              <w:rFonts w:asciiTheme="minorHAnsi" w:eastAsiaTheme="minorEastAsia" w:hAnsiTheme="minorHAnsi"/>
              <w:noProof/>
              <w:spacing w:val="0"/>
              <w:sz w:val="22"/>
              <w:szCs w:val="22"/>
            </w:rPr>
          </w:pPr>
          <w:hyperlink w:anchor="_Toc431288956" w:history="1">
            <w:r w:rsidR="00387802" w:rsidRPr="00365A20">
              <w:rPr>
                <w:rStyle w:val="Hyperlink"/>
                <w:noProof/>
                <w14:scene3d>
                  <w14:camera w14:prst="orthographicFront"/>
                  <w14:lightRig w14:rig="threePt" w14:dir="t">
                    <w14:rot w14:lat="0" w14:lon="0" w14:rev="0"/>
                  </w14:lightRig>
                </w14:scene3d>
              </w:rPr>
              <w:t>11.2.2</w:t>
            </w:r>
            <w:r w:rsidR="00387802">
              <w:rPr>
                <w:rFonts w:asciiTheme="minorHAnsi" w:eastAsiaTheme="minorEastAsia" w:hAnsiTheme="minorHAnsi"/>
                <w:noProof/>
                <w:spacing w:val="0"/>
                <w:sz w:val="22"/>
                <w:szCs w:val="22"/>
              </w:rPr>
              <w:tab/>
            </w:r>
            <w:r w:rsidR="00387802" w:rsidRPr="00365A20">
              <w:rPr>
                <w:rStyle w:val="Hyperlink"/>
                <w:noProof/>
              </w:rPr>
              <w:t>System Center Data Protection Manager</w:t>
            </w:r>
            <w:r w:rsidR="00387802">
              <w:rPr>
                <w:noProof/>
                <w:webHidden/>
              </w:rPr>
              <w:tab/>
            </w:r>
            <w:r w:rsidR="00387802">
              <w:rPr>
                <w:noProof/>
                <w:webHidden/>
              </w:rPr>
              <w:fldChar w:fldCharType="begin"/>
            </w:r>
            <w:r w:rsidR="00387802">
              <w:rPr>
                <w:noProof/>
                <w:webHidden/>
              </w:rPr>
              <w:instrText xml:space="preserve"> PAGEREF _Toc431288956 \h </w:instrText>
            </w:r>
            <w:r w:rsidR="00387802">
              <w:rPr>
                <w:noProof/>
                <w:webHidden/>
              </w:rPr>
            </w:r>
            <w:r w:rsidR="00387802">
              <w:rPr>
                <w:noProof/>
                <w:webHidden/>
              </w:rPr>
              <w:fldChar w:fldCharType="separate"/>
            </w:r>
            <w:r w:rsidR="00387802">
              <w:rPr>
                <w:noProof/>
                <w:webHidden/>
              </w:rPr>
              <w:t>383</w:t>
            </w:r>
            <w:r w:rsidR="00387802">
              <w:rPr>
                <w:noProof/>
                <w:webHidden/>
              </w:rPr>
              <w:fldChar w:fldCharType="end"/>
            </w:r>
          </w:hyperlink>
        </w:p>
        <w:p w14:paraId="4F47D4C6" w14:textId="021B5665" w:rsidR="00387802" w:rsidRDefault="00872E47">
          <w:pPr>
            <w:pStyle w:val="TOC3"/>
            <w:tabs>
              <w:tab w:val="left" w:pos="1320"/>
            </w:tabs>
            <w:rPr>
              <w:rFonts w:asciiTheme="minorHAnsi" w:eastAsiaTheme="minorEastAsia" w:hAnsiTheme="minorHAnsi"/>
              <w:noProof/>
              <w:spacing w:val="0"/>
              <w:sz w:val="22"/>
              <w:szCs w:val="22"/>
            </w:rPr>
          </w:pPr>
          <w:hyperlink w:anchor="_Toc431288957" w:history="1">
            <w:r w:rsidR="00387802" w:rsidRPr="00365A20">
              <w:rPr>
                <w:rStyle w:val="Hyperlink"/>
                <w:noProof/>
                <w14:scene3d>
                  <w14:camera w14:prst="orthographicFront"/>
                  <w14:lightRig w14:rig="threePt" w14:dir="t">
                    <w14:rot w14:lat="0" w14:lon="0" w14:rev="0"/>
                  </w14:lightRig>
                </w14:scene3d>
              </w:rPr>
              <w:t>11.2.3</w:t>
            </w:r>
            <w:r w:rsidR="00387802">
              <w:rPr>
                <w:rFonts w:asciiTheme="minorHAnsi" w:eastAsiaTheme="minorEastAsia" w:hAnsiTheme="minorHAnsi"/>
                <w:noProof/>
                <w:spacing w:val="0"/>
                <w:sz w:val="22"/>
                <w:szCs w:val="22"/>
              </w:rPr>
              <w:tab/>
            </w:r>
            <w:r w:rsidR="00387802" w:rsidRPr="00365A20">
              <w:rPr>
                <w:rStyle w:val="Hyperlink"/>
                <w:noProof/>
              </w:rPr>
              <w:t>Azure Site Recovery</w:t>
            </w:r>
            <w:r w:rsidR="00387802">
              <w:rPr>
                <w:noProof/>
                <w:webHidden/>
              </w:rPr>
              <w:tab/>
            </w:r>
            <w:r w:rsidR="00387802">
              <w:rPr>
                <w:noProof/>
                <w:webHidden/>
              </w:rPr>
              <w:fldChar w:fldCharType="begin"/>
            </w:r>
            <w:r w:rsidR="00387802">
              <w:rPr>
                <w:noProof/>
                <w:webHidden/>
              </w:rPr>
              <w:instrText xml:space="preserve"> PAGEREF _Toc431288957 \h </w:instrText>
            </w:r>
            <w:r w:rsidR="00387802">
              <w:rPr>
                <w:noProof/>
                <w:webHidden/>
              </w:rPr>
            </w:r>
            <w:r w:rsidR="00387802">
              <w:rPr>
                <w:noProof/>
                <w:webHidden/>
              </w:rPr>
              <w:fldChar w:fldCharType="separate"/>
            </w:r>
            <w:r w:rsidR="00387802">
              <w:rPr>
                <w:noProof/>
                <w:webHidden/>
              </w:rPr>
              <w:t>386</w:t>
            </w:r>
            <w:r w:rsidR="00387802">
              <w:rPr>
                <w:noProof/>
                <w:webHidden/>
              </w:rPr>
              <w:fldChar w:fldCharType="end"/>
            </w:r>
          </w:hyperlink>
        </w:p>
        <w:p w14:paraId="11BA98C2" w14:textId="06B0FB4C" w:rsidR="00387802" w:rsidRDefault="00872E47">
          <w:pPr>
            <w:pStyle w:val="TOC3"/>
            <w:tabs>
              <w:tab w:val="left" w:pos="1320"/>
            </w:tabs>
            <w:rPr>
              <w:rFonts w:asciiTheme="minorHAnsi" w:eastAsiaTheme="minorEastAsia" w:hAnsiTheme="minorHAnsi"/>
              <w:noProof/>
              <w:spacing w:val="0"/>
              <w:sz w:val="22"/>
              <w:szCs w:val="22"/>
            </w:rPr>
          </w:pPr>
          <w:hyperlink w:anchor="_Toc431288958" w:history="1">
            <w:r w:rsidR="00387802" w:rsidRPr="00365A20">
              <w:rPr>
                <w:rStyle w:val="Hyperlink"/>
                <w:noProof/>
                <w14:scene3d>
                  <w14:camera w14:prst="orthographicFront"/>
                  <w14:lightRig w14:rig="threePt" w14:dir="t">
                    <w14:rot w14:lat="0" w14:lon="0" w14:rev="0"/>
                  </w14:lightRig>
                </w14:scene3d>
              </w:rPr>
              <w:t>11.2.4</w:t>
            </w:r>
            <w:r w:rsidR="00387802">
              <w:rPr>
                <w:rFonts w:asciiTheme="minorHAnsi" w:eastAsiaTheme="minorEastAsia" w:hAnsiTheme="minorHAnsi"/>
                <w:noProof/>
                <w:spacing w:val="0"/>
                <w:sz w:val="22"/>
                <w:szCs w:val="22"/>
              </w:rPr>
              <w:tab/>
            </w:r>
            <w:r w:rsidR="00387802" w:rsidRPr="00365A20">
              <w:rPr>
                <w:rStyle w:val="Hyperlink"/>
                <w:noProof/>
              </w:rPr>
              <w:t>Native Service Backup (PaaS)</w:t>
            </w:r>
            <w:r w:rsidR="00387802">
              <w:rPr>
                <w:noProof/>
                <w:webHidden/>
              </w:rPr>
              <w:tab/>
            </w:r>
            <w:r w:rsidR="00387802">
              <w:rPr>
                <w:noProof/>
                <w:webHidden/>
              </w:rPr>
              <w:fldChar w:fldCharType="begin"/>
            </w:r>
            <w:r w:rsidR="00387802">
              <w:rPr>
                <w:noProof/>
                <w:webHidden/>
              </w:rPr>
              <w:instrText xml:space="preserve"> PAGEREF _Toc431288958 \h </w:instrText>
            </w:r>
            <w:r w:rsidR="00387802">
              <w:rPr>
                <w:noProof/>
                <w:webHidden/>
              </w:rPr>
            </w:r>
            <w:r w:rsidR="00387802">
              <w:rPr>
                <w:noProof/>
                <w:webHidden/>
              </w:rPr>
              <w:fldChar w:fldCharType="separate"/>
            </w:r>
            <w:r w:rsidR="00387802">
              <w:rPr>
                <w:noProof/>
                <w:webHidden/>
              </w:rPr>
              <w:t>388</w:t>
            </w:r>
            <w:r w:rsidR="00387802">
              <w:rPr>
                <w:noProof/>
                <w:webHidden/>
              </w:rPr>
              <w:fldChar w:fldCharType="end"/>
            </w:r>
          </w:hyperlink>
        </w:p>
        <w:p w14:paraId="3E830260" w14:textId="014EADB1" w:rsidR="00387802" w:rsidRDefault="00872E47">
          <w:pPr>
            <w:pStyle w:val="TOC3"/>
            <w:tabs>
              <w:tab w:val="left" w:pos="1320"/>
            </w:tabs>
            <w:rPr>
              <w:rFonts w:asciiTheme="minorHAnsi" w:eastAsiaTheme="minorEastAsia" w:hAnsiTheme="minorHAnsi"/>
              <w:noProof/>
              <w:spacing w:val="0"/>
              <w:sz w:val="22"/>
              <w:szCs w:val="22"/>
            </w:rPr>
          </w:pPr>
          <w:hyperlink w:anchor="_Toc431288959" w:history="1">
            <w:r w:rsidR="00387802" w:rsidRPr="00365A20">
              <w:rPr>
                <w:rStyle w:val="Hyperlink"/>
                <w:noProof/>
                <w14:scene3d>
                  <w14:camera w14:prst="orthographicFront"/>
                  <w14:lightRig w14:rig="threePt" w14:dir="t">
                    <w14:rot w14:lat="0" w14:lon="0" w14:rev="0"/>
                  </w14:lightRig>
                </w14:scene3d>
              </w:rPr>
              <w:t>11.2.5</w:t>
            </w:r>
            <w:r w:rsidR="00387802">
              <w:rPr>
                <w:rFonts w:asciiTheme="minorHAnsi" w:eastAsiaTheme="minorEastAsia" w:hAnsiTheme="minorHAnsi"/>
                <w:noProof/>
                <w:spacing w:val="0"/>
                <w:sz w:val="22"/>
                <w:szCs w:val="22"/>
              </w:rPr>
              <w:tab/>
            </w:r>
            <w:r w:rsidR="00387802" w:rsidRPr="00365A20">
              <w:rPr>
                <w:rStyle w:val="Hyperlink"/>
                <w:noProof/>
              </w:rPr>
              <w:t>Third-Party Backup Using Azure Storage</w:t>
            </w:r>
            <w:r w:rsidR="00387802">
              <w:rPr>
                <w:noProof/>
                <w:webHidden/>
              </w:rPr>
              <w:tab/>
            </w:r>
            <w:r w:rsidR="00387802">
              <w:rPr>
                <w:noProof/>
                <w:webHidden/>
              </w:rPr>
              <w:fldChar w:fldCharType="begin"/>
            </w:r>
            <w:r w:rsidR="00387802">
              <w:rPr>
                <w:noProof/>
                <w:webHidden/>
              </w:rPr>
              <w:instrText xml:space="preserve"> PAGEREF _Toc431288959 \h </w:instrText>
            </w:r>
            <w:r w:rsidR="00387802">
              <w:rPr>
                <w:noProof/>
                <w:webHidden/>
              </w:rPr>
            </w:r>
            <w:r w:rsidR="00387802">
              <w:rPr>
                <w:noProof/>
                <w:webHidden/>
              </w:rPr>
              <w:fldChar w:fldCharType="separate"/>
            </w:r>
            <w:r w:rsidR="00387802">
              <w:rPr>
                <w:noProof/>
                <w:webHidden/>
              </w:rPr>
              <w:t>389</w:t>
            </w:r>
            <w:r w:rsidR="00387802">
              <w:rPr>
                <w:noProof/>
                <w:webHidden/>
              </w:rPr>
              <w:fldChar w:fldCharType="end"/>
            </w:r>
          </w:hyperlink>
        </w:p>
        <w:p w14:paraId="42FEE3AF" w14:textId="195F2ED9" w:rsidR="00387802" w:rsidRDefault="00872E47">
          <w:pPr>
            <w:pStyle w:val="TOC3"/>
            <w:tabs>
              <w:tab w:val="left" w:pos="1320"/>
            </w:tabs>
            <w:rPr>
              <w:rFonts w:asciiTheme="minorHAnsi" w:eastAsiaTheme="minorEastAsia" w:hAnsiTheme="minorHAnsi"/>
              <w:noProof/>
              <w:spacing w:val="0"/>
              <w:sz w:val="22"/>
              <w:szCs w:val="22"/>
            </w:rPr>
          </w:pPr>
          <w:hyperlink w:anchor="_Toc431288960" w:history="1">
            <w:r w:rsidR="00387802" w:rsidRPr="00365A20">
              <w:rPr>
                <w:rStyle w:val="Hyperlink"/>
                <w:noProof/>
                <w14:scene3d>
                  <w14:camera w14:prst="orthographicFront"/>
                  <w14:lightRig w14:rig="threePt" w14:dir="t">
                    <w14:rot w14:lat="0" w14:lon="0" w14:rev="0"/>
                  </w14:lightRig>
                </w14:scene3d>
              </w:rPr>
              <w:t>11.2.6</w:t>
            </w:r>
            <w:r w:rsidR="00387802">
              <w:rPr>
                <w:rFonts w:asciiTheme="minorHAnsi" w:eastAsiaTheme="minorEastAsia" w:hAnsiTheme="minorHAnsi"/>
                <w:noProof/>
                <w:spacing w:val="0"/>
                <w:sz w:val="22"/>
                <w:szCs w:val="22"/>
              </w:rPr>
              <w:tab/>
            </w:r>
            <w:r w:rsidR="00387802" w:rsidRPr="00365A20">
              <w:rPr>
                <w:rStyle w:val="Hyperlink"/>
                <w:noProof/>
              </w:rPr>
              <w:t>Backup Security</w:t>
            </w:r>
            <w:r w:rsidR="00387802">
              <w:rPr>
                <w:noProof/>
                <w:webHidden/>
              </w:rPr>
              <w:tab/>
            </w:r>
            <w:r w:rsidR="00387802">
              <w:rPr>
                <w:noProof/>
                <w:webHidden/>
              </w:rPr>
              <w:fldChar w:fldCharType="begin"/>
            </w:r>
            <w:r w:rsidR="00387802">
              <w:rPr>
                <w:noProof/>
                <w:webHidden/>
              </w:rPr>
              <w:instrText xml:space="preserve"> PAGEREF _Toc431288960 \h </w:instrText>
            </w:r>
            <w:r w:rsidR="00387802">
              <w:rPr>
                <w:noProof/>
                <w:webHidden/>
              </w:rPr>
            </w:r>
            <w:r w:rsidR="00387802">
              <w:rPr>
                <w:noProof/>
                <w:webHidden/>
              </w:rPr>
              <w:fldChar w:fldCharType="separate"/>
            </w:r>
            <w:r w:rsidR="00387802">
              <w:rPr>
                <w:noProof/>
                <w:webHidden/>
              </w:rPr>
              <w:t>390</w:t>
            </w:r>
            <w:r w:rsidR="00387802">
              <w:rPr>
                <w:noProof/>
                <w:webHidden/>
              </w:rPr>
              <w:fldChar w:fldCharType="end"/>
            </w:r>
          </w:hyperlink>
        </w:p>
        <w:p w14:paraId="47717D00" w14:textId="1A28A699" w:rsidR="00387802" w:rsidRDefault="00872E47">
          <w:pPr>
            <w:pStyle w:val="TOC2"/>
            <w:tabs>
              <w:tab w:val="left" w:pos="880"/>
              <w:tab w:val="right" w:leader="dot" w:pos="9350"/>
            </w:tabs>
            <w:rPr>
              <w:rFonts w:asciiTheme="minorHAnsi" w:hAnsiTheme="minorHAnsi"/>
              <w:noProof/>
            </w:rPr>
          </w:pPr>
          <w:hyperlink w:anchor="_Toc431288961" w:history="1">
            <w:r w:rsidR="00387802" w:rsidRPr="00365A20">
              <w:rPr>
                <w:rStyle w:val="Hyperlink"/>
                <w:noProof/>
              </w:rPr>
              <w:t>11.3</w:t>
            </w:r>
            <w:r w:rsidR="00387802">
              <w:rPr>
                <w:rFonts w:asciiTheme="minorHAnsi" w:hAnsiTheme="minorHAnsi"/>
                <w:noProof/>
              </w:rPr>
              <w:tab/>
            </w:r>
            <w:r w:rsidR="00387802" w:rsidRPr="00365A20">
              <w:rPr>
                <w:rStyle w:val="Hyperlink"/>
                <w:noProof/>
              </w:rPr>
              <w:t>Monitoring</w:t>
            </w:r>
            <w:r w:rsidR="00387802">
              <w:rPr>
                <w:noProof/>
                <w:webHidden/>
              </w:rPr>
              <w:tab/>
            </w:r>
            <w:r w:rsidR="00387802">
              <w:rPr>
                <w:noProof/>
                <w:webHidden/>
              </w:rPr>
              <w:fldChar w:fldCharType="begin"/>
            </w:r>
            <w:r w:rsidR="00387802">
              <w:rPr>
                <w:noProof/>
                <w:webHidden/>
              </w:rPr>
              <w:instrText xml:space="preserve"> PAGEREF _Toc431288961 \h </w:instrText>
            </w:r>
            <w:r w:rsidR="00387802">
              <w:rPr>
                <w:noProof/>
                <w:webHidden/>
              </w:rPr>
            </w:r>
            <w:r w:rsidR="00387802">
              <w:rPr>
                <w:noProof/>
                <w:webHidden/>
              </w:rPr>
              <w:fldChar w:fldCharType="separate"/>
            </w:r>
            <w:r w:rsidR="00387802">
              <w:rPr>
                <w:noProof/>
                <w:webHidden/>
              </w:rPr>
              <w:t>393</w:t>
            </w:r>
            <w:r w:rsidR="00387802">
              <w:rPr>
                <w:noProof/>
                <w:webHidden/>
              </w:rPr>
              <w:fldChar w:fldCharType="end"/>
            </w:r>
          </w:hyperlink>
        </w:p>
        <w:p w14:paraId="67D54D54" w14:textId="63EDF996" w:rsidR="00387802" w:rsidRDefault="00872E47">
          <w:pPr>
            <w:pStyle w:val="TOC3"/>
            <w:tabs>
              <w:tab w:val="left" w:pos="1320"/>
            </w:tabs>
            <w:rPr>
              <w:rFonts w:asciiTheme="minorHAnsi" w:eastAsiaTheme="minorEastAsia" w:hAnsiTheme="minorHAnsi"/>
              <w:noProof/>
              <w:spacing w:val="0"/>
              <w:sz w:val="22"/>
              <w:szCs w:val="22"/>
            </w:rPr>
          </w:pPr>
          <w:hyperlink w:anchor="_Toc431288962" w:history="1">
            <w:r w:rsidR="00387802" w:rsidRPr="00365A20">
              <w:rPr>
                <w:rStyle w:val="Hyperlink"/>
                <w:noProof/>
                <w14:scene3d>
                  <w14:camera w14:prst="orthographicFront"/>
                  <w14:lightRig w14:rig="threePt" w14:dir="t">
                    <w14:rot w14:lat="0" w14:lon="0" w14:rev="0"/>
                  </w14:lightRig>
                </w14:scene3d>
              </w:rPr>
              <w:t>11.3.1</w:t>
            </w:r>
            <w:r w:rsidR="00387802">
              <w:rPr>
                <w:rFonts w:asciiTheme="minorHAnsi" w:eastAsiaTheme="minorEastAsia" w:hAnsiTheme="minorHAnsi"/>
                <w:noProof/>
                <w:spacing w:val="0"/>
                <w:sz w:val="22"/>
                <w:szCs w:val="22"/>
              </w:rPr>
              <w:tab/>
            </w:r>
            <w:r w:rsidR="00387802" w:rsidRPr="00365A20">
              <w:rPr>
                <w:rStyle w:val="Hyperlink"/>
                <w:noProof/>
              </w:rPr>
              <w:t>Azure Management Services</w:t>
            </w:r>
            <w:r w:rsidR="00387802">
              <w:rPr>
                <w:noProof/>
                <w:webHidden/>
              </w:rPr>
              <w:tab/>
            </w:r>
            <w:r w:rsidR="00387802">
              <w:rPr>
                <w:noProof/>
                <w:webHidden/>
              </w:rPr>
              <w:fldChar w:fldCharType="begin"/>
            </w:r>
            <w:r w:rsidR="00387802">
              <w:rPr>
                <w:noProof/>
                <w:webHidden/>
              </w:rPr>
              <w:instrText xml:space="preserve"> PAGEREF _Toc431288962 \h </w:instrText>
            </w:r>
            <w:r w:rsidR="00387802">
              <w:rPr>
                <w:noProof/>
                <w:webHidden/>
              </w:rPr>
            </w:r>
            <w:r w:rsidR="00387802">
              <w:rPr>
                <w:noProof/>
                <w:webHidden/>
              </w:rPr>
              <w:fldChar w:fldCharType="separate"/>
            </w:r>
            <w:r w:rsidR="00387802">
              <w:rPr>
                <w:noProof/>
                <w:webHidden/>
              </w:rPr>
              <w:t>393</w:t>
            </w:r>
            <w:r w:rsidR="00387802">
              <w:rPr>
                <w:noProof/>
                <w:webHidden/>
              </w:rPr>
              <w:fldChar w:fldCharType="end"/>
            </w:r>
          </w:hyperlink>
        </w:p>
        <w:p w14:paraId="7D0471AB" w14:textId="3B4AB476" w:rsidR="00387802" w:rsidRDefault="00872E47">
          <w:pPr>
            <w:pStyle w:val="TOC3"/>
            <w:tabs>
              <w:tab w:val="left" w:pos="1320"/>
            </w:tabs>
            <w:rPr>
              <w:rFonts w:asciiTheme="minorHAnsi" w:eastAsiaTheme="minorEastAsia" w:hAnsiTheme="minorHAnsi"/>
              <w:noProof/>
              <w:spacing w:val="0"/>
              <w:sz w:val="22"/>
              <w:szCs w:val="22"/>
            </w:rPr>
          </w:pPr>
          <w:hyperlink w:anchor="_Toc431288963" w:history="1">
            <w:r w:rsidR="00387802" w:rsidRPr="00365A20">
              <w:rPr>
                <w:rStyle w:val="Hyperlink"/>
                <w:noProof/>
                <w14:scene3d>
                  <w14:camera w14:prst="orthographicFront"/>
                  <w14:lightRig w14:rig="threePt" w14:dir="t">
                    <w14:rot w14:lat="0" w14:lon="0" w14:rev="0"/>
                  </w14:lightRig>
                </w14:scene3d>
              </w:rPr>
              <w:t>11.3.2</w:t>
            </w:r>
            <w:r w:rsidR="00387802">
              <w:rPr>
                <w:rFonts w:asciiTheme="minorHAnsi" w:eastAsiaTheme="minorEastAsia" w:hAnsiTheme="minorHAnsi"/>
                <w:noProof/>
                <w:spacing w:val="0"/>
                <w:sz w:val="22"/>
                <w:szCs w:val="22"/>
              </w:rPr>
              <w:tab/>
            </w:r>
            <w:r w:rsidR="00387802" w:rsidRPr="00365A20">
              <w:rPr>
                <w:rStyle w:val="Hyperlink"/>
                <w:noProof/>
              </w:rPr>
              <w:t>System Center Operations Manager</w:t>
            </w:r>
            <w:r w:rsidR="00387802">
              <w:rPr>
                <w:noProof/>
                <w:webHidden/>
              </w:rPr>
              <w:tab/>
            </w:r>
            <w:r w:rsidR="00387802">
              <w:rPr>
                <w:noProof/>
                <w:webHidden/>
              </w:rPr>
              <w:fldChar w:fldCharType="begin"/>
            </w:r>
            <w:r w:rsidR="00387802">
              <w:rPr>
                <w:noProof/>
                <w:webHidden/>
              </w:rPr>
              <w:instrText xml:space="preserve"> PAGEREF _Toc431288963 \h </w:instrText>
            </w:r>
            <w:r w:rsidR="00387802">
              <w:rPr>
                <w:noProof/>
                <w:webHidden/>
              </w:rPr>
            </w:r>
            <w:r w:rsidR="00387802">
              <w:rPr>
                <w:noProof/>
                <w:webHidden/>
              </w:rPr>
              <w:fldChar w:fldCharType="separate"/>
            </w:r>
            <w:r w:rsidR="00387802">
              <w:rPr>
                <w:noProof/>
                <w:webHidden/>
              </w:rPr>
              <w:t>393</w:t>
            </w:r>
            <w:r w:rsidR="00387802">
              <w:rPr>
                <w:noProof/>
                <w:webHidden/>
              </w:rPr>
              <w:fldChar w:fldCharType="end"/>
            </w:r>
          </w:hyperlink>
        </w:p>
        <w:p w14:paraId="2E89AB60" w14:textId="0CFB13BC" w:rsidR="00387802" w:rsidRDefault="00872E47">
          <w:pPr>
            <w:pStyle w:val="TOC3"/>
            <w:tabs>
              <w:tab w:val="left" w:pos="1320"/>
            </w:tabs>
            <w:rPr>
              <w:rFonts w:asciiTheme="minorHAnsi" w:eastAsiaTheme="minorEastAsia" w:hAnsiTheme="minorHAnsi"/>
              <w:noProof/>
              <w:spacing w:val="0"/>
              <w:sz w:val="22"/>
              <w:szCs w:val="22"/>
            </w:rPr>
          </w:pPr>
          <w:hyperlink w:anchor="_Toc431288964" w:history="1">
            <w:r w:rsidR="00387802" w:rsidRPr="00365A20">
              <w:rPr>
                <w:rStyle w:val="Hyperlink"/>
                <w:noProof/>
                <w14:scene3d>
                  <w14:camera w14:prst="orthographicFront"/>
                  <w14:lightRig w14:rig="threePt" w14:dir="t">
                    <w14:rot w14:lat="0" w14:lon="0" w14:rev="0"/>
                  </w14:lightRig>
                </w14:scene3d>
              </w:rPr>
              <w:t>11.3.3</w:t>
            </w:r>
            <w:r w:rsidR="00387802">
              <w:rPr>
                <w:rFonts w:asciiTheme="minorHAnsi" w:eastAsiaTheme="minorEastAsia" w:hAnsiTheme="minorHAnsi"/>
                <w:noProof/>
                <w:spacing w:val="0"/>
                <w:sz w:val="22"/>
                <w:szCs w:val="22"/>
              </w:rPr>
              <w:tab/>
            </w:r>
            <w:r w:rsidR="00387802" w:rsidRPr="00365A20">
              <w:rPr>
                <w:rStyle w:val="Hyperlink"/>
                <w:noProof/>
              </w:rPr>
              <w:t>Application Insights</w:t>
            </w:r>
            <w:r w:rsidR="00387802">
              <w:rPr>
                <w:noProof/>
                <w:webHidden/>
              </w:rPr>
              <w:tab/>
            </w:r>
            <w:r w:rsidR="00387802">
              <w:rPr>
                <w:noProof/>
                <w:webHidden/>
              </w:rPr>
              <w:fldChar w:fldCharType="begin"/>
            </w:r>
            <w:r w:rsidR="00387802">
              <w:rPr>
                <w:noProof/>
                <w:webHidden/>
              </w:rPr>
              <w:instrText xml:space="preserve"> PAGEREF _Toc431288964 \h </w:instrText>
            </w:r>
            <w:r w:rsidR="00387802">
              <w:rPr>
                <w:noProof/>
                <w:webHidden/>
              </w:rPr>
            </w:r>
            <w:r w:rsidR="00387802">
              <w:rPr>
                <w:noProof/>
                <w:webHidden/>
              </w:rPr>
              <w:fldChar w:fldCharType="separate"/>
            </w:r>
            <w:r w:rsidR="00387802">
              <w:rPr>
                <w:noProof/>
                <w:webHidden/>
              </w:rPr>
              <w:t>395</w:t>
            </w:r>
            <w:r w:rsidR="00387802">
              <w:rPr>
                <w:noProof/>
                <w:webHidden/>
              </w:rPr>
              <w:fldChar w:fldCharType="end"/>
            </w:r>
          </w:hyperlink>
        </w:p>
        <w:p w14:paraId="72805E42" w14:textId="581CD2EA" w:rsidR="00387802" w:rsidRDefault="00872E47">
          <w:pPr>
            <w:pStyle w:val="TOC3"/>
            <w:tabs>
              <w:tab w:val="left" w:pos="1320"/>
            </w:tabs>
            <w:rPr>
              <w:rFonts w:asciiTheme="minorHAnsi" w:eastAsiaTheme="minorEastAsia" w:hAnsiTheme="minorHAnsi"/>
              <w:noProof/>
              <w:spacing w:val="0"/>
              <w:sz w:val="22"/>
              <w:szCs w:val="22"/>
            </w:rPr>
          </w:pPr>
          <w:hyperlink w:anchor="_Toc431288965" w:history="1">
            <w:r w:rsidR="00387802" w:rsidRPr="00365A20">
              <w:rPr>
                <w:rStyle w:val="Hyperlink"/>
                <w:noProof/>
                <w14:scene3d>
                  <w14:camera w14:prst="orthographicFront"/>
                  <w14:lightRig w14:rig="threePt" w14:dir="t">
                    <w14:rot w14:lat="0" w14:lon="0" w14:rev="0"/>
                  </w14:lightRig>
                </w14:scene3d>
              </w:rPr>
              <w:t>11.3.4</w:t>
            </w:r>
            <w:r w:rsidR="00387802">
              <w:rPr>
                <w:rFonts w:asciiTheme="minorHAnsi" w:eastAsiaTheme="minorEastAsia" w:hAnsiTheme="minorHAnsi"/>
                <w:noProof/>
                <w:spacing w:val="0"/>
                <w:sz w:val="22"/>
                <w:szCs w:val="22"/>
              </w:rPr>
              <w:tab/>
            </w:r>
            <w:r w:rsidR="00387802" w:rsidRPr="00365A20">
              <w:rPr>
                <w:rStyle w:val="Hyperlink"/>
                <w:noProof/>
              </w:rPr>
              <w:t>Operational Insights</w:t>
            </w:r>
            <w:r w:rsidR="00387802">
              <w:rPr>
                <w:noProof/>
                <w:webHidden/>
              </w:rPr>
              <w:tab/>
            </w:r>
            <w:r w:rsidR="00387802">
              <w:rPr>
                <w:noProof/>
                <w:webHidden/>
              </w:rPr>
              <w:fldChar w:fldCharType="begin"/>
            </w:r>
            <w:r w:rsidR="00387802">
              <w:rPr>
                <w:noProof/>
                <w:webHidden/>
              </w:rPr>
              <w:instrText xml:space="preserve"> PAGEREF _Toc431288965 \h </w:instrText>
            </w:r>
            <w:r w:rsidR="00387802">
              <w:rPr>
                <w:noProof/>
                <w:webHidden/>
              </w:rPr>
            </w:r>
            <w:r w:rsidR="00387802">
              <w:rPr>
                <w:noProof/>
                <w:webHidden/>
              </w:rPr>
              <w:fldChar w:fldCharType="separate"/>
            </w:r>
            <w:r w:rsidR="00387802">
              <w:rPr>
                <w:noProof/>
                <w:webHidden/>
              </w:rPr>
              <w:t>396</w:t>
            </w:r>
            <w:r w:rsidR="00387802">
              <w:rPr>
                <w:noProof/>
                <w:webHidden/>
              </w:rPr>
              <w:fldChar w:fldCharType="end"/>
            </w:r>
          </w:hyperlink>
        </w:p>
        <w:p w14:paraId="41AD08C1" w14:textId="48694CF4" w:rsidR="00387802" w:rsidRDefault="00872E47">
          <w:pPr>
            <w:pStyle w:val="TOC3"/>
            <w:tabs>
              <w:tab w:val="left" w:pos="1320"/>
            </w:tabs>
            <w:rPr>
              <w:rFonts w:asciiTheme="minorHAnsi" w:eastAsiaTheme="minorEastAsia" w:hAnsiTheme="minorHAnsi"/>
              <w:noProof/>
              <w:spacing w:val="0"/>
              <w:sz w:val="22"/>
              <w:szCs w:val="22"/>
            </w:rPr>
          </w:pPr>
          <w:hyperlink w:anchor="_Toc431288966" w:history="1">
            <w:r w:rsidR="00387802" w:rsidRPr="00365A20">
              <w:rPr>
                <w:rStyle w:val="Hyperlink"/>
                <w:noProof/>
                <w14:scene3d>
                  <w14:camera w14:prst="orthographicFront"/>
                  <w14:lightRig w14:rig="threePt" w14:dir="t">
                    <w14:rot w14:lat="0" w14:lon="0" w14:rev="0"/>
                  </w14:lightRig>
                </w14:scene3d>
              </w:rPr>
              <w:t>11.3.5</w:t>
            </w:r>
            <w:r w:rsidR="00387802">
              <w:rPr>
                <w:rFonts w:asciiTheme="minorHAnsi" w:eastAsiaTheme="minorEastAsia" w:hAnsiTheme="minorHAnsi"/>
                <w:noProof/>
                <w:spacing w:val="0"/>
                <w:sz w:val="22"/>
                <w:szCs w:val="22"/>
              </w:rPr>
              <w:tab/>
            </w:r>
            <w:r w:rsidR="00387802" w:rsidRPr="00365A20">
              <w:rPr>
                <w:rStyle w:val="Hyperlink"/>
                <w:noProof/>
              </w:rPr>
              <w:t>Global Service Monitor</w:t>
            </w:r>
            <w:r w:rsidR="00387802">
              <w:rPr>
                <w:noProof/>
                <w:webHidden/>
              </w:rPr>
              <w:tab/>
            </w:r>
            <w:r w:rsidR="00387802">
              <w:rPr>
                <w:noProof/>
                <w:webHidden/>
              </w:rPr>
              <w:fldChar w:fldCharType="begin"/>
            </w:r>
            <w:r w:rsidR="00387802">
              <w:rPr>
                <w:noProof/>
                <w:webHidden/>
              </w:rPr>
              <w:instrText xml:space="preserve"> PAGEREF _Toc431288966 \h </w:instrText>
            </w:r>
            <w:r w:rsidR="00387802">
              <w:rPr>
                <w:noProof/>
                <w:webHidden/>
              </w:rPr>
            </w:r>
            <w:r w:rsidR="00387802">
              <w:rPr>
                <w:noProof/>
                <w:webHidden/>
              </w:rPr>
              <w:fldChar w:fldCharType="separate"/>
            </w:r>
            <w:r w:rsidR="00387802">
              <w:rPr>
                <w:noProof/>
                <w:webHidden/>
              </w:rPr>
              <w:t>397</w:t>
            </w:r>
            <w:r w:rsidR="00387802">
              <w:rPr>
                <w:noProof/>
                <w:webHidden/>
              </w:rPr>
              <w:fldChar w:fldCharType="end"/>
            </w:r>
          </w:hyperlink>
        </w:p>
        <w:p w14:paraId="2635BAD8" w14:textId="64733306" w:rsidR="00387802" w:rsidRDefault="00872E47">
          <w:pPr>
            <w:pStyle w:val="TOC3"/>
            <w:tabs>
              <w:tab w:val="left" w:pos="1320"/>
            </w:tabs>
            <w:rPr>
              <w:rFonts w:asciiTheme="minorHAnsi" w:eastAsiaTheme="minorEastAsia" w:hAnsiTheme="minorHAnsi"/>
              <w:noProof/>
              <w:spacing w:val="0"/>
              <w:sz w:val="22"/>
              <w:szCs w:val="22"/>
            </w:rPr>
          </w:pPr>
          <w:hyperlink w:anchor="_Toc431288967" w:history="1">
            <w:r w:rsidR="00387802" w:rsidRPr="00365A20">
              <w:rPr>
                <w:rStyle w:val="Hyperlink"/>
                <w:noProof/>
                <w14:scene3d>
                  <w14:camera w14:prst="orthographicFront"/>
                  <w14:lightRig w14:rig="threePt" w14:dir="t">
                    <w14:rot w14:lat="0" w14:lon="0" w14:rev="0"/>
                  </w14:lightRig>
                </w14:scene3d>
              </w:rPr>
              <w:t>11.3.6</w:t>
            </w:r>
            <w:r w:rsidR="00387802">
              <w:rPr>
                <w:rFonts w:asciiTheme="minorHAnsi" w:eastAsiaTheme="minorEastAsia" w:hAnsiTheme="minorHAnsi"/>
                <w:noProof/>
                <w:spacing w:val="0"/>
                <w:sz w:val="22"/>
                <w:szCs w:val="22"/>
              </w:rPr>
              <w:tab/>
            </w:r>
            <w:r w:rsidR="00387802" w:rsidRPr="00365A20">
              <w:rPr>
                <w:rStyle w:val="Hyperlink"/>
                <w:noProof/>
              </w:rPr>
              <w:t>Microsoft Azure Diagnostics</w:t>
            </w:r>
            <w:r w:rsidR="00387802">
              <w:rPr>
                <w:noProof/>
                <w:webHidden/>
              </w:rPr>
              <w:tab/>
            </w:r>
            <w:r w:rsidR="00387802">
              <w:rPr>
                <w:noProof/>
                <w:webHidden/>
              </w:rPr>
              <w:fldChar w:fldCharType="begin"/>
            </w:r>
            <w:r w:rsidR="00387802">
              <w:rPr>
                <w:noProof/>
                <w:webHidden/>
              </w:rPr>
              <w:instrText xml:space="preserve"> PAGEREF _Toc431288967 \h </w:instrText>
            </w:r>
            <w:r w:rsidR="00387802">
              <w:rPr>
                <w:noProof/>
                <w:webHidden/>
              </w:rPr>
            </w:r>
            <w:r w:rsidR="00387802">
              <w:rPr>
                <w:noProof/>
                <w:webHidden/>
              </w:rPr>
              <w:fldChar w:fldCharType="separate"/>
            </w:r>
            <w:r w:rsidR="00387802">
              <w:rPr>
                <w:noProof/>
                <w:webHidden/>
              </w:rPr>
              <w:t>398</w:t>
            </w:r>
            <w:r w:rsidR="00387802">
              <w:rPr>
                <w:noProof/>
                <w:webHidden/>
              </w:rPr>
              <w:fldChar w:fldCharType="end"/>
            </w:r>
          </w:hyperlink>
        </w:p>
        <w:p w14:paraId="764DA511" w14:textId="10847342" w:rsidR="00387802" w:rsidRDefault="00872E47">
          <w:pPr>
            <w:pStyle w:val="TOC2"/>
            <w:tabs>
              <w:tab w:val="left" w:pos="880"/>
              <w:tab w:val="right" w:leader="dot" w:pos="9350"/>
            </w:tabs>
            <w:rPr>
              <w:rFonts w:asciiTheme="minorHAnsi" w:hAnsiTheme="minorHAnsi"/>
              <w:noProof/>
            </w:rPr>
          </w:pPr>
          <w:hyperlink w:anchor="_Toc431288968" w:history="1">
            <w:r w:rsidR="00387802" w:rsidRPr="00365A20">
              <w:rPr>
                <w:rStyle w:val="Hyperlink"/>
                <w:noProof/>
              </w:rPr>
              <w:t>11.4</w:t>
            </w:r>
            <w:r w:rsidR="00387802">
              <w:rPr>
                <w:rFonts w:asciiTheme="minorHAnsi" w:hAnsiTheme="minorHAnsi"/>
                <w:noProof/>
              </w:rPr>
              <w:tab/>
            </w:r>
            <w:r w:rsidR="00387802" w:rsidRPr="00365A20">
              <w:rPr>
                <w:rStyle w:val="Hyperlink"/>
                <w:noProof/>
              </w:rPr>
              <w:t>Maintenance</w:t>
            </w:r>
            <w:r w:rsidR="00387802">
              <w:rPr>
                <w:noProof/>
                <w:webHidden/>
              </w:rPr>
              <w:tab/>
            </w:r>
            <w:r w:rsidR="00387802">
              <w:rPr>
                <w:noProof/>
                <w:webHidden/>
              </w:rPr>
              <w:fldChar w:fldCharType="begin"/>
            </w:r>
            <w:r w:rsidR="00387802">
              <w:rPr>
                <w:noProof/>
                <w:webHidden/>
              </w:rPr>
              <w:instrText xml:space="preserve"> PAGEREF _Toc431288968 \h </w:instrText>
            </w:r>
            <w:r w:rsidR="00387802">
              <w:rPr>
                <w:noProof/>
                <w:webHidden/>
              </w:rPr>
            </w:r>
            <w:r w:rsidR="00387802">
              <w:rPr>
                <w:noProof/>
                <w:webHidden/>
              </w:rPr>
              <w:fldChar w:fldCharType="separate"/>
            </w:r>
            <w:r w:rsidR="00387802">
              <w:rPr>
                <w:noProof/>
                <w:webHidden/>
              </w:rPr>
              <w:t>399</w:t>
            </w:r>
            <w:r w:rsidR="00387802">
              <w:rPr>
                <w:noProof/>
                <w:webHidden/>
              </w:rPr>
              <w:fldChar w:fldCharType="end"/>
            </w:r>
          </w:hyperlink>
        </w:p>
        <w:p w14:paraId="1BC26AA6" w14:textId="5AA08514" w:rsidR="00387802" w:rsidRDefault="00872E47">
          <w:pPr>
            <w:pStyle w:val="TOC3"/>
            <w:tabs>
              <w:tab w:val="left" w:pos="1320"/>
            </w:tabs>
            <w:rPr>
              <w:rFonts w:asciiTheme="minorHAnsi" w:eastAsiaTheme="minorEastAsia" w:hAnsiTheme="minorHAnsi"/>
              <w:noProof/>
              <w:spacing w:val="0"/>
              <w:sz w:val="22"/>
              <w:szCs w:val="22"/>
            </w:rPr>
          </w:pPr>
          <w:hyperlink w:anchor="_Toc431288969" w:history="1">
            <w:r w:rsidR="00387802" w:rsidRPr="00365A20">
              <w:rPr>
                <w:rStyle w:val="Hyperlink"/>
                <w:noProof/>
                <w14:scene3d>
                  <w14:camera w14:prst="orthographicFront"/>
                  <w14:lightRig w14:rig="threePt" w14:dir="t">
                    <w14:rot w14:lat="0" w14:lon="0" w14:rev="0"/>
                  </w14:lightRig>
                </w14:scene3d>
              </w:rPr>
              <w:t>11.4.1</w:t>
            </w:r>
            <w:r w:rsidR="00387802">
              <w:rPr>
                <w:rFonts w:asciiTheme="minorHAnsi" w:eastAsiaTheme="minorEastAsia" w:hAnsiTheme="minorHAnsi"/>
                <w:noProof/>
                <w:spacing w:val="0"/>
                <w:sz w:val="22"/>
                <w:szCs w:val="22"/>
              </w:rPr>
              <w:tab/>
            </w:r>
            <w:r w:rsidR="00387802" w:rsidRPr="00365A20">
              <w:rPr>
                <w:rStyle w:val="Hyperlink"/>
                <w:noProof/>
              </w:rPr>
              <w:t>Microsoft Update</w:t>
            </w:r>
            <w:r w:rsidR="00387802">
              <w:rPr>
                <w:noProof/>
                <w:webHidden/>
              </w:rPr>
              <w:tab/>
            </w:r>
            <w:r w:rsidR="00387802">
              <w:rPr>
                <w:noProof/>
                <w:webHidden/>
              </w:rPr>
              <w:fldChar w:fldCharType="begin"/>
            </w:r>
            <w:r w:rsidR="00387802">
              <w:rPr>
                <w:noProof/>
                <w:webHidden/>
              </w:rPr>
              <w:instrText xml:space="preserve"> PAGEREF _Toc431288969 \h </w:instrText>
            </w:r>
            <w:r w:rsidR="00387802">
              <w:rPr>
                <w:noProof/>
                <w:webHidden/>
              </w:rPr>
            </w:r>
            <w:r w:rsidR="00387802">
              <w:rPr>
                <w:noProof/>
                <w:webHidden/>
              </w:rPr>
              <w:fldChar w:fldCharType="separate"/>
            </w:r>
            <w:r w:rsidR="00387802">
              <w:rPr>
                <w:noProof/>
                <w:webHidden/>
              </w:rPr>
              <w:t>400</w:t>
            </w:r>
            <w:r w:rsidR="00387802">
              <w:rPr>
                <w:noProof/>
                <w:webHidden/>
              </w:rPr>
              <w:fldChar w:fldCharType="end"/>
            </w:r>
          </w:hyperlink>
        </w:p>
        <w:p w14:paraId="0C822452" w14:textId="43D1230A" w:rsidR="00387802" w:rsidRDefault="00872E47">
          <w:pPr>
            <w:pStyle w:val="TOC3"/>
            <w:tabs>
              <w:tab w:val="left" w:pos="1320"/>
            </w:tabs>
            <w:rPr>
              <w:rFonts w:asciiTheme="minorHAnsi" w:eastAsiaTheme="minorEastAsia" w:hAnsiTheme="minorHAnsi"/>
              <w:noProof/>
              <w:spacing w:val="0"/>
              <w:sz w:val="22"/>
              <w:szCs w:val="22"/>
            </w:rPr>
          </w:pPr>
          <w:hyperlink w:anchor="_Toc431288970" w:history="1">
            <w:r w:rsidR="00387802" w:rsidRPr="00365A20">
              <w:rPr>
                <w:rStyle w:val="Hyperlink"/>
                <w:noProof/>
                <w14:scene3d>
                  <w14:camera w14:prst="orthographicFront"/>
                  <w14:lightRig w14:rig="threePt" w14:dir="t">
                    <w14:rot w14:lat="0" w14:lon="0" w14:rev="0"/>
                  </w14:lightRig>
                </w14:scene3d>
              </w:rPr>
              <w:t>11.4.2</w:t>
            </w:r>
            <w:r w:rsidR="00387802">
              <w:rPr>
                <w:rFonts w:asciiTheme="minorHAnsi" w:eastAsiaTheme="minorEastAsia" w:hAnsiTheme="minorHAnsi"/>
                <w:noProof/>
                <w:spacing w:val="0"/>
                <w:sz w:val="22"/>
                <w:szCs w:val="22"/>
              </w:rPr>
              <w:tab/>
            </w:r>
            <w:r w:rsidR="00387802" w:rsidRPr="00365A20">
              <w:rPr>
                <w:rStyle w:val="Hyperlink"/>
                <w:noProof/>
              </w:rPr>
              <w:t>Windows Server Update Service</w:t>
            </w:r>
            <w:r w:rsidR="00387802">
              <w:rPr>
                <w:noProof/>
                <w:webHidden/>
              </w:rPr>
              <w:tab/>
            </w:r>
            <w:r w:rsidR="00387802">
              <w:rPr>
                <w:noProof/>
                <w:webHidden/>
              </w:rPr>
              <w:fldChar w:fldCharType="begin"/>
            </w:r>
            <w:r w:rsidR="00387802">
              <w:rPr>
                <w:noProof/>
                <w:webHidden/>
              </w:rPr>
              <w:instrText xml:space="preserve"> PAGEREF _Toc431288970 \h </w:instrText>
            </w:r>
            <w:r w:rsidR="00387802">
              <w:rPr>
                <w:noProof/>
                <w:webHidden/>
              </w:rPr>
            </w:r>
            <w:r w:rsidR="00387802">
              <w:rPr>
                <w:noProof/>
                <w:webHidden/>
              </w:rPr>
              <w:fldChar w:fldCharType="separate"/>
            </w:r>
            <w:r w:rsidR="00387802">
              <w:rPr>
                <w:noProof/>
                <w:webHidden/>
              </w:rPr>
              <w:t>400</w:t>
            </w:r>
            <w:r w:rsidR="00387802">
              <w:rPr>
                <w:noProof/>
                <w:webHidden/>
              </w:rPr>
              <w:fldChar w:fldCharType="end"/>
            </w:r>
          </w:hyperlink>
        </w:p>
        <w:p w14:paraId="77B8123C" w14:textId="610936FB" w:rsidR="00387802" w:rsidRDefault="00872E47">
          <w:pPr>
            <w:pStyle w:val="TOC3"/>
            <w:tabs>
              <w:tab w:val="left" w:pos="1320"/>
            </w:tabs>
            <w:rPr>
              <w:rFonts w:asciiTheme="minorHAnsi" w:eastAsiaTheme="minorEastAsia" w:hAnsiTheme="minorHAnsi"/>
              <w:noProof/>
              <w:spacing w:val="0"/>
              <w:sz w:val="22"/>
              <w:szCs w:val="22"/>
            </w:rPr>
          </w:pPr>
          <w:hyperlink w:anchor="_Toc431288971" w:history="1">
            <w:r w:rsidR="00387802" w:rsidRPr="00365A20">
              <w:rPr>
                <w:rStyle w:val="Hyperlink"/>
                <w:noProof/>
                <w14:scene3d>
                  <w14:camera w14:prst="orthographicFront"/>
                  <w14:lightRig w14:rig="threePt" w14:dir="t">
                    <w14:rot w14:lat="0" w14:lon="0" w14:rev="0"/>
                  </w14:lightRig>
                </w14:scene3d>
              </w:rPr>
              <w:t>11.4.3</w:t>
            </w:r>
            <w:r w:rsidR="00387802">
              <w:rPr>
                <w:rFonts w:asciiTheme="minorHAnsi" w:eastAsiaTheme="minorEastAsia" w:hAnsiTheme="minorHAnsi"/>
                <w:noProof/>
                <w:spacing w:val="0"/>
                <w:sz w:val="22"/>
                <w:szCs w:val="22"/>
              </w:rPr>
              <w:tab/>
            </w:r>
            <w:r w:rsidR="00387802" w:rsidRPr="00365A20">
              <w:rPr>
                <w:rStyle w:val="Hyperlink"/>
                <w:noProof/>
              </w:rPr>
              <w:t>System Center 2012 R2 Configuration Manager</w:t>
            </w:r>
            <w:r w:rsidR="00387802">
              <w:rPr>
                <w:noProof/>
                <w:webHidden/>
              </w:rPr>
              <w:tab/>
            </w:r>
            <w:r w:rsidR="00387802">
              <w:rPr>
                <w:noProof/>
                <w:webHidden/>
              </w:rPr>
              <w:fldChar w:fldCharType="begin"/>
            </w:r>
            <w:r w:rsidR="00387802">
              <w:rPr>
                <w:noProof/>
                <w:webHidden/>
              </w:rPr>
              <w:instrText xml:space="preserve"> PAGEREF _Toc431288971 \h </w:instrText>
            </w:r>
            <w:r w:rsidR="00387802">
              <w:rPr>
                <w:noProof/>
                <w:webHidden/>
              </w:rPr>
            </w:r>
            <w:r w:rsidR="00387802">
              <w:rPr>
                <w:noProof/>
                <w:webHidden/>
              </w:rPr>
              <w:fldChar w:fldCharType="separate"/>
            </w:r>
            <w:r w:rsidR="00387802">
              <w:rPr>
                <w:noProof/>
                <w:webHidden/>
              </w:rPr>
              <w:t>402</w:t>
            </w:r>
            <w:r w:rsidR="00387802">
              <w:rPr>
                <w:noProof/>
                <w:webHidden/>
              </w:rPr>
              <w:fldChar w:fldCharType="end"/>
            </w:r>
          </w:hyperlink>
        </w:p>
        <w:p w14:paraId="6BA08DB1" w14:textId="2F58B378" w:rsidR="00387802" w:rsidRDefault="00872E47">
          <w:pPr>
            <w:pStyle w:val="TOC1"/>
            <w:rPr>
              <w:rFonts w:asciiTheme="minorHAnsi" w:hAnsiTheme="minorHAnsi"/>
              <w:sz w:val="22"/>
            </w:rPr>
          </w:pPr>
          <w:hyperlink w:anchor="_Toc431288972" w:history="1">
            <w:r w:rsidR="00387802" w:rsidRPr="00365A20">
              <w:rPr>
                <w:rStyle w:val="Hyperlink"/>
              </w:rPr>
              <w:t>12</w:t>
            </w:r>
            <w:r w:rsidR="00387802">
              <w:rPr>
                <w:rFonts w:asciiTheme="minorHAnsi" w:hAnsiTheme="minorHAnsi"/>
                <w:sz w:val="22"/>
              </w:rPr>
              <w:tab/>
            </w:r>
            <w:r w:rsidR="00387802" w:rsidRPr="00365A20">
              <w:rPr>
                <w:rStyle w:val="Hyperlink"/>
              </w:rPr>
              <w:t>Appendix A: Designing a Virtual Network Configuration File to Support Multiple Hop Routing</w:t>
            </w:r>
            <w:r w:rsidR="00387802">
              <w:rPr>
                <w:webHidden/>
              </w:rPr>
              <w:tab/>
            </w:r>
            <w:r w:rsidR="00387802">
              <w:rPr>
                <w:webHidden/>
              </w:rPr>
              <w:fldChar w:fldCharType="begin"/>
            </w:r>
            <w:r w:rsidR="00387802">
              <w:rPr>
                <w:webHidden/>
              </w:rPr>
              <w:instrText xml:space="preserve"> PAGEREF _Toc431288972 \h </w:instrText>
            </w:r>
            <w:r w:rsidR="00387802">
              <w:rPr>
                <w:webHidden/>
              </w:rPr>
            </w:r>
            <w:r w:rsidR="00387802">
              <w:rPr>
                <w:webHidden/>
              </w:rPr>
              <w:fldChar w:fldCharType="separate"/>
            </w:r>
            <w:r w:rsidR="00387802">
              <w:rPr>
                <w:webHidden/>
              </w:rPr>
              <w:t>405</w:t>
            </w:r>
            <w:r w:rsidR="00387802">
              <w:rPr>
                <w:webHidden/>
              </w:rPr>
              <w:fldChar w:fldCharType="end"/>
            </w:r>
          </w:hyperlink>
        </w:p>
        <w:p w14:paraId="0968AFEC" w14:textId="04CE0EC9" w:rsidR="00387802" w:rsidRDefault="00872E47">
          <w:pPr>
            <w:pStyle w:val="TOC1"/>
            <w:rPr>
              <w:rFonts w:asciiTheme="minorHAnsi" w:hAnsiTheme="minorHAnsi"/>
              <w:sz w:val="22"/>
            </w:rPr>
          </w:pPr>
          <w:hyperlink w:anchor="_Toc431288973" w:history="1">
            <w:r w:rsidR="00387802" w:rsidRPr="00365A20">
              <w:rPr>
                <w:rStyle w:val="Hyperlink"/>
              </w:rPr>
              <w:t>13</w:t>
            </w:r>
            <w:r w:rsidR="00387802">
              <w:rPr>
                <w:rFonts w:asciiTheme="minorHAnsi" w:hAnsiTheme="minorHAnsi"/>
                <w:sz w:val="22"/>
              </w:rPr>
              <w:tab/>
            </w:r>
            <w:r w:rsidR="00387802" w:rsidRPr="00365A20">
              <w:rPr>
                <w:rStyle w:val="Hyperlink"/>
              </w:rPr>
              <w:t>Appendix B: Azure ExpressRoute Connectivity Examples</w:t>
            </w:r>
            <w:r w:rsidR="00387802">
              <w:rPr>
                <w:webHidden/>
              </w:rPr>
              <w:tab/>
            </w:r>
            <w:r w:rsidR="00387802">
              <w:rPr>
                <w:webHidden/>
              </w:rPr>
              <w:fldChar w:fldCharType="begin"/>
            </w:r>
            <w:r w:rsidR="00387802">
              <w:rPr>
                <w:webHidden/>
              </w:rPr>
              <w:instrText xml:space="preserve"> PAGEREF _Toc431288973 \h </w:instrText>
            </w:r>
            <w:r w:rsidR="00387802">
              <w:rPr>
                <w:webHidden/>
              </w:rPr>
            </w:r>
            <w:r w:rsidR="00387802">
              <w:rPr>
                <w:webHidden/>
              </w:rPr>
              <w:fldChar w:fldCharType="separate"/>
            </w:r>
            <w:r w:rsidR="00387802">
              <w:rPr>
                <w:webHidden/>
              </w:rPr>
              <w:t>411</w:t>
            </w:r>
            <w:r w:rsidR="00387802">
              <w:rPr>
                <w:webHidden/>
              </w:rPr>
              <w:fldChar w:fldCharType="end"/>
            </w:r>
          </w:hyperlink>
        </w:p>
        <w:p w14:paraId="1031A483" w14:textId="13BAC6A8" w:rsidR="00387802" w:rsidRDefault="00872E47">
          <w:pPr>
            <w:pStyle w:val="TOC2"/>
            <w:tabs>
              <w:tab w:val="left" w:pos="880"/>
              <w:tab w:val="right" w:leader="dot" w:pos="9350"/>
            </w:tabs>
            <w:rPr>
              <w:rFonts w:asciiTheme="minorHAnsi" w:hAnsiTheme="minorHAnsi"/>
              <w:noProof/>
            </w:rPr>
          </w:pPr>
          <w:hyperlink w:anchor="_Toc431288974" w:history="1">
            <w:r w:rsidR="00387802" w:rsidRPr="00365A20">
              <w:rPr>
                <w:rStyle w:val="Hyperlink"/>
                <w:noProof/>
              </w:rPr>
              <w:t>13.1</w:t>
            </w:r>
            <w:r w:rsidR="00387802">
              <w:rPr>
                <w:rFonts w:asciiTheme="minorHAnsi" w:hAnsiTheme="minorHAnsi"/>
                <w:noProof/>
              </w:rPr>
              <w:tab/>
            </w:r>
            <w:r w:rsidR="00387802" w:rsidRPr="00365A20">
              <w:rPr>
                <w:rStyle w:val="Hyperlink"/>
                <w:noProof/>
              </w:rPr>
              <w:t>ExpressRoute Peering Requirements Using NSP Model</w:t>
            </w:r>
            <w:r w:rsidR="00387802">
              <w:rPr>
                <w:noProof/>
                <w:webHidden/>
              </w:rPr>
              <w:tab/>
            </w:r>
            <w:r w:rsidR="00387802">
              <w:rPr>
                <w:noProof/>
                <w:webHidden/>
              </w:rPr>
              <w:fldChar w:fldCharType="begin"/>
            </w:r>
            <w:r w:rsidR="00387802">
              <w:rPr>
                <w:noProof/>
                <w:webHidden/>
              </w:rPr>
              <w:instrText xml:space="preserve"> PAGEREF _Toc431288974 \h </w:instrText>
            </w:r>
            <w:r w:rsidR="00387802">
              <w:rPr>
                <w:noProof/>
                <w:webHidden/>
              </w:rPr>
            </w:r>
            <w:r w:rsidR="00387802">
              <w:rPr>
                <w:noProof/>
                <w:webHidden/>
              </w:rPr>
              <w:fldChar w:fldCharType="separate"/>
            </w:r>
            <w:r w:rsidR="00387802">
              <w:rPr>
                <w:noProof/>
                <w:webHidden/>
              </w:rPr>
              <w:t>411</w:t>
            </w:r>
            <w:r w:rsidR="00387802">
              <w:rPr>
                <w:noProof/>
                <w:webHidden/>
              </w:rPr>
              <w:fldChar w:fldCharType="end"/>
            </w:r>
          </w:hyperlink>
        </w:p>
        <w:p w14:paraId="5B80FCC5" w14:textId="2895AFEA" w:rsidR="00387802" w:rsidRDefault="00872E47">
          <w:pPr>
            <w:pStyle w:val="TOC2"/>
            <w:tabs>
              <w:tab w:val="left" w:pos="880"/>
              <w:tab w:val="right" w:leader="dot" w:pos="9350"/>
            </w:tabs>
            <w:rPr>
              <w:rFonts w:asciiTheme="minorHAnsi" w:hAnsiTheme="minorHAnsi"/>
              <w:noProof/>
            </w:rPr>
          </w:pPr>
          <w:hyperlink w:anchor="_Toc431288975" w:history="1">
            <w:r w:rsidR="00387802" w:rsidRPr="00365A20">
              <w:rPr>
                <w:rStyle w:val="Hyperlink"/>
                <w:noProof/>
              </w:rPr>
              <w:t>13.2</w:t>
            </w:r>
            <w:r w:rsidR="00387802">
              <w:rPr>
                <w:rFonts w:asciiTheme="minorHAnsi" w:hAnsiTheme="minorHAnsi"/>
                <w:noProof/>
              </w:rPr>
              <w:tab/>
            </w:r>
            <w:r w:rsidR="00387802" w:rsidRPr="00365A20">
              <w:rPr>
                <w:rStyle w:val="Hyperlink"/>
                <w:noProof/>
              </w:rPr>
              <w:t>ExpressRoute Peering Requirements Using IXP Model</w:t>
            </w:r>
            <w:r w:rsidR="00387802">
              <w:rPr>
                <w:noProof/>
                <w:webHidden/>
              </w:rPr>
              <w:tab/>
            </w:r>
            <w:r w:rsidR="00387802">
              <w:rPr>
                <w:noProof/>
                <w:webHidden/>
              </w:rPr>
              <w:fldChar w:fldCharType="begin"/>
            </w:r>
            <w:r w:rsidR="00387802">
              <w:rPr>
                <w:noProof/>
                <w:webHidden/>
              </w:rPr>
              <w:instrText xml:space="preserve"> PAGEREF _Toc431288975 \h </w:instrText>
            </w:r>
            <w:r w:rsidR="00387802">
              <w:rPr>
                <w:noProof/>
                <w:webHidden/>
              </w:rPr>
            </w:r>
            <w:r w:rsidR="00387802">
              <w:rPr>
                <w:noProof/>
                <w:webHidden/>
              </w:rPr>
              <w:fldChar w:fldCharType="separate"/>
            </w:r>
            <w:r w:rsidR="00387802">
              <w:rPr>
                <w:noProof/>
                <w:webHidden/>
              </w:rPr>
              <w:t>413</w:t>
            </w:r>
            <w:r w:rsidR="00387802">
              <w:rPr>
                <w:noProof/>
                <w:webHidden/>
              </w:rPr>
              <w:fldChar w:fldCharType="end"/>
            </w:r>
          </w:hyperlink>
        </w:p>
        <w:p w14:paraId="7E6E00D5" w14:textId="1CD0ECB3" w:rsidR="00387802" w:rsidRDefault="00872E47">
          <w:pPr>
            <w:pStyle w:val="TOC1"/>
            <w:rPr>
              <w:rFonts w:asciiTheme="minorHAnsi" w:hAnsiTheme="minorHAnsi"/>
              <w:sz w:val="22"/>
            </w:rPr>
          </w:pPr>
          <w:hyperlink w:anchor="_Toc431288976" w:history="1">
            <w:r w:rsidR="00387802" w:rsidRPr="00365A20">
              <w:rPr>
                <w:rStyle w:val="Hyperlink"/>
              </w:rPr>
              <w:t>14</w:t>
            </w:r>
            <w:r w:rsidR="00387802">
              <w:rPr>
                <w:rFonts w:asciiTheme="minorHAnsi" w:hAnsiTheme="minorHAnsi"/>
                <w:sz w:val="22"/>
              </w:rPr>
              <w:tab/>
            </w:r>
            <w:r w:rsidR="00387802" w:rsidRPr="00365A20">
              <w:rPr>
                <w:rStyle w:val="Hyperlink"/>
              </w:rPr>
              <w:t>Appendix C: Active Directory Administrative Tier Model</w:t>
            </w:r>
            <w:r w:rsidR="00387802">
              <w:rPr>
                <w:webHidden/>
              </w:rPr>
              <w:tab/>
            </w:r>
            <w:r w:rsidR="00387802">
              <w:rPr>
                <w:webHidden/>
              </w:rPr>
              <w:fldChar w:fldCharType="begin"/>
            </w:r>
            <w:r w:rsidR="00387802">
              <w:rPr>
                <w:webHidden/>
              </w:rPr>
              <w:instrText xml:space="preserve"> PAGEREF _Toc431288976 \h </w:instrText>
            </w:r>
            <w:r w:rsidR="00387802">
              <w:rPr>
                <w:webHidden/>
              </w:rPr>
            </w:r>
            <w:r w:rsidR="00387802">
              <w:rPr>
                <w:webHidden/>
              </w:rPr>
              <w:fldChar w:fldCharType="separate"/>
            </w:r>
            <w:r w:rsidR="00387802">
              <w:rPr>
                <w:webHidden/>
              </w:rPr>
              <w:t>415</w:t>
            </w:r>
            <w:r w:rsidR="00387802">
              <w:rPr>
                <w:webHidden/>
              </w:rPr>
              <w:fldChar w:fldCharType="end"/>
            </w:r>
          </w:hyperlink>
        </w:p>
        <w:p w14:paraId="5D22E177" w14:textId="65B7E435" w:rsidR="00387802" w:rsidRDefault="00872E47">
          <w:pPr>
            <w:pStyle w:val="TOC1"/>
            <w:rPr>
              <w:rFonts w:asciiTheme="minorHAnsi" w:hAnsiTheme="minorHAnsi"/>
              <w:sz w:val="22"/>
            </w:rPr>
          </w:pPr>
          <w:hyperlink w:anchor="_Toc431288977" w:history="1">
            <w:r w:rsidR="00387802" w:rsidRPr="00365A20">
              <w:rPr>
                <w:rStyle w:val="Hyperlink"/>
              </w:rPr>
              <w:t>15</w:t>
            </w:r>
            <w:r w:rsidR="00387802">
              <w:rPr>
                <w:rFonts w:asciiTheme="minorHAnsi" w:hAnsiTheme="minorHAnsi"/>
                <w:sz w:val="22"/>
              </w:rPr>
              <w:tab/>
            </w:r>
            <w:r w:rsidR="00387802" w:rsidRPr="00365A20">
              <w:rPr>
                <w:rStyle w:val="Hyperlink"/>
              </w:rPr>
              <w:t>Appendix D: Removing Service Accounts from Tier 0</w:t>
            </w:r>
            <w:r w:rsidR="00387802">
              <w:rPr>
                <w:webHidden/>
              </w:rPr>
              <w:tab/>
            </w:r>
            <w:r w:rsidR="00387802">
              <w:rPr>
                <w:webHidden/>
              </w:rPr>
              <w:fldChar w:fldCharType="begin"/>
            </w:r>
            <w:r w:rsidR="00387802">
              <w:rPr>
                <w:webHidden/>
              </w:rPr>
              <w:instrText xml:space="preserve"> PAGEREF _Toc431288977 \h </w:instrText>
            </w:r>
            <w:r w:rsidR="00387802">
              <w:rPr>
                <w:webHidden/>
              </w:rPr>
            </w:r>
            <w:r w:rsidR="00387802">
              <w:rPr>
                <w:webHidden/>
              </w:rPr>
              <w:fldChar w:fldCharType="separate"/>
            </w:r>
            <w:r w:rsidR="00387802">
              <w:rPr>
                <w:webHidden/>
              </w:rPr>
              <w:t>419</w:t>
            </w:r>
            <w:r w:rsidR="00387802">
              <w:rPr>
                <w:webHidden/>
              </w:rPr>
              <w:fldChar w:fldCharType="end"/>
            </w:r>
          </w:hyperlink>
        </w:p>
        <w:p w14:paraId="1E307643" w14:textId="29EBEE79" w:rsidR="00387802" w:rsidRDefault="00872E47">
          <w:pPr>
            <w:pStyle w:val="TOC3"/>
            <w:tabs>
              <w:tab w:val="left" w:pos="1320"/>
            </w:tabs>
            <w:rPr>
              <w:rFonts w:asciiTheme="minorHAnsi" w:eastAsiaTheme="minorEastAsia" w:hAnsiTheme="minorHAnsi"/>
              <w:noProof/>
              <w:spacing w:val="0"/>
              <w:sz w:val="22"/>
              <w:szCs w:val="22"/>
            </w:rPr>
          </w:pPr>
          <w:hyperlink w:anchor="_Toc431288978" w:history="1">
            <w:r w:rsidR="00387802" w:rsidRPr="00365A20">
              <w:rPr>
                <w:rStyle w:val="Hyperlink"/>
                <w:noProof/>
                <w14:scene3d>
                  <w14:camera w14:prst="orthographicFront"/>
                  <w14:lightRig w14:rig="threePt" w14:dir="t">
                    <w14:rot w14:lat="0" w14:lon="0" w14:rev="0"/>
                  </w14:lightRig>
                </w14:scene3d>
              </w:rPr>
              <w:t>15.1.1</w:t>
            </w:r>
            <w:r w:rsidR="00387802">
              <w:rPr>
                <w:rFonts w:asciiTheme="minorHAnsi" w:eastAsiaTheme="minorEastAsia" w:hAnsiTheme="minorHAnsi"/>
                <w:noProof/>
                <w:spacing w:val="0"/>
                <w:sz w:val="22"/>
                <w:szCs w:val="22"/>
              </w:rPr>
              <w:tab/>
            </w:r>
            <w:r w:rsidR="00387802" w:rsidRPr="00365A20">
              <w:rPr>
                <w:rStyle w:val="Hyperlink"/>
                <w:noProof/>
              </w:rPr>
              <w:t>Scenario I – Admin access on all clients/servers/ domain members</w:t>
            </w:r>
            <w:r w:rsidR="00387802">
              <w:rPr>
                <w:noProof/>
                <w:webHidden/>
              </w:rPr>
              <w:tab/>
            </w:r>
            <w:r w:rsidR="00387802">
              <w:rPr>
                <w:noProof/>
                <w:webHidden/>
              </w:rPr>
              <w:fldChar w:fldCharType="begin"/>
            </w:r>
            <w:r w:rsidR="00387802">
              <w:rPr>
                <w:noProof/>
                <w:webHidden/>
              </w:rPr>
              <w:instrText xml:space="preserve"> PAGEREF _Toc431288978 \h </w:instrText>
            </w:r>
            <w:r w:rsidR="00387802">
              <w:rPr>
                <w:noProof/>
                <w:webHidden/>
              </w:rPr>
            </w:r>
            <w:r w:rsidR="00387802">
              <w:rPr>
                <w:noProof/>
                <w:webHidden/>
              </w:rPr>
              <w:fldChar w:fldCharType="separate"/>
            </w:r>
            <w:r w:rsidR="00387802">
              <w:rPr>
                <w:noProof/>
                <w:webHidden/>
              </w:rPr>
              <w:t>420</w:t>
            </w:r>
            <w:r w:rsidR="00387802">
              <w:rPr>
                <w:noProof/>
                <w:webHidden/>
              </w:rPr>
              <w:fldChar w:fldCharType="end"/>
            </w:r>
          </w:hyperlink>
        </w:p>
        <w:p w14:paraId="4435AE9F" w14:textId="2140D35B" w:rsidR="00387802" w:rsidRDefault="00872E47">
          <w:pPr>
            <w:pStyle w:val="TOC3"/>
            <w:tabs>
              <w:tab w:val="left" w:pos="1320"/>
            </w:tabs>
            <w:rPr>
              <w:rFonts w:asciiTheme="minorHAnsi" w:eastAsiaTheme="minorEastAsia" w:hAnsiTheme="minorHAnsi"/>
              <w:noProof/>
              <w:spacing w:val="0"/>
              <w:sz w:val="22"/>
              <w:szCs w:val="22"/>
            </w:rPr>
          </w:pPr>
          <w:hyperlink w:anchor="_Toc431288979" w:history="1">
            <w:r w:rsidR="00387802" w:rsidRPr="00365A20">
              <w:rPr>
                <w:rStyle w:val="Hyperlink"/>
                <w:noProof/>
                <w14:scene3d>
                  <w14:camera w14:prst="orthographicFront"/>
                  <w14:lightRig w14:rig="threePt" w14:dir="t">
                    <w14:rot w14:lat="0" w14:lon="0" w14:rev="0"/>
                  </w14:lightRig>
                </w14:scene3d>
              </w:rPr>
              <w:t>15.1.2</w:t>
            </w:r>
            <w:r w:rsidR="00387802">
              <w:rPr>
                <w:rFonts w:asciiTheme="minorHAnsi" w:eastAsiaTheme="minorEastAsia" w:hAnsiTheme="minorHAnsi"/>
                <w:noProof/>
                <w:spacing w:val="0"/>
                <w:sz w:val="22"/>
                <w:szCs w:val="22"/>
              </w:rPr>
              <w:tab/>
            </w:r>
            <w:r w:rsidR="00387802" w:rsidRPr="00365A20">
              <w:rPr>
                <w:rStyle w:val="Hyperlink"/>
                <w:noProof/>
              </w:rPr>
              <w:t>Scenario II – Administrator control of Active Directory accounts</w:t>
            </w:r>
            <w:r w:rsidR="00387802">
              <w:rPr>
                <w:noProof/>
                <w:webHidden/>
              </w:rPr>
              <w:tab/>
            </w:r>
            <w:r w:rsidR="00387802">
              <w:rPr>
                <w:noProof/>
                <w:webHidden/>
              </w:rPr>
              <w:fldChar w:fldCharType="begin"/>
            </w:r>
            <w:r w:rsidR="00387802">
              <w:rPr>
                <w:noProof/>
                <w:webHidden/>
              </w:rPr>
              <w:instrText xml:space="preserve"> PAGEREF _Toc431288979 \h </w:instrText>
            </w:r>
            <w:r w:rsidR="00387802">
              <w:rPr>
                <w:noProof/>
                <w:webHidden/>
              </w:rPr>
            </w:r>
            <w:r w:rsidR="00387802">
              <w:rPr>
                <w:noProof/>
                <w:webHidden/>
              </w:rPr>
              <w:fldChar w:fldCharType="separate"/>
            </w:r>
            <w:r w:rsidR="00387802">
              <w:rPr>
                <w:noProof/>
                <w:webHidden/>
              </w:rPr>
              <w:t>420</w:t>
            </w:r>
            <w:r w:rsidR="00387802">
              <w:rPr>
                <w:noProof/>
                <w:webHidden/>
              </w:rPr>
              <w:fldChar w:fldCharType="end"/>
            </w:r>
          </w:hyperlink>
        </w:p>
        <w:p w14:paraId="5A78F223" w14:textId="5318F5E0" w:rsidR="00387802" w:rsidRDefault="00872E47">
          <w:pPr>
            <w:pStyle w:val="TOC1"/>
            <w:rPr>
              <w:rFonts w:asciiTheme="minorHAnsi" w:hAnsiTheme="minorHAnsi"/>
              <w:sz w:val="22"/>
            </w:rPr>
          </w:pPr>
          <w:hyperlink w:anchor="_Toc431288980" w:history="1">
            <w:r w:rsidR="00387802" w:rsidRPr="00365A20">
              <w:rPr>
                <w:rStyle w:val="Hyperlink"/>
              </w:rPr>
              <w:t>16</w:t>
            </w:r>
            <w:r w:rsidR="00387802">
              <w:rPr>
                <w:rFonts w:asciiTheme="minorHAnsi" w:hAnsiTheme="minorHAnsi"/>
                <w:sz w:val="22"/>
              </w:rPr>
              <w:tab/>
            </w:r>
            <w:r w:rsidR="00387802" w:rsidRPr="00365A20">
              <w:rPr>
                <w:rStyle w:val="Hyperlink"/>
              </w:rPr>
              <w:t>Appendix E: Recommended Change Advisory Board Approval Process for Security Standards</w:t>
            </w:r>
            <w:r w:rsidR="00387802">
              <w:rPr>
                <w:webHidden/>
              </w:rPr>
              <w:tab/>
            </w:r>
            <w:r w:rsidR="00387802">
              <w:rPr>
                <w:webHidden/>
              </w:rPr>
              <w:fldChar w:fldCharType="begin"/>
            </w:r>
            <w:r w:rsidR="00387802">
              <w:rPr>
                <w:webHidden/>
              </w:rPr>
              <w:instrText xml:space="preserve"> PAGEREF _Toc431288980 \h </w:instrText>
            </w:r>
            <w:r w:rsidR="00387802">
              <w:rPr>
                <w:webHidden/>
              </w:rPr>
            </w:r>
            <w:r w:rsidR="00387802">
              <w:rPr>
                <w:webHidden/>
              </w:rPr>
              <w:fldChar w:fldCharType="separate"/>
            </w:r>
            <w:r w:rsidR="00387802">
              <w:rPr>
                <w:webHidden/>
              </w:rPr>
              <w:t>422</w:t>
            </w:r>
            <w:r w:rsidR="00387802">
              <w:rPr>
                <w:webHidden/>
              </w:rPr>
              <w:fldChar w:fldCharType="end"/>
            </w:r>
          </w:hyperlink>
        </w:p>
        <w:p w14:paraId="6CEE0387" w14:textId="02964AB9" w:rsidR="00387802" w:rsidRDefault="00872E47">
          <w:pPr>
            <w:pStyle w:val="TOC2"/>
            <w:tabs>
              <w:tab w:val="left" w:pos="880"/>
              <w:tab w:val="right" w:leader="dot" w:pos="9350"/>
            </w:tabs>
            <w:rPr>
              <w:rFonts w:asciiTheme="minorHAnsi" w:hAnsiTheme="minorHAnsi"/>
              <w:noProof/>
            </w:rPr>
          </w:pPr>
          <w:hyperlink w:anchor="_Toc431288981" w:history="1">
            <w:r w:rsidR="00387802" w:rsidRPr="00365A20">
              <w:rPr>
                <w:rStyle w:val="Hyperlink"/>
                <w:noProof/>
              </w:rPr>
              <w:t>16.1</w:t>
            </w:r>
            <w:r w:rsidR="00387802">
              <w:rPr>
                <w:rFonts w:asciiTheme="minorHAnsi" w:hAnsiTheme="minorHAnsi"/>
                <w:noProof/>
              </w:rPr>
              <w:tab/>
            </w:r>
            <w:r w:rsidR="00387802" w:rsidRPr="00365A20">
              <w:rPr>
                <w:rStyle w:val="Hyperlink"/>
                <w:noProof/>
              </w:rPr>
              <w:t>Administrative Security Standards</w:t>
            </w:r>
            <w:r w:rsidR="00387802">
              <w:rPr>
                <w:noProof/>
                <w:webHidden/>
              </w:rPr>
              <w:tab/>
            </w:r>
            <w:r w:rsidR="00387802">
              <w:rPr>
                <w:noProof/>
                <w:webHidden/>
              </w:rPr>
              <w:fldChar w:fldCharType="begin"/>
            </w:r>
            <w:r w:rsidR="00387802">
              <w:rPr>
                <w:noProof/>
                <w:webHidden/>
              </w:rPr>
              <w:instrText xml:space="preserve"> PAGEREF _Toc431288981 \h </w:instrText>
            </w:r>
            <w:r w:rsidR="00387802">
              <w:rPr>
                <w:noProof/>
                <w:webHidden/>
              </w:rPr>
            </w:r>
            <w:r w:rsidR="00387802">
              <w:rPr>
                <w:noProof/>
                <w:webHidden/>
              </w:rPr>
              <w:fldChar w:fldCharType="separate"/>
            </w:r>
            <w:r w:rsidR="00387802">
              <w:rPr>
                <w:noProof/>
                <w:webHidden/>
              </w:rPr>
              <w:t>423</w:t>
            </w:r>
            <w:r w:rsidR="00387802">
              <w:rPr>
                <w:noProof/>
                <w:webHidden/>
              </w:rPr>
              <w:fldChar w:fldCharType="end"/>
            </w:r>
          </w:hyperlink>
        </w:p>
        <w:p w14:paraId="020A3195" w14:textId="582E626C" w:rsidR="00387802" w:rsidRDefault="00872E47">
          <w:pPr>
            <w:pStyle w:val="TOC3"/>
            <w:tabs>
              <w:tab w:val="left" w:pos="1320"/>
            </w:tabs>
            <w:rPr>
              <w:rFonts w:asciiTheme="minorHAnsi" w:eastAsiaTheme="minorEastAsia" w:hAnsiTheme="minorHAnsi"/>
              <w:noProof/>
              <w:spacing w:val="0"/>
              <w:sz w:val="22"/>
              <w:szCs w:val="22"/>
            </w:rPr>
          </w:pPr>
          <w:hyperlink w:anchor="_Toc431288982" w:history="1">
            <w:r w:rsidR="00387802" w:rsidRPr="00365A20">
              <w:rPr>
                <w:rStyle w:val="Hyperlink"/>
                <w:noProof/>
                <w14:scene3d>
                  <w14:camera w14:prst="orthographicFront"/>
                  <w14:lightRig w14:rig="threePt" w14:dir="t">
                    <w14:rot w14:lat="0" w14:lon="0" w14:rev="0"/>
                  </w14:lightRig>
                </w14:scene3d>
              </w:rPr>
              <w:t>16.1.1</w:t>
            </w:r>
            <w:r w:rsidR="00387802">
              <w:rPr>
                <w:rFonts w:asciiTheme="minorHAnsi" w:eastAsiaTheme="minorEastAsia" w:hAnsiTheme="minorHAnsi"/>
                <w:noProof/>
                <w:spacing w:val="0"/>
                <w:sz w:val="22"/>
                <w:szCs w:val="22"/>
              </w:rPr>
              <w:tab/>
            </w:r>
            <w:r w:rsidR="00387802" w:rsidRPr="00365A20">
              <w:rPr>
                <w:rStyle w:val="Hyperlink"/>
                <w:noProof/>
              </w:rPr>
              <w:t>Strategic Approach</w:t>
            </w:r>
            <w:r w:rsidR="00387802">
              <w:rPr>
                <w:noProof/>
                <w:webHidden/>
              </w:rPr>
              <w:tab/>
            </w:r>
            <w:r w:rsidR="00387802">
              <w:rPr>
                <w:noProof/>
                <w:webHidden/>
              </w:rPr>
              <w:fldChar w:fldCharType="begin"/>
            </w:r>
            <w:r w:rsidR="00387802">
              <w:rPr>
                <w:noProof/>
                <w:webHidden/>
              </w:rPr>
              <w:instrText xml:space="preserve"> PAGEREF _Toc431288982 \h </w:instrText>
            </w:r>
            <w:r w:rsidR="00387802">
              <w:rPr>
                <w:noProof/>
                <w:webHidden/>
              </w:rPr>
            </w:r>
            <w:r w:rsidR="00387802">
              <w:rPr>
                <w:noProof/>
                <w:webHidden/>
              </w:rPr>
              <w:fldChar w:fldCharType="separate"/>
            </w:r>
            <w:r w:rsidR="00387802">
              <w:rPr>
                <w:noProof/>
                <w:webHidden/>
              </w:rPr>
              <w:t>423</w:t>
            </w:r>
            <w:r w:rsidR="00387802">
              <w:rPr>
                <w:noProof/>
                <w:webHidden/>
              </w:rPr>
              <w:fldChar w:fldCharType="end"/>
            </w:r>
          </w:hyperlink>
        </w:p>
        <w:p w14:paraId="5C1CC505" w14:textId="03B55842" w:rsidR="00387802" w:rsidRDefault="00872E47">
          <w:pPr>
            <w:pStyle w:val="TOC3"/>
            <w:tabs>
              <w:tab w:val="left" w:pos="1320"/>
            </w:tabs>
            <w:rPr>
              <w:rFonts w:asciiTheme="minorHAnsi" w:eastAsiaTheme="minorEastAsia" w:hAnsiTheme="minorHAnsi"/>
              <w:noProof/>
              <w:spacing w:val="0"/>
              <w:sz w:val="22"/>
              <w:szCs w:val="22"/>
            </w:rPr>
          </w:pPr>
          <w:hyperlink w:anchor="_Toc431288983" w:history="1">
            <w:r w:rsidR="00387802" w:rsidRPr="00365A20">
              <w:rPr>
                <w:rStyle w:val="Hyperlink"/>
                <w:noProof/>
                <w14:scene3d>
                  <w14:camera w14:prst="orthographicFront"/>
                  <w14:lightRig w14:rig="threePt" w14:dir="t">
                    <w14:rot w14:lat="0" w14:lon="0" w14:rev="0"/>
                  </w14:lightRig>
                </w14:scene3d>
              </w:rPr>
              <w:t>16.1.2</w:t>
            </w:r>
            <w:r w:rsidR="00387802">
              <w:rPr>
                <w:rFonts w:asciiTheme="minorHAnsi" w:eastAsiaTheme="minorEastAsia" w:hAnsiTheme="minorHAnsi"/>
                <w:noProof/>
                <w:spacing w:val="0"/>
                <w:sz w:val="22"/>
                <w:szCs w:val="22"/>
              </w:rPr>
              <w:tab/>
            </w:r>
            <w:r w:rsidR="00387802" w:rsidRPr="00365A20">
              <w:rPr>
                <w:rStyle w:val="Hyperlink"/>
                <w:noProof/>
              </w:rPr>
              <w:t>Critical Tier 0 Functions</w:t>
            </w:r>
            <w:r w:rsidR="00387802">
              <w:rPr>
                <w:noProof/>
                <w:webHidden/>
              </w:rPr>
              <w:tab/>
            </w:r>
            <w:r w:rsidR="00387802">
              <w:rPr>
                <w:noProof/>
                <w:webHidden/>
              </w:rPr>
              <w:fldChar w:fldCharType="begin"/>
            </w:r>
            <w:r w:rsidR="00387802">
              <w:rPr>
                <w:noProof/>
                <w:webHidden/>
              </w:rPr>
              <w:instrText xml:space="preserve"> PAGEREF _Toc431288983 \h </w:instrText>
            </w:r>
            <w:r w:rsidR="00387802">
              <w:rPr>
                <w:noProof/>
                <w:webHidden/>
              </w:rPr>
            </w:r>
            <w:r w:rsidR="00387802">
              <w:rPr>
                <w:noProof/>
                <w:webHidden/>
              </w:rPr>
              <w:fldChar w:fldCharType="separate"/>
            </w:r>
            <w:r w:rsidR="00387802">
              <w:rPr>
                <w:noProof/>
                <w:webHidden/>
              </w:rPr>
              <w:t>423</w:t>
            </w:r>
            <w:r w:rsidR="00387802">
              <w:rPr>
                <w:noProof/>
                <w:webHidden/>
              </w:rPr>
              <w:fldChar w:fldCharType="end"/>
            </w:r>
          </w:hyperlink>
        </w:p>
        <w:p w14:paraId="56BF2AE2" w14:textId="4E9B4DFC" w:rsidR="00387802" w:rsidRDefault="00872E47">
          <w:pPr>
            <w:pStyle w:val="TOC2"/>
            <w:tabs>
              <w:tab w:val="left" w:pos="880"/>
              <w:tab w:val="right" w:leader="dot" w:pos="9350"/>
            </w:tabs>
            <w:rPr>
              <w:rFonts w:asciiTheme="minorHAnsi" w:hAnsiTheme="minorHAnsi"/>
              <w:noProof/>
            </w:rPr>
          </w:pPr>
          <w:hyperlink w:anchor="_Toc431288984" w:history="1">
            <w:r w:rsidR="00387802" w:rsidRPr="00365A20">
              <w:rPr>
                <w:rStyle w:val="Hyperlink"/>
                <w:noProof/>
              </w:rPr>
              <w:t>16.2</w:t>
            </w:r>
            <w:r w:rsidR="00387802">
              <w:rPr>
                <w:rFonts w:asciiTheme="minorHAnsi" w:hAnsiTheme="minorHAnsi"/>
                <w:noProof/>
              </w:rPr>
              <w:tab/>
            </w:r>
            <w:r w:rsidR="00387802" w:rsidRPr="00365A20">
              <w:rPr>
                <w:rStyle w:val="Hyperlink"/>
                <w:noProof/>
              </w:rPr>
              <w:t>Summary of Standards</w:t>
            </w:r>
            <w:r w:rsidR="00387802">
              <w:rPr>
                <w:noProof/>
                <w:webHidden/>
              </w:rPr>
              <w:tab/>
            </w:r>
            <w:r w:rsidR="00387802">
              <w:rPr>
                <w:noProof/>
                <w:webHidden/>
              </w:rPr>
              <w:fldChar w:fldCharType="begin"/>
            </w:r>
            <w:r w:rsidR="00387802">
              <w:rPr>
                <w:noProof/>
                <w:webHidden/>
              </w:rPr>
              <w:instrText xml:space="preserve"> PAGEREF _Toc431288984 \h </w:instrText>
            </w:r>
            <w:r w:rsidR="00387802">
              <w:rPr>
                <w:noProof/>
                <w:webHidden/>
              </w:rPr>
            </w:r>
            <w:r w:rsidR="00387802">
              <w:rPr>
                <w:noProof/>
                <w:webHidden/>
              </w:rPr>
              <w:fldChar w:fldCharType="separate"/>
            </w:r>
            <w:r w:rsidR="00387802">
              <w:rPr>
                <w:noProof/>
                <w:webHidden/>
              </w:rPr>
              <w:t>424</w:t>
            </w:r>
            <w:r w:rsidR="00387802">
              <w:rPr>
                <w:noProof/>
                <w:webHidden/>
              </w:rPr>
              <w:fldChar w:fldCharType="end"/>
            </w:r>
          </w:hyperlink>
        </w:p>
        <w:p w14:paraId="7EDCF751" w14:textId="5389348C" w:rsidR="00387802" w:rsidRDefault="00872E47">
          <w:pPr>
            <w:pStyle w:val="TOC3"/>
            <w:tabs>
              <w:tab w:val="left" w:pos="1320"/>
            </w:tabs>
            <w:rPr>
              <w:rFonts w:asciiTheme="minorHAnsi" w:eastAsiaTheme="minorEastAsia" w:hAnsiTheme="minorHAnsi"/>
              <w:noProof/>
              <w:spacing w:val="0"/>
              <w:sz w:val="22"/>
              <w:szCs w:val="22"/>
            </w:rPr>
          </w:pPr>
          <w:hyperlink w:anchor="_Toc431288985" w:history="1">
            <w:r w:rsidR="00387802" w:rsidRPr="00365A20">
              <w:rPr>
                <w:rStyle w:val="Hyperlink"/>
                <w:noProof/>
                <w14:scene3d>
                  <w14:camera w14:prst="orthographicFront"/>
                  <w14:lightRig w14:rig="threePt" w14:dir="t">
                    <w14:rot w14:lat="0" w14:lon="0" w14:rev="0"/>
                  </w14:lightRig>
                </w14:scene3d>
              </w:rPr>
              <w:t>16.2.1</w:t>
            </w:r>
            <w:r w:rsidR="00387802">
              <w:rPr>
                <w:rFonts w:asciiTheme="minorHAnsi" w:eastAsiaTheme="minorEastAsia" w:hAnsiTheme="minorHAnsi"/>
                <w:noProof/>
                <w:spacing w:val="0"/>
                <w:sz w:val="22"/>
                <w:szCs w:val="22"/>
              </w:rPr>
              <w:tab/>
            </w:r>
            <w:r w:rsidR="00387802" w:rsidRPr="00365A20">
              <w:rPr>
                <w:rStyle w:val="Hyperlink"/>
                <w:noProof/>
              </w:rPr>
              <w:t>Standards Applicability Summary</w:t>
            </w:r>
            <w:r w:rsidR="00387802">
              <w:rPr>
                <w:noProof/>
                <w:webHidden/>
              </w:rPr>
              <w:tab/>
            </w:r>
            <w:r w:rsidR="00387802">
              <w:rPr>
                <w:noProof/>
                <w:webHidden/>
              </w:rPr>
              <w:fldChar w:fldCharType="begin"/>
            </w:r>
            <w:r w:rsidR="00387802">
              <w:rPr>
                <w:noProof/>
                <w:webHidden/>
              </w:rPr>
              <w:instrText xml:space="preserve"> PAGEREF _Toc431288985 \h </w:instrText>
            </w:r>
            <w:r w:rsidR="00387802">
              <w:rPr>
                <w:noProof/>
                <w:webHidden/>
              </w:rPr>
            </w:r>
            <w:r w:rsidR="00387802">
              <w:rPr>
                <w:noProof/>
                <w:webHidden/>
              </w:rPr>
              <w:fldChar w:fldCharType="separate"/>
            </w:r>
            <w:r w:rsidR="00387802">
              <w:rPr>
                <w:noProof/>
                <w:webHidden/>
              </w:rPr>
              <w:t>424</w:t>
            </w:r>
            <w:r w:rsidR="00387802">
              <w:rPr>
                <w:noProof/>
                <w:webHidden/>
              </w:rPr>
              <w:fldChar w:fldCharType="end"/>
            </w:r>
          </w:hyperlink>
        </w:p>
        <w:p w14:paraId="7E08C8BF" w14:textId="3FC141FC" w:rsidR="00387802" w:rsidRDefault="00872E47">
          <w:pPr>
            <w:pStyle w:val="TOC3"/>
            <w:tabs>
              <w:tab w:val="left" w:pos="1320"/>
            </w:tabs>
            <w:rPr>
              <w:rFonts w:asciiTheme="minorHAnsi" w:eastAsiaTheme="minorEastAsia" w:hAnsiTheme="minorHAnsi"/>
              <w:noProof/>
              <w:spacing w:val="0"/>
              <w:sz w:val="22"/>
              <w:szCs w:val="22"/>
            </w:rPr>
          </w:pPr>
          <w:hyperlink w:anchor="_Toc431288986" w:history="1">
            <w:r w:rsidR="00387802" w:rsidRPr="00365A20">
              <w:rPr>
                <w:rStyle w:val="Hyperlink"/>
                <w:noProof/>
                <w14:scene3d>
                  <w14:camera w14:prst="orthographicFront"/>
                  <w14:lightRig w14:rig="threePt" w14:dir="t">
                    <w14:rot w14:lat="0" w14:lon="0" w14:rev="0"/>
                  </w14:lightRig>
                </w14:scene3d>
              </w:rPr>
              <w:t>16.2.2</w:t>
            </w:r>
            <w:r w:rsidR="00387802">
              <w:rPr>
                <w:rFonts w:asciiTheme="minorHAnsi" w:eastAsiaTheme="minorEastAsia" w:hAnsiTheme="minorHAnsi"/>
                <w:noProof/>
                <w:spacing w:val="0"/>
                <w:sz w:val="22"/>
                <w:szCs w:val="22"/>
              </w:rPr>
              <w:tab/>
            </w:r>
            <w:r w:rsidR="00387802" w:rsidRPr="00365A20">
              <w:rPr>
                <w:rStyle w:val="Hyperlink"/>
                <w:noProof/>
              </w:rPr>
              <w:t>Operating System Standards Summary</w:t>
            </w:r>
            <w:r w:rsidR="00387802">
              <w:rPr>
                <w:noProof/>
                <w:webHidden/>
              </w:rPr>
              <w:tab/>
            </w:r>
            <w:r w:rsidR="00387802">
              <w:rPr>
                <w:noProof/>
                <w:webHidden/>
              </w:rPr>
              <w:fldChar w:fldCharType="begin"/>
            </w:r>
            <w:r w:rsidR="00387802">
              <w:rPr>
                <w:noProof/>
                <w:webHidden/>
              </w:rPr>
              <w:instrText xml:space="preserve"> PAGEREF _Toc431288986 \h </w:instrText>
            </w:r>
            <w:r w:rsidR="00387802">
              <w:rPr>
                <w:noProof/>
                <w:webHidden/>
              </w:rPr>
            </w:r>
            <w:r w:rsidR="00387802">
              <w:rPr>
                <w:noProof/>
                <w:webHidden/>
              </w:rPr>
              <w:fldChar w:fldCharType="separate"/>
            </w:r>
            <w:r w:rsidR="00387802">
              <w:rPr>
                <w:noProof/>
                <w:webHidden/>
              </w:rPr>
              <w:t>425</w:t>
            </w:r>
            <w:r w:rsidR="00387802">
              <w:rPr>
                <w:noProof/>
                <w:webHidden/>
              </w:rPr>
              <w:fldChar w:fldCharType="end"/>
            </w:r>
          </w:hyperlink>
        </w:p>
        <w:p w14:paraId="320A3E00" w14:textId="3C4AB6FC" w:rsidR="00387802" w:rsidRDefault="00872E47">
          <w:pPr>
            <w:pStyle w:val="TOC3"/>
            <w:tabs>
              <w:tab w:val="left" w:pos="1320"/>
            </w:tabs>
            <w:rPr>
              <w:rFonts w:asciiTheme="minorHAnsi" w:eastAsiaTheme="minorEastAsia" w:hAnsiTheme="minorHAnsi"/>
              <w:noProof/>
              <w:spacing w:val="0"/>
              <w:sz w:val="22"/>
              <w:szCs w:val="22"/>
            </w:rPr>
          </w:pPr>
          <w:hyperlink w:anchor="_Toc431288987" w:history="1">
            <w:r w:rsidR="00387802" w:rsidRPr="00365A20">
              <w:rPr>
                <w:rStyle w:val="Hyperlink"/>
                <w:noProof/>
                <w14:scene3d>
                  <w14:camera w14:prst="orthographicFront"/>
                  <w14:lightRig w14:rig="threePt" w14:dir="t">
                    <w14:rot w14:lat="0" w14:lon="0" w14:rev="0"/>
                  </w14:lightRig>
                </w14:scene3d>
              </w:rPr>
              <w:t>16.2.3</w:t>
            </w:r>
            <w:r w:rsidR="00387802">
              <w:rPr>
                <w:rFonts w:asciiTheme="minorHAnsi" w:eastAsiaTheme="minorEastAsia" w:hAnsiTheme="minorHAnsi"/>
                <w:noProof/>
                <w:spacing w:val="0"/>
                <w:sz w:val="22"/>
                <w:szCs w:val="22"/>
              </w:rPr>
              <w:tab/>
            </w:r>
            <w:r w:rsidR="00387802" w:rsidRPr="00365A20">
              <w:rPr>
                <w:rStyle w:val="Hyperlink"/>
                <w:noProof/>
              </w:rPr>
              <w:t>Active Directory and Identity Data Standards Summary</w:t>
            </w:r>
            <w:r w:rsidR="00387802">
              <w:rPr>
                <w:noProof/>
                <w:webHidden/>
              </w:rPr>
              <w:tab/>
            </w:r>
            <w:r w:rsidR="00387802">
              <w:rPr>
                <w:noProof/>
                <w:webHidden/>
              </w:rPr>
              <w:fldChar w:fldCharType="begin"/>
            </w:r>
            <w:r w:rsidR="00387802">
              <w:rPr>
                <w:noProof/>
                <w:webHidden/>
              </w:rPr>
              <w:instrText xml:space="preserve"> PAGEREF _Toc431288987 \h </w:instrText>
            </w:r>
            <w:r w:rsidR="00387802">
              <w:rPr>
                <w:noProof/>
                <w:webHidden/>
              </w:rPr>
            </w:r>
            <w:r w:rsidR="00387802">
              <w:rPr>
                <w:noProof/>
                <w:webHidden/>
              </w:rPr>
              <w:fldChar w:fldCharType="separate"/>
            </w:r>
            <w:r w:rsidR="00387802">
              <w:rPr>
                <w:noProof/>
                <w:webHidden/>
              </w:rPr>
              <w:t>427</w:t>
            </w:r>
            <w:r w:rsidR="00387802">
              <w:rPr>
                <w:noProof/>
                <w:webHidden/>
              </w:rPr>
              <w:fldChar w:fldCharType="end"/>
            </w:r>
          </w:hyperlink>
        </w:p>
        <w:p w14:paraId="4DF94E28" w14:textId="67BFA0E6" w:rsidR="00387802" w:rsidRDefault="00872E47">
          <w:pPr>
            <w:pStyle w:val="TOC3"/>
            <w:tabs>
              <w:tab w:val="left" w:pos="1320"/>
            </w:tabs>
            <w:rPr>
              <w:rFonts w:asciiTheme="minorHAnsi" w:eastAsiaTheme="minorEastAsia" w:hAnsiTheme="minorHAnsi"/>
              <w:noProof/>
              <w:spacing w:val="0"/>
              <w:sz w:val="22"/>
              <w:szCs w:val="22"/>
            </w:rPr>
          </w:pPr>
          <w:hyperlink w:anchor="_Toc431288988" w:history="1">
            <w:r w:rsidR="00387802" w:rsidRPr="00365A20">
              <w:rPr>
                <w:rStyle w:val="Hyperlink"/>
                <w:noProof/>
                <w14:scene3d>
                  <w14:camera w14:prst="orthographicFront"/>
                  <w14:lightRig w14:rig="threePt" w14:dir="t">
                    <w14:rot w14:lat="0" w14:lon="0" w14:rev="0"/>
                  </w14:lightRig>
                </w14:scene3d>
              </w:rPr>
              <w:t>16.2.4</w:t>
            </w:r>
            <w:r w:rsidR="00387802">
              <w:rPr>
                <w:rFonts w:asciiTheme="minorHAnsi" w:eastAsiaTheme="minorEastAsia" w:hAnsiTheme="minorHAnsi"/>
                <w:noProof/>
                <w:spacing w:val="0"/>
                <w:sz w:val="22"/>
                <w:szCs w:val="22"/>
              </w:rPr>
              <w:tab/>
            </w:r>
            <w:r w:rsidR="00387802" w:rsidRPr="00365A20">
              <w:rPr>
                <w:rStyle w:val="Hyperlink"/>
                <w:noProof/>
              </w:rPr>
              <w:t>Operational Practices Standards Summary</w:t>
            </w:r>
            <w:r w:rsidR="00387802">
              <w:rPr>
                <w:noProof/>
                <w:webHidden/>
              </w:rPr>
              <w:tab/>
            </w:r>
            <w:r w:rsidR="00387802">
              <w:rPr>
                <w:noProof/>
                <w:webHidden/>
              </w:rPr>
              <w:fldChar w:fldCharType="begin"/>
            </w:r>
            <w:r w:rsidR="00387802">
              <w:rPr>
                <w:noProof/>
                <w:webHidden/>
              </w:rPr>
              <w:instrText xml:space="preserve"> PAGEREF _Toc431288988 \h </w:instrText>
            </w:r>
            <w:r w:rsidR="00387802">
              <w:rPr>
                <w:noProof/>
                <w:webHidden/>
              </w:rPr>
            </w:r>
            <w:r w:rsidR="00387802">
              <w:rPr>
                <w:noProof/>
                <w:webHidden/>
              </w:rPr>
              <w:fldChar w:fldCharType="separate"/>
            </w:r>
            <w:r w:rsidR="00387802">
              <w:rPr>
                <w:noProof/>
                <w:webHidden/>
              </w:rPr>
              <w:t>428</w:t>
            </w:r>
            <w:r w:rsidR="00387802">
              <w:rPr>
                <w:noProof/>
                <w:webHidden/>
              </w:rPr>
              <w:fldChar w:fldCharType="end"/>
            </w:r>
          </w:hyperlink>
        </w:p>
        <w:p w14:paraId="70382B4C" w14:textId="2CCD38A0" w:rsidR="00387802" w:rsidRDefault="00872E47">
          <w:pPr>
            <w:pStyle w:val="TOC3"/>
            <w:tabs>
              <w:tab w:val="left" w:pos="1320"/>
            </w:tabs>
            <w:rPr>
              <w:rFonts w:asciiTheme="minorHAnsi" w:eastAsiaTheme="minorEastAsia" w:hAnsiTheme="minorHAnsi"/>
              <w:noProof/>
              <w:spacing w:val="0"/>
              <w:sz w:val="22"/>
              <w:szCs w:val="22"/>
            </w:rPr>
          </w:pPr>
          <w:hyperlink w:anchor="_Toc431288989" w:history="1">
            <w:r w:rsidR="00387802" w:rsidRPr="00365A20">
              <w:rPr>
                <w:rStyle w:val="Hyperlink"/>
                <w:noProof/>
                <w14:scene3d>
                  <w14:camera w14:prst="orthographicFront"/>
                  <w14:lightRig w14:rig="threePt" w14:dir="t">
                    <w14:rot w14:lat="0" w14:lon="0" w14:rev="0"/>
                  </w14:lightRig>
                </w14:scene3d>
              </w:rPr>
              <w:t>16.2.5</w:t>
            </w:r>
            <w:r w:rsidR="00387802">
              <w:rPr>
                <w:rFonts w:asciiTheme="minorHAnsi" w:eastAsiaTheme="minorEastAsia" w:hAnsiTheme="minorHAnsi"/>
                <w:noProof/>
                <w:spacing w:val="0"/>
                <w:sz w:val="22"/>
                <w:szCs w:val="22"/>
              </w:rPr>
              <w:tab/>
            </w:r>
            <w:r w:rsidR="00387802" w:rsidRPr="00365A20">
              <w:rPr>
                <w:rStyle w:val="Hyperlink"/>
                <w:noProof/>
              </w:rPr>
              <w:t>Host Hardening Standard</w:t>
            </w:r>
            <w:r w:rsidR="00387802">
              <w:rPr>
                <w:noProof/>
                <w:webHidden/>
              </w:rPr>
              <w:tab/>
            </w:r>
            <w:r w:rsidR="00387802">
              <w:rPr>
                <w:noProof/>
                <w:webHidden/>
              </w:rPr>
              <w:fldChar w:fldCharType="begin"/>
            </w:r>
            <w:r w:rsidR="00387802">
              <w:rPr>
                <w:noProof/>
                <w:webHidden/>
              </w:rPr>
              <w:instrText xml:space="preserve"> PAGEREF _Toc431288989 \h </w:instrText>
            </w:r>
            <w:r w:rsidR="00387802">
              <w:rPr>
                <w:noProof/>
                <w:webHidden/>
              </w:rPr>
            </w:r>
            <w:r w:rsidR="00387802">
              <w:rPr>
                <w:noProof/>
                <w:webHidden/>
              </w:rPr>
              <w:fldChar w:fldCharType="separate"/>
            </w:r>
            <w:r w:rsidR="00387802">
              <w:rPr>
                <w:noProof/>
                <w:webHidden/>
              </w:rPr>
              <w:t>430</w:t>
            </w:r>
            <w:r w:rsidR="00387802">
              <w:rPr>
                <w:noProof/>
                <w:webHidden/>
              </w:rPr>
              <w:fldChar w:fldCharType="end"/>
            </w:r>
          </w:hyperlink>
        </w:p>
        <w:p w14:paraId="35E1E97D" w14:textId="1ECA0CC4" w:rsidR="00387802" w:rsidRDefault="00872E47">
          <w:pPr>
            <w:pStyle w:val="TOC3"/>
            <w:tabs>
              <w:tab w:val="left" w:pos="1320"/>
            </w:tabs>
            <w:rPr>
              <w:rFonts w:asciiTheme="minorHAnsi" w:eastAsiaTheme="minorEastAsia" w:hAnsiTheme="minorHAnsi"/>
              <w:noProof/>
              <w:spacing w:val="0"/>
              <w:sz w:val="22"/>
              <w:szCs w:val="22"/>
            </w:rPr>
          </w:pPr>
          <w:hyperlink w:anchor="_Toc431288990" w:history="1">
            <w:r w:rsidR="00387802" w:rsidRPr="00365A20">
              <w:rPr>
                <w:rStyle w:val="Hyperlink"/>
                <w:noProof/>
                <w14:scene3d>
                  <w14:camera w14:prst="orthographicFront"/>
                  <w14:lightRig w14:rig="threePt" w14:dir="t">
                    <w14:rot w14:lat="0" w14:lon="0" w14:rev="0"/>
                  </w14:lightRig>
                </w14:scene3d>
              </w:rPr>
              <w:t>16.2.6</w:t>
            </w:r>
            <w:r w:rsidR="00387802">
              <w:rPr>
                <w:rFonts w:asciiTheme="minorHAnsi" w:eastAsiaTheme="minorEastAsia" w:hAnsiTheme="minorHAnsi"/>
                <w:noProof/>
                <w:spacing w:val="0"/>
                <w:sz w:val="22"/>
                <w:szCs w:val="22"/>
              </w:rPr>
              <w:tab/>
            </w:r>
            <w:r w:rsidR="00387802" w:rsidRPr="00365A20">
              <w:rPr>
                <w:rStyle w:val="Hyperlink"/>
                <w:noProof/>
              </w:rPr>
              <w:t>Active Directory and Identity Data Standards</w:t>
            </w:r>
            <w:r w:rsidR="00387802">
              <w:rPr>
                <w:noProof/>
                <w:webHidden/>
              </w:rPr>
              <w:tab/>
            </w:r>
            <w:r w:rsidR="00387802">
              <w:rPr>
                <w:noProof/>
                <w:webHidden/>
              </w:rPr>
              <w:fldChar w:fldCharType="begin"/>
            </w:r>
            <w:r w:rsidR="00387802">
              <w:rPr>
                <w:noProof/>
                <w:webHidden/>
              </w:rPr>
              <w:instrText xml:space="preserve"> PAGEREF _Toc431288990 \h </w:instrText>
            </w:r>
            <w:r w:rsidR="00387802">
              <w:rPr>
                <w:noProof/>
                <w:webHidden/>
              </w:rPr>
            </w:r>
            <w:r w:rsidR="00387802">
              <w:rPr>
                <w:noProof/>
                <w:webHidden/>
              </w:rPr>
              <w:fldChar w:fldCharType="separate"/>
            </w:r>
            <w:r w:rsidR="00387802">
              <w:rPr>
                <w:noProof/>
                <w:webHidden/>
              </w:rPr>
              <w:t>437</w:t>
            </w:r>
            <w:r w:rsidR="00387802">
              <w:rPr>
                <w:noProof/>
                <w:webHidden/>
              </w:rPr>
              <w:fldChar w:fldCharType="end"/>
            </w:r>
          </w:hyperlink>
        </w:p>
        <w:p w14:paraId="36C72306" w14:textId="6F062326" w:rsidR="00387802" w:rsidRDefault="00872E47">
          <w:pPr>
            <w:pStyle w:val="TOC3"/>
            <w:tabs>
              <w:tab w:val="left" w:pos="1320"/>
            </w:tabs>
            <w:rPr>
              <w:rFonts w:asciiTheme="minorHAnsi" w:eastAsiaTheme="minorEastAsia" w:hAnsiTheme="minorHAnsi"/>
              <w:noProof/>
              <w:spacing w:val="0"/>
              <w:sz w:val="22"/>
              <w:szCs w:val="22"/>
            </w:rPr>
          </w:pPr>
          <w:hyperlink w:anchor="_Toc431288991" w:history="1">
            <w:r w:rsidR="00387802" w:rsidRPr="00365A20">
              <w:rPr>
                <w:rStyle w:val="Hyperlink"/>
                <w:noProof/>
                <w14:scene3d>
                  <w14:camera w14:prst="orthographicFront"/>
                  <w14:lightRig w14:rig="threePt" w14:dir="t">
                    <w14:rot w14:lat="0" w14:lon="0" w14:rev="0"/>
                  </w14:lightRig>
                </w14:scene3d>
              </w:rPr>
              <w:t>16.2.7</w:t>
            </w:r>
            <w:r w:rsidR="00387802">
              <w:rPr>
                <w:rFonts w:asciiTheme="minorHAnsi" w:eastAsiaTheme="minorEastAsia" w:hAnsiTheme="minorHAnsi"/>
                <w:noProof/>
                <w:spacing w:val="0"/>
                <w:sz w:val="22"/>
                <w:szCs w:val="22"/>
              </w:rPr>
              <w:tab/>
            </w:r>
            <w:r w:rsidR="00387802" w:rsidRPr="00365A20">
              <w:rPr>
                <w:rStyle w:val="Hyperlink"/>
                <w:noProof/>
              </w:rPr>
              <w:t>Group Policy Objects (GPOs)</w:t>
            </w:r>
            <w:r w:rsidR="00387802">
              <w:rPr>
                <w:noProof/>
                <w:webHidden/>
              </w:rPr>
              <w:tab/>
            </w:r>
            <w:r w:rsidR="00387802">
              <w:rPr>
                <w:noProof/>
                <w:webHidden/>
              </w:rPr>
              <w:fldChar w:fldCharType="begin"/>
            </w:r>
            <w:r w:rsidR="00387802">
              <w:rPr>
                <w:noProof/>
                <w:webHidden/>
              </w:rPr>
              <w:instrText xml:space="preserve"> PAGEREF _Toc431288991 \h </w:instrText>
            </w:r>
            <w:r w:rsidR="00387802">
              <w:rPr>
                <w:noProof/>
                <w:webHidden/>
              </w:rPr>
            </w:r>
            <w:r w:rsidR="00387802">
              <w:rPr>
                <w:noProof/>
                <w:webHidden/>
              </w:rPr>
              <w:fldChar w:fldCharType="separate"/>
            </w:r>
            <w:r w:rsidR="00387802">
              <w:rPr>
                <w:noProof/>
                <w:webHidden/>
              </w:rPr>
              <w:t>441</w:t>
            </w:r>
            <w:r w:rsidR="00387802">
              <w:rPr>
                <w:noProof/>
                <w:webHidden/>
              </w:rPr>
              <w:fldChar w:fldCharType="end"/>
            </w:r>
          </w:hyperlink>
        </w:p>
        <w:p w14:paraId="10976304" w14:textId="68E91B38" w:rsidR="00387802" w:rsidRDefault="00872E47">
          <w:pPr>
            <w:pStyle w:val="TOC3"/>
            <w:tabs>
              <w:tab w:val="left" w:pos="1320"/>
            </w:tabs>
            <w:rPr>
              <w:rFonts w:asciiTheme="minorHAnsi" w:eastAsiaTheme="minorEastAsia" w:hAnsiTheme="minorHAnsi"/>
              <w:noProof/>
              <w:spacing w:val="0"/>
              <w:sz w:val="22"/>
              <w:szCs w:val="22"/>
            </w:rPr>
          </w:pPr>
          <w:hyperlink w:anchor="_Toc431288992" w:history="1">
            <w:r w:rsidR="00387802" w:rsidRPr="00365A20">
              <w:rPr>
                <w:rStyle w:val="Hyperlink"/>
                <w:noProof/>
                <w14:scene3d>
                  <w14:camera w14:prst="orthographicFront"/>
                  <w14:lightRig w14:rig="threePt" w14:dir="t">
                    <w14:rot w14:lat="0" w14:lon="0" w14:rev="0"/>
                  </w14:lightRig>
                </w14:scene3d>
              </w:rPr>
              <w:t>16.2.8</w:t>
            </w:r>
            <w:r w:rsidR="00387802">
              <w:rPr>
                <w:rFonts w:asciiTheme="minorHAnsi" w:eastAsiaTheme="minorEastAsia" w:hAnsiTheme="minorHAnsi"/>
                <w:noProof/>
                <w:spacing w:val="0"/>
                <w:sz w:val="22"/>
                <w:szCs w:val="22"/>
              </w:rPr>
              <w:tab/>
            </w:r>
            <w:r w:rsidR="00387802" w:rsidRPr="00365A20">
              <w:rPr>
                <w:rStyle w:val="Hyperlink"/>
                <w:noProof/>
              </w:rPr>
              <w:t>Service Accounts</w:t>
            </w:r>
            <w:r w:rsidR="00387802">
              <w:rPr>
                <w:noProof/>
                <w:webHidden/>
              </w:rPr>
              <w:tab/>
            </w:r>
            <w:r w:rsidR="00387802">
              <w:rPr>
                <w:noProof/>
                <w:webHidden/>
              </w:rPr>
              <w:fldChar w:fldCharType="begin"/>
            </w:r>
            <w:r w:rsidR="00387802">
              <w:rPr>
                <w:noProof/>
                <w:webHidden/>
              </w:rPr>
              <w:instrText xml:space="preserve"> PAGEREF _Toc431288992 \h </w:instrText>
            </w:r>
            <w:r w:rsidR="00387802">
              <w:rPr>
                <w:noProof/>
                <w:webHidden/>
              </w:rPr>
            </w:r>
            <w:r w:rsidR="00387802">
              <w:rPr>
                <w:noProof/>
                <w:webHidden/>
              </w:rPr>
              <w:fldChar w:fldCharType="separate"/>
            </w:r>
            <w:r w:rsidR="00387802">
              <w:rPr>
                <w:noProof/>
                <w:webHidden/>
              </w:rPr>
              <w:t>443</w:t>
            </w:r>
            <w:r w:rsidR="00387802">
              <w:rPr>
                <w:noProof/>
                <w:webHidden/>
              </w:rPr>
              <w:fldChar w:fldCharType="end"/>
            </w:r>
          </w:hyperlink>
        </w:p>
        <w:p w14:paraId="1ABE4F05" w14:textId="48571000" w:rsidR="00387802" w:rsidRDefault="00872E47">
          <w:pPr>
            <w:pStyle w:val="TOC3"/>
            <w:tabs>
              <w:tab w:val="left" w:pos="1320"/>
            </w:tabs>
            <w:rPr>
              <w:rFonts w:asciiTheme="minorHAnsi" w:eastAsiaTheme="minorEastAsia" w:hAnsiTheme="minorHAnsi"/>
              <w:noProof/>
              <w:spacing w:val="0"/>
              <w:sz w:val="22"/>
              <w:szCs w:val="22"/>
            </w:rPr>
          </w:pPr>
          <w:hyperlink w:anchor="_Toc431288993" w:history="1">
            <w:r w:rsidR="00387802" w:rsidRPr="00365A20">
              <w:rPr>
                <w:rStyle w:val="Hyperlink"/>
                <w:noProof/>
                <w14:scene3d>
                  <w14:camera w14:prst="orthographicFront"/>
                  <w14:lightRig w14:rig="threePt" w14:dir="t">
                    <w14:rot w14:lat="0" w14:lon="0" w14:rev="0"/>
                  </w14:lightRig>
                </w14:scene3d>
              </w:rPr>
              <w:t>16.2.9</w:t>
            </w:r>
            <w:r w:rsidR="00387802">
              <w:rPr>
                <w:rFonts w:asciiTheme="minorHAnsi" w:eastAsiaTheme="minorEastAsia" w:hAnsiTheme="minorHAnsi"/>
                <w:noProof/>
                <w:spacing w:val="0"/>
                <w:sz w:val="22"/>
                <w:szCs w:val="22"/>
              </w:rPr>
              <w:tab/>
            </w:r>
            <w:r w:rsidR="00387802" w:rsidRPr="00365A20">
              <w:rPr>
                <w:rStyle w:val="Hyperlink"/>
                <w:noProof/>
              </w:rPr>
              <w:t>Certification Authority data</w:t>
            </w:r>
            <w:r w:rsidR="00387802">
              <w:rPr>
                <w:noProof/>
                <w:webHidden/>
              </w:rPr>
              <w:tab/>
            </w:r>
            <w:r w:rsidR="00387802">
              <w:rPr>
                <w:noProof/>
                <w:webHidden/>
              </w:rPr>
              <w:fldChar w:fldCharType="begin"/>
            </w:r>
            <w:r w:rsidR="00387802">
              <w:rPr>
                <w:noProof/>
                <w:webHidden/>
              </w:rPr>
              <w:instrText xml:space="preserve"> PAGEREF _Toc431288993 \h </w:instrText>
            </w:r>
            <w:r w:rsidR="00387802">
              <w:rPr>
                <w:noProof/>
                <w:webHidden/>
              </w:rPr>
            </w:r>
            <w:r w:rsidR="00387802">
              <w:rPr>
                <w:noProof/>
                <w:webHidden/>
              </w:rPr>
              <w:fldChar w:fldCharType="separate"/>
            </w:r>
            <w:r w:rsidR="00387802">
              <w:rPr>
                <w:noProof/>
                <w:webHidden/>
              </w:rPr>
              <w:t>445</w:t>
            </w:r>
            <w:r w:rsidR="00387802">
              <w:rPr>
                <w:noProof/>
                <w:webHidden/>
              </w:rPr>
              <w:fldChar w:fldCharType="end"/>
            </w:r>
          </w:hyperlink>
        </w:p>
        <w:p w14:paraId="11EA3FFF" w14:textId="1CB81344" w:rsidR="00387802" w:rsidRDefault="00872E47">
          <w:pPr>
            <w:pStyle w:val="TOC3"/>
            <w:tabs>
              <w:tab w:val="left" w:pos="1540"/>
            </w:tabs>
            <w:rPr>
              <w:rFonts w:asciiTheme="minorHAnsi" w:eastAsiaTheme="minorEastAsia" w:hAnsiTheme="minorHAnsi"/>
              <w:noProof/>
              <w:spacing w:val="0"/>
              <w:sz w:val="22"/>
              <w:szCs w:val="22"/>
            </w:rPr>
          </w:pPr>
          <w:hyperlink w:anchor="_Toc431288994" w:history="1">
            <w:r w:rsidR="00387802" w:rsidRPr="00365A20">
              <w:rPr>
                <w:rStyle w:val="Hyperlink"/>
                <w:noProof/>
                <w14:scene3d>
                  <w14:camera w14:prst="orthographicFront"/>
                  <w14:lightRig w14:rig="threePt" w14:dir="t">
                    <w14:rot w14:lat="0" w14:lon="0" w14:rev="0"/>
                  </w14:lightRig>
                </w14:scene3d>
              </w:rPr>
              <w:t>16.2.10</w:t>
            </w:r>
            <w:r w:rsidR="00387802">
              <w:rPr>
                <w:rFonts w:asciiTheme="minorHAnsi" w:eastAsiaTheme="minorEastAsia" w:hAnsiTheme="minorHAnsi"/>
                <w:noProof/>
                <w:spacing w:val="0"/>
                <w:sz w:val="22"/>
                <w:szCs w:val="22"/>
              </w:rPr>
              <w:tab/>
            </w:r>
            <w:r w:rsidR="00387802" w:rsidRPr="00365A20">
              <w:rPr>
                <w:rStyle w:val="Hyperlink"/>
                <w:noProof/>
              </w:rPr>
              <w:t>Operational Standards</w:t>
            </w:r>
            <w:r w:rsidR="00387802">
              <w:rPr>
                <w:noProof/>
                <w:webHidden/>
              </w:rPr>
              <w:tab/>
            </w:r>
            <w:r w:rsidR="00387802">
              <w:rPr>
                <w:noProof/>
                <w:webHidden/>
              </w:rPr>
              <w:fldChar w:fldCharType="begin"/>
            </w:r>
            <w:r w:rsidR="00387802">
              <w:rPr>
                <w:noProof/>
                <w:webHidden/>
              </w:rPr>
              <w:instrText xml:space="preserve"> PAGEREF _Toc431288994 \h </w:instrText>
            </w:r>
            <w:r w:rsidR="00387802">
              <w:rPr>
                <w:noProof/>
                <w:webHidden/>
              </w:rPr>
            </w:r>
            <w:r w:rsidR="00387802">
              <w:rPr>
                <w:noProof/>
                <w:webHidden/>
              </w:rPr>
              <w:fldChar w:fldCharType="separate"/>
            </w:r>
            <w:r w:rsidR="00387802">
              <w:rPr>
                <w:noProof/>
                <w:webHidden/>
              </w:rPr>
              <w:t>446</w:t>
            </w:r>
            <w:r w:rsidR="00387802">
              <w:rPr>
                <w:noProof/>
                <w:webHidden/>
              </w:rPr>
              <w:fldChar w:fldCharType="end"/>
            </w:r>
          </w:hyperlink>
        </w:p>
        <w:p w14:paraId="62A5D08F" w14:textId="5A7EB6B8" w:rsidR="00387802" w:rsidRDefault="00872E47">
          <w:pPr>
            <w:pStyle w:val="TOC3"/>
            <w:tabs>
              <w:tab w:val="left" w:pos="1540"/>
            </w:tabs>
            <w:rPr>
              <w:rFonts w:asciiTheme="minorHAnsi" w:eastAsiaTheme="minorEastAsia" w:hAnsiTheme="minorHAnsi"/>
              <w:noProof/>
              <w:spacing w:val="0"/>
              <w:sz w:val="22"/>
              <w:szCs w:val="22"/>
            </w:rPr>
          </w:pPr>
          <w:hyperlink w:anchor="_Toc431288995" w:history="1">
            <w:r w:rsidR="00387802" w:rsidRPr="00365A20">
              <w:rPr>
                <w:rStyle w:val="Hyperlink"/>
                <w:noProof/>
                <w14:scene3d>
                  <w14:camera w14:prst="orthographicFront"/>
                  <w14:lightRig w14:rig="threePt" w14:dir="t">
                    <w14:rot w14:lat="0" w14:lon="0" w14:rev="0"/>
                  </w14:lightRig>
                </w14:scene3d>
              </w:rPr>
              <w:t>16.2.11</w:t>
            </w:r>
            <w:r w:rsidR="00387802">
              <w:rPr>
                <w:rFonts w:asciiTheme="minorHAnsi" w:eastAsiaTheme="minorEastAsia" w:hAnsiTheme="minorHAnsi"/>
                <w:noProof/>
                <w:spacing w:val="0"/>
                <w:sz w:val="22"/>
                <w:szCs w:val="22"/>
              </w:rPr>
              <w:tab/>
            </w:r>
            <w:r w:rsidR="00387802" w:rsidRPr="00365A20">
              <w:rPr>
                <w:rStyle w:val="Hyperlink"/>
                <w:noProof/>
              </w:rPr>
              <w:t>Hardening Standards Applicability</w:t>
            </w:r>
            <w:r w:rsidR="00387802">
              <w:rPr>
                <w:noProof/>
                <w:webHidden/>
              </w:rPr>
              <w:tab/>
            </w:r>
            <w:r w:rsidR="00387802">
              <w:rPr>
                <w:noProof/>
                <w:webHidden/>
              </w:rPr>
              <w:fldChar w:fldCharType="begin"/>
            </w:r>
            <w:r w:rsidR="00387802">
              <w:rPr>
                <w:noProof/>
                <w:webHidden/>
              </w:rPr>
              <w:instrText xml:space="preserve"> PAGEREF _Toc431288995 \h </w:instrText>
            </w:r>
            <w:r w:rsidR="00387802">
              <w:rPr>
                <w:noProof/>
                <w:webHidden/>
              </w:rPr>
            </w:r>
            <w:r w:rsidR="00387802">
              <w:rPr>
                <w:noProof/>
                <w:webHidden/>
              </w:rPr>
              <w:fldChar w:fldCharType="separate"/>
            </w:r>
            <w:r w:rsidR="00387802">
              <w:rPr>
                <w:noProof/>
                <w:webHidden/>
              </w:rPr>
              <w:t>454</w:t>
            </w:r>
            <w:r w:rsidR="00387802">
              <w:rPr>
                <w:noProof/>
                <w:webHidden/>
              </w:rPr>
              <w:fldChar w:fldCharType="end"/>
            </w:r>
          </w:hyperlink>
        </w:p>
        <w:p w14:paraId="0E3EDD43" w14:textId="4E47478C" w:rsidR="00387802" w:rsidRDefault="00872E47">
          <w:pPr>
            <w:pStyle w:val="TOC3"/>
            <w:tabs>
              <w:tab w:val="left" w:pos="1540"/>
            </w:tabs>
            <w:rPr>
              <w:rFonts w:asciiTheme="minorHAnsi" w:eastAsiaTheme="minorEastAsia" w:hAnsiTheme="minorHAnsi"/>
              <w:noProof/>
              <w:spacing w:val="0"/>
              <w:sz w:val="22"/>
              <w:szCs w:val="22"/>
            </w:rPr>
          </w:pPr>
          <w:hyperlink w:anchor="_Toc431288996" w:history="1">
            <w:r w:rsidR="00387802" w:rsidRPr="00365A20">
              <w:rPr>
                <w:rStyle w:val="Hyperlink"/>
                <w:noProof/>
                <w14:scene3d>
                  <w14:camera w14:prst="orthographicFront"/>
                  <w14:lightRig w14:rig="threePt" w14:dir="t">
                    <w14:rot w14:lat="0" w14:lon="0" w14:rev="0"/>
                  </w14:lightRig>
                </w14:scene3d>
              </w:rPr>
              <w:t>16.2.12</w:t>
            </w:r>
            <w:r w:rsidR="00387802">
              <w:rPr>
                <w:rFonts w:asciiTheme="minorHAnsi" w:eastAsiaTheme="minorEastAsia" w:hAnsiTheme="minorHAnsi"/>
                <w:noProof/>
                <w:spacing w:val="0"/>
                <w:sz w:val="22"/>
                <w:szCs w:val="22"/>
              </w:rPr>
              <w:tab/>
            </w:r>
            <w:r w:rsidR="00387802" w:rsidRPr="00365A20">
              <w:rPr>
                <w:rStyle w:val="Hyperlink"/>
                <w:noProof/>
              </w:rPr>
              <w:t>Mitigating Software Security Risks</w:t>
            </w:r>
            <w:r w:rsidR="00387802">
              <w:rPr>
                <w:noProof/>
                <w:webHidden/>
              </w:rPr>
              <w:tab/>
            </w:r>
            <w:r w:rsidR="00387802">
              <w:rPr>
                <w:noProof/>
                <w:webHidden/>
              </w:rPr>
              <w:fldChar w:fldCharType="begin"/>
            </w:r>
            <w:r w:rsidR="00387802">
              <w:rPr>
                <w:noProof/>
                <w:webHidden/>
              </w:rPr>
              <w:instrText xml:space="preserve"> PAGEREF _Toc431288996 \h </w:instrText>
            </w:r>
            <w:r w:rsidR="00387802">
              <w:rPr>
                <w:noProof/>
                <w:webHidden/>
              </w:rPr>
            </w:r>
            <w:r w:rsidR="00387802">
              <w:rPr>
                <w:noProof/>
                <w:webHidden/>
              </w:rPr>
              <w:fldChar w:fldCharType="separate"/>
            </w:r>
            <w:r w:rsidR="00387802">
              <w:rPr>
                <w:noProof/>
                <w:webHidden/>
              </w:rPr>
              <w:t>457</w:t>
            </w:r>
            <w:r w:rsidR="00387802">
              <w:rPr>
                <w:noProof/>
                <w:webHidden/>
              </w:rPr>
              <w:fldChar w:fldCharType="end"/>
            </w:r>
          </w:hyperlink>
        </w:p>
        <w:p w14:paraId="6C2F1590" w14:textId="0767F0D0" w:rsidR="00C24E60" w:rsidRDefault="00DA6339" w:rsidP="00C24E60">
          <w:pPr>
            <w:rPr>
              <w:rStyle w:val="StyleLatinSegoeUI10pt"/>
            </w:rPr>
            <w:sectPr w:rsidR="00C24E60">
              <w:headerReference w:type="default" r:id="rId15"/>
              <w:footerReference w:type="default" r:id="rId16"/>
              <w:headerReference w:type="first" r:id="rId17"/>
              <w:footerReference w:type="first" r:id="rId18"/>
              <w:pgSz w:w="12240" w:h="15840" w:code="1"/>
              <w:pgMar w:top="1440" w:right="1440" w:bottom="1440" w:left="1440" w:header="706" w:footer="288" w:gutter="0"/>
              <w:cols w:space="720"/>
              <w:docGrid w:linePitch="360"/>
            </w:sectPr>
          </w:pPr>
          <w:r>
            <w:rPr>
              <w:noProof/>
              <w:sz w:val="24"/>
            </w:rPr>
            <w:fldChar w:fldCharType="end"/>
          </w:r>
        </w:p>
        <w:p w14:paraId="1F0ECDBC" w14:textId="77777777" w:rsidR="00425E66" w:rsidRDefault="00872E47" w:rsidP="00425E66">
          <w:pPr>
            <w:spacing w:before="0" w:after="160" w:line="259" w:lineRule="auto"/>
          </w:pPr>
        </w:p>
      </w:sdtContent>
    </w:sdt>
    <w:bookmarkStart w:id="1" w:name="_Toc423117175" w:displacedByCustomXml="prev"/>
    <w:bookmarkStart w:id="2" w:name="_Toc423117725" w:displacedByCustomXml="prev"/>
    <w:bookmarkStart w:id="3" w:name="_Toc423116692" w:displacedByCustomXml="prev"/>
    <w:bookmarkStart w:id="4" w:name="_Toc422941486" w:displacedByCustomXml="prev"/>
    <w:bookmarkStart w:id="5" w:name="_Toc418185778" w:displacedByCustomXml="prev"/>
    <w:bookmarkStart w:id="6" w:name="_Toc418167522" w:displacedByCustomXml="prev"/>
    <w:bookmarkStart w:id="7" w:name="_Toc418156597" w:displacedByCustomXml="prev"/>
    <w:bookmarkStart w:id="8" w:name="_Toc418095430" w:displacedByCustomXml="prev"/>
    <w:bookmarkStart w:id="9" w:name="_Toc418083211" w:displacedByCustomXml="prev"/>
    <w:bookmarkStart w:id="10" w:name="_Toc418081809" w:displacedByCustomXml="prev"/>
    <w:bookmarkStart w:id="11" w:name="_Toc418080635" w:displacedByCustomXml="prev"/>
    <w:bookmarkStart w:id="12" w:name="_Toc418061287" w:displacedByCustomXml="prev"/>
    <w:bookmarkStart w:id="13" w:name="_Toc418036822" w:displacedByCustomXml="prev"/>
    <w:bookmarkStart w:id="14" w:name="_Toc418029885" w:displacedByCustomXml="prev"/>
    <w:bookmarkStart w:id="15" w:name="_Toc418014385" w:displacedByCustomXml="prev"/>
    <w:bookmarkStart w:id="16" w:name="_Toc418011901" w:displacedByCustomXml="prev"/>
    <w:bookmarkStart w:id="17" w:name="_Toc418003693" w:displacedByCustomXml="prev"/>
    <w:bookmarkStart w:id="18" w:name="_Toc418000551" w:displacedByCustomXml="prev"/>
    <w:bookmarkStart w:id="19" w:name="_Toc417985826" w:displacedByCustomXml="prev"/>
    <w:bookmarkStart w:id="20" w:name="_Toc417982403" w:displacedByCustomXml="prev"/>
    <w:bookmarkStart w:id="21" w:name="_Toc417947023" w:displacedByCustomXml="prev"/>
    <w:bookmarkStart w:id="22" w:name="_Toc417936128" w:displacedByCustomXml="prev"/>
    <w:bookmarkStart w:id="23" w:name="_Toc417935666" w:displacedByCustomXml="prev"/>
    <w:bookmarkStart w:id="24" w:name="_Toc417934327" w:displacedByCustomXml="prev"/>
    <w:bookmarkStart w:id="25" w:name="_Toc417594428" w:displacedByCustomXml="prev"/>
    <w:bookmarkStart w:id="26" w:name="_Toc417548196" w:displacedByCustomXml="prev"/>
    <w:bookmarkStart w:id="27" w:name="_Toc417502656" w:displacedByCustomXml="prev"/>
    <w:bookmarkStart w:id="28" w:name="_Toc417499834" w:displacedByCustomXml="prev"/>
    <w:bookmarkStart w:id="29" w:name="_Toc417482115" w:displacedByCustomXml="prev"/>
    <w:bookmarkStart w:id="30" w:name="_Toc417481857" w:displacedByCustomXml="prev"/>
    <w:bookmarkStart w:id="31" w:name="_Toc417457281" w:displacedByCustomXml="prev"/>
    <w:bookmarkStart w:id="32" w:name="_Toc417419512" w:displacedByCustomXml="prev"/>
    <w:bookmarkStart w:id="33" w:name="_Toc417401199" w:displacedByCustomXml="prev"/>
    <w:bookmarkStart w:id="34" w:name="_Toc417400351" w:displacedByCustomXml="prev"/>
    <w:bookmarkStart w:id="35" w:name="_Toc417399304" w:displacedByCustomXml="prev"/>
    <w:bookmarkStart w:id="36" w:name="_Toc417399145" w:displacedByCustomXml="prev"/>
    <w:bookmarkStart w:id="37" w:name="_Toc417394928" w:displacedByCustomXml="prev"/>
    <w:bookmarkStart w:id="38" w:name="_Toc417330327" w:displacedByCustomXml="prev"/>
    <w:bookmarkStart w:id="39" w:name="_Toc417326779" w:displacedByCustomXml="prev"/>
    <w:bookmarkStart w:id="40" w:name="_Toc417323690" w:displacedByCustomXml="prev"/>
    <w:bookmarkStart w:id="41" w:name="_Toc417314673" w:displacedByCustomXml="prev"/>
    <w:bookmarkStart w:id="42" w:name="_Toc416863070" w:displacedByCustomXml="prev"/>
    <w:bookmarkStart w:id="43" w:name="_Toc416343799" w:displacedByCustomXml="prev"/>
    <w:bookmarkStart w:id="44" w:name="_Toc415814064" w:displacedByCustomXml="prev"/>
    <w:bookmarkStart w:id="45" w:name="_Toc415735483" w:displacedByCustomXml="prev"/>
    <w:bookmarkStart w:id="46" w:name="_Toc415572318" w:displacedByCustomXml="prev"/>
    <w:bookmarkStart w:id="47" w:name="_Toc415039963" w:displacedByCustomXml="prev"/>
    <w:bookmarkStart w:id="48" w:name="_Toc415011273" w:displacedByCustomXml="prev"/>
    <w:bookmarkStart w:id="49" w:name="_Toc414969051" w:displacedByCustomXml="prev"/>
    <w:bookmarkStart w:id="50" w:name="_Toc414960080" w:displacedByCustomXml="prev"/>
    <w:bookmarkStart w:id="51" w:name="_Toc414892054" w:displacedByCustomXml="prev"/>
    <w:p w14:paraId="6C2F1592" w14:textId="28033B83" w:rsidR="001C4A70" w:rsidRDefault="00DC1C1E" w:rsidP="005729D2">
      <w:pPr>
        <w:pStyle w:val="Heading1Numbered"/>
        <w:numPr>
          <w:ilvl w:val="0"/>
          <w:numId w:val="64"/>
        </w:numPr>
      </w:pPr>
      <w:bookmarkStart w:id="52" w:name="_Toc431288760"/>
      <w:r>
        <w:t>Introduction</w:t>
      </w:r>
      <w:bookmarkEnd w:id="52"/>
      <w:bookmarkEnd w:id="51"/>
      <w:bookmarkEnd w:id="50"/>
      <w:bookmarkEnd w:id="49"/>
      <w:bookmarkEnd w:id="48"/>
      <w:bookmarkEnd w:id="47"/>
      <w:bookmarkEnd w:id="46"/>
      <w:bookmarkEnd w:id="45"/>
      <w:bookmarkEnd w:id="44"/>
      <w:bookmarkEnd w:id="43"/>
      <w:bookmarkEnd w:id="42"/>
      <w:bookmarkEnd w:id="41"/>
      <w:bookmarkEnd w:id="40"/>
      <w:bookmarkEnd w:id="39"/>
      <w:bookmarkEnd w:id="38"/>
      <w:bookmarkEnd w:id="37"/>
      <w:bookmarkEnd w:id="36"/>
      <w:bookmarkEnd w:id="35"/>
      <w:bookmarkEnd w:id="34"/>
      <w:bookmarkEnd w:id="33"/>
      <w:bookmarkEnd w:id="32"/>
      <w:bookmarkEnd w:id="31"/>
      <w:bookmarkEnd w:id="30"/>
      <w:bookmarkEnd w:id="29"/>
      <w:bookmarkEnd w:id="28"/>
      <w:bookmarkEnd w:id="27"/>
      <w:bookmarkEnd w:id="26"/>
      <w:bookmarkEnd w:id="25"/>
      <w:bookmarkEnd w:id="24"/>
      <w:bookmarkEnd w:id="23"/>
      <w:bookmarkEnd w:id="22"/>
      <w:bookmarkEnd w:id="21"/>
      <w:bookmarkEnd w:id="20"/>
      <w:bookmarkEnd w:id="19"/>
      <w:bookmarkEnd w:id="18"/>
      <w:bookmarkEnd w:id="17"/>
      <w:bookmarkEnd w:id="16"/>
      <w:bookmarkEnd w:id="15"/>
      <w:bookmarkEnd w:id="14"/>
      <w:bookmarkEnd w:id="13"/>
      <w:bookmarkEnd w:id="12"/>
      <w:bookmarkEnd w:id="11"/>
      <w:bookmarkEnd w:id="10"/>
      <w:bookmarkEnd w:id="9"/>
      <w:bookmarkEnd w:id="8"/>
      <w:bookmarkEnd w:id="7"/>
      <w:bookmarkEnd w:id="6"/>
      <w:bookmarkEnd w:id="5"/>
      <w:bookmarkEnd w:id="4"/>
      <w:bookmarkEnd w:id="3"/>
      <w:bookmarkEnd w:id="2"/>
      <w:bookmarkEnd w:id="1"/>
    </w:p>
    <w:p w14:paraId="6C2F1593" w14:textId="0C9214E0" w:rsidR="00DC1C1E" w:rsidRPr="00DC1C1E" w:rsidRDefault="00DC1C1E" w:rsidP="00DC1C1E">
      <w:r w:rsidRPr="00DC1C1E">
        <w:t>The</w:t>
      </w:r>
      <w:r w:rsidR="001F0F52" w:rsidRPr="00DC1C1E">
        <w:t xml:space="preserve"> goal of </w:t>
      </w:r>
      <w:r w:rsidR="001F0F52">
        <w:t xml:space="preserve">the </w:t>
      </w:r>
      <w:r w:rsidR="001F0F52" w:rsidRPr="00DC1C1E">
        <w:t xml:space="preserve">Azure Reference Architecture is to help organizations quickly develop and implement </w:t>
      </w:r>
      <w:r w:rsidR="001F0F52">
        <w:t xml:space="preserve">Microsoft </w:t>
      </w:r>
      <w:r w:rsidR="001F0F52" w:rsidRPr="00DC1C1E">
        <w:t xml:space="preserve">Azure-based solutions while reducing complexity and risk. The Azure Reference Architecture combines Microsoft software and recommended compute, network, and storage guidance to support </w:t>
      </w:r>
      <w:r w:rsidR="001F0F52">
        <w:t>the extension of their datacenter environment through the use of Infrastructure-as-a-Service (IaaS) and</w:t>
      </w:r>
      <w:r w:rsidR="001F0F52" w:rsidRPr="00DC1C1E">
        <w:t xml:space="preserve"> Platform-as-a-Service </w:t>
      </w:r>
      <w:r w:rsidR="001F0F52">
        <w:t>(PaaS) constructs.</w:t>
      </w:r>
      <w:r w:rsidRPr="00DC1C1E">
        <w:t xml:space="preserve"> </w:t>
      </w:r>
    </w:p>
    <w:p w14:paraId="6C2F1594" w14:textId="77777777" w:rsidR="001C4A70" w:rsidRDefault="00DC1C1E" w:rsidP="005729D2">
      <w:pPr>
        <w:pStyle w:val="Heading2Numbered"/>
        <w:numPr>
          <w:ilvl w:val="1"/>
          <w:numId w:val="64"/>
        </w:numPr>
      </w:pPr>
      <w:bookmarkStart w:id="53" w:name="_Toc414892055"/>
      <w:bookmarkStart w:id="54" w:name="_Toc414960081"/>
      <w:bookmarkStart w:id="55" w:name="_Toc414969052"/>
      <w:bookmarkStart w:id="56" w:name="_Toc415011274"/>
      <w:bookmarkStart w:id="57" w:name="_Toc415039964"/>
      <w:bookmarkStart w:id="58" w:name="_Toc415572319"/>
      <w:bookmarkStart w:id="59" w:name="_Toc415735484"/>
      <w:bookmarkStart w:id="60" w:name="_Toc415814065"/>
      <w:bookmarkStart w:id="61" w:name="_Toc416343800"/>
      <w:bookmarkStart w:id="62" w:name="_Toc416863071"/>
      <w:bookmarkStart w:id="63" w:name="_Toc417314674"/>
      <w:bookmarkStart w:id="64" w:name="_Toc417323691"/>
      <w:bookmarkStart w:id="65" w:name="_Toc417326780"/>
      <w:bookmarkStart w:id="66" w:name="_Toc417330328"/>
      <w:bookmarkStart w:id="67" w:name="_Toc417394929"/>
      <w:bookmarkStart w:id="68" w:name="_Toc417399146"/>
      <w:bookmarkStart w:id="69" w:name="_Toc417399305"/>
      <w:bookmarkStart w:id="70" w:name="_Toc417400352"/>
      <w:bookmarkStart w:id="71" w:name="_Toc417401200"/>
      <w:bookmarkStart w:id="72" w:name="_Toc417419513"/>
      <w:bookmarkStart w:id="73" w:name="_Toc417457282"/>
      <w:bookmarkStart w:id="74" w:name="_Toc417481858"/>
      <w:bookmarkStart w:id="75" w:name="_Toc417482116"/>
      <w:bookmarkStart w:id="76" w:name="_Toc417499835"/>
      <w:bookmarkStart w:id="77" w:name="_Toc417502657"/>
      <w:bookmarkStart w:id="78" w:name="_Toc417548197"/>
      <w:bookmarkStart w:id="79" w:name="_Toc417594429"/>
      <w:bookmarkStart w:id="80" w:name="_Toc417934328"/>
      <w:bookmarkStart w:id="81" w:name="_Toc417935667"/>
      <w:bookmarkStart w:id="82" w:name="_Toc417936129"/>
      <w:bookmarkStart w:id="83" w:name="_Toc417947024"/>
      <w:bookmarkStart w:id="84" w:name="_Toc417982404"/>
      <w:bookmarkStart w:id="85" w:name="_Toc417985827"/>
      <w:bookmarkStart w:id="86" w:name="_Toc418000552"/>
      <w:bookmarkStart w:id="87" w:name="_Toc418003694"/>
      <w:bookmarkStart w:id="88" w:name="_Toc418011902"/>
      <w:bookmarkStart w:id="89" w:name="_Toc418014388"/>
      <w:bookmarkStart w:id="90" w:name="_Toc418029886"/>
      <w:bookmarkStart w:id="91" w:name="_Toc418036823"/>
      <w:bookmarkStart w:id="92" w:name="_Toc418061288"/>
      <w:bookmarkStart w:id="93" w:name="_Toc418080636"/>
      <w:bookmarkStart w:id="94" w:name="_Toc418081810"/>
      <w:bookmarkStart w:id="95" w:name="_Toc418083212"/>
      <w:bookmarkStart w:id="96" w:name="_Toc418095431"/>
      <w:bookmarkStart w:id="97" w:name="_Toc418156598"/>
      <w:bookmarkStart w:id="98" w:name="_Toc418167523"/>
      <w:bookmarkStart w:id="99" w:name="_Toc418185779"/>
      <w:bookmarkStart w:id="100" w:name="_Toc422941487"/>
      <w:bookmarkStart w:id="101" w:name="_Toc423116693"/>
      <w:bookmarkStart w:id="102" w:name="_Toc423117726"/>
      <w:bookmarkStart w:id="103" w:name="_Toc423117176"/>
      <w:bookmarkStart w:id="104" w:name="_Toc431288761"/>
      <w:r>
        <w:t>Scope</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5E062283" w14:textId="34E71DF9" w:rsidR="001F0F52" w:rsidRDefault="00DC1C1E" w:rsidP="00DC1C1E">
      <w:r w:rsidRPr="00CB49C9">
        <w:t>The</w:t>
      </w:r>
      <w:r w:rsidR="001F0F52" w:rsidRPr="00CB49C9">
        <w:t xml:space="preserve"> scope of this document is to provide the necessary guidance to develop </w:t>
      </w:r>
      <w:r w:rsidR="001F0F52">
        <w:t xml:space="preserve">Microsoft Azure-based </w:t>
      </w:r>
      <w:r w:rsidR="001F0F52" w:rsidRPr="00CB49C9">
        <w:t xml:space="preserve">solutions </w:t>
      </w:r>
      <w:r w:rsidR="001F0F52">
        <w:t xml:space="preserve">by establishing an Azure subscription model that meets the business, identity, security, infrastructure, and development requirements held by most organizations adopting a public cloud services strategy. </w:t>
      </w:r>
      <w:r w:rsidR="00EB376B">
        <w:t xml:space="preserve">  </w:t>
      </w:r>
    </w:p>
    <w:p w14:paraId="590302C8" w14:textId="77777777" w:rsidR="001F0F52" w:rsidRDefault="00EB376B" w:rsidP="00DC1C1E">
      <w:r>
        <w:t>The</w:t>
      </w:r>
      <w:r w:rsidR="001F0F52">
        <w:t xml:space="preserve"> focus of this document is on the design and implementation guidelines for general Azure subscription planning. This document is not intended to replace existing documentation about Microsoft Azure features. It seeks to integrate and complement that information with associated design guidance. For most organizations that want to seamlessly integrate Azure services, a firm understanding of the features and capabilities of the Azure platform along with tested models and practices is key towards proper consumption and adoption of the services.</w:t>
      </w:r>
    </w:p>
    <w:p w14:paraId="13AC2AE7" w14:textId="77777777" w:rsidR="001F0F52" w:rsidRDefault="00A2135A" w:rsidP="001F0F52">
      <w:r>
        <w:t xml:space="preserve">This </w:t>
      </w:r>
      <w:r w:rsidR="001F0F52">
        <w:t>This document’s primary scope focuses on the generally available (GA) feature set of Azure. Azure features and capabilities are surfaced in one of three ways:</w:t>
      </w:r>
    </w:p>
    <w:p w14:paraId="4EF6A4A0" w14:textId="77777777" w:rsidR="001F0F52" w:rsidRDefault="001F0F52" w:rsidP="005729D2">
      <w:pPr>
        <w:pStyle w:val="ListParagraph"/>
        <w:numPr>
          <w:ilvl w:val="0"/>
          <w:numId w:val="82"/>
        </w:numPr>
      </w:pPr>
      <w:r>
        <w:t>Private Preview</w:t>
      </w:r>
    </w:p>
    <w:p w14:paraId="67167D9E" w14:textId="393ACF24" w:rsidR="001F0F52" w:rsidRDefault="001F0F52" w:rsidP="005729D2">
      <w:pPr>
        <w:pStyle w:val="ListParagraph"/>
        <w:numPr>
          <w:ilvl w:val="0"/>
          <w:numId w:val="82"/>
        </w:numPr>
      </w:pPr>
      <w:r>
        <w:t>Public Preview</w:t>
      </w:r>
    </w:p>
    <w:p w14:paraId="20165FA8" w14:textId="7C7E46D0" w:rsidR="00A2135A" w:rsidRDefault="001F0F52" w:rsidP="005729D2">
      <w:pPr>
        <w:pStyle w:val="ListParagraph"/>
        <w:numPr>
          <w:ilvl w:val="0"/>
          <w:numId w:val="82"/>
        </w:numPr>
      </w:pPr>
      <w:r>
        <w:t>Generally Available</w:t>
      </w:r>
    </w:p>
    <w:p w14:paraId="182316CF" w14:textId="05C43707" w:rsidR="00A2135A" w:rsidRPr="00DC1C1E" w:rsidRDefault="001F0F52" w:rsidP="00DC1C1E">
      <w:r>
        <w:t xml:space="preserve">Preview features are included in this document where possible: however, the primary focus is on conveying the tested design practices and solutions based on GA features. Preview features may not have full capabilities, global scale, or repeatable design patterns that can be leveraged in </w:t>
      </w:r>
      <w:r w:rsidR="00F86A88">
        <w:t xml:space="preserve">your </w:t>
      </w:r>
      <w:r>
        <w:t>planning activities.</w:t>
      </w:r>
    </w:p>
    <w:p w14:paraId="28893DBA" w14:textId="77777777" w:rsidR="00083E2A" w:rsidRDefault="00083E2A">
      <w:pPr>
        <w:spacing w:before="0" w:after="160" w:line="259" w:lineRule="auto"/>
        <w:rPr>
          <w:rFonts w:eastAsiaTheme="minorHAnsi"/>
          <w:color w:val="008AC8"/>
          <w:sz w:val="32"/>
          <w:szCs w:val="36"/>
        </w:rPr>
      </w:pPr>
      <w:bookmarkStart w:id="105" w:name="_Toc414892056"/>
      <w:bookmarkStart w:id="106" w:name="_Toc414960082"/>
      <w:bookmarkStart w:id="107" w:name="_Toc414969053"/>
      <w:bookmarkStart w:id="108" w:name="_Toc415011275"/>
      <w:bookmarkStart w:id="109" w:name="_Toc415039965"/>
      <w:bookmarkStart w:id="110" w:name="_Toc415572320"/>
      <w:bookmarkStart w:id="111" w:name="_Toc415735485"/>
      <w:bookmarkStart w:id="112" w:name="_Toc415814066"/>
      <w:bookmarkStart w:id="113" w:name="_Toc416343801"/>
      <w:bookmarkStart w:id="114" w:name="_Toc416863072"/>
      <w:bookmarkStart w:id="115" w:name="_Toc417314675"/>
      <w:bookmarkStart w:id="116" w:name="_Toc417323692"/>
      <w:bookmarkStart w:id="117" w:name="_Toc417326781"/>
      <w:bookmarkStart w:id="118" w:name="_Toc417330329"/>
      <w:bookmarkStart w:id="119" w:name="_Toc417394930"/>
      <w:bookmarkStart w:id="120" w:name="_Toc417399147"/>
      <w:bookmarkStart w:id="121" w:name="_Toc417399306"/>
      <w:bookmarkStart w:id="122" w:name="_Toc417400353"/>
      <w:bookmarkStart w:id="123" w:name="_Toc417401201"/>
      <w:bookmarkStart w:id="124" w:name="_Toc417419514"/>
      <w:bookmarkStart w:id="125" w:name="_Toc417457283"/>
      <w:bookmarkStart w:id="126" w:name="_Toc417481859"/>
      <w:bookmarkStart w:id="127" w:name="_Toc417482117"/>
      <w:bookmarkStart w:id="128" w:name="_Toc417499836"/>
      <w:bookmarkStart w:id="129" w:name="_Toc417502658"/>
      <w:bookmarkStart w:id="130" w:name="_Toc417548198"/>
      <w:bookmarkStart w:id="131" w:name="_Toc417594430"/>
      <w:r>
        <w:br w:type="page"/>
      </w:r>
    </w:p>
    <w:p w14:paraId="6C2F1596" w14:textId="77777777" w:rsidR="00DC1C1E" w:rsidRDefault="00DC1C1E" w:rsidP="005729D2">
      <w:pPr>
        <w:pStyle w:val="Heading2Numbered"/>
        <w:numPr>
          <w:ilvl w:val="1"/>
          <w:numId w:val="64"/>
        </w:numPr>
      </w:pPr>
      <w:bookmarkStart w:id="132" w:name="_Toc417934329"/>
      <w:bookmarkStart w:id="133" w:name="_Toc417935668"/>
      <w:bookmarkStart w:id="134" w:name="_Toc417936130"/>
      <w:bookmarkStart w:id="135" w:name="_Toc417947025"/>
      <w:bookmarkStart w:id="136" w:name="_Toc417982405"/>
      <w:bookmarkStart w:id="137" w:name="_Toc417985828"/>
      <w:bookmarkStart w:id="138" w:name="_Toc418000553"/>
      <w:bookmarkStart w:id="139" w:name="_Toc418003695"/>
      <w:bookmarkStart w:id="140" w:name="_Toc418011903"/>
      <w:bookmarkStart w:id="141" w:name="_Toc418014391"/>
      <w:bookmarkStart w:id="142" w:name="_Toc418029887"/>
      <w:bookmarkStart w:id="143" w:name="_Toc418036824"/>
      <w:bookmarkStart w:id="144" w:name="_Toc418061289"/>
      <w:bookmarkStart w:id="145" w:name="_Toc418080637"/>
      <w:bookmarkStart w:id="146" w:name="_Toc418081811"/>
      <w:bookmarkStart w:id="147" w:name="_Toc418083213"/>
      <w:bookmarkStart w:id="148" w:name="_Toc418095432"/>
      <w:bookmarkStart w:id="149" w:name="_Toc418156599"/>
      <w:bookmarkStart w:id="150" w:name="_Toc418167524"/>
      <w:bookmarkStart w:id="151" w:name="_Toc418185780"/>
      <w:bookmarkStart w:id="152" w:name="_Toc422941488"/>
      <w:bookmarkStart w:id="153" w:name="_Toc423116694"/>
      <w:bookmarkStart w:id="154" w:name="_Toc423117727"/>
      <w:bookmarkStart w:id="155" w:name="_Toc423117177"/>
      <w:bookmarkStart w:id="156" w:name="_Toc431288762"/>
      <w:r>
        <w:t>Cloud OS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C2F1597" w14:textId="4C821D4E" w:rsidR="00DC1C1E" w:rsidRPr="00DC1C1E" w:rsidRDefault="00DC1C1E" w:rsidP="00DC1C1E">
      <w:r w:rsidRPr="00DC1C1E">
        <w:t>The</w:t>
      </w:r>
      <w:r w:rsidR="00174793" w:rsidRPr="00DC1C1E">
        <w:t xml:space="preserve"> Cloud </w:t>
      </w:r>
      <w:r w:rsidR="00174793">
        <w:t>Platform</w:t>
      </w:r>
      <w:r w:rsidR="00174793" w:rsidRPr="00DC1C1E">
        <w:t xml:space="preserve"> is Microsoft</w:t>
      </w:r>
      <w:r w:rsidR="00174793">
        <w:t>'s</w:t>
      </w:r>
      <w:r w:rsidR="00174793" w:rsidRPr="00DC1C1E">
        <w:t xml:space="preserve"> vision of </w:t>
      </w:r>
      <w:r w:rsidR="00174793">
        <w:t>a</w:t>
      </w:r>
      <w:r w:rsidR="00174793" w:rsidRPr="00DC1C1E">
        <w:t xml:space="preserve"> modern platform for the world’s apps</w:t>
      </w:r>
      <w:r w:rsidR="00174793">
        <w:t xml:space="preserve">. It provides </w:t>
      </w:r>
      <w:r w:rsidR="00174793" w:rsidRPr="00DC1C1E">
        <w:t xml:space="preserve">a platform </w:t>
      </w:r>
      <w:r w:rsidR="00174793">
        <w:t xml:space="preserve">that is </w:t>
      </w:r>
      <w:r w:rsidR="00174793" w:rsidRPr="00DC1C1E">
        <w:t xml:space="preserve">unified across on-premises, service provider, and Microsoft Azure environments. </w:t>
      </w:r>
      <w:r w:rsidR="00174793">
        <w:t>The</w:t>
      </w:r>
      <w:r w:rsidR="00174793" w:rsidRPr="00DC1C1E">
        <w:t xml:space="preserve"> Cloud </w:t>
      </w:r>
      <w:r w:rsidR="00174793">
        <w:t>Platform</w:t>
      </w:r>
      <w:r w:rsidR="00174793" w:rsidRPr="00DC1C1E">
        <w:t xml:space="preserve"> deliver</w:t>
      </w:r>
      <w:r w:rsidR="00174793">
        <w:t>s</w:t>
      </w:r>
      <w:r w:rsidR="00174793" w:rsidRPr="00DC1C1E">
        <w:t xml:space="preserve"> the hybrid cloud, </w:t>
      </w:r>
      <w:r w:rsidR="00174793">
        <w:t xml:space="preserve">which </w:t>
      </w:r>
      <w:r w:rsidR="00174793" w:rsidRPr="00DC1C1E">
        <w:t xml:space="preserve">effectively </w:t>
      </w:r>
      <w:r w:rsidR="00174793">
        <w:t xml:space="preserve">provides </w:t>
      </w:r>
      <w:r w:rsidR="00174793" w:rsidRPr="00DC1C1E">
        <w:t xml:space="preserve">one consistent platform </w:t>
      </w:r>
      <w:r w:rsidR="00174793">
        <w:t xml:space="preserve">that </w:t>
      </w:r>
      <w:r w:rsidR="00174793" w:rsidRPr="00DC1C1E">
        <w:t>span</w:t>
      </w:r>
      <w:r w:rsidR="00174793">
        <w:t>s</w:t>
      </w:r>
      <w:r w:rsidR="00174793" w:rsidRPr="00DC1C1E">
        <w:t xml:space="preserve"> customer datacenters and multiple clouds.</w:t>
      </w:r>
    </w:p>
    <w:p w14:paraId="6C2F1598" w14:textId="77777777" w:rsidR="00DC1C1E" w:rsidRPr="00DC1C1E" w:rsidRDefault="00DC1C1E" w:rsidP="00DC1C1E"/>
    <w:p w14:paraId="6C2F1599" w14:textId="77777777" w:rsidR="00DC1C1E" w:rsidRPr="00DC1C1E" w:rsidRDefault="00DC1C1E" w:rsidP="00DC1C1E">
      <w:r w:rsidRPr="00DC1C1E">
        <w:rPr>
          <w:noProof/>
        </w:rPr>
        <w:drawing>
          <wp:inline distT="0" distB="0" distL="0" distR="0" wp14:anchorId="6C2F18EE" wp14:editId="341A4E83">
            <wp:extent cx="5943600" cy="25622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2562225"/>
                    </a:xfrm>
                    <a:prstGeom prst="rect">
                      <a:avLst/>
                    </a:prstGeom>
                  </pic:spPr>
                </pic:pic>
              </a:graphicData>
            </a:graphic>
          </wp:inline>
        </w:drawing>
      </w:r>
    </w:p>
    <w:p w14:paraId="0DD76024" w14:textId="53620BCD" w:rsidR="00174793" w:rsidRDefault="00DC1C1E" w:rsidP="00174793">
      <w:r w:rsidRPr="00DC1C1E">
        <w:t>The</w:t>
      </w:r>
      <w:r w:rsidR="00174793" w:rsidRPr="00DC1C1E">
        <w:t xml:space="preserve"> Infrastructure as a Service </w:t>
      </w:r>
      <w:r w:rsidR="00174793">
        <w:t>(IaaS) p</w:t>
      </w:r>
      <w:r w:rsidR="00174793" w:rsidRPr="00DC1C1E">
        <w:t xml:space="preserve">roduct </w:t>
      </w:r>
      <w:r w:rsidR="00174793">
        <w:t>l</w:t>
      </w:r>
      <w:r w:rsidR="00174793" w:rsidRPr="00DC1C1E">
        <w:t xml:space="preserve">ine </w:t>
      </w:r>
      <w:r w:rsidR="00174793">
        <w:t>a</w:t>
      </w:r>
      <w:r w:rsidR="00174793" w:rsidRPr="00DC1C1E">
        <w:t xml:space="preserve">rchitecture (PLA) </w:t>
      </w:r>
      <w:r w:rsidR="00174793">
        <w:t>utilizes the core capabilities of</w:t>
      </w:r>
      <w:r w:rsidR="00174793" w:rsidRPr="00DC1C1E">
        <w:t xml:space="preserve"> Windows Server</w:t>
      </w:r>
      <w:r w:rsidR="00174793">
        <w:t>, Hyper-V,</w:t>
      </w:r>
      <w:r w:rsidR="00174793" w:rsidRPr="00DC1C1E">
        <w:t xml:space="preserve"> and System Center</w:t>
      </w:r>
      <w:r w:rsidR="00174793">
        <w:t xml:space="preserve"> </w:t>
      </w:r>
      <w:r w:rsidR="00174793" w:rsidRPr="00C052D4">
        <w:t xml:space="preserve">to deliver a private cloud </w:t>
      </w:r>
      <w:r w:rsidR="00174793">
        <w:t>IaaS</w:t>
      </w:r>
      <w:r w:rsidR="00174793" w:rsidRPr="00C052D4">
        <w:t xml:space="preserve"> offering</w:t>
      </w:r>
      <w:r w:rsidR="00174793" w:rsidRPr="00DC1C1E">
        <w:t xml:space="preserve">. </w:t>
      </w:r>
    </w:p>
    <w:p w14:paraId="6C2F159A" w14:textId="1A8FF170" w:rsidR="00DC1C1E" w:rsidRDefault="00174793" w:rsidP="00174793">
      <w:r w:rsidRPr="00DC1C1E">
        <w:t xml:space="preserve">The Azure Reference Architecture compliments the IaaS PLA and completes the Cloud </w:t>
      </w:r>
      <w:r>
        <w:t>Platform</w:t>
      </w:r>
      <w:r w:rsidRPr="00DC1C1E">
        <w:t xml:space="preserve"> vision by providing a reference architecture and design patterns for the public cloud (Microsoft Azure).</w:t>
      </w:r>
    </w:p>
    <w:p w14:paraId="4C822E8D" w14:textId="3C2671BA" w:rsidR="00846958" w:rsidRDefault="00846958" w:rsidP="00DC1C1E"/>
    <w:p w14:paraId="3BA585A9" w14:textId="1DBD2502" w:rsidR="00846958" w:rsidRDefault="00846958" w:rsidP="005729D2">
      <w:pPr>
        <w:pStyle w:val="Heading2Numbered"/>
        <w:numPr>
          <w:ilvl w:val="1"/>
          <w:numId w:val="64"/>
        </w:numPr>
      </w:pPr>
      <w:bookmarkStart w:id="157" w:name="_Toc424145529"/>
      <w:bookmarkStart w:id="158" w:name="_Toc431288763"/>
      <w:r>
        <w:t>Microsoft Cloud Service Provider Program</w:t>
      </w:r>
      <w:bookmarkEnd w:id="157"/>
      <w:bookmarkEnd w:id="158"/>
    </w:p>
    <w:p w14:paraId="58057CF5" w14:textId="77777777" w:rsidR="00846958" w:rsidRDefault="00846958" w:rsidP="00846958">
      <w:pPr>
        <w:jc w:val="both"/>
      </w:pPr>
      <w:r>
        <w:t>The Microsoft Cloud Service Provider (CSP) program allows service providers to sell Microsoft cloud services along with their own offerings and services. Partners own the complete customer lifecycle through direct billing, provisioning, management, and support.  The CSP program enables service providers to:</w:t>
      </w:r>
    </w:p>
    <w:p w14:paraId="6597B7AA" w14:textId="77777777" w:rsidR="00846958" w:rsidRDefault="00846958" w:rsidP="005729D2">
      <w:pPr>
        <w:pStyle w:val="ListParagraph"/>
        <w:numPr>
          <w:ilvl w:val="0"/>
          <w:numId w:val="237"/>
        </w:numPr>
        <w:jc w:val="both"/>
      </w:pPr>
      <w:r>
        <w:t>Create a customer offer, set the price, and own the billing terms</w:t>
      </w:r>
    </w:p>
    <w:p w14:paraId="086DEDD8" w14:textId="77777777" w:rsidR="00846958" w:rsidRDefault="00846958" w:rsidP="005729D2">
      <w:pPr>
        <w:pStyle w:val="ListParagraph"/>
        <w:numPr>
          <w:ilvl w:val="0"/>
          <w:numId w:val="237"/>
        </w:numPr>
        <w:jc w:val="both"/>
      </w:pPr>
      <w:r>
        <w:t>Integrate service offerings with Microsoft cloud services</w:t>
      </w:r>
    </w:p>
    <w:p w14:paraId="7C4A3F52" w14:textId="77777777" w:rsidR="00846958" w:rsidRDefault="00846958" w:rsidP="005729D2">
      <w:pPr>
        <w:pStyle w:val="ListParagraph"/>
        <w:numPr>
          <w:ilvl w:val="0"/>
          <w:numId w:val="237"/>
        </w:numPr>
        <w:jc w:val="both"/>
      </w:pPr>
      <w:r>
        <w:t>Stay at the center of the Microsoft cloud customer lifecycle</w:t>
      </w:r>
    </w:p>
    <w:p w14:paraId="476C3469" w14:textId="54D76CBE" w:rsidR="00846958" w:rsidRDefault="00846958" w:rsidP="00846958">
      <w:pPr>
        <w:rPr>
          <w:rFonts w:cs="Segoe UI"/>
        </w:rPr>
      </w:pPr>
      <w:r>
        <w:rPr>
          <w:rFonts w:cs="Segoe UI"/>
        </w:rPr>
        <w:t>Microsoft Azure</w:t>
      </w:r>
      <w:r w:rsidRPr="00B47495">
        <w:rPr>
          <w:rFonts w:cs="Segoe UI"/>
        </w:rPr>
        <w:t xml:space="preserve"> </w:t>
      </w:r>
      <w:r>
        <w:rPr>
          <w:rFonts w:cs="Segoe UI"/>
        </w:rPr>
        <w:t xml:space="preserve">is </w:t>
      </w:r>
      <w:r w:rsidRPr="00B47495">
        <w:rPr>
          <w:rFonts w:cs="Segoe UI"/>
        </w:rPr>
        <w:t xml:space="preserve">an open and flexible cloud platform that enables </w:t>
      </w:r>
      <w:r>
        <w:rPr>
          <w:rFonts w:cs="Segoe UI"/>
        </w:rPr>
        <w:t>service provider</w:t>
      </w:r>
      <w:r w:rsidR="00174793">
        <w:rPr>
          <w:rFonts w:cs="Segoe UI"/>
        </w:rPr>
        <w:t>s</w:t>
      </w:r>
      <w:r>
        <w:rPr>
          <w:rFonts w:cs="Segoe UI"/>
        </w:rPr>
        <w:t xml:space="preserve"> </w:t>
      </w:r>
      <w:r w:rsidRPr="00B47495">
        <w:rPr>
          <w:rFonts w:cs="Segoe UI"/>
        </w:rPr>
        <w:t>to rapidly build, deploy, and manage secure applications to scale on premises, in the cloud, or both</w:t>
      </w:r>
      <w:r>
        <w:rPr>
          <w:rFonts w:cs="Segoe UI"/>
        </w:rPr>
        <w:t>. Bringing Azure to C</w:t>
      </w:r>
      <w:r w:rsidR="00174793">
        <w:rPr>
          <w:rFonts w:cs="Segoe UI"/>
        </w:rPr>
        <w:t xml:space="preserve">loud </w:t>
      </w:r>
      <w:r>
        <w:rPr>
          <w:rFonts w:cs="Segoe UI"/>
        </w:rPr>
        <w:t>S</w:t>
      </w:r>
      <w:r w:rsidR="00174793">
        <w:rPr>
          <w:rFonts w:cs="Segoe UI"/>
        </w:rPr>
        <w:t xml:space="preserve">ervice </w:t>
      </w:r>
      <w:r>
        <w:rPr>
          <w:rFonts w:cs="Segoe UI"/>
        </w:rPr>
        <w:t>P</w:t>
      </w:r>
      <w:r w:rsidR="00174793">
        <w:rPr>
          <w:rFonts w:cs="Segoe UI"/>
        </w:rPr>
        <w:t>roviders</w:t>
      </w:r>
      <w:r>
        <w:rPr>
          <w:rFonts w:cs="Segoe UI"/>
        </w:rPr>
        <w:t xml:space="preserve"> enable</w:t>
      </w:r>
      <w:r w:rsidR="00174793">
        <w:rPr>
          <w:rFonts w:cs="Segoe UI"/>
        </w:rPr>
        <w:t>s</w:t>
      </w:r>
      <w:r>
        <w:rPr>
          <w:rFonts w:cs="Segoe UI"/>
        </w:rPr>
        <w:t xml:space="preserve"> partners to capitalize on this Azure opportunity with the capabilities of </w:t>
      </w:r>
      <w:r w:rsidR="00174793">
        <w:rPr>
          <w:rFonts w:cs="Segoe UI"/>
        </w:rPr>
        <w:t xml:space="preserve">a </w:t>
      </w:r>
      <w:r>
        <w:rPr>
          <w:rFonts w:cs="Segoe UI"/>
        </w:rPr>
        <w:t xml:space="preserve">CSP, where partners own the end-to-end customer lifecycle with direct provisioning, billing, and support of Microsoft’s cloud services. </w:t>
      </w:r>
    </w:p>
    <w:p w14:paraId="30620A00" w14:textId="77777777" w:rsidR="00846958" w:rsidRPr="00DC1C1E" w:rsidRDefault="00846958" w:rsidP="00DC1C1E"/>
    <w:p w14:paraId="6C2F159D" w14:textId="77777777" w:rsidR="00DC1C1E" w:rsidRDefault="008A03B9" w:rsidP="005729D2">
      <w:pPr>
        <w:pStyle w:val="Heading2Numbered"/>
        <w:numPr>
          <w:ilvl w:val="1"/>
          <w:numId w:val="64"/>
        </w:numPr>
      </w:pPr>
      <w:bookmarkStart w:id="159" w:name="_Toc414892058"/>
      <w:bookmarkStart w:id="160" w:name="_Toc414960084"/>
      <w:bookmarkStart w:id="161" w:name="_Toc414969055"/>
      <w:bookmarkStart w:id="162" w:name="_Toc415011277"/>
      <w:bookmarkStart w:id="163" w:name="_Toc415039967"/>
      <w:bookmarkStart w:id="164" w:name="_Toc415572322"/>
      <w:bookmarkStart w:id="165" w:name="_Toc415735487"/>
      <w:bookmarkStart w:id="166" w:name="_Toc415814068"/>
      <w:bookmarkStart w:id="167" w:name="_Toc416343803"/>
      <w:bookmarkStart w:id="168" w:name="_Toc416863074"/>
      <w:bookmarkStart w:id="169" w:name="_Toc417314677"/>
      <w:bookmarkStart w:id="170" w:name="_Toc417323694"/>
      <w:bookmarkStart w:id="171" w:name="_Toc417326783"/>
      <w:bookmarkStart w:id="172" w:name="_Toc417330331"/>
      <w:bookmarkStart w:id="173" w:name="_Toc417394932"/>
      <w:bookmarkStart w:id="174" w:name="_Toc417399149"/>
      <w:bookmarkStart w:id="175" w:name="_Toc417399308"/>
      <w:bookmarkStart w:id="176" w:name="_Toc417400355"/>
      <w:bookmarkStart w:id="177" w:name="_Toc417401203"/>
      <w:bookmarkStart w:id="178" w:name="_Toc417419516"/>
      <w:bookmarkStart w:id="179" w:name="_Toc417457285"/>
      <w:bookmarkStart w:id="180" w:name="_Toc417481861"/>
      <w:bookmarkStart w:id="181" w:name="_Toc417482119"/>
      <w:bookmarkStart w:id="182" w:name="_Toc417499838"/>
      <w:bookmarkStart w:id="183" w:name="_Toc417502660"/>
      <w:bookmarkStart w:id="184" w:name="_Toc417548200"/>
      <w:bookmarkStart w:id="185" w:name="_Toc417594432"/>
      <w:bookmarkStart w:id="186" w:name="_Toc417934331"/>
      <w:bookmarkStart w:id="187" w:name="_Toc417935670"/>
      <w:bookmarkStart w:id="188" w:name="_Toc417936132"/>
      <w:bookmarkStart w:id="189" w:name="_Toc417947027"/>
      <w:bookmarkStart w:id="190" w:name="_Toc417982407"/>
      <w:bookmarkStart w:id="191" w:name="_Toc417985830"/>
      <w:bookmarkStart w:id="192" w:name="_Toc418000555"/>
      <w:bookmarkStart w:id="193" w:name="_Toc418003697"/>
      <w:bookmarkStart w:id="194" w:name="_Toc418011905"/>
      <w:bookmarkStart w:id="195" w:name="_Toc418014408"/>
      <w:bookmarkStart w:id="196" w:name="_Toc418029889"/>
      <w:bookmarkStart w:id="197" w:name="_Toc418036826"/>
      <w:bookmarkStart w:id="198" w:name="_Toc418061291"/>
      <w:bookmarkStart w:id="199" w:name="_Toc418080639"/>
      <w:bookmarkStart w:id="200" w:name="_Toc418081813"/>
      <w:bookmarkStart w:id="201" w:name="_Toc418083215"/>
      <w:bookmarkStart w:id="202" w:name="_Toc418095434"/>
      <w:bookmarkStart w:id="203" w:name="_Toc418156601"/>
      <w:bookmarkStart w:id="204" w:name="_Toc418167526"/>
      <w:bookmarkStart w:id="205" w:name="_Toc418185782"/>
      <w:bookmarkStart w:id="206" w:name="_Toc422941490"/>
      <w:bookmarkStart w:id="207" w:name="_Toc423116696"/>
      <w:bookmarkStart w:id="208" w:name="_Toc423117729"/>
      <w:bookmarkStart w:id="209" w:name="_Toc423117179"/>
      <w:bookmarkStart w:id="210" w:name="_Toc431288764"/>
      <w:r w:rsidRPr="008A03B9">
        <w:t>Modern Datacenter and Cloud Offering Portfolio</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0C511CEE" w14:textId="3CCFF2B2" w:rsidR="009D4D72" w:rsidRDefault="008A03B9" w:rsidP="008A03B9">
      <w:r>
        <w:t>The</w:t>
      </w:r>
      <w:r w:rsidR="009D4D72">
        <w:t xml:space="preserve"> Datacenter and Cloud Infrastructure Services portfolio from Microsoft Enterprise Services is designed to help organizations implement technologies that introduce the efficiency and agility of cloud computing, along with the increased control and management of infrastructure resources.</w:t>
      </w:r>
      <w:r>
        <w:t xml:space="preserve">  </w:t>
      </w:r>
    </w:p>
    <w:p w14:paraId="6C2F159F" w14:textId="77B2832A" w:rsidR="008A03B9" w:rsidRDefault="008A03B9" w:rsidP="008A03B9">
      <w:r>
        <w:t>The</w:t>
      </w:r>
      <w:r w:rsidR="009D4D72">
        <w:t xml:space="preserve"> key attribute of the Cloud Platform vision is a hybrid infrastructure, in which customers have the option of utilizing an on-premises infrastructure or services provided by Azure. The IT organization is a consumer and a provider of services. This enables workload and application development teams to make sourcing selections for services from any of the provided infrastructures or to create solutions that span them.</w:t>
      </w:r>
    </w:p>
    <w:p w14:paraId="6C2F15A0" w14:textId="2110AC3F" w:rsidR="00DC1C1E" w:rsidRDefault="008A03B9" w:rsidP="00DC1C1E">
      <w:r>
        <w:t>The</w:t>
      </w:r>
      <w:r w:rsidR="009D4D72">
        <w:t xml:space="preserve"> Datacenter and Cloud Infrastructure Services portfolio are Microsoft Services engagements and frameworks through which Intellectual Property (IP), such as the IaaS Product Line Architecture (PLA) and the </w:t>
      </w:r>
      <w:r w:rsidR="009D4D72" w:rsidRPr="00DC1C1E">
        <w:t>Azure Reference Architecture</w:t>
      </w:r>
      <w:r w:rsidR="009D4D72">
        <w:t xml:space="preserve"> is delivered. The portfolio includes offerings for scenarios such as infrastructure deployment, consolidation and migration, modernization, automation, and operations. All of the offerings and scenarios leverage the best practices and design patterns found in the IaaS PLA and the </w:t>
      </w:r>
      <w:r w:rsidR="009D4D72" w:rsidRPr="00DC1C1E">
        <w:t>Azure Reference Architecture</w:t>
      </w:r>
      <w:r w:rsidR="009D4D72">
        <w:t>.</w:t>
      </w:r>
    </w:p>
    <w:p w14:paraId="6C2F15A7" w14:textId="77777777" w:rsidR="00DC1C1E" w:rsidRDefault="009065A3" w:rsidP="005729D2">
      <w:pPr>
        <w:pStyle w:val="Heading1Numbered"/>
        <w:numPr>
          <w:ilvl w:val="0"/>
          <w:numId w:val="64"/>
        </w:numPr>
      </w:pPr>
      <w:bookmarkStart w:id="211" w:name="_Toc414892060"/>
      <w:bookmarkStart w:id="212" w:name="_Toc414960086"/>
      <w:bookmarkStart w:id="213" w:name="_Toc414969057"/>
      <w:bookmarkStart w:id="214" w:name="_Toc415011279"/>
      <w:bookmarkStart w:id="215" w:name="_Toc415039969"/>
      <w:bookmarkStart w:id="216" w:name="_Toc415572324"/>
      <w:bookmarkStart w:id="217" w:name="_Toc415735489"/>
      <w:bookmarkStart w:id="218" w:name="_Toc415814070"/>
      <w:bookmarkStart w:id="219" w:name="_Toc416343805"/>
      <w:bookmarkStart w:id="220" w:name="_Toc416863076"/>
      <w:bookmarkStart w:id="221" w:name="_Toc417314679"/>
      <w:bookmarkStart w:id="222" w:name="_Toc417323696"/>
      <w:bookmarkStart w:id="223" w:name="_Toc417326785"/>
      <w:bookmarkStart w:id="224" w:name="_Toc417330333"/>
      <w:bookmarkStart w:id="225" w:name="_Toc417394934"/>
      <w:bookmarkStart w:id="226" w:name="_Toc417399151"/>
      <w:bookmarkStart w:id="227" w:name="_Toc417399310"/>
      <w:bookmarkStart w:id="228" w:name="_Toc417400357"/>
      <w:bookmarkStart w:id="229" w:name="_Toc417401205"/>
      <w:bookmarkStart w:id="230" w:name="_Toc417419518"/>
      <w:bookmarkStart w:id="231" w:name="_Toc417457287"/>
      <w:bookmarkStart w:id="232" w:name="_Toc417481863"/>
      <w:bookmarkStart w:id="233" w:name="_Toc417482121"/>
      <w:bookmarkStart w:id="234" w:name="_Toc417499840"/>
      <w:bookmarkStart w:id="235" w:name="_Toc417502662"/>
      <w:bookmarkStart w:id="236" w:name="_Toc417548202"/>
      <w:bookmarkStart w:id="237" w:name="_Toc417594434"/>
      <w:bookmarkStart w:id="238" w:name="_Toc417934333"/>
      <w:bookmarkStart w:id="239" w:name="_Toc417935672"/>
      <w:bookmarkStart w:id="240" w:name="_Toc417936134"/>
      <w:bookmarkStart w:id="241" w:name="_Toc417947029"/>
      <w:bookmarkStart w:id="242" w:name="_Toc417982409"/>
      <w:bookmarkStart w:id="243" w:name="_Toc417985832"/>
      <w:bookmarkStart w:id="244" w:name="_Toc418000557"/>
      <w:bookmarkStart w:id="245" w:name="_Toc418003699"/>
      <w:bookmarkStart w:id="246" w:name="_Toc418011907"/>
      <w:bookmarkStart w:id="247" w:name="_Toc418014414"/>
      <w:bookmarkStart w:id="248" w:name="_Toc418029891"/>
      <w:bookmarkStart w:id="249" w:name="_Toc418036828"/>
      <w:bookmarkStart w:id="250" w:name="_Toc418061293"/>
      <w:bookmarkStart w:id="251" w:name="_Toc418080641"/>
      <w:bookmarkStart w:id="252" w:name="_Toc418081815"/>
      <w:bookmarkStart w:id="253" w:name="_Toc418083217"/>
      <w:bookmarkStart w:id="254" w:name="_Toc418095436"/>
      <w:bookmarkStart w:id="255" w:name="_Toc418156603"/>
      <w:bookmarkStart w:id="256" w:name="_Toc418167528"/>
      <w:bookmarkStart w:id="257" w:name="_Toc418185784"/>
      <w:bookmarkStart w:id="258" w:name="_Toc422941492"/>
      <w:bookmarkStart w:id="259" w:name="_Toc423116698"/>
      <w:bookmarkStart w:id="260" w:name="_Toc423117731"/>
      <w:bookmarkStart w:id="261" w:name="_Toc423117181"/>
      <w:bookmarkStart w:id="262" w:name="_Toc431288765"/>
      <w:r>
        <w:t>Azure Reference Architecture Overview</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567CBEC4" w14:textId="77777777" w:rsidR="009D4D72" w:rsidRDefault="009065A3" w:rsidP="00DC1C1E">
      <w:r w:rsidRPr="00384CE7">
        <w:t xml:space="preserve">The Azure Reference Architecture (AZRA) is an initiative to address the need for detailed, modular, and current architecture guidance for solutions being built on Microsoft Azure. AZRA is a collection of materials including design guidance and design patterns to support a structured approach to architecting services and applications hosted within Microsoft Azure. </w:t>
      </w:r>
    </w:p>
    <w:p w14:paraId="41430268" w14:textId="5B8D4120" w:rsidR="00995A8E" w:rsidRDefault="009065A3" w:rsidP="00995A8E">
      <w:r w:rsidRPr="00384CE7">
        <w:t>Unlike</w:t>
      </w:r>
      <w:r w:rsidR="00995A8E" w:rsidRPr="00384CE7">
        <w:t xml:space="preserve"> </w:t>
      </w:r>
      <w:r w:rsidR="00995A8E">
        <w:t xml:space="preserve">the </w:t>
      </w:r>
      <w:r w:rsidR="00995A8E" w:rsidRPr="00384CE7">
        <w:t>Microsoft PLA</w:t>
      </w:r>
      <w:r w:rsidR="00995A8E">
        <w:t>s,</w:t>
      </w:r>
      <w:r w:rsidR="00995A8E" w:rsidRPr="00384CE7">
        <w:t xml:space="preserve"> it is not the intention of </w:t>
      </w:r>
      <w:r w:rsidR="00995A8E">
        <w:t xml:space="preserve">the </w:t>
      </w:r>
      <w:r w:rsidR="00995A8E" w:rsidRPr="00DC1C1E">
        <w:t>Azure Reference Architecture</w:t>
      </w:r>
      <w:r w:rsidR="00995A8E" w:rsidRPr="00384CE7">
        <w:t xml:space="preserve"> to result in a single design</w:t>
      </w:r>
      <w:r w:rsidR="00995A8E">
        <w:t>,</w:t>
      </w:r>
      <w:r w:rsidR="00995A8E" w:rsidRPr="00384CE7">
        <w:t xml:space="preserve"> nor will it encompass an exhaustive definition of Azure features. The primary reason for this approach is that customer solutions </w:t>
      </w:r>
      <w:r w:rsidR="00995A8E">
        <w:t xml:space="preserve">that </w:t>
      </w:r>
      <w:r w:rsidR="00995A8E" w:rsidRPr="00384CE7">
        <w:t>us</w:t>
      </w:r>
      <w:r w:rsidR="00995A8E">
        <w:t>e</w:t>
      </w:r>
      <w:r w:rsidR="00995A8E" w:rsidRPr="00384CE7">
        <w:t xml:space="preserve"> Azure services vary greatly in their implementation.</w:t>
      </w:r>
      <w:r w:rsidR="00995A8E">
        <w:t xml:space="preserve"> </w:t>
      </w:r>
      <w:r w:rsidR="00995A8E" w:rsidRPr="00384CE7">
        <w:t>Given the pace of change</w:t>
      </w:r>
      <w:r w:rsidR="00995A8E">
        <w:t>s</w:t>
      </w:r>
      <w:r w:rsidR="00995A8E" w:rsidRPr="00384CE7">
        <w:t xml:space="preserve"> and enhancement</w:t>
      </w:r>
      <w:r w:rsidR="00995A8E">
        <w:t>s</w:t>
      </w:r>
      <w:r w:rsidR="00995A8E" w:rsidRPr="00384CE7">
        <w:t xml:space="preserve"> to Azure services</w:t>
      </w:r>
      <w:r w:rsidR="00995A8E">
        <w:t>,</w:t>
      </w:r>
      <w:r w:rsidR="00995A8E" w:rsidRPr="00384CE7">
        <w:t xml:space="preserve"> it is critical that organizations are provided </w:t>
      </w:r>
      <w:r w:rsidR="00995A8E">
        <w:t xml:space="preserve">with </w:t>
      </w:r>
      <w:r w:rsidR="00995A8E" w:rsidRPr="00384CE7">
        <w:t xml:space="preserve">durable recommended practices </w:t>
      </w:r>
      <w:r w:rsidR="00995A8E">
        <w:t>related to</w:t>
      </w:r>
      <w:r w:rsidR="00995A8E" w:rsidRPr="00384CE7">
        <w:t xml:space="preserve"> subscription and architectural planning within Microsoft Azure.</w:t>
      </w:r>
      <w:r w:rsidR="00995A8E">
        <w:t xml:space="preserve"> </w:t>
      </w:r>
    </w:p>
    <w:p w14:paraId="6C2F15A8" w14:textId="42C018C3" w:rsidR="00DC1C1E" w:rsidRPr="00DC1C1E" w:rsidRDefault="00995A8E" w:rsidP="00995A8E">
      <w:r w:rsidRPr="00384CE7">
        <w:t>The focus of the Azure Reference Architecture is to identify common services and reusable models that can be used broadly when designing cloud-based solutions.</w:t>
      </w:r>
      <w:r>
        <w:t xml:space="preserve"> </w:t>
      </w:r>
      <w:r w:rsidRPr="00384CE7">
        <w:t>These models assist customers through a series of decision points that lead to reusable design patterns</w:t>
      </w:r>
      <w:r>
        <w:t>. They</w:t>
      </w:r>
      <w:r w:rsidRPr="00384CE7">
        <w:t xml:space="preserve"> are based on successful customer implementations and recommended practices.</w:t>
      </w:r>
    </w:p>
    <w:p w14:paraId="6C2F15A9" w14:textId="77777777" w:rsidR="009065A3" w:rsidRDefault="009065A3" w:rsidP="005729D2">
      <w:pPr>
        <w:pStyle w:val="Heading2Numbered"/>
        <w:numPr>
          <w:ilvl w:val="1"/>
          <w:numId w:val="64"/>
        </w:numPr>
      </w:pPr>
      <w:bookmarkStart w:id="263" w:name="_Toc414892061"/>
      <w:bookmarkStart w:id="264" w:name="_Toc414960087"/>
      <w:bookmarkStart w:id="265" w:name="_Toc414969058"/>
      <w:bookmarkStart w:id="266" w:name="_Toc415011280"/>
      <w:bookmarkStart w:id="267" w:name="_Toc415039970"/>
      <w:bookmarkStart w:id="268" w:name="_Toc415572325"/>
      <w:bookmarkStart w:id="269" w:name="_Toc415735490"/>
      <w:bookmarkStart w:id="270" w:name="_Toc415814071"/>
      <w:bookmarkStart w:id="271" w:name="_Toc416343806"/>
      <w:bookmarkStart w:id="272" w:name="_Toc416863077"/>
      <w:bookmarkStart w:id="273" w:name="_Toc417314680"/>
      <w:bookmarkStart w:id="274" w:name="_Toc417323697"/>
      <w:bookmarkStart w:id="275" w:name="_Toc417326786"/>
      <w:bookmarkStart w:id="276" w:name="_Toc417330334"/>
      <w:bookmarkStart w:id="277" w:name="_Toc417394935"/>
      <w:bookmarkStart w:id="278" w:name="_Toc417399152"/>
      <w:bookmarkStart w:id="279" w:name="_Toc417399311"/>
      <w:bookmarkStart w:id="280" w:name="_Toc417400358"/>
      <w:bookmarkStart w:id="281" w:name="_Toc417401206"/>
      <w:bookmarkStart w:id="282" w:name="_Toc417419519"/>
      <w:bookmarkStart w:id="283" w:name="_Toc417457288"/>
      <w:bookmarkStart w:id="284" w:name="_Toc417481864"/>
      <w:bookmarkStart w:id="285" w:name="_Toc417482122"/>
      <w:bookmarkStart w:id="286" w:name="_Toc417499841"/>
      <w:bookmarkStart w:id="287" w:name="_Toc417502663"/>
      <w:bookmarkStart w:id="288" w:name="_Toc417548203"/>
      <w:bookmarkStart w:id="289" w:name="_Toc417594435"/>
      <w:bookmarkStart w:id="290" w:name="_Toc417934334"/>
      <w:bookmarkStart w:id="291" w:name="_Toc417935673"/>
      <w:bookmarkStart w:id="292" w:name="_Toc417936135"/>
      <w:bookmarkStart w:id="293" w:name="_Toc417947030"/>
      <w:bookmarkStart w:id="294" w:name="_Toc417982410"/>
      <w:bookmarkStart w:id="295" w:name="_Toc417985833"/>
      <w:bookmarkStart w:id="296" w:name="_Toc418000558"/>
      <w:bookmarkStart w:id="297" w:name="_Toc418003700"/>
      <w:bookmarkStart w:id="298" w:name="_Toc418011908"/>
      <w:bookmarkStart w:id="299" w:name="_Toc418014415"/>
      <w:bookmarkStart w:id="300" w:name="_Toc418029892"/>
      <w:bookmarkStart w:id="301" w:name="_Toc418036829"/>
      <w:bookmarkStart w:id="302" w:name="_Toc418061294"/>
      <w:bookmarkStart w:id="303" w:name="_Toc418080642"/>
      <w:bookmarkStart w:id="304" w:name="_Toc418081816"/>
      <w:bookmarkStart w:id="305" w:name="_Toc418083218"/>
      <w:bookmarkStart w:id="306" w:name="_Toc418095437"/>
      <w:bookmarkStart w:id="307" w:name="_Toc418156604"/>
      <w:bookmarkStart w:id="308" w:name="_Toc418167529"/>
      <w:bookmarkStart w:id="309" w:name="_Toc418185785"/>
      <w:bookmarkStart w:id="310" w:name="_Toc422941493"/>
      <w:bookmarkStart w:id="311" w:name="_Toc423116699"/>
      <w:bookmarkStart w:id="312" w:name="_Toc423117732"/>
      <w:bookmarkStart w:id="313" w:name="_Toc423117182"/>
      <w:bookmarkStart w:id="314" w:name="_Toc431288766"/>
      <w:r w:rsidRPr="009065A3">
        <w:t>Azure Deployment Models and Audiences</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5D1F9F44" w14:textId="28F20516" w:rsidR="00995A8E" w:rsidRDefault="009065A3" w:rsidP="009065A3">
      <w:r w:rsidRPr="009065A3">
        <w:t>Unlike</w:t>
      </w:r>
      <w:r w:rsidR="00995A8E" w:rsidRPr="009065A3">
        <w:t xml:space="preserve"> many on-premises solutions</w:t>
      </w:r>
      <w:r w:rsidR="00995A8E">
        <w:t>,</w:t>
      </w:r>
      <w:r w:rsidR="00995A8E" w:rsidRPr="009065A3">
        <w:t xml:space="preserve"> Azure deployment models vary in size, composition</w:t>
      </w:r>
      <w:r w:rsidR="00995A8E">
        <w:t>,</w:t>
      </w:r>
      <w:r w:rsidR="00995A8E" w:rsidRPr="009065A3">
        <w:t xml:space="preserve"> and end-state design, which presents a clear challenge to organizations looking to build solutions based on established standards and best practices. </w:t>
      </w:r>
      <w:r w:rsidR="00995A8E">
        <w:t>Although</w:t>
      </w:r>
      <w:r w:rsidR="00995A8E" w:rsidRPr="009065A3">
        <w:t xml:space="preserve"> there are significant variances between projects that use Azure </w:t>
      </w:r>
      <w:r w:rsidR="00995A8E">
        <w:t>s</w:t>
      </w:r>
      <w:r w:rsidR="00995A8E" w:rsidRPr="009065A3">
        <w:t>ervices, many of these can be classified into a small number of key deployment models and audiences.</w:t>
      </w:r>
      <w:r w:rsidR="00995A8E">
        <w:t xml:space="preserve"> </w:t>
      </w:r>
      <w:r w:rsidR="00995A8E" w:rsidRPr="009065A3">
        <w:t>Each audience or model falls into two broad focus areas:</w:t>
      </w:r>
      <w:r w:rsidR="00995A8E">
        <w:t xml:space="preserve"> Development or Infrastructure.</w:t>
      </w:r>
      <w:r w:rsidRPr="009065A3">
        <w:t xml:space="preserve"> </w:t>
      </w:r>
      <w:r w:rsidR="001030B3">
        <w:t xml:space="preserve">Additionally, </w:t>
      </w:r>
      <w:r w:rsidR="009612B9">
        <w:t xml:space="preserve">deployment models differ by </w:t>
      </w:r>
      <w:r w:rsidR="001030B3">
        <w:t xml:space="preserve">the </w:t>
      </w:r>
      <w:r w:rsidR="00461B45">
        <w:t xml:space="preserve">subscription </w:t>
      </w:r>
      <w:r w:rsidR="001030B3">
        <w:t>ownership type</w:t>
      </w:r>
      <w:r w:rsidR="00995A8E">
        <w:t xml:space="preserve">; </w:t>
      </w:r>
      <w:r w:rsidR="001030B3">
        <w:t xml:space="preserve">whether it’s the customer organization or their </w:t>
      </w:r>
      <w:r w:rsidR="009612B9">
        <w:t>C</w:t>
      </w:r>
      <w:r w:rsidR="001030B3">
        <w:t xml:space="preserve">loud </w:t>
      </w:r>
      <w:r w:rsidR="009612B9">
        <w:t>S</w:t>
      </w:r>
      <w:r w:rsidR="001030B3">
        <w:t xml:space="preserve">olution </w:t>
      </w:r>
      <w:r w:rsidR="009612B9">
        <w:t>P</w:t>
      </w:r>
      <w:r w:rsidR="001030B3">
        <w:t xml:space="preserve">rovider (CSP) who manages their Azure subscriptions. </w:t>
      </w:r>
    </w:p>
    <w:p w14:paraId="6C2F15AA" w14:textId="67DB24CC" w:rsidR="009065A3" w:rsidRDefault="009065A3" w:rsidP="009065A3">
      <w:r w:rsidRPr="009065A3">
        <w:t>Within these categories</w:t>
      </w:r>
      <w:r w:rsidR="009612B9">
        <w:t xml:space="preserve"> and corresponding constraints</w:t>
      </w:r>
      <w:r w:rsidRPr="009065A3">
        <w:t>, the following deployment models and audiences can be defined:</w:t>
      </w:r>
    </w:p>
    <w:p w14:paraId="62B9838F" w14:textId="3281CD5B" w:rsidR="00461B45" w:rsidRDefault="00461B45" w:rsidP="005729D2">
      <w:pPr>
        <w:pStyle w:val="ListParagraph"/>
        <w:numPr>
          <w:ilvl w:val="0"/>
          <w:numId w:val="245"/>
        </w:numPr>
      </w:pPr>
      <w:r>
        <w:t>Customer-Owned Models</w:t>
      </w:r>
    </w:p>
    <w:p w14:paraId="1678C748" w14:textId="716C7C77" w:rsidR="00461B45" w:rsidRDefault="00461B45" w:rsidP="005729D2">
      <w:pPr>
        <w:pStyle w:val="ListParagraph"/>
        <w:numPr>
          <w:ilvl w:val="0"/>
          <w:numId w:val="245"/>
        </w:numPr>
      </w:pPr>
      <w:r>
        <w:t>Cloud Service Provider-Managed Models</w:t>
      </w:r>
    </w:p>
    <w:p w14:paraId="6AF44E1F" w14:textId="7206C40A" w:rsidR="00846958" w:rsidRDefault="00846958" w:rsidP="009065A3"/>
    <w:p w14:paraId="46A99004" w14:textId="2C3243D8" w:rsidR="00846958" w:rsidRPr="009065A3" w:rsidRDefault="00846958" w:rsidP="005729D2">
      <w:pPr>
        <w:pStyle w:val="Heading2Numbered"/>
        <w:numPr>
          <w:ilvl w:val="2"/>
          <w:numId w:val="64"/>
        </w:numPr>
      </w:pPr>
      <w:bookmarkStart w:id="315" w:name="_Toc431288767"/>
      <w:r>
        <w:t>Customer-Owned</w:t>
      </w:r>
      <w:r w:rsidR="00FB1F7F">
        <w:t xml:space="preserve"> Models</w:t>
      </w:r>
      <w:bookmarkEnd w:id="315"/>
    </w:p>
    <w:p w14:paraId="6C2F15AB" w14:textId="4DF2F588" w:rsidR="009065A3" w:rsidRPr="009065A3" w:rsidRDefault="009065A3" w:rsidP="005729D2">
      <w:pPr>
        <w:pStyle w:val="ListBullet"/>
        <w:numPr>
          <w:ilvl w:val="0"/>
          <w:numId w:val="155"/>
        </w:numPr>
      </w:pPr>
      <w:r w:rsidRPr="009065A3">
        <w:rPr>
          <w:b/>
        </w:rPr>
        <w:t xml:space="preserve">Application Owner hosting their application in Azure </w:t>
      </w:r>
      <w:r w:rsidRPr="009065A3">
        <w:t xml:space="preserve">– </w:t>
      </w:r>
      <w:r w:rsidR="00995A8E">
        <w:t>A</w:t>
      </w:r>
      <w:r w:rsidR="00995A8E" w:rsidRPr="009065A3">
        <w:t xml:space="preserve"> native public cloud or hybrid cloud scenario where an application development team within a customer environment </w:t>
      </w:r>
      <w:r w:rsidR="00995A8E">
        <w:t>wants</w:t>
      </w:r>
      <w:r w:rsidR="00995A8E" w:rsidRPr="009065A3">
        <w:t xml:space="preserve"> to take advantage of Azure capabilities to host their application outside of services managed by Enterprise IT.</w:t>
      </w:r>
    </w:p>
    <w:p w14:paraId="6C2F15AC" w14:textId="00088635" w:rsidR="009065A3" w:rsidRPr="009065A3" w:rsidRDefault="009065A3" w:rsidP="005729D2">
      <w:pPr>
        <w:pStyle w:val="ListBullet"/>
        <w:numPr>
          <w:ilvl w:val="0"/>
          <w:numId w:val="155"/>
        </w:numPr>
      </w:pPr>
      <w:r w:rsidRPr="009065A3">
        <w:rPr>
          <w:b/>
        </w:rPr>
        <w:t>Application Division (Business Unit IT) hosting their services in Azure</w:t>
      </w:r>
      <w:r w:rsidRPr="009065A3">
        <w:t xml:space="preserve"> - </w:t>
      </w:r>
      <w:r w:rsidR="00995A8E">
        <w:t>A</w:t>
      </w:r>
      <w:r w:rsidRPr="009065A3">
        <w:t xml:space="preserve"> native public cloud or hybrid cloud scenario where an application development division within a customer environment w</w:t>
      </w:r>
      <w:r w:rsidR="00C77989">
        <w:t>ants</w:t>
      </w:r>
      <w:r w:rsidRPr="009065A3">
        <w:t xml:space="preserve"> to take advantage of Azure capabilities to host their suite of applications and development/test environment outside of Enterprise IT.</w:t>
      </w:r>
    </w:p>
    <w:p w14:paraId="6C2F15AD" w14:textId="1AD7AC03" w:rsidR="009065A3" w:rsidRPr="009065A3" w:rsidRDefault="009065A3" w:rsidP="005729D2">
      <w:pPr>
        <w:pStyle w:val="ListBullet"/>
        <w:numPr>
          <w:ilvl w:val="0"/>
          <w:numId w:val="155"/>
        </w:numPr>
      </w:pPr>
      <w:r w:rsidRPr="009065A3">
        <w:rPr>
          <w:b/>
        </w:rPr>
        <w:t>Enterprise IT extending their datacenter infrastructure to Azure</w:t>
      </w:r>
      <w:r w:rsidRPr="009065A3">
        <w:t xml:space="preserve"> - Typically a hybrid cloud scenario where a mature Enterprise IT organization w</w:t>
      </w:r>
      <w:r w:rsidR="00C77989">
        <w:t>ants</w:t>
      </w:r>
      <w:r w:rsidRPr="009065A3">
        <w:t xml:space="preserve"> to extend their existing physical or virtual environment to Azure to support the large number of growing IT requirements for their organization and its customers.</w:t>
      </w:r>
    </w:p>
    <w:p w14:paraId="6C2F15AE" w14:textId="3D602289" w:rsidR="009065A3" w:rsidRPr="009065A3" w:rsidRDefault="009065A3" w:rsidP="005729D2">
      <w:pPr>
        <w:pStyle w:val="ListBullet"/>
        <w:numPr>
          <w:ilvl w:val="0"/>
          <w:numId w:val="155"/>
        </w:numPr>
      </w:pPr>
      <w:r w:rsidRPr="009065A3">
        <w:rPr>
          <w:b/>
        </w:rPr>
        <w:t>Organization without on-premises IT hosting all infrastructure in Azure</w:t>
      </w:r>
      <w:r w:rsidRPr="009065A3">
        <w:t xml:space="preserve"> - Typically a hybrid cloud scenario where a startup, divesting</w:t>
      </w:r>
      <w:r w:rsidR="00C77989">
        <w:t>,</w:t>
      </w:r>
      <w:r w:rsidRPr="009065A3">
        <w:t xml:space="preserve"> or enterprise organization with a distributed workforce </w:t>
      </w:r>
      <w:r w:rsidR="00C77989">
        <w:t xml:space="preserve">is </w:t>
      </w:r>
      <w:r w:rsidRPr="009065A3">
        <w:t xml:space="preserve">looking to provide traditional IT services without an on-premises infrastructure. </w:t>
      </w:r>
    </w:p>
    <w:p w14:paraId="6C2F15AF" w14:textId="77777777" w:rsidR="009065A3" w:rsidRPr="009065A3" w:rsidRDefault="009065A3" w:rsidP="009065A3">
      <w:pPr>
        <w:rPr>
          <w:highlight w:val="yellow"/>
        </w:rPr>
      </w:pPr>
      <w:r w:rsidRPr="009065A3">
        <w:rPr>
          <w:noProof/>
        </w:rPr>
        <w:drawing>
          <wp:inline distT="0" distB="0" distL="0" distR="0" wp14:anchorId="6C2F18F1" wp14:editId="7042CE6E">
            <wp:extent cx="5943600" cy="314198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141980"/>
                    </a:xfrm>
                    <a:prstGeom prst="rect">
                      <a:avLst/>
                    </a:prstGeom>
                  </pic:spPr>
                </pic:pic>
              </a:graphicData>
            </a:graphic>
          </wp:inline>
        </w:drawing>
      </w:r>
    </w:p>
    <w:p w14:paraId="67D685FC" w14:textId="77777777" w:rsidR="00F842AB" w:rsidRDefault="00F842AB" w:rsidP="00DC1C1E"/>
    <w:p w14:paraId="7AAC291A" w14:textId="43DD2B75" w:rsidR="00F842AB" w:rsidRDefault="00FB1F7F" w:rsidP="005729D2">
      <w:pPr>
        <w:pStyle w:val="Heading2Numbered"/>
        <w:numPr>
          <w:ilvl w:val="2"/>
          <w:numId w:val="64"/>
        </w:numPr>
      </w:pPr>
      <w:bookmarkStart w:id="316" w:name="_Toc431288768"/>
      <w:r>
        <w:t>Cloud Solution Provider –</w:t>
      </w:r>
      <w:r w:rsidR="00F842AB">
        <w:t>Managed</w:t>
      </w:r>
      <w:r>
        <w:t xml:space="preserve"> Models</w:t>
      </w:r>
      <w:bookmarkEnd w:id="316"/>
    </w:p>
    <w:p w14:paraId="5C6A4831" w14:textId="7132CFAE" w:rsidR="001B6783" w:rsidRDefault="00F842AB" w:rsidP="005729D2">
      <w:pPr>
        <w:pStyle w:val="ListBullet"/>
        <w:numPr>
          <w:ilvl w:val="0"/>
          <w:numId w:val="238"/>
        </w:numPr>
      </w:pPr>
      <w:r>
        <w:rPr>
          <w:b/>
        </w:rPr>
        <w:t xml:space="preserve">Cloud Solution Provider </w:t>
      </w:r>
      <w:r w:rsidR="00461B45">
        <w:rPr>
          <w:b/>
        </w:rPr>
        <w:t>- Connect</w:t>
      </w:r>
      <w:r>
        <w:rPr>
          <w:b/>
        </w:rPr>
        <w:t xml:space="preserve"> Through </w:t>
      </w:r>
      <w:r w:rsidRPr="009065A3">
        <w:t xml:space="preserve">– </w:t>
      </w:r>
      <w:r w:rsidR="00C77989">
        <w:t>A</w:t>
      </w:r>
      <w:r w:rsidRPr="009065A3">
        <w:t xml:space="preserve"> </w:t>
      </w:r>
      <w:r w:rsidRPr="00F842AB">
        <w:t xml:space="preserve">Cloud Solution Provider </w:t>
      </w:r>
      <w:r>
        <w:t xml:space="preserve">(CSP) </w:t>
      </w:r>
      <w:r w:rsidRPr="009065A3">
        <w:t>public cloud scenario where a</w:t>
      </w:r>
      <w:r>
        <w:t xml:space="preserve"> CSP provides cloud services and/or hosts</w:t>
      </w:r>
      <w:r w:rsidR="00C77989">
        <w:t>,</w:t>
      </w:r>
      <w:r>
        <w:t xml:space="preserve"> and directly manages</w:t>
      </w:r>
      <w:r w:rsidR="00C77989">
        <w:t>,</w:t>
      </w:r>
      <w:r>
        <w:t xml:space="preserve"> customer </w:t>
      </w:r>
      <w:r w:rsidRPr="009065A3">
        <w:t xml:space="preserve">application </w:t>
      </w:r>
      <w:r w:rsidR="00C77989">
        <w:t xml:space="preserve">workloads deployed on </w:t>
      </w:r>
      <w:r>
        <w:t xml:space="preserve">top </w:t>
      </w:r>
      <w:r w:rsidR="00C77989">
        <w:t xml:space="preserve">of </w:t>
      </w:r>
      <w:r w:rsidRPr="009065A3">
        <w:t xml:space="preserve">Azure </w:t>
      </w:r>
      <w:r>
        <w:t>services</w:t>
      </w:r>
      <w:r w:rsidRPr="009065A3">
        <w:t>.</w:t>
      </w:r>
      <w:r w:rsidR="003D66C7">
        <w:t xml:space="preserve"> </w:t>
      </w:r>
      <w:r w:rsidR="003D66C7" w:rsidRPr="003D66C7">
        <w:t>In the “Connect-Through” model</w:t>
      </w:r>
      <w:r w:rsidR="00C77989">
        <w:t>, the</w:t>
      </w:r>
      <w:r w:rsidR="003D66C7" w:rsidRPr="003D66C7">
        <w:t xml:space="preserve"> customer consumes </w:t>
      </w:r>
      <w:r w:rsidR="00C77989">
        <w:t xml:space="preserve">the </w:t>
      </w:r>
      <w:r w:rsidR="003D66C7" w:rsidRPr="003D66C7">
        <w:t>provider’s cloud services delivered via the provider</w:t>
      </w:r>
      <w:r w:rsidR="00C77989">
        <w:t>’s</w:t>
      </w:r>
      <w:r w:rsidR="003D66C7" w:rsidRPr="003D66C7">
        <w:t xml:space="preserve"> network with end services hosted in </w:t>
      </w:r>
      <w:r w:rsidR="00C77989">
        <w:t xml:space="preserve">the provider’s </w:t>
      </w:r>
      <w:r w:rsidR="003D66C7" w:rsidRPr="003D66C7">
        <w:t>provisioned Azure subscription. The Azure subscription is created, owned</w:t>
      </w:r>
      <w:r w:rsidR="00C77989">
        <w:t>,</w:t>
      </w:r>
      <w:r w:rsidR="003D66C7" w:rsidRPr="003D66C7">
        <w:t xml:space="preserve"> and managed by the service provider.</w:t>
      </w:r>
      <w:r w:rsidR="00461B45">
        <w:t xml:space="preserve">  </w:t>
      </w:r>
      <w:r w:rsidR="001B6783" w:rsidRPr="001B6783">
        <w:t>Th</w:t>
      </w:r>
      <w:r w:rsidR="001B6783">
        <w:t>e following diagram illustrates the Connect Through model:</w:t>
      </w:r>
    </w:p>
    <w:p w14:paraId="2259601C" w14:textId="44038E16" w:rsidR="00F842AB" w:rsidRPr="001B6783" w:rsidRDefault="001B6783" w:rsidP="001B6783">
      <w:pPr>
        <w:pStyle w:val="ListBullet"/>
        <w:ind w:left="720" w:firstLine="0"/>
      </w:pPr>
      <w:r>
        <w:rPr>
          <w:noProof/>
        </w:rPr>
        <w:drawing>
          <wp:inline distT="0" distB="0" distL="0" distR="0" wp14:anchorId="39853BC4" wp14:editId="4DF63FCE">
            <wp:extent cx="5427133" cy="2899110"/>
            <wp:effectExtent l="0" t="0" r="254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27133" cy="2899110"/>
                    </a:xfrm>
                    <a:prstGeom prst="rect">
                      <a:avLst/>
                    </a:prstGeom>
                    <a:noFill/>
                    <a:ln>
                      <a:noFill/>
                    </a:ln>
                  </pic:spPr>
                </pic:pic>
              </a:graphicData>
            </a:graphic>
          </wp:inline>
        </w:drawing>
      </w:r>
      <w:r w:rsidR="003D66C7" w:rsidRPr="001B6783">
        <w:br/>
      </w:r>
    </w:p>
    <w:p w14:paraId="59C8DFA5" w14:textId="6604AEC3" w:rsidR="00F842AB" w:rsidRDefault="00F842AB" w:rsidP="005729D2">
      <w:pPr>
        <w:pStyle w:val="ListBullet"/>
        <w:numPr>
          <w:ilvl w:val="0"/>
          <w:numId w:val="238"/>
        </w:numPr>
      </w:pPr>
      <w:r>
        <w:rPr>
          <w:b/>
        </w:rPr>
        <w:t xml:space="preserve">Cloud Solution Provider </w:t>
      </w:r>
      <w:r w:rsidR="003D66C7">
        <w:rPr>
          <w:b/>
        </w:rPr>
        <w:t xml:space="preserve">- </w:t>
      </w:r>
      <w:r>
        <w:rPr>
          <w:b/>
        </w:rPr>
        <w:t>Connect T</w:t>
      </w:r>
      <w:r w:rsidR="003D66C7">
        <w:rPr>
          <w:b/>
        </w:rPr>
        <w:t>o</w:t>
      </w:r>
      <w:r>
        <w:rPr>
          <w:b/>
        </w:rPr>
        <w:t xml:space="preserve"> </w:t>
      </w:r>
      <w:r w:rsidRPr="009065A3">
        <w:t xml:space="preserve">– </w:t>
      </w:r>
      <w:r w:rsidR="00C77989">
        <w:t>A</w:t>
      </w:r>
      <w:r w:rsidRPr="009065A3">
        <w:t xml:space="preserve"> </w:t>
      </w:r>
      <w:r w:rsidRPr="00F842AB">
        <w:t xml:space="preserve">Cloud Solution Provider </w:t>
      </w:r>
      <w:r>
        <w:t xml:space="preserve">(CSP) </w:t>
      </w:r>
      <w:r w:rsidRPr="009065A3">
        <w:t>public cloud scenario where a</w:t>
      </w:r>
      <w:r>
        <w:t xml:space="preserve"> CSP hosts and manages customer </w:t>
      </w:r>
      <w:r w:rsidRPr="009065A3">
        <w:t xml:space="preserve">application </w:t>
      </w:r>
      <w:r>
        <w:t xml:space="preserve">workloads deployed </w:t>
      </w:r>
      <w:r w:rsidR="00C77989">
        <w:t xml:space="preserve">on </w:t>
      </w:r>
      <w:r>
        <w:t xml:space="preserve">top </w:t>
      </w:r>
      <w:r w:rsidR="00C77989">
        <w:t xml:space="preserve">of </w:t>
      </w:r>
      <w:r w:rsidRPr="009065A3">
        <w:t xml:space="preserve">Azure </w:t>
      </w:r>
      <w:r>
        <w:t>services</w:t>
      </w:r>
      <w:r w:rsidRPr="009065A3">
        <w:t>.</w:t>
      </w:r>
      <w:r w:rsidR="003D66C7">
        <w:t xml:space="preserve"> </w:t>
      </w:r>
      <w:r w:rsidR="003D66C7" w:rsidRPr="003D66C7">
        <w:t>In the “Connect-To” model</w:t>
      </w:r>
      <w:r w:rsidR="00C77989">
        <w:t>,</w:t>
      </w:r>
      <w:r w:rsidR="003D66C7" w:rsidRPr="003D66C7">
        <w:t xml:space="preserve"> the provider makes cloud services accessible directly to </w:t>
      </w:r>
      <w:r w:rsidR="00C77989">
        <w:t xml:space="preserve">the </w:t>
      </w:r>
      <w:r w:rsidR="003D66C7" w:rsidRPr="003D66C7">
        <w:t>customer’s network. The Azure subscription is created, owned</w:t>
      </w:r>
      <w:r w:rsidR="00C77989">
        <w:t>,</w:t>
      </w:r>
      <w:r w:rsidR="003D66C7" w:rsidRPr="003D66C7">
        <w:t xml:space="preserve"> and managed by the service provider but </w:t>
      </w:r>
      <w:r w:rsidR="00C77989">
        <w:t xml:space="preserve">the </w:t>
      </w:r>
      <w:r w:rsidR="003D66C7" w:rsidRPr="003D66C7">
        <w:t xml:space="preserve">customer consumes cloud services </w:t>
      </w:r>
      <w:r w:rsidR="00D9610A">
        <w:t xml:space="preserve">by </w:t>
      </w:r>
      <w:r w:rsidR="003D66C7" w:rsidRPr="003D66C7">
        <w:t>interacting directly with Azure cloud footprint.</w:t>
      </w:r>
    </w:p>
    <w:p w14:paraId="26292972" w14:textId="77777777" w:rsidR="00461B45" w:rsidRDefault="001B6783" w:rsidP="001B6783">
      <w:pPr>
        <w:pStyle w:val="ListBullet"/>
        <w:ind w:left="720" w:firstLine="0"/>
      </w:pPr>
      <w:r>
        <w:br/>
      </w:r>
    </w:p>
    <w:p w14:paraId="51DF2EA5" w14:textId="77777777" w:rsidR="00461B45" w:rsidRDefault="00461B45">
      <w:pPr>
        <w:spacing w:before="0" w:after="160" w:line="259" w:lineRule="auto"/>
      </w:pPr>
      <w:r>
        <w:br w:type="page"/>
      </w:r>
    </w:p>
    <w:p w14:paraId="3D50FC6C" w14:textId="1427B1DD" w:rsidR="00461B45" w:rsidRDefault="001B6783" w:rsidP="001B6783">
      <w:pPr>
        <w:pStyle w:val="ListBullet"/>
        <w:ind w:left="720" w:firstLine="0"/>
      </w:pPr>
      <w:r w:rsidRPr="001B6783">
        <w:t>Th</w:t>
      </w:r>
      <w:r>
        <w:t>e following diagram illustrates the Connect To model:</w:t>
      </w:r>
    </w:p>
    <w:p w14:paraId="2D8A115F" w14:textId="66F09C99" w:rsidR="001B6783" w:rsidRDefault="001B6783" w:rsidP="001B6783">
      <w:pPr>
        <w:pStyle w:val="ListBullet"/>
        <w:ind w:left="720" w:firstLine="0"/>
      </w:pPr>
      <w:r>
        <w:br/>
      </w:r>
      <w:r w:rsidR="00234944">
        <w:rPr>
          <w:rFonts w:eastAsiaTheme="minorHAnsi"/>
          <w:noProof/>
        </w:rPr>
        <w:drawing>
          <wp:inline distT="0" distB="0" distL="0" distR="0" wp14:anchorId="1D7F13BC" wp14:editId="7AFAA6C3">
            <wp:extent cx="5937250" cy="2371090"/>
            <wp:effectExtent l="0" t="0" r="6350" b="0"/>
            <wp:docPr id="1252047327" name="Picture 1252047327" descr="Connec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onnectTo"/>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7250" cy="2371090"/>
                    </a:xfrm>
                    <a:prstGeom prst="rect">
                      <a:avLst/>
                    </a:prstGeom>
                    <a:noFill/>
                    <a:ln>
                      <a:noFill/>
                    </a:ln>
                  </pic:spPr>
                </pic:pic>
              </a:graphicData>
            </a:graphic>
          </wp:inline>
        </w:drawing>
      </w:r>
    </w:p>
    <w:p w14:paraId="682D5105" w14:textId="77777777" w:rsidR="001B6783" w:rsidRPr="009065A3" w:rsidRDefault="001B6783" w:rsidP="001B6783">
      <w:pPr>
        <w:pStyle w:val="ListBullet"/>
        <w:ind w:left="720" w:firstLine="0"/>
      </w:pPr>
    </w:p>
    <w:p w14:paraId="5EC24023" w14:textId="282A901A" w:rsidR="0060060F" w:rsidRDefault="0060060F" w:rsidP="00DC1C1E">
      <w:r>
        <w:t>When choosing a management approach for consuming Azure services, the decision is driven by how much management the customer wants to deliver versus how much the cloud service provider will deliver</w:t>
      </w:r>
      <w:r w:rsidR="00D9610A">
        <w:t xml:space="preserve">; </w:t>
      </w:r>
      <w:r w:rsidR="00834E34">
        <w:t>as well as the connectivity approach to Azure</w:t>
      </w:r>
      <w:r>
        <w:t xml:space="preserve">. The figure below provides a comparison view of management responsibility based on the CSP scenarios described above.  </w:t>
      </w:r>
      <w:r w:rsidR="00D9610A">
        <w:t>It’s important to n</w:t>
      </w:r>
      <w:r>
        <w:t>ote that CSP models provide both built-in and optional services that the customer can select from.</w:t>
      </w:r>
    </w:p>
    <w:p w14:paraId="621B39D7" w14:textId="27A4386C" w:rsidR="0060060F" w:rsidRDefault="0060060F" w:rsidP="0060060F">
      <w:pPr>
        <w:jc w:val="center"/>
      </w:pPr>
      <w:r>
        <w:object w:dxaOrig="5521" w:dyaOrig="6888" w14:anchorId="00C5EF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0.5pt;height:236.25pt" o:ole="">
            <v:imagedata r:id="rId23" o:title=""/>
          </v:shape>
          <o:OLEObject Type="Embed" ProgID="Visio.Drawing.15" ShapeID="_x0000_i1025" DrawAspect="Content" ObjectID="_1508841453" r:id="rId24"/>
        </w:object>
      </w:r>
    </w:p>
    <w:p w14:paraId="4F978618" w14:textId="77777777" w:rsidR="0060060F" w:rsidRDefault="0060060F" w:rsidP="00DC1C1E"/>
    <w:p w14:paraId="49002B79" w14:textId="64E18C31" w:rsidR="00C77989" w:rsidRDefault="00461B45" w:rsidP="00C77989">
      <w:r w:rsidRPr="00461B45">
        <w:t>When</w:t>
      </w:r>
      <w:r w:rsidR="00C77989" w:rsidRPr="009065A3">
        <w:t xml:space="preserve"> it comes to planning, designing</w:t>
      </w:r>
      <w:r w:rsidR="00C77989">
        <w:t>,</w:t>
      </w:r>
      <w:r w:rsidR="00C77989" w:rsidRPr="009065A3">
        <w:t xml:space="preserve"> and consuming Azure services</w:t>
      </w:r>
      <w:r w:rsidR="00C77989">
        <w:t>,</w:t>
      </w:r>
      <w:r w:rsidR="00C77989" w:rsidRPr="009065A3">
        <w:t xml:space="preserve"> these </w:t>
      </w:r>
      <w:r w:rsidR="00C77989">
        <w:t>categories</w:t>
      </w:r>
      <w:r w:rsidR="00C77989" w:rsidRPr="009065A3">
        <w:t xml:space="preserve"> are complimentary in some respects</w:t>
      </w:r>
      <w:r w:rsidR="00C77989">
        <w:t>. I</w:t>
      </w:r>
      <w:r w:rsidR="00C77989" w:rsidRPr="009065A3">
        <w:t>n other</w:t>
      </w:r>
      <w:r w:rsidR="00C77989">
        <w:t xml:space="preserve"> respect</w:t>
      </w:r>
      <w:r w:rsidR="00C77989" w:rsidRPr="009065A3">
        <w:t>s</w:t>
      </w:r>
      <w:r w:rsidR="00C77989">
        <w:t>,</w:t>
      </w:r>
      <w:r w:rsidR="00C77989" w:rsidRPr="009065A3">
        <w:t xml:space="preserve"> they have the potential to create divergent paths.</w:t>
      </w:r>
      <w:r w:rsidR="00C77989">
        <w:t xml:space="preserve"> </w:t>
      </w:r>
    </w:p>
    <w:p w14:paraId="018A92FA" w14:textId="74547FE4" w:rsidR="00461B45" w:rsidRDefault="00C77989" w:rsidP="00C77989">
      <w:r w:rsidRPr="009065A3">
        <w:t>A key consideration to remember is that within any organization or project</w:t>
      </w:r>
      <w:r>
        <w:t>,</w:t>
      </w:r>
      <w:r w:rsidRPr="009065A3">
        <w:t xml:space="preserve"> developers consume infrastructure</w:t>
      </w:r>
      <w:r>
        <w:t>.</w:t>
      </w:r>
      <w:r w:rsidRPr="009065A3">
        <w:t xml:space="preserve"> </w:t>
      </w:r>
      <w:r>
        <w:t>S</w:t>
      </w:r>
      <w:r w:rsidRPr="009065A3">
        <w:t>imilarly</w:t>
      </w:r>
      <w:r>
        <w:t>,</w:t>
      </w:r>
      <w:r w:rsidRPr="009065A3">
        <w:t xml:space="preserve"> infrastructure is deployed to support applications and services.</w:t>
      </w:r>
      <w:r>
        <w:t xml:space="preserve"> </w:t>
      </w:r>
      <w:r w:rsidRPr="009065A3">
        <w:t xml:space="preserve">Understanding the needs of both is important towards developing an Azure subscription model </w:t>
      </w:r>
      <w:r>
        <w:t>that</w:t>
      </w:r>
      <w:r w:rsidRPr="009065A3">
        <w:t xml:space="preserve"> satisfies the needs of the project or organization.</w:t>
      </w:r>
    </w:p>
    <w:p w14:paraId="6C2F15B1" w14:textId="77777777" w:rsidR="009065A3" w:rsidRDefault="009065A3" w:rsidP="005729D2">
      <w:pPr>
        <w:pStyle w:val="Heading2Numbered"/>
        <w:numPr>
          <w:ilvl w:val="1"/>
          <w:numId w:val="64"/>
        </w:numPr>
      </w:pPr>
      <w:bookmarkStart w:id="317" w:name="_Toc414892062"/>
      <w:bookmarkStart w:id="318" w:name="_Toc414960088"/>
      <w:bookmarkStart w:id="319" w:name="_Toc414969059"/>
      <w:bookmarkStart w:id="320" w:name="_Toc415011281"/>
      <w:bookmarkStart w:id="321" w:name="_Toc415039971"/>
      <w:bookmarkStart w:id="322" w:name="_Toc415572326"/>
      <w:bookmarkStart w:id="323" w:name="_Toc415735491"/>
      <w:bookmarkStart w:id="324" w:name="_Toc415814072"/>
      <w:bookmarkStart w:id="325" w:name="_Toc416343807"/>
      <w:bookmarkStart w:id="326" w:name="_Toc416863078"/>
      <w:bookmarkStart w:id="327" w:name="_Toc417314681"/>
      <w:bookmarkStart w:id="328" w:name="_Toc417323698"/>
      <w:bookmarkStart w:id="329" w:name="_Toc417326787"/>
      <w:bookmarkStart w:id="330" w:name="_Toc417330335"/>
      <w:bookmarkStart w:id="331" w:name="_Toc417394936"/>
      <w:bookmarkStart w:id="332" w:name="_Toc417399153"/>
      <w:bookmarkStart w:id="333" w:name="_Toc417399312"/>
      <w:bookmarkStart w:id="334" w:name="_Toc417400359"/>
      <w:bookmarkStart w:id="335" w:name="_Toc417401207"/>
      <w:bookmarkStart w:id="336" w:name="_Toc417419520"/>
      <w:bookmarkStart w:id="337" w:name="_Toc417457289"/>
      <w:bookmarkStart w:id="338" w:name="_Toc417481865"/>
      <w:bookmarkStart w:id="339" w:name="_Toc417482123"/>
      <w:bookmarkStart w:id="340" w:name="_Toc417499842"/>
      <w:bookmarkStart w:id="341" w:name="_Toc417502664"/>
      <w:bookmarkStart w:id="342" w:name="_Toc417548204"/>
      <w:bookmarkStart w:id="343" w:name="_Toc417594436"/>
      <w:bookmarkStart w:id="344" w:name="_Toc417934335"/>
      <w:bookmarkStart w:id="345" w:name="_Toc417935674"/>
      <w:bookmarkStart w:id="346" w:name="_Toc417936136"/>
      <w:bookmarkStart w:id="347" w:name="_Toc417947031"/>
      <w:bookmarkStart w:id="348" w:name="_Toc417982411"/>
      <w:bookmarkStart w:id="349" w:name="_Toc417985834"/>
      <w:bookmarkStart w:id="350" w:name="_Toc418000559"/>
      <w:bookmarkStart w:id="351" w:name="_Toc418003701"/>
      <w:bookmarkStart w:id="352" w:name="_Toc418011909"/>
      <w:bookmarkStart w:id="353" w:name="_Toc418014419"/>
      <w:bookmarkStart w:id="354" w:name="_Toc418029893"/>
      <w:bookmarkStart w:id="355" w:name="_Toc418036830"/>
      <w:bookmarkStart w:id="356" w:name="_Toc418061295"/>
      <w:bookmarkStart w:id="357" w:name="_Toc418080643"/>
      <w:bookmarkStart w:id="358" w:name="_Toc418081817"/>
      <w:bookmarkStart w:id="359" w:name="_Toc418083219"/>
      <w:bookmarkStart w:id="360" w:name="_Toc418095438"/>
      <w:bookmarkStart w:id="361" w:name="_Toc418156605"/>
      <w:bookmarkStart w:id="362" w:name="_Toc418167530"/>
      <w:bookmarkStart w:id="363" w:name="_Toc418185786"/>
      <w:bookmarkStart w:id="364" w:name="_Toc422941494"/>
      <w:bookmarkStart w:id="365" w:name="_Toc423116700"/>
      <w:bookmarkStart w:id="366" w:name="_Toc423117733"/>
      <w:bookmarkStart w:id="367" w:name="_Toc423117183"/>
      <w:bookmarkStart w:id="368" w:name="_Toc431288769"/>
      <w:r w:rsidRPr="009065A3">
        <w:t>Azure Reference Architecture Guide Use</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1094943F" w14:textId="79DB332E" w:rsidR="00110CA4" w:rsidRDefault="009065A3" w:rsidP="00110CA4">
      <w:r>
        <w:t>As</w:t>
      </w:r>
      <w:r w:rsidR="00110CA4">
        <w:t xml:space="preserve"> outlined previously, the Azure Reference Architecture guide provides the basis for the decisions that must be considered as part of any project that encompasses a solution design using Azure services. The design of the solution should leverage the architecture design patterns (infrastructure, foundation, and solution) described later in this document. </w:t>
      </w:r>
    </w:p>
    <w:p w14:paraId="6C2F15B2" w14:textId="2F07E657" w:rsidR="009065A3" w:rsidRDefault="00110CA4" w:rsidP="00110CA4">
      <w:r>
        <w:t>The Azure Reference Architecture guide does not outline a single Azure design for hybrid enterprise solutions. Rather, it provides a comprehensive framework for decisions based on the core Microsoft Azure services, features, and capabilities required by most solutions. The guide is structured to cover each of the broader topic areas outlined previously, and it uses the following framework for each component:</w:t>
      </w:r>
    </w:p>
    <w:p w14:paraId="6C2F15B3" w14:textId="2AA49CB5" w:rsidR="009065A3" w:rsidRDefault="009065A3" w:rsidP="00AD0540">
      <w:pPr>
        <w:pStyle w:val="ListParagraph"/>
        <w:numPr>
          <w:ilvl w:val="0"/>
          <w:numId w:val="7"/>
        </w:numPr>
      </w:pPr>
      <w:r w:rsidRPr="009065A3">
        <w:rPr>
          <w:b/>
        </w:rPr>
        <w:t>Technology Definition</w:t>
      </w:r>
      <w:r>
        <w:t xml:space="preserve"> – </w:t>
      </w:r>
      <w:r w:rsidR="00110CA4">
        <w:t>Each topic area has a brief section that outlines “what” the technology is and general information about its role within the Microsoft Azure service. Given the rate of changes to the Azure service, all applicable references to product documentation for the feature set or capability are provided.</w:t>
      </w:r>
    </w:p>
    <w:p w14:paraId="6C2F15B4" w14:textId="2C1F457B" w:rsidR="009065A3" w:rsidRDefault="009065A3" w:rsidP="00AD0540">
      <w:pPr>
        <w:pStyle w:val="ListParagraph"/>
        <w:numPr>
          <w:ilvl w:val="0"/>
          <w:numId w:val="7"/>
        </w:numPr>
      </w:pPr>
      <w:r w:rsidRPr="009065A3">
        <w:rPr>
          <w:b/>
        </w:rPr>
        <w:t xml:space="preserve">Design </w:t>
      </w:r>
      <w:r w:rsidR="00110CA4">
        <w:rPr>
          <w:b/>
        </w:rPr>
        <w:t>Principle</w:t>
      </w:r>
      <w:r>
        <w:t xml:space="preserve"> – </w:t>
      </w:r>
      <w:r w:rsidR="00110CA4">
        <w:t>Some features and capabilities within Microsoft Azure are critical to any solution design, and they require that decisions be made by organizations as part of their project. When a specific topic area requires a decision or has a recommended practice, a clearly defined rule for that technology or design principle is identified. This is a useful component in recording key design decisions as part of the project.</w:t>
      </w:r>
      <w:r>
        <w:t xml:space="preserve"> </w:t>
      </w:r>
    </w:p>
    <w:p w14:paraId="6C2F15B5" w14:textId="33172AA3" w:rsidR="009065A3" w:rsidRDefault="009065A3" w:rsidP="00AD0540">
      <w:pPr>
        <w:pStyle w:val="ListParagraph"/>
        <w:numPr>
          <w:ilvl w:val="0"/>
          <w:numId w:val="7"/>
        </w:numPr>
      </w:pPr>
      <w:r w:rsidRPr="009065A3">
        <w:rPr>
          <w:b/>
        </w:rPr>
        <w:t>Design Guidance</w:t>
      </w:r>
      <w:r>
        <w:t xml:space="preserve"> – </w:t>
      </w:r>
      <w:r w:rsidR="00110CA4">
        <w:t>For each technology topic area, this section provides key information, considerations, and a potential design model to help organizations understand design constraints and recommended practices towards implementing this feature or capability within Microsoft Azure.</w:t>
      </w:r>
    </w:p>
    <w:p w14:paraId="6C2F15B6" w14:textId="77777777" w:rsidR="009065A3" w:rsidRDefault="009065A3" w:rsidP="009065A3">
      <w:r>
        <w:br w:type="page"/>
      </w:r>
    </w:p>
    <w:p w14:paraId="6C2F15B7" w14:textId="258347BB" w:rsidR="009065A3" w:rsidRDefault="009065A3" w:rsidP="009065A3">
      <w:r>
        <w:t xml:space="preserve">A sample topic area is outlined </w:t>
      </w:r>
      <w:r w:rsidR="00110CA4">
        <w:t>here</w:t>
      </w:r>
      <w:r>
        <w:t xml:space="preserve"> to illustrate this relationship: </w:t>
      </w:r>
    </w:p>
    <w:p w14:paraId="6C2F15B8" w14:textId="77777777" w:rsidR="009065A3" w:rsidRDefault="009065A3" w:rsidP="009065A3"/>
    <w:p w14:paraId="6C2F15B9" w14:textId="77777777" w:rsidR="009065A3" w:rsidRDefault="009065A3" w:rsidP="009065A3">
      <w:pPr>
        <w:keepNext/>
        <w:jc w:val="center"/>
      </w:pPr>
      <w:r>
        <w:rPr>
          <w:noProof/>
        </w:rPr>
        <w:drawing>
          <wp:inline distT="0" distB="0" distL="0" distR="0" wp14:anchorId="6C2F18F3" wp14:editId="7CDC7A60">
            <wp:extent cx="4191990" cy="58140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206210" cy="5833737"/>
                    </a:xfrm>
                    <a:prstGeom prst="rect">
                      <a:avLst/>
                    </a:prstGeom>
                  </pic:spPr>
                </pic:pic>
              </a:graphicData>
            </a:graphic>
          </wp:inline>
        </w:drawing>
      </w:r>
    </w:p>
    <w:p w14:paraId="6C2F15BA" w14:textId="77777777" w:rsidR="009065A3" w:rsidRPr="0083717C" w:rsidRDefault="009065A3" w:rsidP="009065A3">
      <w:pPr>
        <w:pStyle w:val="Caption"/>
        <w:jc w:val="center"/>
      </w:pPr>
      <w:r>
        <w:t xml:space="preserve">Figure </w:t>
      </w:r>
      <w:r w:rsidR="00872E47">
        <w:fldChar w:fldCharType="begin"/>
      </w:r>
      <w:r w:rsidR="00872E47">
        <w:instrText xml:space="preserve"> SEQ Figure \* ARABIC </w:instrText>
      </w:r>
      <w:r w:rsidR="00872E47">
        <w:fldChar w:fldCharType="separate"/>
      </w:r>
      <w:r w:rsidR="00F15092">
        <w:rPr>
          <w:noProof/>
        </w:rPr>
        <w:t>2</w:t>
      </w:r>
      <w:r w:rsidR="00872E47">
        <w:rPr>
          <w:noProof/>
        </w:rPr>
        <w:fldChar w:fldCharType="end"/>
      </w:r>
      <w:r>
        <w:t>: Azure Reference Architecture Sample Topic Area</w:t>
      </w:r>
    </w:p>
    <w:p w14:paraId="6C2F15BB" w14:textId="77777777" w:rsidR="009065A3" w:rsidRDefault="009065A3" w:rsidP="009065A3"/>
    <w:p w14:paraId="6C2F15BC" w14:textId="77777777" w:rsidR="00062059" w:rsidRDefault="00062059" w:rsidP="009065A3"/>
    <w:p w14:paraId="6C2F15BD" w14:textId="77777777" w:rsidR="00062059" w:rsidRPr="00DC1C1E" w:rsidRDefault="00062059" w:rsidP="009065A3"/>
    <w:p w14:paraId="6C2F15BE" w14:textId="77777777" w:rsidR="009065A3" w:rsidRDefault="00E81F98" w:rsidP="005729D2">
      <w:pPr>
        <w:pStyle w:val="Heading3Numbered"/>
        <w:numPr>
          <w:ilvl w:val="2"/>
          <w:numId w:val="64"/>
        </w:numPr>
      </w:pPr>
      <w:bookmarkStart w:id="369" w:name="_Toc414892063"/>
      <w:bookmarkStart w:id="370" w:name="_Toc414960089"/>
      <w:bookmarkStart w:id="371" w:name="_Toc414969060"/>
      <w:bookmarkStart w:id="372" w:name="_Toc415011282"/>
      <w:bookmarkStart w:id="373" w:name="_Toc415039972"/>
      <w:bookmarkStart w:id="374" w:name="_Toc415572327"/>
      <w:bookmarkStart w:id="375" w:name="_Toc415735492"/>
      <w:bookmarkStart w:id="376" w:name="_Toc415814073"/>
      <w:bookmarkStart w:id="377" w:name="_Toc416343808"/>
      <w:bookmarkStart w:id="378" w:name="_Toc416863079"/>
      <w:bookmarkStart w:id="379" w:name="_Toc417314682"/>
      <w:bookmarkStart w:id="380" w:name="_Toc417323699"/>
      <w:bookmarkStart w:id="381" w:name="_Toc417326788"/>
      <w:bookmarkStart w:id="382" w:name="_Toc417330336"/>
      <w:bookmarkStart w:id="383" w:name="_Toc417394937"/>
      <w:bookmarkStart w:id="384" w:name="_Toc417399154"/>
      <w:bookmarkStart w:id="385" w:name="_Toc417399313"/>
      <w:bookmarkStart w:id="386" w:name="_Toc417400360"/>
      <w:bookmarkStart w:id="387" w:name="_Toc417401208"/>
      <w:bookmarkStart w:id="388" w:name="_Toc417419521"/>
      <w:bookmarkStart w:id="389" w:name="_Toc417457290"/>
      <w:bookmarkStart w:id="390" w:name="_Toc417481866"/>
      <w:bookmarkStart w:id="391" w:name="_Toc417482124"/>
      <w:bookmarkStart w:id="392" w:name="_Toc417499843"/>
      <w:bookmarkStart w:id="393" w:name="_Toc417502665"/>
      <w:bookmarkStart w:id="394" w:name="_Toc417548205"/>
      <w:bookmarkStart w:id="395" w:name="_Toc417594437"/>
      <w:bookmarkStart w:id="396" w:name="_Toc417934336"/>
      <w:bookmarkStart w:id="397" w:name="_Toc417935675"/>
      <w:bookmarkStart w:id="398" w:name="_Toc417936137"/>
      <w:bookmarkStart w:id="399" w:name="_Toc417947032"/>
      <w:bookmarkStart w:id="400" w:name="_Toc417982412"/>
      <w:bookmarkStart w:id="401" w:name="_Toc417985835"/>
      <w:bookmarkStart w:id="402" w:name="_Toc418000560"/>
      <w:bookmarkStart w:id="403" w:name="_Toc418003702"/>
      <w:bookmarkStart w:id="404" w:name="_Toc418011910"/>
      <w:bookmarkStart w:id="405" w:name="_Toc418014420"/>
      <w:bookmarkStart w:id="406" w:name="_Toc418029894"/>
      <w:bookmarkStart w:id="407" w:name="_Toc418036831"/>
      <w:bookmarkStart w:id="408" w:name="_Toc418061296"/>
      <w:bookmarkStart w:id="409" w:name="_Toc418080644"/>
      <w:bookmarkStart w:id="410" w:name="_Toc418081818"/>
      <w:bookmarkStart w:id="411" w:name="_Toc418083220"/>
      <w:bookmarkStart w:id="412" w:name="_Toc418095439"/>
      <w:bookmarkStart w:id="413" w:name="_Toc418156606"/>
      <w:bookmarkStart w:id="414" w:name="_Toc418167531"/>
      <w:bookmarkStart w:id="415" w:name="_Toc418185787"/>
      <w:bookmarkStart w:id="416" w:name="_Toc422941495"/>
      <w:bookmarkStart w:id="417" w:name="_Toc423116701"/>
      <w:bookmarkStart w:id="418" w:name="_Toc423117734"/>
      <w:bookmarkStart w:id="419" w:name="_Toc423117184"/>
      <w:bookmarkStart w:id="420" w:name="_Toc431288770"/>
      <w:r>
        <w:t>Rule Set Criteria</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6C2F15BF" w14:textId="77777777" w:rsidR="00E81F98" w:rsidRDefault="00E81F98" w:rsidP="00E81F98">
      <w:pPr>
        <w:jc w:val="both"/>
      </w:pPr>
      <w:r>
        <w:t>Rule set requirements are vendor-agnostic and are categorized as one of the following:</w:t>
      </w:r>
    </w:p>
    <w:p w14:paraId="6C2F15C0" w14:textId="77777777" w:rsidR="00E81F98" w:rsidRDefault="00E81F98" w:rsidP="00E81F98">
      <w:pPr>
        <w:jc w:val="both"/>
      </w:pP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E81F98" w14:paraId="6C2F15C3" w14:textId="77777777" w:rsidTr="003F2102">
        <w:trPr>
          <w:trHeight w:val="423"/>
        </w:trPr>
        <w:tc>
          <w:tcPr>
            <w:tcW w:w="666" w:type="dxa"/>
          </w:tcPr>
          <w:p w14:paraId="6C2F15C1" w14:textId="77777777" w:rsidR="00E81F98" w:rsidRDefault="00E81F98" w:rsidP="003F2102">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6C2F18F5" wp14:editId="314FB8AD">
                      <wp:extent cx="200025" cy="180975"/>
                      <wp:effectExtent l="57150" t="19050" r="28575" b="104775"/>
                      <wp:docPr id="41060" name="Octagon 41060"/>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type w14:anchorId="505BD5F6"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Octagon 41060"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KQAcwIAAFIFAAAOAAAAZHJzL2Uyb0RvYy54bWysVFtr2zAUfh/sPwi9r7az9BbilJCSMSht&#10;WTv6rMhSIpB0NEmJk/36HcmOG7pCYezFPkfn/p3L9GZvNNkJHxTYmlZnJSXCcmiUXdf05/PyyxUl&#10;ITLbMA1W1PQgAr2Zff40bd1EjGADuhGeoBMbJq2r6SZGNymKwDfCsHAGTlgUSvCGRWT9umg8a9G7&#10;0cWoLC+KFnzjPHARAr7edkI6y/6lFDw+SBlEJLqmmFvMX5+/q/QtZlM2WXvmNor3abB/yMIwZTHo&#10;4OqWRUa2Xv3lyijuIYCMZxxMAVIqLnINWE1VvqnmacOcyLUgOMENMIX/55bf7x49UU1Nx1V5gQhZ&#10;ZrBNDzyyNVjSPSJIrQsT1H1yj77nApKp4r30Jv2xFrLPwB4GYMU+Eo6P2KlydE4JR1F1VV5fnifg&#10;i1dj50P8JsCQRNQUuvAZUba7C7HTPmqlcAG0apZK68z49WqhPdkxbPNigdFyZzHAiVqRauiyzlQ8&#10;aJGMtf0hJEKAeVY5Yh4+MfhjnAsbR33GWTuZSYw9GH792LDXT6YiD+ZgPPrYeLDIkcHGwdgoC/49&#10;BzpWfcqy00fAT+pO5AqaA3bfQ7cWwfGlQvzvWIiPzOMe4DzgbscH/EgNLTampyjZgP/93nvSx/FE&#10;KSUt7lVNw68t84IS/d3i4F5X43FaxMyMzy9HyPhTyepUYrdmAdjTCq+I45lM+lEfSenBvOAJmKeo&#10;KGKWY+ya8uiPzCJ2+45HhIv5PKvh8jkW7+yT48eup+F63r8w7/ohjDi993DcQTZ5M4idbuqHhfk2&#10;glR5Sl9x7fHGxc2j3h+ZdBlO+az1egpnfwA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DoyKQA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6C2F15C2" w14:textId="77777777" w:rsidR="00E81F98" w:rsidRDefault="00E81F98" w:rsidP="003F2102">
            <w:pPr>
              <w:rPr>
                <w:lang w:eastAsia="en-US"/>
              </w:rPr>
            </w:pPr>
            <w:r w:rsidRPr="00192064">
              <w:rPr>
                <w:b/>
                <w:lang w:eastAsia="en-US"/>
              </w:rPr>
              <w:t>Mandatory</w:t>
            </w:r>
            <w:r>
              <w:rPr>
                <w:lang w:eastAsia="en-US"/>
              </w:rPr>
              <w:t>:  Mandatory recommended practice or area that is critical towards building solutions and services within Microsoft Azure. These requirements are necessary for alignment with the reference.</w:t>
            </w:r>
          </w:p>
        </w:tc>
      </w:tr>
    </w:tbl>
    <w:p w14:paraId="6C2F15C4" w14:textId="77777777" w:rsidR="00E81F98" w:rsidRDefault="00E81F98" w:rsidP="00E81F98">
      <w:pPr>
        <w:jc w:val="both"/>
      </w:pP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E81F98" w14:paraId="6C2F15C7" w14:textId="77777777" w:rsidTr="003F2102">
        <w:trPr>
          <w:trHeight w:val="423"/>
        </w:trPr>
        <w:tc>
          <w:tcPr>
            <w:tcW w:w="666" w:type="dxa"/>
          </w:tcPr>
          <w:p w14:paraId="6C2F15C5" w14:textId="77777777" w:rsidR="00E81F98" w:rsidRDefault="00E81F98" w:rsidP="003F2102">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411456" behindDoc="0" locked="0" layoutInCell="1" allowOverlap="1" wp14:anchorId="6C2F18F7" wp14:editId="5A6C8BCE">
                      <wp:simplePos x="0" y="0"/>
                      <wp:positionH relativeFrom="column">
                        <wp:posOffset>66675</wp:posOffset>
                      </wp:positionH>
                      <wp:positionV relativeFrom="paragraph">
                        <wp:posOffset>90170</wp:posOffset>
                      </wp:positionV>
                      <wp:extent cx="209550" cy="180975"/>
                      <wp:effectExtent l="57150" t="19050" r="57150" b="104775"/>
                      <wp:wrapNone/>
                      <wp:docPr id="41064" name="Isosceles Triangle 410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type w14:anchorId="558AA04B"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41064" o:spid="_x0000_s1026" type="#_x0000_t5" style="position:absolute;margin-left:5.25pt;margin-top:7.1pt;width:16.5pt;height:14.25pt;z-index:25141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p6Tig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Mi&#10;P51SYliDbbr14LnQwpNHp5jZaEE6Pdartb5Eswd772LG3q6A//CoyP7QRMH3mIN0TcRivuSQin8c&#10;iy8OgXD8OckvZjNsEUdVcZ5fnM1iczJWDsbW+fBFQEPipaKhDyyVne1XPnTwAZZiA63qpdI6CW6z&#10;vtaO7BlyYYlfntqPL/hnWMqhCzslEI5aRGNtvgmJdcJAi/RiYqgY/THOhQmnfcgJHc0kvj0afn7f&#10;sMdHU5HYOxpP3jceLdLLYMJo3CgD7i0HOhR9yLLD9130Xd6xBGuoj0gRB93seMuXChuwYj7cM4fD&#10;gj3DBRC+4iE1tBWF/kbJFtyvt/5HPHIYtZS0OHwV9T93zAlK9K1Bdl8U02mc1iRMZ2cTFNxLzfql&#10;xuyaa8CeFrhqLE/XiA96uEoHzRPuiUV8FVXMcHy7ojy4QbgO3VLATcPFYpFgOKGWhZV5sHzoeiTX&#10;4+GJOTuwEOl7B8OgsvIVETts7IeBxS6AVImlz3Xt643Tnbjeb6K4Pl7KCfW8L+e/AQAA//8DAFBL&#10;AwQUAAYACAAAACEANTxCMNkAAAAHAQAADwAAAGRycy9kb3ducmV2LnhtbEyOzU7DMBCE70i8g7VI&#10;XFDrkIa2CnEqhJIjqig8gBNvfoS9jmK3DW/PcoLTaDSjma84LM6KC85h9KTgcZ2AQGq9GalX8PlR&#10;r/YgQtRktPWECr4xwKG8vSl0bvyV3vFyir3gEQq5VjDEOOVShnZAp8PaT0icdX52OrKde2lmfeVx&#10;Z2WaJFvp9Ej8MOgJXwdsv05np8A3y7Hb1Lv9Q+0m+9ZVVeaOlVL3d8vLM4iIS/wrwy8+o0PJTI0/&#10;kwnCsk+euMmapSA4zzbsG9Z0B7Is5H/+8gcAAP//AwBQSwECLQAUAAYACAAAACEAtoM4kv4AAADh&#10;AQAAEwAAAAAAAAAAAAAAAAAAAAAAW0NvbnRlbnRfVHlwZXNdLnhtbFBLAQItABQABgAIAAAAIQA4&#10;/SH/1gAAAJQBAAALAAAAAAAAAAAAAAAAAC8BAABfcmVscy8ucmVsc1BLAQItABQABgAIAAAAIQBr&#10;2p6TigIAAHcFAAAOAAAAAAAAAAAAAAAAAC4CAABkcnMvZTJvRG9jLnhtbFBLAQItABQABgAIAAAA&#10;IQA1PEIw2QAAAAcBAAAPAAAAAAAAAAAAAAAAAOQEAABkcnMvZG93bnJldi54bWxQSwUGAAAAAAQA&#10;BADzAAAA6gUAAAAA&#10;" fillcolor="yellow" strokecolor="#70ad47 [3209]" strokeweight=".5pt">
                      <v:path arrowok="t"/>
                    </v:shape>
                  </w:pict>
                </mc:Fallback>
              </mc:AlternateContent>
            </w:r>
          </w:p>
        </w:tc>
        <w:tc>
          <w:tcPr>
            <w:tcW w:w="8604" w:type="dxa"/>
          </w:tcPr>
          <w:p w14:paraId="6C2F15C6" w14:textId="77777777" w:rsidR="00E81F98" w:rsidRDefault="00E81F98" w:rsidP="003F2102">
            <w:pPr>
              <w:rPr>
                <w:lang w:eastAsia="en-US"/>
              </w:rPr>
            </w:pPr>
            <w:r>
              <w:rPr>
                <w:rFonts w:eastAsiaTheme="minorHAnsi"/>
                <w:b/>
                <w:lang w:eastAsia="en-US"/>
              </w:rPr>
              <w:t xml:space="preserve">Recommended: </w:t>
            </w:r>
            <w:r w:rsidRPr="00192064">
              <w:rPr>
                <w:rFonts w:eastAsiaTheme="minorHAnsi"/>
                <w:lang w:eastAsia="en-US"/>
              </w:rPr>
              <w:t xml:space="preserve">Recommended </w:t>
            </w:r>
            <w:r>
              <w:rPr>
                <w:rFonts w:eastAsiaTheme="minorHAnsi"/>
                <w:lang w:eastAsia="en-US"/>
              </w:rPr>
              <w:t xml:space="preserve">practice or area that represents a </w:t>
            </w:r>
            <w:r w:rsidRPr="00192064">
              <w:rPr>
                <w:rFonts w:eastAsiaTheme="minorHAnsi"/>
                <w:lang w:eastAsia="en-US"/>
              </w:rPr>
              <w:t xml:space="preserve">standard </w:t>
            </w:r>
            <w:r>
              <w:rPr>
                <w:rFonts w:eastAsiaTheme="minorHAnsi"/>
                <w:lang w:eastAsia="en-US"/>
              </w:rPr>
              <w:t>recommended approach</w:t>
            </w:r>
            <w:r w:rsidRPr="00192064">
              <w:rPr>
                <w:rFonts w:eastAsiaTheme="minorHAnsi"/>
                <w:lang w:eastAsia="en-US"/>
              </w:rPr>
              <w:t xml:space="preserve"> that </w:t>
            </w:r>
            <w:r>
              <w:rPr>
                <w:rFonts w:eastAsiaTheme="minorHAnsi"/>
                <w:lang w:eastAsia="en-US"/>
              </w:rPr>
              <w:t>is</w:t>
            </w:r>
            <w:r w:rsidRPr="00192064">
              <w:rPr>
                <w:rFonts w:eastAsiaTheme="minorHAnsi"/>
                <w:lang w:eastAsia="en-US"/>
              </w:rPr>
              <w:t xml:space="preserve"> strongly recommended</w:t>
            </w:r>
            <w:r>
              <w:rPr>
                <w:rFonts w:eastAsiaTheme="minorHAnsi"/>
                <w:lang w:eastAsia="en-US"/>
              </w:rPr>
              <w:t xml:space="preserve"> when developing a solution</w:t>
            </w:r>
            <w:r w:rsidRPr="00192064">
              <w:rPr>
                <w:rFonts w:eastAsiaTheme="minorHAnsi"/>
                <w:lang w:eastAsia="en-US"/>
              </w:rPr>
              <w:t xml:space="preserve"> </w:t>
            </w:r>
            <w:r>
              <w:rPr>
                <w:rFonts w:eastAsiaTheme="minorHAnsi"/>
                <w:lang w:eastAsia="en-US"/>
              </w:rPr>
              <w:t>or service within Microsoft Azure</w:t>
            </w:r>
            <w:r w:rsidRPr="00192064">
              <w:rPr>
                <w:rFonts w:eastAsiaTheme="minorHAnsi"/>
                <w:lang w:eastAsia="en-US"/>
              </w:rPr>
              <w:t>. However, implementation is at the discretion of each customer</w:t>
            </w:r>
            <w:r>
              <w:rPr>
                <w:rFonts w:eastAsiaTheme="minorHAnsi"/>
                <w:lang w:eastAsia="en-US"/>
              </w:rPr>
              <w:t xml:space="preserve"> and is</w:t>
            </w:r>
            <w:r w:rsidRPr="00192064">
              <w:rPr>
                <w:rFonts w:eastAsiaTheme="minorHAnsi"/>
                <w:lang w:eastAsia="en-US"/>
              </w:rPr>
              <w:t xml:space="preserve"> not required for alignment with the </w:t>
            </w:r>
            <w:r>
              <w:rPr>
                <w:rFonts w:eastAsiaTheme="minorHAnsi"/>
                <w:lang w:eastAsia="en-US"/>
              </w:rPr>
              <w:t>Azure Reference Architecture</w:t>
            </w:r>
            <w:r w:rsidRPr="00192064">
              <w:rPr>
                <w:rFonts w:eastAsiaTheme="minorHAnsi"/>
                <w:lang w:eastAsia="en-US"/>
              </w:rPr>
              <w:t>.</w:t>
            </w:r>
          </w:p>
        </w:tc>
      </w:tr>
    </w:tbl>
    <w:p w14:paraId="6C2F15C8" w14:textId="77777777" w:rsidR="00E81F98" w:rsidRDefault="00E81F98" w:rsidP="00E81F98">
      <w:pPr>
        <w:jc w:val="both"/>
      </w:pP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E81F98" w14:paraId="6C2F15CB" w14:textId="77777777" w:rsidTr="003F2102">
        <w:trPr>
          <w:trHeight w:val="423"/>
        </w:trPr>
        <w:tc>
          <w:tcPr>
            <w:tcW w:w="666" w:type="dxa"/>
          </w:tcPr>
          <w:p w14:paraId="6C2F15C9" w14:textId="77777777" w:rsidR="00E81F98" w:rsidRDefault="00E81F98" w:rsidP="003F2102">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416576" behindDoc="0" locked="0" layoutInCell="1" allowOverlap="1" wp14:anchorId="6C2F18F9" wp14:editId="113C3834">
                      <wp:simplePos x="0" y="0"/>
                      <wp:positionH relativeFrom="column">
                        <wp:posOffset>66675</wp:posOffset>
                      </wp:positionH>
                      <wp:positionV relativeFrom="paragraph">
                        <wp:posOffset>90170</wp:posOffset>
                      </wp:positionV>
                      <wp:extent cx="180975" cy="180975"/>
                      <wp:effectExtent l="57150" t="19050" r="9525" b="104775"/>
                      <wp:wrapNone/>
                      <wp:docPr id="41066" name="Oval 410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2C123D55" id="Oval 41066" o:spid="_x0000_s1026" style="position:absolute;margin-left:5.25pt;margin-top:7.1pt;width:14.25pt;height:14.25pt;z-index:25141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w+4fgIAAGgFAAAOAAAAZHJzL2Uyb0RvYy54bWysVG1r2zAQ/j7YfxD6vtpO0zdTp2QpHYPQ&#10;lLWjnxVZSsRknSYpcbJfv5PsON1aKIx9ETrdc6967q5vdo0mW+G8AlPR4iSnRBgOtTKrin5/uvt0&#10;SYkPzNRMgxEV3QtPbyYfP1y3thQjWIOuhSPoxPiytRVdh2DLLPN8LRrmT8AKg0oJrmEBRbfKasda&#10;9N7obJTn51kLrrYOuPAeX287JZ0k/1IKHhZSehGIrijmFtLp0rmMZza5ZuXKMbtWvE+D/UMWDVMG&#10;gw6ubllgZOPUK1eN4g48yHDCoclASsVFqgGrKfK/qnlcMytSLdgcb4c2+f/nlt9vHxxRdUXHRX5+&#10;TolhDX7TYss06V6wQ631JQIf7YOLNXo7B/7DoyL7QxMF32N20jURixWSXWr3fmi32AXC8bG4zK8u&#10;zijhqOrv0ScrD8bW+fBFQEPipaJCa2V9bAgr2XbuQ4c+oFJqoFV9p7ROglstZ9oRrAVj55/zs/Tf&#10;GMAfYamELuuUf9hrEY21+SYkNibmmSImSorBH+NcmHAaCYQOEzqaSYw9GJ6+b9jjo6lIdB2MR+8b&#10;DxYpMpgwGDfKgHvLgQ5Fn7Ls8P0n+q7u2IIl1HvkhINuWLzldwr7P2c+PDCH04FzhBMfFnhIDW1F&#10;ob9Rsgb36633iEfSopaSFqetov7nhjlBif5qkM5XxXgcxzMJ47OLEQrupWb5UmM2zQzwTwvcLZan&#10;a8QHfbhKB80zLoZpjIoqZjjGrigP7iDMQrcFcLVwMZ0mGI6kZWFuHi0//Hok19PumTnbkzAge+/h&#10;MJmviNhh438YmG4CSJVYeuxr328c50ScfvXEffFSTqjjgpz8BgAA//8DAFBLAwQUAAYACAAAACEA&#10;whqfIt4AAAAHAQAADwAAAGRycy9kb3ducmV2LnhtbEyPQUvDQBCF74L/YRnBi9hNYqs2ZlNEEBS9&#10;mFbU2zQ7JsHsbMhu2/jvHU96Gh7v8eZ7xWpyvdrTGDrPBtJZAoq49rbjxsBmfX9+DSpEZIu9ZzLw&#10;TQFW5fFRgbn1B36hfRUbJSUccjTQxjjkWoe6JYdh5gdi8T796DCKHBttRzxIuet1liSX2mHH8qHF&#10;ge5aqr+qnTPwUW2e3Tp9cm+P6cOCzt77JdpXY05PptsbUJGm+BeGX3xBh1KYtn7HNqhedLKQpNx5&#10;Bkr8i6VM2xqYZ1egy0L/5y9/AAAA//8DAFBLAQItABQABgAIAAAAIQC2gziS/gAAAOEBAAATAAAA&#10;AAAAAAAAAAAAAAAAAABbQ29udGVudF9UeXBlc10ueG1sUEsBAi0AFAAGAAgAAAAhADj9If/WAAAA&#10;lAEAAAsAAAAAAAAAAAAAAAAALwEAAF9yZWxzLy5yZWxzUEsBAi0AFAAGAAgAAAAhAGajD7h+AgAA&#10;aAUAAA4AAAAAAAAAAAAAAAAALgIAAGRycy9lMm9Eb2MueG1sUEsBAi0AFAAGAAgAAAAhAMIanyLe&#10;AAAABwEAAA8AAAAAAAAAAAAAAAAA2AQAAGRycy9kb3ducmV2LnhtbFBLBQYAAAAABAAEAPMAAADj&#10;BQAAAAA=&#10;" fillcolor="#00b050" strokecolor="#a5a5a5 [3206]" strokeweight=".5pt">
                      <v:stroke joinstyle="miter"/>
                      <v:path arrowok="t"/>
                    </v:oval>
                  </w:pict>
                </mc:Fallback>
              </mc:AlternateContent>
            </w:r>
          </w:p>
        </w:tc>
        <w:tc>
          <w:tcPr>
            <w:tcW w:w="8604" w:type="dxa"/>
          </w:tcPr>
          <w:p w14:paraId="6C2F15CA" w14:textId="3ED1D48A" w:rsidR="00E81F98" w:rsidRDefault="00E81F98" w:rsidP="00110CA4">
            <w:pPr>
              <w:rPr>
                <w:lang w:eastAsia="en-US"/>
              </w:rPr>
            </w:pPr>
            <w:r>
              <w:rPr>
                <w:rFonts w:eastAsiaTheme="minorHAnsi"/>
                <w:b/>
                <w:lang w:eastAsia="en-US"/>
              </w:rPr>
              <w:t xml:space="preserve">Optional: </w:t>
            </w:r>
            <w:r w:rsidRPr="00192064">
              <w:rPr>
                <w:rFonts w:eastAsiaTheme="minorHAnsi"/>
                <w:lang w:eastAsia="en-US"/>
              </w:rPr>
              <w:t xml:space="preserve">Optional </w:t>
            </w:r>
            <w:r>
              <w:rPr>
                <w:rFonts w:eastAsiaTheme="minorHAnsi"/>
                <w:lang w:eastAsia="en-US"/>
              </w:rPr>
              <w:t>recommended practice</w:t>
            </w:r>
            <w:r w:rsidRPr="00192064">
              <w:rPr>
                <w:rFonts w:eastAsiaTheme="minorHAnsi"/>
                <w:lang w:eastAsia="en-US"/>
              </w:rPr>
              <w:t xml:space="preserve">. These requirements are voluntary considerations that can be implemented in the </w:t>
            </w:r>
            <w:r>
              <w:rPr>
                <w:rFonts w:eastAsiaTheme="minorHAnsi"/>
                <w:lang w:eastAsia="en-US"/>
              </w:rPr>
              <w:t>solution</w:t>
            </w:r>
            <w:r w:rsidRPr="00192064">
              <w:rPr>
                <w:rFonts w:eastAsiaTheme="minorHAnsi"/>
                <w:lang w:eastAsia="en-US"/>
              </w:rPr>
              <w:t xml:space="preserve"> </w:t>
            </w:r>
            <w:r>
              <w:rPr>
                <w:rFonts w:eastAsiaTheme="minorHAnsi"/>
                <w:lang w:eastAsia="en-US"/>
              </w:rPr>
              <w:t>or service being developed in</w:t>
            </w:r>
            <w:r w:rsidR="00110CA4">
              <w:rPr>
                <w:rFonts w:eastAsiaTheme="minorHAnsi"/>
                <w:lang w:eastAsia="en-US"/>
              </w:rPr>
              <w:t xml:space="preserve"> Microsoft </w:t>
            </w:r>
            <w:r>
              <w:rPr>
                <w:rFonts w:eastAsiaTheme="minorHAnsi"/>
                <w:lang w:eastAsia="en-US"/>
              </w:rPr>
              <w:t xml:space="preserve">Azure and can be followed </w:t>
            </w:r>
            <w:r w:rsidRPr="00192064">
              <w:rPr>
                <w:rFonts w:eastAsiaTheme="minorHAnsi"/>
                <w:lang w:eastAsia="en-US"/>
              </w:rPr>
              <w:t>at the discretion of each customer.</w:t>
            </w:r>
          </w:p>
        </w:tc>
      </w:tr>
    </w:tbl>
    <w:p w14:paraId="6C2F15CC" w14:textId="77777777" w:rsidR="009065A3" w:rsidRPr="00DC1C1E" w:rsidRDefault="009065A3" w:rsidP="009065A3"/>
    <w:p w14:paraId="6C2F15CD" w14:textId="77777777" w:rsidR="009065A3" w:rsidRDefault="00E81F98" w:rsidP="005729D2">
      <w:pPr>
        <w:pStyle w:val="Heading2Numbered"/>
        <w:numPr>
          <w:ilvl w:val="1"/>
          <w:numId w:val="64"/>
        </w:numPr>
      </w:pPr>
      <w:bookmarkStart w:id="421" w:name="_Toc414892064"/>
      <w:bookmarkStart w:id="422" w:name="_Toc414960090"/>
      <w:bookmarkStart w:id="423" w:name="_Toc414969061"/>
      <w:bookmarkStart w:id="424" w:name="_Toc415011283"/>
      <w:bookmarkStart w:id="425" w:name="_Toc415039973"/>
      <w:bookmarkStart w:id="426" w:name="_Toc415572328"/>
      <w:bookmarkStart w:id="427" w:name="_Toc415735493"/>
      <w:bookmarkStart w:id="428" w:name="_Toc415814074"/>
      <w:bookmarkStart w:id="429" w:name="_Toc416343809"/>
      <w:bookmarkStart w:id="430" w:name="_Toc416863080"/>
      <w:bookmarkStart w:id="431" w:name="_Toc417314683"/>
      <w:bookmarkStart w:id="432" w:name="_Toc417323700"/>
      <w:bookmarkStart w:id="433" w:name="_Toc417326789"/>
      <w:bookmarkStart w:id="434" w:name="_Toc417330337"/>
      <w:bookmarkStart w:id="435" w:name="_Toc417394938"/>
      <w:bookmarkStart w:id="436" w:name="_Toc417399155"/>
      <w:bookmarkStart w:id="437" w:name="_Toc417399314"/>
      <w:bookmarkStart w:id="438" w:name="_Toc417400361"/>
      <w:bookmarkStart w:id="439" w:name="_Toc417401209"/>
      <w:bookmarkStart w:id="440" w:name="_Toc417419522"/>
      <w:bookmarkStart w:id="441" w:name="_Toc417457291"/>
      <w:bookmarkStart w:id="442" w:name="_Toc417481867"/>
      <w:bookmarkStart w:id="443" w:name="_Toc417482125"/>
      <w:bookmarkStart w:id="444" w:name="_Toc417499844"/>
      <w:bookmarkStart w:id="445" w:name="_Toc417502666"/>
      <w:bookmarkStart w:id="446" w:name="_Toc417548206"/>
      <w:bookmarkStart w:id="447" w:name="_Toc417594438"/>
      <w:bookmarkStart w:id="448" w:name="_Toc417934337"/>
      <w:bookmarkStart w:id="449" w:name="_Toc417935676"/>
      <w:bookmarkStart w:id="450" w:name="_Toc417936138"/>
      <w:bookmarkStart w:id="451" w:name="_Toc417947033"/>
      <w:bookmarkStart w:id="452" w:name="_Toc417982413"/>
      <w:bookmarkStart w:id="453" w:name="_Toc417985836"/>
      <w:bookmarkStart w:id="454" w:name="_Toc418000561"/>
      <w:bookmarkStart w:id="455" w:name="_Toc418003703"/>
      <w:bookmarkStart w:id="456" w:name="_Toc418011911"/>
      <w:bookmarkStart w:id="457" w:name="_Toc418014421"/>
      <w:bookmarkStart w:id="458" w:name="_Toc418029895"/>
      <w:bookmarkStart w:id="459" w:name="_Toc418036832"/>
      <w:bookmarkStart w:id="460" w:name="_Toc418061297"/>
      <w:bookmarkStart w:id="461" w:name="_Toc418080645"/>
      <w:bookmarkStart w:id="462" w:name="_Toc418081819"/>
      <w:bookmarkStart w:id="463" w:name="_Toc418083221"/>
      <w:bookmarkStart w:id="464" w:name="_Toc418095440"/>
      <w:bookmarkStart w:id="465" w:name="_Toc418156607"/>
      <w:bookmarkStart w:id="466" w:name="_Toc418167532"/>
      <w:bookmarkStart w:id="467" w:name="_Toc418185788"/>
      <w:bookmarkStart w:id="468" w:name="_Toc422941496"/>
      <w:bookmarkStart w:id="469" w:name="_Toc423116702"/>
      <w:bookmarkStart w:id="470" w:name="_Toc423117735"/>
      <w:bookmarkStart w:id="471" w:name="_Toc423117185"/>
      <w:bookmarkStart w:id="472" w:name="_Toc431288771"/>
      <w:r>
        <w:t>Azure Architecture Patterns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7B1F9516" w14:textId="77777777" w:rsidR="00110CA4" w:rsidRDefault="00E81F98" w:rsidP="00110CA4">
      <w:r>
        <w:t xml:space="preserve">Both </w:t>
      </w:r>
      <w:r w:rsidR="00110CA4">
        <w:t xml:space="preserve">Public and private cloud environments provide common elements to support running complex workloads. Although these architectures are relatively well understood in traditional on-premises physical and virtualized environments, the constructs found within Microsoft Azure require additional planning to rationalize the infrastructure and platform capabilities found within public cloud environments. </w:t>
      </w:r>
    </w:p>
    <w:p w14:paraId="6C2F15CE" w14:textId="05A76B66" w:rsidR="00E81F98" w:rsidRDefault="00110CA4" w:rsidP="00110CA4">
      <w:r>
        <w:t>To support the development of a hosted application or service in Azure, a series of patterns are required to outline the various components and to compose a given workload solution. These architectural patterns fall within the following categories:</w:t>
      </w:r>
    </w:p>
    <w:p w14:paraId="6C2F15CF" w14:textId="7D6D35A1" w:rsidR="00E81F98" w:rsidRDefault="00E81F98" w:rsidP="005729D2">
      <w:pPr>
        <w:pStyle w:val="ListBullet"/>
        <w:numPr>
          <w:ilvl w:val="0"/>
          <w:numId w:val="156"/>
        </w:numPr>
      </w:pPr>
      <w:r w:rsidRPr="00E81F98">
        <w:rPr>
          <w:b/>
        </w:rPr>
        <w:t>Infrastructure</w:t>
      </w:r>
      <w:r>
        <w:t xml:space="preserve"> – </w:t>
      </w:r>
      <w:r w:rsidR="00110CA4">
        <w:t>Microsoft Azure is a platform that provides Infrastructure-as-a-Service (IaaS) and Platform-as-a-Service (PaaS) services, and it is comprised of several underlying services and capabilities. These services largely can be decomposed into compute, storage, and network services. However, there are several capabilities that may fall outside of these definitions. Infrastructure patterns detail a functional area in Microsoft Azure that is required to provide a service to one or more solutions hosted within an Azure subscription.</w:t>
      </w:r>
      <w:r>
        <w:t xml:space="preserve"> </w:t>
      </w:r>
    </w:p>
    <w:p w14:paraId="6C2F15D0" w14:textId="1DF0AC06" w:rsidR="00E81F98" w:rsidRDefault="00E81F98" w:rsidP="005729D2">
      <w:pPr>
        <w:pStyle w:val="ListBullet"/>
        <w:numPr>
          <w:ilvl w:val="0"/>
          <w:numId w:val="156"/>
        </w:numPr>
      </w:pPr>
      <w:r w:rsidRPr="00E81F98">
        <w:rPr>
          <w:b/>
        </w:rPr>
        <w:t>Foundation</w:t>
      </w:r>
      <w:r>
        <w:t xml:space="preserve"> – </w:t>
      </w:r>
      <w:r w:rsidR="00110CA4">
        <w:t>When composing a multi-tiered application or service within Microsoft Azure, several components must be used in combination to provide a suitable hosting environment. Foundation patterns compose one or more services from Microsoft Azure to support a layer of functionality within an application. This may require the use of one or more of the components described in the infrastructure patterns outlined previously. For example, the presentation layer of a multi-tier application requires compute, network, and storage capabilities within Azure to become functional. Foundation patterns are meant to be composed with other patterns as part of a solution.</w:t>
      </w:r>
    </w:p>
    <w:p w14:paraId="6C2F15D1" w14:textId="4B5AFF75" w:rsidR="00E81F98" w:rsidRDefault="00E81F98" w:rsidP="005729D2">
      <w:pPr>
        <w:pStyle w:val="ListBullet"/>
        <w:numPr>
          <w:ilvl w:val="0"/>
          <w:numId w:val="156"/>
        </w:numPr>
      </w:pPr>
      <w:r w:rsidRPr="00E81F98">
        <w:rPr>
          <w:b/>
        </w:rPr>
        <w:t xml:space="preserve">Solution </w:t>
      </w:r>
      <w:r>
        <w:t xml:space="preserve">– </w:t>
      </w:r>
      <w:r w:rsidR="00110CA4">
        <w:t>Solution patterns are composed of infrastructure and/or foundation patterns to represent an end application or service that is being developed. It is assumed that complex solutions are not developed independently of other patterns. Rather, they should utilize the components and interfaces defined in each of the pattern categories outlined previously.</w:t>
      </w:r>
      <w:r>
        <w:t xml:space="preserve">  </w:t>
      </w:r>
    </w:p>
    <w:p w14:paraId="6C2F15D2" w14:textId="1BDE7C28" w:rsidR="00E81F98" w:rsidRDefault="00E81F98" w:rsidP="00E81F98">
      <w:r>
        <w:t xml:space="preserve">This spectrum of patterns is illustrated in the </w:t>
      </w:r>
      <w:r w:rsidR="00110CA4">
        <w:t xml:space="preserve">following </w:t>
      </w:r>
      <w:r>
        <w:t>model.</w:t>
      </w:r>
    </w:p>
    <w:p w14:paraId="6C2F15D3" w14:textId="77777777" w:rsidR="00E81F98" w:rsidRDefault="00E81F98" w:rsidP="00E81F98">
      <w:pPr>
        <w:keepNext/>
        <w:jc w:val="center"/>
      </w:pPr>
      <w:r>
        <w:rPr>
          <w:noProof/>
        </w:rPr>
        <w:drawing>
          <wp:inline distT="0" distB="0" distL="0" distR="0" wp14:anchorId="6C2F18FB" wp14:editId="4E44D89D">
            <wp:extent cx="4631633" cy="2760453"/>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51178" cy="2772102"/>
                    </a:xfrm>
                    <a:prstGeom prst="rect">
                      <a:avLst/>
                    </a:prstGeom>
                    <a:noFill/>
                  </pic:spPr>
                </pic:pic>
              </a:graphicData>
            </a:graphic>
          </wp:inline>
        </w:drawing>
      </w:r>
    </w:p>
    <w:p w14:paraId="6C2F15D4" w14:textId="77777777" w:rsidR="00E81F98" w:rsidRDefault="00E81F98" w:rsidP="00E81F98">
      <w:pPr>
        <w:pStyle w:val="Caption"/>
        <w:jc w:val="center"/>
      </w:pPr>
      <w:r>
        <w:t xml:space="preserve">Figure </w:t>
      </w:r>
      <w:r w:rsidR="00872E47">
        <w:fldChar w:fldCharType="begin"/>
      </w:r>
      <w:r w:rsidR="00872E47">
        <w:instrText xml:space="preserve"> SEQ Figure \* ARABIC </w:instrText>
      </w:r>
      <w:r w:rsidR="00872E47">
        <w:fldChar w:fldCharType="separate"/>
      </w:r>
      <w:r w:rsidR="00F15092">
        <w:rPr>
          <w:noProof/>
        </w:rPr>
        <w:t>3</w:t>
      </w:r>
      <w:r w:rsidR="00872E47">
        <w:rPr>
          <w:noProof/>
        </w:rPr>
        <w:fldChar w:fldCharType="end"/>
      </w:r>
      <w:r>
        <w:t>: Azure Architecture Model</w:t>
      </w:r>
    </w:p>
    <w:p w14:paraId="77488D92" w14:textId="77777777" w:rsidR="00110CA4" w:rsidRDefault="00110CA4" w:rsidP="00110CA4">
      <w:r>
        <w:t>A</w:t>
      </w:r>
      <w:r w:rsidRPr="00E81F98">
        <w:t xml:space="preserve">rchitectural patterns for cloud-hosted workloads (applications and services) </w:t>
      </w:r>
      <w:r>
        <w:t xml:space="preserve">should </w:t>
      </w:r>
      <w:r w:rsidRPr="00E81F98">
        <w:t xml:space="preserve">generally adhere to this model and complex scenarios can be implemented using one or more of the pattern types outlined </w:t>
      </w:r>
      <w:r>
        <w:t>previously</w:t>
      </w:r>
      <w:r w:rsidRPr="00E81F98">
        <w:t xml:space="preserve">. </w:t>
      </w:r>
      <w:r>
        <w:t xml:space="preserve">To learn more about the Azure architectural </w:t>
      </w:r>
      <w:r w:rsidRPr="00BA0017">
        <w:t>patterns</w:t>
      </w:r>
      <w:r>
        <w:t>, see</w:t>
      </w:r>
      <w:r w:rsidRPr="00BA0017">
        <w:t xml:space="preserve"> </w:t>
      </w:r>
      <w:hyperlink r:id="rId27" w:history="1">
        <w:r>
          <w:rPr>
            <w:rStyle w:val="Hyperlink"/>
          </w:rPr>
          <w:t>Cloud Platform Integration Framework (Azure Architecture Patterns)</w:t>
        </w:r>
      </w:hyperlink>
      <w:r>
        <w:rPr>
          <w:rStyle w:val="Hyperlink"/>
        </w:rPr>
        <w:t>.</w:t>
      </w:r>
      <w:r>
        <w:t xml:space="preserve"> </w:t>
      </w:r>
    </w:p>
    <w:p w14:paraId="6C2F15D5" w14:textId="356C0736" w:rsidR="00E81F98" w:rsidRDefault="00110CA4" w:rsidP="00110CA4">
      <w:r>
        <w:t>The following diagram illustrates how they can be composed to define a solution, application, or service in Microsoft Azure.</w:t>
      </w:r>
    </w:p>
    <w:p w14:paraId="124254CA" w14:textId="53C53189" w:rsidR="00BA0017" w:rsidRDefault="00BA0017" w:rsidP="00E81F98">
      <w:r>
        <w:rPr>
          <w:noProof/>
        </w:rPr>
        <w:drawing>
          <wp:inline distT="0" distB="0" distL="0" distR="0" wp14:anchorId="4F0A3D98" wp14:editId="4236E1F1">
            <wp:extent cx="5943600" cy="663130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6631305"/>
                    </a:xfrm>
                    <a:prstGeom prst="rect">
                      <a:avLst/>
                    </a:prstGeom>
                  </pic:spPr>
                </pic:pic>
              </a:graphicData>
            </a:graphic>
          </wp:inline>
        </w:drawing>
      </w:r>
    </w:p>
    <w:p w14:paraId="6C2F15D6" w14:textId="77777777" w:rsidR="00E81F98" w:rsidRDefault="00E81F98" w:rsidP="00E81F98"/>
    <w:p w14:paraId="6C2F15D8" w14:textId="19955C55" w:rsidR="009065A3" w:rsidRDefault="00E81F98" w:rsidP="005729D2">
      <w:pPr>
        <w:pStyle w:val="Heading1Numbered"/>
        <w:numPr>
          <w:ilvl w:val="0"/>
          <w:numId w:val="64"/>
        </w:numPr>
      </w:pPr>
      <w:bookmarkStart w:id="473" w:name="_Toc414892065"/>
      <w:bookmarkStart w:id="474" w:name="_Toc414960091"/>
      <w:bookmarkStart w:id="475" w:name="_Toc414969062"/>
      <w:bookmarkStart w:id="476" w:name="_Toc415011284"/>
      <w:bookmarkStart w:id="477" w:name="_Toc415039974"/>
      <w:bookmarkStart w:id="478" w:name="_Toc415572329"/>
      <w:bookmarkStart w:id="479" w:name="_Toc415735494"/>
      <w:bookmarkStart w:id="480" w:name="_Toc415814075"/>
      <w:bookmarkStart w:id="481" w:name="_Toc416343810"/>
      <w:bookmarkStart w:id="482" w:name="_Toc416863081"/>
      <w:bookmarkStart w:id="483" w:name="_Toc417314684"/>
      <w:bookmarkStart w:id="484" w:name="_Toc417323701"/>
      <w:bookmarkStart w:id="485" w:name="_Toc417326790"/>
      <w:bookmarkStart w:id="486" w:name="_Toc417330338"/>
      <w:bookmarkStart w:id="487" w:name="_Toc417394939"/>
      <w:bookmarkStart w:id="488" w:name="_Toc417399156"/>
      <w:bookmarkStart w:id="489" w:name="_Toc417399315"/>
      <w:bookmarkStart w:id="490" w:name="_Toc417400362"/>
      <w:bookmarkStart w:id="491" w:name="_Toc417401210"/>
      <w:bookmarkStart w:id="492" w:name="_Toc417419523"/>
      <w:bookmarkStart w:id="493" w:name="_Toc417457292"/>
      <w:bookmarkStart w:id="494" w:name="_Toc417481868"/>
      <w:bookmarkStart w:id="495" w:name="_Toc417482126"/>
      <w:bookmarkStart w:id="496" w:name="_Toc417499845"/>
      <w:bookmarkStart w:id="497" w:name="_Toc417502667"/>
      <w:bookmarkStart w:id="498" w:name="_Toc417548207"/>
      <w:bookmarkStart w:id="499" w:name="_Toc417594439"/>
      <w:bookmarkStart w:id="500" w:name="_Toc417934338"/>
      <w:bookmarkStart w:id="501" w:name="_Toc417935677"/>
      <w:bookmarkStart w:id="502" w:name="_Toc417936139"/>
      <w:bookmarkStart w:id="503" w:name="_Toc417947034"/>
      <w:bookmarkStart w:id="504" w:name="_Toc417982414"/>
      <w:bookmarkStart w:id="505" w:name="_Toc417985837"/>
      <w:bookmarkStart w:id="506" w:name="_Toc418000562"/>
      <w:bookmarkStart w:id="507" w:name="_Toc418003704"/>
      <w:bookmarkStart w:id="508" w:name="_Toc418011912"/>
      <w:bookmarkStart w:id="509" w:name="_Toc418014422"/>
      <w:bookmarkStart w:id="510" w:name="_Toc418029896"/>
      <w:bookmarkStart w:id="511" w:name="_Toc418036833"/>
      <w:bookmarkStart w:id="512" w:name="_Toc418061298"/>
      <w:bookmarkStart w:id="513" w:name="_Toc418080646"/>
      <w:bookmarkStart w:id="514" w:name="_Toc418081820"/>
      <w:bookmarkStart w:id="515" w:name="_Toc418083222"/>
      <w:bookmarkStart w:id="516" w:name="_Toc418095441"/>
      <w:bookmarkStart w:id="517" w:name="_Toc418156608"/>
      <w:bookmarkStart w:id="518" w:name="_Toc418167533"/>
      <w:bookmarkStart w:id="519" w:name="_Toc418185789"/>
      <w:bookmarkStart w:id="520" w:name="_Toc422941497"/>
      <w:bookmarkStart w:id="521" w:name="_Toc423116703"/>
      <w:bookmarkStart w:id="522" w:name="_Toc423117736"/>
      <w:bookmarkStart w:id="523" w:name="_Toc423117186"/>
      <w:bookmarkStart w:id="524" w:name="_Toc431288772"/>
      <w:r w:rsidRPr="00E81F98">
        <w:t>Microsoft Azure Overview</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6C2F15DE" w14:textId="77777777" w:rsidR="00062059" w:rsidRDefault="00062059" w:rsidP="005729D2">
      <w:pPr>
        <w:pStyle w:val="Heading2Numbered"/>
        <w:numPr>
          <w:ilvl w:val="1"/>
          <w:numId w:val="64"/>
        </w:numPr>
      </w:pPr>
      <w:bookmarkStart w:id="525" w:name="_Toc414892067"/>
      <w:bookmarkStart w:id="526" w:name="_Toc414960093"/>
      <w:bookmarkStart w:id="527" w:name="_Toc414969064"/>
      <w:bookmarkStart w:id="528" w:name="_Toc415011286"/>
      <w:bookmarkStart w:id="529" w:name="_Toc415039976"/>
      <w:bookmarkStart w:id="530" w:name="_Toc415572331"/>
      <w:bookmarkStart w:id="531" w:name="_Toc415735496"/>
      <w:bookmarkStart w:id="532" w:name="_Toc415814077"/>
      <w:bookmarkStart w:id="533" w:name="_Toc416343812"/>
      <w:bookmarkStart w:id="534" w:name="_Toc416863083"/>
      <w:bookmarkStart w:id="535" w:name="_Toc417314686"/>
      <w:bookmarkStart w:id="536" w:name="_Ref417318534"/>
      <w:bookmarkStart w:id="537" w:name="_Toc417323703"/>
      <w:bookmarkStart w:id="538" w:name="_Toc417326792"/>
      <w:bookmarkStart w:id="539" w:name="_Toc417330340"/>
      <w:bookmarkStart w:id="540" w:name="_Toc417394941"/>
      <w:bookmarkStart w:id="541" w:name="_Toc417399158"/>
      <w:bookmarkStart w:id="542" w:name="_Toc417399317"/>
      <w:bookmarkStart w:id="543" w:name="_Toc417400364"/>
      <w:bookmarkStart w:id="544" w:name="_Toc417401212"/>
      <w:bookmarkStart w:id="545" w:name="_Toc417419525"/>
      <w:bookmarkStart w:id="546" w:name="_Toc417457293"/>
      <w:bookmarkStart w:id="547" w:name="_Toc417481869"/>
      <w:bookmarkStart w:id="548" w:name="_Toc417482127"/>
      <w:bookmarkStart w:id="549" w:name="_Toc417499846"/>
      <w:bookmarkStart w:id="550" w:name="_Toc417502668"/>
      <w:bookmarkStart w:id="551" w:name="_Toc417548208"/>
      <w:bookmarkStart w:id="552" w:name="_Toc417594440"/>
      <w:bookmarkStart w:id="553" w:name="_Toc417934339"/>
      <w:bookmarkStart w:id="554" w:name="_Toc417935678"/>
      <w:bookmarkStart w:id="555" w:name="_Toc417936140"/>
      <w:bookmarkStart w:id="556" w:name="_Toc417947035"/>
      <w:bookmarkStart w:id="557" w:name="_Toc417982415"/>
      <w:bookmarkStart w:id="558" w:name="_Toc417985838"/>
      <w:bookmarkStart w:id="559" w:name="_Toc418000563"/>
      <w:bookmarkStart w:id="560" w:name="_Toc418003705"/>
      <w:bookmarkStart w:id="561" w:name="_Toc418011913"/>
      <w:bookmarkStart w:id="562" w:name="_Toc418014423"/>
      <w:bookmarkStart w:id="563" w:name="_Toc418029897"/>
      <w:bookmarkStart w:id="564" w:name="_Toc418036834"/>
      <w:bookmarkStart w:id="565" w:name="_Toc418061299"/>
      <w:bookmarkStart w:id="566" w:name="_Toc418080647"/>
      <w:bookmarkStart w:id="567" w:name="_Toc418081821"/>
      <w:bookmarkStart w:id="568" w:name="_Toc418083223"/>
      <w:bookmarkStart w:id="569" w:name="_Toc418095442"/>
      <w:bookmarkStart w:id="570" w:name="_Toc418156609"/>
      <w:bookmarkStart w:id="571" w:name="_Toc418167534"/>
      <w:bookmarkStart w:id="572" w:name="_Toc418185790"/>
      <w:bookmarkStart w:id="573" w:name="_Toc422941498"/>
      <w:bookmarkStart w:id="574" w:name="_Toc423116704"/>
      <w:bookmarkStart w:id="575" w:name="_Toc423117737"/>
      <w:bookmarkStart w:id="576" w:name="_Toc423117187"/>
      <w:bookmarkStart w:id="577" w:name="_Toc431288773"/>
      <w:r>
        <w:t>Microsoft Azure Services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6B5BDD0B" w14:textId="4EA54DE9" w:rsidR="00A15CE3" w:rsidRDefault="006C5106" w:rsidP="001317FF">
      <w:r w:rsidRPr="006C5106">
        <w:t>What</w:t>
      </w:r>
      <w:r w:rsidR="000D4F35" w:rsidRPr="006C5106">
        <w:t xml:space="preserve"> is Azure? In short, it’s </w:t>
      </w:r>
      <w:r w:rsidR="000D4F35">
        <w:t xml:space="preserve">the </w:t>
      </w:r>
      <w:r w:rsidR="000D4F35" w:rsidRPr="006C5106">
        <w:t xml:space="preserve">Microsoft </w:t>
      </w:r>
      <w:r w:rsidR="000D4F35">
        <w:t xml:space="preserve">public </w:t>
      </w:r>
      <w:r w:rsidR="000D4F35" w:rsidRPr="006C5106">
        <w:t>cloud platform</w:t>
      </w:r>
      <w:r w:rsidR="000D4F35">
        <w:t>.</w:t>
      </w:r>
      <w:r w:rsidR="000D4F35" w:rsidRPr="006C5106">
        <w:t xml:space="preserve"> </w:t>
      </w:r>
      <w:r w:rsidR="000D4F35">
        <w:t xml:space="preserve">Microsoft Azure includes </w:t>
      </w:r>
      <w:r w:rsidR="000D4F35" w:rsidRPr="006C5106">
        <w:t>a growing collection of integrated services</w:t>
      </w:r>
      <w:r w:rsidR="000D4F35">
        <w:t xml:space="preserve"> (</w:t>
      </w:r>
      <w:r w:rsidR="000D4F35" w:rsidRPr="006C5106">
        <w:t>compute, storage, data, networking, and app</w:t>
      </w:r>
      <w:r w:rsidR="000D4F35">
        <w:t xml:space="preserve">lications) </w:t>
      </w:r>
      <w:r w:rsidR="000D4F35" w:rsidRPr="006C5106">
        <w:t>that help customers move faster, do more, and save money.</w:t>
      </w:r>
      <w:r w:rsidR="000D4F35">
        <w:t xml:space="preserve"> With Microsoft Azure, you can b</w:t>
      </w:r>
      <w:r w:rsidR="000D4F35" w:rsidRPr="00A15CE3">
        <w:t xml:space="preserve">uild </w:t>
      </w:r>
      <w:r w:rsidR="000D4F35">
        <w:t xml:space="preserve">an </w:t>
      </w:r>
      <w:r w:rsidR="000D4F35" w:rsidRPr="00A15CE3">
        <w:t>infrastructure</w:t>
      </w:r>
      <w:r w:rsidR="000D4F35">
        <w:t>, d</w:t>
      </w:r>
      <w:r w:rsidR="000D4F35" w:rsidRPr="00A15CE3">
        <w:t>evelop modern applications</w:t>
      </w:r>
      <w:r w:rsidR="000D4F35">
        <w:t>, g</w:t>
      </w:r>
      <w:r w:rsidR="000D4F35" w:rsidRPr="00A15CE3">
        <w:t>ain insights from data</w:t>
      </w:r>
      <w:r w:rsidR="000D4F35">
        <w:t>, and m</w:t>
      </w:r>
      <w:r w:rsidR="000D4F35" w:rsidRPr="00A15CE3">
        <w:t>anage identity and access</w:t>
      </w:r>
      <w:r w:rsidR="000D4F35">
        <w:t>.</w:t>
      </w:r>
    </w:p>
    <w:p w14:paraId="393ED04C" w14:textId="5918D7EE" w:rsidR="001317FF" w:rsidRDefault="001317FF" w:rsidP="001317FF">
      <w:r w:rsidRPr="001317FF">
        <w:rPr>
          <w:noProof/>
        </w:rPr>
        <w:drawing>
          <wp:inline distT="0" distB="0" distL="0" distR="0" wp14:anchorId="2920B1E2" wp14:editId="4E86AB66">
            <wp:extent cx="5943600" cy="33401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3340100"/>
                    </a:xfrm>
                    <a:prstGeom prst="rect">
                      <a:avLst/>
                    </a:prstGeom>
                  </pic:spPr>
                </pic:pic>
              </a:graphicData>
            </a:graphic>
          </wp:inline>
        </w:drawing>
      </w:r>
    </w:p>
    <w:p w14:paraId="38D09489" w14:textId="77777777" w:rsidR="003C53B3" w:rsidRDefault="003C53B3" w:rsidP="003C53B3">
      <w:r>
        <w:t xml:space="preserve">Azure offers dozens of different services in the cloud. These services include all of the commonly referenced cloud computing models: </w:t>
      </w:r>
    </w:p>
    <w:p w14:paraId="34DF223D" w14:textId="77777777" w:rsidR="003C53B3" w:rsidRDefault="003C53B3" w:rsidP="005729D2">
      <w:pPr>
        <w:pStyle w:val="ListParagraph"/>
        <w:numPr>
          <w:ilvl w:val="0"/>
          <w:numId w:val="249"/>
        </w:numPr>
      </w:pPr>
      <w:r>
        <w:t xml:space="preserve">Software as a Service (SaaS) </w:t>
      </w:r>
    </w:p>
    <w:p w14:paraId="6F314929" w14:textId="77777777" w:rsidR="003C53B3" w:rsidRDefault="003C53B3" w:rsidP="005729D2">
      <w:pPr>
        <w:pStyle w:val="ListParagraph"/>
        <w:numPr>
          <w:ilvl w:val="0"/>
          <w:numId w:val="249"/>
        </w:numPr>
      </w:pPr>
      <w:r>
        <w:t xml:space="preserve">Infrastructure as a Service (IaaS) </w:t>
      </w:r>
    </w:p>
    <w:p w14:paraId="50D0A347" w14:textId="77777777" w:rsidR="003C53B3" w:rsidRDefault="003C53B3" w:rsidP="005729D2">
      <w:pPr>
        <w:pStyle w:val="ListParagraph"/>
        <w:numPr>
          <w:ilvl w:val="0"/>
          <w:numId w:val="249"/>
        </w:numPr>
      </w:pPr>
      <w:r>
        <w:t xml:space="preserve">Platform as a Service (PaaS) </w:t>
      </w:r>
    </w:p>
    <w:p w14:paraId="6C2F15DF" w14:textId="6F14BE85" w:rsidR="00062059" w:rsidRDefault="003C53B3" w:rsidP="003C53B3">
      <w:r>
        <w:t>These models can be combined and integrated to build complex robust solutions for any audience and use case.</w:t>
      </w:r>
    </w:p>
    <w:p w14:paraId="3065C381" w14:textId="77777777" w:rsidR="000C42B4" w:rsidRDefault="000C42B4" w:rsidP="005729D2">
      <w:pPr>
        <w:pStyle w:val="Heading3Numbered"/>
        <w:numPr>
          <w:ilvl w:val="2"/>
          <w:numId w:val="64"/>
        </w:numPr>
      </w:pPr>
      <w:bookmarkStart w:id="578" w:name="_Toc417935683"/>
      <w:bookmarkStart w:id="579" w:name="_Toc417936145"/>
      <w:bookmarkStart w:id="580" w:name="_Toc417947036"/>
      <w:bookmarkStart w:id="581" w:name="_Toc417982416"/>
      <w:bookmarkStart w:id="582" w:name="_Toc417985839"/>
      <w:bookmarkStart w:id="583" w:name="_Toc418000564"/>
      <w:bookmarkStart w:id="584" w:name="_Toc418003706"/>
      <w:bookmarkStart w:id="585" w:name="_Toc418011914"/>
      <w:bookmarkStart w:id="586" w:name="_Toc418014424"/>
      <w:bookmarkStart w:id="587" w:name="_Toc418029898"/>
      <w:bookmarkStart w:id="588" w:name="_Toc418036835"/>
      <w:bookmarkStart w:id="589" w:name="_Toc418061300"/>
      <w:bookmarkStart w:id="590" w:name="_Toc418080648"/>
      <w:bookmarkStart w:id="591" w:name="_Toc418081822"/>
      <w:bookmarkStart w:id="592" w:name="_Toc418083224"/>
      <w:bookmarkStart w:id="593" w:name="_Toc418095443"/>
      <w:bookmarkStart w:id="594" w:name="_Toc418156610"/>
      <w:bookmarkStart w:id="595" w:name="_Toc418167535"/>
      <w:bookmarkStart w:id="596" w:name="_Toc418185791"/>
      <w:bookmarkStart w:id="597" w:name="_Toc422941499"/>
      <w:bookmarkStart w:id="598" w:name="_Toc423116705"/>
      <w:bookmarkStart w:id="599" w:name="_Toc423117738"/>
      <w:bookmarkStart w:id="600" w:name="_Toc423117188"/>
      <w:bookmarkStart w:id="601" w:name="_Toc431288774"/>
      <w:bookmarkStart w:id="602" w:name="_Toc417457294"/>
      <w:bookmarkStart w:id="603" w:name="_Toc417481870"/>
      <w:bookmarkStart w:id="604" w:name="_Toc417482128"/>
      <w:bookmarkStart w:id="605" w:name="_Toc417499847"/>
      <w:bookmarkStart w:id="606" w:name="_Toc417502669"/>
      <w:bookmarkStart w:id="607" w:name="_Toc417548209"/>
      <w:bookmarkStart w:id="608" w:name="_Toc417594441"/>
      <w:bookmarkStart w:id="609" w:name="_Toc417934340"/>
      <w:r>
        <w:t>Available Azure Services</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0D4F7263" w14:textId="635E252C" w:rsidR="003C53B3" w:rsidRDefault="003C53B3" w:rsidP="003C53B3">
      <w:r>
        <w:t xml:space="preserve">The availability of Azure services varies by region and whether the service is currently in Preview or is Generally Available (GA). For up-to-date information about service availability in each datacenter, see the </w:t>
      </w:r>
      <w:hyperlink r:id="rId30" w:anchor="services" w:history="1">
        <w:r>
          <w:rPr>
            <w:rStyle w:val="Hyperlink"/>
          </w:rPr>
          <w:t>Services by region</w:t>
        </w:r>
      </w:hyperlink>
      <w:r>
        <w:t xml:space="preserve"> page. Determining which services are available is a key consideration when deploying applications or enabling services within Azure. </w:t>
      </w:r>
    </w:p>
    <w:p w14:paraId="4B0A0002" w14:textId="3BE3EDE5" w:rsidR="000C42B4" w:rsidRDefault="003C53B3" w:rsidP="003C53B3">
      <w:r>
        <w:t xml:space="preserve">The concept of Azure regions will be covered later, but consider the sample webpage that follows. The area outlined in red serves as an example of a customer-selected region. Using this example, if the requirement was to deploy a solution within the South Central US Azure region, the solution would be constrained from using G-Series virtual machines (currently in Preview and covered in the Compute IaaS section of this document). Conversely, if the solution </w:t>
      </w:r>
      <w:r w:rsidRPr="00C17379">
        <w:rPr>
          <w:i/>
        </w:rPr>
        <w:t>required</w:t>
      </w:r>
      <w:r>
        <w:t xml:space="preserve"> G-Series virtual machines, the organization would need to select an Azure region that supports that feature or service.</w:t>
      </w:r>
      <w:r w:rsidR="0054288F">
        <w:t xml:space="preserve">    </w:t>
      </w:r>
      <w:r w:rsidR="001317FF">
        <w:t xml:space="preserve">  </w:t>
      </w:r>
    </w:p>
    <w:p w14:paraId="63409EDA" w14:textId="75DE32D5" w:rsidR="001317FF" w:rsidRDefault="0054288F" w:rsidP="000C42B4">
      <w:r>
        <w:rPr>
          <w:noProof/>
        </w:rPr>
        <w:drawing>
          <wp:inline distT="0" distB="0" distL="0" distR="0" wp14:anchorId="68511894" wp14:editId="1F6A4185">
            <wp:extent cx="5943600" cy="4184650"/>
            <wp:effectExtent l="0" t="0" r="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4184650"/>
                    </a:xfrm>
                    <a:prstGeom prst="rect">
                      <a:avLst/>
                    </a:prstGeom>
                  </pic:spPr>
                </pic:pic>
              </a:graphicData>
            </a:graphic>
          </wp:inline>
        </w:drawing>
      </w:r>
    </w:p>
    <w:p w14:paraId="63DB7F6A" w14:textId="490792E9" w:rsidR="0054288F" w:rsidRDefault="0054288F" w:rsidP="000C42B4">
      <w:r>
        <w:t>When deploying solutions in Azure and planning Azure subscription models for your organization, consider the following questions:</w:t>
      </w:r>
    </w:p>
    <w:p w14:paraId="0C4B8A5C" w14:textId="31E57B09" w:rsidR="0054288F" w:rsidRDefault="0054288F" w:rsidP="005729D2">
      <w:pPr>
        <w:pStyle w:val="ListParagraph"/>
        <w:numPr>
          <w:ilvl w:val="0"/>
          <w:numId w:val="147"/>
        </w:numPr>
      </w:pPr>
      <w:r>
        <w:t>What services are needed to support your solution?</w:t>
      </w:r>
    </w:p>
    <w:p w14:paraId="68CE0781" w14:textId="77777777" w:rsidR="004F1C27" w:rsidRDefault="004F1C27" w:rsidP="005729D2">
      <w:pPr>
        <w:pStyle w:val="ListParagraph"/>
        <w:numPr>
          <w:ilvl w:val="0"/>
          <w:numId w:val="147"/>
        </w:numPr>
      </w:pPr>
      <w:r>
        <w:t>From where are your customers accessing the solution?</w:t>
      </w:r>
    </w:p>
    <w:p w14:paraId="4302DC9E" w14:textId="77777777" w:rsidR="004F1C27" w:rsidRDefault="004F1C27" w:rsidP="005729D2">
      <w:pPr>
        <w:pStyle w:val="ListParagraph"/>
        <w:numPr>
          <w:ilvl w:val="0"/>
          <w:numId w:val="147"/>
        </w:numPr>
      </w:pPr>
      <w:r>
        <w:t>Do internal or external users (or both) need access to your solution?</w:t>
      </w:r>
    </w:p>
    <w:p w14:paraId="28C36D07" w14:textId="5FD683CC" w:rsidR="0054288F" w:rsidRDefault="004F1C27" w:rsidP="005729D2">
      <w:pPr>
        <w:pStyle w:val="ListParagraph"/>
        <w:numPr>
          <w:ilvl w:val="0"/>
          <w:numId w:val="147"/>
        </w:numPr>
      </w:pPr>
      <w:r>
        <w:t>Do you require geographic redundancy, and do both of your selected regions support the service and feature sets used in your solution?</w:t>
      </w:r>
    </w:p>
    <w:p w14:paraId="59AF25E4" w14:textId="6DC72067" w:rsidR="000C42B4" w:rsidRDefault="00811872" w:rsidP="000C42B4">
      <w:r>
        <w:t>The</w:t>
      </w:r>
      <w:r w:rsidR="004F1C27">
        <w:t xml:space="preserve"> answers to these questions will help govern your decisions about regions and service consumption in Microsoft Azure. For additional details about each Azure services offering, refer to </w:t>
      </w:r>
      <w:hyperlink r:id="rId32" w:history="1">
        <w:r w:rsidR="004F1C27" w:rsidRPr="00957625">
          <w:rPr>
            <w:rStyle w:val="Hyperlink"/>
          </w:rPr>
          <w:t>Directory of Azure Cloud Services</w:t>
        </w:r>
      </w:hyperlink>
      <w:r w:rsidR="004F1C27">
        <w:t>.</w:t>
      </w:r>
    </w:p>
    <w:p w14:paraId="31596CDE" w14:textId="048DB897" w:rsidR="0017502E" w:rsidRDefault="00875614" w:rsidP="005729D2">
      <w:pPr>
        <w:pStyle w:val="Heading2Numbered"/>
        <w:numPr>
          <w:ilvl w:val="1"/>
          <w:numId w:val="64"/>
        </w:numPr>
      </w:pPr>
      <w:bookmarkStart w:id="610" w:name="_Toc417935679"/>
      <w:bookmarkStart w:id="611" w:name="_Toc417936141"/>
      <w:bookmarkStart w:id="612" w:name="_Toc417947037"/>
      <w:bookmarkStart w:id="613" w:name="_Toc417982417"/>
      <w:bookmarkStart w:id="614" w:name="_Toc417985840"/>
      <w:bookmarkStart w:id="615" w:name="_Toc418000565"/>
      <w:bookmarkStart w:id="616" w:name="_Toc418003707"/>
      <w:bookmarkStart w:id="617" w:name="_Toc418011915"/>
      <w:bookmarkStart w:id="618" w:name="_Toc418014426"/>
      <w:bookmarkStart w:id="619" w:name="_Toc418029899"/>
      <w:bookmarkStart w:id="620" w:name="_Toc418036836"/>
      <w:bookmarkStart w:id="621" w:name="_Toc418061301"/>
      <w:bookmarkStart w:id="622" w:name="_Toc418080649"/>
      <w:bookmarkStart w:id="623" w:name="_Toc418081823"/>
      <w:bookmarkStart w:id="624" w:name="_Toc418083225"/>
      <w:bookmarkStart w:id="625" w:name="_Toc418095444"/>
      <w:bookmarkStart w:id="626" w:name="_Toc418156611"/>
      <w:bookmarkStart w:id="627" w:name="_Toc418167536"/>
      <w:bookmarkStart w:id="628" w:name="_Toc418185792"/>
      <w:bookmarkStart w:id="629" w:name="_Toc422941500"/>
      <w:bookmarkStart w:id="630" w:name="_Toc423116706"/>
      <w:bookmarkStart w:id="631" w:name="_Toc423117739"/>
      <w:bookmarkStart w:id="632" w:name="_Toc423117189"/>
      <w:bookmarkStart w:id="633" w:name="_Toc431288775"/>
      <w:r>
        <w:t>Cloud Computing Models</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57EA18E1" w14:textId="71BDCA8B" w:rsidR="004F1C27" w:rsidRDefault="0074237D" w:rsidP="004F1C27">
      <w:r>
        <w:t>The</w:t>
      </w:r>
      <w:r w:rsidR="004F1C27">
        <w:t xml:space="preserve"> United States National Institute of Standards and Technology (NIST) published </w:t>
      </w:r>
      <w:hyperlink r:id="rId33" w:history="1">
        <w:r w:rsidR="004F1C27" w:rsidRPr="0074237D">
          <w:rPr>
            <w:rStyle w:val="Hyperlink"/>
          </w:rPr>
          <w:t>Special Publication (SP)</w:t>
        </w:r>
        <w:r w:rsidR="004F1C27">
          <w:rPr>
            <w:rStyle w:val="Hyperlink"/>
          </w:rPr>
          <w:t> 8</w:t>
        </w:r>
        <w:r w:rsidR="004F1C27" w:rsidRPr="0074237D">
          <w:rPr>
            <w:rStyle w:val="Hyperlink"/>
          </w:rPr>
          <w:t>00-145, “The NIST Definition of Cloud Computing</w:t>
        </w:r>
      </w:hyperlink>
      <w:r w:rsidR="004F1C27">
        <w:t xml:space="preserve"> to provide a clear definition about cloud computing to United States government agencies. Since its release, it has become an unofficial standard in the computing industry when it comes to defining cloud models. </w:t>
      </w:r>
    </w:p>
    <w:p w14:paraId="3A1D112C" w14:textId="4AC9605B" w:rsidR="0074237D" w:rsidRPr="00471404" w:rsidRDefault="004F1C27" w:rsidP="004F1C27">
      <w:r>
        <w:t xml:space="preserve">Using the definitions provided in NIST SP 800-145, Microsoft Azure (and other online properties, such as Office 365) is classified as a </w:t>
      </w:r>
      <w:r w:rsidRPr="00C17379">
        <w:rPr>
          <w:i/>
        </w:rPr>
        <w:t>Public</w:t>
      </w:r>
      <w:r>
        <w:t xml:space="preserve"> cloud offering because it is owned and managed by Microsoft and is open for use by the general public. Within Microsoft Azure and other cloud solutions, Microsoft provides Infrastructure-as-a-Service (IaaS), Platform-as-a-Service (PaaS), and Software-as-a-Service (SaaS) capabilities.</w:t>
      </w:r>
    </w:p>
    <w:p w14:paraId="06D5D0DC" w14:textId="0D4FF47B" w:rsidR="001525E7" w:rsidRDefault="001525E7" w:rsidP="005729D2">
      <w:pPr>
        <w:pStyle w:val="Heading3Numbered"/>
        <w:numPr>
          <w:ilvl w:val="2"/>
          <w:numId w:val="64"/>
        </w:numPr>
      </w:pPr>
      <w:bookmarkStart w:id="634" w:name="_Toc417394942"/>
      <w:bookmarkStart w:id="635" w:name="_Toc417399159"/>
      <w:bookmarkStart w:id="636" w:name="_Toc417399318"/>
      <w:bookmarkStart w:id="637" w:name="_Toc417400365"/>
      <w:bookmarkStart w:id="638" w:name="_Toc417401213"/>
      <w:bookmarkStart w:id="639" w:name="_Toc417419526"/>
      <w:bookmarkStart w:id="640" w:name="_Toc417457295"/>
      <w:bookmarkStart w:id="641" w:name="_Toc417481871"/>
      <w:bookmarkStart w:id="642" w:name="_Toc417482129"/>
      <w:bookmarkStart w:id="643" w:name="_Toc417499848"/>
      <w:bookmarkStart w:id="644" w:name="_Toc417502670"/>
      <w:bookmarkStart w:id="645" w:name="_Toc417548210"/>
      <w:bookmarkStart w:id="646" w:name="_Toc417594442"/>
      <w:bookmarkStart w:id="647" w:name="_Toc417934341"/>
      <w:bookmarkStart w:id="648" w:name="_Toc417935680"/>
      <w:bookmarkStart w:id="649" w:name="_Toc417936142"/>
      <w:bookmarkStart w:id="650" w:name="_Toc417947038"/>
      <w:bookmarkStart w:id="651" w:name="_Toc417982418"/>
      <w:bookmarkStart w:id="652" w:name="_Toc417985841"/>
      <w:bookmarkStart w:id="653" w:name="_Toc418000566"/>
      <w:bookmarkStart w:id="654" w:name="_Toc418003708"/>
      <w:bookmarkStart w:id="655" w:name="_Toc418011916"/>
      <w:bookmarkStart w:id="656" w:name="_Toc418014427"/>
      <w:bookmarkStart w:id="657" w:name="_Toc418029900"/>
      <w:bookmarkStart w:id="658" w:name="_Toc418036837"/>
      <w:bookmarkStart w:id="659" w:name="_Toc418061302"/>
      <w:bookmarkStart w:id="660" w:name="_Toc418080650"/>
      <w:bookmarkStart w:id="661" w:name="_Toc418081824"/>
      <w:bookmarkStart w:id="662" w:name="_Toc418083226"/>
      <w:bookmarkStart w:id="663" w:name="_Toc418095445"/>
      <w:bookmarkStart w:id="664" w:name="_Toc418156612"/>
      <w:bookmarkStart w:id="665" w:name="_Toc418167537"/>
      <w:bookmarkStart w:id="666" w:name="_Toc418185793"/>
      <w:bookmarkStart w:id="667" w:name="_Toc422941501"/>
      <w:bookmarkStart w:id="668" w:name="_Toc423116707"/>
      <w:bookmarkStart w:id="669" w:name="_Toc423117740"/>
      <w:bookmarkStart w:id="670" w:name="_Toc423117190"/>
      <w:bookmarkStart w:id="671" w:name="_Toc431288776"/>
      <w:r>
        <w:t>Infrastructure as a Service (IaaS)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7CE9E81D" w14:textId="45C5EE7D" w:rsidR="00017743" w:rsidRDefault="00017743" w:rsidP="00C17379">
      <w:r>
        <w:t>NIST SP 800-145 defines Infrastructure-as-a-Service (IaaS) as “</w:t>
      </w:r>
      <w:r w:rsidRPr="00C17379">
        <w:rPr>
          <w:i/>
        </w:rPr>
        <w:t>The capability provided to the consumer is to provision processing, storage, networks, and other fundamental computing resources where the consumer is able to deploy and run arbitrary software, which can include operating systems and applications. The consumer does not manage or control the underlying cloud infrastructure but has control over operating systems, storage, and deployed applications; and possibly limited control of select networking components.</w:t>
      </w:r>
      <w:r>
        <w:t xml:space="preserve">” </w:t>
      </w:r>
    </w:p>
    <w:p w14:paraId="264977E5" w14:textId="58C39431" w:rsidR="00BF507F" w:rsidRPr="000714CD" w:rsidRDefault="004F1C27" w:rsidP="00C17379">
      <w:r>
        <w:t>Deploying an application and managing an IaaS environment provides the most flexibility that Azure has to offer. With any deployment choice, there will be pros and cons that must be considered. The greatest benefit of an IaaS implementation is that it offers the greatest amount of control from the operating system to manage access to the application.</w:t>
      </w:r>
    </w:p>
    <w:p w14:paraId="7537D842" w14:textId="33FAD5A4" w:rsidR="00875614" w:rsidRPr="000714CD" w:rsidRDefault="002F6A5B" w:rsidP="00C17379">
      <w:bookmarkStart w:id="672" w:name="_Toc417394943"/>
      <w:bookmarkStart w:id="673" w:name="_Toc417399160"/>
      <w:bookmarkStart w:id="674" w:name="_Toc417399319"/>
      <w:bookmarkStart w:id="675" w:name="_Toc417400366"/>
      <w:bookmarkStart w:id="676" w:name="_Toc417401214"/>
      <w:bookmarkStart w:id="677" w:name="_Toc417419527"/>
      <w:r>
        <w:t>IaaS is most like traditional IT delivery. Customers provision their own virtual machines, define their own networks, and allocate their own virtual hard disks. IaaS shifts the burden of operating datacenters, virtualization hosts, and hypervisors. In addition, the business continuity and disaster recovery infrastructure is shifted from the enterprise to the service provider.</w:t>
      </w:r>
      <w:r w:rsidR="00875614">
        <w:t xml:space="preserve"> </w:t>
      </w:r>
    </w:p>
    <w:p w14:paraId="4BF710C6" w14:textId="343812D8" w:rsidR="001525E7" w:rsidRDefault="001525E7" w:rsidP="005729D2">
      <w:pPr>
        <w:pStyle w:val="Heading3Numbered"/>
        <w:numPr>
          <w:ilvl w:val="2"/>
          <w:numId w:val="64"/>
        </w:numPr>
      </w:pPr>
      <w:bookmarkStart w:id="678" w:name="_Toc417457296"/>
      <w:bookmarkStart w:id="679" w:name="_Toc417481872"/>
      <w:bookmarkStart w:id="680" w:name="_Toc417482130"/>
      <w:bookmarkStart w:id="681" w:name="_Toc417499849"/>
      <w:bookmarkStart w:id="682" w:name="_Toc417502671"/>
      <w:bookmarkStart w:id="683" w:name="_Toc417548211"/>
      <w:bookmarkStart w:id="684" w:name="_Toc417594443"/>
      <w:bookmarkStart w:id="685" w:name="_Toc417934342"/>
      <w:bookmarkStart w:id="686" w:name="_Toc417935681"/>
      <w:bookmarkStart w:id="687" w:name="_Toc417936143"/>
      <w:bookmarkStart w:id="688" w:name="_Toc417947039"/>
      <w:bookmarkStart w:id="689" w:name="_Toc417982419"/>
      <w:bookmarkStart w:id="690" w:name="_Toc417985842"/>
      <w:bookmarkStart w:id="691" w:name="_Toc418000567"/>
      <w:bookmarkStart w:id="692" w:name="_Toc418003709"/>
      <w:bookmarkStart w:id="693" w:name="_Toc418011917"/>
      <w:bookmarkStart w:id="694" w:name="_Toc418014428"/>
      <w:bookmarkStart w:id="695" w:name="_Toc418029901"/>
      <w:bookmarkStart w:id="696" w:name="_Toc418036838"/>
      <w:bookmarkStart w:id="697" w:name="_Toc418061303"/>
      <w:bookmarkStart w:id="698" w:name="_Toc418080651"/>
      <w:bookmarkStart w:id="699" w:name="_Toc418081825"/>
      <w:bookmarkStart w:id="700" w:name="_Toc418083227"/>
      <w:bookmarkStart w:id="701" w:name="_Toc418095446"/>
      <w:bookmarkStart w:id="702" w:name="_Toc418156613"/>
      <w:bookmarkStart w:id="703" w:name="_Toc418167538"/>
      <w:bookmarkStart w:id="704" w:name="_Toc418185794"/>
      <w:bookmarkStart w:id="705" w:name="_Toc422941502"/>
      <w:bookmarkStart w:id="706" w:name="_Toc423116708"/>
      <w:bookmarkStart w:id="707" w:name="_Toc423117741"/>
      <w:bookmarkStart w:id="708" w:name="_Toc423117191"/>
      <w:bookmarkStart w:id="709" w:name="_Toc431288777"/>
      <w:r>
        <w:t>Platform as a Service (PaaS)</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45B559A2" w14:textId="351C11DC" w:rsidR="00017743" w:rsidRDefault="00017743" w:rsidP="004B285C">
      <w:r>
        <w:t>NIST SP 800-145 defines Platform-as-a-Service (PaaS) as “</w:t>
      </w:r>
      <w:r w:rsidRPr="00C17379">
        <w:rPr>
          <w:i/>
        </w:rPr>
        <w:t>The capability provided to the consumer is to deploy onto the cloud infrastructure consumer-created or acquired applications created using programming languages, libraries, services, and tools supported by the provider. The consumer does not manage or control the underlying cloud infrastructure including network, servers, operating systems, or storage, but has control over the deployed applications and possibly configuration settings for the application-hosting environment</w:t>
      </w:r>
      <w:r w:rsidRPr="00017743">
        <w:t>.</w:t>
      </w:r>
      <w:r>
        <w:t>”</w:t>
      </w:r>
    </w:p>
    <w:p w14:paraId="0956512B" w14:textId="77777777" w:rsidR="002F6A5B" w:rsidRDefault="002F6A5B" w:rsidP="002F6A5B">
      <w:bookmarkStart w:id="710" w:name="_Toc417394944"/>
      <w:bookmarkStart w:id="711" w:name="_Toc417399161"/>
      <w:bookmarkStart w:id="712" w:name="_Toc417399320"/>
      <w:bookmarkStart w:id="713" w:name="_Toc417400367"/>
      <w:bookmarkStart w:id="714" w:name="_Toc417401215"/>
      <w:bookmarkStart w:id="715" w:name="_Toc417419528"/>
      <w:r>
        <w:t xml:space="preserve">With PaaS applications, many of the layers of management are removed and more flexibility is provided than an application running on IaaS instances. Specifically, there is no need to manage the operating system, including patching, which reduces some of the complexity of designing the deployment. </w:t>
      </w:r>
    </w:p>
    <w:p w14:paraId="4F748356" w14:textId="77777777" w:rsidR="002F6A5B" w:rsidRPr="004B285C" w:rsidRDefault="002F6A5B" w:rsidP="002F6A5B">
      <w:r>
        <w:t>A significant benefit of deploying an application running in a PaaS environment is the ability to quickly and automatically scale up the application to meet the demand when traffic is high, and inversely scale down when the demand is less. Deploying an application in the PaaS model is very cost effective from a scalability and manageability perspective.</w:t>
      </w:r>
    </w:p>
    <w:p w14:paraId="43DF543B" w14:textId="77777777" w:rsidR="002F6A5B" w:rsidRPr="004B285C" w:rsidRDefault="002F6A5B" w:rsidP="002F6A5B">
      <w:r>
        <w:t>PaaS extends IaaS further by providing multitenant services that customers subscribe to. Platform services are a transformational computing model that can dramatically reduce the costs and increase the agility of delivering applications to end users internally and externally. PaaS users bring their own application code but leverage robust platforms, which they do not need to maintain.</w:t>
      </w:r>
    </w:p>
    <w:p w14:paraId="43510299" w14:textId="604B5E29" w:rsidR="001525E7" w:rsidRDefault="001525E7" w:rsidP="005729D2">
      <w:pPr>
        <w:pStyle w:val="Heading3Numbered"/>
        <w:numPr>
          <w:ilvl w:val="2"/>
          <w:numId w:val="64"/>
        </w:numPr>
      </w:pPr>
      <w:bookmarkStart w:id="716" w:name="_Toc417457297"/>
      <w:bookmarkStart w:id="717" w:name="_Toc417481873"/>
      <w:bookmarkStart w:id="718" w:name="_Toc417482131"/>
      <w:bookmarkStart w:id="719" w:name="_Toc417499850"/>
      <w:bookmarkStart w:id="720" w:name="_Toc417502672"/>
      <w:bookmarkStart w:id="721" w:name="_Toc417548212"/>
      <w:bookmarkStart w:id="722" w:name="_Toc417594444"/>
      <w:bookmarkStart w:id="723" w:name="_Toc417934343"/>
      <w:bookmarkStart w:id="724" w:name="_Toc417935682"/>
      <w:bookmarkStart w:id="725" w:name="_Toc417936144"/>
      <w:bookmarkStart w:id="726" w:name="_Toc417947040"/>
      <w:bookmarkStart w:id="727" w:name="_Toc417982420"/>
      <w:bookmarkStart w:id="728" w:name="_Toc417985843"/>
      <w:bookmarkStart w:id="729" w:name="_Toc418000568"/>
      <w:bookmarkStart w:id="730" w:name="_Toc418003710"/>
      <w:bookmarkStart w:id="731" w:name="_Toc418011918"/>
      <w:bookmarkStart w:id="732" w:name="_Toc418014429"/>
      <w:bookmarkStart w:id="733" w:name="_Toc418029902"/>
      <w:bookmarkStart w:id="734" w:name="_Toc418036839"/>
      <w:bookmarkStart w:id="735" w:name="_Toc418061304"/>
      <w:bookmarkStart w:id="736" w:name="_Toc418080652"/>
      <w:bookmarkStart w:id="737" w:name="_Toc418081826"/>
      <w:bookmarkStart w:id="738" w:name="_Toc418083228"/>
      <w:bookmarkStart w:id="739" w:name="_Toc418095447"/>
      <w:bookmarkStart w:id="740" w:name="_Toc418156614"/>
      <w:bookmarkStart w:id="741" w:name="_Toc418167539"/>
      <w:bookmarkStart w:id="742" w:name="_Toc418185795"/>
      <w:bookmarkStart w:id="743" w:name="_Toc422941503"/>
      <w:bookmarkStart w:id="744" w:name="_Toc423116709"/>
      <w:bookmarkStart w:id="745" w:name="_Toc423117742"/>
      <w:bookmarkStart w:id="746" w:name="_Toc423117192"/>
      <w:bookmarkStart w:id="747" w:name="_Toc431288778"/>
      <w:r>
        <w:t>Software as a Service (SaaS)</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50720BAD" w14:textId="5434926B" w:rsidR="00017743" w:rsidRDefault="00017743" w:rsidP="00BF507F">
      <w:r>
        <w:t>NIST SP 800-145 defines Software-as-a-Service (SaaS) as “</w:t>
      </w:r>
      <w:r w:rsidRPr="00C17379">
        <w:rPr>
          <w:i/>
        </w:rPr>
        <w:t>The capability provided to the consumer is to use the provider’s applications running on a cloud infrastructure. The applications are accessible from various client devices through either a thin client interface, such as a web browser (e.g., web-based email), or a program interface. The consumer does not manage or control the underlying cloud infrastructure including network, servers, operating systems, storage, or even individual application capabilities, with the possible exception of limited user-specific application configuration settings.</w:t>
      </w:r>
      <w:r>
        <w:t>”</w:t>
      </w:r>
    </w:p>
    <w:p w14:paraId="6E3267FB" w14:textId="77777777" w:rsidR="002F6A5B" w:rsidRDefault="002F6A5B" w:rsidP="002F6A5B">
      <w:bookmarkStart w:id="748" w:name="_Toc417394945"/>
      <w:bookmarkStart w:id="749" w:name="_Toc417399162"/>
      <w:bookmarkStart w:id="750" w:name="_Toc417399321"/>
      <w:bookmarkStart w:id="751" w:name="_Toc417400368"/>
      <w:bookmarkStart w:id="752" w:name="_Toc417401216"/>
      <w:bookmarkStart w:id="753" w:name="_Toc417419529"/>
      <w:bookmarkStart w:id="754" w:name="_Toc417457298"/>
      <w:bookmarkStart w:id="755" w:name="_Toc417481874"/>
      <w:bookmarkStart w:id="756" w:name="_Toc417482132"/>
      <w:bookmarkStart w:id="757" w:name="_Toc417499851"/>
      <w:bookmarkStart w:id="758" w:name="_Toc417502673"/>
      <w:bookmarkStart w:id="759" w:name="_Toc417548213"/>
      <w:bookmarkStart w:id="760" w:name="_Toc417594445"/>
      <w:r>
        <w:t>Choosing an Azure SaaS offering provides the least amount of responsibility on the customer's side. At the same time, providing a lesser amount of flexibility in comparison with an IaaS or PaaS approach.</w:t>
      </w:r>
    </w:p>
    <w:p w14:paraId="1742482E" w14:textId="1ECC0730" w:rsidR="006F3001" w:rsidRDefault="002F6A5B" w:rsidP="002F6A5B">
      <w:r>
        <w:t>SaaS is the real promise of cloud computing. By integrating applications from one or multiple vendors, customers need to bring only their data and configurations. They can eliminate the costs of building and maintaining applications and platform services and still deliver the secure, robust solutions to the end users.</w:t>
      </w:r>
      <w:r w:rsidR="00BF507F">
        <w:t xml:space="preserve"> </w:t>
      </w:r>
    </w:p>
    <w:p w14:paraId="28F24804" w14:textId="5973C909" w:rsidR="001525E7" w:rsidRDefault="001525E7" w:rsidP="005729D2">
      <w:pPr>
        <w:pStyle w:val="Heading3Numbered"/>
        <w:numPr>
          <w:ilvl w:val="2"/>
          <w:numId w:val="64"/>
        </w:numPr>
      </w:pPr>
      <w:bookmarkStart w:id="761" w:name="_Toc417947043"/>
      <w:bookmarkStart w:id="762" w:name="_Toc417982421"/>
      <w:bookmarkStart w:id="763" w:name="_Toc417985844"/>
      <w:bookmarkStart w:id="764" w:name="_Toc418000569"/>
      <w:bookmarkStart w:id="765" w:name="_Toc418003711"/>
      <w:bookmarkStart w:id="766" w:name="_Toc418011919"/>
      <w:bookmarkStart w:id="767" w:name="_Toc418014430"/>
      <w:bookmarkStart w:id="768" w:name="_Toc418029903"/>
      <w:bookmarkStart w:id="769" w:name="_Toc418036840"/>
      <w:bookmarkStart w:id="770" w:name="_Toc418061305"/>
      <w:bookmarkStart w:id="771" w:name="_Toc418080653"/>
      <w:bookmarkStart w:id="772" w:name="_Toc418081827"/>
      <w:bookmarkStart w:id="773" w:name="_Toc418083229"/>
      <w:bookmarkStart w:id="774" w:name="_Toc418095448"/>
      <w:bookmarkStart w:id="775" w:name="_Toc418156615"/>
      <w:bookmarkStart w:id="776" w:name="_Toc418167540"/>
      <w:bookmarkStart w:id="777" w:name="_Toc418185796"/>
      <w:bookmarkStart w:id="778" w:name="_Toc422941504"/>
      <w:bookmarkStart w:id="779" w:name="_Toc423116710"/>
      <w:bookmarkStart w:id="780" w:name="_Toc423117743"/>
      <w:bookmarkStart w:id="781" w:name="_Toc423117193"/>
      <w:bookmarkStart w:id="782" w:name="_Toc431288779"/>
      <w:r>
        <w:t>Hybrid</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4C076ECE" w14:textId="552DA519" w:rsidR="001A1693" w:rsidRDefault="00F223DB" w:rsidP="007E1EBD">
      <w:r>
        <w:t>Many</w:t>
      </w:r>
      <w:r w:rsidR="002F6A5B">
        <w:t xml:space="preserve"> scenarios need to implement a blend of Azure offerings to meet the needs of their organization and application requirements. The following diagram highlights the main differences from a manageability perspective, when using public cloud SaaS, PaaS, IaaS and On-Premises implementations</w:t>
      </w:r>
    </w:p>
    <w:p w14:paraId="39D46584" w14:textId="52AFB04A" w:rsidR="00BF507F" w:rsidRDefault="000C3905" w:rsidP="00B964C3">
      <w:pPr>
        <w:jc w:val="center"/>
      </w:pPr>
      <w:r>
        <w:object w:dxaOrig="5689" w:dyaOrig="7465" w14:anchorId="6DF3BB91">
          <v:shape id="_x0000_i1026" type="#_x0000_t75" style="width:279pt;height:375pt" o:ole="">
            <v:imagedata r:id="rId34" o:title=""/>
          </v:shape>
          <o:OLEObject Type="Embed" ProgID="Visio.Drawing.15" ShapeID="_x0000_i1026" DrawAspect="Content" ObjectID="_1508841454" r:id="rId35"/>
        </w:object>
      </w:r>
    </w:p>
    <w:p w14:paraId="5B832D3B" w14:textId="0832CF3C" w:rsidR="007D48B0" w:rsidRDefault="001A1693" w:rsidP="007E1EBD">
      <w:r>
        <w:t xml:space="preserve">This </w:t>
      </w:r>
      <w:r w:rsidR="002F6A5B">
        <w:t>is important to understand when making a decision about implementation, because each offering has a different impact on the cost, security, scalability, and staff needed to maintain the application or environment.</w:t>
      </w:r>
    </w:p>
    <w:p w14:paraId="6C2F15E0" w14:textId="00053C8C" w:rsidR="00062059" w:rsidRDefault="00062059" w:rsidP="005729D2">
      <w:pPr>
        <w:pStyle w:val="Heading2Numbered"/>
        <w:numPr>
          <w:ilvl w:val="1"/>
          <w:numId w:val="64"/>
        </w:numPr>
      </w:pPr>
      <w:bookmarkStart w:id="783" w:name="_Toc417457300"/>
      <w:bookmarkStart w:id="784" w:name="_Toc417481876"/>
      <w:bookmarkStart w:id="785" w:name="_Toc417482134"/>
      <w:bookmarkStart w:id="786" w:name="_Toc417499853"/>
      <w:bookmarkStart w:id="787" w:name="_Toc417502675"/>
      <w:bookmarkStart w:id="788" w:name="_Toc417548215"/>
      <w:bookmarkStart w:id="789" w:name="_Toc417594447"/>
      <w:bookmarkStart w:id="790" w:name="_Toc414892068"/>
      <w:bookmarkStart w:id="791" w:name="_Toc414960094"/>
      <w:bookmarkStart w:id="792" w:name="_Toc414969065"/>
      <w:bookmarkStart w:id="793" w:name="_Toc415011287"/>
      <w:bookmarkStart w:id="794" w:name="_Toc415039977"/>
      <w:bookmarkStart w:id="795" w:name="_Toc415572332"/>
      <w:bookmarkStart w:id="796" w:name="_Toc415735497"/>
      <w:bookmarkStart w:id="797" w:name="_Toc415814078"/>
      <w:bookmarkStart w:id="798" w:name="_Toc416343813"/>
      <w:bookmarkStart w:id="799" w:name="_Toc416863084"/>
      <w:bookmarkStart w:id="800" w:name="_Toc417314687"/>
      <w:bookmarkStart w:id="801" w:name="_Toc417323704"/>
      <w:bookmarkStart w:id="802" w:name="_Toc417326793"/>
      <w:bookmarkStart w:id="803" w:name="_Toc417330341"/>
      <w:bookmarkStart w:id="804" w:name="_Toc417394947"/>
      <w:bookmarkStart w:id="805" w:name="_Toc417399164"/>
      <w:bookmarkStart w:id="806" w:name="_Toc417399323"/>
      <w:bookmarkStart w:id="807" w:name="_Toc417400370"/>
      <w:bookmarkStart w:id="808" w:name="_Toc417401218"/>
      <w:bookmarkStart w:id="809" w:name="_Toc417419531"/>
      <w:bookmarkStart w:id="810" w:name="_Toc417934345"/>
      <w:bookmarkStart w:id="811" w:name="_Toc417935684"/>
      <w:bookmarkStart w:id="812" w:name="_Toc417936146"/>
      <w:bookmarkStart w:id="813" w:name="_Toc417947044"/>
      <w:bookmarkStart w:id="814" w:name="_Toc417982422"/>
      <w:bookmarkStart w:id="815" w:name="_Toc417985845"/>
      <w:bookmarkStart w:id="816" w:name="_Toc418000570"/>
      <w:bookmarkStart w:id="817" w:name="_Toc418003712"/>
      <w:bookmarkStart w:id="818" w:name="_Toc418011920"/>
      <w:bookmarkStart w:id="819" w:name="_Toc418014431"/>
      <w:bookmarkStart w:id="820" w:name="_Toc418029904"/>
      <w:bookmarkStart w:id="821" w:name="_Toc418036841"/>
      <w:bookmarkStart w:id="822" w:name="_Toc418061306"/>
      <w:bookmarkStart w:id="823" w:name="_Toc418080654"/>
      <w:bookmarkStart w:id="824" w:name="_Toc418081828"/>
      <w:bookmarkStart w:id="825" w:name="_Toc418083230"/>
      <w:bookmarkStart w:id="826" w:name="_Toc418095449"/>
      <w:bookmarkStart w:id="827" w:name="_Toc418156616"/>
      <w:bookmarkStart w:id="828" w:name="_Toc418167541"/>
      <w:bookmarkStart w:id="829" w:name="_Toc418185797"/>
      <w:bookmarkStart w:id="830" w:name="_Toc422941505"/>
      <w:bookmarkStart w:id="831" w:name="_Toc423116711"/>
      <w:bookmarkStart w:id="832" w:name="_Toc423117744"/>
      <w:bookmarkStart w:id="833" w:name="_Toc423117194"/>
      <w:bookmarkStart w:id="834" w:name="_Toc431288780"/>
      <w:r>
        <w:t>Azure Datacenter Model</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4D6FA53D" w14:textId="3CB07CB2" w:rsidR="00017743" w:rsidRPr="00471404" w:rsidRDefault="00017743" w:rsidP="00C17379">
      <w:r>
        <w:t>Like</w:t>
      </w:r>
      <w:r w:rsidR="00B60798">
        <w:t xml:space="preserve"> most cloud computing services, Microsoft Azure’s cloud computing capacity and capabilities are delivered at hyper scale across a series of well-connected global datacenters. These datacenters are represented in constructs such as Azure regions, which are intended to be easily understood by customers and can be easily consumed based on customer needs. This section will review the Azure datacenter model and provide an overview of the constructs established for their use by customers.</w:t>
      </w:r>
      <w:r>
        <w:t xml:space="preserve"> </w:t>
      </w:r>
    </w:p>
    <w:p w14:paraId="43999FE2" w14:textId="0D79F27D" w:rsidR="00CD01A6" w:rsidRPr="00CD01A6" w:rsidRDefault="00CD01A6" w:rsidP="005729D2">
      <w:pPr>
        <w:pStyle w:val="Heading3Numbered"/>
        <w:numPr>
          <w:ilvl w:val="2"/>
          <w:numId w:val="64"/>
        </w:numPr>
      </w:pPr>
      <w:bookmarkStart w:id="835" w:name="_Toc417457301"/>
      <w:bookmarkStart w:id="836" w:name="_Toc417481877"/>
      <w:bookmarkStart w:id="837" w:name="_Toc417482135"/>
      <w:bookmarkStart w:id="838" w:name="_Toc417499854"/>
      <w:bookmarkStart w:id="839" w:name="_Toc417502676"/>
      <w:bookmarkStart w:id="840" w:name="_Toc417548216"/>
      <w:bookmarkStart w:id="841" w:name="_Toc417594448"/>
      <w:bookmarkStart w:id="842" w:name="_Toc417934346"/>
      <w:bookmarkStart w:id="843" w:name="_Toc417935685"/>
      <w:bookmarkStart w:id="844" w:name="_Toc417936147"/>
      <w:bookmarkStart w:id="845" w:name="_Toc417947045"/>
      <w:bookmarkStart w:id="846" w:name="_Toc417982423"/>
      <w:bookmarkStart w:id="847" w:name="_Toc417985846"/>
      <w:bookmarkStart w:id="848" w:name="_Toc418000571"/>
      <w:bookmarkStart w:id="849" w:name="_Toc418003713"/>
      <w:bookmarkStart w:id="850" w:name="_Toc418011921"/>
      <w:bookmarkStart w:id="851" w:name="_Toc418014569"/>
      <w:bookmarkStart w:id="852" w:name="_Toc418014432"/>
      <w:bookmarkStart w:id="853" w:name="_Toc418029905"/>
      <w:bookmarkStart w:id="854" w:name="_Toc418036842"/>
      <w:bookmarkStart w:id="855" w:name="_Toc418061307"/>
      <w:bookmarkStart w:id="856" w:name="_Toc418080655"/>
      <w:bookmarkStart w:id="857" w:name="_Toc418081829"/>
      <w:bookmarkStart w:id="858" w:name="_Toc418083231"/>
      <w:bookmarkStart w:id="859" w:name="_Toc418095450"/>
      <w:bookmarkStart w:id="860" w:name="_Toc418156617"/>
      <w:bookmarkStart w:id="861" w:name="_Toc418167542"/>
      <w:bookmarkStart w:id="862" w:name="_Toc418185798"/>
      <w:bookmarkStart w:id="863" w:name="_Toc422941506"/>
      <w:bookmarkStart w:id="864" w:name="_Toc423116712"/>
      <w:bookmarkStart w:id="865" w:name="_Toc423117745"/>
      <w:bookmarkStart w:id="866" w:name="_Toc423117195"/>
      <w:bookmarkStart w:id="867" w:name="_Toc431288781"/>
      <w:r>
        <w:t xml:space="preserve">Global </w:t>
      </w:r>
      <w:r w:rsidR="00017743">
        <w:t xml:space="preserve">Datacenter </w:t>
      </w:r>
      <w:r>
        <w:t>Presence</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5B27E978" w14:textId="7C8D68DE" w:rsidR="00773C10" w:rsidRDefault="004F6301" w:rsidP="00773C10">
      <w:r>
        <w:rPr>
          <w:noProof/>
        </w:rPr>
        <w:drawing>
          <wp:inline distT="0" distB="0" distL="0" distR="0" wp14:anchorId="57FD07C1" wp14:editId="7EEA9DC8">
            <wp:extent cx="5943600" cy="268859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2688590"/>
                    </a:xfrm>
                    <a:prstGeom prst="rect">
                      <a:avLst/>
                    </a:prstGeom>
                  </pic:spPr>
                </pic:pic>
              </a:graphicData>
            </a:graphic>
          </wp:inline>
        </w:drawing>
      </w:r>
    </w:p>
    <w:p w14:paraId="6CFF8AA0" w14:textId="7D8FDB97" w:rsidR="00BF507F" w:rsidRDefault="00BF507F">
      <w:pPr>
        <w:rPr>
          <w:rFonts w:eastAsia="Calibri" w:cs="Segoe UI"/>
        </w:rPr>
      </w:pPr>
      <w:r w:rsidRPr="00BF507F">
        <w:rPr>
          <w:rFonts w:eastAsia="Calibri" w:cs="Segoe UI"/>
        </w:rPr>
        <w:t xml:space="preserve">Microsoft Azure is deployed around the world in strategic areas that best meet the demand of customers. These areas are known as </w:t>
      </w:r>
      <w:r w:rsidR="000F3E81" w:rsidRPr="000F3E81">
        <w:rPr>
          <w:rFonts w:eastAsia="Calibri" w:cs="Segoe UI"/>
          <w:i/>
        </w:rPr>
        <w:t>r</w:t>
      </w:r>
      <w:r w:rsidRPr="00C17379">
        <w:rPr>
          <w:rFonts w:eastAsia="Calibri" w:cs="Segoe UI"/>
          <w:i/>
        </w:rPr>
        <w:t>egions</w:t>
      </w:r>
      <w:r w:rsidRPr="00BF507F">
        <w:rPr>
          <w:rFonts w:eastAsia="Calibri" w:cs="Segoe UI"/>
        </w:rPr>
        <w:t xml:space="preserve">, and are placed </w:t>
      </w:r>
      <w:r w:rsidR="00017743">
        <w:rPr>
          <w:rFonts w:eastAsia="Calibri" w:cs="Segoe UI"/>
        </w:rPr>
        <w:t xml:space="preserve">at distances </w:t>
      </w:r>
      <w:r w:rsidRPr="00BF507F">
        <w:rPr>
          <w:rFonts w:eastAsia="Calibri" w:cs="Segoe UI"/>
        </w:rPr>
        <w:t xml:space="preserve">greater than 300 miles from each other to help avoid the possibility that a common natural disaster would affect more than one region at a time. </w:t>
      </w:r>
    </w:p>
    <w:p w14:paraId="222E293F" w14:textId="77777777" w:rsidR="00700559" w:rsidRDefault="00700559" w:rsidP="005729D2">
      <w:pPr>
        <w:pStyle w:val="Heading3Numbered"/>
        <w:numPr>
          <w:ilvl w:val="2"/>
          <w:numId w:val="64"/>
        </w:numPr>
      </w:pPr>
      <w:bookmarkStart w:id="868" w:name="_Toc417934347"/>
      <w:bookmarkStart w:id="869" w:name="_Toc417935686"/>
      <w:bookmarkStart w:id="870" w:name="_Toc417936148"/>
      <w:bookmarkStart w:id="871" w:name="_Toc417947046"/>
      <w:bookmarkStart w:id="872" w:name="_Toc417982424"/>
      <w:bookmarkStart w:id="873" w:name="_Toc417985847"/>
      <w:bookmarkStart w:id="874" w:name="_Toc418000572"/>
      <w:bookmarkStart w:id="875" w:name="_Toc418003714"/>
      <w:bookmarkStart w:id="876" w:name="_Toc418011922"/>
      <w:bookmarkStart w:id="877" w:name="_Toc418014570"/>
      <w:bookmarkStart w:id="878" w:name="_Toc418014433"/>
      <w:bookmarkStart w:id="879" w:name="_Toc418029906"/>
      <w:bookmarkStart w:id="880" w:name="_Toc418036843"/>
      <w:bookmarkStart w:id="881" w:name="_Toc418061308"/>
      <w:bookmarkStart w:id="882" w:name="_Toc418080656"/>
      <w:bookmarkStart w:id="883" w:name="_Toc418081830"/>
      <w:bookmarkStart w:id="884" w:name="_Toc418083232"/>
      <w:bookmarkStart w:id="885" w:name="_Toc418095451"/>
      <w:bookmarkStart w:id="886" w:name="_Toc418156618"/>
      <w:bookmarkStart w:id="887" w:name="_Toc418167543"/>
      <w:bookmarkStart w:id="888" w:name="_Toc418185799"/>
      <w:bookmarkStart w:id="889" w:name="_Toc422941507"/>
      <w:bookmarkStart w:id="890" w:name="_Toc423116713"/>
      <w:bookmarkStart w:id="891" w:name="_Toc423117746"/>
      <w:bookmarkStart w:id="892" w:name="_Toc423117196"/>
      <w:bookmarkStart w:id="893" w:name="_Toc431288782"/>
      <w:r>
        <w:t>Azure Regions</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4892D3D6" w14:textId="1C623EE4" w:rsidR="000F3E81" w:rsidRPr="00700559" w:rsidRDefault="00700559" w:rsidP="000F3E81">
      <w:pPr>
        <w:rPr>
          <w:rFonts w:eastAsia="Times New Roman"/>
        </w:rPr>
      </w:pPr>
      <w:r w:rsidRPr="00700559">
        <w:rPr>
          <w:rFonts w:eastAsia="Times New Roman"/>
          <w:color w:val="000000"/>
        </w:rPr>
        <w:t>When</w:t>
      </w:r>
      <w:r w:rsidR="000F3E81" w:rsidRPr="00700559">
        <w:rPr>
          <w:rFonts w:eastAsia="Times New Roman"/>
          <w:color w:val="000000"/>
        </w:rPr>
        <w:t xml:space="preserve"> it comes to deploying an application or </w:t>
      </w:r>
      <w:r w:rsidR="000F3E81" w:rsidRPr="00700559">
        <w:rPr>
          <w:rFonts w:eastAsia="Times New Roman"/>
        </w:rPr>
        <w:t>service in Microsoft Azure, there needs to be an understanding about the following:</w:t>
      </w:r>
    </w:p>
    <w:p w14:paraId="43D58E3C" w14:textId="77777777" w:rsidR="000F3E81" w:rsidRPr="00017743" w:rsidRDefault="000F3E81" w:rsidP="005729D2">
      <w:pPr>
        <w:pStyle w:val="ListParagraph"/>
        <w:numPr>
          <w:ilvl w:val="0"/>
          <w:numId w:val="148"/>
        </w:numPr>
        <w:rPr>
          <w:rFonts w:eastAsia="Times New Roman"/>
        </w:rPr>
      </w:pPr>
      <w:r w:rsidRPr="00017743">
        <w:rPr>
          <w:rFonts w:eastAsia="Times New Roman"/>
        </w:rPr>
        <w:t>What is a Region?</w:t>
      </w:r>
    </w:p>
    <w:p w14:paraId="72BE774D" w14:textId="77777777" w:rsidR="000F3E81" w:rsidRPr="00C17379" w:rsidRDefault="000F3E81" w:rsidP="005729D2">
      <w:pPr>
        <w:pStyle w:val="ListParagraph"/>
        <w:numPr>
          <w:ilvl w:val="0"/>
          <w:numId w:val="148"/>
        </w:numPr>
        <w:rPr>
          <w:rFonts w:eastAsia="Times New Roman"/>
          <w:color w:val="000000"/>
        </w:rPr>
      </w:pPr>
      <w:r w:rsidRPr="00C17379">
        <w:rPr>
          <w:rFonts w:eastAsia="Times New Roman"/>
          <w:color w:val="000000"/>
        </w:rPr>
        <w:t xml:space="preserve">Where are </w:t>
      </w:r>
      <w:r>
        <w:rPr>
          <w:rFonts w:eastAsia="Times New Roman"/>
          <w:color w:val="000000"/>
        </w:rPr>
        <w:t>the regions</w:t>
      </w:r>
      <w:r w:rsidRPr="00C17379">
        <w:rPr>
          <w:rFonts w:eastAsia="Times New Roman"/>
          <w:color w:val="000000"/>
        </w:rPr>
        <w:t xml:space="preserve"> located? </w:t>
      </w:r>
    </w:p>
    <w:p w14:paraId="0FF3A735" w14:textId="77777777" w:rsidR="000F3E81" w:rsidRPr="00C17379" w:rsidRDefault="000F3E81" w:rsidP="005729D2">
      <w:pPr>
        <w:pStyle w:val="ListParagraph"/>
        <w:numPr>
          <w:ilvl w:val="0"/>
          <w:numId w:val="148"/>
        </w:numPr>
        <w:rPr>
          <w:rFonts w:eastAsia="Times New Roman"/>
          <w:color w:val="000000"/>
        </w:rPr>
      </w:pPr>
      <w:r w:rsidRPr="00C17379">
        <w:rPr>
          <w:rFonts w:eastAsia="Times New Roman"/>
          <w:color w:val="000000"/>
        </w:rPr>
        <w:t xml:space="preserve">What are their capabilities </w:t>
      </w:r>
      <w:r>
        <w:rPr>
          <w:rFonts w:eastAsia="Times New Roman"/>
          <w:color w:val="000000"/>
        </w:rPr>
        <w:t xml:space="preserve">of regions </w:t>
      </w:r>
      <w:r w:rsidRPr="00C17379">
        <w:rPr>
          <w:rFonts w:eastAsia="Times New Roman"/>
          <w:color w:val="000000"/>
        </w:rPr>
        <w:t>with respect to each other?</w:t>
      </w:r>
    </w:p>
    <w:p w14:paraId="116254D4" w14:textId="77777777" w:rsidR="000F3E81" w:rsidRPr="00C17379" w:rsidRDefault="000F3E81" w:rsidP="005729D2">
      <w:pPr>
        <w:pStyle w:val="ListParagraph"/>
        <w:numPr>
          <w:ilvl w:val="0"/>
          <w:numId w:val="148"/>
        </w:numPr>
        <w:rPr>
          <w:rFonts w:eastAsia="Times New Roman"/>
          <w:color w:val="000000"/>
        </w:rPr>
      </w:pPr>
      <w:r>
        <w:rPr>
          <w:rFonts w:eastAsia="Times New Roman"/>
          <w:color w:val="000000"/>
        </w:rPr>
        <w:t>What are the p</w:t>
      </w:r>
      <w:r w:rsidRPr="00C17379">
        <w:rPr>
          <w:rFonts w:eastAsia="Times New Roman"/>
          <w:color w:val="000000"/>
        </w:rPr>
        <w:t>review features vs</w:t>
      </w:r>
      <w:r>
        <w:rPr>
          <w:rFonts w:eastAsia="Times New Roman"/>
          <w:color w:val="000000"/>
        </w:rPr>
        <w:t>.</w:t>
      </w:r>
      <w:r w:rsidRPr="00C17379">
        <w:rPr>
          <w:rFonts w:eastAsia="Times New Roman"/>
          <w:color w:val="000000"/>
        </w:rPr>
        <w:t xml:space="preserve"> general availability</w:t>
      </w:r>
      <w:r>
        <w:rPr>
          <w:rFonts w:eastAsia="Times New Roman"/>
          <w:color w:val="000000"/>
        </w:rPr>
        <w:t xml:space="preserve"> within a region?</w:t>
      </w:r>
    </w:p>
    <w:p w14:paraId="045D01D1" w14:textId="77777777" w:rsidR="000F3E81" w:rsidRPr="00C17379" w:rsidRDefault="000F3E81" w:rsidP="005729D2">
      <w:pPr>
        <w:pStyle w:val="ListParagraph"/>
        <w:numPr>
          <w:ilvl w:val="0"/>
          <w:numId w:val="148"/>
        </w:numPr>
        <w:rPr>
          <w:rFonts w:eastAsia="Segoe UI,Times New Roman"/>
          <w:color w:val="000000"/>
        </w:rPr>
      </w:pPr>
      <w:r w:rsidRPr="00C17379">
        <w:rPr>
          <w:rFonts w:eastAsia="Segoe UI,Times New Roman"/>
          <w:color w:val="000000"/>
        </w:rPr>
        <w:t xml:space="preserve">Are there any restrictions on where </w:t>
      </w:r>
      <w:r>
        <w:rPr>
          <w:rFonts w:eastAsia="Segoe UI,Times New Roman"/>
          <w:color w:val="000000"/>
        </w:rPr>
        <w:t>you can</w:t>
      </w:r>
      <w:r w:rsidRPr="00C17379">
        <w:rPr>
          <w:rFonts w:eastAsia="Segoe UI,Times New Roman"/>
          <w:color w:val="000000"/>
        </w:rPr>
        <w:t xml:space="preserve"> deploy</w:t>
      </w:r>
      <w:r>
        <w:rPr>
          <w:rFonts w:eastAsia="Segoe UI,Times New Roman"/>
          <w:color w:val="000000"/>
        </w:rPr>
        <w:t xml:space="preserve"> to a region? For example:</w:t>
      </w:r>
    </w:p>
    <w:p w14:paraId="7F1B5642" w14:textId="77777777" w:rsidR="000F3E81" w:rsidRPr="00C17379" w:rsidRDefault="000F3E81" w:rsidP="005729D2">
      <w:pPr>
        <w:pStyle w:val="ListParagraph"/>
        <w:numPr>
          <w:ilvl w:val="1"/>
          <w:numId w:val="148"/>
        </w:numPr>
        <w:rPr>
          <w:rFonts w:eastAsia="Times New Roman"/>
          <w:color w:val="000000"/>
        </w:rPr>
      </w:pPr>
      <w:r w:rsidRPr="00C17379">
        <w:rPr>
          <w:rFonts w:eastAsia="Times New Roman"/>
          <w:color w:val="000000"/>
        </w:rPr>
        <w:t>Legal</w:t>
      </w:r>
      <w:r>
        <w:rPr>
          <w:rFonts w:eastAsia="Times New Roman"/>
          <w:color w:val="000000"/>
        </w:rPr>
        <w:t xml:space="preserve"> compliance</w:t>
      </w:r>
    </w:p>
    <w:p w14:paraId="56C9300A" w14:textId="77777777" w:rsidR="000F3E81" w:rsidRPr="00700559" w:rsidRDefault="000F3E81" w:rsidP="005729D2">
      <w:pPr>
        <w:pStyle w:val="ListParagraph"/>
        <w:numPr>
          <w:ilvl w:val="1"/>
          <w:numId w:val="148"/>
        </w:numPr>
      </w:pPr>
      <w:r w:rsidRPr="00C17379">
        <w:rPr>
          <w:rFonts w:eastAsia="Times New Roman"/>
          <w:color w:val="000000"/>
        </w:rPr>
        <w:t>Government regulation</w:t>
      </w:r>
      <w:r>
        <w:rPr>
          <w:rFonts w:eastAsia="Times New Roman"/>
          <w:color w:val="000000"/>
        </w:rPr>
        <w:t>s</w:t>
      </w:r>
    </w:p>
    <w:p w14:paraId="6F2F9365" w14:textId="7F44D874" w:rsidR="00700559" w:rsidRPr="00700559" w:rsidRDefault="000F3E81" w:rsidP="000F3E81">
      <w:pPr>
        <w:rPr>
          <w:rFonts w:eastAsia="Times New Roman"/>
          <w:color w:val="000000"/>
        </w:rPr>
      </w:pPr>
      <w:r w:rsidRPr="00700559">
        <w:rPr>
          <w:rFonts w:eastAsia="Times New Roman"/>
          <w:color w:val="000000"/>
        </w:rPr>
        <w:t xml:space="preserve">Microsoft Azure is a worldwide network of distributed </w:t>
      </w:r>
      <w:r>
        <w:rPr>
          <w:rFonts w:eastAsia="Times New Roman"/>
          <w:color w:val="000000"/>
        </w:rPr>
        <w:t>datacenter</w:t>
      </w:r>
      <w:r w:rsidRPr="00700559">
        <w:rPr>
          <w:rFonts w:eastAsia="Times New Roman"/>
          <w:color w:val="000000"/>
        </w:rPr>
        <w:t xml:space="preserve">s </w:t>
      </w:r>
      <w:r>
        <w:rPr>
          <w:rFonts w:eastAsia="Times New Roman"/>
          <w:color w:val="000000"/>
        </w:rPr>
        <w:t>that</w:t>
      </w:r>
      <w:r w:rsidRPr="00700559">
        <w:rPr>
          <w:rFonts w:eastAsia="Times New Roman"/>
          <w:color w:val="000000"/>
        </w:rPr>
        <w:t xml:space="preserve"> are strategically located around the world to support Microsoft Azure customers. This global presence of </w:t>
      </w:r>
      <w:r>
        <w:rPr>
          <w:rFonts w:eastAsia="Times New Roman"/>
          <w:color w:val="000000"/>
        </w:rPr>
        <w:t>datacenter</w:t>
      </w:r>
      <w:r w:rsidRPr="00700559">
        <w:rPr>
          <w:rFonts w:eastAsia="Times New Roman"/>
          <w:color w:val="000000"/>
        </w:rPr>
        <w:t xml:space="preserve">s provides Microsoft customers </w:t>
      </w:r>
      <w:r>
        <w:rPr>
          <w:rFonts w:eastAsia="Times New Roman"/>
          <w:color w:val="000000"/>
        </w:rPr>
        <w:t xml:space="preserve">with </w:t>
      </w:r>
      <w:r w:rsidRPr="00700559">
        <w:rPr>
          <w:rFonts w:eastAsia="Times New Roman"/>
          <w:color w:val="000000"/>
        </w:rPr>
        <w:t xml:space="preserve">the ability to deploy an application or service </w:t>
      </w:r>
      <w:r>
        <w:rPr>
          <w:rFonts w:eastAsia="Times New Roman"/>
          <w:color w:val="000000"/>
        </w:rPr>
        <w:t>in any datacenter</w:t>
      </w:r>
      <w:r w:rsidRPr="00700559">
        <w:rPr>
          <w:rFonts w:eastAsia="Times New Roman"/>
          <w:color w:val="000000"/>
        </w:rPr>
        <w:t xml:space="preserve"> in the world or in multiple </w:t>
      </w:r>
      <w:r>
        <w:rPr>
          <w:rFonts w:eastAsia="Times New Roman"/>
          <w:color w:val="000000"/>
        </w:rPr>
        <w:t>datacenters</w:t>
      </w:r>
      <w:r w:rsidRPr="00700559">
        <w:rPr>
          <w:rFonts w:eastAsia="Times New Roman"/>
          <w:color w:val="000000"/>
        </w:rPr>
        <w:t xml:space="preserve">. </w:t>
      </w:r>
      <w:r>
        <w:rPr>
          <w:rFonts w:eastAsia="Times New Roman"/>
          <w:color w:val="000000"/>
        </w:rPr>
        <w:t>Whether a customer is</w:t>
      </w:r>
      <w:r w:rsidRPr="00700559">
        <w:rPr>
          <w:rFonts w:eastAsia="Times New Roman"/>
          <w:color w:val="000000"/>
        </w:rPr>
        <w:t xml:space="preserve"> a small company or a major corporation, </w:t>
      </w:r>
      <w:r>
        <w:rPr>
          <w:rFonts w:eastAsia="Times New Roman"/>
          <w:color w:val="000000"/>
        </w:rPr>
        <w:t>all</w:t>
      </w:r>
      <w:r w:rsidRPr="00700559">
        <w:rPr>
          <w:rFonts w:eastAsia="Times New Roman"/>
          <w:color w:val="000000"/>
        </w:rPr>
        <w:t xml:space="preserve"> the services Azure has to offer</w:t>
      </w:r>
      <w:r>
        <w:rPr>
          <w:rFonts w:eastAsia="Times New Roman"/>
          <w:color w:val="000000"/>
        </w:rPr>
        <w:t xml:space="preserve"> in that particular region can be consumed</w:t>
      </w:r>
      <w:r w:rsidRPr="00700559">
        <w:rPr>
          <w:rFonts w:eastAsia="Times New Roman"/>
          <w:color w:val="000000"/>
        </w:rPr>
        <w:t>.</w:t>
      </w:r>
      <w:r w:rsidR="00700559" w:rsidRPr="00700559">
        <w:rPr>
          <w:rFonts w:eastAsia="Times New Roman"/>
          <w:color w:val="000000"/>
        </w:rPr>
        <w:t xml:space="preserve">  </w:t>
      </w:r>
    </w:p>
    <w:p w14:paraId="0F366F26" w14:textId="5E601439" w:rsidR="00700559" w:rsidRPr="00C17379" w:rsidRDefault="00700559" w:rsidP="005729D2">
      <w:pPr>
        <w:pStyle w:val="Heading4Numbered"/>
        <w:numPr>
          <w:ilvl w:val="3"/>
          <w:numId w:val="64"/>
        </w:numPr>
      </w:pPr>
      <w:r w:rsidRPr="00C17379">
        <w:t>Locations</w:t>
      </w:r>
    </w:p>
    <w:p w14:paraId="3652B62F" w14:textId="238E4470" w:rsidR="00700559" w:rsidRPr="00700559" w:rsidRDefault="000F3E81" w:rsidP="00700559">
      <w:pPr>
        <w:shd w:val="clear" w:color="auto" w:fill="FFFFFF"/>
        <w:spacing w:before="0" w:after="0" w:line="240" w:lineRule="auto"/>
        <w:rPr>
          <w:rFonts w:eastAsia="Times New Roman" w:cs="Segoe UI"/>
          <w:color w:val="0070C0"/>
          <w:u w:val="single"/>
        </w:rPr>
      </w:pPr>
      <w:r>
        <w:t xml:space="preserve">For list of Azure datacenter locations, see </w:t>
      </w:r>
      <w:hyperlink r:id="rId37" w:history="1">
        <w:r>
          <w:rPr>
            <w:rStyle w:val="Hyperlink"/>
            <w:rFonts w:eastAsia="Times New Roman" w:cs="Segoe UI"/>
            <w:color w:val="0070C0"/>
          </w:rPr>
          <w:t>Azure Regions</w:t>
        </w:r>
      </w:hyperlink>
      <w:r>
        <w:rPr>
          <w:rStyle w:val="Hyperlink"/>
          <w:rFonts w:eastAsia="Times New Roman" w:cs="Segoe UI"/>
          <w:color w:val="0070C0"/>
        </w:rPr>
        <w:t>.</w:t>
      </w:r>
    </w:p>
    <w:p w14:paraId="1E23F774" w14:textId="77777777" w:rsidR="00700559" w:rsidRPr="00700559" w:rsidRDefault="00700559" w:rsidP="00C17379">
      <w:pPr>
        <w:shd w:val="clear" w:color="auto" w:fill="FFFFFF"/>
        <w:spacing w:before="0" w:after="0" w:line="240" w:lineRule="auto"/>
        <w:jc w:val="center"/>
        <w:rPr>
          <w:rFonts w:eastAsia="Times New Roman" w:cs="Segoe UI"/>
          <w:color w:val="000000"/>
          <w:u w:val="single"/>
        </w:rPr>
      </w:pPr>
      <w:r w:rsidRPr="00700559">
        <w:rPr>
          <w:rFonts w:cs="Segoe UI"/>
          <w:noProof/>
        </w:rPr>
        <w:drawing>
          <wp:inline distT="0" distB="0" distL="0" distR="0" wp14:anchorId="3A7E8502" wp14:editId="6E634938">
            <wp:extent cx="5457825" cy="3152775"/>
            <wp:effectExtent l="0" t="0" r="0" b="0"/>
            <wp:docPr id="41133" name="Picture 41133" descr="http://acom.azurecomcdn.net/80C57D/cdn/images/cvt-b3360b89270f951ea4a9cdeb65723fa8540e13df7115ba17d692283748741cff/page/regions/map.png?t=popn"/>
            <wp:cNvGraphicFramePr/>
            <a:graphic xmlns:a="http://schemas.openxmlformats.org/drawingml/2006/main">
              <a:graphicData uri="http://schemas.openxmlformats.org/drawingml/2006/picture">
                <pic:pic xmlns:pic="http://schemas.openxmlformats.org/drawingml/2006/picture">
                  <pic:nvPicPr>
                    <pic:cNvPr id="5" name="Picture 5" descr="http://acom.azurecomcdn.net/80C57D/cdn/images/cvt-b3360b89270f951ea4a9cdeb65723fa8540e13df7115ba17d692283748741cff/page/regions/map.png?t=popn"/>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57825" cy="3152775"/>
                    </a:xfrm>
                    <a:prstGeom prst="rect">
                      <a:avLst/>
                    </a:prstGeom>
                    <a:noFill/>
                    <a:ln>
                      <a:noFill/>
                    </a:ln>
                  </pic:spPr>
                </pic:pic>
              </a:graphicData>
            </a:graphic>
          </wp:inline>
        </w:drawing>
      </w:r>
    </w:p>
    <w:p w14:paraId="6CC24F54" w14:textId="1E69C3A9" w:rsidR="00700559" w:rsidRDefault="00700559" w:rsidP="0059733A">
      <w:pPr>
        <w:pStyle w:val="NormalWeb"/>
        <w:shd w:val="clear" w:color="auto" w:fill="FFFFFF"/>
        <w:spacing w:before="0"/>
        <w:rPr>
          <w:rFonts w:ascii="Segoe UI" w:hAnsi="Segoe UI" w:cs="Segoe UI"/>
          <w:sz w:val="22"/>
          <w:szCs w:val="22"/>
          <w:lang w:val="en"/>
        </w:rPr>
      </w:pPr>
      <w:r w:rsidRPr="00700559">
        <w:rPr>
          <w:rFonts w:ascii="Segoe UI" w:hAnsi="Segoe UI" w:cs="Segoe UI"/>
          <w:sz w:val="22"/>
          <w:szCs w:val="22"/>
          <w:lang w:val="en"/>
        </w:rPr>
        <w:t>Azure operates out of 17 regions around the world. Geographic expansion is a priority for Azure, because it enables our customers to achieve higher performance and it supports their requirements and preferences regarding data location.</w:t>
      </w:r>
      <w:r w:rsidR="00017743">
        <w:rPr>
          <w:rFonts w:ascii="Segoe UI" w:hAnsi="Segoe UI" w:cs="Segoe UI"/>
          <w:sz w:val="22"/>
          <w:szCs w:val="22"/>
          <w:lang w:val="en"/>
        </w:rPr>
        <w:t xml:space="preserve"> The following table is provided as reference:</w:t>
      </w:r>
    </w:p>
    <w:p w14:paraId="00284254" w14:textId="77777777" w:rsidR="00072FFD" w:rsidRDefault="00072FFD" w:rsidP="0059733A">
      <w:pPr>
        <w:pStyle w:val="NormalWeb"/>
        <w:shd w:val="clear" w:color="auto" w:fill="FFFFFF"/>
        <w:spacing w:before="0"/>
        <w:rPr>
          <w:rFonts w:ascii="Segoe UI" w:hAnsi="Segoe UI" w:cs="Segoe UI"/>
          <w:sz w:val="22"/>
          <w:szCs w:val="22"/>
          <w:lang w:val="en"/>
        </w:rPr>
      </w:pPr>
    </w:p>
    <w:tbl>
      <w:tblPr>
        <w:tblStyle w:val="PlainTable11"/>
        <w:tblW w:w="9805" w:type="dxa"/>
        <w:tblLook w:val="0420" w:firstRow="1" w:lastRow="0" w:firstColumn="0" w:lastColumn="0" w:noHBand="0" w:noVBand="1"/>
      </w:tblPr>
      <w:tblGrid>
        <w:gridCol w:w="2425"/>
        <w:gridCol w:w="2250"/>
        <w:gridCol w:w="2561"/>
        <w:gridCol w:w="2569"/>
      </w:tblGrid>
      <w:tr w:rsidR="00E54FD4" w:rsidRPr="00286C3E" w14:paraId="59A81264" w14:textId="7718D7F7" w:rsidTr="00286C3E">
        <w:trPr>
          <w:cnfStyle w:val="100000000000" w:firstRow="1" w:lastRow="0" w:firstColumn="0" w:lastColumn="0" w:oddVBand="0" w:evenVBand="0" w:oddHBand="0" w:evenHBand="0" w:firstRowFirstColumn="0" w:firstRowLastColumn="0" w:lastRowFirstColumn="0" w:lastRowLastColumn="0"/>
        </w:trPr>
        <w:tc>
          <w:tcPr>
            <w:tcW w:w="2425" w:type="dxa"/>
            <w:shd w:val="clear" w:color="auto" w:fill="808080" w:themeFill="background1" w:themeFillShade="80"/>
            <w:hideMark/>
          </w:tcPr>
          <w:p w14:paraId="71B188D1" w14:textId="529868FE" w:rsidR="00E54FD4" w:rsidRPr="00286C3E" w:rsidRDefault="00E54FD4" w:rsidP="00306519">
            <w:pPr>
              <w:spacing w:line="240" w:lineRule="auto"/>
              <w:rPr>
                <w:rFonts w:ascii="Times New Roman" w:hAnsi="Times New Roman"/>
                <w:bCs w:val="0"/>
                <w:color w:val="FFFFFF"/>
                <w:lang w:val="en-AU" w:eastAsia="en-AU"/>
              </w:rPr>
            </w:pPr>
            <w:r w:rsidRPr="00286C3E">
              <w:rPr>
                <w:rFonts w:eastAsia="Calibri"/>
                <w:bCs w:val="0"/>
                <w:color w:val="FFFFFF"/>
                <w:lang w:val="en-AU" w:eastAsia="en-AU"/>
              </w:rPr>
              <w:t>Azure Region</w:t>
            </w:r>
          </w:p>
        </w:tc>
        <w:tc>
          <w:tcPr>
            <w:tcW w:w="2250" w:type="dxa"/>
            <w:shd w:val="clear" w:color="auto" w:fill="808080" w:themeFill="background1" w:themeFillShade="80"/>
            <w:hideMark/>
          </w:tcPr>
          <w:p w14:paraId="42DAA992" w14:textId="11C3C2FE" w:rsidR="00E54FD4" w:rsidRPr="00286C3E" w:rsidRDefault="00E54FD4" w:rsidP="00306519">
            <w:pPr>
              <w:spacing w:line="240" w:lineRule="auto"/>
              <w:rPr>
                <w:rFonts w:eastAsia="Calibri"/>
                <w:color w:val="FFFFFF"/>
                <w:lang w:val="en-AU" w:eastAsia="en-AU"/>
              </w:rPr>
            </w:pPr>
            <w:r w:rsidRPr="00286C3E">
              <w:rPr>
                <w:rFonts w:eastAsia="Calibri"/>
                <w:bCs w:val="0"/>
                <w:color w:val="FFFFFF"/>
                <w:lang w:val="en-AU" w:eastAsia="en-AU"/>
              </w:rPr>
              <w:t>Location</w:t>
            </w:r>
          </w:p>
        </w:tc>
        <w:tc>
          <w:tcPr>
            <w:tcW w:w="2561" w:type="dxa"/>
            <w:shd w:val="clear" w:color="auto" w:fill="808080" w:themeFill="background1" w:themeFillShade="80"/>
          </w:tcPr>
          <w:p w14:paraId="36F1AA65" w14:textId="1E17FBAF" w:rsidR="00E54FD4" w:rsidRPr="00286C3E" w:rsidRDefault="00E54FD4" w:rsidP="00306519">
            <w:pPr>
              <w:spacing w:line="240" w:lineRule="auto"/>
              <w:rPr>
                <w:rFonts w:eastAsia="Calibri"/>
                <w:bCs w:val="0"/>
                <w:color w:val="FFFFFF"/>
                <w:lang w:val="en-AU" w:eastAsia="en-AU"/>
              </w:rPr>
            </w:pPr>
            <w:r w:rsidRPr="00286C3E">
              <w:rPr>
                <w:rFonts w:eastAsia="Calibri"/>
                <w:bCs w:val="0"/>
                <w:color w:val="FFFFFF"/>
                <w:lang w:val="en-AU" w:eastAsia="en-AU"/>
              </w:rPr>
              <w:t>Azure Region</w:t>
            </w:r>
          </w:p>
        </w:tc>
        <w:tc>
          <w:tcPr>
            <w:tcW w:w="2569" w:type="dxa"/>
            <w:shd w:val="clear" w:color="auto" w:fill="808080" w:themeFill="background1" w:themeFillShade="80"/>
          </w:tcPr>
          <w:p w14:paraId="0F22120C" w14:textId="191F2C16" w:rsidR="00E54FD4" w:rsidRPr="00286C3E" w:rsidRDefault="00E54FD4" w:rsidP="00306519">
            <w:pPr>
              <w:spacing w:line="240" w:lineRule="auto"/>
              <w:rPr>
                <w:rFonts w:eastAsia="Calibri"/>
                <w:bCs w:val="0"/>
                <w:color w:val="FFFFFF"/>
                <w:lang w:val="en-AU" w:eastAsia="en-AU"/>
              </w:rPr>
            </w:pPr>
            <w:r w:rsidRPr="00286C3E">
              <w:rPr>
                <w:rFonts w:eastAsia="Calibri"/>
                <w:bCs w:val="0"/>
                <w:color w:val="FFFFFF"/>
                <w:lang w:val="en-AU" w:eastAsia="en-AU"/>
              </w:rPr>
              <w:t>Location</w:t>
            </w:r>
          </w:p>
        </w:tc>
      </w:tr>
      <w:tr w:rsidR="00E54FD4" w14:paraId="70283E7E" w14:textId="291B1ED1" w:rsidTr="00286C3E">
        <w:trPr>
          <w:cnfStyle w:val="000000100000" w:firstRow="0" w:lastRow="0" w:firstColumn="0" w:lastColumn="0" w:oddVBand="0" w:evenVBand="0" w:oddHBand="1" w:evenHBand="0" w:firstRowFirstColumn="0" w:firstRowLastColumn="0" w:lastRowFirstColumn="0" w:lastRowLastColumn="0"/>
        </w:trPr>
        <w:tc>
          <w:tcPr>
            <w:tcW w:w="2425" w:type="dxa"/>
            <w:hideMark/>
          </w:tcPr>
          <w:p w14:paraId="1FD663B1" w14:textId="35CCA83D" w:rsidR="00E54FD4" w:rsidRPr="00236F1B" w:rsidRDefault="00E54FD4" w:rsidP="00306519">
            <w:pPr>
              <w:pStyle w:val="NormalWeb"/>
              <w:rPr>
                <w:rFonts w:ascii="Segoe UI" w:hAnsi="Segoe UI" w:cs="Segoe UI"/>
                <w:sz w:val="20"/>
                <w:szCs w:val="20"/>
                <w:lang w:val="en-AU" w:eastAsia="en-AU"/>
              </w:rPr>
            </w:pPr>
            <w:r>
              <w:rPr>
                <w:rFonts w:ascii="Segoe UI" w:hAnsi="Segoe UI" w:cs="Segoe UI"/>
                <w:bCs/>
                <w:sz w:val="20"/>
                <w:szCs w:val="20"/>
                <w:lang w:val="en-AU" w:eastAsia="en-AU"/>
              </w:rPr>
              <w:t>Central US</w:t>
            </w:r>
          </w:p>
        </w:tc>
        <w:tc>
          <w:tcPr>
            <w:tcW w:w="2250" w:type="dxa"/>
            <w:hideMark/>
          </w:tcPr>
          <w:p w14:paraId="7EBB3D36" w14:textId="4CC40FAF" w:rsidR="00E54FD4" w:rsidRPr="00F47607"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Iowa</w:t>
            </w:r>
          </w:p>
        </w:tc>
        <w:tc>
          <w:tcPr>
            <w:tcW w:w="2561" w:type="dxa"/>
          </w:tcPr>
          <w:p w14:paraId="7C370424" w14:textId="189A90AE"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North Europe</w:t>
            </w:r>
          </w:p>
        </w:tc>
        <w:tc>
          <w:tcPr>
            <w:tcW w:w="2569" w:type="dxa"/>
          </w:tcPr>
          <w:p w14:paraId="107A0435" w14:textId="7CAD3075"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Ireland</w:t>
            </w:r>
          </w:p>
        </w:tc>
      </w:tr>
      <w:tr w:rsidR="00E54FD4" w14:paraId="5875B949" w14:textId="34001549" w:rsidTr="00286C3E">
        <w:tc>
          <w:tcPr>
            <w:tcW w:w="2425" w:type="dxa"/>
            <w:hideMark/>
          </w:tcPr>
          <w:p w14:paraId="52F26DF8" w14:textId="60E9B287" w:rsidR="00E54FD4" w:rsidRPr="00236F1B" w:rsidRDefault="00E54FD4"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East US</w:t>
            </w:r>
          </w:p>
        </w:tc>
        <w:tc>
          <w:tcPr>
            <w:tcW w:w="2250" w:type="dxa"/>
            <w:hideMark/>
          </w:tcPr>
          <w:p w14:paraId="3971A939" w14:textId="75BD234D" w:rsidR="00E54FD4" w:rsidRPr="00F47607"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Virginia</w:t>
            </w:r>
          </w:p>
        </w:tc>
        <w:tc>
          <w:tcPr>
            <w:tcW w:w="2561" w:type="dxa"/>
          </w:tcPr>
          <w:p w14:paraId="4B8BC0AE" w14:textId="740048AA"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West Europe</w:t>
            </w:r>
          </w:p>
        </w:tc>
        <w:tc>
          <w:tcPr>
            <w:tcW w:w="2569" w:type="dxa"/>
          </w:tcPr>
          <w:p w14:paraId="023D558F" w14:textId="49F0A029"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Netherlands</w:t>
            </w:r>
          </w:p>
        </w:tc>
      </w:tr>
      <w:tr w:rsidR="00E54FD4" w14:paraId="35BE9EEC" w14:textId="0607FFBB" w:rsidTr="00286C3E">
        <w:trPr>
          <w:cnfStyle w:val="000000100000" w:firstRow="0" w:lastRow="0" w:firstColumn="0" w:lastColumn="0" w:oddVBand="0" w:evenVBand="0" w:oddHBand="1" w:evenHBand="0" w:firstRowFirstColumn="0" w:firstRowLastColumn="0" w:lastRowFirstColumn="0" w:lastRowLastColumn="0"/>
        </w:trPr>
        <w:tc>
          <w:tcPr>
            <w:tcW w:w="2425" w:type="dxa"/>
          </w:tcPr>
          <w:p w14:paraId="37520D99" w14:textId="6B497A6D" w:rsidR="00E54FD4" w:rsidRPr="00236F1B" w:rsidRDefault="00E54FD4"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East US 2</w:t>
            </w:r>
          </w:p>
        </w:tc>
        <w:tc>
          <w:tcPr>
            <w:tcW w:w="2250" w:type="dxa"/>
          </w:tcPr>
          <w:p w14:paraId="78A38F55" w14:textId="532CF88B" w:rsidR="00E54FD4" w:rsidRPr="00236F1B" w:rsidRDefault="00E54FD4"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Virginia</w:t>
            </w:r>
          </w:p>
        </w:tc>
        <w:tc>
          <w:tcPr>
            <w:tcW w:w="2561" w:type="dxa"/>
          </w:tcPr>
          <w:p w14:paraId="7E6FEB28" w14:textId="7F47CA74" w:rsidR="00E54FD4" w:rsidRDefault="00E54FD4"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East Asia</w:t>
            </w:r>
          </w:p>
        </w:tc>
        <w:tc>
          <w:tcPr>
            <w:tcW w:w="2569" w:type="dxa"/>
          </w:tcPr>
          <w:p w14:paraId="7BEA65ED" w14:textId="002EBBCE" w:rsidR="00E54FD4" w:rsidRDefault="00E54FD4"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Hong Kong</w:t>
            </w:r>
          </w:p>
        </w:tc>
      </w:tr>
      <w:tr w:rsidR="00E54FD4" w14:paraId="630F2982" w14:textId="6A552062" w:rsidTr="00286C3E">
        <w:tc>
          <w:tcPr>
            <w:tcW w:w="2425" w:type="dxa"/>
          </w:tcPr>
          <w:p w14:paraId="6CE3A510" w14:textId="4B4E927B" w:rsidR="00E54FD4" w:rsidRDefault="00E54FD4"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US Gov Iowa</w:t>
            </w:r>
          </w:p>
        </w:tc>
        <w:tc>
          <w:tcPr>
            <w:tcW w:w="2250" w:type="dxa"/>
          </w:tcPr>
          <w:p w14:paraId="74405524" w14:textId="44088D12"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Iowa</w:t>
            </w:r>
          </w:p>
        </w:tc>
        <w:tc>
          <w:tcPr>
            <w:tcW w:w="2561" w:type="dxa"/>
          </w:tcPr>
          <w:p w14:paraId="7D38F197" w14:textId="1718B665"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Southeast Asia</w:t>
            </w:r>
          </w:p>
        </w:tc>
        <w:tc>
          <w:tcPr>
            <w:tcW w:w="2569" w:type="dxa"/>
          </w:tcPr>
          <w:p w14:paraId="5EC844DD" w14:textId="2A1A05C7"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Singapore</w:t>
            </w:r>
          </w:p>
        </w:tc>
      </w:tr>
      <w:tr w:rsidR="00E54FD4" w14:paraId="7D87F708" w14:textId="4406B664" w:rsidTr="00286C3E">
        <w:trPr>
          <w:cnfStyle w:val="000000100000" w:firstRow="0" w:lastRow="0" w:firstColumn="0" w:lastColumn="0" w:oddVBand="0" w:evenVBand="0" w:oddHBand="1" w:evenHBand="0" w:firstRowFirstColumn="0" w:firstRowLastColumn="0" w:lastRowFirstColumn="0" w:lastRowLastColumn="0"/>
        </w:trPr>
        <w:tc>
          <w:tcPr>
            <w:tcW w:w="2425" w:type="dxa"/>
          </w:tcPr>
          <w:p w14:paraId="57B83B90" w14:textId="2947A685" w:rsidR="00E54FD4" w:rsidRDefault="00E54FD4"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US Gov Virginia</w:t>
            </w:r>
          </w:p>
        </w:tc>
        <w:tc>
          <w:tcPr>
            <w:tcW w:w="2250" w:type="dxa"/>
          </w:tcPr>
          <w:p w14:paraId="51D1ED43" w14:textId="304E36DD"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Virginia</w:t>
            </w:r>
          </w:p>
        </w:tc>
        <w:tc>
          <w:tcPr>
            <w:tcW w:w="2561" w:type="dxa"/>
          </w:tcPr>
          <w:p w14:paraId="6BD663C7" w14:textId="439B8E08"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Japan East</w:t>
            </w:r>
          </w:p>
        </w:tc>
        <w:tc>
          <w:tcPr>
            <w:tcW w:w="2569" w:type="dxa"/>
          </w:tcPr>
          <w:p w14:paraId="508FE794" w14:textId="41A4A944"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Saitama Prefecture</w:t>
            </w:r>
          </w:p>
        </w:tc>
      </w:tr>
      <w:tr w:rsidR="00E54FD4" w14:paraId="4E196CDF" w14:textId="3BB3FD05" w:rsidTr="00286C3E">
        <w:tc>
          <w:tcPr>
            <w:tcW w:w="2425" w:type="dxa"/>
          </w:tcPr>
          <w:p w14:paraId="641CE9FC" w14:textId="73E5E2F8" w:rsidR="00E54FD4" w:rsidRDefault="00E54FD4"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North Central US</w:t>
            </w:r>
          </w:p>
        </w:tc>
        <w:tc>
          <w:tcPr>
            <w:tcW w:w="2250" w:type="dxa"/>
          </w:tcPr>
          <w:p w14:paraId="444960F5" w14:textId="600B102A"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Illinois</w:t>
            </w:r>
          </w:p>
        </w:tc>
        <w:tc>
          <w:tcPr>
            <w:tcW w:w="2561" w:type="dxa"/>
          </w:tcPr>
          <w:p w14:paraId="211D234D" w14:textId="2377FF70"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Japan West</w:t>
            </w:r>
          </w:p>
        </w:tc>
        <w:tc>
          <w:tcPr>
            <w:tcW w:w="2569" w:type="dxa"/>
          </w:tcPr>
          <w:p w14:paraId="02FE8402" w14:textId="4D8F3FE8"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Osaka Prefecture</w:t>
            </w:r>
          </w:p>
        </w:tc>
      </w:tr>
      <w:tr w:rsidR="00E54FD4" w14:paraId="30109513" w14:textId="791AF65F" w:rsidTr="00286C3E">
        <w:trPr>
          <w:cnfStyle w:val="000000100000" w:firstRow="0" w:lastRow="0" w:firstColumn="0" w:lastColumn="0" w:oddVBand="0" w:evenVBand="0" w:oddHBand="1" w:evenHBand="0" w:firstRowFirstColumn="0" w:firstRowLastColumn="0" w:lastRowFirstColumn="0" w:lastRowLastColumn="0"/>
        </w:trPr>
        <w:tc>
          <w:tcPr>
            <w:tcW w:w="2425" w:type="dxa"/>
          </w:tcPr>
          <w:p w14:paraId="407286FF" w14:textId="73349007" w:rsidR="00E54FD4" w:rsidRDefault="00E54FD4"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South Central US</w:t>
            </w:r>
          </w:p>
        </w:tc>
        <w:tc>
          <w:tcPr>
            <w:tcW w:w="2250" w:type="dxa"/>
          </w:tcPr>
          <w:p w14:paraId="04B1B244" w14:textId="4B5D36D8"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Texas</w:t>
            </w:r>
          </w:p>
        </w:tc>
        <w:tc>
          <w:tcPr>
            <w:tcW w:w="2561" w:type="dxa"/>
          </w:tcPr>
          <w:p w14:paraId="2EC82DE3" w14:textId="520DE13F"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Brazil South</w:t>
            </w:r>
          </w:p>
        </w:tc>
        <w:tc>
          <w:tcPr>
            <w:tcW w:w="2569" w:type="dxa"/>
          </w:tcPr>
          <w:p w14:paraId="1A6A9CD1" w14:textId="7987137C"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Sao Paulo State</w:t>
            </w:r>
          </w:p>
        </w:tc>
      </w:tr>
      <w:tr w:rsidR="00E54FD4" w14:paraId="3CEAC527" w14:textId="070EC38A" w:rsidTr="00286C3E">
        <w:tc>
          <w:tcPr>
            <w:tcW w:w="2425" w:type="dxa"/>
          </w:tcPr>
          <w:p w14:paraId="0733C07D" w14:textId="4FF7C1F0" w:rsidR="00E54FD4" w:rsidRDefault="00E54FD4"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West US</w:t>
            </w:r>
          </w:p>
        </w:tc>
        <w:tc>
          <w:tcPr>
            <w:tcW w:w="2250" w:type="dxa"/>
          </w:tcPr>
          <w:p w14:paraId="676C32EE" w14:textId="5604A134"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California</w:t>
            </w:r>
          </w:p>
        </w:tc>
        <w:tc>
          <w:tcPr>
            <w:tcW w:w="2561" w:type="dxa"/>
          </w:tcPr>
          <w:p w14:paraId="044CE17B" w14:textId="42419554"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Australia East</w:t>
            </w:r>
          </w:p>
        </w:tc>
        <w:tc>
          <w:tcPr>
            <w:tcW w:w="2569" w:type="dxa"/>
          </w:tcPr>
          <w:p w14:paraId="5C702ECB" w14:textId="690A9E51"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New South Wales</w:t>
            </w:r>
          </w:p>
        </w:tc>
      </w:tr>
      <w:tr w:rsidR="00E54FD4" w14:paraId="0393D490" w14:textId="77777777" w:rsidTr="00286C3E">
        <w:trPr>
          <w:cnfStyle w:val="000000100000" w:firstRow="0" w:lastRow="0" w:firstColumn="0" w:lastColumn="0" w:oddVBand="0" w:evenVBand="0" w:oddHBand="1" w:evenHBand="0" w:firstRowFirstColumn="0" w:firstRowLastColumn="0" w:lastRowFirstColumn="0" w:lastRowLastColumn="0"/>
        </w:trPr>
        <w:tc>
          <w:tcPr>
            <w:tcW w:w="2425" w:type="dxa"/>
          </w:tcPr>
          <w:p w14:paraId="32D89111" w14:textId="77777777" w:rsidR="00E54FD4" w:rsidRDefault="00E54FD4" w:rsidP="00306519">
            <w:pPr>
              <w:pStyle w:val="NormalWeb"/>
              <w:rPr>
                <w:rFonts w:ascii="Segoe UI" w:hAnsi="Segoe UI" w:cs="Segoe UI"/>
                <w:bCs/>
                <w:sz w:val="20"/>
                <w:szCs w:val="20"/>
                <w:lang w:val="en-AU" w:eastAsia="en-AU"/>
              </w:rPr>
            </w:pPr>
          </w:p>
        </w:tc>
        <w:tc>
          <w:tcPr>
            <w:tcW w:w="2250" w:type="dxa"/>
          </w:tcPr>
          <w:p w14:paraId="394204EE" w14:textId="77777777" w:rsidR="00E54FD4" w:rsidRDefault="00E54FD4" w:rsidP="00306519">
            <w:pPr>
              <w:pStyle w:val="NormalWeb"/>
              <w:rPr>
                <w:rFonts w:ascii="Segoe UI" w:hAnsi="Segoe UI" w:cs="Segoe UI"/>
                <w:sz w:val="20"/>
                <w:szCs w:val="20"/>
                <w:lang w:val="en-AU" w:eastAsia="en-AU"/>
              </w:rPr>
            </w:pPr>
          </w:p>
        </w:tc>
        <w:tc>
          <w:tcPr>
            <w:tcW w:w="2561" w:type="dxa"/>
          </w:tcPr>
          <w:p w14:paraId="34C3EA70" w14:textId="76B6FB30"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Australia Southeast</w:t>
            </w:r>
          </w:p>
        </w:tc>
        <w:tc>
          <w:tcPr>
            <w:tcW w:w="2569" w:type="dxa"/>
          </w:tcPr>
          <w:p w14:paraId="5B05AB92" w14:textId="2B1D5D4C"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Victoria</w:t>
            </w:r>
          </w:p>
        </w:tc>
      </w:tr>
    </w:tbl>
    <w:p w14:paraId="0114145B" w14:textId="570D40D9" w:rsidR="000F3E81" w:rsidRPr="00700559" w:rsidRDefault="00700559" w:rsidP="000F3E81">
      <w:pPr>
        <w:rPr>
          <w:rFonts w:eastAsia="Times New Roman"/>
        </w:rPr>
      </w:pPr>
      <w:r w:rsidRPr="00700559">
        <w:rPr>
          <w:rFonts w:eastAsia="Times New Roman"/>
        </w:rPr>
        <w:t>It</w:t>
      </w:r>
      <w:r w:rsidR="000F3E81" w:rsidRPr="00700559">
        <w:rPr>
          <w:rFonts w:eastAsia="Times New Roman"/>
        </w:rPr>
        <w:t xml:space="preserve"> is very important to </w:t>
      </w:r>
      <w:r w:rsidR="000F3E81">
        <w:rPr>
          <w:rFonts w:eastAsia="Times New Roman"/>
        </w:rPr>
        <w:t xml:space="preserve">correctly </w:t>
      </w:r>
      <w:r w:rsidR="000F3E81" w:rsidRPr="00700559">
        <w:rPr>
          <w:rFonts w:eastAsia="Times New Roman"/>
        </w:rPr>
        <w:t xml:space="preserve">choose </w:t>
      </w:r>
      <w:r w:rsidR="000F3E81">
        <w:rPr>
          <w:rFonts w:eastAsia="Times New Roman"/>
        </w:rPr>
        <w:t xml:space="preserve">a </w:t>
      </w:r>
      <w:r w:rsidR="000F3E81" w:rsidRPr="00700559">
        <w:rPr>
          <w:rFonts w:eastAsia="Times New Roman"/>
        </w:rPr>
        <w:t>region or regions</w:t>
      </w:r>
      <w:r w:rsidR="000F3E81">
        <w:rPr>
          <w:rFonts w:eastAsia="Times New Roman"/>
        </w:rPr>
        <w:t xml:space="preserve"> that meet your organization’s needs.</w:t>
      </w:r>
      <w:r w:rsidR="000F3E81" w:rsidRPr="00700559">
        <w:rPr>
          <w:rFonts w:eastAsia="Times New Roman"/>
        </w:rPr>
        <w:t xml:space="preserve"> </w:t>
      </w:r>
      <w:r w:rsidR="000F3E81">
        <w:rPr>
          <w:rFonts w:eastAsia="Times New Roman"/>
        </w:rPr>
        <w:t>T</w:t>
      </w:r>
      <w:r w:rsidR="000F3E81" w:rsidRPr="00700559">
        <w:rPr>
          <w:rFonts w:eastAsia="Times New Roman"/>
        </w:rPr>
        <w:t xml:space="preserve">here are a number of elements to consider when choosing a region to deploy your </w:t>
      </w:r>
      <w:r w:rsidR="000F3E81">
        <w:rPr>
          <w:rFonts w:eastAsia="Times New Roman"/>
        </w:rPr>
        <w:t xml:space="preserve">applications and </w:t>
      </w:r>
      <w:r w:rsidR="000F3E81" w:rsidRPr="00700559">
        <w:rPr>
          <w:rFonts w:eastAsia="Times New Roman"/>
        </w:rPr>
        <w:t>services:</w:t>
      </w:r>
    </w:p>
    <w:p w14:paraId="7A5D8DB8" w14:textId="77777777" w:rsidR="000F3E81" w:rsidRDefault="000F3E81" w:rsidP="005729D2">
      <w:pPr>
        <w:pStyle w:val="ListParagraph"/>
        <w:numPr>
          <w:ilvl w:val="0"/>
          <w:numId w:val="149"/>
        </w:numPr>
        <w:rPr>
          <w:rFonts w:eastAsia="Times New Roman"/>
        </w:rPr>
      </w:pPr>
      <w:r w:rsidRPr="00017743">
        <w:rPr>
          <w:rFonts w:eastAsia="Times New Roman"/>
        </w:rPr>
        <w:t xml:space="preserve">Data </w:t>
      </w:r>
    </w:p>
    <w:p w14:paraId="7212C18E" w14:textId="77777777" w:rsidR="000F3E81" w:rsidRPr="00017743" w:rsidRDefault="000F3E81" w:rsidP="005729D2">
      <w:pPr>
        <w:pStyle w:val="ListParagraph"/>
        <w:numPr>
          <w:ilvl w:val="0"/>
          <w:numId w:val="149"/>
        </w:numPr>
        <w:rPr>
          <w:rFonts w:eastAsia="Times New Roman"/>
        </w:rPr>
      </w:pPr>
      <w:r>
        <w:rPr>
          <w:rFonts w:eastAsia="Times New Roman"/>
        </w:rPr>
        <w:t>Location of service consumers</w:t>
      </w:r>
    </w:p>
    <w:p w14:paraId="549857C0" w14:textId="77777777" w:rsidR="000F3E81" w:rsidRPr="00017743" w:rsidRDefault="000F3E81" w:rsidP="005729D2">
      <w:pPr>
        <w:pStyle w:val="ListParagraph"/>
        <w:numPr>
          <w:ilvl w:val="0"/>
          <w:numId w:val="149"/>
        </w:numPr>
        <w:rPr>
          <w:rFonts w:eastAsia="Times New Roman"/>
        </w:rPr>
      </w:pPr>
      <w:r w:rsidRPr="00017743">
        <w:rPr>
          <w:rFonts w:eastAsia="Times New Roman"/>
        </w:rPr>
        <w:t xml:space="preserve">Service </w:t>
      </w:r>
      <w:r>
        <w:rPr>
          <w:rFonts w:eastAsia="Times New Roman"/>
        </w:rPr>
        <w:t>c</w:t>
      </w:r>
      <w:r w:rsidRPr="00017743">
        <w:rPr>
          <w:rFonts w:eastAsia="Times New Roman"/>
        </w:rPr>
        <w:t xml:space="preserve">apability and </w:t>
      </w:r>
      <w:r>
        <w:rPr>
          <w:rFonts w:eastAsia="Times New Roman"/>
        </w:rPr>
        <w:t>a</w:t>
      </w:r>
      <w:r w:rsidRPr="00017743">
        <w:rPr>
          <w:rFonts w:eastAsia="Times New Roman"/>
        </w:rPr>
        <w:t>vailability</w:t>
      </w:r>
    </w:p>
    <w:p w14:paraId="736B41A1" w14:textId="77777777" w:rsidR="000F3E81" w:rsidRPr="00017743" w:rsidRDefault="000F3E81" w:rsidP="005729D2">
      <w:pPr>
        <w:pStyle w:val="ListParagraph"/>
        <w:numPr>
          <w:ilvl w:val="0"/>
          <w:numId w:val="149"/>
        </w:numPr>
        <w:rPr>
          <w:rFonts w:eastAsia="Times New Roman"/>
        </w:rPr>
      </w:pPr>
      <w:r w:rsidRPr="00017743">
        <w:rPr>
          <w:rFonts w:eastAsia="Times New Roman"/>
        </w:rPr>
        <w:t xml:space="preserve">Network </w:t>
      </w:r>
      <w:r>
        <w:rPr>
          <w:rFonts w:eastAsia="Times New Roman"/>
        </w:rPr>
        <w:t>p</w:t>
      </w:r>
      <w:r w:rsidRPr="00017743">
        <w:rPr>
          <w:rFonts w:eastAsia="Times New Roman"/>
        </w:rPr>
        <w:t>erformance</w:t>
      </w:r>
    </w:p>
    <w:p w14:paraId="74C1B85E" w14:textId="01B00490" w:rsidR="000F3E81" w:rsidRDefault="000F3E81" w:rsidP="005729D2">
      <w:pPr>
        <w:pStyle w:val="ListParagraph"/>
        <w:numPr>
          <w:ilvl w:val="0"/>
          <w:numId w:val="149"/>
        </w:numPr>
        <w:rPr>
          <w:rFonts w:eastAsia="Times New Roman"/>
        </w:rPr>
      </w:pPr>
      <w:r w:rsidRPr="00017743">
        <w:rPr>
          <w:rFonts w:eastAsia="Times New Roman"/>
        </w:rPr>
        <w:t>Pricing</w:t>
      </w:r>
    </w:p>
    <w:p w14:paraId="6167BFB4" w14:textId="6B312FDF" w:rsidR="00866274" w:rsidRPr="000F3E81" w:rsidRDefault="000F3E81" w:rsidP="005729D2">
      <w:pPr>
        <w:pStyle w:val="ListParagraph"/>
        <w:numPr>
          <w:ilvl w:val="0"/>
          <w:numId w:val="149"/>
        </w:numPr>
        <w:rPr>
          <w:rFonts w:eastAsia="Times New Roman"/>
        </w:rPr>
      </w:pPr>
      <w:r w:rsidRPr="000F3E81">
        <w:rPr>
          <w:rFonts w:eastAsia="Times New Roman"/>
        </w:rPr>
        <w:t>Redundancy for high availability</w:t>
      </w:r>
    </w:p>
    <w:p w14:paraId="381E31A3" w14:textId="77777777" w:rsidR="00700559" w:rsidRPr="00C17379" w:rsidRDefault="00700559" w:rsidP="005729D2">
      <w:pPr>
        <w:pStyle w:val="Heading4Numbered"/>
        <w:numPr>
          <w:ilvl w:val="3"/>
          <w:numId w:val="64"/>
        </w:numPr>
      </w:pPr>
      <w:r w:rsidRPr="00C17379">
        <w:t>Data</w:t>
      </w:r>
    </w:p>
    <w:p w14:paraId="755033B0" w14:textId="13B418F6" w:rsidR="000F3E81" w:rsidRPr="00700559" w:rsidRDefault="00700559" w:rsidP="000F3E81">
      <w:pPr>
        <w:rPr>
          <w:rFonts w:eastAsia="Times New Roman"/>
        </w:rPr>
      </w:pPr>
      <w:r w:rsidRPr="00700559">
        <w:rPr>
          <w:rFonts w:eastAsia="Times New Roman"/>
        </w:rPr>
        <w:t>Where</w:t>
      </w:r>
      <w:r w:rsidR="000F3E81">
        <w:rPr>
          <w:rFonts w:eastAsia="Times New Roman"/>
        </w:rPr>
        <w:t xml:space="preserve"> Azure</w:t>
      </w:r>
      <w:r w:rsidR="000F3E81" w:rsidRPr="00700559">
        <w:rPr>
          <w:rFonts w:eastAsia="Times New Roman"/>
        </w:rPr>
        <w:t xml:space="preserve"> data is physically stored is very important</w:t>
      </w:r>
      <w:r w:rsidR="000F3E81">
        <w:rPr>
          <w:rFonts w:eastAsia="Times New Roman"/>
        </w:rPr>
        <w:t xml:space="preserve"> to most customers</w:t>
      </w:r>
      <w:r w:rsidR="000F3E81" w:rsidRPr="00700559">
        <w:rPr>
          <w:rFonts w:eastAsia="Times New Roman"/>
        </w:rPr>
        <w:t>. If the</w:t>
      </w:r>
      <w:r w:rsidR="000F3E81" w:rsidRPr="00700559" w:rsidDel="00017743">
        <w:rPr>
          <w:rFonts w:eastAsia="Times New Roman"/>
        </w:rPr>
        <w:t xml:space="preserve"> </w:t>
      </w:r>
      <w:r w:rsidR="000F3E81">
        <w:rPr>
          <w:rFonts w:eastAsia="Times New Roman"/>
        </w:rPr>
        <w:t>organization</w:t>
      </w:r>
      <w:r w:rsidR="000F3E81" w:rsidRPr="00700559">
        <w:rPr>
          <w:rFonts w:eastAsia="Times New Roman"/>
        </w:rPr>
        <w:t xml:space="preserve"> is restricted by any government regulations or internal company policies </w:t>
      </w:r>
      <w:r w:rsidR="000F3E81">
        <w:rPr>
          <w:rFonts w:eastAsia="Times New Roman"/>
        </w:rPr>
        <w:t>about</w:t>
      </w:r>
      <w:r w:rsidR="000F3E81" w:rsidRPr="00700559">
        <w:rPr>
          <w:rFonts w:eastAsia="Times New Roman"/>
        </w:rPr>
        <w:t xml:space="preserve"> data storage and location, this need</w:t>
      </w:r>
      <w:r w:rsidR="000F3E81">
        <w:rPr>
          <w:rFonts w:eastAsia="Times New Roman"/>
        </w:rPr>
        <w:t>s</w:t>
      </w:r>
      <w:r w:rsidR="000F3E81" w:rsidRPr="00700559">
        <w:rPr>
          <w:rFonts w:eastAsia="Times New Roman"/>
        </w:rPr>
        <w:t xml:space="preserve"> to be transparent. Many times there are restriction</w:t>
      </w:r>
      <w:r w:rsidR="000F3E81">
        <w:rPr>
          <w:rFonts w:eastAsia="Times New Roman"/>
        </w:rPr>
        <w:t>s</w:t>
      </w:r>
      <w:r w:rsidR="000F3E81" w:rsidRPr="00700559">
        <w:rPr>
          <w:rFonts w:eastAsia="Times New Roman"/>
        </w:rPr>
        <w:t xml:space="preserve"> </w:t>
      </w:r>
      <w:r w:rsidR="000F3E81">
        <w:rPr>
          <w:rFonts w:eastAsia="Times New Roman"/>
        </w:rPr>
        <w:t>about</w:t>
      </w:r>
      <w:r w:rsidR="000F3E81" w:rsidRPr="00700559">
        <w:rPr>
          <w:rFonts w:eastAsia="Times New Roman"/>
        </w:rPr>
        <w:t xml:space="preserve"> data export and Government Regulatory Compliance (GRC) </w:t>
      </w:r>
      <w:r w:rsidR="000F3E81">
        <w:rPr>
          <w:rFonts w:eastAsia="Times New Roman"/>
        </w:rPr>
        <w:t>for</w:t>
      </w:r>
      <w:r w:rsidR="000F3E81" w:rsidRPr="00700559">
        <w:rPr>
          <w:rFonts w:eastAsia="Times New Roman"/>
        </w:rPr>
        <w:t xml:space="preserve"> some data sets. This information needs to be understood before deploying any applications or services.</w:t>
      </w:r>
    </w:p>
    <w:p w14:paraId="3AFF1FD5" w14:textId="20DBDCA7" w:rsidR="00A15D8C" w:rsidRDefault="000F3E81" w:rsidP="000F3E81">
      <w:pPr>
        <w:rPr>
          <w:rFonts w:eastAsia="Times New Roman"/>
        </w:rPr>
      </w:pPr>
      <w:r w:rsidRPr="00A15D8C">
        <w:rPr>
          <w:rFonts w:eastAsia="Times New Roman"/>
        </w:rPr>
        <w:t xml:space="preserve">When you create a storage account, you select the primary region for the account. </w:t>
      </w:r>
      <w:r>
        <w:rPr>
          <w:rFonts w:eastAsia="Times New Roman"/>
        </w:rPr>
        <w:t>When enabling geographic replication of a storage account, t</w:t>
      </w:r>
      <w:r w:rsidRPr="00A15D8C">
        <w:rPr>
          <w:rFonts w:eastAsia="Times New Roman"/>
        </w:rPr>
        <w:t xml:space="preserve">he secondary region is determined based on the primary region, and </w:t>
      </w:r>
      <w:r>
        <w:rPr>
          <w:rFonts w:eastAsia="Times New Roman"/>
        </w:rPr>
        <w:t xml:space="preserve">it </w:t>
      </w:r>
      <w:r w:rsidRPr="00A15D8C">
        <w:rPr>
          <w:rFonts w:eastAsia="Times New Roman"/>
        </w:rPr>
        <w:t xml:space="preserve">cannot be changed. The following table shows the </w:t>
      </w:r>
      <w:r>
        <w:rPr>
          <w:rFonts w:eastAsia="Times New Roman"/>
        </w:rPr>
        <w:t>current</w:t>
      </w:r>
      <w:r w:rsidRPr="00A15D8C">
        <w:rPr>
          <w:rFonts w:eastAsia="Times New Roman"/>
        </w:rPr>
        <w:t xml:space="preserve"> primary and secondary region pairings</w:t>
      </w:r>
      <w:r>
        <w:rPr>
          <w:rFonts w:eastAsia="Times New Roman"/>
        </w:rPr>
        <w:t xml:space="preserve"> when geographically replicated storage is used</w:t>
      </w:r>
      <w:r w:rsidRPr="00A15D8C">
        <w:rPr>
          <w:rFonts w:eastAsia="Times New Roman"/>
        </w:rPr>
        <w:t>:</w:t>
      </w:r>
    </w:p>
    <w:p w14:paraId="7E6BD04D" w14:textId="3D1E8DBF" w:rsidR="00A15D8C" w:rsidRDefault="00A15D8C" w:rsidP="00700559">
      <w:pPr>
        <w:shd w:val="clear" w:color="auto" w:fill="FFFFFF"/>
        <w:spacing w:before="0" w:after="0" w:line="240" w:lineRule="auto"/>
        <w:rPr>
          <w:rFonts w:eastAsia="Times New Roman" w:cs="Segoe UI"/>
          <w:color w:val="000000"/>
        </w:rPr>
      </w:pPr>
    </w:p>
    <w:tbl>
      <w:tblPr>
        <w:tblStyle w:val="PlainTable11"/>
        <w:tblW w:w="4675" w:type="dxa"/>
        <w:jc w:val="center"/>
        <w:tblLook w:val="0420" w:firstRow="1" w:lastRow="0" w:firstColumn="0" w:lastColumn="0" w:noHBand="0" w:noVBand="1"/>
      </w:tblPr>
      <w:tblGrid>
        <w:gridCol w:w="2425"/>
        <w:gridCol w:w="2250"/>
      </w:tblGrid>
      <w:tr w:rsidR="00E54FD4" w:rsidRPr="00286C3E" w14:paraId="282A5AB0" w14:textId="77777777" w:rsidTr="00286C3E">
        <w:trPr>
          <w:cnfStyle w:val="100000000000" w:firstRow="1" w:lastRow="0" w:firstColumn="0" w:lastColumn="0" w:oddVBand="0" w:evenVBand="0" w:oddHBand="0" w:evenHBand="0" w:firstRowFirstColumn="0" w:firstRowLastColumn="0" w:lastRowFirstColumn="0" w:lastRowLastColumn="0"/>
          <w:jc w:val="center"/>
        </w:trPr>
        <w:tc>
          <w:tcPr>
            <w:tcW w:w="2425" w:type="dxa"/>
            <w:shd w:val="clear" w:color="auto" w:fill="808080" w:themeFill="background1" w:themeFillShade="80"/>
            <w:hideMark/>
          </w:tcPr>
          <w:p w14:paraId="0045EBF4" w14:textId="73B93EC6" w:rsidR="00E54FD4" w:rsidRPr="00286C3E" w:rsidRDefault="00E54FD4" w:rsidP="00306519">
            <w:pPr>
              <w:spacing w:line="240" w:lineRule="auto"/>
              <w:rPr>
                <w:rFonts w:ascii="Times New Roman" w:hAnsi="Times New Roman"/>
                <w:bCs w:val="0"/>
                <w:color w:val="FFFFFF"/>
                <w:lang w:val="en-AU" w:eastAsia="en-AU"/>
              </w:rPr>
            </w:pPr>
            <w:r w:rsidRPr="00286C3E">
              <w:rPr>
                <w:rFonts w:eastAsia="Calibri"/>
                <w:bCs w:val="0"/>
                <w:color w:val="FFFFFF"/>
                <w:lang w:val="en-AU" w:eastAsia="en-AU"/>
              </w:rPr>
              <w:t>Primary Region</w:t>
            </w:r>
          </w:p>
        </w:tc>
        <w:tc>
          <w:tcPr>
            <w:tcW w:w="2250" w:type="dxa"/>
            <w:shd w:val="clear" w:color="auto" w:fill="808080" w:themeFill="background1" w:themeFillShade="80"/>
            <w:hideMark/>
          </w:tcPr>
          <w:p w14:paraId="1579A332" w14:textId="0B2392FF" w:rsidR="00E54FD4" w:rsidRPr="00286C3E" w:rsidRDefault="00E54FD4" w:rsidP="00306519">
            <w:pPr>
              <w:spacing w:line="240" w:lineRule="auto"/>
              <w:rPr>
                <w:rFonts w:eastAsia="Calibri"/>
                <w:color w:val="FFFFFF"/>
                <w:lang w:val="en-AU" w:eastAsia="en-AU"/>
              </w:rPr>
            </w:pPr>
            <w:r w:rsidRPr="00286C3E">
              <w:rPr>
                <w:rFonts w:eastAsia="Calibri"/>
                <w:bCs w:val="0"/>
                <w:color w:val="FFFFFF"/>
                <w:lang w:val="en-AU" w:eastAsia="en-AU"/>
              </w:rPr>
              <w:t>Secondary Region</w:t>
            </w:r>
          </w:p>
        </w:tc>
      </w:tr>
      <w:tr w:rsidR="00E54FD4" w14:paraId="3A87BB3B" w14:textId="77777777" w:rsidTr="00286C3E">
        <w:trPr>
          <w:cnfStyle w:val="000000100000" w:firstRow="0" w:lastRow="0" w:firstColumn="0" w:lastColumn="0" w:oddVBand="0" w:evenVBand="0" w:oddHBand="1" w:evenHBand="0" w:firstRowFirstColumn="0" w:firstRowLastColumn="0" w:lastRowFirstColumn="0" w:lastRowLastColumn="0"/>
          <w:jc w:val="center"/>
        </w:trPr>
        <w:tc>
          <w:tcPr>
            <w:tcW w:w="2425" w:type="dxa"/>
            <w:hideMark/>
          </w:tcPr>
          <w:p w14:paraId="7BE5CBEE" w14:textId="306052B6" w:rsidR="00E54FD4" w:rsidRPr="00236F1B" w:rsidRDefault="00E54FD4" w:rsidP="00306519">
            <w:pPr>
              <w:pStyle w:val="NormalWeb"/>
              <w:rPr>
                <w:rFonts w:ascii="Segoe UI" w:hAnsi="Segoe UI" w:cs="Segoe UI"/>
                <w:sz w:val="20"/>
                <w:szCs w:val="20"/>
                <w:lang w:val="en-AU" w:eastAsia="en-AU"/>
              </w:rPr>
            </w:pPr>
            <w:r>
              <w:rPr>
                <w:rFonts w:ascii="Segoe UI" w:hAnsi="Segoe UI" w:cs="Segoe UI"/>
                <w:bCs/>
                <w:sz w:val="20"/>
                <w:szCs w:val="20"/>
                <w:lang w:val="en-AU" w:eastAsia="en-AU"/>
              </w:rPr>
              <w:t>North Central US</w:t>
            </w:r>
          </w:p>
        </w:tc>
        <w:tc>
          <w:tcPr>
            <w:tcW w:w="2250" w:type="dxa"/>
            <w:hideMark/>
          </w:tcPr>
          <w:p w14:paraId="39CD59EE" w14:textId="58CFF2EA" w:rsidR="00E54FD4" w:rsidRPr="00F47607"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South Central US</w:t>
            </w:r>
          </w:p>
        </w:tc>
      </w:tr>
      <w:tr w:rsidR="00E54FD4" w14:paraId="3A56D3B8" w14:textId="77777777" w:rsidTr="00286C3E">
        <w:trPr>
          <w:jc w:val="center"/>
        </w:trPr>
        <w:tc>
          <w:tcPr>
            <w:tcW w:w="2425" w:type="dxa"/>
            <w:hideMark/>
          </w:tcPr>
          <w:p w14:paraId="04269D34" w14:textId="0F8AC4FC" w:rsidR="00E54FD4" w:rsidRPr="00236F1B" w:rsidRDefault="00E54FD4"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South Central US</w:t>
            </w:r>
          </w:p>
        </w:tc>
        <w:tc>
          <w:tcPr>
            <w:tcW w:w="2250" w:type="dxa"/>
            <w:hideMark/>
          </w:tcPr>
          <w:p w14:paraId="58699467" w14:textId="58665CAC" w:rsidR="00E54FD4" w:rsidRPr="00F47607"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North Central US</w:t>
            </w:r>
          </w:p>
        </w:tc>
      </w:tr>
      <w:tr w:rsidR="00E54FD4" w14:paraId="20B4161B" w14:textId="77777777" w:rsidTr="00286C3E">
        <w:trPr>
          <w:cnfStyle w:val="000000100000" w:firstRow="0" w:lastRow="0" w:firstColumn="0" w:lastColumn="0" w:oddVBand="0" w:evenVBand="0" w:oddHBand="1" w:evenHBand="0" w:firstRowFirstColumn="0" w:firstRowLastColumn="0" w:lastRowFirstColumn="0" w:lastRowLastColumn="0"/>
          <w:jc w:val="center"/>
        </w:trPr>
        <w:tc>
          <w:tcPr>
            <w:tcW w:w="2425" w:type="dxa"/>
          </w:tcPr>
          <w:p w14:paraId="300506CC" w14:textId="284A850F" w:rsidR="00E54FD4" w:rsidRPr="00236F1B" w:rsidRDefault="00E54FD4"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East US</w:t>
            </w:r>
          </w:p>
        </w:tc>
        <w:tc>
          <w:tcPr>
            <w:tcW w:w="2250" w:type="dxa"/>
          </w:tcPr>
          <w:p w14:paraId="4BE2887D" w14:textId="4E6845D4" w:rsidR="00E54FD4" w:rsidRPr="00236F1B" w:rsidRDefault="00E54FD4"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West US</w:t>
            </w:r>
          </w:p>
        </w:tc>
      </w:tr>
      <w:tr w:rsidR="00E54FD4" w14:paraId="26042E99" w14:textId="77777777" w:rsidTr="00286C3E">
        <w:trPr>
          <w:jc w:val="center"/>
        </w:trPr>
        <w:tc>
          <w:tcPr>
            <w:tcW w:w="2425" w:type="dxa"/>
          </w:tcPr>
          <w:p w14:paraId="37C0BE2F" w14:textId="2B1F8550" w:rsidR="00E54FD4" w:rsidRDefault="00E54FD4"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West US</w:t>
            </w:r>
          </w:p>
        </w:tc>
        <w:tc>
          <w:tcPr>
            <w:tcW w:w="2250" w:type="dxa"/>
          </w:tcPr>
          <w:p w14:paraId="784CE9A3" w14:textId="25AC0A44"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East US</w:t>
            </w:r>
          </w:p>
        </w:tc>
      </w:tr>
      <w:tr w:rsidR="00E54FD4" w14:paraId="5AE3862E" w14:textId="77777777" w:rsidTr="00286C3E">
        <w:trPr>
          <w:cnfStyle w:val="000000100000" w:firstRow="0" w:lastRow="0" w:firstColumn="0" w:lastColumn="0" w:oddVBand="0" w:evenVBand="0" w:oddHBand="1" w:evenHBand="0" w:firstRowFirstColumn="0" w:firstRowLastColumn="0" w:lastRowFirstColumn="0" w:lastRowLastColumn="0"/>
          <w:jc w:val="center"/>
        </w:trPr>
        <w:tc>
          <w:tcPr>
            <w:tcW w:w="2425" w:type="dxa"/>
          </w:tcPr>
          <w:p w14:paraId="097C5A5C" w14:textId="7BCAEA24" w:rsidR="00E54FD4" w:rsidRDefault="00E54FD4"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US East 2</w:t>
            </w:r>
          </w:p>
        </w:tc>
        <w:tc>
          <w:tcPr>
            <w:tcW w:w="2250" w:type="dxa"/>
          </w:tcPr>
          <w:p w14:paraId="02A3266F" w14:textId="6E55BC48"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Central US</w:t>
            </w:r>
          </w:p>
        </w:tc>
      </w:tr>
      <w:tr w:rsidR="00E54FD4" w14:paraId="7FD42031" w14:textId="77777777" w:rsidTr="00286C3E">
        <w:trPr>
          <w:jc w:val="center"/>
        </w:trPr>
        <w:tc>
          <w:tcPr>
            <w:tcW w:w="2425" w:type="dxa"/>
          </w:tcPr>
          <w:p w14:paraId="659F8A12" w14:textId="73CF9C07" w:rsidR="00E54FD4" w:rsidRDefault="00E54FD4"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Central US</w:t>
            </w:r>
          </w:p>
        </w:tc>
        <w:tc>
          <w:tcPr>
            <w:tcW w:w="2250" w:type="dxa"/>
          </w:tcPr>
          <w:p w14:paraId="3480BBF1" w14:textId="33932EFE"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US East 2</w:t>
            </w:r>
          </w:p>
        </w:tc>
      </w:tr>
      <w:tr w:rsidR="00E54FD4" w14:paraId="1E81C0D6" w14:textId="77777777" w:rsidTr="00286C3E">
        <w:trPr>
          <w:cnfStyle w:val="000000100000" w:firstRow="0" w:lastRow="0" w:firstColumn="0" w:lastColumn="0" w:oddVBand="0" w:evenVBand="0" w:oddHBand="1" w:evenHBand="0" w:firstRowFirstColumn="0" w:firstRowLastColumn="0" w:lastRowFirstColumn="0" w:lastRowLastColumn="0"/>
          <w:jc w:val="center"/>
        </w:trPr>
        <w:tc>
          <w:tcPr>
            <w:tcW w:w="2425" w:type="dxa"/>
          </w:tcPr>
          <w:p w14:paraId="07E3F8AE" w14:textId="09CF3CD6" w:rsidR="00E54FD4" w:rsidRDefault="00E54FD4"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North Europe</w:t>
            </w:r>
          </w:p>
        </w:tc>
        <w:tc>
          <w:tcPr>
            <w:tcW w:w="2250" w:type="dxa"/>
          </w:tcPr>
          <w:p w14:paraId="4FC7EEDF" w14:textId="2DE245D3"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West Europe</w:t>
            </w:r>
          </w:p>
        </w:tc>
      </w:tr>
      <w:tr w:rsidR="00E54FD4" w14:paraId="64C10939" w14:textId="77777777" w:rsidTr="00286C3E">
        <w:trPr>
          <w:jc w:val="center"/>
        </w:trPr>
        <w:tc>
          <w:tcPr>
            <w:tcW w:w="2425" w:type="dxa"/>
          </w:tcPr>
          <w:p w14:paraId="72CFA416" w14:textId="4C1CD14A" w:rsidR="00E54FD4" w:rsidRDefault="00E54FD4"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West Europe</w:t>
            </w:r>
          </w:p>
        </w:tc>
        <w:tc>
          <w:tcPr>
            <w:tcW w:w="2250" w:type="dxa"/>
          </w:tcPr>
          <w:p w14:paraId="22D6D1BC" w14:textId="0D308231"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North Europe</w:t>
            </w:r>
          </w:p>
        </w:tc>
      </w:tr>
      <w:tr w:rsidR="00E54FD4" w14:paraId="6273C5F9" w14:textId="77777777" w:rsidTr="00286C3E">
        <w:trPr>
          <w:cnfStyle w:val="000000100000" w:firstRow="0" w:lastRow="0" w:firstColumn="0" w:lastColumn="0" w:oddVBand="0" w:evenVBand="0" w:oddHBand="1" w:evenHBand="0" w:firstRowFirstColumn="0" w:firstRowLastColumn="0" w:lastRowFirstColumn="0" w:lastRowLastColumn="0"/>
          <w:jc w:val="center"/>
        </w:trPr>
        <w:tc>
          <w:tcPr>
            <w:tcW w:w="2425" w:type="dxa"/>
          </w:tcPr>
          <w:p w14:paraId="5C8BB7C8" w14:textId="130072C1" w:rsidR="00E54FD4" w:rsidRDefault="00E54FD4"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Southeast Asia</w:t>
            </w:r>
          </w:p>
        </w:tc>
        <w:tc>
          <w:tcPr>
            <w:tcW w:w="2250" w:type="dxa"/>
          </w:tcPr>
          <w:p w14:paraId="771658F5" w14:textId="133F1103"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East Asia</w:t>
            </w:r>
          </w:p>
        </w:tc>
      </w:tr>
      <w:tr w:rsidR="00E54FD4" w14:paraId="54F09989" w14:textId="77777777" w:rsidTr="00286C3E">
        <w:trPr>
          <w:jc w:val="center"/>
        </w:trPr>
        <w:tc>
          <w:tcPr>
            <w:tcW w:w="2425" w:type="dxa"/>
          </w:tcPr>
          <w:p w14:paraId="37DE67A0" w14:textId="2D3EF749" w:rsidR="00E54FD4" w:rsidRDefault="00E54FD4"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East Asia</w:t>
            </w:r>
          </w:p>
        </w:tc>
        <w:tc>
          <w:tcPr>
            <w:tcW w:w="2250" w:type="dxa"/>
          </w:tcPr>
          <w:p w14:paraId="6A3A2D81" w14:textId="63A16F2E"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Southeast Asia</w:t>
            </w:r>
          </w:p>
        </w:tc>
      </w:tr>
      <w:tr w:rsidR="00E54FD4" w14:paraId="021E9EE0" w14:textId="77777777" w:rsidTr="00286C3E">
        <w:trPr>
          <w:cnfStyle w:val="000000100000" w:firstRow="0" w:lastRow="0" w:firstColumn="0" w:lastColumn="0" w:oddVBand="0" w:evenVBand="0" w:oddHBand="1" w:evenHBand="0" w:firstRowFirstColumn="0" w:firstRowLastColumn="0" w:lastRowFirstColumn="0" w:lastRowLastColumn="0"/>
          <w:jc w:val="center"/>
        </w:trPr>
        <w:tc>
          <w:tcPr>
            <w:tcW w:w="2425" w:type="dxa"/>
          </w:tcPr>
          <w:p w14:paraId="631BFA60" w14:textId="6BC1A082" w:rsidR="00E54FD4" w:rsidRDefault="00E54FD4"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East China</w:t>
            </w:r>
          </w:p>
        </w:tc>
        <w:tc>
          <w:tcPr>
            <w:tcW w:w="2250" w:type="dxa"/>
          </w:tcPr>
          <w:p w14:paraId="43612D96" w14:textId="7E3790B7" w:rsidR="00E54FD4" w:rsidRDefault="00E54FD4" w:rsidP="00306519">
            <w:pPr>
              <w:pStyle w:val="NormalWeb"/>
              <w:rPr>
                <w:rFonts w:ascii="Segoe UI" w:hAnsi="Segoe UI" w:cs="Segoe UI"/>
                <w:sz w:val="20"/>
                <w:szCs w:val="20"/>
                <w:lang w:val="en-AU" w:eastAsia="en-AU"/>
              </w:rPr>
            </w:pPr>
            <w:r>
              <w:rPr>
                <w:rFonts w:ascii="Segoe UI" w:hAnsi="Segoe UI" w:cs="Segoe UI"/>
                <w:sz w:val="20"/>
                <w:szCs w:val="20"/>
                <w:lang w:val="en-AU" w:eastAsia="en-AU"/>
              </w:rPr>
              <w:t>North China</w:t>
            </w:r>
          </w:p>
        </w:tc>
      </w:tr>
      <w:tr w:rsidR="00E54FD4" w14:paraId="2B6FB013" w14:textId="77777777" w:rsidTr="00286C3E">
        <w:trPr>
          <w:jc w:val="center"/>
        </w:trPr>
        <w:tc>
          <w:tcPr>
            <w:tcW w:w="2425" w:type="dxa"/>
          </w:tcPr>
          <w:p w14:paraId="5774ADF2" w14:textId="07A37873" w:rsidR="00E54FD4" w:rsidRDefault="003C18DA"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North China</w:t>
            </w:r>
          </w:p>
        </w:tc>
        <w:tc>
          <w:tcPr>
            <w:tcW w:w="2250" w:type="dxa"/>
          </w:tcPr>
          <w:p w14:paraId="32421014" w14:textId="25508216" w:rsidR="00E54FD4" w:rsidRDefault="003C18DA" w:rsidP="00306519">
            <w:pPr>
              <w:pStyle w:val="NormalWeb"/>
              <w:rPr>
                <w:rFonts w:ascii="Segoe UI" w:hAnsi="Segoe UI" w:cs="Segoe UI"/>
                <w:sz w:val="20"/>
                <w:szCs w:val="20"/>
                <w:lang w:val="en-AU" w:eastAsia="en-AU"/>
              </w:rPr>
            </w:pPr>
            <w:r>
              <w:rPr>
                <w:rFonts w:ascii="Segoe UI" w:hAnsi="Segoe UI" w:cs="Segoe UI"/>
                <w:sz w:val="20"/>
                <w:szCs w:val="20"/>
                <w:lang w:val="en-AU" w:eastAsia="en-AU"/>
              </w:rPr>
              <w:t>East China</w:t>
            </w:r>
          </w:p>
        </w:tc>
      </w:tr>
      <w:tr w:rsidR="003C18DA" w14:paraId="77DADFA2" w14:textId="77777777" w:rsidTr="00286C3E">
        <w:trPr>
          <w:cnfStyle w:val="000000100000" w:firstRow="0" w:lastRow="0" w:firstColumn="0" w:lastColumn="0" w:oddVBand="0" w:evenVBand="0" w:oddHBand="1" w:evenHBand="0" w:firstRowFirstColumn="0" w:firstRowLastColumn="0" w:lastRowFirstColumn="0" w:lastRowLastColumn="0"/>
          <w:jc w:val="center"/>
        </w:trPr>
        <w:tc>
          <w:tcPr>
            <w:tcW w:w="2425" w:type="dxa"/>
          </w:tcPr>
          <w:p w14:paraId="1D6C09E2" w14:textId="22C242F0" w:rsidR="003C18DA" w:rsidRDefault="003C18DA"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Japan East</w:t>
            </w:r>
          </w:p>
        </w:tc>
        <w:tc>
          <w:tcPr>
            <w:tcW w:w="2250" w:type="dxa"/>
          </w:tcPr>
          <w:p w14:paraId="54C3D54D" w14:textId="118EB90C" w:rsidR="003C18DA" w:rsidRDefault="003C18DA" w:rsidP="00306519">
            <w:pPr>
              <w:pStyle w:val="NormalWeb"/>
              <w:rPr>
                <w:rFonts w:ascii="Segoe UI" w:hAnsi="Segoe UI" w:cs="Segoe UI"/>
                <w:sz w:val="20"/>
                <w:szCs w:val="20"/>
                <w:lang w:val="en-AU" w:eastAsia="en-AU"/>
              </w:rPr>
            </w:pPr>
            <w:r>
              <w:rPr>
                <w:rFonts w:ascii="Segoe UI" w:hAnsi="Segoe UI" w:cs="Segoe UI"/>
                <w:sz w:val="20"/>
                <w:szCs w:val="20"/>
                <w:lang w:val="en-AU" w:eastAsia="en-AU"/>
              </w:rPr>
              <w:t>Japan West</w:t>
            </w:r>
          </w:p>
        </w:tc>
      </w:tr>
      <w:tr w:rsidR="003C18DA" w14:paraId="618A54F0" w14:textId="77777777" w:rsidTr="00286C3E">
        <w:trPr>
          <w:jc w:val="center"/>
        </w:trPr>
        <w:tc>
          <w:tcPr>
            <w:tcW w:w="2425" w:type="dxa"/>
          </w:tcPr>
          <w:p w14:paraId="4FCE7A13" w14:textId="12E966DD" w:rsidR="003C18DA" w:rsidRDefault="003C18DA"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Japan West</w:t>
            </w:r>
          </w:p>
        </w:tc>
        <w:tc>
          <w:tcPr>
            <w:tcW w:w="2250" w:type="dxa"/>
          </w:tcPr>
          <w:p w14:paraId="3F2DF7DB" w14:textId="1F1BE070" w:rsidR="003C18DA" w:rsidRDefault="003C18DA" w:rsidP="00306519">
            <w:pPr>
              <w:pStyle w:val="NormalWeb"/>
              <w:rPr>
                <w:rFonts w:ascii="Segoe UI" w:hAnsi="Segoe UI" w:cs="Segoe UI"/>
                <w:sz w:val="20"/>
                <w:szCs w:val="20"/>
                <w:lang w:val="en-AU" w:eastAsia="en-AU"/>
              </w:rPr>
            </w:pPr>
            <w:r>
              <w:rPr>
                <w:rFonts w:ascii="Segoe UI" w:hAnsi="Segoe UI" w:cs="Segoe UI"/>
                <w:sz w:val="20"/>
                <w:szCs w:val="20"/>
                <w:lang w:val="en-AU" w:eastAsia="en-AU"/>
              </w:rPr>
              <w:t>Japan East</w:t>
            </w:r>
          </w:p>
        </w:tc>
      </w:tr>
      <w:tr w:rsidR="003C18DA" w14:paraId="47A28A8F" w14:textId="77777777" w:rsidTr="00286C3E">
        <w:trPr>
          <w:cnfStyle w:val="000000100000" w:firstRow="0" w:lastRow="0" w:firstColumn="0" w:lastColumn="0" w:oddVBand="0" w:evenVBand="0" w:oddHBand="1" w:evenHBand="0" w:firstRowFirstColumn="0" w:firstRowLastColumn="0" w:lastRowFirstColumn="0" w:lastRowLastColumn="0"/>
          <w:jc w:val="center"/>
        </w:trPr>
        <w:tc>
          <w:tcPr>
            <w:tcW w:w="2425" w:type="dxa"/>
          </w:tcPr>
          <w:p w14:paraId="67F0C43B" w14:textId="41AA7D92" w:rsidR="003C18DA" w:rsidRDefault="003C18DA" w:rsidP="00306519">
            <w:pPr>
              <w:pStyle w:val="NormalWeb"/>
              <w:rPr>
                <w:rFonts w:ascii="Segoe UI" w:hAnsi="Segoe UI" w:cs="Segoe UI"/>
                <w:bCs/>
                <w:sz w:val="20"/>
                <w:szCs w:val="20"/>
                <w:lang w:val="en-AU" w:eastAsia="en-AU"/>
              </w:rPr>
            </w:pPr>
            <w:r>
              <w:rPr>
                <w:rFonts w:ascii="Segoe UI" w:hAnsi="Segoe UI" w:cs="Segoe UI"/>
                <w:bCs/>
                <w:sz w:val="20"/>
                <w:szCs w:val="20"/>
                <w:lang w:val="en-AU" w:eastAsia="en-AU"/>
              </w:rPr>
              <w:t>Brazil South</w:t>
            </w:r>
          </w:p>
        </w:tc>
        <w:tc>
          <w:tcPr>
            <w:tcW w:w="2250" w:type="dxa"/>
          </w:tcPr>
          <w:p w14:paraId="1AA5044C" w14:textId="44A019EA" w:rsidR="003C18DA" w:rsidRDefault="003C18DA" w:rsidP="00306519">
            <w:pPr>
              <w:pStyle w:val="NormalWeb"/>
              <w:rPr>
                <w:rFonts w:ascii="Segoe UI" w:hAnsi="Segoe UI" w:cs="Segoe UI"/>
                <w:sz w:val="20"/>
                <w:szCs w:val="20"/>
                <w:lang w:val="en-AU" w:eastAsia="en-AU"/>
              </w:rPr>
            </w:pPr>
            <w:r>
              <w:rPr>
                <w:rFonts w:ascii="Segoe UI" w:hAnsi="Segoe UI" w:cs="Segoe UI"/>
                <w:sz w:val="20"/>
                <w:szCs w:val="20"/>
                <w:lang w:val="en-AU" w:eastAsia="en-AU"/>
              </w:rPr>
              <w:t>South Central US</w:t>
            </w:r>
          </w:p>
        </w:tc>
      </w:tr>
      <w:tr w:rsidR="003C18DA" w14:paraId="66C3A5BF" w14:textId="77777777" w:rsidTr="00286C3E">
        <w:trPr>
          <w:jc w:val="center"/>
        </w:trPr>
        <w:tc>
          <w:tcPr>
            <w:tcW w:w="2425" w:type="dxa"/>
          </w:tcPr>
          <w:p w14:paraId="31230C07" w14:textId="44FCC9E4" w:rsidR="003C18DA" w:rsidRDefault="003C18DA" w:rsidP="003C18DA">
            <w:pPr>
              <w:pStyle w:val="NormalWeb"/>
              <w:rPr>
                <w:rFonts w:ascii="Segoe UI" w:hAnsi="Segoe UI" w:cs="Segoe UI"/>
                <w:bCs/>
                <w:sz w:val="20"/>
                <w:szCs w:val="20"/>
                <w:lang w:val="en-AU" w:eastAsia="en-AU"/>
              </w:rPr>
            </w:pPr>
            <w:r>
              <w:rPr>
                <w:rFonts w:ascii="Segoe UI" w:hAnsi="Segoe UI" w:cs="Segoe UI"/>
                <w:bCs/>
                <w:sz w:val="20"/>
                <w:szCs w:val="20"/>
                <w:lang w:val="en-AU" w:eastAsia="en-AU"/>
              </w:rPr>
              <w:t>Australia East</w:t>
            </w:r>
          </w:p>
        </w:tc>
        <w:tc>
          <w:tcPr>
            <w:tcW w:w="2250" w:type="dxa"/>
          </w:tcPr>
          <w:p w14:paraId="28913C51" w14:textId="30DA162E" w:rsidR="003C18DA" w:rsidRDefault="003C18DA" w:rsidP="00306519">
            <w:pPr>
              <w:pStyle w:val="NormalWeb"/>
              <w:rPr>
                <w:rFonts w:ascii="Segoe UI" w:hAnsi="Segoe UI" w:cs="Segoe UI"/>
                <w:sz w:val="20"/>
                <w:szCs w:val="20"/>
                <w:lang w:val="en-AU" w:eastAsia="en-AU"/>
              </w:rPr>
            </w:pPr>
            <w:r>
              <w:rPr>
                <w:rFonts w:ascii="Segoe UI" w:hAnsi="Segoe UI" w:cs="Segoe UI"/>
                <w:sz w:val="20"/>
                <w:szCs w:val="20"/>
                <w:lang w:val="en-AU" w:eastAsia="en-AU"/>
              </w:rPr>
              <w:t>Australia Southeast</w:t>
            </w:r>
          </w:p>
        </w:tc>
      </w:tr>
      <w:tr w:rsidR="003C18DA" w14:paraId="6E4021B0" w14:textId="77777777" w:rsidTr="00286C3E">
        <w:trPr>
          <w:cnfStyle w:val="000000100000" w:firstRow="0" w:lastRow="0" w:firstColumn="0" w:lastColumn="0" w:oddVBand="0" w:evenVBand="0" w:oddHBand="1" w:evenHBand="0" w:firstRowFirstColumn="0" w:firstRowLastColumn="0" w:lastRowFirstColumn="0" w:lastRowLastColumn="0"/>
          <w:jc w:val="center"/>
        </w:trPr>
        <w:tc>
          <w:tcPr>
            <w:tcW w:w="2425" w:type="dxa"/>
          </w:tcPr>
          <w:p w14:paraId="44B655CD" w14:textId="2D5943BE" w:rsidR="003C18DA" w:rsidRDefault="003C18DA" w:rsidP="003C18DA">
            <w:pPr>
              <w:pStyle w:val="NormalWeb"/>
              <w:rPr>
                <w:rFonts w:ascii="Segoe UI" w:hAnsi="Segoe UI" w:cs="Segoe UI"/>
                <w:bCs/>
                <w:sz w:val="20"/>
                <w:szCs w:val="20"/>
                <w:lang w:val="en-AU" w:eastAsia="en-AU"/>
              </w:rPr>
            </w:pPr>
            <w:r>
              <w:rPr>
                <w:rFonts w:ascii="Segoe UI" w:hAnsi="Segoe UI" w:cs="Segoe UI"/>
                <w:bCs/>
                <w:sz w:val="20"/>
                <w:szCs w:val="20"/>
                <w:lang w:val="en-AU" w:eastAsia="en-AU"/>
              </w:rPr>
              <w:t>Australia Southeast</w:t>
            </w:r>
          </w:p>
        </w:tc>
        <w:tc>
          <w:tcPr>
            <w:tcW w:w="2250" w:type="dxa"/>
          </w:tcPr>
          <w:p w14:paraId="22067EED" w14:textId="54888B97" w:rsidR="003C18DA" w:rsidRDefault="003C18DA" w:rsidP="00306519">
            <w:pPr>
              <w:pStyle w:val="NormalWeb"/>
              <w:rPr>
                <w:rFonts w:ascii="Segoe UI" w:hAnsi="Segoe UI" w:cs="Segoe UI"/>
                <w:sz w:val="20"/>
                <w:szCs w:val="20"/>
                <w:lang w:val="en-AU" w:eastAsia="en-AU"/>
              </w:rPr>
            </w:pPr>
            <w:r>
              <w:rPr>
                <w:rFonts w:ascii="Segoe UI" w:hAnsi="Segoe UI" w:cs="Segoe UI"/>
                <w:sz w:val="20"/>
                <w:szCs w:val="20"/>
                <w:lang w:val="en-AU" w:eastAsia="en-AU"/>
              </w:rPr>
              <w:t>Australia East</w:t>
            </w:r>
          </w:p>
        </w:tc>
      </w:tr>
    </w:tbl>
    <w:p w14:paraId="08161D86" w14:textId="5C0D0623" w:rsidR="00A15D8C" w:rsidRPr="00700559" w:rsidRDefault="00A15D8C" w:rsidP="00700559">
      <w:pPr>
        <w:shd w:val="clear" w:color="auto" w:fill="FFFFFF"/>
        <w:spacing w:before="0" w:after="0" w:line="240" w:lineRule="auto"/>
        <w:rPr>
          <w:rFonts w:eastAsia="Times New Roman" w:cs="Segoe UI"/>
          <w:color w:val="000000"/>
        </w:rPr>
      </w:pPr>
    </w:p>
    <w:p w14:paraId="4DC5FA74" w14:textId="78C041FB" w:rsidR="00700559" w:rsidRPr="00C17379" w:rsidRDefault="00700559" w:rsidP="005729D2">
      <w:pPr>
        <w:pStyle w:val="Heading4Numbered"/>
        <w:numPr>
          <w:ilvl w:val="3"/>
          <w:numId w:val="64"/>
        </w:numPr>
      </w:pPr>
      <w:r w:rsidRPr="00C17379">
        <w:t xml:space="preserve">Service </w:t>
      </w:r>
      <w:r w:rsidR="0059733A" w:rsidRPr="00C17379">
        <w:t>Capability</w:t>
      </w:r>
      <w:r w:rsidRPr="00C17379">
        <w:t xml:space="preserve"> and Availability</w:t>
      </w:r>
    </w:p>
    <w:p w14:paraId="5F616E25" w14:textId="3F8034A3" w:rsidR="000F3E81" w:rsidRDefault="00017743" w:rsidP="000F3E81">
      <w:pPr>
        <w:rPr>
          <w:rFonts w:eastAsia="Times New Roman" w:cs="Segoe UI"/>
          <w:color w:val="000000"/>
        </w:rPr>
      </w:pPr>
      <w:r>
        <w:rPr>
          <w:rFonts w:eastAsia="Times New Roman" w:cs="Segoe UI"/>
          <w:color w:val="000000"/>
        </w:rPr>
        <w:t>As</w:t>
      </w:r>
      <w:r w:rsidR="000F3E81">
        <w:rPr>
          <w:rFonts w:eastAsia="Times New Roman" w:cs="Segoe UI"/>
          <w:color w:val="000000"/>
        </w:rPr>
        <w:t xml:space="preserve"> described earlier, a</w:t>
      </w:r>
      <w:r w:rsidR="000F3E81" w:rsidRPr="00700559">
        <w:rPr>
          <w:rFonts w:eastAsia="Times New Roman" w:cs="Segoe UI"/>
          <w:color w:val="000000"/>
        </w:rPr>
        <w:t xml:space="preserve">ll the </w:t>
      </w:r>
      <w:r w:rsidR="000F3E81">
        <w:rPr>
          <w:rFonts w:eastAsia="Times New Roman" w:cs="Segoe UI"/>
          <w:color w:val="000000"/>
        </w:rPr>
        <w:t>Azure R</w:t>
      </w:r>
      <w:r w:rsidR="000F3E81" w:rsidRPr="00700559">
        <w:rPr>
          <w:rFonts w:eastAsia="Times New Roman" w:cs="Segoe UI"/>
          <w:color w:val="000000"/>
        </w:rPr>
        <w:t xml:space="preserve">egions are not equal when it comes to the </w:t>
      </w:r>
      <w:r w:rsidR="000F3E81">
        <w:rPr>
          <w:rFonts w:eastAsia="Times New Roman" w:cs="Segoe UI"/>
          <w:color w:val="000000"/>
        </w:rPr>
        <w:t>available</w:t>
      </w:r>
      <w:r w:rsidR="000F3E81" w:rsidRPr="00700559">
        <w:rPr>
          <w:rFonts w:eastAsia="Times New Roman" w:cs="Segoe UI"/>
          <w:color w:val="000000"/>
        </w:rPr>
        <w:t xml:space="preserve"> capabilities and services. Azure will first release a new feature </w:t>
      </w:r>
      <w:r w:rsidR="000F3E81">
        <w:rPr>
          <w:rFonts w:eastAsia="Times New Roman" w:cs="Segoe UI"/>
          <w:color w:val="000000"/>
        </w:rPr>
        <w:t>in</w:t>
      </w:r>
      <w:r w:rsidR="000F3E81" w:rsidRPr="00700559">
        <w:rPr>
          <w:rFonts w:eastAsia="Times New Roman" w:cs="Segoe UI"/>
          <w:color w:val="000000"/>
        </w:rPr>
        <w:t xml:space="preserve"> Preview</w:t>
      </w:r>
      <w:r w:rsidR="000F3E81">
        <w:rPr>
          <w:rFonts w:eastAsia="Times New Roman" w:cs="Segoe UI"/>
          <w:color w:val="000000"/>
        </w:rPr>
        <w:t xml:space="preserve"> and may only be available in certain regions, prior to being Generally Available (GA)</w:t>
      </w:r>
      <w:r w:rsidR="000F3E81" w:rsidRPr="00700559">
        <w:rPr>
          <w:rFonts w:eastAsia="Times New Roman" w:cs="Segoe UI"/>
          <w:color w:val="000000"/>
        </w:rPr>
        <w:t>.</w:t>
      </w:r>
      <w:r w:rsidR="000F3E81">
        <w:rPr>
          <w:rFonts w:eastAsia="Times New Roman" w:cs="Segoe UI"/>
          <w:color w:val="000000"/>
        </w:rPr>
        <w:t xml:space="preserve"> </w:t>
      </w:r>
    </w:p>
    <w:p w14:paraId="37CB7249" w14:textId="77777777" w:rsidR="000F3E81" w:rsidRPr="00700559" w:rsidRDefault="000F3E81" w:rsidP="000F3E81">
      <w:pPr>
        <w:rPr>
          <w:rFonts w:eastAsia="Times New Roman" w:cs="Segoe UI"/>
          <w:color w:val="000000"/>
        </w:rPr>
      </w:pPr>
      <w:r>
        <w:rPr>
          <w:rFonts w:eastAsia="Times New Roman" w:cs="Segoe UI"/>
          <w:color w:val="000000"/>
        </w:rPr>
        <w:t>Before</w:t>
      </w:r>
      <w:r w:rsidRPr="00700559">
        <w:rPr>
          <w:rFonts w:eastAsia="Times New Roman" w:cs="Segoe UI"/>
          <w:color w:val="000000"/>
        </w:rPr>
        <w:t xml:space="preserve"> deploying an Azure service</w:t>
      </w:r>
      <w:r>
        <w:rPr>
          <w:rFonts w:eastAsia="Times New Roman" w:cs="Segoe UI"/>
          <w:color w:val="000000"/>
        </w:rPr>
        <w:t>,</w:t>
      </w:r>
      <w:r w:rsidRPr="00700559">
        <w:rPr>
          <w:rFonts w:eastAsia="Times New Roman" w:cs="Segoe UI"/>
          <w:color w:val="000000"/>
        </w:rPr>
        <w:t xml:space="preserve"> review the</w:t>
      </w:r>
      <w:r>
        <w:rPr>
          <w:rFonts w:eastAsia="Times New Roman" w:cs="Segoe UI"/>
          <w:color w:val="000000"/>
        </w:rPr>
        <w:t xml:space="preserve"> following</w:t>
      </w:r>
      <w:r w:rsidRPr="00700559">
        <w:rPr>
          <w:rFonts w:eastAsia="Times New Roman" w:cs="Segoe UI"/>
          <w:color w:val="000000"/>
        </w:rPr>
        <w:t xml:space="preserve"> link and choose a region or regions </w:t>
      </w:r>
      <w:r>
        <w:rPr>
          <w:rFonts w:eastAsia="Times New Roman" w:cs="Segoe UI"/>
          <w:color w:val="000000"/>
        </w:rPr>
        <w:t xml:space="preserve">to verify what services are available in your selected region: </w:t>
      </w:r>
      <w:hyperlink r:id="rId39" w:anchor="services" w:history="1">
        <w:r>
          <w:rPr>
            <w:rStyle w:val="Hyperlink"/>
            <w:rFonts w:eastAsia="Times New Roman" w:cs="Segoe UI"/>
          </w:rPr>
          <w:t>Services by region</w:t>
        </w:r>
      </w:hyperlink>
      <w:r>
        <w:rPr>
          <w:rFonts w:eastAsia="Times New Roman" w:cs="Segoe UI"/>
          <w:color w:val="000000"/>
        </w:rPr>
        <w:t>.</w:t>
      </w:r>
    </w:p>
    <w:p w14:paraId="3212C66F" w14:textId="2FAEC8FD" w:rsidR="00700559" w:rsidRPr="00700559" w:rsidRDefault="00700559" w:rsidP="00C17379">
      <w:pPr>
        <w:rPr>
          <w:rFonts w:eastAsia="Times New Roman" w:cs="Segoe UI"/>
          <w:color w:val="000000"/>
        </w:rPr>
      </w:pPr>
    </w:p>
    <w:p w14:paraId="3B000BBC" w14:textId="03CA1A37" w:rsidR="00700559" w:rsidRPr="00C17379" w:rsidRDefault="00700559" w:rsidP="005729D2">
      <w:pPr>
        <w:pStyle w:val="Heading4Numbered"/>
        <w:numPr>
          <w:ilvl w:val="3"/>
          <w:numId w:val="64"/>
        </w:numPr>
      </w:pPr>
      <w:r w:rsidRPr="00C17379">
        <w:t>Network Performance</w:t>
      </w:r>
    </w:p>
    <w:p w14:paraId="0BCEF6AE" w14:textId="412E53B2" w:rsidR="00700559" w:rsidRPr="00700559" w:rsidRDefault="00700559" w:rsidP="00FE7CEE">
      <w:pPr>
        <w:rPr>
          <w:rFonts w:eastAsia="Times New Roman"/>
        </w:rPr>
      </w:pPr>
      <w:r w:rsidRPr="00700559">
        <w:rPr>
          <w:rFonts w:eastAsia="Times New Roman"/>
        </w:rPr>
        <w:t>The</w:t>
      </w:r>
      <w:r w:rsidR="009E7A06" w:rsidRPr="00700559">
        <w:rPr>
          <w:rFonts w:eastAsia="Times New Roman"/>
        </w:rPr>
        <w:t xml:space="preserve"> network topology of the Internet is complex when looking at bandwidth and routing.</w:t>
      </w:r>
      <w:r w:rsidR="009E7A06">
        <w:rPr>
          <w:rFonts w:eastAsia="Times New Roman"/>
        </w:rPr>
        <w:t xml:space="preserve"> </w:t>
      </w:r>
      <w:r w:rsidR="009E7A06" w:rsidRPr="00700559">
        <w:rPr>
          <w:rFonts w:eastAsia="Times New Roman"/>
        </w:rPr>
        <w:t>Routes from one end-point to another are not clear</w:t>
      </w:r>
      <w:r w:rsidR="009E7A06">
        <w:rPr>
          <w:rFonts w:eastAsia="Times New Roman"/>
        </w:rPr>
        <w:t>,</w:t>
      </w:r>
      <w:r w:rsidR="009E7A06" w:rsidRPr="00700559">
        <w:rPr>
          <w:rFonts w:eastAsia="Times New Roman"/>
        </w:rPr>
        <w:t xml:space="preserve"> and </w:t>
      </w:r>
      <w:r w:rsidR="009E7A06">
        <w:rPr>
          <w:rFonts w:eastAsia="Times New Roman"/>
        </w:rPr>
        <w:t xml:space="preserve">they </w:t>
      </w:r>
      <w:r w:rsidR="009E7A06" w:rsidRPr="00700559">
        <w:rPr>
          <w:rFonts w:eastAsia="Times New Roman"/>
        </w:rPr>
        <w:t xml:space="preserve">propagate </w:t>
      </w:r>
      <w:r w:rsidR="009E7A06">
        <w:rPr>
          <w:rFonts w:eastAsia="Times New Roman"/>
        </w:rPr>
        <w:t>between</w:t>
      </w:r>
      <w:r w:rsidR="009E7A06" w:rsidRPr="00700559">
        <w:rPr>
          <w:rFonts w:eastAsia="Times New Roman"/>
        </w:rPr>
        <w:t xml:space="preserve"> different ISPs while in route. </w:t>
      </w:r>
      <w:r w:rsidR="009E7A06">
        <w:rPr>
          <w:rFonts w:eastAsia="Times New Roman"/>
        </w:rPr>
        <w:t>It is best to v</w:t>
      </w:r>
      <w:r w:rsidR="009E7A06" w:rsidRPr="00700559">
        <w:rPr>
          <w:rFonts w:eastAsia="Times New Roman"/>
        </w:rPr>
        <w:t>alidate the latency between the customer location and Microsoft Azure region</w:t>
      </w:r>
      <w:r w:rsidR="009E7A06">
        <w:rPr>
          <w:rFonts w:eastAsia="Times New Roman"/>
        </w:rPr>
        <w:t>s</w:t>
      </w:r>
      <w:r w:rsidR="009E7A06">
        <w:rPr>
          <w:rStyle w:val="FootnoteReference"/>
          <w:rFonts w:eastAsia="Times New Roman" w:cs="Segoe UI"/>
          <w:color w:val="000000"/>
        </w:rPr>
        <w:footnoteReference w:id="2"/>
      </w:r>
      <w:r w:rsidR="009E7A06">
        <w:rPr>
          <w:rFonts w:eastAsia="Times New Roman"/>
        </w:rPr>
        <w:t>.</w:t>
      </w:r>
      <w:r w:rsidR="009E7A06" w:rsidRPr="00700559">
        <w:rPr>
          <w:rFonts w:eastAsia="Times New Roman"/>
        </w:rPr>
        <w:t xml:space="preserve"> </w:t>
      </w:r>
      <w:r w:rsidR="009E7A06">
        <w:rPr>
          <w:rFonts w:eastAsia="Times New Roman"/>
        </w:rPr>
        <w:t>C</w:t>
      </w:r>
      <w:r w:rsidR="009E7A06" w:rsidRPr="00700559">
        <w:rPr>
          <w:rFonts w:eastAsia="Times New Roman"/>
        </w:rPr>
        <w:t>hoose the one with the lowest latency</w:t>
      </w:r>
      <w:r w:rsidR="009E7A06">
        <w:rPr>
          <w:rFonts w:eastAsia="Times New Roman"/>
        </w:rPr>
        <w:t>, which</w:t>
      </w:r>
      <w:r w:rsidR="009E7A06" w:rsidRPr="00700559">
        <w:rPr>
          <w:rFonts w:eastAsia="Times New Roman"/>
        </w:rPr>
        <w:t xml:space="preserve"> will provide the best performance from a networking perspective</w:t>
      </w:r>
    </w:p>
    <w:p w14:paraId="10D2B9C0" w14:textId="7DB6E551" w:rsidR="00E9176C" w:rsidRDefault="00E9176C" w:rsidP="005729D2">
      <w:pPr>
        <w:pStyle w:val="Heading4Numbered"/>
        <w:numPr>
          <w:ilvl w:val="3"/>
          <w:numId w:val="64"/>
        </w:numPr>
      </w:pPr>
      <w:r>
        <w:t>Pricing</w:t>
      </w:r>
    </w:p>
    <w:p w14:paraId="4E8C7F00" w14:textId="1BE056BF" w:rsidR="00F87153" w:rsidRPr="00700559" w:rsidRDefault="00700559" w:rsidP="00C17379">
      <w:pPr>
        <w:rPr>
          <w:rFonts w:eastAsia="Times New Roman"/>
        </w:rPr>
      </w:pPr>
      <w:r w:rsidRPr="00700559">
        <w:rPr>
          <w:rFonts w:eastAsia="Times New Roman"/>
        </w:rPr>
        <w:t>The</w:t>
      </w:r>
      <w:r w:rsidR="009E7A06" w:rsidRPr="00700559">
        <w:rPr>
          <w:rFonts w:eastAsia="Times New Roman"/>
        </w:rPr>
        <w:t xml:space="preserve"> </w:t>
      </w:r>
      <w:r w:rsidR="009E7A06">
        <w:rPr>
          <w:rFonts w:eastAsia="Times New Roman"/>
        </w:rPr>
        <w:t xml:space="preserve">costs associated with </w:t>
      </w:r>
      <w:r w:rsidR="009E7A06" w:rsidRPr="00700559">
        <w:rPr>
          <w:rFonts w:eastAsia="Times New Roman"/>
        </w:rPr>
        <w:t xml:space="preserve">services within the different Azure regions </w:t>
      </w:r>
      <w:r w:rsidR="009E7A06">
        <w:rPr>
          <w:rFonts w:eastAsia="Times New Roman"/>
        </w:rPr>
        <w:t>are</w:t>
      </w:r>
      <w:r w:rsidR="009E7A06" w:rsidRPr="00700559">
        <w:rPr>
          <w:rFonts w:eastAsia="Times New Roman"/>
        </w:rPr>
        <w:t xml:space="preserve"> not necessarily the same.</w:t>
      </w:r>
      <w:r w:rsidR="009E7A06">
        <w:rPr>
          <w:rFonts w:eastAsia="Times New Roman"/>
        </w:rPr>
        <w:t xml:space="preserve"> </w:t>
      </w:r>
      <w:r w:rsidR="009E7A06" w:rsidRPr="00700559">
        <w:rPr>
          <w:rFonts w:eastAsia="Times New Roman"/>
        </w:rPr>
        <w:t xml:space="preserve">The cost for Azure services is controlled by many factors. If latency and GRC are not influencing the architectural design of the application or service, </w:t>
      </w:r>
      <w:r w:rsidR="009E7A06">
        <w:rPr>
          <w:rFonts w:eastAsia="Times New Roman"/>
        </w:rPr>
        <w:t>it may be best</w:t>
      </w:r>
      <w:r w:rsidR="009E7A06" w:rsidRPr="00700559">
        <w:rPr>
          <w:rFonts w:eastAsia="Times New Roman"/>
        </w:rPr>
        <w:t xml:space="preserve"> to deploy to </w:t>
      </w:r>
      <w:r w:rsidR="009E7A06">
        <w:rPr>
          <w:rFonts w:eastAsia="Times New Roman"/>
        </w:rPr>
        <w:t xml:space="preserve">the </w:t>
      </w:r>
      <w:r w:rsidR="009E7A06" w:rsidRPr="00700559">
        <w:rPr>
          <w:rFonts w:eastAsia="Times New Roman"/>
        </w:rPr>
        <w:t>region with the lowest costs.</w:t>
      </w:r>
      <w:r w:rsidR="009E7A06">
        <w:rPr>
          <w:rFonts w:eastAsia="Times New Roman"/>
        </w:rPr>
        <w:t xml:space="preserve"> Please refer to the following site for the pricing details of each service provided by Microsoft Azure: </w:t>
      </w:r>
      <w:hyperlink r:id="rId40" w:history="1">
        <w:r w:rsidR="009E7A06">
          <w:rPr>
            <w:rStyle w:val="Hyperlink"/>
            <w:rFonts w:eastAsia="Times New Roman" w:cs="Segoe UI"/>
          </w:rPr>
          <w:t>Azure Pricing</w:t>
        </w:r>
      </w:hyperlink>
      <w:r w:rsidR="009E7A06">
        <w:rPr>
          <w:lang w:val="en"/>
        </w:rPr>
        <w:t xml:space="preserve">. </w:t>
      </w:r>
      <w:r w:rsidR="00F87153">
        <w:rPr>
          <w:lang w:val="en"/>
        </w:rPr>
        <w:t xml:space="preserve"> </w:t>
      </w:r>
    </w:p>
    <w:p w14:paraId="4A30081E" w14:textId="348BEE41" w:rsidR="00700559" w:rsidRPr="00C17379" w:rsidRDefault="00F87153" w:rsidP="005729D2">
      <w:pPr>
        <w:pStyle w:val="Heading4Numbered"/>
        <w:numPr>
          <w:ilvl w:val="3"/>
          <w:numId w:val="64"/>
        </w:numPr>
      </w:pPr>
      <w:r w:rsidRPr="00C17379">
        <w:t>Geographic Re</w:t>
      </w:r>
      <w:r>
        <w:t xml:space="preserve">dundancy and High </w:t>
      </w:r>
      <w:r w:rsidR="00522602">
        <w:t>Availability</w:t>
      </w:r>
      <w:r>
        <w:t xml:space="preserve"> Across Datacenters</w:t>
      </w:r>
    </w:p>
    <w:p w14:paraId="745A90C4" w14:textId="6F0180D1" w:rsidR="009E7A06" w:rsidRDefault="00C87C4C" w:rsidP="009E7A06">
      <w:pPr>
        <w:rPr>
          <w:rFonts w:eastAsia="Times New Roman"/>
        </w:rPr>
      </w:pPr>
      <w:r>
        <w:rPr>
          <w:rFonts w:eastAsia="Times New Roman"/>
        </w:rPr>
        <w:t>One</w:t>
      </w:r>
      <w:r w:rsidR="009E7A06" w:rsidRPr="00700559">
        <w:rPr>
          <w:rFonts w:eastAsia="Times New Roman"/>
        </w:rPr>
        <w:t xml:space="preserve"> way to reduce the impact of a </w:t>
      </w:r>
      <w:r w:rsidR="009E7A06">
        <w:rPr>
          <w:rFonts w:eastAsia="Times New Roman"/>
        </w:rPr>
        <w:t>datacenter</w:t>
      </w:r>
      <w:r w:rsidR="009E7A06" w:rsidRPr="00700559">
        <w:rPr>
          <w:rFonts w:eastAsia="Times New Roman"/>
        </w:rPr>
        <w:t xml:space="preserve"> or regional service outage is to place these application</w:t>
      </w:r>
      <w:r w:rsidR="00BC6643">
        <w:rPr>
          <w:rFonts w:eastAsia="Times New Roman"/>
        </w:rPr>
        <w:t>s</w:t>
      </w:r>
      <w:r w:rsidR="009E7A06" w:rsidRPr="00700559">
        <w:rPr>
          <w:rFonts w:eastAsia="Times New Roman"/>
        </w:rPr>
        <w:t xml:space="preserve"> and services in multiple regions.</w:t>
      </w:r>
      <w:r w:rsidR="009E7A06">
        <w:rPr>
          <w:rFonts w:eastAsia="Times New Roman"/>
        </w:rPr>
        <w:t xml:space="preserve"> P</w:t>
      </w:r>
      <w:r w:rsidR="009E7A06" w:rsidRPr="00700559">
        <w:rPr>
          <w:rFonts w:eastAsia="Times New Roman"/>
        </w:rPr>
        <w:t xml:space="preserve">lacing a </w:t>
      </w:r>
      <w:r w:rsidR="009E7A06">
        <w:rPr>
          <w:rFonts w:eastAsia="Times New Roman"/>
        </w:rPr>
        <w:t>w</w:t>
      </w:r>
      <w:r w:rsidR="009E7A06" w:rsidRPr="00700559">
        <w:rPr>
          <w:rFonts w:eastAsia="Times New Roman"/>
        </w:rPr>
        <w:t xml:space="preserve">eb application or service in multiple Azure regions and tying those services together with Traffic Manager provides the required </w:t>
      </w:r>
      <w:r w:rsidR="009E7A06">
        <w:rPr>
          <w:rFonts w:eastAsia="Times New Roman"/>
        </w:rPr>
        <w:t xml:space="preserve">redundancy </w:t>
      </w:r>
      <w:r w:rsidR="009E7A06" w:rsidRPr="00700559">
        <w:rPr>
          <w:rFonts w:eastAsia="Times New Roman"/>
        </w:rPr>
        <w:t>to keep the service running.</w:t>
      </w:r>
      <w:r w:rsidR="009E7A06">
        <w:rPr>
          <w:rFonts w:eastAsia="Times New Roman"/>
        </w:rPr>
        <w:t xml:space="preserve"> </w:t>
      </w:r>
    </w:p>
    <w:p w14:paraId="5170B1E1" w14:textId="77777777" w:rsidR="009E7A06" w:rsidRDefault="009E7A06" w:rsidP="009E7A06">
      <w:r>
        <w:rPr>
          <w:rFonts w:eastAsia="Times New Roman"/>
        </w:rPr>
        <w:t>W</w:t>
      </w:r>
      <w:r w:rsidRPr="00700559">
        <w:rPr>
          <w:rFonts w:eastAsia="Times New Roman"/>
        </w:rPr>
        <w:t>hen an outage happens in one of other regions</w:t>
      </w:r>
      <w:r>
        <w:rPr>
          <w:rFonts w:eastAsia="Times New Roman"/>
        </w:rPr>
        <w:t>, t</w:t>
      </w:r>
      <w:r w:rsidRPr="00700559">
        <w:rPr>
          <w:rFonts w:eastAsia="Times New Roman"/>
        </w:rPr>
        <w:t xml:space="preserve">he required </w:t>
      </w:r>
      <w:r>
        <w:rPr>
          <w:rFonts w:eastAsia="Times New Roman"/>
        </w:rPr>
        <w:t>high availability</w:t>
      </w:r>
      <w:r w:rsidRPr="00700559">
        <w:rPr>
          <w:rFonts w:eastAsia="Times New Roman"/>
        </w:rPr>
        <w:t xml:space="preserve"> components will be in place and the services will remain available</w:t>
      </w:r>
      <w:r>
        <w:rPr>
          <w:rFonts w:eastAsia="Times New Roman"/>
        </w:rPr>
        <w:t xml:space="preserve"> to the end users</w:t>
      </w:r>
      <w:r w:rsidRPr="00700559">
        <w:rPr>
          <w:rFonts w:eastAsia="Times New Roman"/>
        </w:rPr>
        <w:t>.</w:t>
      </w:r>
      <w:r>
        <w:rPr>
          <w:rFonts w:eastAsia="Times New Roman"/>
        </w:rPr>
        <w:t xml:space="preserve"> </w:t>
      </w:r>
      <w:r w:rsidRPr="00700559">
        <w:rPr>
          <w:rFonts w:eastAsia="Times New Roman"/>
        </w:rPr>
        <w:t xml:space="preserve">Establishing </w:t>
      </w:r>
      <w:r>
        <w:rPr>
          <w:rFonts w:eastAsia="Times New Roman"/>
        </w:rPr>
        <w:t>virtual network</w:t>
      </w:r>
      <w:r w:rsidRPr="00700559">
        <w:rPr>
          <w:rFonts w:eastAsia="Times New Roman"/>
        </w:rPr>
        <w:t>-to-</w:t>
      </w:r>
      <w:r>
        <w:rPr>
          <w:rFonts w:eastAsia="Times New Roman"/>
        </w:rPr>
        <w:t>virtual network</w:t>
      </w:r>
      <w:r w:rsidRPr="00700559">
        <w:rPr>
          <w:rFonts w:eastAsia="Times New Roman"/>
        </w:rPr>
        <w:t xml:space="preserve"> VPNs between </w:t>
      </w:r>
      <w:r>
        <w:rPr>
          <w:rFonts w:eastAsia="Times New Roman"/>
        </w:rPr>
        <w:t>datacenter</w:t>
      </w:r>
      <w:r w:rsidRPr="00700559">
        <w:rPr>
          <w:rFonts w:eastAsia="Times New Roman"/>
        </w:rPr>
        <w:t>s to route data and infrastructure services is another way to support enterprise</w:t>
      </w:r>
      <w:r>
        <w:rPr>
          <w:rFonts w:eastAsia="Times New Roman"/>
        </w:rPr>
        <w:t>s</w:t>
      </w:r>
      <w:r w:rsidRPr="00700559">
        <w:rPr>
          <w:rFonts w:eastAsia="Times New Roman"/>
        </w:rPr>
        <w:t xml:space="preserve"> with </w:t>
      </w:r>
      <w:r>
        <w:rPr>
          <w:rFonts w:eastAsia="Times New Roman"/>
        </w:rPr>
        <w:t xml:space="preserve">high availability. </w:t>
      </w:r>
    </w:p>
    <w:p w14:paraId="789886D1" w14:textId="00BD2C56" w:rsidR="00E079A2" w:rsidRDefault="00700559">
      <w:r w:rsidRPr="00700559">
        <w:rPr>
          <w:rFonts w:eastAsia="Times New Roman"/>
        </w:rPr>
        <w:t xml:space="preserve">  </w:t>
      </w:r>
    </w:p>
    <w:p w14:paraId="6FF19BE8" w14:textId="68199B5D" w:rsidR="00280F5C" w:rsidRDefault="00280F5C" w:rsidP="005729D2">
      <w:pPr>
        <w:pStyle w:val="Heading3Numbered"/>
        <w:numPr>
          <w:ilvl w:val="2"/>
          <w:numId w:val="64"/>
        </w:numPr>
      </w:pPr>
      <w:bookmarkStart w:id="894" w:name="_Toc418000573"/>
      <w:bookmarkStart w:id="895" w:name="_Toc418003715"/>
      <w:bookmarkStart w:id="896" w:name="_Toc418011923"/>
      <w:bookmarkStart w:id="897" w:name="_Toc418014571"/>
      <w:bookmarkStart w:id="898" w:name="_Toc418014434"/>
      <w:bookmarkStart w:id="899" w:name="_Toc418029907"/>
      <w:bookmarkStart w:id="900" w:name="_Toc418036844"/>
      <w:bookmarkStart w:id="901" w:name="_Toc418061309"/>
      <w:bookmarkStart w:id="902" w:name="_Toc418080657"/>
      <w:bookmarkStart w:id="903" w:name="_Toc418081831"/>
      <w:bookmarkStart w:id="904" w:name="_Toc418083233"/>
      <w:bookmarkStart w:id="905" w:name="_Toc418095452"/>
      <w:bookmarkStart w:id="906" w:name="_Toc418156619"/>
      <w:bookmarkStart w:id="907" w:name="_Toc418167544"/>
      <w:bookmarkStart w:id="908" w:name="_Toc418185800"/>
      <w:bookmarkStart w:id="909" w:name="_Toc422941508"/>
      <w:bookmarkStart w:id="910" w:name="_Toc423116714"/>
      <w:bookmarkStart w:id="911" w:name="_Toc423117747"/>
      <w:bookmarkStart w:id="912" w:name="_Toc423117197"/>
      <w:bookmarkStart w:id="913" w:name="_Toc431288783"/>
      <w:bookmarkStart w:id="914" w:name="_Toc417457302"/>
      <w:bookmarkStart w:id="915" w:name="_Toc417481878"/>
      <w:bookmarkStart w:id="916" w:name="_Toc417482136"/>
      <w:bookmarkStart w:id="917" w:name="_Toc417499855"/>
      <w:bookmarkStart w:id="918" w:name="_Toc417502677"/>
      <w:bookmarkStart w:id="919" w:name="_Toc417548217"/>
      <w:bookmarkStart w:id="920" w:name="_Toc417594449"/>
      <w:bookmarkStart w:id="921" w:name="_Toc417934348"/>
      <w:bookmarkStart w:id="922" w:name="_Toc417935687"/>
      <w:bookmarkStart w:id="923" w:name="_Toc417936149"/>
      <w:bookmarkStart w:id="924" w:name="_Toc417947047"/>
      <w:bookmarkStart w:id="925" w:name="_Toc417982425"/>
      <w:bookmarkStart w:id="926" w:name="_Toc417985848"/>
      <w:r>
        <w:t>Using Regions and Affinity Groups</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153A9C33" w14:textId="2FCE6A8A" w:rsidR="009D716B" w:rsidRDefault="009D716B" w:rsidP="009D716B">
      <w:r w:rsidRPr="000E1F3E">
        <w:t>Affinity</w:t>
      </w:r>
      <w:r w:rsidR="009E7A06" w:rsidRPr="000E1F3E">
        <w:t xml:space="preserve"> </w:t>
      </w:r>
      <w:r w:rsidR="009E7A06">
        <w:t>G</w:t>
      </w:r>
      <w:r w:rsidR="009E7A06" w:rsidRPr="000E1F3E">
        <w:t>roups</w:t>
      </w:r>
      <w:r w:rsidR="009E7A06">
        <w:t xml:space="preserve"> </w:t>
      </w:r>
      <w:r w:rsidR="009E7A06" w:rsidRPr="000E1F3E">
        <w:t xml:space="preserve">tell the </w:t>
      </w:r>
      <w:r w:rsidR="009E7A06">
        <w:t xml:space="preserve">Azure </w:t>
      </w:r>
      <w:r w:rsidR="009E7A06" w:rsidRPr="000E1F3E">
        <w:t xml:space="preserve">Fabric Controller that two </w:t>
      </w:r>
      <w:r w:rsidR="009E7A06">
        <w:t xml:space="preserve">or more Azure virtual machines </w:t>
      </w:r>
      <w:r w:rsidR="009E7A06" w:rsidRPr="000E1F3E">
        <w:t>should always be placed together or close to one another</w:t>
      </w:r>
      <w:r w:rsidR="009E7A06">
        <w:t xml:space="preserve"> within a cluster of compute resources</w:t>
      </w:r>
      <w:r w:rsidR="009E7A06" w:rsidRPr="000E1F3E">
        <w:t>.</w:t>
      </w:r>
      <w:r w:rsidR="009E7A06">
        <w:t xml:space="preserve"> In the past, it was a requirement to have an affinity group associated with a virtual network. Recent architectural improvements have removed this prior requirement, and it is no longer recommended to use affinity groups in general for virtual networks or virtual machines.</w:t>
      </w:r>
    </w:p>
    <w:p w14:paraId="048706B4" w14:textId="77777777" w:rsidR="009D716B" w:rsidRDefault="009D716B" w:rsidP="005729D2">
      <w:pPr>
        <w:pStyle w:val="Heading4Numbered"/>
        <w:numPr>
          <w:ilvl w:val="3"/>
          <w:numId w:val="64"/>
        </w:numPr>
      </w:pPr>
      <w:r>
        <w:t>Virtual Machine Considerations</w:t>
      </w:r>
    </w:p>
    <w:p w14:paraId="4E851527" w14:textId="69047A39" w:rsidR="009E7A06" w:rsidRDefault="009D716B" w:rsidP="009E7A06">
      <w:r>
        <w:t>Although</w:t>
      </w:r>
      <w:r w:rsidR="009E7A06">
        <w:t xml:space="preserve"> it is not generally recommended to use affinity groups with virtual machines, there is one particular scenario where it may be necessary to use an affinity group, specifically only when it is required to have the absolute lowest network latency between the virtual machines. Associating a virtual machine with an affinity group ensures that all virtual machines in the affinity group are in the same compute cluster or scale unit.</w:t>
      </w:r>
    </w:p>
    <w:p w14:paraId="4B18E761" w14:textId="5840F1B2" w:rsidR="009D716B" w:rsidRDefault="009D716B" w:rsidP="009D716B"/>
    <w:p w14:paraId="76F05BF6" w14:textId="24A7A31F" w:rsidR="003A72BA" w:rsidRDefault="003A72BA" w:rsidP="003A72BA">
      <w:pPr>
        <w:spacing w:before="0" w:after="160" w:line="259" w:lineRule="auto"/>
      </w:pPr>
      <w:r>
        <w:t>Although it may be necessary to use an affinity group when configuring a virtual machine to ensure the least amount of latency, the following drawbacks can be difficult to change later should they occur:</w:t>
      </w:r>
    </w:p>
    <w:p w14:paraId="4E26C918" w14:textId="77777777" w:rsidR="003A72BA" w:rsidRDefault="003A72BA" w:rsidP="005729D2">
      <w:pPr>
        <w:pStyle w:val="ListParagraph"/>
        <w:numPr>
          <w:ilvl w:val="0"/>
          <w:numId w:val="89"/>
        </w:numPr>
        <w:spacing w:before="0" w:after="160" w:line="259" w:lineRule="auto"/>
      </w:pPr>
      <w:r>
        <w:t xml:space="preserve">Limitation of virtual machine sizes available on the computer scale unit associated with the affinity group </w:t>
      </w:r>
    </w:p>
    <w:p w14:paraId="2C6943CD" w14:textId="40FD8160" w:rsidR="009D716B" w:rsidRDefault="003A72BA" w:rsidP="005729D2">
      <w:pPr>
        <w:pStyle w:val="ListParagraph"/>
        <w:numPr>
          <w:ilvl w:val="0"/>
          <w:numId w:val="89"/>
        </w:numPr>
        <w:spacing w:before="0" w:after="160" w:line="259" w:lineRule="auto"/>
      </w:pPr>
      <w:r>
        <w:t>Higher probability of not being able to allocate a new virtual machine (caused by the scale unit of the affinity group being out of capacity)</w:t>
      </w:r>
    </w:p>
    <w:p w14:paraId="6F967E3C" w14:textId="04AADAA2" w:rsidR="003A72BA" w:rsidRDefault="009D716B" w:rsidP="003A72BA">
      <w:pPr>
        <w:spacing w:before="0" w:after="160" w:line="259" w:lineRule="auto"/>
      </w:pPr>
      <w:r>
        <w:t>The</w:t>
      </w:r>
      <w:r w:rsidR="003A72BA">
        <w:t xml:space="preserve"> link between the virtual machine and the affinity group is the cloud service rather than the virtual machine alone. Should capacity issues or the inability to resize an existing virtual machine to a larger size occur, it is necessary to:</w:t>
      </w:r>
    </w:p>
    <w:p w14:paraId="7B75ADD1" w14:textId="51C01316" w:rsidR="003A72BA" w:rsidRDefault="003A72BA" w:rsidP="005729D2">
      <w:pPr>
        <w:pStyle w:val="ListParagraph"/>
        <w:numPr>
          <w:ilvl w:val="0"/>
          <w:numId w:val="250"/>
        </w:numPr>
        <w:spacing w:before="0" w:after="160" w:line="259" w:lineRule="auto"/>
      </w:pPr>
      <w:r>
        <w:t>Remove the virtual machine and import to a new cloud service associated with the region.</w:t>
      </w:r>
    </w:p>
    <w:p w14:paraId="0CA391CE" w14:textId="07CD954B" w:rsidR="003A72BA" w:rsidRDefault="003A72BA" w:rsidP="005729D2">
      <w:pPr>
        <w:pStyle w:val="ListParagraph"/>
        <w:numPr>
          <w:ilvl w:val="0"/>
          <w:numId w:val="250"/>
        </w:numPr>
        <w:spacing w:before="0" w:after="160" w:line="259" w:lineRule="auto"/>
      </w:pPr>
      <w:r>
        <w:t>Remove all virtual machines from the existing cloud service before deleting and re-creating the cloud service to reference the region rather than the affinity group.</w:t>
      </w:r>
      <w:r w:rsidR="00F87153">
        <w:t xml:space="preserve">  </w:t>
      </w:r>
    </w:p>
    <w:p w14:paraId="2E63E834" w14:textId="4674BBCA" w:rsidR="003A72BA" w:rsidRDefault="003A72BA" w:rsidP="003A72BA">
      <w:pPr>
        <w:spacing w:before="0" w:after="160" w:line="259" w:lineRule="auto"/>
      </w:pPr>
      <w:r>
        <w:t xml:space="preserve">The process to remove virtual machines from an affinity group is not very easy, and this further emphasizes why you should not make the association to an affinity group rather than a region unless the requirement for the least amount of latency is present. </w:t>
      </w:r>
    </w:p>
    <w:p w14:paraId="1AF421B9" w14:textId="296386B8" w:rsidR="009D716B" w:rsidRDefault="003A72BA" w:rsidP="009D716B">
      <w:pPr>
        <w:spacing w:before="0" w:after="160" w:line="259" w:lineRule="auto"/>
        <w:rPr>
          <w:rStyle w:val="Hyperlink"/>
        </w:rPr>
      </w:pPr>
      <w:r>
        <w:t xml:space="preserve">For more information about the current guidance for affinity groups and specifics regarding virtual networks and virtual machines, see </w:t>
      </w:r>
      <w:hyperlink r:id="rId41" w:history="1">
        <w:r>
          <w:rPr>
            <w:rStyle w:val="Hyperlink"/>
          </w:rPr>
          <w:t>How to migrate from Affinity Groups to a Regional Virtual Network</w:t>
        </w:r>
      </w:hyperlink>
      <w:r>
        <w:t xml:space="preserve">. </w:t>
      </w:r>
      <w:r w:rsidR="002D2C23">
        <w:t xml:space="preserve"> </w:t>
      </w:r>
    </w:p>
    <w:p w14:paraId="22BE71C7" w14:textId="77777777" w:rsidR="009D716B" w:rsidRDefault="009D716B" w:rsidP="005729D2">
      <w:pPr>
        <w:pStyle w:val="Heading4Numbered"/>
        <w:numPr>
          <w:ilvl w:val="3"/>
          <w:numId w:val="64"/>
        </w:numPr>
      </w:pPr>
      <w:r>
        <w:t>Virtual Network Considerations</w:t>
      </w:r>
    </w:p>
    <w:p w14:paraId="7F1FA246" w14:textId="097E31C3" w:rsidR="009D716B" w:rsidRPr="0057117C" w:rsidRDefault="009D716B" w:rsidP="00D401A7">
      <w:r>
        <w:t xml:space="preserve">In </w:t>
      </w:r>
      <w:r w:rsidR="003A72BA">
        <w:t>May of 2014, the ability to create a virtual n</w:t>
      </w:r>
      <w:r w:rsidR="003A72BA" w:rsidRPr="0057117C">
        <w:t xml:space="preserve">etwork that </w:t>
      </w:r>
      <w:r w:rsidR="003A72BA">
        <w:t xml:space="preserve">can </w:t>
      </w:r>
      <w:r w:rsidR="003A72BA" w:rsidRPr="0057117C">
        <w:t xml:space="preserve">span </w:t>
      </w:r>
      <w:r w:rsidR="003A72BA">
        <w:t xml:space="preserve">the </w:t>
      </w:r>
      <w:r w:rsidR="003A72BA" w:rsidRPr="0057117C">
        <w:t>entire region</w:t>
      </w:r>
      <w:r w:rsidR="003A72BA">
        <w:t xml:space="preserve"> (datacenter) was introduced</w:t>
      </w:r>
      <w:r w:rsidR="003A72BA" w:rsidRPr="0057117C">
        <w:t>.</w:t>
      </w:r>
      <w:r w:rsidR="003A72BA">
        <w:t xml:space="preserve"> Now w</w:t>
      </w:r>
      <w:r w:rsidR="003A72BA" w:rsidRPr="0057117C">
        <w:t>h</w:t>
      </w:r>
      <w:r w:rsidR="003A72BA">
        <w:t xml:space="preserve">en </w:t>
      </w:r>
      <w:r w:rsidR="003A72BA" w:rsidRPr="0057117C">
        <w:t>creating a new virtual network</w:t>
      </w:r>
      <w:r w:rsidR="003A72BA">
        <w:t xml:space="preserve"> in the Azure portal, the only option is to associate the virtual network </w:t>
      </w:r>
      <w:r w:rsidR="003A72BA" w:rsidRPr="0057117C">
        <w:t xml:space="preserve">to </w:t>
      </w:r>
      <w:r w:rsidR="003A72BA">
        <w:t>a location rather</w:t>
      </w:r>
      <w:r w:rsidR="003A72BA" w:rsidRPr="0057117C">
        <w:t xml:space="preserve"> </w:t>
      </w:r>
      <w:r w:rsidR="003A72BA">
        <w:t xml:space="preserve">than to </w:t>
      </w:r>
      <w:r w:rsidR="003A72BA" w:rsidRPr="0057117C">
        <w:t xml:space="preserve">an </w:t>
      </w:r>
      <w:r w:rsidR="003A72BA">
        <w:t>a</w:t>
      </w:r>
      <w:r w:rsidR="003A72BA" w:rsidRPr="0057117C">
        <w:t xml:space="preserve">ffinity </w:t>
      </w:r>
      <w:r w:rsidR="003A72BA">
        <w:t>g</w:t>
      </w:r>
      <w:r w:rsidR="003A72BA" w:rsidRPr="0057117C">
        <w:t>roup.</w:t>
      </w:r>
    </w:p>
    <w:p w14:paraId="7BA16677" w14:textId="77777777" w:rsidR="009D716B" w:rsidRDefault="009D716B" w:rsidP="00C17379">
      <w:pPr>
        <w:jc w:val="center"/>
      </w:pPr>
      <w:r>
        <w:rPr>
          <w:noProof/>
        </w:rPr>
        <w:drawing>
          <wp:inline distT="0" distB="0" distL="0" distR="0" wp14:anchorId="777C5EEA" wp14:editId="71FCDC0E">
            <wp:extent cx="3784821" cy="1989457"/>
            <wp:effectExtent l="0" t="0" r="6350" b="0"/>
            <wp:docPr id="1252047302" name="Picture 1252047302"/>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19129" cy="2007491"/>
                    </a:xfrm>
                    <a:prstGeom prst="rect">
                      <a:avLst/>
                    </a:prstGeom>
                    <a:noFill/>
                    <a:ln>
                      <a:noFill/>
                    </a:ln>
                  </pic:spPr>
                </pic:pic>
              </a:graphicData>
            </a:graphic>
          </wp:inline>
        </w:drawing>
      </w:r>
    </w:p>
    <w:p w14:paraId="17219AEF" w14:textId="71C9C596" w:rsidR="003A72BA" w:rsidRDefault="009D716B" w:rsidP="003A72BA">
      <w:r>
        <w:t>A</w:t>
      </w:r>
      <w:r w:rsidR="003A72BA">
        <w:t xml:space="preserve"> regional virtual network is required for many of the newer Azure features, including internal load balancers. Customers with an affinity group virtual network need to request support to migrate the virtual network to a regional type. </w:t>
      </w:r>
    </w:p>
    <w:p w14:paraId="7F4192D8" w14:textId="77777777" w:rsidR="003A72BA" w:rsidRDefault="003A72BA" w:rsidP="003A72BA">
      <w:r>
        <w:t xml:space="preserve">Optionally, you can create a new virtual network that is associated with the region. Then migrate the existing deployments from the affinity group virtual network. </w:t>
      </w:r>
    </w:p>
    <w:p w14:paraId="008B34FC" w14:textId="11AB6860" w:rsidR="009D716B" w:rsidRDefault="003A72BA" w:rsidP="003A72BA">
      <w:r>
        <w:rPr>
          <w:rFonts w:cs="Segoe UI"/>
        </w:rPr>
        <w:t>For more information, see</w:t>
      </w:r>
      <w:r w:rsidRPr="00C423F2">
        <w:rPr>
          <w:rFonts w:cs="Segoe UI"/>
        </w:rPr>
        <w:t>:</w:t>
      </w:r>
      <w:r>
        <w:rPr>
          <w:rFonts w:cs="Segoe UI"/>
        </w:rPr>
        <w:t xml:space="preserve"> </w:t>
      </w:r>
      <w:hyperlink r:id="rId43" w:history="1">
        <w:r>
          <w:rPr>
            <w:rStyle w:val="Hyperlink"/>
          </w:rPr>
          <w:t>Regional Virtual Networks</w:t>
        </w:r>
      </w:hyperlink>
      <w:r>
        <w:rPr>
          <w:rStyle w:val="Hyperlink"/>
        </w:rPr>
        <w:t>.</w:t>
      </w:r>
    </w:p>
    <w:p w14:paraId="702F77F3" w14:textId="77777777" w:rsidR="00280F5C" w:rsidRPr="00280F5C" w:rsidRDefault="00280F5C" w:rsidP="009D716B"/>
    <w:p w14:paraId="15F34350" w14:textId="5FD87183" w:rsidR="7A732DB0" w:rsidRDefault="00CD01A6" w:rsidP="005729D2">
      <w:pPr>
        <w:pStyle w:val="Heading3Numbered"/>
        <w:numPr>
          <w:ilvl w:val="2"/>
          <w:numId w:val="64"/>
        </w:numPr>
      </w:pPr>
      <w:bookmarkStart w:id="927" w:name="_Toc418156620"/>
      <w:bookmarkStart w:id="928" w:name="_Toc418167545"/>
      <w:bookmarkStart w:id="929" w:name="_Toc418185801"/>
      <w:bookmarkStart w:id="930" w:name="_Toc418000574"/>
      <w:bookmarkStart w:id="931" w:name="_Toc418003716"/>
      <w:bookmarkStart w:id="932" w:name="_Toc418011924"/>
      <w:bookmarkStart w:id="933" w:name="_Toc418014572"/>
      <w:bookmarkStart w:id="934" w:name="_Toc418014435"/>
      <w:bookmarkStart w:id="935" w:name="_Toc418029908"/>
      <w:bookmarkStart w:id="936" w:name="_Toc418036845"/>
      <w:bookmarkStart w:id="937" w:name="_Toc418061310"/>
      <w:bookmarkStart w:id="938" w:name="_Toc418080658"/>
      <w:bookmarkStart w:id="939" w:name="_Toc418081832"/>
      <w:bookmarkStart w:id="940" w:name="_Toc418083234"/>
      <w:bookmarkStart w:id="941" w:name="_Toc418095453"/>
      <w:bookmarkStart w:id="942" w:name="_Toc422941509"/>
      <w:bookmarkStart w:id="943" w:name="_Toc423116715"/>
      <w:bookmarkStart w:id="944" w:name="_Toc423117748"/>
      <w:bookmarkStart w:id="945" w:name="_Toc423117198"/>
      <w:bookmarkStart w:id="946" w:name="_Toc431288784"/>
      <w:r>
        <w:t>Datacenter Architecture</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21E63F8C" w14:textId="04F24D17" w:rsidR="03513E0E" w:rsidRDefault="00F87153" w:rsidP="03513E0E">
      <w:bookmarkStart w:id="947" w:name="_Toc414892069"/>
      <w:bookmarkStart w:id="948" w:name="_Toc414960095"/>
      <w:bookmarkStart w:id="949" w:name="_Toc414969066"/>
      <w:bookmarkStart w:id="950" w:name="_Toc415011288"/>
      <w:bookmarkStart w:id="951" w:name="_Toc415039978"/>
      <w:bookmarkStart w:id="952" w:name="_Toc415572333"/>
      <w:r>
        <w:t>As</w:t>
      </w:r>
      <w:r w:rsidR="003A72BA">
        <w:t xml:space="preserve"> described earlier, Azure hosts its services in a series of globally distributed datacenters. These datacenters are grouped together in regions, and datacenters within a given region are divided into “clusters,” which host services. This interaction is outlined in the following diagram:</w:t>
      </w:r>
    </w:p>
    <w:p w14:paraId="52D29183" w14:textId="1E9806E7" w:rsidR="007E1EBD" w:rsidRDefault="00110FF8" w:rsidP="007E1EBD">
      <w:r w:rsidRPr="00110FF8">
        <w:rPr>
          <w:noProof/>
        </w:rPr>
        <w:drawing>
          <wp:inline distT="0" distB="0" distL="0" distR="0" wp14:anchorId="4738A320" wp14:editId="0C9308E3">
            <wp:extent cx="5943600" cy="2126315"/>
            <wp:effectExtent l="0" t="0" r="0" b="7620"/>
            <wp:docPr id="41053" name="Picture 4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t="36388"/>
                    <a:stretch/>
                  </pic:blipFill>
                  <pic:spPr bwMode="auto">
                    <a:xfrm>
                      <a:off x="0" y="0"/>
                      <a:ext cx="5943600" cy="2126315"/>
                    </a:xfrm>
                    <a:prstGeom prst="rect">
                      <a:avLst/>
                    </a:prstGeom>
                    <a:ln>
                      <a:noFill/>
                    </a:ln>
                    <a:extLst>
                      <a:ext uri="{53640926-AAD7-44D8-BBD7-CCE9431645EC}">
                        <a14:shadowObscured xmlns:a14="http://schemas.microsoft.com/office/drawing/2010/main"/>
                      </a:ext>
                    </a:extLst>
                  </pic:spPr>
                </pic:pic>
              </a:graphicData>
            </a:graphic>
          </wp:inline>
        </w:drawing>
      </w:r>
    </w:p>
    <w:p w14:paraId="26CF4F2C" w14:textId="38D50580" w:rsidR="00BC6643" w:rsidRDefault="00866274" w:rsidP="00BC6643">
      <w:pPr>
        <w:rPr>
          <w:rFonts w:eastAsia="Calibri"/>
        </w:rPr>
      </w:pPr>
      <w:r w:rsidRPr="00BF507F">
        <w:rPr>
          <w:rFonts w:eastAsia="Calibri"/>
        </w:rPr>
        <w:t>Within</w:t>
      </w:r>
      <w:r w:rsidR="00BC6643" w:rsidRPr="00BF507F">
        <w:rPr>
          <w:rFonts w:eastAsia="Calibri"/>
        </w:rPr>
        <w:t xml:space="preserve"> each datacenter</w:t>
      </w:r>
      <w:r w:rsidR="00BC6643">
        <w:rPr>
          <w:rFonts w:eastAsia="Calibri"/>
        </w:rPr>
        <w:t>,</w:t>
      </w:r>
      <w:r w:rsidR="00BC6643" w:rsidRPr="00BF507F">
        <w:rPr>
          <w:rFonts w:eastAsia="Calibri"/>
        </w:rPr>
        <w:t xml:space="preserve"> the racks of equipment are built to be fault tolerant with respect to </w:t>
      </w:r>
      <w:r w:rsidR="00BC6643">
        <w:rPr>
          <w:rFonts w:eastAsia="Calibri"/>
        </w:rPr>
        <w:t>n</w:t>
      </w:r>
      <w:r w:rsidR="00BC6643" w:rsidRPr="00BF507F">
        <w:rPr>
          <w:rFonts w:eastAsia="Calibri"/>
        </w:rPr>
        <w:t xml:space="preserve">etworking, </w:t>
      </w:r>
      <w:r w:rsidR="00BC6643">
        <w:rPr>
          <w:rFonts w:eastAsia="Calibri"/>
        </w:rPr>
        <w:t>physical host s</w:t>
      </w:r>
      <w:r w:rsidR="00BC6643" w:rsidRPr="00BF507F">
        <w:rPr>
          <w:rFonts w:eastAsia="Calibri"/>
        </w:rPr>
        <w:t xml:space="preserve">ervers, </w:t>
      </w:r>
      <w:r w:rsidR="00BC6643">
        <w:rPr>
          <w:rFonts w:eastAsia="Calibri"/>
        </w:rPr>
        <w:t>s</w:t>
      </w:r>
      <w:r w:rsidR="00BC6643" w:rsidRPr="00BF507F">
        <w:rPr>
          <w:rFonts w:eastAsia="Calibri"/>
        </w:rPr>
        <w:t>torage</w:t>
      </w:r>
      <w:r w:rsidR="00BC6643">
        <w:rPr>
          <w:rFonts w:eastAsia="Calibri"/>
        </w:rPr>
        <w:t>,</w:t>
      </w:r>
      <w:r w:rsidR="00BC6643" w:rsidRPr="00BF507F">
        <w:rPr>
          <w:rFonts w:eastAsia="Calibri"/>
        </w:rPr>
        <w:t xml:space="preserve"> and </w:t>
      </w:r>
      <w:r w:rsidR="00BC6643">
        <w:rPr>
          <w:rFonts w:eastAsia="Calibri"/>
        </w:rPr>
        <w:t>p</w:t>
      </w:r>
      <w:r w:rsidR="00BC6643" w:rsidRPr="00BF507F">
        <w:rPr>
          <w:rFonts w:eastAsia="Calibri"/>
        </w:rPr>
        <w:t>ower.</w:t>
      </w:r>
      <w:r w:rsidR="00BC6643">
        <w:rPr>
          <w:rFonts w:eastAsia="Calibri"/>
        </w:rPr>
        <w:t xml:space="preserve"> </w:t>
      </w:r>
      <w:r w:rsidR="00BC6643" w:rsidRPr="00BF507F">
        <w:rPr>
          <w:rFonts w:eastAsia="Calibri"/>
        </w:rPr>
        <w:t xml:space="preserve">The </w:t>
      </w:r>
      <w:r w:rsidR="00BC6643">
        <w:rPr>
          <w:rFonts w:eastAsia="Calibri"/>
        </w:rPr>
        <w:t>physical</w:t>
      </w:r>
      <w:r w:rsidR="00BC6643" w:rsidRPr="00BF507F">
        <w:rPr>
          <w:rFonts w:eastAsia="Calibri"/>
        </w:rPr>
        <w:t xml:space="preserve"> </w:t>
      </w:r>
      <w:r w:rsidR="00BC6643">
        <w:rPr>
          <w:rFonts w:eastAsia="Calibri"/>
        </w:rPr>
        <w:t>h</w:t>
      </w:r>
      <w:r w:rsidR="00BC6643" w:rsidRPr="00BF507F">
        <w:rPr>
          <w:rFonts w:eastAsia="Calibri"/>
        </w:rPr>
        <w:t xml:space="preserve">ost </w:t>
      </w:r>
      <w:r w:rsidR="00BC6643">
        <w:rPr>
          <w:rFonts w:eastAsia="Calibri"/>
        </w:rPr>
        <w:t>s</w:t>
      </w:r>
      <w:r w:rsidR="00BC6643" w:rsidRPr="00BF507F">
        <w:rPr>
          <w:rFonts w:eastAsia="Calibri"/>
        </w:rPr>
        <w:t xml:space="preserve">ervers are placed in </w:t>
      </w:r>
      <w:r w:rsidR="00BC6643">
        <w:rPr>
          <w:rFonts w:eastAsia="Calibri"/>
        </w:rPr>
        <w:t>h</w:t>
      </w:r>
      <w:r w:rsidR="00BC6643" w:rsidRPr="00BF507F">
        <w:rPr>
          <w:rFonts w:eastAsia="Calibri"/>
        </w:rPr>
        <w:t xml:space="preserve">igh </w:t>
      </w:r>
      <w:r w:rsidR="00BC6643">
        <w:rPr>
          <w:rFonts w:eastAsia="Calibri"/>
        </w:rPr>
        <w:t>a</w:t>
      </w:r>
      <w:r w:rsidR="00BC6643" w:rsidRPr="00BF507F">
        <w:rPr>
          <w:rFonts w:eastAsia="Calibri"/>
        </w:rPr>
        <w:t>vailab</w:t>
      </w:r>
      <w:r w:rsidR="00BC6643">
        <w:rPr>
          <w:rFonts w:eastAsia="Calibri"/>
        </w:rPr>
        <w:t>ility</w:t>
      </w:r>
      <w:r w:rsidR="00BC6643" w:rsidRPr="00BF507F">
        <w:rPr>
          <w:rFonts w:eastAsia="Calibri"/>
        </w:rPr>
        <w:t xml:space="preserve"> units called a cluster. The cluster configurations are spread across multiple server racks.</w:t>
      </w:r>
    </w:p>
    <w:p w14:paraId="7A1D1FA6" w14:textId="77777777" w:rsidR="00BC6643" w:rsidRDefault="00BC6643" w:rsidP="00BC6643">
      <w:pPr>
        <w:rPr>
          <w:rFonts w:eastAsia="Calibri"/>
        </w:rPr>
      </w:pPr>
      <w:r w:rsidRPr="00BF507F">
        <w:rPr>
          <w:rFonts w:eastAsia="Calibri"/>
        </w:rPr>
        <w:t xml:space="preserve">A single rack is referred to as a Fault Domain (FD), and </w:t>
      </w:r>
      <w:r>
        <w:rPr>
          <w:rFonts w:eastAsia="Calibri"/>
        </w:rPr>
        <w:t xml:space="preserve">it </w:t>
      </w:r>
      <w:r w:rsidRPr="00BF507F">
        <w:rPr>
          <w:rFonts w:eastAsia="Calibri"/>
        </w:rPr>
        <w:t>can be viewed as a vertical partitioning of the hardware. The fault domain is considered the lowest common denominator within the datacenter for fault tolerance.</w:t>
      </w:r>
      <w:r>
        <w:rPr>
          <w:rFonts w:eastAsia="Calibri"/>
        </w:rPr>
        <w:t xml:space="preserve"> </w:t>
      </w:r>
      <w:r w:rsidRPr="00BF507F">
        <w:rPr>
          <w:rFonts w:eastAsia="Calibri"/>
        </w:rPr>
        <w:t>Microsoft Azure can lose a complete rack</w:t>
      </w:r>
      <w:r>
        <w:rPr>
          <w:rFonts w:eastAsia="Calibri"/>
        </w:rPr>
        <w:t>,</w:t>
      </w:r>
      <w:r w:rsidRPr="00BF507F">
        <w:rPr>
          <w:rFonts w:eastAsia="Calibri"/>
        </w:rPr>
        <w:t xml:space="preserve"> and the hosted services can continue unaffected.</w:t>
      </w:r>
    </w:p>
    <w:p w14:paraId="295A2A51" w14:textId="4A542D3F" w:rsidR="00F87153" w:rsidRPr="00C44212" w:rsidRDefault="00BC6643" w:rsidP="00BC6643">
      <w:pPr>
        <w:rPr>
          <w:rFonts w:eastAsia="Calibri"/>
        </w:rPr>
      </w:pPr>
      <w:r w:rsidRPr="00BF507F">
        <w:rPr>
          <w:rFonts w:eastAsia="Calibri"/>
        </w:rPr>
        <w:t xml:space="preserve">A second partition within the </w:t>
      </w:r>
      <w:r>
        <w:rPr>
          <w:rFonts w:eastAsia="Calibri"/>
        </w:rPr>
        <w:t>d</w:t>
      </w:r>
      <w:r w:rsidRPr="00BF507F">
        <w:rPr>
          <w:rFonts w:eastAsia="Calibri"/>
        </w:rPr>
        <w:t xml:space="preserve">atacenter is called the Upgrade Domain (UD) and </w:t>
      </w:r>
      <w:r>
        <w:rPr>
          <w:rFonts w:eastAsia="Calibri"/>
        </w:rPr>
        <w:t xml:space="preserve">it </w:t>
      </w:r>
      <w:r w:rsidRPr="00BF507F">
        <w:rPr>
          <w:rFonts w:eastAsia="Calibri"/>
        </w:rPr>
        <w:t>can be viewed as a set of horizontal stripes passing through the vertical racks of fault domains.</w:t>
      </w:r>
      <w:r>
        <w:rPr>
          <w:rFonts w:eastAsia="Calibri"/>
        </w:rPr>
        <w:t xml:space="preserve"> </w:t>
      </w:r>
      <w:r w:rsidRPr="00BF507F">
        <w:rPr>
          <w:rFonts w:eastAsia="Calibri"/>
        </w:rPr>
        <w:t>Upgrade domains are used to deploy updates (</w:t>
      </w:r>
      <w:r>
        <w:rPr>
          <w:rFonts w:eastAsia="Calibri"/>
        </w:rPr>
        <w:t>s</w:t>
      </w:r>
      <w:r w:rsidRPr="00BF507F">
        <w:rPr>
          <w:rFonts w:eastAsia="Calibri"/>
        </w:rPr>
        <w:t xml:space="preserve">ecurity </w:t>
      </w:r>
      <w:r>
        <w:rPr>
          <w:rFonts w:eastAsia="Calibri"/>
        </w:rPr>
        <w:t>p</w:t>
      </w:r>
      <w:r w:rsidRPr="00BF507F">
        <w:rPr>
          <w:rFonts w:eastAsia="Calibri"/>
        </w:rPr>
        <w:t xml:space="preserve">atches) within Azure without affecting the availability of the running services within the Azure </w:t>
      </w:r>
      <w:r>
        <w:rPr>
          <w:rFonts w:eastAsia="Calibri"/>
        </w:rPr>
        <w:t>f</w:t>
      </w:r>
      <w:r w:rsidRPr="00BF507F">
        <w:rPr>
          <w:rFonts w:eastAsia="Calibri"/>
        </w:rPr>
        <w:t>abric.</w:t>
      </w:r>
      <w:r>
        <w:rPr>
          <w:rFonts w:eastAsia="Calibri"/>
        </w:rPr>
        <w:t xml:space="preserve"> </w:t>
      </w:r>
      <w:r>
        <w:t>The following diagram shows a high-level relationship between fault domains and update domains in the Azure datacenters.</w:t>
      </w:r>
      <w:r w:rsidR="00CF434D">
        <w:t xml:space="preserve"> </w:t>
      </w:r>
      <w:r w:rsidR="00F87153">
        <w:br/>
      </w:r>
    </w:p>
    <w:p w14:paraId="07CDC225" w14:textId="6E8983FD" w:rsidR="00F87153" w:rsidRDefault="00F87153" w:rsidP="00C17379">
      <w:pPr>
        <w:jc w:val="center"/>
      </w:pPr>
      <w:r w:rsidRPr="009340CB">
        <w:rPr>
          <w:noProof/>
        </w:rPr>
        <w:drawing>
          <wp:inline distT="0" distB="0" distL="0" distR="0" wp14:anchorId="2C9975E0" wp14:editId="7FC8B36B">
            <wp:extent cx="3817679" cy="2475781"/>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834239" cy="2486520"/>
                    </a:xfrm>
                    <a:prstGeom prst="rect">
                      <a:avLst/>
                    </a:prstGeom>
                  </pic:spPr>
                </pic:pic>
              </a:graphicData>
            </a:graphic>
          </wp:inline>
        </w:drawing>
      </w:r>
    </w:p>
    <w:p w14:paraId="7B9DC488" w14:textId="77777777" w:rsidR="00F87153" w:rsidRDefault="00F87153"/>
    <w:p w14:paraId="2F963F19" w14:textId="242C688D" w:rsidR="00CF434D" w:rsidRDefault="00CF434D">
      <w:pPr>
        <w:rPr>
          <w:rFonts w:eastAsia="Calibri" w:cs="Segoe UI"/>
        </w:rPr>
      </w:pPr>
      <w:r>
        <w:t>Virtual</w:t>
      </w:r>
      <w:r w:rsidR="00BC6643">
        <w:t xml:space="preserve"> machines are placed in specific fault domains and update domains based on the location of respective virtual machines in the same Availability Set. For more information about properly configuring availability sets, refer to the Compute (IaaS) section.</w:t>
      </w:r>
    </w:p>
    <w:p w14:paraId="513332F3" w14:textId="77777777" w:rsidR="003F2B4E" w:rsidRDefault="003F2B4E" w:rsidP="005729D2">
      <w:pPr>
        <w:pStyle w:val="Heading3Numbered"/>
        <w:numPr>
          <w:ilvl w:val="2"/>
          <w:numId w:val="64"/>
        </w:numPr>
      </w:pPr>
      <w:bookmarkStart w:id="953" w:name="_Toc418123827"/>
      <w:bookmarkStart w:id="954" w:name="_Toc418124029"/>
      <w:bookmarkStart w:id="955" w:name="_Toc418124231"/>
      <w:bookmarkStart w:id="956" w:name="_Toc418150942"/>
      <w:bookmarkStart w:id="957" w:name="_Toc418156621"/>
      <w:bookmarkStart w:id="958" w:name="_Toc418156622"/>
      <w:bookmarkStart w:id="959" w:name="_Toc418167546"/>
      <w:bookmarkStart w:id="960" w:name="_Toc418185802"/>
      <w:bookmarkStart w:id="961" w:name="_Toc417457303"/>
      <w:bookmarkStart w:id="962" w:name="_Toc417481879"/>
      <w:bookmarkStart w:id="963" w:name="_Toc417482137"/>
      <w:bookmarkStart w:id="964" w:name="_Toc417499856"/>
      <w:bookmarkStart w:id="965" w:name="_Toc417502678"/>
      <w:bookmarkStart w:id="966" w:name="_Toc417548218"/>
      <w:bookmarkStart w:id="967" w:name="_Toc417594450"/>
      <w:bookmarkStart w:id="968" w:name="_Toc417934349"/>
      <w:bookmarkStart w:id="969" w:name="_Toc417935688"/>
      <w:bookmarkStart w:id="970" w:name="_Toc417936150"/>
      <w:bookmarkStart w:id="971" w:name="_Toc417947048"/>
      <w:bookmarkStart w:id="972" w:name="_Toc417982426"/>
      <w:bookmarkStart w:id="973" w:name="_Toc417985849"/>
      <w:bookmarkStart w:id="974" w:name="_Toc418014573"/>
      <w:bookmarkStart w:id="975" w:name="_Toc418014436"/>
      <w:bookmarkStart w:id="976" w:name="_Toc418029909"/>
      <w:bookmarkStart w:id="977" w:name="_Toc418036846"/>
      <w:bookmarkStart w:id="978" w:name="_Toc418061311"/>
      <w:bookmarkStart w:id="979" w:name="_Toc418080659"/>
      <w:bookmarkStart w:id="980" w:name="_Toc418081833"/>
      <w:bookmarkStart w:id="981" w:name="_Toc418083235"/>
      <w:bookmarkStart w:id="982" w:name="_Toc418095454"/>
      <w:bookmarkStart w:id="983" w:name="_Toc422941510"/>
      <w:bookmarkStart w:id="984" w:name="_Toc423116716"/>
      <w:bookmarkStart w:id="985" w:name="_Toc423117749"/>
      <w:bookmarkStart w:id="986" w:name="_Toc423117199"/>
      <w:bookmarkStart w:id="987" w:name="_Toc431288785"/>
      <w:bookmarkStart w:id="988" w:name="_Toc418000575"/>
      <w:bookmarkStart w:id="989" w:name="_Toc418003717"/>
      <w:bookmarkStart w:id="990" w:name="_Toc418011925"/>
      <w:bookmarkEnd w:id="953"/>
      <w:bookmarkEnd w:id="954"/>
      <w:bookmarkEnd w:id="955"/>
      <w:bookmarkEnd w:id="956"/>
      <w:bookmarkEnd w:id="957"/>
      <w:r>
        <w:t>Server Optimization</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bookmarkEnd w:id="988"/>
    <w:bookmarkEnd w:id="989"/>
    <w:bookmarkEnd w:id="990"/>
    <w:p w14:paraId="15C1EDBC" w14:textId="76DF6950" w:rsidR="00110FF8" w:rsidRDefault="00BC6643" w:rsidP="007E1EBD">
      <w:r>
        <w:t>Servers reside within each Azure datacenter. The servers are divided into clusters, which then are partitioned by the Azure Fabric Controller to deliver a given service. This relationship is outlined in the following diagram below</w:t>
      </w:r>
      <w:r w:rsidR="00B02AE8">
        <w:t>:</w:t>
      </w:r>
      <w:r w:rsidR="00B02AE8">
        <w:br/>
      </w:r>
      <w:r w:rsidR="003F2B4E" w:rsidRPr="00110FF8">
        <w:rPr>
          <w:noProof/>
        </w:rPr>
        <w:drawing>
          <wp:inline distT="0" distB="0" distL="0" distR="0" wp14:anchorId="372246FA" wp14:editId="51981099">
            <wp:extent cx="5943600" cy="2436866"/>
            <wp:effectExtent l="0" t="0" r="0" b="1905"/>
            <wp:docPr id="41054" name="Picture 4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t="27098"/>
                    <a:stretch/>
                  </pic:blipFill>
                  <pic:spPr bwMode="auto">
                    <a:xfrm>
                      <a:off x="0" y="0"/>
                      <a:ext cx="5943600" cy="2436866"/>
                    </a:xfrm>
                    <a:prstGeom prst="rect">
                      <a:avLst/>
                    </a:prstGeom>
                    <a:ln>
                      <a:noFill/>
                    </a:ln>
                    <a:extLst>
                      <a:ext uri="{53640926-AAD7-44D8-BBD7-CCE9431645EC}">
                        <a14:shadowObscured xmlns:a14="http://schemas.microsoft.com/office/drawing/2010/main"/>
                      </a:ext>
                    </a:extLst>
                  </pic:spPr>
                </pic:pic>
              </a:graphicData>
            </a:graphic>
          </wp:inline>
        </w:drawing>
      </w:r>
    </w:p>
    <w:p w14:paraId="2DE160D4" w14:textId="58A30009" w:rsidR="00BC6643" w:rsidRDefault="00B02AE8" w:rsidP="00D401A7">
      <w:r w:rsidRPr="00E9176C">
        <w:t>Additional</w:t>
      </w:r>
      <w:r w:rsidR="00BC6643" w:rsidRPr="00E9176C">
        <w:t xml:space="preserve"> details </w:t>
      </w:r>
      <w:r w:rsidR="00BC6643">
        <w:t>about</w:t>
      </w:r>
      <w:r w:rsidR="00BC6643" w:rsidRPr="00E9176C">
        <w:t xml:space="preserve"> virtual machine compute instances </w:t>
      </w:r>
      <w:r w:rsidR="00BC6643">
        <w:t>are</w:t>
      </w:r>
      <w:r w:rsidR="00BC6643" w:rsidRPr="00E9176C">
        <w:t xml:space="preserve"> provided later </w:t>
      </w:r>
      <w:r w:rsidR="00BC6643">
        <w:t>in</w:t>
      </w:r>
      <w:r w:rsidR="00BC6643" w:rsidRPr="00E9176C">
        <w:t xml:space="preserve"> this document</w:t>
      </w:r>
      <w:r w:rsidR="00BC6643">
        <w:t>;</w:t>
      </w:r>
      <w:r w:rsidR="00BC6643" w:rsidRPr="00E9176C">
        <w:t xml:space="preserve"> however</w:t>
      </w:r>
      <w:r w:rsidR="00BC6643">
        <w:t>,</w:t>
      </w:r>
      <w:r w:rsidR="00BC6643" w:rsidRPr="00E9176C">
        <w:t xml:space="preserve"> a brief overview is provided </w:t>
      </w:r>
      <w:r w:rsidR="00BC6643">
        <w:t xml:space="preserve">here </w:t>
      </w:r>
      <w:r w:rsidR="00BC6643" w:rsidRPr="00E9176C">
        <w:t xml:space="preserve">to give a general understanding of Azure </w:t>
      </w:r>
      <w:r w:rsidR="00BC6643">
        <w:t>c</w:t>
      </w:r>
      <w:r w:rsidR="00BC6643" w:rsidRPr="00E9176C">
        <w:t>ompute services.</w:t>
      </w:r>
      <w:r>
        <w:t xml:space="preserve"> </w:t>
      </w:r>
    </w:p>
    <w:p w14:paraId="22F9456D" w14:textId="090FDB3C" w:rsidR="00F647DD" w:rsidRDefault="00B02AE8" w:rsidP="00D401A7">
      <w:pPr>
        <w:rPr>
          <w:rFonts w:cs="Segoe UI"/>
        </w:rPr>
      </w:pPr>
      <w:r>
        <w:t>Concerning</w:t>
      </w:r>
      <w:r w:rsidR="00BC6643">
        <w:t xml:space="preserve"> compute sizes for Azure IaaS (virtual machines),</w:t>
      </w:r>
      <w:r w:rsidR="00BC6643" w:rsidRPr="00A7592E">
        <w:rPr>
          <w:rFonts w:cs="Segoe UI"/>
        </w:rPr>
        <w:t xml:space="preserve"> Azure </w:t>
      </w:r>
      <w:r w:rsidR="00BC6643">
        <w:rPr>
          <w:rFonts w:cs="Segoe UI"/>
        </w:rPr>
        <w:t xml:space="preserve">currently </w:t>
      </w:r>
      <w:r w:rsidR="00BC6643" w:rsidRPr="00A7592E">
        <w:rPr>
          <w:rFonts w:cs="Segoe UI"/>
        </w:rPr>
        <w:t xml:space="preserve">has </w:t>
      </w:r>
      <w:r w:rsidR="00BC6643">
        <w:rPr>
          <w:rFonts w:cs="Segoe UI"/>
        </w:rPr>
        <w:t>three</w:t>
      </w:r>
      <w:r w:rsidR="00BC6643" w:rsidRPr="00A7592E">
        <w:rPr>
          <w:rFonts w:cs="Segoe UI"/>
        </w:rPr>
        <w:t xml:space="preserve"> series</w:t>
      </w:r>
      <w:r w:rsidR="00BC6643">
        <w:rPr>
          <w:rFonts w:cs="Segoe UI"/>
        </w:rPr>
        <w:t>:</w:t>
      </w:r>
      <w:r w:rsidR="00BC6643" w:rsidRPr="00A7592E">
        <w:rPr>
          <w:rFonts w:cs="Segoe UI"/>
        </w:rPr>
        <w:t xml:space="preserve"> A, D, and G</w:t>
      </w:r>
      <w:r w:rsidR="00BC6643">
        <w:rPr>
          <w:rFonts w:cs="Segoe UI"/>
        </w:rPr>
        <w:t>.</w:t>
      </w:r>
      <w:r w:rsidR="00BC6643" w:rsidRPr="00A7592E">
        <w:rPr>
          <w:rFonts w:cs="Segoe UI"/>
        </w:rPr>
        <w:t xml:space="preserve"> </w:t>
      </w:r>
      <w:r w:rsidR="00BC6643">
        <w:rPr>
          <w:rFonts w:cs="Segoe UI"/>
        </w:rPr>
        <w:t>E</w:t>
      </w:r>
      <w:r w:rsidR="00BC6643" w:rsidRPr="00A7592E">
        <w:rPr>
          <w:rFonts w:cs="Segoe UI"/>
        </w:rPr>
        <w:t xml:space="preserve">ach </w:t>
      </w:r>
      <w:r w:rsidR="00BC6643">
        <w:rPr>
          <w:rFonts w:cs="Segoe UI"/>
        </w:rPr>
        <w:t>series has</w:t>
      </w:r>
      <w:r w:rsidR="00BC6643" w:rsidRPr="00A7592E">
        <w:rPr>
          <w:rFonts w:cs="Segoe UI"/>
        </w:rPr>
        <w:t xml:space="preserve"> differ</w:t>
      </w:r>
      <w:r w:rsidR="00BC6643">
        <w:rPr>
          <w:rFonts w:cs="Segoe UI"/>
        </w:rPr>
        <w:t>ent</w:t>
      </w:r>
      <w:r w:rsidR="00BC6643" w:rsidRPr="00A7592E">
        <w:rPr>
          <w:rFonts w:cs="Segoe UI"/>
        </w:rPr>
        <w:t xml:space="preserve"> characteristics. </w:t>
      </w:r>
      <w:r w:rsidR="00BC6643">
        <w:rPr>
          <w:rFonts w:cs="Segoe UI"/>
        </w:rPr>
        <w:t xml:space="preserve">For example, the </w:t>
      </w:r>
      <w:r w:rsidR="00BC6643" w:rsidRPr="00A7592E">
        <w:rPr>
          <w:rFonts w:cs="Segoe UI"/>
        </w:rPr>
        <w:t>D series off</w:t>
      </w:r>
      <w:r w:rsidR="00BC6643">
        <w:rPr>
          <w:rFonts w:cs="Segoe UI"/>
        </w:rPr>
        <w:t>er</w:t>
      </w:r>
      <w:r w:rsidR="00BC6643" w:rsidRPr="00A7592E">
        <w:rPr>
          <w:rFonts w:cs="Segoe UI"/>
        </w:rPr>
        <w:t xml:space="preserve"> up to</w:t>
      </w:r>
      <w:r w:rsidR="00BC6643">
        <w:rPr>
          <w:rFonts w:cs="Segoe UI"/>
        </w:rPr>
        <w:t> 8</w:t>
      </w:r>
      <w:r w:rsidR="00BC6643" w:rsidRPr="00A7592E">
        <w:rPr>
          <w:rFonts w:cs="Segoe UI"/>
        </w:rPr>
        <w:t>00</w:t>
      </w:r>
      <w:r w:rsidR="00BC6643">
        <w:rPr>
          <w:rFonts w:cs="Segoe UI"/>
        </w:rPr>
        <w:t> </w:t>
      </w:r>
      <w:r w:rsidR="00BC6643" w:rsidRPr="00A7592E">
        <w:rPr>
          <w:rFonts w:cs="Segoe UI"/>
        </w:rPr>
        <w:t xml:space="preserve">GB of temporary SSD storage, while </w:t>
      </w:r>
      <w:r w:rsidR="00BC6643">
        <w:rPr>
          <w:rFonts w:cs="Segoe UI"/>
        </w:rPr>
        <w:t>the</w:t>
      </w:r>
      <w:r w:rsidR="00BC6643" w:rsidRPr="00A7592E">
        <w:rPr>
          <w:rFonts w:cs="Segoe UI"/>
        </w:rPr>
        <w:t xml:space="preserve"> G series machines are the largest </w:t>
      </w:r>
      <w:r w:rsidR="00BC6643">
        <w:rPr>
          <w:rFonts w:cs="Segoe UI"/>
        </w:rPr>
        <w:t xml:space="preserve">and offer the </w:t>
      </w:r>
      <w:r w:rsidR="00BC6643" w:rsidRPr="00A7592E">
        <w:rPr>
          <w:rFonts w:cs="Segoe UI"/>
        </w:rPr>
        <w:t>highest perform</w:t>
      </w:r>
      <w:r w:rsidR="00BC6643">
        <w:rPr>
          <w:rFonts w:cs="Segoe UI"/>
        </w:rPr>
        <w:t>ance.</w:t>
      </w:r>
    </w:p>
    <w:p w14:paraId="4FE93A5E" w14:textId="02678B35" w:rsidR="00F647DD" w:rsidRDefault="00BC6643" w:rsidP="00D401A7">
      <w:r>
        <w:t xml:space="preserve">The following article has details about each series and examples where decisions have been made based on scenarios: </w:t>
      </w:r>
      <w:hyperlink r:id="rId47" w:history="1">
        <w:r>
          <w:rPr>
            <w:rStyle w:val="Hyperlink"/>
          </w:rPr>
          <w:t>Azure A-SERIES, D-SERIES and G-SERIES: Consistent Performances and Size Change Considerations</w:t>
        </w:r>
      </w:hyperlink>
      <w:r>
        <w:t>.</w:t>
      </w:r>
      <w:r w:rsidR="00B02AE8">
        <w:t xml:space="preserve">  </w:t>
      </w:r>
    </w:p>
    <w:p w14:paraId="25529BAD" w14:textId="07C3DE4E" w:rsidR="007E5C22" w:rsidRDefault="00EF30B5" w:rsidP="00D401A7">
      <w:pPr>
        <w:rPr>
          <w:rFonts w:cs="Segoe UI"/>
        </w:rPr>
      </w:pPr>
      <w:r>
        <w:t>With</w:t>
      </w:r>
      <w:r w:rsidR="00BC6643">
        <w:t xml:space="preserve"> </w:t>
      </w:r>
      <w:r w:rsidR="00BC6643">
        <w:rPr>
          <w:rFonts w:cs="Segoe UI"/>
        </w:rPr>
        <w:t>the newer D and G series virtual machines</w:t>
      </w:r>
      <w:r w:rsidR="00BC6643" w:rsidRPr="00EF30B5">
        <w:rPr>
          <w:rFonts w:cs="Segoe UI"/>
        </w:rPr>
        <w:t xml:space="preserve">, the temporary drive (D:\ on Windows, /mnt or /mnt/resource on Linux) are local SSDs. This high-speed local disk is best used for workloads that replicate across multiple instances, </w:t>
      </w:r>
      <w:r w:rsidR="00BC6643">
        <w:rPr>
          <w:rFonts w:cs="Segoe UI"/>
        </w:rPr>
        <w:t>such as</w:t>
      </w:r>
      <w:r w:rsidR="00BC6643" w:rsidRPr="00EF30B5">
        <w:rPr>
          <w:rFonts w:cs="Segoe UI"/>
        </w:rPr>
        <w:t xml:space="preserve"> MongoDB, or </w:t>
      </w:r>
      <w:r w:rsidR="00BC6643">
        <w:rPr>
          <w:rFonts w:cs="Segoe UI"/>
        </w:rPr>
        <w:t xml:space="preserve">for workloads that </w:t>
      </w:r>
      <w:r w:rsidR="00BC6643" w:rsidRPr="00EF30B5">
        <w:rPr>
          <w:rFonts w:cs="Segoe UI"/>
        </w:rPr>
        <w:t xml:space="preserve">can leverage this high I/O disk for local and temporary cache, </w:t>
      </w:r>
      <w:r w:rsidR="00BC6643">
        <w:rPr>
          <w:rFonts w:cs="Segoe UI"/>
        </w:rPr>
        <w:t>such as</w:t>
      </w:r>
      <w:r w:rsidR="00BC6643" w:rsidRPr="00EF30B5">
        <w:rPr>
          <w:rFonts w:cs="Segoe UI"/>
        </w:rPr>
        <w:t xml:space="preserve"> </w:t>
      </w:r>
      <w:r w:rsidR="00BC6643">
        <w:rPr>
          <w:rFonts w:cs="Segoe UI"/>
        </w:rPr>
        <w:t xml:space="preserve">the Buffer Pool Extensions in </w:t>
      </w:r>
      <w:r w:rsidR="00BC6643" w:rsidRPr="00EF30B5">
        <w:rPr>
          <w:rFonts w:cs="Segoe UI"/>
        </w:rPr>
        <w:t>SQL Server</w:t>
      </w:r>
      <w:r w:rsidR="00BC6643">
        <w:rPr>
          <w:rFonts w:cs="Segoe UI"/>
        </w:rPr>
        <w:t> 2</w:t>
      </w:r>
      <w:r w:rsidR="00BC6643" w:rsidRPr="00EF30B5">
        <w:rPr>
          <w:rFonts w:cs="Segoe UI"/>
        </w:rPr>
        <w:t>014.</w:t>
      </w:r>
    </w:p>
    <w:p w14:paraId="28C9542A" w14:textId="1C97A8F7" w:rsidR="007E5C22" w:rsidRDefault="00B02AE8" w:rsidP="007E5C22">
      <w:pPr>
        <w:rPr>
          <w:rFonts w:eastAsia="Times New Roman"/>
        </w:rPr>
      </w:pPr>
      <w:r w:rsidDel="00B02AE8">
        <w:t xml:space="preserve"> </w:t>
      </w:r>
      <w:r>
        <w:rPr>
          <w:noProof/>
        </w:rPr>
        <w:drawing>
          <wp:inline distT="0" distB="0" distL="0" distR="0" wp14:anchorId="668EA9EA" wp14:editId="51C199D1">
            <wp:extent cx="5848350" cy="2286000"/>
            <wp:effectExtent l="0" t="0" r="0" b="0"/>
            <wp:docPr id="48" name="Picture 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48350" cy="2286000"/>
                    </a:xfrm>
                    <a:prstGeom prst="rect">
                      <a:avLst/>
                    </a:prstGeom>
                    <a:noFill/>
                    <a:ln>
                      <a:noFill/>
                    </a:ln>
                  </pic:spPr>
                </pic:pic>
              </a:graphicData>
            </a:graphic>
          </wp:inline>
        </w:drawing>
      </w:r>
    </w:p>
    <w:p w14:paraId="0D379222" w14:textId="25D95677" w:rsidR="0089022D" w:rsidRPr="00B02AE8" w:rsidRDefault="0089022D" w:rsidP="00D401A7">
      <w:pPr>
        <w:rPr>
          <w:rFonts w:cs="Segoe UI"/>
        </w:rPr>
      </w:pPr>
      <w:r w:rsidRPr="00C17379">
        <w:rPr>
          <w:b/>
        </w:rPr>
        <w:t>Note</w:t>
      </w:r>
      <w:r w:rsidR="00BC6643">
        <w:rPr>
          <w:b/>
        </w:rPr>
        <w:t>:</w:t>
      </w:r>
      <w:r w:rsidR="00BC6643" w:rsidRPr="0047263F">
        <w:t xml:space="preserve"> </w:t>
      </w:r>
      <w:r w:rsidR="00BC6643">
        <w:rPr>
          <w:rFonts w:cs="Segoe UI"/>
        </w:rPr>
        <w:t>T</w:t>
      </w:r>
      <w:r w:rsidR="00BC6643" w:rsidRPr="0047263F">
        <w:rPr>
          <w:rFonts w:cs="Segoe UI"/>
        </w:rPr>
        <w:t>hese drives are not guaranteed to be persistent</w:t>
      </w:r>
      <w:r w:rsidR="00BC6643" w:rsidRPr="00B02AE8">
        <w:rPr>
          <w:rFonts w:cs="Segoe UI"/>
        </w:rPr>
        <w:t xml:space="preserve">. Thus, </w:t>
      </w:r>
      <w:r w:rsidR="00BC6643">
        <w:rPr>
          <w:rFonts w:cs="Segoe UI"/>
        </w:rPr>
        <w:t>although</w:t>
      </w:r>
      <w:r w:rsidR="00BC6643" w:rsidRPr="00B02AE8">
        <w:rPr>
          <w:rFonts w:cs="Segoe UI"/>
        </w:rPr>
        <w:t xml:space="preserve"> physical hardware failure is rare, when it occurs, the data on this disk may be lost, unlike your </w:t>
      </w:r>
      <w:r w:rsidR="00BC6643">
        <w:rPr>
          <w:rFonts w:cs="Segoe UI"/>
        </w:rPr>
        <w:t>operating system</w:t>
      </w:r>
      <w:r w:rsidR="00BC6643" w:rsidRPr="00B02AE8">
        <w:rPr>
          <w:rFonts w:cs="Segoe UI"/>
        </w:rPr>
        <w:t xml:space="preserve"> </w:t>
      </w:r>
      <w:r w:rsidR="00BC6643">
        <w:rPr>
          <w:rFonts w:cs="Segoe UI"/>
        </w:rPr>
        <w:t>drive</w:t>
      </w:r>
      <w:r w:rsidR="00BC6643" w:rsidRPr="00B02AE8">
        <w:rPr>
          <w:rFonts w:cs="Segoe UI"/>
        </w:rPr>
        <w:t xml:space="preserve"> and any attached durable disks that are persisted in Azure Storage.</w:t>
      </w:r>
    </w:p>
    <w:p w14:paraId="453605FA" w14:textId="62E6D31B" w:rsidR="00BC6643" w:rsidRDefault="00B1398D" w:rsidP="00BC6643">
      <w:r w:rsidRPr="00B02AE8">
        <w:t>Also</w:t>
      </w:r>
      <w:r w:rsidR="00BC6643" w:rsidRPr="00B02AE8">
        <w:t xml:space="preserve"> available when using </w:t>
      </w:r>
      <w:r w:rsidR="00BC6643">
        <w:t>p</w:t>
      </w:r>
      <w:r w:rsidR="00BC6643" w:rsidRPr="007F5E9C">
        <w:t xml:space="preserve">remium </w:t>
      </w:r>
      <w:r w:rsidR="00BC6643">
        <w:t>s</w:t>
      </w:r>
      <w:r w:rsidR="00BC6643" w:rsidRPr="007F5E9C">
        <w:t>torage</w:t>
      </w:r>
      <w:r w:rsidR="00BC6643" w:rsidRPr="00B02AE8">
        <w:t xml:space="preserve"> are DS series virtual machines </w:t>
      </w:r>
      <w:r w:rsidR="00BC6643">
        <w:t>that</w:t>
      </w:r>
      <w:r w:rsidR="00BC6643" w:rsidRPr="00B02AE8">
        <w:t xml:space="preserve"> offer high-performance and low-latency disk support for I/O intensive workloads. The underlying disks for DS series </w:t>
      </w:r>
      <w:r w:rsidR="00BC6643">
        <w:t>virtual machines</w:t>
      </w:r>
      <w:r w:rsidR="00BC6643" w:rsidRPr="00B02AE8">
        <w:t xml:space="preserve"> are SSDs rather than HDDs</w:t>
      </w:r>
      <w:r w:rsidR="00BC6643">
        <w:t>,</w:t>
      </w:r>
      <w:r w:rsidR="00BC6643" w:rsidRPr="00B02AE8">
        <w:t xml:space="preserve"> and </w:t>
      </w:r>
      <w:r w:rsidR="00BC6643">
        <w:t xml:space="preserve">they </w:t>
      </w:r>
      <w:r w:rsidR="00BC6643" w:rsidRPr="00B02AE8">
        <w:t>achieve</w:t>
      </w:r>
      <w:r w:rsidR="00BC6643">
        <w:t> 6</w:t>
      </w:r>
      <w:r w:rsidR="00BC6643" w:rsidRPr="00B02AE8">
        <w:t>4,000 IOPS.</w:t>
      </w:r>
    </w:p>
    <w:p w14:paraId="7EAAC8AD" w14:textId="59DB5784" w:rsidR="00D401A7" w:rsidRDefault="00BC6643" w:rsidP="00BC6643">
      <w:pPr>
        <w:rPr>
          <w:b/>
        </w:rPr>
      </w:pPr>
      <w:r>
        <w:t>The following tables list</w:t>
      </w:r>
      <w:r w:rsidRPr="00B02AE8">
        <w:t xml:space="preserve"> the details of the D Series and G Series virtual machines.</w:t>
      </w:r>
    </w:p>
    <w:p w14:paraId="6A28C8EE" w14:textId="77777777" w:rsidR="005B1C29" w:rsidRDefault="005B1C29">
      <w:pPr>
        <w:spacing w:before="0" w:after="160" w:line="259" w:lineRule="auto"/>
        <w:rPr>
          <w:b/>
        </w:rPr>
      </w:pPr>
      <w:r>
        <w:rPr>
          <w:b/>
        </w:rPr>
        <w:br w:type="page"/>
      </w:r>
    </w:p>
    <w:p w14:paraId="448355DD" w14:textId="478C3DB9" w:rsidR="007E5C22" w:rsidRPr="00EC3AC3" w:rsidRDefault="007E5C22" w:rsidP="00F647DD">
      <w:pPr>
        <w:rPr>
          <w:b/>
        </w:rPr>
      </w:pPr>
      <w:r w:rsidRPr="00EC3AC3">
        <w:rPr>
          <w:b/>
        </w:rPr>
        <w:t>D</w:t>
      </w:r>
      <w:r w:rsidR="006727D1">
        <w:rPr>
          <w:b/>
        </w:rPr>
        <w:t xml:space="preserve"> </w:t>
      </w:r>
      <w:r w:rsidRPr="00EC3AC3">
        <w:rPr>
          <w:b/>
        </w:rPr>
        <w:t>Series</w:t>
      </w:r>
    </w:p>
    <w:p w14:paraId="38AD1EE1" w14:textId="5E93B2F5" w:rsidR="007E5C22" w:rsidRPr="00EC3AC3" w:rsidRDefault="007E5C22" w:rsidP="00F647DD">
      <w:pPr>
        <w:rPr>
          <w:i/>
        </w:rPr>
      </w:pPr>
      <w:r w:rsidRPr="00EC3AC3">
        <w:rPr>
          <w:i/>
        </w:rPr>
        <w:t>General Purposes Sizes</w:t>
      </w:r>
    </w:p>
    <w:tbl>
      <w:tblPr>
        <w:tblW w:w="9985"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29" w:type="dxa"/>
          <w:bottom w:w="29" w:type="dxa"/>
        </w:tblCellMar>
        <w:tblLook w:val="04A0" w:firstRow="1" w:lastRow="0" w:firstColumn="1" w:lastColumn="0" w:noHBand="0" w:noVBand="1"/>
      </w:tblPr>
      <w:tblGrid>
        <w:gridCol w:w="1795"/>
        <w:gridCol w:w="1620"/>
        <w:gridCol w:w="1710"/>
        <w:gridCol w:w="1890"/>
        <w:gridCol w:w="2970"/>
      </w:tblGrid>
      <w:tr w:rsidR="00EC3AC3" w14:paraId="525D8E24" w14:textId="2E23DD3B" w:rsidTr="0002671F">
        <w:tc>
          <w:tcPr>
            <w:tcW w:w="1795" w:type="dxa"/>
            <w:tcBorders>
              <w:top w:val="single" w:sz="4" w:space="0" w:color="A5A5A5"/>
              <w:left w:val="single" w:sz="4" w:space="0" w:color="A5A5A5"/>
              <w:bottom w:val="single" w:sz="4" w:space="0" w:color="A5A5A5"/>
              <w:right w:val="nil"/>
            </w:tcBorders>
            <w:shd w:val="clear" w:color="auto" w:fill="808080" w:themeFill="background1" w:themeFillShade="80"/>
            <w:hideMark/>
          </w:tcPr>
          <w:p w14:paraId="1D36E03F" w14:textId="0DBFF945" w:rsidR="00EC3AC3" w:rsidRPr="00F47607" w:rsidRDefault="00EC3AC3" w:rsidP="007E5C22">
            <w:pPr>
              <w:spacing w:line="240" w:lineRule="auto"/>
              <w:rPr>
                <w:rFonts w:ascii="Times New Roman" w:hAnsi="Times New Roman"/>
                <w:b/>
                <w:bCs/>
                <w:color w:val="FFFFFF"/>
                <w:lang w:val="en-AU" w:eastAsia="en-AU"/>
              </w:rPr>
            </w:pPr>
            <w:r>
              <w:rPr>
                <w:rFonts w:eastAsia="Calibri"/>
                <w:b/>
                <w:bCs/>
                <w:color w:val="FFFFFF"/>
                <w:lang w:val="en-AU" w:eastAsia="en-AU"/>
              </w:rPr>
              <w:t>Name</w:t>
            </w:r>
          </w:p>
        </w:tc>
        <w:tc>
          <w:tcPr>
            <w:tcW w:w="1620" w:type="dxa"/>
            <w:tcBorders>
              <w:top w:val="single" w:sz="4" w:space="0" w:color="A5A5A5"/>
              <w:left w:val="nil"/>
              <w:bottom w:val="single" w:sz="4" w:space="0" w:color="A5A5A5"/>
              <w:right w:val="nil"/>
            </w:tcBorders>
            <w:shd w:val="clear" w:color="auto" w:fill="808080" w:themeFill="background1" w:themeFillShade="80"/>
            <w:hideMark/>
          </w:tcPr>
          <w:p w14:paraId="5D459B24" w14:textId="438E9A46" w:rsidR="00EC3AC3" w:rsidRPr="00F47607" w:rsidRDefault="00EC3AC3" w:rsidP="001C274B">
            <w:pPr>
              <w:spacing w:line="240" w:lineRule="auto"/>
              <w:rPr>
                <w:rFonts w:eastAsia="Calibri"/>
                <w:b/>
                <w:color w:val="FFFFFF"/>
                <w:lang w:val="en-AU" w:eastAsia="en-AU"/>
              </w:rPr>
            </w:pPr>
            <w:r>
              <w:rPr>
                <w:rFonts w:eastAsia="Calibri"/>
                <w:b/>
                <w:bCs/>
                <w:color w:val="FFFFFF"/>
                <w:lang w:val="en-AU" w:eastAsia="en-AU"/>
              </w:rPr>
              <w:t>vCores</w:t>
            </w:r>
          </w:p>
        </w:tc>
        <w:tc>
          <w:tcPr>
            <w:tcW w:w="1710" w:type="dxa"/>
            <w:tcBorders>
              <w:top w:val="single" w:sz="4" w:space="0" w:color="A5A5A5"/>
              <w:left w:val="nil"/>
              <w:bottom w:val="single" w:sz="4" w:space="0" w:color="A5A5A5"/>
              <w:right w:val="nil"/>
            </w:tcBorders>
            <w:shd w:val="clear" w:color="auto" w:fill="808080" w:themeFill="background1" w:themeFillShade="80"/>
          </w:tcPr>
          <w:p w14:paraId="4BB88D87" w14:textId="2E8D765E" w:rsidR="00EC3AC3" w:rsidRDefault="00EC3AC3" w:rsidP="001C274B">
            <w:pPr>
              <w:spacing w:line="240" w:lineRule="auto"/>
              <w:rPr>
                <w:rFonts w:eastAsia="Calibri"/>
                <w:b/>
                <w:bCs/>
                <w:color w:val="FFFFFF"/>
                <w:lang w:val="en-AU" w:eastAsia="en-AU"/>
              </w:rPr>
            </w:pPr>
            <w:r>
              <w:rPr>
                <w:rFonts w:eastAsia="Calibri"/>
                <w:b/>
                <w:bCs/>
                <w:color w:val="FFFFFF"/>
                <w:lang w:val="en-AU" w:eastAsia="en-AU"/>
              </w:rPr>
              <w:t>Memory (GB)</w:t>
            </w:r>
          </w:p>
        </w:tc>
        <w:tc>
          <w:tcPr>
            <w:tcW w:w="1890" w:type="dxa"/>
            <w:tcBorders>
              <w:top w:val="single" w:sz="4" w:space="0" w:color="A5A5A5"/>
              <w:left w:val="nil"/>
              <w:bottom w:val="single" w:sz="4" w:space="0" w:color="A5A5A5"/>
              <w:right w:val="nil"/>
            </w:tcBorders>
            <w:shd w:val="clear" w:color="auto" w:fill="808080" w:themeFill="background1" w:themeFillShade="80"/>
          </w:tcPr>
          <w:p w14:paraId="5DD34AB8" w14:textId="7694A365" w:rsidR="00EC3AC3" w:rsidRDefault="00EC3AC3" w:rsidP="001C274B">
            <w:pPr>
              <w:spacing w:line="240" w:lineRule="auto"/>
              <w:rPr>
                <w:rFonts w:eastAsia="Calibri"/>
                <w:b/>
                <w:bCs/>
                <w:color w:val="FFFFFF"/>
                <w:lang w:val="en-AU" w:eastAsia="en-AU"/>
              </w:rPr>
            </w:pPr>
            <w:r>
              <w:rPr>
                <w:rFonts w:eastAsia="Calibri"/>
                <w:b/>
                <w:bCs/>
                <w:color w:val="FFFFFF"/>
                <w:lang w:val="en-AU" w:eastAsia="en-AU"/>
              </w:rPr>
              <w:t>Local SSD (GB)</w:t>
            </w:r>
          </w:p>
        </w:tc>
        <w:tc>
          <w:tcPr>
            <w:tcW w:w="2970" w:type="dxa"/>
            <w:tcBorders>
              <w:top w:val="single" w:sz="4" w:space="0" w:color="A5A5A5"/>
              <w:left w:val="nil"/>
              <w:bottom w:val="single" w:sz="4" w:space="0" w:color="A5A5A5"/>
              <w:right w:val="nil"/>
            </w:tcBorders>
            <w:shd w:val="clear" w:color="auto" w:fill="808080" w:themeFill="background1" w:themeFillShade="80"/>
          </w:tcPr>
          <w:p w14:paraId="30EAF687" w14:textId="77695171" w:rsidR="00EC3AC3" w:rsidRDefault="00EC3AC3" w:rsidP="001C274B">
            <w:pPr>
              <w:spacing w:line="240" w:lineRule="auto"/>
              <w:rPr>
                <w:rFonts w:eastAsia="Calibri"/>
                <w:b/>
                <w:bCs/>
                <w:color w:val="FFFFFF"/>
                <w:lang w:val="en-AU" w:eastAsia="en-AU"/>
              </w:rPr>
            </w:pPr>
            <w:r>
              <w:rPr>
                <w:rFonts w:eastAsia="Calibri"/>
                <w:b/>
                <w:bCs/>
                <w:color w:val="FFFFFF"/>
                <w:lang w:val="en-AU" w:eastAsia="en-AU"/>
              </w:rPr>
              <w:t>Max Persistent Data Disks</w:t>
            </w:r>
          </w:p>
        </w:tc>
      </w:tr>
      <w:tr w:rsidR="00EC3AC3" w14:paraId="0F7689CD" w14:textId="41006791" w:rsidTr="00EC3AC3">
        <w:tc>
          <w:tcPr>
            <w:tcW w:w="1795" w:type="dxa"/>
            <w:shd w:val="clear" w:color="auto" w:fill="EDEDED"/>
            <w:hideMark/>
          </w:tcPr>
          <w:p w14:paraId="6A22E1A7" w14:textId="6FDC41FC" w:rsidR="00EC3AC3" w:rsidRPr="00236F1B" w:rsidRDefault="00EC3AC3" w:rsidP="001C274B">
            <w:pPr>
              <w:pStyle w:val="NormalWeb"/>
              <w:rPr>
                <w:rFonts w:ascii="Segoe UI" w:hAnsi="Segoe UI" w:cs="Segoe UI"/>
                <w:sz w:val="20"/>
                <w:szCs w:val="20"/>
                <w:lang w:val="en-AU" w:eastAsia="en-AU"/>
              </w:rPr>
            </w:pPr>
            <w:r>
              <w:rPr>
                <w:rFonts w:ascii="Segoe UI" w:hAnsi="Segoe UI" w:cs="Segoe UI"/>
                <w:bCs/>
                <w:sz w:val="20"/>
                <w:szCs w:val="20"/>
                <w:lang w:val="en-AU" w:eastAsia="en-AU"/>
              </w:rPr>
              <w:t>Standard_D1</w:t>
            </w:r>
          </w:p>
        </w:tc>
        <w:tc>
          <w:tcPr>
            <w:tcW w:w="1620" w:type="dxa"/>
            <w:shd w:val="clear" w:color="auto" w:fill="EDEDED"/>
            <w:hideMark/>
          </w:tcPr>
          <w:p w14:paraId="5737B70E" w14:textId="669A18B4" w:rsidR="00EC3AC3" w:rsidRPr="00F47607"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1</w:t>
            </w:r>
          </w:p>
        </w:tc>
        <w:tc>
          <w:tcPr>
            <w:tcW w:w="1710" w:type="dxa"/>
            <w:shd w:val="clear" w:color="auto" w:fill="EDEDED"/>
          </w:tcPr>
          <w:p w14:paraId="4835D13C" w14:textId="40B29D36"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3.5</w:t>
            </w:r>
          </w:p>
        </w:tc>
        <w:tc>
          <w:tcPr>
            <w:tcW w:w="1890" w:type="dxa"/>
            <w:shd w:val="clear" w:color="auto" w:fill="EDEDED"/>
          </w:tcPr>
          <w:p w14:paraId="56E12732" w14:textId="1F460912"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50</w:t>
            </w:r>
          </w:p>
        </w:tc>
        <w:tc>
          <w:tcPr>
            <w:tcW w:w="2970" w:type="dxa"/>
            <w:shd w:val="clear" w:color="auto" w:fill="EDEDED"/>
          </w:tcPr>
          <w:p w14:paraId="47920D4D" w14:textId="580C7C91" w:rsidR="00EC3AC3" w:rsidRDefault="001C274B" w:rsidP="001C274B">
            <w:pPr>
              <w:pStyle w:val="NormalWeb"/>
              <w:rPr>
                <w:rFonts w:ascii="Segoe UI" w:hAnsi="Segoe UI" w:cs="Segoe UI"/>
                <w:sz w:val="20"/>
                <w:szCs w:val="20"/>
                <w:lang w:val="en-AU" w:eastAsia="en-AU"/>
              </w:rPr>
            </w:pPr>
            <w:r>
              <w:rPr>
                <w:rFonts w:ascii="Segoe UI" w:hAnsi="Segoe UI" w:cs="Segoe UI"/>
                <w:sz w:val="20"/>
                <w:szCs w:val="20"/>
                <w:lang w:val="en-AU" w:eastAsia="en-AU"/>
              </w:rPr>
              <w:t>2</w:t>
            </w:r>
          </w:p>
        </w:tc>
      </w:tr>
      <w:tr w:rsidR="00EC3AC3" w14:paraId="2A9A14A9" w14:textId="491524D4" w:rsidTr="00EC3AC3">
        <w:tc>
          <w:tcPr>
            <w:tcW w:w="1795" w:type="dxa"/>
            <w:shd w:val="clear" w:color="auto" w:fill="auto"/>
            <w:hideMark/>
          </w:tcPr>
          <w:p w14:paraId="51913EA9" w14:textId="5DDEE82C" w:rsidR="00EC3AC3" w:rsidRPr="00236F1B" w:rsidRDefault="00EC3AC3" w:rsidP="001C274B">
            <w:pPr>
              <w:pStyle w:val="NormalWeb"/>
              <w:rPr>
                <w:rFonts w:ascii="Segoe UI" w:hAnsi="Segoe UI" w:cs="Segoe UI"/>
                <w:bCs/>
                <w:sz w:val="20"/>
                <w:szCs w:val="20"/>
                <w:lang w:val="en-AU" w:eastAsia="en-AU"/>
              </w:rPr>
            </w:pPr>
            <w:r>
              <w:rPr>
                <w:rFonts w:ascii="Segoe UI" w:hAnsi="Segoe UI" w:cs="Segoe UI"/>
                <w:bCs/>
                <w:sz w:val="20"/>
                <w:szCs w:val="20"/>
                <w:lang w:val="en-AU" w:eastAsia="en-AU"/>
              </w:rPr>
              <w:t>Standard_D2</w:t>
            </w:r>
          </w:p>
        </w:tc>
        <w:tc>
          <w:tcPr>
            <w:tcW w:w="1620" w:type="dxa"/>
            <w:shd w:val="clear" w:color="auto" w:fill="auto"/>
            <w:hideMark/>
          </w:tcPr>
          <w:p w14:paraId="4C1DB448" w14:textId="27688C03" w:rsidR="00EC3AC3" w:rsidRPr="00F47607"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2</w:t>
            </w:r>
          </w:p>
        </w:tc>
        <w:tc>
          <w:tcPr>
            <w:tcW w:w="1710" w:type="dxa"/>
          </w:tcPr>
          <w:p w14:paraId="0F106CED" w14:textId="70D00A95"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7</w:t>
            </w:r>
          </w:p>
        </w:tc>
        <w:tc>
          <w:tcPr>
            <w:tcW w:w="1890" w:type="dxa"/>
          </w:tcPr>
          <w:p w14:paraId="7FAC13B0" w14:textId="7832D882"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100</w:t>
            </w:r>
          </w:p>
        </w:tc>
        <w:tc>
          <w:tcPr>
            <w:tcW w:w="2970" w:type="dxa"/>
          </w:tcPr>
          <w:p w14:paraId="4B32BB65" w14:textId="72139C04" w:rsidR="00EC3AC3" w:rsidRDefault="001C274B" w:rsidP="001C274B">
            <w:pPr>
              <w:pStyle w:val="NormalWeb"/>
              <w:rPr>
                <w:rFonts w:ascii="Segoe UI" w:hAnsi="Segoe UI" w:cs="Segoe UI"/>
                <w:sz w:val="20"/>
                <w:szCs w:val="20"/>
                <w:lang w:val="en-AU" w:eastAsia="en-AU"/>
              </w:rPr>
            </w:pPr>
            <w:r>
              <w:rPr>
                <w:rFonts w:ascii="Segoe UI" w:hAnsi="Segoe UI" w:cs="Segoe UI"/>
                <w:sz w:val="20"/>
                <w:szCs w:val="20"/>
                <w:lang w:val="en-AU" w:eastAsia="en-AU"/>
              </w:rPr>
              <w:t>4</w:t>
            </w:r>
          </w:p>
        </w:tc>
      </w:tr>
      <w:tr w:rsidR="00EC3AC3" w14:paraId="39FC8E00" w14:textId="744BFE7C" w:rsidTr="00EC3AC3">
        <w:tc>
          <w:tcPr>
            <w:tcW w:w="1795" w:type="dxa"/>
            <w:shd w:val="clear" w:color="auto" w:fill="E7E6E6" w:themeFill="background2"/>
          </w:tcPr>
          <w:p w14:paraId="74175D73" w14:textId="53AF8253" w:rsidR="00EC3AC3" w:rsidRPr="00236F1B" w:rsidRDefault="00EC3AC3" w:rsidP="001C274B">
            <w:pPr>
              <w:pStyle w:val="NormalWeb"/>
              <w:rPr>
                <w:rFonts w:ascii="Segoe UI" w:hAnsi="Segoe UI" w:cs="Segoe UI"/>
                <w:bCs/>
                <w:sz w:val="20"/>
                <w:szCs w:val="20"/>
                <w:lang w:val="en-AU" w:eastAsia="en-AU"/>
              </w:rPr>
            </w:pPr>
            <w:r>
              <w:rPr>
                <w:rFonts w:ascii="Segoe UI" w:hAnsi="Segoe UI" w:cs="Segoe UI"/>
                <w:bCs/>
                <w:sz w:val="20"/>
                <w:szCs w:val="20"/>
                <w:lang w:val="en-AU" w:eastAsia="en-AU"/>
              </w:rPr>
              <w:t>Standard_D3</w:t>
            </w:r>
          </w:p>
        </w:tc>
        <w:tc>
          <w:tcPr>
            <w:tcW w:w="1620" w:type="dxa"/>
            <w:shd w:val="clear" w:color="auto" w:fill="E7E6E6" w:themeFill="background2"/>
          </w:tcPr>
          <w:p w14:paraId="3F68FE9C" w14:textId="48BEC90B" w:rsidR="00EC3AC3" w:rsidRPr="00236F1B" w:rsidRDefault="00EC3AC3" w:rsidP="001C274B">
            <w:pPr>
              <w:pStyle w:val="NormalWeb"/>
              <w:rPr>
                <w:rFonts w:ascii="Segoe UI" w:hAnsi="Segoe UI" w:cs="Segoe UI"/>
                <w:bCs/>
                <w:sz w:val="20"/>
                <w:szCs w:val="20"/>
                <w:lang w:val="en-AU" w:eastAsia="en-AU"/>
              </w:rPr>
            </w:pPr>
            <w:r>
              <w:rPr>
                <w:rFonts w:ascii="Segoe UI" w:hAnsi="Segoe UI" w:cs="Segoe UI"/>
                <w:bCs/>
                <w:sz w:val="20"/>
                <w:szCs w:val="20"/>
                <w:lang w:val="en-AU" w:eastAsia="en-AU"/>
              </w:rPr>
              <w:t>4</w:t>
            </w:r>
          </w:p>
        </w:tc>
        <w:tc>
          <w:tcPr>
            <w:tcW w:w="1710" w:type="dxa"/>
            <w:shd w:val="clear" w:color="auto" w:fill="E7E6E6" w:themeFill="background2"/>
          </w:tcPr>
          <w:p w14:paraId="29A894A4" w14:textId="5A33916C" w:rsidR="00EC3AC3" w:rsidRDefault="00EC3AC3" w:rsidP="001C274B">
            <w:pPr>
              <w:pStyle w:val="NormalWeb"/>
              <w:rPr>
                <w:rFonts w:ascii="Segoe UI" w:hAnsi="Segoe UI" w:cs="Segoe UI"/>
                <w:bCs/>
                <w:sz w:val="20"/>
                <w:szCs w:val="20"/>
                <w:lang w:val="en-AU" w:eastAsia="en-AU"/>
              </w:rPr>
            </w:pPr>
            <w:r>
              <w:rPr>
                <w:rFonts w:ascii="Segoe UI" w:hAnsi="Segoe UI" w:cs="Segoe UI"/>
                <w:bCs/>
                <w:sz w:val="20"/>
                <w:szCs w:val="20"/>
                <w:lang w:val="en-AU" w:eastAsia="en-AU"/>
              </w:rPr>
              <w:t>14</w:t>
            </w:r>
          </w:p>
        </w:tc>
        <w:tc>
          <w:tcPr>
            <w:tcW w:w="1890" w:type="dxa"/>
            <w:shd w:val="clear" w:color="auto" w:fill="E7E6E6" w:themeFill="background2"/>
          </w:tcPr>
          <w:p w14:paraId="44ED4B65" w14:textId="075EC1B1" w:rsidR="00EC3AC3" w:rsidRDefault="00EC3AC3" w:rsidP="001C274B">
            <w:pPr>
              <w:pStyle w:val="NormalWeb"/>
              <w:rPr>
                <w:rFonts w:ascii="Segoe UI" w:hAnsi="Segoe UI" w:cs="Segoe UI"/>
                <w:bCs/>
                <w:sz w:val="20"/>
                <w:szCs w:val="20"/>
                <w:lang w:val="en-AU" w:eastAsia="en-AU"/>
              </w:rPr>
            </w:pPr>
            <w:r>
              <w:rPr>
                <w:rFonts w:ascii="Segoe UI" w:hAnsi="Segoe UI" w:cs="Segoe UI"/>
                <w:bCs/>
                <w:sz w:val="20"/>
                <w:szCs w:val="20"/>
                <w:lang w:val="en-AU" w:eastAsia="en-AU"/>
              </w:rPr>
              <w:t>200</w:t>
            </w:r>
          </w:p>
        </w:tc>
        <w:tc>
          <w:tcPr>
            <w:tcW w:w="2970" w:type="dxa"/>
            <w:shd w:val="clear" w:color="auto" w:fill="E7E6E6" w:themeFill="background2"/>
          </w:tcPr>
          <w:p w14:paraId="226ED15C" w14:textId="75554162" w:rsidR="00EC3AC3" w:rsidRDefault="001C274B" w:rsidP="001C274B">
            <w:pPr>
              <w:pStyle w:val="NormalWeb"/>
              <w:rPr>
                <w:rFonts w:ascii="Segoe UI" w:hAnsi="Segoe UI" w:cs="Segoe UI"/>
                <w:bCs/>
                <w:sz w:val="20"/>
                <w:szCs w:val="20"/>
                <w:lang w:val="en-AU" w:eastAsia="en-AU"/>
              </w:rPr>
            </w:pPr>
            <w:r>
              <w:rPr>
                <w:rFonts w:ascii="Segoe UI" w:hAnsi="Segoe UI" w:cs="Segoe UI"/>
                <w:bCs/>
                <w:sz w:val="20"/>
                <w:szCs w:val="20"/>
                <w:lang w:val="en-AU" w:eastAsia="en-AU"/>
              </w:rPr>
              <w:t>8</w:t>
            </w:r>
          </w:p>
        </w:tc>
      </w:tr>
      <w:tr w:rsidR="00EC3AC3" w14:paraId="1E237AA9" w14:textId="10628912" w:rsidTr="00EC3AC3">
        <w:tc>
          <w:tcPr>
            <w:tcW w:w="1795" w:type="dxa"/>
            <w:shd w:val="clear" w:color="auto" w:fill="auto"/>
          </w:tcPr>
          <w:p w14:paraId="28E05BFC" w14:textId="572AFF67" w:rsidR="00EC3AC3" w:rsidRDefault="00EC3AC3" w:rsidP="001C274B">
            <w:pPr>
              <w:pStyle w:val="NormalWeb"/>
              <w:rPr>
                <w:rFonts w:ascii="Segoe UI" w:hAnsi="Segoe UI" w:cs="Segoe UI"/>
                <w:bCs/>
                <w:sz w:val="20"/>
                <w:szCs w:val="20"/>
                <w:lang w:val="en-AU" w:eastAsia="en-AU"/>
              </w:rPr>
            </w:pPr>
            <w:r>
              <w:rPr>
                <w:rFonts w:ascii="Segoe UI" w:hAnsi="Segoe UI" w:cs="Segoe UI"/>
                <w:bCs/>
                <w:sz w:val="20"/>
                <w:szCs w:val="20"/>
                <w:lang w:val="en-AU" w:eastAsia="en-AU"/>
              </w:rPr>
              <w:t>Standard_D4</w:t>
            </w:r>
          </w:p>
        </w:tc>
        <w:tc>
          <w:tcPr>
            <w:tcW w:w="1620" w:type="dxa"/>
            <w:shd w:val="clear" w:color="auto" w:fill="auto"/>
          </w:tcPr>
          <w:p w14:paraId="42359F0D" w14:textId="126F80D4"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8</w:t>
            </w:r>
          </w:p>
        </w:tc>
        <w:tc>
          <w:tcPr>
            <w:tcW w:w="1710" w:type="dxa"/>
          </w:tcPr>
          <w:p w14:paraId="1728853C" w14:textId="5AAE1171"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28</w:t>
            </w:r>
          </w:p>
        </w:tc>
        <w:tc>
          <w:tcPr>
            <w:tcW w:w="1890" w:type="dxa"/>
          </w:tcPr>
          <w:p w14:paraId="6011FA30" w14:textId="62E00061"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400</w:t>
            </w:r>
          </w:p>
        </w:tc>
        <w:tc>
          <w:tcPr>
            <w:tcW w:w="2970" w:type="dxa"/>
          </w:tcPr>
          <w:p w14:paraId="2F31386E" w14:textId="62BA3739" w:rsidR="00EC3AC3" w:rsidRDefault="001C274B" w:rsidP="001C274B">
            <w:pPr>
              <w:pStyle w:val="NormalWeb"/>
              <w:rPr>
                <w:rFonts w:ascii="Segoe UI" w:hAnsi="Segoe UI" w:cs="Segoe UI"/>
                <w:sz w:val="20"/>
                <w:szCs w:val="20"/>
                <w:lang w:val="en-AU" w:eastAsia="en-AU"/>
              </w:rPr>
            </w:pPr>
            <w:r>
              <w:rPr>
                <w:rFonts w:ascii="Segoe UI" w:hAnsi="Segoe UI" w:cs="Segoe UI"/>
                <w:sz w:val="20"/>
                <w:szCs w:val="20"/>
                <w:lang w:val="en-AU" w:eastAsia="en-AU"/>
              </w:rPr>
              <w:t>16</w:t>
            </w:r>
          </w:p>
        </w:tc>
      </w:tr>
    </w:tbl>
    <w:p w14:paraId="63455AC3" w14:textId="0E4E92FB" w:rsidR="007E5C22" w:rsidRPr="00EC3AC3" w:rsidRDefault="007E5C22" w:rsidP="00F647DD">
      <w:pPr>
        <w:rPr>
          <w:i/>
        </w:rPr>
      </w:pPr>
      <w:r w:rsidRPr="00EC3AC3">
        <w:rPr>
          <w:i/>
        </w:rPr>
        <w:t>Memory Intensive Sizes</w:t>
      </w:r>
    </w:p>
    <w:tbl>
      <w:tblPr>
        <w:tblW w:w="9985"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29" w:type="dxa"/>
          <w:bottom w:w="29" w:type="dxa"/>
        </w:tblCellMar>
        <w:tblLook w:val="04A0" w:firstRow="1" w:lastRow="0" w:firstColumn="1" w:lastColumn="0" w:noHBand="0" w:noVBand="1"/>
      </w:tblPr>
      <w:tblGrid>
        <w:gridCol w:w="1795"/>
        <w:gridCol w:w="1620"/>
        <w:gridCol w:w="1710"/>
        <w:gridCol w:w="1890"/>
        <w:gridCol w:w="2970"/>
      </w:tblGrid>
      <w:tr w:rsidR="00EC3AC3" w14:paraId="45C91F63" w14:textId="77E095ED" w:rsidTr="0002671F">
        <w:tc>
          <w:tcPr>
            <w:tcW w:w="1795" w:type="dxa"/>
            <w:tcBorders>
              <w:top w:val="single" w:sz="4" w:space="0" w:color="A5A5A5"/>
              <w:left w:val="single" w:sz="4" w:space="0" w:color="A5A5A5"/>
              <w:bottom w:val="single" w:sz="4" w:space="0" w:color="A5A5A5"/>
              <w:right w:val="nil"/>
            </w:tcBorders>
            <w:shd w:val="clear" w:color="auto" w:fill="808080" w:themeFill="background1" w:themeFillShade="80"/>
            <w:hideMark/>
          </w:tcPr>
          <w:p w14:paraId="1D5D58B6" w14:textId="77777777" w:rsidR="00EC3AC3" w:rsidRPr="00F47607" w:rsidRDefault="00EC3AC3" w:rsidP="001C274B">
            <w:pPr>
              <w:spacing w:line="240" w:lineRule="auto"/>
              <w:rPr>
                <w:rFonts w:ascii="Times New Roman" w:hAnsi="Times New Roman"/>
                <w:b/>
                <w:bCs/>
                <w:color w:val="FFFFFF"/>
                <w:lang w:val="en-AU" w:eastAsia="en-AU"/>
              </w:rPr>
            </w:pPr>
            <w:r>
              <w:rPr>
                <w:rFonts w:eastAsia="Calibri"/>
                <w:b/>
                <w:bCs/>
                <w:color w:val="FFFFFF"/>
                <w:lang w:val="en-AU" w:eastAsia="en-AU"/>
              </w:rPr>
              <w:t>Name</w:t>
            </w:r>
          </w:p>
        </w:tc>
        <w:tc>
          <w:tcPr>
            <w:tcW w:w="1620" w:type="dxa"/>
            <w:tcBorders>
              <w:top w:val="single" w:sz="4" w:space="0" w:color="A5A5A5"/>
              <w:left w:val="nil"/>
              <w:bottom w:val="single" w:sz="4" w:space="0" w:color="A5A5A5"/>
              <w:right w:val="nil"/>
            </w:tcBorders>
            <w:shd w:val="clear" w:color="auto" w:fill="808080" w:themeFill="background1" w:themeFillShade="80"/>
            <w:hideMark/>
          </w:tcPr>
          <w:p w14:paraId="212107B3" w14:textId="77777777" w:rsidR="00EC3AC3" w:rsidRPr="00F47607" w:rsidRDefault="00EC3AC3" w:rsidP="001C274B">
            <w:pPr>
              <w:spacing w:line="240" w:lineRule="auto"/>
              <w:rPr>
                <w:rFonts w:eastAsia="Calibri"/>
                <w:b/>
                <w:color w:val="FFFFFF"/>
                <w:lang w:val="en-AU" w:eastAsia="en-AU"/>
              </w:rPr>
            </w:pPr>
            <w:r>
              <w:rPr>
                <w:rFonts w:eastAsia="Calibri"/>
                <w:b/>
                <w:bCs/>
                <w:color w:val="FFFFFF"/>
                <w:lang w:val="en-AU" w:eastAsia="en-AU"/>
              </w:rPr>
              <w:t>vCores</w:t>
            </w:r>
          </w:p>
        </w:tc>
        <w:tc>
          <w:tcPr>
            <w:tcW w:w="1710" w:type="dxa"/>
            <w:tcBorders>
              <w:top w:val="single" w:sz="4" w:space="0" w:color="A5A5A5"/>
              <w:left w:val="nil"/>
              <w:bottom w:val="single" w:sz="4" w:space="0" w:color="A5A5A5"/>
              <w:right w:val="nil"/>
            </w:tcBorders>
            <w:shd w:val="clear" w:color="auto" w:fill="808080" w:themeFill="background1" w:themeFillShade="80"/>
          </w:tcPr>
          <w:p w14:paraId="0B311FBE" w14:textId="77777777" w:rsidR="00EC3AC3" w:rsidRDefault="00EC3AC3" w:rsidP="001C274B">
            <w:pPr>
              <w:spacing w:line="240" w:lineRule="auto"/>
              <w:rPr>
                <w:rFonts w:eastAsia="Calibri"/>
                <w:b/>
                <w:bCs/>
                <w:color w:val="FFFFFF"/>
                <w:lang w:val="en-AU" w:eastAsia="en-AU"/>
              </w:rPr>
            </w:pPr>
            <w:r>
              <w:rPr>
                <w:rFonts w:eastAsia="Calibri"/>
                <w:b/>
                <w:bCs/>
                <w:color w:val="FFFFFF"/>
                <w:lang w:val="en-AU" w:eastAsia="en-AU"/>
              </w:rPr>
              <w:t>Memory (GB)</w:t>
            </w:r>
          </w:p>
        </w:tc>
        <w:tc>
          <w:tcPr>
            <w:tcW w:w="1890" w:type="dxa"/>
            <w:tcBorders>
              <w:top w:val="single" w:sz="4" w:space="0" w:color="A5A5A5"/>
              <w:left w:val="nil"/>
              <w:bottom w:val="single" w:sz="4" w:space="0" w:color="A5A5A5"/>
              <w:right w:val="nil"/>
            </w:tcBorders>
            <w:shd w:val="clear" w:color="auto" w:fill="808080" w:themeFill="background1" w:themeFillShade="80"/>
          </w:tcPr>
          <w:p w14:paraId="769B7AF6" w14:textId="77777777" w:rsidR="00EC3AC3" w:rsidRDefault="00EC3AC3" w:rsidP="001C274B">
            <w:pPr>
              <w:spacing w:line="240" w:lineRule="auto"/>
              <w:rPr>
                <w:rFonts w:eastAsia="Calibri"/>
                <w:b/>
                <w:bCs/>
                <w:color w:val="FFFFFF"/>
                <w:lang w:val="en-AU" w:eastAsia="en-AU"/>
              </w:rPr>
            </w:pPr>
            <w:r>
              <w:rPr>
                <w:rFonts w:eastAsia="Calibri"/>
                <w:b/>
                <w:bCs/>
                <w:color w:val="FFFFFF"/>
                <w:lang w:val="en-AU" w:eastAsia="en-AU"/>
              </w:rPr>
              <w:t>Local SSD (GB)</w:t>
            </w:r>
          </w:p>
        </w:tc>
        <w:tc>
          <w:tcPr>
            <w:tcW w:w="2970" w:type="dxa"/>
            <w:tcBorders>
              <w:top w:val="single" w:sz="4" w:space="0" w:color="A5A5A5"/>
              <w:left w:val="nil"/>
              <w:bottom w:val="single" w:sz="4" w:space="0" w:color="A5A5A5"/>
              <w:right w:val="nil"/>
            </w:tcBorders>
            <w:shd w:val="clear" w:color="auto" w:fill="808080" w:themeFill="background1" w:themeFillShade="80"/>
          </w:tcPr>
          <w:p w14:paraId="7DE493FD" w14:textId="11B7AE1F" w:rsidR="00EC3AC3" w:rsidRDefault="00EC3AC3" w:rsidP="001C274B">
            <w:pPr>
              <w:spacing w:line="240" w:lineRule="auto"/>
              <w:rPr>
                <w:rFonts w:eastAsia="Calibri"/>
                <w:b/>
                <w:bCs/>
                <w:color w:val="FFFFFF"/>
                <w:lang w:val="en-AU" w:eastAsia="en-AU"/>
              </w:rPr>
            </w:pPr>
            <w:r>
              <w:rPr>
                <w:rFonts w:eastAsia="Calibri"/>
                <w:b/>
                <w:bCs/>
                <w:color w:val="FFFFFF"/>
                <w:lang w:val="en-AU" w:eastAsia="en-AU"/>
              </w:rPr>
              <w:t>Max Persistent Data Disks</w:t>
            </w:r>
          </w:p>
        </w:tc>
      </w:tr>
      <w:tr w:rsidR="00EC3AC3" w14:paraId="0F237A9F" w14:textId="450E4A85" w:rsidTr="00EC3AC3">
        <w:tc>
          <w:tcPr>
            <w:tcW w:w="1795" w:type="dxa"/>
            <w:shd w:val="clear" w:color="auto" w:fill="EDEDED"/>
            <w:hideMark/>
          </w:tcPr>
          <w:p w14:paraId="4FC5E1B8" w14:textId="78176179" w:rsidR="00EC3AC3" w:rsidRPr="00236F1B" w:rsidRDefault="00EC3AC3" w:rsidP="001C274B">
            <w:pPr>
              <w:pStyle w:val="NormalWeb"/>
              <w:rPr>
                <w:rFonts w:ascii="Segoe UI" w:hAnsi="Segoe UI" w:cs="Segoe UI"/>
                <w:sz w:val="20"/>
                <w:szCs w:val="20"/>
                <w:lang w:val="en-AU" w:eastAsia="en-AU"/>
              </w:rPr>
            </w:pPr>
            <w:r>
              <w:rPr>
                <w:rFonts w:ascii="Segoe UI" w:hAnsi="Segoe UI" w:cs="Segoe UI"/>
                <w:bCs/>
                <w:sz w:val="20"/>
                <w:szCs w:val="20"/>
                <w:lang w:val="en-AU" w:eastAsia="en-AU"/>
              </w:rPr>
              <w:t>Standard_D11</w:t>
            </w:r>
          </w:p>
        </w:tc>
        <w:tc>
          <w:tcPr>
            <w:tcW w:w="1620" w:type="dxa"/>
            <w:shd w:val="clear" w:color="auto" w:fill="EDEDED"/>
            <w:hideMark/>
          </w:tcPr>
          <w:p w14:paraId="757137FE" w14:textId="7DF99592" w:rsidR="00EC3AC3" w:rsidRPr="00F47607"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2</w:t>
            </w:r>
          </w:p>
        </w:tc>
        <w:tc>
          <w:tcPr>
            <w:tcW w:w="1710" w:type="dxa"/>
            <w:shd w:val="clear" w:color="auto" w:fill="EDEDED"/>
          </w:tcPr>
          <w:p w14:paraId="137DF78C" w14:textId="2F9AD67D"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14</w:t>
            </w:r>
          </w:p>
        </w:tc>
        <w:tc>
          <w:tcPr>
            <w:tcW w:w="1890" w:type="dxa"/>
            <w:shd w:val="clear" w:color="auto" w:fill="EDEDED"/>
          </w:tcPr>
          <w:p w14:paraId="628E7B77" w14:textId="72C3E45D"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100</w:t>
            </w:r>
          </w:p>
        </w:tc>
        <w:tc>
          <w:tcPr>
            <w:tcW w:w="2970" w:type="dxa"/>
            <w:shd w:val="clear" w:color="auto" w:fill="EDEDED"/>
          </w:tcPr>
          <w:p w14:paraId="504DA2A9" w14:textId="1CE571D5" w:rsidR="00EC3AC3" w:rsidRDefault="001C274B" w:rsidP="001C274B">
            <w:pPr>
              <w:pStyle w:val="NormalWeb"/>
              <w:rPr>
                <w:rFonts w:ascii="Segoe UI" w:hAnsi="Segoe UI" w:cs="Segoe UI"/>
                <w:sz w:val="20"/>
                <w:szCs w:val="20"/>
                <w:lang w:val="en-AU" w:eastAsia="en-AU"/>
              </w:rPr>
            </w:pPr>
            <w:r>
              <w:rPr>
                <w:rFonts w:ascii="Segoe UI" w:hAnsi="Segoe UI" w:cs="Segoe UI"/>
                <w:sz w:val="20"/>
                <w:szCs w:val="20"/>
                <w:lang w:val="en-AU" w:eastAsia="en-AU"/>
              </w:rPr>
              <w:t>4</w:t>
            </w:r>
          </w:p>
        </w:tc>
      </w:tr>
      <w:tr w:rsidR="00EC3AC3" w14:paraId="1C9FB6E5" w14:textId="4D661F23" w:rsidTr="00EC3AC3">
        <w:tc>
          <w:tcPr>
            <w:tcW w:w="1795" w:type="dxa"/>
            <w:shd w:val="clear" w:color="auto" w:fill="auto"/>
            <w:hideMark/>
          </w:tcPr>
          <w:p w14:paraId="5F23D8F0" w14:textId="0D1D9779" w:rsidR="00EC3AC3" w:rsidRPr="00236F1B" w:rsidRDefault="00EC3AC3" w:rsidP="001C274B">
            <w:pPr>
              <w:pStyle w:val="NormalWeb"/>
              <w:rPr>
                <w:rFonts w:ascii="Segoe UI" w:hAnsi="Segoe UI" w:cs="Segoe UI"/>
                <w:bCs/>
                <w:sz w:val="20"/>
                <w:szCs w:val="20"/>
                <w:lang w:val="en-AU" w:eastAsia="en-AU"/>
              </w:rPr>
            </w:pPr>
            <w:r>
              <w:rPr>
                <w:rFonts w:ascii="Segoe UI" w:hAnsi="Segoe UI" w:cs="Segoe UI"/>
                <w:bCs/>
                <w:sz w:val="20"/>
                <w:szCs w:val="20"/>
                <w:lang w:val="en-AU" w:eastAsia="en-AU"/>
              </w:rPr>
              <w:t>Standard_D12</w:t>
            </w:r>
          </w:p>
        </w:tc>
        <w:tc>
          <w:tcPr>
            <w:tcW w:w="1620" w:type="dxa"/>
            <w:shd w:val="clear" w:color="auto" w:fill="auto"/>
            <w:hideMark/>
          </w:tcPr>
          <w:p w14:paraId="7D464B59" w14:textId="58C1CBAE" w:rsidR="00EC3AC3" w:rsidRPr="00F47607"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4</w:t>
            </w:r>
          </w:p>
        </w:tc>
        <w:tc>
          <w:tcPr>
            <w:tcW w:w="1710" w:type="dxa"/>
          </w:tcPr>
          <w:p w14:paraId="0CC57F36" w14:textId="59272BB0"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28</w:t>
            </w:r>
          </w:p>
        </w:tc>
        <w:tc>
          <w:tcPr>
            <w:tcW w:w="1890" w:type="dxa"/>
          </w:tcPr>
          <w:p w14:paraId="0FADE10F" w14:textId="59A24EF2"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200</w:t>
            </w:r>
          </w:p>
        </w:tc>
        <w:tc>
          <w:tcPr>
            <w:tcW w:w="2970" w:type="dxa"/>
          </w:tcPr>
          <w:p w14:paraId="61C55136" w14:textId="294CAFFA" w:rsidR="00EC3AC3" w:rsidRDefault="001C274B" w:rsidP="001C274B">
            <w:pPr>
              <w:pStyle w:val="NormalWeb"/>
              <w:rPr>
                <w:rFonts w:ascii="Segoe UI" w:hAnsi="Segoe UI" w:cs="Segoe UI"/>
                <w:sz w:val="20"/>
                <w:szCs w:val="20"/>
                <w:lang w:val="en-AU" w:eastAsia="en-AU"/>
              </w:rPr>
            </w:pPr>
            <w:r>
              <w:rPr>
                <w:rFonts w:ascii="Segoe UI" w:hAnsi="Segoe UI" w:cs="Segoe UI"/>
                <w:sz w:val="20"/>
                <w:szCs w:val="20"/>
                <w:lang w:val="en-AU" w:eastAsia="en-AU"/>
              </w:rPr>
              <w:t>8</w:t>
            </w:r>
          </w:p>
        </w:tc>
      </w:tr>
      <w:tr w:rsidR="00EC3AC3" w14:paraId="2FA02DB7" w14:textId="69C97A1A" w:rsidTr="00EC3AC3">
        <w:tc>
          <w:tcPr>
            <w:tcW w:w="1795" w:type="dxa"/>
            <w:shd w:val="clear" w:color="auto" w:fill="E7E6E6" w:themeFill="background2"/>
          </w:tcPr>
          <w:p w14:paraId="36383CBE" w14:textId="21F0A56D" w:rsidR="00EC3AC3" w:rsidRPr="00236F1B" w:rsidRDefault="00EC3AC3" w:rsidP="001C274B">
            <w:pPr>
              <w:pStyle w:val="NormalWeb"/>
              <w:rPr>
                <w:rFonts w:ascii="Segoe UI" w:hAnsi="Segoe UI" w:cs="Segoe UI"/>
                <w:bCs/>
                <w:sz w:val="20"/>
                <w:szCs w:val="20"/>
                <w:lang w:val="en-AU" w:eastAsia="en-AU"/>
              </w:rPr>
            </w:pPr>
            <w:r>
              <w:rPr>
                <w:rFonts w:ascii="Segoe UI" w:hAnsi="Segoe UI" w:cs="Segoe UI"/>
                <w:bCs/>
                <w:sz w:val="20"/>
                <w:szCs w:val="20"/>
                <w:lang w:val="en-AU" w:eastAsia="en-AU"/>
              </w:rPr>
              <w:t>Standard_D13</w:t>
            </w:r>
          </w:p>
        </w:tc>
        <w:tc>
          <w:tcPr>
            <w:tcW w:w="1620" w:type="dxa"/>
            <w:shd w:val="clear" w:color="auto" w:fill="E7E6E6" w:themeFill="background2"/>
          </w:tcPr>
          <w:p w14:paraId="267F1ECA" w14:textId="33380896" w:rsidR="00EC3AC3" w:rsidRPr="00236F1B" w:rsidRDefault="00EC3AC3" w:rsidP="001C274B">
            <w:pPr>
              <w:pStyle w:val="NormalWeb"/>
              <w:rPr>
                <w:rFonts w:ascii="Segoe UI" w:hAnsi="Segoe UI" w:cs="Segoe UI"/>
                <w:bCs/>
                <w:sz w:val="20"/>
                <w:szCs w:val="20"/>
                <w:lang w:val="en-AU" w:eastAsia="en-AU"/>
              </w:rPr>
            </w:pPr>
            <w:r>
              <w:rPr>
                <w:rFonts w:ascii="Segoe UI" w:hAnsi="Segoe UI" w:cs="Segoe UI"/>
                <w:bCs/>
                <w:sz w:val="20"/>
                <w:szCs w:val="20"/>
                <w:lang w:val="en-AU" w:eastAsia="en-AU"/>
              </w:rPr>
              <w:t>8</w:t>
            </w:r>
          </w:p>
        </w:tc>
        <w:tc>
          <w:tcPr>
            <w:tcW w:w="1710" w:type="dxa"/>
            <w:shd w:val="clear" w:color="auto" w:fill="E7E6E6" w:themeFill="background2"/>
          </w:tcPr>
          <w:p w14:paraId="75CCF615" w14:textId="19164F8C" w:rsidR="00EC3AC3" w:rsidRDefault="00EC3AC3" w:rsidP="001C274B">
            <w:pPr>
              <w:pStyle w:val="NormalWeb"/>
              <w:rPr>
                <w:rFonts w:ascii="Segoe UI" w:hAnsi="Segoe UI" w:cs="Segoe UI"/>
                <w:bCs/>
                <w:sz w:val="20"/>
                <w:szCs w:val="20"/>
                <w:lang w:val="en-AU" w:eastAsia="en-AU"/>
              </w:rPr>
            </w:pPr>
            <w:r>
              <w:rPr>
                <w:rFonts w:ascii="Segoe UI" w:hAnsi="Segoe UI" w:cs="Segoe UI"/>
                <w:bCs/>
                <w:sz w:val="20"/>
                <w:szCs w:val="20"/>
                <w:lang w:val="en-AU" w:eastAsia="en-AU"/>
              </w:rPr>
              <w:t>56</w:t>
            </w:r>
          </w:p>
        </w:tc>
        <w:tc>
          <w:tcPr>
            <w:tcW w:w="1890" w:type="dxa"/>
            <w:shd w:val="clear" w:color="auto" w:fill="E7E6E6" w:themeFill="background2"/>
          </w:tcPr>
          <w:p w14:paraId="53098780" w14:textId="3CCC190D" w:rsidR="00EC3AC3" w:rsidRDefault="00EC3AC3" w:rsidP="001C274B">
            <w:pPr>
              <w:pStyle w:val="NormalWeb"/>
              <w:rPr>
                <w:rFonts w:ascii="Segoe UI" w:hAnsi="Segoe UI" w:cs="Segoe UI"/>
                <w:bCs/>
                <w:sz w:val="20"/>
                <w:szCs w:val="20"/>
                <w:lang w:val="en-AU" w:eastAsia="en-AU"/>
              </w:rPr>
            </w:pPr>
            <w:r>
              <w:rPr>
                <w:rFonts w:ascii="Segoe UI" w:hAnsi="Segoe UI" w:cs="Segoe UI"/>
                <w:bCs/>
                <w:sz w:val="20"/>
                <w:szCs w:val="20"/>
                <w:lang w:val="en-AU" w:eastAsia="en-AU"/>
              </w:rPr>
              <w:t>400</w:t>
            </w:r>
          </w:p>
        </w:tc>
        <w:tc>
          <w:tcPr>
            <w:tcW w:w="2970" w:type="dxa"/>
            <w:shd w:val="clear" w:color="auto" w:fill="E7E6E6" w:themeFill="background2"/>
          </w:tcPr>
          <w:p w14:paraId="715E3074" w14:textId="7E07DB1D" w:rsidR="00EC3AC3" w:rsidRDefault="001C274B" w:rsidP="001C274B">
            <w:pPr>
              <w:pStyle w:val="NormalWeb"/>
              <w:rPr>
                <w:rFonts w:ascii="Segoe UI" w:hAnsi="Segoe UI" w:cs="Segoe UI"/>
                <w:bCs/>
                <w:sz w:val="20"/>
                <w:szCs w:val="20"/>
                <w:lang w:val="en-AU" w:eastAsia="en-AU"/>
              </w:rPr>
            </w:pPr>
            <w:r>
              <w:rPr>
                <w:rFonts w:ascii="Segoe UI" w:hAnsi="Segoe UI" w:cs="Segoe UI"/>
                <w:bCs/>
                <w:sz w:val="20"/>
                <w:szCs w:val="20"/>
                <w:lang w:val="en-AU" w:eastAsia="en-AU"/>
              </w:rPr>
              <w:t>16</w:t>
            </w:r>
          </w:p>
        </w:tc>
      </w:tr>
      <w:tr w:rsidR="00EC3AC3" w14:paraId="4B7FBF9D" w14:textId="4575B964" w:rsidTr="00EC3AC3">
        <w:tc>
          <w:tcPr>
            <w:tcW w:w="1795" w:type="dxa"/>
            <w:shd w:val="clear" w:color="auto" w:fill="auto"/>
          </w:tcPr>
          <w:p w14:paraId="2F0694C2" w14:textId="05C9AA1A" w:rsidR="00EC3AC3" w:rsidRDefault="00EC3AC3" w:rsidP="001C274B">
            <w:pPr>
              <w:pStyle w:val="NormalWeb"/>
              <w:rPr>
                <w:rFonts w:ascii="Segoe UI" w:hAnsi="Segoe UI" w:cs="Segoe UI"/>
                <w:bCs/>
                <w:sz w:val="20"/>
                <w:szCs w:val="20"/>
                <w:lang w:val="en-AU" w:eastAsia="en-AU"/>
              </w:rPr>
            </w:pPr>
            <w:r>
              <w:rPr>
                <w:rFonts w:ascii="Segoe UI" w:hAnsi="Segoe UI" w:cs="Segoe UI"/>
                <w:bCs/>
                <w:sz w:val="20"/>
                <w:szCs w:val="20"/>
                <w:lang w:val="en-AU" w:eastAsia="en-AU"/>
              </w:rPr>
              <w:t>Standard_D14</w:t>
            </w:r>
          </w:p>
        </w:tc>
        <w:tc>
          <w:tcPr>
            <w:tcW w:w="1620" w:type="dxa"/>
            <w:shd w:val="clear" w:color="auto" w:fill="auto"/>
          </w:tcPr>
          <w:p w14:paraId="2A8590B3" w14:textId="30EBC6E9"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16</w:t>
            </w:r>
          </w:p>
        </w:tc>
        <w:tc>
          <w:tcPr>
            <w:tcW w:w="1710" w:type="dxa"/>
          </w:tcPr>
          <w:p w14:paraId="610CDBAC" w14:textId="56655CDA"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112</w:t>
            </w:r>
          </w:p>
        </w:tc>
        <w:tc>
          <w:tcPr>
            <w:tcW w:w="1890" w:type="dxa"/>
          </w:tcPr>
          <w:p w14:paraId="45543B9D" w14:textId="5E568805"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800</w:t>
            </w:r>
          </w:p>
        </w:tc>
        <w:tc>
          <w:tcPr>
            <w:tcW w:w="2970" w:type="dxa"/>
          </w:tcPr>
          <w:p w14:paraId="505616DB" w14:textId="0E6DEAD0" w:rsidR="00EC3AC3" w:rsidRDefault="001C274B" w:rsidP="001C274B">
            <w:pPr>
              <w:pStyle w:val="NormalWeb"/>
              <w:rPr>
                <w:rFonts w:ascii="Segoe UI" w:hAnsi="Segoe UI" w:cs="Segoe UI"/>
                <w:sz w:val="20"/>
                <w:szCs w:val="20"/>
                <w:lang w:val="en-AU" w:eastAsia="en-AU"/>
              </w:rPr>
            </w:pPr>
            <w:r>
              <w:rPr>
                <w:rFonts w:ascii="Segoe UI" w:hAnsi="Segoe UI" w:cs="Segoe UI"/>
                <w:sz w:val="20"/>
                <w:szCs w:val="20"/>
                <w:lang w:val="en-AU" w:eastAsia="en-AU"/>
              </w:rPr>
              <w:t>32</w:t>
            </w:r>
          </w:p>
        </w:tc>
      </w:tr>
    </w:tbl>
    <w:p w14:paraId="0E75240D" w14:textId="7845A06B" w:rsidR="0089022D" w:rsidRDefault="0089022D" w:rsidP="007E1EBD">
      <w:pPr>
        <w:rPr>
          <w:b/>
        </w:rPr>
      </w:pPr>
      <w:bookmarkStart w:id="991" w:name="_Toc415735498"/>
      <w:bookmarkStart w:id="992" w:name="_Toc415814079"/>
      <w:bookmarkStart w:id="993" w:name="_Toc416343814"/>
      <w:bookmarkStart w:id="994" w:name="_Toc416863085"/>
      <w:bookmarkStart w:id="995" w:name="_Toc417314688"/>
      <w:bookmarkStart w:id="996" w:name="_Toc417323705"/>
      <w:bookmarkStart w:id="997" w:name="_Toc417326794"/>
      <w:bookmarkStart w:id="998" w:name="_Toc417330342"/>
      <w:bookmarkStart w:id="999" w:name="_Toc417394948"/>
      <w:bookmarkStart w:id="1000" w:name="_Toc417399165"/>
      <w:bookmarkStart w:id="1001" w:name="_Toc417399324"/>
      <w:bookmarkStart w:id="1002" w:name="_Toc417400371"/>
      <w:bookmarkStart w:id="1003" w:name="_Toc417401219"/>
      <w:bookmarkStart w:id="1004" w:name="_Toc417419532"/>
      <w:bookmarkStart w:id="1005" w:name="_Toc417457304"/>
      <w:bookmarkStart w:id="1006" w:name="_Toc417481880"/>
      <w:bookmarkStart w:id="1007" w:name="_Toc417482138"/>
      <w:bookmarkStart w:id="1008" w:name="_Toc417499857"/>
      <w:bookmarkStart w:id="1009" w:name="_Toc417502679"/>
      <w:bookmarkStart w:id="1010" w:name="_Toc417548219"/>
      <w:bookmarkStart w:id="1011" w:name="_Toc417594451"/>
      <w:r w:rsidRPr="00EC3AC3">
        <w:rPr>
          <w:b/>
        </w:rPr>
        <w:t>G</w:t>
      </w:r>
      <w:r w:rsidR="006727D1">
        <w:rPr>
          <w:b/>
        </w:rPr>
        <w:t xml:space="preserve"> </w:t>
      </w:r>
      <w:r w:rsidRPr="00EC3AC3">
        <w:rPr>
          <w:b/>
        </w:rPr>
        <w:t>Series</w:t>
      </w:r>
    </w:p>
    <w:tbl>
      <w:tblPr>
        <w:tblW w:w="9985"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29" w:type="dxa"/>
          <w:bottom w:w="29" w:type="dxa"/>
        </w:tblCellMar>
        <w:tblLook w:val="04A0" w:firstRow="1" w:lastRow="0" w:firstColumn="1" w:lastColumn="0" w:noHBand="0" w:noVBand="1"/>
      </w:tblPr>
      <w:tblGrid>
        <w:gridCol w:w="1795"/>
        <w:gridCol w:w="1620"/>
        <w:gridCol w:w="1710"/>
        <w:gridCol w:w="1890"/>
        <w:gridCol w:w="2970"/>
      </w:tblGrid>
      <w:tr w:rsidR="00EC3AC3" w14:paraId="5EA26CAC" w14:textId="1D1CD626" w:rsidTr="0002671F">
        <w:tc>
          <w:tcPr>
            <w:tcW w:w="1795" w:type="dxa"/>
            <w:tcBorders>
              <w:top w:val="single" w:sz="4" w:space="0" w:color="A5A5A5"/>
              <w:left w:val="single" w:sz="4" w:space="0" w:color="A5A5A5"/>
              <w:bottom w:val="single" w:sz="4" w:space="0" w:color="A5A5A5"/>
              <w:right w:val="nil"/>
            </w:tcBorders>
            <w:shd w:val="clear" w:color="auto" w:fill="808080" w:themeFill="background1" w:themeFillShade="80"/>
            <w:hideMark/>
          </w:tcPr>
          <w:p w14:paraId="157602D8" w14:textId="77777777" w:rsidR="00EC3AC3" w:rsidRPr="00F47607" w:rsidRDefault="00EC3AC3" w:rsidP="001C274B">
            <w:pPr>
              <w:spacing w:line="240" w:lineRule="auto"/>
              <w:rPr>
                <w:rFonts w:ascii="Times New Roman" w:hAnsi="Times New Roman"/>
                <w:b/>
                <w:bCs/>
                <w:color w:val="FFFFFF"/>
                <w:lang w:val="en-AU" w:eastAsia="en-AU"/>
              </w:rPr>
            </w:pPr>
            <w:bookmarkStart w:id="1012" w:name="_Toc417935702"/>
            <w:bookmarkStart w:id="1013" w:name="_Toc417936164"/>
            <w:bookmarkStart w:id="1014" w:name="_Toc417947049"/>
            <w:bookmarkStart w:id="1015" w:name="_Toc417982427"/>
            <w:bookmarkStart w:id="1016" w:name="_Toc417985850"/>
            <w:bookmarkStart w:id="1017" w:name="_Toc418000576"/>
            <w:bookmarkStart w:id="1018" w:name="_Toc418003718"/>
            <w:bookmarkStart w:id="1019" w:name="_Toc418011926"/>
            <w:bookmarkStart w:id="1020" w:name="_Toc418014574"/>
            <w:bookmarkStart w:id="1021" w:name="_Toc418014437"/>
            <w:bookmarkStart w:id="1022" w:name="_Toc418029910"/>
            <w:bookmarkStart w:id="1023" w:name="_Toc417935689"/>
            <w:bookmarkStart w:id="1024" w:name="_Toc417936151"/>
            <w:r>
              <w:rPr>
                <w:rFonts w:eastAsia="Calibri"/>
                <w:b/>
                <w:bCs/>
                <w:color w:val="FFFFFF"/>
                <w:lang w:val="en-AU" w:eastAsia="en-AU"/>
              </w:rPr>
              <w:t>Name</w:t>
            </w:r>
          </w:p>
        </w:tc>
        <w:tc>
          <w:tcPr>
            <w:tcW w:w="1620" w:type="dxa"/>
            <w:tcBorders>
              <w:top w:val="single" w:sz="4" w:space="0" w:color="A5A5A5"/>
              <w:left w:val="nil"/>
              <w:bottom w:val="single" w:sz="4" w:space="0" w:color="A5A5A5"/>
              <w:right w:val="nil"/>
            </w:tcBorders>
            <w:shd w:val="clear" w:color="auto" w:fill="808080" w:themeFill="background1" w:themeFillShade="80"/>
            <w:hideMark/>
          </w:tcPr>
          <w:p w14:paraId="6B57E591" w14:textId="77777777" w:rsidR="00EC3AC3" w:rsidRPr="00F47607" w:rsidRDefault="00EC3AC3" w:rsidP="001C274B">
            <w:pPr>
              <w:spacing w:line="240" w:lineRule="auto"/>
              <w:rPr>
                <w:rFonts w:eastAsia="Calibri"/>
                <w:b/>
                <w:color w:val="FFFFFF"/>
                <w:lang w:val="en-AU" w:eastAsia="en-AU"/>
              </w:rPr>
            </w:pPr>
            <w:r>
              <w:rPr>
                <w:rFonts w:eastAsia="Calibri"/>
                <w:b/>
                <w:bCs/>
                <w:color w:val="FFFFFF"/>
                <w:lang w:val="en-AU" w:eastAsia="en-AU"/>
              </w:rPr>
              <w:t>vCores</w:t>
            </w:r>
          </w:p>
        </w:tc>
        <w:tc>
          <w:tcPr>
            <w:tcW w:w="1710" w:type="dxa"/>
            <w:tcBorders>
              <w:top w:val="single" w:sz="4" w:space="0" w:color="A5A5A5"/>
              <w:left w:val="nil"/>
              <w:bottom w:val="single" w:sz="4" w:space="0" w:color="A5A5A5"/>
              <w:right w:val="nil"/>
            </w:tcBorders>
            <w:shd w:val="clear" w:color="auto" w:fill="808080" w:themeFill="background1" w:themeFillShade="80"/>
          </w:tcPr>
          <w:p w14:paraId="260EE85C" w14:textId="77777777" w:rsidR="00EC3AC3" w:rsidRDefault="00EC3AC3" w:rsidP="001C274B">
            <w:pPr>
              <w:spacing w:line="240" w:lineRule="auto"/>
              <w:rPr>
                <w:rFonts w:eastAsia="Calibri"/>
                <w:b/>
                <w:bCs/>
                <w:color w:val="FFFFFF"/>
                <w:lang w:val="en-AU" w:eastAsia="en-AU"/>
              </w:rPr>
            </w:pPr>
            <w:r>
              <w:rPr>
                <w:rFonts w:eastAsia="Calibri"/>
                <w:b/>
                <w:bCs/>
                <w:color w:val="FFFFFF"/>
                <w:lang w:val="en-AU" w:eastAsia="en-AU"/>
              </w:rPr>
              <w:t>Memory (GB)</w:t>
            </w:r>
          </w:p>
        </w:tc>
        <w:tc>
          <w:tcPr>
            <w:tcW w:w="1890" w:type="dxa"/>
            <w:tcBorders>
              <w:top w:val="single" w:sz="4" w:space="0" w:color="A5A5A5"/>
              <w:left w:val="nil"/>
              <w:bottom w:val="single" w:sz="4" w:space="0" w:color="A5A5A5"/>
              <w:right w:val="nil"/>
            </w:tcBorders>
            <w:shd w:val="clear" w:color="auto" w:fill="808080" w:themeFill="background1" w:themeFillShade="80"/>
          </w:tcPr>
          <w:p w14:paraId="24F4CE7E" w14:textId="77777777" w:rsidR="00EC3AC3" w:rsidRDefault="00EC3AC3" w:rsidP="001C274B">
            <w:pPr>
              <w:spacing w:line="240" w:lineRule="auto"/>
              <w:rPr>
                <w:rFonts w:eastAsia="Calibri"/>
                <w:b/>
                <w:bCs/>
                <w:color w:val="FFFFFF"/>
                <w:lang w:val="en-AU" w:eastAsia="en-AU"/>
              </w:rPr>
            </w:pPr>
            <w:r>
              <w:rPr>
                <w:rFonts w:eastAsia="Calibri"/>
                <w:b/>
                <w:bCs/>
                <w:color w:val="FFFFFF"/>
                <w:lang w:val="en-AU" w:eastAsia="en-AU"/>
              </w:rPr>
              <w:t>Local SSD (GB)</w:t>
            </w:r>
          </w:p>
        </w:tc>
        <w:tc>
          <w:tcPr>
            <w:tcW w:w="2970" w:type="dxa"/>
            <w:tcBorders>
              <w:top w:val="single" w:sz="4" w:space="0" w:color="A5A5A5"/>
              <w:left w:val="nil"/>
              <w:bottom w:val="single" w:sz="4" w:space="0" w:color="A5A5A5"/>
              <w:right w:val="nil"/>
            </w:tcBorders>
            <w:shd w:val="clear" w:color="auto" w:fill="808080" w:themeFill="background1" w:themeFillShade="80"/>
          </w:tcPr>
          <w:p w14:paraId="76502B5F" w14:textId="42F718AA" w:rsidR="00EC3AC3" w:rsidRDefault="00EC3AC3" w:rsidP="001C274B">
            <w:pPr>
              <w:spacing w:line="240" w:lineRule="auto"/>
              <w:rPr>
                <w:rFonts w:eastAsia="Calibri"/>
                <w:b/>
                <w:bCs/>
                <w:color w:val="FFFFFF"/>
                <w:lang w:val="en-AU" w:eastAsia="en-AU"/>
              </w:rPr>
            </w:pPr>
            <w:r>
              <w:rPr>
                <w:rFonts w:eastAsia="Calibri"/>
                <w:b/>
                <w:bCs/>
                <w:color w:val="FFFFFF"/>
                <w:lang w:val="en-AU" w:eastAsia="en-AU"/>
              </w:rPr>
              <w:t>Max Persistent Data Disks</w:t>
            </w:r>
          </w:p>
        </w:tc>
      </w:tr>
      <w:tr w:rsidR="00EC3AC3" w14:paraId="459341F1" w14:textId="7C9CC4DC" w:rsidTr="00EC3AC3">
        <w:tc>
          <w:tcPr>
            <w:tcW w:w="1795" w:type="dxa"/>
            <w:shd w:val="clear" w:color="auto" w:fill="EDEDED"/>
            <w:hideMark/>
          </w:tcPr>
          <w:p w14:paraId="182FE578" w14:textId="47FC7005" w:rsidR="00EC3AC3" w:rsidRPr="00236F1B" w:rsidRDefault="00EC3AC3" w:rsidP="001C274B">
            <w:pPr>
              <w:pStyle w:val="NormalWeb"/>
              <w:rPr>
                <w:rFonts w:ascii="Segoe UI" w:hAnsi="Segoe UI" w:cs="Segoe UI"/>
                <w:sz w:val="20"/>
                <w:szCs w:val="20"/>
                <w:lang w:val="en-AU" w:eastAsia="en-AU"/>
              </w:rPr>
            </w:pPr>
            <w:r>
              <w:rPr>
                <w:rFonts w:ascii="Segoe UI" w:hAnsi="Segoe UI" w:cs="Segoe UI"/>
                <w:bCs/>
                <w:sz w:val="20"/>
                <w:szCs w:val="20"/>
                <w:lang w:val="en-AU" w:eastAsia="en-AU"/>
              </w:rPr>
              <w:t>Standard_G1</w:t>
            </w:r>
          </w:p>
        </w:tc>
        <w:tc>
          <w:tcPr>
            <w:tcW w:w="1620" w:type="dxa"/>
            <w:shd w:val="clear" w:color="auto" w:fill="EDEDED"/>
            <w:hideMark/>
          </w:tcPr>
          <w:p w14:paraId="0082DE0D" w14:textId="77777777" w:rsidR="00EC3AC3" w:rsidRPr="00F47607"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2</w:t>
            </w:r>
          </w:p>
        </w:tc>
        <w:tc>
          <w:tcPr>
            <w:tcW w:w="1710" w:type="dxa"/>
            <w:shd w:val="clear" w:color="auto" w:fill="EDEDED"/>
          </w:tcPr>
          <w:p w14:paraId="378D47B4" w14:textId="1725A7D4"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28</w:t>
            </w:r>
          </w:p>
        </w:tc>
        <w:tc>
          <w:tcPr>
            <w:tcW w:w="1890" w:type="dxa"/>
            <w:shd w:val="clear" w:color="auto" w:fill="EDEDED"/>
          </w:tcPr>
          <w:p w14:paraId="420499F6" w14:textId="57818DB9"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412</w:t>
            </w:r>
          </w:p>
        </w:tc>
        <w:tc>
          <w:tcPr>
            <w:tcW w:w="2970" w:type="dxa"/>
            <w:shd w:val="clear" w:color="auto" w:fill="EDEDED"/>
          </w:tcPr>
          <w:p w14:paraId="253914C0" w14:textId="1C7A132B"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4</w:t>
            </w:r>
          </w:p>
        </w:tc>
      </w:tr>
      <w:tr w:rsidR="00EC3AC3" w14:paraId="74FC9FE3" w14:textId="19DDC1B9" w:rsidTr="00EC3AC3">
        <w:tc>
          <w:tcPr>
            <w:tcW w:w="1795" w:type="dxa"/>
            <w:shd w:val="clear" w:color="auto" w:fill="auto"/>
            <w:hideMark/>
          </w:tcPr>
          <w:p w14:paraId="3D5590A5" w14:textId="0D1DB3AE" w:rsidR="00EC3AC3" w:rsidRPr="00236F1B" w:rsidRDefault="00EC3AC3" w:rsidP="001C274B">
            <w:pPr>
              <w:pStyle w:val="NormalWeb"/>
              <w:rPr>
                <w:rFonts w:ascii="Segoe UI" w:hAnsi="Segoe UI" w:cs="Segoe UI"/>
                <w:bCs/>
                <w:sz w:val="20"/>
                <w:szCs w:val="20"/>
                <w:lang w:val="en-AU" w:eastAsia="en-AU"/>
              </w:rPr>
            </w:pPr>
            <w:r>
              <w:rPr>
                <w:rFonts w:ascii="Segoe UI" w:hAnsi="Segoe UI" w:cs="Segoe UI"/>
                <w:bCs/>
                <w:sz w:val="20"/>
                <w:szCs w:val="20"/>
                <w:lang w:val="en-AU" w:eastAsia="en-AU"/>
              </w:rPr>
              <w:t>Standard_G2</w:t>
            </w:r>
          </w:p>
        </w:tc>
        <w:tc>
          <w:tcPr>
            <w:tcW w:w="1620" w:type="dxa"/>
            <w:shd w:val="clear" w:color="auto" w:fill="auto"/>
            <w:hideMark/>
          </w:tcPr>
          <w:p w14:paraId="169AD878" w14:textId="77777777" w:rsidR="00EC3AC3" w:rsidRPr="00F47607"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4</w:t>
            </w:r>
          </w:p>
        </w:tc>
        <w:tc>
          <w:tcPr>
            <w:tcW w:w="1710" w:type="dxa"/>
          </w:tcPr>
          <w:p w14:paraId="4D6F34DB" w14:textId="17E3255F"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56</w:t>
            </w:r>
          </w:p>
        </w:tc>
        <w:tc>
          <w:tcPr>
            <w:tcW w:w="1890" w:type="dxa"/>
          </w:tcPr>
          <w:p w14:paraId="3E4B976A" w14:textId="2EC3403F"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824</w:t>
            </w:r>
          </w:p>
        </w:tc>
        <w:tc>
          <w:tcPr>
            <w:tcW w:w="2970" w:type="dxa"/>
          </w:tcPr>
          <w:p w14:paraId="6B5DA3FB" w14:textId="13846F61"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8</w:t>
            </w:r>
          </w:p>
        </w:tc>
      </w:tr>
      <w:tr w:rsidR="00EC3AC3" w14:paraId="5F66F979" w14:textId="0268C2DB" w:rsidTr="00EC3AC3">
        <w:tc>
          <w:tcPr>
            <w:tcW w:w="1795" w:type="dxa"/>
            <w:shd w:val="clear" w:color="auto" w:fill="E7E6E6" w:themeFill="background2"/>
          </w:tcPr>
          <w:p w14:paraId="1A8EB443" w14:textId="00CE25ED" w:rsidR="00EC3AC3" w:rsidRPr="00236F1B" w:rsidRDefault="00EC3AC3" w:rsidP="001C274B">
            <w:pPr>
              <w:pStyle w:val="NormalWeb"/>
              <w:rPr>
                <w:rFonts w:ascii="Segoe UI" w:hAnsi="Segoe UI" w:cs="Segoe UI"/>
                <w:bCs/>
                <w:sz w:val="20"/>
                <w:szCs w:val="20"/>
                <w:lang w:val="en-AU" w:eastAsia="en-AU"/>
              </w:rPr>
            </w:pPr>
            <w:r>
              <w:rPr>
                <w:rFonts w:ascii="Segoe UI" w:hAnsi="Segoe UI" w:cs="Segoe UI"/>
                <w:bCs/>
                <w:sz w:val="20"/>
                <w:szCs w:val="20"/>
                <w:lang w:val="en-AU" w:eastAsia="en-AU"/>
              </w:rPr>
              <w:t>Standard_G3</w:t>
            </w:r>
          </w:p>
        </w:tc>
        <w:tc>
          <w:tcPr>
            <w:tcW w:w="1620" w:type="dxa"/>
            <w:shd w:val="clear" w:color="auto" w:fill="E7E6E6" w:themeFill="background2"/>
          </w:tcPr>
          <w:p w14:paraId="6FA63E49" w14:textId="77777777" w:rsidR="00EC3AC3" w:rsidRPr="00236F1B" w:rsidRDefault="00EC3AC3" w:rsidP="001C274B">
            <w:pPr>
              <w:pStyle w:val="NormalWeb"/>
              <w:rPr>
                <w:rFonts w:ascii="Segoe UI" w:hAnsi="Segoe UI" w:cs="Segoe UI"/>
                <w:bCs/>
                <w:sz w:val="20"/>
                <w:szCs w:val="20"/>
                <w:lang w:val="en-AU" w:eastAsia="en-AU"/>
              </w:rPr>
            </w:pPr>
            <w:r>
              <w:rPr>
                <w:rFonts w:ascii="Segoe UI" w:hAnsi="Segoe UI" w:cs="Segoe UI"/>
                <w:bCs/>
                <w:sz w:val="20"/>
                <w:szCs w:val="20"/>
                <w:lang w:val="en-AU" w:eastAsia="en-AU"/>
              </w:rPr>
              <w:t>8</w:t>
            </w:r>
          </w:p>
        </w:tc>
        <w:tc>
          <w:tcPr>
            <w:tcW w:w="1710" w:type="dxa"/>
            <w:shd w:val="clear" w:color="auto" w:fill="E7E6E6" w:themeFill="background2"/>
          </w:tcPr>
          <w:p w14:paraId="57B06F74" w14:textId="1ABB23FF" w:rsidR="00EC3AC3" w:rsidRDefault="00EC3AC3" w:rsidP="001C274B">
            <w:pPr>
              <w:pStyle w:val="NormalWeb"/>
              <w:rPr>
                <w:rFonts w:ascii="Segoe UI" w:hAnsi="Segoe UI" w:cs="Segoe UI"/>
                <w:bCs/>
                <w:sz w:val="20"/>
                <w:szCs w:val="20"/>
                <w:lang w:val="en-AU" w:eastAsia="en-AU"/>
              </w:rPr>
            </w:pPr>
            <w:r>
              <w:rPr>
                <w:rFonts w:ascii="Segoe UI" w:hAnsi="Segoe UI" w:cs="Segoe UI"/>
                <w:bCs/>
                <w:sz w:val="20"/>
                <w:szCs w:val="20"/>
                <w:lang w:val="en-AU" w:eastAsia="en-AU"/>
              </w:rPr>
              <w:t>112</w:t>
            </w:r>
          </w:p>
        </w:tc>
        <w:tc>
          <w:tcPr>
            <w:tcW w:w="1890" w:type="dxa"/>
            <w:shd w:val="clear" w:color="auto" w:fill="E7E6E6" w:themeFill="background2"/>
          </w:tcPr>
          <w:p w14:paraId="26B09593" w14:textId="09E05A34" w:rsidR="00EC3AC3" w:rsidRDefault="00EC3AC3" w:rsidP="001C274B">
            <w:pPr>
              <w:pStyle w:val="NormalWeb"/>
              <w:rPr>
                <w:rFonts w:ascii="Segoe UI" w:hAnsi="Segoe UI" w:cs="Segoe UI"/>
                <w:bCs/>
                <w:sz w:val="20"/>
                <w:szCs w:val="20"/>
                <w:lang w:val="en-AU" w:eastAsia="en-AU"/>
              </w:rPr>
            </w:pPr>
            <w:r>
              <w:rPr>
                <w:rFonts w:ascii="Segoe UI" w:hAnsi="Segoe UI" w:cs="Segoe UI"/>
                <w:bCs/>
                <w:sz w:val="20"/>
                <w:szCs w:val="20"/>
                <w:lang w:val="en-AU" w:eastAsia="en-AU"/>
              </w:rPr>
              <w:t>1,649</w:t>
            </w:r>
          </w:p>
        </w:tc>
        <w:tc>
          <w:tcPr>
            <w:tcW w:w="2970" w:type="dxa"/>
            <w:shd w:val="clear" w:color="auto" w:fill="E7E6E6" w:themeFill="background2"/>
          </w:tcPr>
          <w:p w14:paraId="080809FA" w14:textId="7EF12D5E" w:rsidR="00EC3AC3" w:rsidRDefault="00EC3AC3" w:rsidP="001C274B">
            <w:pPr>
              <w:pStyle w:val="NormalWeb"/>
              <w:rPr>
                <w:rFonts w:ascii="Segoe UI" w:hAnsi="Segoe UI" w:cs="Segoe UI"/>
                <w:bCs/>
                <w:sz w:val="20"/>
                <w:szCs w:val="20"/>
                <w:lang w:val="en-AU" w:eastAsia="en-AU"/>
              </w:rPr>
            </w:pPr>
            <w:r>
              <w:rPr>
                <w:rFonts w:ascii="Segoe UI" w:hAnsi="Segoe UI" w:cs="Segoe UI"/>
                <w:bCs/>
                <w:sz w:val="20"/>
                <w:szCs w:val="20"/>
                <w:lang w:val="en-AU" w:eastAsia="en-AU"/>
              </w:rPr>
              <w:t>16</w:t>
            </w:r>
          </w:p>
        </w:tc>
      </w:tr>
      <w:tr w:rsidR="00EC3AC3" w14:paraId="02C5FC81" w14:textId="37737B10" w:rsidTr="00EC3AC3">
        <w:tc>
          <w:tcPr>
            <w:tcW w:w="1795" w:type="dxa"/>
            <w:shd w:val="clear" w:color="auto" w:fill="auto"/>
          </w:tcPr>
          <w:p w14:paraId="0C7D8554" w14:textId="6386D85F" w:rsidR="00EC3AC3" w:rsidRDefault="00EC3AC3" w:rsidP="001C274B">
            <w:pPr>
              <w:pStyle w:val="NormalWeb"/>
              <w:rPr>
                <w:rFonts w:ascii="Segoe UI" w:hAnsi="Segoe UI" w:cs="Segoe UI"/>
                <w:bCs/>
                <w:sz w:val="20"/>
                <w:szCs w:val="20"/>
                <w:lang w:val="en-AU" w:eastAsia="en-AU"/>
              </w:rPr>
            </w:pPr>
            <w:r>
              <w:rPr>
                <w:rFonts w:ascii="Segoe UI" w:hAnsi="Segoe UI" w:cs="Segoe UI"/>
                <w:bCs/>
                <w:sz w:val="20"/>
                <w:szCs w:val="20"/>
                <w:lang w:val="en-AU" w:eastAsia="en-AU"/>
              </w:rPr>
              <w:t>Standard_G4</w:t>
            </w:r>
          </w:p>
        </w:tc>
        <w:tc>
          <w:tcPr>
            <w:tcW w:w="1620" w:type="dxa"/>
            <w:shd w:val="clear" w:color="auto" w:fill="auto"/>
          </w:tcPr>
          <w:p w14:paraId="4670B059" w14:textId="77777777"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16</w:t>
            </w:r>
          </w:p>
        </w:tc>
        <w:tc>
          <w:tcPr>
            <w:tcW w:w="1710" w:type="dxa"/>
          </w:tcPr>
          <w:p w14:paraId="6C2A0F16" w14:textId="54EB15CA"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224</w:t>
            </w:r>
          </w:p>
        </w:tc>
        <w:tc>
          <w:tcPr>
            <w:tcW w:w="1890" w:type="dxa"/>
          </w:tcPr>
          <w:p w14:paraId="2491A725" w14:textId="00D8BBDF"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3,298</w:t>
            </w:r>
          </w:p>
        </w:tc>
        <w:tc>
          <w:tcPr>
            <w:tcW w:w="2970" w:type="dxa"/>
          </w:tcPr>
          <w:p w14:paraId="6444EAF8" w14:textId="15AC009A"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32</w:t>
            </w:r>
          </w:p>
        </w:tc>
      </w:tr>
      <w:tr w:rsidR="00EC3AC3" w14:paraId="686ECCEE" w14:textId="77777777" w:rsidTr="00EC3AC3">
        <w:tc>
          <w:tcPr>
            <w:tcW w:w="1795" w:type="dxa"/>
            <w:shd w:val="clear" w:color="auto" w:fill="auto"/>
          </w:tcPr>
          <w:p w14:paraId="01579964" w14:textId="7DB8ABD6" w:rsidR="00EC3AC3" w:rsidRDefault="00EC3AC3" w:rsidP="001C274B">
            <w:pPr>
              <w:pStyle w:val="NormalWeb"/>
              <w:rPr>
                <w:rFonts w:ascii="Segoe UI" w:hAnsi="Segoe UI" w:cs="Segoe UI"/>
                <w:bCs/>
                <w:sz w:val="20"/>
                <w:szCs w:val="20"/>
                <w:lang w:val="en-AU" w:eastAsia="en-AU"/>
              </w:rPr>
            </w:pPr>
            <w:r>
              <w:rPr>
                <w:rFonts w:ascii="Segoe UI" w:hAnsi="Segoe UI" w:cs="Segoe UI"/>
                <w:bCs/>
                <w:sz w:val="20"/>
                <w:szCs w:val="20"/>
                <w:lang w:val="en-AU" w:eastAsia="en-AU"/>
              </w:rPr>
              <w:t>Standard_G5</w:t>
            </w:r>
          </w:p>
        </w:tc>
        <w:tc>
          <w:tcPr>
            <w:tcW w:w="1620" w:type="dxa"/>
            <w:shd w:val="clear" w:color="auto" w:fill="auto"/>
          </w:tcPr>
          <w:p w14:paraId="18A43B11" w14:textId="30A527BB"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32</w:t>
            </w:r>
          </w:p>
        </w:tc>
        <w:tc>
          <w:tcPr>
            <w:tcW w:w="1710" w:type="dxa"/>
          </w:tcPr>
          <w:p w14:paraId="6F7AB552" w14:textId="4AF1F57E"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448</w:t>
            </w:r>
          </w:p>
        </w:tc>
        <w:tc>
          <w:tcPr>
            <w:tcW w:w="1890" w:type="dxa"/>
          </w:tcPr>
          <w:p w14:paraId="518AEE55" w14:textId="3F63C455"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6,596</w:t>
            </w:r>
          </w:p>
        </w:tc>
        <w:tc>
          <w:tcPr>
            <w:tcW w:w="2970" w:type="dxa"/>
          </w:tcPr>
          <w:p w14:paraId="59E60586" w14:textId="716FB762" w:rsidR="00EC3AC3" w:rsidRDefault="00EC3AC3" w:rsidP="001C274B">
            <w:pPr>
              <w:pStyle w:val="NormalWeb"/>
              <w:rPr>
                <w:rFonts w:ascii="Segoe UI" w:hAnsi="Segoe UI" w:cs="Segoe UI"/>
                <w:sz w:val="20"/>
                <w:szCs w:val="20"/>
                <w:lang w:val="en-AU" w:eastAsia="en-AU"/>
              </w:rPr>
            </w:pPr>
            <w:r>
              <w:rPr>
                <w:rFonts w:ascii="Segoe UI" w:hAnsi="Segoe UI" w:cs="Segoe UI"/>
                <w:sz w:val="20"/>
                <w:szCs w:val="20"/>
                <w:lang w:val="en-AU" w:eastAsia="en-AU"/>
              </w:rPr>
              <w:t>64</w:t>
            </w:r>
          </w:p>
        </w:tc>
      </w:tr>
    </w:tbl>
    <w:p w14:paraId="5BAB5ECE" w14:textId="77777777" w:rsidR="008E0B8C" w:rsidRDefault="008E0B8C" w:rsidP="005729D2">
      <w:pPr>
        <w:pStyle w:val="Heading2Numbered"/>
        <w:numPr>
          <w:ilvl w:val="1"/>
          <w:numId w:val="64"/>
        </w:numPr>
      </w:pPr>
      <w:bookmarkStart w:id="1025" w:name="_Toc418036847"/>
      <w:bookmarkStart w:id="1026" w:name="_Toc418061312"/>
      <w:bookmarkStart w:id="1027" w:name="_Toc418080660"/>
      <w:bookmarkStart w:id="1028" w:name="_Toc418081834"/>
      <w:bookmarkStart w:id="1029" w:name="_Toc418083236"/>
      <w:bookmarkStart w:id="1030" w:name="_Toc418095455"/>
      <w:bookmarkStart w:id="1031" w:name="_Toc418156623"/>
      <w:bookmarkStart w:id="1032" w:name="_Toc418167547"/>
      <w:bookmarkStart w:id="1033" w:name="_Toc418185803"/>
      <w:bookmarkStart w:id="1034" w:name="_Toc422941511"/>
      <w:bookmarkStart w:id="1035" w:name="_Toc423116717"/>
      <w:bookmarkStart w:id="1036" w:name="_Toc423117750"/>
      <w:bookmarkStart w:id="1037" w:name="_Toc423117200"/>
      <w:bookmarkStart w:id="1038" w:name="_Toc431288786"/>
      <w:r>
        <w:t>Microsoft Azure Enterprise Operations</w:t>
      </w:r>
      <w:bookmarkEnd w:id="1012"/>
      <w:bookmarkEnd w:id="1013"/>
      <w:bookmarkEnd w:id="1014"/>
      <w:bookmarkEnd w:id="1015"/>
      <w:bookmarkEnd w:id="1016"/>
      <w:bookmarkEnd w:id="1017"/>
      <w:bookmarkEnd w:id="1018"/>
      <w:bookmarkEnd w:id="1019"/>
      <w:bookmarkEnd w:id="1020"/>
      <w:bookmarkEnd w:id="1021"/>
      <w:bookmarkEnd w:id="1022"/>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5808D760" w14:textId="69C1A0B9" w:rsidR="00B02AE8" w:rsidRPr="00471404" w:rsidRDefault="00BC6643" w:rsidP="00C17379">
      <w:r>
        <w:t>To operate your application, service, or infrastructure within Microsoft Azure, it is important to understand the roles, access methods, and components that make up a given organizations Azure environment. This section covers each of these areas at a high level.</w:t>
      </w:r>
    </w:p>
    <w:p w14:paraId="5860EAD0" w14:textId="77777777" w:rsidR="008E0B8C" w:rsidRDefault="008E0B8C" w:rsidP="005729D2">
      <w:pPr>
        <w:pStyle w:val="Heading3Numbered"/>
        <w:numPr>
          <w:ilvl w:val="2"/>
          <w:numId w:val="64"/>
        </w:numPr>
      </w:pPr>
      <w:bookmarkStart w:id="1039" w:name="_Toc417935703"/>
      <w:bookmarkStart w:id="1040" w:name="_Toc417936165"/>
      <w:bookmarkStart w:id="1041" w:name="_Toc417947050"/>
      <w:bookmarkStart w:id="1042" w:name="_Toc417982428"/>
      <w:bookmarkStart w:id="1043" w:name="_Toc417985851"/>
      <w:bookmarkStart w:id="1044" w:name="_Toc418000577"/>
      <w:bookmarkStart w:id="1045" w:name="_Toc418003719"/>
      <w:bookmarkStart w:id="1046" w:name="_Toc418011927"/>
      <w:bookmarkStart w:id="1047" w:name="_Toc418014575"/>
      <w:bookmarkStart w:id="1048" w:name="_Toc418014438"/>
      <w:bookmarkStart w:id="1049" w:name="_Toc418029911"/>
      <w:bookmarkStart w:id="1050" w:name="_Toc418036848"/>
      <w:bookmarkStart w:id="1051" w:name="_Toc418061313"/>
      <w:bookmarkStart w:id="1052" w:name="_Toc418080661"/>
      <w:bookmarkStart w:id="1053" w:name="_Toc418081835"/>
      <w:bookmarkStart w:id="1054" w:name="_Toc418083237"/>
      <w:bookmarkStart w:id="1055" w:name="_Toc418095456"/>
      <w:bookmarkStart w:id="1056" w:name="_Toc418156624"/>
      <w:bookmarkStart w:id="1057" w:name="_Toc418167548"/>
      <w:bookmarkStart w:id="1058" w:name="_Toc418185804"/>
      <w:bookmarkStart w:id="1059" w:name="_Toc422941512"/>
      <w:bookmarkStart w:id="1060" w:name="_Toc423116718"/>
      <w:bookmarkStart w:id="1061" w:name="_Toc423117751"/>
      <w:bookmarkStart w:id="1062" w:name="_Toc423117201"/>
      <w:bookmarkStart w:id="1063" w:name="_Toc431288787"/>
      <w:r>
        <w:t>Enterprise Roles and Portals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0EB4A65F" w14:textId="448755FF" w:rsidR="00864F14" w:rsidRDefault="00864F14" w:rsidP="005729D2">
      <w:pPr>
        <w:pStyle w:val="Heading4Numbered"/>
        <w:numPr>
          <w:ilvl w:val="3"/>
          <w:numId w:val="64"/>
        </w:numPr>
      </w:pPr>
      <w:r>
        <w:t>Roles</w:t>
      </w:r>
    </w:p>
    <w:p w14:paraId="495F5B5E" w14:textId="5B817970" w:rsidR="00B02AE8" w:rsidRDefault="00B02AE8" w:rsidP="00C17379">
      <w:r>
        <w:t>Within a given enterprise enrollment, Microsoft Azure has several roles that individuals play.  These roles range from creating subscriptions (covered later in this document) to provisioning resources.  The following top level roles exist within Azure:</w:t>
      </w:r>
    </w:p>
    <w:tbl>
      <w:tblPr>
        <w:tblStyle w:val="PlainTable11"/>
        <w:tblW w:w="0" w:type="auto"/>
        <w:tblLook w:val="0420" w:firstRow="1" w:lastRow="0" w:firstColumn="0" w:lastColumn="0" w:noHBand="0" w:noVBand="1"/>
      </w:tblPr>
      <w:tblGrid>
        <w:gridCol w:w="1615"/>
        <w:gridCol w:w="3645"/>
        <w:gridCol w:w="4090"/>
      </w:tblGrid>
      <w:tr w:rsidR="00B02AE8" w:rsidRPr="00792D99" w14:paraId="61416D49" w14:textId="77777777" w:rsidTr="00792D99">
        <w:trPr>
          <w:cnfStyle w:val="100000000000" w:firstRow="1" w:lastRow="0" w:firstColumn="0" w:lastColumn="0" w:oddVBand="0" w:evenVBand="0" w:oddHBand="0" w:evenHBand="0" w:firstRowFirstColumn="0" w:firstRowLastColumn="0" w:lastRowFirstColumn="0" w:lastRowLastColumn="0"/>
        </w:trPr>
        <w:tc>
          <w:tcPr>
            <w:tcW w:w="1615" w:type="dxa"/>
            <w:shd w:val="clear" w:color="auto" w:fill="808080" w:themeFill="background1" w:themeFillShade="80"/>
            <w:hideMark/>
          </w:tcPr>
          <w:p w14:paraId="44DF4FA4" w14:textId="77777777" w:rsidR="00B02AE8" w:rsidRPr="00792D99" w:rsidRDefault="00B02AE8" w:rsidP="008E2E05">
            <w:pPr>
              <w:spacing w:line="240" w:lineRule="auto"/>
              <w:rPr>
                <w:rFonts w:eastAsia="Calibri"/>
                <w:bCs w:val="0"/>
                <w:color w:val="FFFFFF"/>
                <w:sz w:val="20"/>
                <w:szCs w:val="20"/>
                <w:lang w:eastAsia="en-AU"/>
              </w:rPr>
            </w:pPr>
            <w:r w:rsidRPr="00792D99">
              <w:rPr>
                <w:rFonts w:eastAsia="Calibri"/>
                <w:bCs w:val="0"/>
                <w:color w:val="FFFFFF"/>
                <w:sz w:val="20"/>
                <w:szCs w:val="20"/>
                <w:lang w:eastAsia="en-AU"/>
              </w:rPr>
              <w:t>Role</w:t>
            </w:r>
          </w:p>
        </w:tc>
        <w:tc>
          <w:tcPr>
            <w:tcW w:w="3647" w:type="dxa"/>
            <w:shd w:val="clear" w:color="auto" w:fill="808080" w:themeFill="background1" w:themeFillShade="80"/>
          </w:tcPr>
          <w:p w14:paraId="45FF19F9" w14:textId="77777777" w:rsidR="00B02AE8" w:rsidRPr="00792D99" w:rsidRDefault="00B02AE8" w:rsidP="008E2E05">
            <w:pPr>
              <w:spacing w:line="240" w:lineRule="auto"/>
              <w:rPr>
                <w:rFonts w:eastAsia="Calibri"/>
                <w:bCs w:val="0"/>
                <w:color w:val="FFFFFF"/>
                <w:sz w:val="20"/>
                <w:szCs w:val="20"/>
                <w:lang w:eastAsia="en-AU"/>
              </w:rPr>
            </w:pPr>
            <w:r w:rsidRPr="00792D99">
              <w:rPr>
                <w:rFonts w:eastAsia="Calibri"/>
                <w:bCs w:val="0"/>
                <w:color w:val="FFFFFF"/>
                <w:sz w:val="20"/>
                <w:szCs w:val="20"/>
                <w:lang w:eastAsia="en-AU"/>
              </w:rPr>
              <w:t>Quantity/Description</w:t>
            </w:r>
          </w:p>
        </w:tc>
        <w:tc>
          <w:tcPr>
            <w:tcW w:w="4093" w:type="dxa"/>
            <w:shd w:val="clear" w:color="auto" w:fill="808080" w:themeFill="background1" w:themeFillShade="80"/>
            <w:hideMark/>
          </w:tcPr>
          <w:p w14:paraId="669445AA" w14:textId="77777777" w:rsidR="00B02AE8" w:rsidRPr="00792D99" w:rsidRDefault="00B02AE8" w:rsidP="008E2E05">
            <w:pPr>
              <w:spacing w:line="240" w:lineRule="auto"/>
              <w:rPr>
                <w:rFonts w:eastAsia="Calibri"/>
                <w:bCs w:val="0"/>
                <w:color w:val="FFFFFF"/>
                <w:sz w:val="20"/>
                <w:szCs w:val="20"/>
                <w:lang w:eastAsia="en-AU"/>
              </w:rPr>
            </w:pPr>
            <w:r w:rsidRPr="00792D99">
              <w:rPr>
                <w:rFonts w:eastAsia="Calibri"/>
                <w:bCs w:val="0"/>
                <w:color w:val="FFFFFF"/>
                <w:sz w:val="20"/>
                <w:szCs w:val="20"/>
                <w:lang w:eastAsia="en-AU"/>
              </w:rPr>
              <w:t>Functions/Permissions</w:t>
            </w:r>
          </w:p>
        </w:tc>
      </w:tr>
      <w:tr w:rsidR="00B02AE8" w14:paraId="4F582111" w14:textId="77777777" w:rsidTr="00792D99">
        <w:trPr>
          <w:cnfStyle w:val="000000100000" w:firstRow="0" w:lastRow="0" w:firstColumn="0" w:lastColumn="0" w:oddVBand="0" w:evenVBand="0" w:oddHBand="1" w:evenHBand="0" w:firstRowFirstColumn="0" w:firstRowLastColumn="0" w:lastRowFirstColumn="0" w:lastRowLastColumn="0"/>
        </w:trPr>
        <w:tc>
          <w:tcPr>
            <w:tcW w:w="1615" w:type="dxa"/>
          </w:tcPr>
          <w:p w14:paraId="260A8441" w14:textId="77777777" w:rsidR="00B02AE8" w:rsidRPr="00CD3D42" w:rsidRDefault="00B02AE8" w:rsidP="008E2E05">
            <w:pPr>
              <w:rPr>
                <w:b/>
                <w:sz w:val="20"/>
                <w:szCs w:val="20"/>
              </w:rPr>
            </w:pPr>
            <w:r w:rsidRPr="00CD3D42">
              <w:rPr>
                <w:b/>
                <w:sz w:val="20"/>
                <w:szCs w:val="20"/>
              </w:rPr>
              <w:t>Enterprise Administrator</w:t>
            </w:r>
          </w:p>
        </w:tc>
        <w:tc>
          <w:tcPr>
            <w:tcW w:w="3647" w:type="dxa"/>
          </w:tcPr>
          <w:p w14:paraId="7C807951" w14:textId="77777777" w:rsidR="00B02AE8" w:rsidRPr="00CD3D42" w:rsidRDefault="00B02AE8" w:rsidP="008E2E05">
            <w:pPr>
              <w:rPr>
                <w:sz w:val="20"/>
                <w:szCs w:val="20"/>
              </w:rPr>
            </w:pPr>
            <w:r w:rsidRPr="00CD3D42">
              <w:rPr>
                <w:sz w:val="20"/>
                <w:szCs w:val="20"/>
              </w:rPr>
              <w:t>There may be multiple Enterprise Administrators per Enterprise Enrollment</w:t>
            </w:r>
          </w:p>
        </w:tc>
        <w:tc>
          <w:tcPr>
            <w:tcW w:w="4093" w:type="dxa"/>
          </w:tcPr>
          <w:p w14:paraId="67BB121B" w14:textId="77777777" w:rsidR="00B02AE8" w:rsidRPr="00CD3D42" w:rsidRDefault="00B02AE8" w:rsidP="005729D2">
            <w:pPr>
              <w:pStyle w:val="ListParagraph"/>
              <w:numPr>
                <w:ilvl w:val="0"/>
                <w:numId w:val="55"/>
              </w:numPr>
              <w:ind w:left="360"/>
              <w:rPr>
                <w:sz w:val="20"/>
                <w:szCs w:val="20"/>
              </w:rPr>
            </w:pPr>
            <w:r w:rsidRPr="00CD3D42">
              <w:rPr>
                <w:sz w:val="20"/>
                <w:szCs w:val="20"/>
              </w:rPr>
              <w:t>Manage accounts and Account Owners</w:t>
            </w:r>
          </w:p>
          <w:p w14:paraId="0EB2956A" w14:textId="77777777" w:rsidR="00B02AE8" w:rsidRPr="00CD3D42" w:rsidRDefault="00B02AE8" w:rsidP="005729D2">
            <w:pPr>
              <w:pStyle w:val="ListParagraph"/>
              <w:numPr>
                <w:ilvl w:val="0"/>
                <w:numId w:val="55"/>
              </w:numPr>
              <w:ind w:left="360"/>
              <w:rPr>
                <w:sz w:val="20"/>
                <w:szCs w:val="20"/>
              </w:rPr>
            </w:pPr>
            <w:r w:rsidRPr="00CD3D42">
              <w:rPr>
                <w:sz w:val="20"/>
                <w:szCs w:val="20"/>
              </w:rPr>
              <w:t>Manage Enterprise Administrators</w:t>
            </w:r>
          </w:p>
          <w:p w14:paraId="741AC3CB" w14:textId="77777777" w:rsidR="00B02AE8" w:rsidRPr="00CD3D42" w:rsidRDefault="00B02AE8" w:rsidP="005729D2">
            <w:pPr>
              <w:pStyle w:val="ListParagraph"/>
              <w:numPr>
                <w:ilvl w:val="0"/>
                <w:numId w:val="55"/>
              </w:numPr>
              <w:ind w:left="360"/>
              <w:rPr>
                <w:sz w:val="20"/>
                <w:szCs w:val="20"/>
              </w:rPr>
            </w:pPr>
            <w:r w:rsidRPr="00CD3D42">
              <w:rPr>
                <w:sz w:val="20"/>
                <w:szCs w:val="20"/>
              </w:rPr>
              <w:t>View usage across all accounts</w:t>
            </w:r>
          </w:p>
          <w:p w14:paraId="41D63D1B" w14:textId="77777777" w:rsidR="00B02AE8" w:rsidRPr="00CD3D42" w:rsidRDefault="00B02AE8" w:rsidP="005729D2">
            <w:pPr>
              <w:pStyle w:val="ListParagraph"/>
              <w:numPr>
                <w:ilvl w:val="0"/>
                <w:numId w:val="55"/>
              </w:numPr>
              <w:ind w:left="360"/>
              <w:rPr>
                <w:sz w:val="20"/>
                <w:szCs w:val="20"/>
              </w:rPr>
            </w:pPr>
            <w:r w:rsidRPr="00CD3D42">
              <w:rPr>
                <w:sz w:val="20"/>
                <w:szCs w:val="20"/>
              </w:rPr>
              <w:t>View unbilled charges across all accounts</w:t>
            </w:r>
          </w:p>
          <w:p w14:paraId="52F3001C" w14:textId="77777777" w:rsidR="00B02AE8" w:rsidRPr="00CD3D42" w:rsidRDefault="00B02AE8" w:rsidP="008E2E05">
            <w:pPr>
              <w:rPr>
                <w:sz w:val="20"/>
                <w:szCs w:val="20"/>
              </w:rPr>
            </w:pPr>
          </w:p>
        </w:tc>
      </w:tr>
      <w:tr w:rsidR="00B02AE8" w14:paraId="59725DC8" w14:textId="77777777" w:rsidTr="00792D99">
        <w:tc>
          <w:tcPr>
            <w:tcW w:w="1615" w:type="dxa"/>
          </w:tcPr>
          <w:p w14:paraId="02F95C6D" w14:textId="77777777" w:rsidR="00B02AE8" w:rsidRPr="00CD3D42" w:rsidRDefault="00B02AE8" w:rsidP="008E2E05">
            <w:pPr>
              <w:pStyle w:val="NormalWeb"/>
              <w:spacing w:line="256" w:lineRule="auto"/>
              <w:rPr>
                <w:rFonts w:ascii="Segoe UI" w:hAnsi="Segoe UI" w:cs="Segoe UI"/>
                <w:b/>
                <w:sz w:val="20"/>
                <w:szCs w:val="20"/>
                <w:lang w:val="en-AU" w:eastAsia="en-AU"/>
              </w:rPr>
            </w:pPr>
            <w:r w:rsidRPr="00CD3D42">
              <w:rPr>
                <w:rFonts w:ascii="Segoe UI" w:hAnsi="Segoe UI" w:cs="Segoe UI"/>
                <w:b/>
                <w:sz w:val="20"/>
                <w:szCs w:val="20"/>
                <w:lang w:val="en-AU" w:eastAsia="en-AU"/>
              </w:rPr>
              <w:t>Account Owner</w:t>
            </w:r>
          </w:p>
        </w:tc>
        <w:tc>
          <w:tcPr>
            <w:tcW w:w="3647" w:type="dxa"/>
          </w:tcPr>
          <w:p w14:paraId="335B6D82" w14:textId="77777777" w:rsidR="00B02AE8" w:rsidRPr="00CD3D42" w:rsidRDefault="00B02AE8" w:rsidP="008E2E05">
            <w:pPr>
              <w:rPr>
                <w:sz w:val="20"/>
                <w:szCs w:val="20"/>
              </w:rPr>
            </w:pPr>
            <w:r w:rsidRPr="00CD3D42">
              <w:rPr>
                <w:sz w:val="20"/>
                <w:szCs w:val="20"/>
              </w:rPr>
              <w:t>Each account requires a unique Microsoft Account or Organizational Account</w:t>
            </w:r>
          </w:p>
        </w:tc>
        <w:tc>
          <w:tcPr>
            <w:tcW w:w="4093" w:type="dxa"/>
          </w:tcPr>
          <w:p w14:paraId="5584D8A3" w14:textId="77777777" w:rsidR="00B02AE8" w:rsidRPr="00CD3D42" w:rsidRDefault="00B02AE8" w:rsidP="005729D2">
            <w:pPr>
              <w:pStyle w:val="ListParagraph"/>
              <w:numPr>
                <w:ilvl w:val="0"/>
                <w:numId w:val="55"/>
              </w:numPr>
              <w:ind w:left="360"/>
              <w:rPr>
                <w:sz w:val="20"/>
                <w:szCs w:val="20"/>
              </w:rPr>
            </w:pPr>
            <w:r w:rsidRPr="00CD3D42">
              <w:rPr>
                <w:sz w:val="20"/>
                <w:szCs w:val="20"/>
              </w:rPr>
              <w:t>Create and manage subscriptions – only the account owner is able to perform these functions</w:t>
            </w:r>
          </w:p>
          <w:p w14:paraId="6477CFD6" w14:textId="77777777" w:rsidR="00B02AE8" w:rsidRPr="00CD3D42" w:rsidRDefault="00B02AE8" w:rsidP="005729D2">
            <w:pPr>
              <w:pStyle w:val="ListParagraph"/>
              <w:numPr>
                <w:ilvl w:val="0"/>
                <w:numId w:val="55"/>
              </w:numPr>
              <w:ind w:left="360"/>
              <w:rPr>
                <w:sz w:val="20"/>
                <w:szCs w:val="20"/>
              </w:rPr>
            </w:pPr>
            <w:r w:rsidRPr="00CD3D42">
              <w:rPr>
                <w:sz w:val="20"/>
                <w:szCs w:val="20"/>
              </w:rPr>
              <w:t>Manage Service Administrators and Co-Administrators</w:t>
            </w:r>
          </w:p>
          <w:p w14:paraId="636D30C9" w14:textId="77777777" w:rsidR="00B02AE8" w:rsidRPr="00CD3D42" w:rsidRDefault="00B02AE8" w:rsidP="005729D2">
            <w:pPr>
              <w:pStyle w:val="ListParagraph"/>
              <w:numPr>
                <w:ilvl w:val="0"/>
                <w:numId w:val="55"/>
              </w:numPr>
              <w:ind w:left="360"/>
              <w:rPr>
                <w:sz w:val="20"/>
                <w:szCs w:val="20"/>
              </w:rPr>
            </w:pPr>
            <w:r w:rsidRPr="00CD3D42">
              <w:rPr>
                <w:sz w:val="20"/>
                <w:szCs w:val="20"/>
              </w:rPr>
              <w:t>View usage for subscriptions</w:t>
            </w:r>
          </w:p>
          <w:p w14:paraId="6EF58C5F" w14:textId="42183948" w:rsidR="00B02AE8" w:rsidRPr="00CD3D42" w:rsidRDefault="00B02AE8" w:rsidP="005729D2">
            <w:pPr>
              <w:pStyle w:val="ListParagraph"/>
              <w:numPr>
                <w:ilvl w:val="0"/>
                <w:numId w:val="55"/>
              </w:numPr>
              <w:ind w:left="360"/>
              <w:rPr>
                <w:sz w:val="20"/>
                <w:szCs w:val="20"/>
              </w:rPr>
            </w:pPr>
            <w:r w:rsidRPr="00CD3D42">
              <w:rPr>
                <w:sz w:val="20"/>
                <w:szCs w:val="20"/>
              </w:rPr>
              <w:t xml:space="preserve">View account charges – if </w:t>
            </w:r>
            <w:r w:rsidR="008557F0">
              <w:rPr>
                <w:sz w:val="20"/>
                <w:szCs w:val="20"/>
              </w:rPr>
              <w:t xml:space="preserve">the </w:t>
            </w:r>
            <w:r w:rsidRPr="00CD3D42">
              <w:rPr>
                <w:sz w:val="20"/>
                <w:szCs w:val="20"/>
              </w:rPr>
              <w:t>E</w:t>
            </w:r>
            <w:r w:rsidR="008557F0">
              <w:rPr>
                <w:sz w:val="20"/>
                <w:szCs w:val="20"/>
              </w:rPr>
              <w:t xml:space="preserve">nterprise </w:t>
            </w:r>
            <w:r w:rsidRPr="00CD3D42">
              <w:rPr>
                <w:sz w:val="20"/>
                <w:szCs w:val="20"/>
              </w:rPr>
              <w:t>A</w:t>
            </w:r>
            <w:r w:rsidR="008557F0">
              <w:rPr>
                <w:sz w:val="20"/>
                <w:szCs w:val="20"/>
              </w:rPr>
              <w:t>dministrator</w:t>
            </w:r>
            <w:r w:rsidRPr="00CD3D42">
              <w:rPr>
                <w:sz w:val="20"/>
                <w:szCs w:val="20"/>
              </w:rPr>
              <w:t xml:space="preserve"> has provided access</w:t>
            </w:r>
          </w:p>
          <w:p w14:paraId="5D17144B" w14:textId="77777777" w:rsidR="00B02AE8" w:rsidRPr="00CD3D42" w:rsidRDefault="00B02AE8" w:rsidP="008E2E05">
            <w:pPr>
              <w:rPr>
                <w:sz w:val="20"/>
                <w:szCs w:val="20"/>
              </w:rPr>
            </w:pPr>
          </w:p>
        </w:tc>
      </w:tr>
      <w:tr w:rsidR="00B02AE8" w14:paraId="5473D914" w14:textId="77777777" w:rsidTr="00792D99">
        <w:trPr>
          <w:cnfStyle w:val="000000100000" w:firstRow="0" w:lastRow="0" w:firstColumn="0" w:lastColumn="0" w:oddVBand="0" w:evenVBand="0" w:oddHBand="1" w:evenHBand="0" w:firstRowFirstColumn="0" w:firstRowLastColumn="0" w:lastRowFirstColumn="0" w:lastRowLastColumn="0"/>
        </w:trPr>
        <w:tc>
          <w:tcPr>
            <w:tcW w:w="1615" w:type="dxa"/>
          </w:tcPr>
          <w:p w14:paraId="1384A803" w14:textId="77777777" w:rsidR="00B02AE8" w:rsidRPr="00CD3D42" w:rsidRDefault="00B02AE8" w:rsidP="008E2E05">
            <w:pPr>
              <w:pStyle w:val="NormalWeb"/>
              <w:spacing w:line="256" w:lineRule="auto"/>
              <w:rPr>
                <w:rFonts w:ascii="Segoe UI" w:hAnsi="Segoe UI" w:cs="Segoe UI"/>
                <w:b/>
                <w:sz w:val="20"/>
                <w:szCs w:val="20"/>
                <w:lang w:val="en-AU" w:eastAsia="en-AU"/>
              </w:rPr>
            </w:pPr>
            <w:r w:rsidRPr="00CD3D42">
              <w:rPr>
                <w:rFonts w:ascii="Segoe UI" w:hAnsi="Segoe UI" w:cs="Segoe UI"/>
                <w:b/>
                <w:sz w:val="20"/>
                <w:szCs w:val="20"/>
                <w:lang w:val="en-AU" w:eastAsia="en-AU"/>
              </w:rPr>
              <w:t>Service Administrator</w:t>
            </w:r>
          </w:p>
        </w:tc>
        <w:tc>
          <w:tcPr>
            <w:tcW w:w="3647" w:type="dxa"/>
          </w:tcPr>
          <w:p w14:paraId="632E3336" w14:textId="77777777" w:rsidR="00B02AE8" w:rsidRPr="00CD3D42" w:rsidRDefault="00B02AE8" w:rsidP="008E2E05">
            <w:pPr>
              <w:rPr>
                <w:rFonts w:eastAsia="Calibri" w:cs="Segoe UI"/>
                <w:sz w:val="20"/>
                <w:szCs w:val="20"/>
                <w:lang w:val="en-AU" w:eastAsia="en-AU"/>
              </w:rPr>
            </w:pPr>
            <w:r w:rsidRPr="00CD3D42">
              <w:rPr>
                <w:rFonts w:eastAsia="Calibri" w:cs="Segoe UI"/>
                <w:sz w:val="20"/>
                <w:szCs w:val="20"/>
                <w:lang w:val="en-AU" w:eastAsia="en-AU"/>
              </w:rPr>
              <w:t>A single Microsoft Account or Organizational Account may be used across subscriptions and between hierarchal levels</w:t>
            </w:r>
          </w:p>
        </w:tc>
        <w:tc>
          <w:tcPr>
            <w:tcW w:w="4093" w:type="dxa"/>
          </w:tcPr>
          <w:p w14:paraId="7E6F7A53" w14:textId="77777777" w:rsidR="00B02AE8" w:rsidRPr="00CD3D42" w:rsidRDefault="00B02AE8" w:rsidP="005729D2">
            <w:pPr>
              <w:pStyle w:val="ListParagraph"/>
              <w:numPr>
                <w:ilvl w:val="0"/>
                <w:numId w:val="55"/>
              </w:numPr>
              <w:ind w:left="360"/>
              <w:rPr>
                <w:sz w:val="20"/>
                <w:szCs w:val="20"/>
              </w:rPr>
            </w:pPr>
            <w:r w:rsidRPr="00CD3D42">
              <w:rPr>
                <w:sz w:val="20"/>
                <w:szCs w:val="20"/>
              </w:rPr>
              <w:t>Access and manage subscriptions and development projects on the developer portal</w:t>
            </w:r>
          </w:p>
          <w:p w14:paraId="15B4CEF2" w14:textId="77777777" w:rsidR="00B02AE8" w:rsidRPr="00CD3D42" w:rsidRDefault="00B02AE8" w:rsidP="008E2E05">
            <w:pPr>
              <w:rPr>
                <w:rFonts w:eastAsia="Calibri" w:cs="Segoe UI"/>
                <w:sz w:val="20"/>
                <w:szCs w:val="20"/>
                <w:lang w:val="en-AU" w:eastAsia="en-AU"/>
              </w:rPr>
            </w:pPr>
          </w:p>
        </w:tc>
      </w:tr>
    </w:tbl>
    <w:p w14:paraId="62D11BAF" w14:textId="2BA2569E" w:rsidR="006244EE" w:rsidRDefault="006244EE">
      <w:pPr>
        <w:spacing w:before="0" w:after="160" w:line="259" w:lineRule="auto"/>
      </w:pPr>
    </w:p>
    <w:p w14:paraId="6E30BBBE" w14:textId="446F8536" w:rsidR="00B02AE8" w:rsidRDefault="00B02AE8" w:rsidP="00C17379">
      <w:r>
        <w:t>A detail</w:t>
      </w:r>
      <w:r w:rsidR="006244EE">
        <w:t xml:space="preserve">ed breakdown of each role, how it is created and what primary tool they use is provided in the </w:t>
      </w:r>
      <w:r w:rsidR="008557F0">
        <w:t xml:space="preserve">following </w:t>
      </w:r>
      <w:r w:rsidR="006244EE">
        <w:t>table:</w:t>
      </w:r>
    </w:p>
    <w:tbl>
      <w:tblPr>
        <w:tblStyle w:val="PlainTable11"/>
        <w:tblW w:w="9355" w:type="dxa"/>
        <w:tblLook w:val="0420" w:firstRow="1" w:lastRow="0" w:firstColumn="0" w:lastColumn="0" w:noHBand="0" w:noVBand="1"/>
      </w:tblPr>
      <w:tblGrid>
        <w:gridCol w:w="1615"/>
        <w:gridCol w:w="3960"/>
        <w:gridCol w:w="3780"/>
      </w:tblGrid>
      <w:tr w:rsidR="00FC75C1" w:rsidRPr="00792D99" w14:paraId="26A11039" w14:textId="6CA191FA" w:rsidTr="00792D99">
        <w:trPr>
          <w:cnfStyle w:val="100000000000" w:firstRow="1" w:lastRow="0" w:firstColumn="0" w:lastColumn="0" w:oddVBand="0" w:evenVBand="0" w:oddHBand="0" w:evenHBand="0" w:firstRowFirstColumn="0" w:firstRowLastColumn="0" w:lastRowFirstColumn="0" w:lastRowLastColumn="0"/>
        </w:trPr>
        <w:tc>
          <w:tcPr>
            <w:tcW w:w="1615" w:type="dxa"/>
            <w:shd w:val="clear" w:color="auto" w:fill="808080" w:themeFill="background1" w:themeFillShade="80"/>
            <w:hideMark/>
          </w:tcPr>
          <w:p w14:paraId="7B84BACB" w14:textId="6420CA4B" w:rsidR="00FC75C1" w:rsidRPr="00792D99" w:rsidRDefault="00FC75C1" w:rsidP="00FC75C1">
            <w:pPr>
              <w:spacing w:line="240" w:lineRule="auto"/>
              <w:rPr>
                <w:rFonts w:ascii="Times New Roman" w:hAnsi="Times New Roman"/>
                <w:bCs w:val="0"/>
                <w:color w:val="FFFFFF"/>
                <w:sz w:val="20"/>
                <w:szCs w:val="20"/>
                <w:lang w:val="en-AU" w:eastAsia="en-AU"/>
              </w:rPr>
            </w:pPr>
            <w:r w:rsidRPr="00792D99">
              <w:rPr>
                <w:rFonts w:eastAsia="Calibri"/>
                <w:bCs w:val="0"/>
                <w:color w:val="FFFFFF"/>
                <w:sz w:val="20"/>
                <w:szCs w:val="20"/>
                <w:lang w:val="en-AU" w:eastAsia="en-AU"/>
              </w:rPr>
              <w:t>Role</w:t>
            </w:r>
          </w:p>
        </w:tc>
        <w:tc>
          <w:tcPr>
            <w:tcW w:w="3960" w:type="dxa"/>
            <w:shd w:val="clear" w:color="auto" w:fill="808080" w:themeFill="background1" w:themeFillShade="80"/>
            <w:hideMark/>
          </w:tcPr>
          <w:p w14:paraId="2DFEE4EC" w14:textId="423231A2" w:rsidR="00FC75C1" w:rsidRPr="00792D99" w:rsidRDefault="00B02AE8">
            <w:pPr>
              <w:spacing w:line="240" w:lineRule="auto"/>
              <w:rPr>
                <w:rFonts w:eastAsia="Calibri"/>
                <w:color w:val="FFFFFF"/>
                <w:sz w:val="20"/>
                <w:szCs w:val="20"/>
                <w:lang w:val="en-AU" w:eastAsia="en-AU"/>
              </w:rPr>
            </w:pPr>
            <w:r w:rsidRPr="00792D99">
              <w:rPr>
                <w:rFonts w:eastAsia="Calibri"/>
                <w:bCs w:val="0"/>
                <w:color w:val="FFFFFF"/>
                <w:sz w:val="20"/>
                <w:szCs w:val="20"/>
                <w:lang w:val="en-AU" w:eastAsia="en-AU"/>
              </w:rPr>
              <w:t>How Created</w:t>
            </w:r>
          </w:p>
        </w:tc>
        <w:tc>
          <w:tcPr>
            <w:tcW w:w="3780" w:type="dxa"/>
            <w:shd w:val="clear" w:color="auto" w:fill="808080" w:themeFill="background1" w:themeFillShade="80"/>
          </w:tcPr>
          <w:p w14:paraId="0D6A0ED2" w14:textId="556BAFF6" w:rsidR="00FC75C1" w:rsidRPr="00792D99" w:rsidRDefault="00FC75C1" w:rsidP="00FC75C1">
            <w:pPr>
              <w:spacing w:line="240" w:lineRule="auto"/>
              <w:rPr>
                <w:rFonts w:eastAsia="Calibri"/>
                <w:bCs w:val="0"/>
                <w:color w:val="FFFFFF"/>
                <w:sz w:val="20"/>
                <w:szCs w:val="20"/>
                <w:lang w:val="en-AU" w:eastAsia="en-AU"/>
              </w:rPr>
            </w:pPr>
            <w:r w:rsidRPr="00792D99">
              <w:rPr>
                <w:rFonts w:eastAsia="Calibri"/>
                <w:bCs w:val="0"/>
                <w:color w:val="FFFFFF"/>
                <w:sz w:val="20"/>
                <w:szCs w:val="20"/>
                <w:lang w:val="en-AU" w:eastAsia="en-AU"/>
              </w:rPr>
              <w:t>Primary Tool</w:t>
            </w:r>
          </w:p>
        </w:tc>
      </w:tr>
      <w:tr w:rsidR="00FC75C1" w14:paraId="2301BA0B" w14:textId="38C75074" w:rsidTr="00792D99">
        <w:trPr>
          <w:cnfStyle w:val="000000100000" w:firstRow="0" w:lastRow="0" w:firstColumn="0" w:lastColumn="0" w:oddVBand="0" w:evenVBand="0" w:oddHBand="1" w:evenHBand="0" w:firstRowFirstColumn="0" w:firstRowLastColumn="0" w:lastRowFirstColumn="0" w:lastRowLastColumn="0"/>
        </w:trPr>
        <w:tc>
          <w:tcPr>
            <w:tcW w:w="1615" w:type="dxa"/>
            <w:hideMark/>
          </w:tcPr>
          <w:p w14:paraId="0BF8100F" w14:textId="70D3BABB" w:rsidR="00FC75C1" w:rsidRPr="00C17379" w:rsidRDefault="00FC75C1" w:rsidP="00FC75C1">
            <w:pPr>
              <w:pStyle w:val="NormalWeb"/>
              <w:rPr>
                <w:rFonts w:ascii="Segoe UI" w:hAnsi="Segoe UI" w:cs="Segoe UI"/>
                <w:b/>
                <w:sz w:val="20"/>
                <w:szCs w:val="20"/>
                <w:lang w:val="en-AU" w:eastAsia="en-AU"/>
              </w:rPr>
            </w:pPr>
            <w:r w:rsidRPr="00C17379">
              <w:rPr>
                <w:rFonts w:ascii="Segoe UI" w:hAnsi="Segoe UI" w:cs="Segoe UI"/>
                <w:b/>
                <w:bCs/>
                <w:sz w:val="20"/>
                <w:szCs w:val="20"/>
                <w:lang w:val="en-AU" w:eastAsia="en-AU"/>
              </w:rPr>
              <w:t>Enterprise Administrator</w:t>
            </w:r>
          </w:p>
        </w:tc>
        <w:tc>
          <w:tcPr>
            <w:tcW w:w="3960" w:type="dxa"/>
            <w:hideMark/>
          </w:tcPr>
          <w:p w14:paraId="468CCF83" w14:textId="7DDE80A3" w:rsidR="00FC75C1" w:rsidRPr="00B02AE8" w:rsidRDefault="00FC75C1" w:rsidP="008557F0">
            <w:pPr>
              <w:pStyle w:val="NormalWeb"/>
              <w:rPr>
                <w:rFonts w:ascii="Segoe UI" w:hAnsi="Segoe UI" w:cs="Segoe UI"/>
                <w:sz w:val="20"/>
                <w:szCs w:val="20"/>
                <w:lang w:val="en-AU" w:eastAsia="en-AU"/>
              </w:rPr>
            </w:pPr>
            <w:r w:rsidRPr="00B02AE8">
              <w:rPr>
                <w:rFonts w:ascii="Segoe UI" w:hAnsi="Segoe UI" w:cs="Segoe UI"/>
                <w:sz w:val="20"/>
                <w:szCs w:val="20"/>
                <w:lang w:val="en-AU" w:eastAsia="en-AU"/>
              </w:rPr>
              <w:t>First account</w:t>
            </w:r>
            <w:r w:rsidR="008557F0">
              <w:rPr>
                <w:rFonts w:ascii="Segoe UI" w:hAnsi="Segoe UI" w:cs="Segoe UI"/>
                <w:sz w:val="20"/>
                <w:szCs w:val="20"/>
                <w:lang w:val="en-AU" w:eastAsia="en-AU"/>
              </w:rPr>
              <w:t xml:space="preserve"> c</w:t>
            </w:r>
            <w:r w:rsidRPr="00B02AE8">
              <w:rPr>
                <w:rFonts w:ascii="Segoe UI" w:hAnsi="Segoe UI" w:cs="Segoe UI"/>
                <w:sz w:val="20"/>
                <w:szCs w:val="20"/>
                <w:lang w:val="en-AU" w:eastAsia="en-AU"/>
              </w:rPr>
              <w:t>reated at on-boarding. Full access and visibility into all activity and resources of a corporate enrol</w:t>
            </w:r>
            <w:r w:rsidR="008557F0">
              <w:rPr>
                <w:rFonts w:ascii="Segoe UI" w:hAnsi="Segoe UI" w:cs="Segoe UI"/>
                <w:sz w:val="20"/>
                <w:szCs w:val="20"/>
                <w:lang w:val="en-AU" w:eastAsia="en-AU"/>
              </w:rPr>
              <w:t>l</w:t>
            </w:r>
            <w:r w:rsidRPr="00B02AE8">
              <w:rPr>
                <w:rFonts w:ascii="Segoe UI" w:hAnsi="Segoe UI" w:cs="Segoe UI"/>
                <w:sz w:val="20"/>
                <w:szCs w:val="20"/>
                <w:lang w:val="en-AU" w:eastAsia="en-AU"/>
              </w:rPr>
              <w:t>ment.</w:t>
            </w:r>
          </w:p>
        </w:tc>
        <w:tc>
          <w:tcPr>
            <w:tcW w:w="3780" w:type="dxa"/>
          </w:tcPr>
          <w:p w14:paraId="51663487" w14:textId="0A2A0591" w:rsidR="00FC75C1" w:rsidRPr="00B02AE8" w:rsidRDefault="00872E47" w:rsidP="00FC75C1">
            <w:pPr>
              <w:pStyle w:val="NormalWeb"/>
              <w:rPr>
                <w:rFonts w:ascii="Segoe UI" w:hAnsi="Segoe UI" w:cs="Segoe UI"/>
                <w:sz w:val="20"/>
                <w:szCs w:val="20"/>
                <w:lang w:val="en-AU" w:eastAsia="en-AU"/>
              </w:rPr>
            </w:pPr>
            <w:hyperlink r:id="rId49" w:history="1">
              <w:r w:rsidR="00D72C57" w:rsidRPr="00A71918">
                <w:rPr>
                  <w:rStyle w:val="Hyperlink"/>
                  <w:rFonts w:cs="Segoe UI"/>
                  <w:sz w:val="20"/>
                  <w:szCs w:val="20"/>
                  <w:lang w:val="en-AU" w:eastAsia="en-AU"/>
                </w:rPr>
                <w:t>https://ea.azure.com</w:t>
              </w:r>
            </w:hyperlink>
            <w:r w:rsidR="00D72C57">
              <w:rPr>
                <w:rFonts w:ascii="Segoe UI" w:hAnsi="Segoe UI" w:cs="Segoe UI"/>
                <w:sz w:val="20"/>
                <w:szCs w:val="20"/>
                <w:lang w:val="en-AU" w:eastAsia="en-AU"/>
              </w:rPr>
              <w:t xml:space="preserve"> </w:t>
            </w:r>
          </w:p>
        </w:tc>
      </w:tr>
      <w:tr w:rsidR="00FC75C1" w14:paraId="415A232D" w14:textId="58F9F655" w:rsidTr="00792D99">
        <w:tc>
          <w:tcPr>
            <w:tcW w:w="1615" w:type="dxa"/>
            <w:hideMark/>
          </w:tcPr>
          <w:p w14:paraId="144B0F97" w14:textId="3DB3ACDA" w:rsidR="00FC75C1" w:rsidRPr="00C17379" w:rsidRDefault="00FC75C1" w:rsidP="00FC75C1">
            <w:pPr>
              <w:pStyle w:val="NormalWeb"/>
              <w:rPr>
                <w:rFonts w:ascii="Segoe UI" w:hAnsi="Segoe UI" w:cs="Segoe UI"/>
                <w:b/>
                <w:bCs/>
                <w:sz w:val="20"/>
                <w:szCs w:val="20"/>
                <w:lang w:val="en-AU" w:eastAsia="en-AU"/>
              </w:rPr>
            </w:pPr>
            <w:r w:rsidRPr="00C17379">
              <w:rPr>
                <w:rFonts w:ascii="Segoe UI" w:hAnsi="Segoe UI" w:cs="Segoe UI"/>
                <w:b/>
                <w:bCs/>
                <w:sz w:val="20"/>
                <w:szCs w:val="20"/>
                <w:lang w:val="en-AU" w:eastAsia="en-AU"/>
              </w:rPr>
              <w:t>Departmental Administrator</w:t>
            </w:r>
          </w:p>
        </w:tc>
        <w:tc>
          <w:tcPr>
            <w:tcW w:w="3960" w:type="dxa"/>
            <w:hideMark/>
          </w:tcPr>
          <w:p w14:paraId="1EA1D44C" w14:textId="67A0CD32" w:rsidR="00FC75C1" w:rsidRPr="00B02AE8" w:rsidRDefault="00FC75C1" w:rsidP="008557F0">
            <w:pPr>
              <w:pStyle w:val="NormalWeb"/>
              <w:rPr>
                <w:rFonts w:ascii="Segoe UI" w:hAnsi="Segoe UI" w:cs="Segoe UI"/>
                <w:sz w:val="20"/>
                <w:szCs w:val="20"/>
                <w:lang w:val="en-AU" w:eastAsia="en-AU"/>
              </w:rPr>
            </w:pPr>
            <w:r w:rsidRPr="00B02AE8">
              <w:rPr>
                <w:rFonts w:ascii="Segoe UI" w:hAnsi="Segoe UI" w:cs="Segoe UI"/>
                <w:sz w:val="20"/>
                <w:szCs w:val="20"/>
                <w:lang w:val="en-AU" w:eastAsia="en-AU"/>
              </w:rPr>
              <w:t>Delegated by</w:t>
            </w:r>
            <w:r w:rsidR="008557F0">
              <w:rPr>
                <w:rFonts w:ascii="Segoe UI" w:hAnsi="Segoe UI" w:cs="Segoe UI"/>
                <w:sz w:val="20"/>
                <w:szCs w:val="20"/>
                <w:lang w:val="en-AU" w:eastAsia="en-AU"/>
              </w:rPr>
              <w:t xml:space="preserve"> the</w:t>
            </w:r>
            <w:r w:rsidRPr="00B02AE8">
              <w:rPr>
                <w:rFonts w:ascii="Segoe UI" w:hAnsi="Segoe UI" w:cs="Segoe UI"/>
                <w:sz w:val="20"/>
                <w:szCs w:val="20"/>
                <w:lang w:val="en-AU" w:eastAsia="en-AU"/>
              </w:rPr>
              <w:t xml:space="preserve"> Enterprise Administrator, </w:t>
            </w:r>
            <w:r w:rsidR="008557F0">
              <w:rPr>
                <w:rFonts w:ascii="Segoe UI" w:hAnsi="Segoe UI" w:cs="Segoe UI"/>
                <w:sz w:val="20"/>
                <w:szCs w:val="20"/>
                <w:lang w:val="en-AU" w:eastAsia="en-AU"/>
              </w:rPr>
              <w:t xml:space="preserve">this </w:t>
            </w:r>
            <w:r w:rsidRPr="00B02AE8">
              <w:rPr>
                <w:rFonts w:ascii="Segoe UI" w:hAnsi="Segoe UI" w:cs="Segoe UI"/>
                <w:sz w:val="20"/>
                <w:szCs w:val="20"/>
                <w:lang w:val="en-AU" w:eastAsia="en-AU"/>
              </w:rPr>
              <w:t xml:space="preserve">role is typically </w:t>
            </w:r>
            <w:r w:rsidR="008557F0">
              <w:rPr>
                <w:rFonts w:ascii="Segoe UI" w:hAnsi="Segoe UI" w:cs="Segoe UI"/>
                <w:sz w:val="20"/>
                <w:szCs w:val="20"/>
                <w:lang w:val="en-AU" w:eastAsia="en-AU"/>
              </w:rPr>
              <w:t>c</w:t>
            </w:r>
            <w:r w:rsidRPr="00B02AE8">
              <w:rPr>
                <w:rFonts w:ascii="Segoe UI" w:hAnsi="Segoe UI" w:cs="Segoe UI"/>
                <w:sz w:val="20"/>
                <w:szCs w:val="20"/>
                <w:lang w:val="en-AU" w:eastAsia="en-AU"/>
              </w:rPr>
              <w:t>ost focused at the business unit level.  Approves rolled up IT budgetary requests for multiple organizations.  Can create and have visibility into multiple account owners.  Consumption information can be rolled up and isolated at this level.</w:t>
            </w:r>
          </w:p>
        </w:tc>
        <w:tc>
          <w:tcPr>
            <w:tcW w:w="3780" w:type="dxa"/>
          </w:tcPr>
          <w:p w14:paraId="086C0C2D" w14:textId="78159361" w:rsidR="00FC75C1" w:rsidRPr="00B02AE8" w:rsidRDefault="00872E47" w:rsidP="00FC75C1">
            <w:pPr>
              <w:pStyle w:val="NormalWeb"/>
              <w:rPr>
                <w:rFonts w:ascii="Segoe UI" w:hAnsi="Segoe UI" w:cs="Segoe UI"/>
                <w:sz w:val="20"/>
                <w:szCs w:val="20"/>
                <w:lang w:val="en-AU" w:eastAsia="en-AU"/>
              </w:rPr>
            </w:pPr>
            <w:hyperlink r:id="rId50" w:history="1">
              <w:r w:rsidR="00D72C57" w:rsidRPr="00A71918">
                <w:rPr>
                  <w:rStyle w:val="Hyperlink"/>
                  <w:rFonts w:cs="Segoe UI"/>
                  <w:sz w:val="20"/>
                  <w:szCs w:val="20"/>
                  <w:lang w:val="en-AU" w:eastAsia="en-AU"/>
                </w:rPr>
                <w:t>https://account.windowsazure.com</w:t>
              </w:r>
            </w:hyperlink>
            <w:r w:rsidR="00D72C57">
              <w:rPr>
                <w:rFonts w:ascii="Segoe UI" w:hAnsi="Segoe UI" w:cs="Segoe UI"/>
                <w:sz w:val="20"/>
                <w:szCs w:val="20"/>
                <w:lang w:val="en-AU" w:eastAsia="en-AU"/>
              </w:rPr>
              <w:t xml:space="preserve"> </w:t>
            </w:r>
          </w:p>
        </w:tc>
      </w:tr>
      <w:tr w:rsidR="00FC75C1" w14:paraId="05652184" w14:textId="341BC00A" w:rsidTr="00792D99">
        <w:trPr>
          <w:cnfStyle w:val="000000100000" w:firstRow="0" w:lastRow="0" w:firstColumn="0" w:lastColumn="0" w:oddVBand="0" w:evenVBand="0" w:oddHBand="1" w:evenHBand="0" w:firstRowFirstColumn="0" w:firstRowLastColumn="0" w:lastRowFirstColumn="0" w:lastRowLastColumn="0"/>
        </w:trPr>
        <w:tc>
          <w:tcPr>
            <w:tcW w:w="1615" w:type="dxa"/>
          </w:tcPr>
          <w:p w14:paraId="3A045EB3" w14:textId="0C52D179" w:rsidR="00FC75C1" w:rsidRPr="00C17379" w:rsidRDefault="00FC75C1" w:rsidP="00FC75C1">
            <w:pPr>
              <w:pStyle w:val="NormalWeb"/>
              <w:rPr>
                <w:rFonts w:ascii="Segoe UI" w:hAnsi="Segoe UI" w:cs="Segoe UI"/>
                <w:b/>
                <w:bCs/>
                <w:sz w:val="20"/>
                <w:szCs w:val="20"/>
                <w:lang w:val="en-AU" w:eastAsia="en-AU"/>
              </w:rPr>
            </w:pPr>
            <w:r w:rsidRPr="00C17379">
              <w:rPr>
                <w:rFonts w:ascii="Segoe UI" w:hAnsi="Segoe UI" w:cs="Segoe UI"/>
                <w:b/>
                <w:bCs/>
                <w:sz w:val="20"/>
                <w:szCs w:val="20"/>
                <w:lang w:val="en-AU" w:eastAsia="en-AU"/>
              </w:rPr>
              <w:t>Account Owner</w:t>
            </w:r>
          </w:p>
        </w:tc>
        <w:tc>
          <w:tcPr>
            <w:tcW w:w="3960" w:type="dxa"/>
          </w:tcPr>
          <w:p w14:paraId="416CC8EE" w14:textId="7F2BD642" w:rsidR="00FC75C1" w:rsidRPr="00B02AE8" w:rsidRDefault="008557F0" w:rsidP="00FC75C1">
            <w:pPr>
              <w:pStyle w:val="NormalWeb"/>
              <w:rPr>
                <w:rFonts w:ascii="Segoe UI" w:hAnsi="Segoe UI" w:cs="Segoe UI"/>
                <w:sz w:val="20"/>
                <w:szCs w:val="20"/>
                <w:lang w:val="en-AU" w:eastAsia="en-AU"/>
              </w:rPr>
            </w:pPr>
            <w:r w:rsidRPr="00B02AE8">
              <w:rPr>
                <w:rFonts w:ascii="Segoe UI" w:hAnsi="Segoe UI" w:cs="Segoe UI"/>
                <w:sz w:val="20"/>
                <w:szCs w:val="20"/>
                <w:lang w:val="en-AU" w:eastAsia="en-AU"/>
              </w:rPr>
              <w:t>Delegated by</w:t>
            </w:r>
            <w:r>
              <w:rPr>
                <w:rFonts w:ascii="Segoe UI" w:hAnsi="Segoe UI" w:cs="Segoe UI"/>
                <w:sz w:val="20"/>
                <w:szCs w:val="20"/>
                <w:lang w:val="en-AU" w:eastAsia="en-AU"/>
              </w:rPr>
              <w:t xml:space="preserve"> a</w:t>
            </w:r>
            <w:r w:rsidRPr="00B02AE8">
              <w:rPr>
                <w:rFonts w:ascii="Segoe UI" w:hAnsi="Segoe UI" w:cs="Segoe UI"/>
                <w:sz w:val="20"/>
                <w:szCs w:val="20"/>
                <w:lang w:val="en-AU" w:eastAsia="en-AU"/>
              </w:rPr>
              <w:t xml:space="preserve"> Departmental </w:t>
            </w:r>
            <w:r>
              <w:rPr>
                <w:rFonts w:ascii="Segoe UI" w:hAnsi="Segoe UI" w:cs="Segoe UI"/>
                <w:sz w:val="20"/>
                <w:szCs w:val="20"/>
                <w:lang w:val="en-AU" w:eastAsia="en-AU"/>
              </w:rPr>
              <w:t>A</w:t>
            </w:r>
            <w:r w:rsidRPr="00B02AE8">
              <w:rPr>
                <w:rFonts w:ascii="Segoe UI" w:hAnsi="Segoe UI" w:cs="Segoe UI"/>
                <w:sz w:val="20"/>
                <w:szCs w:val="20"/>
                <w:lang w:val="en-AU" w:eastAsia="en-AU"/>
              </w:rPr>
              <w:t xml:space="preserve">dministrator, </w:t>
            </w:r>
            <w:r>
              <w:rPr>
                <w:rFonts w:ascii="Segoe UI" w:hAnsi="Segoe UI" w:cs="Segoe UI"/>
                <w:sz w:val="20"/>
                <w:szCs w:val="20"/>
                <w:lang w:val="en-AU" w:eastAsia="en-AU"/>
              </w:rPr>
              <w:t xml:space="preserve">this </w:t>
            </w:r>
            <w:r w:rsidRPr="00B02AE8">
              <w:rPr>
                <w:rFonts w:ascii="Segoe UI" w:hAnsi="Segoe UI" w:cs="Segoe UI"/>
                <w:sz w:val="20"/>
                <w:szCs w:val="20"/>
                <w:lang w:val="en-AU" w:eastAsia="en-AU"/>
              </w:rPr>
              <w:t xml:space="preserve">role typically is cost focused at the departmental or project level. Role creates the subscriptions and Service </w:t>
            </w:r>
            <w:r>
              <w:rPr>
                <w:rFonts w:ascii="Segoe UI" w:hAnsi="Segoe UI" w:cs="Segoe UI"/>
                <w:sz w:val="20"/>
                <w:szCs w:val="20"/>
                <w:lang w:val="en-AU" w:eastAsia="en-AU"/>
              </w:rPr>
              <w:t>A</w:t>
            </w:r>
            <w:r w:rsidRPr="00B02AE8">
              <w:rPr>
                <w:rFonts w:ascii="Segoe UI" w:hAnsi="Segoe UI" w:cs="Segoe UI"/>
                <w:sz w:val="20"/>
                <w:szCs w:val="20"/>
                <w:lang w:val="en-AU" w:eastAsia="en-AU"/>
              </w:rPr>
              <w:t xml:space="preserve">dministrators, </w:t>
            </w:r>
            <w:r>
              <w:rPr>
                <w:rFonts w:ascii="Segoe UI" w:hAnsi="Segoe UI" w:cs="Segoe UI"/>
                <w:sz w:val="20"/>
                <w:szCs w:val="20"/>
                <w:lang w:val="en-AU" w:eastAsia="en-AU"/>
              </w:rPr>
              <w:t xml:space="preserve">and </w:t>
            </w:r>
            <w:r w:rsidRPr="00B02AE8">
              <w:rPr>
                <w:rFonts w:ascii="Segoe UI" w:hAnsi="Segoe UI" w:cs="Segoe UI"/>
                <w:sz w:val="20"/>
                <w:szCs w:val="20"/>
                <w:lang w:val="en-AU" w:eastAsia="en-AU"/>
              </w:rPr>
              <w:t>approve</w:t>
            </w:r>
            <w:r>
              <w:rPr>
                <w:rFonts w:ascii="Segoe UI" w:hAnsi="Segoe UI" w:cs="Segoe UI"/>
                <w:sz w:val="20"/>
                <w:szCs w:val="20"/>
                <w:lang w:val="en-AU" w:eastAsia="en-AU"/>
              </w:rPr>
              <w:t>s</w:t>
            </w:r>
            <w:r w:rsidRPr="00B02AE8">
              <w:rPr>
                <w:rFonts w:ascii="Segoe UI" w:hAnsi="Segoe UI" w:cs="Segoe UI"/>
                <w:sz w:val="20"/>
                <w:szCs w:val="20"/>
                <w:lang w:val="en-AU" w:eastAsia="en-AU"/>
              </w:rPr>
              <w:t xml:space="preserve"> hardware and resource requests by project. Can create and have visibility into multiple </w:t>
            </w:r>
            <w:r>
              <w:rPr>
                <w:rFonts w:ascii="Segoe UI" w:hAnsi="Segoe UI" w:cs="Segoe UI"/>
                <w:sz w:val="20"/>
                <w:szCs w:val="20"/>
                <w:lang w:val="en-AU" w:eastAsia="en-AU"/>
              </w:rPr>
              <w:t>S</w:t>
            </w:r>
            <w:r w:rsidRPr="00B02AE8">
              <w:rPr>
                <w:rFonts w:ascii="Segoe UI" w:hAnsi="Segoe UI" w:cs="Segoe UI"/>
                <w:sz w:val="20"/>
                <w:szCs w:val="20"/>
                <w:lang w:val="en-AU" w:eastAsia="en-AU"/>
              </w:rPr>
              <w:t xml:space="preserve">ervice </w:t>
            </w:r>
            <w:r>
              <w:rPr>
                <w:rFonts w:ascii="Segoe UI" w:hAnsi="Segoe UI" w:cs="Segoe UI"/>
                <w:sz w:val="20"/>
                <w:szCs w:val="20"/>
                <w:lang w:val="en-AU" w:eastAsia="en-AU"/>
              </w:rPr>
              <w:t>A</w:t>
            </w:r>
            <w:r w:rsidRPr="00B02AE8">
              <w:rPr>
                <w:rFonts w:ascii="Segoe UI" w:hAnsi="Segoe UI" w:cs="Segoe UI"/>
                <w:sz w:val="20"/>
                <w:szCs w:val="20"/>
                <w:lang w:val="en-AU" w:eastAsia="en-AU"/>
              </w:rPr>
              <w:t>dministrators and subscriptions.</w:t>
            </w:r>
            <w:r w:rsidR="00FC75C1" w:rsidRPr="00B02AE8">
              <w:rPr>
                <w:rFonts w:ascii="Segoe UI" w:hAnsi="Segoe UI" w:cs="Segoe UI"/>
                <w:sz w:val="20"/>
                <w:szCs w:val="20"/>
                <w:lang w:val="en-AU" w:eastAsia="en-AU"/>
              </w:rPr>
              <w:t>.</w:t>
            </w:r>
          </w:p>
        </w:tc>
        <w:tc>
          <w:tcPr>
            <w:tcW w:w="3780" w:type="dxa"/>
          </w:tcPr>
          <w:p w14:paraId="27A3011F" w14:textId="40D784C0" w:rsidR="00FC75C1" w:rsidRPr="00B02AE8" w:rsidRDefault="00872E47" w:rsidP="00FC75C1">
            <w:pPr>
              <w:pStyle w:val="NormalWeb"/>
              <w:rPr>
                <w:rFonts w:ascii="Segoe UI" w:hAnsi="Segoe UI" w:cs="Segoe UI"/>
                <w:sz w:val="20"/>
                <w:szCs w:val="20"/>
                <w:lang w:val="en-AU" w:eastAsia="en-AU"/>
              </w:rPr>
            </w:pPr>
            <w:hyperlink r:id="rId51" w:history="1">
              <w:r w:rsidR="00D72C57" w:rsidRPr="00A71918">
                <w:rPr>
                  <w:rStyle w:val="Hyperlink"/>
                  <w:rFonts w:cs="Segoe UI"/>
                  <w:sz w:val="20"/>
                  <w:szCs w:val="20"/>
                  <w:lang w:val="en-AU" w:eastAsia="en-AU"/>
                </w:rPr>
                <w:t>https://account.windowsazure.com</w:t>
              </w:r>
            </w:hyperlink>
            <w:r w:rsidR="00D72C57">
              <w:rPr>
                <w:rFonts w:ascii="Segoe UI" w:hAnsi="Segoe UI" w:cs="Segoe UI"/>
                <w:sz w:val="20"/>
                <w:szCs w:val="20"/>
                <w:lang w:val="en-AU" w:eastAsia="en-AU"/>
              </w:rPr>
              <w:t xml:space="preserve"> </w:t>
            </w:r>
          </w:p>
        </w:tc>
      </w:tr>
      <w:tr w:rsidR="00FC75C1" w14:paraId="404D23E8" w14:textId="336ED2A9" w:rsidTr="00792D99">
        <w:tc>
          <w:tcPr>
            <w:tcW w:w="1615" w:type="dxa"/>
          </w:tcPr>
          <w:p w14:paraId="13C36A45" w14:textId="36EBEC19" w:rsidR="00FC75C1" w:rsidRPr="00C17379" w:rsidRDefault="008557F0" w:rsidP="00FC75C1">
            <w:pPr>
              <w:pStyle w:val="NormalWeb"/>
              <w:rPr>
                <w:rFonts w:ascii="Segoe UI" w:hAnsi="Segoe UI" w:cs="Segoe UI"/>
                <w:b/>
                <w:bCs/>
                <w:sz w:val="20"/>
                <w:szCs w:val="20"/>
                <w:lang w:val="en-AU" w:eastAsia="en-AU"/>
              </w:rPr>
            </w:pPr>
            <w:r>
              <w:rPr>
                <w:rFonts w:ascii="Segoe UI" w:hAnsi="Segoe UI" w:cs="Segoe UI"/>
                <w:b/>
                <w:bCs/>
                <w:sz w:val="20"/>
                <w:szCs w:val="20"/>
                <w:lang w:val="en-AU" w:eastAsia="en-AU"/>
              </w:rPr>
              <w:t>Service A</w:t>
            </w:r>
            <w:r w:rsidR="00FC75C1" w:rsidRPr="00C17379">
              <w:rPr>
                <w:rFonts w:ascii="Segoe UI" w:hAnsi="Segoe UI" w:cs="Segoe UI"/>
                <w:b/>
                <w:bCs/>
                <w:sz w:val="20"/>
                <w:szCs w:val="20"/>
                <w:lang w:val="en-AU" w:eastAsia="en-AU"/>
              </w:rPr>
              <w:t>dministrator</w:t>
            </w:r>
          </w:p>
        </w:tc>
        <w:tc>
          <w:tcPr>
            <w:tcW w:w="3960" w:type="dxa"/>
          </w:tcPr>
          <w:p w14:paraId="4AD09E13" w14:textId="3A581FA6" w:rsidR="00FC75C1" w:rsidRPr="00B02AE8" w:rsidRDefault="008557F0" w:rsidP="00FC75C1">
            <w:pPr>
              <w:pStyle w:val="NormalWeb"/>
              <w:rPr>
                <w:rFonts w:ascii="Segoe UI" w:hAnsi="Segoe UI" w:cs="Segoe UI"/>
                <w:sz w:val="20"/>
                <w:szCs w:val="20"/>
                <w:lang w:val="en-AU" w:eastAsia="en-AU"/>
              </w:rPr>
            </w:pPr>
            <w:r w:rsidRPr="00B02AE8">
              <w:rPr>
                <w:rFonts w:ascii="Segoe UI" w:hAnsi="Segoe UI" w:cs="Segoe UI"/>
                <w:sz w:val="20"/>
                <w:szCs w:val="20"/>
                <w:lang w:val="en-AU" w:eastAsia="en-AU"/>
              </w:rPr>
              <w:t>Owns a subscription at the resource level. Manages who can create and use IT resource</w:t>
            </w:r>
            <w:r>
              <w:rPr>
                <w:rFonts w:ascii="Segoe UI" w:hAnsi="Segoe UI" w:cs="Segoe UI"/>
                <w:sz w:val="20"/>
                <w:szCs w:val="20"/>
                <w:lang w:val="en-AU" w:eastAsia="en-AU"/>
              </w:rPr>
              <w:t>s; i</w:t>
            </w:r>
            <w:r w:rsidRPr="00B02AE8">
              <w:rPr>
                <w:rFonts w:ascii="Segoe UI" w:hAnsi="Segoe UI" w:cs="Segoe UI"/>
                <w:sz w:val="20"/>
                <w:szCs w:val="20"/>
                <w:lang w:val="en-AU" w:eastAsia="en-AU"/>
              </w:rPr>
              <w:t>s solution and project delivery focused</w:t>
            </w:r>
            <w:r>
              <w:rPr>
                <w:rFonts w:ascii="Segoe UI" w:hAnsi="Segoe UI" w:cs="Segoe UI"/>
                <w:sz w:val="20"/>
                <w:szCs w:val="20"/>
                <w:lang w:val="en-AU" w:eastAsia="en-AU"/>
              </w:rPr>
              <w:t>.</w:t>
            </w:r>
            <w:r w:rsidRPr="00B02AE8">
              <w:rPr>
                <w:rFonts w:ascii="Segoe UI" w:hAnsi="Segoe UI" w:cs="Segoe UI"/>
                <w:sz w:val="20"/>
                <w:szCs w:val="20"/>
                <w:lang w:val="en-AU" w:eastAsia="en-AU"/>
              </w:rPr>
              <w:t xml:space="preserve"> Sets roles and responsibilities at </w:t>
            </w:r>
            <w:r>
              <w:rPr>
                <w:rFonts w:ascii="Segoe UI" w:hAnsi="Segoe UI" w:cs="Segoe UI"/>
                <w:sz w:val="20"/>
                <w:szCs w:val="20"/>
                <w:lang w:val="en-AU" w:eastAsia="en-AU"/>
              </w:rPr>
              <w:t xml:space="preserve">the </w:t>
            </w:r>
            <w:r w:rsidRPr="00B02AE8">
              <w:rPr>
                <w:rFonts w:ascii="Segoe UI" w:hAnsi="Segoe UI" w:cs="Segoe UI"/>
                <w:sz w:val="20"/>
                <w:szCs w:val="20"/>
                <w:lang w:val="en-AU" w:eastAsia="en-AU"/>
              </w:rPr>
              <w:t>project level.</w:t>
            </w:r>
            <w:r>
              <w:rPr>
                <w:rFonts w:ascii="Segoe UI" w:hAnsi="Segoe UI" w:cs="Segoe UI"/>
                <w:sz w:val="20"/>
                <w:szCs w:val="20"/>
                <w:lang w:val="en-AU" w:eastAsia="en-AU"/>
              </w:rPr>
              <w:t xml:space="preserve"> </w:t>
            </w:r>
            <w:r w:rsidRPr="00B02AE8">
              <w:rPr>
                <w:rFonts w:ascii="Segoe UI" w:hAnsi="Segoe UI" w:cs="Segoe UI"/>
                <w:sz w:val="20"/>
                <w:szCs w:val="20"/>
                <w:lang w:val="en-AU" w:eastAsia="en-AU"/>
              </w:rPr>
              <w:t>Has visibility into a single subscription's consumption.</w:t>
            </w:r>
            <w:r w:rsidR="00FC75C1" w:rsidRPr="00B02AE8">
              <w:rPr>
                <w:rFonts w:ascii="Segoe UI" w:hAnsi="Segoe UI" w:cs="Segoe UI"/>
                <w:sz w:val="20"/>
                <w:szCs w:val="20"/>
                <w:lang w:val="en-AU" w:eastAsia="en-AU"/>
              </w:rPr>
              <w:t>.</w:t>
            </w:r>
          </w:p>
        </w:tc>
        <w:tc>
          <w:tcPr>
            <w:tcW w:w="3780" w:type="dxa"/>
          </w:tcPr>
          <w:p w14:paraId="3D94736A" w14:textId="68EB8771" w:rsidR="00FC75C1" w:rsidRPr="00B02AE8" w:rsidRDefault="00872E47" w:rsidP="00FC75C1">
            <w:pPr>
              <w:pStyle w:val="NormalWeb"/>
              <w:rPr>
                <w:rFonts w:ascii="Segoe UI" w:hAnsi="Segoe UI" w:cs="Segoe UI"/>
                <w:sz w:val="20"/>
                <w:szCs w:val="20"/>
                <w:lang w:val="en-AU" w:eastAsia="en-AU"/>
              </w:rPr>
            </w:pPr>
            <w:hyperlink r:id="rId52" w:history="1">
              <w:r w:rsidR="00D72C57" w:rsidRPr="00A71918">
                <w:rPr>
                  <w:rStyle w:val="Hyperlink"/>
                  <w:rFonts w:cs="Segoe UI"/>
                  <w:sz w:val="20"/>
                  <w:szCs w:val="20"/>
                  <w:lang w:val="en-AU" w:eastAsia="en-AU"/>
                </w:rPr>
                <w:t>https://manage.windowsazure.com</w:t>
              </w:r>
            </w:hyperlink>
            <w:r w:rsidR="00D72C57">
              <w:rPr>
                <w:rFonts w:ascii="Segoe UI" w:hAnsi="Segoe UI" w:cs="Segoe UI"/>
                <w:sz w:val="20"/>
                <w:szCs w:val="20"/>
                <w:lang w:val="en-AU" w:eastAsia="en-AU"/>
              </w:rPr>
              <w:t xml:space="preserve"> </w:t>
            </w:r>
          </w:p>
        </w:tc>
      </w:tr>
      <w:tr w:rsidR="00FC75C1" w14:paraId="0B07D587" w14:textId="031C7112" w:rsidTr="00792D99">
        <w:trPr>
          <w:cnfStyle w:val="000000100000" w:firstRow="0" w:lastRow="0" w:firstColumn="0" w:lastColumn="0" w:oddVBand="0" w:evenVBand="0" w:oddHBand="1" w:evenHBand="0" w:firstRowFirstColumn="0" w:firstRowLastColumn="0" w:lastRowFirstColumn="0" w:lastRowLastColumn="0"/>
        </w:trPr>
        <w:tc>
          <w:tcPr>
            <w:tcW w:w="1615" w:type="dxa"/>
          </w:tcPr>
          <w:p w14:paraId="6A674F6C" w14:textId="076243F3" w:rsidR="00FC75C1" w:rsidRPr="00C17379" w:rsidRDefault="00FC75C1" w:rsidP="00FC75C1">
            <w:pPr>
              <w:pStyle w:val="NormalWeb"/>
              <w:rPr>
                <w:rFonts w:ascii="Segoe UI" w:hAnsi="Segoe UI" w:cs="Segoe UI"/>
                <w:b/>
                <w:bCs/>
                <w:sz w:val="20"/>
                <w:szCs w:val="20"/>
                <w:lang w:val="en-AU" w:eastAsia="en-AU"/>
              </w:rPr>
            </w:pPr>
            <w:r w:rsidRPr="00C17379">
              <w:rPr>
                <w:rFonts w:ascii="Segoe UI" w:hAnsi="Segoe UI" w:cs="Segoe UI"/>
                <w:b/>
                <w:bCs/>
                <w:sz w:val="20"/>
                <w:szCs w:val="20"/>
                <w:lang w:val="en-AU" w:eastAsia="en-AU"/>
              </w:rPr>
              <w:t>Co-administrator</w:t>
            </w:r>
          </w:p>
        </w:tc>
        <w:tc>
          <w:tcPr>
            <w:tcW w:w="3960" w:type="dxa"/>
          </w:tcPr>
          <w:p w14:paraId="185EE1C4" w14:textId="45378273" w:rsidR="00FC75C1" w:rsidRPr="00B02AE8" w:rsidRDefault="00FC75C1" w:rsidP="00FC75C1">
            <w:pPr>
              <w:pStyle w:val="NormalWeb"/>
              <w:rPr>
                <w:rFonts w:ascii="Segoe UI" w:hAnsi="Segoe UI" w:cs="Segoe UI"/>
                <w:sz w:val="20"/>
                <w:szCs w:val="20"/>
                <w:lang w:val="en-AU" w:eastAsia="en-AU"/>
              </w:rPr>
            </w:pPr>
            <w:r w:rsidRPr="00B02AE8">
              <w:rPr>
                <w:rFonts w:ascii="Segoe UI" w:hAnsi="Segoe UI" w:cs="Segoe UI"/>
                <w:sz w:val="20"/>
                <w:szCs w:val="20"/>
                <w:lang w:val="en-AU" w:eastAsia="en-AU"/>
              </w:rPr>
              <w:t>A resource administrator within a subscription that can manage provisioning and delegation of additional co-administrators.  Project and resource focused.</w:t>
            </w:r>
          </w:p>
        </w:tc>
        <w:tc>
          <w:tcPr>
            <w:tcW w:w="3780" w:type="dxa"/>
          </w:tcPr>
          <w:p w14:paraId="752A5E8E" w14:textId="6A76FFC8" w:rsidR="00FC75C1" w:rsidRPr="00B02AE8" w:rsidRDefault="00872E47" w:rsidP="00FC75C1">
            <w:pPr>
              <w:pStyle w:val="NormalWeb"/>
              <w:rPr>
                <w:rFonts w:ascii="Segoe UI" w:hAnsi="Segoe UI" w:cs="Segoe UI"/>
                <w:sz w:val="20"/>
                <w:szCs w:val="20"/>
                <w:lang w:val="en-AU" w:eastAsia="en-AU"/>
              </w:rPr>
            </w:pPr>
            <w:hyperlink r:id="rId53" w:history="1">
              <w:r w:rsidR="00D72C57" w:rsidRPr="00A71918">
                <w:rPr>
                  <w:rStyle w:val="Hyperlink"/>
                  <w:rFonts w:cs="Segoe UI"/>
                  <w:sz w:val="20"/>
                  <w:szCs w:val="20"/>
                  <w:lang w:val="en-AU" w:eastAsia="en-AU"/>
                </w:rPr>
                <w:t>https://manage.windowsazure.com</w:t>
              </w:r>
            </w:hyperlink>
            <w:r w:rsidR="00D72C57">
              <w:rPr>
                <w:rFonts w:ascii="Segoe UI" w:hAnsi="Segoe UI" w:cs="Segoe UI"/>
                <w:sz w:val="20"/>
                <w:szCs w:val="20"/>
                <w:lang w:val="en-AU" w:eastAsia="en-AU"/>
              </w:rPr>
              <w:t xml:space="preserve"> </w:t>
            </w:r>
          </w:p>
        </w:tc>
      </w:tr>
      <w:tr w:rsidR="00FC75C1" w14:paraId="7D3EA9D0" w14:textId="757A756E" w:rsidTr="00792D99">
        <w:tc>
          <w:tcPr>
            <w:tcW w:w="1615" w:type="dxa"/>
          </w:tcPr>
          <w:p w14:paraId="46974DCC" w14:textId="69373E5E" w:rsidR="00FC75C1" w:rsidRPr="00C17379" w:rsidRDefault="00FC75C1" w:rsidP="00FC75C1">
            <w:pPr>
              <w:pStyle w:val="NormalWeb"/>
              <w:rPr>
                <w:rFonts w:ascii="Segoe UI" w:hAnsi="Segoe UI" w:cs="Segoe UI"/>
                <w:b/>
                <w:bCs/>
                <w:sz w:val="20"/>
                <w:szCs w:val="20"/>
                <w:lang w:val="en-AU" w:eastAsia="en-AU"/>
              </w:rPr>
            </w:pPr>
            <w:r w:rsidRPr="00C17379">
              <w:rPr>
                <w:rFonts w:ascii="Segoe UI" w:hAnsi="Segoe UI" w:cs="Segoe UI"/>
                <w:b/>
                <w:bCs/>
                <w:sz w:val="20"/>
                <w:szCs w:val="20"/>
                <w:lang w:val="en-AU" w:eastAsia="en-AU"/>
              </w:rPr>
              <w:t>Resource Group Administrator</w:t>
            </w:r>
          </w:p>
        </w:tc>
        <w:tc>
          <w:tcPr>
            <w:tcW w:w="3960" w:type="dxa"/>
          </w:tcPr>
          <w:p w14:paraId="359055F7" w14:textId="4CAEA980" w:rsidR="00FC75C1" w:rsidRPr="00B02AE8" w:rsidRDefault="00FC75C1" w:rsidP="00FC75C1">
            <w:pPr>
              <w:pStyle w:val="NormalWeb"/>
              <w:rPr>
                <w:rFonts w:ascii="Segoe UI" w:hAnsi="Segoe UI" w:cs="Segoe UI"/>
                <w:sz w:val="20"/>
                <w:szCs w:val="20"/>
                <w:lang w:val="en-AU" w:eastAsia="en-AU"/>
              </w:rPr>
            </w:pPr>
            <w:r w:rsidRPr="00B02AE8">
              <w:rPr>
                <w:rFonts w:ascii="Segoe UI" w:hAnsi="Segoe UI" w:cs="Segoe UI"/>
                <w:sz w:val="20"/>
                <w:szCs w:val="20"/>
                <w:lang w:val="en-AU" w:eastAsia="en-AU"/>
              </w:rPr>
              <w:t>Manages a group of resources within a subscription that collectively provide a service and share a lifecycle. Single project or service focused. (Currently in Preview)</w:t>
            </w:r>
          </w:p>
        </w:tc>
        <w:tc>
          <w:tcPr>
            <w:tcW w:w="3780" w:type="dxa"/>
          </w:tcPr>
          <w:p w14:paraId="75F7F9DD" w14:textId="6CF96908" w:rsidR="00FC75C1" w:rsidRPr="00B02AE8" w:rsidRDefault="00872E47" w:rsidP="00FC75C1">
            <w:pPr>
              <w:pStyle w:val="NormalWeb"/>
              <w:rPr>
                <w:rFonts w:ascii="Segoe UI" w:hAnsi="Segoe UI" w:cs="Segoe UI"/>
                <w:sz w:val="20"/>
                <w:szCs w:val="20"/>
                <w:lang w:val="en-AU" w:eastAsia="en-AU"/>
              </w:rPr>
            </w:pPr>
            <w:hyperlink r:id="rId54" w:history="1">
              <w:r w:rsidR="00D72C57" w:rsidRPr="00A71918">
                <w:rPr>
                  <w:rStyle w:val="Hyperlink"/>
                  <w:rFonts w:cs="Segoe UI"/>
                  <w:sz w:val="20"/>
                  <w:szCs w:val="20"/>
                  <w:lang w:val="en-AU" w:eastAsia="en-AU"/>
                </w:rPr>
                <w:t>https://manage.windowsazure.com</w:t>
              </w:r>
            </w:hyperlink>
            <w:r w:rsidR="00D72C57">
              <w:rPr>
                <w:rFonts w:ascii="Segoe UI" w:hAnsi="Segoe UI" w:cs="Segoe UI"/>
                <w:sz w:val="20"/>
                <w:szCs w:val="20"/>
                <w:lang w:val="en-AU" w:eastAsia="en-AU"/>
              </w:rPr>
              <w:t xml:space="preserve"> </w:t>
            </w:r>
          </w:p>
        </w:tc>
      </w:tr>
    </w:tbl>
    <w:p w14:paraId="3CADCE64" w14:textId="0577328B" w:rsidR="008E0B8C" w:rsidRDefault="008E0B8C" w:rsidP="005729D2">
      <w:pPr>
        <w:pStyle w:val="Heading4Numbered"/>
        <w:numPr>
          <w:ilvl w:val="3"/>
          <w:numId w:val="64"/>
        </w:numPr>
      </w:pPr>
      <w:r>
        <w:t>Portals</w:t>
      </w:r>
    </w:p>
    <w:p w14:paraId="05EED802" w14:textId="5D93F79B" w:rsidR="006244EE" w:rsidRDefault="006244EE" w:rsidP="00C17379">
      <w:r>
        <w:t>Microsoft Azure has several portals to support holistic management of the accounts, subscriptions</w:t>
      </w:r>
      <w:r w:rsidR="008557F0">
        <w:t>,</w:t>
      </w:r>
      <w:r>
        <w:t xml:space="preserve"> and features outlined in this document. The following </w:t>
      </w:r>
      <w:r w:rsidR="00293093">
        <w:t>sections cover available portals depending on the account management model</w:t>
      </w:r>
      <w:r>
        <w:t>:</w:t>
      </w:r>
    </w:p>
    <w:p w14:paraId="2FDFEF4F" w14:textId="518EB3FF" w:rsidR="00293093" w:rsidRPr="005B1C29" w:rsidRDefault="00293093" w:rsidP="005B1C29">
      <w:pPr>
        <w:rPr>
          <w:b/>
        </w:rPr>
      </w:pPr>
      <w:r w:rsidRPr="005B1C29">
        <w:rPr>
          <w:b/>
        </w:rPr>
        <w:t>Customer-Owned Models</w:t>
      </w:r>
    </w:p>
    <w:p w14:paraId="5C741727" w14:textId="3AB15FD5" w:rsidR="00293093" w:rsidRDefault="00293093" w:rsidP="00C17379">
      <w:r>
        <w:t xml:space="preserve">When the Azure subscription is provisioned using the customer-owned account models described </w:t>
      </w:r>
      <w:r w:rsidR="008557F0">
        <w:t>previously</w:t>
      </w:r>
      <w:r>
        <w:t xml:space="preserve"> in this document</w:t>
      </w:r>
      <w:r w:rsidR="008557F0">
        <w:t xml:space="preserve">, </w:t>
      </w:r>
      <w:r>
        <w:t>the customer</w:t>
      </w:r>
      <w:r w:rsidR="008557F0">
        <w:t>’s</w:t>
      </w:r>
      <w:r>
        <w:t xml:space="preserve"> organization deploys and manages Azure workloads on their own</w:t>
      </w:r>
      <w:r w:rsidR="008557F0">
        <w:t>.  T</w:t>
      </w:r>
      <w:r>
        <w:t>he following portal offerings are available for resource management:</w:t>
      </w:r>
    </w:p>
    <w:tbl>
      <w:tblPr>
        <w:tblStyle w:val="PlainTable11"/>
        <w:tblW w:w="0" w:type="auto"/>
        <w:tblLook w:val="0420" w:firstRow="1" w:lastRow="0" w:firstColumn="0" w:lastColumn="0" w:noHBand="0" w:noVBand="1"/>
      </w:tblPr>
      <w:tblGrid>
        <w:gridCol w:w="1518"/>
        <w:gridCol w:w="3297"/>
        <w:gridCol w:w="4535"/>
      </w:tblGrid>
      <w:tr w:rsidR="00293093" w:rsidRPr="00792D99" w14:paraId="5962F51B" w14:textId="77777777" w:rsidTr="007E3042">
        <w:trPr>
          <w:cnfStyle w:val="100000000000" w:firstRow="1" w:lastRow="0" w:firstColumn="0" w:lastColumn="0" w:oddVBand="0" w:evenVBand="0" w:oddHBand="0" w:evenHBand="0" w:firstRowFirstColumn="0" w:firstRowLastColumn="0" w:lastRowFirstColumn="0" w:lastRowLastColumn="0"/>
        </w:trPr>
        <w:tc>
          <w:tcPr>
            <w:tcW w:w="0" w:type="auto"/>
            <w:shd w:val="clear" w:color="auto" w:fill="808080" w:themeFill="background1" w:themeFillShade="80"/>
            <w:hideMark/>
          </w:tcPr>
          <w:p w14:paraId="549C8B64" w14:textId="77777777" w:rsidR="00293093" w:rsidRPr="00792D99" w:rsidRDefault="00293093" w:rsidP="007E3042">
            <w:pPr>
              <w:spacing w:line="240" w:lineRule="auto"/>
              <w:rPr>
                <w:rFonts w:eastAsia="Calibri"/>
                <w:bCs w:val="0"/>
                <w:color w:val="FFFFFF"/>
                <w:sz w:val="20"/>
                <w:szCs w:val="20"/>
                <w:lang w:eastAsia="en-AU"/>
              </w:rPr>
            </w:pPr>
            <w:r w:rsidRPr="00792D99">
              <w:rPr>
                <w:rFonts w:eastAsia="Calibri"/>
                <w:bCs w:val="0"/>
                <w:color w:val="FFFFFF"/>
                <w:sz w:val="20"/>
                <w:szCs w:val="20"/>
                <w:lang w:eastAsia="en-AU"/>
              </w:rPr>
              <w:t>Portal</w:t>
            </w:r>
          </w:p>
        </w:tc>
        <w:tc>
          <w:tcPr>
            <w:tcW w:w="0" w:type="auto"/>
            <w:shd w:val="clear" w:color="auto" w:fill="808080" w:themeFill="background1" w:themeFillShade="80"/>
          </w:tcPr>
          <w:p w14:paraId="149C5638" w14:textId="77777777" w:rsidR="00293093" w:rsidRPr="00792D99" w:rsidRDefault="00293093" w:rsidP="007E3042">
            <w:pPr>
              <w:spacing w:line="240" w:lineRule="auto"/>
              <w:rPr>
                <w:rFonts w:eastAsia="Calibri"/>
                <w:bCs w:val="0"/>
                <w:color w:val="FFFFFF"/>
                <w:sz w:val="20"/>
                <w:szCs w:val="20"/>
                <w:lang w:eastAsia="en-AU"/>
              </w:rPr>
            </w:pPr>
            <w:r w:rsidRPr="00792D99">
              <w:rPr>
                <w:rFonts w:eastAsia="Calibri"/>
                <w:bCs w:val="0"/>
                <w:color w:val="FFFFFF"/>
                <w:sz w:val="20"/>
                <w:szCs w:val="20"/>
                <w:lang w:eastAsia="en-AU"/>
              </w:rPr>
              <w:t>Location</w:t>
            </w:r>
          </w:p>
        </w:tc>
        <w:tc>
          <w:tcPr>
            <w:tcW w:w="0" w:type="auto"/>
            <w:shd w:val="clear" w:color="auto" w:fill="808080" w:themeFill="background1" w:themeFillShade="80"/>
            <w:hideMark/>
          </w:tcPr>
          <w:p w14:paraId="4CA4627B" w14:textId="77777777" w:rsidR="00293093" w:rsidRPr="00792D99" w:rsidRDefault="00293093" w:rsidP="007E3042">
            <w:pPr>
              <w:spacing w:line="240" w:lineRule="auto"/>
              <w:rPr>
                <w:rFonts w:eastAsia="Calibri"/>
                <w:bCs w:val="0"/>
                <w:color w:val="FFFFFF"/>
                <w:sz w:val="20"/>
                <w:szCs w:val="20"/>
                <w:lang w:eastAsia="en-AU"/>
              </w:rPr>
            </w:pPr>
            <w:r w:rsidRPr="00792D99">
              <w:rPr>
                <w:rFonts w:eastAsia="Calibri"/>
                <w:bCs w:val="0"/>
                <w:color w:val="FFFFFF"/>
                <w:sz w:val="20"/>
                <w:szCs w:val="20"/>
                <w:lang w:eastAsia="en-AU"/>
              </w:rPr>
              <w:t>Purpose</w:t>
            </w:r>
          </w:p>
        </w:tc>
      </w:tr>
      <w:tr w:rsidR="00293093" w14:paraId="0D470497" w14:textId="77777777" w:rsidTr="007E3042">
        <w:trPr>
          <w:cnfStyle w:val="000000100000" w:firstRow="0" w:lastRow="0" w:firstColumn="0" w:lastColumn="0" w:oddVBand="0" w:evenVBand="0" w:oddHBand="1" w:evenHBand="0" w:firstRowFirstColumn="0" w:firstRowLastColumn="0" w:lastRowFirstColumn="0" w:lastRowLastColumn="0"/>
        </w:trPr>
        <w:tc>
          <w:tcPr>
            <w:tcW w:w="0" w:type="auto"/>
          </w:tcPr>
          <w:p w14:paraId="06A30F9F" w14:textId="77777777" w:rsidR="00293093" w:rsidRPr="00CD3D42" w:rsidRDefault="00293093" w:rsidP="007E3042">
            <w:pPr>
              <w:rPr>
                <w:b/>
                <w:sz w:val="20"/>
                <w:szCs w:val="20"/>
              </w:rPr>
            </w:pPr>
            <w:r>
              <w:rPr>
                <w:b/>
                <w:sz w:val="20"/>
                <w:szCs w:val="20"/>
              </w:rPr>
              <w:t>Enterprise Portal</w:t>
            </w:r>
          </w:p>
        </w:tc>
        <w:tc>
          <w:tcPr>
            <w:tcW w:w="0" w:type="auto"/>
          </w:tcPr>
          <w:p w14:paraId="389B0A6C" w14:textId="77777777" w:rsidR="00293093" w:rsidRPr="00CD3D42" w:rsidRDefault="00872E47" w:rsidP="007E3042">
            <w:pPr>
              <w:rPr>
                <w:sz w:val="20"/>
                <w:szCs w:val="20"/>
              </w:rPr>
            </w:pPr>
            <w:hyperlink r:id="rId55" w:history="1">
              <w:r w:rsidR="00293093" w:rsidRPr="0066123F">
                <w:rPr>
                  <w:rStyle w:val="Hyperlink"/>
                  <w:sz w:val="20"/>
                  <w:szCs w:val="20"/>
                </w:rPr>
                <w:t>https://ea.azure.com/</w:t>
              </w:r>
            </w:hyperlink>
          </w:p>
        </w:tc>
        <w:tc>
          <w:tcPr>
            <w:tcW w:w="0" w:type="auto"/>
          </w:tcPr>
          <w:p w14:paraId="2EEBABE6" w14:textId="77777777" w:rsidR="00293093" w:rsidRPr="00CD3D42" w:rsidRDefault="00293093" w:rsidP="005729D2">
            <w:pPr>
              <w:pStyle w:val="ListParagraph"/>
              <w:numPr>
                <w:ilvl w:val="0"/>
                <w:numId w:val="56"/>
              </w:numPr>
              <w:ind w:left="360"/>
              <w:rPr>
                <w:sz w:val="20"/>
                <w:szCs w:val="20"/>
              </w:rPr>
            </w:pPr>
            <w:r w:rsidRPr="00CD3D42">
              <w:rPr>
                <w:sz w:val="20"/>
                <w:szCs w:val="20"/>
              </w:rPr>
              <w:t>Manage access</w:t>
            </w:r>
          </w:p>
          <w:p w14:paraId="222E6827" w14:textId="77777777" w:rsidR="00293093" w:rsidRPr="00CD3D42" w:rsidRDefault="00293093" w:rsidP="005729D2">
            <w:pPr>
              <w:pStyle w:val="ListParagraph"/>
              <w:numPr>
                <w:ilvl w:val="0"/>
                <w:numId w:val="56"/>
              </w:numPr>
              <w:ind w:left="360"/>
              <w:rPr>
                <w:sz w:val="20"/>
                <w:szCs w:val="20"/>
              </w:rPr>
            </w:pPr>
            <w:r w:rsidRPr="00CD3D42">
              <w:rPr>
                <w:sz w:val="20"/>
                <w:szCs w:val="20"/>
              </w:rPr>
              <w:t>Manage accounts</w:t>
            </w:r>
          </w:p>
          <w:p w14:paraId="695E7296" w14:textId="77777777" w:rsidR="00293093" w:rsidRPr="00CD3D42" w:rsidRDefault="00293093" w:rsidP="005729D2">
            <w:pPr>
              <w:pStyle w:val="ListParagraph"/>
              <w:numPr>
                <w:ilvl w:val="0"/>
                <w:numId w:val="56"/>
              </w:numPr>
              <w:ind w:left="360"/>
              <w:rPr>
                <w:sz w:val="20"/>
                <w:szCs w:val="20"/>
              </w:rPr>
            </w:pPr>
            <w:r w:rsidRPr="00CD3D42">
              <w:rPr>
                <w:sz w:val="20"/>
                <w:szCs w:val="20"/>
              </w:rPr>
              <w:t>Manage subscriptions</w:t>
            </w:r>
          </w:p>
          <w:p w14:paraId="675EDD33" w14:textId="77777777" w:rsidR="00293093" w:rsidRPr="00CD3D42" w:rsidRDefault="00293093" w:rsidP="005729D2">
            <w:pPr>
              <w:pStyle w:val="ListParagraph"/>
              <w:numPr>
                <w:ilvl w:val="0"/>
                <w:numId w:val="56"/>
              </w:numPr>
              <w:ind w:left="360"/>
              <w:rPr>
                <w:sz w:val="20"/>
                <w:szCs w:val="20"/>
              </w:rPr>
            </w:pPr>
            <w:r w:rsidRPr="00CD3D42">
              <w:rPr>
                <w:sz w:val="20"/>
                <w:szCs w:val="20"/>
              </w:rPr>
              <w:t>View price sheet</w:t>
            </w:r>
          </w:p>
          <w:p w14:paraId="3D58DF45" w14:textId="77777777" w:rsidR="00293093" w:rsidRPr="00CD3D42" w:rsidRDefault="00293093" w:rsidP="005729D2">
            <w:pPr>
              <w:pStyle w:val="ListParagraph"/>
              <w:numPr>
                <w:ilvl w:val="0"/>
                <w:numId w:val="56"/>
              </w:numPr>
              <w:ind w:left="360"/>
              <w:rPr>
                <w:sz w:val="20"/>
                <w:szCs w:val="20"/>
              </w:rPr>
            </w:pPr>
            <w:r w:rsidRPr="00CD3D42">
              <w:rPr>
                <w:sz w:val="20"/>
                <w:szCs w:val="20"/>
              </w:rPr>
              <w:t>View usage summary</w:t>
            </w:r>
          </w:p>
          <w:p w14:paraId="5AC2A984" w14:textId="77777777" w:rsidR="008557F0" w:rsidRPr="00CD3D42" w:rsidRDefault="008557F0" w:rsidP="005729D2">
            <w:pPr>
              <w:pStyle w:val="ListParagraph"/>
              <w:numPr>
                <w:ilvl w:val="0"/>
                <w:numId w:val="56"/>
              </w:numPr>
              <w:ind w:left="360"/>
              <w:rPr>
                <w:sz w:val="20"/>
                <w:szCs w:val="20"/>
              </w:rPr>
            </w:pPr>
            <w:r w:rsidRPr="00CD3D42">
              <w:rPr>
                <w:sz w:val="20"/>
                <w:szCs w:val="20"/>
              </w:rPr>
              <w:t xml:space="preserve">Manage usage </w:t>
            </w:r>
            <w:r>
              <w:rPr>
                <w:sz w:val="20"/>
                <w:szCs w:val="20"/>
              </w:rPr>
              <w:t>and</w:t>
            </w:r>
            <w:r w:rsidRPr="00CD3D42">
              <w:rPr>
                <w:sz w:val="20"/>
                <w:szCs w:val="20"/>
              </w:rPr>
              <w:t xml:space="preserve"> lifecycle email notifications</w:t>
            </w:r>
          </w:p>
          <w:p w14:paraId="78EE0D3C" w14:textId="77777777" w:rsidR="008557F0" w:rsidRPr="00CD3D42" w:rsidRDefault="008557F0" w:rsidP="005729D2">
            <w:pPr>
              <w:pStyle w:val="ListParagraph"/>
              <w:numPr>
                <w:ilvl w:val="0"/>
                <w:numId w:val="56"/>
              </w:numPr>
              <w:ind w:left="360"/>
              <w:rPr>
                <w:sz w:val="20"/>
                <w:szCs w:val="20"/>
              </w:rPr>
            </w:pPr>
            <w:r w:rsidRPr="00CD3D42">
              <w:rPr>
                <w:sz w:val="20"/>
                <w:szCs w:val="20"/>
              </w:rPr>
              <w:t>Manage Authentication Type</w:t>
            </w:r>
          </w:p>
          <w:p w14:paraId="5F7EA04B" w14:textId="77777777" w:rsidR="008557F0" w:rsidRPr="00CD3D42" w:rsidRDefault="008557F0" w:rsidP="005729D2">
            <w:pPr>
              <w:pStyle w:val="ListParagraph"/>
              <w:numPr>
                <w:ilvl w:val="1"/>
                <w:numId w:val="56"/>
              </w:numPr>
              <w:ind w:left="1080"/>
              <w:rPr>
                <w:sz w:val="20"/>
                <w:szCs w:val="20"/>
              </w:rPr>
            </w:pPr>
            <w:r w:rsidRPr="00CD3D42">
              <w:rPr>
                <w:sz w:val="20"/>
                <w:szCs w:val="20"/>
              </w:rPr>
              <w:t>Microsoft Account Only – for organizations using only Microsoft Accounts</w:t>
            </w:r>
          </w:p>
          <w:p w14:paraId="17D853DC" w14:textId="77777777" w:rsidR="008557F0" w:rsidRPr="00CD3D42" w:rsidRDefault="008557F0" w:rsidP="005729D2">
            <w:pPr>
              <w:pStyle w:val="ListParagraph"/>
              <w:numPr>
                <w:ilvl w:val="1"/>
                <w:numId w:val="56"/>
              </w:numPr>
              <w:ind w:left="1080"/>
              <w:rPr>
                <w:sz w:val="20"/>
                <w:szCs w:val="20"/>
              </w:rPr>
            </w:pPr>
            <w:r w:rsidRPr="00CD3D42">
              <w:rPr>
                <w:sz w:val="20"/>
                <w:szCs w:val="20"/>
              </w:rPr>
              <w:t xml:space="preserve">Organizational Account – for organizations </w:t>
            </w:r>
            <w:r>
              <w:rPr>
                <w:sz w:val="20"/>
                <w:szCs w:val="20"/>
              </w:rPr>
              <w:t>that</w:t>
            </w:r>
            <w:r w:rsidRPr="00CD3D42">
              <w:rPr>
                <w:sz w:val="20"/>
                <w:szCs w:val="20"/>
              </w:rPr>
              <w:t xml:space="preserve"> have set up Active Directory in Azure or synchronized from an on-premises A</w:t>
            </w:r>
            <w:r>
              <w:rPr>
                <w:sz w:val="20"/>
                <w:szCs w:val="20"/>
              </w:rPr>
              <w:t xml:space="preserve">ctive </w:t>
            </w:r>
            <w:r w:rsidRPr="00CD3D42">
              <w:rPr>
                <w:sz w:val="20"/>
                <w:szCs w:val="20"/>
              </w:rPr>
              <w:t>D</w:t>
            </w:r>
            <w:r>
              <w:rPr>
                <w:sz w:val="20"/>
                <w:szCs w:val="20"/>
              </w:rPr>
              <w:t>irectory</w:t>
            </w:r>
            <w:r w:rsidRPr="00CD3D42">
              <w:rPr>
                <w:sz w:val="20"/>
                <w:szCs w:val="20"/>
              </w:rPr>
              <w:t xml:space="preserve"> using ADFS or Directory Synchronization (DirSync)</w:t>
            </w:r>
            <w:r>
              <w:rPr>
                <w:sz w:val="20"/>
                <w:szCs w:val="20"/>
              </w:rPr>
              <w:t>,</w:t>
            </w:r>
            <w:r w:rsidRPr="00CD3D42">
              <w:rPr>
                <w:sz w:val="20"/>
                <w:szCs w:val="20"/>
              </w:rPr>
              <w:t xml:space="preserve"> and chose to add users with cloud-based A</w:t>
            </w:r>
            <w:r>
              <w:rPr>
                <w:sz w:val="20"/>
                <w:szCs w:val="20"/>
              </w:rPr>
              <w:t xml:space="preserve">ctive </w:t>
            </w:r>
            <w:r w:rsidRPr="00CD3D42">
              <w:rPr>
                <w:sz w:val="20"/>
                <w:szCs w:val="20"/>
              </w:rPr>
              <w:t>D</w:t>
            </w:r>
            <w:r>
              <w:rPr>
                <w:sz w:val="20"/>
                <w:szCs w:val="20"/>
              </w:rPr>
              <w:t>irectory</w:t>
            </w:r>
            <w:r w:rsidRPr="00CD3D42">
              <w:rPr>
                <w:sz w:val="20"/>
                <w:szCs w:val="20"/>
              </w:rPr>
              <w:t xml:space="preserve"> authentication</w:t>
            </w:r>
          </w:p>
          <w:p w14:paraId="6115E700" w14:textId="77777777" w:rsidR="008557F0" w:rsidRPr="00CD3D42" w:rsidRDefault="008557F0" w:rsidP="005729D2">
            <w:pPr>
              <w:pStyle w:val="ListParagraph"/>
              <w:numPr>
                <w:ilvl w:val="1"/>
                <w:numId w:val="56"/>
              </w:numPr>
              <w:ind w:left="1080"/>
              <w:rPr>
                <w:sz w:val="20"/>
                <w:szCs w:val="20"/>
              </w:rPr>
            </w:pPr>
            <w:r w:rsidRPr="00CD3D42">
              <w:rPr>
                <w:sz w:val="20"/>
                <w:szCs w:val="20"/>
              </w:rPr>
              <w:t>Organizational Account Cross Tenant – for organizations that want to add an Enterprise Azure user from an A</w:t>
            </w:r>
            <w:r>
              <w:rPr>
                <w:sz w:val="20"/>
                <w:szCs w:val="20"/>
              </w:rPr>
              <w:t xml:space="preserve">ctive </w:t>
            </w:r>
            <w:r w:rsidRPr="00CD3D42">
              <w:rPr>
                <w:sz w:val="20"/>
                <w:szCs w:val="20"/>
              </w:rPr>
              <w:t>D</w:t>
            </w:r>
            <w:r>
              <w:rPr>
                <w:sz w:val="20"/>
                <w:szCs w:val="20"/>
              </w:rPr>
              <w:t>irectory</w:t>
            </w:r>
            <w:r w:rsidRPr="00CD3D42">
              <w:rPr>
                <w:sz w:val="20"/>
                <w:szCs w:val="20"/>
              </w:rPr>
              <w:t xml:space="preserve"> tenant outside of their own</w:t>
            </w:r>
          </w:p>
          <w:p w14:paraId="262C51B3" w14:textId="204BE12A" w:rsidR="00293093" w:rsidRPr="00CD3D42" w:rsidRDefault="008557F0" w:rsidP="005729D2">
            <w:pPr>
              <w:pStyle w:val="ListParagraph"/>
              <w:numPr>
                <w:ilvl w:val="1"/>
                <w:numId w:val="56"/>
              </w:numPr>
              <w:ind w:left="1080"/>
              <w:rPr>
                <w:sz w:val="20"/>
                <w:szCs w:val="20"/>
              </w:rPr>
            </w:pPr>
            <w:r w:rsidRPr="00CD3D42">
              <w:rPr>
                <w:sz w:val="20"/>
                <w:szCs w:val="20"/>
              </w:rPr>
              <w:t>Mixed Account – for organizations that want to add a combination of Microsoft Account users and cloud-based A</w:t>
            </w:r>
            <w:r>
              <w:rPr>
                <w:sz w:val="20"/>
                <w:szCs w:val="20"/>
              </w:rPr>
              <w:t xml:space="preserve">ctive </w:t>
            </w:r>
            <w:r w:rsidRPr="00CD3D42">
              <w:rPr>
                <w:sz w:val="20"/>
                <w:szCs w:val="20"/>
              </w:rPr>
              <w:t>D</w:t>
            </w:r>
            <w:r>
              <w:rPr>
                <w:sz w:val="20"/>
                <w:szCs w:val="20"/>
              </w:rPr>
              <w:t>irectory</w:t>
            </w:r>
            <w:r w:rsidRPr="00CD3D42">
              <w:rPr>
                <w:sz w:val="20"/>
                <w:szCs w:val="20"/>
              </w:rPr>
              <w:t xml:space="preserve"> users</w:t>
            </w:r>
          </w:p>
        </w:tc>
      </w:tr>
      <w:tr w:rsidR="00293093" w14:paraId="6EE61FFD" w14:textId="77777777" w:rsidTr="007E3042">
        <w:tc>
          <w:tcPr>
            <w:tcW w:w="0" w:type="auto"/>
          </w:tcPr>
          <w:p w14:paraId="7887D00C" w14:textId="77777777" w:rsidR="00293093" w:rsidRPr="00CD3D42" w:rsidRDefault="00293093" w:rsidP="007E3042">
            <w:pPr>
              <w:pStyle w:val="NormalWeb"/>
              <w:spacing w:line="256" w:lineRule="auto"/>
              <w:rPr>
                <w:rFonts w:ascii="Segoe UI" w:hAnsi="Segoe UI" w:cs="Segoe UI"/>
                <w:b/>
                <w:sz w:val="20"/>
                <w:szCs w:val="20"/>
                <w:lang w:val="en-AU" w:eastAsia="en-AU"/>
              </w:rPr>
            </w:pPr>
            <w:r>
              <w:rPr>
                <w:rFonts w:ascii="Segoe UI" w:hAnsi="Segoe UI" w:cs="Segoe UI"/>
                <w:b/>
                <w:sz w:val="20"/>
                <w:szCs w:val="20"/>
                <w:lang w:val="en-AU" w:eastAsia="en-AU"/>
              </w:rPr>
              <w:t>Account Portal</w:t>
            </w:r>
          </w:p>
        </w:tc>
        <w:tc>
          <w:tcPr>
            <w:tcW w:w="0" w:type="auto"/>
          </w:tcPr>
          <w:p w14:paraId="0D45493C" w14:textId="77777777" w:rsidR="00293093" w:rsidRPr="00CD3D42" w:rsidRDefault="00872E47" w:rsidP="007E3042">
            <w:pPr>
              <w:rPr>
                <w:sz w:val="20"/>
                <w:szCs w:val="20"/>
              </w:rPr>
            </w:pPr>
            <w:hyperlink r:id="rId56" w:history="1">
              <w:r w:rsidR="00293093" w:rsidRPr="0066123F">
                <w:rPr>
                  <w:rStyle w:val="Hyperlink"/>
                  <w:sz w:val="20"/>
                  <w:szCs w:val="20"/>
                </w:rPr>
                <w:t>https://account.windowsazure.com</w:t>
              </w:r>
            </w:hyperlink>
          </w:p>
        </w:tc>
        <w:tc>
          <w:tcPr>
            <w:tcW w:w="0" w:type="auto"/>
          </w:tcPr>
          <w:p w14:paraId="3617336D" w14:textId="77777777" w:rsidR="00293093" w:rsidRPr="00CD3D42" w:rsidRDefault="00293093" w:rsidP="005729D2">
            <w:pPr>
              <w:pStyle w:val="ListParagraph"/>
              <w:numPr>
                <w:ilvl w:val="0"/>
                <w:numId w:val="150"/>
              </w:numPr>
              <w:rPr>
                <w:sz w:val="20"/>
                <w:szCs w:val="20"/>
              </w:rPr>
            </w:pPr>
            <w:r w:rsidRPr="00CD3D42">
              <w:rPr>
                <w:sz w:val="20"/>
                <w:szCs w:val="20"/>
              </w:rPr>
              <w:t>Edit subscription details</w:t>
            </w:r>
          </w:p>
          <w:p w14:paraId="331CB204" w14:textId="77777777" w:rsidR="00293093" w:rsidRPr="00CD3D42" w:rsidRDefault="00293093" w:rsidP="005729D2">
            <w:pPr>
              <w:pStyle w:val="ListParagraph"/>
              <w:numPr>
                <w:ilvl w:val="0"/>
                <w:numId w:val="150"/>
              </w:numPr>
              <w:rPr>
                <w:sz w:val="20"/>
                <w:szCs w:val="20"/>
              </w:rPr>
            </w:pPr>
            <w:r w:rsidRPr="00CD3D42">
              <w:rPr>
                <w:sz w:val="20"/>
                <w:szCs w:val="20"/>
              </w:rPr>
              <w:t xml:space="preserve">Enroll in </w:t>
            </w:r>
            <w:r>
              <w:rPr>
                <w:sz w:val="20"/>
                <w:szCs w:val="20"/>
              </w:rPr>
              <w:t xml:space="preserve">or enable </w:t>
            </w:r>
            <w:r w:rsidRPr="00CD3D42">
              <w:rPr>
                <w:sz w:val="20"/>
                <w:szCs w:val="20"/>
              </w:rPr>
              <w:t>Preview features</w:t>
            </w:r>
          </w:p>
        </w:tc>
      </w:tr>
      <w:tr w:rsidR="00293093" w14:paraId="7C4DCF69" w14:textId="77777777" w:rsidTr="007E3042">
        <w:trPr>
          <w:cnfStyle w:val="000000100000" w:firstRow="0" w:lastRow="0" w:firstColumn="0" w:lastColumn="0" w:oddVBand="0" w:evenVBand="0" w:oddHBand="1" w:evenHBand="0" w:firstRowFirstColumn="0" w:firstRowLastColumn="0" w:lastRowFirstColumn="0" w:lastRowLastColumn="0"/>
        </w:trPr>
        <w:tc>
          <w:tcPr>
            <w:tcW w:w="0" w:type="auto"/>
          </w:tcPr>
          <w:p w14:paraId="0D661344" w14:textId="77777777" w:rsidR="00293093" w:rsidRPr="00CD3D42" w:rsidRDefault="00293093" w:rsidP="007E3042">
            <w:pPr>
              <w:pStyle w:val="NormalWeb"/>
              <w:spacing w:line="256" w:lineRule="auto"/>
              <w:rPr>
                <w:rFonts w:ascii="Segoe UI" w:hAnsi="Segoe UI" w:cs="Segoe UI"/>
                <w:b/>
                <w:sz w:val="20"/>
                <w:szCs w:val="20"/>
                <w:lang w:val="en-AU" w:eastAsia="en-AU"/>
              </w:rPr>
            </w:pPr>
            <w:r w:rsidRPr="00CD3D42">
              <w:rPr>
                <w:rFonts w:ascii="Segoe UI" w:hAnsi="Segoe UI" w:cs="Segoe UI"/>
                <w:b/>
                <w:sz w:val="20"/>
                <w:szCs w:val="20"/>
                <w:lang w:val="en-AU" w:eastAsia="en-AU"/>
              </w:rPr>
              <w:t>Management Portal</w:t>
            </w:r>
          </w:p>
        </w:tc>
        <w:tc>
          <w:tcPr>
            <w:tcW w:w="0" w:type="auto"/>
          </w:tcPr>
          <w:p w14:paraId="1FFDCFFA" w14:textId="77777777" w:rsidR="00293093" w:rsidRPr="0066123F" w:rsidRDefault="00872E47" w:rsidP="007E3042">
            <w:pPr>
              <w:rPr>
                <w:sz w:val="20"/>
                <w:szCs w:val="20"/>
              </w:rPr>
            </w:pPr>
            <w:hyperlink r:id="rId57" w:history="1">
              <w:r w:rsidR="00293093" w:rsidRPr="0066123F">
                <w:rPr>
                  <w:rStyle w:val="Hyperlink"/>
                  <w:sz w:val="20"/>
                  <w:szCs w:val="20"/>
                </w:rPr>
                <w:t>https://manage.windowsazure.com</w:t>
              </w:r>
            </w:hyperlink>
          </w:p>
          <w:p w14:paraId="67206D1B" w14:textId="77777777" w:rsidR="00293093" w:rsidRPr="0066123F" w:rsidRDefault="00293093" w:rsidP="007E3042">
            <w:pPr>
              <w:rPr>
                <w:sz w:val="20"/>
                <w:szCs w:val="20"/>
              </w:rPr>
            </w:pPr>
            <w:r w:rsidRPr="0066123F">
              <w:rPr>
                <w:sz w:val="20"/>
                <w:szCs w:val="20"/>
              </w:rPr>
              <w:t>or</w:t>
            </w:r>
          </w:p>
          <w:p w14:paraId="620682FE" w14:textId="77777777" w:rsidR="00293093" w:rsidRPr="00CD3D42" w:rsidRDefault="00872E47" w:rsidP="007E3042">
            <w:pPr>
              <w:rPr>
                <w:rFonts w:eastAsia="Calibri" w:cs="Segoe UI"/>
                <w:sz w:val="20"/>
                <w:szCs w:val="20"/>
                <w:lang w:val="en-AU" w:eastAsia="en-AU"/>
              </w:rPr>
            </w:pPr>
            <w:hyperlink r:id="rId58" w:history="1">
              <w:r w:rsidR="00293093" w:rsidRPr="0066123F">
                <w:rPr>
                  <w:rStyle w:val="Hyperlink"/>
                  <w:sz w:val="20"/>
                  <w:szCs w:val="20"/>
                </w:rPr>
                <w:t>https://portal.azure.com</w:t>
              </w:r>
            </w:hyperlink>
            <w:r w:rsidR="00293093" w:rsidRPr="0066123F">
              <w:rPr>
                <w:rStyle w:val="FootnoteReference"/>
                <w:sz w:val="20"/>
                <w:szCs w:val="20"/>
              </w:rPr>
              <w:footnoteReference w:id="3"/>
            </w:r>
            <w:r w:rsidR="00293093" w:rsidRPr="0066123F">
              <w:rPr>
                <w:sz w:val="20"/>
                <w:szCs w:val="20"/>
              </w:rPr>
              <w:t xml:space="preserve"> (Preview) </w:t>
            </w:r>
          </w:p>
        </w:tc>
        <w:tc>
          <w:tcPr>
            <w:tcW w:w="0" w:type="auto"/>
          </w:tcPr>
          <w:p w14:paraId="2EDC307A" w14:textId="0A86AF6D" w:rsidR="00293093" w:rsidRPr="0066123F" w:rsidRDefault="00293093" w:rsidP="005729D2">
            <w:pPr>
              <w:pStyle w:val="ListParagraph"/>
              <w:numPr>
                <w:ilvl w:val="0"/>
                <w:numId w:val="56"/>
              </w:numPr>
              <w:ind w:left="360"/>
              <w:rPr>
                <w:sz w:val="20"/>
                <w:szCs w:val="20"/>
              </w:rPr>
            </w:pPr>
            <w:r w:rsidRPr="0066123F">
              <w:rPr>
                <w:sz w:val="20"/>
                <w:szCs w:val="20"/>
              </w:rPr>
              <w:t>Provision/deprovision Azure services</w:t>
            </w:r>
          </w:p>
          <w:p w14:paraId="503C88DE" w14:textId="77777777" w:rsidR="00293093" w:rsidRPr="0066123F" w:rsidRDefault="00293093" w:rsidP="005729D2">
            <w:pPr>
              <w:pStyle w:val="ListParagraph"/>
              <w:numPr>
                <w:ilvl w:val="0"/>
                <w:numId w:val="56"/>
              </w:numPr>
              <w:ind w:left="360"/>
              <w:rPr>
                <w:sz w:val="20"/>
                <w:szCs w:val="20"/>
              </w:rPr>
            </w:pPr>
            <w:r w:rsidRPr="0066123F">
              <w:rPr>
                <w:sz w:val="20"/>
                <w:szCs w:val="20"/>
              </w:rPr>
              <w:t>Manage co-administrators on subscriptions</w:t>
            </w:r>
          </w:p>
          <w:p w14:paraId="3D5B909A" w14:textId="77777777" w:rsidR="00293093" w:rsidRPr="0066123F" w:rsidRDefault="00293093" w:rsidP="005729D2">
            <w:pPr>
              <w:pStyle w:val="ListParagraph"/>
              <w:numPr>
                <w:ilvl w:val="0"/>
                <w:numId w:val="56"/>
              </w:numPr>
              <w:ind w:left="360"/>
              <w:rPr>
                <w:sz w:val="20"/>
                <w:szCs w:val="20"/>
              </w:rPr>
            </w:pPr>
            <w:r w:rsidRPr="0066123F">
              <w:rPr>
                <w:sz w:val="20"/>
                <w:szCs w:val="20"/>
              </w:rPr>
              <w:t>Open support tickets for issues within the subscription</w:t>
            </w:r>
          </w:p>
          <w:p w14:paraId="7CC7499F" w14:textId="77777777" w:rsidR="00293093" w:rsidRPr="0066123F" w:rsidRDefault="00293093" w:rsidP="007E3042">
            <w:pPr>
              <w:rPr>
                <w:sz w:val="20"/>
                <w:szCs w:val="20"/>
              </w:rPr>
            </w:pPr>
            <w:r w:rsidRPr="0066123F">
              <w:rPr>
                <w:sz w:val="20"/>
                <w:szCs w:val="20"/>
              </w:rPr>
              <w:t>Note - any support ticket under a Premier Azure Support agreement should be opened using the Premier portal</w:t>
            </w:r>
          </w:p>
          <w:p w14:paraId="04604543" w14:textId="77777777" w:rsidR="00293093" w:rsidRPr="00CD3D42" w:rsidRDefault="00293093" w:rsidP="007E3042">
            <w:pPr>
              <w:rPr>
                <w:rFonts w:eastAsia="Calibri" w:cs="Segoe UI"/>
                <w:sz w:val="20"/>
                <w:szCs w:val="20"/>
                <w:lang w:val="en-AU" w:eastAsia="en-AU"/>
              </w:rPr>
            </w:pPr>
          </w:p>
        </w:tc>
      </w:tr>
    </w:tbl>
    <w:p w14:paraId="74BDC766" w14:textId="77777777" w:rsidR="00F04A7D" w:rsidRDefault="00F04A7D" w:rsidP="005B1C29">
      <w:pPr>
        <w:rPr>
          <w:b/>
        </w:rPr>
      </w:pPr>
    </w:p>
    <w:p w14:paraId="3DD9B796" w14:textId="513B8DDA" w:rsidR="00293093" w:rsidRPr="005B1C29" w:rsidRDefault="005D1FB1" w:rsidP="005B1C29">
      <w:pPr>
        <w:rPr>
          <w:b/>
        </w:rPr>
      </w:pPr>
      <w:r>
        <w:rPr>
          <w:b/>
        </w:rPr>
        <w:t>Cloud Solution Provider</w:t>
      </w:r>
      <w:r w:rsidR="00293093" w:rsidRPr="005B1C29">
        <w:rPr>
          <w:b/>
        </w:rPr>
        <w:t>-Managed Models</w:t>
      </w:r>
    </w:p>
    <w:p w14:paraId="6464D878" w14:textId="4DAEF392" w:rsidR="00293093" w:rsidRDefault="00293093" w:rsidP="00293093">
      <w:r>
        <w:t>When the Azure subscription is provisioned by Cloud Solution Provider</w:t>
      </w:r>
      <w:r w:rsidR="005D1FB1">
        <w:t>,</w:t>
      </w:r>
      <w:r>
        <w:t xml:space="preserve"> who manages end customer Azure subscriptions, the following portal offerings are available for resource management:</w:t>
      </w:r>
    </w:p>
    <w:tbl>
      <w:tblPr>
        <w:tblStyle w:val="PlainTable11"/>
        <w:tblW w:w="9715" w:type="dxa"/>
        <w:tblLayout w:type="fixed"/>
        <w:tblCellMar>
          <w:left w:w="115" w:type="dxa"/>
          <w:right w:w="115" w:type="dxa"/>
        </w:tblCellMar>
        <w:tblLook w:val="0420" w:firstRow="1" w:lastRow="0" w:firstColumn="0" w:lastColumn="0" w:noHBand="0" w:noVBand="1"/>
      </w:tblPr>
      <w:tblGrid>
        <w:gridCol w:w="1615"/>
        <w:gridCol w:w="5970"/>
        <w:gridCol w:w="2130"/>
      </w:tblGrid>
      <w:tr w:rsidR="006244EE" w:rsidRPr="00792D99" w14:paraId="52BD60B0" w14:textId="77777777" w:rsidTr="00F04A7D">
        <w:trPr>
          <w:cnfStyle w:val="100000000000" w:firstRow="1" w:lastRow="0" w:firstColumn="0" w:lastColumn="0" w:oddVBand="0" w:evenVBand="0" w:oddHBand="0" w:evenHBand="0" w:firstRowFirstColumn="0" w:firstRowLastColumn="0" w:lastRowFirstColumn="0" w:lastRowLastColumn="0"/>
        </w:trPr>
        <w:tc>
          <w:tcPr>
            <w:tcW w:w="1615" w:type="dxa"/>
            <w:shd w:val="clear" w:color="auto" w:fill="808080" w:themeFill="background1" w:themeFillShade="80"/>
            <w:hideMark/>
          </w:tcPr>
          <w:p w14:paraId="77EB32DA" w14:textId="2DFFD55D" w:rsidR="006244EE" w:rsidRPr="00792D99" w:rsidRDefault="006244EE" w:rsidP="008E2E05">
            <w:pPr>
              <w:spacing w:line="240" w:lineRule="auto"/>
              <w:rPr>
                <w:rFonts w:eastAsia="Calibri"/>
                <w:bCs w:val="0"/>
                <w:color w:val="FFFFFF"/>
                <w:sz w:val="20"/>
                <w:szCs w:val="20"/>
                <w:lang w:eastAsia="en-AU"/>
              </w:rPr>
            </w:pPr>
            <w:r w:rsidRPr="00792D99">
              <w:rPr>
                <w:rFonts w:eastAsia="Calibri"/>
                <w:bCs w:val="0"/>
                <w:color w:val="FFFFFF"/>
                <w:sz w:val="20"/>
                <w:szCs w:val="20"/>
                <w:lang w:eastAsia="en-AU"/>
              </w:rPr>
              <w:t>Portal</w:t>
            </w:r>
          </w:p>
        </w:tc>
        <w:tc>
          <w:tcPr>
            <w:tcW w:w="5970" w:type="dxa"/>
            <w:shd w:val="clear" w:color="auto" w:fill="808080" w:themeFill="background1" w:themeFillShade="80"/>
          </w:tcPr>
          <w:p w14:paraId="150ADE51" w14:textId="77777777" w:rsidR="006244EE" w:rsidRPr="00792D99" w:rsidRDefault="006244EE" w:rsidP="008E2E05">
            <w:pPr>
              <w:spacing w:line="240" w:lineRule="auto"/>
              <w:rPr>
                <w:rFonts w:eastAsia="Calibri"/>
                <w:bCs w:val="0"/>
                <w:color w:val="FFFFFF"/>
                <w:sz w:val="20"/>
                <w:szCs w:val="20"/>
                <w:lang w:eastAsia="en-AU"/>
              </w:rPr>
            </w:pPr>
            <w:r w:rsidRPr="00792D99">
              <w:rPr>
                <w:rFonts w:eastAsia="Calibri"/>
                <w:bCs w:val="0"/>
                <w:color w:val="FFFFFF"/>
                <w:sz w:val="20"/>
                <w:szCs w:val="20"/>
                <w:lang w:eastAsia="en-AU"/>
              </w:rPr>
              <w:t>Location</w:t>
            </w:r>
          </w:p>
        </w:tc>
        <w:tc>
          <w:tcPr>
            <w:tcW w:w="2130" w:type="dxa"/>
            <w:shd w:val="clear" w:color="auto" w:fill="808080" w:themeFill="background1" w:themeFillShade="80"/>
            <w:hideMark/>
          </w:tcPr>
          <w:p w14:paraId="5CFF8C7C" w14:textId="77777777" w:rsidR="006244EE" w:rsidRPr="00792D99" w:rsidRDefault="006244EE" w:rsidP="008E2E05">
            <w:pPr>
              <w:spacing w:line="240" w:lineRule="auto"/>
              <w:rPr>
                <w:rFonts w:eastAsia="Calibri"/>
                <w:bCs w:val="0"/>
                <w:color w:val="FFFFFF"/>
                <w:sz w:val="20"/>
                <w:szCs w:val="20"/>
                <w:lang w:eastAsia="en-AU"/>
              </w:rPr>
            </w:pPr>
            <w:r w:rsidRPr="00792D99">
              <w:rPr>
                <w:rFonts w:eastAsia="Calibri"/>
                <w:bCs w:val="0"/>
                <w:color w:val="FFFFFF"/>
                <w:sz w:val="20"/>
                <w:szCs w:val="20"/>
                <w:lang w:eastAsia="en-AU"/>
              </w:rPr>
              <w:t>Purpose</w:t>
            </w:r>
          </w:p>
        </w:tc>
      </w:tr>
      <w:tr w:rsidR="00060DD5" w14:paraId="3BDCA35B" w14:textId="77777777" w:rsidTr="00F04A7D">
        <w:trPr>
          <w:cnfStyle w:val="000000100000" w:firstRow="0" w:lastRow="0" w:firstColumn="0" w:lastColumn="0" w:oddVBand="0" w:evenVBand="0" w:oddHBand="1" w:evenHBand="0" w:firstRowFirstColumn="0" w:firstRowLastColumn="0" w:lastRowFirstColumn="0" w:lastRowLastColumn="0"/>
        </w:trPr>
        <w:tc>
          <w:tcPr>
            <w:tcW w:w="1615" w:type="dxa"/>
          </w:tcPr>
          <w:p w14:paraId="7C5C2353" w14:textId="339DDD7E" w:rsidR="00060DD5" w:rsidRDefault="00060DD5" w:rsidP="008E2E05">
            <w:pPr>
              <w:rPr>
                <w:b/>
                <w:sz w:val="20"/>
                <w:szCs w:val="20"/>
              </w:rPr>
            </w:pPr>
            <w:r>
              <w:rPr>
                <w:b/>
                <w:sz w:val="20"/>
                <w:szCs w:val="20"/>
              </w:rPr>
              <w:t>Partner Portal</w:t>
            </w:r>
          </w:p>
        </w:tc>
        <w:tc>
          <w:tcPr>
            <w:tcW w:w="5970" w:type="dxa"/>
          </w:tcPr>
          <w:p w14:paraId="75C414FF" w14:textId="01D4338B" w:rsidR="00060DD5" w:rsidRDefault="00872E47" w:rsidP="008E2E05">
            <w:hyperlink r:id="rId59" w:history="1">
              <w:r w:rsidR="00D72C57" w:rsidRPr="00A71918">
                <w:rPr>
                  <w:rStyle w:val="Hyperlink"/>
                  <w:sz w:val="20"/>
                  <w:szCs w:val="20"/>
                </w:rPr>
                <w:t>https://partnercenter.microsoft.com</w:t>
              </w:r>
            </w:hyperlink>
            <w:r w:rsidR="00D72C57">
              <w:rPr>
                <w:sz w:val="20"/>
                <w:szCs w:val="20"/>
              </w:rPr>
              <w:t xml:space="preserve"> </w:t>
            </w:r>
          </w:p>
        </w:tc>
        <w:tc>
          <w:tcPr>
            <w:tcW w:w="2130" w:type="dxa"/>
          </w:tcPr>
          <w:p w14:paraId="21C809DD" w14:textId="77777777" w:rsidR="00060DD5" w:rsidRDefault="00060DD5" w:rsidP="005729D2">
            <w:pPr>
              <w:pStyle w:val="ListParagraph"/>
              <w:numPr>
                <w:ilvl w:val="0"/>
                <w:numId w:val="56"/>
              </w:numPr>
              <w:ind w:left="360"/>
              <w:rPr>
                <w:sz w:val="20"/>
                <w:szCs w:val="20"/>
              </w:rPr>
            </w:pPr>
            <w:r>
              <w:rPr>
                <w:sz w:val="20"/>
                <w:szCs w:val="20"/>
              </w:rPr>
              <w:t>Manage CSP customers</w:t>
            </w:r>
          </w:p>
          <w:p w14:paraId="122F2EBE" w14:textId="77777777" w:rsidR="00060DD5" w:rsidRDefault="00060DD5" w:rsidP="005729D2">
            <w:pPr>
              <w:pStyle w:val="ListParagraph"/>
              <w:numPr>
                <w:ilvl w:val="0"/>
                <w:numId w:val="56"/>
              </w:numPr>
              <w:ind w:left="360"/>
              <w:rPr>
                <w:sz w:val="20"/>
                <w:szCs w:val="20"/>
              </w:rPr>
            </w:pPr>
            <w:r>
              <w:rPr>
                <w:sz w:val="20"/>
                <w:szCs w:val="20"/>
              </w:rPr>
              <w:t>Manage CSP customer accounts</w:t>
            </w:r>
          </w:p>
          <w:p w14:paraId="3720DF21" w14:textId="77777777" w:rsidR="00060DD5" w:rsidRDefault="00060DD5" w:rsidP="005729D2">
            <w:pPr>
              <w:pStyle w:val="ListParagraph"/>
              <w:numPr>
                <w:ilvl w:val="0"/>
                <w:numId w:val="56"/>
              </w:numPr>
              <w:ind w:left="360"/>
              <w:rPr>
                <w:sz w:val="20"/>
                <w:szCs w:val="20"/>
              </w:rPr>
            </w:pPr>
            <w:r>
              <w:rPr>
                <w:sz w:val="20"/>
                <w:szCs w:val="20"/>
              </w:rPr>
              <w:t>Manage CSP customer subscriptions</w:t>
            </w:r>
          </w:p>
          <w:p w14:paraId="031CBFFF" w14:textId="77777777" w:rsidR="00060DD5" w:rsidRDefault="00060DD5" w:rsidP="005729D2">
            <w:pPr>
              <w:pStyle w:val="ListParagraph"/>
              <w:numPr>
                <w:ilvl w:val="0"/>
                <w:numId w:val="56"/>
              </w:numPr>
              <w:ind w:left="360"/>
              <w:rPr>
                <w:sz w:val="20"/>
                <w:szCs w:val="20"/>
              </w:rPr>
            </w:pPr>
            <w:r>
              <w:rPr>
                <w:sz w:val="20"/>
                <w:szCs w:val="20"/>
              </w:rPr>
              <w:t>Manage user accounts assigned to CSP customer subscription administration</w:t>
            </w:r>
          </w:p>
          <w:p w14:paraId="00FE464C" w14:textId="77777777" w:rsidR="00060DD5" w:rsidRDefault="00060DD5" w:rsidP="005729D2">
            <w:pPr>
              <w:pStyle w:val="ListParagraph"/>
              <w:numPr>
                <w:ilvl w:val="0"/>
                <w:numId w:val="56"/>
              </w:numPr>
              <w:ind w:left="360"/>
              <w:rPr>
                <w:sz w:val="20"/>
                <w:szCs w:val="20"/>
              </w:rPr>
            </w:pPr>
            <w:r>
              <w:rPr>
                <w:sz w:val="20"/>
                <w:szCs w:val="20"/>
              </w:rPr>
              <w:t>Retrieve billing data as a CSP on behalf of CSP customers</w:t>
            </w:r>
          </w:p>
          <w:p w14:paraId="35DB8EFB" w14:textId="77777777" w:rsidR="00060DD5" w:rsidRDefault="00060DD5" w:rsidP="005729D2">
            <w:pPr>
              <w:pStyle w:val="ListParagraph"/>
              <w:numPr>
                <w:ilvl w:val="0"/>
                <w:numId w:val="56"/>
              </w:numPr>
              <w:ind w:left="360"/>
              <w:rPr>
                <w:sz w:val="20"/>
                <w:szCs w:val="20"/>
              </w:rPr>
            </w:pPr>
            <w:r>
              <w:rPr>
                <w:sz w:val="20"/>
                <w:szCs w:val="20"/>
              </w:rPr>
              <w:t>Administer services provisioned within CSP customer subscriptions</w:t>
            </w:r>
          </w:p>
          <w:p w14:paraId="7E66767D" w14:textId="4308F497" w:rsidR="00060DD5" w:rsidRPr="00CD3D42" w:rsidRDefault="00060DD5" w:rsidP="005729D2">
            <w:pPr>
              <w:pStyle w:val="ListParagraph"/>
              <w:numPr>
                <w:ilvl w:val="0"/>
                <w:numId w:val="56"/>
              </w:numPr>
              <w:ind w:left="360"/>
              <w:rPr>
                <w:sz w:val="20"/>
                <w:szCs w:val="20"/>
              </w:rPr>
            </w:pPr>
            <w:r>
              <w:rPr>
                <w:sz w:val="20"/>
                <w:szCs w:val="20"/>
              </w:rPr>
              <w:t>Create and Manage Azure service requests</w:t>
            </w:r>
          </w:p>
        </w:tc>
      </w:tr>
      <w:tr w:rsidR="00060DD5" w14:paraId="65A2FCCF" w14:textId="77777777" w:rsidTr="00F04A7D">
        <w:tc>
          <w:tcPr>
            <w:tcW w:w="1615" w:type="dxa"/>
          </w:tcPr>
          <w:p w14:paraId="19F84BFE" w14:textId="77777777" w:rsidR="00060DD5" w:rsidRPr="00CD3D42" w:rsidRDefault="00060DD5" w:rsidP="008E2E05">
            <w:pPr>
              <w:pStyle w:val="NormalWeb"/>
              <w:spacing w:line="256" w:lineRule="auto"/>
              <w:rPr>
                <w:rFonts w:ascii="Segoe UI" w:hAnsi="Segoe UI" w:cs="Segoe UI"/>
                <w:b/>
                <w:sz w:val="20"/>
                <w:szCs w:val="20"/>
                <w:lang w:val="en-AU" w:eastAsia="en-AU"/>
              </w:rPr>
            </w:pPr>
            <w:r w:rsidRPr="00CD3D42">
              <w:rPr>
                <w:rFonts w:ascii="Segoe UI" w:hAnsi="Segoe UI" w:cs="Segoe UI"/>
                <w:b/>
                <w:sz w:val="20"/>
                <w:szCs w:val="20"/>
                <w:lang w:val="en-AU" w:eastAsia="en-AU"/>
              </w:rPr>
              <w:t>Management Portal</w:t>
            </w:r>
          </w:p>
        </w:tc>
        <w:tc>
          <w:tcPr>
            <w:tcW w:w="5970" w:type="dxa"/>
          </w:tcPr>
          <w:p w14:paraId="04C8F39D" w14:textId="20FD13C1" w:rsidR="00F10F8C" w:rsidRDefault="00F10F8C" w:rsidP="008E2E05">
            <w:r>
              <w:rPr>
                <w:sz w:val="20"/>
                <w:szCs w:val="20"/>
              </w:rPr>
              <w:t>If managed by CSP</w:t>
            </w:r>
            <w:r w:rsidR="009520EA">
              <w:rPr>
                <w:sz w:val="20"/>
                <w:szCs w:val="20"/>
              </w:rPr>
              <w:t xml:space="preserve"> (exact URLs are provided in </w:t>
            </w:r>
            <w:r w:rsidR="007E6AAF">
              <w:rPr>
                <w:sz w:val="20"/>
                <w:szCs w:val="20"/>
              </w:rPr>
              <w:t>customer subscription “</w:t>
            </w:r>
            <w:r w:rsidR="009520EA" w:rsidRPr="009520EA">
              <w:rPr>
                <w:sz w:val="20"/>
                <w:szCs w:val="20"/>
              </w:rPr>
              <w:t>Service management</w:t>
            </w:r>
            <w:r w:rsidR="007E6AAF">
              <w:rPr>
                <w:sz w:val="20"/>
                <w:szCs w:val="20"/>
              </w:rPr>
              <w:t>”</w:t>
            </w:r>
            <w:r w:rsidR="009520EA">
              <w:rPr>
                <w:sz w:val="20"/>
                <w:szCs w:val="20"/>
              </w:rPr>
              <w:t xml:space="preserve"> view on Partner porta</w:t>
            </w:r>
            <w:r w:rsidR="008A597E">
              <w:rPr>
                <w:sz w:val="20"/>
                <w:szCs w:val="20"/>
              </w:rPr>
              <w:t>l</w:t>
            </w:r>
            <w:r w:rsidR="009520EA">
              <w:rPr>
                <w:sz w:val="20"/>
                <w:szCs w:val="20"/>
              </w:rPr>
              <w:t>)</w:t>
            </w:r>
            <w:r>
              <w:rPr>
                <w:sz w:val="20"/>
                <w:szCs w:val="20"/>
              </w:rPr>
              <w:t>:</w:t>
            </w:r>
          </w:p>
          <w:p w14:paraId="75157CAB" w14:textId="5A686F0D" w:rsidR="009520EA" w:rsidRDefault="009520EA" w:rsidP="008E2E05">
            <w:r w:rsidRPr="009520EA">
              <w:rPr>
                <w:sz w:val="20"/>
                <w:szCs w:val="20"/>
              </w:rPr>
              <w:t>Azure Active Directory Management</w:t>
            </w:r>
            <w:r>
              <w:t>:</w:t>
            </w:r>
          </w:p>
          <w:p w14:paraId="65881627" w14:textId="603583AC" w:rsidR="00060DD5" w:rsidRPr="005B1C29" w:rsidRDefault="00872E47" w:rsidP="008E2E05">
            <w:pPr>
              <w:rPr>
                <w:rStyle w:val="Hyperlink"/>
                <w:sz w:val="20"/>
                <w:szCs w:val="20"/>
              </w:rPr>
            </w:pPr>
            <w:hyperlink r:id="rId60" w:anchor="Workspaces/ActiveDirectoryExtension/Directory/&lt;-guid-&gt;/directoryQuickStart" w:history="1">
              <w:r w:rsidR="009520EA" w:rsidRPr="005B1C29">
                <w:rPr>
                  <w:rStyle w:val="Hyperlink"/>
                  <w:sz w:val="20"/>
                  <w:szCs w:val="20"/>
                </w:rPr>
                <w:t>https://account.windowsazure.com/PremiumOffer/Index?offer=MS-AZR-0110P&amp;returnUrl=https://manage.windowsazure.com/&lt;-csp-&gt;.onmicrosoft.com#Workspaces/ActiveDirectoryExtension/Directory/&lt;-guid-&gt;/directoryQuickStart</w:t>
              </w:r>
            </w:hyperlink>
            <w:r w:rsidR="009520EA" w:rsidRPr="005B1C29">
              <w:rPr>
                <w:rStyle w:val="Hyperlink"/>
                <w:sz w:val="20"/>
                <w:szCs w:val="20"/>
              </w:rPr>
              <w:t xml:space="preserve"> </w:t>
            </w:r>
          </w:p>
          <w:p w14:paraId="30C6CFED" w14:textId="350A1D94" w:rsidR="00060DD5" w:rsidRPr="0066123F" w:rsidRDefault="009520EA" w:rsidP="008E2E05">
            <w:pPr>
              <w:rPr>
                <w:sz w:val="20"/>
                <w:szCs w:val="20"/>
              </w:rPr>
            </w:pPr>
            <w:r>
              <w:rPr>
                <w:sz w:val="20"/>
                <w:szCs w:val="20"/>
              </w:rPr>
              <w:t>Customer Azure resource management</w:t>
            </w:r>
          </w:p>
          <w:p w14:paraId="7FC6F0C6" w14:textId="77777777" w:rsidR="00060DD5" w:rsidRDefault="009520EA" w:rsidP="009520EA">
            <w:pPr>
              <w:rPr>
                <w:rFonts w:eastAsia="Calibri" w:cs="Segoe UI"/>
                <w:sz w:val="20"/>
                <w:szCs w:val="20"/>
                <w:lang w:val="en-AU" w:eastAsia="en-AU"/>
              </w:rPr>
            </w:pPr>
            <w:r w:rsidRPr="005B1C29">
              <w:rPr>
                <w:rStyle w:val="Hyperlink"/>
                <w:sz w:val="20"/>
                <w:szCs w:val="20"/>
              </w:rPr>
              <w:t>https://portal.azure.com/&lt;tenant&gt;.onmicrosoft.com</w:t>
            </w:r>
            <w:r w:rsidRPr="009520EA" w:rsidDel="009520EA">
              <w:t xml:space="preserve"> </w:t>
            </w:r>
            <w:r w:rsidR="00060DD5" w:rsidRPr="0066123F">
              <w:rPr>
                <w:rStyle w:val="FootnoteReference"/>
                <w:sz w:val="20"/>
                <w:szCs w:val="20"/>
              </w:rPr>
              <w:footnoteReference w:id="4"/>
            </w:r>
            <w:r w:rsidR="00060DD5" w:rsidRPr="0066123F">
              <w:rPr>
                <w:sz w:val="20"/>
                <w:szCs w:val="20"/>
              </w:rPr>
              <w:t xml:space="preserve"> (Preview) </w:t>
            </w:r>
            <w:r>
              <w:rPr>
                <w:sz w:val="20"/>
                <w:szCs w:val="20"/>
              </w:rPr>
              <w:br/>
            </w:r>
          </w:p>
          <w:p w14:paraId="0787BDA4" w14:textId="77777777" w:rsidR="007E6AAF" w:rsidRDefault="007E6AAF" w:rsidP="009520EA">
            <w:pPr>
              <w:rPr>
                <w:rFonts w:eastAsia="Calibri" w:cs="Segoe UI"/>
                <w:sz w:val="20"/>
                <w:szCs w:val="20"/>
                <w:lang w:val="en-AU" w:eastAsia="en-AU"/>
              </w:rPr>
            </w:pPr>
            <w:r>
              <w:rPr>
                <w:rFonts w:eastAsia="Calibri" w:cs="Segoe UI"/>
                <w:sz w:val="20"/>
                <w:szCs w:val="20"/>
                <w:lang w:val="en-AU" w:eastAsia="en-AU"/>
              </w:rPr>
              <w:t>When accessed by the end customer:</w:t>
            </w:r>
          </w:p>
          <w:p w14:paraId="235159FC" w14:textId="77777777" w:rsidR="007E6AAF" w:rsidRPr="0066123F" w:rsidRDefault="00872E47" w:rsidP="007E6AAF">
            <w:pPr>
              <w:rPr>
                <w:sz w:val="20"/>
                <w:szCs w:val="20"/>
              </w:rPr>
            </w:pPr>
            <w:hyperlink r:id="rId61" w:history="1">
              <w:r w:rsidR="007E6AAF" w:rsidRPr="0066123F">
                <w:rPr>
                  <w:rStyle w:val="Hyperlink"/>
                  <w:sz w:val="20"/>
                  <w:szCs w:val="20"/>
                </w:rPr>
                <w:t>https://manage.windowsazure.com</w:t>
              </w:r>
            </w:hyperlink>
          </w:p>
          <w:p w14:paraId="02F5D937" w14:textId="77777777" w:rsidR="007E6AAF" w:rsidRPr="0066123F" w:rsidRDefault="007E6AAF" w:rsidP="007E6AAF">
            <w:pPr>
              <w:rPr>
                <w:sz w:val="20"/>
                <w:szCs w:val="20"/>
              </w:rPr>
            </w:pPr>
            <w:r w:rsidRPr="0066123F">
              <w:rPr>
                <w:sz w:val="20"/>
                <w:szCs w:val="20"/>
              </w:rPr>
              <w:t>or</w:t>
            </w:r>
          </w:p>
          <w:p w14:paraId="5623974E" w14:textId="2C9ABD17" w:rsidR="007E6AAF" w:rsidRPr="00CD3D42" w:rsidRDefault="00872E47" w:rsidP="007E6AAF">
            <w:pPr>
              <w:rPr>
                <w:rFonts w:eastAsia="Calibri" w:cs="Segoe UI"/>
                <w:sz w:val="20"/>
                <w:szCs w:val="20"/>
                <w:lang w:val="en-AU" w:eastAsia="en-AU"/>
              </w:rPr>
            </w:pPr>
            <w:hyperlink r:id="rId62" w:history="1">
              <w:r w:rsidR="007E6AAF" w:rsidRPr="0066123F">
                <w:rPr>
                  <w:rStyle w:val="Hyperlink"/>
                  <w:sz w:val="20"/>
                  <w:szCs w:val="20"/>
                </w:rPr>
                <w:t>https://portal.azure.com</w:t>
              </w:r>
            </w:hyperlink>
            <w:r w:rsidR="007E6AAF" w:rsidRPr="0066123F">
              <w:rPr>
                <w:rStyle w:val="FootnoteReference"/>
                <w:sz w:val="20"/>
                <w:szCs w:val="20"/>
              </w:rPr>
              <w:footnoteReference w:id="5"/>
            </w:r>
            <w:r w:rsidR="007E6AAF" w:rsidRPr="0066123F">
              <w:rPr>
                <w:sz w:val="20"/>
                <w:szCs w:val="20"/>
              </w:rPr>
              <w:t xml:space="preserve"> (Preview)</w:t>
            </w:r>
          </w:p>
        </w:tc>
        <w:tc>
          <w:tcPr>
            <w:tcW w:w="2130" w:type="dxa"/>
          </w:tcPr>
          <w:p w14:paraId="2E706DDE" w14:textId="77777777" w:rsidR="00060DD5" w:rsidRPr="0066123F" w:rsidRDefault="00060DD5" w:rsidP="005729D2">
            <w:pPr>
              <w:pStyle w:val="ListParagraph"/>
              <w:numPr>
                <w:ilvl w:val="0"/>
                <w:numId w:val="56"/>
              </w:numPr>
              <w:ind w:left="360"/>
              <w:rPr>
                <w:sz w:val="20"/>
                <w:szCs w:val="20"/>
              </w:rPr>
            </w:pPr>
            <w:r w:rsidRPr="0066123F">
              <w:rPr>
                <w:sz w:val="20"/>
                <w:szCs w:val="20"/>
              </w:rPr>
              <w:t>Provision/de-provision Azure services</w:t>
            </w:r>
          </w:p>
          <w:p w14:paraId="2A33B205" w14:textId="77777777" w:rsidR="00060DD5" w:rsidRPr="0066123F" w:rsidRDefault="00060DD5" w:rsidP="005729D2">
            <w:pPr>
              <w:pStyle w:val="ListParagraph"/>
              <w:numPr>
                <w:ilvl w:val="0"/>
                <w:numId w:val="56"/>
              </w:numPr>
              <w:ind w:left="360"/>
              <w:rPr>
                <w:sz w:val="20"/>
                <w:szCs w:val="20"/>
              </w:rPr>
            </w:pPr>
            <w:r w:rsidRPr="0066123F">
              <w:rPr>
                <w:sz w:val="20"/>
                <w:szCs w:val="20"/>
              </w:rPr>
              <w:t>Manage co-administrators on subscriptions</w:t>
            </w:r>
          </w:p>
          <w:p w14:paraId="1C413186" w14:textId="77777777" w:rsidR="00060DD5" w:rsidRPr="0066123F" w:rsidRDefault="00060DD5" w:rsidP="005729D2">
            <w:pPr>
              <w:pStyle w:val="ListParagraph"/>
              <w:numPr>
                <w:ilvl w:val="0"/>
                <w:numId w:val="56"/>
              </w:numPr>
              <w:ind w:left="360"/>
              <w:rPr>
                <w:sz w:val="20"/>
                <w:szCs w:val="20"/>
              </w:rPr>
            </w:pPr>
            <w:r w:rsidRPr="0066123F">
              <w:rPr>
                <w:sz w:val="20"/>
                <w:szCs w:val="20"/>
              </w:rPr>
              <w:t>Open support tickets for issues within the subscription</w:t>
            </w:r>
          </w:p>
          <w:p w14:paraId="37CD9A3E" w14:textId="77777777" w:rsidR="00060DD5" w:rsidRPr="00CD3D42" w:rsidRDefault="00060DD5" w:rsidP="007E6AAF">
            <w:pPr>
              <w:rPr>
                <w:rFonts w:eastAsia="Calibri" w:cs="Segoe UI"/>
                <w:sz w:val="20"/>
                <w:szCs w:val="20"/>
                <w:lang w:val="en-AU" w:eastAsia="en-AU"/>
              </w:rPr>
            </w:pPr>
          </w:p>
        </w:tc>
      </w:tr>
    </w:tbl>
    <w:p w14:paraId="5791ECB0" w14:textId="77777777" w:rsidR="00F04A7D" w:rsidRDefault="00F04A7D" w:rsidP="00775494"/>
    <w:p w14:paraId="6BEFF028" w14:textId="3985A82F" w:rsidR="00775494" w:rsidRPr="006244EE" w:rsidRDefault="006244EE" w:rsidP="00775494">
      <w:r w:rsidRPr="00C17379">
        <w:t>The following table provides a summary of portal access by role:</w:t>
      </w:r>
    </w:p>
    <w:tbl>
      <w:tblPr>
        <w:tblStyle w:val="PlainTable11"/>
        <w:tblW w:w="9355" w:type="dxa"/>
        <w:tblLook w:val="0420" w:firstRow="1" w:lastRow="0" w:firstColumn="0" w:lastColumn="0" w:noHBand="0" w:noVBand="1"/>
      </w:tblPr>
      <w:tblGrid>
        <w:gridCol w:w="1663"/>
        <w:gridCol w:w="1589"/>
        <w:gridCol w:w="2210"/>
        <w:gridCol w:w="3893"/>
      </w:tblGrid>
      <w:tr w:rsidR="00775494" w:rsidRPr="00792D99" w14:paraId="71C0366B" w14:textId="77777777" w:rsidTr="00792D99">
        <w:trPr>
          <w:cnfStyle w:val="100000000000" w:firstRow="1" w:lastRow="0" w:firstColumn="0" w:lastColumn="0" w:oddVBand="0" w:evenVBand="0" w:oddHBand="0" w:evenHBand="0" w:firstRowFirstColumn="0" w:firstRowLastColumn="0" w:lastRowFirstColumn="0" w:lastRowLastColumn="0"/>
        </w:trPr>
        <w:tc>
          <w:tcPr>
            <w:tcW w:w="1663" w:type="dxa"/>
            <w:shd w:val="clear" w:color="auto" w:fill="808080" w:themeFill="background1" w:themeFillShade="80"/>
          </w:tcPr>
          <w:p w14:paraId="790EC4DB" w14:textId="1BF2F942" w:rsidR="00775494" w:rsidRPr="00792D99" w:rsidRDefault="006244EE" w:rsidP="00775494">
            <w:pPr>
              <w:spacing w:line="240" w:lineRule="auto"/>
              <w:rPr>
                <w:rFonts w:eastAsia="Calibri"/>
                <w:bCs w:val="0"/>
                <w:color w:val="FFFFFF"/>
                <w:sz w:val="20"/>
                <w:szCs w:val="20"/>
                <w:lang w:val="en-AU" w:eastAsia="en-AU"/>
              </w:rPr>
            </w:pPr>
            <w:r w:rsidRPr="00792D99">
              <w:rPr>
                <w:rFonts w:eastAsia="Calibri"/>
                <w:bCs w:val="0"/>
                <w:color w:val="FFFFFF"/>
                <w:sz w:val="20"/>
                <w:szCs w:val="20"/>
                <w:lang w:val="en-AU" w:eastAsia="en-AU"/>
              </w:rPr>
              <w:t>Role</w:t>
            </w:r>
          </w:p>
        </w:tc>
        <w:tc>
          <w:tcPr>
            <w:tcW w:w="1589" w:type="dxa"/>
            <w:shd w:val="clear" w:color="auto" w:fill="808080" w:themeFill="background1" w:themeFillShade="80"/>
          </w:tcPr>
          <w:p w14:paraId="4E18A537" w14:textId="61DF4A96" w:rsidR="00775494" w:rsidRPr="00792D99" w:rsidRDefault="00775494" w:rsidP="00775494">
            <w:pPr>
              <w:spacing w:line="240" w:lineRule="auto"/>
              <w:rPr>
                <w:rFonts w:eastAsia="Calibri"/>
                <w:bCs w:val="0"/>
                <w:color w:val="FFFFFF"/>
                <w:sz w:val="20"/>
                <w:szCs w:val="20"/>
                <w:lang w:val="en-AU" w:eastAsia="en-AU"/>
              </w:rPr>
            </w:pPr>
            <w:r w:rsidRPr="00792D99">
              <w:rPr>
                <w:rFonts w:eastAsia="Calibri"/>
                <w:bCs w:val="0"/>
                <w:color w:val="FFFFFF"/>
                <w:sz w:val="20"/>
                <w:szCs w:val="20"/>
                <w:lang w:val="en-AU" w:eastAsia="en-AU"/>
              </w:rPr>
              <w:t>Enterprise Portal</w:t>
            </w:r>
          </w:p>
        </w:tc>
        <w:tc>
          <w:tcPr>
            <w:tcW w:w="2210" w:type="dxa"/>
            <w:shd w:val="clear" w:color="auto" w:fill="808080" w:themeFill="background1" w:themeFillShade="80"/>
            <w:hideMark/>
          </w:tcPr>
          <w:p w14:paraId="604BCE51" w14:textId="1AA90520" w:rsidR="00775494" w:rsidRPr="00792D99" w:rsidRDefault="00775494" w:rsidP="00775494">
            <w:pPr>
              <w:spacing w:line="240" w:lineRule="auto"/>
              <w:rPr>
                <w:rFonts w:ascii="Times New Roman" w:hAnsi="Times New Roman"/>
                <w:bCs w:val="0"/>
                <w:color w:val="FFFFFF"/>
                <w:sz w:val="20"/>
                <w:szCs w:val="20"/>
                <w:lang w:val="en-AU" w:eastAsia="en-AU"/>
              </w:rPr>
            </w:pPr>
            <w:r w:rsidRPr="00792D99">
              <w:rPr>
                <w:rFonts w:eastAsia="Calibri"/>
                <w:bCs w:val="0"/>
                <w:color w:val="FFFFFF"/>
                <w:sz w:val="20"/>
                <w:szCs w:val="20"/>
                <w:lang w:val="en-AU" w:eastAsia="en-AU"/>
              </w:rPr>
              <w:t>Account Portal</w:t>
            </w:r>
          </w:p>
        </w:tc>
        <w:tc>
          <w:tcPr>
            <w:tcW w:w="3893" w:type="dxa"/>
            <w:shd w:val="clear" w:color="auto" w:fill="808080" w:themeFill="background1" w:themeFillShade="80"/>
            <w:hideMark/>
          </w:tcPr>
          <w:p w14:paraId="5736F0C9" w14:textId="4CA4C057" w:rsidR="00775494" w:rsidRPr="00792D99" w:rsidRDefault="00775494" w:rsidP="00775494">
            <w:pPr>
              <w:spacing w:line="240" w:lineRule="auto"/>
              <w:rPr>
                <w:rFonts w:eastAsia="Calibri"/>
                <w:color w:val="FFFFFF"/>
                <w:sz w:val="20"/>
                <w:szCs w:val="20"/>
                <w:lang w:val="en-AU" w:eastAsia="en-AU"/>
              </w:rPr>
            </w:pPr>
            <w:r w:rsidRPr="00792D99">
              <w:rPr>
                <w:rFonts w:eastAsia="Calibri"/>
                <w:bCs w:val="0"/>
                <w:color w:val="FFFFFF"/>
                <w:sz w:val="20"/>
                <w:szCs w:val="20"/>
                <w:lang w:val="en-AU" w:eastAsia="en-AU"/>
              </w:rPr>
              <w:t>Management Portal</w:t>
            </w:r>
          </w:p>
        </w:tc>
      </w:tr>
      <w:tr w:rsidR="00775494" w14:paraId="01257C8C" w14:textId="77777777" w:rsidTr="00792D99">
        <w:trPr>
          <w:cnfStyle w:val="000000100000" w:firstRow="0" w:lastRow="0" w:firstColumn="0" w:lastColumn="0" w:oddVBand="0" w:evenVBand="0" w:oddHBand="1" w:evenHBand="0" w:firstRowFirstColumn="0" w:firstRowLastColumn="0" w:lastRowFirstColumn="0" w:lastRowLastColumn="0"/>
        </w:trPr>
        <w:tc>
          <w:tcPr>
            <w:tcW w:w="1663" w:type="dxa"/>
          </w:tcPr>
          <w:p w14:paraId="7699C196" w14:textId="6773AB89" w:rsidR="00775494" w:rsidRPr="00C17379" w:rsidRDefault="00775494" w:rsidP="00775494">
            <w:pPr>
              <w:pStyle w:val="NormalWeb"/>
              <w:rPr>
                <w:rFonts w:ascii="Segoe UI" w:hAnsi="Segoe UI" w:cs="Segoe UI"/>
                <w:b/>
                <w:bCs/>
                <w:sz w:val="20"/>
                <w:szCs w:val="20"/>
                <w:lang w:val="en-AU" w:eastAsia="en-AU"/>
              </w:rPr>
            </w:pPr>
            <w:r w:rsidRPr="00C17379">
              <w:rPr>
                <w:rFonts w:ascii="Segoe UI" w:hAnsi="Segoe UI" w:cs="Segoe UI"/>
                <w:b/>
                <w:bCs/>
                <w:sz w:val="20"/>
                <w:szCs w:val="20"/>
                <w:lang w:val="en-AU" w:eastAsia="en-AU"/>
              </w:rPr>
              <w:t>Enterprise Administrator</w:t>
            </w:r>
          </w:p>
        </w:tc>
        <w:tc>
          <w:tcPr>
            <w:tcW w:w="1589" w:type="dxa"/>
          </w:tcPr>
          <w:p w14:paraId="31F70BA0" w14:textId="32A6580F" w:rsidR="00775494" w:rsidRPr="005D1FB1" w:rsidRDefault="00775494" w:rsidP="00775494">
            <w:pPr>
              <w:pStyle w:val="NormalWeb"/>
              <w:rPr>
                <w:rFonts w:ascii="Segoe UI" w:hAnsi="Segoe UI" w:cs="Segoe UI"/>
                <w:sz w:val="20"/>
                <w:szCs w:val="20"/>
                <w:lang w:val="en-AU" w:eastAsia="en-AU"/>
              </w:rPr>
            </w:pPr>
            <w:r w:rsidRPr="005D1FB1">
              <w:rPr>
                <w:rFonts w:ascii="Segoe UI" w:hAnsi="Segoe UI" w:cs="Segoe UI"/>
                <w:sz w:val="20"/>
                <w:szCs w:val="20"/>
                <w:lang w:val="en-AU" w:eastAsia="en-AU"/>
              </w:rPr>
              <w:t>Yes</w:t>
            </w:r>
          </w:p>
        </w:tc>
        <w:tc>
          <w:tcPr>
            <w:tcW w:w="2210" w:type="dxa"/>
            <w:hideMark/>
          </w:tcPr>
          <w:p w14:paraId="75F49A2F" w14:textId="155C714B" w:rsidR="00775494" w:rsidRPr="005D1FB1" w:rsidRDefault="00775494" w:rsidP="00775494">
            <w:pPr>
              <w:pStyle w:val="NormalWeb"/>
              <w:rPr>
                <w:rFonts w:ascii="Segoe UI" w:hAnsi="Segoe UI" w:cs="Segoe UI"/>
                <w:sz w:val="20"/>
                <w:szCs w:val="20"/>
                <w:lang w:val="en-AU" w:eastAsia="en-AU"/>
              </w:rPr>
            </w:pPr>
            <w:r w:rsidRPr="005D1FB1">
              <w:rPr>
                <w:rFonts w:ascii="Segoe UI" w:hAnsi="Segoe UI" w:cs="Segoe UI"/>
                <w:sz w:val="20"/>
                <w:szCs w:val="20"/>
                <w:lang w:val="en-AU" w:eastAsia="en-AU"/>
              </w:rPr>
              <w:t>Yes – if account is also Account Owner</w:t>
            </w:r>
          </w:p>
        </w:tc>
        <w:tc>
          <w:tcPr>
            <w:tcW w:w="3893" w:type="dxa"/>
            <w:hideMark/>
          </w:tcPr>
          <w:p w14:paraId="43CBEBE5" w14:textId="31E92FB1" w:rsidR="00775494" w:rsidRPr="005D1FB1" w:rsidRDefault="00775494" w:rsidP="005D1FB1">
            <w:pPr>
              <w:pStyle w:val="NormalWeb"/>
              <w:rPr>
                <w:rFonts w:ascii="Segoe UI" w:hAnsi="Segoe UI" w:cs="Segoe UI"/>
                <w:sz w:val="20"/>
                <w:szCs w:val="20"/>
                <w:lang w:val="en-AU" w:eastAsia="en-AU"/>
              </w:rPr>
            </w:pPr>
            <w:r w:rsidRPr="005D1FB1">
              <w:rPr>
                <w:rFonts w:ascii="Segoe UI" w:hAnsi="Segoe UI" w:cs="Segoe UI"/>
                <w:sz w:val="20"/>
                <w:szCs w:val="20"/>
                <w:lang w:val="en-AU" w:eastAsia="en-AU"/>
              </w:rPr>
              <w:t xml:space="preserve">Yes – if account is also the Service </w:t>
            </w:r>
            <w:r w:rsidR="005D1FB1">
              <w:rPr>
                <w:rFonts w:ascii="Segoe UI" w:hAnsi="Segoe UI" w:cs="Segoe UI"/>
                <w:sz w:val="20"/>
                <w:szCs w:val="20"/>
                <w:lang w:val="en-AU" w:eastAsia="en-AU"/>
              </w:rPr>
              <w:t>A</w:t>
            </w:r>
            <w:r w:rsidRPr="005D1FB1">
              <w:rPr>
                <w:rFonts w:ascii="Segoe UI" w:hAnsi="Segoe UI" w:cs="Segoe UI"/>
                <w:sz w:val="20"/>
                <w:szCs w:val="20"/>
                <w:lang w:val="en-AU" w:eastAsia="en-AU"/>
              </w:rPr>
              <w:t>dministrator or Co-administrator</w:t>
            </w:r>
          </w:p>
        </w:tc>
      </w:tr>
      <w:tr w:rsidR="00775494" w14:paraId="02AED4C4" w14:textId="77777777" w:rsidTr="00792D99">
        <w:tc>
          <w:tcPr>
            <w:tcW w:w="1663" w:type="dxa"/>
          </w:tcPr>
          <w:p w14:paraId="5C92F707" w14:textId="5B88901E" w:rsidR="00775494" w:rsidRPr="00C17379" w:rsidRDefault="00775494" w:rsidP="00775494">
            <w:pPr>
              <w:pStyle w:val="NormalWeb"/>
              <w:rPr>
                <w:rFonts w:ascii="Segoe UI" w:hAnsi="Segoe UI" w:cs="Segoe UI"/>
                <w:b/>
                <w:bCs/>
                <w:sz w:val="20"/>
                <w:szCs w:val="20"/>
                <w:lang w:val="en-AU" w:eastAsia="en-AU"/>
              </w:rPr>
            </w:pPr>
            <w:r w:rsidRPr="00C17379">
              <w:rPr>
                <w:rFonts w:ascii="Segoe UI" w:hAnsi="Segoe UI" w:cs="Segoe UI"/>
                <w:b/>
                <w:bCs/>
                <w:sz w:val="20"/>
                <w:szCs w:val="20"/>
                <w:lang w:val="en-AU" w:eastAsia="en-AU"/>
              </w:rPr>
              <w:t>Account Owner</w:t>
            </w:r>
          </w:p>
        </w:tc>
        <w:tc>
          <w:tcPr>
            <w:tcW w:w="1589" w:type="dxa"/>
          </w:tcPr>
          <w:p w14:paraId="4065D1A3" w14:textId="51E48B2C" w:rsidR="00775494" w:rsidRPr="005D1FB1" w:rsidRDefault="00775494" w:rsidP="00775494">
            <w:pPr>
              <w:pStyle w:val="NormalWeb"/>
              <w:rPr>
                <w:rFonts w:ascii="Segoe UI" w:hAnsi="Segoe UI" w:cs="Segoe UI"/>
                <w:sz w:val="20"/>
                <w:szCs w:val="20"/>
                <w:lang w:val="en-AU" w:eastAsia="en-AU"/>
              </w:rPr>
            </w:pPr>
            <w:r w:rsidRPr="005D1FB1">
              <w:rPr>
                <w:rFonts w:ascii="Segoe UI" w:hAnsi="Segoe UI" w:cs="Segoe UI"/>
                <w:sz w:val="20"/>
                <w:szCs w:val="20"/>
                <w:lang w:val="en-AU" w:eastAsia="en-AU"/>
              </w:rPr>
              <w:t>Yes – limited access if provided by Enterprise Administrator</w:t>
            </w:r>
          </w:p>
        </w:tc>
        <w:tc>
          <w:tcPr>
            <w:tcW w:w="2210" w:type="dxa"/>
            <w:hideMark/>
          </w:tcPr>
          <w:p w14:paraId="1627BDDC" w14:textId="64D74576" w:rsidR="00775494" w:rsidRPr="005D1FB1" w:rsidRDefault="00775494" w:rsidP="00775494">
            <w:pPr>
              <w:pStyle w:val="NormalWeb"/>
              <w:rPr>
                <w:rFonts w:ascii="Segoe UI" w:hAnsi="Segoe UI" w:cs="Segoe UI"/>
                <w:sz w:val="20"/>
                <w:szCs w:val="20"/>
                <w:lang w:val="en-AU" w:eastAsia="en-AU"/>
              </w:rPr>
            </w:pPr>
            <w:r w:rsidRPr="005D1FB1">
              <w:rPr>
                <w:rFonts w:ascii="Segoe UI" w:hAnsi="Segoe UI" w:cs="Segoe UI"/>
                <w:sz w:val="20"/>
                <w:szCs w:val="20"/>
                <w:lang w:val="en-AU" w:eastAsia="en-AU"/>
              </w:rPr>
              <w:t>Yes</w:t>
            </w:r>
          </w:p>
        </w:tc>
        <w:tc>
          <w:tcPr>
            <w:tcW w:w="3893" w:type="dxa"/>
            <w:hideMark/>
          </w:tcPr>
          <w:p w14:paraId="0DAB60D7" w14:textId="5E9CFEF9" w:rsidR="00775494" w:rsidRPr="005D1FB1" w:rsidRDefault="00775494" w:rsidP="005D1FB1">
            <w:pPr>
              <w:pStyle w:val="NormalWeb"/>
              <w:rPr>
                <w:rFonts w:ascii="Segoe UI" w:hAnsi="Segoe UI" w:cs="Segoe UI"/>
                <w:sz w:val="20"/>
                <w:szCs w:val="20"/>
                <w:lang w:val="en-AU" w:eastAsia="en-AU"/>
              </w:rPr>
            </w:pPr>
            <w:r w:rsidRPr="005D1FB1">
              <w:rPr>
                <w:rFonts w:ascii="Segoe UI" w:hAnsi="Segoe UI" w:cs="Segoe UI"/>
                <w:sz w:val="20"/>
                <w:szCs w:val="20"/>
                <w:lang w:val="en-AU" w:eastAsia="en-AU"/>
              </w:rPr>
              <w:t xml:space="preserve">Yes – if account is also the Service </w:t>
            </w:r>
            <w:r w:rsidR="005D1FB1">
              <w:rPr>
                <w:rFonts w:ascii="Segoe UI" w:hAnsi="Segoe UI" w:cs="Segoe UI"/>
                <w:sz w:val="20"/>
                <w:szCs w:val="20"/>
                <w:lang w:val="en-AU" w:eastAsia="en-AU"/>
              </w:rPr>
              <w:t>A</w:t>
            </w:r>
            <w:r w:rsidRPr="005D1FB1">
              <w:rPr>
                <w:rFonts w:ascii="Segoe UI" w:hAnsi="Segoe UI" w:cs="Segoe UI"/>
                <w:sz w:val="20"/>
                <w:szCs w:val="20"/>
                <w:lang w:val="en-AU" w:eastAsia="en-AU"/>
              </w:rPr>
              <w:t>dministrator or Co-administrator</w:t>
            </w:r>
          </w:p>
        </w:tc>
      </w:tr>
      <w:tr w:rsidR="00775494" w14:paraId="097AA15F" w14:textId="77777777" w:rsidTr="00792D99">
        <w:trPr>
          <w:cnfStyle w:val="000000100000" w:firstRow="0" w:lastRow="0" w:firstColumn="0" w:lastColumn="0" w:oddVBand="0" w:evenVBand="0" w:oddHBand="1" w:evenHBand="0" w:firstRowFirstColumn="0" w:firstRowLastColumn="0" w:lastRowFirstColumn="0" w:lastRowLastColumn="0"/>
        </w:trPr>
        <w:tc>
          <w:tcPr>
            <w:tcW w:w="1663" w:type="dxa"/>
          </w:tcPr>
          <w:p w14:paraId="79D409B5" w14:textId="210DB793" w:rsidR="00775494" w:rsidRPr="00C17379" w:rsidRDefault="00775494" w:rsidP="00775494">
            <w:pPr>
              <w:pStyle w:val="NormalWeb"/>
              <w:rPr>
                <w:rFonts w:ascii="Segoe UI" w:hAnsi="Segoe UI" w:cs="Segoe UI"/>
                <w:b/>
                <w:bCs/>
                <w:sz w:val="20"/>
                <w:szCs w:val="20"/>
                <w:lang w:val="en-AU" w:eastAsia="en-AU"/>
              </w:rPr>
            </w:pPr>
            <w:r w:rsidRPr="00C17379">
              <w:rPr>
                <w:rFonts w:ascii="Segoe UI" w:hAnsi="Segoe UI" w:cs="Segoe UI"/>
                <w:b/>
                <w:bCs/>
                <w:sz w:val="20"/>
                <w:szCs w:val="20"/>
                <w:lang w:val="en-AU" w:eastAsia="en-AU"/>
              </w:rPr>
              <w:t>Service Administrator</w:t>
            </w:r>
          </w:p>
        </w:tc>
        <w:tc>
          <w:tcPr>
            <w:tcW w:w="1589" w:type="dxa"/>
          </w:tcPr>
          <w:p w14:paraId="2B2B05B5" w14:textId="7E115C2B" w:rsidR="00775494" w:rsidRPr="005D1FB1" w:rsidRDefault="00775494" w:rsidP="00775494">
            <w:pPr>
              <w:pStyle w:val="NormalWeb"/>
              <w:rPr>
                <w:rFonts w:ascii="Segoe UI" w:hAnsi="Segoe UI" w:cs="Segoe UI"/>
                <w:sz w:val="20"/>
                <w:szCs w:val="20"/>
                <w:lang w:val="en-AU" w:eastAsia="en-AU"/>
              </w:rPr>
            </w:pPr>
            <w:r w:rsidRPr="005D1FB1">
              <w:rPr>
                <w:rFonts w:ascii="Segoe UI" w:hAnsi="Segoe UI" w:cs="Segoe UI"/>
                <w:sz w:val="20"/>
                <w:szCs w:val="20"/>
                <w:lang w:val="en-AU" w:eastAsia="en-AU"/>
              </w:rPr>
              <w:t>No</w:t>
            </w:r>
          </w:p>
        </w:tc>
        <w:tc>
          <w:tcPr>
            <w:tcW w:w="2210" w:type="dxa"/>
          </w:tcPr>
          <w:p w14:paraId="082504F6" w14:textId="18DFC121" w:rsidR="00775494" w:rsidRPr="005D1FB1" w:rsidRDefault="00CF434D" w:rsidP="00775494">
            <w:pPr>
              <w:pStyle w:val="NormalWeb"/>
              <w:rPr>
                <w:rFonts w:ascii="Segoe UI" w:hAnsi="Segoe UI" w:cs="Segoe UI"/>
                <w:sz w:val="20"/>
                <w:szCs w:val="20"/>
                <w:lang w:val="en-AU" w:eastAsia="en-AU"/>
              </w:rPr>
            </w:pPr>
            <w:r w:rsidRPr="005D1FB1">
              <w:rPr>
                <w:rFonts w:ascii="Segoe UI" w:hAnsi="Segoe UI" w:cs="Segoe UI"/>
                <w:sz w:val="20"/>
                <w:szCs w:val="20"/>
                <w:lang w:val="en-AU" w:eastAsia="en-AU"/>
              </w:rPr>
              <w:t>No</w:t>
            </w:r>
          </w:p>
        </w:tc>
        <w:tc>
          <w:tcPr>
            <w:tcW w:w="3893" w:type="dxa"/>
          </w:tcPr>
          <w:p w14:paraId="0E771559" w14:textId="32D0723D" w:rsidR="00775494" w:rsidRPr="005D1FB1" w:rsidRDefault="00775494" w:rsidP="00775494">
            <w:pPr>
              <w:pStyle w:val="NormalWeb"/>
              <w:rPr>
                <w:rFonts w:ascii="Segoe UI" w:hAnsi="Segoe UI" w:cs="Segoe UI"/>
                <w:sz w:val="20"/>
                <w:szCs w:val="20"/>
                <w:lang w:val="en-AU" w:eastAsia="en-AU"/>
              </w:rPr>
            </w:pPr>
            <w:r w:rsidRPr="005D1FB1">
              <w:rPr>
                <w:rFonts w:ascii="Segoe UI" w:hAnsi="Segoe UI" w:cs="Segoe UI"/>
                <w:sz w:val="20"/>
                <w:szCs w:val="20"/>
                <w:lang w:val="en-AU" w:eastAsia="en-AU"/>
              </w:rPr>
              <w:t>Yes</w:t>
            </w:r>
          </w:p>
        </w:tc>
      </w:tr>
    </w:tbl>
    <w:p w14:paraId="53018A70" w14:textId="60D18B71" w:rsidR="008E0B8C" w:rsidRDefault="008E0B8C" w:rsidP="008E0B8C"/>
    <w:p w14:paraId="0BD7C87C" w14:textId="182B3E07" w:rsidR="00060DD5" w:rsidRDefault="00060DD5" w:rsidP="005729D2">
      <w:pPr>
        <w:pStyle w:val="Heading4Numbered"/>
        <w:numPr>
          <w:ilvl w:val="3"/>
          <w:numId w:val="64"/>
        </w:numPr>
      </w:pPr>
      <w:r>
        <w:t xml:space="preserve">Partner Center Portal </w:t>
      </w:r>
    </w:p>
    <w:p w14:paraId="6B1D0F0D" w14:textId="6A075853" w:rsidR="00060DD5" w:rsidRDefault="00060DD5" w:rsidP="00060DD5">
      <w:r w:rsidRPr="005B1C29">
        <w:t xml:space="preserve">Partner Center Portal is the primary destination for Cloud Solution Providers (CSPs) to onboard customers, resell </w:t>
      </w:r>
      <w:r w:rsidR="005D1FB1">
        <w:t>first party</w:t>
      </w:r>
      <w:r w:rsidRPr="005B1C29">
        <w:t xml:space="preserve"> and third party services, onboard customers</w:t>
      </w:r>
      <w:r w:rsidR="005D1FB1">
        <w:t>,</w:t>
      </w:r>
      <w:r w:rsidRPr="005B1C29">
        <w:t xml:space="preserve"> and manage customer services. It also provides access</w:t>
      </w:r>
      <w:r>
        <w:t xml:space="preserve"> to billing data, powerful analytics</w:t>
      </w:r>
      <w:r w:rsidR="005D1FB1">
        <w:t>,</w:t>
      </w:r>
      <w:r>
        <w:t xml:space="preserve"> and tools that enable upsell</w:t>
      </w:r>
      <w:r w:rsidR="005D1FB1">
        <w:t xml:space="preserve"> and</w:t>
      </w:r>
      <w:r>
        <w:t xml:space="preserve"> cross sell for Cloud Solution Provider partners.</w:t>
      </w:r>
      <w:r w:rsidR="005B1C29">
        <w:t xml:space="preserve"> </w:t>
      </w:r>
      <w:r>
        <w:t xml:space="preserve">The following sequence </w:t>
      </w:r>
      <w:r w:rsidR="005D1FB1">
        <w:t xml:space="preserve">of steps </w:t>
      </w:r>
      <w:r>
        <w:t xml:space="preserve">demonstrate the onboarding process of new customer to </w:t>
      </w:r>
      <w:r w:rsidR="005D1FB1">
        <w:t xml:space="preserve">the </w:t>
      </w:r>
      <w:r>
        <w:t>Azure platform as a CSP-managed entity:</w:t>
      </w:r>
    </w:p>
    <w:p w14:paraId="428C00A7" w14:textId="14767307" w:rsidR="005B1C29" w:rsidRDefault="005B1C29" w:rsidP="00060DD5"/>
    <w:p w14:paraId="336067AF" w14:textId="36D28E54" w:rsidR="005B1C29" w:rsidRDefault="005B1C29" w:rsidP="00060DD5">
      <w:r>
        <w:rPr>
          <w:noProof/>
        </w:rPr>
        <w:drawing>
          <wp:inline distT="0" distB="0" distL="0" distR="0" wp14:anchorId="7F6DB3DA" wp14:editId="0B36D7C5">
            <wp:extent cx="5943600" cy="1826895"/>
            <wp:effectExtent l="0" t="0" r="0" b="190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43600" cy="1826895"/>
                    </a:xfrm>
                    <a:prstGeom prst="rect">
                      <a:avLst/>
                    </a:prstGeom>
                  </pic:spPr>
                </pic:pic>
              </a:graphicData>
            </a:graphic>
          </wp:inline>
        </w:drawing>
      </w:r>
    </w:p>
    <w:p w14:paraId="70C0FDB9" w14:textId="661BCB00" w:rsidR="005B1C29" w:rsidRDefault="005B1C29" w:rsidP="00060DD5">
      <w:r>
        <w:rPr>
          <w:noProof/>
        </w:rPr>
        <w:drawing>
          <wp:inline distT="0" distB="0" distL="0" distR="0" wp14:anchorId="53479E28" wp14:editId="5200692C">
            <wp:extent cx="5943600" cy="2005330"/>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3600" cy="2005330"/>
                    </a:xfrm>
                    <a:prstGeom prst="rect">
                      <a:avLst/>
                    </a:prstGeom>
                  </pic:spPr>
                </pic:pic>
              </a:graphicData>
            </a:graphic>
          </wp:inline>
        </w:drawing>
      </w:r>
    </w:p>
    <w:p w14:paraId="6710614A" w14:textId="4C923255" w:rsidR="008E0B8C" w:rsidRDefault="0005052A" w:rsidP="005729D2">
      <w:pPr>
        <w:pStyle w:val="Heading3Numbered"/>
        <w:numPr>
          <w:ilvl w:val="2"/>
          <w:numId w:val="64"/>
        </w:numPr>
      </w:pPr>
      <w:bookmarkStart w:id="1064" w:name="_Toc417935704"/>
      <w:bookmarkStart w:id="1065" w:name="_Toc417936166"/>
      <w:bookmarkStart w:id="1066" w:name="_Toc417947052"/>
      <w:bookmarkStart w:id="1067" w:name="_Toc417982429"/>
      <w:bookmarkStart w:id="1068" w:name="_Toc417985852"/>
      <w:bookmarkStart w:id="1069" w:name="_Toc418000578"/>
      <w:bookmarkStart w:id="1070" w:name="_Toc418003720"/>
      <w:bookmarkStart w:id="1071" w:name="_Toc418011928"/>
      <w:bookmarkStart w:id="1072" w:name="_Toc418014576"/>
      <w:bookmarkStart w:id="1073" w:name="_Toc418014439"/>
      <w:bookmarkStart w:id="1074" w:name="_Toc418029912"/>
      <w:bookmarkStart w:id="1075" w:name="_Toc418036849"/>
      <w:bookmarkStart w:id="1076" w:name="_Toc418061314"/>
      <w:bookmarkStart w:id="1077" w:name="_Toc418080662"/>
      <w:bookmarkStart w:id="1078" w:name="_Toc418081836"/>
      <w:bookmarkStart w:id="1079" w:name="_Toc418083238"/>
      <w:bookmarkStart w:id="1080" w:name="_Toc418095457"/>
      <w:bookmarkStart w:id="1081" w:name="_Toc418156625"/>
      <w:bookmarkStart w:id="1082" w:name="_Toc418167549"/>
      <w:bookmarkStart w:id="1083" w:name="_Toc418185805"/>
      <w:bookmarkStart w:id="1084" w:name="_Toc422941513"/>
      <w:bookmarkStart w:id="1085" w:name="_Toc423116719"/>
      <w:bookmarkStart w:id="1086" w:name="_Toc423117752"/>
      <w:bookmarkStart w:id="1087" w:name="_Toc423117202"/>
      <w:bookmarkStart w:id="1088" w:name="_Toc431288788"/>
      <w:r>
        <w:t xml:space="preserve">Additional Role </w:t>
      </w:r>
      <w:r w:rsidR="008E0B8C">
        <w:t>Considerations</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33A9C282" w14:textId="4DFFC715" w:rsidR="006244EE" w:rsidRPr="00471404" w:rsidRDefault="0005052A" w:rsidP="00C17379">
      <w:r>
        <w:t>The following considerations are provided for the operational roles identified within this section:</w:t>
      </w:r>
    </w:p>
    <w:p w14:paraId="1F404419" w14:textId="77777777" w:rsidR="00DB3BAA" w:rsidRDefault="00DB3BAA" w:rsidP="005729D2">
      <w:pPr>
        <w:pStyle w:val="ListParagraph"/>
        <w:numPr>
          <w:ilvl w:val="0"/>
          <w:numId w:val="58"/>
        </w:numPr>
      </w:pPr>
      <w:r>
        <w:t>By default, the Account Owner will be the Service Administrator on any new subscriptions. The Service Administrator can be updated to any other eligible ID in the Account Portal.</w:t>
      </w:r>
    </w:p>
    <w:p w14:paraId="7F81291B" w14:textId="77777777" w:rsidR="00DB3BAA" w:rsidRDefault="00DB3BAA" w:rsidP="005729D2">
      <w:pPr>
        <w:pStyle w:val="ListParagraph"/>
        <w:numPr>
          <w:ilvl w:val="0"/>
          <w:numId w:val="58"/>
        </w:numPr>
      </w:pPr>
      <w:r>
        <w:t>For subscriptions created by a Microsoft Account Owner, the Service Administrators and Co-Administrators must also be Microsoft Accounts. For subscriptions created by an Organization Account, either type of Microsoft Account or Organization ID may be used for the Service Administrators and/or Co-Administrators.</w:t>
      </w:r>
    </w:p>
    <w:p w14:paraId="1912E03B" w14:textId="77777777" w:rsidR="00DB3BAA" w:rsidRDefault="00DB3BAA" w:rsidP="005729D2">
      <w:pPr>
        <w:pStyle w:val="ListParagraph"/>
        <w:numPr>
          <w:ilvl w:val="0"/>
          <w:numId w:val="58"/>
        </w:numPr>
      </w:pPr>
      <w:r>
        <w:t>Discounted Offer Subscribers (MSDN, BizSpark, Microsoft Action Pack) – When associating an ID that is receiving one of these listed benefits as an Account Owner, the benefit will be lost, but can it be recovered. This is not the case when associating an ID as an Enterprise Administrator or Co-Administrator on a subscription.</w:t>
      </w:r>
    </w:p>
    <w:p w14:paraId="0430EECF" w14:textId="77777777" w:rsidR="00DB3BAA" w:rsidRDefault="00DB3BAA" w:rsidP="005729D2">
      <w:pPr>
        <w:pStyle w:val="ListParagraph"/>
        <w:numPr>
          <w:ilvl w:val="0"/>
          <w:numId w:val="58"/>
        </w:numPr>
      </w:pPr>
      <w:r>
        <w:t xml:space="preserve">By default, each new subscription is named </w:t>
      </w:r>
      <w:r>
        <w:rPr>
          <w:b/>
        </w:rPr>
        <w:t>Microsoft Azure Enterprise</w:t>
      </w:r>
      <w:r>
        <w:t xml:space="preserve">. It is best practice to rename it to something more unique so that each subscription can be identified by name when you are managing them. See the following section about Azure subscriptions for information about subscriptions and naming conventions. </w:t>
      </w:r>
    </w:p>
    <w:p w14:paraId="7E67144D" w14:textId="64463797" w:rsidR="008E0B8C" w:rsidRDefault="00DB3BAA" w:rsidP="005729D2">
      <w:pPr>
        <w:pStyle w:val="ListParagraph"/>
        <w:numPr>
          <w:ilvl w:val="0"/>
          <w:numId w:val="58"/>
        </w:numPr>
      </w:pPr>
      <w:r>
        <w:t xml:space="preserve">When you first activate an Enterprise Azure enrollment, we recommend that the customer request a concierge onboarding meeting so staff can provide an overview of Enterprise Azure and answer any questions. To request this onboarding session, use the following URL: </w:t>
      </w:r>
      <w:hyperlink r:id="rId65" w:history="1">
        <w:r w:rsidRPr="00607292">
          <w:rPr>
            <w:rStyle w:val="Hyperlink"/>
          </w:rPr>
          <w:t>http://aka.ms/AzureEntSupport</w:t>
        </w:r>
      </w:hyperlink>
      <w:r>
        <w:rPr>
          <w:rStyle w:val="Hyperlink"/>
        </w:rPr>
        <w:t>.</w:t>
      </w:r>
      <w:r>
        <w:t xml:space="preserve"> Choose the problem type </w:t>
      </w:r>
      <w:r w:rsidRPr="00F060EA">
        <w:rPr>
          <w:b/>
        </w:rPr>
        <w:t>Onboarding</w:t>
      </w:r>
      <w:r>
        <w:t xml:space="preserve">, and for the category choose </w:t>
      </w:r>
      <w:r>
        <w:rPr>
          <w:b/>
        </w:rPr>
        <w:t>Scheduling a Customer Onboarding Call.</w:t>
      </w:r>
    </w:p>
    <w:p w14:paraId="6C2F15E3" w14:textId="3BA60AE5" w:rsidR="00062059" w:rsidRDefault="00252937" w:rsidP="005729D2">
      <w:pPr>
        <w:pStyle w:val="Heading2Numbered"/>
        <w:numPr>
          <w:ilvl w:val="1"/>
          <w:numId w:val="64"/>
        </w:numPr>
      </w:pPr>
      <w:bookmarkStart w:id="1089" w:name="_Toc417934350"/>
      <w:bookmarkStart w:id="1090" w:name="_Toc417947053"/>
      <w:bookmarkStart w:id="1091" w:name="_Toc417982430"/>
      <w:bookmarkStart w:id="1092" w:name="_Toc417985853"/>
      <w:bookmarkStart w:id="1093" w:name="_Toc418000579"/>
      <w:bookmarkStart w:id="1094" w:name="_Toc418003721"/>
      <w:bookmarkStart w:id="1095" w:name="_Toc418011929"/>
      <w:bookmarkStart w:id="1096" w:name="_Toc418014440"/>
      <w:bookmarkStart w:id="1097" w:name="_Toc418029913"/>
      <w:bookmarkStart w:id="1098" w:name="_Toc418036850"/>
      <w:bookmarkStart w:id="1099" w:name="_Toc418061315"/>
      <w:bookmarkStart w:id="1100" w:name="_Toc418080663"/>
      <w:bookmarkStart w:id="1101" w:name="_Toc418081837"/>
      <w:bookmarkStart w:id="1102" w:name="_Toc418083239"/>
      <w:bookmarkStart w:id="1103" w:name="_Toc418095458"/>
      <w:bookmarkStart w:id="1104" w:name="_Toc418156626"/>
      <w:bookmarkStart w:id="1105" w:name="_Toc418167550"/>
      <w:bookmarkStart w:id="1106" w:name="_Toc418185806"/>
      <w:bookmarkStart w:id="1107" w:name="_Toc422941514"/>
      <w:bookmarkStart w:id="1108" w:name="_Toc423116720"/>
      <w:bookmarkStart w:id="1109" w:name="_Toc423117753"/>
      <w:bookmarkStart w:id="1110" w:name="_Toc423117203"/>
      <w:bookmarkStart w:id="1111" w:name="_Toc431288789"/>
      <w:r>
        <w:t>Azure Subscription</w:t>
      </w:r>
      <w:r w:rsidR="00062059">
        <w:t>s</w:t>
      </w:r>
      <w:bookmarkEnd w:id="947"/>
      <w:bookmarkEnd w:id="948"/>
      <w:bookmarkEnd w:id="949"/>
      <w:bookmarkEnd w:id="950"/>
      <w:bookmarkEnd w:id="951"/>
      <w:bookmarkEnd w:id="952"/>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23"/>
      <w:bookmarkEnd w:id="1024"/>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246475B2" w14:textId="436A1685" w:rsidR="00252937" w:rsidRDefault="00252937" w:rsidP="005729D2">
      <w:pPr>
        <w:pStyle w:val="Heading3Numbered"/>
        <w:numPr>
          <w:ilvl w:val="2"/>
          <w:numId w:val="64"/>
        </w:numPr>
      </w:pPr>
      <w:bookmarkStart w:id="1112" w:name="_Toc417481881"/>
      <w:bookmarkStart w:id="1113" w:name="_Toc417482139"/>
      <w:bookmarkStart w:id="1114" w:name="_Toc417499858"/>
      <w:bookmarkStart w:id="1115" w:name="_Toc417502680"/>
      <w:bookmarkStart w:id="1116" w:name="_Toc417548220"/>
      <w:bookmarkStart w:id="1117" w:name="_Toc417594452"/>
      <w:bookmarkStart w:id="1118" w:name="_Toc417934351"/>
      <w:bookmarkStart w:id="1119" w:name="_Toc417935690"/>
      <w:bookmarkStart w:id="1120" w:name="_Toc417936152"/>
      <w:bookmarkStart w:id="1121" w:name="_Toc417947054"/>
      <w:bookmarkStart w:id="1122" w:name="_Toc417982431"/>
      <w:bookmarkStart w:id="1123" w:name="_Toc417985854"/>
      <w:bookmarkStart w:id="1124" w:name="_Toc418000580"/>
      <w:bookmarkStart w:id="1125" w:name="_Toc418003722"/>
      <w:bookmarkStart w:id="1126" w:name="_Toc418011930"/>
      <w:bookmarkStart w:id="1127" w:name="_Toc418014578"/>
      <w:bookmarkStart w:id="1128" w:name="_Toc418014441"/>
      <w:bookmarkStart w:id="1129" w:name="_Toc418029914"/>
      <w:bookmarkStart w:id="1130" w:name="_Toc418036851"/>
      <w:bookmarkStart w:id="1131" w:name="_Toc418061316"/>
      <w:bookmarkStart w:id="1132" w:name="_Toc418080664"/>
      <w:bookmarkStart w:id="1133" w:name="_Toc418081838"/>
      <w:bookmarkStart w:id="1134" w:name="_Toc418083240"/>
      <w:bookmarkStart w:id="1135" w:name="_Toc418095459"/>
      <w:bookmarkStart w:id="1136" w:name="_Toc418156627"/>
      <w:bookmarkStart w:id="1137" w:name="_Toc418167551"/>
      <w:bookmarkStart w:id="1138" w:name="_Toc418185807"/>
      <w:bookmarkStart w:id="1139" w:name="_Toc422941515"/>
      <w:bookmarkStart w:id="1140" w:name="_Toc423116721"/>
      <w:bookmarkStart w:id="1141" w:name="_Toc423117754"/>
      <w:bookmarkStart w:id="1142" w:name="_Toc423117204"/>
      <w:bookmarkStart w:id="1143" w:name="_Toc431288790"/>
      <w:r>
        <w:t xml:space="preserve">What is a </w:t>
      </w:r>
      <w:r w:rsidR="009E2F42">
        <w:t>Subscription</w:t>
      </w:r>
      <w:r>
        <w:t>?</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3E7BDA56" w14:textId="21F8E56B" w:rsidR="00C44EE6" w:rsidRDefault="00C6106D" w:rsidP="00466614">
      <w:pPr>
        <w:spacing w:before="0" w:after="160" w:line="259" w:lineRule="auto"/>
      </w:pPr>
      <w:r>
        <w:t>Initially</w:t>
      </w:r>
      <w:r w:rsidR="00C44EE6">
        <w:t xml:space="preserve">, a subscription was the </w:t>
      </w:r>
      <w:r w:rsidR="00C44EE6" w:rsidRPr="00C17379">
        <w:rPr>
          <w:b/>
        </w:rPr>
        <w:t>administrative security boundary</w:t>
      </w:r>
      <w:r w:rsidR="00C44EE6">
        <w:t xml:space="preserve"> of Microsoft Azure. With the advent of the Azure Resource Management (ARM) model, a subscription now has two administrative models: Azure Service Management and Azure Resource Management. With ARM, the subscription is no longer needed as an administrative boundary.</w:t>
      </w:r>
      <w:r>
        <w:t xml:space="preserve">  </w:t>
      </w:r>
    </w:p>
    <w:p w14:paraId="3D03F2D3" w14:textId="5DEBC030" w:rsidR="00252937" w:rsidRDefault="00C6106D" w:rsidP="00466614">
      <w:pPr>
        <w:spacing w:before="0" w:after="160" w:line="259" w:lineRule="auto"/>
      </w:pPr>
      <w:r>
        <w:t>ARM</w:t>
      </w:r>
      <w:r w:rsidR="00C44EE6">
        <w:t xml:space="preserve"> provides a more granular Role-Based Access Control (RBAC) model for assigning administrative privileges at the resource level. RBAC is currently being released in stages with 22 new roles available at this time.</w:t>
      </w:r>
    </w:p>
    <w:p w14:paraId="5B87553A" w14:textId="46660028" w:rsidR="00252937" w:rsidRDefault="00252937" w:rsidP="00466614">
      <w:pPr>
        <w:spacing w:before="0" w:after="160" w:line="259" w:lineRule="auto"/>
      </w:pPr>
      <w:r>
        <w:t>A</w:t>
      </w:r>
      <w:r w:rsidR="00C44EE6">
        <w:t xml:space="preserve"> subscription</w:t>
      </w:r>
      <w:r w:rsidR="00C44EE6" w:rsidDel="008E2E05">
        <w:t xml:space="preserve"> </w:t>
      </w:r>
      <w:r w:rsidR="00C44EE6">
        <w:t xml:space="preserve">additionally forms the </w:t>
      </w:r>
      <w:r w:rsidR="00C44EE6" w:rsidRPr="00C17379">
        <w:rPr>
          <w:b/>
        </w:rPr>
        <w:t>billing unit</w:t>
      </w:r>
      <w:r w:rsidR="00C44EE6">
        <w:t>. Services charges are accrued to the subscription currently. As part of the new Azure Resource Management model, it will be possible to roll up costs to a resource group. A standard naming convention for Azure resource object types can be used to manage billing across projects teams, business units, or other desired view.</w:t>
      </w:r>
    </w:p>
    <w:p w14:paraId="71DD8455" w14:textId="38C173FD" w:rsidR="00252937" w:rsidRDefault="00252937" w:rsidP="00466614">
      <w:pPr>
        <w:spacing w:before="0" w:after="160" w:line="259" w:lineRule="auto"/>
      </w:pPr>
      <w:r>
        <w:t>A</w:t>
      </w:r>
      <w:r w:rsidR="00C44EE6">
        <w:t xml:space="preserve"> subscription is also a </w:t>
      </w:r>
      <w:r w:rsidR="00C44EE6" w:rsidRPr="00671B60">
        <w:t>logical limit of scale by which resources can be allocated</w:t>
      </w:r>
      <w:r w:rsidR="00C44EE6">
        <w:t>. These limits include hard and soft caps of various resource types (for example, 10,000 compute cores per subscription). Scalability is a key element for understanding how the subscription strategy will account for growth as consumption increases.</w:t>
      </w:r>
    </w:p>
    <w:p w14:paraId="4531440F" w14:textId="260C0860" w:rsidR="00D142FA" w:rsidRDefault="0028016B" w:rsidP="005729D2">
      <w:pPr>
        <w:pStyle w:val="Heading3Numbered"/>
        <w:numPr>
          <w:ilvl w:val="2"/>
          <w:numId w:val="64"/>
        </w:numPr>
      </w:pPr>
      <w:bookmarkStart w:id="1144" w:name="_Toc417481882"/>
      <w:bookmarkStart w:id="1145" w:name="_Toc417482140"/>
      <w:bookmarkStart w:id="1146" w:name="_Toc417499859"/>
      <w:bookmarkStart w:id="1147" w:name="_Toc417502681"/>
      <w:bookmarkStart w:id="1148" w:name="_Toc417548221"/>
      <w:bookmarkStart w:id="1149" w:name="_Toc417594453"/>
      <w:bookmarkStart w:id="1150" w:name="_Toc417934352"/>
      <w:bookmarkStart w:id="1151" w:name="_Toc417935691"/>
      <w:bookmarkStart w:id="1152" w:name="_Toc417936153"/>
      <w:bookmarkStart w:id="1153" w:name="_Toc417946815"/>
      <w:bookmarkStart w:id="1154" w:name="_Toc417947055"/>
      <w:bookmarkStart w:id="1155" w:name="_Toc417982432"/>
      <w:bookmarkStart w:id="1156" w:name="_Toc417985855"/>
      <w:bookmarkStart w:id="1157" w:name="_Toc418156628"/>
      <w:bookmarkStart w:id="1158" w:name="_Toc418167552"/>
      <w:bookmarkStart w:id="1159" w:name="_Toc418185808"/>
      <w:bookmarkStart w:id="1160" w:name="_Toc418014579"/>
      <w:bookmarkStart w:id="1161" w:name="_Toc418014442"/>
      <w:bookmarkStart w:id="1162" w:name="_Toc418029915"/>
      <w:bookmarkStart w:id="1163" w:name="_Toc418036852"/>
      <w:bookmarkStart w:id="1164" w:name="_Toc418061317"/>
      <w:bookmarkStart w:id="1165" w:name="_Toc418080665"/>
      <w:bookmarkStart w:id="1166" w:name="_Toc418081839"/>
      <w:bookmarkStart w:id="1167" w:name="_Toc418083241"/>
      <w:bookmarkStart w:id="1168" w:name="_Toc418095460"/>
      <w:bookmarkStart w:id="1169" w:name="_Toc422941516"/>
      <w:bookmarkStart w:id="1170" w:name="_Toc423116722"/>
      <w:bookmarkStart w:id="1171" w:name="_Toc423117755"/>
      <w:bookmarkStart w:id="1172" w:name="_Toc423117205"/>
      <w:bookmarkStart w:id="1173" w:name="_Toc431288791"/>
      <w:bookmarkStart w:id="1174" w:name="_Toc418000581"/>
      <w:bookmarkStart w:id="1175" w:name="_Toc418003723"/>
      <w:bookmarkStart w:id="1176" w:name="_Toc418011931"/>
      <w:r>
        <w:t>Design Considerations</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bookmarkEnd w:id="1174"/>
    <w:bookmarkEnd w:id="1175"/>
    <w:bookmarkEnd w:id="1176"/>
    <w:p w14:paraId="6278AA03" w14:textId="512B3A87" w:rsidR="0047365D" w:rsidRDefault="0047365D" w:rsidP="005729D2">
      <w:pPr>
        <w:pStyle w:val="Heading4Numbered"/>
        <w:numPr>
          <w:ilvl w:val="3"/>
          <w:numId w:val="64"/>
        </w:numPr>
      </w:pPr>
      <w:r>
        <w:t>Assessment</w:t>
      </w:r>
    </w:p>
    <w:p w14:paraId="21A466AA" w14:textId="3283C204" w:rsidR="00C44EE6" w:rsidRDefault="0047365D" w:rsidP="00C44EE6">
      <w:r>
        <w:t>One</w:t>
      </w:r>
      <w:r w:rsidR="00C44EE6">
        <w:t xml:space="preserve"> of the most critical items in the process of designing a subscription is assessing your current environment and needs.</w:t>
      </w:r>
    </w:p>
    <w:p w14:paraId="3B035862" w14:textId="77777777" w:rsidR="00C44EE6" w:rsidRDefault="00C44EE6" w:rsidP="00C44EE6">
      <w:r>
        <w:t>It is critical to develop the Subscription, Network, Storage, Availability, and Administrative models together to have a cohesive approach. Understanding how each component is limited and how each impacts the others is critical to a solution that can scale and be flexible enough to support the needs of the business.</w:t>
      </w:r>
    </w:p>
    <w:p w14:paraId="074DF547" w14:textId="0A626C2A" w:rsidR="0047365D" w:rsidRDefault="00C44EE6" w:rsidP="00C44EE6">
      <w:r>
        <w:t>Specifically, it is important to have a thorough understanding of the following aspects</w:t>
      </w:r>
      <w:r w:rsidR="00A50DDE">
        <w:t>:</w:t>
      </w:r>
      <w:r w:rsidR="0047365D">
        <w:tab/>
      </w:r>
    </w:p>
    <w:p w14:paraId="7C3B8A43" w14:textId="5636DE37" w:rsidR="00A50DDE" w:rsidRPr="00A50DDE" w:rsidRDefault="0047365D" w:rsidP="006D374E">
      <w:pPr>
        <w:keepNext/>
        <w:rPr>
          <w:b/>
        </w:rPr>
      </w:pPr>
      <w:r w:rsidRPr="00A50DDE">
        <w:rPr>
          <w:b/>
        </w:rPr>
        <w:t xml:space="preserve">Identify </w:t>
      </w:r>
      <w:r w:rsidR="00996B50">
        <w:rPr>
          <w:b/>
        </w:rPr>
        <w:t>b</w:t>
      </w:r>
      <w:r w:rsidRPr="00A50DDE">
        <w:rPr>
          <w:b/>
        </w:rPr>
        <w:t xml:space="preserve">usiness </w:t>
      </w:r>
      <w:r w:rsidR="00996B50">
        <w:rPr>
          <w:b/>
        </w:rPr>
        <w:t>r</w:t>
      </w:r>
      <w:r w:rsidRPr="00A50DDE">
        <w:rPr>
          <w:b/>
        </w:rPr>
        <w:t>equirements</w:t>
      </w:r>
    </w:p>
    <w:p w14:paraId="27988720" w14:textId="13343610" w:rsidR="0047365D" w:rsidRDefault="0047365D" w:rsidP="005729D2">
      <w:pPr>
        <w:pStyle w:val="ListParagraph"/>
        <w:numPr>
          <w:ilvl w:val="0"/>
          <w:numId w:val="101"/>
        </w:numPr>
      </w:pPr>
      <w:r>
        <w:t>Availability</w:t>
      </w:r>
    </w:p>
    <w:p w14:paraId="2184AA9F" w14:textId="5B52C3BC" w:rsidR="0047365D" w:rsidRDefault="0047365D" w:rsidP="005729D2">
      <w:pPr>
        <w:pStyle w:val="ListParagraph"/>
        <w:numPr>
          <w:ilvl w:val="0"/>
          <w:numId w:val="101"/>
        </w:numPr>
      </w:pPr>
      <w:r>
        <w:t>Recoverability</w:t>
      </w:r>
    </w:p>
    <w:p w14:paraId="799260FD" w14:textId="112BE89A" w:rsidR="0047365D" w:rsidRDefault="0047365D" w:rsidP="005729D2">
      <w:pPr>
        <w:pStyle w:val="ListParagraph"/>
        <w:numPr>
          <w:ilvl w:val="0"/>
          <w:numId w:val="101"/>
        </w:numPr>
      </w:pPr>
      <w:r>
        <w:t>Performance</w:t>
      </w:r>
    </w:p>
    <w:p w14:paraId="7F9FB1D5" w14:textId="40F98424" w:rsidR="0047365D" w:rsidRPr="00A50DDE" w:rsidRDefault="0047365D" w:rsidP="0047365D">
      <w:pPr>
        <w:rPr>
          <w:b/>
        </w:rPr>
      </w:pPr>
      <w:r w:rsidRPr="00A50DDE">
        <w:rPr>
          <w:b/>
        </w:rPr>
        <w:t>Identify technical requirements</w:t>
      </w:r>
    </w:p>
    <w:p w14:paraId="79159CAC" w14:textId="77777777" w:rsidR="00996B50" w:rsidRDefault="00996B50" w:rsidP="005729D2">
      <w:pPr>
        <w:pStyle w:val="ListParagraph"/>
        <w:numPr>
          <w:ilvl w:val="0"/>
          <w:numId w:val="102"/>
        </w:numPr>
      </w:pPr>
      <w:r>
        <w:t>Is network connectivity a shared resource or dedicated to single use or group?</w:t>
      </w:r>
    </w:p>
    <w:p w14:paraId="4D2868DF" w14:textId="77777777" w:rsidR="00996B50" w:rsidRDefault="00996B50" w:rsidP="005729D2">
      <w:pPr>
        <w:pStyle w:val="ListParagraph"/>
        <w:numPr>
          <w:ilvl w:val="0"/>
          <w:numId w:val="102"/>
        </w:numPr>
      </w:pPr>
      <w:r>
        <w:t>Are there Active Directory requirements?</w:t>
      </w:r>
    </w:p>
    <w:p w14:paraId="4E098203" w14:textId="509236AB" w:rsidR="0047365D" w:rsidRDefault="00996B50" w:rsidP="005729D2">
      <w:pPr>
        <w:pStyle w:val="ListParagraph"/>
        <w:numPr>
          <w:ilvl w:val="0"/>
          <w:numId w:val="102"/>
        </w:numPr>
      </w:pPr>
      <w:r>
        <w:t>Do you need to consider clustering, identity, or management tools?</w:t>
      </w:r>
    </w:p>
    <w:p w14:paraId="5DCD9E3B" w14:textId="795ECFF2" w:rsidR="0047365D" w:rsidRPr="00A50DDE" w:rsidRDefault="0047365D" w:rsidP="0047365D">
      <w:pPr>
        <w:rPr>
          <w:b/>
        </w:rPr>
      </w:pPr>
      <w:r w:rsidRPr="00A50DDE">
        <w:rPr>
          <w:b/>
        </w:rPr>
        <w:t xml:space="preserve">Security </w:t>
      </w:r>
      <w:r w:rsidR="00996B50">
        <w:rPr>
          <w:b/>
        </w:rPr>
        <w:t>r</w:t>
      </w:r>
      <w:r w:rsidRPr="00A50DDE">
        <w:rPr>
          <w:b/>
        </w:rPr>
        <w:t>equirements</w:t>
      </w:r>
    </w:p>
    <w:p w14:paraId="6DBE0681" w14:textId="77777777" w:rsidR="00996B50" w:rsidRDefault="00996B50" w:rsidP="005729D2">
      <w:pPr>
        <w:pStyle w:val="ListParagraph"/>
        <w:numPr>
          <w:ilvl w:val="0"/>
          <w:numId w:val="103"/>
        </w:numPr>
      </w:pPr>
      <w:r>
        <w:t xml:space="preserve">Who are the subscription administrators? </w:t>
      </w:r>
    </w:p>
    <w:p w14:paraId="2E0C70B6" w14:textId="77777777" w:rsidR="00996B50" w:rsidRDefault="00996B50" w:rsidP="005729D2">
      <w:pPr>
        <w:pStyle w:val="ListParagraph"/>
        <w:numPr>
          <w:ilvl w:val="0"/>
          <w:numId w:val="103"/>
        </w:numPr>
      </w:pPr>
      <w:r>
        <w:t>Are the appropriate network connectivity and identity requirements being deployed?</w:t>
      </w:r>
    </w:p>
    <w:p w14:paraId="1D19356B" w14:textId="0FB922AE" w:rsidR="006D374E" w:rsidRDefault="00996B50" w:rsidP="005729D2">
      <w:pPr>
        <w:pStyle w:val="ListParagraph"/>
        <w:numPr>
          <w:ilvl w:val="0"/>
          <w:numId w:val="103"/>
        </w:numPr>
      </w:pPr>
      <w:r>
        <w:t xml:space="preserve">Have you implemented a least privilege administrative model? </w:t>
      </w:r>
    </w:p>
    <w:p w14:paraId="01EDD7BE" w14:textId="7A7C4FAF" w:rsidR="0047365D" w:rsidRPr="00A50DDE" w:rsidRDefault="0047365D" w:rsidP="0047365D">
      <w:pPr>
        <w:rPr>
          <w:b/>
        </w:rPr>
      </w:pPr>
      <w:r w:rsidRPr="00A50DDE">
        <w:rPr>
          <w:b/>
        </w:rPr>
        <w:t xml:space="preserve">Scalability </w:t>
      </w:r>
      <w:r w:rsidR="00996B50">
        <w:rPr>
          <w:b/>
        </w:rPr>
        <w:t>r</w:t>
      </w:r>
      <w:r w:rsidRPr="00A50DDE">
        <w:rPr>
          <w:b/>
        </w:rPr>
        <w:t>equirements</w:t>
      </w:r>
    </w:p>
    <w:p w14:paraId="1C7A3D50" w14:textId="424B4E9B" w:rsidR="0047365D" w:rsidRDefault="0047365D" w:rsidP="005729D2">
      <w:pPr>
        <w:pStyle w:val="ListParagraph"/>
        <w:numPr>
          <w:ilvl w:val="0"/>
          <w:numId w:val="103"/>
        </w:numPr>
      </w:pPr>
      <w:r>
        <w:t>What are the growth plans?</w:t>
      </w:r>
    </w:p>
    <w:p w14:paraId="188EDCC4" w14:textId="5E1365F3" w:rsidR="0047365D" w:rsidRDefault="0047365D" w:rsidP="005729D2">
      <w:pPr>
        <w:pStyle w:val="ListParagraph"/>
        <w:numPr>
          <w:ilvl w:val="0"/>
          <w:numId w:val="103"/>
        </w:numPr>
      </w:pPr>
      <w:r>
        <w:t>How will limited resources be allocated?</w:t>
      </w:r>
    </w:p>
    <w:p w14:paraId="26BA390C" w14:textId="602A093A" w:rsidR="0047365D" w:rsidRDefault="00996B50" w:rsidP="005729D2">
      <w:pPr>
        <w:pStyle w:val="ListParagraph"/>
        <w:numPr>
          <w:ilvl w:val="0"/>
          <w:numId w:val="103"/>
        </w:numPr>
      </w:pPr>
      <w:r>
        <w:t>How will the model evolve over time considering additional users, shared access, and resource limits</w:t>
      </w:r>
      <w:r w:rsidR="0047365D">
        <w:t>?</w:t>
      </w:r>
    </w:p>
    <w:p w14:paraId="176A77FB" w14:textId="79ECAAC5" w:rsidR="00FC7CD4" w:rsidRDefault="00FC7CD4" w:rsidP="00445DE1">
      <w:r>
        <w:rPr>
          <w:b/>
        </w:rPr>
        <w:t xml:space="preserve">Additional </w:t>
      </w:r>
      <w:r w:rsidR="00996B50">
        <w:rPr>
          <w:b/>
        </w:rPr>
        <w:t>c</w:t>
      </w:r>
      <w:r>
        <w:rPr>
          <w:b/>
        </w:rPr>
        <w:t>onsiderations</w:t>
      </w:r>
    </w:p>
    <w:p w14:paraId="61F3B705" w14:textId="098ABC64" w:rsidR="00FB1F7F" w:rsidRDefault="00FB1F7F" w:rsidP="005729D2">
      <w:pPr>
        <w:pStyle w:val="ListParagraph"/>
        <w:numPr>
          <w:ilvl w:val="0"/>
          <w:numId w:val="28"/>
        </w:numPr>
      </w:pPr>
      <w:r>
        <w:t xml:space="preserve">Is the subscription owned by the customer or managed by a </w:t>
      </w:r>
      <w:r w:rsidR="005B1C29">
        <w:t>cloud service provider</w:t>
      </w:r>
      <w:r>
        <w:t>?</w:t>
      </w:r>
    </w:p>
    <w:p w14:paraId="5028E551" w14:textId="77777777" w:rsidR="00996B50" w:rsidRDefault="00996B50" w:rsidP="005729D2">
      <w:pPr>
        <w:pStyle w:val="ListParagraph"/>
        <w:numPr>
          <w:ilvl w:val="0"/>
          <w:numId w:val="28"/>
        </w:numPr>
      </w:pPr>
      <w:r>
        <w:t>Is an Office 365 Azure Active Directory tenant set up?</w:t>
      </w:r>
    </w:p>
    <w:p w14:paraId="4BF22FD7" w14:textId="77777777" w:rsidR="00996B50" w:rsidRDefault="00996B50" w:rsidP="005729D2">
      <w:pPr>
        <w:pStyle w:val="ListParagraph"/>
        <w:numPr>
          <w:ilvl w:val="0"/>
          <w:numId w:val="28"/>
        </w:numPr>
      </w:pPr>
      <w:r>
        <w:t>Are there plans for Office 365 enrollment?</w:t>
      </w:r>
    </w:p>
    <w:p w14:paraId="252215A9" w14:textId="77777777" w:rsidR="00996B50" w:rsidRDefault="00996B50" w:rsidP="005729D2">
      <w:pPr>
        <w:pStyle w:val="ListParagraph"/>
        <w:numPr>
          <w:ilvl w:val="0"/>
          <w:numId w:val="28"/>
        </w:numPr>
      </w:pPr>
      <w:r>
        <w:t>Are there other Azure subscriptions in use?</w:t>
      </w:r>
    </w:p>
    <w:p w14:paraId="27A5C3F8" w14:textId="77777777" w:rsidR="00996B50" w:rsidRDefault="00996B50" w:rsidP="005729D2">
      <w:pPr>
        <w:pStyle w:val="ListParagraph"/>
        <w:numPr>
          <w:ilvl w:val="0"/>
          <w:numId w:val="28"/>
        </w:numPr>
      </w:pPr>
      <w:r>
        <w:t>Have you deployed a trial Azure subscription?</w:t>
      </w:r>
    </w:p>
    <w:p w14:paraId="1D5BD730" w14:textId="77777777" w:rsidR="00996B50" w:rsidRDefault="00996B50" w:rsidP="005729D2">
      <w:pPr>
        <w:pStyle w:val="ListParagraph"/>
        <w:numPr>
          <w:ilvl w:val="0"/>
          <w:numId w:val="28"/>
        </w:numPr>
      </w:pPr>
      <w:r>
        <w:t>Have you run a trial Power BI evaluation?</w:t>
      </w:r>
    </w:p>
    <w:p w14:paraId="675B1AF6" w14:textId="77777777" w:rsidR="00996B50" w:rsidRDefault="00996B50" w:rsidP="005729D2">
      <w:pPr>
        <w:pStyle w:val="ListParagraph"/>
        <w:numPr>
          <w:ilvl w:val="0"/>
          <w:numId w:val="28"/>
        </w:numPr>
      </w:pPr>
      <w:r>
        <w:t>Have you run a RMS evaluation?</w:t>
      </w:r>
    </w:p>
    <w:p w14:paraId="4710D493" w14:textId="2D2636FF" w:rsidR="00445DE1" w:rsidRDefault="00996B50" w:rsidP="005729D2">
      <w:pPr>
        <w:pStyle w:val="ListParagraph"/>
        <w:numPr>
          <w:ilvl w:val="0"/>
          <w:numId w:val="28"/>
        </w:numPr>
      </w:pPr>
      <w:r>
        <w:t>Can you use the desired OrgID *.onmicrosoft.com for company directory</w:t>
      </w:r>
      <w:r w:rsidR="00FC7CD4">
        <w:t>?</w:t>
      </w:r>
    </w:p>
    <w:p w14:paraId="159CF81C" w14:textId="2C3BB7C7" w:rsidR="00427455" w:rsidRDefault="00427455" w:rsidP="009E2F42">
      <w:r>
        <w:t>Many</w:t>
      </w:r>
      <w:r w:rsidR="00996B50">
        <w:t xml:space="preserve"> of the early decisions in architecting and planning an Azure environment and related subscriptions can have an impact on future decisions and designs as the cloud environment grows. As such, it is important to have participation and input from many groups within an organization including networking, security, identity, domain administrators, and IT leadership</w:t>
      </w:r>
      <w:r w:rsidR="009E2F42">
        <w:t>.</w:t>
      </w:r>
    </w:p>
    <w:p w14:paraId="2A2700DD" w14:textId="05A3C152" w:rsidR="00996B50" w:rsidRDefault="00427455" w:rsidP="00996B50">
      <w:r>
        <w:t>Pulling</w:t>
      </w:r>
      <w:r w:rsidR="00996B50">
        <w:t xml:space="preserve"> in specific teams early and having an open dialogue of different perspectives provides a better design and implementation. By ensuring that any objections are exposed early and can be dealt with thoroughly is ideal rather than finding them in the middle of a project so that they have a negative impact on the schedule.</w:t>
      </w:r>
    </w:p>
    <w:p w14:paraId="1B22EBDF" w14:textId="3558DE5A" w:rsidR="009E2F42" w:rsidRDefault="00996B50" w:rsidP="00996B50">
      <w:r>
        <w:t xml:space="preserve">Following is an example subscription design based on a </w:t>
      </w:r>
      <w:r w:rsidRPr="00996B50">
        <w:rPr>
          <w:b/>
        </w:rPr>
        <w:t>subscription per</w:t>
      </w:r>
      <w:r w:rsidRPr="00646743">
        <w:t xml:space="preserve"> </w:t>
      </w:r>
      <w:r w:rsidRPr="00996B50">
        <w:rPr>
          <w:b/>
        </w:rPr>
        <w:t>Organizational Unit</w:t>
      </w:r>
      <w:r w:rsidR="006A1E2A">
        <w:t xml:space="preserve">. </w:t>
      </w:r>
    </w:p>
    <w:p w14:paraId="08BA0FF3" w14:textId="12D52B00" w:rsidR="00427455" w:rsidRDefault="00427455" w:rsidP="00445DE1"/>
    <w:p w14:paraId="074E0453" w14:textId="66849E4E" w:rsidR="00B00F6C" w:rsidRDefault="007C0A29">
      <w:pPr>
        <w:spacing w:before="0" w:after="160" w:line="259" w:lineRule="auto"/>
      </w:pPr>
      <w:r>
        <w:object w:dxaOrig="14791" w:dyaOrig="7111" w14:anchorId="4DBD6686">
          <v:shape id="_x0000_i1027" type="#_x0000_t75" style="width:467.25pt;height:225pt" o:ole="">
            <v:imagedata r:id="rId66" o:title=""/>
          </v:shape>
          <o:OLEObject Type="Embed" ProgID="Visio.Drawing.15" ShapeID="_x0000_i1027" DrawAspect="Content" ObjectID="_1508841455" r:id="rId67"/>
        </w:object>
      </w:r>
    </w:p>
    <w:p w14:paraId="27920FEA" w14:textId="77777777" w:rsidR="00C44212" w:rsidRDefault="00C44212" w:rsidP="00445DE1"/>
    <w:p w14:paraId="6F9407C7" w14:textId="61804E93" w:rsidR="00A50DDE" w:rsidRPr="0047365D" w:rsidRDefault="00996B50" w:rsidP="006D374E">
      <w:pPr>
        <w:keepNext/>
      </w:pPr>
      <w:r>
        <w:t xml:space="preserve">Here is another example subscription design that is based on one </w:t>
      </w:r>
      <w:r w:rsidRPr="00B60561">
        <w:rPr>
          <w:b/>
        </w:rPr>
        <w:t>subscription per environment in the development process of an application</w:t>
      </w:r>
      <w:r w:rsidR="006A1E2A">
        <w:t xml:space="preserve">. </w:t>
      </w:r>
    </w:p>
    <w:p w14:paraId="390B9BCE" w14:textId="474E27ED" w:rsidR="006A1E2A" w:rsidRDefault="00B55EED" w:rsidP="00445DE1">
      <w:r>
        <w:object w:dxaOrig="15121" w:dyaOrig="7111" w14:anchorId="2FC6989F">
          <v:shape id="_x0000_i1028" type="#_x0000_t75" style="width:468pt;height:219pt" o:ole="">
            <v:imagedata r:id="rId68" o:title=""/>
          </v:shape>
          <o:OLEObject Type="Embed" ProgID="Visio.Drawing.15" ShapeID="_x0000_i1028" DrawAspect="Content" ObjectID="_1508841456" r:id="rId69"/>
        </w:object>
      </w:r>
    </w:p>
    <w:p w14:paraId="0B738066" w14:textId="5448D6CA" w:rsidR="00FB1F7F" w:rsidRDefault="00FB1F7F" w:rsidP="00445DE1"/>
    <w:p w14:paraId="74900626" w14:textId="77777777" w:rsidR="00FB1F7F" w:rsidRDefault="00FB1F7F" w:rsidP="00445DE1"/>
    <w:p w14:paraId="00504C2A" w14:textId="2824BECD" w:rsidR="00FB1F7F" w:rsidRDefault="00996B50" w:rsidP="00FB1F7F">
      <w:r>
        <w:t xml:space="preserve">For </w:t>
      </w:r>
      <w:r w:rsidR="00FB1F7F" w:rsidRPr="005B1C29">
        <w:rPr>
          <w:b/>
          <w:u w:val="single"/>
        </w:rPr>
        <w:t>CSP-managed</w:t>
      </w:r>
      <w:r w:rsidR="00FB1F7F">
        <w:t xml:space="preserve"> scenarios</w:t>
      </w:r>
      <w:r w:rsidR="005B1C29">
        <w:t xml:space="preserve">, </w:t>
      </w:r>
      <w:r>
        <w:t xml:space="preserve">here is an example subscription design that illustrates a model for </w:t>
      </w:r>
      <w:r w:rsidRPr="00996B50">
        <w:rPr>
          <w:b/>
        </w:rPr>
        <w:t>o</w:t>
      </w:r>
      <w:r w:rsidR="00FB1F7F" w:rsidRPr="00FB1F7F">
        <w:rPr>
          <w:b/>
        </w:rPr>
        <w:t>ne or</w:t>
      </w:r>
      <w:r w:rsidR="00FB1F7F">
        <w:t xml:space="preserve"> </w:t>
      </w:r>
      <w:r w:rsidR="00FB1F7F" w:rsidRPr="00FB1F7F">
        <w:rPr>
          <w:b/>
        </w:rPr>
        <w:t>more</w:t>
      </w:r>
      <w:r w:rsidR="00FB1F7F">
        <w:t xml:space="preserve"> </w:t>
      </w:r>
      <w:r w:rsidR="00FB1F7F" w:rsidRPr="00C17379">
        <w:rPr>
          <w:b/>
        </w:rPr>
        <w:t xml:space="preserve">subscription </w:t>
      </w:r>
      <w:r w:rsidR="00FB1F7F">
        <w:rPr>
          <w:b/>
        </w:rPr>
        <w:t>per specific customer where a separate service deployment for a given customer may be assigned a dedicated subscription</w:t>
      </w:r>
      <w:r w:rsidR="00FB1F7F">
        <w:t xml:space="preserve">. </w:t>
      </w:r>
    </w:p>
    <w:p w14:paraId="79848D34" w14:textId="77C99E54" w:rsidR="00FB1F7F" w:rsidRPr="0047365D" w:rsidRDefault="00FB1F7F" w:rsidP="00FB1F7F">
      <w:r>
        <w:rPr>
          <w:noProof/>
        </w:rPr>
        <w:drawing>
          <wp:inline distT="0" distB="0" distL="0" distR="0" wp14:anchorId="41A5252A" wp14:editId="74CF9732">
            <wp:extent cx="5732585" cy="2759657"/>
            <wp:effectExtent l="0" t="0" r="1905" b="3175"/>
            <wp:docPr id="830832933" name="Picture 83083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32303" cy="2759521"/>
                    </a:xfrm>
                    <a:prstGeom prst="rect">
                      <a:avLst/>
                    </a:prstGeom>
                    <a:noFill/>
                    <a:ln>
                      <a:noFill/>
                    </a:ln>
                  </pic:spPr>
                </pic:pic>
              </a:graphicData>
            </a:graphic>
          </wp:inline>
        </w:drawing>
      </w:r>
    </w:p>
    <w:p w14:paraId="4AE3A5DE" w14:textId="77777777" w:rsidR="00FB1F7F" w:rsidRPr="0047365D" w:rsidRDefault="00FB1F7F" w:rsidP="00445DE1"/>
    <w:p w14:paraId="1C3DA0C8" w14:textId="034DD953" w:rsidR="00D142FA" w:rsidRDefault="00D142FA" w:rsidP="005729D2">
      <w:pPr>
        <w:pStyle w:val="Heading4Numbered"/>
        <w:numPr>
          <w:ilvl w:val="3"/>
          <w:numId w:val="64"/>
        </w:numPr>
      </w:pPr>
      <w:r>
        <w:t>Administration</w:t>
      </w:r>
    </w:p>
    <w:p w14:paraId="6C2E6882" w14:textId="50AA191E" w:rsidR="00996B50" w:rsidRDefault="00D142FA" w:rsidP="00996B50">
      <w:pPr>
        <w:spacing w:before="0" w:after="160" w:line="259" w:lineRule="auto"/>
      </w:pPr>
      <w:r>
        <w:t>At</w:t>
      </w:r>
      <w:r w:rsidR="00996B50">
        <w:t xml:space="preserve"> its core, a subscription is a logical grouping of services and administration. It is the base unit of administrative granularity and it is used to track and bill service consumption.</w:t>
      </w:r>
    </w:p>
    <w:p w14:paraId="4B6C3E2F" w14:textId="77777777" w:rsidR="00996B50" w:rsidRDefault="00996B50" w:rsidP="00996B50">
      <w:pPr>
        <w:spacing w:before="0" w:after="160" w:line="259" w:lineRule="auto"/>
      </w:pPr>
      <w:r w:rsidRPr="00D142FA">
        <w:rPr>
          <w:noProof/>
        </w:rPr>
        <w:drawing>
          <wp:anchor distT="0" distB="0" distL="114300" distR="114300" simplePos="0" relativeHeight="251646976" behindDoc="0" locked="0" layoutInCell="1" allowOverlap="1" wp14:anchorId="6AEA09E0" wp14:editId="2F89B5C3">
            <wp:simplePos x="0" y="0"/>
            <wp:positionH relativeFrom="margin">
              <wp:align>left</wp:align>
            </wp:positionH>
            <wp:positionV relativeFrom="paragraph">
              <wp:posOffset>1270</wp:posOffset>
            </wp:positionV>
            <wp:extent cx="2358390" cy="1759585"/>
            <wp:effectExtent l="0" t="0" r="3810" b="0"/>
            <wp:wrapSquare wrapText="bothSides"/>
            <wp:docPr id="874593624" name="Picture 874593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358390" cy="1759585"/>
                    </a:xfrm>
                    <a:prstGeom prst="rect">
                      <a:avLst/>
                    </a:prstGeom>
                    <a:noFill/>
                    <a:ln>
                      <a:noFill/>
                    </a:ln>
                  </pic:spPr>
                </pic:pic>
              </a:graphicData>
            </a:graphic>
            <wp14:sizeRelH relativeFrom="margin">
              <wp14:pctWidth>0</wp14:pctWidth>
            </wp14:sizeRelH>
            <wp14:sizeRelV relativeFrom="margin">
              <wp14:pctHeight>0</wp14:pctHeight>
            </wp14:sizeRelV>
          </wp:anchor>
        </w:drawing>
      </w:r>
      <w:r>
        <w:t>Subscription Administrators have the ability to read and download anything stored in an Azure Storage account, including operating system VHDs, SQL Server data disks, and blobs.</w:t>
      </w:r>
    </w:p>
    <w:p w14:paraId="129A6DC3" w14:textId="77777777" w:rsidR="00996B50" w:rsidRDefault="00996B50" w:rsidP="00996B50">
      <w:pPr>
        <w:spacing w:before="0" w:after="160" w:line="259" w:lineRule="auto"/>
      </w:pPr>
      <w:r>
        <w:t>Subscription Administrators can stop, start, provision and delete existing and new services.</w:t>
      </w:r>
    </w:p>
    <w:p w14:paraId="49719FC4" w14:textId="77777777" w:rsidR="00996B50" w:rsidRDefault="00996B50" w:rsidP="00996B50">
      <w:pPr>
        <w:spacing w:before="0" w:after="160" w:line="259" w:lineRule="auto"/>
      </w:pPr>
      <w:r>
        <w:t>Subscription Administrators can grant co-administrative access to new users.</w:t>
      </w:r>
    </w:p>
    <w:p w14:paraId="1613E094" w14:textId="615CB2BB" w:rsidR="00D142FA" w:rsidRDefault="00996B50" w:rsidP="00996B50">
      <w:pPr>
        <w:spacing w:before="0" w:after="160" w:line="259" w:lineRule="auto"/>
      </w:pPr>
      <w:r>
        <w:t>All of these capabilities require careful consideration for who is given these rights in the subscription. Domain administrators have a similar situation regarding the level of rights and the need to carefully choose who has these rights.</w:t>
      </w:r>
    </w:p>
    <w:p w14:paraId="09970931" w14:textId="3F77D0E0" w:rsidR="00EF6F5C" w:rsidRDefault="00EF6F5C" w:rsidP="00EF6F5C">
      <w:r>
        <w:t xml:space="preserve">In CSP-specific scenarios, customer </w:t>
      </w:r>
      <w:r w:rsidRPr="007F24E3">
        <w:t>subscription</w:t>
      </w:r>
      <w:r>
        <w:t xml:space="preserve">s are often </w:t>
      </w:r>
      <w:r w:rsidRPr="007F24E3">
        <w:t>created, owned and managed by the service provider</w:t>
      </w:r>
      <w:r>
        <w:t xml:space="preserve"> who then designates </w:t>
      </w:r>
      <w:r w:rsidRPr="007F24E3">
        <w:rPr>
          <w:i/>
        </w:rPr>
        <w:t>administrative agents</w:t>
      </w:r>
      <w:r w:rsidRPr="007F24E3">
        <w:t xml:space="preserve"> </w:t>
      </w:r>
      <w:r>
        <w:t>to manage customer subscription resources.</w:t>
      </w:r>
      <w:r w:rsidR="00005AF1">
        <w:t xml:space="preserve"> In this scenario the subscriptions are ARM based subscriptions and require an RBAC model to control the access and management of the subscription and resources.</w:t>
      </w:r>
    </w:p>
    <w:p w14:paraId="695BE833" w14:textId="77777777" w:rsidR="00EF6F5C" w:rsidRDefault="00EF6F5C">
      <w:pPr>
        <w:spacing w:before="0" w:after="160" w:line="259" w:lineRule="auto"/>
      </w:pPr>
    </w:p>
    <w:tbl>
      <w:tblPr>
        <w:tblStyle w:val="TableGridLight13"/>
        <w:tblW w:w="9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8A6786" w14:paraId="7821CC8D" w14:textId="77777777" w:rsidTr="008A6786">
        <w:trPr>
          <w:trHeight w:val="423"/>
        </w:trPr>
        <w:tc>
          <w:tcPr>
            <w:tcW w:w="666" w:type="dxa"/>
          </w:tcPr>
          <w:p w14:paraId="70B9D4BD" w14:textId="77777777" w:rsidR="008A6786" w:rsidRDefault="008A6786" w:rsidP="008A6786">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652096" behindDoc="0" locked="0" layoutInCell="1" allowOverlap="1" wp14:anchorId="43B12B11" wp14:editId="1CF8D113">
                      <wp:simplePos x="0" y="0"/>
                      <wp:positionH relativeFrom="column">
                        <wp:posOffset>66675</wp:posOffset>
                      </wp:positionH>
                      <wp:positionV relativeFrom="paragraph">
                        <wp:posOffset>90170</wp:posOffset>
                      </wp:positionV>
                      <wp:extent cx="209550" cy="180975"/>
                      <wp:effectExtent l="57150" t="19050" r="57150" b="104775"/>
                      <wp:wrapNone/>
                      <wp:docPr id="1252047309" name="Isosceles Triangle 1252047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a:ln w="635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40B79706" id="Isosceles Triangle 1252047309" o:spid="_x0000_s1026" type="#_x0000_t5" style="position:absolute;margin-left:5.25pt;margin-top:7.1pt;width:16.5pt;height:14.2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wmPiAIAACcFAAAOAAAAZHJzL2Uyb0RvYy54bWysVEtPGzEQvlfqf7B8L7sJCSErNigiSoUU&#10;ARIgzhOvd9eqX7WdbOiv79i7gUB7quqD5fF8nuc3vro+KEn23HlhdElHZzklXDNTCd2U9Plp/e2S&#10;Eh9AVyCN5iV95Z5eL75+uepswcemNbLijqAR7YvOlrQNwRZZ5lnLFfgzY7lGZW2cgoCia7LKQYfW&#10;lczGeX6RdcZV1hnGvcfbVa+ki2S/rjkL93XteSCypBhbSLtL+zbu2eIKisaBbQUbwoB/iEKB0Oj0&#10;zdQKApCdE3+YUoI5400dzphRmalrwXjKAbMZ5Z+yeWzB8pQLFsfbtzL5/2eW3e0fHBEV9m48HeeT&#10;2Xk+p0SDwl7deuMZl9yTJydAN5KTExBWrrO+QAOP9sHF3L3dGPbDoyL7oImCHzCH2qmIxczJIbXh&#10;9a0N/BAIw8txPp9OsVkMVaPLfD6bxjZlUBwfW+fDd24UiYeShiG61ADYb3zo4UdYis1IUa2FlElw&#10;zfZGOrIHZMUaV56IgB78KUxq0pX04jzFAkjOWkLAsJTFcnndUAKyQdaz4JLrD4/9qY9ZvlxNZkMW&#10;H2AxxhX4to8lqXpOKhFwMKRQJb3M4xpeSx0z4InaQ6bv9Y2nralesaXO9Fz3lq0FOtmADw/gkNxY&#10;WRzYcI9bLQ1maIYTJa1xv/52H/HIOdRS0uGwYPo/d+A4JfJWIxvno8kkTlcSJtPZGAV3qtmeavRO&#10;3Ris/Ai/BsvSMeKDPB5rZ9QLzvUyekUVaIa++0IPwk3ohxh/BsaXywTDibIQNvrRsmg81imW9+nw&#10;As4euYIkuzPHwYLiE116bHypzXIXTC0Sl97rOnAbpzExcvg54rifygn1/r8tfgMAAP//AwBQSwME&#10;FAAGAAgAAAAhAPUae6TcAAAABwEAAA8AAABkcnMvZG93bnJldi54bWxMjs1OwzAQhO9IvIO1lbhR&#10;pyH8KMSpqiIOSBUqaQ8cnXhJUux1FLttePsuJziNRjOa+Yrl5Kw44Rh6TwoW8wQEUuNNT62C/e71&#10;9glEiJqMtp5QwQ8GWJbXV4XOjT/TB56q2AoeoZBrBV2MQy5laDp0Osz9gMTZlx+djmzHVppRn3nc&#10;WZkmyYN0uid+6PSA6w6b7+roFFQH2u5W75/Z9q1O13vpDmZjX5S6mU2rZxARp/hXhl98RoeSmWp/&#10;JBOEZZ/cc5M1S0Fwnt2xr1nTR5BlIf/zlxcAAAD//wMAUEsBAi0AFAAGAAgAAAAhALaDOJL+AAAA&#10;4QEAABMAAAAAAAAAAAAAAAAAAAAAAFtDb250ZW50X1R5cGVzXS54bWxQSwECLQAUAAYACAAAACEA&#10;OP0h/9YAAACUAQAACwAAAAAAAAAAAAAAAAAvAQAAX3JlbHMvLnJlbHNQSwECLQAUAAYACAAAACEA&#10;tmsJj4gCAAAnBQAADgAAAAAAAAAAAAAAAAAuAgAAZHJzL2Uyb0RvYy54bWxQSwECLQAUAAYACAAA&#10;ACEA9Rp7pNwAAAAHAQAADwAAAAAAAAAAAAAAAADiBAAAZHJzL2Rvd25yZXYueG1sUEsFBgAAAAAE&#10;AAQA8wAAAOsFAAAAAA==&#10;" fillcolor="yellow" strokecolor="#70ad47" strokeweight=".5pt">
                      <v:path arrowok="t"/>
                    </v:shape>
                  </w:pict>
                </mc:Fallback>
              </mc:AlternateContent>
            </w:r>
          </w:p>
        </w:tc>
        <w:tc>
          <w:tcPr>
            <w:tcW w:w="8604" w:type="dxa"/>
          </w:tcPr>
          <w:p w14:paraId="7979D95E" w14:textId="1F277901" w:rsidR="008A6786" w:rsidRDefault="008A6786" w:rsidP="008A6786">
            <w:pPr>
              <w:rPr>
                <w:rFonts w:eastAsiaTheme="minorHAnsi"/>
                <w:b/>
              </w:rPr>
            </w:pPr>
            <w:r>
              <w:rPr>
                <w:rFonts w:eastAsiaTheme="minorHAnsi"/>
                <w:b/>
                <w:lang w:eastAsia="en-US"/>
              </w:rPr>
              <w:t xml:space="preserve">Recommended: </w:t>
            </w:r>
            <w:r>
              <w:rPr>
                <w:rFonts w:eastAsiaTheme="minorHAnsi"/>
                <w:lang w:eastAsia="en-US"/>
              </w:rPr>
              <w:t>The minimum number of users should be assigned as Subscription Administrators and/or Co-administrators.</w:t>
            </w:r>
          </w:p>
        </w:tc>
      </w:tr>
      <w:tr w:rsidR="008A6786" w14:paraId="3C818A16" w14:textId="77777777" w:rsidTr="008A6786">
        <w:trPr>
          <w:trHeight w:val="423"/>
        </w:trPr>
        <w:tc>
          <w:tcPr>
            <w:tcW w:w="666" w:type="dxa"/>
          </w:tcPr>
          <w:p w14:paraId="2B9F99A4" w14:textId="4F90EB8B" w:rsidR="008A6786" w:rsidRDefault="008A6786" w:rsidP="008A6786">
            <w:pPr>
              <w:spacing w:after="200"/>
              <w:jc w:val="center"/>
              <w:rPr>
                <w:rFonts w:eastAsia="Arial" w:cs="Segoe UI"/>
                <w:noProof/>
                <w:sz w:val="20"/>
                <w:szCs w:val="20"/>
              </w:rPr>
            </w:pPr>
            <w:r>
              <w:rPr>
                <w:rFonts w:eastAsia="Arial" w:cs="Segoe UI"/>
                <w:noProof/>
                <w:sz w:val="20"/>
                <w:szCs w:val="20"/>
              </w:rPr>
              <mc:AlternateContent>
                <mc:Choice Requires="wps">
                  <w:drawing>
                    <wp:anchor distT="0" distB="0" distL="114300" distR="114300" simplePos="0" relativeHeight="251657216" behindDoc="0" locked="0" layoutInCell="1" allowOverlap="1" wp14:anchorId="05A913B5" wp14:editId="1079769C">
                      <wp:simplePos x="0" y="0"/>
                      <wp:positionH relativeFrom="column">
                        <wp:posOffset>67618</wp:posOffset>
                      </wp:positionH>
                      <wp:positionV relativeFrom="paragraph">
                        <wp:posOffset>20791</wp:posOffset>
                      </wp:positionV>
                      <wp:extent cx="209550" cy="180975"/>
                      <wp:effectExtent l="19050" t="19050" r="38100" b="28575"/>
                      <wp:wrapNone/>
                      <wp:docPr id="1252047310" name="Isosceles Triangle 12520473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a:ln w="635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1F8D9B60" id="Isosceles Triangle 1252047310" o:spid="_x0000_s1026" type="#_x0000_t5" style="position:absolute;margin-left:5.3pt;margin-top:1.65pt;width:16.5pt;height:14.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VpziQIAACcFAAAOAAAAZHJzL2Uyb0RvYy54bWysVEtPGzEQvlfqf7B8L7sJCYEVGxQRpUKK&#10;IBIgzhOvd9eqX7WdbOiv79i7gUB7quqD5fGM5/HNN76+OShJ9tx5YXRJR2c5JVwzUwndlPT5afXt&#10;khIfQFcgjeYlfeWe3sy/frnubMHHpjWy4o6gE+2Lzpa0DcEWWeZZyxX4M2O5RmVtnIKAomuyykGH&#10;3pXMxnl+kXXGVdYZxr3H22WvpPPkv645Cw917XkgsqSYW0i7S/s27tn8GorGgW0FG9KAf8hCgdAY&#10;9M3VEgKQnRN/uFKCOeNNHc6YUZmpa8F4qgGrGeWfqnlswfJUC4Lj7RtM/v+5Zff7jSOiwt6Np+N8&#10;MjsfIUwaFPbqzhvPuOSePDkBupGcnBghcp31BTp4tBsXa/d2bdgPj4rsgyYKfrA51E5FW6ycHFIb&#10;Xt/awA+BMLwc51fTKWbBUDW6zK9m09imDIrjY+t8+M6NIvFQ0jBklxoA+7UPvfnRLOVmpKhWQsok&#10;uGZ7Kx3ZA7JihStPRMAI/tRMatKV9OI85QJIzlpCwLSURbi8bigB2SDrWXAp9IfH/jTGLF8sJ7Oh&#10;ig9mMccl+LbPJal6TioRcDCkUCW9zOMaXksdK+CJ2kOl7/jG09ZUr9hSZ3que8tWAoOswYcNOCQ3&#10;IosDGx5wq6XBCs1woqQ17tff7qM9cg61lHQ4LFj+zx04Tom808jGq9FkEqcrCZPpbIyCO9VsTzV6&#10;p24NIj/Cr8GydIz2QR6PtTPqBed6EaOiCjTD2D3Qg3Ab+iHGn4HxxSKZ4URZCGv9aFl0HnGK8D4d&#10;XsDZI1eQZPfmOFhQfKJLbxtfarPYBVOLxKV3XAdu4zQmRg4/Rxz3UzlZvf9v898AAAD//wMAUEsD&#10;BBQABgAIAAAAIQCzAyxY2gAAAAYBAAAPAAAAZHJzL2Rvd25yZXYueG1sTI7BbsIwEETvlfgHaytx&#10;Kw4EIZTGQQjUQyVU0cChRyfeJqH2OooNpH/f7ak9Ps1o5uWb0VlxwyF0nhTMZwkIpNqbjhoF59PL&#10;0xpEiJqMtp5QwTcG2BSTh1xnxt/pHW9lbASPUMi0gjbGPpMy1C06HWa+R+Ls0w9OR8ahkWbQdx53&#10;Vi6SZCWd7ogfWt3jrsX6q7w6BeWFjqft28fy+FotdmfpLuZg90pNH8ftM4iIY/wrw68+q0PBTpW/&#10;kgnCMicrbipIUxAcL1PGinG+Blnk8r9+8QMAAP//AwBQSwECLQAUAAYACAAAACEAtoM4kv4AAADh&#10;AQAAEwAAAAAAAAAAAAAAAAAAAAAAW0NvbnRlbnRfVHlwZXNdLnhtbFBLAQItABQABgAIAAAAIQA4&#10;/SH/1gAAAJQBAAALAAAAAAAAAAAAAAAAAC8BAABfcmVscy8ucmVsc1BLAQItABQABgAIAAAAIQAq&#10;zVpziQIAACcFAAAOAAAAAAAAAAAAAAAAAC4CAABkcnMvZTJvRG9jLnhtbFBLAQItABQABgAIAAAA&#10;IQCzAyxY2gAAAAYBAAAPAAAAAAAAAAAAAAAAAOMEAABkcnMvZG93bnJldi54bWxQSwUGAAAAAAQA&#10;BADzAAAA6gUAAAAA&#10;" fillcolor="yellow" strokecolor="#70ad47" strokeweight=".5pt">
                      <v:path arrowok="t"/>
                    </v:shape>
                  </w:pict>
                </mc:Fallback>
              </mc:AlternateContent>
            </w:r>
          </w:p>
        </w:tc>
        <w:tc>
          <w:tcPr>
            <w:tcW w:w="8604" w:type="dxa"/>
          </w:tcPr>
          <w:p w14:paraId="35B9B195" w14:textId="4859DCC7" w:rsidR="008A6786" w:rsidRDefault="008A6786" w:rsidP="008A6786">
            <w:pPr>
              <w:rPr>
                <w:rFonts w:eastAsiaTheme="minorHAnsi"/>
                <w:b/>
              </w:rPr>
            </w:pPr>
            <w:r>
              <w:rPr>
                <w:rFonts w:eastAsiaTheme="minorHAnsi"/>
                <w:b/>
              </w:rPr>
              <w:t xml:space="preserve">Recommended: </w:t>
            </w:r>
            <w:r>
              <w:rPr>
                <w:rFonts w:eastAsiaTheme="minorHAnsi"/>
              </w:rPr>
              <w:t>Use Azure Resource Management RBAC whenever possible to control the amount of access that administrators have, and log what changes are made to the environment.</w:t>
            </w:r>
          </w:p>
        </w:tc>
      </w:tr>
    </w:tbl>
    <w:p w14:paraId="77A575EF" w14:textId="1DF16A1A" w:rsidR="00DB4288" w:rsidRDefault="00DB4288" w:rsidP="005729D2">
      <w:pPr>
        <w:pStyle w:val="Heading4Numbered"/>
        <w:numPr>
          <w:ilvl w:val="3"/>
          <w:numId w:val="64"/>
        </w:numPr>
      </w:pPr>
      <w:r>
        <w:t>Connectivity</w:t>
      </w:r>
    </w:p>
    <w:p w14:paraId="66F93DAA" w14:textId="677F8C1B" w:rsidR="008A6786" w:rsidRDefault="00650EE6" w:rsidP="008A6786">
      <w:pPr>
        <w:spacing w:before="0" w:after="160" w:line="259" w:lineRule="auto"/>
      </w:pPr>
      <w:r w:rsidRPr="00DB4288">
        <w:rPr>
          <w:noProof/>
        </w:rPr>
        <w:drawing>
          <wp:anchor distT="0" distB="0" distL="114300" distR="114300" simplePos="0" relativeHeight="251467776" behindDoc="0" locked="0" layoutInCell="1" allowOverlap="1" wp14:anchorId="49E0A470" wp14:editId="1EC7F4B3">
            <wp:simplePos x="0" y="0"/>
            <wp:positionH relativeFrom="margin">
              <wp:align>right</wp:align>
            </wp:positionH>
            <wp:positionV relativeFrom="paragraph">
              <wp:posOffset>492429</wp:posOffset>
            </wp:positionV>
            <wp:extent cx="2675890" cy="2091055"/>
            <wp:effectExtent l="0" t="0" r="0" b="4445"/>
            <wp:wrapSquare wrapText="bothSides"/>
            <wp:docPr id="874593625" name="Picture 874593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675890" cy="20910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B4288">
        <w:t xml:space="preserve">Adding </w:t>
      </w:r>
      <w:r w:rsidR="008A6786" w:rsidRPr="00DB4288">
        <w:rPr>
          <w:noProof/>
        </w:rPr>
        <w:drawing>
          <wp:anchor distT="0" distB="0" distL="114300" distR="114300" simplePos="0" relativeHeight="251662336" behindDoc="0" locked="0" layoutInCell="1" allowOverlap="1" wp14:anchorId="166C9702" wp14:editId="5EE9F863">
            <wp:simplePos x="0" y="0"/>
            <wp:positionH relativeFrom="margin">
              <wp:align>right</wp:align>
            </wp:positionH>
            <wp:positionV relativeFrom="paragraph">
              <wp:posOffset>492429</wp:posOffset>
            </wp:positionV>
            <wp:extent cx="2675890" cy="2091055"/>
            <wp:effectExtent l="0" t="0" r="0" b="4445"/>
            <wp:wrapSquare wrapText="bothSides"/>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675890" cy="20910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A6786">
        <w:t xml:space="preserve"> network connectivity (whether using a site-to-site VPN or a dedicated ExpressRoute connection) brings additional considerations to the subscription requirements discussion.</w:t>
      </w:r>
    </w:p>
    <w:p w14:paraId="02BF8691" w14:textId="77777777" w:rsidR="008A6786" w:rsidRDefault="008A6786" w:rsidP="008A6786">
      <w:pPr>
        <w:spacing w:before="0" w:after="160" w:line="259" w:lineRule="auto"/>
      </w:pPr>
      <w:r>
        <w:t>The subscription is a required container to hold a virtual network, and often networking is a shared resource within an enterprise.</w:t>
      </w:r>
    </w:p>
    <w:p w14:paraId="089A1A0F" w14:textId="77777777" w:rsidR="008A6786" w:rsidRDefault="008A6786" w:rsidP="008A6786">
      <w:pPr>
        <w:spacing w:before="0" w:after="160" w:line="259" w:lineRule="auto"/>
      </w:pPr>
      <w:r>
        <w:t>Site-to-site VPNs and ExpressRoute circuits require defining IP address ranges that do not overlap with on-premises ranges.</w:t>
      </w:r>
    </w:p>
    <w:p w14:paraId="1AE65977" w14:textId="77777777" w:rsidR="008A6786" w:rsidRDefault="008A6786" w:rsidP="008A6786">
      <w:pPr>
        <w:spacing w:before="0" w:after="160" w:line="259" w:lineRule="auto"/>
      </w:pPr>
      <w:r>
        <w:t>Site-to-site VPN connectivity requires setting up and configuring a public-facing gateway and VPN services at the corporate edge.</w:t>
      </w:r>
    </w:p>
    <w:p w14:paraId="09795EE9" w14:textId="1202F48E" w:rsidR="00650EE6" w:rsidRDefault="008A6786" w:rsidP="008A6786">
      <w:pPr>
        <w:spacing w:before="0" w:after="160" w:line="259" w:lineRule="auto"/>
      </w:pPr>
      <w:r>
        <w:t>ExpressRoute connectivity is through a private connection from an on-premises datacenter to Azure through a service provider’s private network. For more information, see the Microsoft Azure Networking section later in this document</w:t>
      </w:r>
      <w:r w:rsidR="00A85374">
        <w:t>.</w:t>
      </w:r>
    </w:p>
    <w:p w14:paraId="1107C054" w14:textId="77777777" w:rsidR="008A6786" w:rsidRDefault="008A6786" w:rsidP="008A6786">
      <w:pPr>
        <w:spacing w:before="0" w:after="160" w:line="259" w:lineRule="auto"/>
      </w:pPr>
      <w:r>
        <w:t>Routing and firewall configurations are typically necessary when enabling connectivity. Administration and connectivity are often at odds with respect to autonomy and sharing resources, but when designing the subscription architecture for the enterprise, both must be part of the solution. Business requirements including availability and reliability will impact the network architecture, and subsequently, the subscriptions necessary to support that architecture.</w:t>
      </w:r>
    </w:p>
    <w:p w14:paraId="716A0BA3" w14:textId="77777777" w:rsidR="008A6786" w:rsidRDefault="008A6786" w:rsidP="008A6786">
      <w:r>
        <w:t xml:space="preserve">Because a virtual network must exist inside a subscription, some constraints of a subscription also impact decisions made for virtual networks. For example, only 20 virtual networks can be attached to a single ExpressRoute circuit. Therefore, only 20 subscriptions could be attached to that circuit. </w:t>
      </w:r>
    </w:p>
    <w:p w14:paraId="0C4D641B" w14:textId="77777777" w:rsidR="008A6786" w:rsidRDefault="008A6786" w:rsidP="008A6786">
      <w:r>
        <w:t>In another scenario, if a design used 20 virtual networks within a single subscription, and ExpressRoute was used for connectivity to corporate network resources, there would be no way to attach another subscription to the same ExpressRoute, regardless of the bandwidth utilization on the circuit.</w:t>
      </w:r>
    </w:p>
    <w:p w14:paraId="100604E7" w14:textId="77777777" w:rsidR="008A6786" w:rsidRDefault="008A6786" w:rsidP="008A6786">
      <w:r>
        <w:t>If multiple virtual networks are to share a single enterprise ExpressRoute connection, essentially there is no network isolation between those networks. In this case, any separation the subscription design may try to define is eliminated and must be achieved through subnet layer Network Security Groups (NSGs). When the virtual networks are attached to the same ExpressRoute circuit, they are essential a single routing domain.</w:t>
      </w:r>
    </w:p>
    <w:p w14:paraId="51F6C205" w14:textId="77777777" w:rsidR="008A6786" w:rsidRDefault="008A6786" w:rsidP="008A6786">
      <w:r>
        <w:t xml:space="preserve">A subscription hosting only PaaS services could have no virtual network at all, and the design limitations discussed above would not apply. </w:t>
      </w:r>
    </w:p>
    <w:p w14:paraId="681BA4E8" w14:textId="027E2B30" w:rsidR="0047365D" w:rsidRDefault="008A6786" w:rsidP="008A6786">
      <w:r>
        <w:t>If a subscription will host a virtual network for on-premises connectivity and will not be used to host IaaS and or PaaS resources, it can be inferred that the cost of the subscription with a virtual network is about one-tenth the cost of the ExpressRoute circuit</w:t>
      </w:r>
      <w:r w:rsidR="0047365D">
        <w:t>.</w:t>
      </w:r>
    </w:p>
    <w:p w14:paraId="5AE0EBAF" w14:textId="6F8F7F79" w:rsidR="00165066" w:rsidRDefault="0028016B" w:rsidP="005729D2">
      <w:pPr>
        <w:pStyle w:val="Heading4Numbered"/>
        <w:numPr>
          <w:ilvl w:val="3"/>
          <w:numId w:val="64"/>
        </w:numPr>
      </w:pPr>
      <w:r>
        <w:t xml:space="preserve">Security and </w:t>
      </w:r>
      <w:r w:rsidR="00165066">
        <w:t>Identity</w:t>
      </w:r>
    </w:p>
    <w:p w14:paraId="0ECD871B" w14:textId="0C756FF1" w:rsidR="008A6786" w:rsidRDefault="00165066" w:rsidP="008A6786">
      <w:pPr>
        <w:spacing w:before="0" w:after="160" w:line="259" w:lineRule="auto"/>
      </w:pPr>
      <w:r>
        <w:t>Identity</w:t>
      </w:r>
      <w:r w:rsidR="008A6786">
        <w:t xml:space="preserve"> services provided by an IaaS Active Directory, an Azure Active Directory tenant, or a customer OrgID tenant will have an impact on how security is implemented and subsequently on how that security impacts the number and configuration of subscriptions necessary. </w:t>
      </w:r>
      <w:r w:rsidR="008A6786" w:rsidRPr="00E7643A">
        <w:rPr>
          <w:noProof/>
        </w:rPr>
        <w:drawing>
          <wp:anchor distT="0" distB="0" distL="114300" distR="114300" simplePos="0" relativeHeight="251667456" behindDoc="0" locked="0" layoutInCell="1" allowOverlap="1" wp14:anchorId="0040D354" wp14:editId="51F7E00F">
            <wp:simplePos x="0" y="0"/>
            <wp:positionH relativeFrom="column">
              <wp:posOffset>2774950</wp:posOffset>
            </wp:positionH>
            <wp:positionV relativeFrom="paragraph">
              <wp:posOffset>403860</wp:posOffset>
            </wp:positionV>
            <wp:extent cx="3116580" cy="2338070"/>
            <wp:effectExtent l="0" t="0" r="7620" b="5080"/>
            <wp:wrapSquare wrapText="bothSides"/>
            <wp:docPr id="874593626" name="Picture 874593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116580" cy="2338070"/>
                    </a:xfrm>
                    <a:prstGeom prst="rect">
                      <a:avLst/>
                    </a:prstGeom>
                    <a:noFill/>
                    <a:ln>
                      <a:noFill/>
                    </a:ln>
                  </pic:spPr>
                </pic:pic>
              </a:graphicData>
            </a:graphic>
          </wp:anchor>
        </w:drawing>
      </w:r>
      <w:r w:rsidR="008A6786" w:rsidRPr="00E7643A">
        <w:t xml:space="preserve"> </w:t>
      </w:r>
    </w:p>
    <w:p w14:paraId="3D469B9C" w14:textId="7DC4C184" w:rsidR="00E7643A" w:rsidRDefault="008A6786" w:rsidP="008A6786">
      <w:pPr>
        <w:spacing w:before="0" w:after="160" w:line="259" w:lineRule="auto"/>
      </w:pPr>
      <w:r>
        <w:t>Subscription Administrators have a broad authority, and as such they must be considered administrators over all the resources in the subscription. If the subscription includes Azure Active Directory, IaaS domain controllers, or if it connects to domain controllers from an on-premises Active Directory, the Subscription Administrators and Co-administrators are also domain owners. They must be trusted individuals and treated like any domain administrator appropriate for that directory</w:t>
      </w:r>
      <w:r w:rsidR="00E7643A">
        <w:t>.</w:t>
      </w:r>
    </w:p>
    <w:p w14:paraId="4BFF13DC" w14:textId="14FEC987" w:rsidR="00E7643A" w:rsidRDefault="008A6786">
      <w:pPr>
        <w:spacing w:before="0" w:after="160" w:line="259" w:lineRule="auto"/>
      </w:pPr>
      <w:r>
        <w:t>Productivity goals, single sign-on, and federation requirements impact identity services decisions, and subsequently, the supporting subscriptions</w:t>
      </w:r>
      <w:r w:rsidR="001136E2">
        <w:t>.</w:t>
      </w:r>
    </w:p>
    <w:p w14:paraId="5E06C676" w14:textId="6F1D679A" w:rsidR="001136E2" w:rsidRDefault="001136E2" w:rsidP="005729D2">
      <w:pPr>
        <w:pStyle w:val="Heading4Numbered"/>
        <w:numPr>
          <w:ilvl w:val="3"/>
          <w:numId w:val="64"/>
        </w:numPr>
      </w:pPr>
      <w:r>
        <w:t>Scale</w:t>
      </w:r>
    </w:p>
    <w:p w14:paraId="77339E12" w14:textId="78A7C3C9" w:rsidR="00054652" w:rsidRDefault="001136E2">
      <w:pPr>
        <w:spacing w:before="0" w:after="160" w:line="259" w:lineRule="auto"/>
      </w:pPr>
      <w:r>
        <w:t>Subscriptions</w:t>
      </w:r>
      <w:r w:rsidR="008A6786">
        <w:t xml:space="preserve"> form the scale limit in Azure. Many resources—from computing cores and storage accounts to reserved IP addresses—have quantity and size limitations based on the subscription</w:t>
      </w:r>
      <w:r>
        <w:t xml:space="preserve">.  </w:t>
      </w:r>
    </w:p>
    <w:p w14:paraId="59E33DDB" w14:textId="501F76FE" w:rsidR="00054652" w:rsidRDefault="00031AE0">
      <w:pPr>
        <w:spacing w:before="0" w:after="160" w:line="259" w:lineRule="auto"/>
      </w:pPr>
      <w:r w:rsidRPr="00031AE0">
        <w:rPr>
          <w:noProof/>
        </w:rPr>
        <w:drawing>
          <wp:inline distT="0" distB="0" distL="0" distR="0" wp14:anchorId="73A23417" wp14:editId="2C4BCAFE">
            <wp:extent cx="5943600" cy="211906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43600" cy="2119063"/>
                    </a:xfrm>
                    <a:prstGeom prst="rect">
                      <a:avLst/>
                    </a:prstGeom>
                    <a:noFill/>
                    <a:ln>
                      <a:noFill/>
                    </a:ln>
                  </pic:spPr>
                </pic:pic>
              </a:graphicData>
            </a:graphic>
          </wp:inline>
        </w:drawing>
      </w:r>
    </w:p>
    <w:p w14:paraId="3BE6E834" w14:textId="3C1DC8FF" w:rsidR="00054652" w:rsidRDefault="00054652">
      <w:pPr>
        <w:spacing w:before="0" w:after="160" w:line="259" w:lineRule="auto"/>
      </w:pPr>
      <w:r>
        <w:t xml:space="preserve">When thinking about </w:t>
      </w:r>
      <w:r w:rsidR="00AC019F">
        <w:t>the</w:t>
      </w:r>
      <w:r>
        <w:t xml:space="preserve"> subscriptions </w:t>
      </w:r>
      <w:r w:rsidR="00AC019F">
        <w:t>for an environment</w:t>
      </w:r>
      <w:r>
        <w:t xml:space="preserve">, it is important to think about how the design will scale if and when limits are reached.  </w:t>
      </w:r>
    </w:p>
    <w:p w14:paraId="070B0578" w14:textId="39A8EB5B" w:rsidR="00054652" w:rsidRDefault="00AC019F">
      <w:pPr>
        <w:spacing w:before="0" w:after="160" w:line="259" w:lineRule="auto"/>
      </w:pPr>
      <w:r>
        <w:t xml:space="preserve">In </w:t>
      </w:r>
      <w:r w:rsidR="008A6786">
        <w:t>subscription discussions, a number of considerations determine the decisions made about the design. The number of connections that can be shared by a tunnel or circuit, bandwidth requirements, the source of identity, and the number of groups, users, and applications associated with a subscription are all important topics when considering scale</w:t>
      </w:r>
      <w:r w:rsidR="003332DF">
        <w:t>.</w:t>
      </w:r>
    </w:p>
    <w:p w14:paraId="47085774" w14:textId="69B7A28D" w:rsidR="00F9091A" w:rsidRDefault="00F9091A" w:rsidP="005729D2">
      <w:pPr>
        <w:pStyle w:val="Heading4Numbered"/>
        <w:numPr>
          <w:ilvl w:val="3"/>
          <w:numId w:val="64"/>
        </w:numPr>
      </w:pPr>
      <w:r>
        <w:t>Multiple Subscriptions Introduce Complexities</w:t>
      </w:r>
    </w:p>
    <w:p w14:paraId="04B13E67" w14:textId="2CF30822" w:rsidR="00F9091A" w:rsidRDefault="00F9091A" w:rsidP="00F9091A">
      <w:r>
        <w:t xml:space="preserve">The </w:t>
      </w:r>
      <w:r w:rsidR="001260BB">
        <w:t>use</w:t>
      </w:r>
      <w:r>
        <w:t xml:space="preserve"> of a subscription as a security boundary </w:t>
      </w:r>
      <w:r w:rsidR="001260BB">
        <w:t>may be considered</w:t>
      </w:r>
      <w:r>
        <w:t xml:space="preserve"> </w:t>
      </w:r>
      <w:r w:rsidR="001260BB">
        <w:t>when designing</w:t>
      </w:r>
      <w:r>
        <w:t xml:space="preserve"> an Azure </w:t>
      </w:r>
      <w:r w:rsidR="001260BB">
        <w:t>subscription model</w:t>
      </w:r>
      <w:r>
        <w:t>. A project requiring isolation should consider subscription administration very carefully.</w:t>
      </w:r>
      <w:r w:rsidRPr="008316A5">
        <w:t xml:space="preserve"> </w:t>
      </w:r>
      <w:r w:rsidR="00B00F6C">
        <w:t xml:space="preserve"> Some considerations for multiple subscriptions include:</w:t>
      </w:r>
    </w:p>
    <w:p w14:paraId="1EB3A96C" w14:textId="77777777" w:rsidR="00F9091A" w:rsidRDefault="00F9091A" w:rsidP="005729D2">
      <w:pPr>
        <w:pStyle w:val="ListParagraph"/>
        <w:numPr>
          <w:ilvl w:val="0"/>
          <w:numId w:val="20"/>
        </w:numPr>
      </w:pPr>
      <w:r>
        <w:t xml:space="preserve">A subscription on its own doesn’t cost anything.  </w:t>
      </w:r>
    </w:p>
    <w:p w14:paraId="6D7749F5" w14:textId="5260B68A" w:rsidR="00F9091A" w:rsidRDefault="00F9091A" w:rsidP="005729D2">
      <w:pPr>
        <w:pStyle w:val="ListParagraph"/>
        <w:numPr>
          <w:ilvl w:val="0"/>
          <w:numId w:val="20"/>
        </w:numPr>
      </w:pPr>
      <w:r>
        <w:t>A subscription has its own administrators</w:t>
      </w:r>
      <w:r w:rsidR="008A6786">
        <w:t>.</w:t>
      </w:r>
    </w:p>
    <w:p w14:paraId="145D1EEA" w14:textId="349E0BD0" w:rsidR="00F9091A" w:rsidRDefault="00F9091A" w:rsidP="005729D2">
      <w:pPr>
        <w:pStyle w:val="ListParagraph"/>
        <w:numPr>
          <w:ilvl w:val="0"/>
          <w:numId w:val="20"/>
        </w:numPr>
      </w:pPr>
      <w:r>
        <w:t>A subscription is accountable for its own consumption</w:t>
      </w:r>
      <w:r w:rsidR="008A6786">
        <w:t>.</w:t>
      </w:r>
    </w:p>
    <w:p w14:paraId="19CE8D58" w14:textId="1A6FD71E" w:rsidR="001260BB" w:rsidRDefault="001260BB" w:rsidP="00F9091A">
      <w:r>
        <w:t>C</w:t>
      </w:r>
      <w:r w:rsidR="00F9091A">
        <w:t xml:space="preserve">omplexities are introduced when you consider that the on-premises networking and security infrastructures are typically shared resources. </w:t>
      </w:r>
    </w:p>
    <w:p w14:paraId="6C93C404" w14:textId="77777777" w:rsidR="00DE611B" w:rsidRDefault="00DE611B" w:rsidP="00DE611B">
      <w:r>
        <w:t xml:space="preserve">Patching, monitoring, and auditing are frequently provided by dedicated organizations, and staff is trained in the related tools. Business continuity and disaster recovery are almost always dependent on enterprise solutions to mitigate the cost. </w:t>
      </w:r>
    </w:p>
    <w:p w14:paraId="7BD3C8B5" w14:textId="77777777" w:rsidR="00DE611B" w:rsidRDefault="00DE611B" w:rsidP="00DE611B">
      <w:r>
        <w:t>An enterprise that allowed Azure subscriptions to be based on a project or team, could find itself:</w:t>
      </w:r>
    </w:p>
    <w:p w14:paraId="06C7C051" w14:textId="77777777" w:rsidR="00DE611B" w:rsidRDefault="00DE611B" w:rsidP="005729D2">
      <w:pPr>
        <w:pStyle w:val="ListParagraph"/>
        <w:numPr>
          <w:ilvl w:val="0"/>
          <w:numId w:val="21"/>
        </w:numPr>
      </w:pPr>
      <w:r>
        <w:t xml:space="preserve">Purchasing dedicated network circuits arbitrarily rather than for bandwidth need. </w:t>
      </w:r>
    </w:p>
    <w:p w14:paraId="3829A0F1" w14:textId="77777777" w:rsidR="00DE611B" w:rsidRDefault="00DE611B" w:rsidP="005729D2">
      <w:pPr>
        <w:pStyle w:val="ListParagraph"/>
        <w:numPr>
          <w:ilvl w:val="0"/>
          <w:numId w:val="21"/>
        </w:numPr>
      </w:pPr>
      <w:r>
        <w:t xml:space="preserve">Supporting multiple edge gateway devices. </w:t>
      </w:r>
    </w:p>
    <w:p w14:paraId="30101C43" w14:textId="77777777" w:rsidR="00DE611B" w:rsidRDefault="00DE611B" w:rsidP="005729D2">
      <w:pPr>
        <w:pStyle w:val="ListParagraph"/>
        <w:numPr>
          <w:ilvl w:val="0"/>
          <w:numId w:val="21"/>
        </w:numPr>
      </w:pPr>
      <w:r>
        <w:t>Increasing management of IP address space allocation.</w:t>
      </w:r>
    </w:p>
    <w:p w14:paraId="75190097" w14:textId="77777777" w:rsidR="00DE611B" w:rsidRDefault="00DE611B" w:rsidP="005729D2">
      <w:pPr>
        <w:pStyle w:val="ListParagraph"/>
        <w:numPr>
          <w:ilvl w:val="0"/>
          <w:numId w:val="21"/>
        </w:numPr>
      </w:pPr>
      <w:r>
        <w:t>Increasing management of routing and firewall configurations.</w:t>
      </w:r>
    </w:p>
    <w:p w14:paraId="69EF4630" w14:textId="57C32BA4" w:rsidR="00F9091A" w:rsidRDefault="00DE611B" w:rsidP="005729D2">
      <w:pPr>
        <w:pStyle w:val="ListParagraph"/>
        <w:numPr>
          <w:ilvl w:val="0"/>
          <w:numId w:val="21"/>
        </w:numPr>
      </w:pPr>
      <w:r>
        <w:t>Duplicating services required, including monitoring, patching, and anti-virus.</w:t>
      </w:r>
      <w:r w:rsidR="00F9091A">
        <w:t xml:space="preserve"> </w:t>
      </w:r>
    </w:p>
    <w:p w14:paraId="7A5582FA" w14:textId="77777777" w:rsidR="00A152FD" w:rsidRDefault="00A152FD" w:rsidP="00C17379">
      <w:pPr>
        <w:ind w:left="420"/>
      </w:pPr>
    </w:p>
    <w:p w14:paraId="1B648677" w14:textId="7C3C4B01" w:rsidR="00F9091A" w:rsidRDefault="000516FD" w:rsidP="00F9091A">
      <w:r w:rsidRPr="000516FD">
        <w:rPr>
          <w:noProof/>
        </w:rPr>
        <w:drawing>
          <wp:inline distT="0" distB="0" distL="0" distR="0" wp14:anchorId="6F716885" wp14:editId="72B74D4F">
            <wp:extent cx="5943600" cy="3924886"/>
            <wp:effectExtent l="0" t="0" r="0" b="0"/>
            <wp:docPr id="41181" name="Picture 4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3600" cy="3924886"/>
                    </a:xfrm>
                    <a:prstGeom prst="rect">
                      <a:avLst/>
                    </a:prstGeom>
                    <a:noFill/>
                    <a:ln>
                      <a:noFill/>
                    </a:ln>
                  </pic:spPr>
                </pic:pic>
              </a:graphicData>
            </a:graphic>
          </wp:inline>
        </w:drawing>
      </w:r>
    </w:p>
    <w:p w14:paraId="7A8753B3" w14:textId="77777777" w:rsidR="00F9091A" w:rsidRDefault="00F9091A" w:rsidP="00F9091A"/>
    <w:p w14:paraId="5795001A" w14:textId="24A6B5EB" w:rsidR="00F9091A" w:rsidRDefault="00DE611B" w:rsidP="00F9091A">
      <w:r>
        <w:t>If a business unit manages its own networking, operations, business continuity, and disaster recovery, or the use case is such that a dedicated VPN connection to on-premises resources is sufficient, this type of subscription model could work very efficiently</w:t>
      </w:r>
      <w:r w:rsidR="00F9091A">
        <w:t>.</w:t>
      </w:r>
    </w:p>
    <w:p w14:paraId="4BC6B958" w14:textId="21C14E05" w:rsidR="009F5DE3" w:rsidRPr="00B00F6C" w:rsidRDefault="009F5DE3" w:rsidP="005729D2">
      <w:pPr>
        <w:pStyle w:val="Heading3Numbered"/>
        <w:numPr>
          <w:ilvl w:val="2"/>
          <w:numId w:val="64"/>
        </w:numPr>
      </w:pPr>
      <w:bookmarkStart w:id="1177" w:name="_Toc418185809"/>
      <w:bookmarkStart w:id="1178" w:name="_Toc422941517"/>
      <w:bookmarkStart w:id="1179" w:name="_Toc423116723"/>
      <w:bookmarkStart w:id="1180" w:name="_Toc423117756"/>
      <w:bookmarkStart w:id="1181" w:name="_Toc423117206"/>
      <w:bookmarkStart w:id="1182" w:name="_Toc431288792"/>
      <w:r w:rsidRPr="00B00F6C">
        <w:t>Enterprise Model</w:t>
      </w:r>
      <w:bookmarkEnd w:id="1177"/>
      <w:bookmarkEnd w:id="1178"/>
      <w:bookmarkEnd w:id="1179"/>
      <w:bookmarkEnd w:id="1180"/>
      <w:bookmarkEnd w:id="1181"/>
      <w:bookmarkEnd w:id="1182"/>
    </w:p>
    <w:p w14:paraId="6C59E4D2" w14:textId="2D24A1C4" w:rsidR="00DE611B" w:rsidRDefault="001B7888" w:rsidP="00DE611B">
      <w:r>
        <w:t>The</w:t>
      </w:r>
      <w:r w:rsidR="00DE611B">
        <w:t xml:space="preserve"> following diagram shows a robust enterprise Azure enrollment. There are multiple subscriptions, one of which is a “Tier 0” subscription used to host domain controllers and other sensitive roles when extending an on-premises Active Directory forest to Azure. </w:t>
      </w:r>
    </w:p>
    <w:p w14:paraId="4FAC40BA" w14:textId="77777777" w:rsidR="00DE611B" w:rsidRDefault="00DE611B" w:rsidP="00DE611B">
      <w:r>
        <w:t xml:space="preserve">This is configured as a separate subscription to ensure that only administrators with domain administrator level privileges are able to exert administrative control over these sensitive servers through Azure subscriptions, while still allowing server administrators to manage virtual machines in other subscriptions. </w:t>
      </w:r>
    </w:p>
    <w:p w14:paraId="1E3C03E7" w14:textId="77777777" w:rsidR="00DE611B" w:rsidRDefault="00DE611B" w:rsidP="00DE611B">
      <w:r>
        <w:t xml:space="preserve">QA and production networks share the same dedicated ExpressRoute circuit to on-premises resources. They are separated into distinct subscriptions to allow separation of access and to allow the QA subscription to scale on its own without impacting production. </w:t>
      </w:r>
    </w:p>
    <w:p w14:paraId="3259D883" w14:textId="7F6E70B5" w:rsidR="001B7888" w:rsidRDefault="00DE611B" w:rsidP="00DE611B">
      <w:r>
        <w:t>This model will scale based on need. Second, third, and subsequent QA and production subscriptions can be added to this design without significant impact on operations. The same applies to network bandwidth—the circuit can be used until its limits are reached without any artificial limitations forcing additional purchases</w:t>
      </w:r>
      <w:r w:rsidR="009F5DE3">
        <w:t>.</w:t>
      </w:r>
    </w:p>
    <w:p w14:paraId="2A9AC3C1" w14:textId="77777777" w:rsidR="001B7888" w:rsidRDefault="001B7888" w:rsidP="00B00F6C"/>
    <w:p w14:paraId="56EAA8E1" w14:textId="0E87CD52" w:rsidR="001B7888" w:rsidRDefault="001B7888" w:rsidP="00B00F6C">
      <w:r w:rsidRPr="00787E25">
        <w:rPr>
          <w:noProof/>
        </w:rPr>
        <w:drawing>
          <wp:inline distT="0" distB="0" distL="0" distR="0" wp14:anchorId="0ADC8C72" wp14:editId="7D1DC422">
            <wp:extent cx="5943600" cy="53359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43600" cy="5335905"/>
                    </a:xfrm>
                    <a:prstGeom prst="rect">
                      <a:avLst/>
                    </a:prstGeom>
                    <a:noFill/>
                    <a:ln>
                      <a:noFill/>
                    </a:ln>
                  </pic:spPr>
                </pic:pic>
              </a:graphicData>
            </a:graphic>
          </wp:inline>
        </w:drawing>
      </w:r>
    </w:p>
    <w:p w14:paraId="0AE2429A" w14:textId="77777777" w:rsidR="00B00F6C" w:rsidRDefault="00B00F6C" w:rsidP="00B00F6C"/>
    <w:p w14:paraId="7FC41A04" w14:textId="1CDA71C9" w:rsidR="00ED0E6B" w:rsidRDefault="001136E2" w:rsidP="00ED0E6B">
      <w:r>
        <w:t>Subscriptions</w:t>
      </w:r>
      <w:bookmarkStart w:id="1183" w:name="_Toc418000582"/>
      <w:bookmarkStart w:id="1184" w:name="_Toc418003724"/>
      <w:bookmarkStart w:id="1185" w:name="_Toc418011932"/>
      <w:bookmarkStart w:id="1186" w:name="_Toc418014580"/>
      <w:bookmarkStart w:id="1187" w:name="_Toc418014443"/>
      <w:bookmarkStart w:id="1188" w:name="_Toc418029916"/>
      <w:bookmarkStart w:id="1189" w:name="_Toc418036853"/>
      <w:bookmarkStart w:id="1190" w:name="_Toc418061318"/>
      <w:bookmarkStart w:id="1191" w:name="_Toc418080666"/>
      <w:bookmarkStart w:id="1192" w:name="_Toc418081840"/>
      <w:bookmarkStart w:id="1193" w:name="_Toc418083242"/>
      <w:bookmarkStart w:id="1194" w:name="_Toc418095461"/>
      <w:bookmarkStart w:id="1195" w:name="_Toc418156629"/>
      <w:bookmarkStart w:id="1196" w:name="_Toc418167553"/>
      <w:bookmarkStart w:id="1197" w:name="_Toc418185810"/>
      <w:bookmarkStart w:id="1198" w:name="_Toc422941518"/>
      <w:r w:rsidR="00ED0E6B">
        <w:t xml:space="preserve"> are the foundational building block of an Azure enterprise enrollment. The requirements for administration, operations, accountability, connectivity, scalability, and security shape the subscription model.</w:t>
      </w:r>
    </w:p>
    <w:p w14:paraId="2126FF5F" w14:textId="77777777" w:rsidR="00ED0E6B" w:rsidRDefault="00ED0E6B" w:rsidP="00ED0E6B">
      <w:r>
        <w:t>Note that multiple existing resource forests are depicted here only to show that some forests can be extended to Azure while others don’t have to be. Microsoft does not recommend creating a separate resource forest for Azure-hosted resources as a security separation method.</w:t>
      </w:r>
    </w:p>
    <w:p w14:paraId="07205CA1" w14:textId="4CD815DA" w:rsidR="00001656" w:rsidRDefault="00ED0E6B" w:rsidP="00ED0E6B">
      <w:r>
        <w:t xml:space="preserve">This approach typically requires </w:t>
      </w:r>
      <w:r w:rsidR="00F04A7D">
        <w:t>two-way</w:t>
      </w:r>
      <w:r>
        <w:t xml:space="preserve"> trust relationships that negate any potential security isolation benefits and the organization will be left with increased operational overhead for no benefit. The use of Read Only Domain Controllers (RODCs) for Azure-hosted resources also offers no meaningful security benefits, while adding increased operational overhead</w:t>
      </w:r>
      <w:r w:rsidR="006345E4">
        <w:t xml:space="preserve">. </w:t>
      </w:r>
    </w:p>
    <w:p w14:paraId="6C2F15E4" w14:textId="016167E2" w:rsidR="00062059" w:rsidRDefault="00EB5BA9" w:rsidP="005729D2">
      <w:pPr>
        <w:pStyle w:val="Heading3Numbered"/>
        <w:numPr>
          <w:ilvl w:val="2"/>
          <w:numId w:val="64"/>
        </w:numPr>
      </w:pPr>
      <w:bookmarkStart w:id="1199" w:name="_Toc423116724"/>
      <w:bookmarkStart w:id="1200" w:name="_Toc423117757"/>
      <w:bookmarkStart w:id="1201" w:name="_Toc423117207"/>
      <w:bookmarkStart w:id="1202" w:name="_Toc431288793"/>
      <w:r>
        <w:t xml:space="preserve">Subscription </w:t>
      </w:r>
      <w:bookmarkStart w:id="1203" w:name="_Toc414892071"/>
      <w:bookmarkStart w:id="1204" w:name="_Toc414960097"/>
      <w:bookmarkStart w:id="1205" w:name="_Toc414969068"/>
      <w:bookmarkStart w:id="1206" w:name="_Toc415011290"/>
      <w:bookmarkStart w:id="1207" w:name="_Toc415039980"/>
      <w:bookmarkStart w:id="1208" w:name="_Toc415572335"/>
      <w:bookmarkStart w:id="1209" w:name="_Toc415735500"/>
      <w:bookmarkStart w:id="1210" w:name="_Toc415814081"/>
      <w:bookmarkStart w:id="1211" w:name="_Toc416343816"/>
      <w:bookmarkStart w:id="1212" w:name="_Toc416863087"/>
      <w:bookmarkStart w:id="1213" w:name="_Toc417314690"/>
      <w:bookmarkStart w:id="1214" w:name="_Toc417323707"/>
      <w:bookmarkStart w:id="1215" w:name="_Toc417326796"/>
      <w:bookmarkStart w:id="1216" w:name="_Toc417330344"/>
      <w:bookmarkStart w:id="1217" w:name="_Toc417394950"/>
      <w:bookmarkStart w:id="1218" w:name="_Toc417399167"/>
      <w:bookmarkStart w:id="1219" w:name="_Toc417399326"/>
      <w:bookmarkStart w:id="1220" w:name="_Toc417400373"/>
      <w:bookmarkStart w:id="1221" w:name="_Toc417401221"/>
      <w:bookmarkStart w:id="1222" w:name="_Toc417419534"/>
      <w:bookmarkStart w:id="1223" w:name="_Toc417457306"/>
      <w:bookmarkStart w:id="1224" w:name="_Toc417481884"/>
      <w:bookmarkStart w:id="1225" w:name="_Toc417482142"/>
      <w:bookmarkStart w:id="1226" w:name="_Toc417499861"/>
      <w:bookmarkStart w:id="1227" w:name="_Toc417502683"/>
      <w:bookmarkStart w:id="1228" w:name="_Toc417548223"/>
      <w:bookmarkStart w:id="1229" w:name="_Toc417594455"/>
      <w:bookmarkStart w:id="1230" w:name="_Toc417934355"/>
      <w:bookmarkStart w:id="1231" w:name="_Toc417935694"/>
      <w:bookmarkStart w:id="1232" w:name="_Toc417936156"/>
      <w:bookmarkStart w:id="1233" w:name="_Toc417946818"/>
      <w:bookmarkStart w:id="1234" w:name="_Toc417947058"/>
      <w:bookmarkStart w:id="1235" w:name="_Toc417982435"/>
      <w:bookmarkStart w:id="1236" w:name="_Toc417985858"/>
      <w:r w:rsidR="00062059">
        <w:t>Naming Convention Considerations</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02"/>
    </w:p>
    <w:p w14:paraId="3EDF5D1C" w14:textId="5436E94D" w:rsidR="71D89587" w:rsidRDefault="71D89587">
      <w:r w:rsidRPr="71D89587">
        <w:rPr>
          <w:rFonts w:eastAsia="Segoe UI" w:cs="Segoe UI"/>
          <w:lang w:val="en"/>
        </w:rPr>
        <w:t>When</w:t>
      </w:r>
      <w:r w:rsidR="00ED0E6B" w:rsidRPr="71D89587">
        <w:rPr>
          <w:rFonts w:eastAsia="Segoe UI" w:cs="Segoe UI"/>
          <w:lang w:val="en"/>
        </w:rPr>
        <w:t xml:space="preserve"> naming the Microsoft Azure subscription, it is a recommend practice to be verbose. Try using the following format or a format that has been agreed upon by the stake </w:t>
      </w:r>
      <w:r w:rsidR="00ED0E6B" w:rsidRPr="691F6B60">
        <w:rPr>
          <w:rFonts w:eastAsia="Segoe UI" w:cs="Segoe UI"/>
          <w:lang w:val="en"/>
        </w:rPr>
        <w:t>holders</w:t>
      </w:r>
      <w:r w:rsidR="00ED0E6B" w:rsidRPr="71D89587">
        <w:rPr>
          <w:rFonts w:eastAsia="Segoe UI" w:cs="Segoe UI"/>
          <w:lang w:val="en"/>
        </w:rPr>
        <w:t xml:space="preserve"> for the company</w:t>
      </w:r>
      <w:r w:rsidRPr="71D89587">
        <w:rPr>
          <w:rFonts w:eastAsia="Segoe UI" w:cs="Segoe UI"/>
          <w:lang w:val="en"/>
        </w:rPr>
        <w:t>.</w:t>
      </w:r>
    </w:p>
    <w:p w14:paraId="3D76FB24" w14:textId="77777777" w:rsidR="00ED0E6B" w:rsidRPr="00C17379" w:rsidRDefault="00ED0E6B" w:rsidP="00ED0E6B">
      <w:pPr>
        <w:rPr>
          <w:rFonts w:eastAsia="Segoe UI" w:cs="Segoe UI"/>
          <w:b/>
          <w:lang w:val="en"/>
        </w:rPr>
      </w:pPr>
      <w:r w:rsidRPr="00C17379">
        <w:rPr>
          <w:rFonts w:eastAsia="Segoe UI" w:cs="Segoe UI"/>
          <w:b/>
          <w:lang w:val="en"/>
        </w:rPr>
        <w:t>&lt;Company&gt; &lt;Department (optional)&gt; &lt;Product Line (optional)&gt; &lt;Environment&gt;</w:t>
      </w:r>
    </w:p>
    <w:p w14:paraId="188D6035" w14:textId="77777777" w:rsidR="00ED0E6B" w:rsidRPr="00A152FD" w:rsidRDefault="00ED0E6B" w:rsidP="005729D2">
      <w:pPr>
        <w:pStyle w:val="ListParagraph"/>
        <w:numPr>
          <w:ilvl w:val="0"/>
          <w:numId w:val="151"/>
        </w:numPr>
      </w:pPr>
      <w:r w:rsidRPr="00C17379" w:rsidDel="00A152FD">
        <w:rPr>
          <w:b/>
        </w:rPr>
        <w:t>Company</w:t>
      </w:r>
      <w:r w:rsidRPr="00427783">
        <w:t>,</w:t>
      </w:r>
      <w:r w:rsidRPr="00A152FD" w:rsidDel="00A152FD">
        <w:t xml:space="preserve"> in most cases</w:t>
      </w:r>
      <w:r>
        <w:t>,</w:t>
      </w:r>
      <w:r w:rsidRPr="00A152FD" w:rsidDel="00A152FD">
        <w:t xml:space="preserve"> would be the same for each subscription</w:t>
      </w:r>
      <w:r>
        <w:t>.</w:t>
      </w:r>
      <w:r w:rsidRPr="00A152FD" w:rsidDel="00A152FD">
        <w:t xml:space="preserve"> </w:t>
      </w:r>
      <w:r>
        <w:t>H</w:t>
      </w:r>
      <w:r w:rsidRPr="00A152FD" w:rsidDel="00A152FD">
        <w:t>owever</w:t>
      </w:r>
      <w:r>
        <w:t>,</w:t>
      </w:r>
      <w:r w:rsidRPr="00A152FD" w:rsidDel="00A152FD">
        <w:t xml:space="preserve"> some companies may have child companies within the organizational structure</w:t>
      </w:r>
      <w:r>
        <w:t>. These companies may be</w:t>
      </w:r>
      <w:r w:rsidDel="00A152FD">
        <w:t xml:space="preserve"> </w:t>
      </w:r>
      <w:r w:rsidRPr="00A152FD" w:rsidDel="00A152FD">
        <w:t>managed by a cen</w:t>
      </w:r>
      <w:r w:rsidDel="00A152FD">
        <w:t>tral IT group, in which case</w:t>
      </w:r>
      <w:r>
        <w:t>,</w:t>
      </w:r>
      <w:r w:rsidDel="00A152FD">
        <w:t xml:space="preserve"> </w:t>
      </w:r>
      <w:r>
        <w:t>they c</w:t>
      </w:r>
      <w:r w:rsidRPr="00A152FD">
        <w:t xml:space="preserve">ould be </w:t>
      </w:r>
      <w:r>
        <w:t xml:space="preserve">differentiated by </w:t>
      </w:r>
      <w:r w:rsidRPr="00A152FD">
        <w:t>hav</w:t>
      </w:r>
      <w:r>
        <w:t>ing</w:t>
      </w:r>
      <w:r w:rsidRPr="00A152FD" w:rsidDel="00A152FD">
        <w:t xml:space="preserve"> both the parent company name </w:t>
      </w:r>
      <w:r>
        <w:t xml:space="preserve">(Contoso) </w:t>
      </w:r>
      <w:r w:rsidRPr="00A152FD" w:rsidDel="00A152FD">
        <w:t xml:space="preserve">and </w:t>
      </w:r>
      <w:r w:rsidDel="00A152FD">
        <w:t xml:space="preserve">child </w:t>
      </w:r>
      <w:r>
        <w:t>c</w:t>
      </w:r>
      <w:r w:rsidRPr="00A152FD">
        <w:t>ompany</w:t>
      </w:r>
      <w:r>
        <w:t xml:space="preserve"> </w:t>
      </w:r>
      <w:r w:rsidRPr="00A152FD">
        <w:t>name</w:t>
      </w:r>
      <w:r>
        <w:t xml:space="preserve"> (North Wind)</w:t>
      </w:r>
      <w:r w:rsidRPr="00A152FD">
        <w:t xml:space="preserve">. </w:t>
      </w:r>
    </w:p>
    <w:p w14:paraId="02B099B7" w14:textId="77777777" w:rsidR="00ED0E6B" w:rsidRPr="009E71C8" w:rsidRDefault="00ED0E6B" w:rsidP="005729D2">
      <w:pPr>
        <w:pStyle w:val="ListParagraph"/>
        <w:numPr>
          <w:ilvl w:val="0"/>
          <w:numId w:val="151"/>
        </w:numPr>
      </w:pPr>
      <w:r w:rsidRPr="009E71C8">
        <w:rPr>
          <w:rFonts w:eastAsia="Segoe UI" w:cs="Segoe UI"/>
          <w:b/>
          <w:bCs/>
          <w:lang w:val="en"/>
        </w:rPr>
        <w:t xml:space="preserve">Department </w:t>
      </w:r>
      <w:r w:rsidRPr="009E71C8">
        <w:rPr>
          <w:rFonts w:eastAsia="Segoe UI" w:cs="Segoe UI"/>
          <w:lang w:val="en"/>
        </w:rPr>
        <w:t>is a name within the organization where a group of individuals work. This item within the namespace as optional.</w:t>
      </w:r>
      <w:r>
        <w:rPr>
          <w:rFonts w:eastAsia="Segoe UI" w:cs="Segoe UI"/>
          <w:lang w:val="en"/>
        </w:rPr>
        <w:t xml:space="preserve"> </w:t>
      </w:r>
      <w:r w:rsidRPr="009E71C8">
        <w:rPr>
          <w:rFonts w:eastAsia="Segoe UI" w:cs="Segoe UI"/>
          <w:lang w:val="en"/>
        </w:rPr>
        <w:t>This is because some companies may not need to drill into such detail due to their size.</w:t>
      </w:r>
      <w:r>
        <w:rPr>
          <w:rFonts w:eastAsia="Segoe UI" w:cs="Segoe UI"/>
          <w:lang w:val="en"/>
        </w:rPr>
        <w:t xml:space="preserve"> </w:t>
      </w:r>
      <w:r w:rsidRPr="009E71C8">
        <w:rPr>
          <w:rFonts w:eastAsia="Segoe UI" w:cs="Segoe UI"/>
          <w:lang w:val="en"/>
        </w:rPr>
        <w:t xml:space="preserve">The company may want to use a different identifier. </w:t>
      </w:r>
    </w:p>
    <w:p w14:paraId="4C05A765" w14:textId="77777777" w:rsidR="00ED0E6B" w:rsidRDefault="00ED0E6B" w:rsidP="005729D2">
      <w:pPr>
        <w:pStyle w:val="ListParagraph"/>
        <w:numPr>
          <w:ilvl w:val="0"/>
          <w:numId w:val="151"/>
        </w:numPr>
      </w:pPr>
      <w:r w:rsidRPr="71D89587">
        <w:rPr>
          <w:rFonts w:eastAsia="Segoe UI" w:cs="Segoe UI"/>
          <w:b/>
          <w:lang w:val="en"/>
        </w:rPr>
        <w:t>Product</w:t>
      </w:r>
      <w:r>
        <w:rPr>
          <w:rFonts w:eastAsia="Segoe UI" w:cs="Segoe UI"/>
          <w:b/>
          <w:lang w:val="en"/>
        </w:rPr>
        <w:t xml:space="preserve"> l</w:t>
      </w:r>
      <w:r w:rsidRPr="71D89587">
        <w:rPr>
          <w:rFonts w:eastAsia="Segoe UI" w:cs="Segoe UI"/>
          <w:b/>
          <w:lang w:val="en"/>
        </w:rPr>
        <w:t>ine</w:t>
      </w:r>
      <w:r w:rsidRPr="71D89587">
        <w:rPr>
          <w:rFonts w:eastAsia="Segoe UI" w:cs="Segoe UI"/>
          <w:lang w:val="en"/>
        </w:rPr>
        <w:t xml:space="preserve"> is a specific name for a product or function </w:t>
      </w:r>
      <w:r>
        <w:rPr>
          <w:rFonts w:eastAsia="Segoe UI" w:cs="Segoe UI"/>
          <w:lang w:val="en"/>
        </w:rPr>
        <w:t xml:space="preserve">that is </w:t>
      </w:r>
      <w:r w:rsidRPr="71D89587">
        <w:rPr>
          <w:rFonts w:eastAsia="Segoe UI" w:cs="Segoe UI"/>
          <w:lang w:val="en"/>
        </w:rPr>
        <w:t>performed from within the department.</w:t>
      </w:r>
      <w:r>
        <w:rPr>
          <w:rFonts w:eastAsia="Segoe UI" w:cs="Segoe UI"/>
          <w:lang w:val="en"/>
        </w:rPr>
        <w:t xml:space="preserve"> </w:t>
      </w:r>
      <w:r w:rsidRPr="71D89587">
        <w:rPr>
          <w:rFonts w:eastAsia="Segoe UI" w:cs="Segoe UI"/>
          <w:lang w:val="en"/>
        </w:rPr>
        <w:t>As with the department namespace</w:t>
      </w:r>
      <w:r>
        <w:rPr>
          <w:rFonts w:eastAsia="Segoe UI" w:cs="Segoe UI"/>
          <w:lang w:val="en"/>
        </w:rPr>
        <w:t>,</w:t>
      </w:r>
      <w:r w:rsidRPr="71D89587">
        <w:rPr>
          <w:rFonts w:eastAsia="Segoe UI" w:cs="Segoe UI"/>
          <w:lang w:val="en"/>
        </w:rPr>
        <w:t xml:space="preserve"> this area is optional and can be swapped out as needed.</w:t>
      </w:r>
      <w:r>
        <w:rPr>
          <w:rFonts w:eastAsia="Segoe UI" w:cs="Segoe UI"/>
          <w:lang w:val="en"/>
        </w:rPr>
        <w:t xml:space="preserve"> </w:t>
      </w:r>
    </w:p>
    <w:p w14:paraId="0FF3A417" w14:textId="612E0E49" w:rsidR="00ED0E6B" w:rsidRPr="00ED0E6B" w:rsidRDefault="00ED0E6B" w:rsidP="005729D2">
      <w:pPr>
        <w:pStyle w:val="ListParagraph"/>
        <w:numPr>
          <w:ilvl w:val="0"/>
          <w:numId w:val="151"/>
        </w:numPr>
      </w:pPr>
      <w:r w:rsidRPr="71D89587">
        <w:rPr>
          <w:rFonts w:eastAsia="Segoe UI" w:cs="Segoe UI"/>
          <w:b/>
          <w:lang w:val="en"/>
        </w:rPr>
        <w:t>Environment</w:t>
      </w:r>
      <w:r w:rsidRPr="71D89587">
        <w:rPr>
          <w:rFonts w:eastAsia="Segoe UI" w:cs="Segoe UI"/>
          <w:lang w:val="en"/>
        </w:rPr>
        <w:t xml:space="preserve"> is the name that describes the deployment lifecycle of the applications or services</w:t>
      </w:r>
      <w:r>
        <w:rPr>
          <w:rFonts w:eastAsia="Segoe UI" w:cs="Segoe UI"/>
          <w:lang w:val="en"/>
        </w:rPr>
        <w:t>, such as Dev, Lab, or Prod.</w:t>
      </w:r>
    </w:p>
    <w:p w14:paraId="3F450D85" w14:textId="26400915" w:rsidR="71D89587" w:rsidRDefault="00ED0E6B" w:rsidP="00ED0E6B">
      <w:r w:rsidRPr="00ED0E6B">
        <w:rPr>
          <w:rFonts w:eastAsia="Segoe UI" w:cs="Segoe UI"/>
          <w:lang w:val="en"/>
        </w:rPr>
        <w:t>What you are trying to accomplish with a naming convention, is to put together a meaningful name about the particular subscription and how it is represented within the company. Many organizations will have more than one subscription, which is why it is important to have a naming convention and use it consistently when creating subscriptions.</w:t>
      </w:r>
    </w:p>
    <w:p w14:paraId="55FAB981" w14:textId="77777777" w:rsidR="00A14479" w:rsidRDefault="00A14479" w:rsidP="00A14479">
      <w:r w:rsidRPr="00ED0E6B">
        <w:rPr>
          <w:rFonts w:eastAsia="Segoe UI" w:cs="Segoe UI"/>
          <w:b/>
          <w:lang w:val="en"/>
        </w:rPr>
        <w:t>NOTE</w:t>
      </w:r>
      <w:r>
        <w:rPr>
          <w:rFonts w:eastAsia="Segoe UI" w:cs="Segoe UI"/>
          <w:lang w:val="en"/>
        </w:rPr>
        <w:t xml:space="preserve">: </w:t>
      </w:r>
      <w:r>
        <w:t>In CSP-specific scenarios the naming convention can also incorporate the CSP identifier to mark the subscription as managed by a service provider.</w:t>
      </w:r>
    </w:p>
    <w:p w14:paraId="3E31E28F" w14:textId="77777777" w:rsidR="000137C1" w:rsidRDefault="000137C1" w:rsidP="000137C1">
      <w:pPr>
        <w:rPr>
          <w:rFonts w:eastAsia="Segoe UI" w:cs="Segoe UI"/>
          <w:lang w:val="en"/>
        </w:rPr>
      </w:pPr>
      <w:bookmarkStart w:id="1237" w:name="_Toc417946819"/>
      <w:bookmarkStart w:id="1238" w:name="_Toc417947060"/>
      <w:r w:rsidRPr="71D89587">
        <w:rPr>
          <w:rFonts w:eastAsia="Segoe UI" w:cs="Segoe UI"/>
          <w:lang w:val="en"/>
        </w:rPr>
        <w:t xml:space="preserve">This is </w:t>
      </w:r>
      <w:r>
        <w:rPr>
          <w:rFonts w:eastAsia="Segoe UI" w:cs="Segoe UI"/>
          <w:lang w:val="en"/>
        </w:rPr>
        <w:t>simply</w:t>
      </w:r>
      <w:r w:rsidRPr="71D89587">
        <w:rPr>
          <w:rFonts w:eastAsia="Segoe UI" w:cs="Segoe UI"/>
          <w:lang w:val="en"/>
        </w:rPr>
        <w:t xml:space="preserve"> an example </w:t>
      </w:r>
      <w:r>
        <w:rPr>
          <w:rFonts w:eastAsia="Segoe UI" w:cs="Segoe UI"/>
          <w:lang w:val="en"/>
        </w:rPr>
        <w:t>naming convention</w:t>
      </w:r>
      <w:r w:rsidRPr="71D89587">
        <w:rPr>
          <w:rFonts w:eastAsia="Segoe UI" w:cs="Segoe UI"/>
          <w:lang w:val="en"/>
        </w:rPr>
        <w:t xml:space="preserve"> to use as a base.</w:t>
      </w:r>
      <w:r>
        <w:rPr>
          <w:rFonts w:eastAsia="Segoe UI" w:cs="Segoe UI"/>
          <w:lang w:val="en"/>
        </w:rPr>
        <w:t xml:space="preserve"> Many of the decisions about the naming convention will come from the subscription model that is chosen. </w:t>
      </w:r>
    </w:p>
    <w:p w14:paraId="46D61AA9" w14:textId="0BDE4489" w:rsidR="00C423F2" w:rsidRDefault="000137C1" w:rsidP="000137C1">
      <w:pPr>
        <w:rPr>
          <w:rFonts w:eastAsia="Segoe UI" w:cs="Segoe UI"/>
          <w:lang w:val="en"/>
        </w:rPr>
      </w:pPr>
      <w:r>
        <w:rPr>
          <w:rFonts w:eastAsia="Segoe UI" w:cs="Segoe UI"/>
          <w:lang w:val="en"/>
        </w:rPr>
        <w:t>The following table shows how a company might use the naming convention outlined previously.</w:t>
      </w:r>
    </w:p>
    <w:tbl>
      <w:tblPr>
        <w:tblStyle w:val="PlainTable11"/>
        <w:tblW w:w="9715" w:type="dxa"/>
        <w:tblLayout w:type="fixed"/>
        <w:tblLook w:val="04A0" w:firstRow="1" w:lastRow="0" w:firstColumn="1" w:lastColumn="0" w:noHBand="0" w:noVBand="1"/>
      </w:tblPr>
      <w:tblGrid>
        <w:gridCol w:w="1435"/>
        <w:gridCol w:w="1890"/>
        <w:gridCol w:w="1440"/>
        <w:gridCol w:w="1440"/>
        <w:gridCol w:w="3510"/>
      </w:tblGrid>
      <w:tr w:rsidR="001D7259" w14:paraId="28F3A688" w14:textId="5F47F609" w:rsidTr="00AF3EA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shd w:val="clear" w:color="auto" w:fill="808080" w:themeFill="background1" w:themeFillShade="80"/>
            <w:hideMark/>
          </w:tcPr>
          <w:p w14:paraId="63A389B8" w14:textId="73EE3EBD" w:rsidR="001D7259" w:rsidRPr="00C17379" w:rsidRDefault="001D7259" w:rsidP="001D7259">
            <w:pPr>
              <w:spacing w:line="240" w:lineRule="auto"/>
              <w:rPr>
                <w:rFonts w:ascii="Times New Roman" w:hAnsi="Times New Roman"/>
                <w:b w:val="0"/>
                <w:bCs w:val="0"/>
                <w:color w:val="FFFFFF"/>
                <w:sz w:val="20"/>
                <w:szCs w:val="20"/>
                <w:lang w:val="en-AU" w:eastAsia="en-AU"/>
              </w:rPr>
            </w:pPr>
            <w:bookmarkStart w:id="1239" w:name="_Toc418000583"/>
            <w:bookmarkStart w:id="1240" w:name="_Toc418003725"/>
            <w:bookmarkStart w:id="1241" w:name="_Toc418011933"/>
            <w:bookmarkStart w:id="1242" w:name="_Toc418014581"/>
            <w:bookmarkStart w:id="1243" w:name="_Toc417982436"/>
            <w:bookmarkStart w:id="1244" w:name="_Toc417985859"/>
            <w:r w:rsidRPr="00C17379">
              <w:rPr>
                <w:rFonts w:eastAsia="Calibri"/>
                <w:b w:val="0"/>
                <w:bCs w:val="0"/>
                <w:color w:val="FFFFFF"/>
                <w:sz w:val="20"/>
                <w:szCs w:val="20"/>
                <w:lang w:val="en-AU" w:eastAsia="en-AU"/>
              </w:rPr>
              <w:t>Company</w:t>
            </w:r>
          </w:p>
        </w:tc>
        <w:tc>
          <w:tcPr>
            <w:tcW w:w="1890" w:type="dxa"/>
            <w:shd w:val="clear" w:color="auto" w:fill="808080" w:themeFill="background1" w:themeFillShade="80"/>
            <w:hideMark/>
          </w:tcPr>
          <w:p w14:paraId="13E73BF3" w14:textId="663A4C9B" w:rsidR="001D7259" w:rsidRPr="00C17379" w:rsidRDefault="001D7259" w:rsidP="001D7259">
            <w:pPr>
              <w:spacing w:line="240" w:lineRule="auto"/>
              <w:cnfStyle w:val="100000000000" w:firstRow="1" w:lastRow="0" w:firstColumn="0" w:lastColumn="0" w:oddVBand="0" w:evenVBand="0" w:oddHBand="0" w:evenHBand="0" w:firstRowFirstColumn="0" w:firstRowLastColumn="0" w:lastRowFirstColumn="0" w:lastRowLastColumn="0"/>
              <w:rPr>
                <w:rFonts w:eastAsia="Calibri"/>
                <w:b w:val="0"/>
                <w:color w:val="FFFFFF"/>
                <w:sz w:val="20"/>
                <w:szCs w:val="20"/>
                <w:lang w:val="en-AU" w:eastAsia="en-AU"/>
              </w:rPr>
            </w:pPr>
            <w:r w:rsidRPr="00C17379">
              <w:rPr>
                <w:rFonts w:eastAsia="Calibri"/>
                <w:b w:val="0"/>
                <w:bCs w:val="0"/>
                <w:color w:val="FFFFFF"/>
                <w:sz w:val="20"/>
                <w:szCs w:val="20"/>
                <w:lang w:val="en-AU" w:eastAsia="en-AU"/>
              </w:rPr>
              <w:t>Department (OU)</w:t>
            </w:r>
          </w:p>
        </w:tc>
        <w:tc>
          <w:tcPr>
            <w:tcW w:w="1440" w:type="dxa"/>
            <w:shd w:val="clear" w:color="auto" w:fill="808080" w:themeFill="background1" w:themeFillShade="80"/>
          </w:tcPr>
          <w:p w14:paraId="436BE8E6" w14:textId="444CB62E" w:rsidR="001D7259" w:rsidRPr="00C17379" w:rsidRDefault="001D7259" w:rsidP="001D7259">
            <w:pPr>
              <w:spacing w:line="240" w:lineRule="auto"/>
              <w:cnfStyle w:val="100000000000" w:firstRow="1" w:lastRow="0" w:firstColumn="0" w:lastColumn="0" w:oddVBand="0" w:evenVBand="0" w:oddHBand="0" w:evenHBand="0" w:firstRowFirstColumn="0" w:firstRowLastColumn="0" w:lastRowFirstColumn="0" w:lastRowLastColumn="0"/>
              <w:rPr>
                <w:rFonts w:eastAsia="Calibri"/>
                <w:b w:val="0"/>
                <w:bCs w:val="0"/>
                <w:color w:val="FFFFFF"/>
                <w:sz w:val="20"/>
                <w:szCs w:val="20"/>
                <w:lang w:val="en-AU" w:eastAsia="en-AU"/>
              </w:rPr>
            </w:pPr>
            <w:r w:rsidRPr="00C17379">
              <w:rPr>
                <w:rFonts w:eastAsia="Calibri"/>
                <w:b w:val="0"/>
                <w:bCs w:val="0"/>
                <w:color w:val="FFFFFF"/>
                <w:sz w:val="20"/>
                <w:szCs w:val="20"/>
                <w:lang w:val="en-AU" w:eastAsia="en-AU"/>
              </w:rPr>
              <w:t>Product Line</w:t>
            </w:r>
          </w:p>
        </w:tc>
        <w:tc>
          <w:tcPr>
            <w:tcW w:w="1440" w:type="dxa"/>
            <w:shd w:val="clear" w:color="auto" w:fill="808080" w:themeFill="background1" w:themeFillShade="80"/>
          </w:tcPr>
          <w:p w14:paraId="2F475F3A" w14:textId="4DF5D4AF" w:rsidR="001D7259" w:rsidRPr="00C17379" w:rsidRDefault="001D7259" w:rsidP="001D7259">
            <w:pPr>
              <w:spacing w:line="240" w:lineRule="auto"/>
              <w:cnfStyle w:val="100000000000" w:firstRow="1" w:lastRow="0" w:firstColumn="0" w:lastColumn="0" w:oddVBand="0" w:evenVBand="0" w:oddHBand="0" w:evenHBand="0" w:firstRowFirstColumn="0" w:firstRowLastColumn="0" w:lastRowFirstColumn="0" w:lastRowLastColumn="0"/>
              <w:rPr>
                <w:rFonts w:eastAsia="Calibri"/>
                <w:b w:val="0"/>
                <w:bCs w:val="0"/>
                <w:color w:val="FFFFFF"/>
                <w:sz w:val="20"/>
                <w:szCs w:val="20"/>
                <w:lang w:val="en-AU" w:eastAsia="en-AU"/>
              </w:rPr>
            </w:pPr>
            <w:r w:rsidRPr="00C17379">
              <w:rPr>
                <w:rFonts w:eastAsia="Calibri"/>
                <w:b w:val="0"/>
                <w:bCs w:val="0"/>
                <w:color w:val="FFFFFF"/>
                <w:sz w:val="20"/>
                <w:szCs w:val="20"/>
                <w:lang w:val="en-AU" w:eastAsia="en-AU"/>
              </w:rPr>
              <w:t>Environment</w:t>
            </w:r>
          </w:p>
        </w:tc>
        <w:tc>
          <w:tcPr>
            <w:tcW w:w="3510" w:type="dxa"/>
            <w:shd w:val="clear" w:color="auto" w:fill="808080" w:themeFill="background1" w:themeFillShade="80"/>
          </w:tcPr>
          <w:p w14:paraId="66B6AE2E" w14:textId="6AED0C79" w:rsidR="001D7259" w:rsidRPr="00C17379" w:rsidRDefault="001D7259" w:rsidP="001D7259">
            <w:pPr>
              <w:spacing w:line="240" w:lineRule="auto"/>
              <w:cnfStyle w:val="100000000000" w:firstRow="1" w:lastRow="0" w:firstColumn="0" w:lastColumn="0" w:oddVBand="0" w:evenVBand="0" w:oddHBand="0" w:evenHBand="0" w:firstRowFirstColumn="0" w:firstRowLastColumn="0" w:lastRowFirstColumn="0" w:lastRowLastColumn="0"/>
              <w:rPr>
                <w:rFonts w:eastAsia="Calibri"/>
                <w:b w:val="0"/>
                <w:bCs w:val="0"/>
                <w:color w:val="FFFFFF"/>
                <w:sz w:val="20"/>
                <w:szCs w:val="20"/>
                <w:lang w:val="en-AU" w:eastAsia="en-AU"/>
              </w:rPr>
            </w:pPr>
            <w:r w:rsidRPr="00C17379">
              <w:rPr>
                <w:rFonts w:eastAsia="Calibri"/>
                <w:b w:val="0"/>
                <w:bCs w:val="0"/>
                <w:color w:val="FFFFFF"/>
                <w:sz w:val="20"/>
                <w:szCs w:val="20"/>
                <w:lang w:val="en-AU" w:eastAsia="en-AU"/>
              </w:rPr>
              <w:t>Full Name</w:t>
            </w:r>
          </w:p>
        </w:tc>
      </w:tr>
      <w:tr w:rsidR="001D7259" w14:paraId="6684891F" w14:textId="0944FEAB" w:rsidTr="00AF3E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hideMark/>
          </w:tcPr>
          <w:p w14:paraId="26486D4D" w14:textId="2107ABF5" w:rsidR="001D7259" w:rsidRPr="00236F1B" w:rsidRDefault="007D3FC2" w:rsidP="001D7259">
            <w:pPr>
              <w:pStyle w:val="NormalWeb"/>
              <w:rPr>
                <w:rFonts w:ascii="Segoe UI" w:hAnsi="Segoe UI" w:cs="Segoe UI"/>
                <w:sz w:val="20"/>
                <w:szCs w:val="20"/>
                <w:lang w:val="en-AU" w:eastAsia="en-AU"/>
              </w:rPr>
            </w:pPr>
            <w:r>
              <w:rPr>
                <w:rFonts w:ascii="Segoe UI" w:hAnsi="Segoe UI" w:cs="Segoe UI"/>
                <w:sz w:val="20"/>
                <w:szCs w:val="20"/>
                <w:lang w:val="en-AU" w:eastAsia="en-AU"/>
              </w:rPr>
              <w:t>Contoso</w:t>
            </w:r>
          </w:p>
        </w:tc>
        <w:tc>
          <w:tcPr>
            <w:tcW w:w="1890" w:type="dxa"/>
            <w:hideMark/>
          </w:tcPr>
          <w:p w14:paraId="4395D7CC" w14:textId="3584EEC7" w:rsidR="001D7259" w:rsidRPr="00F47607" w:rsidRDefault="007D3FC2" w:rsidP="001D725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Services</w:t>
            </w:r>
          </w:p>
        </w:tc>
        <w:tc>
          <w:tcPr>
            <w:tcW w:w="1440" w:type="dxa"/>
          </w:tcPr>
          <w:p w14:paraId="32A15162" w14:textId="105DEEE0" w:rsidR="001D7259" w:rsidRDefault="001D7259" w:rsidP="001D725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Business</w:t>
            </w:r>
          </w:p>
        </w:tc>
        <w:tc>
          <w:tcPr>
            <w:tcW w:w="1440" w:type="dxa"/>
          </w:tcPr>
          <w:p w14:paraId="52A6381B" w14:textId="7EA1B813" w:rsidR="001D7259" w:rsidRDefault="001D7259" w:rsidP="001D725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Dev</w:t>
            </w:r>
          </w:p>
        </w:tc>
        <w:tc>
          <w:tcPr>
            <w:tcW w:w="3510" w:type="dxa"/>
          </w:tcPr>
          <w:p w14:paraId="36EAA570" w14:textId="7FCFAC16" w:rsidR="001D7259" w:rsidRDefault="007D3FC2" w:rsidP="001D725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Contoso Services</w:t>
            </w:r>
            <w:r w:rsidR="001D7259">
              <w:rPr>
                <w:rFonts w:ascii="Segoe UI" w:hAnsi="Segoe UI" w:cs="Segoe UI"/>
                <w:sz w:val="20"/>
                <w:szCs w:val="20"/>
                <w:lang w:val="en-AU" w:eastAsia="en-AU"/>
              </w:rPr>
              <w:t xml:space="preserve"> Business Dev</w:t>
            </w:r>
          </w:p>
        </w:tc>
      </w:tr>
      <w:tr w:rsidR="001D7259" w14:paraId="5E1FCC3A" w14:textId="62D97FD2" w:rsidTr="00AF3EA0">
        <w:tc>
          <w:tcPr>
            <w:cnfStyle w:val="001000000000" w:firstRow="0" w:lastRow="0" w:firstColumn="1" w:lastColumn="0" w:oddVBand="0" w:evenVBand="0" w:oddHBand="0" w:evenHBand="0" w:firstRowFirstColumn="0" w:firstRowLastColumn="0" w:lastRowFirstColumn="0" w:lastRowLastColumn="0"/>
            <w:tcW w:w="1435" w:type="dxa"/>
            <w:hideMark/>
          </w:tcPr>
          <w:p w14:paraId="058D4634" w14:textId="12EBF3D0" w:rsidR="001D7259" w:rsidRPr="00236F1B" w:rsidRDefault="007D3FC2" w:rsidP="001D7259">
            <w:pPr>
              <w:pStyle w:val="NormalWeb"/>
              <w:rPr>
                <w:rFonts w:ascii="Segoe UI" w:hAnsi="Segoe UI" w:cs="Segoe UI"/>
                <w:sz w:val="20"/>
                <w:szCs w:val="20"/>
                <w:lang w:val="en-AU" w:eastAsia="en-AU"/>
              </w:rPr>
            </w:pPr>
            <w:r>
              <w:rPr>
                <w:rFonts w:ascii="Segoe UI" w:hAnsi="Segoe UI" w:cs="Segoe UI"/>
                <w:sz w:val="20"/>
                <w:szCs w:val="20"/>
                <w:lang w:val="en-AU" w:eastAsia="en-AU"/>
              </w:rPr>
              <w:t>Contoso</w:t>
            </w:r>
          </w:p>
        </w:tc>
        <w:tc>
          <w:tcPr>
            <w:tcW w:w="1890" w:type="dxa"/>
            <w:hideMark/>
          </w:tcPr>
          <w:p w14:paraId="17CAE780" w14:textId="65A2CC78" w:rsidR="001D7259" w:rsidRPr="00F47607" w:rsidRDefault="007D3FC2" w:rsidP="001D725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Services</w:t>
            </w:r>
          </w:p>
        </w:tc>
        <w:tc>
          <w:tcPr>
            <w:tcW w:w="1440" w:type="dxa"/>
          </w:tcPr>
          <w:p w14:paraId="50E4B600" w14:textId="06B9C4B2" w:rsidR="001D7259" w:rsidRDefault="001D7259" w:rsidP="001D725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Business</w:t>
            </w:r>
          </w:p>
        </w:tc>
        <w:tc>
          <w:tcPr>
            <w:tcW w:w="1440" w:type="dxa"/>
          </w:tcPr>
          <w:p w14:paraId="5577429B" w14:textId="1FBB987D" w:rsidR="001D7259" w:rsidRDefault="001D7259" w:rsidP="001D725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Lab</w:t>
            </w:r>
          </w:p>
        </w:tc>
        <w:tc>
          <w:tcPr>
            <w:tcW w:w="3510" w:type="dxa"/>
          </w:tcPr>
          <w:p w14:paraId="4D0975BA" w14:textId="019E5037" w:rsidR="001D7259" w:rsidRDefault="007D3FC2" w:rsidP="001D725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Contoso Services</w:t>
            </w:r>
            <w:r w:rsidR="001D7259">
              <w:rPr>
                <w:rFonts w:ascii="Segoe UI" w:hAnsi="Segoe UI" w:cs="Segoe UI"/>
                <w:sz w:val="20"/>
                <w:szCs w:val="20"/>
                <w:lang w:val="en-AU" w:eastAsia="en-AU"/>
              </w:rPr>
              <w:t xml:space="preserve"> Business Lab</w:t>
            </w:r>
          </w:p>
        </w:tc>
      </w:tr>
      <w:tr w:rsidR="001D7259" w14:paraId="0DBAD31D" w14:textId="7EF6439F" w:rsidTr="00AF3E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Pr>
          <w:p w14:paraId="04EAA5CA" w14:textId="720A8B56" w:rsidR="001D7259" w:rsidRPr="00236F1B" w:rsidRDefault="007D3FC2" w:rsidP="001D7259">
            <w:pPr>
              <w:pStyle w:val="NormalWeb"/>
              <w:rPr>
                <w:rFonts w:ascii="Segoe UI" w:hAnsi="Segoe UI" w:cs="Segoe UI"/>
                <w:sz w:val="20"/>
                <w:szCs w:val="20"/>
                <w:lang w:val="en-AU" w:eastAsia="en-AU"/>
              </w:rPr>
            </w:pPr>
            <w:r>
              <w:rPr>
                <w:rFonts w:ascii="Segoe UI" w:hAnsi="Segoe UI" w:cs="Segoe UI"/>
                <w:sz w:val="20"/>
                <w:szCs w:val="20"/>
                <w:lang w:val="en-AU" w:eastAsia="en-AU"/>
              </w:rPr>
              <w:t>Contoso</w:t>
            </w:r>
          </w:p>
        </w:tc>
        <w:tc>
          <w:tcPr>
            <w:tcW w:w="1890" w:type="dxa"/>
          </w:tcPr>
          <w:p w14:paraId="0E026A75" w14:textId="7697BF2B" w:rsidR="001D7259" w:rsidRPr="00236F1B" w:rsidRDefault="007D3FC2" w:rsidP="001D725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Services</w:t>
            </w:r>
          </w:p>
        </w:tc>
        <w:tc>
          <w:tcPr>
            <w:tcW w:w="1440" w:type="dxa"/>
          </w:tcPr>
          <w:p w14:paraId="00E1AF0E" w14:textId="06C6F98E" w:rsidR="001D7259" w:rsidRDefault="001D7259" w:rsidP="001D725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Business</w:t>
            </w:r>
          </w:p>
        </w:tc>
        <w:tc>
          <w:tcPr>
            <w:tcW w:w="1440" w:type="dxa"/>
          </w:tcPr>
          <w:p w14:paraId="3862A3E1" w14:textId="1A607C6D" w:rsidR="001D7259" w:rsidRDefault="001D7259" w:rsidP="001D725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Prod</w:t>
            </w:r>
          </w:p>
        </w:tc>
        <w:tc>
          <w:tcPr>
            <w:tcW w:w="3510" w:type="dxa"/>
          </w:tcPr>
          <w:p w14:paraId="488D2FE9" w14:textId="605DA72F" w:rsidR="001D7259" w:rsidRDefault="007D3FC2" w:rsidP="001D725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Contoso Services</w:t>
            </w:r>
            <w:r w:rsidR="001D7259">
              <w:rPr>
                <w:rFonts w:ascii="Segoe UI" w:hAnsi="Segoe UI" w:cs="Segoe UI"/>
                <w:sz w:val="20"/>
                <w:szCs w:val="20"/>
                <w:lang w:val="en-AU" w:eastAsia="en-AU"/>
              </w:rPr>
              <w:t xml:space="preserve"> Business Prod</w:t>
            </w:r>
          </w:p>
        </w:tc>
      </w:tr>
      <w:tr w:rsidR="001D7259" w14:paraId="7B3062AE" w14:textId="6B73CEF0" w:rsidTr="00AF3EA0">
        <w:tc>
          <w:tcPr>
            <w:cnfStyle w:val="001000000000" w:firstRow="0" w:lastRow="0" w:firstColumn="1" w:lastColumn="0" w:oddVBand="0" w:evenVBand="0" w:oddHBand="0" w:evenHBand="0" w:firstRowFirstColumn="0" w:firstRowLastColumn="0" w:lastRowFirstColumn="0" w:lastRowLastColumn="0"/>
            <w:tcW w:w="1435" w:type="dxa"/>
          </w:tcPr>
          <w:p w14:paraId="5341B362" w14:textId="01CAE72E" w:rsidR="001D7259" w:rsidRDefault="007D3FC2" w:rsidP="001D7259">
            <w:pPr>
              <w:pStyle w:val="NormalWeb"/>
              <w:rPr>
                <w:rFonts w:ascii="Segoe UI" w:hAnsi="Segoe UI" w:cs="Segoe UI"/>
                <w:sz w:val="20"/>
                <w:szCs w:val="20"/>
                <w:lang w:val="en-AU" w:eastAsia="en-AU"/>
              </w:rPr>
            </w:pPr>
            <w:r>
              <w:rPr>
                <w:rFonts w:ascii="Segoe UI" w:hAnsi="Segoe UI" w:cs="Segoe UI"/>
                <w:sz w:val="20"/>
                <w:szCs w:val="20"/>
                <w:lang w:val="en-AU" w:eastAsia="en-AU"/>
              </w:rPr>
              <w:t>Contoso</w:t>
            </w:r>
          </w:p>
        </w:tc>
        <w:tc>
          <w:tcPr>
            <w:tcW w:w="1890" w:type="dxa"/>
          </w:tcPr>
          <w:p w14:paraId="1A8BAB1E" w14:textId="368DC4F1" w:rsidR="001D7259" w:rsidRDefault="007D3FC2" w:rsidP="001D725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Services</w:t>
            </w:r>
          </w:p>
        </w:tc>
        <w:tc>
          <w:tcPr>
            <w:tcW w:w="1440" w:type="dxa"/>
          </w:tcPr>
          <w:p w14:paraId="01DF6C9C" w14:textId="16E27E53" w:rsidR="001D7259" w:rsidRDefault="001D7259" w:rsidP="001D725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Consumer</w:t>
            </w:r>
          </w:p>
        </w:tc>
        <w:tc>
          <w:tcPr>
            <w:tcW w:w="1440" w:type="dxa"/>
          </w:tcPr>
          <w:p w14:paraId="19A48435" w14:textId="0A14EC8E" w:rsidR="001D7259" w:rsidRDefault="001D7259" w:rsidP="001D725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Dev</w:t>
            </w:r>
          </w:p>
        </w:tc>
        <w:tc>
          <w:tcPr>
            <w:tcW w:w="3510" w:type="dxa"/>
          </w:tcPr>
          <w:p w14:paraId="54D6D076" w14:textId="3CC8AF2B" w:rsidR="001D7259" w:rsidRDefault="007D3FC2" w:rsidP="001D725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Contoso Services</w:t>
            </w:r>
            <w:r w:rsidR="001D7259">
              <w:rPr>
                <w:rFonts w:ascii="Segoe UI" w:hAnsi="Segoe UI" w:cs="Segoe UI"/>
                <w:sz w:val="20"/>
                <w:szCs w:val="20"/>
                <w:lang w:val="en-AU" w:eastAsia="en-AU"/>
              </w:rPr>
              <w:t xml:space="preserve"> Consumer Dev</w:t>
            </w:r>
          </w:p>
        </w:tc>
      </w:tr>
      <w:tr w:rsidR="001D7259" w14:paraId="09B11130" w14:textId="500821B2" w:rsidTr="00AF3E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Pr>
          <w:p w14:paraId="0A46A3AD" w14:textId="4A59504F" w:rsidR="001D7259" w:rsidRDefault="007D3FC2" w:rsidP="001D7259">
            <w:pPr>
              <w:pStyle w:val="NormalWeb"/>
              <w:rPr>
                <w:rFonts w:ascii="Segoe UI" w:hAnsi="Segoe UI" w:cs="Segoe UI"/>
                <w:sz w:val="20"/>
                <w:szCs w:val="20"/>
                <w:lang w:val="en-AU" w:eastAsia="en-AU"/>
              </w:rPr>
            </w:pPr>
            <w:r>
              <w:rPr>
                <w:rFonts w:ascii="Segoe UI" w:hAnsi="Segoe UI" w:cs="Segoe UI"/>
                <w:sz w:val="20"/>
                <w:szCs w:val="20"/>
                <w:lang w:val="en-AU" w:eastAsia="en-AU"/>
              </w:rPr>
              <w:t>Contoso</w:t>
            </w:r>
          </w:p>
        </w:tc>
        <w:tc>
          <w:tcPr>
            <w:tcW w:w="1890" w:type="dxa"/>
          </w:tcPr>
          <w:p w14:paraId="5301DE11" w14:textId="6AF4DBED" w:rsidR="001D7259" w:rsidRDefault="007D3FC2" w:rsidP="001D725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Services</w:t>
            </w:r>
          </w:p>
        </w:tc>
        <w:tc>
          <w:tcPr>
            <w:tcW w:w="1440" w:type="dxa"/>
          </w:tcPr>
          <w:p w14:paraId="53027FD2" w14:textId="51F72FA0" w:rsidR="001D7259" w:rsidRDefault="001D7259" w:rsidP="001D725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Consumer</w:t>
            </w:r>
          </w:p>
        </w:tc>
        <w:tc>
          <w:tcPr>
            <w:tcW w:w="1440" w:type="dxa"/>
          </w:tcPr>
          <w:p w14:paraId="175D9B90" w14:textId="12EAFE58" w:rsidR="001D7259" w:rsidRDefault="001D7259" w:rsidP="001D725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Lab</w:t>
            </w:r>
          </w:p>
        </w:tc>
        <w:tc>
          <w:tcPr>
            <w:tcW w:w="3510" w:type="dxa"/>
          </w:tcPr>
          <w:p w14:paraId="630199E8" w14:textId="69CD39CD" w:rsidR="001D7259" w:rsidRDefault="00EE65F0" w:rsidP="001D725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Contoso Services</w:t>
            </w:r>
            <w:r w:rsidR="001D7259">
              <w:rPr>
                <w:rFonts w:ascii="Segoe UI" w:hAnsi="Segoe UI" w:cs="Segoe UI"/>
                <w:sz w:val="20"/>
                <w:szCs w:val="20"/>
                <w:lang w:val="en-AU" w:eastAsia="en-AU"/>
              </w:rPr>
              <w:t xml:space="preserve"> Consumer Lab</w:t>
            </w:r>
          </w:p>
        </w:tc>
      </w:tr>
      <w:tr w:rsidR="001D7259" w14:paraId="52E335AB" w14:textId="4F7A36DE" w:rsidTr="00AF3EA0">
        <w:tc>
          <w:tcPr>
            <w:cnfStyle w:val="001000000000" w:firstRow="0" w:lastRow="0" w:firstColumn="1" w:lastColumn="0" w:oddVBand="0" w:evenVBand="0" w:oddHBand="0" w:evenHBand="0" w:firstRowFirstColumn="0" w:firstRowLastColumn="0" w:lastRowFirstColumn="0" w:lastRowLastColumn="0"/>
            <w:tcW w:w="1435" w:type="dxa"/>
          </w:tcPr>
          <w:p w14:paraId="68ED1E33" w14:textId="1D1E8403" w:rsidR="001D7259" w:rsidRDefault="007D3FC2" w:rsidP="001D7259">
            <w:pPr>
              <w:pStyle w:val="NormalWeb"/>
              <w:rPr>
                <w:rFonts w:ascii="Segoe UI" w:hAnsi="Segoe UI" w:cs="Segoe UI"/>
                <w:sz w:val="20"/>
                <w:szCs w:val="20"/>
                <w:lang w:val="en-AU" w:eastAsia="en-AU"/>
              </w:rPr>
            </w:pPr>
            <w:r>
              <w:rPr>
                <w:rFonts w:ascii="Segoe UI" w:hAnsi="Segoe UI" w:cs="Segoe UI"/>
                <w:sz w:val="20"/>
                <w:szCs w:val="20"/>
                <w:lang w:val="en-AU" w:eastAsia="en-AU"/>
              </w:rPr>
              <w:t>Contoso</w:t>
            </w:r>
          </w:p>
        </w:tc>
        <w:tc>
          <w:tcPr>
            <w:tcW w:w="1890" w:type="dxa"/>
          </w:tcPr>
          <w:p w14:paraId="6BAC7A78" w14:textId="486DFDE9" w:rsidR="001D7259" w:rsidRDefault="007D3FC2" w:rsidP="001D725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Services</w:t>
            </w:r>
          </w:p>
        </w:tc>
        <w:tc>
          <w:tcPr>
            <w:tcW w:w="1440" w:type="dxa"/>
          </w:tcPr>
          <w:p w14:paraId="55917354" w14:textId="3CB1F79C" w:rsidR="001D7259" w:rsidRDefault="001D7259" w:rsidP="001D725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Consumer</w:t>
            </w:r>
          </w:p>
        </w:tc>
        <w:tc>
          <w:tcPr>
            <w:tcW w:w="1440" w:type="dxa"/>
          </w:tcPr>
          <w:p w14:paraId="2807DEAF" w14:textId="1274F537" w:rsidR="001D7259" w:rsidRDefault="001D7259" w:rsidP="001D725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Prod</w:t>
            </w:r>
          </w:p>
        </w:tc>
        <w:tc>
          <w:tcPr>
            <w:tcW w:w="3510" w:type="dxa"/>
          </w:tcPr>
          <w:p w14:paraId="1E97B778" w14:textId="6BF50D50" w:rsidR="001D7259" w:rsidRDefault="00EE65F0" w:rsidP="001D725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Contoso Services</w:t>
            </w:r>
            <w:r w:rsidR="001D7259">
              <w:rPr>
                <w:rFonts w:ascii="Segoe UI" w:hAnsi="Segoe UI" w:cs="Segoe UI"/>
                <w:sz w:val="20"/>
                <w:szCs w:val="20"/>
                <w:lang w:val="en-AU" w:eastAsia="en-AU"/>
              </w:rPr>
              <w:t xml:space="preserve"> Consumer Prod</w:t>
            </w:r>
          </w:p>
        </w:tc>
      </w:tr>
      <w:tr w:rsidR="001D7259" w14:paraId="00D2A930" w14:textId="3D6641BF" w:rsidTr="00AF3E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Pr>
          <w:p w14:paraId="718EC67F" w14:textId="2C53495A" w:rsidR="001D7259" w:rsidRDefault="007D3FC2" w:rsidP="001D7259">
            <w:pPr>
              <w:pStyle w:val="NormalWeb"/>
              <w:rPr>
                <w:rFonts w:ascii="Segoe UI" w:hAnsi="Segoe UI" w:cs="Segoe UI"/>
                <w:sz w:val="20"/>
                <w:szCs w:val="20"/>
                <w:lang w:val="en-AU" w:eastAsia="en-AU"/>
              </w:rPr>
            </w:pPr>
            <w:r>
              <w:rPr>
                <w:rFonts w:ascii="Segoe UI" w:hAnsi="Segoe UI" w:cs="Segoe UI"/>
                <w:sz w:val="20"/>
                <w:szCs w:val="20"/>
                <w:lang w:val="en-AU" w:eastAsia="en-AU"/>
              </w:rPr>
              <w:t>North Wind</w:t>
            </w:r>
          </w:p>
        </w:tc>
        <w:tc>
          <w:tcPr>
            <w:tcW w:w="1890" w:type="dxa"/>
          </w:tcPr>
          <w:p w14:paraId="0D61ED20" w14:textId="3E9C7CFF" w:rsidR="001D7259" w:rsidRDefault="007D3FC2" w:rsidP="001D725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Databases</w:t>
            </w:r>
          </w:p>
        </w:tc>
        <w:tc>
          <w:tcPr>
            <w:tcW w:w="1440" w:type="dxa"/>
          </w:tcPr>
          <w:p w14:paraId="1B7C486B" w14:textId="3FA64262" w:rsidR="001D7259" w:rsidRDefault="00EE65F0" w:rsidP="001D725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Business</w:t>
            </w:r>
          </w:p>
        </w:tc>
        <w:tc>
          <w:tcPr>
            <w:tcW w:w="1440" w:type="dxa"/>
          </w:tcPr>
          <w:p w14:paraId="20CA107F" w14:textId="491F94DD" w:rsidR="001D7259" w:rsidRDefault="00707252" w:rsidP="001D725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Dev</w:t>
            </w:r>
          </w:p>
        </w:tc>
        <w:tc>
          <w:tcPr>
            <w:tcW w:w="3510" w:type="dxa"/>
          </w:tcPr>
          <w:p w14:paraId="16F51D59" w14:textId="1191490A" w:rsidR="001D7259" w:rsidRDefault="00EE65F0" w:rsidP="001D725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North Wind Databases</w:t>
            </w:r>
            <w:r w:rsidR="00707252">
              <w:rPr>
                <w:rFonts w:ascii="Segoe UI" w:hAnsi="Segoe UI" w:cs="Segoe UI"/>
                <w:sz w:val="20"/>
                <w:szCs w:val="20"/>
                <w:lang w:val="en-AU" w:eastAsia="en-AU"/>
              </w:rPr>
              <w:t xml:space="preserve"> Consumer Dev</w:t>
            </w:r>
          </w:p>
        </w:tc>
      </w:tr>
      <w:tr w:rsidR="001D7259" w14:paraId="6683FDD7" w14:textId="54739475" w:rsidTr="00AF3EA0">
        <w:tc>
          <w:tcPr>
            <w:cnfStyle w:val="001000000000" w:firstRow="0" w:lastRow="0" w:firstColumn="1" w:lastColumn="0" w:oddVBand="0" w:evenVBand="0" w:oddHBand="0" w:evenHBand="0" w:firstRowFirstColumn="0" w:firstRowLastColumn="0" w:lastRowFirstColumn="0" w:lastRowLastColumn="0"/>
            <w:tcW w:w="1435" w:type="dxa"/>
          </w:tcPr>
          <w:p w14:paraId="2CB151A2" w14:textId="3E9FAF0A" w:rsidR="001D7259" w:rsidRDefault="007D3FC2" w:rsidP="001D7259">
            <w:pPr>
              <w:pStyle w:val="NormalWeb"/>
              <w:rPr>
                <w:rFonts w:ascii="Segoe UI" w:hAnsi="Segoe UI" w:cs="Segoe UI"/>
                <w:sz w:val="20"/>
                <w:szCs w:val="20"/>
                <w:lang w:val="en-AU" w:eastAsia="en-AU"/>
              </w:rPr>
            </w:pPr>
            <w:r>
              <w:rPr>
                <w:rFonts w:ascii="Segoe UI" w:hAnsi="Segoe UI" w:cs="Segoe UI"/>
                <w:sz w:val="20"/>
                <w:szCs w:val="20"/>
                <w:lang w:val="en-AU" w:eastAsia="en-AU"/>
              </w:rPr>
              <w:t>North Wind</w:t>
            </w:r>
          </w:p>
        </w:tc>
        <w:tc>
          <w:tcPr>
            <w:tcW w:w="1890" w:type="dxa"/>
          </w:tcPr>
          <w:p w14:paraId="29957A5D" w14:textId="351C3062" w:rsidR="001D7259" w:rsidRDefault="007D3FC2" w:rsidP="001D725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Databases</w:t>
            </w:r>
          </w:p>
        </w:tc>
        <w:tc>
          <w:tcPr>
            <w:tcW w:w="1440" w:type="dxa"/>
          </w:tcPr>
          <w:p w14:paraId="4817A605" w14:textId="01722C47" w:rsidR="001D7259" w:rsidRDefault="00EE65F0" w:rsidP="001D725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Business</w:t>
            </w:r>
          </w:p>
        </w:tc>
        <w:tc>
          <w:tcPr>
            <w:tcW w:w="1440" w:type="dxa"/>
          </w:tcPr>
          <w:p w14:paraId="0B986D08" w14:textId="2930B107" w:rsidR="001D7259" w:rsidRDefault="00707252" w:rsidP="001D725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Lab</w:t>
            </w:r>
          </w:p>
        </w:tc>
        <w:tc>
          <w:tcPr>
            <w:tcW w:w="3510" w:type="dxa"/>
          </w:tcPr>
          <w:p w14:paraId="71131E06" w14:textId="18FFBF55" w:rsidR="001D7259" w:rsidRDefault="00EE65F0" w:rsidP="001D725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North Wind Databases</w:t>
            </w:r>
            <w:r w:rsidR="00707252">
              <w:rPr>
                <w:rFonts w:ascii="Segoe UI" w:hAnsi="Segoe UI" w:cs="Segoe UI"/>
                <w:sz w:val="20"/>
                <w:szCs w:val="20"/>
                <w:lang w:val="en-AU" w:eastAsia="en-AU"/>
              </w:rPr>
              <w:t xml:space="preserve"> Consumer Lab</w:t>
            </w:r>
          </w:p>
        </w:tc>
      </w:tr>
      <w:tr w:rsidR="00707252" w14:paraId="5ED07733" w14:textId="77777777" w:rsidTr="00AF3E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Pr>
          <w:p w14:paraId="0FCB8684" w14:textId="4C623BF3" w:rsidR="00707252" w:rsidRDefault="007D3FC2" w:rsidP="001D7259">
            <w:pPr>
              <w:pStyle w:val="NormalWeb"/>
              <w:rPr>
                <w:rFonts w:ascii="Segoe UI" w:hAnsi="Segoe UI" w:cs="Segoe UI"/>
                <w:sz w:val="20"/>
                <w:szCs w:val="20"/>
                <w:lang w:val="en-AU" w:eastAsia="en-AU"/>
              </w:rPr>
            </w:pPr>
            <w:r>
              <w:rPr>
                <w:rFonts w:ascii="Segoe UI" w:hAnsi="Segoe UI" w:cs="Segoe UI"/>
                <w:sz w:val="20"/>
                <w:szCs w:val="20"/>
                <w:lang w:val="en-AU" w:eastAsia="en-AU"/>
              </w:rPr>
              <w:t>North Wind</w:t>
            </w:r>
          </w:p>
        </w:tc>
        <w:tc>
          <w:tcPr>
            <w:tcW w:w="1890" w:type="dxa"/>
          </w:tcPr>
          <w:p w14:paraId="0DF41D98" w14:textId="64843FF7" w:rsidR="00707252" w:rsidRDefault="007D3FC2" w:rsidP="001D725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Databases</w:t>
            </w:r>
          </w:p>
        </w:tc>
        <w:tc>
          <w:tcPr>
            <w:tcW w:w="1440" w:type="dxa"/>
          </w:tcPr>
          <w:p w14:paraId="69200710" w14:textId="2CAC5521" w:rsidR="00707252" w:rsidRDefault="00EE65F0" w:rsidP="001D725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Business</w:t>
            </w:r>
          </w:p>
        </w:tc>
        <w:tc>
          <w:tcPr>
            <w:tcW w:w="1440" w:type="dxa"/>
          </w:tcPr>
          <w:p w14:paraId="0CBBEF85" w14:textId="6778AE6A" w:rsidR="00707252" w:rsidRDefault="00707252" w:rsidP="001D725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Prod</w:t>
            </w:r>
          </w:p>
        </w:tc>
        <w:tc>
          <w:tcPr>
            <w:tcW w:w="3510" w:type="dxa"/>
          </w:tcPr>
          <w:p w14:paraId="20E07AB7" w14:textId="330B99BA" w:rsidR="00707252" w:rsidRDefault="00EE65F0" w:rsidP="001D725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North Wind Databases</w:t>
            </w:r>
            <w:r w:rsidR="00707252">
              <w:rPr>
                <w:rFonts w:ascii="Segoe UI" w:hAnsi="Segoe UI" w:cs="Segoe UI"/>
                <w:sz w:val="20"/>
                <w:szCs w:val="20"/>
                <w:lang w:val="en-AU" w:eastAsia="en-AU"/>
              </w:rPr>
              <w:t xml:space="preserve"> Consumer Prod</w:t>
            </w:r>
          </w:p>
        </w:tc>
      </w:tr>
    </w:tbl>
    <w:p w14:paraId="54C08768" w14:textId="04B0E0DD" w:rsidR="00280F5C" w:rsidRDefault="00280F5C" w:rsidP="005729D2">
      <w:pPr>
        <w:pStyle w:val="Heading3Numbered"/>
        <w:numPr>
          <w:ilvl w:val="2"/>
          <w:numId w:val="64"/>
        </w:numPr>
      </w:pPr>
      <w:bookmarkStart w:id="1245" w:name="_Toc418029917"/>
      <w:bookmarkStart w:id="1246" w:name="_Toc418036854"/>
      <w:bookmarkStart w:id="1247" w:name="_Toc418061319"/>
      <w:bookmarkStart w:id="1248" w:name="_Toc418080667"/>
      <w:bookmarkStart w:id="1249" w:name="_Toc418081841"/>
      <w:bookmarkStart w:id="1250" w:name="_Toc418083243"/>
      <w:bookmarkStart w:id="1251" w:name="_Toc418095462"/>
      <w:bookmarkStart w:id="1252" w:name="_Toc418156630"/>
      <w:bookmarkStart w:id="1253" w:name="_Toc418167554"/>
      <w:bookmarkStart w:id="1254" w:name="_Toc418185811"/>
      <w:bookmarkStart w:id="1255" w:name="_Toc422941519"/>
      <w:bookmarkStart w:id="1256" w:name="_Toc423116725"/>
      <w:bookmarkStart w:id="1257" w:name="_Toc423117758"/>
      <w:bookmarkStart w:id="1258" w:name="_Toc423117208"/>
      <w:bookmarkStart w:id="1259" w:name="_Toc431288794"/>
      <w:r>
        <w:t>Subscription Management</w:t>
      </w:r>
      <w:bookmarkEnd w:id="1239"/>
      <w:bookmarkEnd w:id="1240"/>
      <w:bookmarkEnd w:id="1241"/>
      <w:bookmarkEnd w:id="1242"/>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2CD5DD31" w14:textId="77777777" w:rsidR="00280F5C" w:rsidRDefault="00280F5C" w:rsidP="005729D2">
      <w:pPr>
        <w:pStyle w:val="Heading4Numbered"/>
        <w:numPr>
          <w:ilvl w:val="3"/>
          <w:numId w:val="64"/>
        </w:numPr>
      </w:pPr>
      <w:r>
        <w:t>Azure AD Authentication</w:t>
      </w:r>
    </w:p>
    <w:p w14:paraId="6ED914B3" w14:textId="77777777" w:rsidR="000137C1" w:rsidRDefault="004314CE" w:rsidP="000137C1">
      <w:r>
        <w:t xml:space="preserve">The </w:t>
      </w:r>
      <w:r w:rsidR="000137C1">
        <w:t xml:space="preserve">recommended way to access your subscription when using Azure PowerShell is to authenticate by using the </w:t>
      </w:r>
      <w:r w:rsidR="000137C1" w:rsidRPr="0071262D">
        <w:rPr>
          <w:b/>
        </w:rPr>
        <w:t>Add-AzureAccount</w:t>
      </w:r>
      <w:r w:rsidR="000137C1">
        <w:t xml:space="preserve"> PowerShell cmdlet. This cmdlet prompts for authentication in a window where you input your credentials that are associated with Azure Active Directory. You input either your Microsoft Account credentials or Org ID credentials that are associated with the Azure subscription.</w:t>
      </w:r>
    </w:p>
    <w:p w14:paraId="18FBFBCF" w14:textId="77777777" w:rsidR="000137C1" w:rsidRDefault="000137C1" w:rsidP="000137C1">
      <w:r>
        <w:t xml:space="preserve">Using this method of authentication even once with your subscription takes precedence over any management certificates you may have for your profile. (i.e., running the </w:t>
      </w:r>
      <w:r w:rsidRPr="0071262D">
        <w:rPr>
          <w:b/>
        </w:rPr>
        <w:t>Import-AzurePublishSettings</w:t>
      </w:r>
      <w:r w:rsidRPr="0071262D">
        <w:t xml:space="preserve"> </w:t>
      </w:r>
      <w:r>
        <w:t xml:space="preserve">cmdlet.). To remove the Azure AD token and restore the management certificate method, use the </w:t>
      </w:r>
      <w:r w:rsidRPr="0071262D">
        <w:rPr>
          <w:b/>
        </w:rPr>
        <w:t>Remove-AzureAccount</w:t>
      </w:r>
      <w:r>
        <w:t xml:space="preserve"> cmdlet.</w:t>
      </w:r>
    </w:p>
    <w:p w14:paraId="07D9E380" w14:textId="15F7F384" w:rsidR="00280F5C" w:rsidRDefault="000137C1" w:rsidP="000137C1">
      <w:r>
        <w:t xml:space="preserve">When using Azure AD authentication, occasionally you may see an error message: “Your credentials have expired. Please use </w:t>
      </w:r>
      <w:r w:rsidRPr="0071262D">
        <w:rPr>
          <w:b/>
        </w:rPr>
        <w:t>Add-AzureAccount</w:t>
      </w:r>
      <w:r>
        <w:t xml:space="preserve"> to log on again.” To restore access to your subscription by using Azure PowerShell, simply run </w:t>
      </w:r>
      <w:r w:rsidRPr="0071262D">
        <w:rPr>
          <w:b/>
        </w:rPr>
        <w:t>Add-AzureAccount</w:t>
      </w:r>
      <w:r>
        <w:t xml:space="preserve"> again and authenticate</w:t>
      </w:r>
      <w:r w:rsidR="00280F5C">
        <w:t>.</w:t>
      </w:r>
    </w:p>
    <w:p w14:paraId="4CF96D5B" w14:textId="4E6C57EF" w:rsidR="00280F5C" w:rsidRDefault="000137C1" w:rsidP="00280F5C">
      <w:r>
        <w:t xml:space="preserve">This method of authenticating to the subscription is most convenient when working with commands or scripts interactively. It is possible to use this method with automated processes, and pass secured credentials by using the </w:t>
      </w:r>
      <w:r w:rsidRPr="0071262D">
        <w:rPr>
          <w:b/>
        </w:rPr>
        <w:t>–Credential</w:t>
      </w:r>
      <w:r>
        <w:t xml:space="preserve"> switch. However, at this time this method only works when you are using Org ID credentials, not Microsoft Account credentials</w:t>
      </w:r>
      <w:r w:rsidR="00280F5C">
        <w:t>.</w:t>
      </w:r>
    </w:p>
    <w:p w14:paraId="16A6A29C" w14:textId="46174893" w:rsidR="00227107" w:rsidRDefault="00227107" w:rsidP="005729D2">
      <w:pPr>
        <w:pStyle w:val="Heading4Numbered"/>
        <w:numPr>
          <w:ilvl w:val="3"/>
          <w:numId w:val="64"/>
        </w:numPr>
      </w:pPr>
      <w:bookmarkStart w:id="1260" w:name="_Toc418000584"/>
      <w:r>
        <w:t>C</w:t>
      </w:r>
      <w:bookmarkEnd w:id="1260"/>
      <w:r>
        <w:t>ertificate Authentication</w:t>
      </w:r>
    </w:p>
    <w:p w14:paraId="71F15A9A" w14:textId="1D38953E" w:rsidR="000137C1" w:rsidRDefault="00280F5C" w:rsidP="000137C1">
      <w:r w:rsidRPr="5521986F">
        <w:rPr>
          <w:rFonts w:eastAsia="Segoe UI"/>
          <w:lang w:val="en"/>
        </w:rPr>
        <w:t>Management</w:t>
      </w:r>
      <w:r w:rsidR="000137C1" w:rsidRPr="5521986F">
        <w:rPr>
          <w:rFonts w:eastAsia="Segoe UI"/>
          <w:lang w:val="en"/>
        </w:rPr>
        <w:t xml:space="preserve"> certificates are used to allow client devices to access resources within the Microsoft Azure subscription. The management certificates are x.509 v3 certificates that only contain a public key</w:t>
      </w:r>
      <w:r w:rsidR="000137C1">
        <w:rPr>
          <w:rFonts w:eastAsia="Segoe UI"/>
          <w:lang w:val="en"/>
        </w:rPr>
        <w:t>.</w:t>
      </w:r>
      <w:r w:rsidR="000137C1" w:rsidRPr="5521986F">
        <w:rPr>
          <w:rFonts w:eastAsia="Segoe UI"/>
          <w:lang w:val="en"/>
        </w:rPr>
        <w:t xml:space="preserve"> </w:t>
      </w:r>
      <w:r w:rsidR="000137C1">
        <w:rPr>
          <w:rFonts w:eastAsia="Segoe UI"/>
          <w:lang w:val="en"/>
        </w:rPr>
        <w:t>They</w:t>
      </w:r>
      <w:r w:rsidR="000137C1" w:rsidRPr="5521986F">
        <w:rPr>
          <w:rFonts w:eastAsia="Segoe UI"/>
          <w:lang w:val="en"/>
        </w:rPr>
        <w:t xml:space="preserve"> have the .cer file extension.</w:t>
      </w:r>
    </w:p>
    <w:p w14:paraId="532DC1F3" w14:textId="77777777" w:rsidR="000137C1" w:rsidRDefault="000137C1" w:rsidP="000137C1">
      <w:r w:rsidRPr="5521986F">
        <w:rPr>
          <w:rFonts w:eastAsia="Segoe UI"/>
          <w:lang w:val="en"/>
        </w:rPr>
        <w:t xml:space="preserve">If a user requires the ability to deploy or change services running in </w:t>
      </w:r>
      <w:r>
        <w:rPr>
          <w:rFonts w:eastAsia="Segoe UI"/>
          <w:lang w:val="en"/>
        </w:rPr>
        <w:t>Microsoft Azure</w:t>
      </w:r>
      <w:r w:rsidRPr="5521986F">
        <w:rPr>
          <w:rFonts w:eastAsia="Segoe UI"/>
          <w:lang w:val="en"/>
        </w:rPr>
        <w:t xml:space="preserve">, but does not require access to the </w:t>
      </w:r>
      <w:r>
        <w:rPr>
          <w:rFonts w:eastAsia="Segoe UI"/>
          <w:lang w:val="en"/>
        </w:rPr>
        <w:t>Microsoft Azure</w:t>
      </w:r>
      <w:r w:rsidRPr="5521986F">
        <w:rPr>
          <w:rFonts w:eastAsia="Segoe UI"/>
          <w:lang w:val="en"/>
        </w:rPr>
        <w:t xml:space="preserve"> </w:t>
      </w:r>
      <w:r>
        <w:rPr>
          <w:rFonts w:eastAsia="Segoe UI"/>
          <w:lang w:val="en"/>
        </w:rPr>
        <w:t>p</w:t>
      </w:r>
      <w:r w:rsidRPr="5521986F">
        <w:rPr>
          <w:rFonts w:eastAsia="Segoe UI"/>
          <w:lang w:val="en"/>
        </w:rPr>
        <w:t xml:space="preserve">ortal, they’ll need a certificate. It is very common for a developer to deploy to Azure services through Visual Studio and they will require </w:t>
      </w:r>
      <w:r>
        <w:rPr>
          <w:rFonts w:eastAsia="Segoe UI"/>
          <w:lang w:val="en"/>
        </w:rPr>
        <w:t xml:space="preserve">a </w:t>
      </w:r>
      <w:r w:rsidRPr="5521986F">
        <w:rPr>
          <w:rFonts w:eastAsia="Segoe UI"/>
          <w:lang w:val="en"/>
        </w:rPr>
        <w:t>certificate to accomplish this task.</w:t>
      </w:r>
    </w:p>
    <w:p w14:paraId="1D7678CC" w14:textId="77777777" w:rsidR="000137C1" w:rsidRDefault="000137C1" w:rsidP="000137C1">
      <w:pPr>
        <w:rPr>
          <w:rFonts w:eastAsia="Segoe UI"/>
          <w:lang w:val="en"/>
        </w:rPr>
      </w:pPr>
      <w:r w:rsidRPr="5521986F">
        <w:rPr>
          <w:rFonts w:eastAsia="Segoe UI"/>
          <w:lang w:val="en"/>
        </w:rPr>
        <w:t xml:space="preserve">The x.509 v3 certificates are mapped to one or more Azure subscriptions. </w:t>
      </w:r>
      <w:r>
        <w:rPr>
          <w:rFonts w:eastAsia="Segoe UI"/>
          <w:lang w:val="en"/>
        </w:rPr>
        <w:t>The possession of the private keys associated with these</w:t>
      </w:r>
      <w:r w:rsidRPr="5521986F">
        <w:rPr>
          <w:rFonts w:eastAsia="Segoe UI"/>
          <w:lang w:val="en"/>
        </w:rPr>
        <w:t xml:space="preserve"> certificates should be given the same level of security as passwords. If the certificate </w:t>
      </w:r>
      <w:r>
        <w:rPr>
          <w:rFonts w:eastAsia="Segoe UI"/>
          <w:lang w:val="en"/>
        </w:rPr>
        <w:t xml:space="preserve">private key </w:t>
      </w:r>
      <w:r w:rsidRPr="5521986F">
        <w:rPr>
          <w:rFonts w:eastAsia="Segoe UI"/>
          <w:lang w:val="en"/>
        </w:rPr>
        <w:t>become</w:t>
      </w:r>
      <w:r>
        <w:rPr>
          <w:rFonts w:eastAsia="Segoe UI"/>
          <w:lang w:val="en"/>
        </w:rPr>
        <w:t>s</w:t>
      </w:r>
      <w:r w:rsidRPr="5521986F">
        <w:rPr>
          <w:rFonts w:eastAsia="Segoe UI"/>
          <w:lang w:val="en"/>
        </w:rPr>
        <w:t xml:space="preserve"> compromised, </w:t>
      </w:r>
      <w:r>
        <w:rPr>
          <w:rFonts w:eastAsia="Segoe UI"/>
          <w:lang w:val="en"/>
        </w:rPr>
        <w:t>who</w:t>
      </w:r>
      <w:r w:rsidRPr="5521986F">
        <w:rPr>
          <w:rFonts w:eastAsia="Segoe UI"/>
          <w:lang w:val="en"/>
        </w:rPr>
        <w:t xml:space="preserve">ever holds this key can perform actions on the subscriptions for which the certificate is valid. </w:t>
      </w:r>
    </w:p>
    <w:p w14:paraId="6504E4B4" w14:textId="77777777" w:rsidR="000137C1" w:rsidRDefault="000137C1" w:rsidP="000137C1">
      <w:r w:rsidRPr="5521986F">
        <w:rPr>
          <w:rFonts w:eastAsia="Segoe UI"/>
          <w:lang w:val="en"/>
        </w:rPr>
        <w:t>At this time, an Azure subscription can import</w:t>
      </w:r>
      <w:r>
        <w:rPr>
          <w:rFonts w:eastAsia="Segoe UI"/>
          <w:lang w:val="en"/>
        </w:rPr>
        <w:t> 1</w:t>
      </w:r>
      <w:r w:rsidRPr="5521986F">
        <w:rPr>
          <w:rFonts w:eastAsia="Segoe UI"/>
          <w:lang w:val="en"/>
        </w:rPr>
        <w:t>00 certificates. Certificate</w:t>
      </w:r>
      <w:r>
        <w:rPr>
          <w:rFonts w:eastAsia="Segoe UI"/>
          <w:lang w:val="en"/>
        </w:rPr>
        <w:t>s</w:t>
      </w:r>
      <w:r w:rsidRPr="5521986F">
        <w:rPr>
          <w:rFonts w:eastAsia="Segoe UI"/>
          <w:lang w:val="en"/>
        </w:rPr>
        <w:t xml:space="preserve"> can be shared across multiple subscriptions.</w:t>
      </w:r>
      <w:r>
        <w:rPr>
          <w:rFonts w:eastAsia="Segoe UI"/>
          <w:lang w:val="en"/>
        </w:rPr>
        <w:t xml:space="preserve"> </w:t>
      </w:r>
      <w:r w:rsidRPr="5521986F">
        <w:rPr>
          <w:rFonts w:eastAsia="Segoe UI"/>
          <w:lang w:val="en"/>
        </w:rPr>
        <w:t>There is also a</w:t>
      </w:r>
      <w:r>
        <w:rPr>
          <w:rFonts w:eastAsia="Segoe UI"/>
          <w:lang w:val="en"/>
        </w:rPr>
        <w:t> 1</w:t>
      </w:r>
      <w:r w:rsidRPr="5521986F">
        <w:rPr>
          <w:rFonts w:eastAsia="Segoe UI"/>
          <w:lang w:val="en"/>
        </w:rPr>
        <w:t xml:space="preserve">00 certificate limit for all subscriptions for a specific </w:t>
      </w:r>
      <w:r>
        <w:rPr>
          <w:rFonts w:eastAsia="Segoe UI"/>
          <w:lang w:val="en"/>
        </w:rPr>
        <w:t>S</w:t>
      </w:r>
      <w:r w:rsidRPr="5521986F">
        <w:rPr>
          <w:rFonts w:eastAsia="Segoe UI"/>
          <w:lang w:val="en"/>
        </w:rPr>
        <w:t xml:space="preserve">ervice </w:t>
      </w:r>
      <w:r>
        <w:rPr>
          <w:rFonts w:eastAsia="Segoe UI"/>
          <w:lang w:val="en"/>
        </w:rPr>
        <w:t>A</w:t>
      </w:r>
      <w:r w:rsidRPr="5521986F">
        <w:rPr>
          <w:rFonts w:eastAsia="Segoe UI"/>
          <w:lang w:val="en"/>
        </w:rPr>
        <w:t>dministrator's ID.</w:t>
      </w:r>
      <w:r>
        <w:rPr>
          <w:rFonts w:eastAsia="Segoe UI"/>
          <w:lang w:val="en"/>
        </w:rPr>
        <w:t xml:space="preserve"> </w:t>
      </w:r>
    </w:p>
    <w:p w14:paraId="07C6A8E2" w14:textId="77777777" w:rsidR="000137C1" w:rsidRPr="00EC0D0B" w:rsidRDefault="000137C1" w:rsidP="000137C1">
      <w:pPr>
        <w:rPr>
          <w:rFonts w:eastAsia="Segoe UI"/>
          <w:lang w:val="en"/>
        </w:rPr>
      </w:pPr>
      <w:r w:rsidRPr="00EC0D0B">
        <w:rPr>
          <w:rFonts w:eastAsia="Segoe UI"/>
          <w:lang w:val="en"/>
        </w:rPr>
        <w:t xml:space="preserve">There are a few ways to generate a certificate. You can create a self-signed management certificate or you can download a certificate from the Microsoft Azure </w:t>
      </w:r>
      <w:r>
        <w:rPr>
          <w:rFonts w:eastAsia="Segoe UI"/>
          <w:lang w:val="en"/>
        </w:rPr>
        <w:t>p</w:t>
      </w:r>
      <w:r w:rsidRPr="00EC0D0B">
        <w:rPr>
          <w:rFonts w:eastAsia="Segoe UI"/>
          <w:lang w:val="en"/>
        </w:rPr>
        <w:t xml:space="preserve">ortal as part of what is known as a </w:t>
      </w:r>
      <w:r>
        <w:rPr>
          <w:rFonts w:eastAsia="Segoe UI"/>
          <w:lang w:val="en"/>
        </w:rPr>
        <w:t>P</w:t>
      </w:r>
      <w:r w:rsidRPr="00EC0D0B">
        <w:rPr>
          <w:rFonts w:eastAsia="Segoe UI"/>
          <w:lang w:val="en"/>
        </w:rPr>
        <w:t xml:space="preserve">ublish </w:t>
      </w:r>
      <w:r>
        <w:rPr>
          <w:rFonts w:eastAsia="Segoe UI"/>
          <w:lang w:val="en"/>
        </w:rPr>
        <w:t>S</w:t>
      </w:r>
      <w:r w:rsidRPr="00EC0D0B">
        <w:rPr>
          <w:rFonts w:eastAsia="Segoe UI"/>
          <w:lang w:val="en"/>
        </w:rPr>
        <w:t xml:space="preserve">ettings file. </w:t>
      </w:r>
    </w:p>
    <w:p w14:paraId="518CD2A9" w14:textId="6B499142" w:rsidR="00280F5C" w:rsidRDefault="000137C1" w:rsidP="000137C1">
      <w:pPr>
        <w:rPr>
          <w:rFonts w:eastAsia="Segoe UI"/>
          <w:color w:val="333333"/>
        </w:rPr>
      </w:pPr>
      <w:r w:rsidRPr="00EC0D0B">
        <w:rPr>
          <w:rFonts w:eastAsia="Segoe UI"/>
          <w:lang w:val="en"/>
        </w:rPr>
        <w:t>To create your own self-signed certificate</w:t>
      </w:r>
      <w:r>
        <w:rPr>
          <w:rFonts w:eastAsia="Segoe UI"/>
          <w:lang w:val="en"/>
        </w:rPr>
        <w:t>,</w:t>
      </w:r>
      <w:r w:rsidRPr="00EC0D0B">
        <w:rPr>
          <w:rFonts w:eastAsia="Segoe UI"/>
          <w:lang w:val="en"/>
        </w:rPr>
        <w:t xml:space="preserve"> use makecert.exe. Thus is a command</w:t>
      </w:r>
      <w:r>
        <w:rPr>
          <w:rFonts w:eastAsia="Segoe UI"/>
          <w:lang w:val="en"/>
        </w:rPr>
        <w:t>-</w:t>
      </w:r>
      <w:r w:rsidRPr="00EC0D0B">
        <w:rPr>
          <w:rFonts w:eastAsia="Segoe UI"/>
          <w:lang w:val="en"/>
        </w:rPr>
        <w:t>line tool that ships with Visual Studio</w:t>
      </w:r>
      <w:r>
        <w:rPr>
          <w:rFonts w:eastAsia="Segoe UI"/>
          <w:lang w:val="en"/>
        </w:rPr>
        <w:t>.</w:t>
      </w:r>
      <w:r w:rsidRPr="00EC0D0B">
        <w:rPr>
          <w:rFonts w:eastAsia="Segoe UI"/>
          <w:lang w:val="en"/>
        </w:rPr>
        <w:t xml:space="preserve"> </w:t>
      </w:r>
      <w:r>
        <w:rPr>
          <w:rFonts w:eastAsia="Segoe UI"/>
          <w:lang w:val="en"/>
        </w:rPr>
        <w:t>O</w:t>
      </w:r>
      <w:r w:rsidRPr="00EC0D0B">
        <w:rPr>
          <w:rFonts w:eastAsia="Segoe UI"/>
          <w:lang w:val="en"/>
        </w:rPr>
        <w:t xml:space="preserve">r if you have access to a </w:t>
      </w:r>
      <w:r>
        <w:rPr>
          <w:rFonts w:eastAsia="Segoe UI"/>
          <w:lang w:val="en"/>
        </w:rPr>
        <w:t>computer</w:t>
      </w:r>
      <w:r w:rsidRPr="00EC0D0B">
        <w:rPr>
          <w:rFonts w:eastAsia="Segoe UI"/>
          <w:lang w:val="en"/>
        </w:rPr>
        <w:t xml:space="preserve"> running </w:t>
      </w:r>
      <w:r>
        <w:rPr>
          <w:rFonts w:eastAsia="Segoe UI"/>
          <w:lang w:val="en"/>
        </w:rPr>
        <w:t>Internet Information Services (</w:t>
      </w:r>
      <w:r w:rsidRPr="00EC0D0B">
        <w:rPr>
          <w:rFonts w:eastAsia="Segoe UI"/>
          <w:lang w:val="en"/>
        </w:rPr>
        <w:t>IIS</w:t>
      </w:r>
      <w:r>
        <w:rPr>
          <w:rFonts w:eastAsia="Segoe UI"/>
          <w:lang w:val="en"/>
        </w:rPr>
        <w:t>),</w:t>
      </w:r>
      <w:r w:rsidRPr="00EC0D0B">
        <w:rPr>
          <w:rFonts w:eastAsia="Segoe UI"/>
          <w:lang w:val="en"/>
        </w:rPr>
        <w:t xml:space="preserve"> you can generate one from there</w:t>
      </w:r>
      <w:r w:rsidR="00280F5C" w:rsidRPr="5521986F">
        <w:rPr>
          <w:rFonts w:eastAsia="Segoe UI"/>
          <w:color w:val="333333"/>
        </w:rPr>
        <w:t xml:space="preserve">. </w:t>
      </w:r>
    </w:p>
    <w:p w14:paraId="0CAAAE5E" w14:textId="512ADB6A" w:rsidR="00AC019F" w:rsidRPr="00AC019F" w:rsidRDefault="00AC019F" w:rsidP="005729D2">
      <w:pPr>
        <w:pStyle w:val="Heading4Numbered"/>
        <w:numPr>
          <w:ilvl w:val="3"/>
          <w:numId w:val="64"/>
        </w:numPr>
      </w:pPr>
      <w:r>
        <w:t>Using the Publish Settings File</w:t>
      </w:r>
    </w:p>
    <w:p w14:paraId="0CD13ADD" w14:textId="21BBFB3E" w:rsidR="000137C1" w:rsidRDefault="00280F5C" w:rsidP="000137C1">
      <w:r>
        <w:t>The</w:t>
      </w:r>
      <w:r w:rsidR="000137C1">
        <w:t xml:space="preserve"> Publish Settings file is an XML file that contains information about the Microsoft Azure subscriptions. The file contains specific information about all subscriptions associated with the user’s Microsoft ID. These are the subscriptions in which the particular Microsoft ID is associated with the Administrator or Co-administrator. The Published Settings file exposes your Azure subscription to be used with Visual Studio and Azure PowerShell.</w:t>
      </w:r>
    </w:p>
    <w:p w14:paraId="51CBE063" w14:textId="77777777" w:rsidR="000137C1" w:rsidRDefault="000137C1" w:rsidP="000137C1">
      <w:r>
        <w:t xml:space="preserve">To use Azure </w:t>
      </w:r>
      <w:r w:rsidRPr="00064123">
        <w:t>PowerShell within you</w:t>
      </w:r>
      <w:r>
        <w:t>r</w:t>
      </w:r>
      <w:r w:rsidRPr="00064123">
        <w:t xml:space="preserve"> </w:t>
      </w:r>
      <w:r>
        <w:t>environment, open an elevated Windows PowerShell console and execute the following commands:</w:t>
      </w:r>
    </w:p>
    <w:p w14:paraId="156C2756" w14:textId="77777777" w:rsidR="000137C1" w:rsidRPr="003529A9" w:rsidRDefault="000137C1" w:rsidP="000137C1">
      <w:pPr>
        <w:pStyle w:val="ListParagraph"/>
        <w:numPr>
          <w:ilvl w:val="0"/>
          <w:numId w:val="9"/>
        </w:numPr>
        <w:spacing w:before="0" w:after="0" w:line="240" w:lineRule="auto"/>
        <w:rPr>
          <w:rFonts w:cs="Segoe UI"/>
          <w:b/>
        </w:rPr>
      </w:pPr>
      <w:r w:rsidRPr="003529A9">
        <w:rPr>
          <w:rFonts w:cs="Segoe UI"/>
          <w:b/>
        </w:rPr>
        <w:t>Get-AzurePublishSettingsFile</w:t>
      </w:r>
    </w:p>
    <w:p w14:paraId="712DBAE6" w14:textId="77777777" w:rsidR="000137C1" w:rsidRPr="003529A9" w:rsidRDefault="000137C1" w:rsidP="000137C1">
      <w:pPr>
        <w:spacing w:before="0" w:after="0" w:line="240" w:lineRule="auto"/>
        <w:ind w:left="720"/>
        <w:rPr>
          <w:rFonts w:cs="Segoe UI"/>
        </w:rPr>
      </w:pPr>
      <w:r w:rsidRPr="003529A9">
        <w:rPr>
          <w:rFonts w:cs="Segoe UI"/>
        </w:rPr>
        <w:t xml:space="preserve">This will send you to the following URL: </w:t>
      </w:r>
      <w:hyperlink r:id="rId77" w:history="1">
        <w:r w:rsidRPr="003529A9">
          <w:rPr>
            <w:rStyle w:val="Hyperlink"/>
            <w:rFonts w:cs="Segoe UI"/>
          </w:rPr>
          <w:t>https://manage.windowsazure.com/publishsettings/Index?client=vs&amp;SchemaVersion=1.0</w:t>
        </w:r>
      </w:hyperlink>
    </w:p>
    <w:p w14:paraId="0267ED4A" w14:textId="77777777" w:rsidR="000137C1" w:rsidRPr="003529A9" w:rsidRDefault="000137C1" w:rsidP="000137C1">
      <w:pPr>
        <w:spacing w:before="0" w:after="0" w:line="240" w:lineRule="auto"/>
        <w:ind w:firstLine="720"/>
        <w:rPr>
          <w:rFonts w:cs="Segoe UI"/>
        </w:rPr>
      </w:pPr>
      <w:r w:rsidRPr="003529A9">
        <w:rPr>
          <w:rFonts w:cs="Segoe UI"/>
        </w:rPr>
        <w:t xml:space="preserve">Record the path used to save the Publish Settings file, for example: </w:t>
      </w:r>
    </w:p>
    <w:p w14:paraId="6806DA5D" w14:textId="77777777" w:rsidR="000137C1" w:rsidRPr="003529A9" w:rsidRDefault="000137C1" w:rsidP="000137C1">
      <w:pPr>
        <w:spacing w:before="0" w:after="0" w:line="240" w:lineRule="auto"/>
        <w:ind w:firstLine="720"/>
        <w:rPr>
          <w:rFonts w:cs="Segoe UI"/>
        </w:rPr>
      </w:pPr>
      <w:r w:rsidRPr="003529A9">
        <w:rPr>
          <w:rFonts w:cs="Segoe UI"/>
        </w:rPr>
        <w:t>C:\Users\ProfileName\Documents\AzurePublishSettingFile\YourFileName.publishsettings</w:t>
      </w:r>
    </w:p>
    <w:p w14:paraId="69F4219D" w14:textId="77777777" w:rsidR="000137C1" w:rsidRPr="003529A9" w:rsidRDefault="000137C1" w:rsidP="000137C1">
      <w:pPr>
        <w:pStyle w:val="ListParagraph"/>
        <w:numPr>
          <w:ilvl w:val="0"/>
          <w:numId w:val="9"/>
        </w:numPr>
        <w:spacing w:before="0" w:after="0" w:line="240" w:lineRule="auto"/>
        <w:rPr>
          <w:rFonts w:cs="Segoe UI"/>
        </w:rPr>
      </w:pPr>
      <w:r w:rsidRPr="003529A9">
        <w:rPr>
          <w:rFonts w:cs="Segoe UI"/>
          <w:b/>
        </w:rPr>
        <w:t>Import-AzurePublishSettingsFile</w:t>
      </w:r>
      <w:r w:rsidRPr="003529A9">
        <w:rPr>
          <w:rFonts w:cs="Segoe UI"/>
        </w:rPr>
        <w:t xml:space="preserve"> C:\Users\ProfileName\Documents\AzurePublishSettingFile\YourFileName.publishsettings </w:t>
      </w:r>
    </w:p>
    <w:p w14:paraId="55BA703B" w14:textId="77777777" w:rsidR="000137C1" w:rsidRPr="003529A9" w:rsidRDefault="000137C1" w:rsidP="000137C1">
      <w:pPr>
        <w:pStyle w:val="ListParagraph"/>
        <w:numPr>
          <w:ilvl w:val="0"/>
          <w:numId w:val="9"/>
        </w:numPr>
        <w:spacing w:before="0" w:after="0" w:line="240" w:lineRule="auto"/>
        <w:rPr>
          <w:rFonts w:cs="Segoe UI"/>
        </w:rPr>
      </w:pPr>
      <w:r w:rsidRPr="003529A9">
        <w:rPr>
          <w:rFonts w:cs="Segoe UI"/>
          <w:b/>
        </w:rPr>
        <w:t>Get-AzureSubscription</w:t>
      </w:r>
      <w:r w:rsidRPr="003529A9">
        <w:rPr>
          <w:rFonts w:cs="Segoe UI"/>
        </w:rPr>
        <w:t xml:space="preserve"> (this will give you the list of your subscription</w:t>
      </w:r>
      <w:r>
        <w:rPr>
          <w:rFonts w:cs="Segoe UI"/>
        </w:rPr>
        <w:t>s</w:t>
      </w:r>
      <w:r w:rsidRPr="003529A9">
        <w:rPr>
          <w:rFonts w:cs="Segoe UI"/>
        </w:rPr>
        <w:t>)</w:t>
      </w:r>
      <w:r>
        <w:rPr>
          <w:rFonts w:cs="Segoe UI"/>
        </w:rPr>
        <w:t>.</w:t>
      </w:r>
    </w:p>
    <w:p w14:paraId="6C706C5C" w14:textId="77EC3855" w:rsidR="000137C1" w:rsidRDefault="000137C1" w:rsidP="000137C1">
      <w:pPr>
        <w:pStyle w:val="ListParagraph"/>
        <w:numPr>
          <w:ilvl w:val="0"/>
          <w:numId w:val="9"/>
        </w:numPr>
        <w:spacing w:before="0" w:after="0" w:line="240" w:lineRule="auto"/>
        <w:rPr>
          <w:rFonts w:cs="Segoe UI"/>
        </w:rPr>
      </w:pPr>
      <w:r w:rsidRPr="003529A9">
        <w:rPr>
          <w:rFonts w:cs="Segoe UI"/>
        </w:rPr>
        <w:t>Find the “SubscriptionName” value</w:t>
      </w:r>
      <w:r>
        <w:rPr>
          <w:rFonts w:cs="Segoe UI"/>
        </w:rPr>
        <w:t>.</w:t>
      </w:r>
    </w:p>
    <w:p w14:paraId="0A26C5A9" w14:textId="502CE84F" w:rsidR="00280F5C" w:rsidRPr="000137C1" w:rsidRDefault="000137C1" w:rsidP="000137C1">
      <w:pPr>
        <w:pStyle w:val="ListParagraph"/>
        <w:numPr>
          <w:ilvl w:val="0"/>
          <w:numId w:val="9"/>
        </w:numPr>
        <w:spacing w:before="0" w:after="0" w:line="240" w:lineRule="auto"/>
        <w:rPr>
          <w:rFonts w:cs="Segoe UI"/>
        </w:rPr>
      </w:pPr>
      <w:r w:rsidRPr="000137C1">
        <w:rPr>
          <w:rFonts w:cs="Segoe UI"/>
          <w:b/>
        </w:rPr>
        <w:t>Select-AzureSubscription</w:t>
      </w:r>
      <w:r w:rsidRPr="000137C1">
        <w:rPr>
          <w:rFonts w:cs="Segoe UI"/>
        </w:rPr>
        <w:t xml:space="preserve"> "Your Subscription N</w:t>
      </w:r>
      <w:r>
        <w:t>ame."</w:t>
      </w:r>
    </w:p>
    <w:p w14:paraId="0C7997F3" w14:textId="77777777" w:rsidR="00280F5C" w:rsidRDefault="00280F5C" w:rsidP="00280F5C">
      <w:pPr>
        <w:spacing w:before="0" w:after="0" w:line="240" w:lineRule="auto"/>
      </w:pPr>
    </w:p>
    <w:p w14:paraId="0BCE062D" w14:textId="77777777" w:rsidR="00435905" w:rsidRDefault="00435905" w:rsidP="00435905">
      <w:r>
        <w:t xml:space="preserve">Now Azure PowerShell has set up a management certificate to interface with your Microsoft Azure subscription. To validate the association between Azure PowerShell and your subscription, execute the following Azure PowerShell cmdlet: </w:t>
      </w:r>
      <w:r w:rsidRPr="003529A9">
        <w:rPr>
          <w:rFonts w:cs="Segoe UI"/>
          <w:b/>
        </w:rPr>
        <w:t>Get-AzureLocation</w:t>
      </w:r>
      <w:r w:rsidRPr="003529A9">
        <w:rPr>
          <w:rFonts w:cs="Segoe UI"/>
        </w:rPr>
        <w:t>.</w:t>
      </w:r>
    </w:p>
    <w:p w14:paraId="79CFAF08" w14:textId="77777777" w:rsidR="00435905" w:rsidRDefault="00435905" w:rsidP="00435905">
      <w:r>
        <w:t>Some drawbacks of using management certificates for interfacing with an Azure subscription include:</w:t>
      </w:r>
    </w:p>
    <w:p w14:paraId="2F7AB913" w14:textId="77777777" w:rsidR="00435905" w:rsidRDefault="00435905" w:rsidP="005729D2">
      <w:pPr>
        <w:pStyle w:val="ListParagraph"/>
        <w:numPr>
          <w:ilvl w:val="0"/>
          <w:numId w:val="251"/>
        </w:numPr>
      </w:pPr>
      <w:r>
        <w:t>It is difficult to manage and keep track of certificates in portal.</w:t>
      </w:r>
    </w:p>
    <w:p w14:paraId="121AC86D" w14:textId="1E1FD16A" w:rsidR="00435905" w:rsidRDefault="00435905" w:rsidP="005729D2">
      <w:pPr>
        <w:pStyle w:val="ListParagraph"/>
        <w:numPr>
          <w:ilvl w:val="0"/>
          <w:numId w:val="251"/>
        </w:numPr>
      </w:pPr>
      <w:r>
        <w:t xml:space="preserve">You cannot ensure that access to a subscription is revoked when you remove a Co-administrator unless all the certificates are removed. </w:t>
      </w:r>
    </w:p>
    <w:p w14:paraId="15B4DC34" w14:textId="00F805E5" w:rsidR="00280F5C" w:rsidRDefault="00435905" w:rsidP="005729D2">
      <w:pPr>
        <w:pStyle w:val="ListParagraph"/>
        <w:numPr>
          <w:ilvl w:val="0"/>
          <w:numId w:val="251"/>
        </w:numPr>
      </w:pPr>
      <w:r>
        <w:t xml:space="preserve">You might experience an unknown sharing of management </w:t>
      </w:r>
      <w:r w:rsidR="00F04A7D">
        <w:t>certificates.</w:t>
      </w:r>
      <w:r w:rsidR="00280F5C">
        <w:t xml:space="preserve"> </w:t>
      </w:r>
    </w:p>
    <w:p w14:paraId="5670753B" w14:textId="77777777" w:rsidR="00280F5C" w:rsidRPr="006115E3" w:rsidRDefault="00280F5C" w:rsidP="005729D2">
      <w:pPr>
        <w:pStyle w:val="Heading4Numbered"/>
        <w:numPr>
          <w:ilvl w:val="3"/>
          <w:numId w:val="64"/>
        </w:numPr>
      </w:pPr>
      <w:r>
        <w:t>Additional Setup</w:t>
      </w:r>
    </w:p>
    <w:p w14:paraId="22D70300" w14:textId="16214BC7" w:rsidR="00435905" w:rsidRDefault="00280F5C" w:rsidP="00435905">
      <w:r>
        <w:t>When</w:t>
      </w:r>
      <w:r w:rsidR="00435905">
        <w:t xml:space="preserve"> using either authentication method in Azure PowerShell, some scripts, such as provisioning new virtual machines, will not function properly until you have associated a storage account with your subscription. To add this association, run the following script:</w:t>
      </w:r>
    </w:p>
    <w:p w14:paraId="2D9AD7E4" w14:textId="77777777" w:rsidR="00435905" w:rsidRPr="00AF3EA0" w:rsidRDefault="00435905" w:rsidP="00435905">
      <w:pPr>
        <w:rPr>
          <w:rFonts w:ascii="Consolas" w:hAnsi="Consolas" w:cs="Consolas"/>
        </w:rPr>
      </w:pPr>
      <w:r w:rsidRPr="00C17379">
        <w:rPr>
          <w:rFonts w:ascii="Consolas" w:hAnsi="Consolas" w:cs="Consolas"/>
        </w:rPr>
        <w:t>Set-AzureSubscription –SubscriptionName ‘My Subscription Name’ –CurrentStorageA</w:t>
      </w:r>
      <w:r>
        <w:rPr>
          <w:rFonts w:ascii="Consolas" w:hAnsi="Consolas" w:cs="Consolas"/>
        </w:rPr>
        <w:t>ccountName ‘storageacctname001’</w:t>
      </w:r>
    </w:p>
    <w:p w14:paraId="78C0F3F1" w14:textId="285904D8" w:rsidR="00280F5C" w:rsidRDefault="00435905" w:rsidP="00435905">
      <w:r>
        <w:t xml:space="preserve">After running this script, you can verify that your storage account is now associated with the subscription by running </w:t>
      </w:r>
      <w:r w:rsidRPr="00D01248">
        <w:rPr>
          <w:b/>
        </w:rPr>
        <w:t>Get-AzureSubscription</w:t>
      </w:r>
      <w:r>
        <w:t xml:space="preserve">. There should now be a value under CurrentStorageAccountName. You should only need to set this value once for most Azure PowerShell operations, and the value can be changed at any time by running </w:t>
      </w:r>
      <w:r w:rsidRPr="00D01248">
        <w:rPr>
          <w:rFonts w:cs="Segoe UI"/>
          <w:b/>
        </w:rPr>
        <w:t>Set-AzureSubscription</w:t>
      </w:r>
      <w:r w:rsidRPr="00C17379">
        <w:rPr>
          <w:rFonts w:ascii="Consolas" w:hAnsi="Consolas" w:cs="Consolas"/>
        </w:rPr>
        <w:t xml:space="preserve"> </w:t>
      </w:r>
      <w:r>
        <w:t>again</w:t>
      </w:r>
      <w:r w:rsidR="00280F5C">
        <w:t>.</w:t>
      </w:r>
    </w:p>
    <w:p w14:paraId="7294F36B" w14:textId="12DD2E0B" w:rsidR="00005AF1" w:rsidRDefault="00005AF1" w:rsidP="00C17379">
      <w:r>
        <w:t xml:space="preserve">If you have multiple subscriptions, you also have to ensure that you are targeting the correct subscription with </w:t>
      </w:r>
      <w:r w:rsidR="00435905">
        <w:t xml:space="preserve">Azure </w:t>
      </w:r>
      <w:r>
        <w:t xml:space="preserve">PowerShell operations. There is a default and current subscription setting that you can use to control this. When you load the published settings file </w:t>
      </w:r>
      <w:r w:rsidR="00D751C2">
        <w:t xml:space="preserve">or use </w:t>
      </w:r>
      <w:r w:rsidR="00D751C2" w:rsidRPr="00435905">
        <w:rPr>
          <w:b/>
        </w:rPr>
        <w:t>Add-Azure</w:t>
      </w:r>
      <w:r w:rsidR="00435905" w:rsidRPr="00435905">
        <w:rPr>
          <w:b/>
        </w:rPr>
        <w:t>A</w:t>
      </w:r>
      <w:r w:rsidR="00D751C2" w:rsidRPr="00435905">
        <w:rPr>
          <w:b/>
        </w:rPr>
        <w:t>ccount</w:t>
      </w:r>
      <w:r w:rsidR="00D751C2">
        <w:t xml:space="preserve"> </w:t>
      </w:r>
      <w:r>
        <w:t xml:space="preserve">with </w:t>
      </w:r>
      <w:r w:rsidR="00D751C2">
        <w:t xml:space="preserve">access to </w:t>
      </w:r>
      <w:r>
        <w:t>multiple subscriptions, one subscription i</w:t>
      </w:r>
      <w:r w:rsidR="00435905">
        <w:t>s</w:t>
      </w:r>
      <w:r>
        <w:t xml:space="preserve"> configured with the default and current tag. Any operation will target this subscription</w:t>
      </w:r>
      <w:r w:rsidR="00D751C2">
        <w:t xml:space="preserve"> unless you change the focus</w:t>
      </w:r>
      <w:r>
        <w:t xml:space="preserve">. To redirect PowerShell operations to a different subscription, just add the </w:t>
      </w:r>
      <w:r w:rsidRPr="00005AF1">
        <w:rPr>
          <w:rFonts w:ascii="Courier New" w:hAnsi="Courier New" w:cs="Courier New"/>
        </w:rPr>
        <w:t>–</w:t>
      </w:r>
      <w:r w:rsidRPr="00435905">
        <w:rPr>
          <w:rFonts w:cs="Segoe UI"/>
          <w:b/>
        </w:rPr>
        <w:t>current</w:t>
      </w:r>
      <w:r>
        <w:t xml:space="preserve"> option at the end of the </w:t>
      </w:r>
      <w:r w:rsidRPr="00435905">
        <w:rPr>
          <w:rFonts w:cs="Segoe UI"/>
          <w:b/>
        </w:rPr>
        <w:t>Select-AzureSubscription</w:t>
      </w:r>
      <w:r>
        <w:t xml:space="preserve"> </w:t>
      </w:r>
      <w:r w:rsidR="00435905">
        <w:t>cmdlet</w:t>
      </w:r>
      <w:r>
        <w:t xml:space="preserve"> with the subscription name you want to target. If you want to permanently change the </w:t>
      </w:r>
      <w:r w:rsidR="00D751C2">
        <w:t xml:space="preserve">default </w:t>
      </w:r>
      <w:r w:rsidR="00F04A7D">
        <w:t>subscription,</w:t>
      </w:r>
      <w:r w:rsidR="00D751C2">
        <w:t xml:space="preserve"> then use the </w:t>
      </w:r>
      <w:r w:rsidR="00D751C2" w:rsidRPr="00D751C2">
        <w:rPr>
          <w:rFonts w:ascii="Courier New" w:hAnsi="Courier New" w:cs="Courier New"/>
        </w:rPr>
        <w:t>–</w:t>
      </w:r>
      <w:r w:rsidR="00D751C2" w:rsidRPr="00435905">
        <w:rPr>
          <w:rFonts w:cs="Segoe UI"/>
          <w:b/>
        </w:rPr>
        <w:t>default</w:t>
      </w:r>
      <w:r w:rsidR="00D751C2">
        <w:t xml:space="preserve"> option.</w:t>
      </w:r>
    </w:p>
    <w:p w14:paraId="54D0A1E5" w14:textId="4802CCE1" w:rsidR="00280F5C" w:rsidRDefault="00AC019F" w:rsidP="005729D2">
      <w:pPr>
        <w:pStyle w:val="Heading4Numbered"/>
        <w:numPr>
          <w:ilvl w:val="3"/>
          <w:numId w:val="64"/>
        </w:numPr>
      </w:pPr>
      <w:r>
        <w:t xml:space="preserve">Development and </w:t>
      </w:r>
      <w:r w:rsidR="00280F5C">
        <w:t xml:space="preserve">Management Tools </w:t>
      </w:r>
    </w:p>
    <w:bookmarkEnd w:id="1237"/>
    <w:bookmarkEnd w:id="1238"/>
    <w:bookmarkEnd w:id="1243"/>
    <w:bookmarkEnd w:id="1244"/>
    <w:p w14:paraId="2DF32846" w14:textId="0DFA3AA6" w:rsidR="00F555E4" w:rsidRDefault="00AC019F" w:rsidP="00F555E4">
      <w:r>
        <w:t>For</w:t>
      </w:r>
      <w:r w:rsidR="00F555E4">
        <w:t xml:space="preserve"> the development and management of Azure resources, there are a wide variety of tools that can be used from the Azure Management portal, Azure PowerShell, SDKs, and cross-platform and third-party downloads. </w:t>
      </w:r>
    </w:p>
    <w:p w14:paraId="645CD8F9" w14:textId="77777777" w:rsidR="00F555E4" w:rsidRPr="00C17379" w:rsidRDefault="00F555E4" w:rsidP="00F555E4">
      <w:pPr>
        <w:rPr>
          <w:b/>
        </w:rPr>
      </w:pPr>
      <w:r w:rsidRPr="00C17379">
        <w:rPr>
          <w:b/>
        </w:rPr>
        <w:t>Software Development Kits (SDKs)</w:t>
      </w:r>
    </w:p>
    <w:p w14:paraId="08472507" w14:textId="58FCB69A" w:rsidR="00AC019F" w:rsidRDefault="00F555E4" w:rsidP="00F555E4">
      <w:r>
        <w:t xml:space="preserve">Following are examples of some SDKs that are available for </w:t>
      </w:r>
      <w:r w:rsidRPr="00D01248">
        <w:t>download</w:t>
      </w:r>
      <w:r>
        <w:t xml:space="preserve"> and the respective platforms the SDKs can be used to develop on. To get the SDKs and command-line tools you need, see the </w:t>
      </w:r>
      <w:hyperlink r:id="rId78" w:history="1">
        <w:r w:rsidRPr="00D01248">
          <w:rPr>
            <w:rStyle w:val="Hyperlink"/>
          </w:rPr>
          <w:t>Microsoft Azure Downloads</w:t>
        </w:r>
      </w:hyperlink>
      <w:r>
        <w:t xml:space="preserve"> site</w:t>
      </w:r>
      <w:r w:rsidR="00AC019F">
        <w:t>.</w:t>
      </w:r>
    </w:p>
    <w:tbl>
      <w:tblPr>
        <w:tblStyle w:val="PlainTable11"/>
        <w:tblW w:w="9445" w:type="dxa"/>
        <w:tblLook w:val="0420" w:firstRow="1" w:lastRow="0" w:firstColumn="0" w:lastColumn="0" w:noHBand="0" w:noVBand="1"/>
      </w:tblPr>
      <w:tblGrid>
        <w:gridCol w:w="2245"/>
        <w:gridCol w:w="2160"/>
        <w:gridCol w:w="2520"/>
        <w:gridCol w:w="2520"/>
      </w:tblGrid>
      <w:tr w:rsidR="00AC019F" w:rsidRPr="00A20B21" w14:paraId="23444E8F" w14:textId="77777777" w:rsidTr="00A20B21">
        <w:trPr>
          <w:cnfStyle w:val="100000000000" w:firstRow="1" w:lastRow="0" w:firstColumn="0" w:lastColumn="0" w:oddVBand="0" w:evenVBand="0" w:oddHBand="0" w:evenHBand="0" w:firstRowFirstColumn="0" w:firstRowLastColumn="0" w:lastRowFirstColumn="0" w:lastRowLastColumn="0"/>
        </w:trPr>
        <w:tc>
          <w:tcPr>
            <w:tcW w:w="2245" w:type="dxa"/>
            <w:shd w:val="clear" w:color="auto" w:fill="808080" w:themeFill="background1" w:themeFillShade="80"/>
            <w:hideMark/>
          </w:tcPr>
          <w:p w14:paraId="2C642F26" w14:textId="77777777" w:rsidR="00AC019F" w:rsidRPr="00A20B21" w:rsidRDefault="00AC019F" w:rsidP="00AC019F">
            <w:pPr>
              <w:spacing w:line="240" w:lineRule="auto"/>
              <w:rPr>
                <w:rFonts w:ascii="Times New Roman" w:hAnsi="Times New Roman"/>
                <w:bCs w:val="0"/>
                <w:color w:val="FFFFFF"/>
                <w:lang w:val="en-AU" w:eastAsia="en-AU"/>
              </w:rPr>
            </w:pPr>
            <w:r w:rsidRPr="00A20B21">
              <w:rPr>
                <w:rFonts w:eastAsia="Calibri"/>
                <w:bCs w:val="0"/>
                <w:color w:val="FFFFFF"/>
                <w:lang w:val="en-AU" w:eastAsia="en-AU"/>
              </w:rPr>
              <w:t>.NET</w:t>
            </w:r>
          </w:p>
        </w:tc>
        <w:tc>
          <w:tcPr>
            <w:tcW w:w="2160" w:type="dxa"/>
            <w:shd w:val="clear" w:color="auto" w:fill="808080" w:themeFill="background1" w:themeFillShade="80"/>
            <w:hideMark/>
          </w:tcPr>
          <w:p w14:paraId="1A7181B9" w14:textId="77777777" w:rsidR="00AC019F" w:rsidRPr="00A20B21" w:rsidRDefault="00AC019F" w:rsidP="00AC019F">
            <w:pPr>
              <w:spacing w:line="240" w:lineRule="auto"/>
              <w:rPr>
                <w:rFonts w:eastAsia="Calibri"/>
                <w:color w:val="FFFFFF"/>
                <w:lang w:val="en-AU" w:eastAsia="en-AU"/>
              </w:rPr>
            </w:pPr>
            <w:r w:rsidRPr="00A20B21">
              <w:rPr>
                <w:rFonts w:eastAsia="Calibri"/>
                <w:bCs w:val="0"/>
                <w:color w:val="FFFFFF"/>
                <w:lang w:val="en-AU" w:eastAsia="en-AU"/>
              </w:rPr>
              <w:t>Java</w:t>
            </w:r>
          </w:p>
        </w:tc>
        <w:tc>
          <w:tcPr>
            <w:tcW w:w="2520" w:type="dxa"/>
            <w:shd w:val="clear" w:color="auto" w:fill="808080" w:themeFill="background1" w:themeFillShade="80"/>
          </w:tcPr>
          <w:p w14:paraId="0F8A6389" w14:textId="77777777" w:rsidR="00AC019F" w:rsidRPr="00A20B21" w:rsidRDefault="00AC019F" w:rsidP="00AC019F">
            <w:pPr>
              <w:spacing w:line="240" w:lineRule="auto"/>
              <w:rPr>
                <w:rFonts w:eastAsia="Calibri"/>
                <w:bCs w:val="0"/>
                <w:color w:val="FFFFFF"/>
                <w:lang w:val="en-AU" w:eastAsia="en-AU"/>
              </w:rPr>
            </w:pPr>
            <w:r w:rsidRPr="00A20B21">
              <w:rPr>
                <w:rFonts w:eastAsia="Calibri"/>
                <w:bCs w:val="0"/>
                <w:color w:val="FFFFFF"/>
                <w:lang w:val="en-AU" w:eastAsia="en-AU"/>
              </w:rPr>
              <w:t>Node.js</w:t>
            </w:r>
          </w:p>
        </w:tc>
        <w:tc>
          <w:tcPr>
            <w:tcW w:w="2520" w:type="dxa"/>
            <w:shd w:val="clear" w:color="auto" w:fill="808080" w:themeFill="background1" w:themeFillShade="80"/>
          </w:tcPr>
          <w:p w14:paraId="4B1943A1" w14:textId="77777777" w:rsidR="00AC019F" w:rsidRPr="00A20B21" w:rsidRDefault="00AC019F" w:rsidP="00AC019F">
            <w:pPr>
              <w:spacing w:line="240" w:lineRule="auto"/>
              <w:rPr>
                <w:rFonts w:eastAsia="Calibri"/>
                <w:bCs w:val="0"/>
                <w:color w:val="FFFFFF"/>
                <w:lang w:val="en-AU" w:eastAsia="en-AU"/>
              </w:rPr>
            </w:pPr>
            <w:r w:rsidRPr="00A20B21">
              <w:rPr>
                <w:rFonts w:eastAsia="Calibri"/>
                <w:bCs w:val="0"/>
                <w:color w:val="FFFFFF"/>
                <w:lang w:val="en-AU" w:eastAsia="en-AU"/>
              </w:rPr>
              <w:t>PHP</w:t>
            </w:r>
          </w:p>
        </w:tc>
      </w:tr>
      <w:tr w:rsidR="00AC019F" w14:paraId="21B9843F" w14:textId="77777777" w:rsidTr="00A20B21">
        <w:trPr>
          <w:cnfStyle w:val="000000100000" w:firstRow="0" w:lastRow="0" w:firstColumn="0" w:lastColumn="0" w:oddVBand="0" w:evenVBand="0" w:oddHBand="1" w:evenHBand="0" w:firstRowFirstColumn="0" w:firstRowLastColumn="0" w:lastRowFirstColumn="0" w:lastRowLastColumn="0"/>
        </w:trPr>
        <w:tc>
          <w:tcPr>
            <w:tcW w:w="2245" w:type="dxa"/>
            <w:hideMark/>
          </w:tcPr>
          <w:p w14:paraId="27145FA0" w14:textId="3CF3F59C" w:rsidR="00AC019F" w:rsidRPr="00236F1B" w:rsidRDefault="00AC019F" w:rsidP="00A20B21">
            <w:pPr>
              <w:pStyle w:val="NormalWeb"/>
              <w:rPr>
                <w:rFonts w:ascii="Segoe UI" w:hAnsi="Segoe UI" w:cs="Segoe UI"/>
                <w:sz w:val="20"/>
                <w:szCs w:val="20"/>
                <w:lang w:val="en-AU" w:eastAsia="en-AU"/>
              </w:rPr>
            </w:pPr>
            <w:r>
              <w:rPr>
                <w:rFonts w:ascii="Segoe UI" w:hAnsi="Segoe UI" w:cs="Segoe UI"/>
                <w:sz w:val="20"/>
                <w:szCs w:val="20"/>
                <w:lang w:val="en-AU" w:eastAsia="en-AU"/>
              </w:rPr>
              <w:t>VS 2015 install</w:t>
            </w:r>
          </w:p>
        </w:tc>
        <w:tc>
          <w:tcPr>
            <w:tcW w:w="2160" w:type="dxa"/>
            <w:hideMark/>
          </w:tcPr>
          <w:p w14:paraId="185FC725" w14:textId="7622416D" w:rsidR="00AC019F" w:rsidRPr="00F47607" w:rsidRDefault="00AC019F" w:rsidP="00A20B21">
            <w:pPr>
              <w:pStyle w:val="NormalWeb"/>
              <w:rPr>
                <w:rFonts w:ascii="Segoe UI" w:hAnsi="Segoe UI" w:cs="Segoe UI"/>
                <w:sz w:val="20"/>
                <w:szCs w:val="20"/>
                <w:lang w:val="en-AU" w:eastAsia="en-AU"/>
              </w:rPr>
            </w:pPr>
            <w:r>
              <w:rPr>
                <w:rFonts w:ascii="Segoe UI" w:hAnsi="Segoe UI" w:cs="Segoe UI"/>
                <w:sz w:val="20"/>
                <w:szCs w:val="20"/>
                <w:lang w:val="en-AU" w:eastAsia="en-AU"/>
              </w:rPr>
              <w:t>Windows install</w:t>
            </w:r>
          </w:p>
        </w:tc>
        <w:tc>
          <w:tcPr>
            <w:tcW w:w="2520" w:type="dxa"/>
          </w:tcPr>
          <w:p w14:paraId="584F8510" w14:textId="1B34F80C" w:rsidR="00AC019F" w:rsidRDefault="00A20B21" w:rsidP="00A20B21">
            <w:pPr>
              <w:pStyle w:val="NormalWeb"/>
              <w:rPr>
                <w:rFonts w:ascii="Segoe UI" w:hAnsi="Segoe UI" w:cs="Segoe UI"/>
                <w:sz w:val="20"/>
                <w:szCs w:val="20"/>
                <w:lang w:val="en-AU" w:eastAsia="en-AU"/>
              </w:rPr>
            </w:pPr>
            <w:r>
              <w:rPr>
                <w:rFonts w:ascii="Segoe UI" w:hAnsi="Segoe UI" w:cs="Segoe UI"/>
                <w:sz w:val="20"/>
                <w:szCs w:val="20"/>
                <w:lang w:val="en-AU" w:eastAsia="en-AU"/>
              </w:rPr>
              <w:t>Windows install</w:t>
            </w:r>
          </w:p>
        </w:tc>
        <w:tc>
          <w:tcPr>
            <w:tcW w:w="2520" w:type="dxa"/>
          </w:tcPr>
          <w:p w14:paraId="648D7474" w14:textId="5A1CAB2A" w:rsidR="00AC019F" w:rsidRDefault="00A20B21" w:rsidP="00A20B21">
            <w:pPr>
              <w:pStyle w:val="NormalWeb"/>
              <w:rPr>
                <w:rFonts w:ascii="Segoe UI" w:hAnsi="Segoe UI" w:cs="Segoe UI"/>
                <w:sz w:val="20"/>
                <w:szCs w:val="20"/>
                <w:lang w:val="en-AU" w:eastAsia="en-AU"/>
              </w:rPr>
            </w:pPr>
            <w:r>
              <w:rPr>
                <w:rFonts w:ascii="Segoe UI" w:hAnsi="Segoe UI" w:cs="Segoe UI"/>
                <w:sz w:val="20"/>
                <w:szCs w:val="20"/>
                <w:lang w:val="en-AU" w:eastAsia="en-AU"/>
              </w:rPr>
              <w:t>Windows install</w:t>
            </w:r>
          </w:p>
        </w:tc>
      </w:tr>
      <w:tr w:rsidR="00A20B21" w14:paraId="4E131D1B" w14:textId="77777777" w:rsidTr="00A20B21">
        <w:tc>
          <w:tcPr>
            <w:tcW w:w="2245" w:type="dxa"/>
          </w:tcPr>
          <w:p w14:paraId="3B79F3C7" w14:textId="3DD2AF27" w:rsidR="00A20B21" w:rsidRDefault="00A20B21" w:rsidP="00AC019F">
            <w:pPr>
              <w:pStyle w:val="NormalWeb"/>
              <w:rPr>
                <w:rFonts w:ascii="Segoe UI" w:hAnsi="Segoe UI" w:cs="Segoe UI"/>
                <w:sz w:val="20"/>
                <w:szCs w:val="20"/>
                <w:lang w:val="en-AU" w:eastAsia="en-AU"/>
              </w:rPr>
            </w:pPr>
            <w:r>
              <w:rPr>
                <w:rFonts w:ascii="Segoe UI" w:hAnsi="Segoe UI" w:cs="Segoe UI"/>
                <w:sz w:val="20"/>
                <w:szCs w:val="20"/>
                <w:lang w:val="en-AU" w:eastAsia="en-AU"/>
              </w:rPr>
              <w:t>VS 2013 install</w:t>
            </w:r>
          </w:p>
        </w:tc>
        <w:tc>
          <w:tcPr>
            <w:tcW w:w="2160" w:type="dxa"/>
          </w:tcPr>
          <w:p w14:paraId="5089F9BA" w14:textId="50583B69" w:rsidR="00A20B21" w:rsidRDefault="00A20B21" w:rsidP="00A20B21">
            <w:pPr>
              <w:pStyle w:val="NormalWeb"/>
              <w:rPr>
                <w:rFonts w:ascii="Segoe UI" w:hAnsi="Segoe UI" w:cs="Segoe UI"/>
                <w:sz w:val="20"/>
                <w:szCs w:val="20"/>
                <w:lang w:val="en-AU" w:eastAsia="en-AU"/>
              </w:rPr>
            </w:pPr>
            <w:r>
              <w:rPr>
                <w:rFonts w:ascii="Segoe UI" w:hAnsi="Segoe UI" w:cs="Segoe UI"/>
                <w:sz w:val="20"/>
                <w:szCs w:val="20"/>
                <w:lang w:val="en-AU" w:eastAsia="en-AU"/>
              </w:rPr>
              <w:t>Mac install</w:t>
            </w:r>
          </w:p>
        </w:tc>
        <w:tc>
          <w:tcPr>
            <w:tcW w:w="2520" w:type="dxa"/>
          </w:tcPr>
          <w:p w14:paraId="583E25A4" w14:textId="40A41E3F" w:rsidR="00A20B21" w:rsidRDefault="00A20B21" w:rsidP="00AC019F">
            <w:pPr>
              <w:pStyle w:val="NormalWeb"/>
              <w:rPr>
                <w:rFonts w:ascii="Segoe UI" w:hAnsi="Segoe UI" w:cs="Segoe UI"/>
                <w:sz w:val="20"/>
                <w:szCs w:val="20"/>
                <w:lang w:val="en-AU" w:eastAsia="en-AU"/>
              </w:rPr>
            </w:pPr>
            <w:r>
              <w:rPr>
                <w:rFonts w:ascii="Segoe UI" w:hAnsi="Segoe UI" w:cs="Segoe UI"/>
                <w:sz w:val="20"/>
                <w:szCs w:val="20"/>
                <w:lang w:val="en-AU" w:eastAsia="en-AU"/>
              </w:rPr>
              <w:t>Mac install</w:t>
            </w:r>
          </w:p>
        </w:tc>
        <w:tc>
          <w:tcPr>
            <w:tcW w:w="2520" w:type="dxa"/>
          </w:tcPr>
          <w:p w14:paraId="6336F2F2" w14:textId="7E293D10" w:rsidR="00A20B21" w:rsidRDefault="00A20B21" w:rsidP="00AC019F">
            <w:pPr>
              <w:pStyle w:val="NormalWeb"/>
              <w:rPr>
                <w:rFonts w:ascii="Segoe UI" w:hAnsi="Segoe UI" w:cs="Segoe UI"/>
                <w:sz w:val="20"/>
                <w:szCs w:val="20"/>
                <w:lang w:val="en-AU" w:eastAsia="en-AU"/>
              </w:rPr>
            </w:pPr>
            <w:r>
              <w:rPr>
                <w:rFonts w:ascii="Segoe UI" w:hAnsi="Segoe UI" w:cs="Segoe UI"/>
                <w:sz w:val="20"/>
                <w:szCs w:val="20"/>
                <w:lang w:val="en-AU" w:eastAsia="en-AU"/>
              </w:rPr>
              <w:t>Mac install</w:t>
            </w:r>
          </w:p>
        </w:tc>
      </w:tr>
      <w:tr w:rsidR="00A20B21" w14:paraId="67CDED43" w14:textId="77777777" w:rsidTr="00A20B21">
        <w:trPr>
          <w:cnfStyle w:val="000000100000" w:firstRow="0" w:lastRow="0" w:firstColumn="0" w:lastColumn="0" w:oddVBand="0" w:evenVBand="0" w:oddHBand="1" w:evenHBand="0" w:firstRowFirstColumn="0" w:firstRowLastColumn="0" w:lastRowFirstColumn="0" w:lastRowLastColumn="0"/>
        </w:trPr>
        <w:tc>
          <w:tcPr>
            <w:tcW w:w="2245" w:type="dxa"/>
          </w:tcPr>
          <w:p w14:paraId="4439D81F" w14:textId="35A9ECA4" w:rsidR="00A20B21" w:rsidRDefault="00A20B21" w:rsidP="00AC019F">
            <w:pPr>
              <w:pStyle w:val="NormalWeb"/>
              <w:rPr>
                <w:rFonts w:ascii="Segoe UI" w:hAnsi="Segoe UI" w:cs="Segoe UI"/>
                <w:sz w:val="20"/>
                <w:szCs w:val="20"/>
                <w:lang w:val="en-AU" w:eastAsia="en-AU"/>
              </w:rPr>
            </w:pPr>
            <w:r>
              <w:rPr>
                <w:rFonts w:ascii="Segoe UI" w:hAnsi="Segoe UI" w:cs="Segoe UI"/>
                <w:sz w:val="20"/>
                <w:szCs w:val="20"/>
                <w:lang w:val="en-AU" w:eastAsia="en-AU"/>
              </w:rPr>
              <w:t>VS 2012 install</w:t>
            </w:r>
          </w:p>
        </w:tc>
        <w:tc>
          <w:tcPr>
            <w:tcW w:w="2160" w:type="dxa"/>
          </w:tcPr>
          <w:p w14:paraId="7A250243" w14:textId="6FA4517E" w:rsidR="00A20B21" w:rsidRDefault="00A20B21" w:rsidP="00AC019F">
            <w:pPr>
              <w:pStyle w:val="NormalWeb"/>
              <w:rPr>
                <w:rFonts w:ascii="Segoe UI" w:hAnsi="Segoe UI" w:cs="Segoe UI"/>
                <w:sz w:val="20"/>
                <w:szCs w:val="20"/>
                <w:lang w:val="en-AU" w:eastAsia="en-AU"/>
              </w:rPr>
            </w:pPr>
            <w:r>
              <w:rPr>
                <w:rFonts w:ascii="Segoe UI" w:hAnsi="Segoe UI" w:cs="Segoe UI"/>
                <w:sz w:val="20"/>
                <w:szCs w:val="20"/>
                <w:lang w:val="en-AU" w:eastAsia="en-AU"/>
              </w:rPr>
              <w:t>Linux install</w:t>
            </w:r>
          </w:p>
        </w:tc>
        <w:tc>
          <w:tcPr>
            <w:tcW w:w="2520" w:type="dxa"/>
          </w:tcPr>
          <w:p w14:paraId="78D4BED8" w14:textId="26012843" w:rsidR="00A20B21" w:rsidRDefault="00A20B21" w:rsidP="00AC019F">
            <w:pPr>
              <w:pStyle w:val="NormalWeb"/>
              <w:rPr>
                <w:rFonts w:ascii="Segoe UI" w:hAnsi="Segoe UI" w:cs="Segoe UI"/>
                <w:sz w:val="20"/>
                <w:szCs w:val="20"/>
                <w:lang w:val="en-AU" w:eastAsia="en-AU"/>
              </w:rPr>
            </w:pPr>
            <w:r>
              <w:rPr>
                <w:rFonts w:ascii="Segoe UI" w:hAnsi="Segoe UI" w:cs="Segoe UI"/>
                <w:sz w:val="20"/>
                <w:szCs w:val="20"/>
                <w:lang w:val="en-AU" w:eastAsia="en-AU"/>
              </w:rPr>
              <w:t>Linux install</w:t>
            </w:r>
          </w:p>
        </w:tc>
        <w:tc>
          <w:tcPr>
            <w:tcW w:w="2520" w:type="dxa"/>
          </w:tcPr>
          <w:p w14:paraId="14AA6413" w14:textId="61AE5D79" w:rsidR="00A20B21" w:rsidRDefault="00A20B21" w:rsidP="00AC019F">
            <w:pPr>
              <w:pStyle w:val="NormalWeb"/>
              <w:rPr>
                <w:rFonts w:ascii="Segoe UI" w:hAnsi="Segoe UI" w:cs="Segoe UI"/>
                <w:sz w:val="20"/>
                <w:szCs w:val="20"/>
                <w:lang w:val="en-AU" w:eastAsia="en-AU"/>
              </w:rPr>
            </w:pPr>
            <w:r>
              <w:rPr>
                <w:rFonts w:ascii="Segoe UI" w:hAnsi="Segoe UI" w:cs="Segoe UI"/>
                <w:sz w:val="20"/>
                <w:szCs w:val="20"/>
                <w:lang w:val="en-AU" w:eastAsia="en-AU"/>
              </w:rPr>
              <w:t>Linux install</w:t>
            </w:r>
          </w:p>
        </w:tc>
      </w:tr>
      <w:tr w:rsidR="00A20B21" w14:paraId="2D55E81B" w14:textId="77777777" w:rsidTr="00A20B21">
        <w:tc>
          <w:tcPr>
            <w:tcW w:w="2245" w:type="dxa"/>
          </w:tcPr>
          <w:p w14:paraId="6F5EDEB6" w14:textId="27D29BD3" w:rsidR="00A20B21" w:rsidRDefault="00A20B21" w:rsidP="00AC019F">
            <w:pPr>
              <w:pStyle w:val="NormalWeb"/>
              <w:rPr>
                <w:rFonts w:ascii="Segoe UI" w:hAnsi="Segoe UI" w:cs="Segoe UI"/>
                <w:sz w:val="20"/>
                <w:szCs w:val="20"/>
                <w:lang w:val="en-AU" w:eastAsia="en-AU"/>
              </w:rPr>
            </w:pPr>
            <w:r>
              <w:rPr>
                <w:rFonts w:ascii="Segoe UI" w:hAnsi="Segoe UI" w:cs="Segoe UI"/>
                <w:sz w:val="20"/>
                <w:szCs w:val="20"/>
                <w:lang w:val="en-AU" w:eastAsia="en-AU"/>
              </w:rPr>
              <w:t>Client libraries</w:t>
            </w:r>
          </w:p>
        </w:tc>
        <w:tc>
          <w:tcPr>
            <w:tcW w:w="2160" w:type="dxa"/>
          </w:tcPr>
          <w:p w14:paraId="2592DC70" w14:textId="77777777" w:rsidR="00A20B21" w:rsidRDefault="00A20B21" w:rsidP="00AC019F">
            <w:pPr>
              <w:pStyle w:val="NormalWeb"/>
              <w:rPr>
                <w:rFonts w:ascii="Segoe UI" w:hAnsi="Segoe UI" w:cs="Segoe UI"/>
                <w:sz w:val="20"/>
                <w:szCs w:val="20"/>
                <w:lang w:val="en-AU" w:eastAsia="en-AU"/>
              </w:rPr>
            </w:pPr>
          </w:p>
        </w:tc>
        <w:tc>
          <w:tcPr>
            <w:tcW w:w="2520" w:type="dxa"/>
          </w:tcPr>
          <w:p w14:paraId="0E1F72F5" w14:textId="77777777" w:rsidR="00A20B21" w:rsidRDefault="00A20B21" w:rsidP="00AC019F">
            <w:pPr>
              <w:pStyle w:val="NormalWeb"/>
              <w:rPr>
                <w:rFonts w:ascii="Segoe UI" w:hAnsi="Segoe UI" w:cs="Segoe UI"/>
                <w:sz w:val="20"/>
                <w:szCs w:val="20"/>
                <w:lang w:val="en-AU" w:eastAsia="en-AU"/>
              </w:rPr>
            </w:pPr>
          </w:p>
        </w:tc>
        <w:tc>
          <w:tcPr>
            <w:tcW w:w="2520" w:type="dxa"/>
          </w:tcPr>
          <w:p w14:paraId="6789D24E" w14:textId="77777777" w:rsidR="00A20B21" w:rsidRDefault="00A20B21" w:rsidP="00AC019F">
            <w:pPr>
              <w:pStyle w:val="NormalWeb"/>
              <w:rPr>
                <w:rFonts w:ascii="Segoe UI" w:hAnsi="Segoe UI" w:cs="Segoe UI"/>
                <w:sz w:val="20"/>
                <w:szCs w:val="20"/>
                <w:lang w:val="en-AU" w:eastAsia="en-AU"/>
              </w:rPr>
            </w:pPr>
          </w:p>
        </w:tc>
      </w:tr>
    </w:tbl>
    <w:p w14:paraId="65133343" w14:textId="77777777" w:rsidR="00AC019F" w:rsidRDefault="00AC019F" w:rsidP="00AC019F"/>
    <w:tbl>
      <w:tblPr>
        <w:tblStyle w:val="PlainTable11"/>
        <w:tblW w:w="9445" w:type="dxa"/>
        <w:tblLook w:val="0420" w:firstRow="1" w:lastRow="0" w:firstColumn="0" w:lastColumn="0" w:noHBand="0" w:noVBand="1"/>
      </w:tblPr>
      <w:tblGrid>
        <w:gridCol w:w="2245"/>
        <w:gridCol w:w="2160"/>
        <w:gridCol w:w="2520"/>
        <w:gridCol w:w="2520"/>
      </w:tblGrid>
      <w:tr w:rsidR="00AC019F" w:rsidRPr="00A20B21" w14:paraId="298E8263" w14:textId="77777777" w:rsidTr="00A20B21">
        <w:trPr>
          <w:cnfStyle w:val="100000000000" w:firstRow="1" w:lastRow="0" w:firstColumn="0" w:lastColumn="0" w:oddVBand="0" w:evenVBand="0" w:oddHBand="0" w:evenHBand="0" w:firstRowFirstColumn="0" w:firstRowLastColumn="0" w:lastRowFirstColumn="0" w:lastRowLastColumn="0"/>
        </w:trPr>
        <w:tc>
          <w:tcPr>
            <w:tcW w:w="2245" w:type="dxa"/>
            <w:shd w:val="clear" w:color="auto" w:fill="808080" w:themeFill="background1" w:themeFillShade="80"/>
            <w:hideMark/>
          </w:tcPr>
          <w:p w14:paraId="2CA26B08" w14:textId="77777777" w:rsidR="00AC019F" w:rsidRPr="00A20B21" w:rsidRDefault="00AC019F" w:rsidP="00AC019F">
            <w:pPr>
              <w:spacing w:line="240" w:lineRule="auto"/>
              <w:rPr>
                <w:rFonts w:ascii="Times New Roman" w:hAnsi="Times New Roman"/>
                <w:bCs w:val="0"/>
                <w:color w:val="FFFFFF"/>
                <w:lang w:val="en-AU" w:eastAsia="en-AU"/>
              </w:rPr>
            </w:pPr>
            <w:r w:rsidRPr="00A20B21">
              <w:rPr>
                <w:rFonts w:eastAsia="Calibri"/>
                <w:bCs w:val="0"/>
                <w:color w:val="FFFFFF"/>
                <w:lang w:val="en-AU" w:eastAsia="en-AU"/>
              </w:rPr>
              <w:t>Python</w:t>
            </w:r>
          </w:p>
        </w:tc>
        <w:tc>
          <w:tcPr>
            <w:tcW w:w="2160" w:type="dxa"/>
            <w:shd w:val="clear" w:color="auto" w:fill="808080" w:themeFill="background1" w:themeFillShade="80"/>
            <w:hideMark/>
          </w:tcPr>
          <w:p w14:paraId="6DF0D5A4" w14:textId="77777777" w:rsidR="00AC019F" w:rsidRPr="00A20B21" w:rsidRDefault="00AC019F" w:rsidP="00AC019F">
            <w:pPr>
              <w:spacing w:line="240" w:lineRule="auto"/>
              <w:rPr>
                <w:rFonts w:eastAsia="Calibri"/>
                <w:color w:val="FFFFFF"/>
                <w:lang w:val="en-AU" w:eastAsia="en-AU"/>
              </w:rPr>
            </w:pPr>
            <w:r w:rsidRPr="00A20B21">
              <w:rPr>
                <w:rFonts w:eastAsia="Calibri"/>
                <w:bCs w:val="0"/>
                <w:color w:val="FFFFFF"/>
                <w:lang w:val="en-AU" w:eastAsia="en-AU"/>
              </w:rPr>
              <w:t>Ruby</w:t>
            </w:r>
          </w:p>
        </w:tc>
        <w:tc>
          <w:tcPr>
            <w:tcW w:w="2520" w:type="dxa"/>
            <w:shd w:val="clear" w:color="auto" w:fill="808080" w:themeFill="background1" w:themeFillShade="80"/>
          </w:tcPr>
          <w:p w14:paraId="4B40D636" w14:textId="77777777" w:rsidR="00AC019F" w:rsidRPr="00A20B21" w:rsidRDefault="00AC019F" w:rsidP="00AC019F">
            <w:pPr>
              <w:spacing w:line="240" w:lineRule="auto"/>
              <w:rPr>
                <w:rFonts w:eastAsia="Calibri"/>
                <w:bCs w:val="0"/>
                <w:color w:val="FFFFFF"/>
                <w:lang w:val="en-AU" w:eastAsia="en-AU"/>
              </w:rPr>
            </w:pPr>
            <w:r w:rsidRPr="00A20B21">
              <w:rPr>
                <w:rFonts w:eastAsia="Calibri"/>
                <w:bCs w:val="0"/>
                <w:color w:val="FFFFFF"/>
                <w:lang w:val="en-AU" w:eastAsia="en-AU"/>
              </w:rPr>
              <w:t>Mobile</w:t>
            </w:r>
          </w:p>
        </w:tc>
        <w:tc>
          <w:tcPr>
            <w:tcW w:w="2520" w:type="dxa"/>
            <w:shd w:val="clear" w:color="auto" w:fill="808080" w:themeFill="background1" w:themeFillShade="80"/>
          </w:tcPr>
          <w:p w14:paraId="1166A32C" w14:textId="77777777" w:rsidR="00AC019F" w:rsidRPr="00A20B21" w:rsidRDefault="00AC019F" w:rsidP="00AC019F">
            <w:pPr>
              <w:spacing w:line="240" w:lineRule="auto"/>
              <w:rPr>
                <w:rFonts w:eastAsia="Calibri"/>
                <w:bCs w:val="0"/>
                <w:color w:val="FFFFFF"/>
                <w:lang w:val="en-AU" w:eastAsia="en-AU"/>
              </w:rPr>
            </w:pPr>
            <w:r w:rsidRPr="00A20B21">
              <w:rPr>
                <w:rFonts w:eastAsia="Calibri"/>
                <w:bCs w:val="0"/>
                <w:color w:val="FFFFFF"/>
                <w:lang w:val="en-AU" w:eastAsia="en-AU"/>
              </w:rPr>
              <w:t>Media</w:t>
            </w:r>
          </w:p>
        </w:tc>
      </w:tr>
      <w:tr w:rsidR="00AC019F" w14:paraId="7E8579A6" w14:textId="77777777" w:rsidTr="00A20B21">
        <w:trPr>
          <w:cnfStyle w:val="000000100000" w:firstRow="0" w:lastRow="0" w:firstColumn="0" w:lastColumn="0" w:oddVBand="0" w:evenVBand="0" w:oddHBand="1" w:evenHBand="0" w:firstRowFirstColumn="0" w:firstRowLastColumn="0" w:lastRowFirstColumn="0" w:lastRowLastColumn="0"/>
        </w:trPr>
        <w:tc>
          <w:tcPr>
            <w:tcW w:w="2245" w:type="dxa"/>
            <w:hideMark/>
          </w:tcPr>
          <w:p w14:paraId="07D7A7B5" w14:textId="43D353B2" w:rsidR="00AC019F" w:rsidRPr="00236F1B" w:rsidRDefault="00A20B21" w:rsidP="00A20B21">
            <w:pPr>
              <w:pStyle w:val="NormalWeb"/>
              <w:rPr>
                <w:rFonts w:ascii="Segoe UI" w:hAnsi="Segoe UI" w:cs="Segoe UI"/>
                <w:sz w:val="20"/>
                <w:szCs w:val="20"/>
                <w:lang w:val="en-AU" w:eastAsia="en-AU"/>
              </w:rPr>
            </w:pPr>
            <w:r>
              <w:rPr>
                <w:rFonts w:ascii="Segoe UI" w:hAnsi="Segoe UI" w:cs="Segoe UI"/>
                <w:sz w:val="20"/>
                <w:szCs w:val="20"/>
                <w:lang w:val="en-AU" w:eastAsia="en-AU"/>
              </w:rPr>
              <w:t>Windows install</w:t>
            </w:r>
          </w:p>
        </w:tc>
        <w:tc>
          <w:tcPr>
            <w:tcW w:w="2160" w:type="dxa"/>
            <w:hideMark/>
          </w:tcPr>
          <w:p w14:paraId="58F6E5B0" w14:textId="2B826116" w:rsidR="00AC019F" w:rsidRPr="00F47607" w:rsidRDefault="00A20B21" w:rsidP="00A20B21">
            <w:pPr>
              <w:pStyle w:val="NormalWeb"/>
              <w:rPr>
                <w:rFonts w:ascii="Segoe UI" w:hAnsi="Segoe UI" w:cs="Segoe UI"/>
                <w:sz w:val="20"/>
                <w:szCs w:val="20"/>
                <w:lang w:val="en-AU" w:eastAsia="en-AU"/>
              </w:rPr>
            </w:pPr>
            <w:r>
              <w:rPr>
                <w:rFonts w:ascii="Segoe UI" w:hAnsi="Segoe UI" w:cs="Segoe UI"/>
                <w:sz w:val="20"/>
                <w:szCs w:val="20"/>
                <w:lang w:val="en-AU" w:eastAsia="en-AU"/>
              </w:rPr>
              <w:t>Windows install</w:t>
            </w:r>
          </w:p>
        </w:tc>
        <w:tc>
          <w:tcPr>
            <w:tcW w:w="2520" w:type="dxa"/>
          </w:tcPr>
          <w:p w14:paraId="522FC1FE" w14:textId="3B5E4B7A" w:rsidR="00AC019F" w:rsidRDefault="00A20B21" w:rsidP="00A20B21">
            <w:pPr>
              <w:pStyle w:val="NormalWeb"/>
              <w:rPr>
                <w:rFonts w:ascii="Segoe UI" w:hAnsi="Segoe UI" w:cs="Segoe UI"/>
                <w:sz w:val="20"/>
                <w:szCs w:val="20"/>
                <w:lang w:val="en-AU" w:eastAsia="en-AU"/>
              </w:rPr>
            </w:pPr>
            <w:r>
              <w:rPr>
                <w:rFonts w:ascii="Segoe UI" w:hAnsi="Segoe UI" w:cs="Segoe UI"/>
                <w:sz w:val="20"/>
                <w:szCs w:val="20"/>
                <w:lang w:val="en-AU" w:eastAsia="en-AU"/>
              </w:rPr>
              <w:t>iOS install</w:t>
            </w:r>
          </w:p>
        </w:tc>
        <w:tc>
          <w:tcPr>
            <w:tcW w:w="2520" w:type="dxa"/>
          </w:tcPr>
          <w:p w14:paraId="1FA4560A" w14:textId="4C001CD1" w:rsidR="00AC019F" w:rsidRDefault="00A20B21" w:rsidP="00AC019F">
            <w:pPr>
              <w:pStyle w:val="NormalWeb"/>
              <w:rPr>
                <w:rFonts w:ascii="Segoe UI" w:hAnsi="Segoe UI" w:cs="Segoe UI"/>
                <w:sz w:val="20"/>
                <w:szCs w:val="20"/>
                <w:lang w:val="en-AU" w:eastAsia="en-AU"/>
              </w:rPr>
            </w:pPr>
            <w:r>
              <w:rPr>
                <w:rFonts w:ascii="Segoe UI" w:hAnsi="Segoe UI" w:cs="Segoe UI"/>
                <w:sz w:val="20"/>
                <w:szCs w:val="20"/>
                <w:lang w:val="en-AU" w:eastAsia="en-AU"/>
              </w:rPr>
              <w:t>iOS SDK install</w:t>
            </w:r>
          </w:p>
        </w:tc>
      </w:tr>
      <w:tr w:rsidR="00A20B21" w14:paraId="5F127231" w14:textId="77777777" w:rsidTr="00A20B21">
        <w:tc>
          <w:tcPr>
            <w:tcW w:w="2245" w:type="dxa"/>
          </w:tcPr>
          <w:p w14:paraId="49D91C0F" w14:textId="02EF75DC" w:rsidR="00A20B21" w:rsidRDefault="00A20B21" w:rsidP="00AC019F">
            <w:pPr>
              <w:pStyle w:val="NormalWeb"/>
              <w:rPr>
                <w:rFonts w:ascii="Segoe UI" w:hAnsi="Segoe UI" w:cs="Segoe UI"/>
                <w:sz w:val="20"/>
                <w:szCs w:val="20"/>
                <w:lang w:val="en-AU" w:eastAsia="en-AU"/>
              </w:rPr>
            </w:pPr>
            <w:r>
              <w:rPr>
                <w:rFonts w:ascii="Segoe UI" w:hAnsi="Segoe UI" w:cs="Segoe UI"/>
                <w:sz w:val="20"/>
                <w:szCs w:val="20"/>
                <w:lang w:val="en-AU" w:eastAsia="en-AU"/>
              </w:rPr>
              <w:t>Mac install</w:t>
            </w:r>
          </w:p>
        </w:tc>
        <w:tc>
          <w:tcPr>
            <w:tcW w:w="2160" w:type="dxa"/>
          </w:tcPr>
          <w:p w14:paraId="291643DE" w14:textId="314F940E" w:rsidR="00A20B21" w:rsidRDefault="00A20B21" w:rsidP="00AC019F">
            <w:pPr>
              <w:pStyle w:val="NormalWeb"/>
              <w:rPr>
                <w:rFonts w:ascii="Segoe UI" w:hAnsi="Segoe UI" w:cs="Segoe UI"/>
                <w:sz w:val="20"/>
                <w:szCs w:val="20"/>
                <w:lang w:val="en-AU" w:eastAsia="en-AU"/>
              </w:rPr>
            </w:pPr>
            <w:r>
              <w:rPr>
                <w:rFonts w:ascii="Segoe UI" w:hAnsi="Segoe UI" w:cs="Segoe UI"/>
                <w:sz w:val="20"/>
                <w:szCs w:val="20"/>
                <w:lang w:val="en-AU" w:eastAsia="en-AU"/>
              </w:rPr>
              <w:t>Mac install</w:t>
            </w:r>
          </w:p>
        </w:tc>
        <w:tc>
          <w:tcPr>
            <w:tcW w:w="2520" w:type="dxa"/>
          </w:tcPr>
          <w:p w14:paraId="56365C03" w14:textId="6A53C576" w:rsidR="00A20B21" w:rsidRDefault="00A20B21" w:rsidP="00AC019F">
            <w:pPr>
              <w:pStyle w:val="NormalWeb"/>
              <w:rPr>
                <w:rFonts w:ascii="Segoe UI" w:hAnsi="Segoe UI" w:cs="Segoe UI"/>
                <w:sz w:val="20"/>
                <w:szCs w:val="20"/>
                <w:lang w:val="en-AU" w:eastAsia="en-AU"/>
              </w:rPr>
            </w:pPr>
            <w:r>
              <w:rPr>
                <w:rFonts w:ascii="Segoe UI" w:hAnsi="Segoe UI" w:cs="Segoe UI"/>
                <w:sz w:val="20"/>
                <w:szCs w:val="20"/>
                <w:lang w:val="en-AU" w:eastAsia="en-AU"/>
              </w:rPr>
              <w:t>Android install</w:t>
            </w:r>
          </w:p>
        </w:tc>
        <w:tc>
          <w:tcPr>
            <w:tcW w:w="2520" w:type="dxa"/>
          </w:tcPr>
          <w:p w14:paraId="7E74BA0D" w14:textId="375827EA" w:rsidR="00A20B21" w:rsidRDefault="00A20B21" w:rsidP="00AC019F">
            <w:pPr>
              <w:pStyle w:val="NormalWeb"/>
              <w:rPr>
                <w:rFonts w:ascii="Segoe UI" w:hAnsi="Segoe UI" w:cs="Segoe UI"/>
                <w:sz w:val="20"/>
                <w:szCs w:val="20"/>
                <w:lang w:val="en-AU" w:eastAsia="en-AU"/>
              </w:rPr>
            </w:pPr>
            <w:r>
              <w:rPr>
                <w:rFonts w:ascii="Segoe UI" w:hAnsi="Segoe UI" w:cs="Segoe UI"/>
                <w:sz w:val="20"/>
                <w:szCs w:val="20"/>
                <w:lang w:val="en-AU" w:eastAsia="en-AU"/>
              </w:rPr>
              <w:t>Flash OSMF install</w:t>
            </w:r>
          </w:p>
        </w:tc>
      </w:tr>
      <w:tr w:rsidR="00A20B21" w14:paraId="59BC426C" w14:textId="77777777" w:rsidTr="00A20B21">
        <w:trPr>
          <w:cnfStyle w:val="000000100000" w:firstRow="0" w:lastRow="0" w:firstColumn="0" w:lastColumn="0" w:oddVBand="0" w:evenVBand="0" w:oddHBand="1" w:evenHBand="0" w:firstRowFirstColumn="0" w:firstRowLastColumn="0" w:lastRowFirstColumn="0" w:lastRowLastColumn="0"/>
        </w:trPr>
        <w:tc>
          <w:tcPr>
            <w:tcW w:w="2245" w:type="dxa"/>
          </w:tcPr>
          <w:p w14:paraId="53F8912C" w14:textId="575DF1A7" w:rsidR="00A20B21" w:rsidRDefault="00A20B21" w:rsidP="00AC019F">
            <w:pPr>
              <w:pStyle w:val="NormalWeb"/>
              <w:rPr>
                <w:rFonts w:ascii="Segoe UI" w:hAnsi="Segoe UI" w:cs="Segoe UI"/>
                <w:sz w:val="20"/>
                <w:szCs w:val="20"/>
                <w:lang w:val="en-AU" w:eastAsia="en-AU"/>
              </w:rPr>
            </w:pPr>
            <w:r>
              <w:rPr>
                <w:rFonts w:ascii="Segoe UI" w:hAnsi="Segoe UI" w:cs="Segoe UI"/>
                <w:sz w:val="20"/>
                <w:szCs w:val="20"/>
                <w:lang w:val="en-AU" w:eastAsia="en-AU"/>
              </w:rPr>
              <w:t>Linux install</w:t>
            </w:r>
          </w:p>
        </w:tc>
        <w:tc>
          <w:tcPr>
            <w:tcW w:w="2160" w:type="dxa"/>
          </w:tcPr>
          <w:p w14:paraId="01E62FB0" w14:textId="2865E62A" w:rsidR="00A20B21" w:rsidRDefault="00A20B21" w:rsidP="00AC019F">
            <w:pPr>
              <w:pStyle w:val="NormalWeb"/>
              <w:rPr>
                <w:rFonts w:ascii="Segoe UI" w:hAnsi="Segoe UI" w:cs="Segoe UI"/>
                <w:sz w:val="20"/>
                <w:szCs w:val="20"/>
                <w:lang w:val="en-AU" w:eastAsia="en-AU"/>
              </w:rPr>
            </w:pPr>
            <w:r>
              <w:rPr>
                <w:rFonts w:ascii="Segoe UI" w:hAnsi="Segoe UI" w:cs="Segoe UI"/>
                <w:sz w:val="20"/>
                <w:szCs w:val="20"/>
                <w:lang w:val="en-AU" w:eastAsia="en-AU"/>
              </w:rPr>
              <w:t>Linux install</w:t>
            </w:r>
          </w:p>
        </w:tc>
        <w:tc>
          <w:tcPr>
            <w:tcW w:w="2520" w:type="dxa"/>
          </w:tcPr>
          <w:p w14:paraId="09C2B4FA" w14:textId="77777777" w:rsidR="00A20B21" w:rsidRDefault="00A20B21" w:rsidP="00A20B21">
            <w:pPr>
              <w:pStyle w:val="NormalWeb"/>
              <w:rPr>
                <w:rFonts w:ascii="Segoe UI" w:hAnsi="Segoe UI" w:cs="Segoe UI"/>
                <w:sz w:val="20"/>
                <w:szCs w:val="20"/>
                <w:lang w:val="en-AU" w:eastAsia="en-AU"/>
              </w:rPr>
            </w:pPr>
            <w:r>
              <w:rPr>
                <w:rFonts w:ascii="Segoe UI" w:hAnsi="Segoe UI" w:cs="Segoe UI"/>
                <w:sz w:val="20"/>
                <w:szCs w:val="20"/>
                <w:lang w:val="en-AU" w:eastAsia="en-AU"/>
              </w:rPr>
              <w:t>Windows Store C# install</w:t>
            </w:r>
          </w:p>
          <w:p w14:paraId="0DA58708" w14:textId="77777777" w:rsidR="00A20B21" w:rsidRDefault="00A20B21" w:rsidP="00A20B21">
            <w:pPr>
              <w:pStyle w:val="NormalWeb"/>
              <w:rPr>
                <w:rFonts w:ascii="Segoe UI" w:hAnsi="Segoe UI" w:cs="Segoe UI"/>
                <w:sz w:val="20"/>
                <w:szCs w:val="20"/>
                <w:lang w:val="en-AU" w:eastAsia="en-AU"/>
              </w:rPr>
            </w:pPr>
            <w:r>
              <w:rPr>
                <w:rFonts w:ascii="Segoe UI" w:hAnsi="Segoe UI" w:cs="Segoe UI"/>
                <w:sz w:val="20"/>
                <w:szCs w:val="20"/>
                <w:lang w:val="en-AU" w:eastAsia="en-AU"/>
              </w:rPr>
              <w:t>Windows Store JS install</w:t>
            </w:r>
          </w:p>
          <w:p w14:paraId="76C01939" w14:textId="2239F7D4" w:rsidR="00A20B21" w:rsidRDefault="00A20B21" w:rsidP="00A20B21">
            <w:pPr>
              <w:pStyle w:val="NormalWeb"/>
              <w:rPr>
                <w:rFonts w:ascii="Segoe UI" w:hAnsi="Segoe UI" w:cs="Segoe UI"/>
                <w:sz w:val="20"/>
                <w:szCs w:val="20"/>
                <w:lang w:val="en-AU" w:eastAsia="en-AU"/>
              </w:rPr>
            </w:pPr>
            <w:r>
              <w:rPr>
                <w:rFonts w:ascii="Segoe UI" w:hAnsi="Segoe UI" w:cs="Segoe UI"/>
                <w:sz w:val="20"/>
                <w:szCs w:val="20"/>
                <w:lang w:val="en-AU" w:eastAsia="en-AU"/>
              </w:rPr>
              <w:t>Windows Phone 8 install</w:t>
            </w:r>
          </w:p>
        </w:tc>
        <w:tc>
          <w:tcPr>
            <w:tcW w:w="2520" w:type="dxa"/>
          </w:tcPr>
          <w:p w14:paraId="610EF354" w14:textId="77777777" w:rsidR="00A20B21" w:rsidRDefault="00A20B21" w:rsidP="00A20B21">
            <w:pPr>
              <w:pStyle w:val="NormalWeb"/>
              <w:rPr>
                <w:rFonts w:ascii="Segoe UI" w:hAnsi="Segoe UI" w:cs="Segoe UI"/>
                <w:sz w:val="20"/>
                <w:szCs w:val="20"/>
                <w:lang w:val="en-AU" w:eastAsia="en-AU"/>
              </w:rPr>
            </w:pPr>
            <w:r>
              <w:rPr>
                <w:rFonts w:ascii="Segoe UI" w:hAnsi="Segoe UI" w:cs="Segoe UI"/>
                <w:sz w:val="20"/>
                <w:szCs w:val="20"/>
                <w:lang w:val="en-AU" w:eastAsia="en-AU"/>
              </w:rPr>
              <w:t>Windows 8 install</w:t>
            </w:r>
          </w:p>
          <w:p w14:paraId="1599CA64" w14:textId="77777777" w:rsidR="00A20B21" w:rsidRDefault="00A20B21" w:rsidP="00A20B21">
            <w:pPr>
              <w:pStyle w:val="NormalWeb"/>
              <w:rPr>
                <w:rFonts w:ascii="Segoe UI" w:hAnsi="Segoe UI" w:cs="Segoe UI"/>
                <w:sz w:val="20"/>
                <w:szCs w:val="20"/>
                <w:lang w:val="en-AU" w:eastAsia="en-AU"/>
              </w:rPr>
            </w:pPr>
            <w:r>
              <w:rPr>
                <w:rFonts w:ascii="Segoe UI" w:hAnsi="Segoe UI" w:cs="Segoe UI"/>
                <w:sz w:val="20"/>
                <w:szCs w:val="20"/>
                <w:lang w:val="en-AU" w:eastAsia="en-AU"/>
              </w:rPr>
              <w:t>Silverlight install</w:t>
            </w:r>
          </w:p>
          <w:p w14:paraId="47F60EE2" w14:textId="77777777" w:rsidR="00A20B21" w:rsidRDefault="00A20B21" w:rsidP="00A20B21">
            <w:pPr>
              <w:pStyle w:val="NormalWeb"/>
              <w:rPr>
                <w:rFonts w:ascii="Segoe UI" w:hAnsi="Segoe UI" w:cs="Segoe UI"/>
                <w:sz w:val="20"/>
                <w:szCs w:val="20"/>
                <w:lang w:val="en-AU" w:eastAsia="en-AU"/>
              </w:rPr>
            </w:pPr>
            <w:r>
              <w:rPr>
                <w:rFonts w:ascii="Segoe UI" w:hAnsi="Segoe UI" w:cs="Segoe UI"/>
                <w:sz w:val="20"/>
                <w:szCs w:val="20"/>
                <w:lang w:val="en-AU" w:eastAsia="en-AU"/>
              </w:rPr>
              <w:t>.NET SDK install</w:t>
            </w:r>
          </w:p>
          <w:p w14:paraId="429498F2" w14:textId="45A5C28D" w:rsidR="00A20B21" w:rsidRDefault="00A20B21" w:rsidP="00A20B21">
            <w:pPr>
              <w:pStyle w:val="NormalWeb"/>
              <w:rPr>
                <w:rFonts w:ascii="Segoe UI" w:hAnsi="Segoe UI" w:cs="Segoe UI"/>
                <w:sz w:val="20"/>
                <w:szCs w:val="20"/>
                <w:lang w:val="en-AU" w:eastAsia="en-AU"/>
              </w:rPr>
            </w:pPr>
            <w:r>
              <w:rPr>
                <w:rFonts w:ascii="Segoe UI" w:hAnsi="Segoe UI" w:cs="Segoe UI"/>
                <w:sz w:val="20"/>
                <w:szCs w:val="20"/>
                <w:lang w:val="en-AU" w:eastAsia="en-AU"/>
              </w:rPr>
              <w:t>Java SDK install</w:t>
            </w:r>
          </w:p>
        </w:tc>
      </w:tr>
    </w:tbl>
    <w:p w14:paraId="6198C219" w14:textId="77777777" w:rsidR="00AC019F" w:rsidRDefault="00AC019F" w:rsidP="00AC019F"/>
    <w:p w14:paraId="77D549FC" w14:textId="77777777" w:rsidR="00F555E4" w:rsidRDefault="00F555E4" w:rsidP="00F555E4">
      <w:pPr>
        <w:pStyle w:val="ListParagraph"/>
        <w:tabs>
          <w:tab w:val="clear" w:pos="720"/>
        </w:tabs>
        <w:ind w:left="0" w:firstLine="0"/>
        <w:rPr>
          <w:b/>
        </w:rPr>
      </w:pPr>
      <w:r>
        <w:rPr>
          <w:b/>
        </w:rPr>
        <w:t xml:space="preserve">Azure </w:t>
      </w:r>
      <w:r w:rsidRPr="00C17379">
        <w:rPr>
          <w:b/>
        </w:rPr>
        <w:t>PowerShell</w:t>
      </w:r>
    </w:p>
    <w:p w14:paraId="4C84520A" w14:textId="77777777" w:rsidR="00F555E4" w:rsidRDefault="00F555E4" w:rsidP="00F555E4">
      <w:pPr>
        <w:rPr>
          <w:lang w:val="en"/>
        </w:rPr>
      </w:pPr>
      <w:r w:rsidRPr="00357B83">
        <w:rPr>
          <w:lang w:val="en"/>
        </w:rPr>
        <w:t>You can use Windows PowerShell to perform a variety of tasks in Azure, either interactively at a command prompt or automatically</w:t>
      </w:r>
      <w:r w:rsidRPr="0011170C">
        <w:rPr>
          <w:lang w:val="en"/>
        </w:rPr>
        <w:t xml:space="preserve"> through scripts. </w:t>
      </w:r>
      <w:r w:rsidRPr="00357B83">
        <w:rPr>
          <w:lang w:val="en"/>
        </w:rPr>
        <w:t xml:space="preserve">Azure PowerShell is a module that provides cmdlets to manage Azure through Windows PowerShell. </w:t>
      </w:r>
    </w:p>
    <w:p w14:paraId="0B4C2F77" w14:textId="77777777" w:rsidR="00F555E4" w:rsidRPr="00357B83" w:rsidRDefault="00F555E4" w:rsidP="00F555E4">
      <w:pPr>
        <w:rPr>
          <w:rFonts w:eastAsia="Times New Roman" w:cs="Segoe UI"/>
          <w:lang w:val="en"/>
        </w:rPr>
      </w:pPr>
      <w:r w:rsidRPr="00357B83">
        <w:rPr>
          <w:lang w:val="en"/>
        </w:rPr>
        <w:t>You can use the cmdlets to create, test, deploy, and manage solutions and services delivered through the Azure platform. In most cases, you ca</w:t>
      </w:r>
      <w:r w:rsidRPr="0011170C">
        <w:rPr>
          <w:rFonts w:cs="Segoe UI"/>
          <w:lang w:val="en"/>
        </w:rPr>
        <w:t xml:space="preserve">n use the cmdlets to perform the same tasks that you can perform through the Azure Management </w:t>
      </w:r>
      <w:r>
        <w:rPr>
          <w:rFonts w:cs="Segoe UI"/>
          <w:lang w:val="en"/>
        </w:rPr>
        <w:t>p</w:t>
      </w:r>
      <w:r w:rsidRPr="0011170C">
        <w:rPr>
          <w:rFonts w:cs="Segoe UI"/>
          <w:lang w:val="en"/>
        </w:rPr>
        <w:t xml:space="preserve">ortal. For example, you can create and configure cloud services, virtual machines, virtual networks, and web </w:t>
      </w:r>
      <w:r w:rsidRPr="000D0E37">
        <w:rPr>
          <w:rFonts w:cs="Segoe UI"/>
          <w:lang w:val="en"/>
        </w:rPr>
        <w:t>app</w:t>
      </w:r>
      <w:r>
        <w:rPr>
          <w:rFonts w:cs="Segoe UI"/>
          <w:lang w:val="en"/>
        </w:rPr>
        <w:t>lications</w:t>
      </w:r>
      <w:r w:rsidRPr="000D0E37">
        <w:rPr>
          <w:rFonts w:cs="Segoe UI"/>
          <w:lang w:val="en"/>
        </w:rPr>
        <w:t>.</w:t>
      </w:r>
      <w:r w:rsidRPr="00C003AF">
        <w:rPr>
          <w:rFonts w:cs="Segoe UI"/>
          <w:lang w:val="en"/>
        </w:rPr>
        <w:t xml:space="preserve"> </w:t>
      </w:r>
    </w:p>
    <w:p w14:paraId="64C0EA5C" w14:textId="04C595F1" w:rsidR="008926AD" w:rsidRPr="00357B83" w:rsidRDefault="00F555E4" w:rsidP="00F555E4">
      <w:pPr>
        <w:rPr>
          <w:rFonts w:cs="Segoe UI"/>
          <w:lang w:val="en"/>
        </w:rPr>
      </w:pPr>
      <w:r w:rsidRPr="0011170C">
        <w:rPr>
          <w:rFonts w:cs="Segoe UI"/>
          <w:lang w:val="en"/>
        </w:rPr>
        <w:t>The module is distributed as a downloadable file and the source code is managed through a publicly available repository. A link to the downloadable files is provided in the installation instructions later in this topic. For information about the source code, see</w:t>
      </w:r>
      <w:r>
        <w:rPr>
          <w:rFonts w:cs="Segoe UI"/>
          <w:lang w:val="en"/>
        </w:rPr>
        <w:t xml:space="preserve"> the</w:t>
      </w:r>
      <w:r w:rsidRPr="0011170C">
        <w:rPr>
          <w:rFonts w:cs="Segoe UI"/>
          <w:lang w:val="en"/>
        </w:rPr>
        <w:t xml:space="preserve"> </w:t>
      </w:r>
      <w:hyperlink r:id="rId79" w:history="1">
        <w:r>
          <w:rPr>
            <w:rStyle w:val="Hyperlink"/>
            <w:lang w:val="en"/>
          </w:rPr>
          <w:t>Azure PowerShell code repository</w:t>
        </w:r>
      </w:hyperlink>
      <w:r w:rsidR="008926AD" w:rsidRPr="00357B83">
        <w:rPr>
          <w:rFonts w:cs="Segoe UI"/>
          <w:lang w:val="en"/>
        </w:rPr>
        <w:t>.</w:t>
      </w:r>
    </w:p>
    <w:p w14:paraId="53ED35CE" w14:textId="77777777" w:rsidR="005D5673" w:rsidRPr="00C17379" w:rsidRDefault="005D5673" w:rsidP="00AC019F">
      <w:pPr>
        <w:rPr>
          <w:b/>
        </w:rPr>
      </w:pPr>
      <w:r w:rsidRPr="00C17379">
        <w:rPr>
          <w:b/>
        </w:rPr>
        <w:t>XPlat</w:t>
      </w:r>
      <w:r w:rsidR="00AC019F" w:rsidRPr="00C17379">
        <w:rPr>
          <w:rFonts w:cs="Segoe UI"/>
          <w:b/>
        </w:rPr>
        <w:t>-</w:t>
      </w:r>
      <w:r w:rsidRPr="00C17379">
        <w:rPr>
          <w:b/>
        </w:rPr>
        <w:t>CLi</w:t>
      </w:r>
    </w:p>
    <w:p w14:paraId="0A283C2E" w14:textId="48775423" w:rsidR="00F555E4" w:rsidRPr="0011170C" w:rsidRDefault="008926AD" w:rsidP="00F555E4">
      <w:pPr>
        <w:rPr>
          <w:rFonts w:eastAsia="Times New Roman" w:cs="Segoe UI"/>
          <w:lang w:val="en"/>
        </w:rPr>
      </w:pPr>
      <w:r w:rsidRPr="00357B83">
        <w:rPr>
          <w:rFonts w:cs="Segoe UI"/>
          <w:lang w:val="en"/>
        </w:rPr>
        <w:t>The</w:t>
      </w:r>
      <w:r w:rsidR="00F555E4" w:rsidRPr="00357B83">
        <w:rPr>
          <w:rFonts w:cs="Segoe UI"/>
          <w:lang w:val="en"/>
        </w:rPr>
        <w:t xml:space="preserve"> Azure Cross-Platform Command-Line Interface</w:t>
      </w:r>
      <w:r w:rsidR="00F555E4">
        <w:rPr>
          <w:rFonts w:cs="Segoe UI"/>
          <w:lang w:val="en"/>
        </w:rPr>
        <w:t xml:space="preserve"> (Azure CLI, or sometimes referred to as </w:t>
      </w:r>
      <w:r w:rsidR="00F555E4" w:rsidRPr="000D0E37">
        <w:rPr>
          <w:rFonts w:cs="Segoe UI"/>
        </w:rPr>
        <w:t>xplat-cli</w:t>
      </w:r>
      <w:r w:rsidR="00F555E4" w:rsidRPr="00357B83">
        <w:rPr>
          <w:rFonts w:cs="Segoe UI"/>
          <w:lang w:val="en"/>
        </w:rPr>
        <w:t xml:space="preserve">) provides a set of open source, cross-platform commands for working with the Azure </w:t>
      </w:r>
      <w:r w:rsidR="00F555E4">
        <w:rPr>
          <w:rFonts w:cs="Segoe UI"/>
          <w:lang w:val="en"/>
        </w:rPr>
        <w:t>p</w:t>
      </w:r>
      <w:r w:rsidR="00F555E4" w:rsidRPr="00357B83">
        <w:rPr>
          <w:rFonts w:cs="Segoe UI"/>
          <w:lang w:val="en"/>
        </w:rPr>
        <w:t xml:space="preserve">latform. </w:t>
      </w:r>
      <w:r w:rsidR="00F555E4" w:rsidRPr="000D0E37">
        <w:rPr>
          <w:rFonts w:cs="Segoe UI"/>
          <w:lang w:val="en"/>
        </w:rPr>
        <w:t xml:space="preserve">The </w:t>
      </w:r>
      <w:r w:rsidR="00F555E4">
        <w:rPr>
          <w:rFonts w:cs="Segoe UI"/>
        </w:rPr>
        <w:t>Azure CLI</w:t>
      </w:r>
      <w:r w:rsidR="00F555E4" w:rsidRPr="00357B83">
        <w:rPr>
          <w:rFonts w:cs="Segoe UI"/>
          <w:lang w:val="en"/>
        </w:rPr>
        <w:t xml:space="preserve"> provides much of </w:t>
      </w:r>
      <w:r w:rsidR="00F555E4" w:rsidRPr="0011170C">
        <w:rPr>
          <w:rFonts w:cs="Segoe UI"/>
          <w:lang w:val="en"/>
        </w:rPr>
        <w:t xml:space="preserve">the same functionality found in the Azure Management </w:t>
      </w:r>
      <w:r w:rsidR="00F555E4">
        <w:rPr>
          <w:rFonts w:cs="Segoe UI"/>
          <w:lang w:val="en"/>
        </w:rPr>
        <w:t>p</w:t>
      </w:r>
      <w:r w:rsidR="00F555E4" w:rsidRPr="0011170C">
        <w:rPr>
          <w:rFonts w:cs="Segoe UI"/>
          <w:lang w:val="en"/>
        </w:rPr>
        <w:t xml:space="preserve">ortal, such as the ability to manage websites, virtual machines, mobile services, SQL </w:t>
      </w:r>
      <w:r w:rsidR="00F555E4">
        <w:rPr>
          <w:rFonts w:cs="Segoe UI"/>
          <w:lang w:val="en"/>
        </w:rPr>
        <w:t>Server d</w:t>
      </w:r>
      <w:r w:rsidR="00F555E4" w:rsidRPr="0011170C">
        <w:rPr>
          <w:rFonts w:cs="Segoe UI"/>
          <w:lang w:val="en"/>
        </w:rPr>
        <w:t>atabase</w:t>
      </w:r>
      <w:r w:rsidR="00F555E4">
        <w:rPr>
          <w:rFonts w:cs="Segoe UI"/>
          <w:lang w:val="en"/>
        </w:rPr>
        <w:t>s,</w:t>
      </w:r>
      <w:r w:rsidR="00F555E4" w:rsidRPr="0011170C">
        <w:rPr>
          <w:rFonts w:cs="Segoe UI"/>
          <w:lang w:val="en"/>
        </w:rPr>
        <w:t xml:space="preserve"> and other services provided by the Azure platform.</w:t>
      </w:r>
    </w:p>
    <w:p w14:paraId="7648C8D5" w14:textId="44995C18" w:rsidR="008926AD" w:rsidRPr="00471404" w:rsidRDefault="00F555E4" w:rsidP="00F555E4">
      <w:pPr>
        <w:rPr>
          <w:rFonts w:cs="Segoe UI"/>
          <w:lang w:val="en"/>
        </w:rPr>
      </w:pPr>
      <w:r w:rsidRPr="0011170C">
        <w:rPr>
          <w:rFonts w:cs="Segoe UI"/>
          <w:lang w:val="en"/>
        </w:rPr>
        <w:t xml:space="preserve">The </w:t>
      </w:r>
      <w:r>
        <w:rPr>
          <w:rFonts w:cs="Segoe UI"/>
          <w:lang w:val="en"/>
        </w:rPr>
        <w:t>Azure CLI</w:t>
      </w:r>
      <w:r w:rsidRPr="0011170C">
        <w:rPr>
          <w:rFonts w:cs="Segoe UI"/>
          <w:lang w:val="en"/>
        </w:rPr>
        <w:t xml:space="preserve"> is written in JavaScript, and requires Node.js. It is implemented </w:t>
      </w:r>
      <w:r>
        <w:rPr>
          <w:rFonts w:cs="Segoe UI"/>
          <w:lang w:val="en"/>
        </w:rPr>
        <w:t xml:space="preserve">by </w:t>
      </w:r>
      <w:r w:rsidRPr="0011170C">
        <w:rPr>
          <w:rFonts w:cs="Segoe UI"/>
          <w:lang w:val="en"/>
        </w:rPr>
        <w:t xml:space="preserve">using the Azure SDK for Node.js, and </w:t>
      </w:r>
      <w:r>
        <w:rPr>
          <w:rFonts w:cs="Segoe UI"/>
          <w:lang w:val="en"/>
        </w:rPr>
        <w:t xml:space="preserve">it is </w:t>
      </w:r>
      <w:r w:rsidRPr="0011170C">
        <w:rPr>
          <w:rFonts w:cs="Segoe UI"/>
          <w:lang w:val="en"/>
        </w:rPr>
        <w:t>released under an Apache</w:t>
      </w:r>
      <w:r>
        <w:rPr>
          <w:rFonts w:cs="Segoe UI"/>
          <w:lang w:val="en"/>
        </w:rPr>
        <w:t> 2</w:t>
      </w:r>
      <w:r w:rsidRPr="0011170C">
        <w:rPr>
          <w:rFonts w:cs="Segoe UI"/>
          <w:lang w:val="en"/>
        </w:rPr>
        <w:t>.0 license. T</w:t>
      </w:r>
      <w:r>
        <w:rPr>
          <w:rFonts w:cs="Segoe UI"/>
          <w:lang w:val="en"/>
        </w:rPr>
        <w:t>o</w:t>
      </w:r>
      <w:r w:rsidRPr="0011170C">
        <w:rPr>
          <w:rFonts w:cs="Segoe UI"/>
          <w:lang w:val="en"/>
        </w:rPr>
        <w:t xml:space="preserve"> </w:t>
      </w:r>
      <w:r>
        <w:rPr>
          <w:rFonts w:cs="Segoe UI"/>
          <w:lang w:val="en"/>
        </w:rPr>
        <w:t xml:space="preserve">access the </w:t>
      </w:r>
      <w:r w:rsidRPr="0011170C">
        <w:rPr>
          <w:rFonts w:cs="Segoe UI"/>
          <w:lang w:val="en"/>
        </w:rPr>
        <w:t>project repository</w:t>
      </w:r>
      <w:r>
        <w:rPr>
          <w:rFonts w:cs="Segoe UI"/>
          <w:lang w:val="en"/>
        </w:rPr>
        <w:t xml:space="preserve">, see </w:t>
      </w:r>
      <w:hyperlink r:id="rId80" w:history="1">
        <w:r w:rsidRPr="005A0720">
          <w:rPr>
            <w:rStyle w:val="Hyperlink"/>
            <w:lang w:val="en"/>
          </w:rPr>
          <w:t>Microsoft Azure Cross Platform Command Line</w:t>
        </w:r>
      </w:hyperlink>
      <w:r w:rsidR="008926AD" w:rsidRPr="00471404">
        <w:rPr>
          <w:rFonts w:cs="Segoe UI"/>
          <w:lang w:val="en"/>
        </w:rPr>
        <w:t>.</w:t>
      </w:r>
    </w:p>
    <w:p w14:paraId="6C2F15E9" w14:textId="77777777" w:rsidR="00062059" w:rsidRDefault="00062059" w:rsidP="005729D2">
      <w:pPr>
        <w:pStyle w:val="Heading3Numbered"/>
        <w:numPr>
          <w:ilvl w:val="2"/>
          <w:numId w:val="64"/>
        </w:numPr>
      </w:pPr>
      <w:bookmarkStart w:id="1261" w:name="_Toc418079387"/>
      <w:bookmarkStart w:id="1262" w:name="_Toc418079389"/>
      <w:bookmarkStart w:id="1263" w:name="_Toc418150953"/>
      <w:bookmarkStart w:id="1264" w:name="_Toc418156632"/>
      <w:bookmarkStart w:id="1265" w:name="_Toc418079390"/>
      <w:bookmarkStart w:id="1266" w:name="_Toc418079391"/>
      <w:bookmarkStart w:id="1267" w:name="_Toc418150955"/>
      <w:bookmarkStart w:id="1268" w:name="_Toc418156634"/>
      <w:bookmarkStart w:id="1269" w:name="_Toc414892073"/>
      <w:bookmarkStart w:id="1270" w:name="_Toc414960099"/>
      <w:bookmarkStart w:id="1271" w:name="_Toc414969070"/>
      <w:bookmarkStart w:id="1272" w:name="_Toc415011292"/>
      <w:bookmarkStart w:id="1273" w:name="_Toc415039982"/>
      <w:bookmarkStart w:id="1274" w:name="_Toc415572337"/>
      <w:bookmarkStart w:id="1275" w:name="_Toc415735505"/>
      <w:bookmarkStart w:id="1276" w:name="_Toc415814086"/>
      <w:bookmarkStart w:id="1277" w:name="_Toc416343821"/>
      <w:bookmarkStart w:id="1278" w:name="_Toc416863092"/>
      <w:bookmarkStart w:id="1279" w:name="_Toc417314695"/>
      <w:bookmarkStart w:id="1280" w:name="_Toc417323712"/>
      <w:bookmarkStart w:id="1281" w:name="_Toc417326801"/>
      <w:bookmarkStart w:id="1282" w:name="_Toc417330349"/>
      <w:bookmarkStart w:id="1283" w:name="_Toc417394955"/>
      <w:bookmarkStart w:id="1284" w:name="_Toc417399172"/>
      <w:bookmarkStart w:id="1285" w:name="_Toc417399331"/>
      <w:bookmarkStart w:id="1286" w:name="_Toc417400378"/>
      <w:bookmarkStart w:id="1287" w:name="_Toc417401226"/>
      <w:bookmarkStart w:id="1288" w:name="_Toc417419539"/>
      <w:bookmarkStart w:id="1289" w:name="_Toc417457311"/>
      <w:bookmarkStart w:id="1290" w:name="_Toc417481889"/>
      <w:bookmarkStart w:id="1291" w:name="_Toc417482147"/>
      <w:bookmarkStart w:id="1292" w:name="_Toc417499866"/>
      <w:bookmarkStart w:id="1293" w:name="_Toc417502688"/>
      <w:bookmarkStart w:id="1294" w:name="_Toc417548228"/>
      <w:bookmarkStart w:id="1295" w:name="_Toc417594460"/>
      <w:bookmarkStart w:id="1296" w:name="_Toc417934359"/>
      <w:bookmarkStart w:id="1297" w:name="_Toc417935698"/>
      <w:bookmarkStart w:id="1298" w:name="_Toc417936160"/>
      <w:bookmarkStart w:id="1299" w:name="_Toc417946820"/>
      <w:bookmarkStart w:id="1300" w:name="_Toc417947062"/>
      <w:bookmarkStart w:id="1301" w:name="_Toc417982437"/>
      <w:bookmarkStart w:id="1302" w:name="_Toc417985860"/>
      <w:bookmarkStart w:id="1303" w:name="_Toc418000585"/>
      <w:bookmarkStart w:id="1304" w:name="_Toc418003726"/>
      <w:bookmarkStart w:id="1305" w:name="_Toc418011934"/>
      <w:bookmarkStart w:id="1306" w:name="_Toc418014582"/>
      <w:bookmarkStart w:id="1307" w:name="_Toc418029918"/>
      <w:bookmarkStart w:id="1308" w:name="_Toc418036855"/>
      <w:bookmarkStart w:id="1309" w:name="_Toc418061320"/>
      <w:bookmarkStart w:id="1310" w:name="_Toc418080668"/>
      <w:bookmarkStart w:id="1311" w:name="_Toc418095463"/>
      <w:bookmarkStart w:id="1312" w:name="_Toc418156635"/>
      <w:bookmarkStart w:id="1313" w:name="_Toc418167555"/>
      <w:bookmarkStart w:id="1314" w:name="_Toc418185812"/>
      <w:bookmarkStart w:id="1315" w:name="_Toc422941520"/>
      <w:bookmarkStart w:id="1316" w:name="_Toc423116726"/>
      <w:bookmarkStart w:id="1317" w:name="_Toc423117759"/>
      <w:bookmarkStart w:id="1318" w:name="_Toc423117209"/>
      <w:bookmarkStart w:id="1319" w:name="_Toc431288795"/>
      <w:bookmarkStart w:id="1320" w:name="_Toc418081842"/>
      <w:bookmarkStart w:id="1321" w:name="_Toc418083244"/>
      <w:bookmarkEnd w:id="1261"/>
      <w:bookmarkEnd w:id="1262"/>
      <w:bookmarkEnd w:id="1263"/>
      <w:bookmarkEnd w:id="1264"/>
      <w:bookmarkEnd w:id="1265"/>
      <w:bookmarkEnd w:id="1266"/>
      <w:bookmarkEnd w:id="1267"/>
      <w:bookmarkEnd w:id="1268"/>
      <w:r>
        <w:t>Azure Service Limits Considerations</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28622AD0" w14:textId="1B33E19B" w:rsidR="00142F41" w:rsidRDefault="00D751C2" w:rsidP="00142F41">
      <w:bookmarkStart w:id="1322" w:name="_Toc414892074"/>
      <w:bookmarkStart w:id="1323" w:name="_Toc414960100"/>
      <w:bookmarkStart w:id="1324" w:name="_Toc414969071"/>
      <w:bookmarkStart w:id="1325" w:name="_Toc415011293"/>
      <w:bookmarkStart w:id="1326" w:name="_Toc415039983"/>
      <w:bookmarkStart w:id="1327" w:name="_Toc415572338"/>
      <w:bookmarkStart w:id="1328" w:name="_Toc415735506"/>
      <w:bookmarkStart w:id="1329" w:name="_Toc415814087"/>
      <w:bookmarkEnd w:id="1320"/>
      <w:bookmarkEnd w:id="1321"/>
      <w:r>
        <w:t xml:space="preserve">Subscriptions now exist for both ARM and ASM </w:t>
      </w:r>
      <w:r w:rsidR="00B26216">
        <w:t>models</w:t>
      </w:r>
      <w:r>
        <w:t xml:space="preserve">. </w:t>
      </w:r>
      <w:r w:rsidR="00B26216">
        <w:t>Subscriptions have associated “hard” (upper boundary) and “soft” (default) limits for many of the Azure services, features, and capabilities. Many of these soft limits can be increased greatly by simply creating a support request, but some of the hard limits have a big impact on decisions regarding subscription design</w:t>
      </w:r>
      <w:r w:rsidR="00142F41">
        <w:t>.</w:t>
      </w:r>
      <w:r w:rsidR="002D611E">
        <w:t xml:space="preserve"> </w:t>
      </w:r>
      <w:r>
        <w:t xml:space="preserve">ASM </w:t>
      </w:r>
      <w:r w:rsidR="00B26216">
        <w:t xml:space="preserve">based </w:t>
      </w:r>
      <w:r>
        <w:t>subscription</w:t>
      </w:r>
      <w:r w:rsidR="00B26216">
        <w:t>s</w:t>
      </w:r>
      <w:r>
        <w:t xml:space="preserve"> have limits based purely on the subscription and is cumulative across all regions. ARM based subscriptions typically have limits based on the region that is being targeted in the subscription. </w:t>
      </w:r>
      <w:r w:rsidR="00B26216">
        <w:t>Following are some of the hard limits in a subscription that have the greatest impact on design decisions</w:t>
      </w:r>
      <w:r w:rsidR="00142F41">
        <w:t>.</w:t>
      </w:r>
      <w:r w:rsidR="00B26216">
        <w:t xml:space="preserve"> </w:t>
      </w:r>
    </w:p>
    <w:tbl>
      <w:tblPr>
        <w:tblStyle w:val="PlainTable11"/>
        <w:tblW w:w="9085" w:type="dxa"/>
        <w:tblLook w:val="04A0" w:firstRow="1" w:lastRow="0" w:firstColumn="1" w:lastColumn="0" w:noHBand="0" w:noVBand="1"/>
      </w:tblPr>
      <w:tblGrid>
        <w:gridCol w:w="2965"/>
        <w:gridCol w:w="6120"/>
      </w:tblGrid>
      <w:tr w:rsidR="0015104D" w:rsidRPr="002B2BAC" w14:paraId="053D9069" w14:textId="77777777" w:rsidTr="002B2B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shd w:val="clear" w:color="auto" w:fill="808080" w:themeFill="background1" w:themeFillShade="80"/>
            <w:hideMark/>
          </w:tcPr>
          <w:p w14:paraId="43B5893F" w14:textId="295E8788" w:rsidR="0015104D" w:rsidRPr="002B2BAC" w:rsidRDefault="0015104D" w:rsidP="0015104D">
            <w:pPr>
              <w:spacing w:line="240" w:lineRule="auto"/>
              <w:rPr>
                <w:rFonts w:ascii="Times New Roman" w:hAnsi="Times New Roman"/>
                <w:bCs w:val="0"/>
                <w:color w:val="FFFFFF"/>
                <w:sz w:val="20"/>
                <w:szCs w:val="20"/>
                <w:lang w:val="en-AU" w:eastAsia="en-AU"/>
              </w:rPr>
            </w:pPr>
            <w:r w:rsidRPr="002B2BAC">
              <w:rPr>
                <w:rFonts w:eastAsia="Calibri"/>
                <w:bCs w:val="0"/>
                <w:color w:val="FFFFFF"/>
                <w:sz w:val="20"/>
                <w:szCs w:val="20"/>
                <w:lang w:val="en-AU" w:eastAsia="en-AU"/>
              </w:rPr>
              <w:t>Azure Object</w:t>
            </w:r>
          </w:p>
        </w:tc>
        <w:tc>
          <w:tcPr>
            <w:tcW w:w="6120" w:type="dxa"/>
            <w:shd w:val="clear" w:color="auto" w:fill="808080" w:themeFill="background1" w:themeFillShade="80"/>
            <w:hideMark/>
          </w:tcPr>
          <w:p w14:paraId="265EFEF2" w14:textId="6408ACBA" w:rsidR="0015104D" w:rsidRPr="002B2BAC" w:rsidRDefault="0015104D" w:rsidP="001D7259">
            <w:pPr>
              <w:spacing w:line="240" w:lineRule="auto"/>
              <w:cnfStyle w:val="100000000000" w:firstRow="1" w:lastRow="0" w:firstColumn="0" w:lastColumn="0" w:oddVBand="0" w:evenVBand="0" w:oddHBand="0" w:evenHBand="0" w:firstRowFirstColumn="0" w:firstRowLastColumn="0" w:lastRowFirstColumn="0" w:lastRowLastColumn="0"/>
              <w:rPr>
                <w:rFonts w:eastAsia="Calibri"/>
                <w:color w:val="FFFFFF"/>
                <w:sz w:val="20"/>
                <w:szCs w:val="20"/>
                <w:lang w:val="en-AU" w:eastAsia="en-AU"/>
              </w:rPr>
            </w:pPr>
            <w:r w:rsidRPr="002B2BAC">
              <w:rPr>
                <w:rFonts w:eastAsia="Calibri"/>
                <w:bCs w:val="0"/>
                <w:color w:val="FFFFFF"/>
                <w:sz w:val="20"/>
                <w:szCs w:val="20"/>
                <w:lang w:val="en-AU" w:eastAsia="en-AU"/>
              </w:rPr>
              <w:t>Limit</w:t>
            </w:r>
          </w:p>
        </w:tc>
      </w:tr>
      <w:tr w:rsidR="00B26216" w14:paraId="595C8ECF" w14:textId="77777777" w:rsidTr="002B2B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hideMark/>
          </w:tcPr>
          <w:p w14:paraId="25D9ACD1" w14:textId="31D82FBD" w:rsidR="00B26216" w:rsidRPr="00236F1B" w:rsidRDefault="00B26216" w:rsidP="00B26216">
            <w:pPr>
              <w:pStyle w:val="NormalWeb"/>
              <w:rPr>
                <w:rFonts w:ascii="Segoe UI" w:hAnsi="Segoe UI" w:cs="Segoe UI"/>
                <w:sz w:val="20"/>
                <w:szCs w:val="20"/>
                <w:lang w:val="en-AU" w:eastAsia="en-AU"/>
              </w:rPr>
            </w:pPr>
            <w:r>
              <w:rPr>
                <w:rFonts w:ascii="Segoe UI" w:hAnsi="Segoe UI" w:cs="Segoe UI"/>
                <w:sz w:val="20"/>
                <w:szCs w:val="20"/>
                <w:lang w:val="en-AU" w:eastAsia="en-AU"/>
              </w:rPr>
              <w:t>Virtual networks</w:t>
            </w:r>
          </w:p>
        </w:tc>
        <w:tc>
          <w:tcPr>
            <w:tcW w:w="6120" w:type="dxa"/>
            <w:hideMark/>
          </w:tcPr>
          <w:p w14:paraId="2AC788E5" w14:textId="600211BA" w:rsidR="00B26216" w:rsidRPr="00F47607" w:rsidRDefault="00B26216" w:rsidP="00B26216">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100 per subscription</w:t>
            </w:r>
          </w:p>
        </w:tc>
      </w:tr>
      <w:tr w:rsidR="00B26216" w14:paraId="55106AE6" w14:textId="77777777" w:rsidTr="002B2BAC">
        <w:tc>
          <w:tcPr>
            <w:cnfStyle w:val="001000000000" w:firstRow="0" w:lastRow="0" w:firstColumn="1" w:lastColumn="0" w:oddVBand="0" w:evenVBand="0" w:oddHBand="0" w:evenHBand="0" w:firstRowFirstColumn="0" w:firstRowLastColumn="0" w:lastRowFirstColumn="0" w:lastRowLastColumn="0"/>
            <w:tcW w:w="2965" w:type="dxa"/>
            <w:hideMark/>
          </w:tcPr>
          <w:p w14:paraId="4EDF8EE3" w14:textId="1F55B01B" w:rsidR="00B26216" w:rsidRPr="00236F1B" w:rsidRDefault="00B26216" w:rsidP="00B26216">
            <w:pPr>
              <w:pStyle w:val="NormalWeb"/>
              <w:rPr>
                <w:rFonts w:ascii="Segoe UI" w:hAnsi="Segoe UI" w:cs="Segoe UI"/>
                <w:sz w:val="20"/>
                <w:szCs w:val="20"/>
                <w:lang w:val="en-AU" w:eastAsia="en-AU"/>
              </w:rPr>
            </w:pPr>
            <w:r>
              <w:rPr>
                <w:rFonts w:ascii="Segoe UI" w:hAnsi="Segoe UI" w:cs="Segoe UI"/>
                <w:sz w:val="20"/>
                <w:szCs w:val="20"/>
                <w:lang w:val="en-AU" w:eastAsia="en-AU"/>
              </w:rPr>
              <w:t>Virtual machines</w:t>
            </w:r>
          </w:p>
        </w:tc>
        <w:tc>
          <w:tcPr>
            <w:tcW w:w="6120" w:type="dxa"/>
            <w:hideMark/>
          </w:tcPr>
          <w:p w14:paraId="717985AF" w14:textId="1DA6A830" w:rsidR="00B26216" w:rsidRPr="00F47607" w:rsidRDefault="00B26216" w:rsidP="00B26216">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10,000 CPU cores per subscription</w:t>
            </w:r>
          </w:p>
        </w:tc>
      </w:tr>
      <w:tr w:rsidR="00B26216" w14:paraId="1BC7764F" w14:textId="77777777" w:rsidTr="002B2B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71E1DFE7" w14:textId="129EB697" w:rsidR="00B26216" w:rsidRPr="00236F1B" w:rsidRDefault="00B26216" w:rsidP="00B26216">
            <w:pPr>
              <w:pStyle w:val="NormalWeb"/>
              <w:rPr>
                <w:rFonts w:ascii="Segoe UI" w:hAnsi="Segoe UI" w:cs="Segoe UI"/>
                <w:sz w:val="20"/>
                <w:szCs w:val="20"/>
                <w:lang w:val="en-AU" w:eastAsia="en-AU"/>
              </w:rPr>
            </w:pPr>
            <w:r>
              <w:rPr>
                <w:rFonts w:ascii="Segoe UI" w:hAnsi="Segoe UI" w:cs="Segoe UI"/>
                <w:sz w:val="20"/>
                <w:szCs w:val="20"/>
                <w:lang w:val="en-AU" w:eastAsia="en-AU"/>
              </w:rPr>
              <w:t>ExpressRoute</w:t>
            </w:r>
          </w:p>
        </w:tc>
        <w:tc>
          <w:tcPr>
            <w:tcW w:w="6120" w:type="dxa"/>
          </w:tcPr>
          <w:p w14:paraId="4E55CB07" w14:textId="77777777" w:rsidR="00B26216" w:rsidRDefault="00B26216" w:rsidP="00B26216">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1 circuit across 20 subscriptions</w:t>
            </w:r>
          </w:p>
          <w:p w14:paraId="0157A5C5" w14:textId="4C5AAC46" w:rsidR="00B26216" w:rsidRPr="00236F1B" w:rsidRDefault="00B26216" w:rsidP="00B26216">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10 dedicated circuits per subscription</w:t>
            </w:r>
          </w:p>
        </w:tc>
      </w:tr>
      <w:tr w:rsidR="00B26216" w14:paraId="3B1367F2" w14:textId="77777777" w:rsidTr="002B2BAC">
        <w:tc>
          <w:tcPr>
            <w:cnfStyle w:val="001000000000" w:firstRow="0" w:lastRow="0" w:firstColumn="1" w:lastColumn="0" w:oddVBand="0" w:evenVBand="0" w:oddHBand="0" w:evenHBand="0" w:firstRowFirstColumn="0" w:firstRowLastColumn="0" w:lastRowFirstColumn="0" w:lastRowLastColumn="0"/>
            <w:tcW w:w="2965" w:type="dxa"/>
          </w:tcPr>
          <w:p w14:paraId="4E127B2B" w14:textId="2485CEC3" w:rsidR="00B26216" w:rsidRDefault="00B26216" w:rsidP="00B26216">
            <w:pPr>
              <w:pStyle w:val="NormalWeb"/>
              <w:rPr>
                <w:rFonts w:ascii="Segoe UI" w:hAnsi="Segoe UI" w:cs="Segoe UI"/>
                <w:sz w:val="20"/>
                <w:szCs w:val="20"/>
                <w:lang w:val="en-AU" w:eastAsia="en-AU"/>
              </w:rPr>
            </w:pPr>
            <w:r>
              <w:rPr>
                <w:rFonts w:ascii="Segoe UI" w:hAnsi="Segoe UI" w:cs="Segoe UI"/>
                <w:sz w:val="20"/>
                <w:szCs w:val="20"/>
                <w:lang w:val="en-AU" w:eastAsia="en-AU"/>
              </w:rPr>
              <w:t>Cloud services</w:t>
            </w:r>
          </w:p>
        </w:tc>
        <w:tc>
          <w:tcPr>
            <w:tcW w:w="6120" w:type="dxa"/>
          </w:tcPr>
          <w:p w14:paraId="360C073C" w14:textId="5DED27A7" w:rsidR="00B26216" w:rsidRDefault="00B26216" w:rsidP="00B26216">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200 per subscription</w:t>
            </w:r>
          </w:p>
        </w:tc>
      </w:tr>
      <w:tr w:rsidR="00B26216" w14:paraId="2AEE1686" w14:textId="77777777" w:rsidTr="002B2B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72878587" w14:textId="066BDD08" w:rsidR="00B26216" w:rsidRDefault="00B26216" w:rsidP="00B26216">
            <w:pPr>
              <w:pStyle w:val="NormalWeb"/>
              <w:rPr>
                <w:rFonts w:ascii="Segoe UI" w:hAnsi="Segoe UI" w:cs="Segoe UI"/>
                <w:sz w:val="20"/>
                <w:szCs w:val="20"/>
                <w:lang w:val="en-AU" w:eastAsia="en-AU"/>
              </w:rPr>
            </w:pPr>
            <w:r>
              <w:rPr>
                <w:rFonts w:ascii="Segoe UI" w:hAnsi="Segoe UI" w:cs="Segoe UI"/>
                <w:sz w:val="20"/>
                <w:szCs w:val="20"/>
                <w:lang w:val="en-AU" w:eastAsia="en-AU"/>
              </w:rPr>
              <w:t>Network security groups</w:t>
            </w:r>
          </w:p>
        </w:tc>
        <w:tc>
          <w:tcPr>
            <w:tcW w:w="6120" w:type="dxa"/>
          </w:tcPr>
          <w:p w14:paraId="541A8B58" w14:textId="0D0EEC55" w:rsidR="00B26216" w:rsidRDefault="00B26216" w:rsidP="00B26216">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100 per subscription</w:t>
            </w:r>
          </w:p>
        </w:tc>
      </w:tr>
      <w:tr w:rsidR="00B26216" w14:paraId="7FC79633" w14:textId="77777777" w:rsidTr="002B2BAC">
        <w:tc>
          <w:tcPr>
            <w:cnfStyle w:val="001000000000" w:firstRow="0" w:lastRow="0" w:firstColumn="1" w:lastColumn="0" w:oddVBand="0" w:evenVBand="0" w:oddHBand="0" w:evenHBand="0" w:firstRowFirstColumn="0" w:firstRowLastColumn="0" w:lastRowFirstColumn="0" w:lastRowLastColumn="0"/>
            <w:tcW w:w="2965" w:type="dxa"/>
          </w:tcPr>
          <w:p w14:paraId="4C0E2CB9" w14:textId="12BD72CE" w:rsidR="00B26216" w:rsidRDefault="00B26216" w:rsidP="00B26216">
            <w:pPr>
              <w:pStyle w:val="NormalWeb"/>
              <w:rPr>
                <w:rFonts w:ascii="Segoe UI" w:hAnsi="Segoe UI" w:cs="Segoe UI"/>
                <w:sz w:val="20"/>
                <w:szCs w:val="20"/>
                <w:lang w:val="en-AU" w:eastAsia="en-AU"/>
              </w:rPr>
            </w:pPr>
            <w:r>
              <w:rPr>
                <w:rFonts w:ascii="Segoe UI" w:hAnsi="Segoe UI" w:cs="Segoe UI"/>
                <w:sz w:val="20"/>
                <w:szCs w:val="20"/>
                <w:lang w:val="en-AU" w:eastAsia="en-AU"/>
              </w:rPr>
              <w:t>Storage accounts</w:t>
            </w:r>
          </w:p>
        </w:tc>
        <w:tc>
          <w:tcPr>
            <w:tcW w:w="6120" w:type="dxa"/>
          </w:tcPr>
          <w:p w14:paraId="56D68C0C" w14:textId="11D22E23" w:rsidR="00B26216" w:rsidRDefault="00B26216" w:rsidP="00B26216">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100 per subscription</w:t>
            </w:r>
          </w:p>
        </w:tc>
      </w:tr>
      <w:tr w:rsidR="00B26216" w14:paraId="52961F6F" w14:textId="77777777" w:rsidTr="002B2B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3CBB35F7" w14:textId="1716AAC0" w:rsidR="00B26216" w:rsidRDefault="00B26216" w:rsidP="00B26216">
            <w:pPr>
              <w:pStyle w:val="NormalWeb"/>
              <w:rPr>
                <w:rFonts w:ascii="Segoe UI" w:hAnsi="Segoe UI" w:cs="Segoe UI"/>
                <w:sz w:val="20"/>
                <w:szCs w:val="20"/>
                <w:lang w:val="en-AU" w:eastAsia="en-AU"/>
              </w:rPr>
            </w:pPr>
            <w:r>
              <w:rPr>
                <w:rFonts w:ascii="Segoe UI" w:hAnsi="Segoe UI" w:cs="Segoe UI"/>
                <w:sz w:val="20"/>
                <w:szCs w:val="20"/>
                <w:lang w:val="en-AU" w:eastAsia="en-AU"/>
              </w:rPr>
              <w:t>Management certificates</w:t>
            </w:r>
          </w:p>
        </w:tc>
        <w:tc>
          <w:tcPr>
            <w:tcW w:w="6120" w:type="dxa"/>
          </w:tcPr>
          <w:p w14:paraId="75121AAC" w14:textId="55BA171A" w:rsidR="00B26216" w:rsidRDefault="00B26216" w:rsidP="00B26216">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100 per Service Administrator</w:t>
            </w:r>
          </w:p>
        </w:tc>
      </w:tr>
      <w:tr w:rsidR="00B26216" w14:paraId="531221FF" w14:textId="77777777" w:rsidTr="002B2BAC">
        <w:tc>
          <w:tcPr>
            <w:cnfStyle w:val="001000000000" w:firstRow="0" w:lastRow="0" w:firstColumn="1" w:lastColumn="0" w:oddVBand="0" w:evenVBand="0" w:oddHBand="0" w:evenHBand="0" w:firstRowFirstColumn="0" w:firstRowLastColumn="0" w:lastRowFirstColumn="0" w:lastRowLastColumn="0"/>
            <w:tcW w:w="2965" w:type="dxa"/>
          </w:tcPr>
          <w:p w14:paraId="2A480111" w14:textId="46CF3D81" w:rsidR="00B26216" w:rsidRDefault="00B26216" w:rsidP="00B26216">
            <w:pPr>
              <w:pStyle w:val="NormalWeb"/>
              <w:rPr>
                <w:rFonts w:ascii="Segoe UI" w:hAnsi="Segoe UI" w:cs="Segoe UI"/>
                <w:sz w:val="20"/>
                <w:szCs w:val="20"/>
                <w:lang w:val="en-AU" w:eastAsia="en-AU"/>
              </w:rPr>
            </w:pPr>
            <w:r>
              <w:rPr>
                <w:rFonts w:ascii="Segoe UI" w:hAnsi="Segoe UI" w:cs="Segoe UI"/>
                <w:sz w:val="20"/>
                <w:szCs w:val="20"/>
                <w:lang w:val="en-AU" w:eastAsia="en-AU"/>
              </w:rPr>
              <w:t>Co-administrators</w:t>
            </w:r>
          </w:p>
        </w:tc>
        <w:tc>
          <w:tcPr>
            <w:tcW w:w="6120" w:type="dxa"/>
          </w:tcPr>
          <w:p w14:paraId="275DC317" w14:textId="56D4386D" w:rsidR="00B26216" w:rsidRDefault="00B26216" w:rsidP="00B26216">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200 per subscription</w:t>
            </w:r>
          </w:p>
        </w:tc>
      </w:tr>
    </w:tbl>
    <w:p w14:paraId="46FF24A4" w14:textId="42974228" w:rsidR="0015104D" w:rsidRDefault="0015104D" w:rsidP="00142F41"/>
    <w:p w14:paraId="2C57A332" w14:textId="32B44EC2" w:rsidR="007D43E2" w:rsidRDefault="00B26216" w:rsidP="005E11A6">
      <w:r>
        <w:t xml:space="preserve">For a more detailed and up-to-date list of Azure limits, see </w:t>
      </w:r>
      <w:hyperlink r:id="rId81" w:history="1">
        <w:r w:rsidRPr="00142F41">
          <w:rPr>
            <w:rStyle w:val="Hyperlink"/>
          </w:rPr>
          <w:t>Azure Subscription and Service Limits, Quotas, and Constraints</w:t>
        </w:r>
      </w:hyperlink>
      <w:r>
        <w:t>.</w:t>
      </w:r>
      <w:r w:rsidR="00142F41">
        <w:t>.</w:t>
      </w:r>
    </w:p>
    <w:p w14:paraId="426428A3" w14:textId="078EA810" w:rsidR="009B5F77" w:rsidRDefault="009B5F77" w:rsidP="003503D8">
      <w:bookmarkStart w:id="1330" w:name="_Toc416343822"/>
      <w:bookmarkStart w:id="1331" w:name="_Toc416863093"/>
      <w:bookmarkStart w:id="1332" w:name="_Toc417314696"/>
      <w:bookmarkStart w:id="1333" w:name="_Toc417323713"/>
      <w:bookmarkStart w:id="1334" w:name="_Toc417326802"/>
      <w:bookmarkStart w:id="1335" w:name="_Toc417330350"/>
      <w:bookmarkStart w:id="1336" w:name="_Toc417394956"/>
      <w:bookmarkStart w:id="1337" w:name="_Toc417399173"/>
      <w:bookmarkStart w:id="1338" w:name="_Toc417399332"/>
      <w:bookmarkStart w:id="1339" w:name="_Toc417400379"/>
      <w:bookmarkStart w:id="1340" w:name="_Toc417401227"/>
      <w:bookmarkStart w:id="1341" w:name="_Toc417419540"/>
      <w:bookmarkStart w:id="1342" w:name="_Toc417457312"/>
      <w:bookmarkStart w:id="1343" w:name="_Toc417481890"/>
      <w:bookmarkStart w:id="1344" w:name="_Toc417482148"/>
      <w:bookmarkStart w:id="1345" w:name="_Toc417499867"/>
      <w:bookmarkStart w:id="1346" w:name="_Toc417502689"/>
      <w:bookmarkStart w:id="1347" w:name="_Toc417548229"/>
      <w:bookmarkStart w:id="1348" w:name="_Toc417594461"/>
      <w:bookmarkStart w:id="1349" w:name="_Toc417937804"/>
      <w:bookmarkStart w:id="1350" w:name="_Toc417938033"/>
      <w:bookmarkStart w:id="1351" w:name="_Toc417938557"/>
      <w:bookmarkStart w:id="1352" w:name="_Toc417945519"/>
      <w:bookmarkStart w:id="1353" w:name="_Toc417946821"/>
      <w:bookmarkStart w:id="1354" w:name="_Toc417947063"/>
      <w:bookmarkStart w:id="1355" w:name="_Toc417977185"/>
      <w:bookmarkStart w:id="1356" w:name="_Toc417974254"/>
      <w:bookmarkStart w:id="1357" w:name="_Toc417976003"/>
      <w:bookmarkStart w:id="1358" w:name="_Toc417978428"/>
      <w:bookmarkStart w:id="1359" w:name="_Toc417980679"/>
      <w:bookmarkStart w:id="1360" w:name="_Toc417977663"/>
      <w:bookmarkStart w:id="1361" w:name="_Toc417981790"/>
      <w:bookmarkStart w:id="1362" w:name="_Toc417982438"/>
      <w:bookmarkStart w:id="1363" w:name="_Toc417982690"/>
      <w:bookmarkStart w:id="1364" w:name="_Toc417983612"/>
      <w:bookmarkStart w:id="1365" w:name="_Toc417983411"/>
      <w:bookmarkStart w:id="1366" w:name="_Toc417991986"/>
      <w:bookmarkStart w:id="1367" w:name="_Toc417999943"/>
      <w:bookmarkStart w:id="1368" w:name="_Toc418000149"/>
      <w:bookmarkStart w:id="1369" w:name="_Toc418000357"/>
      <w:bookmarkStart w:id="1370" w:name="_Toc418000586"/>
      <w:bookmarkStart w:id="1371" w:name="_Toc418002920"/>
      <w:bookmarkStart w:id="1372" w:name="_Toc418003324"/>
      <w:bookmarkStart w:id="1373" w:name="_Toc418005095"/>
      <w:bookmarkStart w:id="1374" w:name="_Toc418009990"/>
      <w:bookmarkStart w:id="1375" w:name="_Toc418010979"/>
      <w:bookmarkStart w:id="1376" w:name="_Toc418011899"/>
      <w:bookmarkStart w:id="1377" w:name="_Toc418012910"/>
      <w:bookmarkStart w:id="1378" w:name="_Toc418010748"/>
      <w:bookmarkStart w:id="1379" w:name="_Toc418013893"/>
      <w:bookmarkStart w:id="1380" w:name="_Toc418014103"/>
      <w:bookmarkStart w:id="1381" w:name="_Toc418011195"/>
      <w:bookmarkStart w:id="1382" w:name="_Toc418011405"/>
      <w:bookmarkStart w:id="1383" w:name="_Toc418016364"/>
      <w:bookmarkStart w:id="1384" w:name="_Toc418016851"/>
      <w:bookmarkStart w:id="1385" w:name="_Toc418018227"/>
      <w:bookmarkStart w:id="1386" w:name="_Toc418020835"/>
      <w:bookmarkStart w:id="1387" w:name="_Toc418022472"/>
      <w:bookmarkStart w:id="1388" w:name="_Toc418023684"/>
      <w:bookmarkStart w:id="1389" w:name="_Toc418025003"/>
      <w:bookmarkStart w:id="1390" w:name="_Toc418027281"/>
      <w:bookmarkStart w:id="1391" w:name="_Toc418029641"/>
      <w:bookmarkStart w:id="1392" w:name="_Toc418036334"/>
      <w:bookmarkStart w:id="1393" w:name="_Toc418032798"/>
      <w:bookmarkStart w:id="1394" w:name="_Toc418036856"/>
      <w:bookmarkStart w:id="1395" w:name="_Toc418033376"/>
    </w:p>
    <w:p w14:paraId="6C2F15EE" w14:textId="523FA103" w:rsidR="00062059" w:rsidRDefault="00062059" w:rsidP="005729D2">
      <w:pPr>
        <w:pStyle w:val="Heading3Numbered"/>
        <w:numPr>
          <w:ilvl w:val="2"/>
          <w:numId w:val="64"/>
        </w:numPr>
      </w:pPr>
      <w:bookmarkStart w:id="1396" w:name="_Toc418152503"/>
      <w:bookmarkStart w:id="1397" w:name="_Toc418153220"/>
      <w:bookmarkStart w:id="1398" w:name="_Toc418159011"/>
      <w:bookmarkStart w:id="1399" w:name="_Toc418163132"/>
      <w:bookmarkStart w:id="1400" w:name="_Toc418078042"/>
      <w:bookmarkStart w:id="1401" w:name="_Toc418079393"/>
      <w:bookmarkStart w:id="1402" w:name="_Toc418150957"/>
      <w:bookmarkStart w:id="1403" w:name="_Toc418156636"/>
      <w:bookmarkStart w:id="1404" w:name="_Toc414892075"/>
      <w:bookmarkStart w:id="1405" w:name="_Toc414960101"/>
      <w:bookmarkStart w:id="1406" w:name="_Toc414969072"/>
      <w:bookmarkStart w:id="1407" w:name="_Toc415011294"/>
      <w:bookmarkStart w:id="1408" w:name="_Toc415039984"/>
      <w:bookmarkStart w:id="1409" w:name="_Toc415572339"/>
      <w:bookmarkStart w:id="1410" w:name="_Toc415735507"/>
      <w:bookmarkStart w:id="1411" w:name="_Toc415814088"/>
      <w:bookmarkStart w:id="1412" w:name="_Toc416343823"/>
      <w:bookmarkStart w:id="1413" w:name="_Toc416863094"/>
      <w:bookmarkStart w:id="1414" w:name="_Toc417314697"/>
      <w:bookmarkStart w:id="1415" w:name="_Toc417323714"/>
      <w:bookmarkStart w:id="1416" w:name="_Toc417326803"/>
      <w:bookmarkStart w:id="1417" w:name="_Toc417330351"/>
      <w:bookmarkStart w:id="1418" w:name="_Toc417394957"/>
      <w:bookmarkStart w:id="1419" w:name="_Toc417399174"/>
      <w:bookmarkStart w:id="1420" w:name="_Toc417399333"/>
      <w:bookmarkStart w:id="1421" w:name="_Toc417400380"/>
      <w:bookmarkStart w:id="1422" w:name="_Toc417401228"/>
      <w:bookmarkStart w:id="1423" w:name="_Toc417419541"/>
      <w:bookmarkStart w:id="1424" w:name="_Toc417457313"/>
      <w:bookmarkStart w:id="1425" w:name="_Toc417481891"/>
      <w:bookmarkStart w:id="1426" w:name="_Toc417482149"/>
      <w:bookmarkStart w:id="1427" w:name="_Toc417499868"/>
      <w:bookmarkStart w:id="1428" w:name="_Toc417502690"/>
      <w:bookmarkStart w:id="1429" w:name="_Toc417548230"/>
      <w:bookmarkStart w:id="1430" w:name="_Toc417594462"/>
      <w:bookmarkStart w:id="1431" w:name="_Toc417934362"/>
      <w:bookmarkStart w:id="1432" w:name="_Toc417935701"/>
      <w:bookmarkStart w:id="1433" w:name="_Toc417936163"/>
      <w:bookmarkStart w:id="1434" w:name="_Toc417946822"/>
      <w:bookmarkStart w:id="1435" w:name="_Toc417947065"/>
      <w:bookmarkStart w:id="1436" w:name="_Toc417982439"/>
      <w:bookmarkStart w:id="1437" w:name="_Toc417985863"/>
      <w:bookmarkStart w:id="1438" w:name="_Toc418000587"/>
      <w:bookmarkStart w:id="1439" w:name="_Toc418003729"/>
      <w:bookmarkStart w:id="1440" w:name="_Toc418011937"/>
      <w:bookmarkStart w:id="1441" w:name="_Toc418014585"/>
      <w:bookmarkStart w:id="1442" w:name="_Toc418029921"/>
      <w:bookmarkStart w:id="1443" w:name="_Toc418036857"/>
      <w:bookmarkStart w:id="1444" w:name="_Toc418061322"/>
      <w:bookmarkStart w:id="1445" w:name="_Toc418080671"/>
      <w:bookmarkStart w:id="1446" w:name="_Toc418081844"/>
      <w:bookmarkStart w:id="1447" w:name="_Toc418083246"/>
      <w:bookmarkStart w:id="1448" w:name="_Toc418095466"/>
      <w:bookmarkStart w:id="1449" w:name="_Toc418156638"/>
      <w:bookmarkStart w:id="1450" w:name="_Toc418167556"/>
      <w:bookmarkStart w:id="1451" w:name="_Toc418185813"/>
      <w:bookmarkStart w:id="1452" w:name="_Toc422941521"/>
      <w:bookmarkStart w:id="1453" w:name="_Toc423116727"/>
      <w:bookmarkStart w:id="1454" w:name="_Toc423117760"/>
      <w:bookmarkStart w:id="1455" w:name="_Toc423117210"/>
      <w:bookmarkStart w:id="1456" w:name="_Toc431288796"/>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r>
        <w:t>Azure Billing</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35F40D1D" w14:textId="5823192B" w:rsidR="00B26216" w:rsidRDefault="00797584" w:rsidP="00B26216">
      <w:r>
        <w:t>There</w:t>
      </w:r>
      <w:r w:rsidR="00B26216">
        <w:t xml:space="preserve"> are differences in how billing is viewed and the available data in the output based on type of subscription. Billing information and details for pay-as-you-go subscriptions are viewed in the </w:t>
      </w:r>
      <w:hyperlink r:id="rId82" w:history="1">
        <w:r w:rsidR="00B26216" w:rsidRPr="00735188">
          <w:rPr>
            <w:rStyle w:val="Hyperlink"/>
          </w:rPr>
          <w:t>Usage and Billing Portal</w:t>
        </w:r>
      </w:hyperlink>
      <w:r w:rsidR="00B26216">
        <w:t xml:space="preserve">, whereas billing information for enterprise subscriptions is viewed in the account portal. </w:t>
      </w:r>
    </w:p>
    <w:p w14:paraId="11927E2A" w14:textId="6EA7F0FE" w:rsidR="009B2A82" w:rsidRDefault="00B26216" w:rsidP="00B26216">
      <w:r>
        <w:t>For either subscription type, the billing details can make it difficult to discern charges for the items listed if a specific naming convention is not being used. For more information about naming conventions, see the respective sections in this document, such as Virtual Machines, Virtual Networks, and Storage Accounts</w:t>
      </w:r>
      <w:r w:rsidR="00C22EFD">
        <w:t>.</w:t>
      </w:r>
    </w:p>
    <w:p w14:paraId="2842E231" w14:textId="6DFE59FF" w:rsidR="00886ECE" w:rsidRDefault="00886ECE" w:rsidP="005729D2">
      <w:pPr>
        <w:pStyle w:val="Heading4Numbered"/>
        <w:numPr>
          <w:ilvl w:val="3"/>
          <w:numId w:val="64"/>
        </w:numPr>
      </w:pPr>
      <w:r>
        <w:t>Billing Unit Conversions</w:t>
      </w:r>
    </w:p>
    <w:p w14:paraId="05BE7945" w14:textId="418D5918" w:rsidR="00B26216" w:rsidRDefault="008530E0" w:rsidP="00B26216">
      <w:r>
        <w:t>An</w:t>
      </w:r>
      <w:r w:rsidR="00B26216">
        <w:t xml:space="preserve"> important item to note regarding the detailed billing, regardless of the subscription type is that all standard virtual machine instances are converted into Small instance hours on the bill. For example, a Windows Extra Small (A0) would have a clock hour of 1, but it shows as ¼ hour when converted to small instance hours. Similarly, any A-Series Cloud Service instance is converted into Small (A1) instance hours on the billing detail. </w:t>
      </w:r>
    </w:p>
    <w:p w14:paraId="773F0349" w14:textId="77777777" w:rsidR="00B26216" w:rsidRDefault="00B26216" w:rsidP="00B26216">
      <w:r>
        <w:t xml:space="preserve">For a complete list of Windows and non-Windows conversions use the Azure FAQ page titled </w:t>
      </w:r>
      <w:hyperlink r:id="rId83" w:history="1">
        <w:r w:rsidRPr="004B2127">
          <w:rPr>
            <w:rStyle w:val="Hyperlink"/>
          </w:rPr>
          <w:t>How do various instance sizes get billed?</w:t>
        </w:r>
      </w:hyperlink>
      <w:r>
        <w:t xml:space="preserve">. </w:t>
      </w:r>
    </w:p>
    <w:p w14:paraId="03163E24" w14:textId="476E02B4" w:rsidR="004B2127" w:rsidRDefault="00B26216" w:rsidP="00B26216">
      <w:r>
        <w:t>The following chart shows the details for each A-Series cloud service instance conversion</w:t>
      </w:r>
      <w:r w:rsidR="004B2127">
        <w:t>:</w:t>
      </w:r>
    </w:p>
    <w:tbl>
      <w:tblPr>
        <w:tblStyle w:val="PlainTable11"/>
        <w:tblW w:w="9355" w:type="dxa"/>
        <w:tblLook w:val="04A0" w:firstRow="1" w:lastRow="0" w:firstColumn="1" w:lastColumn="0" w:noHBand="0" w:noVBand="1"/>
      </w:tblPr>
      <w:tblGrid>
        <w:gridCol w:w="2965"/>
        <w:gridCol w:w="2787"/>
        <w:gridCol w:w="3603"/>
      </w:tblGrid>
      <w:tr w:rsidR="004B2127" w:rsidRPr="00A04156" w14:paraId="2B4AA3A2" w14:textId="5FE4193F" w:rsidTr="00A041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shd w:val="clear" w:color="auto" w:fill="808080" w:themeFill="background1" w:themeFillShade="80"/>
            <w:hideMark/>
          </w:tcPr>
          <w:p w14:paraId="351BF0DC" w14:textId="6ADCE7F3" w:rsidR="004B2127" w:rsidRPr="00A04156" w:rsidRDefault="004B2127" w:rsidP="00236F1B">
            <w:pPr>
              <w:spacing w:line="240" w:lineRule="auto"/>
              <w:rPr>
                <w:rFonts w:ascii="Times New Roman" w:hAnsi="Times New Roman"/>
                <w:color w:val="FFFFFF"/>
                <w:lang w:val="en-AU" w:eastAsia="en-AU"/>
              </w:rPr>
            </w:pPr>
            <w:r w:rsidRPr="00A04156">
              <w:rPr>
                <w:rFonts w:eastAsia="Calibri"/>
                <w:color w:val="FFFFFF"/>
                <w:lang w:val="en-AU" w:eastAsia="en-AU"/>
              </w:rPr>
              <w:t>Cloud Services Instance</w:t>
            </w:r>
          </w:p>
        </w:tc>
        <w:tc>
          <w:tcPr>
            <w:tcW w:w="2787" w:type="dxa"/>
            <w:shd w:val="clear" w:color="auto" w:fill="808080" w:themeFill="background1" w:themeFillShade="80"/>
            <w:hideMark/>
          </w:tcPr>
          <w:p w14:paraId="0BF40403" w14:textId="49D18296" w:rsidR="004B2127" w:rsidRPr="00A04156" w:rsidRDefault="004B2127" w:rsidP="00236F1B">
            <w:pPr>
              <w:spacing w:line="240" w:lineRule="auto"/>
              <w:cnfStyle w:val="100000000000" w:firstRow="1" w:lastRow="0" w:firstColumn="0" w:lastColumn="0" w:oddVBand="0" w:evenVBand="0" w:oddHBand="0" w:evenHBand="0" w:firstRowFirstColumn="0" w:firstRowLastColumn="0" w:lastRowFirstColumn="0" w:lastRowLastColumn="0"/>
              <w:rPr>
                <w:rFonts w:eastAsia="Calibri"/>
                <w:color w:val="FFFFFF"/>
                <w:lang w:val="en-AU" w:eastAsia="en-AU"/>
              </w:rPr>
            </w:pPr>
            <w:r w:rsidRPr="00A04156">
              <w:rPr>
                <w:rFonts w:eastAsia="Calibri"/>
                <w:color w:val="FFFFFF"/>
                <w:lang w:val="en-AU" w:eastAsia="en-AU"/>
              </w:rPr>
              <w:t>Clock Hours</w:t>
            </w:r>
          </w:p>
        </w:tc>
        <w:tc>
          <w:tcPr>
            <w:tcW w:w="3603" w:type="dxa"/>
            <w:shd w:val="clear" w:color="auto" w:fill="808080" w:themeFill="background1" w:themeFillShade="80"/>
            <w:hideMark/>
          </w:tcPr>
          <w:p w14:paraId="4CA96E90" w14:textId="058B8B90" w:rsidR="004B2127" w:rsidRPr="00A04156" w:rsidRDefault="004B2127" w:rsidP="00236F1B">
            <w:pPr>
              <w:spacing w:line="240" w:lineRule="auto"/>
              <w:cnfStyle w:val="100000000000" w:firstRow="1" w:lastRow="0" w:firstColumn="0" w:lastColumn="0" w:oddVBand="0" w:evenVBand="0" w:oddHBand="0" w:evenHBand="0" w:firstRowFirstColumn="0" w:firstRowLastColumn="0" w:lastRowFirstColumn="0" w:lastRowLastColumn="0"/>
              <w:rPr>
                <w:rFonts w:eastAsia="Calibri"/>
                <w:color w:val="FFFFFF"/>
                <w:lang w:val="en-AU" w:eastAsia="en-AU"/>
              </w:rPr>
            </w:pPr>
            <w:r w:rsidRPr="00A04156">
              <w:rPr>
                <w:rFonts w:eastAsia="Calibri"/>
                <w:color w:val="FFFFFF"/>
                <w:lang w:val="en-AU" w:eastAsia="en-AU"/>
              </w:rPr>
              <w:t>Small Instance Hours</w:t>
            </w:r>
          </w:p>
        </w:tc>
      </w:tr>
      <w:tr w:rsidR="004B2127" w:rsidRPr="007E3F2C" w14:paraId="37F870F8" w14:textId="1B035AA3" w:rsidTr="00A041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hideMark/>
          </w:tcPr>
          <w:p w14:paraId="69744EB2" w14:textId="2F0B0733" w:rsidR="004B2127" w:rsidRPr="00236F1B" w:rsidRDefault="00886ECE" w:rsidP="00236F1B">
            <w:pPr>
              <w:pStyle w:val="NormalWeb"/>
              <w:rPr>
                <w:rFonts w:ascii="Segoe UI" w:hAnsi="Segoe UI" w:cs="Segoe UI"/>
                <w:sz w:val="20"/>
                <w:szCs w:val="20"/>
                <w:lang w:val="en-AU" w:eastAsia="en-AU"/>
              </w:rPr>
            </w:pPr>
            <w:r w:rsidRPr="00236F1B">
              <w:rPr>
                <w:rFonts w:ascii="Segoe UI" w:hAnsi="Segoe UI" w:cs="Segoe UI"/>
                <w:sz w:val="20"/>
                <w:szCs w:val="20"/>
                <w:lang w:val="en-AU" w:eastAsia="en-AU"/>
              </w:rPr>
              <w:t>Extra Small (A0)</w:t>
            </w:r>
          </w:p>
        </w:tc>
        <w:tc>
          <w:tcPr>
            <w:tcW w:w="2787" w:type="dxa"/>
            <w:hideMark/>
          </w:tcPr>
          <w:p w14:paraId="2DFC027E" w14:textId="47B29CBA" w:rsidR="004B2127" w:rsidRPr="00F47607" w:rsidRDefault="00886ECE" w:rsidP="00236F1B">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1</w:t>
            </w:r>
          </w:p>
        </w:tc>
        <w:tc>
          <w:tcPr>
            <w:tcW w:w="3603" w:type="dxa"/>
            <w:hideMark/>
          </w:tcPr>
          <w:p w14:paraId="6AB8EE43" w14:textId="25A7838A" w:rsidR="004B2127" w:rsidRPr="00B814EA" w:rsidRDefault="00886ECE" w:rsidP="00236F1B">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¼ hour</w:t>
            </w:r>
          </w:p>
        </w:tc>
      </w:tr>
      <w:tr w:rsidR="004B2127" w:rsidRPr="007E3F2C" w14:paraId="09D5C319" w14:textId="53997261" w:rsidTr="00A04156">
        <w:tc>
          <w:tcPr>
            <w:cnfStyle w:val="001000000000" w:firstRow="0" w:lastRow="0" w:firstColumn="1" w:lastColumn="0" w:oddVBand="0" w:evenVBand="0" w:oddHBand="0" w:evenHBand="0" w:firstRowFirstColumn="0" w:firstRowLastColumn="0" w:lastRowFirstColumn="0" w:lastRowLastColumn="0"/>
            <w:tcW w:w="2965" w:type="dxa"/>
            <w:hideMark/>
          </w:tcPr>
          <w:p w14:paraId="5112A1B9" w14:textId="688DC94D" w:rsidR="004B2127" w:rsidRPr="00236F1B" w:rsidRDefault="00886ECE" w:rsidP="00236F1B">
            <w:pPr>
              <w:pStyle w:val="NormalWeb"/>
              <w:rPr>
                <w:rFonts w:ascii="Segoe UI" w:hAnsi="Segoe UI" w:cs="Segoe UI"/>
                <w:sz w:val="20"/>
                <w:szCs w:val="20"/>
                <w:lang w:val="en-AU" w:eastAsia="en-AU"/>
              </w:rPr>
            </w:pPr>
            <w:r w:rsidRPr="00236F1B">
              <w:rPr>
                <w:rFonts w:ascii="Segoe UI" w:hAnsi="Segoe UI" w:cs="Segoe UI"/>
                <w:sz w:val="20"/>
                <w:szCs w:val="20"/>
                <w:lang w:val="en-AU" w:eastAsia="en-AU"/>
              </w:rPr>
              <w:t>Small (A1)</w:t>
            </w:r>
          </w:p>
        </w:tc>
        <w:tc>
          <w:tcPr>
            <w:tcW w:w="2787" w:type="dxa"/>
            <w:hideMark/>
          </w:tcPr>
          <w:p w14:paraId="52D328EC" w14:textId="4E85B8D2" w:rsidR="004B2127" w:rsidRPr="00F47607" w:rsidRDefault="00886ECE" w:rsidP="00236F1B">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1</w:t>
            </w:r>
          </w:p>
        </w:tc>
        <w:tc>
          <w:tcPr>
            <w:tcW w:w="3603" w:type="dxa"/>
            <w:hideMark/>
          </w:tcPr>
          <w:p w14:paraId="40C5DE9C" w14:textId="7B101DB0" w:rsidR="004B2127" w:rsidRPr="00236F1B" w:rsidRDefault="00886ECE" w:rsidP="00236F1B">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1 hour</w:t>
            </w:r>
          </w:p>
        </w:tc>
      </w:tr>
      <w:tr w:rsidR="004B2127" w:rsidRPr="007E3F2C" w14:paraId="6351650D" w14:textId="01F9EBAE" w:rsidTr="00A041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68AA55FE" w14:textId="39CE5389" w:rsidR="004B2127" w:rsidRPr="00236F1B" w:rsidRDefault="00886ECE" w:rsidP="00236F1B">
            <w:pPr>
              <w:pStyle w:val="NormalWeb"/>
              <w:rPr>
                <w:rFonts w:ascii="Segoe UI" w:hAnsi="Segoe UI" w:cs="Segoe UI"/>
                <w:sz w:val="20"/>
                <w:szCs w:val="20"/>
                <w:lang w:val="en-AU" w:eastAsia="en-AU"/>
              </w:rPr>
            </w:pPr>
            <w:r>
              <w:rPr>
                <w:rFonts w:ascii="Segoe UI" w:hAnsi="Segoe UI" w:cs="Segoe UI"/>
                <w:sz w:val="20"/>
                <w:szCs w:val="20"/>
                <w:lang w:val="en-AU" w:eastAsia="en-AU"/>
              </w:rPr>
              <w:t>Medium (A2)</w:t>
            </w:r>
          </w:p>
        </w:tc>
        <w:tc>
          <w:tcPr>
            <w:tcW w:w="2787" w:type="dxa"/>
          </w:tcPr>
          <w:p w14:paraId="6A308B00" w14:textId="0EDF3E00" w:rsidR="004B2127" w:rsidRPr="00236F1B" w:rsidRDefault="00886ECE" w:rsidP="00236F1B">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sidRPr="00236F1B">
              <w:rPr>
                <w:rFonts w:ascii="Segoe UI" w:hAnsi="Segoe UI" w:cs="Segoe UI"/>
                <w:sz w:val="20"/>
                <w:szCs w:val="20"/>
                <w:lang w:val="en-AU" w:eastAsia="en-AU"/>
              </w:rPr>
              <w:t>1</w:t>
            </w:r>
          </w:p>
        </w:tc>
        <w:tc>
          <w:tcPr>
            <w:tcW w:w="3603" w:type="dxa"/>
          </w:tcPr>
          <w:p w14:paraId="6BD31FFD" w14:textId="255A3774" w:rsidR="004B2127" w:rsidRPr="00236F1B" w:rsidRDefault="00886ECE" w:rsidP="00236F1B">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sidRPr="00236F1B">
              <w:rPr>
                <w:rFonts w:ascii="Segoe UI" w:hAnsi="Segoe UI" w:cs="Segoe UI"/>
                <w:sz w:val="20"/>
                <w:szCs w:val="20"/>
                <w:lang w:val="en-AU" w:eastAsia="en-AU"/>
              </w:rPr>
              <w:t>2 hours</w:t>
            </w:r>
          </w:p>
        </w:tc>
      </w:tr>
      <w:tr w:rsidR="004B2127" w:rsidRPr="007E3F2C" w14:paraId="3AF800DA" w14:textId="1D7F2C71" w:rsidTr="00A04156">
        <w:tc>
          <w:tcPr>
            <w:cnfStyle w:val="001000000000" w:firstRow="0" w:lastRow="0" w:firstColumn="1" w:lastColumn="0" w:oddVBand="0" w:evenVBand="0" w:oddHBand="0" w:evenHBand="0" w:firstRowFirstColumn="0" w:firstRowLastColumn="0" w:lastRowFirstColumn="0" w:lastRowLastColumn="0"/>
            <w:tcW w:w="2965" w:type="dxa"/>
          </w:tcPr>
          <w:p w14:paraId="449E8CB2" w14:textId="15669A57" w:rsidR="004B2127" w:rsidRDefault="00886ECE" w:rsidP="00236F1B">
            <w:pPr>
              <w:pStyle w:val="NormalWeb"/>
              <w:rPr>
                <w:rFonts w:ascii="Segoe UI" w:hAnsi="Segoe UI" w:cs="Segoe UI"/>
                <w:sz w:val="20"/>
                <w:szCs w:val="20"/>
                <w:lang w:val="en-AU" w:eastAsia="en-AU"/>
              </w:rPr>
            </w:pPr>
            <w:r>
              <w:rPr>
                <w:rFonts w:ascii="Segoe UI" w:hAnsi="Segoe UI" w:cs="Segoe UI"/>
                <w:sz w:val="20"/>
                <w:szCs w:val="20"/>
                <w:lang w:val="en-AU" w:eastAsia="en-AU"/>
              </w:rPr>
              <w:t>Large (A3)</w:t>
            </w:r>
          </w:p>
        </w:tc>
        <w:tc>
          <w:tcPr>
            <w:tcW w:w="2787" w:type="dxa"/>
          </w:tcPr>
          <w:p w14:paraId="118874DD" w14:textId="398780FD" w:rsidR="004B2127" w:rsidRDefault="00886ECE" w:rsidP="00236F1B">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1</w:t>
            </w:r>
          </w:p>
        </w:tc>
        <w:tc>
          <w:tcPr>
            <w:tcW w:w="3603" w:type="dxa"/>
          </w:tcPr>
          <w:p w14:paraId="32D8BB73" w14:textId="1E6C4D7E" w:rsidR="004B2127" w:rsidRDefault="00886ECE" w:rsidP="00236F1B">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4 hours</w:t>
            </w:r>
          </w:p>
        </w:tc>
      </w:tr>
      <w:tr w:rsidR="004B2127" w:rsidRPr="007E3F2C" w14:paraId="50DCBE6B" w14:textId="3F9C00CC" w:rsidTr="00A041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5745785F" w14:textId="3BA73C91" w:rsidR="004B2127" w:rsidRDefault="00886ECE" w:rsidP="00236F1B">
            <w:pPr>
              <w:pStyle w:val="NormalWeb"/>
              <w:rPr>
                <w:rFonts w:ascii="Segoe UI" w:hAnsi="Segoe UI" w:cs="Segoe UI"/>
                <w:sz w:val="20"/>
                <w:szCs w:val="20"/>
                <w:lang w:val="en-AU" w:eastAsia="en-AU"/>
              </w:rPr>
            </w:pPr>
            <w:r>
              <w:rPr>
                <w:rFonts w:ascii="Segoe UI" w:hAnsi="Segoe UI" w:cs="Segoe UI"/>
                <w:sz w:val="20"/>
                <w:szCs w:val="20"/>
                <w:lang w:val="en-AU" w:eastAsia="en-AU"/>
              </w:rPr>
              <w:t>Extra Large (A4)</w:t>
            </w:r>
          </w:p>
        </w:tc>
        <w:tc>
          <w:tcPr>
            <w:tcW w:w="2787" w:type="dxa"/>
          </w:tcPr>
          <w:p w14:paraId="1F27B1CD" w14:textId="2B480DDC" w:rsidR="004B2127" w:rsidRDefault="00886ECE" w:rsidP="00236F1B">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1</w:t>
            </w:r>
          </w:p>
        </w:tc>
        <w:tc>
          <w:tcPr>
            <w:tcW w:w="3603" w:type="dxa"/>
          </w:tcPr>
          <w:p w14:paraId="5ED759AA" w14:textId="06486C92" w:rsidR="004B2127" w:rsidRDefault="00886ECE" w:rsidP="00236F1B">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8 hours</w:t>
            </w:r>
          </w:p>
        </w:tc>
      </w:tr>
    </w:tbl>
    <w:p w14:paraId="5C21C5D4" w14:textId="7B438614" w:rsidR="00E34812" w:rsidRDefault="00E34812" w:rsidP="005729D2">
      <w:pPr>
        <w:pStyle w:val="Heading4Numbered"/>
        <w:numPr>
          <w:ilvl w:val="3"/>
          <w:numId w:val="64"/>
        </w:numPr>
      </w:pPr>
      <w:r>
        <w:t>Pay-</w:t>
      </w:r>
      <w:r w:rsidR="00955980">
        <w:t>As</w:t>
      </w:r>
      <w:r>
        <w:t>-</w:t>
      </w:r>
      <w:r w:rsidR="00955980">
        <w:t>You</w:t>
      </w:r>
      <w:r>
        <w:t>-</w:t>
      </w:r>
      <w:r w:rsidR="00955980">
        <w:t xml:space="preserve">Go </w:t>
      </w:r>
      <w:r w:rsidR="001C29E6">
        <w:t>Usage Detail</w:t>
      </w:r>
      <w:r w:rsidR="00B26216">
        <w:t>s</w:t>
      </w:r>
    </w:p>
    <w:p w14:paraId="3C71B545" w14:textId="57CC58E4" w:rsidR="00B26216" w:rsidRDefault="00B26216" w:rsidP="00B26216">
      <w:r>
        <w:t xml:space="preserve">Following is an example of usage details for a pay-as-you-go subscription. Notice the </w:t>
      </w:r>
      <w:r w:rsidRPr="0035495F">
        <w:rPr>
          <w:b/>
        </w:rPr>
        <w:t>Component</w:t>
      </w:r>
      <w:r>
        <w:t xml:space="preserve"> column has the name of the resources and further highlights why a good naming convention is key. </w:t>
      </w:r>
    </w:p>
    <w:p w14:paraId="7AA540D5" w14:textId="7143DD86" w:rsidR="00735188" w:rsidRDefault="00B26216" w:rsidP="00B26216">
      <w:r>
        <w:t>In this particular subscription, there are very few applications or databases, so it is not difficult keep track of them. However, if there were many applications following the naming style of app1, app2, app3, and the random generated name for the database, it would quickly become very difficult to decipher costs per application</w:t>
      </w:r>
      <w:r w:rsidR="00735188">
        <w:t>.</w:t>
      </w:r>
    </w:p>
    <w:p w14:paraId="30D74A91" w14:textId="2C2E3708" w:rsidR="00735188" w:rsidRDefault="00735188" w:rsidP="009B2A82">
      <w:r w:rsidRPr="00735188">
        <w:rPr>
          <w:noProof/>
        </w:rPr>
        <w:drawing>
          <wp:inline distT="0" distB="0" distL="0" distR="0" wp14:anchorId="3331D550" wp14:editId="13EA233B">
            <wp:extent cx="5923722" cy="922620"/>
            <wp:effectExtent l="0" t="0" r="1270" b="0"/>
            <wp:docPr id="41056" name="Picture 4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l="29833" r="16388"/>
                    <a:stretch/>
                  </pic:blipFill>
                  <pic:spPr bwMode="auto">
                    <a:xfrm>
                      <a:off x="0" y="0"/>
                      <a:ext cx="6038076" cy="940431"/>
                    </a:xfrm>
                    <a:prstGeom prst="rect">
                      <a:avLst/>
                    </a:prstGeom>
                    <a:ln>
                      <a:noFill/>
                    </a:ln>
                    <a:extLst>
                      <a:ext uri="{53640926-AAD7-44D8-BBD7-CCE9431645EC}">
                        <a14:shadowObscured xmlns:a14="http://schemas.microsoft.com/office/drawing/2010/main"/>
                      </a:ext>
                    </a:extLst>
                  </pic:spPr>
                </pic:pic>
              </a:graphicData>
            </a:graphic>
          </wp:inline>
        </w:drawing>
      </w:r>
    </w:p>
    <w:p w14:paraId="4CA8ABC1" w14:textId="5B4B406E" w:rsidR="008530E0" w:rsidRDefault="00B26216" w:rsidP="009B2A82">
      <w:r>
        <w:t xml:space="preserve">For a full list of usage details and the definition of each, refer to </w:t>
      </w:r>
      <w:hyperlink r:id="rId85" w:history="1">
        <w:r w:rsidRPr="008C37CE">
          <w:rPr>
            <w:rStyle w:val="Hyperlink"/>
          </w:rPr>
          <w:t>Understand your bill for Microsoft Azure</w:t>
        </w:r>
      </w:hyperlink>
      <w:r w:rsidR="008C37CE">
        <w:t>.</w:t>
      </w:r>
    </w:p>
    <w:p w14:paraId="5F91761A" w14:textId="1FF9F362" w:rsidR="008C37CE" w:rsidRDefault="008C37CE" w:rsidP="005729D2">
      <w:pPr>
        <w:pStyle w:val="Heading4Numbered"/>
        <w:numPr>
          <w:ilvl w:val="3"/>
          <w:numId w:val="64"/>
        </w:numPr>
      </w:pPr>
      <w:r>
        <w:t>Enterprise</w:t>
      </w:r>
      <w:r w:rsidR="001C29E6">
        <w:t xml:space="preserve"> Usage Detail</w:t>
      </w:r>
    </w:p>
    <w:p w14:paraId="41967359" w14:textId="2E11D995" w:rsidR="009E41E2" w:rsidRDefault="009E41E2" w:rsidP="009B2A82">
      <w:r>
        <w:t>Enterprise</w:t>
      </w:r>
      <w:r w:rsidR="00B26216">
        <w:t xml:space="preserve"> subscription billing details are slightly different. In the following example, you can see that a </w:t>
      </w:r>
      <w:r w:rsidR="00B26216" w:rsidRPr="008A3855">
        <w:rPr>
          <w:b/>
        </w:rPr>
        <w:t>Component</w:t>
      </w:r>
      <w:r w:rsidR="00B26216">
        <w:t xml:space="preserve"> column also exists in the billing details; however, not all fields are the same as those in the previous subscription details</w:t>
      </w:r>
      <w:r w:rsidR="00F40006">
        <w:t>.</w:t>
      </w:r>
    </w:p>
    <w:p w14:paraId="362A3EDD" w14:textId="040201FB" w:rsidR="009B2A82" w:rsidRDefault="00F40006" w:rsidP="009B2A82">
      <w:r w:rsidRPr="00F40006">
        <w:rPr>
          <w:noProof/>
        </w:rPr>
        <w:drawing>
          <wp:inline distT="0" distB="0" distL="0" distR="0" wp14:anchorId="4A368013" wp14:editId="18564702">
            <wp:extent cx="5923280" cy="1103461"/>
            <wp:effectExtent l="0" t="0" r="1270" b="1905"/>
            <wp:docPr id="1252047311" name="Picture 1252047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l="31307" r="6756"/>
                    <a:stretch/>
                  </pic:blipFill>
                  <pic:spPr bwMode="auto">
                    <a:xfrm>
                      <a:off x="0" y="0"/>
                      <a:ext cx="6023348" cy="1122103"/>
                    </a:xfrm>
                    <a:prstGeom prst="rect">
                      <a:avLst/>
                    </a:prstGeom>
                    <a:ln>
                      <a:noFill/>
                    </a:ln>
                    <a:extLst>
                      <a:ext uri="{53640926-AAD7-44D8-BBD7-CCE9431645EC}">
                        <a14:shadowObscured xmlns:a14="http://schemas.microsoft.com/office/drawing/2010/main"/>
                      </a:ext>
                    </a:extLst>
                  </pic:spPr>
                </pic:pic>
              </a:graphicData>
            </a:graphic>
          </wp:inline>
        </w:drawing>
      </w:r>
    </w:p>
    <w:p w14:paraId="4F660E2D" w14:textId="31BB7A38" w:rsidR="00AE0430" w:rsidRDefault="00B26216" w:rsidP="003D305B">
      <w:r>
        <w:t>The following table lists the fields for the enterprise usage details</w:t>
      </w:r>
      <w:r w:rsidR="00F40006">
        <w:t>:</w:t>
      </w:r>
    </w:p>
    <w:tbl>
      <w:tblPr>
        <w:tblStyle w:val="PlainTable11"/>
        <w:tblW w:w="9355" w:type="dxa"/>
        <w:tblLook w:val="04A0" w:firstRow="1" w:lastRow="0" w:firstColumn="1" w:lastColumn="0" w:noHBand="0" w:noVBand="1"/>
      </w:tblPr>
      <w:tblGrid>
        <w:gridCol w:w="2965"/>
        <w:gridCol w:w="2787"/>
        <w:gridCol w:w="3603"/>
      </w:tblGrid>
      <w:tr w:rsidR="00C77509" w:rsidRPr="00A04156" w14:paraId="3D377B6D" w14:textId="77777777" w:rsidTr="00A04156">
        <w:trPr>
          <w:cnfStyle w:val="100000000000" w:firstRow="1" w:lastRow="0" w:firstColumn="0" w:lastColumn="0" w:oddVBand="0" w:evenVBand="0" w:oddHBand="0" w:evenHBand="0" w:firstRowFirstColumn="0" w:firstRowLastColumn="0" w:lastRowFirstColumn="0" w:lastRowLastColumn="0"/>
          <w:trHeight w:val="339"/>
        </w:trPr>
        <w:tc>
          <w:tcPr>
            <w:cnfStyle w:val="001000000000" w:firstRow="0" w:lastRow="0" w:firstColumn="1" w:lastColumn="0" w:oddVBand="0" w:evenVBand="0" w:oddHBand="0" w:evenHBand="0" w:firstRowFirstColumn="0" w:firstRowLastColumn="0" w:lastRowFirstColumn="0" w:lastRowLastColumn="0"/>
            <w:tcW w:w="9355" w:type="dxa"/>
            <w:gridSpan w:val="3"/>
            <w:shd w:val="clear" w:color="auto" w:fill="808080" w:themeFill="background1" w:themeFillShade="80"/>
            <w:hideMark/>
          </w:tcPr>
          <w:p w14:paraId="2E5CE7DB" w14:textId="48EBD9DB" w:rsidR="00C77509" w:rsidRPr="00A04156" w:rsidRDefault="00C77509" w:rsidP="00C77509">
            <w:pPr>
              <w:spacing w:line="240" w:lineRule="auto"/>
              <w:rPr>
                <w:rFonts w:eastAsia="Calibri"/>
                <w:color w:val="FFFFFF"/>
                <w:szCs w:val="20"/>
                <w:lang w:val="en-AU" w:eastAsia="en-AU"/>
              </w:rPr>
            </w:pPr>
            <w:r w:rsidRPr="00A04156">
              <w:rPr>
                <w:rFonts w:eastAsia="Calibri"/>
                <w:color w:val="FFFFFF"/>
                <w:szCs w:val="20"/>
                <w:lang w:val="en-AU" w:eastAsia="en-AU"/>
              </w:rPr>
              <w:t>Detail Fields</w:t>
            </w:r>
          </w:p>
        </w:tc>
      </w:tr>
      <w:tr w:rsidR="00C77509" w:rsidRPr="00A04156" w14:paraId="35CA4522" w14:textId="77777777" w:rsidTr="00A041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hideMark/>
          </w:tcPr>
          <w:p w14:paraId="1486C749" w14:textId="54D80F62" w:rsidR="00C77509" w:rsidRPr="00A04156" w:rsidRDefault="00C77509" w:rsidP="00C77509">
            <w:pPr>
              <w:pStyle w:val="NormalWeb"/>
              <w:rPr>
                <w:rFonts w:ascii="Segoe UI" w:hAnsi="Segoe UI" w:cs="Segoe UI"/>
                <w:sz w:val="22"/>
                <w:szCs w:val="20"/>
                <w:lang w:val="en-AU" w:eastAsia="en-AU"/>
              </w:rPr>
            </w:pPr>
            <w:r w:rsidRPr="00A04156">
              <w:rPr>
                <w:rFonts w:ascii="Segoe UI" w:hAnsi="Segoe UI" w:cs="Segoe UI"/>
                <w:sz w:val="22"/>
                <w:szCs w:val="20"/>
                <w:lang w:val="en-AU" w:eastAsia="en-AU"/>
              </w:rPr>
              <w:t>AccountOwnerId</w:t>
            </w:r>
          </w:p>
        </w:tc>
        <w:tc>
          <w:tcPr>
            <w:tcW w:w="2787" w:type="dxa"/>
            <w:hideMark/>
          </w:tcPr>
          <w:p w14:paraId="11980853" w14:textId="4632F666" w:rsidR="00C77509" w:rsidRPr="00A04156" w:rsidRDefault="00C77509" w:rsidP="00C7750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2"/>
                <w:szCs w:val="20"/>
                <w:lang w:val="en-AU" w:eastAsia="en-AU"/>
              </w:rPr>
            </w:pPr>
            <w:r w:rsidRPr="00A04156">
              <w:rPr>
                <w:rFonts w:ascii="Segoe UI" w:hAnsi="Segoe UI" w:cs="Segoe UI"/>
                <w:sz w:val="22"/>
                <w:szCs w:val="20"/>
                <w:lang w:val="en-AU" w:eastAsia="en-AU"/>
              </w:rPr>
              <w:t>Day</w:t>
            </w:r>
          </w:p>
        </w:tc>
        <w:tc>
          <w:tcPr>
            <w:tcW w:w="3603" w:type="dxa"/>
            <w:hideMark/>
          </w:tcPr>
          <w:p w14:paraId="1084129A" w14:textId="1FD0089E" w:rsidR="00C77509" w:rsidRPr="00A04156" w:rsidRDefault="00C77509" w:rsidP="00C7750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2"/>
                <w:szCs w:val="20"/>
                <w:lang w:val="en-AU" w:eastAsia="en-AU"/>
              </w:rPr>
            </w:pPr>
            <w:r w:rsidRPr="00A04156">
              <w:rPr>
                <w:rFonts w:ascii="Segoe UI" w:hAnsi="Segoe UI" w:cs="Segoe UI"/>
                <w:sz w:val="22"/>
                <w:szCs w:val="20"/>
                <w:lang w:val="en-AU" w:eastAsia="en-AU"/>
              </w:rPr>
              <w:t>ResourceQtyConsumed</w:t>
            </w:r>
          </w:p>
        </w:tc>
      </w:tr>
      <w:tr w:rsidR="00C77509" w:rsidRPr="00A04156" w14:paraId="35B9435B" w14:textId="77777777" w:rsidTr="00A04156">
        <w:tc>
          <w:tcPr>
            <w:cnfStyle w:val="001000000000" w:firstRow="0" w:lastRow="0" w:firstColumn="1" w:lastColumn="0" w:oddVBand="0" w:evenVBand="0" w:oddHBand="0" w:evenHBand="0" w:firstRowFirstColumn="0" w:firstRowLastColumn="0" w:lastRowFirstColumn="0" w:lastRowLastColumn="0"/>
            <w:tcW w:w="2965" w:type="dxa"/>
            <w:hideMark/>
          </w:tcPr>
          <w:p w14:paraId="2BCB031E" w14:textId="6B2771F4" w:rsidR="00C77509" w:rsidRPr="00A04156" w:rsidRDefault="00C77509" w:rsidP="00C77509">
            <w:pPr>
              <w:pStyle w:val="NormalWeb"/>
              <w:rPr>
                <w:rFonts w:ascii="Segoe UI" w:hAnsi="Segoe UI" w:cs="Segoe UI"/>
                <w:sz w:val="22"/>
                <w:szCs w:val="20"/>
                <w:lang w:val="en-AU" w:eastAsia="en-AU"/>
              </w:rPr>
            </w:pPr>
            <w:r w:rsidRPr="00A04156">
              <w:rPr>
                <w:rFonts w:ascii="Segoe UI" w:hAnsi="Segoe UI" w:cs="Segoe UI"/>
                <w:sz w:val="22"/>
                <w:szCs w:val="20"/>
                <w:lang w:val="en-AU" w:eastAsia="en-AU"/>
              </w:rPr>
              <w:t>AccountName</w:t>
            </w:r>
          </w:p>
        </w:tc>
        <w:tc>
          <w:tcPr>
            <w:tcW w:w="2787" w:type="dxa"/>
            <w:hideMark/>
          </w:tcPr>
          <w:p w14:paraId="2643609B" w14:textId="17F5DFF9" w:rsidR="00C77509" w:rsidRPr="00A04156" w:rsidRDefault="00C77509" w:rsidP="00C7750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2"/>
                <w:szCs w:val="20"/>
                <w:lang w:val="en-AU" w:eastAsia="en-AU"/>
              </w:rPr>
            </w:pPr>
            <w:r w:rsidRPr="00A04156">
              <w:rPr>
                <w:rFonts w:ascii="Segoe UI" w:hAnsi="Segoe UI" w:cs="Segoe UI"/>
                <w:sz w:val="22"/>
                <w:szCs w:val="20"/>
                <w:lang w:val="en-AU" w:eastAsia="en-AU"/>
              </w:rPr>
              <w:t>Year</w:t>
            </w:r>
          </w:p>
        </w:tc>
        <w:tc>
          <w:tcPr>
            <w:tcW w:w="3603" w:type="dxa"/>
            <w:hideMark/>
          </w:tcPr>
          <w:p w14:paraId="01DDD176" w14:textId="60257EF7" w:rsidR="00C77509" w:rsidRPr="00A04156" w:rsidRDefault="00C77509" w:rsidP="00C7750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2"/>
                <w:szCs w:val="20"/>
                <w:lang w:val="en-AU" w:eastAsia="en-AU"/>
              </w:rPr>
            </w:pPr>
            <w:r w:rsidRPr="00A04156">
              <w:rPr>
                <w:rFonts w:ascii="Segoe UI" w:hAnsi="Segoe UI" w:cs="Segoe UI"/>
                <w:sz w:val="22"/>
                <w:szCs w:val="20"/>
                <w:lang w:val="en-AU" w:eastAsia="en-AU"/>
              </w:rPr>
              <w:t>ResourceRate</w:t>
            </w:r>
          </w:p>
        </w:tc>
      </w:tr>
      <w:tr w:rsidR="00C77509" w:rsidRPr="00A04156" w14:paraId="7C74DEEF" w14:textId="77777777" w:rsidTr="00A041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1F59C956" w14:textId="518DBFCE" w:rsidR="00C77509" w:rsidRPr="00A04156" w:rsidRDefault="00C77509" w:rsidP="00C77509">
            <w:pPr>
              <w:pStyle w:val="NormalWeb"/>
              <w:rPr>
                <w:rFonts w:ascii="Segoe UI" w:hAnsi="Segoe UI" w:cs="Segoe UI"/>
                <w:sz w:val="22"/>
                <w:szCs w:val="20"/>
                <w:lang w:val="en-AU" w:eastAsia="en-AU"/>
              </w:rPr>
            </w:pPr>
            <w:r w:rsidRPr="00A04156">
              <w:rPr>
                <w:rFonts w:ascii="Segoe UI" w:hAnsi="Segoe UI" w:cs="Segoe UI"/>
                <w:sz w:val="22"/>
                <w:szCs w:val="20"/>
                <w:lang w:val="en-AU" w:eastAsia="en-AU"/>
              </w:rPr>
              <w:t>ServiceAdministratorId</w:t>
            </w:r>
          </w:p>
        </w:tc>
        <w:tc>
          <w:tcPr>
            <w:tcW w:w="2787" w:type="dxa"/>
          </w:tcPr>
          <w:p w14:paraId="528DB977" w14:textId="0F86E5F5" w:rsidR="00C77509" w:rsidRPr="00A04156" w:rsidRDefault="00C77509" w:rsidP="00C7750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2"/>
                <w:szCs w:val="20"/>
                <w:lang w:val="en-AU" w:eastAsia="en-AU"/>
              </w:rPr>
            </w:pPr>
            <w:r w:rsidRPr="00A04156">
              <w:rPr>
                <w:rFonts w:ascii="Segoe UI" w:hAnsi="Segoe UI" w:cs="Segoe UI"/>
                <w:sz w:val="22"/>
                <w:szCs w:val="20"/>
                <w:lang w:val="en-AU" w:eastAsia="en-AU"/>
              </w:rPr>
              <w:t>Product</w:t>
            </w:r>
          </w:p>
        </w:tc>
        <w:tc>
          <w:tcPr>
            <w:tcW w:w="3603" w:type="dxa"/>
          </w:tcPr>
          <w:p w14:paraId="2210E02D" w14:textId="59797244" w:rsidR="00C77509" w:rsidRPr="00A04156" w:rsidRDefault="00C77509" w:rsidP="00C7750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2"/>
                <w:szCs w:val="20"/>
                <w:lang w:val="en-AU" w:eastAsia="en-AU"/>
              </w:rPr>
            </w:pPr>
            <w:r w:rsidRPr="00A04156">
              <w:rPr>
                <w:rFonts w:ascii="Segoe UI" w:hAnsi="Segoe UI" w:cs="Segoe UI"/>
                <w:sz w:val="22"/>
                <w:szCs w:val="20"/>
                <w:lang w:val="en-AU" w:eastAsia="en-AU"/>
              </w:rPr>
              <w:t>ExtendedCost</w:t>
            </w:r>
          </w:p>
        </w:tc>
      </w:tr>
      <w:tr w:rsidR="00C77509" w:rsidRPr="00A04156" w14:paraId="1E39246D" w14:textId="77777777" w:rsidTr="00A04156">
        <w:tc>
          <w:tcPr>
            <w:cnfStyle w:val="001000000000" w:firstRow="0" w:lastRow="0" w:firstColumn="1" w:lastColumn="0" w:oddVBand="0" w:evenVBand="0" w:oddHBand="0" w:evenHBand="0" w:firstRowFirstColumn="0" w:firstRowLastColumn="0" w:lastRowFirstColumn="0" w:lastRowLastColumn="0"/>
            <w:tcW w:w="2965" w:type="dxa"/>
          </w:tcPr>
          <w:p w14:paraId="2A9966B2" w14:textId="668B6F36" w:rsidR="00C77509" w:rsidRPr="00A04156" w:rsidRDefault="00C77509" w:rsidP="00C77509">
            <w:pPr>
              <w:pStyle w:val="NormalWeb"/>
              <w:rPr>
                <w:rFonts w:ascii="Segoe UI" w:hAnsi="Segoe UI" w:cs="Segoe UI"/>
                <w:sz w:val="22"/>
                <w:szCs w:val="20"/>
                <w:lang w:val="en-AU" w:eastAsia="en-AU"/>
              </w:rPr>
            </w:pPr>
            <w:r w:rsidRPr="00A04156">
              <w:rPr>
                <w:rFonts w:ascii="Segoe UI" w:hAnsi="Segoe UI" w:cs="Segoe UI"/>
                <w:sz w:val="22"/>
                <w:szCs w:val="20"/>
                <w:lang w:val="en-AU" w:eastAsia="en-AU"/>
              </w:rPr>
              <w:t>SubscriptionId</w:t>
            </w:r>
          </w:p>
        </w:tc>
        <w:tc>
          <w:tcPr>
            <w:tcW w:w="2787" w:type="dxa"/>
          </w:tcPr>
          <w:p w14:paraId="5A05757B" w14:textId="20B6F9D2" w:rsidR="00C77509" w:rsidRPr="00A04156" w:rsidRDefault="00C77509" w:rsidP="00C7750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2"/>
                <w:szCs w:val="20"/>
                <w:lang w:val="en-AU" w:eastAsia="en-AU"/>
              </w:rPr>
            </w:pPr>
            <w:r w:rsidRPr="00A04156">
              <w:rPr>
                <w:rFonts w:ascii="Segoe UI" w:hAnsi="Segoe UI" w:cs="Segoe UI"/>
                <w:sz w:val="22"/>
                <w:szCs w:val="20"/>
                <w:lang w:val="en-AU" w:eastAsia="en-AU"/>
              </w:rPr>
              <w:t>ResourceGUID</w:t>
            </w:r>
          </w:p>
        </w:tc>
        <w:tc>
          <w:tcPr>
            <w:tcW w:w="3603" w:type="dxa"/>
          </w:tcPr>
          <w:p w14:paraId="1E78E014" w14:textId="3229B701" w:rsidR="00C77509" w:rsidRPr="00A04156" w:rsidRDefault="00C77509" w:rsidP="00C7750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2"/>
                <w:szCs w:val="20"/>
                <w:lang w:val="en-AU" w:eastAsia="en-AU"/>
              </w:rPr>
            </w:pPr>
            <w:r w:rsidRPr="00A04156">
              <w:rPr>
                <w:rFonts w:ascii="Segoe UI" w:hAnsi="Segoe UI" w:cs="Segoe UI"/>
                <w:sz w:val="22"/>
                <w:szCs w:val="20"/>
                <w:lang w:val="en-AU" w:eastAsia="en-AU"/>
              </w:rPr>
              <w:t>ServiceSubRegion</w:t>
            </w:r>
          </w:p>
        </w:tc>
      </w:tr>
      <w:tr w:rsidR="00C77509" w:rsidRPr="00A04156" w14:paraId="667D98E5" w14:textId="77777777" w:rsidTr="00A041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1137362D" w14:textId="59F2118E" w:rsidR="00C77509" w:rsidRPr="00A04156" w:rsidRDefault="00C77509" w:rsidP="00C77509">
            <w:pPr>
              <w:pStyle w:val="NormalWeb"/>
              <w:rPr>
                <w:rFonts w:ascii="Segoe UI" w:hAnsi="Segoe UI" w:cs="Segoe UI"/>
                <w:sz w:val="22"/>
                <w:szCs w:val="20"/>
                <w:lang w:val="en-AU" w:eastAsia="en-AU"/>
              </w:rPr>
            </w:pPr>
            <w:r w:rsidRPr="00A04156">
              <w:rPr>
                <w:rFonts w:ascii="Segoe UI" w:hAnsi="Segoe UI" w:cs="Segoe UI"/>
                <w:sz w:val="22"/>
                <w:szCs w:val="20"/>
                <w:lang w:val="en-AU" w:eastAsia="en-AU"/>
              </w:rPr>
              <w:t>SubscriptionGuid</w:t>
            </w:r>
          </w:p>
        </w:tc>
        <w:tc>
          <w:tcPr>
            <w:tcW w:w="2787" w:type="dxa"/>
          </w:tcPr>
          <w:p w14:paraId="0E262841" w14:textId="4C3BAA4A" w:rsidR="00C77509" w:rsidRPr="00A04156" w:rsidRDefault="00C77509" w:rsidP="00C7750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2"/>
                <w:szCs w:val="20"/>
                <w:lang w:val="en-AU" w:eastAsia="en-AU"/>
              </w:rPr>
            </w:pPr>
            <w:r w:rsidRPr="00A04156">
              <w:rPr>
                <w:rFonts w:ascii="Segoe UI" w:hAnsi="Segoe UI" w:cs="Segoe UI"/>
                <w:sz w:val="22"/>
                <w:szCs w:val="20"/>
                <w:lang w:val="en-AU" w:eastAsia="en-AU"/>
              </w:rPr>
              <w:t>Service</w:t>
            </w:r>
          </w:p>
        </w:tc>
        <w:tc>
          <w:tcPr>
            <w:tcW w:w="3603" w:type="dxa"/>
          </w:tcPr>
          <w:p w14:paraId="68E2F929" w14:textId="337BB019" w:rsidR="00C77509" w:rsidRPr="00A04156" w:rsidRDefault="00C77509" w:rsidP="00C7750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2"/>
                <w:szCs w:val="20"/>
                <w:lang w:val="en-AU" w:eastAsia="en-AU"/>
              </w:rPr>
            </w:pPr>
            <w:r w:rsidRPr="00A04156">
              <w:rPr>
                <w:rFonts w:ascii="Segoe UI" w:hAnsi="Segoe UI" w:cs="Segoe UI"/>
                <w:sz w:val="22"/>
                <w:szCs w:val="20"/>
                <w:lang w:val="en-AU" w:eastAsia="en-AU"/>
              </w:rPr>
              <w:t>ServiceInfo</w:t>
            </w:r>
          </w:p>
        </w:tc>
      </w:tr>
      <w:tr w:rsidR="00C77509" w:rsidRPr="00A04156" w14:paraId="616382E6" w14:textId="77777777" w:rsidTr="00A04156">
        <w:tc>
          <w:tcPr>
            <w:cnfStyle w:val="001000000000" w:firstRow="0" w:lastRow="0" w:firstColumn="1" w:lastColumn="0" w:oddVBand="0" w:evenVBand="0" w:oddHBand="0" w:evenHBand="0" w:firstRowFirstColumn="0" w:firstRowLastColumn="0" w:lastRowFirstColumn="0" w:lastRowLastColumn="0"/>
            <w:tcW w:w="2965" w:type="dxa"/>
          </w:tcPr>
          <w:p w14:paraId="5720CEAE" w14:textId="20CDE815" w:rsidR="00C77509" w:rsidRPr="00A04156" w:rsidRDefault="00C77509" w:rsidP="00C77509">
            <w:pPr>
              <w:pStyle w:val="NormalWeb"/>
              <w:rPr>
                <w:rFonts w:ascii="Segoe UI" w:hAnsi="Segoe UI" w:cs="Segoe UI"/>
                <w:sz w:val="22"/>
                <w:szCs w:val="20"/>
                <w:lang w:val="en-AU" w:eastAsia="en-AU"/>
              </w:rPr>
            </w:pPr>
            <w:r w:rsidRPr="00A04156">
              <w:rPr>
                <w:rFonts w:ascii="Segoe UI" w:hAnsi="Segoe UI" w:cs="Segoe UI"/>
                <w:sz w:val="22"/>
                <w:szCs w:val="20"/>
                <w:lang w:val="en-AU" w:eastAsia="en-AU"/>
              </w:rPr>
              <w:t>SubscriptionName</w:t>
            </w:r>
          </w:p>
        </w:tc>
        <w:tc>
          <w:tcPr>
            <w:tcW w:w="2787" w:type="dxa"/>
          </w:tcPr>
          <w:p w14:paraId="20A5CE24" w14:textId="217017F1" w:rsidR="00C77509" w:rsidRPr="00A04156" w:rsidRDefault="00C77509" w:rsidP="00C7750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2"/>
                <w:szCs w:val="20"/>
                <w:lang w:val="en-AU" w:eastAsia="en-AU"/>
              </w:rPr>
            </w:pPr>
            <w:r w:rsidRPr="00A04156">
              <w:rPr>
                <w:rFonts w:ascii="Segoe UI" w:hAnsi="Segoe UI" w:cs="Segoe UI"/>
                <w:sz w:val="22"/>
                <w:szCs w:val="20"/>
                <w:lang w:val="en-AU" w:eastAsia="en-AU"/>
              </w:rPr>
              <w:t>ServiceType</w:t>
            </w:r>
          </w:p>
        </w:tc>
        <w:tc>
          <w:tcPr>
            <w:tcW w:w="3603" w:type="dxa"/>
          </w:tcPr>
          <w:p w14:paraId="13E20842" w14:textId="5D7BDBA3" w:rsidR="00C77509" w:rsidRPr="00A04156" w:rsidRDefault="00C77509" w:rsidP="00C7750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2"/>
                <w:szCs w:val="20"/>
                <w:lang w:val="en-AU" w:eastAsia="en-AU"/>
              </w:rPr>
            </w:pPr>
            <w:r w:rsidRPr="00A04156">
              <w:rPr>
                <w:rFonts w:ascii="Segoe UI" w:hAnsi="Segoe UI" w:cs="Segoe UI"/>
                <w:sz w:val="22"/>
                <w:szCs w:val="20"/>
                <w:lang w:val="en-AU" w:eastAsia="en-AU"/>
              </w:rPr>
              <w:t>Component</w:t>
            </w:r>
          </w:p>
        </w:tc>
      </w:tr>
      <w:tr w:rsidR="00C77509" w:rsidRPr="00A04156" w14:paraId="375904E3" w14:textId="77777777" w:rsidTr="00A041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39C27969" w14:textId="5DFFFE9D" w:rsidR="00C77509" w:rsidRPr="00A04156" w:rsidRDefault="00C77509" w:rsidP="00C77509">
            <w:pPr>
              <w:pStyle w:val="NormalWeb"/>
              <w:rPr>
                <w:rFonts w:ascii="Segoe UI" w:hAnsi="Segoe UI" w:cs="Segoe UI"/>
                <w:sz w:val="22"/>
                <w:szCs w:val="20"/>
                <w:lang w:val="en-AU" w:eastAsia="en-AU"/>
              </w:rPr>
            </w:pPr>
            <w:r w:rsidRPr="00A04156">
              <w:rPr>
                <w:rFonts w:ascii="Segoe UI" w:hAnsi="Segoe UI" w:cs="Segoe UI"/>
                <w:sz w:val="22"/>
                <w:szCs w:val="20"/>
                <w:lang w:val="en-AU" w:eastAsia="en-AU"/>
              </w:rPr>
              <w:t>Date</w:t>
            </w:r>
          </w:p>
        </w:tc>
        <w:tc>
          <w:tcPr>
            <w:tcW w:w="2787" w:type="dxa"/>
          </w:tcPr>
          <w:p w14:paraId="74B88B22" w14:textId="17137F91" w:rsidR="00C77509" w:rsidRPr="00A04156" w:rsidRDefault="00C77509" w:rsidP="00C7750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2"/>
                <w:szCs w:val="20"/>
                <w:lang w:val="en-AU" w:eastAsia="en-AU"/>
              </w:rPr>
            </w:pPr>
            <w:r w:rsidRPr="00A04156">
              <w:rPr>
                <w:rFonts w:ascii="Segoe UI" w:hAnsi="Segoe UI" w:cs="Segoe UI"/>
                <w:sz w:val="22"/>
                <w:szCs w:val="20"/>
                <w:lang w:val="en-AU" w:eastAsia="en-AU"/>
              </w:rPr>
              <w:t>ServiceRegion</w:t>
            </w:r>
          </w:p>
        </w:tc>
        <w:tc>
          <w:tcPr>
            <w:tcW w:w="3603" w:type="dxa"/>
          </w:tcPr>
          <w:p w14:paraId="66BE8DF6" w14:textId="66E86FBE" w:rsidR="00C77509" w:rsidRPr="00A04156" w:rsidRDefault="00C77509" w:rsidP="00C7750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2"/>
                <w:szCs w:val="20"/>
                <w:lang w:val="en-AU" w:eastAsia="en-AU"/>
              </w:rPr>
            </w:pPr>
            <w:r w:rsidRPr="00A04156">
              <w:rPr>
                <w:rFonts w:ascii="Segoe UI" w:hAnsi="Segoe UI" w:cs="Segoe UI"/>
                <w:sz w:val="22"/>
                <w:szCs w:val="20"/>
                <w:lang w:val="en-AU" w:eastAsia="en-AU"/>
              </w:rPr>
              <w:t>ServiceInfo1</w:t>
            </w:r>
          </w:p>
        </w:tc>
      </w:tr>
      <w:tr w:rsidR="00C77509" w:rsidRPr="00A04156" w14:paraId="760CFA97" w14:textId="77777777" w:rsidTr="00A04156">
        <w:tc>
          <w:tcPr>
            <w:cnfStyle w:val="001000000000" w:firstRow="0" w:lastRow="0" w:firstColumn="1" w:lastColumn="0" w:oddVBand="0" w:evenVBand="0" w:oddHBand="0" w:evenHBand="0" w:firstRowFirstColumn="0" w:firstRowLastColumn="0" w:lastRowFirstColumn="0" w:lastRowLastColumn="0"/>
            <w:tcW w:w="2965" w:type="dxa"/>
          </w:tcPr>
          <w:p w14:paraId="36E28183" w14:textId="3DB8A477" w:rsidR="00C77509" w:rsidRPr="00A04156" w:rsidRDefault="00C77509" w:rsidP="00C77509">
            <w:pPr>
              <w:pStyle w:val="NormalWeb"/>
              <w:rPr>
                <w:rFonts w:ascii="Segoe UI" w:hAnsi="Segoe UI" w:cs="Segoe UI"/>
                <w:sz w:val="22"/>
                <w:szCs w:val="20"/>
                <w:lang w:val="en-AU" w:eastAsia="en-AU"/>
              </w:rPr>
            </w:pPr>
            <w:r w:rsidRPr="00A04156">
              <w:rPr>
                <w:rFonts w:ascii="Segoe UI" w:hAnsi="Segoe UI" w:cs="Segoe UI"/>
                <w:sz w:val="22"/>
                <w:szCs w:val="20"/>
                <w:lang w:val="en-AU" w:eastAsia="en-AU"/>
              </w:rPr>
              <w:t>Month</w:t>
            </w:r>
          </w:p>
        </w:tc>
        <w:tc>
          <w:tcPr>
            <w:tcW w:w="2787" w:type="dxa"/>
          </w:tcPr>
          <w:p w14:paraId="2A8F4B2B" w14:textId="4D1D51A8" w:rsidR="00C77509" w:rsidRPr="00A04156" w:rsidRDefault="00C77509" w:rsidP="00C7750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2"/>
                <w:szCs w:val="20"/>
                <w:lang w:val="en-AU" w:eastAsia="en-AU"/>
              </w:rPr>
            </w:pPr>
            <w:r w:rsidRPr="00A04156">
              <w:rPr>
                <w:rFonts w:ascii="Segoe UI" w:hAnsi="Segoe UI" w:cs="Segoe UI"/>
                <w:sz w:val="22"/>
                <w:szCs w:val="20"/>
                <w:lang w:val="en-AU" w:eastAsia="en-AU"/>
              </w:rPr>
              <w:t>ServiceResource</w:t>
            </w:r>
          </w:p>
        </w:tc>
        <w:tc>
          <w:tcPr>
            <w:tcW w:w="3603" w:type="dxa"/>
          </w:tcPr>
          <w:p w14:paraId="56437C86" w14:textId="01C06832" w:rsidR="00C77509" w:rsidRPr="00A04156" w:rsidRDefault="00C77509" w:rsidP="00C7750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2"/>
                <w:szCs w:val="20"/>
                <w:lang w:val="en-AU" w:eastAsia="en-AU"/>
              </w:rPr>
            </w:pPr>
            <w:r w:rsidRPr="00A04156">
              <w:rPr>
                <w:rFonts w:ascii="Segoe UI" w:hAnsi="Segoe UI" w:cs="Segoe UI"/>
                <w:sz w:val="22"/>
                <w:szCs w:val="20"/>
                <w:lang w:val="en-AU" w:eastAsia="en-AU"/>
              </w:rPr>
              <w:t>ServiceInfo2</w:t>
            </w:r>
          </w:p>
        </w:tc>
      </w:tr>
      <w:tr w:rsidR="00C77509" w:rsidRPr="00A04156" w14:paraId="1BBF9715" w14:textId="77777777" w:rsidTr="00A041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tcPr>
          <w:p w14:paraId="0755293D" w14:textId="6826A641" w:rsidR="00C77509" w:rsidRPr="00A04156" w:rsidRDefault="00C77509" w:rsidP="00C77509">
            <w:pPr>
              <w:pStyle w:val="NormalWeb"/>
              <w:rPr>
                <w:rFonts w:ascii="Segoe UI" w:hAnsi="Segoe UI" w:cs="Segoe UI"/>
                <w:sz w:val="22"/>
                <w:szCs w:val="20"/>
                <w:lang w:val="en-AU" w:eastAsia="en-AU"/>
              </w:rPr>
            </w:pPr>
            <w:r w:rsidRPr="00A04156">
              <w:rPr>
                <w:rFonts w:ascii="Segoe UI" w:hAnsi="Segoe UI" w:cs="Segoe UI"/>
                <w:sz w:val="22"/>
                <w:szCs w:val="20"/>
                <w:lang w:val="en-AU" w:eastAsia="en-AU"/>
              </w:rPr>
              <w:t>AdditionalInfo</w:t>
            </w:r>
          </w:p>
        </w:tc>
        <w:tc>
          <w:tcPr>
            <w:tcW w:w="2787" w:type="dxa"/>
          </w:tcPr>
          <w:p w14:paraId="691BCADF" w14:textId="316E4EAC" w:rsidR="00C77509" w:rsidRPr="00A04156" w:rsidRDefault="00C77509" w:rsidP="00C7750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2"/>
                <w:szCs w:val="20"/>
                <w:lang w:val="en-AU" w:eastAsia="en-AU"/>
              </w:rPr>
            </w:pPr>
            <w:r w:rsidRPr="00A04156">
              <w:rPr>
                <w:rFonts w:ascii="Segoe UI" w:hAnsi="Segoe UI" w:cs="Segoe UI"/>
                <w:sz w:val="22"/>
                <w:szCs w:val="20"/>
                <w:lang w:val="en-AU" w:eastAsia="en-AU"/>
              </w:rPr>
              <w:t>Tags</w:t>
            </w:r>
          </w:p>
        </w:tc>
        <w:tc>
          <w:tcPr>
            <w:tcW w:w="3603" w:type="dxa"/>
          </w:tcPr>
          <w:p w14:paraId="6A42B250" w14:textId="3FF9DFA7" w:rsidR="00C77509" w:rsidRPr="00A04156" w:rsidRDefault="00C77509" w:rsidP="00C77509">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2"/>
                <w:szCs w:val="20"/>
                <w:lang w:val="en-AU" w:eastAsia="en-AU"/>
              </w:rPr>
            </w:pPr>
            <w:r w:rsidRPr="00A04156">
              <w:rPr>
                <w:rFonts w:ascii="Segoe UI" w:hAnsi="Segoe UI" w:cs="Segoe UI"/>
                <w:sz w:val="22"/>
                <w:szCs w:val="20"/>
                <w:lang w:val="en-AU" w:eastAsia="en-AU"/>
              </w:rPr>
              <w:t>Store Service Identifier</w:t>
            </w:r>
          </w:p>
        </w:tc>
      </w:tr>
      <w:tr w:rsidR="00C77509" w:rsidRPr="00A04156" w14:paraId="05281B31" w14:textId="77777777" w:rsidTr="00A04156">
        <w:tc>
          <w:tcPr>
            <w:cnfStyle w:val="001000000000" w:firstRow="0" w:lastRow="0" w:firstColumn="1" w:lastColumn="0" w:oddVBand="0" w:evenVBand="0" w:oddHBand="0" w:evenHBand="0" w:firstRowFirstColumn="0" w:firstRowLastColumn="0" w:lastRowFirstColumn="0" w:lastRowLastColumn="0"/>
            <w:tcW w:w="2965" w:type="dxa"/>
          </w:tcPr>
          <w:p w14:paraId="7C97A809" w14:textId="379E5308" w:rsidR="00C77509" w:rsidRPr="00A04156" w:rsidRDefault="00C77509" w:rsidP="00C77509">
            <w:pPr>
              <w:pStyle w:val="NormalWeb"/>
              <w:rPr>
                <w:rFonts w:ascii="Segoe UI" w:hAnsi="Segoe UI" w:cs="Segoe UI"/>
                <w:sz w:val="22"/>
                <w:szCs w:val="20"/>
                <w:lang w:val="en-AU" w:eastAsia="en-AU"/>
              </w:rPr>
            </w:pPr>
            <w:r w:rsidRPr="00A04156">
              <w:rPr>
                <w:rFonts w:ascii="Segoe UI" w:hAnsi="Segoe UI" w:cs="Segoe UI"/>
                <w:sz w:val="22"/>
                <w:szCs w:val="20"/>
                <w:lang w:val="en-AU" w:eastAsia="en-AU"/>
              </w:rPr>
              <w:t>Department Name</w:t>
            </w:r>
          </w:p>
        </w:tc>
        <w:tc>
          <w:tcPr>
            <w:tcW w:w="2787" w:type="dxa"/>
          </w:tcPr>
          <w:p w14:paraId="611665F7" w14:textId="43315EF5" w:rsidR="00C77509" w:rsidRPr="00A04156" w:rsidRDefault="00C77509" w:rsidP="00C7750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2"/>
                <w:szCs w:val="20"/>
                <w:lang w:val="en-AU" w:eastAsia="en-AU"/>
              </w:rPr>
            </w:pPr>
            <w:r w:rsidRPr="00A04156">
              <w:rPr>
                <w:rFonts w:ascii="Segoe UI" w:hAnsi="Segoe UI" w:cs="Segoe UI"/>
                <w:sz w:val="22"/>
                <w:szCs w:val="20"/>
                <w:lang w:val="en-AU" w:eastAsia="en-AU"/>
              </w:rPr>
              <w:t>Cost Center</w:t>
            </w:r>
          </w:p>
        </w:tc>
        <w:tc>
          <w:tcPr>
            <w:tcW w:w="3603" w:type="dxa"/>
          </w:tcPr>
          <w:p w14:paraId="3352A8F2" w14:textId="77777777" w:rsidR="00C77509" w:rsidRPr="00A04156" w:rsidRDefault="00C77509" w:rsidP="00C77509">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2"/>
                <w:szCs w:val="20"/>
                <w:lang w:val="en-AU" w:eastAsia="en-AU"/>
              </w:rPr>
            </w:pPr>
          </w:p>
        </w:tc>
      </w:tr>
    </w:tbl>
    <w:p w14:paraId="0A17999C" w14:textId="2DCBC1D2" w:rsidR="001D0BF7" w:rsidRDefault="00377E7F" w:rsidP="005729D2">
      <w:pPr>
        <w:pStyle w:val="Heading4Numbered"/>
        <w:numPr>
          <w:ilvl w:val="3"/>
          <w:numId w:val="64"/>
        </w:numPr>
      </w:pPr>
      <w:r>
        <w:t>Billing Visibility and R</w:t>
      </w:r>
      <w:r w:rsidR="001D0BF7">
        <w:t>ollup</w:t>
      </w:r>
    </w:p>
    <w:p w14:paraId="470E270B" w14:textId="397DE5A7" w:rsidR="001D0BF7" w:rsidRDefault="001D0BF7" w:rsidP="001D0BF7">
      <w:r w:rsidRPr="001D0BF7">
        <w:t>Under</w:t>
      </w:r>
      <w:r w:rsidR="00B26216" w:rsidRPr="001D0BF7">
        <w:t xml:space="preserve"> </w:t>
      </w:r>
      <w:r w:rsidR="00B26216" w:rsidRPr="002C058A">
        <w:rPr>
          <w:b/>
        </w:rPr>
        <w:t>Manage Access</w:t>
      </w:r>
      <w:r w:rsidR="00B26216" w:rsidRPr="001D0BF7">
        <w:t xml:space="preserve">, </w:t>
      </w:r>
      <w:r w:rsidR="00B26216">
        <w:t>it’s possible to</w:t>
      </w:r>
      <w:r w:rsidR="00B26216" w:rsidRPr="001D0BF7">
        <w:t xml:space="preserve"> enable Department Administrators to see the costs associated with all accounts and subscriptions in their departments. You can also enable Account owners to see their costs</w:t>
      </w:r>
      <w:r w:rsidRPr="001D0BF7">
        <w:t>.</w:t>
      </w:r>
    </w:p>
    <w:p w14:paraId="4D60037F" w14:textId="401F9DA0" w:rsidR="001D0BF7" w:rsidRDefault="001D0BF7" w:rsidP="001D0BF7">
      <w:r w:rsidRPr="001D0BF7">
        <w:rPr>
          <w:noProof/>
        </w:rPr>
        <w:drawing>
          <wp:inline distT="0" distB="0" distL="0" distR="0" wp14:anchorId="17EED71F" wp14:editId="40EED086">
            <wp:extent cx="5943600" cy="1956620"/>
            <wp:effectExtent l="0" t="0" r="0" b="5715"/>
            <wp:docPr id="3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87"/>
                    <a:srcRect b="15326"/>
                    <a:stretch/>
                  </pic:blipFill>
                  <pic:spPr bwMode="auto">
                    <a:xfrm>
                      <a:off x="0" y="0"/>
                      <a:ext cx="5943600" cy="1956620"/>
                    </a:xfrm>
                    <a:prstGeom prst="rect">
                      <a:avLst/>
                    </a:prstGeom>
                    <a:ln>
                      <a:noFill/>
                    </a:ln>
                    <a:extLst>
                      <a:ext uri="{53640926-AAD7-44D8-BBD7-CCE9431645EC}">
                        <a14:shadowObscured xmlns:a14="http://schemas.microsoft.com/office/drawing/2010/main"/>
                      </a:ext>
                    </a:extLst>
                  </pic:spPr>
                </pic:pic>
              </a:graphicData>
            </a:graphic>
          </wp:inline>
        </w:drawing>
      </w:r>
    </w:p>
    <w:p w14:paraId="417FC1B3" w14:textId="32CD2539" w:rsidR="000E0EAF" w:rsidRDefault="000E0EAF" w:rsidP="005729D2">
      <w:pPr>
        <w:pStyle w:val="Heading4Numbered"/>
        <w:numPr>
          <w:ilvl w:val="3"/>
          <w:numId w:val="64"/>
        </w:numPr>
      </w:pPr>
      <w:r>
        <w:t>Billing and ARM Tags</w:t>
      </w:r>
    </w:p>
    <w:p w14:paraId="147C927A" w14:textId="49F6F5EA" w:rsidR="000E0EAF" w:rsidRDefault="000E0EAF" w:rsidP="000E0EAF">
      <w:r w:rsidRPr="000E0EAF">
        <w:t xml:space="preserve">ARM tags can be used to group billing data where ARM-compliant Azure services allow defining and applying tags to organize the billing usage for Azure resources. As an example, if a customer organization is running multiple </w:t>
      </w:r>
      <w:r w:rsidR="00667304">
        <w:t>virtual machines</w:t>
      </w:r>
      <w:r w:rsidRPr="000E0EAF">
        <w:t xml:space="preserve"> for different organizations, tags can be used to group usage by cost center. Alternatively, tags can be used to categorize costs by runtime environment; for example, the billing usage for </w:t>
      </w:r>
      <w:r w:rsidR="00667304">
        <w:t>virtual machines</w:t>
      </w:r>
      <w:r w:rsidRPr="000E0EAF">
        <w:t xml:space="preserve"> running in production environment. Tags appear in billing and usage artifacts, such as usage CSV data or billing statements</w:t>
      </w:r>
      <w:r>
        <w:t xml:space="preserve">. </w:t>
      </w:r>
      <w:r w:rsidR="00667304">
        <w:t>For more information about A</w:t>
      </w:r>
      <w:r>
        <w:t>RM tags</w:t>
      </w:r>
      <w:r w:rsidR="00667304">
        <w:t xml:space="preserve">, see the respective section in this document.  </w:t>
      </w:r>
      <w:r>
        <w:t xml:space="preserve">The </w:t>
      </w:r>
      <w:r w:rsidR="00667304">
        <w:t xml:space="preserve">following example </w:t>
      </w:r>
      <w:r>
        <w:t>illustrates a sample scenario utilizing tags</w:t>
      </w:r>
      <w:r w:rsidR="00667304">
        <w:t>.</w:t>
      </w:r>
    </w:p>
    <w:p w14:paraId="3131C4DC" w14:textId="5EE15AF0" w:rsidR="000E0EAF" w:rsidRDefault="000E0EAF" w:rsidP="000E0EAF">
      <w:r>
        <w:rPr>
          <w:rFonts w:cs="Segoe UI"/>
          <w:noProof/>
          <w:color w:val="505050"/>
          <w:sz w:val="21"/>
          <w:szCs w:val="21"/>
        </w:rPr>
        <w:drawing>
          <wp:inline distT="0" distB="0" distL="0" distR="0" wp14:anchorId="066A868D" wp14:editId="24C27262">
            <wp:extent cx="5901267" cy="975784"/>
            <wp:effectExtent l="0" t="0" r="4445" b="0"/>
            <wp:docPr id="830832928" name="Picture 830832928" descr="See tags in bil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e tags in billi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52368" cy="984234"/>
                    </a:xfrm>
                    <a:prstGeom prst="rect">
                      <a:avLst/>
                    </a:prstGeom>
                    <a:noFill/>
                    <a:ln>
                      <a:noFill/>
                    </a:ln>
                  </pic:spPr>
                </pic:pic>
              </a:graphicData>
            </a:graphic>
          </wp:inline>
        </w:drawing>
      </w:r>
    </w:p>
    <w:p w14:paraId="2B171811" w14:textId="77777777" w:rsidR="000E0EAF" w:rsidRDefault="000E0EAF" w:rsidP="000E0EAF"/>
    <w:p w14:paraId="43C48C81" w14:textId="2F7FFEFE" w:rsidR="000E0EAF" w:rsidRDefault="000E0EAF" w:rsidP="005729D2">
      <w:pPr>
        <w:pStyle w:val="Heading4Numbered"/>
        <w:numPr>
          <w:ilvl w:val="3"/>
          <w:numId w:val="64"/>
        </w:numPr>
      </w:pPr>
      <w:r>
        <w:t>Billing and CSP Model</w:t>
      </w:r>
    </w:p>
    <w:p w14:paraId="0EFDE4EB" w14:textId="3A4F5FDD" w:rsidR="0087585F" w:rsidRDefault="0087585F" w:rsidP="0087585F">
      <w:pPr>
        <w:jc w:val="both"/>
      </w:pPr>
      <w:r>
        <w:t>The Microsoft Cloud Service Provider (CSP) program allows service providers to own the complete customer lifecycle</w:t>
      </w:r>
      <w:r w:rsidR="00667304">
        <w:t>,</w:t>
      </w:r>
      <w:r>
        <w:t xml:space="preserve"> including direct billing. The service providers are able to implement their own pricing and billing policies </w:t>
      </w:r>
      <w:r w:rsidR="00667304">
        <w:t>to</w:t>
      </w:r>
      <w:r>
        <w:t xml:space="preserve"> create customer offer</w:t>
      </w:r>
      <w:r w:rsidR="00667304">
        <w:t>s</w:t>
      </w:r>
      <w:r>
        <w:t xml:space="preserve">, set the price, and own the billing terms. </w:t>
      </w:r>
      <w:r w:rsidRPr="0025447B">
        <w:t xml:space="preserve">CSP </w:t>
      </w:r>
      <w:r w:rsidR="00667304">
        <w:t>p</w:t>
      </w:r>
      <w:r w:rsidRPr="0025447B">
        <w:t xml:space="preserve">artners </w:t>
      </w:r>
      <w:r>
        <w:t xml:space="preserve">can </w:t>
      </w:r>
      <w:r w:rsidRPr="0025447B">
        <w:t xml:space="preserve">automatically receive monthly invoices and </w:t>
      </w:r>
      <w:r>
        <w:t>billing statements and incorporate incurred costs into their billing accounting for value-added services they provide to their customers</w:t>
      </w:r>
      <w:r w:rsidRPr="0025447B">
        <w:t>.</w:t>
      </w:r>
    </w:p>
    <w:p w14:paraId="3AB6CBA9" w14:textId="482D5AB6" w:rsidR="000E0EAF" w:rsidRDefault="000E0EAF" w:rsidP="000E0EAF"/>
    <w:p w14:paraId="758954BF" w14:textId="2230FF3E" w:rsidR="003D305B" w:rsidRDefault="003D305B" w:rsidP="005729D2">
      <w:pPr>
        <w:pStyle w:val="Heading4Numbered"/>
        <w:numPr>
          <w:ilvl w:val="3"/>
          <w:numId w:val="64"/>
        </w:numPr>
      </w:pPr>
      <w:r>
        <w:t>Microsoft Azure Pricing Models</w:t>
      </w:r>
    </w:p>
    <w:p w14:paraId="45E4E0D3" w14:textId="5132C21C" w:rsidR="00667304" w:rsidRDefault="00BA74C2" w:rsidP="00667304">
      <w:r>
        <w:t>Pricing</w:t>
      </w:r>
      <w:bookmarkStart w:id="1457" w:name="_Toc418000588"/>
      <w:bookmarkStart w:id="1458" w:name="_Toc418003730"/>
      <w:bookmarkStart w:id="1459" w:name="_Toc418011938"/>
      <w:bookmarkStart w:id="1460" w:name="_Toc418014586"/>
      <w:r w:rsidR="00667304">
        <w:t xml:space="preserve"> for pay-as-you-go subscriptions is based on the </w:t>
      </w:r>
      <w:hyperlink r:id="rId89" w:history="1">
        <w:r w:rsidR="00667304" w:rsidRPr="00BA74C2">
          <w:rPr>
            <w:rStyle w:val="Hyperlink"/>
          </w:rPr>
          <w:t>Pricing details</w:t>
        </w:r>
      </w:hyperlink>
      <w:r w:rsidR="00667304">
        <w:t xml:space="preserve"> page. Each service is listed on an individual page, so it may be best to use the </w:t>
      </w:r>
      <w:hyperlink r:id="rId90" w:history="1">
        <w:r w:rsidR="00667304" w:rsidRPr="00BA74C2">
          <w:rPr>
            <w:rStyle w:val="Hyperlink"/>
          </w:rPr>
          <w:t>Pricing Calculator</w:t>
        </w:r>
      </w:hyperlink>
      <w:r w:rsidR="00667304">
        <w:t xml:space="preserve"> for the majority of cost estimating.</w:t>
      </w:r>
    </w:p>
    <w:p w14:paraId="7891C6EB" w14:textId="77777777" w:rsidR="00667304" w:rsidRDefault="00667304" w:rsidP="00667304">
      <w:r>
        <w:t xml:space="preserve">For MSDN subscribers, Partner Network, and BizSpark accounts the pricing may differ from the pay-as-you-go model, for more information on these types of accounts, use the </w:t>
      </w:r>
      <w:hyperlink r:id="rId91" w:history="1">
        <w:r w:rsidRPr="00BA74C2">
          <w:rPr>
            <w:rStyle w:val="Hyperlink"/>
          </w:rPr>
          <w:t>Member Offers</w:t>
        </w:r>
      </w:hyperlink>
      <w:r>
        <w:t xml:space="preserve"> page as a resource.</w:t>
      </w:r>
    </w:p>
    <w:p w14:paraId="567CC7D4" w14:textId="0B8919D0" w:rsidR="00BA74C2" w:rsidRDefault="00667304" w:rsidP="00667304">
      <w:r>
        <w:t xml:space="preserve">Enterprise account pricing differs based on commitment and other variables. The </w:t>
      </w:r>
      <w:hyperlink r:id="rId92" w:history="1">
        <w:r w:rsidRPr="00BA74C2">
          <w:rPr>
            <w:rStyle w:val="Hyperlink"/>
          </w:rPr>
          <w:t>Licensing Azure for the Enterprise</w:t>
        </w:r>
      </w:hyperlink>
      <w:r>
        <w:t xml:space="preserve"> page reviews some of the benefits of this type of agreement. For more details about the Enterprise account pricing model, the </w:t>
      </w:r>
      <w:hyperlink r:id="rId93" w:history="1">
        <w:r w:rsidRPr="00A44E22">
          <w:rPr>
            <w:rStyle w:val="Hyperlink"/>
          </w:rPr>
          <w:t>Pricing Overview for Microsoft Azure in Enterprise Programs document</w:t>
        </w:r>
      </w:hyperlink>
      <w:r>
        <w:t xml:space="preserve"> is a great resource</w:t>
      </w:r>
      <w:r w:rsidR="00A44E22">
        <w:t>.</w:t>
      </w:r>
    </w:p>
    <w:p w14:paraId="6C2F15F0" w14:textId="7EA120F9" w:rsidR="00062059" w:rsidRDefault="00062059" w:rsidP="005729D2">
      <w:pPr>
        <w:pStyle w:val="Heading2Numbered"/>
        <w:numPr>
          <w:ilvl w:val="1"/>
          <w:numId w:val="64"/>
        </w:numPr>
      </w:pPr>
      <w:bookmarkStart w:id="1461" w:name="_Toc418029922"/>
      <w:bookmarkStart w:id="1462" w:name="_Toc418036858"/>
      <w:bookmarkStart w:id="1463" w:name="_Toc418061323"/>
      <w:bookmarkStart w:id="1464" w:name="_Toc418080672"/>
      <w:bookmarkStart w:id="1465" w:name="_Toc418081845"/>
      <w:bookmarkStart w:id="1466" w:name="_Toc418083247"/>
      <w:bookmarkStart w:id="1467" w:name="_Toc418095467"/>
      <w:bookmarkStart w:id="1468" w:name="_Toc418156639"/>
      <w:bookmarkStart w:id="1469" w:name="_Toc418167557"/>
      <w:bookmarkStart w:id="1470" w:name="_Toc418185814"/>
      <w:bookmarkStart w:id="1471" w:name="_Toc422941522"/>
      <w:bookmarkStart w:id="1472" w:name="_Toc423116728"/>
      <w:bookmarkStart w:id="1473" w:name="_Toc423117761"/>
      <w:bookmarkStart w:id="1474" w:name="_Toc423117211"/>
      <w:bookmarkStart w:id="1475" w:name="_Toc431288797"/>
      <w:r>
        <w:t>Azure Accounts</w:t>
      </w:r>
      <w:bookmarkEnd w:id="1457"/>
      <w:bookmarkEnd w:id="1458"/>
      <w:bookmarkEnd w:id="1459"/>
      <w:r w:rsidR="00671DB1">
        <w:t xml:space="preserve"> and Access</w:t>
      </w:r>
      <w:bookmarkEnd w:id="1460"/>
      <w:r w:rsidR="00B95BAF">
        <w:t xml:space="preserve"> Permissions</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0546752E" w14:textId="082FF2FB" w:rsidR="00E76680" w:rsidRDefault="00E76680" w:rsidP="005729D2">
      <w:pPr>
        <w:pStyle w:val="Heading3Numbered"/>
        <w:numPr>
          <w:ilvl w:val="2"/>
          <w:numId w:val="64"/>
        </w:numPr>
      </w:pPr>
      <w:bookmarkStart w:id="1476" w:name="_Toc418029923"/>
      <w:bookmarkStart w:id="1477" w:name="_Toc418036859"/>
      <w:bookmarkStart w:id="1478" w:name="_Toc418061324"/>
      <w:bookmarkStart w:id="1479" w:name="_Toc418080673"/>
      <w:bookmarkStart w:id="1480" w:name="_Toc418081846"/>
      <w:bookmarkStart w:id="1481" w:name="_Toc418083248"/>
      <w:bookmarkStart w:id="1482" w:name="_Toc418095468"/>
      <w:bookmarkStart w:id="1483" w:name="_Toc418156640"/>
      <w:bookmarkStart w:id="1484" w:name="_Toc418167558"/>
      <w:bookmarkStart w:id="1485" w:name="_Toc418185815"/>
      <w:bookmarkStart w:id="1486" w:name="_Toc422941523"/>
      <w:bookmarkStart w:id="1487" w:name="_Toc423116729"/>
      <w:bookmarkStart w:id="1488" w:name="_Toc423117762"/>
      <w:bookmarkStart w:id="1489" w:name="_Toc423117212"/>
      <w:bookmarkStart w:id="1490" w:name="_Toc431288798"/>
      <w:bookmarkStart w:id="1491" w:name="_Toc414712176"/>
      <w:bookmarkStart w:id="1492" w:name="_Toc415735510"/>
      <w:bookmarkStart w:id="1493" w:name="_Toc415814091"/>
      <w:bookmarkStart w:id="1494" w:name="_Toc416343826"/>
      <w:bookmarkStart w:id="1495" w:name="_Toc416863097"/>
      <w:bookmarkStart w:id="1496" w:name="_Toc417314703"/>
      <w:bookmarkStart w:id="1497" w:name="_Toc417323720"/>
      <w:bookmarkStart w:id="1498" w:name="_Toc417326809"/>
      <w:bookmarkStart w:id="1499" w:name="_Toc417330357"/>
      <w:bookmarkStart w:id="1500" w:name="_Toc417394963"/>
      <w:bookmarkStart w:id="1501" w:name="_Toc417399180"/>
      <w:bookmarkStart w:id="1502" w:name="_Toc417399339"/>
      <w:bookmarkStart w:id="1503" w:name="_Toc417400386"/>
      <w:bookmarkStart w:id="1504" w:name="_Toc417401234"/>
      <w:bookmarkStart w:id="1505" w:name="_Toc417419547"/>
      <w:bookmarkStart w:id="1506" w:name="_Toc417457319"/>
      <w:bookmarkStart w:id="1507" w:name="_Toc417481897"/>
      <w:bookmarkStart w:id="1508" w:name="_Toc417482155"/>
      <w:bookmarkStart w:id="1509" w:name="_Toc417499874"/>
      <w:bookmarkStart w:id="1510" w:name="_Toc417502696"/>
      <w:bookmarkStart w:id="1511" w:name="_Toc417548236"/>
      <w:bookmarkStart w:id="1512" w:name="_Toc417594468"/>
      <w:bookmarkStart w:id="1513" w:name="_Toc417934368"/>
      <w:bookmarkStart w:id="1514" w:name="_Toc417935707"/>
      <w:bookmarkStart w:id="1515" w:name="_Toc417936169"/>
      <w:bookmarkStart w:id="1516" w:name="_Toc417946824"/>
      <w:bookmarkStart w:id="1517" w:name="_Toc417947068"/>
      <w:bookmarkStart w:id="1518" w:name="_Toc417982441"/>
      <w:bookmarkStart w:id="1519" w:name="_Toc417985865"/>
      <w:bookmarkStart w:id="1520" w:name="_Toc418000589"/>
      <w:bookmarkStart w:id="1521" w:name="_Toc418003731"/>
      <w:bookmarkStart w:id="1522" w:name="_Toc418011939"/>
      <w:r>
        <w:t>Account Types</w:t>
      </w:r>
      <w:r w:rsidR="00BB4F07">
        <w:t xml:space="preserve"> and Directory Source</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02E99BF5" w14:textId="70E96510" w:rsidR="00BB4F07" w:rsidRPr="00BB4F07" w:rsidRDefault="00BB4F07" w:rsidP="005729D2">
      <w:pPr>
        <w:pStyle w:val="Heading4Numbered"/>
        <w:numPr>
          <w:ilvl w:val="3"/>
          <w:numId w:val="64"/>
        </w:numPr>
      </w:pPr>
      <w:r>
        <w:t>Azure Active Directory</w:t>
      </w:r>
      <w:r w:rsidR="00955980">
        <w:t xml:space="preserve"> Accounts</w:t>
      </w:r>
    </w:p>
    <w:p w14:paraId="50381D70" w14:textId="3D6C318F" w:rsidR="00DD54D5" w:rsidRPr="004E0D6D" w:rsidRDefault="00BB4F07" w:rsidP="00DD54D5">
      <w:r w:rsidRPr="004E0D6D">
        <w:rPr>
          <w:rFonts w:eastAsia="Segoe UI" w:cs="Segoe UI"/>
        </w:rPr>
        <w:t>Azure</w:t>
      </w:r>
      <w:r w:rsidR="00DD54D5" w:rsidRPr="004E0D6D">
        <w:rPr>
          <w:rFonts w:eastAsia="Segoe UI" w:cs="Segoe UI"/>
        </w:rPr>
        <w:t xml:space="preserve"> Active Directory</w:t>
      </w:r>
      <w:r w:rsidR="00DD54D5">
        <w:rPr>
          <w:rFonts w:eastAsia="Segoe UI" w:cs="Segoe UI"/>
        </w:rPr>
        <w:t xml:space="preserve"> (Azure AD)</w:t>
      </w:r>
      <w:r w:rsidR="00DD54D5" w:rsidRPr="004E0D6D">
        <w:rPr>
          <w:rFonts w:eastAsia="Segoe UI" w:cs="Segoe UI"/>
        </w:rPr>
        <w:t xml:space="preserve"> is </w:t>
      </w:r>
      <w:r w:rsidR="00DD54D5">
        <w:rPr>
          <w:rFonts w:eastAsia="Segoe UI" w:cs="Segoe UI"/>
        </w:rPr>
        <w:t xml:space="preserve">the </w:t>
      </w:r>
      <w:r w:rsidR="00DD54D5" w:rsidRPr="004E0D6D">
        <w:rPr>
          <w:rFonts w:eastAsia="Segoe UI" w:cs="Segoe UI"/>
        </w:rPr>
        <w:t xml:space="preserve">standalone directory service within Azure. Customers can create their administrative structure within Azure </w:t>
      </w:r>
      <w:r w:rsidR="00DD54D5">
        <w:rPr>
          <w:rFonts w:eastAsia="Segoe UI" w:cs="Segoe UI"/>
        </w:rPr>
        <w:t>AD</w:t>
      </w:r>
      <w:r w:rsidR="00DD54D5" w:rsidRPr="004E0D6D">
        <w:rPr>
          <w:rFonts w:eastAsia="Segoe UI" w:cs="Segoe UI"/>
        </w:rPr>
        <w:t xml:space="preserve"> by defining their users and groups. This service can work on its own, because </w:t>
      </w:r>
      <w:r w:rsidR="00DD54D5">
        <w:rPr>
          <w:rFonts w:eastAsia="Segoe UI" w:cs="Segoe UI"/>
        </w:rPr>
        <w:t>Azure AD</w:t>
      </w:r>
      <w:r w:rsidR="00DD54D5" w:rsidRPr="004E0D6D">
        <w:rPr>
          <w:rFonts w:eastAsia="Segoe UI" w:cs="Segoe UI"/>
        </w:rPr>
        <w:t xml:space="preserve"> can perform authentication without integrating with an on-premises directory. </w:t>
      </w:r>
    </w:p>
    <w:p w14:paraId="13CE26CF" w14:textId="77777777" w:rsidR="00DD54D5" w:rsidRPr="004E0D6D" w:rsidRDefault="00DD54D5" w:rsidP="00DD54D5">
      <w:r w:rsidRPr="004E0D6D">
        <w:rPr>
          <w:rFonts w:eastAsia="Segoe UI" w:cs="Segoe UI"/>
        </w:rPr>
        <w:t xml:space="preserve">On the other hand, organizations can choose to synchronize </w:t>
      </w:r>
      <w:r>
        <w:rPr>
          <w:rFonts w:eastAsia="Segoe UI" w:cs="Segoe UI"/>
        </w:rPr>
        <w:t>Azure AD</w:t>
      </w:r>
      <w:r w:rsidRPr="004E0D6D">
        <w:rPr>
          <w:rFonts w:eastAsia="Segoe UI" w:cs="Segoe UI"/>
        </w:rPr>
        <w:t xml:space="preserve"> with their users and groups from an on-premises Active Directory to Azure </w:t>
      </w:r>
      <w:r>
        <w:rPr>
          <w:rFonts w:eastAsia="Segoe UI" w:cs="Segoe UI"/>
        </w:rPr>
        <w:t>AD</w:t>
      </w:r>
      <w:r w:rsidRPr="004E0D6D">
        <w:rPr>
          <w:rFonts w:eastAsia="Segoe UI" w:cs="Segoe UI"/>
        </w:rPr>
        <w:t xml:space="preserve">. This syncing effort rapidly provides </w:t>
      </w:r>
      <w:r>
        <w:rPr>
          <w:rFonts w:eastAsia="Segoe UI" w:cs="Segoe UI"/>
        </w:rPr>
        <w:t>availability to</w:t>
      </w:r>
      <w:r w:rsidRPr="004E0D6D">
        <w:rPr>
          <w:rFonts w:eastAsia="Segoe UI" w:cs="Segoe UI"/>
        </w:rPr>
        <w:t xml:space="preserve"> resources within Azure</w:t>
      </w:r>
      <w:r>
        <w:rPr>
          <w:rFonts w:eastAsia="Segoe UI" w:cs="Segoe UI"/>
        </w:rPr>
        <w:t xml:space="preserve"> for</w:t>
      </w:r>
      <w:r w:rsidRPr="004E0D6D">
        <w:rPr>
          <w:rFonts w:eastAsia="Segoe UI" w:cs="Segoe UI"/>
        </w:rPr>
        <w:t xml:space="preserve"> on-premises users and groups.</w:t>
      </w:r>
    </w:p>
    <w:p w14:paraId="40F4BE29" w14:textId="66B393DC" w:rsidR="00BB4F07" w:rsidRPr="00BB4F07" w:rsidRDefault="00DD54D5" w:rsidP="00DD54D5">
      <w:r w:rsidRPr="004E0D6D">
        <w:rPr>
          <w:rFonts w:eastAsia="Segoe UI" w:cs="Segoe UI"/>
        </w:rPr>
        <w:t xml:space="preserve">All users </w:t>
      </w:r>
      <w:r>
        <w:rPr>
          <w:rFonts w:eastAsia="Segoe UI" w:cs="Segoe UI"/>
        </w:rPr>
        <w:t>who</w:t>
      </w:r>
      <w:r w:rsidRPr="004E0D6D">
        <w:rPr>
          <w:rFonts w:eastAsia="Segoe UI" w:cs="Segoe UI"/>
        </w:rPr>
        <w:t xml:space="preserve"> access the organization</w:t>
      </w:r>
      <w:r>
        <w:rPr>
          <w:rFonts w:eastAsia="Segoe UI" w:cs="Segoe UI"/>
        </w:rPr>
        <w:t>’</w:t>
      </w:r>
      <w:r w:rsidRPr="004E0D6D">
        <w:rPr>
          <w:rFonts w:eastAsia="Segoe UI" w:cs="Segoe UI"/>
        </w:rPr>
        <w:t xml:space="preserve">s Azure subscriptions, are now present in the Azure </w:t>
      </w:r>
      <w:r>
        <w:rPr>
          <w:rFonts w:eastAsia="Segoe UI" w:cs="Segoe UI"/>
        </w:rPr>
        <w:t>AD</w:t>
      </w:r>
      <w:r w:rsidRPr="004E0D6D">
        <w:rPr>
          <w:rFonts w:eastAsia="Segoe UI" w:cs="Segoe UI"/>
        </w:rPr>
        <w:t>, which the subscription is associated with. This enables the company to manage what the users can access</w:t>
      </w:r>
      <w:r>
        <w:rPr>
          <w:rFonts w:eastAsia="Segoe UI" w:cs="Segoe UI"/>
        </w:rPr>
        <w:t>,</w:t>
      </w:r>
      <w:r w:rsidRPr="004E0D6D">
        <w:rPr>
          <w:rFonts w:eastAsia="Segoe UI" w:cs="Segoe UI"/>
        </w:rPr>
        <w:t xml:space="preserve"> or </w:t>
      </w:r>
      <w:r>
        <w:rPr>
          <w:rFonts w:eastAsia="Segoe UI" w:cs="Segoe UI"/>
        </w:rPr>
        <w:t xml:space="preserve">to </w:t>
      </w:r>
      <w:r w:rsidRPr="004E0D6D">
        <w:rPr>
          <w:rFonts w:eastAsia="Segoe UI" w:cs="Segoe UI"/>
        </w:rPr>
        <w:t>revoke access to Azure by disabling the account in the directory</w:t>
      </w:r>
      <w:r w:rsidR="00BB4F07" w:rsidRPr="004E0D6D">
        <w:rPr>
          <w:rFonts w:eastAsia="Segoe UI" w:cs="Segoe UI"/>
        </w:rPr>
        <w:t>.</w:t>
      </w:r>
      <w:r w:rsidR="00BB4F07" w:rsidRPr="00BB4F07">
        <w:rPr>
          <w:rFonts w:eastAsia="Segoe UI" w:cs="Segoe UI"/>
          <w:color w:val="555555"/>
        </w:rPr>
        <w:t xml:space="preserve"> </w:t>
      </w:r>
    </w:p>
    <w:p w14:paraId="78692286" w14:textId="2B7B7091" w:rsidR="00E76680" w:rsidRDefault="00E76680" w:rsidP="005729D2">
      <w:pPr>
        <w:pStyle w:val="Heading4Numbered"/>
        <w:numPr>
          <w:ilvl w:val="3"/>
          <w:numId w:val="64"/>
        </w:numPr>
      </w:pPr>
      <w:r>
        <w:t>Microsoft Accounts</w:t>
      </w:r>
    </w:p>
    <w:p w14:paraId="092124CE" w14:textId="49B7BC6D" w:rsidR="00DD54D5" w:rsidRDefault="003B10CA" w:rsidP="00DD54D5">
      <w:r w:rsidRPr="71D89587">
        <w:t>The</w:t>
      </w:r>
      <w:r w:rsidR="00DD54D5" w:rsidRPr="71D89587">
        <w:t xml:space="preserve"> creation of Microsoft </w:t>
      </w:r>
      <w:r w:rsidR="00DD54D5">
        <w:t>a</w:t>
      </w:r>
      <w:r w:rsidR="00DD54D5" w:rsidRPr="71D89587">
        <w:t xml:space="preserve">ccounts </w:t>
      </w:r>
      <w:r w:rsidR="00F04A7D" w:rsidRPr="71D89587">
        <w:t>is</w:t>
      </w:r>
      <w:r w:rsidR="00DD54D5" w:rsidRPr="71D89587">
        <w:t xml:space="preserve"> </w:t>
      </w:r>
      <w:r w:rsidR="00DD54D5">
        <w:t xml:space="preserve">typically </w:t>
      </w:r>
      <w:r w:rsidR="00DD54D5" w:rsidRPr="71D89587">
        <w:t xml:space="preserve">controlled by </w:t>
      </w:r>
      <w:r w:rsidR="00DD54D5">
        <w:t>the users</w:t>
      </w:r>
      <w:r w:rsidR="00DD54D5" w:rsidRPr="71D89587">
        <w:t xml:space="preserve"> and not by the </w:t>
      </w:r>
      <w:r w:rsidR="00DD54D5">
        <w:t>organization</w:t>
      </w:r>
      <w:r w:rsidR="00DD54D5" w:rsidRPr="71D89587">
        <w:t xml:space="preserve">. </w:t>
      </w:r>
      <w:r w:rsidR="00DD54D5">
        <w:t>With an Azure subscription, we recommend using Organization Accounts where possible to provide access to resources.</w:t>
      </w:r>
    </w:p>
    <w:p w14:paraId="578DA4E3" w14:textId="77777777" w:rsidR="00DD54D5" w:rsidRDefault="00DD54D5" w:rsidP="00DD54D5">
      <w:r>
        <w:t xml:space="preserve">When creating Microsoft Accounts, we </w:t>
      </w:r>
      <w:r w:rsidRPr="71D89587">
        <w:t>recommend establish</w:t>
      </w:r>
      <w:r>
        <w:t>ing</w:t>
      </w:r>
      <w:r w:rsidRPr="71D89587">
        <w:t xml:space="preserve"> guidelines that will be used within the organization. </w:t>
      </w:r>
    </w:p>
    <w:p w14:paraId="6FFB7F30" w14:textId="77777777" w:rsidR="00DD54D5" w:rsidRDefault="00DD54D5" w:rsidP="00DD54D5">
      <w:r w:rsidRPr="71D89587">
        <w:t xml:space="preserve">Do not allow the use of </w:t>
      </w:r>
      <w:r>
        <w:t>existing</w:t>
      </w:r>
      <w:r w:rsidRPr="71D89587">
        <w:t xml:space="preserve"> personal </w:t>
      </w:r>
      <w:r>
        <w:t>Microsoft A</w:t>
      </w:r>
      <w:r w:rsidRPr="71D89587">
        <w:t xml:space="preserve">ccounts. </w:t>
      </w:r>
      <w:r>
        <w:t>Depending on the individual permissions, these</w:t>
      </w:r>
      <w:r w:rsidRPr="71D89587">
        <w:t xml:space="preserve"> accounts </w:t>
      </w:r>
      <w:r>
        <w:t>may be tied to the</w:t>
      </w:r>
      <w:r w:rsidRPr="71D89587">
        <w:t xml:space="preserve"> compan</w:t>
      </w:r>
      <w:r>
        <w:t>y</w:t>
      </w:r>
      <w:r w:rsidRPr="71D89587">
        <w:t xml:space="preserve"> Azure </w:t>
      </w:r>
      <w:r>
        <w:t>subscriptions</w:t>
      </w:r>
      <w:r w:rsidRPr="71D89587">
        <w:t xml:space="preserve">, </w:t>
      </w:r>
      <w:r>
        <w:t xml:space="preserve">and have access to storage accounts </w:t>
      </w:r>
      <w:r w:rsidRPr="71D89587">
        <w:t>and billing information.</w:t>
      </w:r>
      <w:r w:rsidRPr="71D89587" w:rsidDel="00F9050E">
        <w:t xml:space="preserve"> </w:t>
      </w:r>
    </w:p>
    <w:p w14:paraId="1E4B55C4" w14:textId="77777777" w:rsidR="00DD54D5" w:rsidRDefault="00DD54D5" w:rsidP="00DD54D5">
      <w:r w:rsidRPr="71D89587">
        <w:t xml:space="preserve">A Microsoft account is mapped to a person and </w:t>
      </w:r>
      <w:r>
        <w:t xml:space="preserve">it </w:t>
      </w:r>
      <w:r w:rsidRPr="71D89587">
        <w:t>should be formatted to identify the user</w:t>
      </w:r>
      <w:r>
        <w:t>,</w:t>
      </w:r>
      <w:r w:rsidRPr="71D89587">
        <w:t xml:space="preserve"> </w:t>
      </w:r>
      <w:r>
        <w:t>f</w:t>
      </w:r>
      <w:r w:rsidRPr="71D89587">
        <w:t xml:space="preserve">or example: </w:t>
      </w:r>
      <w:hyperlink r:id="rId94">
        <w:r w:rsidRPr="71D89587">
          <w:rPr>
            <w:rStyle w:val="Hyperlink"/>
          </w:rPr>
          <w:t>FirstName.LastName.xyz@outlook.com</w:t>
        </w:r>
      </w:hyperlink>
      <w:r w:rsidRPr="71D89587">
        <w:t xml:space="preserve"> and not </w:t>
      </w:r>
      <w:hyperlink r:id="rId95">
        <w:r w:rsidRPr="71D89587">
          <w:rPr>
            <w:rStyle w:val="Hyperlink"/>
          </w:rPr>
          <w:t>alias2763@outlook.com</w:t>
        </w:r>
      </w:hyperlink>
      <w:r w:rsidRPr="71D89587">
        <w:t xml:space="preserve">. </w:t>
      </w:r>
    </w:p>
    <w:p w14:paraId="4B260776" w14:textId="77777777" w:rsidR="00DD54D5" w:rsidRDefault="00DD54D5" w:rsidP="00DD54D5">
      <w:r>
        <w:t>The reason for using specific naming for the Microsoft Accounts is that at</w:t>
      </w:r>
      <w:r w:rsidRPr="71D89587">
        <w:t xml:space="preserve"> the time </w:t>
      </w:r>
      <w:r>
        <w:t>the account is</w:t>
      </w:r>
      <w:r w:rsidRPr="71D89587">
        <w:t xml:space="preserve"> creat</w:t>
      </w:r>
      <w:r>
        <w:t>ed, the</w:t>
      </w:r>
      <w:r w:rsidRPr="71D89587">
        <w:t xml:space="preserve"> identity</w:t>
      </w:r>
      <w:r>
        <w:t xml:space="preserve"> of the user</w:t>
      </w:r>
      <w:r w:rsidRPr="71D89587">
        <w:t xml:space="preserve"> may be known</w:t>
      </w:r>
      <w:r>
        <w:t>. H</w:t>
      </w:r>
      <w:r w:rsidRPr="71D89587">
        <w:t>owever, as time goes on and roles change within the company</w:t>
      </w:r>
      <w:r>
        <w:t>,</w:t>
      </w:r>
      <w:r w:rsidRPr="71D89587">
        <w:t xml:space="preserve"> </w:t>
      </w:r>
      <w:r>
        <w:t xml:space="preserve">accounts may be difficult to identify. </w:t>
      </w:r>
    </w:p>
    <w:p w14:paraId="0ED5577D" w14:textId="0CF909BF" w:rsidR="003B10CA" w:rsidRDefault="00DD54D5" w:rsidP="00DD54D5">
      <w:r>
        <w:t>In the previous example, the xyz after FirstName.LastName is optional, and it could be used for any number of things, such as environment name, development, lab, or organization name, if that is preferred</w:t>
      </w:r>
      <w:r w:rsidR="003B10CA">
        <w:t xml:space="preserve">. </w:t>
      </w:r>
    </w:p>
    <w:p w14:paraId="399A2B0A" w14:textId="399324C7" w:rsidR="00E76680" w:rsidRPr="00E76680" w:rsidRDefault="00E76680" w:rsidP="005729D2">
      <w:pPr>
        <w:pStyle w:val="Heading4Numbered"/>
        <w:numPr>
          <w:ilvl w:val="3"/>
          <w:numId w:val="64"/>
        </w:numPr>
      </w:pPr>
      <w:r>
        <w:t>Organization</w:t>
      </w:r>
      <w:r w:rsidR="00955980">
        <w:t>al</w:t>
      </w:r>
      <w:r>
        <w:t xml:space="preserve"> Accounts</w:t>
      </w:r>
    </w:p>
    <w:p w14:paraId="25642400" w14:textId="0E443DD1" w:rsidR="00DD54D5" w:rsidRDefault="003B10CA" w:rsidP="00DD54D5">
      <w:bookmarkStart w:id="1523" w:name="_Toc418029924"/>
      <w:r>
        <w:t>Using</w:t>
      </w:r>
      <w:r w:rsidR="00DD54D5">
        <w:t xml:space="preserve"> Organizational Accounts for managing an Azure subscription is recommended over Microsoft Accounts for various reasons.</w:t>
      </w:r>
    </w:p>
    <w:p w14:paraId="0DC5DF3B" w14:textId="77777777" w:rsidR="00DD54D5" w:rsidRDefault="00DD54D5" w:rsidP="00DD54D5">
      <w:r>
        <w:t>The main reason is that the organization has more control over access for adding administrators and removing access when an employee is no longer with the company.</w:t>
      </w:r>
    </w:p>
    <w:p w14:paraId="5B84BE95" w14:textId="7B119BFE" w:rsidR="00534A00" w:rsidRPr="00534A00" w:rsidRDefault="00DD54D5" w:rsidP="00DD54D5">
      <w:r>
        <w:t>Additionally, many of the newer Azure services offerings are relying heavily on Organizational Accounts. In some cases, having existing Microsoft Accounts tied to services prior to switching to Organizational Accounts can cause issues with the respective tenant IDs</w:t>
      </w:r>
      <w:r w:rsidR="003B10CA">
        <w:t>.</w:t>
      </w:r>
    </w:p>
    <w:p w14:paraId="30BDB36A" w14:textId="067AE9EB" w:rsidR="00E76680" w:rsidRDefault="00E76680" w:rsidP="005729D2">
      <w:pPr>
        <w:pStyle w:val="Heading3Numbered"/>
        <w:numPr>
          <w:ilvl w:val="2"/>
          <w:numId w:val="64"/>
        </w:numPr>
      </w:pPr>
      <w:bookmarkStart w:id="1524" w:name="_Toc418036860"/>
      <w:bookmarkStart w:id="1525" w:name="_Toc418061325"/>
      <w:bookmarkStart w:id="1526" w:name="_Toc418080674"/>
      <w:bookmarkStart w:id="1527" w:name="_Toc418081847"/>
      <w:bookmarkStart w:id="1528" w:name="_Toc418083249"/>
      <w:bookmarkStart w:id="1529" w:name="_Toc418095469"/>
      <w:bookmarkStart w:id="1530" w:name="_Toc418156641"/>
      <w:bookmarkStart w:id="1531" w:name="_Toc418167559"/>
      <w:bookmarkStart w:id="1532" w:name="_Toc418185816"/>
      <w:bookmarkStart w:id="1533" w:name="_Toc422941524"/>
      <w:bookmarkStart w:id="1534" w:name="_Toc423116730"/>
      <w:bookmarkStart w:id="1535" w:name="_Toc423117763"/>
      <w:bookmarkStart w:id="1536" w:name="_Toc423117213"/>
      <w:bookmarkStart w:id="1537" w:name="_Toc431288799"/>
      <w:r>
        <w:t>Access</w:t>
      </w:r>
      <w:r w:rsidR="00B95BAF">
        <w:t xml:space="preserve"> Permissions</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7876E79B" w14:textId="363F0B30" w:rsidR="009B54D1" w:rsidRDefault="009B54D1" w:rsidP="005729D2">
      <w:pPr>
        <w:pStyle w:val="Heading4Numbered"/>
        <w:numPr>
          <w:ilvl w:val="3"/>
          <w:numId w:val="64"/>
        </w:numPr>
      </w:pPr>
      <w:r>
        <w:t xml:space="preserve">Service </w:t>
      </w:r>
      <w:r w:rsidR="00671DB1">
        <w:t>Administrators</w:t>
      </w:r>
      <w:r>
        <w:t xml:space="preserve"> and Co-Administrators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535567BE" w14:textId="5CF425F4" w:rsidR="00DD54D5" w:rsidRDefault="009B54D1" w:rsidP="00DD54D5">
      <w:pPr>
        <w:rPr>
          <w:rFonts w:eastAsia="Times New Roman"/>
          <w:lang w:val="en"/>
        </w:rPr>
      </w:pPr>
      <w:r w:rsidRPr="003B10CA">
        <w:rPr>
          <w:rFonts w:eastAsia="Times New Roman"/>
          <w:lang w:val="en"/>
        </w:rPr>
        <w:t>A</w:t>
      </w:r>
      <w:r w:rsidR="00DD54D5" w:rsidRPr="003B10CA">
        <w:rPr>
          <w:rFonts w:eastAsia="Times New Roman"/>
          <w:lang w:val="en"/>
        </w:rPr>
        <w:t xml:space="preserve"> Microsoft Azure subscription and the associated resources can be accessed via the Azure Management </w:t>
      </w:r>
      <w:r w:rsidR="00DD54D5">
        <w:rPr>
          <w:rFonts w:eastAsia="Times New Roman"/>
          <w:lang w:val="en"/>
        </w:rPr>
        <w:t>p</w:t>
      </w:r>
      <w:r w:rsidR="00DD54D5" w:rsidRPr="003B10CA">
        <w:rPr>
          <w:rFonts w:eastAsia="Times New Roman"/>
          <w:lang w:val="en"/>
        </w:rPr>
        <w:t xml:space="preserve">ortal, </w:t>
      </w:r>
      <w:r w:rsidR="00DD54D5">
        <w:rPr>
          <w:rFonts w:eastAsia="Times New Roman"/>
          <w:lang w:val="en"/>
        </w:rPr>
        <w:t xml:space="preserve">Azure </w:t>
      </w:r>
      <w:r w:rsidR="00DD54D5" w:rsidRPr="003B10CA">
        <w:rPr>
          <w:rFonts w:eastAsia="Times New Roman"/>
          <w:lang w:val="en"/>
        </w:rPr>
        <w:t xml:space="preserve">PowerShell, Visual Studio, or other SDKs and tools. </w:t>
      </w:r>
      <w:r w:rsidR="00DD54D5">
        <w:rPr>
          <w:rFonts w:eastAsia="Times New Roman"/>
          <w:lang w:val="en"/>
        </w:rPr>
        <w:t>W</w:t>
      </w:r>
      <w:r w:rsidR="00DD54D5" w:rsidRPr="003B10CA">
        <w:rPr>
          <w:rFonts w:eastAsia="Times New Roman"/>
          <w:lang w:val="en"/>
        </w:rPr>
        <w:t xml:space="preserve">hen a subscription is created, a Service </w:t>
      </w:r>
      <w:r w:rsidR="00DD54D5">
        <w:rPr>
          <w:rFonts w:eastAsia="Times New Roman"/>
          <w:lang w:val="en"/>
        </w:rPr>
        <w:t>A</w:t>
      </w:r>
      <w:r w:rsidR="00DD54D5" w:rsidRPr="003B10CA">
        <w:rPr>
          <w:rFonts w:eastAsia="Times New Roman"/>
          <w:lang w:val="en"/>
        </w:rPr>
        <w:t xml:space="preserve">dministrator is assigned. The default Service </w:t>
      </w:r>
      <w:r w:rsidR="00DD54D5">
        <w:rPr>
          <w:rFonts w:eastAsia="Times New Roman"/>
          <w:lang w:val="en"/>
        </w:rPr>
        <w:t>A</w:t>
      </w:r>
      <w:r w:rsidR="00DD54D5" w:rsidRPr="003B10CA">
        <w:rPr>
          <w:rFonts w:eastAsia="Times New Roman"/>
          <w:lang w:val="en"/>
        </w:rPr>
        <w:t xml:space="preserve">dministrator is the same as the Account Administrator, </w:t>
      </w:r>
      <w:r w:rsidR="00DD54D5">
        <w:rPr>
          <w:rFonts w:eastAsia="Times New Roman"/>
          <w:lang w:val="en"/>
        </w:rPr>
        <w:t>who</w:t>
      </w:r>
      <w:r w:rsidR="00DD54D5" w:rsidRPr="003B10CA">
        <w:rPr>
          <w:rFonts w:eastAsia="Times New Roman"/>
          <w:lang w:val="en"/>
        </w:rPr>
        <w:t xml:space="preserve"> is also the contact person (via email) for the subscription. </w:t>
      </w:r>
    </w:p>
    <w:p w14:paraId="0C08C427" w14:textId="0E79CE0D" w:rsidR="009B54D1" w:rsidRPr="009E4A97" w:rsidRDefault="00DD54D5" w:rsidP="00DD54D5">
      <w:pPr>
        <w:rPr>
          <w:rFonts w:eastAsia="Times New Roman"/>
          <w:lang w:val="en"/>
        </w:rPr>
      </w:pPr>
      <w:r w:rsidRPr="003B10CA">
        <w:rPr>
          <w:rFonts w:eastAsia="Times New Roman"/>
          <w:lang w:val="en"/>
        </w:rPr>
        <w:t xml:space="preserve">The Account Administrator can assign a different Service </w:t>
      </w:r>
      <w:r>
        <w:rPr>
          <w:rFonts w:eastAsia="Times New Roman"/>
          <w:lang w:val="en"/>
        </w:rPr>
        <w:t>A</w:t>
      </w:r>
      <w:r w:rsidRPr="003B10CA">
        <w:rPr>
          <w:rFonts w:eastAsia="Times New Roman"/>
          <w:lang w:val="en"/>
        </w:rPr>
        <w:t xml:space="preserve">dministrator by editing the subscription in the </w:t>
      </w:r>
      <w:hyperlink r:id="rId96" w:history="1">
        <w:r w:rsidRPr="005539CA">
          <w:rPr>
            <w:rStyle w:val="Hyperlink"/>
            <w:rFonts w:eastAsia="Times New Roman" w:cs="Segoe UI"/>
            <w:lang w:val="en"/>
          </w:rPr>
          <w:t>Microsoft Online Services Customer Portal</w:t>
        </w:r>
      </w:hyperlink>
      <w:r w:rsidR="009B54D1" w:rsidRPr="00EC4F63">
        <w:rPr>
          <w:rFonts w:eastAsia="Times New Roman"/>
          <w:color w:val="505050"/>
          <w:lang w:val="en"/>
        </w:rPr>
        <w:t>.</w:t>
      </w:r>
    </w:p>
    <w:p w14:paraId="49AA8B2C" w14:textId="77777777" w:rsidR="00955980" w:rsidRDefault="00955980" w:rsidP="009B54D1">
      <w:pPr>
        <w:shd w:val="clear" w:color="auto" w:fill="FFFFFF"/>
        <w:spacing w:before="135" w:after="135" w:line="360" w:lineRule="atLeast"/>
        <w:rPr>
          <w:rFonts w:eastAsia="Times New Roman" w:cs="Segoe UI"/>
          <w:color w:val="505050"/>
          <w:lang w:val="en"/>
        </w:rPr>
      </w:pPr>
    </w:p>
    <w:p w14:paraId="4759D67F" w14:textId="77777777" w:rsidR="009B54D1" w:rsidRPr="00EC4F63" w:rsidRDefault="009B54D1" w:rsidP="009B54D1">
      <w:pPr>
        <w:shd w:val="clear" w:color="auto" w:fill="FFFFFF"/>
        <w:spacing w:before="135" w:after="135" w:line="360" w:lineRule="atLeast"/>
        <w:jc w:val="center"/>
        <w:rPr>
          <w:rFonts w:eastAsia="Times New Roman" w:cs="Segoe UI"/>
          <w:color w:val="505050"/>
          <w:lang w:val="en"/>
        </w:rPr>
      </w:pPr>
      <w:r>
        <w:rPr>
          <w:rFonts w:eastAsia="Times New Roman" w:cs="Segoe UI"/>
          <w:noProof/>
          <w:color w:val="505050"/>
        </w:rPr>
        <w:drawing>
          <wp:inline distT="0" distB="0" distL="0" distR="0" wp14:anchorId="293A4B89" wp14:editId="52AADAF0">
            <wp:extent cx="4047898" cy="4261899"/>
            <wp:effectExtent l="0" t="0" r="0" b="5715"/>
            <wp:docPr id="41032" name="Picture 4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7">
                      <a:extLst>
                        <a:ext uri="{28A0092B-C50C-407E-A947-70E740481C1C}">
                          <a14:useLocalDpi xmlns:a14="http://schemas.microsoft.com/office/drawing/2010/main" val="0"/>
                        </a:ext>
                      </a:extLst>
                    </a:blip>
                    <a:srcRect b="7221"/>
                    <a:stretch/>
                  </pic:blipFill>
                  <pic:spPr bwMode="auto">
                    <a:xfrm>
                      <a:off x="0" y="0"/>
                      <a:ext cx="4051227" cy="4265404"/>
                    </a:xfrm>
                    <a:prstGeom prst="rect">
                      <a:avLst/>
                    </a:prstGeom>
                    <a:noFill/>
                    <a:ln>
                      <a:noFill/>
                    </a:ln>
                    <a:extLst>
                      <a:ext uri="{53640926-AAD7-44D8-BBD7-CCE9431645EC}">
                        <a14:shadowObscured xmlns:a14="http://schemas.microsoft.com/office/drawing/2010/main"/>
                      </a:ext>
                    </a:extLst>
                  </pic:spPr>
                </pic:pic>
              </a:graphicData>
            </a:graphic>
          </wp:inline>
        </w:drawing>
      </w:r>
    </w:p>
    <w:p w14:paraId="45E7C48D" w14:textId="0FCD2815" w:rsidR="00DD54D5" w:rsidRDefault="009B54D1" w:rsidP="00DD54D5">
      <w:pPr>
        <w:rPr>
          <w:rFonts w:eastAsia="Times New Roman"/>
          <w:lang w:val="en"/>
        </w:rPr>
      </w:pPr>
      <w:r w:rsidRPr="003B10CA">
        <w:rPr>
          <w:rFonts w:eastAsia="Times New Roman"/>
          <w:lang w:val="en"/>
        </w:rPr>
        <w:t>To</w:t>
      </w:r>
      <w:r w:rsidR="00DD54D5" w:rsidRPr="003B10CA">
        <w:rPr>
          <w:rFonts w:eastAsia="Times New Roman"/>
          <w:lang w:val="en"/>
        </w:rPr>
        <w:t xml:space="preserve"> assist with the management of the Azure </w:t>
      </w:r>
      <w:r w:rsidR="00DD54D5">
        <w:rPr>
          <w:rFonts w:eastAsia="Times New Roman"/>
          <w:lang w:val="en"/>
        </w:rPr>
        <w:t>S</w:t>
      </w:r>
      <w:r w:rsidR="00DD54D5" w:rsidRPr="003B10CA">
        <w:rPr>
          <w:rFonts w:eastAsia="Times New Roman"/>
          <w:lang w:val="en"/>
        </w:rPr>
        <w:t xml:space="preserve">ervices, the Service </w:t>
      </w:r>
      <w:r w:rsidR="00DD54D5">
        <w:rPr>
          <w:rFonts w:eastAsia="Times New Roman"/>
          <w:lang w:val="en"/>
        </w:rPr>
        <w:t>A</w:t>
      </w:r>
      <w:r w:rsidR="00DD54D5" w:rsidRPr="003B10CA">
        <w:rPr>
          <w:rFonts w:eastAsia="Times New Roman"/>
          <w:lang w:val="en"/>
        </w:rPr>
        <w:t>dministrator will add Co-administrators to the subscription. To be added as a Co-administrator, a user must have a valid Microsoft Account or Org ID</w:t>
      </w:r>
      <w:r w:rsidR="00DD54D5">
        <w:rPr>
          <w:rFonts w:eastAsia="Times New Roman"/>
          <w:lang w:val="en"/>
        </w:rPr>
        <w:t>,</w:t>
      </w:r>
      <w:r w:rsidR="00DD54D5" w:rsidRPr="003B10CA">
        <w:rPr>
          <w:rFonts w:eastAsia="Times New Roman"/>
          <w:lang w:val="en"/>
        </w:rPr>
        <w:t xml:space="preserve"> if this is the method of authentication used in the subscription. The first Co-administrator in the subscription must be added by the Service Administrator</w:t>
      </w:r>
      <w:r w:rsidR="00DD54D5">
        <w:rPr>
          <w:rFonts w:eastAsia="Times New Roman"/>
          <w:lang w:val="en"/>
        </w:rPr>
        <w:t>.</w:t>
      </w:r>
      <w:r w:rsidR="00DD54D5" w:rsidRPr="003B10CA">
        <w:rPr>
          <w:rFonts w:eastAsia="Times New Roman"/>
          <w:lang w:val="en"/>
        </w:rPr>
        <w:t xml:space="preserve"> </w:t>
      </w:r>
      <w:r w:rsidR="00DD54D5">
        <w:rPr>
          <w:rFonts w:eastAsia="Times New Roman"/>
          <w:lang w:val="en"/>
        </w:rPr>
        <w:t>After that,</w:t>
      </w:r>
      <w:r w:rsidR="00DD54D5" w:rsidRPr="003B10CA">
        <w:rPr>
          <w:rFonts w:eastAsia="Times New Roman"/>
          <w:lang w:val="en"/>
        </w:rPr>
        <w:t xml:space="preserve"> any Co-administrator can add or remove other Co-administrators in the subscription. </w:t>
      </w:r>
    </w:p>
    <w:p w14:paraId="34C7FF14" w14:textId="676C3069" w:rsidR="009B54D1" w:rsidRPr="003B10CA" w:rsidRDefault="00DD54D5" w:rsidP="00DD54D5">
      <w:pPr>
        <w:rPr>
          <w:rFonts w:eastAsia="Times New Roman"/>
          <w:lang w:val="en"/>
        </w:rPr>
      </w:pPr>
      <w:r>
        <w:rPr>
          <w:rFonts w:eastAsia="Times New Roman"/>
          <w:lang w:val="en"/>
        </w:rPr>
        <w:t>R</w:t>
      </w:r>
      <w:r w:rsidRPr="003B10CA">
        <w:rPr>
          <w:rFonts w:eastAsia="Times New Roman"/>
          <w:lang w:val="en"/>
        </w:rPr>
        <w:t>emov</w:t>
      </w:r>
      <w:r>
        <w:rPr>
          <w:rFonts w:eastAsia="Times New Roman"/>
          <w:lang w:val="en"/>
        </w:rPr>
        <w:t>ing</w:t>
      </w:r>
      <w:r w:rsidRPr="003B10CA">
        <w:rPr>
          <w:rFonts w:eastAsia="Times New Roman"/>
          <w:lang w:val="en"/>
        </w:rPr>
        <w:t xml:space="preserve"> or add</w:t>
      </w:r>
      <w:r>
        <w:rPr>
          <w:rFonts w:eastAsia="Times New Roman"/>
          <w:lang w:val="en"/>
        </w:rPr>
        <w:t>ing</w:t>
      </w:r>
      <w:r w:rsidRPr="003B10CA">
        <w:rPr>
          <w:rFonts w:eastAsia="Times New Roman"/>
          <w:lang w:val="en"/>
        </w:rPr>
        <w:t xml:space="preserve"> Co-administrators must be done in the Azure Management </w:t>
      </w:r>
      <w:r>
        <w:rPr>
          <w:rFonts w:eastAsia="Times New Roman"/>
          <w:lang w:val="en"/>
        </w:rPr>
        <w:t>p</w:t>
      </w:r>
      <w:r w:rsidRPr="003B10CA">
        <w:rPr>
          <w:rFonts w:eastAsia="Times New Roman"/>
          <w:lang w:val="en"/>
        </w:rPr>
        <w:t>ortal</w:t>
      </w:r>
      <w:r>
        <w:rPr>
          <w:rFonts w:eastAsia="Times New Roman"/>
          <w:lang w:val="en"/>
        </w:rPr>
        <w:t>,</w:t>
      </w:r>
      <w:r w:rsidRPr="003B10CA">
        <w:rPr>
          <w:rFonts w:eastAsia="Times New Roman"/>
          <w:lang w:val="en"/>
        </w:rPr>
        <w:t xml:space="preserve"> and </w:t>
      </w:r>
      <w:r>
        <w:rPr>
          <w:rFonts w:eastAsia="Times New Roman"/>
          <w:lang w:val="en"/>
        </w:rPr>
        <w:t xml:space="preserve">the option </w:t>
      </w:r>
      <w:r w:rsidRPr="003B10CA">
        <w:rPr>
          <w:rFonts w:eastAsia="Times New Roman"/>
          <w:lang w:val="en"/>
        </w:rPr>
        <w:t xml:space="preserve">is located under </w:t>
      </w:r>
      <w:r w:rsidRPr="00A57C2C">
        <w:rPr>
          <w:rFonts w:eastAsia="Times New Roman"/>
          <w:b/>
          <w:lang w:val="en"/>
        </w:rPr>
        <w:t>Settings</w:t>
      </w:r>
      <w:r w:rsidRPr="003B10CA">
        <w:rPr>
          <w:rFonts w:eastAsia="Times New Roman"/>
          <w:lang w:val="en"/>
        </w:rPr>
        <w:t xml:space="preserve"> &gt; </w:t>
      </w:r>
      <w:r w:rsidRPr="00A57C2C">
        <w:rPr>
          <w:rFonts w:eastAsia="Times New Roman"/>
          <w:b/>
          <w:lang w:val="en"/>
        </w:rPr>
        <w:t>Administrators</w:t>
      </w:r>
      <w:r w:rsidR="0027545D" w:rsidRPr="003B10CA">
        <w:rPr>
          <w:rFonts w:eastAsia="Times New Roman"/>
          <w:lang w:val="en"/>
        </w:rPr>
        <w:t>.</w:t>
      </w:r>
    </w:p>
    <w:p w14:paraId="77916FAA" w14:textId="77777777" w:rsidR="009B54D1" w:rsidRDefault="009B54D1" w:rsidP="009B54D1">
      <w:pPr>
        <w:shd w:val="clear" w:color="auto" w:fill="FFFFFF"/>
        <w:spacing w:before="135" w:after="135" w:line="360" w:lineRule="atLeast"/>
        <w:rPr>
          <w:rFonts w:eastAsia="Times New Roman" w:cs="Segoe UI"/>
          <w:color w:val="505050"/>
          <w:lang w:val="en"/>
        </w:rPr>
      </w:pPr>
      <w:r>
        <w:rPr>
          <w:rFonts w:eastAsia="Times New Roman" w:cs="Segoe UI"/>
          <w:noProof/>
          <w:color w:val="505050"/>
        </w:rPr>
        <w:drawing>
          <wp:inline distT="0" distB="0" distL="0" distR="0" wp14:anchorId="42818F63" wp14:editId="7F9E1202">
            <wp:extent cx="5943600" cy="1590675"/>
            <wp:effectExtent l="0" t="0" r="0" b="9525"/>
            <wp:docPr id="41036" name="Picture 4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3600" cy="1590675"/>
                    </a:xfrm>
                    <a:prstGeom prst="rect">
                      <a:avLst/>
                    </a:prstGeom>
                    <a:noFill/>
                    <a:ln>
                      <a:noFill/>
                    </a:ln>
                  </pic:spPr>
                </pic:pic>
              </a:graphicData>
            </a:graphic>
          </wp:inline>
        </w:drawing>
      </w:r>
    </w:p>
    <w:p w14:paraId="28D567F4" w14:textId="37B8E97B" w:rsidR="00DD54D5" w:rsidRPr="00DD54D5" w:rsidRDefault="009B54D1" w:rsidP="00DD54D5">
      <w:pPr>
        <w:shd w:val="clear" w:color="auto" w:fill="FFFFFF"/>
        <w:spacing w:before="135" w:after="135" w:line="360" w:lineRule="atLeast"/>
        <w:rPr>
          <w:rFonts w:eastAsia="Times New Roman" w:cs="Segoe UI"/>
          <w:lang w:val="en"/>
        </w:rPr>
      </w:pPr>
      <w:r w:rsidRPr="003B10CA">
        <w:rPr>
          <w:rFonts w:eastAsia="Times New Roman" w:cs="Segoe UI"/>
          <w:lang w:val="en"/>
        </w:rPr>
        <w:t>Subscription</w:t>
      </w:r>
      <w:r w:rsidR="00DD54D5" w:rsidRPr="00DD54D5">
        <w:rPr>
          <w:rFonts w:eastAsia="Times New Roman" w:cs="Segoe UI"/>
          <w:lang w:val="en"/>
        </w:rPr>
        <w:t xml:space="preserve"> Co-administrators share the same rights and permissions that the Service Administrator has, with the following exception: a Co-administrator cannot remove the Service Administrator from a subscription. Only the Microsoft Azure account owner (Account Administrator) can change the Service Administrator for a subscription, by editing the subscription in the Microsoft Online Services Customer Portal, as shown previously. </w:t>
      </w:r>
    </w:p>
    <w:p w14:paraId="3FBEBE78" w14:textId="0184FC50" w:rsidR="009B54D1" w:rsidRPr="005539CA" w:rsidRDefault="00DD54D5" w:rsidP="00DD54D5">
      <w:pPr>
        <w:shd w:val="clear" w:color="auto" w:fill="FFFFFF"/>
        <w:spacing w:before="135" w:after="135" w:line="360" w:lineRule="atLeast"/>
        <w:rPr>
          <w:rFonts w:eastAsia="Times New Roman" w:cs="Segoe UI"/>
          <w:color w:val="505050"/>
          <w:lang w:val="en"/>
        </w:rPr>
      </w:pPr>
      <w:r w:rsidRPr="00DD54D5">
        <w:rPr>
          <w:rFonts w:eastAsia="Times New Roman" w:cs="Segoe UI"/>
          <w:lang w:val="en"/>
        </w:rPr>
        <w:t xml:space="preserve">The Co-administrator account </w:t>
      </w:r>
      <w:r w:rsidRPr="003B10CA">
        <w:rPr>
          <w:rFonts w:eastAsia="Times New Roman" w:cs="Segoe UI"/>
          <w:lang w:val="en"/>
        </w:rPr>
        <w:t xml:space="preserve">can </w:t>
      </w:r>
      <w:r>
        <w:rPr>
          <w:rFonts w:eastAsia="Times New Roman" w:cs="Segoe UI"/>
          <w:lang w:val="en"/>
        </w:rPr>
        <w:t>sign</w:t>
      </w:r>
      <w:r w:rsidRPr="003B10CA">
        <w:rPr>
          <w:rFonts w:eastAsia="Times New Roman" w:cs="Segoe UI"/>
          <w:lang w:val="en"/>
        </w:rPr>
        <w:t xml:space="preserve"> in </w:t>
      </w:r>
      <w:r w:rsidRPr="00DD54D5">
        <w:rPr>
          <w:rFonts w:eastAsia="Times New Roman" w:cs="Segoe UI"/>
          <w:lang w:val="en"/>
        </w:rPr>
        <w:t>to the Microsoft Azure Management portal, and view all services. The Service Administrator and Co-administrator have the ability to add, modify, or delete Azure services such as websites, cloud services, and mobile services. A single subscription is limited to a maximum of 200 Co-administrators</w:t>
      </w:r>
      <w:r w:rsidR="00363282" w:rsidRPr="003B10CA">
        <w:rPr>
          <w:rFonts w:eastAsia="Times New Roman" w:cs="Segoe UI"/>
          <w:lang w:val="en"/>
        </w:rPr>
        <w:t>.</w:t>
      </w:r>
      <w:r w:rsidR="009B54D1" w:rsidRPr="003B10CA">
        <w:rPr>
          <w:rFonts w:eastAsia="Times New Roman" w:cs="Segoe UI"/>
          <w:lang w:val="en"/>
        </w:rPr>
        <w:t xml:space="preserve"> </w:t>
      </w:r>
    </w:p>
    <w:p w14:paraId="34742F41" w14:textId="1C1AFA77" w:rsidR="00B95BAF" w:rsidRPr="00B95BAF" w:rsidRDefault="00B95BAF" w:rsidP="005729D2">
      <w:pPr>
        <w:pStyle w:val="Heading4Numbered"/>
        <w:numPr>
          <w:ilvl w:val="3"/>
          <w:numId w:val="64"/>
        </w:numPr>
      </w:pPr>
      <w:r>
        <w:t xml:space="preserve">Role Based Access </w:t>
      </w:r>
      <w:r w:rsidR="004C71DF">
        <w:t xml:space="preserve">Control </w:t>
      </w:r>
      <w:r>
        <w:t>Models</w:t>
      </w:r>
    </w:p>
    <w:p w14:paraId="191E545F" w14:textId="52439037" w:rsidR="00DD54D5" w:rsidRDefault="009C5C9A" w:rsidP="00DD54D5">
      <w:r w:rsidRPr="003B10CA">
        <w:rPr>
          <w:rFonts w:eastAsia="Segoe UI" w:cs="Segoe UI"/>
        </w:rPr>
        <w:t>With</w:t>
      </w:r>
      <w:r w:rsidR="00DD54D5" w:rsidRPr="003B10CA">
        <w:rPr>
          <w:rFonts w:eastAsia="Segoe UI" w:cs="Segoe UI"/>
        </w:rPr>
        <w:t xml:space="preserve"> the introduction of Role Base</w:t>
      </w:r>
      <w:r w:rsidR="00DD54D5">
        <w:rPr>
          <w:rFonts w:eastAsia="Segoe UI" w:cs="Segoe UI"/>
        </w:rPr>
        <w:t>d</w:t>
      </w:r>
      <w:r w:rsidR="00DD54D5" w:rsidRPr="003B10CA">
        <w:rPr>
          <w:rFonts w:eastAsia="Segoe UI" w:cs="Segoe UI"/>
        </w:rPr>
        <w:t xml:space="preserve"> Access Control (RBAC), Microsoft Azure now has a security model to </w:t>
      </w:r>
      <w:r w:rsidR="00DD54D5">
        <w:rPr>
          <w:rFonts w:eastAsia="Segoe UI" w:cs="Segoe UI"/>
        </w:rPr>
        <w:t xml:space="preserve">perform access </w:t>
      </w:r>
      <w:r w:rsidR="00DD54D5" w:rsidRPr="003B10CA">
        <w:rPr>
          <w:rFonts w:eastAsia="Segoe UI" w:cs="Segoe UI"/>
        </w:rPr>
        <w:t xml:space="preserve">control </w:t>
      </w:r>
      <w:r w:rsidR="00DD54D5">
        <w:rPr>
          <w:rFonts w:eastAsia="Segoe UI" w:cs="Segoe UI"/>
        </w:rPr>
        <w:t>of</w:t>
      </w:r>
      <w:r w:rsidR="00DD54D5" w:rsidRPr="003B10CA">
        <w:rPr>
          <w:rFonts w:eastAsia="Segoe UI" w:cs="Segoe UI"/>
        </w:rPr>
        <w:t xml:space="preserve"> resources by users on a more granular level. Users specified in RBAC permissions can access and execute actions on the resources within their scope of work. </w:t>
      </w:r>
      <w:r w:rsidR="00DD54D5">
        <w:rPr>
          <w:rFonts w:eastAsia="Segoe UI" w:cs="Segoe UI"/>
        </w:rPr>
        <w:t>Because</w:t>
      </w:r>
      <w:r w:rsidR="00DD54D5" w:rsidRPr="003B10CA">
        <w:rPr>
          <w:rFonts w:eastAsia="Segoe UI" w:cs="Segoe UI"/>
        </w:rPr>
        <w:t xml:space="preserve"> there is a limit of</w:t>
      </w:r>
      <w:r w:rsidR="00DD54D5">
        <w:rPr>
          <w:rFonts w:eastAsia="Segoe UI" w:cs="Segoe UI"/>
        </w:rPr>
        <w:t> 2</w:t>
      </w:r>
      <w:r w:rsidR="00DD54D5" w:rsidRPr="003B10CA">
        <w:rPr>
          <w:rFonts w:eastAsia="Segoe UI" w:cs="Segoe UI"/>
        </w:rPr>
        <w:t xml:space="preserve">00 Co-administrators per subscription, RBAC allows more users to manage their Azure </w:t>
      </w:r>
      <w:r w:rsidR="00DD54D5">
        <w:rPr>
          <w:rFonts w:eastAsia="Segoe UI" w:cs="Segoe UI"/>
        </w:rPr>
        <w:t>S</w:t>
      </w:r>
      <w:r w:rsidR="00DD54D5" w:rsidRPr="003B10CA">
        <w:rPr>
          <w:rFonts w:eastAsia="Segoe UI" w:cs="Segoe UI"/>
        </w:rPr>
        <w:t>ervices</w:t>
      </w:r>
      <w:r w:rsidR="00DD54D5">
        <w:rPr>
          <w:rFonts w:eastAsia="Segoe UI" w:cs="Segoe UI"/>
        </w:rPr>
        <w:t>.</w:t>
      </w:r>
      <w:r w:rsidR="00DD54D5" w:rsidRPr="003B10CA">
        <w:rPr>
          <w:rFonts w:eastAsia="Segoe UI" w:cs="Segoe UI"/>
        </w:rPr>
        <w:t xml:space="preserve"> </w:t>
      </w:r>
      <w:r w:rsidR="00DD54D5">
        <w:rPr>
          <w:rFonts w:eastAsia="Segoe UI" w:cs="Segoe UI"/>
        </w:rPr>
        <w:t>A</w:t>
      </w:r>
      <w:r w:rsidR="00DD54D5" w:rsidRPr="003B10CA">
        <w:rPr>
          <w:rFonts w:eastAsia="Segoe UI" w:cs="Segoe UI"/>
        </w:rPr>
        <w:t>t the same time</w:t>
      </w:r>
      <w:r w:rsidR="00DD54D5">
        <w:rPr>
          <w:rFonts w:eastAsia="Segoe UI" w:cs="Segoe UI"/>
        </w:rPr>
        <w:t>, RBAC</w:t>
      </w:r>
      <w:r w:rsidR="00DD54D5" w:rsidRPr="003B10CA">
        <w:rPr>
          <w:rFonts w:eastAsia="Segoe UI" w:cs="Segoe UI"/>
        </w:rPr>
        <w:t xml:space="preserve"> </w:t>
      </w:r>
      <w:r w:rsidR="00DD54D5">
        <w:rPr>
          <w:rFonts w:eastAsia="Segoe UI" w:cs="Segoe UI"/>
        </w:rPr>
        <w:t>limits</w:t>
      </w:r>
      <w:r w:rsidR="00DD54D5" w:rsidRPr="003B10CA">
        <w:rPr>
          <w:rFonts w:eastAsia="Segoe UI" w:cs="Segoe UI"/>
        </w:rPr>
        <w:t xml:space="preserve"> access to only the specific resources needed rather than the entire subscription. </w:t>
      </w:r>
    </w:p>
    <w:p w14:paraId="6C0CE306" w14:textId="3B977AA8" w:rsidR="009C5C9A" w:rsidRDefault="00DD54D5" w:rsidP="00DD54D5">
      <w:pPr>
        <w:rPr>
          <w:rFonts w:eastAsia="Segoe UI" w:cs="Segoe UI"/>
        </w:rPr>
      </w:pPr>
      <w:r w:rsidRPr="003B10CA">
        <w:rPr>
          <w:rFonts w:eastAsia="Segoe UI" w:cs="Segoe UI"/>
        </w:rPr>
        <w:t xml:space="preserve">RBAC is only </w:t>
      </w:r>
      <w:r>
        <w:rPr>
          <w:rFonts w:eastAsia="Segoe UI" w:cs="Segoe UI"/>
        </w:rPr>
        <w:t>available in</w:t>
      </w:r>
      <w:r w:rsidRPr="003B10CA">
        <w:rPr>
          <w:rFonts w:eastAsia="Segoe UI" w:cs="Segoe UI"/>
        </w:rPr>
        <w:t xml:space="preserve"> the </w:t>
      </w:r>
      <w:hyperlink r:id="rId99" w:history="1">
        <w:r w:rsidRPr="00162327">
          <w:rPr>
            <w:rStyle w:val="Hyperlink"/>
            <w:rFonts w:eastAsia="Segoe UI" w:cs="Segoe UI"/>
          </w:rPr>
          <w:t>Azure Preview portal</w:t>
        </w:r>
      </w:hyperlink>
      <w:r>
        <w:rPr>
          <w:rStyle w:val="FootnoteReference"/>
          <w:rFonts w:eastAsia="Segoe UI" w:cs="Segoe UI"/>
        </w:rPr>
        <w:footnoteReference w:id="6"/>
      </w:r>
      <w:r w:rsidRPr="003B10CA">
        <w:rPr>
          <w:rFonts w:eastAsia="Segoe UI" w:cs="Segoe UI"/>
        </w:rPr>
        <w:t xml:space="preserve"> and when using the Azure Resource Manager APIs. The Service </w:t>
      </w:r>
      <w:r>
        <w:rPr>
          <w:rFonts w:eastAsia="Segoe UI" w:cs="Segoe UI"/>
        </w:rPr>
        <w:t>A</w:t>
      </w:r>
      <w:r w:rsidRPr="003B10CA">
        <w:rPr>
          <w:rFonts w:eastAsia="Segoe UI" w:cs="Segoe UI"/>
        </w:rPr>
        <w:t xml:space="preserve">dministrator and Co-administrator will continue having access to all portals and APIs, however any user added </w:t>
      </w:r>
      <w:r>
        <w:rPr>
          <w:rFonts w:eastAsia="Segoe UI" w:cs="Segoe UI"/>
        </w:rPr>
        <w:t xml:space="preserve">only </w:t>
      </w:r>
      <w:r w:rsidRPr="003B10CA">
        <w:rPr>
          <w:rFonts w:eastAsia="Segoe UI" w:cs="Segoe UI"/>
        </w:rPr>
        <w:t>via RBAC will not be able to access the current version of the Azure Management Portal or Service Management APIs</w:t>
      </w:r>
      <w:r w:rsidR="0049394A" w:rsidRPr="003B10CA">
        <w:rPr>
          <w:rFonts w:eastAsia="Segoe UI" w:cs="Segoe UI"/>
        </w:rPr>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2C2C84" w:rsidRPr="002C2C84" w14:paraId="715724FA" w14:textId="77777777" w:rsidTr="00A55D83">
        <w:trPr>
          <w:trHeight w:val="423"/>
        </w:trPr>
        <w:tc>
          <w:tcPr>
            <w:tcW w:w="666" w:type="dxa"/>
          </w:tcPr>
          <w:p w14:paraId="7817133C" w14:textId="77777777" w:rsidR="002C2C84" w:rsidRPr="002C2C84" w:rsidRDefault="002C2C84" w:rsidP="002C2C84">
            <w:pPr>
              <w:rPr>
                <w:rFonts w:eastAsia="Segoe UI" w:cs="Segoe UI"/>
                <w:b/>
                <w:bCs/>
                <w:lang w:eastAsia="en-US"/>
              </w:rPr>
            </w:pPr>
            <w:r w:rsidRPr="002C2C84">
              <w:rPr>
                <w:rFonts w:eastAsia="Segoe UI" w:cs="Segoe UI"/>
                <w:noProof/>
              </w:rPr>
              <mc:AlternateContent>
                <mc:Choice Requires="wps">
                  <w:drawing>
                    <wp:inline distT="0" distB="0" distL="0" distR="0" wp14:anchorId="37327FB6" wp14:editId="6E25DB59">
                      <wp:extent cx="200025" cy="180975"/>
                      <wp:effectExtent l="57150" t="19050" r="28575" b="104775"/>
                      <wp:docPr id="874593629" name="Octagon 874593629"/>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704F140" id="Octagon 874593629"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ryAeAIAAFoFAAAOAAAAZHJzL2Uyb0RvYy54bWysVN1r2zAQfx/sfxB6Xxy7SduEOiWkZAxK&#10;W9qOPiuylAhknSYpcbK/fifZcUJXKIy9yHe+79993Nzua012wnkFpqT5YEiJMBwqZdYl/fm6/HZN&#10;iQ/MVEyDESU9CE9vZ1+/3DR2KgrYgK6EI+jE+GljS7oJwU6zzPONqJkfgBUGhRJczQKybp1VjjXo&#10;vdZZMRxeZg24yjrgwnv8e9cK6Sz5l1Lw8CilF4HokmJuIb0uvav4ZrMbNl07ZjeKd2mwf8iiZspg&#10;0N7VHQuMbJ36y1WtuAMPMgw41BlIqbhINWA1+fBdNS8bZkWqBcHxtofJ/z+3/GH35IiqSnp9NRpP&#10;Li6LCSWG1diqRx7YGgw5CRCsxvop2rzYJ9dxHslY+V66On6xJrJPAB96gMU+EI4/sWPDYkwJR1F+&#10;PZxcjWMDspOxdT58F1CTSJQU2hQSsmx370OrfdSK4TxoVS2V1olx69VCO7Jj2O7FAqOlDmOAM7Us&#10;1tBmnahw0CIaa/MsJEKBeeYpYhpC0ftjnAsTii7jpB3NJMbuDS8+N+z0o6lIA9obF58b9xYpMpjQ&#10;G9fKgPvIgQ55l7Js9RHws7ojuYLqgFPgoF0Pb/lSIf73zIcn5nAfcHNwx8MjPlJDg43pKEo24H5/&#10;9D/q45iilJIG96uk/teWOUGJ/mFwgCf5aBQXMjGj8VWBjDuXrM4lZlsvAHua4zWxPJFRP+gjKR3U&#10;b3gK5jEqipjhGLukPLgjswjt3uMx4WI+T2q4hJaFe/Ni+bHrcbhe92/M2W4IA07vAxx3kU3fDWKr&#10;G/thYL4NIFWa0hOuHd64wGnUu2MTL8Q5n7ROJ3H2Bw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APqvIB4AgAAWg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2849E766" w14:textId="77777777" w:rsidR="002C2C84" w:rsidRPr="002C2C84" w:rsidRDefault="002C2C84" w:rsidP="002C2C84">
            <w:pPr>
              <w:rPr>
                <w:rFonts w:eastAsia="Segoe UI" w:cs="Segoe UI"/>
                <w:lang w:eastAsia="en-US"/>
              </w:rPr>
            </w:pPr>
            <w:r w:rsidRPr="002C2C84">
              <w:rPr>
                <w:rFonts w:eastAsia="Segoe UI" w:cs="Segoe UI"/>
                <w:b/>
                <w:lang w:eastAsia="en-US"/>
              </w:rPr>
              <w:t>Mandatory</w:t>
            </w:r>
            <w:r w:rsidRPr="002C2C84">
              <w:rPr>
                <w:rFonts w:eastAsia="Segoe UI" w:cs="Segoe UI"/>
                <w:lang w:eastAsia="en-US"/>
              </w:rPr>
              <w:t xml:space="preserve">:  </w:t>
            </w:r>
          </w:p>
          <w:p w14:paraId="4876926E" w14:textId="77777777" w:rsidR="00DD54D5" w:rsidRPr="002C2C84" w:rsidRDefault="00DD54D5" w:rsidP="005729D2">
            <w:pPr>
              <w:numPr>
                <w:ilvl w:val="0"/>
                <w:numId w:val="160"/>
              </w:numPr>
              <w:rPr>
                <w:rFonts w:eastAsia="Segoe UI" w:cs="Segoe UI"/>
                <w:lang w:eastAsia="en-US"/>
              </w:rPr>
            </w:pPr>
            <w:r>
              <w:rPr>
                <w:rFonts w:eastAsia="Segoe UI" w:cs="Segoe UI"/>
                <w:lang w:eastAsia="en-US"/>
              </w:rPr>
              <w:t>Service Administrator and Co-Administrators see all resources in all portals and through APIs.</w:t>
            </w:r>
          </w:p>
          <w:p w14:paraId="07DC7096" w14:textId="77777777" w:rsidR="00DD54D5" w:rsidRDefault="00DD54D5" w:rsidP="005729D2">
            <w:pPr>
              <w:numPr>
                <w:ilvl w:val="0"/>
                <w:numId w:val="160"/>
              </w:numPr>
              <w:rPr>
                <w:rFonts w:eastAsia="Segoe UI" w:cs="Segoe UI"/>
                <w:lang w:eastAsia="en-US"/>
              </w:rPr>
            </w:pPr>
            <w:r>
              <w:rPr>
                <w:rFonts w:eastAsia="Segoe UI" w:cs="Segoe UI"/>
                <w:lang w:eastAsia="en-US"/>
              </w:rPr>
              <w:t>Users defined in RBAC models do not have access to the Service Management portal or APIs</w:t>
            </w:r>
            <w:r w:rsidRPr="002C2C84">
              <w:rPr>
                <w:rFonts w:eastAsia="Segoe UI" w:cs="Segoe UI"/>
                <w:lang w:eastAsia="en-US"/>
              </w:rPr>
              <w:t xml:space="preserve">. </w:t>
            </w:r>
          </w:p>
          <w:p w14:paraId="29BA763F" w14:textId="01306B18" w:rsidR="000317D3" w:rsidRPr="002C2C84" w:rsidRDefault="00DD54D5" w:rsidP="005729D2">
            <w:pPr>
              <w:numPr>
                <w:ilvl w:val="0"/>
                <w:numId w:val="160"/>
              </w:numPr>
              <w:rPr>
                <w:rFonts w:eastAsia="Segoe UI" w:cs="Segoe UI"/>
                <w:lang w:eastAsia="en-US"/>
              </w:rPr>
            </w:pPr>
            <w:r>
              <w:rPr>
                <w:rFonts w:eastAsia="Segoe UI" w:cs="Segoe UI"/>
                <w:lang w:eastAsia="en-US"/>
              </w:rPr>
              <w:t>Users not assigned to either group see only the empty Azure Resource Management portal, and they cannot access the Service Management portal</w:t>
            </w:r>
            <w:r w:rsidR="000317D3">
              <w:rPr>
                <w:rFonts w:eastAsia="Segoe UI" w:cs="Segoe UI"/>
                <w:lang w:eastAsia="en-US"/>
              </w:rPr>
              <w:t>.</w:t>
            </w:r>
          </w:p>
        </w:tc>
      </w:tr>
    </w:tbl>
    <w:p w14:paraId="1EE33D82" w14:textId="77777777" w:rsidR="00DD54D5" w:rsidRDefault="00DD54D5" w:rsidP="00DD54D5">
      <w:pPr>
        <w:rPr>
          <w:rFonts w:eastAsia="Segoe UI" w:cs="Segoe UI"/>
        </w:rPr>
      </w:pPr>
      <w:r>
        <w:rPr>
          <w:rFonts w:eastAsia="Segoe UI" w:cs="Segoe UI"/>
        </w:rPr>
        <w:t>W</w:t>
      </w:r>
      <w:r w:rsidRPr="003B10CA">
        <w:rPr>
          <w:rFonts w:eastAsia="Segoe UI" w:cs="Segoe UI"/>
        </w:rPr>
        <w:t xml:space="preserve">ith RBAC, the subscription is no longer the management boundary for permissions in Azure. Resource Groups are </w:t>
      </w:r>
      <w:r>
        <w:rPr>
          <w:rFonts w:eastAsia="Segoe UI" w:cs="Segoe UI"/>
        </w:rPr>
        <w:t>new constructs</w:t>
      </w:r>
      <w:r w:rsidRPr="003B10CA">
        <w:rPr>
          <w:rFonts w:eastAsia="Segoe UI" w:cs="Segoe UI"/>
        </w:rPr>
        <w:t xml:space="preserve"> to group resources that have a common application or service lifecycle. In addition to granting access at the Resource Group level, RBAC permissions can be applied to an individual resource such as </w:t>
      </w:r>
      <w:r>
        <w:rPr>
          <w:rFonts w:eastAsia="Segoe UI" w:cs="Segoe UI"/>
        </w:rPr>
        <w:t>SQL Database</w:t>
      </w:r>
      <w:r w:rsidRPr="003B10CA">
        <w:rPr>
          <w:rFonts w:eastAsia="Segoe UI" w:cs="Segoe UI"/>
        </w:rPr>
        <w:t xml:space="preserve">, </w:t>
      </w:r>
      <w:r>
        <w:rPr>
          <w:rFonts w:eastAsia="Segoe UI" w:cs="Segoe UI"/>
        </w:rPr>
        <w:t>w</w:t>
      </w:r>
      <w:r w:rsidRPr="003B10CA">
        <w:rPr>
          <w:rFonts w:eastAsia="Segoe UI" w:cs="Segoe UI"/>
        </w:rPr>
        <w:t xml:space="preserve">ebsites, </w:t>
      </w:r>
      <w:r>
        <w:rPr>
          <w:rFonts w:eastAsia="Segoe UI" w:cs="Segoe UI"/>
        </w:rPr>
        <w:t>virtual machines,</w:t>
      </w:r>
      <w:r w:rsidRPr="003B10CA">
        <w:rPr>
          <w:rFonts w:eastAsia="Segoe UI" w:cs="Segoe UI"/>
        </w:rPr>
        <w:t xml:space="preserve"> and </w:t>
      </w:r>
      <w:r>
        <w:rPr>
          <w:rFonts w:eastAsia="Segoe UI" w:cs="Segoe UI"/>
        </w:rPr>
        <w:t>s</w:t>
      </w:r>
      <w:r w:rsidRPr="003B10CA">
        <w:rPr>
          <w:rFonts w:eastAsia="Segoe UI" w:cs="Segoe UI"/>
        </w:rPr>
        <w:t xml:space="preserve">torage </w:t>
      </w:r>
      <w:r>
        <w:rPr>
          <w:rFonts w:eastAsia="Segoe UI" w:cs="Segoe UI"/>
        </w:rPr>
        <w:t>a</w:t>
      </w:r>
      <w:r w:rsidRPr="003B10CA">
        <w:rPr>
          <w:rFonts w:eastAsia="Segoe UI" w:cs="Segoe UI"/>
        </w:rPr>
        <w:t>ccounts.</w:t>
      </w:r>
      <w:r>
        <w:rPr>
          <w:rFonts w:eastAsia="Segoe UI" w:cs="Segoe UI"/>
        </w:rPr>
        <w:t xml:space="preserve"> </w:t>
      </w:r>
    </w:p>
    <w:p w14:paraId="7ECDEFD0" w14:textId="0EBB5C80" w:rsidR="00880307" w:rsidRDefault="00DD54D5" w:rsidP="00DD54D5">
      <w:pPr>
        <w:rPr>
          <w:rFonts w:eastAsiaTheme="minorHAnsi"/>
          <w:color w:val="008AC8"/>
          <w:sz w:val="24"/>
        </w:rPr>
      </w:pPr>
      <w:r w:rsidRPr="003B10CA">
        <w:rPr>
          <w:rFonts w:eastAsia="Segoe UI" w:cs="Segoe UI"/>
        </w:rPr>
        <w:t xml:space="preserve">RBAC administration is implemented by the subscription Service </w:t>
      </w:r>
      <w:r>
        <w:rPr>
          <w:rFonts w:eastAsia="Segoe UI" w:cs="Segoe UI"/>
        </w:rPr>
        <w:t>A</w:t>
      </w:r>
      <w:r w:rsidRPr="003B10CA">
        <w:rPr>
          <w:rFonts w:eastAsia="Segoe UI" w:cs="Segoe UI"/>
        </w:rPr>
        <w:t>dministrator and Co-administrators. Customer</w:t>
      </w:r>
      <w:r>
        <w:rPr>
          <w:rFonts w:eastAsia="Segoe UI" w:cs="Segoe UI"/>
        </w:rPr>
        <w:t>s can leverage their existing Azure AD</w:t>
      </w:r>
      <w:r w:rsidRPr="003B10CA">
        <w:rPr>
          <w:rFonts w:eastAsia="Segoe UI" w:cs="Segoe UI"/>
        </w:rPr>
        <w:t xml:space="preserve"> users and groups, or use on-premises Active Directory accounts for access management</w:t>
      </w:r>
      <w:r w:rsidR="009C5C9A" w:rsidRPr="003B10CA">
        <w:rPr>
          <w:rFonts w:eastAsia="Segoe UI" w:cs="Segoe UI"/>
        </w:rPr>
        <w:t>.</w:t>
      </w:r>
    </w:p>
    <w:p w14:paraId="1C29210C" w14:textId="743A61FC" w:rsidR="009C5C9A" w:rsidRDefault="009C5C9A" w:rsidP="005729D2">
      <w:pPr>
        <w:pStyle w:val="Heading4Numbered"/>
        <w:numPr>
          <w:ilvl w:val="3"/>
          <w:numId w:val="64"/>
        </w:numPr>
      </w:pPr>
      <w:r w:rsidRPr="002B19E2">
        <w:t>Role Permissions</w:t>
      </w:r>
    </w:p>
    <w:p w14:paraId="438637C1" w14:textId="008F4F03" w:rsidR="00BB4F07" w:rsidRDefault="00BB4F07" w:rsidP="00BB4F07">
      <w:r w:rsidRPr="003B10CA">
        <w:rPr>
          <w:rFonts w:eastAsia="Segoe UI" w:cs="Segoe UI"/>
        </w:rPr>
        <w:t xml:space="preserve">There are </w:t>
      </w:r>
      <w:r w:rsidR="00EE1164">
        <w:rPr>
          <w:rFonts w:eastAsia="Segoe UI" w:cs="Segoe UI"/>
        </w:rPr>
        <w:t>twenty-two</w:t>
      </w:r>
      <w:r w:rsidR="00EE1164" w:rsidRPr="003B10CA">
        <w:rPr>
          <w:rFonts w:eastAsia="Segoe UI" w:cs="Segoe UI"/>
        </w:rPr>
        <w:t xml:space="preserve"> </w:t>
      </w:r>
      <w:r w:rsidRPr="003B10CA">
        <w:rPr>
          <w:rFonts w:eastAsia="Segoe UI" w:cs="Segoe UI"/>
        </w:rPr>
        <w:t xml:space="preserve">built-in </w:t>
      </w:r>
      <w:r w:rsidR="004C71DF" w:rsidRPr="003B10CA">
        <w:rPr>
          <w:rFonts w:eastAsia="Segoe UI" w:cs="Segoe UI"/>
        </w:rPr>
        <w:t xml:space="preserve">Azure </w:t>
      </w:r>
      <w:r w:rsidR="004E0D6D" w:rsidRPr="003B10CA">
        <w:rPr>
          <w:rFonts w:eastAsia="Segoe UI" w:cs="Segoe UI"/>
        </w:rPr>
        <w:t xml:space="preserve">RBAC </w:t>
      </w:r>
      <w:r w:rsidRPr="003B10CA">
        <w:rPr>
          <w:rFonts w:eastAsia="Segoe UI" w:cs="Segoe UI"/>
        </w:rPr>
        <w:t xml:space="preserve">roles </w:t>
      </w:r>
      <w:r w:rsidR="004E0D6D" w:rsidRPr="003B10CA">
        <w:rPr>
          <w:rFonts w:eastAsia="Segoe UI" w:cs="Segoe UI"/>
        </w:rPr>
        <w:t>for</w:t>
      </w:r>
      <w:r w:rsidRPr="003B10CA">
        <w:rPr>
          <w:rFonts w:eastAsia="Segoe UI" w:cs="Segoe UI"/>
        </w:rPr>
        <w:t xml:space="preserve"> </w:t>
      </w:r>
      <w:r w:rsidR="00EE1164">
        <w:rPr>
          <w:rFonts w:eastAsia="Segoe UI" w:cs="Segoe UI"/>
        </w:rPr>
        <w:t xml:space="preserve">controlling access to Azure </w:t>
      </w:r>
      <w:r w:rsidR="004C71DF">
        <w:rPr>
          <w:rFonts w:eastAsia="Segoe UI" w:cs="Segoe UI"/>
        </w:rPr>
        <w:t>r</w:t>
      </w:r>
      <w:r w:rsidR="00EE1164">
        <w:rPr>
          <w:rFonts w:eastAsia="Segoe UI" w:cs="Segoe UI"/>
        </w:rPr>
        <w:t>esources</w:t>
      </w:r>
      <w:r w:rsidRPr="003B10CA">
        <w:rPr>
          <w:rFonts w:eastAsia="Segoe UI" w:cs="Segoe UI"/>
        </w:rPr>
        <w:t>:</w:t>
      </w:r>
    </w:p>
    <w:p w14:paraId="072DA949" w14:textId="77777777" w:rsidR="00DD54D5" w:rsidRPr="00907EDE" w:rsidRDefault="00DD54D5" w:rsidP="005729D2">
      <w:pPr>
        <w:pStyle w:val="ListParagraph"/>
        <w:numPr>
          <w:ilvl w:val="0"/>
          <w:numId w:val="61"/>
        </w:numPr>
        <w:rPr>
          <w:rFonts w:cs="Segoe UI"/>
        </w:rPr>
      </w:pPr>
      <w:r w:rsidRPr="00EE1164">
        <w:rPr>
          <w:rFonts w:eastAsia="Segoe UI" w:cs="Segoe UI"/>
        </w:rPr>
        <w:t xml:space="preserve">The </w:t>
      </w:r>
      <w:r w:rsidRPr="00EE1164">
        <w:rPr>
          <w:rFonts w:eastAsia="Segoe UI" w:cs="Segoe UI"/>
          <w:b/>
        </w:rPr>
        <w:t>Owner</w:t>
      </w:r>
      <w:r w:rsidRPr="00EE1164">
        <w:rPr>
          <w:rFonts w:eastAsia="Segoe UI" w:cs="Segoe UI"/>
        </w:rPr>
        <w:t xml:space="preserve"> can perform all management operations for a resource and its child resources</w:t>
      </w:r>
      <w:r>
        <w:rPr>
          <w:rFonts w:eastAsia="Segoe UI" w:cs="Segoe UI"/>
        </w:rPr>
        <w:t>,</w:t>
      </w:r>
      <w:r w:rsidRPr="00EE1164">
        <w:rPr>
          <w:rFonts w:eastAsia="Segoe UI" w:cs="Segoe UI"/>
        </w:rPr>
        <w:t xml:space="preserve"> including access management or granting access to others. </w:t>
      </w:r>
    </w:p>
    <w:p w14:paraId="7DC41428" w14:textId="77777777" w:rsidR="00DD54D5" w:rsidRPr="00907EDE" w:rsidRDefault="00DD54D5" w:rsidP="005729D2">
      <w:pPr>
        <w:pStyle w:val="ListParagraph"/>
        <w:numPr>
          <w:ilvl w:val="0"/>
          <w:numId w:val="61"/>
        </w:numPr>
        <w:rPr>
          <w:rFonts w:cs="Segoe UI"/>
        </w:rPr>
      </w:pPr>
      <w:r w:rsidRPr="00EE1164">
        <w:rPr>
          <w:rFonts w:eastAsia="Segoe UI" w:cs="Segoe UI"/>
        </w:rPr>
        <w:t xml:space="preserve">The </w:t>
      </w:r>
      <w:r w:rsidRPr="00EE1164">
        <w:rPr>
          <w:rFonts w:eastAsia="Segoe UI" w:cs="Segoe UI"/>
          <w:b/>
        </w:rPr>
        <w:t>Contributor</w:t>
      </w:r>
      <w:r w:rsidRPr="00EE1164">
        <w:rPr>
          <w:rFonts w:eastAsia="Segoe UI" w:cs="Segoe UI"/>
        </w:rPr>
        <w:t xml:space="preserve"> can perform all management operations for a resource</w:t>
      </w:r>
      <w:r>
        <w:rPr>
          <w:rFonts w:eastAsia="Segoe UI" w:cs="Segoe UI"/>
        </w:rPr>
        <w:t>,</w:t>
      </w:r>
      <w:r w:rsidRPr="00EE1164">
        <w:rPr>
          <w:rFonts w:eastAsia="Segoe UI" w:cs="Segoe UI"/>
        </w:rPr>
        <w:t xml:space="preserve"> including creat</w:t>
      </w:r>
      <w:r>
        <w:rPr>
          <w:rFonts w:eastAsia="Segoe UI" w:cs="Segoe UI"/>
        </w:rPr>
        <w:t>ing</w:t>
      </w:r>
      <w:r w:rsidRPr="00EE1164">
        <w:rPr>
          <w:rFonts w:eastAsia="Segoe UI" w:cs="Segoe UI"/>
        </w:rPr>
        <w:t xml:space="preserve"> and delet</w:t>
      </w:r>
      <w:r>
        <w:rPr>
          <w:rFonts w:eastAsia="Segoe UI" w:cs="Segoe UI"/>
        </w:rPr>
        <w:t>ing</w:t>
      </w:r>
      <w:r w:rsidRPr="00EE1164">
        <w:rPr>
          <w:rFonts w:eastAsia="Segoe UI" w:cs="Segoe UI"/>
        </w:rPr>
        <w:t xml:space="preserve"> resources. A contributor cannot grant access to others. </w:t>
      </w:r>
    </w:p>
    <w:p w14:paraId="66463D09" w14:textId="77777777" w:rsidR="00DD54D5" w:rsidRPr="00907EDE" w:rsidRDefault="00DD54D5" w:rsidP="005729D2">
      <w:pPr>
        <w:pStyle w:val="ListParagraph"/>
        <w:numPr>
          <w:ilvl w:val="0"/>
          <w:numId w:val="61"/>
        </w:numPr>
        <w:rPr>
          <w:rFonts w:cs="Segoe UI"/>
        </w:rPr>
      </w:pPr>
      <w:r w:rsidRPr="00EE1164">
        <w:rPr>
          <w:rFonts w:eastAsia="Segoe UI" w:cs="Segoe UI"/>
        </w:rPr>
        <w:t xml:space="preserve">The </w:t>
      </w:r>
      <w:r w:rsidRPr="00EE1164">
        <w:rPr>
          <w:rFonts w:eastAsia="Segoe UI" w:cs="Segoe UI"/>
          <w:b/>
        </w:rPr>
        <w:t>Reader</w:t>
      </w:r>
      <w:r w:rsidRPr="00EE1164">
        <w:rPr>
          <w:rFonts w:eastAsia="Segoe UI" w:cs="Segoe UI"/>
        </w:rPr>
        <w:t xml:space="preserve"> has </w:t>
      </w:r>
      <w:r>
        <w:rPr>
          <w:rFonts w:eastAsia="Segoe UI" w:cs="Segoe UI"/>
        </w:rPr>
        <w:t>R</w:t>
      </w:r>
      <w:r w:rsidRPr="00EE1164">
        <w:rPr>
          <w:rFonts w:eastAsia="Segoe UI" w:cs="Segoe UI"/>
        </w:rPr>
        <w:t xml:space="preserve">ead-only access to a resource and its child resources. A Reader cannot read secrets. </w:t>
      </w:r>
    </w:p>
    <w:p w14:paraId="2FA081E0" w14:textId="77777777" w:rsidR="00DD54D5" w:rsidRPr="00907EDE" w:rsidRDefault="00DD54D5" w:rsidP="005729D2">
      <w:pPr>
        <w:pStyle w:val="ListParagraph"/>
        <w:numPr>
          <w:ilvl w:val="0"/>
          <w:numId w:val="61"/>
        </w:numPr>
        <w:rPr>
          <w:rFonts w:cs="Segoe UI"/>
        </w:rPr>
      </w:pPr>
      <w:r w:rsidRPr="00907EDE">
        <w:rPr>
          <w:rFonts w:cs="Segoe UI"/>
        </w:rPr>
        <w:t xml:space="preserve">The </w:t>
      </w:r>
      <w:r w:rsidRPr="00907EDE">
        <w:rPr>
          <w:rFonts w:cs="Segoe UI"/>
          <w:b/>
        </w:rPr>
        <w:t xml:space="preserve">API Management Service Contributor </w:t>
      </w:r>
      <w:r w:rsidRPr="00907EDE">
        <w:rPr>
          <w:rFonts w:cs="Segoe UI"/>
        </w:rPr>
        <w:t xml:space="preserve">lets users manage API Management </w:t>
      </w:r>
      <w:r>
        <w:rPr>
          <w:rFonts w:cs="Segoe UI"/>
        </w:rPr>
        <w:t>S</w:t>
      </w:r>
      <w:r w:rsidRPr="00907EDE">
        <w:rPr>
          <w:rFonts w:cs="Segoe UI"/>
        </w:rPr>
        <w:t>ervices, but not access to them.</w:t>
      </w:r>
    </w:p>
    <w:p w14:paraId="3BA32EAA" w14:textId="77777777" w:rsidR="00DD54D5" w:rsidRPr="00907EDE" w:rsidRDefault="00DD54D5" w:rsidP="005729D2">
      <w:pPr>
        <w:pStyle w:val="ListParagraph"/>
        <w:numPr>
          <w:ilvl w:val="0"/>
          <w:numId w:val="61"/>
        </w:numPr>
        <w:rPr>
          <w:rFonts w:cs="Segoe UI"/>
        </w:rPr>
      </w:pPr>
      <w:r w:rsidRPr="00907EDE">
        <w:rPr>
          <w:rFonts w:cs="Segoe UI"/>
        </w:rPr>
        <w:t xml:space="preserve">The </w:t>
      </w:r>
      <w:r w:rsidRPr="00907EDE">
        <w:rPr>
          <w:rFonts w:cs="Segoe UI"/>
          <w:b/>
        </w:rPr>
        <w:t>Application Insights Component Contributor</w:t>
      </w:r>
      <w:r w:rsidRPr="00907EDE">
        <w:rPr>
          <w:rFonts w:cs="Segoe UI"/>
        </w:rPr>
        <w:t xml:space="preserve"> lets users manage </w:t>
      </w:r>
      <w:r>
        <w:rPr>
          <w:rFonts w:cs="Segoe UI"/>
        </w:rPr>
        <w:t>A</w:t>
      </w:r>
      <w:r w:rsidRPr="00907EDE">
        <w:rPr>
          <w:rFonts w:cs="Segoe UI"/>
        </w:rPr>
        <w:t>pplication Insights components, but not access them.</w:t>
      </w:r>
    </w:p>
    <w:p w14:paraId="7E4203C0" w14:textId="77777777" w:rsidR="00DD54D5" w:rsidRPr="00907EDE" w:rsidRDefault="00DD54D5" w:rsidP="005729D2">
      <w:pPr>
        <w:pStyle w:val="ListParagraph"/>
        <w:numPr>
          <w:ilvl w:val="0"/>
          <w:numId w:val="61"/>
        </w:numPr>
        <w:rPr>
          <w:rFonts w:cs="Segoe UI"/>
        </w:rPr>
      </w:pPr>
      <w:r w:rsidRPr="00907EDE">
        <w:rPr>
          <w:rFonts w:cs="Segoe UI"/>
        </w:rPr>
        <w:t xml:space="preserve">The </w:t>
      </w:r>
      <w:r w:rsidRPr="00907EDE">
        <w:rPr>
          <w:rFonts w:cs="Segoe UI"/>
          <w:b/>
        </w:rPr>
        <w:t>BizTalk Contributor</w:t>
      </w:r>
      <w:r w:rsidRPr="00907EDE">
        <w:rPr>
          <w:rFonts w:cs="Segoe UI"/>
        </w:rPr>
        <w:t xml:space="preserve"> lets users manage BizTalk services, but not access them.</w:t>
      </w:r>
    </w:p>
    <w:p w14:paraId="4596CE57" w14:textId="77777777" w:rsidR="00DD54D5" w:rsidRPr="00907EDE" w:rsidRDefault="00DD54D5" w:rsidP="005729D2">
      <w:pPr>
        <w:pStyle w:val="ListParagraph"/>
        <w:numPr>
          <w:ilvl w:val="0"/>
          <w:numId w:val="61"/>
        </w:numPr>
        <w:rPr>
          <w:rFonts w:cs="Segoe UI"/>
        </w:rPr>
      </w:pPr>
      <w:r w:rsidRPr="00907EDE">
        <w:rPr>
          <w:rFonts w:cs="Segoe UI"/>
        </w:rPr>
        <w:t xml:space="preserve">The </w:t>
      </w:r>
      <w:r w:rsidRPr="00907EDE">
        <w:rPr>
          <w:rFonts w:cs="Segoe UI"/>
          <w:b/>
        </w:rPr>
        <w:t>ClearDB MySQL DB Contributor</w:t>
      </w:r>
      <w:r w:rsidRPr="00907EDE">
        <w:rPr>
          <w:rFonts w:cs="Segoe UI"/>
        </w:rPr>
        <w:t xml:space="preserve"> </w:t>
      </w:r>
      <w:r>
        <w:rPr>
          <w:rFonts w:cs="Segoe UI"/>
        </w:rPr>
        <w:t>l</w:t>
      </w:r>
      <w:r w:rsidRPr="00907EDE">
        <w:rPr>
          <w:rFonts w:cs="Segoe UI"/>
        </w:rPr>
        <w:t>ets users manage ClearDB My</w:t>
      </w:r>
      <w:r>
        <w:rPr>
          <w:rFonts w:cs="Segoe UI"/>
        </w:rPr>
        <w:t>SQL Database</w:t>
      </w:r>
      <w:r w:rsidRPr="00907EDE">
        <w:rPr>
          <w:rFonts w:cs="Segoe UI"/>
        </w:rPr>
        <w:t>s, but not access them.</w:t>
      </w:r>
    </w:p>
    <w:p w14:paraId="4576C788" w14:textId="77777777" w:rsidR="00DD54D5" w:rsidRPr="00907EDE" w:rsidRDefault="00DD54D5" w:rsidP="005729D2">
      <w:pPr>
        <w:pStyle w:val="ListParagraph"/>
        <w:numPr>
          <w:ilvl w:val="0"/>
          <w:numId w:val="61"/>
        </w:numPr>
        <w:rPr>
          <w:rFonts w:cs="Segoe UI"/>
        </w:rPr>
      </w:pPr>
      <w:r w:rsidRPr="00907EDE">
        <w:rPr>
          <w:rFonts w:cs="Segoe UI"/>
        </w:rPr>
        <w:t xml:space="preserve">The </w:t>
      </w:r>
      <w:r w:rsidRPr="00907EDE">
        <w:rPr>
          <w:rFonts w:cs="Segoe UI"/>
          <w:b/>
        </w:rPr>
        <w:t>Data Factory Contributor</w:t>
      </w:r>
      <w:r w:rsidRPr="00907EDE">
        <w:rPr>
          <w:rFonts w:cs="Segoe UI"/>
        </w:rPr>
        <w:t xml:space="preserve"> </w:t>
      </w:r>
      <w:r>
        <w:rPr>
          <w:rFonts w:cs="Segoe UI"/>
        </w:rPr>
        <w:t>l</w:t>
      </w:r>
      <w:r w:rsidRPr="00907EDE">
        <w:rPr>
          <w:rFonts w:cs="Segoe UI"/>
        </w:rPr>
        <w:t>ets users manage data factories, but not access them.</w:t>
      </w:r>
    </w:p>
    <w:p w14:paraId="78D183C5" w14:textId="77777777" w:rsidR="00DD54D5" w:rsidRPr="00907EDE" w:rsidRDefault="00DD54D5" w:rsidP="005729D2">
      <w:pPr>
        <w:pStyle w:val="ListParagraph"/>
        <w:numPr>
          <w:ilvl w:val="0"/>
          <w:numId w:val="61"/>
        </w:numPr>
        <w:rPr>
          <w:rFonts w:cs="Segoe UI"/>
        </w:rPr>
      </w:pPr>
      <w:r w:rsidRPr="00907EDE">
        <w:rPr>
          <w:rFonts w:cs="Segoe UI"/>
        </w:rPr>
        <w:t xml:space="preserve">The </w:t>
      </w:r>
      <w:r w:rsidRPr="00907EDE">
        <w:rPr>
          <w:rFonts w:cs="Segoe UI"/>
          <w:b/>
        </w:rPr>
        <w:t>DocumentDB Account Contributor</w:t>
      </w:r>
      <w:r w:rsidRPr="00EE1164">
        <w:rPr>
          <w:rFonts w:cs="Segoe UI"/>
        </w:rPr>
        <w:t xml:space="preserve"> </w:t>
      </w:r>
      <w:r>
        <w:rPr>
          <w:rFonts w:cs="Segoe UI"/>
        </w:rPr>
        <w:t>l</w:t>
      </w:r>
      <w:r w:rsidRPr="00907EDE">
        <w:rPr>
          <w:rFonts w:cs="Segoe UI"/>
        </w:rPr>
        <w:t xml:space="preserve">ets users manage DocumentDB, but not access </w:t>
      </w:r>
      <w:r>
        <w:rPr>
          <w:rFonts w:cs="Segoe UI"/>
        </w:rPr>
        <w:t>it</w:t>
      </w:r>
      <w:r w:rsidRPr="00907EDE">
        <w:rPr>
          <w:rFonts w:cs="Segoe UI"/>
        </w:rPr>
        <w:t>.</w:t>
      </w:r>
    </w:p>
    <w:p w14:paraId="18B914D4" w14:textId="77777777" w:rsidR="00DD54D5" w:rsidRPr="00907EDE" w:rsidRDefault="00DD54D5" w:rsidP="005729D2">
      <w:pPr>
        <w:pStyle w:val="ListParagraph"/>
        <w:numPr>
          <w:ilvl w:val="0"/>
          <w:numId w:val="61"/>
        </w:numPr>
        <w:rPr>
          <w:rFonts w:cs="Segoe UI"/>
        </w:rPr>
      </w:pPr>
      <w:r w:rsidRPr="00907EDE">
        <w:rPr>
          <w:rFonts w:cs="Segoe UI"/>
        </w:rPr>
        <w:t xml:space="preserve">The </w:t>
      </w:r>
      <w:r w:rsidRPr="00907EDE">
        <w:rPr>
          <w:rFonts w:cs="Segoe UI"/>
          <w:b/>
        </w:rPr>
        <w:t>Intelligent Systems Account Contributor</w:t>
      </w:r>
      <w:r w:rsidRPr="00EE1164">
        <w:rPr>
          <w:rFonts w:cs="Segoe UI"/>
          <w:b/>
        </w:rPr>
        <w:t xml:space="preserve"> </w:t>
      </w:r>
      <w:r>
        <w:rPr>
          <w:rFonts w:cs="Segoe UI"/>
        </w:rPr>
        <w:t>l</w:t>
      </w:r>
      <w:r w:rsidRPr="00907EDE">
        <w:rPr>
          <w:rFonts w:cs="Segoe UI"/>
        </w:rPr>
        <w:t>ets users manage Intelligent Systems accounts, but not access them.</w:t>
      </w:r>
    </w:p>
    <w:p w14:paraId="0F60D106" w14:textId="77777777" w:rsidR="00DD54D5" w:rsidRPr="00907EDE" w:rsidRDefault="00DD54D5" w:rsidP="005729D2">
      <w:pPr>
        <w:pStyle w:val="ListParagraph"/>
        <w:numPr>
          <w:ilvl w:val="0"/>
          <w:numId w:val="61"/>
        </w:numPr>
        <w:rPr>
          <w:rFonts w:cs="Segoe UI"/>
        </w:rPr>
      </w:pPr>
      <w:r w:rsidRPr="00907EDE">
        <w:rPr>
          <w:rFonts w:cs="Segoe UI"/>
        </w:rPr>
        <w:t xml:space="preserve">The </w:t>
      </w:r>
      <w:r w:rsidRPr="00EE1164">
        <w:rPr>
          <w:rFonts w:cs="Segoe UI"/>
          <w:b/>
        </w:rPr>
        <w:t>New</w:t>
      </w:r>
      <w:r w:rsidRPr="00907EDE">
        <w:rPr>
          <w:rFonts w:cs="Segoe UI"/>
          <w:b/>
        </w:rPr>
        <w:t>Relic APM Account Contributor</w:t>
      </w:r>
      <w:r w:rsidRPr="00EE1164">
        <w:rPr>
          <w:rFonts w:cs="Segoe UI"/>
        </w:rPr>
        <w:t xml:space="preserve"> </w:t>
      </w:r>
      <w:r>
        <w:rPr>
          <w:rFonts w:cs="Segoe UI"/>
        </w:rPr>
        <w:t>l</w:t>
      </w:r>
      <w:r w:rsidRPr="00907EDE">
        <w:rPr>
          <w:rFonts w:cs="Segoe UI"/>
        </w:rPr>
        <w:t>ets you manage New Relic Applications Performance Management accounts and applications, but not access them.</w:t>
      </w:r>
    </w:p>
    <w:p w14:paraId="103F9C03" w14:textId="77777777" w:rsidR="00DD54D5" w:rsidRPr="00907EDE" w:rsidRDefault="00DD54D5" w:rsidP="005729D2">
      <w:pPr>
        <w:pStyle w:val="ListParagraph"/>
        <w:numPr>
          <w:ilvl w:val="0"/>
          <w:numId w:val="61"/>
        </w:numPr>
        <w:rPr>
          <w:rFonts w:cs="Segoe UI"/>
        </w:rPr>
      </w:pPr>
      <w:r w:rsidRPr="00907EDE">
        <w:rPr>
          <w:rFonts w:cs="Segoe UI"/>
        </w:rPr>
        <w:t xml:space="preserve">The </w:t>
      </w:r>
      <w:r w:rsidRPr="00907EDE">
        <w:rPr>
          <w:rFonts w:cs="Segoe UI"/>
          <w:b/>
        </w:rPr>
        <w:t>Redis Cache Contributor</w:t>
      </w:r>
      <w:r w:rsidRPr="00EE1164">
        <w:rPr>
          <w:rFonts w:cs="Segoe UI"/>
        </w:rPr>
        <w:t xml:space="preserve"> </w:t>
      </w:r>
      <w:r>
        <w:rPr>
          <w:rFonts w:cs="Segoe UI"/>
        </w:rPr>
        <w:t>l</w:t>
      </w:r>
      <w:r w:rsidRPr="00907EDE">
        <w:rPr>
          <w:rFonts w:cs="Segoe UI"/>
        </w:rPr>
        <w:t>ets users manage Redis caches, but not access them.</w:t>
      </w:r>
    </w:p>
    <w:p w14:paraId="7350E7D8" w14:textId="77777777" w:rsidR="00DD54D5" w:rsidRPr="00907EDE" w:rsidRDefault="00DD54D5" w:rsidP="005729D2">
      <w:pPr>
        <w:pStyle w:val="ListParagraph"/>
        <w:numPr>
          <w:ilvl w:val="0"/>
          <w:numId w:val="61"/>
        </w:numPr>
        <w:rPr>
          <w:rFonts w:cs="Segoe UI"/>
        </w:rPr>
      </w:pPr>
      <w:r w:rsidRPr="00907EDE">
        <w:rPr>
          <w:rFonts w:cs="Segoe UI"/>
        </w:rPr>
        <w:t xml:space="preserve">The </w:t>
      </w:r>
      <w:r w:rsidRPr="00907EDE">
        <w:rPr>
          <w:rFonts w:cs="Segoe UI"/>
          <w:b/>
        </w:rPr>
        <w:t>Scheduler Job Collections Contributor</w:t>
      </w:r>
      <w:r w:rsidRPr="00EE1164">
        <w:rPr>
          <w:rFonts w:cs="Segoe UI"/>
          <w:b/>
        </w:rPr>
        <w:t xml:space="preserve"> </w:t>
      </w:r>
      <w:r>
        <w:rPr>
          <w:rFonts w:cs="Segoe UI"/>
        </w:rPr>
        <w:t>l</w:t>
      </w:r>
      <w:r w:rsidRPr="00907EDE">
        <w:rPr>
          <w:rFonts w:cs="Segoe UI"/>
        </w:rPr>
        <w:t xml:space="preserve">ets users manage </w:t>
      </w:r>
      <w:r>
        <w:rPr>
          <w:rFonts w:cs="Segoe UI"/>
        </w:rPr>
        <w:t>s</w:t>
      </w:r>
      <w:r w:rsidRPr="00907EDE">
        <w:rPr>
          <w:rFonts w:cs="Segoe UI"/>
        </w:rPr>
        <w:t>cheduled job collections, but not access them.</w:t>
      </w:r>
    </w:p>
    <w:p w14:paraId="01DB31A0" w14:textId="77777777" w:rsidR="00DD54D5" w:rsidRPr="00907EDE" w:rsidRDefault="00DD54D5" w:rsidP="005729D2">
      <w:pPr>
        <w:pStyle w:val="ListParagraph"/>
        <w:numPr>
          <w:ilvl w:val="0"/>
          <w:numId w:val="61"/>
        </w:numPr>
        <w:rPr>
          <w:rFonts w:cs="Segoe UI"/>
        </w:rPr>
      </w:pPr>
      <w:r w:rsidRPr="00907EDE">
        <w:rPr>
          <w:rFonts w:cs="Segoe UI"/>
        </w:rPr>
        <w:t xml:space="preserve">The </w:t>
      </w:r>
      <w:r w:rsidRPr="00907EDE">
        <w:rPr>
          <w:rFonts w:cs="Segoe UI"/>
          <w:b/>
        </w:rPr>
        <w:t>Search Service Contributor</w:t>
      </w:r>
      <w:r w:rsidRPr="00EE1164">
        <w:rPr>
          <w:rFonts w:cs="Segoe UI"/>
        </w:rPr>
        <w:t xml:space="preserve"> </w:t>
      </w:r>
      <w:r>
        <w:rPr>
          <w:rFonts w:cs="Segoe UI"/>
        </w:rPr>
        <w:t>l</w:t>
      </w:r>
      <w:r w:rsidRPr="00907EDE">
        <w:rPr>
          <w:rFonts w:cs="Segoe UI"/>
        </w:rPr>
        <w:t xml:space="preserve">ets users manage Search Service, but not access </w:t>
      </w:r>
      <w:r>
        <w:rPr>
          <w:rFonts w:cs="Segoe UI"/>
        </w:rPr>
        <w:t>it</w:t>
      </w:r>
      <w:r w:rsidRPr="00907EDE">
        <w:rPr>
          <w:rFonts w:cs="Segoe UI"/>
        </w:rPr>
        <w:t>.</w:t>
      </w:r>
    </w:p>
    <w:p w14:paraId="510B66D2" w14:textId="77777777" w:rsidR="00DD54D5" w:rsidRPr="00907EDE" w:rsidRDefault="00DD54D5" w:rsidP="005729D2">
      <w:pPr>
        <w:pStyle w:val="ListParagraph"/>
        <w:numPr>
          <w:ilvl w:val="0"/>
          <w:numId w:val="61"/>
        </w:numPr>
        <w:rPr>
          <w:rFonts w:cs="Segoe UI"/>
        </w:rPr>
      </w:pPr>
      <w:r w:rsidRPr="00907EDE">
        <w:rPr>
          <w:rFonts w:cs="Segoe UI"/>
        </w:rPr>
        <w:t xml:space="preserve">The </w:t>
      </w:r>
      <w:r w:rsidRPr="00907EDE">
        <w:rPr>
          <w:rFonts w:cs="Segoe UI"/>
          <w:b/>
        </w:rPr>
        <w:t>SQL DB Contributor</w:t>
      </w:r>
      <w:r w:rsidRPr="00EE1164">
        <w:rPr>
          <w:rFonts w:cs="Segoe UI"/>
          <w:b/>
        </w:rPr>
        <w:t xml:space="preserve"> </w:t>
      </w:r>
      <w:r>
        <w:rPr>
          <w:rFonts w:cs="Segoe UI"/>
        </w:rPr>
        <w:t>l</w:t>
      </w:r>
      <w:r w:rsidRPr="00907EDE">
        <w:rPr>
          <w:rFonts w:cs="Segoe UI"/>
        </w:rPr>
        <w:t xml:space="preserve">ets users manage </w:t>
      </w:r>
      <w:r>
        <w:rPr>
          <w:rFonts w:cs="Segoe UI"/>
        </w:rPr>
        <w:t>SQL Database</w:t>
      </w:r>
      <w:r w:rsidRPr="00907EDE">
        <w:rPr>
          <w:rFonts w:cs="Segoe UI"/>
        </w:rPr>
        <w:t>s, but not access them.</w:t>
      </w:r>
      <w:r>
        <w:rPr>
          <w:rFonts w:cs="Segoe UI"/>
        </w:rPr>
        <w:t xml:space="preserve"> Users a</w:t>
      </w:r>
      <w:r w:rsidRPr="00907EDE">
        <w:rPr>
          <w:rFonts w:cs="Segoe UI"/>
        </w:rPr>
        <w:t xml:space="preserve">lso cannot manage security-related policies or </w:t>
      </w:r>
      <w:r>
        <w:rPr>
          <w:rFonts w:cs="Segoe UI"/>
        </w:rPr>
        <w:t>p</w:t>
      </w:r>
      <w:r w:rsidRPr="00907EDE">
        <w:rPr>
          <w:rFonts w:cs="Segoe UI"/>
        </w:rPr>
        <w:t xml:space="preserve">arent </w:t>
      </w:r>
      <w:r>
        <w:rPr>
          <w:rFonts w:cs="Segoe UI"/>
        </w:rPr>
        <w:t xml:space="preserve">SQL </w:t>
      </w:r>
      <w:r w:rsidRPr="00907EDE">
        <w:rPr>
          <w:rFonts w:cs="Segoe UI"/>
        </w:rPr>
        <w:t>servers.</w:t>
      </w:r>
    </w:p>
    <w:p w14:paraId="3D7459C3" w14:textId="77777777" w:rsidR="00DD54D5" w:rsidRPr="00907EDE" w:rsidRDefault="00DD54D5" w:rsidP="005729D2">
      <w:pPr>
        <w:pStyle w:val="ListParagraph"/>
        <w:numPr>
          <w:ilvl w:val="0"/>
          <w:numId w:val="61"/>
        </w:numPr>
        <w:rPr>
          <w:rFonts w:cs="Segoe UI"/>
        </w:rPr>
      </w:pPr>
      <w:r w:rsidRPr="00907EDE">
        <w:rPr>
          <w:rFonts w:cs="Segoe UI"/>
        </w:rPr>
        <w:t xml:space="preserve">The </w:t>
      </w:r>
      <w:r w:rsidRPr="00907EDE">
        <w:rPr>
          <w:rFonts w:cs="Segoe UI"/>
          <w:b/>
        </w:rPr>
        <w:t>SQL Security Manager</w:t>
      </w:r>
      <w:r w:rsidRPr="00EE1164">
        <w:rPr>
          <w:rFonts w:cs="Segoe UI"/>
        </w:rPr>
        <w:t xml:space="preserve"> </w:t>
      </w:r>
      <w:r>
        <w:rPr>
          <w:rFonts w:cs="Segoe UI"/>
        </w:rPr>
        <w:t>l</w:t>
      </w:r>
      <w:r w:rsidRPr="00907EDE">
        <w:rPr>
          <w:rFonts w:cs="Segoe UI"/>
        </w:rPr>
        <w:t xml:space="preserve">ets users manage the security-related policies of SQL </w:t>
      </w:r>
      <w:r>
        <w:rPr>
          <w:rFonts w:cs="Segoe UI"/>
        </w:rPr>
        <w:t>S</w:t>
      </w:r>
      <w:r w:rsidRPr="00907EDE">
        <w:rPr>
          <w:rFonts w:cs="Segoe UI"/>
        </w:rPr>
        <w:t>erver</w:t>
      </w:r>
      <w:r>
        <w:rPr>
          <w:rFonts w:cs="Segoe UI"/>
        </w:rPr>
        <w:t xml:space="preserve"> instance</w:t>
      </w:r>
      <w:r w:rsidRPr="00907EDE">
        <w:rPr>
          <w:rFonts w:cs="Segoe UI"/>
        </w:rPr>
        <w:t>s and databases, but not access them.</w:t>
      </w:r>
    </w:p>
    <w:p w14:paraId="33A465A8" w14:textId="77777777" w:rsidR="00DD54D5" w:rsidRPr="00907EDE" w:rsidRDefault="00DD54D5" w:rsidP="005729D2">
      <w:pPr>
        <w:pStyle w:val="ListParagraph"/>
        <w:numPr>
          <w:ilvl w:val="0"/>
          <w:numId w:val="61"/>
        </w:numPr>
        <w:rPr>
          <w:rFonts w:cs="Segoe UI"/>
        </w:rPr>
      </w:pPr>
      <w:r w:rsidRPr="00907EDE">
        <w:rPr>
          <w:rFonts w:cs="Segoe UI"/>
        </w:rPr>
        <w:t xml:space="preserve">The </w:t>
      </w:r>
      <w:r w:rsidRPr="00907EDE">
        <w:rPr>
          <w:rFonts w:cs="Segoe UI"/>
          <w:b/>
        </w:rPr>
        <w:t>SQL Server Contributor</w:t>
      </w:r>
      <w:r w:rsidRPr="00EE1164">
        <w:rPr>
          <w:rFonts w:cs="Segoe UI"/>
        </w:rPr>
        <w:t xml:space="preserve"> </w:t>
      </w:r>
      <w:r>
        <w:rPr>
          <w:rFonts w:cs="Segoe UI"/>
        </w:rPr>
        <w:t>l</w:t>
      </w:r>
      <w:r w:rsidRPr="00907EDE">
        <w:rPr>
          <w:rFonts w:cs="Segoe UI"/>
        </w:rPr>
        <w:t xml:space="preserve">ets users manage SQL </w:t>
      </w:r>
      <w:r>
        <w:rPr>
          <w:rFonts w:cs="Segoe UI"/>
        </w:rPr>
        <w:t>S</w:t>
      </w:r>
      <w:r w:rsidRPr="00907EDE">
        <w:rPr>
          <w:rFonts w:cs="Segoe UI"/>
        </w:rPr>
        <w:t>erver</w:t>
      </w:r>
      <w:r>
        <w:rPr>
          <w:rFonts w:cs="Segoe UI"/>
        </w:rPr>
        <w:t xml:space="preserve"> instance</w:t>
      </w:r>
      <w:r w:rsidRPr="00907EDE">
        <w:rPr>
          <w:rFonts w:cs="Segoe UI"/>
        </w:rPr>
        <w:t xml:space="preserve">s and databases, but not access them </w:t>
      </w:r>
      <w:r>
        <w:rPr>
          <w:rFonts w:cs="Segoe UI"/>
        </w:rPr>
        <w:t>or</w:t>
      </w:r>
      <w:r w:rsidRPr="00907EDE">
        <w:rPr>
          <w:rFonts w:cs="Segoe UI"/>
        </w:rPr>
        <w:t xml:space="preserve"> their security</w:t>
      </w:r>
      <w:r>
        <w:rPr>
          <w:rFonts w:cs="Segoe UI"/>
        </w:rPr>
        <w:t>-</w:t>
      </w:r>
      <w:r w:rsidRPr="00907EDE">
        <w:rPr>
          <w:rFonts w:cs="Segoe UI"/>
        </w:rPr>
        <w:t>related policies.</w:t>
      </w:r>
    </w:p>
    <w:p w14:paraId="44DCB360" w14:textId="77777777" w:rsidR="00DD54D5" w:rsidRPr="00907EDE" w:rsidRDefault="00DD54D5" w:rsidP="005729D2">
      <w:pPr>
        <w:pStyle w:val="ListParagraph"/>
        <w:numPr>
          <w:ilvl w:val="0"/>
          <w:numId w:val="61"/>
        </w:numPr>
        <w:rPr>
          <w:rFonts w:cs="Segoe UI"/>
        </w:rPr>
      </w:pPr>
      <w:r w:rsidRPr="00907EDE">
        <w:rPr>
          <w:rFonts w:cs="Segoe UI"/>
        </w:rPr>
        <w:t xml:space="preserve">The </w:t>
      </w:r>
      <w:r w:rsidRPr="00907EDE">
        <w:rPr>
          <w:rFonts w:cs="Segoe UI"/>
          <w:b/>
        </w:rPr>
        <w:t>Storage Account Contributor</w:t>
      </w:r>
      <w:r w:rsidRPr="00EE1164">
        <w:rPr>
          <w:rFonts w:cs="Segoe UI"/>
        </w:rPr>
        <w:t xml:space="preserve"> </w:t>
      </w:r>
      <w:r>
        <w:rPr>
          <w:rFonts w:cs="Segoe UI"/>
        </w:rPr>
        <w:t>l</w:t>
      </w:r>
      <w:r w:rsidRPr="00907EDE">
        <w:rPr>
          <w:rFonts w:cs="Segoe UI"/>
        </w:rPr>
        <w:t>ets users manage storage accounts, but not access them.</w:t>
      </w:r>
    </w:p>
    <w:p w14:paraId="61DA3F71" w14:textId="77777777" w:rsidR="00DD54D5" w:rsidRPr="00907EDE" w:rsidRDefault="00DD54D5" w:rsidP="005729D2">
      <w:pPr>
        <w:pStyle w:val="ListParagraph"/>
        <w:numPr>
          <w:ilvl w:val="0"/>
          <w:numId w:val="61"/>
        </w:numPr>
        <w:rPr>
          <w:rFonts w:cs="Segoe UI"/>
        </w:rPr>
      </w:pPr>
      <w:r w:rsidRPr="00907EDE">
        <w:rPr>
          <w:rFonts w:cs="Segoe UI"/>
        </w:rPr>
        <w:t xml:space="preserve">The </w:t>
      </w:r>
      <w:r w:rsidRPr="00907EDE">
        <w:rPr>
          <w:rFonts w:cs="Segoe UI"/>
          <w:b/>
        </w:rPr>
        <w:t>User Access Administrator</w:t>
      </w:r>
      <w:r w:rsidRPr="00EE1164">
        <w:rPr>
          <w:rFonts w:cs="Segoe UI"/>
        </w:rPr>
        <w:t xml:space="preserve"> </w:t>
      </w:r>
      <w:r>
        <w:rPr>
          <w:rFonts w:cs="Segoe UI"/>
        </w:rPr>
        <w:t>l</w:t>
      </w:r>
      <w:r w:rsidRPr="00907EDE">
        <w:rPr>
          <w:rFonts w:cs="Segoe UI"/>
        </w:rPr>
        <w:t>ets users manage user access to Azure resource</w:t>
      </w:r>
      <w:r>
        <w:rPr>
          <w:rFonts w:cs="Segoe UI"/>
        </w:rPr>
        <w:t>s</w:t>
      </w:r>
      <w:r w:rsidRPr="00907EDE">
        <w:rPr>
          <w:rFonts w:cs="Segoe UI"/>
        </w:rPr>
        <w:t>.</w:t>
      </w:r>
    </w:p>
    <w:p w14:paraId="0CC0BC87" w14:textId="77777777" w:rsidR="00DD54D5" w:rsidRPr="00907EDE" w:rsidRDefault="00DD54D5" w:rsidP="005729D2">
      <w:pPr>
        <w:pStyle w:val="ListParagraph"/>
        <w:numPr>
          <w:ilvl w:val="0"/>
          <w:numId w:val="61"/>
        </w:numPr>
        <w:rPr>
          <w:rFonts w:cs="Segoe UI"/>
        </w:rPr>
      </w:pPr>
      <w:r w:rsidRPr="00907EDE">
        <w:rPr>
          <w:rFonts w:cs="Segoe UI"/>
        </w:rPr>
        <w:t xml:space="preserve">The </w:t>
      </w:r>
      <w:bookmarkStart w:id="1538" w:name="virtual-network-contributor"/>
      <w:bookmarkEnd w:id="1538"/>
      <w:r w:rsidRPr="00907EDE">
        <w:rPr>
          <w:rFonts w:cs="Segoe UI"/>
          <w:b/>
          <w:lang w:val="en"/>
        </w:rPr>
        <w:t>Virtual Network Contributor</w:t>
      </w:r>
      <w:r w:rsidRPr="006220AC">
        <w:rPr>
          <w:rFonts w:cs="Segoe UI"/>
          <w:lang w:val="en"/>
        </w:rPr>
        <w:t xml:space="preserve"> </w:t>
      </w:r>
      <w:r>
        <w:rPr>
          <w:rFonts w:cs="Segoe UI"/>
          <w:lang w:val="en"/>
        </w:rPr>
        <w:t>l</w:t>
      </w:r>
      <w:r w:rsidRPr="006220AC">
        <w:rPr>
          <w:rFonts w:cs="Segoe UI"/>
          <w:lang w:val="en"/>
        </w:rPr>
        <w:t xml:space="preserve">ets </w:t>
      </w:r>
      <w:r>
        <w:rPr>
          <w:rFonts w:cs="Segoe UI"/>
          <w:lang w:val="en"/>
        </w:rPr>
        <w:t>users</w:t>
      </w:r>
      <w:r w:rsidRPr="006220AC">
        <w:rPr>
          <w:rFonts w:cs="Segoe UI"/>
          <w:lang w:val="en"/>
        </w:rPr>
        <w:t xml:space="preserve"> manage virtual networks, but not access them.</w:t>
      </w:r>
    </w:p>
    <w:p w14:paraId="590D3ECA" w14:textId="77777777" w:rsidR="00DD54D5" w:rsidRPr="00907EDE" w:rsidRDefault="00DD54D5" w:rsidP="005729D2">
      <w:pPr>
        <w:pStyle w:val="ListParagraph"/>
        <w:numPr>
          <w:ilvl w:val="0"/>
          <w:numId w:val="61"/>
        </w:numPr>
        <w:rPr>
          <w:rFonts w:cs="Segoe UI"/>
        </w:rPr>
      </w:pPr>
      <w:r w:rsidRPr="006220AC">
        <w:rPr>
          <w:rFonts w:cs="Segoe UI"/>
          <w:lang w:val="en"/>
        </w:rPr>
        <w:t xml:space="preserve">The </w:t>
      </w:r>
      <w:r w:rsidRPr="006220AC">
        <w:rPr>
          <w:rFonts w:cs="Segoe UI"/>
          <w:b/>
          <w:lang w:val="en"/>
        </w:rPr>
        <w:t>Web Plan Contributor</w:t>
      </w:r>
      <w:r w:rsidRPr="007632FC">
        <w:rPr>
          <w:rFonts w:cs="Segoe UI"/>
          <w:lang w:val="en"/>
        </w:rPr>
        <w:t xml:space="preserve"> </w:t>
      </w:r>
      <w:r>
        <w:rPr>
          <w:rFonts w:cs="Segoe UI"/>
          <w:lang w:val="en"/>
        </w:rPr>
        <w:t>l</w:t>
      </w:r>
      <w:r w:rsidRPr="007632FC">
        <w:rPr>
          <w:rFonts w:cs="Segoe UI"/>
          <w:lang w:val="en"/>
        </w:rPr>
        <w:t xml:space="preserve">ets </w:t>
      </w:r>
      <w:r>
        <w:rPr>
          <w:rFonts w:cs="Segoe UI"/>
          <w:lang w:val="en"/>
        </w:rPr>
        <w:t>users</w:t>
      </w:r>
      <w:r w:rsidRPr="007632FC">
        <w:rPr>
          <w:rFonts w:cs="Segoe UI"/>
          <w:lang w:val="en"/>
        </w:rPr>
        <w:t xml:space="preserve"> manage the web plans for websites, but not access them.</w:t>
      </w:r>
    </w:p>
    <w:p w14:paraId="0B57F8E3" w14:textId="6C2EAA9D" w:rsidR="00EE1164" w:rsidRPr="00907EDE" w:rsidRDefault="00DD54D5" w:rsidP="005729D2">
      <w:pPr>
        <w:pStyle w:val="ListParagraph"/>
        <w:numPr>
          <w:ilvl w:val="0"/>
          <w:numId w:val="61"/>
        </w:numPr>
        <w:rPr>
          <w:rFonts w:cs="Segoe UI"/>
        </w:rPr>
      </w:pPr>
      <w:r w:rsidRPr="006220AC">
        <w:rPr>
          <w:rFonts w:cs="Segoe UI"/>
          <w:lang w:val="en"/>
        </w:rPr>
        <w:t xml:space="preserve">The </w:t>
      </w:r>
      <w:r w:rsidRPr="00907EDE">
        <w:rPr>
          <w:rFonts w:cs="Segoe UI"/>
          <w:b/>
          <w:lang w:val="en"/>
        </w:rPr>
        <w:t>Website Contributor</w:t>
      </w:r>
      <w:r w:rsidRPr="006220AC">
        <w:rPr>
          <w:rFonts w:cs="Segoe UI"/>
          <w:lang w:val="en"/>
        </w:rPr>
        <w:t xml:space="preserve"> </w:t>
      </w:r>
      <w:r>
        <w:rPr>
          <w:rFonts w:cs="Segoe UI"/>
          <w:lang w:val="en"/>
        </w:rPr>
        <w:t>l</w:t>
      </w:r>
      <w:r w:rsidRPr="006220AC">
        <w:rPr>
          <w:rFonts w:cs="Segoe UI"/>
          <w:lang w:val="en"/>
        </w:rPr>
        <w:t xml:space="preserve">ets </w:t>
      </w:r>
      <w:r>
        <w:rPr>
          <w:rFonts w:cs="Segoe UI"/>
          <w:lang w:val="en"/>
        </w:rPr>
        <w:t>users</w:t>
      </w:r>
      <w:r w:rsidRPr="006220AC">
        <w:rPr>
          <w:rFonts w:cs="Segoe UI"/>
          <w:lang w:val="en"/>
        </w:rPr>
        <w:t xml:space="preserve"> manage websites (not web plans), but not access them</w:t>
      </w:r>
      <w:r w:rsidR="00EE1164" w:rsidRPr="006220AC">
        <w:rPr>
          <w:rFonts w:cs="Segoe UI"/>
          <w:lang w:val="en"/>
        </w:rPr>
        <w:t>.</w:t>
      </w:r>
    </w:p>
    <w:p w14:paraId="75D5A552" w14:textId="45E9391A" w:rsidR="009C5C9A" w:rsidRDefault="4CA11770" w:rsidP="005729D2">
      <w:pPr>
        <w:pStyle w:val="Heading4Numbered"/>
        <w:numPr>
          <w:ilvl w:val="3"/>
          <w:numId w:val="64"/>
        </w:numPr>
      </w:pPr>
      <w:r w:rsidRPr="002B19E2">
        <w:t>Command</w:t>
      </w:r>
      <w:r w:rsidR="00131673">
        <w:t>-</w:t>
      </w:r>
      <w:r w:rsidRPr="002B19E2">
        <w:t>Line and API Access for Azure Role Based Access Control</w:t>
      </w:r>
    </w:p>
    <w:p w14:paraId="4EB00DD2" w14:textId="35E8D40F" w:rsidR="00131673" w:rsidRDefault="00131673" w:rsidP="00131673">
      <w:bookmarkStart w:id="1539" w:name="_Toc414892078"/>
      <w:bookmarkStart w:id="1540" w:name="_Toc414960104"/>
      <w:bookmarkStart w:id="1541" w:name="_Toc414969075"/>
      <w:bookmarkStart w:id="1542" w:name="_Toc415011297"/>
      <w:bookmarkStart w:id="1543" w:name="_Toc415039987"/>
      <w:bookmarkStart w:id="1544" w:name="_Toc415572342"/>
      <w:bookmarkStart w:id="1545" w:name="_Toc415735512"/>
      <w:bookmarkStart w:id="1546" w:name="_Toc415814093"/>
      <w:bookmarkStart w:id="1547" w:name="_Toc416343828"/>
      <w:bookmarkStart w:id="1548" w:name="_Toc416863099"/>
      <w:bookmarkStart w:id="1549" w:name="_Toc417314705"/>
      <w:bookmarkStart w:id="1550" w:name="_Toc417323722"/>
      <w:bookmarkStart w:id="1551" w:name="_Toc417326811"/>
      <w:bookmarkStart w:id="1552" w:name="_Toc417330359"/>
      <w:bookmarkStart w:id="1553" w:name="_Toc417394965"/>
      <w:bookmarkStart w:id="1554" w:name="_Toc417399182"/>
      <w:bookmarkStart w:id="1555" w:name="_Toc417399341"/>
      <w:bookmarkStart w:id="1556" w:name="_Toc417400388"/>
      <w:bookmarkStart w:id="1557" w:name="_Toc417401236"/>
      <w:bookmarkStart w:id="1558" w:name="_Toc417419549"/>
      <w:bookmarkStart w:id="1559" w:name="_Toc417457321"/>
      <w:bookmarkStart w:id="1560" w:name="_Toc417481899"/>
      <w:r>
        <w:rPr>
          <w:rFonts w:eastAsia="Segoe UI" w:cs="Segoe UI"/>
        </w:rPr>
        <w:t>E</w:t>
      </w:r>
      <w:r w:rsidRPr="003B10CA">
        <w:rPr>
          <w:rFonts w:eastAsia="Segoe UI" w:cs="Segoe UI"/>
        </w:rPr>
        <w:t>nforc</w:t>
      </w:r>
      <w:r>
        <w:rPr>
          <w:rFonts w:eastAsia="Segoe UI" w:cs="Segoe UI"/>
        </w:rPr>
        <w:t>ing</w:t>
      </w:r>
      <w:r w:rsidRPr="003B10CA">
        <w:rPr>
          <w:rFonts w:eastAsia="Segoe UI" w:cs="Segoe UI"/>
        </w:rPr>
        <w:t xml:space="preserve"> the access policies that you configure using RBAC is done by </w:t>
      </w:r>
      <w:r>
        <w:rPr>
          <w:rFonts w:eastAsia="Segoe UI" w:cs="Segoe UI"/>
        </w:rPr>
        <w:t xml:space="preserve">using </w:t>
      </w:r>
      <w:r w:rsidRPr="003B10CA">
        <w:rPr>
          <w:rFonts w:eastAsia="Segoe UI" w:cs="Segoe UI"/>
        </w:rPr>
        <w:t>Azure Resource Manager APIs.</w:t>
      </w:r>
      <w:r>
        <w:rPr>
          <w:rFonts w:eastAsia="Segoe UI" w:cs="Segoe UI"/>
        </w:rPr>
        <w:t xml:space="preserve"> T</w:t>
      </w:r>
      <w:r w:rsidRPr="003B10CA">
        <w:rPr>
          <w:rFonts w:eastAsia="Segoe UI" w:cs="Segoe UI"/>
        </w:rPr>
        <w:t xml:space="preserve">he Azure </w:t>
      </w:r>
      <w:r>
        <w:rPr>
          <w:rFonts w:eastAsia="Segoe UI" w:cs="Segoe UI"/>
        </w:rPr>
        <w:t>P</w:t>
      </w:r>
      <w:r w:rsidRPr="003B10CA">
        <w:rPr>
          <w:rFonts w:eastAsia="Segoe UI" w:cs="Segoe UI"/>
        </w:rPr>
        <w:t>review portal, command</w:t>
      </w:r>
      <w:r>
        <w:rPr>
          <w:rFonts w:eastAsia="Segoe UI" w:cs="Segoe UI"/>
        </w:rPr>
        <w:t>-</w:t>
      </w:r>
      <w:r w:rsidRPr="003B10CA">
        <w:rPr>
          <w:rFonts w:eastAsia="Segoe UI" w:cs="Segoe UI"/>
        </w:rPr>
        <w:t>line tools</w:t>
      </w:r>
      <w:r>
        <w:rPr>
          <w:rFonts w:eastAsia="Segoe UI" w:cs="Segoe UI"/>
        </w:rPr>
        <w:t>,</w:t>
      </w:r>
      <w:r w:rsidRPr="003B10CA">
        <w:rPr>
          <w:rFonts w:eastAsia="Segoe UI" w:cs="Segoe UI"/>
        </w:rPr>
        <w:t xml:space="preserve"> and </w:t>
      </w:r>
      <w:r>
        <w:rPr>
          <w:rFonts w:eastAsia="Segoe UI" w:cs="Segoe UI"/>
        </w:rPr>
        <w:t xml:space="preserve">Azure </w:t>
      </w:r>
      <w:r w:rsidRPr="003B10CA">
        <w:rPr>
          <w:rFonts w:eastAsia="Segoe UI" w:cs="Segoe UI"/>
        </w:rPr>
        <w:t xml:space="preserve">PowerShell use the Resource Manager APIs to </w:t>
      </w:r>
      <w:r>
        <w:rPr>
          <w:rFonts w:eastAsia="Segoe UI" w:cs="Segoe UI"/>
        </w:rPr>
        <w:t>run</w:t>
      </w:r>
      <w:r w:rsidRPr="003B10CA">
        <w:rPr>
          <w:rFonts w:eastAsia="Segoe UI" w:cs="Segoe UI"/>
        </w:rPr>
        <w:t xml:space="preserve"> management operations. This ensures that access is consistently enforced regardless of what tools are used to manage Azure resources. </w:t>
      </w:r>
    </w:p>
    <w:p w14:paraId="4BFDD215" w14:textId="6B38089B" w:rsidR="009C5C9A" w:rsidRDefault="00131673" w:rsidP="00131673">
      <w:pPr>
        <w:rPr>
          <w:rStyle w:val="Hyperlink"/>
          <w:rFonts w:eastAsia="Segoe UI" w:cs="Segoe UI"/>
          <w:color w:val="0563C1"/>
        </w:rPr>
      </w:pPr>
      <w:r w:rsidRPr="003B10CA">
        <w:rPr>
          <w:rFonts w:eastAsia="Segoe UI" w:cs="Segoe UI"/>
          <w:lang w:val="en"/>
        </w:rPr>
        <w:t xml:space="preserve">The following </w:t>
      </w:r>
      <w:r>
        <w:rPr>
          <w:rFonts w:eastAsia="Segoe UI" w:cs="Segoe UI"/>
          <w:lang w:val="en"/>
        </w:rPr>
        <w:t>article</w:t>
      </w:r>
      <w:r w:rsidRPr="003B10CA">
        <w:rPr>
          <w:rFonts w:eastAsia="Segoe UI" w:cs="Segoe UI"/>
          <w:lang w:val="en"/>
        </w:rPr>
        <w:t xml:space="preserve"> provides additional detail</w:t>
      </w:r>
      <w:r>
        <w:rPr>
          <w:rFonts w:eastAsia="Segoe UI" w:cs="Segoe UI"/>
          <w:lang w:val="en"/>
        </w:rPr>
        <w:t>s</w:t>
      </w:r>
      <w:r w:rsidRPr="003B10CA">
        <w:rPr>
          <w:rFonts w:eastAsia="Segoe UI" w:cs="Segoe UI"/>
          <w:lang w:val="en"/>
        </w:rPr>
        <w:t>:</w:t>
      </w:r>
      <w:r w:rsidR="00F04A7D">
        <w:rPr>
          <w:rFonts w:eastAsia="Segoe UI" w:cs="Segoe UI"/>
          <w:lang w:val="en"/>
        </w:rPr>
        <w:t xml:space="preserve"> </w:t>
      </w:r>
      <w:hyperlink r:id="rId100">
        <w:r>
          <w:rPr>
            <w:rStyle w:val="Hyperlink"/>
            <w:rFonts w:eastAsia="Segoe UI" w:cs="Segoe UI"/>
            <w:color w:val="0563C1"/>
          </w:rPr>
          <w:t>Role-based access control in the Microsoft Azure portal</w:t>
        </w:r>
      </w:hyperlink>
      <w:r w:rsidR="00F04A7D">
        <w:rPr>
          <w:rStyle w:val="Hyperlink"/>
          <w:rFonts w:eastAsia="Segoe UI" w:cs="Segoe UI"/>
          <w:color w:val="0563C1"/>
        </w:rPr>
        <w:t>.</w:t>
      </w:r>
    </w:p>
    <w:p w14:paraId="345EBFCC" w14:textId="0FBCB6DD" w:rsidR="00774993" w:rsidRPr="00774993" w:rsidRDefault="00774993" w:rsidP="005729D2">
      <w:pPr>
        <w:pStyle w:val="Heading3Numbered"/>
        <w:numPr>
          <w:ilvl w:val="2"/>
          <w:numId w:val="64"/>
        </w:numPr>
        <w:rPr>
          <w:rStyle w:val="Hyperlink"/>
          <w:color w:val="008AC8"/>
          <w:sz w:val="28"/>
          <w:u w:val="none"/>
        </w:rPr>
      </w:pPr>
      <w:bookmarkStart w:id="1561" w:name="_Toc418167560"/>
      <w:bookmarkStart w:id="1562" w:name="_Toc418185817"/>
      <w:bookmarkStart w:id="1563" w:name="_Toc422941525"/>
      <w:bookmarkStart w:id="1564" w:name="_Toc423116731"/>
      <w:bookmarkStart w:id="1565" w:name="_Toc423117764"/>
      <w:bookmarkStart w:id="1566" w:name="_Toc423117214"/>
      <w:bookmarkStart w:id="1567" w:name="_Toc431288800"/>
      <w:r>
        <w:t>Extending the Datacenter Fabric to Microsoft Azure</w:t>
      </w:r>
      <w:bookmarkEnd w:id="1561"/>
      <w:bookmarkEnd w:id="1562"/>
      <w:bookmarkEnd w:id="1563"/>
      <w:bookmarkEnd w:id="1564"/>
      <w:bookmarkEnd w:id="1565"/>
      <w:bookmarkEnd w:id="1566"/>
      <w:bookmarkEnd w:id="1567"/>
    </w:p>
    <w:p w14:paraId="25664AD3" w14:textId="3187E0B3" w:rsidR="00131673" w:rsidRDefault="00671612" w:rsidP="00131673">
      <w:r>
        <w:t>Extending</w:t>
      </w:r>
      <w:r w:rsidR="00131673">
        <w:t xml:space="preserve"> services from on-premises implementations to Azure resources is largely driven by operational requirements. </w:t>
      </w:r>
    </w:p>
    <w:p w14:paraId="60514210" w14:textId="77777777" w:rsidR="00131673" w:rsidRDefault="00131673" w:rsidP="005729D2">
      <w:pPr>
        <w:pStyle w:val="ListParagraph"/>
        <w:numPr>
          <w:ilvl w:val="0"/>
          <w:numId w:val="152"/>
        </w:numPr>
      </w:pPr>
      <w:r>
        <w:t>How will systems be patched and maintained?</w:t>
      </w:r>
    </w:p>
    <w:p w14:paraId="28604F9B" w14:textId="77777777" w:rsidR="00131673" w:rsidRDefault="00131673" w:rsidP="005729D2">
      <w:pPr>
        <w:pStyle w:val="ListParagraph"/>
        <w:numPr>
          <w:ilvl w:val="0"/>
          <w:numId w:val="152"/>
        </w:numPr>
      </w:pPr>
      <w:r>
        <w:t>How will systems be monitored?</w:t>
      </w:r>
    </w:p>
    <w:p w14:paraId="11DAC773" w14:textId="77777777" w:rsidR="00131673" w:rsidRDefault="00131673" w:rsidP="005729D2">
      <w:pPr>
        <w:pStyle w:val="ListParagraph"/>
        <w:numPr>
          <w:ilvl w:val="0"/>
          <w:numId w:val="152"/>
        </w:numPr>
      </w:pPr>
      <w:r>
        <w:t>What security and audit tools will be required?</w:t>
      </w:r>
    </w:p>
    <w:p w14:paraId="11224DF6" w14:textId="77777777" w:rsidR="00131673" w:rsidRDefault="00131673" w:rsidP="00131673">
      <w:r>
        <w:t xml:space="preserve">If any of the answers to these and other similar questions is by using an on-premises management tool, decisions need to be made as to how that is achieved. </w:t>
      </w:r>
    </w:p>
    <w:p w14:paraId="6C159F45" w14:textId="77777777" w:rsidR="00131673" w:rsidRDefault="00131673" w:rsidP="005729D2">
      <w:pPr>
        <w:pStyle w:val="ListParagraph"/>
        <w:numPr>
          <w:ilvl w:val="0"/>
          <w:numId w:val="153"/>
        </w:numPr>
      </w:pPr>
      <w:r>
        <w:t>Do on-premises systems need to be augmented with gateways or additional infrastructure that resides in Azure?</w:t>
      </w:r>
    </w:p>
    <w:p w14:paraId="148C1028" w14:textId="77777777" w:rsidR="00131673" w:rsidRDefault="00131673" w:rsidP="005729D2">
      <w:pPr>
        <w:pStyle w:val="ListParagraph"/>
        <w:numPr>
          <w:ilvl w:val="0"/>
          <w:numId w:val="153"/>
        </w:numPr>
      </w:pPr>
      <w:r>
        <w:t>Are agents necessary, and can they be built-in to an image, or must they be post deployed?</w:t>
      </w:r>
    </w:p>
    <w:p w14:paraId="5C548C32" w14:textId="77777777" w:rsidR="00131673" w:rsidRDefault="00131673" w:rsidP="005729D2">
      <w:pPr>
        <w:pStyle w:val="ListParagraph"/>
        <w:numPr>
          <w:ilvl w:val="0"/>
          <w:numId w:val="153"/>
        </w:numPr>
      </w:pPr>
      <w:r>
        <w:t>What protocols and communications flows are needed?</w:t>
      </w:r>
    </w:p>
    <w:p w14:paraId="329346D0" w14:textId="77777777" w:rsidR="00131673" w:rsidRDefault="00131673" w:rsidP="005729D2">
      <w:pPr>
        <w:pStyle w:val="ListParagraph"/>
        <w:numPr>
          <w:ilvl w:val="0"/>
          <w:numId w:val="154"/>
        </w:numPr>
      </w:pPr>
      <w:r>
        <w:t>What identities and permissions are required?</w:t>
      </w:r>
      <w:r w:rsidRPr="00322571">
        <w:t xml:space="preserve"> </w:t>
      </w:r>
    </w:p>
    <w:p w14:paraId="57105B93" w14:textId="77777777" w:rsidR="00131673" w:rsidRDefault="00131673" w:rsidP="005729D2">
      <w:pPr>
        <w:pStyle w:val="ListParagraph"/>
        <w:numPr>
          <w:ilvl w:val="0"/>
          <w:numId w:val="154"/>
        </w:numPr>
      </w:pPr>
      <w:r>
        <w:t>Is a common user interface required by operations?</w:t>
      </w:r>
    </w:p>
    <w:p w14:paraId="2995F138" w14:textId="77777777" w:rsidR="00131673" w:rsidRDefault="00131673" w:rsidP="005729D2">
      <w:pPr>
        <w:pStyle w:val="ListParagraph"/>
        <w:numPr>
          <w:ilvl w:val="0"/>
          <w:numId w:val="154"/>
        </w:numPr>
      </w:pPr>
      <w:r>
        <w:t>Is it the same or different operators on-premises and in Azure?</w:t>
      </w:r>
    </w:p>
    <w:p w14:paraId="7EF237B3" w14:textId="7853AA83" w:rsidR="005C3BEC" w:rsidRDefault="00131673" w:rsidP="00131673">
      <w:r>
        <w:t>The answers to these questions can drive decisions about identity, security, and network connectivity or be driven by them, depending on the organizations priorities</w:t>
      </w:r>
      <w:r w:rsidR="00097643">
        <w:t>.</w:t>
      </w:r>
    </w:p>
    <w:p w14:paraId="02271BA8" w14:textId="77777777" w:rsidR="00131673" w:rsidRDefault="00131673" w:rsidP="00131673">
      <w:r>
        <w:t xml:space="preserve">Moving to Azure and the cloud provides opportunities to do things differently. It is important to think about processes and functions from a cloud perspective. Treat everything like a service. Can Azure Services meet the needs? Think about minimum viable solutions—the agility and cost benefits can be enormous. </w:t>
      </w:r>
    </w:p>
    <w:p w14:paraId="315CB5CD" w14:textId="77777777" w:rsidR="00131673" w:rsidRDefault="00131673" w:rsidP="00131673">
      <w:r>
        <w:t>Azure offers Operational Insights, Application Insights, Log collection, and antivirus solutions from multiple venders, and encryption and backup solutions from Microsoft and third-parties. The more the platform can be leveraged and SaaS offerings utilized, the greater the benefits to the organization.</w:t>
      </w:r>
    </w:p>
    <w:p w14:paraId="7C2D3DDA" w14:textId="2000A0E6" w:rsidR="00322571" w:rsidRDefault="00131673" w:rsidP="00880307">
      <w:r>
        <w:t>Start with a cloud first mentality. That means using platform services to reduce infrastructure, management costs, and anchors to legacy solutions. Focus on being agile and scalable so the organization can capitalize on the elasticity and pay-for-use characteristics of Azure</w:t>
      </w:r>
      <w:r w:rsidR="00322571">
        <w:t>.</w:t>
      </w:r>
    </w:p>
    <w:p w14:paraId="422E2739" w14:textId="77777777" w:rsidR="00671612" w:rsidRDefault="00671612" w:rsidP="00880307"/>
    <w:p w14:paraId="16D170ED" w14:textId="77777777" w:rsidR="00671612" w:rsidRPr="00090880" w:rsidRDefault="00671612" w:rsidP="00880307"/>
    <w:p w14:paraId="6C2F163C" w14:textId="77777777" w:rsidR="00634F49" w:rsidRDefault="00634F49" w:rsidP="009C5C9A"/>
    <w:p w14:paraId="1C9C7F98" w14:textId="77777777" w:rsidR="00107E2A" w:rsidRDefault="00107E2A" w:rsidP="005729D2">
      <w:pPr>
        <w:pStyle w:val="Heading1Numbered"/>
        <w:numPr>
          <w:ilvl w:val="0"/>
          <w:numId w:val="64"/>
        </w:numPr>
      </w:pPr>
      <w:bookmarkStart w:id="1568" w:name="_Toc431288801"/>
      <w:r>
        <w:t>Microsoft Azure Management Models</w:t>
      </w:r>
      <w:bookmarkEnd w:id="1568"/>
    </w:p>
    <w:p w14:paraId="3AD79F1F" w14:textId="77777777" w:rsidR="00107E2A" w:rsidRDefault="00107E2A" w:rsidP="005729D2">
      <w:pPr>
        <w:pStyle w:val="Heading2Numbered"/>
        <w:numPr>
          <w:ilvl w:val="1"/>
          <w:numId w:val="64"/>
        </w:numPr>
      </w:pPr>
      <w:bookmarkStart w:id="1569" w:name="_Toc431288802"/>
      <w:r>
        <w:t>Azure Service Management Overview</w:t>
      </w:r>
      <w:bookmarkEnd w:id="1569"/>
    </w:p>
    <w:p w14:paraId="7D003BE1" w14:textId="144C3330" w:rsidR="00107E2A" w:rsidRDefault="00107E2A" w:rsidP="00107E2A">
      <w:r w:rsidRPr="00FC70B7">
        <w:t>The Azure Service Management (ASM)</w:t>
      </w:r>
      <w:r>
        <w:t xml:space="preserve"> </w:t>
      </w:r>
      <w:r w:rsidRPr="00FC70B7">
        <w:t>R</w:t>
      </w:r>
      <w:r w:rsidR="007E2A6A">
        <w:t>epresentational State Transfer (R</w:t>
      </w:r>
      <w:r w:rsidRPr="00FC70B7">
        <w:t>EST</w:t>
      </w:r>
      <w:r w:rsidR="007E2A6A">
        <w:t>)</w:t>
      </w:r>
      <w:r w:rsidRPr="00FC70B7">
        <w:t xml:space="preserve"> API </w:t>
      </w:r>
      <w:r>
        <w:t>has historically been the primary model for managing</w:t>
      </w:r>
      <w:r w:rsidRPr="00FC70B7">
        <w:t xml:space="preserve"> Azure resources. The </w:t>
      </w:r>
      <w:r>
        <w:t>original and present iterations of</w:t>
      </w:r>
      <w:r w:rsidR="007E2A6A">
        <w:t xml:space="preserve"> the</w:t>
      </w:r>
      <w:r>
        <w:t xml:space="preserve"> </w:t>
      </w:r>
      <w:r w:rsidRPr="00FC70B7">
        <w:t>Azure Portal, the Azure PowerShell cmdlets, the cross-platform CLI and the Azure Management Libraries for .NET are all built on top of the ASM</w:t>
      </w:r>
      <w:r w:rsidR="00444C66">
        <w:t xml:space="preserve"> API</w:t>
      </w:r>
      <w:r w:rsidRPr="00FC70B7">
        <w:t xml:space="preserve">. </w:t>
      </w:r>
      <w:r>
        <w:t>T</w:t>
      </w:r>
      <w:r w:rsidRPr="00FC70B7">
        <w:t xml:space="preserve">he ASM </w:t>
      </w:r>
      <w:r w:rsidR="00444C66">
        <w:t xml:space="preserve">API </w:t>
      </w:r>
      <w:r w:rsidRPr="00FC70B7">
        <w:t xml:space="preserve">was initially developed </w:t>
      </w:r>
      <w:r w:rsidR="00A91AA1">
        <w:t>several</w:t>
      </w:r>
      <w:r w:rsidRPr="00FC70B7">
        <w:t xml:space="preserve"> years ago and </w:t>
      </w:r>
      <w:r w:rsidR="00A91AA1">
        <w:t>is</w:t>
      </w:r>
      <w:r>
        <w:t xml:space="preserve"> missing many modern cloud management cap</w:t>
      </w:r>
      <w:r w:rsidR="007E2A6A">
        <w:t xml:space="preserve">abilities, whether it’s desired </w:t>
      </w:r>
      <w:r>
        <w:t xml:space="preserve">state configuration, </w:t>
      </w:r>
      <w:r w:rsidRPr="00FC70B7">
        <w:t>role</w:t>
      </w:r>
      <w:r w:rsidR="007E2A6A">
        <w:t xml:space="preserve"> </w:t>
      </w:r>
      <w:r w:rsidRPr="00FC70B7">
        <w:t>based access control (RBAC)</w:t>
      </w:r>
      <w:r>
        <w:t xml:space="preserve"> or </w:t>
      </w:r>
      <w:r w:rsidR="007E2A6A">
        <w:t xml:space="preserve">a </w:t>
      </w:r>
      <w:r>
        <w:t>flexible extensibility model for future Azure first-party services</w:t>
      </w:r>
      <w:r w:rsidRPr="00FC70B7">
        <w:t>. ASM supports authentication with either X.509 certificates or Azure Active Directory (AAD).</w:t>
      </w:r>
    </w:p>
    <w:p w14:paraId="74D44C8A" w14:textId="411ED6DA" w:rsidR="008B06E5" w:rsidRDefault="008B06E5" w:rsidP="00107E2A">
      <w:r w:rsidRPr="008B06E5">
        <w:rPr>
          <w:b/>
          <w:u w:val="single"/>
        </w:rPr>
        <w:t>Note</w:t>
      </w:r>
      <w:r>
        <w:t xml:space="preserve">: </w:t>
      </w:r>
      <w:r w:rsidRPr="00FC70B7">
        <w:t>Azure Service Management (ASM)</w:t>
      </w:r>
      <w:r>
        <w:t xml:space="preserve"> is not supported in the CSP subscriptions as defined in the CSP model</w:t>
      </w:r>
      <w:r w:rsidR="00444C66">
        <w:t>. Only customer-</w:t>
      </w:r>
      <w:r>
        <w:t xml:space="preserve">managed subscriptions can be managed using </w:t>
      </w:r>
      <w:r w:rsidRPr="00FC70B7">
        <w:t>Azure Service Management (ASM)</w:t>
      </w:r>
      <w:r>
        <w:t>.</w:t>
      </w:r>
      <w:r w:rsidR="00A91AA1">
        <w:t xml:space="preserve"> </w:t>
      </w:r>
      <w:r>
        <w:t xml:space="preserve">CSP subscriptions are compliant only with the </w:t>
      </w:r>
      <w:r w:rsidRPr="008B06E5">
        <w:t xml:space="preserve">Azure Resource </w:t>
      </w:r>
      <w:r w:rsidR="007E2A6A">
        <w:t>M</w:t>
      </w:r>
      <w:r>
        <w:t>anagement model described in the following section</w:t>
      </w:r>
      <w:r w:rsidR="007E2A6A">
        <w:t>.</w:t>
      </w:r>
    </w:p>
    <w:p w14:paraId="0D061BDB" w14:textId="77777777" w:rsidR="00107E2A" w:rsidRDefault="00107E2A" w:rsidP="005729D2">
      <w:pPr>
        <w:pStyle w:val="Heading2Numbered"/>
        <w:numPr>
          <w:ilvl w:val="1"/>
          <w:numId w:val="64"/>
        </w:numPr>
      </w:pPr>
      <w:bookmarkStart w:id="1570" w:name="_Toc431288803"/>
      <w:r>
        <w:t>Azure Resource Manager Overview</w:t>
      </w:r>
      <w:bookmarkEnd w:id="1570"/>
    </w:p>
    <w:p w14:paraId="3E675070" w14:textId="2CFD20B7" w:rsidR="00107E2A" w:rsidRDefault="00107E2A" w:rsidP="00107E2A">
      <w:r w:rsidRPr="00AF50E3">
        <w:t xml:space="preserve">The Azure Resource Manager REST API (ARM) </w:t>
      </w:r>
      <w:r>
        <w:t xml:space="preserve">has been </w:t>
      </w:r>
      <w:r w:rsidRPr="00AF50E3">
        <w:t xml:space="preserve">developed to replace ASM as the </w:t>
      </w:r>
      <w:r w:rsidR="007E2A6A">
        <w:t>authoritative method</w:t>
      </w:r>
      <w:r w:rsidRPr="00AF50E3">
        <w:t xml:space="preserve"> to manage Azure resources. ARM supports both desired</w:t>
      </w:r>
      <w:r w:rsidR="007E2A6A">
        <w:t xml:space="preserve"> </w:t>
      </w:r>
      <w:r w:rsidRPr="00AF50E3">
        <w:t>state configuration and RBAC, while providing a pluggable model allowing new Azure services to be cleanly integrated. The preview</w:t>
      </w:r>
      <w:r w:rsidR="008C604C">
        <w:t xml:space="preserve"> </w:t>
      </w:r>
      <w:r w:rsidRPr="00AF50E3">
        <w:t>Azure Portal and the ARM mode of the Azure PowerShell cmdlets both use ARM. AAD is the only authentication method supported by ARM.</w:t>
      </w:r>
    </w:p>
    <w:p w14:paraId="094EFEB7" w14:textId="77777777" w:rsidR="00EA5554" w:rsidRDefault="00107E2A" w:rsidP="00107E2A">
      <w:r>
        <w:t xml:space="preserve">ARM introduces the concept of a resource group which is a collection of individual Azure resources. A resource group is associated with a specific Azure region but may contain resources from more than one region. </w:t>
      </w:r>
    </w:p>
    <w:p w14:paraId="38F4482F" w14:textId="77777777" w:rsidR="00444C66" w:rsidRDefault="00444C66" w:rsidP="00107E2A"/>
    <w:p w14:paraId="2A3F8C55" w14:textId="77777777" w:rsidR="00444C66" w:rsidRDefault="00444C66">
      <w:pPr>
        <w:spacing w:before="0" w:after="160" w:line="259" w:lineRule="auto"/>
      </w:pPr>
      <w:r>
        <w:br w:type="page"/>
      </w:r>
    </w:p>
    <w:p w14:paraId="5454DE00" w14:textId="5F8CEE82" w:rsidR="00EA5554" w:rsidRDefault="00EA5554" w:rsidP="00107E2A">
      <w:r>
        <w:t>A resource group</w:t>
      </w:r>
      <w:r w:rsidRPr="00EA5554">
        <w:t xml:space="preserve"> </w:t>
      </w:r>
      <w:r>
        <w:t xml:space="preserve">can be </w:t>
      </w:r>
      <w:r w:rsidR="007E2A6A">
        <w:t>described</w:t>
      </w:r>
      <w:r>
        <w:t xml:space="preserve"> </w:t>
      </w:r>
      <w:r w:rsidR="00735E2C">
        <w:t>in</w:t>
      </w:r>
      <w:r>
        <w:t xml:space="preserve"> the following scenarios:</w:t>
      </w:r>
    </w:p>
    <w:tbl>
      <w:tblPr>
        <w:tblStyle w:val="PlainTable11"/>
        <w:tblW w:w="9355" w:type="dxa"/>
        <w:tblLook w:val="04A0" w:firstRow="1" w:lastRow="0" w:firstColumn="1" w:lastColumn="0" w:noHBand="0" w:noVBand="1"/>
      </w:tblPr>
      <w:tblGrid>
        <w:gridCol w:w="1278"/>
        <w:gridCol w:w="4474"/>
        <w:gridCol w:w="3603"/>
      </w:tblGrid>
      <w:tr w:rsidR="00C40F4F" w:rsidRPr="00A04156" w14:paraId="336EAA3A" w14:textId="77777777" w:rsidTr="001B678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8" w:type="dxa"/>
            <w:shd w:val="clear" w:color="auto" w:fill="808080" w:themeFill="background1" w:themeFillShade="80"/>
            <w:hideMark/>
          </w:tcPr>
          <w:p w14:paraId="242D7BAB" w14:textId="77777777" w:rsidR="00C40F4F" w:rsidRPr="00A04156" w:rsidRDefault="00C40F4F" w:rsidP="001B6783">
            <w:pPr>
              <w:spacing w:line="240" w:lineRule="auto"/>
              <w:rPr>
                <w:rFonts w:ascii="Times New Roman" w:hAnsi="Times New Roman"/>
                <w:color w:val="FFFFFF"/>
                <w:lang w:val="en-AU" w:eastAsia="en-AU"/>
              </w:rPr>
            </w:pPr>
            <w:r>
              <w:rPr>
                <w:rFonts w:eastAsia="Calibri"/>
                <w:color w:val="FFFFFF"/>
                <w:lang w:val="en-AU" w:eastAsia="en-AU"/>
              </w:rPr>
              <w:t>Type</w:t>
            </w:r>
          </w:p>
        </w:tc>
        <w:tc>
          <w:tcPr>
            <w:tcW w:w="4474" w:type="dxa"/>
            <w:shd w:val="clear" w:color="auto" w:fill="808080" w:themeFill="background1" w:themeFillShade="80"/>
            <w:hideMark/>
          </w:tcPr>
          <w:p w14:paraId="7FEE0C09" w14:textId="77777777" w:rsidR="00C40F4F" w:rsidRPr="00A04156" w:rsidRDefault="00C40F4F" w:rsidP="001B6783">
            <w:pPr>
              <w:spacing w:line="240" w:lineRule="auto"/>
              <w:cnfStyle w:val="100000000000" w:firstRow="1" w:lastRow="0" w:firstColumn="0" w:lastColumn="0" w:oddVBand="0" w:evenVBand="0" w:oddHBand="0" w:evenHBand="0" w:firstRowFirstColumn="0" w:firstRowLastColumn="0" w:lastRowFirstColumn="0" w:lastRowLastColumn="0"/>
              <w:rPr>
                <w:rFonts w:eastAsia="Calibri"/>
                <w:color w:val="FFFFFF"/>
                <w:lang w:val="en-AU" w:eastAsia="en-AU"/>
              </w:rPr>
            </w:pPr>
            <w:r>
              <w:rPr>
                <w:rFonts w:eastAsia="Calibri"/>
                <w:color w:val="FFFFFF"/>
                <w:lang w:val="en-AU" w:eastAsia="en-AU"/>
              </w:rPr>
              <w:t>Description</w:t>
            </w:r>
          </w:p>
        </w:tc>
        <w:tc>
          <w:tcPr>
            <w:tcW w:w="3603" w:type="dxa"/>
            <w:shd w:val="clear" w:color="auto" w:fill="808080" w:themeFill="background1" w:themeFillShade="80"/>
            <w:hideMark/>
          </w:tcPr>
          <w:p w14:paraId="6A50A8F5" w14:textId="77777777" w:rsidR="00C40F4F" w:rsidRPr="00A04156" w:rsidRDefault="00C40F4F" w:rsidP="001B6783">
            <w:pPr>
              <w:spacing w:line="240" w:lineRule="auto"/>
              <w:cnfStyle w:val="100000000000" w:firstRow="1" w:lastRow="0" w:firstColumn="0" w:lastColumn="0" w:oddVBand="0" w:evenVBand="0" w:oddHBand="0" w:evenHBand="0" w:firstRowFirstColumn="0" w:firstRowLastColumn="0" w:lastRowFirstColumn="0" w:lastRowLastColumn="0"/>
              <w:rPr>
                <w:rFonts w:eastAsia="Calibri"/>
                <w:color w:val="FFFFFF"/>
                <w:lang w:val="en-AU" w:eastAsia="en-AU"/>
              </w:rPr>
            </w:pPr>
            <w:r>
              <w:rPr>
                <w:rFonts w:eastAsia="Calibri"/>
                <w:color w:val="FFFFFF"/>
                <w:lang w:val="en-AU" w:eastAsia="en-AU"/>
              </w:rPr>
              <w:t>Example</w:t>
            </w:r>
          </w:p>
        </w:tc>
      </w:tr>
      <w:tr w:rsidR="00C40F4F" w:rsidRPr="007E3F2C" w14:paraId="65E12CA6" w14:textId="77777777" w:rsidTr="001B67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8" w:type="dxa"/>
            <w:hideMark/>
          </w:tcPr>
          <w:p w14:paraId="37854A23" w14:textId="77777777" w:rsidR="00C40F4F" w:rsidRPr="00236F1B" w:rsidRDefault="00C40F4F" w:rsidP="001B6783">
            <w:pPr>
              <w:pStyle w:val="NormalWeb"/>
              <w:rPr>
                <w:rFonts w:ascii="Segoe UI" w:hAnsi="Segoe UI" w:cs="Segoe UI"/>
                <w:sz w:val="20"/>
                <w:szCs w:val="20"/>
                <w:lang w:val="en-AU" w:eastAsia="en-AU"/>
              </w:rPr>
            </w:pPr>
            <w:r>
              <w:rPr>
                <w:rFonts w:ascii="Segoe UI" w:hAnsi="Segoe UI" w:cs="Segoe UI"/>
                <w:sz w:val="20"/>
                <w:szCs w:val="20"/>
                <w:lang w:val="en-AU" w:eastAsia="en-AU"/>
              </w:rPr>
              <w:t>Vertical</w:t>
            </w:r>
          </w:p>
        </w:tc>
        <w:tc>
          <w:tcPr>
            <w:tcW w:w="4474" w:type="dxa"/>
            <w:hideMark/>
          </w:tcPr>
          <w:p w14:paraId="0F79FD1B" w14:textId="77777777" w:rsidR="00C40F4F" w:rsidRPr="00F47607" w:rsidRDefault="00C40F4F" w:rsidP="001B6783">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C</w:t>
            </w:r>
            <w:r w:rsidRPr="00B320A8">
              <w:rPr>
                <w:rFonts w:ascii="Segoe UI" w:hAnsi="Segoe UI" w:cs="Segoe UI"/>
                <w:sz w:val="20"/>
                <w:szCs w:val="20"/>
                <w:lang w:val="en-AU" w:eastAsia="en-AU"/>
              </w:rPr>
              <w:t>ontains all resources comprising the single application</w:t>
            </w:r>
          </w:p>
        </w:tc>
        <w:tc>
          <w:tcPr>
            <w:tcW w:w="3603" w:type="dxa"/>
            <w:hideMark/>
          </w:tcPr>
          <w:p w14:paraId="55EFA6DC" w14:textId="77777777" w:rsidR="00C40F4F" w:rsidRPr="00B814EA" w:rsidRDefault="00C40F4F" w:rsidP="001B6783">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Company HR Application Resource Group</w:t>
            </w:r>
          </w:p>
        </w:tc>
      </w:tr>
      <w:tr w:rsidR="00C40F4F" w:rsidRPr="007E3F2C" w14:paraId="76D7655C" w14:textId="77777777" w:rsidTr="001B6783">
        <w:tc>
          <w:tcPr>
            <w:cnfStyle w:val="001000000000" w:firstRow="0" w:lastRow="0" w:firstColumn="1" w:lastColumn="0" w:oddVBand="0" w:evenVBand="0" w:oddHBand="0" w:evenHBand="0" w:firstRowFirstColumn="0" w:firstRowLastColumn="0" w:lastRowFirstColumn="0" w:lastRowLastColumn="0"/>
            <w:tcW w:w="1278" w:type="dxa"/>
            <w:hideMark/>
          </w:tcPr>
          <w:p w14:paraId="0A7AB745" w14:textId="77777777" w:rsidR="00C40F4F" w:rsidRPr="00236F1B" w:rsidRDefault="00C40F4F" w:rsidP="001B6783">
            <w:pPr>
              <w:pStyle w:val="NormalWeb"/>
              <w:rPr>
                <w:rFonts w:ascii="Segoe UI" w:hAnsi="Segoe UI" w:cs="Segoe UI"/>
                <w:sz w:val="20"/>
                <w:szCs w:val="20"/>
                <w:lang w:val="en-AU" w:eastAsia="en-AU"/>
              </w:rPr>
            </w:pPr>
            <w:r>
              <w:rPr>
                <w:rFonts w:ascii="Segoe UI" w:hAnsi="Segoe UI" w:cs="Segoe UI"/>
                <w:sz w:val="20"/>
                <w:szCs w:val="20"/>
                <w:lang w:val="en-AU" w:eastAsia="en-AU"/>
              </w:rPr>
              <w:t>Horizontal</w:t>
            </w:r>
          </w:p>
        </w:tc>
        <w:tc>
          <w:tcPr>
            <w:tcW w:w="4474" w:type="dxa"/>
            <w:hideMark/>
          </w:tcPr>
          <w:p w14:paraId="20D5992D" w14:textId="77777777" w:rsidR="00C40F4F" w:rsidRPr="00F47607" w:rsidRDefault="00C40F4F" w:rsidP="001B6783">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C</w:t>
            </w:r>
            <w:r w:rsidRPr="00B320A8">
              <w:rPr>
                <w:rFonts w:ascii="Segoe UI" w:hAnsi="Segoe UI" w:cs="Segoe UI"/>
                <w:sz w:val="20"/>
                <w:szCs w:val="20"/>
                <w:lang w:val="en-AU" w:eastAsia="en-AU"/>
              </w:rPr>
              <w:t>ombines all resources that comprise the specific deployment topology layer</w:t>
            </w:r>
            <w:r>
              <w:rPr>
                <w:rFonts w:ascii="Segoe UI" w:hAnsi="Segoe UI" w:cs="Segoe UI"/>
                <w:sz w:val="20"/>
                <w:szCs w:val="20"/>
                <w:lang w:val="en-AU" w:eastAsia="en-AU"/>
              </w:rPr>
              <w:t xml:space="preserve"> such as </w:t>
            </w:r>
            <w:r w:rsidRPr="00B320A8">
              <w:rPr>
                <w:rFonts w:ascii="Segoe UI" w:hAnsi="Segoe UI" w:cs="Segoe UI"/>
                <w:sz w:val="20"/>
                <w:szCs w:val="20"/>
                <w:lang w:val="en-AU" w:eastAsia="en-AU"/>
              </w:rPr>
              <w:t>shared services used by multiple applications or app-specific tier</w:t>
            </w:r>
          </w:p>
        </w:tc>
        <w:tc>
          <w:tcPr>
            <w:tcW w:w="3603" w:type="dxa"/>
            <w:hideMark/>
          </w:tcPr>
          <w:p w14:paraId="3D621549" w14:textId="77777777" w:rsidR="00C40F4F" w:rsidRPr="00236F1B" w:rsidRDefault="00C40F4F" w:rsidP="001B6783">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Shared Management Services Resource Group</w:t>
            </w:r>
          </w:p>
        </w:tc>
      </w:tr>
    </w:tbl>
    <w:p w14:paraId="52E1314F" w14:textId="77777777" w:rsidR="00C40F4F" w:rsidRDefault="00C40F4F" w:rsidP="00107E2A"/>
    <w:p w14:paraId="1C85B527" w14:textId="22947C44" w:rsidR="00107E2A" w:rsidRDefault="00107E2A" w:rsidP="00107E2A">
      <w:r>
        <w:t xml:space="preserve">ARM supports the use of a parameterized resource group template file that can be used to </w:t>
      </w:r>
      <w:r w:rsidR="007E2A6A">
        <w:t>create</w:t>
      </w:r>
      <w:r>
        <w:t xml:space="preserve"> one or more resource groups along with their individual resources. The deployment of a resource group uses desired</w:t>
      </w:r>
      <w:r w:rsidR="007E2A6A">
        <w:t xml:space="preserve"> </w:t>
      </w:r>
      <w:r>
        <w:t>state configuration</w:t>
      </w:r>
      <w:r w:rsidR="007E2A6A">
        <w:t xml:space="preserve">.  </w:t>
      </w:r>
      <w:r>
        <w:t xml:space="preserve">ARM ensures that the resources are deployed in accordance with the appropriately parameterized template file for the resource group. Resource providers exist for many types of Azure resources, and more Azure services are currently adding ARM support, gradually migrating from </w:t>
      </w:r>
      <w:r w:rsidR="007E2A6A">
        <w:t xml:space="preserve">the </w:t>
      </w:r>
      <w:r>
        <w:t>legacy ASM model.</w:t>
      </w:r>
    </w:p>
    <w:p w14:paraId="50835230" w14:textId="13DE5A12" w:rsidR="00107E2A" w:rsidRDefault="00107E2A" w:rsidP="00107E2A">
      <w:r>
        <w:t>ARM supports role</w:t>
      </w:r>
      <w:r w:rsidR="007E2A6A">
        <w:t xml:space="preserve"> </w:t>
      </w:r>
      <w:r>
        <w:t xml:space="preserve">based access control (RBAC), and this support is expressed in the preview Azure Portal and the ARM mode of the Azure PowerShell cmdlets. ARM provides </w:t>
      </w:r>
      <w:r w:rsidR="007E2A6A">
        <w:t>several</w:t>
      </w:r>
      <w:r>
        <w:t xml:space="preserve"> core roles – Owner, Contributor</w:t>
      </w:r>
      <w:r w:rsidR="007E2A6A">
        <w:t>,</w:t>
      </w:r>
      <w:r>
        <w:t xml:space="preserve"> and Reader</w:t>
      </w:r>
      <w:r w:rsidR="007E2A6A">
        <w:t>.  I</w:t>
      </w:r>
      <w:r>
        <w:t>ndividual resource providers support additional resource-specific roles</w:t>
      </w:r>
      <w:r w:rsidR="007E2A6A">
        <w:t>,</w:t>
      </w:r>
      <w:r>
        <w:t xml:space="preserve"> such as Search Service Contributor and Virtual Machine Contributor. </w:t>
      </w:r>
    </w:p>
    <w:p w14:paraId="58F4DE0B" w14:textId="223A5327" w:rsidR="00107E2A" w:rsidRDefault="00107E2A" w:rsidP="005729D2">
      <w:pPr>
        <w:pStyle w:val="Heading2Numbered"/>
        <w:numPr>
          <w:ilvl w:val="2"/>
          <w:numId w:val="64"/>
        </w:numPr>
      </w:pPr>
      <w:bookmarkStart w:id="1571" w:name="_Toc431288804"/>
      <w:r>
        <w:t>Azure Resource Manager Templates</w:t>
      </w:r>
      <w:bookmarkEnd w:id="1571"/>
    </w:p>
    <w:p w14:paraId="44F72755" w14:textId="00815FCA" w:rsidR="00107E2A" w:rsidRDefault="00107E2A" w:rsidP="00107E2A">
      <w:r w:rsidRPr="006C6AF1">
        <w:t xml:space="preserve">Azure Resource Manager </w:t>
      </w:r>
      <w:r>
        <w:t xml:space="preserve">(ARM) </w:t>
      </w:r>
      <w:r w:rsidRPr="006C6AF1">
        <w:t xml:space="preserve">templates enable </w:t>
      </w:r>
      <w:r>
        <w:t>quick and easily provisioning of</w:t>
      </w:r>
      <w:r w:rsidRPr="006C6AF1">
        <w:t xml:space="preserve"> </w:t>
      </w:r>
      <w:r>
        <w:t xml:space="preserve">Azure </w:t>
      </w:r>
      <w:r w:rsidRPr="006C6AF1">
        <w:t xml:space="preserve">applications via declarative JSON. </w:t>
      </w:r>
      <w:r>
        <w:t xml:space="preserve">The </w:t>
      </w:r>
      <w:r w:rsidRPr="006C6AF1">
        <w:t>single JSON template</w:t>
      </w:r>
      <w:r>
        <w:t xml:space="preserve"> can be constructed to </w:t>
      </w:r>
      <w:r w:rsidRPr="006C6AF1">
        <w:t xml:space="preserve">deploy multiple services, such as </w:t>
      </w:r>
      <w:r w:rsidR="007E2A6A">
        <w:t>v</w:t>
      </w:r>
      <w:r w:rsidR="007E2A6A" w:rsidRPr="006C6AF1">
        <w:t>irtual machines, virtual networks, storage, app services</w:t>
      </w:r>
      <w:r w:rsidRPr="006C6AF1">
        <w:t xml:space="preserve">, and databases. </w:t>
      </w:r>
      <w:r>
        <w:t xml:space="preserve">The </w:t>
      </w:r>
      <w:r w:rsidRPr="006C6AF1">
        <w:t xml:space="preserve">same template </w:t>
      </w:r>
      <w:r>
        <w:t xml:space="preserve">can be used </w:t>
      </w:r>
      <w:r w:rsidRPr="006C6AF1">
        <w:t xml:space="preserve">to repeatedly and consistently deploy </w:t>
      </w:r>
      <w:r>
        <w:t xml:space="preserve">the </w:t>
      </w:r>
      <w:r w:rsidRPr="006C6AF1">
        <w:t>application during every stage of the application lifecycle.</w:t>
      </w:r>
      <w:r w:rsidR="00F82036">
        <w:t xml:space="preserve"> Consequently, templates provide a reusable declarative model that complements imperative management patterns defined by PowerShell.</w:t>
      </w:r>
    </w:p>
    <w:p w14:paraId="493ED53F" w14:textId="15BBA55D" w:rsidR="002F6705" w:rsidRDefault="002F6705" w:rsidP="002F6705">
      <w:r w:rsidRPr="006C6AF1">
        <w:t xml:space="preserve">Azure Resource Manager </w:t>
      </w:r>
      <w:r>
        <w:t xml:space="preserve">(ARM) </w:t>
      </w:r>
      <w:r w:rsidRPr="006C6AF1">
        <w:t>templates</w:t>
      </w:r>
      <w:r>
        <w:t xml:space="preserve"> can be deployed from Azure PowerShell, Azure CLI</w:t>
      </w:r>
      <w:r w:rsidR="007E2A6A">
        <w:t>,</w:t>
      </w:r>
      <w:r>
        <w:t xml:space="preserve"> or </w:t>
      </w:r>
      <w:r w:rsidR="007E2A6A">
        <w:t xml:space="preserve">the </w:t>
      </w:r>
      <w:r>
        <w:t>Azure preview portal. The following excerpt demonstrates how a known quickstart template defining a simple Azure VM can be deployed using Azure PowerShell</w:t>
      </w:r>
      <w:r w:rsidR="007E2A6A">
        <w:t>.</w:t>
      </w:r>
    </w:p>
    <w:p w14:paraId="0A87BF96" w14:textId="77777777" w:rsidR="002F6705" w:rsidRDefault="002F6705" w:rsidP="002F6705"/>
    <w:p w14:paraId="14CD8DF9" w14:textId="77777777" w:rsidR="002F6705" w:rsidRPr="002A2257" w:rsidRDefault="002F6705" w:rsidP="002F6705">
      <w:pPr>
        <w:pBdr>
          <w:top w:val="single" w:sz="6" w:space="8" w:color="969696"/>
          <w:left w:val="single" w:sz="6" w:space="8" w:color="969696"/>
          <w:bottom w:val="single" w:sz="6" w:space="8" w:color="969696"/>
          <w:right w:val="single" w:sz="6" w:space="8" w:color="969696"/>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312" w:lineRule="atLeast"/>
        <w:rPr>
          <w:rFonts w:ascii="Consolas" w:eastAsia="Times New Roman" w:hAnsi="Consolas" w:cs="Consolas"/>
          <w:color w:val="000000"/>
          <w:sz w:val="18"/>
          <w:szCs w:val="18"/>
        </w:rPr>
      </w:pPr>
      <w:r w:rsidRPr="002A2257">
        <w:rPr>
          <w:rFonts w:ascii="Consolas" w:eastAsia="Times New Roman" w:hAnsi="Consolas" w:cs="Consolas"/>
          <w:color w:val="000000"/>
          <w:sz w:val="18"/>
          <w:szCs w:val="18"/>
        </w:rPr>
        <w:t>$deployName=</w:t>
      </w:r>
      <w:r w:rsidRPr="002A2257">
        <w:rPr>
          <w:rFonts w:ascii="Consolas" w:eastAsia="Times New Roman" w:hAnsi="Consolas" w:cs="Consolas"/>
          <w:color w:val="800000"/>
          <w:sz w:val="18"/>
          <w:szCs w:val="18"/>
        </w:rPr>
        <w:t>"&lt;deployment name&gt;"</w:t>
      </w:r>
    </w:p>
    <w:p w14:paraId="2CCC50F1" w14:textId="77777777" w:rsidR="002F6705" w:rsidRPr="002A2257" w:rsidRDefault="002F6705" w:rsidP="002F6705">
      <w:pPr>
        <w:pBdr>
          <w:top w:val="single" w:sz="6" w:space="8" w:color="969696"/>
          <w:left w:val="single" w:sz="6" w:space="8" w:color="969696"/>
          <w:bottom w:val="single" w:sz="6" w:space="8" w:color="969696"/>
          <w:right w:val="single" w:sz="6" w:space="8" w:color="969696"/>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312" w:lineRule="atLeast"/>
        <w:rPr>
          <w:rFonts w:ascii="Consolas" w:eastAsia="Times New Roman" w:hAnsi="Consolas" w:cs="Consolas"/>
          <w:color w:val="000000"/>
          <w:sz w:val="18"/>
          <w:szCs w:val="18"/>
        </w:rPr>
      </w:pPr>
      <w:r w:rsidRPr="002A2257">
        <w:rPr>
          <w:rFonts w:ascii="Consolas" w:eastAsia="Times New Roman" w:hAnsi="Consolas" w:cs="Consolas"/>
          <w:color w:val="000000"/>
          <w:sz w:val="18"/>
          <w:szCs w:val="18"/>
        </w:rPr>
        <w:t>$RGName=</w:t>
      </w:r>
      <w:r w:rsidRPr="002A2257">
        <w:rPr>
          <w:rFonts w:ascii="Consolas" w:eastAsia="Times New Roman" w:hAnsi="Consolas" w:cs="Consolas"/>
          <w:color w:val="800000"/>
          <w:sz w:val="18"/>
          <w:szCs w:val="18"/>
        </w:rPr>
        <w:t>"&lt;resource group name&gt;"</w:t>
      </w:r>
    </w:p>
    <w:p w14:paraId="3549EBF8" w14:textId="77777777" w:rsidR="002F6705" w:rsidRPr="002A2257" w:rsidRDefault="002F6705" w:rsidP="002F6705">
      <w:pPr>
        <w:pBdr>
          <w:top w:val="single" w:sz="6" w:space="8" w:color="969696"/>
          <w:left w:val="single" w:sz="6" w:space="8" w:color="969696"/>
          <w:bottom w:val="single" w:sz="6" w:space="8" w:color="969696"/>
          <w:right w:val="single" w:sz="6" w:space="8" w:color="969696"/>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312" w:lineRule="atLeast"/>
        <w:rPr>
          <w:rFonts w:ascii="Consolas" w:eastAsia="Times New Roman" w:hAnsi="Consolas" w:cs="Consolas"/>
          <w:color w:val="000000"/>
          <w:sz w:val="18"/>
          <w:szCs w:val="18"/>
        </w:rPr>
      </w:pPr>
      <w:r w:rsidRPr="002A2257">
        <w:rPr>
          <w:rFonts w:ascii="Consolas" w:eastAsia="Times New Roman" w:hAnsi="Consolas" w:cs="Consolas"/>
          <w:color w:val="000000"/>
          <w:sz w:val="18"/>
          <w:szCs w:val="18"/>
        </w:rPr>
        <w:t>$locName=</w:t>
      </w:r>
      <w:r w:rsidRPr="002A2257">
        <w:rPr>
          <w:rFonts w:ascii="Consolas" w:eastAsia="Times New Roman" w:hAnsi="Consolas" w:cs="Consolas"/>
          <w:color w:val="800000"/>
          <w:sz w:val="18"/>
          <w:szCs w:val="18"/>
        </w:rPr>
        <w:t>"&lt;Azure location, such as West US&gt;"</w:t>
      </w:r>
    </w:p>
    <w:p w14:paraId="6FEE4855" w14:textId="77777777" w:rsidR="002F6705" w:rsidRPr="002A2257" w:rsidRDefault="002F6705" w:rsidP="002F6705">
      <w:pPr>
        <w:pBdr>
          <w:top w:val="single" w:sz="6" w:space="8" w:color="969696"/>
          <w:left w:val="single" w:sz="6" w:space="8" w:color="969696"/>
          <w:bottom w:val="single" w:sz="6" w:space="8" w:color="969696"/>
          <w:right w:val="single" w:sz="6" w:space="8" w:color="969696"/>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312" w:lineRule="atLeast"/>
        <w:rPr>
          <w:rFonts w:ascii="Consolas" w:eastAsia="Times New Roman" w:hAnsi="Consolas" w:cs="Consolas"/>
          <w:b/>
          <w:color w:val="000000"/>
          <w:sz w:val="18"/>
          <w:szCs w:val="18"/>
        </w:rPr>
      </w:pPr>
      <w:r w:rsidRPr="002A2257">
        <w:rPr>
          <w:rFonts w:ascii="Consolas" w:eastAsia="Times New Roman" w:hAnsi="Consolas" w:cs="Consolas"/>
          <w:b/>
          <w:color w:val="000000"/>
          <w:sz w:val="18"/>
          <w:szCs w:val="18"/>
        </w:rPr>
        <w:t>$templateURI=</w:t>
      </w:r>
      <w:r w:rsidRPr="002A2257">
        <w:rPr>
          <w:rFonts w:ascii="Consolas" w:eastAsia="Times New Roman" w:hAnsi="Consolas" w:cs="Consolas"/>
          <w:b/>
          <w:color w:val="800000"/>
          <w:sz w:val="18"/>
          <w:szCs w:val="18"/>
        </w:rPr>
        <w:t>"https://raw.githubusercontent.com/Azure/azure-quickstart-templates/master/101-simple-windows-vm/azuredeploy.json"</w:t>
      </w:r>
    </w:p>
    <w:p w14:paraId="2359CA69" w14:textId="77777777" w:rsidR="002F6705" w:rsidRPr="002A2257" w:rsidRDefault="002F6705" w:rsidP="002F6705">
      <w:pPr>
        <w:pBdr>
          <w:top w:val="single" w:sz="6" w:space="8" w:color="969696"/>
          <w:left w:val="single" w:sz="6" w:space="8" w:color="969696"/>
          <w:bottom w:val="single" w:sz="6" w:space="8" w:color="969696"/>
          <w:right w:val="single" w:sz="6" w:space="8" w:color="969696"/>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312" w:lineRule="atLeast"/>
        <w:rPr>
          <w:rFonts w:ascii="Consolas" w:eastAsia="Times New Roman" w:hAnsi="Consolas" w:cs="Consolas"/>
          <w:color w:val="000000"/>
          <w:sz w:val="18"/>
          <w:szCs w:val="18"/>
        </w:rPr>
      </w:pPr>
      <w:r w:rsidRPr="002A2257">
        <w:rPr>
          <w:rFonts w:ascii="Consolas" w:eastAsia="Times New Roman" w:hAnsi="Consolas" w:cs="Consolas"/>
          <w:color w:val="2B91AF"/>
          <w:sz w:val="18"/>
          <w:szCs w:val="18"/>
        </w:rPr>
        <w:t>New</w:t>
      </w:r>
      <w:r w:rsidRPr="002A2257">
        <w:rPr>
          <w:rFonts w:ascii="Consolas" w:eastAsia="Times New Roman" w:hAnsi="Consolas" w:cs="Consolas"/>
          <w:color w:val="000000"/>
          <w:sz w:val="18"/>
          <w:szCs w:val="18"/>
        </w:rPr>
        <w:t>-</w:t>
      </w:r>
      <w:r w:rsidRPr="002A2257">
        <w:rPr>
          <w:rFonts w:ascii="Consolas" w:eastAsia="Times New Roman" w:hAnsi="Consolas" w:cs="Consolas"/>
          <w:color w:val="2B91AF"/>
          <w:sz w:val="18"/>
          <w:szCs w:val="18"/>
        </w:rPr>
        <w:t>AzureResourceGroup</w:t>
      </w:r>
      <w:r w:rsidRPr="002A2257">
        <w:rPr>
          <w:rFonts w:ascii="Consolas" w:eastAsia="Times New Roman" w:hAnsi="Consolas" w:cs="Consolas"/>
          <w:color w:val="000000"/>
          <w:sz w:val="18"/>
          <w:szCs w:val="18"/>
        </w:rPr>
        <w:t xml:space="preserve"> -</w:t>
      </w:r>
      <w:r w:rsidRPr="002A2257">
        <w:rPr>
          <w:rFonts w:ascii="Consolas" w:eastAsia="Times New Roman" w:hAnsi="Consolas" w:cs="Consolas"/>
          <w:color w:val="2B91AF"/>
          <w:sz w:val="18"/>
          <w:szCs w:val="18"/>
        </w:rPr>
        <w:t>Name</w:t>
      </w:r>
      <w:r w:rsidRPr="002A2257">
        <w:rPr>
          <w:rFonts w:ascii="Consolas" w:eastAsia="Times New Roman" w:hAnsi="Consolas" w:cs="Consolas"/>
          <w:color w:val="000000"/>
          <w:sz w:val="18"/>
          <w:szCs w:val="18"/>
        </w:rPr>
        <w:t xml:space="preserve"> $RGName -</w:t>
      </w:r>
      <w:r w:rsidRPr="002A2257">
        <w:rPr>
          <w:rFonts w:ascii="Consolas" w:eastAsia="Times New Roman" w:hAnsi="Consolas" w:cs="Consolas"/>
          <w:color w:val="2B91AF"/>
          <w:sz w:val="18"/>
          <w:szCs w:val="18"/>
        </w:rPr>
        <w:t>Location</w:t>
      </w:r>
      <w:r w:rsidRPr="002A2257">
        <w:rPr>
          <w:rFonts w:ascii="Consolas" w:eastAsia="Times New Roman" w:hAnsi="Consolas" w:cs="Consolas"/>
          <w:color w:val="000000"/>
          <w:sz w:val="18"/>
          <w:szCs w:val="18"/>
        </w:rPr>
        <w:t xml:space="preserve"> $locName</w:t>
      </w:r>
    </w:p>
    <w:p w14:paraId="46B6D66A" w14:textId="77777777" w:rsidR="002F6705" w:rsidRPr="002A2257" w:rsidRDefault="002F6705" w:rsidP="002F6705">
      <w:pPr>
        <w:pBdr>
          <w:top w:val="single" w:sz="6" w:space="8" w:color="969696"/>
          <w:left w:val="single" w:sz="6" w:space="8" w:color="969696"/>
          <w:bottom w:val="single" w:sz="6" w:space="8" w:color="969696"/>
          <w:right w:val="single" w:sz="6" w:space="8" w:color="969696"/>
        </w:pBdr>
        <w:shd w:val="clear" w:color="auto" w:fill="EEEEE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312" w:lineRule="atLeast"/>
        <w:rPr>
          <w:rFonts w:ascii="Consolas" w:eastAsia="Times New Roman" w:hAnsi="Consolas" w:cs="Consolas"/>
          <w:b/>
          <w:color w:val="505050"/>
          <w:sz w:val="18"/>
          <w:szCs w:val="18"/>
        </w:rPr>
      </w:pPr>
      <w:r w:rsidRPr="002A2257">
        <w:rPr>
          <w:rFonts w:ascii="Consolas" w:eastAsia="Times New Roman" w:hAnsi="Consolas" w:cs="Consolas"/>
          <w:b/>
          <w:color w:val="2B91AF"/>
          <w:sz w:val="18"/>
          <w:szCs w:val="18"/>
        </w:rPr>
        <w:t>New</w:t>
      </w:r>
      <w:r w:rsidRPr="002A2257">
        <w:rPr>
          <w:rFonts w:ascii="Consolas" w:eastAsia="Times New Roman" w:hAnsi="Consolas" w:cs="Consolas"/>
          <w:b/>
          <w:color w:val="000000"/>
          <w:sz w:val="18"/>
          <w:szCs w:val="18"/>
        </w:rPr>
        <w:t>-</w:t>
      </w:r>
      <w:r w:rsidRPr="002A2257">
        <w:rPr>
          <w:rFonts w:ascii="Consolas" w:eastAsia="Times New Roman" w:hAnsi="Consolas" w:cs="Consolas"/>
          <w:b/>
          <w:color w:val="2B91AF"/>
          <w:sz w:val="18"/>
          <w:szCs w:val="18"/>
        </w:rPr>
        <w:t>AzureResourceGroupDeployment</w:t>
      </w:r>
      <w:r w:rsidRPr="002A2257">
        <w:rPr>
          <w:rFonts w:ascii="Consolas" w:eastAsia="Times New Roman" w:hAnsi="Consolas" w:cs="Consolas"/>
          <w:b/>
          <w:color w:val="000000"/>
          <w:sz w:val="18"/>
          <w:szCs w:val="18"/>
        </w:rPr>
        <w:t xml:space="preserve"> -</w:t>
      </w:r>
      <w:r w:rsidRPr="002A2257">
        <w:rPr>
          <w:rFonts w:ascii="Consolas" w:eastAsia="Times New Roman" w:hAnsi="Consolas" w:cs="Consolas"/>
          <w:b/>
          <w:color w:val="2B91AF"/>
          <w:sz w:val="18"/>
          <w:szCs w:val="18"/>
        </w:rPr>
        <w:t>Name</w:t>
      </w:r>
      <w:r w:rsidRPr="002A2257">
        <w:rPr>
          <w:rFonts w:ascii="Consolas" w:eastAsia="Times New Roman" w:hAnsi="Consolas" w:cs="Consolas"/>
          <w:b/>
          <w:color w:val="000000"/>
          <w:sz w:val="18"/>
          <w:szCs w:val="18"/>
        </w:rPr>
        <w:t xml:space="preserve"> $deployName -</w:t>
      </w:r>
      <w:r w:rsidRPr="002A2257">
        <w:rPr>
          <w:rFonts w:ascii="Consolas" w:eastAsia="Times New Roman" w:hAnsi="Consolas" w:cs="Consolas"/>
          <w:b/>
          <w:color w:val="2B91AF"/>
          <w:sz w:val="18"/>
          <w:szCs w:val="18"/>
        </w:rPr>
        <w:t>ResourceGroupName</w:t>
      </w:r>
      <w:r w:rsidRPr="002A2257">
        <w:rPr>
          <w:rFonts w:ascii="Consolas" w:eastAsia="Times New Roman" w:hAnsi="Consolas" w:cs="Consolas"/>
          <w:b/>
          <w:color w:val="000000"/>
          <w:sz w:val="18"/>
          <w:szCs w:val="18"/>
        </w:rPr>
        <w:t xml:space="preserve"> $RGName -</w:t>
      </w:r>
      <w:r w:rsidRPr="002A2257">
        <w:rPr>
          <w:rFonts w:ascii="Consolas" w:eastAsia="Times New Roman" w:hAnsi="Consolas" w:cs="Consolas"/>
          <w:b/>
          <w:color w:val="2B91AF"/>
          <w:sz w:val="18"/>
          <w:szCs w:val="18"/>
        </w:rPr>
        <w:t>TemplateUri</w:t>
      </w:r>
      <w:r w:rsidRPr="002A2257">
        <w:rPr>
          <w:rFonts w:ascii="Consolas" w:eastAsia="Times New Roman" w:hAnsi="Consolas" w:cs="Consolas"/>
          <w:b/>
          <w:color w:val="000000"/>
          <w:sz w:val="18"/>
          <w:szCs w:val="18"/>
        </w:rPr>
        <w:t xml:space="preserve"> $templateURI</w:t>
      </w:r>
    </w:p>
    <w:p w14:paraId="152E1020" w14:textId="5AFF97B3" w:rsidR="00941C18" w:rsidRDefault="00941C18" w:rsidP="00941C18">
      <w:pPr>
        <w:pStyle w:val="Style2"/>
      </w:pPr>
      <w:r>
        <w:t>Template Constructs</w:t>
      </w:r>
    </w:p>
    <w:p w14:paraId="7B168826" w14:textId="122200F9" w:rsidR="002A2257" w:rsidRDefault="00C40F4F" w:rsidP="00941C18">
      <w:r w:rsidRPr="00C40F4F">
        <w:t>The list below describes typical constructs that can be found in a</w:t>
      </w:r>
      <w:r w:rsidR="007E2A6A">
        <w:t>n</w:t>
      </w:r>
      <w:r w:rsidRPr="00C40F4F">
        <w:t xml:space="preserve"> </w:t>
      </w:r>
      <w:r w:rsidR="007E2A6A">
        <w:t xml:space="preserve">ARM </w:t>
      </w:r>
      <w:r w:rsidRPr="00C40F4F">
        <w:t>template</w:t>
      </w:r>
      <w:r w:rsidR="009A2D9D">
        <w:t>:</w:t>
      </w:r>
    </w:p>
    <w:p w14:paraId="6D0BDAA4" w14:textId="38018A8C" w:rsidR="009A2D9D" w:rsidRDefault="00444C66" w:rsidP="00444C66">
      <w:r>
        <w:t xml:space="preserve">The </w:t>
      </w:r>
      <w:r w:rsidR="009A2D9D" w:rsidRPr="00444C66">
        <w:rPr>
          <w:b/>
        </w:rPr>
        <w:t xml:space="preserve">parameters </w:t>
      </w:r>
      <w:r w:rsidR="009A2D9D" w:rsidRPr="009A2D9D">
        <w:t xml:space="preserve">section </w:t>
      </w:r>
      <w:r w:rsidR="009A2D9D">
        <w:t xml:space="preserve">represents a </w:t>
      </w:r>
      <w:r w:rsidR="009A2D9D" w:rsidRPr="009A2D9D">
        <w:t>collection of the parameters that are defined in all of the resources</w:t>
      </w:r>
      <w:r w:rsidR="009A2D9D">
        <w:t xml:space="preserve">, </w:t>
      </w:r>
      <w:r w:rsidR="009A2D9D" w:rsidRPr="009A2D9D">
        <w:t>includes property values provide</w:t>
      </w:r>
      <w:r w:rsidR="009A2D9D">
        <w:t>d</w:t>
      </w:r>
      <w:r w:rsidR="009A2D9D" w:rsidRPr="009A2D9D">
        <w:t xml:space="preserve"> when setting up </w:t>
      </w:r>
      <w:r w:rsidR="009A2D9D">
        <w:t xml:space="preserve">a </w:t>
      </w:r>
      <w:r w:rsidR="009A2D9D" w:rsidRPr="009A2D9D">
        <w:t>resource group.</w:t>
      </w:r>
    </w:p>
    <w:p w14:paraId="15540B9B" w14:textId="77777777" w:rsidR="009A2D9D" w:rsidRDefault="009A2D9D" w:rsidP="00444C66">
      <w:pPr>
        <w:pStyle w:val="HTMLPreformatted"/>
        <w:ind w:left="720"/>
        <w:rPr>
          <w:rStyle w:val="pln"/>
        </w:rPr>
      </w:pPr>
      <w:r>
        <w:rPr>
          <w:rStyle w:val="str"/>
        </w:rPr>
        <w:t>"parameters"</w:t>
      </w:r>
      <w:r>
        <w:rPr>
          <w:rStyle w:val="pun"/>
        </w:rPr>
        <w:t>:</w:t>
      </w:r>
      <w:r>
        <w:rPr>
          <w:rStyle w:val="pln"/>
        </w:rPr>
        <w:t xml:space="preserve"> </w:t>
      </w:r>
      <w:r>
        <w:rPr>
          <w:rStyle w:val="pun"/>
        </w:rPr>
        <w:t>{</w:t>
      </w:r>
    </w:p>
    <w:p w14:paraId="544E05F6" w14:textId="77777777" w:rsidR="009A2D9D" w:rsidRDefault="009A2D9D" w:rsidP="00444C66">
      <w:pPr>
        <w:pStyle w:val="HTMLPreformatted"/>
        <w:ind w:left="720"/>
        <w:rPr>
          <w:rStyle w:val="pln"/>
        </w:rPr>
      </w:pPr>
      <w:r>
        <w:rPr>
          <w:rStyle w:val="pln"/>
        </w:rPr>
        <w:t xml:space="preserve">  </w:t>
      </w:r>
      <w:r>
        <w:rPr>
          <w:rStyle w:val="str"/>
        </w:rPr>
        <w:t>"siteName"</w:t>
      </w:r>
      <w:r>
        <w:rPr>
          <w:rStyle w:val="pun"/>
        </w:rPr>
        <w:t>:</w:t>
      </w:r>
      <w:r>
        <w:rPr>
          <w:rStyle w:val="pln"/>
        </w:rPr>
        <w:t xml:space="preserve"> </w:t>
      </w:r>
      <w:r>
        <w:rPr>
          <w:rStyle w:val="pun"/>
        </w:rPr>
        <w:t>{</w:t>
      </w:r>
    </w:p>
    <w:p w14:paraId="5047813D" w14:textId="77777777" w:rsidR="009A2D9D" w:rsidRDefault="009A2D9D" w:rsidP="00444C66">
      <w:pPr>
        <w:pStyle w:val="HTMLPreformatted"/>
        <w:ind w:left="720"/>
        <w:rPr>
          <w:rStyle w:val="pln"/>
        </w:rPr>
      </w:pPr>
      <w:r>
        <w:rPr>
          <w:rStyle w:val="pln"/>
        </w:rPr>
        <w:t xml:space="preserve">    </w:t>
      </w:r>
      <w:r>
        <w:rPr>
          <w:rStyle w:val="str"/>
        </w:rPr>
        <w:t>"type"</w:t>
      </w:r>
      <w:r>
        <w:rPr>
          <w:rStyle w:val="pun"/>
        </w:rPr>
        <w:t>:</w:t>
      </w:r>
      <w:r>
        <w:rPr>
          <w:rStyle w:val="pln"/>
        </w:rPr>
        <w:t xml:space="preserve"> </w:t>
      </w:r>
      <w:r>
        <w:rPr>
          <w:rStyle w:val="str"/>
        </w:rPr>
        <w:t>"string"</w:t>
      </w:r>
    </w:p>
    <w:p w14:paraId="6235D6F4" w14:textId="77777777" w:rsidR="009A2D9D" w:rsidRDefault="009A2D9D" w:rsidP="00444C66">
      <w:pPr>
        <w:pStyle w:val="HTMLPreformatted"/>
        <w:ind w:left="720"/>
        <w:rPr>
          <w:rStyle w:val="pln"/>
        </w:rPr>
      </w:pPr>
      <w:r>
        <w:rPr>
          <w:rStyle w:val="pln"/>
        </w:rPr>
        <w:t xml:space="preserve">  </w:t>
      </w:r>
      <w:r>
        <w:rPr>
          <w:rStyle w:val="pun"/>
        </w:rPr>
        <w:t>},</w:t>
      </w:r>
    </w:p>
    <w:p w14:paraId="468427A8" w14:textId="77777777" w:rsidR="009A2D9D" w:rsidRDefault="009A2D9D" w:rsidP="00444C66">
      <w:pPr>
        <w:pStyle w:val="HTMLPreformatted"/>
        <w:ind w:left="720"/>
        <w:rPr>
          <w:rStyle w:val="pln"/>
        </w:rPr>
      </w:pPr>
      <w:r>
        <w:rPr>
          <w:rStyle w:val="pln"/>
        </w:rPr>
        <w:t xml:space="preserve">  </w:t>
      </w:r>
      <w:r>
        <w:rPr>
          <w:rStyle w:val="str"/>
        </w:rPr>
        <w:t>"hostingPlanName"</w:t>
      </w:r>
      <w:r>
        <w:rPr>
          <w:rStyle w:val="pun"/>
        </w:rPr>
        <w:t>:</w:t>
      </w:r>
      <w:r>
        <w:rPr>
          <w:rStyle w:val="pln"/>
        </w:rPr>
        <w:t xml:space="preserve"> </w:t>
      </w:r>
      <w:r>
        <w:rPr>
          <w:rStyle w:val="pun"/>
        </w:rPr>
        <w:t>{</w:t>
      </w:r>
    </w:p>
    <w:p w14:paraId="56F229C7" w14:textId="77777777" w:rsidR="009A2D9D" w:rsidRDefault="009A2D9D" w:rsidP="00444C66">
      <w:pPr>
        <w:pStyle w:val="HTMLPreformatted"/>
        <w:ind w:left="720"/>
        <w:rPr>
          <w:rStyle w:val="pln"/>
        </w:rPr>
      </w:pPr>
      <w:r>
        <w:rPr>
          <w:rStyle w:val="pln"/>
        </w:rPr>
        <w:t xml:space="preserve">    </w:t>
      </w:r>
      <w:r>
        <w:rPr>
          <w:rStyle w:val="str"/>
        </w:rPr>
        <w:t>"type"</w:t>
      </w:r>
      <w:r>
        <w:rPr>
          <w:rStyle w:val="pun"/>
        </w:rPr>
        <w:t>:</w:t>
      </w:r>
      <w:r>
        <w:rPr>
          <w:rStyle w:val="pln"/>
        </w:rPr>
        <w:t xml:space="preserve"> </w:t>
      </w:r>
      <w:r>
        <w:rPr>
          <w:rStyle w:val="str"/>
        </w:rPr>
        <w:t>"string"</w:t>
      </w:r>
    </w:p>
    <w:p w14:paraId="233997A7" w14:textId="77777777" w:rsidR="009A2D9D" w:rsidRDefault="009A2D9D" w:rsidP="00444C66">
      <w:pPr>
        <w:pStyle w:val="HTMLPreformatted"/>
        <w:ind w:left="720"/>
        <w:rPr>
          <w:rStyle w:val="pln"/>
        </w:rPr>
      </w:pPr>
      <w:r>
        <w:rPr>
          <w:rStyle w:val="pln"/>
        </w:rPr>
        <w:t xml:space="preserve">  </w:t>
      </w:r>
      <w:r>
        <w:rPr>
          <w:rStyle w:val="pun"/>
        </w:rPr>
        <w:t>},</w:t>
      </w:r>
    </w:p>
    <w:p w14:paraId="737BABC5" w14:textId="77777777" w:rsidR="009A2D9D" w:rsidRDefault="009A2D9D" w:rsidP="00444C66">
      <w:pPr>
        <w:pStyle w:val="HTMLPreformatted"/>
        <w:ind w:left="720"/>
        <w:rPr>
          <w:rStyle w:val="pln"/>
        </w:rPr>
      </w:pPr>
      <w:r>
        <w:rPr>
          <w:rStyle w:val="pln"/>
        </w:rPr>
        <w:t xml:space="preserve">  </w:t>
      </w:r>
      <w:r>
        <w:rPr>
          <w:rStyle w:val="str"/>
        </w:rPr>
        <w:t>"siteLocation"</w:t>
      </w:r>
      <w:r>
        <w:rPr>
          <w:rStyle w:val="pun"/>
        </w:rPr>
        <w:t>:</w:t>
      </w:r>
      <w:r>
        <w:rPr>
          <w:rStyle w:val="pln"/>
        </w:rPr>
        <w:t xml:space="preserve"> </w:t>
      </w:r>
      <w:r>
        <w:rPr>
          <w:rStyle w:val="pun"/>
        </w:rPr>
        <w:t>{</w:t>
      </w:r>
    </w:p>
    <w:p w14:paraId="6A79970E" w14:textId="77777777" w:rsidR="009A2D9D" w:rsidRDefault="009A2D9D" w:rsidP="00444C66">
      <w:pPr>
        <w:pStyle w:val="HTMLPreformatted"/>
        <w:ind w:left="720"/>
        <w:rPr>
          <w:rStyle w:val="pln"/>
        </w:rPr>
      </w:pPr>
      <w:r>
        <w:rPr>
          <w:rStyle w:val="pln"/>
        </w:rPr>
        <w:t xml:space="preserve">    </w:t>
      </w:r>
      <w:r>
        <w:rPr>
          <w:rStyle w:val="str"/>
        </w:rPr>
        <w:t>"type"</w:t>
      </w:r>
      <w:r>
        <w:rPr>
          <w:rStyle w:val="pun"/>
        </w:rPr>
        <w:t>:</w:t>
      </w:r>
      <w:r>
        <w:rPr>
          <w:rStyle w:val="pln"/>
        </w:rPr>
        <w:t xml:space="preserve"> </w:t>
      </w:r>
      <w:r>
        <w:rPr>
          <w:rStyle w:val="str"/>
        </w:rPr>
        <w:t>"string"</w:t>
      </w:r>
    </w:p>
    <w:p w14:paraId="55A4E2E7" w14:textId="77777777" w:rsidR="009A2D9D" w:rsidRDefault="009A2D9D" w:rsidP="00444C66">
      <w:pPr>
        <w:pStyle w:val="HTMLPreformatted"/>
        <w:ind w:left="720"/>
        <w:rPr>
          <w:rStyle w:val="pln"/>
        </w:rPr>
      </w:pPr>
      <w:r>
        <w:rPr>
          <w:rStyle w:val="pln"/>
        </w:rPr>
        <w:t xml:space="preserve">  </w:t>
      </w:r>
      <w:r>
        <w:rPr>
          <w:rStyle w:val="pun"/>
        </w:rPr>
        <w:t>},</w:t>
      </w:r>
    </w:p>
    <w:p w14:paraId="31A1AA8F" w14:textId="77777777" w:rsidR="009A2D9D" w:rsidRDefault="009A2D9D" w:rsidP="00444C66">
      <w:pPr>
        <w:pStyle w:val="HTMLPreformatted"/>
        <w:ind w:left="720"/>
        <w:rPr>
          <w:rStyle w:val="pln"/>
        </w:rPr>
      </w:pPr>
      <w:r>
        <w:rPr>
          <w:rStyle w:val="pln"/>
        </w:rPr>
        <w:t xml:space="preserve">  </w:t>
      </w:r>
      <w:r>
        <w:rPr>
          <w:rStyle w:val="pun"/>
        </w:rPr>
        <w:t>...</w:t>
      </w:r>
    </w:p>
    <w:p w14:paraId="22190658" w14:textId="77777777" w:rsidR="009A2D9D" w:rsidRDefault="009A2D9D" w:rsidP="00444C66">
      <w:pPr>
        <w:pStyle w:val="HTMLPreformatted"/>
        <w:ind w:left="720"/>
      </w:pPr>
      <w:r>
        <w:rPr>
          <w:rStyle w:val="pun"/>
        </w:rPr>
        <w:t>}</w:t>
      </w:r>
    </w:p>
    <w:p w14:paraId="50C57D58" w14:textId="77777777" w:rsidR="009A2D9D" w:rsidRDefault="009A2D9D" w:rsidP="009A2D9D"/>
    <w:p w14:paraId="1FDE41EC" w14:textId="02022B18" w:rsidR="009A2D9D" w:rsidRDefault="00444C66" w:rsidP="00444C66">
      <w:r>
        <w:t xml:space="preserve">The </w:t>
      </w:r>
      <w:r w:rsidR="009A2D9D" w:rsidRPr="00444C66">
        <w:rPr>
          <w:b/>
        </w:rPr>
        <w:t>resources</w:t>
      </w:r>
      <w:r w:rsidR="009A2D9D" w:rsidRPr="009A2D9D">
        <w:t xml:space="preserve"> section</w:t>
      </w:r>
      <w:r>
        <w:t xml:space="preserve"> </w:t>
      </w:r>
      <w:r w:rsidR="009A2D9D" w:rsidRPr="009A2D9D">
        <w:t>lists the resources that the template creates</w:t>
      </w:r>
      <w:r w:rsidR="007E2A6A">
        <w:t xml:space="preserve">, </w:t>
      </w:r>
      <w:r w:rsidR="009A2D9D">
        <w:t xml:space="preserve">with </w:t>
      </w:r>
      <w:r w:rsidR="009A2D9D" w:rsidRPr="009A2D9D">
        <w:t xml:space="preserve">each resource </w:t>
      </w:r>
      <w:r w:rsidR="009A2D9D">
        <w:t xml:space="preserve">described in detail, including </w:t>
      </w:r>
      <w:r w:rsidR="009A2D9D" w:rsidRPr="009A2D9D">
        <w:t>its properties, and parameters for user-defined values</w:t>
      </w:r>
      <w:r w:rsidR="007E2A6A">
        <w:t>.</w:t>
      </w:r>
    </w:p>
    <w:p w14:paraId="72CDECD3" w14:textId="77777777" w:rsidR="009A2D9D" w:rsidRDefault="009A2D9D" w:rsidP="00444C66">
      <w:pPr>
        <w:pStyle w:val="HTMLPreformatted"/>
        <w:ind w:left="720"/>
        <w:rPr>
          <w:rStyle w:val="pln"/>
        </w:rPr>
      </w:pPr>
      <w:r>
        <w:rPr>
          <w:rStyle w:val="pun"/>
        </w:rPr>
        <w:t>{</w:t>
      </w:r>
    </w:p>
    <w:p w14:paraId="610353E2" w14:textId="77777777" w:rsidR="009A2D9D" w:rsidRDefault="009A2D9D" w:rsidP="00444C66">
      <w:pPr>
        <w:pStyle w:val="HTMLPreformatted"/>
        <w:ind w:left="720"/>
        <w:rPr>
          <w:rStyle w:val="pln"/>
        </w:rPr>
      </w:pPr>
      <w:r>
        <w:rPr>
          <w:rStyle w:val="pln"/>
        </w:rPr>
        <w:t xml:space="preserve">    </w:t>
      </w:r>
      <w:r>
        <w:rPr>
          <w:rStyle w:val="str"/>
        </w:rPr>
        <w:t>"name"</w:t>
      </w:r>
      <w:r>
        <w:rPr>
          <w:rStyle w:val="pun"/>
        </w:rPr>
        <w:t>:</w:t>
      </w:r>
      <w:r>
        <w:rPr>
          <w:rStyle w:val="pln"/>
        </w:rPr>
        <w:t xml:space="preserve"> </w:t>
      </w:r>
      <w:r>
        <w:rPr>
          <w:rStyle w:val="str"/>
        </w:rPr>
        <w:t>"[parameters('databaseName')]"</w:t>
      </w:r>
      <w:r>
        <w:rPr>
          <w:rStyle w:val="pun"/>
        </w:rPr>
        <w:t>,</w:t>
      </w:r>
    </w:p>
    <w:p w14:paraId="57B60168" w14:textId="77777777" w:rsidR="009A2D9D" w:rsidRDefault="009A2D9D" w:rsidP="00444C66">
      <w:pPr>
        <w:pStyle w:val="HTMLPreformatted"/>
        <w:ind w:left="720"/>
        <w:rPr>
          <w:rStyle w:val="pln"/>
        </w:rPr>
      </w:pPr>
      <w:r>
        <w:rPr>
          <w:rStyle w:val="pln"/>
        </w:rPr>
        <w:t xml:space="preserve">    </w:t>
      </w:r>
      <w:r>
        <w:rPr>
          <w:rStyle w:val="str"/>
        </w:rPr>
        <w:t>"type"</w:t>
      </w:r>
      <w:r>
        <w:rPr>
          <w:rStyle w:val="pun"/>
        </w:rPr>
        <w:t>:</w:t>
      </w:r>
      <w:r>
        <w:rPr>
          <w:rStyle w:val="pln"/>
        </w:rPr>
        <w:t xml:space="preserve"> </w:t>
      </w:r>
      <w:r>
        <w:rPr>
          <w:rStyle w:val="str"/>
        </w:rPr>
        <w:t>"databases"</w:t>
      </w:r>
      <w:r>
        <w:rPr>
          <w:rStyle w:val="pun"/>
        </w:rPr>
        <w:t>,</w:t>
      </w:r>
    </w:p>
    <w:p w14:paraId="7C60D9BB" w14:textId="77777777" w:rsidR="009A2D9D" w:rsidRDefault="009A2D9D" w:rsidP="00444C66">
      <w:pPr>
        <w:pStyle w:val="HTMLPreformatted"/>
        <w:ind w:left="720"/>
        <w:rPr>
          <w:rStyle w:val="pln"/>
        </w:rPr>
      </w:pPr>
      <w:r>
        <w:rPr>
          <w:rStyle w:val="pln"/>
        </w:rPr>
        <w:t xml:space="preserve">    </w:t>
      </w:r>
      <w:r>
        <w:rPr>
          <w:rStyle w:val="str"/>
        </w:rPr>
        <w:t>"location"</w:t>
      </w:r>
      <w:r>
        <w:rPr>
          <w:rStyle w:val="pun"/>
        </w:rPr>
        <w:t>:</w:t>
      </w:r>
      <w:r>
        <w:rPr>
          <w:rStyle w:val="pln"/>
        </w:rPr>
        <w:t xml:space="preserve"> </w:t>
      </w:r>
      <w:r>
        <w:rPr>
          <w:rStyle w:val="str"/>
        </w:rPr>
        <w:t>"[parameters('serverLocation')]"</w:t>
      </w:r>
      <w:r>
        <w:rPr>
          <w:rStyle w:val="pun"/>
        </w:rPr>
        <w:t>,</w:t>
      </w:r>
    </w:p>
    <w:p w14:paraId="2A8DCACE" w14:textId="77777777" w:rsidR="009A2D9D" w:rsidRDefault="009A2D9D" w:rsidP="00444C66">
      <w:pPr>
        <w:pStyle w:val="HTMLPreformatted"/>
        <w:ind w:left="720"/>
        <w:rPr>
          <w:rStyle w:val="pln"/>
        </w:rPr>
      </w:pPr>
      <w:r>
        <w:rPr>
          <w:rStyle w:val="pln"/>
        </w:rPr>
        <w:t xml:space="preserve">    </w:t>
      </w:r>
      <w:r>
        <w:rPr>
          <w:rStyle w:val="str"/>
        </w:rPr>
        <w:t>"apiVersion"</w:t>
      </w:r>
      <w:r>
        <w:rPr>
          <w:rStyle w:val="pun"/>
        </w:rPr>
        <w:t>:</w:t>
      </w:r>
      <w:r>
        <w:rPr>
          <w:rStyle w:val="pln"/>
        </w:rPr>
        <w:t xml:space="preserve"> </w:t>
      </w:r>
      <w:r>
        <w:rPr>
          <w:rStyle w:val="str"/>
        </w:rPr>
        <w:t>"2.0"</w:t>
      </w:r>
      <w:r>
        <w:rPr>
          <w:rStyle w:val="pun"/>
        </w:rPr>
        <w:t>,</w:t>
      </w:r>
    </w:p>
    <w:p w14:paraId="1CA9FBA8" w14:textId="77777777" w:rsidR="009A2D9D" w:rsidRDefault="009A2D9D" w:rsidP="00444C66">
      <w:pPr>
        <w:pStyle w:val="HTMLPreformatted"/>
        <w:ind w:left="720"/>
        <w:rPr>
          <w:rStyle w:val="pln"/>
        </w:rPr>
      </w:pPr>
      <w:r>
        <w:rPr>
          <w:rStyle w:val="pln"/>
        </w:rPr>
        <w:t xml:space="preserve">    </w:t>
      </w:r>
      <w:r>
        <w:rPr>
          <w:rStyle w:val="str"/>
        </w:rPr>
        <w:t>"dependsOn"</w:t>
      </w:r>
      <w:r>
        <w:rPr>
          <w:rStyle w:val="pun"/>
        </w:rPr>
        <w:t>:</w:t>
      </w:r>
      <w:r>
        <w:rPr>
          <w:rStyle w:val="pln"/>
        </w:rPr>
        <w:t xml:space="preserve"> </w:t>
      </w:r>
      <w:r>
        <w:rPr>
          <w:rStyle w:val="pun"/>
        </w:rPr>
        <w:t>[</w:t>
      </w:r>
    </w:p>
    <w:p w14:paraId="40282610" w14:textId="77777777" w:rsidR="009A2D9D" w:rsidRDefault="009A2D9D" w:rsidP="00444C66">
      <w:pPr>
        <w:pStyle w:val="HTMLPreformatted"/>
        <w:ind w:left="720"/>
        <w:rPr>
          <w:rStyle w:val="pln"/>
        </w:rPr>
      </w:pPr>
      <w:r>
        <w:rPr>
          <w:rStyle w:val="pln"/>
        </w:rPr>
        <w:t xml:space="preserve">      </w:t>
      </w:r>
      <w:r>
        <w:rPr>
          <w:rStyle w:val="str"/>
        </w:rPr>
        <w:t>"[concat('Microsoft.Sql/servers/', parameters('serverName'))]"</w:t>
      </w:r>
    </w:p>
    <w:p w14:paraId="5F48F8F8" w14:textId="77777777" w:rsidR="009A2D9D" w:rsidRDefault="009A2D9D" w:rsidP="00444C66">
      <w:pPr>
        <w:pStyle w:val="HTMLPreformatted"/>
        <w:ind w:left="720"/>
        <w:rPr>
          <w:rStyle w:val="pln"/>
        </w:rPr>
      </w:pPr>
      <w:r>
        <w:rPr>
          <w:rStyle w:val="pln"/>
        </w:rPr>
        <w:t xml:space="preserve">    </w:t>
      </w:r>
      <w:r>
        <w:rPr>
          <w:rStyle w:val="pun"/>
        </w:rPr>
        <w:t>],</w:t>
      </w:r>
    </w:p>
    <w:p w14:paraId="0D84350A" w14:textId="77777777" w:rsidR="009A2D9D" w:rsidRDefault="009A2D9D" w:rsidP="00444C66">
      <w:pPr>
        <w:pStyle w:val="HTMLPreformatted"/>
        <w:ind w:left="720"/>
        <w:rPr>
          <w:rStyle w:val="pln"/>
        </w:rPr>
      </w:pPr>
      <w:r>
        <w:rPr>
          <w:rStyle w:val="pln"/>
        </w:rPr>
        <w:t xml:space="preserve">    </w:t>
      </w:r>
      <w:r>
        <w:rPr>
          <w:rStyle w:val="str"/>
        </w:rPr>
        <w:t>"properties"</w:t>
      </w:r>
      <w:r>
        <w:rPr>
          <w:rStyle w:val="pun"/>
        </w:rPr>
        <w:t>:</w:t>
      </w:r>
      <w:r>
        <w:rPr>
          <w:rStyle w:val="pln"/>
        </w:rPr>
        <w:t xml:space="preserve"> </w:t>
      </w:r>
      <w:r>
        <w:rPr>
          <w:rStyle w:val="pun"/>
        </w:rPr>
        <w:t>{</w:t>
      </w:r>
    </w:p>
    <w:p w14:paraId="23F3662D" w14:textId="77777777" w:rsidR="009A2D9D" w:rsidRDefault="009A2D9D" w:rsidP="00444C66">
      <w:pPr>
        <w:pStyle w:val="HTMLPreformatted"/>
        <w:ind w:left="720"/>
        <w:rPr>
          <w:rStyle w:val="pln"/>
        </w:rPr>
      </w:pPr>
      <w:r>
        <w:rPr>
          <w:rStyle w:val="pln"/>
        </w:rPr>
        <w:t xml:space="preserve">      </w:t>
      </w:r>
      <w:r>
        <w:rPr>
          <w:rStyle w:val="str"/>
        </w:rPr>
        <w:t>"edition"</w:t>
      </w:r>
      <w:r>
        <w:rPr>
          <w:rStyle w:val="pun"/>
        </w:rPr>
        <w:t>:</w:t>
      </w:r>
      <w:r>
        <w:rPr>
          <w:rStyle w:val="pln"/>
        </w:rPr>
        <w:t xml:space="preserve"> </w:t>
      </w:r>
      <w:r>
        <w:rPr>
          <w:rStyle w:val="str"/>
        </w:rPr>
        <w:t>"[parameters('edition')]"</w:t>
      </w:r>
      <w:r>
        <w:rPr>
          <w:rStyle w:val="pun"/>
        </w:rPr>
        <w:t>,</w:t>
      </w:r>
    </w:p>
    <w:p w14:paraId="4BA37FE6" w14:textId="77777777" w:rsidR="009A2D9D" w:rsidRDefault="009A2D9D" w:rsidP="00444C66">
      <w:pPr>
        <w:pStyle w:val="HTMLPreformatted"/>
        <w:ind w:left="720"/>
        <w:rPr>
          <w:rStyle w:val="pln"/>
        </w:rPr>
      </w:pPr>
      <w:r>
        <w:rPr>
          <w:rStyle w:val="pln"/>
        </w:rPr>
        <w:t xml:space="preserve">      </w:t>
      </w:r>
      <w:r>
        <w:rPr>
          <w:rStyle w:val="str"/>
        </w:rPr>
        <w:t>"collation"</w:t>
      </w:r>
      <w:r>
        <w:rPr>
          <w:rStyle w:val="pun"/>
        </w:rPr>
        <w:t>:</w:t>
      </w:r>
      <w:r>
        <w:rPr>
          <w:rStyle w:val="pln"/>
        </w:rPr>
        <w:t xml:space="preserve"> </w:t>
      </w:r>
      <w:r>
        <w:rPr>
          <w:rStyle w:val="str"/>
        </w:rPr>
        <w:t>"[parameters('collation')]"</w:t>
      </w:r>
      <w:r>
        <w:rPr>
          <w:rStyle w:val="pun"/>
        </w:rPr>
        <w:t>,</w:t>
      </w:r>
    </w:p>
    <w:p w14:paraId="5A6E7332" w14:textId="77777777" w:rsidR="009A2D9D" w:rsidRDefault="009A2D9D" w:rsidP="00444C66">
      <w:pPr>
        <w:pStyle w:val="HTMLPreformatted"/>
        <w:ind w:left="720"/>
        <w:rPr>
          <w:rStyle w:val="pln"/>
        </w:rPr>
      </w:pPr>
      <w:r>
        <w:rPr>
          <w:rStyle w:val="pln"/>
        </w:rPr>
        <w:t xml:space="preserve">      </w:t>
      </w:r>
      <w:r>
        <w:rPr>
          <w:rStyle w:val="str"/>
        </w:rPr>
        <w:t>"maxSizeBytes"</w:t>
      </w:r>
      <w:r>
        <w:rPr>
          <w:rStyle w:val="pun"/>
        </w:rPr>
        <w:t>:</w:t>
      </w:r>
      <w:r>
        <w:rPr>
          <w:rStyle w:val="pln"/>
        </w:rPr>
        <w:t xml:space="preserve"> </w:t>
      </w:r>
      <w:r>
        <w:rPr>
          <w:rStyle w:val="str"/>
        </w:rPr>
        <w:t>"[parameters('maxSizeBytes')]"</w:t>
      </w:r>
      <w:r>
        <w:rPr>
          <w:rStyle w:val="pun"/>
        </w:rPr>
        <w:t>,</w:t>
      </w:r>
    </w:p>
    <w:p w14:paraId="5A461A6E" w14:textId="77777777" w:rsidR="009A2D9D" w:rsidRDefault="009A2D9D" w:rsidP="00444C66">
      <w:pPr>
        <w:pStyle w:val="HTMLPreformatted"/>
        <w:ind w:left="720"/>
        <w:rPr>
          <w:rStyle w:val="pln"/>
        </w:rPr>
      </w:pPr>
      <w:r>
        <w:rPr>
          <w:rStyle w:val="pln"/>
        </w:rPr>
        <w:t xml:space="preserve">      </w:t>
      </w:r>
      <w:r>
        <w:rPr>
          <w:rStyle w:val="str"/>
        </w:rPr>
        <w:t>"requestedServiceObjectiveId"</w:t>
      </w:r>
      <w:r>
        <w:rPr>
          <w:rStyle w:val="pun"/>
        </w:rPr>
        <w:t>:</w:t>
      </w:r>
      <w:r>
        <w:rPr>
          <w:rStyle w:val="pln"/>
        </w:rPr>
        <w:t xml:space="preserve"> </w:t>
      </w:r>
      <w:r>
        <w:rPr>
          <w:rStyle w:val="str"/>
        </w:rPr>
        <w:t>"[parameters('requestedServiceObjectiveId')]"</w:t>
      </w:r>
    </w:p>
    <w:p w14:paraId="4E70E2EC" w14:textId="77777777" w:rsidR="009A2D9D" w:rsidRDefault="009A2D9D" w:rsidP="00444C66">
      <w:pPr>
        <w:pStyle w:val="HTMLPreformatted"/>
        <w:ind w:left="720"/>
        <w:rPr>
          <w:rStyle w:val="pln"/>
        </w:rPr>
      </w:pPr>
      <w:r>
        <w:rPr>
          <w:rStyle w:val="pln"/>
        </w:rPr>
        <w:t xml:space="preserve">    </w:t>
      </w:r>
      <w:r>
        <w:rPr>
          <w:rStyle w:val="pun"/>
        </w:rPr>
        <w:t>}</w:t>
      </w:r>
    </w:p>
    <w:p w14:paraId="5BBE6654" w14:textId="77777777" w:rsidR="009A2D9D" w:rsidRDefault="009A2D9D" w:rsidP="00444C66">
      <w:pPr>
        <w:pStyle w:val="HTMLPreformatted"/>
        <w:ind w:left="720"/>
      </w:pPr>
      <w:r>
        <w:rPr>
          <w:rStyle w:val="pun"/>
        </w:rPr>
        <w:t>},</w:t>
      </w:r>
    </w:p>
    <w:p w14:paraId="1B2B517F" w14:textId="3B90DD65" w:rsidR="00C40F4F" w:rsidRDefault="00815F73" w:rsidP="00815F73">
      <w:r>
        <w:t xml:space="preserve">The </w:t>
      </w:r>
      <w:r w:rsidR="00C40F4F" w:rsidRPr="00815F73">
        <w:rPr>
          <w:b/>
        </w:rPr>
        <w:t xml:space="preserve">templateLink </w:t>
      </w:r>
      <w:r w:rsidR="00C40F4F">
        <w:t xml:space="preserve">references another template from the current one. The following excerpt shows how the dependent </w:t>
      </w:r>
      <w:r w:rsidR="007E2A6A">
        <w:t xml:space="preserve">JSON </w:t>
      </w:r>
      <w:r w:rsidR="00C40F4F">
        <w:t xml:space="preserve">template file located in Azure storage can be linked from </w:t>
      </w:r>
      <w:r w:rsidR="007E2A6A">
        <w:t xml:space="preserve">the </w:t>
      </w:r>
      <w:r w:rsidR="00C40F4F">
        <w:t>primary template definition:</w:t>
      </w:r>
    </w:p>
    <w:p w14:paraId="67E22ED4" w14:textId="77777777" w:rsidR="00C40F4F" w:rsidRPr="00815F73" w:rsidRDefault="00C40F4F" w:rsidP="00815F73">
      <w:pPr>
        <w:pStyle w:val="HTMLPreformatted"/>
        <w:shd w:val="clear" w:color="auto" w:fill="FFFFFF"/>
        <w:spacing w:line="263" w:lineRule="atLeast"/>
        <w:ind w:left="720"/>
        <w:rPr>
          <w:color w:val="000000"/>
        </w:rPr>
      </w:pPr>
      <w:r>
        <w:rPr>
          <w:rStyle w:val="pln"/>
        </w:rPr>
        <w:t xml:space="preserve">    </w:t>
      </w:r>
      <w:r w:rsidRPr="00815F73">
        <w:rPr>
          <w:color w:val="000000"/>
        </w:rPr>
        <w:t>{</w:t>
      </w:r>
    </w:p>
    <w:p w14:paraId="6B2B75F8"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"properties": {</w:t>
      </w:r>
    </w:p>
    <w:p w14:paraId="7D59AE11"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"template": {</w:t>
      </w:r>
    </w:p>
    <w:p w14:paraId="7477AF7E"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"$schema": "http://schema.management.azure.com/schemas/2015-01-01/deploymentTemplate.json#",</w:t>
      </w:r>
    </w:p>
    <w:p w14:paraId="2E947594"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"contentVersion": "1.0.0.0",</w:t>
      </w:r>
    </w:p>
    <w:p w14:paraId="106F6B89"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"parameters": {</w:t>
      </w:r>
    </w:p>
    <w:p w14:paraId="1D7D2629"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"childParameter": { "type": "string" }</w:t>
      </w:r>
    </w:p>
    <w:p w14:paraId="652DBFFE"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w:t>
      </w:r>
    </w:p>
    <w:p w14:paraId="272B6FF5"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"resources": [ {</w:t>
      </w:r>
    </w:p>
    <w:p w14:paraId="4872C712"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"name": "Sub-deployment",</w:t>
      </w:r>
    </w:p>
    <w:p w14:paraId="764BD8CC"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"type": "Microsoft.Resources/deployments",</w:t>
      </w:r>
    </w:p>
    <w:p w14:paraId="56C91374"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"apiVersion": "2015-01-01",</w:t>
      </w:r>
    </w:p>
    <w:p w14:paraId="7AFC2107"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"properties": {</w:t>
      </w:r>
    </w:p>
    <w:p w14:paraId="358C0C38"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"mode": "Incremental",</w:t>
      </w:r>
    </w:p>
    <w:p w14:paraId="58BD91CA"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"templateLink": {</w:t>
      </w:r>
    </w:p>
    <w:p w14:paraId="7B8EDD3A"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"uri": "http://&lt;stac&gt;.blob.core.windows.net/templates/template.json",</w:t>
      </w:r>
    </w:p>
    <w:p w14:paraId="32C9FB06"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"contentVersion": "1.0.0.0",</w:t>
      </w:r>
    </w:p>
    <w:p w14:paraId="09AFDFE3"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w:t>
      </w:r>
    </w:p>
    <w:p w14:paraId="3B2CBE9D"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"parameters": {</w:t>
      </w:r>
    </w:p>
    <w:p w14:paraId="3E995AE3"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"subParameterName": { "value": "[parameters(‘childParameter’]" }</w:t>
      </w:r>
    </w:p>
    <w:p w14:paraId="1C4085BE"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w:t>
      </w:r>
    </w:p>
    <w:p w14:paraId="7257843D"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w:t>
      </w:r>
    </w:p>
    <w:p w14:paraId="22791D89"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 ] </w:t>
      </w:r>
    </w:p>
    <w:p w14:paraId="1B6ED089"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w:t>
      </w:r>
    </w:p>
    <w:p w14:paraId="0542E15A"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 xml:space="preserve">  }</w:t>
      </w:r>
    </w:p>
    <w:p w14:paraId="71CBFB68" w14:textId="77777777" w:rsidR="00C40F4F" w:rsidRPr="00815F73" w:rsidRDefault="00C40F4F" w:rsidP="00815F7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ind w:left="720"/>
        <w:rPr>
          <w:rFonts w:ascii="Courier New" w:eastAsia="Times New Roman" w:hAnsi="Courier New" w:cs="Courier New"/>
          <w:color w:val="000000"/>
          <w:sz w:val="20"/>
          <w:szCs w:val="20"/>
        </w:rPr>
      </w:pPr>
      <w:r w:rsidRPr="00815F73">
        <w:rPr>
          <w:rFonts w:ascii="Courier New" w:eastAsia="Times New Roman" w:hAnsi="Courier New" w:cs="Courier New"/>
          <w:color w:val="000000"/>
          <w:sz w:val="20"/>
          <w:szCs w:val="20"/>
        </w:rPr>
        <w:t>}</w:t>
      </w:r>
    </w:p>
    <w:p w14:paraId="3978AA16" w14:textId="716441D0" w:rsidR="00C40F4F" w:rsidRDefault="00815F73" w:rsidP="00815F73">
      <w:r>
        <w:t>The</w:t>
      </w:r>
      <w:r w:rsidRPr="00815F73">
        <w:rPr>
          <w:b/>
        </w:rPr>
        <w:t xml:space="preserve"> </w:t>
      </w:r>
      <w:r w:rsidR="00C40F4F" w:rsidRPr="00815F73">
        <w:rPr>
          <w:b/>
        </w:rPr>
        <w:t>CustomScriptExtension</w:t>
      </w:r>
      <w:r>
        <w:t xml:space="preserve"> references a </w:t>
      </w:r>
      <w:r w:rsidR="00C40F4F" w:rsidRPr="002D69EC">
        <w:t xml:space="preserve">Custom Script Extension for Windows </w:t>
      </w:r>
      <w:r w:rsidR="007E2A6A">
        <w:t xml:space="preserve">that </w:t>
      </w:r>
      <w:r w:rsidR="00C40F4F" w:rsidRPr="002D69EC">
        <w:t xml:space="preserve">allows </w:t>
      </w:r>
      <w:r w:rsidR="007E2A6A">
        <w:t xml:space="preserve">it </w:t>
      </w:r>
      <w:r w:rsidR="00C40F4F" w:rsidRPr="002D69EC">
        <w:t xml:space="preserve">to execute </w:t>
      </w:r>
      <w:r w:rsidR="007E2A6A" w:rsidRPr="002D69EC">
        <w:t>PowerShell</w:t>
      </w:r>
      <w:r w:rsidR="00C40F4F" w:rsidRPr="002D69EC">
        <w:t xml:space="preserve"> scripts on a remote Virtual Machine, without logging into it. The scripts can be executed after provisioning the VM or anytime during the lifecycle of the VM without requiring to open any additional ports on the VM. The most common use case for Custom Script include running</w:t>
      </w:r>
      <w:r w:rsidR="007E2A6A">
        <w:t>,</w:t>
      </w:r>
      <w:r w:rsidR="00C40F4F" w:rsidRPr="002D69EC">
        <w:t xml:space="preserve"> installing</w:t>
      </w:r>
      <w:r w:rsidR="007E2A6A">
        <w:t>,</w:t>
      </w:r>
      <w:r w:rsidR="00C40F4F" w:rsidRPr="002D69EC">
        <w:t xml:space="preserve"> and configuring additional software on the VM post provisioning.</w:t>
      </w:r>
    </w:p>
    <w:p w14:paraId="6521D7A5" w14:textId="0FFC4A61" w:rsidR="00C40F4F" w:rsidRDefault="00C40F4F" w:rsidP="00815F73">
      <w:r>
        <w:t xml:space="preserve">The following excerpt illustrates how to reference the Custom Script Extension from within </w:t>
      </w:r>
      <w:r w:rsidR="007E2A6A">
        <w:t xml:space="preserve">the </w:t>
      </w:r>
      <w:r>
        <w:t xml:space="preserve">JSON template to run a custom </w:t>
      </w:r>
      <w:r w:rsidR="007E2A6A">
        <w:t xml:space="preserve">Windows </w:t>
      </w:r>
      <w:r>
        <w:t>PowerShell script to apply post-provisioning configuration:</w:t>
      </w:r>
    </w:p>
    <w:p w14:paraId="5E5AC3FC" w14:textId="77777777" w:rsidR="00C40F4F" w:rsidRPr="002D69EC" w:rsidRDefault="00C40F4F" w:rsidP="00C40F4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rPr>
          <w:rFonts w:ascii="Courier New" w:eastAsia="Times New Roman" w:hAnsi="Courier New" w:cs="Courier New"/>
          <w:color w:val="000000"/>
          <w:sz w:val="20"/>
          <w:szCs w:val="20"/>
        </w:rPr>
      </w:pPr>
      <w:r w:rsidRPr="00664627">
        <w:rPr>
          <w:rFonts w:ascii="Courier New" w:eastAsia="Times New Roman" w:hAnsi="Courier New" w:cs="Courier New"/>
          <w:color w:val="000000"/>
          <w:sz w:val="20"/>
          <w:szCs w:val="20"/>
        </w:rPr>
        <w:t xml:space="preserve">       </w:t>
      </w:r>
      <w:r w:rsidRPr="002D69EC">
        <w:rPr>
          <w:rFonts w:ascii="Courier New" w:eastAsia="Times New Roman" w:hAnsi="Courier New" w:cs="Courier New"/>
          <w:color w:val="000000"/>
          <w:sz w:val="20"/>
          <w:szCs w:val="20"/>
        </w:rPr>
        <w:t xml:space="preserve"> {</w:t>
      </w:r>
    </w:p>
    <w:p w14:paraId="5B1D7BBA" w14:textId="77777777" w:rsidR="00C40F4F" w:rsidRPr="002D69EC" w:rsidRDefault="00C40F4F" w:rsidP="00C40F4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rPr>
          <w:rFonts w:ascii="Courier New" w:eastAsia="Times New Roman" w:hAnsi="Courier New" w:cs="Courier New"/>
          <w:color w:val="000000"/>
          <w:sz w:val="20"/>
          <w:szCs w:val="20"/>
        </w:rPr>
      </w:pPr>
      <w:r w:rsidRPr="002D69EC">
        <w:rPr>
          <w:rFonts w:ascii="Courier New" w:eastAsia="Times New Roman" w:hAnsi="Courier New" w:cs="Courier New"/>
          <w:color w:val="000000"/>
          <w:sz w:val="20"/>
          <w:szCs w:val="20"/>
        </w:rPr>
        <w:t xml:space="preserve">   "type": "Microsoft.Compute/virtualMachines/extensions",</w:t>
      </w:r>
    </w:p>
    <w:p w14:paraId="15207EF7" w14:textId="77777777" w:rsidR="00C40F4F" w:rsidRPr="002D69EC" w:rsidRDefault="00C40F4F" w:rsidP="00C40F4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rPr>
          <w:rFonts w:ascii="Courier New" w:eastAsia="Times New Roman" w:hAnsi="Courier New" w:cs="Courier New"/>
          <w:color w:val="000000"/>
          <w:sz w:val="20"/>
          <w:szCs w:val="20"/>
        </w:rPr>
      </w:pPr>
      <w:r w:rsidRPr="002D69EC">
        <w:rPr>
          <w:rFonts w:ascii="Courier New" w:eastAsia="Times New Roman" w:hAnsi="Courier New" w:cs="Courier New"/>
          <w:color w:val="000000"/>
          <w:sz w:val="20"/>
          <w:szCs w:val="20"/>
        </w:rPr>
        <w:t xml:space="preserve">   "name": "MyCustomScriptExtension",</w:t>
      </w:r>
    </w:p>
    <w:p w14:paraId="1AB38EE4" w14:textId="77777777" w:rsidR="00C40F4F" w:rsidRPr="002D69EC" w:rsidRDefault="00C40F4F" w:rsidP="00C40F4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rPr>
          <w:rFonts w:ascii="Courier New" w:eastAsia="Times New Roman" w:hAnsi="Courier New" w:cs="Courier New"/>
          <w:color w:val="000000"/>
          <w:sz w:val="20"/>
          <w:szCs w:val="20"/>
        </w:rPr>
      </w:pPr>
      <w:r w:rsidRPr="002D69EC">
        <w:rPr>
          <w:rFonts w:ascii="Courier New" w:eastAsia="Times New Roman" w:hAnsi="Courier New" w:cs="Courier New"/>
          <w:color w:val="000000"/>
          <w:sz w:val="20"/>
          <w:szCs w:val="20"/>
        </w:rPr>
        <w:t xml:space="preserve">   "apiVersion": "2015-05-01-preview",</w:t>
      </w:r>
    </w:p>
    <w:p w14:paraId="757D8D67" w14:textId="77777777" w:rsidR="00C40F4F" w:rsidRPr="002D69EC" w:rsidRDefault="00C40F4F" w:rsidP="00C40F4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rPr>
          <w:rFonts w:ascii="Courier New" w:eastAsia="Times New Roman" w:hAnsi="Courier New" w:cs="Courier New"/>
          <w:color w:val="000000"/>
          <w:sz w:val="20"/>
          <w:szCs w:val="20"/>
        </w:rPr>
      </w:pPr>
      <w:r w:rsidRPr="002D69EC">
        <w:rPr>
          <w:rFonts w:ascii="Courier New" w:eastAsia="Times New Roman" w:hAnsi="Courier New" w:cs="Courier New"/>
          <w:color w:val="000000"/>
          <w:sz w:val="20"/>
          <w:szCs w:val="20"/>
        </w:rPr>
        <w:t xml:space="preserve">   "location": "[parameters('location')]",</w:t>
      </w:r>
    </w:p>
    <w:p w14:paraId="6CA69AAE" w14:textId="77777777" w:rsidR="00C40F4F" w:rsidRPr="002D69EC" w:rsidRDefault="00C40F4F" w:rsidP="00C40F4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rPr>
          <w:rFonts w:ascii="Courier New" w:eastAsia="Times New Roman" w:hAnsi="Courier New" w:cs="Courier New"/>
          <w:color w:val="000000"/>
          <w:sz w:val="20"/>
          <w:szCs w:val="20"/>
        </w:rPr>
      </w:pPr>
      <w:r w:rsidRPr="002D69EC">
        <w:rPr>
          <w:rFonts w:ascii="Courier New" w:eastAsia="Times New Roman" w:hAnsi="Courier New" w:cs="Courier New"/>
          <w:color w:val="000000"/>
          <w:sz w:val="20"/>
          <w:szCs w:val="20"/>
        </w:rPr>
        <w:t xml:space="preserve">   "dependsOn": [</w:t>
      </w:r>
    </w:p>
    <w:p w14:paraId="4E890590" w14:textId="77777777" w:rsidR="00C40F4F" w:rsidRPr="002D69EC" w:rsidRDefault="00C40F4F" w:rsidP="00C40F4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rPr>
          <w:rFonts w:ascii="Courier New" w:eastAsia="Times New Roman" w:hAnsi="Courier New" w:cs="Courier New"/>
          <w:color w:val="000000"/>
          <w:sz w:val="20"/>
          <w:szCs w:val="20"/>
        </w:rPr>
      </w:pPr>
      <w:r w:rsidRPr="002D69EC">
        <w:rPr>
          <w:rFonts w:ascii="Courier New" w:eastAsia="Times New Roman" w:hAnsi="Courier New" w:cs="Courier New"/>
          <w:color w:val="000000"/>
          <w:sz w:val="20"/>
          <w:szCs w:val="20"/>
        </w:rPr>
        <w:t xml:space="preserve">       "[concat('Microsoft.Compute/virtualMachines/',parameters('vmName'))]"</w:t>
      </w:r>
    </w:p>
    <w:p w14:paraId="79A744FE" w14:textId="77777777" w:rsidR="00C40F4F" w:rsidRPr="002D69EC" w:rsidRDefault="00C40F4F" w:rsidP="00C40F4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rPr>
          <w:rFonts w:ascii="Courier New" w:eastAsia="Times New Roman" w:hAnsi="Courier New" w:cs="Courier New"/>
          <w:color w:val="000000"/>
          <w:sz w:val="20"/>
          <w:szCs w:val="20"/>
        </w:rPr>
      </w:pPr>
      <w:r w:rsidRPr="002D69EC">
        <w:rPr>
          <w:rFonts w:ascii="Courier New" w:eastAsia="Times New Roman" w:hAnsi="Courier New" w:cs="Courier New"/>
          <w:color w:val="000000"/>
          <w:sz w:val="20"/>
          <w:szCs w:val="20"/>
        </w:rPr>
        <w:t xml:space="preserve">   ],</w:t>
      </w:r>
    </w:p>
    <w:p w14:paraId="210EC2C1" w14:textId="77777777" w:rsidR="00C40F4F" w:rsidRPr="002D69EC" w:rsidRDefault="00C40F4F" w:rsidP="00C40F4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rPr>
          <w:rFonts w:ascii="Courier New" w:eastAsia="Times New Roman" w:hAnsi="Courier New" w:cs="Courier New"/>
          <w:color w:val="000000"/>
          <w:sz w:val="20"/>
          <w:szCs w:val="20"/>
        </w:rPr>
      </w:pPr>
      <w:r w:rsidRPr="002D69EC">
        <w:rPr>
          <w:rFonts w:ascii="Courier New" w:eastAsia="Times New Roman" w:hAnsi="Courier New" w:cs="Courier New"/>
          <w:color w:val="000000"/>
          <w:sz w:val="20"/>
          <w:szCs w:val="20"/>
        </w:rPr>
        <w:t xml:space="preserve">   "properties": {</w:t>
      </w:r>
    </w:p>
    <w:p w14:paraId="4E5230F7" w14:textId="77777777" w:rsidR="00C40F4F" w:rsidRPr="002D69EC" w:rsidRDefault="00C40F4F" w:rsidP="00C40F4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rPr>
          <w:rFonts w:ascii="Courier New" w:eastAsia="Times New Roman" w:hAnsi="Courier New" w:cs="Courier New"/>
          <w:color w:val="000000"/>
          <w:sz w:val="20"/>
          <w:szCs w:val="20"/>
        </w:rPr>
      </w:pPr>
      <w:r w:rsidRPr="002D69EC">
        <w:rPr>
          <w:rFonts w:ascii="Courier New" w:eastAsia="Times New Roman" w:hAnsi="Courier New" w:cs="Courier New"/>
          <w:color w:val="000000"/>
          <w:sz w:val="20"/>
          <w:szCs w:val="20"/>
        </w:rPr>
        <w:t xml:space="preserve">       "publisher": "Microsoft.Compute",</w:t>
      </w:r>
    </w:p>
    <w:p w14:paraId="422D5F2E" w14:textId="77777777" w:rsidR="00C40F4F" w:rsidRPr="002D69EC" w:rsidRDefault="00C40F4F" w:rsidP="00C40F4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rPr>
          <w:rFonts w:ascii="Courier New" w:eastAsia="Times New Roman" w:hAnsi="Courier New" w:cs="Courier New"/>
          <w:color w:val="000000"/>
          <w:sz w:val="20"/>
          <w:szCs w:val="20"/>
        </w:rPr>
      </w:pPr>
      <w:r w:rsidRPr="002D69EC">
        <w:rPr>
          <w:rFonts w:ascii="Courier New" w:eastAsia="Times New Roman" w:hAnsi="Courier New" w:cs="Courier New"/>
          <w:color w:val="000000"/>
          <w:sz w:val="20"/>
          <w:szCs w:val="20"/>
        </w:rPr>
        <w:t xml:space="preserve">       "type": "CustomScriptExtension",</w:t>
      </w:r>
    </w:p>
    <w:p w14:paraId="61A92D51" w14:textId="77777777" w:rsidR="00C40F4F" w:rsidRPr="002D69EC" w:rsidRDefault="00C40F4F" w:rsidP="00C40F4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rPr>
          <w:rFonts w:ascii="Courier New" w:eastAsia="Times New Roman" w:hAnsi="Courier New" w:cs="Courier New"/>
          <w:color w:val="000000"/>
          <w:sz w:val="20"/>
          <w:szCs w:val="20"/>
        </w:rPr>
      </w:pPr>
      <w:r w:rsidRPr="002D69EC">
        <w:rPr>
          <w:rFonts w:ascii="Courier New" w:eastAsia="Times New Roman" w:hAnsi="Courier New" w:cs="Courier New"/>
          <w:color w:val="000000"/>
          <w:sz w:val="20"/>
          <w:szCs w:val="20"/>
        </w:rPr>
        <w:t xml:space="preserve">       "typeHandlerVersion": "1.4",</w:t>
      </w:r>
    </w:p>
    <w:p w14:paraId="323C72D0" w14:textId="77777777" w:rsidR="00C40F4F" w:rsidRPr="002D69EC" w:rsidRDefault="00C40F4F" w:rsidP="00C40F4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rPr>
          <w:rFonts w:ascii="Courier New" w:eastAsia="Times New Roman" w:hAnsi="Courier New" w:cs="Courier New"/>
          <w:color w:val="000000"/>
          <w:sz w:val="20"/>
          <w:szCs w:val="20"/>
        </w:rPr>
      </w:pPr>
      <w:r w:rsidRPr="002D69EC">
        <w:rPr>
          <w:rFonts w:ascii="Courier New" w:eastAsia="Times New Roman" w:hAnsi="Courier New" w:cs="Courier New"/>
          <w:color w:val="000000"/>
          <w:sz w:val="20"/>
          <w:szCs w:val="20"/>
        </w:rPr>
        <w:t xml:space="preserve">       "settings": {</w:t>
      </w:r>
    </w:p>
    <w:p w14:paraId="540D6F1A" w14:textId="77777777" w:rsidR="00C40F4F" w:rsidRPr="002D69EC" w:rsidRDefault="00C40F4F" w:rsidP="00C40F4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rPr>
          <w:rFonts w:ascii="Courier New" w:eastAsia="Times New Roman" w:hAnsi="Courier New" w:cs="Courier New"/>
          <w:color w:val="000000"/>
          <w:sz w:val="20"/>
          <w:szCs w:val="20"/>
        </w:rPr>
      </w:pPr>
      <w:r w:rsidRPr="002D69EC">
        <w:rPr>
          <w:rFonts w:ascii="Courier New" w:eastAsia="Times New Roman" w:hAnsi="Courier New" w:cs="Courier New"/>
          <w:color w:val="000000"/>
          <w:sz w:val="20"/>
          <w:szCs w:val="20"/>
        </w:rPr>
        <w:t xml:space="preserve">           "fileUris": [</w:t>
      </w:r>
    </w:p>
    <w:p w14:paraId="226C149C" w14:textId="77777777" w:rsidR="00C40F4F" w:rsidRPr="002D69EC" w:rsidRDefault="00C40F4F" w:rsidP="00C40F4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rPr>
          <w:rFonts w:ascii="Courier New" w:eastAsia="Times New Roman" w:hAnsi="Courier New" w:cs="Courier New"/>
          <w:color w:val="000000"/>
          <w:sz w:val="20"/>
          <w:szCs w:val="20"/>
        </w:rPr>
      </w:pPr>
      <w:r w:rsidRPr="002D69EC">
        <w:rPr>
          <w:rFonts w:ascii="Courier New" w:eastAsia="Times New Roman" w:hAnsi="Courier New" w:cs="Courier New"/>
          <w:color w:val="000000"/>
          <w:sz w:val="20"/>
          <w:szCs w:val="20"/>
        </w:rPr>
        <w:t xml:space="preserve">           "http://</w:t>
      </w:r>
      <w:r>
        <w:rPr>
          <w:rFonts w:ascii="Courier New" w:eastAsia="Times New Roman" w:hAnsi="Courier New" w:cs="Courier New"/>
          <w:color w:val="000000"/>
          <w:sz w:val="20"/>
          <w:szCs w:val="20"/>
        </w:rPr>
        <w:t>&lt;stacn&gt;</w:t>
      </w:r>
      <w:r w:rsidRPr="002D69EC">
        <w:rPr>
          <w:rFonts w:ascii="Courier New" w:eastAsia="Times New Roman" w:hAnsi="Courier New" w:cs="Courier New"/>
          <w:color w:val="000000"/>
          <w:sz w:val="20"/>
          <w:szCs w:val="20"/>
        </w:rPr>
        <w:t>.blob.core.windows.net/customscriptfiles/start.ps1"</w:t>
      </w:r>
    </w:p>
    <w:p w14:paraId="275F682F" w14:textId="77777777" w:rsidR="00C40F4F" w:rsidRPr="002D69EC" w:rsidRDefault="00C40F4F" w:rsidP="00C40F4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rPr>
          <w:rFonts w:ascii="Courier New" w:eastAsia="Times New Roman" w:hAnsi="Courier New" w:cs="Courier New"/>
          <w:color w:val="000000"/>
          <w:sz w:val="20"/>
          <w:szCs w:val="20"/>
        </w:rPr>
      </w:pPr>
      <w:r w:rsidRPr="002D69EC">
        <w:rPr>
          <w:rFonts w:ascii="Courier New" w:eastAsia="Times New Roman" w:hAnsi="Courier New" w:cs="Courier New"/>
          <w:color w:val="000000"/>
          <w:sz w:val="20"/>
          <w:szCs w:val="20"/>
        </w:rPr>
        <w:t xml:space="preserve">       ],</w:t>
      </w:r>
    </w:p>
    <w:p w14:paraId="122C9FCE" w14:textId="77777777" w:rsidR="00C40F4F" w:rsidRPr="002D69EC" w:rsidRDefault="00C40F4F" w:rsidP="00C40F4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rPr>
          <w:rFonts w:ascii="Courier New" w:eastAsia="Times New Roman" w:hAnsi="Courier New" w:cs="Courier New"/>
          <w:color w:val="000000"/>
          <w:sz w:val="20"/>
          <w:szCs w:val="20"/>
        </w:rPr>
      </w:pPr>
      <w:r w:rsidRPr="002D69EC">
        <w:rPr>
          <w:rFonts w:ascii="Courier New" w:eastAsia="Times New Roman" w:hAnsi="Courier New" w:cs="Courier New"/>
          <w:color w:val="000000"/>
          <w:sz w:val="20"/>
          <w:szCs w:val="20"/>
        </w:rPr>
        <w:t xml:space="preserve">       "commandToExecute": "powershell.exe -ExecutionPolicy Unrestricted -File start.ps1"</w:t>
      </w:r>
    </w:p>
    <w:p w14:paraId="54FB5550" w14:textId="77777777" w:rsidR="00C40F4F" w:rsidRPr="002D69EC" w:rsidRDefault="00C40F4F" w:rsidP="00C40F4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rPr>
          <w:rFonts w:ascii="Courier New" w:eastAsia="Times New Roman" w:hAnsi="Courier New" w:cs="Courier New"/>
          <w:color w:val="000000"/>
          <w:sz w:val="20"/>
          <w:szCs w:val="20"/>
        </w:rPr>
      </w:pPr>
      <w:r w:rsidRPr="002D69EC">
        <w:rPr>
          <w:rFonts w:ascii="Courier New" w:eastAsia="Times New Roman" w:hAnsi="Courier New" w:cs="Courier New"/>
          <w:color w:val="000000"/>
          <w:sz w:val="20"/>
          <w:szCs w:val="20"/>
        </w:rPr>
        <w:t xml:space="preserve">     }</w:t>
      </w:r>
    </w:p>
    <w:p w14:paraId="4904AFBC" w14:textId="77777777" w:rsidR="00C40F4F" w:rsidRPr="002D69EC" w:rsidRDefault="00C40F4F" w:rsidP="00C40F4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63" w:lineRule="atLeast"/>
        <w:rPr>
          <w:rFonts w:ascii="Courier New" w:eastAsia="Times New Roman" w:hAnsi="Courier New" w:cs="Courier New"/>
          <w:color w:val="000000"/>
          <w:sz w:val="20"/>
          <w:szCs w:val="20"/>
        </w:rPr>
      </w:pPr>
      <w:r w:rsidRPr="002D69EC">
        <w:rPr>
          <w:rFonts w:ascii="Courier New" w:eastAsia="Times New Roman" w:hAnsi="Courier New" w:cs="Courier New"/>
          <w:color w:val="000000"/>
          <w:sz w:val="20"/>
          <w:szCs w:val="20"/>
        </w:rPr>
        <w:t xml:space="preserve">   }</w:t>
      </w:r>
    </w:p>
    <w:p w14:paraId="384FE223" w14:textId="53D698AF" w:rsidR="009A2D9D" w:rsidRDefault="00C40F4F" w:rsidP="00C40F4F">
      <w:pPr>
        <w:pStyle w:val="ListParagraph"/>
      </w:pPr>
      <w:r w:rsidRPr="002D69EC">
        <w:rPr>
          <w:rFonts w:ascii="Courier New" w:eastAsia="Times New Roman" w:hAnsi="Courier New" w:cs="Courier New"/>
          <w:color w:val="000000"/>
          <w:sz w:val="20"/>
          <w:szCs w:val="20"/>
        </w:rPr>
        <w:t xml:space="preserve"> }</w:t>
      </w:r>
    </w:p>
    <w:p w14:paraId="4CA46EAB" w14:textId="6DBCC9A5" w:rsidR="004F1819" w:rsidRDefault="004F1819" w:rsidP="004F1819">
      <w:pPr>
        <w:pStyle w:val="Style2"/>
      </w:pPr>
      <w:r>
        <w:t>Common Template Scopes</w:t>
      </w:r>
    </w:p>
    <w:p w14:paraId="7CFE8704" w14:textId="640C1D7C" w:rsidR="004F1819" w:rsidRDefault="004F1819" w:rsidP="00107E2A">
      <w:r>
        <w:t>The following key solution templates scopes have been identified in practical experience</w:t>
      </w:r>
      <w:r w:rsidR="00815F73">
        <w:t>. These three scopes (c</w:t>
      </w:r>
      <w:r>
        <w:t>apacity, capabi</w:t>
      </w:r>
      <w:r w:rsidR="00815F73">
        <w:t xml:space="preserve">lity, and end to end solution) </w:t>
      </w:r>
      <w:r>
        <w:t xml:space="preserve">are described in more detail below. </w:t>
      </w:r>
    </w:p>
    <w:p w14:paraId="4A6572C8" w14:textId="77777777" w:rsidR="00C40F4F" w:rsidRDefault="00C40F4F" w:rsidP="00107E2A"/>
    <w:tbl>
      <w:tblPr>
        <w:tblStyle w:val="PlainTable11"/>
        <w:tblW w:w="9355" w:type="dxa"/>
        <w:tblLook w:val="04A0" w:firstRow="1" w:lastRow="0" w:firstColumn="1" w:lastColumn="0" w:noHBand="0" w:noVBand="1"/>
      </w:tblPr>
      <w:tblGrid>
        <w:gridCol w:w="1278"/>
        <w:gridCol w:w="4474"/>
        <w:gridCol w:w="3603"/>
      </w:tblGrid>
      <w:tr w:rsidR="00C40F4F" w:rsidRPr="00A04156" w14:paraId="66E54917" w14:textId="77777777" w:rsidTr="001B678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8" w:type="dxa"/>
            <w:shd w:val="clear" w:color="auto" w:fill="808080" w:themeFill="background1" w:themeFillShade="80"/>
            <w:hideMark/>
          </w:tcPr>
          <w:p w14:paraId="0DF47155" w14:textId="77777777" w:rsidR="00C40F4F" w:rsidRPr="00A04156" w:rsidRDefault="00C40F4F" w:rsidP="001B6783">
            <w:pPr>
              <w:spacing w:line="240" w:lineRule="auto"/>
              <w:rPr>
                <w:rFonts w:ascii="Times New Roman" w:hAnsi="Times New Roman"/>
                <w:color w:val="FFFFFF"/>
                <w:lang w:val="en-AU" w:eastAsia="en-AU"/>
              </w:rPr>
            </w:pPr>
            <w:r>
              <w:rPr>
                <w:rFonts w:eastAsia="Calibri"/>
                <w:color w:val="FFFFFF"/>
                <w:lang w:val="en-AU" w:eastAsia="en-AU"/>
              </w:rPr>
              <w:t>Type</w:t>
            </w:r>
          </w:p>
        </w:tc>
        <w:tc>
          <w:tcPr>
            <w:tcW w:w="4474" w:type="dxa"/>
            <w:shd w:val="clear" w:color="auto" w:fill="808080" w:themeFill="background1" w:themeFillShade="80"/>
            <w:hideMark/>
          </w:tcPr>
          <w:p w14:paraId="75AC71F6" w14:textId="77777777" w:rsidR="00C40F4F" w:rsidRPr="00A04156" w:rsidRDefault="00C40F4F" w:rsidP="001B6783">
            <w:pPr>
              <w:spacing w:line="240" w:lineRule="auto"/>
              <w:cnfStyle w:val="100000000000" w:firstRow="1" w:lastRow="0" w:firstColumn="0" w:lastColumn="0" w:oddVBand="0" w:evenVBand="0" w:oddHBand="0" w:evenHBand="0" w:firstRowFirstColumn="0" w:firstRowLastColumn="0" w:lastRowFirstColumn="0" w:lastRowLastColumn="0"/>
              <w:rPr>
                <w:rFonts w:eastAsia="Calibri"/>
                <w:color w:val="FFFFFF"/>
                <w:lang w:val="en-AU" w:eastAsia="en-AU"/>
              </w:rPr>
            </w:pPr>
            <w:r>
              <w:rPr>
                <w:rFonts w:eastAsia="Calibri"/>
                <w:color w:val="FFFFFF"/>
                <w:lang w:val="en-AU" w:eastAsia="en-AU"/>
              </w:rPr>
              <w:t>Description</w:t>
            </w:r>
          </w:p>
        </w:tc>
        <w:tc>
          <w:tcPr>
            <w:tcW w:w="3603" w:type="dxa"/>
            <w:shd w:val="clear" w:color="auto" w:fill="808080" w:themeFill="background1" w:themeFillShade="80"/>
            <w:hideMark/>
          </w:tcPr>
          <w:p w14:paraId="739CF163" w14:textId="77777777" w:rsidR="00C40F4F" w:rsidRPr="00A04156" w:rsidRDefault="00C40F4F" w:rsidP="001B6783">
            <w:pPr>
              <w:spacing w:line="240" w:lineRule="auto"/>
              <w:cnfStyle w:val="100000000000" w:firstRow="1" w:lastRow="0" w:firstColumn="0" w:lastColumn="0" w:oddVBand="0" w:evenVBand="0" w:oddHBand="0" w:evenHBand="0" w:firstRowFirstColumn="0" w:firstRowLastColumn="0" w:lastRowFirstColumn="0" w:lastRowLastColumn="0"/>
              <w:rPr>
                <w:rFonts w:eastAsia="Calibri"/>
                <w:color w:val="FFFFFF"/>
                <w:lang w:val="en-AU" w:eastAsia="en-AU"/>
              </w:rPr>
            </w:pPr>
            <w:r>
              <w:rPr>
                <w:rFonts w:eastAsia="Calibri"/>
                <w:color w:val="FFFFFF"/>
                <w:lang w:val="en-AU" w:eastAsia="en-AU"/>
              </w:rPr>
              <w:t>Example</w:t>
            </w:r>
          </w:p>
        </w:tc>
      </w:tr>
      <w:tr w:rsidR="00C40F4F" w:rsidRPr="007E3F2C" w14:paraId="70081D98" w14:textId="77777777" w:rsidTr="001B67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8" w:type="dxa"/>
            <w:hideMark/>
          </w:tcPr>
          <w:p w14:paraId="0531E761" w14:textId="32D5985C" w:rsidR="00C40F4F" w:rsidRPr="00236F1B" w:rsidRDefault="00C40F4F" w:rsidP="001B6783">
            <w:pPr>
              <w:pStyle w:val="NormalWeb"/>
              <w:rPr>
                <w:rFonts w:ascii="Segoe UI" w:hAnsi="Segoe UI" w:cs="Segoe UI"/>
                <w:sz w:val="20"/>
                <w:szCs w:val="20"/>
                <w:lang w:val="en-AU" w:eastAsia="en-AU"/>
              </w:rPr>
            </w:pPr>
            <w:r>
              <w:rPr>
                <w:rFonts w:ascii="Segoe UI" w:hAnsi="Segoe UI" w:cs="Segoe UI"/>
                <w:sz w:val="20"/>
                <w:szCs w:val="20"/>
                <w:lang w:val="en-AU" w:eastAsia="en-AU"/>
              </w:rPr>
              <w:t>Capacity Scope</w:t>
            </w:r>
          </w:p>
        </w:tc>
        <w:tc>
          <w:tcPr>
            <w:tcW w:w="4474" w:type="dxa"/>
            <w:hideMark/>
          </w:tcPr>
          <w:p w14:paraId="6686168E" w14:textId="5070952D" w:rsidR="00C40F4F" w:rsidRPr="00F47607" w:rsidRDefault="00C40F4F" w:rsidP="001B6783">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D</w:t>
            </w:r>
            <w:r w:rsidRPr="00C40F4F">
              <w:rPr>
                <w:rFonts w:ascii="Segoe UI" w:hAnsi="Segoe UI" w:cs="Segoe UI"/>
                <w:sz w:val="20"/>
                <w:szCs w:val="20"/>
                <w:lang w:val="en-AU" w:eastAsia="en-AU"/>
              </w:rPr>
              <w:t>elivers a set of resources in a standard topology that is pre-configured to be in compliance with regulations and policies</w:t>
            </w:r>
          </w:p>
        </w:tc>
        <w:tc>
          <w:tcPr>
            <w:tcW w:w="3603" w:type="dxa"/>
            <w:hideMark/>
          </w:tcPr>
          <w:p w14:paraId="411C26C5" w14:textId="1A490773" w:rsidR="00C40F4F" w:rsidRPr="00B814EA" w:rsidRDefault="00C40F4F" w:rsidP="001B6783">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D</w:t>
            </w:r>
            <w:r w:rsidRPr="00C40F4F">
              <w:rPr>
                <w:rFonts w:ascii="Segoe UI" w:hAnsi="Segoe UI" w:cs="Segoe UI"/>
                <w:sz w:val="20"/>
                <w:szCs w:val="20"/>
                <w:lang w:val="en-AU" w:eastAsia="en-AU"/>
              </w:rPr>
              <w:t>eploying a standard development environment in an Enterprise IT or SI scenario</w:t>
            </w:r>
          </w:p>
        </w:tc>
      </w:tr>
      <w:tr w:rsidR="00C40F4F" w:rsidRPr="007E3F2C" w14:paraId="79FB36A3" w14:textId="77777777" w:rsidTr="001B6783">
        <w:tc>
          <w:tcPr>
            <w:cnfStyle w:val="001000000000" w:firstRow="0" w:lastRow="0" w:firstColumn="1" w:lastColumn="0" w:oddVBand="0" w:evenVBand="0" w:oddHBand="0" w:evenHBand="0" w:firstRowFirstColumn="0" w:firstRowLastColumn="0" w:lastRowFirstColumn="0" w:lastRowLastColumn="0"/>
            <w:tcW w:w="1278" w:type="dxa"/>
            <w:hideMark/>
          </w:tcPr>
          <w:p w14:paraId="02643BBF" w14:textId="3868B5CD" w:rsidR="00C40F4F" w:rsidRPr="00236F1B" w:rsidRDefault="00C40F4F" w:rsidP="001B6783">
            <w:pPr>
              <w:pStyle w:val="NormalWeb"/>
              <w:rPr>
                <w:rFonts w:ascii="Segoe UI" w:hAnsi="Segoe UI" w:cs="Segoe UI"/>
                <w:sz w:val="20"/>
                <w:szCs w:val="20"/>
                <w:lang w:val="en-AU" w:eastAsia="en-AU"/>
              </w:rPr>
            </w:pPr>
            <w:r>
              <w:rPr>
                <w:rFonts w:ascii="Segoe UI" w:hAnsi="Segoe UI" w:cs="Segoe UI"/>
                <w:sz w:val="20"/>
                <w:szCs w:val="20"/>
                <w:lang w:val="en-AU" w:eastAsia="en-AU"/>
              </w:rPr>
              <w:t>Capability Scope</w:t>
            </w:r>
          </w:p>
        </w:tc>
        <w:tc>
          <w:tcPr>
            <w:tcW w:w="4474" w:type="dxa"/>
            <w:hideMark/>
          </w:tcPr>
          <w:p w14:paraId="5A54B4AC" w14:textId="408C9CFB" w:rsidR="00C40F4F" w:rsidRPr="00F47607" w:rsidRDefault="00C40F4F" w:rsidP="001B6783">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D</w:t>
            </w:r>
            <w:r w:rsidRPr="00C40F4F">
              <w:rPr>
                <w:rFonts w:ascii="Segoe UI" w:hAnsi="Segoe UI" w:cs="Segoe UI"/>
                <w:sz w:val="20"/>
                <w:szCs w:val="20"/>
                <w:lang w:val="en-AU" w:eastAsia="en-AU"/>
              </w:rPr>
              <w:t>eploying and configuring a topology for a given technology</w:t>
            </w:r>
          </w:p>
        </w:tc>
        <w:tc>
          <w:tcPr>
            <w:tcW w:w="3603" w:type="dxa"/>
            <w:hideMark/>
          </w:tcPr>
          <w:p w14:paraId="7EA423B8" w14:textId="6AF2A16F" w:rsidR="00C40F4F" w:rsidRPr="00236F1B" w:rsidRDefault="00C40F4F" w:rsidP="001B6783">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sidRPr="00C40F4F">
              <w:rPr>
                <w:rFonts w:ascii="Segoe UI" w:hAnsi="Segoe UI" w:cs="Segoe UI"/>
                <w:sz w:val="20"/>
                <w:szCs w:val="20"/>
                <w:lang w:val="en-AU" w:eastAsia="en-AU"/>
              </w:rPr>
              <w:t>Common scenarios including technologies such as SQL Server, Cassandra, Hadoop, etc.</w:t>
            </w:r>
          </w:p>
        </w:tc>
      </w:tr>
      <w:tr w:rsidR="00C40F4F" w:rsidRPr="007E3F2C" w14:paraId="72531BD0" w14:textId="77777777" w:rsidTr="001B67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8" w:type="dxa"/>
          </w:tcPr>
          <w:p w14:paraId="356C0187" w14:textId="46591A5F" w:rsidR="00C40F4F" w:rsidRDefault="00C40F4F" w:rsidP="001B6783">
            <w:pPr>
              <w:pStyle w:val="NormalWeb"/>
              <w:rPr>
                <w:rFonts w:ascii="Segoe UI" w:hAnsi="Segoe UI" w:cs="Segoe UI"/>
                <w:sz w:val="20"/>
                <w:szCs w:val="20"/>
                <w:lang w:val="en-AU" w:eastAsia="en-AU"/>
              </w:rPr>
            </w:pPr>
            <w:r w:rsidRPr="00C40F4F">
              <w:rPr>
                <w:rFonts w:ascii="Segoe UI" w:hAnsi="Segoe UI" w:cs="Segoe UI"/>
                <w:sz w:val="20"/>
                <w:szCs w:val="20"/>
                <w:lang w:val="en-AU" w:eastAsia="en-AU"/>
              </w:rPr>
              <w:t>End to End Solution Scope</w:t>
            </w:r>
          </w:p>
        </w:tc>
        <w:tc>
          <w:tcPr>
            <w:tcW w:w="4474" w:type="dxa"/>
          </w:tcPr>
          <w:p w14:paraId="0B836AB1" w14:textId="11814D79" w:rsidR="00C40F4F" w:rsidRDefault="00C40F4F" w:rsidP="001B6783">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T</w:t>
            </w:r>
            <w:r w:rsidRPr="00C40F4F">
              <w:rPr>
                <w:rFonts w:ascii="Segoe UI" w:hAnsi="Segoe UI" w:cs="Segoe UI"/>
                <w:sz w:val="20"/>
                <w:szCs w:val="20"/>
                <w:lang w:val="en-AU" w:eastAsia="en-AU"/>
              </w:rPr>
              <w:t>argeted beyond a single capability, and instead focused on delivering an end to end solution comprised of multiple capabilities</w:t>
            </w:r>
            <w:r>
              <w:rPr>
                <w:rFonts w:ascii="Segoe UI" w:hAnsi="Segoe UI" w:cs="Segoe UI"/>
                <w:sz w:val="20"/>
                <w:szCs w:val="20"/>
                <w:lang w:val="en-AU" w:eastAsia="en-AU"/>
              </w:rPr>
              <w:t xml:space="preserve">. </w:t>
            </w:r>
            <w:r w:rsidRPr="00C40F4F">
              <w:rPr>
                <w:rFonts w:ascii="Segoe UI" w:hAnsi="Segoe UI" w:cs="Segoe UI"/>
                <w:sz w:val="20"/>
                <w:szCs w:val="20"/>
                <w:lang w:val="en-AU" w:eastAsia="en-AU"/>
              </w:rPr>
              <w:t>A solution scoped template scope manifests itself as a set of one or more capability scoped templates with solution specific resources, logic, and desired state</w:t>
            </w:r>
            <w:r>
              <w:rPr>
                <w:rFonts w:ascii="Segoe UI" w:hAnsi="Segoe UI" w:cs="Segoe UI"/>
                <w:sz w:val="20"/>
                <w:szCs w:val="20"/>
                <w:lang w:val="en-AU" w:eastAsia="en-AU"/>
              </w:rPr>
              <w:t>.</w:t>
            </w:r>
          </w:p>
        </w:tc>
        <w:tc>
          <w:tcPr>
            <w:tcW w:w="3603" w:type="dxa"/>
          </w:tcPr>
          <w:p w14:paraId="4BA0C930" w14:textId="5CE45219" w:rsidR="00C40F4F" w:rsidRDefault="00C40F4F" w:rsidP="001B6783">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A</w:t>
            </w:r>
            <w:r w:rsidRPr="00C40F4F">
              <w:rPr>
                <w:rFonts w:ascii="Segoe UI" w:hAnsi="Segoe UI" w:cs="Segoe UI"/>
                <w:sz w:val="20"/>
                <w:szCs w:val="20"/>
                <w:lang w:val="en-AU" w:eastAsia="en-AU"/>
              </w:rPr>
              <w:t>n end to end data pipeline solution template that might mix solution specific topology and state with multiple capability scoped solution templates such as Kafka, Storm, and Hadoop</w:t>
            </w:r>
          </w:p>
        </w:tc>
      </w:tr>
    </w:tbl>
    <w:p w14:paraId="3378519C" w14:textId="77777777" w:rsidR="004F1819" w:rsidRDefault="004F1819" w:rsidP="00107E2A"/>
    <w:p w14:paraId="099C3DE4" w14:textId="479A2EBD" w:rsidR="004F1819" w:rsidRDefault="004F1819" w:rsidP="004F1819">
      <w:pPr>
        <w:pStyle w:val="Style2"/>
      </w:pPr>
      <w:r>
        <w:t xml:space="preserve">Template </w:t>
      </w:r>
      <w:r w:rsidR="00815F73">
        <w:t>Free-form vs. Known C</w:t>
      </w:r>
      <w:r w:rsidRPr="004F1819">
        <w:t xml:space="preserve">onfigurations </w:t>
      </w:r>
    </w:p>
    <w:p w14:paraId="2F7AD82D" w14:textId="5DC84CA0" w:rsidR="004F1819" w:rsidRDefault="004F1819" w:rsidP="004F1819">
      <w:r>
        <w:t xml:space="preserve">While the template is generally perceived to give customers the utmost flexibility, many considerations affect the choice of whether to use </w:t>
      </w:r>
      <w:r w:rsidRPr="00815F73">
        <w:rPr>
          <w:b/>
          <w:i/>
        </w:rPr>
        <w:t>free-form configurations</w:t>
      </w:r>
      <w:r>
        <w:t xml:space="preserve"> vs. </w:t>
      </w:r>
      <w:r w:rsidRPr="00A74532">
        <w:rPr>
          <w:b/>
          <w:i/>
        </w:rPr>
        <w:t>known configurations</w:t>
      </w:r>
      <w:r>
        <w:t>.</w:t>
      </w:r>
    </w:p>
    <w:p w14:paraId="7900E2EA" w14:textId="77777777" w:rsidR="00815F73" w:rsidRDefault="00815F73" w:rsidP="004F1819"/>
    <w:p w14:paraId="0FCDB5F0" w14:textId="76A59657" w:rsidR="000C223F" w:rsidRPr="00815F73" w:rsidRDefault="000C223F" w:rsidP="00815F73">
      <w:pPr>
        <w:rPr>
          <w:b/>
        </w:rPr>
      </w:pPr>
      <w:r w:rsidRPr="00815F73">
        <w:rPr>
          <w:b/>
        </w:rPr>
        <w:t>F</w:t>
      </w:r>
      <w:r w:rsidR="00815F73">
        <w:rPr>
          <w:b/>
        </w:rPr>
        <w:t>ree-form C</w:t>
      </w:r>
      <w:r w:rsidRPr="00815F73">
        <w:rPr>
          <w:b/>
        </w:rPr>
        <w:t xml:space="preserve">onfigurations </w:t>
      </w:r>
    </w:p>
    <w:p w14:paraId="62B3C0E4" w14:textId="65256C62" w:rsidR="004F1819" w:rsidRDefault="004F1819" w:rsidP="004F1819">
      <w:r>
        <w:t>Free-form configurations provide the most flexibility by allowing customiz</w:t>
      </w:r>
      <w:r w:rsidR="0065546F">
        <w:t>ation of</w:t>
      </w:r>
      <w:r>
        <w:t xml:space="preserve"> the resource type and supply</w:t>
      </w:r>
      <w:r w:rsidR="0065546F">
        <w:t>ing</w:t>
      </w:r>
      <w:r>
        <w:t xml:space="preserve"> values for all resource properties, such as selecting a VM type and provid</w:t>
      </w:r>
      <w:r w:rsidR="0065546F">
        <w:t>ing</w:t>
      </w:r>
      <w:r>
        <w:t xml:space="preserve"> an arbitrary number of nodes and attached disks for those nodes</w:t>
      </w:r>
      <w:r w:rsidR="0065546F">
        <w:t>.</w:t>
      </w:r>
    </w:p>
    <w:p w14:paraId="6A21AB5D" w14:textId="4161893E" w:rsidR="004F1819" w:rsidRDefault="004F1819" w:rsidP="004F1819">
      <w:r>
        <w:t>Nonetheless, since in mature organization</w:t>
      </w:r>
      <w:r w:rsidR="000C223F">
        <w:t>s</w:t>
      </w:r>
      <w:r>
        <w:t xml:space="preserve"> templates are expected to be used to deploy </w:t>
      </w:r>
      <w:r w:rsidR="000C223F">
        <w:t xml:space="preserve">large </w:t>
      </w:r>
      <w:r>
        <w:t xml:space="preserve">Azure resource topologies, the complexity of </w:t>
      </w:r>
      <w:r w:rsidR="00610BAC">
        <w:t>building a template for a sophisticated infrastructure deployment potentially containing hundreds of varied resources results in substantial overhead for designing, maintaining and deploying the free-form template.</w:t>
      </w:r>
    </w:p>
    <w:p w14:paraId="0FCA0A12" w14:textId="1A1A483D" w:rsidR="00610BAC" w:rsidRPr="00815F73" w:rsidRDefault="00815F73" w:rsidP="004F1819">
      <w:pPr>
        <w:rPr>
          <w:b/>
        </w:rPr>
      </w:pPr>
      <w:r w:rsidRPr="00815F73">
        <w:rPr>
          <w:b/>
        </w:rPr>
        <w:t>Known C</w:t>
      </w:r>
      <w:r w:rsidR="000C223F" w:rsidRPr="00815F73">
        <w:rPr>
          <w:b/>
        </w:rPr>
        <w:t>onfigurations</w:t>
      </w:r>
    </w:p>
    <w:p w14:paraId="55DAE936" w14:textId="2AAAD2B8" w:rsidR="000C223F" w:rsidRDefault="000C223F" w:rsidP="000C223F">
      <w:r>
        <w:t>Rather than offer a template that provides total flexibility and countless variations, the common pattern is to provide the ability to select known configurations—in effect, standard sizes such as sandbox, small, medium, and large. Other examples of such sizes are product offerings, such as community edition or enterprise edition. In other cases, it may be workload specific configurations of a technology – such as map reduce or nosql.</w:t>
      </w:r>
    </w:p>
    <w:p w14:paraId="6D6E495A" w14:textId="77777777" w:rsidR="000C223F" w:rsidRDefault="000C223F" w:rsidP="000C223F">
      <w:r>
        <w:t xml:space="preserve">Many enterprise IT organizations, OSS vendors, and SIs make their offerings available today in this way in on-premises, virtualized environments (enterprises) or as software-as-a-service (SaaS) offerings (CSVs and OSVs). This approach provides good, known configurations of varying sizes that are preconfigured for customers. </w:t>
      </w:r>
    </w:p>
    <w:p w14:paraId="3575B285" w14:textId="2AF08028" w:rsidR="000C223F" w:rsidRDefault="000C223F" w:rsidP="000C223F">
      <w:r>
        <w:t>Without known configurations, end customers must determine cluster sizing on their own, factor in platform resource constraints, and do math to identify the resulting partitioning of storage accounts and other resources (due to cluster size and resource constraints). Known configurations enable customers to easily select the right standard size</w:t>
      </w:r>
      <w:r w:rsidR="00A74532">
        <w:t xml:space="preserve"> for a </w:t>
      </w:r>
      <w:r>
        <w:t>given deployment. In addition to making a better experience for the customer, a small number of known configurations is easier to support and can help deliver a higher level of density.</w:t>
      </w:r>
    </w:p>
    <w:p w14:paraId="4E695287" w14:textId="77777777" w:rsidR="00A74532" w:rsidRDefault="00A74532">
      <w:pPr>
        <w:spacing w:before="0" w:after="160" w:line="259" w:lineRule="auto"/>
      </w:pPr>
      <w:r>
        <w:br w:type="page"/>
      </w:r>
    </w:p>
    <w:p w14:paraId="4B2E1568" w14:textId="68A0B9B2" w:rsidR="002F6705" w:rsidRDefault="002F6705" w:rsidP="002F6705">
      <w:pPr>
        <w:pStyle w:val="Style2"/>
      </w:pPr>
      <w:r>
        <w:t xml:space="preserve">Template </w:t>
      </w:r>
      <w:r w:rsidR="00815F73">
        <w:t>D</w:t>
      </w:r>
      <w:r>
        <w:t>ependencies</w:t>
      </w:r>
    </w:p>
    <w:p w14:paraId="4B8E8B03" w14:textId="3332B3F9" w:rsidR="00A030E5" w:rsidRDefault="007F1BC7" w:rsidP="00A030E5">
      <w:r w:rsidRPr="007F1BC7">
        <w:t xml:space="preserve">For a given resource, there can be multiple upstream and child dependencies that are critical to the success of </w:t>
      </w:r>
      <w:r>
        <w:t xml:space="preserve">deployment </w:t>
      </w:r>
      <w:r w:rsidRPr="007F1BC7">
        <w:t xml:space="preserve">topology. </w:t>
      </w:r>
      <w:r>
        <w:t xml:space="preserve">Such </w:t>
      </w:r>
      <w:r w:rsidRPr="007F1BC7">
        <w:t xml:space="preserve">dependencies </w:t>
      </w:r>
      <w:r>
        <w:t xml:space="preserve">can be defined </w:t>
      </w:r>
      <w:r w:rsidRPr="007F1BC7">
        <w:t xml:space="preserve">on other resources using </w:t>
      </w:r>
      <w:r w:rsidRPr="00A74532">
        <w:rPr>
          <w:i/>
        </w:rPr>
        <w:t>dependsOn</w:t>
      </w:r>
      <w:r w:rsidRPr="007F1BC7">
        <w:t xml:space="preserve"> </w:t>
      </w:r>
      <w:r w:rsidR="00A030E5">
        <w:t xml:space="preserve">keyword </w:t>
      </w:r>
      <w:r w:rsidRPr="007F1BC7">
        <w:t>and resources property of a resource</w:t>
      </w:r>
      <w:r w:rsidR="00A030E5">
        <w:t xml:space="preserve"> in the ARM template</w:t>
      </w:r>
      <w:r>
        <w:t>.</w:t>
      </w:r>
      <w:r w:rsidR="00A74532">
        <w:t xml:space="preserve"> </w:t>
      </w:r>
      <w:r w:rsidR="00A030E5">
        <w:t>As an example, a virtual machine may be dependent on having a database resource successfully provisioned. In another case, multiple cluster nodes must be installed before deploying a virtual machine with the cluster management tool.</w:t>
      </w:r>
    </w:p>
    <w:p w14:paraId="6514C950" w14:textId="765BFB28" w:rsidR="00A030E5" w:rsidRDefault="00A030E5" w:rsidP="00A030E5">
      <w:r>
        <w:t xml:space="preserve">While </w:t>
      </w:r>
      <w:r w:rsidRPr="00A74532">
        <w:rPr>
          <w:i/>
        </w:rPr>
        <w:t>dependsOn</w:t>
      </w:r>
      <w:r>
        <w:t xml:space="preserve"> is a useful tool to map dependencies between resources comprising the deployment, it needs to be used judiciously since it can impact the deployment performance characteristics. As such </w:t>
      </w:r>
      <w:r w:rsidR="00A74532" w:rsidRPr="0065546F">
        <w:rPr>
          <w:i/>
        </w:rPr>
        <w:t>dependsOn</w:t>
      </w:r>
      <w:r w:rsidRPr="00A74532">
        <w:t xml:space="preserve"> should not be used to document how resources are interconnected</w:t>
      </w:r>
      <w:r w:rsidR="00F04A7D">
        <w:t>.</w:t>
      </w:r>
      <w:r w:rsidRPr="00A74532">
        <w:t xml:space="preserve"> </w:t>
      </w:r>
      <w:r w:rsidR="00F04A7D">
        <w:t xml:space="preserve"> T</w:t>
      </w:r>
      <w:r w:rsidR="00F04A7D" w:rsidRPr="00A74532">
        <w:t>he</w:t>
      </w:r>
      <w:r w:rsidRPr="00A74532">
        <w:t xml:space="preserve"> lifecycle of </w:t>
      </w:r>
      <w:r w:rsidR="00A74532" w:rsidRPr="0065546F">
        <w:rPr>
          <w:i/>
        </w:rPr>
        <w:t>dependsOn</w:t>
      </w:r>
      <w:r w:rsidR="00A74532" w:rsidRPr="00A74532">
        <w:t xml:space="preserve"> </w:t>
      </w:r>
      <w:r w:rsidRPr="00A74532">
        <w:t xml:space="preserve">is just for deployment and is not available post-deployment. Once deployed there is no way to query these dependencies. </w:t>
      </w:r>
      <w:r w:rsidR="00A74532">
        <w:t xml:space="preserve">Use of the </w:t>
      </w:r>
      <w:r w:rsidR="00A74532" w:rsidRPr="0065546F">
        <w:rPr>
          <w:i/>
        </w:rPr>
        <w:t>dependsOn</w:t>
      </w:r>
      <w:r w:rsidR="00A74532" w:rsidRPr="00A74532">
        <w:t xml:space="preserve"> </w:t>
      </w:r>
      <w:r w:rsidR="00A74532">
        <w:t xml:space="preserve">keyword </w:t>
      </w:r>
      <w:r w:rsidRPr="00A74532">
        <w:t>may have implication on the deployment engine operation that would prevent it from using parallelism where it might have otherwise. The mechanism called resource linking should be used</w:t>
      </w:r>
      <w:r>
        <w:t xml:space="preserve"> instead to document and provide query </w:t>
      </w:r>
      <w:r w:rsidR="00A74532">
        <w:t>capability</w:t>
      </w:r>
      <w:r>
        <w:t xml:space="preserve"> over the relationships between resources.</w:t>
      </w:r>
    </w:p>
    <w:p w14:paraId="14C6FCF9" w14:textId="2B483126" w:rsidR="007F1BC7" w:rsidRDefault="007F1BC7" w:rsidP="005729D2">
      <w:pPr>
        <w:pStyle w:val="Heading2Numbered"/>
        <w:numPr>
          <w:ilvl w:val="2"/>
          <w:numId w:val="64"/>
        </w:numPr>
      </w:pPr>
      <w:bookmarkStart w:id="1572" w:name="_Toc431288805"/>
      <w:r>
        <w:t>Azure Resource Manager Resource Locks</w:t>
      </w:r>
      <w:bookmarkEnd w:id="1572"/>
    </w:p>
    <w:p w14:paraId="2EADB894" w14:textId="27F646B8" w:rsidR="007F1BC7" w:rsidRDefault="007F1BC7" w:rsidP="007F1BC7">
      <w:r>
        <w:t>There are numerous scenario</w:t>
      </w:r>
      <w:r w:rsidR="00F04A7D">
        <w:t>s</w:t>
      </w:r>
      <w:r>
        <w:t xml:space="preserve"> where an administrator needs to place a lock on a resource or resource group to prevent other users in the organization from committing write actions or accidentally deleting a critical resource.</w:t>
      </w:r>
      <w:r w:rsidR="00A74532">
        <w:t xml:space="preserve">  </w:t>
      </w:r>
      <w:r>
        <w:t xml:space="preserve">Azure Resource Manager provides the ability to restrict operations on resources through resource management locks. Resource locks are policies which enforce a lock level at a particular scope. The lock level identifies the type of enforcement for the policy, which presently has two values – </w:t>
      </w:r>
      <w:r w:rsidRPr="00A74532">
        <w:rPr>
          <w:i/>
        </w:rPr>
        <w:t>CanNotDelete</w:t>
      </w:r>
      <w:r>
        <w:t xml:space="preserve"> and </w:t>
      </w:r>
      <w:r w:rsidRPr="00A74532">
        <w:rPr>
          <w:i/>
        </w:rPr>
        <w:t>ReadOnly</w:t>
      </w:r>
      <w:r>
        <w:t>. The scope is expressed as a URI and can be either a resource or a resource group.</w:t>
      </w:r>
    </w:p>
    <w:p w14:paraId="32441FC4" w14:textId="61DA689A" w:rsidR="007F1BC7" w:rsidRDefault="007F1BC7" w:rsidP="007F1BC7">
      <w:r>
        <w:t xml:space="preserve">For example, various resources are used in an off-and-on pattern, such as </w:t>
      </w:r>
      <w:r w:rsidR="00A74532">
        <w:t>virtual machines</w:t>
      </w:r>
      <w:r>
        <w:t xml:space="preserve"> which are turned on periodically to process data for a given interval of time and then turned off. In this scenario, the VM shut down must be enabled but it is imperative that the underlying storage account not be deleted. In this scenario, a resource lock with a lock level of </w:t>
      </w:r>
      <w:r w:rsidRPr="00752941">
        <w:rPr>
          <w:i/>
        </w:rPr>
        <w:t xml:space="preserve">CanNotDelete </w:t>
      </w:r>
      <w:r>
        <w:t>can be applied on the storage account.</w:t>
      </w:r>
    </w:p>
    <w:p w14:paraId="6A36E55F" w14:textId="0A616534" w:rsidR="007F1BC7" w:rsidRDefault="007F1BC7" w:rsidP="007F1BC7">
      <w:r>
        <w:t xml:space="preserve">In another scenario, business organization may have periods where updates must not go </w:t>
      </w:r>
      <w:r w:rsidR="00752941">
        <w:t>into production. In these cases, t</w:t>
      </w:r>
      <w:r>
        <w:t xml:space="preserve">he </w:t>
      </w:r>
      <w:r w:rsidRPr="00752941">
        <w:rPr>
          <w:i/>
        </w:rPr>
        <w:t>ReadOnly</w:t>
      </w:r>
      <w:r>
        <w:t xml:space="preserve"> lock level stops creation or updates. For example, a retail company may not want to allow updates during holiday shopping periods; a financial services company may have constraints related to deployments during certain market hours. A resource lock can provide a policy to lock the resources as appropriate. This could be applied to just certain resources or to the entirety of the resource group.</w:t>
      </w:r>
      <w:r w:rsidR="0065546F">
        <w:t xml:space="preserve">  The resource l</w:t>
      </w:r>
      <w:r>
        <w:t xml:space="preserve">ock can be applied both via Azure PowerShell or added within the context of </w:t>
      </w:r>
      <w:r w:rsidR="0065546F">
        <w:t xml:space="preserve">the </w:t>
      </w:r>
      <w:r>
        <w:t>Azure Resource Manager template.</w:t>
      </w:r>
    </w:p>
    <w:p w14:paraId="0BF04C3E" w14:textId="77777777" w:rsidR="00F82036" w:rsidRDefault="00F82036" w:rsidP="005729D2">
      <w:pPr>
        <w:pStyle w:val="Heading2Numbered"/>
        <w:numPr>
          <w:ilvl w:val="2"/>
          <w:numId w:val="64"/>
        </w:numPr>
      </w:pPr>
      <w:bookmarkStart w:id="1573" w:name="_Toc431288806"/>
      <w:r>
        <w:t>Azure Resource Manager QuickStart Templates</w:t>
      </w:r>
      <w:bookmarkEnd w:id="1573"/>
    </w:p>
    <w:p w14:paraId="58ACD1D4" w14:textId="6AA10DC1" w:rsidR="00107E2A" w:rsidRDefault="0065546F" w:rsidP="00107E2A">
      <w:r>
        <w:t xml:space="preserve">The Microsoft </w:t>
      </w:r>
      <w:r w:rsidR="00107E2A">
        <w:t>Azure P</w:t>
      </w:r>
      <w:r>
        <w:t xml:space="preserve">roduct </w:t>
      </w:r>
      <w:r w:rsidR="00107E2A">
        <w:t>G</w:t>
      </w:r>
      <w:r>
        <w:t>roup</w:t>
      </w:r>
      <w:r w:rsidR="00107E2A">
        <w:t xml:space="preserve"> </w:t>
      </w:r>
      <w:r>
        <w:t xml:space="preserve">created </w:t>
      </w:r>
      <w:r w:rsidR="00107E2A">
        <w:t xml:space="preserve">a community-maintained set of </w:t>
      </w:r>
      <w:hyperlink r:id="rId101" w:history="1">
        <w:r w:rsidR="00107E2A" w:rsidRPr="00510EE9">
          <w:rPr>
            <w:rStyle w:val="Hyperlink"/>
          </w:rPr>
          <w:t>quickstart ARM templates</w:t>
        </w:r>
      </w:hyperlink>
      <w:r w:rsidR="00107E2A">
        <w:t xml:space="preserve"> that could be used as building blocks to author custom JSON templates for complex workloads to be deployed in Azure. For representative purposes a subset of provided templates is listed in the table below</w:t>
      </w:r>
      <w:r w:rsidR="00564851">
        <w:t>:</w:t>
      </w:r>
    </w:p>
    <w:tbl>
      <w:tblPr>
        <w:tblStyle w:val="PlainTable11"/>
        <w:tblW w:w="5000" w:type="pct"/>
        <w:tblLook w:val="04A0" w:firstRow="1" w:lastRow="0" w:firstColumn="1" w:lastColumn="0" w:noHBand="0" w:noVBand="1"/>
      </w:tblPr>
      <w:tblGrid>
        <w:gridCol w:w="4060"/>
        <w:gridCol w:w="5290"/>
      </w:tblGrid>
      <w:tr w:rsidR="00107E2A" w14:paraId="3DE86CD6" w14:textId="77777777" w:rsidTr="00F842A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808080" w:themeFill="background1" w:themeFillShade="80"/>
          </w:tcPr>
          <w:p w14:paraId="78FA85B5" w14:textId="77777777" w:rsidR="00107E2A" w:rsidRPr="00F47607" w:rsidRDefault="00107E2A" w:rsidP="00F842AB">
            <w:pPr>
              <w:spacing w:line="240" w:lineRule="auto"/>
              <w:rPr>
                <w:color w:val="FFFFFF"/>
              </w:rPr>
            </w:pPr>
            <w:r>
              <w:rPr>
                <w:color w:val="FFFFFF"/>
              </w:rPr>
              <w:t>QuickStart ARM Templates</w:t>
            </w:r>
          </w:p>
        </w:tc>
      </w:tr>
      <w:tr w:rsidR="00107E2A" w14:paraId="04809D3D" w14:textId="77777777" w:rsidTr="00F842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1" w:type="pct"/>
          </w:tcPr>
          <w:p w14:paraId="18A41FCB" w14:textId="77777777" w:rsidR="00107E2A" w:rsidRPr="00F04A7D" w:rsidRDefault="00872E47" w:rsidP="00F842AB">
            <w:pPr>
              <w:spacing w:line="315" w:lineRule="atLeast"/>
              <w:rPr>
                <w:rFonts w:cs="Segoe UI"/>
                <w:color w:val="000000" w:themeColor="text1"/>
                <w:sz w:val="21"/>
                <w:szCs w:val="21"/>
              </w:rPr>
            </w:pPr>
            <w:hyperlink r:id="rId102" w:history="1">
              <w:r w:rsidR="00107E2A" w:rsidRPr="00F04A7D">
                <w:rPr>
                  <w:rStyle w:val="Hyperlink"/>
                  <w:color w:val="000000" w:themeColor="text1"/>
                  <w:sz w:val="21"/>
                  <w:szCs w:val="21"/>
                </w:rPr>
                <w:t xml:space="preserve"> Application Gateway with Public IP</w:t>
              </w:r>
            </w:hyperlink>
          </w:p>
        </w:tc>
        <w:tc>
          <w:tcPr>
            <w:tcW w:w="2829" w:type="pct"/>
          </w:tcPr>
          <w:p w14:paraId="6B645E40" w14:textId="77777777" w:rsidR="00107E2A" w:rsidRDefault="00107E2A" w:rsidP="00F842AB">
            <w:pPr>
              <w:spacing w:line="315" w:lineRule="atLeast"/>
              <w:cnfStyle w:val="000000100000" w:firstRow="0" w:lastRow="0" w:firstColumn="0" w:lastColumn="0" w:oddVBand="0" w:evenVBand="0" w:oddHBand="1" w:evenHBand="0" w:firstRowFirstColumn="0" w:firstRowLastColumn="0" w:lastRowFirstColumn="0" w:lastRowLastColumn="0"/>
              <w:rPr>
                <w:rFonts w:cs="Segoe UI"/>
                <w:color w:val="505050"/>
                <w:sz w:val="21"/>
                <w:szCs w:val="21"/>
              </w:rPr>
            </w:pPr>
            <w:r>
              <w:rPr>
                <w:rFonts w:cs="Segoe UI"/>
                <w:color w:val="505050"/>
                <w:sz w:val="21"/>
                <w:szCs w:val="21"/>
              </w:rPr>
              <w:t>Create an Application Gateway with Public IP</w:t>
            </w:r>
          </w:p>
        </w:tc>
      </w:tr>
      <w:tr w:rsidR="00107E2A" w14:paraId="7B674190" w14:textId="77777777" w:rsidTr="00F842AB">
        <w:tc>
          <w:tcPr>
            <w:cnfStyle w:val="001000000000" w:firstRow="0" w:lastRow="0" w:firstColumn="1" w:lastColumn="0" w:oddVBand="0" w:evenVBand="0" w:oddHBand="0" w:evenHBand="0" w:firstRowFirstColumn="0" w:firstRowLastColumn="0" w:lastRowFirstColumn="0" w:lastRowLastColumn="0"/>
            <w:tcW w:w="2171" w:type="pct"/>
          </w:tcPr>
          <w:p w14:paraId="551CD47F" w14:textId="77777777" w:rsidR="00107E2A" w:rsidRPr="00F04A7D" w:rsidRDefault="00872E47" w:rsidP="00F842AB">
            <w:pPr>
              <w:spacing w:line="315" w:lineRule="atLeast"/>
              <w:rPr>
                <w:rFonts w:cs="Segoe UI"/>
                <w:color w:val="000000" w:themeColor="text1"/>
                <w:sz w:val="21"/>
                <w:szCs w:val="21"/>
              </w:rPr>
            </w:pPr>
            <w:hyperlink r:id="rId103" w:history="1">
              <w:r w:rsidR="00107E2A" w:rsidRPr="00F04A7D">
                <w:rPr>
                  <w:rStyle w:val="Hyperlink"/>
                  <w:color w:val="000000" w:themeColor="text1"/>
                  <w:sz w:val="21"/>
                  <w:szCs w:val="21"/>
                </w:rPr>
                <w:t>Virtual Network with Subnets, a local network, and a VPN gateway</w:t>
              </w:r>
            </w:hyperlink>
          </w:p>
        </w:tc>
        <w:tc>
          <w:tcPr>
            <w:tcW w:w="2829" w:type="pct"/>
          </w:tcPr>
          <w:p w14:paraId="4E10F3D6" w14:textId="77777777" w:rsidR="00107E2A" w:rsidRDefault="00107E2A" w:rsidP="00F842AB">
            <w:pPr>
              <w:spacing w:line="315" w:lineRule="atLeast"/>
              <w:cnfStyle w:val="000000000000" w:firstRow="0" w:lastRow="0" w:firstColumn="0" w:lastColumn="0" w:oddVBand="0" w:evenVBand="0" w:oddHBand="0" w:evenHBand="0" w:firstRowFirstColumn="0" w:firstRowLastColumn="0" w:lastRowFirstColumn="0" w:lastRowLastColumn="0"/>
              <w:rPr>
                <w:rFonts w:cs="Segoe UI"/>
                <w:color w:val="505050"/>
                <w:sz w:val="21"/>
                <w:szCs w:val="21"/>
              </w:rPr>
            </w:pPr>
            <w:r>
              <w:rPr>
                <w:rFonts w:cs="Segoe UI"/>
                <w:color w:val="505050"/>
                <w:sz w:val="21"/>
                <w:szCs w:val="21"/>
              </w:rPr>
              <w:t>Create a Virtual Network with two Subnets, a local network, and a VPN gateway</w:t>
            </w:r>
          </w:p>
        </w:tc>
      </w:tr>
      <w:tr w:rsidR="00107E2A" w14:paraId="1F2908CF" w14:textId="77777777" w:rsidTr="00F842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1" w:type="pct"/>
          </w:tcPr>
          <w:p w14:paraId="434B35F0" w14:textId="77777777" w:rsidR="00107E2A" w:rsidRPr="00F04A7D" w:rsidRDefault="00872E47" w:rsidP="00F842AB">
            <w:pPr>
              <w:spacing w:line="315" w:lineRule="atLeast"/>
              <w:rPr>
                <w:rFonts w:cs="Segoe UI"/>
                <w:color w:val="000000" w:themeColor="text1"/>
                <w:sz w:val="21"/>
                <w:szCs w:val="21"/>
              </w:rPr>
            </w:pPr>
            <w:hyperlink r:id="rId104" w:history="1">
              <w:r w:rsidR="00107E2A" w:rsidRPr="00F04A7D">
                <w:rPr>
                  <w:rStyle w:val="Hyperlink"/>
                  <w:color w:val="000000" w:themeColor="text1"/>
                  <w:sz w:val="21"/>
                  <w:szCs w:val="21"/>
                </w:rPr>
                <w:t xml:space="preserve"> VM with multiple NICs</w:t>
              </w:r>
            </w:hyperlink>
          </w:p>
        </w:tc>
        <w:tc>
          <w:tcPr>
            <w:tcW w:w="2829" w:type="pct"/>
          </w:tcPr>
          <w:p w14:paraId="3760FF25" w14:textId="77777777" w:rsidR="00107E2A" w:rsidRDefault="00107E2A" w:rsidP="00F842AB">
            <w:pPr>
              <w:spacing w:line="315" w:lineRule="atLeast"/>
              <w:cnfStyle w:val="000000100000" w:firstRow="0" w:lastRow="0" w:firstColumn="0" w:lastColumn="0" w:oddVBand="0" w:evenVBand="0" w:oddHBand="1" w:evenHBand="0" w:firstRowFirstColumn="0" w:firstRowLastColumn="0" w:lastRowFirstColumn="0" w:lastRowLastColumn="0"/>
              <w:rPr>
                <w:rFonts w:cs="Segoe UI"/>
                <w:color w:val="505050"/>
                <w:sz w:val="21"/>
                <w:szCs w:val="21"/>
              </w:rPr>
            </w:pPr>
            <w:r>
              <w:rPr>
                <w:rFonts w:cs="Segoe UI"/>
                <w:color w:val="505050"/>
                <w:sz w:val="21"/>
                <w:szCs w:val="21"/>
              </w:rPr>
              <w:t>Create a VM with multiple network interfaces and RDP accessible</w:t>
            </w:r>
          </w:p>
        </w:tc>
      </w:tr>
      <w:tr w:rsidR="00107E2A" w14:paraId="4AE0D66D" w14:textId="77777777" w:rsidTr="00F842AB">
        <w:tc>
          <w:tcPr>
            <w:cnfStyle w:val="001000000000" w:firstRow="0" w:lastRow="0" w:firstColumn="1" w:lastColumn="0" w:oddVBand="0" w:evenVBand="0" w:oddHBand="0" w:evenHBand="0" w:firstRowFirstColumn="0" w:firstRowLastColumn="0" w:lastRowFirstColumn="0" w:lastRowLastColumn="0"/>
            <w:tcW w:w="2171" w:type="pct"/>
          </w:tcPr>
          <w:p w14:paraId="0443A2ED" w14:textId="77777777" w:rsidR="00107E2A" w:rsidRPr="00F04A7D" w:rsidRDefault="00872E47" w:rsidP="00F842AB">
            <w:pPr>
              <w:spacing w:line="315" w:lineRule="atLeast"/>
              <w:rPr>
                <w:rFonts w:cs="Segoe UI"/>
                <w:color w:val="000000" w:themeColor="text1"/>
                <w:sz w:val="21"/>
                <w:szCs w:val="21"/>
              </w:rPr>
            </w:pPr>
            <w:hyperlink r:id="rId105" w:history="1">
              <w:r w:rsidR="00107E2A" w:rsidRPr="00F04A7D">
                <w:rPr>
                  <w:rStyle w:val="Hyperlink"/>
                  <w:color w:val="000000" w:themeColor="text1"/>
                  <w:sz w:val="21"/>
                  <w:szCs w:val="21"/>
                </w:rPr>
                <w:t xml:space="preserve"> Windows VM with tags </w:t>
              </w:r>
            </w:hyperlink>
          </w:p>
        </w:tc>
        <w:tc>
          <w:tcPr>
            <w:tcW w:w="2829" w:type="pct"/>
          </w:tcPr>
          <w:p w14:paraId="31CE1AA4" w14:textId="77777777" w:rsidR="00107E2A" w:rsidRDefault="00107E2A" w:rsidP="00F842AB">
            <w:pPr>
              <w:spacing w:line="315" w:lineRule="atLeast"/>
              <w:cnfStyle w:val="000000000000" w:firstRow="0" w:lastRow="0" w:firstColumn="0" w:lastColumn="0" w:oddVBand="0" w:evenVBand="0" w:oddHBand="0" w:evenHBand="0" w:firstRowFirstColumn="0" w:firstRowLastColumn="0" w:lastRowFirstColumn="0" w:lastRowLastColumn="0"/>
              <w:rPr>
                <w:rFonts w:cs="Segoe UI"/>
                <w:color w:val="505050"/>
                <w:sz w:val="21"/>
                <w:szCs w:val="21"/>
              </w:rPr>
            </w:pPr>
            <w:r>
              <w:rPr>
                <w:rFonts w:cs="Segoe UI"/>
                <w:color w:val="505050"/>
                <w:sz w:val="21"/>
                <w:szCs w:val="21"/>
              </w:rPr>
              <w:t>This template takes a minimum amount of parameters and deploys a Windows VM with tags, using the latest patched version.</w:t>
            </w:r>
          </w:p>
        </w:tc>
      </w:tr>
      <w:tr w:rsidR="00107E2A" w14:paraId="562CB729" w14:textId="77777777" w:rsidTr="00F842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1" w:type="pct"/>
          </w:tcPr>
          <w:p w14:paraId="4B49CDC6" w14:textId="77777777" w:rsidR="00107E2A" w:rsidRPr="00F04A7D" w:rsidRDefault="00872E47" w:rsidP="00F842AB">
            <w:pPr>
              <w:spacing w:line="315" w:lineRule="atLeast"/>
              <w:rPr>
                <w:rFonts w:cs="Segoe UI"/>
                <w:color w:val="000000" w:themeColor="text1"/>
                <w:sz w:val="21"/>
                <w:szCs w:val="21"/>
              </w:rPr>
            </w:pPr>
            <w:hyperlink r:id="rId106" w:history="1">
              <w:r w:rsidR="00107E2A" w:rsidRPr="00F04A7D">
                <w:rPr>
                  <w:rStyle w:val="Hyperlink"/>
                  <w:color w:val="000000" w:themeColor="text1"/>
                  <w:sz w:val="21"/>
                  <w:szCs w:val="21"/>
                </w:rPr>
                <w:t xml:space="preserve">2 VMs in a Load Balancer </w:t>
              </w:r>
            </w:hyperlink>
          </w:p>
        </w:tc>
        <w:tc>
          <w:tcPr>
            <w:tcW w:w="2829" w:type="pct"/>
          </w:tcPr>
          <w:p w14:paraId="6968024A" w14:textId="77777777" w:rsidR="00107E2A" w:rsidRDefault="00107E2A" w:rsidP="00F842AB">
            <w:pPr>
              <w:spacing w:line="315" w:lineRule="atLeast"/>
              <w:cnfStyle w:val="000000100000" w:firstRow="0" w:lastRow="0" w:firstColumn="0" w:lastColumn="0" w:oddVBand="0" w:evenVBand="0" w:oddHBand="1" w:evenHBand="0" w:firstRowFirstColumn="0" w:firstRowLastColumn="0" w:lastRowFirstColumn="0" w:lastRowLastColumn="0"/>
              <w:rPr>
                <w:rFonts w:cs="Segoe UI"/>
                <w:color w:val="505050"/>
                <w:sz w:val="21"/>
                <w:szCs w:val="21"/>
              </w:rPr>
            </w:pPr>
            <w:r>
              <w:rPr>
                <w:rFonts w:cs="Segoe UI"/>
                <w:color w:val="505050"/>
                <w:sz w:val="21"/>
                <w:szCs w:val="21"/>
              </w:rPr>
              <w:t>2 VMs in a Load Balancer and Load Balancer rules</w:t>
            </w:r>
          </w:p>
        </w:tc>
      </w:tr>
      <w:tr w:rsidR="00107E2A" w14:paraId="2B07519B" w14:textId="77777777" w:rsidTr="00F842AB">
        <w:tc>
          <w:tcPr>
            <w:cnfStyle w:val="001000000000" w:firstRow="0" w:lastRow="0" w:firstColumn="1" w:lastColumn="0" w:oddVBand="0" w:evenVBand="0" w:oddHBand="0" w:evenHBand="0" w:firstRowFirstColumn="0" w:firstRowLastColumn="0" w:lastRowFirstColumn="0" w:lastRowLastColumn="0"/>
            <w:tcW w:w="2171" w:type="pct"/>
          </w:tcPr>
          <w:p w14:paraId="4B67C623" w14:textId="77777777" w:rsidR="00107E2A" w:rsidRPr="00F04A7D" w:rsidRDefault="00872E47" w:rsidP="00F842AB">
            <w:pPr>
              <w:spacing w:line="315" w:lineRule="atLeast"/>
              <w:rPr>
                <w:rFonts w:cs="Segoe UI"/>
                <w:color w:val="000000" w:themeColor="text1"/>
                <w:sz w:val="21"/>
                <w:szCs w:val="21"/>
              </w:rPr>
            </w:pPr>
            <w:hyperlink r:id="rId107" w:history="1">
              <w:r w:rsidR="00107E2A" w:rsidRPr="00F04A7D">
                <w:rPr>
                  <w:rStyle w:val="Hyperlink"/>
                  <w:color w:val="000000" w:themeColor="text1"/>
                  <w:sz w:val="21"/>
                  <w:szCs w:val="21"/>
                </w:rPr>
                <w:t>Multi tier VNet with NSGs and DMZ</w:t>
              </w:r>
            </w:hyperlink>
          </w:p>
        </w:tc>
        <w:tc>
          <w:tcPr>
            <w:tcW w:w="2829" w:type="pct"/>
          </w:tcPr>
          <w:p w14:paraId="6729008F" w14:textId="77777777" w:rsidR="00107E2A" w:rsidRDefault="00107E2A" w:rsidP="00F842AB">
            <w:pPr>
              <w:spacing w:line="315" w:lineRule="atLeast"/>
              <w:cnfStyle w:val="000000000000" w:firstRow="0" w:lastRow="0" w:firstColumn="0" w:lastColumn="0" w:oddVBand="0" w:evenVBand="0" w:oddHBand="0" w:evenHBand="0" w:firstRowFirstColumn="0" w:firstRowLastColumn="0" w:lastRowFirstColumn="0" w:lastRowLastColumn="0"/>
              <w:rPr>
                <w:rFonts w:cs="Segoe UI"/>
                <w:color w:val="505050"/>
                <w:sz w:val="21"/>
                <w:szCs w:val="21"/>
              </w:rPr>
            </w:pPr>
            <w:r>
              <w:rPr>
                <w:rFonts w:cs="Segoe UI"/>
                <w:color w:val="505050"/>
                <w:sz w:val="21"/>
                <w:szCs w:val="21"/>
              </w:rPr>
              <w:t>Install Virtual Network with DMZ Subnet</w:t>
            </w:r>
          </w:p>
        </w:tc>
      </w:tr>
      <w:tr w:rsidR="00107E2A" w14:paraId="30F27D1C" w14:textId="77777777" w:rsidTr="00F842A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1" w:type="pct"/>
          </w:tcPr>
          <w:p w14:paraId="52D2711D" w14:textId="77777777" w:rsidR="00107E2A" w:rsidRPr="00F04A7D" w:rsidRDefault="00872E47" w:rsidP="00F842AB">
            <w:pPr>
              <w:spacing w:line="315" w:lineRule="atLeast"/>
              <w:rPr>
                <w:rFonts w:cs="Segoe UI"/>
                <w:color w:val="000000" w:themeColor="text1"/>
                <w:sz w:val="21"/>
                <w:szCs w:val="21"/>
              </w:rPr>
            </w:pPr>
            <w:hyperlink r:id="rId108" w:history="1">
              <w:r w:rsidR="00107E2A" w:rsidRPr="00F04A7D">
                <w:rPr>
                  <w:rStyle w:val="Hyperlink"/>
                  <w:color w:val="000000" w:themeColor="text1"/>
                  <w:sz w:val="21"/>
                  <w:szCs w:val="21"/>
                </w:rPr>
                <w:t>Network Interface in a Virtual Network with Public IP Address</w:t>
              </w:r>
            </w:hyperlink>
          </w:p>
        </w:tc>
        <w:tc>
          <w:tcPr>
            <w:tcW w:w="2829" w:type="pct"/>
          </w:tcPr>
          <w:p w14:paraId="6E4A3C26" w14:textId="77777777" w:rsidR="00107E2A" w:rsidRDefault="00107E2A" w:rsidP="00F842AB">
            <w:pPr>
              <w:spacing w:line="315" w:lineRule="atLeast"/>
              <w:cnfStyle w:val="000000100000" w:firstRow="0" w:lastRow="0" w:firstColumn="0" w:lastColumn="0" w:oddVBand="0" w:evenVBand="0" w:oddHBand="1" w:evenHBand="0" w:firstRowFirstColumn="0" w:firstRowLastColumn="0" w:lastRowFirstColumn="0" w:lastRowLastColumn="0"/>
              <w:rPr>
                <w:rFonts w:cs="Segoe UI"/>
                <w:color w:val="505050"/>
                <w:sz w:val="21"/>
                <w:szCs w:val="21"/>
              </w:rPr>
            </w:pPr>
            <w:r>
              <w:rPr>
                <w:rFonts w:cs="Segoe UI"/>
                <w:color w:val="505050"/>
                <w:sz w:val="21"/>
                <w:szCs w:val="21"/>
              </w:rPr>
              <w:t>Network Interface in a Virtual Network with Public IP Address</w:t>
            </w:r>
          </w:p>
        </w:tc>
      </w:tr>
    </w:tbl>
    <w:p w14:paraId="268643FD" w14:textId="5D090058" w:rsidR="003D66C7" w:rsidRDefault="00564851" w:rsidP="005729D2">
      <w:pPr>
        <w:pStyle w:val="Heading2Numbered"/>
        <w:numPr>
          <w:ilvl w:val="2"/>
          <w:numId w:val="64"/>
        </w:numPr>
      </w:pPr>
      <w:bookmarkStart w:id="1574" w:name="_Toc431288807"/>
      <w:r>
        <w:t xml:space="preserve">Azure Resource Manager </w:t>
      </w:r>
      <w:r w:rsidR="004B3FDE">
        <w:t>Tags</w:t>
      </w:r>
      <w:bookmarkEnd w:id="1574"/>
    </w:p>
    <w:p w14:paraId="7B27154A" w14:textId="2298D481" w:rsidR="0048262A" w:rsidRDefault="004B3FDE" w:rsidP="009C5C9A">
      <w:r w:rsidRPr="004B3FDE">
        <w:t xml:space="preserve">Azure Resource Manager provides a tagging feature that facilitates resource categorization according to customer requirements for managing or billing. </w:t>
      </w:r>
      <w:r w:rsidR="0048262A">
        <w:t xml:space="preserve">Tags are defined as </w:t>
      </w:r>
      <w:r w:rsidR="00564851" w:rsidRPr="00564851">
        <w:rPr>
          <w:b/>
        </w:rPr>
        <w:t>Name-V</w:t>
      </w:r>
      <w:r w:rsidR="0048262A" w:rsidRPr="00564851">
        <w:rPr>
          <w:b/>
        </w:rPr>
        <w:t>alue pairs</w:t>
      </w:r>
      <w:r w:rsidR="0048262A" w:rsidRPr="0048262A">
        <w:t xml:space="preserve"> assigned to resources or resource groups</w:t>
      </w:r>
      <w:r w:rsidR="0048262A">
        <w:t xml:space="preserve"> and </w:t>
      </w:r>
      <w:r w:rsidRPr="004B3FDE">
        <w:t>can be used in scenarios where customer business processes and organizational hierarchy call for a complex collection of resource groups and resources and subscription assets need to be structured according to established policies</w:t>
      </w:r>
      <w:r w:rsidR="0048262A">
        <w:t>.</w:t>
      </w:r>
      <w:r w:rsidRPr="004B3FDE">
        <w:t xml:space="preserve"> </w:t>
      </w:r>
      <w:r w:rsidR="0048262A">
        <w:t>Each resource can have up to 15 tags.</w:t>
      </w:r>
      <w:r w:rsidR="00095581" w:rsidRPr="00095581">
        <w:t xml:space="preserve"> Users are able to sort and organize resources by tags. Tags may be placed on a resource at the time of creation or added to an existing </w:t>
      </w:r>
      <w:r w:rsidR="00F04A7D" w:rsidRPr="00095581">
        <w:t>resource.</w:t>
      </w:r>
      <w:r w:rsidR="00095581">
        <w:t xml:space="preserve"> O</w:t>
      </w:r>
      <w:r w:rsidR="00095581" w:rsidRPr="00095581">
        <w:t>nce a tag is placed on a billable resource, created via the Azure Resource Manager, the tag will be included in the usage details found in the Usage and Billing portal</w:t>
      </w:r>
      <w:r w:rsidR="00095581">
        <w:t xml:space="preserve">. </w:t>
      </w:r>
    </w:p>
    <w:p w14:paraId="557CED61" w14:textId="3CAFDA85" w:rsidR="008B06E5" w:rsidRDefault="008B06E5" w:rsidP="009C5C9A">
      <w:r>
        <w:t xml:space="preserve">Tags are persisted in the resource’s properties in the order they are added. The following </w:t>
      </w:r>
      <w:r w:rsidR="0065546F">
        <w:t xml:space="preserve">Azure </w:t>
      </w:r>
      <w:r>
        <w:t>PowerShell excerpt demonstrates how to obtain the tag info associated with the existing virtual machine demonstrating the order in which tags were associated with the virtual machine resource.</w:t>
      </w:r>
    </w:p>
    <w:p w14:paraId="0412BA5E" w14:textId="77777777" w:rsidR="008B06E5" w:rsidRDefault="008B06E5" w:rsidP="009C5C9A"/>
    <w:p w14:paraId="0340B1C5" w14:textId="41EC3ADD" w:rsidR="003814E3" w:rsidRDefault="008B06E5" w:rsidP="001A33CC">
      <w:pPr>
        <w:ind w:left="720"/>
        <w:rPr>
          <w:rFonts w:ascii="Consolas" w:hAnsi="Consolas" w:cs="Consolas"/>
        </w:rPr>
      </w:pPr>
      <w:r w:rsidRPr="008B06E5">
        <w:rPr>
          <w:rFonts w:ascii="Consolas" w:hAnsi="Consolas" w:cs="Consolas"/>
        </w:rPr>
        <w:t>PS C:\&gt; Get-AzureVM -Name MyVM -ResourceGroupName Group-1</w:t>
      </w:r>
    </w:p>
    <w:p w14:paraId="47A6133E" w14:textId="77777777" w:rsidR="008B06E5" w:rsidRDefault="008B06E5" w:rsidP="001A33CC">
      <w:pPr>
        <w:autoSpaceDE w:val="0"/>
        <w:autoSpaceDN w:val="0"/>
        <w:adjustRightInd w:val="0"/>
        <w:spacing w:before="0" w:after="0" w:line="240" w:lineRule="auto"/>
        <w:ind w:left="720"/>
        <w:rPr>
          <w:rFonts w:ascii="Consolas" w:eastAsiaTheme="minorHAnsi" w:hAnsi="Consolas" w:cs="Consolas"/>
          <w:color w:val="000000"/>
          <w:sz w:val="19"/>
          <w:szCs w:val="19"/>
          <w:highlight w:val="white"/>
        </w:rPr>
      </w:pPr>
      <w:r>
        <w:rPr>
          <w:rFonts w:ascii="Consolas" w:eastAsiaTheme="minorHAnsi" w:hAnsi="Consolas" w:cs="Consolas"/>
          <w:color w:val="000000"/>
          <w:sz w:val="19"/>
          <w:szCs w:val="19"/>
          <w:highlight w:val="white"/>
        </w:rPr>
        <w:t>ResourceGroupName        : Group-1</w:t>
      </w:r>
    </w:p>
    <w:p w14:paraId="493D0CA3" w14:textId="77777777" w:rsidR="008B06E5" w:rsidRDefault="008B06E5" w:rsidP="001A33CC">
      <w:pPr>
        <w:autoSpaceDE w:val="0"/>
        <w:autoSpaceDN w:val="0"/>
        <w:adjustRightInd w:val="0"/>
        <w:spacing w:before="0" w:after="0" w:line="240" w:lineRule="auto"/>
        <w:ind w:left="720"/>
        <w:rPr>
          <w:rFonts w:ascii="Consolas" w:eastAsiaTheme="minorHAnsi" w:hAnsi="Consolas" w:cs="Consolas"/>
          <w:color w:val="000000"/>
          <w:sz w:val="19"/>
          <w:szCs w:val="19"/>
          <w:highlight w:val="white"/>
        </w:rPr>
      </w:pPr>
      <w:r>
        <w:rPr>
          <w:rFonts w:ascii="Consolas" w:eastAsiaTheme="minorHAnsi" w:hAnsi="Consolas" w:cs="Consolas"/>
          <w:color w:val="000000"/>
          <w:sz w:val="19"/>
          <w:szCs w:val="19"/>
          <w:highlight w:val="white"/>
        </w:rPr>
        <w:t>Id                       : /subscriptions/&lt;..&gt;/resourceGroups/Group-1/providers/Microsoft.Compute/virtualMachines/MyVM</w:t>
      </w:r>
    </w:p>
    <w:p w14:paraId="461A9E42" w14:textId="77777777" w:rsidR="008B06E5" w:rsidRDefault="008B06E5" w:rsidP="001A33CC">
      <w:pPr>
        <w:autoSpaceDE w:val="0"/>
        <w:autoSpaceDN w:val="0"/>
        <w:adjustRightInd w:val="0"/>
        <w:spacing w:before="0" w:after="0" w:line="240" w:lineRule="auto"/>
        <w:ind w:left="720"/>
        <w:rPr>
          <w:rFonts w:ascii="Consolas" w:eastAsiaTheme="minorHAnsi" w:hAnsi="Consolas" w:cs="Consolas"/>
          <w:color w:val="000000"/>
          <w:sz w:val="19"/>
          <w:szCs w:val="19"/>
          <w:highlight w:val="white"/>
        </w:rPr>
      </w:pPr>
      <w:r>
        <w:rPr>
          <w:rFonts w:ascii="Consolas" w:eastAsiaTheme="minorHAnsi" w:hAnsi="Consolas" w:cs="Consolas"/>
          <w:color w:val="000000"/>
          <w:sz w:val="19"/>
          <w:szCs w:val="19"/>
          <w:highlight w:val="white"/>
        </w:rPr>
        <w:t>Name                     : MyVM</w:t>
      </w:r>
    </w:p>
    <w:p w14:paraId="06362A0A" w14:textId="77777777" w:rsidR="008B06E5" w:rsidRDefault="008B06E5" w:rsidP="001A33CC">
      <w:pPr>
        <w:autoSpaceDE w:val="0"/>
        <w:autoSpaceDN w:val="0"/>
        <w:adjustRightInd w:val="0"/>
        <w:spacing w:before="0" w:after="0" w:line="240" w:lineRule="auto"/>
        <w:ind w:left="720"/>
        <w:rPr>
          <w:rFonts w:ascii="Consolas" w:eastAsiaTheme="minorHAnsi" w:hAnsi="Consolas" w:cs="Consolas"/>
          <w:color w:val="000000"/>
          <w:sz w:val="19"/>
          <w:szCs w:val="19"/>
          <w:highlight w:val="white"/>
        </w:rPr>
      </w:pPr>
      <w:r>
        <w:rPr>
          <w:rFonts w:ascii="Consolas" w:eastAsiaTheme="minorHAnsi" w:hAnsi="Consolas" w:cs="Consolas"/>
          <w:color w:val="000000"/>
          <w:sz w:val="19"/>
          <w:szCs w:val="19"/>
          <w:highlight w:val="white"/>
        </w:rPr>
        <w:t>Type                     : Microsoft.Azure.Management.Compute.Models.VirtualMachineGetResponse</w:t>
      </w:r>
    </w:p>
    <w:p w14:paraId="66F76FDD" w14:textId="77777777" w:rsidR="008B06E5" w:rsidRDefault="008B06E5" w:rsidP="001A33CC">
      <w:pPr>
        <w:autoSpaceDE w:val="0"/>
        <w:autoSpaceDN w:val="0"/>
        <w:adjustRightInd w:val="0"/>
        <w:spacing w:before="0" w:after="0" w:line="240" w:lineRule="auto"/>
        <w:ind w:left="720"/>
        <w:rPr>
          <w:rFonts w:ascii="Consolas" w:eastAsiaTheme="minorHAnsi" w:hAnsi="Consolas" w:cs="Consolas"/>
          <w:color w:val="000000"/>
          <w:sz w:val="19"/>
          <w:szCs w:val="19"/>
          <w:highlight w:val="white"/>
        </w:rPr>
      </w:pPr>
      <w:r>
        <w:rPr>
          <w:rFonts w:ascii="Consolas" w:eastAsiaTheme="minorHAnsi" w:hAnsi="Consolas" w:cs="Consolas"/>
          <w:color w:val="000000"/>
          <w:sz w:val="19"/>
          <w:szCs w:val="19"/>
          <w:highlight w:val="white"/>
        </w:rPr>
        <w:t>Location                 : westus</w:t>
      </w:r>
    </w:p>
    <w:p w14:paraId="3D8B4DE6" w14:textId="77777777" w:rsidR="008B06E5" w:rsidRDefault="008B06E5" w:rsidP="001A33CC">
      <w:pPr>
        <w:autoSpaceDE w:val="0"/>
        <w:autoSpaceDN w:val="0"/>
        <w:adjustRightInd w:val="0"/>
        <w:spacing w:before="0" w:after="0" w:line="240" w:lineRule="auto"/>
        <w:ind w:left="720"/>
        <w:rPr>
          <w:rFonts w:ascii="Consolas" w:eastAsiaTheme="minorHAnsi" w:hAnsi="Consolas" w:cs="Consolas"/>
          <w:color w:val="000000"/>
          <w:sz w:val="19"/>
          <w:szCs w:val="19"/>
          <w:highlight w:val="white"/>
        </w:rPr>
      </w:pPr>
      <w:r>
        <w:rPr>
          <w:rFonts w:ascii="Consolas" w:eastAsiaTheme="minorHAnsi" w:hAnsi="Consolas" w:cs="Consolas"/>
          <w:color w:val="000000"/>
          <w:sz w:val="19"/>
          <w:szCs w:val="19"/>
          <w:highlight w:val="white"/>
        </w:rPr>
        <w:t>Tags                     : {</w:t>
      </w:r>
    </w:p>
    <w:p w14:paraId="24383784" w14:textId="77777777" w:rsidR="008B06E5" w:rsidRPr="008B06E5" w:rsidRDefault="008B06E5" w:rsidP="001A33CC">
      <w:pPr>
        <w:autoSpaceDE w:val="0"/>
        <w:autoSpaceDN w:val="0"/>
        <w:adjustRightInd w:val="0"/>
        <w:spacing w:before="0" w:after="0" w:line="240" w:lineRule="auto"/>
        <w:ind w:left="720"/>
        <w:rPr>
          <w:rFonts w:ascii="Consolas" w:eastAsiaTheme="minorHAnsi" w:hAnsi="Consolas" w:cs="Consolas"/>
          <w:b/>
          <w:color w:val="000000"/>
          <w:sz w:val="19"/>
          <w:szCs w:val="19"/>
          <w:highlight w:val="white"/>
        </w:rPr>
      </w:pPr>
      <w:r w:rsidRPr="008B06E5">
        <w:rPr>
          <w:rFonts w:ascii="Consolas" w:eastAsiaTheme="minorHAnsi" w:hAnsi="Consolas" w:cs="Consolas"/>
          <w:b/>
          <w:color w:val="000000"/>
          <w:sz w:val="19"/>
          <w:szCs w:val="19"/>
          <w:highlight w:val="white"/>
        </w:rPr>
        <w:t xml:space="preserve">                             "Department": "MarketingDepartment",</w:t>
      </w:r>
    </w:p>
    <w:p w14:paraId="1BB676F5" w14:textId="77777777" w:rsidR="008B06E5" w:rsidRPr="008B06E5" w:rsidRDefault="008B06E5" w:rsidP="001A33CC">
      <w:pPr>
        <w:autoSpaceDE w:val="0"/>
        <w:autoSpaceDN w:val="0"/>
        <w:adjustRightInd w:val="0"/>
        <w:spacing w:before="0" w:after="0" w:line="240" w:lineRule="auto"/>
        <w:ind w:left="720"/>
        <w:rPr>
          <w:rFonts w:ascii="Consolas" w:eastAsiaTheme="minorHAnsi" w:hAnsi="Consolas" w:cs="Consolas"/>
          <w:b/>
          <w:color w:val="000000"/>
          <w:sz w:val="19"/>
          <w:szCs w:val="19"/>
          <w:highlight w:val="white"/>
        </w:rPr>
      </w:pPr>
      <w:r w:rsidRPr="008B06E5">
        <w:rPr>
          <w:rFonts w:ascii="Consolas" w:eastAsiaTheme="minorHAnsi" w:hAnsi="Consolas" w:cs="Consolas"/>
          <w:b/>
          <w:color w:val="000000"/>
          <w:sz w:val="19"/>
          <w:szCs w:val="19"/>
          <w:highlight w:val="white"/>
        </w:rPr>
        <w:t xml:space="preserve">                             "Application": "LOBApp",</w:t>
      </w:r>
    </w:p>
    <w:p w14:paraId="41FE4ABA" w14:textId="77777777" w:rsidR="008B06E5" w:rsidRPr="008B06E5" w:rsidRDefault="008B06E5" w:rsidP="001A33CC">
      <w:pPr>
        <w:autoSpaceDE w:val="0"/>
        <w:autoSpaceDN w:val="0"/>
        <w:adjustRightInd w:val="0"/>
        <w:spacing w:before="0" w:after="0" w:line="240" w:lineRule="auto"/>
        <w:ind w:left="720"/>
        <w:rPr>
          <w:rFonts w:ascii="Consolas" w:eastAsiaTheme="minorHAnsi" w:hAnsi="Consolas" w:cs="Consolas"/>
          <w:b/>
          <w:color w:val="000000"/>
          <w:sz w:val="19"/>
          <w:szCs w:val="19"/>
          <w:highlight w:val="white"/>
        </w:rPr>
      </w:pPr>
      <w:r w:rsidRPr="008B06E5">
        <w:rPr>
          <w:rFonts w:ascii="Consolas" w:eastAsiaTheme="minorHAnsi" w:hAnsi="Consolas" w:cs="Consolas"/>
          <w:b/>
          <w:color w:val="000000"/>
          <w:sz w:val="19"/>
          <w:szCs w:val="19"/>
          <w:highlight w:val="white"/>
        </w:rPr>
        <w:t xml:space="preserve">                             "Created By": "CEO",</w:t>
      </w:r>
    </w:p>
    <w:p w14:paraId="5385A47A" w14:textId="77777777" w:rsidR="008B06E5" w:rsidRPr="008B06E5" w:rsidRDefault="008B06E5" w:rsidP="001A33CC">
      <w:pPr>
        <w:autoSpaceDE w:val="0"/>
        <w:autoSpaceDN w:val="0"/>
        <w:adjustRightInd w:val="0"/>
        <w:spacing w:before="0" w:after="0" w:line="240" w:lineRule="auto"/>
        <w:ind w:left="720"/>
        <w:rPr>
          <w:rFonts w:ascii="Consolas" w:eastAsiaTheme="minorHAnsi" w:hAnsi="Consolas" w:cs="Consolas"/>
          <w:b/>
          <w:color w:val="000000"/>
          <w:sz w:val="19"/>
          <w:szCs w:val="19"/>
          <w:highlight w:val="white"/>
        </w:rPr>
      </w:pPr>
      <w:r w:rsidRPr="008B06E5">
        <w:rPr>
          <w:rFonts w:ascii="Consolas" w:eastAsiaTheme="minorHAnsi" w:hAnsi="Consolas" w:cs="Consolas"/>
          <w:b/>
          <w:color w:val="000000"/>
          <w:sz w:val="19"/>
          <w:szCs w:val="19"/>
          <w:highlight w:val="white"/>
        </w:rPr>
        <w:t xml:space="preserve">                             "AppPropOn1": "AppInsightsComponent",</w:t>
      </w:r>
    </w:p>
    <w:p w14:paraId="4903AD2B" w14:textId="77777777" w:rsidR="008B06E5" w:rsidRPr="008B06E5" w:rsidRDefault="008B06E5" w:rsidP="001A33CC">
      <w:pPr>
        <w:autoSpaceDE w:val="0"/>
        <w:autoSpaceDN w:val="0"/>
        <w:adjustRightInd w:val="0"/>
        <w:spacing w:before="0" w:after="0" w:line="240" w:lineRule="auto"/>
        <w:ind w:left="720"/>
        <w:rPr>
          <w:rFonts w:ascii="Consolas" w:eastAsiaTheme="minorHAnsi" w:hAnsi="Consolas" w:cs="Consolas"/>
          <w:b/>
          <w:color w:val="000000"/>
          <w:sz w:val="19"/>
          <w:szCs w:val="19"/>
          <w:highlight w:val="white"/>
        </w:rPr>
      </w:pPr>
      <w:r w:rsidRPr="008B06E5">
        <w:rPr>
          <w:rFonts w:ascii="Consolas" w:eastAsiaTheme="minorHAnsi" w:hAnsi="Consolas" w:cs="Consolas"/>
          <w:b/>
          <w:color w:val="000000"/>
          <w:sz w:val="19"/>
          <w:szCs w:val="19"/>
          <w:highlight w:val="white"/>
        </w:rPr>
        <w:t xml:space="preserve">                             "AppPropOne": "One"</w:t>
      </w:r>
    </w:p>
    <w:p w14:paraId="2D172416" w14:textId="77777777" w:rsidR="008B06E5" w:rsidRDefault="008B06E5" w:rsidP="001A33CC">
      <w:pPr>
        <w:autoSpaceDE w:val="0"/>
        <w:autoSpaceDN w:val="0"/>
        <w:adjustRightInd w:val="0"/>
        <w:spacing w:before="0" w:after="0" w:line="240" w:lineRule="auto"/>
        <w:ind w:left="720"/>
        <w:rPr>
          <w:rFonts w:ascii="Consolas" w:eastAsiaTheme="minorHAnsi" w:hAnsi="Consolas" w:cs="Consolas"/>
          <w:color w:val="000000"/>
          <w:sz w:val="19"/>
          <w:szCs w:val="19"/>
          <w:highlight w:val="white"/>
        </w:rPr>
      </w:pPr>
      <w:r>
        <w:rPr>
          <w:rFonts w:ascii="Consolas" w:eastAsiaTheme="minorHAnsi" w:hAnsi="Consolas" w:cs="Consolas"/>
          <w:color w:val="000000"/>
          <w:sz w:val="19"/>
          <w:szCs w:val="19"/>
          <w:highlight w:val="white"/>
        </w:rPr>
        <w:t xml:space="preserve">                           }</w:t>
      </w:r>
    </w:p>
    <w:p w14:paraId="6BD0352F" w14:textId="77777777" w:rsidR="008B06E5" w:rsidRDefault="008B06E5" w:rsidP="001A33CC">
      <w:pPr>
        <w:autoSpaceDE w:val="0"/>
        <w:autoSpaceDN w:val="0"/>
        <w:adjustRightInd w:val="0"/>
        <w:spacing w:before="0" w:after="0" w:line="240" w:lineRule="auto"/>
        <w:ind w:left="720"/>
        <w:rPr>
          <w:rFonts w:ascii="Consolas" w:eastAsiaTheme="minorHAnsi" w:hAnsi="Consolas" w:cs="Consolas"/>
          <w:color w:val="000000"/>
          <w:sz w:val="19"/>
          <w:szCs w:val="19"/>
          <w:highlight w:val="white"/>
        </w:rPr>
      </w:pPr>
      <w:r>
        <w:rPr>
          <w:rFonts w:ascii="Consolas" w:eastAsiaTheme="minorHAnsi" w:hAnsi="Consolas" w:cs="Consolas"/>
          <w:color w:val="000000"/>
          <w:sz w:val="19"/>
          <w:szCs w:val="19"/>
          <w:highlight w:val="white"/>
        </w:rPr>
        <w:t>...</w:t>
      </w:r>
    </w:p>
    <w:p w14:paraId="7D9EE371" w14:textId="2D953A12" w:rsidR="008B06E5" w:rsidRDefault="008B06E5" w:rsidP="001A33CC">
      <w:pPr>
        <w:ind w:left="720"/>
        <w:rPr>
          <w:rFonts w:ascii="Consolas" w:hAnsi="Consolas" w:cs="Consolas"/>
        </w:rPr>
      </w:pPr>
      <w:r>
        <w:rPr>
          <w:rFonts w:ascii="Consolas" w:eastAsiaTheme="minorHAnsi" w:hAnsi="Consolas" w:cs="Consolas"/>
          <w:color w:val="000000"/>
          <w:sz w:val="19"/>
          <w:szCs w:val="19"/>
          <w:highlight w:val="white"/>
        </w:rPr>
        <w:t>NetworkInterfaceIDs      : {...c}</w:t>
      </w:r>
    </w:p>
    <w:p w14:paraId="50E190E4" w14:textId="336A0D38" w:rsidR="008B06E5" w:rsidRDefault="008B06E5" w:rsidP="008B06E5">
      <w:pPr>
        <w:rPr>
          <w:rFonts w:ascii="Consolas" w:hAnsi="Consolas" w:cs="Consolas"/>
        </w:rPr>
      </w:pPr>
    </w:p>
    <w:p w14:paraId="5BFA64BE" w14:textId="30D4FE10" w:rsidR="00F82036" w:rsidRDefault="00F82036" w:rsidP="008B06E5">
      <w:r w:rsidRPr="00F82036">
        <w:t>Alternatively, tags can be defined in the Resource Manager template</w:t>
      </w:r>
      <w:r>
        <w:t xml:space="preserve"> as demonstrated in the excerpt below:</w:t>
      </w:r>
    </w:p>
    <w:tbl>
      <w:tblPr>
        <w:tblW w:w="9660" w:type="dxa"/>
        <w:tblInd w:w="720" w:type="dxa"/>
        <w:shd w:val="clear" w:color="auto" w:fill="FFFFFF"/>
        <w:tblCellMar>
          <w:top w:w="15" w:type="dxa"/>
          <w:left w:w="15" w:type="dxa"/>
          <w:bottom w:w="15" w:type="dxa"/>
          <w:right w:w="15" w:type="dxa"/>
        </w:tblCellMar>
        <w:tblLook w:val="04A0" w:firstRow="1" w:lastRow="0" w:firstColumn="1" w:lastColumn="0" w:noHBand="0" w:noVBand="1"/>
      </w:tblPr>
      <w:tblGrid>
        <w:gridCol w:w="399"/>
        <w:gridCol w:w="9261"/>
      </w:tblGrid>
      <w:tr w:rsidR="00F82036" w:rsidRPr="00F82036" w14:paraId="3DB63242" w14:textId="77777777" w:rsidTr="001A33CC">
        <w:trPr>
          <w:gridAfter w:val="1"/>
        </w:trPr>
        <w:tc>
          <w:tcPr>
            <w:tcW w:w="0" w:type="auto"/>
            <w:shd w:val="clear" w:color="auto" w:fill="FFFFFF"/>
            <w:tcMar>
              <w:top w:w="0" w:type="dxa"/>
              <w:left w:w="150" w:type="dxa"/>
              <w:bottom w:w="0" w:type="dxa"/>
              <w:right w:w="150" w:type="dxa"/>
            </w:tcMar>
            <w:hideMark/>
          </w:tcPr>
          <w:p w14:paraId="37C939AB"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w:t>
            </w:r>
          </w:p>
        </w:tc>
      </w:tr>
      <w:tr w:rsidR="00F82036" w:rsidRPr="00F82036" w14:paraId="2D4C1F54"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11B2DF5A"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162F3D37"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"$schema"</w:t>
            </w: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"https://schema.management.azure.com/schemas/2015-01-01/deploymentTemplate.json#"</w:t>
            </w:r>
            <w:r w:rsidRPr="00F82036">
              <w:rPr>
                <w:rFonts w:ascii="Consolas" w:eastAsia="Times New Roman" w:hAnsi="Consolas" w:cs="Consolas"/>
                <w:color w:val="333333"/>
                <w:sz w:val="18"/>
                <w:szCs w:val="18"/>
              </w:rPr>
              <w:t>,</w:t>
            </w:r>
          </w:p>
        </w:tc>
      </w:tr>
      <w:tr w:rsidR="00F82036" w:rsidRPr="00F82036" w14:paraId="4E248511"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5C5AA3C5"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1C4996A2"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"contentVersion"</w:t>
            </w: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"1.0.0.0"</w:t>
            </w:r>
            <w:r w:rsidRPr="00F82036">
              <w:rPr>
                <w:rFonts w:ascii="Consolas" w:eastAsia="Times New Roman" w:hAnsi="Consolas" w:cs="Consolas"/>
                <w:color w:val="333333"/>
                <w:sz w:val="18"/>
                <w:szCs w:val="18"/>
              </w:rPr>
              <w:t>,</w:t>
            </w:r>
          </w:p>
        </w:tc>
      </w:tr>
      <w:tr w:rsidR="00F82036" w:rsidRPr="00F82036" w14:paraId="28CE77B6"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6A11AA33"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42BB5C3D"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"parameters"</w:t>
            </w:r>
            <w:r w:rsidRPr="00F82036">
              <w:rPr>
                <w:rFonts w:ascii="Consolas" w:eastAsia="Times New Roman" w:hAnsi="Consolas" w:cs="Consolas"/>
                <w:color w:val="333333"/>
                <w:sz w:val="18"/>
                <w:szCs w:val="18"/>
              </w:rPr>
              <w:t>: {</w:t>
            </w:r>
          </w:p>
        </w:tc>
      </w:tr>
      <w:tr w:rsidR="00F82036" w:rsidRPr="00F82036" w14:paraId="1E92A2B5"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13D35C02"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2E7D78DE"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"newStorageAccountName"</w:t>
            </w:r>
            <w:r w:rsidRPr="00F82036">
              <w:rPr>
                <w:rFonts w:ascii="Consolas" w:eastAsia="Times New Roman" w:hAnsi="Consolas" w:cs="Consolas"/>
                <w:color w:val="333333"/>
                <w:sz w:val="18"/>
                <w:szCs w:val="18"/>
              </w:rPr>
              <w:t>: {</w:t>
            </w:r>
          </w:p>
        </w:tc>
      </w:tr>
      <w:tr w:rsidR="00F82036" w:rsidRPr="00F82036" w14:paraId="6BF0BE95"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7A78CD39"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0765EAE3"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"type"</w:t>
            </w: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"string"</w:t>
            </w:r>
            <w:r w:rsidRPr="00F82036">
              <w:rPr>
                <w:rFonts w:ascii="Consolas" w:eastAsia="Times New Roman" w:hAnsi="Consolas" w:cs="Consolas"/>
                <w:color w:val="333333"/>
                <w:sz w:val="18"/>
                <w:szCs w:val="18"/>
              </w:rPr>
              <w:t>,</w:t>
            </w:r>
          </w:p>
        </w:tc>
      </w:tr>
      <w:tr w:rsidR="00F82036" w:rsidRPr="00F82036" w14:paraId="5D4391E1"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0DCC5C35"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73FA1D51"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"metadata"</w:t>
            </w:r>
            <w:r w:rsidRPr="00F82036">
              <w:rPr>
                <w:rFonts w:ascii="Consolas" w:eastAsia="Times New Roman" w:hAnsi="Consolas" w:cs="Consolas"/>
                <w:color w:val="333333"/>
                <w:sz w:val="18"/>
                <w:szCs w:val="18"/>
              </w:rPr>
              <w:t>: {</w:t>
            </w:r>
          </w:p>
        </w:tc>
      </w:tr>
      <w:tr w:rsidR="00F82036" w:rsidRPr="00F82036" w14:paraId="42A48A5B"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04403C55"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2F574952"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"description"</w:t>
            </w: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"Unique DNS Name for the Storage Account where the Virtual Machine's disks will be placed."</w:t>
            </w:r>
          </w:p>
        </w:tc>
      </w:tr>
      <w:tr w:rsidR="00F82036" w:rsidRPr="00F82036" w14:paraId="1B66BCD4"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3D5CAE69"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279BB475"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p>
        </w:tc>
      </w:tr>
      <w:tr w:rsidR="00F82036" w:rsidRPr="00F82036" w14:paraId="21D01192"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4F66E010"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38AEB7DB"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p>
        </w:tc>
      </w:tr>
      <w:tr w:rsidR="00F82036" w:rsidRPr="00F82036" w14:paraId="73EB58E8"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63F2DBC6" w14:textId="6588877D" w:rsidR="00F82036" w:rsidRPr="00F82036" w:rsidRDefault="002A2257" w:rsidP="00F82036">
            <w:pPr>
              <w:spacing w:before="0" w:after="0" w:line="270" w:lineRule="atLeast"/>
              <w:jc w:val="right"/>
              <w:rPr>
                <w:rFonts w:ascii="Consolas" w:eastAsia="Times New Roman" w:hAnsi="Consolas" w:cs="Consolas"/>
                <w:color w:val="333333"/>
                <w:sz w:val="18"/>
                <w:szCs w:val="18"/>
              </w:rPr>
            </w:pPr>
            <w:r>
              <w:rPr>
                <w:rFonts w:ascii="Consolas" w:eastAsia="Times New Roman" w:hAnsi="Consolas" w:cs="Consolas"/>
                <w:color w:val="333333"/>
                <w:sz w:val="18"/>
                <w:szCs w:val="18"/>
              </w:rPr>
              <w:t>…</w:t>
            </w:r>
          </w:p>
        </w:tc>
        <w:tc>
          <w:tcPr>
            <w:tcW w:w="0" w:type="auto"/>
            <w:shd w:val="clear" w:color="auto" w:fill="FFFFFF"/>
            <w:tcMar>
              <w:top w:w="0" w:type="dxa"/>
              <w:left w:w="150" w:type="dxa"/>
              <w:bottom w:w="0" w:type="dxa"/>
              <w:right w:w="150" w:type="dxa"/>
            </w:tcMar>
            <w:hideMark/>
          </w:tcPr>
          <w:p w14:paraId="76E6161D"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"resources"</w:t>
            </w:r>
            <w:r w:rsidRPr="00F82036">
              <w:rPr>
                <w:rFonts w:ascii="Consolas" w:eastAsia="Times New Roman" w:hAnsi="Consolas" w:cs="Consolas"/>
                <w:color w:val="333333"/>
                <w:sz w:val="18"/>
                <w:szCs w:val="18"/>
              </w:rPr>
              <w:t>: [</w:t>
            </w:r>
          </w:p>
        </w:tc>
      </w:tr>
      <w:tr w:rsidR="00F82036" w:rsidRPr="00F82036" w14:paraId="2EF88B0B"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26BEBE95"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7EA22F2B"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p>
        </w:tc>
      </w:tr>
      <w:tr w:rsidR="00F82036" w:rsidRPr="00F82036" w14:paraId="5873AC8D"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0FFAF998"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2A45F278"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"type"</w:t>
            </w: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"Microsoft.Storage/storageAccounts"</w:t>
            </w:r>
            <w:r w:rsidRPr="00F82036">
              <w:rPr>
                <w:rFonts w:ascii="Consolas" w:eastAsia="Times New Roman" w:hAnsi="Consolas" w:cs="Consolas"/>
                <w:color w:val="333333"/>
                <w:sz w:val="18"/>
                <w:szCs w:val="18"/>
              </w:rPr>
              <w:t>,</w:t>
            </w:r>
          </w:p>
        </w:tc>
      </w:tr>
      <w:tr w:rsidR="00F82036" w:rsidRPr="00F82036" w14:paraId="3B5CBDAC"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68AF7796"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2E8B9195"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"name"</w:t>
            </w: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"[parameters('newStorageAccountName')]"</w:t>
            </w:r>
            <w:r w:rsidRPr="00F82036">
              <w:rPr>
                <w:rFonts w:ascii="Consolas" w:eastAsia="Times New Roman" w:hAnsi="Consolas" w:cs="Consolas"/>
                <w:color w:val="333333"/>
                <w:sz w:val="18"/>
                <w:szCs w:val="18"/>
              </w:rPr>
              <w:t>,</w:t>
            </w:r>
          </w:p>
        </w:tc>
      </w:tr>
      <w:tr w:rsidR="00F82036" w:rsidRPr="00F82036" w14:paraId="1AE8C32A"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6FE54054"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48E1D658"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"apiVersion"</w:t>
            </w: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"2015-05-01-preview"</w:t>
            </w:r>
            <w:r w:rsidRPr="00F82036">
              <w:rPr>
                <w:rFonts w:ascii="Consolas" w:eastAsia="Times New Roman" w:hAnsi="Consolas" w:cs="Consolas"/>
                <w:color w:val="333333"/>
                <w:sz w:val="18"/>
                <w:szCs w:val="18"/>
              </w:rPr>
              <w:t>,</w:t>
            </w:r>
          </w:p>
        </w:tc>
      </w:tr>
      <w:tr w:rsidR="00F82036" w:rsidRPr="00F82036" w14:paraId="4FF46E25"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6E93E9E3"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3B809C2E"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"location"</w:t>
            </w: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"[variables('location')]"</w:t>
            </w:r>
            <w:r w:rsidRPr="00F82036">
              <w:rPr>
                <w:rFonts w:ascii="Consolas" w:eastAsia="Times New Roman" w:hAnsi="Consolas" w:cs="Consolas"/>
                <w:color w:val="333333"/>
                <w:sz w:val="18"/>
                <w:szCs w:val="18"/>
              </w:rPr>
              <w:t>,</w:t>
            </w:r>
          </w:p>
        </w:tc>
      </w:tr>
      <w:tr w:rsidR="00F82036" w:rsidRPr="00F82036" w14:paraId="65B78229"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6F326EAF"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7CCD2954"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"tags"</w:t>
            </w:r>
            <w:r w:rsidRPr="00F82036">
              <w:rPr>
                <w:rFonts w:ascii="Consolas" w:eastAsia="Times New Roman" w:hAnsi="Consolas" w:cs="Consolas"/>
                <w:color w:val="333333"/>
                <w:sz w:val="18"/>
                <w:szCs w:val="18"/>
              </w:rPr>
              <w:t>: {</w:t>
            </w:r>
          </w:p>
        </w:tc>
      </w:tr>
      <w:tr w:rsidR="00F82036" w:rsidRPr="00F82036" w14:paraId="4DFBC186"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4C094878"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1B2DFAD0" w14:textId="77777777" w:rsidR="00F82036" w:rsidRPr="00F82036" w:rsidRDefault="00F82036" w:rsidP="00F82036">
            <w:pPr>
              <w:spacing w:before="0" w:after="0" w:line="273" w:lineRule="atLeast"/>
              <w:rPr>
                <w:rFonts w:ascii="Consolas" w:eastAsia="Times New Roman" w:hAnsi="Consolas" w:cs="Consolas"/>
                <w:b/>
                <w:color w:val="333333"/>
                <w:sz w:val="18"/>
                <w:szCs w:val="18"/>
              </w:rPr>
            </w:pPr>
            <w:r w:rsidRPr="00F82036">
              <w:rPr>
                <w:rFonts w:ascii="Consolas" w:eastAsia="Times New Roman" w:hAnsi="Consolas" w:cs="Consolas"/>
                <w:b/>
                <w:color w:val="333333"/>
                <w:sz w:val="18"/>
                <w:szCs w:val="18"/>
              </w:rPr>
              <w:t xml:space="preserve">        </w:t>
            </w:r>
            <w:r w:rsidRPr="002A2257">
              <w:rPr>
                <w:rFonts w:ascii="Consolas" w:eastAsia="Times New Roman" w:hAnsi="Consolas" w:cs="Consolas"/>
                <w:b/>
                <w:color w:val="183691"/>
                <w:sz w:val="18"/>
                <w:szCs w:val="18"/>
              </w:rPr>
              <w:t>"Department"</w:t>
            </w:r>
            <w:r w:rsidRPr="00F82036">
              <w:rPr>
                <w:rFonts w:ascii="Consolas" w:eastAsia="Times New Roman" w:hAnsi="Consolas" w:cs="Consolas"/>
                <w:b/>
                <w:color w:val="333333"/>
                <w:sz w:val="18"/>
                <w:szCs w:val="18"/>
              </w:rPr>
              <w:t xml:space="preserve">: </w:t>
            </w:r>
            <w:r w:rsidRPr="002A2257">
              <w:rPr>
                <w:rFonts w:ascii="Consolas" w:eastAsia="Times New Roman" w:hAnsi="Consolas" w:cs="Consolas"/>
                <w:b/>
                <w:color w:val="183691"/>
                <w:sz w:val="18"/>
                <w:szCs w:val="18"/>
              </w:rPr>
              <w:t>"[parameters('departmentName')]"</w:t>
            </w:r>
            <w:r w:rsidRPr="00F82036">
              <w:rPr>
                <w:rFonts w:ascii="Consolas" w:eastAsia="Times New Roman" w:hAnsi="Consolas" w:cs="Consolas"/>
                <w:b/>
                <w:color w:val="333333"/>
                <w:sz w:val="18"/>
                <w:szCs w:val="18"/>
              </w:rPr>
              <w:t>,</w:t>
            </w:r>
          </w:p>
        </w:tc>
      </w:tr>
      <w:tr w:rsidR="00F82036" w:rsidRPr="00F82036" w14:paraId="373A6D68"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4E3C01DA"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6F1FEFAB" w14:textId="77777777" w:rsidR="00F82036" w:rsidRPr="00F82036" w:rsidRDefault="00F82036" w:rsidP="00F82036">
            <w:pPr>
              <w:spacing w:before="0" w:after="0" w:line="273" w:lineRule="atLeast"/>
              <w:rPr>
                <w:rFonts w:ascii="Consolas" w:eastAsia="Times New Roman" w:hAnsi="Consolas" w:cs="Consolas"/>
                <w:b/>
                <w:color w:val="333333"/>
                <w:sz w:val="18"/>
                <w:szCs w:val="18"/>
              </w:rPr>
            </w:pPr>
            <w:r w:rsidRPr="00F82036">
              <w:rPr>
                <w:rFonts w:ascii="Consolas" w:eastAsia="Times New Roman" w:hAnsi="Consolas" w:cs="Consolas"/>
                <w:b/>
                <w:color w:val="333333"/>
                <w:sz w:val="18"/>
                <w:szCs w:val="18"/>
              </w:rPr>
              <w:t xml:space="preserve">        </w:t>
            </w:r>
            <w:r w:rsidRPr="002A2257">
              <w:rPr>
                <w:rFonts w:ascii="Consolas" w:eastAsia="Times New Roman" w:hAnsi="Consolas" w:cs="Consolas"/>
                <w:b/>
                <w:color w:val="183691"/>
                <w:sz w:val="18"/>
                <w:szCs w:val="18"/>
              </w:rPr>
              <w:t>"Application"</w:t>
            </w:r>
            <w:r w:rsidRPr="00F82036">
              <w:rPr>
                <w:rFonts w:ascii="Consolas" w:eastAsia="Times New Roman" w:hAnsi="Consolas" w:cs="Consolas"/>
                <w:b/>
                <w:color w:val="333333"/>
                <w:sz w:val="18"/>
                <w:szCs w:val="18"/>
              </w:rPr>
              <w:t xml:space="preserve">: </w:t>
            </w:r>
            <w:r w:rsidRPr="002A2257">
              <w:rPr>
                <w:rFonts w:ascii="Consolas" w:eastAsia="Times New Roman" w:hAnsi="Consolas" w:cs="Consolas"/>
                <w:b/>
                <w:color w:val="183691"/>
                <w:sz w:val="18"/>
                <w:szCs w:val="18"/>
              </w:rPr>
              <w:t>"[parameters('applicationName')]"</w:t>
            </w:r>
            <w:r w:rsidRPr="00F82036">
              <w:rPr>
                <w:rFonts w:ascii="Consolas" w:eastAsia="Times New Roman" w:hAnsi="Consolas" w:cs="Consolas"/>
                <w:b/>
                <w:color w:val="333333"/>
                <w:sz w:val="18"/>
                <w:szCs w:val="18"/>
              </w:rPr>
              <w:t>,</w:t>
            </w:r>
          </w:p>
        </w:tc>
      </w:tr>
      <w:tr w:rsidR="00F82036" w:rsidRPr="00F82036" w14:paraId="01469435"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5783F30A"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7C0FB2AD" w14:textId="77777777" w:rsidR="00F82036" w:rsidRPr="00F82036" w:rsidRDefault="00F82036" w:rsidP="00F82036">
            <w:pPr>
              <w:spacing w:before="0" w:after="0" w:line="273" w:lineRule="atLeast"/>
              <w:rPr>
                <w:rFonts w:ascii="Consolas" w:eastAsia="Times New Roman" w:hAnsi="Consolas" w:cs="Consolas"/>
                <w:b/>
                <w:color w:val="333333"/>
                <w:sz w:val="18"/>
                <w:szCs w:val="18"/>
              </w:rPr>
            </w:pPr>
            <w:r w:rsidRPr="00F82036">
              <w:rPr>
                <w:rFonts w:ascii="Consolas" w:eastAsia="Times New Roman" w:hAnsi="Consolas" w:cs="Consolas"/>
                <w:b/>
                <w:color w:val="333333"/>
                <w:sz w:val="18"/>
                <w:szCs w:val="18"/>
              </w:rPr>
              <w:t xml:space="preserve">        </w:t>
            </w:r>
            <w:r w:rsidRPr="002A2257">
              <w:rPr>
                <w:rFonts w:ascii="Consolas" w:eastAsia="Times New Roman" w:hAnsi="Consolas" w:cs="Consolas"/>
                <w:b/>
                <w:color w:val="183691"/>
                <w:sz w:val="18"/>
                <w:szCs w:val="18"/>
              </w:rPr>
              <w:t>"Created By"</w:t>
            </w:r>
            <w:r w:rsidRPr="00F82036">
              <w:rPr>
                <w:rFonts w:ascii="Consolas" w:eastAsia="Times New Roman" w:hAnsi="Consolas" w:cs="Consolas"/>
                <w:b/>
                <w:color w:val="333333"/>
                <w:sz w:val="18"/>
                <w:szCs w:val="18"/>
              </w:rPr>
              <w:t xml:space="preserve">: </w:t>
            </w:r>
            <w:r w:rsidRPr="002A2257">
              <w:rPr>
                <w:rFonts w:ascii="Consolas" w:eastAsia="Times New Roman" w:hAnsi="Consolas" w:cs="Consolas"/>
                <w:b/>
                <w:color w:val="183691"/>
                <w:sz w:val="18"/>
                <w:szCs w:val="18"/>
              </w:rPr>
              <w:t>"[parameters('createdBy')]"</w:t>
            </w:r>
          </w:p>
        </w:tc>
      </w:tr>
      <w:tr w:rsidR="00F82036" w:rsidRPr="00F82036" w14:paraId="0F39E48B"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0BB06463"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0907E71C"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p>
        </w:tc>
      </w:tr>
      <w:tr w:rsidR="00F82036" w:rsidRPr="00F82036" w14:paraId="024EC191"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1642F663"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21F2FFDF"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p>
        </w:tc>
      </w:tr>
      <w:tr w:rsidR="00F82036" w:rsidRPr="00F82036" w14:paraId="4234123F"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226489F4"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060D2AEA"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p>
        </w:tc>
      </w:tr>
      <w:tr w:rsidR="00F82036" w:rsidRPr="00F82036" w14:paraId="74436BDA"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62ACE06A"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1D2A2112"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"apiVersion"</w:t>
            </w: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"2015-05-01-preview"</w:t>
            </w:r>
            <w:r w:rsidRPr="00F82036">
              <w:rPr>
                <w:rFonts w:ascii="Consolas" w:eastAsia="Times New Roman" w:hAnsi="Consolas" w:cs="Consolas"/>
                <w:color w:val="333333"/>
                <w:sz w:val="18"/>
                <w:szCs w:val="18"/>
              </w:rPr>
              <w:t>,</w:t>
            </w:r>
          </w:p>
        </w:tc>
      </w:tr>
      <w:tr w:rsidR="00F82036" w:rsidRPr="00F82036" w14:paraId="1252429C"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598D92DD"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27480E1D"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"type"</w:t>
            </w: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"Microsoft.Network/publicIPAddresses"</w:t>
            </w:r>
            <w:r w:rsidRPr="00F82036">
              <w:rPr>
                <w:rFonts w:ascii="Consolas" w:eastAsia="Times New Roman" w:hAnsi="Consolas" w:cs="Consolas"/>
                <w:color w:val="333333"/>
                <w:sz w:val="18"/>
                <w:szCs w:val="18"/>
              </w:rPr>
              <w:t>,</w:t>
            </w:r>
          </w:p>
        </w:tc>
      </w:tr>
      <w:tr w:rsidR="00F82036" w:rsidRPr="00F82036" w14:paraId="237F85DD"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78D20680"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2C5066AB"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"name"</w:t>
            </w: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"[variables('publicIPAddressName')]"</w:t>
            </w:r>
            <w:r w:rsidRPr="00F82036">
              <w:rPr>
                <w:rFonts w:ascii="Consolas" w:eastAsia="Times New Roman" w:hAnsi="Consolas" w:cs="Consolas"/>
                <w:color w:val="333333"/>
                <w:sz w:val="18"/>
                <w:szCs w:val="18"/>
              </w:rPr>
              <w:t>,</w:t>
            </w:r>
          </w:p>
        </w:tc>
      </w:tr>
      <w:tr w:rsidR="00F82036" w:rsidRPr="00F82036" w14:paraId="654C4DCD"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6E3F3DA8"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0B2D5616"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"location"</w:t>
            </w:r>
            <w:r w:rsidRPr="00F82036">
              <w:rPr>
                <w:rFonts w:ascii="Consolas" w:eastAsia="Times New Roman" w:hAnsi="Consolas" w:cs="Consolas"/>
                <w:color w:val="333333"/>
                <w:sz w:val="18"/>
                <w:szCs w:val="18"/>
              </w:rPr>
              <w:t xml:space="preserve">: </w:t>
            </w:r>
            <w:r w:rsidRPr="00F82036">
              <w:rPr>
                <w:rFonts w:ascii="Consolas" w:eastAsia="Times New Roman" w:hAnsi="Consolas" w:cs="Consolas"/>
                <w:color w:val="183691"/>
                <w:sz w:val="18"/>
                <w:szCs w:val="18"/>
              </w:rPr>
              <w:t>"[variables('location')]"</w:t>
            </w:r>
            <w:r w:rsidRPr="00F82036">
              <w:rPr>
                <w:rFonts w:ascii="Consolas" w:eastAsia="Times New Roman" w:hAnsi="Consolas" w:cs="Consolas"/>
                <w:color w:val="333333"/>
                <w:sz w:val="18"/>
                <w:szCs w:val="18"/>
              </w:rPr>
              <w:t>,</w:t>
            </w:r>
          </w:p>
        </w:tc>
      </w:tr>
      <w:tr w:rsidR="00F82036" w:rsidRPr="00F82036" w14:paraId="79947B25"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3B519A13"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44909442" w14:textId="77777777" w:rsidR="00F82036" w:rsidRPr="00F82036" w:rsidRDefault="00F82036" w:rsidP="00F82036">
            <w:pPr>
              <w:spacing w:before="0" w:after="0" w:line="273" w:lineRule="atLeast"/>
              <w:rPr>
                <w:rFonts w:ascii="Consolas" w:eastAsia="Times New Roman" w:hAnsi="Consolas" w:cs="Consolas"/>
                <w:b/>
                <w:color w:val="333333"/>
                <w:sz w:val="18"/>
                <w:szCs w:val="18"/>
              </w:rPr>
            </w:pPr>
            <w:r w:rsidRPr="00F82036">
              <w:rPr>
                <w:rFonts w:ascii="Consolas" w:eastAsia="Times New Roman" w:hAnsi="Consolas" w:cs="Consolas"/>
                <w:b/>
                <w:color w:val="333333"/>
                <w:sz w:val="18"/>
                <w:szCs w:val="18"/>
              </w:rPr>
              <w:t xml:space="preserve">      </w:t>
            </w:r>
            <w:r w:rsidRPr="002A2257">
              <w:rPr>
                <w:rFonts w:ascii="Consolas" w:eastAsia="Times New Roman" w:hAnsi="Consolas" w:cs="Consolas"/>
                <w:b/>
                <w:color w:val="183691"/>
                <w:sz w:val="18"/>
                <w:szCs w:val="18"/>
              </w:rPr>
              <w:t>"tags"</w:t>
            </w:r>
            <w:r w:rsidRPr="00F82036">
              <w:rPr>
                <w:rFonts w:ascii="Consolas" w:eastAsia="Times New Roman" w:hAnsi="Consolas" w:cs="Consolas"/>
                <w:b/>
                <w:color w:val="333333"/>
                <w:sz w:val="18"/>
                <w:szCs w:val="18"/>
              </w:rPr>
              <w:t>: {</w:t>
            </w:r>
          </w:p>
        </w:tc>
      </w:tr>
      <w:tr w:rsidR="00F82036" w:rsidRPr="00F82036" w14:paraId="613D0A81"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50452C1B"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08B9F6C8" w14:textId="77777777" w:rsidR="00F82036" w:rsidRPr="00F82036" w:rsidRDefault="00F82036" w:rsidP="00F82036">
            <w:pPr>
              <w:spacing w:before="0" w:after="0" w:line="273" w:lineRule="atLeast"/>
              <w:rPr>
                <w:rFonts w:ascii="Consolas" w:eastAsia="Times New Roman" w:hAnsi="Consolas" w:cs="Consolas"/>
                <w:b/>
                <w:color w:val="333333"/>
                <w:sz w:val="18"/>
                <w:szCs w:val="18"/>
              </w:rPr>
            </w:pPr>
            <w:r w:rsidRPr="00F82036">
              <w:rPr>
                <w:rFonts w:ascii="Consolas" w:eastAsia="Times New Roman" w:hAnsi="Consolas" w:cs="Consolas"/>
                <w:b/>
                <w:color w:val="333333"/>
                <w:sz w:val="18"/>
                <w:szCs w:val="18"/>
              </w:rPr>
              <w:t xml:space="preserve">        </w:t>
            </w:r>
            <w:r w:rsidRPr="002A2257">
              <w:rPr>
                <w:rFonts w:ascii="Consolas" w:eastAsia="Times New Roman" w:hAnsi="Consolas" w:cs="Consolas"/>
                <w:b/>
                <w:color w:val="183691"/>
                <w:sz w:val="18"/>
                <w:szCs w:val="18"/>
              </w:rPr>
              <w:t>"Department"</w:t>
            </w:r>
            <w:r w:rsidRPr="00F82036">
              <w:rPr>
                <w:rFonts w:ascii="Consolas" w:eastAsia="Times New Roman" w:hAnsi="Consolas" w:cs="Consolas"/>
                <w:b/>
                <w:color w:val="333333"/>
                <w:sz w:val="18"/>
                <w:szCs w:val="18"/>
              </w:rPr>
              <w:t xml:space="preserve">: </w:t>
            </w:r>
            <w:r w:rsidRPr="002A2257">
              <w:rPr>
                <w:rFonts w:ascii="Consolas" w:eastAsia="Times New Roman" w:hAnsi="Consolas" w:cs="Consolas"/>
                <w:b/>
                <w:color w:val="183691"/>
                <w:sz w:val="18"/>
                <w:szCs w:val="18"/>
              </w:rPr>
              <w:t>"[parameters('departmentName')]"</w:t>
            </w:r>
            <w:r w:rsidRPr="00F82036">
              <w:rPr>
                <w:rFonts w:ascii="Consolas" w:eastAsia="Times New Roman" w:hAnsi="Consolas" w:cs="Consolas"/>
                <w:b/>
                <w:color w:val="333333"/>
                <w:sz w:val="18"/>
                <w:szCs w:val="18"/>
              </w:rPr>
              <w:t>,</w:t>
            </w:r>
          </w:p>
        </w:tc>
      </w:tr>
      <w:tr w:rsidR="00F82036" w:rsidRPr="00F82036" w14:paraId="6ECC8F47"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7DC8EB60"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1FFAAD06" w14:textId="77777777" w:rsidR="00F82036" w:rsidRPr="00F82036" w:rsidRDefault="00F82036" w:rsidP="00F82036">
            <w:pPr>
              <w:spacing w:before="0" w:after="0" w:line="273" w:lineRule="atLeast"/>
              <w:rPr>
                <w:rFonts w:ascii="Consolas" w:eastAsia="Times New Roman" w:hAnsi="Consolas" w:cs="Consolas"/>
                <w:b/>
                <w:color w:val="333333"/>
                <w:sz w:val="18"/>
                <w:szCs w:val="18"/>
              </w:rPr>
            </w:pPr>
            <w:r w:rsidRPr="00F82036">
              <w:rPr>
                <w:rFonts w:ascii="Consolas" w:eastAsia="Times New Roman" w:hAnsi="Consolas" w:cs="Consolas"/>
                <w:b/>
                <w:color w:val="333333"/>
                <w:sz w:val="18"/>
                <w:szCs w:val="18"/>
              </w:rPr>
              <w:t xml:space="preserve">        </w:t>
            </w:r>
            <w:r w:rsidRPr="002A2257">
              <w:rPr>
                <w:rFonts w:ascii="Consolas" w:eastAsia="Times New Roman" w:hAnsi="Consolas" w:cs="Consolas"/>
                <w:b/>
                <w:color w:val="183691"/>
                <w:sz w:val="18"/>
                <w:szCs w:val="18"/>
              </w:rPr>
              <w:t>"Application"</w:t>
            </w:r>
            <w:r w:rsidRPr="00F82036">
              <w:rPr>
                <w:rFonts w:ascii="Consolas" w:eastAsia="Times New Roman" w:hAnsi="Consolas" w:cs="Consolas"/>
                <w:b/>
                <w:color w:val="333333"/>
                <w:sz w:val="18"/>
                <w:szCs w:val="18"/>
              </w:rPr>
              <w:t xml:space="preserve">: </w:t>
            </w:r>
            <w:r w:rsidRPr="002A2257">
              <w:rPr>
                <w:rFonts w:ascii="Consolas" w:eastAsia="Times New Roman" w:hAnsi="Consolas" w:cs="Consolas"/>
                <w:b/>
                <w:color w:val="183691"/>
                <w:sz w:val="18"/>
                <w:szCs w:val="18"/>
              </w:rPr>
              <w:t>"[parameters('applicationName')]"</w:t>
            </w:r>
            <w:r w:rsidRPr="00F82036">
              <w:rPr>
                <w:rFonts w:ascii="Consolas" w:eastAsia="Times New Roman" w:hAnsi="Consolas" w:cs="Consolas"/>
                <w:b/>
                <w:color w:val="333333"/>
                <w:sz w:val="18"/>
                <w:szCs w:val="18"/>
              </w:rPr>
              <w:t>,</w:t>
            </w:r>
          </w:p>
        </w:tc>
      </w:tr>
      <w:tr w:rsidR="00F82036" w:rsidRPr="00F82036" w14:paraId="06166658"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38A1774D"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256A9D04" w14:textId="77777777" w:rsidR="00F82036" w:rsidRPr="00F82036" w:rsidRDefault="00F82036" w:rsidP="00F82036">
            <w:pPr>
              <w:spacing w:before="0" w:after="0" w:line="273" w:lineRule="atLeast"/>
              <w:rPr>
                <w:rFonts w:ascii="Consolas" w:eastAsia="Times New Roman" w:hAnsi="Consolas" w:cs="Consolas"/>
                <w:b/>
                <w:color w:val="333333"/>
                <w:sz w:val="18"/>
                <w:szCs w:val="18"/>
              </w:rPr>
            </w:pPr>
            <w:r w:rsidRPr="00F82036">
              <w:rPr>
                <w:rFonts w:ascii="Consolas" w:eastAsia="Times New Roman" w:hAnsi="Consolas" w:cs="Consolas"/>
                <w:b/>
                <w:color w:val="333333"/>
                <w:sz w:val="18"/>
                <w:szCs w:val="18"/>
              </w:rPr>
              <w:t xml:space="preserve">        </w:t>
            </w:r>
            <w:r w:rsidRPr="002A2257">
              <w:rPr>
                <w:rFonts w:ascii="Consolas" w:eastAsia="Times New Roman" w:hAnsi="Consolas" w:cs="Consolas"/>
                <w:b/>
                <w:color w:val="183691"/>
                <w:sz w:val="18"/>
                <w:szCs w:val="18"/>
              </w:rPr>
              <w:t>"Created By"</w:t>
            </w:r>
            <w:r w:rsidRPr="00F82036">
              <w:rPr>
                <w:rFonts w:ascii="Consolas" w:eastAsia="Times New Roman" w:hAnsi="Consolas" w:cs="Consolas"/>
                <w:b/>
                <w:color w:val="333333"/>
                <w:sz w:val="18"/>
                <w:szCs w:val="18"/>
              </w:rPr>
              <w:t xml:space="preserve">: </w:t>
            </w:r>
            <w:r w:rsidRPr="002A2257">
              <w:rPr>
                <w:rFonts w:ascii="Consolas" w:eastAsia="Times New Roman" w:hAnsi="Consolas" w:cs="Consolas"/>
                <w:b/>
                <w:color w:val="183691"/>
                <w:sz w:val="18"/>
                <w:szCs w:val="18"/>
              </w:rPr>
              <w:t>"[parameters('createdBy')]"</w:t>
            </w:r>
          </w:p>
        </w:tc>
      </w:tr>
      <w:tr w:rsidR="00F82036" w:rsidRPr="00F82036" w14:paraId="353175A8"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2460E0D0"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339D50CC" w14:textId="77777777" w:rsidR="00F82036" w:rsidRPr="00F82036" w:rsidRDefault="00F82036" w:rsidP="00F82036">
            <w:pPr>
              <w:spacing w:before="0" w:after="0" w:line="273" w:lineRule="atLeast"/>
              <w:rPr>
                <w:rFonts w:ascii="Consolas" w:eastAsia="Times New Roman" w:hAnsi="Consolas" w:cs="Consolas"/>
                <w:b/>
                <w:color w:val="333333"/>
                <w:sz w:val="18"/>
                <w:szCs w:val="18"/>
              </w:rPr>
            </w:pPr>
            <w:r w:rsidRPr="00F82036">
              <w:rPr>
                <w:rFonts w:ascii="Consolas" w:eastAsia="Times New Roman" w:hAnsi="Consolas" w:cs="Consolas"/>
                <w:b/>
                <w:color w:val="333333"/>
                <w:sz w:val="18"/>
                <w:szCs w:val="18"/>
              </w:rPr>
              <w:t xml:space="preserve">      },</w:t>
            </w:r>
          </w:p>
        </w:tc>
      </w:tr>
      <w:tr w:rsidR="00F82036" w:rsidRPr="00F82036" w14:paraId="4E38B90C"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1125160A" w14:textId="08E6914C" w:rsidR="00F82036" w:rsidRPr="00F82036" w:rsidRDefault="002A2257" w:rsidP="00F82036">
            <w:pPr>
              <w:spacing w:before="0" w:after="0" w:line="270" w:lineRule="atLeast"/>
              <w:jc w:val="right"/>
              <w:rPr>
                <w:rFonts w:ascii="Consolas" w:eastAsia="Times New Roman" w:hAnsi="Consolas" w:cs="Consolas"/>
                <w:color w:val="333333"/>
                <w:sz w:val="18"/>
                <w:szCs w:val="18"/>
              </w:rPr>
            </w:pPr>
            <w:r>
              <w:rPr>
                <w:rFonts w:ascii="Consolas" w:eastAsia="Times New Roman" w:hAnsi="Consolas" w:cs="Consolas"/>
                <w:color w:val="333333"/>
                <w:sz w:val="18"/>
                <w:szCs w:val="18"/>
              </w:rPr>
              <w:t>…</w:t>
            </w:r>
          </w:p>
        </w:tc>
        <w:tc>
          <w:tcPr>
            <w:tcW w:w="0" w:type="auto"/>
            <w:shd w:val="clear" w:color="auto" w:fill="FFFFFF"/>
            <w:tcMar>
              <w:top w:w="0" w:type="dxa"/>
              <w:left w:w="150" w:type="dxa"/>
              <w:bottom w:w="0" w:type="dxa"/>
              <w:right w:w="150" w:type="dxa"/>
            </w:tcMar>
            <w:hideMark/>
          </w:tcPr>
          <w:p w14:paraId="56CB3EE5"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 xml:space="preserve">  ]</w:t>
            </w:r>
          </w:p>
        </w:tc>
      </w:tr>
      <w:tr w:rsidR="00F82036" w:rsidRPr="00F82036" w14:paraId="52147674" w14:textId="77777777" w:rsidTr="001A33CC">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711FE3BD" w14:textId="77777777" w:rsidR="00F82036" w:rsidRPr="00F82036" w:rsidRDefault="00F82036" w:rsidP="00F82036">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6F70B674" w14:textId="77777777" w:rsidR="00F82036" w:rsidRPr="00F82036" w:rsidRDefault="00F82036" w:rsidP="00F82036">
            <w:pPr>
              <w:spacing w:before="0" w:after="0" w:line="273" w:lineRule="atLeast"/>
              <w:rPr>
                <w:rFonts w:ascii="Consolas" w:eastAsia="Times New Roman" w:hAnsi="Consolas" w:cs="Consolas"/>
                <w:color w:val="333333"/>
                <w:sz w:val="18"/>
                <w:szCs w:val="18"/>
              </w:rPr>
            </w:pPr>
            <w:r w:rsidRPr="00F82036">
              <w:rPr>
                <w:rFonts w:ascii="Consolas" w:eastAsia="Times New Roman" w:hAnsi="Consolas" w:cs="Consolas"/>
                <w:color w:val="333333"/>
                <w:sz w:val="18"/>
                <w:szCs w:val="18"/>
              </w:rPr>
              <w:t>}</w:t>
            </w:r>
          </w:p>
        </w:tc>
      </w:tr>
    </w:tbl>
    <w:p w14:paraId="3FEAE160" w14:textId="77777777" w:rsidR="00F82036" w:rsidRDefault="00F82036" w:rsidP="008B06E5"/>
    <w:p w14:paraId="7A17E383" w14:textId="1FA79547" w:rsidR="0048262A" w:rsidRDefault="0048262A" w:rsidP="009C5C9A">
      <w:r>
        <w:t xml:space="preserve">Generally, subscription </w:t>
      </w:r>
      <w:r w:rsidR="004B3FDE" w:rsidRPr="004B3FDE">
        <w:t xml:space="preserve">resources can </w:t>
      </w:r>
      <w:r>
        <w:t xml:space="preserve">have </w:t>
      </w:r>
      <w:r w:rsidR="004B3FDE" w:rsidRPr="004B3FDE">
        <w:t xml:space="preserve">tags </w:t>
      </w:r>
      <w:r>
        <w:t>defined to accommodate the following scenarios:</w:t>
      </w:r>
    </w:p>
    <w:p w14:paraId="7F3C89C5" w14:textId="77777777" w:rsidR="0048262A" w:rsidRDefault="0048262A" w:rsidP="005729D2">
      <w:pPr>
        <w:pStyle w:val="ListParagraph"/>
        <w:numPr>
          <w:ilvl w:val="0"/>
          <w:numId w:val="246"/>
        </w:numPr>
      </w:pPr>
      <w:r>
        <w:t xml:space="preserve">Resources that </w:t>
      </w:r>
      <w:r w:rsidR="004B3FDE" w:rsidRPr="004B3FDE">
        <w:t>serve a similar role in customer organization</w:t>
      </w:r>
    </w:p>
    <w:p w14:paraId="1B0C5701" w14:textId="1B73B644" w:rsidR="0048262A" w:rsidRDefault="0048262A" w:rsidP="005729D2">
      <w:pPr>
        <w:pStyle w:val="ListParagraph"/>
        <w:numPr>
          <w:ilvl w:val="0"/>
          <w:numId w:val="246"/>
        </w:numPr>
      </w:pPr>
      <w:r>
        <w:t xml:space="preserve">Resources that </w:t>
      </w:r>
      <w:r w:rsidR="004B3FDE" w:rsidRPr="004B3FDE">
        <w:t>belong to the same department</w:t>
      </w:r>
      <w:r>
        <w:t xml:space="preserve"> – i.e. finance, legal, retail, etc</w:t>
      </w:r>
      <w:r w:rsidR="004B3FDE" w:rsidRPr="004B3FDE">
        <w:t xml:space="preserve">. </w:t>
      </w:r>
    </w:p>
    <w:p w14:paraId="1C4647C2" w14:textId="6ED14E52" w:rsidR="0048262A" w:rsidRDefault="0048262A" w:rsidP="005729D2">
      <w:pPr>
        <w:pStyle w:val="ListParagraph"/>
        <w:numPr>
          <w:ilvl w:val="0"/>
          <w:numId w:val="246"/>
        </w:numPr>
      </w:pPr>
      <w:r>
        <w:t>Resources comprising the same environment – i.e. dev, test, or prod.</w:t>
      </w:r>
    </w:p>
    <w:p w14:paraId="5F0927D0" w14:textId="71898D49" w:rsidR="0048262A" w:rsidRDefault="00232059" w:rsidP="005729D2">
      <w:pPr>
        <w:pStyle w:val="ListParagraph"/>
        <w:numPr>
          <w:ilvl w:val="0"/>
          <w:numId w:val="246"/>
        </w:numPr>
      </w:pPr>
      <w:r>
        <w:t>Resources that are managed by the same responsible party - i.e. Alice, Bob, etc.</w:t>
      </w:r>
    </w:p>
    <w:p w14:paraId="470E813B" w14:textId="7EA9E9FD" w:rsidR="00107E2A" w:rsidRDefault="004B3FDE" w:rsidP="0048262A">
      <w:r w:rsidRPr="004B3FDE">
        <w:t xml:space="preserve">Mature organizations are encouraged to create </w:t>
      </w:r>
      <w:r w:rsidR="0065546F">
        <w:t xml:space="preserve">a </w:t>
      </w:r>
      <w:r w:rsidRPr="004B3FDE">
        <w:t>custom tag taxonomy adopted to all Azure organizational assets to ensure all actors consuming Azure resources are compli</w:t>
      </w:r>
      <w:r w:rsidR="001A33CC">
        <w:t xml:space="preserve">ant with established policies.  For example, </w:t>
      </w:r>
      <w:r w:rsidRPr="004B3FDE">
        <w:t>users utilizing organization-specific tags, such as “Contoso-DeptOne” instead of applying duplicate but slightly different tags (such as "dept" and "department").</w:t>
      </w:r>
    </w:p>
    <w:p w14:paraId="178F897E" w14:textId="77777777" w:rsidR="001A33CC" w:rsidRDefault="001A33CC">
      <w:pPr>
        <w:spacing w:before="0" w:after="160" w:line="259" w:lineRule="auto"/>
      </w:pPr>
      <w:r>
        <w:br w:type="page"/>
      </w:r>
    </w:p>
    <w:p w14:paraId="201B924B" w14:textId="15694BC7" w:rsidR="002F6705" w:rsidRDefault="002F6705" w:rsidP="002F6705">
      <w:r>
        <w:t>The following template excerpt contains JSON that describes tags for a resource that specify the environment type, project name and internal billing chargeback ID. The values for these are passed in via parameters to make this template more re-usable and of higher value for Systems Integrators, Corporate IT, and Cloud Service Vendors. This approach enables them to use the same template to deploy capacity or capabilities for a multitude of customers that each will hav</w:t>
      </w:r>
      <w:r w:rsidR="001A33CC">
        <w:t>e distinct values for these tags.</w:t>
      </w:r>
    </w:p>
    <w:p w14:paraId="3C5518D9" w14:textId="25F47A65" w:rsidR="002F6705" w:rsidRDefault="002F6705" w:rsidP="00F82036">
      <w:pPr>
        <w:pStyle w:val="NormalWeb"/>
        <w:shd w:val="clear" w:color="auto" w:fill="FFFFFF"/>
        <w:rPr>
          <w:rFonts w:ascii="Segoe UI" w:hAnsi="Segoe UI" w:cs="Segoe UI"/>
          <w:sz w:val="22"/>
          <w:szCs w:val="22"/>
        </w:rPr>
      </w:pP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399"/>
        <w:gridCol w:w="5447"/>
      </w:tblGrid>
      <w:tr w:rsidR="002F6705" w:rsidRPr="00F82036" w14:paraId="332F4A18" w14:textId="77777777" w:rsidTr="00941C18">
        <w:tc>
          <w:tcPr>
            <w:tcW w:w="399" w:type="dxa"/>
            <w:tcBorders>
              <w:top w:val="single" w:sz="2" w:space="0" w:color="EEEEEE"/>
              <w:left w:val="single" w:sz="2" w:space="0" w:color="EEEEEE"/>
              <w:bottom w:val="single" w:sz="2" w:space="0" w:color="EEEEEE"/>
              <w:right w:val="single" w:sz="6" w:space="0" w:color="EEEEEE"/>
            </w:tcBorders>
            <w:shd w:val="clear" w:color="auto" w:fill="FFFFFF"/>
            <w:noWrap/>
            <w:tcMar>
              <w:top w:w="0" w:type="dxa"/>
              <w:left w:w="150" w:type="dxa"/>
              <w:bottom w:w="0" w:type="dxa"/>
              <w:right w:w="150" w:type="dxa"/>
            </w:tcMar>
            <w:hideMark/>
          </w:tcPr>
          <w:p w14:paraId="762E0F7F" w14:textId="77777777" w:rsidR="002F6705" w:rsidRPr="00F82036" w:rsidRDefault="002F6705" w:rsidP="00941C18">
            <w:pPr>
              <w:spacing w:before="0" w:after="0" w:line="270" w:lineRule="atLeast"/>
              <w:jc w:val="right"/>
              <w:rPr>
                <w:rFonts w:ascii="Consolas" w:eastAsia="Times New Roman" w:hAnsi="Consolas" w:cs="Consolas"/>
                <w:color w:val="333333"/>
                <w:sz w:val="18"/>
                <w:szCs w:val="18"/>
              </w:rPr>
            </w:pPr>
          </w:p>
        </w:tc>
        <w:tc>
          <w:tcPr>
            <w:tcW w:w="0" w:type="auto"/>
            <w:shd w:val="clear" w:color="auto" w:fill="FFFFFF"/>
            <w:tcMar>
              <w:top w:w="0" w:type="dxa"/>
              <w:left w:w="150" w:type="dxa"/>
              <w:bottom w:w="0" w:type="dxa"/>
              <w:right w:w="150" w:type="dxa"/>
            </w:tcMar>
            <w:hideMark/>
          </w:tcPr>
          <w:p w14:paraId="7AFE8D88" w14:textId="77777777" w:rsidR="002F6705" w:rsidRPr="002F6705" w:rsidRDefault="002F6705" w:rsidP="002F6705">
            <w:pPr>
              <w:spacing w:before="0" w:after="0" w:line="273" w:lineRule="atLeast"/>
              <w:rPr>
                <w:rFonts w:ascii="Consolas" w:eastAsia="Times New Roman" w:hAnsi="Consolas" w:cs="Consolas"/>
                <w:color w:val="333333"/>
                <w:sz w:val="18"/>
                <w:szCs w:val="18"/>
              </w:rPr>
            </w:pPr>
            <w:r w:rsidRPr="002F6705">
              <w:rPr>
                <w:rFonts w:ascii="Consolas" w:eastAsia="Times New Roman" w:hAnsi="Consolas" w:cs="Consolas"/>
                <w:color w:val="333333"/>
                <w:sz w:val="18"/>
                <w:szCs w:val="18"/>
              </w:rPr>
              <w:t>"tags": {</w:t>
            </w:r>
          </w:p>
          <w:p w14:paraId="12889597" w14:textId="77777777" w:rsidR="002F6705" w:rsidRPr="002F6705" w:rsidRDefault="002F6705" w:rsidP="002F6705">
            <w:pPr>
              <w:spacing w:before="0" w:after="0" w:line="273" w:lineRule="atLeast"/>
              <w:rPr>
                <w:rFonts w:ascii="Consolas" w:eastAsia="Times New Roman" w:hAnsi="Consolas" w:cs="Consolas"/>
                <w:color w:val="333333"/>
                <w:sz w:val="18"/>
                <w:szCs w:val="18"/>
              </w:rPr>
            </w:pPr>
            <w:r w:rsidRPr="002F6705">
              <w:rPr>
                <w:rFonts w:ascii="Consolas" w:eastAsia="Times New Roman" w:hAnsi="Consolas" w:cs="Consolas"/>
                <w:color w:val="333333"/>
                <w:sz w:val="18"/>
                <w:szCs w:val="18"/>
              </w:rPr>
              <w:t>"ChargebackID": "[parameters(chargebackID)]",</w:t>
            </w:r>
          </w:p>
          <w:p w14:paraId="1CDF8D03" w14:textId="77777777" w:rsidR="002F6705" w:rsidRPr="002F6705" w:rsidRDefault="002F6705" w:rsidP="002F6705">
            <w:pPr>
              <w:spacing w:before="0" w:after="0" w:line="273" w:lineRule="atLeast"/>
              <w:rPr>
                <w:rFonts w:ascii="Consolas" w:eastAsia="Times New Roman" w:hAnsi="Consolas" w:cs="Consolas"/>
                <w:color w:val="333333"/>
                <w:sz w:val="18"/>
                <w:szCs w:val="18"/>
              </w:rPr>
            </w:pPr>
            <w:r w:rsidRPr="002F6705">
              <w:rPr>
                <w:rFonts w:ascii="Consolas" w:eastAsia="Times New Roman" w:hAnsi="Consolas" w:cs="Consolas"/>
                <w:color w:val="333333"/>
                <w:sz w:val="18"/>
                <w:szCs w:val="18"/>
              </w:rPr>
              <w:t>"ProjectName": "[parameters(projectName)]",</w:t>
            </w:r>
          </w:p>
          <w:p w14:paraId="473166AF" w14:textId="77777777" w:rsidR="002F6705" w:rsidRPr="002F6705" w:rsidRDefault="002F6705" w:rsidP="002F6705">
            <w:pPr>
              <w:spacing w:before="0" w:after="0" w:line="273" w:lineRule="atLeast"/>
              <w:rPr>
                <w:rFonts w:ascii="Consolas" w:eastAsia="Times New Roman" w:hAnsi="Consolas" w:cs="Consolas"/>
                <w:color w:val="333333"/>
                <w:sz w:val="18"/>
                <w:szCs w:val="18"/>
              </w:rPr>
            </w:pPr>
            <w:r w:rsidRPr="002F6705">
              <w:rPr>
                <w:rFonts w:ascii="Consolas" w:eastAsia="Times New Roman" w:hAnsi="Consolas" w:cs="Consolas"/>
                <w:color w:val="333333"/>
                <w:sz w:val="18"/>
                <w:szCs w:val="18"/>
              </w:rPr>
              <w:t>"EnvironmentType" :"[parameters('environmentType')]"</w:t>
            </w:r>
          </w:p>
          <w:p w14:paraId="60157B7D" w14:textId="0CC74374" w:rsidR="002F6705" w:rsidRPr="00F82036" w:rsidRDefault="002F6705" w:rsidP="002F6705">
            <w:pPr>
              <w:spacing w:before="0" w:after="0" w:line="273" w:lineRule="atLeast"/>
              <w:rPr>
                <w:rFonts w:ascii="Consolas" w:eastAsia="Times New Roman" w:hAnsi="Consolas" w:cs="Consolas"/>
                <w:color w:val="333333"/>
                <w:sz w:val="18"/>
                <w:szCs w:val="18"/>
              </w:rPr>
            </w:pPr>
            <w:r w:rsidRPr="002F6705">
              <w:rPr>
                <w:rFonts w:ascii="Consolas" w:eastAsia="Times New Roman" w:hAnsi="Consolas" w:cs="Consolas"/>
                <w:color w:val="333333"/>
                <w:sz w:val="18"/>
                <w:szCs w:val="18"/>
              </w:rPr>
              <w:t>},</w:t>
            </w:r>
          </w:p>
        </w:tc>
      </w:tr>
    </w:tbl>
    <w:p w14:paraId="6F297EDB" w14:textId="77777777" w:rsidR="002F6705" w:rsidRDefault="002F6705" w:rsidP="00F82036">
      <w:pPr>
        <w:pStyle w:val="NormalWeb"/>
        <w:shd w:val="clear" w:color="auto" w:fill="FFFFFF"/>
        <w:rPr>
          <w:rFonts w:ascii="Segoe UI" w:hAnsi="Segoe UI" w:cs="Segoe UI"/>
          <w:sz w:val="22"/>
          <w:szCs w:val="22"/>
        </w:rPr>
      </w:pPr>
    </w:p>
    <w:p w14:paraId="54B8D920" w14:textId="7DBC7231" w:rsidR="00F82036" w:rsidRPr="001A33CC" w:rsidRDefault="00F82036" w:rsidP="00F82036">
      <w:pPr>
        <w:pStyle w:val="NormalWeb"/>
        <w:shd w:val="clear" w:color="auto" w:fill="FFFFFF"/>
        <w:rPr>
          <w:rFonts w:ascii="Segoe UI" w:eastAsiaTheme="minorEastAsia" w:hAnsi="Segoe UI" w:cstheme="minorBidi"/>
          <w:sz w:val="22"/>
          <w:szCs w:val="22"/>
        </w:rPr>
      </w:pPr>
      <w:r w:rsidRPr="001A33CC">
        <w:rPr>
          <w:rFonts w:ascii="Segoe UI" w:eastAsiaTheme="minorEastAsia" w:hAnsi="Segoe UI" w:cstheme="minorBidi"/>
          <w:sz w:val="22"/>
          <w:szCs w:val="22"/>
        </w:rPr>
        <w:t xml:space="preserve">Azure has many partners who have </w:t>
      </w:r>
      <w:r w:rsidR="001A33CC" w:rsidRPr="001A33CC">
        <w:rPr>
          <w:rFonts w:ascii="Segoe UI" w:eastAsiaTheme="minorEastAsia" w:hAnsi="Segoe UI" w:cstheme="minorBidi"/>
          <w:sz w:val="22"/>
          <w:szCs w:val="22"/>
        </w:rPr>
        <w:t>incorporated</w:t>
      </w:r>
      <w:r w:rsidRPr="001A33CC">
        <w:rPr>
          <w:rFonts w:ascii="Segoe UI" w:eastAsiaTheme="minorEastAsia" w:hAnsi="Segoe UI" w:cstheme="minorBidi"/>
          <w:sz w:val="22"/>
          <w:szCs w:val="22"/>
        </w:rPr>
        <w:t xml:space="preserve"> tags into their cost management solutions. Specifically, such as</w:t>
      </w:r>
      <w:r>
        <w:rPr>
          <w:rFonts w:ascii="Segoe UI" w:hAnsi="Segoe UI" w:cs="Segoe UI"/>
          <w:color w:val="666666"/>
          <w:sz w:val="22"/>
          <w:szCs w:val="22"/>
        </w:rPr>
        <w:t xml:space="preserve"> </w:t>
      </w:r>
      <w:hyperlink r:id="rId109" w:history="1">
        <w:r w:rsidRPr="00F82036">
          <w:rPr>
            <w:rStyle w:val="Hyperlink"/>
            <w:rFonts w:cs="Segoe UI"/>
            <w:color w:val="00ABEC"/>
            <w:szCs w:val="22"/>
          </w:rPr>
          <w:t>Apptio</w:t>
        </w:r>
      </w:hyperlink>
      <w:r>
        <w:rPr>
          <w:rFonts w:ascii="Segoe UI" w:hAnsi="Segoe UI" w:cs="Segoe UI"/>
          <w:color w:val="666666"/>
          <w:sz w:val="22"/>
          <w:szCs w:val="22"/>
        </w:rPr>
        <w:t xml:space="preserve">, </w:t>
      </w:r>
      <w:hyperlink r:id="rId110" w:history="1">
        <w:r w:rsidRPr="00F82036">
          <w:rPr>
            <w:rStyle w:val="Hyperlink"/>
            <w:rFonts w:cs="Segoe UI"/>
            <w:color w:val="00ABEC"/>
            <w:szCs w:val="22"/>
          </w:rPr>
          <w:t>Cloudability</w:t>
        </w:r>
      </w:hyperlink>
      <w:r>
        <w:rPr>
          <w:rFonts w:ascii="Segoe UI" w:hAnsi="Segoe UI" w:cs="Segoe UI"/>
          <w:color w:val="666666"/>
          <w:sz w:val="22"/>
          <w:szCs w:val="22"/>
        </w:rPr>
        <w:t xml:space="preserve">, </w:t>
      </w:r>
      <w:hyperlink r:id="rId111" w:history="1">
        <w:r w:rsidRPr="00F82036">
          <w:rPr>
            <w:rStyle w:val="Hyperlink"/>
            <w:rFonts w:cs="Segoe UI"/>
            <w:color w:val="00ABEC"/>
            <w:szCs w:val="22"/>
          </w:rPr>
          <w:t>Cloudyn</w:t>
        </w:r>
      </w:hyperlink>
      <w:r>
        <w:rPr>
          <w:rFonts w:ascii="Segoe UI" w:hAnsi="Segoe UI" w:cs="Segoe UI"/>
          <w:color w:val="666666"/>
          <w:sz w:val="22"/>
          <w:szCs w:val="22"/>
        </w:rPr>
        <w:t xml:space="preserve">, </w:t>
      </w:r>
      <w:hyperlink r:id="rId112" w:history="1">
        <w:r w:rsidRPr="00F82036">
          <w:rPr>
            <w:rStyle w:val="Hyperlink"/>
            <w:rFonts w:cs="Segoe UI"/>
            <w:color w:val="00ABEC"/>
            <w:szCs w:val="22"/>
          </w:rPr>
          <w:t>Cloud Cruiser</w:t>
        </w:r>
      </w:hyperlink>
      <w:r>
        <w:rPr>
          <w:rFonts w:ascii="Segoe UI" w:hAnsi="Segoe UI" w:cs="Segoe UI"/>
          <w:color w:val="666666"/>
          <w:sz w:val="22"/>
          <w:szCs w:val="22"/>
        </w:rPr>
        <w:t xml:space="preserve">, </w:t>
      </w:r>
      <w:hyperlink r:id="rId113" w:history="1">
        <w:r w:rsidRPr="00F82036">
          <w:rPr>
            <w:rStyle w:val="Hyperlink"/>
            <w:rFonts w:cs="Segoe UI"/>
            <w:color w:val="00ABEC"/>
            <w:szCs w:val="22"/>
          </w:rPr>
          <w:t>Hanu Insight</w:t>
        </w:r>
      </w:hyperlink>
      <w:r>
        <w:rPr>
          <w:rFonts w:ascii="Segoe UI" w:hAnsi="Segoe UI" w:cs="Segoe UI"/>
          <w:color w:val="666666"/>
          <w:sz w:val="22"/>
          <w:szCs w:val="22"/>
        </w:rPr>
        <w:t xml:space="preserve"> </w:t>
      </w:r>
      <w:r w:rsidRPr="001A33CC">
        <w:rPr>
          <w:rFonts w:ascii="Segoe UI" w:eastAsiaTheme="minorEastAsia" w:hAnsi="Segoe UI" w:cstheme="minorBidi"/>
          <w:sz w:val="22"/>
          <w:szCs w:val="22"/>
        </w:rPr>
        <w:t xml:space="preserve">and </w:t>
      </w:r>
      <w:hyperlink r:id="rId114" w:history="1">
        <w:r w:rsidRPr="00F82036">
          <w:rPr>
            <w:rStyle w:val="Hyperlink"/>
            <w:rFonts w:cs="Segoe UI"/>
            <w:color w:val="00ABEC"/>
            <w:szCs w:val="22"/>
          </w:rPr>
          <w:t>RightScale</w:t>
        </w:r>
      </w:hyperlink>
      <w:r>
        <w:rPr>
          <w:rFonts w:ascii="Segoe UI" w:hAnsi="Segoe UI" w:cs="Segoe UI"/>
          <w:color w:val="666666"/>
          <w:sz w:val="22"/>
          <w:szCs w:val="22"/>
        </w:rPr>
        <w:t xml:space="preserve"> </w:t>
      </w:r>
      <w:r w:rsidRPr="001A33CC">
        <w:rPr>
          <w:rFonts w:ascii="Segoe UI" w:eastAsiaTheme="minorEastAsia" w:hAnsi="Segoe UI" w:cstheme="minorBidi"/>
          <w:sz w:val="22"/>
          <w:szCs w:val="22"/>
        </w:rPr>
        <w:t>are leveraging tags in their products</w:t>
      </w:r>
      <w:r w:rsidR="002F6705" w:rsidRPr="001A33CC">
        <w:rPr>
          <w:rFonts w:ascii="Segoe UI" w:eastAsiaTheme="minorEastAsia" w:hAnsi="Segoe UI" w:cstheme="minorBidi"/>
          <w:sz w:val="22"/>
          <w:szCs w:val="22"/>
        </w:rPr>
        <w:t>.</w:t>
      </w:r>
    </w:p>
    <w:p w14:paraId="2CE8DE89" w14:textId="4C2F2255" w:rsidR="00F82036" w:rsidRDefault="00F82036" w:rsidP="0048262A"/>
    <w:p w14:paraId="6C2F163E" w14:textId="5361C962" w:rsidR="009065A3" w:rsidRDefault="00F21AE3" w:rsidP="005729D2">
      <w:pPr>
        <w:pStyle w:val="Heading1Numbered"/>
        <w:numPr>
          <w:ilvl w:val="0"/>
          <w:numId w:val="64"/>
        </w:numPr>
      </w:pPr>
      <w:bookmarkStart w:id="1575" w:name="_Toc414892087"/>
      <w:bookmarkStart w:id="1576" w:name="_Toc414960113"/>
      <w:bookmarkStart w:id="1577" w:name="_Toc414969084"/>
      <w:bookmarkStart w:id="1578" w:name="_Toc415011306"/>
      <w:bookmarkStart w:id="1579" w:name="_Toc415039996"/>
      <w:bookmarkStart w:id="1580" w:name="_Toc415572351"/>
      <w:bookmarkStart w:id="1581" w:name="_Toc415735521"/>
      <w:bookmarkStart w:id="1582" w:name="_Toc415814102"/>
      <w:bookmarkStart w:id="1583" w:name="_Toc416343837"/>
      <w:bookmarkStart w:id="1584" w:name="_Toc416863108"/>
      <w:bookmarkStart w:id="1585" w:name="_Toc417314714"/>
      <w:bookmarkStart w:id="1586" w:name="_Toc417323731"/>
      <w:bookmarkStart w:id="1587" w:name="_Toc417326820"/>
      <w:bookmarkStart w:id="1588" w:name="_Toc417330368"/>
      <w:bookmarkStart w:id="1589" w:name="_Toc417394974"/>
      <w:bookmarkStart w:id="1590" w:name="_Toc417399191"/>
      <w:bookmarkStart w:id="1591" w:name="_Toc417399350"/>
      <w:bookmarkStart w:id="1592" w:name="_Toc417400397"/>
      <w:bookmarkStart w:id="1593" w:name="_Toc417401245"/>
      <w:bookmarkStart w:id="1594" w:name="_Toc417419558"/>
      <w:bookmarkStart w:id="1595" w:name="_Toc417457330"/>
      <w:bookmarkStart w:id="1596" w:name="_Toc417481908"/>
      <w:bookmarkStart w:id="1597" w:name="_Toc417482166"/>
      <w:bookmarkStart w:id="1598" w:name="_Toc417499885"/>
      <w:bookmarkStart w:id="1599" w:name="_Toc417502707"/>
      <w:bookmarkStart w:id="1600" w:name="_Toc417548247"/>
      <w:bookmarkStart w:id="1601" w:name="_Toc417594479"/>
      <w:bookmarkStart w:id="1602" w:name="_Toc417934377"/>
      <w:bookmarkStart w:id="1603" w:name="_Toc417935716"/>
      <w:bookmarkStart w:id="1604" w:name="_Toc417936178"/>
      <w:bookmarkStart w:id="1605" w:name="_Toc417946832"/>
      <w:bookmarkStart w:id="1606" w:name="_Toc417982449"/>
      <w:bookmarkStart w:id="1607" w:name="_Toc417985874"/>
      <w:bookmarkStart w:id="1608" w:name="_Toc418000595"/>
      <w:bookmarkStart w:id="1609" w:name="_Toc418003738"/>
      <w:bookmarkStart w:id="1610" w:name="_Toc418011943"/>
      <w:bookmarkStart w:id="1611" w:name="_Toc418014591"/>
      <w:bookmarkStart w:id="1612" w:name="_Toc418029927"/>
      <w:bookmarkStart w:id="1613" w:name="_Toc418036863"/>
      <w:bookmarkStart w:id="1614" w:name="_Toc418061328"/>
      <w:bookmarkStart w:id="1615" w:name="_Toc418080677"/>
      <w:bookmarkStart w:id="1616" w:name="_Toc418081850"/>
      <w:bookmarkStart w:id="1617" w:name="_Toc418083252"/>
      <w:bookmarkStart w:id="1618" w:name="_Toc418095472"/>
      <w:bookmarkStart w:id="1619" w:name="_Toc418156642"/>
      <w:bookmarkStart w:id="1620" w:name="_Toc418167561"/>
      <w:bookmarkStart w:id="1621" w:name="_Toc418185818"/>
      <w:bookmarkStart w:id="1622" w:name="_Toc422941526"/>
      <w:bookmarkStart w:id="1623" w:name="_Toc423116732"/>
      <w:bookmarkStart w:id="1624" w:name="_Toc423117765"/>
      <w:bookmarkStart w:id="1625" w:name="_Toc423117215"/>
      <w:bookmarkStart w:id="1626" w:name="_Toc43128880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r>
        <w:t>Microsoft Azure Storage</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6C2F163F" w14:textId="41F29CBD" w:rsidR="0074583B" w:rsidRDefault="0074583B" w:rsidP="005729D2">
      <w:pPr>
        <w:pStyle w:val="Heading2Numbered"/>
        <w:numPr>
          <w:ilvl w:val="1"/>
          <w:numId w:val="64"/>
        </w:numPr>
      </w:pPr>
      <w:bookmarkStart w:id="1627" w:name="_Toc414892088"/>
      <w:bookmarkStart w:id="1628" w:name="_Toc414960114"/>
      <w:bookmarkStart w:id="1629" w:name="_Toc414969085"/>
      <w:bookmarkStart w:id="1630" w:name="_Toc415011307"/>
      <w:bookmarkStart w:id="1631" w:name="_Toc415039997"/>
      <w:bookmarkStart w:id="1632" w:name="_Toc415572352"/>
      <w:bookmarkStart w:id="1633" w:name="_Toc415735522"/>
      <w:bookmarkStart w:id="1634" w:name="_Toc415814103"/>
      <w:bookmarkStart w:id="1635" w:name="_Toc416343838"/>
      <w:bookmarkStart w:id="1636" w:name="_Toc416863109"/>
      <w:bookmarkStart w:id="1637" w:name="_Toc417314715"/>
      <w:bookmarkStart w:id="1638" w:name="_Toc417323732"/>
      <w:bookmarkStart w:id="1639" w:name="_Toc417326821"/>
      <w:bookmarkStart w:id="1640" w:name="_Toc417330369"/>
      <w:bookmarkStart w:id="1641" w:name="_Toc417394975"/>
      <w:bookmarkStart w:id="1642" w:name="_Toc417399192"/>
      <w:bookmarkStart w:id="1643" w:name="_Toc417399351"/>
      <w:bookmarkStart w:id="1644" w:name="_Toc417400398"/>
      <w:bookmarkStart w:id="1645" w:name="_Toc417401246"/>
      <w:bookmarkStart w:id="1646" w:name="_Toc417419559"/>
      <w:bookmarkStart w:id="1647" w:name="_Toc417457331"/>
      <w:bookmarkStart w:id="1648" w:name="_Toc417481909"/>
      <w:bookmarkStart w:id="1649" w:name="_Toc417482167"/>
      <w:bookmarkStart w:id="1650" w:name="_Toc417499886"/>
      <w:bookmarkStart w:id="1651" w:name="_Toc417502708"/>
      <w:bookmarkStart w:id="1652" w:name="_Toc417548248"/>
      <w:bookmarkStart w:id="1653" w:name="_Toc417594480"/>
      <w:bookmarkStart w:id="1654" w:name="_Toc417934378"/>
      <w:bookmarkStart w:id="1655" w:name="_Toc417935717"/>
      <w:bookmarkStart w:id="1656" w:name="_Toc417936179"/>
      <w:bookmarkStart w:id="1657" w:name="_Toc417946833"/>
      <w:bookmarkStart w:id="1658" w:name="_Toc417982450"/>
      <w:bookmarkStart w:id="1659" w:name="_Toc417985875"/>
      <w:bookmarkStart w:id="1660" w:name="_Toc418000596"/>
      <w:bookmarkStart w:id="1661" w:name="_Toc418003739"/>
      <w:bookmarkStart w:id="1662" w:name="_Toc418011944"/>
      <w:bookmarkStart w:id="1663" w:name="_Toc418014592"/>
      <w:bookmarkStart w:id="1664" w:name="_Toc418029928"/>
      <w:bookmarkStart w:id="1665" w:name="_Toc418036864"/>
      <w:bookmarkStart w:id="1666" w:name="_Toc418061329"/>
      <w:bookmarkStart w:id="1667" w:name="_Toc418080678"/>
      <w:bookmarkStart w:id="1668" w:name="_Toc418081851"/>
      <w:bookmarkStart w:id="1669" w:name="_Toc418083253"/>
      <w:bookmarkStart w:id="1670" w:name="_Toc418095473"/>
      <w:bookmarkStart w:id="1671" w:name="_Toc418156643"/>
      <w:bookmarkStart w:id="1672" w:name="_Toc418167562"/>
      <w:bookmarkStart w:id="1673" w:name="_Toc418185819"/>
      <w:bookmarkStart w:id="1674" w:name="_Toc422941527"/>
      <w:bookmarkStart w:id="1675" w:name="_Toc423116733"/>
      <w:bookmarkStart w:id="1676" w:name="_Toc423117766"/>
      <w:bookmarkStart w:id="1677" w:name="_Toc423117216"/>
      <w:bookmarkStart w:id="1678" w:name="_Toc431288809"/>
      <w:r>
        <w:t>Microsoft Azure Storage Services Overview</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2CD16634" w14:textId="6377A57D" w:rsidR="00A4428E" w:rsidRDefault="006947FD" w:rsidP="00A4428E">
      <w:r w:rsidRPr="006947FD">
        <w:t>Every</w:t>
      </w:r>
      <w:r w:rsidR="00A4428E" w:rsidRPr="006947FD">
        <w:t xml:space="preserve"> solution deployed in </w:t>
      </w:r>
      <w:r w:rsidR="00A4428E">
        <w:t xml:space="preserve">Microsoft </w:t>
      </w:r>
      <w:r w:rsidR="00A4428E" w:rsidRPr="006947FD">
        <w:t xml:space="preserve">Azure leverages an aspect of Azure </w:t>
      </w:r>
      <w:r w:rsidR="00A4428E">
        <w:t>S</w:t>
      </w:r>
      <w:r w:rsidR="00A4428E" w:rsidRPr="006947FD">
        <w:t xml:space="preserve">torage, making </w:t>
      </w:r>
      <w:r w:rsidR="00A4428E">
        <w:t xml:space="preserve">storage a common component and critical to </w:t>
      </w:r>
      <w:r w:rsidR="00A4428E" w:rsidRPr="006947FD">
        <w:t xml:space="preserve">planning </w:t>
      </w:r>
      <w:r w:rsidR="00A4428E">
        <w:t>any Azure-based solution design. The s</w:t>
      </w:r>
      <w:r w:rsidR="00A4428E" w:rsidRPr="006947FD">
        <w:t xml:space="preserve">torage planning considerations covered </w:t>
      </w:r>
      <w:r w:rsidR="00A4428E">
        <w:t xml:space="preserve">in this section </w:t>
      </w:r>
      <w:r w:rsidR="00A4428E" w:rsidRPr="006947FD">
        <w:t>include</w:t>
      </w:r>
      <w:r w:rsidR="00A4428E">
        <w:t>:</w:t>
      </w:r>
      <w:r w:rsidR="00A4428E" w:rsidRPr="006947FD">
        <w:t xml:space="preserve"> </w:t>
      </w:r>
    </w:p>
    <w:p w14:paraId="784AAAA2" w14:textId="77777777" w:rsidR="00A4428E" w:rsidRDefault="00A4428E" w:rsidP="005729D2">
      <w:pPr>
        <w:pStyle w:val="ListParagraph"/>
        <w:numPr>
          <w:ilvl w:val="0"/>
          <w:numId w:val="252"/>
        </w:numPr>
      </w:pPr>
      <w:r>
        <w:t>D</w:t>
      </w:r>
      <w:r w:rsidRPr="006947FD">
        <w:t xml:space="preserve">esigning Azure </w:t>
      </w:r>
      <w:r>
        <w:t>S</w:t>
      </w:r>
      <w:r w:rsidRPr="006947FD">
        <w:t>torage solutions</w:t>
      </w:r>
      <w:r>
        <w:t>,</w:t>
      </w:r>
      <w:r w:rsidRPr="006947FD">
        <w:t xml:space="preserve"> which account for the service and application use cases</w:t>
      </w:r>
      <w:r>
        <w:t>,</w:t>
      </w:r>
      <w:r w:rsidRPr="006947FD">
        <w:t xml:space="preserve"> impact storage account quantity, type of storage leveraged, loca</w:t>
      </w:r>
      <w:r>
        <w:t xml:space="preserve">tions, and availability models. </w:t>
      </w:r>
    </w:p>
    <w:p w14:paraId="63810F92" w14:textId="77777777" w:rsidR="00A4428E" w:rsidRDefault="00A4428E" w:rsidP="005729D2">
      <w:pPr>
        <w:pStyle w:val="ListParagraph"/>
        <w:numPr>
          <w:ilvl w:val="0"/>
          <w:numId w:val="252"/>
        </w:numPr>
      </w:pPr>
      <w:r>
        <w:t xml:space="preserve">Planning considerations including </w:t>
      </w:r>
      <w:r w:rsidRPr="006947FD">
        <w:t>the types of workloads, the method of access (internal, external</w:t>
      </w:r>
      <w:r>
        <w:t>,</w:t>
      </w:r>
      <w:r w:rsidRPr="006947FD">
        <w:t xml:space="preserve"> or peered) and storage account security</w:t>
      </w:r>
      <w:r>
        <w:t xml:space="preserve">. </w:t>
      </w:r>
    </w:p>
    <w:p w14:paraId="693F44A7" w14:textId="77777777" w:rsidR="00A4428E" w:rsidRDefault="00A4428E" w:rsidP="005729D2">
      <w:pPr>
        <w:pStyle w:val="ListParagraph"/>
        <w:numPr>
          <w:ilvl w:val="0"/>
          <w:numId w:val="252"/>
        </w:numPr>
      </w:pPr>
      <w:r>
        <w:t>C</w:t>
      </w:r>
      <w:r w:rsidRPr="006947FD">
        <w:t xml:space="preserve">onsiderations surrounding cloud-integrated storage </w:t>
      </w:r>
      <w:r>
        <w:t xml:space="preserve">solutions including Azure Backup, System Center Data Protection Manager, StorSimple, and </w:t>
      </w:r>
      <w:r w:rsidRPr="006947FD">
        <w:t xml:space="preserve">third-party tools and solutions </w:t>
      </w:r>
      <w:r>
        <w:t xml:space="preserve">that </w:t>
      </w:r>
      <w:r w:rsidRPr="006947FD">
        <w:t xml:space="preserve">leverage Azure </w:t>
      </w:r>
      <w:r>
        <w:t>S</w:t>
      </w:r>
      <w:r w:rsidRPr="006947FD">
        <w:t xml:space="preserve">torage. </w:t>
      </w:r>
    </w:p>
    <w:p w14:paraId="6D0532D2" w14:textId="3B39BB18" w:rsidR="006947FD" w:rsidRPr="006947FD" w:rsidRDefault="00A4428E" w:rsidP="00A4428E">
      <w:r>
        <w:t xml:space="preserve">Managing, monitoring, and </w:t>
      </w:r>
      <w:r w:rsidRPr="006947FD">
        <w:t>troubleshooting topics</w:t>
      </w:r>
      <w:r>
        <w:t>,</w:t>
      </w:r>
      <w:r w:rsidRPr="006947FD">
        <w:t xml:space="preserve"> including storage throttling behaviors, storage analytics</w:t>
      </w:r>
      <w:r>
        <w:t>,</w:t>
      </w:r>
      <w:r w:rsidRPr="006947FD">
        <w:t xml:space="preserve"> and IaaS virtual machine considerations</w:t>
      </w:r>
      <w:r>
        <w:t>,</w:t>
      </w:r>
      <w:r w:rsidRPr="006947FD">
        <w:t xml:space="preserve"> including I/O profiles and maintaining disk consistency within workloads</w:t>
      </w:r>
      <w:r w:rsidR="006947FD" w:rsidRPr="006947FD">
        <w:t xml:space="preserve">. </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C20EEC" w14:paraId="72F6EDDB" w14:textId="77777777" w:rsidTr="0091783A">
        <w:trPr>
          <w:trHeight w:val="423"/>
        </w:trPr>
        <w:tc>
          <w:tcPr>
            <w:tcW w:w="666" w:type="dxa"/>
          </w:tcPr>
          <w:p w14:paraId="5740BDA9" w14:textId="77777777" w:rsidR="00C20EEC" w:rsidRDefault="00C20EEC" w:rsidP="0091783A">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365376" behindDoc="0" locked="0" layoutInCell="1" allowOverlap="1" wp14:anchorId="060FD051" wp14:editId="3D5CD2A7">
                      <wp:simplePos x="0" y="0"/>
                      <wp:positionH relativeFrom="column">
                        <wp:posOffset>66675</wp:posOffset>
                      </wp:positionH>
                      <wp:positionV relativeFrom="paragraph">
                        <wp:posOffset>90170</wp:posOffset>
                      </wp:positionV>
                      <wp:extent cx="209550" cy="180975"/>
                      <wp:effectExtent l="57150" t="19050" r="57150" b="104775"/>
                      <wp:wrapNone/>
                      <wp:docPr id="41063" name="Isosceles Triangle 410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2853B39C" id="Isosceles Triangle 41063" o:spid="_x0000_s1026" type="#_x0000_t5" style="position:absolute;margin-left:5.25pt;margin-top:7.1pt;width:16.5pt;height:14.25pt;z-index:25136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t0oiQIAAHcFAAAOAAAAZHJzL2Uyb0RvYy54bWysVNtqGzEQfS/0H4Tem9117FyWrINJcAmY&#10;xDQpeZa1ki2q1aiSfOvXd6S9JE0DgdJ9EJqdM6O5nJmr60OjyU44r8BUtDjJKRGGQ63MuqLfn+Zf&#10;LijxgZmaaTCiokfh6fX086ervS3FCDaga+EIOjG+3NuKbkKwZZZ5vhEN8ydghUGlBNewgKJbZ7Vj&#10;e/Te6GyU52fZHlxtHXDhPf69bZV0mvxLKXh4kNKLQHRFMbaQTpfOVTyz6RUr147ZjeJdGOwfomiY&#10;Mvjo4OqWBUa2Tv3lqlHcgQcZTjg0GUipuEg5YDZF/iabxw2zIuWCxfF2KJP/f275/W7piKorOi7y&#10;s1NKDGuwTXcePBdaePLkFDNrLUirx3rtrS/R7NEuXczY2wXwHx4V2R+aKPgOc5CuiVjMlxxS8Y9D&#10;8cUhEI4/R/nlZIIt4qgqLvLL80lsTsbK3tg6H74KaEi8VDR0gaWys93Chxbew1JsoFU9V1onwa1X&#10;N9qRHUMuzPHLU/vxBf8CSzm0YacEwlGLaKzNNyGxThhokV5MDBWDP8a5MOGsCzmho5nEtwfD048N&#10;O3w0FYm9g/HoY+PBIr0MJgzGjTLg3nOgQ9GFLFt810Xf5h1LsIL6iBRx0M6Ot3yusAEL5sOSORwW&#10;7BkugPCAh9Swryh0N0o24H699z/ikcOopWSPw1dR/3PLnKBE3xlk92UxHsdpTcJ4cj5Cwb3WrF5r&#10;zLa5AexpgavG8nSN+KD7q3TQPOOemMVXUcUMx7cryoPrhZvQLgXcNFzMZgmGE2pZWJhHy/uuR3I9&#10;HZ6Zsz0Lkb730A8qK98QscXGfhiYbQNIlVj6Uteu3jjdievdJorr47WcUC/7cvobAAD//wMAUEsD&#10;BBQABgAIAAAAIQA1PEIw2QAAAAcBAAAPAAAAZHJzL2Rvd25yZXYueG1sTI7NTsMwEITvSLyDtUhc&#10;UOuQhrYKcSqEkiOqKDyAE29+hL2OYrcNb89ygtNoNKOZrzgszooLzmH0pOBxnYBAar0ZqVfw+VGv&#10;9iBC1GS09YQKvjHAoby9KXRu/JXe8XKKveARCrlWMMQ45VKGdkCnw9pPSJx1fnY6sp17aWZ95XFn&#10;ZZokW+n0SPww6AlfB2y/TmenwDfLsdvUu/1D7Sb71lVV5o6VUvd3y8sziIhL/CvDLz6jQ8lMjT+T&#10;CcKyT564yZqlIDjPNuwb1nQHsizkf/7yBwAA//8DAFBLAQItABQABgAIAAAAIQC2gziS/gAAAOEB&#10;AAATAAAAAAAAAAAAAAAAAAAAAABbQ29udGVudF9UeXBlc10ueG1sUEsBAi0AFAAGAAgAAAAhADj9&#10;If/WAAAAlAEAAAsAAAAAAAAAAAAAAAAALwEAAF9yZWxzLy5yZWxzUEsBAi0AFAAGAAgAAAAhAKI+&#10;3SiJAgAAdwUAAA4AAAAAAAAAAAAAAAAALgIAAGRycy9lMm9Eb2MueG1sUEsBAi0AFAAGAAgAAAAh&#10;ADU8QjDZAAAABwEAAA8AAAAAAAAAAAAAAAAA4wQAAGRycy9kb3ducmV2LnhtbFBLBQYAAAAABAAE&#10;APMAAADpBQAAAAA=&#10;" fillcolor="yellow" strokecolor="#70ad47 [3209]" strokeweight=".5pt">
                      <v:path arrowok="t"/>
                    </v:shape>
                  </w:pict>
                </mc:Fallback>
              </mc:AlternateContent>
            </w:r>
          </w:p>
        </w:tc>
        <w:tc>
          <w:tcPr>
            <w:tcW w:w="8604" w:type="dxa"/>
          </w:tcPr>
          <w:p w14:paraId="69B8D602" w14:textId="6206698F" w:rsidR="00C20EEC" w:rsidRDefault="00C20EEC" w:rsidP="00C20EEC">
            <w:pPr>
              <w:rPr>
                <w:lang w:eastAsia="en-US"/>
              </w:rPr>
            </w:pPr>
            <w:r>
              <w:rPr>
                <w:rFonts w:eastAsiaTheme="minorHAnsi"/>
                <w:b/>
                <w:lang w:eastAsia="en-US"/>
              </w:rPr>
              <w:t xml:space="preserve">Recommended: </w:t>
            </w:r>
            <w:r>
              <w:rPr>
                <w:rFonts w:eastAsiaTheme="minorHAnsi"/>
                <w:lang w:eastAsia="en-US"/>
              </w:rPr>
              <w:t xml:space="preserve"> </w:t>
            </w:r>
            <w:r w:rsidR="00A4428E">
              <w:rPr>
                <w:rFonts w:eastAsiaTheme="minorHAnsi"/>
                <w:lang w:eastAsia="en-US"/>
              </w:rPr>
              <w:t xml:space="preserve">For organizations that are </w:t>
            </w:r>
            <w:r w:rsidR="00A4428E" w:rsidRPr="0031475C">
              <w:rPr>
                <w:rFonts w:eastAsiaTheme="minorHAnsi"/>
                <w:lang w:eastAsia="en-US"/>
              </w:rPr>
              <w:t>new</w:t>
            </w:r>
            <w:r w:rsidR="00A4428E">
              <w:rPr>
                <w:rFonts w:eastAsiaTheme="minorHAnsi"/>
                <w:lang w:eastAsia="en-US"/>
              </w:rPr>
              <w:t xml:space="preserve"> to Azure Storage, it is often helpful to draw comparisons to private cloud storage or traditional SAN storage as a way to understand some of the basic concepts required in an Azure Storage design</w:t>
            </w:r>
            <w:r w:rsidR="00A4428E" w:rsidDel="00024D04">
              <w:rPr>
                <w:rFonts w:eastAsiaTheme="minorHAnsi"/>
                <w:lang w:eastAsia="en-US"/>
              </w:rPr>
              <w:t xml:space="preserve"> </w:t>
            </w:r>
            <w:r w:rsidR="00A4428E">
              <w:rPr>
                <w:rFonts w:eastAsiaTheme="minorHAnsi"/>
                <w:lang w:eastAsia="en-US"/>
              </w:rPr>
              <w:t>(for example, compare BLOB storage account to a LUN</w:t>
            </w:r>
            <w:r w:rsidR="00024D04">
              <w:rPr>
                <w:rFonts w:eastAsiaTheme="minorHAnsi"/>
                <w:lang w:eastAsia="en-US"/>
              </w:rPr>
              <w:t>).</w:t>
            </w:r>
          </w:p>
        </w:tc>
      </w:tr>
    </w:tbl>
    <w:p w14:paraId="6C2F1641" w14:textId="77777777" w:rsidR="003F2102" w:rsidRDefault="0074583B" w:rsidP="005729D2">
      <w:pPr>
        <w:pStyle w:val="Heading2Numbered"/>
        <w:numPr>
          <w:ilvl w:val="1"/>
          <w:numId w:val="64"/>
        </w:numPr>
      </w:pPr>
      <w:bookmarkStart w:id="1679" w:name="_Toc414892089"/>
      <w:bookmarkStart w:id="1680" w:name="_Toc414960115"/>
      <w:bookmarkStart w:id="1681" w:name="_Toc414969086"/>
      <w:bookmarkStart w:id="1682" w:name="_Toc415011308"/>
      <w:bookmarkStart w:id="1683" w:name="_Toc415039998"/>
      <w:bookmarkStart w:id="1684" w:name="_Toc415572353"/>
      <w:bookmarkStart w:id="1685" w:name="_Toc415735523"/>
      <w:bookmarkStart w:id="1686" w:name="_Toc415814104"/>
      <w:bookmarkStart w:id="1687" w:name="_Toc416343839"/>
      <w:bookmarkStart w:id="1688" w:name="_Toc416863110"/>
      <w:bookmarkStart w:id="1689" w:name="_Toc417314716"/>
      <w:bookmarkStart w:id="1690" w:name="_Toc417323733"/>
      <w:bookmarkStart w:id="1691" w:name="_Toc417326822"/>
      <w:bookmarkStart w:id="1692" w:name="_Toc417330370"/>
      <w:bookmarkStart w:id="1693" w:name="_Toc417394976"/>
      <w:bookmarkStart w:id="1694" w:name="_Toc417399193"/>
      <w:bookmarkStart w:id="1695" w:name="_Toc417399352"/>
      <w:bookmarkStart w:id="1696" w:name="_Toc417400399"/>
      <w:bookmarkStart w:id="1697" w:name="_Toc417401247"/>
      <w:bookmarkStart w:id="1698" w:name="_Toc417419560"/>
      <w:bookmarkStart w:id="1699" w:name="_Toc417457332"/>
      <w:bookmarkStart w:id="1700" w:name="_Toc417481910"/>
      <w:bookmarkStart w:id="1701" w:name="_Toc417482168"/>
      <w:bookmarkStart w:id="1702" w:name="_Toc417499887"/>
      <w:bookmarkStart w:id="1703" w:name="_Toc417502709"/>
      <w:bookmarkStart w:id="1704" w:name="_Toc417548249"/>
      <w:bookmarkStart w:id="1705" w:name="_Toc417594481"/>
      <w:bookmarkStart w:id="1706" w:name="_Toc417934379"/>
      <w:bookmarkStart w:id="1707" w:name="_Toc417935718"/>
      <w:bookmarkStart w:id="1708" w:name="_Toc417936180"/>
      <w:bookmarkStart w:id="1709" w:name="_Toc417946834"/>
      <w:bookmarkStart w:id="1710" w:name="_Toc417982451"/>
      <w:bookmarkStart w:id="1711" w:name="_Toc417985876"/>
      <w:bookmarkStart w:id="1712" w:name="_Toc418000597"/>
      <w:bookmarkStart w:id="1713" w:name="_Toc418003740"/>
      <w:bookmarkStart w:id="1714" w:name="_Toc418011945"/>
      <w:bookmarkStart w:id="1715" w:name="_Toc418014593"/>
      <w:bookmarkStart w:id="1716" w:name="_Toc418029929"/>
      <w:bookmarkStart w:id="1717" w:name="_Toc418036865"/>
      <w:bookmarkStart w:id="1718" w:name="_Toc418061330"/>
      <w:bookmarkStart w:id="1719" w:name="_Toc418080679"/>
      <w:bookmarkStart w:id="1720" w:name="_Toc418081852"/>
      <w:bookmarkStart w:id="1721" w:name="_Toc418083254"/>
      <w:bookmarkStart w:id="1722" w:name="_Toc418095474"/>
      <w:bookmarkStart w:id="1723" w:name="_Toc418156644"/>
      <w:bookmarkStart w:id="1724" w:name="_Toc418167563"/>
      <w:bookmarkStart w:id="1725" w:name="_Toc418185820"/>
      <w:bookmarkStart w:id="1726" w:name="_Toc422941528"/>
      <w:bookmarkStart w:id="1727" w:name="_Toc423116734"/>
      <w:bookmarkStart w:id="1728" w:name="_Toc423117767"/>
      <w:bookmarkStart w:id="1729" w:name="_Toc423117217"/>
      <w:bookmarkStart w:id="1730" w:name="_Toc431288810"/>
      <w:r>
        <w:t>Storage Planning</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48EDA799" w14:textId="07A5A4DE" w:rsidR="00C20EEC" w:rsidRPr="00C20EEC" w:rsidRDefault="00C20EEC" w:rsidP="00C20EEC">
      <w:r>
        <w:t>Planning</w:t>
      </w:r>
      <w:r w:rsidR="00A4428E">
        <w:t xml:space="preserve"> the storage account infrastructure is perhaps the most important step of any Microsoft Azure deployment because it sets the foundation for performance, scalability and functionality. It is first necessary to understand the two </w:t>
      </w:r>
      <w:r w:rsidR="00A4428E" w:rsidRPr="007D7E1D">
        <w:t>types</w:t>
      </w:r>
      <w:r w:rsidR="00A4428E">
        <w:t xml:space="preserve"> of storage accounts (standard and premium) and the </w:t>
      </w:r>
      <w:r w:rsidR="00A4428E" w:rsidRPr="007D7E1D">
        <w:t>services</w:t>
      </w:r>
      <w:r w:rsidR="00A4428E">
        <w:t xml:space="preserve"> available within each type of account. The following sections outline the differences at a high level</w:t>
      </w:r>
      <w:r w:rsidR="005C4D93">
        <w:t>.</w:t>
      </w:r>
      <w:r w:rsidR="005D6054">
        <w:t xml:space="preserve">  </w:t>
      </w:r>
    </w:p>
    <w:p w14:paraId="6441C603" w14:textId="012C8AE1" w:rsidR="006E0F77" w:rsidRDefault="00B66D4F" w:rsidP="005729D2">
      <w:pPr>
        <w:pStyle w:val="Heading3Numbered"/>
        <w:numPr>
          <w:ilvl w:val="2"/>
          <w:numId w:val="64"/>
        </w:numPr>
      </w:pPr>
      <w:bookmarkStart w:id="1731" w:name="_Toc414892090"/>
      <w:bookmarkStart w:id="1732" w:name="_Toc414960116"/>
      <w:bookmarkStart w:id="1733" w:name="_Toc414969087"/>
      <w:bookmarkStart w:id="1734" w:name="_Toc415011309"/>
      <w:bookmarkStart w:id="1735" w:name="_Toc415039999"/>
      <w:bookmarkStart w:id="1736" w:name="_Toc415572354"/>
      <w:bookmarkStart w:id="1737" w:name="_Toc415735524"/>
      <w:bookmarkStart w:id="1738" w:name="_Toc415814105"/>
      <w:bookmarkStart w:id="1739" w:name="_Toc416343840"/>
      <w:bookmarkStart w:id="1740" w:name="_Toc416863111"/>
      <w:bookmarkStart w:id="1741" w:name="_Toc417314717"/>
      <w:bookmarkStart w:id="1742" w:name="_Toc417323734"/>
      <w:bookmarkStart w:id="1743" w:name="_Toc417326823"/>
      <w:bookmarkStart w:id="1744" w:name="_Toc417330371"/>
      <w:bookmarkStart w:id="1745" w:name="_Toc417419561"/>
      <w:bookmarkStart w:id="1746" w:name="_Toc417457333"/>
      <w:bookmarkStart w:id="1747" w:name="_Toc417481911"/>
      <w:bookmarkStart w:id="1748" w:name="_Toc417482169"/>
      <w:bookmarkStart w:id="1749" w:name="_Toc417499888"/>
      <w:bookmarkStart w:id="1750" w:name="_Toc417502710"/>
      <w:bookmarkStart w:id="1751" w:name="_Toc417548250"/>
      <w:bookmarkStart w:id="1752" w:name="_Toc417594482"/>
      <w:bookmarkStart w:id="1753" w:name="_Toc417934380"/>
      <w:bookmarkStart w:id="1754" w:name="_Toc417935719"/>
      <w:bookmarkStart w:id="1755" w:name="_Toc417936181"/>
      <w:bookmarkStart w:id="1756" w:name="_Toc417946835"/>
      <w:bookmarkStart w:id="1757" w:name="_Toc417982452"/>
      <w:bookmarkStart w:id="1758" w:name="_Toc417985877"/>
      <w:bookmarkStart w:id="1759" w:name="_Toc418000598"/>
      <w:bookmarkStart w:id="1760" w:name="_Toc418003741"/>
      <w:bookmarkStart w:id="1761" w:name="_Toc418011946"/>
      <w:bookmarkStart w:id="1762" w:name="_Toc418014594"/>
      <w:bookmarkStart w:id="1763" w:name="_Toc418029930"/>
      <w:bookmarkStart w:id="1764" w:name="_Toc418036866"/>
      <w:bookmarkStart w:id="1765" w:name="_Toc418061331"/>
      <w:bookmarkStart w:id="1766" w:name="_Toc418080680"/>
      <w:bookmarkStart w:id="1767" w:name="_Toc418081853"/>
      <w:bookmarkStart w:id="1768" w:name="_Toc418083255"/>
      <w:bookmarkStart w:id="1769" w:name="_Toc418095475"/>
      <w:bookmarkStart w:id="1770" w:name="_Toc418156645"/>
      <w:bookmarkStart w:id="1771" w:name="_Toc418167564"/>
      <w:bookmarkStart w:id="1772" w:name="_Toc418185821"/>
      <w:bookmarkStart w:id="1773" w:name="_Toc422941529"/>
      <w:bookmarkStart w:id="1774" w:name="_Toc423116735"/>
      <w:bookmarkStart w:id="1775" w:name="_Toc423117768"/>
      <w:bookmarkStart w:id="1776" w:name="_Toc423117218"/>
      <w:bookmarkStart w:id="1777" w:name="_Toc431288811"/>
      <w:bookmarkStart w:id="1778" w:name="_Toc417394977"/>
      <w:bookmarkStart w:id="1779" w:name="_Toc417399194"/>
      <w:bookmarkStart w:id="1780" w:name="_Toc417399353"/>
      <w:bookmarkStart w:id="1781" w:name="_Toc417400400"/>
      <w:bookmarkStart w:id="1782" w:name="_Toc417401248"/>
      <w:r>
        <w:t>Storage Account Type</w:t>
      </w:r>
      <w:r w:rsidR="000B486E">
        <w:t>s and Services</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bookmarkEnd w:id="1778"/>
    <w:bookmarkEnd w:id="1779"/>
    <w:bookmarkEnd w:id="1780"/>
    <w:bookmarkEnd w:id="1781"/>
    <w:bookmarkEnd w:id="1782"/>
    <w:p w14:paraId="0E098FB8" w14:textId="5F10D6A5" w:rsidR="00A4428E" w:rsidRDefault="000B486E" w:rsidP="00A4428E">
      <w:pPr>
        <w:tabs>
          <w:tab w:val="left" w:pos="3150"/>
        </w:tabs>
      </w:pPr>
      <w:r w:rsidRPr="000B486E">
        <w:t>A</w:t>
      </w:r>
      <w:r w:rsidR="00A4428E" w:rsidRPr="000B486E">
        <w:t xml:space="preserve"> </w:t>
      </w:r>
      <w:r w:rsidR="00A4428E" w:rsidRPr="007D7E1D">
        <w:rPr>
          <w:b/>
        </w:rPr>
        <w:t>standard</w:t>
      </w:r>
      <w:r w:rsidR="00A4428E" w:rsidRPr="004F0DE3">
        <w:rPr>
          <w:b/>
        </w:rPr>
        <w:t xml:space="preserve"> </w:t>
      </w:r>
      <w:r w:rsidR="00A4428E" w:rsidRPr="000B486E">
        <w:t>storage account includes Blob,</w:t>
      </w:r>
      <w:r w:rsidR="00A4428E">
        <w:t xml:space="preserve"> Table, Queue, and File storage services. </w:t>
      </w:r>
      <w:r w:rsidR="00A4428E" w:rsidRPr="005D6054">
        <w:t>These storage services are included in every storage account created</w:t>
      </w:r>
      <w:r w:rsidR="00A4428E">
        <w:rPr>
          <w:rStyle w:val="FootnoteReference"/>
        </w:rPr>
        <w:footnoteReference w:id="7"/>
      </w:r>
      <w:r w:rsidR="00A4428E" w:rsidRPr="005D6054">
        <w:t>.</w:t>
      </w:r>
      <w:r w:rsidR="00A4428E">
        <w:t xml:space="preserve"> </w:t>
      </w:r>
      <w:r w:rsidR="00A4428E" w:rsidRPr="005D6054">
        <w:t>A storage account provides a unique namespace for working with the blobs, queues, and tables.</w:t>
      </w:r>
    </w:p>
    <w:p w14:paraId="1FDB3520" w14:textId="77777777" w:rsidR="00A4428E" w:rsidRPr="00C317F3" w:rsidRDefault="00A4428E" w:rsidP="00A4428E">
      <w:pPr>
        <w:pStyle w:val="ListParagraph"/>
        <w:numPr>
          <w:ilvl w:val="1"/>
          <w:numId w:val="10"/>
        </w:numPr>
        <w:ind w:left="1080"/>
      </w:pPr>
      <w:r w:rsidRPr="00080E8B">
        <w:rPr>
          <w:b/>
        </w:rPr>
        <w:t>Blob</w:t>
      </w:r>
      <w:r>
        <w:t xml:space="preserve"> storage stores file data. A blob can contain any type of text or binary data, such as a document, media file, or application installer. </w:t>
      </w:r>
      <w:r w:rsidRPr="003A35D9">
        <w:rPr>
          <w:lang w:val="en"/>
        </w:rPr>
        <w:t xml:space="preserve">Every </w:t>
      </w:r>
      <w:r>
        <w:rPr>
          <w:lang w:val="en"/>
        </w:rPr>
        <w:t>data</w:t>
      </w:r>
      <w:r w:rsidRPr="003A35D9">
        <w:rPr>
          <w:lang w:val="en"/>
        </w:rPr>
        <w:t xml:space="preserve"> blob is organized into a</w:t>
      </w:r>
      <w:r>
        <w:rPr>
          <w:lang w:val="en"/>
        </w:rPr>
        <w:t xml:space="preserve">n object called </w:t>
      </w:r>
      <w:r w:rsidRPr="003A35D9">
        <w:rPr>
          <w:lang w:val="en"/>
        </w:rPr>
        <w:t>a container</w:t>
      </w:r>
      <w:r>
        <w:rPr>
          <w:lang w:val="en"/>
        </w:rPr>
        <w:t xml:space="preserve"> within each storage account</w:t>
      </w:r>
      <w:r w:rsidRPr="003A35D9">
        <w:rPr>
          <w:lang w:val="en"/>
        </w:rPr>
        <w:t>.</w:t>
      </w:r>
      <w:r>
        <w:rPr>
          <w:lang w:val="en"/>
        </w:rPr>
        <w:t xml:space="preserve"> </w:t>
      </w:r>
      <w:r w:rsidRPr="003A35D9">
        <w:rPr>
          <w:lang w:val="en"/>
        </w:rPr>
        <w:t>A storage account can contain any number of containers</w:t>
      </w:r>
      <w:r>
        <w:rPr>
          <w:lang w:val="en"/>
        </w:rPr>
        <w:t xml:space="preserve"> (but it must have at least one)</w:t>
      </w:r>
      <w:r w:rsidRPr="003A35D9">
        <w:rPr>
          <w:lang w:val="en"/>
        </w:rPr>
        <w:t>, and a container can contain any number of blobs</w:t>
      </w:r>
      <w:r>
        <w:rPr>
          <w:lang w:val="en"/>
        </w:rPr>
        <w:t xml:space="preserve">. </w:t>
      </w:r>
      <w:r w:rsidRPr="00C317F3">
        <w:rPr>
          <w:lang w:val="en"/>
        </w:rPr>
        <w:t>Blob sto</w:t>
      </w:r>
      <w:r>
        <w:rPr>
          <w:lang w:val="en"/>
        </w:rPr>
        <w:t xml:space="preserve">rage offers two types of blobs: </w:t>
      </w:r>
      <w:r w:rsidRPr="001477CF">
        <w:rPr>
          <w:i/>
          <w:lang w:val="en"/>
        </w:rPr>
        <w:t xml:space="preserve">block </w:t>
      </w:r>
      <w:r>
        <w:rPr>
          <w:lang w:val="en"/>
        </w:rPr>
        <w:t xml:space="preserve">blobs and </w:t>
      </w:r>
      <w:r w:rsidRPr="001477CF">
        <w:rPr>
          <w:i/>
          <w:lang w:val="en"/>
        </w:rPr>
        <w:t>page</w:t>
      </w:r>
      <w:r>
        <w:rPr>
          <w:lang w:val="en"/>
        </w:rPr>
        <w:t xml:space="preserve"> blobs.</w:t>
      </w:r>
    </w:p>
    <w:p w14:paraId="3791D7B4" w14:textId="77777777" w:rsidR="00A4428E" w:rsidRPr="00C317F3" w:rsidRDefault="00A4428E" w:rsidP="005729D2">
      <w:pPr>
        <w:pStyle w:val="ListParagraph"/>
        <w:numPr>
          <w:ilvl w:val="0"/>
          <w:numId w:val="253"/>
        </w:numPr>
      </w:pPr>
      <w:r w:rsidRPr="00C317F3">
        <w:rPr>
          <w:lang w:val="en"/>
        </w:rPr>
        <w:t xml:space="preserve">Block blobs are optimized for streaming and storing cloud objects, and </w:t>
      </w:r>
      <w:r>
        <w:rPr>
          <w:lang w:val="en"/>
        </w:rPr>
        <w:t xml:space="preserve">they </w:t>
      </w:r>
      <w:r w:rsidRPr="00C317F3">
        <w:rPr>
          <w:lang w:val="en"/>
        </w:rPr>
        <w:t xml:space="preserve">are a good choice for storing documents, media files, </w:t>
      </w:r>
      <w:r>
        <w:rPr>
          <w:lang w:val="en"/>
        </w:rPr>
        <w:t xml:space="preserve">and </w:t>
      </w:r>
      <w:r w:rsidRPr="00C317F3">
        <w:rPr>
          <w:lang w:val="en"/>
        </w:rPr>
        <w:t>backups.</w:t>
      </w:r>
    </w:p>
    <w:p w14:paraId="710CEE60" w14:textId="77777777" w:rsidR="00A4428E" w:rsidRDefault="00A4428E" w:rsidP="005729D2">
      <w:pPr>
        <w:pStyle w:val="ListParagraph"/>
        <w:numPr>
          <w:ilvl w:val="0"/>
          <w:numId w:val="253"/>
        </w:numPr>
      </w:pPr>
      <w:r w:rsidRPr="00C317F3">
        <w:rPr>
          <w:lang w:val="en"/>
        </w:rPr>
        <w:t>Page blobs are optimized for representing IaaS dis</w:t>
      </w:r>
      <w:r>
        <w:rPr>
          <w:lang w:val="en"/>
        </w:rPr>
        <w:t>ks and supporting random writes</w:t>
      </w:r>
      <w:r w:rsidRPr="00C317F3">
        <w:rPr>
          <w:lang w:val="en"/>
        </w:rPr>
        <w:t>.</w:t>
      </w:r>
      <w:r>
        <w:rPr>
          <w:lang w:val="en"/>
        </w:rPr>
        <w:t xml:space="preserve"> </w:t>
      </w:r>
      <w:r w:rsidRPr="00C317F3">
        <w:rPr>
          <w:lang w:val="en"/>
        </w:rPr>
        <w:t xml:space="preserve">An Azure virtual machine IaaS disk is a </w:t>
      </w:r>
      <w:r>
        <w:rPr>
          <w:lang w:val="en"/>
        </w:rPr>
        <w:t>virtual hard disk</w:t>
      </w:r>
      <w:r w:rsidRPr="00C317F3">
        <w:rPr>
          <w:lang w:val="en"/>
        </w:rPr>
        <w:t xml:space="preserve"> </w:t>
      </w:r>
      <w:r>
        <w:rPr>
          <w:lang w:val="en"/>
        </w:rPr>
        <w:t xml:space="preserve">that is </w:t>
      </w:r>
      <w:r w:rsidRPr="00C317F3">
        <w:rPr>
          <w:lang w:val="en"/>
        </w:rPr>
        <w:t>stored as a page blob.</w:t>
      </w:r>
    </w:p>
    <w:p w14:paraId="1821DED9" w14:textId="77777777" w:rsidR="00A4428E" w:rsidRDefault="00A4428E" w:rsidP="00A4428E">
      <w:pPr>
        <w:pStyle w:val="ListParagraph"/>
        <w:numPr>
          <w:ilvl w:val="1"/>
          <w:numId w:val="10"/>
        </w:numPr>
        <w:ind w:left="1080"/>
      </w:pPr>
      <w:r w:rsidRPr="00080E8B">
        <w:rPr>
          <w:b/>
        </w:rPr>
        <w:t>Table</w:t>
      </w:r>
      <w:r>
        <w:t xml:space="preserve"> storage stores structured datasets. Table storage is a NoSQL key-attribute data store, which allows for development and fast access to large quantities of data.</w:t>
      </w:r>
    </w:p>
    <w:p w14:paraId="666EFBFA" w14:textId="33DCE3D9" w:rsidR="00A4428E" w:rsidRDefault="00A4428E" w:rsidP="00A4428E">
      <w:pPr>
        <w:pStyle w:val="ListParagraph"/>
        <w:numPr>
          <w:ilvl w:val="1"/>
          <w:numId w:val="10"/>
        </w:numPr>
        <w:ind w:left="1080"/>
      </w:pPr>
      <w:r w:rsidRPr="00080E8B">
        <w:rPr>
          <w:b/>
        </w:rPr>
        <w:t>Queue</w:t>
      </w:r>
      <w:r>
        <w:t xml:space="preserve"> storage provides messaging for workflow processing and for communication between components of cloud services.</w:t>
      </w:r>
    </w:p>
    <w:p w14:paraId="3E1B0B3A" w14:textId="63161BB9" w:rsidR="00080E8B" w:rsidRDefault="00A4428E" w:rsidP="00A4428E">
      <w:pPr>
        <w:pStyle w:val="ListParagraph"/>
        <w:numPr>
          <w:ilvl w:val="1"/>
          <w:numId w:val="10"/>
        </w:numPr>
        <w:ind w:left="1080"/>
      </w:pPr>
      <w:r w:rsidRPr="00A4428E">
        <w:rPr>
          <w:b/>
        </w:rPr>
        <w:t>File</w:t>
      </w:r>
      <w:r>
        <w:t xml:space="preserve"> storage offers shared storage for legacy applications that leverage the SMB 2.1 protocol. Azure virtual machines and cloud services can share file data across application components by using mounted shares. On-premises applications can also access data in a share via the File service REST API. </w:t>
      </w:r>
      <w:r>
        <w:br/>
      </w:r>
      <w:r w:rsidRPr="00A4428E">
        <w:rPr>
          <w:b/>
        </w:rPr>
        <w:t>Note</w:t>
      </w:r>
      <w:r>
        <w:t xml:space="preserve">: Access to files is available to virtual machines residing in the same Azure region over standard universal naming convention (UNC) paths. Access across regions or from on-premises infrastructures is not supported. There are key differences to areas such as storage capacity and I/O between blob and file access, which should be accounted for in every design. These differences are outlined in the Storage Limits section of the reference article </w:t>
      </w:r>
      <w:hyperlink r:id="rId115" w:history="1">
        <w:r>
          <w:rPr>
            <w:rStyle w:val="Hyperlink"/>
          </w:rPr>
          <w:t>Azure Subscription and Service Limits, Quotas, and Constraints</w:t>
        </w:r>
      </w:hyperlink>
      <w:r w:rsidR="00C81033">
        <w:t xml:space="preserve">. </w:t>
      </w:r>
    </w:p>
    <w:p w14:paraId="3EEEEC61" w14:textId="77777777" w:rsidR="00A4428E" w:rsidRDefault="00A4428E" w:rsidP="00A4428E">
      <w:r>
        <w:t xml:space="preserve">Standard storage accounts are available with four redundancy types: </w:t>
      </w:r>
    </w:p>
    <w:p w14:paraId="6EEF0A65" w14:textId="77777777" w:rsidR="00A4428E" w:rsidRDefault="00A4428E" w:rsidP="005729D2">
      <w:pPr>
        <w:pStyle w:val="ListParagraph"/>
        <w:numPr>
          <w:ilvl w:val="0"/>
          <w:numId w:val="254"/>
        </w:numPr>
      </w:pPr>
      <w:r>
        <w:t>Locally redundant (LRS)</w:t>
      </w:r>
    </w:p>
    <w:p w14:paraId="636EB7A1" w14:textId="77777777" w:rsidR="00A4428E" w:rsidRDefault="00A4428E" w:rsidP="005729D2">
      <w:pPr>
        <w:pStyle w:val="ListParagraph"/>
        <w:numPr>
          <w:ilvl w:val="0"/>
          <w:numId w:val="254"/>
        </w:numPr>
      </w:pPr>
      <w:r>
        <w:t>Geo-redundant (GRS)</w:t>
      </w:r>
    </w:p>
    <w:p w14:paraId="29878DE8" w14:textId="77777777" w:rsidR="00A4428E" w:rsidRDefault="00A4428E" w:rsidP="005729D2">
      <w:pPr>
        <w:pStyle w:val="ListParagraph"/>
        <w:numPr>
          <w:ilvl w:val="0"/>
          <w:numId w:val="254"/>
        </w:numPr>
      </w:pPr>
      <w:r>
        <w:t>Zone redundant</w:t>
      </w:r>
      <w:r w:rsidRPr="00600B59">
        <w:t xml:space="preserve"> </w:t>
      </w:r>
      <w:r>
        <w:t>(SRS)</w:t>
      </w:r>
    </w:p>
    <w:p w14:paraId="505BBEC5" w14:textId="77777777" w:rsidR="00A4428E" w:rsidRDefault="00A4428E" w:rsidP="005729D2">
      <w:pPr>
        <w:pStyle w:val="ListParagraph"/>
        <w:numPr>
          <w:ilvl w:val="0"/>
          <w:numId w:val="254"/>
        </w:numPr>
      </w:pPr>
      <w:r>
        <w:t>R</w:t>
      </w:r>
      <w:r w:rsidRPr="00600B59">
        <w:t>ead access geo-redundant</w:t>
      </w:r>
      <w:r>
        <w:t xml:space="preserve"> (RA-GRS)</w:t>
      </w:r>
    </w:p>
    <w:p w14:paraId="1FB379AC" w14:textId="6AB25BF6" w:rsidR="00600B59" w:rsidRDefault="00A4428E" w:rsidP="00A4428E">
      <w:r>
        <w:t>These redundancy values and their potential use will be covered in later sections of this document</w:t>
      </w:r>
      <w:r w:rsidR="00600B59">
        <w:t>.</w:t>
      </w:r>
    </w:p>
    <w:p w14:paraId="2DDAA687" w14:textId="77777777" w:rsidR="00080E8B" w:rsidRDefault="00080E8B" w:rsidP="00080E8B">
      <w:pPr>
        <w:pStyle w:val="ListParagraph"/>
        <w:tabs>
          <w:tab w:val="clear" w:pos="720"/>
        </w:tabs>
        <w:ind w:firstLine="0"/>
      </w:pPr>
    </w:p>
    <w:p w14:paraId="2FEA4A3A" w14:textId="76BED256" w:rsidR="005D6054" w:rsidRDefault="005D6054" w:rsidP="005D6054">
      <w:pPr>
        <w:pStyle w:val="ListParagraph"/>
        <w:tabs>
          <w:tab w:val="clear" w:pos="720"/>
        </w:tabs>
        <w:ind w:firstLine="0"/>
        <w:jc w:val="center"/>
      </w:pPr>
      <w:r>
        <w:rPr>
          <w:noProof/>
        </w:rPr>
        <w:drawing>
          <wp:inline distT="0" distB="0" distL="0" distR="0" wp14:anchorId="55211EDE" wp14:editId="2D0A2B1C">
            <wp:extent cx="4449500" cy="2686050"/>
            <wp:effectExtent l="0" t="0" r="8255" b="0"/>
            <wp:docPr id="41070" name="Picture 41070" descr="Azure Storage Resou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zure Storage Resources"/>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449500" cy="2686050"/>
                    </a:xfrm>
                    <a:prstGeom prst="rect">
                      <a:avLst/>
                    </a:prstGeom>
                    <a:noFill/>
                    <a:ln>
                      <a:noFill/>
                    </a:ln>
                  </pic:spPr>
                </pic:pic>
              </a:graphicData>
            </a:graphic>
          </wp:inline>
        </w:drawing>
      </w:r>
    </w:p>
    <w:p w14:paraId="0A18DC0F" w14:textId="77777777" w:rsidR="005D6054" w:rsidRDefault="005D6054" w:rsidP="00080E8B">
      <w:pPr>
        <w:pStyle w:val="ListParagraph"/>
        <w:tabs>
          <w:tab w:val="clear" w:pos="720"/>
        </w:tabs>
        <w:ind w:firstLine="0"/>
      </w:pPr>
    </w:p>
    <w:p w14:paraId="770996A6" w14:textId="7C6FDED8" w:rsidR="00A4428E" w:rsidRPr="000B486E" w:rsidRDefault="000B486E" w:rsidP="00A4428E">
      <w:r w:rsidRPr="000B486E">
        <w:t>A</w:t>
      </w:r>
      <w:r w:rsidR="00A4428E" w:rsidRPr="000B486E">
        <w:t xml:space="preserve"> </w:t>
      </w:r>
      <w:r w:rsidR="00A4428E" w:rsidRPr="00D61F87">
        <w:rPr>
          <w:b/>
        </w:rPr>
        <w:t>premium</w:t>
      </w:r>
      <w:r w:rsidR="00A4428E" w:rsidRPr="004F0DE3">
        <w:rPr>
          <w:b/>
        </w:rPr>
        <w:t xml:space="preserve"> </w:t>
      </w:r>
      <w:r w:rsidR="00A4428E" w:rsidRPr="000B486E">
        <w:t xml:space="preserve">storage account currently </w:t>
      </w:r>
      <w:r w:rsidR="00A4428E">
        <w:rPr>
          <w:lang w:val="en"/>
        </w:rPr>
        <w:t>supports only Azure virtual machine disks that are backed by page blobs. A premium storage account stores only page blobs, and only REST APIs for page blobs and their containers are supported</w:t>
      </w:r>
      <w:r w:rsidR="00A4428E">
        <w:t>. From an infrastructure perspective, p</w:t>
      </w:r>
      <w:r w:rsidR="00A4428E" w:rsidRPr="00CE529A">
        <w:t xml:space="preserve">remium </w:t>
      </w:r>
      <w:r w:rsidR="00A4428E">
        <w:t>s</w:t>
      </w:r>
      <w:r w:rsidR="00A4428E" w:rsidRPr="00CE529A">
        <w:t xml:space="preserve">torage stores data on </w:t>
      </w:r>
      <w:r w:rsidR="00A4428E">
        <w:t>s</w:t>
      </w:r>
      <w:r w:rsidR="00A4428E" w:rsidRPr="00CE529A">
        <w:t>olid</w:t>
      </w:r>
      <w:r w:rsidR="00A4428E">
        <w:t>-s</w:t>
      </w:r>
      <w:r w:rsidR="00A4428E" w:rsidRPr="00CE529A">
        <w:t xml:space="preserve">tate </w:t>
      </w:r>
      <w:r w:rsidR="00A4428E">
        <w:t>d</w:t>
      </w:r>
      <w:r w:rsidR="00A4428E" w:rsidRPr="00CE529A">
        <w:t>rives (SSDs)</w:t>
      </w:r>
      <w:r w:rsidR="00A4428E">
        <w:t>,</w:t>
      </w:r>
      <w:r w:rsidR="00A4428E" w:rsidRPr="00CE529A">
        <w:t xml:space="preserve"> whereas </w:t>
      </w:r>
      <w:r w:rsidR="00A4428E">
        <w:t>s</w:t>
      </w:r>
      <w:r w:rsidR="00A4428E" w:rsidRPr="00CE529A">
        <w:t xml:space="preserve">tandard </w:t>
      </w:r>
      <w:r w:rsidR="00A4428E">
        <w:t>s</w:t>
      </w:r>
      <w:r w:rsidR="00A4428E" w:rsidRPr="00CE529A">
        <w:t xml:space="preserve">torage stores data on </w:t>
      </w:r>
      <w:r w:rsidR="00A4428E">
        <w:t>h</w:t>
      </w:r>
      <w:r w:rsidR="00A4428E" w:rsidRPr="00CE529A">
        <w:t xml:space="preserve">ard </w:t>
      </w:r>
      <w:r w:rsidR="00A4428E">
        <w:t>d</w:t>
      </w:r>
      <w:r w:rsidR="00A4428E" w:rsidRPr="00CE529A">
        <w:t xml:space="preserve">isk </w:t>
      </w:r>
      <w:r w:rsidR="00A4428E">
        <w:t>d</w:t>
      </w:r>
      <w:r w:rsidR="00A4428E" w:rsidRPr="00CE529A">
        <w:t>rives (HDDs).</w:t>
      </w:r>
      <w:r w:rsidR="00A4428E">
        <w:t xml:space="preserve"> As a result, </w:t>
      </w:r>
      <w:r w:rsidR="00A4428E">
        <w:rPr>
          <w:lang w:val="en"/>
        </w:rPr>
        <w:t>p</w:t>
      </w:r>
      <w:r w:rsidR="00A4428E" w:rsidRPr="00CE529A">
        <w:rPr>
          <w:lang w:val="en"/>
        </w:rPr>
        <w:t xml:space="preserve">remium </w:t>
      </w:r>
      <w:r w:rsidR="00A4428E">
        <w:rPr>
          <w:lang w:val="en"/>
        </w:rPr>
        <w:t>s</w:t>
      </w:r>
      <w:r w:rsidR="00A4428E" w:rsidRPr="00CE529A">
        <w:rPr>
          <w:lang w:val="en"/>
        </w:rPr>
        <w:t xml:space="preserve">torage delivers high-performance, low-latency disk support for I/O intensive workloads running on Azure </w:t>
      </w:r>
      <w:r w:rsidR="00A4428E">
        <w:rPr>
          <w:lang w:val="en"/>
        </w:rPr>
        <w:t>v</w:t>
      </w:r>
      <w:r w:rsidR="00A4428E" w:rsidRPr="00CE529A">
        <w:rPr>
          <w:lang w:val="en"/>
        </w:rPr>
        <w:t xml:space="preserve">irtual </w:t>
      </w:r>
      <w:r w:rsidR="00A4428E">
        <w:rPr>
          <w:lang w:val="en"/>
        </w:rPr>
        <w:t>m</w:t>
      </w:r>
      <w:r w:rsidR="00A4428E" w:rsidRPr="00CE529A">
        <w:rPr>
          <w:lang w:val="en"/>
        </w:rPr>
        <w:t>achines.</w:t>
      </w:r>
      <w:r w:rsidR="00A4428E">
        <w:rPr>
          <w:lang w:val="en"/>
        </w:rPr>
        <w:t xml:space="preserve"> The following characteristics summarize the current capabilities of Azure premium storage. </w:t>
      </w:r>
      <w:r w:rsidR="00A4428E">
        <w:t>Premium storage offers:</w:t>
      </w:r>
    </w:p>
    <w:p w14:paraId="45E55AFC" w14:textId="77777777" w:rsidR="00A4428E" w:rsidRDefault="00A4428E" w:rsidP="005729D2">
      <w:pPr>
        <w:pStyle w:val="ListParagraph"/>
        <w:numPr>
          <w:ilvl w:val="0"/>
          <w:numId w:val="157"/>
        </w:numPr>
      </w:pPr>
      <w:r>
        <w:t>4 – 5 IOPS per GB @ 256KB I/O size</w:t>
      </w:r>
    </w:p>
    <w:p w14:paraId="0AE058FB" w14:textId="77777777" w:rsidR="00A4428E" w:rsidRDefault="00A4428E" w:rsidP="005729D2">
      <w:pPr>
        <w:pStyle w:val="ListParagraph"/>
        <w:numPr>
          <w:ilvl w:val="0"/>
          <w:numId w:val="157"/>
        </w:numPr>
      </w:pPr>
      <w:r>
        <w:t>5,000 IOPS with no-cache. Much higher with cache depending on virtual machine size</w:t>
      </w:r>
    </w:p>
    <w:p w14:paraId="5BC24A15" w14:textId="77777777" w:rsidR="00A4428E" w:rsidRDefault="00A4428E" w:rsidP="005729D2">
      <w:pPr>
        <w:pStyle w:val="ListParagraph"/>
        <w:numPr>
          <w:ilvl w:val="0"/>
          <w:numId w:val="157"/>
        </w:numPr>
      </w:pPr>
      <w:r>
        <w:t>200 MB/sec bandwidth per disk.</w:t>
      </w:r>
    </w:p>
    <w:p w14:paraId="47A0EA9C" w14:textId="77777777" w:rsidR="00A4428E" w:rsidRDefault="00A4428E" w:rsidP="005729D2">
      <w:pPr>
        <w:pStyle w:val="ListParagraph"/>
        <w:numPr>
          <w:ilvl w:val="0"/>
          <w:numId w:val="157"/>
        </w:numPr>
      </w:pPr>
      <w:r>
        <w:t>1 TB maximum disk size.</w:t>
      </w:r>
    </w:p>
    <w:p w14:paraId="03553A7E" w14:textId="77777777" w:rsidR="00A4428E" w:rsidRDefault="00A4428E" w:rsidP="005729D2">
      <w:pPr>
        <w:pStyle w:val="ListParagraph"/>
        <w:numPr>
          <w:ilvl w:val="0"/>
          <w:numId w:val="157"/>
        </w:numPr>
      </w:pPr>
      <w:r>
        <w:t>50,000 IOPS @ 8KB; 512 MB/sec virtual machine limit</w:t>
      </w:r>
    </w:p>
    <w:p w14:paraId="37368B33" w14:textId="77B1A2C0" w:rsidR="00047B59" w:rsidRPr="000B486E" w:rsidRDefault="00A4428E" w:rsidP="00A4428E">
      <w:r>
        <w:t xml:space="preserve">Premium storage is limited to local replication only.  Premium Storage GRS is not currently available. However, </w:t>
      </w:r>
      <w:r w:rsidRPr="00F208D4">
        <w:t xml:space="preserve">you can optionally create snapshots of your disks and copy those snapshots to a </w:t>
      </w:r>
      <w:r>
        <w:t>s</w:t>
      </w:r>
      <w:r w:rsidRPr="00F208D4">
        <w:t xml:space="preserve">tandard GRS storage account </w:t>
      </w:r>
      <w:r>
        <w:t>if required. This</w:t>
      </w:r>
      <w:r w:rsidRPr="00F208D4">
        <w:t xml:space="preserve"> enables </w:t>
      </w:r>
      <w:r>
        <w:t>the ability to</w:t>
      </w:r>
      <w:r w:rsidRPr="00F208D4">
        <w:t xml:space="preserve"> maintain a geo-redundant snapshot of data for disaster recovery purposes</w:t>
      </w:r>
      <w:r w:rsidR="00F208D4" w:rsidRPr="00F208D4">
        <w:t>.</w:t>
      </w:r>
    </w:p>
    <w:p w14:paraId="05C3C1CE" w14:textId="77777777" w:rsidR="00A4428E" w:rsidRPr="000B486E" w:rsidRDefault="00A4428E" w:rsidP="00A4428E">
      <w:r>
        <w:t>For high-scale applications and services, y</w:t>
      </w:r>
      <w:r w:rsidRPr="00F208D4">
        <w:t xml:space="preserve">ou can attach several premium storage disks to a single </w:t>
      </w:r>
      <w:r>
        <w:t>virtual machine</w:t>
      </w:r>
      <w:r w:rsidRPr="00F208D4">
        <w:t>, and support up to</w:t>
      </w:r>
      <w:r>
        <w:t> 3</w:t>
      </w:r>
      <w:r w:rsidRPr="00F208D4">
        <w:t xml:space="preserve">2 TB of disk storage per </w:t>
      </w:r>
      <w:r>
        <w:t>v</w:t>
      </w:r>
      <w:r w:rsidRPr="00F208D4">
        <w:t xml:space="preserve">irtual </w:t>
      </w:r>
      <w:r>
        <w:t>m</w:t>
      </w:r>
      <w:r w:rsidRPr="00F208D4">
        <w:t>achine and drive more than</w:t>
      </w:r>
      <w:r>
        <w:t> 6</w:t>
      </w:r>
      <w:r w:rsidRPr="00F208D4">
        <w:t xml:space="preserve">4,000 IOPS per </w:t>
      </w:r>
      <w:r>
        <w:t>virtual machine</w:t>
      </w:r>
      <w:r w:rsidRPr="00F208D4">
        <w:t xml:space="preserve"> at less than</w:t>
      </w:r>
      <w:r>
        <w:t> 1</w:t>
      </w:r>
      <w:r w:rsidRPr="00F208D4">
        <w:t xml:space="preserve"> millisecond latency for read operations</w:t>
      </w:r>
      <w:r>
        <w:t>. Like standard storage accounts, p</w:t>
      </w:r>
      <w:r w:rsidRPr="00F208D4">
        <w:t xml:space="preserve">remium </w:t>
      </w:r>
      <w:r>
        <w:t>s</w:t>
      </w:r>
      <w:r w:rsidRPr="00F208D4">
        <w:t xml:space="preserve">torage keeps three replicas of data within the same region, and ensures that a </w:t>
      </w:r>
      <w:r>
        <w:t>W</w:t>
      </w:r>
      <w:r w:rsidRPr="00F208D4">
        <w:t xml:space="preserve">rite operation will not be confirmed until it </w:t>
      </w:r>
      <w:r>
        <w:t>is</w:t>
      </w:r>
      <w:r w:rsidRPr="00F208D4">
        <w:t xml:space="preserve"> durably replicated</w:t>
      </w:r>
      <w:r>
        <w:t>.</w:t>
      </w:r>
    </w:p>
    <w:p w14:paraId="41EEAD5D" w14:textId="77777777" w:rsidR="00A4428E" w:rsidRDefault="00A4428E" w:rsidP="00A4428E">
      <w:r w:rsidRPr="00EF218A">
        <w:t xml:space="preserve">Every object that </w:t>
      </w:r>
      <w:r>
        <w:t>is stored</w:t>
      </w:r>
      <w:r w:rsidRPr="00EF218A">
        <w:t xml:space="preserve"> in Azure Storage has a unique </w:t>
      </w:r>
      <w:r>
        <w:t xml:space="preserve">uniform resource identifier (URI) </w:t>
      </w:r>
      <w:r w:rsidRPr="00EF218A">
        <w:t xml:space="preserve">address; the storage account name forms the subdomain of that address. The subdomain together with the domain name, which is specific to each service, form an </w:t>
      </w:r>
      <w:r w:rsidRPr="00EF218A">
        <w:rPr>
          <w:b/>
        </w:rPr>
        <w:t>endpoint</w:t>
      </w:r>
      <w:r w:rsidRPr="00EF218A">
        <w:t xml:space="preserve"> for your storage account.</w:t>
      </w:r>
    </w:p>
    <w:p w14:paraId="7C7DA518" w14:textId="77777777" w:rsidR="00A4428E" w:rsidRPr="00EF218A" w:rsidRDefault="00A4428E" w:rsidP="00A4428E">
      <w:pPr>
        <w:rPr>
          <w:lang w:val="en"/>
        </w:rPr>
      </w:pPr>
      <w:r w:rsidRPr="00EF218A">
        <w:rPr>
          <w:lang w:val="en"/>
        </w:rPr>
        <w:t>For example, if your storage account is named</w:t>
      </w:r>
      <w:r>
        <w:rPr>
          <w:lang w:val="en"/>
        </w:rPr>
        <w:t xml:space="preserve"> </w:t>
      </w:r>
      <w:r w:rsidRPr="00EF218A">
        <w:rPr>
          <w:iCs/>
          <w:lang w:val="en"/>
        </w:rPr>
        <w:t>azra1</w:t>
      </w:r>
      <w:r w:rsidRPr="00EF218A">
        <w:rPr>
          <w:lang w:val="en"/>
        </w:rPr>
        <w:t xml:space="preserve">, the default endpoints for your storage account </w:t>
      </w:r>
      <w:r>
        <w:rPr>
          <w:lang w:val="en"/>
        </w:rPr>
        <w:t>would be</w:t>
      </w:r>
      <w:r w:rsidRPr="00EF218A">
        <w:rPr>
          <w:lang w:val="en"/>
        </w:rPr>
        <w:t xml:space="preserve">: </w:t>
      </w:r>
    </w:p>
    <w:p w14:paraId="7B338187" w14:textId="77777777" w:rsidR="00A4428E" w:rsidRPr="00EF218A" w:rsidRDefault="00A4428E" w:rsidP="00A4428E">
      <w:pPr>
        <w:numPr>
          <w:ilvl w:val="0"/>
          <w:numId w:val="11"/>
        </w:numPr>
        <w:rPr>
          <w:lang w:val="en"/>
        </w:rPr>
      </w:pPr>
      <w:r w:rsidRPr="00EF218A">
        <w:rPr>
          <w:lang w:val="en"/>
        </w:rPr>
        <w:t>Blob service: http://</w:t>
      </w:r>
      <w:r w:rsidRPr="00EF218A">
        <w:rPr>
          <w:iCs/>
          <w:lang w:val="en"/>
        </w:rPr>
        <w:t>azra1</w:t>
      </w:r>
      <w:r w:rsidRPr="00EF218A">
        <w:rPr>
          <w:lang w:val="en"/>
        </w:rPr>
        <w:t>.blob.core.windows.net</w:t>
      </w:r>
      <w:r>
        <w:rPr>
          <w:lang w:val="en"/>
        </w:rPr>
        <w:t xml:space="preserve"> </w:t>
      </w:r>
    </w:p>
    <w:p w14:paraId="01FD02F8" w14:textId="77777777" w:rsidR="00A4428E" w:rsidRPr="00EF218A" w:rsidRDefault="00A4428E" w:rsidP="00A4428E">
      <w:pPr>
        <w:numPr>
          <w:ilvl w:val="0"/>
          <w:numId w:val="11"/>
        </w:numPr>
        <w:rPr>
          <w:lang w:val="en"/>
        </w:rPr>
      </w:pPr>
      <w:r w:rsidRPr="00EF218A">
        <w:rPr>
          <w:lang w:val="en"/>
        </w:rPr>
        <w:t>Table service: http://</w:t>
      </w:r>
      <w:r w:rsidRPr="00EF218A">
        <w:rPr>
          <w:iCs/>
          <w:lang w:val="en"/>
        </w:rPr>
        <w:t>azra1</w:t>
      </w:r>
      <w:r w:rsidRPr="00EF218A">
        <w:rPr>
          <w:lang w:val="en"/>
        </w:rPr>
        <w:t>.table.core.windows.net</w:t>
      </w:r>
    </w:p>
    <w:p w14:paraId="62679F5C" w14:textId="77777777" w:rsidR="00A4428E" w:rsidRPr="00EF218A" w:rsidRDefault="00A4428E" w:rsidP="00A4428E">
      <w:pPr>
        <w:numPr>
          <w:ilvl w:val="0"/>
          <w:numId w:val="11"/>
        </w:numPr>
        <w:rPr>
          <w:lang w:val="en"/>
        </w:rPr>
      </w:pPr>
      <w:r w:rsidRPr="00EF218A">
        <w:rPr>
          <w:lang w:val="en"/>
        </w:rPr>
        <w:t>Queue service: http://</w:t>
      </w:r>
      <w:r w:rsidRPr="00EF218A">
        <w:rPr>
          <w:iCs/>
          <w:lang w:val="en"/>
        </w:rPr>
        <w:t>azra1</w:t>
      </w:r>
      <w:r w:rsidRPr="00EF218A">
        <w:rPr>
          <w:lang w:val="en"/>
        </w:rPr>
        <w:t>.queue.core.windows.net</w:t>
      </w:r>
    </w:p>
    <w:p w14:paraId="3C598044" w14:textId="77777777" w:rsidR="00A4428E" w:rsidRPr="00EF218A" w:rsidRDefault="00A4428E" w:rsidP="00A4428E">
      <w:pPr>
        <w:numPr>
          <w:ilvl w:val="0"/>
          <w:numId w:val="11"/>
        </w:numPr>
        <w:rPr>
          <w:lang w:val="en"/>
        </w:rPr>
      </w:pPr>
      <w:r w:rsidRPr="00EF218A">
        <w:rPr>
          <w:lang w:val="en"/>
        </w:rPr>
        <w:t>File service: http://</w:t>
      </w:r>
      <w:r w:rsidRPr="00EF218A">
        <w:rPr>
          <w:iCs/>
          <w:lang w:val="en"/>
        </w:rPr>
        <w:t>azra1</w:t>
      </w:r>
      <w:r w:rsidRPr="00EF218A">
        <w:rPr>
          <w:lang w:val="en"/>
        </w:rPr>
        <w:t>.file.core.windows.net</w:t>
      </w:r>
    </w:p>
    <w:p w14:paraId="509A7423" w14:textId="77777777" w:rsidR="00A4428E" w:rsidRDefault="00A4428E" w:rsidP="00A4428E">
      <w:pPr>
        <w:rPr>
          <w:lang w:val="en"/>
        </w:rPr>
      </w:pPr>
      <w:r>
        <w:rPr>
          <w:lang w:val="en"/>
        </w:rPr>
        <w:t>The</w:t>
      </w:r>
      <w:r w:rsidRPr="00EF218A">
        <w:rPr>
          <w:lang w:val="en"/>
        </w:rPr>
        <w:t xml:space="preserve"> endpoints for </w:t>
      </w:r>
      <w:r>
        <w:rPr>
          <w:lang w:val="en"/>
        </w:rPr>
        <w:t xml:space="preserve">each </w:t>
      </w:r>
      <w:r w:rsidRPr="00EF218A">
        <w:rPr>
          <w:lang w:val="en"/>
        </w:rPr>
        <w:t xml:space="preserve">storage account </w:t>
      </w:r>
      <w:r>
        <w:rPr>
          <w:lang w:val="en"/>
        </w:rPr>
        <w:t>are visible</w:t>
      </w:r>
      <w:r w:rsidRPr="00EF218A">
        <w:rPr>
          <w:lang w:val="en"/>
        </w:rPr>
        <w:t xml:space="preserve"> on the storage Dashboard in the Azure Management </w:t>
      </w:r>
      <w:r>
        <w:rPr>
          <w:lang w:val="en"/>
        </w:rPr>
        <w:t>p</w:t>
      </w:r>
      <w:r w:rsidRPr="00EF218A">
        <w:rPr>
          <w:lang w:val="en"/>
        </w:rPr>
        <w:t xml:space="preserve">ortal </w:t>
      </w:r>
      <w:r>
        <w:rPr>
          <w:lang w:val="en"/>
        </w:rPr>
        <w:t>after</w:t>
      </w:r>
      <w:r w:rsidRPr="00EF218A">
        <w:rPr>
          <w:lang w:val="en"/>
        </w:rPr>
        <w:t xml:space="preserve"> the account has been created.</w:t>
      </w:r>
    </w:p>
    <w:p w14:paraId="50664ED6" w14:textId="77777777" w:rsidR="00A4428E" w:rsidRPr="00EF218A" w:rsidRDefault="00A4428E" w:rsidP="00A4428E">
      <w:pPr>
        <w:rPr>
          <w:lang w:val="en"/>
        </w:rPr>
      </w:pPr>
      <w:r>
        <w:rPr>
          <w:noProof/>
        </w:rPr>
        <w:drawing>
          <wp:inline distT="0" distB="0" distL="0" distR="0" wp14:anchorId="7FDDDBAF" wp14:editId="7D41CBEC">
            <wp:extent cx="3438525" cy="1800225"/>
            <wp:effectExtent l="0" t="0" r="9525" b="9525"/>
            <wp:docPr id="41081" name="Picture 4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438525" cy="1800225"/>
                    </a:xfrm>
                    <a:prstGeom prst="rect">
                      <a:avLst/>
                    </a:prstGeom>
                  </pic:spPr>
                </pic:pic>
              </a:graphicData>
            </a:graphic>
          </wp:inline>
        </w:drawing>
      </w:r>
    </w:p>
    <w:p w14:paraId="5CC06583" w14:textId="6FA9B84A" w:rsidR="00EF218A" w:rsidRDefault="00A4428E" w:rsidP="00A4428E">
      <w:pPr>
        <w:rPr>
          <w:lang w:val="en"/>
        </w:rPr>
      </w:pPr>
      <w:r w:rsidRPr="00EF218A">
        <w:rPr>
          <w:lang w:val="en"/>
        </w:rPr>
        <w:t>The UR</w:t>
      </w:r>
      <w:r>
        <w:rPr>
          <w:lang w:val="en"/>
        </w:rPr>
        <w:t>I</w:t>
      </w:r>
      <w:r w:rsidRPr="00EF218A">
        <w:rPr>
          <w:lang w:val="en"/>
        </w:rPr>
        <w:t xml:space="preserve"> for accessing an object in a storage account is built by appending the object's location in the storage account to the endpoint. For example, a blob address might have this format: </w:t>
      </w:r>
      <w:r w:rsidRPr="00A4428E">
        <w:rPr>
          <w:lang w:val="en"/>
        </w:rPr>
        <w:t>http://</w:t>
      </w:r>
      <w:r w:rsidRPr="00A4428E">
        <w:rPr>
          <w:iCs/>
          <w:lang w:val="en"/>
        </w:rPr>
        <w:t>azra1</w:t>
      </w:r>
      <w:r w:rsidRPr="00A4428E">
        <w:rPr>
          <w:lang w:val="en"/>
        </w:rPr>
        <w:t>.blob.core.windows.net/</w:t>
      </w:r>
      <w:r w:rsidRPr="00A4428E">
        <w:rPr>
          <w:iCs/>
          <w:lang w:val="en"/>
        </w:rPr>
        <w:t>mycontainer</w:t>
      </w:r>
      <w:r w:rsidRPr="00A4428E">
        <w:rPr>
          <w:lang w:val="en"/>
        </w:rPr>
        <w:t>/</w:t>
      </w:r>
      <w:r w:rsidRPr="00A4428E">
        <w:rPr>
          <w:iCs/>
          <w:lang w:val="en"/>
        </w:rPr>
        <w:t>myblob</w:t>
      </w:r>
      <w:r w:rsidR="00EF218A" w:rsidRPr="00EF218A">
        <w:rPr>
          <w:lang w:val="en"/>
        </w:rPr>
        <w:t>.</w:t>
      </w:r>
    </w:p>
    <w:p w14:paraId="68A1DDD5" w14:textId="77777777" w:rsidR="00A4428E" w:rsidRDefault="00A4428E" w:rsidP="00A4428E">
      <w:pPr>
        <w:rPr>
          <w:lang w:val="en"/>
        </w:rPr>
      </w:pPr>
    </w:p>
    <w:p w14:paraId="5BD53854" w14:textId="54F68B46" w:rsidR="00B16E9D" w:rsidRPr="00B16E9D" w:rsidRDefault="00B16E9D" w:rsidP="00EF218A">
      <w:pPr>
        <w:rPr>
          <w:b/>
          <w:lang w:val="en"/>
        </w:rPr>
      </w:pPr>
      <w:r w:rsidRPr="00B16E9D">
        <w:rPr>
          <w:b/>
          <w:lang w:val="en"/>
        </w:rPr>
        <w:t>Storage Security</w:t>
      </w:r>
    </w:p>
    <w:p w14:paraId="0689866A" w14:textId="77777777" w:rsidR="00700D9E" w:rsidRDefault="00700D9E" w:rsidP="00700D9E">
      <w:r>
        <w:t>Access to storage accounts is possible through two means:</w:t>
      </w:r>
    </w:p>
    <w:p w14:paraId="64F636B8" w14:textId="77777777" w:rsidR="00700D9E" w:rsidRDefault="00700D9E" w:rsidP="005729D2">
      <w:pPr>
        <w:pStyle w:val="ListParagraph"/>
        <w:numPr>
          <w:ilvl w:val="0"/>
          <w:numId w:val="59"/>
        </w:numPr>
      </w:pPr>
      <w:r w:rsidRPr="0074033E">
        <w:rPr>
          <w:b/>
        </w:rPr>
        <w:t>Azure authentication</w:t>
      </w:r>
      <w:r>
        <w:t xml:space="preserve"> – These mechanisms include Azure Active Directory (Organization ID) and Microsoft Accounts (formerly Live ID) </w:t>
      </w:r>
    </w:p>
    <w:p w14:paraId="549E231C" w14:textId="77777777" w:rsidR="00700D9E" w:rsidRDefault="00700D9E" w:rsidP="005729D2">
      <w:pPr>
        <w:pStyle w:val="ListParagraph"/>
        <w:numPr>
          <w:ilvl w:val="0"/>
          <w:numId w:val="59"/>
        </w:numPr>
      </w:pPr>
      <w:r w:rsidRPr="0074033E">
        <w:rPr>
          <w:b/>
        </w:rPr>
        <w:t>Storage Account Key</w:t>
      </w:r>
      <w:r>
        <w:t xml:space="preserve"> – This mechanism primarily is used for programmatic access by applications. This includes cloud and line-of-business applications and graphical user interface (GUI) tools to </w:t>
      </w:r>
      <w:r w:rsidRPr="00BE5377">
        <w:t xml:space="preserve">manage storage accounts </w:t>
      </w:r>
      <w:r>
        <w:t>such as</w:t>
      </w:r>
      <w:r w:rsidRPr="00BE5377">
        <w:t xml:space="preserve"> CloudBerry or Storage Explorer.</w:t>
      </w:r>
    </w:p>
    <w:p w14:paraId="08594C07" w14:textId="51B5C316" w:rsidR="00B16E9D" w:rsidRPr="004F0DE3" w:rsidRDefault="00700D9E" w:rsidP="00700D9E">
      <w:r w:rsidRPr="001477CF">
        <w:t xml:space="preserve">Please refer to the Storage Security section </w:t>
      </w:r>
      <w:r>
        <w:t>later in this document</w:t>
      </w:r>
      <w:r w:rsidRPr="004F0DE3">
        <w:t xml:space="preserve"> to understand common practices and implications </w:t>
      </w:r>
      <w:r>
        <w:t>for</w:t>
      </w:r>
      <w:r w:rsidRPr="004F0DE3">
        <w:t xml:space="preserve"> using storage account keys</w:t>
      </w:r>
      <w:r w:rsidR="00B45EF8" w:rsidRPr="004F0DE3">
        <w:t>.</w:t>
      </w:r>
    </w:p>
    <w:p w14:paraId="4390561A" w14:textId="77777777" w:rsidR="00B16E9D" w:rsidRPr="000B486E" w:rsidRDefault="00B16E9D" w:rsidP="00EF218A"/>
    <w:tbl>
      <w:tblPr>
        <w:tblStyle w:val="PlainTable11"/>
        <w:tblW w:w="5000" w:type="pct"/>
        <w:tblLook w:val="04A0" w:firstRow="1" w:lastRow="0" w:firstColumn="1" w:lastColumn="0" w:noHBand="0" w:noVBand="1"/>
      </w:tblPr>
      <w:tblGrid>
        <w:gridCol w:w="1962"/>
        <w:gridCol w:w="7388"/>
      </w:tblGrid>
      <w:tr w:rsidR="006E0F77" w14:paraId="0A11E278" w14:textId="77777777" w:rsidTr="00E854D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808080" w:themeFill="background1" w:themeFillShade="80"/>
          </w:tcPr>
          <w:p w14:paraId="6AE5B9B2" w14:textId="19B66A11" w:rsidR="006E0F77" w:rsidRPr="00F47607" w:rsidRDefault="00700D9E" w:rsidP="00B66D4F">
            <w:pPr>
              <w:spacing w:line="240" w:lineRule="auto"/>
              <w:rPr>
                <w:color w:val="FFFFFF"/>
              </w:rPr>
            </w:pPr>
            <w:r>
              <w:rPr>
                <w:color w:val="FFFFFF"/>
              </w:rPr>
              <w:t>Feature References</w:t>
            </w:r>
          </w:p>
        </w:tc>
      </w:tr>
      <w:tr w:rsidR="006E0F77" w14:paraId="1B9F009A" w14:textId="77777777" w:rsidTr="001D3D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3" w:type="pct"/>
          </w:tcPr>
          <w:p w14:paraId="6B29D25C" w14:textId="5B5F0A3C" w:rsidR="006E0F77" w:rsidRPr="00927F75" w:rsidRDefault="00CE529A" w:rsidP="00B66D4F">
            <w:pPr>
              <w:spacing w:line="240" w:lineRule="auto"/>
              <w:rPr>
                <w:sz w:val="20"/>
                <w:szCs w:val="18"/>
              </w:rPr>
            </w:pPr>
            <w:r w:rsidRPr="00927F75">
              <w:rPr>
                <w:sz w:val="20"/>
                <w:szCs w:val="18"/>
                <w:lang w:val="en"/>
              </w:rPr>
              <w:t>Introduction to Microsoft Azure Storage</w:t>
            </w:r>
          </w:p>
        </w:tc>
        <w:tc>
          <w:tcPr>
            <w:tcW w:w="3947" w:type="pct"/>
          </w:tcPr>
          <w:p w14:paraId="3E77F92D" w14:textId="71D2773D" w:rsidR="006E0F77" w:rsidRPr="00927F75" w:rsidRDefault="00872E47" w:rsidP="00B66D4F">
            <w:pPr>
              <w:cnfStyle w:val="000000100000" w:firstRow="0" w:lastRow="0" w:firstColumn="0" w:lastColumn="0" w:oddVBand="0" w:evenVBand="0" w:oddHBand="1" w:evenHBand="0" w:firstRowFirstColumn="0" w:firstRowLastColumn="0" w:lastRowFirstColumn="0" w:lastRowLastColumn="0"/>
              <w:rPr>
                <w:sz w:val="20"/>
                <w:szCs w:val="18"/>
              </w:rPr>
            </w:pPr>
            <w:hyperlink r:id="rId118" w:history="1">
              <w:r w:rsidR="00927F75" w:rsidRPr="001F3252">
                <w:rPr>
                  <w:rStyle w:val="Hyperlink"/>
                  <w:sz w:val="20"/>
                  <w:szCs w:val="18"/>
                </w:rPr>
                <w:t>http://azure.microsoft.com/en-us/documentation/articles/storage-introduction/</w:t>
              </w:r>
            </w:hyperlink>
            <w:r w:rsidR="00927F75">
              <w:rPr>
                <w:sz w:val="20"/>
                <w:szCs w:val="18"/>
              </w:rPr>
              <w:t xml:space="preserve"> </w:t>
            </w:r>
          </w:p>
        </w:tc>
      </w:tr>
      <w:tr w:rsidR="007F5E9C" w14:paraId="12D8C8DB" w14:textId="77777777" w:rsidTr="001D3D87">
        <w:tc>
          <w:tcPr>
            <w:cnfStyle w:val="001000000000" w:firstRow="0" w:lastRow="0" w:firstColumn="1" w:lastColumn="0" w:oddVBand="0" w:evenVBand="0" w:oddHBand="0" w:evenHBand="0" w:firstRowFirstColumn="0" w:firstRowLastColumn="0" w:lastRowFirstColumn="0" w:lastRowLastColumn="0"/>
            <w:tcW w:w="1053" w:type="pct"/>
          </w:tcPr>
          <w:p w14:paraId="7B922108" w14:textId="7C900698" w:rsidR="007F5E9C" w:rsidRPr="007F5E9C" w:rsidRDefault="007F5E9C" w:rsidP="00B66D4F">
            <w:pPr>
              <w:spacing w:line="240" w:lineRule="auto"/>
              <w:rPr>
                <w:sz w:val="20"/>
                <w:szCs w:val="20"/>
                <w:lang w:val="en"/>
              </w:rPr>
            </w:pPr>
            <w:r w:rsidRPr="007F5E9C">
              <w:rPr>
                <w:sz w:val="20"/>
                <w:szCs w:val="20"/>
                <w:lang w:val="en"/>
              </w:rPr>
              <w:t>Azure Storage documentation and intro videos</w:t>
            </w:r>
          </w:p>
        </w:tc>
        <w:tc>
          <w:tcPr>
            <w:tcW w:w="3947" w:type="pct"/>
          </w:tcPr>
          <w:p w14:paraId="300A367B" w14:textId="01D35FAB" w:rsidR="007F5E9C" w:rsidRPr="007F5E9C" w:rsidRDefault="00872E47" w:rsidP="00B66D4F">
            <w:pPr>
              <w:cnfStyle w:val="000000000000" w:firstRow="0" w:lastRow="0" w:firstColumn="0" w:lastColumn="0" w:oddVBand="0" w:evenVBand="0" w:oddHBand="0" w:evenHBand="0" w:firstRowFirstColumn="0" w:firstRowLastColumn="0" w:lastRowFirstColumn="0" w:lastRowLastColumn="0"/>
              <w:rPr>
                <w:sz w:val="20"/>
                <w:szCs w:val="20"/>
              </w:rPr>
            </w:pPr>
            <w:hyperlink r:id="rId119" w:history="1">
              <w:r w:rsidR="00505BC8" w:rsidRPr="00505BC8">
                <w:rPr>
                  <w:rStyle w:val="Hyperlink"/>
                  <w:sz w:val="20"/>
                  <w:szCs w:val="20"/>
                </w:rPr>
                <w:t>http://azure.microsoft.com/en-us/documentation/services/storage/</w:t>
              </w:r>
            </w:hyperlink>
          </w:p>
        </w:tc>
      </w:tr>
      <w:tr w:rsidR="006E0F77" w14:paraId="17115B7A" w14:textId="77777777" w:rsidTr="001D3D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3" w:type="pct"/>
          </w:tcPr>
          <w:p w14:paraId="3DE6D1D6" w14:textId="2C1B7C15" w:rsidR="006E0F77" w:rsidRPr="00F47607" w:rsidRDefault="00CE529A" w:rsidP="00B66D4F">
            <w:pPr>
              <w:spacing w:line="240" w:lineRule="auto"/>
              <w:rPr>
                <w:sz w:val="20"/>
              </w:rPr>
            </w:pPr>
            <w:r w:rsidRPr="00927F75">
              <w:rPr>
                <w:sz w:val="20"/>
                <w:szCs w:val="18"/>
              </w:rPr>
              <w:t xml:space="preserve">Introduction to </w:t>
            </w:r>
            <w:r w:rsidRPr="00927F75">
              <w:rPr>
                <w:sz w:val="20"/>
                <w:szCs w:val="18"/>
                <w:lang w:val="en"/>
              </w:rPr>
              <w:t>Premium Storage</w:t>
            </w:r>
          </w:p>
        </w:tc>
        <w:tc>
          <w:tcPr>
            <w:tcW w:w="3947" w:type="pct"/>
          </w:tcPr>
          <w:p w14:paraId="5B0CD9EE" w14:textId="3EF54B68" w:rsidR="006E0F77" w:rsidRPr="00927F75" w:rsidRDefault="00872E47" w:rsidP="00B66D4F">
            <w:pPr>
              <w:cnfStyle w:val="000000100000" w:firstRow="0" w:lastRow="0" w:firstColumn="0" w:lastColumn="0" w:oddVBand="0" w:evenVBand="0" w:oddHBand="1" w:evenHBand="0" w:firstRowFirstColumn="0" w:firstRowLastColumn="0" w:lastRowFirstColumn="0" w:lastRowLastColumn="0"/>
              <w:rPr>
                <w:sz w:val="20"/>
              </w:rPr>
            </w:pPr>
            <w:hyperlink r:id="rId120" w:history="1">
              <w:r w:rsidR="00927F75" w:rsidRPr="001F3252">
                <w:rPr>
                  <w:rStyle w:val="Hyperlink"/>
                  <w:sz w:val="20"/>
                  <w:szCs w:val="18"/>
                </w:rPr>
                <w:t>http://azure.microsoft.com/en-us/documentation/articles/storage-premium-storage-preview-portal/</w:t>
              </w:r>
            </w:hyperlink>
            <w:r w:rsidR="00927F75">
              <w:rPr>
                <w:sz w:val="20"/>
                <w:szCs w:val="18"/>
              </w:rPr>
              <w:t xml:space="preserve"> </w:t>
            </w:r>
          </w:p>
        </w:tc>
      </w:tr>
      <w:tr w:rsidR="00760A78" w14:paraId="34329237" w14:textId="77777777" w:rsidTr="001D3D87">
        <w:tc>
          <w:tcPr>
            <w:cnfStyle w:val="001000000000" w:firstRow="0" w:lastRow="0" w:firstColumn="1" w:lastColumn="0" w:oddVBand="0" w:evenVBand="0" w:oddHBand="0" w:evenHBand="0" w:firstRowFirstColumn="0" w:firstRowLastColumn="0" w:lastRowFirstColumn="0" w:lastRowLastColumn="0"/>
            <w:tcW w:w="1053" w:type="pct"/>
          </w:tcPr>
          <w:p w14:paraId="36A45B37" w14:textId="2DD3B63D" w:rsidR="00760A78" w:rsidRPr="00927F75" w:rsidRDefault="00760A78" w:rsidP="00B66D4F">
            <w:pPr>
              <w:spacing w:line="240" w:lineRule="auto"/>
              <w:rPr>
                <w:sz w:val="20"/>
                <w:szCs w:val="18"/>
              </w:rPr>
            </w:pPr>
            <w:r w:rsidRPr="00927F75">
              <w:rPr>
                <w:sz w:val="20"/>
                <w:szCs w:val="18"/>
              </w:rPr>
              <w:t>Technical Overview</w:t>
            </w:r>
          </w:p>
        </w:tc>
        <w:tc>
          <w:tcPr>
            <w:tcW w:w="3947" w:type="pct"/>
          </w:tcPr>
          <w:p w14:paraId="5A4C179C" w14:textId="35036794" w:rsidR="00760A78" w:rsidRPr="00927F75" w:rsidRDefault="00872E47" w:rsidP="00B66D4F">
            <w:pPr>
              <w:cnfStyle w:val="000000000000" w:firstRow="0" w:lastRow="0" w:firstColumn="0" w:lastColumn="0" w:oddVBand="0" w:evenVBand="0" w:oddHBand="0" w:evenHBand="0" w:firstRowFirstColumn="0" w:firstRowLastColumn="0" w:lastRowFirstColumn="0" w:lastRowLastColumn="0"/>
              <w:rPr>
                <w:sz w:val="20"/>
                <w:szCs w:val="18"/>
              </w:rPr>
            </w:pPr>
            <w:hyperlink r:id="rId121" w:history="1">
              <w:r w:rsidR="00927F75" w:rsidRPr="001F3252">
                <w:rPr>
                  <w:rStyle w:val="Hyperlink"/>
                  <w:sz w:val="20"/>
                  <w:szCs w:val="18"/>
                </w:rPr>
                <w:t>http://azure.microsoft.com/en-us/documentation/articles/storage-create-storage-account/</w:t>
              </w:r>
            </w:hyperlink>
            <w:r w:rsidR="00927F75">
              <w:rPr>
                <w:sz w:val="20"/>
                <w:szCs w:val="18"/>
              </w:rPr>
              <w:t xml:space="preserve"> </w:t>
            </w:r>
          </w:p>
        </w:tc>
      </w:tr>
      <w:tr w:rsidR="00760A78" w14:paraId="3A187BC3" w14:textId="77777777" w:rsidTr="001D3D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3" w:type="pct"/>
          </w:tcPr>
          <w:p w14:paraId="12D489F5" w14:textId="77777777" w:rsidR="00760A78" w:rsidRDefault="00760A78" w:rsidP="00760A78">
            <w:pPr>
              <w:spacing w:line="240" w:lineRule="auto"/>
              <w:rPr>
                <w:sz w:val="20"/>
              </w:rPr>
            </w:pPr>
            <w:r w:rsidRPr="00927F75">
              <w:rPr>
                <w:sz w:val="20"/>
                <w:szCs w:val="18"/>
              </w:rPr>
              <w:t>Quick Start Guide</w:t>
            </w:r>
          </w:p>
        </w:tc>
        <w:tc>
          <w:tcPr>
            <w:tcW w:w="3947" w:type="pct"/>
          </w:tcPr>
          <w:p w14:paraId="7EBD2A9B" w14:textId="50E30362" w:rsidR="00760A78" w:rsidRPr="00927F75" w:rsidRDefault="00872E47" w:rsidP="00760A78">
            <w:pPr>
              <w:cnfStyle w:val="000000100000" w:firstRow="0" w:lastRow="0" w:firstColumn="0" w:lastColumn="0" w:oddVBand="0" w:evenVBand="0" w:oddHBand="1" w:evenHBand="0" w:firstRowFirstColumn="0" w:firstRowLastColumn="0" w:lastRowFirstColumn="0" w:lastRowLastColumn="0"/>
              <w:rPr>
                <w:sz w:val="20"/>
              </w:rPr>
            </w:pPr>
            <w:hyperlink r:id="rId122" w:history="1">
              <w:r w:rsidR="00927F75" w:rsidRPr="001F3252">
                <w:rPr>
                  <w:rStyle w:val="Hyperlink"/>
                  <w:sz w:val="20"/>
                  <w:szCs w:val="18"/>
                </w:rPr>
                <w:t>http://azure.microsoft.com/en-us/documentation/articles/storage-getting-started-guide/</w:t>
              </w:r>
            </w:hyperlink>
            <w:r w:rsidR="00927F75">
              <w:rPr>
                <w:sz w:val="20"/>
                <w:szCs w:val="18"/>
              </w:rPr>
              <w:t xml:space="preserve"> </w:t>
            </w:r>
          </w:p>
        </w:tc>
      </w:tr>
      <w:tr w:rsidR="00B553A6" w14:paraId="1CB40A62" w14:textId="77777777" w:rsidTr="001D3D87">
        <w:tc>
          <w:tcPr>
            <w:cnfStyle w:val="001000000000" w:firstRow="0" w:lastRow="0" w:firstColumn="1" w:lastColumn="0" w:oddVBand="0" w:evenVBand="0" w:oddHBand="0" w:evenHBand="0" w:firstRowFirstColumn="0" w:firstRowLastColumn="0" w:lastRowFirstColumn="0" w:lastRowLastColumn="0"/>
            <w:tcW w:w="1053" w:type="pct"/>
          </w:tcPr>
          <w:p w14:paraId="1B605D0C" w14:textId="4FC1B617" w:rsidR="00B553A6" w:rsidRPr="00927F75" w:rsidRDefault="00B553A6" w:rsidP="00760A78">
            <w:pPr>
              <w:spacing w:line="240" w:lineRule="auto"/>
              <w:rPr>
                <w:sz w:val="20"/>
                <w:szCs w:val="18"/>
              </w:rPr>
            </w:pPr>
            <w:r w:rsidRPr="00B553A6">
              <w:rPr>
                <w:sz w:val="20"/>
                <w:szCs w:val="18"/>
              </w:rPr>
              <w:t>Microsoft Azure Storage Team Blog</w:t>
            </w:r>
          </w:p>
        </w:tc>
        <w:tc>
          <w:tcPr>
            <w:tcW w:w="3947" w:type="pct"/>
          </w:tcPr>
          <w:p w14:paraId="5ADE496F" w14:textId="0B44E34A" w:rsidR="00B553A6" w:rsidRDefault="00872E47" w:rsidP="00760A78">
            <w:pPr>
              <w:cnfStyle w:val="000000000000" w:firstRow="0" w:lastRow="0" w:firstColumn="0" w:lastColumn="0" w:oddVBand="0" w:evenVBand="0" w:oddHBand="0" w:evenHBand="0" w:firstRowFirstColumn="0" w:firstRowLastColumn="0" w:lastRowFirstColumn="0" w:lastRowLastColumn="0"/>
              <w:rPr>
                <w:sz w:val="20"/>
                <w:szCs w:val="18"/>
              </w:rPr>
            </w:pPr>
            <w:hyperlink r:id="rId123" w:history="1">
              <w:r w:rsidR="00B553A6" w:rsidRPr="001F3252">
                <w:rPr>
                  <w:rStyle w:val="Hyperlink"/>
                  <w:sz w:val="20"/>
                  <w:szCs w:val="18"/>
                </w:rPr>
                <w:t>http://blogs.msdn.com/b/windowsazurestorage</w:t>
              </w:r>
            </w:hyperlink>
            <w:r w:rsidR="00B553A6">
              <w:rPr>
                <w:sz w:val="20"/>
                <w:szCs w:val="18"/>
              </w:rPr>
              <w:t xml:space="preserve"> </w:t>
            </w:r>
          </w:p>
        </w:tc>
      </w:tr>
      <w:tr w:rsidR="00FE2193" w14:paraId="06554A5F" w14:textId="77777777" w:rsidTr="001D3D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3" w:type="pct"/>
          </w:tcPr>
          <w:p w14:paraId="03804592" w14:textId="776CA55A" w:rsidR="00FE2193" w:rsidRPr="00B553A6" w:rsidRDefault="00FE2193" w:rsidP="00760A78">
            <w:pPr>
              <w:spacing w:line="240" w:lineRule="auto"/>
              <w:rPr>
                <w:sz w:val="20"/>
                <w:szCs w:val="18"/>
              </w:rPr>
            </w:pPr>
            <w:r w:rsidRPr="00FE2193">
              <w:rPr>
                <w:sz w:val="20"/>
                <w:szCs w:val="18"/>
                <w:lang w:val="en"/>
              </w:rPr>
              <w:t>Understanding Block Blobs and Page Blobs</w:t>
            </w:r>
          </w:p>
        </w:tc>
        <w:tc>
          <w:tcPr>
            <w:tcW w:w="3947" w:type="pct"/>
          </w:tcPr>
          <w:p w14:paraId="6AF9A5AA" w14:textId="6BE5A62E" w:rsidR="00FE2193" w:rsidRDefault="00872E47" w:rsidP="00760A78">
            <w:pPr>
              <w:cnfStyle w:val="000000100000" w:firstRow="0" w:lastRow="0" w:firstColumn="0" w:lastColumn="0" w:oddVBand="0" w:evenVBand="0" w:oddHBand="1" w:evenHBand="0" w:firstRowFirstColumn="0" w:firstRowLastColumn="0" w:lastRowFirstColumn="0" w:lastRowLastColumn="0"/>
            </w:pPr>
            <w:hyperlink r:id="rId124" w:history="1">
              <w:r w:rsidR="00FE2193" w:rsidRPr="00FE2193">
                <w:rPr>
                  <w:rStyle w:val="Hyperlink"/>
                  <w:sz w:val="20"/>
                </w:rPr>
                <w:t>https://msdn.microsoft.com/en-us/library/ee691964.aspx</w:t>
              </w:r>
            </w:hyperlink>
            <w:r w:rsidR="00FE2193" w:rsidRPr="00FE2193">
              <w:rPr>
                <w:sz w:val="20"/>
              </w:rPr>
              <w:t xml:space="preserve"> </w:t>
            </w:r>
          </w:p>
        </w:tc>
      </w:tr>
      <w:tr w:rsidR="00CD206A" w14:paraId="5EDD03D8" w14:textId="77777777" w:rsidTr="001D3D87">
        <w:tc>
          <w:tcPr>
            <w:cnfStyle w:val="001000000000" w:firstRow="0" w:lastRow="0" w:firstColumn="1" w:lastColumn="0" w:oddVBand="0" w:evenVBand="0" w:oddHBand="0" w:evenHBand="0" w:firstRowFirstColumn="0" w:firstRowLastColumn="0" w:lastRowFirstColumn="0" w:lastRowLastColumn="0"/>
            <w:tcW w:w="1053" w:type="pct"/>
          </w:tcPr>
          <w:p w14:paraId="526AB142" w14:textId="2FAFDF66" w:rsidR="00CD206A" w:rsidRPr="00FE2193" w:rsidRDefault="00CD206A" w:rsidP="00760A78">
            <w:pPr>
              <w:spacing w:line="240" w:lineRule="auto"/>
              <w:rPr>
                <w:sz w:val="20"/>
                <w:szCs w:val="18"/>
                <w:lang w:val="en"/>
              </w:rPr>
            </w:pPr>
            <w:r w:rsidRPr="00CD206A">
              <w:rPr>
                <w:sz w:val="20"/>
                <w:szCs w:val="18"/>
                <w:lang w:val="en"/>
              </w:rPr>
              <w:t>Introducing Azure Storage Append Blob</w:t>
            </w:r>
          </w:p>
        </w:tc>
        <w:tc>
          <w:tcPr>
            <w:tcW w:w="3947" w:type="pct"/>
          </w:tcPr>
          <w:p w14:paraId="621F1E5F" w14:textId="00868AB7" w:rsidR="00CD206A" w:rsidRDefault="00872E47" w:rsidP="00760A78">
            <w:pPr>
              <w:cnfStyle w:val="000000000000" w:firstRow="0" w:lastRow="0" w:firstColumn="0" w:lastColumn="0" w:oddVBand="0" w:evenVBand="0" w:oddHBand="0" w:evenHBand="0" w:firstRowFirstColumn="0" w:firstRowLastColumn="0" w:lastRowFirstColumn="0" w:lastRowLastColumn="0"/>
            </w:pPr>
            <w:hyperlink r:id="rId125" w:history="1">
              <w:r w:rsidR="00CD206A" w:rsidRPr="00CD206A">
                <w:rPr>
                  <w:rStyle w:val="Hyperlink"/>
                  <w:sz w:val="20"/>
                </w:rPr>
                <w:t>http://blogs.msdn.com/b/windowsazurestorage/archive/2015/04/13/introducing-azure-storage-append-blob.aspx</w:t>
              </w:r>
            </w:hyperlink>
            <w:r w:rsidR="00CD206A" w:rsidRPr="00CD206A">
              <w:rPr>
                <w:sz w:val="20"/>
              </w:rPr>
              <w:t xml:space="preserve"> </w:t>
            </w:r>
          </w:p>
        </w:tc>
      </w:tr>
    </w:tbl>
    <w:p w14:paraId="38C49743" w14:textId="77777777" w:rsidR="006E0F77" w:rsidRDefault="006E0F77" w:rsidP="006E0F77"/>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6E0F77" w14:paraId="1531DA7F" w14:textId="77777777" w:rsidTr="00B66D4F">
        <w:trPr>
          <w:trHeight w:val="423"/>
        </w:trPr>
        <w:tc>
          <w:tcPr>
            <w:tcW w:w="666" w:type="dxa"/>
          </w:tcPr>
          <w:p w14:paraId="68EBC193" w14:textId="77777777" w:rsidR="006E0F77" w:rsidRDefault="006E0F77" w:rsidP="00B66D4F">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176C3480" wp14:editId="67633611">
                      <wp:extent cx="200025" cy="180975"/>
                      <wp:effectExtent l="57150" t="19050" r="28575" b="104775"/>
                      <wp:docPr id="41067" name="Octagon 41067"/>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99C0AA3" id="Octagon 41067"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FfcwIAAFIFAAAOAAAAZHJzL2Uyb0RvYy54bWysVFtr2zAUfh/sPwi9r7az9BbilJCSMSht&#10;WTv6rMhSIpB0NEmJk/36HcmOG7pCYezFPkfnO/fL9GZvNNkJHxTYmlZnJSXCcmiUXdf05/PyyxUl&#10;ITLbMA1W1PQgAr2Zff40bd1EjGADuhGeoBEbJq2r6SZGNymKwDfCsHAGTlgUSvCGRWT9umg8a9G6&#10;0cWoLC+KFnzjPHARAr7edkI6y/alFDw+SBlEJLqmGFvMX5+/q/QtZlM2WXvmNor3YbB/iMIwZdHp&#10;YOqWRUa2Xv1lyijuIYCMZxxMAVIqLnIOmE1VvsnmacOcyLlgcYIbyhT+n1l+v3v0RDU1HVflxSUl&#10;lhls0wOPbA2WdI9YpNaFCWKf3KPvuYBkyngvvUl/zIXsc2EPQ2HFPhKOj9ipcnROCUdRdVVeX56n&#10;whevys6H+E2AIYmoKXTuc0XZ7i7EDn1EJXcBtGqWSuvM+PVqoT3ZMWzzYoHecmfRwQmsSDl0UWcq&#10;HrRIytr+EBJLgHFW2WMePjHYY5wLG0d9xBmd1CT6HhS/fqzY45OqyIM5KI8+Vh40smewcVA2yoJ/&#10;z4COVR+y7PBY8JO8E7mC5oDd99CtRXB8qbD+dyzER+ZxD3BjcLfjA36khhYb01OUbMD/fu894XE8&#10;UUpJi3tV0/Bry7ygRH+3OLjX1XicFjEz4/PLETL+VLI6lditWQD2tMIr4ngmEz7qIyk9mBc8AfPk&#10;FUXMcvRdUx79kVnEbt/xiHAxn2cYLp9j8c4+OX7sehqu5/0L864fwojTew/HHWSTN4PYYVM/LMy3&#10;EaTKU/pa177euLh51Psjky7DKZ9Rr6dw9gc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BTz/Ff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491A9D55" w14:textId="77777777" w:rsidR="00E35478" w:rsidRDefault="006E0F77" w:rsidP="00B66D4F">
            <w:pPr>
              <w:rPr>
                <w:lang w:eastAsia="en-US"/>
              </w:rPr>
            </w:pPr>
            <w:r w:rsidRPr="00192064">
              <w:rPr>
                <w:b/>
                <w:lang w:eastAsia="en-US"/>
              </w:rPr>
              <w:t>Mandatory</w:t>
            </w:r>
            <w:r>
              <w:rPr>
                <w:lang w:eastAsia="en-US"/>
              </w:rPr>
              <w:t xml:space="preserve">:  </w:t>
            </w:r>
          </w:p>
          <w:p w14:paraId="29E0D4AD" w14:textId="77777777" w:rsidR="00700D9E" w:rsidRPr="00E35478" w:rsidRDefault="00700D9E" w:rsidP="005729D2">
            <w:pPr>
              <w:pStyle w:val="ListParagraph"/>
              <w:numPr>
                <w:ilvl w:val="0"/>
                <w:numId w:val="158"/>
              </w:numPr>
              <w:rPr>
                <w:lang w:eastAsia="en-US"/>
              </w:rPr>
            </w:pPr>
            <w:r>
              <w:rPr>
                <w:lang w:eastAsia="en-US"/>
              </w:rPr>
              <w:t xml:space="preserve">There are hard limits on the quantity, size, and expected performance of Azure Storage accounts. It is critical to review the </w:t>
            </w:r>
            <w:r w:rsidRPr="00183951">
              <w:rPr>
                <w:lang w:eastAsia="en-US"/>
              </w:rPr>
              <w:t xml:space="preserve">Azure </w:t>
            </w:r>
            <w:r>
              <w:rPr>
                <w:lang w:eastAsia="en-US"/>
              </w:rPr>
              <w:t>s</w:t>
            </w:r>
            <w:r w:rsidRPr="00183951">
              <w:rPr>
                <w:lang w:eastAsia="en-US"/>
              </w:rPr>
              <w:t xml:space="preserve">ubscription and </w:t>
            </w:r>
            <w:r>
              <w:rPr>
                <w:lang w:eastAsia="en-US"/>
              </w:rPr>
              <w:t>s</w:t>
            </w:r>
            <w:r w:rsidRPr="00183951">
              <w:rPr>
                <w:lang w:eastAsia="en-US"/>
              </w:rPr>
              <w:t xml:space="preserve">ervice </w:t>
            </w:r>
            <w:r>
              <w:rPr>
                <w:lang w:eastAsia="en-US"/>
              </w:rPr>
              <w:t>l</w:t>
            </w:r>
            <w:r w:rsidRPr="00183951">
              <w:rPr>
                <w:lang w:eastAsia="en-US"/>
              </w:rPr>
              <w:t xml:space="preserve">imits, </w:t>
            </w:r>
            <w:r>
              <w:rPr>
                <w:lang w:eastAsia="en-US"/>
              </w:rPr>
              <w:t>q</w:t>
            </w:r>
            <w:r w:rsidRPr="00183951">
              <w:rPr>
                <w:lang w:eastAsia="en-US"/>
              </w:rPr>
              <w:t xml:space="preserve">uotas, and </w:t>
            </w:r>
            <w:r>
              <w:rPr>
                <w:lang w:eastAsia="en-US"/>
              </w:rPr>
              <w:t>c</w:t>
            </w:r>
            <w:r w:rsidRPr="00183951">
              <w:rPr>
                <w:lang w:eastAsia="en-US"/>
              </w:rPr>
              <w:t>onstraints</w:t>
            </w:r>
            <w:r>
              <w:rPr>
                <w:lang w:eastAsia="en-US"/>
              </w:rPr>
              <w:t xml:space="preserve"> pertaining to storage accounts when planning Azure solutions. For more information, see </w:t>
            </w:r>
            <w:hyperlink r:id="rId126" w:anchor="storage-limits" w:history="1">
              <w:r>
                <w:rPr>
                  <w:rStyle w:val="Hyperlink"/>
                  <w:lang w:eastAsia="en-US"/>
                </w:rPr>
                <w:t>Standard Storage Limits</w:t>
              </w:r>
            </w:hyperlink>
            <w:r w:rsidDel="00CD5D0F">
              <w:rPr>
                <w:lang w:eastAsia="en-US"/>
              </w:rPr>
              <w:t>.</w:t>
            </w:r>
          </w:p>
          <w:p w14:paraId="314BA992" w14:textId="77777777" w:rsidR="00700D9E" w:rsidRDefault="00700D9E" w:rsidP="005729D2">
            <w:pPr>
              <w:pStyle w:val="ListParagraph"/>
              <w:numPr>
                <w:ilvl w:val="0"/>
                <w:numId w:val="158"/>
              </w:numPr>
              <w:rPr>
                <w:lang w:eastAsia="en-US"/>
              </w:rPr>
            </w:pPr>
            <w:r w:rsidRPr="00E35478">
              <w:rPr>
                <w:lang w:eastAsia="en-US"/>
              </w:rPr>
              <w:t>A single storage account is limited to a maximum of</w:t>
            </w:r>
            <w:r>
              <w:rPr>
                <w:lang w:eastAsia="en-US"/>
              </w:rPr>
              <w:t> 5</w:t>
            </w:r>
            <w:r w:rsidRPr="00E35478">
              <w:rPr>
                <w:lang w:eastAsia="en-US"/>
              </w:rPr>
              <w:t>00 TB.</w:t>
            </w:r>
            <w:r>
              <w:rPr>
                <w:lang w:eastAsia="en-US"/>
              </w:rPr>
              <w:t xml:space="preserve"> </w:t>
            </w:r>
            <w:r w:rsidRPr="00E35478">
              <w:rPr>
                <w:lang w:eastAsia="en-US"/>
              </w:rPr>
              <w:t>If this limit is exceeded, a new storage account must be created.</w:t>
            </w:r>
          </w:p>
          <w:p w14:paraId="376E153F" w14:textId="3EB50CC6" w:rsidR="006E0F77" w:rsidRDefault="00700D9E" w:rsidP="005729D2">
            <w:pPr>
              <w:pStyle w:val="ListParagraph"/>
              <w:numPr>
                <w:ilvl w:val="0"/>
                <w:numId w:val="158"/>
              </w:numPr>
              <w:rPr>
                <w:lang w:eastAsia="en-US"/>
              </w:rPr>
            </w:pPr>
            <w:r w:rsidRPr="00EF218A">
              <w:rPr>
                <w:lang w:eastAsia="en-US"/>
              </w:rPr>
              <w:t>The maximum size of any Azure file share is</w:t>
            </w:r>
            <w:r>
              <w:rPr>
                <w:lang w:eastAsia="en-US"/>
              </w:rPr>
              <w:t> 5</w:t>
            </w:r>
            <w:r w:rsidRPr="00EF218A">
              <w:rPr>
                <w:lang w:eastAsia="en-US"/>
              </w:rPr>
              <w:t xml:space="preserve"> TB.</w:t>
            </w:r>
            <w:r>
              <w:rPr>
                <w:lang w:eastAsia="en-US"/>
              </w:rPr>
              <w:t xml:space="preserve"> </w:t>
            </w:r>
            <w:r w:rsidRPr="00EF218A">
              <w:rPr>
                <w:lang w:eastAsia="en-US"/>
              </w:rPr>
              <w:t xml:space="preserve">If this limit is </w:t>
            </w:r>
            <w:r>
              <w:rPr>
                <w:lang w:eastAsia="en-US"/>
              </w:rPr>
              <w:t>exceeded</w:t>
            </w:r>
            <w:r w:rsidRPr="00EF218A">
              <w:rPr>
                <w:lang w:eastAsia="en-US"/>
              </w:rPr>
              <w:t>, a new file share must be created</w:t>
            </w:r>
            <w:r w:rsidR="00E35478" w:rsidRPr="00EF218A">
              <w:rPr>
                <w:lang w:eastAsia="en-US"/>
              </w:rPr>
              <w:t>.</w:t>
            </w:r>
          </w:p>
        </w:tc>
      </w:tr>
      <w:tr w:rsidR="006E0F77" w14:paraId="53AC18AE" w14:textId="77777777" w:rsidTr="00B66D4F">
        <w:trPr>
          <w:trHeight w:val="423"/>
        </w:trPr>
        <w:tc>
          <w:tcPr>
            <w:tcW w:w="666" w:type="dxa"/>
          </w:tcPr>
          <w:p w14:paraId="4391D10F" w14:textId="77777777" w:rsidR="006E0F77" w:rsidRDefault="006E0F77" w:rsidP="00B66D4F">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370496" behindDoc="0" locked="0" layoutInCell="1" allowOverlap="1" wp14:anchorId="4246C7D9" wp14:editId="641E21D6">
                      <wp:simplePos x="0" y="0"/>
                      <wp:positionH relativeFrom="column">
                        <wp:posOffset>66675</wp:posOffset>
                      </wp:positionH>
                      <wp:positionV relativeFrom="paragraph">
                        <wp:posOffset>90170</wp:posOffset>
                      </wp:positionV>
                      <wp:extent cx="209550" cy="180975"/>
                      <wp:effectExtent l="57150" t="19050" r="57150" b="104775"/>
                      <wp:wrapNone/>
                      <wp:docPr id="41068" name="Isosceles Triangle 410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6BDBF27B" id="Isosceles Triangle 41068" o:spid="_x0000_s1026" type="#_x0000_t5" style="position:absolute;margin-left:5.25pt;margin-top:7.1pt;width:16.5pt;height:14.25pt;z-index:25137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ZQHig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Mi&#10;P8VmGdZgm249eC608OTRKWY2WpBOj/VqrS/R7MHeu5ixtyvgPzwqsj80UfA95iBdE7GYLzmk4h/H&#10;4otDIBx/TvKL2QxbxFFVnOcXZ7PYnIyVg7F1PnwR0JB4qWjoA0tlZ/uVDx18gKXYQKt6qbROgtus&#10;r7Uje4ZcWOKXp/bjC/4ZlnLowk4JhKMW0Vibb0JinTDQIr2YGCpGf4xzYcJpH3JCRzOJb4+Gn983&#10;7PHRVCT2jsaT941Hi/QymDAaN8qAe8uBDkUfsuzwfRd9l3cswRrqI1LEQTc73vKlwgasmA/3zOGw&#10;YM9wAYSveEgNbUWhv1GyBffrrf8RjxxGLSUtDl9F/c8dc4ISfWuQ3RfFdBqnNQnT2dkEBfdSs36p&#10;MbvmGrCnBa4ay9M14oMertJB84R7YhFfRRUzHN+uKA9uEK5DtxRw03CxWCQYTqhlYWUeLB+6Hsn1&#10;eHhizg4sRPrewTCorHxFxA4b+2FgsQsgVWLpc137euN0J673myiuj5dyQj3vy/lvAAAA//8DAFBL&#10;AwQUAAYACAAAACEANTxCMNkAAAAHAQAADwAAAGRycy9kb3ducmV2LnhtbEyOzU7DMBCE70i8g7VI&#10;XFDrkIa2CnEqhJIjqig8gBNvfoS9jmK3DW/PcoLTaDSjma84LM6KC85h9KTgcZ2AQGq9GalX8PlR&#10;r/YgQtRktPWECr4xwKG8vSl0bvyV3vFyir3gEQq5VjDEOOVShnZAp8PaT0icdX52OrKde2lmfeVx&#10;Z2WaJFvp9Ej8MOgJXwdsv05np8A3y7Hb1Lv9Q+0m+9ZVVeaOlVL3d8vLM4iIS/wrwy8+o0PJTI0/&#10;kwnCsk+euMmapSA4zzbsG9Z0B7Is5H/+8gcAAP//AwBQSwECLQAUAAYACAAAACEAtoM4kv4AAADh&#10;AQAAEwAAAAAAAAAAAAAAAAAAAAAAW0NvbnRlbnRfVHlwZXNdLnhtbFBLAQItABQABgAIAAAAIQA4&#10;/SH/1gAAAJQBAAALAAAAAAAAAAAAAAAAAC8BAABfcmVscy8ucmVsc1BLAQItABQABgAIAAAAIQAl&#10;4ZQHigIAAHcFAAAOAAAAAAAAAAAAAAAAAC4CAABkcnMvZTJvRG9jLnhtbFBLAQItABQABgAIAAAA&#10;IQA1PEIw2QAAAAcBAAAPAAAAAAAAAAAAAAAAAOQEAABkcnMvZG93bnJldi54bWxQSwUGAAAAAAQA&#10;BADzAAAA6gUAAAAA&#10;" fillcolor="yellow" strokecolor="#70ad47 [3209]" strokeweight=".5pt">
                      <v:path arrowok="t"/>
                    </v:shape>
                  </w:pict>
                </mc:Fallback>
              </mc:AlternateContent>
            </w:r>
          </w:p>
        </w:tc>
        <w:tc>
          <w:tcPr>
            <w:tcW w:w="8604" w:type="dxa"/>
          </w:tcPr>
          <w:p w14:paraId="4C0E1799" w14:textId="6B20A20C" w:rsidR="006E0F77" w:rsidRDefault="006E0F77" w:rsidP="00B66D4F">
            <w:pPr>
              <w:rPr>
                <w:lang w:eastAsia="en-US"/>
              </w:rPr>
            </w:pPr>
            <w:r>
              <w:rPr>
                <w:rFonts w:eastAsiaTheme="minorHAnsi"/>
                <w:b/>
                <w:lang w:eastAsia="en-US"/>
              </w:rPr>
              <w:t xml:space="preserve">Recommended: </w:t>
            </w:r>
            <w:r>
              <w:rPr>
                <w:rFonts w:eastAsiaTheme="minorHAnsi"/>
                <w:lang w:eastAsia="en-US"/>
              </w:rPr>
              <w:t xml:space="preserve"> </w:t>
            </w:r>
            <w:r w:rsidR="00700D9E" w:rsidRPr="00EF218A">
              <w:rPr>
                <w:rFonts w:eastAsiaTheme="minorHAnsi"/>
                <w:lang w:eastAsia="en-US"/>
              </w:rPr>
              <w:t xml:space="preserve">Consider the use of </w:t>
            </w:r>
            <w:r w:rsidR="00700D9E">
              <w:rPr>
                <w:rFonts w:eastAsiaTheme="minorHAnsi"/>
                <w:lang w:eastAsia="en-US"/>
              </w:rPr>
              <w:t>p</w:t>
            </w:r>
            <w:r w:rsidR="00700D9E" w:rsidRPr="00EF218A">
              <w:rPr>
                <w:rFonts w:eastAsiaTheme="minorHAnsi"/>
                <w:lang w:eastAsia="en-US"/>
              </w:rPr>
              <w:t xml:space="preserve">remium </w:t>
            </w:r>
            <w:r w:rsidR="00700D9E">
              <w:rPr>
                <w:rFonts w:eastAsiaTheme="minorHAnsi"/>
                <w:lang w:eastAsia="en-US"/>
              </w:rPr>
              <w:t>s</w:t>
            </w:r>
            <w:r w:rsidR="00700D9E" w:rsidRPr="00EF218A">
              <w:rPr>
                <w:rFonts w:eastAsiaTheme="minorHAnsi"/>
                <w:lang w:eastAsia="en-US"/>
              </w:rPr>
              <w:t>torage when a higher level of disk performance is needed for a given workload or application.</w:t>
            </w:r>
            <w:r w:rsidR="00700D9E">
              <w:rPr>
                <w:rFonts w:eastAsiaTheme="minorHAnsi"/>
                <w:lang w:eastAsia="en-US"/>
              </w:rPr>
              <w:t xml:space="preserve"> </w:t>
            </w:r>
            <w:r w:rsidR="00700D9E" w:rsidRPr="00EF218A">
              <w:rPr>
                <w:rFonts w:eastAsiaTheme="minorHAnsi"/>
                <w:lang w:eastAsia="en-US"/>
              </w:rPr>
              <w:t xml:space="preserve">Premium </w:t>
            </w:r>
            <w:r w:rsidR="00700D9E">
              <w:rPr>
                <w:rFonts w:eastAsiaTheme="minorHAnsi"/>
                <w:lang w:eastAsia="en-US"/>
              </w:rPr>
              <w:t>s</w:t>
            </w:r>
            <w:r w:rsidR="00700D9E" w:rsidRPr="00EF218A">
              <w:rPr>
                <w:rFonts w:eastAsiaTheme="minorHAnsi"/>
                <w:lang w:eastAsia="en-US"/>
              </w:rPr>
              <w:t>torage is high performance SSD</w:t>
            </w:r>
            <w:r w:rsidR="00700D9E">
              <w:rPr>
                <w:rFonts w:eastAsiaTheme="minorHAnsi"/>
                <w:lang w:eastAsia="en-US"/>
              </w:rPr>
              <w:t>-</w:t>
            </w:r>
            <w:r w:rsidR="00700D9E" w:rsidRPr="00EF218A">
              <w:rPr>
                <w:rFonts w:eastAsiaTheme="minorHAnsi"/>
                <w:lang w:eastAsia="en-US"/>
              </w:rPr>
              <w:t xml:space="preserve">based </w:t>
            </w:r>
            <w:r w:rsidR="00700D9E">
              <w:rPr>
                <w:rFonts w:eastAsiaTheme="minorHAnsi"/>
                <w:lang w:eastAsia="en-US"/>
              </w:rPr>
              <w:t>s</w:t>
            </w:r>
            <w:r w:rsidR="00700D9E" w:rsidRPr="00EF218A">
              <w:rPr>
                <w:rFonts w:eastAsiaTheme="minorHAnsi"/>
                <w:lang w:eastAsia="en-US"/>
              </w:rPr>
              <w:t xml:space="preserve">torage designed to support I/O intensive workloads with significantly high throughput and low latency. With </w:t>
            </w:r>
            <w:r w:rsidR="00700D9E">
              <w:rPr>
                <w:rFonts w:eastAsiaTheme="minorHAnsi"/>
                <w:lang w:eastAsia="en-US"/>
              </w:rPr>
              <w:t>p</w:t>
            </w:r>
            <w:r w:rsidR="00700D9E" w:rsidRPr="00EF218A">
              <w:rPr>
                <w:rFonts w:eastAsiaTheme="minorHAnsi"/>
                <w:lang w:eastAsia="en-US"/>
              </w:rPr>
              <w:t xml:space="preserve">remium </w:t>
            </w:r>
            <w:r w:rsidR="00700D9E">
              <w:rPr>
                <w:rFonts w:eastAsiaTheme="minorHAnsi"/>
                <w:lang w:eastAsia="en-US"/>
              </w:rPr>
              <w:t>s</w:t>
            </w:r>
            <w:r w:rsidR="00700D9E" w:rsidRPr="00EF218A">
              <w:rPr>
                <w:rFonts w:eastAsiaTheme="minorHAnsi"/>
                <w:lang w:eastAsia="en-US"/>
              </w:rPr>
              <w:t>torage, you can provision a persistent disk and configure its size and performance characteristics to meet your application requirements</w:t>
            </w:r>
            <w:r w:rsidR="00EF218A" w:rsidRPr="00EF218A">
              <w:rPr>
                <w:rFonts w:eastAsiaTheme="minorHAnsi"/>
                <w:lang w:eastAsia="en-US"/>
              </w:rPr>
              <w:t>.</w:t>
            </w:r>
          </w:p>
        </w:tc>
      </w:tr>
    </w:tbl>
    <w:p w14:paraId="4A792927" w14:textId="77777777" w:rsidR="006E0F77" w:rsidRDefault="006E0F77" w:rsidP="006E0F77"/>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6E0F77" w14:paraId="39B88443" w14:textId="77777777" w:rsidTr="00B66D4F">
        <w:tc>
          <w:tcPr>
            <w:tcW w:w="9360" w:type="dxa"/>
            <w:shd w:val="clear" w:color="auto" w:fill="008AC8"/>
          </w:tcPr>
          <w:p w14:paraId="252C90B7" w14:textId="77777777" w:rsidR="006E0F77" w:rsidRPr="00F47607" w:rsidRDefault="006E0F77" w:rsidP="00B66D4F">
            <w:pPr>
              <w:spacing w:line="240" w:lineRule="auto"/>
              <w:rPr>
                <w:color w:val="FFFFFF"/>
              </w:rPr>
            </w:pPr>
            <w:r>
              <w:rPr>
                <w:color w:val="FFFFFF"/>
              </w:rPr>
              <w:t>Design Guidance</w:t>
            </w:r>
          </w:p>
        </w:tc>
      </w:tr>
    </w:tbl>
    <w:p w14:paraId="124D91A0" w14:textId="2230E976" w:rsidR="00EA2F0D" w:rsidRDefault="00EA2F0D" w:rsidP="006E0F77">
      <w:r>
        <w:t xml:space="preserve">When </w:t>
      </w:r>
      <w:r w:rsidR="00CD5D0F">
        <w:t>designing</w:t>
      </w:r>
      <w:r>
        <w:t xml:space="preserve"> s</w:t>
      </w:r>
      <w:r w:rsidRPr="00EA2F0D">
        <w:t xml:space="preserve">torage </w:t>
      </w:r>
      <w:r>
        <w:t>a</w:t>
      </w:r>
      <w:r w:rsidRPr="00EA2F0D">
        <w:t xml:space="preserve">ccount </w:t>
      </w:r>
      <w:r>
        <w:t>t</w:t>
      </w:r>
      <w:r w:rsidRPr="00EA2F0D">
        <w:t xml:space="preserve">ypes and </w:t>
      </w:r>
      <w:r>
        <w:t>s</w:t>
      </w:r>
      <w:r w:rsidRPr="00EA2F0D">
        <w:t>ervices</w:t>
      </w:r>
      <w:r>
        <w:t>, consider the following:</w:t>
      </w:r>
    </w:p>
    <w:tbl>
      <w:tblPr>
        <w:tblStyle w:val="PlainTable11"/>
        <w:tblW w:w="0" w:type="auto"/>
        <w:tblLook w:val="0420" w:firstRow="1" w:lastRow="0" w:firstColumn="0" w:lastColumn="0" w:noHBand="0" w:noVBand="1"/>
      </w:tblPr>
      <w:tblGrid>
        <w:gridCol w:w="2795"/>
        <w:gridCol w:w="3266"/>
        <w:gridCol w:w="3289"/>
      </w:tblGrid>
      <w:tr w:rsidR="007F08A2" w:rsidRPr="001D3D87" w14:paraId="578B6CB2" w14:textId="77777777" w:rsidTr="00E854D5">
        <w:trPr>
          <w:cnfStyle w:val="100000000000" w:firstRow="1" w:lastRow="0" w:firstColumn="0" w:lastColumn="0" w:oddVBand="0" w:evenVBand="0" w:oddHBand="0" w:evenHBand="0" w:firstRowFirstColumn="0" w:firstRowLastColumn="0" w:lastRowFirstColumn="0" w:lastRowLastColumn="0"/>
          <w:tblHeader/>
        </w:trPr>
        <w:tc>
          <w:tcPr>
            <w:tcW w:w="0" w:type="auto"/>
            <w:shd w:val="clear" w:color="auto" w:fill="808080" w:themeFill="background1" w:themeFillShade="80"/>
            <w:hideMark/>
          </w:tcPr>
          <w:p w14:paraId="0EE80872" w14:textId="196C0737" w:rsidR="007D32D2" w:rsidRPr="001D3D87" w:rsidRDefault="00EA2F0D" w:rsidP="003A03A2">
            <w:pPr>
              <w:spacing w:line="240" w:lineRule="auto"/>
              <w:rPr>
                <w:rFonts w:eastAsia="Calibri"/>
                <w:color w:val="FFFFFF"/>
                <w:sz w:val="20"/>
                <w:lang w:eastAsia="en-AU"/>
              </w:rPr>
            </w:pPr>
            <w:r w:rsidRPr="001D3D87">
              <w:rPr>
                <w:rFonts w:eastAsia="Calibri"/>
                <w:color w:val="FFFFFF"/>
                <w:sz w:val="20"/>
                <w:lang w:eastAsia="en-AU"/>
              </w:rPr>
              <w:t>Capability Considerations</w:t>
            </w:r>
          </w:p>
        </w:tc>
        <w:tc>
          <w:tcPr>
            <w:tcW w:w="0" w:type="auto"/>
            <w:shd w:val="clear" w:color="auto" w:fill="808080" w:themeFill="background1" w:themeFillShade="80"/>
            <w:hideMark/>
          </w:tcPr>
          <w:p w14:paraId="3725AA9F" w14:textId="77777777" w:rsidR="00EA2F0D" w:rsidRPr="001D3D87" w:rsidRDefault="00EA2F0D" w:rsidP="007D32D2">
            <w:pPr>
              <w:spacing w:line="240" w:lineRule="auto"/>
              <w:rPr>
                <w:rFonts w:eastAsia="Calibri"/>
                <w:color w:val="FFFFFF"/>
                <w:sz w:val="20"/>
                <w:lang w:eastAsia="en-AU"/>
              </w:rPr>
            </w:pPr>
            <w:r w:rsidRPr="001D3D87">
              <w:rPr>
                <w:rFonts w:eastAsia="Calibri"/>
                <w:color w:val="FFFFFF"/>
                <w:sz w:val="20"/>
                <w:lang w:eastAsia="en-AU"/>
              </w:rPr>
              <w:t>Capability Decision Points</w:t>
            </w:r>
          </w:p>
          <w:p w14:paraId="7698AF03" w14:textId="2088B21C" w:rsidR="007D32D2" w:rsidRPr="001D3D87" w:rsidRDefault="007D32D2" w:rsidP="003A03A2">
            <w:pPr>
              <w:spacing w:line="240" w:lineRule="auto"/>
              <w:rPr>
                <w:rFonts w:eastAsia="Calibri"/>
                <w:color w:val="FFFFFF"/>
                <w:sz w:val="20"/>
                <w:lang w:val="en-AU" w:eastAsia="en-AU"/>
              </w:rPr>
            </w:pPr>
          </w:p>
        </w:tc>
        <w:tc>
          <w:tcPr>
            <w:tcW w:w="0" w:type="auto"/>
            <w:shd w:val="clear" w:color="auto" w:fill="808080" w:themeFill="background1" w:themeFillShade="80"/>
            <w:hideMark/>
          </w:tcPr>
          <w:p w14:paraId="04ADB223" w14:textId="22A0C21D" w:rsidR="00EA2F0D" w:rsidRPr="001D3D87" w:rsidRDefault="00EA2F0D" w:rsidP="007D32D2">
            <w:pPr>
              <w:spacing w:line="240" w:lineRule="auto"/>
              <w:rPr>
                <w:rFonts w:eastAsia="Calibri"/>
                <w:color w:val="FFFFFF"/>
                <w:sz w:val="20"/>
                <w:lang w:eastAsia="en-AU"/>
              </w:rPr>
            </w:pPr>
            <w:r w:rsidRPr="001D3D87">
              <w:rPr>
                <w:rFonts w:eastAsia="Calibri"/>
                <w:color w:val="FFFFFF"/>
                <w:sz w:val="20"/>
                <w:lang w:eastAsia="en-AU"/>
              </w:rPr>
              <w:t xml:space="preserve">Capability Models in </w:t>
            </w:r>
            <w:r w:rsidR="00700D9E">
              <w:rPr>
                <w:rFonts w:eastAsia="Calibri"/>
                <w:color w:val="FFFFFF"/>
                <w:sz w:val="20"/>
                <w:lang w:eastAsia="en-AU"/>
              </w:rPr>
              <w:t>U</w:t>
            </w:r>
            <w:r w:rsidRPr="001D3D87">
              <w:rPr>
                <w:rFonts w:eastAsia="Calibri"/>
                <w:color w:val="FFFFFF"/>
                <w:sz w:val="20"/>
                <w:lang w:eastAsia="en-AU"/>
              </w:rPr>
              <w:t>se</w:t>
            </w:r>
          </w:p>
          <w:p w14:paraId="5A7F0FBB" w14:textId="446F80D1" w:rsidR="007D32D2" w:rsidRPr="001D3D87" w:rsidRDefault="007D32D2" w:rsidP="003A03A2">
            <w:pPr>
              <w:spacing w:line="240" w:lineRule="auto"/>
              <w:rPr>
                <w:rFonts w:eastAsia="Calibri"/>
                <w:color w:val="FFFFFF"/>
                <w:sz w:val="20"/>
                <w:lang w:val="en-AU" w:eastAsia="en-AU"/>
              </w:rPr>
            </w:pPr>
          </w:p>
        </w:tc>
      </w:tr>
      <w:tr w:rsidR="007F08A2" w14:paraId="1CEB6BF1" w14:textId="77777777" w:rsidTr="001D3D87">
        <w:trPr>
          <w:cnfStyle w:val="000000100000" w:firstRow="0" w:lastRow="0" w:firstColumn="0" w:lastColumn="0" w:oddVBand="0" w:evenVBand="0" w:oddHBand="1" w:evenHBand="0" w:firstRowFirstColumn="0" w:firstRowLastColumn="0" w:lastRowFirstColumn="0" w:lastRowLastColumn="0"/>
        </w:trPr>
        <w:tc>
          <w:tcPr>
            <w:tcW w:w="0" w:type="auto"/>
            <w:hideMark/>
          </w:tcPr>
          <w:p w14:paraId="1A6A2CBB" w14:textId="77777777" w:rsidR="007D32D2" w:rsidRPr="007D32D2" w:rsidRDefault="007D32D2" w:rsidP="007D32D2">
            <w:pPr>
              <w:rPr>
                <w:sz w:val="20"/>
                <w:szCs w:val="20"/>
              </w:rPr>
            </w:pPr>
            <w:r w:rsidRPr="007D32D2">
              <w:rPr>
                <w:sz w:val="20"/>
                <w:szCs w:val="20"/>
              </w:rPr>
              <w:t>Different storage account types serve different purposes.</w:t>
            </w:r>
          </w:p>
          <w:p w14:paraId="1AD5DADB" w14:textId="1152393A" w:rsidR="007D32D2" w:rsidRPr="007D32D2" w:rsidRDefault="007D32D2" w:rsidP="003A03A2">
            <w:pPr>
              <w:pStyle w:val="NormalWeb"/>
              <w:rPr>
                <w:rFonts w:ascii="Segoe UI" w:hAnsi="Segoe UI" w:cs="Segoe UI"/>
                <w:sz w:val="20"/>
                <w:szCs w:val="20"/>
                <w:lang w:val="en-AU" w:eastAsia="en-AU"/>
              </w:rPr>
            </w:pPr>
          </w:p>
        </w:tc>
        <w:tc>
          <w:tcPr>
            <w:tcW w:w="0" w:type="auto"/>
            <w:hideMark/>
          </w:tcPr>
          <w:p w14:paraId="35806B7A" w14:textId="77777777" w:rsidR="00700D9E" w:rsidRDefault="00700D9E" w:rsidP="00700D9E">
            <w:pPr>
              <w:rPr>
                <w:sz w:val="20"/>
                <w:szCs w:val="20"/>
              </w:rPr>
            </w:pPr>
            <w:r w:rsidRPr="007D32D2">
              <w:rPr>
                <w:sz w:val="20"/>
                <w:szCs w:val="20"/>
              </w:rPr>
              <w:t xml:space="preserve">Each storage account should be allocated </w:t>
            </w:r>
            <w:r>
              <w:rPr>
                <w:sz w:val="20"/>
                <w:szCs w:val="20"/>
              </w:rPr>
              <w:t>for</w:t>
            </w:r>
            <w:r w:rsidRPr="007D32D2">
              <w:rPr>
                <w:sz w:val="20"/>
                <w:szCs w:val="20"/>
              </w:rPr>
              <w:t xml:space="preserve"> a specific purpose and </w:t>
            </w:r>
            <w:r w:rsidRPr="00283FC4">
              <w:rPr>
                <w:sz w:val="20"/>
                <w:szCs w:val="20"/>
              </w:rPr>
              <w:t>not</w:t>
            </w:r>
            <w:r w:rsidRPr="007D32D2">
              <w:rPr>
                <w:sz w:val="20"/>
                <w:szCs w:val="20"/>
              </w:rPr>
              <w:t xml:space="preserve"> be a generic, all-purpose container.</w:t>
            </w:r>
            <w:r>
              <w:rPr>
                <w:sz w:val="20"/>
                <w:szCs w:val="20"/>
              </w:rPr>
              <w:t xml:space="preserve"> </w:t>
            </w:r>
          </w:p>
          <w:p w14:paraId="1939D682" w14:textId="1AA7F6F9" w:rsidR="007D32D2" w:rsidRPr="007D32D2" w:rsidRDefault="00700D9E" w:rsidP="00700D9E">
            <w:pPr>
              <w:rPr>
                <w:sz w:val="20"/>
                <w:szCs w:val="20"/>
              </w:rPr>
            </w:pPr>
            <w:r w:rsidRPr="007D32D2">
              <w:rPr>
                <w:sz w:val="20"/>
                <w:szCs w:val="20"/>
              </w:rPr>
              <w:t>You need to decide how to allocate storage accounts for different purposes within your project.</w:t>
            </w:r>
            <w:r w:rsidR="007D32D2" w:rsidRPr="007D32D2">
              <w:rPr>
                <w:sz w:val="20"/>
                <w:szCs w:val="20"/>
              </w:rPr>
              <w:t>.</w:t>
            </w:r>
          </w:p>
        </w:tc>
        <w:tc>
          <w:tcPr>
            <w:tcW w:w="0" w:type="auto"/>
            <w:hideMark/>
          </w:tcPr>
          <w:p w14:paraId="5C0FD71F" w14:textId="77777777" w:rsidR="007D32D2" w:rsidRPr="007D32D2" w:rsidRDefault="007D32D2" w:rsidP="007D32D2">
            <w:pPr>
              <w:rPr>
                <w:sz w:val="20"/>
                <w:szCs w:val="20"/>
              </w:rPr>
            </w:pPr>
            <w:r w:rsidRPr="007D32D2">
              <w:rPr>
                <w:sz w:val="20"/>
                <w:szCs w:val="20"/>
              </w:rPr>
              <w:t>Within an IaaS deployment, consider a separate storage account for maintenance of master images that can be deployed to other storage accounts throughout the subscription.</w:t>
            </w:r>
          </w:p>
          <w:p w14:paraId="6883A204" w14:textId="6FC94293" w:rsidR="007D32D2" w:rsidRPr="007D32D2" w:rsidRDefault="007D32D2" w:rsidP="007D32D2">
            <w:pPr>
              <w:rPr>
                <w:sz w:val="20"/>
                <w:szCs w:val="20"/>
              </w:rPr>
            </w:pPr>
            <w:r w:rsidRPr="007D32D2">
              <w:rPr>
                <w:sz w:val="20"/>
                <w:szCs w:val="20"/>
              </w:rPr>
              <w:t>Within an IaaS deployment, consider a separate storage account for any backup purposes, separate from any production data, such that it can be created in a different region than the primary data.</w:t>
            </w:r>
          </w:p>
        </w:tc>
      </w:tr>
      <w:tr w:rsidR="007F08A2" w14:paraId="44A7CA9B" w14:textId="77777777" w:rsidTr="001D3D87">
        <w:tc>
          <w:tcPr>
            <w:tcW w:w="0" w:type="auto"/>
          </w:tcPr>
          <w:p w14:paraId="1F39BB7E" w14:textId="2EA289F8" w:rsidR="007D32D2" w:rsidRPr="007D32D2" w:rsidRDefault="007D32D2" w:rsidP="007D32D2">
            <w:pPr>
              <w:rPr>
                <w:sz w:val="20"/>
                <w:szCs w:val="20"/>
              </w:rPr>
            </w:pPr>
            <w:r>
              <w:rPr>
                <w:sz w:val="20"/>
                <w:szCs w:val="20"/>
              </w:rPr>
              <w:t>Different storage services provide unique capabilities</w:t>
            </w:r>
            <w:r w:rsidR="00700D9E">
              <w:rPr>
                <w:sz w:val="20"/>
                <w:szCs w:val="20"/>
              </w:rPr>
              <w:t>.</w:t>
            </w:r>
          </w:p>
        </w:tc>
        <w:tc>
          <w:tcPr>
            <w:tcW w:w="0" w:type="auto"/>
          </w:tcPr>
          <w:p w14:paraId="04DA9D47" w14:textId="0BBE2A88" w:rsidR="007D32D2" w:rsidRPr="007D32D2" w:rsidRDefault="00EA2F4F" w:rsidP="00700D9E">
            <w:pPr>
              <w:rPr>
                <w:sz w:val="20"/>
                <w:szCs w:val="20"/>
              </w:rPr>
            </w:pPr>
            <w:r>
              <w:rPr>
                <w:sz w:val="20"/>
                <w:szCs w:val="20"/>
              </w:rPr>
              <w:t>Understand the type of data and data flow that the storage account will serve to determine the storage service that the account will provide</w:t>
            </w:r>
            <w:r w:rsidR="00700D9E">
              <w:rPr>
                <w:sz w:val="20"/>
                <w:szCs w:val="20"/>
              </w:rPr>
              <w:t>.</w:t>
            </w:r>
          </w:p>
        </w:tc>
        <w:tc>
          <w:tcPr>
            <w:tcW w:w="0" w:type="auto"/>
          </w:tcPr>
          <w:p w14:paraId="2532FDF9" w14:textId="77777777" w:rsidR="00700D9E" w:rsidRPr="00EA2F4F" w:rsidRDefault="00700D9E" w:rsidP="00700D9E">
            <w:pPr>
              <w:rPr>
                <w:sz w:val="20"/>
                <w:szCs w:val="20"/>
              </w:rPr>
            </w:pPr>
            <w:r>
              <w:rPr>
                <w:sz w:val="20"/>
                <w:szCs w:val="20"/>
              </w:rPr>
              <w:t>For k</w:t>
            </w:r>
            <w:r w:rsidRPr="00EA2F4F">
              <w:rPr>
                <w:sz w:val="20"/>
                <w:szCs w:val="20"/>
              </w:rPr>
              <w:t xml:space="preserve">ey </w:t>
            </w:r>
            <w:r>
              <w:rPr>
                <w:sz w:val="20"/>
                <w:szCs w:val="20"/>
              </w:rPr>
              <w:t>l</w:t>
            </w:r>
            <w:r w:rsidRPr="00EA2F4F">
              <w:rPr>
                <w:sz w:val="20"/>
                <w:szCs w:val="20"/>
              </w:rPr>
              <w:t>ookups</w:t>
            </w:r>
            <w:r>
              <w:rPr>
                <w:sz w:val="20"/>
                <w:szCs w:val="20"/>
              </w:rPr>
              <w:t xml:space="preserve"> at scale for structured data, use </w:t>
            </w:r>
            <w:r w:rsidRPr="00EA2F4F">
              <w:rPr>
                <w:sz w:val="20"/>
                <w:szCs w:val="20"/>
              </w:rPr>
              <w:t>Tables</w:t>
            </w:r>
            <w:r>
              <w:rPr>
                <w:sz w:val="20"/>
                <w:szCs w:val="20"/>
              </w:rPr>
              <w:t>.</w:t>
            </w:r>
          </w:p>
          <w:p w14:paraId="3045FB8C" w14:textId="77777777" w:rsidR="00700D9E" w:rsidRDefault="00700D9E" w:rsidP="00700D9E">
            <w:pPr>
              <w:rPr>
                <w:sz w:val="20"/>
                <w:szCs w:val="20"/>
              </w:rPr>
            </w:pPr>
            <w:r>
              <w:rPr>
                <w:sz w:val="20"/>
                <w:szCs w:val="20"/>
              </w:rPr>
              <w:t>For scans or retrievals of</w:t>
            </w:r>
            <w:r w:rsidRPr="00EA2F4F">
              <w:rPr>
                <w:sz w:val="20"/>
                <w:szCs w:val="20"/>
              </w:rPr>
              <w:t xml:space="preserve"> large amount of raw data</w:t>
            </w:r>
            <w:r>
              <w:rPr>
                <w:sz w:val="20"/>
                <w:szCs w:val="20"/>
              </w:rPr>
              <w:t xml:space="preserve">, such as analytics or metrics, use </w:t>
            </w:r>
            <w:r w:rsidRPr="00EA2F4F">
              <w:rPr>
                <w:sz w:val="20"/>
                <w:szCs w:val="20"/>
              </w:rPr>
              <w:t>Blobs</w:t>
            </w:r>
            <w:r>
              <w:rPr>
                <w:sz w:val="20"/>
                <w:szCs w:val="20"/>
              </w:rPr>
              <w:t>.</w:t>
            </w:r>
          </w:p>
          <w:p w14:paraId="07CFE548" w14:textId="77777777" w:rsidR="00700D9E" w:rsidRDefault="00700D9E" w:rsidP="00700D9E">
            <w:pPr>
              <w:rPr>
                <w:sz w:val="20"/>
                <w:szCs w:val="20"/>
              </w:rPr>
            </w:pPr>
            <w:r w:rsidRPr="007F08A2">
              <w:rPr>
                <w:sz w:val="20"/>
                <w:szCs w:val="20"/>
              </w:rPr>
              <w:t>For streaming and storing documents, videos, pictures, backups, and other unstructured text or binary data</w:t>
            </w:r>
            <w:r>
              <w:rPr>
                <w:sz w:val="20"/>
                <w:szCs w:val="20"/>
              </w:rPr>
              <w:t>, use Blobs.</w:t>
            </w:r>
          </w:p>
          <w:p w14:paraId="4D9BB034" w14:textId="77777777" w:rsidR="00700D9E" w:rsidRPr="00EA2F4F" w:rsidRDefault="00700D9E" w:rsidP="00700D9E">
            <w:pPr>
              <w:rPr>
                <w:sz w:val="20"/>
                <w:szCs w:val="20"/>
              </w:rPr>
            </w:pPr>
            <w:r>
              <w:rPr>
                <w:sz w:val="20"/>
                <w:szCs w:val="20"/>
              </w:rPr>
              <w:t>For IaaS virtual machine VHDs, use Blobs.</w:t>
            </w:r>
          </w:p>
          <w:p w14:paraId="68C3ABCE" w14:textId="77777777" w:rsidR="00700D9E" w:rsidRDefault="00700D9E" w:rsidP="00700D9E">
            <w:pPr>
              <w:rPr>
                <w:sz w:val="20"/>
                <w:szCs w:val="20"/>
              </w:rPr>
            </w:pPr>
            <w:r>
              <w:rPr>
                <w:sz w:val="20"/>
                <w:szCs w:val="20"/>
              </w:rPr>
              <w:t xml:space="preserve">For process workflows or decoupling applications, use </w:t>
            </w:r>
            <w:r w:rsidRPr="00EA2F4F">
              <w:rPr>
                <w:sz w:val="20"/>
                <w:szCs w:val="20"/>
              </w:rPr>
              <w:t>Queues</w:t>
            </w:r>
            <w:r>
              <w:rPr>
                <w:sz w:val="20"/>
                <w:szCs w:val="20"/>
              </w:rPr>
              <w:t>.</w:t>
            </w:r>
          </w:p>
          <w:p w14:paraId="51D071BA" w14:textId="35A2F3C6" w:rsidR="007F08A2" w:rsidRPr="007D32D2" w:rsidRDefault="00700D9E" w:rsidP="00700D9E">
            <w:pPr>
              <w:rPr>
                <w:sz w:val="20"/>
                <w:szCs w:val="20"/>
              </w:rPr>
            </w:pPr>
            <w:r>
              <w:rPr>
                <w:sz w:val="20"/>
                <w:szCs w:val="20"/>
              </w:rPr>
              <w:t>To s</w:t>
            </w:r>
            <w:r w:rsidRPr="007F08A2">
              <w:rPr>
                <w:sz w:val="20"/>
                <w:szCs w:val="20"/>
              </w:rPr>
              <w:t xml:space="preserve">hare files between applications running in virtual machines </w:t>
            </w:r>
            <w:r>
              <w:rPr>
                <w:sz w:val="20"/>
                <w:szCs w:val="20"/>
              </w:rPr>
              <w:t xml:space="preserve">that are </w:t>
            </w:r>
            <w:r w:rsidRPr="007F08A2">
              <w:rPr>
                <w:sz w:val="20"/>
                <w:szCs w:val="20"/>
              </w:rPr>
              <w:t>using familia</w:t>
            </w:r>
            <w:r>
              <w:rPr>
                <w:sz w:val="20"/>
                <w:szCs w:val="20"/>
              </w:rPr>
              <w:t>r Windows APIs or the File service REST API, use Files</w:t>
            </w:r>
          </w:p>
        </w:tc>
      </w:tr>
      <w:tr w:rsidR="007F08A2" w14:paraId="26A8536C" w14:textId="77777777" w:rsidTr="001D3D87">
        <w:trPr>
          <w:cnfStyle w:val="000000100000" w:firstRow="0" w:lastRow="0" w:firstColumn="0" w:lastColumn="0" w:oddVBand="0" w:evenVBand="0" w:oddHBand="1" w:evenHBand="0" w:firstRowFirstColumn="0" w:firstRowLastColumn="0" w:lastRowFirstColumn="0" w:lastRowLastColumn="0"/>
        </w:trPr>
        <w:tc>
          <w:tcPr>
            <w:tcW w:w="0" w:type="auto"/>
          </w:tcPr>
          <w:p w14:paraId="7084EF35" w14:textId="57EE67A0" w:rsidR="00500388" w:rsidRDefault="00700D9E" w:rsidP="007D32D2">
            <w:pPr>
              <w:rPr>
                <w:sz w:val="20"/>
                <w:szCs w:val="20"/>
              </w:rPr>
            </w:pPr>
            <w:r>
              <w:rPr>
                <w:sz w:val="20"/>
                <w:szCs w:val="20"/>
              </w:rPr>
              <w:t xml:space="preserve">The </w:t>
            </w:r>
            <w:r w:rsidRPr="00500388">
              <w:rPr>
                <w:sz w:val="20"/>
                <w:szCs w:val="20"/>
              </w:rPr>
              <w:t>storage ser</w:t>
            </w:r>
            <w:r>
              <w:rPr>
                <w:sz w:val="20"/>
                <w:szCs w:val="20"/>
              </w:rPr>
              <w:t xml:space="preserve">vice offers two types of blobs: </w:t>
            </w:r>
            <w:r w:rsidRPr="00500388">
              <w:rPr>
                <w:sz w:val="20"/>
                <w:szCs w:val="20"/>
              </w:rPr>
              <w:t>block blobs and page blobs</w:t>
            </w:r>
            <w:r>
              <w:rPr>
                <w:sz w:val="20"/>
                <w:szCs w:val="20"/>
              </w:rPr>
              <w:t>.</w:t>
            </w:r>
          </w:p>
        </w:tc>
        <w:tc>
          <w:tcPr>
            <w:tcW w:w="0" w:type="auto"/>
          </w:tcPr>
          <w:p w14:paraId="36D9C5F5" w14:textId="677D6292" w:rsidR="00500388" w:rsidRDefault="00700D9E" w:rsidP="00EA2F4F">
            <w:pPr>
              <w:rPr>
                <w:sz w:val="20"/>
                <w:szCs w:val="20"/>
              </w:rPr>
            </w:pPr>
            <w:r>
              <w:rPr>
                <w:sz w:val="20"/>
                <w:szCs w:val="20"/>
              </w:rPr>
              <w:t xml:space="preserve">Understand and decide on the use of block blobs or page blobs </w:t>
            </w:r>
            <w:r w:rsidRPr="000D5A56">
              <w:rPr>
                <w:sz w:val="20"/>
                <w:szCs w:val="20"/>
              </w:rPr>
              <w:t>when you create the blob</w:t>
            </w:r>
            <w:r>
              <w:rPr>
                <w:sz w:val="20"/>
                <w:szCs w:val="20"/>
              </w:rPr>
              <w:t>.</w:t>
            </w:r>
            <w:r w:rsidR="000D5A56">
              <w:rPr>
                <w:sz w:val="20"/>
                <w:szCs w:val="20"/>
              </w:rPr>
              <w:t>.</w:t>
            </w:r>
          </w:p>
        </w:tc>
        <w:tc>
          <w:tcPr>
            <w:tcW w:w="0" w:type="auto"/>
          </w:tcPr>
          <w:p w14:paraId="382092CD" w14:textId="77777777" w:rsidR="00700D9E" w:rsidRDefault="00700D9E" w:rsidP="00700D9E">
            <w:pPr>
              <w:rPr>
                <w:sz w:val="20"/>
                <w:szCs w:val="20"/>
              </w:rPr>
            </w:pPr>
            <w:r>
              <w:rPr>
                <w:sz w:val="20"/>
                <w:szCs w:val="20"/>
              </w:rPr>
              <w:t>In the majority of cases, page blobs will be utilized. Page blobs are o</w:t>
            </w:r>
            <w:r w:rsidRPr="000D5A56">
              <w:rPr>
                <w:sz w:val="20"/>
                <w:szCs w:val="20"/>
              </w:rPr>
              <w:t xml:space="preserve">ptimized for </w:t>
            </w:r>
            <w:r>
              <w:rPr>
                <w:sz w:val="20"/>
                <w:szCs w:val="20"/>
              </w:rPr>
              <w:t>r</w:t>
            </w:r>
            <w:r w:rsidRPr="000D5A56">
              <w:rPr>
                <w:sz w:val="20"/>
                <w:szCs w:val="20"/>
              </w:rPr>
              <w:t xml:space="preserve">andom </w:t>
            </w:r>
            <w:r>
              <w:rPr>
                <w:sz w:val="20"/>
                <w:szCs w:val="20"/>
              </w:rPr>
              <w:t>R</w:t>
            </w:r>
            <w:r w:rsidRPr="000D5A56">
              <w:rPr>
                <w:sz w:val="20"/>
                <w:szCs w:val="20"/>
              </w:rPr>
              <w:t xml:space="preserve">ead </w:t>
            </w:r>
            <w:r>
              <w:rPr>
                <w:sz w:val="20"/>
                <w:szCs w:val="20"/>
              </w:rPr>
              <w:t>and W</w:t>
            </w:r>
            <w:r w:rsidRPr="000D5A56">
              <w:rPr>
                <w:sz w:val="20"/>
                <w:szCs w:val="20"/>
              </w:rPr>
              <w:t xml:space="preserve">rite </w:t>
            </w:r>
            <w:r>
              <w:rPr>
                <w:sz w:val="20"/>
                <w:szCs w:val="20"/>
              </w:rPr>
              <w:t>o</w:t>
            </w:r>
            <w:r w:rsidRPr="000D5A56">
              <w:rPr>
                <w:sz w:val="20"/>
                <w:szCs w:val="20"/>
              </w:rPr>
              <w:t>perations</w:t>
            </w:r>
            <w:r>
              <w:rPr>
                <w:sz w:val="20"/>
                <w:szCs w:val="20"/>
              </w:rPr>
              <w:t xml:space="preserve"> (best for virtual machines and VHDs). </w:t>
            </w:r>
          </w:p>
          <w:p w14:paraId="54ACA201" w14:textId="77777777" w:rsidR="00700D9E" w:rsidRDefault="00700D9E" w:rsidP="00700D9E">
            <w:pPr>
              <w:rPr>
                <w:sz w:val="20"/>
                <w:szCs w:val="20"/>
              </w:rPr>
            </w:pPr>
            <w:r>
              <w:rPr>
                <w:sz w:val="20"/>
                <w:szCs w:val="20"/>
              </w:rPr>
              <w:t>Page blobs have a m</w:t>
            </w:r>
            <w:r w:rsidRPr="000D5A56">
              <w:rPr>
                <w:sz w:val="20"/>
                <w:szCs w:val="20"/>
              </w:rPr>
              <w:t xml:space="preserve">aximum </w:t>
            </w:r>
            <w:r>
              <w:rPr>
                <w:sz w:val="20"/>
                <w:szCs w:val="20"/>
              </w:rPr>
              <w:t>s</w:t>
            </w:r>
            <w:r w:rsidRPr="000D5A56">
              <w:rPr>
                <w:sz w:val="20"/>
                <w:szCs w:val="20"/>
              </w:rPr>
              <w:t xml:space="preserve">torage </w:t>
            </w:r>
            <w:r>
              <w:rPr>
                <w:sz w:val="20"/>
                <w:szCs w:val="20"/>
              </w:rPr>
              <w:t>of 1 </w:t>
            </w:r>
            <w:r w:rsidRPr="000D5A56">
              <w:rPr>
                <w:sz w:val="20"/>
                <w:szCs w:val="20"/>
              </w:rPr>
              <w:t>TB</w:t>
            </w:r>
            <w:r>
              <w:rPr>
                <w:sz w:val="20"/>
                <w:szCs w:val="20"/>
              </w:rPr>
              <w:t xml:space="preserve"> (compared to only 200 GB for a block blob), and they commit</w:t>
            </w:r>
            <w:r w:rsidRPr="000D5A56">
              <w:rPr>
                <w:sz w:val="20"/>
                <w:szCs w:val="20"/>
              </w:rPr>
              <w:t xml:space="preserve"> immediately</w:t>
            </w:r>
            <w:r>
              <w:rPr>
                <w:sz w:val="20"/>
                <w:szCs w:val="20"/>
              </w:rPr>
              <w:t xml:space="preserve"> (compared to a block blob, which r</w:t>
            </w:r>
            <w:r w:rsidRPr="000D5A56">
              <w:rPr>
                <w:sz w:val="20"/>
                <w:szCs w:val="20"/>
              </w:rPr>
              <w:t xml:space="preserve">emains uncommitted until </w:t>
            </w:r>
            <w:r>
              <w:rPr>
                <w:sz w:val="20"/>
                <w:szCs w:val="20"/>
              </w:rPr>
              <w:t xml:space="preserve">a </w:t>
            </w:r>
            <w:r w:rsidRPr="000D5A56">
              <w:rPr>
                <w:sz w:val="20"/>
                <w:szCs w:val="20"/>
              </w:rPr>
              <w:t>commit is issued</w:t>
            </w:r>
            <w:r>
              <w:rPr>
                <w:sz w:val="20"/>
                <w:szCs w:val="20"/>
              </w:rPr>
              <w:t>).</w:t>
            </w:r>
          </w:p>
          <w:p w14:paraId="53CF71E1" w14:textId="7DCFF0E7" w:rsidR="00500388" w:rsidRDefault="00700D9E" w:rsidP="00700D9E">
            <w:pPr>
              <w:rPr>
                <w:sz w:val="20"/>
                <w:szCs w:val="20"/>
              </w:rPr>
            </w:pPr>
            <w:r>
              <w:rPr>
                <w:sz w:val="20"/>
                <w:szCs w:val="20"/>
              </w:rPr>
              <w:t>Block blobs are f</w:t>
            </w:r>
            <w:r w:rsidRPr="007F08A2">
              <w:rPr>
                <w:sz w:val="20"/>
                <w:szCs w:val="20"/>
              </w:rPr>
              <w:t>or streaming and storing documents, videos, pictures, backups, and other unstructured text or binary data</w:t>
            </w:r>
            <w:r w:rsidR="007F08A2">
              <w:rPr>
                <w:sz w:val="20"/>
                <w:szCs w:val="20"/>
              </w:rPr>
              <w:t>.</w:t>
            </w:r>
            <w:r w:rsidR="00E86784">
              <w:rPr>
                <w:sz w:val="20"/>
                <w:szCs w:val="20"/>
              </w:rPr>
              <w:t xml:space="preserve"> </w:t>
            </w:r>
          </w:p>
          <w:p w14:paraId="5B8C0BAA" w14:textId="1CCE09D3" w:rsidR="00500388" w:rsidRDefault="00700D9E" w:rsidP="007F08A2">
            <w:pPr>
              <w:rPr>
                <w:sz w:val="20"/>
                <w:szCs w:val="20"/>
              </w:rPr>
            </w:pPr>
            <w:r>
              <w:rPr>
                <w:sz w:val="20"/>
                <w:szCs w:val="20"/>
              </w:rPr>
              <w:t>Additionally, there are cost differences associated to each type of storage</w:t>
            </w:r>
            <w:r w:rsidR="00E86784">
              <w:rPr>
                <w:sz w:val="20"/>
                <w:szCs w:val="20"/>
              </w:rPr>
              <w:t>.</w:t>
            </w:r>
          </w:p>
        </w:tc>
      </w:tr>
      <w:tr w:rsidR="007F08A2" w14:paraId="0DD0B65D" w14:textId="77777777" w:rsidTr="001D3D87">
        <w:tc>
          <w:tcPr>
            <w:tcW w:w="0" w:type="auto"/>
          </w:tcPr>
          <w:p w14:paraId="744DB77D" w14:textId="5E3BFA36" w:rsidR="000D5A56" w:rsidRDefault="00700D9E" w:rsidP="007D32D2">
            <w:pPr>
              <w:rPr>
                <w:sz w:val="20"/>
                <w:szCs w:val="20"/>
              </w:rPr>
            </w:pPr>
            <w:r w:rsidRPr="000D5A56">
              <w:rPr>
                <w:sz w:val="20"/>
                <w:szCs w:val="20"/>
              </w:rPr>
              <w:t xml:space="preserve">Microsoft Azure provides several ways to store and access </w:t>
            </w:r>
            <w:r>
              <w:rPr>
                <w:sz w:val="20"/>
                <w:szCs w:val="20"/>
              </w:rPr>
              <w:t xml:space="preserve">randomly access </w:t>
            </w:r>
            <w:r w:rsidRPr="000D5A56">
              <w:rPr>
                <w:sz w:val="20"/>
                <w:szCs w:val="20"/>
              </w:rPr>
              <w:t>data in the cloud</w:t>
            </w:r>
            <w:r>
              <w:rPr>
                <w:sz w:val="20"/>
                <w:szCs w:val="20"/>
              </w:rPr>
              <w:t xml:space="preserve"> (blobs).</w:t>
            </w:r>
          </w:p>
        </w:tc>
        <w:tc>
          <w:tcPr>
            <w:tcW w:w="0" w:type="auto"/>
          </w:tcPr>
          <w:p w14:paraId="64852527" w14:textId="0BC5F3CE" w:rsidR="000D5A56" w:rsidRDefault="00700D9E" w:rsidP="00EA2F4F">
            <w:pPr>
              <w:rPr>
                <w:sz w:val="20"/>
                <w:szCs w:val="20"/>
              </w:rPr>
            </w:pPr>
            <w:r w:rsidRPr="00A41D89">
              <w:rPr>
                <w:sz w:val="20"/>
                <w:szCs w:val="20"/>
              </w:rPr>
              <w:t>Decid</w:t>
            </w:r>
            <w:r>
              <w:rPr>
                <w:sz w:val="20"/>
                <w:szCs w:val="20"/>
              </w:rPr>
              <w:t>e</w:t>
            </w:r>
            <w:r w:rsidRPr="00A41D89">
              <w:rPr>
                <w:sz w:val="20"/>
                <w:szCs w:val="20"/>
              </w:rPr>
              <w:t xml:space="preserve"> when to use Azure Blobs, Azure Files, or Azure </w:t>
            </w:r>
            <w:r>
              <w:rPr>
                <w:sz w:val="20"/>
                <w:szCs w:val="20"/>
              </w:rPr>
              <w:t>d</w:t>
            </w:r>
            <w:r w:rsidRPr="00A41D89">
              <w:rPr>
                <w:sz w:val="20"/>
                <w:szCs w:val="20"/>
              </w:rPr>
              <w:t xml:space="preserve">ata </w:t>
            </w:r>
            <w:r>
              <w:rPr>
                <w:sz w:val="20"/>
                <w:szCs w:val="20"/>
              </w:rPr>
              <w:t>d</w:t>
            </w:r>
            <w:r w:rsidRPr="00A41D89">
              <w:rPr>
                <w:sz w:val="20"/>
                <w:szCs w:val="20"/>
              </w:rPr>
              <w:t>isks</w:t>
            </w:r>
            <w:r>
              <w:rPr>
                <w:sz w:val="20"/>
                <w:szCs w:val="20"/>
              </w:rPr>
              <w:t>.</w:t>
            </w:r>
          </w:p>
        </w:tc>
        <w:tc>
          <w:tcPr>
            <w:tcW w:w="0" w:type="auto"/>
          </w:tcPr>
          <w:p w14:paraId="27EAD441" w14:textId="77777777" w:rsidR="00700D9E" w:rsidRDefault="00700D9E" w:rsidP="00700D9E">
            <w:pPr>
              <w:rPr>
                <w:sz w:val="20"/>
                <w:szCs w:val="20"/>
              </w:rPr>
            </w:pPr>
            <w:r>
              <w:rPr>
                <w:sz w:val="20"/>
                <w:szCs w:val="20"/>
              </w:rPr>
              <w:t xml:space="preserve">Azure Files is most often used when data stored in the cloud needs to be accessed by multiple IaaS or PaaS virtual machines with a standard SMB interface or UNC path. </w:t>
            </w:r>
          </w:p>
          <w:p w14:paraId="76DD85CC" w14:textId="77777777" w:rsidR="00700D9E" w:rsidRDefault="00700D9E" w:rsidP="00700D9E">
            <w:pPr>
              <w:rPr>
                <w:sz w:val="20"/>
                <w:szCs w:val="20"/>
              </w:rPr>
            </w:pPr>
            <w:r>
              <w:rPr>
                <w:sz w:val="20"/>
                <w:szCs w:val="20"/>
              </w:rPr>
              <w:t xml:space="preserve">Azure Blobs is most often used for larger capacity uses and where </w:t>
            </w:r>
            <w:r w:rsidRPr="00A41D89">
              <w:rPr>
                <w:sz w:val="20"/>
                <w:szCs w:val="20"/>
              </w:rPr>
              <w:t xml:space="preserve">random access </w:t>
            </w:r>
            <w:r>
              <w:rPr>
                <w:sz w:val="20"/>
                <w:szCs w:val="20"/>
              </w:rPr>
              <w:t>is needed, such as for multiple disks, and y</w:t>
            </w:r>
            <w:r w:rsidRPr="00A41D89">
              <w:rPr>
                <w:sz w:val="20"/>
                <w:szCs w:val="20"/>
              </w:rPr>
              <w:t>ou want to be able to access data from anywhere.</w:t>
            </w:r>
          </w:p>
          <w:p w14:paraId="62EF34FD" w14:textId="2B62C830" w:rsidR="000D5A56" w:rsidRDefault="00700D9E" w:rsidP="00700D9E">
            <w:pPr>
              <w:rPr>
                <w:sz w:val="20"/>
                <w:szCs w:val="20"/>
              </w:rPr>
            </w:pPr>
            <w:r>
              <w:rPr>
                <w:sz w:val="20"/>
                <w:szCs w:val="20"/>
              </w:rPr>
              <w:t>Azure data disks are most often used when y</w:t>
            </w:r>
            <w:r w:rsidRPr="00BC248D">
              <w:rPr>
                <w:sz w:val="20"/>
                <w:szCs w:val="20"/>
              </w:rPr>
              <w:t>ou want to store data that is not required to be accessed from outside the virtual machine to which the disk is attached</w:t>
            </w:r>
            <w:r>
              <w:rPr>
                <w:sz w:val="20"/>
                <w:szCs w:val="20"/>
              </w:rPr>
              <w:t>. It is e</w:t>
            </w:r>
            <w:r w:rsidRPr="00BC248D">
              <w:rPr>
                <w:sz w:val="20"/>
                <w:szCs w:val="20"/>
              </w:rPr>
              <w:t>xclusive to a single virtual machine</w:t>
            </w:r>
            <w:r>
              <w:rPr>
                <w:sz w:val="20"/>
                <w:szCs w:val="20"/>
              </w:rPr>
              <w:t xml:space="preserve"> (only one at a time).</w:t>
            </w:r>
          </w:p>
        </w:tc>
      </w:tr>
      <w:tr w:rsidR="007F08A2" w14:paraId="5C240ADA" w14:textId="77777777" w:rsidTr="001D3D87">
        <w:trPr>
          <w:cnfStyle w:val="000000100000" w:firstRow="0" w:lastRow="0" w:firstColumn="0" w:lastColumn="0" w:oddVBand="0" w:evenVBand="0" w:oddHBand="1" w:evenHBand="0" w:firstRowFirstColumn="0" w:firstRowLastColumn="0" w:lastRowFirstColumn="0" w:lastRowLastColumn="0"/>
        </w:trPr>
        <w:tc>
          <w:tcPr>
            <w:tcW w:w="0" w:type="auto"/>
          </w:tcPr>
          <w:p w14:paraId="70671A08" w14:textId="666B36AB" w:rsidR="00BC248D" w:rsidRPr="000D5A56" w:rsidRDefault="00700D9E" w:rsidP="00BC248D">
            <w:pPr>
              <w:rPr>
                <w:sz w:val="20"/>
                <w:szCs w:val="20"/>
              </w:rPr>
            </w:pPr>
            <w:r>
              <w:rPr>
                <w:sz w:val="20"/>
                <w:szCs w:val="20"/>
              </w:rPr>
              <w:t>Depending on how data is replicated (LRS, GRS, ZRS, RA-GRS), the blob type, storage service, storage transactions, and the use of premium storage will affect the overall cost of the Azure Storage solution.</w:t>
            </w:r>
          </w:p>
        </w:tc>
        <w:tc>
          <w:tcPr>
            <w:tcW w:w="0" w:type="auto"/>
          </w:tcPr>
          <w:p w14:paraId="71C2E883" w14:textId="77777777" w:rsidR="00700D9E" w:rsidRDefault="00700D9E" w:rsidP="00700D9E">
            <w:pPr>
              <w:rPr>
                <w:sz w:val="20"/>
                <w:szCs w:val="20"/>
              </w:rPr>
            </w:pPr>
            <w:r w:rsidRPr="00BC248D">
              <w:rPr>
                <w:sz w:val="20"/>
                <w:szCs w:val="20"/>
              </w:rPr>
              <w:t>When making decisions about how your data is stored and accessed, you should also consider the costs involved.</w:t>
            </w:r>
            <w:r>
              <w:rPr>
                <w:sz w:val="20"/>
                <w:szCs w:val="20"/>
              </w:rPr>
              <w:t xml:space="preserve"> </w:t>
            </w:r>
          </w:p>
          <w:p w14:paraId="3E5EA5B5" w14:textId="5D5EE080" w:rsidR="00BC248D" w:rsidRPr="00A41D89" w:rsidRDefault="00700D9E" w:rsidP="00700D9E">
            <w:pPr>
              <w:rPr>
                <w:sz w:val="20"/>
                <w:szCs w:val="20"/>
              </w:rPr>
            </w:pPr>
            <w:r w:rsidRPr="007F08A2">
              <w:rPr>
                <w:sz w:val="20"/>
                <w:szCs w:val="20"/>
              </w:rPr>
              <w:t>Your total cost depends on how much you store, the volume of storage transactions and outbound data transfers, and which data redundancy option you choose.</w:t>
            </w:r>
          </w:p>
        </w:tc>
        <w:tc>
          <w:tcPr>
            <w:tcW w:w="0" w:type="auto"/>
          </w:tcPr>
          <w:p w14:paraId="6BFD176B" w14:textId="1E8EDF2F" w:rsidR="00700D9E" w:rsidRDefault="007F08A2" w:rsidP="00700D9E">
            <w:pPr>
              <w:rPr>
                <w:sz w:val="20"/>
                <w:szCs w:val="20"/>
              </w:rPr>
            </w:pPr>
            <w:r>
              <w:rPr>
                <w:sz w:val="20"/>
                <w:szCs w:val="20"/>
              </w:rPr>
              <w:t>T</w:t>
            </w:r>
            <w:r w:rsidR="00700D9E">
              <w:rPr>
                <w:sz w:val="20"/>
                <w:szCs w:val="20"/>
              </w:rPr>
              <w:t xml:space="preserve"> The type of data will drive most of these decisions. For example, data that is critical to a business may drive the decision to have GRS, whereas data that is less critical may suffice with LRS.</w:t>
            </w:r>
          </w:p>
          <w:p w14:paraId="67784B0C" w14:textId="77777777" w:rsidR="00700D9E" w:rsidRDefault="00700D9E" w:rsidP="00700D9E">
            <w:pPr>
              <w:rPr>
                <w:sz w:val="20"/>
                <w:szCs w:val="20"/>
              </w:rPr>
            </w:pPr>
            <w:r>
              <w:rPr>
                <w:sz w:val="20"/>
                <w:szCs w:val="20"/>
              </w:rPr>
              <w:t>Data that must be quickly accessed with the highest possible IOPS may drive the usage of premium storage, where data without that requirement may accept the use of standard storage.</w:t>
            </w:r>
          </w:p>
          <w:p w14:paraId="5007F3E2" w14:textId="0CE3E9D9" w:rsidR="00BC248D" w:rsidRDefault="00700D9E" w:rsidP="00700D9E">
            <w:pPr>
              <w:rPr>
                <w:sz w:val="20"/>
                <w:szCs w:val="20"/>
              </w:rPr>
            </w:pPr>
            <w:r>
              <w:rPr>
                <w:sz w:val="20"/>
                <w:szCs w:val="20"/>
              </w:rPr>
              <w:t>These requirements will necessitate and support the higher costs associated with the storage services.</w:t>
            </w:r>
          </w:p>
        </w:tc>
      </w:tr>
      <w:tr w:rsidR="003935CE" w14:paraId="62F6499F" w14:textId="77777777" w:rsidTr="001D3D87">
        <w:tc>
          <w:tcPr>
            <w:tcW w:w="0" w:type="auto"/>
          </w:tcPr>
          <w:p w14:paraId="577FAA72" w14:textId="62D98910" w:rsidR="003935CE" w:rsidRDefault="003935CE" w:rsidP="003935CE">
            <w:pPr>
              <w:rPr>
                <w:sz w:val="20"/>
                <w:szCs w:val="20"/>
              </w:rPr>
            </w:pPr>
            <w:r>
              <w:rPr>
                <w:sz w:val="20"/>
                <w:szCs w:val="20"/>
              </w:rPr>
              <w:t>Storage containers can be used to further organize data in storage accounts</w:t>
            </w:r>
            <w:r w:rsidR="00700D9E">
              <w:rPr>
                <w:sz w:val="20"/>
                <w:szCs w:val="20"/>
              </w:rPr>
              <w:t>.</w:t>
            </w:r>
          </w:p>
        </w:tc>
        <w:tc>
          <w:tcPr>
            <w:tcW w:w="0" w:type="auto"/>
          </w:tcPr>
          <w:p w14:paraId="57BAC602" w14:textId="050AF9AF" w:rsidR="003935CE" w:rsidRPr="00BC248D" w:rsidRDefault="00700D9E" w:rsidP="00C247BD">
            <w:pPr>
              <w:rPr>
                <w:sz w:val="20"/>
                <w:szCs w:val="20"/>
              </w:rPr>
            </w:pPr>
            <w:r>
              <w:rPr>
                <w:sz w:val="20"/>
                <w:szCs w:val="20"/>
              </w:rPr>
              <w:t>Decide how you want the data in Azure Storage to be organized.</w:t>
            </w:r>
          </w:p>
        </w:tc>
        <w:tc>
          <w:tcPr>
            <w:tcW w:w="0" w:type="auto"/>
          </w:tcPr>
          <w:p w14:paraId="74C65139" w14:textId="77777777" w:rsidR="00700D9E" w:rsidRDefault="00700D9E" w:rsidP="00700D9E">
            <w:pPr>
              <w:rPr>
                <w:sz w:val="20"/>
                <w:szCs w:val="20"/>
              </w:rPr>
            </w:pPr>
            <w:r>
              <w:rPr>
                <w:sz w:val="20"/>
                <w:szCs w:val="20"/>
              </w:rPr>
              <w:t xml:space="preserve">Deciding how to design and build containers is similar to how you would design and build a folder structure on a file server. It is simply how you want to organize the data. </w:t>
            </w:r>
          </w:p>
          <w:p w14:paraId="334B1877" w14:textId="7726F429" w:rsidR="003935CE" w:rsidRDefault="00700D9E" w:rsidP="00700D9E">
            <w:pPr>
              <w:rPr>
                <w:sz w:val="20"/>
                <w:szCs w:val="20"/>
              </w:rPr>
            </w:pPr>
            <w:r>
              <w:rPr>
                <w:sz w:val="20"/>
                <w:szCs w:val="20"/>
              </w:rPr>
              <w:t>By default, all VHDs will be put into a “vhds” folder, but you can change or specify whatever container structure you want to use.</w:t>
            </w:r>
          </w:p>
        </w:tc>
      </w:tr>
      <w:tr w:rsidR="00700D9E" w14:paraId="682AC1C1" w14:textId="77777777" w:rsidTr="001D3D87">
        <w:trPr>
          <w:cnfStyle w:val="000000100000" w:firstRow="0" w:lastRow="0" w:firstColumn="0" w:lastColumn="0" w:oddVBand="0" w:evenVBand="0" w:oddHBand="1" w:evenHBand="0" w:firstRowFirstColumn="0" w:firstRowLastColumn="0" w:lastRowFirstColumn="0" w:lastRowLastColumn="0"/>
        </w:trPr>
        <w:tc>
          <w:tcPr>
            <w:tcW w:w="0" w:type="auto"/>
          </w:tcPr>
          <w:p w14:paraId="21144CEA" w14:textId="648B3E6E" w:rsidR="00700D9E" w:rsidRDefault="00700D9E" w:rsidP="00700D9E">
            <w:pPr>
              <w:rPr>
                <w:sz w:val="20"/>
                <w:szCs w:val="20"/>
              </w:rPr>
            </w:pPr>
            <w:r>
              <w:rPr>
                <w:sz w:val="20"/>
                <w:szCs w:val="20"/>
              </w:rPr>
              <w:t>Concurrency settings can be modified for Azure Storage accounts.</w:t>
            </w:r>
          </w:p>
        </w:tc>
        <w:tc>
          <w:tcPr>
            <w:tcW w:w="0" w:type="auto"/>
          </w:tcPr>
          <w:p w14:paraId="51FDBCF3" w14:textId="77777777" w:rsidR="00700D9E" w:rsidRDefault="00700D9E" w:rsidP="00700D9E">
            <w:pPr>
              <w:rPr>
                <w:sz w:val="20"/>
                <w:szCs w:val="20"/>
              </w:rPr>
            </w:pPr>
            <w:r w:rsidRPr="0003419D">
              <w:rPr>
                <w:sz w:val="20"/>
                <w:szCs w:val="20"/>
              </w:rPr>
              <w:t xml:space="preserve">Modern applications usually have multiple users viewing and updating data simultaneously. This requires developers to think carefully about how to provide a predictable experience to their end users, particularly for scenarios where multiple users can update the same data. </w:t>
            </w:r>
          </w:p>
          <w:p w14:paraId="0E46A600" w14:textId="77777777" w:rsidR="00700D9E" w:rsidRDefault="00700D9E" w:rsidP="00700D9E">
            <w:pPr>
              <w:rPr>
                <w:sz w:val="20"/>
                <w:szCs w:val="20"/>
              </w:rPr>
            </w:pPr>
            <w:r w:rsidRPr="0003419D">
              <w:rPr>
                <w:sz w:val="20"/>
                <w:szCs w:val="20"/>
              </w:rPr>
              <w:t>There are three main data concurrency strategies developers typically consider:</w:t>
            </w:r>
          </w:p>
          <w:p w14:paraId="475AFACF" w14:textId="77777777" w:rsidR="00700D9E" w:rsidRPr="0040315C" w:rsidRDefault="00700D9E" w:rsidP="005729D2">
            <w:pPr>
              <w:pStyle w:val="ListParagraph"/>
              <w:numPr>
                <w:ilvl w:val="0"/>
                <w:numId w:val="44"/>
              </w:numPr>
              <w:rPr>
                <w:sz w:val="20"/>
                <w:szCs w:val="20"/>
              </w:rPr>
            </w:pPr>
            <w:r w:rsidRPr="0040315C">
              <w:rPr>
                <w:sz w:val="20"/>
                <w:szCs w:val="20"/>
              </w:rPr>
              <w:t xml:space="preserve">Optimistic concurrency </w:t>
            </w:r>
          </w:p>
          <w:p w14:paraId="0854A282" w14:textId="77777777" w:rsidR="00700D9E" w:rsidRPr="0040315C" w:rsidRDefault="00700D9E" w:rsidP="005729D2">
            <w:pPr>
              <w:pStyle w:val="ListParagraph"/>
              <w:numPr>
                <w:ilvl w:val="0"/>
                <w:numId w:val="44"/>
              </w:numPr>
              <w:rPr>
                <w:sz w:val="20"/>
                <w:szCs w:val="20"/>
              </w:rPr>
            </w:pPr>
            <w:r w:rsidRPr="0040315C">
              <w:rPr>
                <w:sz w:val="20"/>
                <w:szCs w:val="20"/>
              </w:rPr>
              <w:t>Pessimistic concurrency</w:t>
            </w:r>
          </w:p>
          <w:p w14:paraId="22D76D26" w14:textId="31EAF765" w:rsidR="00700D9E" w:rsidRPr="0040315C" w:rsidRDefault="00700D9E" w:rsidP="005729D2">
            <w:pPr>
              <w:pStyle w:val="ListParagraph"/>
              <w:numPr>
                <w:ilvl w:val="0"/>
                <w:numId w:val="44"/>
              </w:numPr>
              <w:rPr>
                <w:sz w:val="20"/>
                <w:szCs w:val="20"/>
              </w:rPr>
            </w:pPr>
            <w:r w:rsidRPr="0040315C">
              <w:rPr>
                <w:sz w:val="20"/>
                <w:szCs w:val="20"/>
              </w:rPr>
              <w:t>Last writer wins</w:t>
            </w:r>
          </w:p>
        </w:tc>
        <w:tc>
          <w:tcPr>
            <w:tcW w:w="0" w:type="auto"/>
          </w:tcPr>
          <w:p w14:paraId="0D8DB976" w14:textId="77777777" w:rsidR="00700D9E" w:rsidRDefault="00700D9E" w:rsidP="00700D9E">
            <w:pPr>
              <w:rPr>
                <w:sz w:val="20"/>
                <w:szCs w:val="20"/>
              </w:rPr>
            </w:pPr>
            <w:r w:rsidRPr="0040315C">
              <w:rPr>
                <w:sz w:val="20"/>
                <w:szCs w:val="20"/>
              </w:rPr>
              <w:t xml:space="preserve">You can opt to use optimistic or pessimistic concurrency models to manage access to blobs and containers in the </w:t>
            </w:r>
            <w:r>
              <w:rPr>
                <w:sz w:val="20"/>
                <w:szCs w:val="20"/>
              </w:rPr>
              <w:t>B</w:t>
            </w:r>
            <w:r w:rsidRPr="0040315C">
              <w:rPr>
                <w:sz w:val="20"/>
                <w:szCs w:val="20"/>
              </w:rPr>
              <w:t>lob service. If you do not explicitly specify a strategy</w:t>
            </w:r>
            <w:r>
              <w:rPr>
                <w:sz w:val="20"/>
                <w:szCs w:val="20"/>
              </w:rPr>
              <w:t>,</w:t>
            </w:r>
            <w:r w:rsidRPr="0040315C">
              <w:rPr>
                <w:sz w:val="20"/>
                <w:szCs w:val="20"/>
              </w:rPr>
              <w:t xml:space="preserve"> last write</w:t>
            </w:r>
            <w:r>
              <w:rPr>
                <w:sz w:val="20"/>
                <w:szCs w:val="20"/>
              </w:rPr>
              <w:t>r</w:t>
            </w:r>
            <w:r w:rsidRPr="0040315C">
              <w:rPr>
                <w:sz w:val="20"/>
                <w:szCs w:val="20"/>
              </w:rPr>
              <w:t xml:space="preserve"> wins is the default.</w:t>
            </w:r>
          </w:p>
          <w:p w14:paraId="1110A848" w14:textId="77777777" w:rsidR="00700D9E" w:rsidRDefault="00700D9E" w:rsidP="00700D9E">
            <w:pPr>
              <w:rPr>
                <w:sz w:val="20"/>
                <w:szCs w:val="20"/>
              </w:rPr>
            </w:pPr>
            <w:r>
              <w:rPr>
                <w:sz w:val="20"/>
                <w:szCs w:val="20"/>
              </w:rPr>
              <w:t>For IaaS, concurrency settings do not need to be modified.</w:t>
            </w:r>
          </w:p>
          <w:p w14:paraId="3D8310DD" w14:textId="47147F6A" w:rsidR="00700D9E" w:rsidRDefault="00700D9E" w:rsidP="00700D9E">
            <w:pPr>
              <w:rPr>
                <w:sz w:val="20"/>
                <w:szCs w:val="20"/>
              </w:rPr>
            </w:pPr>
            <w:r>
              <w:rPr>
                <w:sz w:val="20"/>
                <w:szCs w:val="20"/>
              </w:rPr>
              <w:t>For PaaS, the developers need to consider the type of application, the user base, and the data types to help determine the concurrency settings.</w:t>
            </w:r>
          </w:p>
        </w:tc>
      </w:tr>
      <w:tr w:rsidR="00700D9E" w14:paraId="2076DD63" w14:textId="77777777" w:rsidTr="001D3D87">
        <w:tc>
          <w:tcPr>
            <w:tcW w:w="0" w:type="auto"/>
          </w:tcPr>
          <w:p w14:paraId="1DB845D0" w14:textId="418975C8" w:rsidR="00700D9E" w:rsidRDefault="00700D9E" w:rsidP="00700D9E">
            <w:pPr>
              <w:rPr>
                <w:sz w:val="20"/>
                <w:szCs w:val="20"/>
              </w:rPr>
            </w:pPr>
            <w:r>
              <w:rPr>
                <w:sz w:val="20"/>
                <w:szCs w:val="20"/>
              </w:rPr>
              <w:t>There are storage account limitations that must be understood and respected.</w:t>
            </w:r>
          </w:p>
        </w:tc>
        <w:tc>
          <w:tcPr>
            <w:tcW w:w="0" w:type="auto"/>
          </w:tcPr>
          <w:p w14:paraId="0E3F56CC" w14:textId="77777777" w:rsidR="00700D9E" w:rsidRDefault="00700D9E" w:rsidP="00700D9E">
            <w:pPr>
              <w:rPr>
                <w:sz w:val="20"/>
                <w:szCs w:val="20"/>
              </w:rPr>
            </w:pPr>
            <w:r>
              <w:rPr>
                <w:sz w:val="20"/>
                <w:szCs w:val="20"/>
              </w:rPr>
              <w:t xml:space="preserve">Aside from the </w:t>
            </w:r>
            <w:r>
              <w:rPr>
                <w:b/>
                <w:sz w:val="20"/>
                <w:szCs w:val="20"/>
              </w:rPr>
              <w:t>size</w:t>
            </w:r>
            <w:r>
              <w:rPr>
                <w:sz w:val="20"/>
                <w:szCs w:val="20"/>
              </w:rPr>
              <w:t xml:space="preserve"> limits of Azure Storage accounts, you must consider the </w:t>
            </w:r>
            <w:r w:rsidRPr="00EF146B">
              <w:rPr>
                <w:sz w:val="20"/>
                <w:szCs w:val="20"/>
              </w:rPr>
              <w:t>throughput</w:t>
            </w:r>
            <w:r>
              <w:rPr>
                <w:sz w:val="20"/>
                <w:szCs w:val="20"/>
              </w:rPr>
              <w:t xml:space="preserve"> limitations of each account and design your storage accounts with those in mind. </w:t>
            </w:r>
          </w:p>
          <w:p w14:paraId="415AF92E" w14:textId="2EF18D2D" w:rsidR="00700D9E" w:rsidRPr="008C5440" w:rsidRDefault="00700D9E" w:rsidP="00700D9E">
            <w:r w:rsidRPr="00A61EB9">
              <w:rPr>
                <w:sz w:val="20"/>
                <w:szCs w:val="20"/>
              </w:rPr>
              <w:t>You are more likely to hit the throughput limitations before you hit the size limitations.</w:t>
            </w:r>
            <w:r>
              <w:rPr>
                <w:sz w:val="20"/>
                <w:szCs w:val="20"/>
              </w:rPr>
              <w:t xml:space="preserve"> You are also limited by the </w:t>
            </w:r>
            <w:r w:rsidRPr="00EF146B">
              <w:rPr>
                <w:sz w:val="20"/>
                <w:szCs w:val="20"/>
              </w:rPr>
              <w:t>number</w:t>
            </w:r>
            <w:r>
              <w:rPr>
                <w:sz w:val="20"/>
                <w:szCs w:val="20"/>
              </w:rPr>
              <w:t xml:space="preserve"> of storage accounts per subscription.</w:t>
            </w:r>
          </w:p>
        </w:tc>
        <w:tc>
          <w:tcPr>
            <w:tcW w:w="0" w:type="auto"/>
          </w:tcPr>
          <w:p w14:paraId="3DB98DA7" w14:textId="77777777" w:rsidR="00700D9E" w:rsidRDefault="00700D9E" w:rsidP="00700D9E">
            <w:pPr>
              <w:rPr>
                <w:sz w:val="20"/>
                <w:szCs w:val="20"/>
              </w:rPr>
            </w:pPr>
            <w:r>
              <w:rPr>
                <w:sz w:val="20"/>
                <w:szCs w:val="20"/>
              </w:rPr>
              <w:t xml:space="preserve">The primary constraining factor is the number of VHD files that can be stored in each storage account. </w:t>
            </w:r>
            <w:r w:rsidRPr="008C5440">
              <w:rPr>
                <w:sz w:val="20"/>
                <w:szCs w:val="20"/>
              </w:rPr>
              <w:t xml:space="preserve">For virtual machines in the Basic </w:t>
            </w:r>
            <w:r>
              <w:rPr>
                <w:sz w:val="20"/>
                <w:szCs w:val="20"/>
              </w:rPr>
              <w:t>t</w:t>
            </w:r>
            <w:r w:rsidRPr="008C5440">
              <w:rPr>
                <w:sz w:val="20"/>
                <w:szCs w:val="20"/>
              </w:rPr>
              <w:t>ier, do not place more than</w:t>
            </w:r>
            <w:r>
              <w:rPr>
                <w:sz w:val="20"/>
                <w:szCs w:val="20"/>
              </w:rPr>
              <w:t> 6</w:t>
            </w:r>
            <w:r w:rsidRPr="008C5440">
              <w:rPr>
                <w:sz w:val="20"/>
                <w:szCs w:val="20"/>
              </w:rPr>
              <w:t xml:space="preserve">6 </w:t>
            </w:r>
            <w:r w:rsidRPr="008C5440">
              <w:rPr>
                <w:b/>
                <w:sz w:val="20"/>
                <w:szCs w:val="20"/>
              </w:rPr>
              <w:t>highly used</w:t>
            </w:r>
            <w:r w:rsidRPr="008C5440">
              <w:rPr>
                <w:sz w:val="20"/>
                <w:szCs w:val="20"/>
              </w:rPr>
              <w:t xml:space="preserve"> VHDs in a storage account to avoid the</w:t>
            </w:r>
            <w:r>
              <w:rPr>
                <w:sz w:val="20"/>
                <w:szCs w:val="20"/>
              </w:rPr>
              <w:t> 2</w:t>
            </w:r>
            <w:r w:rsidRPr="008C5440">
              <w:rPr>
                <w:sz w:val="20"/>
                <w:szCs w:val="20"/>
              </w:rPr>
              <w:t xml:space="preserve">0,000 total request rate limit (20,000/300). </w:t>
            </w:r>
          </w:p>
          <w:p w14:paraId="127C177D" w14:textId="77777777" w:rsidR="00700D9E" w:rsidRDefault="00700D9E" w:rsidP="00700D9E">
            <w:pPr>
              <w:rPr>
                <w:sz w:val="20"/>
                <w:szCs w:val="20"/>
              </w:rPr>
            </w:pPr>
            <w:r w:rsidRPr="008C5440">
              <w:rPr>
                <w:sz w:val="20"/>
                <w:szCs w:val="20"/>
              </w:rPr>
              <w:t xml:space="preserve">For virtual machines in the Standard </w:t>
            </w:r>
            <w:r>
              <w:rPr>
                <w:sz w:val="20"/>
                <w:szCs w:val="20"/>
              </w:rPr>
              <w:t>t</w:t>
            </w:r>
            <w:r w:rsidRPr="008C5440">
              <w:rPr>
                <w:sz w:val="20"/>
                <w:szCs w:val="20"/>
              </w:rPr>
              <w:t>ier, do not place more than</w:t>
            </w:r>
            <w:r>
              <w:rPr>
                <w:sz w:val="20"/>
                <w:szCs w:val="20"/>
              </w:rPr>
              <w:t> 4</w:t>
            </w:r>
            <w:r w:rsidRPr="008C5440">
              <w:rPr>
                <w:sz w:val="20"/>
                <w:szCs w:val="20"/>
              </w:rPr>
              <w:t xml:space="preserve">0 </w:t>
            </w:r>
            <w:r w:rsidRPr="00EF146B">
              <w:rPr>
                <w:sz w:val="20"/>
                <w:szCs w:val="20"/>
              </w:rPr>
              <w:t>highly used</w:t>
            </w:r>
            <w:r w:rsidRPr="008C5440">
              <w:rPr>
                <w:sz w:val="20"/>
                <w:szCs w:val="20"/>
              </w:rPr>
              <w:t xml:space="preserve"> VHDs in </w:t>
            </w:r>
            <w:r>
              <w:rPr>
                <w:sz w:val="20"/>
                <w:szCs w:val="20"/>
              </w:rPr>
              <w:t xml:space="preserve">a storage account (20,000/500). The term </w:t>
            </w:r>
            <w:r w:rsidRPr="00EF146B">
              <w:rPr>
                <w:sz w:val="20"/>
                <w:szCs w:val="20"/>
              </w:rPr>
              <w:t>highly used</w:t>
            </w:r>
            <w:r>
              <w:rPr>
                <w:sz w:val="20"/>
                <w:szCs w:val="20"/>
              </w:rPr>
              <w:t xml:space="preserve"> refers to VHDs that push the upper limits of the total request rates. </w:t>
            </w:r>
          </w:p>
          <w:p w14:paraId="3D9DC564" w14:textId="77777777" w:rsidR="00700D9E" w:rsidRDefault="00700D9E" w:rsidP="00700D9E">
            <w:pPr>
              <w:rPr>
                <w:sz w:val="20"/>
                <w:szCs w:val="20"/>
              </w:rPr>
            </w:pPr>
            <w:r>
              <w:rPr>
                <w:sz w:val="20"/>
                <w:szCs w:val="20"/>
              </w:rPr>
              <w:t xml:space="preserve">If you have VHDs that are </w:t>
            </w:r>
            <w:r w:rsidRPr="00EF146B">
              <w:rPr>
                <w:sz w:val="20"/>
                <w:szCs w:val="20"/>
              </w:rPr>
              <w:t>not</w:t>
            </w:r>
            <w:r>
              <w:rPr>
                <w:sz w:val="20"/>
                <w:szCs w:val="20"/>
              </w:rPr>
              <w:t xml:space="preserve"> highly used and do not come close to the maximum request rates, you can put more VHDs in the storage account. </w:t>
            </w:r>
          </w:p>
          <w:p w14:paraId="5A163187" w14:textId="68AA62E5" w:rsidR="00700D9E" w:rsidRPr="0040315C" w:rsidRDefault="00700D9E" w:rsidP="00700D9E">
            <w:pPr>
              <w:rPr>
                <w:sz w:val="20"/>
                <w:szCs w:val="20"/>
              </w:rPr>
            </w:pPr>
            <w:r>
              <w:rPr>
                <w:sz w:val="20"/>
                <w:szCs w:val="20"/>
              </w:rPr>
              <w:t>Note that this refers to virtual hard disks and not virtual machines. Virtual machines may indeed contain multiple virtual hard disks.</w:t>
            </w:r>
          </w:p>
        </w:tc>
      </w:tr>
      <w:tr w:rsidR="00700D9E" w14:paraId="34E161B9" w14:textId="77777777" w:rsidTr="001D3D87">
        <w:trPr>
          <w:cnfStyle w:val="000000100000" w:firstRow="0" w:lastRow="0" w:firstColumn="0" w:lastColumn="0" w:oddVBand="0" w:evenVBand="0" w:oddHBand="1" w:evenHBand="0" w:firstRowFirstColumn="0" w:firstRowLastColumn="0" w:lastRowFirstColumn="0" w:lastRowLastColumn="0"/>
        </w:trPr>
        <w:tc>
          <w:tcPr>
            <w:tcW w:w="0" w:type="auto"/>
          </w:tcPr>
          <w:p w14:paraId="1AA9A36D" w14:textId="08315112" w:rsidR="00700D9E" w:rsidRDefault="00700D9E" w:rsidP="00700D9E">
            <w:pPr>
              <w:rPr>
                <w:sz w:val="20"/>
                <w:szCs w:val="20"/>
              </w:rPr>
            </w:pPr>
            <w:r>
              <w:rPr>
                <w:sz w:val="20"/>
                <w:szCs w:val="20"/>
              </w:rPr>
              <w:t>Single or multiple storage accounts can be used.</w:t>
            </w:r>
          </w:p>
        </w:tc>
        <w:tc>
          <w:tcPr>
            <w:tcW w:w="0" w:type="auto"/>
          </w:tcPr>
          <w:p w14:paraId="00CA810F" w14:textId="77777777" w:rsidR="00700D9E" w:rsidRDefault="00700D9E" w:rsidP="00700D9E">
            <w:pPr>
              <w:rPr>
                <w:sz w:val="20"/>
                <w:szCs w:val="20"/>
              </w:rPr>
            </w:pPr>
            <w:r>
              <w:rPr>
                <w:sz w:val="20"/>
                <w:szCs w:val="20"/>
              </w:rPr>
              <w:t xml:space="preserve">Additional storage accounts may be used to get more scale than a single storage account. </w:t>
            </w:r>
          </w:p>
          <w:p w14:paraId="78EF3A00" w14:textId="73C5C894" w:rsidR="00700D9E" w:rsidRDefault="00700D9E" w:rsidP="00700D9E">
            <w:pPr>
              <w:rPr>
                <w:sz w:val="20"/>
                <w:szCs w:val="20"/>
              </w:rPr>
            </w:pPr>
            <w:r>
              <w:rPr>
                <w:sz w:val="20"/>
                <w:szCs w:val="20"/>
              </w:rPr>
              <w:t xml:space="preserve">Consider how to design the IaaS or PaaS workloads to </w:t>
            </w:r>
            <w:r w:rsidRPr="000146AC">
              <w:rPr>
                <w:sz w:val="20"/>
                <w:szCs w:val="20"/>
              </w:rPr>
              <w:t>dynamically add accounts</w:t>
            </w:r>
            <w:r>
              <w:rPr>
                <w:sz w:val="20"/>
                <w:szCs w:val="20"/>
              </w:rPr>
              <w:t>, in the event that more scale is needed for the solution in the future, beyond what a single storage account can provide.</w:t>
            </w:r>
          </w:p>
        </w:tc>
        <w:tc>
          <w:tcPr>
            <w:tcW w:w="0" w:type="auto"/>
          </w:tcPr>
          <w:p w14:paraId="52854936" w14:textId="77777777" w:rsidR="00700D9E" w:rsidRDefault="00700D9E" w:rsidP="00700D9E">
            <w:pPr>
              <w:rPr>
                <w:sz w:val="20"/>
                <w:szCs w:val="20"/>
              </w:rPr>
            </w:pPr>
            <w:r>
              <w:rPr>
                <w:sz w:val="20"/>
                <w:szCs w:val="20"/>
              </w:rPr>
              <w:t xml:space="preserve">Storage account </w:t>
            </w:r>
            <w:r w:rsidRPr="00EF146B">
              <w:rPr>
                <w:sz w:val="20"/>
                <w:szCs w:val="20"/>
              </w:rPr>
              <w:t>throughput</w:t>
            </w:r>
            <w:r>
              <w:rPr>
                <w:sz w:val="20"/>
                <w:szCs w:val="20"/>
              </w:rPr>
              <w:t xml:space="preserve"> is the determining factor in using single or multiple storage accounts. </w:t>
            </w:r>
          </w:p>
          <w:p w14:paraId="5E566B71" w14:textId="77777777" w:rsidR="00700D9E" w:rsidRDefault="00700D9E" w:rsidP="00700D9E">
            <w:pPr>
              <w:rPr>
                <w:sz w:val="20"/>
                <w:szCs w:val="20"/>
              </w:rPr>
            </w:pPr>
            <w:r>
              <w:rPr>
                <w:sz w:val="20"/>
                <w:szCs w:val="20"/>
              </w:rPr>
              <w:t>Consider the throughput limitations of each of the storage account types. Also, consider that throughput can be maximized by using:</w:t>
            </w:r>
          </w:p>
          <w:p w14:paraId="3464AB30" w14:textId="77777777" w:rsidR="00700D9E" w:rsidRPr="000146AC" w:rsidRDefault="00700D9E" w:rsidP="005729D2">
            <w:pPr>
              <w:pStyle w:val="ListParagraph"/>
              <w:numPr>
                <w:ilvl w:val="0"/>
                <w:numId w:val="53"/>
              </w:numPr>
              <w:rPr>
                <w:sz w:val="20"/>
                <w:szCs w:val="20"/>
              </w:rPr>
            </w:pPr>
            <w:r>
              <w:rPr>
                <w:sz w:val="20"/>
                <w:szCs w:val="20"/>
              </w:rPr>
              <w:t>M</w:t>
            </w:r>
            <w:r w:rsidRPr="000146AC">
              <w:rPr>
                <w:sz w:val="20"/>
                <w:szCs w:val="20"/>
              </w:rPr>
              <w:t>ore simultaneous outstanding I</w:t>
            </w:r>
            <w:r>
              <w:rPr>
                <w:sz w:val="20"/>
                <w:szCs w:val="20"/>
              </w:rPr>
              <w:t>/</w:t>
            </w:r>
            <w:r w:rsidRPr="000146AC">
              <w:rPr>
                <w:sz w:val="20"/>
                <w:szCs w:val="20"/>
              </w:rPr>
              <w:t>O</w:t>
            </w:r>
          </w:p>
          <w:p w14:paraId="150821D0" w14:textId="77777777" w:rsidR="00700D9E" w:rsidRPr="000146AC" w:rsidRDefault="00700D9E" w:rsidP="005729D2">
            <w:pPr>
              <w:pStyle w:val="ListParagraph"/>
              <w:numPr>
                <w:ilvl w:val="0"/>
                <w:numId w:val="53"/>
              </w:numPr>
              <w:rPr>
                <w:sz w:val="20"/>
                <w:szCs w:val="20"/>
              </w:rPr>
            </w:pPr>
            <w:r w:rsidRPr="000146AC">
              <w:rPr>
                <w:sz w:val="20"/>
                <w:szCs w:val="20"/>
              </w:rPr>
              <w:t xml:space="preserve">Parallel page writes or block writes </w:t>
            </w:r>
            <w:r>
              <w:rPr>
                <w:sz w:val="20"/>
                <w:szCs w:val="20"/>
              </w:rPr>
              <w:t>in a s</w:t>
            </w:r>
            <w:r w:rsidRPr="000146AC">
              <w:rPr>
                <w:sz w:val="20"/>
                <w:szCs w:val="20"/>
              </w:rPr>
              <w:t>ingle blob</w:t>
            </w:r>
          </w:p>
          <w:p w14:paraId="0C91150E" w14:textId="7405E613" w:rsidR="00700D9E" w:rsidRPr="000146AC" w:rsidRDefault="00700D9E" w:rsidP="005729D2">
            <w:pPr>
              <w:pStyle w:val="ListParagraph"/>
              <w:numPr>
                <w:ilvl w:val="0"/>
                <w:numId w:val="53"/>
              </w:numPr>
              <w:rPr>
                <w:sz w:val="20"/>
                <w:szCs w:val="20"/>
              </w:rPr>
            </w:pPr>
            <w:r>
              <w:rPr>
                <w:sz w:val="20"/>
                <w:szCs w:val="20"/>
              </w:rPr>
              <w:t xml:space="preserve">Parallel uploads for multiple </w:t>
            </w:r>
            <w:r w:rsidRPr="000146AC">
              <w:rPr>
                <w:sz w:val="20"/>
                <w:szCs w:val="20"/>
              </w:rPr>
              <w:t>blobs</w:t>
            </w:r>
          </w:p>
        </w:tc>
      </w:tr>
    </w:tbl>
    <w:p w14:paraId="3A497E41" w14:textId="4094C32C" w:rsidR="002D1DD6" w:rsidRDefault="002D1DD6" w:rsidP="005729D2">
      <w:pPr>
        <w:pStyle w:val="Heading3Numbered"/>
        <w:numPr>
          <w:ilvl w:val="2"/>
          <w:numId w:val="64"/>
        </w:numPr>
      </w:pPr>
      <w:bookmarkStart w:id="1783" w:name="_Toc414892091"/>
      <w:bookmarkStart w:id="1784" w:name="_Toc414960117"/>
      <w:bookmarkStart w:id="1785" w:name="_Toc414969088"/>
      <w:bookmarkStart w:id="1786" w:name="_Toc415011310"/>
      <w:bookmarkStart w:id="1787" w:name="_Toc415040000"/>
      <w:bookmarkStart w:id="1788" w:name="_Toc415572355"/>
      <w:bookmarkStart w:id="1789" w:name="_Toc415735525"/>
      <w:bookmarkStart w:id="1790" w:name="_Toc415814106"/>
      <w:bookmarkStart w:id="1791" w:name="_Toc416343841"/>
      <w:bookmarkStart w:id="1792" w:name="_Toc416863112"/>
      <w:bookmarkStart w:id="1793" w:name="_Toc417314718"/>
      <w:bookmarkStart w:id="1794" w:name="_Toc417323735"/>
      <w:bookmarkStart w:id="1795" w:name="_Toc417326824"/>
      <w:bookmarkStart w:id="1796" w:name="_Toc417330372"/>
      <w:bookmarkStart w:id="1797" w:name="_Toc417394978"/>
      <w:bookmarkStart w:id="1798" w:name="_Toc417399195"/>
      <w:bookmarkStart w:id="1799" w:name="_Toc417399354"/>
      <w:bookmarkStart w:id="1800" w:name="_Toc417400401"/>
      <w:bookmarkStart w:id="1801" w:name="_Toc417401249"/>
      <w:bookmarkStart w:id="1802" w:name="_Toc417419562"/>
      <w:bookmarkStart w:id="1803" w:name="_Toc417457334"/>
      <w:bookmarkStart w:id="1804" w:name="_Toc417481912"/>
      <w:bookmarkStart w:id="1805" w:name="_Toc417482170"/>
      <w:bookmarkStart w:id="1806" w:name="_Toc417499889"/>
      <w:bookmarkStart w:id="1807" w:name="_Toc417502711"/>
      <w:bookmarkStart w:id="1808" w:name="_Toc417548251"/>
      <w:bookmarkStart w:id="1809" w:name="_Toc417594483"/>
      <w:bookmarkStart w:id="1810" w:name="_Toc417934381"/>
      <w:bookmarkStart w:id="1811" w:name="_Toc417935720"/>
      <w:bookmarkStart w:id="1812" w:name="_Toc417936182"/>
      <w:bookmarkStart w:id="1813" w:name="_Toc417946836"/>
      <w:bookmarkStart w:id="1814" w:name="_Toc417982453"/>
      <w:bookmarkStart w:id="1815" w:name="_Toc417985878"/>
      <w:bookmarkStart w:id="1816" w:name="_Toc418000599"/>
      <w:bookmarkStart w:id="1817" w:name="_Toc418003742"/>
      <w:bookmarkStart w:id="1818" w:name="_Toc418011947"/>
      <w:bookmarkStart w:id="1819" w:name="_Toc418014595"/>
      <w:bookmarkStart w:id="1820" w:name="_Toc418029931"/>
      <w:bookmarkStart w:id="1821" w:name="_Toc418036867"/>
      <w:bookmarkStart w:id="1822" w:name="_Toc418061332"/>
      <w:bookmarkStart w:id="1823" w:name="_Toc418080681"/>
      <w:bookmarkStart w:id="1824" w:name="_Toc418081854"/>
      <w:bookmarkStart w:id="1825" w:name="_Toc418083256"/>
      <w:bookmarkStart w:id="1826" w:name="_Toc418095476"/>
      <w:bookmarkStart w:id="1827" w:name="_Toc418156646"/>
      <w:bookmarkStart w:id="1828" w:name="_Toc418167565"/>
      <w:bookmarkStart w:id="1829" w:name="_Toc418185822"/>
      <w:bookmarkStart w:id="1830" w:name="_Toc422941530"/>
      <w:bookmarkStart w:id="1831" w:name="_Toc423116736"/>
      <w:bookmarkStart w:id="1832" w:name="_Toc423117769"/>
      <w:bookmarkStart w:id="1833" w:name="_Toc423117219"/>
      <w:bookmarkStart w:id="1834" w:name="_Toc431288812"/>
      <w:r>
        <w:t>Naming Conventions</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662C3D44" w14:textId="702CA903" w:rsidR="00700D9E" w:rsidRDefault="009F7A71" w:rsidP="00700D9E">
      <w:r>
        <w:t>The</w:t>
      </w:r>
      <w:r w:rsidR="00700D9E">
        <w:t xml:space="preserve"> choice of a name for any asset in Microsoft Azure is an important choice because:</w:t>
      </w:r>
    </w:p>
    <w:p w14:paraId="4A3740CE" w14:textId="77777777" w:rsidR="00700D9E" w:rsidRDefault="00700D9E" w:rsidP="005729D2">
      <w:pPr>
        <w:pStyle w:val="ListParagraph"/>
        <w:numPr>
          <w:ilvl w:val="0"/>
          <w:numId w:val="255"/>
        </w:numPr>
      </w:pPr>
      <w:r>
        <w:t>It is difficult (though not impossible) to change that name at a later time.</w:t>
      </w:r>
    </w:p>
    <w:p w14:paraId="44BE01BE" w14:textId="77777777" w:rsidR="00700D9E" w:rsidRDefault="00700D9E" w:rsidP="005729D2">
      <w:pPr>
        <w:pStyle w:val="ListParagraph"/>
        <w:numPr>
          <w:ilvl w:val="0"/>
          <w:numId w:val="255"/>
        </w:numPr>
      </w:pPr>
      <w:r>
        <w:t xml:space="preserve">There are certain constraints and requirements that must be met when choosing a name. </w:t>
      </w:r>
    </w:p>
    <w:p w14:paraId="4855A6DF" w14:textId="77777777" w:rsidR="00700D9E" w:rsidRDefault="00700D9E" w:rsidP="00700D9E">
      <w:r>
        <w:t>This table covers the naming requirements for each element of a storage account.</w:t>
      </w:r>
    </w:p>
    <w:tbl>
      <w:tblPr>
        <w:tblStyle w:val="PlainTable11"/>
        <w:tblW w:w="5000" w:type="pct"/>
        <w:tblLook w:val="04A0" w:firstRow="1" w:lastRow="0" w:firstColumn="1" w:lastColumn="0" w:noHBand="0" w:noVBand="1"/>
      </w:tblPr>
      <w:tblGrid>
        <w:gridCol w:w="2470"/>
        <w:gridCol w:w="1100"/>
        <w:gridCol w:w="2317"/>
        <w:gridCol w:w="3463"/>
      </w:tblGrid>
      <w:tr w:rsidR="00700D9E" w:rsidRPr="00B553A6" w14:paraId="771CB3E7" w14:textId="77777777" w:rsidTr="0062142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21" w:type="pct"/>
            <w:shd w:val="clear" w:color="auto" w:fill="808080" w:themeFill="background1" w:themeFillShade="80"/>
            <w:noWrap/>
            <w:hideMark/>
          </w:tcPr>
          <w:p w14:paraId="18EF927B" w14:textId="77777777" w:rsidR="00700D9E" w:rsidRPr="00B553A6" w:rsidRDefault="00700D9E" w:rsidP="00621420">
            <w:pPr>
              <w:spacing w:line="240" w:lineRule="auto"/>
              <w:rPr>
                <w:color w:val="FFFFFF"/>
              </w:rPr>
            </w:pPr>
            <w:r>
              <w:rPr>
                <w:color w:val="FFFFFF"/>
              </w:rPr>
              <w:t>Item</w:t>
            </w:r>
          </w:p>
        </w:tc>
        <w:tc>
          <w:tcPr>
            <w:tcW w:w="588" w:type="pct"/>
            <w:shd w:val="clear" w:color="auto" w:fill="808080" w:themeFill="background1" w:themeFillShade="80"/>
            <w:noWrap/>
            <w:hideMark/>
          </w:tcPr>
          <w:p w14:paraId="39D32784" w14:textId="77777777" w:rsidR="00700D9E" w:rsidRPr="00B553A6" w:rsidRDefault="00700D9E" w:rsidP="00621420">
            <w:pPr>
              <w:spacing w:line="240" w:lineRule="auto"/>
              <w:cnfStyle w:val="100000000000" w:firstRow="1" w:lastRow="0" w:firstColumn="0" w:lastColumn="0" w:oddVBand="0" w:evenVBand="0" w:oddHBand="0" w:evenHBand="0" w:firstRowFirstColumn="0" w:firstRowLastColumn="0" w:lastRowFirstColumn="0" w:lastRowLastColumn="0"/>
              <w:rPr>
                <w:color w:val="FFFFFF"/>
              </w:rPr>
            </w:pPr>
            <w:r w:rsidRPr="00B553A6">
              <w:rPr>
                <w:color w:val="FFFFFF"/>
              </w:rPr>
              <w:t xml:space="preserve">Length </w:t>
            </w:r>
          </w:p>
        </w:tc>
        <w:tc>
          <w:tcPr>
            <w:tcW w:w="1239" w:type="pct"/>
            <w:shd w:val="clear" w:color="auto" w:fill="808080" w:themeFill="background1" w:themeFillShade="80"/>
            <w:noWrap/>
            <w:hideMark/>
          </w:tcPr>
          <w:p w14:paraId="749FBA95" w14:textId="77777777" w:rsidR="00700D9E" w:rsidRPr="00B553A6" w:rsidRDefault="00700D9E" w:rsidP="00621420">
            <w:pPr>
              <w:spacing w:line="240" w:lineRule="auto"/>
              <w:cnfStyle w:val="100000000000" w:firstRow="1" w:lastRow="0" w:firstColumn="0" w:lastColumn="0" w:oddVBand="0" w:evenVBand="0" w:oddHBand="0" w:evenHBand="0" w:firstRowFirstColumn="0" w:firstRowLastColumn="0" w:lastRowFirstColumn="0" w:lastRowLastColumn="0"/>
              <w:rPr>
                <w:color w:val="FFFFFF"/>
              </w:rPr>
            </w:pPr>
            <w:r w:rsidRPr="00B553A6">
              <w:rPr>
                <w:color w:val="FFFFFF"/>
              </w:rPr>
              <w:t>Casing</w:t>
            </w:r>
          </w:p>
        </w:tc>
        <w:tc>
          <w:tcPr>
            <w:tcW w:w="1852" w:type="pct"/>
            <w:shd w:val="clear" w:color="auto" w:fill="808080" w:themeFill="background1" w:themeFillShade="80"/>
            <w:noWrap/>
            <w:hideMark/>
          </w:tcPr>
          <w:p w14:paraId="2EC5D8D8" w14:textId="77777777" w:rsidR="00700D9E" w:rsidRPr="00B553A6" w:rsidRDefault="00700D9E" w:rsidP="00621420">
            <w:pPr>
              <w:spacing w:line="240" w:lineRule="auto"/>
              <w:cnfStyle w:val="100000000000" w:firstRow="1" w:lastRow="0" w:firstColumn="0" w:lastColumn="0" w:oddVBand="0" w:evenVBand="0" w:oddHBand="0" w:evenHBand="0" w:firstRowFirstColumn="0" w:firstRowLastColumn="0" w:lastRowFirstColumn="0" w:lastRowLastColumn="0"/>
              <w:rPr>
                <w:color w:val="FFFFFF"/>
              </w:rPr>
            </w:pPr>
            <w:r w:rsidRPr="00B553A6">
              <w:rPr>
                <w:color w:val="FFFFFF"/>
              </w:rPr>
              <w:t>Valid characters</w:t>
            </w:r>
          </w:p>
        </w:tc>
      </w:tr>
      <w:tr w:rsidR="00700D9E" w:rsidRPr="00B553A6" w14:paraId="32DC5E0F" w14:textId="77777777" w:rsidTr="0062142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21" w:type="pct"/>
            <w:noWrap/>
            <w:hideMark/>
          </w:tcPr>
          <w:p w14:paraId="232E922A" w14:textId="77777777" w:rsidR="00700D9E" w:rsidRPr="00B553A6" w:rsidRDefault="00700D9E" w:rsidP="00621420">
            <w:pPr>
              <w:rPr>
                <w:sz w:val="20"/>
              </w:rPr>
            </w:pPr>
            <w:r w:rsidRPr="00B553A6">
              <w:rPr>
                <w:sz w:val="20"/>
              </w:rPr>
              <w:t xml:space="preserve">Storage </w:t>
            </w:r>
            <w:r>
              <w:rPr>
                <w:sz w:val="20"/>
              </w:rPr>
              <w:t>a</w:t>
            </w:r>
            <w:r w:rsidRPr="00B553A6">
              <w:rPr>
                <w:sz w:val="20"/>
              </w:rPr>
              <w:t>ccount</w:t>
            </w:r>
            <w:r>
              <w:rPr>
                <w:sz w:val="20"/>
              </w:rPr>
              <w:t xml:space="preserve"> name</w:t>
            </w:r>
          </w:p>
        </w:tc>
        <w:tc>
          <w:tcPr>
            <w:tcW w:w="588" w:type="pct"/>
            <w:noWrap/>
            <w:hideMark/>
          </w:tcPr>
          <w:p w14:paraId="4CAA28CD" w14:textId="77777777" w:rsidR="00700D9E" w:rsidRPr="00B553A6" w:rsidRDefault="00700D9E" w:rsidP="00621420">
            <w:pPr>
              <w:cnfStyle w:val="000000100000" w:firstRow="0" w:lastRow="0" w:firstColumn="0" w:lastColumn="0" w:oddVBand="0" w:evenVBand="0" w:oddHBand="1" w:evenHBand="0" w:firstRowFirstColumn="0" w:firstRowLastColumn="0" w:lastRowFirstColumn="0" w:lastRowLastColumn="0"/>
              <w:rPr>
                <w:sz w:val="20"/>
              </w:rPr>
            </w:pPr>
            <w:r w:rsidRPr="00B553A6">
              <w:rPr>
                <w:sz w:val="20"/>
              </w:rPr>
              <w:t>3-24</w:t>
            </w:r>
          </w:p>
        </w:tc>
        <w:tc>
          <w:tcPr>
            <w:tcW w:w="1239" w:type="pct"/>
            <w:noWrap/>
            <w:hideMark/>
          </w:tcPr>
          <w:p w14:paraId="36EC2E9E" w14:textId="77777777" w:rsidR="00700D9E" w:rsidRPr="00B553A6" w:rsidRDefault="00700D9E" w:rsidP="00621420">
            <w:pPr>
              <w:cnfStyle w:val="000000100000" w:firstRow="0" w:lastRow="0" w:firstColumn="0" w:lastColumn="0" w:oddVBand="0" w:evenVBand="0" w:oddHBand="1" w:evenHBand="0" w:firstRowFirstColumn="0" w:firstRowLastColumn="0" w:lastRowFirstColumn="0" w:lastRowLastColumn="0"/>
              <w:rPr>
                <w:sz w:val="20"/>
              </w:rPr>
            </w:pPr>
            <w:r>
              <w:rPr>
                <w:sz w:val="20"/>
              </w:rPr>
              <w:t>L</w:t>
            </w:r>
            <w:r w:rsidRPr="00B553A6">
              <w:rPr>
                <w:sz w:val="20"/>
              </w:rPr>
              <w:t>ower</w:t>
            </w:r>
            <w:r>
              <w:rPr>
                <w:sz w:val="20"/>
              </w:rPr>
              <w:t xml:space="preserve"> </w:t>
            </w:r>
            <w:r w:rsidRPr="00B553A6">
              <w:rPr>
                <w:sz w:val="20"/>
              </w:rPr>
              <w:t xml:space="preserve">case </w:t>
            </w:r>
          </w:p>
        </w:tc>
        <w:tc>
          <w:tcPr>
            <w:tcW w:w="1852" w:type="pct"/>
            <w:noWrap/>
            <w:hideMark/>
          </w:tcPr>
          <w:p w14:paraId="1DC53DB0" w14:textId="77777777" w:rsidR="00700D9E" w:rsidRPr="00B553A6" w:rsidRDefault="00700D9E" w:rsidP="00621420">
            <w:pPr>
              <w:cnfStyle w:val="000000100000" w:firstRow="0" w:lastRow="0" w:firstColumn="0" w:lastColumn="0" w:oddVBand="0" w:evenVBand="0" w:oddHBand="1" w:evenHBand="0" w:firstRowFirstColumn="0" w:firstRowLastColumn="0" w:lastRowFirstColumn="0" w:lastRowLastColumn="0"/>
              <w:rPr>
                <w:sz w:val="20"/>
              </w:rPr>
            </w:pPr>
            <w:r>
              <w:rPr>
                <w:sz w:val="20"/>
              </w:rPr>
              <w:t>A</w:t>
            </w:r>
            <w:r w:rsidRPr="00B553A6">
              <w:rPr>
                <w:sz w:val="20"/>
              </w:rPr>
              <w:t>lphanumeric</w:t>
            </w:r>
          </w:p>
        </w:tc>
      </w:tr>
      <w:tr w:rsidR="00700D9E" w:rsidRPr="00B553A6" w14:paraId="2507F414" w14:textId="77777777" w:rsidTr="00621420">
        <w:trPr>
          <w:trHeight w:val="300"/>
        </w:trPr>
        <w:tc>
          <w:tcPr>
            <w:cnfStyle w:val="001000000000" w:firstRow="0" w:lastRow="0" w:firstColumn="1" w:lastColumn="0" w:oddVBand="0" w:evenVBand="0" w:oddHBand="0" w:evenHBand="0" w:firstRowFirstColumn="0" w:firstRowLastColumn="0" w:lastRowFirstColumn="0" w:lastRowLastColumn="0"/>
            <w:tcW w:w="1321" w:type="pct"/>
            <w:noWrap/>
            <w:hideMark/>
          </w:tcPr>
          <w:p w14:paraId="4B11261D" w14:textId="77777777" w:rsidR="00700D9E" w:rsidRPr="00B553A6" w:rsidRDefault="00700D9E" w:rsidP="00621420">
            <w:pPr>
              <w:rPr>
                <w:sz w:val="20"/>
              </w:rPr>
            </w:pPr>
            <w:r w:rsidRPr="00B553A6">
              <w:rPr>
                <w:sz w:val="20"/>
              </w:rPr>
              <w:t xml:space="preserve">Blob </w:t>
            </w:r>
            <w:r>
              <w:rPr>
                <w:sz w:val="20"/>
              </w:rPr>
              <w:t>n</w:t>
            </w:r>
            <w:r w:rsidRPr="00B553A6">
              <w:rPr>
                <w:sz w:val="20"/>
              </w:rPr>
              <w:t>ame</w:t>
            </w:r>
          </w:p>
        </w:tc>
        <w:tc>
          <w:tcPr>
            <w:tcW w:w="588" w:type="pct"/>
            <w:noWrap/>
            <w:hideMark/>
          </w:tcPr>
          <w:p w14:paraId="6BEFF701" w14:textId="77777777" w:rsidR="00700D9E" w:rsidRPr="00B553A6" w:rsidRDefault="00700D9E" w:rsidP="00621420">
            <w:pPr>
              <w:cnfStyle w:val="000000000000" w:firstRow="0" w:lastRow="0" w:firstColumn="0" w:lastColumn="0" w:oddVBand="0" w:evenVBand="0" w:oddHBand="0" w:evenHBand="0" w:firstRowFirstColumn="0" w:firstRowLastColumn="0" w:lastRowFirstColumn="0" w:lastRowLastColumn="0"/>
              <w:rPr>
                <w:sz w:val="20"/>
              </w:rPr>
            </w:pPr>
            <w:r w:rsidRPr="00B553A6">
              <w:rPr>
                <w:sz w:val="20"/>
              </w:rPr>
              <w:t>1-1024</w:t>
            </w:r>
          </w:p>
        </w:tc>
        <w:tc>
          <w:tcPr>
            <w:tcW w:w="1239" w:type="pct"/>
            <w:noWrap/>
            <w:hideMark/>
          </w:tcPr>
          <w:p w14:paraId="6FE3E4B6" w14:textId="77777777" w:rsidR="00700D9E" w:rsidRPr="00B553A6" w:rsidRDefault="00700D9E" w:rsidP="00621420">
            <w:pPr>
              <w:cnfStyle w:val="000000000000" w:firstRow="0" w:lastRow="0" w:firstColumn="0" w:lastColumn="0" w:oddVBand="0" w:evenVBand="0" w:oddHBand="0" w:evenHBand="0" w:firstRowFirstColumn="0" w:firstRowLastColumn="0" w:lastRowFirstColumn="0" w:lastRowLastColumn="0"/>
              <w:rPr>
                <w:sz w:val="20"/>
              </w:rPr>
            </w:pPr>
            <w:r>
              <w:rPr>
                <w:sz w:val="20"/>
              </w:rPr>
              <w:t>C</w:t>
            </w:r>
            <w:r w:rsidRPr="00B553A6">
              <w:rPr>
                <w:sz w:val="20"/>
              </w:rPr>
              <w:t>ase</w:t>
            </w:r>
            <w:r>
              <w:rPr>
                <w:sz w:val="20"/>
              </w:rPr>
              <w:t xml:space="preserve"> </w:t>
            </w:r>
            <w:r w:rsidRPr="00B553A6">
              <w:rPr>
                <w:sz w:val="20"/>
              </w:rPr>
              <w:t>sensitive</w:t>
            </w:r>
          </w:p>
        </w:tc>
        <w:tc>
          <w:tcPr>
            <w:tcW w:w="1852" w:type="pct"/>
            <w:noWrap/>
            <w:hideMark/>
          </w:tcPr>
          <w:p w14:paraId="14CA03FE" w14:textId="77777777" w:rsidR="00700D9E" w:rsidRPr="00B553A6" w:rsidRDefault="00700D9E" w:rsidP="00621420">
            <w:pPr>
              <w:cnfStyle w:val="000000000000" w:firstRow="0" w:lastRow="0" w:firstColumn="0" w:lastColumn="0" w:oddVBand="0" w:evenVBand="0" w:oddHBand="0" w:evenHBand="0" w:firstRowFirstColumn="0" w:firstRowLastColumn="0" w:lastRowFirstColumn="0" w:lastRowLastColumn="0"/>
              <w:rPr>
                <w:sz w:val="20"/>
              </w:rPr>
            </w:pPr>
            <w:r>
              <w:rPr>
                <w:sz w:val="20"/>
              </w:rPr>
              <w:t>A</w:t>
            </w:r>
            <w:r w:rsidRPr="00B553A6">
              <w:rPr>
                <w:sz w:val="20"/>
              </w:rPr>
              <w:t xml:space="preserve">ny </w:t>
            </w:r>
            <w:r>
              <w:rPr>
                <w:sz w:val="20"/>
              </w:rPr>
              <w:t>URL</w:t>
            </w:r>
            <w:r w:rsidRPr="00B553A6">
              <w:rPr>
                <w:sz w:val="20"/>
              </w:rPr>
              <w:t xml:space="preserve"> char</w:t>
            </w:r>
          </w:p>
        </w:tc>
      </w:tr>
      <w:tr w:rsidR="00700D9E" w:rsidRPr="00B553A6" w14:paraId="6FCACF21" w14:textId="77777777" w:rsidTr="0062142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21" w:type="pct"/>
            <w:noWrap/>
            <w:hideMark/>
          </w:tcPr>
          <w:p w14:paraId="3D2B5DB6" w14:textId="77777777" w:rsidR="00700D9E" w:rsidRPr="00B553A6" w:rsidRDefault="00700D9E" w:rsidP="00621420">
            <w:pPr>
              <w:rPr>
                <w:sz w:val="20"/>
              </w:rPr>
            </w:pPr>
            <w:r w:rsidRPr="00B553A6">
              <w:rPr>
                <w:sz w:val="20"/>
              </w:rPr>
              <w:t xml:space="preserve">Container </w:t>
            </w:r>
            <w:r>
              <w:rPr>
                <w:sz w:val="20"/>
              </w:rPr>
              <w:t>n</w:t>
            </w:r>
            <w:r w:rsidRPr="00B553A6">
              <w:rPr>
                <w:sz w:val="20"/>
              </w:rPr>
              <w:t>ame</w:t>
            </w:r>
          </w:p>
        </w:tc>
        <w:tc>
          <w:tcPr>
            <w:tcW w:w="588" w:type="pct"/>
            <w:noWrap/>
            <w:hideMark/>
          </w:tcPr>
          <w:p w14:paraId="43B6DCAB" w14:textId="77777777" w:rsidR="00700D9E" w:rsidRPr="00B553A6" w:rsidRDefault="00700D9E" w:rsidP="00621420">
            <w:pPr>
              <w:cnfStyle w:val="000000100000" w:firstRow="0" w:lastRow="0" w:firstColumn="0" w:lastColumn="0" w:oddVBand="0" w:evenVBand="0" w:oddHBand="1" w:evenHBand="0" w:firstRowFirstColumn="0" w:firstRowLastColumn="0" w:lastRowFirstColumn="0" w:lastRowLastColumn="0"/>
              <w:rPr>
                <w:sz w:val="20"/>
              </w:rPr>
            </w:pPr>
            <w:r w:rsidRPr="00B553A6">
              <w:rPr>
                <w:sz w:val="20"/>
              </w:rPr>
              <w:t>3-63</w:t>
            </w:r>
          </w:p>
        </w:tc>
        <w:tc>
          <w:tcPr>
            <w:tcW w:w="1239" w:type="pct"/>
            <w:noWrap/>
            <w:hideMark/>
          </w:tcPr>
          <w:p w14:paraId="593C65E2" w14:textId="77777777" w:rsidR="00700D9E" w:rsidRPr="00B553A6" w:rsidRDefault="00700D9E" w:rsidP="00621420">
            <w:pPr>
              <w:cnfStyle w:val="000000100000" w:firstRow="0" w:lastRow="0" w:firstColumn="0" w:lastColumn="0" w:oddVBand="0" w:evenVBand="0" w:oddHBand="1" w:evenHBand="0" w:firstRowFirstColumn="0" w:firstRowLastColumn="0" w:lastRowFirstColumn="0" w:lastRowLastColumn="0"/>
              <w:rPr>
                <w:sz w:val="20"/>
              </w:rPr>
            </w:pPr>
            <w:r>
              <w:rPr>
                <w:sz w:val="20"/>
              </w:rPr>
              <w:t>L</w:t>
            </w:r>
            <w:r w:rsidRPr="00B553A6">
              <w:rPr>
                <w:sz w:val="20"/>
              </w:rPr>
              <w:t>ower</w:t>
            </w:r>
            <w:r>
              <w:rPr>
                <w:sz w:val="20"/>
              </w:rPr>
              <w:t xml:space="preserve"> </w:t>
            </w:r>
            <w:r w:rsidRPr="00B553A6">
              <w:rPr>
                <w:sz w:val="20"/>
              </w:rPr>
              <w:t>case</w:t>
            </w:r>
          </w:p>
        </w:tc>
        <w:tc>
          <w:tcPr>
            <w:tcW w:w="1852" w:type="pct"/>
            <w:noWrap/>
            <w:hideMark/>
          </w:tcPr>
          <w:p w14:paraId="7D1D802A" w14:textId="77777777" w:rsidR="00700D9E" w:rsidRPr="00B553A6" w:rsidRDefault="00700D9E" w:rsidP="00621420">
            <w:pPr>
              <w:cnfStyle w:val="000000100000" w:firstRow="0" w:lastRow="0" w:firstColumn="0" w:lastColumn="0" w:oddVBand="0" w:evenVBand="0" w:oddHBand="1" w:evenHBand="0" w:firstRowFirstColumn="0" w:firstRowLastColumn="0" w:lastRowFirstColumn="0" w:lastRowLastColumn="0"/>
              <w:rPr>
                <w:sz w:val="20"/>
              </w:rPr>
            </w:pPr>
            <w:r>
              <w:rPr>
                <w:sz w:val="20"/>
              </w:rPr>
              <w:t>A</w:t>
            </w:r>
            <w:r w:rsidRPr="00B553A6">
              <w:rPr>
                <w:sz w:val="20"/>
              </w:rPr>
              <w:t>lphanumeric and dash</w:t>
            </w:r>
          </w:p>
        </w:tc>
      </w:tr>
      <w:tr w:rsidR="00700D9E" w:rsidRPr="00B553A6" w14:paraId="689817DD" w14:textId="77777777" w:rsidTr="00621420">
        <w:trPr>
          <w:trHeight w:val="300"/>
        </w:trPr>
        <w:tc>
          <w:tcPr>
            <w:cnfStyle w:val="001000000000" w:firstRow="0" w:lastRow="0" w:firstColumn="1" w:lastColumn="0" w:oddVBand="0" w:evenVBand="0" w:oddHBand="0" w:evenHBand="0" w:firstRowFirstColumn="0" w:firstRowLastColumn="0" w:lastRowFirstColumn="0" w:lastRowLastColumn="0"/>
            <w:tcW w:w="1321" w:type="pct"/>
            <w:noWrap/>
            <w:hideMark/>
          </w:tcPr>
          <w:p w14:paraId="52791934" w14:textId="77777777" w:rsidR="00700D9E" w:rsidRPr="00B553A6" w:rsidRDefault="00700D9E" w:rsidP="00621420">
            <w:pPr>
              <w:rPr>
                <w:sz w:val="20"/>
              </w:rPr>
            </w:pPr>
            <w:r w:rsidRPr="00B553A6">
              <w:rPr>
                <w:sz w:val="20"/>
              </w:rPr>
              <w:t>Queue</w:t>
            </w:r>
            <w:r>
              <w:rPr>
                <w:sz w:val="20"/>
              </w:rPr>
              <w:t xml:space="preserve"> n</w:t>
            </w:r>
            <w:r w:rsidRPr="00B553A6">
              <w:rPr>
                <w:sz w:val="20"/>
              </w:rPr>
              <w:t>ame</w:t>
            </w:r>
          </w:p>
        </w:tc>
        <w:tc>
          <w:tcPr>
            <w:tcW w:w="588" w:type="pct"/>
            <w:noWrap/>
            <w:hideMark/>
          </w:tcPr>
          <w:p w14:paraId="0AC8AF3E" w14:textId="77777777" w:rsidR="00700D9E" w:rsidRPr="00B553A6" w:rsidRDefault="00700D9E" w:rsidP="00621420">
            <w:pPr>
              <w:cnfStyle w:val="000000000000" w:firstRow="0" w:lastRow="0" w:firstColumn="0" w:lastColumn="0" w:oddVBand="0" w:evenVBand="0" w:oddHBand="0" w:evenHBand="0" w:firstRowFirstColumn="0" w:firstRowLastColumn="0" w:lastRowFirstColumn="0" w:lastRowLastColumn="0"/>
              <w:rPr>
                <w:sz w:val="20"/>
              </w:rPr>
            </w:pPr>
            <w:r w:rsidRPr="00B553A6">
              <w:rPr>
                <w:sz w:val="20"/>
              </w:rPr>
              <w:t>3-63</w:t>
            </w:r>
          </w:p>
        </w:tc>
        <w:tc>
          <w:tcPr>
            <w:tcW w:w="1239" w:type="pct"/>
            <w:noWrap/>
            <w:hideMark/>
          </w:tcPr>
          <w:p w14:paraId="4FF79EB6" w14:textId="77777777" w:rsidR="00700D9E" w:rsidRPr="00B553A6" w:rsidRDefault="00700D9E" w:rsidP="00621420">
            <w:pPr>
              <w:cnfStyle w:val="000000000000" w:firstRow="0" w:lastRow="0" w:firstColumn="0" w:lastColumn="0" w:oddVBand="0" w:evenVBand="0" w:oddHBand="0" w:evenHBand="0" w:firstRowFirstColumn="0" w:firstRowLastColumn="0" w:lastRowFirstColumn="0" w:lastRowLastColumn="0"/>
              <w:rPr>
                <w:sz w:val="20"/>
              </w:rPr>
            </w:pPr>
            <w:r>
              <w:rPr>
                <w:sz w:val="20"/>
              </w:rPr>
              <w:t>L</w:t>
            </w:r>
            <w:r w:rsidRPr="00B553A6">
              <w:rPr>
                <w:sz w:val="20"/>
              </w:rPr>
              <w:t>ower</w:t>
            </w:r>
            <w:r>
              <w:rPr>
                <w:sz w:val="20"/>
              </w:rPr>
              <w:t xml:space="preserve"> </w:t>
            </w:r>
            <w:r w:rsidRPr="00B553A6">
              <w:rPr>
                <w:sz w:val="20"/>
              </w:rPr>
              <w:t>case</w:t>
            </w:r>
          </w:p>
        </w:tc>
        <w:tc>
          <w:tcPr>
            <w:tcW w:w="1852" w:type="pct"/>
            <w:noWrap/>
            <w:hideMark/>
          </w:tcPr>
          <w:p w14:paraId="69908701" w14:textId="77777777" w:rsidR="00700D9E" w:rsidRPr="00B553A6" w:rsidRDefault="00700D9E" w:rsidP="00621420">
            <w:pPr>
              <w:cnfStyle w:val="000000000000" w:firstRow="0" w:lastRow="0" w:firstColumn="0" w:lastColumn="0" w:oddVBand="0" w:evenVBand="0" w:oddHBand="0" w:evenHBand="0" w:firstRowFirstColumn="0" w:firstRowLastColumn="0" w:lastRowFirstColumn="0" w:lastRowLastColumn="0"/>
              <w:rPr>
                <w:sz w:val="20"/>
              </w:rPr>
            </w:pPr>
            <w:r>
              <w:rPr>
                <w:sz w:val="20"/>
              </w:rPr>
              <w:t>A</w:t>
            </w:r>
            <w:r w:rsidRPr="00B553A6">
              <w:rPr>
                <w:sz w:val="20"/>
              </w:rPr>
              <w:t>lphanumeric and dash</w:t>
            </w:r>
          </w:p>
        </w:tc>
      </w:tr>
      <w:tr w:rsidR="00700D9E" w:rsidRPr="00B553A6" w14:paraId="7732AF55" w14:textId="77777777" w:rsidTr="0062142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21" w:type="pct"/>
            <w:noWrap/>
            <w:hideMark/>
          </w:tcPr>
          <w:p w14:paraId="2DD865B5" w14:textId="77777777" w:rsidR="00700D9E" w:rsidRPr="00B553A6" w:rsidRDefault="00700D9E" w:rsidP="00621420">
            <w:pPr>
              <w:rPr>
                <w:sz w:val="20"/>
              </w:rPr>
            </w:pPr>
            <w:r w:rsidRPr="00B553A6">
              <w:rPr>
                <w:sz w:val="20"/>
              </w:rPr>
              <w:t>Table</w:t>
            </w:r>
            <w:r>
              <w:rPr>
                <w:sz w:val="20"/>
              </w:rPr>
              <w:t xml:space="preserve"> n</w:t>
            </w:r>
            <w:r w:rsidRPr="00B553A6">
              <w:rPr>
                <w:sz w:val="20"/>
              </w:rPr>
              <w:t>ame</w:t>
            </w:r>
          </w:p>
        </w:tc>
        <w:tc>
          <w:tcPr>
            <w:tcW w:w="588" w:type="pct"/>
            <w:noWrap/>
            <w:hideMark/>
          </w:tcPr>
          <w:p w14:paraId="61C2A439" w14:textId="77777777" w:rsidR="00700D9E" w:rsidRPr="00B553A6" w:rsidRDefault="00700D9E" w:rsidP="00621420">
            <w:pPr>
              <w:cnfStyle w:val="000000100000" w:firstRow="0" w:lastRow="0" w:firstColumn="0" w:lastColumn="0" w:oddVBand="0" w:evenVBand="0" w:oddHBand="1" w:evenHBand="0" w:firstRowFirstColumn="0" w:firstRowLastColumn="0" w:lastRowFirstColumn="0" w:lastRowLastColumn="0"/>
              <w:rPr>
                <w:sz w:val="20"/>
              </w:rPr>
            </w:pPr>
            <w:r w:rsidRPr="00B553A6">
              <w:rPr>
                <w:sz w:val="20"/>
              </w:rPr>
              <w:t>3-63</w:t>
            </w:r>
          </w:p>
        </w:tc>
        <w:tc>
          <w:tcPr>
            <w:tcW w:w="1239" w:type="pct"/>
            <w:noWrap/>
            <w:hideMark/>
          </w:tcPr>
          <w:p w14:paraId="032305E3" w14:textId="77777777" w:rsidR="00700D9E" w:rsidRPr="00B553A6" w:rsidRDefault="00700D9E" w:rsidP="00621420">
            <w:pPr>
              <w:cnfStyle w:val="000000100000" w:firstRow="0" w:lastRow="0" w:firstColumn="0" w:lastColumn="0" w:oddVBand="0" w:evenVBand="0" w:oddHBand="1" w:evenHBand="0" w:firstRowFirstColumn="0" w:firstRowLastColumn="0" w:lastRowFirstColumn="0" w:lastRowLastColumn="0"/>
              <w:rPr>
                <w:sz w:val="20"/>
              </w:rPr>
            </w:pPr>
            <w:r>
              <w:rPr>
                <w:sz w:val="20"/>
              </w:rPr>
              <w:t>C</w:t>
            </w:r>
            <w:r w:rsidRPr="00B553A6">
              <w:rPr>
                <w:sz w:val="20"/>
              </w:rPr>
              <w:t>ase</w:t>
            </w:r>
            <w:r>
              <w:rPr>
                <w:sz w:val="20"/>
              </w:rPr>
              <w:t xml:space="preserve"> </w:t>
            </w:r>
            <w:r w:rsidRPr="00B553A6">
              <w:rPr>
                <w:sz w:val="20"/>
              </w:rPr>
              <w:t>insensitive</w:t>
            </w:r>
          </w:p>
        </w:tc>
        <w:tc>
          <w:tcPr>
            <w:tcW w:w="1852" w:type="pct"/>
            <w:noWrap/>
            <w:hideMark/>
          </w:tcPr>
          <w:p w14:paraId="71A58D82" w14:textId="77777777" w:rsidR="00700D9E" w:rsidRPr="00B553A6" w:rsidRDefault="00700D9E" w:rsidP="00621420">
            <w:pPr>
              <w:cnfStyle w:val="000000100000" w:firstRow="0" w:lastRow="0" w:firstColumn="0" w:lastColumn="0" w:oddVBand="0" w:evenVBand="0" w:oddHBand="1" w:evenHBand="0" w:firstRowFirstColumn="0" w:firstRowLastColumn="0" w:lastRowFirstColumn="0" w:lastRowLastColumn="0"/>
              <w:rPr>
                <w:sz w:val="20"/>
              </w:rPr>
            </w:pPr>
            <w:r>
              <w:rPr>
                <w:sz w:val="20"/>
              </w:rPr>
              <w:t>A</w:t>
            </w:r>
            <w:r w:rsidRPr="00B553A6">
              <w:rPr>
                <w:sz w:val="20"/>
              </w:rPr>
              <w:t>lphanumeric</w:t>
            </w:r>
          </w:p>
        </w:tc>
      </w:tr>
    </w:tbl>
    <w:p w14:paraId="795EC417" w14:textId="00876B4E" w:rsidR="00E86784" w:rsidRDefault="00E86784" w:rsidP="00700D9E"/>
    <w:p w14:paraId="31C89ED5" w14:textId="77777777" w:rsidR="00700D9E" w:rsidRDefault="00700D9E" w:rsidP="00700D9E">
      <w:pPr>
        <w:rPr>
          <w:lang w:val="en"/>
        </w:rPr>
      </w:pPr>
      <w:r>
        <w:t xml:space="preserve">It is also possible to </w:t>
      </w:r>
      <w:r w:rsidRPr="00AE1E33">
        <w:rPr>
          <w:lang w:val="en"/>
        </w:rPr>
        <w:t xml:space="preserve">configure a custom domain </w:t>
      </w:r>
      <w:r>
        <w:rPr>
          <w:lang w:val="en"/>
        </w:rPr>
        <w:t>name</w:t>
      </w:r>
      <w:r w:rsidRPr="00AE1E33">
        <w:rPr>
          <w:lang w:val="en"/>
        </w:rPr>
        <w:t xml:space="preserve"> for accessing blob data in your Azure </w:t>
      </w:r>
      <w:r>
        <w:rPr>
          <w:lang w:val="en"/>
        </w:rPr>
        <w:t>S</w:t>
      </w:r>
      <w:r w:rsidRPr="00AE1E33">
        <w:rPr>
          <w:lang w:val="en"/>
        </w:rPr>
        <w:t>torage account. The default endpoint for the Blob service is</w:t>
      </w:r>
      <w:r>
        <w:rPr>
          <w:lang w:val="en"/>
        </w:rPr>
        <w:t>:</w:t>
      </w:r>
      <w:r w:rsidRPr="00AE1E33">
        <w:rPr>
          <w:lang w:val="en"/>
        </w:rPr>
        <w:t xml:space="preserve"> </w:t>
      </w:r>
    </w:p>
    <w:p w14:paraId="78822658" w14:textId="77777777" w:rsidR="00700D9E" w:rsidRDefault="00700D9E" w:rsidP="00700D9E">
      <w:pPr>
        <w:rPr>
          <w:lang w:val="en"/>
        </w:rPr>
      </w:pPr>
      <w:r>
        <w:rPr>
          <w:lang w:val="en"/>
        </w:rPr>
        <w:t>https://</w:t>
      </w:r>
      <w:r w:rsidRPr="00AE1E33">
        <w:rPr>
          <w:iCs/>
          <w:lang w:val="en"/>
        </w:rPr>
        <w:t>mystorage</w:t>
      </w:r>
      <w:r w:rsidRPr="00AE1E33">
        <w:rPr>
          <w:lang w:val="en"/>
        </w:rPr>
        <w:t>.blob.core.windows.net</w:t>
      </w:r>
      <w:r>
        <w:rPr>
          <w:lang w:val="en"/>
        </w:rPr>
        <w:t xml:space="preserve"> </w:t>
      </w:r>
    </w:p>
    <w:p w14:paraId="3405FD6C" w14:textId="77777777" w:rsidR="00700D9E" w:rsidRDefault="00700D9E" w:rsidP="00700D9E">
      <w:r>
        <w:rPr>
          <w:lang w:val="en"/>
        </w:rPr>
        <w:t>But i</w:t>
      </w:r>
      <w:r w:rsidRPr="00AE1E33">
        <w:rPr>
          <w:lang w:val="en"/>
        </w:rPr>
        <w:t xml:space="preserve">f you map a custom domain </w:t>
      </w:r>
      <w:r>
        <w:rPr>
          <w:lang w:val="en"/>
        </w:rPr>
        <w:t>(</w:t>
      </w:r>
      <w:r w:rsidRPr="00AE1E33">
        <w:rPr>
          <w:lang w:val="en"/>
        </w:rPr>
        <w:t xml:space="preserve">such as </w:t>
      </w:r>
      <w:r w:rsidRPr="007310DD">
        <w:rPr>
          <w:bCs/>
          <w:lang w:val="en"/>
        </w:rPr>
        <w:t>www.contoso.com</w:t>
      </w:r>
      <w:r>
        <w:rPr>
          <w:bCs/>
          <w:lang w:val="en"/>
        </w:rPr>
        <w:t>)</w:t>
      </w:r>
      <w:r w:rsidRPr="00AE1E33">
        <w:rPr>
          <w:lang w:val="en"/>
        </w:rPr>
        <w:t xml:space="preserve"> to the blob endpoint for your storage account, </w:t>
      </w:r>
      <w:r>
        <w:rPr>
          <w:lang w:val="en"/>
        </w:rPr>
        <w:t xml:space="preserve">you </w:t>
      </w:r>
      <w:r w:rsidRPr="00AE1E33">
        <w:rPr>
          <w:lang w:val="en"/>
        </w:rPr>
        <w:t xml:space="preserve">can also access blob data in your storage account </w:t>
      </w:r>
      <w:r>
        <w:rPr>
          <w:lang w:val="en"/>
        </w:rPr>
        <w:t xml:space="preserve">by </w:t>
      </w:r>
      <w:r w:rsidRPr="00AE1E33">
        <w:rPr>
          <w:lang w:val="en"/>
        </w:rPr>
        <w:t>using that domain.</w:t>
      </w:r>
      <w:r>
        <w:rPr>
          <w:lang w:val="en"/>
        </w:rPr>
        <w:t xml:space="preserve"> For example, with a custom domain name, </w:t>
      </w:r>
      <w:r w:rsidRPr="00EE2E75">
        <w:rPr>
          <w:lang w:val="en"/>
        </w:rPr>
        <w:t>http://mystorage.blob.core.windows.net/mycontainer/myblob</w:t>
      </w:r>
      <w:r>
        <w:rPr>
          <w:lang w:val="en"/>
        </w:rPr>
        <w:t xml:space="preserve"> could be accessed as </w:t>
      </w:r>
      <w:r w:rsidRPr="00B1126A">
        <w:t>http://www.contoso.com/mycontainer/myblob</w:t>
      </w:r>
      <w:r>
        <w:t xml:space="preserve">. </w:t>
      </w:r>
    </w:p>
    <w:p w14:paraId="2610400F" w14:textId="64D7F106" w:rsidR="009F7A71" w:rsidRDefault="00700D9E" w:rsidP="00700D9E">
      <w:r>
        <w:t>Use the following reference when this capability is required.</w:t>
      </w:r>
      <w:r w:rsidR="00E86784">
        <w:t xml:space="preserve"> </w:t>
      </w:r>
    </w:p>
    <w:tbl>
      <w:tblPr>
        <w:tblStyle w:val="PlainTable11"/>
        <w:tblW w:w="0" w:type="auto"/>
        <w:tblLook w:val="04A0" w:firstRow="1" w:lastRow="0" w:firstColumn="1" w:lastColumn="0" w:noHBand="0" w:noVBand="1"/>
      </w:tblPr>
      <w:tblGrid>
        <w:gridCol w:w="3416"/>
        <w:gridCol w:w="5934"/>
      </w:tblGrid>
      <w:tr w:rsidR="009F7A71" w14:paraId="4CA01C55" w14:textId="77777777" w:rsidTr="001D3D8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58764774" w14:textId="26B5033F" w:rsidR="009F7A71" w:rsidRPr="00F47607" w:rsidRDefault="00700D9E" w:rsidP="000418DB">
            <w:pPr>
              <w:spacing w:line="240" w:lineRule="auto"/>
              <w:rPr>
                <w:color w:val="FFFFFF"/>
              </w:rPr>
            </w:pPr>
            <w:r>
              <w:rPr>
                <w:color w:val="FFFFFF"/>
              </w:rPr>
              <w:t>Feature References</w:t>
            </w:r>
          </w:p>
        </w:tc>
      </w:tr>
      <w:tr w:rsidR="009F7A71" w14:paraId="0B97C04B" w14:textId="77777777" w:rsidTr="001D3D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356BD800" w14:textId="38C8A248" w:rsidR="009F7A71" w:rsidRPr="00927F75" w:rsidRDefault="00B553A6" w:rsidP="000418DB">
            <w:pPr>
              <w:spacing w:line="240" w:lineRule="auto"/>
              <w:rPr>
                <w:sz w:val="20"/>
                <w:szCs w:val="18"/>
              </w:rPr>
            </w:pPr>
            <w:r w:rsidRPr="00B553A6">
              <w:rPr>
                <w:sz w:val="20"/>
                <w:szCs w:val="18"/>
                <w:lang w:val="en"/>
              </w:rPr>
              <w:t>Naming and Referencing Containers, Blobs, and Metadata</w:t>
            </w:r>
          </w:p>
        </w:tc>
        <w:tc>
          <w:tcPr>
            <w:tcW w:w="5940" w:type="dxa"/>
          </w:tcPr>
          <w:p w14:paraId="054A39CA" w14:textId="627CA707" w:rsidR="009F7A71" w:rsidRPr="00927F75" w:rsidRDefault="00872E47" w:rsidP="000418DB">
            <w:pPr>
              <w:cnfStyle w:val="000000100000" w:firstRow="0" w:lastRow="0" w:firstColumn="0" w:lastColumn="0" w:oddVBand="0" w:evenVBand="0" w:oddHBand="1" w:evenHBand="0" w:firstRowFirstColumn="0" w:firstRowLastColumn="0" w:lastRowFirstColumn="0" w:lastRowLastColumn="0"/>
              <w:rPr>
                <w:sz w:val="20"/>
                <w:szCs w:val="18"/>
              </w:rPr>
            </w:pPr>
            <w:hyperlink r:id="rId127" w:history="1">
              <w:r w:rsidR="00B553A6" w:rsidRPr="001F3252">
                <w:rPr>
                  <w:rStyle w:val="Hyperlink"/>
                  <w:sz w:val="20"/>
                  <w:szCs w:val="18"/>
                </w:rPr>
                <w:t>https://msdn.microsoft.com/en-us/library/dd135715.aspx</w:t>
              </w:r>
            </w:hyperlink>
            <w:r w:rsidR="00B553A6">
              <w:rPr>
                <w:sz w:val="20"/>
                <w:szCs w:val="18"/>
              </w:rPr>
              <w:t xml:space="preserve"> </w:t>
            </w:r>
          </w:p>
        </w:tc>
      </w:tr>
      <w:tr w:rsidR="009F7A71" w14:paraId="57A092C7" w14:textId="77777777" w:rsidTr="001D3D87">
        <w:tc>
          <w:tcPr>
            <w:cnfStyle w:val="001000000000" w:firstRow="0" w:lastRow="0" w:firstColumn="1" w:lastColumn="0" w:oddVBand="0" w:evenVBand="0" w:oddHBand="0" w:evenHBand="0" w:firstRowFirstColumn="0" w:firstRowLastColumn="0" w:lastRowFirstColumn="0" w:lastRowLastColumn="0"/>
            <w:tcW w:w="3420" w:type="dxa"/>
          </w:tcPr>
          <w:p w14:paraId="57B8C2C7" w14:textId="5F3CF924" w:rsidR="009F7A71" w:rsidRPr="00927F75" w:rsidRDefault="00B553A6" w:rsidP="000418DB">
            <w:pPr>
              <w:spacing w:line="240" w:lineRule="auto"/>
              <w:rPr>
                <w:sz w:val="20"/>
              </w:rPr>
            </w:pPr>
            <w:r w:rsidRPr="00B553A6">
              <w:rPr>
                <w:sz w:val="20"/>
                <w:szCs w:val="18"/>
                <w:lang w:val="en"/>
              </w:rPr>
              <w:t>Naming Queues and Metadata</w:t>
            </w:r>
          </w:p>
        </w:tc>
        <w:tc>
          <w:tcPr>
            <w:tcW w:w="5940" w:type="dxa"/>
          </w:tcPr>
          <w:p w14:paraId="66153BB6" w14:textId="5977EE86" w:rsidR="009F7A71" w:rsidRPr="00927F75" w:rsidRDefault="00872E47" w:rsidP="000418DB">
            <w:pPr>
              <w:cnfStyle w:val="000000000000" w:firstRow="0" w:lastRow="0" w:firstColumn="0" w:lastColumn="0" w:oddVBand="0" w:evenVBand="0" w:oddHBand="0" w:evenHBand="0" w:firstRowFirstColumn="0" w:firstRowLastColumn="0" w:lastRowFirstColumn="0" w:lastRowLastColumn="0"/>
              <w:rPr>
                <w:sz w:val="20"/>
              </w:rPr>
            </w:pPr>
            <w:hyperlink r:id="rId128" w:history="1">
              <w:r w:rsidR="00B553A6" w:rsidRPr="001F3252">
                <w:rPr>
                  <w:rStyle w:val="Hyperlink"/>
                  <w:sz w:val="20"/>
                  <w:szCs w:val="18"/>
                </w:rPr>
                <w:t>https://msdn.microsoft.com/en-us/library/dd179349.aspx</w:t>
              </w:r>
            </w:hyperlink>
          </w:p>
        </w:tc>
      </w:tr>
      <w:tr w:rsidR="009F7A71" w14:paraId="742268B9" w14:textId="77777777" w:rsidTr="001D3D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462BB814" w14:textId="0078A5B5" w:rsidR="009F7A71" w:rsidRPr="00927F75" w:rsidRDefault="00B553A6" w:rsidP="00B553A6">
            <w:pPr>
              <w:spacing w:line="240" w:lineRule="auto"/>
              <w:rPr>
                <w:sz w:val="20"/>
              </w:rPr>
            </w:pPr>
            <w:r>
              <w:rPr>
                <w:sz w:val="20"/>
                <w:szCs w:val="18"/>
                <w:lang w:val="en"/>
              </w:rPr>
              <w:t xml:space="preserve">Naming </w:t>
            </w:r>
            <w:r w:rsidRPr="00B553A6">
              <w:rPr>
                <w:sz w:val="20"/>
                <w:szCs w:val="18"/>
                <w:lang w:val="en"/>
              </w:rPr>
              <w:t>Table</w:t>
            </w:r>
            <w:r>
              <w:rPr>
                <w:sz w:val="20"/>
                <w:szCs w:val="18"/>
                <w:lang w:val="en"/>
              </w:rPr>
              <w:t>s</w:t>
            </w:r>
          </w:p>
        </w:tc>
        <w:tc>
          <w:tcPr>
            <w:tcW w:w="5940" w:type="dxa"/>
          </w:tcPr>
          <w:p w14:paraId="1641C4AA" w14:textId="5140CCA6" w:rsidR="009F7A71" w:rsidRPr="00927F75" w:rsidRDefault="00872E47" w:rsidP="000418DB">
            <w:pPr>
              <w:cnfStyle w:val="000000100000" w:firstRow="0" w:lastRow="0" w:firstColumn="0" w:lastColumn="0" w:oddVBand="0" w:evenVBand="0" w:oddHBand="1" w:evenHBand="0" w:firstRowFirstColumn="0" w:firstRowLastColumn="0" w:lastRowFirstColumn="0" w:lastRowLastColumn="0"/>
              <w:rPr>
                <w:sz w:val="20"/>
              </w:rPr>
            </w:pPr>
            <w:hyperlink r:id="rId129" w:history="1">
              <w:r w:rsidR="00B553A6" w:rsidRPr="001F3252">
                <w:rPr>
                  <w:rStyle w:val="Hyperlink"/>
                  <w:sz w:val="20"/>
                  <w:szCs w:val="18"/>
                </w:rPr>
                <w:t>https://msdn.microsoft.com/en-us/library/azure/dd179338.aspx</w:t>
              </w:r>
            </w:hyperlink>
            <w:r w:rsidR="00B553A6">
              <w:rPr>
                <w:sz w:val="20"/>
                <w:szCs w:val="18"/>
              </w:rPr>
              <w:t xml:space="preserve"> </w:t>
            </w:r>
          </w:p>
        </w:tc>
      </w:tr>
      <w:tr w:rsidR="00AE1E33" w14:paraId="3B8B0604" w14:textId="77777777" w:rsidTr="001D3D87">
        <w:tc>
          <w:tcPr>
            <w:cnfStyle w:val="001000000000" w:firstRow="0" w:lastRow="0" w:firstColumn="1" w:lastColumn="0" w:oddVBand="0" w:evenVBand="0" w:oddHBand="0" w:evenHBand="0" w:firstRowFirstColumn="0" w:firstRowLastColumn="0" w:lastRowFirstColumn="0" w:lastRowLastColumn="0"/>
            <w:tcW w:w="3420" w:type="dxa"/>
          </w:tcPr>
          <w:p w14:paraId="41A1C609" w14:textId="568FF1D6" w:rsidR="00AE1E33" w:rsidRDefault="00AE1E33" w:rsidP="00700D9E">
            <w:pPr>
              <w:spacing w:line="240" w:lineRule="auto"/>
              <w:rPr>
                <w:sz w:val="20"/>
                <w:szCs w:val="18"/>
                <w:lang w:val="en"/>
              </w:rPr>
            </w:pPr>
            <w:r w:rsidRPr="00AE1E33">
              <w:rPr>
                <w:sz w:val="20"/>
                <w:szCs w:val="18"/>
                <w:lang w:val="en"/>
              </w:rPr>
              <w:t xml:space="preserve">Configure a custom domain name for blob data in an Azure </w:t>
            </w:r>
            <w:r w:rsidR="00700D9E">
              <w:rPr>
                <w:sz w:val="20"/>
                <w:szCs w:val="18"/>
                <w:lang w:val="en"/>
              </w:rPr>
              <w:t>S</w:t>
            </w:r>
            <w:r w:rsidRPr="00AE1E33">
              <w:rPr>
                <w:sz w:val="20"/>
                <w:szCs w:val="18"/>
                <w:lang w:val="en"/>
              </w:rPr>
              <w:t>torage account</w:t>
            </w:r>
          </w:p>
        </w:tc>
        <w:tc>
          <w:tcPr>
            <w:tcW w:w="5940" w:type="dxa"/>
          </w:tcPr>
          <w:p w14:paraId="76371E1C" w14:textId="0293C015" w:rsidR="00AE1E33" w:rsidRDefault="00872E47" w:rsidP="000418DB">
            <w:pPr>
              <w:cnfStyle w:val="000000000000" w:firstRow="0" w:lastRow="0" w:firstColumn="0" w:lastColumn="0" w:oddVBand="0" w:evenVBand="0" w:oddHBand="0" w:evenHBand="0" w:firstRowFirstColumn="0" w:firstRowLastColumn="0" w:lastRowFirstColumn="0" w:lastRowLastColumn="0"/>
              <w:rPr>
                <w:sz w:val="20"/>
                <w:szCs w:val="18"/>
              </w:rPr>
            </w:pPr>
            <w:hyperlink r:id="rId130" w:history="1">
              <w:r w:rsidR="00AE1E33" w:rsidRPr="001F3252">
                <w:rPr>
                  <w:rStyle w:val="Hyperlink"/>
                  <w:sz w:val="20"/>
                  <w:szCs w:val="18"/>
                </w:rPr>
                <w:t>http://azure.microsoft.com/en-us/documentation/articles/storage-custom-domain-name</w:t>
              </w:r>
            </w:hyperlink>
            <w:r w:rsidR="00AE1E33">
              <w:rPr>
                <w:sz w:val="20"/>
                <w:szCs w:val="18"/>
              </w:rPr>
              <w:t xml:space="preserve"> </w:t>
            </w:r>
          </w:p>
        </w:tc>
      </w:tr>
    </w:tbl>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9F7A71" w14:paraId="1E65C95E" w14:textId="77777777" w:rsidTr="000418DB">
        <w:trPr>
          <w:trHeight w:val="423"/>
        </w:trPr>
        <w:tc>
          <w:tcPr>
            <w:tcW w:w="666" w:type="dxa"/>
          </w:tcPr>
          <w:p w14:paraId="31E18E33" w14:textId="77777777" w:rsidR="009F7A71" w:rsidRDefault="009F7A71" w:rsidP="000418DB">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1534C642" wp14:editId="7304EBA7">
                      <wp:extent cx="200025" cy="180975"/>
                      <wp:effectExtent l="57150" t="19050" r="28575" b="104775"/>
                      <wp:docPr id="41089" name="Octagon 41089"/>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3564DAF" id="Octagon 41089"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oNYdAIAAFIFAAAOAAAAZHJzL2Uyb0RvYy54bWysVN1r2zAQfx/sfxB6X21n6dqGOCWkZAxK&#10;W9qOPiuylAgknSYpcbK/fifZcUNXKIy92He6331/TK/3RpOd8EGBrWl1VlIiLIdG2XVNfz4vv1xS&#10;EiKzDdNgRU0PItDr2edP09ZNxAg2oBvhCRqxYdK6mm5idJOiCHwjDAtn4IRFoQRvWETWr4vGsxat&#10;G12MyvJb0YJvnAcuQsDXm05IZ9m+lILHeymDiETXFGOL+evzd5W+xWzKJmvP3EbxPgz2D1EYpiw6&#10;HUzdsMjI1qu/TBnFPQSQ8YyDKUBKxUXOAbOpyjfZPG2YEzkXLE5wQ5nC/zPL73YPnqimpuOqvLyi&#10;xDKDbbrnka3Bku4Ri9S6MEHsk3vwPReQTBnvpTfpj7mQfS7sYSis2EfC8RE7VY7OKeEoqi7Lq4vz&#10;VPjiVdn5EL8LMCQRNYXOfa4o292G2KGPqOQugFbNUmmdGb9eLbQnO4ZtXizQW+4sOjiBFSmHLupM&#10;xYMWSVnbRyGxBBhnlT3m4RODPca5sHHUR5zRSU2i70Hx68eKPT6pijyYg/LoY+VBI3sGGwdloyz4&#10;9wzoWPUhyw6PBT/JO5EraA7YfQ/dWgTHlwrrf8tCfGAe9wA3Bnc73uNHamixMT1FyQb87/feEx7H&#10;E6WUtLhXNQ2/tswLSvQPi4N7VY3HaREzMz6/GCHjTyWrU4ndmgVgTyu8Io5nMuGjPpLSg3nBEzBP&#10;XlHELEffNeXRH5lF7PYdjwgX83mG4fI5Fm/tk+PHrqfhet6/MO/6IYw4vXdw3EE2eTOIHTb1w8J8&#10;G0GqPKWvde3rjYubR70/MukynPIZ9XoKZ38AAAD//wMAUEsDBBQABgAIAAAAIQCft0Tx2wAAAAMB&#10;AAAPAAAAZHJzL2Rvd25yZXYueG1sTI9BS8NAEIXvgv9hGcGb3aTSEtNsiggFD9JgtXjdZqdJaHY2&#10;7G6b+O8dvdjLwOM93vumWE+2Fxf0oXOkIJ0lIJBqZzpqFHx+bB4yECFqMrp3hAq+McC6vL0pdG7c&#10;SO942cVGcAmFXCtoYxxyKUPdotVh5gYk9o7OWx1Z+kYar0cut72cJ8lSWt0RL7R6wJcW69PubBVU&#10;p7F6zarq6ctvlts3b/ep3+6Vur+bnlcgIk7xPwy/+IwOJTMd3JlMEL0CfiT+XfYe0wWIg4J5tgBZ&#10;FvKavfwBAAD//wMAUEsBAi0AFAAGAAgAAAAhALaDOJL+AAAA4QEAABMAAAAAAAAAAAAAAAAAAAAA&#10;AFtDb250ZW50X1R5cGVzXS54bWxQSwECLQAUAAYACAAAACEAOP0h/9YAAACUAQAACwAAAAAAAAAA&#10;AAAAAAAvAQAAX3JlbHMvLnJlbHNQSwECLQAUAAYACAAAACEAI76DWHQCAABSBQAADgAAAAAAAAAA&#10;AAAAAAAuAgAAZHJzL2Uyb0RvYy54bWxQSwECLQAUAAYACAAAACEAn7dE8dsAAAADAQAADwAAAAAA&#10;AAAAAAAAAADOBAAAZHJzL2Rvd25yZXYueG1sUEsFBgAAAAAEAAQA8wAAANYFAAAAAA==&#10;" fillcolor="#c00" strokecolor="#ed7d31 [3205]" strokeweight=".5pt">
                      <w10:anchorlock/>
                    </v:shape>
                  </w:pict>
                </mc:Fallback>
              </mc:AlternateContent>
            </w:r>
          </w:p>
        </w:tc>
        <w:tc>
          <w:tcPr>
            <w:tcW w:w="8604" w:type="dxa"/>
          </w:tcPr>
          <w:p w14:paraId="3090F4C5" w14:textId="77777777" w:rsidR="00E35478" w:rsidRDefault="009F7A71" w:rsidP="00FC0B50">
            <w:pPr>
              <w:rPr>
                <w:lang w:eastAsia="en-US"/>
              </w:rPr>
            </w:pPr>
            <w:r w:rsidRPr="00192064">
              <w:rPr>
                <w:b/>
                <w:lang w:eastAsia="en-US"/>
              </w:rPr>
              <w:t>Mandatory</w:t>
            </w:r>
            <w:r>
              <w:rPr>
                <w:lang w:eastAsia="en-US"/>
              </w:rPr>
              <w:t xml:space="preserve">:  </w:t>
            </w:r>
          </w:p>
          <w:p w14:paraId="43664519" w14:textId="77777777" w:rsidR="00700D9E" w:rsidRPr="00E35478" w:rsidRDefault="00700D9E" w:rsidP="005729D2">
            <w:pPr>
              <w:pStyle w:val="ListParagraph"/>
              <w:numPr>
                <w:ilvl w:val="0"/>
                <w:numId w:val="159"/>
              </w:numPr>
              <w:rPr>
                <w:lang w:eastAsia="en-US"/>
              </w:rPr>
            </w:pPr>
            <w:r w:rsidRPr="00B553A6">
              <w:rPr>
                <w:lang w:val="en"/>
              </w:rPr>
              <w:t>A blob name can contain any combination of characters, but reserved URL characters must be properly escaped.</w:t>
            </w:r>
            <w:r>
              <w:rPr>
                <w:lang w:val="en"/>
              </w:rPr>
              <w:t xml:space="preserve"> </w:t>
            </w:r>
            <w:r w:rsidRPr="00B553A6">
              <w:rPr>
                <w:lang w:val="en"/>
              </w:rPr>
              <w:t xml:space="preserve">Avoid blob names that end with a </w:t>
            </w:r>
            <w:r>
              <w:rPr>
                <w:lang w:val="en"/>
              </w:rPr>
              <w:t>period</w:t>
            </w:r>
            <w:r w:rsidRPr="00B553A6">
              <w:rPr>
                <w:lang w:val="en"/>
              </w:rPr>
              <w:t xml:space="preserve"> (.), a forward slash (/), or a sequence or combination of the two.</w:t>
            </w:r>
            <w:r>
              <w:rPr>
                <w:lang w:val="en"/>
              </w:rPr>
              <w:t xml:space="preserve"> </w:t>
            </w:r>
            <w:r w:rsidRPr="00B553A6">
              <w:rPr>
                <w:lang w:val="en"/>
              </w:rPr>
              <w:t>By convention</w:t>
            </w:r>
            <w:r>
              <w:rPr>
                <w:lang w:val="en"/>
              </w:rPr>
              <w:t>, the forward slash</w:t>
            </w:r>
            <w:r w:rsidRPr="00B553A6">
              <w:rPr>
                <w:lang w:val="en"/>
              </w:rPr>
              <w:t xml:space="preserve"> is the virtual directory separator. </w:t>
            </w:r>
            <w:r>
              <w:rPr>
                <w:lang w:val="en"/>
              </w:rPr>
              <w:br/>
              <w:t>Also d</w:t>
            </w:r>
            <w:r w:rsidRPr="00B553A6">
              <w:rPr>
                <w:lang w:val="en"/>
              </w:rPr>
              <w:t>on’t use</w:t>
            </w:r>
            <w:r>
              <w:rPr>
                <w:lang w:val="en"/>
              </w:rPr>
              <w:t xml:space="preserve"> a backward slash (</w:t>
            </w:r>
            <w:r w:rsidRPr="00B553A6">
              <w:rPr>
                <w:lang w:val="en"/>
              </w:rPr>
              <w:t>\</w:t>
            </w:r>
            <w:r>
              <w:rPr>
                <w:lang w:val="en"/>
              </w:rPr>
              <w:t>)</w:t>
            </w:r>
            <w:r w:rsidRPr="00B553A6">
              <w:rPr>
                <w:lang w:val="en"/>
              </w:rPr>
              <w:t xml:space="preserve"> in a blob name. The client APIs may allow it, but then fail to hash properly</w:t>
            </w:r>
            <w:r>
              <w:rPr>
                <w:lang w:val="en"/>
              </w:rPr>
              <w:t>,</w:t>
            </w:r>
            <w:r w:rsidRPr="00B553A6">
              <w:rPr>
                <w:lang w:val="en"/>
              </w:rPr>
              <w:t xml:space="preserve"> and the signatures </w:t>
            </w:r>
            <w:r>
              <w:rPr>
                <w:lang w:val="en"/>
              </w:rPr>
              <w:t xml:space="preserve">will </w:t>
            </w:r>
            <w:r w:rsidRPr="00B553A6">
              <w:rPr>
                <w:lang w:val="en"/>
              </w:rPr>
              <w:t>mismatch</w:t>
            </w:r>
            <w:r>
              <w:rPr>
                <w:lang w:val="en"/>
              </w:rPr>
              <w:t>.</w:t>
            </w:r>
            <w:r w:rsidRPr="00B553A6">
              <w:rPr>
                <w:lang w:val="en"/>
              </w:rPr>
              <w:t xml:space="preserve"> </w:t>
            </w:r>
          </w:p>
          <w:p w14:paraId="351915CA" w14:textId="4575B768" w:rsidR="009F7A71" w:rsidRDefault="00700D9E" w:rsidP="005729D2">
            <w:pPr>
              <w:pStyle w:val="ListParagraph"/>
              <w:numPr>
                <w:ilvl w:val="0"/>
                <w:numId w:val="159"/>
              </w:numPr>
              <w:rPr>
                <w:lang w:eastAsia="en-US"/>
              </w:rPr>
            </w:pPr>
            <w:r>
              <w:rPr>
                <w:lang w:val="en"/>
              </w:rPr>
              <w:t>It is not possible to modify the name of a storage account or container after it has been created. You must delete it and create a new one if you want to use a new name.</w:t>
            </w:r>
          </w:p>
        </w:tc>
      </w:tr>
      <w:tr w:rsidR="00AB65B4" w14:paraId="763DD172" w14:textId="77777777" w:rsidTr="00121FCA">
        <w:trPr>
          <w:trHeight w:val="423"/>
        </w:trPr>
        <w:tc>
          <w:tcPr>
            <w:tcW w:w="666" w:type="dxa"/>
          </w:tcPr>
          <w:p w14:paraId="4F3C74FF" w14:textId="77777777" w:rsidR="00AB65B4" w:rsidRDefault="00AB65B4" w:rsidP="00121FCA">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431936" behindDoc="0" locked="0" layoutInCell="1" allowOverlap="1" wp14:anchorId="3C98F20F" wp14:editId="1ED14880">
                      <wp:simplePos x="0" y="0"/>
                      <wp:positionH relativeFrom="column">
                        <wp:posOffset>66675</wp:posOffset>
                      </wp:positionH>
                      <wp:positionV relativeFrom="paragraph">
                        <wp:posOffset>90170</wp:posOffset>
                      </wp:positionV>
                      <wp:extent cx="209550" cy="180975"/>
                      <wp:effectExtent l="57150" t="19050" r="57150" b="104775"/>
                      <wp:wrapNone/>
                      <wp:docPr id="54" name="Isosceles Tri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6277441A" id="Isosceles Triangle 54" o:spid="_x0000_s1026" type="#_x0000_t5" style="position:absolute;margin-left:5.25pt;margin-top:7.1pt;width:16.5pt;height:14.25pt;z-index:25143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74PFhQIAAHEFAAAOAAAAZHJzL2Uyb0RvYy54bWysVFtr2zAUfh/sPwi9r7azpBdTp4SWjELo&#10;ytrRZ0WWEjFZR5OUONmv35F8adcVCmN+EJLPd+7fOZdXh0aTvXBegalocZJTIgyHWplNRb8/Lj+d&#10;U+IDMzXTYERFj8LTq/nHD5etLcUEtqBr4QgaMb5sbUW3Idgyyzzfiob5E7DCoFCCa1jAp9tktWMt&#10;Wm90Nsnz06wFV1sHXHiPf286IZ0n+1IKHr5K6UUguqIYW0inS+c6ntn8kpUbx+xW8T4M9g9RNEwZ&#10;dDqaumGBkZ1Tf5lqFHfgQYYTDk0GUiouUg6YTZG/yuZhy6xIuWBxvB3L5P+fWX63v3dE1RWdTSkx&#10;rMEe3XrwXGjhyaNTzGy0ICjESrXWl6jwYO9dzNXbFfAfHgXZH5L48D3mIF0TsZgpOaSyH8eyi0Mg&#10;HH9O8ovZDJvDUVSc5xdns+gsY+WgbJ0PXwQ0JF4qGvqoUsHZfuVDBx9gKTbQql4qrdPDbdbX2pE9&#10;QxYs8ctT49GDf4alHLqwUwLhqEVU1uabkFghDLRIHhM3xWiPcS5MOO1DTuioJtH3qPj5fcUeH1VF&#10;4u2oPHlfedRInsGEUblRBtxbBnQo+pBlh++76Lu8YwnWUB+RHA66qfGWLxU2YMV8uGcOxwR7hqMf&#10;vuIhNbQVhf5GyRbcr7f+RzyyF6WUtDh2FfU/d8wJSvStQV5fFNNpnNP0mM7OJvhwLyXrlxKza64B&#10;e1rgkrE8XSM+6OEqHTRPuCEW0SuKmOHou6I8uOFxHbp1gDuGi8UiwXA2LQsr82D50PVIrsfDE3N2&#10;YCHS9w6GEWXlKyJ22NgPA4tdAKkSS5/r2tcb5zpxvd9BcXG8fCfU86ac/wYAAP//AwBQSwMEFAAG&#10;AAgAAAAhADU8QjDZAAAABwEAAA8AAABkcnMvZG93bnJldi54bWxMjs1OwzAQhO9IvIO1SFxQ65CG&#10;tgpxKoSSI6ooPIATb36EvY5itw1vz3KC02g0o5mvOCzOigvOYfSk4HGdgEBqvRmpV/D5Ua/2IELU&#10;ZLT1hAq+McChvL0pdG78ld7xcoq94BEKuVYwxDjlUoZ2QKfD2k9InHV+djqynXtpZn3lcWdlmiRb&#10;6fRI/DDoCV8HbL9OZ6fAN8ux29S7/UPtJvvWVVXmjpVS93fLyzOIiEv8K8MvPqNDyUyNP5MJwrJP&#10;nrjJmqUgOM827BvWdAeyLOR//vIHAAD//wMAUEsBAi0AFAAGAAgAAAAhALaDOJL+AAAA4QEAABMA&#10;AAAAAAAAAAAAAAAAAAAAAFtDb250ZW50X1R5cGVzXS54bWxQSwECLQAUAAYACAAAACEAOP0h/9YA&#10;AACUAQAACwAAAAAAAAAAAAAAAAAvAQAAX3JlbHMvLnJlbHNQSwECLQAUAAYACAAAACEAdO+DxYUC&#10;AABxBQAADgAAAAAAAAAAAAAAAAAuAgAAZHJzL2Uyb0RvYy54bWxQSwECLQAUAAYACAAAACEANTxC&#10;MNkAAAAHAQAADwAAAAAAAAAAAAAAAADfBAAAZHJzL2Rvd25yZXYueG1sUEsFBgAAAAAEAAQA8wAA&#10;AOUFAAAAAA==&#10;" fillcolor="yellow" strokecolor="#70ad47 [3209]" strokeweight=".5pt">
                      <v:path arrowok="t"/>
                    </v:shape>
                  </w:pict>
                </mc:Fallback>
              </mc:AlternateContent>
            </w:r>
          </w:p>
        </w:tc>
        <w:tc>
          <w:tcPr>
            <w:tcW w:w="8604" w:type="dxa"/>
          </w:tcPr>
          <w:p w14:paraId="5D613BBE" w14:textId="0E93AF3B" w:rsidR="00AB65B4" w:rsidRDefault="00AB65B4" w:rsidP="00AB65B4">
            <w:pPr>
              <w:rPr>
                <w:lang w:eastAsia="en-US"/>
              </w:rPr>
            </w:pPr>
            <w:r>
              <w:rPr>
                <w:rFonts w:eastAsiaTheme="minorHAnsi"/>
                <w:b/>
                <w:lang w:eastAsia="en-US"/>
              </w:rPr>
              <w:t xml:space="preserve">Recommended: </w:t>
            </w:r>
            <w:r>
              <w:rPr>
                <w:rFonts w:eastAsiaTheme="minorHAnsi"/>
                <w:lang w:eastAsia="en-US"/>
              </w:rPr>
              <w:t xml:space="preserve"> </w:t>
            </w:r>
            <w:r w:rsidR="00700D9E">
              <w:rPr>
                <w:rFonts w:eastAsiaTheme="minorHAnsi"/>
                <w:lang w:eastAsia="en-US"/>
              </w:rPr>
              <w:t>We recommend that you establish a naming convention for all storage accounts and types before you create any</w:t>
            </w:r>
            <w:r>
              <w:rPr>
                <w:rFonts w:eastAsiaTheme="minorHAnsi"/>
                <w:lang w:eastAsia="en-US"/>
              </w:rPr>
              <w:t>.</w:t>
            </w:r>
          </w:p>
        </w:tc>
      </w:tr>
    </w:tbl>
    <w:p w14:paraId="24E17A83" w14:textId="77777777" w:rsidR="009F7A71" w:rsidRDefault="009F7A71" w:rsidP="009F7A71"/>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9F7A71" w14:paraId="34A9874C" w14:textId="77777777" w:rsidTr="000418DB">
        <w:tc>
          <w:tcPr>
            <w:tcW w:w="9360" w:type="dxa"/>
            <w:shd w:val="clear" w:color="auto" w:fill="008AC8"/>
          </w:tcPr>
          <w:p w14:paraId="7925A7F6" w14:textId="77777777" w:rsidR="009F7A71" w:rsidRPr="00F47607" w:rsidRDefault="009F7A71" w:rsidP="000418DB">
            <w:pPr>
              <w:spacing w:line="240" w:lineRule="auto"/>
              <w:rPr>
                <w:color w:val="FFFFFF"/>
              </w:rPr>
            </w:pPr>
            <w:r>
              <w:rPr>
                <w:color w:val="FFFFFF"/>
              </w:rPr>
              <w:t>Design Guidance</w:t>
            </w:r>
          </w:p>
        </w:tc>
      </w:tr>
    </w:tbl>
    <w:p w14:paraId="66457B11" w14:textId="0026CDE7" w:rsidR="003A03A2" w:rsidRDefault="003A03A2" w:rsidP="003A03A2">
      <w:r>
        <w:t>When you choose naming conventions for storage objects, consider the following:</w:t>
      </w:r>
    </w:p>
    <w:tbl>
      <w:tblPr>
        <w:tblStyle w:val="PlainTable11"/>
        <w:tblW w:w="0" w:type="auto"/>
        <w:tblLook w:val="0420" w:firstRow="1" w:lastRow="0" w:firstColumn="0" w:lastColumn="0" w:noHBand="0" w:noVBand="1"/>
      </w:tblPr>
      <w:tblGrid>
        <w:gridCol w:w="1351"/>
        <w:gridCol w:w="4513"/>
        <w:gridCol w:w="3486"/>
      </w:tblGrid>
      <w:tr w:rsidR="009F7A71" w:rsidRPr="0068034F" w14:paraId="175E2E89" w14:textId="77777777" w:rsidTr="00E854D5">
        <w:trPr>
          <w:cnfStyle w:val="100000000000" w:firstRow="1" w:lastRow="0" w:firstColumn="0" w:lastColumn="0" w:oddVBand="0" w:evenVBand="0" w:oddHBand="0" w:evenHBand="0" w:firstRowFirstColumn="0" w:firstRowLastColumn="0" w:lastRowFirstColumn="0" w:lastRowLastColumn="0"/>
          <w:tblHeader/>
        </w:trPr>
        <w:tc>
          <w:tcPr>
            <w:tcW w:w="0" w:type="auto"/>
            <w:shd w:val="clear" w:color="auto" w:fill="808080" w:themeFill="background1" w:themeFillShade="80"/>
            <w:hideMark/>
          </w:tcPr>
          <w:p w14:paraId="2A024703" w14:textId="77777777" w:rsidR="009F7A71" w:rsidRPr="0068034F" w:rsidRDefault="00BA3695" w:rsidP="000418DB">
            <w:pPr>
              <w:spacing w:line="240" w:lineRule="auto"/>
            </w:pPr>
            <w:r w:rsidRPr="0068034F">
              <w:rPr>
                <w:rFonts w:eastAsia="Calibri"/>
                <w:color w:val="FFFFFF"/>
                <w:lang w:eastAsia="en-AU"/>
              </w:rPr>
              <w:t>Resource</w:t>
            </w:r>
          </w:p>
        </w:tc>
        <w:tc>
          <w:tcPr>
            <w:tcW w:w="0" w:type="auto"/>
            <w:shd w:val="clear" w:color="auto" w:fill="808080" w:themeFill="background1" w:themeFillShade="80"/>
            <w:hideMark/>
          </w:tcPr>
          <w:p w14:paraId="346B0A5E" w14:textId="77777777" w:rsidR="009F7A71" w:rsidRPr="0068034F" w:rsidRDefault="00BA3695" w:rsidP="000418DB">
            <w:pPr>
              <w:spacing w:line="240" w:lineRule="auto"/>
              <w:rPr>
                <w:rFonts w:eastAsia="Calibri"/>
                <w:color w:val="FFFFFF"/>
                <w:lang w:eastAsia="en-AU"/>
              </w:rPr>
            </w:pPr>
            <w:r w:rsidRPr="0068034F">
              <w:rPr>
                <w:rFonts w:eastAsia="Calibri"/>
                <w:color w:val="FFFFFF"/>
                <w:lang w:eastAsia="en-AU"/>
              </w:rPr>
              <w:t>Restrictions</w:t>
            </w:r>
          </w:p>
        </w:tc>
        <w:tc>
          <w:tcPr>
            <w:tcW w:w="0" w:type="auto"/>
            <w:shd w:val="clear" w:color="auto" w:fill="808080" w:themeFill="background1" w:themeFillShade="80"/>
            <w:hideMark/>
          </w:tcPr>
          <w:p w14:paraId="09798E8B" w14:textId="77777777" w:rsidR="009F7A71" w:rsidRPr="0068034F" w:rsidRDefault="00BA3695" w:rsidP="00720EF8">
            <w:pPr>
              <w:spacing w:line="240" w:lineRule="auto"/>
              <w:rPr>
                <w:rFonts w:eastAsia="Calibri"/>
                <w:color w:val="FFFFFF"/>
                <w:lang w:eastAsia="en-AU"/>
              </w:rPr>
            </w:pPr>
            <w:r w:rsidRPr="0068034F">
              <w:rPr>
                <w:rFonts w:eastAsia="Calibri"/>
                <w:color w:val="FFFFFF"/>
                <w:lang w:eastAsia="en-AU"/>
              </w:rPr>
              <w:t>Recommendations</w:t>
            </w:r>
          </w:p>
        </w:tc>
      </w:tr>
      <w:tr w:rsidR="00BA035C" w:rsidRPr="0098392B" w14:paraId="58C786F8" w14:textId="77777777" w:rsidTr="0068034F">
        <w:trPr>
          <w:cnfStyle w:val="000000100000" w:firstRow="0" w:lastRow="0" w:firstColumn="0" w:lastColumn="0" w:oddVBand="0" w:evenVBand="0" w:oddHBand="1" w:evenHBand="0" w:firstRowFirstColumn="0" w:firstRowLastColumn="0" w:lastRowFirstColumn="0" w:lastRowLastColumn="0"/>
        </w:trPr>
        <w:tc>
          <w:tcPr>
            <w:tcW w:w="0" w:type="auto"/>
          </w:tcPr>
          <w:p w14:paraId="4FA4618B" w14:textId="468CA699" w:rsidR="00BA035C" w:rsidRPr="00E35478" w:rsidRDefault="00BA035C" w:rsidP="00BA035C">
            <w:pPr>
              <w:pStyle w:val="NormalWeb"/>
              <w:rPr>
                <w:rFonts w:ascii="Segoe UI" w:hAnsi="Segoe UI" w:cs="Segoe UI"/>
                <w:b/>
                <w:sz w:val="20"/>
                <w:szCs w:val="20"/>
                <w:lang w:val="en-AU" w:eastAsia="en-AU"/>
              </w:rPr>
            </w:pPr>
            <w:r w:rsidRPr="00E35478">
              <w:rPr>
                <w:rFonts w:ascii="Segoe UI" w:hAnsi="Segoe UI" w:cstheme="minorBidi"/>
                <w:b/>
                <w:sz w:val="20"/>
                <w:szCs w:val="20"/>
              </w:rPr>
              <w:t xml:space="preserve">Storage </w:t>
            </w:r>
            <w:r>
              <w:rPr>
                <w:rFonts w:ascii="Segoe UI" w:hAnsi="Segoe UI" w:cstheme="minorBidi"/>
                <w:b/>
                <w:sz w:val="20"/>
                <w:szCs w:val="20"/>
              </w:rPr>
              <w:t>a</w:t>
            </w:r>
            <w:r w:rsidRPr="00E35478">
              <w:rPr>
                <w:rFonts w:ascii="Segoe UI" w:hAnsi="Segoe UI" w:cstheme="minorBidi"/>
                <w:b/>
                <w:sz w:val="20"/>
                <w:szCs w:val="20"/>
              </w:rPr>
              <w:t>ccount</w:t>
            </w:r>
          </w:p>
        </w:tc>
        <w:tc>
          <w:tcPr>
            <w:tcW w:w="0" w:type="auto"/>
          </w:tcPr>
          <w:p w14:paraId="703EE676" w14:textId="5D0431FF" w:rsidR="00BA035C" w:rsidRPr="00BA3695" w:rsidRDefault="00BA035C" w:rsidP="00BA035C">
            <w:pPr>
              <w:rPr>
                <w:rFonts w:cs="Segoe UI"/>
                <w:sz w:val="20"/>
                <w:szCs w:val="20"/>
                <w:lang w:val="en-AU" w:eastAsia="en-AU"/>
              </w:rPr>
            </w:pPr>
            <w:r w:rsidRPr="00F54467">
              <w:rPr>
                <w:sz w:val="20"/>
                <w:szCs w:val="20"/>
              </w:rPr>
              <w:t>Must be between</w:t>
            </w:r>
            <w:r>
              <w:rPr>
                <w:sz w:val="20"/>
                <w:szCs w:val="20"/>
              </w:rPr>
              <w:t> 3</w:t>
            </w:r>
            <w:r w:rsidRPr="00F54467">
              <w:rPr>
                <w:sz w:val="20"/>
                <w:szCs w:val="20"/>
              </w:rPr>
              <w:t xml:space="preserve"> and</w:t>
            </w:r>
            <w:r>
              <w:rPr>
                <w:sz w:val="20"/>
                <w:szCs w:val="20"/>
              </w:rPr>
              <w:t> 2</w:t>
            </w:r>
            <w:r w:rsidRPr="00F54467">
              <w:rPr>
                <w:sz w:val="20"/>
                <w:szCs w:val="20"/>
              </w:rPr>
              <w:t>4 characters in length and use numbers and lower-case letters only</w:t>
            </w:r>
            <w:r>
              <w:rPr>
                <w:rFonts w:cs="Segoe UI"/>
                <w:sz w:val="20"/>
                <w:szCs w:val="20"/>
                <w:lang w:val="en-AU" w:eastAsia="en-AU"/>
              </w:rPr>
              <w:t xml:space="preserve">. Not only must it be unique within the subscription, but it also must be </w:t>
            </w:r>
            <w:r w:rsidRPr="00720EF8">
              <w:rPr>
                <w:rFonts w:cs="Segoe UI"/>
                <w:sz w:val="20"/>
                <w:szCs w:val="20"/>
                <w:lang w:eastAsia="en-AU"/>
              </w:rPr>
              <w:t>unique across Azure</w:t>
            </w:r>
            <w:r>
              <w:rPr>
                <w:rFonts w:cs="Segoe UI"/>
                <w:sz w:val="20"/>
                <w:szCs w:val="20"/>
                <w:lang w:eastAsia="en-AU"/>
              </w:rPr>
              <w:t>.</w:t>
            </w:r>
          </w:p>
        </w:tc>
        <w:tc>
          <w:tcPr>
            <w:tcW w:w="0" w:type="auto"/>
          </w:tcPr>
          <w:p w14:paraId="2E42EE95" w14:textId="44F88FA6" w:rsidR="00BA035C" w:rsidRPr="00BA3695" w:rsidRDefault="00BA035C" w:rsidP="00BA035C">
            <w:pPr>
              <w:rPr>
                <w:rFonts w:cs="Segoe UI"/>
                <w:sz w:val="20"/>
                <w:szCs w:val="20"/>
                <w:lang w:val="en-AU" w:eastAsia="en-AU"/>
              </w:rPr>
            </w:pPr>
            <w:r>
              <w:rPr>
                <w:sz w:val="20"/>
                <w:szCs w:val="20"/>
              </w:rPr>
              <w:t>Naming s</w:t>
            </w:r>
            <w:r w:rsidRPr="00F54467">
              <w:rPr>
                <w:sz w:val="20"/>
                <w:szCs w:val="20"/>
              </w:rPr>
              <w:t xml:space="preserve">hould be representative of its contents </w:t>
            </w:r>
            <w:r>
              <w:rPr>
                <w:sz w:val="20"/>
                <w:szCs w:val="20"/>
              </w:rPr>
              <w:t>(for example</w:t>
            </w:r>
            <w:r w:rsidRPr="00BA3695">
              <w:rPr>
                <w:rFonts w:cs="Segoe UI"/>
                <w:sz w:val="20"/>
                <w:szCs w:val="20"/>
                <w:lang w:val="en-AU" w:eastAsia="en-AU"/>
              </w:rPr>
              <w:t>, virtual machines, backup data, archive data,</w:t>
            </w:r>
            <w:r>
              <w:rPr>
                <w:rFonts w:cs="Segoe UI"/>
                <w:sz w:val="20"/>
                <w:szCs w:val="20"/>
                <w:lang w:val="en-AU" w:eastAsia="en-AU"/>
              </w:rPr>
              <w:t xml:space="preserve"> or</w:t>
            </w:r>
            <w:r w:rsidRPr="00BA3695">
              <w:rPr>
                <w:rFonts w:cs="Segoe UI"/>
                <w:sz w:val="20"/>
                <w:szCs w:val="20"/>
                <w:lang w:val="en-AU" w:eastAsia="en-AU"/>
              </w:rPr>
              <w:t xml:space="preserve"> </w:t>
            </w:r>
            <w:r>
              <w:rPr>
                <w:rFonts w:cs="Segoe UI"/>
                <w:sz w:val="20"/>
                <w:szCs w:val="20"/>
                <w:lang w:val="en-AU" w:eastAsia="en-AU"/>
              </w:rPr>
              <w:t>images).</w:t>
            </w:r>
          </w:p>
        </w:tc>
      </w:tr>
      <w:tr w:rsidR="00BA035C" w:rsidRPr="0098392B" w14:paraId="0F800919" w14:textId="77777777" w:rsidTr="0068034F">
        <w:tc>
          <w:tcPr>
            <w:tcW w:w="0" w:type="auto"/>
          </w:tcPr>
          <w:p w14:paraId="7991C4D0" w14:textId="640A9EA8" w:rsidR="00BA035C" w:rsidRPr="00E35478" w:rsidRDefault="00BA035C" w:rsidP="00BA035C">
            <w:pPr>
              <w:rPr>
                <w:rFonts w:cs="Segoe UI"/>
                <w:b/>
                <w:sz w:val="20"/>
                <w:szCs w:val="20"/>
                <w:lang w:val="en-AU" w:eastAsia="en-AU"/>
              </w:rPr>
            </w:pPr>
            <w:r w:rsidRPr="00E35478">
              <w:rPr>
                <w:b/>
                <w:sz w:val="20"/>
                <w:szCs w:val="20"/>
              </w:rPr>
              <w:t xml:space="preserve">Storage Blob </w:t>
            </w:r>
            <w:r>
              <w:rPr>
                <w:b/>
                <w:sz w:val="20"/>
                <w:szCs w:val="20"/>
              </w:rPr>
              <w:t>c</w:t>
            </w:r>
            <w:r w:rsidRPr="00E35478">
              <w:rPr>
                <w:b/>
                <w:sz w:val="20"/>
                <w:szCs w:val="20"/>
              </w:rPr>
              <w:t>ontainer</w:t>
            </w:r>
          </w:p>
        </w:tc>
        <w:tc>
          <w:tcPr>
            <w:tcW w:w="0" w:type="auto"/>
          </w:tcPr>
          <w:p w14:paraId="63FDC03D" w14:textId="77777777" w:rsidR="00BA035C" w:rsidRPr="00BA3695" w:rsidRDefault="00BA035C" w:rsidP="00BA035C">
            <w:pPr>
              <w:rPr>
                <w:rFonts w:cs="Segoe UI"/>
                <w:sz w:val="20"/>
                <w:szCs w:val="20"/>
                <w:lang w:val="en-AU" w:eastAsia="en-AU"/>
              </w:rPr>
            </w:pPr>
            <w:r w:rsidRPr="00F54467">
              <w:rPr>
                <w:sz w:val="20"/>
                <w:szCs w:val="20"/>
              </w:rPr>
              <w:t xml:space="preserve">Container names must start with a letter or number, and </w:t>
            </w:r>
            <w:r>
              <w:rPr>
                <w:sz w:val="20"/>
                <w:szCs w:val="20"/>
              </w:rPr>
              <w:t xml:space="preserve">they </w:t>
            </w:r>
            <w:r w:rsidRPr="00F54467">
              <w:rPr>
                <w:sz w:val="20"/>
                <w:szCs w:val="20"/>
              </w:rPr>
              <w:t xml:space="preserve">can contain only letters, </w:t>
            </w:r>
            <w:r w:rsidRPr="00BA3695">
              <w:rPr>
                <w:rFonts w:cs="Segoe UI"/>
                <w:sz w:val="20"/>
                <w:szCs w:val="20"/>
                <w:lang w:val="en-AU" w:eastAsia="en-AU"/>
              </w:rPr>
              <w:t xml:space="preserve">numbers, and the </w:t>
            </w:r>
            <w:r>
              <w:rPr>
                <w:rFonts w:cs="Segoe UI"/>
                <w:sz w:val="20"/>
                <w:szCs w:val="20"/>
                <w:lang w:val="en-AU" w:eastAsia="en-AU"/>
              </w:rPr>
              <w:t>hyphen</w:t>
            </w:r>
            <w:r w:rsidRPr="00BA3695">
              <w:rPr>
                <w:rFonts w:cs="Segoe UI"/>
                <w:sz w:val="20"/>
                <w:szCs w:val="20"/>
                <w:lang w:val="en-AU" w:eastAsia="en-AU"/>
              </w:rPr>
              <w:t xml:space="preserve"> (-) character.</w:t>
            </w:r>
          </w:p>
          <w:p w14:paraId="18C4D84D" w14:textId="77777777" w:rsidR="00BA035C" w:rsidRPr="00BA3695" w:rsidRDefault="00BA035C" w:rsidP="00BA035C">
            <w:pPr>
              <w:rPr>
                <w:rFonts w:cs="Segoe UI"/>
                <w:sz w:val="20"/>
                <w:szCs w:val="20"/>
                <w:lang w:val="en-AU" w:eastAsia="en-AU"/>
              </w:rPr>
            </w:pPr>
            <w:r w:rsidRPr="00F54467">
              <w:rPr>
                <w:sz w:val="20"/>
                <w:szCs w:val="20"/>
              </w:rPr>
              <w:t xml:space="preserve">Every </w:t>
            </w:r>
            <w:r>
              <w:rPr>
                <w:sz w:val="20"/>
                <w:szCs w:val="20"/>
              </w:rPr>
              <w:t>hyphen</w:t>
            </w:r>
            <w:r w:rsidRPr="00F54467">
              <w:rPr>
                <w:sz w:val="20"/>
                <w:szCs w:val="20"/>
              </w:rPr>
              <w:t xml:space="preserve"> must be immediately </w:t>
            </w:r>
            <w:r w:rsidRPr="00BA3695">
              <w:rPr>
                <w:rFonts w:cs="Segoe UI"/>
                <w:sz w:val="20"/>
                <w:szCs w:val="20"/>
                <w:lang w:val="en-AU" w:eastAsia="en-AU"/>
              </w:rPr>
              <w:t xml:space="preserve">preceded and followed by a letter or number; consecutive </w:t>
            </w:r>
            <w:r>
              <w:rPr>
                <w:rFonts w:cs="Segoe UI"/>
                <w:sz w:val="20"/>
                <w:szCs w:val="20"/>
                <w:lang w:val="en-AU" w:eastAsia="en-AU"/>
              </w:rPr>
              <w:t>hyphens</w:t>
            </w:r>
            <w:r w:rsidRPr="00BA3695">
              <w:rPr>
                <w:rFonts w:cs="Segoe UI"/>
                <w:sz w:val="20"/>
                <w:szCs w:val="20"/>
                <w:lang w:val="en-AU" w:eastAsia="en-AU"/>
              </w:rPr>
              <w:t xml:space="preserve"> are not permitted in container names.</w:t>
            </w:r>
          </w:p>
          <w:p w14:paraId="52AACA47" w14:textId="77777777" w:rsidR="00BA035C" w:rsidRPr="00BA3695" w:rsidRDefault="00BA035C" w:rsidP="00BA035C">
            <w:pPr>
              <w:rPr>
                <w:rFonts w:cs="Segoe UI"/>
                <w:sz w:val="20"/>
                <w:szCs w:val="20"/>
                <w:lang w:val="en-AU" w:eastAsia="en-AU"/>
              </w:rPr>
            </w:pPr>
            <w:r w:rsidRPr="00F54467">
              <w:rPr>
                <w:sz w:val="20"/>
                <w:szCs w:val="20"/>
              </w:rPr>
              <w:t>All letters in a container name must be lower</w:t>
            </w:r>
            <w:r>
              <w:rPr>
                <w:sz w:val="20"/>
                <w:szCs w:val="20"/>
              </w:rPr>
              <w:t xml:space="preserve"> </w:t>
            </w:r>
            <w:r w:rsidRPr="00F54467">
              <w:rPr>
                <w:sz w:val="20"/>
                <w:szCs w:val="20"/>
              </w:rPr>
              <w:t>case.</w:t>
            </w:r>
          </w:p>
          <w:p w14:paraId="68384EE7" w14:textId="7D1EEA7E" w:rsidR="00BA035C" w:rsidRPr="00BA3695" w:rsidRDefault="00BA035C" w:rsidP="00BA035C">
            <w:pPr>
              <w:rPr>
                <w:rFonts w:cs="Segoe UI"/>
                <w:sz w:val="20"/>
                <w:szCs w:val="20"/>
                <w:lang w:val="en-AU" w:eastAsia="en-AU"/>
              </w:rPr>
            </w:pPr>
            <w:r w:rsidRPr="00F54467">
              <w:rPr>
                <w:sz w:val="20"/>
                <w:szCs w:val="20"/>
              </w:rPr>
              <w:t>Container names must be from</w:t>
            </w:r>
            <w:r>
              <w:rPr>
                <w:sz w:val="20"/>
                <w:szCs w:val="20"/>
              </w:rPr>
              <w:t> 3</w:t>
            </w:r>
            <w:r w:rsidRPr="00F54467">
              <w:rPr>
                <w:sz w:val="20"/>
                <w:szCs w:val="20"/>
              </w:rPr>
              <w:t xml:space="preserve"> through</w:t>
            </w:r>
            <w:r>
              <w:rPr>
                <w:sz w:val="20"/>
                <w:szCs w:val="20"/>
              </w:rPr>
              <w:t> 6</w:t>
            </w:r>
            <w:r w:rsidRPr="00F54467">
              <w:rPr>
                <w:sz w:val="20"/>
                <w:szCs w:val="20"/>
              </w:rPr>
              <w:t>3 characters long.</w:t>
            </w:r>
          </w:p>
        </w:tc>
        <w:tc>
          <w:tcPr>
            <w:tcW w:w="0" w:type="auto"/>
          </w:tcPr>
          <w:p w14:paraId="7B874571" w14:textId="57ECB74A" w:rsidR="00BA035C" w:rsidRPr="00BA3695" w:rsidRDefault="00BA035C" w:rsidP="00BA035C">
            <w:pPr>
              <w:rPr>
                <w:rFonts w:cs="Segoe UI"/>
                <w:sz w:val="20"/>
                <w:szCs w:val="20"/>
                <w:lang w:val="en-AU" w:eastAsia="en-AU"/>
              </w:rPr>
            </w:pPr>
            <w:r>
              <w:rPr>
                <w:sz w:val="20"/>
                <w:szCs w:val="20"/>
              </w:rPr>
              <w:t>Naming s</w:t>
            </w:r>
            <w:r w:rsidRPr="00F54467">
              <w:rPr>
                <w:sz w:val="20"/>
                <w:szCs w:val="20"/>
              </w:rPr>
              <w:t>hould be representative of its contents</w:t>
            </w:r>
            <w:r>
              <w:rPr>
                <w:sz w:val="20"/>
                <w:szCs w:val="20"/>
              </w:rPr>
              <w:t xml:space="preserve"> (for example</w:t>
            </w:r>
            <w:r w:rsidRPr="00F54467">
              <w:rPr>
                <w:sz w:val="20"/>
                <w:szCs w:val="20"/>
              </w:rPr>
              <w:t xml:space="preserve">, </w:t>
            </w:r>
            <w:r w:rsidRPr="00BA035C">
              <w:rPr>
                <w:i/>
                <w:sz w:val="20"/>
                <w:szCs w:val="20"/>
              </w:rPr>
              <w:t>vhds</w:t>
            </w:r>
            <w:r w:rsidRPr="00F54467">
              <w:rPr>
                <w:sz w:val="20"/>
                <w:szCs w:val="20"/>
              </w:rPr>
              <w:t xml:space="preserve">, </w:t>
            </w:r>
            <w:r w:rsidRPr="00BA035C">
              <w:rPr>
                <w:rFonts w:cs="Segoe UI"/>
                <w:i/>
                <w:sz w:val="20"/>
                <w:szCs w:val="20"/>
                <w:lang w:val="en-AU" w:eastAsia="en-AU"/>
              </w:rPr>
              <w:t>server images</w:t>
            </w:r>
            <w:r>
              <w:rPr>
                <w:rFonts w:cs="Segoe UI"/>
                <w:sz w:val="20"/>
                <w:szCs w:val="20"/>
                <w:lang w:val="en-AU" w:eastAsia="en-AU"/>
              </w:rPr>
              <w:t xml:space="preserve">, or </w:t>
            </w:r>
            <w:r w:rsidRPr="00BA035C">
              <w:rPr>
                <w:rFonts w:cs="Segoe UI"/>
                <w:i/>
                <w:sz w:val="20"/>
                <w:szCs w:val="20"/>
                <w:lang w:val="en-AU" w:eastAsia="en-AU"/>
              </w:rPr>
              <w:t>backup-Mar03-2015</w:t>
            </w:r>
            <w:r>
              <w:rPr>
                <w:rFonts w:cs="Segoe UI"/>
                <w:sz w:val="20"/>
                <w:szCs w:val="20"/>
                <w:lang w:val="en-AU" w:eastAsia="en-AU"/>
              </w:rPr>
              <w:t>)</w:t>
            </w:r>
          </w:p>
        </w:tc>
      </w:tr>
      <w:tr w:rsidR="00BA035C" w:rsidRPr="0098392B" w14:paraId="49FD9B82" w14:textId="77777777" w:rsidTr="0068034F">
        <w:trPr>
          <w:cnfStyle w:val="000000100000" w:firstRow="0" w:lastRow="0" w:firstColumn="0" w:lastColumn="0" w:oddVBand="0" w:evenVBand="0" w:oddHBand="1" w:evenHBand="0" w:firstRowFirstColumn="0" w:firstRowLastColumn="0" w:lastRowFirstColumn="0" w:lastRowLastColumn="0"/>
        </w:trPr>
        <w:tc>
          <w:tcPr>
            <w:tcW w:w="0" w:type="auto"/>
          </w:tcPr>
          <w:p w14:paraId="3DE9C01A" w14:textId="62C88168" w:rsidR="00BA035C" w:rsidRPr="00E35478" w:rsidRDefault="00BA035C" w:rsidP="00BA035C">
            <w:pPr>
              <w:rPr>
                <w:rFonts w:cs="Segoe UI"/>
                <w:b/>
                <w:sz w:val="20"/>
                <w:szCs w:val="20"/>
                <w:lang w:val="en-AU" w:eastAsia="en-AU"/>
              </w:rPr>
            </w:pPr>
            <w:r w:rsidRPr="00E35478">
              <w:rPr>
                <w:rFonts w:cs="Segoe UI"/>
                <w:b/>
                <w:sz w:val="20"/>
                <w:szCs w:val="20"/>
                <w:lang w:val="en-AU" w:eastAsia="en-AU"/>
              </w:rPr>
              <w:t>Storage Blob</w:t>
            </w:r>
          </w:p>
        </w:tc>
        <w:tc>
          <w:tcPr>
            <w:tcW w:w="0" w:type="auto"/>
          </w:tcPr>
          <w:p w14:paraId="07FB439F" w14:textId="77777777" w:rsidR="00BA035C" w:rsidRPr="00BA3695" w:rsidRDefault="00BA035C" w:rsidP="00BA035C">
            <w:pPr>
              <w:pStyle w:val="NormalWeb"/>
              <w:rPr>
                <w:rFonts w:ascii="Segoe UI" w:hAnsi="Segoe UI" w:cs="Segoe UI"/>
                <w:sz w:val="20"/>
                <w:szCs w:val="20"/>
                <w:lang w:val="en-AU" w:eastAsia="en-AU"/>
              </w:rPr>
            </w:pPr>
            <w:r w:rsidRPr="00BA3695">
              <w:rPr>
                <w:rFonts w:ascii="Segoe UI" w:hAnsi="Segoe UI" w:cs="Segoe UI"/>
                <w:sz w:val="20"/>
                <w:szCs w:val="20"/>
                <w:lang w:val="en-AU" w:eastAsia="en-AU"/>
              </w:rPr>
              <w:t>A blob name can contain any combination of characters.</w:t>
            </w:r>
          </w:p>
          <w:p w14:paraId="4D5DD073" w14:textId="77777777" w:rsidR="00BA035C" w:rsidRPr="00BA3695" w:rsidRDefault="00BA035C" w:rsidP="00BA035C">
            <w:pPr>
              <w:pStyle w:val="NormalWeb"/>
              <w:rPr>
                <w:rFonts w:ascii="Segoe UI" w:hAnsi="Segoe UI" w:cs="Segoe UI"/>
                <w:sz w:val="20"/>
                <w:szCs w:val="20"/>
                <w:lang w:val="en-AU" w:eastAsia="en-AU"/>
              </w:rPr>
            </w:pPr>
            <w:r w:rsidRPr="00BA3695">
              <w:rPr>
                <w:rFonts w:ascii="Segoe UI" w:hAnsi="Segoe UI" w:cs="Segoe UI"/>
                <w:sz w:val="20"/>
                <w:szCs w:val="20"/>
                <w:lang w:val="en-AU" w:eastAsia="en-AU"/>
              </w:rPr>
              <w:t>A blob name must be at least one character long and cannot be more than</w:t>
            </w:r>
            <w:r>
              <w:rPr>
                <w:rFonts w:ascii="Segoe UI" w:hAnsi="Segoe UI" w:cs="Segoe UI"/>
                <w:sz w:val="20"/>
                <w:szCs w:val="20"/>
                <w:lang w:val="en-AU" w:eastAsia="en-AU"/>
              </w:rPr>
              <w:t> 1</w:t>
            </w:r>
            <w:r w:rsidRPr="00BA3695">
              <w:rPr>
                <w:rFonts w:ascii="Segoe UI" w:hAnsi="Segoe UI" w:cs="Segoe UI"/>
                <w:sz w:val="20"/>
                <w:szCs w:val="20"/>
                <w:lang w:val="en-AU" w:eastAsia="en-AU"/>
              </w:rPr>
              <w:t>,024 characters long.</w:t>
            </w:r>
          </w:p>
          <w:p w14:paraId="2312B3A1" w14:textId="77777777" w:rsidR="00BA035C" w:rsidRPr="00BA3695" w:rsidRDefault="00BA035C" w:rsidP="00BA035C">
            <w:pPr>
              <w:pStyle w:val="NormalWeb"/>
              <w:rPr>
                <w:rFonts w:ascii="Segoe UI" w:hAnsi="Segoe UI" w:cs="Segoe UI"/>
                <w:sz w:val="20"/>
                <w:szCs w:val="20"/>
                <w:lang w:val="en-AU" w:eastAsia="en-AU"/>
              </w:rPr>
            </w:pPr>
            <w:r w:rsidRPr="00BA3695">
              <w:rPr>
                <w:rFonts w:ascii="Segoe UI" w:hAnsi="Segoe UI" w:cs="Segoe UI"/>
                <w:sz w:val="20"/>
                <w:szCs w:val="20"/>
                <w:lang w:val="en-AU" w:eastAsia="en-AU"/>
              </w:rPr>
              <w:t>Blob names are case</w:t>
            </w:r>
            <w:r>
              <w:rPr>
                <w:rFonts w:ascii="Segoe UI" w:hAnsi="Segoe UI" w:cs="Segoe UI"/>
                <w:sz w:val="20"/>
                <w:szCs w:val="20"/>
                <w:lang w:val="en-AU" w:eastAsia="en-AU"/>
              </w:rPr>
              <w:t xml:space="preserve"> </w:t>
            </w:r>
            <w:r w:rsidRPr="00BA3695">
              <w:rPr>
                <w:rFonts w:ascii="Segoe UI" w:hAnsi="Segoe UI" w:cs="Segoe UI"/>
                <w:sz w:val="20"/>
                <w:szCs w:val="20"/>
                <w:lang w:val="en-AU" w:eastAsia="en-AU"/>
              </w:rPr>
              <w:t>sensitive.</w:t>
            </w:r>
          </w:p>
          <w:p w14:paraId="1F81F7E3" w14:textId="77777777" w:rsidR="00BA035C" w:rsidRPr="00BA3695" w:rsidRDefault="00BA035C" w:rsidP="00BA035C">
            <w:pPr>
              <w:pStyle w:val="NormalWeb"/>
              <w:rPr>
                <w:rFonts w:ascii="Segoe UI" w:hAnsi="Segoe UI" w:cs="Segoe UI"/>
                <w:sz w:val="20"/>
                <w:szCs w:val="20"/>
                <w:lang w:val="en-AU" w:eastAsia="en-AU"/>
              </w:rPr>
            </w:pPr>
            <w:r w:rsidRPr="00BA3695">
              <w:rPr>
                <w:rFonts w:ascii="Segoe UI" w:hAnsi="Segoe UI" w:cs="Segoe UI"/>
                <w:sz w:val="20"/>
                <w:szCs w:val="20"/>
                <w:lang w:val="en-AU" w:eastAsia="en-AU"/>
              </w:rPr>
              <w:t>Reserved URL characters must be properly escaped.</w:t>
            </w:r>
          </w:p>
          <w:p w14:paraId="4B7B6BE1" w14:textId="580F957B" w:rsidR="00BA035C" w:rsidRPr="00BA3695" w:rsidRDefault="00BA035C" w:rsidP="00BA035C">
            <w:pPr>
              <w:rPr>
                <w:rFonts w:cs="Segoe UI"/>
                <w:sz w:val="20"/>
                <w:szCs w:val="20"/>
                <w:lang w:val="en-AU" w:eastAsia="en-AU"/>
              </w:rPr>
            </w:pPr>
            <w:r w:rsidRPr="00BA3695">
              <w:rPr>
                <w:rFonts w:cs="Segoe UI"/>
                <w:sz w:val="20"/>
                <w:szCs w:val="20"/>
                <w:lang w:val="en-AU" w:eastAsia="en-AU"/>
              </w:rPr>
              <w:t>The number of path segments comprising the blob name cannot exceed</w:t>
            </w:r>
            <w:r>
              <w:rPr>
                <w:rFonts w:cs="Segoe UI"/>
                <w:sz w:val="20"/>
                <w:szCs w:val="20"/>
                <w:lang w:val="en-AU" w:eastAsia="en-AU"/>
              </w:rPr>
              <w:t> 2</w:t>
            </w:r>
            <w:r w:rsidRPr="00BA3695">
              <w:rPr>
                <w:rFonts w:cs="Segoe UI"/>
                <w:sz w:val="20"/>
                <w:szCs w:val="20"/>
                <w:lang w:val="en-AU" w:eastAsia="en-AU"/>
              </w:rPr>
              <w:t>54. A path segment is the string between consecutive delimiter characters (</w:t>
            </w:r>
            <w:r>
              <w:rPr>
                <w:rFonts w:cs="Segoe UI"/>
                <w:sz w:val="20"/>
                <w:szCs w:val="20"/>
                <w:lang w:val="en-AU" w:eastAsia="en-AU"/>
              </w:rPr>
              <w:t>for example,</w:t>
            </w:r>
            <w:r w:rsidRPr="00BA3695">
              <w:rPr>
                <w:rFonts w:cs="Segoe UI"/>
                <w:sz w:val="20"/>
                <w:szCs w:val="20"/>
                <w:lang w:val="en-AU" w:eastAsia="en-AU"/>
              </w:rPr>
              <w:t xml:space="preserve"> the forward slash) that corresponds to the name of a virtual directory.</w:t>
            </w:r>
          </w:p>
        </w:tc>
        <w:tc>
          <w:tcPr>
            <w:tcW w:w="0" w:type="auto"/>
          </w:tcPr>
          <w:p w14:paraId="19FE4083" w14:textId="6D6D68B1" w:rsidR="00BA035C" w:rsidRPr="00BA3695" w:rsidRDefault="00BA035C" w:rsidP="00BA035C">
            <w:pPr>
              <w:rPr>
                <w:rFonts w:cs="Segoe UI"/>
                <w:sz w:val="20"/>
                <w:szCs w:val="20"/>
                <w:lang w:val="en-AU" w:eastAsia="en-AU"/>
              </w:rPr>
            </w:pPr>
            <w:r>
              <w:rPr>
                <w:rFonts w:cs="Segoe UI"/>
                <w:sz w:val="20"/>
                <w:szCs w:val="20"/>
                <w:lang w:val="en-AU" w:eastAsia="en-AU"/>
              </w:rPr>
              <w:t>Naming s</w:t>
            </w:r>
            <w:r w:rsidRPr="00BA3695">
              <w:rPr>
                <w:rFonts w:cs="Segoe UI"/>
                <w:sz w:val="20"/>
                <w:szCs w:val="20"/>
                <w:lang w:val="en-AU" w:eastAsia="en-AU"/>
              </w:rPr>
              <w:t xml:space="preserve">hould be representative of its contents. </w:t>
            </w:r>
          </w:p>
        </w:tc>
      </w:tr>
      <w:tr w:rsidR="00BA035C" w:rsidRPr="0098392B" w14:paraId="2581BE30" w14:textId="77777777" w:rsidTr="0068034F">
        <w:tc>
          <w:tcPr>
            <w:tcW w:w="0" w:type="auto"/>
          </w:tcPr>
          <w:p w14:paraId="2143B3BA" w14:textId="12134A75" w:rsidR="00BA035C" w:rsidRPr="00E35478" w:rsidRDefault="00BA035C" w:rsidP="00BA035C">
            <w:pPr>
              <w:rPr>
                <w:rFonts w:cs="Segoe UI"/>
                <w:b/>
                <w:sz w:val="20"/>
                <w:szCs w:val="20"/>
                <w:lang w:val="en-AU" w:eastAsia="en-AU"/>
              </w:rPr>
            </w:pPr>
            <w:r w:rsidRPr="00E35478">
              <w:rPr>
                <w:rFonts w:cs="Segoe UI"/>
                <w:b/>
                <w:sz w:val="20"/>
                <w:szCs w:val="20"/>
                <w:lang w:val="en-AU" w:eastAsia="en-AU"/>
              </w:rPr>
              <w:t>Queues</w:t>
            </w:r>
          </w:p>
        </w:tc>
        <w:tc>
          <w:tcPr>
            <w:tcW w:w="0" w:type="auto"/>
          </w:tcPr>
          <w:p w14:paraId="184965C1" w14:textId="77777777" w:rsidR="00BA035C" w:rsidRPr="00E70A31" w:rsidRDefault="00BA035C" w:rsidP="00BA035C">
            <w:pPr>
              <w:pStyle w:val="NormalWeb"/>
              <w:rPr>
                <w:rFonts w:ascii="Segoe UI" w:hAnsi="Segoe UI" w:cs="Segoe UI"/>
                <w:sz w:val="20"/>
                <w:szCs w:val="20"/>
                <w:lang w:val="en" w:eastAsia="en-AU"/>
              </w:rPr>
            </w:pPr>
            <w:r w:rsidRPr="00E70A31">
              <w:rPr>
                <w:rFonts w:ascii="Segoe UI" w:hAnsi="Segoe UI" w:cs="Segoe UI"/>
                <w:sz w:val="20"/>
                <w:szCs w:val="20"/>
                <w:lang w:val="en" w:eastAsia="en-AU"/>
              </w:rPr>
              <w:t>Every queue within an account must have a unique name. The queue name must be a valid DNS name.</w:t>
            </w:r>
          </w:p>
          <w:p w14:paraId="52D14EA4" w14:textId="77777777" w:rsidR="00BA035C" w:rsidRPr="00E70A31" w:rsidRDefault="00BA035C" w:rsidP="00BA035C">
            <w:pPr>
              <w:pStyle w:val="NormalWeb"/>
              <w:rPr>
                <w:rFonts w:ascii="Segoe UI" w:hAnsi="Segoe UI" w:cs="Segoe UI"/>
                <w:sz w:val="20"/>
                <w:szCs w:val="20"/>
                <w:lang w:val="en" w:eastAsia="en-AU"/>
              </w:rPr>
            </w:pPr>
            <w:r w:rsidRPr="00E70A31">
              <w:rPr>
                <w:rFonts w:ascii="Segoe UI" w:hAnsi="Segoe UI" w:cs="Segoe UI"/>
                <w:sz w:val="20"/>
                <w:szCs w:val="20"/>
                <w:lang w:val="en" w:eastAsia="en-AU"/>
              </w:rPr>
              <w:t xml:space="preserve">A queue name must start with a letter or number, and can only contain letters, numbers, and the </w:t>
            </w:r>
            <w:r>
              <w:rPr>
                <w:rFonts w:ascii="Segoe UI" w:hAnsi="Segoe UI" w:cs="Segoe UI"/>
                <w:sz w:val="20"/>
                <w:szCs w:val="20"/>
                <w:lang w:val="en" w:eastAsia="en-AU"/>
              </w:rPr>
              <w:t>hyphen</w:t>
            </w:r>
            <w:r w:rsidRPr="00E70A31">
              <w:rPr>
                <w:rFonts w:ascii="Segoe UI" w:hAnsi="Segoe UI" w:cs="Segoe UI"/>
                <w:sz w:val="20"/>
                <w:szCs w:val="20"/>
                <w:lang w:val="en" w:eastAsia="en-AU"/>
              </w:rPr>
              <w:t xml:space="preserve"> (-) character. </w:t>
            </w:r>
          </w:p>
          <w:p w14:paraId="42C2C5E4" w14:textId="77777777" w:rsidR="00BA035C" w:rsidRPr="00E70A31" w:rsidRDefault="00BA035C" w:rsidP="00BA035C">
            <w:pPr>
              <w:pStyle w:val="NormalWeb"/>
              <w:rPr>
                <w:rFonts w:ascii="Segoe UI" w:hAnsi="Segoe UI" w:cs="Segoe UI"/>
                <w:sz w:val="20"/>
                <w:szCs w:val="20"/>
                <w:lang w:val="en" w:eastAsia="en-AU"/>
              </w:rPr>
            </w:pPr>
            <w:r w:rsidRPr="00E70A31">
              <w:rPr>
                <w:rFonts w:ascii="Segoe UI" w:hAnsi="Segoe UI" w:cs="Segoe UI"/>
                <w:sz w:val="20"/>
                <w:szCs w:val="20"/>
                <w:lang w:val="en" w:eastAsia="en-AU"/>
              </w:rPr>
              <w:t xml:space="preserve">The first and last letters in the queue name must be alphanumeric. The </w:t>
            </w:r>
            <w:r>
              <w:rPr>
                <w:rFonts w:ascii="Segoe UI" w:hAnsi="Segoe UI" w:cs="Segoe UI"/>
                <w:sz w:val="20"/>
                <w:szCs w:val="20"/>
                <w:lang w:val="en" w:eastAsia="en-AU"/>
              </w:rPr>
              <w:t>hyphen</w:t>
            </w:r>
            <w:r w:rsidRPr="00E70A31">
              <w:rPr>
                <w:rFonts w:ascii="Segoe UI" w:hAnsi="Segoe UI" w:cs="Segoe UI"/>
                <w:sz w:val="20"/>
                <w:szCs w:val="20"/>
                <w:lang w:val="en" w:eastAsia="en-AU"/>
              </w:rPr>
              <w:t xml:space="preserve"> cannot be the first or last character. Consecutive </w:t>
            </w:r>
            <w:r>
              <w:rPr>
                <w:rFonts w:ascii="Segoe UI" w:hAnsi="Segoe UI" w:cs="Segoe UI"/>
                <w:sz w:val="20"/>
                <w:szCs w:val="20"/>
                <w:lang w:val="en" w:eastAsia="en-AU"/>
              </w:rPr>
              <w:t>hyphens</w:t>
            </w:r>
            <w:r w:rsidRPr="00E70A31">
              <w:rPr>
                <w:rFonts w:ascii="Segoe UI" w:hAnsi="Segoe UI" w:cs="Segoe UI"/>
                <w:sz w:val="20"/>
                <w:szCs w:val="20"/>
                <w:lang w:val="en" w:eastAsia="en-AU"/>
              </w:rPr>
              <w:t xml:space="preserve"> are not permitted in the queue name.</w:t>
            </w:r>
          </w:p>
          <w:p w14:paraId="452E8D46" w14:textId="77777777" w:rsidR="00BA035C" w:rsidRPr="00E70A31" w:rsidRDefault="00BA035C" w:rsidP="00BA035C">
            <w:pPr>
              <w:pStyle w:val="NormalWeb"/>
              <w:rPr>
                <w:rFonts w:ascii="Segoe UI" w:hAnsi="Segoe UI" w:cs="Segoe UI"/>
                <w:sz w:val="20"/>
                <w:szCs w:val="20"/>
                <w:lang w:val="en" w:eastAsia="en-AU"/>
              </w:rPr>
            </w:pPr>
            <w:r w:rsidRPr="00E70A31">
              <w:rPr>
                <w:rFonts w:ascii="Segoe UI" w:hAnsi="Segoe UI" w:cs="Segoe UI"/>
                <w:sz w:val="20"/>
                <w:szCs w:val="20"/>
                <w:lang w:val="en" w:eastAsia="en-AU"/>
              </w:rPr>
              <w:t>All letters in a queue name must be lower</w:t>
            </w:r>
            <w:r>
              <w:rPr>
                <w:rFonts w:ascii="Segoe UI" w:hAnsi="Segoe UI" w:cs="Segoe UI"/>
                <w:sz w:val="20"/>
                <w:szCs w:val="20"/>
                <w:lang w:val="en" w:eastAsia="en-AU"/>
              </w:rPr>
              <w:t xml:space="preserve"> </w:t>
            </w:r>
            <w:r w:rsidRPr="00E70A31">
              <w:rPr>
                <w:rFonts w:ascii="Segoe UI" w:hAnsi="Segoe UI" w:cs="Segoe UI"/>
                <w:sz w:val="20"/>
                <w:szCs w:val="20"/>
                <w:lang w:val="en" w:eastAsia="en-AU"/>
              </w:rPr>
              <w:t>case.</w:t>
            </w:r>
          </w:p>
          <w:p w14:paraId="3D52B6D2" w14:textId="25EEA148" w:rsidR="00BA035C" w:rsidRPr="00BA3695" w:rsidRDefault="00BA035C" w:rsidP="00BA035C">
            <w:pPr>
              <w:rPr>
                <w:rFonts w:cs="Segoe UI"/>
                <w:sz w:val="20"/>
                <w:szCs w:val="20"/>
                <w:lang w:val="en-AU" w:eastAsia="en-AU"/>
              </w:rPr>
            </w:pPr>
            <w:r w:rsidRPr="00E70A31">
              <w:rPr>
                <w:rFonts w:cs="Segoe UI"/>
                <w:sz w:val="20"/>
                <w:szCs w:val="20"/>
                <w:lang w:val="en" w:eastAsia="en-AU"/>
              </w:rPr>
              <w:t>A queue name must be from</w:t>
            </w:r>
            <w:r>
              <w:rPr>
                <w:rFonts w:cs="Segoe UI"/>
                <w:sz w:val="20"/>
                <w:szCs w:val="20"/>
                <w:lang w:val="en" w:eastAsia="en-AU"/>
              </w:rPr>
              <w:t> 3</w:t>
            </w:r>
            <w:r w:rsidRPr="00E70A31">
              <w:rPr>
                <w:rFonts w:cs="Segoe UI"/>
                <w:sz w:val="20"/>
                <w:szCs w:val="20"/>
                <w:lang w:val="en" w:eastAsia="en-AU"/>
              </w:rPr>
              <w:t xml:space="preserve"> through</w:t>
            </w:r>
            <w:r>
              <w:rPr>
                <w:rFonts w:cs="Segoe UI"/>
                <w:sz w:val="20"/>
                <w:szCs w:val="20"/>
                <w:lang w:val="en" w:eastAsia="en-AU"/>
              </w:rPr>
              <w:t> 6</w:t>
            </w:r>
            <w:r w:rsidRPr="00E70A31">
              <w:rPr>
                <w:rFonts w:cs="Segoe UI"/>
                <w:sz w:val="20"/>
                <w:szCs w:val="20"/>
                <w:lang w:val="en" w:eastAsia="en-AU"/>
              </w:rPr>
              <w:t>3 characters long.</w:t>
            </w:r>
          </w:p>
        </w:tc>
        <w:tc>
          <w:tcPr>
            <w:tcW w:w="0" w:type="auto"/>
          </w:tcPr>
          <w:p w14:paraId="4581F430" w14:textId="0391A93C" w:rsidR="00BA035C" w:rsidRPr="00BA3695" w:rsidRDefault="00BA035C" w:rsidP="00BA035C">
            <w:pPr>
              <w:rPr>
                <w:rFonts w:cs="Segoe UI"/>
                <w:sz w:val="20"/>
                <w:szCs w:val="20"/>
                <w:lang w:val="en-AU" w:eastAsia="en-AU"/>
              </w:rPr>
            </w:pPr>
            <w:r>
              <w:rPr>
                <w:rFonts w:cs="Segoe UI"/>
                <w:sz w:val="20"/>
                <w:szCs w:val="20"/>
                <w:lang w:val="en-AU" w:eastAsia="en-AU"/>
              </w:rPr>
              <w:t>Naming s</w:t>
            </w:r>
            <w:r w:rsidRPr="00BA3695">
              <w:rPr>
                <w:rFonts w:cs="Segoe UI"/>
                <w:sz w:val="20"/>
                <w:szCs w:val="20"/>
                <w:lang w:val="en-AU" w:eastAsia="en-AU"/>
              </w:rPr>
              <w:t>hould be representative of its contents.</w:t>
            </w:r>
          </w:p>
        </w:tc>
      </w:tr>
      <w:tr w:rsidR="00BA035C" w:rsidRPr="0098392B" w14:paraId="04EB34EC" w14:textId="77777777" w:rsidTr="0068034F">
        <w:trPr>
          <w:cnfStyle w:val="000000100000" w:firstRow="0" w:lastRow="0" w:firstColumn="0" w:lastColumn="0" w:oddVBand="0" w:evenVBand="0" w:oddHBand="1" w:evenHBand="0" w:firstRowFirstColumn="0" w:firstRowLastColumn="0" w:lastRowFirstColumn="0" w:lastRowLastColumn="0"/>
        </w:trPr>
        <w:tc>
          <w:tcPr>
            <w:tcW w:w="0" w:type="auto"/>
          </w:tcPr>
          <w:p w14:paraId="7D6A0EBA" w14:textId="697B2F76" w:rsidR="00BA035C" w:rsidRPr="00E35478" w:rsidRDefault="00BA035C" w:rsidP="00BA035C">
            <w:pPr>
              <w:rPr>
                <w:rFonts w:cs="Segoe UI"/>
                <w:b/>
                <w:sz w:val="20"/>
                <w:szCs w:val="20"/>
                <w:lang w:val="en-AU" w:eastAsia="en-AU"/>
              </w:rPr>
            </w:pPr>
            <w:r w:rsidRPr="00E35478">
              <w:rPr>
                <w:rFonts w:cs="Segoe UI"/>
                <w:b/>
                <w:sz w:val="20"/>
                <w:szCs w:val="20"/>
                <w:lang w:val="en-AU" w:eastAsia="en-AU"/>
              </w:rPr>
              <w:t>Tables</w:t>
            </w:r>
          </w:p>
        </w:tc>
        <w:tc>
          <w:tcPr>
            <w:tcW w:w="0" w:type="auto"/>
          </w:tcPr>
          <w:p w14:paraId="57550150" w14:textId="77777777" w:rsidR="00BA035C" w:rsidRPr="00E70A31" w:rsidRDefault="00BA035C" w:rsidP="00BA035C">
            <w:pPr>
              <w:rPr>
                <w:rFonts w:eastAsia="Calibri"/>
                <w:sz w:val="20"/>
                <w:lang w:val="en" w:eastAsia="en-AU"/>
              </w:rPr>
            </w:pPr>
            <w:r w:rsidRPr="00E70A31">
              <w:rPr>
                <w:rFonts w:eastAsia="Calibri"/>
                <w:sz w:val="20"/>
                <w:lang w:val="en" w:eastAsia="en-AU"/>
              </w:rPr>
              <w:t>Table names must be unique within an account.</w:t>
            </w:r>
          </w:p>
          <w:p w14:paraId="732049A1" w14:textId="77777777" w:rsidR="00BA035C" w:rsidRPr="00E70A31" w:rsidRDefault="00BA035C" w:rsidP="00BA035C">
            <w:pPr>
              <w:rPr>
                <w:rFonts w:eastAsia="Calibri"/>
                <w:sz w:val="20"/>
                <w:lang w:val="en" w:eastAsia="en-AU"/>
              </w:rPr>
            </w:pPr>
            <w:r w:rsidRPr="00E70A31">
              <w:rPr>
                <w:rFonts w:eastAsia="Calibri"/>
                <w:sz w:val="20"/>
                <w:lang w:val="en" w:eastAsia="en-AU"/>
              </w:rPr>
              <w:t xml:space="preserve">Table names </w:t>
            </w:r>
            <w:r>
              <w:rPr>
                <w:rFonts w:eastAsia="Calibri"/>
                <w:sz w:val="20"/>
                <w:lang w:val="en" w:eastAsia="en-AU"/>
              </w:rPr>
              <w:t>can</w:t>
            </w:r>
            <w:r w:rsidRPr="00E70A31">
              <w:rPr>
                <w:rFonts w:eastAsia="Calibri"/>
                <w:sz w:val="20"/>
                <w:lang w:val="en" w:eastAsia="en-AU"/>
              </w:rPr>
              <w:t xml:space="preserve"> contain only alphanumeric characters.</w:t>
            </w:r>
          </w:p>
          <w:p w14:paraId="38B59116" w14:textId="77777777" w:rsidR="00BA035C" w:rsidRPr="00E70A31" w:rsidRDefault="00BA035C" w:rsidP="00BA035C">
            <w:pPr>
              <w:rPr>
                <w:rFonts w:eastAsia="Calibri"/>
                <w:sz w:val="20"/>
                <w:lang w:val="en" w:eastAsia="en-AU"/>
              </w:rPr>
            </w:pPr>
            <w:r w:rsidRPr="00E70A31">
              <w:rPr>
                <w:rFonts w:eastAsia="Calibri"/>
                <w:sz w:val="20"/>
                <w:lang w:val="en" w:eastAsia="en-AU"/>
              </w:rPr>
              <w:t xml:space="preserve">Table names cannot begin with a numeric character. </w:t>
            </w:r>
          </w:p>
          <w:p w14:paraId="288BCC8A" w14:textId="77777777" w:rsidR="00BA035C" w:rsidRPr="00E70A31" w:rsidRDefault="00BA035C" w:rsidP="00BA035C">
            <w:pPr>
              <w:rPr>
                <w:rFonts w:eastAsia="Calibri"/>
                <w:sz w:val="20"/>
                <w:lang w:val="en" w:eastAsia="en-AU"/>
              </w:rPr>
            </w:pPr>
            <w:r w:rsidRPr="00E70A31">
              <w:rPr>
                <w:rFonts w:eastAsia="Calibri"/>
                <w:sz w:val="20"/>
                <w:lang w:val="en" w:eastAsia="en-AU"/>
              </w:rPr>
              <w:t>Table names are case</w:t>
            </w:r>
            <w:r>
              <w:rPr>
                <w:rFonts w:eastAsia="Calibri"/>
                <w:sz w:val="20"/>
                <w:lang w:val="en" w:eastAsia="en-AU"/>
              </w:rPr>
              <w:t xml:space="preserve"> </w:t>
            </w:r>
            <w:r w:rsidRPr="00E70A31">
              <w:rPr>
                <w:rFonts w:eastAsia="Calibri"/>
                <w:sz w:val="20"/>
                <w:lang w:val="en" w:eastAsia="en-AU"/>
              </w:rPr>
              <w:t>insensitive.</w:t>
            </w:r>
          </w:p>
          <w:p w14:paraId="163291EB" w14:textId="77777777" w:rsidR="00BA035C" w:rsidRPr="00E70A31" w:rsidRDefault="00BA035C" w:rsidP="00BA035C">
            <w:pPr>
              <w:rPr>
                <w:rFonts w:eastAsia="Calibri"/>
                <w:sz w:val="20"/>
                <w:lang w:val="en" w:eastAsia="en-AU"/>
              </w:rPr>
            </w:pPr>
            <w:r w:rsidRPr="00E70A31">
              <w:rPr>
                <w:rFonts w:eastAsia="Calibri"/>
                <w:sz w:val="20"/>
                <w:lang w:val="en" w:eastAsia="en-AU"/>
              </w:rPr>
              <w:t>Table names must be from</w:t>
            </w:r>
            <w:r>
              <w:rPr>
                <w:rFonts w:eastAsia="Calibri"/>
                <w:sz w:val="20"/>
                <w:lang w:val="en" w:eastAsia="en-AU"/>
              </w:rPr>
              <w:t> 3</w:t>
            </w:r>
            <w:r w:rsidRPr="00E70A31">
              <w:rPr>
                <w:rFonts w:eastAsia="Calibri"/>
                <w:sz w:val="20"/>
                <w:lang w:val="en" w:eastAsia="en-AU"/>
              </w:rPr>
              <w:t xml:space="preserve"> to</w:t>
            </w:r>
            <w:r>
              <w:rPr>
                <w:rFonts w:eastAsia="Calibri"/>
                <w:sz w:val="20"/>
                <w:lang w:val="en" w:eastAsia="en-AU"/>
              </w:rPr>
              <w:t> 6</w:t>
            </w:r>
            <w:r w:rsidRPr="00E70A31">
              <w:rPr>
                <w:rFonts w:eastAsia="Calibri"/>
                <w:sz w:val="20"/>
                <w:lang w:val="en" w:eastAsia="en-AU"/>
              </w:rPr>
              <w:t>3 characters long.</w:t>
            </w:r>
          </w:p>
          <w:p w14:paraId="2D14984C" w14:textId="77777777" w:rsidR="00BA035C" w:rsidRDefault="00BA035C" w:rsidP="00BA035C">
            <w:pPr>
              <w:rPr>
                <w:rFonts w:eastAsia="Calibri"/>
                <w:sz w:val="20"/>
                <w:lang w:val="en" w:eastAsia="en-AU"/>
              </w:rPr>
            </w:pPr>
            <w:r w:rsidRPr="00E70A31">
              <w:rPr>
                <w:rFonts w:eastAsia="Calibri"/>
                <w:sz w:val="20"/>
                <w:lang w:val="en" w:eastAsia="en-AU"/>
              </w:rPr>
              <w:t>Some table names are reserved, including "tables</w:t>
            </w:r>
            <w:r>
              <w:rPr>
                <w:rFonts w:eastAsia="Calibri"/>
                <w:sz w:val="20"/>
                <w:lang w:val="en" w:eastAsia="en-AU"/>
              </w:rPr>
              <w:t>.</w:t>
            </w:r>
            <w:r w:rsidRPr="00E70A31">
              <w:rPr>
                <w:rFonts w:eastAsia="Calibri"/>
                <w:sz w:val="20"/>
                <w:lang w:val="en" w:eastAsia="en-AU"/>
              </w:rPr>
              <w:t>" Attempting to create a table with a reserved table name returns error code</w:t>
            </w:r>
            <w:r>
              <w:rPr>
                <w:rFonts w:eastAsia="Calibri"/>
                <w:sz w:val="20"/>
                <w:lang w:val="en" w:eastAsia="en-AU"/>
              </w:rPr>
              <w:t> 4</w:t>
            </w:r>
            <w:r w:rsidRPr="00E70A31">
              <w:rPr>
                <w:rFonts w:eastAsia="Calibri"/>
                <w:sz w:val="20"/>
                <w:lang w:val="en" w:eastAsia="en-AU"/>
              </w:rPr>
              <w:t>04 (</w:t>
            </w:r>
            <w:r>
              <w:rPr>
                <w:rFonts w:eastAsia="Calibri"/>
                <w:sz w:val="20"/>
                <w:lang w:val="en" w:eastAsia="en-AU"/>
              </w:rPr>
              <w:t>b</w:t>
            </w:r>
            <w:r w:rsidRPr="00E70A31">
              <w:rPr>
                <w:rFonts w:eastAsia="Calibri"/>
                <w:sz w:val="20"/>
                <w:lang w:val="en" w:eastAsia="en-AU"/>
              </w:rPr>
              <w:t xml:space="preserve">ad </w:t>
            </w:r>
            <w:r>
              <w:rPr>
                <w:rFonts w:eastAsia="Calibri"/>
                <w:sz w:val="20"/>
                <w:lang w:val="en" w:eastAsia="en-AU"/>
              </w:rPr>
              <w:t>r</w:t>
            </w:r>
            <w:r w:rsidRPr="00E70A31">
              <w:rPr>
                <w:rFonts w:eastAsia="Calibri"/>
                <w:sz w:val="20"/>
                <w:lang w:val="en" w:eastAsia="en-AU"/>
              </w:rPr>
              <w:t>equest).</w:t>
            </w:r>
          </w:p>
          <w:p w14:paraId="68C3E6DC" w14:textId="0A2370BB" w:rsidR="00BA035C" w:rsidRPr="00A41D89" w:rsidRDefault="00BA035C" w:rsidP="00BA035C">
            <w:pPr>
              <w:rPr>
                <w:sz w:val="20"/>
                <w:szCs w:val="20"/>
              </w:rPr>
            </w:pPr>
            <w:r w:rsidRPr="00E70A31">
              <w:rPr>
                <w:rFonts w:cs="Segoe UI"/>
                <w:sz w:val="20"/>
                <w:szCs w:val="20"/>
                <w:lang w:val="en" w:eastAsia="en-AU"/>
              </w:rPr>
              <w:t>Table names preserve the case with which they were created, but are case</w:t>
            </w:r>
            <w:r>
              <w:rPr>
                <w:rFonts w:cs="Segoe UI"/>
                <w:sz w:val="20"/>
                <w:szCs w:val="20"/>
                <w:lang w:val="en" w:eastAsia="en-AU"/>
              </w:rPr>
              <w:t xml:space="preserve"> </w:t>
            </w:r>
            <w:r w:rsidRPr="00E70A31">
              <w:rPr>
                <w:rFonts w:cs="Segoe UI"/>
                <w:sz w:val="20"/>
                <w:szCs w:val="20"/>
                <w:lang w:val="en" w:eastAsia="en-AU"/>
              </w:rPr>
              <w:t>insensitive when used.</w:t>
            </w:r>
          </w:p>
        </w:tc>
        <w:tc>
          <w:tcPr>
            <w:tcW w:w="0" w:type="auto"/>
          </w:tcPr>
          <w:p w14:paraId="43E3601E" w14:textId="35DA9C0E" w:rsidR="00BA035C" w:rsidRPr="00BA3695" w:rsidRDefault="00BA035C" w:rsidP="00BA035C">
            <w:pPr>
              <w:rPr>
                <w:rFonts w:cs="Segoe UI"/>
                <w:sz w:val="20"/>
                <w:szCs w:val="20"/>
                <w:lang w:val="en-AU" w:eastAsia="en-AU"/>
              </w:rPr>
            </w:pPr>
            <w:r>
              <w:rPr>
                <w:rFonts w:cs="Segoe UI"/>
                <w:sz w:val="20"/>
                <w:szCs w:val="20"/>
                <w:lang w:val="en-AU" w:eastAsia="en-AU"/>
              </w:rPr>
              <w:t xml:space="preserve">Naming should be representative of its </w:t>
            </w:r>
            <w:r w:rsidRPr="00BA3695">
              <w:rPr>
                <w:rFonts w:cs="Segoe UI"/>
                <w:sz w:val="20"/>
                <w:szCs w:val="20"/>
                <w:lang w:val="en-AU" w:eastAsia="en-AU"/>
              </w:rPr>
              <w:t>contents.</w:t>
            </w:r>
          </w:p>
        </w:tc>
      </w:tr>
    </w:tbl>
    <w:p w14:paraId="5B76F77B" w14:textId="1B890B83" w:rsidR="00E335F4" w:rsidRDefault="00207678" w:rsidP="005729D2">
      <w:pPr>
        <w:pStyle w:val="Heading3Numbered"/>
        <w:numPr>
          <w:ilvl w:val="2"/>
          <w:numId w:val="64"/>
        </w:numPr>
      </w:pPr>
      <w:bookmarkStart w:id="1835" w:name="_Toc417926787"/>
      <w:bookmarkStart w:id="1836" w:name="_Toc417927686"/>
      <w:bookmarkStart w:id="1837" w:name="_Toc417928965"/>
      <w:bookmarkStart w:id="1838" w:name="_Toc417929431"/>
      <w:bookmarkStart w:id="1839" w:name="_Toc417929230"/>
      <w:bookmarkStart w:id="1840" w:name="_Toc417931251"/>
      <w:bookmarkStart w:id="1841" w:name="_Toc417930414"/>
      <w:bookmarkStart w:id="1842" w:name="_Toc417930838"/>
      <w:bookmarkStart w:id="1843" w:name="_Toc417932294"/>
      <w:bookmarkStart w:id="1844" w:name="_Toc417932777"/>
      <w:bookmarkStart w:id="1845" w:name="_Toc417931935"/>
      <w:bookmarkStart w:id="1846" w:name="_Toc417933453"/>
      <w:bookmarkStart w:id="1847" w:name="_Toc417932551"/>
      <w:bookmarkStart w:id="1848" w:name="_Toc417934382"/>
      <w:bookmarkStart w:id="1849" w:name="_Toc417935022"/>
      <w:bookmarkStart w:id="1850" w:name="_Toc417935721"/>
      <w:bookmarkStart w:id="1851" w:name="_Toc417936183"/>
      <w:bookmarkStart w:id="1852" w:name="_Toc417942246"/>
      <w:bookmarkStart w:id="1853" w:name="_Toc417942725"/>
      <w:bookmarkStart w:id="1854" w:name="_Toc417945069"/>
      <w:bookmarkStart w:id="1855" w:name="_Toc417946397"/>
      <w:bookmarkStart w:id="1856" w:name="_Toc417947059"/>
      <w:bookmarkStart w:id="1857" w:name="_Toc417947760"/>
      <w:bookmarkStart w:id="1858" w:name="_Toc417950809"/>
      <w:bookmarkStart w:id="1859" w:name="_Toc417974878"/>
      <w:bookmarkStart w:id="1860" w:name="_Toc417975595"/>
      <w:bookmarkStart w:id="1861" w:name="_Toc417976658"/>
      <w:bookmarkStart w:id="1862" w:name="_Toc417977746"/>
      <w:bookmarkStart w:id="1863" w:name="_Toc414892092"/>
      <w:bookmarkStart w:id="1864" w:name="_Toc414960118"/>
      <w:bookmarkStart w:id="1865" w:name="_Toc414969089"/>
      <w:bookmarkStart w:id="1866" w:name="_Toc415011311"/>
      <w:bookmarkStart w:id="1867" w:name="_Toc415040001"/>
      <w:bookmarkStart w:id="1868" w:name="_Toc415572356"/>
      <w:bookmarkStart w:id="1869" w:name="_Toc415735526"/>
      <w:bookmarkStart w:id="1870" w:name="_Toc415814107"/>
      <w:bookmarkStart w:id="1871" w:name="_Toc416343842"/>
      <w:bookmarkStart w:id="1872" w:name="_Toc416863113"/>
      <w:bookmarkStart w:id="1873" w:name="_Toc417314719"/>
      <w:bookmarkStart w:id="1874" w:name="_Toc417323736"/>
      <w:bookmarkStart w:id="1875" w:name="_Toc417326825"/>
      <w:bookmarkStart w:id="1876" w:name="_Toc417330373"/>
      <w:bookmarkStart w:id="1877" w:name="_Toc417394979"/>
      <w:bookmarkStart w:id="1878" w:name="_Toc417399196"/>
      <w:bookmarkStart w:id="1879" w:name="_Toc417399355"/>
      <w:bookmarkStart w:id="1880" w:name="_Toc417400402"/>
      <w:bookmarkStart w:id="1881" w:name="_Toc417401250"/>
      <w:bookmarkStart w:id="1882" w:name="_Toc417419563"/>
      <w:bookmarkStart w:id="1883" w:name="_Toc417457335"/>
      <w:bookmarkStart w:id="1884" w:name="_Toc417481913"/>
      <w:bookmarkStart w:id="1885" w:name="_Toc417482171"/>
      <w:bookmarkStart w:id="1886" w:name="_Toc417499890"/>
      <w:bookmarkStart w:id="1887" w:name="_Toc417502712"/>
      <w:bookmarkStart w:id="1888" w:name="_Toc417548252"/>
      <w:bookmarkStart w:id="1889" w:name="_Toc417594484"/>
      <w:bookmarkStart w:id="1890" w:name="_Toc417934383"/>
      <w:bookmarkStart w:id="1891" w:name="_Toc417935722"/>
      <w:bookmarkStart w:id="1892" w:name="_Toc417936184"/>
      <w:bookmarkStart w:id="1893" w:name="_Toc417946837"/>
      <w:bookmarkStart w:id="1894" w:name="_Toc417982454"/>
      <w:bookmarkStart w:id="1895" w:name="_Toc417985879"/>
      <w:bookmarkStart w:id="1896" w:name="_Toc418000600"/>
      <w:bookmarkStart w:id="1897" w:name="_Toc418003743"/>
      <w:bookmarkStart w:id="1898" w:name="_Toc418011948"/>
      <w:bookmarkStart w:id="1899" w:name="_Toc418014596"/>
      <w:bookmarkStart w:id="1900" w:name="_Toc418029932"/>
      <w:bookmarkStart w:id="1901" w:name="_Toc418036868"/>
      <w:bookmarkStart w:id="1902" w:name="_Toc418061333"/>
      <w:bookmarkStart w:id="1903" w:name="_Toc418080682"/>
      <w:bookmarkStart w:id="1904" w:name="_Toc418081855"/>
      <w:bookmarkStart w:id="1905" w:name="_Toc418083257"/>
      <w:bookmarkStart w:id="1906" w:name="_Toc418095477"/>
      <w:bookmarkStart w:id="1907" w:name="_Toc418156647"/>
      <w:bookmarkStart w:id="1908" w:name="_Toc418167566"/>
      <w:bookmarkStart w:id="1909" w:name="_Toc418185823"/>
      <w:bookmarkStart w:id="1910" w:name="_Toc422941531"/>
      <w:bookmarkStart w:id="1911" w:name="_Toc423116737"/>
      <w:bookmarkStart w:id="1912" w:name="_Toc423117770"/>
      <w:bookmarkStart w:id="1913" w:name="_Toc423117220"/>
      <w:bookmarkStart w:id="1914" w:name="_Toc431288813"/>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r>
        <w:t xml:space="preserve">Location, </w:t>
      </w:r>
      <w:r w:rsidR="00E335F4">
        <w:t>Durability</w:t>
      </w:r>
      <w:r w:rsidR="00BA035C">
        <w:t>,</w:t>
      </w:r>
      <w:r w:rsidR="00AB2339">
        <w:t xml:space="preserve"> and </w:t>
      </w:r>
      <w:r w:rsidR="00E335F4">
        <w:t>Redundancy</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59B9DDD3" w14:textId="2E489303" w:rsidR="00BA035C" w:rsidRDefault="00BA035C" w:rsidP="00BA035C">
      <w:r>
        <w:t>The location and durability of the storage accounts must also be taken into account. Durability and redundancy options also have an impact on the cost of the storage. When creating a storage account (either through the portal, Azure PowerShell, or REST APIs), you are required to specify an affinity group or a location.</w:t>
      </w:r>
    </w:p>
    <w:p w14:paraId="4A7FDEB7" w14:textId="77777777" w:rsidR="00BA035C" w:rsidRDefault="00BA035C" w:rsidP="00BA035C">
      <w:pPr>
        <w:pStyle w:val="ListParagraph"/>
        <w:numPr>
          <w:ilvl w:val="0"/>
          <w:numId w:val="12"/>
        </w:numPr>
      </w:pPr>
      <w:r w:rsidRPr="00626117">
        <w:t>Affinity groups allow you to group your Azure services to opti</w:t>
      </w:r>
      <w:r>
        <w:t xml:space="preserve">mize performance. All services, storage accounts, </w:t>
      </w:r>
      <w:r w:rsidRPr="00626117">
        <w:t xml:space="preserve">and </w:t>
      </w:r>
      <w:r>
        <w:t>virtual machines</w:t>
      </w:r>
      <w:r w:rsidRPr="00626117">
        <w:t xml:space="preserve"> within an affinity group will be located in the same </w:t>
      </w:r>
      <w:r>
        <w:t xml:space="preserve">Azure datacenter or region. </w:t>
      </w:r>
      <w:r w:rsidRPr="00626117">
        <w:rPr>
          <w:lang w:val="en"/>
        </w:rPr>
        <w:t xml:space="preserve">An affinity group can improve service performance by locating computer workloads </w:t>
      </w:r>
      <w:r w:rsidRPr="003F11BA">
        <w:rPr>
          <w:lang w:val="en"/>
        </w:rPr>
        <w:t xml:space="preserve">in the same Azure </w:t>
      </w:r>
      <w:r>
        <w:rPr>
          <w:lang w:val="en"/>
        </w:rPr>
        <w:t>datacenter</w:t>
      </w:r>
      <w:r w:rsidRPr="00626117">
        <w:rPr>
          <w:lang w:val="en"/>
        </w:rPr>
        <w:t xml:space="preserve"> </w:t>
      </w:r>
      <w:r>
        <w:rPr>
          <w:lang w:val="en"/>
        </w:rPr>
        <w:t xml:space="preserve">or region </w:t>
      </w:r>
      <w:r w:rsidRPr="00626117">
        <w:rPr>
          <w:lang w:val="en"/>
        </w:rPr>
        <w:t>or near the target user audience. Also, no billing charges are incurred for egress when data in a storage account is accessed from another service that is part of the same affinity group.</w:t>
      </w:r>
    </w:p>
    <w:p w14:paraId="268FDE03" w14:textId="77777777" w:rsidR="00BA035C" w:rsidRDefault="00BA035C" w:rsidP="00BA035C">
      <w:pPr>
        <w:pStyle w:val="ListParagraph"/>
        <w:numPr>
          <w:ilvl w:val="0"/>
          <w:numId w:val="12"/>
        </w:numPr>
      </w:pPr>
      <w:r>
        <w:t>Location refers to Azure region where the storage account will be deployed. Using a location instead of affinity groups will allow you to deploy different services in different locations independently, as needed.</w:t>
      </w:r>
    </w:p>
    <w:p w14:paraId="7844D029" w14:textId="77777777" w:rsidR="00BA035C" w:rsidRDefault="00BA035C" w:rsidP="00BA035C">
      <w:pPr>
        <w:pStyle w:val="ListParagraph"/>
        <w:numPr>
          <w:ilvl w:val="0"/>
          <w:numId w:val="12"/>
        </w:numPr>
      </w:pPr>
      <w:r>
        <w:t>Resource groups e</w:t>
      </w:r>
      <w:r w:rsidRPr="00721986">
        <w:t>nable you to manage all your resources in an application</w:t>
      </w:r>
      <w:r>
        <w:t xml:space="preserve"> or service deployed </w:t>
      </w:r>
      <w:r w:rsidRPr="00721986">
        <w:t>together</w:t>
      </w:r>
      <w:r>
        <w:t xml:space="preserve"> in Microsoft Azure. Given the close relationship of Azure Storage to Azure Services, the alignment of Azure Storage accounts to associated resource groups is a key consideration when used.</w:t>
      </w:r>
    </w:p>
    <w:p w14:paraId="02F2A225" w14:textId="77777777" w:rsidR="00BA035C" w:rsidRDefault="00BA035C" w:rsidP="00BA035C">
      <w:pPr>
        <w:tabs>
          <w:tab w:val="left" w:pos="7050"/>
        </w:tabs>
      </w:pPr>
      <w:r>
        <w:t>To ensure that the Azure SLAs can be met, there are several levels of data replication available for the storage accounts:</w:t>
      </w:r>
    </w:p>
    <w:p w14:paraId="314312A0" w14:textId="77777777" w:rsidR="00BA035C" w:rsidRPr="00D02E3A" w:rsidRDefault="00BA035C" w:rsidP="00BA035C">
      <w:pPr>
        <w:pStyle w:val="ListParagraph"/>
        <w:numPr>
          <w:ilvl w:val="0"/>
          <w:numId w:val="13"/>
        </w:numPr>
        <w:tabs>
          <w:tab w:val="left" w:pos="7050"/>
        </w:tabs>
      </w:pPr>
      <w:r w:rsidRPr="00F31750">
        <w:rPr>
          <w:b/>
          <w:iCs/>
          <w:lang w:val="en"/>
        </w:rPr>
        <w:t>Locally redundant storage</w:t>
      </w:r>
      <w:r w:rsidRPr="00D02E3A">
        <w:rPr>
          <w:iCs/>
          <w:lang w:val="en"/>
        </w:rPr>
        <w:t xml:space="preserve"> (LRS)</w:t>
      </w:r>
      <w:r w:rsidRPr="00D02E3A">
        <w:rPr>
          <w:lang w:val="en"/>
        </w:rPr>
        <w:t xml:space="preserve"> maintains three copies of your data. LRS is replicated three times within a single facility in a single region. LRS protects your data from normal hardware failures, but not from the failure of a single facility.</w:t>
      </w:r>
    </w:p>
    <w:p w14:paraId="752E4BE8" w14:textId="77777777" w:rsidR="00BA035C" w:rsidRDefault="00BA035C" w:rsidP="00BA035C">
      <w:pPr>
        <w:pStyle w:val="ListParagraph"/>
        <w:numPr>
          <w:ilvl w:val="0"/>
          <w:numId w:val="13"/>
        </w:numPr>
        <w:tabs>
          <w:tab w:val="left" w:pos="7050"/>
        </w:tabs>
      </w:pPr>
      <w:r w:rsidRPr="00F31750">
        <w:rPr>
          <w:b/>
        </w:rPr>
        <w:t>Zone-redundant storage</w:t>
      </w:r>
      <w:r w:rsidRPr="00D02E3A">
        <w:t xml:space="preserve"> (ZRS) maintains three copies of your data. ZRS is replicated three times across two to three facilities, either within a single region or across two regions, providing higher durability than LRS. ZRS ensures that your data is durable within a single region.</w:t>
      </w:r>
    </w:p>
    <w:p w14:paraId="0C22F494" w14:textId="42E77FC6" w:rsidR="00BA035C" w:rsidRDefault="00BA035C" w:rsidP="00BA035C">
      <w:pPr>
        <w:pStyle w:val="ListParagraph"/>
        <w:numPr>
          <w:ilvl w:val="0"/>
          <w:numId w:val="13"/>
        </w:numPr>
        <w:tabs>
          <w:tab w:val="left" w:pos="7050"/>
        </w:tabs>
      </w:pPr>
      <w:r w:rsidRPr="00F31750">
        <w:rPr>
          <w:b/>
        </w:rPr>
        <w:t>Geo-redundant storage</w:t>
      </w:r>
      <w:r w:rsidRPr="00D02E3A">
        <w:t xml:space="preserve"> (GRS) is enabled for your storage account by default when you create it. GRS maintains six copies of your data. With GRS, your data is replicated three times within the primary region</w:t>
      </w:r>
      <w:r>
        <w:t>.</w:t>
      </w:r>
      <w:r w:rsidRPr="00D02E3A">
        <w:t xml:space="preserve"> </w:t>
      </w:r>
      <w:r>
        <w:t>It</w:t>
      </w:r>
      <w:r w:rsidRPr="00D02E3A">
        <w:t xml:space="preserve"> is also replicated three times in a secondary region hundreds of miles away from the primary region</w:t>
      </w:r>
      <w:r>
        <w:t>. This</w:t>
      </w:r>
      <w:r w:rsidRPr="00D02E3A">
        <w:t xml:space="preserve"> provid</w:t>
      </w:r>
      <w:r>
        <w:t>es</w:t>
      </w:r>
      <w:r w:rsidRPr="00D02E3A">
        <w:t xml:space="preserve"> the highest level of durability. In the event of a failure at the primary region, Azure Storage will fail</w:t>
      </w:r>
      <w:r>
        <w:t xml:space="preserve"> </w:t>
      </w:r>
      <w:r w:rsidRPr="00D02E3A">
        <w:t>over to the secondary region. GRS ensures that your data is durable in two separate regions.</w:t>
      </w:r>
    </w:p>
    <w:p w14:paraId="2C340F50" w14:textId="65DBEDCF" w:rsidR="00A55D83" w:rsidRDefault="00BA035C" w:rsidP="00BA035C">
      <w:pPr>
        <w:pStyle w:val="ListParagraph"/>
        <w:numPr>
          <w:ilvl w:val="0"/>
          <w:numId w:val="13"/>
        </w:numPr>
        <w:tabs>
          <w:tab w:val="left" w:pos="7050"/>
        </w:tabs>
      </w:pPr>
      <w:r w:rsidRPr="00BA035C">
        <w:rPr>
          <w:b/>
        </w:rPr>
        <w:t>Read-access geo-redundant storage</w:t>
      </w:r>
      <w:r w:rsidRPr="00D02E3A">
        <w:t xml:space="preserve"> </w:t>
      </w:r>
      <w:r>
        <w:t>(</w:t>
      </w:r>
      <w:r w:rsidRPr="00A55D83">
        <w:t>RA-GRS</w:t>
      </w:r>
      <w:r>
        <w:t>)</w:t>
      </w:r>
      <w:r w:rsidRPr="00A55D83">
        <w:t xml:space="preserve"> allows you to have higher read availability for your storage account by providing </w:t>
      </w:r>
      <w:r>
        <w:t>R</w:t>
      </w:r>
      <w:r w:rsidRPr="00A55D83">
        <w:t>ead</w:t>
      </w:r>
      <w:r>
        <w:t>-</w:t>
      </w:r>
      <w:r w:rsidRPr="00A55D83">
        <w:t xml:space="preserve">only access to the data replicated to the secondary location. </w:t>
      </w:r>
      <w:r>
        <w:t>When</w:t>
      </w:r>
      <w:r w:rsidRPr="00A55D83">
        <w:t xml:space="preserve"> you enable this feature, the secondary location </w:t>
      </w:r>
      <w:r>
        <w:t>can</w:t>
      </w:r>
      <w:r w:rsidRPr="00A55D83">
        <w:t xml:space="preserve"> be used to achieve higher availability in the event the data is not available in the primary region</w:t>
      </w:r>
      <w:r>
        <w:t xml:space="preserve">. </w:t>
      </w:r>
      <w:r w:rsidRPr="00D02E3A">
        <w:t xml:space="preserve">Read-access geo-redundant storage is recommended for maximum availability </w:t>
      </w:r>
      <w:r>
        <w:t>and</w:t>
      </w:r>
      <w:r w:rsidRPr="00D02E3A">
        <w:t xml:space="preserve"> durability</w:t>
      </w:r>
      <w:r w:rsidR="00A55D83" w:rsidRPr="00D02E3A">
        <w:t>.</w:t>
      </w:r>
    </w:p>
    <w:p w14:paraId="2D297292" w14:textId="77777777" w:rsidR="0084617C" w:rsidRPr="007F73FA" w:rsidRDefault="0084617C" w:rsidP="0084617C">
      <w:pPr>
        <w:tabs>
          <w:tab w:val="left" w:pos="7050"/>
        </w:tabs>
        <w:ind w:left="360"/>
      </w:pPr>
    </w:p>
    <w:tbl>
      <w:tblPr>
        <w:tblStyle w:val="PlainTable11"/>
        <w:tblW w:w="0" w:type="auto"/>
        <w:tblLook w:val="04A0" w:firstRow="1" w:lastRow="0" w:firstColumn="1" w:lastColumn="0" w:noHBand="0" w:noVBand="1"/>
      </w:tblPr>
      <w:tblGrid>
        <w:gridCol w:w="3416"/>
        <w:gridCol w:w="5934"/>
      </w:tblGrid>
      <w:tr w:rsidR="002D1DD6" w14:paraId="65B02901" w14:textId="77777777" w:rsidTr="009D540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57D6C77F" w14:textId="24869DED" w:rsidR="002D1DD6" w:rsidRPr="00F47607" w:rsidRDefault="00BA035C" w:rsidP="000418DB">
            <w:pPr>
              <w:spacing w:line="240" w:lineRule="auto"/>
              <w:rPr>
                <w:color w:val="FFFFFF"/>
              </w:rPr>
            </w:pPr>
            <w:r>
              <w:rPr>
                <w:color w:val="FFFFFF"/>
              </w:rPr>
              <w:t>Feature References</w:t>
            </w:r>
          </w:p>
        </w:tc>
      </w:tr>
      <w:tr w:rsidR="002D1DD6" w14:paraId="1102D1BD" w14:textId="77777777" w:rsidTr="006803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3221EB59" w14:textId="7260A560" w:rsidR="002D1DD6" w:rsidRPr="00927F75" w:rsidRDefault="00D02E3A" w:rsidP="000418DB">
            <w:pPr>
              <w:spacing w:line="240" w:lineRule="auto"/>
              <w:rPr>
                <w:sz w:val="20"/>
                <w:szCs w:val="18"/>
              </w:rPr>
            </w:pPr>
            <w:r>
              <w:rPr>
                <w:sz w:val="20"/>
                <w:szCs w:val="18"/>
              </w:rPr>
              <w:t>Azure Storage Replication for Durability and High Availability</w:t>
            </w:r>
          </w:p>
        </w:tc>
        <w:tc>
          <w:tcPr>
            <w:tcW w:w="5940" w:type="dxa"/>
          </w:tcPr>
          <w:p w14:paraId="5A4E82F5" w14:textId="446E1792" w:rsidR="002D1DD6" w:rsidRPr="00927F75" w:rsidRDefault="00872E47" w:rsidP="000418DB">
            <w:pPr>
              <w:cnfStyle w:val="000000100000" w:firstRow="0" w:lastRow="0" w:firstColumn="0" w:lastColumn="0" w:oddVBand="0" w:evenVBand="0" w:oddHBand="1" w:evenHBand="0" w:firstRowFirstColumn="0" w:firstRowLastColumn="0" w:lastRowFirstColumn="0" w:lastRowLastColumn="0"/>
              <w:rPr>
                <w:sz w:val="20"/>
                <w:szCs w:val="18"/>
              </w:rPr>
            </w:pPr>
            <w:hyperlink r:id="rId131" w:anchor="replication-for-durability-and-high-availability" w:history="1">
              <w:r w:rsidR="00D02E3A" w:rsidRPr="001F3252">
                <w:rPr>
                  <w:rStyle w:val="Hyperlink"/>
                  <w:sz w:val="20"/>
                  <w:szCs w:val="18"/>
                </w:rPr>
                <w:t>http://azure.microsoft.com/en-us/documentation/articles/storage-introduction/#replication-for-durability-and-high-availability</w:t>
              </w:r>
            </w:hyperlink>
            <w:r w:rsidR="00D02E3A">
              <w:rPr>
                <w:sz w:val="20"/>
                <w:szCs w:val="18"/>
              </w:rPr>
              <w:t xml:space="preserve"> </w:t>
            </w:r>
          </w:p>
        </w:tc>
      </w:tr>
      <w:tr w:rsidR="00572F8C" w14:paraId="586294B6" w14:textId="77777777" w:rsidTr="0068034F">
        <w:tc>
          <w:tcPr>
            <w:cnfStyle w:val="001000000000" w:firstRow="0" w:lastRow="0" w:firstColumn="1" w:lastColumn="0" w:oddVBand="0" w:evenVBand="0" w:oddHBand="0" w:evenHBand="0" w:firstRowFirstColumn="0" w:firstRowLastColumn="0" w:lastRowFirstColumn="0" w:lastRowLastColumn="0"/>
            <w:tcW w:w="3420" w:type="dxa"/>
          </w:tcPr>
          <w:p w14:paraId="5FC062E6" w14:textId="35242C59" w:rsidR="00572F8C" w:rsidRDefault="00572F8C" w:rsidP="003F11BA">
            <w:pPr>
              <w:spacing w:line="240" w:lineRule="auto"/>
              <w:rPr>
                <w:sz w:val="20"/>
                <w:szCs w:val="18"/>
              </w:rPr>
            </w:pPr>
            <w:r w:rsidRPr="00572F8C">
              <w:rPr>
                <w:sz w:val="20"/>
                <w:szCs w:val="18"/>
                <w:lang w:val="en"/>
              </w:rPr>
              <w:t>Azure Storage Redundancy Options</w:t>
            </w:r>
          </w:p>
        </w:tc>
        <w:tc>
          <w:tcPr>
            <w:tcW w:w="5940" w:type="dxa"/>
          </w:tcPr>
          <w:p w14:paraId="729EFD26" w14:textId="5061A4C3" w:rsidR="00572F8C" w:rsidRPr="00505BC8" w:rsidRDefault="00872E47" w:rsidP="00505BC8">
            <w:pPr>
              <w:cnfStyle w:val="000000000000" w:firstRow="0" w:lastRow="0" w:firstColumn="0" w:lastColumn="0" w:oddVBand="0" w:evenVBand="0" w:oddHBand="0" w:evenHBand="0" w:firstRowFirstColumn="0" w:firstRowLastColumn="0" w:lastRowFirstColumn="0" w:lastRowLastColumn="0"/>
              <w:rPr>
                <w:sz w:val="20"/>
                <w:szCs w:val="20"/>
              </w:rPr>
            </w:pPr>
            <w:hyperlink r:id="rId132" w:history="1">
              <w:r w:rsidR="00505BC8" w:rsidRPr="00D215EC">
                <w:rPr>
                  <w:rStyle w:val="Hyperlink"/>
                  <w:sz w:val="20"/>
                  <w:szCs w:val="20"/>
                </w:rPr>
                <w:t>http://azure.microsoft.com/en-us/documentation/articles/storage-redundancy/</w:t>
              </w:r>
            </w:hyperlink>
            <w:r w:rsidR="00505BC8" w:rsidRPr="00505BC8">
              <w:rPr>
                <w:sz w:val="20"/>
                <w:szCs w:val="20"/>
              </w:rPr>
              <w:t xml:space="preserve"> </w:t>
            </w:r>
            <w:r w:rsidR="00572F8C" w:rsidRPr="00505BC8">
              <w:rPr>
                <w:sz w:val="20"/>
                <w:szCs w:val="20"/>
              </w:rPr>
              <w:t xml:space="preserve"> </w:t>
            </w:r>
          </w:p>
        </w:tc>
      </w:tr>
      <w:tr w:rsidR="002D1DD6" w14:paraId="5928C479" w14:textId="77777777" w:rsidTr="006803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3435063E" w14:textId="513743F8" w:rsidR="002D1DD6" w:rsidRPr="00927F75" w:rsidRDefault="00D02E3A" w:rsidP="000418DB">
            <w:pPr>
              <w:spacing w:line="240" w:lineRule="auto"/>
              <w:rPr>
                <w:sz w:val="20"/>
              </w:rPr>
            </w:pPr>
            <w:r>
              <w:rPr>
                <w:sz w:val="20"/>
                <w:szCs w:val="18"/>
              </w:rPr>
              <w:t>Azure SLAs (including Storage)</w:t>
            </w:r>
          </w:p>
        </w:tc>
        <w:tc>
          <w:tcPr>
            <w:tcW w:w="5940" w:type="dxa"/>
          </w:tcPr>
          <w:p w14:paraId="713D5668" w14:textId="65824300" w:rsidR="002D1DD6" w:rsidRPr="00927F75" w:rsidRDefault="00872E47" w:rsidP="000418DB">
            <w:pPr>
              <w:cnfStyle w:val="000000100000" w:firstRow="0" w:lastRow="0" w:firstColumn="0" w:lastColumn="0" w:oddVBand="0" w:evenVBand="0" w:oddHBand="1" w:evenHBand="0" w:firstRowFirstColumn="0" w:firstRowLastColumn="0" w:lastRowFirstColumn="0" w:lastRowLastColumn="0"/>
              <w:rPr>
                <w:sz w:val="20"/>
              </w:rPr>
            </w:pPr>
            <w:hyperlink r:id="rId133" w:history="1">
              <w:r w:rsidR="00D02E3A" w:rsidRPr="001F3252">
                <w:rPr>
                  <w:rStyle w:val="Hyperlink"/>
                  <w:sz w:val="20"/>
                  <w:szCs w:val="18"/>
                </w:rPr>
                <w:t>http://azure.microsoft.com/en-us/support/legal/sla/</w:t>
              </w:r>
            </w:hyperlink>
            <w:r w:rsidR="00D02E3A">
              <w:rPr>
                <w:sz w:val="20"/>
                <w:szCs w:val="18"/>
              </w:rPr>
              <w:t xml:space="preserve"> </w:t>
            </w:r>
          </w:p>
        </w:tc>
      </w:tr>
      <w:tr w:rsidR="002D1DD6" w14:paraId="5795658C" w14:textId="77777777" w:rsidTr="0068034F">
        <w:tc>
          <w:tcPr>
            <w:cnfStyle w:val="001000000000" w:firstRow="0" w:lastRow="0" w:firstColumn="1" w:lastColumn="0" w:oddVBand="0" w:evenVBand="0" w:oddHBand="0" w:evenHBand="0" w:firstRowFirstColumn="0" w:firstRowLastColumn="0" w:lastRowFirstColumn="0" w:lastRowLastColumn="0"/>
            <w:tcW w:w="3420" w:type="dxa"/>
          </w:tcPr>
          <w:p w14:paraId="0C0636FE" w14:textId="6281EDBF" w:rsidR="002D1DD6" w:rsidRPr="00927F75" w:rsidRDefault="00D02E3A" w:rsidP="000418DB">
            <w:pPr>
              <w:spacing w:line="240" w:lineRule="auto"/>
              <w:rPr>
                <w:sz w:val="20"/>
              </w:rPr>
            </w:pPr>
            <w:r>
              <w:rPr>
                <w:sz w:val="20"/>
                <w:szCs w:val="18"/>
              </w:rPr>
              <w:t>Azure Storage Pricing Guide</w:t>
            </w:r>
          </w:p>
        </w:tc>
        <w:tc>
          <w:tcPr>
            <w:tcW w:w="5940" w:type="dxa"/>
          </w:tcPr>
          <w:p w14:paraId="65786A5D" w14:textId="1747342E" w:rsidR="002D1DD6" w:rsidRPr="00927F75" w:rsidRDefault="00872E47" w:rsidP="000418DB">
            <w:pPr>
              <w:cnfStyle w:val="000000000000" w:firstRow="0" w:lastRow="0" w:firstColumn="0" w:lastColumn="0" w:oddVBand="0" w:evenVBand="0" w:oddHBand="0" w:evenHBand="0" w:firstRowFirstColumn="0" w:firstRowLastColumn="0" w:lastRowFirstColumn="0" w:lastRowLastColumn="0"/>
              <w:rPr>
                <w:sz w:val="20"/>
              </w:rPr>
            </w:pPr>
            <w:hyperlink r:id="rId134" w:history="1">
              <w:r w:rsidR="00D02E3A" w:rsidRPr="001F3252">
                <w:rPr>
                  <w:rStyle w:val="Hyperlink"/>
                  <w:sz w:val="20"/>
                  <w:szCs w:val="18"/>
                </w:rPr>
                <w:t>http://azure.microsoft.com/en-us/pricing/details/storage/</w:t>
              </w:r>
            </w:hyperlink>
            <w:r w:rsidR="00D02E3A">
              <w:rPr>
                <w:sz w:val="20"/>
                <w:szCs w:val="18"/>
              </w:rPr>
              <w:t xml:space="preserve"> </w:t>
            </w:r>
          </w:p>
        </w:tc>
      </w:tr>
      <w:tr w:rsidR="00721986" w14:paraId="63E126E4" w14:textId="77777777" w:rsidTr="006803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7BE70EE8" w14:textId="547C4F80" w:rsidR="00721986" w:rsidRPr="009B6F54" w:rsidRDefault="00721986" w:rsidP="000418DB">
            <w:pPr>
              <w:spacing w:line="240" w:lineRule="auto"/>
              <w:rPr>
                <w:sz w:val="20"/>
                <w:szCs w:val="20"/>
              </w:rPr>
            </w:pPr>
            <w:r w:rsidRPr="001477CF">
              <w:rPr>
                <w:sz w:val="20"/>
                <w:szCs w:val="20"/>
                <w:lang w:val="en"/>
              </w:rPr>
              <w:t>Using resource groups to manage your Azure resources</w:t>
            </w:r>
          </w:p>
        </w:tc>
        <w:tc>
          <w:tcPr>
            <w:tcW w:w="5940" w:type="dxa"/>
          </w:tcPr>
          <w:p w14:paraId="6A33E4E5" w14:textId="77D55A70" w:rsidR="00721986" w:rsidRPr="001477CF" w:rsidRDefault="00872E47" w:rsidP="009B6F54">
            <w:pPr>
              <w:cnfStyle w:val="000000100000" w:firstRow="0" w:lastRow="0" w:firstColumn="0" w:lastColumn="0" w:oddVBand="0" w:evenVBand="0" w:oddHBand="1" w:evenHBand="0" w:firstRowFirstColumn="0" w:firstRowLastColumn="0" w:lastRowFirstColumn="0" w:lastRowLastColumn="0"/>
              <w:rPr>
                <w:sz w:val="20"/>
                <w:szCs w:val="20"/>
              </w:rPr>
            </w:pPr>
            <w:hyperlink r:id="rId135" w:history="1">
              <w:r w:rsidR="00721986" w:rsidRPr="001477CF">
                <w:rPr>
                  <w:rStyle w:val="Hyperlink"/>
                  <w:sz w:val="20"/>
                  <w:szCs w:val="20"/>
                </w:rPr>
                <w:t>http://azur</w:t>
              </w:r>
              <w:r w:rsidR="00721986" w:rsidRPr="004F0DE3">
                <w:rPr>
                  <w:rStyle w:val="Hyperlink"/>
                  <w:sz w:val="20"/>
                  <w:szCs w:val="20"/>
                </w:rPr>
                <w:t>e.microsoft.com/en-us/documentation/articles/azure-preview-portal-using-resource-groups</w:t>
              </w:r>
            </w:hyperlink>
            <w:r w:rsidR="00721986">
              <w:rPr>
                <w:sz w:val="20"/>
                <w:szCs w:val="20"/>
              </w:rPr>
              <w:t xml:space="preserve"> </w:t>
            </w:r>
          </w:p>
        </w:tc>
      </w:tr>
    </w:tbl>
    <w:p w14:paraId="19659E0E" w14:textId="33FE70BA" w:rsidR="002D1DD6" w:rsidRDefault="002D1DD6" w:rsidP="002D1DD6"/>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121FCA" w14:paraId="4E74C89C" w14:textId="77777777" w:rsidTr="00121FCA">
        <w:trPr>
          <w:trHeight w:val="423"/>
        </w:trPr>
        <w:tc>
          <w:tcPr>
            <w:tcW w:w="666" w:type="dxa"/>
          </w:tcPr>
          <w:p w14:paraId="27654E45" w14:textId="77777777" w:rsidR="00121FCA" w:rsidRDefault="00121FCA" w:rsidP="00121FCA">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7140DD1D" wp14:editId="5DD72074">
                      <wp:extent cx="200025" cy="180975"/>
                      <wp:effectExtent l="57150" t="19050" r="28575" b="104775"/>
                      <wp:docPr id="58" name="Octagon 58"/>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649AA26" id="Octagon 58"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pUcQIAAEwFAAAOAAAAZHJzL2Uyb0RvYy54bWysVF9P2zAQf5+072D5faTp6ICKFFVFTJMQ&#10;IGDi2XXs1pLj885u0+7T7+ykoWJISNNe7Dvf7/7f+fJq11i2VRgMuIqXJyPOlJNQG7eq+M/nmy/n&#10;nIUoXC0sOFXxvQr8avb502Xrp2oMa7C1QkZGXJi2vuLrGP20KIJcq0aEE/DKkVADNiISi6uiRtGS&#10;9cYW49HoW9EC1h5BqhDo9boT8lm2r7WS8V7roCKzFafYYj4xn8t0FrNLMV2h8Gsj+zDEP0TRCOPI&#10;6WDqWkTBNmj+MtUYiRBAxxMJTQFaG6lyDpRNOXqTzdNaeJVzoeIEP5Qp/D+z8m77gMzUFZ9Qp5xo&#10;qEf3MooVOEYvVJ7WhymhnvwD9lwgMuW609ikm7Jgu1zS/VBStYtM0iP1aDSecCZJVJ6PLs4myWbx&#10;quwxxO8KGpaIikPnO9dSbG9D7NAHVHIXwJr6xlibGVwtFxbZVlCDFwvylntKDo5gRcqhizpTcW9V&#10;UrbuUWlKnuIss8c8dmqwJ6RULo77iDM6qWnyPSh+/VixxydVlUdyUB5/rDxoZM/g4qDcGAf4ngEb&#10;yz5k3eGp4Ed5J3IJ9Z76jtAtRPDyxlD9b0WIDwJpA2hXaKvjPR3aQkuN6SnO1oC/33tPeBpMknLW&#10;0kZVPPzaCFSc2R+ORvaiPD1NK5iZ08nZmBg8liyPJW7TLIB6WtL/4WUmEz7aA6kRmhda/nnySiLh&#10;JPmuuIx4YBax23T6PqSazzOM1s6LeOuevDx0PQ3X8+5FoO+HMNL03sFh+8T0zSB22NQPB/NNBG3y&#10;lL7Wta83rWwe9f57SX/CMZ9Rr5/g7A8AAAD//wMAUEsDBBQABgAIAAAAIQCft0Tx2wAAAAMBAAAP&#10;AAAAZHJzL2Rvd25yZXYueG1sTI9BS8NAEIXvgv9hGcGb3aTSEtNsiggFD9JgtXjdZqdJaHY27G6b&#10;+O8dvdjLwOM93vumWE+2Fxf0oXOkIJ0lIJBqZzpqFHx+bB4yECFqMrp3hAq+McC6vL0pdG7cSO94&#10;2cVGcAmFXCtoYxxyKUPdotVh5gYk9o7OWx1Z+kYar0cut72cJ8lSWt0RL7R6wJcW69PubBVUp7F6&#10;zarq6ctvlts3b/ep3+6Vur+bnlcgIk7xPwy/+IwOJTMd3JlMEL0CfiT+XfYe0wWIg4J5tgBZFvKa&#10;vfwBAAD//wMAUEsBAi0AFAAGAAgAAAAhALaDOJL+AAAA4QEAABMAAAAAAAAAAAAAAAAAAAAAAFtD&#10;b250ZW50X1R5cGVzXS54bWxQSwECLQAUAAYACAAAACEAOP0h/9YAAACUAQAACwAAAAAAAAAAAAAA&#10;AAAvAQAAX3JlbHMvLnJlbHNQSwECLQAUAAYACAAAACEAfqdaVHECAABMBQAADgAAAAAAAAAAAAAA&#10;AAAuAgAAZHJzL2Uyb0RvYy54bWxQSwECLQAUAAYACAAAACEAn7dE8dsAAAADAQAADwAAAAAAAAAA&#10;AAAAAADLBAAAZHJzL2Rvd25yZXYueG1sUEsFBgAAAAAEAAQA8wAAANMFAAAAAA==&#10;" fillcolor="#c00" strokecolor="#ed7d31 [3205]" strokeweight=".5pt">
                      <w10:anchorlock/>
                    </v:shape>
                  </w:pict>
                </mc:Fallback>
              </mc:AlternateContent>
            </w:r>
          </w:p>
        </w:tc>
        <w:tc>
          <w:tcPr>
            <w:tcW w:w="8604" w:type="dxa"/>
          </w:tcPr>
          <w:p w14:paraId="7FC497C9" w14:textId="77777777" w:rsidR="00E35478" w:rsidRDefault="00121FCA" w:rsidP="00121FCA">
            <w:pPr>
              <w:rPr>
                <w:lang w:eastAsia="en-US"/>
              </w:rPr>
            </w:pPr>
            <w:r w:rsidRPr="00192064">
              <w:rPr>
                <w:b/>
                <w:lang w:eastAsia="en-US"/>
              </w:rPr>
              <w:t>Mandatory</w:t>
            </w:r>
            <w:r>
              <w:rPr>
                <w:lang w:eastAsia="en-US"/>
              </w:rPr>
              <w:t xml:space="preserve">:  </w:t>
            </w:r>
          </w:p>
          <w:p w14:paraId="23E02567" w14:textId="77777777" w:rsidR="00BA035C" w:rsidRDefault="00BA035C" w:rsidP="005729D2">
            <w:pPr>
              <w:pStyle w:val="ListParagraph"/>
              <w:numPr>
                <w:ilvl w:val="0"/>
                <w:numId w:val="160"/>
              </w:numPr>
              <w:rPr>
                <w:lang w:eastAsia="en-US"/>
              </w:rPr>
            </w:pPr>
            <w:r w:rsidRPr="00121FCA">
              <w:rPr>
                <w:lang w:eastAsia="en-US"/>
              </w:rPr>
              <w:t>ZRS is currently available only for block blobs.</w:t>
            </w:r>
            <w:r>
              <w:rPr>
                <w:lang w:eastAsia="en-US"/>
              </w:rPr>
              <w:t xml:space="preserve"> Consider the storage type when selecting the redundancy type.</w:t>
            </w:r>
          </w:p>
          <w:p w14:paraId="74788435" w14:textId="5E72FE1A" w:rsidR="00121FCA" w:rsidRDefault="00BA035C" w:rsidP="005729D2">
            <w:pPr>
              <w:pStyle w:val="ListParagraph"/>
              <w:numPr>
                <w:ilvl w:val="0"/>
                <w:numId w:val="160"/>
              </w:numPr>
              <w:rPr>
                <w:lang w:eastAsia="en-US"/>
              </w:rPr>
            </w:pPr>
            <w:r w:rsidRPr="00121FCA">
              <w:rPr>
                <w:lang w:eastAsia="en-US"/>
              </w:rPr>
              <w:t xml:space="preserve">When you create a </w:t>
            </w:r>
            <w:r>
              <w:rPr>
                <w:lang w:eastAsia="en-US"/>
              </w:rPr>
              <w:t xml:space="preserve">GRS </w:t>
            </w:r>
            <w:r w:rsidRPr="00121FCA">
              <w:rPr>
                <w:lang w:eastAsia="en-US"/>
              </w:rPr>
              <w:t xml:space="preserve">storage account, you select the primary region for the account. The secondary region is determined based on the primary region, and </w:t>
            </w:r>
            <w:r>
              <w:rPr>
                <w:lang w:eastAsia="en-US"/>
              </w:rPr>
              <w:t xml:space="preserve">it </w:t>
            </w:r>
            <w:r w:rsidRPr="00121FCA">
              <w:rPr>
                <w:lang w:eastAsia="en-US"/>
              </w:rPr>
              <w:t>cannot be changed</w:t>
            </w:r>
            <w:r>
              <w:rPr>
                <w:lang w:eastAsia="en-US"/>
              </w:rPr>
              <w:t>.</w:t>
            </w:r>
            <w:r w:rsidR="00E35478">
              <w:rPr>
                <w:lang w:eastAsia="en-US"/>
              </w:rPr>
              <w:t xml:space="preserve"> </w:t>
            </w:r>
          </w:p>
        </w:tc>
      </w:tr>
      <w:tr w:rsidR="002D1DD6" w14:paraId="04828411" w14:textId="77777777" w:rsidTr="000418DB">
        <w:trPr>
          <w:trHeight w:val="423"/>
        </w:trPr>
        <w:tc>
          <w:tcPr>
            <w:tcW w:w="666" w:type="dxa"/>
          </w:tcPr>
          <w:p w14:paraId="2B080043" w14:textId="77777777" w:rsidR="002D1DD6" w:rsidRDefault="002D1DD6" w:rsidP="000418DB">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375616" behindDoc="0" locked="0" layoutInCell="1" allowOverlap="1" wp14:anchorId="13B6014A" wp14:editId="2104E6B2">
                      <wp:simplePos x="0" y="0"/>
                      <wp:positionH relativeFrom="column">
                        <wp:posOffset>66675</wp:posOffset>
                      </wp:positionH>
                      <wp:positionV relativeFrom="paragraph">
                        <wp:posOffset>90170</wp:posOffset>
                      </wp:positionV>
                      <wp:extent cx="209550" cy="180975"/>
                      <wp:effectExtent l="57150" t="19050" r="57150" b="104775"/>
                      <wp:wrapNone/>
                      <wp:docPr id="41084" name="Isosceles Triangle 410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4069E6E5" id="Isosceles Triangle 41084" o:spid="_x0000_s1026" type="#_x0000_t5" style="position:absolute;margin-left:5.25pt;margin-top:7.1pt;width:16.5pt;height:14.25pt;z-index:25137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mMig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Mi&#10;P59SYliDbbr14LnQwpNHp5jZaEE6Pdartb5Eswd772LG3q6A//CoyP7QRMH3mIN0TcRivuSQin8c&#10;iy8OgXD8OckvZjNsEUdVcZ5fnM1iczJWDsbW+fBFQEPipaKhDyyVne1XPnTwAZZiA63qpdI6CW6z&#10;vtaO7BlyYYlfntqPL/hnWMqhCzslEI5aRGNtvgmJdcJAi/RiYqgY/THOhQmnfcgJHc0kvj0afn7f&#10;sMdHU5HYOxpP3jceLdLLYMJo3CgD7i0HOhR9yLLD9130Xd6xBGuoj0gRB93seMuXChuwYj7cM4fD&#10;gj3DBRC+4iE1tBWF/kbJFtyvt/5HPHIYtZS0OHwV9T93zAlK9K1Bdl8U02mc1iRMZ2cTFNxLzfql&#10;xuyaa8CeFrhqLE/XiA96uEoHzRPuiUV8FVXMcHy7ojy4QbgO3VLATcPFYpFgOKGWhZV5sHzoeiTX&#10;4+GJOTuwEOl7B8OgsvIVETts7IeBxS6AVImlz3Xt643Tnbjeb6K4Pl7KCfW8L+e/AQAA//8DAFBL&#10;AwQUAAYACAAAACEANTxCMNkAAAAHAQAADwAAAGRycy9kb3ducmV2LnhtbEyOzU7DMBCE70i8g7VI&#10;XFDrkIa2CnEqhJIjqig8gBNvfoS9jmK3DW/PcoLTaDSjma84LM6KC85h9KTgcZ2AQGq9GalX8PlR&#10;r/YgQtRktPWECr4xwKG8vSl0bvyV3vFyir3gEQq5VjDEOOVShnZAp8PaT0icdX52OrKde2lmfeVx&#10;Z2WaJFvp9Ej8MOgJXwdsv05np8A3y7Hb1Lv9Q+0m+9ZVVeaOlVL3d8vLM4iIS/wrwy8+o0PJTI0/&#10;kwnCsk+euMmapSA4zzbsG9Z0B7Is5H/+8gcAAP//AwBQSwECLQAUAAYACAAAACEAtoM4kv4AAADh&#10;AQAAEwAAAAAAAAAAAAAAAAAAAAAAW0NvbnRlbnRfVHlwZXNdLnhtbFBLAQItABQABgAIAAAAIQA4&#10;/SH/1gAAAJQBAAALAAAAAAAAAAAAAAAAAC8BAABfcmVscy8ucmVsc1BLAQItABQABgAIAAAAIQDK&#10;r+mMigIAAHcFAAAOAAAAAAAAAAAAAAAAAC4CAABkcnMvZTJvRG9jLnhtbFBLAQItABQABgAIAAAA&#10;IQA1PEIw2QAAAAcBAAAPAAAAAAAAAAAAAAAAAOQEAABkcnMvZG93bnJldi54bWxQSwUGAAAAAAQA&#10;BADzAAAA6gUAAAAA&#10;" fillcolor="yellow" strokecolor="#70ad47 [3209]" strokeweight=".5pt">
                      <v:path arrowok="t"/>
                    </v:shape>
                  </w:pict>
                </mc:Fallback>
              </mc:AlternateContent>
            </w:r>
          </w:p>
        </w:tc>
        <w:tc>
          <w:tcPr>
            <w:tcW w:w="8604" w:type="dxa"/>
          </w:tcPr>
          <w:p w14:paraId="6CFEC2C2" w14:textId="3D07DBEE" w:rsidR="002D1DD6" w:rsidRDefault="002D1DD6" w:rsidP="000418DB">
            <w:pPr>
              <w:rPr>
                <w:lang w:eastAsia="en-US"/>
              </w:rPr>
            </w:pPr>
            <w:r>
              <w:rPr>
                <w:rFonts w:eastAsiaTheme="minorHAnsi"/>
                <w:b/>
                <w:lang w:eastAsia="en-US"/>
              </w:rPr>
              <w:t xml:space="preserve">Recommended: </w:t>
            </w:r>
            <w:r>
              <w:rPr>
                <w:rFonts w:eastAsiaTheme="minorHAnsi"/>
                <w:lang w:eastAsia="en-US"/>
              </w:rPr>
              <w:t xml:space="preserve"> </w:t>
            </w:r>
            <w:r w:rsidR="00BA035C">
              <w:rPr>
                <w:rFonts w:eastAsiaTheme="minorHAnsi"/>
                <w:lang w:eastAsia="en-US"/>
              </w:rPr>
              <w:t xml:space="preserve">Not all storage services are available in all regions. Be sure to check the availability of the service you desire, in the region you desire, during the planning phase. (For example, premium storage is limited to only a few regions.) For more information, see </w:t>
            </w:r>
            <w:hyperlink r:id="rId136" w:anchor="services" w:history="1">
              <w:r w:rsidR="00BA035C">
                <w:rPr>
                  <w:rStyle w:val="Hyperlink"/>
                  <w:rFonts w:eastAsiaTheme="minorHAnsi"/>
                  <w:lang w:eastAsia="en-US"/>
                </w:rPr>
                <w:t>Services by regions</w:t>
              </w:r>
            </w:hyperlink>
            <w:r w:rsidR="00BA035C">
              <w:rPr>
                <w:rStyle w:val="Hyperlink"/>
                <w:rFonts w:eastAsiaTheme="minorHAnsi"/>
              </w:rPr>
              <w:t>.</w:t>
            </w:r>
          </w:p>
        </w:tc>
      </w:tr>
      <w:tr w:rsidR="00121FCA" w14:paraId="314D2EB2" w14:textId="77777777" w:rsidTr="00121FCA">
        <w:trPr>
          <w:trHeight w:val="423"/>
        </w:trPr>
        <w:tc>
          <w:tcPr>
            <w:tcW w:w="666" w:type="dxa"/>
          </w:tcPr>
          <w:p w14:paraId="5F6626D0" w14:textId="77777777" w:rsidR="00121FCA" w:rsidRDefault="00121FCA" w:rsidP="00121FCA">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437056" behindDoc="0" locked="0" layoutInCell="1" allowOverlap="1" wp14:anchorId="790542CB" wp14:editId="54130B5C">
                      <wp:simplePos x="0" y="0"/>
                      <wp:positionH relativeFrom="column">
                        <wp:posOffset>66675</wp:posOffset>
                      </wp:positionH>
                      <wp:positionV relativeFrom="paragraph">
                        <wp:posOffset>90170</wp:posOffset>
                      </wp:positionV>
                      <wp:extent cx="180975" cy="180975"/>
                      <wp:effectExtent l="57150" t="19050" r="9525" b="104775"/>
                      <wp:wrapNone/>
                      <wp:docPr id="57" name="Oval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197497D2" id="Oval 57" o:spid="_x0000_s1026" style="position:absolute;margin-left:5.25pt;margin-top:7.1pt;width:14.25pt;height:14.25pt;z-index:25143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KbRewIAAGIFAAAOAAAAZHJzL2Uyb0RvYy54bWysVE1PGzEQvVfqf7B8L7sJpMCKDUpBVJUi&#10;ggoVZ8drJ1Ztj2s72aS/nrF3s9CChFT1Ynk8b76eZ+bicmc02QofFNiajo5KSoTl0Ci7qumPh5tP&#10;Z5SEyGzDNFhR070I9HL68cNF6yoxhjXoRniCTmyoWlfTdYyuKorA18KwcAROWFRK8IZFFP2qaDxr&#10;0bvRxbgsPxct+MZ54CIEfL3ulHSa/UspeFxIGUQkuqaYW8ynz+cyncX0glUrz9xa8T4N9g9ZGKYs&#10;Bh1cXbPIyMarV66M4h4CyHjEwRQgpeIi14DVjMq/qrlfMydyLUhOcANN4f+55bfbO09UU9PJKSWW&#10;GfyjxZZpgiJy07pQIeTe3flUXXBz4D8DKoo/NEkIPWYnvUlYrI3sMtH7gWixi4Tj4+isPD+dUMJR&#10;1d+TT1YdjJ0P8asAQ9KlpkJr5UKiglVsOw+xQx9QOTXQqrlRWmfBr5ZX2hMsBGOXX8pJ/mkMEJ5h&#10;uYQu65x/3GuRjLX9LiRSkvLMEXMzisEf41zYeJzoQYcZncwkxh4Mj9837PHJVORGHYzH7xsPFjky&#10;2DgYG2XBv+VAx1Gfsuzw/SeGru5EwRKaPXaDh25MguM3CvmfsxDvmMe5wAnCWY8LPKSGtqbQ3yhZ&#10;g//91nvCY7uilpIW56ym4deGeUGJ/maxkc9HJydpMLNwMjkdo+BfapYvNXZjrgD/dIRbxfF8Tfio&#10;D1fpwTziSpilqKhilmPsmvLoD8JV7OYflwoXs1mG4TA6Fuf23vHDr6fmetg9Mu/6JozYvbdwmMlX&#10;jdhh039YmG0iSJW79JnXnm8c5Nw4/dJJm+KlnFHPq3H6BAAA//8DAFBLAwQUAAYACAAAACEAwhqf&#10;It4AAAAHAQAADwAAAGRycy9kb3ducmV2LnhtbEyPQUvDQBCF74L/YRnBi9hNYqs2ZlNEEBS9mFbU&#10;2zQ7JsHsbMhu2/jvHU96Gh7v8eZ7xWpyvdrTGDrPBtJZAoq49rbjxsBmfX9+DSpEZIu9ZzLwTQFW&#10;5fFRgbn1B36hfRUbJSUccjTQxjjkWoe6JYdh5gdi8T796DCKHBttRzxIuet1liSX2mHH8qHFge5a&#10;qr+qnTPwUW2e3Tp9cm+P6cOCzt77JdpXY05PptsbUJGm+BeGX3xBh1KYtn7HNqhedLKQpNx5Bkr8&#10;i6VM2xqYZ1egy0L/5y9/AAAA//8DAFBLAQItABQABgAIAAAAIQC2gziS/gAAAOEBAAATAAAAAAAA&#10;AAAAAAAAAAAAAABbQ29udGVudF9UeXBlc10ueG1sUEsBAi0AFAAGAAgAAAAhADj9If/WAAAAlAEA&#10;AAsAAAAAAAAAAAAAAAAALwEAAF9yZWxzLy5yZWxzUEsBAi0AFAAGAAgAAAAhAO/YptF7AgAAYgUA&#10;AA4AAAAAAAAAAAAAAAAALgIAAGRycy9lMm9Eb2MueG1sUEsBAi0AFAAGAAgAAAAhAMIanyLeAAAA&#10;BwEAAA8AAAAAAAAAAAAAAAAA1QQAAGRycy9kb3ducmV2LnhtbFBLBQYAAAAABAAEAPMAAADgBQAA&#10;AAA=&#10;" fillcolor="#00b050" strokecolor="#a5a5a5 [3206]" strokeweight=".5pt">
                      <v:stroke joinstyle="miter"/>
                      <v:path arrowok="t"/>
                    </v:oval>
                  </w:pict>
                </mc:Fallback>
              </mc:AlternateContent>
            </w:r>
          </w:p>
        </w:tc>
        <w:tc>
          <w:tcPr>
            <w:tcW w:w="8604" w:type="dxa"/>
          </w:tcPr>
          <w:p w14:paraId="3BABDE71" w14:textId="77777777" w:rsidR="00E35478" w:rsidRDefault="00121FCA" w:rsidP="00121FCA">
            <w:pPr>
              <w:rPr>
                <w:rFonts w:eastAsiaTheme="minorHAnsi"/>
                <w:lang w:eastAsia="en-US"/>
              </w:rPr>
            </w:pPr>
            <w:r>
              <w:rPr>
                <w:rFonts w:eastAsiaTheme="minorHAnsi"/>
                <w:b/>
                <w:lang w:eastAsia="en-US"/>
              </w:rPr>
              <w:t xml:space="preserve">Optional: </w:t>
            </w:r>
            <w:r>
              <w:rPr>
                <w:rFonts w:eastAsiaTheme="minorHAnsi"/>
                <w:lang w:eastAsia="en-US"/>
              </w:rPr>
              <w:t xml:space="preserve"> </w:t>
            </w:r>
          </w:p>
          <w:p w14:paraId="2516CD65" w14:textId="77777777" w:rsidR="00BA035C" w:rsidRPr="00E35478" w:rsidRDefault="00BA035C" w:rsidP="005729D2">
            <w:pPr>
              <w:pStyle w:val="ListParagraph"/>
              <w:numPr>
                <w:ilvl w:val="0"/>
                <w:numId w:val="161"/>
              </w:numPr>
              <w:rPr>
                <w:rFonts w:eastAsiaTheme="minorHAnsi"/>
                <w:lang w:val="en" w:eastAsia="en-US"/>
              </w:rPr>
            </w:pPr>
            <w:r w:rsidRPr="00D02E3A">
              <w:rPr>
                <w:rFonts w:eastAsiaTheme="minorHAnsi"/>
                <w:lang w:val="en" w:eastAsia="en-US"/>
              </w:rPr>
              <w:t>GRS is recommended over ZR</w:t>
            </w:r>
            <w:r>
              <w:rPr>
                <w:rFonts w:eastAsiaTheme="minorHAnsi"/>
                <w:lang w:val="en" w:eastAsia="en-US"/>
              </w:rPr>
              <w:t>S or LRS for maximum durability. However, please note that there is a price difference amongst the different redundancy types.</w:t>
            </w:r>
          </w:p>
          <w:p w14:paraId="6CEBE8C1" w14:textId="76D258E8" w:rsidR="00121FCA" w:rsidRDefault="00BA035C" w:rsidP="005729D2">
            <w:pPr>
              <w:pStyle w:val="ListParagraph"/>
              <w:numPr>
                <w:ilvl w:val="0"/>
                <w:numId w:val="161"/>
              </w:numPr>
              <w:rPr>
                <w:lang w:eastAsia="en-US"/>
              </w:rPr>
            </w:pPr>
            <w:r w:rsidRPr="00E35478">
              <w:rPr>
                <w:rFonts w:eastAsiaTheme="minorHAnsi"/>
                <w:lang w:val="en" w:eastAsia="en-US"/>
              </w:rPr>
              <w:t>You can change how your data is replicated after your storage account has been created, but note that you may incur an additional one-time data transfer cost if you switch from LRS to GRS or RA-GRS.</w:t>
            </w:r>
          </w:p>
        </w:tc>
      </w:tr>
    </w:tbl>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2D1DD6" w14:paraId="4B444D80" w14:textId="77777777" w:rsidTr="000418DB">
        <w:tc>
          <w:tcPr>
            <w:tcW w:w="9360" w:type="dxa"/>
            <w:shd w:val="clear" w:color="auto" w:fill="008AC8"/>
          </w:tcPr>
          <w:p w14:paraId="40D8766F" w14:textId="77777777" w:rsidR="002D1DD6" w:rsidRPr="00F47607" w:rsidRDefault="002D1DD6" w:rsidP="000418DB">
            <w:pPr>
              <w:spacing w:line="240" w:lineRule="auto"/>
              <w:rPr>
                <w:color w:val="FFFFFF"/>
              </w:rPr>
            </w:pPr>
            <w:r>
              <w:rPr>
                <w:color w:val="FFFFFF"/>
              </w:rPr>
              <w:t>Design Guidance</w:t>
            </w:r>
          </w:p>
        </w:tc>
      </w:tr>
    </w:tbl>
    <w:p w14:paraId="2FEA7254" w14:textId="5A4B6DE1" w:rsidR="00DA24FE" w:rsidRDefault="00DA24FE" w:rsidP="00DA24FE">
      <w:r>
        <w:t>When you design s</w:t>
      </w:r>
      <w:r w:rsidRPr="00EA2F0D">
        <w:t xml:space="preserve">torage </w:t>
      </w:r>
      <w:r w:rsidR="00696A2A">
        <w:t>durability</w:t>
      </w:r>
      <w:r w:rsidRPr="00EA2F0D">
        <w:t xml:space="preserve"> and </w:t>
      </w:r>
      <w:r w:rsidR="00CD016C">
        <w:t>redundancy</w:t>
      </w:r>
      <w:r>
        <w:t>, consider the following:</w:t>
      </w:r>
    </w:p>
    <w:tbl>
      <w:tblPr>
        <w:tblStyle w:val="PlainTable11"/>
        <w:tblW w:w="0" w:type="auto"/>
        <w:tblLook w:val="0420" w:firstRow="1" w:lastRow="0" w:firstColumn="0" w:lastColumn="0" w:noHBand="0" w:noVBand="1"/>
      </w:tblPr>
      <w:tblGrid>
        <w:gridCol w:w="2057"/>
        <w:gridCol w:w="3471"/>
        <w:gridCol w:w="3822"/>
      </w:tblGrid>
      <w:tr w:rsidR="00DA24FE" w:rsidRPr="0068034F" w14:paraId="34879F0B" w14:textId="77777777" w:rsidTr="009D5407">
        <w:trPr>
          <w:cnfStyle w:val="100000000000" w:firstRow="1" w:lastRow="0" w:firstColumn="0" w:lastColumn="0" w:oddVBand="0" w:evenVBand="0" w:oddHBand="0" w:evenHBand="0" w:firstRowFirstColumn="0" w:firstRowLastColumn="0" w:lastRowFirstColumn="0" w:lastRowLastColumn="0"/>
          <w:tblHeader/>
        </w:trPr>
        <w:tc>
          <w:tcPr>
            <w:tcW w:w="0" w:type="auto"/>
            <w:shd w:val="clear" w:color="auto" w:fill="808080" w:themeFill="background1" w:themeFillShade="80"/>
            <w:hideMark/>
          </w:tcPr>
          <w:p w14:paraId="7D7AA3A0" w14:textId="3F24BB8C" w:rsidR="00DA24FE" w:rsidRPr="0068034F" w:rsidRDefault="00DA24FE" w:rsidP="00971E02">
            <w:pPr>
              <w:spacing w:line="240" w:lineRule="auto"/>
              <w:rPr>
                <w:rFonts w:eastAsia="Calibri"/>
                <w:color w:val="FFFFFF"/>
                <w:sz w:val="20"/>
                <w:lang w:eastAsia="en-AU"/>
              </w:rPr>
            </w:pPr>
            <w:r w:rsidRPr="0068034F">
              <w:rPr>
                <w:rFonts w:eastAsia="Calibri"/>
                <w:color w:val="FFFFFF"/>
                <w:sz w:val="20"/>
                <w:lang w:eastAsia="en-AU"/>
              </w:rPr>
              <w:t>Capability Considerations</w:t>
            </w:r>
          </w:p>
        </w:tc>
        <w:tc>
          <w:tcPr>
            <w:tcW w:w="0" w:type="auto"/>
            <w:shd w:val="clear" w:color="auto" w:fill="808080" w:themeFill="background1" w:themeFillShade="80"/>
            <w:hideMark/>
          </w:tcPr>
          <w:p w14:paraId="1DE11C52" w14:textId="26738142" w:rsidR="00DA24FE" w:rsidRPr="0068034F" w:rsidRDefault="00DA24FE" w:rsidP="00971E02">
            <w:pPr>
              <w:spacing w:line="240" w:lineRule="auto"/>
              <w:rPr>
                <w:rFonts w:eastAsia="Calibri"/>
                <w:color w:val="FFFFFF"/>
                <w:sz w:val="20"/>
                <w:lang w:val="en-AU" w:eastAsia="en-AU"/>
              </w:rPr>
            </w:pPr>
            <w:r w:rsidRPr="0068034F">
              <w:rPr>
                <w:rFonts w:eastAsia="Calibri"/>
                <w:color w:val="FFFFFF"/>
                <w:sz w:val="20"/>
                <w:lang w:eastAsia="en-AU"/>
              </w:rPr>
              <w:t>Capability Decision Points</w:t>
            </w:r>
          </w:p>
        </w:tc>
        <w:tc>
          <w:tcPr>
            <w:tcW w:w="0" w:type="auto"/>
            <w:shd w:val="clear" w:color="auto" w:fill="808080" w:themeFill="background1" w:themeFillShade="80"/>
            <w:hideMark/>
          </w:tcPr>
          <w:p w14:paraId="37A79EE6" w14:textId="6B76AAE3" w:rsidR="00DA24FE" w:rsidRPr="0068034F" w:rsidRDefault="00DA24FE" w:rsidP="00BA035C">
            <w:pPr>
              <w:spacing w:line="240" w:lineRule="auto"/>
              <w:rPr>
                <w:rFonts w:eastAsia="Calibri"/>
                <w:color w:val="FFFFFF"/>
                <w:sz w:val="20"/>
                <w:lang w:val="en-AU" w:eastAsia="en-AU"/>
              </w:rPr>
            </w:pPr>
            <w:r w:rsidRPr="0068034F">
              <w:rPr>
                <w:rFonts w:eastAsia="Calibri"/>
                <w:color w:val="FFFFFF"/>
                <w:sz w:val="20"/>
                <w:lang w:eastAsia="en-AU"/>
              </w:rPr>
              <w:t xml:space="preserve">Capability Models in </w:t>
            </w:r>
            <w:r w:rsidR="00BA035C">
              <w:rPr>
                <w:rFonts w:eastAsia="Calibri"/>
                <w:color w:val="FFFFFF"/>
                <w:sz w:val="20"/>
                <w:lang w:eastAsia="en-AU"/>
              </w:rPr>
              <w:t>U</w:t>
            </w:r>
            <w:r w:rsidRPr="0068034F">
              <w:rPr>
                <w:rFonts w:eastAsia="Calibri"/>
                <w:color w:val="FFFFFF"/>
                <w:sz w:val="20"/>
                <w:lang w:eastAsia="en-AU"/>
              </w:rPr>
              <w:t>se</w:t>
            </w:r>
          </w:p>
        </w:tc>
      </w:tr>
      <w:tr w:rsidR="00621420" w14:paraId="14370EEA" w14:textId="77777777" w:rsidTr="00834840">
        <w:trPr>
          <w:cnfStyle w:val="000000100000" w:firstRow="0" w:lastRow="0" w:firstColumn="0" w:lastColumn="0" w:oddVBand="0" w:evenVBand="0" w:oddHBand="1" w:evenHBand="0" w:firstRowFirstColumn="0" w:firstRowLastColumn="0" w:lastRowFirstColumn="0" w:lastRowLastColumn="0"/>
        </w:trPr>
        <w:tc>
          <w:tcPr>
            <w:tcW w:w="0" w:type="auto"/>
            <w:hideMark/>
          </w:tcPr>
          <w:p w14:paraId="14BFADB6" w14:textId="7CC19CC8" w:rsidR="00621420" w:rsidRPr="007D32D2" w:rsidRDefault="00621420" w:rsidP="00621420">
            <w:pPr>
              <w:pStyle w:val="TableBody1"/>
              <w:rPr>
                <w:lang w:val="en-AU" w:eastAsia="en-AU"/>
              </w:rPr>
            </w:pPr>
            <w:r w:rsidRPr="00924FCB">
              <w:rPr>
                <w:lang w:val="en-AU" w:eastAsia="en-AU"/>
              </w:rPr>
              <w:t xml:space="preserve">Each </w:t>
            </w:r>
            <w:r>
              <w:rPr>
                <w:lang w:val="en-AU" w:eastAsia="en-AU"/>
              </w:rPr>
              <w:t>availability</w:t>
            </w:r>
            <w:r w:rsidRPr="00924FCB">
              <w:rPr>
                <w:lang w:val="en-AU" w:eastAsia="en-AU"/>
              </w:rPr>
              <w:t xml:space="preserve"> option provides a different level of data redundancy</w:t>
            </w:r>
            <w:r>
              <w:rPr>
                <w:lang w:val="en-AU" w:eastAsia="en-AU"/>
              </w:rPr>
              <w:t>.</w:t>
            </w:r>
          </w:p>
        </w:tc>
        <w:tc>
          <w:tcPr>
            <w:tcW w:w="0" w:type="auto"/>
            <w:hideMark/>
          </w:tcPr>
          <w:p w14:paraId="21EC07B4" w14:textId="77777777" w:rsidR="00621420" w:rsidRPr="00924FCB" w:rsidRDefault="00621420" w:rsidP="00621420">
            <w:pPr>
              <w:pStyle w:val="TableBody1"/>
            </w:pPr>
            <w:r w:rsidRPr="00924FCB">
              <w:t>Carefully consider the level of redundancy that you may need with your data.</w:t>
            </w:r>
            <w:r>
              <w:t xml:space="preserve"> </w:t>
            </w:r>
            <w:r w:rsidRPr="00924FCB">
              <w:t>Not all data needs the same level of redundancy (and redundancy costs).</w:t>
            </w:r>
          </w:p>
          <w:p w14:paraId="76F04FC4" w14:textId="77777777" w:rsidR="00621420" w:rsidRPr="00924FCB" w:rsidRDefault="00621420" w:rsidP="00621420">
            <w:pPr>
              <w:pStyle w:val="TableBody1"/>
            </w:pPr>
            <w:r w:rsidRPr="00924FCB">
              <w:t xml:space="preserve">Locally </w:t>
            </w:r>
            <w:r>
              <w:t>r</w:t>
            </w:r>
            <w:r w:rsidRPr="00924FCB">
              <w:t xml:space="preserve">edundant </w:t>
            </w:r>
            <w:r>
              <w:t>s</w:t>
            </w:r>
            <w:r w:rsidRPr="00924FCB">
              <w:t xml:space="preserve">torage (LRS) is less expensive than </w:t>
            </w:r>
            <w:r>
              <w:t>g</w:t>
            </w:r>
            <w:r w:rsidRPr="00924FCB">
              <w:t xml:space="preserve">eographically </w:t>
            </w:r>
            <w:r>
              <w:t>r</w:t>
            </w:r>
            <w:r w:rsidRPr="00924FCB">
              <w:t xml:space="preserve">edundant </w:t>
            </w:r>
            <w:r>
              <w:t>s</w:t>
            </w:r>
            <w:r w:rsidRPr="00924FCB">
              <w:t xml:space="preserve">torage GRS, and </w:t>
            </w:r>
            <w:r>
              <w:t xml:space="preserve">it </w:t>
            </w:r>
            <w:r w:rsidRPr="00924FCB">
              <w:t>also offers higher throughput. If your application stores data that can be easily reconstructed, you may opt for LRS.</w:t>
            </w:r>
          </w:p>
          <w:p w14:paraId="7C310810" w14:textId="77777777" w:rsidR="00621420" w:rsidRPr="00924FCB" w:rsidRDefault="00621420" w:rsidP="00621420">
            <w:pPr>
              <w:pStyle w:val="TableBody1"/>
            </w:pPr>
            <w:r w:rsidRPr="00924FCB">
              <w:t xml:space="preserve">Some applications are restricted to replicating data only within a single region due to data governance </w:t>
            </w:r>
            <w:r>
              <w:t xml:space="preserve">or privacy </w:t>
            </w:r>
            <w:r w:rsidRPr="00924FCB">
              <w:t>requirements.</w:t>
            </w:r>
          </w:p>
          <w:p w14:paraId="000F4361" w14:textId="77777777" w:rsidR="00621420" w:rsidRPr="00924FCB" w:rsidRDefault="00621420" w:rsidP="00621420">
            <w:pPr>
              <w:pStyle w:val="TableBody1"/>
            </w:pPr>
            <w:r w:rsidRPr="00924FCB">
              <w:t>If your application has its own geo-replication strategy</w:t>
            </w:r>
            <w:r>
              <w:t xml:space="preserve"> (for example, SQL AlwaysOn and Active Directory domain controllers)</w:t>
            </w:r>
            <w:r w:rsidRPr="00924FCB">
              <w:t>, then it may not require GRS</w:t>
            </w:r>
            <w:r>
              <w:t>.</w:t>
            </w:r>
          </w:p>
          <w:p w14:paraId="1877E6AD" w14:textId="64989390" w:rsidR="00621420" w:rsidRPr="007D32D2" w:rsidRDefault="00621420" w:rsidP="00621420">
            <w:pPr>
              <w:pStyle w:val="TableBody1"/>
            </w:pPr>
            <w:r w:rsidRPr="00924FCB">
              <w:t>ZRS is currently available only for block blobs. Note that once you have created your storage account and selected zone-redundant replication, you cannot convert it to use to any other type of replication, or vice versa.</w:t>
            </w:r>
          </w:p>
        </w:tc>
        <w:tc>
          <w:tcPr>
            <w:tcW w:w="0" w:type="auto"/>
            <w:hideMark/>
          </w:tcPr>
          <w:p w14:paraId="4FD69E3B" w14:textId="77777777" w:rsidR="00621420" w:rsidRPr="00924FCB" w:rsidRDefault="00621420" w:rsidP="00621420">
            <w:pPr>
              <w:pStyle w:val="TableBody1"/>
            </w:pPr>
            <w:r w:rsidRPr="001477CF">
              <w:rPr>
                <w:b/>
              </w:rPr>
              <w:t xml:space="preserve">Locally </w:t>
            </w:r>
            <w:r>
              <w:rPr>
                <w:b/>
              </w:rPr>
              <w:t>r</w:t>
            </w:r>
            <w:r w:rsidRPr="001477CF">
              <w:rPr>
                <w:b/>
              </w:rPr>
              <w:t xml:space="preserve">edundant </w:t>
            </w:r>
            <w:r>
              <w:rPr>
                <w:b/>
              </w:rPr>
              <w:t>s</w:t>
            </w:r>
            <w:r w:rsidRPr="001477CF">
              <w:rPr>
                <w:b/>
              </w:rPr>
              <w:t>torage (LRS)</w:t>
            </w:r>
            <w:r w:rsidRPr="00924FCB">
              <w:t xml:space="preserve"> </w:t>
            </w:r>
            <w:r>
              <w:t>provides</w:t>
            </w:r>
            <w:r w:rsidRPr="00924FCB">
              <w:t xml:space="preserve"> economical local storage or data governance compliance</w:t>
            </w:r>
            <w:r>
              <w:t>.</w:t>
            </w:r>
          </w:p>
          <w:p w14:paraId="77812176" w14:textId="77777777" w:rsidR="00621420" w:rsidRPr="00924FCB" w:rsidRDefault="00621420" w:rsidP="00621420">
            <w:pPr>
              <w:pStyle w:val="TableBody1"/>
            </w:pPr>
            <w:r w:rsidRPr="001477CF">
              <w:rPr>
                <w:b/>
              </w:rPr>
              <w:t xml:space="preserve">Zone </w:t>
            </w:r>
            <w:r>
              <w:rPr>
                <w:b/>
              </w:rPr>
              <w:t>r</w:t>
            </w:r>
            <w:r w:rsidRPr="001477CF">
              <w:rPr>
                <w:b/>
              </w:rPr>
              <w:t xml:space="preserve">edundant </w:t>
            </w:r>
            <w:r>
              <w:rPr>
                <w:b/>
              </w:rPr>
              <w:t>s</w:t>
            </w:r>
            <w:r w:rsidRPr="001477CF">
              <w:rPr>
                <w:b/>
              </w:rPr>
              <w:t>torage (ZRS)</w:t>
            </w:r>
            <w:r w:rsidRPr="00924FCB">
              <w:t xml:space="preserve"> </w:t>
            </w:r>
            <w:r>
              <w:t>provides</w:t>
            </w:r>
            <w:r w:rsidRPr="00924FCB">
              <w:t xml:space="preserve"> an economical, yet higher durability option for block </w:t>
            </w:r>
            <w:r>
              <w:t>B</w:t>
            </w:r>
            <w:r w:rsidRPr="00924FCB">
              <w:t>lob storage</w:t>
            </w:r>
            <w:r>
              <w:t>.</w:t>
            </w:r>
          </w:p>
          <w:p w14:paraId="2FED9884" w14:textId="77777777" w:rsidR="00621420" w:rsidRPr="00924FCB" w:rsidRDefault="00621420" w:rsidP="00621420">
            <w:pPr>
              <w:pStyle w:val="TableBody1"/>
            </w:pPr>
            <w:r w:rsidRPr="001477CF">
              <w:rPr>
                <w:b/>
              </w:rPr>
              <w:t xml:space="preserve">Geographically </w:t>
            </w:r>
            <w:r>
              <w:rPr>
                <w:b/>
              </w:rPr>
              <w:t>r</w:t>
            </w:r>
            <w:r w:rsidRPr="001477CF">
              <w:rPr>
                <w:b/>
              </w:rPr>
              <w:t xml:space="preserve">edundant </w:t>
            </w:r>
            <w:r>
              <w:rPr>
                <w:b/>
              </w:rPr>
              <w:t>s</w:t>
            </w:r>
            <w:r w:rsidRPr="001477CF">
              <w:rPr>
                <w:b/>
              </w:rPr>
              <w:t>torage (GRS)</w:t>
            </w:r>
            <w:r w:rsidRPr="00924FCB">
              <w:t xml:space="preserve"> </w:t>
            </w:r>
            <w:r>
              <w:t>provides</w:t>
            </w:r>
            <w:r w:rsidRPr="00924FCB">
              <w:t xml:space="preserve"> protection against a major datacenter outage or disaster</w:t>
            </w:r>
            <w:r>
              <w:t>.</w:t>
            </w:r>
          </w:p>
          <w:p w14:paraId="4900C21D" w14:textId="77777777" w:rsidR="00621420" w:rsidRDefault="00621420" w:rsidP="00621420">
            <w:pPr>
              <w:pStyle w:val="TableBody1"/>
            </w:pPr>
            <w:r w:rsidRPr="001477CF">
              <w:rPr>
                <w:b/>
              </w:rPr>
              <w:t>Read-</w:t>
            </w:r>
            <w:r>
              <w:rPr>
                <w:b/>
              </w:rPr>
              <w:t>a</w:t>
            </w:r>
            <w:r w:rsidRPr="001477CF">
              <w:rPr>
                <w:b/>
              </w:rPr>
              <w:t xml:space="preserve">ccess </w:t>
            </w:r>
            <w:r>
              <w:rPr>
                <w:b/>
              </w:rPr>
              <w:t>g</w:t>
            </w:r>
            <w:r w:rsidRPr="001477CF">
              <w:rPr>
                <w:b/>
              </w:rPr>
              <w:t xml:space="preserve">eographically </w:t>
            </w:r>
            <w:r>
              <w:rPr>
                <w:b/>
              </w:rPr>
              <w:t>r</w:t>
            </w:r>
            <w:r w:rsidRPr="001477CF">
              <w:rPr>
                <w:b/>
              </w:rPr>
              <w:t xml:space="preserve">edundant </w:t>
            </w:r>
            <w:r>
              <w:rPr>
                <w:b/>
              </w:rPr>
              <w:t>s</w:t>
            </w:r>
            <w:r w:rsidRPr="001477CF">
              <w:rPr>
                <w:b/>
              </w:rPr>
              <w:t>torage (RA-GRS)</w:t>
            </w:r>
            <w:r w:rsidRPr="00924FCB">
              <w:t xml:space="preserve"> provides </w:t>
            </w:r>
            <w:r>
              <w:t>R</w:t>
            </w:r>
            <w:r w:rsidRPr="00924FCB">
              <w:t>ead access to data during an outage, for maximum data availability and durability</w:t>
            </w:r>
            <w:r>
              <w:t>.</w:t>
            </w:r>
          </w:p>
          <w:p w14:paraId="0B81F8EB" w14:textId="3D23BB49" w:rsidR="00621420" w:rsidRPr="007D32D2" w:rsidRDefault="00621420" w:rsidP="00621420">
            <w:pPr>
              <w:pStyle w:val="TableBody1"/>
            </w:pPr>
            <w:r>
              <w:t>In general, plan to design to regional redundancy (GRS), unless the workload already accounts for it. In that case, there is no need to duplicate it. Also, see the previous section about premium storage for special considerations on premium storage redundancy options.</w:t>
            </w:r>
          </w:p>
        </w:tc>
      </w:tr>
      <w:tr w:rsidR="00621420" w14:paraId="78A39BFD" w14:textId="77777777" w:rsidTr="00834840">
        <w:tc>
          <w:tcPr>
            <w:tcW w:w="0" w:type="auto"/>
          </w:tcPr>
          <w:p w14:paraId="72C2669B" w14:textId="0CE219FD" w:rsidR="00621420" w:rsidRPr="00924FCB" w:rsidRDefault="00621420" w:rsidP="00621420">
            <w:pPr>
              <w:pStyle w:val="TableBody1"/>
              <w:rPr>
                <w:lang w:val="en-AU" w:eastAsia="en-AU"/>
              </w:rPr>
            </w:pPr>
            <w:r>
              <w:rPr>
                <w:lang w:val="en-AU" w:eastAsia="en-AU"/>
              </w:rPr>
              <w:t>Plan with failure in mind.</w:t>
            </w:r>
          </w:p>
        </w:tc>
        <w:tc>
          <w:tcPr>
            <w:tcW w:w="0" w:type="auto"/>
          </w:tcPr>
          <w:p w14:paraId="26E72EE3" w14:textId="2EB0A9B1" w:rsidR="00621420" w:rsidRPr="00924FCB" w:rsidRDefault="00621420" w:rsidP="00621420">
            <w:pPr>
              <w:pStyle w:val="TableBody1"/>
            </w:pPr>
            <w:r>
              <w:t>Redundancy options are available not because failures may occur, but because they will occur. Accept that hardware failures are part of running hyper-scale datacenters, and plan that failures will occur through the use of available redundancy options.</w:t>
            </w:r>
          </w:p>
        </w:tc>
        <w:tc>
          <w:tcPr>
            <w:tcW w:w="0" w:type="auto"/>
          </w:tcPr>
          <w:p w14:paraId="0DFE8792" w14:textId="7CEBC9D1" w:rsidR="00621420" w:rsidRPr="00924FCB" w:rsidRDefault="00621420" w:rsidP="00621420">
            <w:pPr>
              <w:pStyle w:val="TableBody1"/>
            </w:pPr>
            <w:r>
              <w:t>Ensure applications and workloads have “r</w:t>
            </w:r>
            <w:r w:rsidRPr="000146AC">
              <w:t xml:space="preserve">etry </w:t>
            </w:r>
            <w:r>
              <w:t>options” for</w:t>
            </w:r>
            <w:r w:rsidRPr="000146AC">
              <w:t xml:space="preserve"> </w:t>
            </w:r>
            <w:r>
              <w:t>storage c</w:t>
            </w:r>
            <w:r w:rsidRPr="000146AC">
              <w:t>onnection failures</w:t>
            </w:r>
            <w:r>
              <w:t xml:space="preserve">, in the event the storage becomes unavailable in the primary location. No code changes are required, but small latency may occur. </w:t>
            </w:r>
            <w:r w:rsidRPr="00571502">
              <w:t xml:space="preserve">Latency sensitive apps </w:t>
            </w:r>
            <w:r>
              <w:t>may also benefit from the</w:t>
            </w:r>
            <w:r w:rsidRPr="00571502">
              <w:t xml:space="preserve"> use </w:t>
            </w:r>
            <w:r>
              <w:t xml:space="preserve">of </w:t>
            </w:r>
            <w:r w:rsidRPr="00571502">
              <w:t>cache.</w:t>
            </w:r>
          </w:p>
        </w:tc>
      </w:tr>
    </w:tbl>
    <w:p w14:paraId="6C2F1646" w14:textId="78EFB112" w:rsidR="0074583B" w:rsidRDefault="0074583B" w:rsidP="005729D2">
      <w:pPr>
        <w:pStyle w:val="Heading2Numbered"/>
        <w:numPr>
          <w:ilvl w:val="1"/>
          <w:numId w:val="64"/>
        </w:numPr>
      </w:pPr>
      <w:bookmarkStart w:id="1915" w:name="_Toc417926789"/>
      <w:bookmarkStart w:id="1916" w:name="_Toc417927688"/>
      <w:bookmarkStart w:id="1917" w:name="_Toc417928967"/>
      <w:bookmarkStart w:id="1918" w:name="_Toc417929433"/>
      <w:bookmarkStart w:id="1919" w:name="_Toc417929232"/>
      <w:bookmarkStart w:id="1920" w:name="_Toc417931253"/>
      <w:bookmarkStart w:id="1921" w:name="_Toc417930416"/>
      <w:bookmarkStart w:id="1922" w:name="_Toc417930840"/>
      <w:bookmarkStart w:id="1923" w:name="_Toc417932296"/>
      <w:bookmarkStart w:id="1924" w:name="_Toc417932779"/>
      <w:bookmarkStart w:id="1925" w:name="_Toc417931937"/>
      <w:bookmarkStart w:id="1926" w:name="_Toc417933455"/>
      <w:bookmarkStart w:id="1927" w:name="_Toc417932553"/>
      <w:bookmarkStart w:id="1928" w:name="_Toc417934384"/>
      <w:bookmarkStart w:id="1929" w:name="_Toc417935024"/>
      <w:bookmarkStart w:id="1930" w:name="_Toc417935723"/>
      <w:bookmarkStart w:id="1931" w:name="_Toc417936185"/>
      <w:bookmarkStart w:id="1932" w:name="_Toc417942248"/>
      <w:bookmarkStart w:id="1933" w:name="_Toc417942727"/>
      <w:bookmarkStart w:id="1934" w:name="_Toc417945071"/>
      <w:bookmarkStart w:id="1935" w:name="_Toc417946399"/>
      <w:bookmarkStart w:id="1936" w:name="_Toc417947061"/>
      <w:bookmarkStart w:id="1937" w:name="_Toc417947762"/>
      <w:bookmarkStart w:id="1938" w:name="_Toc417950811"/>
      <w:bookmarkStart w:id="1939" w:name="_Toc417974880"/>
      <w:bookmarkStart w:id="1940" w:name="_Toc417975597"/>
      <w:bookmarkStart w:id="1941" w:name="_Toc417976660"/>
      <w:bookmarkStart w:id="1942" w:name="_Toc417977748"/>
      <w:bookmarkStart w:id="1943" w:name="_Toc414892093"/>
      <w:bookmarkStart w:id="1944" w:name="_Toc414960119"/>
      <w:bookmarkStart w:id="1945" w:name="_Toc414969090"/>
      <w:bookmarkStart w:id="1946" w:name="_Toc415011312"/>
      <w:bookmarkStart w:id="1947" w:name="_Toc415040002"/>
      <w:bookmarkStart w:id="1948" w:name="_Toc415572357"/>
      <w:bookmarkStart w:id="1949" w:name="_Toc415735527"/>
      <w:bookmarkStart w:id="1950" w:name="_Toc415814108"/>
      <w:bookmarkStart w:id="1951" w:name="_Toc416343843"/>
      <w:bookmarkStart w:id="1952" w:name="_Toc416863114"/>
      <w:bookmarkStart w:id="1953" w:name="_Toc417314720"/>
      <w:bookmarkStart w:id="1954" w:name="_Toc417323737"/>
      <w:bookmarkStart w:id="1955" w:name="_Toc417326826"/>
      <w:bookmarkStart w:id="1956" w:name="_Toc417330374"/>
      <w:bookmarkStart w:id="1957" w:name="_Toc417394980"/>
      <w:bookmarkStart w:id="1958" w:name="_Toc417399197"/>
      <w:bookmarkStart w:id="1959" w:name="_Toc417399356"/>
      <w:bookmarkStart w:id="1960" w:name="_Toc417400403"/>
      <w:bookmarkStart w:id="1961" w:name="_Toc417401251"/>
      <w:bookmarkStart w:id="1962" w:name="_Toc417419564"/>
      <w:bookmarkStart w:id="1963" w:name="_Toc417457336"/>
      <w:bookmarkStart w:id="1964" w:name="_Toc417481914"/>
      <w:bookmarkStart w:id="1965" w:name="_Toc417482172"/>
      <w:bookmarkStart w:id="1966" w:name="_Toc417499891"/>
      <w:bookmarkStart w:id="1967" w:name="_Toc417502713"/>
      <w:bookmarkStart w:id="1968" w:name="_Toc417548253"/>
      <w:bookmarkStart w:id="1969" w:name="_Toc417594485"/>
      <w:bookmarkStart w:id="1970" w:name="_Toc417934385"/>
      <w:bookmarkStart w:id="1971" w:name="_Toc417935724"/>
      <w:bookmarkStart w:id="1972" w:name="_Toc417936186"/>
      <w:bookmarkStart w:id="1973" w:name="_Toc417946838"/>
      <w:bookmarkStart w:id="1974" w:name="_Toc417982455"/>
      <w:bookmarkStart w:id="1975" w:name="_Toc417985880"/>
      <w:bookmarkStart w:id="1976" w:name="_Toc418000601"/>
      <w:bookmarkStart w:id="1977" w:name="_Toc418003744"/>
      <w:bookmarkStart w:id="1978" w:name="_Toc418011949"/>
      <w:bookmarkStart w:id="1979" w:name="_Toc418014597"/>
      <w:bookmarkStart w:id="1980" w:name="_Toc418029933"/>
      <w:bookmarkStart w:id="1981" w:name="_Toc418036869"/>
      <w:bookmarkStart w:id="1982" w:name="_Toc418061334"/>
      <w:bookmarkStart w:id="1983" w:name="_Toc418080683"/>
      <w:bookmarkStart w:id="1984" w:name="_Toc418081856"/>
      <w:bookmarkStart w:id="1985" w:name="_Toc418083258"/>
      <w:bookmarkStart w:id="1986" w:name="_Toc418095478"/>
      <w:bookmarkStart w:id="1987" w:name="_Toc418156648"/>
      <w:bookmarkStart w:id="1988" w:name="_Toc418167567"/>
      <w:bookmarkStart w:id="1989" w:name="_Toc418185824"/>
      <w:bookmarkStart w:id="1990" w:name="_Toc422941532"/>
      <w:bookmarkStart w:id="1991" w:name="_Toc423116738"/>
      <w:bookmarkStart w:id="1992" w:name="_Toc423117771"/>
      <w:bookmarkStart w:id="1993" w:name="_Toc423117221"/>
      <w:bookmarkStart w:id="1994" w:name="_Toc4312888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r w:rsidRPr="00256063">
        <w:t>Storage Security</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6AEFE60D" w14:textId="08ED03B5" w:rsidR="00E41925" w:rsidRDefault="00E41925" w:rsidP="00E41925">
      <w:r>
        <w:t>When</w:t>
      </w:r>
      <w:r w:rsidR="00621420">
        <w:t xml:space="preserve"> a storage account is created, only the owner of that account may access the</w:t>
      </w:r>
      <w:r w:rsidR="00621420" w:rsidRPr="008E5FB2">
        <w:t xml:space="preserve"> </w:t>
      </w:r>
      <w:r w:rsidR="00621420" w:rsidRPr="009768A5">
        <w:t>blobs, tables,</w:t>
      </w:r>
      <w:r w:rsidR="00621420">
        <w:t xml:space="preserve"> files, </w:t>
      </w:r>
      <w:r w:rsidR="00621420" w:rsidRPr="009768A5">
        <w:t>and queues within that account</w:t>
      </w:r>
      <w:r w:rsidR="00621420">
        <w:t>. There are several ways to grant and share access to storage accounts to other users. This section discusses some of the available options.</w:t>
      </w:r>
      <w:r w:rsidR="00CA5890">
        <w:t xml:space="preserve"> </w:t>
      </w:r>
    </w:p>
    <w:p w14:paraId="3A8FBFF9" w14:textId="6F8450EA" w:rsidR="00E41925" w:rsidRDefault="00E41925" w:rsidP="005729D2">
      <w:pPr>
        <w:pStyle w:val="Heading3Numbered"/>
        <w:numPr>
          <w:ilvl w:val="2"/>
          <w:numId w:val="64"/>
        </w:numPr>
      </w:pPr>
      <w:bookmarkStart w:id="1995" w:name="_Toc414960120"/>
      <w:bookmarkStart w:id="1996" w:name="_Toc414969091"/>
      <w:bookmarkStart w:id="1997" w:name="_Toc415011313"/>
      <w:bookmarkStart w:id="1998" w:name="_Toc415040003"/>
      <w:bookmarkStart w:id="1999" w:name="_Toc415572358"/>
      <w:bookmarkStart w:id="2000" w:name="_Toc415735528"/>
      <w:bookmarkStart w:id="2001" w:name="_Toc415814109"/>
      <w:bookmarkStart w:id="2002" w:name="_Toc416343844"/>
      <w:bookmarkStart w:id="2003" w:name="_Toc416863115"/>
      <w:bookmarkStart w:id="2004" w:name="_Toc417314721"/>
      <w:bookmarkStart w:id="2005" w:name="_Toc417323738"/>
      <w:bookmarkStart w:id="2006" w:name="_Toc417326827"/>
      <w:bookmarkStart w:id="2007" w:name="_Toc417330375"/>
      <w:bookmarkStart w:id="2008" w:name="_Toc417394981"/>
      <w:bookmarkStart w:id="2009" w:name="_Toc417399198"/>
      <w:bookmarkStart w:id="2010" w:name="_Toc417399357"/>
      <w:bookmarkStart w:id="2011" w:name="_Toc417400404"/>
      <w:bookmarkStart w:id="2012" w:name="_Toc417401252"/>
      <w:bookmarkStart w:id="2013" w:name="_Toc417419565"/>
      <w:bookmarkStart w:id="2014" w:name="_Toc417457337"/>
      <w:bookmarkStart w:id="2015" w:name="_Toc417481915"/>
      <w:bookmarkStart w:id="2016" w:name="_Toc417482173"/>
      <w:bookmarkStart w:id="2017" w:name="_Toc417499892"/>
      <w:bookmarkStart w:id="2018" w:name="_Toc417502714"/>
      <w:bookmarkStart w:id="2019" w:name="_Toc417548254"/>
      <w:bookmarkStart w:id="2020" w:name="_Toc417594486"/>
      <w:bookmarkStart w:id="2021" w:name="_Toc417934386"/>
      <w:bookmarkStart w:id="2022" w:name="_Toc417935725"/>
      <w:bookmarkStart w:id="2023" w:name="_Toc417936187"/>
      <w:bookmarkStart w:id="2024" w:name="_Toc417946839"/>
      <w:bookmarkStart w:id="2025" w:name="_Toc417982456"/>
      <w:bookmarkStart w:id="2026" w:name="_Toc417985881"/>
      <w:bookmarkStart w:id="2027" w:name="_Toc418000602"/>
      <w:bookmarkStart w:id="2028" w:name="_Toc418003745"/>
      <w:bookmarkStart w:id="2029" w:name="_Toc418011950"/>
      <w:bookmarkStart w:id="2030" w:name="_Toc418014598"/>
      <w:bookmarkStart w:id="2031" w:name="_Toc418029934"/>
      <w:bookmarkStart w:id="2032" w:name="_Toc418036870"/>
      <w:bookmarkStart w:id="2033" w:name="_Toc418061335"/>
      <w:bookmarkStart w:id="2034" w:name="_Toc418080684"/>
      <w:bookmarkStart w:id="2035" w:name="_Toc418081857"/>
      <w:bookmarkStart w:id="2036" w:name="_Toc418083259"/>
      <w:bookmarkStart w:id="2037" w:name="_Toc418095479"/>
      <w:bookmarkStart w:id="2038" w:name="_Toc418156649"/>
      <w:bookmarkStart w:id="2039" w:name="_Toc418167568"/>
      <w:bookmarkStart w:id="2040" w:name="_Toc418185825"/>
      <w:bookmarkStart w:id="2041" w:name="_Toc422941533"/>
      <w:bookmarkStart w:id="2042" w:name="_Toc423116739"/>
      <w:bookmarkStart w:id="2043" w:name="_Toc423117772"/>
      <w:bookmarkStart w:id="2044" w:name="_Toc423117222"/>
      <w:bookmarkStart w:id="2045" w:name="_Toc431288815"/>
      <w:r>
        <w:t>Access Control</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4578AAB6" w14:textId="14F8ED23" w:rsidR="00D45D39" w:rsidRDefault="00DC68D0" w:rsidP="008349F7">
      <w:r w:rsidRPr="00DC68D0">
        <w:rPr>
          <w:lang w:val="en"/>
        </w:rPr>
        <w:t>When you create a storage account, Azure generates two storage access keys, which are used for authentication when the storage account is accessed. By providing two storage access keys, Azure enables you to regenerate the keys with no interruption to your storage service or access to that service.</w:t>
      </w:r>
      <w:r w:rsidR="00D45D39">
        <w:t xml:space="preserve">  </w:t>
      </w:r>
    </w:p>
    <w:p w14:paraId="66734E5C" w14:textId="77777777" w:rsidR="00621420" w:rsidRDefault="00621420" w:rsidP="00621420">
      <w:pPr>
        <w:rPr>
          <w:lang w:val="en"/>
        </w:rPr>
      </w:pPr>
      <w:r>
        <w:t xml:space="preserve">One simple way to grant access to the storage account is to share that storage access key. However, </w:t>
      </w:r>
      <w:r>
        <w:rPr>
          <w:lang w:val="en"/>
        </w:rPr>
        <w:t>i</w:t>
      </w:r>
      <w:r w:rsidRPr="008E5FB2">
        <w:rPr>
          <w:lang w:val="en"/>
        </w:rPr>
        <w:t xml:space="preserve">f your service or application needs to make these resources available to other clients </w:t>
      </w:r>
      <w:r w:rsidRPr="008E5FB2">
        <w:rPr>
          <w:b/>
          <w:lang w:val="en"/>
        </w:rPr>
        <w:t>without</w:t>
      </w:r>
      <w:r w:rsidRPr="008E5FB2">
        <w:rPr>
          <w:lang w:val="en"/>
        </w:rPr>
        <w:t xml:space="preserve"> sharing your access key, you have </w:t>
      </w:r>
      <w:r>
        <w:rPr>
          <w:lang w:val="en"/>
        </w:rPr>
        <w:t xml:space="preserve">other </w:t>
      </w:r>
      <w:r w:rsidRPr="008E5FB2">
        <w:rPr>
          <w:lang w:val="en"/>
        </w:rPr>
        <w:t>options for permitting access:</w:t>
      </w:r>
    </w:p>
    <w:p w14:paraId="709202D9" w14:textId="77777777" w:rsidR="00621420" w:rsidRPr="008E5FB2" w:rsidRDefault="00621420" w:rsidP="00621420">
      <w:pPr>
        <w:numPr>
          <w:ilvl w:val="0"/>
          <w:numId w:val="15"/>
        </w:numPr>
        <w:rPr>
          <w:lang w:val="en"/>
        </w:rPr>
      </w:pPr>
      <w:r w:rsidRPr="008E5FB2">
        <w:rPr>
          <w:lang w:val="en"/>
        </w:rPr>
        <w:t xml:space="preserve">You can set a container's permissions to permit anonymous </w:t>
      </w:r>
      <w:r>
        <w:rPr>
          <w:lang w:val="en"/>
        </w:rPr>
        <w:t>R</w:t>
      </w:r>
      <w:r w:rsidRPr="008E5FB2">
        <w:rPr>
          <w:lang w:val="en"/>
        </w:rPr>
        <w:t xml:space="preserve">ead access to the container and its blobs. This is </w:t>
      </w:r>
      <w:r>
        <w:rPr>
          <w:lang w:val="en"/>
        </w:rPr>
        <w:t xml:space="preserve">for blobs only, </w:t>
      </w:r>
      <w:r w:rsidRPr="008E5FB2">
        <w:rPr>
          <w:lang w:val="en"/>
        </w:rPr>
        <w:t>not for tables or queues.</w:t>
      </w:r>
    </w:p>
    <w:p w14:paraId="2C844076" w14:textId="77777777" w:rsidR="00621420" w:rsidRPr="008E5FB2" w:rsidRDefault="00621420" w:rsidP="00621420">
      <w:pPr>
        <w:numPr>
          <w:ilvl w:val="0"/>
          <w:numId w:val="15"/>
        </w:numPr>
        <w:rPr>
          <w:lang w:val="en"/>
        </w:rPr>
      </w:pPr>
      <w:r w:rsidRPr="008E5FB2">
        <w:rPr>
          <w:lang w:val="en"/>
        </w:rPr>
        <w:t xml:space="preserve">You can </w:t>
      </w:r>
      <w:r>
        <w:rPr>
          <w:lang w:val="en"/>
        </w:rPr>
        <w:t xml:space="preserve">use </w:t>
      </w:r>
      <w:r w:rsidRPr="008E5FB2">
        <w:rPr>
          <w:lang w:val="en"/>
        </w:rPr>
        <w:t>a shared access signature, which enables you to delegate restricted access to a container, blob, table</w:t>
      </w:r>
      <w:r>
        <w:rPr>
          <w:lang w:val="en"/>
        </w:rPr>
        <w:t>,</w:t>
      </w:r>
      <w:r w:rsidRPr="008E5FB2">
        <w:rPr>
          <w:lang w:val="en"/>
        </w:rPr>
        <w:t xml:space="preserve"> or queue resource by specifying the </w:t>
      </w:r>
      <w:r w:rsidRPr="006A513D">
        <w:rPr>
          <w:i/>
          <w:lang w:val="en"/>
        </w:rPr>
        <w:t>interval</w:t>
      </w:r>
      <w:r w:rsidRPr="008E5FB2">
        <w:rPr>
          <w:lang w:val="en"/>
        </w:rPr>
        <w:t xml:space="preserve"> for which the resources are available and the permissions that a client will have to it.</w:t>
      </w:r>
    </w:p>
    <w:p w14:paraId="31AFB2F5" w14:textId="68A9ABA2" w:rsidR="008E5FB2" w:rsidRPr="008E5FB2" w:rsidRDefault="00621420" w:rsidP="00621420">
      <w:pPr>
        <w:numPr>
          <w:ilvl w:val="0"/>
          <w:numId w:val="15"/>
        </w:numPr>
        <w:rPr>
          <w:lang w:val="en"/>
        </w:rPr>
      </w:pPr>
      <w:r w:rsidRPr="008E5FB2">
        <w:rPr>
          <w:lang w:val="en"/>
        </w:rPr>
        <w:t xml:space="preserve">You can </w:t>
      </w:r>
      <w:r>
        <w:rPr>
          <w:lang w:val="en"/>
        </w:rPr>
        <w:t xml:space="preserve">also </w:t>
      </w:r>
      <w:r w:rsidRPr="008E5FB2">
        <w:rPr>
          <w:lang w:val="en"/>
        </w:rPr>
        <w:t>use a stored access policy to manage shared ac</w:t>
      </w:r>
      <w:r>
        <w:rPr>
          <w:lang w:val="en"/>
        </w:rPr>
        <w:t>cess signatures for a container, blob</w:t>
      </w:r>
      <w:r w:rsidRPr="008E5FB2">
        <w:rPr>
          <w:lang w:val="en"/>
        </w:rPr>
        <w:t xml:space="preserve">, queue, or table. The stored access policy gives you an </w:t>
      </w:r>
      <w:r w:rsidRPr="0032712A">
        <w:rPr>
          <w:lang w:val="en"/>
        </w:rPr>
        <w:t>additional</w:t>
      </w:r>
      <w:r w:rsidRPr="008E5FB2">
        <w:rPr>
          <w:lang w:val="en"/>
        </w:rPr>
        <w:t xml:space="preserve"> measure of control ove</w:t>
      </w:r>
      <w:r>
        <w:rPr>
          <w:lang w:val="en"/>
        </w:rPr>
        <w:t xml:space="preserve">r your shared access signatures. </w:t>
      </w:r>
      <w:r w:rsidRPr="006A513D">
        <w:rPr>
          <w:lang w:val="en"/>
        </w:rPr>
        <w:t>You can use a stored access policy to change the start time, expir</w:t>
      </w:r>
      <w:r>
        <w:rPr>
          <w:lang w:val="en"/>
        </w:rPr>
        <w:t>ation</w:t>
      </w:r>
      <w:r w:rsidRPr="006A513D">
        <w:rPr>
          <w:lang w:val="en"/>
        </w:rPr>
        <w:t xml:space="preserve"> time, or permissions for a signature, or to revoke it after it has been issued</w:t>
      </w:r>
      <w:r w:rsidR="006A513D" w:rsidRPr="006A513D">
        <w:rPr>
          <w:lang w:val="en"/>
        </w:rPr>
        <w:t>.</w:t>
      </w:r>
    </w:p>
    <w:p w14:paraId="69BB2555" w14:textId="030ECDC0" w:rsidR="008349F7" w:rsidRPr="008349F7" w:rsidRDefault="00E41925" w:rsidP="005729D2">
      <w:pPr>
        <w:pStyle w:val="Heading3Numbered"/>
        <w:numPr>
          <w:ilvl w:val="2"/>
          <w:numId w:val="64"/>
        </w:numPr>
      </w:pPr>
      <w:bookmarkStart w:id="2046" w:name="_Toc414960121"/>
      <w:bookmarkStart w:id="2047" w:name="_Toc414969092"/>
      <w:bookmarkStart w:id="2048" w:name="_Toc415011314"/>
      <w:bookmarkStart w:id="2049" w:name="_Toc415040004"/>
      <w:bookmarkStart w:id="2050" w:name="_Toc415572359"/>
      <w:bookmarkStart w:id="2051" w:name="_Toc415735529"/>
      <w:bookmarkStart w:id="2052" w:name="_Toc415814110"/>
      <w:bookmarkStart w:id="2053" w:name="_Toc416343845"/>
      <w:bookmarkStart w:id="2054" w:name="_Toc416863116"/>
      <w:bookmarkStart w:id="2055" w:name="_Toc417314722"/>
      <w:bookmarkStart w:id="2056" w:name="_Toc417323739"/>
      <w:bookmarkStart w:id="2057" w:name="_Toc417326828"/>
      <w:bookmarkStart w:id="2058" w:name="_Toc417330376"/>
      <w:bookmarkStart w:id="2059" w:name="_Toc417394982"/>
      <w:bookmarkStart w:id="2060" w:name="_Toc417399199"/>
      <w:bookmarkStart w:id="2061" w:name="_Toc417399358"/>
      <w:bookmarkStart w:id="2062" w:name="_Toc417400405"/>
      <w:bookmarkStart w:id="2063" w:name="_Toc417401253"/>
      <w:bookmarkStart w:id="2064" w:name="_Toc417419566"/>
      <w:bookmarkStart w:id="2065" w:name="_Toc417457338"/>
      <w:bookmarkStart w:id="2066" w:name="_Toc417481916"/>
      <w:bookmarkStart w:id="2067" w:name="_Toc417482174"/>
      <w:bookmarkStart w:id="2068" w:name="_Toc417499893"/>
      <w:bookmarkStart w:id="2069" w:name="_Toc417502715"/>
      <w:bookmarkStart w:id="2070" w:name="_Toc417548255"/>
      <w:bookmarkStart w:id="2071" w:name="_Toc417594487"/>
      <w:bookmarkStart w:id="2072" w:name="_Toc417934388"/>
      <w:bookmarkStart w:id="2073" w:name="_Toc417935727"/>
      <w:bookmarkStart w:id="2074" w:name="_Toc417936189"/>
      <w:bookmarkStart w:id="2075" w:name="_Toc417946840"/>
      <w:bookmarkStart w:id="2076" w:name="_Toc417982457"/>
      <w:bookmarkStart w:id="2077" w:name="_Toc417985882"/>
      <w:bookmarkStart w:id="2078" w:name="_Toc418000603"/>
      <w:bookmarkStart w:id="2079" w:name="_Toc418003746"/>
      <w:bookmarkStart w:id="2080" w:name="_Toc418011951"/>
      <w:bookmarkStart w:id="2081" w:name="_Toc418014599"/>
      <w:bookmarkStart w:id="2082" w:name="_Toc418029935"/>
      <w:bookmarkStart w:id="2083" w:name="_Toc418036871"/>
      <w:bookmarkStart w:id="2084" w:name="_Toc418061336"/>
      <w:bookmarkStart w:id="2085" w:name="_Toc418080685"/>
      <w:bookmarkStart w:id="2086" w:name="_Toc418081858"/>
      <w:bookmarkStart w:id="2087" w:name="_Toc418083260"/>
      <w:bookmarkStart w:id="2088" w:name="_Toc418095480"/>
      <w:bookmarkStart w:id="2089" w:name="_Toc418156650"/>
      <w:bookmarkStart w:id="2090" w:name="_Toc418167569"/>
      <w:bookmarkStart w:id="2091" w:name="_Toc418185826"/>
      <w:bookmarkStart w:id="2092" w:name="_Toc422941534"/>
      <w:bookmarkStart w:id="2093" w:name="_Toc423116740"/>
      <w:bookmarkStart w:id="2094" w:name="_Toc423117773"/>
      <w:bookmarkStart w:id="2095" w:name="_Toc423117223"/>
      <w:bookmarkStart w:id="2096" w:name="_Toc431288816"/>
      <w:r>
        <w:t>Authentication</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74B4E3BA" w14:textId="609B9E49" w:rsidR="00621420" w:rsidRDefault="0068510E" w:rsidP="00621420">
      <w:pPr>
        <w:rPr>
          <w:rFonts w:ascii="Times New Roman" w:hAnsi="Times New Roman"/>
          <w:lang w:val="en"/>
        </w:rPr>
      </w:pPr>
      <w:r>
        <w:rPr>
          <w:lang w:val="en"/>
        </w:rPr>
        <w:t>Every</w:t>
      </w:r>
      <w:r w:rsidR="00621420">
        <w:rPr>
          <w:lang w:val="en"/>
        </w:rPr>
        <w:t xml:space="preserve"> request made to an Azure Storage account must be authenticated, unless it is an anonymous request against a public container or its blobs. There are two ways to authenticate a request against the storage accounts:</w:t>
      </w:r>
    </w:p>
    <w:p w14:paraId="5A914277" w14:textId="73992236" w:rsidR="00621420" w:rsidRDefault="00621420" w:rsidP="00621420">
      <w:pPr>
        <w:pStyle w:val="ListParagraph"/>
        <w:numPr>
          <w:ilvl w:val="0"/>
          <w:numId w:val="14"/>
        </w:numPr>
        <w:rPr>
          <w:lang w:val="en"/>
        </w:rPr>
      </w:pPr>
      <w:r>
        <w:rPr>
          <w:lang w:val="en"/>
        </w:rPr>
        <w:t>Use</w:t>
      </w:r>
      <w:r w:rsidRPr="00716A82">
        <w:rPr>
          <w:lang w:val="en"/>
        </w:rPr>
        <w:t xml:space="preserve"> the </w:t>
      </w:r>
      <w:r>
        <w:rPr>
          <w:lang w:val="en"/>
        </w:rPr>
        <w:t>s</w:t>
      </w:r>
      <w:r w:rsidRPr="00716A82">
        <w:rPr>
          <w:lang w:val="en"/>
        </w:rPr>
        <w:t xml:space="preserve">hared </w:t>
      </w:r>
      <w:r>
        <w:rPr>
          <w:lang w:val="en"/>
        </w:rPr>
        <w:t>k</w:t>
      </w:r>
      <w:r w:rsidRPr="00716A82">
        <w:rPr>
          <w:lang w:val="en"/>
        </w:rPr>
        <w:t xml:space="preserve">ey or </w:t>
      </w:r>
      <w:r>
        <w:rPr>
          <w:lang w:val="en"/>
        </w:rPr>
        <w:t>s</w:t>
      </w:r>
      <w:r w:rsidRPr="00716A82">
        <w:rPr>
          <w:lang w:val="en"/>
        </w:rPr>
        <w:t xml:space="preserve">hared </w:t>
      </w:r>
      <w:r>
        <w:rPr>
          <w:lang w:val="en"/>
        </w:rPr>
        <w:t>k</w:t>
      </w:r>
      <w:r w:rsidRPr="00716A82">
        <w:rPr>
          <w:lang w:val="en"/>
        </w:rPr>
        <w:t xml:space="preserve">ey </w:t>
      </w:r>
      <w:r>
        <w:rPr>
          <w:lang w:val="en"/>
        </w:rPr>
        <w:t>l</w:t>
      </w:r>
      <w:r w:rsidRPr="00716A82">
        <w:rPr>
          <w:lang w:val="en"/>
        </w:rPr>
        <w:t>ite authentication schemes for the Blob, Queue, Table, and File services.</w:t>
      </w:r>
    </w:p>
    <w:p w14:paraId="2AE81AC5" w14:textId="0408ED7A" w:rsidR="008349F7" w:rsidRPr="00E81F98" w:rsidRDefault="00621420" w:rsidP="00621420">
      <w:pPr>
        <w:pStyle w:val="ListParagraph"/>
        <w:numPr>
          <w:ilvl w:val="0"/>
          <w:numId w:val="14"/>
        </w:numPr>
        <w:spacing w:before="0" w:after="160" w:line="259" w:lineRule="auto"/>
      </w:pPr>
      <w:r w:rsidRPr="00621420">
        <w:rPr>
          <w:lang w:val="en"/>
        </w:rPr>
        <w:t>Create a shared access signature. A shared access signature includes the credentials required for authentication and the address of the resource being accessed. Because the shared access signature includes all data needed for authentication, it can be used to grant access to a Blob, Queue, or Table service, and it can be distributed separately from any code</w:t>
      </w:r>
      <w:r w:rsidR="0068510E" w:rsidRPr="00621420">
        <w:rPr>
          <w:lang w:val="en"/>
        </w:rPr>
        <w:t>.</w:t>
      </w:r>
    </w:p>
    <w:tbl>
      <w:tblPr>
        <w:tblStyle w:val="PlainTable11"/>
        <w:tblW w:w="0" w:type="auto"/>
        <w:tblLook w:val="04A0" w:firstRow="1" w:lastRow="0" w:firstColumn="1" w:lastColumn="0" w:noHBand="0" w:noVBand="1"/>
      </w:tblPr>
      <w:tblGrid>
        <w:gridCol w:w="2210"/>
        <w:gridCol w:w="7140"/>
      </w:tblGrid>
      <w:tr w:rsidR="008349F7" w14:paraId="335D07B9" w14:textId="77777777" w:rsidTr="008348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2557C63E" w14:textId="70D45F4E" w:rsidR="008349F7" w:rsidRPr="00F47607" w:rsidRDefault="00621420" w:rsidP="00567BE6">
            <w:pPr>
              <w:spacing w:line="240" w:lineRule="auto"/>
              <w:rPr>
                <w:color w:val="FFFFFF"/>
              </w:rPr>
            </w:pPr>
            <w:r>
              <w:rPr>
                <w:color w:val="FFFFFF"/>
              </w:rPr>
              <w:t>Feature References</w:t>
            </w:r>
          </w:p>
        </w:tc>
      </w:tr>
      <w:tr w:rsidR="008349F7" w14:paraId="37A9C2A0" w14:textId="77777777" w:rsidTr="008348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0" w:type="dxa"/>
          </w:tcPr>
          <w:p w14:paraId="12FE1DD3" w14:textId="3ABCB136" w:rsidR="008349F7" w:rsidRPr="00927F75" w:rsidRDefault="008349F7" w:rsidP="00567BE6">
            <w:pPr>
              <w:spacing w:line="240" w:lineRule="auto"/>
              <w:rPr>
                <w:sz w:val="20"/>
                <w:szCs w:val="18"/>
              </w:rPr>
            </w:pPr>
            <w:r w:rsidRPr="008349F7">
              <w:rPr>
                <w:sz w:val="20"/>
                <w:szCs w:val="18"/>
                <w:lang w:val="en"/>
              </w:rPr>
              <w:t>Manage Access to Azure Storage Resources</w:t>
            </w:r>
          </w:p>
        </w:tc>
        <w:tc>
          <w:tcPr>
            <w:tcW w:w="7060" w:type="dxa"/>
          </w:tcPr>
          <w:p w14:paraId="39CAE46B" w14:textId="3CEEF655" w:rsidR="008349F7" w:rsidRPr="00927F75" w:rsidRDefault="00872E47" w:rsidP="00567BE6">
            <w:pPr>
              <w:cnfStyle w:val="000000100000" w:firstRow="0" w:lastRow="0" w:firstColumn="0" w:lastColumn="0" w:oddVBand="0" w:evenVBand="0" w:oddHBand="1" w:evenHBand="0" w:firstRowFirstColumn="0" w:firstRowLastColumn="0" w:lastRowFirstColumn="0" w:lastRowLastColumn="0"/>
              <w:rPr>
                <w:sz w:val="20"/>
                <w:szCs w:val="18"/>
              </w:rPr>
            </w:pPr>
            <w:hyperlink r:id="rId137" w:history="1">
              <w:r w:rsidR="008349F7" w:rsidRPr="004E7FA6">
                <w:rPr>
                  <w:rStyle w:val="Hyperlink"/>
                  <w:sz w:val="20"/>
                  <w:szCs w:val="18"/>
                </w:rPr>
                <w:t>http://azure.microsoft.com/en-us/documentation/articles/storage-manage-access-to-resources/</w:t>
              </w:r>
            </w:hyperlink>
            <w:r w:rsidR="008349F7">
              <w:rPr>
                <w:sz w:val="20"/>
                <w:szCs w:val="18"/>
              </w:rPr>
              <w:t xml:space="preserve"> </w:t>
            </w:r>
          </w:p>
        </w:tc>
      </w:tr>
      <w:tr w:rsidR="008349F7" w14:paraId="2FA3CD65" w14:textId="77777777" w:rsidTr="00834840">
        <w:tc>
          <w:tcPr>
            <w:cnfStyle w:val="001000000000" w:firstRow="0" w:lastRow="0" w:firstColumn="1" w:lastColumn="0" w:oddVBand="0" w:evenVBand="0" w:oddHBand="0" w:evenHBand="0" w:firstRowFirstColumn="0" w:firstRowLastColumn="0" w:lastRowFirstColumn="0" w:lastRowLastColumn="0"/>
            <w:tcW w:w="2300" w:type="dxa"/>
          </w:tcPr>
          <w:p w14:paraId="069C413B" w14:textId="4518AA6F" w:rsidR="008349F7" w:rsidRPr="00E04BD8" w:rsidRDefault="008349F7" w:rsidP="00567BE6">
            <w:pPr>
              <w:spacing w:line="240" w:lineRule="auto"/>
              <w:rPr>
                <w:sz w:val="20"/>
              </w:rPr>
            </w:pPr>
            <w:r w:rsidRPr="00E04BD8">
              <w:rPr>
                <w:sz w:val="20"/>
                <w:szCs w:val="18"/>
                <w:lang w:val="en"/>
              </w:rPr>
              <w:t>Authenticating Access to Your Azure Storage Account</w:t>
            </w:r>
          </w:p>
        </w:tc>
        <w:tc>
          <w:tcPr>
            <w:tcW w:w="7060" w:type="dxa"/>
          </w:tcPr>
          <w:p w14:paraId="337F2464" w14:textId="329020C0" w:rsidR="008349F7" w:rsidRPr="00927F75" w:rsidRDefault="00872E47" w:rsidP="00567BE6">
            <w:pPr>
              <w:cnfStyle w:val="000000000000" w:firstRow="0" w:lastRow="0" w:firstColumn="0" w:lastColumn="0" w:oddVBand="0" w:evenVBand="0" w:oddHBand="0" w:evenHBand="0" w:firstRowFirstColumn="0" w:firstRowLastColumn="0" w:lastRowFirstColumn="0" w:lastRowLastColumn="0"/>
              <w:rPr>
                <w:sz w:val="20"/>
              </w:rPr>
            </w:pPr>
            <w:hyperlink r:id="rId138" w:history="1">
              <w:r w:rsidR="008349F7" w:rsidRPr="00E04BD8">
                <w:rPr>
                  <w:rStyle w:val="Hyperlink"/>
                  <w:sz w:val="20"/>
                  <w:szCs w:val="18"/>
                </w:rPr>
                <w:t>https://msdn.microsoft.com/en-us/library/azure/hh225339.aspx</w:t>
              </w:r>
            </w:hyperlink>
            <w:r w:rsidR="008349F7">
              <w:rPr>
                <w:sz w:val="20"/>
                <w:szCs w:val="18"/>
              </w:rPr>
              <w:t xml:space="preserve"> </w:t>
            </w:r>
          </w:p>
        </w:tc>
      </w:tr>
      <w:tr w:rsidR="008349F7" w14:paraId="664B1893" w14:textId="77777777" w:rsidTr="008348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0" w:type="dxa"/>
          </w:tcPr>
          <w:p w14:paraId="3A0B76F4" w14:textId="360FB02C" w:rsidR="008349F7" w:rsidRDefault="008349F7" w:rsidP="00567BE6">
            <w:pPr>
              <w:spacing w:line="240" w:lineRule="auto"/>
              <w:rPr>
                <w:sz w:val="20"/>
              </w:rPr>
            </w:pPr>
            <w:r w:rsidRPr="008349F7">
              <w:rPr>
                <w:sz w:val="20"/>
                <w:szCs w:val="18"/>
                <w:lang w:val="en"/>
              </w:rPr>
              <w:t>Authentication for the Azure Storage Services</w:t>
            </w:r>
            <w:r>
              <w:rPr>
                <w:sz w:val="20"/>
                <w:szCs w:val="18"/>
                <w:lang w:val="en"/>
              </w:rPr>
              <w:t xml:space="preserve"> REST API reference</w:t>
            </w:r>
          </w:p>
        </w:tc>
        <w:tc>
          <w:tcPr>
            <w:tcW w:w="7060" w:type="dxa"/>
          </w:tcPr>
          <w:p w14:paraId="64DF519E" w14:textId="728962A1" w:rsidR="008349F7" w:rsidRPr="00927F75" w:rsidRDefault="00872E47" w:rsidP="00567BE6">
            <w:pPr>
              <w:cnfStyle w:val="000000100000" w:firstRow="0" w:lastRow="0" w:firstColumn="0" w:lastColumn="0" w:oddVBand="0" w:evenVBand="0" w:oddHBand="1" w:evenHBand="0" w:firstRowFirstColumn="0" w:firstRowLastColumn="0" w:lastRowFirstColumn="0" w:lastRowLastColumn="0"/>
              <w:rPr>
                <w:sz w:val="20"/>
              </w:rPr>
            </w:pPr>
            <w:hyperlink r:id="rId139" w:history="1">
              <w:r w:rsidR="008349F7" w:rsidRPr="004E7FA6">
                <w:rPr>
                  <w:rStyle w:val="Hyperlink"/>
                  <w:sz w:val="20"/>
                  <w:szCs w:val="18"/>
                </w:rPr>
                <w:t>https://msdn.microsoft.com/library/azure/dd179428.aspx</w:t>
              </w:r>
            </w:hyperlink>
            <w:r w:rsidR="008349F7">
              <w:rPr>
                <w:sz w:val="20"/>
                <w:szCs w:val="18"/>
              </w:rPr>
              <w:t xml:space="preserve"> </w:t>
            </w:r>
          </w:p>
        </w:tc>
      </w:tr>
      <w:tr w:rsidR="008E5FB2" w14:paraId="103EC3CF" w14:textId="77777777" w:rsidTr="00834840">
        <w:tc>
          <w:tcPr>
            <w:cnfStyle w:val="001000000000" w:firstRow="0" w:lastRow="0" w:firstColumn="1" w:lastColumn="0" w:oddVBand="0" w:evenVBand="0" w:oddHBand="0" w:evenHBand="0" w:firstRowFirstColumn="0" w:firstRowLastColumn="0" w:lastRowFirstColumn="0" w:lastRowLastColumn="0"/>
            <w:tcW w:w="2300" w:type="dxa"/>
          </w:tcPr>
          <w:p w14:paraId="75F50BF4" w14:textId="015664F0" w:rsidR="008E5FB2" w:rsidRPr="008349F7" w:rsidRDefault="00E86534" w:rsidP="00DC68D0">
            <w:pPr>
              <w:spacing w:line="240" w:lineRule="auto"/>
              <w:rPr>
                <w:sz w:val="20"/>
                <w:szCs w:val="18"/>
                <w:lang w:val="en"/>
              </w:rPr>
            </w:pPr>
            <w:r>
              <w:rPr>
                <w:sz w:val="20"/>
                <w:szCs w:val="18"/>
                <w:lang w:val="en"/>
              </w:rPr>
              <w:t>Microsoft Azure</w:t>
            </w:r>
            <w:r w:rsidR="008E5FB2" w:rsidRPr="008E5FB2">
              <w:rPr>
                <w:sz w:val="20"/>
                <w:szCs w:val="18"/>
                <w:lang w:val="en"/>
              </w:rPr>
              <w:t xml:space="preserve"> Storage Explorers</w:t>
            </w:r>
          </w:p>
        </w:tc>
        <w:tc>
          <w:tcPr>
            <w:tcW w:w="7060" w:type="dxa"/>
          </w:tcPr>
          <w:p w14:paraId="54D87CF6" w14:textId="607DF9BA" w:rsidR="008E5FB2" w:rsidRDefault="00872E47" w:rsidP="00DC68D0">
            <w:pPr>
              <w:cnfStyle w:val="000000000000" w:firstRow="0" w:lastRow="0" w:firstColumn="0" w:lastColumn="0" w:oddVBand="0" w:evenVBand="0" w:oddHBand="0" w:evenHBand="0" w:firstRowFirstColumn="0" w:firstRowLastColumn="0" w:lastRowFirstColumn="0" w:lastRowLastColumn="0"/>
              <w:rPr>
                <w:sz w:val="20"/>
                <w:szCs w:val="18"/>
              </w:rPr>
            </w:pPr>
            <w:hyperlink r:id="rId140" w:history="1">
              <w:r w:rsidR="00EC6826">
                <w:rPr>
                  <w:rStyle w:val="Hyperlink"/>
                  <w:rFonts w:eastAsiaTheme="minorHAnsi" w:cs="Segoe UI"/>
                  <w:sz w:val="20"/>
                  <w:szCs w:val="20"/>
                </w:rPr>
                <w:t>http://blogs.msdn.com/b/windowsazurestorage/archive/2014/03/11/windows-azure-storage-explorers-2014.aspx</w:t>
              </w:r>
            </w:hyperlink>
            <w:r w:rsidR="00D45D39">
              <w:rPr>
                <w:rFonts w:eastAsiaTheme="minorHAnsi" w:cs="Segoe UI"/>
                <w:color w:val="000000"/>
                <w:sz w:val="20"/>
                <w:szCs w:val="20"/>
              </w:rPr>
              <w:t xml:space="preserve"> </w:t>
            </w:r>
            <w:hyperlink r:id="rId141" w:history="1"/>
          </w:p>
        </w:tc>
      </w:tr>
      <w:tr w:rsidR="0080284A" w14:paraId="5F6CA1AD" w14:textId="77777777" w:rsidTr="008348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0" w:type="dxa"/>
          </w:tcPr>
          <w:p w14:paraId="4A5F3D24" w14:textId="3EFD389E" w:rsidR="0080284A" w:rsidRPr="008E5FB2" w:rsidRDefault="0080284A" w:rsidP="00DC68D0">
            <w:pPr>
              <w:spacing w:line="240" w:lineRule="auto"/>
              <w:rPr>
                <w:sz w:val="20"/>
                <w:szCs w:val="18"/>
                <w:lang w:val="en"/>
              </w:rPr>
            </w:pPr>
            <w:r w:rsidRPr="0080284A">
              <w:rPr>
                <w:sz w:val="20"/>
                <w:szCs w:val="18"/>
                <w:lang w:val="en"/>
              </w:rPr>
              <w:t>Constructing the Shared Access Signature URI</w:t>
            </w:r>
          </w:p>
        </w:tc>
        <w:tc>
          <w:tcPr>
            <w:tcW w:w="7060" w:type="dxa"/>
          </w:tcPr>
          <w:p w14:paraId="42B9728F" w14:textId="0D870245" w:rsidR="0080284A" w:rsidRDefault="00872E47" w:rsidP="00D45D39">
            <w:pPr>
              <w:cnfStyle w:val="000000100000" w:firstRow="0" w:lastRow="0" w:firstColumn="0" w:lastColumn="0" w:oddVBand="0" w:evenVBand="0" w:oddHBand="1" w:evenHBand="0" w:firstRowFirstColumn="0" w:firstRowLastColumn="0" w:lastRowFirstColumn="0" w:lastRowLastColumn="0"/>
              <w:rPr>
                <w:rFonts w:eastAsiaTheme="minorHAnsi" w:cs="Segoe UI"/>
                <w:color w:val="000000"/>
                <w:sz w:val="20"/>
                <w:szCs w:val="20"/>
              </w:rPr>
            </w:pPr>
            <w:hyperlink r:id="rId142" w:history="1">
              <w:r w:rsidR="0080284A" w:rsidRPr="00717AD5">
                <w:rPr>
                  <w:rStyle w:val="Hyperlink"/>
                  <w:rFonts w:eastAsiaTheme="minorHAnsi" w:cs="Segoe UI"/>
                  <w:sz w:val="20"/>
                  <w:szCs w:val="20"/>
                </w:rPr>
                <w:t>https://msdn.microsoft.com/en-us/library/azure/dn140255.aspx</w:t>
              </w:r>
            </w:hyperlink>
            <w:r w:rsidR="0080284A">
              <w:rPr>
                <w:rFonts w:eastAsiaTheme="minorHAnsi" w:cs="Segoe UI"/>
                <w:color w:val="000000"/>
                <w:sz w:val="20"/>
                <w:szCs w:val="20"/>
              </w:rPr>
              <w:t xml:space="preserve"> </w:t>
            </w:r>
          </w:p>
        </w:tc>
      </w:tr>
    </w:tbl>
    <w:p w14:paraId="69FABB1B" w14:textId="77777777" w:rsidR="008349F7" w:rsidRDefault="008349F7" w:rsidP="008349F7"/>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8349F7" w14:paraId="38A24576" w14:textId="77777777" w:rsidTr="00567BE6">
        <w:trPr>
          <w:trHeight w:val="423"/>
        </w:trPr>
        <w:tc>
          <w:tcPr>
            <w:tcW w:w="666" w:type="dxa"/>
          </w:tcPr>
          <w:p w14:paraId="52E8F6BD" w14:textId="77777777" w:rsidR="008349F7" w:rsidRDefault="008349F7" w:rsidP="00567BE6">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587C807A" wp14:editId="79A7BA4F">
                      <wp:extent cx="200025" cy="180975"/>
                      <wp:effectExtent l="57150" t="19050" r="28575" b="104775"/>
                      <wp:docPr id="41086" name="Octagon 41086"/>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4A39782" id="Octagon 41086"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P68cwIAAFIFAAAOAAAAZHJzL2Uyb0RvYy54bWysVFtr2zAUfh/sPwi9L7az9BbqlJCSMSht&#10;WTv6rMhSIpB0NEmJk/36HcmOG7pCYezFPkfnO/fL9c3eaLITPiiwNa1GJSXCcmiUXdf05/PyyyUl&#10;ITLbMA1W1PQgAr2Zff503bqpGMMGdCM8QSM2TFtX002MbloUgW+EYWEETlgUSvCGRWT9umg8a9G6&#10;0cW4LM+LFnzjPHARAr7edkI6y/alFDw+SBlEJLqmGFvMX5+/q/QtZtdsuvbMbRTvw2D/EIVhyqLT&#10;wdQti4xsvfrLlFHcQwAZRxxMAVIqLnIOmE1VvsnmacOcyLlgcYIbyhT+n1l+v3v0RDU1nVTl5Tkl&#10;lhls0wOPbA2WdI9YpNaFKWKf3KPvuYBkyngvvUl/zIXsc2EPQ2HFPhKOj9ipcnxGCUdRdVleXZyl&#10;whevys6H+E2AIYmoKXTuc0XZ7i7EDn1EJXcBtGqWSuvM+PVqoT3ZMWzzYoHecmfRwQmsSDl0UWcq&#10;HrRIytr+EBJLgHFW2WMePjHYY5wLG8d9xBmd1CT6HhS/fqzY45OqyIM5KI8/Vh40smewcVA2yoJ/&#10;z4COVR+y7PBY8JO8E7mC5oDd99CtRXB8qbD+dyzER+ZxD3BjcLfjA36khhYb01OUbMD/fu894XE8&#10;UUpJi3tV0/Bry7ygRH+3OLhX1WSSFjEzk7OLMTL+VLI6lditWQD2tMIr4ngmEz7qIyk9mBc8AfPk&#10;FUXMcvRdUx79kVnEbt/xiHAxn2cYLp9j8c4+OX7sehqu5/0L864fwojTew/HHWTTN4PYYVM/LMy3&#10;EaTKU/pa177euLh51Psjky7DKZ9Rr6dw9gc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Cr3P68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4E4E9B22" w14:textId="3BF71BBF" w:rsidR="008349F7" w:rsidRDefault="00621420" w:rsidP="00567BE6">
            <w:pPr>
              <w:rPr>
                <w:lang w:eastAsia="en-US"/>
              </w:rPr>
            </w:pPr>
            <w:r w:rsidRPr="00192064">
              <w:rPr>
                <w:b/>
                <w:lang w:eastAsia="en-US"/>
              </w:rPr>
              <w:t>Mandatory</w:t>
            </w:r>
            <w:r>
              <w:rPr>
                <w:lang w:eastAsia="en-US"/>
              </w:rPr>
              <w:t>: You need the Azure Storage access key to access the storage account through any GUI tools, such as Azure Storage Explorer or any third-party tools.</w:t>
            </w:r>
          </w:p>
        </w:tc>
      </w:tr>
      <w:tr w:rsidR="00CD016C" w14:paraId="31DC0828" w14:textId="77777777" w:rsidTr="00CD016C">
        <w:trPr>
          <w:trHeight w:val="423"/>
        </w:trPr>
        <w:tc>
          <w:tcPr>
            <w:tcW w:w="666" w:type="dxa"/>
          </w:tcPr>
          <w:p w14:paraId="571C2CD1" w14:textId="77777777" w:rsidR="00CD016C" w:rsidRDefault="00CD016C" w:rsidP="00CD016C">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6131AF0F" wp14:editId="32A36C80">
                      <wp:extent cx="200025" cy="180975"/>
                      <wp:effectExtent l="57150" t="19050" r="28575" b="104775"/>
                      <wp:docPr id="41080" name="Octagon 41080"/>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DD51992" id="Octagon 41080"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ny5cwIAAFIFAAAOAAAAZHJzL2Uyb0RvYy54bWysVN1r2zAQfx/sfxB6X2xn6dqGOiWkZAxK&#10;W9qOPiuylAgknSYpcbK/fifZcUNXKIy92He67999XF3vjSY74YMCW9NqVFIiLIdG2XVNfz4vv1xQ&#10;EiKzDdNgRU0PItDr2edPV62bijFsQDfCE3Riw7R1Nd3E6KZFEfhGGBZG4IRFoQRvWETWr4vGsxa9&#10;G12My/Jb0YJvnAcuQsDXm05IZ9m/lILHeymDiETXFHOL+evzd5W+xeyKTdeeuY3ifRrsH7IwTFkM&#10;Ori6YZGRrVd/uTKKewgg44iDKUBKxUWuAaupyjfVPG2YE7kWBCe4Aabw/9zyu92DJ6qp6aQqLxAh&#10;ywy26Z5HtgZLukcEqXVhirpP7sH3XEAyVbyX3qQ/1kL2GdjDAKzYR8LxETtVjs8o4SiqLsrL87ME&#10;fPFq7HyI3wUYkoiaQhc+I8p2tyF22ketFC6AVs1SaZ0Zv14ttCc7hm1eLDBa7iwGOFErUg1d1pmK&#10;By2SsbaPQiIEmGeVI+bhE4M/xrmwcdxnnLWTmcTYg+HXjw17/WQq8mAOxuOPjQeLHBlsHIyNsuDf&#10;c6Bj1acsO30E/KTuRK6gOWD3PXRrERxfKsT/loX4wDzuAc4D7na8x4/U0GJjeoqSDfjf770nfRxP&#10;lFLS4l7VNPzaMi8o0T8sDu5lNZmkRczM5Ox8jIw/laxOJXZrFoA9rfCKOJ7JpB/1kZQezAuegHmK&#10;iiJmOcauKY/+yCxit+94RLiYz7MaLp9j8dY+OX7sehqu5/0L864fwojTewfHHWTTN4PY6aZ+WJhv&#10;I0iVp/QV1x5vXNw86v2RSZfhlM9ar6dw9gc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Dutny5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61C2BFA1" w14:textId="77777777" w:rsidR="00621420" w:rsidRDefault="00CD016C" w:rsidP="00621420">
            <w:pPr>
              <w:rPr>
                <w:lang w:eastAsia="en-US"/>
              </w:rPr>
            </w:pPr>
            <w:r w:rsidRPr="00192064">
              <w:rPr>
                <w:b/>
                <w:lang w:eastAsia="en-US"/>
              </w:rPr>
              <w:t>Mandatory</w:t>
            </w:r>
            <w:r>
              <w:rPr>
                <w:lang w:eastAsia="en-US"/>
              </w:rPr>
              <w:t xml:space="preserve">:  </w:t>
            </w:r>
            <w:r w:rsidR="00621420">
              <w:rPr>
                <w:lang w:eastAsia="en-US"/>
              </w:rPr>
              <w:t>The p</w:t>
            </w:r>
            <w:r w:rsidR="00621420" w:rsidRPr="00556DAB">
              <w:rPr>
                <w:lang w:eastAsia="en-US"/>
              </w:rPr>
              <w:t>rimary access key</w:t>
            </w:r>
            <w:r w:rsidR="00621420">
              <w:rPr>
                <w:lang w:eastAsia="en-US"/>
              </w:rPr>
              <w:t xml:space="preserve"> and secondary access key for storage accounts should be changed periodically to mitigate unauthorized access. </w:t>
            </w:r>
          </w:p>
          <w:p w14:paraId="073E7560" w14:textId="77777777" w:rsidR="00621420" w:rsidRDefault="00621420" w:rsidP="005729D2">
            <w:pPr>
              <w:pStyle w:val="ListParagraph"/>
              <w:numPr>
                <w:ilvl w:val="0"/>
                <w:numId w:val="60"/>
              </w:numPr>
              <w:rPr>
                <w:lang w:eastAsia="en-US"/>
              </w:rPr>
            </w:pPr>
            <w:r w:rsidRPr="003C4F41">
              <w:rPr>
                <w:rFonts w:eastAsiaTheme="minorHAnsi"/>
                <w:lang w:eastAsia="en-US"/>
              </w:rPr>
              <w:t xml:space="preserve">Ensure to update applications that use the key with the new key as you change each key. </w:t>
            </w:r>
          </w:p>
          <w:p w14:paraId="02298BAB" w14:textId="77777777" w:rsidR="00621420" w:rsidRPr="003C4F41" w:rsidRDefault="00621420" w:rsidP="005729D2">
            <w:pPr>
              <w:pStyle w:val="ListParagraph"/>
              <w:numPr>
                <w:ilvl w:val="0"/>
                <w:numId w:val="60"/>
              </w:numPr>
              <w:rPr>
                <w:lang w:eastAsia="en-US"/>
              </w:rPr>
            </w:pPr>
            <w:r w:rsidRPr="003C4F41">
              <w:rPr>
                <w:rFonts w:eastAsiaTheme="minorHAnsi"/>
                <w:lang w:eastAsia="en-US"/>
              </w:rPr>
              <w:t xml:space="preserve">Do not change both storage account access keys at the same time. This can result in loss of access by applications. </w:t>
            </w:r>
          </w:p>
          <w:p w14:paraId="0EDFBD8C" w14:textId="77777777" w:rsidR="00621420" w:rsidRDefault="00621420" w:rsidP="00621420">
            <w:pPr>
              <w:rPr>
                <w:lang w:eastAsia="en-US"/>
              </w:rPr>
            </w:pPr>
            <w:r>
              <w:rPr>
                <w:lang w:eastAsia="en-US"/>
              </w:rPr>
              <w:t xml:space="preserve">We suggest changing each key (primary or secondary) every 60 to 120 days. This allows for an ongoing monthly or quarterly key change cadence that affects only one key at a time. </w:t>
            </w:r>
          </w:p>
          <w:p w14:paraId="38774D99" w14:textId="77777777" w:rsidR="00621420" w:rsidRDefault="00621420" w:rsidP="00621420">
            <w:pPr>
              <w:rPr>
                <w:lang w:eastAsia="en-US"/>
              </w:rPr>
            </w:pPr>
            <w:r>
              <w:rPr>
                <w:lang w:eastAsia="en-US"/>
              </w:rPr>
              <w:t xml:space="preserve">Additional events that could cause you to regenerate keys include when a security incident occurs, if you fear compromise of storage account keys, or when key administrative personnel leave your organization. </w:t>
            </w:r>
          </w:p>
          <w:p w14:paraId="53E8B7BA" w14:textId="77777777" w:rsidR="00621420" w:rsidRDefault="00621420" w:rsidP="00621420">
            <w:pPr>
              <w:rPr>
                <w:lang w:eastAsia="en-US"/>
              </w:rPr>
            </w:pPr>
            <w:r>
              <w:rPr>
                <w:lang w:eastAsia="en-US"/>
              </w:rPr>
              <w:t xml:space="preserve">Comparisons can be made within each organization regarding password changes for critical service accounts or credentials in Active Directory and other authentication systems. </w:t>
            </w:r>
          </w:p>
          <w:p w14:paraId="65776EA1" w14:textId="21DD4FE9" w:rsidR="00CD016C" w:rsidRDefault="00621420" w:rsidP="00621420">
            <w:pPr>
              <w:rPr>
                <w:lang w:eastAsia="en-US"/>
              </w:rPr>
            </w:pPr>
            <w:r>
              <w:rPr>
                <w:lang w:eastAsia="en-US"/>
              </w:rPr>
              <w:t>As a general practice, Azure storage account and vault keys should follow similar practices and procedures currently established within the organization.</w:t>
            </w:r>
          </w:p>
        </w:tc>
      </w:tr>
      <w:tr w:rsidR="00E77D86" w14:paraId="01682F62" w14:textId="77777777" w:rsidTr="00586ECE">
        <w:trPr>
          <w:trHeight w:val="423"/>
        </w:trPr>
        <w:tc>
          <w:tcPr>
            <w:tcW w:w="666" w:type="dxa"/>
          </w:tcPr>
          <w:p w14:paraId="7D5CE6CA" w14:textId="77777777" w:rsidR="00E77D86" w:rsidRDefault="00E77D86" w:rsidP="00586ECE">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442176" behindDoc="0" locked="0" layoutInCell="1" allowOverlap="1" wp14:anchorId="14EE6931" wp14:editId="42863175">
                      <wp:simplePos x="0" y="0"/>
                      <wp:positionH relativeFrom="column">
                        <wp:posOffset>66675</wp:posOffset>
                      </wp:positionH>
                      <wp:positionV relativeFrom="paragraph">
                        <wp:posOffset>90170</wp:posOffset>
                      </wp:positionV>
                      <wp:extent cx="209550" cy="180975"/>
                      <wp:effectExtent l="57150" t="19050" r="57150" b="104775"/>
                      <wp:wrapNone/>
                      <wp:docPr id="62" name="Isosceles Tri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56A6C94A" id="Isosceles Triangle 62" o:spid="_x0000_s1026" type="#_x0000_t5" style="position:absolute;margin-left:5.25pt;margin-top:7.1pt;width:16.5pt;height:14.25pt;z-index:25144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y0OhQIAAHEFAAAOAAAAZHJzL2Uyb0RvYy54bWysVFtP2zAUfp+0/2D5fSTpKJeIFFWgTkgV&#10;IGDi2XXs1prj49lu0+7X79i5wBgS0rQ8WHbOd+7fOReX+0aTnXBegalocZRTIgyHWpl1Rb8/Lb6c&#10;UeIDMzXTYERFD8LTy9nnTxetLcUENqBr4QgaMb5sbUU3IdgyyzzfiIb5I7DCoFCCa1jAp1tntWMt&#10;Wm90Nsnzk6wFV1sHXHiPf687IZ0l+1IKHu6k9CIQXVGMLaTTpXMVz2x2wcq1Y3ajeB8G+4coGqYM&#10;Oh1NXbPAyNapv0w1ijvwIMMRhyYDKRUXKQfMpsjfZPO4YVakXLA43o5l8v/PLL/d3Tui6oqeTCgx&#10;rMEe3XjwXGjhyZNTzKy1ICjESrXWl6jwaO9dzNXbJfAfHgXZH5L48D1mL10TsZgp2aeyH8ayi30g&#10;HH9O8vPpFJvDUVSc5een0+gsY+WgbJ0P3wQ0JF4qGvqoUsHZbulDBx9gKTbQql4ordPDrVdX2pEd&#10;QxYs8MtT49GDf4GlHLqwUwLhoEVU1uZBSKwQBlokj4mbYrTHOBcmnPQhJ3RUk+h7VPz6sWKPj6oi&#10;8XZUnnysPGokz2DCqNwoA+49AzoUfciyw/dd9F3esQQrqA9IDgfd1HjLFwobsGQ+3DOHY4I9w9EP&#10;d3hIDW1Fob9RsgH3673/EY/sRSklLY5dRf3PLXOCEn1jkNfnxfFxnNP0OJ6eTvDhXktWryVm21wB&#10;9rTAJWN5ukZ80MNVOmiecUPMo1cUMcPRd0V5cMPjKnTrAHcMF/N5guFsWhaW5tHyoeuRXE/7Z+bs&#10;wEKk7y0MI8rKN0TssLEfBubbAFIllr7Uta83znXier+D4uJ4/U6ol005+w0AAP//AwBQSwMEFAAG&#10;AAgAAAAhADU8QjDZAAAABwEAAA8AAABkcnMvZG93bnJldi54bWxMjs1OwzAQhO9IvIO1SFxQ65CG&#10;tgpxKoSSI6ooPIATb36EvY5itw1vz3KC02g0o5mvOCzOigvOYfSk4HGdgEBqvRmpV/D5Ua/2IELU&#10;ZLT1hAq+McChvL0pdG78ld7xcoq94BEKuVYwxDjlUoZ2QKfD2k9InHV+djqynXtpZn3lcWdlmiRb&#10;6fRI/DDoCV8HbL9OZ6fAN8ux29S7/UPtJvvWVVXmjpVS93fLyzOIiEv8K8MvPqNDyUyNP5MJwrJP&#10;nrjJmqUgOM827BvWdAeyLOR//vIHAAD//wMAUEsBAi0AFAAGAAgAAAAhALaDOJL+AAAA4QEAABMA&#10;AAAAAAAAAAAAAAAAAAAAAFtDb250ZW50X1R5cGVzXS54bWxQSwECLQAUAAYACAAAACEAOP0h/9YA&#10;AACUAQAACwAAAAAAAAAAAAAAAAAvAQAAX3JlbHMvLnJlbHNQSwECLQAUAAYACAAAACEAXnctDoUC&#10;AABxBQAADgAAAAAAAAAAAAAAAAAuAgAAZHJzL2Uyb0RvYy54bWxQSwECLQAUAAYACAAAACEANTxC&#10;MNkAAAAHAQAADwAAAAAAAAAAAAAAAADfBAAAZHJzL2Rvd25yZXYueG1sUEsFBgAAAAAEAAQA8wAA&#10;AOUFAAAAAA==&#10;" fillcolor="yellow" strokecolor="#70ad47 [3209]" strokeweight=".5pt">
                      <v:path arrowok="t"/>
                    </v:shape>
                  </w:pict>
                </mc:Fallback>
              </mc:AlternateContent>
            </w:r>
          </w:p>
        </w:tc>
        <w:tc>
          <w:tcPr>
            <w:tcW w:w="8604" w:type="dxa"/>
          </w:tcPr>
          <w:p w14:paraId="037A8956" w14:textId="77777777" w:rsidR="003221BF" w:rsidRDefault="00E77D86" w:rsidP="00586ECE">
            <w:pPr>
              <w:rPr>
                <w:rFonts w:eastAsiaTheme="minorHAnsi"/>
                <w:lang w:eastAsia="en-US"/>
              </w:rPr>
            </w:pPr>
            <w:r>
              <w:rPr>
                <w:rFonts w:eastAsiaTheme="minorHAnsi"/>
                <w:b/>
                <w:lang w:eastAsia="en-US"/>
              </w:rPr>
              <w:t xml:space="preserve">Recommended: </w:t>
            </w:r>
            <w:r>
              <w:rPr>
                <w:rFonts w:eastAsiaTheme="minorHAnsi"/>
                <w:lang w:eastAsia="en-US"/>
              </w:rPr>
              <w:t xml:space="preserve"> </w:t>
            </w:r>
          </w:p>
          <w:p w14:paraId="4EEBCB35" w14:textId="77777777" w:rsidR="00621420" w:rsidRPr="003221BF" w:rsidRDefault="00621420" w:rsidP="005729D2">
            <w:pPr>
              <w:pStyle w:val="ListParagraph"/>
              <w:numPr>
                <w:ilvl w:val="0"/>
                <w:numId w:val="162"/>
              </w:numPr>
              <w:rPr>
                <w:rFonts w:eastAsiaTheme="minorHAnsi"/>
                <w:lang w:val="en" w:eastAsia="en-US"/>
              </w:rPr>
            </w:pPr>
            <w:r>
              <w:rPr>
                <w:rFonts w:eastAsiaTheme="minorHAnsi"/>
                <w:lang w:eastAsia="en-US"/>
              </w:rPr>
              <w:t xml:space="preserve">Only regenerate storage account keys if absolutely necessary. </w:t>
            </w:r>
            <w:r w:rsidRPr="00A2627A">
              <w:rPr>
                <w:rFonts w:eastAsiaTheme="minorHAnsi"/>
                <w:lang w:val="en" w:eastAsia="en-US"/>
              </w:rPr>
              <w:t>Regenerating your access keys affects virtual machines, media services, and any applications that are dependent on the storage account. All clients that use the access key to access the storage account must be updated to use the new key.</w:t>
            </w:r>
          </w:p>
          <w:p w14:paraId="700EC353" w14:textId="46DFA2BF" w:rsidR="00E77D86" w:rsidRDefault="00621420" w:rsidP="005729D2">
            <w:pPr>
              <w:pStyle w:val="ListParagraph"/>
              <w:numPr>
                <w:ilvl w:val="0"/>
                <w:numId w:val="162"/>
              </w:numPr>
              <w:rPr>
                <w:lang w:eastAsia="en-US"/>
              </w:rPr>
            </w:pPr>
            <w:r w:rsidRPr="003221BF">
              <w:rPr>
                <w:rFonts w:eastAsiaTheme="minorHAnsi"/>
                <w:lang w:eastAsia="en-US"/>
              </w:rPr>
              <w:t xml:space="preserve">If you require more granular control over blob resources, or if you </w:t>
            </w:r>
            <w:r>
              <w:rPr>
                <w:rFonts w:eastAsiaTheme="minorHAnsi"/>
                <w:lang w:eastAsia="en-US"/>
              </w:rPr>
              <w:t>want</w:t>
            </w:r>
            <w:r w:rsidRPr="003221BF">
              <w:rPr>
                <w:rFonts w:eastAsiaTheme="minorHAnsi"/>
                <w:lang w:eastAsia="en-US"/>
              </w:rPr>
              <w:t xml:space="preserve"> to provide permissions for operations other than </w:t>
            </w:r>
            <w:r>
              <w:rPr>
                <w:rFonts w:eastAsiaTheme="minorHAnsi"/>
                <w:lang w:eastAsia="en-US"/>
              </w:rPr>
              <w:t>R</w:t>
            </w:r>
            <w:r w:rsidRPr="003221BF">
              <w:rPr>
                <w:rFonts w:eastAsiaTheme="minorHAnsi"/>
                <w:lang w:eastAsia="en-US"/>
              </w:rPr>
              <w:t xml:space="preserve">ead operations, you can use a </w:t>
            </w:r>
            <w:r>
              <w:rPr>
                <w:rFonts w:eastAsiaTheme="minorHAnsi"/>
                <w:lang w:eastAsia="en-US"/>
              </w:rPr>
              <w:t>s</w:t>
            </w:r>
            <w:r w:rsidRPr="003221BF">
              <w:rPr>
                <w:rFonts w:eastAsiaTheme="minorHAnsi"/>
                <w:lang w:eastAsia="en-US"/>
              </w:rPr>
              <w:t xml:space="preserve">hared </w:t>
            </w:r>
            <w:r>
              <w:rPr>
                <w:rFonts w:eastAsiaTheme="minorHAnsi"/>
                <w:lang w:eastAsia="en-US"/>
              </w:rPr>
              <w:t>a</w:t>
            </w:r>
            <w:r w:rsidRPr="003221BF">
              <w:rPr>
                <w:rFonts w:eastAsiaTheme="minorHAnsi"/>
                <w:lang w:eastAsia="en-US"/>
              </w:rPr>
              <w:t xml:space="preserve">ccess </w:t>
            </w:r>
            <w:r>
              <w:rPr>
                <w:rFonts w:eastAsiaTheme="minorHAnsi"/>
                <w:lang w:eastAsia="en-US"/>
              </w:rPr>
              <w:t>s</w:t>
            </w:r>
            <w:r w:rsidRPr="003221BF">
              <w:rPr>
                <w:rFonts w:eastAsiaTheme="minorHAnsi"/>
                <w:lang w:eastAsia="en-US"/>
              </w:rPr>
              <w:t>ignature to make a resource accessible to users</w:t>
            </w:r>
            <w:r w:rsidR="003221BF" w:rsidRPr="003221BF">
              <w:rPr>
                <w:rFonts w:eastAsiaTheme="minorHAnsi"/>
                <w:lang w:eastAsia="en-US"/>
              </w:rPr>
              <w:t>.</w:t>
            </w:r>
          </w:p>
        </w:tc>
      </w:tr>
      <w:tr w:rsidR="008349F7" w14:paraId="6715B09B" w14:textId="77777777" w:rsidTr="00567BE6">
        <w:trPr>
          <w:trHeight w:val="423"/>
        </w:trPr>
        <w:tc>
          <w:tcPr>
            <w:tcW w:w="666" w:type="dxa"/>
          </w:tcPr>
          <w:p w14:paraId="5AB6FEE9" w14:textId="77777777" w:rsidR="008349F7" w:rsidRDefault="008349F7" w:rsidP="00567BE6">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396096" behindDoc="0" locked="0" layoutInCell="1" allowOverlap="1" wp14:anchorId="2E4786D9" wp14:editId="31242FDE">
                      <wp:simplePos x="0" y="0"/>
                      <wp:positionH relativeFrom="column">
                        <wp:posOffset>66675</wp:posOffset>
                      </wp:positionH>
                      <wp:positionV relativeFrom="paragraph">
                        <wp:posOffset>90170</wp:posOffset>
                      </wp:positionV>
                      <wp:extent cx="180975" cy="180975"/>
                      <wp:effectExtent l="57150" t="19050" r="9525" b="104775"/>
                      <wp:wrapNone/>
                      <wp:docPr id="41088" name="Oval 410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2AFABC25" id="Oval 41088" o:spid="_x0000_s1026" style="position:absolute;margin-left:5.25pt;margin-top:7.1pt;width:14.25pt;height:14.25pt;z-index:25139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N4ZfQIAAGgFAAAOAAAAZHJzL2Uyb0RvYy54bWysVN1P2zAQf5+0/8Hy+0hSyoCIFHUgpkkV&#10;oMHEs+vYrTXb59lu0+6v39lJAxuTkKa9WHe+331/XFzujCZb4YMC29DqqKREWA6tsquGfnu8+XBG&#10;SYjMtkyDFQ3di0AvZ+/fXXSuFhNYg26FJ2jEhrpzDV3H6OqiCHwtDAtH4IRFoQRvWETWr4rWsw6t&#10;G11MyvJj0YFvnQcuQsDf615IZ9m+lILHOymDiEQ3FGOL+fX5Xaa3mF2weuWZWys+hMH+IQrDlEWn&#10;o6lrFhnZePXKlFHcQwAZjziYAqRUXOQcMJuq/CObhzVzIueCxQluLFP4f2b57fbeE9U2dFqVZ9gs&#10;ywy26W7LNOl/sEKdCzUCH9y9TzkGtwD+PaCg+E2SmDBgdtKbhMUMyS6Xez+WW+wi4fhZnZXnpyeU&#10;cBQNdLLJ6oOy8yF+FmBIIhoqtFYupIKwmm0XIfboAyqHBlq1N0rrzPjV8kp7grmg7/JTeZL7jQ7C&#10;Myyn0Eed4497LZKytl+FxMKkOLPHPJJitMc4FzYepwFCgxmd1CT6HhWP31Yc8ElV5HEdlSdvK48a&#10;2TPYOCobZcH/zYCO1RCy7PFDE0OfdyrBEto9zoSHflmC4zcK679gId4zj9uBe4QbH+/wkRq6hsJA&#10;UbIG//Nv/wmPQ4tSSjrctoaGHxvmBSX6i8VxPq+m07SemZmenE6Q8S8ly5cSuzFXgD2t8LY4nsmE&#10;j/pASg/mCQ/DPHlFEbMcfTeUR39grmJ/BfC0cDGfZxiupGNxYR8cP3Q9Ddfj7ol5NwxhxOm9hcNm&#10;vhrEHpv6YWG+iSBVntLnug71xnXOgzOcnnQvXvIZ9XwgZ78AAAD//wMAUEsDBBQABgAIAAAAIQDC&#10;Gp8i3gAAAAcBAAAPAAAAZHJzL2Rvd25yZXYueG1sTI9BS8NAEIXvgv9hGcGL2E1iqzZmU0QQFL2Y&#10;VtTbNDsmwexsyG7b+O8dT3oaHu/x5nvFanK92tMYOs8G0lkCirj2tuPGwGZ9f34NKkRki71nMvBN&#10;AVbl8VGBufUHfqF9FRslJRxyNNDGOORah7olh2HmB2LxPv3oMIocG21HPEi563WWJJfaYcfyocWB&#10;7lqqv6qdM/BRbZ7dOn1yb4/pw4LO3vsl2ldjTk+m2xtQkab4F4ZffEGHUpi2fsc2qF50spCk3HkG&#10;SvyLpUzbGphnV6DLQv/nL38AAAD//wMAUEsBAi0AFAAGAAgAAAAhALaDOJL+AAAA4QEAABMAAAAA&#10;AAAAAAAAAAAAAAAAAFtDb250ZW50X1R5cGVzXS54bWxQSwECLQAUAAYACAAAACEAOP0h/9YAAACU&#10;AQAACwAAAAAAAAAAAAAAAAAvAQAAX3JlbHMvLnJlbHNQSwECLQAUAAYACAAAACEAEMjeGX0CAABo&#10;BQAADgAAAAAAAAAAAAAAAAAuAgAAZHJzL2Uyb0RvYy54bWxQSwECLQAUAAYACAAAACEAwhqfIt4A&#10;AAAHAQAADwAAAAAAAAAAAAAAAADXBAAAZHJzL2Rvd25yZXYueG1sUEsFBgAAAAAEAAQA8wAAAOIF&#10;AAAAAA==&#10;" fillcolor="#00b050" strokecolor="#a5a5a5 [3206]" strokeweight=".5pt">
                      <v:stroke joinstyle="miter"/>
                      <v:path arrowok="t"/>
                    </v:oval>
                  </w:pict>
                </mc:Fallback>
              </mc:AlternateContent>
            </w:r>
          </w:p>
        </w:tc>
        <w:tc>
          <w:tcPr>
            <w:tcW w:w="8604" w:type="dxa"/>
          </w:tcPr>
          <w:p w14:paraId="395E05EA" w14:textId="5C3902BD" w:rsidR="008349F7" w:rsidRDefault="008349F7" w:rsidP="00567BE6">
            <w:pPr>
              <w:rPr>
                <w:lang w:eastAsia="en-US"/>
              </w:rPr>
            </w:pPr>
            <w:r>
              <w:rPr>
                <w:rFonts w:eastAsiaTheme="minorHAnsi"/>
                <w:b/>
                <w:lang w:eastAsia="en-US"/>
              </w:rPr>
              <w:t xml:space="preserve">Optional: </w:t>
            </w:r>
            <w:r>
              <w:rPr>
                <w:rFonts w:eastAsiaTheme="minorHAnsi"/>
                <w:lang w:eastAsia="en-US"/>
              </w:rPr>
              <w:t xml:space="preserve"> </w:t>
            </w:r>
            <w:r w:rsidR="00621420" w:rsidRPr="00E77D86">
              <w:rPr>
                <w:rFonts w:eastAsiaTheme="minorHAnsi"/>
                <w:lang w:eastAsia="en-US"/>
              </w:rPr>
              <w:t xml:space="preserve">A container or blob </w:t>
            </w:r>
            <w:r w:rsidR="00621420">
              <w:rPr>
                <w:rFonts w:eastAsiaTheme="minorHAnsi"/>
                <w:lang w:eastAsia="en-US"/>
              </w:rPr>
              <w:t>can</w:t>
            </w:r>
            <w:r w:rsidR="00621420" w:rsidRPr="00E77D86">
              <w:rPr>
                <w:rFonts w:eastAsiaTheme="minorHAnsi"/>
                <w:lang w:eastAsia="en-US"/>
              </w:rPr>
              <w:t xml:space="preserve"> be made available for </w:t>
            </w:r>
            <w:r w:rsidR="00621420" w:rsidRPr="00E83CEA">
              <w:rPr>
                <w:rFonts w:eastAsiaTheme="minorHAnsi"/>
                <w:lang w:eastAsia="en-US"/>
              </w:rPr>
              <w:t>public</w:t>
            </w:r>
            <w:r w:rsidR="00621420" w:rsidRPr="00E77D86">
              <w:rPr>
                <w:rFonts w:eastAsiaTheme="minorHAnsi"/>
                <w:i/>
                <w:lang w:eastAsia="en-US"/>
              </w:rPr>
              <w:t xml:space="preserve"> </w:t>
            </w:r>
            <w:r w:rsidR="00621420" w:rsidRPr="00E83CEA">
              <w:rPr>
                <w:rFonts w:eastAsiaTheme="minorHAnsi"/>
                <w:lang w:eastAsia="en-US"/>
              </w:rPr>
              <w:t>access</w:t>
            </w:r>
            <w:r w:rsidR="00621420" w:rsidRPr="00E77D86">
              <w:rPr>
                <w:rFonts w:eastAsiaTheme="minorHAnsi"/>
                <w:lang w:eastAsia="en-US"/>
              </w:rPr>
              <w:t xml:space="preserve"> by set</w:t>
            </w:r>
            <w:r w:rsidR="00621420">
              <w:rPr>
                <w:rFonts w:eastAsiaTheme="minorHAnsi"/>
                <w:lang w:eastAsia="en-US"/>
              </w:rPr>
              <w:t xml:space="preserve">ting a container's permissions. </w:t>
            </w:r>
            <w:r w:rsidR="00621420" w:rsidRPr="00E77D86">
              <w:rPr>
                <w:rFonts w:eastAsiaTheme="minorHAnsi"/>
                <w:lang w:eastAsia="en-US"/>
              </w:rPr>
              <w:t xml:space="preserve">A container, blob, queue, or table may be available for </w:t>
            </w:r>
            <w:r w:rsidR="00621420" w:rsidRPr="00E83CEA">
              <w:rPr>
                <w:rFonts w:eastAsiaTheme="minorHAnsi"/>
                <w:lang w:eastAsia="en-US"/>
              </w:rPr>
              <w:t>signed access</w:t>
            </w:r>
            <w:r w:rsidR="00621420" w:rsidRPr="00E77D86">
              <w:rPr>
                <w:rFonts w:eastAsiaTheme="minorHAnsi"/>
                <w:lang w:eastAsia="en-US"/>
              </w:rPr>
              <w:t xml:space="preserve"> via a shared access signature </w:t>
            </w:r>
            <w:r w:rsidR="00621420">
              <w:rPr>
                <w:rFonts w:eastAsiaTheme="minorHAnsi"/>
                <w:lang w:eastAsia="en-US"/>
              </w:rPr>
              <w:t>(</w:t>
            </w:r>
            <w:r w:rsidR="00621420" w:rsidRPr="00E77D86">
              <w:rPr>
                <w:rFonts w:eastAsiaTheme="minorHAnsi"/>
                <w:lang w:eastAsia="en-US"/>
              </w:rPr>
              <w:t>a shared access signature is authenticated through a different mechanism</w:t>
            </w:r>
            <w:r w:rsidR="00621420">
              <w:rPr>
                <w:rFonts w:eastAsiaTheme="minorHAnsi"/>
                <w:lang w:eastAsia="en-US"/>
              </w:rPr>
              <w:t>)</w:t>
            </w:r>
            <w:r w:rsidR="00621420" w:rsidRPr="00E77D86">
              <w:rPr>
                <w:rFonts w:eastAsiaTheme="minorHAnsi"/>
                <w:lang w:eastAsia="en-US"/>
              </w:rPr>
              <w:t>.</w:t>
            </w:r>
          </w:p>
        </w:tc>
      </w:tr>
    </w:tbl>
    <w:p w14:paraId="462518E7" w14:textId="77777777" w:rsidR="008349F7" w:rsidRDefault="008349F7" w:rsidP="008349F7"/>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8349F7" w14:paraId="657F706C" w14:textId="77777777" w:rsidTr="00567BE6">
        <w:tc>
          <w:tcPr>
            <w:tcW w:w="9360" w:type="dxa"/>
            <w:shd w:val="clear" w:color="auto" w:fill="008AC8"/>
          </w:tcPr>
          <w:p w14:paraId="183933A8" w14:textId="77777777" w:rsidR="008349F7" w:rsidRPr="00F47607" w:rsidRDefault="008349F7" w:rsidP="00567BE6">
            <w:pPr>
              <w:spacing w:line="240" w:lineRule="auto"/>
              <w:rPr>
                <w:color w:val="FFFFFF"/>
              </w:rPr>
            </w:pPr>
            <w:r>
              <w:rPr>
                <w:color w:val="FFFFFF"/>
              </w:rPr>
              <w:t>Design Guidance</w:t>
            </w:r>
          </w:p>
        </w:tc>
      </w:tr>
    </w:tbl>
    <w:p w14:paraId="5A0CD608" w14:textId="044CFD04" w:rsidR="00696A2A" w:rsidRDefault="00696A2A" w:rsidP="00696A2A">
      <w:r>
        <w:t>When you design s</w:t>
      </w:r>
      <w:r w:rsidRPr="00EA2F0D">
        <w:t xml:space="preserve">torage </w:t>
      </w:r>
      <w:r>
        <w:t>security, consider the following:</w:t>
      </w:r>
    </w:p>
    <w:tbl>
      <w:tblPr>
        <w:tblStyle w:val="PlainTable11"/>
        <w:tblW w:w="0" w:type="auto"/>
        <w:tblLook w:val="0420" w:firstRow="1" w:lastRow="0" w:firstColumn="0" w:lastColumn="0" w:noHBand="0" w:noVBand="1"/>
      </w:tblPr>
      <w:tblGrid>
        <w:gridCol w:w="2271"/>
        <w:gridCol w:w="3194"/>
        <w:gridCol w:w="3885"/>
      </w:tblGrid>
      <w:tr w:rsidR="00696A2A" w:rsidRPr="00834840" w14:paraId="7A8D0447" w14:textId="77777777" w:rsidTr="00930F52">
        <w:trPr>
          <w:cnfStyle w:val="100000000000" w:firstRow="1" w:lastRow="0" w:firstColumn="0" w:lastColumn="0" w:oddVBand="0" w:evenVBand="0" w:oddHBand="0" w:evenHBand="0" w:firstRowFirstColumn="0" w:firstRowLastColumn="0" w:lastRowFirstColumn="0" w:lastRowLastColumn="0"/>
          <w:tblHeader/>
        </w:trPr>
        <w:tc>
          <w:tcPr>
            <w:tcW w:w="0" w:type="auto"/>
            <w:shd w:val="clear" w:color="auto" w:fill="808080" w:themeFill="background1" w:themeFillShade="80"/>
            <w:hideMark/>
          </w:tcPr>
          <w:p w14:paraId="397BCA72" w14:textId="77777777" w:rsidR="00696A2A" w:rsidRPr="00834840" w:rsidRDefault="00696A2A" w:rsidP="009B46DA">
            <w:pPr>
              <w:spacing w:line="240" w:lineRule="auto"/>
              <w:rPr>
                <w:rFonts w:eastAsia="Calibri"/>
                <w:color w:val="FFFFFF"/>
                <w:sz w:val="20"/>
                <w:lang w:eastAsia="en-AU"/>
              </w:rPr>
            </w:pPr>
            <w:r w:rsidRPr="00834840">
              <w:rPr>
                <w:rFonts w:eastAsia="Calibri"/>
                <w:color w:val="FFFFFF"/>
                <w:sz w:val="20"/>
                <w:lang w:eastAsia="en-AU"/>
              </w:rPr>
              <w:t>Capability Considerations</w:t>
            </w:r>
          </w:p>
          <w:p w14:paraId="5D125393" w14:textId="77777777" w:rsidR="00696A2A" w:rsidRPr="00834840" w:rsidRDefault="00696A2A" w:rsidP="009B46DA">
            <w:pPr>
              <w:spacing w:line="240" w:lineRule="auto"/>
              <w:rPr>
                <w:rFonts w:ascii="Times New Roman" w:hAnsi="Times New Roman"/>
                <w:color w:val="FFFFFF"/>
                <w:sz w:val="20"/>
                <w:lang w:val="en-AU" w:eastAsia="en-AU"/>
              </w:rPr>
            </w:pPr>
          </w:p>
        </w:tc>
        <w:tc>
          <w:tcPr>
            <w:tcW w:w="0" w:type="auto"/>
            <w:shd w:val="clear" w:color="auto" w:fill="808080" w:themeFill="background1" w:themeFillShade="80"/>
            <w:hideMark/>
          </w:tcPr>
          <w:p w14:paraId="231D1847" w14:textId="77777777" w:rsidR="00696A2A" w:rsidRPr="00834840" w:rsidRDefault="00696A2A" w:rsidP="009B46DA">
            <w:pPr>
              <w:spacing w:line="240" w:lineRule="auto"/>
              <w:rPr>
                <w:rFonts w:eastAsia="Calibri"/>
                <w:color w:val="FFFFFF"/>
                <w:sz w:val="20"/>
                <w:lang w:eastAsia="en-AU"/>
              </w:rPr>
            </w:pPr>
            <w:r w:rsidRPr="00834840">
              <w:rPr>
                <w:rFonts w:eastAsia="Calibri"/>
                <w:color w:val="FFFFFF"/>
                <w:sz w:val="20"/>
                <w:lang w:eastAsia="en-AU"/>
              </w:rPr>
              <w:t>Capability Decision Points</w:t>
            </w:r>
          </w:p>
          <w:p w14:paraId="2E392885" w14:textId="77777777" w:rsidR="00696A2A" w:rsidRPr="00834840" w:rsidRDefault="00696A2A" w:rsidP="009B46DA">
            <w:pPr>
              <w:spacing w:line="240" w:lineRule="auto"/>
              <w:rPr>
                <w:rFonts w:eastAsia="Calibri"/>
                <w:color w:val="FFFFFF"/>
                <w:sz w:val="20"/>
                <w:lang w:val="en-AU" w:eastAsia="en-AU"/>
              </w:rPr>
            </w:pPr>
          </w:p>
        </w:tc>
        <w:tc>
          <w:tcPr>
            <w:tcW w:w="0" w:type="auto"/>
            <w:shd w:val="clear" w:color="auto" w:fill="808080" w:themeFill="background1" w:themeFillShade="80"/>
            <w:hideMark/>
          </w:tcPr>
          <w:p w14:paraId="61D45027" w14:textId="2BC5D366" w:rsidR="00696A2A" w:rsidRPr="00834840" w:rsidRDefault="00696A2A" w:rsidP="009B46DA">
            <w:pPr>
              <w:spacing w:line="240" w:lineRule="auto"/>
              <w:rPr>
                <w:rFonts w:eastAsia="Calibri"/>
                <w:color w:val="FFFFFF"/>
                <w:sz w:val="20"/>
                <w:lang w:eastAsia="en-AU"/>
              </w:rPr>
            </w:pPr>
            <w:r w:rsidRPr="00834840">
              <w:rPr>
                <w:rFonts w:eastAsia="Calibri"/>
                <w:color w:val="FFFFFF"/>
                <w:sz w:val="20"/>
                <w:lang w:eastAsia="en-AU"/>
              </w:rPr>
              <w:t xml:space="preserve">Capability Models in </w:t>
            </w:r>
            <w:r w:rsidR="00621420">
              <w:rPr>
                <w:rFonts w:eastAsia="Calibri"/>
                <w:color w:val="FFFFFF"/>
                <w:sz w:val="20"/>
                <w:lang w:eastAsia="en-AU"/>
              </w:rPr>
              <w:t>U</w:t>
            </w:r>
            <w:r w:rsidRPr="00834840">
              <w:rPr>
                <w:rFonts w:eastAsia="Calibri"/>
                <w:color w:val="FFFFFF"/>
                <w:sz w:val="20"/>
                <w:lang w:eastAsia="en-AU"/>
              </w:rPr>
              <w:t xml:space="preserve">se </w:t>
            </w:r>
          </w:p>
          <w:p w14:paraId="2913E034" w14:textId="77777777" w:rsidR="00696A2A" w:rsidRPr="00834840" w:rsidRDefault="00696A2A" w:rsidP="009B46DA">
            <w:pPr>
              <w:spacing w:line="240" w:lineRule="auto"/>
              <w:rPr>
                <w:rFonts w:eastAsia="Calibri"/>
                <w:color w:val="FFFFFF"/>
                <w:sz w:val="20"/>
                <w:lang w:val="en-AU" w:eastAsia="en-AU"/>
              </w:rPr>
            </w:pPr>
          </w:p>
        </w:tc>
      </w:tr>
      <w:tr w:rsidR="00621420" w14:paraId="3F775C27" w14:textId="77777777" w:rsidTr="00834840">
        <w:trPr>
          <w:cnfStyle w:val="000000100000" w:firstRow="0" w:lastRow="0" w:firstColumn="0" w:lastColumn="0" w:oddVBand="0" w:evenVBand="0" w:oddHBand="1" w:evenHBand="0" w:firstRowFirstColumn="0" w:firstRowLastColumn="0" w:lastRowFirstColumn="0" w:lastRowLastColumn="0"/>
        </w:trPr>
        <w:tc>
          <w:tcPr>
            <w:tcW w:w="0" w:type="auto"/>
          </w:tcPr>
          <w:p w14:paraId="0EEA0C62" w14:textId="67061EEB" w:rsidR="00621420" w:rsidRPr="007D32D2" w:rsidRDefault="00621420" w:rsidP="00621420">
            <w:pPr>
              <w:pStyle w:val="NormalWeb"/>
              <w:rPr>
                <w:rFonts w:ascii="Segoe UI" w:hAnsi="Segoe UI" w:cs="Segoe UI"/>
                <w:sz w:val="20"/>
                <w:szCs w:val="20"/>
                <w:lang w:val="en-AU" w:eastAsia="en-AU"/>
              </w:rPr>
            </w:pPr>
            <w:r>
              <w:rPr>
                <w:rFonts w:ascii="Segoe UI" w:hAnsi="Segoe UI" w:cs="Segoe UI"/>
                <w:sz w:val="20"/>
                <w:szCs w:val="20"/>
                <w:lang w:val="en-AU" w:eastAsia="en-AU"/>
              </w:rPr>
              <w:t>Storage accounts can be created with internal (private) or external (public) access.</w:t>
            </w:r>
          </w:p>
        </w:tc>
        <w:tc>
          <w:tcPr>
            <w:tcW w:w="0" w:type="auto"/>
          </w:tcPr>
          <w:p w14:paraId="43E9D75B" w14:textId="697D3358" w:rsidR="00621420" w:rsidRPr="007D32D2" w:rsidRDefault="00621420" w:rsidP="00621420">
            <w:pPr>
              <w:rPr>
                <w:sz w:val="20"/>
                <w:szCs w:val="20"/>
              </w:rPr>
            </w:pPr>
            <w:r>
              <w:rPr>
                <w:sz w:val="20"/>
                <w:szCs w:val="20"/>
              </w:rPr>
              <w:t>The decision about what type of access control to apply to the storage accounts depends entirely on the type of data stored in those accounts and how that data needs to be accessed and protected.</w:t>
            </w:r>
          </w:p>
        </w:tc>
        <w:tc>
          <w:tcPr>
            <w:tcW w:w="0" w:type="auto"/>
          </w:tcPr>
          <w:p w14:paraId="25322A17" w14:textId="77777777" w:rsidR="00621420" w:rsidRDefault="00621420" w:rsidP="00621420">
            <w:pPr>
              <w:rPr>
                <w:sz w:val="20"/>
                <w:szCs w:val="20"/>
              </w:rPr>
            </w:pPr>
            <w:r>
              <w:rPr>
                <w:sz w:val="20"/>
                <w:szCs w:val="20"/>
              </w:rPr>
              <w:t xml:space="preserve">This is something that is unique to every customer in Azure. In general, the guidance is to always start with internal (private) access only, then find reasons (exceptions) why the data may need external (public) access. </w:t>
            </w:r>
          </w:p>
          <w:p w14:paraId="7CF78A08" w14:textId="10857B05" w:rsidR="00621420" w:rsidRPr="007D32D2" w:rsidRDefault="00621420" w:rsidP="00621420">
            <w:pPr>
              <w:rPr>
                <w:sz w:val="20"/>
                <w:szCs w:val="20"/>
              </w:rPr>
            </w:pPr>
            <w:r>
              <w:rPr>
                <w:sz w:val="20"/>
                <w:szCs w:val="20"/>
              </w:rPr>
              <w:t>Most companies do not need to have external access directly to their data.</w:t>
            </w:r>
          </w:p>
        </w:tc>
      </w:tr>
      <w:tr w:rsidR="00621420" w14:paraId="37948609" w14:textId="77777777" w:rsidTr="00834840">
        <w:tc>
          <w:tcPr>
            <w:tcW w:w="0" w:type="auto"/>
          </w:tcPr>
          <w:p w14:paraId="1DA2CEB2" w14:textId="2DF0E861" w:rsidR="00621420" w:rsidRDefault="00621420" w:rsidP="00621420">
            <w:pPr>
              <w:pStyle w:val="NormalWeb"/>
              <w:rPr>
                <w:rFonts w:ascii="Segoe UI" w:hAnsi="Segoe UI" w:cs="Segoe UI"/>
                <w:sz w:val="20"/>
                <w:szCs w:val="20"/>
                <w:lang w:val="en-AU" w:eastAsia="en-AU"/>
              </w:rPr>
            </w:pPr>
            <w:r>
              <w:rPr>
                <w:rFonts w:ascii="Segoe UI" w:hAnsi="Segoe UI" w:cs="Segoe UI"/>
                <w:sz w:val="20"/>
                <w:szCs w:val="20"/>
                <w:lang w:val="en-AU" w:eastAsia="en-AU"/>
              </w:rPr>
              <w:t>Storage keys can be used to protect storage accounts against unauthorized usage.</w:t>
            </w:r>
          </w:p>
        </w:tc>
        <w:tc>
          <w:tcPr>
            <w:tcW w:w="0" w:type="auto"/>
          </w:tcPr>
          <w:p w14:paraId="05B662E5" w14:textId="77777777" w:rsidR="00621420" w:rsidRDefault="00621420" w:rsidP="00621420">
            <w:pPr>
              <w:rPr>
                <w:sz w:val="20"/>
                <w:szCs w:val="20"/>
              </w:rPr>
            </w:pPr>
            <w:r>
              <w:rPr>
                <w:sz w:val="20"/>
                <w:szCs w:val="20"/>
              </w:rPr>
              <w:t>Storage keys should be treated like highly privileged credentials (such as Domain Admin credentials). They should be limited to a few selected, trusted resources within the organization</w:t>
            </w:r>
            <w:r w:rsidDel="00AA6837">
              <w:rPr>
                <w:sz w:val="20"/>
                <w:szCs w:val="20"/>
              </w:rPr>
              <w:t>.</w:t>
            </w:r>
            <w:r>
              <w:rPr>
                <w:sz w:val="20"/>
                <w:szCs w:val="20"/>
              </w:rPr>
              <w:t xml:space="preserve"> </w:t>
            </w:r>
          </w:p>
          <w:p w14:paraId="09E03B04" w14:textId="40FCAAA8" w:rsidR="00621420" w:rsidRPr="004807F3" w:rsidRDefault="00621420" w:rsidP="00621420">
            <w:pPr>
              <w:rPr>
                <w:sz w:val="20"/>
                <w:szCs w:val="20"/>
              </w:rPr>
            </w:pPr>
            <w:r>
              <w:rPr>
                <w:sz w:val="20"/>
                <w:szCs w:val="20"/>
              </w:rPr>
              <w:t>If you need to grant access to storage accounts w</w:t>
            </w:r>
            <w:r w:rsidRPr="004807F3">
              <w:rPr>
                <w:sz w:val="20"/>
                <w:szCs w:val="20"/>
              </w:rPr>
              <w:t>ithout</w:t>
            </w:r>
            <w:r>
              <w:rPr>
                <w:sz w:val="20"/>
                <w:szCs w:val="20"/>
              </w:rPr>
              <w:t xml:space="preserve"> sharing the storage keys, there are other methods to accomplish this.</w:t>
            </w:r>
          </w:p>
        </w:tc>
        <w:tc>
          <w:tcPr>
            <w:tcW w:w="0" w:type="auto"/>
          </w:tcPr>
          <w:p w14:paraId="01E88EA5" w14:textId="77777777" w:rsidR="00621420" w:rsidRPr="004807F3" w:rsidRDefault="00621420" w:rsidP="00621420">
            <w:pPr>
              <w:rPr>
                <w:sz w:val="20"/>
                <w:szCs w:val="20"/>
              </w:rPr>
            </w:pPr>
            <w:r w:rsidRPr="004807F3">
              <w:rPr>
                <w:sz w:val="20"/>
                <w:szCs w:val="20"/>
              </w:rPr>
              <w:t xml:space="preserve">To permit access to storage resources without giving out your access keys, you can use a shared access signature. A shared access signature provides access to a resource in your account for an interval that you define and with the permissions that you specify. </w:t>
            </w:r>
          </w:p>
          <w:p w14:paraId="51B50D62" w14:textId="77777777" w:rsidR="00621420" w:rsidRPr="004807F3" w:rsidRDefault="00621420" w:rsidP="00621420">
            <w:pPr>
              <w:rPr>
                <w:sz w:val="20"/>
                <w:szCs w:val="20"/>
              </w:rPr>
            </w:pPr>
            <w:r w:rsidRPr="004807F3">
              <w:rPr>
                <w:sz w:val="20"/>
                <w:szCs w:val="20"/>
              </w:rPr>
              <w:t xml:space="preserve">If your service requires that you exercise more granular control over blob resources, or if you </w:t>
            </w:r>
            <w:r>
              <w:rPr>
                <w:sz w:val="20"/>
                <w:szCs w:val="20"/>
              </w:rPr>
              <w:t>want</w:t>
            </w:r>
            <w:r w:rsidRPr="004807F3">
              <w:rPr>
                <w:sz w:val="20"/>
                <w:szCs w:val="20"/>
              </w:rPr>
              <w:t xml:space="preserve"> to provide permissions for operations other than </w:t>
            </w:r>
            <w:r>
              <w:rPr>
                <w:sz w:val="20"/>
                <w:szCs w:val="20"/>
              </w:rPr>
              <w:t>R</w:t>
            </w:r>
            <w:r w:rsidRPr="004807F3">
              <w:rPr>
                <w:sz w:val="20"/>
                <w:szCs w:val="20"/>
              </w:rPr>
              <w:t xml:space="preserve">ead operations, you can use a </w:t>
            </w:r>
            <w:r>
              <w:rPr>
                <w:sz w:val="20"/>
                <w:szCs w:val="20"/>
              </w:rPr>
              <w:t>s</w:t>
            </w:r>
            <w:r w:rsidRPr="004807F3">
              <w:rPr>
                <w:sz w:val="20"/>
                <w:szCs w:val="20"/>
              </w:rPr>
              <w:t xml:space="preserve">hared </w:t>
            </w:r>
            <w:r>
              <w:rPr>
                <w:sz w:val="20"/>
                <w:szCs w:val="20"/>
              </w:rPr>
              <w:t>a</w:t>
            </w:r>
            <w:r w:rsidRPr="004807F3">
              <w:rPr>
                <w:sz w:val="20"/>
                <w:szCs w:val="20"/>
              </w:rPr>
              <w:t xml:space="preserve">ccess </w:t>
            </w:r>
            <w:r>
              <w:rPr>
                <w:sz w:val="20"/>
                <w:szCs w:val="20"/>
              </w:rPr>
              <w:t>s</w:t>
            </w:r>
            <w:r w:rsidRPr="004807F3">
              <w:rPr>
                <w:sz w:val="20"/>
                <w:szCs w:val="20"/>
              </w:rPr>
              <w:t>ignature to make a resource accessible to users.</w:t>
            </w:r>
          </w:p>
          <w:p w14:paraId="29CF4059" w14:textId="77777777" w:rsidR="00621420" w:rsidRDefault="00621420" w:rsidP="00621420">
            <w:pPr>
              <w:rPr>
                <w:sz w:val="20"/>
                <w:szCs w:val="20"/>
              </w:rPr>
            </w:pPr>
            <w:r w:rsidRPr="004807F3">
              <w:rPr>
                <w:sz w:val="20"/>
                <w:szCs w:val="20"/>
              </w:rPr>
              <w:t xml:space="preserve">You can specify that a container should be public, in which case all </w:t>
            </w:r>
            <w:r>
              <w:rPr>
                <w:sz w:val="20"/>
                <w:szCs w:val="20"/>
              </w:rPr>
              <w:t>R</w:t>
            </w:r>
            <w:r w:rsidRPr="004807F3">
              <w:rPr>
                <w:sz w:val="20"/>
                <w:szCs w:val="20"/>
              </w:rPr>
              <w:t xml:space="preserve">ead operations </w:t>
            </w:r>
            <w:r>
              <w:rPr>
                <w:sz w:val="20"/>
                <w:szCs w:val="20"/>
              </w:rPr>
              <w:t>i</w:t>
            </w:r>
            <w:r w:rsidRPr="004807F3">
              <w:rPr>
                <w:sz w:val="20"/>
                <w:szCs w:val="20"/>
              </w:rPr>
              <w:t xml:space="preserve">n the container and any blobs within it are available for anonymous access. </w:t>
            </w:r>
          </w:p>
          <w:p w14:paraId="7A44AC57" w14:textId="0EE4555A" w:rsidR="00621420" w:rsidRDefault="00621420" w:rsidP="00621420">
            <w:pPr>
              <w:rPr>
                <w:sz w:val="20"/>
                <w:szCs w:val="20"/>
              </w:rPr>
            </w:pPr>
            <w:r w:rsidRPr="004807F3">
              <w:rPr>
                <w:sz w:val="20"/>
                <w:szCs w:val="20"/>
              </w:rPr>
              <w:t>An anonymous request does not need to be authenticated, so a user can perform the operation without providing account credentials.</w:t>
            </w:r>
          </w:p>
        </w:tc>
      </w:tr>
    </w:tbl>
    <w:p w14:paraId="3990CE0C" w14:textId="43D1627E" w:rsidR="007F5E9C" w:rsidRDefault="007F5E9C" w:rsidP="005729D2">
      <w:pPr>
        <w:pStyle w:val="Heading3Numbered"/>
        <w:numPr>
          <w:ilvl w:val="2"/>
          <w:numId w:val="64"/>
        </w:numPr>
      </w:pPr>
      <w:bookmarkStart w:id="2097" w:name="_Toc417926794"/>
      <w:bookmarkStart w:id="2098" w:name="_Toc417927693"/>
      <w:bookmarkStart w:id="2099" w:name="_Toc417928972"/>
      <w:bookmarkStart w:id="2100" w:name="_Toc417929438"/>
      <w:bookmarkStart w:id="2101" w:name="_Toc417929237"/>
      <w:bookmarkStart w:id="2102" w:name="_Toc417931258"/>
      <w:bookmarkStart w:id="2103" w:name="_Toc417930421"/>
      <w:bookmarkStart w:id="2104" w:name="_Toc417930845"/>
      <w:bookmarkStart w:id="2105" w:name="_Toc417932301"/>
      <w:bookmarkStart w:id="2106" w:name="_Toc417932784"/>
      <w:bookmarkStart w:id="2107" w:name="_Toc417931942"/>
      <w:bookmarkStart w:id="2108" w:name="_Toc417933460"/>
      <w:bookmarkStart w:id="2109" w:name="_Toc417932558"/>
      <w:bookmarkStart w:id="2110" w:name="_Toc417934389"/>
      <w:bookmarkStart w:id="2111" w:name="_Toc417935029"/>
      <w:bookmarkStart w:id="2112" w:name="_Toc417935728"/>
      <w:bookmarkStart w:id="2113" w:name="_Toc417936190"/>
      <w:bookmarkStart w:id="2114" w:name="_Toc417942253"/>
      <w:bookmarkStart w:id="2115" w:name="_Toc417942732"/>
      <w:bookmarkStart w:id="2116" w:name="_Toc417945076"/>
      <w:bookmarkStart w:id="2117" w:name="_Toc417946404"/>
      <w:bookmarkStart w:id="2118" w:name="_Toc417947066"/>
      <w:bookmarkStart w:id="2119" w:name="_Toc417947767"/>
      <w:bookmarkStart w:id="2120" w:name="_Toc417950816"/>
      <w:bookmarkStart w:id="2121" w:name="_Toc417974885"/>
      <w:bookmarkStart w:id="2122" w:name="_Toc417975602"/>
      <w:bookmarkStart w:id="2123" w:name="_Toc417976665"/>
      <w:bookmarkStart w:id="2124" w:name="_Toc417977753"/>
      <w:bookmarkStart w:id="2125" w:name="_Toc418156651"/>
      <w:bookmarkStart w:id="2126" w:name="_Toc418167570"/>
      <w:bookmarkStart w:id="2127" w:name="_Toc418185827"/>
      <w:bookmarkStart w:id="2128" w:name="_Toc422941535"/>
      <w:bookmarkStart w:id="2129" w:name="_Toc423116741"/>
      <w:bookmarkStart w:id="2130" w:name="_Toc423117774"/>
      <w:bookmarkStart w:id="2131" w:name="_Toc423117224"/>
      <w:bookmarkStart w:id="2132" w:name="_Toc431288817"/>
      <w:bookmarkStart w:id="2133" w:name="_Toc414892094"/>
      <w:bookmarkStart w:id="2134" w:name="_Toc414960122"/>
      <w:bookmarkStart w:id="2135" w:name="_Toc414969093"/>
      <w:bookmarkStart w:id="2136" w:name="_Toc415011315"/>
      <w:bookmarkStart w:id="2137" w:name="_Toc415040005"/>
      <w:bookmarkStart w:id="2138" w:name="_Toc415572360"/>
      <w:bookmarkStart w:id="2139" w:name="_Toc415735530"/>
      <w:bookmarkStart w:id="2140" w:name="_Toc415814111"/>
      <w:bookmarkStart w:id="2141" w:name="_Toc416343846"/>
      <w:bookmarkStart w:id="2142" w:name="_Toc416863117"/>
      <w:bookmarkStart w:id="2143" w:name="_Toc417314723"/>
      <w:bookmarkStart w:id="2144" w:name="_Toc417323740"/>
      <w:bookmarkStart w:id="2145" w:name="_Toc417326829"/>
      <w:bookmarkStart w:id="2146" w:name="_Toc417330377"/>
      <w:bookmarkStart w:id="2147" w:name="_Toc417394983"/>
      <w:bookmarkStart w:id="2148" w:name="_Toc417399200"/>
      <w:bookmarkStart w:id="2149" w:name="_Toc417399359"/>
      <w:bookmarkStart w:id="2150" w:name="_Toc417400406"/>
      <w:bookmarkStart w:id="2151" w:name="_Toc417401254"/>
      <w:bookmarkStart w:id="2152" w:name="_Toc417419567"/>
      <w:bookmarkStart w:id="2153" w:name="_Toc417457339"/>
      <w:bookmarkStart w:id="2154" w:name="_Toc417481917"/>
      <w:bookmarkStart w:id="2155" w:name="_Toc417482175"/>
      <w:bookmarkStart w:id="2156" w:name="_Toc417499894"/>
      <w:bookmarkStart w:id="2157" w:name="_Toc417502716"/>
      <w:bookmarkStart w:id="2158" w:name="_Toc417548256"/>
      <w:bookmarkStart w:id="2159" w:name="_Toc417594488"/>
      <w:bookmarkStart w:id="2160" w:name="_Toc417934390"/>
      <w:bookmarkStart w:id="2161" w:name="_Toc417935729"/>
      <w:bookmarkStart w:id="2162" w:name="_Toc417936191"/>
      <w:bookmarkStart w:id="2163" w:name="_Toc417946841"/>
      <w:bookmarkStart w:id="2164" w:name="_Toc417982458"/>
      <w:bookmarkStart w:id="2165" w:name="_Toc417985883"/>
      <w:bookmarkStart w:id="2166" w:name="_Toc418000604"/>
      <w:bookmarkStart w:id="2167" w:name="_Toc418003747"/>
      <w:bookmarkStart w:id="2168" w:name="_Toc418011952"/>
      <w:bookmarkStart w:id="2169" w:name="_Toc418014600"/>
      <w:bookmarkStart w:id="2170" w:name="_Toc418029936"/>
      <w:bookmarkStart w:id="2171" w:name="_Toc418036872"/>
      <w:bookmarkStart w:id="2172" w:name="_Toc418061337"/>
      <w:bookmarkStart w:id="2173" w:name="_Toc418080686"/>
      <w:bookmarkStart w:id="2174" w:name="_Toc418081859"/>
      <w:bookmarkStart w:id="2175" w:name="_Toc418083261"/>
      <w:bookmarkStart w:id="2176" w:name="_Toc418095481"/>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r>
        <w:t>Encryption</w:t>
      </w:r>
      <w:bookmarkEnd w:id="2125"/>
      <w:bookmarkEnd w:id="2126"/>
      <w:bookmarkEnd w:id="2127"/>
      <w:bookmarkEnd w:id="2128"/>
      <w:bookmarkEnd w:id="2129"/>
      <w:bookmarkEnd w:id="2130"/>
      <w:bookmarkEnd w:id="2131"/>
      <w:bookmarkEnd w:id="2132"/>
    </w:p>
    <w:p w14:paraId="15962607" w14:textId="7554C305" w:rsidR="00621420" w:rsidRDefault="00621420" w:rsidP="00621420">
      <w:r w:rsidRPr="00CD206A">
        <w:t>Client-</w:t>
      </w:r>
      <w:r>
        <w:t>s</w:t>
      </w:r>
      <w:r w:rsidRPr="00CD206A">
        <w:t xml:space="preserve">ide </w:t>
      </w:r>
      <w:r>
        <w:t>e</w:t>
      </w:r>
      <w:r w:rsidRPr="00CD206A">
        <w:t>ncryptio</w:t>
      </w:r>
      <w:r>
        <w:t>n for Microsoft Azure Storage</w:t>
      </w:r>
      <w:r>
        <w:rPr>
          <w:rStyle w:val="FootnoteReference"/>
        </w:rPr>
        <w:footnoteReference w:id="8"/>
      </w:r>
      <w:r>
        <w:t xml:space="preserve"> </w:t>
      </w:r>
      <w:r w:rsidRPr="00AC60C5">
        <w:t xml:space="preserve">contains new functionality to help developers encrypt their data inside client applications before uploading </w:t>
      </w:r>
      <w:r>
        <w:t xml:space="preserve">it </w:t>
      </w:r>
      <w:r w:rsidRPr="00AC60C5">
        <w:t>to Azure Storage</w:t>
      </w:r>
      <w:r>
        <w:t>.</w:t>
      </w:r>
      <w:r w:rsidRPr="00AC60C5">
        <w:t xml:space="preserve"> </w:t>
      </w:r>
      <w:r>
        <w:t>The data</w:t>
      </w:r>
      <w:r w:rsidRPr="00AC60C5">
        <w:t xml:space="preserve"> also </w:t>
      </w:r>
      <w:r>
        <w:t>can be</w:t>
      </w:r>
      <w:r w:rsidRPr="00AC60C5">
        <w:t xml:space="preserve"> decrypt</w:t>
      </w:r>
      <w:r>
        <w:t>ed</w:t>
      </w:r>
      <w:r w:rsidRPr="00AC60C5">
        <w:t xml:space="preserve"> </w:t>
      </w:r>
      <w:r>
        <w:t>when it is</w:t>
      </w:r>
      <w:r w:rsidRPr="00AC60C5">
        <w:t xml:space="preserve"> downloading. </w:t>
      </w:r>
    </w:p>
    <w:p w14:paraId="33E3C38A" w14:textId="3C3D9091" w:rsidR="007F5E9C" w:rsidRPr="007F5E9C" w:rsidRDefault="00621420" w:rsidP="00621420">
      <w:r w:rsidRPr="00CD206A">
        <w:t>Client-</w:t>
      </w:r>
      <w:r>
        <w:t>s</w:t>
      </w:r>
      <w:r w:rsidRPr="00CD206A">
        <w:t xml:space="preserve">ide </w:t>
      </w:r>
      <w:r>
        <w:t>e</w:t>
      </w:r>
      <w:r w:rsidRPr="00CD206A">
        <w:t>ncryptio</w:t>
      </w:r>
      <w:r>
        <w:t xml:space="preserve">n </w:t>
      </w:r>
      <w:r w:rsidRPr="00AC60C5">
        <w:t>also support</w:t>
      </w:r>
      <w:r>
        <w:t>s</w:t>
      </w:r>
      <w:r w:rsidRPr="00AC60C5">
        <w:t xml:space="preserve"> integration with Azure Key Vault to store and manage </w:t>
      </w:r>
      <w:r>
        <w:t xml:space="preserve">the encryption </w:t>
      </w:r>
      <w:r w:rsidRPr="00AC60C5">
        <w:t>keys.</w:t>
      </w:r>
      <w:r>
        <w:t xml:space="preserve"> T</w:t>
      </w:r>
      <w:r w:rsidRPr="00AC60C5">
        <w:t>he storage service never sees the keys and is incapable of decrypting the data.</w:t>
      </w:r>
      <w:r>
        <w:t xml:space="preserve"> </w:t>
      </w:r>
      <w:r w:rsidRPr="00AC60C5">
        <w:t>This gives you the most control you can have</w:t>
      </w:r>
      <w:r>
        <w:t>. It’s also fully transparent</w:t>
      </w:r>
      <w:r w:rsidRPr="00AC60C5">
        <w:t xml:space="preserve"> so you can inspect exactly how the library is encrypting your data to ensure that it meets your standards</w:t>
      </w:r>
      <w:r w:rsidR="00AC60C5">
        <w:t>.</w:t>
      </w:r>
    </w:p>
    <w:p w14:paraId="2B965BEC" w14:textId="425145F9" w:rsidR="007076A2" w:rsidRDefault="007076A2" w:rsidP="005729D2">
      <w:pPr>
        <w:pStyle w:val="Heading3Numbered"/>
        <w:numPr>
          <w:ilvl w:val="2"/>
          <w:numId w:val="64"/>
        </w:numPr>
      </w:pPr>
      <w:bookmarkStart w:id="2177" w:name="_Toc431288818"/>
      <w:bookmarkStart w:id="2178" w:name="_Toc422941536"/>
      <w:bookmarkStart w:id="2179" w:name="_Toc423116742"/>
      <w:bookmarkStart w:id="2180" w:name="_Toc423117775"/>
      <w:bookmarkStart w:id="2181" w:name="_Toc423117225"/>
      <w:bookmarkStart w:id="2182" w:name="_Toc418156652"/>
      <w:bookmarkStart w:id="2183" w:name="_Toc418167571"/>
      <w:bookmarkStart w:id="2184" w:name="_Toc418185828"/>
      <w:r w:rsidRPr="00A55D83">
        <w:t>Storage Protection</w:t>
      </w:r>
      <w:bookmarkEnd w:id="2177"/>
    </w:p>
    <w:p w14:paraId="321573C3" w14:textId="43089DEB" w:rsidR="00A55D83" w:rsidRDefault="00A55D83" w:rsidP="007076A2">
      <w:pPr>
        <w:pStyle w:val="Style2"/>
      </w:pPr>
      <w:r w:rsidRPr="00A55D83">
        <w:t>Service-Level Storage Protection</w:t>
      </w:r>
      <w:bookmarkEnd w:id="2178"/>
      <w:bookmarkEnd w:id="2179"/>
      <w:bookmarkEnd w:id="2180"/>
      <w:bookmarkEnd w:id="2181"/>
    </w:p>
    <w:p w14:paraId="68F8BD8D" w14:textId="3596D511" w:rsidR="00621420" w:rsidRDefault="00A55D83" w:rsidP="00621420">
      <w:r>
        <w:t>From</w:t>
      </w:r>
      <w:r w:rsidR="00621420">
        <w:t xml:space="preserve"> a service-level perspective, Microsoft has a responsibility to protect stored data to mitigate threats related to physical drives within each Azure datacenter. Storage within Azure is exposed in one or more storage accounts within each Azure subscription. </w:t>
      </w:r>
    </w:p>
    <w:p w14:paraId="298CB5E5" w14:textId="77777777" w:rsidR="00621420" w:rsidRDefault="00621420" w:rsidP="00621420">
      <w:r>
        <w:t xml:space="preserve">Within a Microsoft Azure datacenter, storage accounts </w:t>
      </w:r>
      <w:r w:rsidRPr="00267573">
        <w:t>do not</w:t>
      </w:r>
      <w:r>
        <w:t xml:space="preserve"> reside on a single disk. Rather, data is distributed across several disks in the form of extents within the Azure fabric. They are replicated within and across datacenters based on customer-selected preferences, such as locally redundant storage or geo-redundant storage. </w:t>
      </w:r>
    </w:p>
    <w:p w14:paraId="321B70E8" w14:textId="162AECB5" w:rsidR="00A55D83" w:rsidRPr="00F97B16" w:rsidRDefault="00621420" w:rsidP="00621420">
      <w:r w:rsidRPr="00851E44">
        <w:t xml:space="preserve">Microsoft </w:t>
      </w:r>
      <w:r>
        <w:t xml:space="preserve">protects the data stored within each datacenter with a comprehensive set of controls in alignment with the security certifications outlined at the </w:t>
      </w:r>
      <w:hyperlink r:id="rId143" w:history="1">
        <w:r w:rsidRPr="00DC50BC">
          <w:rPr>
            <w:rStyle w:val="Hyperlink"/>
          </w:rPr>
          <w:t>Azure Trust Center</w:t>
        </w:r>
      </w:hyperlink>
      <w:r>
        <w:t xml:space="preserve"> website</w:t>
      </w:r>
      <w:r w:rsidR="00F97B16">
        <w:t>.</w:t>
      </w:r>
    </w:p>
    <w:p w14:paraId="69EB93D1" w14:textId="457853E8" w:rsidR="00A55D83" w:rsidRDefault="00A55D83" w:rsidP="007076A2">
      <w:pPr>
        <w:pStyle w:val="Style2"/>
      </w:pPr>
      <w:bookmarkStart w:id="2185" w:name="_Toc422941537"/>
      <w:bookmarkStart w:id="2186" w:name="_Toc423116743"/>
      <w:bookmarkStart w:id="2187" w:name="_Toc423117776"/>
      <w:bookmarkStart w:id="2188" w:name="_Toc423117226"/>
      <w:r w:rsidRPr="00A55D83">
        <w:t>Subscription-Level Storage Protection</w:t>
      </w:r>
      <w:bookmarkEnd w:id="2185"/>
      <w:bookmarkEnd w:id="2186"/>
      <w:bookmarkEnd w:id="2187"/>
      <w:bookmarkEnd w:id="2188"/>
    </w:p>
    <w:p w14:paraId="1FECC97D" w14:textId="085A74DB" w:rsidR="00621420" w:rsidRDefault="00A55D83" w:rsidP="00621420">
      <w:r>
        <w:t>From</w:t>
      </w:r>
      <w:r w:rsidR="00621420">
        <w:t xml:space="preserve"> a subscription-level perspective, customers can additionally protect storage accounts within their Azure subscription to mitigate threats related to subscription administrators within their organization. Access to data found within each storage account is accessible to workloads in multiple ways: Queue, Table, Blob, and Files (SMB). </w:t>
      </w:r>
    </w:p>
    <w:p w14:paraId="59FA8E7C" w14:textId="77777777" w:rsidR="00621420" w:rsidRDefault="00621420" w:rsidP="00621420">
      <w:r>
        <w:t xml:space="preserve">Each storage account has several layers of protection, including those that are provided by Microsoft and those that are controlled by the customer, using both Microsoft and third-party mechanisms. </w:t>
      </w:r>
    </w:p>
    <w:p w14:paraId="59E8CE9D" w14:textId="7C390F39" w:rsidR="00A55D83" w:rsidRDefault="00621420" w:rsidP="00621420">
      <w:r>
        <w:t>Depending on the workload type</w:t>
      </w:r>
      <w:r w:rsidRPr="00267573">
        <w:t xml:space="preserve"> </w:t>
      </w:r>
      <w:r>
        <w:t>and how it is accessed, data can be protected in the following ways</w:t>
      </w:r>
      <w:r w:rsidR="00A55D83">
        <w:t>:</w:t>
      </w:r>
    </w:p>
    <w:tbl>
      <w:tblPr>
        <w:tblStyle w:val="TableGridLight1"/>
        <w:tblW w:w="0" w:type="auto"/>
        <w:tblLook w:val="0420" w:firstRow="1" w:lastRow="0" w:firstColumn="0" w:lastColumn="0" w:noHBand="0" w:noVBand="1"/>
      </w:tblPr>
      <w:tblGrid>
        <w:gridCol w:w="1435"/>
        <w:gridCol w:w="7915"/>
      </w:tblGrid>
      <w:tr w:rsidR="00A55D83" w:rsidRPr="00A55D83" w14:paraId="187FDC84" w14:textId="77777777" w:rsidTr="00621420">
        <w:tc>
          <w:tcPr>
            <w:tcW w:w="9350" w:type="dxa"/>
            <w:gridSpan w:val="2"/>
            <w:shd w:val="clear" w:color="auto" w:fill="808080" w:themeFill="background1" w:themeFillShade="80"/>
          </w:tcPr>
          <w:p w14:paraId="20EF5440" w14:textId="77777777" w:rsidR="00A55D83" w:rsidRPr="00621420" w:rsidRDefault="00A55D83" w:rsidP="00A55D83">
            <w:pPr>
              <w:rPr>
                <w:color w:val="FFFFFF" w:themeColor="background1"/>
                <w:sz w:val="20"/>
              </w:rPr>
            </w:pPr>
            <w:r w:rsidRPr="00621420">
              <w:rPr>
                <w:b/>
                <w:color w:val="FFFFFF" w:themeColor="background1"/>
                <w:sz w:val="20"/>
              </w:rPr>
              <w:t>Subscription-Level Workload Types and Storage</w:t>
            </w:r>
          </w:p>
        </w:tc>
      </w:tr>
      <w:tr w:rsidR="00621420" w:rsidRPr="00A55D83" w14:paraId="24553A9E" w14:textId="77777777" w:rsidTr="00621420">
        <w:tc>
          <w:tcPr>
            <w:tcW w:w="1435" w:type="dxa"/>
            <w:shd w:val="clear" w:color="auto" w:fill="F2F2F2" w:themeFill="background1" w:themeFillShade="F2"/>
          </w:tcPr>
          <w:p w14:paraId="7C3B6F71" w14:textId="69E02322" w:rsidR="00621420" w:rsidRPr="00A55D83" w:rsidRDefault="00621420" w:rsidP="00621420">
            <w:pPr>
              <w:rPr>
                <w:sz w:val="20"/>
              </w:rPr>
            </w:pPr>
            <w:r w:rsidRPr="00A55D83">
              <w:rPr>
                <w:b/>
                <w:sz w:val="20"/>
              </w:rPr>
              <w:t>IaaS</w:t>
            </w:r>
          </w:p>
        </w:tc>
        <w:tc>
          <w:tcPr>
            <w:tcW w:w="7915" w:type="dxa"/>
            <w:shd w:val="clear" w:color="auto" w:fill="F2F2F2" w:themeFill="background1" w:themeFillShade="F2"/>
          </w:tcPr>
          <w:p w14:paraId="0F2F4ACC" w14:textId="56CB4B28" w:rsidR="00621420" w:rsidRPr="00A55D83" w:rsidRDefault="00621420" w:rsidP="00621420">
            <w:pPr>
              <w:rPr>
                <w:sz w:val="20"/>
              </w:rPr>
            </w:pPr>
            <w:r w:rsidRPr="00A55D83">
              <w:rPr>
                <w:sz w:val="20"/>
              </w:rPr>
              <w:t>IaaS workloads (</w:t>
            </w:r>
            <w:r>
              <w:rPr>
                <w:sz w:val="20"/>
              </w:rPr>
              <w:t>v</w:t>
            </w:r>
            <w:r w:rsidRPr="00A55D83">
              <w:rPr>
                <w:sz w:val="20"/>
              </w:rPr>
              <w:t xml:space="preserve">irtual </w:t>
            </w:r>
            <w:r>
              <w:rPr>
                <w:sz w:val="20"/>
              </w:rPr>
              <w:t>m</w:t>
            </w:r>
            <w:r w:rsidRPr="00A55D83">
              <w:rPr>
                <w:sz w:val="20"/>
              </w:rPr>
              <w:t>achines) contain their storage inside virtual hard disks (VHDs)</w:t>
            </w:r>
            <w:r>
              <w:rPr>
                <w:sz w:val="20"/>
              </w:rPr>
              <w:t>,</w:t>
            </w:r>
            <w:r w:rsidRPr="00A55D83">
              <w:rPr>
                <w:sz w:val="20"/>
              </w:rPr>
              <w:t xml:space="preserve"> which are stored as page blobs </w:t>
            </w:r>
            <w:r>
              <w:rPr>
                <w:sz w:val="20"/>
              </w:rPr>
              <w:t>i</w:t>
            </w:r>
            <w:r w:rsidRPr="00A55D83">
              <w:rPr>
                <w:sz w:val="20"/>
              </w:rPr>
              <w:t xml:space="preserve">n one or more </w:t>
            </w:r>
            <w:r>
              <w:rPr>
                <w:sz w:val="20"/>
              </w:rPr>
              <w:t>s</w:t>
            </w:r>
            <w:r w:rsidRPr="00A55D83">
              <w:rPr>
                <w:sz w:val="20"/>
              </w:rPr>
              <w:t xml:space="preserve">torage </w:t>
            </w:r>
            <w:r>
              <w:rPr>
                <w:sz w:val="20"/>
              </w:rPr>
              <w:t>a</w:t>
            </w:r>
            <w:r w:rsidRPr="00A55D83">
              <w:rPr>
                <w:sz w:val="20"/>
              </w:rPr>
              <w:t>ccounts.</w:t>
            </w:r>
            <w:r>
              <w:rPr>
                <w:sz w:val="20"/>
              </w:rPr>
              <w:t xml:space="preserve"> </w:t>
            </w:r>
            <w:r w:rsidRPr="00A55D83">
              <w:rPr>
                <w:sz w:val="20"/>
              </w:rPr>
              <w:t>Some lift-and-shift virtual machine workloads access data over Files (SMB)</w:t>
            </w:r>
            <w:r>
              <w:rPr>
                <w:sz w:val="20"/>
              </w:rPr>
              <w:t>.</w:t>
            </w:r>
          </w:p>
        </w:tc>
      </w:tr>
      <w:tr w:rsidR="00621420" w:rsidRPr="00A55D83" w14:paraId="011DC51D" w14:textId="77777777" w:rsidTr="00A55D83">
        <w:tc>
          <w:tcPr>
            <w:tcW w:w="1435" w:type="dxa"/>
          </w:tcPr>
          <w:p w14:paraId="74B69650" w14:textId="6FC0D502" w:rsidR="00621420" w:rsidRPr="00A55D83" w:rsidRDefault="00621420" w:rsidP="00621420">
            <w:pPr>
              <w:rPr>
                <w:sz w:val="20"/>
              </w:rPr>
            </w:pPr>
            <w:r w:rsidRPr="00A55D83">
              <w:rPr>
                <w:b/>
                <w:sz w:val="20"/>
              </w:rPr>
              <w:t>PaaS</w:t>
            </w:r>
          </w:p>
        </w:tc>
        <w:tc>
          <w:tcPr>
            <w:tcW w:w="7915" w:type="dxa"/>
          </w:tcPr>
          <w:p w14:paraId="1BB16FE1" w14:textId="6A88C829" w:rsidR="00621420" w:rsidRPr="00A55D83" w:rsidRDefault="00621420" w:rsidP="00621420">
            <w:pPr>
              <w:rPr>
                <w:sz w:val="20"/>
              </w:rPr>
            </w:pPr>
            <w:r w:rsidRPr="00A55D83">
              <w:rPr>
                <w:sz w:val="20"/>
              </w:rPr>
              <w:t xml:space="preserve">PaaS workloads access storage </w:t>
            </w:r>
            <w:r>
              <w:rPr>
                <w:sz w:val="20"/>
              </w:rPr>
              <w:t xml:space="preserve">by </w:t>
            </w:r>
            <w:r w:rsidRPr="00A55D83">
              <w:rPr>
                <w:sz w:val="20"/>
              </w:rPr>
              <w:t xml:space="preserve">using one or more of the accessible methods outlined </w:t>
            </w:r>
            <w:r>
              <w:rPr>
                <w:sz w:val="20"/>
              </w:rPr>
              <w:t>previously</w:t>
            </w:r>
            <w:r w:rsidRPr="00A55D83">
              <w:rPr>
                <w:sz w:val="20"/>
              </w:rPr>
              <w:t xml:space="preserve"> (Queue</w:t>
            </w:r>
            <w:r>
              <w:rPr>
                <w:sz w:val="20"/>
              </w:rPr>
              <w:t>s</w:t>
            </w:r>
            <w:r w:rsidRPr="00A55D83">
              <w:rPr>
                <w:sz w:val="20"/>
              </w:rPr>
              <w:t>, Table</w:t>
            </w:r>
            <w:r>
              <w:rPr>
                <w:sz w:val="20"/>
              </w:rPr>
              <w:t>s</w:t>
            </w:r>
            <w:r w:rsidRPr="00A55D83">
              <w:rPr>
                <w:sz w:val="20"/>
              </w:rPr>
              <w:t xml:space="preserve">, </w:t>
            </w:r>
            <w:r>
              <w:rPr>
                <w:sz w:val="20"/>
              </w:rPr>
              <w:t xml:space="preserve">and </w:t>
            </w:r>
            <w:r w:rsidRPr="00A55D83">
              <w:rPr>
                <w:sz w:val="20"/>
              </w:rPr>
              <w:t>Blob</w:t>
            </w:r>
            <w:r>
              <w:rPr>
                <w:sz w:val="20"/>
              </w:rPr>
              <w:t>s</w:t>
            </w:r>
            <w:r w:rsidRPr="00A55D83">
              <w:rPr>
                <w:sz w:val="20"/>
              </w:rPr>
              <w:t>)</w:t>
            </w:r>
            <w:r>
              <w:rPr>
                <w:sz w:val="20"/>
              </w:rPr>
              <w:t>.</w:t>
            </w:r>
          </w:p>
        </w:tc>
      </w:tr>
      <w:tr w:rsidR="00621420" w:rsidRPr="00A55D83" w14:paraId="231EC8F2" w14:textId="77777777" w:rsidTr="00621420">
        <w:tc>
          <w:tcPr>
            <w:tcW w:w="1435" w:type="dxa"/>
            <w:shd w:val="clear" w:color="auto" w:fill="F2F2F2" w:themeFill="background1" w:themeFillShade="F2"/>
          </w:tcPr>
          <w:p w14:paraId="6E1F89C0" w14:textId="1EA78B40" w:rsidR="00621420" w:rsidRPr="00A55D83" w:rsidRDefault="00621420" w:rsidP="00621420">
            <w:pPr>
              <w:rPr>
                <w:sz w:val="20"/>
              </w:rPr>
            </w:pPr>
            <w:r w:rsidRPr="00A55D83">
              <w:rPr>
                <w:b/>
                <w:sz w:val="20"/>
              </w:rPr>
              <w:t>StorSimple</w:t>
            </w:r>
          </w:p>
        </w:tc>
        <w:tc>
          <w:tcPr>
            <w:tcW w:w="7915" w:type="dxa"/>
            <w:shd w:val="clear" w:color="auto" w:fill="F2F2F2" w:themeFill="background1" w:themeFillShade="F2"/>
          </w:tcPr>
          <w:p w14:paraId="4AF48F00" w14:textId="3E11A093" w:rsidR="00621420" w:rsidRPr="00A55D83" w:rsidRDefault="00621420" w:rsidP="00621420">
            <w:pPr>
              <w:rPr>
                <w:sz w:val="20"/>
              </w:rPr>
            </w:pPr>
            <w:r w:rsidRPr="00A55D83">
              <w:rPr>
                <w:sz w:val="20"/>
              </w:rPr>
              <w:t xml:space="preserve">StorSimple appliances access storage over the </w:t>
            </w:r>
            <w:r>
              <w:rPr>
                <w:sz w:val="20"/>
              </w:rPr>
              <w:t>s</w:t>
            </w:r>
            <w:r w:rsidRPr="00A55D83">
              <w:rPr>
                <w:sz w:val="20"/>
              </w:rPr>
              <w:t xml:space="preserve">torage </w:t>
            </w:r>
            <w:r>
              <w:rPr>
                <w:sz w:val="20"/>
              </w:rPr>
              <w:t>a</w:t>
            </w:r>
            <w:r w:rsidRPr="00A55D83">
              <w:rPr>
                <w:sz w:val="20"/>
              </w:rPr>
              <w:t>ccount’s REST API URL and encrypts storage</w:t>
            </w:r>
            <w:r>
              <w:rPr>
                <w:sz w:val="20"/>
              </w:rPr>
              <w:t>.</w:t>
            </w:r>
          </w:p>
        </w:tc>
      </w:tr>
    </w:tbl>
    <w:p w14:paraId="5AE64715" w14:textId="77777777" w:rsidR="00A55D83" w:rsidRDefault="00A55D83" w:rsidP="00A55D83"/>
    <w:tbl>
      <w:tblPr>
        <w:tblStyle w:val="TableGridLight1"/>
        <w:tblW w:w="0" w:type="auto"/>
        <w:tblLook w:val="0420" w:firstRow="1" w:lastRow="0" w:firstColumn="0" w:lastColumn="0" w:noHBand="0" w:noVBand="1"/>
      </w:tblPr>
      <w:tblGrid>
        <w:gridCol w:w="1435"/>
        <w:gridCol w:w="2700"/>
        <w:gridCol w:w="2700"/>
        <w:gridCol w:w="2515"/>
      </w:tblGrid>
      <w:tr w:rsidR="00EC42F9" w:rsidRPr="00EC42F9" w14:paraId="0D9BC74E" w14:textId="77777777" w:rsidTr="00621420">
        <w:tc>
          <w:tcPr>
            <w:tcW w:w="9350" w:type="dxa"/>
            <w:gridSpan w:val="4"/>
            <w:shd w:val="clear" w:color="auto" w:fill="808080" w:themeFill="background1" w:themeFillShade="80"/>
          </w:tcPr>
          <w:p w14:paraId="79535975" w14:textId="77777777" w:rsidR="00EC42F9" w:rsidRPr="00EC42F9" w:rsidRDefault="00EC42F9" w:rsidP="00BF7A52">
            <w:pPr>
              <w:rPr>
                <w:sz w:val="20"/>
              </w:rPr>
            </w:pPr>
            <w:r w:rsidRPr="00621420">
              <w:rPr>
                <w:b/>
                <w:color w:val="FFFFFF" w:themeColor="background1"/>
                <w:sz w:val="20"/>
              </w:rPr>
              <w:t>Subscription-Level Protection Types</w:t>
            </w:r>
          </w:p>
        </w:tc>
      </w:tr>
      <w:tr w:rsidR="00EC42F9" w:rsidRPr="00EC42F9" w14:paraId="040EFC8D" w14:textId="77777777" w:rsidTr="00EC42F9">
        <w:tc>
          <w:tcPr>
            <w:tcW w:w="1435" w:type="dxa"/>
          </w:tcPr>
          <w:p w14:paraId="2C39C119" w14:textId="77777777" w:rsidR="00EC42F9" w:rsidRPr="00EC42F9" w:rsidRDefault="00EC42F9" w:rsidP="00BF7A52">
            <w:pPr>
              <w:rPr>
                <w:sz w:val="20"/>
              </w:rPr>
            </w:pPr>
          </w:p>
        </w:tc>
        <w:tc>
          <w:tcPr>
            <w:tcW w:w="2700" w:type="dxa"/>
          </w:tcPr>
          <w:p w14:paraId="3EB193AE" w14:textId="77777777" w:rsidR="00EC42F9" w:rsidRPr="00621420" w:rsidRDefault="00EC42F9" w:rsidP="00BF7A52">
            <w:pPr>
              <w:rPr>
                <w:b/>
                <w:sz w:val="20"/>
              </w:rPr>
            </w:pPr>
            <w:r w:rsidRPr="00621420">
              <w:rPr>
                <w:b/>
                <w:sz w:val="20"/>
              </w:rPr>
              <w:t>Data-At-Rest</w:t>
            </w:r>
          </w:p>
        </w:tc>
        <w:tc>
          <w:tcPr>
            <w:tcW w:w="2700" w:type="dxa"/>
          </w:tcPr>
          <w:p w14:paraId="3D7B4B82" w14:textId="77777777" w:rsidR="00EC42F9" w:rsidRPr="00621420" w:rsidRDefault="00EC42F9" w:rsidP="00BF7A52">
            <w:pPr>
              <w:rPr>
                <w:b/>
                <w:sz w:val="20"/>
              </w:rPr>
            </w:pPr>
            <w:r w:rsidRPr="00621420">
              <w:rPr>
                <w:b/>
                <w:sz w:val="20"/>
              </w:rPr>
              <w:t>Data-In-Transit</w:t>
            </w:r>
          </w:p>
        </w:tc>
        <w:tc>
          <w:tcPr>
            <w:tcW w:w="2515" w:type="dxa"/>
          </w:tcPr>
          <w:p w14:paraId="3E0C9723" w14:textId="77777777" w:rsidR="00EC42F9" w:rsidRPr="00621420" w:rsidRDefault="00EC42F9" w:rsidP="00BF7A52">
            <w:pPr>
              <w:rPr>
                <w:b/>
                <w:sz w:val="20"/>
              </w:rPr>
            </w:pPr>
            <w:r w:rsidRPr="00621420">
              <w:rPr>
                <w:b/>
                <w:sz w:val="20"/>
              </w:rPr>
              <w:t>Data Access</w:t>
            </w:r>
          </w:p>
        </w:tc>
      </w:tr>
      <w:tr w:rsidR="00621420" w:rsidRPr="00EC42F9" w14:paraId="692346EA" w14:textId="77777777" w:rsidTr="00621420">
        <w:tc>
          <w:tcPr>
            <w:tcW w:w="1435" w:type="dxa"/>
            <w:shd w:val="clear" w:color="auto" w:fill="F2F2F2" w:themeFill="background1" w:themeFillShade="F2"/>
          </w:tcPr>
          <w:p w14:paraId="4DFB50BD" w14:textId="2BD06919" w:rsidR="00621420" w:rsidRPr="00EC42F9" w:rsidRDefault="00621420" w:rsidP="00621420">
            <w:pPr>
              <w:rPr>
                <w:sz w:val="20"/>
              </w:rPr>
            </w:pPr>
            <w:r w:rsidRPr="00EC42F9">
              <w:rPr>
                <w:b/>
                <w:sz w:val="20"/>
              </w:rPr>
              <w:t>IaaS</w:t>
            </w:r>
          </w:p>
        </w:tc>
        <w:tc>
          <w:tcPr>
            <w:tcW w:w="2700" w:type="dxa"/>
            <w:shd w:val="clear" w:color="auto" w:fill="F2F2F2" w:themeFill="background1" w:themeFillShade="F2"/>
          </w:tcPr>
          <w:p w14:paraId="024DB424" w14:textId="77777777" w:rsidR="00621420" w:rsidRDefault="00621420" w:rsidP="00621420">
            <w:pPr>
              <w:rPr>
                <w:sz w:val="20"/>
              </w:rPr>
            </w:pPr>
            <w:r w:rsidRPr="00EC42F9">
              <w:rPr>
                <w:sz w:val="20"/>
              </w:rPr>
              <w:t xml:space="preserve">Performed by the customer </w:t>
            </w:r>
            <w:r>
              <w:rPr>
                <w:sz w:val="20"/>
              </w:rPr>
              <w:t xml:space="preserve">by </w:t>
            </w:r>
            <w:r w:rsidRPr="00EC42F9">
              <w:rPr>
                <w:sz w:val="20"/>
              </w:rPr>
              <w:t>encryptin</w:t>
            </w:r>
            <w:r>
              <w:rPr>
                <w:sz w:val="20"/>
              </w:rPr>
              <w:t>g</w:t>
            </w:r>
            <w:r w:rsidRPr="00EC42F9">
              <w:rPr>
                <w:sz w:val="20"/>
              </w:rPr>
              <w:t xml:space="preserve"> the </w:t>
            </w:r>
            <w:r>
              <w:rPr>
                <w:sz w:val="20"/>
              </w:rPr>
              <w:t>v</w:t>
            </w:r>
            <w:r w:rsidRPr="00EC42F9">
              <w:rPr>
                <w:sz w:val="20"/>
              </w:rPr>
              <w:t xml:space="preserve">irtual </w:t>
            </w:r>
            <w:r>
              <w:rPr>
                <w:sz w:val="20"/>
              </w:rPr>
              <w:t>h</w:t>
            </w:r>
            <w:r w:rsidRPr="00EC42F9">
              <w:rPr>
                <w:sz w:val="20"/>
              </w:rPr>
              <w:t xml:space="preserve">ard </w:t>
            </w:r>
            <w:r>
              <w:rPr>
                <w:sz w:val="20"/>
              </w:rPr>
              <w:t>d</w:t>
            </w:r>
            <w:r w:rsidRPr="00EC42F9">
              <w:rPr>
                <w:sz w:val="20"/>
              </w:rPr>
              <w:t>isk (VHD) files</w:t>
            </w:r>
            <w:r>
              <w:rPr>
                <w:sz w:val="20"/>
              </w:rPr>
              <w:t>.  Microsoft</w:t>
            </w:r>
            <w:r w:rsidRPr="00EC42F9">
              <w:rPr>
                <w:sz w:val="20"/>
              </w:rPr>
              <w:t xml:space="preserve"> and third-party mechanisms</w:t>
            </w:r>
            <w:r>
              <w:rPr>
                <w:sz w:val="20"/>
              </w:rPr>
              <w:t xml:space="preserve"> are used</w:t>
            </w:r>
            <w:r w:rsidRPr="00EC42F9">
              <w:rPr>
                <w:sz w:val="20"/>
              </w:rPr>
              <w:t xml:space="preserve">. </w:t>
            </w:r>
          </w:p>
          <w:p w14:paraId="7A048DA2" w14:textId="77777777" w:rsidR="00621420" w:rsidRDefault="00621420" w:rsidP="00621420">
            <w:pPr>
              <w:rPr>
                <w:sz w:val="20"/>
              </w:rPr>
            </w:pPr>
            <w:r w:rsidRPr="00EC42F9">
              <w:rPr>
                <w:sz w:val="20"/>
              </w:rPr>
              <w:t xml:space="preserve">Workloads </w:t>
            </w:r>
            <w:r>
              <w:rPr>
                <w:sz w:val="20"/>
              </w:rPr>
              <w:t>(</w:t>
            </w:r>
            <w:r w:rsidRPr="00EC42F9">
              <w:rPr>
                <w:sz w:val="20"/>
              </w:rPr>
              <w:t>such as SQL Server</w:t>
            </w:r>
            <w:r>
              <w:rPr>
                <w:sz w:val="20"/>
              </w:rPr>
              <w:t>)</w:t>
            </w:r>
            <w:r w:rsidRPr="00EC42F9">
              <w:rPr>
                <w:sz w:val="20"/>
              </w:rPr>
              <w:t xml:space="preserve"> also support </w:t>
            </w:r>
            <w:r>
              <w:rPr>
                <w:sz w:val="20"/>
              </w:rPr>
              <w:t>Transparent Data Encryption (</w:t>
            </w:r>
            <w:r w:rsidRPr="00EC42F9">
              <w:rPr>
                <w:sz w:val="20"/>
              </w:rPr>
              <w:t>TDE</w:t>
            </w:r>
            <w:r>
              <w:rPr>
                <w:sz w:val="20"/>
              </w:rPr>
              <w:t>)</w:t>
            </w:r>
            <w:r w:rsidRPr="00EC42F9">
              <w:rPr>
                <w:sz w:val="20"/>
              </w:rPr>
              <w:t xml:space="preserve">. </w:t>
            </w:r>
          </w:p>
          <w:p w14:paraId="1BBA87C7" w14:textId="77777777" w:rsidR="00621420" w:rsidRPr="00EC42F9" w:rsidRDefault="00621420" w:rsidP="00621420">
            <w:pPr>
              <w:rPr>
                <w:sz w:val="20"/>
              </w:rPr>
            </w:pPr>
            <w:r w:rsidRPr="00EC42F9">
              <w:rPr>
                <w:sz w:val="20"/>
              </w:rPr>
              <w:t xml:space="preserve">Technologies </w:t>
            </w:r>
            <w:r>
              <w:rPr>
                <w:sz w:val="20"/>
              </w:rPr>
              <w:t>that</w:t>
            </w:r>
            <w:r w:rsidRPr="00EC42F9">
              <w:rPr>
                <w:sz w:val="20"/>
              </w:rPr>
              <w:t xml:space="preserve"> assist with this are:</w:t>
            </w:r>
          </w:p>
          <w:p w14:paraId="5DF79483" w14:textId="77777777" w:rsidR="00621420" w:rsidRPr="00EC42F9" w:rsidRDefault="00621420" w:rsidP="005729D2">
            <w:pPr>
              <w:pStyle w:val="ListParagraph"/>
              <w:numPr>
                <w:ilvl w:val="0"/>
                <w:numId w:val="182"/>
              </w:numPr>
              <w:spacing w:before="0" w:after="0" w:line="240" w:lineRule="auto"/>
              <w:rPr>
                <w:sz w:val="20"/>
              </w:rPr>
            </w:pPr>
            <w:r>
              <w:rPr>
                <w:sz w:val="20"/>
              </w:rPr>
              <w:t>Key Vault</w:t>
            </w:r>
          </w:p>
          <w:p w14:paraId="7E0960C5" w14:textId="77777777" w:rsidR="00621420" w:rsidRPr="00EC42F9" w:rsidRDefault="00621420" w:rsidP="005729D2">
            <w:pPr>
              <w:pStyle w:val="ListParagraph"/>
              <w:numPr>
                <w:ilvl w:val="0"/>
                <w:numId w:val="182"/>
              </w:numPr>
              <w:spacing w:before="0" w:after="0" w:line="240" w:lineRule="auto"/>
              <w:rPr>
                <w:sz w:val="20"/>
              </w:rPr>
            </w:pPr>
            <w:r w:rsidRPr="00EC42F9">
              <w:rPr>
                <w:sz w:val="20"/>
              </w:rPr>
              <w:t>SQL Server Transparent Data Encryption</w:t>
            </w:r>
          </w:p>
          <w:p w14:paraId="48D25715" w14:textId="77777777" w:rsidR="00621420" w:rsidRPr="00EC42F9" w:rsidRDefault="00621420" w:rsidP="005729D2">
            <w:pPr>
              <w:pStyle w:val="ListParagraph"/>
              <w:numPr>
                <w:ilvl w:val="0"/>
                <w:numId w:val="182"/>
              </w:numPr>
              <w:spacing w:before="0" w:after="0" w:line="240" w:lineRule="auto"/>
              <w:rPr>
                <w:sz w:val="20"/>
              </w:rPr>
            </w:pPr>
            <w:r w:rsidRPr="00EC42F9">
              <w:rPr>
                <w:sz w:val="20"/>
              </w:rPr>
              <w:t>Azure Disk Encryption</w:t>
            </w:r>
          </w:p>
          <w:p w14:paraId="19AC43A6" w14:textId="4863A1A9" w:rsidR="00621420" w:rsidRPr="00EC42F9" w:rsidRDefault="00621420" w:rsidP="005729D2">
            <w:pPr>
              <w:pStyle w:val="ListParagraph"/>
              <w:numPr>
                <w:ilvl w:val="0"/>
                <w:numId w:val="182"/>
              </w:numPr>
              <w:spacing w:before="0" w:after="0" w:line="240" w:lineRule="auto"/>
              <w:rPr>
                <w:sz w:val="20"/>
              </w:rPr>
            </w:pPr>
            <w:r w:rsidRPr="00EC42F9">
              <w:rPr>
                <w:sz w:val="20"/>
              </w:rPr>
              <w:t>Third-</w:t>
            </w:r>
            <w:r>
              <w:rPr>
                <w:sz w:val="20"/>
              </w:rPr>
              <w:t>p</w:t>
            </w:r>
            <w:r w:rsidRPr="00EC42F9">
              <w:rPr>
                <w:sz w:val="20"/>
              </w:rPr>
              <w:t xml:space="preserve">arty </w:t>
            </w:r>
            <w:r>
              <w:rPr>
                <w:sz w:val="20"/>
              </w:rPr>
              <w:t>virtual machine</w:t>
            </w:r>
            <w:r w:rsidRPr="00EC42F9">
              <w:rPr>
                <w:sz w:val="20"/>
              </w:rPr>
              <w:t xml:space="preserve"> </w:t>
            </w:r>
            <w:r>
              <w:rPr>
                <w:sz w:val="20"/>
              </w:rPr>
              <w:t>v</w:t>
            </w:r>
            <w:r w:rsidRPr="00EC42F9">
              <w:rPr>
                <w:sz w:val="20"/>
              </w:rPr>
              <w:t xml:space="preserve">olume </w:t>
            </w:r>
            <w:r>
              <w:rPr>
                <w:sz w:val="20"/>
              </w:rPr>
              <w:t>e</w:t>
            </w:r>
            <w:r w:rsidRPr="00EC42F9">
              <w:rPr>
                <w:sz w:val="20"/>
              </w:rPr>
              <w:t>ncryption</w:t>
            </w:r>
          </w:p>
        </w:tc>
        <w:tc>
          <w:tcPr>
            <w:tcW w:w="2700" w:type="dxa"/>
            <w:shd w:val="clear" w:color="auto" w:fill="F2F2F2" w:themeFill="background1" w:themeFillShade="F2"/>
          </w:tcPr>
          <w:p w14:paraId="27032299" w14:textId="77777777" w:rsidR="00621420" w:rsidRDefault="00621420" w:rsidP="00621420">
            <w:pPr>
              <w:rPr>
                <w:sz w:val="20"/>
              </w:rPr>
            </w:pPr>
            <w:r w:rsidRPr="00EC42F9">
              <w:rPr>
                <w:sz w:val="20"/>
              </w:rPr>
              <w:t xml:space="preserve">Performed by the customer </w:t>
            </w:r>
            <w:r>
              <w:rPr>
                <w:sz w:val="20"/>
              </w:rPr>
              <w:t xml:space="preserve">by </w:t>
            </w:r>
            <w:r w:rsidRPr="00EC42F9">
              <w:rPr>
                <w:sz w:val="20"/>
              </w:rPr>
              <w:t>using transport encryption of traffic traversing exposed virtual machine network endpoints</w:t>
            </w:r>
            <w:r>
              <w:rPr>
                <w:sz w:val="20"/>
              </w:rPr>
              <w:t>.</w:t>
            </w:r>
            <w:r w:rsidRPr="00EC42F9">
              <w:rPr>
                <w:sz w:val="20"/>
              </w:rPr>
              <w:t xml:space="preserve"> </w:t>
            </w:r>
            <w:r>
              <w:rPr>
                <w:sz w:val="20"/>
              </w:rPr>
              <w:t>Microsoft</w:t>
            </w:r>
            <w:r w:rsidRPr="00EC42F9">
              <w:rPr>
                <w:sz w:val="20"/>
              </w:rPr>
              <w:t xml:space="preserve"> and third-party mechanisms</w:t>
            </w:r>
            <w:r>
              <w:rPr>
                <w:sz w:val="20"/>
              </w:rPr>
              <w:t xml:space="preserve"> are used</w:t>
            </w:r>
            <w:r w:rsidRPr="00EC42F9">
              <w:rPr>
                <w:sz w:val="20"/>
              </w:rPr>
              <w:t xml:space="preserve">. </w:t>
            </w:r>
          </w:p>
          <w:p w14:paraId="3E531369" w14:textId="77777777" w:rsidR="00621420" w:rsidRDefault="00621420" w:rsidP="00621420">
            <w:pPr>
              <w:rPr>
                <w:sz w:val="20"/>
              </w:rPr>
            </w:pPr>
            <w:r w:rsidRPr="00EC42F9">
              <w:rPr>
                <w:sz w:val="20"/>
              </w:rPr>
              <w:t xml:space="preserve">Actions performed by Microsoft include disk encryption using BitLocker </w:t>
            </w:r>
            <w:r>
              <w:rPr>
                <w:sz w:val="20"/>
              </w:rPr>
              <w:t>D</w:t>
            </w:r>
            <w:r w:rsidRPr="00EC42F9">
              <w:rPr>
                <w:sz w:val="20"/>
              </w:rPr>
              <w:t xml:space="preserve">rive </w:t>
            </w:r>
            <w:r>
              <w:rPr>
                <w:sz w:val="20"/>
              </w:rPr>
              <w:t>E</w:t>
            </w:r>
            <w:r w:rsidRPr="00EC42F9">
              <w:rPr>
                <w:sz w:val="20"/>
              </w:rPr>
              <w:t>ncryption for bulk import/export operations and encryptin</w:t>
            </w:r>
            <w:r>
              <w:rPr>
                <w:sz w:val="20"/>
              </w:rPr>
              <w:t>g</w:t>
            </w:r>
            <w:r w:rsidRPr="00EC42F9">
              <w:rPr>
                <w:sz w:val="20"/>
              </w:rPr>
              <w:t xml:space="preserve"> traffic between Azure datacenters. </w:t>
            </w:r>
          </w:p>
          <w:p w14:paraId="141C7618" w14:textId="77777777" w:rsidR="00621420" w:rsidRPr="00EC42F9" w:rsidRDefault="00621420" w:rsidP="00621420">
            <w:pPr>
              <w:rPr>
                <w:sz w:val="20"/>
              </w:rPr>
            </w:pPr>
            <w:r w:rsidRPr="00EC42F9">
              <w:rPr>
                <w:sz w:val="20"/>
              </w:rPr>
              <w:t xml:space="preserve">Technologies </w:t>
            </w:r>
            <w:r>
              <w:rPr>
                <w:sz w:val="20"/>
              </w:rPr>
              <w:t>that</w:t>
            </w:r>
            <w:r w:rsidRPr="00EC42F9">
              <w:rPr>
                <w:sz w:val="20"/>
              </w:rPr>
              <w:t xml:space="preserve"> assist with this are:</w:t>
            </w:r>
          </w:p>
          <w:p w14:paraId="22EB2D1E" w14:textId="77777777" w:rsidR="00621420" w:rsidRPr="00EC42F9" w:rsidRDefault="00621420" w:rsidP="005729D2">
            <w:pPr>
              <w:pStyle w:val="ListParagraph"/>
              <w:numPr>
                <w:ilvl w:val="0"/>
                <w:numId w:val="182"/>
              </w:numPr>
              <w:spacing w:before="0" w:after="0" w:line="240" w:lineRule="auto"/>
              <w:rPr>
                <w:sz w:val="20"/>
              </w:rPr>
            </w:pPr>
            <w:r w:rsidRPr="00EC42F9">
              <w:rPr>
                <w:sz w:val="20"/>
              </w:rPr>
              <w:t>HTTPS/REST API</w:t>
            </w:r>
          </w:p>
          <w:p w14:paraId="332EACCB" w14:textId="77777777" w:rsidR="00621420" w:rsidRPr="00EC42F9" w:rsidRDefault="00621420" w:rsidP="005729D2">
            <w:pPr>
              <w:pStyle w:val="ListParagraph"/>
              <w:numPr>
                <w:ilvl w:val="0"/>
                <w:numId w:val="182"/>
              </w:numPr>
              <w:spacing w:before="0" w:after="0" w:line="240" w:lineRule="auto"/>
              <w:rPr>
                <w:sz w:val="20"/>
              </w:rPr>
            </w:pPr>
            <w:r w:rsidRPr="00EC42F9">
              <w:rPr>
                <w:sz w:val="20"/>
              </w:rPr>
              <w:t>Azure endpoints</w:t>
            </w:r>
          </w:p>
          <w:p w14:paraId="3656BE48" w14:textId="20A7B9DF" w:rsidR="00621420" w:rsidRPr="00EC42F9" w:rsidRDefault="00621420" w:rsidP="005729D2">
            <w:pPr>
              <w:pStyle w:val="ListParagraph"/>
              <w:numPr>
                <w:ilvl w:val="0"/>
                <w:numId w:val="182"/>
              </w:numPr>
              <w:spacing w:before="0" w:after="0" w:line="240" w:lineRule="auto"/>
              <w:rPr>
                <w:sz w:val="20"/>
              </w:rPr>
            </w:pPr>
            <w:r w:rsidRPr="00EC42F9">
              <w:rPr>
                <w:sz w:val="20"/>
              </w:rPr>
              <w:t xml:space="preserve">Azure Import/Export </w:t>
            </w:r>
            <w:r>
              <w:rPr>
                <w:sz w:val="20"/>
              </w:rPr>
              <w:t>s</w:t>
            </w:r>
            <w:r w:rsidRPr="00EC42F9">
              <w:rPr>
                <w:sz w:val="20"/>
              </w:rPr>
              <w:t>ervice</w:t>
            </w:r>
          </w:p>
        </w:tc>
        <w:tc>
          <w:tcPr>
            <w:tcW w:w="2515" w:type="dxa"/>
            <w:shd w:val="clear" w:color="auto" w:fill="F2F2F2" w:themeFill="background1" w:themeFillShade="F2"/>
          </w:tcPr>
          <w:p w14:paraId="38CE9B29" w14:textId="520CAEE8" w:rsidR="00621420" w:rsidRPr="00EC42F9" w:rsidRDefault="00621420" w:rsidP="00621420">
            <w:pPr>
              <w:rPr>
                <w:sz w:val="20"/>
              </w:rPr>
            </w:pPr>
            <w:r w:rsidRPr="00EC42F9">
              <w:rPr>
                <w:sz w:val="20"/>
              </w:rPr>
              <w:t xml:space="preserve">Performed by the customer </w:t>
            </w:r>
            <w:r>
              <w:rPr>
                <w:sz w:val="20"/>
              </w:rPr>
              <w:t xml:space="preserve">by </w:t>
            </w:r>
            <w:r w:rsidRPr="00EC42F9">
              <w:rPr>
                <w:sz w:val="20"/>
              </w:rPr>
              <w:t xml:space="preserve">using native protections within the installed operating system to authenticate and authorize access </w:t>
            </w:r>
            <w:r>
              <w:rPr>
                <w:sz w:val="20"/>
              </w:rPr>
              <w:t xml:space="preserve">to </w:t>
            </w:r>
            <w:r w:rsidRPr="00EC42F9">
              <w:rPr>
                <w:sz w:val="20"/>
              </w:rPr>
              <w:t xml:space="preserve">the </w:t>
            </w:r>
            <w:r>
              <w:rPr>
                <w:sz w:val="20"/>
              </w:rPr>
              <w:t>v</w:t>
            </w:r>
            <w:r w:rsidRPr="00EC42F9">
              <w:rPr>
                <w:sz w:val="20"/>
              </w:rPr>
              <w:t xml:space="preserve">irtual </w:t>
            </w:r>
            <w:r>
              <w:rPr>
                <w:sz w:val="20"/>
              </w:rPr>
              <w:t>h</w:t>
            </w:r>
            <w:r w:rsidRPr="00EC42F9">
              <w:rPr>
                <w:sz w:val="20"/>
              </w:rPr>
              <w:t xml:space="preserve">ard </w:t>
            </w:r>
            <w:r>
              <w:rPr>
                <w:sz w:val="20"/>
              </w:rPr>
              <w:t>d</w:t>
            </w:r>
            <w:r w:rsidRPr="00EC42F9">
              <w:rPr>
                <w:sz w:val="20"/>
              </w:rPr>
              <w:t xml:space="preserve">isk (VHD) data </w:t>
            </w:r>
            <w:r>
              <w:rPr>
                <w:sz w:val="20"/>
              </w:rPr>
              <w:t xml:space="preserve">that is </w:t>
            </w:r>
            <w:r w:rsidRPr="00EC42F9">
              <w:rPr>
                <w:sz w:val="20"/>
              </w:rPr>
              <w:t xml:space="preserve">exposed through the </w:t>
            </w:r>
            <w:r>
              <w:rPr>
                <w:sz w:val="20"/>
              </w:rPr>
              <w:t>operating system</w:t>
            </w:r>
            <w:r w:rsidRPr="00EC42F9">
              <w:rPr>
                <w:sz w:val="20"/>
              </w:rPr>
              <w:t xml:space="preserve"> and published endpoints (</w:t>
            </w:r>
            <w:r>
              <w:rPr>
                <w:sz w:val="20"/>
              </w:rPr>
              <w:t>for example,</w:t>
            </w:r>
            <w:r w:rsidRPr="00EC42F9">
              <w:rPr>
                <w:sz w:val="20"/>
              </w:rPr>
              <w:t xml:space="preserve"> </w:t>
            </w:r>
            <w:r>
              <w:rPr>
                <w:sz w:val="20"/>
              </w:rPr>
              <w:t>operating system</w:t>
            </w:r>
            <w:r w:rsidRPr="00EC42F9">
              <w:rPr>
                <w:sz w:val="20"/>
              </w:rPr>
              <w:t xml:space="preserve"> </w:t>
            </w:r>
            <w:r>
              <w:rPr>
                <w:sz w:val="20"/>
              </w:rPr>
              <w:t>f</w:t>
            </w:r>
            <w:r w:rsidRPr="00EC42F9">
              <w:rPr>
                <w:sz w:val="20"/>
              </w:rPr>
              <w:t xml:space="preserve">ile </w:t>
            </w:r>
            <w:r>
              <w:rPr>
                <w:sz w:val="20"/>
              </w:rPr>
              <w:t>s</w:t>
            </w:r>
            <w:r w:rsidRPr="00EC42F9">
              <w:rPr>
                <w:sz w:val="20"/>
              </w:rPr>
              <w:t>hares)</w:t>
            </w:r>
            <w:r>
              <w:rPr>
                <w:sz w:val="20"/>
              </w:rPr>
              <w:t>.</w:t>
            </w:r>
          </w:p>
        </w:tc>
      </w:tr>
      <w:tr w:rsidR="00621420" w:rsidRPr="00EC42F9" w14:paraId="197A542F" w14:textId="77777777" w:rsidTr="00EC42F9">
        <w:tc>
          <w:tcPr>
            <w:tcW w:w="1435" w:type="dxa"/>
          </w:tcPr>
          <w:p w14:paraId="096462BE" w14:textId="71536C99" w:rsidR="00621420" w:rsidRPr="00EC42F9" w:rsidRDefault="00621420" w:rsidP="00621420">
            <w:pPr>
              <w:rPr>
                <w:sz w:val="20"/>
              </w:rPr>
            </w:pPr>
            <w:r w:rsidRPr="00EC42F9">
              <w:rPr>
                <w:b/>
                <w:sz w:val="20"/>
              </w:rPr>
              <w:t>PaaS</w:t>
            </w:r>
          </w:p>
        </w:tc>
        <w:tc>
          <w:tcPr>
            <w:tcW w:w="2700" w:type="dxa"/>
          </w:tcPr>
          <w:p w14:paraId="70B6205E" w14:textId="77777777" w:rsidR="00621420" w:rsidRDefault="00621420" w:rsidP="00621420">
            <w:pPr>
              <w:rPr>
                <w:sz w:val="20"/>
              </w:rPr>
            </w:pPr>
            <w:r w:rsidRPr="00EC42F9">
              <w:rPr>
                <w:sz w:val="20"/>
              </w:rPr>
              <w:t xml:space="preserve">Performed by the customer </w:t>
            </w:r>
            <w:r>
              <w:rPr>
                <w:sz w:val="20"/>
              </w:rPr>
              <w:t xml:space="preserve">by </w:t>
            </w:r>
            <w:r w:rsidRPr="00EC42F9">
              <w:rPr>
                <w:sz w:val="20"/>
              </w:rPr>
              <w:t>encryptin</w:t>
            </w:r>
            <w:r>
              <w:rPr>
                <w:sz w:val="20"/>
              </w:rPr>
              <w:t>g</w:t>
            </w:r>
            <w:r w:rsidRPr="00EC42F9">
              <w:rPr>
                <w:sz w:val="20"/>
              </w:rPr>
              <w:t xml:space="preserve"> data located in Queue, Table</w:t>
            </w:r>
            <w:r>
              <w:rPr>
                <w:sz w:val="20"/>
              </w:rPr>
              <w:t>,</w:t>
            </w:r>
            <w:r w:rsidRPr="00EC42F9">
              <w:rPr>
                <w:sz w:val="20"/>
              </w:rPr>
              <w:t xml:space="preserve"> and Blob storage</w:t>
            </w:r>
            <w:r>
              <w:rPr>
                <w:sz w:val="20"/>
              </w:rPr>
              <w:t>.</w:t>
            </w:r>
            <w:r w:rsidRPr="00EC42F9">
              <w:rPr>
                <w:sz w:val="20"/>
              </w:rPr>
              <w:t xml:space="preserve"> </w:t>
            </w:r>
            <w:r>
              <w:rPr>
                <w:sz w:val="20"/>
              </w:rPr>
              <w:t>U</w:t>
            </w:r>
            <w:r w:rsidRPr="00EC42F9">
              <w:rPr>
                <w:sz w:val="20"/>
              </w:rPr>
              <w:t>s</w:t>
            </w:r>
            <w:r>
              <w:rPr>
                <w:sz w:val="20"/>
              </w:rPr>
              <w:t>es Microsoft</w:t>
            </w:r>
            <w:r w:rsidRPr="00EC42F9">
              <w:rPr>
                <w:sz w:val="20"/>
              </w:rPr>
              <w:t xml:space="preserve"> encryption mechanisms.</w:t>
            </w:r>
            <w:r>
              <w:rPr>
                <w:sz w:val="20"/>
              </w:rPr>
              <w:t xml:space="preserve"> </w:t>
            </w:r>
          </w:p>
          <w:p w14:paraId="1604B588" w14:textId="77777777" w:rsidR="00621420" w:rsidRPr="00EC42F9" w:rsidRDefault="00621420" w:rsidP="00621420">
            <w:pPr>
              <w:rPr>
                <w:sz w:val="20"/>
              </w:rPr>
            </w:pPr>
            <w:r w:rsidRPr="00EC42F9">
              <w:rPr>
                <w:sz w:val="20"/>
              </w:rPr>
              <w:t xml:space="preserve">Technologies </w:t>
            </w:r>
            <w:r>
              <w:rPr>
                <w:sz w:val="20"/>
              </w:rPr>
              <w:t>that</w:t>
            </w:r>
            <w:r w:rsidRPr="00EC42F9">
              <w:rPr>
                <w:sz w:val="20"/>
              </w:rPr>
              <w:t xml:space="preserve"> assist with this are:</w:t>
            </w:r>
          </w:p>
          <w:p w14:paraId="4DB4CDCA" w14:textId="77777777" w:rsidR="00621420" w:rsidRPr="00EC42F9" w:rsidRDefault="00621420" w:rsidP="005729D2">
            <w:pPr>
              <w:pStyle w:val="ListParagraph"/>
              <w:numPr>
                <w:ilvl w:val="0"/>
                <w:numId w:val="182"/>
              </w:numPr>
              <w:spacing w:before="0" w:after="0" w:line="240" w:lineRule="auto"/>
              <w:rPr>
                <w:sz w:val="20"/>
              </w:rPr>
            </w:pPr>
            <w:r>
              <w:rPr>
                <w:sz w:val="20"/>
              </w:rPr>
              <w:t>Key Vault</w:t>
            </w:r>
          </w:p>
          <w:p w14:paraId="2C479EBE" w14:textId="77777777" w:rsidR="00621420" w:rsidRPr="00EC42F9" w:rsidRDefault="00621420" w:rsidP="005729D2">
            <w:pPr>
              <w:pStyle w:val="ListParagraph"/>
              <w:numPr>
                <w:ilvl w:val="0"/>
                <w:numId w:val="182"/>
              </w:numPr>
              <w:spacing w:before="0" w:after="0" w:line="240" w:lineRule="auto"/>
              <w:rPr>
                <w:sz w:val="20"/>
              </w:rPr>
            </w:pPr>
            <w:r w:rsidRPr="00EC42F9">
              <w:rPr>
                <w:sz w:val="20"/>
              </w:rPr>
              <w:t xml:space="preserve">Client-Side Encryption </w:t>
            </w:r>
            <w:r w:rsidRPr="00EC42F9">
              <w:rPr>
                <w:b/>
                <w:sz w:val="20"/>
              </w:rPr>
              <w:t>(Preview)</w:t>
            </w:r>
          </w:p>
          <w:p w14:paraId="52A1A920" w14:textId="77777777" w:rsidR="00621420" w:rsidRPr="00EC42F9" w:rsidRDefault="00621420" w:rsidP="005729D2">
            <w:pPr>
              <w:pStyle w:val="ListParagraph"/>
              <w:numPr>
                <w:ilvl w:val="0"/>
                <w:numId w:val="182"/>
              </w:numPr>
              <w:spacing w:before="0" w:after="0" w:line="240" w:lineRule="auto"/>
              <w:rPr>
                <w:sz w:val="20"/>
              </w:rPr>
            </w:pPr>
            <w:r w:rsidRPr="00EC42F9">
              <w:rPr>
                <w:sz w:val="20"/>
              </w:rPr>
              <w:t xml:space="preserve">Azure SQL Database Transparent Data Encryption </w:t>
            </w:r>
            <w:r w:rsidRPr="00EC42F9">
              <w:rPr>
                <w:b/>
                <w:sz w:val="20"/>
              </w:rPr>
              <w:t>(Preview)</w:t>
            </w:r>
          </w:p>
          <w:p w14:paraId="00007B72" w14:textId="1EE2231E" w:rsidR="00621420" w:rsidRPr="00EC42F9" w:rsidRDefault="00621420" w:rsidP="005729D2">
            <w:pPr>
              <w:pStyle w:val="ListParagraph"/>
              <w:numPr>
                <w:ilvl w:val="0"/>
                <w:numId w:val="182"/>
              </w:numPr>
              <w:spacing w:before="0" w:after="0" w:line="240" w:lineRule="auto"/>
              <w:rPr>
                <w:sz w:val="20"/>
              </w:rPr>
            </w:pPr>
            <w:r w:rsidRPr="00EC42F9">
              <w:rPr>
                <w:sz w:val="20"/>
              </w:rPr>
              <w:t>Azure Table Encryption</w:t>
            </w:r>
          </w:p>
        </w:tc>
        <w:tc>
          <w:tcPr>
            <w:tcW w:w="2700" w:type="dxa"/>
          </w:tcPr>
          <w:p w14:paraId="6469FE5A" w14:textId="77777777" w:rsidR="00621420" w:rsidRDefault="00621420" w:rsidP="00621420">
            <w:pPr>
              <w:rPr>
                <w:sz w:val="20"/>
              </w:rPr>
            </w:pPr>
            <w:r w:rsidRPr="00EC42F9">
              <w:rPr>
                <w:sz w:val="20"/>
              </w:rPr>
              <w:t xml:space="preserve">Performed by the customer </w:t>
            </w:r>
            <w:r>
              <w:rPr>
                <w:sz w:val="20"/>
              </w:rPr>
              <w:t xml:space="preserve">by </w:t>
            </w:r>
            <w:r w:rsidRPr="00EC42F9">
              <w:rPr>
                <w:sz w:val="20"/>
              </w:rPr>
              <w:t>using transport encryption of traffic traversing storage account network endpoints</w:t>
            </w:r>
            <w:r>
              <w:rPr>
                <w:sz w:val="20"/>
              </w:rPr>
              <w:t>.</w:t>
            </w:r>
            <w:r w:rsidRPr="00EC42F9">
              <w:rPr>
                <w:sz w:val="20"/>
              </w:rPr>
              <w:t xml:space="preserve"> </w:t>
            </w:r>
            <w:r>
              <w:rPr>
                <w:sz w:val="20"/>
              </w:rPr>
              <w:t>Microsoft</w:t>
            </w:r>
            <w:r w:rsidRPr="00EC42F9">
              <w:rPr>
                <w:sz w:val="20"/>
              </w:rPr>
              <w:t xml:space="preserve"> and third-party mechanisms</w:t>
            </w:r>
            <w:r>
              <w:rPr>
                <w:sz w:val="20"/>
              </w:rPr>
              <w:t xml:space="preserve"> are used</w:t>
            </w:r>
            <w:r w:rsidRPr="00EC42F9">
              <w:rPr>
                <w:sz w:val="20"/>
              </w:rPr>
              <w:t xml:space="preserve">. </w:t>
            </w:r>
          </w:p>
          <w:p w14:paraId="514FB556" w14:textId="77777777" w:rsidR="00621420" w:rsidRDefault="00621420" w:rsidP="00621420">
            <w:pPr>
              <w:rPr>
                <w:sz w:val="20"/>
              </w:rPr>
            </w:pPr>
            <w:r w:rsidRPr="00EC42F9">
              <w:rPr>
                <w:sz w:val="20"/>
              </w:rPr>
              <w:t xml:space="preserve">Actions performed by Azure include encryption of traffic between Azure datacenters. </w:t>
            </w:r>
          </w:p>
          <w:p w14:paraId="79EC7AA2" w14:textId="77777777" w:rsidR="00621420" w:rsidRPr="00EC42F9" w:rsidRDefault="00621420" w:rsidP="00621420">
            <w:pPr>
              <w:rPr>
                <w:sz w:val="20"/>
              </w:rPr>
            </w:pPr>
            <w:r w:rsidRPr="00EC42F9">
              <w:rPr>
                <w:sz w:val="20"/>
              </w:rPr>
              <w:t xml:space="preserve">Technologies </w:t>
            </w:r>
            <w:r>
              <w:rPr>
                <w:sz w:val="20"/>
              </w:rPr>
              <w:t>that</w:t>
            </w:r>
            <w:r w:rsidRPr="00EC42F9">
              <w:rPr>
                <w:sz w:val="20"/>
              </w:rPr>
              <w:t xml:space="preserve"> assist with this are:</w:t>
            </w:r>
          </w:p>
          <w:p w14:paraId="00298341" w14:textId="77777777" w:rsidR="00621420" w:rsidRPr="00EC42F9" w:rsidRDefault="00621420" w:rsidP="005729D2">
            <w:pPr>
              <w:pStyle w:val="ListParagraph"/>
              <w:numPr>
                <w:ilvl w:val="0"/>
                <w:numId w:val="182"/>
              </w:numPr>
              <w:spacing w:before="0" w:after="0" w:line="240" w:lineRule="auto"/>
              <w:rPr>
                <w:sz w:val="20"/>
              </w:rPr>
            </w:pPr>
            <w:r w:rsidRPr="00EC42F9">
              <w:rPr>
                <w:sz w:val="20"/>
              </w:rPr>
              <w:t>HTTPS/REST API</w:t>
            </w:r>
          </w:p>
          <w:p w14:paraId="539D0564" w14:textId="77777777" w:rsidR="00621420" w:rsidRPr="00EC42F9" w:rsidRDefault="00621420" w:rsidP="005729D2">
            <w:pPr>
              <w:pStyle w:val="ListParagraph"/>
              <w:numPr>
                <w:ilvl w:val="0"/>
                <w:numId w:val="182"/>
              </w:numPr>
              <w:spacing w:before="0" w:after="0" w:line="240" w:lineRule="auto"/>
              <w:rPr>
                <w:sz w:val="20"/>
              </w:rPr>
            </w:pPr>
            <w:r w:rsidRPr="00EC42F9">
              <w:rPr>
                <w:sz w:val="20"/>
              </w:rPr>
              <w:t xml:space="preserve">Storage </w:t>
            </w:r>
            <w:r>
              <w:rPr>
                <w:sz w:val="20"/>
              </w:rPr>
              <w:t>a</w:t>
            </w:r>
            <w:r w:rsidRPr="00EC42F9">
              <w:rPr>
                <w:sz w:val="20"/>
              </w:rPr>
              <w:t>ccount endpoints</w:t>
            </w:r>
          </w:p>
          <w:p w14:paraId="49E4B0AF" w14:textId="77777777" w:rsidR="00621420" w:rsidRPr="00EC42F9" w:rsidRDefault="00621420" w:rsidP="00621420">
            <w:pPr>
              <w:rPr>
                <w:sz w:val="20"/>
              </w:rPr>
            </w:pPr>
          </w:p>
          <w:p w14:paraId="21C31BC6" w14:textId="77777777" w:rsidR="00621420" w:rsidRPr="00EC42F9" w:rsidRDefault="00621420" w:rsidP="00621420">
            <w:pPr>
              <w:rPr>
                <w:sz w:val="20"/>
              </w:rPr>
            </w:pPr>
          </w:p>
        </w:tc>
        <w:tc>
          <w:tcPr>
            <w:tcW w:w="2515" w:type="dxa"/>
          </w:tcPr>
          <w:p w14:paraId="70F1FBEB" w14:textId="77777777" w:rsidR="00621420" w:rsidRDefault="00621420" w:rsidP="00621420">
            <w:pPr>
              <w:rPr>
                <w:sz w:val="20"/>
              </w:rPr>
            </w:pPr>
            <w:r w:rsidRPr="00EC42F9">
              <w:rPr>
                <w:sz w:val="20"/>
              </w:rPr>
              <w:t xml:space="preserve">Performed by the customer </w:t>
            </w:r>
            <w:r>
              <w:rPr>
                <w:sz w:val="20"/>
              </w:rPr>
              <w:t xml:space="preserve">by </w:t>
            </w:r>
            <w:r w:rsidRPr="00EC42F9">
              <w:rPr>
                <w:sz w:val="20"/>
              </w:rPr>
              <w:t xml:space="preserve">using shared access keys and </w:t>
            </w:r>
            <w:r>
              <w:rPr>
                <w:sz w:val="20"/>
              </w:rPr>
              <w:t xml:space="preserve">shared access </w:t>
            </w:r>
            <w:r w:rsidRPr="00EC42F9">
              <w:rPr>
                <w:sz w:val="20"/>
              </w:rPr>
              <w:t>signatures to provide access to data stored in Queue, Table</w:t>
            </w:r>
            <w:r>
              <w:rPr>
                <w:sz w:val="20"/>
              </w:rPr>
              <w:t>,</w:t>
            </w:r>
            <w:r w:rsidRPr="00EC42F9">
              <w:rPr>
                <w:sz w:val="20"/>
              </w:rPr>
              <w:t xml:space="preserve"> and Blob storage. </w:t>
            </w:r>
          </w:p>
          <w:p w14:paraId="0E5A4C34" w14:textId="77777777" w:rsidR="00621420" w:rsidRPr="00EC42F9" w:rsidRDefault="00621420" w:rsidP="00621420">
            <w:pPr>
              <w:rPr>
                <w:sz w:val="20"/>
              </w:rPr>
            </w:pPr>
            <w:r w:rsidRPr="00EC42F9">
              <w:rPr>
                <w:sz w:val="20"/>
              </w:rPr>
              <w:t xml:space="preserve">Technologies </w:t>
            </w:r>
            <w:r>
              <w:rPr>
                <w:sz w:val="20"/>
              </w:rPr>
              <w:t>that</w:t>
            </w:r>
            <w:r w:rsidRPr="00EC42F9">
              <w:rPr>
                <w:sz w:val="20"/>
              </w:rPr>
              <w:t xml:space="preserve"> assist with this are:</w:t>
            </w:r>
          </w:p>
          <w:p w14:paraId="392A14AC" w14:textId="77777777" w:rsidR="00621420" w:rsidRPr="00EC42F9" w:rsidRDefault="00621420" w:rsidP="005729D2">
            <w:pPr>
              <w:pStyle w:val="ListParagraph"/>
              <w:numPr>
                <w:ilvl w:val="0"/>
                <w:numId w:val="182"/>
              </w:numPr>
              <w:spacing w:before="0" w:after="0" w:line="240" w:lineRule="auto"/>
              <w:rPr>
                <w:sz w:val="20"/>
              </w:rPr>
            </w:pPr>
            <w:r w:rsidRPr="00EC42F9">
              <w:rPr>
                <w:sz w:val="20"/>
              </w:rPr>
              <w:t xml:space="preserve">Shared </w:t>
            </w:r>
            <w:r>
              <w:rPr>
                <w:sz w:val="20"/>
              </w:rPr>
              <w:t>a</w:t>
            </w:r>
            <w:r w:rsidRPr="00EC42F9">
              <w:rPr>
                <w:sz w:val="20"/>
              </w:rPr>
              <w:t xml:space="preserve">ccess </w:t>
            </w:r>
            <w:r>
              <w:rPr>
                <w:sz w:val="20"/>
              </w:rPr>
              <w:t>s</w:t>
            </w:r>
            <w:r w:rsidRPr="00EC42F9">
              <w:rPr>
                <w:sz w:val="20"/>
              </w:rPr>
              <w:t>ignatures</w:t>
            </w:r>
          </w:p>
          <w:p w14:paraId="1E67E3A7" w14:textId="77777777" w:rsidR="00621420" w:rsidRPr="00EC42F9" w:rsidRDefault="00621420" w:rsidP="005729D2">
            <w:pPr>
              <w:pStyle w:val="ListParagraph"/>
              <w:numPr>
                <w:ilvl w:val="0"/>
                <w:numId w:val="182"/>
              </w:numPr>
              <w:spacing w:before="0" w:after="0" w:line="240" w:lineRule="auto"/>
              <w:rPr>
                <w:sz w:val="20"/>
              </w:rPr>
            </w:pPr>
            <w:r w:rsidRPr="00EC42F9">
              <w:rPr>
                <w:sz w:val="20"/>
              </w:rPr>
              <w:t xml:space="preserve">Storage </w:t>
            </w:r>
            <w:r>
              <w:rPr>
                <w:sz w:val="20"/>
              </w:rPr>
              <w:t>a</w:t>
            </w:r>
            <w:r w:rsidRPr="00EC42F9">
              <w:rPr>
                <w:sz w:val="20"/>
              </w:rPr>
              <w:t xml:space="preserve">ccount </w:t>
            </w:r>
            <w:r>
              <w:rPr>
                <w:sz w:val="20"/>
              </w:rPr>
              <w:t>a</w:t>
            </w:r>
            <w:r w:rsidRPr="00EC42F9">
              <w:rPr>
                <w:sz w:val="20"/>
              </w:rPr>
              <w:t xml:space="preserve">ccess </w:t>
            </w:r>
            <w:r>
              <w:rPr>
                <w:sz w:val="20"/>
              </w:rPr>
              <w:t>k</w:t>
            </w:r>
            <w:r w:rsidRPr="00EC42F9">
              <w:rPr>
                <w:sz w:val="20"/>
              </w:rPr>
              <w:t>eys</w:t>
            </w:r>
          </w:p>
          <w:p w14:paraId="25FA96DD" w14:textId="129536FE" w:rsidR="00621420" w:rsidRPr="00EC42F9" w:rsidRDefault="00621420" w:rsidP="005729D2">
            <w:pPr>
              <w:pStyle w:val="ListParagraph"/>
              <w:numPr>
                <w:ilvl w:val="0"/>
                <w:numId w:val="182"/>
              </w:numPr>
              <w:spacing w:before="0" w:after="0" w:line="240" w:lineRule="auto"/>
              <w:rPr>
                <w:sz w:val="20"/>
              </w:rPr>
            </w:pPr>
            <w:r w:rsidRPr="00EC42F9">
              <w:rPr>
                <w:sz w:val="20"/>
              </w:rPr>
              <w:t xml:space="preserve">Storage </w:t>
            </w:r>
            <w:r>
              <w:rPr>
                <w:sz w:val="20"/>
              </w:rPr>
              <w:t>a</w:t>
            </w:r>
            <w:r w:rsidRPr="00EC42F9">
              <w:rPr>
                <w:sz w:val="20"/>
              </w:rPr>
              <w:t>ccount endpoints</w:t>
            </w:r>
          </w:p>
        </w:tc>
      </w:tr>
      <w:tr w:rsidR="00621420" w:rsidRPr="00EC42F9" w14:paraId="2F466C03" w14:textId="77777777" w:rsidTr="00621420">
        <w:tc>
          <w:tcPr>
            <w:tcW w:w="1435" w:type="dxa"/>
            <w:shd w:val="clear" w:color="auto" w:fill="F2F2F2" w:themeFill="background1" w:themeFillShade="F2"/>
          </w:tcPr>
          <w:p w14:paraId="04FC55E3" w14:textId="0F1C23EA" w:rsidR="00621420" w:rsidRPr="00EC42F9" w:rsidRDefault="00621420" w:rsidP="00621420">
            <w:pPr>
              <w:rPr>
                <w:sz w:val="20"/>
              </w:rPr>
            </w:pPr>
            <w:r w:rsidRPr="00EC42F9">
              <w:rPr>
                <w:b/>
                <w:sz w:val="20"/>
              </w:rPr>
              <w:t>StorSimple</w:t>
            </w:r>
          </w:p>
        </w:tc>
        <w:tc>
          <w:tcPr>
            <w:tcW w:w="2700" w:type="dxa"/>
            <w:shd w:val="clear" w:color="auto" w:fill="F2F2F2" w:themeFill="background1" w:themeFillShade="F2"/>
          </w:tcPr>
          <w:p w14:paraId="5F778B87" w14:textId="507D8CDE" w:rsidR="00621420" w:rsidRPr="00EC42F9" w:rsidRDefault="00621420" w:rsidP="00621420">
            <w:pPr>
              <w:rPr>
                <w:sz w:val="20"/>
              </w:rPr>
            </w:pPr>
            <w:r w:rsidRPr="00EC42F9">
              <w:rPr>
                <w:sz w:val="20"/>
              </w:rPr>
              <w:t xml:space="preserve">Performed by the appliance using AES-256 encryption with Cipher Block Chaining (CBC) prior to saving to the mapped Azure </w:t>
            </w:r>
            <w:r>
              <w:rPr>
                <w:sz w:val="20"/>
              </w:rPr>
              <w:t>s</w:t>
            </w:r>
            <w:r w:rsidRPr="00EC42F9">
              <w:rPr>
                <w:sz w:val="20"/>
              </w:rPr>
              <w:t xml:space="preserve">torage </w:t>
            </w:r>
            <w:r>
              <w:rPr>
                <w:sz w:val="20"/>
              </w:rPr>
              <w:t>a</w:t>
            </w:r>
            <w:r w:rsidRPr="00EC42F9">
              <w:rPr>
                <w:sz w:val="20"/>
              </w:rPr>
              <w:t>ccount.</w:t>
            </w:r>
          </w:p>
        </w:tc>
        <w:tc>
          <w:tcPr>
            <w:tcW w:w="2700" w:type="dxa"/>
            <w:shd w:val="clear" w:color="auto" w:fill="F2F2F2" w:themeFill="background1" w:themeFillShade="F2"/>
          </w:tcPr>
          <w:p w14:paraId="08309E60" w14:textId="2B8270BA" w:rsidR="00621420" w:rsidRPr="00EC42F9" w:rsidRDefault="00621420" w:rsidP="00621420">
            <w:pPr>
              <w:rPr>
                <w:sz w:val="20"/>
              </w:rPr>
            </w:pPr>
            <w:r w:rsidRPr="00EC42F9">
              <w:rPr>
                <w:sz w:val="20"/>
              </w:rPr>
              <w:t xml:space="preserve">Performed by the customer </w:t>
            </w:r>
            <w:r>
              <w:rPr>
                <w:sz w:val="20"/>
              </w:rPr>
              <w:t xml:space="preserve">by </w:t>
            </w:r>
            <w:r w:rsidRPr="00EC42F9">
              <w:rPr>
                <w:sz w:val="20"/>
              </w:rPr>
              <w:t>using transport encryption of traffic traversing exposed physical</w:t>
            </w:r>
            <w:r>
              <w:rPr>
                <w:sz w:val="20"/>
              </w:rPr>
              <w:t xml:space="preserve"> or </w:t>
            </w:r>
            <w:r w:rsidRPr="00EC42F9">
              <w:rPr>
                <w:sz w:val="20"/>
              </w:rPr>
              <w:t>virtual machine network endpoints. Performed by the appliance using SSL encryption.</w:t>
            </w:r>
          </w:p>
        </w:tc>
        <w:tc>
          <w:tcPr>
            <w:tcW w:w="2515" w:type="dxa"/>
            <w:shd w:val="clear" w:color="auto" w:fill="F2F2F2" w:themeFill="background1" w:themeFillShade="F2"/>
          </w:tcPr>
          <w:p w14:paraId="0AD96E6C" w14:textId="77777777" w:rsidR="00621420" w:rsidRDefault="00621420" w:rsidP="00621420">
            <w:pPr>
              <w:rPr>
                <w:sz w:val="20"/>
              </w:rPr>
            </w:pPr>
            <w:r w:rsidRPr="00EC42F9">
              <w:rPr>
                <w:sz w:val="20"/>
              </w:rPr>
              <w:t xml:space="preserve">Performed by the customer </w:t>
            </w:r>
            <w:r>
              <w:rPr>
                <w:sz w:val="20"/>
              </w:rPr>
              <w:t xml:space="preserve">by </w:t>
            </w:r>
            <w:r w:rsidRPr="00EC42F9">
              <w:rPr>
                <w:sz w:val="20"/>
              </w:rPr>
              <w:t xml:space="preserve">using native protections within the installed operating system to authenticate and authorize access to attached StorSimple volumes. </w:t>
            </w:r>
          </w:p>
          <w:p w14:paraId="4C3884AB" w14:textId="526DE599" w:rsidR="00621420" w:rsidRPr="00EC42F9" w:rsidRDefault="00621420" w:rsidP="00621420">
            <w:pPr>
              <w:rPr>
                <w:sz w:val="20"/>
              </w:rPr>
            </w:pPr>
            <w:r w:rsidRPr="00EC42F9">
              <w:rPr>
                <w:sz w:val="20"/>
              </w:rPr>
              <w:t xml:space="preserve">Performed by the appliance </w:t>
            </w:r>
            <w:r>
              <w:rPr>
                <w:sz w:val="20"/>
              </w:rPr>
              <w:t xml:space="preserve">by </w:t>
            </w:r>
            <w:r w:rsidRPr="00EC42F9">
              <w:rPr>
                <w:sz w:val="20"/>
              </w:rPr>
              <w:t>using authentication protocols (</w:t>
            </w:r>
            <w:r>
              <w:rPr>
                <w:sz w:val="20"/>
              </w:rPr>
              <w:t>such as</w:t>
            </w:r>
            <w:r w:rsidRPr="00EC42F9">
              <w:rPr>
                <w:sz w:val="20"/>
              </w:rPr>
              <w:t xml:space="preserve"> CHAP), ACLs, network access control</w:t>
            </w:r>
            <w:r>
              <w:rPr>
                <w:sz w:val="20"/>
              </w:rPr>
              <w:t>,</w:t>
            </w:r>
            <w:r w:rsidRPr="00EC42F9">
              <w:rPr>
                <w:sz w:val="20"/>
              </w:rPr>
              <w:t xml:space="preserve"> and </w:t>
            </w:r>
            <w:r>
              <w:rPr>
                <w:sz w:val="20"/>
              </w:rPr>
              <w:t>R</w:t>
            </w:r>
            <w:r w:rsidRPr="00EC42F9">
              <w:rPr>
                <w:sz w:val="20"/>
              </w:rPr>
              <w:t>ole-</w:t>
            </w:r>
            <w:r>
              <w:rPr>
                <w:sz w:val="20"/>
              </w:rPr>
              <w:t>B</w:t>
            </w:r>
            <w:r w:rsidRPr="00EC42F9">
              <w:rPr>
                <w:sz w:val="20"/>
              </w:rPr>
              <w:t xml:space="preserve">ased </w:t>
            </w:r>
            <w:r>
              <w:rPr>
                <w:sz w:val="20"/>
              </w:rPr>
              <w:t>A</w:t>
            </w:r>
            <w:r w:rsidRPr="00EC42F9">
              <w:rPr>
                <w:sz w:val="20"/>
              </w:rPr>
              <w:t xml:space="preserve">ccess </w:t>
            </w:r>
            <w:r>
              <w:rPr>
                <w:sz w:val="20"/>
              </w:rPr>
              <w:t>C</w:t>
            </w:r>
            <w:r w:rsidRPr="00EC42F9">
              <w:rPr>
                <w:sz w:val="20"/>
              </w:rPr>
              <w:t>ontrol (RBAC).</w:t>
            </w:r>
          </w:p>
        </w:tc>
      </w:tr>
    </w:tbl>
    <w:p w14:paraId="0BB58705" w14:textId="256D6689" w:rsidR="00EC42F9" w:rsidRDefault="00EC42F9" w:rsidP="00A55D83"/>
    <w:p w14:paraId="3D102AFE" w14:textId="77777777" w:rsidR="00EC42F9" w:rsidRDefault="00EC42F9" w:rsidP="00A55D83"/>
    <w:p w14:paraId="304E2093" w14:textId="77777777" w:rsidR="00EC42F9" w:rsidRDefault="00EC42F9" w:rsidP="00A55D83"/>
    <w:tbl>
      <w:tblPr>
        <w:tblStyle w:val="GridTable4-Accent31"/>
        <w:tblW w:w="0" w:type="auto"/>
        <w:tblLook w:val="04A0" w:firstRow="1" w:lastRow="0" w:firstColumn="1" w:lastColumn="0" w:noHBand="0" w:noVBand="1"/>
      </w:tblPr>
      <w:tblGrid>
        <w:gridCol w:w="1628"/>
        <w:gridCol w:w="7722"/>
      </w:tblGrid>
      <w:tr w:rsidR="00EC42F9" w:rsidRPr="00374DAE" w14:paraId="333C520B" w14:textId="77777777" w:rsidTr="00930F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2"/>
          </w:tcPr>
          <w:p w14:paraId="16C8DFBF" w14:textId="51AFF1A6" w:rsidR="00EC42F9" w:rsidRPr="00374DAE" w:rsidRDefault="00621420" w:rsidP="00EC42F9">
            <w:pPr>
              <w:spacing w:line="240" w:lineRule="auto"/>
              <w:rPr>
                <w:rFonts w:cs="Segoe UI"/>
                <w:sz w:val="20"/>
                <w:szCs w:val="20"/>
              </w:rPr>
            </w:pPr>
            <w:r w:rsidRPr="00DC50BC">
              <w:rPr>
                <w:sz w:val="20"/>
              </w:rPr>
              <w:t>Feature References</w:t>
            </w:r>
          </w:p>
        </w:tc>
      </w:tr>
      <w:tr w:rsidR="00621420" w:rsidRPr="00374DAE" w14:paraId="12120362" w14:textId="77777777" w:rsidTr="00930F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481DF7D" w14:textId="079E62F2" w:rsidR="00621420" w:rsidRPr="00930F52" w:rsidRDefault="00621420" w:rsidP="00621420">
            <w:pPr>
              <w:spacing w:line="240" w:lineRule="auto"/>
              <w:rPr>
                <w:rFonts w:cs="Segoe UI"/>
                <w:sz w:val="20"/>
                <w:szCs w:val="20"/>
              </w:rPr>
            </w:pPr>
            <w:r w:rsidRPr="00884543">
              <w:rPr>
                <w:sz w:val="20"/>
              </w:rPr>
              <w:t>BitLocker Drive Encryption</w:t>
            </w:r>
          </w:p>
        </w:tc>
        <w:tc>
          <w:tcPr>
            <w:tcW w:w="0" w:type="auto"/>
          </w:tcPr>
          <w:p w14:paraId="62468BB2" w14:textId="77777777" w:rsidR="00621420" w:rsidRPr="00374DAE" w:rsidRDefault="00872E47" w:rsidP="00621420">
            <w:pPr>
              <w:spacing w:before="0" w:after="0" w:line="240" w:lineRule="auto"/>
              <w:cnfStyle w:val="000000100000" w:firstRow="0" w:lastRow="0" w:firstColumn="0" w:lastColumn="0" w:oddVBand="0" w:evenVBand="0" w:oddHBand="1" w:evenHBand="0" w:firstRowFirstColumn="0" w:firstRowLastColumn="0" w:lastRowFirstColumn="0" w:lastRowLastColumn="0"/>
              <w:rPr>
                <w:rFonts w:cs="Segoe UI"/>
                <w:color w:val="1F497D"/>
                <w:sz w:val="20"/>
                <w:szCs w:val="20"/>
              </w:rPr>
            </w:pPr>
            <w:hyperlink r:id="rId144" w:history="1">
              <w:r w:rsidR="00621420" w:rsidRPr="00374DAE">
                <w:rPr>
                  <w:rStyle w:val="Hyperlink"/>
                  <w:rFonts w:cs="Segoe UI"/>
                  <w:sz w:val="20"/>
                  <w:szCs w:val="20"/>
                </w:rPr>
                <w:t>https://technet.microsoft.com/en-us/library/cc732774.aspx</w:t>
              </w:r>
            </w:hyperlink>
            <w:r w:rsidR="00621420" w:rsidRPr="00374DAE">
              <w:rPr>
                <w:rFonts w:cs="Segoe UI"/>
                <w:color w:val="1F497D"/>
                <w:sz w:val="20"/>
                <w:szCs w:val="20"/>
              </w:rPr>
              <w:t xml:space="preserve"> </w:t>
            </w:r>
          </w:p>
          <w:p w14:paraId="256796D4" w14:textId="5444601C" w:rsidR="00621420" w:rsidRPr="00374DAE" w:rsidRDefault="00621420" w:rsidP="00621420">
            <w:pPr>
              <w:cnfStyle w:val="000000100000" w:firstRow="0" w:lastRow="0" w:firstColumn="0" w:lastColumn="0" w:oddVBand="0" w:evenVBand="0" w:oddHBand="1" w:evenHBand="0" w:firstRowFirstColumn="0" w:firstRowLastColumn="0" w:lastRowFirstColumn="0" w:lastRowLastColumn="0"/>
              <w:rPr>
                <w:rFonts w:cs="Segoe UI"/>
                <w:sz w:val="20"/>
                <w:szCs w:val="20"/>
              </w:rPr>
            </w:pPr>
          </w:p>
        </w:tc>
      </w:tr>
      <w:tr w:rsidR="00621420" w:rsidRPr="00374DAE" w14:paraId="02395EF1" w14:textId="77777777" w:rsidTr="00930F52">
        <w:tc>
          <w:tcPr>
            <w:cnfStyle w:val="001000000000" w:firstRow="0" w:lastRow="0" w:firstColumn="1" w:lastColumn="0" w:oddVBand="0" w:evenVBand="0" w:oddHBand="0" w:evenHBand="0" w:firstRowFirstColumn="0" w:firstRowLastColumn="0" w:lastRowFirstColumn="0" w:lastRowLastColumn="0"/>
            <w:tcW w:w="0" w:type="auto"/>
          </w:tcPr>
          <w:p w14:paraId="58187B33" w14:textId="4B0154CF" w:rsidR="00621420" w:rsidRPr="00930F52" w:rsidRDefault="00621420" w:rsidP="00621420">
            <w:pPr>
              <w:spacing w:line="240" w:lineRule="auto"/>
              <w:rPr>
                <w:rFonts w:cs="Segoe UI"/>
                <w:sz w:val="20"/>
                <w:szCs w:val="20"/>
              </w:rPr>
            </w:pPr>
            <w:r w:rsidRPr="00884543">
              <w:rPr>
                <w:sz w:val="20"/>
              </w:rPr>
              <w:t>Key Vault</w:t>
            </w:r>
          </w:p>
        </w:tc>
        <w:tc>
          <w:tcPr>
            <w:tcW w:w="0" w:type="auto"/>
          </w:tcPr>
          <w:p w14:paraId="0A4F2F7A" w14:textId="77777777" w:rsidR="00621420" w:rsidRPr="00374DAE" w:rsidRDefault="00872E47" w:rsidP="00621420">
            <w:pPr>
              <w:spacing w:before="0" w:after="0" w:line="240" w:lineRule="auto"/>
              <w:cnfStyle w:val="000000000000" w:firstRow="0" w:lastRow="0" w:firstColumn="0" w:lastColumn="0" w:oddVBand="0" w:evenVBand="0" w:oddHBand="0" w:evenHBand="0" w:firstRowFirstColumn="0" w:firstRowLastColumn="0" w:lastRowFirstColumn="0" w:lastRowLastColumn="0"/>
              <w:rPr>
                <w:rFonts w:cs="Segoe UI"/>
                <w:color w:val="1F497D"/>
                <w:sz w:val="20"/>
                <w:szCs w:val="20"/>
              </w:rPr>
            </w:pPr>
            <w:hyperlink r:id="rId145" w:history="1">
              <w:r w:rsidR="00621420" w:rsidRPr="00374DAE">
                <w:rPr>
                  <w:rStyle w:val="Hyperlink"/>
                  <w:rFonts w:cs="Segoe UI"/>
                  <w:sz w:val="20"/>
                  <w:szCs w:val="20"/>
                </w:rPr>
                <w:t>http://blogs.technet.com/b/kv/archive/2015/01/08/azure-key-vault-making-the-cloud-safer.aspx</w:t>
              </w:r>
            </w:hyperlink>
          </w:p>
          <w:p w14:paraId="3E3B40FF" w14:textId="1ADD1CBC" w:rsidR="00621420" w:rsidRPr="00374DAE" w:rsidRDefault="00872E47" w:rsidP="00621420">
            <w:pPr>
              <w:cnfStyle w:val="000000000000" w:firstRow="0" w:lastRow="0" w:firstColumn="0" w:lastColumn="0" w:oddVBand="0" w:evenVBand="0" w:oddHBand="0" w:evenHBand="0" w:firstRowFirstColumn="0" w:firstRowLastColumn="0" w:lastRowFirstColumn="0" w:lastRowLastColumn="0"/>
              <w:rPr>
                <w:rFonts w:cs="Segoe UI"/>
                <w:sz w:val="20"/>
                <w:szCs w:val="20"/>
              </w:rPr>
            </w:pPr>
            <w:hyperlink r:id="rId146" w:history="1">
              <w:r w:rsidR="00621420" w:rsidRPr="00374DAE">
                <w:rPr>
                  <w:rStyle w:val="Hyperlink"/>
                  <w:rFonts w:cs="Segoe UI"/>
                  <w:sz w:val="20"/>
                  <w:szCs w:val="20"/>
                </w:rPr>
                <w:t>http://azure.microsoft.com/en-us/services/key-vault</w:t>
              </w:r>
            </w:hyperlink>
          </w:p>
        </w:tc>
      </w:tr>
      <w:tr w:rsidR="00621420" w:rsidRPr="00374DAE" w14:paraId="3141AC32" w14:textId="77777777" w:rsidTr="00930F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DFBF108" w14:textId="46AEB6B5" w:rsidR="00621420" w:rsidRPr="00930F52" w:rsidRDefault="00621420" w:rsidP="00621420">
            <w:pPr>
              <w:spacing w:line="240" w:lineRule="auto"/>
              <w:rPr>
                <w:rFonts w:cs="Segoe UI"/>
                <w:sz w:val="20"/>
                <w:szCs w:val="20"/>
              </w:rPr>
            </w:pPr>
            <w:r w:rsidRPr="00884543">
              <w:rPr>
                <w:sz w:val="20"/>
              </w:rPr>
              <w:t>Azure Disk Encryption</w:t>
            </w:r>
          </w:p>
        </w:tc>
        <w:tc>
          <w:tcPr>
            <w:tcW w:w="0" w:type="auto"/>
          </w:tcPr>
          <w:p w14:paraId="37A42B4D" w14:textId="77777777" w:rsidR="00621420" w:rsidRPr="00374DAE" w:rsidRDefault="00872E47" w:rsidP="00621420">
            <w:pPr>
              <w:spacing w:before="0" w:after="0" w:line="240" w:lineRule="auto"/>
              <w:cnfStyle w:val="000000100000" w:firstRow="0" w:lastRow="0" w:firstColumn="0" w:lastColumn="0" w:oddVBand="0" w:evenVBand="0" w:oddHBand="1" w:evenHBand="0" w:firstRowFirstColumn="0" w:firstRowLastColumn="0" w:lastRowFirstColumn="0" w:lastRowLastColumn="0"/>
              <w:rPr>
                <w:rFonts w:cs="Segoe UI"/>
                <w:color w:val="1F497D"/>
                <w:sz w:val="20"/>
                <w:szCs w:val="20"/>
              </w:rPr>
            </w:pPr>
            <w:hyperlink r:id="rId147" w:history="1">
              <w:r w:rsidR="00621420" w:rsidRPr="00374DAE">
                <w:rPr>
                  <w:rStyle w:val="Hyperlink"/>
                  <w:rFonts w:cs="Segoe UI"/>
                  <w:sz w:val="20"/>
                  <w:szCs w:val="20"/>
                </w:rPr>
                <w:t>https://channel9.msdn.com/Events/Ignite/2015/BRK3490</w:t>
              </w:r>
            </w:hyperlink>
          </w:p>
          <w:p w14:paraId="301DF1E1" w14:textId="77777777" w:rsidR="00621420" w:rsidRPr="00374DAE" w:rsidRDefault="00872E47" w:rsidP="00621420">
            <w:pPr>
              <w:spacing w:before="0" w:after="0" w:line="240" w:lineRule="auto"/>
              <w:cnfStyle w:val="000000100000" w:firstRow="0" w:lastRow="0" w:firstColumn="0" w:lastColumn="0" w:oddVBand="0" w:evenVBand="0" w:oddHBand="1" w:evenHBand="0" w:firstRowFirstColumn="0" w:firstRowLastColumn="0" w:lastRowFirstColumn="0" w:lastRowLastColumn="0"/>
              <w:rPr>
                <w:rFonts w:cs="Segoe UI"/>
                <w:color w:val="1F497D"/>
                <w:sz w:val="20"/>
                <w:szCs w:val="20"/>
              </w:rPr>
            </w:pPr>
            <w:hyperlink r:id="rId148" w:history="1">
              <w:r w:rsidR="00621420" w:rsidRPr="00374DAE">
                <w:rPr>
                  <w:rStyle w:val="Hyperlink"/>
                  <w:rFonts w:cs="Segoe UI"/>
                  <w:sz w:val="20"/>
                  <w:szCs w:val="20"/>
                </w:rPr>
                <w:t>http://blogs.msdn.com/b/azuresecurity/archive/2015/05/11/azure-disk-encryption-management-for-windows-and-linux-virtual-machines.aspx</w:t>
              </w:r>
            </w:hyperlink>
          </w:p>
          <w:p w14:paraId="755AA38F" w14:textId="189C3A31" w:rsidR="00621420" w:rsidRPr="00374DAE" w:rsidRDefault="00621420" w:rsidP="00621420">
            <w:pPr>
              <w:cnfStyle w:val="000000100000" w:firstRow="0" w:lastRow="0" w:firstColumn="0" w:lastColumn="0" w:oddVBand="0" w:evenVBand="0" w:oddHBand="1" w:evenHBand="0" w:firstRowFirstColumn="0" w:firstRowLastColumn="0" w:lastRowFirstColumn="0" w:lastRowLastColumn="0"/>
              <w:rPr>
                <w:rFonts w:cs="Segoe UI"/>
                <w:sz w:val="20"/>
                <w:szCs w:val="20"/>
              </w:rPr>
            </w:pPr>
          </w:p>
        </w:tc>
      </w:tr>
      <w:tr w:rsidR="00621420" w:rsidRPr="00374DAE" w14:paraId="2CECCA50" w14:textId="77777777" w:rsidTr="00930F52">
        <w:tc>
          <w:tcPr>
            <w:cnfStyle w:val="001000000000" w:firstRow="0" w:lastRow="0" w:firstColumn="1" w:lastColumn="0" w:oddVBand="0" w:evenVBand="0" w:oddHBand="0" w:evenHBand="0" w:firstRowFirstColumn="0" w:firstRowLastColumn="0" w:lastRowFirstColumn="0" w:lastRowLastColumn="0"/>
            <w:tcW w:w="0" w:type="auto"/>
          </w:tcPr>
          <w:p w14:paraId="3F77CEC2" w14:textId="147ED6E6" w:rsidR="00621420" w:rsidRPr="00930F52" w:rsidRDefault="00621420" w:rsidP="00621420">
            <w:pPr>
              <w:spacing w:line="240" w:lineRule="auto"/>
              <w:rPr>
                <w:rFonts w:cs="Segoe UI"/>
                <w:sz w:val="20"/>
                <w:szCs w:val="20"/>
              </w:rPr>
            </w:pPr>
            <w:r w:rsidRPr="00884543">
              <w:rPr>
                <w:sz w:val="20"/>
              </w:rPr>
              <w:t>Third-Party virtual machine Volume Encryption</w:t>
            </w:r>
          </w:p>
        </w:tc>
        <w:tc>
          <w:tcPr>
            <w:tcW w:w="0" w:type="auto"/>
          </w:tcPr>
          <w:p w14:paraId="63F8291E" w14:textId="77777777" w:rsidR="00621420" w:rsidRPr="00374DAE" w:rsidRDefault="00872E47" w:rsidP="00621420">
            <w:pPr>
              <w:spacing w:before="0" w:after="0" w:line="240" w:lineRule="auto"/>
              <w:cnfStyle w:val="000000000000" w:firstRow="0" w:lastRow="0" w:firstColumn="0" w:lastColumn="0" w:oddVBand="0" w:evenVBand="0" w:oddHBand="0" w:evenHBand="0" w:firstRowFirstColumn="0" w:firstRowLastColumn="0" w:lastRowFirstColumn="0" w:lastRowLastColumn="0"/>
              <w:rPr>
                <w:rFonts w:cs="Segoe UI"/>
                <w:color w:val="1F497D"/>
                <w:sz w:val="20"/>
                <w:szCs w:val="20"/>
              </w:rPr>
            </w:pPr>
            <w:hyperlink r:id="rId149" w:history="1">
              <w:r w:rsidR="00621420" w:rsidRPr="00374DAE">
                <w:rPr>
                  <w:rStyle w:val="Hyperlink"/>
                  <w:rFonts w:cs="Segoe UI"/>
                  <w:sz w:val="20"/>
                  <w:szCs w:val="20"/>
                </w:rPr>
                <w:t>http://azure.microsoft.com/blog/2014/08/19/azure-virtual-machine-disk-encryption-using-cloudlink/</w:t>
              </w:r>
            </w:hyperlink>
          </w:p>
          <w:p w14:paraId="424E3EB6" w14:textId="77777777" w:rsidR="00621420" w:rsidRPr="00374DAE" w:rsidRDefault="00872E47" w:rsidP="00621420">
            <w:pPr>
              <w:spacing w:before="0" w:after="0" w:line="240" w:lineRule="auto"/>
              <w:cnfStyle w:val="000000000000" w:firstRow="0" w:lastRow="0" w:firstColumn="0" w:lastColumn="0" w:oddVBand="0" w:evenVBand="0" w:oddHBand="0" w:evenHBand="0" w:firstRowFirstColumn="0" w:firstRowLastColumn="0" w:lastRowFirstColumn="0" w:lastRowLastColumn="0"/>
              <w:rPr>
                <w:rFonts w:cs="Segoe UI"/>
                <w:color w:val="1F497D"/>
                <w:sz w:val="20"/>
                <w:szCs w:val="20"/>
              </w:rPr>
            </w:pPr>
            <w:hyperlink r:id="rId150" w:history="1">
              <w:r w:rsidR="00621420" w:rsidRPr="00374DAE">
                <w:rPr>
                  <w:rStyle w:val="Hyperlink"/>
                  <w:rFonts w:cs="Segoe UI"/>
                  <w:sz w:val="20"/>
                  <w:szCs w:val="20"/>
                </w:rPr>
                <w:t>http://azure.microsoft.com/blog/2014/11/13/encrypting-azure-virtual-machines-with-cloudlink-securevm/</w:t>
              </w:r>
            </w:hyperlink>
            <w:r w:rsidR="00621420" w:rsidRPr="00374DAE">
              <w:rPr>
                <w:rFonts w:cs="Segoe UI"/>
                <w:color w:val="1F497D"/>
                <w:sz w:val="20"/>
                <w:szCs w:val="20"/>
              </w:rPr>
              <w:t xml:space="preserve"> </w:t>
            </w:r>
          </w:p>
          <w:p w14:paraId="4EC8ABA6" w14:textId="77777777" w:rsidR="00621420" w:rsidRPr="00374DAE" w:rsidRDefault="00872E47" w:rsidP="00621420">
            <w:pPr>
              <w:spacing w:before="0" w:after="0" w:line="240" w:lineRule="auto"/>
              <w:cnfStyle w:val="000000000000" w:firstRow="0" w:lastRow="0" w:firstColumn="0" w:lastColumn="0" w:oddVBand="0" w:evenVBand="0" w:oddHBand="0" w:evenHBand="0" w:firstRowFirstColumn="0" w:firstRowLastColumn="0" w:lastRowFirstColumn="0" w:lastRowLastColumn="0"/>
              <w:rPr>
                <w:rFonts w:cs="Segoe UI"/>
                <w:color w:val="1F497D"/>
                <w:sz w:val="20"/>
                <w:szCs w:val="20"/>
              </w:rPr>
            </w:pPr>
            <w:hyperlink r:id="rId151" w:history="1">
              <w:r w:rsidR="00621420" w:rsidRPr="00374DAE">
                <w:rPr>
                  <w:rStyle w:val="Hyperlink"/>
                  <w:rFonts w:cs="Segoe UI"/>
                  <w:sz w:val="20"/>
                  <w:szCs w:val="20"/>
                </w:rPr>
                <w:t>http://www.cloudlinktech.com/choose-your-cloud/microsoft-azure/</w:t>
              </w:r>
            </w:hyperlink>
          </w:p>
          <w:p w14:paraId="7243C516" w14:textId="036DEFDA" w:rsidR="00621420" w:rsidRPr="00374DAE" w:rsidRDefault="00872E47" w:rsidP="00621420">
            <w:pPr>
              <w:cnfStyle w:val="000000000000" w:firstRow="0" w:lastRow="0" w:firstColumn="0" w:lastColumn="0" w:oddVBand="0" w:evenVBand="0" w:oddHBand="0" w:evenHBand="0" w:firstRowFirstColumn="0" w:firstRowLastColumn="0" w:lastRowFirstColumn="0" w:lastRowLastColumn="0"/>
              <w:rPr>
                <w:rFonts w:cs="Segoe UI"/>
                <w:sz w:val="20"/>
                <w:szCs w:val="20"/>
              </w:rPr>
            </w:pPr>
            <w:hyperlink r:id="rId152" w:history="1">
              <w:r w:rsidR="00621420" w:rsidRPr="00374DAE">
                <w:rPr>
                  <w:rStyle w:val="Hyperlink"/>
                  <w:rFonts w:cs="Segoe UI"/>
                  <w:sz w:val="20"/>
                  <w:szCs w:val="20"/>
                </w:rPr>
                <w:t>https://channel9.msdn.com/Blogs/AzurePartner/Guest-Post-CloudLink-Secures-Azure-VMs-via-BitLocker-and-Native-Linux-Encryption</w:t>
              </w:r>
            </w:hyperlink>
            <w:r w:rsidR="00621420" w:rsidRPr="00374DAE">
              <w:rPr>
                <w:rFonts w:cs="Segoe UI"/>
                <w:color w:val="1F497D"/>
                <w:sz w:val="20"/>
                <w:szCs w:val="20"/>
              </w:rPr>
              <w:t xml:space="preserve"> </w:t>
            </w:r>
          </w:p>
        </w:tc>
      </w:tr>
      <w:tr w:rsidR="00621420" w:rsidRPr="00374DAE" w14:paraId="1AFA145F" w14:textId="77777777" w:rsidTr="00930F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31A3981" w14:textId="6156B0CB" w:rsidR="00621420" w:rsidRPr="00930F52" w:rsidRDefault="00621420" w:rsidP="00621420">
            <w:pPr>
              <w:spacing w:line="240" w:lineRule="auto"/>
              <w:rPr>
                <w:rFonts w:cs="Segoe UI"/>
                <w:sz w:val="20"/>
                <w:szCs w:val="20"/>
              </w:rPr>
            </w:pPr>
            <w:r w:rsidRPr="00884543">
              <w:rPr>
                <w:sz w:val="20"/>
              </w:rPr>
              <w:t>Client-Side Encryption (Preview)</w:t>
            </w:r>
          </w:p>
        </w:tc>
        <w:tc>
          <w:tcPr>
            <w:tcW w:w="0" w:type="auto"/>
          </w:tcPr>
          <w:p w14:paraId="26DF61B6" w14:textId="77777777" w:rsidR="00621420" w:rsidRPr="00374DAE" w:rsidRDefault="00872E47" w:rsidP="00621420">
            <w:pPr>
              <w:spacing w:before="0" w:after="0" w:line="240" w:lineRule="auto"/>
              <w:cnfStyle w:val="000000100000" w:firstRow="0" w:lastRow="0" w:firstColumn="0" w:lastColumn="0" w:oddVBand="0" w:evenVBand="0" w:oddHBand="1" w:evenHBand="0" w:firstRowFirstColumn="0" w:firstRowLastColumn="0" w:lastRowFirstColumn="0" w:lastRowLastColumn="0"/>
              <w:rPr>
                <w:rFonts w:cs="Segoe UI"/>
                <w:color w:val="1F497D"/>
                <w:sz w:val="20"/>
                <w:szCs w:val="20"/>
              </w:rPr>
            </w:pPr>
            <w:hyperlink r:id="rId153" w:history="1">
              <w:r w:rsidR="00621420" w:rsidRPr="00374DAE">
                <w:rPr>
                  <w:rStyle w:val="Hyperlink"/>
                  <w:rFonts w:cs="Segoe UI"/>
                  <w:sz w:val="20"/>
                  <w:szCs w:val="20"/>
                </w:rPr>
                <w:t>http://blogs.msdn.com/b/windowsazurestorage/archive/2015/04/29/microsoft-azure-storage-client-library-for-c-v1-0-0-general-availability.aspx</w:t>
              </w:r>
            </w:hyperlink>
            <w:r w:rsidR="00621420">
              <w:rPr>
                <w:rFonts w:cs="Segoe UI"/>
                <w:color w:val="1F497D"/>
                <w:sz w:val="20"/>
                <w:szCs w:val="20"/>
              </w:rPr>
              <w:t xml:space="preserve"> </w:t>
            </w:r>
            <w:hyperlink r:id="rId154" w:history="1">
              <w:r w:rsidR="00621420" w:rsidRPr="00374DAE">
                <w:rPr>
                  <w:rStyle w:val="Hyperlink"/>
                  <w:rFonts w:cs="Segoe UI"/>
                  <w:sz w:val="20"/>
                  <w:szCs w:val="20"/>
                </w:rPr>
                <w:t>http://blogs.msdn.com/b/windowsazurestorage/archive/2015/04/29/getting-started-with-client-side-encryption-for-microsoft-azure-storage.aspx</w:t>
              </w:r>
            </w:hyperlink>
          </w:p>
          <w:p w14:paraId="701CC68D" w14:textId="62B458E9" w:rsidR="00621420" w:rsidRPr="00374DAE" w:rsidRDefault="00872E47" w:rsidP="00621420">
            <w:pPr>
              <w:cnfStyle w:val="000000100000" w:firstRow="0" w:lastRow="0" w:firstColumn="0" w:lastColumn="0" w:oddVBand="0" w:evenVBand="0" w:oddHBand="1" w:evenHBand="0" w:firstRowFirstColumn="0" w:firstRowLastColumn="0" w:lastRowFirstColumn="0" w:lastRowLastColumn="0"/>
              <w:rPr>
                <w:rFonts w:cs="Segoe UI"/>
                <w:sz w:val="20"/>
                <w:szCs w:val="20"/>
              </w:rPr>
            </w:pPr>
            <w:hyperlink r:id="rId155" w:history="1">
              <w:r w:rsidR="00621420" w:rsidRPr="00374DAE">
                <w:rPr>
                  <w:rStyle w:val="Hyperlink"/>
                  <w:rFonts w:cs="Segoe UI"/>
                  <w:sz w:val="20"/>
                  <w:szCs w:val="20"/>
                </w:rPr>
                <w:t>https://azure.microsoft.com/en-us/documentation/articles/storage-client-side-encryption</w:t>
              </w:r>
            </w:hyperlink>
            <w:r w:rsidR="00621420" w:rsidRPr="00374DAE">
              <w:rPr>
                <w:rFonts w:cs="Segoe UI"/>
                <w:color w:val="1F497D"/>
                <w:sz w:val="20"/>
                <w:szCs w:val="20"/>
              </w:rPr>
              <w:t xml:space="preserve"> </w:t>
            </w:r>
          </w:p>
        </w:tc>
      </w:tr>
      <w:tr w:rsidR="00621420" w:rsidRPr="00374DAE" w14:paraId="2515FFA8" w14:textId="77777777" w:rsidTr="00930F52">
        <w:tc>
          <w:tcPr>
            <w:cnfStyle w:val="001000000000" w:firstRow="0" w:lastRow="0" w:firstColumn="1" w:lastColumn="0" w:oddVBand="0" w:evenVBand="0" w:oddHBand="0" w:evenHBand="0" w:firstRowFirstColumn="0" w:firstRowLastColumn="0" w:lastRowFirstColumn="0" w:lastRowLastColumn="0"/>
            <w:tcW w:w="0" w:type="auto"/>
          </w:tcPr>
          <w:p w14:paraId="6ABACAF0" w14:textId="5F031424" w:rsidR="00621420" w:rsidRPr="00930F52" w:rsidRDefault="00621420" w:rsidP="00621420">
            <w:pPr>
              <w:spacing w:line="240" w:lineRule="auto"/>
              <w:rPr>
                <w:rFonts w:cs="Segoe UI"/>
                <w:b w:val="0"/>
                <w:sz w:val="20"/>
                <w:szCs w:val="20"/>
              </w:rPr>
            </w:pPr>
            <w:r w:rsidRPr="00884543">
              <w:rPr>
                <w:sz w:val="20"/>
              </w:rPr>
              <w:t>Azure Import/Export Service</w:t>
            </w:r>
          </w:p>
        </w:tc>
        <w:tc>
          <w:tcPr>
            <w:tcW w:w="0" w:type="auto"/>
          </w:tcPr>
          <w:p w14:paraId="722D57CA" w14:textId="77777777" w:rsidR="00621420" w:rsidRPr="00374DAE" w:rsidRDefault="00872E47" w:rsidP="00621420">
            <w:pPr>
              <w:spacing w:before="0" w:after="0" w:line="240" w:lineRule="auto"/>
              <w:cnfStyle w:val="000000000000" w:firstRow="0" w:lastRow="0" w:firstColumn="0" w:lastColumn="0" w:oddVBand="0" w:evenVBand="0" w:oddHBand="0" w:evenHBand="0" w:firstRowFirstColumn="0" w:firstRowLastColumn="0" w:lastRowFirstColumn="0" w:lastRowLastColumn="0"/>
              <w:rPr>
                <w:rFonts w:cs="Segoe UI"/>
                <w:color w:val="1F497D"/>
                <w:sz w:val="20"/>
                <w:szCs w:val="20"/>
              </w:rPr>
            </w:pPr>
            <w:hyperlink r:id="rId156" w:history="1">
              <w:r w:rsidR="00621420" w:rsidRPr="00374DAE">
                <w:rPr>
                  <w:rStyle w:val="Hyperlink"/>
                  <w:rFonts w:cs="Segoe UI"/>
                  <w:sz w:val="20"/>
                  <w:szCs w:val="20"/>
                </w:rPr>
                <w:t>https://azure.microsoft.com/en-us/documentation/articles/storage-import-export-service/</w:t>
              </w:r>
            </w:hyperlink>
            <w:r w:rsidR="00621420" w:rsidRPr="00374DAE">
              <w:rPr>
                <w:rFonts w:cs="Segoe UI"/>
                <w:color w:val="1F497D"/>
                <w:sz w:val="20"/>
                <w:szCs w:val="20"/>
              </w:rPr>
              <w:t xml:space="preserve"> </w:t>
            </w:r>
          </w:p>
          <w:p w14:paraId="1B083640" w14:textId="508DD2DF" w:rsidR="00621420" w:rsidRPr="00374DAE" w:rsidRDefault="00872E47" w:rsidP="00621420">
            <w:pPr>
              <w:pStyle w:val="TOC1"/>
              <w:cnfStyle w:val="000000000000" w:firstRow="0" w:lastRow="0" w:firstColumn="0" w:lastColumn="0" w:oddVBand="0" w:evenVBand="0" w:oddHBand="0" w:evenHBand="0" w:firstRowFirstColumn="0" w:firstRowLastColumn="0" w:lastRowFirstColumn="0" w:lastRowLastColumn="0"/>
              <w:rPr>
                <w:rFonts w:cs="Segoe UI"/>
                <w:sz w:val="20"/>
                <w:szCs w:val="20"/>
              </w:rPr>
            </w:pPr>
            <w:hyperlink r:id="rId157" w:history="1">
              <w:r w:rsidR="00621420" w:rsidRPr="00374DAE">
                <w:rPr>
                  <w:rStyle w:val="Hyperlink"/>
                  <w:rFonts w:cs="Segoe UI"/>
                  <w:sz w:val="20"/>
                  <w:szCs w:val="20"/>
                </w:rPr>
                <w:t>http://blogs.msdn.com/b/windowsazurestorage/archive/2014/05/13/announcing-microsoft-azure-import-export-service-ga.aspx</w:t>
              </w:r>
            </w:hyperlink>
            <w:r w:rsidR="00621420" w:rsidRPr="00374DAE">
              <w:rPr>
                <w:rFonts w:cs="Segoe UI"/>
                <w:color w:val="1F497D"/>
                <w:sz w:val="20"/>
                <w:szCs w:val="20"/>
              </w:rPr>
              <w:t xml:space="preserve"> </w:t>
            </w:r>
          </w:p>
        </w:tc>
      </w:tr>
      <w:tr w:rsidR="00621420" w:rsidRPr="00374DAE" w14:paraId="4AE3BF89" w14:textId="77777777" w:rsidTr="00930F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77D91AC" w14:textId="7D9CEEA7" w:rsidR="00621420" w:rsidRPr="00930F52" w:rsidRDefault="00621420" w:rsidP="00621420">
            <w:pPr>
              <w:spacing w:line="240" w:lineRule="auto"/>
              <w:rPr>
                <w:rFonts w:cs="Segoe UI"/>
                <w:b w:val="0"/>
                <w:sz w:val="20"/>
                <w:szCs w:val="20"/>
              </w:rPr>
            </w:pPr>
            <w:r w:rsidRPr="00884543">
              <w:rPr>
                <w:sz w:val="20"/>
              </w:rPr>
              <w:t>Storage Account Access Keys</w:t>
            </w:r>
          </w:p>
        </w:tc>
        <w:tc>
          <w:tcPr>
            <w:tcW w:w="0" w:type="auto"/>
          </w:tcPr>
          <w:p w14:paraId="074A5D23" w14:textId="2A50CE73" w:rsidR="00621420" w:rsidRPr="00374DAE" w:rsidRDefault="00872E47" w:rsidP="00621420">
            <w:pPr>
              <w:pStyle w:val="TOC1"/>
              <w:cnfStyle w:val="000000100000" w:firstRow="0" w:lastRow="0" w:firstColumn="0" w:lastColumn="0" w:oddVBand="0" w:evenVBand="0" w:oddHBand="1" w:evenHBand="0" w:firstRowFirstColumn="0" w:firstRowLastColumn="0" w:lastRowFirstColumn="0" w:lastRowLastColumn="0"/>
              <w:rPr>
                <w:rFonts w:cs="Segoe UI"/>
                <w:sz w:val="20"/>
                <w:szCs w:val="20"/>
              </w:rPr>
            </w:pPr>
            <w:hyperlink r:id="rId158" w:history="1">
              <w:r w:rsidR="00621420" w:rsidRPr="00374DAE">
                <w:rPr>
                  <w:rStyle w:val="Hyperlink"/>
                  <w:rFonts w:cs="Segoe UI"/>
                  <w:sz w:val="20"/>
                  <w:szCs w:val="20"/>
                </w:rPr>
                <w:t>https://azure.microsoft.com/en-us/documentation/articles/storage-create-storage-account</w:t>
              </w:r>
            </w:hyperlink>
            <w:r w:rsidR="00621420">
              <w:rPr>
                <w:rFonts w:cs="Segoe UI"/>
                <w:color w:val="1F497D"/>
                <w:sz w:val="20"/>
                <w:szCs w:val="20"/>
              </w:rPr>
              <w:t xml:space="preserve"> </w:t>
            </w:r>
            <w:hyperlink r:id="rId159" w:history="1">
              <w:r w:rsidR="00621420" w:rsidRPr="00374DAE">
                <w:rPr>
                  <w:rStyle w:val="Hyperlink"/>
                  <w:rFonts w:cs="Segoe UI"/>
                  <w:sz w:val="20"/>
                  <w:szCs w:val="20"/>
                </w:rPr>
                <w:t>http://blogs.msdn.com/b/mast/archive/2013/11/07/why-does-a-storage-account-have-two-access-keys.aspx</w:t>
              </w:r>
            </w:hyperlink>
            <w:r w:rsidR="00621420" w:rsidRPr="00374DAE">
              <w:rPr>
                <w:rFonts w:cs="Segoe UI"/>
                <w:color w:val="1F497D"/>
                <w:sz w:val="20"/>
                <w:szCs w:val="20"/>
              </w:rPr>
              <w:t xml:space="preserve"> </w:t>
            </w:r>
          </w:p>
        </w:tc>
      </w:tr>
      <w:tr w:rsidR="00621420" w:rsidRPr="00374DAE" w14:paraId="386FD4F8" w14:textId="77777777" w:rsidTr="00930F52">
        <w:tc>
          <w:tcPr>
            <w:cnfStyle w:val="001000000000" w:firstRow="0" w:lastRow="0" w:firstColumn="1" w:lastColumn="0" w:oddVBand="0" w:evenVBand="0" w:oddHBand="0" w:evenHBand="0" w:firstRowFirstColumn="0" w:firstRowLastColumn="0" w:lastRowFirstColumn="0" w:lastRowLastColumn="0"/>
            <w:tcW w:w="0" w:type="auto"/>
          </w:tcPr>
          <w:p w14:paraId="032165F2" w14:textId="7F1F84EC" w:rsidR="00621420" w:rsidRPr="00930F52" w:rsidRDefault="00621420" w:rsidP="00621420">
            <w:pPr>
              <w:spacing w:line="240" w:lineRule="auto"/>
              <w:rPr>
                <w:rFonts w:cs="Segoe UI"/>
                <w:b w:val="0"/>
                <w:sz w:val="20"/>
                <w:szCs w:val="20"/>
              </w:rPr>
            </w:pPr>
            <w:r w:rsidRPr="00884543">
              <w:rPr>
                <w:sz w:val="20"/>
              </w:rPr>
              <w:t>Shared Access Signatures</w:t>
            </w:r>
          </w:p>
        </w:tc>
        <w:tc>
          <w:tcPr>
            <w:tcW w:w="0" w:type="auto"/>
          </w:tcPr>
          <w:p w14:paraId="37F18AE3" w14:textId="77777777" w:rsidR="00621420" w:rsidRPr="00374DAE" w:rsidRDefault="00872E47" w:rsidP="00621420">
            <w:pPr>
              <w:spacing w:before="0" w:after="0" w:line="240" w:lineRule="auto"/>
              <w:cnfStyle w:val="000000000000" w:firstRow="0" w:lastRow="0" w:firstColumn="0" w:lastColumn="0" w:oddVBand="0" w:evenVBand="0" w:oddHBand="0" w:evenHBand="0" w:firstRowFirstColumn="0" w:firstRowLastColumn="0" w:lastRowFirstColumn="0" w:lastRowLastColumn="0"/>
              <w:rPr>
                <w:rFonts w:cs="Segoe UI"/>
                <w:color w:val="1F497D"/>
                <w:sz w:val="20"/>
                <w:szCs w:val="20"/>
              </w:rPr>
            </w:pPr>
            <w:hyperlink r:id="rId160" w:history="1">
              <w:r w:rsidR="00621420" w:rsidRPr="00374DAE">
                <w:rPr>
                  <w:rStyle w:val="Hyperlink"/>
                  <w:rFonts w:cs="Segoe UI"/>
                  <w:sz w:val="20"/>
                  <w:szCs w:val="20"/>
                </w:rPr>
                <w:t>https://azure.microsoft.com/en-us/documentation/articles/storage-dotnet-shared-access-signature-part-1/</w:t>
              </w:r>
            </w:hyperlink>
            <w:r w:rsidR="00621420" w:rsidRPr="00374DAE">
              <w:rPr>
                <w:rFonts w:cs="Segoe UI"/>
                <w:color w:val="1F497D"/>
                <w:sz w:val="20"/>
                <w:szCs w:val="20"/>
              </w:rPr>
              <w:t xml:space="preserve"> and </w:t>
            </w:r>
            <w:hyperlink r:id="rId161" w:history="1">
              <w:r w:rsidR="00621420" w:rsidRPr="00374DAE">
                <w:rPr>
                  <w:rStyle w:val="Hyperlink"/>
                  <w:rFonts w:cs="Segoe UI"/>
                  <w:sz w:val="20"/>
                  <w:szCs w:val="20"/>
                </w:rPr>
                <w:t>https://azure.microsoft.com/en-us/documentation/articles/storage-dotnet-shared-access-signature-part-2/</w:t>
              </w:r>
            </w:hyperlink>
            <w:r w:rsidR="00621420" w:rsidRPr="00374DAE">
              <w:rPr>
                <w:rFonts w:cs="Segoe UI"/>
                <w:color w:val="1F497D"/>
                <w:sz w:val="20"/>
                <w:szCs w:val="20"/>
              </w:rPr>
              <w:t xml:space="preserve"> </w:t>
            </w:r>
          </w:p>
          <w:p w14:paraId="4869EFF8" w14:textId="77777777" w:rsidR="00621420" w:rsidRPr="00374DAE" w:rsidRDefault="00872E47" w:rsidP="00621420">
            <w:pPr>
              <w:spacing w:before="0" w:after="0" w:line="240" w:lineRule="auto"/>
              <w:cnfStyle w:val="000000000000" w:firstRow="0" w:lastRow="0" w:firstColumn="0" w:lastColumn="0" w:oddVBand="0" w:evenVBand="0" w:oddHBand="0" w:evenHBand="0" w:firstRowFirstColumn="0" w:firstRowLastColumn="0" w:lastRowFirstColumn="0" w:lastRowLastColumn="0"/>
              <w:rPr>
                <w:rFonts w:cs="Segoe UI"/>
                <w:color w:val="1F497D"/>
                <w:sz w:val="20"/>
                <w:szCs w:val="20"/>
              </w:rPr>
            </w:pPr>
            <w:hyperlink r:id="rId162" w:history="1">
              <w:r w:rsidR="00621420" w:rsidRPr="00374DAE">
                <w:rPr>
                  <w:rStyle w:val="Hyperlink"/>
                  <w:rFonts w:cs="Segoe UI"/>
                  <w:sz w:val="20"/>
                  <w:szCs w:val="20"/>
                </w:rPr>
                <w:t>http://blogs.msdn.com/b/windowsazurestorage/archive/2012/06/12/introducing-table-sas-shared-access-signature-queue-sas-and-update-to-blob-sas.aspx</w:t>
              </w:r>
            </w:hyperlink>
          </w:p>
          <w:p w14:paraId="3350A8FE" w14:textId="2327DE34" w:rsidR="00621420" w:rsidRPr="00374DAE" w:rsidRDefault="00872E47" w:rsidP="00621420">
            <w:pPr>
              <w:pStyle w:val="TOC1"/>
              <w:cnfStyle w:val="000000000000" w:firstRow="0" w:lastRow="0" w:firstColumn="0" w:lastColumn="0" w:oddVBand="0" w:evenVBand="0" w:oddHBand="0" w:evenHBand="0" w:firstRowFirstColumn="0" w:firstRowLastColumn="0" w:lastRowFirstColumn="0" w:lastRowLastColumn="0"/>
              <w:rPr>
                <w:rFonts w:cs="Segoe UI"/>
                <w:sz w:val="20"/>
                <w:szCs w:val="20"/>
              </w:rPr>
            </w:pPr>
            <w:hyperlink r:id="rId163" w:history="1">
              <w:r w:rsidR="00621420" w:rsidRPr="00374DAE">
                <w:rPr>
                  <w:rStyle w:val="Hyperlink"/>
                  <w:rFonts w:cs="Segoe UI"/>
                  <w:sz w:val="20"/>
                  <w:szCs w:val="20"/>
                </w:rPr>
                <w:t>http://blogs.msdn.com/b/skaufman/archive/2012/10/15/blob-storage-and-shared-access-signatures.aspx</w:t>
              </w:r>
            </w:hyperlink>
          </w:p>
        </w:tc>
      </w:tr>
      <w:tr w:rsidR="00621420" w:rsidRPr="00374DAE" w14:paraId="71BE29A5" w14:textId="77777777" w:rsidTr="00930F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BFF4985" w14:textId="29C9E0EC" w:rsidR="00621420" w:rsidRPr="00930F52" w:rsidRDefault="00621420" w:rsidP="00621420">
            <w:pPr>
              <w:spacing w:line="240" w:lineRule="auto"/>
              <w:rPr>
                <w:rFonts w:cs="Segoe UI"/>
                <w:b w:val="0"/>
                <w:sz w:val="20"/>
                <w:szCs w:val="20"/>
              </w:rPr>
            </w:pPr>
            <w:r w:rsidRPr="00884543">
              <w:rPr>
                <w:sz w:val="20"/>
              </w:rPr>
              <w:t>SQL Server Transparent Data Encryption</w:t>
            </w:r>
          </w:p>
        </w:tc>
        <w:tc>
          <w:tcPr>
            <w:tcW w:w="0" w:type="auto"/>
          </w:tcPr>
          <w:p w14:paraId="1BA68B9D" w14:textId="77777777" w:rsidR="00621420" w:rsidRPr="00374DAE" w:rsidRDefault="00872E47" w:rsidP="00621420">
            <w:pPr>
              <w:spacing w:before="0" w:after="0" w:line="240" w:lineRule="auto"/>
              <w:cnfStyle w:val="000000100000" w:firstRow="0" w:lastRow="0" w:firstColumn="0" w:lastColumn="0" w:oddVBand="0" w:evenVBand="0" w:oddHBand="1" w:evenHBand="0" w:firstRowFirstColumn="0" w:firstRowLastColumn="0" w:lastRowFirstColumn="0" w:lastRowLastColumn="0"/>
              <w:rPr>
                <w:rFonts w:cs="Segoe UI"/>
                <w:color w:val="1F497D"/>
                <w:sz w:val="20"/>
                <w:szCs w:val="20"/>
              </w:rPr>
            </w:pPr>
            <w:hyperlink r:id="rId164" w:history="1">
              <w:r w:rsidR="00621420" w:rsidRPr="00374DAE">
                <w:rPr>
                  <w:rStyle w:val="Hyperlink"/>
                  <w:rFonts w:cs="Segoe UI"/>
                  <w:sz w:val="20"/>
                  <w:szCs w:val="20"/>
                </w:rPr>
                <w:t>https://msdn.microsoft.com/en-us/library/bb934049.aspx</w:t>
              </w:r>
            </w:hyperlink>
          </w:p>
          <w:p w14:paraId="5F46CE31" w14:textId="77777777" w:rsidR="00621420" w:rsidRPr="00374DAE" w:rsidRDefault="00872E47" w:rsidP="00621420">
            <w:pPr>
              <w:spacing w:before="0" w:after="0" w:line="240" w:lineRule="auto"/>
              <w:cnfStyle w:val="000000100000" w:firstRow="0" w:lastRow="0" w:firstColumn="0" w:lastColumn="0" w:oddVBand="0" w:evenVBand="0" w:oddHBand="1" w:evenHBand="0" w:firstRowFirstColumn="0" w:firstRowLastColumn="0" w:lastRowFirstColumn="0" w:lastRowLastColumn="0"/>
              <w:rPr>
                <w:rFonts w:cs="Segoe UI"/>
                <w:color w:val="1F497D"/>
                <w:sz w:val="20"/>
                <w:szCs w:val="20"/>
              </w:rPr>
            </w:pPr>
            <w:hyperlink r:id="rId165" w:history="1">
              <w:r w:rsidR="00621420" w:rsidRPr="00374DAE">
                <w:rPr>
                  <w:rStyle w:val="Hyperlink"/>
                  <w:rFonts w:cs="Segoe UI"/>
                  <w:sz w:val="20"/>
                  <w:szCs w:val="20"/>
                </w:rPr>
                <w:t>http://blogs.msdn.com/b/sqlsecurity/archive/2015/04/29/announcing-transparent-data-encryption-for-azure-sql-database.aspx</w:t>
              </w:r>
            </w:hyperlink>
            <w:r w:rsidR="00621420" w:rsidRPr="00374DAE">
              <w:rPr>
                <w:rFonts w:cs="Segoe UI"/>
                <w:color w:val="1F497D"/>
                <w:sz w:val="20"/>
                <w:szCs w:val="20"/>
              </w:rPr>
              <w:t xml:space="preserve"> </w:t>
            </w:r>
          </w:p>
          <w:p w14:paraId="3A610492" w14:textId="77777777" w:rsidR="00621420" w:rsidRPr="00374DAE" w:rsidRDefault="00872E47" w:rsidP="00621420">
            <w:pPr>
              <w:spacing w:before="0" w:after="0" w:line="240" w:lineRule="auto"/>
              <w:cnfStyle w:val="000000100000" w:firstRow="0" w:lastRow="0" w:firstColumn="0" w:lastColumn="0" w:oddVBand="0" w:evenVBand="0" w:oddHBand="1" w:evenHBand="0" w:firstRowFirstColumn="0" w:firstRowLastColumn="0" w:lastRowFirstColumn="0" w:lastRowLastColumn="0"/>
              <w:rPr>
                <w:rFonts w:cs="Segoe UI"/>
                <w:color w:val="1F497D"/>
                <w:sz w:val="20"/>
                <w:szCs w:val="20"/>
              </w:rPr>
            </w:pPr>
            <w:hyperlink r:id="rId166" w:history="1">
              <w:r w:rsidR="00621420" w:rsidRPr="00374DAE">
                <w:rPr>
                  <w:rStyle w:val="Hyperlink"/>
                  <w:rFonts w:cs="Segoe UI"/>
                  <w:sz w:val="20"/>
                  <w:szCs w:val="20"/>
                </w:rPr>
                <w:t>https://channel9.msdn.com/Shows/Data-Exposed/TDE-in-Azure-SQL-Database</w:t>
              </w:r>
            </w:hyperlink>
            <w:r w:rsidR="00621420" w:rsidRPr="00374DAE">
              <w:rPr>
                <w:rFonts w:cs="Segoe UI"/>
                <w:color w:val="1F497D"/>
                <w:sz w:val="20"/>
                <w:szCs w:val="20"/>
              </w:rPr>
              <w:t xml:space="preserve"> </w:t>
            </w:r>
          </w:p>
          <w:p w14:paraId="1BB45F71" w14:textId="36F9158E" w:rsidR="00621420" w:rsidRPr="00374DAE" w:rsidRDefault="00872E47" w:rsidP="00621420">
            <w:pPr>
              <w:pStyle w:val="TOC1"/>
              <w:cnfStyle w:val="000000100000" w:firstRow="0" w:lastRow="0" w:firstColumn="0" w:lastColumn="0" w:oddVBand="0" w:evenVBand="0" w:oddHBand="1" w:evenHBand="0" w:firstRowFirstColumn="0" w:firstRowLastColumn="0" w:lastRowFirstColumn="0" w:lastRowLastColumn="0"/>
              <w:rPr>
                <w:rFonts w:cs="Segoe UI"/>
                <w:sz w:val="20"/>
                <w:szCs w:val="20"/>
              </w:rPr>
            </w:pPr>
            <w:hyperlink r:id="rId167" w:history="1">
              <w:r w:rsidR="00621420" w:rsidRPr="00374DAE">
                <w:rPr>
                  <w:rStyle w:val="Hyperlink"/>
                  <w:rFonts w:cs="Segoe UI"/>
                  <w:sz w:val="20"/>
                  <w:szCs w:val="20"/>
                </w:rPr>
                <w:t>http://azure.microsoft.com/blog/2013/08/01/using-microsoft-sql-server-security-features-in-windows-azure-virtual-machines/</w:t>
              </w:r>
            </w:hyperlink>
            <w:r w:rsidR="00621420" w:rsidRPr="00374DAE">
              <w:rPr>
                <w:rFonts w:cs="Segoe UI"/>
                <w:color w:val="1F497D"/>
                <w:sz w:val="20"/>
                <w:szCs w:val="20"/>
              </w:rPr>
              <w:t xml:space="preserve"> </w:t>
            </w:r>
          </w:p>
        </w:tc>
      </w:tr>
      <w:tr w:rsidR="00621420" w:rsidRPr="00374DAE" w14:paraId="5C0E8814" w14:textId="77777777" w:rsidTr="00930F52">
        <w:tc>
          <w:tcPr>
            <w:cnfStyle w:val="001000000000" w:firstRow="0" w:lastRow="0" w:firstColumn="1" w:lastColumn="0" w:oddVBand="0" w:evenVBand="0" w:oddHBand="0" w:evenHBand="0" w:firstRowFirstColumn="0" w:firstRowLastColumn="0" w:lastRowFirstColumn="0" w:lastRowLastColumn="0"/>
            <w:tcW w:w="0" w:type="auto"/>
          </w:tcPr>
          <w:p w14:paraId="5ED03924" w14:textId="3CFDA97E" w:rsidR="00621420" w:rsidRPr="00930F52" w:rsidRDefault="00621420" w:rsidP="00621420">
            <w:pPr>
              <w:spacing w:line="240" w:lineRule="auto"/>
              <w:rPr>
                <w:rFonts w:cs="Segoe UI"/>
                <w:b w:val="0"/>
                <w:sz w:val="20"/>
                <w:szCs w:val="20"/>
              </w:rPr>
            </w:pPr>
            <w:r w:rsidRPr="00884543">
              <w:rPr>
                <w:sz w:val="20"/>
              </w:rPr>
              <w:t xml:space="preserve">StorSimple Security </w:t>
            </w:r>
          </w:p>
        </w:tc>
        <w:tc>
          <w:tcPr>
            <w:tcW w:w="0" w:type="auto"/>
          </w:tcPr>
          <w:p w14:paraId="67E3C0AB" w14:textId="77777777" w:rsidR="00621420" w:rsidRPr="00374DAE" w:rsidRDefault="00872E47" w:rsidP="00621420">
            <w:pPr>
              <w:spacing w:before="0" w:after="0" w:line="240" w:lineRule="auto"/>
              <w:cnfStyle w:val="000000000000" w:firstRow="0" w:lastRow="0" w:firstColumn="0" w:lastColumn="0" w:oddVBand="0" w:evenVBand="0" w:oddHBand="0" w:evenHBand="0" w:firstRowFirstColumn="0" w:firstRowLastColumn="0" w:lastRowFirstColumn="0" w:lastRowLastColumn="0"/>
              <w:rPr>
                <w:rFonts w:cs="Segoe UI"/>
                <w:color w:val="1F497D"/>
                <w:sz w:val="20"/>
                <w:szCs w:val="20"/>
              </w:rPr>
            </w:pPr>
            <w:hyperlink r:id="rId168" w:history="1">
              <w:r w:rsidR="00621420" w:rsidRPr="00374DAE">
                <w:rPr>
                  <w:rStyle w:val="Hyperlink"/>
                  <w:rFonts w:cs="Segoe UI"/>
                  <w:sz w:val="20"/>
                  <w:szCs w:val="20"/>
                </w:rPr>
                <w:t>http://www.storsimple.com/Portals/65157/docs/StorSimple-Solution-Overview-Security.pdf</w:t>
              </w:r>
            </w:hyperlink>
            <w:r w:rsidR="00621420" w:rsidRPr="00374DAE">
              <w:rPr>
                <w:rFonts w:cs="Segoe UI"/>
                <w:color w:val="1F497D"/>
                <w:sz w:val="20"/>
                <w:szCs w:val="20"/>
              </w:rPr>
              <w:t xml:space="preserve"> </w:t>
            </w:r>
          </w:p>
          <w:p w14:paraId="752D0B11" w14:textId="276340EE" w:rsidR="00621420" w:rsidRPr="00374DAE" w:rsidRDefault="00872E47" w:rsidP="00621420">
            <w:pPr>
              <w:pStyle w:val="TOC1"/>
              <w:cnfStyle w:val="000000000000" w:firstRow="0" w:lastRow="0" w:firstColumn="0" w:lastColumn="0" w:oddVBand="0" w:evenVBand="0" w:oddHBand="0" w:evenHBand="0" w:firstRowFirstColumn="0" w:firstRowLastColumn="0" w:lastRowFirstColumn="0" w:lastRowLastColumn="0"/>
              <w:rPr>
                <w:rFonts w:cs="Segoe UI"/>
                <w:sz w:val="20"/>
                <w:szCs w:val="20"/>
              </w:rPr>
            </w:pPr>
            <w:hyperlink r:id="rId169" w:history="1">
              <w:r w:rsidR="00621420" w:rsidRPr="00374DAE">
                <w:rPr>
                  <w:rStyle w:val="Hyperlink"/>
                  <w:rFonts w:cs="Segoe UI"/>
                  <w:sz w:val="20"/>
                  <w:szCs w:val="20"/>
                </w:rPr>
                <w:t>http://download.microsoft.com/download/6/9/A/69A81B3A-E111-4797-AD31-02671D501D87/StorSimple_Security_Brief.pdf</w:t>
              </w:r>
            </w:hyperlink>
          </w:p>
        </w:tc>
      </w:tr>
    </w:tbl>
    <w:p w14:paraId="0D206431" w14:textId="77777777" w:rsidR="00EC42F9" w:rsidRPr="00A55D83" w:rsidRDefault="00EC42F9" w:rsidP="00A55D83"/>
    <w:p w14:paraId="2262316E" w14:textId="42D01BDF" w:rsidR="00082B92" w:rsidRDefault="00082B92" w:rsidP="005729D2">
      <w:pPr>
        <w:pStyle w:val="Heading2Numbered"/>
        <w:numPr>
          <w:ilvl w:val="1"/>
          <w:numId w:val="64"/>
        </w:numPr>
      </w:pPr>
      <w:bookmarkStart w:id="2189" w:name="_Toc422941538"/>
      <w:bookmarkStart w:id="2190" w:name="_Toc423116744"/>
      <w:bookmarkStart w:id="2191" w:name="_Toc423117777"/>
      <w:bookmarkStart w:id="2192" w:name="_Toc423117227"/>
      <w:bookmarkStart w:id="2193" w:name="_Toc431288819"/>
      <w:r w:rsidRPr="00FE2193">
        <w:t>Storage for IaaS</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82"/>
      <w:bookmarkEnd w:id="2183"/>
      <w:bookmarkEnd w:id="2184"/>
      <w:bookmarkEnd w:id="2189"/>
      <w:bookmarkEnd w:id="2190"/>
      <w:bookmarkEnd w:id="2191"/>
      <w:bookmarkEnd w:id="2192"/>
      <w:bookmarkEnd w:id="2193"/>
    </w:p>
    <w:p w14:paraId="65042F2A" w14:textId="77777777" w:rsidR="00621420" w:rsidRDefault="00870CE5" w:rsidP="00621420">
      <w:r>
        <w:t xml:space="preserve">A </w:t>
      </w:r>
      <w:r w:rsidR="00621420">
        <w:t>Microsoft Azure virtual machine is created from an image or a disk. All virtual machines use one operating system disk, a temporary local disk, and they enable the use of multiple data disks depending on the selected size of the virtual machine</w:t>
      </w:r>
      <w:r w:rsidR="00621420">
        <w:rPr>
          <w:rStyle w:val="FootnoteReference"/>
        </w:rPr>
        <w:footnoteReference w:id="9"/>
      </w:r>
      <w:r w:rsidR="00621420">
        <w:t xml:space="preserve">. All images and disks, except the temporary local disk, are created from virtual hard disk (VHD) files that are stored as </w:t>
      </w:r>
      <w:r w:rsidR="00621420" w:rsidRPr="006D6AD6">
        <w:rPr>
          <w:b/>
        </w:rPr>
        <w:t>page blobs</w:t>
      </w:r>
      <w:r w:rsidR="00621420">
        <w:t xml:space="preserve"> in a storage account in Microsoft Azure. </w:t>
      </w:r>
    </w:p>
    <w:p w14:paraId="005A93D8" w14:textId="6C924223" w:rsidR="0068510E" w:rsidRDefault="00621420" w:rsidP="00621420">
      <w:r>
        <w:t>You can use platform images that are available in Microsoft Azure to create virtual machines, or you can upload your own images to create customized virtual machines. The disks that are created from images are also stored in Azure Storage</w:t>
      </w:r>
      <w:r w:rsidR="006D6AD6">
        <w:t>.</w:t>
      </w:r>
    </w:p>
    <w:p w14:paraId="493469DD" w14:textId="77777777" w:rsidR="00870CE5" w:rsidRPr="00207B9B" w:rsidRDefault="00870CE5" w:rsidP="005729D2">
      <w:pPr>
        <w:pStyle w:val="Heading3Numbered"/>
        <w:numPr>
          <w:ilvl w:val="2"/>
          <w:numId w:val="64"/>
        </w:numPr>
        <w:rPr>
          <w:rFonts w:eastAsia="Times New Roman" w:cs="Times New Roman"/>
        </w:rPr>
      </w:pPr>
      <w:bookmarkStart w:id="2194" w:name="_Toc414892095"/>
      <w:bookmarkStart w:id="2195" w:name="_Toc417548257"/>
      <w:bookmarkStart w:id="2196" w:name="_Toc417594489"/>
      <w:bookmarkStart w:id="2197" w:name="_Toc417934391"/>
      <w:bookmarkStart w:id="2198" w:name="_Toc417935730"/>
      <w:bookmarkStart w:id="2199" w:name="_Toc417936192"/>
      <w:bookmarkStart w:id="2200" w:name="_Toc417946842"/>
      <w:bookmarkStart w:id="2201" w:name="_Toc417982459"/>
      <w:bookmarkStart w:id="2202" w:name="_Toc417985884"/>
      <w:bookmarkStart w:id="2203" w:name="_Toc418000605"/>
      <w:bookmarkStart w:id="2204" w:name="_Toc418003748"/>
      <w:bookmarkStart w:id="2205" w:name="_Toc418011953"/>
      <w:bookmarkStart w:id="2206" w:name="_Toc418014601"/>
      <w:bookmarkStart w:id="2207" w:name="_Toc418029937"/>
      <w:bookmarkStart w:id="2208" w:name="_Toc418036873"/>
      <w:bookmarkStart w:id="2209" w:name="_Toc418061338"/>
      <w:bookmarkStart w:id="2210" w:name="_Toc418080687"/>
      <w:bookmarkStart w:id="2211" w:name="_Toc418081860"/>
      <w:bookmarkStart w:id="2212" w:name="_Toc418083262"/>
      <w:bookmarkStart w:id="2213" w:name="_Toc418095482"/>
      <w:bookmarkStart w:id="2214" w:name="_Toc418156653"/>
      <w:bookmarkStart w:id="2215" w:name="_Toc418167572"/>
      <w:bookmarkStart w:id="2216" w:name="_Toc418185829"/>
      <w:bookmarkStart w:id="2217" w:name="_Toc422941539"/>
      <w:bookmarkStart w:id="2218" w:name="_Toc423116745"/>
      <w:bookmarkStart w:id="2219" w:name="_Toc423117778"/>
      <w:bookmarkStart w:id="2220" w:name="_Toc423117228"/>
      <w:bookmarkStart w:id="2221" w:name="_Toc431288820"/>
      <w:r w:rsidRPr="284A7528">
        <w:t>Disks</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7ACE2ECE" w14:textId="0AB06A46" w:rsidR="00870CE5" w:rsidRDefault="00DC7CF0" w:rsidP="00870CE5">
      <w:pPr>
        <w:rPr>
          <w:rFonts w:eastAsia="Segoe UI" w:cs="Segoe UI"/>
        </w:rPr>
      </w:pPr>
      <w:r>
        <w:rPr>
          <w:rFonts w:eastAsia="Segoe UI" w:cs="Segoe UI"/>
        </w:rPr>
        <w:t>Disks</w:t>
      </w:r>
      <w:r w:rsidR="00621420">
        <w:rPr>
          <w:rFonts w:eastAsia="Segoe UI" w:cs="Segoe UI"/>
        </w:rPr>
        <w:t xml:space="preserve"> can be leveraged</w:t>
      </w:r>
      <w:r w:rsidR="00621420" w:rsidRPr="284A7528">
        <w:rPr>
          <w:rFonts w:eastAsia="Segoe UI" w:cs="Segoe UI"/>
        </w:rPr>
        <w:t xml:space="preserve"> in different ways with a virtual machine in Microsoft Azure. An </w:t>
      </w:r>
      <w:r w:rsidR="00621420" w:rsidRPr="006E60E9">
        <w:rPr>
          <w:rFonts w:eastAsia="Segoe UI" w:cs="Segoe UI"/>
          <w:b/>
        </w:rPr>
        <w:t>operating system</w:t>
      </w:r>
      <w:r w:rsidR="00621420" w:rsidRPr="284A7528">
        <w:rPr>
          <w:rFonts w:eastAsia="Segoe UI" w:cs="Segoe UI"/>
        </w:rPr>
        <w:t xml:space="preserve"> disk is a VHD that you use to provide an operating system for a virtual machine. A </w:t>
      </w:r>
      <w:r w:rsidR="00621420" w:rsidRPr="006E60E9">
        <w:rPr>
          <w:rFonts w:eastAsia="Segoe UI" w:cs="Segoe UI"/>
          <w:b/>
        </w:rPr>
        <w:t>data disk</w:t>
      </w:r>
      <w:r w:rsidR="00621420" w:rsidRPr="284A7528">
        <w:rPr>
          <w:rFonts w:eastAsia="Segoe UI" w:cs="Segoe UI"/>
        </w:rPr>
        <w:t xml:space="preserve"> is a VHD that you </w:t>
      </w:r>
      <w:r w:rsidR="00621420" w:rsidRPr="006E60E9">
        <w:rPr>
          <w:rFonts w:eastAsia="Segoe UI" w:cs="Segoe UI"/>
          <w:i/>
        </w:rPr>
        <w:t>attach</w:t>
      </w:r>
      <w:r w:rsidR="00621420" w:rsidRPr="284A7528">
        <w:rPr>
          <w:rFonts w:eastAsia="Segoe UI" w:cs="Segoe UI"/>
        </w:rPr>
        <w:t xml:space="preserve"> to a virtual machine to store application data. You can create and delete </w:t>
      </w:r>
      <w:r w:rsidR="00621420">
        <w:rPr>
          <w:rFonts w:eastAsia="Segoe UI" w:cs="Segoe UI"/>
        </w:rPr>
        <w:t xml:space="preserve">data </w:t>
      </w:r>
      <w:r w:rsidR="00621420" w:rsidRPr="284A7528">
        <w:rPr>
          <w:rFonts w:eastAsia="Segoe UI" w:cs="Segoe UI"/>
        </w:rPr>
        <w:t>disks whenever you have to</w:t>
      </w:r>
      <w:r w:rsidR="00870CE5" w:rsidRPr="284A7528">
        <w:rPr>
          <w:rFonts w:eastAsia="Segoe UI" w:cs="Segoe UI"/>
        </w:rPr>
        <w:t>.</w:t>
      </w:r>
    </w:p>
    <w:p w14:paraId="70F3A958" w14:textId="5502B1A1" w:rsidR="00870CE5" w:rsidRPr="00207B9B" w:rsidRDefault="00870CE5" w:rsidP="005729D2">
      <w:pPr>
        <w:pStyle w:val="Heading3Numbered"/>
        <w:numPr>
          <w:ilvl w:val="2"/>
          <w:numId w:val="64"/>
        </w:numPr>
        <w:rPr>
          <w:rFonts w:eastAsia="Times New Roman" w:cs="Times New Roman"/>
        </w:rPr>
      </w:pPr>
      <w:bookmarkStart w:id="2222" w:name="_Toc414892096"/>
      <w:bookmarkStart w:id="2223" w:name="_Toc417548258"/>
      <w:bookmarkStart w:id="2224" w:name="_Toc417594490"/>
      <w:bookmarkStart w:id="2225" w:name="_Toc417934393"/>
      <w:bookmarkStart w:id="2226" w:name="_Toc417935732"/>
      <w:bookmarkStart w:id="2227" w:name="_Toc417936194"/>
      <w:bookmarkStart w:id="2228" w:name="_Toc417946843"/>
      <w:bookmarkStart w:id="2229" w:name="_Toc417982460"/>
      <w:bookmarkStart w:id="2230" w:name="_Toc417985885"/>
      <w:bookmarkStart w:id="2231" w:name="_Toc418000606"/>
      <w:bookmarkStart w:id="2232" w:name="_Toc418003749"/>
      <w:bookmarkStart w:id="2233" w:name="_Toc418011954"/>
      <w:bookmarkStart w:id="2234" w:name="_Toc418014602"/>
      <w:bookmarkStart w:id="2235" w:name="_Toc418029938"/>
      <w:bookmarkStart w:id="2236" w:name="_Toc418036874"/>
      <w:bookmarkStart w:id="2237" w:name="_Toc418061339"/>
      <w:bookmarkStart w:id="2238" w:name="_Toc418080688"/>
      <w:bookmarkStart w:id="2239" w:name="_Toc418081861"/>
      <w:bookmarkStart w:id="2240" w:name="_Toc418083263"/>
      <w:bookmarkStart w:id="2241" w:name="_Toc418095483"/>
      <w:bookmarkStart w:id="2242" w:name="_Toc418156654"/>
      <w:bookmarkStart w:id="2243" w:name="_Toc418167573"/>
      <w:bookmarkStart w:id="2244" w:name="_Toc418185830"/>
      <w:bookmarkStart w:id="2245" w:name="_Toc422941540"/>
      <w:bookmarkStart w:id="2246" w:name="_Toc423116746"/>
      <w:bookmarkStart w:id="2247" w:name="_Toc423117779"/>
      <w:bookmarkStart w:id="2248" w:name="_Toc423117229"/>
      <w:bookmarkStart w:id="2249" w:name="_Toc431288821"/>
      <w:r w:rsidRPr="284A7528">
        <w:t>Temporary Disk</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4EB47CD2" w14:textId="68965AB1" w:rsidR="00870CE5" w:rsidRPr="00207B9B" w:rsidRDefault="00870CE5" w:rsidP="00870CE5">
      <w:pPr>
        <w:rPr>
          <w:rFonts w:eastAsia="Times New Roman" w:cs="Times New Roman"/>
        </w:rPr>
      </w:pPr>
      <w:r w:rsidRPr="284A7528">
        <w:rPr>
          <w:rFonts w:eastAsia="Segoe UI" w:cs="Segoe UI"/>
        </w:rPr>
        <w:t>Each</w:t>
      </w:r>
      <w:r w:rsidR="00621420" w:rsidRPr="284A7528">
        <w:rPr>
          <w:rFonts w:eastAsia="Segoe UI" w:cs="Segoe UI"/>
        </w:rPr>
        <w:t xml:space="preserve"> virtual machine that you create has a temporary local disk, which is labeled as drive D</w:t>
      </w:r>
      <w:r w:rsidR="00621420">
        <w:rPr>
          <w:rFonts w:eastAsia="Segoe UI" w:cs="Segoe UI"/>
        </w:rPr>
        <w:t xml:space="preserve"> by default</w:t>
      </w:r>
      <w:r w:rsidR="00621420" w:rsidRPr="284A7528">
        <w:rPr>
          <w:rFonts w:eastAsia="Segoe UI" w:cs="Segoe UI"/>
        </w:rPr>
        <w:t>. This disk exists only on the physical host server on which the virtual machine is running</w:t>
      </w:r>
      <w:r w:rsidR="00621420">
        <w:rPr>
          <w:rFonts w:eastAsia="Segoe UI" w:cs="Segoe UI"/>
        </w:rPr>
        <w:t>.</w:t>
      </w:r>
      <w:r w:rsidR="00621420" w:rsidRPr="284A7528">
        <w:rPr>
          <w:rFonts w:eastAsia="Segoe UI" w:cs="Segoe UI"/>
        </w:rPr>
        <w:t xml:space="preserve"> </w:t>
      </w:r>
      <w:r w:rsidR="00621420">
        <w:rPr>
          <w:rFonts w:eastAsia="Segoe UI" w:cs="Segoe UI"/>
        </w:rPr>
        <w:t>I</w:t>
      </w:r>
      <w:r w:rsidR="00621420" w:rsidRPr="284A7528">
        <w:rPr>
          <w:rFonts w:eastAsia="Segoe UI" w:cs="Segoe UI"/>
        </w:rPr>
        <w:t xml:space="preserve">t is </w:t>
      </w:r>
      <w:r w:rsidR="00621420" w:rsidRPr="008B5E51">
        <w:rPr>
          <w:rFonts w:eastAsia="Segoe UI" w:cs="Segoe UI"/>
        </w:rPr>
        <w:t>not</w:t>
      </w:r>
      <w:r w:rsidR="00621420" w:rsidRPr="284A7528">
        <w:rPr>
          <w:rFonts w:eastAsia="Segoe UI" w:cs="Segoe UI"/>
        </w:rPr>
        <w:t xml:space="preserve"> stored in blobs </w:t>
      </w:r>
      <w:r w:rsidR="00621420">
        <w:rPr>
          <w:rFonts w:eastAsia="Segoe UI" w:cs="Segoe UI"/>
        </w:rPr>
        <w:t>i</w:t>
      </w:r>
      <w:r w:rsidR="00621420" w:rsidRPr="284A7528">
        <w:rPr>
          <w:rFonts w:eastAsia="Segoe UI" w:cs="Segoe UI"/>
        </w:rPr>
        <w:t xml:space="preserve">n Azure </w:t>
      </w:r>
      <w:r w:rsidR="00621420">
        <w:rPr>
          <w:rFonts w:eastAsia="Segoe UI" w:cs="Segoe UI"/>
        </w:rPr>
        <w:t>S</w:t>
      </w:r>
      <w:r w:rsidR="00621420" w:rsidRPr="284A7528">
        <w:rPr>
          <w:rFonts w:eastAsia="Segoe UI" w:cs="Segoe UI"/>
        </w:rPr>
        <w:t>torage. This disk is used by applications and processes that are running in the virtual machine for transient and temporary storage of data. It is used also to store page files for the operating system</w:t>
      </w:r>
      <w:r w:rsidRPr="284A7528">
        <w:rPr>
          <w:rFonts w:eastAsia="Segoe UI" w:cs="Segoe UI"/>
        </w:rPr>
        <w:t xml:space="preserve">. </w:t>
      </w:r>
    </w:p>
    <w:p w14:paraId="4A10BCBB" w14:textId="77777777" w:rsidR="00870CE5" w:rsidRDefault="00870CE5" w:rsidP="005729D2">
      <w:pPr>
        <w:pStyle w:val="Heading3Numbered"/>
        <w:numPr>
          <w:ilvl w:val="2"/>
          <w:numId w:val="64"/>
        </w:numPr>
      </w:pPr>
      <w:bookmarkStart w:id="2250" w:name="_Toc414892097"/>
      <w:bookmarkStart w:id="2251" w:name="_Toc417548259"/>
      <w:bookmarkStart w:id="2252" w:name="_Toc417594491"/>
      <w:bookmarkStart w:id="2253" w:name="_Toc417934394"/>
      <w:bookmarkStart w:id="2254" w:name="_Toc417935733"/>
      <w:bookmarkStart w:id="2255" w:name="_Toc417936195"/>
      <w:bookmarkStart w:id="2256" w:name="_Toc417946844"/>
      <w:bookmarkStart w:id="2257" w:name="_Toc417982461"/>
      <w:bookmarkStart w:id="2258" w:name="_Toc417985886"/>
      <w:bookmarkStart w:id="2259" w:name="_Toc418000607"/>
      <w:bookmarkStart w:id="2260" w:name="_Toc418003750"/>
      <w:bookmarkStart w:id="2261" w:name="_Toc418011955"/>
      <w:bookmarkStart w:id="2262" w:name="_Toc418014603"/>
      <w:bookmarkStart w:id="2263" w:name="_Toc418029939"/>
      <w:bookmarkStart w:id="2264" w:name="_Toc418036875"/>
      <w:bookmarkStart w:id="2265" w:name="_Toc418061340"/>
      <w:bookmarkStart w:id="2266" w:name="_Toc418080689"/>
      <w:bookmarkStart w:id="2267" w:name="_Toc418081862"/>
      <w:bookmarkStart w:id="2268" w:name="_Toc418083264"/>
      <w:bookmarkStart w:id="2269" w:name="_Toc418095484"/>
      <w:bookmarkStart w:id="2270" w:name="_Toc418156655"/>
      <w:bookmarkStart w:id="2271" w:name="_Toc418167574"/>
      <w:bookmarkStart w:id="2272" w:name="_Toc418185831"/>
      <w:bookmarkStart w:id="2273" w:name="_Toc422941541"/>
      <w:bookmarkStart w:id="2274" w:name="_Toc423116747"/>
      <w:bookmarkStart w:id="2275" w:name="_Toc423117780"/>
      <w:bookmarkStart w:id="2276" w:name="_Toc423117230"/>
      <w:bookmarkStart w:id="2277" w:name="_Toc431288822"/>
      <w:r>
        <w:t>Caching</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34D47C25" w14:textId="1F919573" w:rsidR="00870CE5" w:rsidRDefault="00621420" w:rsidP="00082B92">
      <w:r>
        <w:rPr>
          <w:lang w:val="en"/>
        </w:rPr>
        <w:t>T</w:t>
      </w:r>
      <w:r w:rsidRPr="00D62C75">
        <w:rPr>
          <w:lang w:val="en"/>
        </w:rPr>
        <w:t xml:space="preserve">he operating system disk and data disk each have a host </w:t>
      </w:r>
      <w:r w:rsidRPr="005D1ADD">
        <w:rPr>
          <w:b/>
          <w:lang w:val="en"/>
        </w:rPr>
        <w:t>caching</w:t>
      </w:r>
      <w:r>
        <w:rPr>
          <w:lang w:val="en"/>
        </w:rPr>
        <w:t xml:space="preserve"> configuration setting called </w:t>
      </w:r>
      <w:r w:rsidRPr="008B5E51">
        <w:rPr>
          <w:b/>
          <w:lang w:val="en"/>
        </w:rPr>
        <w:t>Host cache preference</w:t>
      </w:r>
      <w:r>
        <w:rPr>
          <w:lang w:val="en"/>
        </w:rPr>
        <w:t>, which</w:t>
      </w:r>
      <w:r w:rsidRPr="00D62C75">
        <w:rPr>
          <w:lang w:val="en"/>
        </w:rPr>
        <w:t xml:space="preserve"> can improve perfor</w:t>
      </w:r>
      <w:r>
        <w:rPr>
          <w:lang w:val="en"/>
        </w:rPr>
        <w:t>mance under some circumstances. By default, Read/Write caching is enabled for operating system disks and all caching is off for data disks. Note that some workloads have specific configuration requirements with this setting. Its use should be reviewed carefully with vendor and for a workload’s specific needs</w:t>
      </w:r>
      <w:r w:rsidR="00EA662C">
        <w:rPr>
          <w:lang w:val="en"/>
        </w:rPr>
        <w:t>.</w:t>
      </w:r>
    </w:p>
    <w:p w14:paraId="5709971D" w14:textId="5F5799AC" w:rsidR="00870CE5" w:rsidRPr="00207B9B" w:rsidRDefault="00870CE5" w:rsidP="005729D2">
      <w:pPr>
        <w:pStyle w:val="Heading3Numbered"/>
        <w:numPr>
          <w:ilvl w:val="2"/>
          <w:numId w:val="64"/>
        </w:numPr>
        <w:rPr>
          <w:rFonts w:eastAsia="Times New Roman" w:cs="Times New Roman"/>
        </w:rPr>
      </w:pPr>
      <w:bookmarkStart w:id="2278" w:name="_Toc414279949"/>
      <w:bookmarkStart w:id="2279" w:name="_Toc414892098"/>
      <w:bookmarkStart w:id="2280" w:name="_Toc417548260"/>
      <w:bookmarkStart w:id="2281" w:name="_Toc417594492"/>
      <w:bookmarkStart w:id="2282" w:name="_Toc417934395"/>
      <w:bookmarkStart w:id="2283" w:name="_Toc417935734"/>
      <w:bookmarkStart w:id="2284" w:name="_Toc417936196"/>
      <w:bookmarkStart w:id="2285" w:name="_Toc417946845"/>
      <w:bookmarkStart w:id="2286" w:name="_Toc417982462"/>
      <w:bookmarkStart w:id="2287" w:name="_Toc417985887"/>
      <w:bookmarkStart w:id="2288" w:name="_Toc418000608"/>
      <w:bookmarkStart w:id="2289" w:name="_Toc418003751"/>
      <w:bookmarkStart w:id="2290" w:name="_Toc418011956"/>
      <w:bookmarkStart w:id="2291" w:name="_Toc418014604"/>
      <w:bookmarkStart w:id="2292" w:name="_Toc418029940"/>
      <w:bookmarkStart w:id="2293" w:name="_Toc418036876"/>
      <w:bookmarkStart w:id="2294" w:name="_Toc418061341"/>
      <w:bookmarkStart w:id="2295" w:name="_Toc418080690"/>
      <w:bookmarkStart w:id="2296" w:name="_Toc418081863"/>
      <w:bookmarkStart w:id="2297" w:name="_Toc418083265"/>
      <w:bookmarkStart w:id="2298" w:name="_Toc418095485"/>
      <w:bookmarkStart w:id="2299" w:name="_Toc418156656"/>
      <w:bookmarkStart w:id="2300" w:name="_Toc418167575"/>
      <w:bookmarkStart w:id="2301" w:name="_Toc418185832"/>
      <w:bookmarkStart w:id="2302" w:name="_Toc422941542"/>
      <w:bookmarkStart w:id="2303" w:name="_Toc423116748"/>
      <w:bookmarkStart w:id="2304" w:name="_Toc423117781"/>
      <w:bookmarkStart w:id="2305" w:name="_Toc423117231"/>
      <w:bookmarkStart w:id="2306" w:name="_Toc431288823"/>
      <w:bookmarkEnd w:id="2278"/>
      <w:r w:rsidRPr="284A7528">
        <w:t>Images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4E1A1463" w14:textId="4E1CED79" w:rsidR="00870CE5" w:rsidRPr="006D2A92" w:rsidRDefault="00870CE5" w:rsidP="00870CE5">
      <w:pPr>
        <w:rPr>
          <w:rFonts w:eastAsia="Segoe UI" w:cs="Segoe UI"/>
        </w:rPr>
      </w:pPr>
      <w:r w:rsidRPr="284A7528">
        <w:rPr>
          <w:rFonts w:eastAsia="Segoe UI" w:cs="Segoe UI"/>
        </w:rPr>
        <w:t>An</w:t>
      </w:r>
      <w:r w:rsidR="00621420" w:rsidRPr="284A7528">
        <w:rPr>
          <w:rFonts w:eastAsia="Segoe UI" w:cs="Segoe UI"/>
        </w:rPr>
        <w:t xml:space="preserve"> image is a </w:t>
      </w:r>
      <w:r w:rsidR="00621420">
        <w:rPr>
          <w:rFonts w:eastAsia="Segoe UI" w:cs="Segoe UI"/>
        </w:rPr>
        <w:t xml:space="preserve">VHD </w:t>
      </w:r>
      <w:r w:rsidR="00621420" w:rsidRPr="284A7528">
        <w:rPr>
          <w:rFonts w:eastAsia="Segoe UI" w:cs="Segoe UI"/>
        </w:rPr>
        <w:t xml:space="preserve">file </w:t>
      </w:r>
      <w:r w:rsidR="00621420">
        <w:rPr>
          <w:rFonts w:eastAsia="Segoe UI" w:cs="Segoe UI"/>
        </w:rPr>
        <w:t>(</w:t>
      </w:r>
      <w:r w:rsidR="00621420" w:rsidRPr="284A7528">
        <w:rPr>
          <w:rFonts w:eastAsia="Segoe UI" w:cs="Segoe UI"/>
        </w:rPr>
        <w:t>.vhd</w:t>
      </w:r>
      <w:r w:rsidR="00621420">
        <w:rPr>
          <w:rFonts w:eastAsia="Segoe UI" w:cs="Segoe UI"/>
        </w:rPr>
        <w:t xml:space="preserve">) </w:t>
      </w:r>
      <w:r w:rsidR="00621420" w:rsidRPr="284A7528">
        <w:rPr>
          <w:rFonts w:eastAsia="Segoe UI" w:cs="Segoe UI"/>
        </w:rPr>
        <w:t xml:space="preserve">that you can use as a </w:t>
      </w:r>
      <w:r w:rsidR="00621420" w:rsidRPr="006D2A92">
        <w:rPr>
          <w:rFonts w:eastAsia="Segoe UI" w:cs="Segoe UI"/>
          <w:b/>
        </w:rPr>
        <w:t>template</w:t>
      </w:r>
      <w:r w:rsidR="00621420" w:rsidRPr="284A7528">
        <w:rPr>
          <w:rFonts w:eastAsia="Segoe UI" w:cs="Segoe UI"/>
        </w:rPr>
        <w:t xml:space="preserve"> to create </w:t>
      </w:r>
      <w:r w:rsidR="00621420">
        <w:rPr>
          <w:rFonts w:eastAsia="Segoe UI" w:cs="Segoe UI"/>
        </w:rPr>
        <w:t>a new</w:t>
      </w:r>
      <w:r w:rsidR="00621420" w:rsidRPr="284A7528">
        <w:rPr>
          <w:rFonts w:eastAsia="Segoe UI" w:cs="Segoe UI"/>
        </w:rPr>
        <w:t xml:space="preserve"> virtual machine. You can use images from the </w:t>
      </w:r>
      <w:r w:rsidR="00621420">
        <w:rPr>
          <w:rFonts w:eastAsia="Segoe UI" w:cs="Segoe UI"/>
        </w:rPr>
        <w:t xml:space="preserve">Azure </w:t>
      </w:r>
      <w:r w:rsidR="00621420" w:rsidRPr="284A7528">
        <w:rPr>
          <w:rFonts w:eastAsia="Segoe UI" w:cs="Segoe UI"/>
        </w:rPr>
        <w:t xml:space="preserve">Image Gallery, or you can create </w:t>
      </w:r>
      <w:r w:rsidR="00621420">
        <w:rPr>
          <w:rFonts w:eastAsia="Segoe UI" w:cs="Segoe UI"/>
        </w:rPr>
        <w:t xml:space="preserve">and upload your own custom </w:t>
      </w:r>
      <w:r w:rsidR="00621420" w:rsidRPr="284A7528">
        <w:rPr>
          <w:rFonts w:eastAsia="Segoe UI" w:cs="Segoe UI"/>
        </w:rPr>
        <w:t>images.</w:t>
      </w:r>
      <w:r w:rsidR="00621420">
        <w:rPr>
          <w:rFonts w:eastAsia="Segoe UI" w:cs="Segoe UI"/>
        </w:rPr>
        <w:t xml:space="preserve"> </w:t>
      </w:r>
      <w:r w:rsidR="00621420" w:rsidRPr="284A7528">
        <w:rPr>
          <w:rFonts w:eastAsia="Segoe UI" w:cs="Segoe UI"/>
        </w:rPr>
        <w:t xml:space="preserve">To create a Windows Server image, you must run the </w:t>
      </w:r>
      <w:r w:rsidR="00621420" w:rsidRPr="284A7528">
        <w:rPr>
          <w:rFonts w:eastAsia="Segoe UI" w:cs="Segoe UI"/>
          <w:b/>
        </w:rPr>
        <w:t>Sysprep</w:t>
      </w:r>
      <w:r w:rsidR="00621420" w:rsidRPr="284A7528">
        <w:rPr>
          <w:rFonts w:eastAsia="Segoe UI" w:cs="Segoe UI"/>
        </w:rPr>
        <w:t xml:space="preserve"> command on your server to generalize and shut it down before you can upload the .vhd file that contains the operating system</w:t>
      </w:r>
      <w:r w:rsidRPr="284A7528">
        <w:rPr>
          <w:rFonts w:eastAsia="Segoe UI" w:cs="Segoe UI"/>
        </w:rPr>
        <w:t>.</w:t>
      </w:r>
    </w:p>
    <w:p w14:paraId="5D4B436F" w14:textId="5A4E805F" w:rsidR="0068510E" w:rsidRPr="00207B9B" w:rsidRDefault="0068510E" w:rsidP="005729D2">
      <w:pPr>
        <w:pStyle w:val="Heading3Numbered"/>
        <w:numPr>
          <w:ilvl w:val="2"/>
          <w:numId w:val="64"/>
        </w:numPr>
      </w:pPr>
      <w:bookmarkStart w:id="2307" w:name="_Toc414892099"/>
      <w:bookmarkStart w:id="2308" w:name="_Toc417548261"/>
      <w:bookmarkStart w:id="2309" w:name="_Toc417594493"/>
      <w:bookmarkStart w:id="2310" w:name="_Toc417934396"/>
      <w:bookmarkStart w:id="2311" w:name="_Toc417935735"/>
      <w:bookmarkStart w:id="2312" w:name="_Toc417936197"/>
      <w:bookmarkStart w:id="2313" w:name="_Toc417946846"/>
      <w:bookmarkStart w:id="2314" w:name="_Toc417982463"/>
      <w:bookmarkStart w:id="2315" w:name="_Toc417985888"/>
      <w:bookmarkStart w:id="2316" w:name="_Toc418000609"/>
      <w:bookmarkStart w:id="2317" w:name="_Toc418003752"/>
      <w:bookmarkStart w:id="2318" w:name="_Toc418011957"/>
      <w:bookmarkStart w:id="2319" w:name="_Toc418014605"/>
      <w:bookmarkStart w:id="2320" w:name="_Toc418029941"/>
      <w:bookmarkStart w:id="2321" w:name="_Toc418036877"/>
      <w:bookmarkStart w:id="2322" w:name="_Toc418061342"/>
      <w:bookmarkStart w:id="2323" w:name="_Toc418080691"/>
      <w:bookmarkStart w:id="2324" w:name="_Toc418081864"/>
      <w:bookmarkStart w:id="2325" w:name="_Toc418083266"/>
      <w:bookmarkStart w:id="2326" w:name="_Toc418095486"/>
      <w:bookmarkStart w:id="2327" w:name="_Toc418156657"/>
      <w:bookmarkStart w:id="2328" w:name="_Toc418167576"/>
      <w:bookmarkStart w:id="2329" w:name="_Toc418185833"/>
      <w:bookmarkStart w:id="2330" w:name="_Toc422941543"/>
      <w:bookmarkStart w:id="2331" w:name="_Toc423116749"/>
      <w:bookmarkStart w:id="2332" w:name="_Toc423117782"/>
      <w:bookmarkStart w:id="2333" w:name="_Toc423117232"/>
      <w:bookmarkStart w:id="2334" w:name="_Toc431288824"/>
      <w:r w:rsidRPr="00207B9B">
        <w:t>VHD Files</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2439E8F7" w14:textId="7FBD0B0C" w:rsidR="00621420" w:rsidRPr="00207B9B" w:rsidRDefault="0068510E" w:rsidP="00621420">
      <w:pPr>
        <w:rPr>
          <w:rFonts w:eastAsia="Times New Roman" w:cs="Times New Roman"/>
        </w:rPr>
      </w:pPr>
      <w:r w:rsidRPr="00207B9B">
        <w:rPr>
          <w:rFonts w:eastAsia="Times New Roman" w:cs="Times New Roman"/>
        </w:rPr>
        <w:t>A</w:t>
      </w:r>
      <w:r w:rsidR="00621420" w:rsidRPr="00207B9B">
        <w:rPr>
          <w:rFonts w:eastAsia="Times New Roman" w:cs="Times New Roman"/>
        </w:rPr>
        <w:t xml:space="preserve"> .vhd file is stored as a page blob in Microsoft Azure </w:t>
      </w:r>
      <w:r w:rsidR="00621420">
        <w:rPr>
          <w:rFonts w:eastAsia="Times New Roman" w:cs="Times New Roman"/>
        </w:rPr>
        <w:t>S</w:t>
      </w:r>
      <w:r w:rsidR="00621420" w:rsidRPr="00207B9B">
        <w:rPr>
          <w:rFonts w:eastAsia="Times New Roman" w:cs="Times New Roman"/>
        </w:rPr>
        <w:t>torage</w:t>
      </w:r>
      <w:r w:rsidR="00621420">
        <w:rPr>
          <w:rFonts w:eastAsia="Times New Roman" w:cs="Times New Roman"/>
        </w:rPr>
        <w:t>,</w:t>
      </w:r>
      <w:r w:rsidR="00621420" w:rsidRPr="00207B9B">
        <w:rPr>
          <w:rFonts w:eastAsia="Times New Roman" w:cs="Times New Roman"/>
        </w:rPr>
        <w:t xml:space="preserve"> and </w:t>
      </w:r>
      <w:r w:rsidR="00621420">
        <w:rPr>
          <w:rFonts w:eastAsia="Times New Roman" w:cs="Times New Roman"/>
        </w:rPr>
        <w:t xml:space="preserve">it </w:t>
      </w:r>
      <w:r w:rsidR="00621420" w:rsidRPr="00207B9B">
        <w:rPr>
          <w:rFonts w:eastAsia="Times New Roman" w:cs="Times New Roman"/>
        </w:rPr>
        <w:t xml:space="preserve">can be used </w:t>
      </w:r>
      <w:r w:rsidR="00621420">
        <w:rPr>
          <w:rFonts w:eastAsia="Times New Roman" w:cs="Times New Roman"/>
        </w:rPr>
        <w:t>to</w:t>
      </w:r>
      <w:r w:rsidR="00621420" w:rsidRPr="00207B9B">
        <w:rPr>
          <w:rFonts w:eastAsia="Times New Roman" w:cs="Times New Roman"/>
        </w:rPr>
        <w:t xml:space="preserve"> creat</w:t>
      </w:r>
      <w:r w:rsidR="00621420">
        <w:rPr>
          <w:rFonts w:eastAsia="Times New Roman" w:cs="Times New Roman"/>
        </w:rPr>
        <w:t>e</w:t>
      </w:r>
      <w:r w:rsidR="00621420" w:rsidRPr="00207B9B">
        <w:rPr>
          <w:rFonts w:eastAsia="Times New Roman" w:cs="Times New Roman"/>
        </w:rPr>
        <w:t xml:space="preserve"> images </w:t>
      </w:r>
      <w:r w:rsidR="00621420">
        <w:rPr>
          <w:rFonts w:eastAsia="Times New Roman" w:cs="Times New Roman"/>
        </w:rPr>
        <w:t xml:space="preserve">and </w:t>
      </w:r>
      <w:r w:rsidR="00621420" w:rsidRPr="00207B9B">
        <w:rPr>
          <w:rFonts w:eastAsia="Times New Roman" w:cs="Times New Roman"/>
        </w:rPr>
        <w:t>operating system disks or data disks in Microsoft Azure. You can upload a .vhd file to Microsoft Azure and manage it as you would any other page blob. The .vhd files can be copied</w:t>
      </w:r>
      <w:r w:rsidR="00621420">
        <w:rPr>
          <w:rFonts w:eastAsia="Times New Roman" w:cs="Times New Roman"/>
        </w:rPr>
        <w:t>,</w:t>
      </w:r>
      <w:r w:rsidR="00621420" w:rsidRPr="00207B9B">
        <w:rPr>
          <w:rFonts w:eastAsia="Times New Roman" w:cs="Times New Roman"/>
        </w:rPr>
        <w:t xml:space="preserve"> moved, </w:t>
      </w:r>
      <w:r w:rsidR="00621420">
        <w:rPr>
          <w:rFonts w:eastAsia="Times New Roman" w:cs="Times New Roman"/>
        </w:rPr>
        <w:t>or</w:t>
      </w:r>
      <w:r w:rsidR="00621420" w:rsidRPr="00207B9B">
        <w:rPr>
          <w:rFonts w:eastAsia="Times New Roman" w:cs="Times New Roman"/>
        </w:rPr>
        <w:t xml:space="preserve"> deleted </w:t>
      </w:r>
      <w:r w:rsidR="00621420">
        <w:rPr>
          <w:rFonts w:eastAsia="Times New Roman" w:cs="Times New Roman"/>
        </w:rPr>
        <w:t>if</w:t>
      </w:r>
      <w:r w:rsidR="00621420" w:rsidRPr="00207B9B">
        <w:rPr>
          <w:rFonts w:eastAsia="Times New Roman" w:cs="Times New Roman"/>
        </w:rPr>
        <w:t xml:space="preserve"> a lease does not exist on the VHD</w:t>
      </w:r>
      <w:r w:rsidR="00621420">
        <w:rPr>
          <w:rFonts w:eastAsia="Times New Roman" w:cs="Times New Roman"/>
        </w:rPr>
        <w:t xml:space="preserve"> (for example, it belongs to an existing virtual machine).</w:t>
      </w:r>
    </w:p>
    <w:p w14:paraId="5CAB0127" w14:textId="77777777" w:rsidR="00621420" w:rsidRDefault="00621420" w:rsidP="00621420">
      <w:r>
        <w:t>A VHD can be in a fixed format or a dynamic format. Currently, however, only the fixed format is supported in Microsoft Azure. Often, the fixed format wastes space because most disks contain large unused ranges. However, in Microsoft Azure, fixed VHD files are stored in a sparse format, so you receive the benefits of fixed and dynamic disks at the same time.</w:t>
      </w:r>
    </w:p>
    <w:p w14:paraId="710F6C7F" w14:textId="27582291" w:rsidR="0068510E" w:rsidRDefault="00621420" w:rsidP="00621420">
      <w:r>
        <w:t>When you create a virtual machine from an image, a disk is created for the virtual machine, which is a copy of the original VHD file. To protect against accidental deletion, a lease is created if you create an image, an operating system disk, or a data disk from a VHD file</w:t>
      </w:r>
      <w:r w:rsidR="0068510E">
        <w:t>.</w:t>
      </w:r>
    </w:p>
    <w:p w14:paraId="0D23DFB1" w14:textId="77777777" w:rsidR="002D2F1A" w:rsidRDefault="002D2F1A" w:rsidP="0068510E"/>
    <w:tbl>
      <w:tblPr>
        <w:tblStyle w:val="PlainTable11"/>
        <w:tblW w:w="0" w:type="auto"/>
        <w:tblLook w:val="04A0" w:firstRow="1" w:lastRow="0" w:firstColumn="1" w:lastColumn="0" w:noHBand="0" w:noVBand="1"/>
      </w:tblPr>
      <w:tblGrid>
        <w:gridCol w:w="3416"/>
        <w:gridCol w:w="5934"/>
      </w:tblGrid>
      <w:tr w:rsidR="00870CE5" w14:paraId="6FF4DF13" w14:textId="77777777" w:rsidTr="00930F5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2880CAE8" w14:textId="77777777" w:rsidR="00870CE5" w:rsidRPr="00F47607" w:rsidRDefault="00870CE5" w:rsidP="00870CE5">
            <w:pPr>
              <w:spacing w:line="240" w:lineRule="auto"/>
              <w:rPr>
                <w:color w:val="FFFFFF"/>
              </w:rPr>
            </w:pPr>
            <w:r>
              <w:rPr>
                <w:color w:val="FFFFFF"/>
              </w:rPr>
              <w:t>Feature References</w:t>
            </w:r>
          </w:p>
        </w:tc>
      </w:tr>
      <w:tr w:rsidR="00870CE5" w14:paraId="4D282AA8" w14:textId="77777777" w:rsidTr="003F0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201ECFF8" w14:textId="5D746DE9" w:rsidR="00870CE5" w:rsidRPr="00927F75" w:rsidRDefault="006D6AD6" w:rsidP="00870CE5">
            <w:pPr>
              <w:spacing w:line="240" w:lineRule="auto"/>
              <w:rPr>
                <w:sz w:val="20"/>
                <w:szCs w:val="18"/>
              </w:rPr>
            </w:pPr>
            <w:r w:rsidRPr="006D6AD6">
              <w:rPr>
                <w:sz w:val="20"/>
                <w:szCs w:val="18"/>
                <w:lang w:val="en"/>
              </w:rPr>
              <w:t>Disks and Images in Azure</w:t>
            </w:r>
          </w:p>
        </w:tc>
        <w:tc>
          <w:tcPr>
            <w:tcW w:w="5940" w:type="dxa"/>
          </w:tcPr>
          <w:p w14:paraId="591D1E81" w14:textId="575F3A11" w:rsidR="00870CE5" w:rsidRPr="00927F75" w:rsidRDefault="00872E47" w:rsidP="00870CE5">
            <w:pPr>
              <w:cnfStyle w:val="000000100000" w:firstRow="0" w:lastRow="0" w:firstColumn="0" w:lastColumn="0" w:oddVBand="0" w:evenVBand="0" w:oddHBand="1" w:evenHBand="0" w:firstRowFirstColumn="0" w:firstRowLastColumn="0" w:lastRowFirstColumn="0" w:lastRowLastColumn="0"/>
              <w:rPr>
                <w:sz w:val="20"/>
                <w:szCs w:val="18"/>
              </w:rPr>
            </w:pPr>
            <w:hyperlink r:id="rId170" w:history="1">
              <w:r w:rsidR="006D6AD6" w:rsidRPr="001F3252">
                <w:rPr>
                  <w:rStyle w:val="Hyperlink"/>
                  <w:sz w:val="20"/>
                  <w:szCs w:val="18"/>
                </w:rPr>
                <w:t>https://msdn.microsoft.com/en-us/library/azure/jj672979.aspx</w:t>
              </w:r>
            </w:hyperlink>
            <w:r w:rsidR="006D6AD6">
              <w:rPr>
                <w:sz w:val="20"/>
                <w:szCs w:val="18"/>
              </w:rPr>
              <w:t xml:space="preserve"> </w:t>
            </w:r>
          </w:p>
        </w:tc>
      </w:tr>
      <w:tr w:rsidR="00870CE5" w14:paraId="6ED60E86" w14:textId="77777777" w:rsidTr="003F0158">
        <w:tc>
          <w:tcPr>
            <w:cnfStyle w:val="001000000000" w:firstRow="0" w:lastRow="0" w:firstColumn="1" w:lastColumn="0" w:oddVBand="0" w:evenVBand="0" w:oddHBand="0" w:evenHBand="0" w:firstRowFirstColumn="0" w:firstRowLastColumn="0" w:lastRowFirstColumn="0" w:lastRowLastColumn="0"/>
            <w:tcW w:w="3420" w:type="dxa"/>
          </w:tcPr>
          <w:p w14:paraId="18F9492C" w14:textId="72EFA842" w:rsidR="00870CE5" w:rsidRPr="00927F75" w:rsidRDefault="006D6AD6" w:rsidP="00870CE5">
            <w:pPr>
              <w:spacing w:line="240" w:lineRule="auto"/>
              <w:rPr>
                <w:sz w:val="20"/>
              </w:rPr>
            </w:pPr>
            <w:r w:rsidRPr="006D6AD6">
              <w:rPr>
                <w:sz w:val="20"/>
                <w:szCs w:val="18"/>
                <w:lang w:val="en"/>
              </w:rPr>
              <w:t>Virtual Machine Disks in Azure</w:t>
            </w:r>
          </w:p>
        </w:tc>
        <w:tc>
          <w:tcPr>
            <w:tcW w:w="5940" w:type="dxa"/>
          </w:tcPr>
          <w:p w14:paraId="2E78E42B" w14:textId="1C7F4FD2" w:rsidR="00870CE5" w:rsidRPr="00927F75" w:rsidRDefault="00872E47" w:rsidP="00870CE5">
            <w:pPr>
              <w:cnfStyle w:val="000000000000" w:firstRow="0" w:lastRow="0" w:firstColumn="0" w:lastColumn="0" w:oddVBand="0" w:evenVBand="0" w:oddHBand="0" w:evenHBand="0" w:firstRowFirstColumn="0" w:firstRowLastColumn="0" w:lastRowFirstColumn="0" w:lastRowLastColumn="0"/>
              <w:rPr>
                <w:sz w:val="20"/>
              </w:rPr>
            </w:pPr>
            <w:hyperlink r:id="rId171" w:history="1">
              <w:r w:rsidR="006D6AD6" w:rsidRPr="001F3252">
                <w:rPr>
                  <w:rStyle w:val="Hyperlink"/>
                  <w:sz w:val="20"/>
                  <w:szCs w:val="18"/>
                </w:rPr>
                <w:t>https://msdn.microsoft.com/en-us/library/azure/dn790303.aspx</w:t>
              </w:r>
            </w:hyperlink>
            <w:r w:rsidR="006D6AD6">
              <w:rPr>
                <w:sz w:val="20"/>
                <w:szCs w:val="18"/>
              </w:rPr>
              <w:t xml:space="preserve"> </w:t>
            </w:r>
          </w:p>
        </w:tc>
      </w:tr>
      <w:tr w:rsidR="00870CE5" w14:paraId="55D33B14" w14:textId="77777777" w:rsidTr="003F0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24F820C5" w14:textId="56F86F1C" w:rsidR="00870CE5" w:rsidRPr="00927F75" w:rsidRDefault="006D6AD6" w:rsidP="00870CE5">
            <w:pPr>
              <w:spacing w:line="240" w:lineRule="auto"/>
              <w:rPr>
                <w:sz w:val="20"/>
              </w:rPr>
            </w:pPr>
            <w:r w:rsidRPr="006D6AD6">
              <w:rPr>
                <w:sz w:val="20"/>
                <w:szCs w:val="18"/>
                <w:lang w:val="en"/>
              </w:rPr>
              <w:t>Virtual Machine Images in Azure</w:t>
            </w:r>
          </w:p>
        </w:tc>
        <w:tc>
          <w:tcPr>
            <w:tcW w:w="5940" w:type="dxa"/>
          </w:tcPr>
          <w:p w14:paraId="5E0DE33B" w14:textId="59F8F9C5" w:rsidR="00870CE5" w:rsidRPr="00927F75" w:rsidRDefault="00872E47" w:rsidP="00870CE5">
            <w:pPr>
              <w:cnfStyle w:val="000000100000" w:firstRow="0" w:lastRow="0" w:firstColumn="0" w:lastColumn="0" w:oddVBand="0" w:evenVBand="0" w:oddHBand="1" w:evenHBand="0" w:firstRowFirstColumn="0" w:firstRowLastColumn="0" w:lastRowFirstColumn="0" w:lastRowLastColumn="0"/>
              <w:rPr>
                <w:sz w:val="20"/>
              </w:rPr>
            </w:pPr>
            <w:hyperlink r:id="rId172" w:history="1">
              <w:r w:rsidR="006D6AD6" w:rsidRPr="001F3252">
                <w:rPr>
                  <w:rStyle w:val="Hyperlink"/>
                  <w:sz w:val="20"/>
                  <w:szCs w:val="18"/>
                </w:rPr>
                <w:t>https://msdn.microsoft.com/en-us/library/azure/dn790290.aspx</w:t>
              </w:r>
            </w:hyperlink>
            <w:r w:rsidR="006D6AD6">
              <w:rPr>
                <w:sz w:val="20"/>
                <w:szCs w:val="18"/>
              </w:rPr>
              <w:t xml:space="preserve"> </w:t>
            </w:r>
          </w:p>
        </w:tc>
      </w:tr>
      <w:tr w:rsidR="006D6AD6" w14:paraId="2F3F5655" w14:textId="77777777" w:rsidTr="003F0158">
        <w:tc>
          <w:tcPr>
            <w:cnfStyle w:val="001000000000" w:firstRow="0" w:lastRow="0" w:firstColumn="1" w:lastColumn="0" w:oddVBand="0" w:evenVBand="0" w:oddHBand="0" w:evenHBand="0" w:firstRowFirstColumn="0" w:firstRowLastColumn="0" w:lastRowFirstColumn="0" w:lastRowLastColumn="0"/>
            <w:tcW w:w="3420" w:type="dxa"/>
          </w:tcPr>
          <w:p w14:paraId="12632AC3" w14:textId="1803CC7C" w:rsidR="006D6AD6" w:rsidRPr="006D6AD6" w:rsidRDefault="006D6AD6" w:rsidP="00870CE5">
            <w:pPr>
              <w:spacing w:line="240" w:lineRule="auto"/>
              <w:rPr>
                <w:sz w:val="20"/>
                <w:szCs w:val="18"/>
                <w:lang w:val="en"/>
              </w:rPr>
            </w:pPr>
            <w:r w:rsidRPr="006D6AD6">
              <w:rPr>
                <w:sz w:val="20"/>
                <w:szCs w:val="18"/>
                <w:lang w:val="en"/>
              </w:rPr>
              <w:t>VHDs in Azure</w:t>
            </w:r>
          </w:p>
        </w:tc>
        <w:tc>
          <w:tcPr>
            <w:tcW w:w="5940" w:type="dxa"/>
          </w:tcPr>
          <w:p w14:paraId="016C3524" w14:textId="0BF5A6DD" w:rsidR="006D6AD6" w:rsidRDefault="00872E47" w:rsidP="00870CE5">
            <w:pPr>
              <w:cnfStyle w:val="000000000000" w:firstRow="0" w:lastRow="0" w:firstColumn="0" w:lastColumn="0" w:oddVBand="0" w:evenVBand="0" w:oddHBand="0" w:evenHBand="0" w:firstRowFirstColumn="0" w:firstRowLastColumn="0" w:lastRowFirstColumn="0" w:lastRowLastColumn="0"/>
              <w:rPr>
                <w:sz w:val="20"/>
                <w:szCs w:val="18"/>
              </w:rPr>
            </w:pPr>
            <w:hyperlink r:id="rId173" w:history="1">
              <w:r w:rsidR="006D6AD6" w:rsidRPr="001F3252">
                <w:rPr>
                  <w:rStyle w:val="Hyperlink"/>
                  <w:sz w:val="20"/>
                  <w:szCs w:val="18"/>
                </w:rPr>
                <w:t>https://msdn.microsoft.com/en-us/library/azure/dn790344.aspx</w:t>
              </w:r>
            </w:hyperlink>
            <w:r w:rsidR="006D6AD6">
              <w:rPr>
                <w:sz w:val="20"/>
                <w:szCs w:val="18"/>
              </w:rPr>
              <w:t xml:space="preserve"> </w:t>
            </w:r>
          </w:p>
        </w:tc>
      </w:tr>
      <w:tr w:rsidR="006D6AD6" w14:paraId="0155A134" w14:textId="77777777" w:rsidTr="003F0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1A8FB656" w14:textId="5755F14B" w:rsidR="006D6AD6" w:rsidRPr="006D6AD6" w:rsidRDefault="006D6AD6" w:rsidP="00870CE5">
            <w:pPr>
              <w:spacing w:line="240" w:lineRule="auto"/>
              <w:rPr>
                <w:sz w:val="20"/>
                <w:szCs w:val="18"/>
                <w:lang w:val="en"/>
              </w:rPr>
            </w:pPr>
            <w:r w:rsidRPr="006D6AD6">
              <w:rPr>
                <w:sz w:val="20"/>
                <w:szCs w:val="18"/>
                <w:lang w:val="en"/>
              </w:rPr>
              <w:t>Manage Images using Windows PowerShell</w:t>
            </w:r>
          </w:p>
        </w:tc>
        <w:tc>
          <w:tcPr>
            <w:tcW w:w="5940" w:type="dxa"/>
          </w:tcPr>
          <w:p w14:paraId="1652CB80" w14:textId="5D18839A" w:rsidR="006D6AD6" w:rsidRDefault="00872E47" w:rsidP="00870CE5">
            <w:pPr>
              <w:cnfStyle w:val="000000100000" w:firstRow="0" w:lastRow="0" w:firstColumn="0" w:lastColumn="0" w:oddVBand="0" w:evenVBand="0" w:oddHBand="1" w:evenHBand="0" w:firstRowFirstColumn="0" w:firstRowLastColumn="0" w:lastRowFirstColumn="0" w:lastRowLastColumn="0"/>
              <w:rPr>
                <w:sz w:val="20"/>
                <w:szCs w:val="18"/>
              </w:rPr>
            </w:pPr>
            <w:hyperlink r:id="rId174" w:history="1">
              <w:r w:rsidR="006D6AD6" w:rsidRPr="001F3252">
                <w:rPr>
                  <w:rStyle w:val="Hyperlink"/>
                  <w:sz w:val="20"/>
                  <w:szCs w:val="18"/>
                </w:rPr>
                <w:t>https://msdn.microsoft.com/en-us/library/azure/dn790330.aspx</w:t>
              </w:r>
            </w:hyperlink>
            <w:r w:rsidR="006D6AD6">
              <w:rPr>
                <w:sz w:val="20"/>
                <w:szCs w:val="18"/>
              </w:rPr>
              <w:t xml:space="preserve"> </w:t>
            </w:r>
          </w:p>
        </w:tc>
      </w:tr>
      <w:tr w:rsidR="009E7967" w14:paraId="27485CA9" w14:textId="77777777" w:rsidTr="003F0158">
        <w:tc>
          <w:tcPr>
            <w:cnfStyle w:val="001000000000" w:firstRow="0" w:lastRow="0" w:firstColumn="1" w:lastColumn="0" w:oddVBand="0" w:evenVBand="0" w:oddHBand="0" w:evenHBand="0" w:firstRowFirstColumn="0" w:firstRowLastColumn="0" w:lastRowFirstColumn="0" w:lastRowLastColumn="0"/>
            <w:tcW w:w="3420" w:type="dxa"/>
          </w:tcPr>
          <w:p w14:paraId="3617AFA9" w14:textId="4B24CF1B" w:rsidR="009E7967" w:rsidRPr="006D6AD6" w:rsidRDefault="009E7967" w:rsidP="00870CE5">
            <w:pPr>
              <w:spacing w:line="240" w:lineRule="auto"/>
              <w:rPr>
                <w:sz w:val="20"/>
                <w:szCs w:val="18"/>
                <w:lang w:val="en"/>
              </w:rPr>
            </w:pPr>
            <w:r w:rsidRPr="009E7967">
              <w:rPr>
                <w:sz w:val="20"/>
                <w:szCs w:val="18"/>
                <w:lang w:val="en"/>
              </w:rPr>
              <w:t>How To Change the Drive Letter of the Windows Temporary Disk</w:t>
            </w:r>
          </w:p>
        </w:tc>
        <w:tc>
          <w:tcPr>
            <w:tcW w:w="5940" w:type="dxa"/>
          </w:tcPr>
          <w:p w14:paraId="45BAB897" w14:textId="46410E99" w:rsidR="009E7967" w:rsidRDefault="00872E47" w:rsidP="00870CE5">
            <w:pPr>
              <w:cnfStyle w:val="000000000000" w:firstRow="0" w:lastRow="0" w:firstColumn="0" w:lastColumn="0" w:oddVBand="0" w:evenVBand="0" w:oddHBand="0" w:evenHBand="0" w:firstRowFirstColumn="0" w:firstRowLastColumn="0" w:lastRowFirstColumn="0" w:lastRowLastColumn="0"/>
              <w:rPr>
                <w:sz w:val="20"/>
                <w:szCs w:val="18"/>
              </w:rPr>
            </w:pPr>
            <w:hyperlink r:id="rId175" w:history="1">
              <w:r w:rsidR="009E7967" w:rsidRPr="001F3252">
                <w:rPr>
                  <w:rStyle w:val="Hyperlink"/>
                  <w:sz w:val="20"/>
                  <w:szCs w:val="18"/>
                </w:rPr>
                <w:t>http://azure.microsoft.com/en-us/documentation/articles/virtual-machines-windows-change-drive-letter</w:t>
              </w:r>
            </w:hyperlink>
            <w:r w:rsidR="009E7967">
              <w:rPr>
                <w:sz w:val="20"/>
                <w:szCs w:val="18"/>
              </w:rPr>
              <w:t xml:space="preserve"> </w:t>
            </w:r>
          </w:p>
        </w:tc>
      </w:tr>
    </w:tbl>
    <w:p w14:paraId="238E56A5" w14:textId="77777777" w:rsidR="00870CE5" w:rsidRDefault="00870CE5" w:rsidP="00870CE5"/>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870CE5" w14:paraId="0751A8A6" w14:textId="77777777" w:rsidTr="00870CE5">
        <w:trPr>
          <w:trHeight w:val="423"/>
        </w:trPr>
        <w:tc>
          <w:tcPr>
            <w:tcW w:w="666" w:type="dxa"/>
          </w:tcPr>
          <w:p w14:paraId="54BD333F" w14:textId="77777777" w:rsidR="00870CE5" w:rsidRDefault="00870CE5" w:rsidP="00870CE5">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62BF9DBA" wp14:editId="544D33BC">
                      <wp:extent cx="200025" cy="180975"/>
                      <wp:effectExtent l="57150" t="19050" r="28575" b="104775"/>
                      <wp:docPr id="41111" name="Octagon 41111"/>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85CBFAB" id="Octagon 41111"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aO/cwIAAFIFAAAOAAAAZHJzL2Uyb0RvYy54bWysVF9P2zAQf5+072D5faTpyoCKFFVFTJMQ&#10;IGDi2XXs1pLj885u0+7T7+ykoWJISNPy4Nz5/v/uzpdXu8ayrcJgwFW8PBlxppyE2rhVxX8+33w5&#10;5yxE4WphwamK71XgV7PPny5bP1VjWIOtFTJy4sK09RVfx+inRRHkWjUinIBXjoQasBGRWFwVNYqW&#10;vDe2GI9G34oWsPYIUoVAt9edkM+yf62VjPdaBxWZrTjlFvOJ+Vyms5hdiukKhV8b2ach/iGLRhhH&#10;QQdX1yIKtkHzl6vGSIQAOp5IaArQ2kiVa6BqytGbap7WwqtcC4ET/ABT+H9u5d32AZmpKz4p6ePM&#10;iYbadC+jWIFj3SWB1PowJd0n/4A9F4hMFe80NulPtbBdBnY/AKt2kUm6pE6NxqecSRKV56OLs9ME&#10;fPFq7DHE7woaloiKQxc+Iyq2tyF22getFC6ANfWNsTYzuFouLLKtoDYvFhQtd5YCHKkVqYYu60zF&#10;vVXJ2LpHpQkCyrPMEfPwqcGfkFK5OO4zztrJTFPswfDrx4a9fjJVeTAH4/HHxoNFjgwuDsaNcYDv&#10;ObCx7FPWnT4BflR3IpdQ76n7CN1aBC9vDOF/K0J8EEh7QBtDux3v6dAWWmpMT3G2Bvz93n3Sp/Ek&#10;KWct7VXFw6+NQMWZ/eFocC/KySQtYmYmp2djYvBYsjyWuE2zAOopDSZll8mkH+2B1AjNCz0B8xSV&#10;RMJJil1xGfHALGK37/SISDWfZzVaPi/irXvy8tD1NFzPuxeBvh/CSNN7B4cdFNM3g9jppn44mG8i&#10;aJOn9BXXHm9a3Dzq/SOTXoZjPmu9PoWzPwA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AUEaO/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21BE68A8" w14:textId="77777777" w:rsidR="003221BF" w:rsidRDefault="00870CE5" w:rsidP="00870CE5">
            <w:pPr>
              <w:rPr>
                <w:lang w:eastAsia="en-US"/>
              </w:rPr>
            </w:pPr>
            <w:r w:rsidRPr="00192064">
              <w:rPr>
                <w:b/>
                <w:lang w:eastAsia="en-US"/>
              </w:rPr>
              <w:t>Mandatory</w:t>
            </w:r>
            <w:r>
              <w:rPr>
                <w:lang w:eastAsia="en-US"/>
              </w:rPr>
              <w:t xml:space="preserve">:  </w:t>
            </w:r>
          </w:p>
          <w:p w14:paraId="5A44E65D" w14:textId="77777777" w:rsidR="00621420" w:rsidRPr="003221BF" w:rsidRDefault="00621420" w:rsidP="005729D2">
            <w:pPr>
              <w:pStyle w:val="ListParagraph"/>
              <w:numPr>
                <w:ilvl w:val="0"/>
                <w:numId w:val="163"/>
              </w:numPr>
            </w:pPr>
            <w:r w:rsidRPr="00207B9B">
              <w:t xml:space="preserve">Note that Microsoft Azure virtual machines do not </w:t>
            </w:r>
            <w:r w:rsidRPr="008B5E51">
              <w:t>currently</w:t>
            </w:r>
            <w:r>
              <w:rPr>
                <w:i/>
              </w:rPr>
              <w:t xml:space="preserve"> </w:t>
            </w:r>
            <w:r w:rsidRPr="00207B9B">
              <w:t>support the VHDX format. Ensure that any virtual machines or images that are planned for use in or migration to Microsoft Azure use the VHD format.</w:t>
            </w:r>
          </w:p>
          <w:p w14:paraId="20466D95" w14:textId="77777777" w:rsidR="00621420" w:rsidRPr="003221BF" w:rsidRDefault="00621420" w:rsidP="005729D2">
            <w:pPr>
              <w:pStyle w:val="ListParagraph"/>
              <w:numPr>
                <w:ilvl w:val="0"/>
                <w:numId w:val="163"/>
              </w:numPr>
            </w:pPr>
            <w:r w:rsidRPr="003221BF">
              <w:t xml:space="preserve">Note that if a VHD file on-premises is a </w:t>
            </w:r>
            <w:r w:rsidRPr="008B5E51">
              <w:t>dynamic</w:t>
            </w:r>
            <w:r w:rsidRPr="003221BF">
              <w:t xml:space="preserve"> </w:t>
            </w:r>
            <w:r>
              <w:t>disk</w:t>
            </w:r>
            <w:r w:rsidRPr="003221BF">
              <w:t>, it is converted to</w:t>
            </w:r>
            <w:r>
              <w:t xml:space="preserve"> a</w:t>
            </w:r>
            <w:r w:rsidRPr="003221BF">
              <w:t xml:space="preserve"> </w:t>
            </w:r>
            <w:r w:rsidRPr="008B5E51">
              <w:t>fixed</w:t>
            </w:r>
            <w:r w:rsidRPr="003221BF">
              <w:t xml:space="preserve"> </w:t>
            </w:r>
            <w:r>
              <w:t xml:space="preserve">disk </w:t>
            </w:r>
            <w:r w:rsidRPr="003221BF">
              <w:t>when it is uploaded to Microsoft Azure.</w:t>
            </w:r>
          </w:p>
          <w:p w14:paraId="7963DE3C" w14:textId="48E6A0E7" w:rsidR="00870CE5" w:rsidRDefault="00621420" w:rsidP="005729D2">
            <w:pPr>
              <w:pStyle w:val="ListParagraph"/>
              <w:numPr>
                <w:ilvl w:val="0"/>
                <w:numId w:val="163"/>
              </w:numPr>
              <w:rPr>
                <w:lang w:eastAsia="en-US"/>
              </w:rPr>
            </w:pPr>
            <w:r w:rsidRPr="003221BF">
              <w:rPr>
                <w:lang w:val="en-US"/>
              </w:rPr>
              <w:t>Do not store data on the temporary disk. This disk provides temporary storage for applications and processes</w:t>
            </w:r>
            <w:r>
              <w:rPr>
                <w:lang w:val="en-US"/>
              </w:rPr>
              <w:t>,</w:t>
            </w:r>
            <w:r w:rsidRPr="003221BF">
              <w:rPr>
                <w:lang w:val="en-US"/>
              </w:rPr>
              <w:t xml:space="preserve"> and</w:t>
            </w:r>
            <w:r>
              <w:rPr>
                <w:lang w:val="en-US"/>
              </w:rPr>
              <w:t xml:space="preserve"> it</w:t>
            </w:r>
            <w:r w:rsidRPr="003221BF">
              <w:rPr>
                <w:lang w:val="en-US"/>
              </w:rPr>
              <w:t xml:space="preserve"> is intended to only store transient data such as page or swap files.</w:t>
            </w:r>
            <w:r>
              <w:rPr>
                <w:lang w:val="en-US"/>
              </w:rPr>
              <w:t xml:space="preserve"> No</w:t>
            </w:r>
            <w:r w:rsidRPr="003221BF">
              <w:rPr>
                <w:rFonts w:eastAsia="Segoe UI" w:cs="Segoe UI"/>
              </w:rPr>
              <w:t xml:space="preserve"> data </w:t>
            </w:r>
            <w:r>
              <w:rPr>
                <w:rFonts w:eastAsia="Segoe UI" w:cs="Segoe UI"/>
              </w:rPr>
              <w:t xml:space="preserve">on the temporary disk </w:t>
            </w:r>
            <w:r w:rsidRPr="003221BF">
              <w:rPr>
                <w:rFonts w:eastAsia="Segoe UI" w:cs="Segoe UI"/>
              </w:rPr>
              <w:t>will persist a host-machine failure or any other operation that requires moving the virtual machine to another piece of hardware</w:t>
            </w:r>
            <w:r w:rsidR="003221BF" w:rsidRPr="003221BF">
              <w:rPr>
                <w:rFonts w:eastAsia="Segoe UI" w:cs="Segoe UI"/>
              </w:rPr>
              <w:t>.</w:t>
            </w:r>
          </w:p>
        </w:tc>
      </w:tr>
      <w:tr w:rsidR="00870CE5" w14:paraId="6F3D77C6" w14:textId="77777777" w:rsidTr="00870CE5">
        <w:trPr>
          <w:trHeight w:val="423"/>
        </w:trPr>
        <w:tc>
          <w:tcPr>
            <w:tcW w:w="666" w:type="dxa"/>
          </w:tcPr>
          <w:p w14:paraId="7FE13DD9" w14:textId="77777777" w:rsidR="00870CE5" w:rsidRDefault="00870CE5" w:rsidP="00870CE5">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385856" behindDoc="0" locked="0" layoutInCell="1" allowOverlap="1" wp14:anchorId="4EAAC045" wp14:editId="30C69634">
                      <wp:simplePos x="0" y="0"/>
                      <wp:positionH relativeFrom="column">
                        <wp:posOffset>66675</wp:posOffset>
                      </wp:positionH>
                      <wp:positionV relativeFrom="paragraph">
                        <wp:posOffset>90170</wp:posOffset>
                      </wp:positionV>
                      <wp:extent cx="209550" cy="180975"/>
                      <wp:effectExtent l="57150" t="19050" r="57150" b="104775"/>
                      <wp:wrapNone/>
                      <wp:docPr id="41107" name="Isosceles Triangle 411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203CEC6B" id="Isosceles Triangle 41107" o:spid="_x0000_s1026" type="#_x0000_t5" style="position:absolute;margin-left:5.25pt;margin-top:7.1pt;width:16.5pt;height:14.25pt;z-index:25138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cMsig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Oi&#10;yM8oMazBNt168Fxo4cmjU8xstCCdHuvVWl+i2YO9dzFjb1fAf3hUZH9oouB7zEG6JmIxX3JIxT+O&#10;xReHQDj+nOQXsxm2iKOqOM8vzmaxORkrB2PrfPgioCHxUtHQB5bKzvYrHzr4AEuxgVb1UmmdBLdZ&#10;X2tH9gy5sMQvT+3HF/wzLOXQhZ0SCEctorE234TEOmGgRXoxMVSM/hjnwoTTPuSEjmYS3x4NP79v&#10;2OOjqUjsHY0n7xuPFullMGE0bpQB95YDHYo+ZNnh+y76Lu9YgjXUR6SIg252vOVLhQ1YMR/umcNh&#10;wZ7hAghf8ZAa2opCf6NkC+7XW/8jHjmMWkpaHL6K+p875gQl+tYguy+K6TROaxKms7MJCu6lZv1S&#10;Y3bNNWBPC1w1lqdrxAc9XKWD5gn3xCK+iipmOL5dUR7cIFyHbingpuFisUgwnFDLwso8WD50PZLr&#10;8fDEnB1YiPS9g2FQWfmKiB029sPAYhdAqsTS57r29cbpTlzvN1FcHy/lhHrel/PfAAAA//8DAFBL&#10;AwQUAAYACAAAACEANTxCMNkAAAAHAQAADwAAAGRycy9kb3ducmV2LnhtbEyOzU7DMBCE70i8g7VI&#10;XFDrkIa2CnEqhJIjqig8gBNvfoS9jmK3DW/PcoLTaDSjma84LM6KC85h9KTgcZ2AQGq9GalX8PlR&#10;r/YgQtRktPWECr4xwKG8vSl0bvyV3vFyir3gEQq5VjDEOOVShnZAp8PaT0icdX52OrKde2lmfeVx&#10;Z2WaJFvp9Ej8MOgJXwdsv05np8A3y7Hb1Lv9Q+0m+9ZVVeaOlVL3d8vLM4iIS/wrwy8+o0PJTI0/&#10;kwnCsk+euMmapSA4zzbsG9Z0B7Is5H/+8gcAAP//AwBQSwECLQAUAAYACAAAACEAtoM4kv4AAADh&#10;AQAAEwAAAAAAAAAAAAAAAAAAAAAAW0NvbnRlbnRfVHlwZXNdLnhtbFBLAQItABQABgAIAAAAIQA4&#10;/SH/1gAAAJQBAAALAAAAAAAAAAAAAAAAAC8BAABfcmVscy8ucmVsc1BLAQItABQABgAIAAAAIQAZ&#10;GcMsigIAAHcFAAAOAAAAAAAAAAAAAAAAAC4CAABkcnMvZTJvRG9jLnhtbFBLAQItABQABgAIAAAA&#10;IQA1PEIw2QAAAAcBAAAPAAAAAAAAAAAAAAAAAOQEAABkcnMvZG93bnJldi54bWxQSwUGAAAAAAQA&#10;BADzAAAA6gUAAAAA&#10;" fillcolor="yellow" strokecolor="#70ad47 [3209]" strokeweight=".5pt">
                      <v:path arrowok="t"/>
                    </v:shape>
                  </w:pict>
                </mc:Fallback>
              </mc:AlternateContent>
            </w:r>
          </w:p>
        </w:tc>
        <w:tc>
          <w:tcPr>
            <w:tcW w:w="8604" w:type="dxa"/>
          </w:tcPr>
          <w:p w14:paraId="21AFF676" w14:textId="77777777" w:rsidR="00621420" w:rsidRDefault="00870CE5" w:rsidP="00621420">
            <w:pPr>
              <w:rPr>
                <w:lang w:val="en"/>
              </w:rPr>
            </w:pPr>
            <w:r>
              <w:rPr>
                <w:rFonts w:eastAsiaTheme="minorHAnsi"/>
                <w:b/>
                <w:lang w:eastAsia="en-US"/>
              </w:rPr>
              <w:t xml:space="preserve">Recommended: </w:t>
            </w:r>
            <w:r>
              <w:rPr>
                <w:rFonts w:eastAsiaTheme="minorHAnsi"/>
                <w:lang w:eastAsia="en-US"/>
              </w:rPr>
              <w:t xml:space="preserve"> </w:t>
            </w:r>
            <w:r w:rsidR="00621420">
              <w:rPr>
                <w:lang w:val="en"/>
              </w:rPr>
              <w:t xml:space="preserve">You can read or write to a single blob at up to a maximum of 60 MB/second (this is approximately 480 Mbps, which exceeds the capabilities of many client-side networks (including the physical network adapter on the client device). </w:t>
            </w:r>
          </w:p>
          <w:p w14:paraId="7F0EA0D8" w14:textId="768ECA88" w:rsidR="00870CE5" w:rsidRDefault="00621420" w:rsidP="00621420">
            <w:pPr>
              <w:rPr>
                <w:lang w:eastAsia="en-US"/>
              </w:rPr>
            </w:pPr>
            <w:r>
              <w:rPr>
                <w:lang w:val="en"/>
              </w:rPr>
              <w:t>In addition, a single blob supports up to 500 requests per second. If you have multiple clients that need to read the same blob, and you might exceed these limits, you should consider using a content delivery network (CDN) for distributing the blob</w:t>
            </w:r>
            <w:r w:rsidR="00870CE5">
              <w:rPr>
                <w:lang w:val="en"/>
              </w:rPr>
              <w:t>.</w:t>
            </w:r>
          </w:p>
        </w:tc>
      </w:tr>
      <w:tr w:rsidR="00870CE5" w14:paraId="0AC54145" w14:textId="77777777" w:rsidTr="00870CE5">
        <w:trPr>
          <w:trHeight w:val="423"/>
        </w:trPr>
        <w:tc>
          <w:tcPr>
            <w:tcW w:w="666" w:type="dxa"/>
          </w:tcPr>
          <w:p w14:paraId="50AACFED" w14:textId="77777777" w:rsidR="00870CE5" w:rsidRDefault="00870CE5" w:rsidP="00870CE5">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390976" behindDoc="0" locked="0" layoutInCell="1" allowOverlap="1" wp14:anchorId="7772E71D" wp14:editId="4D7D19BD">
                      <wp:simplePos x="0" y="0"/>
                      <wp:positionH relativeFrom="column">
                        <wp:posOffset>66675</wp:posOffset>
                      </wp:positionH>
                      <wp:positionV relativeFrom="paragraph">
                        <wp:posOffset>90170</wp:posOffset>
                      </wp:positionV>
                      <wp:extent cx="180975" cy="180975"/>
                      <wp:effectExtent l="57150" t="19050" r="9525" b="104775"/>
                      <wp:wrapNone/>
                      <wp:docPr id="41108" name="Oval 41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574140C2" id="Oval 41108" o:spid="_x0000_s1026" style="position:absolute;margin-left:5.25pt;margin-top:7.1pt;width:14.25pt;height:14.25pt;z-index:25139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X3bfQIAAGgFAAAOAAAAZHJzL2Uyb0RvYy54bWysVN1P2zAQf5+0/8Hy+0hSyoCIFHUgpkkV&#10;oMHEs+vYrTXb59lu0+6v39lJAxuTkKa9WHe+331/XFzujCZb4YMC29DqqKREWA6tsquGfnu8+XBG&#10;SYjMtkyDFQ3di0AvZ+/fXXSuFhNYg26FJ2jEhrpzDV3H6OqiCHwtDAtH4IRFoQRvWETWr4rWsw6t&#10;G11MyvJj0YFvnQcuQsDf615IZ9m+lILHOymDiEQ3FGOL+fX5Xaa3mF2weuWZWys+hMH+IQrDlEWn&#10;o6lrFhnZePXKlFHcQwAZjziYAqRUXOQcMJuq/CObhzVzIueCxQluLFP4f2b57fbeE9U2dFpVJTbL&#10;MoNtutsyTfofrFDnQo3AB3fvU47BLYB/DygofpMkJgyYnfQmYTFDssvl3o/lFrtIOH5WZ+X56Qkl&#10;HEUDnWyy+qDsfIifBRiSiIYKrZULqSCsZttFiD36gMqhgVbtjdI6M361vNKeYC7ou/xUnuR+o4Pw&#10;DMsp9FHn+ONei6Ss7VchsTApzuwxj6QY7THOhY3HaYDQYEYnNYm+R8XjtxUHfFIVeVxH5cnbyqNG&#10;9gw2jspGWfB/M6BjNYQse/zQxNDnnUqwhHaPM+GhX5bg+I3C+i9YiPfM43bgHuHGxzt8pIauoTBQ&#10;lKzB//zbf8Lj0KKUkg63raHhx4Z5QYn+YnGcz6vpNK1nZqYnpxNk/EvJ8qXEbswVYE8rvC2OZzLh&#10;oz6Q0oN5wsMwT15RxCxH3w3l0R+Yq9hfATwtXMznGYYr6Vhc2AfHD11Pw/W4e2LeDUMYcXpv4bCZ&#10;rwaxx6Z+WJhvIkiVp/S5rkO9cZ3z4AynJ92Ll3xGPR/I2S8AAAD//wMAUEsDBBQABgAIAAAAIQDC&#10;Gp8i3gAAAAcBAAAPAAAAZHJzL2Rvd25yZXYueG1sTI9BS8NAEIXvgv9hGcGL2E1iqzZmU0QQFL2Y&#10;VtTbNDsmwexsyG7b+O8dT3oaHu/x5nvFanK92tMYOs8G0lkCirj2tuPGwGZ9f34NKkRki71nMvBN&#10;AVbl8VGBufUHfqF9FRslJRxyNNDGOORah7olh2HmB2LxPv3oMIocG21HPEi563WWJJfaYcfyocWB&#10;7lqqv6qdM/BRbZ7dOn1yb4/pw4LO3vsl2ldjTk+m2xtQkab4F4ZffEGHUpi2fsc2qF50spCk3HkG&#10;SvyLpUzbGphnV6DLQv/nL38AAAD//wMAUEsBAi0AFAAGAAgAAAAhALaDOJL+AAAA4QEAABMAAAAA&#10;AAAAAAAAAAAAAAAAAFtDb250ZW50X1R5cGVzXS54bWxQSwECLQAUAAYACAAAACEAOP0h/9YAAACU&#10;AQAACwAAAAAAAAAAAAAAAAAvAQAAX3JlbHMvLnJlbHNQSwECLQAUAAYACAAAACEAFGV9230CAABo&#10;BQAADgAAAAAAAAAAAAAAAAAuAgAAZHJzL2Uyb0RvYy54bWxQSwECLQAUAAYACAAAACEAwhqfIt4A&#10;AAAHAQAADwAAAAAAAAAAAAAAAADXBAAAZHJzL2Rvd25yZXYueG1sUEsFBgAAAAAEAAQA8wAAAOIF&#10;AAAAAA==&#10;" fillcolor="#00b050" strokecolor="#a5a5a5 [3206]" strokeweight=".5pt">
                      <v:stroke joinstyle="miter"/>
                      <v:path arrowok="t"/>
                    </v:oval>
                  </w:pict>
                </mc:Fallback>
              </mc:AlternateContent>
            </w:r>
          </w:p>
        </w:tc>
        <w:tc>
          <w:tcPr>
            <w:tcW w:w="8604" w:type="dxa"/>
          </w:tcPr>
          <w:p w14:paraId="43F78C11" w14:textId="6F008CEC" w:rsidR="00870CE5" w:rsidRDefault="00870CE5" w:rsidP="00870CE5">
            <w:pPr>
              <w:rPr>
                <w:lang w:eastAsia="en-US"/>
              </w:rPr>
            </w:pPr>
            <w:r>
              <w:rPr>
                <w:rFonts w:eastAsiaTheme="minorHAnsi"/>
                <w:b/>
                <w:lang w:eastAsia="en-US"/>
              </w:rPr>
              <w:t xml:space="preserve">Optional: </w:t>
            </w:r>
            <w:r>
              <w:rPr>
                <w:rFonts w:eastAsiaTheme="minorHAnsi"/>
                <w:lang w:eastAsia="en-US"/>
              </w:rPr>
              <w:t xml:space="preserve"> </w:t>
            </w:r>
            <w:r w:rsidR="00621420">
              <w:rPr>
                <w:rFonts w:eastAsiaTheme="minorHAnsi"/>
                <w:lang w:eastAsia="en-US"/>
              </w:rPr>
              <w:t>Different virtual machine sizes allow for a different number of data disks to be attached. Be sure to choose the appropriate size virtual machine, based on the number of data disks that you may anticipate needing. For example, a size A1 virtual machine can have a maximum of two data disks. If you need more than two data disks, choose something bigger than an A1</w:t>
            </w:r>
            <w:r w:rsidR="006E60E9">
              <w:rPr>
                <w:rFonts w:eastAsiaTheme="minorHAnsi"/>
                <w:lang w:eastAsia="en-US"/>
              </w:rPr>
              <w:t>.</w:t>
            </w:r>
          </w:p>
        </w:tc>
      </w:tr>
    </w:tbl>
    <w:p w14:paraId="53918FA0" w14:textId="623611AE" w:rsidR="003221BF" w:rsidRDefault="003221BF">
      <w:pPr>
        <w:spacing w:before="0" w:after="160" w:line="259" w:lineRule="auto"/>
      </w:pPr>
    </w:p>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870CE5" w14:paraId="1FEB83A7" w14:textId="77777777" w:rsidTr="00870CE5">
        <w:tc>
          <w:tcPr>
            <w:tcW w:w="9360" w:type="dxa"/>
            <w:shd w:val="clear" w:color="auto" w:fill="008AC8"/>
          </w:tcPr>
          <w:p w14:paraId="72AE331B" w14:textId="77777777" w:rsidR="00870CE5" w:rsidRPr="00F47607" w:rsidRDefault="00870CE5" w:rsidP="00870CE5">
            <w:pPr>
              <w:spacing w:line="240" w:lineRule="auto"/>
              <w:rPr>
                <w:color w:val="FFFFFF"/>
              </w:rPr>
            </w:pPr>
            <w:r>
              <w:rPr>
                <w:color w:val="FFFFFF"/>
              </w:rPr>
              <w:t>Design Guidance</w:t>
            </w:r>
          </w:p>
        </w:tc>
      </w:tr>
    </w:tbl>
    <w:p w14:paraId="4791C7CD" w14:textId="2602073F" w:rsidR="00696A2A" w:rsidRDefault="00696A2A" w:rsidP="00696A2A">
      <w:r>
        <w:t>When you design s</w:t>
      </w:r>
      <w:r w:rsidRPr="00EA2F0D">
        <w:t xml:space="preserve">torage </w:t>
      </w:r>
      <w:r>
        <w:t>for IaaS, consider the following:</w:t>
      </w:r>
    </w:p>
    <w:tbl>
      <w:tblPr>
        <w:tblStyle w:val="PlainTable11"/>
        <w:tblW w:w="0" w:type="auto"/>
        <w:tblLook w:val="0420" w:firstRow="1" w:lastRow="0" w:firstColumn="0" w:lastColumn="0" w:noHBand="0" w:noVBand="1"/>
      </w:tblPr>
      <w:tblGrid>
        <w:gridCol w:w="2134"/>
        <w:gridCol w:w="3543"/>
        <w:gridCol w:w="3673"/>
      </w:tblGrid>
      <w:tr w:rsidR="00696A2A" w:rsidRPr="003F0158" w14:paraId="54B90153" w14:textId="77777777" w:rsidTr="00930F52">
        <w:trPr>
          <w:cnfStyle w:val="100000000000" w:firstRow="1" w:lastRow="0" w:firstColumn="0" w:lastColumn="0" w:oddVBand="0" w:evenVBand="0" w:oddHBand="0" w:evenHBand="0" w:firstRowFirstColumn="0" w:firstRowLastColumn="0" w:lastRowFirstColumn="0" w:lastRowLastColumn="0"/>
          <w:tblHeader/>
        </w:trPr>
        <w:tc>
          <w:tcPr>
            <w:tcW w:w="0" w:type="auto"/>
            <w:shd w:val="clear" w:color="auto" w:fill="808080" w:themeFill="background1" w:themeFillShade="80"/>
            <w:hideMark/>
          </w:tcPr>
          <w:p w14:paraId="3EAAEB06" w14:textId="77777777" w:rsidR="00696A2A" w:rsidRPr="003F0158" w:rsidRDefault="00696A2A" w:rsidP="009B46DA">
            <w:pPr>
              <w:spacing w:line="240" w:lineRule="auto"/>
              <w:rPr>
                <w:rFonts w:eastAsia="Calibri"/>
                <w:color w:val="FFFFFF"/>
                <w:sz w:val="20"/>
                <w:lang w:eastAsia="en-AU"/>
              </w:rPr>
            </w:pPr>
            <w:r w:rsidRPr="003F0158">
              <w:rPr>
                <w:rFonts w:eastAsia="Calibri"/>
                <w:color w:val="FFFFFF"/>
                <w:sz w:val="20"/>
                <w:lang w:eastAsia="en-AU"/>
              </w:rPr>
              <w:t>Capability Considerations</w:t>
            </w:r>
          </w:p>
          <w:p w14:paraId="3E072011" w14:textId="77777777" w:rsidR="00696A2A" w:rsidRPr="003F0158" w:rsidRDefault="00696A2A" w:rsidP="009B46DA">
            <w:pPr>
              <w:spacing w:line="240" w:lineRule="auto"/>
              <w:rPr>
                <w:rFonts w:ascii="Times New Roman" w:hAnsi="Times New Roman"/>
                <w:color w:val="FFFFFF"/>
                <w:sz w:val="20"/>
                <w:lang w:val="en-AU" w:eastAsia="en-AU"/>
              </w:rPr>
            </w:pPr>
          </w:p>
        </w:tc>
        <w:tc>
          <w:tcPr>
            <w:tcW w:w="0" w:type="auto"/>
            <w:shd w:val="clear" w:color="auto" w:fill="808080" w:themeFill="background1" w:themeFillShade="80"/>
            <w:hideMark/>
          </w:tcPr>
          <w:p w14:paraId="326612AE" w14:textId="77777777" w:rsidR="00696A2A" w:rsidRPr="003F0158" w:rsidRDefault="00696A2A" w:rsidP="009B46DA">
            <w:pPr>
              <w:spacing w:line="240" w:lineRule="auto"/>
              <w:rPr>
                <w:rFonts w:eastAsia="Calibri"/>
                <w:color w:val="FFFFFF"/>
                <w:sz w:val="20"/>
                <w:lang w:eastAsia="en-AU"/>
              </w:rPr>
            </w:pPr>
            <w:r w:rsidRPr="003F0158">
              <w:rPr>
                <w:rFonts w:eastAsia="Calibri"/>
                <w:color w:val="FFFFFF"/>
                <w:sz w:val="20"/>
                <w:lang w:eastAsia="en-AU"/>
              </w:rPr>
              <w:t>Capability Decision Points</w:t>
            </w:r>
          </w:p>
          <w:p w14:paraId="10E76346" w14:textId="77777777" w:rsidR="00696A2A" w:rsidRPr="003F0158" w:rsidRDefault="00696A2A" w:rsidP="009B46DA">
            <w:pPr>
              <w:spacing w:line="240" w:lineRule="auto"/>
              <w:rPr>
                <w:rFonts w:eastAsia="Calibri"/>
                <w:color w:val="FFFFFF"/>
                <w:sz w:val="20"/>
                <w:lang w:val="en-AU" w:eastAsia="en-AU"/>
              </w:rPr>
            </w:pPr>
          </w:p>
        </w:tc>
        <w:tc>
          <w:tcPr>
            <w:tcW w:w="0" w:type="auto"/>
            <w:shd w:val="clear" w:color="auto" w:fill="808080" w:themeFill="background1" w:themeFillShade="80"/>
            <w:hideMark/>
          </w:tcPr>
          <w:p w14:paraId="17D8218A" w14:textId="52268EAB" w:rsidR="00696A2A" w:rsidRPr="003F0158" w:rsidRDefault="00696A2A" w:rsidP="009B46DA">
            <w:pPr>
              <w:spacing w:line="240" w:lineRule="auto"/>
              <w:rPr>
                <w:rFonts w:eastAsia="Calibri"/>
                <w:color w:val="FFFFFF"/>
                <w:sz w:val="20"/>
                <w:lang w:eastAsia="en-AU"/>
              </w:rPr>
            </w:pPr>
            <w:r w:rsidRPr="003F0158">
              <w:rPr>
                <w:rFonts w:eastAsia="Calibri"/>
                <w:color w:val="FFFFFF"/>
                <w:sz w:val="20"/>
                <w:lang w:eastAsia="en-AU"/>
              </w:rPr>
              <w:t xml:space="preserve">Capability Models in </w:t>
            </w:r>
            <w:r w:rsidR="00621420">
              <w:rPr>
                <w:rFonts w:eastAsia="Calibri"/>
                <w:color w:val="FFFFFF"/>
                <w:sz w:val="20"/>
                <w:lang w:eastAsia="en-AU"/>
              </w:rPr>
              <w:t>Use</w:t>
            </w:r>
          </w:p>
          <w:p w14:paraId="598B6BF2" w14:textId="77777777" w:rsidR="00696A2A" w:rsidRPr="003F0158" w:rsidRDefault="00696A2A" w:rsidP="009B46DA">
            <w:pPr>
              <w:spacing w:line="240" w:lineRule="auto"/>
              <w:rPr>
                <w:rFonts w:eastAsia="Calibri"/>
                <w:color w:val="FFFFFF"/>
                <w:sz w:val="20"/>
                <w:lang w:val="en-AU" w:eastAsia="en-AU"/>
              </w:rPr>
            </w:pPr>
          </w:p>
        </w:tc>
      </w:tr>
      <w:tr w:rsidR="00621420" w14:paraId="5DFFA0C5" w14:textId="77777777" w:rsidTr="003F0158">
        <w:trPr>
          <w:cnfStyle w:val="000000100000" w:firstRow="0" w:lastRow="0" w:firstColumn="0" w:lastColumn="0" w:oddVBand="0" w:evenVBand="0" w:oddHBand="1" w:evenHBand="0" w:firstRowFirstColumn="0" w:firstRowLastColumn="0" w:lastRowFirstColumn="0" w:lastRowLastColumn="0"/>
        </w:trPr>
        <w:tc>
          <w:tcPr>
            <w:tcW w:w="0" w:type="auto"/>
          </w:tcPr>
          <w:p w14:paraId="5874A1E5" w14:textId="050E1F06" w:rsidR="00621420" w:rsidRPr="007D32D2" w:rsidRDefault="00621420" w:rsidP="00621420">
            <w:pPr>
              <w:pStyle w:val="NormalWeb"/>
              <w:rPr>
                <w:rFonts w:ascii="Segoe UI" w:hAnsi="Segoe UI" w:cs="Segoe UI"/>
                <w:sz w:val="20"/>
                <w:szCs w:val="20"/>
                <w:lang w:val="en-AU" w:eastAsia="en-AU"/>
              </w:rPr>
            </w:pPr>
            <w:r>
              <w:rPr>
                <w:rFonts w:ascii="Segoe UI" w:hAnsi="Segoe UI" w:cs="Segoe UI"/>
                <w:sz w:val="20"/>
                <w:szCs w:val="20"/>
                <w:lang w:val="en-AU" w:eastAsia="en-AU"/>
              </w:rPr>
              <w:t>The IaaS design will depend heavily on the storage account design.</w:t>
            </w:r>
          </w:p>
        </w:tc>
        <w:tc>
          <w:tcPr>
            <w:tcW w:w="0" w:type="auto"/>
          </w:tcPr>
          <w:p w14:paraId="0D73B8BE" w14:textId="7C0D7072" w:rsidR="00621420" w:rsidRPr="007D32D2" w:rsidRDefault="00621420" w:rsidP="00621420">
            <w:pPr>
              <w:rPr>
                <w:sz w:val="20"/>
                <w:szCs w:val="20"/>
              </w:rPr>
            </w:pPr>
            <w:r>
              <w:rPr>
                <w:sz w:val="20"/>
                <w:szCs w:val="20"/>
              </w:rPr>
              <w:t>For IaaS workloads, it is important to first understand the I/O (or IOPS) and the profile of a workload to determine the stress and expectations it will put on the storage accounts. Based on this information, you can determine how VHDs should be stored in storage accounts and what kind of limitations you will be subject to.</w:t>
            </w:r>
          </w:p>
        </w:tc>
        <w:tc>
          <w:tcPr>
            <w:tcW w:w="0" w:type="auto"/>
          </w:tcPr>
          <w:p w14:paraId="4F78640B" w14:textId="77777777" w:rsidR="00621420" w:rsidRDefault="00621420" w:rsidP="00621420">
            <w:pPr>
              <w:rPr>
                <w:sz w:val="20"/>
                <w:szCs w:val="20"/>
              </w:rPr>
            </w:pPr>
            <w:r>
              <w:rPr>
                <w:sz w:val="20"/>
                <w:szCs w:val="20"/>
              </w:rPr>
              <w:t xml:space="preserve">The primary constraining factor is the number of VHD files that can be in each storage account. </w:t>
            </w:r>
          </w:p>
          <w:p w14:paraId="58A2D3C2" w14:textId="77777777" w:rsidR="00621420" w:rsidRDefault="00621420" w:rsidP="00621420">
            <w:pPr>
              <w:rPr>
                <w:sz w:val="20"/>
                <w:szCs w:val="20"/>
              </w:rPr>
            </w:pPr>
            <w:r w:rsidRPr="008C5440">
              <w:rPr>
                <w:sz w:val="20"/>
                <w:szCs w:val="20"/>
              </w:rPr>
              <w:t xml:space="preserve">For virtual machines in the Basic </w:t>
            </w:r>
            <w:r>
              <w:rPr>
                <w:sz w:val="20"/>
                <w:szCs w:val="20"/>
              </w:rPr>
              <w:t>t</w:t>
            </w:r>
            <w:r w:rsidRPr="008C5440">
              <w:rPr>
                <w:sz w:val="20"/>
                <w:szCs w:val="20"/>
              </w:rPr>
              <w:t>ier, do not place more than</w:t>
            </w:r>
            <w:r>
              <w:rPr>
                <w:sz w:val="20"/>
                <w:szCs w:val="20"/>
              </w:rPr>
              <w:t> 6</w:t>
            </w:r>
            <w:r w:rsidRPr="008C5440">
              <w:rPr>
                <w:sz w:val="20"/>
                <w:szCs w:val="20"/>
              </w:rPr>
              <w:t xml:space="preserve">6 </w:t>
            </w:r>
            <w:r w:rsidRPr="008C5440">
              <w:rPr>
                <w:b/>
                <w:sz w:val="20"/>
                <w:szCs w:val="20"/>
              </w:rPr>
              <w:t>highly used</w:t>
            </w:r>
            <w:r w:rsidRPr="008C5440">
              <w:rPr>
                <w:sz w:val="20"/>
                <w:szCs w:val="20"/>
              </w:rPr>
              <w:t xml:space="preserve"> VHDs in a storage account to avoid the</w:t>
            </w:r>
            <w:r>
              <w:rPr>
                <w:sz w:val="20"/>
                <w:szCs w:val="20"/>
              </w:rPr>
              <w:t> 2</w:t>
            </w:r>
            <w:r w:rsidRPr="008C5440">
              <w:rPr>
                <w:sz w:val="20"/>
                <w:szCs w:val="20"/>
              </w:rPr>
              <w:t xml:space="preserve">0,000 total request rate limit (20,000/300). </w:t>
            </w:r>
          </w:p>
          <w:p w14:paraId="79A2AA8A" w14:textId="77777777" w:rsidR="00621420" w:rsidRDefault="00621420" w:rsidP="00621420">
            <w:pPr>
              <w:rPr>
                <w:sz w:val="20"/>
                <w:szCs w:val="20"/>
              </w:rPr>
            </w:pPr>
            <w:r w:rsidRPr="008C5440">
              <w:rPr>
                <w:sz w:val="20"/>
                <w:szCs w:val="20"/>
              </w:rPr>
              <w:t xml:space="preserve">For virtual machines in the Standard </w:t>
            </w:r>
            <w:r>
              <w:rPr>
                <w:sz w:val="20"/>
                <w:szCs w:val="20"/>
              </w:rPr>
              <w:t>t</w:t>
            </w:r>
            <w:r w:rsidRPr="008C5440">
              <w:rPr>
                <w:sz w:val="20"/>
                <w:szCs w:val="20"/>
              </w:rPr>
              <w:t>ier, do not place more than</w:t>
            </w:r>
            <w:r>
              <w:rPr>
                <w:sz w:val="20"/>
                <w:szCs w:val="20"/>
              </w:rPr>
              <w:t> 4</w:t>
            </w:r>
            <w:r w:rsidRPr="008C5440">
              <w:rPr>
                <w:sz w:val="20"/>
                <w:szCs w:val="20"/>
              </w:rPr>
              <w:t xml:space="preserve">0 </w:t>
            </w:r>
            <w:r w:rsidRPr="008C5440">
              <w:rPr>
                <w:b/>
                <w:sz w:val="20"/>
                <w:szCs w:val="20"/>
              </w:rPr>
              <w:t>highly used</w:t>
            </w:r>
            <w:r w:rsidRPr="008C5440">
              <w:rPr>
                <w:sz w:val="20"/>
                <w:szCs w:val="20"/>
              </w:rPr>
              <w:t xml:space="preserve"> VHDs in </w:t>
            </w:r>
            <w:r>
              <w:rPr>
                <w:sz w:val="20"/>
                <w:szCs w:val="20"/>
              </w:rPr>
              <w:t xml:space="preserve">a storage account (20,000/500). The term </w:t>
            </w:r>
            <w:r w:rsidRPr="005951C3">
              <w:rPr>
                <w:sz w:val="20"/>
                <w:szCs w:val="20"/>
              </w:rPr>
              <w:t>highly used</w:t>
            </w:r>
            <w:r>
              <w:rPr>
                <w:sz w:val="20"/>
                <w:szCs w:val="20"/>
              </w:rPr>
              <w:t xml:space="preserve"> refers to VHDs that push the upper limits of the total request rates. If you have VHDs that are </w:t>
            </w:r>
            <w:r w:rsidRPr="005951C3">
              <w:rPr>
                <w:sz w:val="20"/>
                <w:szCs w:val="20"/>
              </w:rPr>
              <w:t>not</w:t>
            </w:r>
            <w:r>
              <w:rPr>
                <w:sz w:val="20"/>
                <w:szCs w:val="20"/>
              </w:rPr>
              <w:t xml:space="preserve"> highly used and do not come close to the maximum request rates, you can put more VHDs in the storage account. </w:t>
            </w:r>
          </w:p>
          <w:p w14:paraId="2B830FBD" w14:textId="70757401" w:rsidR="00621420" w:rsidRPr="007D32D2" w:rsidRDefault="00621420" w:rsidP="00621420">
            <w:pPr>
              <w:rPr>
                <w:sz w:val="20"/>
                <w:szCs w:val="20"/>
              </w:rPr>
            </w:pPr>
            <w:r>
              <w:rPr>
                <w:sz w:val="20"/>
                <w:szCs w:val="20"/>
              </w:rPr>
              <w:t>Note that this refers to virtual hard disks, not virtual machines. Virtual machines may indeed contain multiple virtual hard disks.</w:t>
            </w:r>
          </w:p>
        </w:tc>
      </w:tr>
      <w:tr w:rsidR="00621420" w14:paraId="4FDD8015" w14:textId="77777777" w:rsidTr="003F0158">
        <w:tc>
          <w:tcPr>
            <w:tcW w:w="0" w:type="auto"/>
          </w:tcPr>
          <w:p w14:paraId="28F346C2" w14:textId="4093DE59" w:rsidR="00621420" w:rsidRDefault="00621420" w:rsidP="00621420">
            <w:pPr>
              <w:pStyle w:val="NormalWeb"/>
              <w:rPr>
                <w:rFonts w:ascii="Segoe UI" w:hAnsi="Segoe UI" w:cs="Segoe UI"/>
                <w:sz w:val="20"/>
                <w:szCs w:val="20"/>
                <w:lang w:val="en-AU" w:eastAsia="en-AU"/>
              </w:rPr>
            </w:pPr>
            <w:r>
              <w:rPr>
                <w:rFonts w:ascii="Segoe UI" w:hAnsi="Segoe UI" w:cs="Segoe UI"/>
                <w:sz w:val="20"/>
                <w:szCs w:val="20"/>
                <w:lang w:val="en-AU" w:eastAsia="en-AU"/>
              </w:rPr>
              <w:t>Deployable virtual machine images also reside in storage accounts.</w:t>
            </w:r>
          </w:p>
        </w:tc>
        <w:tc>
          <w:tcPr>
            <w:tcW w:w="0" w:type="auto"/>
          </w:tcPr>
          <w:p w14:paraId="17EE3BBF" w14:textId="584BA0EE" w:rsidR="00621420" w:rsidRDefault="00621420" w:rsidP="00621420">
            <w:pPr>
              <w:rPr>
                <w:sz w:val="20"/>
                <w:szCs w:val="20"/>
              </w:rPr>
            </w:pPr>
            <w:r>
              <w:rPr>
                <w:sz w:val="20"/>
                <w:szCs w:val="20"/>
              </w:rPr>
              <w:t xml:space="preserve">When uploading and deploying images, a storage account must be used to house those images. The decision comes to </w:t>
            </w:r>
            <w:r w:rsidRPr="005951C3">
              <w:rPr>
                <w:sz w:val="20"/>
                <w:szCs w:val="20"/>
              </w:rPr>
              <w:t>which</w:t>
            </w:r>
            <w:r>
              <w:rPr>
                <w:sz w:val="20"/>
                <w:szCs w:val="20"/>
              </w:rPr>
              <w:t xml:space="preserve"> storage account should be used for images versus live virtual machines.</w:t>
            </w:r>
          </w:p>
        </w:tc>
        <w:tc>
          <w:tcPr>
            <w:tcW w:w="0" w:type="auto"/>
          </w:tcPr>
          <w:p w14:paraId="3A211501" w14:textId="77777777" w:rsidR="00621420" w:rsidRDefault="00621420" w:rsidP="00621420">
            <w:pPr>
              <w:rPr>
                <w:sz w:val="20"/>
                <w:szCs w:val="20"/>
              </w:rPr>
            </w:pPr>
            <w:r>
              <w:rPr>
                <w:sz w:val="20"/>
                <w:szCs w:val="20"/>
              </w:rPr>
              <w:t xml:space="preserve">We recommend that all custom virtual machine images are stored in a separate dedicated storage account, from which deployments can occur. </w:t>
            </w:r>
          </w:p>
          <w:p w14:paraId="222F9BCF" w14:textId="77777777" w:rsidR="00621420" w:rsidRDefault="00621420" w:rsidP="00621420">
            <w:pPr>
              <w:rPr>
                <w:sz w:val="20"/>
                <w:szCs w:val="20"/>
              </w:rPr>
            </w:pPr>
            <w:r>
              <w:rPr>
                <w:sz w:val="20"/>
                <w:szCs w:val="20"/>
              </w:rPr>
              <w:t>This keeps images separate from live virtual machines and prevents them from usurping any IOPS. Deployment can occur by copying an image from one storage account to another, thus keeping the images isolated and protected. This also allows you to give special permissions to the images storage account that you might not grant to the live virtual machines storage account (such as permissions for image deployment engineers).</w:t>
            </w:r>
          </w:p>
          <w:p w14:paraId="2976DBDD" w14:textId="177922E0" w:rsidR="00621420" w:rsidRDefault="00621420" w:rsidP="00621420">
            <w:pPr>
              <w:rPr>
                <w:sz w:val="20"/>
                <w:szCs w:val="20"/>
              </w:rPr>
            </w:pPr>
            <w:r>
              <w:rPr>
                <w:sz w:val="20"/>
                <w:szCs w:val="20"/>
              </w:rPr>
              <w:t>Also, never deploy an image across a VPN connection. Always maintain the source image in an Azure Storage account. This will provide for a much faster deployment, instead of pushing it across the VPN each time.</w:t>
            </w:r>
          </w:p>
        </w:tc>
      </w:tr>
      <w:tr w:rsidR="00621420" w14:paraId="0F2F210D" w14:textId="77777777" w:rsidTr="003F0158">
        <w:trPr>
          <w:cnfStyle w:val="000000100000" w:firstRow="0" w:lastRow="0" w:firstColumn="0" w:lastColumn="0" w:oddVBand="0" w:evenVBand="0" w:oddHBand="1" w:evenHBand="0" w:firstRowFirstColumn="0" w:firstRowLastColumn="0" w:lastRowFirstColumn="0" w:lastRowLastColumn="0"/>
        </w:trPr>
        <w:tc>
          <w:tcPr>
            <w:tcW w:w="0" w:type="auto"/>
          </w:tcPr>
          <w:p w14:paraId="64769C25" w14:textId="1BF3CF56" w:rsidR="00621420" w:rsidRDefault="00621420" w:rsidP="00621420">
            <w:pPr>
              <w:pStyle w:val="NormalWeb"/>
              <w:rPr>
                <w:rFonts w:ascii="Segoe UI" w:hAnsi="Segoe UI" w:cs="Segoe UI"/>
                <w:sz w:val="20"/>
                <w:szCs w:val="20"/>
                <w:lang w:val="en-AU" w:eastAsia="en-AU"/>
              </w:rPr>
            </w:pPr>
            <w:r>
              <w:rPr>
                <w:rFonts w:ascii="Segoe UI" w:hAnsi="Segoe UI" w:cs="Segoe UI"/>
                <w:sz w:val="20"/>
                <w:szCs w:val="20"/>
                <w:lang w:val="en-AU" w:eastAsia="en-AU"/>
              </w:rPr>
              <w:t>Choosing which storage account to deploy a virtual machine into is not a permanent decision.</w:t>
            </w:r>
          </w:p>
        </w:tc>
        <w:tc>
          <w:tcPr>
            <w:tcW w:w="0" w:type="auto"/>
          </w:tcPr>
          <w:p w14:paraId="355135D9" w14:textId="23EF9E65" w:rsidR="00621420" w:rsidRDefault="00621420" w:rsidP="00621420">
            <w:pPr>
              <w:rPr>
                <w:sz w:val="20"/>
                <w:szCs w:val="20"/>
              </w:rPr>
            </w:pPr>
            <w:r>
              <w:rPr>
                <w:sz w:val="20"/>
                <w:szCs w:val="20"/>
              </w:rPr>
              <w:t xml:space="preserve">If necessary, it is possible </w:t>
            </w:r>
            <w:r w:rsidRPr="00051796">
              <w:rPr>
                <w:sz w:val="20"/>
                <w:szCs w:val="20"/>
              </w:rPr>
              <w:t xml:space="preserve">to migrate a </w:t>
            </w:r>
            <w:r>
              <w:rPr>
                <w:sz w:val="20"/>
                <w:szCs w:val="20"/>
              </w:rPr>
              <w:t>v</w:t>
            </w:r>
            <w:r w:rsidRPr="00051796">
              <w:rPr>
                <w:sz w:val="20"/>
                <w:szCs w:val="20"/>
              </w:rPr>
              <w:t xml:space="preserve">irtual </w:t>
            </w:r>
            <w:r>
              <w:rPr>
                <w:sz w:val="20"/>
                <w:szCs w:val="20"/>
              </w:rPr>
              <w:t>m</w:t>
            </w:r>
            <w:r w:rsidRPr="00051796">
              <w:rPr>
                <w:sz w:val="20"/>
                <w:szCs w:val="20"/>
              </w:rPr>
              <w:t>achine from one storage account to another.</w:t>
            </w:r>
            <w:r>
              <w:rPr>
                <w:sz w:val="20"/>
                <w:szCs w:val="20"/>
              </w:rPr>
              <w:t xml:space="preserve"> For detailed procedures, see </w:t>
            </w:r>
            <w:hyperlink r:id="rId176" w:history="1">
              <w:r>
                <w:rPr>
                  <w:rStyle w:val="Hyperlink"/>
                  <w:sz w:val="20"/>
                  <w:szCs w:val="20"/>
                </w:rPr>
                <w:t>Migrate Azure Virtual Machines between Storage Accounts</w:t>
              </w:r>
            </w:hyperlink>
            <w:r>
              <w:rPr>
                <w:sz w:val="20"/>
                <w:szCs w:val="20"/>
              </w:rPr>
              <w:t>.</w:t>
            </w:r>
          </w:p>
        </w:tc>
        <w:tc>
          <w:tcPr>
            <w:tcW w:w="0" w:type="auto"/>
          </w:tcPr>
          <w:p w14:paraId="078B89B9" w14:textId="1B0CDDA2" w:rsidR="00621420" w:rsidRDefault="00621420" w:rsidP="00621420">
            <w:pPr>
              <w:rPr>
                <w:sz w:val="20"/>
                <w:szCs w:val="20"/>
              </w:rPr>
            </w:pPr>
            <w:r>
              <w:rPr>
                <w:sz w:val="20"/>
                <w:szCs w:val="20"/>
              </w:rPr>
              <w:t>Migrating a virtual machine to another storage account should be done on an as-needed basis. If this is needed more frequently, we recommend that you re-examine the storage account architecture to ensure adequate coverage for all deployment points.</w:t>
            </w:r>
          </w:p>
        </w:tc>
      </w:tr>
      <w:tr w:rsidR="00621420" w14:paraId="01CA1946" w14:textId="77777777" w:rsidTr="003F0158">
        <w:tc>
          <w:tcPr>
            <w:tcW w:w="0" w:type="auto"/>
          </w:tcPr>
          <w:p w14:paraId="6C446461" w14:textId="6AE2FAD1" w:rsidR="00621420" w:rsidRDefault="00621420" w:rsidP="00621420">
            <w:pPr>
              <w:pStyle w:val="NormalWeb"/>
              <w:rPr>
                <w:rFonts w:ascii="Segoe UI" w:hAnsi="Segoe UI" w:cs="Segoe UI"/>
                <w:sz w:val="20"/>
                <w:szCs w:val="20"/>
                <w:lang w:val="en-AU" w:eastAsia="en-AU"/>
              </w:rPr>
            </w:pPr>
            <w:r>
              <w:rPr>
                <w:rFonts w:ascii="Segoe UI" w:hAnsi="Segoe UI" w:cs="Segoe UI"/>
                <w:sz w:val="20"/>
                <w:szCs w:val="20"/>
                <w:lang w:val="en-AU" w:eastAsia="en-AU"/>
              </w:rPr>
              <w:t>Consider what to do if multiple data disks are needed in a single (striped) volume.</w:t>
            </w:r>
          </w:p>
        </w:tc>
        <w:tc>
          <w:tcPr>
            <w:tcW w:w="0" w:type="auto"/>
          </w:tcPr>
          <w:p w14:paraId="16CBCBC3" w14:textId="11624BB5" w:rsidR="00621420" w:rsidRDefault="00621420" w:rsidP="00621420">
            <w:pPr>
              <w:rPr>
                <w:sz w:val="20"/>
                <w:szCs w:val="20"/>
              </w:rPr>
            </w:pPr>
            <w:r>
              <w:rPr>
                <w:sz w:val="20"/>
                <w:szCs w:val="20"/>
              </w:rPr>
              <w:t>If multiple data disks need to appear as a single volume within a virtual machine, you are limited to using LRS only (you cannot use GRS for those VHDs).</w:t>
            </w:r>
          </w:p>
        </w:tc>
        <w:tc>
          <w:tcPr>
            <w:tcW w:w="0" w:type="auto"/>
          </w:tcPr>
          <w:p w14:paraId="121728D2" w14:textId="77777777" w:rsidR="00621420" w:rsidRDefault="00621420" w:rsidP="00621420">
            <w:pPr>
              <w:rPr>
                <w:sz w:val="20"/>
                <w:szCs w:val="20"/>
              </w:rPr>
            </w:pPr>
            <w:r>
              <w:rPr>
                <w:sz w:val="20"/>
                <w:szCs w:val="20"/>
              </w:rPr>
              <w:t xml:space="preserve">If multiple data disks need to appear as a single volume, it is not possible to enable this in a storage account that is configured with GRS. </w:t>
            </w:r>
          </w:p>
          <w:p w14:paraId="1D85AE73" w14:textId="77777777" w:rsidR="00621420" w:rsidRDefault="00621420" w:rsidP="00621420">
            <w:pPr>
              <w:rPr>
                <w:sz w:val="20"/>
                <w:szCs w:val="20"/>
              </w:rPr>
            </w:pPr>
            <w:r>
              <w:rPr>
                <w:sz w:val="20"/>
                <w:szCs w:val="20"/>
              </w:rPr>
              <w:t xml:space="preserve">Those VHDs must be stored in a storage account configured as LRS, or if GRS is still a requirement, each data disk must be kept as a separate volume. </w:t>
            </w:r>
          </w:p>
          <w:p w14:paraId="2C823810" w14:textId="77777777" w:rsidR="00621420" w:rsidRDefault="00621420" w:rsidP="00621420">
            <w:pPr>
              <w:rPr>
                <w:sz w:val="20"/>
                <w:szCs w:val="20"/>
              </w:rPr>
            </w:pPr>
            <w:r w:rsidRPr="00051796">
              <w:rPr>
                <w:sz w:val="20"/>
                <w:szCs w:val="20"/>
              </w:rPr>
              <w:t>Data loss may occur if you use striped volumes (Windows or Linux) in geo-replicated storage accounts</w:t>
            </w:r>
            <w:r>
              <w:rPr>
                <w:sz w:val="20"/>
                <w:szCs w:val="20"/>
              </w:rPr>
              <w:t xml:space="preserve"> due to loose consistency for VHDs distributed across storage accounts</w:t>
            </w:r>
            <w:r w:rsidRPr="00051796">
              <w:rPr>
                <w:sz w:val="20"/>
                <w:szCs w:val="20"/>
              </w:rPr>
              <w:t xml:space="preserve">. </w:t>
            </w:r>
          </w:p>
          <w:p w14:paraId="2354A852" w14:textId="1AAD7FD4" w:rsidR="00621420" w:rsidRDefault="00621420" w:rsidP="00621420">
            <w:pPr>
              <w:rPr>
                <w:sz w:val="20"/>
                <w:szCs w:val="20"/>
              </w:rPr>
            </w:pPr>
            <w:r w:rsidRPr="00051796">
              <w:rPr>
                <w:sz w:val="20"/>
                <w:szCs w:val="20"/>
              </w:rPr>
              <w:t xml:space="preserve">If a storage outage occurs </w:t>
            </w:r>
            <w:r>
              <w:rPr>
                <w:sz w:val="20"/>
                <w:szCs w:val="20"/>
              </w:rPr>
              <w:t>and it</w:t>
            </w:r>
            <w:r w:rsidRPr="00051796">
              <w:rPr>
                <w:sz w:val="20"/>
                <w:szCs w:val="20"/>
              </w:rPr>
              <w:t xml:space="preserve"> requires restoring data from a replicated copy, there is no guarantee that the </w:t>
            </w:r>
            <w:r>
              <w:rPr>
                <w:sz w:val="20"/>
                <w:szCs w:val="20"/>
              </w:rPr>
              <w:t>W</w:t>
            </w:r>
            <w:r w:rsidRPr="00051796">
              <w:rPr>
                <w:sz w:val="20"/>
                <w:szCs w:val="20"/>
              </w:rPr>
              <w:t>rite order of the stripe</w:t>
            </w:r>
            <w:r>
              <w:rPr>
                <w:sz w:val="20"/>
                <w:szCs w:val="20"/>
              </w:rPr>
              <w:t>d</w:t>
            </w:r>
            <w:r w:rsidRPr="00051796">
              <w:rPr>
                <w:sz w:val="20"/>
                <w:szCs w:val="20"/>
              </w:rPr>
              <w:t xml:space="preserve"> disk set would be intact </w:t>
            </w:r>
            <w:r>
              <w:rPr>
                <w:sz w:val="20"/>
                <w:szCs w:val="20"/>
              </w:rPr>
              <w:t>after it is</w:t>
            </w:r>
            <w:r w:rsidRPr="00051796">
              <w:rPr>
                <w:sz w:val="20"/>
                <w:szCs w:val="20"/>
              </w:rPr>
              <w:t xml:space="preserve"> restored.</w:t>
            </w:r>
          </w:p>
        </w:tc>
      </w:tr>
      <w:tr w:rsidR="00621420" w14:paraId="159FEEFB" w14:textId="77777777" w:rsidTr="003F0158">
        <w:trPr>
          <w:cnfStyle w:val="000000100000" w:firstRow="0" w:lastRow="0" w:firstColumn="0" w:lastColumn="0" w:oddVBand="0" w:evenVBand="0" w:oddHBand="1" w:evenHBand="0" w:firstRowFirstColumn="0" w:firstRowLastColumn="0" w:lastRowFirstColumn="0" w:lastRowLastColumn="0"/>
        </w:trPr>
        <w:tc>
          <w:tcPr>
            <w:tcW w:w="0" w:type="auto"/>
          </w:tcPr>
          <w:p w14:paraId="0BA5D465" w14:textId="3278BB2D" w:rsidR="00621420" w:rsidRDefault="00621420" w:rsidP="00621420">
            <w:pPr>
              <w:pStyle w:val="NormalWeb"/>
              <w:rPr>
                <w:rFonts w:ascii="Segoe UI" w:hAnsi="Segoe UI" w:cs="Segoe UI"/>
                <w:sz w:val="20"/>
                <w:szCs w:val="20"/>
                <w:lang w:val="en-AU" w:eastAsia="en-AU"/>
              </w:rPr>
            </w:pPr>
            <w:r>
              <w:rPr>
                <w:rFonts w:ascii="Segoe UI" w:hAnsi="Segoe UI" w:cs="Segoe UI"/>
                <w:sz w:val="20"/>
                <w:szCs w:val="20"/>
                <w:lang w:val="en-AU" w:eastAsia="en-AU"/>
              </w:rPr>
              <w:t>Disk cache settings have an effect on the performance of the virtual machine disks.</w:t>
            </w:r>
          </w:p>
        </w:tc>
        <w:tc>
          <w:tcPr>
            <w:tcW w:w="0" w:type="auto"/>
          </w:tcPr>
          <w:p w14:paraId="73D1DC0A" w14:textId="1F7426F1" w:rsidR="00621420" w:rsidRDefault="00621420" w:rsidP="00621420">
            <w:pPr>
              <w:rPr>
                <w:sz w:val="20"/>
                <w:szCs w:val="20"/>
              </w:rPr>
            </w:pPr>
            <w:r w:rsidRPr="00133D6B">
              <w:rPr>
                <w:sz w:val="20"/>
                <w:szCs w:val="20"/>
              </w:rPr>
              <w:t xml:space="preserve">The operating system disk and </w:t>
            </w:r>
            <w:r>
              <w:rPr>
                <w:sz w:val="20"/>
                <w:szCs w:val="20"/>
              </w:rPr>
              <w:t xml:space="preserve">the </w:t>
            </w:r>
            <w:r w:rsidRPr="00133D6B">
              <w:rPr>
                <w:sz w:val="20"/>
                <w:szCs w:val="20"/>
              </w:rPr>
              <w:t xml:space="preserve">data disk have a host caching setting that can improve performance under some circumstances. However, these settings can </w:t>
            </w:r>
            <w:r>
              <w:rPr>
                <w:sz w:val="20"/>
                <w:szCs w:val="20"/>
              </w:rPr>
              <w:t xml:space="preserve">also </w:t>
            </w:r>
            <w:r w:rsidRPr="00133D6B">
              <w:rPr>
                <w:sz w:val="20"/>
                <w:szCs w:val="20"/>
              </w:rPr>
              <w:t>negatively affect performance in other circumstances</w:t>
            </w:r>
            <w:r>
              <w:rPr>
                <w:sz w:val="20"/>
                <w:szCs w:val="20"/>
              </w:rPr>
              <w:t>, depending on the application.</w:t>
            </w:r>
          </w:p>
        </w:tc>
        <w:tc>
          <w:tcPr>
            <w:tcW w:w="0" w:type="auto"/>
          </w:tcPr>
          <w:p w14:paraId="0A96389C" w14:textId="77777777" w:rsidR="00621420" w:rsidRDefault="00621420" w:rsidP="00621420">
            <w:pPr>
              <w:rPr>
                <w:sz w:val="20"/>
                <w:szCs w:val="20"/>
              </w:rPr>
            </w:pPr>
            <w:r w:rsidRPr="00133D6B">
              <w:rPr>
                <w:sz w:val="20"/>
                <w:szCs w:val="20"/>
              </w:rPr>
              <w:t xml:space="preserve">Host caching is off by default for </w:t>
            </w:r>
            <w:r>
              <w:rPr>
                <w:sz w:val="20"/>
                <w:szCs w:val="20"/>
              </w:rPr>
              <w:t>R</w:t>
            </w:r>
            <w:r w:rsidRPr="00133D6B">
              <w:rPr>
                <w:sz w:val="20"/>
                <w:szCs w:val="20"/>
              </w:rPr>
              <w:t xml:space="preserve">ead and </w:t>
            </w:r>
            <w:r>
              <w:rPr>
                <w:sz w:val="20"/>
                <w:szCs w:val="20"/>
              </w:rPr>
              <w:t>W</w:t>
            </w:r>
            <w:r w:rsidRPr="00133D6B">
              <w:rPr>
                <w:sz w:val="20"/>
                <w:szCs w:val="20"/>
              </w:rPr>
              <w:t xml:space="preserve">rite operations for data disks. Host-caching is on by default for </w:t>
            </w:r>
            <w:r>
              <w:rPr>
                <w:sz w:val="20"/>
                <w:szCs w:val="20"/>
              </w:rPr>
              <w:t>R</w:t>
            </w:r>
            <w:r w:rsidRPr="00133D6B">
              <w:rPr>
                <w:sz w:val="20"/>
                <w:szCs w:val="20"/>
              </w:rPr>
              <w:t xml:space="preserve">ead and </w:t>
            </w:r>
            <w:r>
              <w:rPr>
                <w:sz w:val="20"/>
                <w:szCs w:val="20"/>
              </w:rPr>
              <w:t>W</w:t>
            </w:r>
            <w:r w:rsidRPr="00133D6B">
              <w:rPr>
                <w:sz w:val="20"/>
                <w:szCs w:val="20"/>
              </w:rPr>
              <w:t>rite operati</w:t>
            </w:r>
            <w:r>
              <w:rPr>
                <w:sz w:val="20"/>
                <w:szCs w:val="20"/>
              </w:rPr>
              <w:t xml:space="preserve">ons for operating system disks. </w:t>
            </w:r>
          </w:p>
          <w:p w14:paraId="4006760A" w14:textId="77777777" w:rsidR="00621420" w:rsidRDefault="00621420" w:rsidP="00621420">
            <w:pPr>
              <w:rPr>
                <w:sz w:val="20"/>
                <w:szCs w:val="20"/>
              </w:rPr>
            </w:pPr>
            <w:r>
              <w:rPr>
                <w:sz w:val="20"/>
                <w:szCs w:val="20"/>
              </w:rPr>
              <w:t>Only change these settings if the workload would benefit from the change in cache to improve performance.</w:t>
            </w:r>
          </w:p>
          <w:p w14:paraId="54F3520F" w14:textId="52EB2E68" w:rsidR="00621420" w:rsidRDefault="00621420" w:rsidP="00621420">
            <w:pPr>
              <w:rPr>
                <w:sz w:val="20"/>
                <w:szCs w:val="20"/>
              </w:rPr>
            </w:pPr>
            <w:r>
              <w:rPr>
                <w:sz w:val="20"/>
                <w:szCs w:val="20"/>
              </w:rPr>
              <w:t>Cache setting changes for the operating system disk require a reboot. Cache setting changes for a data disk do not.</w:t>
            </w:r>
          </w:p>
        </w:tc>
      </w:tr>
    </w:tbl>
    <w:p w14:paraId="2E482CE6" w14:textId="77777777" w:rsidR="00870CE5" w:rsidRDefault="00870CE5" w:rsidP="0068510E"/>
    <w:p w14:paraId="7D4674D3" w14:textId="2C718153" w:rsidR="008802AB" w:rsidRDefault="008802AB" w:rsidP="005729D2">
      <w:pPr>
        <w:pStyle w:val="Heading2Numbered"/>
        <w:numPr>
          <w:ilvl w:val="1"/>
          <w:numId w:val="64"/>
        </w:numPr>
      </w:pPr>
      <w:bookmarkStart w:id="2335" w:name="_Toc417926811"/>
      <w:bookmarkStart w:id="2336" w:name="_Toc417927710"/>
      <w:bookmarkStart w:id="2337" w:name="_Toc417928989"/>
      <w:bookmarkStart w:id="2338" w:name="_Toc417929455"/>
      <w:bookmarkStart w:id="2339" w:name="_Toc417929277"/>
      <w:bookmarkStart w:id="2340" w:name="_Toc417931275"/>
      <w:bookmarkStart w:id="2341" w:name="_Toc417930438"/>
      <w:bookmarkStart w:id="2342" w:name="_Toc417930862"/>
      <w:bookmarkStart w:id="2343" w:name="_Toc417932318"/>
      <w:bookmarkStart w:id="2344" w:name="_Toc417932801"/>
      <w:bookmarkStart w:id="2345" w:name="_Toc417931959"/>
      <w:bookmarkStart w:id="2346" w:name="_Toc417933477"/>
      <w:bookmarkStart w:id="2347" w:name="_Toc417932605"/>
      <w:bookmarkStart w:id="2348" w:name="_Toc417934406"/>
      <w:bookmarkStart w:id="2349" w:name="_Toc417934012"/>
      <w:bookmarkStart w:id="2350" w:name="_Toc417935046"/>
      <w:bookmarkStart w:id="2351" w:name="_Toc417935745"/>
      <w:bookmarkStart w:id="2352" w:name="_Toc417936207"/>
      <w:bookmarkStart w:id="2353" w:name="_Toc417942270"/>
      <w:bookmarkStart w:id="2354" w:name="_Toc417942749"/>
      <w:bookmarkStart w:id="2355" w:name="_Toc417945093"/>
      <w:bookmarkStart w:id="2356" w:name="_Toc417946421"/>
      <w:bookmarkStart w:id="2357" w:name="_Toc417947083"/>
      <w:bookmarkStart w:id="2358" w:name="_Toc417947784"/>
      <w:bookmarkStart w:id="2359" w:name="_Toc417950833"/>
      <w:bookmarkStart w:id="2360" w:name="_Toc417974902"/>
      <w:bookmarkStart w:id="2361" w:name="_Toc417975619"/>
      <w:bookmarkStart w:id="2362" w:name="_Toc417976682"/>
      <w:bookmarkStart w:id="2363" w:name="_Toc417977770"/>
      <w:bookmarkStart w:id="2364" w:name="_Toc414892101"/>
      <w:bookmarkStart w:id="2365" w:name="_Toc414960124"/>
      <w:bookmarkStart w:id="2366" w:name="_Toc414969095"/>
      <w:bookmarkStart w:id="2367" w:name="_Toc415011317"/>
      <w:bookmarkStart w:id="2368" w:name="_Toc415040007"/>
      <w:bookmarkStart w:id="2369" w:name="_Toc415572362"/>
      <w:bookmarkStart w:id="2370" w:name="_Toc415735532"/>
      <w:bookmarkStart w:id="2371" w:name="_Toc415814113"/>
      <w:bookmarkStart w:id="2372" w:name="_Toc416343848"/>
      <w:bookmarkStart w:id="2373" w:name="_Toc416863119"/>
      <w:bookmarkStart w:id="2374" w:name="_Toc417314725"/>
      <w:bookmarkStart w:id="2375" w:name="_Toc417323742"/>
      <w:bookmarkStart w:id="2376" w:name="_Toc417326831"/>
      <w:bookmarkStart w:id="2377" w:name="_Toc417330379"/>
      <w:bookmarkStart w:id="2378" w:name="_Toc417394985"/>
      <w:bookmarkStart w:id="2379" w:name="_Toc417399202"/>
      <w:bookmarkStart w:id="2380" w:name="_Toc417399361"/>
      <w:bookmarkStart w:id="2381" w:name="_Toc417400408"/>
      <w:bookmarkStart w:id="2382" w:name="_Toc417401256"/>
      <w:bookmarkStart w:id="2383" w:name="_Toc417419569"/>
      <w:bookmarkStart w:id="2384" w:name="_Toc417457341"/>
      <w:bookmarkStart w:id="2385" w:name="_Toc417481919"/>
      <w:bookmarkStart w:id="2386" w:name="_Toc417482177"/>
      <w:bookmarkStart w:id="2387" w:name="_Toc417499896"/>
      <w:bookmarkStart w:id="2388" w:name="_Toc417502718"/>
      <w:bookmarkStart w:id="2389" w:name="_Toc417548269"/>
      <w:bookmarkStart w:id="2390" w:name="_Toc417594501"/>
      <w:bookmarkStart w:id="2391" w:name="_Toc417934598"/>
      <w:bookmarkStart w:id="2392" w:name="_Toc417935937"/>
      <w:bookmarkStart w:id="2393" w:name="_Toc417936399"/>
      <w:bookmarkStart w:id="2394" w:name="_Toc417946854"/>
      <w:bookmarkStart w:id="2395" w:name="_Toc417982464"/>
      <w:bookmarkStart w:id="2396" w:name="_Toc417985889"/>
      <w:bookmarkStart w:id="2397" w:name="_Toc418000610"/>
      <w:bookmarkStart w:id="2398" w:name="_Toc418003753"/>
      <w:bookmarkStart w:id="2399" w:name="_Toc418011958"/>
      <w:bookmarkStart w:id="2400" w:name="_Toc418014606"/>
      <w:bookmarkStart w:id="2401" w:name="_Toc418029942"/>
      <w:bookmarkStart w:id="2402" w:name="_Toc418036878"/>
      <w:bookmarkStart w:id="2403" w:name="_Toc418061343"/>
      <w:bookmarkStart w:id="2404" w:name="_Toc418080692"/>
      <w:bookmarkStart w:id="2405" w:name="_Toc418081865"/>
      <w:bookmarkStart w:id="2406" w:name="_Toc418083267"/>
      <w:bookmarkStart w:id="2407" w:name="_Toc418095487"/>
      <w:bookmarkStart w:id="2408" w:name="_Toc418156658"/>
      <w:bookmarkStart w:id="2409" w:name="_Toc418167577"/>
      <w:bookmarkStart w:id="2410" w:name="_Toc418185834"/>
      <w:bookmarkStart w:id="2411" w:name="_Toc422941544"/>
      <w:bookmarkStart w:id="2412" w:name="_Toc423116750"/>
      <w:bookmarkStart w:id="2413" w:name="_Toc423117783"/>
      <w:bookmarkStart w:id="2414" w:name="_Toc423117233"/>
      <w:bookmarkStart w:id="2415" w:name="_Toc431288825"/>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r w:rsidRPr="000C0C0D">
        <w:t>Storage Management</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56781156" w14:textId="66EF2106" w:rsidR="00F31750" w:rsidRDefault="00F31750" w:rsidP="00F31750">
      <w:r>
        <w:t>Data</w:t>
      </w:r>
      <w:r w:rsidR="00621420">
        <w:t xml:space="preserve"> in Azure Storage can be accessed and managed in a variety of ways, and through numerous tools and process. This section will cover the various mechanisms that support managing Microsoft Azure Storage</w:t>
      </w:r>
      <w:r w:rsidR="00D766D5">
        <w:t xml:space="preserve">. </w:t>
      </w:r>
    </w:p>
    <w:p w14:paraId="7BAF5675" w14:textId="0A6481CA" w:rsidR="00F31750" w:rsidRDefault="00F31750" w:rsidP="005729D2">
      <w:pPr>
        <w:pStyle w:val="Heading3Numbered"/>
        <w:numPr>
          <w:ilvl w:val="2"/>
          <w:numId w:val="64"/>
        </w:numPr>
      </w:pPr>
      <w:bookmarkStart w:id="2416" w:name="_Toc417548270"/>
      <w:bookmarkStart w:id="2417" w:name="_Toc417594502"/>
      <w:bookmarkStart w:id="2418" w:name="_Toc417934599"/>
      <w:bookmarkStart w:id="2419" w:name="_Toc417935938"/>
      <w:bookmarkStart w:id="2420" w:name="_Toc417936400"/>
      <w:bookmarkStart w:id="2421" w:name="_Toc417946855"/>
      <w:bookmarkStart w:id="2422" w:name="_Toc417982465"/>
      <w:bookmarkStart w:id="2423" w:name="_Toc417985890"/>
      <w:bookmarkStart w:id="2424" w:name="_Toc418000611"/>
      <w:bookmarkStart w:id="2425" w:name="_Toc418003754"/>
      <w:bookmarkStart w:id="2426" w:name="_Toc418011959"/>
      <w:bookmarkStart w:id="2427" w:name="_Toc418014607"/>
      <w:bookmarkStart w:id="2428" w:name="_Toc418029943"/>
      <w:bookmarkStart w:id="2429" w:name="_Toc418036879"/>
      <w:bookmarkStart w:id="2430" w:name="_Toc418061344"/>
      <w:bookmarkStart w:id="2431" w:name="_Toc418080693"/>
      <w:bookmarkStart w:id="2432" w:name="_Toc418081866"/>
      <w:bookmarkStart w:id="2433" w:name="_Toc418083268"/>
      <w:bookmarkStart w:id="2434" w:name="_Toc418095488"/>
      <w:bookmarkStart w:id="2435" w:name="_Toc418156659"/>
      <w:bookmarkStart w:id="2436" w:name="_Toc418167578"/>
      <w:bookmarkStart w:id="2437" w:name="_Toc418185835"/>
      <w:bookmarkStart w:id="2438" w:name="_Toc422941545"/>
      <w:bookmarkStart w:id="2439" w:name="_Toc423116751"/>
      <w:bookmarkStart w:id="2440" w:name="_Toc423117784"/>
      <w:bookmarkStart w:id="2441" w:name="_Toc423117234"/>
      <w:bookmarkStart w:id="2442" w:name="_Toc431288826"/>
      <w:r>
        <w:t>Graphical User Interface (GUI) Tools</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39451FDD" w14:textId="0815DDE2" w:rsidR="000D75A2" w:rsidRPr="000D75A2" w:rsidRDefault="00621420" w:rsidP="000D75A2">
      <w:r>
        <w:t>Graphical user interface (GUI)-based tools are those that access Azure Storage in an interface that mimics File Explorer. This includes</w:t>
      </w:r>
      <w:r w:rsidDel="00D766D5">
        <w:t xml:space="preserve"> </w:t>
      </w:r>
      <w:r>
        <w:t>functionality such as drag-and-drop-based tools that allow you to view and access data as you would on a local or network drive on a server. These tools are easy to use and understand, and they are the best option for those who are new to Azure Storage</w:t>
      </w:r>
      <w:r w:rsidR="00D766D5">
        <w:t>.</w:t>
      </w:r>
    </w:p>
    <w:p w14:paraId="5037428C" w14:textId="0AAAA1A2" w:rsidR="00F31750" w:rsidRDefault="00F31750" w:rsidP="005729D2">
      <w:pPr>
        <w:pStyle w:val="Heading3Numbered"/>
        <w:numPr>
          <w:ilvl w:val="2"/>
          <w:numId w:val="64"/>
        </w:numPr>
      </w:pPr>
      <w:bookmarkStart w:id="2443" w:name="_Toc417548271"/>
      <w:bookmarkStart w:id="2444" w:name="_Toc417594503"/>
      <w:bookmarkStart w:id="2445" w:name="_Toc417934600"/>
      <w:bookmarkStart w:id="2446" w:name="_Toc417935939"/>
      <w:bookmarkStart w:id="2447" w:name="_Toc417936401"/>
      <w:bookmarkStart w:id="2448" w:name="_Toc417946856"/>
      <w:bookmarkStart w:id="2449" w:name="_Toc417982466"/>
      <w:bookmarkStart w:id="2450" w:name="_Toc417985891"/>
      <w:bookmarkStart w:id="2451" w:name="_Toc418000612"/>
      <w:bookmarkStart w:id="2452" w:name="_Toc418003755"/>
      <w:bookmarkStart w:id="2453" w:name="_Toc418011960"/>
      <w:bookmarkStart w:id="2454" w:name="_Toc418014608"/>
      <w:bookmarkStart w:id="2455" w:name="_Toc418029944"/>
      <w:bookmarkStart w:id="2456" w:name="_Toc418036880"/>
      <w:bookmarkStart w:id="2457" w:name="_Toc418061345"/>
      <w:bookmarkStart w:id="2458" w:name="_Toc418080694"/>
      <w:bookmarkStart w:id="2459" w:name="_Toc418083269"/>
      <w:bookmarkStart w:id="2460" w:name="_Toc418095489"/>
      <w:bookmarkStart w:id="2461" w:name="_Toc418156660"/>
      <w:bookmarkStart w:id="2462" w:name="_Toc418167579"/>
      <w:bookmarkStart w:id="2463" w:name="_Toc418185836"/>
      <w:bookmarkStart w:id="2464" w:name="_Toc422941546"/>
      <w:bookmarkStart w:id="2465" w:name="_Toc423116752"/>
      <w:bookmarkStart w:id="2466" w:name="_Toc423117785"/>
      <w:bookmarkStart w:id="2467" w:name="_Toc423117235"/>
      <w:bookmarkStart w:id="2468" w:name="_Toc431288827"/>
      <w:r>
        <w:t>Command</w:t>
      </w:r>
      <w:r w:rsidR="00621420">
        <w:t>-</w:t>
      </w:r>
      <w:r>
        <w:t>Line Interface (CLI) Tools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45C30523" w14:textId="6F4A70C8" w:rsidR="000D75A2" w:rsidRPr="000D75A2" w:rsidRDefault="00621420" w:rsidP="000D75A2">
      <w:r>
        <w:t>Command-line interface (CLI)-based tools are those that access Azure Storage from a command line, such as Azure PowerShell. This allows you to include data operations (such as move, copy, and delete) within automation scripts. These interfaces have many options and switches to allow for a variety of options in working with the data. They are best used by advanced users and those who are already familiar with Windows PowerShell and require automation as part of their Azure-based solution</w:t>
      </w:r>
      <w:r w:rsidR="000D75A2" w:rsidDel="002002CD">
        <w:t>.</w:t>
      </w:r>
    </w:p>
    <w:p w14:paraId="57BF4988" w14:textId="07D0DD22" w:rsidR="00862473" w:rsidRDefault="0067169D" w:rsidP="005729D2">
      <w:pPr>
        <w:pStyle w:val="Heading3Numbered"/>
        <w:numPr>
          <w:ilvl w:val="2"/>
          <w:numId w:val="64"/>
        </w:numPr>
      </w:pPr>
      <w:bookmarkStart w:id="2469" w:name="_Toc417548272"/>
      <w:bookmarkStart w:id="2470" w:name="_Toc417594504"/>
      <w:bookmarkStart w:id="2471" w:name="_Toc417934601"/>
      <w:bookmarkStart w:id="2472" w:name="_Toc417935940"/>
      <w:bookmarkStart w:id="2473" w:name="_Toc417936402"/>
      <w:bookmarkStart w:id="2474" w:name="_Toc417946857"/>
      <w:bookmarkStart w:id="2475" w:name="_Toc417982467"/>
      <w:bookmarkStart w:id="2476" w:name="_Toc417985892"/>
      <w:bookmarkStart w:id="2477" w:name="_Toc418000613"/>
      <w:bookmarkStart w:id="2478" w:name="_Toc418003756"/>
      <w:bookmarkStart w:id="2479" w:name="_Toc418011961"/>
      <w:bookmarkStart w:id="2480" w:name="_Toc418014609"/>
      <w:bookmarkStart w:id="2481" w:name="_Toc418029945"/>
      <w:bookmarkStart w:id="2482" w:name="_Toc418036881"/>
      <w:bookmarkStart w:id="2483" w:name="_Toc418061346"/>
      <w:bookmarkStart w:id="2484" w:name="_Toc418080695"/>
      <w:bookmarkStart w:id="2485" w:name="_Toc418083270"/>
      <w:bookmarkStart w:id="2486" w:name="_Toc418095490"/>
      <w:bookmarkStart w:id="2487" w:name="_Toc418156661"/>
      <w:bookmarkStart w:id="2488" w:name="_Toc418167580"/>
      <w:bookmarkStart w:id="2489" w:name="_Toc418185837"/>
      <w:bookmarkStart w:id="2490" w:name="_Toc422941547"/>
      <w:bookmarkStart w:id="2491" w:name="_Toc423116753"/>
      <w:bookmarkStart w:id="2492" w:name="_Toc423117786"/>
      <w:bookmarkStart w:id="2493" w:name="_Toc423117236"/>
      <w:bookmarkStart w:id="2494" w:name="_Toc431288828"/>
      <w:r>
        <w:t>REST Interfaces</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7906EFCA" w14:textId="37BFE770" w:rsidR="00621420" w:rsidRPr="006979BB" w:rsidRDefault="006979BB" w:rsidP="00621420">
      <w:pPr>
        <w:rPr>
          <w:lang w:val="en"/>
        </w:rPr>
      </w:pPr>
      <w:r w:rsidRPr="006979BB">
        <w:rPr>
          <w:lang w:val="en"/>
        </w:rPr>
        <w:t>The</w:t>
      </w:r>
      <w:r w:rsidR="00621420" w:rsidRPr="006979BB">
        <w:rPr>
          <w:lang w:val="en"/>
        </w:rPr>
        <w:t xml:space="preserve"> REST APIs for the Azure </w:t>
      </w:r>
      <w:r w:rsidR="00621420">
        <w:rPr>
          <w:lang w:val="en"/>
        </w:rPr>
        <w:t>S</w:t>
      </w:r>
      <w:r w:rsidR="00621420" w:rsidRPr="006979BB">
        <w:rPr>
          <w:lang w:val="en"/>
        </w:rPr>
        <w:t>torage services offer programmatic access to the Blob, Queue, Table, and File services in Azure</w:t>
      </w:r>
      <w:r w:rsidR="00621420">
        <w:rPr>
          <w:lang w:val="en"/>
        </w:rPr>
        <w:t>,</w:t>
      </w:r>
      <w:r w:rsidR="00621420" w:rsidRPr="006979BB">
        <w:rPr>
          <w:lang w:val="en"/>
        </w:rPr>
        <w:t xml:space="preserve"> or in the development environment, via the storage emulator.</w:t>
      </w:r>
    </w:p>
    <w:p w14:paraId="7C0CD5CD" w14:textId="1A2A10B8" w:rsidR="006979BB" w:rsidRPr="006979BB" w:rsidRDefault="00621420" w:rsidP="00621420">
      <w:pPr>
        <w:rPr>
          <w:lang w:val="en"/>
        </w:rPr>
      </w:pPr>
      <w:r w:rsidRPr="006979BB">
        <w:rPr>
          <w:lang w:val="en"/>
        </w:rPr>
        <w:t xml:space="preserve">All storage services are accessible via REST APIs. Storage services </w:t>
      </w:r>
      <w:r>
        <w:rPr>
          <w:lang w:val="en"/>
        </w:rPr>
        <w:t>can</w:t>
      </w:r>
      <w:r w:rsidRPr="006979BB">
        <w:rPr>
          <w:lang w:val="en"/>
        </w:rPr>
        <w:t xml:space="preserve"> be accessed from within a service running in Azure, or directly over the Internet from any application that can send an HTTP/HTTPS request and receive an HTTP/HTTPS response</w:t>
      </w:r>
      <w:r>
        <w:rPr>
          <w:lang w:val="en"/>
        </w:rPr>
        <w:t>. These interfaces are best suited for developers or solutions that require detailed information or control over Azure Storage services</w:t>
      </w:r>
      <w:r w:rsidR="000A0CBE">
        <w:rPr>
          <w:lang w:val="en"/>
        </w:rPr>
        <w:t xml:space="preserve">. </w:t>
      </w:r>
    </w:p>
    <w:p w14:paraId="5A638FBE" w14:textId="77777777" w:rsidR="0067169D" w:rsidRDefault="0067169D" w:rsidP="005729D2">
      <w:pPr>
        <w:pStyle w:val="Heading3Numbered"/>
        <w:numPr>
          <w:ilvl w:val="2"/>
          <w:numId w:val="64"/>
        </w:numPr>
      </w:pPr>
      <w:bookmarkStart w:id="2495" w:name="_Toc417548273"/>
      <w:bookmarkStart w:id="2496" w:name="_Toc417594505"/>
      <w:bookmarkStart w:id="2497" w:name="_Toc417934602"/>
      <w:bookmarkStart w:id="2498" w:name="_Toc417935941"/>
      <w:bookmarkStart w:id="2499" w:name="_Toc417936403"/>
      <w:bookmarkStart w:id="2500" w:name="_Toc417946858"/>
      <w:bookmarkStart w:id="2501" w:name="_Toc417982468"/>
      <w:bookmarkStart w:id="2502" w:name="_Toc417985893"/>
      <w:bookmarkStart w:id="2503" w:name="_Toc418000614"/>
      <w:bookmarkStart w:id="2504" w:name="_Toc418003757"/>
      <w:bookmarkStart w:id="2505" w:name="_Toc418011962"/>
      <w:bookmarkStart w:id="2506" w:name="_Toc418014610"/>
      <w:bookmarkStart w:id="2507" w:name="_Toc418029946"/>
      <w:bookmarkStart w:id="2508" w:name="_Toc418036882"/>
      <w:bookmarkStart w:id="2509" w:name="_Toc418061347"/>
      <w:bookmarkStart w:id="2510" w:name="_Toc418080696"/>
      <w:bookmarkStart w:id="2511" w:name="_Toc418081869"/>
      <w:bookmarkStart w:id="2512" w:name="_Toc418083271"/>
      <w:bookmarkStart w:id="2513" w:name="_Toc418095491"/>
      <w:bookmarkStart w:id="2514" w:name="_Toc418156662"/>
      <w:bookmarkStart w:id="2515" w:name="_Toc418167581"/>
      <w:bookmarkStart w:id="2516" w:name="_Toc418185838"/>
      <w:bookmarkStart w:id="2517" w:name="_Toc422941548"/>
      <w:bookmarkStart w:id="2518" w:name="_Toc423116754"/>
      <w:bookmarkStart w:id="2519" w:name="_Toc423117787"/>
      <w:bookmarkStart w:id="2520" w:name="_Toc423117237"/>
      <w:bookmarkStart w:id="2521" w:name="_Toc431288829"/>
      <w:r>
        <w:t>Client Libraries</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78F4026C" w14:textId="3CA3800D" w:rsidR="0067169D" w:rsidRPr="0067169D" w:rsidRDefault="0067169D" w:rsidP="004F0DE3">
      <w:pPr>
        <w:tabs>
          <w:tab w:val="num" w:pos="720"/>
        </w:tabs>
      </w:pPr>
      <w:r w:rsidRPr="0067169D">
        <w:rPr>
          <w:lang w:val="en"/>
        </w:rPr>
        <w:t xml:space="preserve">The Azure Storage Client Library reference for .NET </w:t>
      </w:r>
      <w:r>
        <w:rPr>
          <w:lang w:val="en"/>
        </w:rPr>
        <w:t xml:space="preserve">contains </w:t>
      </w:r>
      <w:r w:rsidRPr="0067169D">
        <w:rPr>
          <w:lang w:val="en"/>
        </w:rPr>
        <w:t>the current version of the S</w:t>
      </w:r>
      <w:r>
        <w:rPr>
          <w:lang w:val="en"/>
        </w:rPr>
        <w:t xml:space="preserve">torage Client Library for .NET.  </w:t>
      </w:r>
      <w:r w:rsidRPr="0067169D">
        <w:rPr>
          <w:lang w:val="en"/>
        </w:rPr>
        <w:t xml:space="preserve">You can install the Storage Client Library for .NET </w:t>
      </w:r>
      <w:r>
        <w:rPr>
          <w:lang w:val="en"/>
        </w:rPr>
        <w:t xml:space="preserve">from NuGet or </w:t>
      </w:r>
      <w:r w:rsidR="008177E2">
        <w:rPr>
          <w:lang w:val="en"/>
        </w:rPr>
        <w:t xml:space="preserve">from </w:t>
      </w:r>
      <w:r>
        <w:rPr>
          <w:lang w:val="en"/>
        </w:rPr>
        <w:t xml:space="preserve">the </w:t>
      </w:r>
      <w:r w:rsidRPr="0067169D">
        <w:rPr>
          <w:lang w:val="en"/>
        </w:rPr>
        <w:t>Azure SDK for .NET.</w:t>
      </w:r>
      <w:r>
        <w:rPr>
          <w:lang w:val="en"/>
        </w:rPr>
        <w:t xml:space="preserve">  </w:t>
      </w:r>
      <w:r w:rsidRPr="0067169D">
        <w:rPr>
          <w:lang w:val="en"/>
        </w:rPr>
        <w:t>The source code for the Storage Client Library for .NET is publicly available in GitHub.</w:t>
      </w:r>
      <w:r w:rsidR="000A0CBE">
        <w:rPr>
          <w:lang w:val="en"/>
        </w:rPr>
        <w:t xml:space="preserve"> </w:t>
      </w:r>
      <w:r w:rsidRPr="0067169D">
        <w:rPr>
          <w:lang w:val="en"/>
        </w:rPr>
        <w:t xml:space="preserve">The Azure Storage Native Client Library is a C++ library for working with the Azure Storage </w:t>
      </w:r>
      <w:r w:rsidR="008177E2">
        <w:rPr>
          <w:lang w:val="en"/>
        </w:rPr>
        <w:t>s</w:t>
      </w:r>
      <w:r w:rsidRPr="0067169D">
        <w:rPr>
          <w:lang w:val="en"/>
        </w:rPr>
        <w:t>ervices.</w:t>
      </w:r>
    </w:p>
    <w:p w14:paraId="1AA95CEE" w14:textId="01AA7D40" w:rsidR="00862473" w:rsidRDefault="00862473" w:rsidP="005729D2">
      <w:pPr>
        <w:pStyle w:val="Heading3Numbered"/>
        <w:numPr>
          <w:ilvl w:val="2"/>
          <w:numId w:val="64"/>
        </w:numPr>
      </w:pPr>
      <w:bookmarkStart w:id="2522" w:name="_Toc417548274"/>
      <w:bookmarkStart w:id="2523" w:name="_Toc417594506"/>
      <w:bookmarkStart w:id="2524" w:name="_Toc417934603"/>
      <w:bookmarkStart w:id="2525" w:name="_Toc417935942"/>
      <w:bookmarkStart w:id="2526" w:name="_Toc417936404"/>
      <w:bookmarkStart w:id="2527" w:name="_Toc417946859"/>
      <w:bookmarkStart w:id="2528" w:name="_Toc417982469"/>
      <w:bookmarkStart w:id="2529" w:name="_Toc417985894"/>
      <w:bookmarkStart w:id="2530" w:name="_Toc418000615"/>
      <w:bookmarkStart w:id="2531" w:name="_Toc418003758"/>
      <w:bookmarkStart w:id="2532" w:name="_Toc418011963"/>
      <w:bookmarkStart w:id="2533" w:name="_Toc418014611"/>
      <w:bookmarkStart w:id="2534" w:name="_Toc418029947"/>
      <w:bookmarkStart w:id="2535" w:name="_Toc418036883"/>
      <w:bookmarkStart w:id="2536" w:name="_Toc418061348"/>
      <w:bookmarkStart w:id="2537" w:name="_Toc418080697"/>
      <w:bookmarkStart w:id="2538" w:name="_Toc418081870"/>
      <w:bookmarkStart w:id="2539" w:name="_Toc418083272"/>
      <w:bookmarkStart w:id="2540" w:name="_Toc418095492"/>
      <w:bookmarkStart w:id="2541" w:name="_Toc418156663"/>
      <w:bookmarkStart w:id="2542" w:name="_Toc418167582"/>
      <w:bookmarkStart w:id="2543" w:name="_Toc418185839"/>
      <w:bookmarkStart w:id="2544" w:name="_Toc422941549"/>
      <w:bookmarkStart w:id="2545" w:name="_Toc423116755"/>
      <w:bookmarkStart w:id="2546" w:name="_Toc423117788"/>
      <w:bookmarkStart w:id="2547" w:name="_Toc423117238"/>
      <w:bookmarkStart w:id="2548" w:name="_Toc431288830"/>
      <w:r>
        <w:t>Cross-Platform Options</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3EE566EE" w14:textId="589367AE" w:rsidR="009B4C9B" w:rsidRPr="009B4C9B" w:rsidRDefault="009B4C9B" w:rsidP="009B4C9B">
      <w:r w:rsidRPr="009B4C9B">
        <w:t>The</w:t>
      </w:r>
      <w:r w:rsidR="008177E2" w:rsidRPr="009B4C9B">
        <w:t xml:space="preserve"> Azure Cross-Platform Command-Line Interface (xplat-cli) provides a set of open source, cross-platform commands for working with the Azure </w:t>
      </w:r>
      <w:r w:rsidR="008177E2">
        <w:t>p</w:t>
      </w:r>
      <w:r w:rsidR="008177E2" w:rsidRPr="009B4C9B">
        <w:t xml:space="preserve">latform. The xplat-cli provides much of the same functionality found in the Azure </w:t>
      </w:r>
      <w:r w:rsidR="008177E2">
        <w:t>p</w:t>
      </w:r>
      <w:r w:rsidR="008177E2" w:rsidRPr="009B4C9B">
        <w:t xml:space="preserve">ortal, such as the ability to manage websites, virtual machines, </w:t>
      </w:r>
      <w:r w:rsidR="008177E2">
        <w:t>storage</w:t>
      </w:r>
      <w:r w:rsidR="008177E2" w:rsidRPr="009B4C9B">
        <w:t xml:space="preserve">, </w:t>
      </w:r>
      <w:r w:rsidR="008177E2">
        <w:t xml:space="preserve">and </w:t>
      </w:r>
      <w:r w:rsidR="008177E2" w:rsidRPr="009B4C9B">
        <w:t>SQL Database</w:t>
      </w:r>
      <w:r w:rsidR="008177E2">
        <w:t>s</w:t>
      </w:r>
      <w:r w:rsidR="008177E2" w:rsidRPr="009B4C9B">
        <w:t>.</w:t>
      </w:r>
      <w:r w:rsidR="008177E2">
        <w:t xml:space="preserve"> </w:t>
      </w:r>
      <w:r w:rsidR="008177E2" w:rsidRPr="009B4C9B">
        <w:t>The xplat-cli is written in Ja</w:t>
      </w:r>
      <w:r w:rsidR="008177E2">
        <w:t>vaScript, and it requires Node.js</w:t>
      </w:r>
      <w:r>
        <w:t>.</w:t>
      </w:r>
    </w:p>
    <w:p w14:paraId="4CD3DC4D" w14:textId="43A2CDD5" w:rsidR="00F31750" w:rsidRDefault="00862473" w:rsidP="005729D2">
      <w:pPr>
        <w:pStyle w:val="Heading3Numbered"/>
        <w:numPr>
          <w:ilvl w:val="2"/>
          <w:numId w:val="64"/>
        </w:numPr>
      </w:pPr>
      <w:bookmarkStart w:id="2549" w:name="_Toc417548275"/>
      <w:bookmarkStart w:id="2550" w:name="_Toc417594507"/>
      <w:bookmarkStart w:id="2551" w:name="_Toc417934604"/>
      <w:bookmarkStart w:id="2552" w:name="_Toc417935943"/>
      <w:bookmarkStart w:id="2553" w:name="_Toc417936405"/>
      <w:bookmarkStart w:id="2554" w:name="_Toc417946860"/>
      <w:bookmarkStart w:id="2555" w:name="_Toc417982470"/>
      <w:bookmarkStart w:id="2556" w:name="_Toc417985895"/>
      <w:bookmarkStart w:id="2557" w:name="_Toc418000616"/>
      <w:bookmarkStart w:id="2558" w:name="_Toc418003759"/>
      <w:bookmarkStart w:id="2559" w:name="_Toc418011964"/>
      <w:bookmarkStart w:id="2560" w:name="_Toc418014612"/>
      <w:bookmarkStart w:id="2561" w:name="_Toc418029948"/>
      <w:bookmarkStart w:id="2562" w:name="_Toc418036884"/>
      <w:bookmarkStart w:id="2563" w:name="_Toc418061349"/>
      <w:bookmarkStart w:id="2564" w:name="_Toc418080698"/>
      <w:bookmarkStart w:id="2565" w:name="_Toc418081871"/>
      <w:bookmarkStart w:id="2566" w:name="_Toc418083273"/>
      <w:bookmarkStart w:id="2567" w:name="_Toc418095493"/>
      <w:bookmarkStart w:id="2568" w:name="_Toc418156664"/>
      <w:bookmarkStart w:id="2569" w:name="_Toc418167583"/>
      <w:bookmarkStart w:id="2570" w:name="_Toc418185840"/>
      <w:bookmarkStart w:id="2571" w:name="_Toc422941550"/>
      <w:bookmarkStart w:id="2572" w:name="_Toc423116756"/>
      <w:bookmarkStart w:id="2573" w:name="_Toc423117789"/>
      <w:bookmarkStart w:id="2574" w:name="_Toc423117239"/>
      <w:bookmarkStart w:id="2575" w:name="_Toc431288831"/>
      <w:r>
        <w:t>Vendor Solutions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1BC937B3" w14:textId="33565985" w:rsidR="009B4C9B" w:rsidRPr="009B4C9B" w:rsidRDefault="009B4C9B" w:rsidP="009B4C9B">
      <w:r>
        <w:t>Other</w:t>
      </w:r>
      <w:r w:rsidR="008177E2">
        <w:t xml:space="preserve"> vendors are free to distribute their Azure Storage management tools, in addition to what Microsoft provides. </w:t>
      </w:r>
    </w:p>
    <w:p w14:paraId="13D67043" w14:textId="77777777" w:rsidR="006979BB" w:rsidRPr="00336D22" w:rsidRDefault="006979BB" w:rsidP="005729D2">
      <w:pPr>
        <w:pStyle w:val="Heading3Numbered"/>
        <w:numPr>
          <w:ilvl w:val="2"/>
          <w:numId w:val="64"/>
        </w:numPr>
      </w:pPr>
      <w:bookmarkStart w:id="2576" w:name="_Toc417548276"/>
      <w:bookmarkStart w:id="2577" w:name="_Toc417594508"/>
      <w:bookmarkStart w:id="2578" w:name="_Toc417934605"/>
      <w:bookmarkStart w:id="2579" w:name="_Toc417935944"/>
      <w:bookmarkStart w:id="2580" w:name="_Toc417936406"/>
      <w:bookmarkStart w:id="2581" w:name="_Toc417946861"/>
      <w:bookmarkStart w:id="2582" w:name="_Toc417947275"/>
      <w:bookmarkStart w:id="2583" w:name="_Toc417982471"/>
      <w:bookmarkStart w:id="2584" w:name="_Toc417985896"/>
      <w:bookmarkStart w:id="2585" w:name="_Toc418000617"/>
      <w:bookmarkStart w:id="2586" w:name="_Toc418003760"/>
      <w:bookmarkStart w:id="2587" w:name="_Toc418011965"/>
      <w:bookmarkStart w:id="2588" w:name="_Toc418014613"/>
      <w:bookmarkStart w:id="2589" w:name="_Toc418029949"/>
      <w:bookmarkStart w:id="2590" w:name="_Toc418036885"/>
      <w:bookmarkStart w:id="2591" w:name="_Toc418061350"/>
      <w:bookmarkStart w:id="2592" w:name="_Toc418080699"/>
      <w:bookmarkStart w:id="2593" w:name="_Toc418081872"/>
      <w:bookmarkStart w:id="2594" w:name="_Toc418083274"/>
      <w:bookmarkStart w:id="2595" w:name="_Toc418095494"/>
      <w:bookmarkStart w:id="2596" w:name="_Toc418156665"/>
      <w:bookmarkStart w:id="2597" w:name="_Toc418167584"/>
      <w:bookmarkStart w:id="2598" w:name="_Toc418185841"/>
      <w:bookmarkStart w:id="2599" w:name="_Toc422941551"/>
      <w:bookmarkStart w:id="2600" w:name="_Toc423116757"/>
      <w:bookmarkStart w:id="2601" w:name="_Toc423117790"/>
      <w:bookmarkStart w:id="2602" w:name="_Toc423117240"/>
      <w:bookmarkStart w:id="2603" w:name="_Toc431288832"/>
      <w:r w:rsidRPr="00336D22">
        <w:t>Storage Emulator</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6A82B0C1" w14:textId="62FD7F1A" w:rsidR="009B4C9B" w:rsidRPr="009B4C9B" w:rsidRDefault="009B4C9B" w:rsidP="009B4C9B">
      <w:r w:rsidRPr="009B4C9B">
        <w:rPr>
          <w:lang w:val="en"/>
        </w:rPr>
        <w:t>The</w:t>
      </w:r>
      <w:r w:rsidR="008177E2" w:rsidRPr="009B4C9B">
        <w:rPr>
          <w:lang w:val="en"/>
        </w:rPr>
        <w:t xml:space="preserve"> Azure </w:t>
      </w:r>
      <w:r w:rsidR="008177E2">
        <w:rPr>
          <w:lang w:val="en"/>
        </w:rPr>
        <w:t>S</w:t>
      </w:r>
      <w:r w:rsidR="008177E2" w:rsidRPr="009B4C9B">
        <w:rPr>
          <w:lang w:val="en"/>
        </w:rPr>
        <w:t xml:space="preserve">torage </w:t>
      </w:r>
      <w:r w:rsidR="008177E2">
        <w:rPr>
          <w:lang w:val="en"/>
        </w:rPr>
        <w:t>E</w:t>
      </w:r>
      <w:r w:rsidR="008177E2" w:rsidRPr="009B4C9B">
        <w:rPr>
          <w:lang w:val="en"/>
        </w:rPr>
        <w:t xml:space="preserve">mulator provides a local environment that </w:t>
      </w:r>
      <w:r w:rsidR="008177E2" w:rsidRPr="008177E2">
        <w:rPr>
          <w:i/>
          <w:lang w:val="en"/>
        </w:rPr>
        <w:t>emulates</w:t>
      </w:r>
      <w:r w:rsidR="008177E2" w:rsidRPr="009B4C9B">
        <w:rPr>
          <w:lang w:val="en"/>
        </w:rPr>
        <w:t xml:space="preserve"> the Azure Blob, Queue, and Table services for development purposes. </w:t>
      </w:r>
      <w:r w:rsidR="008177E2">
        <w:rPr>
          <w:lang w:val="en"/>
        </w:rPr>
        <w:t>By u</w:t>
      </w:r>
      <w:r w:rsidR="008177E2" w:rsidRPr="009B4C9B">
        <w:rPr>
          <w:lang w:val="en"/>
        </w:rPr>
        <w:t>sing the storage emulator, you can test your application against the storage services locally, without incurring any cost</w:t>
      </w:r>
      <w:r w:rsidR="008177E2">
        <w:rPr>
          <w:lang w:val="en"/>
        </w:rPr>
        <w:t>s</w:t>
      </w:r>
      <w:r w:rsidRPr="009B4C9B">
        <w:rPr>
          <w:lang w:val="en"/>
        </w:rPr>
        <w:t>.</w:t>
      </w:r>
    </w:p>
    <w:p w14:paraId="48B4887C" w14:textId="40350523" w:rsidR="00862473" w:rsidRDefault="00862473" w:rsidP="005729D2">
      <w:pPr>
        <w:pStyle w:val="Heading3Numbered"/>
        <w:numPr>
          <w:ilvl w:val="2"/>
          <w:numId w:val="64"/>
        </w:numPr>
      </w:pPr>
      <w:bookmarkStart w:id="2604" w:name="_Toc417548277"/>
      <w:bookmarkStart w:id="2605" w:name="_Toc417594509"/>
      <w:bookmarkStart w:id="2606" w:name="_Toc417934606"/>
      <w:bookmarkStart w:id="2607" w:name="_Toc417935945"/>
      <w:bookmarkStart w:id="2608" w:name="_Toc417936407"/>
      <w:bookmarkStart w:id="2609" w:name="_Toc417946862"/>
      <w:bookmarkStart w:id="2610" w:name="_Toc417947276"/>
      <w:bookmarkStart w:id="2611" w:name="_Toc417982472"/>
      <w:bookmarkStart w:id="2612" w:name="_Toc417985897"/>
      <w:bookmarkStart w:id="2613" w:name="_Toc418000618"/>
      <w:bookmarkStart w:id="2614" w:name="_Toc418003761"/>
      <w:bookmarkStart w:id="2615" w:name="_Toc418011966"/>
      <w:bookmarkStart w:id="2616" w:name="_Toc418014614"/>
      <w:bookmarkStart w:id="2617" w:name="_Toc418029950"/>
      <w:bookmarkStart w:id="2618" w:name="_Toc418036886"/>
      <w:bookmarkStart w:id="2619" w:name="_Toc418061351"/>
      <w:bookmarkStart w:id="2620" w:name="_Toc418080700"/>
      <w:bookmarkStart w:id="2621" w:name="_Toc418081873"/>
      <w:bookmarkStart w:id="2622" w:name="_Toc418083275"/>
      <w:bookmarkStart w:id="2623" w:name="_Toc418095495"/>
      <w:bookmarkStart w:id="2624" w:name="_Toc418156666"/>
      <w:bookmarkStart w:id="2625" w:name="_Toc418167585"/>
      <w:bookmarkStart w:id="2626" w:name="_Toc418185842"/>
      <w:bookmarkStart w:id="2627" w:name="_Toc422941552"/>
      <w:bookmarkStart w:id="2628" w:name="_Toc423116758"/>
      <w:bookmarkStart w:id="2629" w:name="_Toc423117791"/>
      <w:bookmarkStart w:id="2630" w:name="_Toc423117241"/>
      <w:bookmarkStart w:id="2631" w:name="_Toc431288833"/>
      <w:r>
        <w:t>Data Migration</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23D1810C" w14:textId="3C429DBD" w:rsidR="008177E2" w:rsidRDefault="008177E2" w:rsidP="008177E2">
      <w:r>
        <w:t>After the suitability of the data has been determined, there are multiple methods to move data to Azure and manage its lifecycle:</w:t>
      </w:r>
    </w:p>
    <w:p w14:paraId="37507A5C" w14:textId="77777777" w:rsidR="008177E2" w:rsidRDefault="008177E2" w:rsidP="005729D2">
      <w:pPr>
        <w:pStyle w:val="ListParagraph"/>
        <w:numPr>
          <w:ilvl w:val="0"/>
          <w:numId w:val="27"/>
        </w:numPr>
      </w:pPr>
      <w:r>
        <w:t>StorSimple (outlined in the following section) can be used for unstructured data that is typically stored on traditional file servers.</w:t>
      </w:r>
    </w:p>
    <w:p w14:paraId="2572DC76" w14:textId="77777777" w:rsidR="008177E2" w:rsidRPr="00FD72EA" w:rsidRDefault="008177E2" w:rsidP="005729D2">
      <w:pPr>
        <w:pStyle w:val="ListParagraph"/>
        <w:numPr>
          <w:ilvl w:val="0"/>
          <w:numId w:val="27"/>
        </w:numPr>
      </w:pPr>
      <w:r>
        <w:t xml:space="preserve">The Azure </w:t>
      </w:r>
      <w:r w:rsidRPr="00A23659">
        <w:rPr>
          <w:b/>
        </w:rPr>
        <w:t>Import/Export</w:t>
      </w:r>
      <w:r>
        <w:t xml:space="preserve"> service is used </w:t>
      </w:r>
      <w:r w:rsidRPr="00FD72EA">
        <w:rPr>
          <w:lang w:val="en"/>
        </w:rPr>
        <w:t xml:space="preserve">to transfer </w:t>
      </w:r>
      <w:r w:rsidRPr="00EA23C7">
        <w:rPr>
          <w:lang w:val="en"/>
        </w:rPr>
        <w:t>large</w:t>
      </w:r>
      <w:r w:rsidRPr="00FD72EA">
        <w:rPr>
          <w:lang w:val="en"/>
        </w:rPr>
        <w:t xml:space="preserve"> amounts of data to Azure Blob storage in situations where uploading </w:t>
      </w:r>
      <w:r>
        <w:rPr>
          <w:lang w:val="en"/>
        </w:rPr>
        <w:t xml:space="preserve">data </w:t>
      </w:r>
      <w:r w:rsidRPr="00FD72EA">
        <w:rPr>
          <w:lang w:val="en"/>
        </w:rPr>
        <w:t xml:space="preserve">over the network is not feasible. You can also use </w:t>
      </w:r>
      <w:r>
        <w:rPr>
          <w:lang w:val="en"/>
        </w:rPr>
        <w:t xml:space="preserve">this </w:t>
      </w:r>
      <w:r w:rsidRPr="00FD72EA">
        <w:rPr>
          <w:lang w:val="en"/>
        </w:rPr>
        <w:t xml:space="preserve">service to transfer </w:t>
      </w:r>
      <w:r>
        <w:rPr>
          <w:lang w:val="en"/>
        </w:rPr>
        <w:t xml:space="preserve">a </w:t>
      </w:r>
      <w:r w:rsidRPr="00FD72EA">
        <w:rPr>
          <w:lang w:val="en"/>
        </w:rPr>
        <w:t xml:space="preserve">large </w:t>
      </w:r>
      <w:r>
        <w:rPr>
          <w:lang w:val="en"/>
        </w:rPr>
        <w:t xml:space="preserve">amount </w:t>
      </w:r>
      <w:r w:rsidRPr="00FD72EA">
        <w:rPr>
          <w:lang w:val="en"/>
        </w:rPr>
        <w:t xml:space="preserve">of data </w:t>
      </w:r>
      <w:r w:rsidRPr="00EA23C7">
        <w:rPr>
          <w:lang w:val="en"/>
        </w:rPr>
        <w:t>from</w:t>
      </w:r>
      <w:r>
        <w:rPr>
          <w:lang w:val="en"/>
        </w:rPr>
        <w:t xml:space="preserve"> </w:t>
      </w:r>
      <w:r w:rsidRPr="00FD72EA">
        <w:rPr>
          <w:lang w:val="en"/>
        </w:rPr>
        <w:t xml:space="preserve">Blob storage </w:t>
      </w:r>
      <w:r w:rsidRPr="00EA23C7">
        <w:rPr>
          <w:lang w:val="en"/>
        </w:rPr>
        <w:t>to</w:t>
      </w:r>
      <w:r w:rsidRPr="00FD72EA">
        <w:rPr>
          <w:lang w:val="en"/>
        </w:rPr>
        <w:t xml:space="preserve"> your on-premises </w:t>
      </w:r>
      <w:r>
        <w:rPr>
          <w:lang w:val="en"/>
        </w:rPr>
        <w:t>storage without the network transfer time and network egress costs</w:t>
      </w:r>
      <w:r w:rsidRPr="00FD72EA">
        <w:rPr>
          <w:lang w:val="en"/>
        </w:rPr>
        <w:t>.</w:t>
      </w:r>
      <w:r>
        <w:rPr>
          <w:lang w:val="en"/>
        </w:rPr>
        <w:t xml:space="preserve"> Data is stored on physical hard drives, encrypted with BitLocker, and physically shipped to an Azure datacenter.</w:t>
      </w:r>
    </w:p>
    <w:p w14:paraId="701D4D05" w14:textId="428067D2" w:rsidR="00FD72EA" w:rsidRDefault="008177E2" w:rsidP="008177E2">
      <w:r>
        <w:t xml:space="preserve">For smaller amounts of data, a manual copy using a GUI tool or a CLI program can accomplish the data move. </w:t>
      </w:r>
      <w:r>
        <w:rPr>
          <w:b/>
        </w:rPr>
        <w:t>AzCopy</w:t>
      </w:r>
      <w:r>
        <w:t xml:space="preserve"> is perhaps the most popular choice to move small amounts of data to and from Azure Storage accounts. For more information, see </w:t>
      </w:r>
      <w:hyperlink r:id="rId177" w:history="1">
        <w:r w:rsidRPr="00EA23C7">
          <w:rPr>
            <w:rStyle w:val="Hyperlink"/>
            <w:lang w:val="en"/>
          </w:rPr>
          <w:t>Getting Started with the AzCopy Command-Line Utility</w:t>
        </w:r>
      </w:hyperlink>
      <w:r w:rsidR="00FD72EA">
        <w:t>.</w:t>
      </w:r>
    </w:p>
    <w:p w14:paraId="768302DD" w14:textId="77777777" w:rsidR="009D0108" w:rsidRPr="009B4C9B" w:rsidRDefault="009D0108" w:rsidP="009B4C9B"/>
    <w:tbl>
      <w:tblPr>
        <w:tblStyle w:val="PlainTable11"/>
        <w:tblW w:w="0" w:type="auto"/>
        <w:tblLook w:val="04A0" w:firstRow="1" w:lastRow="0" w:firstColumn="1" w:lastColumn="0" w:noHBand="0" w:noVBand="1"/>
      </w:tblPr>
      <w:tblGrid>
        <w:gridCol w:w="3414"/>
        <w:gridCol w:w="5936"/>
      </w:tblGrid>
      <w:tr w:rsidR="001810DE" w14:paraId="17EA6610" w14:textId="77777777" w:rsidTr="003F01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28491D01" w14:textId="0335241F" w:rsidR="001810DE" w:rsidRPr="00F47607" w:rsidRDefault="008177E2" w:rsidP="00AD01F6">
            <w:pPr>
              <w:spacing w:line="240" w:lineRule="auto"/>
              <w:rPr>
                <w:color w:val="FFFFFF"/>
              </w:rPr>
            </w:pPr>
            <w:bookmarkStart w:id="2632" w:name="_Toc414892102"/>
            <w:r>
              <w:rPr>
                <w:color w:val="FFFFFF"/>
              </w:rPr>
              <w:t>Feature References</w:t>
            </w:r>
          </w:p>
        </w:tc>
      </w:tr>
      <w:tr w:rsidR="001810DE" w14:paraId="03FF9A86" w14:textId="77777777" w:rsidTr="003F0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165A3E38" w14:textId="064EE8E1" w:rsidR="001810DE" w:rsidRPr="00927F75" w:rsidRDefault="00397575" w:rsidP="00AD01F6">
            <w:pPr>
              <w:spacing w:line="240" w:lineRule="auto"/>
              <w:rPr>
                <w:sz w:val="20"/>
                <w:szCs w:val="18"/>
              </w:rPr>
            </w:pPr>
            <w:r w:rsidRPr="00397575">
              <w:rPr>
                <w:sz w:val="20"/>
                <w:szCs w:val="18"/>
                <w:lang w:val="en"/>
              </w:rPr>
              <w:t>Storage Services REST API Reference</w:t>
            </w:r>
          </w:p>
        </w:tc>
        <w:tc>
          <w:tcPr>
            <w:tcW w:w="5940" w:type="dxa"/>
          </w:tcPr>
          <w:p w14:paraId="1F11ABFC" w14:textId="46E95606" w:rsidR="001810DE" w:rsidRPr="00927F75" w:rsidRDefault="00872E47" w:rsidP="00AD01F6">
            <w:pPr>
              <w:cnfStyle w:val="000000100000" w:firstRow="0" w:lastRow="0" w:firstColumn="0" w:lastColumn="0" w:oddVBand="0" w:evenVBand="0" w:oddHBand="1" w:evenHBand="0" w:firstRowFirstColumn="0" w:firstRowLastColumn="0" w:lastRowFirstColumn="0" w:lastRowLastColumn="0"/>
              <w:rPr>
                <w:sz w:val="20"/>
                <w:szCs w:val="18"/>
              </w:rPr>
            </w:pPr>
            <w:hyperlink r:id="rId178" w:history="1">
              <w:r w:rsidR="00397575" w:rsidRPr="006C7A16">
                <w:rPr>
                  <w:rStyle w:val="Hyperlink"/>
                  <w:sz w:val="20"/>
                  <w:szCs w:val="18"/>
                </w:rPr>
                <w:t>https://msdn.microsoft.com/en-us/library/azure/dd179355.aspx</w:t>
              </w:r>
            </w:hyperlink>
            <w:r w:rsidR="00397575">
              <w:rPr>
                <w:sz w:val="20"/>
                <w:szCs w:val="18"/>
              </w:rPr>
              <w:t xml:space="preserve"> </w:t>
            </w:r>
          </w:p>
        </w:tc>
      </w:tr>
      <w:tr w:rsidR="001810DE" w14:paraId="4C34A5F5" w14:textId="77777777" w:rsidTr="003F0158">
        <w:tc>
          <w:tcPr>
            <w:cnfStyle w:val="001000000000" w:firstRow="0" w:lastRow="0" w:firstColumn="1" w:lastColumn="0" w:oddVBand="0" w:evenVBand="0" w:oddHBand="0" w:evenHBand="0" w:firstRowFirstColumn="0" w:firstRowLastColumn="0" w:lastRowFirstColumn="0" w:lastRowLastColumn="0"/>
            <w:tcW w:w="3420" w:type="dxa"/>
          </w:tcPr>
          <w:p w14:paraId="7FD7AE17" w14:textId="5CA83173" w:rsidR="001810DE" w:rsidRPr="00F47607" w:rsidRDefault="00397575" w:rsidP="00AD01F6">
            <w:pPr>
              <w:spacing w:line="240" w:lineRule="auto"/>
              <w:rPr>
                <w:sz w:val="20"/>
              </w:rPr>
            </w:pPr>
            <w:r w:rsidRPr="00397575">
              <w:rPr>
                <w:sz w:val="20"/>
                <w:szCs w:val="18"/>
                <w:lang w:val="en"/>
              </w:rPr>
              <w:t>Storage Client Library Reference</w:t>
            </w:r>
          </w:p>
        </w:tc>
        <w:tc>
          <w:tcPr>
            <w:tcW w:w="5940" w:type="dxa"/>
          </w:tcPr>
          <w:p w14:paraId="103E9707" w14:textId="777AC280" w:rsidR="001810DE" w:rsidRPr="00927F75" w:rsidRDefault="00872E47" w:rsidP="00AD01F6">
            <w:pPr>
              <w:cnfStyle w:val="000000000000" w:firstRow="0" w:lastRow="0" w:firstColumn="0" w:lastColumn="0" w:oddVBand="0" w:evenVBand="0" w:oddHBand="0" w:evenHBand="0" w:firstRowFirstColumn="0" w:firstRowLastColumn="0" w:lastRowFirstColumn="0" w:lastRowLastColumn="0"/>
              <w:rPr>
                <w:sz w:val="20"/>
              </w:rPr>
            </w:pPr>
            <w:hyperlink r:id="rId179" w:history="1">
              <w:r w:rsidR="00397575" w:rsidRPr="006C7A16">
                <w:rPr>
                  <w:rStyle w:val="Hyperlink"/>
                  <w:sz w:val="20"/>
                  <w:szCs w:val="18"/>
                </w:rPr>
                <w:t>https://msdn.microsoft.com/en-us/library/azure/dn261237.aspx</w:t>
              </w:r>
            </w:hyperlink>
            <w:r w:rsidR="00397575">
              <w:rPr>
                <w:sz w:val="20"/>
                <w:szCs w:val="18"/>
              </w:rPr>
              <w:t xml:space="preserve"> </w:t>
            </w:r>
          </w:p>
        </w:tc>
      </w:tr>
      <w:tr w:rsidR="001810DE" w14:paraId="4EF4E84D" w14:textId="77777777" w:rsidTr="003F0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1ACF8D9C" w14:textId="4C42C1E2" w:rsidR="001810DE" w:rsidRDefault="00397575" w:rsidP="00AD01F6">
            <w:pPr>
              <w:spacing w:line="240" w:lineRule="auto"/>
              <w:rPr>
                <w:sz w:val="20"/>
              </w:rPr>
            </w:pPr>
            <w:r w:rsidRPr="00397575">
              <w:rPr>
                <w:sz w:val="20"/>
                <w:szCs w:val="18"/>
                <w:lang w:val="en"/>
              </w:rPr>
              <w:t>Import/Export Service REST API Reference</w:t>
            </w:r>
          </w:p>
        </w:tc>
        <w:tc>
          <w:tcPr>
            <w:tcW w:w="5940" w:type="dxa"/>
          </w:tcPr>
          <w:p w14:paraId="277858D7" w14:textId="3CEEAAEE" w:rsidR="001810DE" w:rsidRPr="00927F75" w:rsidRDefault="00872E47" w:rsidP="00AD01F6">
            <w:pPr>
              <w:cnfStyle w:val="000000100000" w:firstRow="0" w:lastRow="0" w:firstColumn="0" w:lastColumn="0" w:oddVBand="0" w:evenVBand="0" w:oddHBand="1" w:evenHBand="0" w:firstRowFirstColumn="0" w:firstRowLastColumn="0" w:lastRowFirstColumn="0" w:lastRowLastColumn="0"/>
              <w:rPr>
                <w:sz w:val="20"/>
              </w:rPr>
            </w:pPr>
            <w:hyperlink r:id="rId180" w:history="1">
              <w:r w:rsidR="00397575" w:rsidRPr="006C7A16">
                <w:rPr>
                  <w:rStyle w:val="Hyperlink"/>
                  <w:sz w:val="20"/>
                  <w:szCs w:val="18"/>
                </w:rPr>
                <w:t>https://msdn.microsoft.com/en-us/library/azure/dn529096.aspx</w:t>
              </w:r>
            </w:hyperlink>
            <w:r w:rsidR="00397575">
              <w:rPr>
                <w:sz w:val="20"/>
                <w:szCs w:val="18"/>
              </w:rPr>
              <w:t xml:space="preserve"> </w:t>
            </w:r>
          </w:p>
        </w:tc>
      </w:tr>
      <w:tr w:rsidR="00397575" w14:paraId="75150FC7" w14:textId="77777777" w:rsidTr="003F0158">
        <w:tc>
          <w:tcPr>
            <w:cnfStyle w:val="001000000000" w:firstRow="0" w:lastRow="0" w:firstColumn="1" w:lastColumn="0" w:oddVBand="0" w:evenVBand="0" w:oddHBand="0" w:evenHBand="0" w:firstRowFirstColumn="0" w:firstRowLastColumn="0" w:lastRowFirstColumn="0" w:lastRowLastColumn="0"/>
            <w:tcW w:w="3420" w:type="dxa"/>
          </w:tcPr>
          <w:p w14:paraId="611154DC" w14:textId="023F120B" w:rsidR="00397575" w:rsidRPr="00397575" w:rsidRDefault="00397575" w:rsidP="00397575">
            <w:pPr>
              <w:spacing w:line="240" w:lineRule="auto"/>
              <w:rPr>
                <w:sz w:val="20"/>
                <w:szCs w:val="18"/>
                <w:lang w:val="en"/>
              </w:rPr>
            </w:pPr>
            <w:r w:rsidRPr="00397575">
              <w:rPr>
                <w:sz w:val="20"/>
                <w:szCs w:val="18"/>
                <w:lang w:val="en"/>
              </w:rPr>
              <w:t xml:space="preserve">Azure </w:t>
            </w:r>
            <w:r>
              <w:rPr>
                <w:sz w:val="20"/>
                <w:szCs w:val="18"/>
                <w:lang w:val="en"/>
              </w:rPr>
              <w:t xml:space="preserve">GUI </w:t>
            </w:r>
            <w:r w:rsidRPr="00397575">
              <w:rPr>
                <w:sz w:val="20"/>
                <w:szCs w:val="18"/>
                <w:lang w:val="en"/>
              </w:rPr>
              <w:t>Storage Explorers</w:t>
            </w:r>
          </w:p>
        </w:tc>
        <w:tc>
          <w:tcPr>
            <w:tcW w:w="5940" w:type="dxa"/>
          </w:tcPr>
          <w:p w14:paraId="70F15349" w14:textId="172BFDCF" w:rsidR="00397575" w:rsidRDefault="00872E47" w:rsidP="00AD01F6">
            <w:pPr>
              <w:cnfStyle w:val="000000000000" w:firstRow="0" w:lastRow="0" w:firstColumn="0" w:lastColumn="0" w:oddVBand="0" w:evenVBand="0" w:oddHBand="0" w:evenHBand="0" w:firstRowFirstColumn="0" w:firstRowLastColumn="0" w:lastRowFirstColumn="0" w:lastRowLastColumn="0"/>
              <w:rPr>
                <w:sz w:val="20"/>
                <w:szCs w:val="18"/>
              </w:rPr>
            </w:pPr>
            <w:hyperlink r:id="rId181" w:history="1">
              <w:r w:rsidR="00397575" w:rsidRPr="00397575">
                <w:rPr>
                  <w:rStyle w:val="Hyperlink"/>
                  <w:sz w:val="20"/>
                  <w:szCs w:val="18"/>
                </w:rPr>
                <w:t>Link</w:t>
              </w:r>
            </w:hyperlink>
          </w:p>
        </w:tc>
      </w:tr>
      <w:tr w:rsidR="00397575" w14:paraId="22359A5D" w14:textId="77777777" w:rsidTr="003F0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2EAB2240" w14:textId="3E8B892D" w:rsidR="00397575" w:rsidRPr="00397575" w:rsidRDefault="00397575" w:rsidP="00397575">
            <w:pPr>
              <w:spacing w:line="240" w:lineRule="auto"/>
              <w:rPr>
                <w:sz w:val="20"/>
                <w:szCs w:val="18"/>
                <w:lang w:val="en"/>
              </w:rPr>
            </w:pPr>
            <w:r w:rsidRPr="00397575">
              <w:rPr>
                <w:sz w:val="20"/>
                <w:szCs w:val="18"/>
                <w:lang w:val="en"/>
              </w:rPr>
              <w:t>Using the Azure Cross-Platform Command-Line Interface</w:t>
            </w:r>
          </w:p>
        </w:tc>
        <w:tc>
          <w:tcPr>
            <w:tcW w:w="5940" w:type="dxa"/>
          </w:tcPr>
          <w:p w14:paraId="764DD01B" w14:textId="50082882" w:rsidR="00397575" w:rsidRDefault="00872E47" w:rsidP="00AD01F6">
            <w:pPr>
              <w:cnfStyle w:val="000000100000" w:firstRow="0" w:lastRow="0" w:firstColumn="0" w:lastColumn="0" w:oddVBand="0" w:evenVBand="0" w:oddHBand="1" w:evenHBand="0" w:firstRowFirstColumn="0" w:firstRowLastColumn="0" w:lastRowFirstColumn="0" w:lastRowLastColumn="0"/>
              <w:rPr>
                <w:sz w:val="20"/>
                <w:szCs w:val="18"/>
              </w:rPr>
            </w:pPr>
            <w:hyperlink r:id="rId182" w:anchor="Commands_to_manage_your_Storage_objects" w:history="1">
              <w:r w:rsidR="00397575" w:rsidRPr="006C7A16">
                <w:rPr>
                  <w:rStyle w:val="Hyperlink"/>
                  <w:sz w:val="20"/>
                  <w:szCs w:val="18"/>
                </w:rPr>
                <w:t>http://azure.microsoft.com/en-us/documentation/articles/virtual-machines-command-line-tools/#Commands_to_manage_your_Storage_objects</w:t>
              </w:r>
            </w:hyperlink>
            <w:r w:rsidR="00397575">
              <w:rPr>
                <w:sz w:val="20"/>
                <w:szCs w:val="18"/>
              </w:rPr>
              <w:t xml:space="preserve"> </w:t>
            </w:r>
          </w:p>
        </w:tc>
      </w:tr>
      <w:tr w:rsidR="00397575" w14:paraId="115B1EBD" w14:textId="77777777" w:rsidTr="003F0158">
        <w:tc>
          <w:tcPr>
            <w:cnfStyle w:val="001000000000" w:firstRow="0" w:lastRow="0" w:firstColumn="1" w:lastColumn="0" w:oddVBand="0" w:evenVBand="0" w:oddHBand="0" w:evenHBand="0" w:firstRowFirstColumn="0" w:firstRowLastColumn="0" w:lastRowFirstColumn="0" w:lastRowLastColumn="0"/>
            <w:tcW w:w="3420" w:type="dxa"/>
          </w:tcPr>
          <w:p w14:paraId="07E8D179" w14:textId="2147269D" w:rsidR="00397575" w:rsidRPr="00397575" w:rsidRDefault="00397575" w:rsidP="00397575">
            <w:pPr>
              <w:spacing w:line="240" w:lineRule="auto"/>
              <w:rPr>
                <w:sz w:val="20"/>
                <w:szCs w:val="18"/>
                <w:lang w:val="en"/>
              </w:rPr>
            </w:pPr>
            <w:r w:rsidRPr="00397575">
              <w:rPr>
                <w:sz w:val="20"/>
                <w:szCs w:val="18"/>
                <w:lang w:val="en"/>
              </w:rPr>
              <w:t>Install and Configure the Azure Cross-Platform Command-Line Interface</w:t>
            </w:r>
          </w:p>
        </w:tc>
        <w:tc>
          <w:tcPr>
            <w:tcW w:w="5940" w:type="dxa"/>
          </w:tcPr>
          <w:p w14:paraId="09B8CB47" w14:textId="700CEFBB" w:rsidR="00397575" w:rsidRDefault="00872E47" w:rsidP="00AD01F6">
            <w:pPr>
              <w:cnfStyle w:val="000000000000" w:firstRow="0" w:lastRow="0" w:firstColumn="0" w:lastColumn="0" w:oddVBand="0" w:evenVBand="0" w:oddHBand="0" w:evenHBand="0" w:firstRowFirstColumn="0" w:firstRowLastColumn="0" w:lastRowFirstColumn="0" w:lastRowLastColumn="0"/>
              <w:rPr>
                <w:sz w:val="20"/>
                <w:szCs w:val="18"/>
              </w:rPr>
            </w:pPr>
            <w:hyperlink r:id="rId183" w:history="1">
              <w:r w:rsidR="00397575" w:rsidRPr="006C7A16">
                <w:rPr>
                  <w:rStyle w:val="Hyperlink"/>
                  <w:sz w:val="20"/>
                  <w:szCs w:val="18"/>
                </w:rPr>
                <w:t>http://azure.microsoft.com/en-us/documentation/articles/xplat-cli</w:t>
              </w:r>
            </w:hyperlink>
            <w:r w:rsidR="00397575">
              <w:rPr>
                <w:sz w:val="20"/>
                <w:szCs w:val="18"/>
              </w:rPr>
              <w:t xml:space="preserve"> </w:t>
            </w:r>
          </w:p>
        </w:tc>
      </w:tr>
      <w:tr w:rsidR="00397575" w14:paraId="094833C3" w14:textId="77777777" w:rsidTr="003F0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4F2E72D0" w14:textId="72D070D9" w:rsidR="00397575" w:rsidRPr="00397575" w:rsidRDefault="00397575" w:rsidP="00397575">
            <w:pPr>
              <w:spacing w:line="240" w:lineRule="auto"/>
              <w:rPr>
                <w:sz w:val="20"/>
                <w:szCs w:val="18"/>
                <w:lang w:val="en"/>
              </w:rPr>
            </w:pPr>
            <w:r w:rsidRPr="00397575">
              <w:rPr>
                <w:sz w:val="20"/>
                <w:szCs w:val="18"/>
                <w:lang w:val="en"/>
              </w:rPr>
              <w:t>Use the Microsoft Azure Import/Export Service to Transfer Data to Blob Storage</w:t>
            </w:r>
          </w:p>
        </w:tc>
        <w:tc>
          <w:tcPr>
            <w:tcW w:w="5940" w:type="dxa"/>
          </w:tcPr>
          <w:p w14:paraId="43F78222" w14:textId="16457E41" w:rsidR="00397575" w:rsidRDefault="00872E47" w:rsidP="00AD01F6">
            <w:pPr>
              <w:cnfStyle w:val="000000100000" w:firstRow="0" w:lastRow="0" w:firstColumn="0" w:lastColumn="0" w:oddVBand="0" w:evenVBand="0" w:oddHBand="1" w:evenHBand="0" w:firstRowFirstColumn="0" w:firstRowLastColumn="0" w:lastRowFirstColumn="0" w:lastRowLastColumn="0"/>
              <w:rPr>
                <w:sz w:val="20"/>
                <w:szCs w:val="18"/>
              </w:rPr>
            </w:pPr>
            <w:hyperlink r:id="rId184" w:history="1">
              <w:r w:rsidR="00397575" w:rsidRPr="006C7A16">
                <w:rPr>
                  <w:rStyle w:val="Hyperlink"/>
                  <w:sz w:val="20"/>
                  <w:szCs w:val="18"/>
                </w:rPr>
                <w:t>http://azure.microsoft.com/en-us/documentation/articles/storage-import-export-service</w:t>
              </w:r>
            </w:hyperlink>
            <w:r w:rsidR="00397575">
              <w:rPr>
                <w:sz w:val="20"/>
                <w:szCs w:val="18"/>
              </w:rPr>
              <w:t xml:space="preserve"> </w:t>
            </w:r>
          </w:p>
        </w:tc>
      </w:tr>
      <w:tr w:rsidR="00397575" w14:paraId="5BB3BC3B" w14:textId="77777777" w:rsidTr="003F0158">
        <w:tc>
          <w:tcPr>
            <w:cnfStyle w:val="001000000000" w:firstRow="0" w:lastRow="0" w:firstColumn="1" w:lastColumn="0" w:oddVBand="0" w:evenVBand="0" w:oddHBand="0" w:evenHBand="0" w:firstRowFirstColumn="0" w:firstRowLastColumn="0" w:lastRowFirstColumn="0" w:lastRowLastColumn="0"/>
            <w:tcW w:w="3420" w:type="dxa"/>
          </w:tcPr>
          <w:p w14:paraId="3E70F9D6" w14:textId="3D5816EA" w:rsidR="00397575" w:rsidRPr="00397575" w:rsidRDefault="00397575" w:rsidP="00397575">
            <w:pPr>
              <w:spacing w:line="240" w:lineRule="auto"/>
              <w:rPr>
                <w:sz w:val="20"/>
                <w:szCs w:val="18"/>
                <w:lang w:val="en"/>
              </w:rPr>
            </w:pPr>
            <w:r w:rsidRPr="00397575">
              <w:rPr>
                <w:sz w:val="20"/>
                <w:szCs w:val="18"/>
                <w:lang w:val="en"/>
              </w:rPr>
              <w:t>Using the Azure Storage Emulator</w:t>
            </w:r>
          </w:p>
        </w:tc>
        <w:tc>
          <w:tcPr>
            <w:tcW w:w="5940" w:type="dxa"/>
          </w:tcPr>
          <w:p w14:paraId="0F2D6621" w14:textId="4CF03687" w:rsidR="00397575" w:rsidRDefault="00872E47" w:rsidP="00AD01F6">
            <w:pPr>
              <w:cnfStyle w:val="000000000000" w:firstRow="0" w:lastRow="0" w:firstColumn="0" w:lastColumn="0" w:oddVBand="0" w:evenVBand="0" w:oddHBand="0" w:evenHBand="0" w:firstRowFirstColumn="0" w:firstRowLastColumn="0" w:lastRowFirstColumn="0" w:lastRowLastColumn="0"/>
              <w:rPr>
                <w:sz w:val="20"/>
                <w:szCs w:val="18"/>
              </w:rPr>
            </w:pPr>
            <w:hyperlink r:id="rId185" w:history="1">
              <w:r w:rsidR="00AF18FE">
                <w:rPr>
                  <w:rStyle w:val="Hyperlink"/>
                  <w:sz w:val="20"/>
                  <w:szCs w:val="18"/>
                </w:rPr>
                <w:t>https://azure.microsoft.com/en-us/documentation/articles/storage-use-emulator/</w:t>
              </w:r>
            </w:hyperlink>
            <w:r w:rsidR="00397575">
              <w:rPr>
                <w:sz w:val="20"/>
                <w:szCs w:val="18"/>
              </w:rPr>
              <w:t xml:space="preserve"> </w:t>
            </w:r>
          </w:p>
        </w:tc>
      </w:tr>
      <w:tr w:rsidR="00C215F6" w14:paraId="31AD0D12" w14:textId="77777777" w:rsidTr="003F01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6F34396D" w14:textId="5883D8EE" w:rsidR="00C215F6" w:rsidRPr="00397575" w:rsidRDefault="00C215F6" w:rsidP="00397575">
            <w:pPr>
              <w:spacing w:line="240" w:lineRule="auto"/>
              <w:rPr>
                <w:sz w:val="20"/>
                <w:szCs w:val="18"/>
                <w:lang w:val="en"/>
              </w:rPr>
            </w:pPr>
            <w:r>
              <w:rPr>
                <w:sz w:val="20"/>
                <w:szCs w:val="18"/>
                <w:lang w:val="en"/>
              </w:rPr>
              <w:t>Azure Throughput Analyzer</w:t>
            </w:r>
          </w:p>
        </w:tc>
        <w:tc>
          <w:tcPr>
            <w:tcW w:w="5940" w:type="dxa"/>
          </w:tcPr>
          <w:p w14:paraId="418BF7C5" w14:textId="3927A124" w:rsidR="00C215F6" w:rsidRDefault="00872E47" w:rsidP="00AD01F6">
            <w:pPr>
              <w:cnfStyle w:val="000000100000" w:firstRow="0" w:lastRow="0" w:firstColumn="0" w:lastColumn="0" w:oddVBand="0" w:evenVBand="0" w:oddHBand="1" w:evenHBand="0" w:firstRowFirstColumn="0" w:firstRowLastColumn="0" w:lastRowFirstColumn="0" w:lastRowLastColumn="0"/>
            </w:pPr>
            <w:hyperlink r:id="rId186" w:history="1">
              <w:r w:rsidR="00C215F6" w:rsidRPr="00C215F6">
                <w:rPr>
                  <w:rStyle w:val="Hyperlink"/>
                  <w:sz w:val="20"/>
                </w:rPr>
                <w:t>http://research.microsoft.com/en-us/downloads/5c8189b9-53aa-4d6a-a086-013d927e15a7/default.aspx</w:t>
              </w:r>
            </w:hyperlink>
            <w:r w:rsidR="00C215F6" w:rsidRPr="00C215F6">
              <w:rPr>
                <w:sz w:val="20"/>
              </w:rPr>
              <w:t xml:space="preserve"> </w:t>
            </w:r>
          </w:p>
        </w:tc>
      </w:tr>
    </w:tbl>
    <w:p w14:paraId="2480B4A8" w14:textId="77777777" w:rsidR="001810DE" w:rsidRDefault="001810DE" w:rsidP="001810DE"/>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A647A5" w14:paraId="2376F46C" w14:textId="77777777" w:rsidTr="00586ECE">
        <w:trPr>
          <w:trHeight w:val="423"/>
        </w:trPr>
        <w:tc>
          <w:tcPr>
            <w:tcW w:w="666" w:type="dxa"/>
          </w:tcPr>
          <w:p w14:paraId="14E27D40" w14:textId="77777777" w:rsidR="00A647A5" w:rsidRDefault="00A647A5" w:rsidP="00586ECE">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258B8FA1" wp14:editId="53514120">
                      <wp:extent cx="200025" cy="180975"/>
                      <wp:effectExtent l="57150" t="19050" r="28575" b="104775"/>
                      <wp:docPr id="41164" name="Octagon 41164"/>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4F3F9F1" id="Octagon 41164"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rQJcwIAAFIFAAAOAAAAZHJzL2Uyb0RvYy54bWysVN1r2zAQfx/sfxB6Xx1n6VeoU0JKx6C0&#10;Ze3osyJLiUDWaSclTvbX7yQ7bugKhbEX+073u++Pq+tdY9lWYTDgKl6ejDhTTkJt3KriP59vv1xw&#10;FqJwtbDgVMX3KvDr2edPV62fqjGswdYKGRlxYdr6iq9j9NOiCHKtGhFOwCtHQg3YiEgsrooaRUvW&#10;G1uMR6OzogWsPYJUIdDrTSfks2xfayXjg9ZBRWYrTrHF/MX8XaZvMbsS0xUKvzayD0P8QxSNMI6c&#10;DqZuRBRsg+YvU42RCAF0PJHQFKC1kSrnQNmUozfZPK2FVzkXKk7wQ5nC/zMr77ePyExd8UlZnk04&#10;c6KhNj3IKFbgWPdIRWp9mBL2yT9izwUiU8Y7jU36Uy5slwu7HwqrdpFJeqROjcannEkSlRejy/PT&#10;VPjiVdljiN8UNCwRFYfOfa6o2N6F2KEPqOQugDX1rbE2M7haLiyyraA2LxbkLXeWHBzBipRDF3Wm&#10;4t6qpGzdD6WpBBRnmT3m4VODPSGlcnHcR5zRSU2T70Hx68eKPT6pqjyYg/L4Y+VBI3sGFwflxjjA&#10;9wzYWPYh6w5PBT/KO5FLqPfUfYRuLYKXt4bqfydCfBRIe0AbQ7sdH+ijLbTUmJ7ibA34+733hKfx&#10;JClnLe1VxcOvjUDFmf3uaHAvy8kkLWJmJqfnY2LwWLI8lrhNswDqaUlXxMtMJny0B1IjNC90AubJ&#10;K4mEk+S74jLigVnEbt/piEg1n2cYLZ8X8c49eXnoehqu592LQN8PYaTpvYfDDorpm0HssKkfDuab&#10;CNrkKX2ta19vWtw86v2RSZfhmM+o11M4+wM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BQ8rQJ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3234C566" w14:textId="77777777" w:rsidR="0032650F" w:rsidRDefault="00A647A5" w:rsidP="00586ECE">
            <w:pPr>
              <w:rPr>
                <w:lang w:eastAsia="en-US"/>
              </w:rPr>
            </w:pPr>
            <w:r w:rsidRPr="00192064">
              <w:rPr>
                <w:b/>
                <w:lang w:eastAsia="en-US"/>
              </w:rPr>
              <w:t>Mandatory</w:t>
            </w:r>
            <w:r>
              <w:rPr>
                <w:lang w:eastAsia="en-US"/>
              </w:rPr>
              <w:t xml:space="preserve">:  </w:t>
            </w:r>
          </w:p>
          <w:p w14:paraId="57C9A09E" w14:textId="77777777" w:rsidR="008177E2" w:rsidRPr="0032650F" w:rsidRDefault="008177E2" w:rsidP="005729D2">
            <w:pPr>
              <w:pStyle w:val="ListParagraph"/>
              <w:numPr>
                <w:ilvl w:val="0"/>
                <w:numId w:val="164"/>
              </w:numPr>
              <w:rPr>
                <w:lang w:eastAsia="en-US"/>
              </w:rPr>
            </w:pPr>
            <w:r>
              <w:rPr>
                <w:lang w:eastAsia="en-US"/>
              </w:rPr>
              <w:t>When you import publish settings, the information for accessing your Azure subscription is stored in a “.azure” directory located in your user directory. Your user directory is protected by your operating system; however, it is recommended that you take additional steps to encrypt your user directory to protect that information. Products for encryption include BitLocker (Windows), FileVault (Mac), and Encrypted Home (Ubuntu or other equivalent systems).</w:t>
            </w:r>
          </w:p>
          <w:p w14:paraId="6D23BFF6" w14:textId="77777777" w:rsidR="008177E2" w:rsidRPr="0032650F" w:rsidRDefault="008177E2" w:rsidP="005729D2">
            <w:pPr>
              <w:pStyle w:val="ListParagraph"/>
              <w:numPr>
                <w:ilvl w:val="0"/>
                <w:numId w:val="164"/>
              </w:numPr>
              <w:rPr>
                <w:lang w:eastAsia="en-US"/>
              </w:rPr>
            </w:pPr>
            <w:r w:rsidRPr="0032650F">
              <w:rPr>
                <w:lang w:eastAsia="en-US"/>
              </w:rPr>
              <w:t xml:space="preserve">When using the Import/Export service, the data on the drive must be encrypted </w:t>
            </w:r>
            <w:r>
              <w:rPr>
                <w:lang w:eastAsia="en-US"/>
              </w:rPr>
              <w:t xml:space="preserve">by </w:t>
            </w:r>
            <w:r w:rsidRPr="0032650F">
              <w:rPr>
                <w:lang w:eastAsia="en-US"/>
              </w:rPr>
              <w:t>using BitLocker prior to creating the job and transferring data. This protects your data while it is in transit. For an export job, the Import/Export service encrypt</w:t>
            </w:r>
            <w:r>
              <w:rPr>
                <w:lang w:eastAsia="en-US"/>
              </w:rPr>
              <w:t>s</w:t>
            </w:r>
            <w:r w:rsidRPr="0032650F">
              <w:rPr>
                <w:lang w:eastAsia="en-US"/>
              </w:rPr>
              <w:t xml:space="preserve"> your data before shipping the drive back to you.</w:t>
            </w:r>
            <w:r>
              <w:rPr>
                <w:lang w:eastAsia="en-US"/>
              </w:rPr>
              <w:t xml:space="preserve"> </w:t>
            </w:r>
            <w:r w:rsidRPr="0032650F">
              <w:rPr>
                <w:lang w:eastAsia="en-US"/>
              </w:rPr>
              <w:t xml:space="preserve">Additional details </w:t>
            </w:r>
            <w:r>
              <w:rPr>
                <w:lang w:eastAsia="en-US"/>
              </w:rPr>
              <w:t>about</w:t>
            </w:r>
            <w:r w:rsidRPr="0032650F">
              <w:rPr>
                <w:lang w:eastAsia="en-US"/>
              </w:rPr>
              <w:t xml:space="preserve"> the Import/Export service and its operation are provided in the </w:t>
            </w:r>
            <w:r>
              <w:rPr>
                <w:lang w:eastAsia="en-US"/>
              </w:rPr>
              <w:t>previous Feature R</w:t>
            </w:r>
            <w:r w:rsidRPr="0032650F">
              <w:rPr>
                <w:lang w:eastAsia="en-US"/>
              </w:rPr>
              <w:t>eference</w:t>
            </w:r>
            <w:r>
              <w:rPr>
                <w:lang w:eastAsia="en-US"/>
              </w:rPr>
              <w:t>s table</w:t>
            </w:r>
            <w:r w:rsidRPr="0032650F">
              <w:rPr>
                <w:lang w:eastAsia="en-US"/>
              </w:rPr>
              <w:t>.</w:t>
            </w:r>
          </w:p>
          <w:p w14:paraId="4FEBC87B" w14:textId="0F883628" w:rsidR="00A647A5" w:rsidRDefault="008177E2" w:rsidP="005729D2">
            <w:pPr>
              <w:pStyle w:val="ListParagraph"/>
              <w:numPr>
                <w:ilvl w:val="0"/>
                <w:numId w:val="164"/>
              </w:numPr>
              <w:rPr>
                <w:lang w:eastAsia="en-US"/>
              </w:rPr>
            </w:pPr>
            <w:r w:rsidRPr="0032650F">
              <w:rPr>
                <w:lang w:eastAsia="en-US"/>
              </w:rPr>
              <w:t xml:space="preserve">You must provide your shipping tracking number to the Azure Import/Export service; otherwise, your job cannot be processed. Additional details </w:t>
            </w:r>
            <w:r>
              <w:rPr>
                <w:lang w:eastAsia="en-US"/>
              </w:rPr>
              <w:t>about</w:t>
            </w:r>
            <w:r w:rsidRPr="0032650F">
              <w:rPr>
                <w:lang w:eastAsia="en-US"/>
              </w:rPr>
              <w:t xml:space="preserve"> the Import/Export service and its operation are provided in the </w:t>
            </w:r>
            <w:r>
              <w:rPr>
                <w:lang w:eastAsia="en-US"/>
              </w:rPr>
              <w:t>previous Feature R</w:t>
            </w:r>
            <w:r w:rsidRPr="0032650F">
              <w:rPr>
                <w:lang w:eastAsia="en-US"/>
              </w:rPr>
              <w:t xml:space="preserve">eference </w:t>
            </w:r>
            <w:r>
              <w:rPr>
                <w:lang w:eastAsia="en-US"/>
              </w:rPr>
              <w:t>table</w:t>
            </w:r>
            <w:r w:rsidR="0032650F" w:rsidRPr="0032650F">
              <w:rPr>
                <w:lang w:eastAsia="en-US"/>
              </w:rPr>
              <w:t>.</w:t>
            </w:r>
          </w:p>
        </w:tc>
      </w:tr>
      <w:tr w:rsidR="001810DE" w14:paraId="41EAD58C" w14:textId="77777777" w:rsidTr="00AD01F6">
        <w:trPr>
          <w:trHeight w:val="423"/>
        </w:trPr>
        <w:tc>
          <w:tcPr>
            <w:tcW w:w="666" w:type="dxa"/>
          </w:tcPr>
          <w:p w14:paraId="0B710592" w14:textId="77777777" w:rsidR="001810DE" w:rsidRDefault="001810DE" w:rsidP="00AD01F6">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401216" behindDoc="0" locked="0" layoutInCell="1" allowOverlap="1" wp14:anchorId="706F976A" wp14:editId="6F3C3DD1">
                      <wp:simplePos x="0" y="0"/>
                      <wp:positionH relativeFrom="column">
                        <wp:posOffset>66675</wp:posOffset>
                      </wp:positionH>
                      <wp:positionV relativeFrom="paragraph">
                        <wp:posOffset>90170</wp:posOffset>
                      </wp:positionV>
                      <wp:extent cx="209550" cy="180975"/>
                      <wp:effectExtent l="57150" t="19050" r="57150" b="104775"/>
                      <wp:wrapNone/>
                      <wp:docPr id="41094" name="Isosceles Triangle 410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2F6286AE" id="Isosceles Triangle 41094" o:spid="_x0000_s1026" type="#_x0000_t5" style="position:absolute;margin-left:5.25pt;margin-top:7.1pt;width:16.5pt;height:14.25pt;z-index:25140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RImiQIAAHcFAAAOAAAAZHJzL2Uyb0RvYy54bWysVNtOGzEQfa/Uf7D8XnY3TYCs2KAIlAop&#10;AgRUPDteO7Hq9bi2c+vXd+y9QCkSUtV9sDw7Z8ZzOTMXl4dGk51wXoGpaHGSUyIMh1qZdUW/Py2+&#10;nFPiAzM102BERY/C08vZ508Xe1uKEWxA18IRdGJ8ubcV3YRgyyzzfCMa5k/ACoNKCa5hAUW3zmrH&#10;9ui90dkoz0+zPbjaOuDCe/x73SrpLPmXUvBwJ6UXgeiKYmwhnS6dq3hmswtWrh2zG8W7MNg/RNEw&#10;ZfDRwdU1C4xsnfrLVaO4Aw8ynHBoMpBScZFywGyK/E02jxtmRcoFi+PtUCb//9zy2929I6qu6LjI&#10;p2NKDGuwTTcePBdaePLkFDNrLUirx3rtrS/R7NHeu5ixt0vgPzwqsj80UfAd5iBdE7GYLzmk4h+H&#10;4otDIBx/jvLpZIIt4qgqzvPp2SQ2J2Nlb2ydD98ENCReKhq6wFLZ2W7pQwvvYSk20KpeKK2T4Nar&#10;K+3IjiEXFvjlqf34gn+BpRzasFMC4ahFNNbmQUisEwZapBcTQ8Xgj3EuTDjtQk7oaCbx7cHw68eG&#10;HT6aisTewXj0sfFgkV4GEwbjRhlw7znQoehCli2+66Jv844lWEF9RIo4aGfHW75Q2IAl8+GeORwW&#10;7BkugHCHh9Swryh0N0o24H699z/ikcOopWSPw1dR/3PLnKBE3xhk97QYj+O0JmE8ORuh4F5rVq81&#10;ZttcAfa0wFVjebpGfND9VTponnFPzOOrqGKG49sV5cH1wlVolwJuGi7m8wTDCbUsLM2j5X3XI7me&#10;Ds/M2Z6FSN9b6AeVlW+I2GJjPwzMtwGkSix9qWtXb5zuxPVuE8X18VpOqJd9OfsNAAD//wMAUEsD&#10;BBQABgAIAAAAIQA1PEIw2QAAAAcBAAAPAAAAZHJzL2Rvd25yZXYueG1sTI7NTsMwEITvSLyDtUhc&#10;UOuQhrYKcSqEkiOqKDyAE29+hL2OYrcNb89ygtNoNKOZrzgszooLzmH0pOBxnYBAar0ZqVfw+VGv&#10;9iBC1GS09YQKvjHAoby9KXRu/JXe8XKKveARCrlWMMQ45VKGdkCnw9pPSJx1fnY6sp17aWZ95XFn&#10;ZZokW+n0SPww6AlfB2y/TmenwDfLsdvUu/1D7Sb71lVV5o6VUvd3y8sziIhL/CvDLz6jQ8lMjT+T&#10;CcKyT564yZqlIDjPNuwb1nQHsizkf/7yBwAA//8DAFBLAQItABQABgAIAAAAIQC2gziS/gAAAOEB&#10;AAATAAAAAAAAAAAAAAAAAAAAAABbQ29udGVudF9UeXBlc10ueG1sUEsBAi0AFAAGAAgAAAAhADj9&#10;If/WAAAAlAEAAAsAAAAAAAAAAAAAAAAALwEAAF9yZWxzLy5yZWxzUEsBAi0AFAAGAAgAAAAhAGyl&#10;EiaJAgAAdwUAAA4AAAAAAAAAAAAAAAAALgIAAGRycy9lMm9Eb2MueG1sUEsBAi0AFAAGAAgAAAAh&#10;ADU8QjDZAAAABwEAAA8AAAAAAAAAAAAAAAAA4wQAAGRycy9kb3ducmV2LnhtbFBLBQYAAAAABAAE&#10;APMAAADpBQAAAAA=&#10;" fillcolor="yellow" strokecolor="#70ad47 [3209]" strokeweight=".5pt">
                      <v:path arrowok="t"/>
                    </v:shape>
                  </w:pict>
                </mc:Fallback>
              </mc:AlternateContent>
            </w:r>
          </w:p>
        </w:tc>
        <w:tc>
          <w:tcPr>
            <w:tcW w:w="8604" w:type="dxa"/>
          </w:tcPr>
          <w:p w14:paraId="09EF71BB" w14:textId="3DF74086" w:rsidR="001810DE" w:rsidRDefault="001810DE" w:rsidP="0067169D">
            <w:pPr>
              <w:rPr>
                <w:lang w:eastAsia="en-US"/>
              </w:rPr>
            </w:pPr>
            <w:r>
              <w:rPr>
                <w:rFonts w:eastAsiaTheme="minorHAnsi"/>
                <w:b/>
                <w:lang w:eastAsia="en-US"/>
              </w:rPr>
              <w:t xml:space="preserve">Recommended: </w:t>
            </w:r>
            <w:r>
              <w:rPr>
                <w:rFonts w:eastAsiaTheme="minorHAnsi"/>
                <w:lang w:eastAsia="en-US"/>
              </w:rPr>
              <w:t xml:space="preserve"> </w:t>
            </w:r>
            <w:r w:rsidR="008177E2" w:rsidRPr="0067169D">
              <w:rPr>
                <w:rFonts w:eastAsiaTheme="minorHAnsi"/>
                <w:lang w:val="en-US" w:eastAsia="en-US"/>
              </w:rPr>
              <w:t xml:space="preserve">Azure </w:t>
            </w:r>
            <w:r w:rsidR="008177E2">
              <w:rPr>
                <w:rFonts w:eastAsiaTheme="minorHAnsi"/>
                <w:lang w:val="en-US" w:eastAsia="en-US"/>
              </w:rPr>
              <w:t>S</w:t>
            </w:r>
            <w:r w:rsidR="008177E2" w:rsidRPr="0067169D">
              <w:rPr>
                <w:rFonts w:eastAsiaTheme="minorHAnsi"/>
                <w:lang w:val="en-US" w:eastAsia="en-US"/>
              </w:rPr>
              <w:t>torage support</w:t>
            </w:r>
            <w:r w:rsidR="008177E2">
              <w:rPr>
                <w:rFonts w:eastAsiaTheme="minorHAnsi"/>
                <w:lang w:val="en-US" w:eastAsia="en-US"/>
              </w:rPr>
              <w:t>s</w:t>
            </w:r>
            <w:r w:rsidR="008177E2" w:rsidRPr="0067169D">
              <w:rPr>
                <w:rFonts w:eastAsiaTheme="minorHAnsi"/>
                <w:lang w:val="en-US" w:eastAsia="en-US"/>
              </w:rPr>
              <w:t xml:space="preserve"> HTTP and HTTPS; however, using HTTPS is highly recommended.</w:t>
            </w:r>
            <w:r w:rsidR="0067169D" w:rsidRPr="0067169D">
              <w:rPr>
                <w:rFonts w:eastAsiaTheme="minorHAnsi"/>
                <w:lang w:val="en-US" w:eastAsia="en-US"/>
              </w:rPr>
              <w:t>.</w:t>
            </w:r>
          </w:p>
        </w:tc>
      </w:tr>
      <w:tr w:rsidR="001810DE" w14:paraId="7B5E79F4" w14:textId="77777777" w:rsidTr="00AD01F6">
        <w:trPr>
          <w:trHeight w:val="423"/>
        </w:trPr>
        <w:tc>
          <w:tcPr>
            <w:tcW w:w="666" w:type="dxa"/>
          </w:tcPr>
          <w:p w14:paraId="048C683C" w14:textId="77777777" w:rsidR="001810DE" w:rsidRPr="003D4D9F" w:rsidRDefault="001810DE" w:rsidP="00AD01F6">
            <w:pPr>
              <w:spacing w:after="200"/>
              <w:jc w:val="center"/>
              <w:rPr>
                <w:rFonts w:asciiTheme="minorHAnsi" w:eastAsiaTheme="minorHAnsi" w:hAnsiTheme="minorHAnsi" w:cstheme="minorBidi"/>
                <w:b/>
                <w:sz w:val="20"/>
                <w:szCs w:val="18"/>
                <w:lang w:val="en-US" w:eastAsia="en-US"/>
              </w:rPr>
            </w:pPr>
            <w:r>
              <w:rPr>
                <w:rFonts w:eastAsia="Arial" w:cs="Segoe UI"/>
                <w:noProof/>
                <w:sz w:val="20"/>
                <w:szCs w:val="20"/>
              </w:rPr>
              <mc:AlternateContent>
                <mc:Choice Requires="wps">
                  <w:drawing>
                    <wp:anchor distT="0" distB="0" distL="114300" distR="114300" simplePos="0" relativeHeight="251406336" behindDoc="0" locked="0" layoutInCell="1" allowOverlap="1" wp14:anchorId="11DA7A67" wp14:editId="751C68EB">
                      <wp:simplePos x="0" y="0"/>
                      <wp:positionH relativeFrom="column">
                        <wp:posOffset>66675</wp:posOffset>
                      </wp:positionH>
                      <wp:positionV relativeFrom="paragraph">
                        <wp:posOffset>90170</wp:posOffset>
                      </wp:positionV>
                      <wp:extent cx="180975" cy="180975"/>
                      <wp:effectExtent l="57150" t="19050" r="9525" b="104775"/>
                      <wp:wrapNone/>
                      <wp:docPr id="41095" name="Oval 410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3A7D0059" id="Oval 41095" o:spid="_x0000_s1026" style="position:absolute;margin-left:5.25pt;margin-top:7.1pt;width:14.25pt;height:14.25pt;z-index:25140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NTsfgIAAGgFAAAOAAAAZHJzL2Uyb0RvYy54bWysVN9P2zAQfp+0/8Hy+0hSyoCIFHUgpkkV&#10;oMHEs+vYrTXb59lu0+6v39lJAxuTkKa9WD7fdz/93V1c7owmW+GDAtvQ6qikRFgOrbKrhn57vPlw&#10;RkmIzLZMgxUN3YtAL2fv3110rhYTWINuhSfoxIa6cw1dx+jqogh8LQwLR+CERaUEb1hE0a+K1rMO&#10;vRtdTMryY9GBb50HLkLA1+teSWfZv5SCxzspg4hENxRzi/n0+Vyms5hdsHrlmVsrPqTB/iELw5TF&#10;oKOraxYZ2Xj1ypVR3EMAGY84mAKkVFzkGrCaqvyjmoc1cyLXgs0JbmxT+H9u+e323hPVNnRalecn&#10;lFhm8JvutkyT/gU71LlQI/DB3ftUY3AL4N8DKorfNEkIA2YnvUlYrJDscrv3Y7vFLhKOj9VZeX6K&#10;ITmqhnvyyeqDsfMhfhZgSLo0VGitXEgNYTXbLkLs0QdUTg20am+U1lnwq+WV9gRrwdjlp/Ik/zcG&#10;CM+wXEKfdc4/7rVIxtp+FRIbk/LMETMlxeiPcS5sPE4EQocZncwkxh4Nj982HPDJVGS6jsaTt41H&#10;ixwZbByNjbLg/+ZAx2pIWfb44RNDX3dqwRLaPXLCQz8swfEbhf1fsBDvmcfpwDnCiY93eEgNXUNh&#10;uFGyBv/zb+8Jj6RFLSUdTltDw48N84IS/cUinc+r6TSNZxamJ6cTFPxLzfKlxm7MFeCfVrhbHM/X&#10;hI/6cJUezBMuhnmKiipmOcZuKI/+IFzFfgvgauFiPs8wHEnH4sI+OH749USux90T824gYUT23sJh&#10;Ml8Rscem/7Aw30SQKrP0ua9Dv3GcM3GG1ZP2xUs5o54X5OwXAAAA//8DAFBLAwQUAAYACAAAACEA&#10;whqfIt4AAAAHAQAADwAAAGRycy9kb3ducmV2LnhtbEyPQUvDQBCF74L/YRnBi9hNYqs2ZlNEEBS9&#10;mFbU2zQ7JsHsbMhu2/jvHU96Gh7v8eZ7xWpyvdrTGDrPBtJZAoq49rbjxsBmfX9+DSpEZIu9ZzLw&#10;TQFW5fFRgbn1B36hfRUbJSUccjTQxjjkWoe6JYdh5gdi8T796DCKHBttRzxIuet1liSX2mHH8qHF&#10;ge5aqr+qnTPwUW2e3Tp9cm+P6cOCzt77JdpXY05PptsbUJGm+BeGX3xBh1KYtn7HNqhedLKQpNx5&#10;Bkr8i6VM2xqYZ1egy0L/5y9/AAAA//8DAFBLAQItABQABgAIAAAAIQC2gziS/gAAAOEBAAATAAAA&#10;AAAAAAAAAAAAAAAAAABbQ29udGVudF9UeXBlc10ueG1sUEsBAi0AFAAGAAgAAAAhADj9If/WAAAA&#10;lAEAAAsAAAAAAAAAAAAAAAAALwEAAF9yZWxzLy5yZWxzUEsBAi0AFAAGAAgAAAAhAAXk1Ox+AgAA&#10;aAUAAA4AAAAAAAAAAAAAAAAALgIAAGRycy9lMm9Eb2MueG1sUEsBAi0AFAAGAAgAAAAhAMIanyLe&#10;AAAABwEAAA8AAAAAAAAAAAAAAAAA2AQAAGRycy9kb3ducmV2LnhtbFBLBQYAAAAABAAEAPMAAADj&#10;BQAAAAA=&#10;" fillcolor="#00b050" strokecolor="#a5a5a5 [3206]" strokeweight=".5pt">
                      <v:stroke joinstyle="miter"/>
                      <v:path arrowok="t"/>
                    </v:oval>
                  </w:pict>
                </mc:Fallback>
              </mc:AlternateContent>
            </w:r>
          </w:p>
        </w:tc>
        <w:tc>
          <w:tcPr>
            <w:tcW w:w="8604" w:type="dxa"/>
          </w:tcPr>
          <w:p w14:paraId="4BC658A0" w14:textId="77777777" w:rsidR="001810DE" w:rsidRDefault="001810DE" w:rsidP="00AD01F6">
            <w:r w:rsidRPr="003D4D9F">
              <w:rPr>
                <w:rFonts w:eastAsiaTheme="minorHAnsi"/>
                <w:b/>
                <w:lang w:val="en-US" w:eastAsia="en-US"/>
              </w:rPr>
              <w:t xml:space="preserve">Optional: </w:t>
            </w:r>
            <w:r w:rsidRPr="003D4D9F">
              <w:rPr>
                <w:rFonts w:eastAsiaTheme="minorHAnsi"/>
                <w:lang w:val="en-US" w:eastAsia="en-US"/>
              </w:rPr>
              <w:t xml:space="preserve"> </w:t>
            </w:r>
            <w:r w:rsidR="008177E2" w:rsidRPr="00C80FD9">
              <w:t xml:space="preserve">During shipping, physical media may need to cross international borders. You are responsible for ensuring that your physical media and data are imported and exported in accordance with the applicable laws. Before shipping the physical media, check with your advisors to verify that your media and data legally can be shipped to the identified </w:t>
            </w:r>
            <w:r w:rsidR="008177E2">
              <w:t>datacenter</w:t>
            </w:r>
            <w:r w:rsidR="008177E2" w:rsidRPr="00C80FD9">
              <w:t>. This help</w:t>
            </w:r>
            <w:r w:rsidR="008177E2">
              <w:t>s</w:t>
            </w:r>
            <w:r w:rsidR="008177E2" w:rsidRPr="00C80FD9">
              <w:t xml:space="preserve"> ensure that it reaches Microsoft in a timely manner</w:t>
            </w:r>
            <w:r w:rsidR="00A647A5" w:rsidRPr="00C80FD9">
              <w:t>.</w:t>
            </w:r>
          </w:p>
          <w:p w14:paraId="19876C9D" w14:textId="065025CA" w:rsidR="008177E2" w:rsidRPr="003D4D9F" w:rsidRDefault="008177E2" w:rsidP="00AD01F6">
            <w:pPr>
              <w:rPr>
                <w:lang w:val="en-US" w:eastAsia="en-US"/>
              </w:rPr>
            </w:pPr>
          </w:p>
        </w:tc>
      </w:tr>
    </w:tbl>
    <w:p w14:paraId="72798B4F" w14:textId="6D7ACB49" w:rsidR="001810DE" w:rsidRDefault="001810DE" w:rsidP="001810DE"/>
    <w:p w14:paraId="1AD5A8FB" w14:textId="77777777" w:rsidR="0032650F" w:rsidRDefault="0032650F">
      <w:pPr>
        <w:spacing w:before="0" w:after="160" w:line="259" w:lineRule="auto"/>
      </w:pPr>
      <w:r>
        <w:br w:type="page"/>
      </w:r>
    </w:p>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1810DE" w14:paraId="754B4D8F" w14:textId="77777777" w:rsidTr="00AD01F6">
        <w:tc>
          <w:tcPr>
            <w:tcW w:w="9360" w:type="dxa"/>
            <w:shd w:val="clear" w:color="auto" w:fill="008AC8"/>
          </w:tcPr>
          <w:p w14:paraId="3BE257B3" w14:textId="77777777" w:rsidR="001810DE" w:rsidRPr="00F47607" w:rsidRDefault="001810DE" w:rsidP="00AD01F6">
            <w:pPr>
              <w:spacing w:line="240" w:lineRule="auto"/>
              <w:rPr>
                <w:color w:val="FFFFFF"/>
              </w:rPr>
            </w:pPr>
            <w:r>
              <w:rPr>
                <w:color w:val="FFFFFF"/>
              </w:rPr>
              <w:t>Design Guidance</w:t>
            </w:r>
          </w:p>
        </w:tc>
      </w:tr>
    </w:tbl>
    <w:p w14:paraId="5A5FACF6" w14:textId="59A4FE38" w:rsidR="00696A2A" w:rsidRDefault="00696A2A" w:rsidP="00696A2A">
      <w:r>
        <w:t>When you design s</w:t>
      </w:r>
      <w:r w:rsidRPr="00EA2F0D">
        <w:t xml:space="preserve">torage </w:t>
      </w:r>
      <w:r>
        <w:t>management, consider the following:</w:t>
      </w:r>
    </w:p>
    <w:tbl>
      <w:tblPr>
        <w:tblStyle w:val="PlainTable11"/>
        <w:tblW w:w="9495" w:type="dxa"/>
        <w:tblLayout w:type="fixed"/>
        <w:tblLook w:val="0420" w:firstRow="1" w:lastRow="0" w:firstColumn="0" w:lastColumn="0" w:noHBand="0" w:noVBand="1"/>
      </w:tblPr>
      <w:tblGrid>
        <w:gridCol w:w="1935"/>
        <w:gridCol w:w="5170"/>
        <w:gridCol w:w="2390"/>
      </w:tblGrid>
      <w:tr w:rsidR="00696A2A" w:rsidRPr="003F0158" w14:paraId="683B1208" w14:textId="77777777" w:rsidTr="003F0158">
        <w:trPr>
          <w:cnfStyle w:val="100000000000" w:firstRow="1" w:lastRow="0" w:firstColumn="0" w:lastColumn="0" w:oddVBand="0" w:evenVBand="0" w:oddHBand="0" w:evenHBand="0" w:firstRowFirstColumn="0" w:firstRowLastColumn="0" w:lastRowFirstColumn="0" w:lastRowLastColumn="0"/>
        </w:trPr>
        <w:tc>
          <w:tcPr>
            <w:tcW w:w="1935" w:type="dxa"/>
            <w:shd w:val="clear" w:color="auto" w:fill="808080" w:themeFill="background1" w:themeFillShade="80"/>
            <w:hideMark/>
          </w:tcPr>
          <w:p w14:paraId="237B4F28" w14:textId="77777777" w:rsidR="00696A2A" w:rsidRPr="003F0158" w:rsidRDefault="00696A2A" w:rsidP="009B46DA">
            <w:pPr>
              <w:spacing w:line="240" w:lineRule="auto"/>
              <w:rPr>
                <w:rFonts w:eastAsia="Calibri"/>
                <w:color w:val="FFFFFF"/>
                <w:sz w:val="20"/>
                <w:lang w:eastAsia="en-AU"/>
              </w:rPr>
            </w:pPr>
            <w:r w:rsidRPr="003F0158">
              <w:rPr>
                <w:rFonts w:eastAsia="Calibri"/>
                <w:color w:val="FFFFFF"/>
                <w:sz w:val="20"/>
                <w:lang w:eastAsia="en-AU"/>
              </w:rPr>
              <w:t>Capability Considerations</w:t>
            </w:r>
          </w:p>
          <w:p w14:paraId="4C9879B0" w14:textId="77777777" w:rsidR="00696A2A" w:rsidRPr="003F0158" w:rsidRDefault="00696A2A" w:rsidP="009B46DA">
            <w:pPr>
              <w:spacing w:line="240" w:lineRule="auto"/>
              <w:rPr>
                <w:rFonts w:ascii="Times New Roman" w:hAnsi="Times New Roman"/>
                <w:color w:val="FFFFFF"/>
                <w:sz w:val="20"/>
                <w:lang w:val="en-AU" w:eastAsia="en-AU"/>
              </w:rPr>
            </w:pPr>
          </w:p>
        </w:tc>
        <w:tc>
          <w:tcPr>
            <w:tcW w:w="5170" w:type="dxa"/>
            <w:shd w:val="clear" w:color="auto" w:fill="808080" w:themeFill="background1" w:themeFillShade="80"/>
            <w:hideMark/>
          </w:tcPr>
          <w:p w14:paraId="10812BB5" w14:textId="77777777" w:rsidR="00696A2A" w:rsidRPr="003F0158" w:rsidRDefault="00696A2A" w:rsidP="009B46DA">
            <w:pPr>
              <w:spacing w:line="240" w:lineRule="auto"/>
              <w:rPr>
                <w:rFonts w:eastAsia="Calibri"/>
                <w:color w:val="FFFFFF"/>
                <w:sz w:val="20"/>
                <w:lang w:eastAsia="en-AU"/>
              </w:rPr>
            </w:pPr>
            <w:r w:rsidRPr="003F0158">
              <w:rPr>
                <w:rFonts w:eastAsia="Calibri"/>
                <w:color w:val="FFFFFF"/>
                <w:sz w:val="20"/>
                <w:lang w:eastAsia="en-AU"/>
              </w:rPr>
              <w:t>Capability Decision Points</w:t>
            </w:r>
          </w:p>
          <w:p w14:paraId="46767F44" w14:textId="77777777" w:rsidR="00696A2A" w:rsidRPr="003F0158" w:rsidRDefault="00696A2A" w:rsidP="009B46DA">
            <w:pPr>
              <w:spacing w:line="240" w:lineRule="auto"/>
              <w:rPr>
                <w:rFonts w:eastAsia="Calibri"/>
                <w:color w:val="FFFFFF"/>
                <w:sz w:val="20"/>
                <w:lang w:val="en-AU" w:eastAsia="en-AU"/>
              </w:rPr>
            </w:pPr>
          </w:p>
        </w:tc>
        <w:tc>
          <w:tcPr>
            <w:tcW w:w="2390" w:type="dxa"/>
            <w:shd w:val="clear" w:color="auto" w:fill="808080" w:themeFill="background1" w:themeFillShade="80"/>
            <w:hideMark/>
          </w:tcPr>
          <w:p w14:paraId="4AFD3C9A" w14:textId="31780792" w:rsidR="00696A2A" w:rsidRPr="003F0158" w:rsidRDefault="00696A2A" w:rsidP="009B46DA">
            <w:pPr>
              <w:spacing w:line="240" w:lineRule="auto"/>
              <w:rPr>
                <w:rFonts w:eastAsia="Calibri"/>
                <w:color w:val="FFFFFF"/>
                <w:sz w:val="20"/>
                <w:lang w:eastAsia="en-AU"/>
              </w:rPr>
            </w:pPr>
            <w:r w:rsidRPr="003F0158">
              <w:rPr>
                <w:rFonts w:eastAsia="Calibri"/>
                <w:color w:val="FFFFFF"/>
                <w:sz w:val="20"/>
                <w:lang w:eastAsia="en-AU"/>
              </w:rPr>
              <w:t xml:space="preserve">Capability Models in </w:t>
            </w:r>
            <w:r w:rsidR="008177E2">
              <w:rPr>
                <w:rFonts w:eastAsia="Calibri"/>
                <w:color w:val="FFFFFF"/>
                <w:sz w:val="20"/>
                <w:lang w:eastAsia="en-AU"/>
              </w:rPr>
              <w:t>Use</w:t>
            </w:r>
          </w:p>
          <w:p w14:paraId="700AC52C" w14:textId="77777777" w:rsidR="00696A2A" w:rsidRPr="003F0158" w:rsidRDefault="00696A2A" w:rsidP="009B46DA">
            <w:pPr>
              <w:spacing w:line="240" w:lineRule="auto"/>
              <w:rPr>
                <w:rFonts w:eastAsia="Calibri"/>
                <w:color w:val="FFFFFF"/>
                <w:sz w:val="20"/>
                <w:lang w:val="en-AU" w:eastAsia="en-AU"/>
              </w:rPr>
            </w:pPr>
          </w:p>
        </w:tc>
      </w:tr>
      <w:tr w:rsidR="008D5118" w14:paraId="4AA7EA45" w14:textId="77777777" w:rsidTr="003F0158">
        <w:trPr>
          <w:cnfStyle w:val="000000100000" w:firstRow="0" w:lastRow="0" w:firstColumn="0" w:lastColumn="0" w:oddVBand="0" w:evenVBand="0" w:oddHBand="1" w:evenHBand="0" w:firstRowFirstColumn="0" w:firstRowLastColumn="0" w:lastRowFirstColumn="0" w:lastRowLastColumn="0"/>
        </w:trPr>
        <w:tc>
          <w:tcPr>
            <w:tcW w:w="1935" w:type="dxa"/>
          </w:tcPr>
          <w:p w14:paraId="3D2FB039" w14:textId="17F1D8AA" w:rsidR="008D5118" w:rsidRPr="007D32D2" w:rsidRDefault="008D5118" w:rsidP="008D5118">
            <w:pPr>
              <w:rPr>
                <w:lang w:val="en-AU" w:eastAsia="en-AU"/>
              </w:rPr>
            </w:pPr>
            <w:r w:rsidRPr="00C215F6">
              <w:rPr>
                <w:sz w:val="20"/>
                <w:lang w:val="en-AU" w:eastAsia="en-AU"/>
              </w:rPr>
              <w:t xml:space="preserve">There is a need to determine whether it is appropriate to store the data in Azure </w:t>
            </w:r>
            <w:r>
              <w:rPr>
                <w:sz w:val="20"/>
                <w:lang w:val="en-AU" w:eastAsia="en-AU"/>
              </w:rPr>
              <w:t>S</w:t>
            </w:r>
            <w:r w:rsidRPr="00C215F6">
              <w:rPr>
                <w:sz w:val="20"/>
                <w:lang w:val="en-AU" w:eastAsia="en-AU"/>
              </w:rPr>
              <w:t>torage.</w:t>
            </w:r>
          </w:p>
        </w:tc>
        <w:tc>
          <w:tcPr>
            <w:tcW w:w="5170" w:type="dxa"/>
          </w:tcPr>
          <w:p w14:paraId="250254B4" w14:textId="77777777" w:rsidR="008D5118" w:rsidRPr="00C215F6" w:rsidRDefault="008D5118" w:rsidP="008D5118">
            <w:pPr>
              <w:rPr>
                <w:sz w:val="20"/>
                <w:szCs w:val="20"/>
              </w:rPr>
            </w:pPr>
            <w:r w:rsidRPr="00C215F6">
              <w:rPr>
                <w:sz w:val="20"/>
                <w:szCs w:val="20"/>
              </w:rPr>
              <w:t xml:space="preserve">When moving data into Azure </w:t>
            </w:r>
            <w:r>
              <w:rPr>
                <w:sz w:val="20"/>
                <w:szCs w:val="20"/>
              </w:rPr>
              <w:t>S</w:t>
            </w:r>
            <w:r w:rsidRPr="00C215F6">
              <w:rPr>
                <w:sz w:val="20"/>
                <w:szCs w:val="20"/>
              </w:rPr>
              <w:t xml:space="preserve">torage (aside from IaaS VHD files), it is important to examine and determine the </w:t>
            </w:r>
            <w:r w:rsidRPr="005B0763">
              <w:rPr>
                <w:sz w:val="20"/>
                <w:szCs w:val="20"/>
              </w:rPr>
              <w:t>suitability</w:t>
            </w:r>
            <w:r w:rsidRPr="00C215F6">
              <w:rPr>
                <w:sz w:val="20"/>
                <w:szCs w:val="20"/>
              </w:rPr>
              <w:t xml:space="preserve"> of placing that data into Azure.</w:t>
            </w:r>
            <w:r>
              <w:rPr>
                <w:sz w:val="20"/>
                <w:szCs w:val="20"/>
              </w:rPr>
              <w:t xml:space="preserve"> </w:t>
            </w:r>
            <w:r w:rsidRPr="00C215F6">
              <w:rPr>
                <w:sz w:val="20"/>
                <w:szCs w:val="20"/>
              </w:rPr>
              <w:t xml:space="preserve">There are three primary factors to examine to determine if data should move to Azure </w:t>
            </w:r>
            <w:r>
              <w:rPr>
                <w:sz w:val="20"/>
                <w:szCs w:val="20"/>
              </w:rPr>
              <w:t>S</w:t>
            </w:r>
            <w:r w:rsidRPr="00C215F6">
              <w:rPr>
                <w:sz w:val="20"/>
                <w:szCs w:val="20"/>
              </w:rPr>
              <w:t>torage:</w:t>
            </w:r>
          </w:p>
          <w:p w14:paraId="65783908" w14:textId="77777777" w:rsidR="008D5118" w:rsidRPr="00C215F6" w:rsidRDefault="008D5118" w:rsidP="005729D2">
            <w:pPr>
              <w:numPr>
                <w:ilvl w:val="0"/>
                <w:numId w:val="26"/>
              </w:numPr>
              <w:rPr>
                <w:sz w:val="20"/>
                <w:szCs w:val="20"/>
              </w:rPr>
            </w:pPr>
            <w:r w:rsidRPr="00C215F6">
              <w:rPr>
                <w:sz w:val="20"/>
                <w:szCs w:val="20"/>
              </w:rPr>
              <w:t xml:space="preserve">Access </w:t>
            </w:r>
            <w:r>
              <w:rPr>
                <w:sz w:val="20"/>
                <w:szCs w:val="20"/>
              </w:rPr>
              <w:t>f</w:t>
            </w:r>
            <w:r w:rsidRPr="00C215F6">
              <w:rPr>
                <w:sz w:val="20"/>
                <w:szCs w:val="20"/>
              </w:rPr>
              <w:t xml:space="preserve">requency – </w:t>
            </w:r>
            <w:r>
              <w:rPr>
                <w:sz w:val="20"/>
                <w:szCs w:val="20"/>
              </w:rPr>
              <w:t>H</w:t>
            </w:r>
            <w:r w:rsidRPr="00C215F6">
              <w:rPr>
                <w:sz w:val="20"/>
                <w:szCs w:val="20"/>
              </w:rPr>
              <w:t>ow often</w:t>
            </w:r>
            <w:r>
              <w:rPr>
                <w:sz w:val="20"/>
                <w:szCs w:val="20"/>
              </w:rPr>
              <w:t xml:space="preserve"> is</w:t>
            </w:r>
            <w:r w:rsidRPr="00C215F6">
              <w:rPr>
                <w:sz w:val="20"/>
                <w:szCs w:val="20"/>
              </w:rPr>
              <w:t xml:space="preserve"> the data is accessed</w:t>
            </w:r>
            <w:r>
              <w:rPr>
                <w:sz w:val="20"/>
                <w:szCs w:val="20"/>
              </w:rPr>
              <w:t xml:space="preserve">? </w:t>
            </w:r>
            <w:r w:rsidRPr="00C215F6">
              <w:rPr>
                <w:sz w:val="20"/>
                <w:szCs w:val="20"/>
              </w:rPr>
              <w:t>Data that is accessed on a frequent or regular basis may not be a good candidate to store in the cloud.</w:t>
            </w:r>
            <w:r>
              <w:rPr>
                <w:sz w:val="20"/>
                <w:szCs w:val="20"/>
              </w:rPr>
              <w:t xml:space="preserve"> </w:t>
            </w:r>
            <w:r w:rsidRPr="00C215F6">
              <w:rPr>
                <w:sz w:val="20"/>
                <w:szCs w:val="20"/>
              </w:rPr>
              <w:t>Data that is accessed less frequently, such as archive data, is better suited for the cloud.</w:t>
            </w:r>
          </w:p>
          <w:p w14:paraId="5030D839" w14:textId="77777777" w:rsidR="008D5118" w:rsidRPr="00C215F6" w:rsidRDefault="008D5118" w:rsidP="005729D2">
            <w:pPr>
              <w:numPr>
                <w:ilvl w:val="0"/>
                <w:numId w:val="26"/>
              </w:numPr>
              <w:rPr>
                <w:sz w:val="20"/>
                <w:szCs w:val="20"/>
              </w:rPr>
            </w:pPr>
            <w:r w:rsidRPr="00C215F6">
              <w:rPr>
                <w:sz w:val="20"/>
                <w:szCs w:val="20"/>
              </w:rPr>
              <w:t xml:space="preserve">Active data vs. </w:t>
            </w:r>
            <w:r>
              <w:rPr>
                <w:sz w:val="20"/>
                <w:szCs w:val="20"/>
              </w:rPr>
              <w:t>p</w:t>
            </w:r>
            <w:r w:rsidRPr="00C215F6">
              <w:rPr>
                <w:sz w:val="20"/>
                <w:szCs w:val="20"/>
              </w:rPr>
              <w:t xml:space="preserve">assive data – </w:t>
            </w:r>
            <w:r>
              <w:rPr>
                <w:sz w:val="20"/>
                <w:szCs w:val="20"/>
              </w:rPr>
              <w:t>H</w:t>
            </w:r>
            <w:r w:rsidRPr="00C215F6">
              <w:rPr>
                <w:sz w:val="20"/>
                <w:szCs w:val="20"/>
              </w:rPr>
              <w:t>ow much data latency is tolerable</w:t>
            </w:r>
            <w:r>
              <w:rPr>
                <w:sz w:val="20"/>
                <w:szCs w:val="20"/>
              </w:rPr>
              <w:t xml:space="preserve">? </w:t>
            </w:r>
            <w:r w:rsidRPr="00C215F6">
              <w:rPr>
                <w:sz w:val="20"/>
                <w:szCs w:val="20"/>
              </w:rPr>
              <w:t>When data that is stored in the cloud needs to be accessed, additional latency should be expected when reading or writing that data.</w:t>
            </w:r>
            <w:r>
              <w:rPr>
                <w:sz w:val="20"/>
                <w:szCs w:val="20"/>
              </w:rPr>
              <w:t xml:space="preserve"> </w:t>
            </w:r>
            <w:r w:rsidRPr="00C215F6">
              <w:rPr>
                <w:sz w:val="20"/>
                <w:szCs w:val="20"/>
              </w:rPr>
              <w:t>Applications or services that cannot handle latency should not store its data in the cloud.</w:t>
            </w:r>
            <w:r>
              <w:rPr>
                <w:sz w:val="20"/>
                <w:szCs w:val="20"/>
              </w:rPr>
              <w:t xml:space="preserve"> </w:t>
            </w:r>
            <w:r w:rsidRPr="00C215F6">
              <w:rPr>
                <w:sz w:val="20"/>
                <w:szCs w:val="20"/>
              </w:rPr>
              <w:t xml:space="preserve">For example, do not install a SQL Server on-premises </w:t>
            </w:r>
            <w:r>
              <w:rPr>
                <w:sz w:val="20"/>
                <w:szCs w:val="20"/>
              </w:rPr>
              <w:t>and</w:t>
            </w:r>
            <w:r w:rsidRPr="00C215F6">
              <w:rPr>
                <w:sz w:val="20"/>
                <w:szCs w:val="20"/>
              </w:rPr>
              <w:t xml:space="preserve"> store its databases in cloud storage.</w:t>
            </w:r>
          </w:p>
          <w:p w14:paraId="69884316" w14:textId="7CE3E742" w:rsidR="008D5118" w:rsidRPr="007D32D2" w:rsidRDefault="008D5118" w:rsidP="005729D2">
            <w:pPr>
              <w:numPr>
                <w:ilvl w:val="0"/>
                <w:numId w:val="26"/>
              </w:numPr>
              <w:rPr>
                <w:sz w:val="20"/>
                <w:szCs w:val="20"/>
              </w:rPr>
            </w:pPr>
            <w:r w:rsidRPr="00C215F6">
              <w:rPr>
                <w:sz w:val="20"/>
                <w:szCs w:val="20"/>
              </w:rPr>
              <w:t>Privacy requirements –</w:t>
            </w:r>
            <w:r>
              <w:rPr>
                <w:sz w:val="20"/>
                <w:szCs w:val="20"/>
              </w:rPr>
              <w:t>W</w:t>
            </w:r>
            <w:r w:rsidRPr="00C215F6">
              <w:rPr>
                <w:sz w:val="20"/>
                <w:szCs w:val="20"/>
              </w:rPr>
              <w:t xml:space="preserve">hat kind of data is </w:t>
            </w:r>
            <w:r>
              <w:rPr>
                <w:sz w:val="20"/>
                <w:szCs w:val="20"/>
              </w:rPr>
              <w:t xml:space="preserve">permitted in cloud services for your organization? </w:t>
            </w:r>
            <w:r w:rsidRPr="00C215F6">
              <w:rPr>
                <w:sz w:val="20"/>
                <w:szCs w:val="20"/>
              </w:rPr>
              <w:t>Based on what country, industry</w:t>
            </w:r>
            <w:r>
              <w:rPr>
                <w:sz w:val="20"/>
                <w:szCs w:val="20"/>
              </w:rPr>
              <w:t>,</w:t>
            </w:r>
            <w:r w:rsidRPr="00C215F6">
              <w:rPr>
                <w:sz w:val="20"/>
                <w:szCs w:val="20"/>
              </w:rPr>
              <w:t xml:space="preserve"> and customer you are working with, there may be unique data privacy rules that you must take into consideration.</w:t>
            </w:r>
            <w:r>
              <w:rPr>
                <w:sz w:val="20"/>
                <w:szCs w:val="20"/>
              </w:rPr>
              <w:t xml:space="preserve"> </w:t>
            </w:r>
            <w:r w:rsidRPr="00C215F6">
              <w:rPr>
                <w:sz w:val="20"/>
                <w:szCs w:val="20"/>
              </w:rPr>
              <w:t>These data privacy rules may govern what type of data is allowed to be stored in the cloud.</w:t>
            </w:r>
            <w:r>
              <w:rPr>
                <w:sz w:val="20"/>
                <w:szCs w:val="20"/>
              </w:rPr>
              <w:t xml:space="preserve"> </w:t>
            </w:r>
            <w:r w:rsidRPr="00C215F6">
              <w:rPr>
                <w:sz w:val="20"/>
                <w:szCs w:val="20"/>
              </w:rPr>
              <w:t xml:space="preserve">For a good reference, see </w:t>
            </w:r>
            <w:hyperlink r:id="rId187" w:history="1">
              <w:r>
                <w:rPr>
                  <w:rStyle w:val="Hyperlink"/>
                  <w:sz w:val="20"/>
                  <w:szCs w:val="20"/>
                </w:rPr>
                <w:t>International Privacy Laws</w:t>
              </w:r>
            </w:hyperlink>
            <w:r>
              <w:rPr>
                <w:rStyle w:val="Hyperlink"/>
                <w:sz w:val="20"/>
                <w:szCs w:val="20"/>
              </w:rPr>
              <w:t>.</w:t>
            </w:r>
          </w:p>
        </w:tc>
        <w:tc>
          <w:tcPr>
            <w:tcW w:w="2390" w:type="dxa"/>
          </w:tcPr>
          <w:p w14:paraId="0059393D" w14:textId="77777777" w:rsidR="008D5118" w:rsidRDefault="008D5118" w:rsidP="008D5118">
            <w:pPr>
              <w:rPr>
                <w:sz w:val="20"/>
              </w:rPr>
            </w:pPr>
            <w:r>
              <w:rPr>
                <w:sz w:val="20"/>
              </w:rPr>
              <w:t>Suitability</w:t>
            </w:r>
            <w:r w:rsidRPr="00C215F6">
              <w:rPr>
                <w:sz w:val="20"/>
              </w:rPr>
              <w:t xml:space="preserve"> is something that is unique to every customer.</w:t>
            </w:r>
            <w:r>
              <w:rPr>
                <w:sz w:val="20"/>
              </w:rPr>
              <w:t xml:space="preserve"> </w:t>
            </w:r>
            <w:r w:rsidRPr="00C215F6">
              <w:rPr>
                <w:sz w:val="20"/>
              </w:rPr>
              <w:t>It is important to first understand the data privacy laws that may apply to the customer’s country, industry</w:t>
            </w:r>
            <w:r>
              <w:rPr>
                <w:sz w:val="20"/>
              </w:rPr>
              <w:t>,</w:t>
            </w:r>
            <w:r w:rsidRPr="00C215F6">
              <w:rPr>
                <w:sz w:val="20"/>
              </w:rPr>
              <w:t xml:space="preserve"> and any regulatory bodies</w:t>
            </w:r>
            <w:r>
              <w:rPr>
                <w:sz w:val="20"/>
              </w:rPr>
              <w:t xml:space="preserve"> that may govern it. </w:t>
            </w:r>
          </w:p>
          <w:p w14:paraId="79F59733" w14:textId="77777777" w:rsidR="008D5118" w:rsidRDefault="008D5118" w:rsidP="008D5118">
            <w:pPr>
              <w:rPr>
                <w:sz w:val="20"/>
              </w:rPr>
            </w:pPr>
            <w:r>
              <w:rPr>
                <w:sz w:val="20"/>
              </w:rPr>
              <w:t xml:space="preserve">From there, begin to understand the sensitivity of the data that may be stored. Then look at the technical aspects of access frequency and active vs. passive data. </w:t>
            </w:r>
          </w:p>
          <w:p w14:paraId="2B828EAA" w14:textId="5DB668A7" w:rsidR="008D5118" w:rsidRPr="007D32D2" w:rsidRDefault="008D5118" w:rsidP="008D5118">
            <w:r>
              <w:rPr>
                <w:sz w:val="20"/>
              </w:rPr>
              <w:t>It doesn’t make sense to look at the technical aspects of the data before looking at the legal aspects of storing the data in public cloud storage.</w:t>
            </w:r>
          </w:p>
        </w:tc>
      </w:tr>
    </w:tbl>
    <w:p w14:paraId="26D34318" w14:textId="77777777" w:rsidR="00696A2A" w:rsidRDefault="00696A2A" w:rsidP="00696A2A"/>
    <w:p w14:paraId="5654E7BF" w14:textId="5789E16D" w:rsidR="004F05AD" w:rsidRDefault="004F05AD" w:rsidP="005729D2">
      <w:pPr>
        <w:pStyle w:val="Heading2Numbered"/>
        <w:numPr>
          <w:ilvl w:val="1"/>
          <w:numId w:val="64"/>
        </w:numPr>
      </w:pPr>
      <w:bookmarkStart w:id="2633" w:name="_Toc414960125"/>
      <w:bookmarkStart w:id="2634" w:name="_Toc414969096"/>
      <w:bookmarkStart w:id="2635" w:name="_Toc415011318"/>
      <w:bookmarkStart w:id="2636" w:name="_Toc415040008"/>
      <w:bookmarkStart w:id="2637" w:name="_Toc415572363"/>
      <w:bookmarkStart w:id="2638" w:name="_Toc415735533"/>
      <w:bookmarkStart w:id="2639" w:name="_Toc415814114"/>
      <w:bookmarkStart w:id="2640" w:name="_Toc416343849"/>
      <w:bookmarkStart w:id="2641" w:name="_Toc416863120"/>
      <w:bookmarkStart w:id="2642" w:name="_Toc417314726"/>
      <w:bookmarkStart w:id="2643" w:name="_Toc417323743"/>
      <w:bookmarkStart w:id="2644" w:name="_Toc417326832"/>
      <w:bookmarkStart w:id="2645" w:name="_Toc417330380"/>
      <w:bookmarkStart w:id="2646" w:name="_Toc417394986"/>
      <w:bookmarkStart w:id="2647" w:name="_Toc417399203"/>
      <w:bookmarkStart w:id="2648" w:name="_Toc417399362"/>
      <w:bookmarkStart w:id="2649" w:name="_Toc417400409"/>
      <w:bookmarkStart w:id="2650" w:name="_Toc417401257"/>
      <w:bookmarkStart w:id="2651" w:name="_Toc417419570"/>
      <w:bookmarkStart w:id="2652" w:name="_Toc417457342"/>
      <w:bookmarkStart w:id="2653" w:name="_Toc417481920"/>
      <w:bookmarkStart w:id="2654" w:name="_Toc417482178"/>
      <w:bookmarkStart w:id="2655" w:name="_Toc417499897"/>
      <w:bookmarkStart w:id="2656" w:name="_Toc417502719"/>
      <w:bookmarkStart w:id="2657" w:name="_Toc417548278"/>
      <w:bookmarkStart w:id="2658" w:name="_Toc417594510"/>
      <w:bookmarkStart w:id="2659" w:name="_Toc417934607"/>
      <w:bookmarkStart w:id="2660" w:name="_Toc417935946"/>
      <w:bookmarkStart w:id="2661" w:name="_Toc417936408"/>
      <w:bookmarkStart w:id="2662" w:name="_Toc417946863"/>
      <w:bookmarkStart w:id="2663" w:name="_Toc417947277"/>
      <w:bookmarkStart w:id="2664" w:name="_Toc417982473"/>
      <w:bookmarkStart w:id="2665" w:name="_Toc417985898"/>
      <w:bookmarkStart w:id="2666" w:name="_Toc418000619"/>
      <w:bookmarkStart w:id="2667" w:name="_Toc418003762"/>
      <w:bookmarkStart w:id="2668" w:name="_Toc418011967"/>
      <w:bookmarkStart w:id="2669" w:name="_Toc418014615"/>
      <w:bookmarkStart w:id="2670" w:name="_Toc418029951"/>
      <w:bookmarkStart w:id="2671" w:name="_Toc418036887"/>
      <w:bookmarkStart w:id="2672" w:name="_Toc418061352"/>
      <w:bookmarkStart w:id="2673" w:name="_Toc418080701"/>
      <w:bookmarkStart w:id="2674" w:name="_Toc418081874"/>
      <w:bookmarkStart w:id="2675" w:name="_Toc418083276"/>
      <w:bookmarkStart w:id="2676" w:name="_Toc418095496"/>
      <w:bookmarkStart w:id="2677" w:name="_Toc418156667"/>
      <w:bookmarkStart w:id="2678" w:name="_Toc418167586"/>
      <w:bookmarkStart w:id="2679" w:name="_Toc418185843"/>
      <w:bookmarkStart w:id="2680" w:name="_Toc422941553"/>
      <w:bookmarkStart w:id="2681" w:name="_Toc423116759"/>
      <w:bookmarkStart w:id="2682" w:name="_Toc423117792"/>
      <w:bookmarkStart w:id="2683" w:name="_Toc423117242"/>
      <w:bookmarkStart w:id="2684" w:name="_Toc431288834"/>
      <w:r w:rsidRPr="00AB65B4">
        <w:t>Storage Monitoring</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4D48B3FB" w14:textId="5081E1DB" w:rsidR="00256063" w:rsidRPr="004B4599" w:rsidRDefault="00256063" w:rsidP="005729D2">
      <w:pPr>
        <w:pStyle w:val="Heading3Numbered"/>
        <w:numPr>
          <w:ilvl w:val="2"/>
          <w:numId w:val="64"/>
        </w:numPr>
      </w:pPr>
      <w:bookmarkStart w:id="2685" w:name="_Toc417548279"/>
      <w:bookmarkStart w:id="2686" w:name="_Toc417594511"/>
      <w:bookmarkStart w:id="2687" w:name="_Toc417934608"/>
      <w:bookmarkStart w:id="2688" w:name="_Toc417935947"/>
      <w:bookmarkStart w:id="2689" w:name="_Toc417936409"/>
      <w:bookmarkStart w:id="2690" w:name="_Toc417946864"/>
      <w:bookmarkStart w:id="2691" w:name="_Toc417947278"/>
      <w:bookmarkStart w:id="2692" w:name="_Toc417982474"/>
      <w:bookmarkStart w:id="2693" w:name="_Toc417985899"/>
      <w:bookmarkStart w:id="2694" w:name="_Toc418000620"/>
      <w:bookmarkStart w:id="2695" w:name="_Toc418003763"/>
      <w:bookmarkStart w:id="2696" w:name="_Toc418011968"/>
      <w:bookmarkStart w:id="2697" w:name="_Toc418014616"/>
      <w:bookmarkStart w:id="2698" w:name="_Toc418029952"/>
      <w:bookmarkStart w:id="2699" w:name="_Toc418036888"/>
      <w:bookmarkStart w:id="2700" w:name="_Toc418061353"/>
      <w:bookmarkStart w:id="2701" w:name="_Toc418080702"/>
      <w:bookmarkStart w:id="2702" w:name="_Toc418081875"/>
      <w:bookmarkStart w:id="2703" w:name="_Toc418083277"/>
      <w:bookmarkStart w:id="2704" w:name="_Toc418095497"/>
      <w:bookmarkStart w:id="2705" w:name="_Toc418156668"/>
      <w:bookmarkStart w:id="2706" w:name="_Toc418167587"/>
      <w:bookmarkStart w:id="2707" w:name="_Toc418185844"/>
      <w:bookmarkStart w:id="2708" w:name="_Toc422941554"/>
      <w:bookmarkStart w:id="2709" w:name="_Toc423116760"/>
      <w:bookmarkStart w:id="2710" w:name="_Toc423117793"/>
      <w:bookmarkStart w:id="2711" w:name="_Toc423117243"/>
      <w:bookmarkStart w:id="2712" w:name="_Toc431288835"/>
      <w:r w:rsidRPr="004B4599">
        <w:t>Monitor</w:t>
      </w:r>
      <w:r w:rsidR="009841E7">
        <w:t>ing</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4B935A73" w14:textId="236028D1" w:rsidR="008D5118" w:rsidRDefault="00723446" w:rsidP="008D5118">
      <w:r>
        <w:t>Monitoring</w:t>
      </w:r>
      <w:r w:rsidR="008D5118">
        <w:t xml:space="preserve"> your Azure Storage environment is as important as monitoring your on-premises storage environment. Within your storage service, the following areas need to be monitored: service health, availability, performance, and capacity.</w:t>
      </w:r>
    </w:p>
    <w:p w14:paraId="6F01C5F7" w14:textId="77777777" w:rsidR="008D5118" w:rsidRDefault="008D5118" w:rsidP="008D5118">
      <w:r w:rsidRPr="009841E7">
        <w:rPr>
          <w:b/>
        </w:rPr>
        <w:t>Monitoring Service Health</w:t>
      </w:r>
      <w:r>
        <w:t xml:space="preserve"> </w:t>
      </w:r>
    </w:p>
    <w:p w14:paraId="6B1551D3" w14:textId="32148CEB" w:rsidR="00422BBB" w:rsidRDefault="008D5118" w:rsidP="008D5118">
      <w:r>
        <w:t>You can use the Azure portal to view the health of the storage service and other Azure services in all Azure regions. This is where you can see if there are any issues outside of your control that maybe affecting your storage service</w:t>
      </w:r>
      <w:r w:rsidR="00422BBB">
        <w:t>.</w:t>
      </w:r>
    </w:p>
    <w:p w14:paraId="6491F62C" w14:textId="2D4B526A" w:rsidR="00422BBB" w:rsidRDefault="00422BBB" w:rsidP="009841E7">
      <w:pPr>
        <w:jc w:val="center"/>
      </w:pPr>
      <w:r>
        <w:rPr>
          <w:noProof/>
        </w:rPr>
        <w:drawing>
          <wp:inline distT="0" distB="0" distL="0" distR="0" wp14:anchorId="3DA58706" wp14:editId="5DF1F216">
            <wp:extent cx="3991897" cy="5569846"/>
            <wp:effectExtent l="0" t="0" r="8890" b="0"/>
            <wp:docPr id="41044" name="Picture 4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44" name="0946511.tmp"/>
                    <pic:cNvPicPr/>
                  </pic:nvPicPr>
                  <pic:blipFill rotWithShape="1">
                    <a:blip r:embed="rId188">
                      <a:extLst>
                        <a:ext uri="{28A0092B-C50C-407E-A947-70E740481C1C}">
                          <a14:useLocalDpi xmlns:a14="http://schemas.microsoft.com/office/drawing/2010/main" val="0"/>
                        </a:ext>
                      </a:extLst>
                    </a:blip>
                    <a:srcRect l="18136" r="17118" b="16710"/>
                    <a:stretch/>
                  </pic:blipFill>
                  <pic:spPr bwMode="auto">
                    <a:xfrm>
                      <a:off x="0" y="0"/>
                      <a:ext cx="4023795" cy="5614353"/>
                    </a:xfrm>
                    <a:prstGeom prst="rect">
                      <a:avLst/>
                    </a:prstGeom>
                    <a:ln>
                      <a:noFill/>
                    </a:ln>
                    <a:extLst>
                      <a:ext uri="{53640926-AAD7-44D8-BBD7-CCE9431645EC}">
                        <a14:shadowObscured xmlns:a14="http://schemas.microsoft.com/office/drawing/2010/main"/>
                      </a:ext>
                    </a:extLst>
                  </pic:spPr>
                </pic:pic>
              </a:graphicData>
            </a:graphic>
          </wp:inline>
        </w:drawing>
      </w:r>
    </w:p>
    <w:p w14:paraId="7BD2A072" w14:textId="77777777" w:rsidR="008D5118" w:rsidRDefault="008D5118" w:rsidP="008D5118">
      <w:r w:rsidRPr="009841E7">
        <w:rPr>
          <w:b/>
        </w:rPr>
        <w:t>Monitoring Availability</w:t>
      </w:r>
      <w:r>
        <w:t xml:space="preserve"> </w:t>
      </w:r>
    </w:p>
    <w:p w14:paraId="5B47F781" w14:textId="5A622907" w:rsidR="0040274B" w:rsidRDefault="008D5118" w:rsidP="008D5118">
      <w:pPr>
        <w:rPr>
          <w:lang w:val="en"/>
        </w:rPr>
      </w:pPr>
      <w:r w:rsidRPr="009841E7">
        <w:t xml:space="preserve">You should monitor the availability of the storage services in your storage account by monitoring the value in the </w:t>
      </w:r>
      <w:r w:rsidRPr="009841E7">
        <w:rPr>
          <w:b/>
        </w:rPr>
        <w:t>Availability</w:t>
      </w:r>
      <w:r w:rsidRPr="009841E7">
        <w:t xml:space="preserve"> column in the hourly or minute metrics tables.</w:t>
      </w:r>
      <w:r>
        <w:t xml:space="preserve"> </w:t>
      </w:r>
      <w:r>
        <w:rPr>
          <w:lang w:val="en"/>
        </w:rPr>
        <w:t>The availability of your storage should be at 100%. If not, you need to identify what is causing degradation in your storage</w:t>
      </w:r>
      <w:r w:rsidR="0040274B">
        <w:rPr>
          <w:lang w:val="en"/>
        </w:rPr>
        <w:t>.</w:t>
      </w:r>
    </w:p>
    <w:p w14:paraId="66760555" w14:textId="2657F291" w:rsidR="0040274B" w:rsidRDefault="0040274B" w:rsidP="009841E7">
      <w:pPr>
        <w:jc w:val="center"/>
        <w:rPr>
          <w:lang w:val="en"/>
        </w:rPr>
      </w:pPr>
      <w:r>
        <w:rPr>
          <w:noProof/>
        </w:rPr>
        <w:drawing>
          <wp:inline distT="0" distB="0" distL="0" distR="0" wp14:anchorId="17017BBF" wp14:editId="25E1136E">
            <wp:extent cx="5314950" cy="3476295"/>
            <wp:effectExtent l="0" t="0" r="0" b="0"/>
            <wp:docPr id="41045" name="Picture 4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45" name="0947F97.tmp"/>
                    <pic:cNvPicPr/>
                  </pic:nvPicPr>
                  <pic:blipFill>
                    <a:blip r:embed="rId189">
                      <a:extLst>
                        <a:ext uri="{28A0092B-C50C-407E-A947-70E740481C1C}">
                          <a14:useLocalDpi xmlns:a14="http://schemas.microsoft.com/office/drawing/2010/main" val="0"/>
                        </a:ext>
                      </a:extLst>
                    </a:blip>
                    <a:stretch>
                      <a:fillRect/>
                    </a:stretch>
                  </pic:blipFill>
                  <pic:spPr>
                    <a:xfrm>
                      <a:off x="0" y="0"/>
                      <a:ext cx="5315962" cy="3476957"/>
                    </a:xfrm>
                    <a:prstGeom prst="rect">
                      <a:avLst/>
                    </a:prstGeom>
                  </pic:spPr>
                </pic:pic>
              </a:graphicData>
            </a:graphic>
          </wp:inline>
        </w:drawing>
      </w:r>
    </w:p>
    <w:p w14:paraId="4E4397DF" w14:textId="77777777" w:rsidR="00422BBB" w:rsidRDefault="00422BBB" w:rsidP="00256063">
      <w:pPr>
        <w:rPr>
          <w:b/>
        </w:rPr>
      </w:pPr>
    </w:p>
    <w:p w14:paraId="6FBA79F2" w14:textId="77777777" w:rsidR="008D5118" w:rsidRDefault="008D5118" w:rsidP="008D5118">
      <w:r w:rsidRPr="009841E7">
        <w:rPr>
          <w:b/>
        </w:rPr>
        <w:t>Monitoring Performance</w:t>
      </w:r>
    </w:p>
    <w:p w14:paraId="7C965496" w14:textId="5FE520D7" w:rsidR="00AC0B19" w:rsidRDefault="008D5118" w:rsidP="008D5118">
      <w:r>
        <w:t xml:space="preserve">There are multiple areas in your storage services that you should monitor for performance trends. Some of key areas to monitor include </w:t>
      </w:r>
      <w:r w:rsidRPr="00AC0B19">
        <w:t>AverageE2ELatency</w:t>
      </w:r>
      <w:r>
        <w:t xml:space="preserve">, </w:t>
      </w:r>
      <w:r w:rsidRPr="00AC0B19">
        <w:t>TotalIngress</w:t>
      </w:r>
      <w:r>
        <w:t xml:space="preserve">, and </w:t>
      </w:r>
      <w:r w:rsidRPr="00AC0B19">
        <w:t>TotalEgress</w:t>
      </w:r>
      <w:r w:rsidR="00D910CA">
        <w:t xml:space="preserve">.  </w:t>
      </w:r>
    </w:p>
    <w:p w14:paraId="58BE6994" w14:textId="7EF22846" w:rsidR="00AC0B19" w:rsidRDefault="00AC0B19" w:rsidP="009841E7">
      <w:pPr>
        <w:jc w:val="center"/>
      </w:pPr>
      <w:r>
        <w:rPr>
          <w:noProof/>
        </w:rPr>
        <w:drawing>
          <wp:inline distT="0" distB="0" distL="0" distR="0" wp14:anchorId="159C57AB" wp14:editId="46B329D8">
            <wp:extent cx="5534025" cy="1968836"/>
            <wp:effectExtent l="0" t="0" r="0" b="0"/>
            <wp:docPr id="41046" name="Picture 4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46" name="094DAE6.tmp"/>
                    <pic:cNvPicPr/>
                  </pic:nvPicPr>
                  <pic:blipFill>
                    <a:blip r:embed="rId190">
                      <a:extLst>
                        <a:ext uri="{28A0092B-C50C-407E-A947-70E740481C1C}">
                          <a14:useLocalDpi xmlns:a14="http://schemas.microsoft.com/office/drawing/2010/main" val="0"/>
                        </a:ext>
                      </a:extLst>
                    </a:blip>
                    <a:stretch>
                      <a:fillRect/>
                    </a:stretch>
                  </pic:blipFill>
                  <pic:spPr>
                    <a:xfrm>
                      <a:off x="0" y="0"/>
                      <a:ext cx="5538169" cy="1970310"/>
                    </a:xfrm>
                    <a:prstGeom prst="rect">
                      <a:avLst/>
                    </a:prstGeom>
                  </pic:spPr>
                </pic:pic>
              </a:graphicData>
            </a:graphic>
          </wp:inline>
        </w:drawing>
      </w:r>
    </w:p>
    <w:p w14:paraId="68D2ED9A" w14:textId="77777777" w:rsidR="00AC0B19" w:rsidRDefault="00AC0B19" w:rsidP="00256063"/>
    <w:p w14:paraId="5499C5B6" w14:textId="77777777" w:rsidR="008D5118" w:rsidRDefault="008D5118" w:rsidP="008D5118">
      <w:r>
        <w:t xml:space="preserve">Additionally, it is important to consider monitoring for storage account throttling. Throttling is the mechanism that Azure uses to limit the IOPS allocated to a given Azure storage account (currently 20,000 IOPS). When this amount is exceeded, Azure implements throttling to ensure that limitations in the service are preserved. </w:t>
      </w:r>
    </w:p>
    <w:p w14:paraId="46655457" w14:textId="2A42C0C5" w:rsidR="00D910CA" w:rsidRDefault="008D5118" w:rsidP="008D5118">
      <w:r>
        <w:t xml:space="preserve">Although it is somewhat unlikely in well-planned Azure environments, monitoring of the Throttling Error and Throttling Error Percentage metrics is an effective mechanism to identify when throttling events occur in the service. This operation is outlined in the following article: </w:t>
      </w:r>
      <w:hyperlink r:id="rId191" w:history="1">
        <w:r>
          <w:rPr>
            <w:rStyle w:val="Hyperlink"/>
          </w:rPr>
          <w:t>How to Monitor for Storage Account Throttling</w:t>
        </w:r>
      </w:hyperlink>
      <w:r w:rsidR="00D910CA">
        <w:t xml:space="preserve">. </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BB4B43" w:rsidRPr="003D4D9F" w14:paraId="36FD5E57" w14:textId="77777777" w:rsidTr="00847437">
        <w:trPr>
          <w:trHeight w:val="423"/>
        </w:trPr>
        <w:tc>
          <w:tcPr>
            <w:tcW w:w="666" w:type="dxa"/>
          </w:tcPr>
          <w:p w14:paraId="7825B697" w14:textId="77777777" w:rsidR="00BB4B43" w:rsidRPr="003D4D9F" w:rsidRDefault="00BB4B43" w:rsidP="00847437">
            <w:pPr>
              <w:spacing w:after="200"/>
              <w:jc w:val="center"/>
              <w:rPr>
                <w:rFonts w:asciiTheme="minorHAnsi" w:eastAsiaTheme="minorHAnsi" w:hAnsiTheme="minorHAnsi" w:cstheme="minorBidi"/>
                <w:b/>
                <w:sz w:val="20"/>
                <w:szCs w:val="18"/>
                <w:lang w:val="en-US" w:eastAsia="en-US"/>
              </w:rPr>
            </w:pPr>
            <w:r>
              <w:rPr>
                <w:rFonts w:eastAsia="Arial" w:cs="Segoe UI"/>
                <w:noProof/>
                <w:sz w:val="20"/>
                <w:szCs w:val="20"/>
              </w:rPr>
              <mc:AlternateContent>
                <mc:Choice Requires="wps">
                  <w:drawing>
                    <wp:anchor distT="0" distB="0" distL="114300" distR="114300" simplePos="0" relativeHeight="251457536" behindDoc="0" locked="0" layoutInCell="1" allowOverlap="1" wp14:anchorId="3118F54A" wp14:editId="625916DD">
                      <wp:simplePos x="0" y="0"/>
                      <wp:positionH relativeFrom="column">
                        <wp:posOffset>66675</wp:posOffset>
                      </wp:positionH>
                      <wp:positionV relativeFrom="paragraph">
                        <wp:posOffset>90170</wp:posOffset>
                      </wp:positionV>
                      <wp:extent cx="180975" cy="180975"/>
                      <wp:effectExtent l="57150" t="19050" r="9525" b="104775"/>
                      <wp:wrapNone/>
                      <wp:docPr id="41055" name="Oval 410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a:ln w="6350" cap="flat" cmpd="sng" algn="ctr">
                                <a:solidFill>
                                  <a:srgbClr val="A5A5A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5EF6A09F" id="Oval 41055" o:spid="_x0000_s1026" style="position:absolute;margin-left:5.25pt;margin-top:7.1pt;width:14.25pt;height:14.25pt;z-index:25145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cWpeAIAAA4FAAAOAAAAZHJzL2Uyb0RvYy54bWysVNtu2zAMfR+wfxD0vtrpkl6MOkXWosOA&#10;YC3QDn1mZDkWJomapMTpvn6U7LRpu6dhNiCQIsXL0aEuLndGs630QaGt+eSo5ExagY2y65r/eLj5&#10;dMZZiGAb0GhlzZ9k4Jfzjx8uelfJY+xQN9IzCmJD1buadzG6qiiC6KSBcIROWjK26A1EUv26aDz0&#10;FN3o4rgsT4oefeM8ChkC7V4PRj7P8dtWinjbtkFGpmtOtcW8+ryu0lrML6Bae3CdEmMZ8A9VGFCW&#10;kj6HuoYIbOPVu1BGCY8B23gk0BTYtkrI3AN1MynfdHPfgZO5FwInuGeYwv8LK75v7zxTTc2nk3I2&#10;48yCoWu63YJmww4h1LtQkeO9u/Opx+CWKH4GMhSvLEkJo8+u9Sb5Uodsl+F+eoZb7iITtDk5K89P&#10;KaUg0yinmFDtDzsf4leJhiWh5lJr5UICBCrYLkMcvPdeuTTUqrlRWmfFr1dX2jPqhXKXX8pZvm9K&#10;EA7dtGV9zU8+k5UJIA62GiKJxhEqwa45A70mcovoc+pXh8NhjsUs/YlTb3OkGq8hdEMtOcJAPaMi&#10;8V8rU/OzMn3jaW1TBzIzeOz0Bd4krbB5opvzOFA6OHGjKMkSQrwDTxymbmgu4y0trUbqEEeJsw79&#10;77/tJ3+iFlk562kmqP1fG/CSM/3NEunOJ9NpGqKsTGenx6T4Q8vq0GI35goJ+Qm9AE5kMflHvRdb&#10;j+aRxneRspIJrKDcA9CjchWHWaUHQMjFIrvR4DiIS3vvRAqecErwPuwewbuRKpE49h338/OOLoNv&#10;OmlxsYnYqsylF1xHatPQ5bscH4g01Yd69np5xuZ/AAAA//8DAFBLAwQUAAYACAAAACEAFYcAft4A&#10;AAAHAQAADwAAAGRycy9kb3ducmV2LnhtbEyPzU7DMBCE70i8g7VI3KjTNPyFOFWF1EMPFSW0Ekc3&#10;XuKIeB1ipw1vz3KC02o0o9lviuXkOnHCIbSeFMxnCQik2puWGgX7t/XNA4gQNRndeUIF3xhgWV5e&#10;FDo3/kyveKpiI7iEQq4V2Bj7XMpQW3Q6zHyPxN6HH5yOLIdGmkGfudx1Mk2SO+l0S/zB6h6fLdaf&#10;1egU1C+j2W7TzeKwXs3fq+zL+t3GKnV9Na2eQESc4l8YfvEZHUpmOvqRTBAd6+SWk3yzFAT7i0ee&#10;dlSQpfcgy0L+5y9/AAAA//8DAFBLAQItABQABgAIAAAAIQC2gziS/gAAAOEBAAATAAAAAAAAAAAA&#10;AAAAAAAAAABbQ29udGVudF9UeXBlc10ueG1sUEsBAi0AFAAGAAgAAAAhADj9If/WAAAAlAEAAAsA&#10;AAAAAAAAAAAAAAAALwEAAF9yZWxzLy5yZWxzUEsBAi0AFAAGAAgAAAAhAEQdxal4AgAADgUAAA4A&#10;AAAAAAAAAAAAAAAALgIAAGRycy9lMm9Eb2MueG1sUEsBAi0AFAAGAAgAAAAhABWHAH7eAAAABwEA&#10;AA8AAAAAAAAAAAAAAAAA0gQAAGRycy9kb3ducmV2LnhtbFBLBQYAAAAABAAEAPMAAADdBQAAAAA=&#10;" fillcolor="#00b050" strokecolor="#a5a5a5" strokeweight=".5pt">
                      <v:stroke joinstyle="miter"/>
                      <v:path arrowok="t"/>
                    </v:oval>
                  </w:pict>
                </mc:Fallback>
              </mc:AlternateContent>
            </w:r>
          </w:p>
        </w:tc>
        <w:tc>
          <w:tcPr>
            <w:tcW w:w="8604" w:type="dxa"/>
          </w:tcPr>
          <w:p w14:paraId="59DAB923" w14:textId="71E31FDA" w:rsidR="00BB4B43" w:rsidRPr="003D4D9F" w:rsidRDefault="00BB4B43" w:rsidP="00847437">
            <w:pPr>
              <w:rPr>
                <w:lang w:val="en-US" w:eastAsia="en-US"/>
              </w:rPr>
            </w:pPr>
            <w:r w:rsidRPr="003D4D9F">
              <w:rPr>
                <w:rFonts w:eastAsiaTheme="minorHAnsi"/>
                <w:b/>
                <w:lang w:val="en-US" w:eastAsia="en-US"/>
              </w:rPr>
              <w:t xml:space="preserve">Optional: </w:t>
            </w:r>
            <w:r w:rsidRPr="003D4D9F">
              <w:rPr>
                <w:rFonts w:eastAsiaTheme="minorHAnsi"/>
                <w:lang w:val="en-US" w:eastAsia="en-US"/>
              </w:rPr>
              <w:t xml:space="preserve"> </w:t>
            </w:r>
            <w:r w:rsidRPr="00BB4B43">
              <w:rPr>
                <w:rFonts w:eastAsiaTheme="minorHAnsi"/>
                <w:lang w:val="en" w:eastAsia="en-US"/>
              </w:rPr>
              <w:t>You should continuously monitor your Azure applications to ensure they are healthy and performing as expected</w:t>
            </w:r>
            <w:r>
              <w:rPr>
                <w:rFonts w:eastAsiaTheme="minorHAnsi"/>
                <w:lang w:val="en" w:eastAsia="en-US"/>
              </w:rPr>
              <w:t>.</w:t>
            </w:r>
          </w:p>
        </w:tc>
      </w:tr>
    </w:tbl>
    <w:p w14:paraId="7297FDB9" w14:textId="77777777" w:rsidR="00DE7824" w:rsidRDefault="00DE7824" w:rsidP="005729D2">
      <w:pPr>
        <w:pStyle w:val="Heading3Numbered"/>
        <w:numPr>
          <w:ilvl w:val="2"/>
          <w:numId w:val="64"/>
        </w:numPr>
      </w:pPr>
      <w:bookmarkStart w:id="2713" w:name="_Toc417927014"/>
      <w:bookmarkStart w:id="2714" w:name="_Toc417927913"/>
      <w:bookmarkStart w:id="2715" w:name="_Toc417929192"/>
      <w:bookmarkStart w:id="2716" w:name="_Toc417929658"/>
      <w:bookmarkStart w:id="2717" w:name="_Toc417929909"/>
      <w:bookmarkStart w:id="2718" w:name="_Toc417931478"/>
      <w:bookmarkStart w:id="2719" w:name="_Toc417930641"/>
      <w:bookmarkStart w:id="2720" w:name="_Toc417931065"/>
      <w:bookmarkStart w:id="2721" w:name="_Toc417932521"/>
      <w:bookmarkStart w:id="2722" w:name="_Toc417933004"/>
      <w:bookmarkStart w:id="2723" w:name="_Toc417932162"/>
      <w:bookmarkStart w:id="2724" w:name="_Toc417933680"/>
      <w:bookmarkStart w:id="2725" w:name="_Toc417934145"/>
      <w:bookmarkStart w:id="2726" w:name="_Toc417933279"/>
      <w:bookmarkStart w:id="2727" w:name="_Toc417933789"/>
      <w:bookmarkStart w:id="2728" w:name="_Toc417934609"/>
      <w:bookmarkStart w:id="2729" w:name="_Toc417934510"/>
      <w:bookmarkStart w:id="2730" w:name="_Toc417935249"/>
      <w:bookmarkStart w:id="2731" w:name="_Toc417935948"/>
      <w:bookmarkStart w:id="2732" w:name="_Toc417936410"/>
      <w:bookmarkStart w:id="2733" w:name="_Toc417942473"/>
      <w:bookmarkStart w:id="2734" w:name="_Toc417942952"/>
      <w:bookmarkStart w:id="2735" w:name="_Toc417945296"/>
      <w:bookmarkStart w:id="2736" w:name="_Toc417946624"/>
      <w:bookmarkStart w:id="2737" w:name="_Toc417947286"/>
      <w:bookmarkStart w:id="2738" w:name="_Toc417947987"/>
      <w:bookmarkStart w:id="2739" w:name="_Toc417951036"/>
      <w:bookmarkStart w:id="2740" w:name="_Toc417975105"/>
      <w:bookmarkStart w:id="2741" w:name="_Toc417975822"/>
      <w:bookmarkStart w:id="2742" w:name="_Toc417976885"/>
      <w:bookmarkStart w:id="2743" w:name="_Toc417977973"/>
      <w:bookmarkStart w:id="2744" w:name="_Toc417548280"/>
      <w:bookmarkStart w:id="2745" w:name="_Toc417594512"/>
      <w:bookmarkStart w:id="2746" w:name="_Toc417934610"/>
      <w:bookmarkStart w:id="2747" w:name="_Toc417935949"/>
      <w:bookmarkStart w:id="2748" w:name="_Toc417936411"/>
      <w:bookmarkStart w:id="2749" w:name="_Toc417946865"/>
      <w:bookmarkStart w:id="2750" w:name="_Toc417947279"/>
      <w:bookmarkStart w:id="2751" w:name="_Toc417982475"/>
      <w:bookmarkStart w:id="2752" w:name="_Toc417985900"/>
      <w:bookmarkStart w:id="2753" w:name="_Toc418000621"/>
      <w:bookmarkStart w:id="2754" w:name="_Toc418003764"/>
      <w:bookmarkStart w:id="2755" w:name="_Toc418011969"/>
      <w:bookmarkStart w:id="2756" w:name="_Toc418014617"/>
      <w:bookmarkStart w:id="2757" w:name="_Toc418029953"/>
      <w:bookmarkStart w:id="2758" w:name="_Toc418036889"/>
      <w:bookmarkStart w:id="2759" w:name="_Toc418061354"/>
      <w:bookmarkStart w:id="2760" w:name="_Toc418080703"/>
      <w:bookmarkStart w:id="2761" w:name="_Toc418081876"/>
      <w:bookmarkStart w:id="2762" w:name="_Toc418083278"/>
      <w:bookmarkStart w:id="2763" w:name="_Toc418095498"/>
      <w:bookmarkStart w:id="2764" w:name="_Toc418156669"/>
      <w:bookmarkStart w:id="2765" w:name="_Toc418167588"/>
      <w:bookmarkStart w:id="2766" w:name="_Toc418185845"/>
      <w:bookmarkStart w:id="2767" w:name="_Toc422941555"/>
      <w:bookmarkStart w:id="2768" w:name="_Toc423116761"/>
      <w:bookmarkStart w:id="2769" w:name="_Toc423117794"/>
      <w:bookmarkStart w:id="2770" w:name="_Toc423117244"/>
      <w:bookmarkStart w:id="2771" w:name="_Toc431288836"/>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r w:rsidRPr="00DE7824">
        <w:t>Alerting</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00AAF1A0" w14:textId="51FBD6C2" w:rsidR="008D5118" w:rsidRDefault="00754923" w:rsidP="008D5118">
      <w:r>
        <w:t>You</w:t>
      </w:r>
      <w:r w:rsidR="008D5118">
        <w:t xml:space="preserve"> can configure alerting for different services, including Azure Storage. When you configure alerting, you have the option of having those alerts emailed to the Co-administrators for the subscription.</w:t>
      </w:r>
    </w:p>
    <w:p w14:paraId="1FB739CF" w14:textId="390448B0" w:rsidR="00754923" w:rsidRDefault="008D5118" w:rsidP="008D5118">
      <w:r w:rsidRPr="00342927">
        <w:t>An alert rule enables you to monitor a</w:t>
      </w:r>
      <w:r>
        <w:t>n</w:t>
      </w:r>
      <w:r w:rsidRPr="00342927">
        <w:t xml:space="preserve"> Azure service based on a metric value</w:t>
      </w:r>
      <w:r>
        <w:t xml:space="preserve"> that is set by your organization. </w:t>
      </w:r>
      <w:r w:rsidRPr="00342927">
        <w:t xml:space="preserve">When the value </w:t>
      </w:r>
      <w:r>
        <w:t>that is configured for a specific metric is reached</w:t>
      </w:r>
      <w:r w:rsidRPr="00342927">
        <w:t xml:space="preserve"> </w:t>
      </w:r>
      <w:r>
        <w:t xml:space="preserve">and </w:t>
      </w:r>
      <w:r w:rsidRPr="00342927">
        <w:t xml:space="preserve">the threshold </w:t>
      </w:r>
      <w:r>
        <w:t xml:space="preserve">is </w:t>
      </w:r>
      <w:r w:rsidRPr="00342927">
        <w:t>assigned for a rule, the alert rule becomes active and registers an alert.</w:t>
      </w:r>
      <w:r>
        <w:t xml:space="preserve"> This alert is then logged in the system</w:t>
      </w:r>
      <w:r w:rsidR="00342927">
        <w:t>.</w:t>
      </w:r>
    </w:p>
    <w:p w14:paraId="3B7F7BB4" w14:textId="35CAD34C" w:rsidR="00256063" w:rsidRPr="00B909BC" w:rsidRDefault="00256063" w:rsidP="005729D2">
      <w:pPr>
        <w:pStyle w:val="Heading3Numbered"/>
        <w:numPr>
          <w:ilvl w:val="2"/>
          <w:numId w:val="64"/>
        </w:numPr>
      </w:pPr>
      <w:bookmarkStart w:id="2772" w:name="_Toc417548281"/>
      <w:bookmarkStart w:id="2773" w:name="_Toc417594513"/>
      <w:bookmarkStart w:id="2774" w:name="_Toc417934611"/>
      <w:bookmarkStart w:id="2775" w:name="_Toc417935950"/>
      <w:bookmarkStart w:id="2776" w:name="_Toc417936412"/>
      <w:bookmarkStart w:id="2777" w:name="_Toc417946866"/>
      <w:bookmarkStart w:id="2778" w:name="_Toc417947280"/>
      <w:bookmarkStart w:id="2779" w:name="_Toc417982476"/>
      <w:bookmarkStart w:id="2780" w:name="_Toc417985901"/>
      <w:bookmarkStart w:id="2781" w:name="_Toc418000622"/>
      <w:bookmarkStart w:id="2782" w:name="_Toc418003765"/>
      <w:bookmarkStart w:id="2783" w:name="_Toc418011970"/>
      <w:bookmarkStart w:id="2784" w:name="_Toc418014618"/>
      <w:bookmarkStart w:id="2785" w:name="_Toc418029954"/>
      <w:bookmarkStart w:id="2786" w:name="_Toc418036890"/>
      <w:bookmarkStart w:id="2787" w:name="_Toc418061355"/>
      <w:bookmarkStart w:id="2788" w:name="_Toc418080704"/>
      <w:bookmarkStart w:id="2789" w:name="_Toc418081877"/>
      <w:bookmarkStart w:id="2790" w:name="_Toc418083279"/>
      <w:bookmarkStart w:id="2791" w:name="_Toc418095499"/>
      <w:bookmarkStart w:id="2792" w:name="_Toc418156670"/>
      <w:bookmarkStart w:id="2793" w:name="_Toc418167589"/>
      <w:bookmarkStart w:id="2794" w:name="_Toc418185846"/>
      <w:bookmarkStart w:id="2795" w:name="_Toc422941556"/>
      <w:bookmarkStart w:id="2796" w:name="_Toc423116762"/>
      <w:bookmarkStart w:id="2797" w:name="_Toc423117795"/>
      <w:bookmarkStart w:id="2798" w:name="_Toc423117245"/>
      <w:bookmarkStart w:id="2799" w:name="_Toc431288837"/>
      <w:r w:rsidRPr="00B909BC">
        <w:t>Diagnos</w:t>
      </w:r>
      <w:r w:rsidR="00653755">
        <w:t>ing</w:t>
      </w:r>
      <w:r w:rsidR="0071778B" w:rsidRPr="00B909BC">
        <w:t xml:space="preserve"> Azure Storage Issues</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63FFFD6A" w14:textId="7F1DC6AD" w:rsidR="008D5118" w:rsidRDefault="00474FB0" w:rsidP="008D5118">
      <w:r>
        <w:t>When</w:t>
      </w:r>
      <w:r w:rsidR="008D5118">
        <w:t xml:space="preserve"> there are problems with your storage, there are a number of ways that you may become aware of these issues. These include:</w:t>
      </w:r>
    </w:p>
    <w:p w14:paraId="6EA9C916" w14:textId="77777777" w:rsidR="008D5118" w:rsidRPr="0071778B" w:rsidRDefault="008D5118" w:rsidP="005729D2">
      <w:pPr>
        <w:numPr>
          <w:ilvl w:val="0"/>
          <w:numId w:val="35"/>
        </w:numPr>
        <w:rPr>
          <w:lang w:val="en"/>
        </w:rPr>
      </w:pPr>
      <w:r w:rsidRPr="0071778B">
        <w:rPr>
          <w:lang w:val="en"/>
        </w:rPr>
        <w:t>A major failure that causes the application to crash or to stop working.</w:t>
      </w:r>
    </w:p>
    <w:p w14:paraId="02943B52" w14:textId="77777777" w:rsidR="008D5118" w:rsidRPr="0071778B" w:rsidRDefault="008D5118" w:rsidP="005729D2">
      <w:pPr>
        <w:numPr>
          <w:ilvl w:val="0"/>
          <w:numId w:val="35"/>
        </w:numPr>
        <w:rPr>
          <w:lang w:val="en"/>
        </w:rPr>
      </w:pPr>
      <w:r w:rsidRPr="0071778B">
        <w:rPr>
          <w:lang w:val="en"/>
        </w:rPr>
        <w:t>Significant changes from baseline values in the metrics you are monitoring as described in the previous section</w:t>
      </w:r>
      <w:r>
        <w:rPr>
          <w:lang w:val="en"/>
        </w:rPr>
        <w:t>.</w:t>
      </w:r>
    </w:p>
    <w:p w14:paraId="0BB462AD" w14:textId="77777777" w:rsidR="008D5118" w:rsidRPr="0071778B" w:rsidRDefault="008D5118" w:rsidP="005729D2">
      <w:pPr>
        <w:numPr>
          <w:ilvl w:val="0"/>
          <w:numId w:val="35"/>
        </w:numPr>
        <w:rPr>
          <w:lang w:val="en"/>
        </w:rPr>
      </w:pPr>
      <w:r w:rsidRPr="0071778B">
        <w:rPr>
          <w:lang w:val="en"/>
        </w:rPr>
        <w:t>Reports from users of your application that some particular operation didn't complete as expected or that some feature is not working.</w:t>
      </w:r>
    </w:p>
    <w:p w14:paraId="223A4EEF" w14:textId="77777777" w:rsidR="008D5118" w:rsidRPr="00DD587F" w:rsidRDefault="008D5118" w:rsidP="005729D2">
      <w:pPr>
        <w:numPr>
          <w:ilvl w:val="0"/>
          <w:numId w:val="35"/>
        </w:numPr>
        <w:spacing w:before="0" w:after="160" w:line="259" w:lineRule="auto"/>
        <w:rPr>
          <w:lang w:val="en"/>
        </w:rPr>
      </w:pPr>
      <w:r w:rsidRPr="00DD587F">
        <w:rPr>
          <w:lang w:val="en"/>
        </w:rPr>
        <w:t>Errors generated within your application that appear in log files or through some other notification method.</w:t>
      </w:r>
      <w:r w:rsidRPr="00DD587F">
        <w:rPr>
          <w:lang w:val="en"/>
        </w:rPr>
        <w:br w:type="page"/>
      </w:r>
    </w:p>
    <w:p w14:paraId="31F2E741" w14:textId="77777777" w:rsidR="008D5118" w:rsidRPr="0071778B" w:rsidRDefault="008D5118" w:rsidP="008D5118">
      <w:pPr>
        <w:rPr>
          <w:lang w:val="en"/>
        </w:rPr>
      </w:pPr>
      <w:r w:rsidRPr="0071778B">
        <w:rPr>
          <w:lang w:val="en"/>
        </w:rPr>
        <w:t xml:space="preserve">Typically, issues related to Azure </w:t>
      </w:r>
      <w:r>
        <w:rPr>
          <w:lang w:val="en"/>
        </w:rPr>
        <w:t>S</w:t>
      </w:r>
      <w:r w:rsidRPr="0071778B">
        <w:rPr>
          <w:lang w:val="en"/>
        </w:rPr>
        <w:t>torage services fall into one of</w:t>
      </w:r>
      <w:r>
        <w:rPr>
          <w:lang w:val="en"/>
        </w:rPr>
        <w:t xml:space="preserve"> the following</w:t>
      </w:r>
      <w:r w:rsidRPr="0071778B">
        <w:rPr>
          <w:lang w:val="en"/>
        </w:rPr>
        <w:t xml:space="preserve"> four broad categories:</w:t>
      </w:r>
    </w:p>
    <w:p w14:paraId="4E9E7B4C" w14:textId="77777777" w:rsidR="008D5118" w:rsidRPr="004A76A2" w:rsidRDefault="008D5118" w:rsidP="005729D2">
      <w:pPr>
        <w:numPr>
          <w:ilvl w:val="0"/>
          <w:numId w:val="68"/>
        </w:numPr>
        <w:rPr>
          <w:lang w:val="en"/>
        </w:rPr>
      </w:pPr>
      <w:r w:rsidRPr="004A76A2">
        <w:rPr>
          <w:lang w:val="en"/>
        </w:rPr>
        <w:t>Your application has a performance issue – This problem is reported by your users or revealed by changes in the performance metrics.</w:t>
      </w:r>
    </w:p>
    <w:p w14:paraId="30ECEA2A" w14:textId="77777777" w:rsidR="008D5118" w:rsidRPr="004A76A2" w:rsidRDefault="008D5118" w:rsidP="005729D2">
      <w:pPr>
        <w:numPr>
          <w:ilvl w:val="0"/>
          <w:numId w:val="68"/>
        </w:numPr>
        <w:rPr>
          <w:lang w:val="en"/>
        </w:rPr>
      </w:pPr>
      <w:r w:rsidRPr="004A76A2">
        <w:rPr>
          <w:lang w:val="en"/>
        </w:rPr>
        <w:t xml:space="preserve">There is a problem with the Azure Storage infrastructure in one or more regions. </w:t>
      </w:r>
    </w:p>
    <w:p w14:paraId="0BE01D6F" w14:textId="29BF787E" w:rsidR="008D5118" w:rsidRDefault="008D5118" w:rsidP="005729D2">
      <w:pPr>
        <w:numPr>
          <w:ilvl w:val="0"/>
          <w:numId w:val="68"/>
        </w:numPr>
        <w:rPr>
          <w:lang w:val="en"/>
        </w:rPr>
      </w:pPr>
      <w:r w:rsidRPr="004A76A2">
        <w:rPr>
          <w:lang w:val="en"/>
        </w:rPr>
        <w:t>Your application is encountering an error - This problem is reported by your users or revealed by an increase in one of the error count metrics you monitor.</w:t>
      </w:r>
    </w:p>
    <w:p w14:paraId="6EEF5AEB" w14:textId="223873F4" w:rsidR="0071778B" w:rsidRPr="008D5118" w:rsidRDefault="008D5118" w:rsidP="005729D2">
      <w:pPr>
        <w:numPr>
          <w:ilvl w:val="0"/>
          <w:numId w:val="68"/>
        </w:numPr>
        <w:rPr>
          <w:lang w:val="en"/>
        </w:rPr>
      </w:pPr>
      <w:r w:rsidRPr="008D5118">
        <w:rPr>
          <w:lang w:val="en"/>
        </w:rPr>
        <w:t>Storage emulator-related issues - During development and test you may be using the local storage emulator, and you may encounter some issues that relate specifically to usage of the storage emulator</w:t>
      </w:r>
      <w:r w:rsidR="0071778B" w:rsidRPr="008D5118">
        <w:rPr>
          <w:lang w:val="en"/>
        </w:rPr>
        <w:t>.</w:t>
      </w:r>
    </w:p>
    <w:p w14:paraId="011A4594" w14:textId="028FAB73" w:rsidR="00256063" w:rsidRDefault="00256063" w:rsidP="005729D2">
      <w:pPr>
        <w:pStyle w:val="Heading3Numbered"/>
        <w:numPr>
          <w:ilvl w:val="2"/>
          <w:numId w:val="64"/>
        </w:numPr>
      </w:pPr>
      <w:bookmarkStart w:id="2800" w:name="_Toc417548282"/>
      <w:bookmarkStart w:id="2801" w:name="_Toc417594514"/>
      <w:bookmarkStart w:id="2802" w:name="_Toc417934612"/>
      <w:bookmarkStart w:id="2803" w:name="_Toc417935951"/>
      <w:bookmarkStart w:id="2804" w:name="_Toc417936413"/>
      <w:bookmarkStart w:id="2805" w:name="_Toc417946867"/>
      <w:bookmarkStart w:id="2806" w:name="_Toc417947281"/>
      <w:bookmarkStart w:id="2807" w:name="_Toc417982477"/>
      <w:bookmarkStart w:id="2808" w:name="_Toc417985902"/>
      <w:bookmarkStart w:id="2809" w:name="_Toc418000623"/>
      <w:bookmarkStart w:id="2810" w:name="_Toc418003766"/>
      <w:bookmarkStart w:id="2811" w:name="_Toc418011971"/>
      <w:bookmarkStart w:id="2812" w:name="_Toc418014619"/>
      <w:bookmarkStart w:id="2813" w:name="_Toc418029955"/>
      <w:bookmarkStart w:id="2814" w:name="_Toc418036891"/>
      <w:bookmarkStart w:id="2815" w:name="_Toc418061356"/>
      <w:bookmarkStart w:id="2816" w:name="_Toc418080705"/>
      <w:bookmarkStart w:id="2817" w:name="_Toc418081878"/>
      <w:bookmarkStart w:id="2818" w:name="_Toc418083280"/>
      <w:bookmarkStart w:id="2819" w:name="_Toc418095500"/>
      <w:bookmarkStart w:id="2820" w:name="_Toc418156671"/>
      <w:bookmarkStart w:id="2821" w:name="_Toc418167590"/>
      <w:bookmarkStart w:id="2822" w:name="_Toc418185847"/>
      <w:bookmarkStart w:id="2823" w:name="_Toc422941557"/>
      <w:bookmarkStart w:id="2824" w:name="_Toc423116763"/>
      <w:bookmarkStart w:id="2825" w:name="_Toc423117796"/>
      <w:bookmarkStart w:id="2826" w:name="_Toc423117246"/>
      <w:bookmarkStart w:id="2827" w:name="_Toc431288838"/>
      <w:r>
        <w:t>Troubleshooting</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33656764" w14:textId="02C0C08E" w:rsidR="008D5118" w:rsidRDefault="00245D0F" w:rsidP="008D5118">
      <w:r>
        <w:t>There</w:t>
      </w:r>
      <w:r w:rsidR="008D5118">
        <w:t xml:space="preserve"> are some common issues that you may encounter from your Azure Storage services that you will need to troubleshoot. These issues include:</w:t>
      </w:r>
    </w:p>
    <w:p w14:paraId="543C3E05" w14:textId="77777777" w:rsidR="008D5118" w:rsidRPr="00245D0F" w:rsidRDefault="008D5118" w:rsidP="005729D2">
      <w:pPr>
        <w:pStyle w:val="ListBullet"/>
        <w:numPr>
          <w:ilvl w:val="0"/>
          <w:numId w:val="69"/>
        </w:numPr>
        <w:ind w:left="1440"/>
        <w:rPr>
          <w:lang w:val="en"/>
        </w:rPr>
      </w:pPr>
      <w:r w:rsidRPr="00245D0F">
        <w:rPr>
          <w:lang w:val="en"/>
        </w:rPr>
        <w:t>Performance of the storage services</w:t>
      </w:r>
    </w:p>
    <w:p w14:paraId="262425BA" w14:textId="77777777" w:rsidR="008D5118" w:rsidRDefault="008D5118" w:rsidP="005729D2">
      <w:pPr>
        <w:pStyle w:val="ListBullet"/>
        <w:numPr>
          <w:ilvl w:val="0"/>
          <w:numId w:val="69"/>
        </w:numPr>
        <w:ind w:left="1440"/>
      </w:pPr>
      <w:r w:rsidRPr="00245D0F">
        <w:rPr>
          <w:lang w:val="en"/>
        </w:rPr>
        <w:t>Availability of the storage services</w:t>
      </w:r>
    </w:p>
    <w:p w14:paraId="53C8173A" w14:textId="77777777" w:rsidR="008D5118" w:rsidRDefault="008D5118" w:rsidP="008D5118">
      <w:r>
        <w:t>To troubleshoot applications that use Azure Storage, you can use a combination of tools to determine when an issue has occurred and what the cause of the problem may be. These tools include:</w:t>
      </w:r>
    </w:p>
    <w:p w14:paraId="3E2FF0ED" w14:textId="77777777" w:rsidR="008D5118" w:rsidRDefault="008D5118" w:rsidP="005729D2">
      <w:pPr>
        <w:pStyle w:val="ListBullet"/>
        <w:numPr>
          <w:ilvl w:val="0"/>
          <w:numId w:val="70"/>
        </w:numPr>
        <w:ind w:left="1440"/>
      </w:pPr>
      <w:r w:rsidRPr="000A11EC">
        <w:rPr>
          <w:b/>
        </w:rPr>
        <w:t>Azure Storage Analytics</w:t>
      </w:r>
      <w:r>
        <w:t xml:space="preserve"> provides metrics and logging for Azure Storage.</w:t>
      </w:r>
    </w:p>
    <w:p w14:paraId="503A7A4E" w14:textId="77777777" w:rsidR="008D5118" w:rsidRDefault="008D5118" w:rsidP="005729D2">
      <w:pPr>
        <w:pStyle w:val="ListBullet"/>
        <w:numPr>
          <w:ilvl w:val="0"/>
          <w:numId w:val="70"/>
        </w:numPr>
        <w:ind w:left="1440"/>
      </w:pPr>
      <w:r w:rsidRPr="004F0DE3">
        <w:rPr>
          <w:b/>
        </w:rPr>
        <w:t>Storage metrics</w:t>
      </w:r>
      <w:r>
        <w:t xml:space="preserve"> tracks transaction metrics and capacity metrics for your storage account. By using metrics, you can determine how your application is performing according to a variety of different measures. </w:t>
      </w:r>
    </w:p>
    <w:p w14:paraId="6E72E3BD" w14:textId="77777777" w:rsidR="008D5118" w:rsidRDefault="008D5118" w:rsidP="005729D2">
      <w:pPr>
        <w:pStyle w:val="ListBullet"/>
        <w:numPr>
          <w:ilvl w:val="0"/>
          <w:numId w:val="70"/>
        </w:numPr>
        <w:ind w:left="1440"/>
      </w:pPr>
      <w:r w:rsidRPr="004F0DE3">
        <w:rPr>
          <w:b/>
        </w:rPr>
        <w:t>Storage logging</w:t>
      </w:r>
      <w:r>
        <w:t xml:space="preserve"> logs each request to the Azure Storage services to a server-side log. The log tracks detailed data for each request, including the operation performed, the status of the operation, and latency information. </w:t>
      </w:r>
    </w:p>
    <w:p w14:paraId="4897CEF5" w14:textId="77777777" w:rsidR="008D5118" w:rsidRDefault="008D5118" w:rsidP="005729D2">
      <w:pPr>
        <w:pStyle w:val="ListBullet"/>
        <w:numPr>
          <w:ilvl w:val="0"/>
          <w:numId w:val="70"/>
        </w:numPr>
        <w:ind w:left="1440"/>
      </w:pPr>
      <w:r>
        <w:t xml:space="preserve">The </w:t>
      </w:r>
      <w:r w:rsidRPr="000A11EC">
        <w:rPr>
          <w:b/>
        </w:rPr>
        <w:t xml:space="preserve">Azure Management </w:t>
      </w:r>
      <w:r>
        <w:rPr>
          <w:b/>
        </w:rPr>
        <w:t>p</w:t>
      </w:r>
      <w:r w:rsidRPr="000A11EC">
        <w:rPr>
          <w:b/>
        </w:rPr>
        <w:t>ortal</w:t>
      </w:r>
      <w:r>
        <w:t xml:space="preserve"> allows you to configure metrics and logging for your storage accounts. You can also view charts and graphs that show how your application is performing over time, and configure alerts in the portal to notify you if your application performs differently than expected for a specified metric. </w:t>
      </w:r>
    </w:p>
    <w:p w14:paraId="02EB6C3E" w14:textId="7183D803" w:rsidR="008D5118" w:rsidRDefault="008D5118" w:rsidP="005729D2">
      <w:pPr>
        <w:pStyle w:val="ListBullet"/>
        <w:numPr>
          <w:ilvl w:val="0"/>
          <w:numId w:val="70"/>
        </w:numPr>
        <w:ind w:left="1440"/>
      </w:pPr>
      <w:r>
        <w:t xml:space="preserve">Server logs for Azure Storage are stored as blobs, so you can use </w:t>
      </w:r>
      <w:r w:rsidRPr="004F0DE3">
        <w:rPr>
          <w:b/>
        </w:rPr>
        <w:t xml:space="preserve">AzCopy </w:t>
      </w:r>
      <w:r>
        <w:t>to copy the log blobs to a local directory for analysis using Microsoft Message Analyzer.</w:t>
      </w:r>
    </w:p>
    <w:p w14:paraId="501B7F34" w14:textId="42656601" w:rsidR="000A11EC" w:rsidRDefault="008D5118" w:rsidP="005729D2">
      <w:pPr>
        <w:pStyle w:val="ListBullet"/>
        <w:numPr>
          <w:ilvl w:val="0"/>
          <w:numId w:val="70"/>
        </w:numPr>
        <w:ind w:left="1440"/>
      </w:pPr>
      <w:r w:rsidRPr="008D5118">
        <w:rPr>
          <w:b/>
        </w:rPr>
        <w:t>Microsoft Message Analyzer</w:t>
      </w:r>
      <w:r>
        <w:t xml:space="preserve"> is a tool that consumes log files and displays log data in a visual format that makes it easy to filter, search, and group log data into useful sets that you can use to analyze errors and performance issues</w:t>
      </w:r>
      <w:r w:rsidR="000A11EC">
        <w:t xml:space="preserve">. </w:t>
      </w:r>
    </w:p>
    <w:p w14:paraId="5BAFB213" w14:textId="3A2A84E7" w:rsidR="00F57743" w:rsidRDefault="00F57743" w:rsidP="005729D2">
      <w:pPr>
        <w:pStyle w:val="Heading3Numbered"/>
        <w:numPr>
          <w:ilvl w:val="2"/>
          <w:numId w:val="64"/>
        </w:numPr>
      </w:pPr>
      <w:bookmarkStart w:id="2828" w:name="_Toc417548283"/>
      <w:bookmarkStart w:id="2829" w:name="_Toc417594515"/>
      <w:bookmarkStart w:id="2830" w:name="_Toc417934613"/>
      <w:bookmarkStart w:id="2831" w:name="_Toc417935952"/>
      <w:bookmarkStart w:id="2832" w:name="_Toc417936414"/>
      <w:bookmarkStart w:id="2833" w:name="_Toc417946868"/>
      <w:bookmarkStart w:id="2834" w:name="_Toc417947282"/>
      <w:bookmarkStart w:id="2835" w:name="_Toc417982478"/>
      <w:bookmarkStart w:id="2836" w:name="_Toc417985903"/>
      <w:bookmarkStart w:id="2837" w:name="_Toc418000624"/>
      <w:bookmarkStart w:id="2838" w:name="_Toc418003767"/>
      <w:bookmarkStart w:id="2839" w:name="_Toc418011972"/>
      <w:bookmarkStart w:id="2840" w:name="_Toc418014620"/>
      <w:bookmarkStart w:id="2841" w:name="_Toc418029956"/>
      <w:bookmarkStart w:id="2842" w:name="_Toc418036892"/>
      <w:bookmarkStart w:id="2843" w:name="_Toc418061357"/>
      <w:bookmarkStart w:id="2844" w:name="_Toc418080706"/>
      <w:bookmarkStart w:id="2845" w:name="_Toc418081879"/>
      <w:bookmarkStart w:id="2846" w:name="_Toc418083281"/>
      <w:bookmarkStart w:id="2847" w:name="_Toc418095501"/>
      <w:bookmarkStart w:id="2848" w:name="_Toc418156672"/>
      <w:bookmarkStart w:id="2849" w:name="_Toc418167591"/>
      <w:bookmarkStart w:id="2850" w:name="_Toc418185848"/>
      <w:bookmarkStart w:id="2851" w:name="_Toc422941558"/>
      <w:bookmarkStart w:id="2852" w:name="_Toc423116764"/>
      <w:bookmarkStart w:id="2853" w:name="_Toc423117797"/>
      <w:bookmarkStart w:id="2854" w:name="_Toc423117247"/>
      <w:bookmarkStart w:id="2855" w:name="_Toc431288839"/>
      <w:r w:rsidRPr="00EC5F47">
        <w:t xml:space="preserve">Azure </w:t>
      </w:r>
      <w:bookmarkEnd w:id="2828"/>
      <w:bookmarkEnd w:id="2829"/>
      <w:r w:rsidR="00E70CD6">
        <w:t>P</w:t>
      </w:r>
      <w:r w:rsidR="00EC5F47" w:rsidRPr="00EC5F47">
        <w:t>ortal</w:t>
      </w:r>
      <w:r w:rsidR="00E70CD6">
        <w:t xml:space="preserve"> Options</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3B17C909" w14:textId="2A29F11C" w:rsidR="008D5118" w:rsidRDefault="00EC5F47" w:rsidP="008D5118">
      <w:r w:rsidRPr="00812D96">
        <w:t>The</w:t>
      </w:r>
      <w:r w:rsidR="008D5118" w:rsidRPr="00812D96">
        <w:t xml:space="preserve"> Storage Metrics </w:t>
      </w:r>
      <w:r w:rsidR="008D5118">
        <w:t xml:space="preserve">feature </w:t>
      </w:r>
      <w:r w:rsidR="008D5118" w:rsidRPr="00812D96">
        <w:t xml:space="preserve">is available in </w:t>
      </w:r>
      <w:r w:rsidR="008D5118">
        <w:t xml:space="preserve">the </w:t>
      </w:r>
      <w:r w:rsidR="008D5118" w:rsidRPr="00812D96">
        <w:t xml:space="preserve">Azure portal to help you monitor your storage performance. Storage Metrics </w:t>
      </w:r>
      <w:r w:rsidR="008D5118">
        <w:t xml:space="preserve">can be thought of </w:t>
      </w:r>
      <w:r w:rsidR="008D5118" w:rsidRPr="00812D96">
        <w:t xml:space="preserve">as an equivalent to Windows Performance Monitor </w:t>
      </w:r>
      <w:r w:rsidR="008D5118" w:rsidRPr="009841E7">
        <w:t>counters</w:t>
      </w:r>
      <w:r w:rsidR="008D5118">
        <w:t xml:space="preserve"> in the Microsoft Azure service. </w:t>
      </w:r>
    </w:p>
    <w:p w14:paraId="58FBE79F" w14:textId="1A881FD6" w:rsidR="005C0BAB" w:rsidRPr="009841E7" w:rsidRDefault="008D5118" w:rsidP="008D5118">
      <w:r>
        <w:t xml:space="preserve">A </w:t>
      </w:r>
      <w:r w:rsidRPr="009841E7">
        <w:t xml:space="preserve">comprehensive </w:t>
      </w:r>
      <w:r>
        <w:t xml:space="preserve">set of </w:t>
      </w:r>
      <w:r w:rsidRPr="009841E7">
        <w:t xml:space="preserve">metrics (counters) </w:t>
      </w:r>
      <w:r>
        <w:t>enable the ability to</w:t>
      </w:r>
      <w:r w:rsidRPr="009841E7">
        <w:t xml:space="preserve"> see data from services</w:t>
      </w:r>
      <w:r>
        <w:t>,</w:t>
      </w:r>
      <w:r w:rsidRPr="009841E7">
        <w:t xml:space="preserve"> such as </w:t>
      </w:r>
      <w:r>
        <w:t xml:space="preserve">the </w:t>
      </w:r>
      <w:r w:rsidRPr="009841E7">
        <w:t>percentage of successful or faile</w:t>
      </w:r>
      <w:r>
        <w:t>d service</w:t>
      </w:r>
      <w:r w:rsidRPr="009841E7">
        <w:t xml:space="preserve"> request</w:t>
      </w:r>
      <w:r>
        <w:t>s</w:t>
      </w:r>
      <w:r w:rsidRPr="009841E7">
        <w:t xml:space="preserve"> </w:t>
      </w:r>
      <w:r>
        <w:t xml:space="preserve">and the </w:t>
      </w:r>
      <w:r w:rsidRPr="009841E7">
        <w:t>service</w:t>
      </w:r>
      <w:r>
        <w:t>'</w:t>
      </w:r>
      <w:r w:rsidRPr="009841E7">
        <w:t>s availability.</w:t>
      </w:r>
      <w:r>
        <w:t xml:space="preserve"> </w:t>
      </w:r>
      <w:r w:rsidRPr="009841E7">
        <w:t xml:space="preserve">The </w:t>
      </w:r>
      <w:r>
        <w:t>following image</w:t>
      </w:r>
      <w:r w:rsidRPr="009841E7">
        <w:t xml:space="preserve"> shows the monitoring page in the Azure portal where you can view metrics such as total request, success percentage (Blob), success percentage (Table)</w:t>
      </w:r>
      <w:r>
        <w:t>,</w:t>
      </w:r>
      <w:r w:rsidRPr="009841E7">
        <w:t xml:space="preserve"> and availability</w:t>
      </w:r>
      <w:r w:rsidR="00897A17" w:rsidRPr="009841E7">
        <w:t>.</w:t>
      </w:r>
    </w:p>
    <w:p w14:paraId="5E8C6A9F" w14:textId="77777777" w:rsidR="00950DC9" w:rsidRPr="009841E7" w:rsidRDefault="00950DC9" w:rsidP="004F05AD"/>
    <w:p w14:paraId="4D943E24" w14:textId="031EF8FC" w:rsidR="00897A17" w:rsidRPr="00812D96" w:rsidRDefault="0088381B" w:rsidP="009841E7">
      <w:pPr>
        <w:jc w:val="center"/>
        <w:rPr>
          <w:i/>
        </w:rPr>
      </w:pPr>
      <w:r>
        <w:rPr>
          <w:noProof/>
        </w:rPr>
        <w:drawing>
          <wp:inline distT="0" distB="0" distL="0" distR="0" wp14:anchorId="564284AE" wp14:editId="0ECEFC7F">
            <wp:extent cx="5324475" cy="3514725"/>
            <wp:effectExtent l="0" t="0" r="9525" b="9525"/>
            <wp:docPr id="41065" name="Picture 41065"/>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92">
                      <a:extLst>
                        <a:ext uri="{28A0092B-C50C-407E-A947-70E740481C1C}">
                          <a14:useLocalDpi xmlns:a14="http://schemas.microsoft.com/office/drawing/2010/main" val="0"/>
                        </a:ext>
                      </a:extLst>
                    </a:blip>
                    <a:stretch>
                      <a:fillRect/>
                    </a:stretch>
                  </pic:blipFill>
                  <pic:spPr>
                    <a:xfrm>
                      <a:off x="0" y="0"/>
                      <a:ext cx="5324475" cy="3514725"/>
                    </a:xfrm>
                    <a:prstGeom prst="rect">
                      <a:avLst/>
                    </a:prstGeom>
                  </pic:spPr>
                </pic:pic>
              </a:graphicData>
            </a:graphic>
          </wp:inline>
        </w:drawing>
      </w:r>
    </w:p>
    <w:p w14:paraId="375A6A0C" w14:textId="77777777" w:rsidR="00EC5F47" w:rsidRDefault="00EC5F47" w:rsidP="004F05AD"/>
    <w:p w14:paraId="0F67354F" w14:textId="2E71DB79" w:rsidR="004F05AD" w:rsidRPr="00FC4F67" w:rsidRDefault="004F05AD" w:rsidP="005729D2">
      <w:pPr>
        <w:pStyle w:val="Heading3Numbered"/>
        <w:numPr>
          <w:ilvl w:val="2"/>
          <w:numId w:val="64"/>
        </w:numPr>
      </w:pPr>
      <w:bookmarkStart w:id="2856" w:name="_Toc417548284"/>
      <w:bookmarkStart w:id="2857" w:name="_Toc417594516"/>
      <w:bookmarkStart w:id="2858" w:name="_Toc417934614"/>
      <w:bookmarkStart w:id="2859" w:name="_Toc417935953"/>
      <w:bookmarkStart w:id="2860" w:name="_Toc417936415"/>
      <w:bookmarkStart w:id="2861" w:name="_Toc417946869"/>
      <w:bookmarkStart w:id="2862" w:name="_Toc417947283"/>
      <w:bookmarkStart w:id="2863" w:name="_Toc417982479"/>
      <w:bookmarkStart w:id="2864" w:name="_Toc417985904"/>
      <w:bookmarkStart w:id="2865" w:name="_Toc418000625"/>
      <w:bookmarkStart w:id="2866" w:name="_Toc418003768"/>
      <w:bookmarkStart w:id="2867" w:name="_Toc418011973"/>
      <w:bookmarkStart w:id="2868" w:name="_Toc418014621"/>
      <w:bookmarkStart w:id="2869" w:name="_Toc418029957"/>
      <w:bookmarkStart w:id="2870" w:name="_Toc418036893"/>
      <w:bookmarkStart w:id="2871" w:name="_Toc418061358"/>
      <w:bookmarkStart w:id="2872" w:name="_Toc418080707"/>
      <w:bookmarkStart w:id="2873" w:name="_Toc418081880"/>
      <w:bookmarkStart w:id="2874" w:name="_Toc418083282"/>
      <w:bookmarkStart w:id="2875" w:name="_Toc418095502"/>
      <w:bookmarkStart w:id="2876" w:name="_Toc418156673"/>
      <w:bookmarkStart w:id="2877" w:name="_Toc418167592"/>
      <w:bookmarkStart w:id="2878" w:name="_Toc418185849"/>
      <w:bookmarkStart w:id="2879" w:name="_Toc422941559"/>
      <w:bookmarkStart w:id="2880" w:name="_Toc423116765"/>
      <w:bookmarkStart w:id="2881" w:name="_Toc423117798"/>
      <w:bookmarkStart w:id="2882" w:name="_Toc423117248"/>
      <w:bookmarkStart w:id="2883" w:name="_Toc431288840"/>
      <w:r w:rsidRPr="003D4D9F">
        <w:t>System Center</w:t>
      </w:r>
      <w:r w:rsidR="00F57743" w:rsidRPr="003D4D9F">
        <w:t xml:space="preserve"> Operations Manager </w:t>
      </w:r>
      <w:r w:rsidR="009841E7" w:rsidRPr="003D4D9F">
        <w:t>M</w:t>
      </w:r>
      <w:r w:rsidR="003D4D9F">
        <w:t>anagement Packs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37DEB002" w14:textId="10171A69" w:rsidR="008D5118" w:rsidRDefault="00FB4EC6" w:rsidP="008D5118">
      <w:r w:rsidRPr="000D6900">
        <w:t>Microsoft</w:t>
      </w:r>
      <w:r w:rsidR="008D5118" w:rsidRPr="000D6900">
        <w:t xml:space="preserve"> System Center Operations Manager allows </w:t>
      </w:r>
      <w:r w:rsidR="008D5118">
        <w:t xml:space="preserve">for monitoring </w:t>
      </w:r>
      <w:r w:rsidR="008D5118" w:rsidRPr="000D6900">
        <w:t>Azure Storage by utilizing Management Packs.</w:t>
      </w:r>
      <w:r w:rsidR="008D5118">
        <w:t xml:space="preserve"> </w:t>
      </w:r>
      <w:r w:rsidR="008D5118" w:rsidRPr="003D4D9F">
        <w:t xml:space="preserve">The </w:t>
      </w:r>
      <w:r w:rsidR="008D5118">
        <w:t>m</w:t>
      </w:r>
      <w:r w:rsidR="008D5118" w:rsidRPr="003D4D9F">
        <w:t xml:space="preserve">anagement </w:t>
      </w:r>
      <w:r w:rsidR="008D5118">
        <w:t>p</w:t>
      </w:r>
      <w:r w:rsidR="008D5118" w:rsidRPr="003D4D9F">
        <w:t xml:space="preserve">ack for </w:t>
      </w:r>
      <w:r w:rsidR="008D5118">
        <w:t>Microsoft Azure</w:t>
      </w:r>
      <w:r w:rsidR="008D5118" w:rsidRPr="003D4D9F">
        <w:t xml:space="preserve"> enables </w:t>
      </w:r>
      <w:r w:rsidR="008D5118">
        <w:t xml:space="preserve">monitoring </w:t>
      </w:r>
      <w:r w:rsidR="008D5118" w:rsidRPr="003D4D9F">
        <w:t xml:space="preserve">the availability and performance of Azure </w:t>
      </w:r>
      <w:r w:rsidR="008D5118">
        <w:t>F</w:t>
      </w:r>
      <w:r w:rsidR="008D5118" w:rsidRPr="003D4D9F">
        <w:t xml:space="preserve">abric resources that are running on </w:t>
      </w:r>
      <w:r w:rsidR="008D5118">
        <w:t>Microsoft Azure</w:t>
      </w:r>
      <w:r w:rsidR="008D5118" w:rsidRPr="003D4D9F">
        <w:t xml:space="preserve">. </w:t>
      </w:r>
    </w:p>
    <w:p w14:paraId="5DA93875" w14:textId="7512FD16" w:rsidR="000D6900" w:rsidRPr="000D6900" w:rsidRDefault="008D5118" w:rsidP="008D5118">
      <w:r w:rsidRPr="003D4D9F">
        <w:t xml:space="preserve">The management pack runs on a specified server pool and then uses various </w:t>
      </w:r>
      <w:r>
        <w:t>Microsoft Azure</w:t>
      </w:r>
      <w:r w:rsidRPr="003D4D9F">
        <w:t xml:space="preserve"> APIs to remotely discover and collect instrumentation information about a specified </w:t>
      </w:r>
      <w:r>
        <w:t>Microsoft Azure</w:t>
      </w:r>
      <w:r w:rsidRPr="003D4D9F">
        <w:t xml:space="preserve"> resource, such as a </w:t>
      </w:r>
      <w:r>
        <w:t>c</w:t>
      </w:r>
      <w:r w:rsidRPr="003D4D9F">
        <w:t xml:space="preserve">loud </w:t>
      </w:r>
      <w:r>
        <w:t>s</w:t>
      </w:r>
      <w:r w:rsidRPr="003D4D9F">
        <w:t xml:space="preserve">ervice, </w:t>
      </w:r>
      <w:r>
        <w:t>s</w:t>
      </w:r>
      <w:r w:rsidRPr="003D4D9F">
        <w:t xml:space="preserve">torage, or </w:t>
      </w:r>
      <w:r>
        <w:t>v</w:t>
      </w:r>
      <w:r w:rsidRPr="003D4D9F">
        <w:t xml:space="preserve">irtual </w:t>
      </w:r>
      <w:r>
        <w:t>m</w:t>
      </w:r>
      <w:r w:rsidRPr="003D4D9F">
        <w:t>achines</w:t>
      </w:r>
      <w:r w:rsidR="003D4D9F" w:rsidRPr="003D4D9F">
        <w:t>.</w:t>
      </w:r>
    </w:p>
    <w:tbl>
      <w:tblPr>
        <w:tblStyle w:val="PlainTable11"/>
        <w:tblW w:w="0" w:type="auto"/>
        <w:tblLook w:val="04A0" w:firstRow="1" w:lastRow="0" w:firstColumn="1" w:lastColumn="0" w:noHBand="0" w:noVBand="1"/>
      </w:tblPr>
      <w:tblGrid>
        <w:gridCol w:w="3412"/>
        <w:gridCol w:w="5938"/>
      </w:tblGrid>
      <w:tr w:rsidR="00342927" w:rsidRPr="00F47607" w14:paraId="4B76CEC0" w14:textId="77777777" w:rsidTr="00FC04B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048DB574" w14:textId="7C05FE4B" w:rsidR="00342927" w:rsidRPr="00F47607" w:rsidRDefault="008D5118" w:rsidP="007260CA">
            <w:pPr>
              <w:spacing w:line="240" w:lineRule="auto"/>
              <w:rPr>
                <w:color w:val="FFFFFF"/>
              </w:rPr>
            </w:pPr>
            <w:r>
              <w:rPr>
                <w:color w:val="FFFFFF"/>
              </w:rPr>
              <w:t>Feature References</w:t>
            </w:r>
          </w:p>
        </w:tc>
      </w:tr>
      <w:tr w:rsidR="00342927" w:rsidRPr="00927F75" w14:paraId="1917F766" w14:textId="77777777" w:rsidTr="00FC04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27E66AA7" w14:textId="2866AF5D" w:rsidR="00342927" w:rsidRPr="000D6900" w:rsidRDefault="00342927" w:rsidP="007260CA">
            <w:pPr>
              <w:spacing w:line="240" w:lineRule="auto"/>
              <w:rPr>
                <w:sz w:val="20"/>
                <w:szCs w:val="20"/>
              </w:rPr>
            </w:pPr>
            <w:r w:rsidRPr="000D6900">
              <w:rPr>
                <w:sz w:val="20"/>
                <w:szCs w:val="20"/>
                <w:lang w:val="en"/>
              </w:rPr>
              <w:t>Monitor a Storage Account in the Azure Management Portal</w:t>
            </w:r>
          </w:p>
        </w:tc>
        <w:tc>
          <w:tcPr>
            <w:tcW w:w="5940" w:type="dxa"/>
          </w:tcPr>
          <w:p w14:paraId="4D964669" w14:textId="74A2D3E5" w:rsidR="00342927" w:rsidRPr="000D6900" w:rsidRDefault="00872E47" w:rsidP="007260CA">
            <w:pPr>
              <w:cnfStyle w:val="000000100000" w:firstRow="0" w:lastRow="0" w:firstColumn="0" w:lastColumn="0" w:oddVBand="0" w:evenVBand="0" w:oddHBand="1" w:evenHBand="0" w:firstRowFirstColumn="0" w:firstRowLastColumn="0" w:lastRowFirstColumn="0" w:lastRowLastColumn="0"/>
              <w:rPr>
                <w:sz w:val="20"/>
                <w:szCs w:val="20"/>
              </w:rPr>
            </w:pPr>
            <w:hyperlink r:id="rId193" w:history="1">
              <w:r w:rsidR="00342927" w:rsidRPr="000D6900">
                <w:rPr>
                  <w:rStyle w:val="Hyperlink"/>
                  <w:sz w:val="20"/>
                  <w:szCs w:val="20"/>
                  <w:lang w:val="en"/>
                </w:rPr>
                <w:t>http://azure.microsoft.com/en-us/documentation/articles/storage-monitor-storage-account/</w:t>
              </w:r>
            </w:hyperlink>
            <w:r w:rsidR="00342927" w:rsidRPr="000D6900">
              <w:rPr>
                <w:sz w:val="20"/>
                <w:szCs w:val="20"/>
              </w:rPr>
              <w:t xml:space="preserve"> </w:t>
            </w:r>
          </w:p>
        </w:tc>
      </w:tr>
      <w:tr w:rsidR="00342927" w:rsidRPr="00927F75" w14:paraId="05618D76" w14:textId="77777777" w:rsidTr="00FC04BA">
        <w:tc>
          <w:tcPr>
            <w:cnfStyle w:val="001000000000" w:firstRow="0" w:lastRow="0" w:firstColumn="1" w:lastColumn="0" w:oddVBand="0" w:evenVBand="0" w:oddHBand="0" w:evenHBand="0" w:firstRowFirstColumn="0" w:firstRowLastColumn="0" w:lastRowFirstColumn="0" w:lastRowLastColumn="0"/>
            <w:tcW w:w="3420" w:type="dxa"/>
          </w:tcPr>
          <w:p w14:paraId="477AC1F2" w14:textId="452AF714" w:rsidR="00342927" w:rsidRPr="000D6900" w:rsidRDefault="00342927" w:rsidP="007260CA">
            <w:pPr>
              <w:spacing w:line="240" w:lineRule="auto"/>
              <w:rPr>
                <w:sz w:val="20"/>
                <w:szCs w:val="20"/>
              </w:rPr>
            </w:pPr>
            <w:r w:rsidRPr="000D6900">
              <w:rPr>
                <w:sz w:val="20"/>
                <w:szCs w:val="20"/>
              </w:rPr>
              <w:t>Monitor, diagnose, and troubleshoot Microsoft Azure Storage</w:t>
            </w:r>
          </w:p>
        </w:tc>
        <w:tc>
          <w:tcPr>
            <w:tcW w:w="5940" w:type="dxa"/>
          </w:tcPr>
          <w:p w14:paraId="4B6F3C1A" w14:textId="795AB69E" w:rsidR="00342927" w:rsidRPr="000D6900" w:rsidRDefault="00872E47" w:rsidP="007260CA">
            <w:pPr>
              <w:cnfStyle w:val="000000000000" w:firstRow="0" w:lastRow="0" w:firstColumn="0" w:lastColumn="0" w:oddVBand="0" w:evenVBand="0" w:oddHBand="0" w:evenHBand="0" w:firstRowFirstColumn="0" w:firstRowLastColumn="0" w:lastRowFirstColumn="0" w:lastRowLastColumn="0"/>
              <w:rPr>
                <w:sz w:val="20"/>
                <w:szCs w:val="20"/>
              </w:rPr>
            </w:pPr>
            <w:hyperlink r:id="rId194" w:history="1">
              <w:r w:rsidR="00342927" w:rsidRPr="000D6900">
                <w:rPr>
                  <w:rStyle w:val="Hyperlink"/>
                  <w:sz w:val="20"/>
                  <w:szCs w:val="20"/>
                </w:rPr>
                <w:t>http://azure.microsoft.com/en-us/documentation/articles/storage-monitoring-diagnosing-troubleshooting/</w:t>
              </w:r>
            </w:hyperlink>
            <w:r w:rsidR="00342927" w:rsidRPr="000D6900">
              <w:rPr>
                <w:sz w:val="20"/>
                <w:szCs w:val="20"/>
              </w:rPr>
              <w:t xml:space="preserve"> </w:t>
            </w:r>
          </w:p>
        </w:tc>
      </w:tr>
      <w:tr w:rsidR="00342927" w:rsidRPr="00927F75" w14:paraId="3EB611E8" w14:textId="77777777" w:rsidTr="00FC04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0A7C9D72" w14:textId="3E1A126B" w:rsidR="00342927" w:rsidRPr="000D6900" w:rsidRDefault="00342927" w:rsidP="007260CA">
            <w:pPr>
              <w:spacing w:line="240" w:lineRule="auto"/>
              <w:rPr>
                <w:sz w:val="20"/>
                <w:szCs w:val="20"/>
              </w:rPr>
            </w:pPr>
            <w:r w:rsidRPr="000D6900">
              <w:rPr>
                <w:sz w:val="20"/>
                <w:szCs w:val="20"/>
                <w:lang w:val="en"/>
              </w:rPr>
              <w:t>End-to-End Troubleshooting using Azure Storage Metrics and Logging, AzCopy, and Message Analyzer</w:t>
            </w:r>
          </w:p>
        </w:tc>
        <w:tc>
          <w:tcPr>
            <w:tcW w:w="5940" w:type="dxa"/>
          </w:tcPr>
          <w:p w14:paraId="69B0CD04" w14:textId="39064EB8" w:rsidR="00342927" w:rsidRPr="000D6900" w:rsidRDefault="00872E47" w:rsidP="007260CA">
            <w:pPr>
              <w:cnfStyle w:val="000000100000" w:firstRow="0" w:lastRow="0" w:firstColumn="0" w:lastColumn="0" w:oddVBand="0" w:evenVBand="0" w:oddHBand="1" w:evenHBand="0" w:firstRowFirstColumn="0" w:firstRowLastColumn="0" w:lastRowFirstColumn="0" w:lastRowLastColumn="0"/>
              <w:rPr>
                <w:sz w:val="20"/>
                <w:szCs w:val="20"/>
              </w:rPr>
            </w:pPr>
            <w:hyperlink r:id="rId195" w:history="1">
              <w:r w:rsidR="00342927" w:rsidRPr="000D6900">
                <w:rPr>
                  <w:rStyle w:val="Hyperlink"/>
                  <w:sz w:val="20"/>
                  <w:szCs w:val="20"/>
                </w:rPr>
                <w:t>http://azure.microsoft.com/en-us/documentation/articles/storage-e2e-troubleshooting</w:t>
              </w:r>
            </w:hyperlink>
            <w:r w:rsidR="00342927" w:rsidRPr="000D6900">
              <w:rPr>
                <w:sz w:val="20"/>
                <w:szCs w:val="20"/>
              </w:rPr>
              <w:t xml:space="preserve"> </w:t>
            </w:r>
          </w:p>
        </w:tc>
      </w:tr>
      <w:tr w:rsidR="00342927" w14:paraId="6DCBB6DA" w14:textId="77777777" w:rsidTr="00FC04BA">
        <w:tc>
          <w:tcPr>
            <w:cnfStyle w:val="001000000000" w:firstRow="0" w:lastRow="0" w:firstColumn="1" w:lastColumn="0" w:oddVBand="0" w:evenVBand="0" w:oddHBand="0" w:evenHBand="0" w:firstRowFirstColumn="0" w:firstRowLastColumn="0" w:lastRowFirstColumn="0" w:lastRowLastColumn="0"/>
            <w:tcW w:w="3420" w:type="dxa"/>
          </w:tcPr>
          <w:p w14:paraId="69D9C9FE" w14:textId="311F036A" w:rsidR="00342927" w:rsidRPr="000D6900" w:rsidRDefault="00342927" w:rsidP="007260CA">
            <w:pPr>
              <w:spacing w:line="240" w:lineRule="auto"/>
              <w:rPr>
                <w:sz w:val="20"/>
                <w:szCs w:val="20"/>
                <w:lang w:val="en"/>
              </w:rPr>
            </w:pPr>
            <w:r w:rsidRPr="000D6900">
              <w:rPr>
                <w:sz w:val="20"/>
                <w:szCs w:val="20"/>
              </w:rPr>
              <w:t>Storage Analytics</w:t>
            </w:r>
          </w:p>
        </w:tc>
        <w:tc>
          <w:tcPr>
            <w:tcW w:w="5940" w:type="dxa"/>
          </w:tcPr>
          <w:p w14:paraId="632717DF" w14:textId="2B4A4F3B" w:rsidR="00342927" w:rsidRPr="000D6900" w:rsidRDefault="00872E47" w:rsidP="007260CA">
            <w:pPr>
              <w:cnfStyle w:val="000000000000" w:firstRow="0" w:lastRow="0" w:firstColumn="0" w:lastColumn="0" w:oddVBand="0" w:evenVBand="0" w:oddHBand="0" w:evenHBand="0" w:firstRowFirstColumn="0" w:firstRowLastColumn="0" w:lastRowFirstColumn="0" w:lastRowLastColumn="0"/>
              <w:rPr>
                <w:sz w:val="20"/>
                <w:szCs w:val="20"/>
              </w:rPr>
            </w:pPr>
            <w:hyperlink r:id="rId196" w:history="1">
              <w:r w:rsidR="00342927" w:rsidRPr="000D6900">
                <w:rPr>
                  <w:rStyle w:val="Hyperlink"/>
                  <w:sz w:val="20"/>
                  <w:szCs w:val="20"/>
                </w:rPr>
                <w:t>http://azure.microsoft.com/en-us/documentation/articles/storage-analytics</w:t>
              </w:r>
            </w:hyperlink>
          </w:p>
        </w:tc>
      </w:tr>
      <w:tr w:rsidR="00342927" w14:paraId="7D3EB8F9" w14:textId="77777777" w:rsidTr="00FC04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3B32B82A" w14:textId="5EDE0A8D" w:rsidR="00342927" w:rsidRPr="000D6900" w:rsidRDefault="00342927" w:rsidP="007260CA">
            <w:pPr>
              <w:spacing w:line="240" w:lineRule="auto"/>
              <w:rPr>
                <w:sz w:val="20"/>
                <w:szCs w:val="20"/>
                <w:lang w:val="en"/>
              </w:rPr>
            </w:pPr>
            <w:r w:rsidRPr="000D6900">
              <w:rPr>
                <w:sz w:val="20"/>
                <w:szCs w:val="20"/>
                <w:lang w:val="en"/>
              </w:rPr>
              <w:t>How to: Receive Alert Notifications and Manage Alert Rules in Azure</w:t>
            </w:r>
          </w:p>
        </w:tc>
        <w:tc>
          <w:tcPr>
            <w:tcW w:w="5940" w:type="dxa"/>
          </w:tcPr>
          <w:p w14:paraId="01BD930F" w14:textId="4BE60822" w:rsidR="00342927" w:rsidRPr="000D6900" w:rsidRDefault="00872E47" w:rsidP="007260CA">
            <w:pPr>
              <w:cnfStyle w:val="000000100000" w:firstRow="0" w:lastRow="0" w:firstColumn="0" w:lastColumn="0" w:oddVBand="0" w:evenVBand="0" w:oddHBand="1" w:evenHBand="0" w:firstRowFirstColumn="0" w:firstRowLastColumn="0" w:lastRowFirstColumn="0" w:lastRowLastColumn="0"/>
              <w:rPr>
                <w:sz w:val="20"/>
                <w:szCs w:val="20"/>
              </w:rPr>
            </w:pPr>
            <w:hyperlink r:id="rId197" w:history="1">
              <w:r w:rsidR="00342927" w:rsidRPr="000D6900">
                <w:rPr>
                  <w:rStyle w:val="Hyperlink"/>
                  <w:sz w:val="20"/>
                  <w:szCs w:val="20"/>
                </w:rPr>
                <w:t>https://msdn.microsoft.com/en-us/library/azure/dn306638.aspx</w:t>
              </w:r>
            </w:hyperlink>
          </w:p>
          <w:p w14:paraId="23CFFD8C" w14:textId="48871857" w:rsidR="00342927" w:rsidRPr="000D6900" w:rsidRDefault="00342927" w:rsidP="007260CA">
            <w:pPr>
              <w:cnfStyle w:val="000000100000" w:firstRow="0" w:lastRow="0" w:firstColumn="0" w:lastColumn="0" w:oddVBand="0" w:evenVBand="0" w:oddHBand="1" w:evenHBand="0" w:firstRowFirstColumn="0" w:firstRowLastColumn="0" w:lastRowFirstColumn="0" w:lastRowLastColumn="0"/>
              <w:rPr>
                <w:sz w:val="20"/>
                <w:szCs w:val="20"/>
              </w:rPr>
            </w:pPr>
          </w:p>
        </w:tc>
      </w:tr>
      <w:tr w:rsidR="00342927" w14:paraId="3B5EEB31" w14:textId="77777777" w:rsidTr="00FC04BA">
        <w:tc>
          <w:tcPr>
            <w:cnfStyle w:val="001000000000" w:firstRow="0" w:lastRow="0" w:firstColumn="1" w:lastColumn="0" w:oddVBand="0" w:evenVBand="0" w:oddHBand="0" w:evenHBand="0" w:firstRowFirstColumn="0" w:firstRowLastColumn="0" w:lastRowFirstColumn="0" w:lastRowLastColumn="0"/>
            <w:tcW w:w="3420" w:type="dxa"/>
          </w:tcPr>
          <w:p w14:paraId="6A4B35D8" w14:textId="51306BFF" w:rsidR="00342927" w:rsidRPr="000D6900" w:rsidRDefault="001563B2" w:rsidP="007260CA">
            <w:pPr>
              <w:spacing w:line="240" w:lineRule="auto"/>
              <w:rPr>
                <w:sz w:val="20"/>
                <w:szCs w:val="20"/>
                <w:lang w:val="en"/>
              </w:rPr>
            </w:pPr>
            <w:r w:rsidRPr="000D6900">
              <w:rPr>
                <w:sz w:val="20"/>
                <w:szCs w:val="20"/>
                <w:lang w:val="en"/>
              </w:rPr>
              <w:t>Understanding Monitoring Alerts and Notifications in Azure</w:t>
            </w:r>
          </w:p>
        </w:tc>
        <w:tc>
          <w:tcPr>
            <w:tcW w:w="5940" w:type="dxa"/>
          </w:tcPr>
          <w:p w14:paraId="23AEFADB" w14:textId="686D193B" w:rsidR="00777B36" w:rsidRPr="000D6900" w:rsidRDefault="00872E47" w:rsidP="007260CA">
            <w:pPr>
              <w:cnfStyle w:val="000000000000" w:firstRow="0" w:lastRow="0" w:firstColumn="0" w:lastColumn="0" w:oddVBand="0" w:evenVBand="0" w:oddHBand="0" w:evenHBand="0" w:firstRowFirstColumn="0" w:firstRowLastColumn="0" w:lastRowFirstColumn="0" w:lastRowLastColumn="0"/>
              <w:rPr>
                <w:sz w:val="20"/>
                <w:szCs w:val="20"/>
              </w:rPr>
            </w:pPr>
            <w:hyperlink r:id="rId198" w:history="1">
              <w:r w:rsidR="00777B36" w:rsidRPr="000D6900">
                <w:rPr>
                  <w:rStyle w:val="Hyperlink"/>
                  <w:sz w:val="20"/>
                  <w:szCs w:val="20"/>
                </w:rPr>
                <w:t>https://msdn.microsoft.com/en-us/library/azure/dn306639.aspx</w:t>
              </w:r>
            </w:hyperlink>
          </w:p>
          <w:p w14:paraId="625D9661" w14:textId="0ADA5756" w:rsidR="00342927" w:rsidRPr="000D6900" w:rsidRDefault="00342927" w:rsidP="007260CA">
            <w:pPr>
              <w:cnfStyle w:val="000000000000" w:firstRow="0" w:lastRow="0" w:firstColumn="0" w:lastColumn="0" w:oddVBand="0" w:evenVBand="0" w:oddHBand="0" w:evenHBand="0" w:firstRowFirstColumn="0" w:firstRowLastColumn="0" w:lastRowFirstColumn="0" w:lastRowLastColumn="0"/>
              <w:rPr>
                <w:sz w:val="20"/>
                <w:szCs w:val="20"/>
              </w:rPr>
            </w:pPr>
          </w:p>
        </w:tc>
      </w:tr>
      <w:tr w:rsidR="000A11EC" w14:paraId="0053DE51" w14:textId="77777777" w:rsidTr="00FC04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2BAF23B0" w14:textId="53311CEA" w:rsidR="000A11EC" w:rsidRPr="000D6900" w:rsidRDefault="000A11EC" w:rsidP="007260CA">
            <w:pPr>
              <w:spacing w:line="240" w:lineRule="auto"/>
              <w:rPr>
                <w:sz w:val="20"/>
                <w:szCs w:val="20"/>
                <w:lang w:val="en"/>
              </w:rPr>
            </w:pPr>
            <w:r w:rsidRPr="000A11EC">
              <w:rPr>
                <w:sz w:val="20"/>
                <w:szCs w:val="20"/>
                <w:lang w:val="en"/>
              </w:rPr>
              <w:t>Azure Storage Analytics Metrics Management Pack</w:t>
            </w:r>
          </w:p>
        </w:tc>
        <w:tc>
          <w:tcPr>
            <w:tcW w:w="5940" w:type="dxa"/>
          </w:tcPr>
          <w:p w14:paraId="78F8EAC7" w14:textId="7ABEC51C" w:rsidR="000A11EC" w:rsidRPr="000D6900" w:rsidRDefault="00872E47" w:rsidP="007260CA">
            <w:pPr>
              <w:cnfStyle w:val="000000100000" w:firstRow="0" w:lastRow="0" w:firstColumn="0" w:lastColumn="0" w:oddVBand="0" w:evenVBand="0" w:oddHBand="1" w:evenHBand="0" w:firstRowFirstColumn="0" w:firstRowLastColumn="0" w:lastRowFirstColumn="0" w:lastRowLastColumn="0"/>
              <w:rPr>
                <w:sz w:val="20"/>
                <w:szCs w:val="20"/>
              </w:rPr>
            </w:pPr>
            <w:hyperlink r:id="rId199" w:history="1">
              <w:r w:rsidR="000A11EC" w:rsidRPr="00E45036">
                <w:rPr>
                  <w:rStyle w:val="Hyperlink"/>
                  <w:sz w:val="20"/>
                  <w:szCs w:val="20"/>
                </w:rPr>
                <w:t>http://blogs.technet.com/b/omx/archive/2014/08/15/azure-storage-analytics-metrics-management-pack.aspx</w:t>
              </w:r>
            </w:hyperlink>
            <w:r w:rsidR="000A11EC">
              <w:rPr>
                <w:sz w:val="20"/>
                <w:szCs w:val="20"/>
              </w:rPr>
              <w:t xml:space="preserve"> </w:t>
            </w:r>
          </w:p>
        </w:tc>
      </w:tr>
      <w:tr w:rsidR="000A11EC" w14:paraId="1AE405A5" w14:textId="77777777" w:rsidTr="00FC04BA">
        <w:tc>
          <w:tcPr>
            <w:cnfStyle w:val="001000000000" w:firstRow="0" w:lastRow="0" w:firstColumn="1" w:lastColumn="0" w:oddVBand="0" w:evenVBand="0" w:oddHBand="0" w:evenHBand="0" w:firstRowFirstColumn="0" w:firstRowLastColumn="0" w:lastRowFirstColumn="0" w:lastRowLastColumn="0"/>
            <w:tcW w:w="3420" w:type="dxa"/>
          </w:tcPr>
          <w:p w14:paraId="540B8302" w14:textId="2DDF1733" w:rsidR="000A11EC" w:rsidRPr="000A11EC" w:rsidRDefault="000A11EC" w:rsidP="007260CA">
            <w:pPr>
              <w:spacing w:line="240" w:lineRule="auto"/>
              <w:rPr>
                <w:sz w:val="20"/>
                <w:szCs w:val="20"/>
                <w:lang w:val="en"/>
              </w:rPr>
            </w:pPr>
            <w:r w:rsidRPr="000A11EC">
              <w:rPr>
                <w:sz w:val="20"/>
                <w:szCs w:val="20"/>
                <w:lang w:val="en"/>
              </w:rPr>
              <w:t xml:space="preserve">System Center Management Pack for </w:t>
            </w:r>
            <w:r w:rsidR="00E86534">
              <w:rPr>
                <w:sz w:val="20"/>
                <w:szCs w:val="20"/>
                <w:lang w:val="en"/>
              </w:rPr>
              <w:t>Microsoft Azure</w:t>
            </w:r>
          </w:p>
        </w:tc>
        <w:tc>
          <w:tcPr>
            <w:tcW w:w="5940" w:type="dxa"/>
          </w:tcPr>
          <w:p w14:paraId="58ADB420" w14:textId="5E661CB1" w:rsidR="000A11EC" w:rsidRDefault="00872E47" w:rsidP="007260CA">
            <w:pPr>
              <w:cnfStyle w:val="000000000000" w:firstRow="0" w:lastRow="0" w:firstColumn="0" w:lastColumn="0" w:oddVBand="0" w:evenVBand="0" w:oddHBand="0" w:evenHBand="0" w:firstRowFirstColumn="0" w:firstRowLastColumn="0" w:lastRowFirstColumn="0" w:lastRowLastColumn="0"/>
              <w:rPr>
                <w:sz w:val="20"/>
                <w:szCs w:val="20"/>
              </w:rPr>
            </w:pPr>
            <w:hyperlink r:id="rId200" w:history="1">
              <w:r w:rsidR="000A11EC" w:rsidRPr="00E45036">
                <w:rPr>
                  <w:rStyle w:val="Hyperlink"/>
                  <w:sz w:val="20"/>
                  <w:szCs w:val="20"/>
                </w:rPr>
                <w:t>http://www.microsoft.com/en-us/download/details.aspx?id=38414</w:t>
              </w:r>
            </w:hyperlink>
            <w:r w:rsidR="000A11EC">
              <w:rPr>
                <w:sz w:val="20"/>
                <w:szCs w:val="20"/>
              </w:rPr>
              <w:t xml:space="preserve"> </w:t>
            </w:r>
          </w:p>
        </w:tc>
      </w:tr>
      <w:tr w:rsidR="0048689C" w14:paraId="151B1EF0" w14:textId="77777777" w:rsidTr="00FC04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2A21DE18" w14:textId="29D65893" w:rsidR="0048689C" w:rsidRPr="000A11EC" w:rsidRDefault="0048689C" w:rsidP="007260CA">
            <w:pPr>
              <w:spacing w:line="240" w:lineRule="auto"/>
              <w:rPr>
                <w:sz w:val="20"/>
                <w:szCs w:val="20"/>
                <w:lang w:val="en"/>
              </w:rPr>
            </w:pPr>
            <w:r w:rsidRPr="0048689C">
              <w:rPr>
                <w:sz w:val="20"/>
                <w:szCs w:val="20"/>
                <w:lang w:val="en"/>
              </w:rPr>
              <w:t>How to Monitor for Storage Account Throttling</w:t>
            </w:r>
          </w:p>
        </w:tc>
        <w:tc>
          <w:tcPr>
            <w:tcW w:w="5940" w:type="dxa"/>
          </w:tcPr>
          <w:p w14:paraId="705201C7" w14:textId="50FCCAA9" w:rsidR="0048689C" w:rsidRDefault="00872E47" w:rsidP="007260CA">
            <w:pPr>
              <w:cnfStyle w:val="000000100000" w:firstRow="0" w:lastRow="0" w:firstColumn="0" w:lastColumn="0" w:oddVBand="0" w:evenVBand="0" w:oddHBand="1" w:evenHBand="0" w:firstRowFirstColumn="0" w:firstRowLastColumn="0" w:lastRowFirstColumn="0" w:lastRowLastColumn="0"/>
            </w:pPr>
            <w:hyperlink r:id="rId201" w:history="1">
              <w:r w:rsidR="0048689C" w:rsidRPr="0048689C">
                <w:rPr>
                  <w:rStyle w:val="Hyperlink"/>
                  <w:sz w:val="20"/>
                </w:rPr>
                <w:t>http://blogs.msdn.com/b/mast/archive/2014/08/02/how-to-monitor-for-storage-account-throttling.aspx</w:t>
              </w:r>
            </w:hyperlink>
            <w:r w:rsidR="0048689C" w:rsidRPr="0048689C">
              <w:rPr>
                <w:sz w:val="20"/>
              </w:rPr>
              <w:t xml:space="preserve"> </w:t>
            </w:r>
          </w:p>
        </w:tc>
      </w:tr>
    </w:tbl>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0A11EC" w14:paraId="62CFBD2D" w14:textId="77777777" w:rsidTr="00586ECE">
        <w:trPr>
          <w:trHeight w:val="423"/>
        </w:trPr>
        <w:tc>
          <w:tcPr>
            <w:tcW w:w="666" w:type="dxa"/>
          </w:tcPr>
          <w:p w14:paraId="73DAFA6A" w14:textId="77777777" w:rsidR="000A11EC" w:rsidRDefault="000A11EC" w:rsidP="00586ECE">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56993F9D" wp14:editId="35B9504E">
                      <wp:extent cx="200025" cy="180975"/>
                      <wp:effectExtent l="57150" t="19050" r="28575" b="104775"/>
                      <wp:docPr id="41169" name="Octagon 41169"/>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52A8C30" id="Octagon 41169"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2dYcwIAAFIFAAAOAAAAZHJzL2Uyb0RvYy54bWysVN1r2zAQfx/sfxB6Xx1n6VeoU0JKx6C0&#10;Ze3osyJLiUDWaSclTvbX7yQ7bugKhbEX+073u++Pq+tdY9lWYTDgKl6ejDhTTkJt3KriP59vv1xw&#10;FqJwtbDgVMX3KvDr2edPV62fqjGswdYKGRlxYdr6iq9j9NOiCHKtGhFOwCtHQg3YiEgsrooaRUvW&#10;G1uMR6OzogWsPYJUIdDrTSfks2xfayXjg9ZBRWYrTrHF/MX8XaZvMbsS0xUKvzayD0P8QxSNMI6c&#10;DqZuRBRsg+YvU42RCAF0PJHQFKC1kSrnQNmUozfZPK2FVzkXKk7wQ5nC/zMr77ePyExd8UlZnl1y&#10;5kRDbXqQUazAse6RitT6MCXsk3/EngtEpox3Gpv0p1zYLhd2PxRW7SKT9EidGo1POZMkKi9Gl+en&#10;qfDFq7LHEL8paFgiKg6d+1xRsb0LsUMfUMldAGvqW2NtZnC1XFhkW0FtXizIW+4sOTiCFSmHLupM&#10;xb1VSdm6H0pTCSjOMnvMw6cGe0JK5eK4jzijk5om34Pi148Ve3xSVXkwB+Xxx8qDRvYMLg7KjXGA&#10;7xmwsexD1h2eCn6UdyKXUO+p+wjdWgQvbw3V/06E+CiQ9oA2hnY7PtBHW2ipMT3F2Rrw93vvCU/j&#10;SVLOWtqriodfG4GKM/vd0eBelpNJWsTMTE7Px8TgsWR5LHGbZgHU05KuiJeZTPhoD6RGaF7oBMyT&#10;VxIJJ8l3xWXEA7OI3b7TEZFqPs8wWj4v4p178vLQ9TRcz7sXgb4fwkjTew+HHRTTN4PYYVM/HMw3&#10;EbTJU/pa177etLh51Psjky7DMZ9Rr6dw9gc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AkS2dY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449767EF" w14:textId="77777777" w:rsidR="00C80FD9" w:rsidRDefault="000A11EC" w:rsidP="00586ECE">
            <w:pPr>
              <w:rPr>
                <w:lang w:eastAsia="en-US"/>
              </w:rPr>
            </w:pPr>
            <w:r w:rsidRPr="00192064">
              <w:rPr>
                <w:b/>
                <w:lang w:eastAsia="en-US"/>
              </w:rPr>
              <w:t>Mandatory</w:t>
            </w:r>
            <w:r>
              <w:rPr>
                <w:lang w:eastAsia="en-US"/>
              </w:rPr>
              <w:t xml:space="preserve">:  </w:t>
            </w:r>
          </w:p>
          <w:p w14:paraId="0778102E" w14:textId="77777777" w:rsidR="008D5118" w:rsidRPr="00C80FD9" w:rsidRDefault="008D5118" w:rsidP="005729D2">
            <w:pPr>
              <w:pStyle w:val="ListParagraph"/>
              <w:numPr>
                <w:ilvl w:val="0"/>
                <w:numId w:val="165"/>
              </w:numPr>
              <w:rPr>
                <w:lang w:val="en"/>
              </w:rPr>
            </w:pPr>
            <w:r>
              <w:rPr>
                <w:lang w:val="en"/>
              </w:rPr>
              <w:t>Storage Analytics is not enabled by default so you need to enable this feature for any services that you want to monitor.</w:t>
            </w:r>
          </w:p>
          <w:p w14:paraId="24117A79" w14:textId="77777777" w:rsidR="008D5118" w:rsidRPr="00C80FD9" w:rsidRDefault="008D5118" w:rsidP="005729D2">
            <w:pPr>
              <w:pStyle w:val="ListParagraph"/>
              <w:numPr>
                <w:ilvl w:val="0"/>
                <w:numId w:val="165"/>
              </w:numPr>
            </w:pPr>
            <w:r w:rsidRPr="00C80FD9">
              <w:t>You can create up to</w:t>
            </w:r>
            <w:r>
              <w:t> 1</w:t>
            </w:r>
            <w:r w:rsidRPr="00C80FD9">
              <w:t>0 alert rules for each Azure subscription. If you reach the maximum number of allowable rules, you must remove an existing rule before you can create another.</w:t>
            </w:r>
          </w:p>
          <w:p w14:paraId="4D942B8E" w14:textId="77777777" w:rsidR="008D5118" w:rsidRPr="00C80FD9" w:rsidRDefault="008D5118" w:rsidP="005729D2">
            <w:pPr>
              <w:pStyle w:val="ListParagraph"/>
              <w:numPr>
                <w:ilvl w:val="0"/>
                <w:numId w:val="165"/>
              </w:numPr>
            </w:pPr>
            <w:r w:rsidRPr="00C80FD9">
              <w:t>The Azure File service does not currently support Storage Analytics.</w:t>
            </w:r>
          </w:p>
          <w:p w14:paraId="32C5A174" w14:textId="4857B7E2" w:rsidR="000A11EC" w:rsidRDefault="008D5118" w:rsidP="005729D2">
            <w:pPr>
              <w:pStyle w:val="ListParagraph"/>
              <w:numPr>
                <w:ilvl w:val="0"/>
                <w:numId w:val="165"/>
              </w:numPr>
              <w:rPr>
                <w:lang w:eastAsia="en-US"/>
              </w:rPr>
            </w:pPr>
            <w:r w:rsidRPr="00C80FD9">
              <w:t>Currently, capacity metrics are only available for the Blob service</w:t>
            </w:r>
            <w:r w:rsidR="00C80FD9" w:rsidRPr="00C80FD9">
              <w:t>.</w:t>
            </w:r>
          </w:p>
        </w:tc>
      </w:tr>
      <w:tr w:rsidR="000A11EC" w14:paraId="3986ED36" w14:textId="77777777" w:rsidTr="00586ECE">
        <w:trPr>
          <w:trHeight w:val="423"/>
        </w:trPr>
        <w:tc>
          <w:tcPr>
            <w:tcW w:w="666" w:type="dxa"/>
          </w:tcPr>
          <w:p w14:paraId="1CCBB8FA" w14:textId="77777777" w:rsidR="000A11EC" w:rsidRDefault="000A11EC" w:rsidP="00586ECE">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447296" behindDoc="0" locked="0" layoutInCell="1" allowOverlap="1" wp14:anchorId="0A74A06A" wp14:editId="214A94B5">
                      <wp:simplePos x="0" y="0"/>
                      <wp:positionH relativeFrom="column">
                        <wp:posOffset>66675</wp:posOffset>
                      </wp:positionH>
                      <wp:positionV relativeFrom="paragraph">
                        <wp:posOffset>90170</wp:posOffset>
                      </wp:positionV>
                      <wp:extent cx="209550" cy="180975"/>
                      <wp:effectExtent l="57150" t="19050" r="57150" b="104775"/>
                      <wp:wrapNone/>
                      <wp:docPr id="41167" name="Isosceles Triangle 411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62F97D2B" id="Isosceles Triangle 41167" o:spid="_x0000_s1026" type="#_x0000_t5" style="position:absolute;margin-left:5.25pt;margin-top:7.1pt;width:16.5pt;height:14.25pt;z-index:25144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jtkig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Oi&#10;OD2jxLAG23TrwXOhhSePTjGz0YJ0eqxXa32JZg/23sWMvV0B/+FRkf2hiYLvMQfpmojFfMkhFf84&#10;Fl8cAuH4c5JfzGbYIo6q4jy/OJvF5mSsHIyt8+GLgIbES0VDH1gqO9uvfOjgAyzFBlrVS6V1Etxm&#10;fa0d2TPkwhK/PLUfX/DPsJRDF3ZKIBy1iMbafBMS64SBFunFxFAx+mOcCxNO+5ATOppJfHs0/Py+&#10;YY+PpiKxdzSevG88WqSXwYTRuFEG3FsOdCj6kGWH77vou7xjCdZQH5EiDrrZ8ZYvFTZgxXy4Zw6H&#10;BXuGCyB8xUNqaCsK/Y2SLbhfb/2PeOQwailpcfgq6n/umBOU6FuD7L4optM4rUmYzs4mKLiXmvVL&#10;jdk114A9LXDVWJ6uER/0cJUOmifcE4v4KqqY4fh2RXlwg3AduqWAm4aLxSLBcEItCyvzYPnQ9Uiu&#10;x8MTc3ZgIdL3DoZBZeUrInbY2A8Di10AqRJLn+va1xunO3G930RxfbyUE+p5X85/AwAA//8DAFBL&#10;AwQUAAYACAAAACEANTxCMNkAAAAHAQAADwAAAGRycy9kb3ducmV2LnhtbEyOzU7DMBCE70i8g7VI&#10;XFDrkIa2CnEqhJIjqig8gBNvfoS9jmK3DW/PcoLTaDSjma84LM6KC85h9KTgcZ2AQGq9GalX8PlR&#10;r/YgQtRktPWECr4xwKG8vSl0bvyV3vFyir3gEQq5VjDEOOVShnZAp8PaT0icdX52OrKde2lmfeVx&#10;Z2WaJFvp9Ej8MOgJXwdsv05np8A3y7Hb1Lv9Q+0m+9ZVVeaOlVL3d8vLM4iIS/wrwy8+o0PJTI0/&#10;kwnCsk+euMmapSA4zzbsG9Z0B7Is5H/+8gcAAP//AwBQSwECLQAUAAYACAAAACEAtoM4kv4AAADh&#10;AQAAEwAAAAAAAAAAAAAAAAAAAAAAW0NvbnRlbnRfVHlwZXNdLnhtbFBLAQItABQABgAIAAAAIQA4&#10;/SH/1gAAAJQBAAALAAAAAAAAAAAAAAAAAC8BAABfcmVscy8ucmVsc1BLAQItABQABgAIAAAAIQBP&#10;KjtkigIAAHcFAAAOAAAAAAAAAAAAAAAAAC4CAABkcnMvZTJvRG9jLnhtbFBLAQItABQABgAIAAAA&#10;IQA1PEIw2QAAAAcBAAAPAAAAAAAAAAAAAAAAAOQEAABkcnMvZG93bnJldi54bWxQSwUGAAAAAAQA&#10;BADzAAAA6gUAAAAA&#10;" fillcolor="yellow" strokecolor="#70ad47 [3209]" strokeweight=".5pt">
                      <v:path arrowok="t"/>
                    </v:shape>
                  </w:pict>
                </mc:Fallback>
              </mc:AlternateContent>
            </w:r>
          </w:p>
        </w:tc>
        <w:tc>
          <w:tcPr>
            <w:tcW w:w="8604" w:type="dxa"/>
          </w:tcPr>
          <w:p w14:paraId="06DFD92C" w14:textId="77777777" w:rsidR="00C80FD9" w:rsidRDefault="000A11EC" w:rsidP="00586ECE">
            <w:pPr>
              <w:rPr>
                <w:rFonts w:eastAsiaTheme="minorHAnsi"/>
                <w:lang w:eastAsia="en-US"/>
              </w:rPr>
            </w:pPr>
            <w:r>
              <w:rPr>
                <w:rFonts w:eastAsiaTheme="minorHAnsi"/>
                <w:b/>
                <w:lang w:eastAsia="en-US"/>
              </w:rPr>
              <w:t xml:space="preserve">Recommended: </w:t>
            </w:r>
            <w:r>
              <w:rPr>
                <w:rFonts w:eastAsiaTheme="minorHAnsi"/>
                <w:lang w:eastAsia="en-US"/>
              </w:rPr>
              <w:t xml:space="preserve"> </w:t>
            </w:r>
          </w:p>
          <w:p w14:paraId="3DC52D78" w14:textId="77777777" w:rsidR="008D5118" w:rsidRPr="00C80FD9" w:rsidRDefault="008D5118" w:rsidP="005729D2">
            <w:pPr>
              <w:pStyle w:val="ListParagraph"/>
              <w:numPr>
                <w:ilvl w:val="0"/>
                <w:numId w:val="166"/>
              </w:numPr>
            </w:pPr>
            <w:r w:rsidRPr="000D6900">
              <w:t>Consider costs when you select the metrics. There are transaction and egress costs associated with ref</w:t>
            </w:r>
            <w:r>
              <w:t>reshing monitoring displays. Additional costs are associated with examining monitoring data in the Management portal.</w:t>
            </w:r>
          </w:p>
          <w:p w14:paraId="4E84037F" w14:textId="506E2657" w:rsidR="000A11EC" w:rsidRDefault="008D5118" w:rsidP="005729D2">
            <w:pPr>
              <w:pStyle w:val="ListParagraph"/>
              <w:numPr>
                <w:ilvl w:val="0"/>
                <w:numId w:val="166"/>
              </w:numPr>
            </w:pPr>
            <w:r w:rsidRPr="00C80FD9">
              <w:rPr>
                <w:lang w:val="en"/>
              </w:rPr>
              <w:t>As a user of Azure Storage services, you should continuously monitor the services your application uses for any unexpected changes in behavior (such as slower than usual response times)</w:t>
            </w:r>
            <w:r>
              <w:rPr>
                <w:lang w:val="en"/>
              </w:rPr>
              <w:t>.</w:t>
            </w:r>
            <w:r w:rsidRPr="00C80FD9">
              <w:rPr>
                <w:lang w:val="en"/>
              </w:rPr>
              <w:t xml:space="preserve"> </w:t>
            </w:r>
            <w:r>
              <w:rPr>
                <w:lang w:val="en"/>
              </w:rPr>
              <w:t>Also</w:t>
            </w:r>
            <w:r w:rsidRPr="00C80FD9">
              <w:rPr>
                <w:lang w:val="en"/>
              </w:rPr>
              <w:t xml:space="preserve"> use logging to collect more detailed data and to analyze a problem in depth. The diagnostics information you obtain from monitoring and logging will help you determine the root cause of the issue your application encountered</w:t>
            </w:r>
            <w:r w:rsidR="00C80FD9" w:rsidRPr="00C80FD9">
              <w:rPr>
                <w:lang w:val="en"/>
              </w:rPr>
              <w:t>.</w:t>
            </w:r>
          </w:p>
        </w:tc>
      </w:tr>
      <w:tr w:rsidR="003D4D9F" w14:paraId="25C42B10" w14:textId="77777777" w:rsidTr="00586ECE">
        <w:trPr>
          <w:trHeight w:val="423"/>
        </w:trPr>
        <w:tc>
          <w:tcPr>
            <w:tcW w:w="666" w:type="dxa"/>
          </w:tcPr>
          <w:p w14:paraId="0403C634" w14:textId="77777777" w:rsidR="003D4D9F" w:rsidRDefault="003D4D9F" w:rsidP="00586ECE">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462656" behindDoc="0" locked="0" layoutInCell="1" allowOverlap="1" wp14:anchorId="71B4DECC" wp14:editId="4537AB76">
                      <wp:simplePos x="0" y="0"/>
                      <wp:positionH relativeFrom="column">
                        <wp:posOffset>66675</wp:posOffset>
                      </wp:positionH>
                      <wp:positionV relativeFrom="paragraph">
                        <wp:posOffset>90170</wp:posOffset>
                      </wp:positionV>
                      <wp:extent cx="180975" cy="180975"/>
                      <wp:effectExtent l="57150" t="19050" r="9525" b="104775"/>
                      <wp:wrapNone/>
                      <wp:docPr id="41174" name="Oval 41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74F7850E" id="Oval 41174" o:spid="_x0000_s1026" style="position:absolute;margin-left:5.25pt;margin-top:7.1pt;width:14.25pt;height:14.25pt;z-index:25146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bh4fgIAAGgFAAAOAAAAZHJzL2Uyb0RvYy54bWysVN9P2zAQfp+0/8Hy+0hSyoCIFHUgpkkV&#10;oMHEs+vYrTXb59lu0+6v39lJAxuTkKa9WD7fdz/93V1c7owmW+GDAtvQ6qikRFgOrbKrhn57vPlw&#10;RkmIzLZMgxUN3YtAL2fv3110rhYTWINuhSfoxIa6cw1dx+jqogh8LQwLR+CERaUEb1hE0a+K1rMO&#10;vRtdTMryY9GBb50HLkLA1+teSWfZv5SCxzspg4hENxRzi/n0+Vyms5hdsHrlmVsrPqTB/iELw5TF&#10;oKOraxYZ2Xj1ypVR3EMAGY84mAKkVFzkGrCaqvyjmoc1cyLXgs0JbmxT+H9u+e323hPVNnRaVadT&#10;Siwz+E13W6ZJ/4Id6lyoEfjg7n2qMbgF8O8BFcVvmiSEAbOT3iQsVkh2ud37sd1iFwnHx+qsPD89&#10;oYSjargnn6w+GDsf4mcBhqRLQ4XWyoXUEFaz7SLEHn1A5dRAq/ZGaZ0Fv1peaU+wFoxdfipP8n9j&#10;gPAMyyX0Wef8416LZKztVyGxMSnPHDFTUoz+GOfCxuNEIHSY0clMYuzR8PhtwwGfTEWm62g8edt4&#10;tMiRwcbR2CgL/m8OdKyGlGWPHz4x9HWnFiyh3SMnPPTDEhy/Udj/BQvxnnmcDpwjnPh4h4fU0DUU&#10;hhsla/A///ae8Eha1FLS4bQ1NPzYMC8o0V8s0vm8mk7TeGZhenI6QcG/1CxfauzGXAH+aYW7xfF8&#10;TfioD1fpwTzhYpinqKhilmPshvLoD8JV7LcArhYu5vMMw5F0LC7sg+OHX0/ketw9Me8GEkZk7y0c&#10;JvMVEXts+g8L800EqTJLn/s69BvHORNnWD1pX7yUM+p5Qc5+AQAA//8DAFBLAwQUAAYACAAAACEA&#10;whqfIt4AAAAHAQAADwAAAGRycy9kb3ducmV2LnhtbEyPQUvDQBCF74L/YRnBi9hNYqs2ZlNEEBS9&#10;mFbU2zQ7JsHsbMhu2/jvHU96Gh7v8eZ7xWpyvdrTGDrPBtJZAoq49rbjxsBmfX9+DSpEZIu9ZzLw&#10;TQFW5fFRgbn1B36hfRUbJSUccjTQxjjkWoe6JYdh5gdi8T796DCKHBttRzxIuet1liSX2mHH8qHF&#10;ge5aqr+qnTPwUW2e3Tp9cm+P6cOCzt77JdpXY05PptsbUJGm+BeGX3xBh1KYtn7HNqhedLKQpNx5&#10;Bkr8i6VM2xqYZ1egy0L/5y9/AAAA//8DAFBLAQItABQABgAIAAAAIQC2gziS/gAAAOEBAAATAAAA&#10;AAAAAAAAAAAAAAAAAABbQ29udGVudF9UeXBlc10ueG1sUEsBAi0AFAAGAAgAAAAhADj9If/WAAAA&#10;lAEAAAsAAAAAAAAAAAAAAAAALwEAAF9yZWxzLy5yZWxzUEsBAi0AFAAGAAgAAAAhAGG1uHh+AgAA&#10;aAUAAA4AAAAAAAAAAAAAAAAALgIAAGRycy9lMm9Eb2MueG1sUEsBAi0AFAAGAAgAAAAhAMIanyLe&#10;AAAABwEAAA8AAAAAAAAAAAAAAAAA2AQAAGRycy9kb3ducmV2LnhtbFBLBQYAAAAABAAEAPMAAADj&#10;BQAAAAA=&#10;" fillcolor="#00b050" strokecolor="#a5a5a5 [3206]" strokeweight=".5pt">
                      <v:stroke joinstyle="miter"/>
                      <v:path arrowok="t"/>
                    </v:oval>
                  </w:pict>
                </mc:Fallback>
              </mc:AlternateContent>
            </w:r>
          </w:p>
        </w:tc>
        <w:tc>
          <w:tcPr>
            <w:tcW w:w="8604" w:type="dxa"/>
          </w:tcPr>
          <w:p w14:paraId="300ADDAE" w14:textId="77777777" w:rsidR="00C80FD9" w:rsidRDefault="003D4D9F" w:rsidP="00586ECE">
            <w:pPr>
              <w:rPr>
                <w:rFonts w:eastAsiaTheme="minorHAnsi"/>
                <w:lang w:eastAsia="en-US"/>
              </w:rPr>
            </w:pPr>
            <w:r>
              <w:rPr>
                <w:rFonts w:eastAsiaTheme="minorHAnsi"/>
                <w:b/>
                <w:lang w:eastAsia="en-US"/>
              </w:rPr>
              <w:t xml:space="preserve">Optional: </w:t>
            </w:r>
            <w:r>
              <w:rPr>
                <w:rFonts w:eastAsiaTheme="minorHAnsi"/>
                <w:lang w:eastAsia="en-US"/>
              </w:rPr>
              <w:t xml:space="preserve"> </w:t>
            </w:r>
          </w:p>
          <w:p w14:paraId="1FDD5DBA" w14:textId="76F267BA" w:rsidR="008D5118" w:rsidRPr="00C80FD9" w:rsidRDefault="003D4D9F" w:rsidP="005729D2">
            <w:pPr>
              <w:pStyle w:val="ListParagraph"/>
              <w:numPr>
                <w:ilvl w:val="0"/>
                <w:numId w:val="167"/>
              </w:numPr>
            </w:pPr>
            <w:r>
              <w:t>It</w:t>
            </w:r>
            <w:r w:rsidR="008D5118">
              <w:t xml:space="preserve"> is not possible to set minute metrics by using the Azure portal. However, you can set minute metrics programmatically by using Azure PowerShell, or via the Azure Preview portal. We recommend that you set minute metrics </w:t>
            </w:r>
            <w:r w:rsidR="008D5118" w:rsidRPr="00A132F5">
              <w:t>for the purposes of testing</w:t>
            </w:r>
            <w:r w:rsidR="008D5118">
              <w:t xml:space="preserve"> and for investigating performance issues with your application. Note that the Azure portal cannot display minute metrics, only hourly metrics.</w:t>
            </w:r>
          </w:p>
          <w:p w14:paraId="526190AD" w14:textId="77777777" w:rsidR="003D4D9F" w:rsidRPr="008D5118" w:rsidRDefault="008D5118" w:rsidP="005729D2">
            <w:pPr>
              <w:pStyle w:val="ListParagraph"/>
              <w:numPr>
                <w:ilvl w:val="0"/>
                <w:numId w:val="167"/>
              </w:numPr>
              <w:rPr>
                <w:lang w:val="en"/>
              </w:rPr>
            </w:pPr>
            <w:r w:rsidRPr="00C80FD9">
              <w:t xml:space="preserve">The Management Pack for Microsoft Azure provides no functionality </w:t>
            </w:r>
            <w:r>
              <w:t>for</w:t>
            </w:r>
            <w:r w:rsidRPr="00C80FD9">
              <w:t xml:space="preserve"> import</w:t>
            </w:r>
            <w:r>
              <w:t>ing</w:t>
            </w:r>
            <w:r w:rsidRPr="00C80FD9">
              <w:t>. For each Microsoft Azure subscription that contains Azure resources you want to monitor, you must configure discovery and monitoring</w:t>
            </w:r>
            <w:r>
              <w:t>.</w:t>
            </w:r>
            <w:r w:rsidRPr="00C80FD9">
              <w:t xml:space="preserve"> </w:t>
            </w:r>
            <w:r>
              <w:t>F</w:t>
            </w:r>
            <w:r w:rsidRPr="00C80FD9">
              <w:t>irst us</w:t>
            </w:r>
            <w:r>
              <w:t>e</w:t>
            </w:r>
            <w:r w:rsidRPr="00C80FD9">
              <w:t xml:space="preserve"> the Microsoft Azure wizard in the administration section of the Operations </w:t>
            </w:r>
            <w:r>
              <w:t>c</w:t>
            </w:r>
            <w:r w:rsidRPr="00C80FD9">
              <w:t xml:space="preserve">onsole, </w:t>
            </w:r>
            <w:r>
              <w:t xml:space="preserve">and </w:t>
            </w:r>
            <w:r w:rsidRPr="00C80FD9">
              <w:t xml:space="preserve">then </w:t>
            </w:r>
            <w:r>
              <w:t xml:space="preserve">use </w:t>
            </w:r>
            <w:r w:rsidRPr="00C80FD9">
              <w:t xml:space="preserve">the Microsoft Azure Monitoring template in the authoring section of the Operations </w:t>
            </w:r>
            <w:r>
              <w:t>c</w:t>
            </w:r>
            <w:r w:rsidRPr="00C80FD9">
              <w:t>onsole</w:t>
            </w:r>
            <w:r w:rsidR="00C80FD9" w:rsidRPr="00C80FD9">
              <w:t>.</w:t>
            </w:r>
          </w:p>
          <w:p w14:paraId="1FD7682C" w14:textId="5C415B89" w:rsidR="008D5118" w:rsidRPr="008D5118" w:rsidRDefault="008D5118" w:rsidP="008D5118">
            <w:pPr>
              <w:rPr>
                <w:lang w:val="en"/>
              </w:rPr>
            </w:pPr>
          </w:p>
        </w:tc>
      </w:tr>
    </w:tbl>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9841E7" w14:paraId="16CBFB6A" w14:textId="77777777" w:rsidTr="00586ECE">
        <w:tc>
          <w:tcPr>
            <w:tcW w:w="9360" w:type="dxa"/>
            <w:shd w:val="clear" w:color="auto" w:fill="008AC8"/>
          </w:tcPr>
          <w:p w14:paraId="12530AA4" w14:textId="73AA3E1B" w:rsidR="009841E7" w:rsidRPr="00F47607" w:rsidRDefault="009841E7" w:rsidP="00586ECE">
            <w:pPr>
              <w:spacing w:line="240" w:lineRule="auto"/>
              <w:rPr>
                <w:color w:val="FFFFFF"/>
              </w:rPr>
            </w:pPr>
            <w:r>
              <w:rPr>
                <w:color w:val="FFFFFF"/>
              </w:rPr>
              <w:t>Design Guidance</w:t>
            </w:r>
          </w:p>
        </w:tc>
      </w:tr>
    </w:tbl>
    <w:p w14:paraId="356ED477" w14:textId="16D8C53E" w:rsidR="00696A2A" w:rsidRDefault="00696A2A" w:rsidP="00696A2A">
      <w:r>
        <w:t>When you design s</w:t>
      </w:r>
      <w:r w:rsidRPr="00EA2F0D">
        <w:t xml:space="preserve">torage </w:t>
      </w:r>
      <w:r>
        <w:t>monitoring, consider the following:</w:t>
      </w:r>
    </w:p>
    <w:tbl>
      <w:tblPr>
        <w:tblStyle w:val="PlainTable11"/>
        <w:tblW w:w="0" w:type="auto"/>
        <w:tblLook w:val="0420" w:firstRow="1" w:lastRow="0" w:firstColumn="0" w:lastColumn="0" w:noHBand="0" w:noVBand="1"/>
      </w:tblPr>
      <w:tblGrid>
        <w:gridCol w:w="2841"/>
        <w:gridCol w:w="3454"/>
        <w:gridCol w:w="3055"/>
      </w:tblGrid>
      <w:tr w:rsidR="00696A2A" w:rsidRPr="00FC04BA" w14:paraId="41427BCC" w14:textId="77777777" w:rsidTr="002E4E5F">
        <w:trPr>
          <w:cnfStyle w:val="100000000000" w:firstRow="1" w:lastRow="0" w:firstColumn="0" w:lastColumn="0" w:oddVBand="0" w:evenVBand="0" w:oddHBand="0" w:evenHBand="0" w:firstRowFirstColumn="0" w:firstRowLastColumn="0" w:lastRowFirstColumn="0" w:lastRowLastColumn="0"/>
          <w:tblHeader/>
        </w:trPr>
        <w:tc>
          <w:tcPr>
            <w:tcW w:w="0" w:type="auto"/>
            <w:shd w:val="clear" w:color="auto" w:fill="808080" w:themeFill="background1" w:themeFillShade="80"/>
            <w:hideMark/>
          </w:tcPr>
          <w:p w14:paraId="77D99758" w14:textId="77777777" w:rsidR="00696A2A" w:rsidRPr="00FC04BA" w:rsidRDefault="00696A2A" w:rsidP="009B46DA">
            <w:pPr>
              <w:spacing w:line="240" w:lineRule="auto"/>
              <w:rPr>
                <w:rFonts w:eastAsia="Calibri"/>
                <w:color w:val="FFFFFF"/>
                <w:sz w:val="20"/>
                <w:lang w:eastAsia="en-AU"/>
              </w:rPr>
            </w:pPr>
            <w:r w:rsidRPr="00FC04BA">
              <w:rPr>
                <w:rFonts w:eastAsia="Calibri"/>
                <w:color w:val="FFFFFF"/>
                <w:sz w:val="20"/>
                <w:lang w:eastAsia="en-AU"/>
              </w:rPr>
              <w:t>Capability Considerations</w:t>
            </w:r>
          </w:p>
          <w:p w14:paraId="718FFB0F" w14:textId="77777777" w:rsidR="00696A2A" w:rsidRPr="00FC04BA" w:rsidRDefault="00696A2A" w:rsidP="009B46DA">
            <w:pPr>
              <w:spacing w:line="240" w:lineRule="auto"/>
              <w:rPr>
                <w:rFonts w:ascii="Times New Roman" w:hAnsi="Times New Roman"/>
                <w:color w:val="FFFFFF"/>
                <w:sz w:val="20"/>
                <w:lang w:val="en-AU" w:eastAsia="en-AU"/>
              </w:rPr>
            </w:pPr>
          </w:p>
        </w:tc>
        <w:tc>
          <w:tcPr>
            <w:tcW w:w="3454" w:type="dxa"/>
            <w:shd w:val="clear" w:color="auto" w:fill="808080" w:themeFill="background1" w:themeFillShade="80"/>
            <w:hideMark/>
          </w:tcPr>
          <w:p w14:paraId="3B9F6476" w14:textId="77777777" w:rsidR="00696A2A" w:rsidRPr="00FC04BA" w:rsidRDefault="00696A2A" w:rsidP="009B46DA">
            <w:pPr>
              <w:spacing w:line="240" w:lineRule="auto"/>
              <w:rPr>
                <w:rFonts w:eastAsia="Calibri"/>
                <w:color w:val="FFFFFF"/>
                <w:sz w:val="20"/>
                <w:lang w:eastAsia="en-AU"/>
              </w:rPr>
            </w:pPr>
            <w:r w:rsidRPr="00FC04BA">
              <w:rPr>
                <w:rFonts w:eastAsia="Calibri"/>
                <w:color w:val="FFFFFF"/>
                <w:sz w:val="20"/>
                <w:lang w:eastAsia="en-AU"/>
              </w:rPr>
              <w:t>Capability Decision Points</w:t>
            </w:r>
          </w:p>
          <w:p w14:paraId="6CDDE000" w14:textId="77777777" w:rsidR="00696A2A" w:rsidRPr="00FC04BA" w:rsidRDefault="00696A2A" w:rsidP="009B46DA">
            <w:pPr>
              <w:spacing w:line="240" w:lineRule="auto"/>
              <w:rPr>
                <w:rFonts w:eastAsia="Calibri"/>
                <w:color w:val="FFFFFF"/>
                <w:sz w:val="20"/>
                <w:lang w:val="en-AU" w:eastAsia="en-AU"/>
              </w:rPr>
            </w:pPr>
          </w:p>
        </w:tc>
        <w:tc>
          <w:tcPr>
            <w:tcW w:w="3055" w:type="dxa"/>
            <w:shd w:val="clear" w:color="auto" w:fill="808080" w:themeFill="background1" w:themeFillShade="80"/>
            <w:hideMark/>
          </w:tcPr>
          <w:p w14:paraId="441DAB54" w14:textId="7B253B26" w:rsidR="00696A2A" w:rsidRPr="00FC04BA" w:rsidRDefault="00FC04BA" w:rsidP="00E579CB">
            <w:pPr>
              <w:spacing w:line="240" w:lineRule="auto"/>
              <w:rPr>
                <w:rFonts w:eastAsia="Calibri"/>
                <w:color w:val="FFFFFF"/>
                <w:sz w:val="20"/>
                <w:lang w:eastAsia="en-AU"/>
              </w:rPr>
            </w:pPr>
            <w:r>
              <w:rPr>
                <w:rFonts w:eastAsia="Calibri"/>
                <w:color w:val="FFFFFF"/>
                <w:sz w:val="20"/>
                <w:lang w:eastAsia="en-AU"/>
              </w:rPr>
              <w:t xml:space="preserve">Capability Models in </w:t>
            </w:r>
            <w:r w:rsidR="00E579CB">
              <w:rPr>
                <w:rFonts w:eastAsia="Calibri"/>
                <w:color w:val="FFFFFF"/>
                <w:sz w:val="20"/>
                <w:lang w:eastAsia="en-AU"/>
              </w:rPr>
              <w:t>Use</w:t>
            </w:r>
          </w:p>
        </w:tc>
      </w:tr>
      <w:tr w:rsidR="00E579CB" w14:paraId="0E3D61B0" w14:textId="77777777" w:rsidTr="00FC04BA">
        <w:trPr>
          <w:cnfStyle w:val="000000100000" w:firstRow="0" w:lastRow="0" w:firstColumn="0" w:lastColumn="0" w:oddVBand="0" w:evenVBand="0" w:oddHBand="1" w:evenHBand="0" w:firstRowFirstColumn="0" w:firstRowLastColumn="0" w:lastRowFirstColumn="0" w:lastRowLastColumn="0"/>
        </w:trPr>
        <w:tc>
          <w:tcPr>
            <w:tcW w:w="0" w:type="auto"/>
          </w:tcPr>
          <w:p w14:paraId="371A5CD6" w14:textId="77777777" w:rsidR="00E579CB" w:rsidRPr="00CB3814" w:rsidRDefault="00E579CB" w:rsidP="00E579CB">
            <w:pPr>
              <w:rPr>
                <w:sz w:val="20"/>
                <w:lang w:val="en-AU" w:eastAsia="en-AU"/>
              </w:rPr>
            </w:pPr>
            <w:r w:rsidRPr="00CB3814">
              <w:rPr>
                <w:sz w:val="20"/>
                <w:lang w:val="en-AU" w:eastAsia="en-AU"/>
              </w:rPr>
              <w:t>Storage monitoring and analytics are not enabled by default.</w:t>
            </w:r>
            <w:r>
              <w:rPr>
                <w:sz w:val="20"/>
                <w:lang w:val="en-AU" w:eastAsia="en-AU"/>
              </w:rPr>
              <w:t xml:space="preserve"> </w:t>
            </w:r>
            <w:r w:rsidRPr="00CB3814">
              <w:rPr>
                <w:sz w:val="20"/>
                <w:lang w:val="en-AU" w:eastAsia="en-AU"/>
              </w:rPr>
              <w:t>Monitoring would grant access to:</w:t>
            </w:r>
          </w:p>
          <w:p w14:paraId="09684D8B" w14:textId="77777777" w:rsidR="00E579CB" w:rsidRPr="00F2503D" w:rsidRDefault="00E579CB" w:rsidP="005729D2">
            <w:pPr>
              <w:pStyle w:val="ListParagraph"/>
              <w:numPr>
                <w:ilvl w:val="0"/>
                <w:numId w:val="71"/>
              </w:numPr>
              <w:rPr>
                <w:sz w:val="20"/>
                <w:lang w:val="en-AU" w:eastAsia="en-AU"/>
              </w:rPr>
            </w:pPr>
            <w:r w:rsidRPr="004F0DE3">
              <w:rPr>
                <w:b/>
                <w:sz w:val="20"/>
                <w:lang w:val="en-AU" w:eastAsia="en-AU"/>
              </w:rPr>
              <w:t>Metrics</w:t>
            </w:r>
            <w:r w:rsidRPr="00F2503D">
              <w:rPr>
                <w:sz w:val="20"/>
                <w:lang w:val="en-AU" w:eastAsia="en-AU"/>
              </w:rPr>
              <w:t xml:space="preserve"> - </w:t>
            </w:r>
            <w:r>
              <w:rPr>
                <w:sz w:val="20"/>
                <w:lang w:val="en-AU" w:eastAsia="en-AU"/>
              </w:rPr>
              <w:t>S</w:t>
            </w:r>
            <w:r w:rsidRPr="00F2503D">
              <w:rPr>
                <w:sz w:val="20"/>
                <w:lang w:val="en-AU" w:eastAsia="en-AU"/>
              </w:rPr>
              <w:t>ervice health, capacity, availability and performance</w:t>
            </w:r>
          </w:p>
          <w:p w14:paraId="2E94297C" w14:textId="01739222" w:rsidR="00E579CB" w:rsidRPr="004C75FF" w:rsidRDefault="00E579CB" w:rsidP="005729D2">
            <w:pPr>
              <w:pStyle w:val="ListParagraph"/>
              <w:numPr>
                <w:ilvl w:val="0"/>
                <w:numId w:val="71"/>
              </w:numPr>
              <w:rPr>
                <w:sz w:val="20"/>
                <w:lang w:val="en-AU" w:eastAsia="en-AU"/>
              </w:rPr>
            </w:pPr>
            <w:r w:rsidRPr="004F0DE3">
              <w:rPr>
                <w:b/>
                <w:sz w:val="20"/>
                <w:lang w:val="en-AU" w:eastAsia="en-AU"/>
              </w:rPr>
              <w:t>Logs</w:t>
            </w:r>
            <w:r w:rsidRPr="00F2503D">
              <w:rPr>
                <w:sz w:val="20"/>
                <w:lang w:val="en-AU" w:eastAsia="en-AU"/>
              </w:rPr>
              <w:t xml:space="preserve"> – Detailed logs</w:t>
            </w:r>
            <w:r w:rsidRPr="004C75FF">
              <w:rPr>
                <w:sz w:val="20"/>
                <w:lang w:val="en-AU" w:eastAsia="en-AU"/>
              </w:rPr>
              <w:t xml:space="preserve"> of every operation to support troubleshooting</w:t>
            </w:r>
          </w:p>
        </w:tc>
        <w:tc>
          <w:tcPr>
            <w:tcW w:w="3454" w:type="dxa"/>
          </w:tcPr>
          <w:p w14:paraId="7B805E56" w14:textId="77777777" w:rsidR="00E579CB" w:rsidRPr="00CB3814" w:rsidRDefault="00E579CB" w:rsidP="00E579CB">
            <w:pPr>
              <w:rPr>
                <w:sz w:val="20"/>
                <w:lang w:val="en-AU" w:eastAsia="en-AU"/>
              </w:rPr>
            </w:pPr>
            <w:r>
              <w:rPr>
                <w:sz w:val="20"/>
                <w:lang w:val="en-AU" w:eastAsia="en-AU"/>
              </w:rPr>
              <w:t>Because</w:t>
            </w:r>
            <w:r w:rsidRPr="00CB3814">
              <w:rPr>
                <w:sz w:val="20"/>
                <w:lang w:val="en-AU" w:eastAsia="en-AU"/>
              </w:rPr>
              <w:t xml:space="preserve"> storage monitoring and analytics are not enabled by default, the decision must be </w:t>
            </w:r>
            <w:r>
              <w:rPr>
                <w:sz w:val="20"/>
                <w:lang w:val="en-AU" w:eastAsia="en-AU"/>
              </w:rPr>
              <w:t>about</w:t>
            </w:r>
            <w:r w:rsidRPr="00CB3814">
              <w:rPr>
                <w:sz w:val="20"/>
                <w:lang w:val="en-AU" w:eastAsia="en-AU"/>
              </w:rPr>
              <w:t xml:space="preserve"> whether to enable them, </w:t>
            </w:r>
            <w:r>
              <w:rPr>
                <w:sz w:val="20"/>
                <w:lang w:val="en-AU" w:eastAsia="en-AU"/>
              </w:rPr>
              <w:t xml:space="preserve">based on </w:t>
            </w:r>
            <w:r w:rsidRPr="00CB3814">
              <w:rPr>
                <w:sz w:val="20"/>
                <w:lang w:val="en-AU" w:eastAsia="en-AU"/>
              </w:rPr>
              <w:t>why and what they will be used for.</w:t>
            </w:r>
          </w:p>
          <w:p w14:paraId="050854DD" w14:textId="06B0125D" w:rsidR="00E579CB" w:rsidRPr="00CB3814" w:rsidRDefault="00E579CB" w:rsidP="00E579CB">
            <w:pPr>
              <w:rPr>
                <w:sz w:val="20"/>
                <w:lang w:val="en-AU" w:eastAsia="en-AU"/>
              </w:rPr>
            </w:pPr>
            <w:r w:rsidRPr="00CB3814">
              <w:rPr>
                <w:sz w:val="20"/>
                <w:lang w:val="en-AU" w:eastAsia="en-AU"/>
              </w:rPr>
              <w:t>It is possible to log not only storage metrics and performance info</w:t>
            </w:r>
            <w:r>
              <w:rPr>
                <w:sz w:val="20"/>
                <w:lang w:val="en-AU" w:eastAsia="en-AU"/>
              </w:rPr>
              <w:t>rmation</w:t>
            </w:r>
            <w:r w:rsidRPr="00CB3814">
              <w:rPr>
                <w:sz w:val="20"/>
                <w:lang w:val="en-AU" w:eastAsia="en-AU"/>
              </w:rPr>
              <w:t>, but also authentication requests, anonymous requests, transaction metrics</w:t>
            </w:r>
            <w:r>
              <w:rPr>
                <w:sz w:val="20"/>
                <w:lang w:val="en-AU" w:eastAsia="en-AU"/>
              </w:rPr>
              <w:t>,</w:t>
            </w:r>
            <w:r w:rsidRPr="00CB3814">
              <w:rPr>
                <w:sz w:val="20"/>
                <w:lang w:val="en-AU" w:eastAsia="en-AU"/>
              </w:rPr>
              <w:t xml:space="preserve"> and capacity metrics</w:t>
            </w:r>
            <w:r>
              <w:rPr>
                <w:sz w:val="20"/>
                <w:lang w:val="en-AU" w:eastAsia="en-AU"/>
              </w:rPr>
              <w:t>.</w:t>
            </w:r>
            <w:r w:rsidRPr="00CB3814">
              <w:rPr>
                <w:sz w:val="20"/>
                <w:lang w:val="en-AU" w:eastAsia="en-AU"/>
              </w:rPr>
              <w:t xml:space="preserve"> </w:t>
            </w:r>
          </w:p>
        </w:tc>
        <w:tc>
          <w:tcPr>
            <w:tcW w:w="3055" w:type="dxa"/>
          </w:tcPr>
          <w:p w14:paraId="15D41A1D" w14:textId="77777777" w:rsidR="00E579CB" w:rsidRPr="00CB3814" w:rsidRDefault="00E579CB" w:rsidP="00E579CB">
            <w:pPr>
              <w:rPr>
                <w:sz w:val="20"/>
                <w:lang w:val="en-AU" w:eastAsia="en-AU"/>
              </w:rPr>
            </w:pPr>
            <w:r w:rsidRPr="00CB3814">
              <w:rPr>
                <w:sz w:val="20"/>
                <w:lang w:val="en-AU" w:eastAsia="en-AU"/>
              </w:rPr>
              <w:t>In most models</w:t>
            </w:r>
            <w:r>
              <w:rPr>
                <w:sz w:val="20"/>
                <w:lang w:val="en-AU" w:eastAsia="en-AU"/>
              </w:rPr>
              <w:t xml:space="preserve"> where organizations are starting their initial use of Azure</w:t>
            </w:r>
            <w:r w:rsidRPr="00CB3814">
              <w:rPr>
                <w:sz w:val="20"/>
                <w:lang w:val="en-AU" w:eastAsia="en-AU"/>
              </w:rPr>
              <w:t>, it is wise to enabled storage monitoring and analytics to observe the data that is available during the collection process.</w:t>
            </w:r>
            <w:r>
              <w:rPr>
                <w:sz w:val="20"/>
                <w:lang w:val="en-AU" w:eastAsia="en-AU"/>
              </w:rPr>
              <w:t xml:space="preserve"> </w:t>
            </w:r>
            <w:r w:rsidRPr="00CB3814">
              <w:rPr>
                <w:sz w:val="20"/>
                <w:lang w:val="en-AU" w:eastAsia="en-AU"/>
              </w:rPr>
              <w:t xml:space="preserve">In general, </w:t>
            </w:r>
            <w:r>
              <w:rPr>
                <w:sz w:val="20"/>
                <w:lang w:val="en-AU" w:eastAsia="en-AU"/>
              </w:rPr>
              <w:t>we</w:t>
            </w:r>
            <w:r w:rsidRPr="00CB3814">
              <w:rPr>
                <w:sz w:val="20"/>
                <w:lang w:val="en-AU" w:eastAsia="en-AU"/>
              </w:rPr>
              <w:t xml:space="preserve"> recommend</w:t>
            </w:r>
            <w:r>
              <w:rPr>
                <w:sz w:val="20"/>
                <w:lang w:val="en-AU" w:eastAsia="en-AU"/>
              </w:rPr>
              <w:t xml:space="preserve"> that you</w:t>
            </w:r>
            <w:r w:rsidRPr="00CB3814">
              <w:rPr>
                <w:sz w:val="20"/>
                <w:lang w:val="en-AU" w:eastAsia="en-AU"/>
              </w:rPr>
              <w:t xml:space="preserve"> enable storage analytics at least:</w:t>
            </w:r>
          </w:p>
          <w:p w14:paraId="04FA96BE" w14:textId="77777777" w:rsidR="00E579CB" w:rsidRPr="00813D34" w:rsidRDefault="00E579CB" w:rsidP="005729D2">
            <w:pPr>
              <w:pStyle w:val="ListParagraph"/>
              <w:numPr>
                <w:ilvl w:val="0"/>
                <w:numId w:val="54"/>
              </w:numPr>
              <w:rPr>
                <w:sz w:val="20"/>
                <w:lang w:val="en-AU" w:eastAsia="en-AU"/>
              </w:rPr>
            </w:pPr>
            <w:r w:rsidRPr="00813D34">
              <w:rPr>
                <w:sz w:val="20"/>
                <w:lang w:val="en-AU" w:eastAsia="en-AU"/>
              </w:rPr>
              <w:t>During testing to establish baseline metrics</w:t>
            </w:r>
            <w:r>
              <w:rPr>
                <w:sz w:val="20"/>
                <w:lang w:val="en-AU" w:eastAsia="en-AU"/>
              </w:rPr>
              <w:t>.</w:t>
            </w:r>
          </w:p>
          <w:p w14:paraId="1C75A016" w14:textId="77777777" w:rsidR="00E579CB" w:rsidRPr="00813D34" w:rsidRDefault="00E579CB" w:rsidP="005729D2">
            <w:pPr>
              <w:pStyle w:val="ListParagraph"/>
              <w:numPr>
                <w:ilvl w:val="0"/>
                <w:numId w:val="54"/>
              </w:numPr>
              <w:rPr>
                <w:sz w:val="20"/>
                <w:lang w:val="en-AU" w:eastAsia="en-AU"/>
              </w:rPr>
            </w:pPr>
            <w:r w:rsidRPr="00813D34">
              <w:rPr>
                <w:sz w:val="20"/>
                <w:lang w:val="en-AU" w:eastAsia="en-AU"/>
              </w:rPr>
              <w:t>In production to assist with troubleshooting</w:t>
            </w:r>
            <w:r>
              <w:rPr>
                <w:sz w:val="20"/>
                <w:lang w:val="en-AU" w:eastAsia="en-AU"/>
              </w:rPr>
              <w:t>.</w:t>
            </w:r>
          </w:p>
          <w:p w14:paraId="2BAC5B75" w14:textId="678B3425" w:rsidR="00E579CB" w:rsidRPr="00CB3814" w:rsidRDefault="00E579CB" w:rsidP="00E579CB">
            <w:pPr>
              <w:rPr>
                <w:sz w:val="20"/>
                <w:lang w:val="en-AU" w:eastAsia="en-AU"/>
              </w:rPr>
            </w:pPr>
            <w:r w:rsidRPr="00CB3814">
              <w:rPr>
                <w:sz w:val="20"/>
                <w:lang w:val="en-AU" w:eastAsia="en-AU"/>
              </w:rPr>
              <w:t xml:space="preserve">Note that analytics and monitoring can be enabled </w:t>
            </w:r>
            <w:r>
              <w:rPr>
                <w:sz w:val="20"/>
                <w:lang w:val="en-AU" w:eastAsia="en-AU"/>
              </w:rPr>
              <w:t>or</w:t>
            </w:r>
            <w:r w:rsidRPr="00CB3814">
              <w:rPr>
                <w:sz w:val="20"/>
                <w:lang w:val="en-AU" w:eastAsia="en-AU"/>
              </w:rPr>
              <w:t xml:space="preserve"> disabled at any time.</w:t>
            </w:r>
          </w:p>
        </w:tc>
      </w:tr>
      <w:tr w:rsidR="00E579CB" w14:paraId="1D84D467" w14:textId="77777777" w:rsidTr="00FC04BA">
        <w:tc>
          <w:tcPr>
            <w:tcW w:w="0" w:type="auto"/>
          </w:tcPr>
          <w:p w14:paraId="26B3A444" w14:textId="401E2C4F" w:rsidR="00E579CB" w:rsidRPr="00CB3814" w:rsidRDefault="00E579CB" w:rsidP="00E579CB">
            <w:pPr>
              <w:rPr>
                <w:sz w:val="20"/>
                <w:lang w:val="en-AU" w:eastAsia="en-AU"/>
              </w:rPr>
            </w:pPr>
            <w:r w:rsidRPr="00CB3814">
              <w:rPr>
                <w:sz w:val="20"/>
                <w:lang w:val="en-AU" w:eastAsia="en-AU"/>
              </w:rPr>
              <w:t xml:space="preserve">All metrics data is written by the services of a storage account. As a result, each </w:t>
            </w:r>
            <w:r>
              <w:rPr>
                <w:sz w:val="20"/>
                <w:lang w:val="en-AU" w:eastAsia="en-AU"/>
              </w:rPr>
              <w:t>W</w:t>
            </w:r>
            <w:r w:rsidRPr="00CB3814">
              <w:rPr>
                <w:sz w:val="20"/>
                <w:lang w:val="en-AU" w:eastAsia="en-AU"/>
              </w:rPr>
              <w:t>rite operation performed by Storage Analytics is billable.</w:t>
            </w:r>
            <w:r>
              <w:rPr>
                <w:sz w:val="20"/>
                <w:lang w:val="en-AU" w:eastAsia="en-AU"/>
              </w:rPr>
              <w:t xml:space="preserve"> T</w:t>
            </w:r>
            <w:r w:rsidRPr="00CB3814">
              <w:rPr>
                <w:sz w:val="20"/>
                <w:lang w:val="en-AU" w:eastAsia="en-AU"/>
              </w:rPr>
              <w:t>he amount of storage used by metrics data is also billable.</w:t>
            </w:r>
          </w:p>
        </w:tc>
        <w:tc>
          <w:tcPr>
            <w:tcW w:w="3454" w:type="dxa"/>
          </w:tcPr>
          <w:p w14:paraId="1131E71E" w14:textId="77777777" w:rsidR="00E579CB" w:rsidRDefault="00E579CB" w:rsidP="00E579CB">
            <w:pPr>
              <w:rPr>
                <w:sz w:val="20"/>
              </w:rPr>
            </w:pPr>
            <w:r w:rsidRPr="00CB3814">
              <w:rPr>
                <w:sz w:val="20"/>
              </w:rPr>
              <w:t>Every request made to a</w:t>
            </w:r>
            <w:r>
              <w:rPr>
                <w:sz w:val="20"/>
              </w:rPr>
              <w:t xml:space="preserve"> storage</w:t>
            </w:r>
            <w:r w:rsidRPr="00CB3814">
              <w:rPr>
                <w:sz w:val="20"/>
              </w:rPr>
              <w:t xml:space="preserve"> account is billable or non-billable. Storage Analytics logs each individual request made to a service, including a status message that indicates how the request was handled. </w:t>
            </w:r>
          </w:p>
          <w:p w14:paraId="427C15BB" w14:textId="77777777" w:rsidR="00E579CB" w:rsidRDefault="00E579CB" w:rsidP="00E579CB">
            <w:pPr>
              <w:rPr>
                <w:sz w:val="20"/>
              </w:rPr>
            </w:pPr>
            <w:r w:rsidRPr="00CB3814">
              <w:rPr>
                <w:sz w:val="20"/>
              </w:rPr>
              <w:t xml:space="preserve">Similarly, Storage Analytics stores metrics for a service and the API operations of that service, including the percentages and count of certain status messages. </w:t>
            </w:r>
          </w:p>
          <w:p w14:paraId="54B19C38" w14:textId="2D5A8ABD" w:rsidR="00E579CB" w:rsidRPr="00CB3814" w:rsidRDefault="00E579CB" w:rsidP="00E579CB">
            <w:pPr>
              <w:rPr>
                <w:sz w:val="20"/>
              </w:rPr>
            </w:pPr>
            <w:r w:rsidRPr="00CB3814">
              <w:rPr>
                <w:sz w:val="20"/>
              </w:rPr>
              <w:t>Together, these features can help you analyze your billable requests, make improvements on your application, and diagnose issues with requests to your services.</w:t>
            </w:r>
          </w:p>
        </w:tc>
        <w:tc>
          <w:tcPr>
            <w:tcW w:w="3055" w:type="dxa"/>
          </w:tcPr>
          <w:p w14:paraId="7F44D9CA" w14:textId="77777777" w:rsidR="00E579CB" w:rsidRDefault="00E579CB" w:rsidP="00E579CB">
            <w:pPr>
              <w:rPr>
                <w:sz w:val="20"/>
              </w:rPr>
            </w:pPr>
            <w:r w:rsidRPr="00813D34">
              <w:rPr>
                <w:sz w:val="20"/>
              </w:rPr>
              <w:t xml:space="preserve">When looking at Storage Analytics data, you can use the tables in the Storage Analytics Logged Operations and Status Messages </w:t>
            </w:r>
            <w:r>
              <w:rPr>
                <w:sz w:val="20"/>
              </w:rPr>
              <w:t xml:space="preserve">areas </w:t>
            </w:r>
            <w:r w:rsidRPr="00813D34">
              <w:rPr>
                <w:sz w:val="20"/>
              </w:rPr>
              <w:t xml:space="preserve">to determine what requests are billable. </w:t>
            </w:r>
          </w:p>
          <w:p w14:paraId="0F641A70" w14:textId="77777777" w:rsidR="00E579CB" w:rsidRDefault="00E579CB" w:rsidP="00E579CB">
            <w:pPr>
              <w:rPr>
                <w:sz w:val="20"/>
              </w:rPr>
            </w:pPr>
            <w:r w:rsidRPr="00813D34">
              <w:rPr>
                <w:sz w:val="20"/>
              </w:rPr>
              <w:t xml:space="preserve">Then you can compare your logs and metrics data </w:t>
            </w:r>
            <w:r>
              <w:rPr>
                <w:sz w:val="20"/>
              </w:rPr>
              <w:t>with</w:t>
            </w:r>
            <w:r w:rsidRPr="00813D34">
              <w:rPr>
                <w:sz w:val="20"/>
              </w:rPr>
              <w:t xml:space="preserve"> the status messages to see if you were charged for a particular request. </w:t>
            </w:r>
          </w:p>
          <w:p w14:paraId="3CC2F02D" w14:textId="0E56FE80" w:rsidR="00E579CB" w:rsidRPr="00CB3814" w:rsidRDefault="00E579CB" w:rsidP="00E579CB">
            <w:pPr>
              <w:rPr>
                <w:sz w:val="20"/>
              </w:rPr>
            </w:pPr>
            <w:r w:rsidRPr="00813D34">
              <w:rPr>
                <w:sz w:val="20"/>
              </w:rPr>
              <w:t xml:space="preserve">You can also use the tables in </w:t>
            </w:r>
            <w:r>
              <w:rPr>
                <w:sz w:val="20"/>
              </w:rPr>
              <w:t xml:space="preserve">this area </w:t>
            </w:r>
            <w:r w:rsidRPr="00813D34">
              <w:rPr>
                <w:sz w:val="20"/>
              </w:rPr>
              <w:t>to investigate availability for a storage service or individual API operation.</w:t>
            </w:r>
          </w:p>
        </w:tc>
      </w:tr>
    </w:tbl>
    <w:p w14:paraId="6C2F164F" w14:textId="55145009" w:rsidR="0074583B" w:rsidRDefault="0074583B" w:rsidP="005729D2">
      <w:pPr>
        <w:pStyle w:val="Heading2Numbered"/>
        <w:numPr>
          <w:ilvl w:val="1"/>
          <w:numId w:val="64"/>
        </w:numPr>
      </w:pPr>
      <w:bookmarkStart w:id="2884" w:name="_Toc414892103"/>
      <w:bookmarkStart w:id="2885" w:name="_Toc414960126"/>
      <w:bookmarkStart w:id="2886" w:name="_Toc414969097"/>
      <w:bookmarkStart w:id="2887" w:name="_Toc415011319"/>
      <w:bookmarkStart w:id="2888" w:name="_Toc415040009"/>
      <w:bookmarkStart w:id="2889" w:name="_Toc415572364"/>
      <w:bookmarkStart w:id="2890" w:name="_Toc415735534"/>
      <w:bookmarkStart w:id="2891" w:name="_Toc415814115"/>
      <w:bookmarkStart w:id="2892" w:name="_Toc416343850"/>
      <w:bookmarkStart w:id="2893" w:name="_Toc416863121"/>
      <w:bookmarkStart w:id="2894" w:name="_Toc417314727"/>
      <w:bookmarkStart w:id="2895" w:name="_Toc417323744"/>
      <w:bookmarkStart w:id="2896" w:name="_Toc417326833"/>
      <w:bookmarkStart w:id="2897" w:name="_Toc417330381"/>
      <w:bookmarkStart w:id="2898" w:name="_Toc417394987"/>
      <w:bookmarkStart w:id="2899" w:name="_Toc417399204"/>
      <w:bookmarkStart w:id="2900" w:name="_Toc417399363"/>
      <w:bookmarkStart w:id="2901" w:name="_Toc417400410"/>
      <w:bookmarkStart w:id="2902" w:name="_Toc417401258"/>
      <w:bookmarkStart w:id="2903" w:name="_Toc417419571"/>
      <w:bookmarkStart w:id="2904" w:name="_Toc417457343"/>
      <w:bookmarkStart w:id="2905" w:name="_Toc417481921"/>
      <w:bookmarkStart w:id="2906" w:name="_Toc417482179"/>
      <w:bookmarkStart w:id="2907" w:name="_Toc417499898"/>
      <w:bookmarkStart w:id="2908" w:name="_Toc417502720"/>
      <w:bookmarkStart w:id="2909" w:name="_Toc417548285"/>
      <w:bookmarkStart w:id="2910" w:name="_Toc417594517"/>
      <w:bookmarkStart w:id="2911" w:name="_Toc417934615"/>
      <w:bookmarkStart w:id="2912" w:name="_Toc417935954"/>
      <w:bookmarkStart w:id="2913" w:name="_Toc417936416"/>
      <w:bookmarkStart w:id="2914" w:name="_Toc417946870"/>
      <w:bookmarkStart w:id="2915" w:name="_Toc417947284"/>
      <w:bookmarkStart w:id="2916" w:name="_Toc417982480"/>
      <w:bookmarkStart w:id="2917" w:name="_Toc417985905"/>
      <w:bookmarkStart w:id="2918" w:name="_Toc418000626"/>
      <w:bookmarkStart w:id="2919" w:name="_Toc418003769"/>
      <w:bookmarkStart w:id="2920" w:name="_Toc418011974"/>
      <w:bookmarkStart w:id="2921" w:name="_Toc418014622"/>
      <w:bookmarkStart w:id="2922" w:name="_Toc418029958"/>
      <w:bookmarkStart w:id="2923" w:name="_Toc418036894"/>
      <w:bookmarkStart w:id="2924" w:name="_Toc418061359"/>
      <w:bookmarkStart w:id="2925" w:name="_Toc418080708"/>
      <w:bookmarkStart w:id="2926" w:name="_Toc418081881"/>
      <w:bookmarkStart w:id="2927" w:name="_Toc418083283"/>
      <w:bookmarkStart w:id="2928" w:name="_Toc418095503"/>
      <w:bookmarkStart w:id="2929" w:name="_Toc418156674"/>
      <w:bookmarkStart w:id="2930" w:name="_Toc418167593"/>
      <w:bookmarkStart w:id="2931" w:name="_Toc418185850"/>
      <w:bookmarkStart w:id="2932" w:name="_Toc422941560"/>
      <w:bookmarkStart w:id="2933" w:name="_Toc423116766"/>
      <w:bookmarkStart w:id="2934" w:name="_Toc423117799"/>
      <w:bookmarkStart w:id="2935" w:name="_Toc423117249"/>
      <w:bookmarkStart w:id="2936" w:name="_Toc431288841"/>
      <w:r>
        <w:t>Cloud Integrated Storage</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0A2062FF" w14:textId="584493BF" w:rsidR="007A55A6" w:rsidRPr="007A55A6" w:rsidRDefault="007A55A6" w:rsidP="007A55A6">
      <w:r>
        <w:t>A</w:t>
      </w:r>
      <w:r w:rsidR="00E579CB">
        <w:t xml:space="preserve"> Cloud Integrated Storage solution is one that uses a combination of on-premises storage and cloud storage. The purpose of cloud integrated storage is to take advantage of the lower cost of cloud storage (as compared to traditional on-premises SAN storage), but still connect to and manage it similarly to how you would treat on-premises storage</w:t>
      </w:r>
      <w:r>
        <w:t>.</w:t>
      </w:r>
    </w:p>
    <w:p w14:paraId="6C2F1650" w14:textId="7FE4F0DA" w:rsidR="0074583B" w:rsidRDefault="0074583B" w:rsidP="005729D2">
      <w:pPr>
        <w:pStyle w:val="Heading3Numbered"/>
        <w:numPr>
          <w:ilvl w:val="2"/>
          <w:numId w:val="64"/>
        </w:numPr>
      </w:pPr>
      <w:bookmarkStart w:id="2937" w:name="_Toc414892104"/>
      <w:bookmarkStart w:id="2938" w:name="_Toc414960127"/>
      <w:bookmarkStart w:id="2939" w:name="_Toc414969098"/>
      <w:bookmarkStart w:id="2940" w:name="_Toc415011320"/>
      <w:bookmarkStart w:id="2941" w:name="_Toc415040010"/>
      <w:bookmarkStart w:id="2942" w:name="_Toc415572365"/>
      <w:bookmarkStart w:id="2943" w:name="_Toc415735535"/>
      <w:bookmarkStart w:id="2944" w:name="_Toc415814116"/>
      <w:bookmarkStart w:id="2945" w:name="_Toc416343851"/>
      <w:bookmarkStart w:id="2946" w:name="_Toc416863122"/>
      <w:bookmarkStart w:id="2947" w:name="_Toc417314728"/>
      <w:bookmarkStart w:id="2948" w:name="_Toc417323745"/>
      <w:bookmarkStart w:id="2949" w:name="_Toc417326834"/>
      <w:bookmarkStart w:id="2950" w:name="_Toc417330382"/>
      <w:bookmarkStart w:id="2951" w:name="_Toc417394988"/>
      <w:bookmarkStart w:id="2952" w:name="_Toc417399205"/>
      <w:bookmarkStart w:id="2953" w:name="_Toc417399364"/>
      <w:bookmarkStart w:id="2954" w:name="_Toc417400411"/>
      <w:bookmarkStart w:id="2955" w:name="_Toc417401259"/>
      <w:bookmarkStart w:id="2956" w:name="_Toc417419572"/>
      <w:bookmarkStart w:id="2957" w:name="_Toc417457344"/>
      <w:bookmarkStart w:id="2958" w:name="_Toc417481922"/>
      <w:bookmarkStart w:id="2959" w:name="_Toc417482180"/>
      <w:bookmarkStart w:id="2960" w:name="_Toc417499899"/>
      <w:bookmarkStart w:id="2961" w:name="_Toc417502721"/>
      <w:bookmarkStart w:id="2962" w:name="_Toc417548286"/>
      <w:bookmarkStart w:id="2963" w:name="_Toc417594518"/>
      <w:bookmarkStart w:id="2964" w:name="_Toc417934618"/>
      <w:bookmarkStart w:id="2965" w:name="_Toc417935957"/>
      <w:bookmarkStart w:id="2966" w:name="_Toc417936419"/>
      <w:bookmarkStart w:id="2967" w:name="_Toc417946871"/>
      <w:bookmarkStart w:id="2968" w:name="_Toc417947285"/>
      <w:bookmarkStart w:id="2969" w:name="_Toc417982481"/>
      <w:bookmarkStart w:id="2970" w:name="_Toc417985906"/>
      <w:bookmarkStart w:id="2971" w:name="_Toc418000627"/>
      <w:bookmarkStart w:id="2972" w:name="_Toc418003770"/>
      <w:bookmarkStart w:id="2973" w:name="_Toc418011975"/>
      <w:bookmarkStart w:id="2974" w:name="_Toc418014623"/>
      <w:bookmarkStart w:id="2975" w:name="_Toc418029959"/>
      <w:bookmarkStart w:id="2976" w:name="_Toc418036895"/>
      <w:bookmarkStart w:id="2977" w:name="_Toc418061360"/>
      <w:bookmarkStart w:id="2978" w:name="_Toc418080709"/>
      <w:bookmarkStart w:id="2979" w:name="_Toc418081882"/>
      <w:bookmarkStart w:id="2980" w:name="_Toc418083284"/>
      <w:bookmarkStart w:id="2981" w:name="_Toc418095504"/>
      <w:bookmarkStart w:id="2982" w:name="_Toc418156675"/>
      <w:bookmarkStart w:id="2983" w:name="_Toc418167594"/>
      <w:bookmarkStart w:id="2984" w:name="_Toc418185851"/>
      <w:bookmarkStart w:id="2985" w:name="_Toc422941561"/>
      <w:bookmarkStart w:id="2986" w:name="_Toc423116767"/>
      <w:bookmarkStart w:id="2987" w:name="_Toc423117800"/>
      <w:bookmarkStart w:id="2988" w:name="_Toc423117250"/>
      <w:bookmarkStart w:id="2989" w:name="_Toc431288842"/>
      <w:r w:rsidRPr="00BF63D2">
        <w:t>StorSimple</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452515F9" w14:textId="57B2DBED" w:rsidR="00E579CB" w:rsidRDefault="00BF63D2" w:rsidP="00E579CB">
      <w:r w:rsidRPr="00BF63D2">
        <w:t>Microsoft</w:t>
      </w:r>
      <w:r w:rsidR="00E579CB" w:rsidRPr="00BF63D2">
        <w:t xml:space="preserve"> Azure StorSimple is </w:t>
      </w:r>
      <w:r w:rsidR="00E579CB">
        <w:t>a cloud</w:t>
      </w:r>
      <w:r w:rsidR="00E579CB" w:rsidRPr="00BF63D2">
        <w:t xml:space="preserve"> integrated storage solution that manages storage tasks between on-premises devices and Azure cloud storage. Azure StorSimple is designed to reduce storage costs, simplify storage management, improve disaster recovery capability and efficiency, and provide data mobility.</w:t>
      </w:r>
      <w:r w:rsidR="00E579CB">
        <w:t xml:space="preserve"> StorSimple has several components:</w:t>
      </w:r>
    </w:p>
    <w:p w14:paraId="3AC8B977" w14:textId="77777777" w:rsidR="00E579CB" w:rsidRPr="00BF63D2" w:rsidRDefault="00E579CB" w:rsidP="005729D2">
      <w:pPr>
        <w:pStyle w:val="ListParagraph"/>
        <w:numPr>
          <w:ilvl w:val="0"/>
          <w:numId w:val="27"/>
        </w:numPr>
      </w:pPr>
      <w:r w:rsidRPr="00187DBC">
        <w:rPr>
          <w:lang w:val="en"/>
        </w:rPr>
        <w:t>The</w:t>
      </w:r>
      <w:r w:rsidRPr="00BF63D2">
        <w:rPr>
          <w:lang w:val="en"/>
        </w:rPr>
        <w:t xml:space="preserve"> Azure StorSimple </w:t>
      </w:r>
      <w:r w:rsidRPr="00FA5E4E">
        <w:rPr>
          <w:b/>
          <w:lang w:val="en"/>
        </w:rPr>
        <w:t>device</w:t>
      </w:r>
      <w:r w:rsidRPr="00BF63D2">
        <w:rPr>
          <w:lang w:val="en"/>
        </w:rPr>
        <w:t xml:space="preserve"> is an on-premises hybrid storage </w:t>
      </w:r>
      <w:r w:rsidRPr="00AC29D3">
        <w:rPr>
          <w:lang w:val="en"/>
        </w:rPr>
        <w:t>appliance</w:t>
      </w:r>
      <w:r w:rsidRPr="00BF63D2">
        <w:rPr>
          <w:lang w:val="en"/>
        </w:rPr>
        <w:t xml:space="preserve"> that provides primary storage and iSCSI access to data stored elsewhere. It manages communication with cloud storage, and helps ensure the security and confidentiality of all data that is stored </w:t>
      </w:r>
      <w:r>
        <w:rPr>
          <w:lang w:val="en"/>
        </w:rPr>
        <w:t>i</w:t>
      </w:r>
      <w:r w:rsidRPr="00BF63D2">
        <w:rPr>
          <w:lang w:val="en"/>
        </w:rPr>
        <w:t>n the Microsoft Azure StorSimple system.</w:t>
      </w:r>
    </w:p>
    <w:p w14:paraId="417FD310" w14:textId="77777777" w:rsidR="00E579CB" w:rsidRDefault="00E579CB" w:rsidP="005729D2">
      <w:pPr>
        <w:pStyle w:val="ListParagraph"/>
        <w:numPr>
          <w:ilvl w:val="0"/>
          <w:numId w:val="31"/>
        </w:numPr>
        <w:rPr>
          <w:lang w:val="en"/>
        </w:rPr>
      </w:pPr>
      <w:r w:rsidRPr="00BF63D2">
        <w:rPr>
          <w:lang w:val="en"/>
        </w:rPr>
        <w:t xml:space="preserve">You can use Azure StorSimple to create a </w:t>
      </w:r>
      <w:r w:rsidRPr="00FA5E4E">
        <w:rPr>
          <w:b/>
          <w:lang w:val="en"/>
        </w:rPr>
        <w:t>virtual device</w:t>
      </w:r>
      <w:r w:rsidRPr="00BF63D2">
        <w:rPr>
          <w:lang w:val="en"/>
        </w:rPr>
        <w:t xml:space="preserve"> that replicates the architecture and capabilities of the actual hybrid storage device.</w:t>
      </w:r>
      <w:r>
        <w:rPr>
          <w:lang w:val="en"/>
        </w:rPr>
        <w:t xml:space="preserve"> </w:t>
      </w:r>
      <w:r w:rsidRPr="00BF63D2">
        <w:rPr>
          <w:lang w:val="en"/>
        </w:rPr>
        <w:t xml:space="preserve">The StorSimple </w:t>
      </w:r>
      <w:r>
        <w:rPr>
          <w:lang w:val="en"/>
        </w:rPr>
        <w:t>V</w:t>
      </w:r>
      <w:r w:rsidRPr="00BF63D2">
        <w:rPr>
          <w:lang w:val="en"/>
        </w:rPr>
        <w:t xml:space="preserve">irtual </w:t>
      </w:r>
      <w:r>
        <w:rPr>
          <w:lang w:val="en"/>
        </w:rPr>
        <w:t>Appliance</w:t>
      </w:r>
      <w:r w:rsidRPr="00BF63D2">
        <w:rPr>
          <w:lang w:val="en"/>
        </w:rPr>
        <w:t xml:space="preserve"> runs on a single node in an Azure virtual machine. (A virtual device can only be created on an Azure virtual machine. You cannot create one on a StorSimple device or an on-premises server.)</w:t>
      </w:r>
    </w:p>
    <w:p w14:paraId="5FD0D591" w14:textId="77777777" w:rsidR="00E579CB" w:rsidRPr="00BF63D2" w:rsidRDefault="00E579CB" w:rsidP="005729D2">
      <w:pPr>
        <w:pStyle w:val="ListParagraph"/>
        <w:numPr>
          <w:ilvl w:val="0"/>
          <w:numId w:val="31"/>
        </w:numPr>
        <w:rPr>
          <w:lang w:val="en"/>
        </w:rPr>
      </w:pPr>
      <w:r w:rsidRPr="00187DBC">
        <w:rPr>
          <w:lang w:val="en"/>
        </w:rPr>
        <w:t>You</w:t>
      </w:r>
      <w:r w:rsidRPr="00B95B08">
        <w:rPr>
          <w:lang w:val="en"/>
        </w:rPr>
        <w:t xml:space="preserve"> can use it to back up and clone data from your hosts.</w:t>
      </w:r>
      <w:r>
        <w:rPr>
          <w:lang w:val="en"/>
        </w:rPr>
        <w:t xml:space="preserve"> Note that data stored in Azure Storage by StorSimple is not directly accessible with the standard storage tools outlined previously. This is because it is encrypted and protected by the StorSimple devices that use it. Only StorSimple 8000 series devices can take advantage of the Microsoft StorSimple Virtual Appliance to provide on-premises-like access to data stored in Azure. </w:t>
      </w:r>
    </w:p>
    <w:p w14:paraId="699E03D3" w14:textId="77777777" w:rsidR="00E579CB" w:rsidRPr="00187DBC" w:rsidRDefault="00E579CB" w:rsidP="005729D2">
      <w:pPr>
        <w:pStyle w:val="ListParagraph"/>
        <w:numPr>
          <w:ilvl w:val="0"/>
          <w:numId w:val="31"/>
        </w:numPr>
        <w:rPr>
          <w:lang w:val="en"/>
        </w:rPr>
      </w:pPr>
      <w:r w:rsidRPr="00187DBC">
        <w:rPr>
          <w:lang w:val="en"/>
        </w:rPr>
        <w:t xml:space="preserve">Azure StorSimple provides a web-based user </w:t>
      </w:r>
      <w:r w:rsidRPr="00187DBC">
        <w:rPr>
          <w:b/>
          <w:lang w:val="en"/>
        </w:rPr>
        <w:t>interface</w:t>
      </w:r>
      <w:r w:rsidRPr="00187DBC">
        <w:rPr>
          <w:lang w:val="en"/>
        </w:rPr>
        <w:t xml:space="preserve"> (the StorSimple Manager Service) that enables you to centrally manage datacenter and cloud storage.</w:t>
      </w:r>
      <w:r>
        <w:rPr>
          <w:lang w:val="en"/>
        </w:rPr>
        <w:t xml:space="preserve"> </w:t>
      </w:r>
      <w:r w:rsidRPr="00187DBC">
        <w:rPr>
          <w:lang w:val="en"/>
        </w:rPr>
        <w:t>This is built</w:t>
      </w:r>
      <w:r>
        <w:rPr>
          <w:lang w:val="en"/>
        </w:rPr>
        <w:t>-</w:t>
      </w:r>
      <w:r w:rsidRPr="00187DBC">
        <w:rPr>
          <w:lang w:val="en"/>
        </w:rPr>
        <w:t>in</w:t>
      </w:r>
      <w:r>
        <w:rPr>
          <w:lang w:val="en"/>
        </w:rPr>
        <w:t xml:space="preserve"> </w:t>
      </w:r>
      <w:r w:rsidRPr="00187DBC">
        <w:rPr>
          <w:lang w:val="en"/>
        </w:rPr>
        <w:t xml:space="preserve">to the Azure </w:t>
      </w:r>
      <w:r>
        <w:rPr>
          <w:lang w:val="en"/>
        </w:rPr>
        <w:t>p</w:t>
      </w:r>
      <w:r w:rsidRPr="00187DBC">
        <w:rPr>
          <w:lang w:val="en"/>
        </w:rPr>
        <w:t>ortal.</w:t>
      </w:r>
    </w:p>
    <w:p w14:paraId="6E05A1EC" w14:textId="69E58DCC" w:rsidR="00E579CB" w:rsidRDefault="00E579CB" w:rsidP="005729D2">
      <w:pPr>
        <w:pStyle w:val="ListParagraph"/>
        <w:numPr>
          <w:ilvl w:val="0"/>
          <w:numId w:val="33"/>
        </w:numPr>
        <w:rPr>
          <w:lang w:val="en"/>
        </w:rPr>
      </w:pPr>
      <w:r w:rsidRPr="00187DBC">
        <w:rPr>
          <w:lang w:val="en"/>
        </w:rPr>
        <w:t xml:space="preserve">The </w:t>
      </w:r>
      <w:r>
        <w:rPr>
          <w:lang w:val="en"/>
        </w:rPr>
        <w:t xml:space="preserve">Azure </w:t>
      </w:r>
      <w:r w:rsidRPr="00187DBC">
        <w:rPr>
          <w:lang w:val="en"/>
        </w:rPr>
        <w:t xml:space="preserve">StorSimple Snapshot Manager is an optional </w:t>
      </w:r>
      <w:r w:rsidRPr="00187DBC">
        <w:rPr>
          <w:b/>
          <w:lang w:val="en"/>
        </w:rPr>
        <w:t>console</w:t>
      </w:r>
      <w:r w:rsidRPr="00187DBC">
        <w:rPr>
          <w:lang w:val="en"/>
        </w:rPr>
        <w:t xml:space="preserve"> that you can use to create application consistent, point-in-time</w:t>
      </w:r>
      <w:r>
        <w:rPr>
          <w:lang w:val="en"/>
        </w:rPr>
        <w:t>,</w:t>
      </w:r>
      <w:r w:rsidRPr="00187DBC">
        <w:rPr>
          <w:lang w:val="en"/>
        </w:rPr>
        <w:t xml:space="preserve"> backup copies of local and cloud data.</w:t>
      </w:r>
    </w:p>
    <w:p w14:paraId="1949B46E" w14:textId="62C08197" w:rsidR="00BF63D2" w:rsidRPr="00E579CB" w:rsidRDefault="00E579CB" w:rsidP="005729D2">
      <w:pPr>
        <w:pStyle w:val="ListParagraph"/>
        <w:numPr>
          <w:ilvl w:val="0"/>
          <w:numId w:val="33"/>
        </w:numPr>
        <w:rPr>
          <w:lang w:val="en"/>
        </w:rPr>
      </w:pPr>
      <w:r w:rsidRPr="00E579CB">
        <w:rPr>
          <w:lang w:val="en"/>
        </w:rPr>
        <w:t>The Azure StorSimple Adapter for SharePoint is an optional component that transparently extends StorSimple storage and data protection features to SharePoint server farms. The adapter works with a Remote Blob Storage (RBS) provider and the SQL Server RBS feature, allowing you to move blobs to a server that is backed up by the Microsoft Azure StorSimple system. StorSimple then stores the blob data locally or in the cloud, based on usage</w:t>
      </w:r>
      <w:r w:rsidR="00187DBC" w:rsidRPr="00E579CB">
        <w:rPr>
          <w:lang w:val="en"/>
        </w:rPr>
        <w:t>.</w:t>
      </w:r>
    </w:p>
    <w:p w14:paraId="3094ABB7" w14:textId="18C318E8" w:rsidR="007A55A6" w:rsidRDefault="00BF63D2" w:rsidP="007A55A6">
      <w:r w:rsidRPr="00BF63D2">
        <w:rPr>
          <w:i/>
          <w:noProof/>
        </w:rPr>
        <w:drawing>
          <wp:anchor distT="0" distB="0" distL="114300" distR="114300" simplePos="0" relativeHeight="251421696" behindDoc="0" locked="0" layoutInCell="1" allowOverlap="1" wp14:anchorId="7C063F9A" wp14:editId="03B9A131">
            <wp:simplePos x="0" y="0"/>
            <wp:positionH relativeFrom="column">
              <wp:posOffset>0</wp:posOffset>
            </wp:positionH>
            <wp:positionV relativeFrom="paragraph">
              <wp:posOffset>210820</wp:posOffset>
            </wp:positionV>
            <wp:extent cx="6075680" cy="2095500"/>
            <wp:effectExtent l="0" t="0" r="1270" b="0"/>
            <wp:wrapTopAndBottom/>
            <wp:docPr id="41204" name="Picture 4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075680" cy="2095500"/>
                    </a:xfrm>
                    <a:prstGeom prst="rect">
                      <a:avLst/>
                    </a:prstGeom>
                    <a:noFill/>
                    <a:ln>
                      <a:noFill/>
                    </a:ln>
                  </pic:spPr>
                </pic:pic>
              </a:graphicData>
            </a:graphic>
          </wp:anchor>
        </w:drawing>
      </w:r>
    </w:p>
    <w:p w14:paraId="350DC27E" w14:textId="77777777" w:rsidR="00BF63D2" w:rsidRPr="00E81F98" w:rsidRDefault="00BF63D2" w:rsidP="007A55A6">
      <w:pPr>
        <w:rPr>
          <w:i/>
        </w:rPr>
      </w:pPr>
    </w:p>
    <w:tbl>
      <w:tblPr>
        <w:tblStyle w:val="PlainTable11"/>
        <w:tblW w:w="0" w:type="auto"/>
        <w:tblLook w:val="04A0" w:firstRow="1" w:lastRow="0" w:firstColumn="1" w:lastColumn="0" w:noHBand="0" w:noVBand="1"/>
      </w:tblPr>
      <w:tblGrid>
        <w:gridCol w:w="3414"/>
        <w:gridCol w:w="5936"/>
      </w:tblGrid>
      <w:tr w:rsidR="007A55A6" w14:paraId="6CB38801" w14:textId="77777777" w:rsidTr="004E0AE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528C555C" w14:textId="77777777" w:rsidR="007A55A6" w:rsidRPr="00F47607" w:rsidRDefault="007A55A6" w:rsidP="00F06A9F">
            <w:pPr>
              <w:spacing w:line="240" w:lineRule="auto"/>
              <w:rPr>
                <w:color w:val="FFFFFF"/>
              </w:rPr>
            </w:pPr>
            <w:r>
              <w:rPr>
                <w:color w:val="FFFFFF"/>
              </w:rPr>
              <w:t>Feature References</w:t>
            </w:r>
          </w:p>
        </w:tc>
      </w:tr>
      <w:tr w:rsidR="0058739F" w:rsidRPr="0058739F" w14:paraId="13EED444" w14:textId="77777777" w:rsidTr="004E0A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15F25ADC" w14:textId="4EE04AA6" w:rsidR="0058739F" w:rsidRDefault="0058739F" w:rsidP="00F06A9F">
            <w:pPr>
              <w:spacing w:line="240" w:lineRule="auto"/>
              <w:rPr>
                <w:sz w:val="20"/>
                <w:szCs w:val="18"/>
                <w:lang w:val="en"/>
              </w:rPr>
            </w:pPr>
            <w:r>
              <w:rPr>
                <w:sz w:val="20"/>
                <w:szCs w:val="18"/>
                <w:lang w:val="en"/>
              </w:rPr>
              <w:t>StorSimple MSDN Reference Site</w:t>
            </w:r>
          </w:p>
        </w:tc>
        <w:tc>
          <w:tcPr>
            <w:tcW w:w="5940" w:type="dxa"/>
          </w:tcPr>
          <w:p w14:paraId="0D9478E6" w14:textId="3C9D5ABE" w:rsidR="0058739F" w:rsidRPr="0058739F" w:rsidRDefault="00872E47" w:rsidP="0058739F">
            <w:pPr>
              <w:spacing w:line="240" w:lineRule="auto"/>
              <w:cnfStyle w:val="000000100000" w:firstRow="0" w:lastRow="0" w:firstColumn="0" w:lastColumn="0" w:oddVBand="0" w:evenVBand="0" w:oddHBand="1" w:evenHBand="0" w:firstRowFirstColumn="0" w:firstRowLastColumn="0" w:lastRowFirstColumn="0" w:lastRowLastColumn="0"/>
              <w:rPr>
                <w:sz w:val="20"/>
                <w:szCs w:val="18"/>
                <w:lang w:val="en"/>
              </w:rPr>
            </w:pPr>
            <w:hyperlink r:id="rId203" w:history="1">
              <w:r w:rsidR="0058739F" w:rsidRPr="00522E28">
                <w:rPr>
                  <w:rStyle w:val="Hyperlink"/>
                  <w:sz w:val="20"/>
                  <w:szCs w:val="18"/>
                  <w:lang w:val="en"/>
                </w:rPr>
                <w:t>https://msdn.microsoft.com/en-us/library/azure/dn772442.aspx</w:t>
              </w:r>
            </w:hyperlink>
            <w:r w:rsidR="0058739F">
              <w:rPr>
                <w:sz w:val="20"/>
                <w:szCs w:val="18"/>
                <w:lang w:val="en"/>
              </w:rPr>
              <w:t xml:space="preserve"> </w:t>
            </w:r>
          </w:p>
        </w:tc>
      </w:tr>
      <w:tr w:rsidR="007A55A6" w14:paraId="0123D30D" w14:textId="77777777" w:rsidTr="004E0AE6">
        <w:tc>
          <w:tcPr>
            <w:cnfStyle w:val="001000000000" w:firstRow="0" w:lastRow="0" w:firstColumn="1" w:lastColumn="0" w:oddVBand="0" w:evenVBand="0" w:oddHBand="0" w:evenHBand="0" w:firstRowFirstColumn="0" w:firstRowLastColumn="0" w:lastRowFirstColumn="0" w:lastRowLastColumn="0"/>
            <w:tcW w:w="3420" w:type="dxa"/>
          </w:tcPr>
          <w:p w14:paraId="3E75898C" w14:textId="60CEAD33" w:rsidR="007A55A6" w:rsidRPr="00927F75" w:rsidRDefault="0058739F" w:rsidP="00F06A9F">
            <w:pPr>
              <w:spacing w:line="240" w:lineRule="auto"/>
              <w:rPr>
                <w:sz w:val="20"/>
                <w:szCs w:val="18"/>
              </w:rPr>
            </w:pPr>
            <w:r w:rsidRPr="0058739F">
              <w:rPr>
                <w:sz w:val="20"/>
                <w:szCs w:val="18"/>
                <w:lang w:val="en"/>
              </w:rPr>
              <w:t>StorSimple 8000 Series Chalktalk</w:t>
            </w:r>
          </w:p>
        </w:tc>
        <w:tc>
          <w:tcPr>
            <w:tcW w:w="5940" w:type="dxa"/>
          </w:tcPr>
          <w:p w14:paraId="3E2A8B03" w14:textId="2F752EAE" w:rsidR="007A55A6" w:rsidRPr="00927F75" w:rsidRDefault="00872E47" w:rsidP="00F06A9F">
            <w:pPr>
              <w:cnfStyle w:val="000000000000" w:firstRow="0" w:lastRow="0" w:firstColumn="0" w:lastColumn="0" w:oddVBand="0" w:evenVBand="0" w:oddHBand="0" w:evenHBand="0" w:firstRowFirstColumn="0" w:firstRowLastColumn="0" w:lastRowFirstColumn="0" w:lastRowLastColumn="0"/>
              <w:rPr>
                <w:sz w:val="20"/>
                <w:szCs w:val="18"/>
              </w:rPr>
            </w:pPr>
            <w:hyperlink r:id="rId204" w:history="1">
              <w:r w:rsidR="0058739F" w:rsidRPr="00522E28">
                <w:rPr>
                  <w:rStyle w:val="Hyperlink"/>
                  <w:sz w:val="20"/>
                  <w:szCs w:val="18"/>
                </w:rPr>
                <w:t>https://www.youtube.com/watch?v=4MhJT5xrvQw</w:t>
              </w:r>
            </w:hyperlink>
            <w:r w:rsidR="0058739F">
              <w:rPr>
                <w:sz w:val="20"/>
                <w:szCs w:val="18"/>
              </w:rPr>
              <w:t xml:space="preserve"> </w:t>
            </w:r>
          </w:p>
        </w:tc>
      </w:tr>
      <w:tr w:rsidR="004E627D" w14:paraId="25AA6D64" w14:textId="77777777" w:rsidTr="004E0AE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62A38476" w14:textId="2EE675D3" w:rsidR="004E627D" w:rsidRDefault="004E627D" w:rsidP="00F06A9F">
            <w:pPr>
              <w:spacing w:line="240" w:lineRule="auto"/>
              <w:rPr>
                <w:sz w:val="20"/>
                <w:szCs w:val="18"/>
              </w:rPr>
            </w:pPr>
            <w:r w:rsidRPr="004E627D">
              <w:rPr>
                <w:sz w:val="20"/>
                <w:szCs w:val="18"/>
              </w:rPr>
              <w:t>StorSimple Hybrid Cloud Storage</w:t>
            </w:r>
            <w:r>
              <w:rPr>
                <w:sz w:val="20"/>
                <w:szCs w:val="18"/>
              </w:rPr>
              <w:t xml:space="preserve"> Features and Benefits</w:t>
            </w:r>
          </w:p>
        </w:tc>
        <w:tc>
          <w:tcPr>
            <w:tcW w:w="5940" w:type="dxa"/>
          </w:tcPr>
          <w:p w14:paraId="361D8600" w14:textId="33471914" w:rsidR="004E627D" w:rsidRDefault="00872E47" w:rsidP="00F06A9F">
            <w:pPr>
              <w:cnfStyle w:val="000000100000" w:firstRow="0" w:lastRow="0" w:firstColumn="0" w:lastColumn="0" w:oddVBand="0" w:evenVBand="0" w:oddHBand="1" w:evenHBand="0" w:firstRowFirstColumn="0" w:firstRowLastColumn="0" w:lastRowFirstColumn="0" w:lastRowLastColumn="0"/>
              <w:rPr>
                <w:sz w:val="20"/>
                <w:szCs w:val="18"/>
              </w:rPr>
            </w:pPr>
            <w:hyperlink r:id="rId205" w:history="1">
              <w:r w:rsidR="004E627D" w:rsidRPr="00522E28">
                <w:rPr>
                  <w:rStyle w:val="Hyperlink"/>
                  <w:sz w:val="20"/>
                  <w:szCs w:val="18"/>
                </w:rPr>
                <w:t>http://www.microsoft.com/en-us/server-cloud/products/storsimple/overview.aspx</w:t>
              </w:r>
            </w:hyperlink>
            <w:r w:rsidR="004E627D">
              <w:rPr>
                <w:sz w:val="20"/>
                <w:szCs w:val="18"/>
              </w:rPr>
              <w:t xml:space="preserve"> </w:t>
            </w:r>
          </w:p>
        </w:tc>
      </w:tr>
      <w:tr w:rsidR="00566690" w14:paraId="264EB5F1" w14:textId="77777777" w:rsidTr="004E0AE6">
        <w:tc>
          <w:tcPr>
            <w:cnfStyle w:val="001000000000" w:firstRow="0" w:lastRow="0" w:firstColumn="1" w:lastColumn="0" w:oddVBand="0" w:evenVBand="0" w:oddHBand="0" w:evenHBand="0" w:firstRowFirstColumn="0" w:firstRowLastColumn="0" w:lastRowFirstColumn="0" w:lastRowLastColumn="0"/>
            <w:tcW w:w="3420" w:type="dxa"/>
          </w:tcPr>
          <w:p w14:paraId="4E99BB9F" w14:textId="77777777" w:rsidR="00566690" w:rsidRPr="00927F75" w:rsidRDefault="00566690" w:rsidP="00566690">
            <w:pPr>
              <w:spacing w:line="240" w:lineRule="auto"/>
              <w:rPr>
                <w:sz w:val="20"/>
              </w:rPr>
            </w:pPr>
            <w:r>
              <w:rPr>
                <w:sz w:val="20"/>
                <w:szCs w:val="18"/>
              </w:rPr>
              <w:t>Hybrid Cloud Storage</w:t>
            </w:r>
          </w:p>
        </w:tc>
        <w:tc>
          <w:tcPr>
            <w:tcW w:w="5940" w:type="dxa"/>
          </w:tcPr>
          <w:p w14:paraId="7ABFACA2" w14:textId="329C079E" w:rsidR="00566690" w:rsidRPr="00927F75" w:rsidRDefault="00872E47" w:rsidP="00E579CB">
            <w:pPr>
              <w:tabs>
                <w:tab w:val="left" w:pos="864"/>
              </w:tabs>
              <w:cnfStyle w:val="000000000000" w:firstRow="0" w:lastRow="0" w:firstColumn="0" w:lastColumn="0" w:oddVBand="0" w:evenVBand="0" w:oddHBand="0" w:evenHBand="0" w:firstRowFirstColumn="0" w:firstRowLastColumn="0" w:lastRowFirstColumn="0" w:lastRowLastColumn="0"/>
              <w:rPr>
                <w:sz w:val="20"/>
              </w:rPr>
            </w:pPr>
            <w:hyperlink r:id="rId206" w:history="1">
              <w:r w:rsidR="00E579CB" w:rsidRPr="0093712F">
                <w:rPr>
                  <w:rStyle w:val="Hyperlink"/>
                  <w:rFonts w:eastAsiaTheme="minorHAnsi" w:cs="Segoe UI"/>
                  <w:sz w:val="20"/>
                  <w:szCs w:val="20"/>
                </w:rPr>
                <w:t>http://www.controlyourstorage.com/</w:t>
              </w:r>
            </w:hyperlink>
          </w:p>
        </w:tc>
      </w:tr>
    </w:tbl>
    <w:p w14:paraId="63C03D14" w14:textId="1B5164D2" w:rsidR="007A55A6" w:rsidRDefault="007A55A6" w:rsidP="007A55A6"/>
    <w:p w14:paraId="1C959D5D" w14:textId="77777777" w:rsidR="00C80FD9" w:rsidRDefault="00C80FD9">
      <w:pPr>
        <w:spacing w:before="0" w:after="160" w:line="259" w:lineRule="auto"/>
      </w:pPr>
      <w:r>
        <w:br w:type="page"/>
      </w:r>
    </w:p>
    <w:tbl>
      <w:tblPr>
        <w:tblStyle w:val="TableGridLight13"/>
        <w:tblW w:w="9810"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0"/>
        <w:gridCol w:w="9540"/>
      </w:tblGrid>
      <w:tr w:rsidR="00380CEA" w14:paraId="624D4B47" w14:textId="77777777" w:rsidTr="00832729">
        <w:trPr>
          <w:trHeight w:val="423"/>
        </w:trPr>
        <w:tc>
          <w:tcPr>
            <w:tcW w:w="270" w:type="dxa"/>
          </w:tcPr>
          <w:p w14:paraId="35C755BD" w14:textId="77777777" w:rsidR="00380CEA" w:rsidRDefault="00380CEA" w:rsidP="00566690">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4A4DBDAE" wp14:editId="036987AE">
                      <wp:extent cx="200025" cy="180975"/>
                      <wp:effectExtent l="57150" t="19050" r="28575" b="104775"/>
                      <wp:docPr id="41207" name="Octagon 41207"/>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5B71595" id="Octagon 41207"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ErwcwIAAFIFAAAOAAAAZHJzL2Uyb0RvYy54bWysVEtPGzEQvlfqf7B8L/toKBCxQVEQVSUE&#10;CKg4O147sWR7XNvJJv31HXs3S0SRkKpedmc837wfl1c7o8lW+KDANrQ6KSkRlkOr7KqhP59vvpxT&#10;EiKzLdNgRUP3ItCr2edPl52bihrWoFvhCRqxYdq5hq5jdNOiCHwtDAsn4IRFoQRvWETWr4rWsw6t&#10;G13UZfmt6MC3zgMXIeDrdS+ks2xfSsHjvZRBRKIbirHF/PX5u0zfYnbJpivP3FrxIQz2D1EYpiw6&#10;HU1ds8jIxqu/TBnFPQSQ8YSDKUBKxUXOAbOpyjfZPK2ZEzkXLE5wY5nC/zPL77YPnqi2oZOqLs8o&#10;scxgm+55ZCuwpH/EInUuTBH75B78wAUkU8Y76U36Yy5klwu7HwsrdpFwfMROlfUpJRxF1Xl5cXaa&#10;Cl+8Kjsf4ncBhiSiodC7zxVl29sQe/QBldwF0Kq9UVpnxq+WC+3JlmGbFwv0ljuLDo5gRcqhjzpT&#10;ca9FUtb2UUgsAcZZZY95+MRoj3EubKyHiDM6qUn0PSp+/VhxwCdVkQdzVK4/Vh41smewcVQ2yoJ/&#10;z4CO1RCy7PFY8KO8E7mEdo/d99CvRXD8RmH9b1mID8zjHuDG4G7He/xIDR02ZqAoWYP//d57wuN4&#10;opSSDveqoeHXhnlBif5hcXAvqskkLWJmJqdnNTL+WLI8ltiNWQD2tMIr4ngmEz7qAyk9mBc8AfPk&#10;FUXMcvTdUB79gVnEft/xiHAxn2cYLp9j8dY+OX7oehqu590L824YwojTeweHHWTTN4PYY1M/LMw3&#10;EaTKU/pa16HeuLh51Icjky7DMZ9Rr6dw9gc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Bl6Erw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9540" w:type="dxa"/>
          </w:tcPr>
          <w:p w14:paraId="5C2133BE" w14:textId="77777777" w:rsidR="00C80FD9" w:rsidRDefault="00380CEA" w:rsidP="00566690">
            <w:pPr>
              <w:rPr>
                <w:lang w:eastAsia="en-US"/>
              </w:rPr>
            </w:pPr>
            <w:r w:rsidRPr="00192064">
              <w:rPr>
                <w:b/>
                <w:lang w:eastAsia="en-US"/>
              </w:rPr>
              <w:t>Mandatory</w:t>
            </w:r>
            <w:r>
              <w:rPr>
                <w:lang w:eastAsia="en-US"/>
              </w:rPr>
              <w:t xml:space="preserve">:  </w:t>
            </w:r>
          </w:p>
          <w:p w14:paraId="27A0DFC7" w14:textId="77777777" w:rsidR="00E579CB" w:rsidRPr="00C80FD9" w:rsidRDefault="00E579CB" w:rsidP="005729D2">
            <w:pPr>
              <w:pStyle w:val="ListParagraph"/>
              <w:numPr>
                <w:ilvl w:val="0"/>
                <w:numId w:val="32"/>
              </w:numPr>
              <w:rPr>
                <w:lang w:eastAsia="en-US"/>
              </w:rPr>
            </w:pPr>
            <w:r>
              <w:rPr>
                <w:lang w:eastAsia="en-US"/>
              </w:rPr>
              <w:t>StorSimple Update 1 provides a migration toolkit to enable customers to upgrade from a StorSimple 5000/7000 Series device to an 8000 Series device to take advantage of its improved feature offerings while maintaining their data in-place.</w:t>
            </w:r>
          </w:p>
          <w:p w14:paraId="61B5A397" w14:textId="77777777" w:rsidR="00E579CB" w:rsidRPr="00C80FD9" w:rsidRDefault="00E579CB" w:rsidP="005729D2">
            <w:pPr>
              <w:pStyle w:val="ListParagraph"/>
              <w:numPr>
                <w:ilvl w:val="0"/>
                <w:numId w:val="32"/>
              </w:numPr>
              <w:rPr>
                <w:lang w:eastAsia="en-US"/>
              </w:rPr>
            </w:pPr>
            <w:r w:rsidRPr="00C80FD9">
              <w:rPr>
                <w:lang w:eastAsia="en-US"/>
              </w:rPr>
              <w:t>There are user</w:t>
            </w:r>
            <w:r>
              <w:rPr>
                <w:lang w:eastAsia="en-US"/>
              </w:rPr>
              <w:t xml:space="preserve"> </w:t>
            </w:r>
            <w:r w:rsidRPr="00C80FD9">
              <w:rPr>
                <w:lang w:eastAsia="en-US"/>
              </w:rPr>
              <w:t>name and password length requirements for the Snapshot Manager user</w:t>
            </w:r>
            <w:r>
              <w:rPr>
                <w:lang w:eastAsia="en-US"/>
              </w:rPr>
              <w:t xml:space="preserve"> </w:t>
            </w:r>
            <w:r w:rsidRPr="00C80FD9">
              <w:rPr>
                <w:lang w:eastAsia="en-US"/>
              </w:rPr>
              <w:t>name and password.</w:t>
            </w:r>
            <w:r>
              <w:rPr>
                <w:lang w:eastAsia="en-US"/>
              </w:rPr>
              <w:t xml:space="preserve"> </w:t>
            </w:r>
            <w:r w:rsidRPr="00C80FD9">
              <w:rPr>
                <w:lang w:eastAsia="en-US"/>
              </w:rPr>
              <w:t xml:space="preserve">Be sure to reference the latest device series documentation before </w:t>
            </w:r>
            <w:r>
              <w:rPr>
                <w:lang w:eastAsia="en-US"/>
              </w:rPr>
              <w:t xml:space="preserve">you </w:t>
            </w:r>
            <w:r w:rsidRPr="00C80FD9">
              <w:rPr>
                <w:lang w:eastAsia="en-US"/>
              </w:rPr>
              <w:t>select a user</w:t>
            </w:r>
            <w:r>
              <w:rPr>
                <w:lang w:eastAsia="en-US"/>
              </w:rPr>
              <w:t xml:space="preserve"> </w:t>
            </w:r>
            <w:r w:rsidRPr="00C80FD9">
              <w:rPr>
                <w:lang w:eastAsia="en-US"/>
              </w:rPr>
              <w:t>name or password.</w:t>
            </w:r>
          </w:p>
          <w:p w14:paraId="1051D0F1" w14:textId="77777777" w:rsidR="00E579CB" w:rsidRPr="00C80FD9" w:rsidRDefault="00E579CB" w:rsidP="005729D2">
            <w:pPr>
              <w:pStyle w:val="ListParagraph"/>
              <w:numPr>
                <w:ilvl w:val="0"/>
                <w:numId w:val="32"/>
              </w:numPr>
              <w:rPr>
                <w:lang w:eastAsia="en-US"/>
              </w:rPr>
            </w:pPr>
            <w:r w:rsidRPr="00C80FD9">
              <w:rPr>
                <w:lang w:eastAsia="en-US"/>
              </w:rPr>
              <w:t>There are user</w:t>
            </w:r>
            <w:r>
              <w:rPr>
                <w:lang w:eastAsia="en-US"/>
              </w:rPr>
              <w:t xml:space="preserve"> </w:t>
            </w:r>
            <w:r w:rsidRPr="00C80FD9">
              <w:rPr>
                <w:lang w:eastAsia="en-US"/>
              </w:rPr>
              <w:t>name and password length requirements for</w:t>
            </w:r>
            <w:r>
              <w:rPr>
                <w:lang w:eastAsia="en-US"/>
              </w:rPr>
              <w:t xml:space="preserve"> the</w:t>
            </w:r>
            <w:r w:rsidRPr="00C80FD9">
              <w:rPr>
                <w:lang w:eastAsia="en-US"/>
              </w:rPr>
              <w:t xml:space="preserve"> CHAP user</w:t>
            </w:r>
            <w:r>
              <w:rPr>
                <w:lang w:eastAsia="en-US"/>
              </w:rPr>
              <w:t xml:space="preserve"> </w:t>
            </w:r>
            <w:r w:rsidRPr="00C80FD9">
              <w:rPr>
                <w:lang w:eastAsia="en-US"/>
              </w:rPr>
              <w:t>name and password.</w:t>
            </w:r>
            <w:r>
              <w:rPr>
                <w:lang w:eastAsia="en-US"/>
              </w:rPr>
              <w:t xml:space="preserve"> </w:t>
            </w:r>
            <w:r w:rsidRPr="00C80FD9">
              <w:rPr>
                <w:lang w:eastAsia="en-US"/>
              </w:rPr>
              <w:t>Be sure to reference the latest device series documentation before selecting a user</w:t>
            </w:r>
            <w:r>
              <w:rPr>
                <w:lang w:eastAsia="en-US"/>
              </w:rPr>
              <w:t xml:space="preserve"> </w:t>
            </w:r>
            <w:r w:rsidRPr="00C80FD9">
              <w:rPr>
                <w:lang w:eastAsia="en-US"/>
              </w:rPr>
              <w:t>name or password.</w:t>
            </w:r>
          </w:p>
          <w:p w14:paraId="3B310303" w14:textId="2DC97569" w:rsidR="00380CEA" w:rsidRDefault="00E579CB" w:rsidP="005729D2">
            <w:pPr>
              <w:pStyle w:val="ListParagraph"/>
              <w:numPr>
                <w:ilvl w:val="0"/>
                <w:numId w:val="32"/>
              </w:numPr>
              <w:rPr>
                <w:lang w:eastAsia="en-US"/>
              </w:rPr>
            </w:pPr>
            <w:r w:rsidRPr="00C80FD9">
              <w:rPr>
                <w:lang w:val="en-US" w:eastAsia="en-US"/>
              </w:rPr>
              <w:t xml:space="preserve">The service data encryption key is generated only on the first device registered with the service. All subsequent devices that are registered with the service must use the same service data encryption key. It is very important to save </w:t>
            </w:r>
            <w:r>
              <w:rPr>
                <w:lang w:val="en-US" w:eastAsia="en-US"/>
              </w:rPr>
              <w:t>this</w:t>
            </w:r>
            <w:r w:rsidRPr="00C80FD9">
              <w:rPr>
                <w:lang w:val="en-US" w:eastAsia="en-US"/>
              </w:rPr>
              <w:t xml:space="preserve"> in a secure location. A copy of the service data encryption key should be stored in such a way that it can be accessed by an authorized person and can be easily communicated to the device administrator</w:t>
            </w:r>
            <w:r w:rsidR="00C80FD9" w:rsidRPr="00C80FD9">
              <w:rPr>
                <w:lang w:val="en-US" w:eastAsia="en-US"/>
              </w:rPr>
              <w:t>.</w:t>
            </w:r>
          </w:p>
        </w:tc>
      </w:tr>
      <w:tr w:rsidR="00380CEA" w14:paraId="0A74D8B2" w14:textId="77777777" w:rsidTr="00832729">
        <w:trPr>
          <w:trHeight w:val="423"/>
        </w:trPr>
        <w:tc>
          <w:tcPr>
            <w:tcW w:w="270" w:type="dxa"/>
          </w:tcPr>
          <w:p w14:paraId="09618496" w14:textId="77777777" w:rsidR="00380CEA" w:rsidRDefault="00380CEA" w:rsidP="00566690">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426816" behindDoc="0" locked="0" layoutInCell="1" allowOverlap="1" wp14:anchorId="3FA9E5A1" wp14:editId="0286DE81">
                      <wp:simplePos x="0" y="0"/>
                      <wp:positionH relativeFrom="column">
                        <wp:posOffset>66675</wp:posOffset>
                      </wp:positionH>
                      <wp:positionV relativeFrom="paragraph">
                        <wp:posOffset>90170</wp:posOffset>
                      </wp:positionV>
                      <wp:extent cx="209550" cy="180975"/>
                      <wp:effectExtent l="57150" t="19050" r="57150" b="104775"/>
                      <wp:wrapNone/>
                      <wp:docPr id="41210" name="Isosceles Triangle 412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56EECC98" id="Isosceles Triangle 41210" o:spid="_x0000_s1026" type="#_x0000_t5" style="position:absolute;margin-left:5.25pt;margin-top:7.1pt;width:16.5pt;height:14.25pt;z-index:25142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Vt8iQ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Ni&#10;UmCFDGuwTbcePBdaePLoFDMbLUinx3q11pdo9mDvXczY2xXwHx4V2R+aKPgec5CuiVjMlxxS8Y9j&#10;8cUhEI4/J/nFbIYBcFQV5/nF2Sw2J2PlYGydD18ENCReKhr6wFLZ2X7lQwcfYCk20KpeKq2T4Dbr&#10;a+3IniEXlvjlqf34gn+GpRy6sFMC4ahFNNbmm5BYJwy0SC8mhorRH+NcmHDah5zQ0Uzi26Ph5/cN&#10;e3w0FYm9o/HkfePRIr0MJozGjTLg3nKgQ9GHLDt830Xf5R1LsIb6iBRx0M2Ot3ypsAEr5sM9czgs&#10;2DNcAOErHlJDW1Hob5Rswf1663/EI4dRS0mLw1dR/3PHnKBE3xpk90UxncZpTcJ0djZBwb3UrF9q&#10;zK65BuxpgavG8nSN+KCHq3TQPOGeWMRXUcUMx7cryoMbhOvQLQXcNFwsFgmGE2pZWJkHy4euR3I9&#10;Hp6YswMLkb53MAwqK18RscPGfhhY7AJIlVj6XNe+3jjdiev9Jorr46WcUM/7cv4bAAD//wMAUEsD&#10;BBQABgAIAAAAIQA1PEIw2QAAAAcBAAAPAAAAZHJzL2Rvd25yZXYueG1sTI7NTsMwEITvSLyDtUhc&#10;UOuQhrYKcSqEkiOqKDyAE29+hL2OYrcNb89ygtNoNKOZrzgszooLzmH0pOBxnYBAar0ZqVfw+VGv&#10;9iBC1GS09YQKvjHAoby9KXRu/JXe8XKKveARCrlWMMQ45VKGdkCnw9pPSJx1fnY6sp17aWZ95XFn&#10;ZZokW+n0SPww6AlfB2y/TmenwDfLsdvUu/1D7Sb71lVV5o6VUvd3y8sziIhL/CvDLz6jQ8lMjT+T&#10;CcKyT564yZqlIDjPNuwb1nQHsizkf/7yBwAA//8DAFBLAQItABQABgAIAAAAIQC2gziS/gAAAOEB&#10;AAATAAAAAAAAAAAAAAAAAAAAAABbQ29udGVudF9UeXBlc10ueG1sUEsBAi0AFAAGAAgAAAAhADj9&#10;If/WAAAAlAEAAAsAAAAAAAAAAAAAAAAALwEAAF9yZWxzLy5yZWxzUEsBAi0AFAAGAAgAAAAhAA/x&#10;W3yJAgAAdwUAAA4AAAAAAAAAAAAAAAAALgIAAGRycy9lMm9Eb2MueG1sUEsBAi0AFAAGAAgAAAAh&#10;ADU8QjDZAAAABwEAAA8AAAAAAAAAAAAAAAAA4wQAAGRycy9kb3ducmV2LnhtbFBLBQYAAAAABAAE&#10;APMAAADpBQAAAAA=&#10;" fillcolor="yellow" strokecolor="#70ad47 [3209]" strokeweight=".5pt">
                      <v:path arrowok="t"/>
                    </v:shape>
                  </w:pict>
                </mc:Fallback>
              </mc:AlternateContent>
            </w:r>
          </w:p>
        </w:tc>
        <w:tc>
          <w:tcPr>
            <w:tcW w:w="9540" w:type="dxa"/>
          </w:tcPr>
          <w:p w14:paraId="6576F11D" w14:textId="77777777" w:rsidR="00C80FD9" w:rsidRDefault="00380CEA" w:rsidP="00566690">
            <w:pPr>
              <w:rPr>
                <w:rFonts w:eastAsiaTheme="minorHAnsi"/>
                <w:lang w:eastAsia="en-US"/>
              </w:rPr>
            </w:pPr>
            <w:r>
              <w:rPr>
                <w:rFonts w:eastAsiaTheme="minorHAnsi"/>
                <w:b/>
                <w:lang w:eastAsia="en-US"/>
              </w:rPr>
              <w:t xml:space="preserve">Recommended: </w:t>
            </w:r>
            <w:r>
              <w:rPr>
                <w:rFonts w:eastAsiaTheme="minorHAnsi"/>
                <w:lang w:eastAsia="en-US"/>
              </w:rPr>
              <w:t xml:space="preserve"> </w:t>
            </w:r>
          </w:p>
          <w:p w14:paraId="7A635D95" w14:textId="77777777" w:rsidR="00E579CB" w:rsidRPr="00C80FD9" w:rsidRDefault="00E579CB" w:rsidP="005729D2">
            <w:pPr>
              <w:pStyle w:val="ListParagraph"/>
              <w:numPr>
                <w:ilvl w:val="0"/>
                <w:numId w:val="168"/>
              </w:numPr>
              <w:rPr>
                <w:rFonts w:eastAsiaTheme="minorHAnsi"/>
                <w:lang w:val="en-US" w:eastAsia="en-US"/>
              </w:rPr>
            </w:pPr>
            <w:r>
              <w:rPr>
                <w:rFonts w:eastAsiaTheme="minorHAnsi"/>
                <w:lang w:eastAsia="en-US"/>
              </w:rPr>
              <w:t xml:space="preserve">When registering the StorSimple device with the StorSimple manager, you are provided with a registration key. </w:t>
            </w:r>
            <w:r w:rsidRPr="004A3325">
              <w:rPr>
                <w:rFonts w:eastAsiaTheme="minorHAnsi"/>
                <w:lang w:val="en-US" w:eastAsia="en-US"/>
              </w:rPr>
              <w:t>The service registration key is a long key that contains</w:t>
            </w:r>
            <w:r>
              <w:rPr>
                <w:rFonts w:eastAsiaTheme="minorHAnsi"/>
                <w:lang w:val="en-US" w:eastAsia="en-US"/>
              </w:rPr>
              <w:t> 1</w:t>
            </w:r>
            <w:r w:rsidRPr="004A3325">
              <w:rPr>
                <w:rFonts w:eastAsiaTheme="minorHAnsi"/>
                <w:lang w:val="en-US" w:eastAsia="en-US"/>
              </w:rPr>
              <w:t>00+ characters. We recommend that you copy the key and save it in a text file in a secure location so that you can use it to authorize additional devices as necessary.</w:t>
            </w:r>
          </w:p>
          <w:p w14:paraId="7D28348C" w14:textId="510A1D2E" w:rsidR="00380CEA" w:rsidRDefault="00E579CB" w:rsidP="005729D2">
            <w:pPr>
              <w:pStyle w:val="ListParagraph"/>
              <w:numPr>
                <w:ilvl w:val="0"/>
                <w:numId w:val="168"/>
              </w:numPr>
              <w:rPr>
                <w:lang w:eastAsia="en-US"/>
              </w:rPr>
            </w:pPr>
            <w:r w:rsidRPr="00C80FD9">
              <w:rPr>
                <w:rFonts w:eastAsiaTheme="minorHAnsi"/>
                <w:lang w:eastAsia="en-US"/>
              </w:rPr>
              <w:t xml:space="preserve">When using the StorSimple </w:t>
            </w:r>
            <w:r>
              <w:rPr>
                <w:rFonts w:eastAsiaTheme="minorHAnsi"/>
                <w:lang w:eastAsia="en-US"/>
              </w:rPr>
              <w:t>V</w:t>
            </w:r>
            <w:r w:rsidRPr="00C80FD9">
              <w:rPr>
                <w:rFonts w:eastAsiaTheme="minorHAnsi"/>
                <w:lang w:eastAsia="en-US"/>
              </w:rPr>
              <w:t xml:space="preserve">irtual </w:t>
            </w:r>
            <w:r>
              <w:rPr>
                <w:rFonts w:eastAsiaTheme="minorHAnsi"/>
                <w:lang w:eastAsia="en-US"/>
              </w:rPr>
              <w:t>Appliance</w:t>
            </w:r>
            <w:r w:rsidRPr="00C80FD9">
              <w:rPr>
                <w:rFonts w:eastAsiaTheme="minorHAnsi"/>
                <w:lang w:eastAsia="en-US"/>
              </w:rPr>
              <w:t xml:space="preserve">, </w:t>
            </w:r>
            <w:r w:rsidRPr="00C80FD9">
              <w:rPr>
                <w:rFonts w:eastAsiaTheme="minorHAnsi"/>
                <w:lang w:val="en-US" w:eastAsia="en-US"/>
              </w:rPr>
              <w:t>make sure that the virtual network is in the same region as the cloud storage accounts that you are going to be using with the virtual device</w:t>
            </w:r>
            <w:r w:rsidR="00C80FD9" w:rsidRPr="00C80FD9">
              <w:rPr>
                <w:rFonts w:eastAsiaTheme="minorHAnsi"/>
                <w:lang w:val="en-US" w:eastAsia="en-US"/>
              </w:rPr>
              <w:t>.</w:t>
            </w:r>
          </w:p>
        </w:tc>
      </w:tr>
      <w:tr w:rsidR="007A55A6" w14:paraId="3F3866F5" w14:textId="77777777" w:rsidTr="00832729">
        <w:trPr>
          <w:trHeight w:val="423"/>
        </w:trPr>
        <w:tc>
          <w:tcPr>
            <w:tcW w:w="270" w:type="dxa"/>
          </w:tcPr>
          <w:p w14:paraId="568A0A9F" w14:textId="77777777" w:rsidR="007A55A6" w:rsidRDefault="007A55A6" w:rsidP="00F06A9F">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380736" behindDoc="0" locked="0" layoutInCell="1" allowOverlap="1" wp14:anchorId="41C3705A" wp14:editId="0B12A880">
                      <wp:simplePos x="0" y="0"/>
                      <wp:positionH relativeFrom="column">
                        <wp:posOffset>66675</wp:posOffset>
                      </wp:positionH>
                      <wp:positionV relativeFrom="paragraph">
                        <wp:posOffset>90170</wp:posOffset>
                      </wp:positionV>
                      <wp:extent cx="180975" cy="180975"/>
                      <wp:effectExtent l="57150" t="19050" r="9525" b="104775"/>
                      <wp:wrapNone/>
                      <wp:docPr id="41099" name="Oval 410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0D7B3F48" id="Oval 41099" o:spid="_x0000_s1026" style="position:absolute;margin-left:5.25pt;margin-top:7.1pt;width:14.25pt;height:14.25pt;z-index:25138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3vLfgIAAGgFAAAOAAAAZHJzL2Uyb0RvYy54bWysVN9P2zAQfp+0/8Hy+0hSyqBRU9QVMU2q&#10;AA0mnl3Hbq05Ps92m3Z/PWcnDWwgIU17sXy+7376u5te7htNdsJ5BaaixUlOiTAcamXWFf3xcP3p&#10;ghIfmKmZBiMqehCeXs4+fpi2thQj2ICuhSPoxPiytRXdhGDLLPN8IxrmT8AKg0oJrmEBRbfOasda&#10;9N7obJTnn7MWXG0dcOE9vl51SjpL/qUUPNxK6UUguqKYW0inS+cqntlsysq1Y3ajeJ8G+4csGqYM&#10;Bh1cXbHAyNapV64axR14kOGEQ5OBlIqLVANWU+R/VXO/YVakWrA53g5t8v/PLb/Z3Tmi6oqOi3wy&#10;ocSwBr/pdsc06V6wQ631JQLv7Z2LNXq7BP7ToyL7QxMF32P20jURixWSfWr3YWi32AfC8bG4yCfn&#10;Z5RwVPX36JOVR2PrfPgqoCHxUlGhtbI+NoSVbLf0oUMfUSk10Kq+Vlonwa1XC+0I1oKx8y/5Wfpv&#10;DOCfYamELuuUfzhoEY21+S4kNibmmSImSorBH+NcmHAaCYQOEzqaSYw9GJ6+b9jjo6lIdB2MR+8b&#10;DxYpMpgwGDfKgHvLgQ5Fn7Ls8P0n+q7u2IIV1AfkhINuWLzl1wr7v2Q+3DGH04FzhBMfbvGQGtqK&#10;Qn+jZAPu91vvEY+kRS0lLU5bRf2vLXOCEv3NIJ0nxXgcxzMJ47PzEQrupWb1UmO2zQLwTwvcLZan&#10;a8QHfbxKB80jLoZ5jIoqZjjGrigP7igsQrcFcLVwMZ8nGI6kZWFp7i0//nok18P+kTnbkzAge2/g&#10;OJmviNhh438YmG8DSJVY+tzXvt84zok4/eqJ++KlnFDPC3L2BAAA//8DAFBLAwQUAAYACAAAACEA&#10;whqfIt4AAAAHAQAADwAAAGRycy9kb3ducmV2LnhtbEyPQUvDQBCF74L/YRnBi9hNYqs2ZlNEEBS9&#10;mFbU2zQ7JsHsbMhu2/jvHU96Gh7v8eZ7xWpyvdrTGDrPBtJZAoq49rbjxsBmfX9+DSpEZIu9ZzLw&#10;TQFW5fFRgbn1B36hfRUbJSUccjTQxjjkWoe6JYdh5gdi8T796DCKHBttRzxIuet1liSX2mHH8qHF&#10;ge5aqr+qnTPwUW2e3Tp9cm+P6cOCzt77JdpXY05PptsbUJGm+BeGX3xBh1KYtn7HNqhedLKQpNx5&#10;Bkr8i6VM2xqYZ1egy0L/5y9/AAAA//8DAFBLAQItABQABgAIAAAAIQC2gziS/gAAAOEBAAATAAAA&#10;AAAAAAAAAAAAAAAAAABbQ29udGVudF9UeXBlc10ueG1sUEsBAi0AFAAGAAgAAAAhADj9If/WAAAA&#10;lAEAAAsAAAAAAAAAAAAAAAAALwEAAF9yZWxzLy5yZWxzUEsBAi0AFAAGAAgAAAAhANj3e8t+AgAA&#10;aAUAAA4AAAAAAAAAAAAAAAAALgIAAGRycy9lMm9Eb2MueG1sUEsBAi0AFAAGAAgAAAAhAMIanyLe&#10;AAAABwEAAA8AAAAAAAAAAAAAAAAA2AQAAGRycy9kb3ducmV2LnhtbFBLBQYAAAAABAAEAPMAAADj&#10;BQAAAAA=&#10;" fillcolor="#00b050" strokecolor="#a5a5a5 [3206]" strokeweight=".5pt">
                      <v:stroke joinstyle="miter"/>
                      <v:path arrowok="t"/>
                    </v:oval>
                  </w:pict>
                </mc:Fallback>
              </mc:AlternateContent>
            </w:r>
          </w:p>
        </w:tc>
        <w:tc>
          <w:tcPr>
            <w:tcW w:w="9540" w:type="dxa"/>
          </w:tcPr>
          <w:p w14:paraId="2F438F0B" w14:textId="3BC68011" w:rsidR="00832729" w:rsidRPr="00832729" w:rsidRDefault="007A55A6" w:rsidP="00832729">
            <w:pPr>
              <w:rPr>
                <w:rFonts w:eastAsiaTheme="minorHAnsi"/>
                <w:lang w:val="en-US" w:eastAsia="en-US"/>
              </w:rPr>
            </w:pPr>
            <w:r>
              <w:rPr>
                <w:rFonts w:eastAsiaTheme="minorHAnsi"/>
                <w:b/>
                <w:lang w:eastAsia="en-US"/>
              </w:rPr>
              <w:t xml:space="preserve">Optional: </w:t>
            </w:r>
            <w:r>
              <w:rPr>
                <w:rFonts w:eastAsiaTheme="minorHAnsi"/>
                <w:lang w:eastAsia="en-US"/>
              </w:rPr>
              <w:t xml:space="preserve"> </w:t>
            </w:r>
            <w:r w:rsidR="00E579CB" w:rsidRPr="00380CEA">
              <w:rPr>
                <w:rFonts w:eastAsiaTheme="minorHAnsi"/>
                <w:lang w:val="en-US" w:eastAsia="en-US"/>
              </w:rPr>
              <w:t>Remote management is turned off by default. You can use the StorSimple Manager service to enable it. As a security best practice, remote access should be enabled only during the time period that it is actually needed</w:t>
            </w:r>
            <w:r w:rsidR="00380CEA" w:rsidRPr="00380CEA">
              <w:rPr>
                <w:rFonts w:eastAsiaTheme="minorHAnsi"/>
                <w:lang w:val="en-US" w:eastAsia="en-US"/>
              </w:rPr>
              <w:t>.</w:t>
            </w:r>
          </w:p>
          <w:tbl>
            <w:tblPr>
              <w:tblW w:w="5000" w:type="pct"/>
              <w:tblBorders>
                <w:top w:val="single" w:sz="4" w:space="0" w:color="008AC8"/>
                <w:bottom w:val="single" w:sz="4" w:space="0" w:color="008AC8"/>
                <w:insideH w:val="single" w:sz="4" w:space="0" w:color="008AC8"/>
              </w:tblBorders>
              <w:tblLayout w:type="fixed"/>
              <w:tblLook w:val="04A0" w:firstRow="1" w:lastRow="0" w:firstColumn="1" w:lastColumn="0" w:noHBand="0" w:noVBand="1"/>
            </w:tblPr>
            <w:tblGrid>
              <w:gridCol w:w="9324"/>
            </w:tblGrid>
            <w:tr w:rsidR="005E6695" w14:paraId="3CA14A84" w14:textId="77777777" w:rsidTr="00832729">
              <w:tc>
                <w:tcPr>
                  <w:tcW w:w="5000" w:type="pct"/>
                  <w:shd w:val="clear" w:color="auto" w:fill="008AC8"/>
                </w:tcPr>
                <w:p w14:paraId="20DF969A" w14:textId="7BCF14A9" w:rsidR="005E6695" w:rsidRPr="00F47607" w:rsidRDefault="005E6695" w:rsidP="009B6F54">
                  <w:pPr>
                    <w:spacing w:line="240" w:lineRule="auto"/>
                    <w:rPr>
                      <w:color w:val="FFFFFF"/>
                    </w:rPr>
                  </w:pPr>
                  <w:r>
                    <w:rPr>
                      <w:color w:val="FFFFFF"/>
                    </w:rPr>
                    <w:t>Design Guidance</w:t>
                  </w:r>
                </w:p>
              </w:tc>
            </w:tr>
          </w:tbl>
          <w:p w14:paraId="12B4891D" w14:textId="4E461EA5" w:rsidR="005E6695" w:rsidRDefault="005E6695" w:rsidP="005E6695">
            <w:r w:rsidRPr="00D22FAE">
              <w:t xml:space="preserve">Configuration best practices are implemented during deployment and are specific to the way StorSimple is </w:t>
            </w:r>
            <w:r>
              <w:t>deployed.  The following configuration recommendations are provided.</w:t>
            </w:r>
          </w:p>
          <w:tbl>
            <w:tblPr>
              <w:tblStyle w:val="PlainTable11"/>
              <w:tblW w:w="9337" w:type="dxa"/>
              <w:tblLayout w:type="fixed"/>
              <w:tblLook w:val="0420" w:firstRow="1" w:lastRow="0" w:firstColumn="0" w:lastColumn="0" w:noHBand="0" w:noVBand="1"/>
            </w:tblPr>
            <w:tblGrid>
              <w:gridCol w:w="1601"/>
              <w:gridCol w:w="7736"/>
            </w:tblGrid>
            <w:tr w:rsidR="005E6695" w14:paraId="01BCBEC8" w14:textId="77777777" w:rsidTr="002E4E5F">
              <w:trPr>
                <w:cnfStyle w:val="100000000000" w:firstRow="1" w:lastRow="0" w:firstColumn="0" w:lastColumn="0" w:oddVBand="0" w:evenVBand="0" w:oddHBand="0" w:evenHBand="0" w:firstRowFirstColumn="0" w:firstRowLastColumn="0" w:lastRowFirstColumn="0" w:lastRowLastColumn="0"/>
                <w:tblHeader/>
              </w:trPr>
              <w:tc>
                <w:tcPr>
                  <w:tcW w:w="1601" w:type="dxa"/>
                  <w:shd w:val="clear" w:color="auto" w:fill="808080" w:themeFill="background1" w:themeFillShade="80"/>
                  <w:hideMark/>
                </w:tcPr>
                <w:p w14:paraId="3A0BFD2C" w14:textId="77777777" w:rsidR="005E6695" w:rsidRPr="00C80FD9" w:rsidRDefault="005E6695" w:rsidP="005E6695">
                  <w:pPr>
                    <w:spacing w:line="240" w:lineRule="auto"/>
                    <w:rPr>
                      <w:rFonts w:ascii="Times New Roman" w:hAnsi="Times New Roman"/>
                      <w:color w:val="FFFFFF"/>
                      <w:lang w:eastAsia="en-AU"/>
                    </w:rPr>
                  </w:pPr>
                  <w:r w:rsidRPr="00C80FD9">
                    <w:rPr>
                      <w:rFonts w:eastAsia="Calibri"/>
                      <w:color w:val="FFFFFF"/>
                      <w:lang w:eastAsia="en-AU"/>
                    </w:rPr>
                    <w:t>Area</w:t>
                  </w:r>
                </w:p>
              </w:tc>
              <w:tc>
                <w:tcPr>
                  <w:tcW w:w="7736" w:type="dxa"/>
                  <w:shd w:val="clear" w:color="auto" w:fill="808080" w:themeFill="background1" w:themeFillShade="80"/>
                  <w:hideMark/>
                </w:tcPr>
                <w:p w14:paraId="78FC4A56" w14:textId="77777777" w:rsidR="005E6695" w:rsidRPr="00C80FD9" w:rsidRDefault="005E6695" w:rsidP="005E6695">
                  <w:pPr>
                    <w:spacing w:line="240" w:lineRule="auto"/>
                    <w:rPr>
                      <w:rFonts w:eastAsia="Calibri"/>
                      <w:color w:val="FFFFFF"/>
                      <w:lang w:eastAsia="en-AU"/>
                    </w:rPr>
                  </w:pPr>
                  <w:r w:rsidRPr="00C80FD9">
                    <w:rPr>
                      <w:rFonts w:eastAsia="Calibri"/>
                      <w:color w:val="FFFFFF"/>
                      <w:lang w:eastAsia="en-AU"/>
                    </w:rPr>
                    <w:t>Recommendation</w:t>
                  </w:r>
                </w:p>
              </w:tc>
            </w:tr>
            <w:tr w:rsidR="00E579CB" w:rsidRPr="004B3E51" w14:paraId="25192F91" w14:textId="77777777" w:rsidTr="00832729">
              <w:trPr>
                <w:cnfStyle w:val="000000100000" w:firstRow="0" w:lastRow="0" w:firstColumn="0" w:lastColumn="0" w:oddVBand="0" w:evenVBand="0" w:oddHBand="1" w:evenHBand="0" w:firstRowFirstColumn="0" w:firstRowLastColumn="0" w:lastRowFirstColumn="0" w:lastRowLastColumn="0"/>
              </w:trPr>
              <w:tc>
                <w:tcPr>
                  <w:tcW w:w="1601" w:type="dxa"/>
                  <w:vMerge w:val="restart"/>
                  <w:hideMark/>
                </w:tcPr>
                <w:p w14:paraId="6BFA0E73" w14:textId="77777777" w:rsidR="00E579CB" w:rsidRPr="00C80FD9" w:rsidRDefault="00E579CB" w:rsidP="00E579CB">
                  <w:pPr>
                    <w:pStyle w:val="NormalWeb"/>
                    <w:rPr>
                      <w:rFonts w:ascii="Segoe UI" w:hAnsi="Segoe UI" w:cs="Segoe UI"/>
                      <w:b/>
                      <w:sz w:val="20"/>
                      <w:szCs w:val="20"/>
                      <w:lang w:eastAsia="en-AU"/>
                    </w:rPr>
                  </w:pPr>
                  <w:r w:rsidRPr="00C80FD9">
                    <w:rPr>
                      <w:rFonts w:ascii="Segoe UI" w:hAnsi="Segoe UI" w:cs="Segoe UI"/>
                      <w:b/>
                      <w:sz w:val="20"/>
                      <w:szCs w:val="20"/>
                      <w:lang w:eastAsia="en-AU"/>
                    </w:rPr>
                    <w:t xml:space="preserve">High </w:t>
                  </w:r>
                  <w:r>
                    <w:rPr>
                      <w:rFonts w:ascii="Segoe UI" w:hAnsi="Segoe UI" w:cs="Segoe UI"/>
                      <w:b/>
                      <w:sz w:val="20"/>
                      <w:szCs w:val="20"/>
                      <w:lang w:eastAsia="en-AU"/>
                    </w:rPr>
                    <w:t>a</w:t>
                  </w:r>
                  <w:r w:rsidRPr="00C80FD9">
                    <w:rPr>
                      <w:rFonts w:ascii="Segoe UI" w:hAnsi="Segoe UI" w:cs="Segoe UI"/>
                      <w:b/>
                      <w:sz w:val="20"/>
                      <w:szCs w:val="20"/>
                      <w:lang w:eastAsia="en-AU"/>
                    </w:rPr>
                    <w:t>vailability</w:t>
                  </w:r>
                </w:p>
                <w:p w14:paraId="40EFA3BF" w14:textId="0D66DF6D" w:rsidR="00E579CB" w:rsidRPr="00C80FD9" w:rsidRDefault="00E579CB" w:rsidP="00E579CB">
                  <w:pPr>
                    <w:pStyle w:val="NormalWeb"/>
                    <w:rPr>
                      <w:rFonts w:ascii="Segoe UI" w:hAnsi="Segoe UI" w:cs="Segoe UI"/>
                      <w:b/>
                      <w:sz w:val="20"/>
                      <w:szCs w:val="20"/>
                      <w:lang w:eastAsia="en-AU"/>
                    </w:rPr>
                  </w:pPr>
                </w:p>
              </w:tc>
              <w:tc>
                <w:tcPr>
                  <w:tcW w:w="7736" w:type="dxa"/>
                  <w:hideMark/>
                </w:tcPr>
                <w:p w14:paraId="4469ACDB" w14:textId="47B1DAE5" w:rsidR="00E579CB" w:rsidRPr="00B34E24" w:rsidRDefault="00E579CB" w:rsidP="00E579CB">
                  <w:pPr>
                    <w:pStyle w:val="NormalWeb"/>
                    <w:rPr>
                      <w:rFonts w:ascii="Segoe UI" w:hAnsi="Segoe UI" w:cs="Segoe UI"/>
                      <w:sz w:val="20"/>
                      <w:szCs w:val="20"/>
                      <w:lang w:eastAsia="en-AU"/>
                    </w:rPr>
                  </w:pPr>
                  <w:r w:rsidRPr="00B34E24">
                    <w:rPr>
                      <w:rFonts w:ascii="Segoe UI" w:hAnsi="Segoe UI" w:cs="Segoe UI"/>
                      <w:sz w:val="20"/>
                      <w:szCs w:val="20"/>
                      <w:lang w:eastAsia="en-AU"/>
                    </w:rPr>
                    <w:t xml:space="preserve">Connect the power supply cables from both the power control modules. Connect each power supply cable to different power circuits in the </w:t>
                  </w:r>
                  <w:r>
                    <w:rPr>
                      <w:rFonts w:ascii="Segoe UI" w:hAnsi="Segoe UI" w:cs="Segoe UI"/>
                      <w:sz w:val="20"/>
                      <w:szCs w:val="20"/>
                      <w:lang w:eastAsia="en-AU"/>
                    </w:rPr>
                    <w:t>datacenter</w:t>
                  </w:r>
                  <w:r w:rsidRPr="00B34E24">
                    <w:rPr>
                      <w:rFonts w:ascii="Segoe UI" w:hAnsi="Segoe UI" w:cs="Segoe UI"/>
                      <w:sz w:val="20"/>
                      <w:szCs w:val="20"/>
                      <w:lang w:eastAsia="en-AU"/>
                    </w:rPr>
                    <w:t>. This prevent</w:t>
                  </w:r>
                  <w:r>
                    <w:rPr>
                      <w:rFonts w:ascii="Segoe UI" w:hAnsi="Segoe UI" w:cs="Segoe UI"/>
                      <w:sz w:val="20"/>
                      <w:szCs w:val="20"/>
                      <w:lang w:eastAsia="en-AU"/>
                    </w:rPr>
                    <w:t>s</w:t>
                  </w:r>
                  <w:r w:rsidRPr="00B34E24">
                    <w:rPr>
                      <w:rFonts w:ascii="Segoe UI" w:hAnsi="Segoe UI" w:cs="Segoe UI"/>
                      <w:sz w:val="20"/>
                      <w:szCs w:val="20"/>
                      <w:lang w:eastAsia="en-AU"/>
                    </w:rPr>
                    <w:t xml:space="preserve"> loss of power in the event that a single power circuit fails</w:t>
                  </w:r>
                  <w:r>
                    <w:rPr>
                      <w:rFonts w:ascii="Segoe UI" w:hAnsi="Segoe UI" w:cs="Segoe UI"/>
                      <w:sz w:val="20"/>
                      <w:szCs w:val="20"/>
                      <w:lang w:eastAsia="en-AU"/>
                    </w:rPr>
                    <w:t>.</w:t>
                  </w:r>
                </w:p>
              </w:tc>
            </w:tr>
            <w:tr w:rsidR="00E579CB" w:rsidRPr="004B3E51" w14:paraId="5F02D6B1" w14:textId="77777777" w:rsidTr="00832729">
              <w:tc>
                <w:tcPr>
                  <w:tcW w:w="1601" w:type="dxa"/>
                  <w:vMerge/>
                  <w:hideMark/>
                </w:tcPr>
                <w:p w14:paraId="524297A1" w14:textId="1EB3ACA8" w:rsidR="00E579CB" w:rsidRPr="00C80FD9" w:rsidRDefault="00E579CB" w:rsidP="00E579CB">
                  <w:pPr>
                    <w:pStyle w:val="NormalWeb"/>
                    <w:rPr>
                      <w:rFonts w:ascii="Segoe UI" w:hAnsi="Segoe UI" w:cs="Segoe UI"/>
                      <w:b/>
                      <w:sz w:val="20"/>
                      <w:szCs w:val="20"/>
                      <w:lang w:eastAsia="en-AU"/>
                    </w:rPr>
                  </w:pPr>
                </w:p>
              </w:tc>
              <w:tc>
                <w:tcPr>
                  <w:tcW w:w="7736" w:type="dxa"/>
                  <w:hideMark/>
                </w:tcPr>
                <w:p w14:paraId="5FBFE00A" w14:textId="3BF4B8E3" w:rsidR="00E579CB" w:rsidRPr="00B34E24" w:rsidRDefault="00E579CB" w:rsidP="00E579CB">
                  <w:pPr>
                    <w:pStyle w:val="NormalWeb"/>
                    <w:rPr>
                      <w:rFonts w:ascii="Segoe UI" w:hAnsi="Segoe UI" w:cs="Segoe UI"/>
                      <w:sz w:val="20"/>
                      <w:szCs w:val="20"/>
                      <w:lang w:eastAsia="en-AU"/>
                    </w:rPr>
                  </w:pPr>
                  <w:r w:rsidRPr="00B34E24">
                    <w:rPr>
                      <w:rFonts w:ascii="Segoe UI" w:hAnsi="Segoe UI" w:cs="Segoe UI"/>
                      <w:sz w:val="20"/>
                      <w:szCs w:val="20"/>
                      <w:lang w:eastAsia="en-AU"/>
                    </w:rPr>
                    <w:t>Connect all four network ports from each of the controllers to the respective network subnets. During the initial configuration of StorSimple, designate at least one port for use with the management interface and at least two ports for use with the iSCSI data interface. If eight network ports are not available, a fewer number could be used</w:t>
                  </w:r>
                  <w:r>
                    <w:rPr>
                      <w:rFonts w:ascii="Segoe UI" w:hAnsi="Segoe UI" w:cs="Segoe UI"/>
                      <w:sz w:val="20"/>
                      <w:szCs w:val="20"/>
                      <w:lang w:eastAsia="en-AU"/>
                    </w:rPr>
                    <w:t>—</w:t>
                  </w:r>
                  <w:r w:rsidRPr="00B34E24">
                    <w:rPr>
                      <w:rFonts w:ascii="Segoe UI" w:hAnsi="Segoe UI" w:cs="Segoe UI"/>
                      <w:sz w:val="20"/>
                      <w:szCs w:val="20"/>
                      <w:lang w:eastAsia="en-AU"/>
                    </w:rPr>
                    <w:t>albeit at a lowered level of redundancy.</w:t>
                  </w:r>
                </w:p>
              </w:tc>
            </w:tr>
            <w:tr w:rsidR="00E579CB" w:rsidRPr="004B3E51" w14:paraId="631E920A" w14:textId="77777777" w:rsidTr="00832729">
              <w:trPr>
                <w:cnfStyle w:val="000000100000" w:firstRow="0" w:lastRow="0" w:firstColumn="0" w:lastColumn="0" w:oddVBand="0" w:evenVBand="0" w:oddHBand="1" w:evenHBand="0" w:firstRowFirstColumn="0" w:firstRowLastColumn="0" w:lastRowFirstColumn="0" w:lastRowLastColumn="0"/>
              </w:trPr>
              <w:tc>
                <w:tcPr>
                  <w:tcW w:w="1601" w:type="dxa"/>
                  <w:vMerge/>
                </w:tcPr>
                <w:p w14:paraId="0AF33632" w14:textId="3E63B5F7" w:rsidR="00E579CB" w:rsidRPr="00C80FD9" w:rsidRDefault="00E579CB" w:rsidP="00E579CB">
                  <w:pPr>
                    <w:pStyle w:val="NormalWeb"/>
                    <w:rPr>
                      <w:rFonts w:ascii="Segoe UI" w:hAnsi="Segoe UI" w:cs="Segoe UI"/>
                      <w:b/>
                      <w:sz w:val="20"/>
                      <w:szCs w:val="20"/>
                      <w:lang w:eastAsia="en-AU"/>
                    </w:rPr>
                  </w:pPr>
                </w:p>
              </w:tc>
              <w:tc>
                <w:tcPr>
                  <w:tcW w:w="7736" w:type="dxa"/>
                </w:tcPr>
                <w:p w14:paraId="2F72D33D" w14:textId="75EA6D32" w:rsidR="00E579CB" w:rsidRPr="00B34E24" w:rsidRDefault="00E579CB" w:rsidP="00E579CB">
                  <w:pPr>
                    <w:pStyle w:val="NormalWeb"/>
                    <w:rPr>
                      <w:rFonts w:ascii="Segoe UI" w:hAnsi="Segoe UI" w:cs="Segoe UI"/>
                      <w:sz w:val="20"/>
                      <w:szCs w:val="20"/>
                      <w:lang w:eastAsia="en-AU"/>
                    </w:rPr>
                  </w:pPr>
                  <w:r w:rsidRPr="00B34E24">
                    <w:rPr>
                      <w:rFonts w:ascii="Segoe UI" w:hAnsi="Segoe UI" w:cs="Segoe UI"/>
                      <w:sz w:val="20"/>
                      <w:szCs w:val="20"/>
                      <w:lang w:eastAsia="en-AU"/>
                    </w:rPr>
                    <w:t>When using multiple VLANs, disable iSCSI for the management (MGMT) interface</w:t>
                  </w:r>
                  <w:r>
                    <w:rPr>
                      <w:rFonts w:ascii="Segoe UI" w:hAnsi="Segoe UI" w:cs="Segoe UI"/>
                      <w:sz w:val="20"/>
                      <w:szCs w:val="20"/>
                      <w:lang w:eastAsia="en-AU"/>
                    </w:rPr>
                    <w:t>.</w:t>
                  </w:r>
                </w:p>
              </w:tc>
            </w:tr>
            <w:tr w:rsidR="00E579CB" w:rsidRPr="004B3E51" w14:paraId="7343314C" w14:textId="77777777" w:rsidTr="00832729">
              <w:tc>
                <w:tcPr>
                  <w:tcW w:w="1601" w:type="dxa"/>
                  <w:vMerge/>
                </w:tcPr>
                <w:p w14:paraId="26D58365" w14:textId="1142975B" w:rsidR="00E579CB" w:rsidRPr="00C80FD9" w:rsidRDefault="00E579CB" w:rsidP="00E579CB">
                  <w:pPr>
                    <w:pStyle w:val="NormalWeb"/>
                    <w:rPr>
                      <w:rFonts w:ascii="Segoe UI" w:hAnsi="Segoe UI" w:cs="Segoe UI"/>
                      <w:b/>
                      <w:sz w:val="20"/>
                      <w:szCs w:val="20"/>
                      <w:lang w:eastAsia="en-AU"/>
                    </w:rPr>
                  </w:pPr>
                </w:p>
              </w:tc>
              <w:tc>
                <w:tcPr>
                  <w:tcW w:w="7736" w:type="dxa"/>
                </w:tcPr>
                <w:p w14:paraId="681E7389" w14:textId="7678C683" w:rsidR="00E579CB" w:rsidRPr="00B34E24" w:rsidRDefault="00E579CB" w:rsidP="00E579CB">
                  <w:pPr>
                    <w:pStyle w:val="NormalWeb"/>
                    <w:rPr>
                      <w:rFonts w:ascii="Segoe UI" w:hAnsi="Segoe UI" w:cs="Segoe UI"/>
                      <w:sz w:val="20"/>
                      <w:szCs w:val="20"/>
                      <w:lang w:eastAsia="en-AU"/>
                    </w:rPr>
                  </w:pPr>
                  <w:r w:rsidRPr="00B34E24">
                    <w:rPr>
                      <w:rFonts w:ascii="Segoe UI" w:hAnsi="Segoe UI" w:cs="Segoe UI"/>
                      <w:sz w:val="20"/>
                      <w:szCs w:val="20"/>
                      <w:lang w:eastAsia="en-AU"/>
                    </w:rPr>
                    <w:t xml:space="preserve">When initially configuring the network interfaces for the appliance and completing </w:t>
                  </w:r>
                  <w:r>
                    <w:rPr>
                      <w:rFonts w:ascii="Segoe UI" w:hAnsi="Segoe UI" w:cs="Segoe UI"/>
                      <w:sz w:val="20"/>
                      <w:szCs w:val="20"/>
                      <w:lang w:eastAsia="en-AU"/>
                    </w:rPr>
                    <w:t xml:space="preserve">the </w:t>
                  </w:r>
                  <w:r w:rsidRPr="00B34E24">
                    <w:rPr>
                      <w:rFonts w:ascii="Segoe UI" w:hAnsi="Segoe UI" w:cs="Segoe UI"/>
                      <w:sz w:val="20"/>
                      <w:szCs w:val="20"/>
                      <w:lang w:eastAsia="en-AU"/>
                    </w:rPr>
                    <w:t>setup, it is required to configure the secondary DNS server. This provide</w:t>
                  </w:r>
                  <w:r>
                    <w:rPr>
                      <w:rFonts w:ascii="Segoe UI" w:hAnsi="Segoe UI" w:cs="Segoe UI"/>
                      <w:sz w:val="20"/>
                      <w:szCs w:val="20"/>
                      <w:lang w:eastAsia="en-AU"/>
                    </w:rPr>
                    <w:t>s</w:t>
                  </w:r>
                  <w:r w:rsidRPr="00B34E24">
                    <w:rPr>
                      <w:rFonts w:ascii="Segoe UI" w:hAnsi="Segoe UI" w:cs="Segoe UI"/>
                      <w:sz w:val="20"/>
                      <w:szCs w:val="20"/>
                      <w:lang w:eastAsia="en-AU"/>
                    </w:rPr>
                    <w:t xml:space="preserve"> high-availability if the primary DNS server goes down.</w:t>
                  </w:r>
                </w:p>
              </w:tc>
            </w:tr>
            <w:tr w:rsidR="00E579CB" w:rsidRPr="004B3E51" w14:paraId="5564FDFC" w14:textId="77777777" w:rsidTr="00832729">
              <w:trPr>
                <w:cnfStyle w:val="000000100000" w:firstRow="0" w:lastRow="0" w:firstColumn="0" w:lastColumn="0" w:oddVBand="0" w:evenVBand="0" w:oddHBand="1" w:evenHBand="0" w:firstRowFirstColumn="0" w:firstRowLastColumn="0" w:lastRowFirstColumn="0" w:lastRowLastColumn="0"/>
              </w:trPr>
              <w:tc>
                <w:tcPr>
                  <w:tcW w:w="1601" w:type="dxa"/>
                  <w:vMerge/>
                </w:tcPr>
                <w:p w14:paraId="73C72B57" w14:textId="0FBA8C66" w:rsidR="00E579CB" w:rsidRPr="00C80FD9" w:rsidRDefault="00E579CB" w:rsidP="00E579CB">
                  <w:pPr>
                    <w:pStyle w:val="NormalWeb"/>
                    <w:rPr>
                      <w:rFonts w:ascii="Segoe UI" w:hAnsi="Segoe UI" w:cs="Segoe UI"/>
                      <w:b/>
                      <w:sz w:val="20"/>
                      <w:szCs w:val="20"/>
                      <w:lang w:eastAsia="en-AU"/>
                    </w:rPr>
                  </w:pPr>
                </w:p>
              </w:tc>
              <w:tc>
                <w:tcPr>
                  <w:tcW w:w="7736" w:type="dxa"/>
                </w:tcPr>
                <w:p w14:paraId="3AD696D3" w14:textId="37F2C4CD" w:rsidR="00E579CB" w:rsidRPr="00B34E24" w:rsidRDefault="00E579CB" w:rsidP="00E579CB">
                  <w:pPr>
                    <w:pStyle w:val="NormalWeb"/>
                    <w:rPr>
                      <w:rFonts w:ascii="Segoe UI" w:hAnsi="Segoe UI" w:cs="Segoe UI"/>
                      <w:sz w:val="20"/>
                      <w:szCs w:val="20"/>
                      <w:lang w:eastAsia="en-AU"/>
                    </w:rPr>
                  </w:pPr>
                  <w:r>
                    <w:rPr>
                      <w:rFonts w:ascii="Segoe UI" w:hAnsi="Segoe UI" w:cs="Segoe UI"/>
                      <w:sz w:val="20"/>
                      <w:szCs w:val="20"/>
                      <w:lang w:eastAsia="en-AU"/>
                    </w:rPr>
                    <w:t>Microsoft Multipath I/O (</w:t>
                  </w:r>
                  <w:r w:rsidRPr="00B34E24">
                    <w:rPr>
                      <w:rFonts w:ascii="Segoe UI" w:hAnsi="Segoe UI" w:cs="Segoe UI"/>
                      <w:sz w:val="20"/>
                      <w:szCs w:val="20"/>
                      <w:lang w:eastAsia="en-AU"/>
                    </w:rPr>
                    <w:t>MPIO</w:t>
                  </w:r>
                  <w:r>
                    <w:rPr>
                      <w:rFonts w:ascii="Segoe UI" w:hAnsi="Segoe UI" w:cs="Segoe UI"/>
                      <w:sz w:val="20"/>
                      <w:szCs w:val="20"/>
                      <w:lang w:eastAsia="en-AU"/>
                    </w:rPr>
                    <w:t>)</w:t>
                  </w:r>
                  <w:r w:rsidRPr="00B34E24">
                    <w:rPr>
                      <w:rFonts w:ascii="Segoe UI" w:hAnsi="Segoe UI" w:cs="Segoe UI"/>
                      <w:sz w:val="20"/>
                      <w:szCs w:val="20"/>
                      <w:lang w:eastAsia="en-AU"/>
                    </w:rPr>
                    <w:t xml:space="preserve"> for iSCSI, should be installed and configured on the host to leverage the multiple data paths connected to StorSimple. Each iSCSI host should have more than one network</w:t>
                  </w:r>
                  <w:r>
                    <w:rPr>
                      <w:rFonts w:ascii="Segoe UI" w:hAnsi="Segoe UI" w:cs="Segoe UI"/>
                      <w:sz w:val="20"/>
                      <w:szCs w:val="20"/>
                      <w:lang w:eastAsia="en-AU"/>
                    </w:rPr>
                    <w:t xml:space="preserve"> adapter</w:t>
                  </w:r>
                  <w:r w:rsidRPr="00B34E24">
                    <w:rPr>
                      <w:rFonts w:ascii="Segoe UI" w:hAnsi="Segoe UI" w:cs="Segoe UI"/>
                      <w:sz w:val="20"/>
                      <w:szCs w:val="20"/>
                      <w:lang w:eastAsia="en-AU"/>
                    </w:rPr>
                    <w:t xml:space="preserve"> and be connected to more than one network switch for physical data path redundancy. The appropriate MPIO policies (</w:t>
                  </w:r>
                  <w:r>
                    <w:rPr>
                      <w:rFonts w:ascii="Segoe UI" w:hAnsi="Segoe UI" w:cs="Segoe UI"/>
                      <w:sz w:val="20"/>
                      <w:szCs w:val="20"/>
                      <w:lang w:eastAsia="en-AU"/>
                    </w:rPr>
                    <w:t xml:space="preserve">for example, performance, </w:t>
                  </w:r>
                  <w:r w:rsidRPr="00B34E24">
                    <w:rPr>
                      <w:rFonts w:ascii="Segoe UI" w:hAnsi="Segoe UI" w:cs="Segoe UI"/>
                      <w:sz w:val="20"/>
                      <w:szCs w:val="20"/>
                      <w:lang w:eastAsia="en-AU"/>
                    </w:rPr>
                    <w:t>round robin</w:t>
                  </w:r>
                  <w:r>
                    <w:rPr>
                      <w:rFonts w:ascii="Segoe UI" w:hAnsi="Segoe UI" w:cs="Segoe UI"/>
                      <w:sz w:val="20"/>
                      <w:szCs w:val="20"/>
                      <w:lang w:eastAsia="en-AU"/>
                    </w:rPr>
                    <w:t xml:space="preserve"> or</w:t>
                  </w:r>
                  <w:r w:rsidRPr="00B34E24">
                    <w:rPr>
                      <w:rFonts w:ascii="Segoe UI" w:hAnsi="Segoe UI" w:cs="Segoe UI"/>
                      <w:sz w:val="20"/>
                      <w:szCs w:val="20"/>
                      <w:lang w:eastAsia="en-AU"/>
                    </w:rPr>
                    <w:t xml:space="preserve"> failover) should be selected based on the desired behavior across the multiple network paths.</w:t>
                  </w:r>
                </w:p>
              </w:tc>
            </w:tr>
            <w:tr w:rsidR="00E579CB" w:rsidRPr="004B3E51" w14:paraId="3D61D057" w14:textId="77777777" w:rsidTr="00832729">
              <w:tc>
                <w:tcPr>
                  <w:tcW w:w="1601" w:type="dxa"/>
                  <w:vMerge/>
                </w:tcPr>
                <w:p w14:paraId="1E708484" w14:textId="51765EBF" w:rsidR="00E579CB" w:rsidRPr="00C80FD9" w:rsidRDefault="00E579CB" w:rsidP="00E579CB">
                  <w:pPr>
                    <w:pStyle w:val="NormalWeb"/>
                    <w:rPr>
                      <w:rFonts w:ascii="Segoe UI" w:hAnsi="Segoe UI" w:cs="Segoe UI"/>
                      <w:b/>
                      <w:sz w:val="20"/>
                      <w:szCs w:val="20"/>
                      <w:lang w:eastAsia="en-AU"/>
                    </w:rPr>
                  </w:pPr>
                </w:p>
              </w:tc>
              <w:tc>
                <w:tcPr>
                  <w:tcW w:w="7736" w:type="dxa"/>
                </w:tcPr>
                <w:p w14:paraId="5D9878DE" w14:textId="5378F8CC" w:rsidR="00E579CB" w:rsidRPr="00B34E24" w:rsidRDefault="00E579CB" w:rsidP="00E579CB">
                  <w:pPr>
                    <w:pStyle w:val="NormalWeb"/>
                    <w:rPr>
                      <w:rFonts w:ascii="Segoe UI" w:hAnsi="Segoe UI" w:cs="Segoe UI"/>
                      <w:sz w:val="20"/>
                      <w:szCs w:val="20"/>
                      <w:lang w:eastAsia="en-AU"/>
                    </w:rPr>
                  </w:pPr>
                  <w:r w:rsidRPr="00B34E24">
                    <w:rPr>
                      <w:rFonts w:ascii="Segoe UI" w:hAnsi="Segoe UI" w:cs="Segoe UI"/>
                      <w:sz w:val="20"/>
                      <w:szCs w:val="20"/>
                      <w:lang w:eastAsia="en-AU"/>
                    </w:rPr>
                    <w:t>Configure StorSimple with</w:t>
                  </w:r>
                  <w:r>
                    <w:rPr>
                      <w:rFonts w:ascii="Segoe UI" w:hAnsi="Segoe UI" w:cs="Segoe UI"/>
                      <w:sz w:val="20"/>
                      <w:szCs w:val="20"/>
                      <w:lang w:eastAsia="en-AU"/>
                    </w:rPr>
                    <w:t> 2</w:t>
                  </w:r>
                  <w:r w:rsidRPr="00B34E24">
                    <w:rPr>
                      <w:rFonts w:ascii="Segoe UI" w:hAnsi="Segoe UI" w:cs="Segoe UI"/>
                      <w:sz w:val="20"/>
                      <w:szCs w:val="20"/>
                      <w:lang w:eastAsia="en-AU"/>
                    </w:rPr>
                    <w:t>-node file server cluster configurations. By removing single points of failure and building redundancy on the host, the entire solution becomes highly available</w:t>
                  </w:r>
                  <w:r>
                    <w:rPr>
                      <w:rFonts w:ascii="Segoe UI" w:hAnsi="Segoe UI" w:cs="Segoe UI"/>
                      <w:sz w:val="20"/>
                      <w:szCs w:val="20"/>
                      <w:lang w:eastAsia="en-AU"/>
                    </w:rPr>
                    <w:t>.</w:t>
                  </w:r>
                </w:p>
              </w:tc>
            </w:tr>
            <w:tr w:rsidR="00E579CB" w:rsidRPr="004B3E51" w14:paraId="16868A26" w14:textId="77777777" w:rsidTr="00832729">
              <w:trPr>
                <w:cnfStyle w:val="000000100000" w:firstRow="0" w:lastRow="0" w:firstColumn="0" w:lastColumn="0" w:oddVBand="0" w:evenVBand="0" w:oddHBand="1" w:evenHBand="0" w:firstRowFirstColumn="0" w:firstRowLastColumn="0" w:lastRowFirstColumn="0" w:lastRowLastColumn="0"/>
              </w:trPr>
              <w:tc>
                <w:tcPr>
                  <w:tcW w:w="1601" w:type="dxa"/>
                  <w:vMerge/>
                </w:tcPr>
                <w:p w14:paraId="6C825E76" w14:textId="15CA1A00" w:rsidR="00E579CB" w:rsidRPr="00C80FD9" w:rsidRDefault="00E579CB" w:rsidP="00E579CB">
                  <w:pPr>
                    <w:pStyle w:val="NormalWeb"/>
                    <w:rPr>
                      <w:rFonts w:ascii="Segoe UI" w:hAnsi="Segoe UI" w:cs="Segoe UI"/>
                      <w:b/>
                      <w:sz w:val="20"/>
                      <w:szCs w:val="20"/>
                      <w:lang w:eastAsia="en-AU"/>
                    </w:rPr>
                  </w:pPr>
                </w:p>
              </w:tc>
              <w:tc>
                <w:tcPr>
                  <w:tcW w:w="7736" w:type="dxa"/>
                </w:tcPr>
                <w:p w14:paraId="606ED24C" w14:textId="4EA67F08" w:rsidR="00E579CB" w:rsidRPr="00B34E24" w:rsidRDefault="00E579CB" w:rsidP="00E579CB">
                  <w:pPr>
                    <w:pStyle w:val="NormalWeb"/>
                    <w:rPr>
                      <w:rFonts w:ascii="Segoe UI" w:hAnsi="Segoe UI" w:cs="Segoe UI"/>
                      <w:sz w:val="20"/>
                      <w:szCs w:val="20"/>
                      <w:lang w:eastAsia="en-AU"/>
                    </w:rPr>
                  </w:pPr>
                  <w:r w:rsidRPr="00B34E24">
                    <w:rPr>
                      <w:rFonts w:ascii="Segoe UI" w:hAnsi="Segoe UI" w:cs="Segoe UI"/>
                      <w:sz w:val="20"/>
                      <w:szCs w:val="20"/>
                      <w:lang w:eastAsia="en-AU"/>
                    </w:rPr>
                    <w:t>Use Continuously Available (CA) shares</w:t>
                  </w:r>
                  <w:r>
                    <w:rPr>
                      <w:rFonts w:ascii="Segoe UI" w:hAnsi="Segoe UI" w:cs="Segoe UI"/>
                      <w:sz w:val="20"/>
                      <w:szCs w:val="20"/>
                      <w:lang w:eastAsia="en-AU"/>
                    </w:rPr>
                    <w:t>, which became</w:t>
                  </w:r>
                  <w:r w:rsidRPr="00B34E24">
                    <w:rPr>
                      <w:rFonts w:ascii="Segoe UI" w:hAnsi="Segoe UI" w:cs="Segoe UI"/>
                      <w:sz w:val="20"/>
                      <w:szCs w:val="20"/>
                      <w:lang w:eastAsia="en-AU"/>
                    </w:rPr>
                    <w:t xml:space="preserve"> availabl</w:t>
                  </w:r>
                  <w:r>
                    <w:rPr>
                      <w:rFonts w:ascii="Segoe UI" w:hAnsi="Segoe UI" w:cs="Segoe UI"/>
                      <w:sz w:val="20"/>
                      <w:szCs w:val="20"/>
                      <w:lang w:eastAsia="en-AU"/>
                    </w:rPr>
                    <w:t>e in Windows Server 2012 (SMB 3</w:t>
                  </w:r>
                  <w:r w:rsidRPr="00B34E24">
                    <w:rPr>
                      <w:rFonts w:ascii="Segoe UI" w:hAnsi="Segoe UI" w:cs="Segoe UI"/>
                      <w:sz w:val="20"/>
                      <w:szCs w:val="20"/>
                      <w:lang w:eastAsia="en-AU"/>
                    </w:rPr>
                    <w:t>.0) for high availability during failover of the storage controllers.</w:t>
                  </w:r>
                </w:p>
              </w:tc>
            </w:tr>
            <w:tr w:rsidR="00E579CB" w:rsidRPr="004B3E51" w14:paraId="5F240025" w14:textId="77777777" w:rsidTr="00832729">
              <w:tc>
                <w:tcPr>
                  <w:tcW w:w="1601" w:type="dxa"/>
                  <w:vMerge w:val="restart"/>
                </w:tcPr>
                <w:p w14:paraId="426E93CB" w14:textId="314ADA73" w:rsidR="00E579CB" w:rsidRPr="00C80FD9" w:rsidRDefault="00E579CB" w:rsidP="00E579CB">
                  <w:pPr>
                    <w:pStyle w:val="NormalWeb"/>
                    <w:rPr>
                      <w:rFonts w:ascii="Segoe UI" w:hAnsi="Segoe UI" w:cs="Segoe UI"/>
                      <w:b/>
                      <w:sz w:val="20"/>
                      <w:szCs w:val="20"/>
                      <w:lang w:eastAsia="en-AU"/>
                    </w:rPr>
                  </w:pPr>
                  <w:r w:rsidRPr="00C80FD9">
                    <w:rPr>
                      <w:rFonts w:ascii="Segoe UI" w:hAnsi="Segoe UI" w:cs="Segoe UI"/>
                      <w:b/>
                      <w:sz w:val="20"/>
                      <w:szCs w:val="20"/>
                      <w:lang w:eastAsia="en-AU"/>
                    </w:rPr>
                    <w:t xml:space="preserve">Access </w:t>
                  </w:r>
                  <w:r>
                    <w:rPr>
                      <w:rFonts w:ascii="Segoe UI" w:hAnsi="Segoe UI" w:cs="Segoe UI"/>
                      <w:b/>
                      <w:sz w:val="20"/>
                      <w:szCs w:val="20"/>
                      <w:lang w:eastAsia="en-AU"/>
                    </w:rPr>
                    <w:t>c</w:t>
                  </w:r>
                  <w:r w:rsidRPr="00C80FD9">
                    <w:rPr>
                      <w:rFonts w:ascii="Segoe UI" w:hAnsi="Segoe UI" w:cs="Segoe UI"/>
                      <w:b/>
                      <w:sz w:val="20"/>
                      <w:szCs w:val="20"/>
                      <w:lang w:eastAsia="en-AU"/>
                    </w:rPr>
                    <w:t>ontrol</w:t>
                  </w:r>
                </w:p>
              </w:tc>
              <w:tc>
                <w:tcPr>
                  <w:tcW w:w="7736" w:type="dxa"/>
                </w:tcPr>
                <w:p w14:paraId="2728B13C" w14:textId="09DB9F15" w:rsidR="00E579CB" w:rsidRPr="00B34E24" w:rsidRDefault="00E579CB" w:rsidP="00E579CB">
                  <w:pPr>
                    <w:pStyle w:val="NormalWeb"/>
                    <w:rPr>
                      <w:rFonts w:ascii="Segoe UI" w:hAnsi="Segoe UI" w:cs="Segoe UI"/>
                      <w:sz w:val="20"/>
                      <w:szCs w:val="20"/>
                      <w:lang w:eastAsia="en-AU"/>
                    </w:rPr>
                  </w:pPr>
                  <w:r w:rsidRPr="00B34E24">
                    <w:rPr>
                      <w:rFonts w:ascii="Segoe UI" w:hAnsi="Segoe UI" w:cs="Segoe UI"/>
                      <w:sz w:val="20"/>
                      <w:szCs w:val="20"/>
                      <w:lang w:eastAsia="en-AU"/>
                    </w:rPr>
                    <w:t xml:space="preserve">Always associate at least one </w:t>
                  </w:r>
                  <w:r>
                    <w:rPr>
                      <w:rFonts w:ascii="Segoe UI" w:hAnsi="Segoe UI" w:cs="Segoe UI"/>
                      <w:sz w:val="20"/>
                      <w:szCs w:val="20"/>
                      <w:lang w:eastAsia="en-AU"/>
                    </w:rPr>
                    <w:t>Access Control Record (</w:t>
                  </w:r>
                  <w:r w:rsidRPr="00B34E24">
                    <w:rPr>
                      <w:rFonts w:ascii="Segoe UI" w:hAnsi="Segoe UI" w:cs="Segoe UI"/>
                      <w:sz w:val="20"/>
                      <w:szCs w:val="20"/>
                      <w:lang w:eastAsia="en-AU"/>
                    </w:rPr>
                    <w:t>ACR</w:t>
                  </w:r>
                  <w:r>
                    <w:rPr>
                      <w:rFonts w:ascii="Segoe UI" w:hAnsi="Segoe UI" w:cs="Segoe UI"/>
                      <w:sz w:val="20"/>
                      <w:szCs w:val="20"/>
                      <w:lang w:eastAsia="en-AU"/>
                    </w:rPr>
                    <w:t>)</w:t>
                  </w:r>
                  <w:r w:rsidRPr="00B34E24">
                    <w:rPr>
                      <w:rFonts w:ascii="Segoe UI" w:hAnsi="Segoe UI" w:cs="Segoe UI"/>
                      <w:sz w:val="20"/>
                      <w:szCs w:val="20"/>
                      <w:lang w:eastAsia="en-AU"/>
                    </w:rPr>
                    <w:t xml:space="preserve"> with a volume</w:t>
                  </w:r>
                  <w:r>
                    <w:rPr>
                      <w:rFonts w:ascii="Segoe UI" w:hAnsi="Segoe UI" w:cs="Segoe UI"/>
                      <w:sz w:val="20"/>
                      <w:szCs w:val="20"/>
                      <w:lang w:eastAsia="en-AU"/>
                    </w:rPr>
                    <w:t>.</w:t>
                  </w:r>
                </w:p>
              </w:tc>
            </w:tr>
            <w:tr w:rsidR="00E579CB" w:rsidRPr="004B3E51" w14:paraId="7EADB809" w14:textId="77777777" w:rsidTr="00832729">
              <w:trPr>
                <w:cnfStyle w:val="000000100000" w:firstRow="0" w:lastRow="0" w:firstColumn="0" w:lastColumn="0" w:oddVBand="0" w:evenVBand="0" w:oddHBand="1" w:evenHBand="0" w:firstRowFirstColumn="0" w:firstRowLastColumn="0" w:lastRowFirstColumn="0" w:lastRowLastColumn="0"/>
              </w:trPr>
              <w:tc>
                <w:tcPr>
                  <w:tcW w:w="1601" w:type="dxa"/>
                  <w:vMerge/>
                </w:tcPr>
                <w:p w14:paraId="032671DF" w14:textId="10D57CAE" w:rsidR="00E579CB" w:rsidRPr="00C80FD9" w:rsidRDefault="00E579CB" w:rsidP="00E579CB">
                  <w:pPr>
                    <w:pStyle w:val="NormalWeb"/>
                    <w:rPr>
                      <w:rFonts w:ascii="Segoe UI" w:hAnsi="Segoe UI" w:cs="Segoe UI"/>
                      <w:b/>
                      <w:sz w:val="20"/>
                      <w:szCs w:val="20"/>
                      <w:lang w:eastAsia="en-AU"/>
                    </w:rPr>
                  </w:pPr>
                </w:p>
              </w:tc>
              <w:tc>
                <w:tcPr>
                  <w:tcW w:w="7736" w:type="dxa"/>
                </w:tcPr>
                <w:p w14:paraId="74EB3719" w14:textId="4C09B2EC" w:rsidR="00E579CB" w:rsidRPr="00B34E24" w:rsidRDefault="00E579CB" w:rsidP="00E579CB">
                  <w:pPr>
                    <w:pStyle w:val="NormalWeb"/>
                    <w:rPr>
                      <w:rFonts w:ascii="Segoe UI" w:hAnsi="Segoe UI" w:cs="Segoe UI"/>
                      <w:sz w:val="20"/>
                      <w:szCs w:val="20"/>
                      <w:lang w:eastAsia="en-AU"/>
                    </w:rPr>
                  </w:pPr>
                  <w:r w:rsidRPr="00B34E24">
                    <w:rPr>
                      <w:rFonts w:ascii="Segoe UI" w:hAnsi="Segoe UI" w:cs="Segoe UI"/>
                      <w:sz w:val="20"/>
                      <w:szCs w:val="20"/>
                      <w:lang w:eastAsia="en-AU"/>
                    </w:rPr>
                    <w:t xml:space="preserve">When assigning more than one </w:t>
                  </w:r>
                  <w:r>
                    <w:rPr>
                      <w:rFonts w:ascii="Segoe UI" w:hAnsi="Segoe UI" w:cs="Segoe UI"/>
                      <w:sz w:val="20"/>
                      <w:szCs w:val="20"/>
                      <w:lang w:eastAsia="en-AU"/>
                    </w:rPr>
                    <w:t>ACR</w:t>
                  </w:r>
                  <w:r w:rsidRPr="00B34E24">
                    <w:rPr>
                      <w:rFonts w:ascii="Segoe UI" w:hAnsi="Segoe UI" w:cs="Segoe UI"/>
                      <w:sz w:val="20"/>
                      <w:szCs w:val="20"/>
                      <w:lang w:eastAsia="en-AU"/>
                    </w:rPr>
                    <w:t xml:space="preserve"> to a volume, care should be taken to ensure the combinations of the ACRs do not expose the volume in a way where it can be concurrently accessed by more than one non-clustered host</w:t>
                  </w:r>
                  <w:r>
                    <w:rPr>
                      <w:rFonts w:ascii="Segoe UI" w:hAnsi="Segoe UI" w:cs="Segoe UI"/>
                      <w:sz w:val="20"/>
                      <w:szCs w:val="20"/>
                      <w:lang w:eastAsia="en-AU"/>
                    </w:rPr>
                    <w:t>.</w:t>
                  </w:r>
                  <w:r w:rsidRPr="00B34E24">
                    <w:rPr>
                      <w:rFonts w:ascii="Segoe UI" w:hAnsi="Segoe UI" w:cs="Segoe UI"/>
                      <w:sz w:val="20"/>
                      <w:szCs w:val="20"/>
                      <w:lang w:eastAsia="en-AU"/>
                    </w:rPr>
                    <w:t xml:space="preserve"> StorSimple is designed to display a pop-up warning message if multiple ACRs, </w:t>
                  </w:r>
                  <w:r>
                    <w:rPr>
                      <w:rFonts w:ascii="Segoe UI" w:hAnsi="Segoe UI" w:cs="Segoe UI"/>
                      <w:sz w:val="20"/>
                      <w:szCs w:val="20"/>
                      <w:lang w:eastAsia="en-AU"/>
                    </w:rPr>
                    <w:t>which</w:t>
                  </w:r>
                  <w:r w:rsidRPr="00B34E24">
                    <w:rPr>
                      <w:rFonts w:ascii="Segoe UI" w:hAnsi="Segoe UI" w:cs="Segoe UI"/>
                      <w:sz w:val="20"/>
                      <w:szCs w:val="20"/>
                      <w:lang w:eastAsia="en-AU"/>
                    </w:rPr>
                    <w:t xml:space="preserve"> together expose the volume to more than one host, are assigned to a volume.</w:t>
                  </w:r>
                </w:p>
              </w:tc>
            </w:tr>
            <w:tr w:rsidR="00E579CB" w:rsidRPr="004B3E51" w14:paraId="5AC85D3F" w14:textId="77777777" w:rsidTr="00832729">
              <w:tc>
                <w:tcPr>
                  <w:tcW w:w="1601" w:type="dxa"/>
                  <w:vMerge w:val="restart"/>
                </w:tcPr>
                <w:p w14:paraId="697A2F12" w14:textId="7CE597F2" w:rsidR="00E579CB" w:rsidRPr="00C80FD9" w:rsidRDefault="00E579CB" w:rsidP="00E579CB">
                  <w:pPr>
                    <w:pStyle w:val="NormalWeb"/>
                    <w:rPr>
                      <w:rFonts w:ascii="Segoe UI" w:hAnsi="Segoe UI" w:cs="Segoe UI"/>
                      <w:b/>
                      <w:sz w:val="20"/>
                      <w:szCs w:val="20"/>
                      <w:lang w:eastAsia="en-AU"/>
                    </w:rPr>
                  </w:pPr>
                  <w:r w:rsidRPr="00C80FD9">
                    <w:rPr>
                      <w:rFonts w:ascii="Segoe UI" w:hAnsi="Segoe UI" w:cs="Segoe UI"/>
                      <w:b/>
                      <w:sz w:val="20"/>
                      <w:szCs w:val="20"/>
                      <w:lang w:eastAsia="en-AU"/>
                    </w:rPr>
                    <w:t xml:space="preserve">Storage </w:t>
                  </w:r>
                  <w:r>
                    <w:rPr>
                      <w:rFonts w:ascii="Segoe UI" w:hAnsi="Segoe UI" w:cs="Segoe UI"/>
                      <w:b/>
                      <w:sz w:val="20"/>
                      <w:szCs w:val="20"/>
                      <w:lang w:eastAsia="en-AU"/>
                    </w:rPr>
                    <w:t>a</w:t>
                  </w:r>
                  <w:r w:rsidRPr="00C80FD9">
                    <w:rPr>
                      <w:rFonts w:ascii="Segoe UI" w:hAnsi="Segoe UI" w:cs="Segoe UI"/>
                      <w:b/>
                      <w:sz w:val="20"/>
                      <w:szCs w:val="20"/>
                      <w:lang w:eastAsia="en-AU"/>
                    </w:rPr>
                    <w:t>ccounts</w:t>
                  </w:r>
                </w:p>
              </w:tc>
              <w:tc>
                <w:tcPr>
                  <w:tcW w:w="7736" w:type="dxa"/>
                </w:tcPr>
                <w:p w14:paraId="0F6CC4D8" w14:textId="02413C84" w:rsidR="00E579CB" w:rsidRPr="00B34E24" w:rsidRDefault="00E579CB" w:rsidP="00E579CB">
                  <w:pPr>
                    <w:pStyle w:val="NormalWeb"/>
                    <w:rPr>
                      <w:rFonts w:ascii="Segoe UI" w:hAnsi="Segoe UI" w:cs="Segoe UI"/>
                      <w:sz w:val="20"/>
                      <w:szCs w:val="20"/>
                      <w:lang w:eastAsia="en-AU"/>
                    </w:rPr>
                  </w:pPr>
                  <w:r w:rsidRPr="00B34E24">
                    <w:rPr>
                      <w:rFonts w:ascii="Segoe UI" w:hAnsi="Segoe UI" w:cs="Segoe UI"/>
                      <w:sz w:val="20"/>
                      <w:szCs w:val="20"/>
                      <w:lang w:eastAsia="en-AU"/>
                    </w:rPr>
                    <w:t>Keep primary volume data at</w:t>
                  </w:r>
                  <w:r>
                    <w:rPr>
                      <w:rFonts w:ascii="Segoe UI" w:hAnsi="Segoe UI" w:cs="Segoe UI"/>
                      <w:sz w:val="20"/>
                      <w:szCs w:val="20"/>
                      <w:lang w:eastAsia="en-AU"/>
                    </w:rPr>
                    <w:t> 3</w:t>
                  </w:r>
                  <w:r w:rsidRPr="00B34E24">
                    <w:rPr>
                      <w:rFonts w:ascii="Segoe UI" w:hAnsi="Segoe UI" w:cs="Segoe UI"/>
                      <w:sz w:val="20"/>
                      <w:szCs w:val="20"/>
                      <w:lang w:eastAsia="en-AU"/>
                    </w:rPr>
                    <w:t>0-40% and backup data at</w:t>
                  </w:r>
                  <w:r>
                    <w:rPr>
                      <w:rFonts w:ascii="Segoe UI" w:hAnsi="Segoe UI" w:cs="Segoe UI"/>
                      <w:sz w:val="20"/>
                      <w:szCs w:val="20"/>
                      <w:lang w:eastAsia="en-AU"/>
                    </w:rPr>
                    <w:t> 6</w:t>
                  </w:r>
                  <w:r w:rsidRPr="00B34E24">
                    <w:rPr>
                      <w:rFonts w:ascii="Segoe UI" w:hAnsi="Segoe UI" w:cs="Segoe UI"/>
                      <w:sz w:val="20"/>
                      <w:szCs w:val="20"/>
                      <w:lang w:eastAsia="en-AU"/>
                    </w:rPr>
                    <w:t>0-70% of the total capacity for the storage account. This works out to be about</w:t>
                  </w:r>
                  <w:r>
                    <w:rPr>
                      <w:rFonts w:ascii="Segoe UI" w:hAnsi="Segoe UI" w:cs="Segoe UI"/>
                      <w:sz w:val="20"/>
                      <w:szCs w:val="20"/>
                      <w:lang w:eastAsia="en-AU"/>
                    </w:rPr>
                    <w:t> 6</w:t>
                  </w:r>
                  <w:r w:rsidRPr="00B34E24">
                    <w:rPr>
                      <w:rFonts w:ascii="Segoe UI" w:hAnsi="Segoe UI" w:cs="Segoe UI"/>
                      <w:sz w:val="20"/>
                      <w:szCs w:val="20"/>
                      <w:lang w:eastAsia="en-AU"/>
                    </w:rPr>
                    <w:t>0-70</w:t>
                  </w:r>
                  <w:r>
                    <w:rPr>
                      <w:rFonts w:ascii="Segoe UI" w:hAnsi="Segoe UI" w:cs="Segoe UI"/>
                      <w:sz w:val="20"/>
                      <w:szCs w:val="20"/>
                      <w:lang w:eastAsia="en-AU"/>
                    </w:rPr>
                    <w:t> </w:t>
                  </w:r>
                  <w:r w:rsidRPr="00B34E24">
                    <w:rPr>
                      <w:rFonts w:ascii="Segoe UI" w:hAnsi="Segoe UI" w:cs="Segoe UI"/>
                      <w:sz w:val="20"/>
                      <w:szCs w:val="20"/>
                      <w:lang w:eastAsia="en-AU"/>
                    </w:rPr>
                    <w:t>TB of primary data and</w:t>
                  </w:r>
                  <w:r>
                    <w:rPr>
                      <w:rFonts w:ascii="Segoe UI" w:hAnsi="Segoe UI" w:cs="Segoe UI"/>
                      <w:sz w:val="20"/>
                      <w:szCs w:val="20"/>
                      <w:lang w:eastAsia="en-AU"/>
                    </w:rPr>
                    <w:t> 1</w:t>
                  </w:r>
                  <w:r w:rsidRPr="00B34E24">
                    <w:rPr>
                      <w:rFonts w:ascii="Segoe UI" w:hAnsi="Segoe UI" w:cs="Segoe UI"/>
                      <w:sz w:val="20"/>
                      <w:szCs w:val="20"/>
                      <w:lang w:eastAsia="en-AU"/>
                    </w:rPr>
                    <w:t>30-140</w:t>
                  </w:r>
                  <w:r>
                    <w:rPr>
                      <w:rFonts w:ascii="Segoe UI" w:hAnsi="Segoe UI" w:cs="Segoe UI"/>
                      <w:sz w:val="20"/>
                      <w:szCs w:val="20"/>
                      <w:lang w:eastAsia="en-AU"/>
                    </w:rPr>
                    <w:t> </w:t>
                  </w:r>
                  <w:r w:rsidRPr="00B34E24">
                    <w:rPr>
                      <w:rFonts w:ascii="Segoe UI" w:hAnsi="Segoe UI" w:cs="Segoe UI"/>
                      <w:sz w:val="20"/>
                      <w:szCs w:val="20"/>
                      <w:lang w:eastAsia="en-AU"/>
                    </w:rPr>
                    <w:t>TB of backup data per storage account.</w:t>
                  </w:r>
                </w:p>
              </w:tc>
            </w:tr>
            <w:tr w:rsidR="00E579CB" w:rsidRPr="004B3E51" w14:paraId="12E71864" w14:textId="77777777" w:rsidTr="00832729">
              <w:trPr>
                <w:cnfStyle w:val="000000100000" w:firstRow="0" w:lastRow="0" w:firstColumn="0" w:lastColumn="0" w:oddVBand="0" w:evenVBand="0" w:oddHBand="1" w:evenHBand="0" w:firstRowFirstColumn="0" w:firstRowLastColumn="0" w:lastRowFirstColumn="0" w:lastRowLastColumn="0"/>
              </w:trPr>
              <w:tc>
                <w:tcPr>
                  <w:tcW w:w="1601" w:type="dxa"/>
                  <w:vMerge/>
                </w:tcPr>
                <w:p w14:paraId="53AE1E5D" w14:textId="03A57AD3" w:rsidR="00E579CB" w:rsidRPr="00C80FD9" w:rsidRDefault="00E579CB" w:rsidP="00E579CB">
                  <w:pPr>
                    <w:pStyle w:val="NormalWeb"/>
                    <w:rPr>
                      <w:rFonts w:ascii="Segoe UI" w:hAnsi="Segoe UI" w:cs="Segoe UI"/>
                      <w:b/>
                      <w:sz w:val="20"/>
                      <w:szCs w:val="20"/>
                      <w:lang w:eastAsia="en-AU"/>
                    </w:rPr>
                  </w:pPr>
                </w:p>
              </w:tc>
              <w:tc>
                <w:tcPr>
                  <w:tcW w:w="7736" w:type="dxa"/>
                </w:tcPr>
                <w:p w14:paraId="59CFC5E0" w14:textId="7B59B100" w:rsidR="00E579CB" w:rsidRPr="00B34E24" w:rsidRDefault="00E579CB" w:rsidP="00E579CB">
                  <w:pPr>
                    <w:pStyle w:val="NormalWeb"/>
                    <w:rPr>
                      <w:rFonts w:ascii="Segoe UI" w:hAnsi="Segoe UI" w:cs="Segoe UI"/>
                      <w:sz w:val="20"/>
                      <w:szCs w:val="20"/>
                      <w:lang w:eastAsia="en-AU"/>
                    </w:rPr>
                  </w:pPr>
                  <w:r w:rsidRPr="00B34E24">
                    <w:rPr>
                      <w:rFonts w:ascii="Segoe UI" w:hAnsi="Segoe UI" w:cs="Segoe UI"/>
                      <w:sz w:val="20"/>
                      <w:szCs w:val="20"/>
                      <w:lang w:eastAsia="en-AU"/>
                    </w:rPr>
                    <w:t>When calculating the amount of primary data</w:t>
                  </w:r>
                  <w:r>
                    <w:rPr>
                      <w:rFonts w:ascii="Segoe UI" w:hAnsi="Segoe UI" w:cs="Segoe UI"/>
                      <w:sz w:val="20"/>
                      <w:szCs w:val="20"/>
                      <w:lang w:eastAsia="en-AU"/>
                    </w:rPr>
                    <w:t>,</w:t>
                  </w:r>
                  <w:r w:rsidRPr="00B34E24">
                    <w:rPr>
                      <w:rFonts w:ascii="Segoe UI" w:hAnsi="Segoe UI" w:cs="Segoe UI"/>
                      <w:sz w:val="20"/>
                      <w:szCs w:val="20"/>
                      <w:lang w:eastAsia="en-AU"/>
                    </w:rPr>
                    <w:t xml:space="preserve"> it is important to consider the change rate or growth rate of primary data</w:t>
                  </w:r>
                  <w:r>
                    <w:rPr>
                      <w:rFonts w:ascii="Segoe UI" w:hAnsi="Segoe UI" w:cs="Segoe UI"/>
                      <w:sz w:val="20"/>
                      <w:szCs w:val="20"/>
                      <w:lang w:eastAsia="en-AU"/>
                    </w:rPr>
                    <w:t>.</w:t>
                  </w:r>
                  <w:r w:rsidRPr="00B34E24">
                    <w:rPr>
                      <w:rFonts w:ascii="Segoe UI" w:hAnsi="Segoe UI" w:cs="Segoe UI"/>
                      <w:sz w:val="20"/>
                      <w:szCs w:val="20"/>
                      <w:lang w:eastAsia="en-AU"/>
                    </w:rPr>
                    <w:t xml:space="preserve"> </w:t>
                  </w:r>
                  <w:r>
                    <w:rPr>
                      <w:rFonts w:ascii="Segoe UI" w:hAnsi="Segoe UI" w:cs="Segoe UI"/>
                      <w:sz w:val="20"/>
                      <w:szCs w:val="20"/>
                      <w:lang w:eastAsia="en-AU"/>
                    </w:rPr>
                    <w:t>F</w:t>
                  </w:r>
                  <w:r w:rsidRPr="00B34E24">
                    <w:rPr>
                      <w:rFonts w:ascii="Segoe UI" w:hAnsi="Segoe UI" w:cs="Segoe UI"/>
                      <w:sz w:val="20"/>
                      <w:szCs w:val="20"/>
                      <w:lang w:eastAsia="en-AU"/>
                    </w:rPr>
                    <w:t>actor that into the</w:t>
                  </w:r>
                  <w:r>
                    <w:rPr>
                      <w:rFonts w:ascii="Segoe UI" w:hAnsi="Segoe UI" w:cs="Segoe UI"/>
                      <w:sz w:val="20"/>
                      <w:szCs w:val="20"/>
                      <w:lang w:eastAsia="en-AU"/>
                    </w:rPr>
                    <w:t> 6</w:t>
                  </w:r>
                  <w:r w:rsidRPr="00B34E24">
                    <w:rPr>
                      <w:rFonts w:ascii="Segoe UI" w:hAnsi="Segoe UI" w:cs="Segoe UI"/>
                      <w:sz w:val="20"/>
                      <w:szCs w:val="20"/>
                      <w:lang w:eastAsia="en-AU"/>
                    </w:rPr>
                    <w:t>0-70</w:t>
                  </w:r>
                  <w:r>
                    <w:rPr>
                      <w:rFonts w:ascii="Segoe UI" w:hAnsi="Segoe UI" w:cs="Segoe UI"/>
                      <w:sz w:val="20"/>
                      <w:szCs w:val="20"/>
                      <w:lang w:eastAsia="en-AU"/>
                    </w:rPr>
                    <w:t> </w:t>
                  </w:r>
                  <w:r w:rsidRPr="00B34E24">
                    <w:rPr>
                      <w:rFonts w:ascii="Segoe UI" w:hAnsi="Segoe UI" w:cs="Segoe UI"/>
                      <w:sz w:val="20"/>
                      <w:szCs w:val="20"/>
                      <w:lang w:eastAsia="en-AU"/>
                    </w:rPr>
                    <w:t>TB limit for primary data.</w:t>
                  </w:r>
                </w:p>
              </w:tc>
            </w:tr>
            <w:tr w:rsidR="00E579CB" w:rsidRPr="004B3E51" w14:paraId="7725ECE9" w14:textId="77777777" w:rsidTr="00832729">
              <w:tc>
                <w:tcPr>
                  <w:tcW w:w="1601" w:type="dxa"/>
                  <w:vMerge/>
                </w:tcPr>
                <w:p w14:paraId="469F6B07" w14:textId="49C4FB21" w:rsidR="00E579CB" w:rsidRPr="00C80FD9" w:rsidRDefault="00E579CB" w:rsidP="00E579CB">
                  <w:pPr>
                    <w:pStyle w:val="NormalWeb"/>
                    <w:rPr>
                      <w:rFonts w:ascii="Segoe UI" w:hAnsi="Segoe UI" w:cs="Segoe UI"/>
                      <w:b/>
                      <w:sz w:val="20"/>
                      <w:szCs w:val="20"/>
                      <w:lang w:eastAsia="en-AU"/>
                    </w:rPr>
                  </w:pPr>
                </w:p>
              </w:tc>
              <w:tc>
                <w:tcPr>
                  <w:tcW w:w="7736" w:type="dxa"/>
                </w:tcPr>
                <w:p w14:paraId="6CD9B5F2" w14:textId="7E568515" w:rsidR="00E579CB" w:rsidRPr="00B34E24" w:rsidRDefault="00E579CB" w:rsidP="00E579CB">
                  <w:pPr>
                    <w:pStyle w:val="NormalWeb"/>
                    <w:rPr>
                      <w:rFonts w:ascii="Segoe UI" w:hAnsi="Segoe UI" w:cs="Segoe UI"/>
                      <w:sz w:val="20"/>
                      <w:szCs w:val="20"/>
                      <w:lang w:eastAsia="en-AU"/>
                    </w:rPr>
                  </w:pPr>
                  <w:r w:rsidRPr="00B34E24">
                    <w:rPr>
                      <w:rFonts w:ascii="Segoe UI" w:hAnsi="Segoe UI" w:cs="Segoe UI"/>
                      <w:sz w:val="20"/>
                      <w:szCs w:val="20"/>
                      <w:lang w:eastAsia="en-AU"/>
                    </w:rPr>
                    <w:t xml:space="preserve">Customers should create storage accounts with Geo-Redundant Storage (GRS) enabled. </w:t>
                  </w:r>
                  <w:r w:rsidRPr="003F6F67">
                    <w:rPr>
                      <w:rFonts w:ascii="Segoe UI" w:hAnsi="Segoe UI" w:cs="Segoe UI"/>
                      <w:sz w:val="20"/>
                      <w:szCs w:val="20"/>
                      <w:lang w:eastAsia="en-AU"/>
                    </w:rPr>
                    <w:t>This option is included within the pricing agreement.</w:t>
                  </w:r>
                </w:p>
              </w:tc>
            </w:tr>
            <w:tr w:rsidR="00E579CB" w:rsidRPr="004B3E51" w14:paraId="545E7390" w14:textId="77777777" w:rsidTr="00832729">
              <w:trPr>
                <w:cnfStyle w:val="000000100000" w:firstRow="0" w:lastRow="0" w:firstColumn="0" w:lastColumn="0" w:oddVBand="0" w:evenVBand="0" w:oddHBand="1" w:evenHBand="0" w:firstRowFirstColumn="0" w:firstRowLastColumn="0" w:lastRowFirstColumn="0" w:lastRowLastColumn="0"/>
              </w:trPr>
              <w:tc>
                <w:tcPr>
                  <w:tcW w:w="1601" w:type="dxa"/>
                  <w:vMerge/>
                </w:tcPr>
                <w:p w14:paraId="04FEAB59" w14:textId="7678A7B5" w:rsidR="00E579CB" w:rsidRPr="00C80FD9" w:rsidRDefault="00E579CB" w:rsidP="00E579CB">
                  <w:pPr>
                    <w:pStyle w:val="NormalWeb"/>
                    <w:rPr>
                      <w:rFonts w:ascii="Segoe UI" w:hAnsi="Segoe UI" w:cs="Segoe UI"/>
                      <w:b/>
                      <w:sz w:val="20"/>
                      <w:szCs w:val="20"/>
                      <w:lang w:eastAsia="en-AU"/>
                    </w:rPr>
                  </w:pPr>
                </w:p>
              </w:tc>
              <w:tc>
                <w:tcPr>
                  <w:tcW w:w="7736" w:type="dxa"/>
                </w:tcPr>
                <w:p w14:paraId="39001CD2" w14:textId="1F51E19D" w:rsidR="00E579CB" w:rsidRPr="00B34E24" w:rsidRDefault="00E579CB" w:rsidP="00E579CB">
                  <w:pPr>
                    <w:pStyle w:val="NormalWeb"/>
                    <w:rPr>
                      <w:rFonts w:ascii="Segoe UI" w:hAnsi="Segoe UI" w:cs="Segoe UI"/>
                      <w:sz w:val="20"/>
                      <w:szCs w:val="20"/>
                      <w:lang w:eastAsia="en-AU"/>
                    </w:rPr>
                  </w:pPr>
                  <w:r w:rsidRPr="00B34E24">
                    <w:rPr>
                      <w:rFonts w:ascii="Segoe UI" w:hAnsi="Segoe UI" w:cs="Segoe UI"/>
                      <w:sz w:val="20"/>
                      <w:szCs w:val="20"/>
                      <w:lang w:eastAsia="en-AU"/>
                    </w:rPr>
                    <w:t>Customers should also choose storage accounts within the same subscription as the StorSimple Manager resource they have created. This simplifies workflows behind the scenes and provides a more streamlined experience.</w:t>
                  </w:r>
                </w:p>
              </w:tc>
            </w:tr>
            <w:tr w:rsidR="007A0DED" w:rsidRPr="004B3E51" w14:paraId="7EBA4DA7" w14:textId="77777777" w:rsidTr="00832729">
              <w:tc>
                <w:tcPr>
                  <w:tcW w:w="1601" w:type="dxa"/>
                  <w:vMerge w:val="restart"/>
                </w:tcPr>
                <w:p w14:paraId="46843BE5" w14:textId="198D23FC" w:rsidR="007A0DED" w:rsidRPr="00C80FD9" w:rsidRDefault="007A0DED" w:rsidP="007A0DED">
                  <w:pPr>
                    <w:pStyle w:val="NormalWeb"/>
                    <w:rPr>
                      <w:rFonts w:ascii="Segoe UI" w:hAnsi="Segoe UI" w:cs="Segoe UI"/>
                      <w:b/>
                      <w:sz w:val="20"/>
                      <w:szCs w:val="20"/>
                      <w:lang w:eastAsia="en-AU"/>
                    </w:rPr>
                  </w:pPr>
                  <w:r w:rsidRPr="00C80FD9">
                    <w:rPr>
                      <w:rFonts w:ascii="Segoe UI" w:hAnsi="Segoe UI" w:cs="Segoe UI"/>
                      <w:b/>
                      <w:sz w:val="20"/>
                      <w:szCs w:val="20"/>
                      <w:lang w:eastAsia="en-AU"/>
                    </w:rPr>
                    <w:t xml:space="preserve">Volume </w:t>
                  </w:r>
                  <w:r>
                    <w:rPr>
                      <w:rFonts w:ascii="Segoe UI" w:hAnsi="Segoe UI" w:cs="Segoe UI"/>
                      <w:b/>
                      <w:sz w:val="20"/>
                      <w:szCs w:val="20"/>
                      <w:lang w:eastAsia="en-AU"/>
                    </w:rPr>
                    <w:t>s</w:t>
                  </w:r>
                  <w:r w:rsidRPr="00C80FD9">
                    <w:rPr>
                      <w:rFonts w:ascii="Segoe UI" w:hAnsi="Segoe UI" w:cs="Segoe UI"/>
                      <w:b/>
                      <w:sz w:val="20"/>
                      <w:szCs w:val="20"/>
                      <w:lang w:eastAsia="en-AU"/>
                    </w:rPr>
                    <w:t>ize</w:t>
                  </w:r>
                </w:p>
              </w:tc>
              <w:tc>
                <w:tcPr>
                  <w:tcW w:w="7736" w:type="dxa"/>
                </w:tcPr>
                <w:p w14:paraId="59FA9F33" w14:textId="591654F7"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 xml:space="preserve">To minimize the processing overhead, create the volume size as close to the anticipated usage as possible. The volume size can be increased later to accommodate any increase in usage beyond what was originally anticipated </w:t>
                  </w:r>
                  <w:r>
                    <w:rPr>
                      <w:rFonts w:ascii="Segoe UI" w:hAnsi="Segoe UI" w:cs="Segoe UI"/>
                      <w:sz w:val="20"/>
                      <w:szCs w:val="20"/>
                      <w:lang w:eastAsia="en-AU"/>
                    </w:rPr>
                    <w:t>if</w:t>
                  </w:r>
                  <w:r w:rsidRPr="00B34E24">
                    <w:rPr>
                      <w:rFonts w:ascii="Segoe UI" w:hAnsi="Segoe UI" w:cs="Segoe UI"/>
                      <w:sz w:val="20"/>
                      <w:szCs w:val="20"/>
                      <w:lang w:eastAsia="en-AU"/>
                    </w:rPr>
                    <w:t xml:space="preserve"> the host file system allows it</w:t>
                  </w:r>
                  <w:r>
                    <w:rPr>
                      <w:rFonts w:ascii="Segoe UI" w:hAnsi="Segoe UI" w:cs="Segoe UI"/>
                      <w:sz w:val="20"/>
                      <w:szCs w:val="20"/>
                      <w:lang w:eastAsia="en-AU"/>
                    </w:rPr>
                    <w:t>.</w:t>
                  </w:r>
                </w:p>
              </w:tc>
            </w:tr>
            <w:tr w:rsidR="007A0DED" w:rsidRPr="004B3E51" w14:paraId="3845136F" w14:textId="77777777" w:rsidTr="00832729">
              <w:trPr>
                <w:cnfStyle w:val="000000100000" w:firstRow="0" w:lastRow="0" w:firstColumn="0" w:lastColumn="0" w:oddVBand="0" w:evenVBand="0" w:oddHBand="1" w:evenHBand="0" w:firstRowFirstColumn="0" w:firstRowLastColumn="0" w:lastRowFirstColumn="0" w:lastRowLastColumn="0"/>
              </w:trPr>
              <w:tc>
                <w:tcPr>
                  <w:tcW w:w="1601" w:type="dxa"/>
                  <w:vMerge/>
                </w:tcPr>
                <w:p w14:paraId="4C41EF9C" w14:textId="70139D52" w:rsidR="007A0DED" w:rsidRPr="00C80FD9" w:rsidRDefault="007A0DED" w:rsidP="007A0DED">
                  <w:pPr>
                    <w:pStyle w:val="NormalWeb"/>
                    <w:rPr>
                      <w:rFonts w:ascii="Segoe UI" w:hAnsi="Segoe UI" w:cs="Segoe UI"/>
                      <w:b/>
                      <w:sz w:val="20"/>
                      <w:szCs w:val="20"/>
                      <w:lang w:eastAsia="en-AU"/>
                    </w:rPr>
                  </w:pPr>
                </w:p>
              </w:tc>
              <w:tc>
                <w:tcPr>
                  <w:tcW w:w="7736" w:type="dxa"/>
                </w:tcPr>
                <w:p w14:paraId="18921BE6" w14:textId="7D019690" w:rsidR="007A0DED" w:rsidRPr="00B34E24" w:rsidRDefault="007A0DED" w:rsidP="007A0DED">
                  <w:pPr>
                    <w:pStyle w:val="NormalWeb"/>
                    <w:rPr>
                      <w:rFonts w:ascii="Segoe UI" w:hAnsi="Segoe UI" w:cs="Segoe UI"/>
                      <w:sz w:val="20"/>
                      <w:szCs w:val="20"/>
                      <w:lang w:eastAsia="en-AU"/>
                    </w:rPr>
                  </w:pPr>
                  <w:r>
                    <w:rPr>
                      <w:rFonts w:ascii="Segoe UI" w:hAnsi="Segoe UI" w:cs="Segoe UI"/>
                      <w:sz w:val="20"/>
                      <w:szCs w:val="20"/>
                      <w:lang w:eastAsia="en-AU"/>
                    </w:rPr>
                    <w:t>If</w:t>
                  </w:r>
                  <w:r w:rsidRPr="00B34E24">
                    <w:rPr>
                      <w:rFonts w:ascii="Segoe UI" w:hAnsi="Segoe UI" w:cs="Segoe UI"/>
                      <w:sz w:val="20"/>
                      <w:szCs w:val="20"/>
                      <w:lang w:eastAsia="en-AU"/>
                    </w:rPr>
                    <w:t xml:space="preserve"> the dataset within a volume is not required, do not reformat a volume. If you need to reformat a volume, delete the original volume and create a new volume. This prevent</w:t>
                  </w:r>
                  <w:r>
                    <w:rPr>
                      <w:rFonts w:ascii="Segoe UI" w:hAnsi="Segoe UI" w:cs="Segoe UI"/>
                      <w:sz w:val="20"/>
                      <w:szCs w:val="20"/>
                      <w:lang w:eastAsia="en-AU"/>
                    </w:rPr>
                    <w:t>s</w:t>
                  </w:r>
                  <w:r w:rsidRPr="00B34E24">
                    <w:rPr>
                      <w:rFonts w:ascii="Segoe UI" w:hAnsi="Segoe UI" w:cs="Segoe UI"/>
                      <w:sz w:val="20"/>
                      <w:szCs w:val="20"/>
                      <w:lang w:eastAsia="en-AU"/>
                    </w:rPr>
                    <w:t xml:space="preserve"> unnecessary overhead from the UNMAP feature on the existing volume</w:t>
                  </w:r>
                  <w:r>
                    <w:rPr>
                      <w:rFonts w:ascii="Segoe UI" w:hAnsi="Segoe UI" w:cs="Segoe UI"/>
                      <w:sz w:val="20"/>
                      <w:szCs w:val="20"/>
                      <w:lang w:eastAsia="en-AU"/>
                    </w:rPr>
                    <w:t>.</w:t>
                  </w:r>
                </w:p>
              </w:tc>
            </w:tr>
            <w:tr w:rsidR="007A0DED" w:rsidRPr="004B3E51" w14:paraId="2582927F" w14:textId="77777777" w:rsidTr="00832729">
              <w:tc>
                <w:tcPr>
                  <w:tcW w:w="1601" w:type="dxa"/>
                  <w:vMerge/>
                </w:tcPr>
                <w:p w14:paraId="4D074ABC" w14:textId="1BDBCC5F" w:rsidR="007A0DED" w:rsidRPr="00C80FD9" w:rsidRDefault="007A0DED" w:rsidP="007A0DED">
                  <w:pPr>
                    <w:pStyle w:val="NormalWeb"/>
                    <w:rPr>
                      <w:rFonts w:ascii="Segoe UI" w:hAnsi="Segoe UI" w:cs="Segoe UI"/>
                      <w:b/>
                      <w:sz w:val="20"/>
                      <w:szCs w:val="20"/>
                      <w:lang w:eastAsia="en-AU"/>
                    </w:rPr>
                  </w:pPr>
                </w:p>
              </w:tc>
              <w:tc>
                <w:tcPr>
                  <w:tcW w:w="7736" w:type="dxa"/>
                </w:tcPr>
                <w:p w14:paraId="2BCAFE17" w14:textId="52D098B4"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Create a volume size such that</w:t>
                  </w:r>
                  <w:r>
                    <w:rPr>
                      <w:rFonts w:ascii="Segoe UI" w:hAnsi="Segoe UI" w:cs="Segoe UI"/>
                      <w:sz w:val="20"/>
                      <w:szCs w:val="20"/>
                      <w:lang w:eastAsia="en-AU"/>
                    </w:rPr>
                    <w:t> 8</w:t>
                  </w:r>
                  <w:r w:rsidRPr="00B34E24">
                    <w:rPr>
                      <w:rFonts w:ascii="Segoe UI" w:hAnsi="Segoe UI" w:cs="Segoe UI"/>
                      <w:sz w:val="20"/>
                      <w:szCs w:val="20"/>
                      <w:lang w:eastAsia="en-AU"/>
                    </w:rPr>
                    <w:t>0% of the volume is used for current</w:t>
                  </w:r>
                  <w:r>
                    <w:rPr>
                      <w:rFonts w:ascii="Segoe UI" w:hAnsi="Segoe UI" w:cs="Segoe UI"/>
                      <w:sz w:val="20"/>
                      <w:szCs w:val="20"/>
                      <w:lang w:eastAsia="en-AU"/>
                    </w:rPr>
                    <w:t>ly</w:t>
                  </w:r>
                  <w:r w:rsidRPr="00B34E24">
                    <w:rPr>
                      <w:rFonts w:ascii="Segoe UI" w:hAnsi="Segoe UI" w:cs="Segoe UI"/>
                      <w:sz w:val="20"/>
                      <w:szCs w:val="20"/>
                      <w:lang w:eastAsia="en-AU"/>
                    </w:rPr>
                    <w:t xml:space="preserve"> expected data consumption and</w:t>
                  </w:r>
                  <w:r>
                    <w:rPr>
                      <w:rFonts w:ascii="Segoe UI" w:hAnsi="Segoe UI" w:cs="Segoe UI"/>
                      <w:sz w:val="20"/>
                      <w:szCs w:val="20"/>
                      <w:lang w:eastAsia="en-AU"/>
                    </w:rPr>
                    <w:t> 2</w:t>
                  </w:r>
                  <w:r w:rsidRPr="00B34E24">
                    <w:rPr>
                      <w:rFonts w:ascii="Segoe UI" w:hAnsi="Segoe UI" w:cs="Segoe UI"/>
                      <w:sz w:val="20"/>
                      <w:szCs w:val="20"/>
                      <w:lang w:eastAsia="en-AU"/>
                    </w:rPr>
                    <w:t>0% is available for future growth. For example, if you have a data set of</w:t>
                  </w:r>
                  <w:r>
                    <w:rPr>
                      <w:rFonts w:ascii="Segoe UI" w:hAnsi="Segoe UI" w:cs="Segoe UI"/>
                      <w:sz w:val="20"/>
                      <w:szCs w:val="20"/>
                      <w:lang w:eastAsia="en-AU"/>
                    </w:rPr>
                    <w:t> 8</w:t>
                  </w:r>
                  <w:r w:rsidRPr="00B34E24">
                    <w:rPr>
                      <w:rFonts w:ascii="Segoe UI" w:hAnsi="Segoe UI" w:cs="Segoe UI"/>
                      <w:sz w:val="20"/>
                      <w:szCs w:val="20"/>
                      <w:lang w:eastAsia="en-AU"/>
                    </w:rPr>
                    <w:t>00</w:t>
                  </w:r>
                  <w:r>
                    <w:rPr>
                      <w:rFonts w:ascii="Segoe UI" w:hAnsi="Segoe UI" w:cs="Segoe UI"/>
                      <w:sz w:val="20"/>
                      <w:szCs w:val="20"/>
                      <w:lang w:eastAsia="en-AU"/>
                    </w:rPr>
                    <w:t> </w:t>
                  </w:r>
                  <w:r w:rsidRPr="00B34E24">
                    <w:rPr>
                      <w:rFonts w:ascii="Segoe UI" w:hAnsi="Segoe UI" w:cs="Segoe UI"/>
                      <w:sz w:val="20"/>
                      <w:szCs w:val="20"/>
                      <w:lang w:eastAsia="en-AU"/>
                    </w:rPr>
                    <w:t>GB, create a volume that is</w:t>
                  </w:r>
                  <w:r>
                    <w:rPr>
                      <w:rFonts w:ascii="Segoe UI" w:hAnsi="Segoe UI" w:cs="Segoe UI"/>
                      <w:sz w:val="20"/>
                      <w:szCs w:val="20"/>
                      <w:lang w:eastAsia="en-AU"/>
                    </w:rPr>
                    <w:t> 1 </w:t>
                  </w:r>
                  <w:r w:rsidRPr="00B34E24">
                    <w:rPr>
                      <w:rFonts w:ascii="Segoe UI" w:hAnsi="Segoe UI" w:cs="Segoe UI"/>
                      <w:sz w:val="20"/>
                      <w:szCs w:val="20"/>
                      <w:lang w:eastAsia="en-AU"/>
                    </w:rPr>
                    <w:t xml:space="preserve">TB in size. As the volume approaches fullness, the volume size can be increased. </w:t>
                  </w:r>
                  <w:r>
                    <w:rPr>
                      <w:rFonts w:ascii="Segoe UI" w:hAnsi="Segoe UI" w:cs="Segoe UI"/>
                      <w:sz w:val="20"/>
                      <w:szCs w:val="20"/>
                      <w:lang w:eastAsia="en-AU"/>
                    </w:rPr>
                    <w:t>We</w:t>
                  </w:r>
                  <w:r w:rsidRPr="00B34E24">
                    <w:rPr>
                      <w:rFonts w:ascii="Segoe UI" w:hAnsi="Segoe UI" w:cs="Segoe UI"/>
                      <w:sz w:val="20"/>
                      <w:szCs w:val="20"/>
                      <w:lang w:eastAsia="en-AU"/>
                    </w:rPr>
                    <w:t xml:space="preserve"> recommend </w:t>
                  </w:r>
                  <w:r>
                    <w:rPr>
                      <w:rFonts w:ascii="Segoe UI" w:hAnsi="Segoe UI" w:cs="Segoe UI"/>
                      <w:sz w:val="20"/>
                      <w:szCs w:val="20"/>
                      <w:lang w:eastAsia="en-AU"/>
                    </w:rPr>
                    <w:t>that you</w:t>
                  </w:r>
                  <w:r w:rsidRPr="00B34E24">
                    <w:rPr>
                      <w:rFonts w:ascii="Segoe UI" w:hAnsi="Segoe UI" w:cs="Segoe UI"/>
                      <w:sz w:val="20"/>
                      <w:szCs w:val="20"/>
                      <w:lang w:eastAsia="en-AU"/>
                    </w:rPr>
                    <w:t xml:space="preserve"> increase the volume capacity when it reaches</w:t>
                  </w:r>
                  <w:r>
                    <w:rPr>
                      <w:rFonts w:ascii="Segoe UI" w:hAnsi="Segoe UI" w:cs="Segoe UI"/>
                      <w:sz w:val="20"/>
                      <w:szCs w:val="20"/>
                      <w:lang w:eastAsia="en-AU"/>
                    </w:rPr>
                    <w:t> 9</w:t>
                  </w:r>
                  <w:r w:rsidRPr="00B34E24">
                    <w:rPr>
                      <w:rFonts w:ascii="Segoe UI" w:hAnsi="Segoe UI" w:cs="Segoe UI"/>
                      <w:sz w:val="20"/>
                      <w:szCs w:val="20"/>
                      <w:lang w:eastAsia="en-AU"/>
                    </w:rPr>
                    <w:t>5% full.</w:t>
                  </w:r>
                </w:p>
              </w:tc>
            </w:tr>
            <w:tr w:rsidR="007A0DED" w:rsidRPr="004B3E51" w14:paraId="78586762" w14:textId="77777777" w:rsidTr="00832729">
              <w:trPr>
                <w:cnfStyle w:val="000000100000" w:firstRow="0" w:lastRow="0" w:firstColumn="0" w:lastColumn="0" w:oddVBand="0" w:evenVBand="0" w:oddHBand="1" w:evenHBand="0" w:firstRowFirstColumn="0" w:firstRowLastColumn="0" w:lastRowFirstColumn="0" w:lastRowLastColumn="0"/>
              </w:trPr>
              <w:tc>
                <w:tcPr>
                  <w:tcW w:w="1601" w:type="dxa"/>
                  <w:vMerge/>
                </w:tcPr>
                <w:p w14:paraId="1D3AD952" w14:textId="5BF044F6" w:rsidR="007A0DED" w:rsidRPr="00C80FD9" w:rsidRDefault="007A0DED" w:rsidP="007A0DED">
                  <w:pPr>
                    <w:pStyle w:val="NormalWeb"/>
                    <w:rPr>
                      <w:rFonts w:ascii="Segoe UI" w:hAnsi="Segoe UI" w:cs="Segoe UI"/>
                      <w:b/>
                      <w:sz w:val="20"/>
                      <w:szCs w:val="20"/>
                      <w:lang w:eastAsia="en-AU"/>
                    </w:rPr>
                  </w:pPr>
                </w:p>
              </w:tc>
              <w:tc>
                <w:tcPr>
                  <w:tcW w:w="7736" w:type="dxa"/>
                </w:tcPr>
                <w:p w14:paraId="52BBA720" w14:textId="77777777" w:rsidR="007A0DED"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 xml:space="preserve">When configuring volumes that will be used on the StorSimple </w:t>
                  </w:r>
                  <w:r>
                    <w:rPr>
                      <w:rFonts w:ascii="Segoe UI" w:hAnsi="Segoe UI" w:cs="Segoe UI"/>
                      <w:sz w:val="20"/>
                      <w:szCs w:val="20"/>
                      <w:lang w:eastAsia="en-AU"/>
                    </w:rPr>
                    <w:t>V</w:t>
                  </w:r>
                  <w:r w:rsidRPr="00B34E24">
                    <w:rPr>
                      <w:rFonts w:ascii="Segoe UI" w:hAnsi="Segoe UI" w:cs="Segoe UI"/>
                      <w:sz w:val="20"/>
                      <w:szCs w:val="20"/>
                      <w:lang w:eastAsia="en-AU"/>
                    </w:rPr>
                    <w:t xml:space="preserve">irtual </w:t>
                  </w:r>
                  <w:r>
                    <w:rPr>
                      <w:rFonts w:ascii="Segoe UI" w:hAnsi="Segoe UI" w:cs="Segoe UI"/>
                      <w:sz w:val="20"/>
                      <w:szCs w:val="20"/>
                      <w:lang w:eastAsia="en-AU"/>
                    </w:rPr>
                    <w:t>A</w:t>
                  </w:r>
                  <w:r w:rsidRPr="00B34E24">
                    <w:rPr>
                      <w:rFonts w:ascii="Segoe UI" w:hAnsi="Segoe UI" w:cs="Segoe UI"/>
                      <w:sz w:val="20"/>
                      <w:szCs w:val="20"/>
                      <w:lang w:eastAsia="en-AU"/>
                    </w:rPr>
                    <w:t xml:space="preserve">ppliance, </w:t>
                  </w:r>
                  <w:r>
                    <w:rPr>
                      <w:rFonts w:ascii="Segoe UI" w:hAnsi="Segoe UI" w:cs="Segoe UI"/>
                      <w:sz w:val="20"/>
                      <w:szCs w:val="20"/>
                      <w:lang w:eastAsia="en-AU"/>
                    </w:rPr>
                    <w:t>(</w:t>
                  </w:r>
                  <w:r w:rsidRPr="00B34E24">
                    <w:rPr>
                      <w:rFonts w:ascii="Segoe UI" w:hAnsi="Segoe UI" w:cs="Segoe UI"/>
                      <w:sz w:val="20"/>
                      <w:szCs w:val="20"/>
                      <w:lang w:eastAsia="en-AU"/>
                    </w:rPr>
                    <w:t>by failover or clon</w:t>
                  </w:r>
                  <w:r>
                    <w:rPr>
                      <w:rFonts w:ascii="Segoe UI" w:hAnsi="Segoe UI" w:cs="Segoe UI"/>
                      <w:sz w:val="20"/>
                      <w:szCs w:val="20"/>
                      <w:lang w:eastAsia="en-AU"/>
                    </w:rPr>
                    <w:t>ing)</w:t>
                  </w:r>
                  <w:r w:rsidRPr="00B34E24">
                    <w:rPr>
                      <w:rFonts w:ascii="Segoe UI" w:hAnsi="Segoe UI" w:cs="Segoe UI"/>
                      <w:sz w:val="20"/>
                      <w:szCs w:val="20"/>
                      <w:lang w:eastAsia="en-AU"/>
                    </w:rPr>
                    <w:t>, it is important to consider the size of the volumes that will be used on the StorSimple Virtual Appliance. The total capacity of the StorSimple Virtual Appliance has a maximum capacity of</w:t>
                  </w:r>
                  <w:r>
                    <w:rPr>
                      <w:rFonts w:ascii="Segoe UI" w:hAnsi="Segoe UI" w:cs="Segoe UI"/>
                      <w:sz w:val="20"/>
                      <w:szCs w:val="20"/>
                      <w:lang w:eastAsia="en-AU"/>
                    </w:rPr>
                    <w:t> 3</w:t>
                  </w:r>
                  <w:r w:rsidRPr="00B34E24">
                    <w:rPr>
                      <w:rFonts w:ascii="Segoe UI" w:hAnsi="Segoe UI" w:cs="Segoe UI"/>
                      <w:sz w:val="20"/>
                      <w:szCs w:val="20"/>
                      <w:lang w:eastAsia="en-AU"/>
                    </w:rPr>
                    <w:t>0</w:t>
                  </w:r>
                  <w:r>
                    <w:rPr>
                      <w:rFonts w:ascii="Segoe UI" w:hAnsi="Segoe UI" w:cs="Segoe UI"/>
                      <w:sz w:val="20"/>
                      <w:szCs w:val="20"/>
                      <w:lang w:eastAsia="en-AU"/>
                    </w:rPr>
                    <w:t xml:space="preserve"> </w:t>
                  </w:r>
                  <w:r w:rsidRPr="00B34E24">
                    <w:rPr>
                      <w:rFonts w:ascii="Segoe UI" w:hAnsi="Segoe UI" w:cs="Segoe UI"/>
                      <w:sz w:val="20"/>
                      <w:szCs w:val="20"/>
                      <w:lang w:eastAsia="en-AU"/>
                    </w:rPr>
                    <w:t xml:space="preserve">TB. Therefore, all volumes </w:t>
                  </w:r>
                  <w:r>
                    <w:rPr>
                      <w:rFonts w:ascii="Segoe UI" w:hAnsi="Segoe UI" w:cs="Segoe UI"/>
                      <w:sz w:val="20"/>
                      <w:szCs w:val="20"/>
                      <w:lang w:eastAsia="en-AU"/>
                    </w:rPr>
                    <w:t xml:space="preserve">that </w:t>
                  </w:r>
                  <w:r w:rsidRPr="00B34E24">
                    <w:rPr>
                      <w:rFonts w:ascii="Segoe UI" w:hAnsi="Segoe UI" w:cs="Segoe UI"/>
                      <w:sz w:val="20"/>
                      <w:szCs w:val="20"/>
                      <w:lang w:eastAsia="en-AU"/>
                    </w:rPr>
                    <w:t>fail</w:t>
                  </w:r>
                  <w:r>
                    <w:rPr>
                      <w:rFonts w:ascii="Segoe UI" w:hAnsi="Segoe UI" w:cs="Segoe UI"/>
                      <w:sz w:val="20"/>
                      <w:szCs w:val="20"/>
                      <w:lang w:eastAsia="en-AU"/>
                    </w:rPr>
                    <w:t xml:space="preserve"> </w:t>
                  </w:r>
                  <w:r w:rsidRPr="00B34E24">
                    <w:rPr>
                      <w:rFonts w:ascii="Segoe UI" w:hAnsi="Segoe UI" w:cs="Segoe UI"/>
                      <w:sz w:val="20"/>
                      <w:szCs w:val="20"/>
                      <w:lang w:eastAsia="en-AU"/>
                    </w:rPr>
                    <w:t xml:space="preserve">over or </w:t>
                  </w:r>
                  <w:r>
                    <w:rPr>
                      <w:rFonts w:ascii="Segoe UI" w:hAnsi="Segoe UI" w:cs="Segoe UI"/>
                      <w:sz w:val="20"/>
                      <w:szCs w:val="20"/>
                      <w:lang w:eastAsia="en-AU"/>
                    </w:rPr>
                    <w:t xml:space="preserve">are </w:t>
                  </w:r>
                  <w:r w:rsidRPr="00B34E24">
                    <w:rPr>
                      <w:rFonts w:ascii="Segoe UI" w:hAnsi="Segoe UI" w:cs="Segoe UI"/>
                      <w:sz w:val="20"/>
                      <w:szCs w:val="20"/>
                      <w:lang w:eastAsia="en-AU"/>
                    </w:rPr>
                    <w:t xml:space="preserve">cloned on the StorSimple </w:t>
                  </w:r>
                  <w:r>
                    <w:rPr>
                      <w:rFonts w:ascii="Segoe UI" w:hAnsi="Segoe UI" w:cs="Segoe UI"/>
                      <w:sz w:val="20"/>
                      <w:szCs w:val="20"/>
                      <w:lang w:eastAsia="en-AU"/>
                    </w:rPr>
                    <w:t>v</w:t>
                  </w:r>
                  <w:r w:rsidRPr="00B34E24">
                    <w:rPr>
                      <w:rFonts w:ascii="Segoe UI" w:hAnsi="Segoe UI" w:cs="Segoe UI"/>
                      <w:sz w:val="20"/>
                      <w:szCs w:val="20"/>
                      <w:lang w:eastAsia="en-AU"/>
                    </w:rPr>
                    <w:t>irtual Appliance cannot exceed the</w:t>
                  </w:r>
                  <w:r>
                    <w:rPr>
                      <w:rFonts w:ascii="Segoe UI" w:hAnsi="Segoe UI" w:cs="Segoe UI"/>
                      <w:sz w:val="20"/>
                      <w:szCs w:val="20"/>
                      <w:lang w:eastAsia="en-AU"/>
                    </w:rPr>
                    <w:t> 3</w:t>
                  </w:r>
                  <w:r w:rsidRPr="00B34E24">
                    <w:rPr>
                      <w:rFonts w:ascii="Segoe UI" w:hAnsi="Segoe UI" w:cs="Segoe UI"/>
                      <w:sz w:val="20"/>
                      <w:szCs w:val="20"/>
                      <w:lang w:eastAsia="en-AU"/>
                    </w:rPr>
                    <w:t>0</w:t>
                  </w:r>
                  <w:r>
                    <w:rPr>
                      <w:rFonts w:ascii="Segoe UI" w:hAnsi="Segoe UI" w:cs="Segoe UI"/>
                      <w:sz w:val="20"/>
                      <w:szCs w:val="20"/>
                      <w:lang w:eastAsia="en-AU"/>
                    </w:rPr>
                    <w:t> </w:t>
                  </w:r>
                  <w:r w:rsidRPr="00B34E24">
                    <w:rPr>
                      <w:rFonts w:ascii="Segoe UI" w:hAnsi="Segoe UI" w:cs="Segoe UI"/>
                      <w:sz w:val="20"/>
                      <w:szCs w:val="20"/>
                      <w:lang w:eastAsia="en-AU"/>
                    </w:rPr>
                    <w:t xml:space="preserve">TB maximum capacity. </w:t>
                  </w:r>
                </w:p>
                <w:p w14:paraId="04076752" w14:textId="77777777" w:rsidR="007A0DED"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 xml:space="preserve">This capacity is </w:t>
                  </w:r>
                  <w:r>
                    <w:rPr>
                      <w:rFonts w:ascii="Segoe UI" w:hAnsi="Segoe UI" w:cs="Segoe UI"/>
                      <w:sz w:val="20"/>
                      <w:szCs w:val="20"/>
                      <w:lang w:eastAsia="en-AU"/>
                    </w:rPr>
                    <w:t xml:space="preserve">the </w:t>
                  </w:r>
                  <w:r w:rsidRPr="00B34E24">
                    <w:rPr>
                      <w:rFonts w:ascii="Segoe UI" w:hAnsi="Segoe UI" w:cs="Segoe UI"/>
                      <w:sz w:val="20"/>
                      <w:szCs w:val="20"/>
                      <w:lang w:eastAsia="en-AU"/>
                    </w:rPr>
                    <w:t>actual provisioned capacity</w:t>
                  </w:r>
                  <w:r>
                    <w:rPr>
                      <w:rFonts w:ascii="Segoe UI" w:hAnsi="Segoe UI" w:cs="Segoe UI"/>
                      <w:sz w:val="20"/>
                      <w:szCs w:val="20"/>
                      <w:lang w:eastAsia="en-AU"/>
                    </w:rPr>
                    <w:t>.</w:t>
                  </w:r>
                  <w:r w:rsidRPr="00B34E24">
                    <w:rPr>
                      <w:rFonts w:ascii="Segoe UI" w:hAnsi="Segoe UI" w:cs="Segoe UI"/>
                      <w:sz w:val="20"/>
                      <w:szCs w:val="20"/>
                      <w:lang w:eastAsia="en-AU"/>
                    </w:rPr>
                    <w:t xml:space="preserve"> </w:t>
                  </w:r>
                  <w:r>
                    <w:rPr>
                      <w:rFonts w:ascii="Segoe UI" w:hAnsi="Segoe UI" w:cs="Segoe UI"/>
                      <w:sz w:val="20"/>
                      <w:szCs w:val="20"/>
                      <w:lang w:eastAsia="en-AU"/>
                    </w:rPr>
                    <w:t>T</w:t>
                  </w:r>
                  <w:r w:rsidRPr="00B34E24">
                    <w:rPr>
                      <w:rFonts w:ascii="Segoe UI" w:hAnsi="Segoe UI" w:cs="Segoe UI"/>
                      <w:sz w:val="20"/>
                      <w:szCs w:val="20"/>
                      <w:lang w:eastAsia="en-AU"/>
                    </w:rPr>
                    <w:t>herefore</w:t>
                  </w:r>
                  <w:r>
                    <w:rPr>
                      <w:rFonts w:ascii="Segoe UI" w:hAnsi="Segoe UI" w:cs="Segoe UI"/>
                      <w:sz w:val="20"/>
                      <w:szCs w:val="20"/>
                      <w:lang w:eastAsia="en-AU"/>
                    </w:rPr>
                    <w:t>,</w:t>
                  </w:r>
                  <w:r w:rsidRPr="00B34E24">
                    <w:rPr>
                      <w:rFonts w:ascii="Segoe UI" w:hAnsi="Segoe UI" w:cs="Segoe UI"/>
                      <w:sz w:val="20"/>
                      <w:szCs w:val="20"/>
                      <w:lang w:eastAsia="en-AU"/>
                    </w:rPr>
                    <w:t xml:space="preserve"> volumes that are provisioned as</w:t>
                  </w:r>
                  <w:r>
                    <w:rPr>
                      <w:rFonts w:ascii="Segoe UI" w:hAnsi="Segoe UI" w:cs="Segoe UI"/>
                      <w:sz w:val="20"/>
                      <w:szCs w:val="20"/>
                      <w:lang w:eastAsia="en-AU"/>
                    </w:rPr>
                    <w:t> 1</w:t>
                  </w:r>
                  <w:r w:rsidRPr="00B34E24">
                    <w:rPr>
                      <w:rFonts w:ascii="Segoe UI" w:hAnsi="Segoe UI" w:cs="Segoe UI"/>
                      <w:sz w:val="20"/>
                      <w:szCs w:val="20"/>
                      <w:lang w:eastAsia="en-AU"/>
                    </w:rPr>
                    <w:t>0</w:t>
                  </w:r>
                  <w:r>
                    <w:rPr>
                      <w:rFonts w:ascii="Segoe UI" w:hAnsi="Segoe UI" w:cs="Segoe UI"/>
                      <w:sz w:val="20"/>
                      <w:szCs w:val="20"/>
                      <w:lang w:eastAsia="en-AU"/>
                    </w:rPr>
                    <w:t> </w:t>
                  </w:r>
                  <w:r w:rsidRPr="00B34E24">
                    <w:rPr>
                      <w:rFonts w:ascii="Segoe UI" w:hAnsi="Segoe UI" w:cs="Segoe UI"/>
                      <w:sz w:val="20"/>
                      <w:szCs w:val="20"/>
                      <w:lang w:eastAsia="en-AU"/>
                    </w:rPr>
                    <w:t>TB</w:t>
                  </w:r>
                  <w:r>
                    <w:rPr>
                      <w:rFonts w:ascii="Segoe UI" w:hAnsi="Segoe UI" w:cs="Segoe UI"/>
                      <w:sz w:val="20"/>
                      <w:szCs w:val="20"/>
                      <w:lang w:eastAsia="en-AU"/>
                    </w:rPr>
                    <w:t>,</w:t>
                  </w:r>
                  <w:r w:rsidRPr="00B34E24">
                    <w:rPr>
                      <w:rFonts w:ascii="Segoe UI" w:hAnsi="Segoe UI" w:cs="Segoe UI"/>
                      <w:sz w:val="20"/>
                      <w:szCs w:val="20"/>
                      <w:lang w:eastAsia="en-AU"/>
                    </w:rPr>
                    <w:t xml:space="preserve"> but only have</w:t>
                  </w:r>
                  <w:r>
                    <w:rPr>
                      <w:rFonts w:ascii="Segoe UI" w:hAnsi="Segoe UI" w:cs="Segoe UI"/>
                      <w:sz w:val="20"/>
                      <w:szCs w:val="20"/>
                      <w:lang w:eastAsia="en-AU"/>
                    </w:rPr>
                    <w:t> 2 </w:t>
                  </w:r>
                  <w:r w:rsidRPr="00B34E24">
                    <w:rPr>
                      <w:rFonts w:ascii="Segoe UI" w:hAnsi="Segoe UI" w:cs="Segoe UI"/>
                      <w:sz w:val="20"/>
                      <w:szCs w:val="20"/>
                      <w:lang w:eastAsia="en-AU"/>
                    </w:rPr>
                    <w:t>TB of data on them</w:t>
                  </w:r>
                  <w:r>
                    <w:rPr>
                      <w:rFonts w:ascii="Segoe UI" w:hAnsi="Segoe UI" w:cs="Segoe UI"/>
                      <w:sz w:val="20"/>
                      <w:szCs w:val="20"/>
                      <w:lang w:eastAsia="en-AU"/>
                    </w:rPr>
                    <w:t>,</w:t>
                  </w:r>
                  <w:r w:rsidRPr="00B34E24">
                    <w:rPr>
                      <w:rFonts w:ascii="Segoe UI" w:hAnsi="Segoe UI" w:cs="Segoe UI"/>
                      <w:sz w:val="20"/>
                      <w:szCs w:val="20"/>
                      <w:lang w:eastAsia="en-AU"/>
                    </w:rPr>
                    <w:t xml:space="preserve"> still account for</w:t>
                  </w:r>
                  <w:r>
                    <w:rPr>
                      <w:rFonts w:ascii="Segoe UI" w:hAnsi="Segoe UI" w:cs="Segoe UI"/>
                      <w:sz w:val="20"/>
                      <w:szCs w:val="20"/>
                      <w:lang w:eastAsia="en-AU"/>
                    </w:rPr>
                    <w:t> 1</w:t>
                  </w:r>
                  <w:r w:rsidRPr="00B34E24">
                    <w:rPr>
                      <w:rFonts w:ascii="Segoe UI" w:hAnsi="Segoe UI" w:cs="Segoe UI"/>
                      <w:sz w:val="20"/>
                      <w:szCs w:val="20"/>
                      <w:lang w:eastAsia="en-AU"/>
                    </w:rPr>
                    <w:t>0</w:t>
                  </w:r>
                  <w:r>
                    <w:rPr>
                      <w:rFonts w:ascii="Segoe UI" w:hAnsi="Segoe UI" w:cs="Segoe UI"/>
                      <w:sz w:val="20"/>
                      <w:szCs w:val="20"/>
                      <w:lang w:eastAsia="en-AU"/>
                    </w:rPr>
                    <w:t> </w:t>
                  </w:r>
                  <w:r w:rsidRPr="00B34E24">
                    <w:rPr>
                      <w:rFonts w:ascii="Segoe UI" w:hAnsi="Segoe UI" w:cs="Segoe UI"/>
                      <w:sz w:val="20"/>
                      <w:szCs w:val="20"/>
                      <w:lang w:eastAsia="en-AU"/>
                    </w:rPr>
                    <w:t>TBs of the</w:t>
                  </w:r>
                  <w:r>
                    <w:rPr>
                      <w:rFonts w:ascii="Segoe UI" w:hAnsi="Segoe UI" w:cs="Segoe UI"/>
                      <w:sz w:val="20"/>
                      <w:szCs w:val="20"/>
                      <w:lang w:eastAsia="en-AU"/>
                    </w:rPr>
                    <w:t> 3</w:t>
                  </w:r>
                  <w:r w:rsidRPr="00B34E24">
                    <w:rPr>
                      <w:rFonts w:ascii="Segoe UI" w:hAnsi="Segoe UI" w:cs="Segoe UI"/>
                      <w:sz w:val="20"/>
                      <w:szCs w:val="20"/>
                      <w:lang w:eastAsia="en-AU"/>
                    </w:rPr>
                    <w:t>0</w:t>
                  </w:r>
                  <w:r>
                    <w:rPr>
                      <w:rFonts w:ascii="Segoe UI" w:hAnsi="Segoe UI" w:cs="Segoe UI"/>
                      <w:sz w:val="20"/>
                      <w:szCs w:val="20"/>
                      <w:lang w:eastAsia="en-AU"/>
                    </w:rPr>
                    <w:t> </w:t>
                  </w:r>
                  <w:r w:rsidRPr="00B34E24">
                    <w:rPr>
                      <w:rFonts w:ascii="Segoe UI" w:hAnsi="Segoe UI" w:cs="Segoe UI"/>
                      <w:sz w:val="20"/>
                      <w:szCs w:val="20"/>
                      <w:lang w:eastAsia="en-AU"/>
                    </w:rPr>
                    <w:t xml:space="preserve">TB maximum capacity on the StorSimple </w:t>
                  </w:r>
                  <w:r>
                    <w:rPr>
                      <w:rFonts w:ascii="Segoe UI" w:hAnsi="Segoe UI" w:cs="Segoe UI"/>
                      <w:sz w:val="20"/>
                      <w:szCs w:val="20"/>
                      <w:lang w:eastAsia="en-AU"/>
                    </w:rPr>
                    <w:t>V</w:t>
                  </w:r>
                  <w:r w:rsidRPr="00B34E24">
                    <w:rPr>
                      <w:rFonts w:ascii="Segoe UI" w:hAnsi="Segoe UI" w:cs="Segoe UI"/>
                      <w:sz w:val="20"/>
                      <w:szCs w:val="20"/>
                      <w:lang w:eastAsia="en-AU"/>
                    </w:rPr>
                    <w:t xml:space="preserve">irtual Appliance. </w:t>
                  </w:r>
                </w:p>
                <w:p w14:paraId="75AFE7B1" w14:textId="2B136F76" w:rsidR="007A0DED" w:rsidRPr="00B34E24" w:rsidRDefault="007A0DED" w:rsidP="007A0DED">
                  <w:pPr>
                    <w:pStyle w:val="NormalWeb"/>
                    <w:rPr>
                      <w:rFonts w:ascii="Segoe UI" w:hAnsi="Segoe UI" w:cs="Segoe UI"/>
                      <w:sz w:val="20"/>
                      <w:szCs w:val="20"/>
                      <w:lang w:eastAsia="en-AU"/>
                    </w:rPr>
                  </w:pPr>
                  <w:r>
                    <w:rPr>
                      <w:rFonts w:ascii="Segoe UI" w:hAnsi="Segoe UI" w:cs="Segoe UI"/>
                      <w:sz w:val="20"/>
                      <w:szCs w:val="20"/>
                      <w:lang w:eastAsia="en-AU"/>
                    </w:rPr>
                    <w:t xml:space="preserve">We </w:t>
                  </w:r>
                  <w:r w:rsidRPr="00B34E24">
                    <w:rPr>
                      <w:rFonts w:ascii="Segoe UI" w:hAnsi="Segoe UI" w:cs="Segoe UI"/>
                      <w:sz w:val="20"/>
                      <w:szCs w:val="20"/>
                      <w:lang w:eastAsia="en-AU"/>
                    </w:rPr>
                    <w:t>recommend</w:t>
                  </w:r>
                  <w:r>
                    <w:rPr>
                      <w:rFonts w:ascii="Segoe UI" w:hAnsi="Segoe UI" w:cs="Segoe UI"/>
                      <w:sz w:val="20"/>
                      <w:szCs w:val="20"/>
                      <w:lang w:eastAsia="en-AU"/>
                    </w:rPr>
                    <w:t xml:space="preserve"> that you</w:t>
                  </w:r>
                  <w:r w:rsidRPr="00B34E24">
                    <w:rPr>
                      <w:rFonts w:ascii="Segoe UI" w:hAnsi="Segoe UI" w:cs="Segoe UI"/>
                      <w:sz w:val="20"/>
                      <w:szCs w:val="20"/>
                      <w:lang w:eastAsia="en-AU"/>
                    </w:rPr>
                    <w:t xml:space="preserve"> size volumes so that a single volume does not exceed</w:t>
                  </w:r>
                  <w:r>
                    <w:rPr>
                      <w:rFonts w:ascii="Segoe UI" w:hAnsi="Segoe UI" w:cs="Segoe UI"/>
                      <w:sz w:val="20"/>
                      <w:szCs w:val="20"/>
                      <w:lang w:eastAsia="en-AU"/>
                    </w:rPr>
                    <w:t> 3</w:t>
                  </w:r>
                  <w:r w:rsidRPr="00B34E24">
                    <w:rPr>
                      <w:rFonts w:ascii="Segoe UI" w:hAnsi="Segoe UI" w:cs="Segoe UI"/>
                      <w:sz w:val="20"/>
                      <w:szCs w:val="20"/>
                      <w:lang w:eastAsia="en-AU"/>
                    </w:rPr>
                    <w:t>0</w:t>
                  </w:r>
                  <w:r>
                    <w:rPr>
                      <w:rFonts w:ascii="Segoe UI" w:hAnsi="Segoe UI" w:cs="Segoe UI"/>
                      <w:sz w:val="20"/>
                      <w:szCs w:val="20"/>
                      <w:lang w:eastAsia="en-AU"/>
                    </w:rPr>
                    <w:t> </w:t>
                  </w:r>
                  <w:r w:rsidRPr="00B34E24">
                    <w:rPr>
                      <w:rFonts w:ascii="Segoe UI" w:hAnsi="Segoe UI" w:cs="Segoe UI"/>
                      <w:sz w:val="20"/>
                      <w:szCs w:val="20"/>
                      <w:lang w:eastAsia="en-AU"/>
                    </w:rPr>
                    <w:t xml:space="preserve">TB or </w:t>
                  </w:r>
                  <w:r>
                    <w:rPr>
                      <w:rFonts w:ascii="Segoe UI" w:hAnsi="Segoe UI" w:cs="Segoe UI"/>
                      <w:sz w:val="20"/>
                      <w:szCs w:val="20"/>
                      <w:lang w:eastAsia="en-AU"/>
                    </w:rPr>
                    <w:t xml:space="preserve">that </w:t>
                  </w:r>
                  <w:r w:rsidRPr="00B34E24">
                    <w:rPr>
                      <w:rFonts w:ascii="Segoe UI" w:hAnsi="Segoe UI" w:cs="Segoe UI"/>
                      <w:sz w:val="20"/>
                      <w:szCs w:val="20"/>
                      <w:lang w:eastAsia="en-AU"/>
                    </w:rPr>
                    <w:t>all the volumes within the volume container do not exceed</w:t>
                  </w:r>
                  <w:r>
                    <w:rPr>
                      <w:rFonts w:ascii="Segoe UI" w:hAnsi="Segoe UI" w:cs="Segoe UI"/>
                      <w:sz w:val="20"/>
                      <w:szCs w:val="20"/>
                      <w:lang w:eastAsia="en-AU"/>
                    </w:rPr>
                    <w:t> 3</w:t>
                  </w:r>
                  <w:r w:rsidRPr="00B34E24">
                    <w:rPr>
                      <w:rFonts w:ascii="Segoe UI" w:hAnsi="Segoe UI" w:cs="Segoe UI"/>
                      <w:sz w:val="20"/>
                      <w:szCs w:val="20"/>
                      <w:lang w:eastAsia="en-AU"/>
                    </w:rPr>
                    <w:t>0</w:t>
                  </w:r>
                  <w:r>
                    <w:rPr>
                      <w:rFonts w:ascii="Segoe UI" w:hAnsi="Segoe UI" w:cs="Segoe UI"/>
                      <w:sz w:val="20"/>
                      <w:szCs w:val="20"/>
                      <w:lang w:eastAsia="en-AU"/>
                    </w:rPr>
                    <w:t> </w:t>
                  </w:r>
                  <w:r w:rsidRPr="00B34E24">
                    <w:rPr>
                      <w:rFonts w:ascii="Segoe UI" w:hAnsi="Segoe UI" w:cs="Segoe UI"/>
                      <w:sz w:val="20"/>
                      <w:szCs w:val="20"/>
                      <w:lang w:eastAsia="en-AU"/>
                    </w:rPr>
                    <w:t xml:space="preserve">TB. Volume containers are the unit of failover and all volumes within a </w:t>
                  </w:r>
                  <w:r>
                    <w:rPr>
                      <w:rFonts w:ascii="Segoe UI" w:hAnsi="Segoe UI" w:cs="Segoe UI"/>
                      <w:sz w:val="20"/>
                      <w:szCs w:val="20"/>
                      <w:lang w:eastAsia="en-AU"/>
                    </w:rPr>
                    <w:t>v</w:t>
                  </w:r>
                  <w:r w:rsidRPr="00B34E24">
                    <w:rPr>
                      <w:rFonts w:ascii="Segoe UI" w:hAnsi="Segoe UI" w:cs="Segoe UI"/>
                      <w:sz w:val="20"/>
                      <w:szCs w:val="20"/>
                      <w:lang w:eastAsia="en-AU"/>
                    </w:rPr>
                    <w:t xml:space="preserve">olume </w:t>
                  </w:r>
                  <w:r>
                    <w:rPr>
                      <w:rFonts w:ascii="Segoe UI" w:hAnsi="Segoe UI" w:cs="Segoe UI"/>
                      <w:sz w:val="20"/>
                      <w:szCs w:val="20"/>
                      <w:lang w:eastAsia="en-AU"/>
                    </w:rPr>
                    <w:t>c</w:t>
                  </w:r>
                  <w:r w:rsidRPr="00B34E24">
                    <w:rPr>
                      <w:rFonts w:ascii="Segoe UI" w:hAnsi="Segoe UI" w:cs="Segoe UI"/>
                      <w:sz w:val="20"/>
                      <w:szCs w:val="20"/>
                      <w:lang w:eastAsia="en-AU"/>
                    </w:rPr>
                    <w:t>ontainer will fail</w:t>
                  </w:r>
                  <w:r>
                    <w:rPr>
                      <w:rFonts w:ascii="Segoe UI" w:hAnsi="Segoe UI" w:cs="Segoe UI"/>
                      <w:sz w:val="20"/>
                      <w:szCs w:val="20"/>
                      <w:lang w:eastAsia="en-AU"/>
                    </w:rPr>
                    <w:t xml:space="preserve"> </w:t>
                  </w:r>
                  <w:r w:rsidRPr="00B34E24">
                    <w:rPr>
                      <w:rFonts w:ascii="Segoe UI" w:hAnsi="Segoe UI" w:cs="Segoe UI"/>
                      <w:sz w:val="20"/>
                      <w:szCs w:val="20"/>
                      <w:lang w:eastAsia="en-AU"/>
                    </w:rPr>
                    <w:t>over to a StorSimple Virtual Appliance during the failover process.</w:t>
                  </w:r>
                </w:p>
              </w:tc>
            </w:tr>
            <w:tr w:rsidR="007A0DED" w:rsidRPr="004B3E51" w14:paraId="24ABCFB2" w14:textId="77777777" w:rsidTr="00832729">
              <w:tc>
                <w:tcPr>
                  <w:tcW w:w="1601" w:type="dxa"/>
                  <w:vMerge/>
                </w:tcPr>
                <w:p w14:paraId="728324FE" w14:textId="17AB7652" w:rsidR="007A0DED" w:rsidRPr="00C80FD9" w:rsidRDefault="007A0DED" w:rsidP="007A0DED">
                  <w:pPr>
                    <w:pStyle w:val="NormalWeb"/>
                    <w:rPr>
                      <w:rFonts w:ascii="Segoe UI" w:hAnsi="Segoe UI" w:cs="Segoe UI"/>
                      <w:b/>
                      <w:sz w:val="20"/>
                      <w:szCs w:val="20"/>
                      <w:lang w:eastAsia="en-AU"/>
                    </w:rPr>
                  </w:pPr>
                </w:p>
              </w:tc>
              <w:tc>
                <w:tcPr>
                  <w:tcW w:w="7736" w:type="dxa"/>
                </w:tcPr>
                <w:p w14:paraId="752F53C4" w14:textId="77777777" w:rsidR="007A0DED"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For volumes that will be used with the StorSimple Virtual Appliance, it is best to consider the use case. For disaster recovery use cases, smaller volumes are recommended with a size of</w:t>
                  </w:r>
                  <w:r>
                    <w:rPr>
                      <w:rFonts w:ascii="Segoe UI" w:hAnsi="Segoe UI" w:cs="Segoe UI"/>
                      <w:sz w:val="20"/>
                      <w:szCs w:val="20"/>
                      <w:lang w:eastAsia="en-AU"/>
                    </w:rPr>
                    <w:t> 2</w:t>
                  </w:r>
                  <w:r w:rsidRPr="00B34E24">
                    <w:rPr>
                      <w:rFonts w:ascii="Segoe UI" w:hAnsi="Segoe UI" w:cs="Segoe UI"/>
                      <w:sz w:val="20"/>
                      <w:szCs w:val="20"/>
                      <w:lang w:eastAsia="en-AU"/>
                    </w:rPr>
                    <w:t>-4</w:t>
                  </w:r>
                  <w:r>
                    <w:rPr>
                      <w:rFonts w:ascii="Segoe UI" w:hAnsi="Segoe UI" w:cs="Segoe UI"/>
                      <w:sz w:val="20"/>
                      <w:szCs w:val="20"/>
                      <w:lang w:eastAsia="en-AU"/>
                    </w:rPr>
                    <w:t> </w:t>
                  </w:r>
                  <w:r w:rsidRPr="00B34E24">
                    <w:rPr>
                      <w:rFonts w:ascii="Segoe UI" w:hAnsi="Segoe UI" w:cs="Segoe UI"/>
                      <w:sz w:val="20"/>
                      <w:szCs w:val="20"/>
                      <w:lang w:eastAsia="en-AU"/>
                    </w:rPr>
                    <w:t>TB. This help</w:t>
                  </w:r>
                  <w:r>
                    <w:rPr>
                      <w:rFonts w:ascii="Segoe UI" w:hAnsi="Segoe UI" w:cs="Segoe UI"/>
                      <w:sz w:val="20"/>
                      <w:szCs w:val="20"/>
                      <w:lang w:eastAsia="en-AU"/>
                    </w:rPr>
                    <w:t>s</w:t>
                  </w:r>
                  <w:r w:rsidRPr="00B34E24">
                    <w:rPr>
                      <w:rFonts w:ascii="Segoe UI" w:hAnsi="Segoe UI" w:cs="Segoe UI"/>
                      <w:sz w:val="20"/>
                      <w:szCs w:val="20"/>
                      <w:lang w:eastAsia="en-AU"/>
                    </w:rPr>
                    <w:t xml:space="preserve"> meet expected </w:t>
                  </w:r>
                  <w:r>
                    <w:rPr>
                      <w:rFonts w:ascii="Segoe UI" w:hAnsi="Segoe UI" w:cs="Segoe UI"/>
                      <w:sz w:val="20"/>
                      <w:szCs w:val="20"/>
                      <w:lang w:eastAsia="en-AU"/>
                    </w:rPr>
                    <w:t>recovery point objective (</w:t>
                  </w:r>
                  <w:r w:rsidRPr="00B34E24">
                    <w:rPr>
                      <w:rFonts w:ascii="Segoe UI" w:hAnsi="Segoe UI" w:cs="Segoe UI"/>
                      <w:sz w:val="20"/>
                      <w:szCs w:val="20"/>
                      <w:lang w:eastAsia="en-AU"/>
                    </w:rPr>
                    <w:t>RPO</w:t>
                  </w:r>
                  <w:r>
                    <w:rPr>
                      <w:rFonts w:ascii="Segoe UI" w:hAnsi="Segoe UI" w:cs="Segoe UI"/>
                      <w:sz w:val="20"/>
                      <w:szCs w:val="20"/>
                      <w:lang w:eastAsia="en-AU"/>
                    </w:rPr>
                    <w:t>)</w:t>
                  </w:r>
                  <w:r w:rsidRPr="00B34E24">
                    <w:rPr>
                      <w:rFonts w:ascii="Segoe UI" w:hAnsi="Segoe UI" w:cs="Segoe UI"/>
                      <w:sz w:val="20"/>
                      <w:szCs w:val="20"/>
                      <w:lang w:eastAsia="en-AU"/>
                    </w:rPr>
                    <w:t xml:space="preserve"> and </w:t>
                  </w:r>
                  <w:r>
                    <w:rPr>
                      <w:rFonts w:ascii="Segoe UI" w:hAnsi="Segoe UI" w:cs="Segoe UI"/>
                      <w:sz w:val="20"/>
                      <w:szCs w:val="20"/>
                      <w:lang w:eastAsia="en-AU"/>
                    </w:rPr>
                    <w:t>recovery time objectives (</w:t>
                  </w:r>
                  <w:r w:rsidRPr="00B34E24">
                    <w:rPr>
                      <w:rFonts w:ascii="Segoe UI" w:hAnsi="Segoe UI" w:cs="Segoe UI"/>
                      <w:sz w:val="20"/>
                      <w:szCs w:val="20"/>
                      <w:lang w:eastAsia="en-AU"/>
                    </w:rPr>
                    <w:t>RTOs</w:t>
                  </w:r>
                  <w:r>
                    <w:rPr>
                      <w:rFonts w:ascii="Segoe UI" w:hAnsi="Segoe UI" w:cs="Segoe UI"/>
                      <w:sz w:val="20"/>
                      <w:szCs w:val="20"/>
                      <w:lang w:eastAsia="en-AU"/>
                    </w:rPr>
                    <w:t>)</w:t>
                  </w:r>
                  <w:r w:rsidRPr="00B34E24">
                    <w:rPr>
                      <w:rFonts w:ascii="Segoe UI" w:hAnsi="Segoe UI" w:cs="Segoe UI"/>
                      <w:sz w:val="20"/>
                      <w:szCs w:val="20"/>
                      <w:lang w:eastAsia="en-AU"/>
                    </w:rPr>
                    <w:t xml:space="preserve">. </w:t>
                  </w:r>
                </w:p>
                <w:p w14:paraId="2C2F10FF" w14:textId="33AD7865"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For development and test use cases</w:t>
                  </w:r>
                  <w:r>
                    <w:rPr>
                      <w:rFonts w:ascii="Segoe UI" w:hAnsi="Segoe UI" w:cs="Segoe UI"/>
                      <w:sz w:val="20"/>
                      <w:szCs w:val="20"/>
                      <w:lang w:eastAsia="en-AU"/>
                    </w:rPr>
                    <w:t>,</w:t>
                  </w:r>
                  <w:r w:rsidRPr="00B34E24">
                    <w:rPr>
                      <w:rFonts w:ascii="Segoe UI" w:hAnsi="Segoe UI" w:cs="Segoe UI"/>
                      <w:sz w:val="20"/>
                      <w:szCs w:val="20"/>
                      <w:lang w:eastAsia="en-AU"/>
                    </w:rPr>
                    <w:t xml:space="preserve"> larger volumes can be use</w:t>
                  </w:r>
                  <w:r>
                    <w:rPr>
                      <w:rFonts w:ascii="Segoe UI" w:hAnsi="Segoe UI" w:cs="Segoe UI"/>
                      <w:sz w:val="20"/>
                      <w:szCs w:val="20"/>
                      <w:lang w:eastAsia="en-AU"/>
                    </w:rPr>
                    <w:t>d.</w:t>
                  </w:r>
                  <w:r w:rsidRPr="00B34E24">
                    <w:rPr>
                      <w:rFonts w:ascii="Segoe UI" w:hAnsi="Segoe UI" w:cs="Segoe UI"/>
                      <w:sz w:val="20"/>
                      <w:szCs w:val="20"/>
                      <w:lang w:eastAsia="en-AU"/>
                    </w:rPr>
                    <w:t xml:space="preserve"> </w:t>
                  </w:r>
                  <w:r>
                    <w:rPr>
                      <w:rFonts w:ascii="Segoe UI" w:hAnsi="Segoe UI" w:cs="Segoe UI"/>
                      <w:sz w:val="20"/>
                      <w:szCs w:val="20"/>
                      <w:lang w:eastAsia="en-AU"/>
                    </w:rPr>
                    <w:t>H</w:t>
                  </w:r>
                  <w:r w:rsidRPr="00B34E24">
                    <w:rPr>
                      <w:rFonts w:ascii="Segoe UI" w:hAnsi="Segoe UI" w:cs="Segoe UI"/>
                      <w:sz w:val="20"/>
                      <w:szCs w:val="20"/>
                      <w:lang w:eastAsia="en-AU"/>
                    </w:rPr>
                    <w:t xml:space="preserve">owever, </w:t>
                  </w:r>
                  <w:r>
                    <w:rPr>
                      <w:rFonts w:ascii="Segoe UI" w:hAnsi="Segoe UI" w:cs="Segoe UI"/>
                      <w:sz w:val="20"/>
                      <w:szCs w:val="20"/>
                      <w:lang w:eastAsia="en-AU"/>
                    </w:rPr>
                    <w:t>we</w:t>
                  </w:r>
                  <w:r w:rsidRPr="00B34E24">
                    <w:rPr>
                      <w:rFonts w:ascii="Segoe UI" w:hAnsi="Segoe UI" w:cs="Segoe UI"/>
                      <w:sz w:val="20"/>
                      <w:szCs w:val="20"/>
                      <w:lang w:eastAsia="en-AU"/>
                    </w:rPr>
                    <w:t xml:space="preserve"> recommend</w:t>
                  </w:r>
                  <w:r>
                    <w:rPr>
                      <w:rFonts w:ascii="Segoe UI" w:hAnsi="Segoe UI" w:cs="Segoe UI"/>
                      <w:sz w:val="20"/>
                      <w:szCs w:val="20"/>
                      <w:lang w:eastAsia="en-AU"/>
                    </w:rPr>
                    <w:t xml:space="preserve"> that you</w:t>
                  </w:r>
                  <w:r w:rsidRPr="00B34E24">
                    <w:rPr>
                      <w:rFonts w:ascii="Segoe UI" w:hAnsi="Segoe UI" w:cs="Segoe UI"/>
                      <w:sz w:val="20"/>
                      <w:szCs w:val="20"/>
                      <w:lang w:eastAsia="en-AU"/>
                    </w:rPr>
                    <w:t xml:space="preserve"> not exceed a maximum volume size of</w:t>
                  </w:r>
                  <w:r>
                    <w:rPr>
                      <w:rFonts w:ascii="Segoe UI" w:hAnsi="Segoe UI" w:cs="Segoe UI"/>
                      <w:sz w:val="20"/>
                      <w:szCs w:val="20"/>
                      <w:lang w:eastAsia="en-AU"/>
                    </w:rPr>
                    <w:t> 1</w:t>
                  </w:r>
                  <w:r w:rsidRPr="00B34E24">
                    <w:rPr>
                      <w:rFonts w:ascii="Segoe UI" w:hAnsi="Segoe UI" w:cs="Segoe UI"/>
                      <w:sz w:val="20"/>
                      <w:szCs w:val="20"/>
                      <w:lang w:eastAsia="en-AU"/>
                    </w:rPr>
                    <w:t>6</w:t>
                  </w:r>
                  <w:r>
                    <w:rPr>
                      <w:rFonts w:ascii="Segoe UI" w:hAnsi="Segoe UI" w:cs="Segoe UI"/>
                      <w:sz w:val="20"/>
                      <w:szCs w:val="20"/>
                      <w:lang w:eastAsia="en-AU"/>
                    </w:rPr>
                    <w:t> </w:t>
                  </w:r>
                  <w:r w:rsidRPr="00B34E24">
                    <w:rPr>
                      <w:rFonts w:ascii="Segoe UI" w:hAnsi="Segoe UI" w:cs="Segoe UI"/>
                      <w:sz w:val="20"/>
                      <w:szCs w:val="20"/>
                      <w:lang w:eastAsia="en-AU"/>
                    </w:rPr>
                    <w:t xml:space="preserve">TB for volumes that will be cloned on the </w:t>
                  </w:r>
                  <w:r>
                    <w:rPr>
                      <w:rFonts w:ascii="Segoe UI" w:hAnsi="Segoe UI" w:cs="Segoe UI"/>
                      <w:sz w:val="20"/>
                      <w:szCs w:val="20"/>
                      <w:lang w:eastAsia="en-AU"/>
                    </w:rPr>
                    <w:t xml:space="preserve">StorSimple </w:t>
                  </w:r>
                  <w:r w:rsidRPr="00B34E24">
                    <w:rPr>
                      <w:rFonts w:ascii="Segoe UI" w:hAnsi="Segoe UI" w:cs="Segoe UI"/>
                      <w:sz w:val="20"/>
                      <w:szCs w:val="20"/>
                      <w:lang w:eastAsia="en-AU"/>
                    </w:rPr>
                    <w:t xml:space="preserve">Virtual Appliance. </w:t>
                  </w:r>
                </w:p>
              </w:tc>
            </w:tr>
            <w:tr w:rsidR="007A0DED" w:rsidRPr="004B3E51" w14:paraId="2EAFC0A4" w14:textId="77777777" w:rsidTr="00832729">
              <w:trPr>
                <w:cnfStyle w:val="000000100000" w:firstRow="0" w:lastRow="0" w:firstColumn="0" w:lastColumn="0" w:oddVBand="0" w:evenVBand="0" w:oddHBand="1" w:evenHBand="0" w:firstRowFirstColumn="0" w:firstRowLastColumn="0" w:lastRowFirstColumn="0" w:lastRowLastColumn="0"/>
              </w:trPr>
              <w:tc>
                <w:tcPr>
                  <w:tcW w:w="1601" w:type="dxa"/>
                </w:tcPr>
                <w:p w14:paraId="6E4B96F5" w14:textId="4927298B" w:rsidR="007A0DED" w:rsidRPr="00C80FD9" w:rsidRDefault="007A0DED" w:rsidP="007A0DED">
                  <w:pPr>
                    <w:pStyle w:val="NormalWeb"/>
                    <w:rPr>
                      <w:rFonts w:ascii="Segoe UI" w:hAnsi="Segoe UI" w:cs="Segoe UI"/>
                      <w:b/>
                      <w:sz w:val="20"/>
                      <w:szCs w:val="20"/>
                      <w:lang w:eastAsia="en-AU"/>
                    </w:rPr>
                  </w:pPr>
                  <w:r w:rsidRPr="00C80FD9">
                    <w:rPr>
                      <w:rFonts w:ascii="Segoe UI" w:hAnsi="Segoe UI" w:cs="Segoe UI"/>
                      <w:b/>
                      <w:sz w:val="20"/>
                      <w:szCs w:val="20"/>
                      <w:lang w:eastAsia="en-AU"/>
                    </w:rPr>
                    <w:t xml:space="preserve">Volume </w:t>
                  </w:r>
                  <w:r>
                    <w:rPr>
                      <w:rFonts w:ascii="Segoe UI" w:hAnsi="Segoe UI" w:cs="Segoe UI"/>
                      <w:b/>
                      <w:sz w:val="20"/>
                      <w:szCs w:val="20"/>
                      <w:lang w:eastAsia="en-AU"/>
                    </w:rPr>
                    <w:t>u</w:t>
                  </w:r>
                  <w:r w:rsidRPr="00C80FD9">
                    <w:rPr>
                      <w:rFonts w:ascii="Segoe UI" w:hAnsi="Segoe UI" w:cs="Segoe UI"/>
                      <w:b/>
                      <w:sz w:val="20"/>
                      <w:szCs w:val="20"/>
                      <w:lang w:eastAsia="en-AU"/>
                    </w:rPr>
                    <w:t xml:space="preserve">sage </w:t>
                  </w:r>
                  <w:r>
                    <w:rPr>
                      <w:rFonts w:ascii="Segoe UI" w:hAnsi="Segoe UI" w:cs="Segoe UI"/>
                      <w:b/>
                      <w:sz w:val="20"/>
                      <w:szCs w:val="20"/>
                      <w:lang w:eastAsia="en-AU"/>
                    </w:rPr>
                    <w:t>t</w:t>
                  </w:r>
                  <w:r w:rsidRPr="00C80FD9">
                    <w:rPr>
                      <w:rFonts w:ascii="Segoe UI" w:hAnsi="Segoe UI" w:cs="Segoe UI"/>
                      <w:b/>
                      <w:sz w:val="20"/>
                      <w:szCs w:val="20"/>
                      <w:lang w:eastAsia="en-AU"/>
                    </w:rPr>
                    <w:t>ype</w:t>
                  </w:r>
                </w:p>
              </w:tc>
              <w:tc>
                <w:tcPr>
                  <w:tcW w:w="7736" w:type="dxa"/>
                </w:tcPr>
                <w:p w14:paraId="67C6498C" w14:textId="77777777" w:rsidR="007A0DED"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Select the correct volume usage type: primary or archive. Select primary volumes for data that is expected to be used</w:t>
                  </w:r>
                  <w:r>
                    <w:rPr>
                      <w:rFonts w:ascii="Segoe UI" w:hAnsi="Segoe UI" w:cs="Segoe UI"/>
                      <w:sz w:val="20"/>
                      <w:szCs w:val="20"/>
                      <w:lang w:eastAsia="en-AU"/>
                    </w:rPr>
                    <w:t>,</w:t>
                  </w:r>
                  <w:r w:rsidRPr="00B34E24">
                    <w:rPr>
                      <w:rFonts w:ascii="Segoe UI" w:hAnsi="Segoe UI" w:cs="Segoe UI"/>
                      <w:sz w:val="20"/>
                      <w:szCs w:val="20"/>
                      <w:lang w:eastAsia="en-AU"/>
                    </w:rPr>
                    <w:t xml:space="preserve"> </w:t>
                  </w:r>
                  <w:r>
                    <w:rPr>
                      <w:rFonts w:ascii="Segoe UI" w:hAnsi="Segoe UI" w:cs="Segoe UI"/>
                      <w:sz w:val="20"/>
                      <w:szCs w:val="20"/>
                      <w:lang w:eastAsia="en-AU"/>
                    </w:rPr>
                    <w:t>and select</w:t>
                  </w:r>
                  <w:r w:rsidRPr="00B34E24">
                    <w:rPr>
                      <w:rFonts w:ascii="Segoe UI" w:hAnsi="Segoe UI" w:cs="Segoe UI"/>
                      <w:sz w:val="20"/>
                      <w:szCs w:val="20"/>
                      <w:lang w:eastAsia="en-AU"/>
                    </w:rPr>
                    <w:t xml:space="preserve"> archiv</w:t>
                  </w:r>
                  <w:r>
                    <w:rPr>
                      <w:rFonts w:ascii="Segoe UI" w:hAnsi="Segoe UI" w:cs="Segoe UI"/>
                      <w:sz w:val="20"/>
                      <w:szCs w:val="20"/>
                      <w:lang w:eastAsia="en-AU"/>
                    </w:rPr>
                    <w:t>e</w:t>
                  </w:r>
                  <w:r w:rsidRPr="00B34E24">
                    <w:rPr>
                      <w:rFonts w:ascii="Segoe UI" w:hAnsi="Segoe UI" w:cs="Segoe UI"/>
                      <w:sz w:val="20"/>
                      <w:szCs w:val="20"/>
                      <w:lang w:eastAsia="en-AU"/>
                    </w:rPr>
                    <w:t xml:space="preserve"> volumes for data that is not expected to be used or </w:t>
                  </w:r>
                  <w:r>
                    <w:rPr>
                      <w:rFonts w:ascii="Segoe UI" w:hAnsi="Segoe UI" w:cs="Segoe UI"/>
                      <w:sz w:val="20"/>
                      <w:szCs w:val="20"/>
                      <w:lang w:eastAsia="en-AU"/>
                    </w:rPr>
                    <w:t xml:space="preserve">is </w:t>
                  </w:r>
                  <w:r w:rsidRPr="00B34E24">
                    <w:rPr>
                      <w:rFonts w:ascii="Segoe UI" w:hAnsi="Segoe UI" w:cs="Segoe UI"/>
                      <w:sz w:val="20"/>
                      <w:szCs w:val="20"/>
                      <w:lang w:eastAsia="en-AU"/>
                    </w:rPr>
                    <w:t xml:space="preserve">already classified as archival data. </w:t>
                  </w:r>
                </w:p>
                <w:p w14:paraId="64EB3727" w14:textId="7D4DB770" w:rsidR="007A0DED" w:rsidRPr="00B34E24" w:rsidRDefault="007A0DED" w:rsidP="007A0DED">
                  <w:pPr>
                    <w:pStyle w:val="NormalWeb"/>
                    <w:rPr>
                      <w:rFonts w:ascii="Segoe UI" w:hAnsi="Segoe UI" w:cs="Segoe UI"/>
                      <w:sz w:val="20"/>
                      <w:szCs w:val="20"/>
                      <w:lang w:eastAsia="en-AU"/>
                    </w:rPr>
                  </w:pPr>
                  <w:r>
                    <w:rPr>
                      <w:rFonts w:ascii="Segoe UI" w:hAnsi="Segoe UI" w:cs="Segoe UI"/>
                      <w:sz w:val="20"/>
                      <w:szCs w:val="20"/>
                      <w:lang w:eastAsia="en-AU"/>
                    </w:rPr>
                    <w:t>Although</w:t>
                  </w:r>
                  <w:r w:rsidRPr="00B34E24">
                    <w:rPr>
                      <w:rFonts w:ascii="Segoe UI" w:hAnsi="Segoe UI" w:cs="Segoe UI"/>
                      <w:sz w:val="20"/>
                      <w:szCs w:val="20"/>
                      <w:lang w:eastAsia="en-AU"/>
                    </w:rPr>
                    <w:t xml:space="preserve"> the tiering algorithm does not change for primary versus archiv</w:t>
                  </w:r>
                  <w:r>
                    <w:rPr>
                      <w:rFonts w:ascii="Segoe UI" w:hAnsi="Segoe UI" w:cs="Segoe UI"/>
                      <w:sz w:val="20"/>
                      <w:szCs w:val="20"/>
                      <w:lang w:eastAsia="en-AU"/>
                    </w:rPr>
                    <w:t>e</w:t>
                  </w:r>
                  <w:r w:rsidRPr="00B34E24">
                    <w:rPr>
                      <w:rFonts w:ascii="Segoe UI" w:hAnsi="Segoe UI" w:cs="Segoe UI"/>
                      <w:sz w:val="20"/>
                      <w:szCs w:val="20"/>
                      <w:lang w:eastAsia="en-AU"/>
                    </w:rPr>
                    <w:t xml:space="preserve"> volumes, the block size is adjusted to expedite data movement to the cloud. </w:t>
                  </w:r>
                  <w:r>
                    <w:rPr>
                      <w:rFonts w:ascii="Segoe UI" w:hAnsi="Segoe UI" w:cs="Segoe UI"/>
                      <w:sz w:val="20"/>
                      <w:szCs w:val="20"/>
                      <w:lang w:eastAsia="en-AU"/>
                    </w:rPr>
                    <w:t xml:space="preserve">The </w:t>
                  </w:r>
                  <w:r w:rsidRPr="00B34E24">
                    <w:rPr>
                      <w:rFonts w:ascii="Segoe UI" w:hAnsi="Segoe UI" w:cs="Segoe UI"/>
                      <w:sz w:val="20"/>
                      <w:szCs w:val="20"/>
                      <w:lang w:eastAsia="en-AU"/>
                    </w:rPr>
                    <w:t xml:space="preserve">chunk size </w:t>
                  </w:r>
                  <w:r>
                    <w:rPr>
                      <w:rFonts w:ascii="Segoe UI" w:hAnsi="Segoe UI" w:cs="Segoe UI"/>
                      <w:sz w:val="20"/>
                      <w:szCs w:val="20"/>
                      <w:lang w:eastAsia="en-AU"/>
                    </w:rPr>
                    <w:t>for p</w:t>
                  </w:r>
                  <w:r w:rsidRPr="00B34E24">
                    <w:rPr>
                      <w:rFonts w:ascii="Segoe UI" w:hAnsi="Segoe UI" w:cs="Segoe UI"/>
                      <w:sz w:val="20"/>
                      <w:szCs w:val="20"/>
                      <w:lang w:eastAsia="en-AU"/>
                    </w:rPr>
                    <w:t>rimary volume</w:t>
                  </w:r>
                  <w:r>
                    <w:rPr>
                      <w:rFonts w:ascii="Segoe UI" w:hAnsi="Segoe UI" w:cs="Segoe UI"/>
                      <w:sz w:val="20"/>
                      <w:szCs w:val="20"/>
                      <w:lang w:eastAsia="en-AU"/>
                    </w:rPr>
                    <w:t>s</w:t>
                  </w:r>
                  <w:r w:rsidRPr="00B34E24">
                    <w:rPr>
                      <w:rFonts w:ascii="Segoe UI" w:hAnsi="Segoe UI" w:cs="Segoe UI"/>
                      <w:sz w:val="20"/>
                      <w:szCs w:val="20"/>
                      <w:lang w:eastAsia="en-AU"/>
                    </w:rPr>
                    <w:t xml:space="preserve"> is</w:t>
                  </w:r>
                  <w:r>
                    <w:rPr>
                      <w:rFonts w:ascii="Segoe UI" w:hAnsi="Segoe UI" w:cs="Segoe UI"/>
                      <w:sz w:val="20"/>
                      <w:szCs w:val="20"/>
                      <w:lang w:eastAsia="en-AU"/>
                    </w:rPr>
                    <w:t> 6</w:t>
                  </w:r>
                  <w:r w:rsidRPr="00B34E24">
                    <w:rPr>
                      <w:rFonts w:ascii="Segoe UI" w:hAnsi="Segoe UI" w:cs="Segoe UI"/>
                      <w:sz w:val="20"/>
                      <w:szCs w:val="20"/>
                      <w:lang w:eastAsia="en-AU"/>
                    </w:rPr>
                    <w:t>4</w:t>
                  </w:r>
                  <w:r>
                    <w:rPr>
                      <w:rFonts w:ascii="Segoe UI" w:hAnsi="Segoe UI" w:cs="Segoe UI"/>
                      <w:sz w:val="20"/>
                      <w:szCs w:val="20"/>
                      <w:lang w:eastAsia="en-AU"/>
                    </w:rPr>
                    <w:t> </w:t>
                  </w:r>
                  <w:r w:rsidRPr="00B34E24">
                    <w:rPr>
                      <w:rFonts w:ascii="Segoe UI" w:hAnsi="Segoe UI" w:cs="Segoe UI"/>
                      <w:sz w:val="20"/>
                      <w:szCs w:val="20"/>
                      <w:lang w:eastAsia="en-AU"/>
                    </w:rPr>
                    <w:t>K</w:t>
                  </w:r>
                  <w:r>
                    <w:rPr>
                      <w:rFonts w:ascii="Segoe UI" w:hAnsi="Segoe UI" w:cs="Segoe UI"/>
                      <w:sz w:val="20"/>
                      <w:szCs w:val="20"/>
                      <w:lang w:eastAsia="en-AU"/>
                    </w:rPr>
                    <w:t>B,</w:t>
                  </w:r>
                  <w:r w:rsidRPr="00B34E24">
                    <w:rPr>
                      <w:rFonts w:ascii="Segoe UI" w:hAnsi="Segoe UI" w:cs="Segoe UI"/>
                      <w:sz w:val="20"/>
                      <w:szCs w:val="20"/>
                      <w:lang w:eastAsia="en-AU"/>
                    </w:rPr>
                    <w:t xml:space="preserve"> and chunk size for archiv</w:t>
                  </w:r>
                  <w:r>
                    <w:rPr>
                      <w:rFonts w:ascii="Segoe UI" w:hAnsi="Segoe UI" w:cs="Segoe UI"/>
                      <w:sz w:val="20"/>
                      <w:szCs w:val="20"/>
                      <w:lang w:eastAsia="en-AU"/>
                    </w:rPr>
                    <w:t>e</w:t>
                  </w:r>
                  <w:r w:rsidRPr="00B34E24">
                    <w:rPr>
                      <w:rFonts w:ascii="Segoe UI" w:hAnsi="Segoe UI" w:cs="Segoe UI"/>
                      <w:sz w:val="20"/>
                      <w:szCs w:val="20"/>
                      <w:lang w:eastAsia="en-AU"/>
                    </w:rPr>
                    <w:t xml:space="preserve"> volumes in</w:t>
                  </w:r>
                  <w:r>
                    <w:rPr>
                      <w:rFonts w:ascii="Segoe UI" w:hAnsi="Segoe UI" w:cs="Segoe UI"/>
                      <w:sz w:val="20"/>
                      <w:szCs w:val="20"/>
                      <w:lang w:eastAsia="en-AU"/>
                    </w:rPr>
                    <w:t> 5</w:t>
                  </w:r>
                  <w:r w:rsidRPr="00B34E24">
                    <w:rPr>
                      <w:rFonts w:ascii="Segoe UI" w:hAnsi="Segoe UI" w:cs="Segoe UI"/>
                      <w:sz w:val="20"/>
                      <w:szCs w:val="20"/>
                      <w:lang w:eastAsia="en-AU"/>
                    </w:rPr>
                    <w:t>12</w:t>
                  </w:r>
                  <w:r>
                    <w:rPr>
                      <w:rFonts w:ascii="Segoe UI" w:hAnsi="Segoe UI" w:cs="Segoe UI"/>
                      <w:sz w:val="20"/>
                      <w:szCs w:val="20"/>
                      <w:lang w:eastAsia="en-AU"/>
                    </w:rPr>
                    <w:t> </w:t>
                  </w:r>
                  <w:r w:rsidRPr="00B34E24">
                    <w:rPr>
                      <w:rFonts w:ascii="Segoe UI" w:hAnsi="Segoe UI" w:cs="Segoe UI"/>
                      <w:sz w:val="20"/>
                      <w:szCs w:val="20"/>
                      <w:lang w:eastAsia="en-AU"/>
                    </w:rPr>
                    <w:t>K</w:t>
                  </w:r>
                  <w:r>
                    <w:rPr>
                      <w:rFonts w:ascii="Segoe UI" w:hAnsi="Segoe UI" w:cs="Segoe UI"/>
                      <w:sz w:val="20"/>
                      <w:szCs w:val="20"/>
                      <w:lang w:eastAsia="en-AU"/>
                    </w:rPr>
                    <w:t>B</w:t>
                  </w:r>
                  <w:r w:rsidRPr="00B34E24">
                    <w:rPr>
                      <w:rFonts w:ascii="Segoe UI" w:hAnsi="Segoe UI" w:cs="Segoe UI"/>
                      <w:sz w:val="20"/>
                      <w:szCs w:val="20"/>
                      <w:lang w:eastAsia="en-AU"/>
                    </w:rPr>
                    <w:t xml:space="preserve">. With larger chunks sizes for archive volumes, when a chunk tiers to the </w:t>
                  </w:r>
                  <w:r>
                    <w:rPr>
                      <w:rFonts w:ascii="Segoe UI" w:hAnsi="Segoe UI" w:cs="Segoe UI"/>
                      <w:sz w:val="20"/>
                      <w:szCs w:val="20"/>
                      <w:lang w:eastAsia="en-AU"/>
                    </w:rPr>
                    <w:t>c</w:t>
                  </w:r>
                  <w:r w:rsidRPr="00B34E24">
                    <w:rPr>
                      <w:rFonts w:ascii="Segoe UI" w:hAnsi="Segoe UI" w:cs="Segoe UI"/>
                      <w:sz w:val="20"/>
                      <w:szCs w:val="20"/>
                      <w:lang w:eastAsia="en-AU"/>
                    </w:rPr>
                    <w:t>loud</w:t>
                  </w:r>
                  <w:r>
                    <w:rPr>
                      <w:rFonts w:ascii="Segoe UI" w:hAnsi="Segoe UI" w:cs="Segoe UI"/>
                      <w:sz w:val="20"/>
                      <w:szCs w:val="20"/>
                      <w:lang w:eastAsia="en-AU"/>
                    </w:rPr>
                    <w:t>,</w:t>
                  </w:r>
                  <w:r w:rsidRPr="00B34E24">
                    <w:rPr>
                      <w:rFonts w:ascii="Segoe UI" w:hAnsi="Segoe UI" w:cs="Segoe UI"/>
                      <w:sz w:val="20"/>
                      <w:szCs w:val="20"/>
                      <w:lang w:eastAsia="en-AU"/>
                    </w:rPr>
                    <w:t xml:space="preserve"> more data </w:t>
                  </w:r>
                  <w:r>
                    <w:rPr>
                      <w:rFonts w:ascii="Segoe UI" w:hAnsi="Segoe UI" w:cs="Segoe UI"/>
                      <w:sz w:val="20"/>
                      <w:szCs w:val="20"/>
                      <w:lang w:eastAsia="en-AU"/>
                    </w:rPr>
                    <w:t>is</w:t>
                  </w:r>
                  <w:r w:rsidRPr="00B34E24">
                    <w:rPr>
                      <w:rFonts w:ascii="Segoe UI" w:hAnsi="Segoe UI" w:cs="Segoe UI"/>
                      <w:sz w:val="20"/>
                      <w:szCs w:val="20"/>
                      <w:lang w:eastAsia="en-AU"/>
                    </w:rPr>
                    <w:t xml:space="preserve"> transferred to the </w:t>
                  </w:r>
                  <w:r>
                    <w:rPr>
                      <w:rFonts w:ascii="Segoe UI" w:hAnsi="Segoe UI" w:cs="Segoe UI"/>
                      <w:sz w:val="20"/>
                      <w:szCs w:val="20"/>
                      <w:lang w:eastAsia="en-AU"/>
                    </w:rPr>
                    <w:t>c</w:t>
                  </w:r>
                  <w:r w:rsidRPr="00B34E24">
                    <w:rPr>
                      <w:rFonts w:ascii="Segoe UI" w:hAnsi="Segoe UI" w:cs="Segoe UI"/>
                      <w:sz w:val="20"/>
                      <w:szCs w:val="20"/>
                      <w:lang w:eastAsia="en-AU"/>
                    </w:rPr>
                    <w:t>loud as compared to primary volumes with smaller chunk sizes.</w:t>
                  </w:r>
                </w:p>
              </w:tc>
            </w:tr>
            <w:tr w:rsidR="007A0DED" w:rsidRPr="004B3E51" w14:paraId="0F8541C4" w14:textId="77777777" w:rsidTr="00832729">
              <w:tc>
                <w:tcPr>
                  <w:tcW w:w="1601" w:type="dxa"/>
                  <w:vMerge w:val="restart"/>
                </w:tcPr>
                <w:p w14:paraId="391BCB37" w14:textId="77777777" w:rsidR="007A0DED" w:rsidRPr="00C80FD9" w:rsidRDefault="007A0DED" w:rsidP="007A0DED">
                  <w:pPr>
                    <w:pStyle w:val="NormalWeb"/>
                    <w:rPr>
                      <w:rFonts w:ascii="Segoe UI" w:hAnsi="Segoe UI" w:cs="Segoe UI"/>
                      <w:b/>
                      <w:sz w:val="20"/>
                      <w:szCs w:val="20"/>
                      <w:lang w:eastAsia="en-AU"/>
                    </w:rPr>
                  </w:pPr>
                  <w:r w:rsidRPr="00C80FD9">
                    <w:rPr>
                      <w:rFonts w:ascii="Segoe UI" w:hAnsi="Segoe UI" w:cs="Segoe UI"/>
                      <w:b/>
                      <w:sz w:val="20"/>
                      <w:szCs w:val="20"/>
                      <w:lang w:eastAsia="en-AU"/>
                    </w:rPr>
                    <w:t xml:space="preserve">NTFS </w:t>
                  </w:r>
                  <w:r>
                    <w:rPr>
                      <w:rFonts w:ascii="Segoe UI" w:hAnsi="Segoe UI" w:cs="Segoe UI"/>
                      <w:b/>
                      <w:sz w:val="20"/>
                      <w:szCs w:val="20"/>
                      <w:lang w:eastAsia="en-AU"/>
                    </w:rPr>
                    <w:t>a</w:t>
                  </w:r>
                  <w:r w:rsidRPr="00C80FD9">
                    <w:rPr>
                      <w:rFonts w:ascii="Segoe UI" w:hAnsi="Segoe UI" w:cs="Segoe UI"/>
                      <w:b/>
                      <w:sz w:val="20"/>
                      <w:szCs w:val="20"/>
                      <w:lang w:eastAsia="en-AU"/>
                    </w:rPr>
                    <w:t xml:space="preserve">llocation </w:t>
                  </w:r>
                  <w:r>
                    <w:rPr>
                      <w:rFonts w:ascii="Segoe UI" w:hAnsi="Segoe UI" w:cs="Segoe UI"/>
                      <w:b/>
                      <w:sz w:val="20"/>
                      <w:szCs w:val="20"/>
                      <w:lang w:eastAsia="en-AU"/>
                    </w:rPr>
                    <w:t>u</w:t>
                  </w:r>
                  <w:r w:rsidRPr="00C80FD9">
                    <w:rPr>
                      <w:rFonts w:ascii="Segoe UI" w:hAnsi="Segoe UI" w:cs="Segoe UI"/>
                      <w:b/>
                      <w:sz w:val="20"/>
                      <w:szCs w:val="20"/>
                      <w:lang w:eastAsia="en-AU"/>
                    </w:rPr>
                    <w:t xml:space="preserve">nit </w:t>
                  </w:r>
                  <w:r>
                    <w:rPr>
                      <w:rFonts w:ascii="Segoe UI" w:hAnsi="Segoe UI" w:cs="Segoe UI"/>
                      <w:b/>
                      <w:sz w:val="20"/>
                      <w:szCs w:val="20"/>
                      <w:lang w:eastAsia="en-AU"/>
                    </w:rPr>
                    <w:t>s</w:t>
                  </w:r>
                  <w:r w:rsidRPr="00C80FD9">
                    <w:rPr>
                      <w:rFonts w:ascii="Segoe UI" w:hAnsi="Segoe UI" w:cs="Segoe UI"/>
                      <w:b/>
                      <w:sz w:val="20"/>
                      <w:szCs w:val="20"/>
                      <w:lang w:eastAsia="en-AU"/>
                    </w:rPr>
                    <w:t>ize</w:t>
                  </w:r>
                </w:p>
                <w:p w14:paraId="277E1584" w14:textId="1EDBD021" w:rsidR="007A0DED" w:rsidRPr="00C80FD9" w:rsidRDefault="007A0DED" w:rsidP="007A0DED">
                  <w:pPr>
                    <w:pStyle w:val="NormalWeb"/>
                    <w:rPr>
                      <w:rFonts w:ascii="Segoe UI" w:hAnsi="Segoe UI" w:cs="Segoe UI"/>
                      <w:b/>
                      <w:sz w:val="20"/>
                      <w:szCs w:val="20"/>
                      <w:lang w:eastAsia="en-AU"/>
                    </w:rPr>
                  </w:pPr>
                </w:p>
              </w:tc>
              <w:tc>
                <w:tcPr>
                  <w:tcW w:w="7736" w:type="dxa"/>
                </w:tcPr>
                <w:p w14:paraId="2B0C3CCD" w14:textId="6061D0F5" w:rsidR="007A0DED" w:rsidRPr="00B34E24" w:rsidRDefault="007A0DED" w:rsidP="007A0DED">
                  <w:pPr>
                    <w:pStyle w:val="NormalWeb"/>
                    <w:rPr>
                      <w:rFonts w:ascii="Segoe UI" w:hAnsi="Segoe UI" w:cs="Segoe UI"/>
                      <w:b/>
                      <w:sz w:val="20"/>
                      <w:szCs w:val="20"/>
                      <w:lang w:eastAsia="en-AU"/>
                    </w:rPr>
                  </w:pPr>
                  <w:r w:rsidRPr="007A0DED">
                    <w:rPr>
                      <w:rFonts w:ascii="Segoe UI" w:hAnsi="Segoe UI" w:cs="Segoe UI"/>
                      <w:b/>
                      <w:sz w:val="20"/>
                      <w:szCs w:val="20"/>
                      <w:lang w:eastAsia="en-AU"/>
                    </w:rPr>
                    <w:t>For all StorSimple volumes, regardless of the volume type, format with a 64 KB allocation unit size</w:t>
                  </w:r>
                  <w:r w:rsidRPr="001E3B96">
                    <w:rPr>
                      <w:rFonts w:ascii="Segoe UI" w:hAnsi="Segoe UI" w:cs="Segoe UI"/>
                      <w:sz w:val="20"/>
                      <w:szCs w:val="20"/>
                      <w:lang w:eastAsia="en-AU"/>
                    </w:rPr>
                    <w:t>.</w:t>
                  </w:r>
                </w:p>
              </w:tc>
            </w:tr>
            <w:tr w:rsidR="007A0DED" w:rsidRPr="004B3E51" w14:paraId="68D335E8" w14:textId="77777777" w:rsidTr="00832729">
              <w:trPr>
                <w:cnfStyle w:val="000000100000" w:firstRow="0" w:lastRow="0" w:firstColumn="0" w:lastColumn="0" w:oddVBand="0" w:evenVBand="0" w:oddHBand="1" w:evenHBand="0" w:firstRowFirstColumn="0" w:firstRowLastColumn="0" w:lastRowFirstColumn="0" w:lastRowLastColumn="0"/>
              </w:trPr>
              <w:tc>
                <w:tcPr>
                  <w:tcW w:w="1601" w:type="dxa"/>
                  <w:vMerge/>
                </w:tcPr>
                <w:p w14:paraId="0638C603" w14:textId="2431960C" w:rsidR="007A0DED" w:rsidRPr="00C80FD9" w:rsidRDefault="007A0DED" w:rsidP="007A0DED">
                  <w:pPr>
                    <w:pStyle w:val="NormalWeb"/>
                    <w:rPr>
                      <w:rFonts w:ascii="Segoe UI" w:hAnsi="Segoe UI" w:cs="Segoe UI"/>
                      <w:b/>
                      <w:sz w:val="20"/>
                      <w:szCs w:val="20"/>
                      <w:lang w:eastAsia="en-AU"/>
                    </w:rPr>
                  </w:pPr>
                </w:p>
              </w:tc>
              <w:tc>
                <w:tcPr>
                  <w:tcW w:w="7736" w:type="dxa"/>
                </w:tcPr>
                <w:p w14:paraId="4B111158" w14:textId="6B2A0D4B"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Always select quick format</w:t>
                  </w:r>
                  <w:r>
                    <w:rPr>
                      <w:rFonts w:ascii="Segoe UI" w:hAnsi="Segoe UI" w:cs="Segoe UI"/>
                      <w:sz w:val="20"/>
                      <w:szCs w:val="20"/>
                      <w:lang w:eastAsia="en-AU"/>
                    </w:rPr>
                    <w:t>ting</w:t>
                  </w:r>
                  <w:r w:rsidRPr="00B34E24">
                    <w:rPr>
                      <w:rFonts w:ascii="Segoe UI" w:hAnsi="Segoe UI" w:cs="Segoe UI"/>
                      <w:sz w:val="20"/>
                      <w:szCs w:val="20"/>
                      <w:lang w:eastAsia="en-AU"/>
                    </w:rPr>
                    <w:t xml:space="preserve"> when formatting the volume.</w:t>
                  </w:r>
                  <w:r>
                    <w:rPr>
                      <w:rFonts w:ascii="Segoe UI" w:hAnsi="Segoe UI" w:cs="Segoe UI"/>
                      <w:sz w:val="20"/>
                      <w:szCs w:val="20"/>
                      <w:lang w:eastAsia="en-AU"/>
                    </w:rPr>
                    <w:t xml:space="preserve"> </w:t>
                  </w:r>
                  <w:r w:rsidRPr="00B34E24">
                    <w:rPr>
                      <w:rFonts w:ascii="Segoe UI" w:hAnsi="Segoe UI" w:cs="Segoe UI"/>
                      <w:sz w:val="20"/>
                      <w:szCs w:val="20"/>
                      <w:lang w:eastAsia="en-AU"/>
                    </w:rPr>
                    <w:t>Windows Server</w:t>
                  </w:r>
                  <w:r>
                    <w:rPr>
                      <w:rFonts w:ascii="Segoe UI" w:hAnsi="Segoe UI" w:cs="Segoe UI"/>
                      <w:sz w:val="20"/>
                      <w:szCs w:val="20"/>
                      <w:lang w:eastAsia="en-AU"/>
                    </w:rPr>
                    <w:t> 2</w:t>
                  </w:r>
                  <w:r w:rsidRPr="00B34E24">
                    <w:rPr>
                      <w:rFonts w:ascii="Segoe UI" w:hAnsi="Segoe UI" w:cs="Segoe UI"/>
                      <w:sz w:val="20"/>
                      <w:szCs w:val="20"/>
                      <w:lang w:eastAsia="en-AU"/>
                    </w:rPr>
                    <w:t xml:space="preserve">012 </w:t>
                  </w:r>
                  <w:r>
                    <w:rPr>
                      <w:rFonts w:ascii="Segoe UI" w:hAnsi="Segoe UI" w:cs="Segoe UI"/>
                      <w:sz w:val="20"/>
                      <w:szCs w:val="20"/>
                      <w:lang w:eastAsia="en-AU"/>
                    </w:rPr>
                    <w:t xml:space="preserve">and later </w:t>
                  </w:r>
                  <w:r w:rsidRPr="00B34E24">
                    <w:rPr>
                      <w:rFonts w:ascii="Segoe UI" w:hAnsi="Segoe UI" w:cs="Segoe UI"/>
                      <w:sz w:val="20"/>
                      <w:szCs w:val="20"/>
                      <w:lang w:eastAsia="en-AU"/>
                    </w:rPr>
                    <w:t>uses GPT by default.</w:t>
                  </w:r>
                </w:p>
              </w:tc>
            </w:tr>
            <w:tr w:rsidR="007A0DED" w:rsidRPr="004B3E51" w14:paraId="1E284336" w14:textId="77777777" w:rsidTr="00832729">
              <w:tc>
                <w:tcPr>
                  <w:tcW w:w="1601" w:type="dxa"/>
                  <w:vMerge/>
                </w:tcPr>
                <w:p w14:paraId="09C7F66D" w14:textId="4BD0773F" w:rsidR="007A0DED" w:rsidRPr="00C80FD9" w:rsidRDefault="007A0DED" w:rsidP="007A0DED">
                  <w:pPr>
                    <w:pStyle w:val="NormalWeb"/>
                    <w:rPr>
                      <w:rFonts w:ascii="Segoe UI" w:hAnsi="Segoe UI" w:cs="Segoe UI"/>
                      <w:b/>
                      <w:sz w:val="20"/>
                      <w:szCs w:val="20"/>
                      <w:lang w:eastAsia="en-AU"/>
                    </w:rPr>
                  </w:pPr>
                </w:p>
              </w:tc>
              <w:tc>
                <w:tcPr>
                  <w:tcW w:w="7736" w:type="dxa"/>
                </w:tcPr>
                <w:p w14:paraId="574571B6" w14:textId="6C6F845A"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Do not use spanned volumes. They are not supported by StorSimple.</w:t>
                  </w:r>
                </w:p>
              </w:tc>
            </w:tr>
            <w:tr w:rsidR="007A0DED" w:rsidRPr="004B3E51" w14:paraId="2D8D909C" w14:textId="77777777" w:rsidTr="00832729">
              <w:trPr>
                <w:cnfStyle w:val="000000100000" w:firstRow="0" w:lastRow="0" w:firstColumn="0" w:lastColumn="0" w:oddVBand="0" w:evenVBand="0" w:oddHBand="1" w:evenHBand="0" w:firstRowFirstColumn="0" w:firstRowLastColumn="0" w:lastRowFirstColumn="0" w:lastRowLastColumn="0"/>
              </w:trPr>
              <w:tc>
                <w:tcPr>
                  <w:tcW w:w="1601" w:type="dxa"/>
                  <w:vMerge w:val="restart"/>
                </w:tcPr>
                <w:p w14:paraId="09A73E45" w14:textId="224CC694" w:rsidR="007A0DED" w:rsidRPr="00C80FD9" w:rsidRDefault="007A0DED" w:rsidP="007A0DED">
                  <w:pPr>
                    <w:pStyle w:val="NormalWeb"/>
                    <w:rPr>
                      <w:rFonts w:ascii="Segoe UI" w:hAnsi="Segoe UI" w:cs="Segoe UI"/>
                      <w:b/>
                      <w:sz w:val="20"/>
                      <w:szCs w:val="20"/>
                      <w:lang w:eastAsia="en-AU"/>
                    </w:rPr>
                  </w:pPr>
                  <w:r w:rsidRPr="00C80FD9">
                    <w:rPr>
                      <w:rFonts w:ascii="Segoe UI" w:hAnsi="Segoe UI" w:cs="Segoe UI"/>
                      <w:b/>
                      <w:sz w:val="20"/>
                      <w:szCs w:val="20"/>
                      <w:lang w:eastAsia="en-AU"/>
                    </w:rPr>
                    <w:t xml:space="preserve">Index </w:t>
                  </w:r>
                  <w:r>
                    <w:rPr>
                      <w:rFonts w:ascii="Segoe UI" w:hAnsi="Segoe UI" w:cs="Segoe UI"/>
                      <w:b/>
                      <w:sz w:val="20"/>
                      <w:szCs w:val="20"/>
                      <w:lang w:eastAsia="en-AU"/>
                    </w:rPr>
                    <w:t>s</w:t>
                  </w:r>
                  <w:r w:rsidRPr="00C80FD9">
                    <w:rPr>
                      <w:rFonts w:ascii="Segoe UI" w:hAnsi="Segoe UI" w:cs="Segoe UI"/>
                      <w:b/>
                      <w:sz w:val="20"/>
                      <w:szCs w:val="20"/>
                      <w:lang w:eastAsia="en-AU"/>
                    </w:rPr>
                    <w:t xml:space="preserve">earch and </w:t>
                  </w:r>
                  <w:r>
                    <w:rPr>
                      <w:rFonts w:ascii="Segoe UI" w:hAnsi="Segoe UI" w:cs="Segoe UI"/>
                      <w:b/>
                      <w:sz w:val="20"/>
                      <w:szCs w:val="20"/>
                      <w:lang w:eastAsia="en-AU"/>
                    </w:rPr>
                    <w:t>v</w:t>
                  </w:r>
                  <w:r w:rsidRPr="00C80FD9">
                    <w:rPr>
                      <w:rFonts w:ascii="Segoe UI" w:hAnsi="Segoe UI" w:cs="Segoe UI"/>
                      <w:b/>
                      <w:sz w:val="20"/>
                      <w:szCs w:val="20"/>
                      <w:lang w:eastAsia="en-AU"/>
                    </w:rPr>
                    <w:t xml:space="preserve">irus </w:t>
                  </w:r>
                  <w:r>
                    <w:rPr>
                      <w:rFonts w:ascii="Segoe UI" w:hAnsi="Segoe UI" w:cs="Segoe UI"/>
                      <w:b/>
                      <w:sz w:val="20"/>
                      <w:szCs w:val="20"/>
                      <w:lang w:eastAsia="en-AU"/>
                    </w:rPr>
                    <w:t>s</w:t>
                  </w:r>
                  <w:r w:rsidRPr="00C80FD9">
                    <w:rPr>
                      <w:rFonts w:ascii="Segoe UI" w:hAnsi="Segoe UI" w:cs="Segoe UI"/>
                      <w:b/>
                      <w:sz w:val="20"/>
                      <w:szCs w:val="20"/>
                      <w:lang w:eastAsia="en-AU"/>
                    </w:rPr>
                    <w:t>can</w:t>
                  </w:r>
                </w:p>
              </w:tc>
              <w:tc>
                <w:tcPr>
                  <w:tcW w:w="7736" w:type="dxa"/>
                </w:tcPr>
                <w:p w14:paraId="700C93C3" w14:textId="7BB70285"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 xml:space="preserve">Configure the index search or virus scan application to always perform incremental operations. An incremental operation means that only new data, </w:t>
                  </w:r>
                  <w:r>
                    <w:rPr>
                      <w:rFonts w:ascii="Segoe UI" w:hAnsi="Segoe UI" w:cs="Segoe UI"/>
                      <w:sz w:val="20"/>
                      <w:szCs w:val="20"/>
                      <w:lang w:eastAsia="en-AU"/>
                    </w:rPr>
                    <w:t>which</w:t>
                  </w:r>
                  <w:r w:rsidRPr="00B34E24">
                    <w:rPr>
                      <w:rFonts w:ascii="Segoe UI" w:hAnsi="Segoe UI" w:cs="Segoe UI"/>
                      <w:sz w:val="20"/>
                      <w:szCs w:val="20"/>
                      <w:lang w:eastAsia="en-AU"/>
                    </w:rPr>
                    <w:t xml:space="preserve"> is most likely still on the local tiers of StorSimple, is operated on by way of the index search or virus scan. The data that has been tiered to the cloud is not accessed during the incremental operation.</w:t>
                  </w:r>
                </w:p>
              </w:tc>
            </w:tr>
            <w:tr w:rsidR="007A0DED" w:rsidRPr="004B3E51" w14:paraId="12E8D3F0" w14:textId="77777777" w:rsidTr="00832729">
              <w:tc>
                <w:tcPr>
                  <w:tcW w:w="1601" w:type="dxa"/>
                  <w:vMerge/>
                </w:tcPr>
                <w:p w14:paraId="2AF17263" w14:textId="6F536ED7" w:rsidR="007A0DED" w:rsidRPr="00C80FD9" w:rsidRDefault="007A0DED" w:rsidP="007A0DED">
                  <w:pPr>
                    <w:pStyle w:val="NormalWeb"/>
                    <w:rPr>
                      <w:rFonts w:ascii="Segoe UI" w:hAnsi="Segoe UI" w:cs="Segoe UI"/>
                      <w:b/>
                      <w:sz w:val="20"/>
                      <w:szCs w:val="20"/>
                      <w:lang w:eastAsia="en-AU"/>
                    </w:rPr>
                  </w:pPr>
                </w:p>
              </w:tc>
              <w:tc>
                <w:tcPr>
                  <w:tcW w:w="7736" w:type="dxa"/>
                </w:tcPr>
                <w:p w14:paraId="0BBDFEE8" w14:textId="137C6BC3"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Disable any automatically configured full</w:t>
                  </w:r>
                  <w:r>
                    <w:rPr>
                      <w:rFonts w:ascii="Segoe UI" w:hAnsi="Segoe UI" w:cs="Segoe UI"/>
                      <w:sz w:val="20"/>
                      <w:szCs w:val="20"/>
                      <w:lang w:eastAsia="en-AU"/>
                    </w:rPr>
                    <w:t>-</w:t>
                  </w:r>
                  <w:r w:rsidRPr="00B34E24">
                    <w:rPr>
                      <w:rFonts w:ascii="Segoe UI" w:hAnsi="Segoe UI" w:cs="Segoe UI"/>
                      <w:sz w:val="20"/>
                      <w:szCs w:val="20"/>
                      <w:lang w:eastAsia="en-AU"/>
                    </w:rPr>
                    <w:t>scan operations.</w:t>
                  </w:r>
                </w:p>
              </w:tc>
            </w:tr>
            <w:tr w:rsidR="007A0DED" w:rsidRPr="004B3E51" w14:paraId="581B3C68" w14:textId="77777777" w:rsidTr="00832729">
              <w:trPr>
                <w:cnfStyle w:val="000000100000" w:firstRow="0" w:lastRow="0" w:firstColumn="0" w:lastColumn="0" w:oddVBand="0" w:evenVBand="0" w:oddHBand="1" w:evenHBand="0" w:firstRowFirstColumn="0" w:firstRowLastColumn="0" w:lastRowFirstColumn="0" w:lastRowLastColumn="0"/>
              </w:trPr>
              <w:tc>
                <w:tcPr>
                  <w:tcW w:w="1601" w:type="dxa"/>
                  <w:vMerge/>
                </w:tcPr>
                <w:p w14:paraId="091766DF" w14:textId="1EB3928A" w:rsidR="007A0DED" w:rsidRPr="00C80FD9" w:rsidRDefault="007A0DED" w:rsidP="007A0DED">
                  <w:pPr>
                    <w:pStyle w:val="NormalWeb"/>
                    <w:rPr>
                      <w:rFonts w:ascii="Segoe UI" w:hAnsi="Segoe UI" w:cs="Segoe UI"/>
                      <w:b/>
                      <w:sz w:val="20"/>
                      <w:szCs w:val="20"/>
                      <w:lang w:eastAsia="en-AU"/>
                    </w:rPr>
                  </w:pPr>
                </w:p>
              </w:tc>
              <w:tc>
                <w:tcPr>
                  <w:tcW w:w="7736" w:type="dxa"/>
                </w:tcPr>
                <w:p w14:paraId="61D233D4" w14:textId="2DFF6020"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Ensure the correct search filters and settings are configured so that only the intended types of files are scanned. For example, image files (JPEG, GIF, and TIFF) and engineering drawings should not be scanned during the incremental or full index rebuild.</w:t>
                  </w:r>
                </w:p>
              </w:tc>
            </w:tr>
            <w:tr w:rsidR="007A0DED" w:rsidRPr="004B3E51" w14:paraId="1C835DEA" w14:textId="77777777" w:rsidTr="00832729">
              <w:tc>
                <w:tcPr>
                  <w:tcW w:w="1601" w:type="dxa"/>
                  <w:vMerge w:val="restart"/>
                </w:tcPr>
                <w:p w14:paraId="27E94D4E" w14:textId="348BD128" w:rsidR="007A0DED" w:rsidRPr="00C80FD9" w:rsidRDefault="007A0DED" w:rsidP="007A0DED">
                  <w:pPr>
                    <w:pStyle w:val="NormalWeb"/>
                    <w:rPr>
                      <w:rFonts w:ascii="Segoe UI" w:hAnsi="Segoe UI" w:cs="Segoe UI"/>
                      <w:b/>
                      <w:sz w:val="20"/>
                      <w:szCs w:val="20"/>
                      <w:lang w:eastAsia="en-AU"/>
                    </w:rPr>
                  </w:pPr>
                  <w:r w:rsidRPr="00C80FD9">
                    <w:rPr>
                      <w:rFonts w:ascii="Segoe UI" w:hAnsi="Segoe UI" w:cs="Segoe UI"/>
                      <w:b/>
                      <w:sz w:val="20"/>
                      <w:szCs w:val="20"/>
                      <w:lang w:eastAsia="en-AU"/>
                    </w:rPr>
                    <w:t xml:space="preserve">Virtual </w:t>
                  </w:r>
                  <w:r>
                    <w:rPr>
                      <w:rFonts w:ascii="Segoe UI" w:hAnsi="Segoe UI" w:cs="Segoe UI"/>
                      <w:b/>
                      <w:sz w:val="20"/>
                      <w:szCs w:val="20"/>
                      <w:lang w:eastAsia="en-AU"/>
                    </w:rPr>
                    <w:t>d</w:t>
                  </w:r>
                  <w:r w:rsidRPr="00C80FD9">
                    <w:rPr>
                      <w:rFonts w:ascii="Segoe UI" w:hAnsi="Segoe UI" w:cs="Segoe UI"/>
                      <w:b/>
                      <w:sz w:val="20"/>
                      <w:szCs w:val="20"/>
                      <w:lang w:eastAsia="en-AU"/>
                    </w:rPr>
                    <w:t>evices</w:t>
                  </w:r>
                </w:p>
              </w:tc>
              <w:tc>
                <w:tcPr>
                  <w:tcW w:w="7736" w:type="dxa"/>
                </w:tcPr>
                <w:p w14:paraId="3C4775EA" w14:textId="27EF357C"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Create the StorSimple Virtual Appliance in the same geo</w:t>
                  </w:r>
                  <w:r>
                    <w:rPr>
                      <w:rFonts w:ascii="Segoe UI" w:hAnsi="Segoe UI" w:cs="Segoe UI"/>
                      <w:sz w:val="20"/>
                      <w:szCs w:val="20"/>
                      <w:lang w:eastAsia="en-AU"/>
                    </w:rPr>
                    <w:t>graphical region</w:t>
                  </w:r>
                  <w:r w:rsidRPr="00B34E24">
                    <w:rPr>
                      <w:rFonts w:ascii="Segoe UI" w:hAnsi="Segoe UI" w:cs="Segoe UI"/>
                      <w:sz w:val="20"/>
                      <w:szCs w:val="20"/>
                      <w:lang w:eastAsia="en-AU"/>
                    </w:rPr>
                    <w:t xml:space="preserve"> as the physical appliance that host</w:t>
                  </w:r>
                  <w:r>
                    <w:rPr>
                      <w:rFonts w:ascii="Segoe UI" w:hAnsi="Segoe UI" w:cs="Segoe UI"/>
                      <w:sz w:val="20"/>
                      <w:szCs w:val="20"/>
                      <w:lang w:eastAsia="en-AU"/>
                    </w:rPr>
                    <w:t>s</w:t>
                  </w:r>
                  <w:r w:rsidRPr="00B34E24">
                    <w:rPr>
                      <w:rFonts w:ascii="Segoe UI" w:hAnsi="Segoe UI" w:cs="Segoe UI"/>
                      <w:sz w:val="20"/>
                      <w:szCs w:val="20"/>
                      <w:lang w:eastAsia="en-AU"/>
                    </w:rPr>
                    <w:t xml:space="preserve"> the primary volumes that will be ported to the StorSimple Virtual Appliance. Specifically, the backups of the volumes need to have a storage account that is in the same geo</w:t>
                  </w:r>
                  <w:r>
                    <w:rPr>
                      <w:rFonts w:ascii="Segoe UI" w:hAnsi="Segoe UI" w:cs="Segoe UI"/>
                      <w:sz w:val="20"/>
                      <w:szCs w:val="20"/>
                      <w:lang w:eastAsia="en-AU"/>
                    </w:rPr>
                    <w:t>graphical region</w:t>
                  </w:r>
                  <w:r w:rsidRPr="00B34E24">
                    <w:rPr>
                      <w:rFonts w:ascii="Segoe UI" w:hAnsi="Segoe UI" w:cs="Segoe UI"/>
                      <w:sz w:val="20"/>
                      <w:szCs w:val="20"/>
                      <w:lang w:eastAsia="en-AU"/>
                    </w:rPr>
                    <w:t xml:space="preserve"> as the storage account for the StorSimple Virtual Appliance. If the StorSimple is deployed with a storage account in a different geo</w:t>
                  </w:r>
                  <w:r>
                    <w:rPr>
                      <w:rFonts w:ascii="Segoe UI" w:hAnsi="Segoe UI" w:cs="Segoe UI"/>
                      <w:sz w:val="20"/>
                      <w:szCs w:val="20"/>
                      <w:lang w:eastAsia="en-AU"/>
                    </w:rPr>
                    <w:t>graphical region</w:t>
                  </w:r>
                  <w:r w:rsidRPr="00B34E24">
                    <w:rPr>
                      <w:rFonts w:ascii="Segoe UI" w:hAnsi="Segoe UI" w:cs="Segoe UI"/>
                      <w:sz w:val="20"/>
                      <w:szCs w:val="20"/>
                      <w:lang w:eastAsia="en-AU"/>
                    </w:rPr>
                    <w:t xml:space="preserve"> than the primary volumes, a customer may see a degradation in performance.</w:t>
                  </w:r>
                </w:p>
              </w:tc>
            </w:tr>
            <w:tr w:rsidR="007A0DED" w:rsidRPr="004B3E51" w14:paraId="3B689933" w14:textId="77777777" w:rsidTr="00832729">
              <w:trPr>
                <w:cnfStyle w:val="000000100000" w:firstRow="0" w:lastRow="0" w:firstColumn="0" w:lastColumn="0" w:oddVBand="0" w:evenVBand="0" w:oddHBand="1" w:evenHBand="0" w:firstRowFirstColumn="0" w:firstRowLastColumn="0" w:lastRowFirstColumn="0" w:lastRowLastColumn="0"/>
              </w:trPr>
              <w:tc>
                <w:tcPr>
                  <w:tcW w:w="1601" w:type="dxa"/>
                  <w:vMerge/>
                </w:tcPr>
                <w:p w14:paraId="76B68D8E" w14:textId="15D31357" w:rsidR="007A0DED" w:rsidRPr="004B3E51" w:rsidRDefault="007A0DED" w:rsidP="007A0DED">
                  <w:pPr>
                    <w:pStyle w:val="NormalWeb"/>
                    <w:rPr>
                      <w:rFonts w:ascii="Segoe UI" w:hAnsi="Segoe UI" w:cs="Segoe UI"/>
                      <w:bCs/>
                      <w:sz w:val="20"/>
                      <w:szCs w:val="20"/>
                      <w:lang w:eastAsia="en-AU"/>
                    </w:rPr>
                  </w:pPr>
                </w:p>
              </w:tc>
              <w:tc>
                <w:tcPr>
                  <w:tcW w:w="7736" w:type="dxa"/>
                </w:tcPr>
                <w:p w14:paraId="54617F97" w14:textId="1F7DAD89"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Provision the StorSimple Virtual Appliance before it will actually be needed</w:t>
                  </w:r>
                  <w:r>
                    <w:rPr>
                      <w:rFonts w:ascii="Segoe UI" w:hAnsi="Segoe UI" w:cs="Segoe UI"/>
                      <w:sz w:val="20"/>
                      <w:szCs w:val="20"/>
                      <w:lang w:eastAsia="en-AU"/>
                    </w:rPr>
                    <w:t>—</w:t>
                  </w:r>
                  <w:r w:rsidRPr="00B34E24">
                    <w:rPr>
                      <w:rFonts w:ascii="Segoe UI" w:hAnsi="Segoe UI" w:cs="Segoe UI"/>
                      <w:sz w:val="20"/>
                      <w:szCs w:val="20"/>
                      <w:lang w:eastAsia="en-AU"/>
                    </w:rPr>
                    <w:t>especially for disaster recovery use cases. The StorSimple Virtual Appliance can be on standby without incurring additional costs. By having the StorSimple Virtual Appliance provisioned, the customer save</w:t>
                  </w:r>
                  <w:r>
                    <w:rPr>
                      <w:rFonts w:ascii="Segoe UI" w:hAnsi="Segoe UI" w:cs="Segoe UI"/>
                      <w:sz w:val="20"/>
                      <w:szCs w:val="20"/>
                      <w:lang w:eastAsia="en-AU"/>
                    </w:rPr>
                    <w:t>s</w:t>
                  </w:r>
                  <w:r w:rsidRPr="00B34E24">
                    <w:rPr>
                      <w:rFonts w:ascii="Segoe UI" w:hAnsi="Segoe UI" w:cs="Segoe UI"/>
                      <w:sz w:val="20"/>
                      <w:szCs w:val="20"/>
                      <w:lang w:eastAsia="en-AU"/>
                    </w:rPr>
                    <w:t xml:space="preserve"> time when the actual workflow for porting data to the StorSimple Virtual Appliance needs to occur.</w:t>
                  </w:r>
                </w:p>
              </w:tc>
            </w:tr>
          </w:tbl>
          <w:p w14:paraId="4932B9BA" w14:textId="77777777" w:rsidR="005E6695" w:rsidRDefault="005E6695" w:rsidP="005E6695"/>
          <w:tbl>
            <w:tblPr>
              <w:tblW w:w="5000" w:type="pct"/>
              <w:tblBorders>
                <w:top w:val="single" w:sz="4" w:space="0" w:color="008AC8"/>
                <w:bottom w:val="single" w:sz="4" w:space="0" w:color="008AC8"/>
                <w:insideH w:val="single" w:sz="4" w:space="0" w:color="008AC8"/>
              </w:tblBorders>
              <w:tblLayout w:type="fixed"/>
              <w:tblLook w:val="04A0" w:firstRow="1" w:lastRow="0" w:firstColumn="1" w:lastColumn="0" w:noHBand="0" w:noVBand="1"/>
            </w:tblPr>
            <w:tblGrid>
              <w:gridCol w:w="9324"/>
            </w:tblGrid>
            <w:tr w:rsidR="005E6695" w14:paraId="30A4539E" w14:textId="77777777" w:rsidTr="00832729">
              <w:tc>
                <w:tcPr>
                  <w:tcW w:w="5000" w:type="pct"/>
                  <w:shd w:val="clear" w:color="auto" w:fill="008AC8"/>
                </w:tcPr>
                <w:p w14:paraId="2DCD1B7D" w14:textId="65719320" w:rsidR="005E6695" w:rsidRPr="00F47607" w:rsidRDefault="005E6695" w:rsidP="005E6695">
                  <w:pPr>
                    <w:spacing w:line="240" w:lineRule="auto"/>
                    <w:rPr>
                      <w:color w:val="FFFFFF"/>
                    </w:rPr>
                  </w:pPr>
                  <w:r>
                    <w:rPr>
                      <w:color w:val="FFFFFF"/>
                    </w:rPr>
                    <w:t>Design Guidance</w:t>
                  </w:r>
                </w:p>
              </w:tc>
            </w:tr>
          </w:tbl>
          <w:p w14:paraId="2B2899A2" w14:textId="50CB9CF3" w:rsidR="005E6695" w:rsidRDefault="005E6695" w:rsidP="005E6695">
            <w:r w:rsidRPr="00D22FAE">
              <w:t>Operational best practices are part of everyday (or ongoing) operations</w:t>
            </w:r>
            <w:r>
              <w:t>.  The following operational guidance is provided:</w:t>
            </w:r>
          </w:p>
          <w:tbl>
            <w:tblPr>
              <w:tblStyle w:val="PlainTable11"/>
              <w:tblW w:w="9337" w:type="dxa"/>
              <w:tblLayout w:type="fixed"/>
              <w:tblLook w:val="0420" w:firstRow="1" w:lastRow="0" w:firstColumn="0" w:lastColumn="0" w:noHBand="0" w:noVBand="1"/>
            </w:tblPr>
            <w:tblGrid>
              <w:gridCol w:w="1811"/>
              <w:gridCol w:w="7526"/>
            </w:tblGrid>
            <w:tr w:rsidR="005E6695" w:rsidRPr="004B3E51" w14:paraId="63652307" w14:textId="77777777" w:rsidTr="002E4E5F">
              <w:trPr>
                <w:cnfStyle w:val="100000000000" w:firstRow="1" w:lastRow="0" w:firstColumn="0" w:lastColumn="0" w:oddVBand="0" w:evenVBand="0" w:oddHBand="0" w:evenHBand="0" w:firstRowFirstColumn="0" w:firstRowLastColumn="0" w:lastRowFirstColumn="0" w:lastRowLastColumn="0"/>
                <w:tblHeader/>
              </w:trPr>
              <w:tc>
                <w:tcPr>
                  <w:tcW w:w="1811" w:type="dxa"/>
                  <w:shd w:val="clear" w:color="auto" w:fill="808080" w:themeFill="background1" w:themeFillShade="80"/>
                  <w:hideMark/>
                </w:tcPr>
                <w:p w14:paraId="4F9AAF65" w14:textId="77777777" w:rsidR="005E6695" w:rsidRPr="00C80FD9" w:rsidRDefault="005E6695" w:rsidP="005E6695">
                  <w:pPr>
                    <w:spacing w:line="240" w:lineRule="auto"/>
                    <w:rPr>
                      <w:rFonts w:cs="Segoe UI"/>
                      <w:color w:val="FFFFFF"/>
                      <w:lang w:eastAsia="en-AU"/>
                    </w:rPr>
                  </w:pPr>
                  <w:r w:rsidRPr="00C80FD9">
                    <w:rPr>
                      <w:rFonts w:eastAsia="Calibri" w:cs="Segoe UI"/>
                      <w:color w:val="FFFFFF"/>
                      <w:lang w:eastAsia="en-AU"/>
                    </w:rPr>
                    <w:t>Area</w:t>
                  </w:r>
                </w:p>
              </w:tc>
              <w:tc>
                <w:tcPr>
                  <w:tcW w:w="7526" w:type="dxa"/>
                  <w:shd w:val="clear" w:color="auto" w:fill="808080" w:themeFill="background1" w:themeFillShade="80"/>
                  <w:hideMark/>
                </w:tcPr>
                <w:p w14:paraId="7C47A3D5" w14:textId="77777777" w:rsidR="005E6695" w:rsidRPr="00C80FD9" w:rsidRDefault="005E6695" w:rsidP="005E6695">
                  <w:pPr>
                    <w:spacing w:line="240" w:lineRule="auto"/>
                    <w:rPr>
                      <w:rFonts w:eastAsia="Calibri" w:cs="Segoe UI"/>
                      <w:color w:val="FFFFFF"/>
                      <w:lang w:eastAsia="en-AU"/>
                    </w:rPr>
                  </w:pPr>
                  <w:r w:rsidRPr="00C80FD9">
                    <w:rPr>
                      <w:rFonts w:eastAsia="Calibri" w:cs="Segoe UI"/>
                      <w:color w:val="FFFFFF"/>
                      <w:lang w:eastAsia="en-AU"/>
                    </w:rPr>
                    <w:t>Recommendation</w:t>
                  </w:r>
                </w:p>
              </w:tc>
            </w:tr>
            <w:tr w:rsidR="007A0DED" w:rsidRPr="004B3E51" w14:paraId="490A9B9E" w14:textId="77777777" w:rsidTr="00832729">
              <w:trPr>
                <w:cnfStyle w:val="000000100000" w:firstRow="0" w:lastRow="0" w:firstColumn="0" w:lastColumn="0" w:oddVBand="0" w:evenVBand="0" w:oddHBand="1" w:evenHBand="0" w:firstRowFirstColumn="0" w:firstRowLastColumn="0" w:lastRowFirstColumn="0" w:lastRowLastColumn="0"/>
              </w:trPr>
              <w:tc>
                <w:tcPr>
                  <w:tcW w:w="1811" w:type="dxa"/>
                  <w:vMerge w:val="restart"/>
                  <w:hideMark/>
                </w:tcPr>
                <w:p w14:paraId="39FDBF1A" w14:textId="0FA56DD4" w:rsidR="007A0DED" w:rsidRPr="00C80FD9" w:rsidRDefault="007A0DED" w:rsidP="007A0DED">
                  <w:pPr>
                    <w:pStyle w:val="NormalWeb"/>
                    <w:rPr>
                      <w:rFonts w:ascii="Segoe UI" w:hAnsi="Segoe UI" w:cs="Segoe UI"/>
                      <w:b/>
                      <w:sz w:val="20"/>
                      <w:szCs w:val="20"/>
                      <w:lang w:eastAsia="en-AU"/>
                    </w:rPr>
                  </w:pPr>
                  <w:r w:rsidRPr="00C80FD9">
                    <w:rPr>
                      <w:rFonts w:ascii="Segoe UI" w:hAnsi="Segoe UI" w:cs="Segoe UI"/>
                      <w:b/>
                      <w:sz w:val="20"/>
                      <w:szCs w:val="20"/>
                      <w:lang w:eastAsia="en-AU"/>
                    </w:rPr>
                    <w:t>Network connectivity</w:t>
                  </w:r>
                </w:p>
              </w:tc>
              <w:tc>
                <w:tcPr>
                  <w:tcW w:w="7526" w:type="dxa"/>
                  <w:hideMark/>
                </w:tcPr>
                <w:p w14:paraId="56991013" w14:textId="5030EEEE"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 xml:space="preserve">The minimum </w:t>
                  </w:r>
                  <w:r>
                    <w:rPr>
                      <w:rFonts w:ascii="Segoe UI" w:hAnsi="Segoe UI" w:cs="Segoe UI"/>
                      <w:sz w:val="20"/>
                      <w:szCs w:val="20"/>
                      <w:lang w:eastAsia="en-AU"/>
                    </w:rPr>
                    <w:t>Internet</w:t>
                  </w:r>
                  <w:r w:rsidRPr="00B34E24">
                    <w:rPr>
                      <w:rFonts w:ascii="Segoe UI" w:hAnsi="Segoe UI" w:cs="Segoe UI"/>
                      <w:sz w:val="20"/>
                      <w:szCs w:val="20"/>
                      <w:lang w:eastAsia="en-AU"/>
                    </w:rPr>
                    <w:t xml:space="preserve"> network bandwidth for StorSimple should be at least</w:t>
                  </w:r>
                  <w:r>
                    <w:rPr>
                      <w:rFonts w:ascii="Segoe UI" w:hAnsi="Segoe UI" w:cs="Segoe UI"/>
                      <w:sz w:val="20"/>
                      <w:szCs w:val="20"/>
                      <w:lang w:eastAsia="en-AU"/>
                    </w:rPr>
                    <w:t> 2</w:t>
                  </w:r>
                  <w:r w:rsidRPr="00B34E24">
                    <w:rPr>
                      <w:rFonts w:ascii="Segoe UI" w:hAnsi="Segoe UI" w:cs="Segoe UI"/>
                      <w:sz w:val="20"/>
                      <w:szCs w:val="20"/>
                      <w:lang w:eastAsia="en-AU"/>
                    </w:rPr>
                    <w:t>0 Mbps at all times. This</w:t>
                  </w:r>
                  <w:r>
                    <w:rPr>
                      <w:rFonts w:ascii="Segoe UI" w:hAnsi="Segoe UI" w:cs="Segoe UI"/>
                      <w:sz w:val="20"/>
                      <w:szCs w:val="20"/>
                      <w:lang w:eastAsia="en-AU"/>
                    </w:rPr>
                    <w:t> 2</w:t>
                  </w:r>
                  <w:r w:rsidRPr="00B34E24">
                    <w:rPr>
                      <w:rFonts w:ascii="Segoe UI" w:hAnsi="Segoe UI" w:cs="Segoe UI"/>
                      <w:sz w:val="20"/>
                      <w:szCs w:val="20"/>
                      <w:lang w:eastAsia="en-AU"/>
                    </w:rPr>
                    <w:t>0 Mbps bandwidth should be dedicated and not shared with any other applications. The optimal bandwidth for a customer deployment is dependent on the RTO.</w:t>
                  </w:r>
                </w:p>
              </w:tc>
            </w:tr>
            <w:tr w:rsidR="007A0DED" w:rsidRPr="004B3E51" w14:paraId="6B183CA1" w14:textId="77777777" w:rsidTr="00832729">
              <w:tc>
                <w:tcPr>
                  <w:tcW w:w="1811" w:type="dxa"/>
                  <w:vMerge/>
                </w:tcPr>
                <w:p w14:paraId="3700D9C3" w14:textId="6F1EACF7" w:rsidR="007A0DED" w:rsidRPr="00C80FD9" w:rsidRDefault="007A0DED" w:rsidP="007A0DED">
                  <w:pPr>
                    <w:pStyle w:val="NormalWeb"/>
                    <w:rPr>
                      <w:rFonts w:ascii="Segoe UI" w:hAnsi="Segoe UI" w:cs="Segoe UI"/>
                      <w:b/>
                      <w:sz w:val="20"/>
                      <w:szCs w:val="20"/>
                      <w:lang w:eastAsia="en-AU"/>
                    </w:rPr>
                  </w:pPr>
                </w:p>
              </w:tc>
              <w:tc>
                <w:tcPr>
                  <w:tcW w:w="7526" w:type="dxa"/>
                </w:tcPr>
                <w:p w14:paraId="36AECDC1" w14:textId="578DEC5A"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 xml:space="preserve">The maximum </w:t>
                  </w:r>
                  <w:r>
                    <w:rPr>
                      <w:rFonts w:ascii="Segoe UI" w:hAnsi="Segoe UI" w:cs="Segoe UI"/>
                      <w:sz w:val="20"/>
                      <w:szCs w:val="20"/>
                      <w:lang w:eastAsia="en-AU"/>
                    </w:rPr>
                    <w:t>Internet</w:t>
                  </w:r>
                  <w:r w:rsidRPr="00B34E24">
                    <w:rPr>
                      <w:rFonts w:ascii="Segoe UI" w:hAnsi="Segoe UI" w:cs="Segoe UI"/>
                      <w:sz w:val="20"/>
                      <w:szCs w:val="20"/>
                      <w:lang w:eastAsia="en-AU"/>
                    </w:rPr>
                    <w:t xml:space="preserve"> network latency between the on-premises appliance and Azure should not exceed a certain limit. The main variables that impact network latency are the distance from the datacenter and </w:t>
                  </w:r>
                  <w:r>
                    <w:rPr>
                      <w:rFonts w:ascii="Segoe UI" w:hAnsi="Segoe UI" w:cs="Segoe UI"/>
                      <w:sz w:val="20"/>
                      <w:szCs w:val="20"/>
                      <w:lang w:eastAsia="en-AU"/>
                    </w:rPr>
                    <w:t xml:space="preserve">the </w:t>
                  </w:r>
                  <w:r w:rsidRPr="00B34E24">
                    <w:rPr>
                      <w:rFonts w:ascii="Segoe UI" w:hAnsi="Segoe UI" w:cs="Segoe UI"/>
                      <w:sz w:val="20"/>
                      <w:szCs w:val="20"/>
                      <w:lang w:eastAsia="en-AU"/>
                    </w:rPr>
                    <w:t>internal network architecture</w:t>
                  </w:r>
                  <w:r>
                    <w:rPr>
                      <w:rFonts w:ascii="Segoe UI" w:hAnsi="Segoe UI" w:cs="Segoe UI"/>
                      <w:sz w:val="20"/>
                      <w:szCs w:val="20"/>
                      <w:lang w:eastAsia="en-AU"/>
                    </w:rPr>
                    <w:t>,</w:t>
                  </w:r>
                  <w:r w:rsidRPr="00B34E24">
                    <w:rPr>
                      <w:rFonts w:ascii="Segoe UI" w:hAnsi="Segoe UI" w:cs="Segoe UI"/>
                      <w:sz w:val="20"/>
                      <w:szCs w:val="20"/>
                      <w:lang w:eastAsia="en-AU"/>
                    </w:rPr>
                    <w:t xml:space="preserve"> including the number of routers. Test </w:t>
                  </w:r>
                  <w:r>
                    <w:rPr>
                      <w:rFonts w:ascii="Segoe UI" w:hAnsi="Segoe UI" w:cs="Segoe UI"/>
                      <w:sz w:val="20"/>
                      <w:szCs w:val="20"/>
                      <w:lang w:eastAsia="en-AU"/>
                    </w:rPr>
                    <w:t>o</w:t>
                  </w:r>
                  <w:r w:rsidRPr="00B34E24">
                    <w:rPr>
                      <w:rFonts w:ascii="Segoe UI" w:hAnsi="Segoe UI" w:cs="Segoe UI"/>
                      <w:sz w:val="20"/>
                      <w:szCs w:val="20"/>
                      <w:lang w:eastAsia="en-AU"/>
                    </w:rPr>
                    <w:t>perational best practices network latency with the solution and verify it does not exceed any maximum latency thresholds.</w:t>
                  </w:r>
                </w:p>
              </w:tc>
            </w:tr>
            <w:tr w:rsidR="007A0DED" w:rsidRPr="004B3E51" w14:paraId="4BB63FF3" w14:textId="77777777" w:rsidTr="00832729">
              <w:trPr>
                <w:cnfStyle w:val="000000100000" w:firstRow="0" w:lastRow="0" w:firstColumn="0" w:lastColumn="0" w:oddVBand="0" w:evenVBand="0" w:oddHBand="1" w:evenHBand="0" w:firstRowFirstColumn="0" w:firstRowLastColumn="0" w:lastRowFirstColumn="0" w:lastRowLastColumn="0"/>
              </w:trPr>
              <w:tc>
                <w:tcPr>
                  <w:tcW w:w="1811" w:type="dxa"/>
                  <w:vMerge/>
                </w:tcPr>
                <w:p w14:paraId="1BDACC53" w14:textId="0A552A4B" w:rsidR="007A0DED" w:rsidRPr="00C80FD9" w:rsidRDefault="007A0DED" w:rsidP="007A0DED">
                  <w:pPr>
                    <w:pStyle w:val="NormalWeb"/>
                    <w:rPr>
                      <w:rFonts w:ascii="Segoe UI" w:hAnsi="Segoe UI" w:cs="Segoe UI"/>
                      <w:b/>
                      <w:sz w:val="20"/>
                      <w:szCs w:val="20"/>
                      <w:lang w:eastAsia="en-AU"/>
                    </w:rPr>
                  </w:pPr>
                </w:p>
              </w:tc>
              <w:tc>
                <w:tcPr>
                  <w:tcW w:w="7526" w:type="dxa"/>
                </w:tcPr>
                <w:p w14:paraId="33DD4BEB" w14:textId="75A27784"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Configure the Quality of Service (QoS) templates for StorSimple to enable throttling the network throughput by the appliance</w:t>
                  </w:r>
                  <w:r>
                    <w:rPr>
                      <w:rFonts w:ascii="Segoe UI" w:hAnsi="Segoe UI" w:cs="Segoe UI"/>
                      <w:sz w:val="20"/>
                      <w:szCs w:val="20"/>
                      <w:lang w:eastAsia="en-AU"/>
                    </w:rPr>
                    <w:t xml:space="preserve"> and</w:t>
                  </w:r>
                  <w:r w:rsidRPr="00B34E24">
                    <w:rPr>
                      <w:rFonts w:ascii="Segoe UI" w:hAnsi="Segoe UI" w:cs="Segoe UI"/>
                      <w:sz w:val="20"/>
                      <w:szCs w:val="20"/>
                      <w:lang w:eastAsia="en-AU"/>
                    </w:rPr>
                    <w:t xml:space="preserve"> at different times of the day. QoS templates can be used very effectively in conjunction with backup schedules to leverage additional network bandwidth for cloud operations during off-peak hours</w:t>
                  </w:r>
                  <w:r>
                    <w:rPr>
                      <w:rFonts w:ascii="Segoe UI" w:hAnsi="Segoe UI" w:cs="Segoe UI"/>
                      <w:sz w:val="20"/>
                      <w:szCs w:val="20"/>
                      <w:lang w:eastAsia="en-AU"/>
                    </w:rPr>
                    <w:t>.</w:t>
                  </w:r>
                </w:p>
              </w:tc>
            </w:tr>
            <w:tr w:rsidR="007A0DED" w:rsidRPr="004B3E51" w14:paraId="183900A8" w14:textId="77777777" w:rsidTr="00832729">
              <w:tc>
                <w:tcPr>
                  <w:tcW w:w="1811" w:type="dxa"/>
                  <w:vMerge/>
                </w:tcPr>
                <w:p w14:paraId="29C0355B" w14:textId="490FC5D5" w:rsidR="007A0DED" w:rsidRPr="00C80FD9" w:rsidRDefault="007A0DED" w:rsidP="007A0DED">
                  <w:pPr>
                    <w:pStyle w:val="NormalWeb"/>
                    <w:rPr>
                      <w:rFonts w:ascii="Segoe UI" w:hAnsi="Segoe UI" w:cs="Segoe UI"/>
                      <w:b/>
                      <w:sz w:val="20"/>
                      <w:szCs w:val="20"/>
                      <w:lang w:eastAsia="en-AU"/>
                    </w:rPr>
                  </w:pPr>
                </w:p>
              </w:tc>
              <w:tc>
                <w:tcPr>
                  <w:tcW w:w="7526" w:type="dxa"/>
                </w:tcPr>
                <w:p w14:paraId="68C0022D" w14:textId="77777777" w:rsidR="007A0DED"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 xml:space="preserve">Ensure connectivity to the </w:t>
                  </w:r>
                  <w:r>
                    <w:rPr>
                      <w:rFonts w:ascii="Segoe UI" w:hAnsi="Segoe UI" w:cs="Segoe UI"/>
                      <w:sz w:val="20"/>
                      <w:szCs w:val="20"/>
                      <w:lang w:eastAsia="en-AU"/>
                    </w:rPr>
                    <w:t>Internet</w:t>
                  </w:r>
                  <w:r w:rsidRPr="00B34E24">
                    <w:rPr>
                      <w:rFonts w:ascii="Segoe UI" w:hAnsi="Segoe UI" w:cs="Segoe UI"/>
                      <w:sz w:val="20"/>
                      <w:szCs w:val="20"/>
                      <w:lang w:eastAsia="en-AU"/>
                    </w:rPr>
                    <w:t xml:space="preserve"> is available at all times. This recommendation also applies to use cases where a very small amount of data exists on StorSimple and the data ha</w:t>
                  </w:r>
                  <w:r>
                    <w:rPr>
                      <w:rFonts w:ascii="Segoe UI" w:hAnsi="Segoe UI" w:cs="Segoe UI"/>
                      <w:sz w:val="20"/>
                      <w:szCs w:val="20"/>
                      <w:lang w:eastAsia="en-AU"/>
                    </w:rPr>
                    <w:t>s</w:t>
                  </w:r>
                  <w:r w:rsidRPr="00B34E24">
                    <w:rPr>
                      <w:rFonts w:ascii="Segoe UI" w:hAnsi="Segoe UI" w:cs="Segoe UI"/>
                      <w:sz w:val="20"/>
                      <w:szCs w:val="20"/>
                      <w:lang w:eastAsia="en-AU"/>
                    </w:rPr>
                    <w:t xml:space="preserve"> not been tiered to the cloud storage. </w:t>
                  </w:r>
                </w:p>
                <w:p w14:paraId="4DCBA2FF" w14:textId="292065F8" w:rsidR="007A0DED" w:rsidRPr="00B34E24" w:rsidRDefault="007A0DED" w:rsidP="007A0DED">
                  <w:pPr>
                    <w:pStyle w:val="NormalWeb"/>
                    <w:rPr>
                      <w:rFonts w:ascii="Segoe UI" w:hAnsi="Segoe UI" w:cs="Segoe UI"/>
                      <w:sz w:val="20"/>
                      <w:szCs w:val="20"/>
                      <w:lang w:eastAsia="en-AU"/>
                    </w:rPr>
                  </w:pPr>
                  <w:r>
                    <w:rPr>
                      <w:rFonts w:ascii="Segoe UI" w:hAnsi="Segoe UI" w:cs="Segoe UI"/>
                      <w:sz w:val="20"/>
                      <w:szCs w:val="20"/>
                      <w:lang w:eastAsia="en-AU"/>
                    </w:rPr>
                    <w:t>Although</w:t>
                  </w:r>
                  <w:r w:rsidRPr="00B34E24">
                    <w:rPr>
                      <w:rFonts w:ascii="Segoe UI" w:hAnsi="Segoe UI" w:cs="Segoe UI"/>
                      <w:sz w:val="20"/>
                      <w:szCs w:val="20"/>
                      <w:lang w:eastAsia="en-AU"/>
                    </w:rPr>
                    <w:t xml:space="preserve"> StorSimple can easily buffer temporary glitches in network connectivity, prolonged outages result in the storage becoming unavailable</w:t>
                  </w:r>
                  <w:r>
                    <w:rPr>
                      <w:rFonts w:ascii="Segoe UI" w:hAnsi="Segoe UI" w:cs="Segoe UI"/>
                      <w:sz w:val="20"/>
                      <w:szCs w:val="20"/>
                      <w:lang w:eastAsia="en-AU"/>
                    </w:rPr>
                    <w:t>,</w:t>
                  </w:r>
                  <w:r w:rsidRPr="00B34E24">
                    <w:rPr>
                      <w:rFonts w:ascii="Segoe UI" w:hAnsi="Segoe UI" w:cs="Segoe UI"/>
                      <w:sz w:val="20"/>
                      <w:szCs w:val="20"/>
                      <w:lang w:eastAsia="en-AU"/>
                    </w:rPr>
                    <w:t xml:space="preserve"> and iSCSI error messages </w:t>
                  </w:r>
                  <w:r>
                    <w:rPr>
                      <w:rFonts w:ascii="Segoe UI" w:hAnsi="Segoe UI" w:cs="Segoe UI"/>
                      <w:sz w:val="20"/>
                      <w:szCs w:val="20"/>
                      <w:lang w:eastAsia="en-AU"/>
                    </w:rPr>
                    <w:t>are</w:t>
                  </w:r>
                  <w:r w:rsidRPr="00B34E24">
                    <w:rPr>
                      <w:rFonts w:ascii="Segoe UI" w:hAnsi="Segoe UI" w:cs="Segoe UI"/>
                      <w:sz w:val="20"/>
                      <w:szCs w:val="20"/>
                      <w:lang w:eastAsia="en-AU"/>
                    </w:rPr>
                    <w:t xml:space="preserve"> returned to the application. StorSimple has a built-in alert mechanism </w:t>
                  </w:r>
                  <w:r>
                    <w:rPr>
                      <w:rFonts w:ascii="Segoe UI" w:hAnsi="Segoe UI" w:cs="Segoe UI"/>
                      <w:sz w:val="20"/>
                      <w:szCs w:val="20"/>
                      <w:lang w:eastAsia="en-AU"/>
                    </w:rPr>
                    <w:t>that can be configured. It</w:t>
                  </w:r>
                  <w:r w:rsidRPr="00B34E24">
                    <w:rPr>
                      <w:rFonts w:ascii="Segoe UI" w:hAnsi="Segoe UI" w:cs="Segoe UI"/>
                      <w:sz w:val="20"/>
                      <w:szCs w:val="20"/>
                      <w:lang w:eastAsia="en-AU"/>
                    </w:rPr>
                    <w:t xml:space="preserve"> send</w:t>
                  </w:r>
                  <w:r>
                    <w:rPr>
                      <w:rFonts w:ascii="Segoe UI" w:hAnsi="Segoe UI" w:cs="Segoe UI"/>
                      <w:sz w:val="20"/>
                      <w:szCs w:val="20"/>
                      <w:lang w:eastAsia="en-AU"/>
                    </w:rPr>
                    <w:t>s</w:t>
                  </w:r>
                  <w:r w:rsidRPr="00B34E24">
                    <w:rPr>
                      <w:rFonts w:ascii="Segoe UI" w:hAnsi="Segoe UI" w:cs="Segoe UI"/>
                      <w:sz w:val="20"/>
                      <w:szCs w:val="20"/>
                      <w:lang w:eastAsia="en-AU"/>
                    </w:rPr>
                    <w:t xml:space="preserve"> an alert message</w:t>
                  </w:r>
                  <w:r>
                    <w:rPr>
                      <w:rFonts w:ascii="Segoe UI" w:hAnsi="Segoe UI" w:cs="Segoe UI"/>
                      <w:sz w:val="20"/>
                      <w:szCs w:val="20"/>
                      <w:lang w:eastAsia="en-AU"/>
                    </w:rPr>
                    <w:t xml:space="preserve"> and</w:t>
                  </w:r>
                  <w:r w:rsidRPr="00B34E24">
                    <w:rPr>
                      <w:rFonts w:ascii="Segoe UI" w:hAnsi="Segoe UI" w:cs="Segoe UI"/>
                      <w:sz w:val="20"/>
                      <w:szCs w:val="20"/>
                      <w:lang w:eastAsia="en-AU"/>
                    </w:rPr>
                    <w:t xml:space="preserve"> display</w:t>
                  </w:r>
                  <w:r>
                    <w:rPr>
                      <w:rFonts w:ascii="Segoe UI" w:hAnsi="Segoe UI" w:cs="Segoe UI"/>
                      <w:sz w:val="20"/>
                      <w:szCs w:val="20"/>
                      <w:lang w:eastAsia="en-AU"/>
                    </w:rPr>
                    <w:t>s</w:t>
                  </w:r>
                  <w:r w:rsidRPr="00B34E24">
                    <w:rPr>
                      <w:rFonts w:ascii="Segoe UI" w:hAnsi="Segoe UI" w:cs="Segoe UI"/>
                      <w:sz w:val="20"/>
                      <w:szCs w:val="20"/>
                      <w:lang w:eastAsia="en-AU"/>
                    </w:rPr>
                    <w:t xml:space="preserve"> the alert on the Web UI</w:t>
                  </w:r>
                  <w:r>
                    <w:rPr>
                      <w:rFonts w:ascii="Segoe UI" w:hAnsi="Segoe UI" w:cs="Segoe UI"/>
                      <w:sz w:val="20"/>
                      <w:szCs w:val="20"/>
                      <w:lang w:eastAsia="en-AU"/>
                    </w:rPr>
                    <w:t>.</w:t>
                  </w:r>
                </w:p>
              </w:tc>
            </w:tr>
            <w:tr w:rsidR="007A0DED" w:rsidRPr="004B3E51" w14:paraId="1143DC01" w14:textId="77777777" w:rsidTr="00832729">
              <w:trPr>
                <w:cnfStyle w:val="000000100000" w:firstRow="0" w:lastRow="0" w:firstColumn="0" w:lastColumn="0" w:oddVBand="0" w:evenVBand="0" w:oddHBand="1" w:evenHBand="0" w:firstRowFirstColumn="0" w:firstRowLastColumn="0" w:lastRowFirstColumn="0" w:lastRowLastColumn="0"/>
              </w:trPr>
              <w:tc>
                <w:tcPr>
                  <w:tcW w:w="1811" w:type="dxa"/>
                  <w:vMerge/>
                </w:tcPr>
                <w:p w14:paraId="5DDAF5B6" w14:textId="756BEE9E" w:rsidR="007A0DED" w:rsidRPr="00C80FD9" w:rsidRDefault="007A0DED" w:rsidP="007A0DED">
                  <w:pPr>
                    <w:pStyle w:val="NormalWeb"/>
                    <w:rPr>
                      <w:rFonts w:ascii="Segoe UI" w:hAnsi="Segoe UI" w:cs="Segoe UI"/>
                      <w:b/>
                      <w:sz w:val="20"/>
                      <w:szCs w:val="20"/>
                      <w:lang w:eastAsia="en-AU"/>
                    </w:rPr>
                  </w:pPr>
                </w:p>
              </w:tc>
              <w:tc>
                <w:tcPr>
                  <w:tcW w:w="7526" w:type="dxa"/>
                </w:tcPr>
                <w:p w14:paraId="774FB7B1" w14:textId="77777777" w:rsidR="007A0DED"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 xml:space="preserve">If the network infrastructure supports jumbo frames, they can be configured on the data ports that transmit the iSCSI traffic between the host servers and StorSimple. The jumbo frames should be enabled end-to-end for the network components. This includes all components </w:t>
                  </w:r>
                  <w:r>
                    <w:rPr>
                      <w:rFonts w:ascii="Segoe UI" w:hAnsi="Segoe UI" w:cs="Segoe UI"/>
                      <w:sz w:val="20"/>
                      <w:szCs w:val="20"/>
                      <w:lang w:eastAsia="en-AU"/>
                    </w:rPr>
                    <w:t xml:space="preserve">that </w:t>
                  </w:r>
                  <w:r w:rsidRPr="00B34E24">
                    <w:rPr>
                      <w:rFonts w:ascii="Segoe UI" w:hAnsi="Segoe UI" w:cs="Segoe UI"/>
                      <w:sz w:val="20"/>
                      <w:szCs w:val="20"/>
                      <w:lang w:eastAsia="en-AU"/>
                    </w:rPr>
                    <w:t>interfac</w:t>
                  </w:r>
                  <w:r>
                    <w:rPr>
                      <w:rFonts w:ascii="Segoe UI" w:hAnsi="Segoe UI" w:cs="Segoe UI"/>
                      <w:sz w:val="20"/>
                      <w:szCs w:val="20"/>
                      <w:lang w:eastAsia="en-AU"/>
                    </w:rPr>
                    <w:t>e</w:t>
                  </w:r>
                  <w:r w:rsidRPr="00B34E24">
                    <w:rPr>
                      <w:rFonts w:ascii="Segoe UI" w:hAnsi="Segoe UI" w:cs="Segoe UI"/>
                      <w:sz w:val="20"/>
                      <w:szCs w:val="20"/>
                      <w:lang w:eastAsia="en-AU"/>
                    </w:rPr>
                    <w:t xml:space="preserve"> on the network from StorSimple, and then to the host. </w:t>
                  </w:r>
                </w:p>
                <w:p w14:paraId="3411284D" w14:textId="48470C11"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The ports on StorSimple are configured to automatically accept jumbo frames if the network and the iSCSI initiators are set</w:t>
                  </w:r>
                  <w:r>
                    <w:rPr>
                      <w:rFonts w:ascii="Segoe UI" w:hAnsi="Segoe UI" w:cs="Segoe UI"/>
                      <w:sz w:val="20"/>
                      <w:szCs w:val="20"/>
                      <w:lang w:eastAsia="en-AU"/>
                    </w:rPr>
                    <w:t xml:space="preserve"> </w:t>
                  </w:r>
                  <w:r w:rsidRPr="00B34E24">
                    <w:rPr>
                      <w:rFonts w:ascii="Segoe UI" w:hAnsi="Segoe UI" w:cs="Segoe UI"/>
                      <w:sz w:val="20"/>
                      <w:szCs w:val="20"/>
                      <w:lang w:eastAsia="en-AU"/>
                    </w:rPr>
                    <w:t xml:space="preserve">up to support them. Jumbo frames should not be configured on a network port that is connected to the </w:t>
                  </w:r>
                  <w:r>
                    <w:rPr>
                      <w:rFonts w:ascii="Segoe UI" w:hAnsi="Segoe UI" w:cs="Segoe UI"/>
                      <w:sz w:val="20"/>
                      <w:szCs w:val="20"/>
                      <w:lang w:eastAsia="en-AU"/>
                    </w:rPr>
                    <w:t>Internet</w:t>
                  </w:r>
                  <w:r w:rsidRPr="00B34E24">
                    <w:rPr>
                      <w:rFonts w:ascii="Segoe UI" w:hAnsi="Segoe UI" w:cs="Segoe UI"/>
                      <w:sz w:val="20"/>
                      <w:szCs w:val="20"/>
                      <w:lang w:eastAsia="en-AU"/>
                    </w:rPr>
                    <w:t xml:space="preserve"> or a </w:t>
                  </w:r>
                  <w:r>
                    <w:rPr>
                      <w:rFonts w:ascii="Segoe UI" w:hAnsi="Segoe UI" w:cs="Segoe UI"/>
                      <w:sz w:val="20"/>
                      <w:szCs w:val="20"/>
                      <w:lang w:eastAsia="en-AU"/>
                    </w:rPr>
                    <w:t>network adapter</w:t>
                  </w:r>
                  <w:r w:rsidRPr="00B34E24">
                    <w:rPr>
                      <w:rFonts w:ascii="Segoe UI" w:hAnsi="Segoe UI" w:cs="Segoe UI"/>
                      <w:sz w:val="20"/>
                      <w:szCs w:val="20"/>
                      <w:lang w:eastAsia="en-AU"/>
                    </w:rPr>
                    <w:t xml:space="preserve"> that is cloud</w:t>
                  </w:r>
                  <w:r>
                    <w:rPr>
                      <w:rFonts w:ascii="Segoe UI" w:hAnsi="Segoe UI" w:cs="Segoe UI"/>
                      <w:sz w:val="20"/>
                      <w:szCs w:val="20"/>
                      <w:lang w:eastAsia="en-AU"/>
                    </w:rPr>
                    <w:t>-</w:t>
                  </w:r>
                  <w:r w:rsidRPr="00B34E24">
                    <w:rPr>
                      <w:rFonts w:ascii="Segoe UI" w:hAnsi="Segoe UI" w:cs="Segoe UI"/>
                      <w:sz w:val="20"/>
                      <w:szCs w:val="20"/>
                      <w:lang w:eastAsia="en-AU"/>
                    </w:rPr>
                    <w:t>enabled on StorSimple</w:t>
                  </w:r>
                  <w:r>
                    <w:rPr>
                      <w:rFonts w:ascii="Segoe UI" w:hAnsi="Segoe UI" w:cs="Segoe UI"/>
                      <w:sz w:val="20"/>
                      <w:szCs w:val="20"/>
                      <w:lang w:eastAsia="en-AU"/>
                    </w:rPr>
                    <w:t>.</w:t>
                  </w:r>
                </w:p>
              </w:tc>
            </w:tr>
            <w:tr w:rsidR="007A0DED" w:rsidRPr="004B3E51" w14:paraId="21453C08" w14:textId="77777777" w:rsidTr="00832729">
              <w:tc>
                <w:tcPr>
                  <w:tcW w:w="1811" w:type="dxa"/>
                </w:tcPr>
                <w:p w14:paraId="735BD785" w14:textId="03527320" w:rsidR="007A0DED" w:rsidRPr="00C80FD9" w:rsidRDefault="007A0DED" w:rsidP="007A0DED">
                  <w:pPr>
                    <w:pStyle w:val="NormalWeb"/>
                    <w:rPr>
                      <w:rFonts w:ascii="Segoe UI" w:hAnsi="Segoe UI" w:cs="Segoe UI"/>
                      <w:b/>
                      <w:sz w:val="20"/>
                      <w:szCs w:val="20"/>
                      <w:lang w:eastAsia="en-AU"/>
                    </w:rPr>
                  </w:pPr>
                  <w:r>
                    <w:rPr>
                      <w:rFonts w:ascii="Segoe UI" w:hAnsi="Segoe UI" w:cs="Segoe UI"/>
                      <w:b/>
                      <w:sz w:val="20"/>
                      <w:szCs w:val="20"/>
                      <w:lang w:eastAsia="en-AU"/>
                    </w:rPr>
                    <w:t xml:space="preserve">StorSimple </w:t>
                  </w:r>
                  <w:r w:rsidRPr="00C80FD9">
                    <w:rPr>
                      <w:rFonts w:ascii="Segoe UI" w:hAnsi="Segoe UI" w:cs="Segoe UI"/>
                      <w:b/>
                      <w:sz w:val="20"/>
                      <w:szCs w:val="20"/>
                      <w:lang w:eastAsia="en-AU"/>
                    </w:rPr>
                    <w:t>Virtual Appliance provisioning and sizing</w:t>
                  </w:r>
                </w:p>
              </w:tc>
              <w:tc>
                <w:tcPr>
                  <w:tcW w:w="7526" w:type="dxa"/>
                </w:tcPr>
                <w:p w14:paraId="2567FC42" w14:textId="528FB21C"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Provisioning a Virtual Appliance may take several hours</w:t>
                  </w:r>
                  <w:r>
                    <w:rPr>
                      <w:rFonts w:ascii="Segoe UI" w:hAnsi="Segoe UI" w:cs="Segoe UI"/>
                      <w:sz w:val="20"/>
                      <w:szCs w:val="20"/>
                      <w:lang w:eastAsia="en-AU"/>
                    </w:rPr>
                    <w:t>.</w:t>
                  </w:r>
                  <w:r w:rsidRPr="00B34E24">
                    <w:rPr>
                      <w:rFonts w:ascii="Segoe UI" w:hAnsi="Segoe UI" w:cs="Segoe UI"/>
                      <w:sz w:val="20"/>
                      <w:szCs w:val="20"/>
                      <w:lang w:eastAsia="en-AU"/>
                    </w:rPr>
                    <w:t xml:space="preserve"> </w:t>
                  </w:r>
                  <w:r>
                    <w:rPr>
                      <w:rFonts w:ascii="Segoe UI" w:hAnsi="Segoe UI" w:cs="Segoe UI"/>
                      <w:sz w:val="20"/>
                      <w:szCs w:val="20"/>
                      <w:lang w:eastAsia="en-AU"/>
                    </w:rPr>
                    <w:t>T</w:t>
                  </w:r>
                  <w:r w:rsidRPr="00B34E24">
                    <w:rPr>
                      <w:rFonts w:ascii="Segoe UI" w:hAnsi="Segoe UI" w:cs="Segoe UI"/>
                      <w:sz w:val="20"/>
                      <w:szCs w:val="20"/>
                      <w:lang w:eastAsia="en-AU"/>
                    </w:rPr>
                    <w:t>herefore</w:t>
                  </w:r>
                  <w:r>
                    <w:rPr>
                      <w:rFonts w:ascii="Segoe UI" w:hAnsi="Segoe UI" w:cs="Segoe UI"/>
                      <w:sz w:val="20"/>
                      <w:szCs w:val="20"/>
                      <w:lang w:eastAsia="en-AU"/>
                    </w:rPr>
                    <w:t>,</w:t>
                  </w:r>
                  <w:r w:rsidRPr="00B34E24">
                    <w:rPr>
                      <w:rFonts w:ascii="Segoe UI" w:hAnsi="Segoe UI" w:cs="Segoe UI"/>
                      <w:sz w:val="20"/>
                      <w:szCs w:val="20"/>
                      <w:lang w:eastAsia="en-AU"/>
                    </w:rPr>
                    <w:t xml:space="preserve"> it is best to provision the Virtual Appliance and turn it off until it is needed.</w:t>
                  </w:r>
                </w:p>
              </w:tc>
            </w:tr>
            <w:tr w:rsidR="007A0DED" w:rsidRPr="004B3E51" w14:paraId="629C4F72" w14:textId="77777777" w:rsidTr="00832729">
              <w:trPr>
                <w:cnfStyle w:val="000000100000" w:firstRow="0" w:lastRow="0" w:firstColumn="0" w:lastColumn="0" w:oddVBand="0" w:evenVBand="0" w:oddHBand="1" w:evenHBand="0" w:firstRowFirstColumn="0" w:firstRowLastColumn="0" w:lastRowFirstColumn="0" w:lastRowLastColumn="0"/>
              </w:trPr>
              <w:tc>
                <w:tcPr>
                  <w:tcW w:w="1811" w:type="dxa"/>
                  <w:vMerge w:val="restart"/>
                </w:tcPr>
                <w:p w14:paraId="301B1701" w14:textId="77777777" w:rsidR="007A0DED" w:rsidRPr="00C80FD9" w:rsidRDefault="007A0DED" w:rsidP="007A0DED">
                  <w:pPr>
                    <w:pStyle w:val="NormalWeb"/>
                    <w:rPr>
                      <w:rFonts w:ascii="Segoe UI" w:hAnsi="Segoe UI" w:cs="Segoe UI"/>
                      <w:b/>
                      <w:sz w:val="20"/>
                      <w:szCs w:val="20"/>
                      <w:lang w:eastAsia="en-AU"/>
                    </w:rPr>
                  </w:pPr>
                  <w:r w:rsidRPr="00C80FD9">
                    <w:rPr>
                      <w:rFonts w:ascii="Segoe UI" w:hAnsi="Segoe UI" w:cs="Segoe UI"/>
                      <w:b/>
                      <w:sz w:val="20"/>
                      <w:szCs w:val="20"/>
                      <w:lang w:eastAsia="en-AU"/>
                    </w:rPr>
                    <w:t xml:space="preserve">Migrating </w:t>
                  </w:r>
                  <w:r>
                    <w:rPr>
                      <w:rFonts w:ascii="Segoe UI" w:hAnsi="Segoe UI" w:cs="Segoe UI"/>
                      <w:b/>
                      <w:sz w:val="20"/>
                      <w:szCs w:val="20"/>
                      <w:lang w:eastAsia="en-AU"/>
                    </w:rPr>
                    <w:t>d</w:t>
                  </w:r>
                  <w:r w:rsidRPr="00C80FD9">
                    <w:rPr>
                      <w:rFonts w:ascii="Segoe UI" w:hAnsi="Segoe UI" w:cs="Segoe UI"/>
                      <w:b/>
                      <w:sz w:val="20"/>
                      <w:szCs w:val="20"/>
                      <w:lang w:eastAsia="en-AU"/>
                    </w:rPr>
                    <w:t>ata</w:t>
                  </w:r>
                </w:p>
                <w:p w14:paraId="781CC064" w14:textId="3C4924A8" w:rsidR="007A0DED" w:rsidRPr="00C80FD9" w:rsidRDefault="007A0DED" w:rsidP="007A0DED">
                  <w:pPr>
                    <w:pStyle w:val="NormalWeb"/>
                    <w:rPr>
                      <w:rFonts w:ascii="Segoe UI" w:hAnsi="Segoe UI" w:cs="Segoe UI"/>
                      <w:b/>
                      <w:sz w:val="20"/>
                      <w:szCs w:val="20"/>
                      <w:lang w:eastAsia="en-AU"/>
                    </w:rPr>
                  </w:pPr>
                </w:p>
              </w:tc>
              <w:tc>
                <w:tcPr>
                  <w:tcW w:w="7526" w:type="dxa"/>
                </w:tcPr>
                <w:p w14:paraId="020DB318" w14:textId="471CB8F5"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Set</w:t>
                  </w:r>
                  <w:r>
                    <w:rPr>
                      <w:rFonts w:ascii="Segoe UI" w:hAnsi="Segoe UI" w:cs="Segoe UI"/>
                      <w:sz w:val="20"/>
                      <w:szCs w:val="20"/>
                      <w:lang w:eastAsia="en-AU"/>
                    </w:rPr>
                    <w:t xml:space="preserve"> </w:t>
                  </w:r>
                  <w:r w:rsidRPr="00B34E24">
                    <w:rPr>
                      <w:rFonts w:ascii="Segoe UI" w:hAnsi="Segoe UI" w:cs="Segoe UI"/>
                      <w:sz w:val="20"/>
                      <w:szCs w:val="20"/>
                      <w:lang w:eastAsia="en-AU"/>
                    </w:rPr>
                    <w:t xml:space="preserve">up </w:t>
                  </w:r>
                  <w:r>
                    <w:rPr>
                      <w:rFonts w:ascii="Segoe UI" w:hAnsi="Segoe UI" w:cs="Segoe UI"/>
                      <w:sz w:val="20"/>
                      <w:szCs w:val="20"/>
                      <w:lang w:eastAsia="en-AU"/>
                    </w:rPr>
                    <w:t>c</w:t>
                  </w:r>
                  <w:r w:rsidRPr="00B34E24">
                    <w:rPr>
                      <w:rFonts w:ascii="Segoe UI" w:hAnsi="Segoe UI" w:cs="Segoe UI"/>
                      <w:sz w:val="20"/>
                      <w:szCs w:val="20"/>
                      <w:lang w:eastAsia="en-AU"/>
                    </w:rPr>
                    <w:t xml:space="preserve">loud </w:t>
                  </w:r>
                  <w:r>
                    <w:rPr>
                      <w:rFonts w:ascii="Segoe UI" w:hAnsi="Segoe UI" w:cs="Segoe UI"/>
                      <w:sz w:val="20"/>
                      <w:szCs w:val="20"/>
                      <w:lang w:eastAsia="en-AU"/>
                    </w:rPr>
                    <w:t>s</w:t>
                  </w:r>
                  <w:r w:rsidRPr="00B34E24">
                    <w:rPr>
                      <w:rFonts w:ascii="Segoe UI" w:hAnsi="Segoe UI" w:cs="Segoe UI"/>
                      <w:sz w:val="20"/>
                      <w:szCs w:val="20"/>
                      <w:lang w:eastAsia="en-AU"/>
                    </w:rPr>
                    <w:t>napshots that are taken frequently during data migration. When a cloud snapshot is taken</w:t>
                  </w:r>
                  <w:r>
                    <w:rPr>
                      <w:rFonts w:ascii="Segoe UI" w:hAnsi="Segoe UI" w:cs="Segoe UI"/>
                      <w:sz w:val="20"/>
                      <w:szCs w:val="20"/>
                      <w:lang w:eastAsia="en-AU"/>
                    </w:rPr>
                    <w:t>,</w:t>
                  </w:r>
                  <w:r w:rsidRPr="00B34E24">
                    <w:rPr>
                      <w:rFonts w:ascii="Segoe UI" w:hAnsi="Segoe UI" w:cs="Segoe UI"/>
                      <w:sz w:val="20"/>
                      <w:szCs w:val="20"/>
                      <w:lang w:eastAsia="en-AU"/>
                    </w:rPr>
                    <w:t xml:space="preserve"> all data in the volume is copied to the cloud. This improve</w:t>
                  </w:r>
                  <w:r>
                    <w:rPr>
                      <w:rFonts w:ascii="Segoe UI" w:hAnsi="Segoe UI" w:cs="Segoe UI"/>
                      <w:sz w:val="20"/>
                      <w:szCs w:val="20"/>
                      <w:lang w:eastAsia="en-AU"/>
                    </w:rPr>
                    <w:t>s the</w:t>
                  </w:r>
                  <w:r w:rsidRPr="00B34E24">
                    <w:rPr>
                      <w:rFonts w:ascii="Segoe UI" w:hAnsi="Segoe UI" w:cs="Segoe UI"/>
                      <w:sz w:val="20"/>
                      <w:szCs w:val="20"/>
                      <w:lang w:eastAsia="en-AU"/>
                    </w:rPr>
                    <w:t xml:space="preserve"> overall performance of StorSimple </w:t>
                  </w:r>
                  <w:r>
                    <w:rPr>
                      <w:rFonts w:ascii="Segoe UI" w:hAnsi="Segoe UI" w:cs="Segoe UI"/>
                      <w:sz w:val="20"/>
                      <w:szCs w:val="20"/>
                      <w:lang w:eastAsia="en-AU"/>
                    </w:rPr>
                    <w:t>when</w:t>
                  </w:r>
                  <w:r w:rsidRPr="00B34E24">
                    <w:rPr>
                      <w:rFonts w:ascii="Segoe UI" w:hAnsi="Segoe UI" w:cs="Segoe UI"/>
                      <w:sz w:val="20"/>
                      <w:szCs w:val="20"/>
                      <w:lang w:eastAsia="en-AU"/>
                    </w:rPr>
                    <w:t xml:space="preserve"> normal operations resume</w:t>
                  </w:r>
                  <w:r>
                    <w:rPr>
                      <w:rFonts w:ascii="Segoe UI" w:hAnsi="Segoe UI" w:cs="Segoe UI"/>
                      <w:sz w:val="20"/>
                      <w:szCs w:val="20"/>
                      <w:lang w:eastAsia="en-AU"/>
                    </w:rPr>
                    <w:t>.</w:t>
                  </w:r>
                </w:p>
              </w:tc>
            </w:tr>
            <w:tr w:rsidR="007A0DED" w:rsidRPr="004B3E51" w14:paraId="2CFAB9BD" w14:textId="77777777" w:rsidTr="00832729">
              <w:tc>
                <w:tcPr>
                  <w:tcW w:w="1811" w:type="dxa"/>
                  <w:vMerge/>
                </w:tcPr>
                <w:p w14:paraId="21A0BD4F" w14:textId="6FF900BC" w:rsidR="007A0DED" w:rsidRPr="00C80FD9" w:rsidRDefault="007A0DED" w:rsidP="007A0DED">
                  <w:pPr>
                    <w:pStyle w:val="NormalWeb"/>
                    <w:rPr>
                      <w:rFonts w:ascii="Segoe UI" w:hAnsi="Segoe UI" w:cs="Segoe UI"/>
                      <w:b/>
                      <w:sz w:val="20"/>
                      <w:szCs w:val="20"/>
                      <w:lang w:eastAsia="en-AU"/>
                    </w:rPr>
                  </w:pPr>
                </w:p>
              </w:tc>
              <w:tc>
                <w:tcPr>
                  <w:tcW w:w="7526" w:type="dxa"/>
                </w:tcPr>
                <w:p w14:paraId="2E8B319A" w14:textId="272FAC72"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 xml:space="preserve">Before migrating the data, use a file classification </w:t>
                  </w:r>
                  <w:r>
                    <w:rPr>
                      <w:rFonts w:ascii="Segoe UI" w:hAnsi="Segoe UI" w:cs="Segoe UI"/>
                      <w:sz w:val="20"/>
                      <w:szCs w:val="20"/>
                      <w:lang w:eastAsia="en-AU"/>
                    </w:rPr>
                    <w:t>tool</w:t>
                  </w:r>
                  <w:r w:rsidRPr="00B34E24">
                    <w:rPr>
                      <w:rFonts w:ascii="Segoe UI" w:hAnsi="Segoe UI" w:cs="Segoe UI"/>
                      <w:sz w:val="20"/>
                      <w:szCs w:val="20"/>
                      <w:lang w:eastAsia="en-AU"/>
                    </w:rPr>
                    <w:t xml:space="preserve"> like Microsoft File Server Resource Manager to gain insight on the amount, type, and location of the data on the original storage system</w:t>
                  </w:r>
                  <w:r>
                    <w:rPr>
                      <w:rFonts w:ascii="Segoe UI" w:hAnsi="Segoe UI" w:cs="Segoe UI"/>
                      <w:sz w:val="20"/>
                      <w:szCs w:val="20"/>
                      <w:lang w:eastAsia="en-AU"/>
                    </w:rPr>
                    <w:t>—</w:t>
                  </w:r>
                  <w:r w:rsidRPr="00B34E24">
                    <w:rPr>
                      <w:rFonts w:ascii="Segoe UI" w:hAnsi="Segoe UI" w:cs="Segoe UI"/>
                      <w:sz w:val="20"/>
                      <w:szCs w:val="20"/>
                      <w:lang w:eastAsia="en-AU"/>
                    </w:rPr>
                    <w:t>specifically the data that is not being accessed and should be tiered to the cloud (this data is generally referred to as cold data). Contact StorSimple Support for additional assistance with developing a data migration strategy</w:t>
                  </w:r>
                  <w:r>
                    <w:rPr>
                      <w:rFonts w:ascii="Segoe UI" w:hAnsi="Segoe UI" w:cs="Segoe UI"/>
                      <w:sz w:val="20"/>
                      <w:szCs w:val="20"/>
                      <w:lang w:eastAsia="en-AU"/>
                    </w:rPr>
                    <w:t>.</w:t>
                  </w:r>
                </w:p>
              </w:tc>
            </w:tr>
            <w:tr w:rsidR="007A0DED" w:rsidRPr="004B3E51" w14:paraId="4A7E86B0" w14:textId="77777777" w:rsidTr="00832729">
              <w:trPr>
                <w:cnfStyle w:val="000000100000" w:firstRow="0" w:lastRow="0" w:firstColumn="0" w:lastColumn="0" w:oddVBand="0" w:evenVBand="0" w:oddHBand="1" w:evenHBand="0" w:firstRowFirstColumn="0" w:firstRowLastColumn="0" w:lastRowFirstColumn="0" w:lastRowLastColumn="0"/>
              </w:trPr>
              <w:tc>
                <w:tcPr>
                  <w:tcW w:w="1811" w:type="dxa"/>
                  <w:vMerge/>
                </w:tcPr>
                <w:p w14:paraId="29B44481" w14:textId="4598F6D1" w:rsidR="007A0DED" w:rsidRPr="00C80FD9" w:rsidRDefault="007A0DED" w:rsidP="007A0DED">
                  <w:pPr>
                    <w:pStyle w:val="NormalWeb"/>
                    <w:rPr>
                      <w:rFonts w:ascii="Segoe UI" w:hAnsi="Segoe UI" w:cs="Segoe UI"/>
                      <w:b/>
                      <w:sz w:val="20"/>
                      <w:szCs w:val="20"/>
                      <w:lang w:eastAsia="en-AU"/>
                    </w:rPr>
                  </w:pPr>
                </w:p>
              </w:tc>
              <w:tc>
                <w:tcPr>
                  <w:tcW w:w="7526" w:type="dxa"/>
                </w:tcPr>
                <w:p w14:paraId="3002D7FC" w14:textId="77777777" w:rsidR="007A0DED"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 xml:space="preserve">Migrate the infrequently accessed (cold) data first, if possible, and then the frequently accessed (hot) data. Migration should be done during periods where there is minimal activity on the systems. </w:t>
                  </w:r>
                </w:p>
                <w:p w14:paraId="7824BA2E" w14:textId="77777777" w:rsidR="007A0DED"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 xml:space="preserve">The time it takes to migrate data from the older storage system to StorSimple is dependent on the amount of data and any shared resources. In general terms, during a period of migration, a user can expect to see </w:t>
                  </w:r>
                  <w:r>
                    <w:rPr>
                      <w:rFonts w:ascii="Segoe UI" w:hAnsi="Segoe UI" w:cs="Segoe UI"/>
                      <w:sz w:val="20"/>
                      <w:szCs w:val="20"/>
                      <w:lang w:eastAsia="en-AU"/>
                    </w:rPr>
                    <w:t>W</w:t>
                  </w:r>
                  <w:r w:rsidRPr="00B34E24">
                    <w:rPr>
                      <w:rFonts w:ascii="Segoe UI" w:hAnsi="Segoe UI" w:cs="Segoe UI"/>
                      <w:sz w:val="20"/>
                      <w:szCs w:val="20"/>
                      <w:lang w:eastAsia="en-AU"/>
                    </w:rPr>
                    <w:t>rite throughput between</w:t>
                  </w:r>
                  <w:r>
                    <w:rPr>
                      <w:rFonts w:ascii="Segoe UI" w:hAnsi="Segoe UI" w:cs="Segoe UI"/>
                      <w:sz w:val="20"/>
                      <w:szCs w:val="20"/>
                      <w:lang w:eastAsia="en-AU"/>
                    </w:rPr>
                    <w:t> 2</w:t>
                  </w:r>
                  <w:r w:rsidRPr="00B34E24">
                    <w:rPr>
                      <w:rFonts w:ascii="Segoe UI" w:hAnsi="Segoe UI" w:cs="Segoe UI"/>
                      <w:sz w:val="20"/>
                      <w:szCs w:val="20"/>
                      <w:lang w:eastAsia="en-AU"/>
                    </w:rPr>
                    <w:t xml:space="preserve">0 </w:t>
                  </w:r>
                  <w:r>
                    <w:rPr>
                      <w:rFonts w:ascii="Segoe UI" w:hAnsi="Segoe UI" w:cs="Segoe UI"/>
                      <w:sz w:val="20"/>
                      <w:szCs w:val="20"/>
                      <w:lang w:eastAsia="en-AU"/>
                    </w:rPr>
                    <w:t>and 1</w:t>
                  </w:r>
                  <w:r w:rsidRPr="00B34E24">
                    <w:rPr>
                      <w:rFonts w:ascii="Segoe UI" w:hAnsi="Segoe UI" w:cs="Segoe UI"/>
                      <w:sz w:val="20"/>
                      <w:szCs w:val="20"/>
                      <w:lang w:eastAsia="en-AU"/>
                    </w:rPr>
                    <w:t xml:space="preserve">00 MB/s depending on how full the solution is. </w:t>
                  </w:r>
                </w:p>
                <w:p w14:paraId="34077C89" w14:textId="77777777" w:rsidR="007A0DED"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 xml:space="preserve">For a solution that has data on the </w:t>
                  </w:r>
                  <w:r>
                    <w:rPr>
                      <w:rFonts w:ascii="Segoe UI" w:hAnsi="Segoe UI" w:cs="Segoe UI"/>
                      <w:sz w:val="20"/>
                      <w:szCs w:val="20"/>
                      <w:lang w:eastAsia="en-AU"/>
                    </w:rPr>
                    <w:t>solid-state drive (</w:t>
                  </w:r>
                  <w:r w:rsidRPr="00B34E24">
                    <w:rPr>
                      <w:rFonts w:ascii="Segoe UI" w:hAnsi="Segoe UI" w:cs="Segoe UI"/>
                      <w:sz w:val="20"/>
                      <w:szCs w:val="20"/>
                      <w:lang w:eastAsia="en-AU"/>
                    </w:rPr>
                    <w:t>SSD</w:t>
                  </w:r>
                  <w:r>
                    <w:rPr>
                      <w:rFonts w:ascii="Segoe UI" w:hAnsi="Segoe UI" w:cs="Segoe UI"/>
                      <w:sz w:val="20"/>
                      <w:szCs w:val="20"/>
                      <w:lang w:eastAsia="en-AU"/>
                    </w:rPr>
                    <w:t>)</w:t>
                  </w:r>
                  <w:r w:rsidRPr="00B34E24">
                    <w:rPr>
                      <w:rFonts w:ascii="Segoe UI" w:hAnsi="Segoe UI" w:cs="Segoe UI"/>
                      <w:sz w:val="20"/>
                      <w:szCs w:val="20"/>
                      <w:lang w:eastAsia="en-AU"/>
                    </w:rPr>
                    <w:t xml:space="preserve"> tier only, expected performance would be around</w:t>
                  </w:r>
                  <w:r>
                    <w:rPr>
                      <w:rFonts w:ascii="Segoe UI" w:hAnsi="Segoe UI" w:cs="Segoe UI"/>
                      <w:sz w:val="20"/>
                      <w:szCs w:val="20"/>
                      <w:lang w:eastAsia="en-AU"/>
                    </w:rPr>
                    <w:t> 1</w:t>
                  </w:r>
                  <w:r w:rsidRPr="00B34E24">
                    <w:rPr>
                      <w:rFonts w:ascii="Segoe UI" w:hAnsi="Segoe UI" w:cs="Segoe UI"/>
                      <w:sz w:val="20"/>
                      <w:szCs w:val="20"/>
                      <w:lang w:eastAsia="en-AU"/>
                    </w:rPr>
                    <w:t>00 MB/s (up to</w:t>
                  </w:r>
                  <w:r>
                    <w:rPr>
                      <w:rFonts w:ascii="Segoe UI" w:hAnsi="Segoe UI" w:cs="Segoe UI"/>
                      <w:sz w:val="20"/>
                      <w:szCs w:val="20"/>
                      <w:lang w:eastAsia="en-AU"/>
                    </w:rPr>
                    <w:t> 2</w:t>
                  </w:r>
                  <w:r w:rsidRPr="00B34E24">
                    <w:rPr>
                      <w:rFonts w:ascii="Segoe UI" w:hAnsi="Segoe UI" w:cs="Segoe UI"/>
                      <w:sz w:val="20"/>
                      <w:szCs w:val="20"/>
                      <w:lang w:eastAsia="en-AU"/>
                    </w:rPr>
                    <w:t xml:space="preserve">00 MB/s for deployments with MPIO). </w:t>
                  </w:r>
                </w:p>
                <w:p w14:paraId="03B4CF3A" w14:textId="1E415722"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 xml:space="preserve">For a solution that has SSD and </w:t>
                  </w:r>
                  <w:r>
                    <w:rPr>
                      <w:rFonts w:ascii="Segoe UI" w:hAnsi="Segoe UI" w:cs="Segoe UI"/>
                      <w:sz w:val="20"/>
                      <w:szCs w:val="20"/>
                      <w:lang w:eastAsia="en-AU"/>
                    </w:rPr>
                    <w:t>hard disk drive (</w:t>
                  </w:r>
                  <w:r w:rsidRPr="00B34E24">
                    <w:rPr>
                      <w:rFonts w:ascii="Segoe UI" w:hAnsi="Segoe UI" w:cs="Segoe UI"/>
                      <w:sz w:val="20"/>
                      <w:szCs w:val="20"/>
                      <w:lang w:eastAsia="en-AU"/>
                    </w:rPr>
                    <w:t>HDD</w:t>
                  </w:r>
                  <w:r>
                    <w:rPr>
                      <w:rFonts w:ascii="Segoe UI" w:hAnsi="Segoe UI" w:cs="Segoe UI"/>
                      <w:sz w:val="20"/>
                      <w:szCs w:val="20"/>
                      <w:lang w:eastAsia="en-AU"/>
                    </w:rPr>
                    <w:t>)</w:t>
                  </w:r>
                  <w:r w:rsidRPr="00B34E24">
                    <w:rPr>
                      <w:rFonts w:ascii="Segoe UI" w:hAnsi="Segoe UI" w:cs="Segoe UI"/>
                      <w:sz w:val="20"/>
                      <w:szCs w:val="20"/>
                      <w:lang w:eastAsia="en-AU"/>
                    </w:rPr>
                    <w:t xml:space="preserve"> tiers that are relatively full and pushing data to the cloud, expected performance would be up to</w:t>
                  </w:r>
                  <w:r>
                    <w:rPr>
                      <w:rFonts w:ascii="Segoe UI" w:hAnsi="Segoe UI" w:cs="Segoe UI"/>
                      <w:sz w:val="20"/>
                      <w:szCs w:val="20"/>
                      <w:lang w:eastAsia="en-AU"/>
                    </w:rPr>
                    <w:t> 2</w:t>
                  </w:r>
                  <w:r w:rsidRPr="00B34E24">
                    <w:rPr>
                      <w:rFonts w:ascii="Segoe UI" w:hAnsi="Segoe UI" w:cs="Segoe UI"/>
                      <w:sz w:val="20"/>
                      <w:szCs w:val="20"/>
                      <w:lang w:eastAsia="en-AU"/>
                    </w:rPr>
                    <w:t xml:space="preserve">0 MB/s, depending on Internet bandwidth available. Deployments configured with MPIO can expect to see higher </w:t>
                  </w:r>
                  <w:r>
                    <w:rPr>
                      <w:rFonts w:ascii="Segoe UI" w:hAnsi="Segoe UI" w:cs="Segoe UI"/>
                      <w:sz w:val="20"/>
                      <w:szCs w:val="20"/>
                      <w:lang w:eastAsia="en-AU"/>
                    </w:rPr>
                    <w:t>W</w:t>
                  </w:r>
                  <w:r w:rsidRPr="00B34E24">
                    <w:rPr>
                      <w:rFonts w:ascii="Segoe UI" w:hAnsi="Segoe UI" w:cs="Segoe UI"/>
                      <w:sz w:val="20"/>
                      <w:szCs w:val="20"/>
                      <w:lang w:eastAsia="en-AU"/>
                    </w:rPr>
                    <w:t>rite throughput.</w:t>
                  </w:r>
                </w:p>
              </w:tc>
            </w:tr>
            <w:tr w:rsidR="007A0DED" w:rsidRPr="004B3E51" w14:paraId="435D13B6" w14:textId="77777777" w:rsidTr="00832729">
              <w:tc>
                <w:tcPr>
                  <w:tcW w:w="1811" w:type="dxa"/>
                  <w:vMerge w:val="restart"/>
                </w:tcPr>
                <w:p w14:paraId="7301E4A0" w14:textId="30BAEEC8" w:rsidR="007A0DED" w:rsidRPr="00C80FD9" w:rsidRDefault="007A0DED" w:rsidP="007A0DED">
                  <w:pPr>
                    <w:pStyle w:val="NormalWeb"/>
                    <w:rPr>
                      <w:rFonts w:ascii="Segoe UI" w:hAnsi="Segoe UI" w:cs="Segoe UI"/>
                      <w:b/>
                      <w:sz w:val="20"/>
                      <w:szCs w:val="20"/>
                      <w:lang w:eastAsia="en-AU"/>
                    </w:rPr>
                  </w:pPr>
                  <w:r w:rsidRPr="00C80FD9">
                    <w:rPr>
                      <w:rFonts w:ascii="Segoe UI" w:hAnsi="Segoe UI" w:cs="Segoe UI"/>
                      <w:b/>
                      <w:sz w:val="20"/>
                      <w:szCs w:val="20"/>
                      <w:lang w:eastAsia="en-AU"/>
                    </w:rPr>
                    <w:t>Data security and encryption</w:t>
                  </w:r>
                </w:p>
              </w:tc>
              <w:tc>
                <w:tcPr>
                  <w:tcW w:w="7526" w:type="dxa"/>
                </w:tcPr>
                <w:p w14:paraId="2AACD466" w14:textId="2A1BAFE8"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The backup XML configuration file should be stored outside of Azure. This can be on a passcode protected server or USB drive.</w:t>
                  </w:r>
                </w:p>
              </w:tc>
            </w:tr>
            <w:tr w:rsidR="007A0DED" w:rsidRPr="004B3E51" w14:paraId="6BD0B22A" w14:textId="77777777" w:rsidTr="00832729">
              <w:trPr>
                <w:cnfStyle w:val="000000100000" w:firstRow="0" w:lastRow="0" w:firstColumn="0" w:lastColumn="0" w:oddVBand="0" w:evenVBand="0" w:oddHBand="1" w:evenHBand="0" w:firstRowFirstColumn="0" w:firstRowLastColumn="0" w:lastRowFirstColumn="0" w:lastRowLastColumn="0"/>
              </w:trPr>
              <w:tc>
                <w:tcPr>
                  <w:tcW w:w="1811" w:type="dxa"/>
                  <w:vMerge/>
                </w:tcPr>
                <w:p w14:paraId="64CA11F8" w14:textId="7FF4B38D" w:rsidR="007A0DED" w:rsidRPr="00C80FD9" w:rsidRDefault="007A0DED" w:rsidP="007A0DED">
                  <w:pPr>
                    <w:pStyle w:val="NormalWeb"/>
                    <w:rPr>
                      <w:rFonts w:ascii="Segoe UI" w:hAnsi="Segoe UI" w:cs="Segoe UI"/>
                      <w:b/>
                      <w:sz w:val="20"/>
                      <w:szCs w:val="20"/>
                      <w:lang w:eastAsia="en-AU"/>
                    </w:rPr>
                  </w:pPr>
                </w:p>
              </w:tc>
              <w:tc>
                <w:tcPr>
                  <w:tcW w:w="7526" w:type="dxa"/>
                </w:tcPr>
                <w:p w14:paraId="372043AA" w14:textId="1C03B7FB"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 xml:space="preserve">Use different storage accounts for different departments, projects, roles, </w:t>
                  </w:r>
                  <w:r>
                    <w:rPr>
                      <w:rFonts w:ascii="Segoe UI" w:hAnsi="Segoe UI" w:cs="Segoe UI"/>
                      <w:sz w:val="20"/>
                      <w:szCs w:val="20"/>
                      <w:lang w:eastAsia="en-AU"/>
                    </w:rPr>
                    <w:t>and so on</w:t>
                  </w:r>
                  <w:r w:rsidRPr="00B34E24">
                    <w:rPr>
                      <w:rFonts w:ascii="Segoe UI" w:hAnsi="Segoe UI" w:cs="Segoe UI"/>
                      <w:sz w:val="20"/>
                      <w:szCs w:val="20"/>
                      <w:lang w:eastAsia="en-AU"/>
                    </w:rPr>
                    <w:t>. There can be</w:t>
                  </w:r>
                  <w:r>
                    <w:rPr>
                      <w:rFonts w:ascii="Segoe UI" w:hAnsi="Segoe UI" w:cs="Segoe UI"/>
                      <w:sz w:val="20"/>
                      <w:szCs w:val="20"/>
                      <w:lang w:eastAsia="en-AU"/>
                    </w:rPr>
                    <w:t> 6</w:t>
                  </w:r>
                  <w:r w:rsidRPr="00B34E24">
                    <w:rPr>
                      <w:rFonts w:ascii="Segoe UI" w:hAnsi="Segoe UI" w:cs="Segoe UI"/>
                      <w:sz w:val="20"/>
                      <w:szCs w:val="20"/>
                      <w:lang w:eastAsia="en-AU"/>
                    </w:rPr>
                    <w:t>4 storage accounts per StorSimple solution.</w:t>
                  </w:r>
                </w:p>
              </w:tc>
            </w:tr>
            <w:tr w:rsidR="007A0DED" w:rsidRPr="004B3E51" w14:paraId="0BC19CF1" w14:textId="77777777" w:rsidTr="00832729">
              <w:tc>
                <w:tcPr>
                  <w:tcW w:w="1811" w:type="dxa"/>
                  <w:vMerge w:val="restart"/>
                </w:tcPr>
                <w:p w14:paraId="404FD431" w14:textId="2DC5C3DB" w:rsidR="007A0DED" w:rsidRPr="00C80FD9" w:rsidRDefault="007A0DED" w:rsidP="007A0DED">
                  <w:pPr>
                    <w:pStyle w:val="NormalWeb"/>
                    <w:rPr>
                      <w:rFonts w:ascii="Segoe UI" w:hAnsi="Segoe UI" w:cs="Segoe UI"/>
                      <w:b/>
                      <w:sz w:val="20"/>
                      <w:szCs w:val="20"/>
                      <w:lang w:eastAsia="en-AU"/>
                    </w:rPr>
                  </w:pPr>
                  <w:r w:rsidRPr="00C80FD9">
                    <w:rPr>
                      <w:rFonts w:ascii="Segoe UI" w:hAnsi="Segoe UI" w:cs="Segoe UI"/>
                      <w:b/>
                      <w:sz w:val="20"/>
                      <w:szCs w:val="20"/>
                      <w:lang w:eastAsia="en-AU"/>
                    </w:rPr>
                    <w:t>Monitoring, reporting, and system health</w:t>
                  </w:r>
                </w:p>
              </w:tc>
              <w:tc>
                <w:tcPr>
                  <w:tcW w:w="7526" w:type="dxa"/>
                </w:tcPr>
                <w:p w14:paraId="518C3B09" w14:textId="2C19855B"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 xml:space="preserve">For ease of debugging, have a serial console connection from both controllers to a server </w:t>
                  </w:r>
                  <w:r>
                    <w:rPr>
                      <w:rFonts w:ascii="Segoe UI" w:hAnsi="Segoe UI" w:cs="Segoe UI"/>
                      <w:sz w:val="20"/>
                      <w:szCs w:val="20"/>
                      <w:lang w:eastAsia="en-AU"/>
                    </w:rPr>
                    <w:t>that</w:t>
                  </w:r>
                  <w:r w:rsidRPr="00B34E24">
                    <w:rPr>
                      <w:rFonts w:ascii="Segoe UI" w:hAnsi="Segoe UI" w:cs="Segoe UI"/>
                      <w:sz w:val="20"/>
                      <w:szCs w:val="20"/>
                      <w:lang w:eastAsia="en-AU"/>
                    </w:rPr>
                    <w:t xml:space="preserve"> can be reached remotely</w:t>
                  </w:r>
                  <w:r>
                    <w:rPr>
                      <w:rFonts w:ascii="Segoe UI" w:hAnsi="Segoe UI" w:cs="Segoe UI"/>
                      <w:sz w:val="20"/>
                      <w:szCs w:val="20"/>
                      <w:lang w:eastAsia="en-AU"/>
                    </w:rPr>
                    <w:t>.</w:t>
                  </w:r>
                </w:p>
              </w:tc>
            </w:tr>
            <w:tr w:rsidR="007A0DED" w:rsidRPr="004B3E51" w14:paraId="611DA828" w14:textId="77777777" w:rsidTr="00832729">
              <w:trPr>
                <w:cnfStyle w:val="000000100000" w:firstRow="0" w:lastRow="0" w:firstColumn="0" w:lastColumn="0" w:oddVBand="0" w:evenVBand="0" w:oddHBand="1" w:evenHBand="0" w:firstRowFirstColumn="0" w:firstRowLastColumn="0" w:lastRowFirstColumn="0" w:lastRowLastColumn="0"/>
              </w:trPr>
              <w:tc>
                <w:tcPr>
                  <w:tcW w:w="1811" w:type="dxa"/>
                  <w:vMerge/>
                </w:tcPr>
                <w:p w14:paraId="1DAE86C5" w14:textId="5A99C619" w:rsidR="007A0DED" w:rsidRPr="00C80FD9" w:rsidRDefault="007A0DED" w:rsidP="007A0DED">
                  <w:pPr>
                    <w:pStyle w:val="NormalWeb"/>
                    <w:rPr>
                      <w:rFonts w:ascii="Segoe UI" w:hAnsi="Segoe UI" w:cs="Segoe UI"/>
                      <w:b/>
                      <w:sz w:val="20"/>
                      <w:szCs w:val="20"/>
                      <w:lang w:eastAsia="en-AU"/>
                    </w:rPr>
                  </w:pPr>
                </w:p>
              </w:tc>
              <w:tc>
                <w:tcPr>
                  <w:tcW w:w="7526" w:type="dxa"/>
                </w:tcPr>
                <w:p w14:paraId="4B74F667" w14:textId="10DEAB5B"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Regularly check the health of the system to ensure that all hardware is functioning as expected. The health of the system components can be viewed from the StorSimple Manager.</w:t>
                  </w:r>
                </w:p>
              </w:tc>
            </w:tr>
            <w:tr w:rsidR="007A0DED" w:rsidRPr="004B3E51" w14:paraId="0166D254" w14:textId="77777777" w:rsidTr="00832729">
              <w:tc>
                <w:tcPr>
                  <w:tcW w:w="1811" w:type="dxa"/>
                  <w:vMerge/>
                </w:tcPr>
                <w:p w14:paraId="49C8DF19" w14:textId="20C81692" w:rsidR="007A0DED" w:rsidRPr="00C80FD9" w:rsidRDefault="007A0DED" w:rsidP="007A0DED">
                  <w:pPr>
                    <w:pStyle w:val="NormalWeb"/>
                    <w:rPr>
                      <w:rFonts w:ascii="Segoe UI" w:hAnsi="Segoe UI" w:cs="Segoe UI"/>
                      <w:b/>
                      <w:sz w:val="20"/>
                      <w:szCs w:val="20"/>
                      <w:lang w:eastAsia="en-AU"/>
                    </w:rPr>
                  </w:pPr>
                </w:p>
              </w:tc>
              <w:tc>
                <w:tcPr>
                  <w:tcW w:w="7526" w:type="dxa"/>
                </w:tcPr>
                <w:p w14:paraId="1564509E" w14:textId="77777777" w:rsidR="007A0DED"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Enable email alerts to be sent when there is a change in the system. This allow</w:t>
                  </w:r>
                  <w:r>
                    <w:rPr>
                      <w:rFonts w:ascii="Segoe UI" w:hAnsi="Segoe UI" w:cs="Segoe UI"/>
                      <w:sz w:val="20"/>
                      <w:szCs w:val="20"/>
                      <w:lang w:eastAsia="en-AU"/>
                    </w:rPr>
                    <w:t>s</w:t>
                  </w:r>
                  <w:r w:rsidRPr="00B34E24">
                    <w:rPr>
                      <w:rFonts w:ascii="Segoe UI" w:hAnsi="Segoe UI" w:cs="Segoe UI"/>
                      <w:sz w:val="20"/>
                      <w:szCs w:val="20"/>
                      <w:lang w:eastAsia="en-AU"/>
                    </w:rPr>
                    <w:t xml:space="preserve"> prompt notification to any changes that may impact or degrade the system. </w:t>
                  </w:r>
                </w:p>
                <w:p w14:paraId="3A239062" w14:textId="44756A21"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StorSimple is architected with high availability in mind and to withstand a failure of a single hardware component (or in some cases</w:t>
                  </w:r>
                  <w:r>
                    <w:rPr>
                      <w:rFonts w:ascii="Segoe UI" w:hAnsi="Segoe UI" w:cs="Segoe UI"/>
                      <w:sz w:val="20"/>
                      <w:szCs w:val="20"/>
                      <w:lang w:eastAsia="en-AU"/>
                    </w:rPr>
                    <w:t>,</w:t>
                  </w:r>
                  <w:r w:rsidRPr="00B34E24">
                    <w:rPr>
                      <w:rFonts w:ascii="Segoe UI" w:hAnsi="Segoe UI" w:cs="Segoe UI"/>
                      <w:sz w:val="20"/>
                      <w:szCs w:val="20"/>
                      <w:lang w:eastAsia="en-AU"/>
                    </w:rPr>
                    <w:t xml:space="preserve"> more than one</w:t>
                  </w:r>
                  <w:r>
                    <w:rPr>
                      <w:rFonts w:ascii="Segoe UI" w:hAnsi="Segoe UI" w:cs="Segoe UI"/>
                      <w:sz w:val="20"/>
                      <w:szCs w:val="20"/>
                      <w:lang w:eastAsia="en-AU"/>
                    </w:rPr>
                    <w:t xml:space="preserve"> component</w:t>
                  </w:r>
                  <w:r w:rsidRPr="00B34E24">
                    <w:rPr>
                      <w:rFonts w:ascii="Segoe UI" w:hAnsi="Segoe UI" w:cs="Segoe UI"/>
                      <w:sz w:val="20"/>
                      <w:szCs w:val="20"/>
                      <w:lang w:eastAsia="en-AU"/>
                    </w:rPr>
                    <w:t xml:space="preserve">). </w:t>
                  </w:r>
                  <w:r>
                    <w:rPr>
                      <w:rFonts w:ascii="Segoe UI" w:hAnsi="Segoe UI" w:cs="Segoe UI"/>
                      <w:sz w:val="20"/>
                      <w:szCs w:val="20"/>
                      <w:lang w:eastAsia="en-AU"/>
                    </w:rPr>
                    <w:t>We</w:t>
                  </w:r>
                  <w:r w:rsidRPr="00B34E24">
                    <w:rPr>
                      <w:rFonts w:ascii="Segoe UI" w:hAnsi="Segoe UI" w:cs="Segoe UI"/>
                      <w:sz w:val="20"/>
                      <w:szCs w:val="20"/>
                      <w:lang w:eastAsia="en-AU"/>
                    </w:rPr>
                    <w:t xml:space="preserve"> recommend </w:t>
                  </w:r>
                  <w:r>
                    <w:rPr>
                      <w:rFonts w:ascii="Segoe UI" w:hAnsi="Segoe UI" w:cs="Segoe UI"/>
                      <w:sz w:val="20"/>
                      <w:szCs w:val="20"/>
                      <w:lang w:eastAsia="en-AU"/>
                    </w:rPr>
                    <w:t>that you</w:t>
                  </w:r>
                  <w:r w:rsidRPr="00B34E24">
                    <w:rPr>
                      <w:rFonts w:ascii="Segoe UI" w:hAnsi="Segoe UI" w:cs="Segoe UI"/>
                      <w:sz w:val="20"/>
                      <w:szCs w:val="20"/>
                      <w:lang w:eastAsia="en-AU"/>
                    </w:rPr>
                    <w:t xml:space="preserve"> correct any failures as soon as possible. Email alerts will expedite this process.</w:t>
                  </w:r>
                </w:p>
              </w:tc>
            </w:tr>
            <w:tr w:rsidR="007A0DED" w:rsidRPr="004B3E51" w14:paraId="01E10B03" w14:textId="77777777" w:rsidTr="00832729">
              <w:trPr>
                <w:cnfStyle w:val="000000100000" w:firstRow="0" w:lastRow="0" w:firstColumn="0" w:lastColumn="0" w:oddVBand="0" w:evenVBand="0" w:oddHBand="1" w:evenHBand="0" w:firstRowFirstColumn="0" w:firstRowLastColumn="0" w:lastRowFirstColumn="0" w:lastRowLastColumn="0"/>
              </w:trPr>
              <w:tc>
                <w:tcPr>
                  <w:tcW w:w="1811" w:type="dxa"/>
                  <w:vMerge/>
                </w:tcPr>
                <w:p w14:paraId="609F8202" w14:textId="03DB1CCE" w:rsidR="007A0DED" w:rsidRPr="00C80FD9" w:rsidRDefault="007A0DED" w:rsidP="007A0DED">
                  <w:pPr>
                    <w:pStyle w:val="NormalWeb"/>
                    <w:rPr>
                      <w:rFonts w:ascii="Segoe UI" w:hAnsi="Segoe UI" w:cs="Segoe UI"/>
                      <w:b/>
                      <w:sz w:val="20"/>
                      <w:szCs w:val="20"/>
                      <w:lang w:eastAsia="en-AU"/>
                    </w:rPr>
                  </w:pPr>
                </w:p>
              </w:tc>
              <w:tc>
                <w:tcPr>
                  <w:tcW w:w="7526" w:type="dxa"/>
                </w:tcPr>
                <w:p w14:paraId="624B67FC" w14:textId="1CBE5297"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 xml:space="preserve">Monitor the system performance and ensure that there is consistent </w:t>
                  </w:r>
                  <w:r>
                    <w:rPr>
                      <w:rFonts w:ascii="Segoe UI" w:hAnsi="Segoe UI" w:cs="Segoe UI"/>
                      <w:sz w:val="20"/>
                      <w:szCs w:val="20"/>
                      <w:lang w:eastAsia="en-AU"/>
                    </w:rPr>
                    <w:t>R</w:t>
                  </w:r>
                  <w:r w:rsidRPr="00B34E24">
                    <w:rPr>
                      <w:rFonts w:ascii="Segoe UI" w:hAnsi="Segoe UI" w:cs="Segoe UI"/>
                      <w:sz w:val="20"/>
                      <w:szCs w:val="20"/>
                      <w:lang w:eastAsia="en-AU"/>
                    </w:rPr>
                    <w:t>ead performance. Tiering data to the cloud is best for data that is not frequently accessed</w:t>
                  </w:r>
                  <w:r>
                    <w:rPr>
                      <w:rFonts w:ascii="Segoe UI" w:hAnsi="Segoe UI" w:cs="Segoe UI"/>
                      <w:sz w:val="20"/>
                      <w:szCs w:val="20"/>
                      <w:lang w:eastAsia="en-AU"/>
                    </w:rPr>
                    <w:t>.</w:t>
                  </w:r>
                  <w:r w:rsidRPr="00B34E24">
                    <w:rPr>
                      <w:rFonts w:ascii="Segoe UI" w:hAnsi="Segoe UI" w:cs="Segoe UI"/>
                      <w:sz w:val="20"/>
                      <w:szCs w:val="20"/>
                      <w:lang w:eastAsia="en-AU"/>
                    </w:rPr>
                    <w:t xml:space="preserve"> </w:t>
                  </w:r>
                  <w:r>
                    <w:rPr>
                      <w:rFonts w:ascii="Segoe UI" w:hAnsi="Segoe UI" w:cs="Segoe UI"/>
                      <w:sz w:val="20"/>
                      <w:szCs w:val="20"/>
                      <w:lang w:eastAsia="en-AU"/>
                    </w:rPr>
                    <w:t>H</w:t>
                  </w:r>
                  <w:r w:rsidRPr="00B34E24">
                    <w:rPr>
                      <w:rFonts w:ascii="Segoe UI" w:hAnsi="Segoe UI" w:cs="Segoe UI"/>
                      <w:sz w:val="20"/>
                      <w:szCs w:val="20"/>
                      <w:lang w:eastAsia="en-AU"/>
                    </w:rPr>
                    <w:t>owever</w:t>
                  </w:r>
                  <w:r>
                    <w:rPr>
                      <w:rFonts w:ascii="Segoe UI" w:hAnsi="Segoe UI" w:cs="Segoe UI"/>
                      <w:sz w:val="20"/>
                      <w:szCs w:val="20"/>
                      <w:lang w:eastAsia="en-AU"/>
                    </w:rPr>
                    <w:t>,</w:t>
                  </w:r>
                  <w:r w:rsidRPr="00B34E24">
                    <w:rPr>
                      <w:rFonts w:ascii="Segoe UI" w:hAnsi="Segoe UI" w:cs="Segoe UI"/>
                      <w:sz w:val="20"/>
                      <w:szCs w:val="20"/>
                      <w:lang w:eastAsia="en-AU"/>
                    </w:rPr>
                    <w:t xml:space="preserve"> if the appliance gets to a point where the working</w:t>
                  </w:r>
                  <w:r>
                    <w:rPr>
                      <w:rFonts w:ascii="Segoe UI" w:hAnsi="Segoe UI" w:cs="Segoe UI"/>
                      <w:sz w:val="20"/>
                      <w:szCs w:val="20"/>
                      <w:lang w:eastAsia="en-AU"/>
                    </w:rPr>
                    <w:t xml:space="preserve"> </w:t>
                  </w:r>
                  <w:r w:rsidRPr="00B34E24">
                    <w:rPr>
                      <w:rFonts w:ascii="Segoe UI" w:hAnsi="Segoe UI" w:cs="Segoe UI"/>
                      <w:sz w:val="20"/>
                      <w:szCs w:val="20"/>
                      <w:lang w:eastAsia="en-AU"/>
                    </w:rPr>
                    <w:t>set of data is exceeding available on-premises storage capacity</w:t>
                  </w:r>
                  <w:r>
                    <w:rPr>
                      <w:rFonts w:ascii="Segoe UI" w:hAnsi="Segoe UI" w:cs="Segoe UI"/>
                      <w:sz w:val="20"/>
                      <w:szCs w:val="20"/>
                      <w:lang w:eastAsia="en-AU"/>
                    </w:rPr>
                    <w:t>,</w:t>
                  </w:r>
                  <w:r w:rsidRPr="00B34E24">
                    <w:rPr>
                      <w:rFonts w:ascii="Segoe UI" w:hAnsi="Segoe UI" w:cs="Segoe UI"/>
                      <w:sz w:val="20"/>
                      <w:szCs w:val="20"/>
                      <w:lang w:eastAsia="en-AU"/>
                    </w:rPr>
                    <w:t xml:space="preserve"> there will be an impact to the performance. Contact StorSimple technical support if an impact to </w:t>
                  </w:r>
                  <w:r>
                    <w:rPr>
                      <w:rFonts w:ascii="Segoe UI" w:hAnsi="Segoe UI" w:cs="Segoe UI"/>
                      <w:sz w:val="20"/>
                      <w:szCs w:val="20"/>
                      <w:lang w:eastAsia="en-AU"/>
                    </w:rPr>
                    <w:t>R</w:t>
                  </w:r>
                  <w:r w:rsidRPr="00B34E24">
                    <w:rPr>
                      <w:rFonts w:ascii="Segoe UI" w:hAnsi="Segoe UI" w:cs="Segoe UI"/>
                      <w:sz w:val="20"/>
                      <w:szCs w:val="20"/>
                      <w:lang w:eastAsia="en-AU"/>
                    </w:rPr>
                    <w:t xml:space="preserve">ead performance becomes inconsistent or </w:t>
                  </w:r>
                  <w:r>
                    <w:rPr>
                      <w:rFonts w:ascii="Segoe UI" w:hAnsi="Segoe UI" w:cs="Segoe UI"/>
                      <w:sz w:val="20"/>
                      <w:szCs w:val="20"/>
                      <w:lang w:eastAsia="en-AU"/>
                    </w:rPr>
                    <w:t xml:space="preserve">reaches and </w:t>
                  </w:r>
                  <w:r w:rsidRPr="00B34E24">
                    <w:rPr>
                      <w:rFonts w:ascii="Segoe UI" w:hAnsi="Segoe UI" w:cs="Segoe UI"/>
                      <w:sz w:val="20"/>
                      <w:szCs w:val="20"/>
                      <w:lang w:eastAsia="en-AU"/>
                    </w:rPr>
                    <w:t>unacceptable low threshold.</w:t>
                  </w:r>
                </w:p>
              </w:tc>
            </w:tr>
            <w:tr w:rsidR="007A0DED" w:rsidRPr="004B3E51" w14:paraId="3966BD92" w14:textId="77777777" w:rsidTr="00832729">
              <w:tc>
                <w:tcPr>
                  <w:tcW w:w="1811" w:type="dxa"/>
                  <w:vMerge w:val="restart"/>
                </w:tcPr>
                <w:p w14:paraId="31702B1D" w14:textId="6A5DA3D0" w:rsidR="007A0DED" w:rsidRPr="00C80FD9" w:rsidRDefault="007A0DED" w:rsidP="007A0DED">
                  <w:pPr>
                    <w:pStyle w:val="NormalWeb"/>
                    <w:rPr>
                      <w:rFonts w:ascii="Segoe UI" w:hAnsi="Segoe UI" w:cs="Segoe UI"/>
                      <w:b/>
                      <w:sz w:val="20"/>
                      <w:szCs w:val="20"/>
                      <w:lang w:eastAsia="en-AU"/>
                    </w:rPr>
                  </w:pPr>
                  <w:r w:rsidRPr="00C80FD9">
                    <w:rPr>
                      <w:rFonts w:ascii="Segoe UI" w:hAnsi="Segoe UI" w:cs="Segoe UI"/>
                      <w:b/>
                      <w:sz w:val="20"/>
                      <w:szCs w:val="20"/>
                      <w:lang w:eastAsia="en-AU"/>
                    </w:rPr>
                    <w:t xml:space="preserve">Data </w:t>
                  </w:r>
                  <w:r>
                    <w:rPr>
                      <w:rFonts w:ascii="Segoe UI" w:hAnsi="Segoe UI" w:cs="Segoe UI"/>
                      <w:b/>
                      <w:sz w:val="20"/>
                      <w:szCs w:val="20"/>
                      <w:lang w:eastAsia="en-AU"/>
                    </w:rPr>
                    <w:t>p</w:t>
                  </w:r>
                  <w:r w:rsidRPr="00C80FD9">
                    <w:rPr>
                      <w:rFonts w:ascii="Segoe UI" w:hAnsi="Segoe UI" w:cs="Segoe UI"/>
                      <w:b/>
                      <w:sz w:val="20"/>
                      <w:szCs w:val="20"/>
                      <w:lang w:eastAsia="en-AU"/>
                    </w:rPr>
                    <w:t>rotection</w:t>
                  </w:r>
                </w:p>
              </w:tc>
              <w:tc>
                <w:tcPr>
                  <w:tcW w:w="7526" w:type="dxa"/>
                </w:tcPr>
                <w:p w14:paraId="4979B620" w14:textId="77777777" w:rsidR="007A0DED" w:rsidRPr="00B34E24" w:rsidRDefault="007A0DED" w:rsidP="007A0DED">
                  <w:pPr>
                    <w:pStyle w:val="NormalWeb"/>
                    <w:spacing w:before="0" w:line="276" w:lineRule="auto"/>
                    <w:rPr>
                      <w:rFonts w:ascii="Segoe UI" w:hAnsi="Segoe UI" w:cs="Segoe UI"/>
                      <w:sz w:val="20"/>
                      <w:szCs w:val="20"/>
                      <w:lang w:eastAsia="en-AU"/>
                    </w:rPr>
                  </w:pPr>
                  <w:r w:rsidRPr="00B34E24">
                    <w:rPr>
                      <w:rFonts w:ascii="Segoe UI" w:hAnsi="Segoe UI" w:cs="Segoe UI"/>
                      <w:sz w:val="20"/>
                      <w:szCs w:val="20"/>
                      <w:lang w:eastAsia="en-AU"/>
                    </w:rPr>
                    <w:t>Implement a data protection plan with three tiers of backup in mind:</w:t>
                  </w:r>
                </w:p>
                <w:p w14:paraId="5D4CD046" w14:textId="77777777" w:rsidR="007A0DED" w:rsidRPr="00B34E24" w:rsidRDefault="007A0DED" w:rsidP="005729D2">
                  <w:pPr>
                    <w:pStyle w:val="NormalWeb"/>
                    <w:numPr>
                      <w:ilvl w:val="0"/>
                      <w:numId w:val="34"/>
                    </w:numPr>
                    <w:spacing w:before="0" w:line="276" w:lineRule="auto"/>
                    <w:rPr>
                      <w:rFonts w:ascii="Segoe UI" w:hAnsi="Segoe UI" w:cs="Segoe UI"/>
                      <w:sz w:val="20"/>
                      <w:szCs w:val="20"/>
                      <w:lang w:eastAsia="en-AU"/>
                    </w:rPr>
                  </w:pPr>
                  <w:r w:rsidRPr="00B34E24">
                    <w:rPr>
                      <w:rFonts w:ascii="Segoe UI" w:hAnsi="Segoe UI" w:cs="Segoe UI"/>
                      <w:sz w:val="20"/>
                      <w:szCs w:val="20"/>
                      <w:lang w:eastAsia="en-AU"/>
                    </w:rPr>
                    <w:t>Short term retention that provides high performance for backup and restore.</w:t>
                  </w:r>
                </w:p>
                <w:p w14:paraId="66DF07C9" w14:textId="77777777" w:rsidR="007A0DED" w:rsidRPr="00B34E24" w:rsidRDefault="007A0DED" w:rsidP="005729D2">
                  <w:pPr>
                    <w:pStyle w:val="NormalWeb"/>
                    <w:numPr>
                      <w:ilvl w:val="0"/>
                      <w:numId w:val="34"/>
                    </w:numPr>
                    <w:spacing w:before="0" w:line="276" w:lineRule="auto"/>
                    <w:rPr>
                      <w:rFonts w:ascii="Segoe UI" w:hAnsi="Segoe UI" w:cs="Segoe UI"/>
                      <w:sz w:val="20"/>
                      <w:szCs w:val="20"/>
                      <w:lang w:eastAsia="en-AU"/>
                    </w:rPr>
                  </w:pPr>
                  <w:r w:rsidRPr="00B34E24">
                    <w:rPr>
                      <w:rFonts w:ascii="Segoe UI" w:hAnsi="Segoe UI" w:cs="Segoe UI"/>
                      <w:sz w:val="20"/>
                      <w:szCs w:val="20"/>
                      <w:lang w:eastAsia="en-AU"/>
                    </w:rPr>
                    <w:t>Medium term retention that provides medium performance for backup and restore.</w:t>
                  </w:r>
                </w:p>
                <w:p w14:paraId="578F8ED1" w14:textId="153A9B9D" w:rsidR="007A0DED" w:rsidRPr="00B34E24" w:rsidRDefault="007A0DED" w:rsidP="005729D2">
                  <w:pPr>
                    <w:pStyle w:val="NormalWeb"/>
                    <w:numPr>
                      <w:ilvl w:val="0"/>
                      <w:numId w:val="34"/>
                    </w:numPr>
                    <w:spacing w:before="0" w:line="276" w:lineRule="auto"/>
                    <w:rPr>
                      <w:rFonts w:ascii="Segoe UI" w:hAnsi="Segoe UI" w:cs="Segoe UI"/>
                      <w:sz w:val="20"/>
                      <w:szCs w:val="20"/>
                      <w:lang w:eastAsia="en-AU"/>
                    </w:rPr>
                  </w:pPr>
                  <w:r w:rsidRPr="00B34E24">
                    <w:rPr>
                      <w:rFonts w:ascii="Segoe UI" w:hAnsi="Segoe UI" w:cs="Segoe UI"/>
                      <w:sz w:val="20"/>
                      <w:szCs w:val="20"/>
                      <w:lang w:eastAsia="en-AU"/>
                    </w:rPr>
                    <w:t>Long term retention that provides slow performance for backup and restore</w:t>
                  </w:r>
                  <w:r>
                    <w:rPr>
                      <w:rFonts w:ascii="Segoe UI" w:hAnsi="Segoe UI" w:cs="Segoe UI"/>
                      <w:sz w:val="20"/>
                      <w:szCs w:val="20"/>
                      <w:lang w:eastAsia="en-AU"/>
                    </w:rPr>
                    <w:t>.</w:t>
                  </w:r>
                  <w:r w:rsidRPr="00B34E24">
                    <w:rPr>
                      <w:rFonts w:ascii="Segoe UI" w:hAnsi="Segoe UI" w:cs="Segoe UI"/>
                      <w:sz w:val="20"/>
                      <w:szCs w:val="20"/>
                      <w:lang w:eastAsia="en-AU"/>
                    </w:rPr>
                    <w:t xml:space="preserve"> </w:t>
                  </w:r>
                </w:p>
              </w:tc>
            </w:tr>
            <w:tr w:rsidR="007A0DED" w:rsidRPr="004B3E51" w14:paraId="686A9912" w14:textId="77777777" w:rsidTr="00832729">
              <w:trPr>
                <w:cnfStyle w:val="000000100000" w:firstRow="0" w:lastRow="0" w:firstColumn="0" w:lastColumn="0" w:oddVBand="0" w:evenVBand="0" w:oddHBand="1" w:evenHBand="0" w:firstRowFirstColumn="0" w:firstRowLastColumn="0" w:lastRowFirstColumn="0" w:lastRowLastColumn="0"/>
              </w:trPr>
              <w:tc>
                <w:tcPr>
                  <w:tcW w:w="1811" w:type="dxa"/>
                  <w:vMerge/>
                </w:tcPr>
                <w:p w14:paraId="3583551E" w14:textId="42FD210C" w:rsidR="007A0DED" w:rsidRPr="004B3E51" w:rsidRDefault="007A0DED" w:rsidP="007A0DED">
                  <w:pPr>
                    <w:pStyle w:val="NormalWeb"/>
                    <w:rPr>
                      <w:rFonts w:ascii="Segoe UI" w:hAnsi="Segoe UI" w:cs="Segoe UI"/>
                      <w:bCs/>
                      <w:sz w:val="20"/>
                      <w:szCs w:val="20"/>
                      <w:lang w:eastAsia="en-AU"/>
                    </w:rPr>
                  </w:pPr>
                </w:p>
              </w:tc>
              <w:tc>
                <w:tcPr>
                  <w:tcW w:w="7526" w:type="dxa"/>
                </w:tcPr>
                <w:p w14:paraId="0A6539E4" w14:textId="6E749FF2" w:rsidR="007A0DED" w:rsidRPr="00B34E24" w:rsidRDefault="007A0DED" w:rsidP="007A0DED">
                  <w:pPr>
                    <w:pStyle w:val="NormalWeb"/>
                    <w:rPr>
                      <w:rFonts w:ascii="Segoe UI" w:hAnsi="Segoe UI" w:cs="Segoe UI"/>
                      <w:sz w:val="20"/>
                      <w:szCs w:val="20"/>
                      <w:lang w:eastAsia="en-AU"/>
                    </w:rPr>
                  </w:pPr>
                  <w:r>
                    <w:rPr>
                      <w:rFonts w:ascii="Segoe UI" w:hAnsi="Segoe UI" w:cs="Segoe UI"/>
                      <w:sz w:val="20"/>
                      <w:szCs w:val="20"/>
                      <w:lang w:eastAsia="en-AU"/>
                    </w:rPr>
                    <w:t>Carefully consider t</w:t>
                  </w:r>
                  <w:r w:rsidRPr="00B34E24">
                    <w:rPr>
                      <w:rFonts w:ascii="Segoe UI" w:hAnsi="Segoe UI" w:cs="Segoe UI"/>
                      <w:sz w:val="20"/>
                      <w:szCs w:val="20"/>
                      <w:lang w:eastAsia="en-AU"/>
                    </w:rPr>
                    <w:t>he required RPO</w:t>
                  </w:r>
                  <w:r>
                    <w:rPr>
                      <w:rFonts w:ascii="Segoe UI" w:hAnsi="Segoe UI" w:cs="Segoe UI"/>
                      <w:sz w:val="20"/>
                      <w:szCs w:val="20"/>
                      <w:lang w:eastAsia="en-AU"/>
                    </w:rPr>
                    <w:t xml:space="preserve"> </w:t>
                  </w:r>
                  <w:r w:rsidRPr="00B34E24">
                    <w:rPr>
                      <w:rFonts w:ascii="Segoe UI" w:hAnsi="Segoe UI" w:cs="Segoe UI"/>
                      <w:sz w:val="20"/>
                      <w:szCs w:val="20"/>
                      <w:lang w:eastAsia="en-AU"/>
                    </w:rPr>
                    <w:t>and RTO</w:t>
                  </w:r>
                  <w:r>
                    <w:rPr>
                      <w:rFonts w:ascii="Segoe UI" w:hAnsi="Segoe UI" w:cs="Segoe UI"/>
                      <w:sz w:val="20"/>
                      <w:szCs w:val="20"/>
                      <w:lang w:eastAsia="en-AU"/>
                    </w:rPr>
                    <w:t xml:space="preserve"> </w:t>
                  </w:r>
                  <w:r w:rsidRPr="00B34E24">
                    <w:rPr>
                      <w:rFonts w:ascii="Segoe UI" w:hAnsi="Segoe UI" w:cs="Segoe UI"/>
                      <w:sz w:val="20"/>
                      <w:szCs w:val="20"/>
                      <w:lang w:eastAsia="en-AU"/>
                    </w:rPr>
                    <w:t xml:space="preserve">when selecting a combination of short, medium, </w:t>
                  </w:r>
                  <w:r>
                    <w:rPr>
                      <w:rFonts w:ascii="Segoe UI" w:hAnsi="Segoe UI" w:cs="Segoe UI"/>
                      <w:sz w:val="20"/>
                      <w:szCs w:val="20"/>
                      <w:lang w:eastAsia="en-AU"/>
                    </w:rPr>
                    <w:t xml:space="preserve">and </w:t>
                  </w:r>
                  <w:r w:rsidRPr="00B34E24">
                    <w:rPr>
                      <w:rFonts w:ascii="Segoe UI" w:hAnsi="Segoe UI" w:cs="Segoe UI"/>
                      <w:sz w:val="20"/>
                      <w:szCs w:val="20"/>
                      <w:lang w:eastAsia="en-AU"/>
                    </w:rPr>
                    <w:t>long term schedule policies to back up the data.</w:t>
                  </w:r>
                </w:p>
              </w:tc>
            </w:tr>
            <w:tr w:rsidR="007A0DED" w:rsidRPr="004B3E51" w14:paraId="32952BBD" w14:textId="77777777" w:rsidTr="00832729">
              <w:tc>
                <w:tcPr>
                  <w:tcW w:w="1811" w:type="dxa"/>
                  <w:vMerge/>
                </w:tcPr>
                <w:p w14:paraId="5C7F3F0C" w14:textId="2BD976C9" w:rsidR="007A0DED" w:rsidRPr="004B3E51" w:rsidRDefault="007A0DED" w:rsidP="007A0DED">
                  <w:pPr>
                    <w:pStyle w:val="NormalWeb"/>
                    <w:rPr>
                      <w:rFonts w:ascii="Segoe UI" w:hAnsi="Segoe UI" w:cs="Segoe UI"/>
                      <w:bCs/>
                      <w:sz w:val="20"/>
                      <w:szCs w:val="20"/>
                      <w:lang w:eastAsia="en-AU"/>
                    </w:rPr>
                  </w:pPr>
                </w:p>
              </w:tc>
              <w:tc>
                <w:tcPr>
                  <w:tcW w:w="7526" w:type="dxa"/>
                </w:tcPr>
                <w:p w14:paraId="18A2A4B3" w14:textId="3ED2295B"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The backup retention period should always be set to the desired value to ensure that old backup copies are automatically deleted and the maximum number of backups per volume (256) is not exhausted.</w:t>
                  </w:r>
                </w:p>
              </w:tc>
            </w:tr>
            <w:tr w:rsidR="007A0DED" w:rsidRPr="004B3E51" w14:paraId="2AAE96C2" w14:textId="77777777" w:rsidTr="00832729">
              <w:trPr>
                <w:cnfStyle w:val="000000100000" w:firstRow="0" w:lastRow="0" w:firstColumn="0" w:lastColumn="0" w:oddVBand="0" w:evenVBand="0" w:oddHBand="1" w:evenHBand="0" w:firstRowFirstColumn="0" w:firstRowLastColumn="0" w:lastRowFirstColumn="0" w:lastRowLastColumn="0"/>
              </w:trPr>
              <w:tc>
                <w:tcPr>
                  <w:tcW w:w="1811" w:type="dxa"/>
                  <w:vMerge/>
                </w:tcPr>
                <w:p w14:paraId="1FBBBACB" w14:textId="46425529" w:rsidR="007A0DED" w:rsidRPr="004B3E51" w:rsidRDefault="007A0DED" w:rsidP="007A0DED">
                  <w:pPr>
                    <w:pStyle w:val="NormalWeb"/>
                    <w:rPr>
                      <w:rFonts w:ascii="Segoe UI" w:hAnsi="Segoe UI" w:cs="Segoe UI"/>
                      <w:bCs/>
                      <w:sz w:val="20"/>
                      <w:szCs w:val="20"/>
                      <w:lang w:eastAsia="en-AU"/>
                    </w:rPr>
                  </w:pPr>
                </w:p>
              </w:tc>
              <w:tc>
                <w:tcPr>
                  <w:tcW w:w="7526" w:type="dxa"/>
                </w:tcPr>
                <w:p w14:paraId="7FF9BC02" w14:textId="71F10395"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If VSS</w:t>
                  </w:r>
                  <w:r>
                    <w:rPr>
                      <w:rFonts w:ascii="Segoe UI" w:hAnsi="Segoe UI" w:cs="Segoe UI"/>
                      <w:sz w:val="20"/>
                      <w:szCs w:val="20"/>
                      <w:lang w:eastAsia="en-AU"/>
                    </w:rPr>
                    <w:t>-</w:t>
                  </w:r>
                  <w:r w:rsidRPr="00B34E24">
                    <w:rPr>
                      <w:rFonts w:ascii="Segoe UI" w:hAnsi="Segoe UI" w:cs="Segoe UI"/>
                      <w:sz w:val="20"/>
                      <w:szCs w:val="20"/>
                      <w:lang w:eastAsia="en-AU"/>
                    </w:rPr>
                    <w:t xml:space="preserve">based application-level consistency is required for the application backup the backup should be scheduled </w:t>
                  </w:r>
                  <w:r>
                    <w:rPr>
                      <w:rFonts w:ascii="Segoe UI" w:hAnsi="Segoe UI" w:cs="Segoe UI"/>
                      <w:sz w:val="20"/>
                      <w:szCs w:val="20"/>
                      <w:lang w:eastAsia="en-AU"/>
                    </w:rPr>
                    <w:t xml:space="preserve">by </w:t>
                  </w:r>
                  <w:r w:rsidRPr="00B34E24">
                    <w:rPr>
                      <w:rFonts w:ascii="Segoe UI" w:hAnsi="Segoe UI" w:cs="Segoe UI"/>
                      <w:sz w:val="20"/>
                      <w:szCs w:val="20"/>
                      <w:lang w:eastAsia="en-AU"/>
                    </w:rPr>
                    <w:t>using the StorSimple Snapshot Manager. If only crash consistency is required for the backup</w:t>
                  </w:r>
                  <w:r>
                    <w:rPr>
                      <w:rFonts w:ascii="Segoe UI" w:hAnsi="Segoe UI" w:cs="Segoe UI"/>
                      <w:sz w:val="20"/>
                      <w:szCs w:val="20"/>
                      <w:lang w:eastAsia="en-AU"/>
                    </w:rPr>
                    <w:t>,</w:t>
                  </w:r>
                  <w:r w:rsidRPr="00B34E24">
                    <w:rPr>
                      <w:rFonts w:ascii="Segoe UI" w:hAnsi="Segoe UI" w:cs="Segoe UI"/>
                      <w:sz w:val="20"/>
                      <w:szCs w:val="20"/>
                      <w:lang w:eastAsia="en-AU"/>
                    </w:rPr>
                    <w:t xml:space="preserve"> the backup can be scheduled </w:t>
                  </w:r>
                  <w:r>
                    <w:rPr>
                      <w:rFonts w:ascii="Segoe UI" w:hAnsi="Segoe UI" w:cs="Segoe UI"/>
                      <w:sz w:val="20"/>
                      <w:szCs w:val="20"/>
                      <w:lang w:eastAsia="en-AU"/>
                    </w:rPr>
                    <w:t xml:space="preserve">by </w:t>
                  </w:r>
                  <w:r w:rsidRPr="00B34E24">
                    <w:rPr>
                      <w:rFonts w:ascii="Segoe UI" w:hAnsi="Segoe UI" w:cs="Segoe UI"/>
                      <w:sz w:val="20"/>
                      <w:szCs w:val="20"/>
                      <w:lang w:eastAsia="en-AU"/>
                    </w:rPr>
                    <w:t>using the StorSimple Snapshot Manager or the StorSimple Manager.</w:t>
                  </w:r>
                </w:p>
              </w:tc>
            </w:tr>
            <w:tr w:rsidR="007A0DED" w:rsidRPr="004B3E51" w14:paraId="4421E626" w14:textId="77777777" w:rsidTr="00832729">
              <w:tc>
                <w:tcPr>
                  <w:tcW w:w="1811" w:type="dxa"/>
                  <w:vMerge/>
                </w:tcPr>
                <w:p w14:paraId="06DA5809" w14:textId="3D40C102" w:rsidR="007A0DED" w:rsidRPr="004B3E51" w:rsidRDefault="007A0DED" w:rsidP="007A0DED">
                  <w:pPr>
                    <w:pStyle w:val="NormalWeb"/>
                    <w:rPr>
                      <w:rFonts w:ascii="Segoe UI" w:hAnsi="Segoe UI" w:cs="Segoe UI"/>
                      <w:bCs/>
                      <w:sz w:val="20"/>
                      <w:szCs w:val="20"/>
                      <w:lang w:eastAsia="en-AU"/>
                    </w:rPr>
                  </w:pPr>
                </w:p>
              </w:tc>
              <w:tc>
                <w:tcPr>
                  <w:tcW w:w="7526" w:type="dxa"/>
                </w:tcPr>
                <w:p w14:paraId="017016A8" w14:textId="543EB737" w:rsidR="007A0DED" w:rsidRPr="00B34E24" w:rsidRDefault="007A0DED" w:rsidP="007A0DED">
                  <w:pPr>
                    <w:pStyle w:val="NormalWeb"/>
                    <w:rPr>
                      <w:rFonts w:ascii="Segoe UI" w:hAnsi="Segoe UI" w:cs="Segoe UI"/>
                      <w:sz w:val="20"/>
                      <w:szCs w:val="20"/>
                      <w:lang w:eastAsia="en-AU"/>
                    </w:rPr>
                  </w:pPr>
                  <w:r w:rsidRPr="00B34E24">
                    <w:rPr>
                      <w:rFonts w:ascii="Segoe UI" w:hAnsi="Segoe UI" w:cs="Segoe UI"/>
                      <w:sz w:val="20"/>
                      <w:szCs w:val="20"/>
                      <w:lang w:eastAsia="en-AU"/>
                    </w:rPr>
                    <w:t>When using the Azure StorSimple Snapshot Manager, make sure that the host server on which the StorSimple Snapshot Manager is running has sufficient processing power to initiate the backup and restore operation.</w:t>
                  </w:r>
                </w:p>
              </w:tc>
            </w:tr>
          </w:tbl>
          <w:p w14:paraId="08C66C60" w14:textId="161E3881" w:rsidR="007A55A6" w:rsidRDefault="007A55A6" w:rsidP="00F06A9F">
            <w:pPr>
              <w:rPr>
                <w:lang w:eastAsia="en-US"/>
              </w:rPr>
            </w:pPr>
          </w:p>
        </w:tc>
      </w:tr>
    </w:tbl>
    <w:p w14:paraId="4D0C0F30" w14:textId="67A95EC3" w:rsidR="00EF0346" w:rsidRDefault="00EF0346" w:rsidP="005729D2">
      <w:pPr>
        <w:pStyle w:val="Heading1Numbered"/>
        <w:numPr>
          <w:ilvl w:val="0"/>
          <w:numId w:val="64"/>
        </w:numPr>
      </w:pPr>
      <w:bookmarkStart w:id="2990" w:name="_Toc418061361"/>
      <w:bookmarkStart w:id="2991" w:name="_Toc418080710"/>
      <w:bookmarkStart w:id="2992" w:name="_Toc418081883"/>
      <w:bookmarkStart w:id="2993" w:name="_Toc418083285"/>
      <w:bookmarkStart w:id="2994" w:name="_Toc418095505"/>
      <w:bookmarkStart w:id="2995" w:name="_Toc418156676"/>
      <w:bookmarkStart w:id="2996" w:name="_Toc418167595"/>
      <w:bookmarkStart w:id="2997" w:name="_Toc418185852"/>
      <w:bookmarkStart w:id="2998" w:name="_Toc422941562"/>
      <w:bookmarkStart w:id="2999" w:name="_Toc423116768"/>
      <w:bookmarkStart w:id="3000" w:name="_Toc423117801"/>
      <w:bookmarkStart w:id="3001" w:name="_Toc423117251"/>
      <w:bookmarkStart w:id="3002" w:name="_Toc431288843"/>
      <w:bookmarkStart w:id="3003" w:name="_Toc414892106"/>
      <w:bookmarkStart w:id="3004" w:name="_Toc414960129"/>
      <w:bookmarkStart w:id="3005" w:name="_Toc414969100"/>
      <w:bookmarkStart w:id="3006" w:name="_Toc415011322"/>
      <w:bookmarkStart w:id="3007" w:name="_Toc415040012"/>
      <w:bookmarkStart w:id="3008" w:name="_Toc415572367"/>
      <w:bookmarkStart w:id="3009" w:name="_Toc415735537"/>
      <w:bookmarkStart w:id="3010" w:name="_Toc415814118"/>
      <w:bookmarkStart w:id="3011" w:name="_Toc416343853"/>
      <w:bookmarkStart w:id="3012" w:name="_Toc416863123"/>
      <w:bookmarkStart w:id="3013" w:name="_Toc417314729"/>
      <w:bookmarkStart w:id="3014" w:name="_Toc417323746"/>
      <w:bookmarkStart w:id="3015" w:name="_Toc417326835"/>
      <w:bookmarkStart w:id="3016" w:name="_Toc417330383"/>
      <w:bookmarkStart w:id="3017" w:name="_Toc417394989"/>
      <w:bookmarkStart w:id="3018" w:name="_Toc417399206"/>
      <w:bookmarkStart w:id="3019" w:name="_Toc417399365"/>
      <w:bookmarkStart w:id="3020" w:name="_Toc417400412"/>
      <w:bookmarkStart w:id="3021" w:name="_Toc417401260"/>
      <w:bookmarkStart w:id="3022" w:name="_Toc417419573"/>
      <w:bookmarkStart w:id="3023" w:name="_Toc417457345"/>
      <w:bookmarkStart w:id="3024" w:name="_Toc417481923"/>
      <w:bookmarkStart w:id="3025" w:name="_Toc417482181"/>
      <w:bookmarkStart w:id="3026" w:name="_Toc417499900"/>
      <w:bookmarkStart w:id="3027" w:name="_Toc417502722"/>
      <w:bookmarkStart w:id="3028" w:name="_Toc417548287"/>
      <w:bookmarkStart w:id="3029" w:name="_Toc417594519"/>
      <w:bookmarkStart w:id="3030" w:name="_Toc417934619"/>
      <w:bookmarkStart w:id="3031" w:name="_Toc417935958"/>
      <w:bookmarkStart w:id="3032" w:name="_Toc417936420"/>
      <w:bookmarkStart w:id="3033" w:name="_Toc417946872"/>
      <w:bookmarkStart w:id="3034" w:name="_Toc417947287"/>
      <w:bookmarkStart w:id="3035" w:name="_Toc417982482"/>
      <w:bookmarkStart w:id="3036" w:name="_Toc417985907"/>
      <w:bookmarkStart w:id="3037" w:name="_Toc418000628"/>
      <w:bookmarkStart w:id="3038" w:name="_Toc418003771"/>
      <w:bookmarkStart w:id="3039" w:name="_Toc418011976"/>
      <w:bookmarkStart w:id="3040" w:name="_Toc418014624"/>
      <w:bookmarkStart w:id="3041" w:name="_Toc418029960"/>
      <w:bookmarkStart w:id="3042" w:name="_Toc418036896"/>
      <w:r>
        <w:t>Microsoft Azure Compute</w:t>
      </w:r>
      <w:r w:rsidR="001027EA">
        <w:t>:</w:t>
      </w:r>
      <w:r>
        <w:t xml:space="preserve"> IaaS</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54A7679A" w14:textId="57CE45CF" w:rsidR="002F7E66" w:rsidRDefault="0011605D" w:rsidP="002F7E66">
      <w:r>
        <w:t>Microsoft</w:t>
      </w:r>
      <w:r w:rsidR="002F7E66">
        <w:t xml:space="preserve"> Azure provides a comprehensive platform of Infrastructure-as-a-Service (IaaS) and Platform-as-a-Service (PaaS) capabilities and services that can support a wide range of customer applications and services. Cloud infrastructures can be comprised of on-premises customer-, partner-, or public-hosted cloud computing infrastructures that provide a range of capabilities for organizations to consume natively or across these models in a hybrid capacity. </w:t>
      </w:r>
    </w:p>
    <w:p w14:paraId="3DBBE0C6" w14:textId="353E5989" w:rsidR="00D53A7A" w:rsidRDefault="002F7E66" w:rsidP="002F7E66">
      <w:r>
        <w:t xml:space="preserve">Focusing on the public cloud, the primary difference between IaaS and PaaS constructs is the division of responsibility for common operational functions between the provider and the consumer. In Microsoft Azure, the Microsoft Corporation acts as the cloud </w:t>
      </w:r>
      <w:r w:rsidRPr="00275385">
        <w:rPr>
          <w:i/>
        </w:rPr>
        <w:t>provider</w:t>
      </w:r>
      <w:r w:rsidRPr="00DE27D2">
        <w:t xml:space="preserve">, </w:t>
      </w:r>
      <w:r>
        <w:t xml:space="preserve">and the organization acts as one of many cloud </w:t>
      </w:r>
      <w:r w:rsidRPr="00275385">
        <w:rPr>
          <w:i/>
        </w:rPr>
        <w:t>consumers</w:t>
      </w:r>
      <w:r>
        <w:t>. This relationship is outlined at a high level in the following diagram</w:t>
      </w:r>
      <w:r w:rsidR="00275385">
        <w:t xml:space="preserve">. </w:t>
      </w:r>
    </w:p>
    <w:p w14:paraId="17687ACB" w14:textId="1D11245B" w:rsidR="001E6A22" w:rsidRDefault="001E6A22" w:rsidP="006E2AFC">
      <w:pPr>
        <w:jc w:val="center"/>
      </w:pPr>
      <w:r>
        <w:rPr>
          <w:noProof/>
        </w:rPr>
        <w:drawing>
          <wp:inline distT="0" distB="0" distL="0" distR="0" wp14:anchorId="686AF546" wp14:editId="65D6DB5D">
            <wp:extent cx="4638959" cy="2781300"/>
            <wp:effectExtent l="0" t="0" r="9525" b="0"/>
            <wp:docPr id="830832929" name="Picture 830832929" descr="http://cdn.petri.com/wp-content/uploads/azu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cdn.petri.com/wp-content/uploads/azure2.jpg"/>
                    <pic:cNvPicPr>
                      <a:picLocks noChangeAspect="1" noChangeArrowheads="1"/>
                    </pic:cNvPicPr>
                  </pic:nvPicPr>
                  <pic:blipFill rotWithShape="1">
                    <a:blip r:embed="rId207">
                      <a:extLst>
                        <a:ext uri="{28A0092B-C50C-407E-A947-70E740481C1C}">
                          <a14:useLocalDpi xmlns:a14="http://schemas.microsoft.com/office/drawing/2010/main" val="0"/>
                        </a:ext>
                      </a:extLst>
                    </a:blip>
                    <a:srcRect l="1" r="22929"/>
                    <a:stretch/>
                  </pic:blipFill>
                  <pic:spPr bwMode="auto">
                    <a:xfrm>
                      <a:off x="0" y="0"/>
                      <a:ext cx="4640210" cy="2782050"/>
                    </a:xfrm>
                    <a:prstGeom prst="rect">
                      <a:avLst/>
                    </a:prstGeom>
                    <a:noFill/>
                    <a:ln>
                      <a:noFill/>
                    </a:ln>
                    <a:extLst>
                      <a:ext uri="{53640926-AAD7-44D8-BBD7-CCE9431645EC}">
                        <a14:shadowObscured xmlns:a14="http://schemas.microsoft.com/office/drawing/2010/main"/>
                      </a:ext>
                    </a:extLst>
                  </pic:spPr>
                </pic:pic>
              </a:graphicData>
            </a:graphic>
          </wp:inline>
        </w:drawing>
      </w:r>
    </w:p>
    <w:p w14:paraId="1E3B6A55" w14:textId="607BF6B5" w:rsidR="001E6A22" w:rsidRDefault="001E6A22">
      <w:r>
        <w:t>The</w:t>
      </w:r>
      <w:r w:rsidR="002F7E66">
        <w:t xml:space="preserve"> focus of this section is on the Microsoft IaaS capabilities, which in large part consist of storage, networking, backup and recovery, large scale computing, and traditional virtual machine deployments. The primary building block for IaaS solutions deployed on Microsoft Azure is Virtual Machines and this section explains how Virtual Machines can be used to build solutions for your environment</w:t>
      </w:r>
      <w:r>
        <w:t>.</w:t>
      </w:r>
    </w:p>
    <w:p w14:paraId="51BB6551" w14:textId="7E487BA2" w:rsidR="001E6A22" w:rsidRDefault="001E6A22" w:rsidP="00D53A7A"/>
    <w:p w14:paraId="71C8A590" w14:textId="77777777" w:rsidR="00D53A7A" w:rsidRPr="002B19E2" w:rsidRDefault="00D53A7A" w:rsidP="005729D2">
      <w:pPr>
        <w:pStyle w:val="Heading2Numbered"/>
        <w:numPr>
          <w:ilvl w:val="1"/>
          <w:numId w:val="64"/>
        </w:numPr>
      </w:pPr>
      <w:bookmarkStart w:id="3043" w:name="_Toc418061362"/>
      <w:bookmarkStart w:id="3044" w:name="_Toc418080711"/>
      <w:bookmarkStart w:id="3045" w:name="_Toc418081884"/>
      <w:bookmarkStart w:id="3046" w:name="_Toc418083286"/>
      <w:bookmarkStart w:id="3047" w:name="_Toc418095506"/>
      <w:bookmarkStart w:id="3048" w:name="_Toc418156677"/>
      <w:bookmarkStart w:id="3049" w:name="_Toc418167596"/>
      <w:bookmarkStart w:id="3050" w:name="_Toc418185853"/>
      <w:bookmarkStart w:id="3051" w:name="_Toc422941563"/>
      <w:bookmarkStart w:id="3052" w:name="_Toc423116769"/>
      <w:bookmarkStart w:id="3053" w:name="_Toc423117802"/>
      <w:bookmarkStart w:id="3054" w:name="_Toc423117252"/>
      <w:bookmarkStart w:id="3055" w:name="_Toc431288844"/>
      <w:r w:rsidRPr="002B19E2">
        <w:t>Virtual Machines</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3FD7D848" w14:textId="16DB0951" w:rsidR="002F7E66" w:rsidRDefault="00087C54" w:rsidP="002F7E66">
      <w:r>
        <w:t>At</w:t>
      </w:r>
      <w:r w:rsidR="002F7E66">
        <w:t xml:space="preserve"> a high level</w:t>
      </w:r>
      <w:r w:rsidR="002F7E66" w:rsidRPr="0011605D">
        <w:t xml:space="preserve">, </w:t>
      </w:r>
      <w:r w:rsidR="002F7E66">
        <w:t>Azure Virtual Machines provides a traditional virtualized server infrastructure to deploy a given</w:t>
      </w:r>
      <w:r w:rsidR="002F7E66" w:rsidRPr="0011605D">
        <w:t xml:space="preserve"> application</w:t>
      </w:r>
      <w:r w:rsidR="002F7E66">
        <w:t xml:space="preserve"> or service</w:t>
      </w:r>
      <w:r w:rsidR="002F7E66" w:rsidRPr="0011605D">
        <w:t xml:space="preserve">. </w:t>
      </w:r>
      <w:r w:rsidR="002F7E66">
        <w:t>Typically, it</w:t>
      </w:r>
      <w:r w:rsidR="002F7E66" w:rsidRPr="0011605D">
        <w:t xml:space="preserve"> includes a</w:t>
      </w:r>
      <w:r w:rsidR="002F7E66">
        <w:t xml:space="preserve"> compute instance consisting of virtual CPUs (cores), virtual memory, a</w:t>
      </w:r>
      <w:r w:rsidR="002F7E66" w:rsidRPr="0011605D">
        <w:t xml:space="preserve"> persistent </w:t>
      </w:r>
      <w:r w:rsidR="002F7E66">
        <w:t>operating</w:t>
      </w:r>
      <w:r w:rsidR="002F7E66" w:rsidRPr="0011605D">
        <w:t xml:space="preserve"> disk</w:t>
      </w:r>
      <w:r w:rsidR="002F7E66">
        <w:t>, potential</w:t>
      </w:r>
      <w:r w:rsidR="002F7E66" w:rsidRPr="0011605D">
        <w:t xml:space="preserve"> persistent data disks, and internal/external networking </w:t>
      </w:r>
      <w:r w:rsidR="002F7E66">
        <w:t xml:space="preserve">to allow the system to interact with other aspects of a customer’s environment, application, or solution. </w:t>
      </w:r>
    </w:p>
    <w:p w14:paraId="75678747" w14:textId="56911D6B" w:rsidR="00087C54" w:rsidRDefault="002F7E66" w:rsidP="002F7E66">
      <w:r>
        <w:t>Azure Virtual Machines has several considerations as part of its design, including size, storage, placement, source images, and additional functionality, which can be provided through Microsoft and third-party add-ins. This section explains each of these areas to provide an overview, guidance, and potential design decisions that are required when implementing Azure Virtual Machines</w:t>
      </w:r>
      <w:r w:rsidR="009811FC">
        <w:t>.</w:t>
      </w:r>
    </w:p>
    <w:p w14:paraId="4285314A" w14:textId="77777777" w:rsidR="009811FC" w:rsidDel="009811FC" w:rsidRDefault="00087C54" w:rsidP="00087C54">
      <w:r>
        <w:t xml:space="preserve"> </w:t>
      </w:r>
    </w:p>
    <w:tbl>
      <w:tblPr>
        <w:tblStyle w:val="PlainTable11"/>
        <w:tblW w:w="0" w:type="auto"/>
        <w:tblLook w:val="04A0" w:firstRow="1" w:lastRow="0" w:firstColumn="1" w:lastColumn="0" w:noHBand="0" w:noVBand="1"/>
      </w:tblPr>
      <w:tblGrid>
        <w:gridCol w:w="3416"/>
        <w:gridCol w:w="5934"/>
      </w:tblGrid>
      <w:tr w:rsidR="009811FC" w14:paraId="21071F30" w14:textId="77777777" w:rsidTr="006E2AF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hideMark/>
          </w:tcPr>
          <w:p w14:paraId="0AC0C9B7" w14:textId="77777777" w:rsidR="009811FC" w:rsidRDefault="009811FC" w:rsidP="00750F17">
            <w:pPr>
              <w:spacing w:line="240" w:lineRule="auto"/>
              <w:rPr>
                <w:color w:val="FFFFFF"/>
              </w:rPr>
            </w:pPr>
            <w:r>
              <w:rPr>
                <w:color w:val="FFFFFF"/>
              </w:rPr>
              <w:t>Feature References</w:t>
            </w:r>
          </w:p>
        </w:tc>
      </w:tr>
      <w:tr w:rsidR="009811FC" w14:paraId="042B3CC7" w14:textId="77777777" w:rsidTr="006E2A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hideMark/>
          </w:tcPr>
          <w:p w14:paraId="294446A3" w14:textId="77777777" w:rsidR="009811FC" w:rsidRPr="00AE5655" w:rsidRDefault="009811FC" w:rsidP="00750F17">
            <w:pPr>
              <w:spacing w:line="240" w:lineRule="auto"/>
              <w:rPr>
                <w:sz w:val="20"/>
                <w:szCs w:val="20"/>
              </w:rPr>
            </w:pPr>
            <w:r w:rsidRPr="00AE5655">
              <w:rPr>
                <w:sz w:val="20"/>
                <w:szCs w:val="20"/>
              </w:rPr>
              <w:t>Azure Virtual Machines documentation</w:t>
            </w:r>
          </w:p>
        </w:tc>
        <w:tc>
          <w:tcPr>
            <w:tcW w:w="5940" w:type="dxa"/>
            <w:hideMark/>
          </w:tcPr>
          <w:p w14:paraId="3B5698A8" w14:textId="77777777" w:rsidR="009811FC" w:rsidRPr="00AE5655" w:rsidRDefault="00872E47" w:rsidP="00750F17">
            <w:pPr>
              <w:cnfStyle w:val="000000100000" w:firstRow="0" w:lastRow="0" w:firstColumn="0" w:lastColumn="0" w:oddVBand="0" w:evenVBand="0" w:oddHBand="1" w:evenHBand="0" w:firstRowFirstColumn="0" w:firstRowLastColumn="0" w:lastRowFirstColumn="0" w:lastRowLastColumn="0"/>
              <w:rPr>
                <w:sz w:val="20"/>
                <w:szCs w:val="20"/>
              </w:rPr>
            </w:pPr>
            <w:hyperlink r:id="rId208" w:history="1">
              <w:r w:rsidR="009811FC" w:rsidRPr="00AE5655">
                <w:rPr>
                  <w:rStyle w:val="Hyperlink"/>
                  <w:sz w:val="20"/>
                  <w:szCs w:val="20"/>
                </w:rPr>
                <w:t>http://azure.microsoft.com/en-us/documentation/services/virtual-machines/</w:t>
              </w:r>
            </w:hyperlink>
            <w:r w:rsidR="009811FC" w:rsidRPr="00AE5655">
              <w:rPr>
                <w:sz w:val="20"/>
                <w:szCs w:val="20"/>
              </w:rPr>
              <w:t xml:space="preserve"> </w:t>
            </w:r>
          </w:p>
        </w:tc>
      </w:tr>
    </w:tbl>
    <w:p w14:paraId="7DE0E797" w14:textId="77777777" w:rsidR="00750F17" w:rsidRDefault="00750F17" w:rsidP="006764D0"/>
    <w:p w14:paraId="706AE038" w14:textId="71101FC2" w:rsidR="00750F17" w:rsidRDefault="00750F17" w:rsidP="005729D2">
      <w:pPr>
        <w:pStyle w:val="Heading3Numbered"/>
        <w:numPr>
          <w:ilvl w:val="2"/>
          <w:numId w:val="64"/>
        </w:numPr>
      </w:pPr>
      <w:bookmarkStart w:id="3056" w:name="_Toc418080712"/>
      <w:bookmarkStart w:id="3057" w:name="_Toc418081885"/>
      <w:bookmarkStart w:id="3058" w:name="_Toc418083287"/>
      <w:bookmarkStart w:id="3059" w:name="_Toc418095507"/>
      <w:bookmarkStart w:id="3060" w:name="_Toc418156678"/>
      <w:bookmarkStart w:id="3061" w:name="_Toc418167597"/>
      <w:bookmarkStart w:id="3062" w:name="_Toc418185854"/>
      <w:bookmarkStart w:id="3063" w:name="_Toc422941564"/>
      <w:bookmarkStart w:id="3064" w:name="_Toc423116770"/>
      <w:bookmarkStart w:id="3065" w:name="_Toc423117803"/>
      <w:bookmarkStart w:id="3066" w:name="_Toc423117253"/>
      <w:bookmarkStart w:id="3067" w:name="_Toc431288845"/>
      <w:r>
        <w:t>Virtual Machine Sizes and Tiers</w:t>
      </w:r>
      <w:bookmarkEnd w:id="3056"/>
      <w:bookmarkEnd w:id="3057"/>
      <w:bookmarkEnd w:id="3058"/>
      <w:bookmarkEnd w:id="3059"/>
      <w:bookmarkEnd w:id="3060"/>
      <w:bookmarkEnd w:id="3061"/>
      <w:bookmarkEnd w:id="3062"/>
      <w:bookmarkEnd w:id="3063"/>
      <w:bookmarkEnd w:id="3064"/>
      <w:bookmarkEnd w:id="3065"/>
      <w:bookmarkEnd w:id="3066"/>
      <w:bookmarkEnd w:id="3067"/>
    </w:p>
    <w:p w14:paraId="7751B226" w14:textId="31EAE3B7" w:rsidR="002F7E66" w:rsidRDefault="00750F17" w:rsidP="002F7E66">
      <w:r>
        <w:t>When</w:t>
      </w:r>
      <w:r w:rsidR="002F7E66">
        <w:t xml:space="preserve"> deploying applications and solutions using Microsoft Azure Virtual Machines, there are various sizing configurations that are available to organizations. Virtual Machines are available in different sizing series (A, D, DS, and G series as examples). Within each sizing series there are incremental sizes (A0, A1, and so on) and different tiers (Standard and Basic). </w:t>
      </w:r>
    </w:p>
    <w:p w14:paraId="142C4C80" w14:textId="77777777" w:rsidR="002F7E66" w:rsidRDefault="002F7E66" w:rsidP="002F7E66">
      <w:r>
        <w:t>The sizing and tiering options provide customers with a consistent set of compute sizing options, which expand as time goes on. From a sizing perspective, each sizing series represents various properties, such as:</w:t>
      </w:r>
    </w:p>
    <w:p w14:paraId="027F852C" w14:textId="77777777" w:rsidR="002F7E66" w:rsidRDefault="002F7E66" w:rsidP="005729D2">
      <w:pPr>
        <w:pStyle w:val="ListParagraph"/>
        <w:numPr>
          <w:ilvl w:val="0"/>
          <w:numId w:val="136"/>
        </w:numPr>
      </w:pPr>
      <w:r>
        <w:t>Number of CPUs</w:t>
      </w:r>
    </w:p>
    <w:p w14:paraId="7124A513" w14:textId="77777777" w:rsidR="002F7E66" w:rsidRDefault="002F7E66" w:rsidP="005729D2">
      <w:pPr>
        <w:pStyle w:val="ListParagraph"/>
        <w:numPr>
          <w:ilvl w:val="0"/>
          <w:numId w:val="136"/>
        </w:numPr>
      </w:pPr>
      <w:r>
        <w:t>Memory allocated to each virtual machine</w:t>
      </w:r>
    </w:p>
    <w:p w14:paraId="25DDBDAC" w14:textId="77777777" w:rsidR="002F7E66" w:rsidRDefault="002F7E66" w:rsidP="005729D2">
      <w:pPr>
        <w:pStyle w:val="ListParagraph"/>
        <w:numPr>
          <w:ilvl w:val="0"/>
          <w:numId w:val="136"/>
        </w:numPr>
      </w:pPr>
      <w:r>
        <w:t>Temporary local storage</w:t>
      </w:r>
    </w:p>
    <w:p w14:paraId="46C22BF4" w14:textId="77777777" w:rsidR="002F7E66" w:rsidRDefault="002F7E66" w:rsidP="005729D2">
      <w:pPr>
        <w:pStyle w:val="ListParagraph"/>
        <w:numPr>
          <w:ilvl w:val="0"/>
          <w:numId w:val="136"/>
        </w:numPr>
      </w:pPr>
      <w:r>
        <w:t>Allocated bandwidth for the virtual machines</w:t>
      </w:r>
    </w:p>
    <w:p w14:paraId="221CF986" w14:textId="77777777" w:rsidR="002F7E66" w:rsidRPr="00F41E5C" w:rsidRDefault="002F7E66" w:rsidP="005729D2">
      <w:pPr>
        <w:pStyle w:val="ListParagraph"/>
        <w:numPr>
          <w:ilvl w:val="0"/>
          <w:numId w:val="136"/>
        </w:numPr>
      </w:pPr>
      <w:r>
        <w:t>Maximum data disks</w:t>
      </w:r>
    </w:p>
    <w:p w14:paraId="3229F7E5" w14:textId="4C9D40E7" w:rsidR="00044147" w:rsidRDefault="002F7E66" w:rsidP="002F7E66">
      <w:pPr>
        <w:rPr>
          <w:bCs/>
        </w:rPr>
      </w:pPr>
      <w:r>
        <w:t xml:space="preserve">As outlined earlier, some virtual machine series includes the concept of </w:t>
      </w:r>
      <w:r>
        <w:rPr>
          <w:i/>
        </w:rPr>
        <w:t>B</w:t>
      </w:r>
      <w:r w:rsidRPr="006764D0">
        <w:rPr>
          <w:i/>
        </w:rPr>
        <w:t xml:space="preserve">asic </w:t>
      </w:r>
      <w:r>
        <w:t xml:space="preserve">and </w:t>
      </w:r>
      <w:r>
        <w:rPr>
          <w:i/>
        </w:rPr>
        <w:t>S</w:t>
      </w:r>
      <w:r w:rsidRPr="006764D0">
        <w:rPr>
          <w:i/>
        </w:rPr>
        <w:t>tanda</w:t>
      </w:r>
      <w:r w:rsidRPr="004B02E8">
        <w:rPr>
          <w:i/>
        </w:rPr>
        <w:t>rd</w:t>
      </w:r>
      <w:r>
        <w:t xml:space="preserve"> tiers. A </w:t>
      </w:r>
      <w:r>
        <w:rPr>
          <w:i/>
        </w:rPr>
        <w:t>B</w:t>
      </w:r>
      <w:r w:rsidRPr="004B02E8">
        <w:rPr>
          <w:i/>
        </w:rPr>
        <w:t>asic</w:t>
      </w:r>
      <w:r w:rsidRPr="00DA4CC3">
        <w:rPr>
          <w:bCs/>
        </w:rPr>
        <w:t xml:space="preserve"> tier </w:t>
      </w:r>
      <w:r>
        <w:rPr>
          <w:bCs/>
        </w:rPr>
        <w:t>virtual machine</w:t>
      </w:r>
      <w:r w:rsidRPr="00DA4CC3">
        <w:rPr>
          <w:bCs/>
        </w:rPr>
        <w:t xml:space="preserve"> is only available on A0-A4 instances, </w:t>
      </w:r>
      <w:r>
        <w:rPr>
          <w:bCs/>
        </w:rPr>
        <w:t xml:space="preserve">and a </w:t>
      </w:r>
      <w:r>
        <w:rPr>
          <w:i/>
        </w:rPr>
        <w:t>S</w:t>
      </w:r>
      <w:r w:rsidRPr="006764D0">
        <w:rPr>
          <w:i/>
        </w:rPr>
        <w:t>tandard</w:t>
      </w:r>
      <w:r w:rsidRPr="00DA4CC3">
        <w:rPr>
          <w:bCs/>
        </w:rPr>
        <w:t xml:space="preserve"> tier </w:t>
      </w:r>
      <w:r>
        <w:rPr>
          <w:bCs/>
        </w:rPr>
        <w:t>virtual machine</w:t>
      </w:r>
      <w:r w:rsidRPr="00DA4CC3">
        <w:rPr>
          <w:bCs/>
        </w:rPr>
        <w:t xml:space="preserve"> is available on all size instances</w:t>
      </w:r>
      <w:r>
        <w:rPr>
          <w:bCs/>
        </w:rPr>
        <w:t>. Virtual machines that are available in the Basic tier are provided at a reduced cost and carry slightly less functionality than those offered at the Standard tier. This includes the following areas</w:t>
      </w:r>
      <w:r w:rsidR="005060A7">
        <w:rPr>
          <w:bCs/>
        </w:rPr>
        <w:t>:</w:t>
      </w:r>
    </w:p>
    <w:tbl>
      <w:tblPr>
        <w:tblStyle w:val="PlainTable11"/>
        <w:tblW w:w="0" w:type="auto"/>
        <w:tblLook w:val="0420" w:firstRow="1" w:lastRow="0" w:firstColumn="0" w:lastColumn="0" w:noHBand="0" w:noVBand="1"/>
      </w:tblPr>
      <w:tblGrid>
        <w:gridCol w:w="2526"/>
        <w:gridCol w:w="6741"/>
      </w:tblGrid>
      <w:tr w:rsidR="00FA0F3E" w:rsidRPr="006E2AFC" w14:paraId="7FFF524B" w14:textId="77777777" w:rsidTr="006E2AFC">
        <w:trPr>
          <w:cnfStyle w:val="100000000000" w:firstRow="1" w:lastRow="0" w:firstColumn="0" w:lastColumn="0" w:oddVBand="0" w:evenVBand="0" w:oddHBand="0" w:evenHBand="0" w:firstRowFirstColumn="0" w:firstRowLastColumn="0" w:lastRowFirstColumn="0" w:lastRowLastColumn="0"/>
        </w:trPr>
        <w:tc>
          <w:tcPr>
            <w:tcW w:w="0" w:type="auto"/>
            <w:shd w:val="clear" w:color="auto" w:fill="808080" w:themeFill="background1" w:themeFillShade="80"/>
            <w:hideMark/>
          </w:tcPr>
          <w:p w14:paraId="0A3C3412" w14:textId="77777777" w:rsidR="00FA0F3E" w:rsidRPr="006E2AFC" w:rsidRDefault="00FA0F3E" w:rsidP="00FA0F3E">
            <w:pPr>
              <w:spacing w:line="240" w:lineRule="auto"/>
              <w:rPr>
                <w:rFonts w:eastAsia="Calibri"/>
                <w:bCs w:val="0"/>
                <w:color w:val="FFFFFF"/>
                <w:sz w:val="20"/>
                <w:szCs w:val="20"/>
                <w:lang w:eastAsia="en-AU"/>
              </w:rPr>
            </w:pPr>
            <w:r w:rsidRPr="006E2AFC">
              <w:rPr>
                <w:rFonts w:eastAsia="Calibri"/>
                <w:bCs w:val="0"/>
                <w:color w:val="FFFFFF"/>
                <w:sz w:val="20"/>
                <w:szCs w:val="20"/>
                <w:lang w:eastAsia="en-AU"/>
              </w:rPr>
              <w:t>Capability Consideration</w:t>
            </w:r>
          </w:p>
        </w:tc>
        <w:tc>
          <w:tcPr>
            <w:tcW w:w="6741" w:type="dxa"/>
            <w:shd w:val="clear" w:color="auto" w:fill="808080" w:themeFill="background1" w:themeFillShade="80"/>
            <w:hideMark/>
          </w:tcPr>
          <w:p w14:paraId="42A64705" w14:textId="77777777" w:rsidR="00FA0F3E" w:rsidRPr="006E2AFC" w:rsidRDefault="00FA0F3E" w:rsidP="00FA0F3E">
            <w:pPr>
              <w:spacing w:line="240" w:lineRule="auto"/>
              <w:rPr>
                <w:rFonts w:eastAsia="Calibri"/>
                <w:bCs w:val="0"/>
                <w:color w:val="FFFFFF"/>
                <w:sz w:val="20"/>
                <w:szCs w:val="20"/>
                <w:lang w:eastAsia="en-AU"/>
              </w:rPr>
            </w:pPr>
            <w:r w:rsidRPr="006E2AFC">
              <w:rPr>
                <w:rFonts w:eastAsia="Calibri"/>
                <w:bCs w:val="0"/>
                <w:color w:val="FFFFFF"/>
                <w:sz w:val="20"/>
                <w:szCs w:val="20"/>
                <w:lang w:eastAsia="en-AU"/>
              </w:rPr>
              <w:t>Capability Decision Points</w:t>
            </w:r>
          </w:p>
        </w:tc>
      </w:tr>
      <w:tr w:rsidR="002F7E66" w14:paraId="0B3F9114" w14:textId="77777777" w:rsidTr="006E2AFC">
        <w:trPr>
          <w:cnfStyle w:val="000000100000" w:firstRow="0" w:lastRow="0" w:firstColumn="0" w:lastColumn="0" w:oddVBand="0" w:evenVBand="0" w:oddHBand="1" w:evenHBand="0" w:firstRowFirstColumn="0" w:firstRowLastColumn="0" w:lastRowFirstColumn="0" w:lastRowLastColumn="0"/>
        </w:trPr>
        <w:tc>
          <w:tcPr>
            <w:tcW w:w="0" w:type="auto"/>
          </w:tcPr>
          <w:p w14:paraId="01051264" w14:textId="5EE60A97" w:rsidR="002F7E66" w:rsidRPr="00D530CF" w:rsidRDefault="002F7E66" w:rsidP="002F7E66">
            <w:pPr>
              <w:pStyle w:val="NormalWeb"/>
              <w:spacing w:line="256" w:lineRule="auto"/>
              <w:rPr>
                <w:rFonts w:ascii="Segoe UI" w:hAnsi="Segoe UI" w:cs="Segoe UI"/>
                <w:b/>
                <w:sz w:val="20"/>
                <w:szCs w:val="20"/>
                <w:lang w:val="en-AU" w:eastAsia="en-AU"/>
              </w:rPr>
            </w:pPr>
            <w:r w:rsidRPr="00D530CF">
              <w:rPr>
                <w:rFonts w:ascii="Segoe UI" w:hAnsi="Segoe UI" w:cs="Segoe UI"/>
                <w:b/>
                <w:sz w:val="20"/>
                <w:szCs w:val="20"/>
                <w:lang w:val="en-AU" w:eastAsia="en-AU"/>
              </w:rPr>
              <w:t>CPU</w:t>
            </w:r>
          </w:p>
        </w:tc>
        <w:tc>
          <w:tcPr>
            <w:tcW w:w="6741" w:type="dxa"/>
          </w:tcPr>
          <w:p w14:paraId="3A9F45A5" w14:textId="0B17F3F7" w:rsidR="002F7E66" w:rsidRDefault="002F7E66" w:rsidP="002F7E66">
            <w:pPr>
              <w:rPr>
                <w:sz w:val="20"/>
                <w:szCs w:val="20"/>
              </w:rPr>
            </w:pPr>
            <w:r w:rsidRPr="00D530CF">
              <w:rPr>
                <w:sz w:val="20"/>
                <w:szCs w:val="20"/>
              </w:rPr>
              <w:t xml:space="preserve">Standard tier </w:t>
            </w:r>
            <w:r>
              <w:rPr>
                <w:sz w:val="20"/>
                <w:szCs w:val="20"/>
              </w:rPr>
              <w:t>virtual machines</w:t>
            </w:r>
            <w:r w:rsidRPr="00D530CF">
              <w:rPr>
                <w:sz w:val="20"/>
                <w:szCs w:val="20"/>
              </w:rPr>
              <w:t xml:space="preserve"> are expected to have slightly better CPU performance than </w:t>
            </w:r>
            <w:r>
              <w:rPr>
                <w:sz w:val="20"/>
                <w:szCs w:val="20"/>
              </w:rPr>
              <w:t>B</w:t>
            </w:r>
            <w:r w:rsidRPr="00D530CF">
              <w:rPr>
                <w:sz w:val="20"/>
                <w:szCs w:val="20"/>
              </w:rPr>
              <w:t xml:space="preserve">asic tier </w:t>
            </w:r>
            <w:r>
              <w:rPr>
                <w:sz w:val="20"/>
                <w:szCs w:val="20"/>
              </w:rPr>
              <w:t>virtual machines</w:t>
            </w:r>
          </w:p>
        </w:tc>
      </w:tr>
      <w:tr w:rsidR="002F7E66" w14:paraId="7CAE9772" w14:textId="77777777" w:rsidTr="006E2AFC">
        <w:tc>
          <w:tcPr>
            <w:tcW w:w="0" w:type="auto"/>
          </w:tcPr>
          <w:p w14:paraId="20AD6BCF" w14:textId="10D60E29" w:rsidR="002F7E66" w:rsidRPr="00D530CF" w:rsidRDefault="002F7E66" w:rsidP="002F7E66">
            <w:pPr>
              <w:rPr>
                <w:b/>
                <w:sz w:val="20"/>
                <w:szCs w:val="20"/>
              </w:rPr>
            </w:pPr>
            <w:r w:rsidRPr="00D530CF">
              <w:rPr>
                <w:b/>
                <w:sz w:val="20"/>
                <w:szCs w:val="20"/>
              </w:rPr>
              <w:t>Disk</w:t>
            </w:r>
          </w:p>
        </w:tc>
        <w:tc>
          <w:tcPr>
            <w:tcW w:w="6741" w:type="dxa"/>
          </w:tcPr>
          <w:p w14:paraId="380D98E0" w14:textId="6DFD749B" w:rsidR="002F7E66" w:rsidRDefault="002F7E66" w:rsidP="002F7E66">
            <w:pPr>
              <w:rPr>
                <w:sz w:val="20"/>
                <w:szCs w:val="20"/>
              </w:rPr>
            </w:pPr>
            <w:r w:rsidRPr="00D530CF">
              <w:rPr>
                <w:sz w:val="20"/>
                <w:szCs w:val="20"/>
              </w:rPr>
              <w:t xml:space="preserve">Data disk IOPS for </w:t>
            </w:r>
            <w:r>
              <w:rPr>
                <w:sz w:val="20"/>
                <w:szCs w:val="20"/>
              </w:rPr>
              <w:t>B</w:t>
            </w:r>
            <w:r w:rsidRPr="00D530CF">
              <w:rPr>
                <w:sz w:val="20"/>
                <w:szCs w:val="20"/>
              </w:rPr>
              <w:t xml:space="preserve">asic tier </w:t>
            </w:r>
            <w:r>
              <w:rPr>
                <w:sz w:val="20"/>
                <w:szCs w:val="20"/>
              </w:rPr>
              <w:t>virtual machines</w:t>
            </w:r>
            <w:r w:rsidRPr="00D530CF">
              <w:rPr>
                <w:sz w:val="20"/>
                <w:szCs w:val="20"/>
              </w:rPr>
              <w:t xml:space="preserve"> is</w:t>
            </w:r>
            <w:r>
              <w:rPr>
                <w:sz w:val="20"/>
                <w:szCs w:val="20"/>
              </w:rPr>
              <w:t> 3</w:t>
            </w:r>
            <w:r w:rsidRPr="00D530CF">
              <w:rPr>
                <w:sz w:val="20"/>
                <w:szCs w:val="20"/>
              </w:rPr>
              <w:t xml:space="preserve">00 IOPS, which is slightly lower than </w:t>
            </w:r>
            <w:r>
              <w:rPr>
                <w:sz w:val="20"/>
                <w:szCs w:val="20"/>
              </w:rPr>
              <w:t>S</w:t>
            </w:r>
            <w:r w:rsidRPr="00D530CF">
              <w:rPr>
                <w:sz w:val="20"/>
                <w:szCs w:val="20"/>
              </w:rPr>
              <w:t xml:space="preserve">tandard tier </w:t>
            </w:r>
            <w:r>
              <w:rPr>
                <w:sz w:val="20"/>
                <w:szCs w:val="20"/>
              </w:rPr>
              <w:t>virtual machines</w:t>
            </w:r>
            <w:r w:rsidRPr="00D530CF">
              <w:rPr>
                <w:sz w:val="20"/>
                <w:szCs w:val="20"/>
              </w:rPr>
              <w:t xml:space="preserve"> </w:t>
            </w:r>
            <w:r>
              <w:rPr>
                <w:sz w:val="20"/>
                <w:szCs w:val="20"/>
              </w:rPr>
              <w:t>(</w:t>
            </w:r>
            <w:r w:rsidRPr="00D530CF">
              <w:rPr>
                <w:sz w:val="20"/>
                <w:szCs w:val="20"/>
              </w:rPr>
              <w:t>which ha</w:t>
            </w:r>
            <w:r>
              <w:rPr>
                <w:sz w:val="20"/>
                <w:szCs w:val="20"/>
              </w:rPr>
              <w:t>ve 5</w:t>
            </w:r>
            <w:r w:rsidRPr="00D530CF">
              <w:rPr>
                <w:sz w:val="20"/>
                <w:szCs w:val="20"/>
              </w:rPr>
              <w:t>00 IOPS data disk</w:t>
            </w:r>
            <w:r>
              <w:rPr>
                <w:sz w:val="20"/>
                <w:szCs w:val="20"/>
              </w:rPr>
              <w:t>s)</w:t>
            </w:r>
            <w:r w:rsidRPr="00D530CF">
              <w:rPr>
                <w:sz w:val="20"/>
                <w:szCs w:val="20"/>
              </w:rPr>
              <w:t>.</w:t>
            </w:r>
          </w:p>
        </w:tc>
      </w:tr>
      <w:tr w:rsidR="002F7E66" w14:paraId="49A413B6" w14:textId="77777777" w:rsidTr="006E2AFC">
        <w:trPr>
          <w:cnfStyle w:val="000000100000" w:firstRow="0" w:lastRow="0" w:firstColumn="0" w:lastColumn="0" w:oddVBand="0" w:evenVBand="0" w:oddHBand="1" w:evenHBand="0" w:firstRowFirstColumn="0" w:firstRowLastColumn="0" w:lastRowFirstColumn="0" w:lastRowLastColumn="0"/>
        </w:trPr>
        <w:tc>
          <w:tcPr>
            <w:tcW w:w="0" w:type="auto"/>
          </w:tcPr>
          <w:p w14:paraId="50F4FAF5" w14:textId="5C6D31A6" w:rsidR="002F7E66" w:rsidRPr="00D530CF" w:rsidRDefault="002F7E66" w:rsidP="002F7E66">
            <w:pPr>
              <w:pStyle w:val="NormalWeb"/>
              <w:spacing w:line="256" w:lineRule="auto"/>
              <w:rPr>
                <w:rFonts w:ascii="Segoe UI" w:hAnsi="Segoe UI" w:cs="Segoe UI"/>
                <w:b/>
                <w:sz w:val="20"/>
                <w:szCs w:val="20"/>
                <w:lang w:val="en-AU" w:eastAsia="en-AU"/>
              </w:rPr>
            </w:pPr>
            <w:r w:rsidRPr="00D530CF">
              <w:rPr>
                <w:rFonts w:ascii="Segoe UI" w:hAnsi="Segoe UI" w:cs="Segoe UI"/>
                <w:b/>
                <w:sz w:val="20"/>
                <w:szCs w:val="20"/>
                <w:lang w:val="en-AU" w:eastAsia="en-AU"/>
              </w:rPr>
              <w:t>Features</w:t>
            </w:r>
          </w:p>
        </w:tc>
        <w:tc>
          <w:tcPr>
            <w:tcW w:w="6741" w:type="dxa"/>
          </w:tcPr>
          <w:p w14:paraId="614C5D4C" w14:textId="5164EFEE" w:rsidR="002F7E66" w:rsidRDefault="002F7E66" w:rsidP="002F7E66">
            <w:pPr>
              <w:rPr>
                <w:sz w:val="20"/>
                <w:szCs w:val="20"/>
              </w:rPr>
            </w:pPr>
            <w:r w:rsidRPr="00D530CF">
              <w:rPr>
                <w:sz w:val="20"/>
                <w:szCs w:val="20"/>
              </w:rPr>
              <w:t xml:space="preserve">Basic tier </w:t>
            </w:r>
            <w:r>
              <w:rPr>
                <w:sz w:val="20"/>
                <w:szCs w:val="20"/>
              </w:rPr>
              <w:t>virtual machines</w:t>
            </w:r>
            <w:r w:rsidRPr="00D530CF">
              <w:rPr>
                <w:sz w:val="20"/>
                <w:szCs w:val="20"/>
              </w:rPr>
              <w:t xml:space="preserve"> do not support features such as load balancing or auto-scaling</w:t>
            </w:r>
            <w:r>
              <w:rPr>
                <w:sz w:val="20"/>
                <w:szCs w:val="20"/>
              </w:rPr>
              <w:t>.</w:t>
            </w:r>
          </w:p>
        </w:tc>
      </w:tr>
    </w:tbl>
    <w:p w14:paraId="34681E71" w14:textId="758E5724" w:rsidR="00DC22EA" w:rsidRPr="00E9414F" w:rsidRDefault="00FA0F3E">
      <w:pPr>
        <w:rPr>
          <w:bCs/>
        </w:rPr>
      </w:pPr>
      <w:r>
        <w:rPr>
          <w:bCs/>
        </w:rPr>
        <w:br/>
      </w:r>
      <w:r w:rsidR="002F7E66">
        <w:rPr>
          <w:bCs/>
        </w:rPr>
        <w:t>The following table is provided to illustrate a summary of key decision points when using Basic tier virtual machines</w:t>
      </w:r>
      <w:r w:rsidR="00DC22EA">
        <w:rPr>
          <w:bCs/>
        </w:rPr>
        <w:t>:</w:t>
      </w:r>
    </w:p>
    <w:tbl>
      <w:tblPr>
        <w:tblStyle w:val="PlainTable11"/>
        <w:tblW w:w="9355" w:type="dxa"/>
        <w:tblLook w:val="04A0" w:firstRow="1" w:lastRow="0" w:firstColumn="1" w:lastColumn="0" w:noHBand="0" w:noVBand="1"/>
      </w:tblPr>
      <w:tblGrid>
        <w:gridCol w:w="1435"/>
        <w:gridCol w:w="1530"/>
        <w:gridCol w:w="1260"/>
        <w:gridCol w:w="2610"/>
        <w:gridCol w:w="1350"/>
        <w:gridCol w:w="1170"/>
      </w:tblGrid>
      <w:tr w:rsidR="002F7E66" w:rsidRPr="006E2AFC" w14:paraId="1B1DA578" w14:textId="77777777" w:rsidTr="006E2AF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shd w:val="clear" w:color="auto" w:fill="808080" w:themeFill="background1" w:themeFillShade="80"/>
            <w:hideMark/>
          </w:tcPr>
          <w:p w14:paraId="1134FC6E" w14:textId="0F3C359D" w:rsidR="002F7E66" w:rsidRPr="006E2AFC" w:rsidRDefault="002F7E66" w:rsidP="002F7E66">
            <w:pPr>
              <w:rPr>
                <w:color w:val="FFFFFF" w:themeColor="background1"/>
                <w:sz w:val="20"/>
                <w:szCs w:val="20"/>
              </w:rPr>
            </w:pPr>
            <w:r w:rsidRPr="006E2AFC">
              <w:rPr>
                <w:color w:val="FFFFFF" w:themeColor="background1"/>
                <w:sz w:val="20"/>
                <w:szCs w:val="20"/>
              </w:rPr>
              <w:t>Size</w:t>
            </w:r>
          </w:p>
        </w:tc>
        <w:tc>
          <w:tcPr>
            <w:tcW w:w="1530" w:type="dxa"/>
            <w:shd w:val="clear" w:color="auto" w:fill="808080" w:themeFill="background1" w:themeFillShade="80"/>
            <w:hideMark/>
          </w:tcPr>
          <w:p w14:paraId="38C4BEBC" w14:textId="4F4B9FBB" w:rsidR="002F7E66" w:rsidRPr="006E2AFC" w:rsidRDefault="002F7E66" w:rsidP="002F7E66">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6E2AFC">
              <w:rPr>
                <w:color w:val="FFFFFF" w:themeColor="background1"/>
                <w:sz w:val="20"/>
                <w:szCs w:val="20"/>
              </w:rPr>
              <w:t>Available CPU Cores</w:t>
            </w:r>
          </w:p>
        </w:tc>
        <w:tc>
          <w:tcPr>
            <w:tcW w:w="1260" w:type="dxa"/>
            <w:shd w:val="clear" w:color="auto" w:fill="808080" w:themeFill="background1" w:themeFillShade="80"/>
            <w:hideMark/>
          </w:tcPr>
          <w:p w14:paraId="6ED603AB" w14:textId="43A3A34C" w:rsidR="002F7E66" w:rsidRPr="006E2AFC" w:rsidRDefault="002F7E66" w:rsidP="002F7E66">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6E2AFC">
              <w:rPr>
                <w:color w:val="FFFFFF" w:themeColor="background1"/>
                <w:sz w:val="20"/>
                <w:szCs w:val="20"/>
              </w:rPr>
              <w:t xml:space="preserve">Available Memory </w:t>
            </w:r>
          </w:p>
        </w:tc>
        <w:tc>
          <w:tcPr>
            <w:tcW w:w="2610" w:type="dxa"/>
            <w:shd w:val="clear" w:color="auto" w:fill="808080" w:themeFill="background1" w:themeFillShade="80"/>
            <w:hideMark/>
          </w:tcPr>
          <w:p w14:paraId="23579B01" w14:textId="1481494E" w:rsidR="002F7E66" w:rsidRPr="006E2AFC" w:rsidRDefault="002F7E66" w:rsidP="002F7E66">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6E2AFC">
              <w:rPr>
                <w:color w:val="FFFFFF" w:themeColor="background1"/>
                <w:sz w:val="20"/>
                <w:szCs w:val="20"/>
              </w:rPr>
              <w:t xml:space="preserve">Available Disk Sizes </w:t>
            </w:r>
          </w:p>
        </w:tc>
        <w:tc>
          <w:tcPr>
            <w:tcW w:w="1350" w:type="dxa"/>
            <w:shd w:val="clear" w:color="auto" w:fill="808080" w:themeFill="background1" w:themeFillShade="80"/>
            <w:hideMark/>
          </w:tcPr>
          <w:p w14:paraId="72E22DC8" w14:textId="1668F67E" w:rsidR="002F7E66" w:rsidRPr="006E2AFC" w:rsidRDefault="002F7E66" w:rsidP="002F7E66">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6E2AFC">
              <w:rPr>
                <w:color w:val="FFFFFF" w:themeColor="background1"/>
                <w:sz w:val="20"/>
                <w:szCs w:val="20"/>
              </w:rPr>
              <w:t>Maximum Data Disks</w:t>
            </w:r>
            <w:r>
              <w:rPr>
                <w:color w:val="FFFFFF" w:themeColor="background1"/>
                <w:sz w:val="20"/>
                <w:szCs w:val="20"/>
              </w:rPr>
              <w:t xml:space="preserve"> </w:t>
            </w:r>
          </w:p>
        </w:tc>
        <w:tc>
          <w:tcPr>
            <w:tcW w:w="1170" w:type="dxa"/>
            <w:shd w:val="clear" w:color="auto" w:fill="808080" w:themeFill="background1" w:themeFillShade="80"/>
            <w:hideMark/>
          </w:tcPr>
          <w:p w14:paraId="6A03493D" w14:textId="49F8FEC7" w:rsidR="002F7E66" w:rsidRPr="006E2AFC" w:rsidRDefault="002F7E66" w:rsidP="002F7E66">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6E2AFC">
              <w:rPr>
                <w:color w:val="FFFFFF" w:themeColor="background1"/>
                <w:sz w:val="20"/>
                <w:szCs w:val="20"/>
              </w:rPr>
              <w:t>Maximum IOPS</w:t>
            </w:r>
          </w:p>
        </w:tc>
      </w:tr>
      <w:tr w:rsidR="002F7E66" w:rsidRPr="00DC22EA" w14:paraId="47DB56C5" w14:textId="77777777" w:rsidTr="006E2A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hideMark/>
          </w:tcPr>
          <w:p w14:paraId="5B61AD2E" w14:textId="3A1708E7" w:rsidR="002F7E66" w:rsidRPr="006764D0" w:rsidRDefault="002F7E66" w:rsidP="002F7E66">
            <w:pPr>
              <w:rPr>
                <w:sz w:val="20"/>
                <w:szCs w:val="20"/>
              </w:rPr>
            </w:pPr>
            <w:r w:rsidRPr="006764D0">
              <w:rPr>
                <w:sz w:val="20"/>
                <w:szCs w:val="20"/>
              </w:rPr>
              <w:t xml:space="preserve">Basic_A0 – </w:t>
            </w:r>
            <w:r>
              <w:rPr>
                <w:sz w:val="20"/>
                <w:szCs w:val="20"/>
              </w:rPr>
              <w:br/>
            </w:r>
            <w:r w:rsidRPr="006764D0">
              <w:rPr>
                <w:sz w:val="20"/>
                <w:szCs w:val="20"/>
              </w:rPr>
              <w:t>Basic_A4</w:t>
            </w:r>
          </w:p>
        </w:tc>
        <w:tc>
          <w:tcPr>
            <w:tcW w:w="1530" w:type="dxa"/>
            <w:hideMark/>
          </w:tcPr>
          <w:p w14:paraId="4D3DAD94" w14:textId="1A9F77B4" w:rsidR="002F7E66" w:rsidRPr="0056731F" w:rsidRDefault="002F7E66" w:rsidP="002F7E66">
            <w:pPr>
              <w:cnfStyle w:val="000000100000" w:firstRow="0" w:lastRow="0" w:firstColumn="0" w:lastColumn="0" w:oddVBand="0" w:evenVBand="0" w:oddHBand="1" w:evenHBand="0" w:firstRowFirstColumn="0" w:firstRowLastColumn="0" w:lastRowFirstColumn="0" w:lastRowLastColumn="0"/>
              <w:rPr>
                <w:sz w:val="20"/>
                <w:szCs w:val="20"/>
              </w:rPr>
            </w:pPr>
            <w:r w:rsidRPr="0056731F">
              <w:rPr>
                <w:sz w:val="20"/>
                <w:szCs w:val="20"/>
              </w:rPr>
              <w:t>1 –</w:t>
            </w:r>
            <w:r>
              <w:rPr>
                <w:sz w:val="20"/>
                <w:szCs w:val="20"/>
              </w:rPr>
              <w:t> 8</w:t>
            </w:r>
            <w:r w:rsidRPr="0056731F">
              <w:rPr>
                <w:sz w:val="20"/>
                <w:szCs w:val="20"/>
              </w:rPr>
              <w:t xml:space="preserve"> </w:t>
            </w:r>
          </w:p>
        </w:tc>
        <w:tc>
          <w:tcPr>
            <w:tcW w:w="1260" w:type="dxa"/>
            <w:hideMark/>
          </w:tcPr>
          <w:p w14:paraId="4B6D906F" w14:textId="77777777" w:rsidR="002F7E66" w:rsidRDefault="002F7E66" w:rsidP="002F7E66">
            <w:pPr>
              <w:cnfStyle w:val="000000100000" w:firstRow="0" w:lastRow="0" w:firstColumn="0" w:lastColumn="0" w:oddVBand="0" w:evenVBand="0" w:oddHBand="1" w:evenHBand="0" w:firstRowFirstColumn="0" w:firstRowLastColumn="0" w:lastRowFirstColumn="0" w:lastRowLastColumn="0"/>
              <w:rPr>
                <w:bCs/>
                <w:sz w:val="20"/>
                <w:szCs w:val="20"/>
              </w:rPr>
            </w:pPr>
            <w:r w:rsidRPr="00D153C3">
              <w:rPr>
                <w:bCs/>
                <w:sz w:val="20"/>
                <w:szCs w:val="20"/>
              </w:rPr>
              <w:t xml:space="preserve">768 MB – </w:t>
            </w:r>
          </w:p>
          <w:p w14:paraId="5238E7DF" w14:textId="454ADAD9" w:rsidR="002F7E66" w:rsidRPr="006764D0" w:rsidRDefault="002F7E66" w:rsidP="002F7E66">
            <w:pPr>
              <w:cnfStyle w:val="000000100000" w:firstRow="0" w:lastRow="0" w:firstColumn="0" w:lastColumn="0" w:oddVBand="0" w:evenVBand="0" w:oddHBand="1" w:evenHBand="0" w:firstRowFirstColumn="0" w:firstRowLastColumn="0" w:lastRowFirstColumn="0" w:lastRowLastColumn="0"/>
              <w:rPr>
                <w:sz w:val="20"/>
                <w:szCs w:val="20"/>
              </w:rPr>
            </w:pPr>
            <w:r w:rsidRPr="006764D0">
              <w:rPr>
                <w:sz w:val="20"/>
                <w:szCs w:val="20"/>
              </w:rPr>
              <w:t>14 GB</w:t>
            </w:r>
          </w:p>
        </w:tc>
        <w:tc>
          <w:tcPr>
            <w:tcW w:w="2610" w:type="dxa"/>
            <w:hideMark/>
          </w:tcPr>
          <w:p w14:paraId="0988EE6D" w14:textId="77777777" w:rsidR="002F7E66" w:rsidRPr="0056731F" w:rsidRDefault="002F7E66" w:rsidP="002F7E66">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Operating system</w:t>
            </w:r>
            <w:r w:rsidRPr="0056731F">
              <w:rPr>
                <w:sz w:val="20"/>
                <w:szCs w:val="20"/>
              </w:rPr>
              <w:t xml:space="preserve"> =</w:t>
            </w:r>
            <w:r>
              <w:rPr>
                <w:sz w:val="20"/>
                <w:szCs w:val="20"/>
              </w:rPr>
              <w:t> 1</w:t>
            </w:r>
            <w:r w:rsidRPr="0056731F">
              <w:rPr>
                <w:sz w:val="20"/>
                <w:szCs w:val="20"/>
              </w:rPr>
              <w:t>023 GB</w:t>
            </w:r>
          </w:p>
          <w:p w14:paraId="45A274F8" w14:textId="652F7029" w:rsidR="002F7E66" w:rsidRPr="00D153C3" w:rsidRDefault="002F7E66" w:rsidP="002F7E66">
            <w:pPr>
              <w:cnfStyle w:val="000000100000" w:firstRow="0" w:lastRow="0" w:firstColumn="0" w:lastColumn="0" w:oddVBand="0" w:evenVBand="0" w:oddHBand="1" w:evenHBand="0" w:firstRowFirstColumn="0" w:firstRowLastColumn="0" w:lastRowFirstColumn="0" w:lastRowLastColumn="0"/>
              <w:rPr>
                <w:bCs/>
                <w:sz w:val="20"/>
                <w:szCs w:val="20"/>
              </w:rPr>
            </w:pPr>
            <w:r w:rsidRPr="00D153C3">
              <w:rPr>
                <w:bCs/>
                <w:sz w:val="20"/>
                <w:szCs w:val="20"/>
              </w:rPr>
              <w:t>Temporary =</w:t>
            </w:r>
            <w:r>
              <w:rPr>
                <w:bCs/>
                <w:sz w:val="20"/>
                <w:szCs w:val="20"/>
              </w:rPr>
              <w:t> 2</w:t>
            </w:r>
            <w:r w:rsidRPr="00D153C3">
              <w:rPr>
                <w:bCs/>
                <w:sz w:val="20"/>
                <w:szCs w:val="20"/>
              </w:rPr>
              <w:t>0</w:t>
            </w:r>
            <w:r>
              <w:rPr>
                <w:bCs/>
                <w:sz w:val="20"/>
                <w:szCs w:val="20"/>
              </w:rPr>
              <w:t xml:space="preserve"> </w:t>
            </w:r>
            <w:r w:rsidRPr="00D153C3">
              <w:rPr>
                <w:bCs/>
                <w:sz w:val="20"/>
                <w:szCs w:val="20"/>
              </w:rPr>
              <w:t>-</w:t>
            </w:r>
            <w:r>
              <w:rPr>
                <w:bCs/>
                <w:sz w:val="20"/>
                <w:szCs w:val="20"/>
              </w:rPr>
              <w:t> 2</w:t>
            </w:r>
            <w:r w:rsidRPr="00D153C3">
              <w:rPr>
                <w:bCs/>
                <w:sz w:val="20"/>
                <w:szCs w:val="20"/>
              </w:rPr>
              <w:t>40 GB</w:t>
            </w:r>
          </w:p>
        </w:tc>
        <w:tc>
          <w:tcPr>
            <w:tcW w:w="1350" w:type="dxa"/>
            <w:hideMark/>
          </w:tcPr>
          <w:p w14:paraId="046E1A73" w14:textId="4E61098D" w:rsidR="002F7E66" w:rsidRPr="00D153C3" w:rsidRDefault="002F7E66" w:rsidP="002F7E66">
            <w:pPr>
              <w:cnfStyle w:val="000000100000" w:firstRow="0" w:lastRow="0" w:firstColumn="0" w:lastColumn="0" w:oddVBand="0" w:evenVBand="0" w:oddHBand="1" w:evenHBand="0" w:firstRowFirstColumn="0" w:firstRowLastColumn="0" w:lastRowFirstColumn="0" w:lastRowLastColumn="0"/>
              <w:rPr>
                <w:bCs/>
                <w:sz w:val="20"/>
                <w:szCs w:val="20"/>
              </w:rPr>
            </w:pPr>
            <w:r w:rsidRPr="00D153C3">
              <w:rPr>
                <w:bCs/>
                <w:sz w:val="20"/>
                <w:szCs w:val="20"/>
              </w:rPr>
              <w:t>1 -</w:t>
            </w:r>
            <w:r>
              <w:rPr>
                <w:bCs/>
                <w:sz w:val="20"/>
                <w:szCs w:val="20"/>
              </w:rPr>
              <w:t> 1</w:t>
            </w:r>
            <w:r w:rsidRPr="00D153C3">
              <w:rPr>
                <w:bCs/>
                <w:sz w:val="20"/>
                <w:szCs w:val="20"/>
              </w:rPr>
              <w:t>6</w:t>
            </w:r>
          </w:p>
        </w:tc>
        <w:tc>
          <w:tcPr>
            <w:tcW w:w="1170" w:type="dxa"/>
            <w:hideMark/>
          </w:tcPr>
          <w:p w14:paraId="109BE636" w14:textId="651447C7" w:rsidR="002F7E66" w:rsidRPr="006764D0" w:rsidRDefault="002F7E66" w:rsidP="002F7E66">
            <w:pPr>
              <w:cnfStyle w:val="000000100000" w:firstRow="0" w:lastRow="0" w:firstColumn="0" w:lastColumn="0" w:oddVBand="0" w:evenVBand="0" w:oddHBand="1" w:evenHBand="0" w:firstRowFirstColumn="0" w:firstRowLastColumn="0" w:lastRowFirstColumn="0" w:lastRowLastColumn="0"/>
              <w:rPr>
                <w:sz w:val="20"/>
                <w:szCs w:val="20"/>
              </w:rPr>
            </w:pPr>
            <w:r>
              <w:rPr>
                <w:bCs/>
                <w:sz w:val="20"/>
                <w:szCs w:val="20"/>
              </w:rPr>
              <w:t>300 IOPS per disk</w:t>
            </w:r>
          </w:p>
        </w:tc>
      </w:tr>
    </w:tbl>
    <w:p w14:paraId="32CFB106" w14:textId="77777777" w:rsidR="00DC22EA" w:rsidRDefault="00DC22EA">
      <w:pPr>
        <w:rPr>
          <w:bCs/>
        </w:rPr>
      </w:pPr>
    </w:p>
    <w:p w14:paraId="601B9472" w14:textId="3D8D94AE" w:rsidR="00B92ADE" w:rsidRDefault="002F7E66" w:rsidP="00B92ADE">
      <w:pPr>
        <w:rPr>
          <w:bCs/>
        </w:rPr>
      </w:pPr>
      <w:r>
        <w:rPr>
          <w:bCs/>
        </w:rPr>
        <w:t>In comparison, Standard tier virtual machines are available for all compute sizes.</w:t>
      </w:r>
      <w:r w:rsidR="00B92ADE">
        <w:rPr>
          <w:bCs/>
        </w:rPr>
        <w:t xml:space="preserve"> </w:t>
      </w:r>
    </w:p>
    <w:tbl>
      <w:tblPr>
        <w:tblStyle w:val="PlainTable11"/>
        <w:tblW w:w="0" w:type="auto"/>
        <w:tblLook w:val="0420" w:firstRow="1" w:lastRow="0" w:firstColumn="0" w:lastColumn="0" w:noHBand="0" w:noVBand="1"/>
      </w:tblPr>
      <w:tblGrid>
        <w:gridCol w:w="1718"/>
        <w:gridCol w:w="7632"/>
      </w:tblGrid>
      <w:tr w:rsidR="00B92ADE" w:rsidRPr="006E2AFC" w14:paraId="29B448FC" w14:textId="77777777" w:rsidTr="006E2AFC">
        <w:trPr>
          <w:cnfStyle w:val="100000000000" w:firstRow="1" w:lastRow="0" w:firstColumn="0" w:lastColumn="0" w:oddVBand="0" w:evenVBand="0" w:oddHBand="0" w:evenHBand="0" w:firstRowFirstColumn="0" w:firstRowLastColumn="0" w:lastRowFirstColumn="0" w:lastRowLastColumn="0"/>
        </w:trPr>
        <w:tc>
          <w:tcPr>
            <w:tcW w:w="0" w:type="auto"/>
            <w:shd w:val="clear" w:color="auto" w:fill="808080" w:themeFill="background1" w:themeFillShade="80"/>
            <w:hideMark/>
          </w:tcPr>
          <w:p w14:paraId="1210C33A" w14:textId="77777777" w:rsidR="00B92ADE" w:rsidRPr="006E2AFC" w:rsidRDefault="00B92ADE" w:rsidP="00B92ADE">
            <w:pPr>
              <w:spacing w:line="240" w:lineRule="auto"/>
              <w:rPr>
                <w:rFonts w:eastAsia="Calibri"/>
                <w:bCs w:val="0"/>
                <w:color w:val="FFFFFF"/>
                <w:sz w:val="20"/>
                <w:szCs w:val="20"/>
                <w:lang w:eastAsia="en-AU"/>
              </w:rPr>
            </w:pPr>
            <w:r w:rsidRPr="006E2AFC">
              <w:rPr>
                <w:rFonts w:eastAsia="Calibri"/>
                <w:bCs w:val="0"/>
                <w:color w:val="FFFFFF"/>
                <w:sz w:val="20"/>
                <w:szCs w:val="20"/>
                <w:lang w:eastAsia="en-AU"/>
              </w:rPr>
              <w:t>Capability Consideration</w:t>
            </w:r>
          </w:p>
        </w:tc>
        <w:tc>
          <w:tcPr>
            <w:tcW w:w="0" w:type="auto"/>
            <w:shd w:val="clear" w:color="auto" w:fill="808080" w:themeFill="background1" w:themeFillShade="80"/>
            <w:hideMark/>
          </w:tcPr>
          <w:p w14:paraId="281E33C1" w14:textId="77777777" w:rsidR="00B92ADE" w:rsidRPr="006E2AFC" w:rsidRDefault="00B92ADE" w:rsidP="00B92ADE">
            <w:pPr>
              <w:spacing w:line="240" w:lineRule="auto"/>
              <w:rPr>
                <w:rFonts w:eastAsia="Calibri"/>
                <w:bCs w:val="0"/>
                <w:color w:val="FFFFFF"/>
                <w:sz w:val="20"/>
                <w:szCs w:val="20"/>
                <w:lang w:eastAsia="en-AU"/>
              </w:rPr>
            </w:pPr>
            <w:r w:rsidRPr="006E2AFC">
              <w:rPr>
                <w:rFonts w:eastAsia="Calibri"/>
                <w:bCs w:val="0"/>
                <w:color w:val="FFFFFF"/>
                <w:sz w:val="20"/>
                <w:szCs w:val="20"/>
                <w:lang w:eastAsia="en-AU"/>
              </w:rPr>
              <w:t>Capability Decision Points</w:t>
            </w:r>
          </w:p>
        </w:tc>
      </w:tr>
      <w:tr w:rsidR="001A46E7" w14:paraId="3120C19F" w14:textId="77777777" w:rsidTr="006E2AFC">
        <w:trPr>
          <w:cnfStyle w:val="000000100000" w:firstRow="0" w:lastRow="0" w:firstColumn="0" w:lastColumn="0" w:oddVBand="0" w:evenVBand="0" w:oddHBand="1" w:evenHBand="0" w:firstRowFirstColumn="0" w:firstRowLastColumn="0" w:lastRowFirstColumn="0" w:lastRowLastColumn="0"/>
        </w:trPr>
        <w:tc>
          <w:tcPr>
            <w:tcW w:w="0" w:type="auto"/>
          </w:tcPr>
          <w:p w14:paraId="0460A52C" w14:textId="45618620" w:rsidR="001A46E7" w:rsidRPr="00D530CF" w:rsidRDefault="001A46E7" w:rsidP="001A46E7">
            <w:pPr>
              <w:pStyle w:val="NormalWeb"/>
              <w:spacing w:line="256" w:lineRule="auto"/>
              <w:rPr>
                <w:rFonts w:ascii="Segoe UI" w:hAnsi="Segoe UI" w:cs="Segoe UI"/>
                <w:b/>
                <w:sz w:val="20"/>
                <w:szCs w:val="20"/>
                <w:lang w:val="en-AU" w:eastAsia="en-AU"/>
              </w:rPr>
            </w:pPr>
            <w:r w:rsidRPr="00D530CF">
              <w:rPr>
                <w:rFonts w:ascii="Segoe UI" w:hAnsi="Segoe UI" w:cs="Segoe UI"/>
                <w:b/>
                <w:sz w:val="20"/>
                <w:szCs w:val="20"/>
                <w:lang w:val="en-AU" w:eastAsia="en-AU"/>
              </w:rPr>
              <w:t>CPU</w:t>
            </w:r>
          </w:p>
        </w:tc>
        <w:tc>
          <w:tcPr>
            <w:tcW w:w="0" w:type="auto"/>
          </w:tcPr>
          <w:p w14:paraId="0AAD3040" w14:textId="03A820D8" w:rsidR="001A46E7" w:rsidRDefault="001A46E7" w:rsidP="001A46E7">
            <w:pPr>
              <w:rPr>
                <w:sz w:val="20"/>
                <w:szCs w:val="20"/>
              </w:rPr>
            </w:pPr>
            <w:r w:rsidRPr="007C38CF">
              <w:rPr>
                <w:sz w:val="20"/>
                <w:szCs w:val="20"/>
              </w:rPr>
              <w:t xml:space="preserve">Standard tier </w:t>
            </w:r>
            <w:r>
              <w:rPr>
                <w:sz w:val="20"/>
                <w:szCs w:val="20"/>
              </w:rPr>
              <w:t xml:space="preserve">virtual machines </w:t>
            </w:r>
            <w:r w:rsidRPr="007C38CF">
              <w:rPr>
                <w:sz w:val="20"/>
                <w:szCs w:val="20"/>
              </w:rPr>
              <w:t xml:space="preserve">have better CPU performance than </w:t>
            </w:r>
            <w:r>
              <w:rPr>
                <w:sz w:val="20"/>
                <w:szCs w:val="20"/>
              </w:rPr>
              <w:t>B</w:t>
            </w:r>
            <w:r w:rsidRPr="007C38CF">
              <w:rPr>
                <w:sz w:val="20"/>
                <w:szCs w:val="20"/>
              </w:rPr>
              <w:t>asic tier</w:t>
            </w:r>
            <w:r>
              <w:rPr>
                <w:sz w:val="20"/>
                <w:szCs w:val="20"/>
              </w:rPr>
              <w:t xml:space="preserve"> virtual machines.</w:t>
            </w:r>
          </w:p>
        </w:tc>
      </w:tr>
      <w:tr w:rsidR="001A46E7" w14:paraId="2C6D03E4" w14:textId="77777777" w:rsidTr="006E2AFC">
        <w:tc>
          <w:tcPr>
            <w:tcW w:w="0" w:type="auto"/>
          </w:tcPr>
          <w:p w14:paraId="50B0B758" w14:textId="0A837968" w:rsidR="001A46E7" w:rsidRPr="00D530CF" w:rsidRDefault="001A46E7" w:rsidP="001A46E7">
            <w:pPr>
              <w:rPr>
                <w:b/>
                <w:sz w:val="20"/>
                <w:szCs w:val="20"/>
              </w:rPr>
            </w:pPr>
            <w:r w:rsidRPr="00D530CF">
              <w:rPr>
                <w:b/>
                <w:sz w:val="20"/>
                <w:szCs w:val="20"/>
              </w:rPr>
              <w:t>Disk</w:t>
            </w:r>
          </w:p>
        </w:tc>
        <w:tc>
          <w:tcPr>
            <w:tcW w:w="0" w:type="auto"/>
          </w:tcPr>
          <w:p w14:paraId="267688DB" w14:textId="41D603B9" w:rsidR="001A46E7" w:rsidRDefault="001A46E7" w:rsidP="001A46E7">
            <w:pPr>
              <w:rPr>
                <w:sz w:val="20"/>
                <w:szCs w:val="20"/>
              </w:rPr>
            </w:pPr>
            <w:r w:rsidRPr="007C38CF">
              <w:rPr>
                <w:sz w:val="20"/>
                <w:szCs w:val="20"/>
              </w:rPr>
              <w:t xml:space="preserve">Data disk IOPS for </w:t>
            </w:r>
            <w:r>
              <w:rPr>
                <w:sz w:val="20"/>
                <w:szCs w:val="20"/>
              </w:rPr>
              <w:t>B</w:t>
            </w:r>
            <w:r w:rsidRPr="007C38CF">
              <w:rPr>
                <w:sz w:val="20"/>
                <w:szCs w:val="20"/>
              </w:rPr>
              <w:t xml:space="preserve">asic tier </w:t>
            </w:r>
            <w:r>
              <w:rPr>
                <w:sz w:val="20"/>
                <w:szCs w:val="20"/>
              </w:rPr>
              <w:t>virtual machines</w:t>
            </w:r>
            <w:r w:rsidRPr="007C38CF">
              <w:rPr>
                <w:sz w:val="20"/>
                <w:szCs w:val="20"/>
              </w:rPr>
              <w:t xml:space="preserve"> is</w:t>
            </w:r>
            <w:r>
              <w:rPr>
                <w:sz w:val="20"/>
                <w:szCs w:val="20"/>
              </w:rPr>
              <w:t> 5</w:t>
            </w:r>
            <w:r w:rsidRPr="007C38CF">
              <w:rPr>
                <w:sz w:val="20"/>
                <w:szCs w:val="20"/>
              </w:rPr>
              <w:t>00</w:t>
            </w:r>
            <w:r>
              <w:rPr>
                <w:sz w:val="20"/>
                <w:szCs w:val="20"/>
              </w:rPr>
              <w:t>.</w:t>
            </w:r>
            <w:r w:rsidRPr="007C38CF">
              <w:rPr>
                <w:sz w:val="20"/>
                <w:szCs w:val="20"/>
              </w:rPr>
              <w:t xml:space="preserve"> </w:t>
            </w:r>
            <w:r>
              <w:rPr>
                <w:sz w:val="20"/>
                <w:szCs w:val="20"/>
              </w:rPr>
              <w:t xml:space="preserve">(This is </w:t>
            </w:r>
            <w:r w:rsidRPr="007C38CF">
              <w:rPr>
                <w:sz w:val="20"/>
                <w:szCs w:val="20"/>
              </w:rPr>
              <w:t xml:space="preserve">higher than </w:t>
            </w:r>
            <w:r>
              <w:rPr>
                <w:sz w:val="20"/>
                <w:szCs w:val="20"/>
              </w:rPr>
              <w:t>B</w:t>
            </w:r>
            <w:r w:rsidRPr="007C38CF">
              <w:rPr>
                <w:sz w:val="20"/>
                <w:szCs w:val="20"/>
              </w:rPr>
              <w:t xml:space="preserve">asic tier </w:t>
            </w:r>
            <w:r>
              <w:rPr>
                <w:sz w:val="20"/>
                <w:szCs w:val="20"/>
              </w:rPr>
              <w:t>virtual machines,</w:t>
            </w:r>
            <w:r w:rsidRPr="007C38CF">
              <w:rPr>
                <w:sz w:val="20"/>
                <w:szCs w:val="20"/>
              </w:rPr>
              <w:t xml:space="preserve"> which ha</w:t>
            </w:r>
            <w:r>
              <w:rPr>
                <w:sz w:val="20"/>
                <w:szCs w:val="20"/>
              </w:rPr>
              <w:t>ve 3</w:t>
            </w:r>
            <w:r w:rsidRPr="007C38CF">
              <w:rPr>
                <w:sz w:val="20"/>
                <w:szCs w:val="20"/>
              </w:rPr>
              <w:t>00 IOPS data disk</w:t>
            </w:r>
            <w:r>
              <w:rPr>
                <w:sz w:val="20"/>
                <w:szCs w:val="20"/>
              </w:rPr>
              <w:t>s</w:t>
            </w:r>
            <w:r w:rsidRPr="007C38CF">
              <w:rPr>
                <w:sz w:val="20"/>
                <w:szCs w:val="20"/>
              </w:rPr>
              <w:t>.</w:t>
            </w:r>
            <w:r>
              <w:rPr>
                <w:sz w:val="20"/>
                <w:szCs w:val="20"/>
              </w:rPr>
              <w:t>)</w:t>
            </w:r>
            <w:r w:rsidRPr="007C38CF">
              <w:rPr>
                <w:sz w:val="20"/>
                <w:szCs w:val="20"/>
              </w:rPr>
              <w:t xml:space="preserve"> If the DS series is selected</w:t>
            </w:r>
            <w:r>
              <w:rPr>
                <w:sz w:val="20"/>
                <w:szCs w:val="20"/>
              </w:rPr>
              <w:t>,</w:t>
            </w:r>
            <w:r w:rsidRPr="007C38CF">
              <w:rPr>
                <w:sz w:val="20"/>
                <w:szCs w:val="20"/>
              </w:rPr>
              <w:t xml:space="preserve"> IOPS start at</w:t>
            </w:r>
            <w:r>
              <w:rPr>
                <w:sz w:val="20"/>
                <w:szCs w:val="20"/>
              </w:rPr>
              <w:t> 3</w:t>
            </w:r>
            <w:r w:rsidRPr="007C38CF">
              <w:rPr>
                <w:sz w:val="20"/>
                <w:szCs w:val="20"/>
              </w:rPr>
              <w:t>200</w:t>
            </w:r>
            <w:r>
              <w:rPr>
                <w:sz w:val="20"/>
                <w:szCs w:val="20"/>
              </w:rPr>
              <w:t>.</w:t>
            </w:r>
          </w:p>
        </w:tc>
      </w:tr>
      <w:tr w:rsidR="001A46E7" w14:paraId="05D372C6" w14:textId="77777777" w:rsidTr="006E2AFC">
        <w:trPr>
          <w:cnfStyle w:val="000000100000" w:firstRow="0" w:lastRow="0" w:firstColumn="0" w:lastColumn="0" w:oddVBand="0" w:evenVBand="0" w:oddHBand="1" w:evenHBand="0" w:firstRowFirstColumn="0" w:firstRowLastColumn="0" w:lastRowFirstColumn="0" w:lastRowLastColumn="0"/>
        </w:trPr>
        <w:tc>
          <w:tcPr>
            <w:tcW w:w="0" w:type="auto"/>
          </w:tcPr>
          <w:p w14:paraId="6D3AFC7F" w14:textId="6D89D845" w:rsidR="001A46E7" w:rsidRPr="00D530CF" w:rsidRDefault="001A46E7" w:rsidP="001A46E7">
            <w:pPr>
              <w:pStyle w:val="NormalWeb"/>
              <w:spacing w:line="256" w:lineRule="auto"/>
              <w:rPr>
                <w:rFonts w:ascii="Segoe UI" w:hAnsi="Segoe UI" w:cs="Segoe UI"/>
                <w:b/>
                <w:sz w:val="20"/>
                <w:szCs w:val="20"/>
                <w:lang w:val="en-AU" w:eastAsia="en-AU"/>
              </w:rPr>
            </w:pPr>
            <w:r>
              <w:rPr>
                <w:rFonts w:ascii="Segoe UI" w:hAnsi="Segoe UI" w:cs="Segoe UI"/>
                <w:b/>
                <w:sz w:val="20"/>
                <w:szCs w:val="20"/>
                <w:lang w:val="en-AU" w:eastAsia="en-AU"/>
              </w:rPr>
              <w:t>Availability</w:t>
            </w:r>
          </w:p>
        </w:tc>
        <w:tc>
          <w:tcPr>
            <w:tcW w:w="0" w:type="auto"/>
          </w:tcPr>
          <w:p w14:paraId="0AF57699" w14:textId="548DBA13" w:rsidR="001A46E7" w:rsidRDefault="001A46E7" w:rsidP="001A46E7">
            <w:pPr>
              <w:rPr>
                <w:sz w:val="20"/>
                <w:szCs w:val="20"/>
              </w:rPr>
            </w:pPr>
            <w:r>
              <w:rPr>
                <w:sz w:val="20"/>
                <w:szCs w:val="20"/>
              </w:rPr>
              <w:t>Standard tier virtual machines are</w:t>
            </w:r>
            <w:r w:rsidRPr="007C38CF">
              <w:rPr>
                <w:sz w:val="20"/>
                <w:szCs w:val="20"/>
              </w:rPr>
              <w:t xml:space="preserve"> available on all size instances</w:t>
            </w:r>
            <w:r>
              <w:rPr>
                <w:sz w:val="20"/>
                <w:szCs w:val="20"/>
              </w:rPr>
              <w:t>.</w:t>
            </w:r>
          </w:p>
        </w:tc>
      </w:tr>
      <w:tr w:rsidR="001A46E7" w14:paraId="32396740" w14:textId="77777777" w:rsidTr="006E2AFC">
        <w:tc>
          <w:tcPr>
            <w:tcW w:w="0" w:type="auto"/>
          </w:tcPr>
          <w:p w14:paraId="1BE6C955" w14:textId="11A54A65" w:rsidR="001A46E7" w:rsidRPr="00D530CF" w:rsidRDefault="001A46E7" w:rsidP="001A46E7">
            <w:pPr>
              <w:pStyle w:val="NormalWeb"/>
              <w:spacing w:line="256" w:lineRule="auto"/>
              <w:rPr>
                <w:rFonts w:ascii="Segoe UI" w:hAnsi="Segoe UI" w:cs="Segoe UI"/>
                <w:b/>
                <w:sz w:val="20"/>
                <w:szCs w:val="20"/>
                <w:lang w:val="en-AU" w:eastAsia="en-AU"/>
              </w:rPr>
            </w:pPr>
            <w:r>
              <w:rPr>
                <w:rFonts w:ascii="Segoe UI" w:hAnsi="Segoe UI" w:cs="Segoe UI"/>
                <w:b/>
                <w:sz w:val="20"/>
                <w:szCs w:val="20"/>
                <w:lang w:val="en-AU" w:eastAsia="en-AU"/>
              </w:rPr>
              <w:t>A-Series features</w:t>
            </w:r>
          </w:p>
        </w:tc>
        <w:tc>
          <w:tcPr>
            <w:tcW w:w="0" w:type="auto"/>
          </w:tcPr>
          <w:p w14:paraId="2F123326" w14:textId="77777777" w:rsidR="001A46E7" w:rsidRPr="007C38CF" w:rsidRDefault="001A46E7" w:rsidP="005729D2">
            <w:pPr>
              <w:pStyle w:val="ListParagraph"/>
              <w:numPr>
                <w:ilvl w:val="0"/>
                <w:numId w:val="137"/>
              </w:numPr>
              <w:ind w:left="360"/>
              <w:rPr>
                <w:rFonts w:cs="Segoe UI"/>
                <w:sz w:val="20"/>
                <w:szCs w:val="20"/>
              </w:rPr>
            </w:pPr>
            <w:r w:rsidRPr="007C38CF">
              <w:rPr>
                <w:rFonts w:cs="Segoe UI"/>
                <w:sz w:val="20"/>
                <w:szCs w:val="20"/>
              </w:rPr>
              <w:t>Standard</w:t>
            </w:r>
            <w:r>
              <w:rPr>
                <w:sz w:val="20"/>
                <w:szCs w:val="20"/>
              </w:rPr>
              <w:t xml:space="preserve"> tier virtual machines</w:t>
            </w:r>
            <w:r w:rsidRPr="007C38CF">
              <w:rPr>
                <w:rFonts w:cs="Segoe UI"/>
                <w:sz w:val="20"/>
                <w:szCs w:val="20"/>
              </w:rPr>
              <w:t xml:space="preserve"> include load balancing and auto-scaling</w:t>
            </w:r>
            <w:r>
              <w:rPr>
                <w:rFonts w:cs="Segoe UI"/>
                <w:sz w:val="20"/>
                <w:szCs w:val="20"/>
              </w:rPr>
              <w:t>.</w:t>
            </w:r>
          </w:p>
          <w:p w14:paraId="6840F4BF" w14:textId="77777777" w:rsidR="001A46E7" w:rsidRPr="007C38CF" w:rsidRDefault="001A46E7" w:rsidP="005729D2">
            <w:pPr>
              <w:pStyle w:val="ListParagraph"/>
              <w:numPr>
                <w:ilvl w:val="0"/>
                <w:numId w:val="137"/>
              </w:numPr>
              <w:ind w:left="360"/>
              <w:rPr>
                <w:rFonts w:cs="Segoe UI"/>
                <w:sz w:val="20"/>
                <w:szCs w:val="20"/>
              </w:rPr>
            </w:pPr>
            <w:r>
              <w:rPr>
                <w:rFonts w:cs="Segoe UI"/>
                <w:sz w:val="20"/>
                <w:szCs w:val="20"/>
              </w:rPr>
              <w:t xml:space="preserve">For </w:t>
            </w:r>
            <w:r w:rsidRPr="007C38CF">
              <w:rPr>
                <w:rFonts w:cs="Segoe UI"/>
                <w:sz w:val="20"/>
                <w:szCs w:val="20"/>
              </w:rPr>
              <w:t>A8, A9, A10, and A11</w:t>
            </w:r>
            <w:r>
              <w:rPr>
                <w:rFonts w:cs="Segoe UI"/>
                <w:sz w:val="20"/>
                <w:szCs w:val="20"/>
              </w:rPr>
              <w:t xml:space="preserve"> instances,</w:t>
            </w:r>
            <w:r w:rsidRPr="007C38CF">
              <w:rPr>
                <w:rFonts w:cs="Segoe UI"/>
                <w:sz w:val="20"/>
                <w:szCs w:val="20"/>
              </w:rPr>
              <w:t xml:space="preserve"> </w:t>
            </w:r>
            <w:r>
              <w:rPr>
                <w:rFonts w:cs="Segoe UI"/>
                <w:sz w:val="20"/>
                <w:szCs w:val="20"/>
              </w:rPr>
              <w:t>h</w:t>
            </w:r>
            <w:r w:rsidRPr="007C38CF">
              <w:rPr>
                <w:rFonts w:cs="Segoe UI"/>
                <w:sz w:val="20"/>
                <w:szCs w:val="20"/>
              </w:rPr>
              <w:t xml:space="preserve">ardware </w:t>
            </w:r>
            <w:r>
              <w:rPr>
                <w:rFonts w:cs="Segoe UI"/>
                <w:sz w:val="20"/>
                <w:szCs w:val="20"/>
              </w:rPr>
              <w:t xml:space="preserve">is </w:t>
            </w:r>
            <w:r w:rsidRPr="007C38CF">
              <w:rPr>
                <w:rFonts w:cs="Segoe UI"/>
                <w:sz w:val="20"/>
                <w:szCs w:val="20"/>
              </w:rPr>
              <w:t>designed and optimized for compute and network intensive applications including high</w:t>
            </w:r>
            <w:r>
              <w:rPr>
                <w:rFonts w:cs="Segoe UI"/>
                <w:sz w:val="20"/>
                <w:szCs w:val="20"/>
              </w:rPr>
              <w:t>-</w:t>
            </w:r>
            <w:r w:rsidRPr="007C38CF">
              <w:rPr>
                <w:rFonts w:cs="Segoe UI"/>
                <w:sz w:val="20"/>
                <w:szCs w:val="20"/>
              </w:rPr>
              <w:t>performance computing (HPC) cluster applications, modeling, and simulations.</w:t>
            </w:r>
          </w:p>
          <w:p w14:paraId="1EFA2937" w14:textId="77777777" w:rsidR="001A46E7" w:rsidRPr="007C38CF" w:rsidRDefault="001A46E7" w:rsidP="005729D2">
            <w:pPr>
              <w:pStyle w:val="ListParagraph"/>
              <w:numPr>
                <w:ilvl w:val="0"/>
                <w:numId w:val="137"/>
              </w:numPr>
              <w:ind w:left="360"/>
              <w:rPr>
                <w:rFonts w:eastAsia="Times New Roman" w:cs="Segoe UI"/>
                <w:color w:val="000000"/>
                <w:sz w:val="20"/>
                <w:szCs w:val="20"/>
              </w:rPr>
            </w:pPr>
            <w:r w:rsidRPr="007C38CF">
              <w:rPr>
                <w:rFonts w:eastAsia="Times New Roman" w:cs="Segoe UI"/>
                <w:color w:val="000000"/>
                <w:sz w:val="20"/>
                <w:szCs w:val="20"/>
              </w:rPr>
              <w:t>A8 and A9 instances</w:t>
            </w:r>
            <w:r>
              <w:rPr>
                <w:rFonts w:eastAsia="Times New Roman" w:cs="Segoe UI"/>
                <w:color w:val="000000"/>
                <w:sz w:val="20"/>
                <w:szCs w:val="20"/>
              </w:rPr>
              <w:t xml:space="preserve"> have</w:t>
            </w:r>
            <w:r w:rsidRPr="007C38CF">
              <w:rPr>
                <w:rFonts w:eastAsia="Times New Roman" w:cs="Segoe UI"/>
                <w:color w:val="000000"/>
                <w:sz w:val="20"/>
                <w:szCs w:val="20"/>
              </w:rPr>
              <w:t xml:space="preserve"> the ability to communicate over a low</w:t>
            </w:r>
            <w:r>
              <w:rPr>
                <w:rFonts w:eastAsia="Times New Roman" w:cs="Segoe UI"/>
                <w:color w:val="000000"/>
                <w:sz w:val="20"/>
                <w:szCs w:val="20"/>
              </w:rPr>
              <w:t>-</w:t>
            </w:r>
            <w:r w:rsidRPr="007C38CF">
              <w:rPr>
                <w:rFonts w:eastAsia="Times New Roman" w:cs="Segoe UI"/>
                <w:color w:val="000000"/>
                <w:sz w:val="20"/>
                <w:szCs w:val="20"/>
              </w:rPr>
              <w:t>latency, high</w:t>
            </w:r>
            <w:r>
              <w:rPr>
                <w:rFonts w:eastAsia="Times New Roman" w:cs="Segoe UI"/>
                <w:color w:val="000000"/>
                <w:sz w:val="20"/>
                <w:szCs w:val="20"/>
              </w:rPr>
              <w:t>-</w:t>
            </w:r>
            <w:r w:rsidRPr="007C38CF">
              <w:rPr>
                <w:rFonts w:eastAsia="Times New Roman" w:cs="Segoe UI"/>
                <w:color w:val="000000"/>
                <w:sz w:val="20"/>
                <w:szCs w:val="20"/>
              </w:rPr>
              <w:t>throughput network in Azure</w:t>
            </w:r>
            <w:r>
              <w:rPr>
                <w:rFonts w:eastAsia="Times New Roman" w:cs="Segoe UI"/>
                <w:color w:val="000000"/>
                <w:sz w:val="20"/>
                <w:szCs w:val="20"/>
              </w:rPr>
              <w:t>, which</w:t>
            </w:r>
            <w:r w:rsidRPr="007C38CF">
              <w:rPr>
                <w:rFonts w:eastAsia="Times New Roman" w:cs="Segoe UI"/>
                <w:color w:val="000000"/>
                <w:sz w:val="20"/>
                <w:szCs w:val="20"/>
              </w:rPr>
              <w:t xml:space="preserve"> is based on remote direct memory access (RDMA) technology</w:t>
            </w:r>
            <w:r>
              <w:rPr>
                <w:rFonts w:eastAsia="Times New Roman" w:cs="Segoe UI"/>
                <w:color w:val="000000"/>
                <w:sz w:val="20"/>
                <w:szCs w:val="20"/>
              </w:rPr>
              <w:t>.</w:t>
            </w:r>
            <w:r w:rsidRPr="007C38CF">
              <w:rPr>
                <w:rFonts w:eastAsia="Times New Roman" w:cs="Segoe UI"/>
                <w:color w:val="000000"/>
                <w:sz w:val="20"/>
                <w:szCs w:val="20"/>
              </w:rPr>
              <w:t xml:space="preserve"> </w:t>
            </w:r>
            <w:r>
              <w:rPr>
                <w:rFonts w:eastAsia="Times New Roman" w:cs="Segoe UI"/>
                <w:color w:val="000000"/>
                <w:sz w:val="20"/>
                <w:szCs w:val="20"/>
              </w:rPr>
              <w:t xml:space="preserve">This </w:t>
            </w:r>
            <w:r w:rsidRPr="007C38CF">
              <w:rPr>
                <w:rFonts w:eastAsia="Times New Roman" w:cs="Segoe UI"/>
                <w:color w:val="000000"/>
                <w:sz w:val="20"/>
                <w:szCs w:val="20"/>
              </w:rPr>
              <w:t>boost</w:t>
            </w:r>
            <w:r>
              <w:rPr>
                <w:rFonts w:eastAsia="Times New Roman" w:cs="Segoe UI"/>
                <w:color w:val="000000"/>
                <w:sz w:val="20"/>
                <w:szCs w:val="20"/>
              </w:rPr>
              <w:t>s</w:t>
            </w:r>
            <w:r w:rsidRPr="007C38CF">
              <w:rPr>
                <w:rFonts w:eastAsia="Times New Roman" w:cs="Segoe UI"/>
                <w:color w:val="000000"/>
                <w:sz w:val="20"/>
                <w:szCs w:val="20"/>
              </w:rPr>
              <w:t xml:space="preserve"> performance for parallel Message Passing Interface (MPI) applications. (RDMA access is currently supported only for cloud services and Windows Server-based </w:t>
            </w:r>
            <w:r>
              <w:rPr>
                <w:rFonts w:eastAsia="Times New Roman" w:cs="Segoe UI"/>
                <w:color w:val="000000"/>
                <w:sz w:val="20"/>
                <w:szCs w:val="20"/>
              </w:rPr>
              <w:t>virtual machines</w:t>
            </w:r>
            <w:r w:rsidRPr="007C38CF">
              <w:rPr>
                <w:rFonts w:eastAsia="Times New Roman" w:cs="Segoe UI"/>
                <w:color w:val="000000"/>
                <w:sz w:val="20"/>
                <w:szCs w:val="20"/>
              </w:rPr>
              <w:t>.)</w:t>
            </w:r>
          </w:p>
          <w:p w14:paraId="5D26BD4F" w14:textId="7E0BF70C" w:rsidR="001A46E7" w:rsidRPr="00A71A91" w:rsidRDefault="001A46E7" w:rsidP="005729D2">
            <w:pPr>
              <w:pStyle w:val="ListParagraph"/>
              <w:numPr>
                <w:ilvl w:val="0"/>
                <w:numId w:val="137"/>
              </w:numPr>
              <w:ind w:left="360"/>
              <w:rPr>
                <w:rFonts w:eastAsia="Times New Roman" w:cs="Segoe UI"/>
                <w:color w:val="000000"/>
                <w:sz w:val="20"/>
                <w:szCs w:val="20"/>
              </w:rPr>
            </w:pPr>
            <w:r w:rsidRPr="007C38CF">
              <w:rPr>
                <w:rFonts w:eastAsia="Times New Roman" w:cs="Segoe UI"/>
                <w:color w:val="000000"/>
                <w:sz w:val="20"/>
                <w:szCs w:val="20"/>
              </w:rPr>
              <w:t xml:space="preserve">A10 and A11 instances are designed for HPC applications that do not require constant and low-latency communication between nodes </w:t>
            </w:r>
            <w:r>
              <w:rPr>
                <w:rFonts w:eastAsia="Times New Roman" w:cs="Segoe UI"/>
                <w:color w:val="000000"/>
                <w:sz w:val="20"/>
                <w:szCs w:val="20"/>
              </w:rPr>
              <w:t>(</w:t>
            </w:r>
            <w:r w:rsidRPr="007C38CF">
              <w:rPr>
                <w:rFonts w:eastAsia="Times New Roman" w:cs="Segoe UI"/>
                <w:color w:val="000000"/>
                <w:sz w:val="20"/>
                <w:szCs w:val="20"/>
              </w:rPr>
              <w:t>also known as parametric or embarrassingly parallel applications</w:t>
            </w:r>
            <w:r>
              <w:rPr>
                <w:rFonts w:eastAsia="Times New Roman" w:cs="Segoe UI"/>
                <w:color w:val="000000"/>
                <w:sz w:val="20"/>
                <w:szCs w:val="20"/>
              </w:rPr>
              <w:t>)</w:t>
            </w:r>
            <w:r w:rsidRPr="007C38CF">
              <w:rPr>
                <w:rFonts w:eastAsia="Times New Roman" w:cs="Segoe UI"/>
                <w:color w:val="000000"/>
                <w:sz w:val="20"/>
                <w:szCs w:val="20"/>
              </w:rPr>
              <w:t>. The A10 and A11 instances have the same performance optimizations and specifications as the A8 and A9 instances. However, they do not include access to the RDMA network in Azure.</w:t>
            </w:r>
          </w:p>
        </w:tc>
      </w:tr>
      <w:tr w:rsidR="001A46E7" w14:paraId="5766E2F6" w14:textId="77777777" w:rsidTr="006E2AFC">
        <w:trPr>
          <w:cnfStyle w:val="000000100000" w:firstRow="0" w:lastRow="0" w:firstColumn="0" w:lastColumn="0" w:oddVBand="0" w:evenVBand="0" w:oddHBand="1" w:evenHBand="0" w:firstRowFirstColumn="0" w:firstRowLastColumn="0" w:lastRowFirstColumn="0" w:lastRowLastColumn="0"/>
        </w:trPr>
        <w:tc>
          <w:tcPr>
            <w:tcW w:w="0" w:type="auto"/>
          </w:tcPr>
          <w:p w14:paraId="5F3ADD23" w14:textId="36653E40" w:rsidR="001A46E7" w:rsidRDefault="001A46E7" w:rsidP="001A46E7">
            <w:pPr>
              <w:pStyle w:val="NormalWeb"/>
              <w:spacing w:line="256" w:lineRule="auto"/>
              <w:rPr>
                <w:rFonts w:ascii="Segoe UI" w:hAnsi="Segoe UI" w:cs="Segoe UI"/>
                <w:b/>
                <w:sz w:val="20"/>
                <w:szCs w:val="20"/>
                <w:lang w:val="en-AU" w:eastAsia="en-AU"/>
              </w:rPr>
            </w:pPr>
            <w:r>
              <w:rPr>
                <w:rFonts w:ascii="Segoe UI" w:hAnsi="Segoe UI" w:cs="Segoe UI"/>
                <w:b/>
                <w:sz w:val="20"/>
                <w:szCs w:val="20"/>
                <w:lang w:val="en-AU" w:eastAsia="en-AU"/>
              </w:rPr>
              <w:t>D-Series features</w:t>
            </w:r>
          </w:p>
        </w:tc>
        <w:tc>
          <w:tcPr>
            <w:tcW w:w="0" w:type="auto"/>
          </w:tcPr>
          <w:p w14:paraId="7DFBD69E" w14:textId="77777777" w:rsidR="001A46E7" w:rsidRDefault="001A46E7" w:rsidP="005729D2">
            <w:pPr>
              <w:pStyle w:val="ListParagraph"/>
              <w:numPr>
                <w:ilvl w:val="0"/>
                <w:numId w:val="137"/>
              </w:numPr>
              <w:ind w:left="360"/>
              <w:rPr>
                <w:rFonts w:cs="Segoe UI"/>
                <w:sz w:val="20"/>
                <w:szCs w:val="20"/>
              </w:rPr>
            </w:pPr>
            <w:r w:rsidRPr="007C38CF">
              <w:rPr>
                <w:rFonts w:cs="Segoe UI"/>
                <w:sz w:val="20"/>
                <w:szCs w:val="20"/>
              </w:rPr>
              <w:t>Standard</w:t>
            </w:r>
            <w:r>
              <w:rPr>
                <w:sz w:val="20"/>
                <w:szCs w:val="20"/>
              </w:rPr>
              <w:t xml:space="preserve"> tier virtual machines</w:t>
            </w:r>
            <w:r w:rsidRPr="007C38CF">
              <w:rPr>
                <w:rFonts w:cs="Segoe UI"/>
                <w:sz w:val="20"/>
                <w:szCs w:val="20"/>
              </w:rPr>
              <w:t xml:space="preserve"> include load balancing and auto-scaling</w:t>
            </w:r>
            <w:r>
              <w:rPr>
                <w:rFonts w:cs="Segoe UI"/>
                <w:sz w:val="20"/>
                <w:szCs w:val="20"/>
              </w:rPr>
              <w:t>.</w:t>
            </w:r>
            <w:r w:rsidRPr="007C38CF">
              <w:rPr>
                <w:rFonts w:cs="Segoe UI"/>
                <w:sz w:val="20"/>
                <w:szCs w:val="20"/>
              </w:rPr>
              <w:t xml:space="preserve"> </w:t>
            </w:r>
          </w:p>
          <w:p w14:paraId="3F8B2067" w14:textId="41656BD3" w:rsidR="001A46E7" w:rsidRPr="00A71A91" w:rsidRDefault="001A46E7" w:rsidP="005729D2">
            <w:pPr>
              <w:pStyle w:val="ListParagraph"/>
              <w:numPr>
                <w:ilvl w:val="0"/>
                <w:numId w:val="137"/>
              </w:numPr>
              <w:ind w:left="360"/>
              <w:rPr>
                <w:rFonts w:cs="Segoe UI"/>
                <w:sz w:val="20"/>
                <w:szCs w:val="20"/>
              </w:rPr>
            </w:pPr>
            <w:r w:rsidRPr="007C38CF">
              <w:rPr>
                <w:rFonts w:cs="Segoe UI"/>
                <w:sz w:val="20"/>
                <w:szCs w:val="20"/>
              </w:rPr>
              <w:t xml:space="preserve">D-series </w:t>
            </w:r>
            <w:r>
              <w:rPr>
                <w:rFonts w:cs="Segoe UI"/>
                <w:sz w:val="20"/>
                <w:szCs w:val="20"/>
              </w:rPr>
              <w:t>virtual machines</w:t>
            </w:r>
            <w:r w:rsidRPr="007C38CF">
              <w:rPr>
                <w:rFonts w:cs="Segoe UI"/>
                <w:sz w:val="20"/>
                <w:szCs w:val="20"/>
              </w:rPr>
              <w:t xml:space="preserve"> are designed to run applications that demand higher compute power and temporary disk performance. D-series </w:t>
            </w:r>
            <w:r>
              <w:rPr>
                <w:rFonts w:cs="Segoe UI"/>
                <w:sz w:val="20"/>
                <w:szCs w:val="20"/>
              </w:rPr>
              <w:t>virtual machines</w:t>
            </w:r>
            <w:r w:rsidRPr="007C38CF">
              <w:rPr>
                <w:rFonts w:cs="Segoe UI"/>
                <w:sz w:val="20"/>
                <w:szCs w:val="20"/>
              </w:rPr>
              <w:t xml:space="preserve"> provide faster processors, a higher memory-to-core ratio, and a solid-state drive (SSD) for the temporary disk.</w:t>
            </w:r>
          </w:p>
        </w:tc>
      </w:tr>
      <w:tr w:rsidR="001A46E7" w14:paraId="663C6AF7" w14:textId="77777777" w:rsidTr="006E2AFC">
        <w:tc>
          <w:tcPr>
            <w:tcW w:w="0" w:type="auto"/>
          </w:tcPr>
          <w:p w14:paraId="211DE584" w14:textId="23A5B834" w:rsidR="001A46E7" w:rsidRDefault="001A46E7" w:rsidP="001A46E7">
            <w:pPr>
              <w:pStyle w:val="NormalWeb"/>
              <w:spacing w:line="256" w:lineRule="auto"/>
              <w:rPr>
                <w:rFonts w:ascii="Segoe UI" w:hAnsi="Segoe UI" w:cs="Segoe UI"/>
                <w:b/>
                <w:sz w:val="20"/>
                <w:szCs w:val="20"/>
                <w:lang w:val="en-AU" w:eastAsia="en-AU"/>
              </w:rPr>
            </w:pPr>
            <w:r>
              <w:rPr>
                <w:rFonts w:ascii="Segoe UI" w:hAnsi="Segoe UI" w:cs="Segoe UI"/>
                <w:b/>
                <w:sz w:val="20"/>
                <w:szCs w:val="20"/>
                <w:lang w:val="en-AU" w:eastAsia="en-AU"/>
              </w:rPr>
              <w:t>DS-Series features</w:t>
            </w:r>
          </w:p>
        </w:tc>
        <w:tc>
          <w:tcPr>
            <w:tcW w:w="0" w:type="auto"/>
          </w:tcPr>
          <w:p w14:paraId="1D2D03AE" w14:textId="77777777" w:rsidR="001A46E7" w:rsidRDefault="001A46E7" w:rsidP="005729D2">
            <w:pPr>
              <w:pStyle w:val="ListParagraph"/>
              <w:numPr>
                <w:ilvl w:val="0"/>
                <w:numId w:val="137"/>
              </w:numPr>
              <w:ind w:left="360"/>
              <w:rPr>
                <w:rFonts w:cs="Segoe UI"/>
                <w:sz w:val="20"/>
                <w:szCs w:val="20"/>
              </w:rPr>
            </w:pPr>
            <w:r w:rsidRPr="007C38CF">
              <w:rPr>
                <w:rFonts w:cs="Segoe UI"/>
                <w:sz w:val="20"/>
                <w:szCs w:val="20"/>
              </w:rPr>
              <w:t>Standard</w:t>
            </w:r>
            <w:r>
              <w:rPr>
                <w:sz w:val="20"/>
                <w:szCs w:val="20"/>
              </w:rPr>
              <w:t xml:space="preserve"> tier virtual machines</w:t>
            </w:r>
            <w:r w:rsidRPr="007C38CF">
              <w:rPr>
                <w:rFonts w:cs="Segoe UI"/>
                <w:sz w:val="20"/>
                <w:szCs w:val="20"/>
              </w:rPr>
              <w:t xml:space="preserve"> include load balancing and auto-scaling</w:t>
            </w:r>
            <w:r>
              <w:rPr>
                <w:rFonts w:cs="Segoe UI"/>
                <w:sz w:val="20"/>
                <w:szCs w:val="20"/>
              </w:rPr>
              <w:t>.</w:t>
            </w:r>
            <w:r w:rsidRPr="007C38CF">
              <w:rPr>
                <w:rFonts w:cs="Segoe UI"/>
                <w:sz w:val="20"/>
                <w:szCs w:val="20"/>
              </w:rPr>
              <w:t xml:space="preserve"> </w:t>
            </w:r>
          </w:p>
          <w:p w14:paraId="62F2F5D0" w14:textId="77777777" w:rsidR="001A46E7" w:rsidRDefault="001A46E7" w:rsidP="005729D2">
            <w:pPr>
              <w:pStyle w:val="ListParagraph"/>
              <w:numPr>
                <w:ilvl w:val="0"/>
                <w:numId w:val="137"/>
              </w:numPr>
              <w:ind w:left="360"/>
              <w:rPr>
                <w:rFonts w:cs="Segoe UI"/>
                <w:sz w:val="20"/>
                <w:szCs w:val="20"/>
              </w:rPr>
            </w:pPr>
            <w:r w:rsidRPr="007C38CF">
              <w:rPr>
                <w:rFonts w:cs="Segoe UI"/>
                <w:sz w:val="20"/>
                <w:szCs w:val="20"/>
              </w:rPr>
              <w:t xml:space="preserve">DS-series </w:t>
            </w:r>
            <w:r>
              <w:rPr>
                <w:rFonts w:cs="Segoe UI"/>
                <w:sz w:val="20"/>
                <w:szCs w:val="20"/>
              </w:rPr>
              <w:t>virtual machines</w:t>
            </w:r>
            <w:r w:rsidRPr="007C38CF">
              <w:rPr>
                <w:rFonts w:cs="Segoe UI"/>
                <w:sz w:val="20"/>
                <w:szCs w:val="20"/>
              </w:rPr>
              <w:t xml:space="preserve"> can use </w:t>
            </w:r>
            <w:r>
              <w:rPr>
                <w:rFonts w:cs="Segoe UI"/>
                <w:sz w:val="20"/>
                <w:szCs w:val="20"/>
              </w:rPr>
              <w:t>p</w:t>
            </w:r>
            <w:r w:rsidRPr="007C38CF">
              <w:rPr>
                <w:rFonts w:cs="Segoe UI"/>
                <w:sz w:val="20"/>
                <w:szCs w:val="20"/>
              </w:rPr>
              <w:t>remium storage, which provides high-performance</w:t>
            </w:r>
            <w:r>
              <w:rPr>
                <w:rFonts w:cs="Segoe UI"/>
                <w:sz w:val="20"/>
                <w:szCs w:val="20"/>
              </w:rPr>
              <w:t xml:space="preserve"> and</w:t>
            </w:r>
            <w:r w:rsidRPr="007C38CF">
              <w:rPr>
                <w:rFonts w:cs="Segoe UI"/>
                <w:sz w:val="20"/>
                <w:szCs w:val="20"/>
              </w:rPr>
              <w:t xml:space="preserve"> low-latency storage for I/O intensive workloads. It uses solid-state drives (SSDs) to host a virtual machine’s disks and offers a local SSD disk cache. </w:t>
            </w:r>
            <w:r>
              <w:rPr>
                <w:rFonts w:cs="Segoe UI"/>
                <w:sz w:val="20"/>
                <w:szCs w:val="20"/>
              </w:rPr>
              <w:t>Currently, p</w:t>
            </w:r>
            <w:r w:rsidRPr="007C38CF">
              <w:rPr>
                <w:rFonts w:cs="Segoe UI"/>
                <w:sz w:val="20"/>
                <w:szCs w:val="20"/>
              </w:rPr>
              <w:t xml:space="preserve">remium storage is </w:t>
            </w:r>
            <w:r>
              <w:rPr>
                <w:rFonts w:cs="Segoe UI"/>
                <w:sz w:val="20"/>
                <w:szCs w:val="20"/>
              </w:rPr>
              <w:t xml:space="preserve">only </w:t>
            </w:r>
            <w:r w:rsidRPr="007C38CF">
              <w:rPr>
                <w:rFonts w:cs="Segoe UI"/>
                <w:sz w:val="20"/>
                <w:szCs w:val="20"/>
              </w:rPr>
              <w:t>available in certain regions</w:t>
            </w:r>
            <w:r>
              <w:rPr>
                <w:rFonts w:cs="Segoe UI"/>
                <w:sz w:val="20"/>
                <w:szCs w:val="20"/>
              </w:rPr>
              <w:t>.</w:t>
            </w:r>
          </w:p>
          <w:p w14:paraId="2FABA096" w14:textId="1DCD10F8" w:rsidR="001A46E7" w:rsidRPr="00224023" w:rsidRDefault="001A46E7" w:rsidP="005729D2">
            <w:pPr>
              <w:pStyle w:val="ListParagraph"/>
              <w:numPr>
                <w:ilvl w:val="0"/>
                <w:numId w:val="137"/>
              </w:numPr>
              <w:ind w:left="360"/>
              <w:rPr>
                <w:rFonts w:cs="Segoe UI"/>
                <w:sz w:val="20"/>
                <w:szCs w:val="20"/>
              </w:rPr>
            </w:pPr>
            <w:r w:rsidRPr="00224023">
              <w:rPr>
                <w:rFonts w:cs="Segoe UI"/>
                <w:sz w:val="20"/>
                <w:szCs w:val="20"/>
              </w:rPr>
              <w:t xml:space="preserve">The maximum input/output operations per second (IOPS) and throughput (bandwidth) possible with a DS series </w:t>
            </w:r>
            <w:r>
              <w:rPr>
                <w:rFonts w:cs="Segoe UI"/>
                <w:sz w:val="20"/>
                <w:szCs w:val="20"/>
              </w:rPr>
              <w:t>virtual machine</w:t>
            </w:r>
            <w:r w:rsidRPr="00224023">
              <w:rPr>
                <w:rFonts w:cs="Segoe UI"/>
                <w:sz w:val="20"/>
                <w:szCs w:val="20"/>
              </w:rPr>
              <w:t xml:space="preserve"> is affected by the size of the disk. </w:t>
            </w:r>
          </w:p>
        </w:tc>
      </w:tr>
      <w:tr w:rsidR="001A46E7" w14:paraId="5B1451F7" w14:textId="77777777" w:rsidTr="006E2AFC">
        <w:trPr>
          <w:cnfStyle w:val="000000100000" w:firstRow="0" w:lastRow="0" w:firstColumn="0" w:lastColumn="0" w:oddVBand="0" w:evenVBand="0" w:oddHBand="1" w:evenHBand="0" w:firstRowFirstColumn="0" w:firstRowLastColumn="0" w:lastRowFirstColumn="0" w:lastRowLastColumn="0"/>
        </w:trPr>
        <w:tc>
          <w:tcPr>
            <w:tcW w:w="0" w:type="auto"/>
          </w:tcPr>
          <w:p w14:paraId="36E062B8" w14:textId="2029F155" w:rsidR="001A46E7" w:rsidRDefault="001A46E7" w:rsidP="001A46E7">
            <w:pPr>
              <w:pStyle w:val="NormalWeb"/>
              <w:spacing w:line="256" w:lineRule="auto"/>
              <w:rPr>
                <w:rFonts w:ascii="Segoe UI" w:hAnsi="Segoe UI" w:cs="Segoe UI"/>
                <w:b/>
                <w:sz w:val="20"/>
                <w:szCs w:val="20"/>
                <w:lang w:val="en-AU" w:eastAsia="en-AU"/>
              </w:rPr>
            </w:pPr>
            <w:r>
              <w:rPr>
                <w:rFonts w:ascii="Segoe UI" w:hAnsi="Segoe UI" w:cs="Segoe UI"/>
                <w:b/>
                <w:sz w:val="20"/>
                <w:szCs w:val="20"/>
                <w:lang w:val="en-AU" w:eastAsia="en-AU"/>
              </w:rPr>
              <w:t>G-Series features</w:t>
            </w:r>
          </w:p>
        </w:tc>
        <w:tc>
          <w:tcPr>
            <w:tcW w:w="0" w:type="auto"/>
          </w:tcPr>
          <w:p w14:paraId="414098D1" w14:textId="77777777" w:rsidR="001A46E7" w:rsidRDefault="001A46E7" w:rsidP="005729D2">
            <w:pPr>
              <w:pStyle w:val="ListParagraph"/>
              <w:numPr>
                <w:ilvl w:val="0"/>
                <w:numId w:val="137"/>
              </w:numPr>
              <w:ind w:left="360"/>
              <w:rPr>
                <w:rFonts w:cs="Segoe UI"/>
                <w:sz w:val="20"/>
                <w:szCs w:val="20"/>
              </w:rPr>
            </w:pPr>
            <w:r w:rsidRPr="007C38CF">
              <w:rPr>
                <w:rFonts w:cs="Segoe UI"/>
                <w:sz w:val="20"/>
                <w:szCs w:val="20"/>
              </w:rPr>
              <w:t>Standard</w:t>
            </w:r>
            <w:r>
              <w:rPr>
                <w:sz w:val="20"/>
                <w:szCs w:val="20"/>
              </w:rPr>
              <w:t xml:space="preserve"> tier virtual machines</w:t>
            </w:r>
            <w:r w:rsidRPr="007C38CF">
              <w:rPr>
                <w:rFonts w:cs="Segoe UI"/>
                <w:sz w:val="20"/>
                <w:szCs w:val="20"/>
              </w:rPr>
              <w:t xml:space="preserve"> include load balancing and auto-scaling</w:t>
            </w:r>
            <w:r>
              <w:rPr>
                <w:rFonts w:cs="Segoe UI"/>
                <w:sz w:val="20"/>
                <w:szCs w:val="20"/>
              </w:rPr>
              <w:t>.</w:t>
            </w:r>
            <w:r w:rsidRPr="00A71A91">
              <w:rPr>
                <w:rFonts w:cs="Segoe UI"/>
                <w:sz w:val="20"/>
                <w:szCs w:val="20"/>
              </w:rPr>
              <w:t xml:space="preserve"> </w:t>
            </w:r>
          </w:p>
          <w:p w14:paraId="5209BFEA" w14:textId="6633602B" w:rsidR="001A46E7" w:rsidRPr="007C38CF" w:rsidRDefault="001A46E7" w:rsidP="005729D2">
            <w:pPr>
              <w:pStyle w:val="ListParagraph"/>
              <w:numPr>
                <w:ilvl w:val="0"/>
                <w:numId w:val="137"/>
              </w:numPr>
              <w:ind w:left="360"/>
              <w:rPr>
                <w:rFonts w:cs="Segoe UI"/>
                <w:sz w:val="20"/>
                <w:szCs w:val="20"/>
              </w:rPr>
            </w:pPr>
            <w:r>
              <w:rPr>
                <w:rFonts w:cs="Segoe UI"/>
                <w:sz w:val="20"/>
                <w:szCs w:val="20"/>
              </w:rPr>
              <w:t>Leverages local SSD disks to provide the highest performance virtual machine series that is available in Azure.</w:t>
            </w:r>
          </w:p>
        </w:tc>
      </w:tr>
    </w:tbl>
    <w:p w14:paraId="6772DA72" w14:textId="77777777" w:rsidR="00737360" w:rsidRDefault="00737360" w:rsidP="00B92ADE"/>
    <w:p w14:paraId="11A37FDF" w14:textId="77777777" w:rsidR="00737360" w:rsidRDefault="00737360">
      <w:pPr>
        <w:spacing w:before="0" w:after="160" w:line="259" w:lineRule="auto"/>
      </w:pPr>
      <w:r>
        <w:br w:type="page"/>
      </w:r>
    </w:p>
    <w:p w14:paraId="2C6A10C1" w14:textId="3428CEE4" w:rsidR="00B92ADE" w:rsidRDefault="001A46E7" w:rsidP="00B92ADE">
      <w:r>
        <w:t>The following summary of the capabilities of each virtual machine series is provided in the following table</w:t>
      </w:r>
      <w:r w:rsidR="00B92ADE">
        <w:t>:</w:t>
      </w:r>
    </w:p>
    <w:p w14:paraId="7C119559" w14:textId="77777777" w:rsidR="00B92ADE" w:rsidRDefault="00B92ADE" w:rsidP="00B92ADE"/>
    <w:tbl>
      <w:tblPr>
        <w:tblStyle w:val="PlainTable11"/>
        <w:tblW w:w="0" w:type="auto"/>
        <w:tblLook w:val="0420" w:firstRow="1" w:lastRow="0" w:firstColumn="0" w:lastColumn="0" w:noHBand="0" w:noVBand="1"/>
      </w:tblPr>
      <w:tblGrid>
        <w:gridCol w:w="2220"/>
        <w:gridCol w:w="1362"/>
        <w:gridCol w:w="1314"/>
        <w:gridCol w:w="1600"/>
        <w:gridCol w:w="1454"/>
        <w:gridCol w:w="1400"/>
      </w:tblGrid>
      <w:tr w:rsidR="006E2AFC" w:rsidRPr="006E2AFC" w14:paraId="2FD5EF26" w14:textId="77777777" w:rsidTr="006E2AFC">
        <w:trPr>
          <w:cnfStyle w:val="100000000000" w:firstRow="1" w:lastRow="0" w:firstColumn="0" w:lastColumn="0" w:oddVBand="0" w:evenVBand="0" w:oddHBand="0" w:evenHBand="0" w:firstRowFirstColumn="0" w:firstRowLastColumn="0" w:lastRowFirstColumn="0" w:lastRowLastColumn="0"/>
        </w:trPr>
        <w:tc>
          <w:tcPr>
            <w:tcW w:w="0" w:type="auto"/>
            <w:shd w:val="clear" w:color="auto" w:fill="808080" w:themeFill="background1" w:themeFillShade="80"/>
            <w:hideMark/>
          </w:tcPr>
          <w:p w14:paraId="499B8459" w14:textId="77777777" w:rsidR="00B92ADE" w:rsidRPr="006E2AFC" w:rsidRDefault="00B92ADE" w:rsidP="00B92ADE">
            <w:pPr>
              <w:rPr>
                <w:color w:val="FFFFFF" w:themeColor="background1"/>
                <w:sz w:val="20"/>
                <w:szCs w:val="20"/>
              </w:rPr>
            </w:pPr>
            <w:r w:rsidRPr="006E2AFC">
              <w:rPr>
                <w:bCs w:val="0"/>
                <w:color w:val="FFFFFF" w:themeColor="background1"/>
                <w:sz w:val="20"/>
                <w:szCs w:val="20"/>
              </w:rPr>
              <w:t>Size</w:t>
            </w:r>
          </w:p>
        </w:tc>
        <w:tc>
          <w:tcPr>
            <w:tcW w:w="0" w:type="auto"/>
            <w:shd w:val="clear" w:color="auto" w:fill="808080" w:themeFill="background1" w:themeFillShade="80"/>
            <w:hideMark/>
          </w:tcPr>
          <w:p w14:paraId="6E311E79" w14:textId="77777777" w:rsidR="00B92ADE" w:rsidRPr="006E2AFC" w:rsidRDefault="00B92ADE" w:rsidP="00B92ADE">
            <w:pPr>
              <w:rPr>
                <w:color w:val="FFFFFF" w:themeColor="background1"/>
                <w:sz w:val="20"/>
                <w:szCs w:val="20"/>
              </w:rPr>
            </w:pPr>
            <w:r w:rsidRPr="006E2AFC">
              <w:rPr>
                <w:color w:val="FFFFFF" w:themeColor="background1"/>
                <w:sz w:val="20"/>
                <w:szCs w:val="20"/>
              </w:rPr>
              <w:t xml:space="preserve">Available CPU </w:t>
            </w:r>
            <w:r w:rsidRPr="006E2AFC">
              <w:rPr>
                <w:bCs w:val="0"/>
                <w:color w:val="FFFFFF" w:themeColor="background1"/>
                <w:sz w:val="20"/>
                <w:szCs w:val="20"/>
              </w:rPr>
              <w:t>Cores</w:t>
            </w:r>
          </w:p>
        </w:tc>
        <w:tc>
          <w:tcPr>
            <w:tcW w:w="0" w:type="auto"/>
            <w:shd w:val="clear" w:color="auto" w:fill="808080" w:themeFill="background1" w:themeFillShade="80"/>
            <w:hideMark/>
          </w:tcPr>
          <w:p w14:paraId="6D6B077C" w14:textId="77777777" w:rsidR="00B92ADE" w:rsidRPr="006E2AFC" w:rsidRDefault="00B92ADE" w:rsidP="00B92ADE">
            <w:pPr>
              <w:rPr>
                <w:color w:val="FFFFFF" w:themeColor="background1"/>
                <w:sz w:val="20"/>
                <w:szCs w:val="20"/>
              </w:rPr>
            </w:pPr>
            <w:r w:rsidRPr="006E2AFC">
              <w:rPr>
                <w:color w:val="FFFFFF" w:themeColor="background1"/>
                <w:sz w:val="20"/>
                <w:szCs w:val="20"/>
              </w:rPr>
              <w:t xml:space="preserve">Available Memory </w:t>
            </w:r>
          </w:p>
        </w:tc>
        <w:tc>
          <w:tcPr>
            <w:tcW w:w="0" w:type="auto"/>
            <w:shd w:val="clear" w:color="auto" w:fill="808080" w:themeFill="background1" w:themeFillShade="80"/>
            <w:hideMark/>
          </w:tcPr>
          <w:p w14:paraId="3E0AFFE1" w14:textId="77777777" w:rsidR="00B92ADE" w:rsidRPr="006E2AFC" w:rsidRDefault="00B92ADE" w:rsidP="00B92ADE">
            <w:pPr>
              <w:rPr>
                <w:color w:val="FFFFFF" w:themeColor="background1"/>
                <w:sz w:val="20"/>
                <w:szCs w:val="20"/>
              </w:rPr>
            </w:pPr>
            <w:r w:rsidRPr="006E2AFC">
              <w:rPr>
                <w:color w:val="FFFFFF" w:themeColor="background1"/>
                <w:sz w:val="20"/>
                <w:szCs w:val="20"/>
              </w:rPr>
              <w:t xml:space="preserve">Available Disk Sizes </w:t>
            </w:r>
          </w:p>
        </w:tc>
        <w:tc>
          <w:tcPr>
            <w:tcW w:w="0" w:type="auto"/>
            <w:shd w:val="clear" w:color="auto" w:fill="808080" w:themeFill="background1" w:themeFillShade="80"/>
            <w:hideMark/>
          </w:tcPr>
          <w:p w14:paraId="470740DE" w14:textId="77777777" w:rsidR="00B92ADE" w:rsidRPr="006E2AFC" w:rsidRDefault="00B92ADE" w:rsidP="00B92ADE">
            <w:pPr>
              <w:rPr>
                <w:color w:val="FFFFFF" w:themeColor="background1"/>
                <w:sz w:val="20"/>
                <w:szCs w:val="20"/>
              </w:rPr>
            </w:pPr>
            <w:r w:rsidRPr="006E2AFC">
              <w:rPr>
                <w:color w:val="FFFFFF" w:themeColor="background1"/>
                <w:sz w:val="20"/>
                <w:szCs w:val="20"/>
              </w:rPr>
              <w:t xml:space="preserve">Maximum Data Disks  </w:t>
            </w:r>
          </w:p>
        </w:tc>
        <w:tc>
          <w:tcPr>
            <w:tcW w:w="0" w:type="auto"/>
            <w:shd w:val="clear" w:color="auto" w:fill="808080" w:themeFill="background1" w:themeFillShade="80"/>
            <w:hideMark/>
          </w:tcPr>
          <w:p w14:paraId="7C504E3A" w14:textId="77777777" w:rsidR="00B92ADE" w:rsidRPr="006E2AFC" w:rsidRDefault="00B92ADE" w:rsidP="00B92ADE">
            <w:pPr>
              <w:rPr>
                <w:color w:val="FFFFFF" w:themeColor="background1"/>
                <w:sz w:val="20"/>
                <w:szCs w:val="20"/>
              </w:rPr>
            </w:pPr>
            <w:r w:rsidRPr="006E2AFC">
              <w:rPr>
                <w:color w:val="FFFFFF" w:themeColor="background1"/>
                <w:sz w:val="20"/>
                <w:szCs w:val="20"/>
              </w:rPr>
              <w:t>Maximum IOPS</w:t>
            </w:r>
          </w:p>
        </w:tc>
      </w:tr>
      <w:tr w:rsidR="001A46E7" w:rsidRPr="00DC22EA" w14:paraId="4078A5AA" w14:textId="77777777" w:rsidTr="006E2AFC">
        <w:trPr>
          <w:cnfStyle w:val="000000100000" w:firstRow="0" w:lastRow="0" w:firstColumn="0" w:lastColumn="0" w:oddVBand="0" w:evenVBand="0" w:oddHBand="1" w:evenHBand="0" w:firstRowFirstColumn="0" w:firstRowLastColumn="0" w:lastRowFirstColumn="0" w:lastRowLastColumn="0"/>
        </w:trPr>
        <w:tc>
          <w:tcPr>
            <w:tcW w:w="0" w:type="auto"/>
            <w:hideMark/>
          </w:tcPr>
          <w:p w14:paraId="3D4443D2" w14:textId="6A1BE8F0" w:rsidR="001A46E7" w:rsidRPr="00AE5655" w:rsidRDefault="001A46E7" w:rsidP="001A46E7">
            <w:pPr>
              <w:pStyle w:val="NormalWeb"/>
              <w:spacing w:line="256" w:lineRule="auto"/>
              <w:rPr>
                <w:rFonts w:ascii="Segoe UI" w:hAnsi="Segoe UI" w:cs="Segoe UI"/>
                <w:b/>
                <w:bCs/>
                <w:sz w:val="20"/>
                <w:szCs w:val="20"/>
                <w:lang w:val="en-AU" w:eastAsia="en-AU"/>
              </w:rPr>
            </w:pPr>
            <w:r w:rsidRPr="00AE5655">
              <w:rPr>
                <w:rFonts w:ascii="Segoe UI" w:hAnsi="Segoe UI" w:cs="Segoe UI"/>
                <w:b/>
                <w:bCs/>
                <w:sz w:val="20"/>
                <w:szCs w:val="20"/>
                <w:lang w:val="en-AU" w:eastAsia="en-AU"/>
              </w:rPr>
              <w:t xml:space="preserve">Basic_A0 – </w:t>
            </w:r>
            <w:r w:rsidRPr="00AE5655">
              <w:rPr>
                <w:rFonts w:ascii="Segoe UI" w:hAnsi="Segoe UI" w:cs="Segoe UI"/>
                <w:b/>
                <w:bCs/>
                <w:sz w:val="20"/>
                <w:szCs w:val="20"/>
                <w:lang w:val="en-AU" w:eastAsia="en-AU"/>
              </w:rPr>
              <w:br/>
              <w:t>Basic_A4</w:t>
            </w:r>
          </w:p>
        </w:tc>
        <w:tc>
          <w:tcPr>
            <w:tcW w:w="0" w:type="auto"/>
            <w:hideMark/>
          </w:tcPr>
          <w:p w14:paraId="7EEA9FE9" w14:textId="412E431B" w:rsidR="001A46E7" w:rsidRPr="00C031AB" w:rsidRDefault="001A46E7" w:rsidP="001A46E7">
            <w:pPr>
              <w:rPr>
                <w:rFonts w:cs="Segoe UI"/>
                <w:bCs/>
                <w:sz w:val="18"/>
                <w:szCs w:val="18"/>
              </w:rPr>
            </w:pPr>
            <w:r w:rsidRPr="00C031AB">
              <w:rPr>
                <w:rFonts w:cs="Segoe UI"/>
                <w:bCs/>
                <w:sz w:val="18"/>
                <w:szCs w:val="18"/>
              </w:rPr>
              <w:t>1 –</w:t>
            </w:r>
            <w:r>
              <w:rPr>
                <w:rFonts w:cs="Segoe UI"/>
                <w:bCs/>
                <w:sz w:val="18"/>
                <w:szCs w:val="18"/>
              </w:rPr>
              <w:t> 8</w:t>
            </w:r>
            <w:r w:rsidRPr="00C031AB">
              <w:rPr>
                <w:rFonts w:cs="Segoe UI"/>
                <w:bCs/>
                <w:sz w:val="18"/>
                <w:szCs w:val="18"/>
              </w:rPr>
              <w:t xml:space="preserve"> </w:t>
            </w:r>
          </w:p>
        </w:tc>
        <w:tc>
          <w:tcPr>
            <w:tcW w:w="0" w:type="auto"/>
            <w:hideMark/>
          </w:tcPr>
          <w:p w14:paraId="4438BC2B" w14:textId="77777777" w:rsidR="001A46E7" w:rsidRPr="00C031AB" w:rsidRDefault="001A46E7" w:rsidP="001A46E7">
            <w:pPr>
              <w:rPr>
                <w:rFonts w:cs="Segoe UI"/>
                <w:bCs/>
                <w:sz w:val="18"/>
                <w:szCs w:val="18"/>
              </w:rPr>
            </w:pPr>
            <w:r w:rsidRPr="00C031AB">
              <w:rPr>
                <w:rFonts w:cs="Segoe UI"/>
                <w:bCs/>
                <w:sz w:val="18"/>
                <w:szCs w:val="18"/>
              </w:rPr>
              <w:t xml:space="preserve">768 MB – </w:t>
            </w:r>
          </w:p>
          <w:p w14:paraId="13BAD44F" w14:textId="4F9783AE" w:rsidR="001A46E7" w:rsidRPr="00C031AB" w:rsidRDefault="001A46E7" w:rsidP="001A46E7">
            <w:pPr>
              <w:rPr>
                <w:rFonts w:cs="Segoe UI"/>
                <w:bCs/>
                <w:sz w:val="18"/>
                <w:szCs w:val="18"/>
              </w:rPr>
            </w:pPr>
            <w:r w:rsidRPr="00C031AB">
              <w:rPr>
                <w:rFonts w:cs="Segoe UI"/>
                <w:bCs/>
                <w:sz w:val="18"/>
                <w:szCs w:val="18"/>
              </w:rPr>
              <w:t>14 GB</w:t>
            </w:r>
          </w:p>
        </w:tc>
        <w:tc>
          <w:tcPr>
            <w:tcW w:w="0" w:type="auto"/>
            <w:hideMark/>
          </w:tcPr>
          <w:p w14:paraId="55196363" w14:textId="77777777" w:rsidR="001A46E7" w:rsidRPr="00C031AB" w:rsidRDefault="001A46E7" w:rsidP="001A46E7">
            <w:pPr>
              <w:rPr>
                <w:rFonts w:cs="Segoe UI"/>
                <w:bCs/>
                <w:sz w:val="18"/>
                <w:szCs w:val="18"/>
              </w:rPr>
            </w:pPr>
            <w:r w:rsidRPr="00C031AB">
              <w:rPr>
                <w:rFonts w:cs="Segoe UI"/>
                <w:bCs/>
                <w:sz w:val="18"/>
                <w:szCs w:val="18"/>
              </w:rPr>
              <w:t>O</w:t>
            </w:r>
            <w:r>
              <w:rPr>
                <w:rFonts w:cs="Segoe UI"/>
                <w:bCs/>
                <w:sz w:val="18"/>
                <w:szCs w:val="18"/>
              </w:rPr>
              <w:t>perating system</w:t>
            </w:r>
            <w:r w:rsidRPr="00C031AB">
              <w:rPr>
                <w:rFonts w:cs="Segoe UI"/>
                <w:bCs/>
                <w:sz w:val="18"/>
                <w:szCs w:val="18"/>
              </w:rPr>
              <w:t xml:space="preserve"> =</w:t>
            </w:r>
            <w:r>
              <w:rPr>
                <w:rFonts w:cs="Segoe UI"/>
                <w:bCs/>
                <w:sz w:val="18"/>
                <w:szCs w:val="18"/>
              </w:rPr>
              <w:t> 1</w:t>
            </w:r>
            <w:r w:rsidRPr="00C031AB">
              <w:rPr>
                <w:rFonts w:cs="Segoe UI"/>
                <w:bCs/>
                <w:sz w:val="18"/>
                <w:szCs w:val="18"/>
              </w:rPr>
              <w:t>023 GB</w:t>
            </w:r>
          </w:p>
          <w:p w14:paraId="33939925" w14:textId="4A06AB60" w:rsidR="001A46E7" w:rsidRPr="00C031AB" w:rsidRDefault="001A46E7" w:rsidP="001A46E7">
            <w:pPr>
              <w:rPr>
                <w:rFonts w:cs="Segoe UI"/>
                <w:bCs/>
                <w:sz w:val="18"/>
                <w:szCs w:val="18"/>
              </w:rPr>
            </w:pPr>
            <w:r w:rsidRPr="00C031AB">
              <w:rPr>
                <w:rFonts w:cs="Segoe UI"/>
                <w:bCs/>
                <w:sz w:val="18"/>
                <w:szCs w:val="18"/>
              </w:rPr>
              <w:t>Temporary =</w:t>
            </w:r>
            <w:r>
              <w:rPr>
                <w:rFonts w:cs="Segoe UI"/>
                <w:bCs/>
                <w:sz w:val="18"/>
                <w:szCs w:val="18"/>
              </w:rPr>
              <w:t> 2</w:t>
            </w:r>
            <w:r w:rsidRPr="00C031AB">
              <w:rPr>
                <w:rFonts w:cs="Segoe UI"/>
                <w:bCs/>
                <w:sz w:val="18"/>
                <w:szCs w:val="18"/>
              </w:rPr>
              <w:t>0-240 GB</w:t>
            </w:r>
          </w:p>
        </w:tc>
        <w:tc>
          <w:tcPr>
            <w:tcW w:w="0" w:type="auto"/>
            <w:hideMark/>
          </w:tcPr>
          <w:p w14:paraId="4066EF44" w14:textId="221F4E3F" w:rsidR="001A46E7" w:rsidRPr="00C031AB" w:rsidRDefault="001A46E7" w:rsidP="001A46E7">
            <w:pPr>
              <w:rPr>
                <w:rFonts w:cs="Segoe UI"/>
                <w:bCs/>
                <w:sz w:val="18"/>
                <w:szCs w:val="18"/>
              </w:rPr>
            </w:pPr>
            <w:r w:rsidRPr="00C031AB">
              <w:rPr>
                <w:rFonts w:cs="Segoe UI"/>
                <w:bCs/>
                <w:sz w:val="18"/>
                <w:szCs w:val="18"/>
              </w:rPr>
              <w:t>1 -</w:t>
            </w:r>
            <w:r>
              <w:rPr>
                <w:rFonts w:cs="Segoe UI"/>
                <w:bCs/>
                <w:sz w:val="18"/>
                <w:szCs w:val="18"/>
              </w:rPr>
              <w:t> 1</w:t>
            </w:r>
            <w:r w:rsidRPr="00C031AB">
              <w:rPr>
                <w:rFonts w:cs="Segoe UI"/>
                <w:bCs/>
                <w:sz w:val="18"/>
                <w:szCs w:val="18"/>
              </w:rPr>
              <w:t>6</w:t>
            </w:r>
          </w:p>
        </w:tc>
        <w:tc>
          <w:tcPr>
            <w:tcW w:w="0" w:type="auto"/>
            <w:hideMark/>
          </w:tcPr>
          <w:p w14:paraId="47F5EC57" w14:textId="5679BE81" w:rsidR="001A46E7" w:rsidRPr="00C031AB" w:rsidRDefault="001A46E7" w:rsidP="001A46E7">
            <w:pPr>
              <w:rPr>
                <w:rFonts w:cs="Segoe UI"/>
                <w:bCs/>
                <w:sz w:val="18"/>
                <w:szCs w:val="18"/>
              </w:rPr>
            </w:pPr>
            <w:r w:rsidRPr="00C031AB">
              <w:rPr>
                <w:rFonts w:cs="Segoe UI"/>
                <w:bCs/>
                <w:sz w:val="18"/>
                <w:szCs w:val="18"/>
              </w:rPr>
              <w:t>300 IOPS per disk</w:t>
            </w:r>
          </w:p>
        </w:tc>
      </w:tr>
      <w:tr w:rsidR="001A46E7" w:rsidRPr="00DC22EA" w14:paraId="19733C5B" w14:textId="77777777" w:rsidTr="006E2AFC">
        <w:tc>
          <w:tcPr>
            <w:tcW w:w="0" w:type="auto"/>
          </w:tcPr>
          <w:p w14:paraId="48E70844" w14:textId="77777777" w:rsidR="001A46E7" w:rsidRPr="00AE5655" w:rsidRDefault="001A46E7" w:rsidP="001A46E7">
            <w:pPr>
              <w:pStyle w:val="NormalWeb"/>
              <w:spacing w:line="256" w:lineRule="auto"/>
              <w:rPr>
                <w:rFonts w:ascii="Segoe UI" w:hAnsi="Segoe UI" w:cs="Segoe UI"/>
                <w:b/>
                <w:bCs/>
                <w:sz w:val="20"/>
                <w:szCs w:val="20"/>
                <w:lang w:val="en-AU" w:eastAsia="en-AU"/>
              </w:rPr>
            </w:pPr>
            <w:r w:rsidRPr="00AE5655">
              <w:rPr>
                <w:rFonts w:ascii="Segoe UI" w:hAnsi="Segoe UI" w:cs="Segoe UI"/>
                <w:b/>
                <w:bCs/>
                <w:sz w:val="20"/>
                <w:szCs w:val="20"/>
                <w:lang w:val="en-AU" w:eastAsia="en-AU"/>
              </w:rPr>
              <w:t>Standard_A0 – Standard_A11</w:t>
            </w:r>
          </w:p>
          <w:p w14:paraId="73233C4E" w14:textId="6234E966" w:rsidR="001A46E7" w:rsidRPr="00AE5655" w:rsidRDefault="001A46E7" w:rsidP="001A46E7">
            <w:pPr>
              <w:pStyle w:val="NormalWeb"/>
              <w:spacing w:line="256" w:lineRule="auto"/>
              <w:rPr>
                <w:rFonts w:ascii="Segoe UI" w:hAnsi="Segoe UI" w:cs="Segoe UI"/>
                <w:b/>
                <w:bCs/>
                <w:sz w:val="20"/>
                <w:szCs w:val="20"/>
                <w:lang w:val="en-AU" w:eastAsia="en-AU"/>
              </w:rPr>
            </w:pPr>
            <w:r w:rsidRPr="00AE5655">
              <w:rPr>
                <w:rFonts w:ascii="Segoe UI" w:hAnsi="Segoe UI" w:cs="Segoe UI"/>
                <w:b/>
                <w:bCs/>
                <w:sz w:val="20"/>
                <w:szCs w:val="20"/>
                <w:lang w:val="en-AU" w:eastAsia="en-AU"/>
              </w:rPr>
              <w:t xml:space="preserve">(Includes </w:t>
            </w:r>
            <w:r>
              <w:rPr>
                <w:rFonts w:ascii="Segoe UI" w:hAnsi="Segoe UI" w:cs="Segoe UI"/>
                <w:b/>
                <w:bCs/>
                <w:sz w:val="20"/>
                <w:szCs w:val="20"/>
                <w:lang w:val="en-AU" w:eastAsia="en-AU"/>
              </w:rPr>
              <w:t>c</w:t>
            </w:r>
            <w:r w:rsidRPr="00AE5655">
              <w:rPr>
                <w:rFonts w:ascii="Segoe UI" w:hAnsi="Segoe UI" w:cs="Segoe UI"/>
                <w:b/>
                <w:bCs/>
                <w:sz w:val="20"/>
                <w:szCs w:val="20"/>
                <w:lang w:val="en-AU" w:eastAsia="en-AU"/>
              </w:rPr>
              <w:t xml:space="preserve">ompute </w:t>
            </w:r>
            <w:r>
              <w:rPr>
                <w:rFonts w:ascii="Segoe UI" w:hAnsi="Segoe UI" w:cs="Segoe UI"/>
                <w:b/>
                <w:bCs/>
                <w:sz w:val="20"/>
                <w:szCs w:val="20"/>
                <w:lang w:val="en-AU" w:eastAsia="en-AU"/>
              </w:rPr>
              <w:t>i</w:t>
            </w:r>
            <w:r w:rsidRPr="00AE5655">
              <w:rPr>
                <w:rFonts w:ascii="Segoe UI" w:hAnsi="Segoe UI" w:cs="Segoe UI"/>
                <w:b/>
                <w:bCs/>
                <w:sz w:val="20"/>
                <w:szCs w:val="20"/>
                <w:lang w:val="en-AU" w:eastAsia="en-AU"/>
              </w:rPr>
              <w:t>ntensive A8-11)</w:t>
            </w:r>
          </w:p>
        </w:tc>
        <w:tc>
          <w:tcPr>
            <w:tcW w:w="0" w:type="auto"/>
          </w:tcPr>
          <w:p w14:paraId="29CD69A8" w14:textId="279E245A" w:rsidR="001A46E7" w:rsidRPr="00C031AB" w:rsidRDefault="001A46E7" w:rsidP="001A46E7">
            <w:pPr>
              <w:rPr>
                <w:rFonts w:cs="Segoe UI"/>
                <w:sz w:val="18"/>
                <w:szCs w:val="18"/>
              </w:rPr>
            </w:pPr>
            <w:r w:rsidRPr="00C031AB">
              <w:rPr>
                <w:rFonts w:cs="Segoe UI"/>
                <w:sz w:val="18"/>
                <w:szCs w:val="18"/>
              </w:rPr>
              <w:t>1 -</w:t>
            </w:r>
            <w:r>
              <w:rPr>
                <w:rFonts w:cs="Segoe UI"/>
                <w:sz w:val="18"/>
                <w:szCs w:val="18"/>
              </w:rPr>
              <w:t> 1</w:t>
            </w:r>
            <w:r w:rsidRPr="00C031AB">
              <w:rPr>
                <w:rFonts w:cs="Segoe UI"/>
                <w:sz w:val="18"/>
                <w:szCs w:val="18"/>
              </w:rPr>
              <w:t>6</w:t>
            </w:r>
          </w:p>
        </w:tc>
        <w:tc>
          <w:tcPr>
            <w:tcW w:w="0" w:type="auto"/>
          </w:tcPr>
          <w:p w14:paraId="485B2C78" w14:textId="115D9C2A" w:rsidR="001A46E7" w:rsidRPr="00C031AB" w:rsidRDefault="001A46E7" w:rsidP="001A46E7">
            <w:pPr>
              <w:spacing w:after="0" w:line="360" w:lineRule="auto"/>
              <w:rPr>
                <w:rFonts w:cs="Segoe UI"/>
                <w:sz w:val="18"/>
                <w:szCs w:val="18"/>
              </w:rPr>
            </w:pPr>
            <w:r w:rsidRPr="00C031AB">
              <w:rPr>
                <w:rFonts w:cs="Segoe UI"/>
                <w:sz w:val="18"/>
                <w:szCs w:val="18"/>
              </w:rPr>
              <w:t>768 MB -</w:t>
            </w:r>
            <w:r>
              <w:rPr>
                <w:rFonts w:cs="Segoe UI"/>
                <w:sz w:val="18"/>
                <w:szCs w:val="18"/>
              </w:rPr>
              <w:t> 1</w:t>
            </w:r>
            <w:r w:rsidRPr="00C031AB">
              <w:rPr>
                <w:rFonts w:cs="Segoe UI"/>
                <w:sz w:val="18"/>
                <w:szCs w:val="18"/>
              </w:rPr>
              <w:t>12 GB</w:t>
            </w:r>
          </w:p>
        </w:tc>
        <w:tc>
          <w:tcPr>
            <w:tcW w:w="0" w:type="auto"/>
          </w:tcPr>
          <w:p w14:paraId="4F3CB12D" w14:textId="77777777" w:rsidR="001A46E7" w:rsidRPr="00C031AB" w:rsidRDefault="001A46E7" w:rsidP="001A46E7">
            <w:pPr>
              <w:spacing w:after="0" w:line="360" w:lineRule="auto"/>
              <w:rPr>
                <w:rFonts w:cs="Segoe UI"/>
                <w:sz w:val="18"/>
                <w:szCs w:val="18"/>
              </w:rPr>
            </w:pPr>
            <w:r w:rsidRPr="00C031AB">
              <w:rPr>
                <w:rFonts w:cs="Segoe UI"/>
                <w:bCs/>
                <w:sz w:val="18"/>
                <w:szCs w:val="18"/>
              </w:rPr>
              <w:t>O</w:t>
            </w:r>
            <w:r>
              <w:rPr>
                <w:rFonts w:cs="Segoe UI"/>
                <w:bCs/>
                <w:sz w:val="18"/>
                <w:szCs w:val="18"/>
              </w:rPr>
              <w:t>perating system</w:t>
            </w:r>
            <w:r w:rsidRPr="00C031AB">
              <w:rPr>
                <w:rFonts w:cs="Segoe UI"/>
                <w:sz w:val="18"/>
                <w:szCs w:val="18"/>
              </w:rPr>
              <w:t xml:space="preserve"> =</w:t>
            </w:r>
            <w:r>
              <w:rPr>
                <w:rFonts w:cs="Segoe UI"/>
                <w:sz w:val="18"/>
                <w:szCs w:val="18"/>
              </w:rPr>
              <w:t> 1</w:t>
            </w:r>
            <w:r w:rsidRPr="00C031AB">
              <w:rPr>
                <w:rFonts w:cs="Segoe UI"/>
                <w:sz w:val="18"/>
                <w:szCs w:val="18"/>
              </w:rPr>
              <w:t>023 GB</w:t>
            </w:r>
          </w:p>
          <w:p w14:paraId="6665F4D8" w14:textId="77777777" w:rsidR="001A46E7" w:rsidRPr="00C031AB" w:rsidRDefault="001A46E7" w:rsidP="001A46E7">
            <w:pPr>
              <w:spacing w:after="0" w:line="360" w:lineRule="auto"/>
              <w:rPr>
                <w:rFonts w:cs="Segoe UI"/>
                <w:sz w:val="18"/>
                <w:szCs w:val="18"/>
              </w:rPr>
            </w:pPr>
            <w:r w:rsidRPr="00C031AB">
              <w:rPr>
                <w:rFonts w:cs="Segoe UI"/>
                <w:sz w:val="18"/>
                <w:szCs w:val="18"/>
              </w:rPr>
              <w:t>Temporary =</w:t>
            </w:r>
            <w:r>
              <w:rPr>
                <w:rFonts w:cs="Segoe UI"/>
                <w:sz w:val="18"/>
                <w:szCs w:val="18"/>
              </w:rPr>
              <w:t> 2</w:t>
            </w:r>
            <w:r w:rsidRPr="00C031AB">
              <w:rPr>
                <w:rFonts w:cs="Segoe UI"/>
                <w:sz w:val="18"/>
                <w:szCs w:val="18"/>
              </w:rPr>
              <w:t>0-382 GB</w:t>
            </w:r>
          </w:p>
          <w:p w14:paraId="316AD0A7" w14:textId="77777777" w:rsidR="001A46E7" w:rsidRPr="00C031AB" w:rsidRDefault="001A46E7" w:rsidP="001A46E7">
            <w:pPr>
              <w:spacing w:after="0" w:line="360" w:lineRule="auto"/>
              <w:rPr>
                <w:rFonts w:cs="Segoe UI"/>
                <w:sz w:val="18"/>
                <w:szCs w:val="18"/>
              </w:rPr>
            </w:pPr>
          </w:p>
        </w:tc>
        <w:tc>
          <w:tcPr>
            <w:tcW w:w="0" w:type="auto"/>
          </w:tcPr>
          <w:p w14:paraId="69D373A7" w14:textId="6C5662B5" w:rsidR="001A46E7" w:rsidRPr="00C031AB" w:rsidRDefault="001A46E7" w:rsidP="001A46E7">
            <w:pPr>
              <w:spacing w:after="0" w:line="360" w:lineRule="auto"/>
              <w:rPr>
                <w:rFonts w:cs="Segoe UI"/>
                <w:sz w:val="18"/>
                <w:szCs w:val="18"/>
              </w:rPr>
            </w:pPr>
            <w:r w:rsidRPr="00C031AB">
              <w:rPr>
                <w:rFonts w:cs="Segoe UI"/>
                <w:sz w:val="18"/>
                <w:szCs w:val="18"/>
              </w:rPr>
              <w:t>1 -</w:t>
            </w:r>
            <w:r>
              <w:rPr>
                <w:rFonts w:cs="Segoe UI"/>
                <w:sz w:val="18"/>
                <w:szCs w:val="18"/>
              </w:rPr>
              <w:t> 1</w:t>
            </w:r>
            <w:r w:rsidRPr="00C031AB">
              <w:rPr>
                <w:rFonts w:cs="Segoe UI"/>
                <w:sz w:val="18"/>
                <w:szCs w:val="18"/>
              </w:rPr>
              <w:t>6</w:t>
            </w:r>
          </w:p>
        </w:tc>
        <w:tc>
          <w:tcPr>
            <w:tcW w:w="0" w:type="auto"/>
          </w:tcPr>
          <w:p w14:paraId="7008B777" w14:textId="60104ED2" w:rsidR="001A46E7" w:rsidRPr="00C031AB" w:rsidRDefault="001A46E7" w:rsidP="001A46E7">
            <w:pPr>
              <w:spacing w:after="0" w:line="360" w:lineRule="auto"/>
              <w:rPr>
                <w:rFonts w:cs="Segoe UI"/>
                <w:sz w:val="18"/>
                <w:szCs w:val="18"/>
              </w:rPr>
            </w:pPr>
            <w:r w:rsidRPr="00C031AB">
              <w:rPr>
                <w:rFonts w:cs="Segoe UI"/>
                <w:sz w:val="18"/>
                <w:szCs w:val="18"/>
              </w:rPr>
              <w:t>500 IOPS per disk</w:t>
            </w:r>
          </w:p>
        </w:tc>
      </w:tr>
      <w:tr w:rsidR="001A46E7" w:rsidRPr="00DC22EA" w14:paraId="169FD9B9" w14:textId="77777777" w:rsidTr="006E2AFC">
        <w:trPr>
          <w:cnfStyle w:val="000000100000" w:firstRow="0" w:lastRow="0" w:firstColumn="0" w:lastColumn="0" w:oddVBand="0" w:evenVBand="0" w:oddHBand="1" w:evenHBand="0" w:firstRowFirstColumn="0" w:firstRowLastColumn="0" w:lastRowFirstColumn="0" w:lastRowLastColumn="0"/>
        </w:trPr>
        <w:tc>
          <w:tcPr>
            <w:tcW w:w="0" w:type="auto"/>
          </w:tcPr>
          <w:p w14:paraId="38BD5483" w14:textId="77777777" w:rsidR="001A46E7" w:rsidRPr="00AE5655" w:rsidRDefault="001A46E7" w:rsidP="001A46E7">
            <w:pPr>
              <w:pStyle w:val="NormalWeb"/>
              <w:spacing w:line="256" w:lineRule="auto"/>
              <w:rPr>
                <w:rFonts w:ascii="Segoe UI" w:hAnsi="Segoe UI" w:cs="Segoe UI"/>
                <w:b/>
                <w:bCs/>
                <w:sz w:val="20"/>
                <w:szCs w:val="20"/>
                <w:lang w:val="en-AU" w:eastAsia="en-AU"/>
              </w:rPr>
            </w:pPr>
            <w:r w:rsidRPr="00AE5655">
              <w:rPr>
                <w:rFonts w:ascii="Segoe UI" w:hAnsi="Segoe UI" w:cs="Segoe UI"/>
                <w:b/>
                <w:bCs/>
                <w:sz w:val="20"/>
                <w:szCs w:val="20"/>
                <w:lang w:val="en-AU" w:eastAsia="en-AU"/>
              </w:rPr>
              <w:t>Standard_D1-D4</w:t>
            </w:r>
            <w:r w:rsidRPr="00AE5655">
              <w:rPr>
                <w:rFonts w:ascii="Segoe UI" w:hAnsi="Segoe UI" w:cs="Segoe UI"/>
                <w:b/>
                <w:bCs/>
                <w:sz w:val="20"/>
                <w:szCs w:val="20"/>
                <w:lang w:val="en-AU" w:eastAsia="en-AU"/>
              </w:rPr>
              <w:br/>
              <w:t>Standard_D11-D14</w:t>
            </w:r>
          </w:p>
          <w:p w14:paraId="2FDDAC33" w14:textId="525FF649" w:rsidR="001A46E7" w:rsidRPr="00AE5655" w:rsidRDefault="001A46E7" w:rsidP="001A46E7">
            <w:pPr>
              <w:pStyle w:val="NormalWeb"/>
              <w:spacing w:line="256" w:lineRule="auto"/>
              <w:rPr>
                <w:rFonts w:ascii="Segoe UI" w:hAnsi="Segoe UI" w:cs="Segoe UI"/>
                <w:b/>
                <w:bCs/>
                <w:sz w:val="20"/>
                <w:szCs w:val="20"/>
                <w:lang w:val="en-AU" w:eastAsia="en-AU"/>
              </w:rPr>
            </w:pPr>
            <w:r w:rsidRPr="00AE5655">
              <w:rPr>
                <w:rFonts w:ascii="Segoe UI" w:hAnsi="Segoe UI" w:cs="Segoe UI"/>
                <w:b/>
                <w:bCs/>
                <w:sz w:val="20"/>
                <w:szCs w:val="20"/>
                <w:lang w:val="en-AU" w:eastAsia="en-AU"/>
              </w:rPr>
              <w:t xml:space="preserve">(High </w:t>
            </w:r>
            <w:r>
              <w:rPr>
                <w:rFonts w:ascii="Segoe UI" w:hAnsi="Segoe UI" w:cs="Segoe UI"/>
                <w:b/>
                <w:bCs/>
                <w:sz w:val="20"/>
                <w:szCs w:val="20"/>
                <w:lang w:val="en-AU" w:eastAsia="en-AU"/>
              </w:rPr>
              <w:t>m</w:t>
            </w:r>
            <w:r w:rsidRPr="00AE5655">
              <w:rPr>
                <w:rFonts w:ascii="Segoe UI" w:hAnsi="Segoe UI" w:cs="Segoe UI"/>
                <w:b/>
                <w:bCs/>
                <w:sz w:val="20"/>
                <w:szCs w:val="20"/>
                <w:lang w:val="en-AU" w:eastAsia="en-AU"/>
              </w:rPr>
              <w:t>emory)</w:t>
            </w:r>
          </w:p>
        </w:tc>
        <w:tc>
          <w:tcPr>
            <w:tcW w:w="0" w:type="auto"/>
          </w:tcPr>
          <w:p w14:paraId="6623F977" w14:textId="0E4BD995" w:rsidR="001A46E7" w:rsidRPr="00C031AB" w:rsidRDefault="001A46E7" w:rsidP="001A46E7">
            <w:pPr>
              <w:spacing w:after="0" w:line="360" w:lineRule="auto"/>
              <w:rPr>
                <w:rFonts w:cs="Segoe UI"/>
                <w:sz w:val="18"/>
                <w:szCs w:val="18"/>
              </w:rPr>
            </w:pPr>
            <w:r w:rsidRPr="00C031AB">
              <w:rPr>
                <w:rFonts w:cs="Segoe UI"/>
                <w:sz w:val="18"/>
                <w:szCs w:val="18"/>
              </w:rPr>
              <w:t>1 -</w:t>
            </w:r>
            <w:r>
              <w:rPr>
                <w:rFonts w:cs="Segoe UI"/>
                <w:sz w:val="18"/>
                <w:szCs w:val="18"/>
              </w:rPr>
              <w:t> 1</w:t>
            </w:r>
            <w:r w:rsidRPr="00C031AB">
              <w:rPr>
                <w:rFonts w:cs="Segoe UI"/>
                <w:sz w:val="18"/>
                <w:szCs w:val="18"/>
              </w:rPr>
              <w:t>6</w:t>
            </w:r>
          </w:p>
        </w:tc>
        <w:tc>
          <w:tcPr>
            <w:tcW w:w="0" w:type="auto"/>
          </w:tcPr>
          <w:p w14:paraId="0D263B60" w14:textId="4C92767C" w:rsidR="001A46E7" w:rsidRPr="00C031AB" w:rsidRDefault="001A46E7" w:rsidP="001A46E7">
            <w:pPr>
              <w:spacing w:after="0" w:line="360" w:lineRule="auto"/>
              <w:rPr>
                <w:rFonts w:cs="Segoe UI"/>
                <w:sz w:val="18"/>
                <w:szCs w:val="18"/>
              </w:rPr>
            </w:pPr>
            <w:r w:rsidRPr="00C031AB">
              <w:rPr>
                <w:rFonts w:cs="Segoe UI"/>
                <w:sz w:val="18"/>
                <w:szCs w:val="18"/>
              </w:rPr>
              <w:t>3.5 GB –</w:t>
            </w:r>
            <w:r>
              <w:rPr>
                <w:rFonts w:cs="Segoe UI"/>
                <w:sz w:val="18"/>
                <w:szCs w:val="18"/>
              </w:rPr>
              <w:t> 1</w:t>
            </w:r>
            <w:r w:rsidRPr="00C031AB">
              <w:rPr>
                <w:rFonts w:cs="Segoe UI"/>
                <w:sz w:val="18"/>
                <w:szCs w:val="18"/>
              </w:rPr>
              <w:t>12 GB</w:t>
            </w:r>
          </w:p>
        </w:tc>
        <w:tc>
          <w:tcPr>
            <w:tcW w:w="0" w:type="auto"/>
          </w:tcPr>
          <w:p w14:paraId="6AFEC724" w14:textId="77777777" w:rsidR="001A46E7" w:rsidRPr="00C031AB" w:rsidRDefault="001A46E7" w:rsidP="001A46E7">
            <w:pPr>
              <w:spacing w:after="0" w:line="360" w:lineRule="auto"/>
              <w:rPr>
                <w:rFonts w:cs="Segoe UI"/>
                <w:sz w:val="18"/>
                <w:szCs w:val="18"/>
              </w:rPr>
            </w:pPr>
            <w:r w:rsidRPr="00C031AB">
              <w:rPr>
                <w:rFonts w:cs="Segoe UI"/>
                <w:bCs/>
                <w:sz w:val="18"/>
                <w:szCs w:val="18"/>
              </w:rPr>
              <w:t>O</w:t>
            </w:r>
            <w:r>
              <w:rPr>
                <w:rFonts w:cs="Segoe UI"/>
                <w:bCs/>
                <w:sz w:val="18"/>
                <w:szCs w:val="18"/>
              </w:rPr>
              <w:t>perating system</w:t>
            </w:r>
            <w:r w:rsidRPr="00C031AB">
              <w:rPr>
                <w:rFonts w:cs="Segoe UI"/>
                <w:sz w:val="18"/>
                <w:szCs w:val="18"/>
              </w:rPr>
              <w:t xml:space="preserve"> =</w:t>
            </w:r>
            <w:r>
              <w:rPr>
                <w:rFonts w:cs="Segoe UI"/>
                <w:sz w:val="18"/>
                <w:szCs w:val="18"/>
              </w:rPr>
              <w:t> 1</w:t>
            </w:r>
            <w:r w:rsidRPr="00C031AB">
              <w:rPr>
                <w:rFonts w:cs="Segoe UI"/>
                <w:sz w:val="18"/>
                <w:szCs w:val="18"/>
              </w:rPr>
              <w:t>023 GB</w:t>
            </w:r>
          </w:p>
          <w:p w14:paraId="0C60CD02" w14:textId="4B2AAACF" w:rsidR="001A46E7" w:rsidRPr="00C031AB" w:rsidRDefault="001A46E7" w:rsidP="001A46E7">
            <w:pPr>
              <w:spacing w:after="0" w:line="360" w:lineRule="auto"/>
              <w:rPr>
                <w:rFonts w:cs="Segoe UI"/>
                <w:sz w:val="18"/>
                <w:szCs w:val="18"/>
              </w:rPr>
            </w:pPr>
            <w:r w:rsidRPr="00C031AB">
              <w:rPr>
                <w:rFonts w:cs="Segoe UI"/>
                <w:sz w:val="18"/>
                <w:szCs w:val="18"/>
              </w:rPr>
              <w:t>Temporary (SSD) =50 –</w:t>
            </w:r>
            <w:r>
              <w:rPr>
                <w:rFonts w:cs="Segoe UI"/>
                <w:sz w:val="18"/>
                <w:szCs w:val="18"/>
              </w:rPr>
              <w:t> 8</w:t>
            </w:r>
            <w:r w:rsidRPr="00C031AB">
              <w:rPr>
                <w:rFonts w:cs="Segoe UI"/>
                <w:sz w:val="18"/>
                <w:szCs w:val="18"/>
              </w:rPr>
              <w:t>00 GB</w:t>
            </w:r>
          </w:p>
        </w:tc>
        <w:tc>
          <w:tcPr>
            <w:tcW w:w="0" w:type="auto"/>
          </w:tcPr>
          <w:p w14:paraId="78A56F02" w14:textId="5A27AB20" w:rsidR="001A46E7" w:rsidRPr="00C031AB" w:rsidRDefault="001A46E7" w:rsidP="001A46E7">
            <w:pPr>
              <w:spacing w:after="0" w:line="360" w:lineRule="auto"/>
              <w:rPr>
                <w:rFonts w:cs="Segoe UI"/>
                <w:sz w:val="18"/>
                <w:szCs w:val="18"/>
              </w:rPr>
            </w:pPr>
            <w:r w:rsidRPr="00C031AB">
              <w:rPr>
                <w:rFonts w:cs="Segoe UI"/>
                <w:sz w:val="18"/>
                <w:szCs w:val="18"/>
              </w:rPr>
              <w:t>2 -</w:t>
            </w:r>
            <w:r>
              <w:rPr>
                <w:rFonts w:cs="Segoe UI"/>
                <w:sz w:val="18"/>
                <w:szCs w:val="18"/>
              </w:rPr>
              <w:t> 3</w:t>
            </w:r>
            <w:r w:rsidRPr="00C031AB">
              <w:rPr>
                <w:rFonts w:cs="Segoe UI"/>
                <w:sz w:val="18"/>
                <w:szCs w:val="18"/>
              </w:rPr>
              <w:t>2</w:t>
            </w:r>
          </w:p>
        </w:tc>
        <w:tc>
          <w:tcPr>
            <w:tcW w:w="0" w:type="auto"/>
          </w:tcPr>
          <w:p w14:paraId="7DA0A326" w14:textId="3AD667F3" w:rsidR="001A46E7" w:rsidRPr="00C031AB" w:rsidRDefault="001A46E7" w:rsidP="001A46E7">
            <w:pPr>
              <w:rPr>
                <w:rFonts w:cs="Segoe UI"/>
                <w:bCs/>
                <w:sz w:val="18"/>
                <w:szCs w:val="18"/>
              </w:rPr>
            </w:pPr>
            <w:r w:rsidRPr="00C031AB">
              <w:rPr>
                <w:rFonts w:cs="Segoe UI"/>
                <w:sz w:val="18"/>
                <w:szCs w:val="18"/>
              </w:rPr>
              <w:t>500 IOPS per disk</w:t>
            </w:r>
          </w:p>
        </w:tc>
      </w:tr>
      <w:tr w:rsidR="001A46E7" w:rsidRPr="00DC22EA" w14:paraId="2674C974" w14:textId="77777777" w:rsidTr="006E2AFC">
        <w:tc>
          <w:tcPr>
            <w:tcW w:w="0" w:type="auto"/>
          </w:tcPr>
          <w:p w14:paraId="1F8279D1" w14:textId="77777777" w:rsidR="001A46E7" w:rsidRPr="00AE5655" w:rsidRDefault="001A46E7" w:rsidP="001A46E7">
            <w:pPr>
              <w:pStyle w:val="NormalWeb"/>
              <w:spacing w:line="256" w:lineRule="auto"/>
              <w:rPr>
                <w:rFonts w:ascii="Segoe UI" w:hAnsi="Segoe UI" w:cs="Segoe UI"/>
                <w:b/>
                <w:bCs/>
                <w:sz w:val="20"/>
                <w:szCs w:val="20"/>
                <w:lang w:val="en-AU" w:eastAsia="en-AU"/>
              </w:rPr>
            </w:pPr>
            <w:r w:rsidRPr="00AE5655">
              <w:rPr>
                <w:rFonts w:ascii="Segoe UI" w:hAnsi="Segoe UI" w:cs="Segoe UI"/>
                <w:b/>
                <w:bCs/>
                <w:sz w:val="20"/>
                <w:szCs w:val="20"/>
                <w:lang w:val="en-AU" w:eastAsia="en-AU"/>
              </w:rPr>
              <w:t>Standard_DS1-DS4</w:t>
            </w:r>
            <w:r w:rsidRPr="00AE5655">
              <w:rPr>
                <w:rFonts w:ascii="Segoe UI" w:hAnsi="Segoe UI" w:cs="Segoe UI"/>
                <w:b/>
                <w:bCs/>
                <w:sz w:val="20"/>
                <w:szCs w:val="20"/>
                <w:lang w:val="en-AU" w:eastAsia="en-AU"/>
              </w:rPr>
              <w:br/>
              <w:t>Standard_DS11-DS14</w:t>
            </w:r>
          </w:p>
          <w:p w14:paraId="2ACD779F" w14:textId="6B880C3B" w:rsidR="001A46E7" w:rsidRPr="00AE5655" w:rsidRDefault="001A46E7" w:rsidP="001A46E7">
            <w:pPr>
              <w:pStyle w:val="NormalWeb"/>
              <w:spacing w:line="256" w:lineRule="auto"/>
              <w:rPr>
                <w:rFonts w:ascii="Segoe UI" w:hAnsi="Segoe UI" w:cs="Segoe UI"/>
                <w:b/>
                <w:bCs/>
                <w:sz w:val="20"/>
                <w:szCs w:val="20"/>
                <w:lang w:val="en-AU" w:eastAsia="en-AU"/>
              </w:rPr>
            </w:pPr>
            <w:r w:rsidRPr="00AE5655">
              <w:rPr>
                <w:rFonts w:ascii="Segoe UI" w:hAnsi="Segoe UI" w:cs="Segoe UI"/>
                <w:b/>
                <w:bCs/>
                <w:sz w:val="20"/>
                <w:szCs w:val="20"/>
                <w:lang w:val="en-AU" w:eastAsia="en-AU"/>
              </w:rPr>
              <w:t xml:space="preserve">(Premium </w:t>
            </w:r>
            <w:r>
              <w:rPr>
                <w:rFonts w:ascii="Segoe UI" w:hAnsi="Segoe UI" w:cs="Segoe UI"/>
                <w:b/>
                <w:bCs/>
                <w:sz w:val="20"/>
                <w:szCs w:val="20"/>
                <w:lang w:val="en-AU" w:eastAsia="en-AU"/>
              </w:rPr>
              <w:t>s</w:t>
            </w:r>
            <w:r w:rsidRPr="00AE5655">
              <w:rPr>
                <w:rFonts w:ascii="Segoe UI" w:hAnsi="Segoe UI" w:cs="Segoe UI"/>
                <w:b/>
                <w:bCs/>
                <w:sz w:val="20"/>
                <w:szCs w:val="20"/>
                <w:lang w:val="en-AU" w:eastAsia="en-AU"/>
              </w:rPr>
              <w:t>torage)</w:t>
            </w:r>
          </w:p>
        </w:tc>
        <w:tc>
          <w:tcPr>
            <w:tcW w:w="0" w:type="auto"/>
          </w:tcPr>
          <w:p w14:paraId="2772D92B" w14:textId="02C5A4BA" w:rsidR="001A46E7" w:rsidRPr="00C031AB" w:rsidRDefault="001A46E7" w:rsidP="001A46E7">
            <w:pPr>
              <w:spacing w:after="0" w:line="360" w:lineRule="auto"/>
              <w:rPr>
                <w:rFonts w:cs="Segoe UI"/>
                <w:sz w:val="18"/>
                <w:szCs w:val="18"/>
              </w:rPr>
            </w:pPr>
            <w:r w:rsidRPr="00C031AB">
              <w:rPr>
                <w:rFonts w:cs="Segoe UI"/>
                <w:sz w:val="18"/>
                <w:szCs w:val="18"/>
              </w:rPr>
              <w:t>1 -</w:t>
            </w:r>
            <w:r>
              <w:rPr>
                <w:rFonts w:cs="Segoe UI"/>
                <w:sz w:val="18"/>
                <w:szCs w:val="18"/>
              </w:rPr>
              <w:t> 1</w:t>
            </w:r>
            <w:r w:rsidRPr="00C031AB">
              <w:rPr>
                <w:rFonts w:cs="Segoe UI"/>
                <w:sz w:val="18"/>
                <w:szCs w:val="18"/>
              </w:rPr>
              <w:t>6</w:t>
            </w:r>
          </w:p>
        </w:tc>
        <w:tc>
          <w:tcPr>
            <w:tcW w:w="0" w:type="auto"/>
          </w:tcPr>
          <w:p w14:paraId="7C020841" w14:textId="71FF679C" w:rsidR="001A46E7" w:rsidRPr="00C031AB" w:rsidRDefault="001A46E7" w:rsidP="001A46E7">
            <w:pPr>
              <w:spacing w:after="0" w:line="360" w:lineRule="auto"/>
              <w:rPr>
                <w:rFonts w:cs="Segoe UI"/>
                <w:sz w:val="18"/>
                <w:szCs w:val="18"/>
              </w:rPr>
            </w:pPr>
            <w:r w:rsidRPr="00C031AB">
              <w:rPr>
                <w:rFonts w:cs="Segoe UI"/>
                <w:sz w:val="18"/>
                <w:szCs w:val="18"/>
              </w:rPr>
              <w:t>3.5 –</w:t>
            </w:r>
            <w:r>
              <w:rPr>
                <w:rFonts w:cs="Segoe UI"/>
                <w:sz w:val="18"/>
                <w:szCs w:val="18"/>
              </w:rPr>
              <w:t> 1</w:t>
            </w:r>
            <w:r w:rsidRPr="00C031AB">
              <w:rPr>
                <w:rFonts w:cs="Segoe UI"/>
                <w:sz w:val="18"/>
                <w:szCs w:val="18"/>
              </w:rPr>
              <w:t>12 GB</w:t>
            </w:r>
          </w:p>
        </w:tc>
        <w:tc>
          <w:tcPr>
            <w:tcW w:w="0" w:type="auto"/>
          </w:tcPr>
          <w:p w14:paraId="43CE4970" w14:textId="77777777" w:rsidR="001A46E7" w:rsidRPr="00C031AB" w:rsidRDefault="001A46E7" w:rsidP="001A46E7">
            <w:pPr>
              <w:spacing w:after="0" w:line="360" w:lineRule="auto"/>
              <w:rPr>
                <w:rFonts w:cs="Segoe UI"/>
                <w:sz w:val="18"/>
                <w:szCs w:val="18"/>
              </w:rPr>
            </w:pPr>
            <w:r w:rsidRPr="00C031AB">
              <w:rPr>
                <w:rFonts w:cs="Segoe UI"/>
                <w:bCs/>
                <w:sz w:val="18"/>
                <w:szCs w:val="18"/>
              </w:rPr>
              <w:t>O</w:t>
            </w:r>
            <w:r>
              <w:rPr>
                <w:rFonts w:cs="Segoe UI"/>
                <w:bCs/>
                <w:sz w:val="18"/>
                <w:szCs w:val="18"/>
              </w:rPr>
              <w:t>perating system</w:t>
            </w:r>
            <w:r w:rsidRPr="00C031AB">
              <w:rPr>
                <w:rFonts w:cs="Segoe UI"/>
                <w:sz w:val="18"/>
                <w:szCs w:val="18"/>
              </w:rPr>
              <w:t xml:space="preserve"> =</w:t>
            </w:r>
            <w:r>
              <w:rPr>
                <w:rFonts w:cs="Segoe UI"/>
                <w:sz w:val="18"/>
                <w:szCs w:val="18"/>
              </w:rPr>
              <w:t> 1</w:t>
            </w:r>
            <w:r w:rsidRPr="00C031AB">
              <w:rPr>
                <w:rFonts w:cs="Segoe UI"/>
                <w:sz w:val="18"/>
                <w:szCs w:val="18"/>
              </w:rPr>
              <w:t>023 GB</w:t>
            </w:r>
          </w:p>
          <w:p w14:paraId="28A98CEA" w14:textId="5BE420EE" w:rsidR="001A46E7" w:rsidRPr="00C031AB" w:rsidRDefault="001A46E7" w:rsidP="001A46E7">
            <w:pPr>
              <w:spacing w:after="0" w:line="360" w:lineRule="auto"/>
              <w:rPr>
                <w:rFonts w:cs="Segoe UI"/>
                <w:sz w:val="18"/>
                <w:szCs w:val="18"/>
              </w:rPr>
            </w:pPr>
            <w:r w:rsidRPr="00C031AB">
              <w:rPr>
                <w:rFonts w:cs="Segoe UI"/>
                <w:sz w:val="18"/>
                <w:szCs w:val="18"/>
              </w:rPr>
              <w:t>Local SSD disk =</w:t>
            </w:r>
            <w:r>
              <w:rPr>
                <w:rFonts w:cs="Segoe UI"/>
                <w:sz w:val="18"/>
                <w:szCs w:val="18"/>
              </w:rPr>
              <w:t> 7</w:t>
            </w:r>
            <w:r w:rsidRPr="00C031AB">
              <w:rPr>
                <w:rFonts w:cs="Segoe UI"/>
                <w:sz w:val="18"/>
                <w:szCs w:val="18"/>
              </w:rPr>
              <w:t xml:space="preserve"> GB –</w:t>
            </w:r>
            <w:r>
              <w:rPr>
                <w:rFonts w:cs="Segoe UI"/>
                <w:sz w:val="18"/>
                <w:szCs w:val="18"/>
              </w:rPr>
              <w:t> 1</w:t>
            </w:r>
            <w:r w:rsidRPr="00C031AB">
              <w:rPr>
                <w:rFonts w:cs="Segoe UI"/>
                <w:sz w:val="18"/>
                <w:szCs w:val="18"/>
              </w:rPr>
              <w:t>12 GB GB</w:t>
            </w:r>
          </w:p>
        </w:tc>
        <w:tc>
          <w:tcPr>
            <w:tcW w:w="0" w:type="auto"/>
          </w:tcPr>
          <w:p w14:paraId="0B8FBC5C" w14:textId="25AADA7E" w:rsidR="001A46E7" w:rsidRPr="00C031AB" w:rsidRDefault="001A46E7" w:rsidP="001A46E7">
            <w:pPr>
              <w:spacing w:after="0" w:line="360" w:lineRule="auto"/>
              <w:rPr>
                <w:rFonts w:cs="Segoe UI"/>
                <w:sz w:val="18"/>
                <w:szCs w:val="18"/>
              </w:rPr>
            </w:pPr>
            <w:r w:rsidRPr="00C031AB">
              <w:rPr>
                <w:rFonts w:cs="Segoe UI"/>
                <w:sz w:val="18"/>
                <w:szCs w:val="18"/>
              </w:rPr>
              <w:t>2 -</w:t>
            </w:r>
            <w:r>
              <w:rPr>
                <w:rFonts w:cs="Segoe UI"/>
                <w:sz w:val="18"/>
                <w:szCs w:val="18"/>
              </w:rPr>
              <w:t> 3</w:t>
            </w:r>
            <w:r w:rsidRPr="00C031AB">
              <w:rPr>
                <w:rFonts w:cs="Segoe UI"/>
                <w:sz w:val="18"/>
                <w:szCs w:val="18"/>
              </w:rPr>
              <w:t>2</w:t>
            </w:r>
          </w:p>
        </w:tc>
        <w:tc>
          <w:tcPr>
            <w:tcW w:w="0" w:type="auto"/>
          </w:tcPr>
          <w:p w14:paraId="0695DC72" w14:textId="77777777" w:rsidR="001A46E7" w:rsidRPr="00C031AB" w:rsidRDefault="001A46E7" w:rsidP="001A46E7">
            <w:pPr>
              <w:spacing w:after="0" w:line="360" w:lineRule="auto"/>
              <w:rPr>
                <w:rFonts w:cs="Segoe UI"/>
                <w:sz w:val="18"/>
                <w:szCs w:val="18"/>
              </w:rPr>
            </w:pPr>
            <w:r w:rsidRPr="00C031AB">
              <w:rPr>
                <w:rFonts w:cs="Segoe UI"/>
                <w:sz w:val="18"/>
                <w:szCs w:val="18"/>
              </w:rPr>
              <w:t>43 –</w:t>
            </w:r>
            <w:r>
              <w:rPr>
                <w:rFonts w:cs="Segoe UI"/>
                <w:sz w:val="18"/>
                <w:szCs w:val="18"/>
              </w:rPr>
              <w:t> 5</w:t>
            </w:r>
            <w:r w:rsidRPr="00C031AB">
              <w:rPr>
                <w:rFonts w:cs="Segoe UI"/>
                <w:sz w:val="18"/>
                <w:szCs w:val="18"/>
              </w:rPr>
              <w:t xml:space="preserve">76 GB </w:t>
            </w:r>
            <w:r>
              <w:rPr>
                <w:rFonts w:cs="Segoe UI"/>
                <w:sz w:val="18"/>
                <w:szCs w:val="18"/>
              </w:rPr>
              <w:t>c</w:t>
            </w:r>
            <w:r w:rsidRPr="00C031AB">
              <w:rPr>
                <w:rFonts w:cs="Segoe UI"/>
                <w:sz w:val="18"/>
                <w:szCs w:val="18"/>
              </w:rPr>
              <w:t>ache size</w:t>
            </w:r>
          </w:p>
          <w:p w14:paraId="59EAF98F" w14:textId="3E36B138" w:rsidR="001A46E7" w:rsidRPr="00C031AB" w:rsidRDefault="001A46E7" w:rsidP="001A46E7">
            <w:pPr>
              <w:spacing w:after="0" w:line="360" w:lineRule="auto"/>
              <w:rPr>
                <w:rFonts w:cs="Segoe UI"/>
                <w:sz w:val="18"/>
                <w:szCs w:val="18"/>
              </w:rPr>
            </w:pPr>
            <w:r w:rsidRPr="00C031AB">
              <w:rPr>
                <w:rFonts w:cs="Segoe UI"/>
                <w:sz w:val="18"/>
                <w:szCs w:val="18"/>
              </w:rPr>
              <w:t xml:space="preserve">3200-50000 IOPS total </w:t>
            </w:r>
          </w:p>
        </w:tc>
      </w:tr>
      <w:tr w:rsidR="001A46E7" w:rsidRPr="00DC22EA" w14:paraId="1F7E6FA8" w14:textId="77777777" w:rsidTr="006E2AFC">
        <w:trPr>
          <w:cnfStyle w:val="000000100000" w:firstRow="0" w:lastRow="0" w:firstColumn="0" w:lastColumn="0" w:oddVBand="0" w:evenVBand="0" w:oddHBand="1" w:evenHBand="0" w:firstRowFirstColumn="0" w:firstRowLastColumn="0" w:lastRowFirstColumn="0" w:lastRowLastColumn="0"/>
          <w:trHeight w:val="1070"/>
        </w:trPr>
        <w:tc>
          <w:tcPr>
            <w:tcW w:w="0" w:type="auto"/>
          </w:tcPr>
          <w:p w14:paraId="60F6A33F" w14:textId="77777777" w:rsidR="001A46E7" w:rsidRPr="00AE5655" w:rsidRDefault="001A46E7" w:rsidP="001A46E7">
            <w:pPr>
              <w:pStyle w:val="NormalWeb"/>
              <w:spacing w:line="256" w:lineRule="auto"/>
              <w:rPr>
                <w:rFonts w:ascii="Segoe UI" w:hAnsi="Segoe UI" w:cs="Segoe UI"/>
                <w:b/>
                <w:bCs/>
                <w:sz w:val="20"/>
                <w:szCs w:val="20"/>
                <w:lang w:val="en-AU" w:eastAsia="en-AU"/>
              </w:rPr>
            </w:pPr>
            <w:r w:rsidRPr="00AE5655">
              <w:rPr>
                <w:rFonts w:ascii="Segoe UI" w:hAnsi="Segoe UI" w:cs="Segoe UI"/>
                <w:b/>
                <w:bCs/>
                <w:sz w:val="20"/>
                <w:szCs w:val="20"/>
                <w:lang w:val="en-AU" w:eastAsia="en-AU"/>
              </w:rPr>
              <w:t>Standard_G1 – G5</w:t>
            </w:r>
          </w:p>
          <w:p w14:paraId="500FD0FF" w14:textId="70E18A1D" w:rsidR="001A46E7" w:rsidRPr="00AE5655" w:rsidRDefault="001A46E7" w:rsidP="001A46E7">
            <w:pPr>
              <w:pStyle w:val="NormalWeb"/>
              <w:spacing w:line="256" w:lineRule="auto"/>
              <w:rPr>
                <w:rFonts w:ascii="Segoe UI" w:hAnsi="Segoe UI" w:cs="Segoe UI"/>
                <w:b/>
                <w:bCs/>
                <w:sz w:val="20"/>
                <w:szCs w:val="20"/>
                <w:lang w:val="en-AU" w:eastAsia="en-AU"/>
              </w:rPr>
            </w:pPr>
            <w:r w:rsidRPr="00AE5655">
              <w:rPr>
                <w:rFonts w:ascii="Segoe UI" w:hAnsi="Segoe UI" w:cs="Segoe UI"/>
                <w:b/>
                <w:bCs/>
                <w:sz w:val="20"/>
                <w:szCs w:val="20"/>
                <w:lang w:val="en-AU" w:eastAsia="en-AU"/>
              </w:rPr>
              <w:t xml:space="preserve">(High </w:t>
            </w:r>
            <w:r>
              <w:rPr>
                <w:rFonts w:ascii="Segoe UI" w:hAnsi="Segoe UI" w:cs="Segoe UI"/>
                <w:b/>
                <w:bCs/>
                <w:sz w:val="20"/>
                <w:szCs w:val="20"/>
                <w:lang w:val="en-AU" w:eastAsia="en-AU"/>
              </w:rPr>
              <w:t>p</w:t>
            </w:r>
            <w:r w:rsidRPr="00AE5655">
              <w:rPr>
                <w:rFonts w:ascii="Segoe UI" w:hAnsi="Segoe UI" w:cs="Segoe UI"/>
                <w:b/>
                <w:bCs/>
                <w:sz w:val="20"/>
                <w:szCs w:val="20"/>
                <w:lang w:val="en-AU" w:eastAsia="en-AU"/>
              </w:rPr>
              <w:t>erformance)</w:t>
            </w:r>
          </w:p>
        </w:tc>
        <w:tc>
          <w:tcPr>
            <w:tcW w:w="0" w:type="auto"/>
          </w:tcPr>
          <w:p w14:paraId="09D1ADD1" w14:textId="1E3E0DD2" w:rsidR="001A46E7" w:rsidRPr="00BD3D35" w:rsidRDefault="001A46E7" w:rsidP="001A46E7">
            <w:pPr>
              <w:spacing w:after="0" w:line="360" w:lineRule="auto"/>
              <w:rPr>
                <w:rFonts w:cs="Segoe UI"/>
                <w:sz w:val="18"/>
              </w:rPr>
            </w:pPr>
            <w:r w:rsidRPr="00BD3D35">
              <w:rPr>
                <w:rFonts w:cs="Segoe UI"/>
                <w:sz w:val="18"/>
              </w:rPr>
              <w:t>2 -</w:t>
            </w:r>
            <w:r>
              <w:rPr>
                <w:rFonts w:cs="Segoe UI"/>
                <w:sz w:val="18"/>
              </w:rPr>
              <w:t> 3</w:t>
            </w:r>
            <w:r w:rsidRPr="00BD3D35">
              <w:rPr>
                <w:rFonts w:cs="Segoe UI"/>
                <w:sz w:val="18"/>
              </w:rPr>
              <w:t>2</w:t>
            </w:r>
          </w:p>
        </w:tc>
        <w:tc>
          <w:tcPr>
            <w:tcW w:w="0" w:type="auto"/>
          </w:tcPr>
          <w:p w14:paraId="4C05E2F9" w14:textId="4ACC1AA8" w:rsidR="001A46E7" w:rsidRPr="00BD3D35" w:rsidRDefault="001A46E7" w:rsidP="001A46E7">
            <w:pPr>
              <w:spacing w:after="0" w:line="360" w:lineRule="auto"/>
              <w:rPr>
                <w:rFonts w:cs="Segoe UI"/>
                <w:sz w:val="18"/>
              </w:rPr>
            </w:pPr>
            <w:r w:rsidRPr="00BD3D35">
              <w:rPr>
                <w:rFonts w:cs="Segoe UI"/>
                <w:sz w:val="18"/>
              </w:rPr>
              <w:t>28 GB –</w:t>
            </w:r>
            <w:r>
              <w:rPr>
                <w:rFonts w:cs="Segoe UI"/>
                <w:sz w:val="18"/>
              </w:rPr>
              <w:t> 4</w:t>
            </w:r>
            <w:r w:rsidRPr="00BD3D35">
              <w:rPr>
                <w:rFonts w:cs="Segoe UI"/>
                <w:sz w:val="18"/>
              </w:rPr>
              <w:t>48 GB</w:t>
            </w:r>
          </w:p>
        </w:tc>
        <w:tc>
          <w:tcPr>
            <w:tcW w:w="0" w:type="auto"/>
          </w:tcPr>
          <w:p w14:paraId="6F379372" w14:textId="77777777" w:rsidR="001A46E7" w:rsidRPr="00BD3D35" w:rsidRDefault="001A46E7" w:rsidP="001A46E7">
            <w:pPr>
              <w:spacing w:after="0" w:line="360" w:lineRule="auto"/>
              <w:rPr>
                <w:rFonts w:cs="Segoe UI"/>
                <w:sz w:val="18"/>
              </w:rPr>
            </w:pPr>
            <w:r w:rsidRPr="00C031AB">
              <w:rPr>
                <w:rFonts w:cs="Segoe UI"/>
                <w:bCs/>
                <w:sz w:val="18"/>
                <w:szCs w:val="18"/>
              </w:rPr>
              <w:t>O</w:t>
            </w:r>
            <w:r>
              <w:rPr>
                <w:rFonts w:cs="Segoe UI"/>
                <w:bCs/>
                <w:sz w:val="18"/>
                <w:szCs w:val="18"/>
              </w:rPr>
              <w:t>perating system</w:t>
            </w:r>
            <w:r w:rsidRPr="00BD3D35">
              <w:rPr>
                <w:rFonts w:cs="Segoe UI"/>
                <w:sz w:val="18"/>
              </w:rPr>
              <w:t xml:space="preserve"> =</w:t>
            </w:r>
            <w:r>
              <w:rPr>
                <w:rFonts w:cs="Segoe UI"/>
                <w:sz w:val="18"/>
              </w:rPr>
              <w:t> 1</w:t>
            </w:r>
            <w:r w:rsidRPr="00BD3D35">
              <w:rPr>
                <w:rFonts w:cs="Segoe UI"/>
                <w:sz w:val="18"/>
              </w:rPr>
              <w:t>023 GB</w:t>
            </w:r>
          </w:p>
          <w:p w14:paraId="14427214" w14:textId="422064DD" w:rsidR="001A46E7" w:rsidRPr="00BD3D35" w:rsidRDefault="001A46E7" w:rsidP="001A46E7">
            <w:pPr>
              <w:spacing w:after="0" w:line="360" w:lineRule="auto"/>
              <w:rPr>
                <w:rFonts w:cs="Segoe UI"/>
                <w:sz w:val="18"/>
              </w:rPr>
            </w:pPr>
            <w:r w:rsidRPr="00BD3D35">
              <w:rPr>
                <w:rFonts w:cs="Segoe UI"/>
                <w:sz w:val="18"/>
              </w:rPr>
              <w:t>Local SSD disk =</w:t>
            </w:r>
            <w:r>
              <w:rPr>
                <w:rFonts w:cs="Segoe UI"/>
                <w:sz w:val="18"/>
              </w:rPr>
              <w:t> 3</w:t>
            </w:r>
            <w:r w:rsidRPr="00BD3D35">
              <w:rPr>
                <w:rFonts w:cs="Segoe UI"/>
                <w:sz w:val="18"/>
              </w:rPr>
              <w:t>84 –</w:t>
            </w:r>
            <w:r>
              <w:rPr>
                <w:rFonts w:cs="Segoe UI"/>
                <w:sz w:val="18"/>
              </w:rPr>
              <w:t> 6</w:t>
            </w:r>
            <w:r w:rsidRPr="00BD3D35">
              <w:rPr>
                <w:rFonts w:cs="Segoe UI"/>
                <w:sz w:val="18"/>
              </w:rPr>
              <w:t>,144 GB</w:t>
            </w:r>
          </w:p>
        </w:tc>
        <w:tc>
          <w:tcPr>
            <w:tcW w:w="0" w:type="auto"/>
          </w:tcPr>
          <w:p w14:paraId="541F27FB" w14:textId="400DAB54" w:rsidR="001A46E7" w:rsidRPr="00BD3D35" w:rsidRDefault="001A46E7" w:rsidP="001A46E7">
            <w:pPr>
              <w:spacing w:after="0" w:line="360" w:lineRule="auto"/>
              <w:rPr>
                <w:rFonts w:cs="Segoe UI"/>
                <w:sz w:val="18"/>
              </w:rPr>
            </w:pPr>
            <w:r w:rsidRPr="00BD3D35">
              <w:rPr>
                <w:rFonts w:cs="Segoe UI"/>
                <w:sz w:val="18"/>
              </w:rPr>
              <w:t>4 -</w:t>
            </w:r>
            <w:r>
              <w:rPr>
                <w:rFonts w:cs="Segoe UI"/>
                <w:sz w:val="18"/>
              </w:rPr>
              <w:t> 6</w:t>
            </w:r>
            <w:r w:rsidRPr="00BD3D35">
              <w:rPr>
                <w:rFonts w:cs="Segoe UI"/>
                <w:sz w:val="18"/>
              </w:rPr>
              <w:t>4</w:t>
            </w:r>
          </w:p>
        </w:tc>
        <w:tc>
          <w:tcPr>
            <w:tcW w:w="0" w:type="auto"/>
          </w:tcPr>
          <w:p w14:paraId="4A4DA34C" w14:textId="33314DDE" w:rsidR="001A46E7" w:rsidRPr="00BD3D35" w:rsidRDefault="001A46E7" w:rsidP="001A46E7">
            <w:pPr>
              <w:spacing w:after="0" w:line="360" w:lineRule="auto"/>
              <w:rPr>
                <w:rFonts w:cs="Segoe UI"/>
                <w:sz w:val="18"/>
              </w:rPr>
            </w:pPr>
            <w:r>
              <w:rPr>
                <w:rFonts w:cs="Segoe UI"/>
                <w:sz w:val="18"/>
              </w:rPr>
              <w:t>500 IOPS per disk</w:t>
            </w:r>
          </w:p>
        </w:tc>
      </w:tr>
    </w:tbl>
    <w:p w14:paraId="27425D7D" w14:textId="77777777" w:rsidR="00B92ADE" w:rsidRDefault="00B92ADE" w:rsidP="00B92ADE"/>
    <w:p w14:paraId="71C48872" w14:textId="77777777" w:rsidR="001A46E7" w:rsidRDefault="001A46E7" w:rsidP="006764D0">
      <w:pPr>
        <w:rPr>
          <w:rStyle w:val="Hyperlink"/>
        </w:rPr>
      </w:pPr>
      <w:r>
        <w:t xml:space="preserve">These sizing and capabilities </w:t>
      </w:r>
      <w:r w:rsidRPr="00044147">
        <w:t xml:space="preserve">are for the </w:t>
      </w:r>
      <w:r w:rsidRPr="006764D0">
        <w:t>current</w:t>
      </w:r>
      <w:r>
        <w:t xml:space="preserve"> Preview of Azure Virtual Machines, and they might </w:t>
      </w:r>
      <w:r w:rsidRPr="00DC22EA">
        <w:t>expand over</w:t>
      </w:r>
      <w:r>
        <w:t xml:space="preserve"> time. For a complete list of size tables to help you configure your virtual machines, please see: </w:t>
      </w:r>
      <w:hyperlink r:id="rId209" w:history="1">
        <w:r>
          <w:rPr>
            <w:rStyle w:val="Hyperlink"/>
          </w:rPr>
          <w:t>Sizes for Virtual Machines</w:t>
        </w:r>
      </w:hyperlink>
      <w:r w:rsidR="00526D25">
        <w:rPr>
          <w:rStyle w:val="Hyperlink"/>
        </w:rPr>
        <w:t>.</w:t>
      </w:r>
    </w:p>
    <w:p w14:paraId="3C6E2992" w14:textId="2A602BFE" w:rsidR="00B92ADE" w:rsidRDefault="00B92ADE">
      <w:pPr>
        <w:spacing w:before="0" w:after="160" w:line="259" w:lineRule="auto"/>
      </w:pPr>
    </w:p>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B92ADE" w14:paraId="2818AA96" w14:textId="77777777" w:rsidTr="00B92ADE">
        <w:tc>
          <w:tcPr>
            <w:tcW w:w="9360" w:type="dxa"/>
            <w:tcBorders>
              <w:top w:val="single" w:sz="4" w:space="0" w:color="008AC8"/>
              <w:left w:val="nil"/>
              <w:bottom w:val="single" w:sz="4" w:space="0" w:color="008AC8"/>
              <w:right w:val="nil"/>
            </w:tcBorders>
            <w:shd w:val="clear" w:color="auto" w:fill="008AC8"/>
            <w:hideMark/>
          </w:tcPr>
          <w:p w14:paraId="5ACDE6B6" w14:textId="77777777" w:rsidR="00B92ADE" w:rsidRDefault="00B92ADE" w:rsidP="00B92ADE">
            <w:pPr>
              <w:spacing w:line="240" w:lineRule="auto"/>
              <w:rPr>
                <w:color w:val="FFFFFF"/>
              </w:rPr>
            </w:pPr>
            <w:r>
              <w:rPr>
                <w:color w:val="FFFFFF"/>
              </w:rPr>
              <w:t>Design Guidance</w:t>
            </w:r>
          </w:p>
        </w:tc>
      </w:tr>
    </w:tbl>
    <w:p w14:paraId="483E9B9B" w14:textId="77777777" w:rsidR="001A46E7" w:rsidRDefault="001A46E7" w:rsidP="001A46E7">
      <w:bookmarkStart w:id="3068" w:name="_Toc418081911"/>
      <w:bookmarkStart w:id="3069" w:name="_Toc418081912"/>
      <w:bookmarkStart w:id="3070" w:name="_Toc418081913"/>
      <w:bookmarkStart w:id="3071" w:name="_Toc418081914"/>
      <w:bookmarkStart w:id="3072" w:name="_Toc418079112"/>
      <w:bookmarkStart w:id="3073" w:name="_Toc418080713"/>
      <w:bookmarkStart w:id="3074" w:name="_Toc418068626"/>
      <w:bookmarkStart w:id="3075" w:name="_Toc418071462"/>
      <w:bookmarkStart w:id="3076" w:name="_Toc418095508"/>
      <w:bookmarkStart w:id="3077" w:name="_Toc418079113"/>
      <w:bookmarkStart w:id="3078" w:name="_Toc418080714"/>
      <w:bookmarkStart w:id="3079" w:name="_Toc418068627"/>
      <w:bookmarkStart w:id="3080" w:name="_Toc418071463"/>
      <w:bookmarkStart w:id="3081" w:name="_Toc418095509"/>
      <w:bookmarkStart w:id="3082" w:name="_Toc418079114"/>
      <w:bookmarkStart w:id="3083" w:name="_Toc418080715"/>
      <w:bookmarkStart w:id="3084" w:name="_Toc418068628"/>
      <w:bookmarkStart w:id="3085" w:name="_Toc418071464"/>
      <w:bookmarkStart w:id="3086" w:name="_Toc418095510"/>
      <w:bookmarkStart w:id="3087" w:name="_Toc418079115"/>
      <w:bookmarkStart w:id="3088" w:name="_Toc418080716"/>
      <w:bookmarkStart w:id="3089" w:name="_Toc418068629"/>
      <w:bookmarkStart w:id="3090" w:name="_Toc418071465"/>
      <w:bookmarkStart w:id="3091" w:name="_Toc418095511"/>
      <w:bookmarkStart w:id="3092" w:name="_Toc418080717"/>
      <w:bookmarkStart w:id="3093" w:name="_Toc418095512"/>
      <w:bookmarkStart w:id="3094" w:name="_Toc418081886"/>
      <w:bookmarkStart w:id="3095" w:name="_Toc418083288"/>
      <w:bookmarkStart w:id="3096" w:name="_Toc418156679"/>
      <w:bookmarkStart w:id="3097" w:name="_Toc418167598"/>
      <w:bookmarkStart w:id="3098" w:name="_Toc418185855"/>
      <w:bookmarkStart w:id="3099" w:name="_Toc422941565"/>
      <w:bookmarkStart w:id="3100" w:name="_Toc423116771"/>
      <w:bookmarkStart w:id="3101" w:name="_Toc423117804"/>
      <w:bookmarkStart w:id="3102" w:name="_Toc423117254"/>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r>
        <w:t>When you design solutions for using virtual machines, consider the following:</w:t>
      </w:r>
    </w:p>
    <w:tbl>
      <w:tblPr>
        <w:tblStyle w:val="PlainTable11"/>
        <w:tblW w:w="0" w:type="auto"/>
        <w:tblLook w:val="0420" w:firstRow="1" w:lastRow="0" w:firstColumn="0" w:lastColumn="0" w:noHBand="0" w:noVBand="1"/>
      </w:tblPr>
      <w:tblGrid>
        <w:gridCol w:w="1801"/>
        <w:gridCol w:w="7549"/>
      </w:tblGrid>
      <w:tr w:rsidR="001A46E7" w:rsidRPr="006E2AFC" w14:paraId="026B66F2" w14:textId="77777777" w:rsidTr="00492AAF">
        <w:trPr>
          <w:cnfStyle w:val="100000000000" w:firstRow="1" w:lastRow="0" w:firstColumn="0" w:lastColumn="0" w:oddVBand="0" w:evenVBand="0" w:oddHBand="0" w:evenHBand="0" w:firstRowFirstColumn="0" w:firstRowLastColumn="0" w:lastRowFirstColumn="0" w:lastRowLastColumn="0"/>
        </w:trPr>
        <w:tc>
          <w:tcPr>
            <w:tcW w:w="0" w:type="auto"/>
            <w:shd w:val="clear" w:color="auto" w:fill="808080" w:themeFill="background1" w:themeFillShade="80"/>
            <w:hideMark/>
          </w:tcPr>
          <w:p w14:paraId="24E45A15" w14:textId="77777777" w:rsidR="001A46E7" w:rsidRPr="006E2AFC" w:rsidRDefault="001A46E7" w:rsidP="00492AAF">
            <w:pPr>
              <w:spacing w:line="240" w:lineRule="auto"/>
              <w:rPr>
                <w:rFonts w:eastAsia="Calibri"/>
                <w:bCs w:val="0"/>
                <w:color w:val="FFFFFF"/>
                <w:sz w:val="20"/>
                <w:szCs w:val="20"/>
                <w:lang w:eastAsia="en-AU"/>
              </w:rPr>
            </w:pPr>
            <w:r w:rsidRPr="006E2AFC">
              <w:rPr>
                <w:rFonts w:eastAsia="Calibri"/>
                <w:bCs w:val="0"/>
                <w:color w:val="FFFFFF"/>
                <w:sz w:val="20"/>
                <w:szCs w:val="20"/>
                <w:lang w:eastAsia="en-AU"/>
              </w:rPr>
              <w:t>Capability Considerations</w:t>
            </w:r>
          </w:p>
        </w:tc>
        <w:tc>
          <w:tcPr>
            <w:tcW w:w="0" w:type="auto"/>
            <w:shd w:val="clear" w:color="auto" w:fill="808080" w:themeFill="background1" w:themeFillShade="80"/>
            <w:hideMark/>
          </w:tcPr>
          <w:p w14:paraId="6760AA1F" w14:textId="77777777" w:rsidR="001A46E7" w:rsidRPr="006E2AFC" w:rsidRDefault="001A46E7" w:rsidP="00492AAF">
            <w:pPr>
              <w:spacing w:line="240" w:lineRule="auto"/>
              <w:rPr>
                <w:rFonts w:eastAsia="Calibri"/>
                <w:bCs w:val="0"/>
                <w:color w:val="FFFFFF"/>
                <w:sz w:val="20"/>
                <w:szCs w:val="20"/>
                <w:lang w:eastAsia="en-AU"/>
              </w:rPr>
            </w:pPr>
            <w:r w:rsidRPr="006E2AFC">
              <w:rPr>
                <w:rFonts w:eastAsia="Calibri"/>
                <w:bCs w:val="0"/>
                <w:color w:val="FFFFFF"/>
                <w:sz w:val="20"/>
                <w:szCs w:val="20"/>
                <w:lang w:eastAsia="en-AU"/>
              </w:rPr>
              <w:t>Capability Decision Points</w:t>
            </w:r>
          </w:p>
        </w:tc>
      </w:tr>
      <w:tr w:rsidR="001A46E7" w14:paraId="0F1A1E96" w14:textId="77777777" w:rsidTr="00492AAF">
        <w:trPr>
          <w:cnfStyle w:val="000000100000" w:firstRow="0" w:lastRow="0" w:firstColumn="0" w:lastColumn="0" w:oddVBand="0" w:evenVBand="0" w:oddHBand="1" w:evenHBand="0" w:firstRowFirstColumn="0" w:firstRowLastColumn="0" w:lastRowFirstColumn="0" w:lastRowLastColumn="0"/>
        </w:trPr>
        <w:tc>
          <w:tcPr>
            <w:tcW w:w="0" w:type="auto"/>
          </w:tcPr>
          <w:p w14:paraId="6D58F2CE" w14:textId="77777777" w:rsidR="001A46E7" w:rsidRPr="00224023" w:rsidRDefault="001A46E7" w:rsidP="00492AAF">
            <w:pPr>
              <w:rPr>
                <w:b/>
                <w:sz w:val="20"/>
                <w:szCs w:val="20"/>
              </w:rPr>
            </w:pPr>
            <w:r w:rsidRPr="00224023">
              <w:rPr>
                <w:b/>
                <w:sz w:val="20"/>
                <w:szCs w:val="20"/>
              </w:rPr>
              <w:t xml:space="preserve">Deployment </w:t>
            </w:r>
            <w:r>
              <w:rPr>
                <w:b/>
                <w:sz w:val="20"/>
                <w:szCs w:val="20"/>
              </w:rPr>
              <w:t>o</w:t>
            </w:r>
            <w:r w:rsidRPr="00224023">
              <w:rPr>
                <w:b/>
                <w:sz w:val="20"/>
                <w:szCs w:val="20"/>
              </w:rPr>
              <w:t>rder</w:t>
            </w:r>
          </w:p>
        </w:tc>
        <w:tc>
          <w:tcPr>
            <w:tcW w:w="0" w:type="auto"/>
          </w:tcPr>
          <w:p w14:paraId="0867BF14" w14:textId="77777777" w:rsidR="001A46E7" w:rsidRDefault="001A46E7" w:rsidP="00492AAF">
            <w:pPr>
              <w:rPr>
                <w:sz w:val="20"/>
                <w:szCs w:val="20"/>
              </w:rPr>
            </w:pPr>
            <w:r w:rsidRPr="00224023">
              <w:rPr>
                <w:sz w:val="20"/>
                <w:szCs w:val="20"/>
              </w:rPr>
              <w:t xml:space="preserve">If you intend </w:t>
            </w:r>
            <w:r>
              <w:rPr>
                <w:sz w:val="20"/>
                <w:szCs w:val="20"/>
              </w:rPr>
              <w:t>to</w:t>
            </w:r>
            <w:r w:rsidRPr="00224023">
              <w:rPr>
                <w:sz w:val="20"/>
                <w:szCs w:val="20"/>
              </w:rPr>
              <w:t xml:space="preserve"> deploy an application that may require compute intensive resources, we recommend that you provision a </w:t>
            </w:r>
            <w:r>
              <w:rPr>
                <w:sz w:val="20"/>
                <w:szCs w:val="20"/>
              </w:rPr>
              <w:t>virtual machine</w:t>
            </w:r>
            <w:r w:rsidRPr="00224023">
              <w:rPr>
                <w:sz w:val="20"/>
                <w:szCs w:val="20"/>
              </w:rPr>
              <w:t xml:space="preserve"> to a </w:t>
            </w:r>
            <w:r>
              <w:rPr>
                <w:sz w:val="20"/>
                <w:szCs w:val="20"/>
              </w:rPr>
              <w:t>c</w:t>
            </w:r>
            <w:r w:rsidRPr="00224023">
              <w:rPr>
                <w:sz w:val="20"/>
                <w:szCs w:val="20"/>
              </w:rPr>
              <w:t xml:space="preserve">loud </w:t>
            </w:r>
            <w:r>
              <w:rPr>
                <w:sz w:val="20"/>
                <w:szCs w:val="20"/>
              </w:rPr>
              <w:t>s</w:t>
            </w:r>
            <w:r w:rsidRPr="00224023">
              <w:rPr>
                <w:sz w:val="20"/>
                <w:szCs w:val="20"/>
              </w:rPr>
              <w:t xml:space="preserve">ervice with the largest </w:t>
            </w:r>
            <w:r>
              <w:rPr>
                <w:sz w:val="20"/>
                <w:szCs w:val="20"/>
              </w:rPr>
              <w:t>virtual machine</w:t>
            </w:r>
            <w:r w:rsidRPr="00224023">
              <w:rPr>
                <w:sz w:val="20"/>
                <w:szCs w:val="20"/>
              </w:rPr>
              <w:t xml:space="preserve"> </w:t>
            </w:r>
            <w:r>
              <w:rPr>
                <w:sz w:val="20"/>
                <w:szCs w:val="20"/>
              </w:rPr>
              <w:t>(such as</w:t>
            </w:r>
            <w:r w:rsidRPr="00224023">
              <w:rPr>
                <w:sz w:val="20"/>
                <w:szCs w:val="20"/>
              </w:rPr>
              <w:t xml:space="preserve"> Standard_G5</w:t>
            </w:r>
            <w:r>
              <w:rPr>
                <w:sz w:val="20"/>
                <w:szCs w:val="20"/>
              </w:rPr>
              <w:t>)</w:t>
            </w:r>
            <w:r w:rsidRPr="00224023">
              <w:rPr>
                <w:sz w:val="20"/>
                <w:szCs w:val="20"/>
              </w:rPr>
              <w:t xml:space="preserve"> and scale it down to a more appropriate size. The reason is that </w:t>
            </w:r>
            <w:r>
              <w:rPr>
                <w:sz w:val="20"/>
                <w:szCs w:val="20"/>
              </w:rPr>
              <w:t>virtual machines</w:t>
            </w:r>
            <w:r w:rsidRPr="00224023">
              <w:rPr>
                <w:sz w:val="20"/>
                <w:szCs w:val="20"/>
              </w:rPr>
              <w:t xml:space="preserve"> will be placed on the clusters that have the faster processors</w:t>
            </w:r>
            <w:r>
              <w:rPr>
                <w:sz w:val="20"/>
                <w:szCs w:val="20"/>
              </w:rPr>
              <w:t>.</w:t>
            </w:r>
            <w:r w:rsidRPr="00224023">
              <w:rPr>
                <w:sz w:val="20"/>
                <w:szCs w:val="20"/>
              </w:rPr>
              <w:t xml:space="preserve"> </w:t>
            </w:r>
            <w:r>
              <w:rPr>
                <w:sz w:val="20"/>
                <w:szCs w:val="20"/>
              </w:rPr>
              <w:t>I</w:t>
            </w:r>
            <w:r w:rsidRPr="00224023">
              <w:rPr>
                <w:sz w:val="20"/>
                <w:szCs w:val="20"/>
              </w:rPr>
              <w:t xml:space="preserve">t also makes scaling easier and </w:t>
            </w:r>
            <w:r>
              <w:rPr>
                <w:sz w:val="20"/>
                <w:szCs w:val="20"/>
              </w:rPr>
              <w:t xml:space="preserve">it is </w:t>
            </w:r>
            <w:r w:rsidRPr="00224023">
              <w:rPr>
                <w:sz w:val="20"/>
                <w:szCs w:val="20"/>
              </w:rPr>
              <w:t>more efficient to combine resources.</w:t>
            </w:r>
            <w:r>
              <w:rPr>
                <w:sz w:val="20"/>
                <w:szCs w:val="20"/>
              </w:rPr>
              <w:t xml:space="preserve"> </w:t>
            </w:r>
          </w:p>
        </w:tc>
      </w:tr>
      <w:tr w:rsidR="001A46E7" w14:paraId="5306DEC1" w14:textId="77777777" w:rsidTr="00492AAF">
        <w:tc>
          <w:tcPr>
            <w:tcW w:w="0" w:type="auto"/>
          </w:tcPr>
          <w:p w14:paraId="78141C6F" w14:textId="77777777" w:rsidR="001A46E7" w:rsidRPr="00224023" w:rsidRDefault="001A46E7" w:rsidP="00492AAF">
            <w:pPr>
              <w:pStyle w:val="NormalWeb"/>
              <w:spacing w:line="256" w:lineRule="auto"/>
              <w:rPr>
                <w:rFonts w:ascii="Segoe UI" w:hAnsi="Segoe UI" w:cs="Segoe UI"/>
                <w:b/>
                <w:sz w:val="20"/>
                <w:szCs w:val="20"/>
                <w:lang w:val="en-AU" w:eastAsia="en-AU"/>
              </w:rPr>
            </w:pPr>
            <w:r w:rsidRPr="00224023">
              <w:rPr>
                <w:rFonts w:ascii="Segoe UI" w:hAnsi="Segoe UI" w:cs="Segoe UI"/>
                <w:b/>
                <w:sz w:val="20"/>
                <w:szCs w:val="20"/>
                <w:lang w:val="en-AU" w:eastAsia="en-AU"/>
              </w:rPr>
              <w:t>Supportability</w:t>
            </w:r>
          </w:p>
        </w:tc>
        <w:tc>
          <w:tcPr>
            <w:tcW w:w="0" w:type="auto"/>
          </w:tcPr>
          <w:p w14:paraId="3693B427" w14:textId="77777777" w:rsidR="001A46E7" w:rsidRDefault="001A46E7" w:rsidP="00492AAF">
            <w:pPr>
              <w:spacing w:after="0" w:line="360" w:lineRule="auto"/>
              <w:rPr>
                <w:rFonts w:asciiTheme="minorHAnsi" w:hAnsiTheme="minorHAnsi"/>
              </w:rPr>
            </w:pPr>
            <w:r>
              <w:rPr>
                <w:rFonts w:asciiTheme="minorHAnsi" w:hAnsiTheme="minorHAnsi"/>
              </w:rPr>
              <w:t>The following are not supported in a virtual machine on Microsoft Azure:</w:t>
            </w:r>
          </w:p>
          <w:p w14:paraId="5B731050" w14:textId="77777777" w:rsidR="001A46E7" w:rsidRPr="00EC6562" w:rsidRDefault="001A46E7" w:rsidP="005729D2">
            <w:pPr>
              <w:pStyle w:val="ListParagraph"/>
              <w:numPr>
                <w:ilvl w:val="0"/>
                <w:numId w:val="139"/>
              </w:numPr>
              <w:spacing w:before="0" w:after="0" w:line="360" w:lineRule="auto"/>
              <w:rPr>
                <w:rFonts w:asciiTheme="minorHAnsi" w:hAnsiTheme="minorHAnsi"/>
              </w:rPr>
            </w:pPr>
            <w:r w:rsidRPr="00EC6562">
              <w:rPr>
                <w:rFonts w:asciiTheme="minorHAnsi" w:hAnsiTheme="minorHAnsi"/>
              </w:rPr>
              <w:t xml:space="preserve">Multiple </w:t>
            </w:r>
            <w:r>
              <w:rPr>
                <w:rFonts w:asciiTheme="minorHAnsi" w:hAnsiTheme="minorHAnsi"/>
              </w:rPr>
              <w:t>IP</w:t>
            </w:r>
            <w:r w:rsidRPr="00EC6562">
              <w:rPr>
                <w:rFonts w:asciiTheme="minorHAnsi" w:hAnsiTheme="minorHAnsi"/>
              </w:rPr>
              <w:t xml:space="preserve"> addresses </w:t>
            </w:r>
          </w:p>
          <w:p w14:paraId="6845A63A" w14:textId="77777777" w:rsidR="001A46E7" w:rsidRPr="00224023" w:rsidRDefault="001A46E7" w:rsidP="005729D2">
            <w:pPr>
              <w:pStyle w:val="ListParagraph"/>
              <w:numPr>
                <w:ilvl w:val="0"/>
                <w:numId w:val="139"/>
              </w:numPr>
              <w:spacing w:before="0" w:after="0" w:line="360" w:lineRule="auto"/>
            </w:pPr>
            <w:r w:rsidRPr="00EC6562">
              <w:rPr>
                <w:rFonts w:asciiTheme="minorHAnsi" w:hAnsiTheme="minorHAnsi"/>
              </w:rPr>
              <w:t>32</w:t>
            </w:r>
            <w:r>
              <w:rPr>
                <w:rFonts w:asciiTheme="minorHAnsi" w:hAnsiTheme="minorHAnsi"/>
              </w:rPr>
              <w:t>-b</w:t>
            </w:r>
            <w:r w:rsidRPr="00EC6562">
              <w:rPr>
                <w:rFonts w:asciiTheme="minorHAnsi" w:hAnsiTheme="minorHAnsi"/>
              </w:rPr>
              <w:t xml:space="preserve">it </w:t>
            </w:r>
            <w:r>
              <w:rPr>
                <w:rFonts w:asciiTheme="minorHAnsi" w:hAnsiTheme="minorHAnsi"/>
              </w:rPr>
              <w:t>a</w:t>
            </w:r>
            <w:r w:rsidRPr="00EC6562">
              <w:rPr>
                <w:rFonts w:asciiTheme="minorHAnsi" w:hAnsiTheme="minorHAnsi"/>
              </w:rPr>
              <w:t xml:space="preserve">pplications </w:t>
            </w:r>
          </w:p>
        </w:tc>
      </w:tr>
    </w:tbl>
    <w:p w14:paraId="64CBC694" w14:textId="6BE84781" w:rsidR="00D53A7A" w:rsidRDefault="00D53A7A" w:rsidP="005729D2">
      <w:pPr>
        <w:pStyle w:val="Heading3Numbered"/>
        <w:numPr>
          <w:ilvl w:val="2"/>
          <w:numId w:val="64"/>
        </w:numPr>
      </w:pPr>
      <w:bookmarkStart w:id="3103" w:name="_Toc431288846"/>
      <w:r w:rsidRPr="00C41F9E">
        <w:t>Virtual Machine Storage</w:t>
      </w:r>
      <w:bookmarkEnd w:id="3092"/>
      <w:bookmarkEnd w:id="3093"/>
      <w:bookmarkEnd w:id="3094"/>
      <w:bookmarkEnd w:id="3095"/>
      <w:bookmarkEnd w:id="3096"/>
      <w:bookmarkEnd w:id="3097"/>
      <w:bookmarkEnd w:id="3098"/>
      <w:bookmarkEnd w:id="3099"/>
      <w:bookmarkEnd w:id="3100"/>
      <w:bookmarkEnd w:id="3101"/>
      <w:bookmarkEnd w:id="3102"/>
      <w:bookmarkEnd w:id="3103"/>
    </w:p>
    <w:p w14:paraId="527E7702" w14:textId="5C23A132" w:rsidR="00D478F9" w:rsidRDefault="00B92ADE" w:rsidP="00D478F9">
      <w:r>
        <w:t>With</w:t>
      </w:r>
      <w:r w:rsidR="00D478F9">
        <w:t xml:space="preserve"> respect to IaaS solutions, images and disks that are used by Azure virtual machines are stored within virtual hard disks (VHDs). Azure virtual machines are compute instances that have VHDs attached. The VHDs provide persistent and temporary storage to the underlying operating system within the virtual machine. </w:t>
      </w:r>
    </w:p>
    <w:p w14:paraId="50A65969" w14:textId="58A8775E" w:rsidR="00B92ADE" w:rsidRPr="00475AA2" w:rsidRDefault="00D478F9" w:rsidP="00D478F9">
      <w:pPr>
        <w:rPr>
          <w:sz w:val="20"/>
          <w:lang w:val="en"/>
        </w:rPr>
      </w:pPr>
      <w:r>
        <w:t>Like other components of Azure, virtual machines require a storage account to store virtual machine data, which is in the form of VHDs. The VHD specification has several formats, including fixed, dynamic, and differencing. However, Azure supports only the fixed VHD format. VHDs are stored as page blobs in the target storage account, and they can be accessed through automation, the Azure API, or by the virtual machines themselves</w:t>
      </w:r>
      <w:r w:rsidR="00B92ADE">
        <w:t xml:space="preserve">.   </w:t>
      </w:r>
    </w:p>
    <w:p w14:paraId="18C0FC98" w14:textId="77777777" w:rsidR="00B92ADE" w:rsidRDefault="00B92ADE" w:rsidP="00B92ADE"/>
    <w:tbl>
      <w:tblPr>
        <w:tblStyle w:val="PlainTable11"/>
        <w:tblW w:w="0" w:type="auto"/>
        <w:tblLook w:val="04A0" w:firstRow="1" w:lastRow="0" w:firstColumn="1" w:lastColumn="0" w:noHBand="0" w:noVBand="1"/>
      </w:tblPr>
      <w:tblGrid>
        <w:gridCol w:w="1976"/>
        <w:gridCol w:w="7374"/>
      </w:tblGrid>
      <w:tr w:rsidR="00B92ADE" w14:paraId="2B704D0A" w14:textId="77777777" w:rsidTr="006E2AF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2"/>
            <w:shd w:val="clear" w:color="auto" w:fill="808080" w:themeFill="background1" w:themeFillShade="80"/>
            <w:hideMark/>
          </w:tcPr>
          <w:p w14:paraId="3EA718D4" w14:textId="77777777" w:rsidR="00B92ADE" w:rsidRDefault="00B92ADE" w:rsidP="00B92ADE">
            <w:pPr>
              <w:spacing w:line="240" w:lineRule="auto"/>
              <w:rPr>
                <w:color w:val="FFFFFF"/>
              </w:rPr>
            </w:pPr>
            <w:r>
              <w:rPr>
                <w:color w:val="FFFFFF"/>
              </w:rPr>
              <w:t>Feature References</w:t>
            </w:r>
          </w:p>
        </w:tc>
      </w:tr>
      <w:tr w:rsidR="00B92ADE" w14:paraId="1DADFB51" w14:textId="77777777" w:rsidTr="006E2A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E48522D" w14:textId="77777777" w:rsidR="00B92ADE" w:rsidRPr="00AE5655" w:rsidRDefault="00B92ADE" w:rsidP="00B92ADE">
            <w:pPr>
              <w:spacing w:line="240" w:lineRule="auto"/>
              <w:rPr>
                <w:sz w:val="20"/>
                <w:szCs w:val="20"/>
              </w:rPr>
            </w:pPr>
            <w:r w:rsidRPr="00AE5655">
              <w:rPr>
                <w:sz w:val="20"/>
                <w:szCs w:val="20"/>
              </w:rPr>
              <w:t>About VHDs in Azure</w:t>
            </w:r>
          </w:p>
        </w:tc>
        <w:tc>
          <w:tcPr>
            <w:tcW w:w="0" w:type="auto"/>
            <w:hideMark/>
          </w:tcPr>
          <w:p w14:paraId="07853E26" w14:textId="77777777" w:rsidR="00B92ADE" w:rsidRPr="00AE5655" w:rsidRDefault="00872E47" w:rsidP="00B92ADE">
            <w:pPr>
              <w:cnfStyle w:val="000000100000" w:firstRow="0" w:lastRow="0" w:firstColumn="0" w:lastColumn="0" w:oddVBand="0" w:evenVBand="0" w:oddHBand="1" w:evenHBand="0" w:firstRowFirstColumn="0" w:firstRowLastColumn="0" w:lastRowFirstColumn="0" w:lastRowLastColumn="0"/>
              <w:rPr>
                <w:sz w:val="20"/>
                <w:szCs w:val="20"/>
              </w:rPr>
            </w:pPr>
            <w:hyperlink r:id="rId210" w:history="1">
              <w:r w:rsidR="00B92ADE" w:rsidRPr="00AE5655">
                <w:rPr>
                  <w:rStyle w:val="Hyperlink"/>
                  <w:sz w:val="20"/>
                  <w:szCs w:val="20"/>
                </w:rPr>
                <w:t>https://msdn.microsoft.com/en-us/library/azure/dn790344.aspx</w:t>
              </w:r>
            </w:hyperlink>
            <w:r w:rsidR="00B92ADE" w:rsidRPr="00AE5655">
              <w:rPr>
                <w:sz w:val="20"/>
                <w:szCs w:val="20"/>
              </w:rPr>
              <w:t xml:space="preserve">  </w:t>
            </w:r>
          </w:p>
        </w:tc>
      </w:tr>
      <w:tr w:rsidR="00B92ADE" w14:paraId="58861F66" w14:textId="77777777" w:rsidTr="006E2AFC">
        <w:tc>
          <w:tcPr>
            <w:cnfStyle w:val="001000000000" w:firstRow="0" w:lastRow="0" w:firstColumn="1" w:lastColumn="0" w:oddVBand="0" w:evenVBand="0" w:oddHBand="0" w:evenHBand="0" w:firstRowFirstColumn="0" w:firstRowLastColumn="0" w:lastRowFirstColumn="0" w:lastRowLastColumn="0"/>
            <w:tcW w:w="0" w:type="auto"/>
          </w:tcPr>
          <w:p w14:paraId="368F1F27" w14:textId="040183D9" w:rsidR="00B92ADE" w:rsidRPr="00AE5655" w:rsidRDefault="00B92ADE" w:rsidP="00C44212">
            <w:pPr>
              <w:spacing w:line="240" w:lineRule="auto"/>
              <w:rPr>
                <w:sz w:val="20"/>
                <w:szCs w:val="20"/>
              </w:rPr>
            </w:pPr>
            <w:r w:rsidRPr="00AE5655">
              <w:rPr>
                <w:sz w:val="20"/>
                <w:szCs w:val="20"/>
              </w:rPr>
              <w:t>Exploring Azure Drives, Disks, and Images</w:t>
            </w:r>
          </w:p>
        </w:tc>
        <w:tc>
          <w:tcPr>
            <w:tcW w:w="0" w:type="auto"/>
          </w:tcPr>
          <w:p w14:paraId="2BAAF502" w14:textId="77777777" w:rsidR="00B92ADE" w:rsidRPr="00AE5655" w:rsidRDefault="00872E47" w:rsidP="00B92ADE">
            <w:pPr>
              <w:cnfStyle w:val="000000000000" w:firstRow="0" w:lastRow="0" w:firstColumn="0" w:lastColumn="0" w:oddVBand="0" w:evenVBand="0" w:oddHBand="0" w:evenHBand="0" w:firstRowFirstColumn="0" w:firstRowLastColumn="0" w:lastRowFirstColumn="0" w:lastRowLastColumn="0"/>
              <w:rPr>
                <w:sz w:val="20"/>
                <w:szCs w:val="20"/>
              </w:rPr>
            </w:pPr>
            <w:hyperlink r:id="rId211" w:history="1">
              <w:r w:rsidR="00B92ADE" w:rsidRPr="00AE5655">
                <w:rPr>
                  <w:rStyle w:val="Hyperlink"/>
                  <w:sz w:val="20"/>
                  <w:szCs w:val="20"/>
                </w:rPr>
                <w:t>http://blogs.msdn.com/b/windowsazurestorage/archive/2012/06/28/exploring-windows-azure-drives-disks-and-images.aspx</w:t>
              </w:r>
            </w:hyperlink>
            <w:r w:rsidR="00B92ADE" w:rsidRPr="00AE5655">
              <w:rPr>
                <w:sz w:val="20"/>
                <w:szCs w:val="20"/>
              </w:rPr>
              <w:t xml:space="preserve"> </w:t>
            </w:r>
          </w:p>
        </w:tc>
      </w:tr>
      <w:tr w:rsidR="00B92ADE" w14:paraId="60BA2354" w14:textId="77777777" w:rsidTr="006E2A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C6F6572" w14:textId="77777777" w:rsidR="00B92ADE" w:rsidRPr="00AE5655" w:rsidRDefault="00B92ADE" w:rsidP="00B92ADE">
            <w:pPr>
              <w:spacing w:line="240" w:lineRule="auto"/>
              <w:rPr>
                <w:sz w:val="20"/>
                <w:szCs w:val="20"/>
              </w:rPr>
            </w:pPr>
            <w:r w:rsidRPr="00AE5655">
              <w:rPr>
                <w:sz w:val="20"/>
                <w:szCs w:val="20"/>
              </w:rPr>
              <w:t>How to Attach a Data Disk to a Windows Virtual Machine</w:t>
            </w:r>
          </w:p>
        </w:tc>
        <w:tc>
          <w:tcPr>
            <w:tcW w:w="0" w:type="auto"/>
          </w:tcPr>
          <w:p w14:paraId="489394A4" w14:textId="77777777" w:rsidR="00B92ADE" w:rsidRPr="00AE5655" w:rsidRDefault="00872E47" w:rsidP="00B92ADE">
            <w:pPr>
              <w:cnfStyle w:val="000000100000" w:firstRow="0" w:lastRow="0" w:firstColumn="0" w:lastColumn="0" w:oddVBand="0" w:evenVBand="0" w:oddHBand="1" w:evenHBand="0" w:firstRowFirstColumn="0" w:firstRowLastColumn="0" w:lastRowFirstColumn="0" w:lastRowLastColumn="0"/>
              <w:rPr>
                <w:sz w:val="20"/>
                <w:szCs w:val="20"/>
              </w:rPr>
            </w:pPr>
            <w:hyperlink r:id="rId212" w:history="1">
              <w:r w:rsidR="00B92ADE" w:rsidRPr="00AE5655">
                <w:rPr>
                  <w:rStyle w:val="Hyperlink"/>
                  <w:sz w:val="20"/>
                  <w:szCs w:val="20"/>
                </w:rPr>
                <w:t>http://azure.microsoft.com/en-us/documentation/articles/storage-windows-attach-disk/</w:t>
              </w:r>
            </w:hyperlink>
            <w:r w:rsidR="00B92ADE" w:rsidRPr="00AE5655">
              <w:rPr>
                <w:sz w:val="20"/>
                <w:szCs w:val="20"/>
              </w:rPr>
              <w:t xml:space="preserve"> </w:t>
            </w:r>
          </w:p>
        </w:tc>
      </w:tr>
      <w:tr w:rsidR="00B92ADE" w14:paraId="0391E493" w14:textId="77777777" w:rsidTr="006E2AFC">
        <w:tc>
          <w:tcPr>
            <w:cnfStyle w:val="001000000000" w:firstRow="0" w:lastRow="0" w:firstColumn="1" w:lastColumn="0" w:oddVBand="0" w:evenVBand="0" w:oddHBand="0" w:evenHBand="0" w:firstRowFirstColumn="0" w:firstRowLastColumn="0" w:lastRowFirstColumn="0" w:lastRowLastColumn="0"/>
            <w:tcW w:w="0" w:type="auto"/>
          </w:tcPr>
          <w:p w14:paraId="5FEA3FDB" w14:textId="77777777" w:rsidR="00B92ADE" w:rsidRPr="00AE5655" w:rsidRDefault="00B92ADE" w:rsidP="00B92ADE">
            <w:pPr>
              <w:spacing w:line="240" w:lineRule="auto"/>
              <w:rPr>
                <w:sz w:val="20"/>
                <w:szCs w:val="20"/>
              </w:rPr>
            </w:pPr>
            <w:r w:rsidRPr="00AE5655">
              <w:rPr>
                <w:sz w:val="20"/>
                <w:szCs w:val="20"/>
              </w:rPr>
              <w:t>Create and upload a Windows Server VHD to Azure</w:t>
            </w:r>
          </w:p>
        </w:tc>
        <w:tc>
          <w:tcPr>
            <w:tcW w:w="0" w:type="auto"/>
          </w:tcPr>
          <w:p w14:paraId="38A09571" w14:textId="77777777" w:rsidR="00B92ADE" w:rsidRPr="00AE5655" w:rsidRDefault="00872E47" w:rsidP="00B92ADE">
            <w:pPr>
              <w:cnfStyle w:val="000000000000" w:firstRow="0" w:lastRow="0" w:firstColumn="0" w:lastColumn="0" w:oddVBand="0" w:evenVBand="0" w:oddHBand="0" w:evenHBand="0" w:firstRowFirstColumn="0" w:firstRowLastColumn="0" w:lastRowFirstColumn="0" w:lastRowLastColumn="0"/>
              <w:rPr>
                <w:sz w:val="20"/>
                <w:szCs w:val="20"/>
              </w:rPr>
            </w:pPr>
            <w:hyperlink r:id="rId213" w:history="1">
              <w:r w:rsidR="00B92ADE" w:rsidRPr="00AE5655">
                <w:rPr>
                  <w:rStyle w:val="Hyperlink"/>
                  <w:sz w:val="20"/>
                  <w:szCs w:val="20"/>
                </w:rPr>
                <w:t>http://azure.microsoft.com/en-us/documentation/articles/virtual-machines-create-upload-vhd-windows-server/</w:t>
              </w:r>
            </w:hyperlink>
            <w:r w:rsidR="00B92ADE" w:rsidRPr="00AE5655">
              <w:rPr>
                <w:sz w:val="20"/>
                <w:szCs w:val="20"/>
              </w:rPr>
              <w:t xml:space="preserve"> </w:t>
            </w:r>
          </w:p>
        </w:tc>
      </w:tr>
      <w:tr w:rsidR="00B92ADE" w14:paraId="7382AEA7" w14:textId="77777777" w:rsidTr="006E2A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EFA8AAF" w14:textId="48AFD508" w:rsidR="00B92ADE" w:rsidRPr="00AE5655" w:rsidRDefault="006269CD" w:rsidP="006269CD">
            <w:pPr>
              <w:spacing w:line="240" w:lineRule="auto"/>
              <w:rPr>
                <w:sz w:val="20"/>
                <w:szCs w:val="20"/>
              </w:rPr>
            </w:pPr>
            <w:r>
              <w:rPr>
                <w:sz w:val="20"/>
                <w:szCs w:val="20"/>
              </w:rPr>
              <w:t>Sizes for Cloud Services</w:t>
            </w:r>
          </w:p>
        </w:tc>
        <w:tc>
          <w:tcPr>
            <w:tcW w:w="0" w:type="auto"/>
          </w:tcPr>
          <w:p w14:paraId="3CA726A7" w14:textId="69FA2118" w:rsidR="00B92ADE" w:rsidRPr="00AE5655" w:rsidRDefault="00872E47" w:rsidP="00B92ADE">
            <w:pPr>
              <w:cnfStyle w:val="000000100000" w:firstRow="0" w:lastRow="0" w:firstColumn="0" w:lastColumn="0" w:oddVBand="0" w:evenVBand="0" w:oddHBand="1" w:evenHBand="0" w:firstRowFirstColumn="0" w:firstRowLastColumn="0" w:lastRowFirstColumn="0" w:lastRowLastColumn="0"/>
              <w:rPr>
                <w:sz w:val="20"/>
                <w:szCs w:val="20"/>
              </w:rPr>
            </w:pPr>
            <w:hyperlink r:id="rId214" w:history="1">
              <w:r w:rsidR="006269CD">
                <w:rPr>
                  <w:rStyle w:val="Hyperlink"/>
                  <w:sz w:val="20"/>
                  <w:szCs w:val="20"/>
                </w:rPr>
                <w:t>https://azure.microsoft.com/documentation/articles/cloud-services-sizes-specs/</w:t>
              </w:r>
            </w:hyperlink>
            <w:r w:rsidR="00B92ADE" w:rsidRPr="00AE5655">
              <w:rPr>
                <w:sz w:val="20"/>
                <w:szCs w:val="20"/>
              </w:rPr>
              <w:t xml:space="preserve"> </w:t>
            </w:r>
          </w:p>
        </w:tc>
      </w:tr>
      <w:tr w:rsidR="006269CD" w14:paraId="76D39F45" w14:textId="77777777" w:rsidTr="006E2AFC">
        <w:tc>
          <w:tcPr>
            <w:cnfStyle w:val="001000000000" w:firstRow="0" w:lastRow="0" w:firstColumn="1" w:lastColumn="0" w:oddVBand="0" w:evenVBand="0" w:oddHBand="0" w:evenHBand="0" w:firstRowFirstColumn="0" w:firstRowLastColumn="0" w:lastRowFirstColumn="0" w:lastRowLastColumn="0"/>
            <w:tcW w:w="0" w:type="auto"/>
          </w:tcPr>
          <w:p w14:paraId="78370AFA" w14:textId="4F2696F9" w:rsidR="006269CD" w:rsidRPr="00AE5655" w:rsidRDefault="006269CD" w:rsidP="00B92ADE">
            <w:pPr>
              <w:spacing w:line="240" w:lineRule="auto"/>
              <w:rPr>
                <w:sz w:val="20"/>
                <w:szCs w:val="20"/>
              </w:rPr>
            </w:pPr>
            <w:r>
              <w:rPr>
                <w:sz w:val="20"/>
                <w:szCs w:val="20"/>
              </w:rPr>
              <w:t>Sizes for Virtual Machines</w:t>
            </w:r>
          </w:p>
        </w:tc>
        <w:tc>
          <w:tcPr>
            <w:tcW w:w="0" w:type="auto"/>
          </w:tcPr>
          <w:p w14:paraId="72AD20E3" w14:textId="58D6A880" w:rsidR="006269CD" w:rsidRPr="006269CD" w:rsidRDefault="00872E47" w:rsidP="00B92ADE">
            <w:pPr>
              <w:cnfStyle w:val="000000000000" w:firstRow="0" w:lastRow="0" w:firstColumn="0" w:lastColumn="0" w:oddVBand="0" w:evenVBand="0" w:oddHBand="0" w:evenHBand="0" w:firstRowFirstColumn="0" w:firstRowLastColumn="0" w:lastRowFirstColumn="0" w:lastRowLastColumn="0"/>
              <w:rPr>
                <w:sz w:val="20"/>
                <w:szCs w:val="20"/>
              </w:rPr>
            </w:pPr>
            <w:hyperlink r:id="rId215" w:history="1">
              <w:r w:rsidR="006269CD" w:rsidRPr="00D215EC">
                <w:rPr>
                  <w:rStyle w:val="Hyperlink"/>
                  <w:sz w:val="20"/>
                  <w:szCs w:val="20"/>
                </w:rPr>
                <w:t>https://azure.microsoft.com/en-us/documentation/articles/virtual-machines-size-specs/</w:t>
              </w:r>
            </w:hyperlink>
            <w:r w:rsidR="006269CD">
              <w:rPr>
                <w:sz w:val="20"/>
                <w:szCs w:val="20"/>
              </w:rPr>
              <w:t xml:space="preserve"> </w:t>
            </w:r>
          </w:p>
        </w:tc>
      </w:tr>
      <w:tr w:rsidR="00B92ADE" w14:paraId="23CED49F" w14:textId="77777777" w:rsidTr="006E2A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77342A3" w14:textId="77777777" w:rsidR="00B92ADE" w:rsidRPr="00AE5655" w:rsidRDefault="00B92ADE" w:rsidP="00B92ADE">
            <w:pPr>
              <w:spacing w:line="240" w:lineRule="auto"/>
              <w:rPr>
                <w:sz w:val="20"/>
                <w:szCs w:val="20"/>
              </w:rPr>
            </w:pPr>
            <w:r w:rsidRPr="00AE5655">
              <w:rPr>
                <w:sz w:val="20"/>
                <w:szCs w:val="20"/>
              </w:rPr>
              <w:t>Azure Subscription and Service Limits, Quotas, and Constraints</w:t>
            </w:r>
          </w:p>
        </w:tc>
        <w:tc>
          <w:tcPr>
            <w:tcW w:w="0" w:type="auto"/>
          </w:tcPr>
          <w:p w14:paraId="1BD05EBA" w14:textId="77777777" w:rsidR="00B92ADE" w:rsidRPr="00AE5655" w:rsidRDefault="00872E47" w:rsidP="00B92ADE">
            <w:pPr>
              <w:cnfStyle w:val="000000100000" w:firstRow="0" w:lastRow="0" w:firstColumn="0" w:lastColumn="0" w:oddVBand="0" w:evenVBand="0" w:oddHBand="1" w:evenHBand="0" w:firstRowFirstColumn="0" w:firstRowLastColumn="0" w:lastRowFirstColumn="0" w:lastRowLastColumn="0"/>
              <w:rPr>
                <w:sz w:val="20"/>
                <w:szCs w:val="20"/>
              </w:rPr>
            </w:pPr>
            <w:hyperlink r:id="rId216" w:history="1">
              <w:r w:rsidR="00B92ADE" w:rsidRPr="00AE5655">
                <w:rPr>
                  <w:rStyle w:val="Hyperlink"/>
                  <w:sz w:val="20"/>
                  <w:szCs w:val="20"/>
                </w:rPr>
                <w:t>http://azure.microsoft.com/en-us/documentation/articles/azure-subscription-service-limits/</w:t>
              </w:r>
            </w:hyperlink>
            <w:r w:rsidR="00B92ADE" w:rsidRPr="00AE5655">
              <w:rPr>
                <w:sz w:val="20"/>
                <w:szCs w:val="20"/>
              </w:rPr>
              <w:t xml:space="preserve"> </w:t>
            </w:r>
          </w:p>
        </w:tc>
      </w:tr>
      <w:tr w:rsidR="00B92ADE" w14:paraId="5C5F8373" w14:textId="77777777" w:rsidTr="006E2AFC">
        <w:tc>
          <w:tcPr>
            <w:cnfStyle w:val="001000000000" w:firstRow="0" w:lastRow="0" w:firstColumn="1" w:lastColumn="0" w:oddVBand="0" w:evenVBand="0" w:oddHBand="0" w:evenHBand="0" w:firstRowFirstColumn="0" w:firstRowLastColumn="0" w:lastRowFirstColumn="0" w:lastRowLastColumn="0"/>
            <w:tcW w:w="0" w:type="auto"/>
          </w:tcPr>
          <w:p w14:paraId="50BFA370" w14:textId="77777777" w:rsidR="00B92ADE" w:rsidRPr="00AE5655" w:rsidRDefault="00B92ADE" w:rsidP="00B92ADE">
            <w:pPr>
              <w:spacing w:line="240" w:lineRule="auto"/>
              <w:rPr>
                <w:sz w:val="20"/>
                <w:szCs w:val="20"/>
              </w:rPr>
            </w:pPr>
            <w:r w:rsidRPr="00AE5655">
              <w:rPr>
                <w:sz w:val="20"/>
                <w:szCs w:val="20"/>
              </w:rPr>
              <w:t>Basic Tier Virtual Machines</w:t>
            </w:r>
          </w:p>
        </w:tc>
        <w:tc>
          <w:tcPr>
            <w:tcW w:w="0" w:type="auto"/>
          </w:tcPr>
          <w:p w14:paraId="62EDEB0F" w14:textId="77777777" w:rsidR="00B92ADE" w:rsidRPr="00AE5655" w:rsidRDefault="00872E47" w:rsidP="00B92ADE">
            <w:pPr>
              <w:cnfStyle w:val="000000000000" w:firstRow="0" w:lastRow="0" w:firstColumn="0" w:lastColumn="0" w:oddVBand="0" w:evenVBand="0" w:oddHBand="0" w:evenHBand="0" w:firstRowFirstColumn="0" w:firstRowLastColumn="0" w:lastRowFirstColumn="0" w:lastRowLastColumn="0"/>
              <w:rPr>
                <w:sz w:val="20"/>
                <w:szCs w:val="20"/>
              </w:rPr>
            </w:pPr>
            <w:hyperlink r:id="rId217" w:history="1">
              <w:r w:rsidR="00B92ADE" w:rsidRPr="00AE5655">
                <w:rPr>
                  <w:rStyle w:val="Hyperlink"/>
                  <w:sz w:val="20"/>
                  <w:szCs w:val="20"/>
                </w:rPr>
                <w:t>http://azure.microsoft.com/blog/2014/04/28/basic-tier-virtual-machines-2/</w:t>
              </w:r>
            </w:hyperlink>
            <w:r w:rsidR="00B92ADE" w:rsidRPr="00AE5655">
              <w:rPr>
                <w:sz w:val="20"/>
                <w:szCs w:val="20"/>
              </w:rPr>
              <w:t xml:space="preserve"> </w:t>
            </w:r>
          </w:p>
        </w:tc>
      </w:tr>
      <w:tr w:rsidR="00B92ADE" w14:paraId="426D1342" w14:textId="77777777" w:rsidTr="006E2A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742CD49" w14:textId="77777777" w:rsidR="00B92ADE" w:rsidRPr="00AE5655" w:rsidRDefault="00B92ADE" w:rsidP="00B92ADE">
            <w:pPr>
              <w:spacing w:line="240" w:lineRule="auto"/>
              <w:rPr>
                <w:sz w:val="20"/>
                <w:szCs w:val="20"/>
              </w:rPr>
            </w:pPr>
            <w:r w:rsidRPr="00AE5655">
              <w:rPr>
                <w:sz w:val="20"/>
                <w:szCs w:val="20"/>
              </w:rPr>
              <w:t>Azure Storage Scalability and Performance Targets</w:t>
            </w:r>
          </w:p>
        </w:tc>
        <w:tc>
          <w:tcPr>
            <w:tcW w:w="0" w:type="auto"/>
          </w:tcPr>
          <w:p w14:paraId="38CA42AF" w14:textId="77777777" w:rsidR="00B92ADE" w:rsidRPr="00AE5655" w:rsidRDefault="00872E47" w:rsidP="00B92ADE">
            <w:pPr>
              <w:cnfStyle w:val="000000100000" w:firstRow="0" w:lastRow="0" w:firstColumn="0" w:lastColumn="0" w:oddVBand="0" w:evenVBand="0" w:oddHBand="1" w:evenHBand="0" w:firstRowFirstColumn="0" w:firstRowLastColumn="0" w:lastRowFirstColumn="0" w:lastRowLastColumn="0"/>
              <w:rPr>
                <w:sz w:val="20"/>
                <w:szCs w:val="20"/>
              </w:rPr>
            </w:pPr>
            <w:hyperlink r:id="rId218" w:history="1">
              <w:r w:rsidR="00B92ADE" w:rsidRPr="00AE5655">
                <w:rPr>
                  <w:rStyle w:val="Hyperlink"/>
                  <w:sz w:val="20"/>
                  <w:szCs w:val="20"/>
                </w:rPr>
                <w:t>http://azure.microsoft.com/en-us/documentation/articles/storage-scalability-targets/</w:t>
              </w:r>
            </w:hyperlink>
            <w:r w:rsidR="00B92ADE" w:rsidRPr="00AE5655">
              <w:rPr>
                <w:sz w:val="20"/>
                <w:szCs w:val="20"/>
              </w:rPr>
              <w:t xml:space="preserve"> </w:t>
            </w:r>
          </w:p>
        </w:tc>
      </w:tr>
      <w:tr w:rsidR="00B92ADE" w14:paraId="5C67BE8F" w14:textId="77777777" w:rsidTr="006E2AFC">
        <w:tc>
          <w:tcPr>
            <w:cnfStyle w:val="001000000000" w:firstRow="0" w:lastRow="0" w:firstColumn="1" w:lastColumn="0" w:oddVBand="0" w:evenVBand="0" w:oddHBand="0" w:evenHBand="0" w:firstRowFirstColumn="0" w:firstRowLastColumn="0" w:lastRowFirstColumn="0" w:lastRowLastColumn="0"/>
            <w:tcW w:w="0" w:type="auto"/>
          </w:tcPr>
          <w:p w14:paraId="6D88A317" w14:textId="77777777" w:rsidR="00B92ADE" w:rsidRPr="00AE5655" w:rsidRDefault="00B92ADE" w:rsidP="00B92ADE">
            <w:pPr>
              <w:spacing w:line="240" w:lineRule="auto"/>
              <w:rPr>
                <w:sz w:val="20"/>
                <w:szCs w:val="20"/>
              </w:rPr>
            </w:pPr>
            <w:r w:rsidRPr="00AE5655">
              <w:rPr>
                <w:sz w:val="20"/>
                <w:szCs w:val="20"/>
              </w:rPr>
              <w:t>Performance Best Practices for SQL Server in Azure Virtual Machines – I/O Performance Considerations</w:t>
            </w:r>
          </w:p>
        </w:tc>
        <w:tc>
          <w:tcPr>
            <w:tcW w:w="0" w:type="auto"/>
          </w:tcPr>
          <w:p w14:paraId="2DE59A93" w14:textId="77777777" w:rsidR="00B92ADE" w:rsidRPr="00AE5655" w:rsidRDefault="00872E47" w:rsidP="00B92ADE">
            <w:pPr>
              <w:cnfStyle w:val="000000000000" w:firstRow="0" w:lastRow="0" w:firstColumn="0" w:lastColumn="0" w:oddVBand="0" w:evenVBand="0" w:oddHBand="0" w:evenHBand="0" w:firstRowFirstColumn="0" w:firstRowLastColumn="0" w:lastRowFirstColumn="0" w:lastRowLastColumn="0"/>
              <w:rPr>
                <w:sz w:val="20"/>
                <w:szCs w:val="20"/>
              </w:rPr>
            </w:pPr>
            <w:hyperlink r:id="rId219" w:anchor="io" w:history="1">
              <w:r w:rsidR="00B92ADE" w:rsidRPr="00AE5655">
                <w:rPr>
                  <w:rStyle w:val="Hyperlink"/>
                  <w:sz w:val="20"/>
                  <w:szCs w:val="20"/>
                </w:rPr>
                <w:t>https://msdn.microsoft.com/en-us/library/azure/dn133149.aspx#io</w:t>
              </w:r>
            </w:hyperlink>
            <w:r w:rsidR="00B92ADE" w:rsidRPr="00AE5655">
              <w:rPr>
                <w:sz w:val="20"/>
                <w:szCs w:val="20"/>
              </w:rPr>
              <w:t xml:space="preserve"> </w:t>
            </w:r>
          </w:p>
        </w:tc>
      </w:tr>
    </w:tbl>
    <w:p w14:paraId="130666E4" w14:textId="16E69584" w:rsidR="00B92ADE" w:rsidRDefault="00B92ADE" w:rsidP="00B92ADE"/>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B92ADE" w14:paraId="371053D9" w14:textId="77777777" w:rsidTr="00B92ADE">
        <w:tc>
          <w:tcPr>
            <w:tcW w:w="9360" w:type="dxa"/>
            <w:tcBorders>
              <w:top w:val="single" w:sz="4" w:space="0" w:color="008AC8"/>
              <w:left w:val="nil"/>
              <w:bottom w:val="single" w:sz="4" w:space="0" w:color="008AC8"/>
              <w:right w:val="nil"/>
            </w:tcBorders>
            <w:shd w:val="clear" w:color="auto" w:fill="008AC8"/>
            <w:hideMark/>
          </w:tcPr>
          <w:p w14:paraId="77A604BA" w14:textId="77777777" w:rsidR="00B92ADE" w:rsidRDefault="00B92ADE" w:rsidP="00B92ADE">
            <w:pPr>
              <w:spacing w:line="240" w:lineRule="auto"/>
              <w:rPr>
                <w:color w:val="FFFFFF"/>
              </w:rPr>
            </w:pPr>
            <w:r>
              <w:rPr>
                <w:color w:val="FFFFFF"/>
              </w:rPr>
              <w:t>Design Guidance</w:t>
            </w:r>
          </w:p>
        </w:tc>
      </w:tr>
    </w:tbl>
    <w:p w14:paraId="10367E22" w14:textId="332AC1C4" w:rsidR="00AE5655" w:rsidRDefault="00AE5655" w:rsidP="00B92ADE">
      <w:r>
        <w:t>The following general considerations are provided when planning storage accounts for virtual machines</w:t>
      </w:r>
      <w:r w:rsidR="00D478F9">
        <w:t>:</w:t>
      </w:r>
    </w:p>
    <w:tbl>
      <w:tblPr>
        <w:tblStyle w:val="PlainTable11"/>
        <w:tblW w:w="0" w:type="auto"/>
        <w:tblLook w:val="0420" w:firstRow="1" w:lastRow="0" w:firstColumn="0" w:lastColumn="0" w:noHBand="0" w:noVBand="1"/>
      </w:tblPr>
      <w:tblGrid>
        <w:gridCol w:w="2609"/>
        <w:gridCol w:w="6741"/>
      </w:tblGrid>
      <w:tr w:rsidR="00AE5655" w:rsidRPr="006E2AFC" w14:paraId="2423F369" w14:textId="77777777" w:rsidTr="006E2AFC">
        <w:trPr>
          <w:cnfStyle w:val="100000000000" w:firstRow="1" w:lastRow="0" w:firstColumn="0" w:lastColumn="0" w:oddVBand="0" w:evenVBand="0" w:oddHBand="0" w:evenHBand="0" w:firstRowFirstColumn="0" w:firstRowLastColumn="0" w:lastRowFirstColumn="0" w:lastRowLastColumn="0"/>
        </w:trPr>
        <w:tc>
          <w:tcPr>
            <w:tcW w:w="0" w:type="auto"/>
            <w:shd w:val="clear" w:color="auto" w:fill="808080" w:themeFill="background1" w:themeFillShade="80"/>
            <w:hideMark/>
          </w:tcPr>
          <w:p w14:paraId="1106A3AF" w14:textId="77777777" w:rsidR="00AE5655" w:rsidRPr="006E2AFC" w:rsidRDefault="00AE5655" w:rsidP="00AE5655">
            <w:pPr>
              <w:spacing w:line="240" w:lineRule="auto"/>
              <w:rPr>
                <w:rFonts w:eastAsia="Calibri"/>
                <w:bCs w:val="0"/>
                <w:color w:val="FFFFFF"/>
                <w:sz w:val="20"/>
                <w:szCs w:val="20"/>
                <w:lang w:eastAsia="en-AU"/>
              </w:rPr>
            </w:pPr>
            <w:r w:rsidRPr="006E2AFC">
              <w:rPr>
                <w:rFonts w:eastAsia="Calibri"/>
                <w:bCs w:val="0"/>
                <w:color w:val="FFFFFF"/>
                <w:sz w:val="20"/>
                <w:szCs w:val="20"/>
                <w:lang w:eastAsia="en-AU"/>
              </w:rPr>
              <w:t>Capability Considerations</w:t>
            </w:r>
          </w:p>
        </w:tc>
        <w:tc>
          <w:tcPr>
            <w:tcW w:w="0" w:type="auto"/>
            <w:shd w:val="clear" w:color="auto" w:fill="808080" w:themeFill="background1" w:themeFillShade="80"/>
            <w:hideMark/>
          </w:tcPr>
          <w:p w14:paraId="46C2397B" w14:textId="77777777" w:rsidR="00AE5655" w:rsidRPr="006E2AFC" w:rsidRDefault="00AE5655" w:rsidP="00AE5655">
            <w:pPr>
              <w:spacing w:line="240" w:lineRule="auto"/>
              <w:rPr>
                <w:rFonts w:eastAsia="Calibri"/>
                <w:bCs w:val="0"/>
                <w:color w:val="FFFFFF"/>
                <w:sz w:val="20"/>
                <w:szCs w:val="20"/>
                <w:lang w:eastAsia="en-AU"/>
              </w:rPr>
            </w:pPr>
            <w:r w:rsidRPr="006E2AFC">
              <w:rPr>
                <w:rFonts w:eastAsia="Calibri"/>
                <w:bCs w:val="0"/>
                <w:color w:val="FFFFFF"/>
                <w:sz w:val="20"/>
                <w:szCs w:val="20"/>
                <w:lang w:eastAsia="en-AU"/>
              </w:rPr>
              <w:t>Capability Decision Points</w:t>
            </w:r>
          </w:p>
        </w:tc>
      </w:tr>
      <w:tr w:rsidR="00D478F9" w14:paraId="292593D8" w14:textId="77777777" w:rsidTr="006E2AFC">
        <w:trPr>
          <w:cnfStyle w:val="000000100000" w:firstRow="0" w:lastRow="0" w:firstColumn="0" w:lastColumn="0" w:oddVBand="0" w:evenVBand="0" w:oddHBand="1" w:evenHBand="0" w:firstRowFirstColumn="0" w:firstRowLastColumn="0" w:lastRowFirstColumn="0" w:lastRowLastColumn="0"/>
        </w:trPr>
        <w:tc>
          <w:tcPr>
            <w:tcW w:w="0" w:type="auto"/>
          </w:tcPr>
          <w:p w14:paraId="123DC0D0" w14:textId="5BFFE20A" w:rsidR="00D478F9" w:rsidRPr="008333C0" w:rsidRDefault="00D478F9" w:rsidP="00D478F9">
            <w:pPr>
              <w:rPr>
                <w:sz w:val="20"/>
                <w:szCs w:val="20"/>
              </w:rPr>
            </w:pPr>
            <w:r w:rsidRPr="00277804">
              <w:rPr>
                <w:b/>
                <w:sz w:val="20"/>
                <w:szCs w:val="20"/>
              </w:rPr>
              <w:t>Storage considerations for virtual machines</w:t>
            </w:r>
          </w:p>
        </w:tc>
        <w:tc>
          <w:tcPr>
            <w:tcW w:w="0" w:type="auto"/>
          </w:tcPr>
          <w:p w14:paraId="53FA5E61" w14:textId="77777777" w:rsidR="00D478F9" w:rsidRPr="00AE5655" w:rsidRDefault="00D478F9" w:rsidP="005729D2">
            <w:pPr>
              <w:pStyle w:val="ListParagraph"/>
              <w:numPr>
                <w:ilvl w:val="0"/>
                <w:numId w:val="140"/>
              </w:numPr>
              <w:rPr>
                <w:sz w:val="20"/>
                <w:szCs w:val="20"/>
                <w:lang w:val="en"/>
              </w:rPr>
            </w:pPr>
            <w:r w:rsidRPr="00AE5655">
              <w:rPr>
                <w:sz w:val="20"/>
                <w:szCs w:val="20"/>
                <w:lang w:val="en"/>
              </w:rPr>
              <w:t>Keep the storage account and virtual machines in the same region</w:t>
            </w:r>
            <w:r>
              <w:rPr>
                <w:sz w:val="20"/>
                <w:szCs w:val="20"/>
                <w:lang w:val="en"/>
              </w:rPr>
              <w:t>.</w:t>
            </w:r>
          </w:p>
          <w:p w14:paraId="47038D0D" w14:textId="77777777" w:rsidR="00D478F9" w:rsidRPr="00AE5655" w:rsidRDefault="00D478F9" w:rsidP="005729D2">
            <w:pPr>
              <w:pStyle w:val="ListParagraph"/>
              <w:numPr>
                <w:ilvl w:val="0"/>
                <w:numId w:val="140"/>
              </w:numPr>
              <w:rPr>
                <w:sz w:val="20"/>
                <w:szCs w:val="20"/>
                <w:lang w:val="en"/>
              </w:rPr>
            </w:pPr>
            <w:r w:rsidRPr="00AE5655">
              <w:rPr>
                <w:sz w:val="20"/>
                <w:szCs w:val="20"/>
                <w:lang w:val="en"/>
              </w:rPr>
              <w:t>Disable Azure geo-replication on the storage account when the workload provides availability or if multiple disks are spanned together</w:t>
            </w:r>
            <w:r>
              <w:rPr>
                <w:sz w:val="20"/>
                <w:szCs w:val="20"/>
                <w:lang w:val="en"/>
              </w:rPr>
              <w:t>.</w:t>
            </w:r>
          </w:p>
          <w:p w14:paraId="6E470615" w14:textId="77777777" w:rsidR="00D478F9" w:rsidRPr="00AE5655" w:rsidRDefault="00D478F9" w:rsidP="005729D2">
            <w:pPr>
              <w:pStyle w:val="ListParagraph"/>
              <w:numPr>
                <w:ilvl w:val="0"/>
                <w:numId w:val="140"/>
              </w:numPr>
              <w:rPr>
                <w:sz w:val="20"/>
                <w:szCs w:val="20"/>
                <w:lang w:val="en"/>
              </w:rPr>
            </w:pPr>
            <w:r w:rsidRPr="00AE5655">
              <w:rPr>
                <w:sz w:val="20"/>
                <w:szCs w:val="20"/>
                <w:lang w:val="en"/>
              </w:rPr>
              <w:t xml:space="preserve">Avoid using </w:t>
            </w:r>
            <w:r>
              <w:rPr>
                <w:sz w:val="20"/>
                <w:szCs w:val="20"/>
                <w:lang w:val="en"/>
              </w:rPr>
              <w:t xml:space="preserve">the </w:t>
            </w:r>
            <w:r w:rsidRPr="00AE5655">
              <w:rPr>
                <w:sz w:val="20"/>
                <w:szCs w:val="20"/>
                <w:lang w:val="en"/>
              </w:rPr>
              <w:t>operating system or temporary disks for database storage or logging</w:t>
            </w:r>
            <w:r>
              <w:rPr>
                <w:sz w:val="20"/>
                <w:szCs w:val="20"/>
                <w:lang w:val="en"/>
              </w:rPr>
              <w:t>.</w:t>
            </w:r>
          </w:p>
          <w:p w14:paraId="35C15614" w14:textId="77777777" w:rsidR="00D478F9" w:rsidRPr="00AE5655" w:rsidRDefault="00D478F9" w:rsidP="005729D2">
            <w:pPr>
              <w:pStyle w:val="ListParagraph"/>
              <w:numPr>
                <w:ilvl w:val="0"/>
                <w:numId w:val="140"/>
              </w:numPr>
              <w:rPr>
                <w:sz w:val="20"/>
                <w:szCs w:val="20"/>
                <w:lang w:val="en"/>
              </w:rPr>
            </w:pPr>
            <w:r w:rsidRPr="00AE5655">
              <w:rPr>
                <w:sz w:val="20"/>
                <w:szCs w:val="20"/>
                <w:lang w:val="en"/>
              </w:rPr>
              <w:t xml:space="preserve">Avoid using Azure data disk caching options (caching policy = None) </w:t>
            </w:r>
            <w:r>
              <w:rPr>
                <w:sz w:val="20"/>
                <w:szCs w:val="20"/>
                <w:lang w:val="en"/>
              </w:rPr>
              <w:t>when</w:t>
            </w:r>
            <w:r w:rsidRPr="00AE5655">
              <w:rPr>
                <w:sz w:val="20"/>
                <w:szCs w:val="20"/>
                <w:lang w:val="en"/>
              </w:rPr>
              <w:t xml:space="preserve"> </w:t>
            </w:r>
            <w:r>
              <w:rPr>
                <w:sz w:val="20"/>
                <w:szCs w:val="20"/>
                <w:lang w:val="en"/>
              </w:rPr>
              <w:t xml:space="preserve">it is </w:t>
            </w:r>
            <w:r w:rsidRPr="00AE5655">
              <w:rPr>
                <w:sz w:val="20"/>
                <w:szCs w:val="20"/>
                <w:lang w:val="en"/>
              </w:rPr>
              <w:t>not supported by the workload or solution running in the virtual machine</w:t>
            </w:r>
            <w:r>
              <w:rPr>
                <w:sz w:val="20"/>
                <w:szCs w:val="20"/>
                <w:lang w:val="en"/>
              </w:rPr>
              <w:t>.</w:t>
            </w:r>
          </w:p>
          <w:p w14:paraId="5510203F" w14:textId="77777777" w:rsidR="00D478F9" w:rsidRPr="00AE5655" w:rsidRDefault="00D478F9" w:rsidP="005729D2">
            <w:pPr>
              <w:pStyle w:val="ListParagraph"/>
              <w:numPr>
                <w:ilvl w:val="0"/>
                <w:numId w:val="140"/>
              </w:numPr>
              <w:rPr>
                <w:sz w:val="20"/>
                <w:szCs w:val="20"/>
                <w:lang w:val="en"/>
              </w:rPr>
            </w:pPr>
            <w:r w:rsidRPr="00AE5655">
              <w:rPr>
                <w:sz w:val="20"/>
                <w:szCs w:val="20"/>
                <w:lang w:val="en"/>
              </w:rPr>
              <w:t>Stripe multiple Azure data disks to get increased IO throughput.</w:t>
            </w:r>
          </w:p>
          <w:p w14:paraId="66B1E8B3" w14:textId="77777777" w:rsidR="00D478F9" w:rsidRPr="00AE5655" w:rsidRDefault="00D478F9" w:rsidP="005729D2">
            <w:pPr>
              <w:pStyle w:val="ListParagraph"/>
              <w:numPr>
                <w:ilvl w:val="0"/>
                <w:numId w:val="140"/>
              </w:numPr>
              <w:rPr>
                <w:sz w:val="20"/>
                <w:szCs w:val="20"/>
                <w:lang w:val="en"/>
              </w:rPr>
            </w:pPr>
            <w:r w:rsidRPr="00AE5655">
              <w:rPr>
                <w:sz w:val="20"/>
                <w:szCs w:val="20"/>
                <w:lang w:val="en"/>
              </w:rPr>
              <w:t>Format with documented allocation sizes.</w:t>
            </w:r>
          </w:p>
          <w:p w14:paraId="523916BC" w14:textId="77777777" w:rsidR="00D478F9" w:rsidRPr="00AE5655" w:rsidRDefault="00D478F9" w:rsidP="005729D2">
            <w:pPr>
              <w:pStyle w:val="ListParagraph"/>
              <w:numPr>
                <w:ilvl w:val="0"/>
                <w:numId w:val="140"/>
              </w:numPr>
              <w:rPr>
                <w:sz w:val="20"/>
                <w:szCs w:val="20"/>
                <w:lang w:val="en"/>
              </w:rPr>
            </w:pPr>
            <w:r w:rsidRPr="00AE5655">
              <w:rPr>
                <w:sz w:val="20"/>
                <w:szCs w:val="20"/>
                <w:lang w:val="en"/>
              </w:rPr>
              <w:t>Separate data and log file I/O paths to obtain dedicated IOPs for data and log</w:t>
            </w:r>
            <w:r>
              <w:rPr>
                <w:sz w:val="20"/>
                <w:szCs w:val="20"/>
                <w:lang w:val="en"/>
              </w:rPr>
              <w:t>s</w:t>
            </w:r>
            <w:r w:rsidRPr="00AE5655">
              <w:rPr>
                <w:sz w:val="20"/>
                <w:szCs w:val="20"/>
                <w:lang w:val="en"/>
              </w:rPr>
              <w:t>.</w:t>
            </w:r>
          </w:p>
          <w:p w14:paraId="7329FFDD" w14:textId="77777777" w:rsidR="00D478F9" w:rsidRPr="00AE5655" w:rsidRDefault="00D478F9" w:rsidP="005729D2">
            <w:pPr>
              <w:pStyle w:val="ListParagraph"/>
              <w:numPr>
                <w:ilvl w:val="0"/>
                <w:numId w:val="140"/>
              </w:numPr>
              <w:rPr>
                <w:sz w:val="20"/>
                <w:szCs w:val="20"/>
                <w:lang w:val="en"/>
              </w:rPr>
            </w:pPr>
            <w:r w:rsidRPr="00AE5655">
              <w:rPr>
                <w:sz w:val="20"/>
                <w:szCs w:val="20"/>
                <w:lang w:val="en"/>
              </w:rPr>
              <w:t>Move all data</w:t>
            </w:r>
            <w:r>
              <w:rPr>
                <w:sz w:val="20"/>
                <w:szCs w:val="20"/>
                <w:lang w:val="en"/>
              </w:rPr>
              <w:t>-</w:t>
            </w:r>
            <w:r w:rsidRPr="00AE5655">
              <w:rPr>
                <w:sz w:val="20"/>
                <w:szCs w:val="20"/>
                <w:lang w:val="en"/>
              </w:rPr>
              <w:t>related files to data disks, including system databases.</w:t>
            </w:r>
          </w:p>
          <w:p w14:paraId="661AB1D8" w14:textId="2D49ABC2" w:rsidR="00D478F9" w:rsidRPr="00AE5655" w:rsidRDefault="00D478F9" w:rsidP="005729D2">
            <w:pPr>
              <w:pStyle w:val="ListParagraph"/>
              <w:numPr>
                <w:ilvl w:val="0"/>
                <w:numId w:val="140"/>
              </w:numPr>
              <w:rPr>
                <w:sz w:val="20"/>
                <w:szCs w:val="20"/>
                <w:lang w:val="en"/>
              </w:rPr>
            </w:pPr>
            <w:r w:rsidRPr="00AE5655">
              <w:rPr>
                <w:sz w:val="20"/>
                <w:szCs w:val="20"/>
                <w:lang w:val="en"/>
              </w:rPr>
              <w:t>Back</w:t>
            </w:r>
            <w:r>
              <w:rPr>
                <w:sz w:val="20"/>
                <w:szCs w:val="20"/>
                <w:lang w:val="en"/>
              </w:rPr>
              <w:t xml:space="preserve"> </w:t>
            </w:r>
            <w:r w:rsidRPr="00AE5655">
              <w:rPr>
                <w:sz w:val="20"/>
                <w:szCs w:val="20"/>
                <w:lang w:val="en"/>
              </w:rPr>
              <w:t xml:space="preserve">up directly to </w:t>
            </w:r>
            <w:r>
              <w:rPr>
                <w:sz w:val="20"/>
                <w:szCs w:val="20"/>
                <w:lang w:val="en"/>
              </w:rPr>
              <w:t>B</w:t>
            </w:r>
            <w:r w:rsidRPr="00AE5655">
              <w:rPr>
                <w:sz w:val="20"/>
                <w:szCs w:val="20"/>
                <w:lang w:val="en"/>
              </w:rPr>
              <w:t>lob storage when possible</w:t>
            </w:r>
            <w:r>
              <w:rPr>
                <w:sz w:val="20"/>
                <w:szCs w:val="20"/>
                <w:lang w:val="en"/>
              </w:rPr>
              <w:t>.</w:t>
            </w:r>
          </w:p>
        </w:tc>
      </w:tr>
      <w:tr w:rsidR="00D478F9" w14:paraId="5B57D09B" w14:textId="77777777" w:rsidTr="006E2AFC">
        <w:tc>
          <w:tcPr>
            <w:tcW w:w="0" w:type="auto"/>
          </w:tcPr>
          <w:p w14:paraId="245966E9" w14:textId="7645A7BB" w:rsidR="00D478F9" w:rsidRPr="00E40705" w:rsidRDefault="00D478F9" w:rsidP="00D478F9">
            <w:pPr>
              <w:rPr>
                <w:sz w:val="20"/>
                <w:szCs w:val="20"/>
              </w:rPr>
            </w:pPr>
            <w:r w:rsidRPr="00277804">
              <w:rPr>
                <w:b/>
                <w:sz w:val="20"/>
                <w:szCs w:val="20"/>
              </w:rPr>
              <w:t xml:space="preserve">Scalability and </w:t>
            </w:r>
            <w:r>
              <w:rPr>
                <w:b/>
                <w:sz w:val="20"/>
                <w:szCs w:val="20"/>
              </w:rPr>
              <w:t>s</w:t>
            </w:r>
            <w:r w:rsidRPr="00277804">
              <w:rPr>
                <w:b/>
                <w:sz w:val="20"/>
                <w:szCs w:val="20"/>
              </w:rPr>
              <w:t xml:space="preserve">torage </w:t>
            </w:r>
            <w:r>
              <w:rPr>
                <w:b/>
                <w:sz w:val="20"/>
                <w:szCs w:val="20"/>
              </w:rPr>
              <w:t>t</w:t>
            </w:r>
            <w:r w:rsidRPr="00277804">
              <w:rPr>
                <w:b/>
                <w:sz w:val="20"/>
                <w:szCs w:val="20"/>
              </w:rPr>
              <w:t>hrottling</w:t>
            </w:r>
          </w:p>
        </w:tc>
        <w:tc>
          <w:tcPr>
            <w:tcW w:w="6741" w:type="dxa"/>
          </w:tcPr>
          <w:p w14:paraId="6ED6001E" w14:textId="77777777" w:rsidR="00D478F9" w:rsidRDefault="00D478F9" w:rsidP="00D478F9">
            <w:pPr>
              <w:rPr>
                <w:sz w:val="20"/>
                <w:szCs w:val="20"/>
                <w:lang w:val="en"/>
              </w:rPr>
            </w:pPr>
            <w:r>
              <w:rPr>
                <w:sz w:val="20"/>
                <w:szCs w:val="20"/>
                <w:lang w:val="en"/>
              </w:rPr>
              <w:t xml:space="preserve">Microsoft provides general guidance about the number of virtual hard disks that should reside in a storage account. The following guidance is provided with the assumption that at any point all virtual machines could consume the available IOPS for all assigned disks, which could result in storage account throttling and have an adverse impact on the workload running within the virtual machine. </w:t>
            </w:r>
          </w:p>
          <w:p w14:paraId="22CF7D88" w14:textId="77777777" w:rsidR="00D478F9" w:rsidRDefault="00D478F9" w:rsidP="00D478F9">
            <w:pPr>
              <w:rPr>
                <w:sz w:val="20"/>
                <w:szCs w:val="20"/>
                <w:lang w:val="en"/>
              </w:rPr>
            </w:pPr>
            <w:r>
              <w:rPr>
                <w:sz w:val="20"/>
                <w:szCs w:val="20"/>
                <w:lang w:val="en"/>
              </w:rPr>
              <w:t xml:space="preserve">The following guidance is provided: </w:t>
            </w:r>
          </w:p>
          <w:p w14:paraId="0D0F7CFC" w14:textId="77777777" w:rsidR="00D478F9" w:rsidRPr="002B0896" w:rsidRDefault="00D478F9" w:rsidP="005729D2">
            <w:pPr>
              <w:pStyle w:val="ListParagraph"/>
              <w:numPr>
                <w:ilvl w:val="0"/>
                <w:numId w:val="256"/>
              </w:numPr>
              <w:rPr>
                <w:sz w:val="20"/>
                <w:szCs w:val="20"/>
                <w:lang w:val="en"/>
              </w:rPr>
            </w:pPr>
            <w:r w:rsidRPr="002B0896">
              <w:rPr>
                <w:sz w:val="20"/>
                <w:szCs w:val="20"/>
                <w:lang w:val="en"/>
              </w:rPr>
              <w:t>For virtual machines in the Basic tier, do not place more than</w:t>
            </w:r>
            <w:r>
              <w:rPr>
                <w:sz w:val="20"/>
                <w:szCs w:val="20"/>
                <w:lang w:val="en"/>
              </w:rPr>
              <w:t> 6</w:t>
            </w:r>
            <w:r w:rsidRPr="002B0896">
              <w:rPr>
                <w:sz w:val="20"/>
                <w:szCs w:val="20"/>
                <w:lang w:val="en"/>
              </w:rPr>
              <w:t>6 highly used VHDs in a storage account to avoid the</w:t>
            </w:r>
            <w:r>
              <w:rPr>
                <w:sz w:val="20"/>
                <w:szCs w:val="20"/>
                <w:lang w:val="en"/>
              </w:rPr>
              <w:t> 2</w:t>
            </w:r>
            <w:r w:rsidRPr="002B0896">
              <w:rPr>
                <w:sz w:val="20"/>
                <w:szCs w:val="20"/>
                <w:lang w:val="en"/>
              </w:rPr>
              <w:t xml:space="preserve">0,000 total request rate limit (20,000/300). </w:t>
            </w:r>
          </w:p>
          <w:p w14:paraId="263A9A54" w14:textId="77777777" w:rsidR="00D478F9" w:rsidRDefault="00D478F9" w:rsidP="005729D2">
            <w:pPr>
              <w:pStyle w:val="ListParagraph"/>
              <w:numPr>
                <w:ilvl w:val="0"/>
                <w:numId w:val="256"/>
              </w:numPr>
              <w:rPr>
                <w:sz w:val="20"/>
                <w:szCs w:val="20"/>
                <w:lang w:val="en"/>
              </w:rPr>
            </w:pPr>
            <w:r w:rsidRPr="002B0896">
              <w:rPr>
                <w:sz w:val="20"/>
                <w:szCs w:val="20"/>
                <w:lang w:val="en"/>
              </w:rPr>
              <w:t>For virtual machines in the Standard tier, do not place more than</w:t>
            </w:r>
            <w:r>
              <w:rPr>
                <w:sz w:val="20"/>
                <w:szCs w:val="20"/>
                <w:lang w:val="en"/>
              </w:rPr>
              <w:t> 4</w:t>
            </w:r>
            <w:r w:rsidRPr="002B0896">
              <w:rPr>
                <w:sz w:val="20"/>
                <w:szCs w:val="20"/>
                <w:lang w:val="en"/>
              </w:rPr>
              <w:t xml:space="preserve">0 highly used VHDs in a storage account (20,000/500). </w:t>
            </w:r>
          </w:p>
          <w:p w14:paraId="369DB5E5" w14:textId="313F46A2" w:rsidR="00D478F9" w:rsidRPr="00E40705" w:rsidRDefault="00D478F9" w:rsidP="00D478F9">
            <w:pPr>
              <w:rPr>
                <w:sz w:val="20"/>
                <w:szCs w:val="20"/>
                <w:lang w:val="en"/>
              </w:rPr>
            </w:pPr>
            <w:r w:rsidRPr="00857600">
              <w:rPr>
                <w:sz w:val="20"/>
                <w:szCs w:val="20"/>
                <w:lang w:val="en"/>
              </w:rPr>
              <w:t xml:space="preserve">For more information, please see </w:t>
            </w:r>
            <w:hyperlink r:id="rId220" w:history="1">
              <w:r w:rsidRPr="00857600">
                <w:rPr>
                  <w:rStyle w:val="Hyperlink"/>
                  <w:sz w:val="20"/>
                  <w:szCs w:val="20"/>
                  <w:lang w:val="en"/>
                </w:rPr>
                <w:t>Sizes for Cloud Services</w:t>
              </w:r>
            </w:hyperlink>
            <w:r w:rsidRPr="00857600">
              <w:rPr>
                <w:sz w:val="20"/>
                <w:szCs w:val="20"/>
                <w:lang w:val="en"/>
              </w:rPr>
              <w:t xml:space="preserve">, </w:t>
            </w:r>
            <w:hyperlink r:id="rId221" w:history="1">
              <w:r w:rsidRPr="00857600">
                <w:rPr>
                  <w:rStyle w:val="Hyperlink"/>
                  <w:sz w:val="20"/>
                  <w:szCs w:val="20"/>
                  <w:lang w:val="en"/>
                </w:rPr>
                <w:t>Sizes for Virtual Machines</w:t>
              </w:r>
            </w:hyperlink>
            <w:r>
              <w:rPr>
                <w:rStyle w:val="Hyperlink"/>
                <w:sz w:val="20"/>
                <w:szCs w:val="20"/>
                <w:lang w:val="en"/>
              </w:rPr>
              <w:t>.</w:t>
            </w:r>
          </w:p>
        </w:tc>
      </w:tr>
    </w:tbl>
    <w:p w14:paraId="39344409" w14:textId="72499CCB" w:rsidR="00B92ADE" w:rsidRPr="00313E94" w:rsidRDefault="00B92ADE" w:rsidP="008333C0">
      <w:pPr>
        <w:spacing w:before="0" w:after="160" w:line="259" w:lineRule="auto"/>
      </w:pPr>
    </w:p>
    <w:p w14:paraId="2522EFA7" w14:textId="77777777" w:rsidR="00B92ADE" w:rsidRDefault="00B92ADE" w:rsidP="005729D2">
      <w:pPr>
        <w:pStyle w:val="Heading3Numbered"/>
        <w:numPr>
          <w:ilvl w:val="2"/>
          <w:numId w:val="64"/>
        </w:numPr>
      </w:pPr>
      <w:bookmarkStart w:id="3104" w:name="_Toc418090568"/>
      <w:bookmarkStart w:id="3105" w:name="_Toc418092329"/>
      <w:bookmarkStart w:id="3106" w:name="_Toc418094053"/>
      <w:bookmarkStart w:id="3107" w:name="_Toc418156680"/>
      <w:bookmarkStart w:id="3108" w:name="_Toc418167599"/>
      <w:bookmarkStart w:id="3109" w:name="_Toc418185856"/>
      <w:bookmarkStart w:id="3110" w:name="_Toc422941566"/>
      <w:bookmarkStart w:id="3111" w:name="_Toc423116772"/>
      <w:bookmarkStart w:id="3112" w:name="_Toc423117805"/>
      <w:bookmarkStart w:id="3113" w:name="_Toc423117255"/>
      <w:bookmarkStart w:id="3114" w:name="_Toc431288847"/>
      <w:r>
        <w:t>Virtual Machine Placement</w:t>
      </w:r>
      <w:bookmarkEnd w:id="3104"/>
      <w:bookmarkEnd w:id="3105"/>
      <w:bookmarkEnd w:id="3106"/>
      <w:bookmarkEnd w:id="3107"/>
      <w:bookmarkEnd w:id="3108"/>
      <w:bookmarkEnd w:id="3109"/>
      <w:bookmarkEnd w:id="3110"/>
      <w:bookmarkEnd w:id="3111"/>
      <w:bookmarkEnd w:id="3112"/>
      <w:bookmarkEnd w:id="3113"/>
      <w:bookmarkEnd w:id="3114"/>
    </w:p>
    <w:p w14:paraId="38D28309" w14:textId="2A02011B" w:rsidR="003D7EEB" w:rsidRDefault="00B92ADE" w:rsidP="003D7EEB">
      <w:r>
        <w:t>The</w:t>
      </w:r>
      <w:r w:rsidR="003D7EEB">
        <w:t xml:space="preserve"> placement of virtual machines within a given Azure subscription is critical in multiple ways. It is important to consider the consumers of the services that are associated with each virtual machine. It is equally important to understand the relationships each virtual machine has between the Azure resources these compute instances consume. Azure provides several constructs that support effectively placing virtual machines and associated resources within the Azure infrastructure.</w:t>
      </w:r>
    </w:p>
    <w:p w14:paraId="7EF9B98C" w14:textId="77777777" w:rsidR="003D7EEB" w:rsidRDefault="003D7EEB" w:rsidP="003D7EEB">
      <w:pPr>
        <w:rPr>
          <w:rFonts w:eastAsia="Times New Roman" w:cs="Segoe UI"/>
          <w:color w:val="2A2A2A"/>
        </w:rPr>
      </w:pPr>
      <w:r w:rsidRPr="00E46637">
        <w:rPr>
          <w:rFonts w:eastAsia="Times New Roman"/>
          <w:i/>
          <w:color w:val="2A2A2A"/>
        </w:rPr>
        <w:t xml:space="preserve">Affinity </w:t>
      </w:r>
      <w:r>
        <w:rPr>
          <w:rFonts w:eastAsia="Times New Roman"/>
          <w:i/>
          <w:color w:val="2A2A2A"/>
        </w:rPr>
        <w:t>g</w:t>
      </w:r>
      <w:r w:rsidRPr="00E46637">
        <w:rPr>
          <w:rFonts w:eastAsia="Times New Roman"/>
          <w:i/>
          <w:color w:val="2A2A2A"/>
        </w:rPr>
        <w:t>roups</w:t>
      </w:r>
      <w:r w:rsidRPr="006F75FD">
        <w:rPr>
          <w:rFonts w:eastAsia="Times New Roman" w:cs="Segoe UI"/>
          <w:color w:val="2A2A2A"/>
        </w:rPr>
        <w:t> tell the Fabric Controller</w:t>
      </w:r>
      <w:r>
        <w:rPr>
          <w:rFonts w:eastAsia="Times New Roman" w:cs="Segoe UI"/>
          <w:color w:val="2A2A2A"/>
        </w:rPr>
        <w:t xml:space="preserve"> to logically group dependent items</w:t>
      </w:r>
      <w:r w:rsidRPr="00957D95">
        <w:rPr>
          <w:rFonts w:eastAsia="Times New Roman" w:cs="Segoe UI"/>
          <w:color w:val="2A2A2A"/>
        </w:rPr>
        <w:t xml:space="preserve"> </w:t>
      </w:r>
      <w:r>
        <w:rPr>
          <w:rFonts w:eastAsia="Times New Roman" w:cs="Segoe UI"/>
          <w:color w:val="2A2A2A"/>
        </w:rPr>
        <w:t>together, such as the compute and s</w:t>
      </w:r>
      <w:r w:rsidRPr="006F75FD">
        <w:rPr>
          <w:rFonts w:eastAsia="Times New Roman" w:cs="Segoe UI"/>
          <w:color w:val="2A2A2A"/>
        </w:rPr>
        <w:t>torage</w:t>
      </w:r>
      <w:r>
        <w:rPr>
          <w:rFonts w:eastAsia="Times New Roman" w:cs="Segoe UI"/>
          <w:color w:val="2A2A2A"/>
        </w:rPr>
        <w:t xml:space="preserve"> of a given virtual machine. W</w:t>
      </w:r>
      <w:r w:rsidRPr="006F75FD">
        <w:rPr>
          <w:rFonts w:eastAsia="Times New Roman" w:cs="Segoe UI"/>
          <w:color w:val="2A2A2A"/>
        </w:rPr>
        <w:t xml:space="preserve">hen the Fabric Controller is searching for the best suited </w:t>
      </w:r>
      <w:r>
        <w:rPr>
          <w:rFonts w:eastAsia="Times New Roman" w:cs="Segoe UI"/>
          <w:color w:val="2A2A2A"/>
        </w:rPr>
        <w:t>c</w:t>
      </w:r>
      <w:r w:rsidRPr="006F75FD">
        <w:rPr>
          <w:rFonts w:eastAsia="Times New Roman" w:cs="Segoe UI"/>
          <w:color w:val="2A2A2A"/>
        </w:rPr>
        <w:t>ontainer</w:t>
      </w:r>
      <w:r>
        <w:rPr>
          <w:rFonts w:eastAsia="Times New Roman" w:cs="Segoe UI"/>
          <w:color w:val="2A2A2A"/>
        </w:rPr>
        <w:t>,</w:t>
      </w:r>
      <w:r w:rsidRPr="006F75FD">
        <w:rPr>
          <w:rFonts w:eastAsia="Times New Roman" w:cs="Segoe UI"/>
          <w:color w:val="2A2A2A"/>
        </w:rPr>
        <w:t xml:space="preserve"> it chooses where it can deploy these two elements in the same </w:t>
      </w:r>
      <w:r>
        <w:rPr>
          <w:rFonts w:eastAsia="Times New Roman" w:cs="Segoe UI"/>
          <w:color w:val="2A2A2A"/>
        </w:rPr>
        <w:t>c</w:t>
      </w:r>
      <w:r w:rsidRPr="006F75FD">
        <w:rPr>
          <w:rFonts w:eastAsia="Times New Roman" w:cs="Segoe UI"/>
          <w:color w:val="2A2A2A"/>
        </w:rPr>
        <w:t>luster</w:t>
      </w:r>
      <w:r w:rsidRPr="0056731F">
        <w:rPr>
          <w:rFonts w:eastAsia="Times New Roman" w:cs="Segoe UI"/>
          <w:color w:val="2A2A2A"/>
        </w:rPr>
        <w:t>, thereby reducing latency and i</w:t>
      </w:r>
      <w:r w:rsidRPr="00230EE6">
        <w:rPr>
          <w:rFonts w:eastAsia="Times New Roman" w:cs="Segoe UI"/>
          <w:color w:val="2A2A2A"/>
        </w:rPr>
        <w:t>ncreasing performance.</w:t>
      </w:r>
      <w:r>
        <w:rPr>
          <w:rFonts w:eastAsia="Times New Roman" w:cs="Segoe UI"/>
          <w:color w:val="2A2A2A"/>
        </w:rPr>
        <w:t xml:space="preserve"> </w:t>
      </w:r>
    </w:p>
    <w:p w14:paraId="4D50226D" w14:textId="77777777" w:rsidR="003D7EEB" w:rsidRPr="00230EE6" w:rsidRDefault="003D7EEB" w:rsidP="003D7EEB">
      <w:pPr>
        <w:rPr>
          <w:rFonts w:eastAsia="Times New Roman" w:cs="Segoe UI"/>
          <w:color w:val="2A2A2A"/>
        </w:rPr>
      </w:pPr>
      <w:r w:rsidRPr="00230EE6">
        <w:rPr>
          <w:rFonts w:eastAsia="Times New Roman" w:cs="Segoe UI"/>
          <w:color w:val="2A2A2A"/>
        </w:rPr>
        <w:t>Affini</w:t>
      </w:r>
      <w:r>
        <w:rPr>
          <w:rFonts w:eastAsia="Times New Roman" w:cs="Segoe UI"/>
          <w:color w:val="2A2A2A"/>
        </w:rPr>
        <w:t>ty groups provide the following:</w:t>
      </w:r>
    </w:p>
    <w:p w14:paraId="16457F19" w14:textId="77777777" w:rsidR="003D7EEB" w:rsidRPr="006F75FD" w:rsidRDefault="003D7EEB" w:rsidP="005729D2">
      <w:pPr>
        <w:pStyle w:val="ListParagraph"/>
        <w:numPr>
          <w:ilvl w:val="0"/>
          <w:numId w:val="141"/>
        </w:numPr>
      </w:pPr>
      <w:r w:rsidRPr="006F75FD">
        <w:rPr>
          <w:b/>
        </w:rPr>
        <w:t>Aggregation</w:t>
      </w:r>
      <w:r>
        <w:t xml:space="preserve"> – Affinity groups aggregate</w:t>
      </w:r>
      <w:r w:rsidRPr="006F75FD">
        <w:t xml:space="preserve"> </w:t>
      </w:r>
      <w:r>
        <w:t>items, such as compute and s</w:t>
      </w:r>
      <w:r w:rsidRPr="006F75FD">
        <w:t>torage services</w:t>
      </w:r>
      <w:r>
        <w:t>,</w:t>
      </w:r>
      <w:r w:rsidRPr="006F75FD">
        <w:t xml:space="preserve"> and provide the </w:t>
      </w:r>
      <w:r>
        <w:t xml:space="preserve">Azure </w:t>
      </w:r>
      <w:r w:rsidRPr="006F75FD">
        <w:t>Fabric Controller the information needed for them to be kept in the same</w:t>
      </w:r>
      <w:r>
        <w:t xml:space="preserve"> Azure</w:t>
      </w:r>
      <w:r w:rsidRPr="006F75FD">
        <w:t xml:space="preserve"> </w:t>
      </w:r>
      <w:r>
        <w:t>datacenter</w:t>
      </w:r>
      <w:r w:rsidRPr="006F75FD">
        <w:t xml:space="preserve"> and </w:t>
      </w:r>
      <w:r>
        <w:t>cluster</w:t>
      </w:r>
      <w:r w:rsidRPr="006F75FD">
        <w:t>.</w:t>
      </w:r>
    </w:p>
    <w:p w14:paraId="0329B136" w14:textId="77777777" w:rsidR="003D7EEB" w:rsidRPr="006F75FD" w:rsidRDefault="003D7EEB" w:rsidP="005729D2">
      <w:pPr>
        <w:pStyle w:val="ListParagraph"/>
        <w:numPr>
          <w:ilvl w:val="0"/>
          <w:numId w:val="141"/>
        </w:numPr>
      </w:pPr>
      <w:r w:rsidRPr="006F75FD">
        <w:rPr>
          <w:b/>
        </w:rPr>
        <w:t>Reduc</w:t>
      </w:r>
      <w:r>
        <w:rPr>
          <w:b/>
        </w:rPr>
        <w:t>e</w:t>
      </w:r>
      <w:r w:rsidRPr="006F75FD">
        <w:rPr>
          <w:b/>
        </w:rPr>
        <w:t xml:space="preserve"> </w:t>
      </w:r>
      <w:r>
        <w:rPr>
          <w:b/>
        </w:rPr>
        <w:t>l</w:t>
      </w:r>
      <w:r w:rsidRPr="006F75FD">
        <w:rPr>
          <w:b/>
        </w:rPr>
        <w:t>atency</w:t>
      </w:r>
      <w:r>
        <w:t xml:space="preserve"> -</w:t>
      </w:r>
      <w:r w:rsidRPr="006F75FD">
        <w:t> </w:t>
      </w:r>
      <w:r>
        <w:t>Affinity groups</w:t>
      </w:r>
      <w:r w:rsidRPr="006F75FD">
        <w:t xml:space="preserve"> provid</w:t>
      </w:r>
      <w:r>
        <w:t>e</w:t>
      </w:r>
      <w:r w:rsidRPr="006F75FD">
        <w:t xml:space="preserve"> information to</w:t>
      </w:r>
      <w:r>
        <w:t xml:space="preserve"> the Fabric Controller about resources</w:t>
      </w:r>
      <w:r w:rsidRPr="006F75FD">
        <w:t xml:space="preserve"> </w:t>
      </w:r>
      <w:r>
        <w:t xml:space="preserve">that </w:t>
      </w:r>
      <w:r w:rsidRPr="006F75FD">
        <w:t>should be kept together</w:t>
      </w:r>
      <w:r>
        <w:t xml:space="preserve">, and the result is reduced </w:t>
      </w:r>
      <w:r w:rsidRPr="006F75FD">
        <w:t xml:space="preserve">latency </w:t>
      </w:r>
      <w:r>
        <w:t>between components</w:t>
      </w:r>
      <w:r w:rsidRPr="006F75FD">
        <w:t>.</w:t>
      </w:r>
    </w:p>
    <w:p w14:paraId="718010E6" w14:textId="77777777" w:rsidR="003D7EEB" w:rsidRDefault="003D7EEB" w:rsidP="005729D2">
      <w:pPr>
        <w:pStyle w:val="ListParagraph"/>
        <w:numPr>
          <w:ilvl w:val="0"/>
          <w:numId w:val="141"/>
        </w:numPr>
      </w:pPr>
      <w:r w:rsidRPr="006F75FD">
        <w:rPr>
          <w:b/>
        </w:rPr>
        <w:t>Lower costs</w:t>
      </w:r>
      <w:r>
        <w:t xml:space="preserve"> –</w:t>
      </w:r>
      <w:r w:rsidRPr="006F75FD">
        <w:t> </w:t>
      </w:r>
      <w:r>
        <w:t>When servers are assigned to</w:t>
      </w:r>
      <w:r w:rsidRPr="006F75FD">
        <w:t xml:space="preserve"> </w:t>
      </w:r>
      <w:r>
        <w:t>a</w:t>
      </w:r>
      <w:r w:rsidRPr="006F75FD">
        <w:t xml:space="preserve">ffinity </w:t>
      </w:r>
      <w:r>
        <w:t>g</w:t>
      </w:r>
      <w:r w:rsidRPr="006F75FD">
        <w:t>roups</w:t>
      </w:r>
      <w:r>
        <w:t>, these</w:t>
      </w:r>
      <w:r w:rsidRPr="006F75FD">
        <w:t xml:space="preserve"> services are placed in the same cluster</w:t>
      </w:r>
      <w:r>
        <w:t>, reducing intercommunication between resources and potentially reducing costs associated with interconnectivity</w:t>
      </w:r>
      <w:r w:rsidRPr="006F75FD">
        <w:t>.</w:t>
      </w:r>
    </w:p>
    <w:p w14:paraId="59152ECF" w14:textId="77777777" w:rsidR="003D7EEB" w:rsidRDefault="003D7EEB" w:rsidP="003D7EEB">
      <w:pPr>
        <w:rPr>
          <w:rFonts w:eastAsia="Times New Roman"/>
        </w:rPr>
      </w:pPr>
      <w:r>
        <w:rPr>
          <w:rFonts w:eastAsia="Times New Roman"/>
          <w:bCs/>
        </w:rPr>
        <w:t xml:space="preserve">A </w:t>
      </w:r>
      <w:r w:rsidRPr="00E46637">
        <w:rPr>
          <w:rFonts w:eastAsia="Times New Roman"/>
          <w:i/>
          <w:iCs/>
        </w:rPr>
        <w:t>Resource Group</w:t>
      </w:r>
      <w:r w:rsidRPr="006F75FD">
        <w:rPr>
          <w:rFonts w:eastAsia="Times New Roman"/>
          <w:iCs/>
        </w:rPr>
        <w:t xml:space="preserve"> is a unit of management</w:t>
      </w:r>
      <w:r>
        <w:rPr>
          <w:rFonts w:eastAsia="Times New Roman"/>
        </w:rPr>
        <w:t xml:space="preserve"> </w:t>
      </w:r>
      <w:r w:rsidRPr="006F75FD">
        <w:rPr>
          <w:rFonts w:eastAsia="Times New Roman"/>
        </w:rPr>
        <w:t xml:space="preserve">for operations </w:t>
      </w:r>
      <w:r>
        <w:rPr>
          <w:rFonts w:eastAsia="Times New Roman"/>
        </w:rPr>
        <w:t>such as</w:t>
      </w:r>
      <w:r w:rsidRPr="006F75FD">
        <w:rPr>
          <w:rFonts w:eastAsia="Times New Roman"/>
        </w:rPr>
        <w:t xml:space="preserve"> deployments, updates, </w:t>
      </w:r>
      <w:r>
        <w:rPr>
          <w:rFonts w:eastAsia="Times New Roman"/>
        </w:rPr>
        <w:t>and standard lifecycle operations across a number of different Azure services, including virtual machines. A resource group provides:</w:t>
      </w:r>
    </w:p>
    <w:p w14:paraId="1CB1914B" w14:textId="77777777" w:rsidR="003D7EEB" w:rsidRPr="0051683F" w:rsidRDefault="003D7EEB" w:rsidP="005729D2">
      <w:pPr>
        <w:pStyle w:val="ListParagraph"/>
        <w:numPr>
          <w:ilvl w:val="0"/>
          <w:numId w:val="257"/>
        </w:numPr>
        <w:rPr>
          <w:rFonts w:eastAsia="Times New Roman"/>
        </w:rPr>
      </w:pPr>
      <w:r>
        <w:rPr>
          <w:rFonts w:eastAsia="Times New Roman"/>
        </w:rPr>
        <w:t>A</w:t>
      </w:r>
      <w:r w:rsidRPr="0051683F">
        <w:rPr>
          <w:rFonts w:eastAsia="Times New Roman"/>
        </w:rPr>
        <w:t xml:space="preserve"> single grouping of resources (for example, metering, billing, or quota management) </w:t>
      </w:r>
    </w:p>
    <w:p w14:paraId="631FB8C5" w14:textId="77777777" w:rsidR="003D7EEB" w:rsidRPr="0051683F" w:rsidRDefault="003D7EEB" w:rsidP="005729D2">
      <w:pPr>
        <w:pStyle w:val="ListParagraph"/>
        <w:numPr>
          <w:ilvl w:val="0"/>
          <w:numId w:val="257"/>
        </w:numPr>
        <w:rPr>
          <w:rFonts w:eastAsia="Times New Roman"/>
        </w:rPr>
      </w:pPr>
      <w:r>
        <w:rPr>
          <w:rFonts w:eastAsia="Times New Roman"/>
        </w:rPr>
        <w:t>L</w:t>
      </w:r>
      <w:r w:rsidRPr="0051683F">
        <w:rPr>
          <w:rFonts w:eastAsia="Times New Roman"/>
        </w:rPr>
        <w:t xml:space="preserve">ifecycle management (deployment, update, delete, status) </w:t>
      </w:r>
    </w:p>
    <w:p w14:paraId="53004531" w14:textId="77777777" w:rsidR="003D7EEB" w:rsidRPr="0051683F" w:rsidRDefault="003D7EEB" w:rsidP="005729D2">
      <w:pPr>
        <w:pStyle w:val="ListParagraph"/>
        <w:numPr>
          <w:ilvl w:val="0"/>
          <w:numId w:val="257"/>
        </w:numPr>
        <w:rPr>
          <w:rFonts w:eastAsia="Times New Roman"/>
        </w:rPr>
      </w:pPr>
      <w:r>
        <w:rPr>
          <w:rFonts w:eastAsia="Times New Roman"/>
        </w:rPr>
        <w:t xml:space="preserve">The ability to </w:t>
      </w:r>
      <w:r w:rsidRPr="0051683F">
        <w:rPr>
          <w:rFonts w:eastAsia="Times New Roman"/>
        </w:rPr>
        <w:t xml:space="preserve">assign administrative control (RBAC permissions) </w:t>
      </w:r>
    </w:p>
    <w:p w14:paraId="4C6B4AA8" w14:textId="09B9E91E" w:rsidR="003D7EEB" w:rsidRDefault="003D7EEB" w:rsidP="003D7EEB">
      <w:pPr>
        <w:rPr>
          <w:rFonts w:eastAsia="Times New Roman"/>
        </w:rPr>
      </w:pPr>
      <w:r w:rsidRPr="00E46637">
        <w:rPr>
          <w:rFonts w:eastAsia="Times New Roman"/>
          <w:i/>
        </w:rPr>
        <w:t>Resource Manager</w:t>
      </w:r>
      <w:r>
        <w:rPr>
          <w:rFonts w:eastAsia="Times New Roman"/>
        </w:rPr>
        <w:t xml:space="preserve"> </w:t>
      </w:r>
      <w:r w:rsidRPr="00DE251A">
        <w:rPr>
          <w:rFonts w:eastAsia="Times New Roman"/>
        </w:rPr>
        <w:t>enables the creation of reusable deployment templates that declaratively describe the resources that make up your application (for example</w:t>
      </w:r>
      <w:r>
        <w:rPr>
          <w:rFonts w:eastAsia="Times New Roman"/>
        </w:rPr>
        <w:t>,</w:t>
      </w:r>
      <w:r w:rsidRPr="00DE251A">
        <w:rPr>
          <w:rFonts w:eastAsia="Times New Roman"/>
        </w:rPr>
        <w:t xml:space="preserve"> a website and a </w:t>
      </w:r>
      <w:r>
        <w:rPr>
          <w:rFonts w:eastAsia="Times New Roman"/>
        </w:rPr>
        <w:t>SQL Database</w:t>
      </w:r>
      <w:r w:rsidRPr="00DE251A">
        <w:rPr>
          <w:rFonts w:eastAsia="Times New Roman"/>
        </w:rPr>
        <w:t>). In essence</w:t>
      </w:r>
      <w:r>
        <w:rPr>
          <w:rFonts w:eastAsia="Times New Roman"/>
        </w:rPr>
        <w:t>,</w:t>
      </w:r>
      <w:r w:rsidRPr="00DE251A">
        <w:rPr>
          <w:rFonts w:eastAsia="Times New Roman"/>
        </w:rPr>
        <w:t xml:space="preserve"> it provides an environment to handle</w:t>
      </w:r>
      <w:r>
        <w:rPr>
          <w:rFonts w:eastAsia="Times New Roman"/>
        </w:rPr>
        <w:t xml:space="preserve"> the</w:t>
      </w:r>
      <w:r w:rsidRPr="00DE251A">
        <w:rPr>
          <w:rFonts w:eastAsia="Times New Roman"/>
        </w:rPr>
        <w:t xml:space="preserve"> infrastructure </w:t>
      </w:r>
      <w:r>
        <w:rPr>
          <w:rFonts w:eastAsia="Times New Roman"/>
        </w:rPr>
        <w:t>and</w:t>
      </w:r>
      <w:r w:rsidRPr="00DE251A">
        <w:rPr>
          <w:rFonts w:eastAsia="Times New Roman"/>
        </w:rPr>
        <w:t xml:space="preserve"> configuration information as code.</w:t>
      </w:r>
      <w:r>
        <w:rPr>
          <w:rFonts w:eastAsia="Times New Roman"/>
        </w:rPr>
        <w:t xml:space="preserve"> </w:t>
      </w:r>
    </w:p>
    <w:p w14:paraId="0A0935F2" w14:textId="77777777" w:rsidR="003D7EEB" w:rsidRDefault="003D7EEB" w:rsidP="003D7EEB">
      <w:pPr>
        <w:rPr>
          <w:rFonts w:eastAsia="Times New Roman"/>
        </w:rPr>
      </w:pPr>
      <w:r>
        <w:rPr>
          <w:rFonts w:eastAsia="Times New Roman"/>
        </w:rPr>
        <w:t xml:space="preserve">Resource Manager provides the following: </w:t>
      </w:r>
    </w:p>
    <w:p w14:paraId="1E672E80" w14:textId="77777777" w:rsidR="003D7EEB" w:rsidRPr="00E46637" w:rsidRDefault="003D7EEB" w:rsidP="005729D2">
      <w:pPr>
        <w:pStyle w:val="ListParagraph"/>
        <w:numPr>
          <w:ilvl w:val="0"/>
          <w:numId w:val="142"/>
        </w:numPr>
        <w:rPr>
          <w:rFonts w:eastAsia="Times New Roman"/>
        </w:rPr>
      </w:pPr>
      <w:r>
        <w:rPr>
          <w:rFonts w:eastAsia="Times New Roman"/>
          <w:b/>
        </w:rPr>
        <w:t>An a</w:t>
      </w:r>
      <w:r w:rsidRPr="00E46637">
        <w:rPr>
          <w:rFonts w:eastAsia="Times New Roman"/>
          <w:b/>
        </w:rPr>
        <w:t xml:space="preserve">pplication </w:t>
      </w:r>
      <w:r>
        <w:rPr>
          <w:rFonts w:eastAsia="Times New Roman"/>
          <w:b/>
        </w:rPr>
        <w:t>l</w:t>
      </w:r>
      <w:r w:rsidRPr="00E46637">
        <w:rPr>
          <w:rFonts w:eastAsia="Times New Roman"/>
          <w:b/>
        </w:rPr>
        <w:t xml:space="preserve">ifecycle </w:t>
      </w:r>
      <w:r>
        <w:rPr>
          <w:rFonts w:eastAsia="Times New Roman"/>
          <w:b/>
        </w:rPr>
        <w:t>c</w:t>
      </w:r>
      <w:r w:rsidRPr="00E46637">
        <w:rPr>
          <w:rFonts w:eastAsia="Times New Roman"/>
          <w:b/>
        </w:rPr>
        <w:t>ontainer</w:t>
      </w:r>
      <w:r>
        <w:rPr>
          <w:rFonts w:eastAsia="Times New Roman"/>
          <w:b/>
        </w:rPr>
        <w:t xml:space="preserve"> </w:t>
      </w:r>
      <w:r w:rsidRPr="0051683F">
        <w:rPr>
          <w:rFonts w:eastAsia="Times New Roman"/>
        </w:rPr>
        <w:t>-</w:t>
      </w:r>
      <w:r>
        <w:rPr>
          <w:rFonts w:eastAsia="Times New Roman"/>
        </w:rPr>
        <w:t xml:space="preserve"> </w:t>
      </w:r>
      <w:r w:rsidRPr="00E46637">
        <w:rPr>
          <w:rFonts w:eastAsia="Times New Roman"/>
        </w:rPr>
        <w:t xml:space="preserve">Deploy and manage your application as you see fit. </w:t>
      </w:r>
    </w:p>
    <w:p w14:paraId="776FB711" w14:textId="77777777" w:rsidR="003D7EEB" w:rsidRPr="00E46637" w:rsidRDefault="003D7EEB" w:rsidP="005729D2">
      <w:pPr>
        <w:pStyle w:val="ListParagraph"/>
        <w:numPr>
          <w:ilvl w:val="0"/>
          <w:numId w:val="142"/>
        </w:numPr>
        <w:rPr>
          <w:rFonts w:eastAsia="Times New Roman"/>
        </w:rPr>
      </w:pPr>
      <w:r>
        <w:rPr>
          <w:rFonts w:eastAsia="Times New Roman"/>
          <w:b/>
        </w:rPr>
        <w:t>A d</w:t>
      </w:r>
      <w:r w:rsidRPr="00E46637">
        <w:rPr>
          <w:rFonts w:eastAsia="Times New Roman"/>
          <w:b/>
        </w:rPr>
        <w:t xml:space="preserve">eclarative solution for </w:t>
      </w:r>
      <w:r>
        <w:rPr>
          <w:rFonts w:eastAsia="Times New Roman"/>
          <w:b/>
        </w:rPr>
        <w:t>d</w:t>
      </w:r>
      <w:r w:rsidRPr="00E46637">
        <w:rPr>
          <w:rFonts w:eastAsia="Times New Roman"/>
          <w:b/>
        </w:rPr>
        <w:t xml:space="preserve">eployment and </w:t>
      </w:r>
      <w:r>
        <w:rPr>
          <w:rFonts w:eastAsia="Times New Roman"/>
          <w:b/>
        </w:rPr>
        <w:t>c</w:t>
      </w:r>
      <w:r w:rsidRPr="00E46637">
        <w:rPr>
          <w:rFonts w:eastAsia="Times New Roman"/>
          <w:b/>
        </w:rPr>
        <w:t>onfiguration</w:t>
      </w:r>
      <w:r>
        <w:rPr>
          <w:rFonts w:eastAsia="Times New Roman"/>
          <w:b/>
        </w:rPr>
        <w:t xml:space="preserve"> </w:t>
      </w:r>
      <w:r w:rsidRPr="0051683F">
        <w:rPr>
          <w:rFonts w:eastAsia="Times New Roman"/>
        </w:rPr>
        <w:t>-</w:t>
      </w:r>
      <w:r w:rsidRPr="00E46637">
        <w:rPr>
          <w:rFonts w:eastAsia="Times New Roman"/>
        </w:rPr>
        <w:t xml:space="preserve"> </w:t>
      </w:r>
      <w:r>
        <w:rPr>
          <w:rFonts w:eastAsia="Times New Roman"/>
        </w:rPr>
        <w:t>D</w:t>
      </w:r>
      <w:r w:rsidRPr="00E46637">
        <w:rPr>
          <w:rFonts w:eastAsia="Times New Roman"/>
        </w:rPr>
        <w:t>eploy multiple instantiations of your application</w:t>
      </w:r>
      <w:r>
        <w:rPr>
          <w:rFonts w:eastAsia="Times New Roman"/>
        </w:rPr>
        <w:t xml:space="preserve"> with a single click</w:t>
      </w:r>
      <w:r w:rsidRPr="00E46637">
        <w:rPr>
          <w:rFonts w:eastAsia="Times New Roman"/>
        </w:rPr>
        <w:t xml:space="preserve">. </w:t>
      </w:r>
    </w:p>
    <w:p w14:paraId="6D408AD8" w14:textId="5736ADE8" w:rsidR="00B92ADE" w:rsidRPr="00E46637" w:rsidRDefault="003D7EEB" w:rsidP="003D7EEB">
      <w:pPr>
        <w:rPr>
          <w:rFonts w:eastAsia="Times New Roman"/>
        </w:rPr>
      </w:pPr>
      <w:r>
        <w:rPr>
          <w:rFonts w:eastAsia="Times New Roman"/>
          <w:b/>
        </w:rPr>
        <w:t>A c</w:t>
      </w:r>
      <w:r w:rsidRPr="00E46637">
        <w:rPr>
          <w:rFonts w:eastAsia="Times New Roman"/>
          <w:b/>
        </w:rPr>
        <w:t xml:space="preserve">onsistent </w:t>
      </w:r>
      <w:r>
        <w:rPr>
          <w:rFonts w:eastAsia="Times New Roman"/>
          <w:b/>
        </w:rPr>
        <w:t>m</w:t>
      </w:r>
      <w:r w:rsidRPr="00E46637">
        <w:rPr>
          <w:rFonts w:eastAsia="Times New Roman"/>
          <w:b/>
        </w:rPr>
        <w:t xml:space="preserve">anagement </w:t>
      </w:r>
      <w:r>
        <w:rPr>
          <w:rFonts w:eastAsia="Times New Roman"/>
          <w:b/>
        </w:rPr>
        <w:t>l</w:t>
      </w:r>
      <w:r w:rsidRPr="00E46637">
        <w:rPr>
          <w:rFonts w:eastAsia="Times New Roman"/>
          <w:b/>
        </w:rPr>
        <w:t>ayer</w:t>
      </w:r>
      <w:r>
        <w:rPr>
          <w:rFonts w:eastAsia="Times New Roman"/>
          <w:b/>
        </w:rPr>
        <w:t xml:space="preserve"> </w:t>
      </w:r>
      <w:r w:rsidRPr="0051683F">
        <w:rPr>
          <w:rFonts w:eastAsia="Times New Roman"/>
        </w:rPr>
        <w:t>-</w:t>
      </w:r>
      <w:r w:rsidRPr="00E46637">
        <w:rPr>
          <w:rFonts w:eastAsia="Times New Roman"/>
        </w:rPr>
        <w:t xml:space="preserve"> </w:t>
      </w:r>
      <w:r>
        <w:rPr>
          <w:rFonts w:eastAsia="Times New Roman"/>
        </w:rPr>
        <w:t>Get t</w:t>
      </w:r>
      <w:r w:rsidRPr="00E46637">
        <w:rPr>
          <w:rFonts w:eastAsia="Times New Roman"/>
        </w:rPr>
        <w:t xml:space="preserve">he same experience of deployment and management whether you </w:t>
      </w:r>
      <w:r>
        <w:rPr>
          <w:rFonts w:eastAsia="Times New Roman"/>
        </w:rPr>
        <w:t>work</w:t>
      </w:r>
      <w:r w:rsidRPr="00E46637">
        <w:rPr>
          <w:rFonts w:eastAsia="Times New Roman"/>
        </w:rPr>
        <w:t xml:space="preserve"> from the </w:t>
      </w:r>
      <w:r>
        <w:rPr>
          <w:rFonts w:eastAsia="Times New Roman"/>
        </w:rPr>
        <w:t>p</w:t>
      </w:r>
      <w:r w:rsidRPr="00E46637">
        <w:rPr>
          <w:rFonts w:eastAsia="Times New Roman"/>
        </w:rPr>
        <w:t xml:space="preserve">ortal, </w:t>
      </w:r>
      <w:r>
        <w:rPr>
          <w:rFonts w:eastAsia="Times New Roman"/>
        </w:rPr>
        <w:t>c</w:t>
      </w:r>
      <w:r w:rsidRPr="00E46637">
        <w:rPr>
          <w:rFonts w:eastAsia="Times New Roman"/>
        </w:rPr>
        <w:t xml:space="preserve">ommand </w:t>
      </w:r>
      <w:r>
        <w:rPr>
          <w:rFonts w:eastAsia="Times New Roman"/>
        </w:rPr>
        <w:t>l</w:t>
      </w:r>
      <w:r w:rsidRPr="00E46637">
        <w:rPr>
          <w:rFonts w:eastAsia="Times New Roman"/>
        </w:rPr>
        <w:t>ine</w:t>
      </w:r>
      <w:r>
        <w:rPr>
          <w:rFonts w:eastAsia="Times New Roman"/>
        </w:rPr>
        <w:t>,</w:t>
      </w:r>
      <w:r w:rsidRPr="00E46637">
        <w:rPr>
          <w:rFonts w:eastAsia="Times New Roman"/>
        </w:rPr>
        <w:t xml:space="preserve"> or </w:t>
      </w:r>
      <w:r>
        <w:rPr>
          <w:rFonts w:eastAsia="Times New Roman"/>
        </w:rPr>
        <w:t xml:space="preserve">tools in </w:t>
      </w:r>
      <w:r w:rsidRPr="00E46637">
        <w:rPr>
          <w:rFonts w:eastAsia="Times New Roman"/>
        </w:rPr>
        <w:t>Azure.</w:t>
      </w:r>
      <w:r w:rsidR="00B92ADE" w:rsidRPr="00E46637">
        <w:rPr>
          <w:rFonts w:eastAsia="Times New Roman"/>
        </w:rPr>
        <w:t xml:space="preserve"> </w:t>
      </w:r>
    </w:p>
    <w:p w14:paraId="601B823E" w14:textId="77777777" w:rsidR="00B92ADE" w:rsidRDefault="00B92ADE" w:rsidP="00B92ADE"/>
    <w:tbl>
      <w:tblPr>
        <w:tblStyle w:val="PlainTable11"/>
        <w:tblW w:w="0" w:type="auto"/>
        <w:tblLook w:val="04A0" w:firstRow="1" w:lastRow="0" w:firstColumn="1" w:lastColumn="0" w:noHBand="0" w:noVBand="1"/>
      </w:tblPr>
      <w:tblGrid>
        <w:gridCol w:w="2477"/>
        <w:gridCol w:w="6873"/>
      </w:tblGrid>
      <w:tr w:rsidR="00B92ADE" w14:paraId="01863FA1" w14:textId="77777777" w:rsidTr="003D7E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808080" w:themeFill="background1" w:themeFillShade="80"/>
          </w:tcPr>
          <w:p w14:paraId="1A607571" w14:textId="77777777" w:rsidR="00B92ADE" w:rsidRPr="00F47607" w:rsidRDefault="00B92ADE" w:rsidP="00B92ADE">
            <w:pPr>
              <w:spacing w:line="240" w:lineRule="auto"/>
              <w:rPr>
                <w:color w:val="FFFFFF"/>
              </w:rPr>
            </w:pPr>
            <w:r>
              <w:rPr>
                <w:color w:val="FFFFFF"/>
              </w:rPr>
              <w:t>Feature References</w:t>
            </w:r>
          </w:p>
        </w:tc>
      </w:tr>
      <w:tr w:rsidR="003D7EEB" w14:paraId="1A9BECC7" w14:textId="77777777" w:rsidTr="006E2A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7" w:type="dxa"/>
          </w:tcPr>
          <w:p w14:paraId="1643B338" w14:textId="25FFBBAC" w:rsidR="003D7EEB" w:rsidRPr="00927F75" w:rsidRDefault="003D7EEB" w:rsidP="003D7EEB">
            <w:pPr>
              <w:spacing w:line="240" w:lineRule="auto"/>
              <w:rPr>
                <w:sz w:val="20"/>
                <w:szCs w:val="18"/>
              </w:rPr>
            </w:pPr>
            <w:r>
              <w:rPr>
                <w:sz w:val="20"/>
                <w:szCs w:val="18"/>
              </w:rPr>
              <w:t>Importance of Azure Affinity Groups</w:t>
            </w:r>
          </w:p>
        </w:tc>
        <w:tc>
          <w:tcPr>
            <w:tcW w:w="6873" w:type="dxa"/>
          </w:tcPr>
          <w:p w14:paraId="3E3F39DF" w14:textId="5AC2FFF2" w:rsidR="003D7EEB" w:rsidRPr="00927F75" w:rsidRDefault="00872E47" w:rsidP="003D7EEB">
            <w:pPr>
              <w:cnfStyle w:val="000000100000" w:firstRow="0" w:lastRow="0" w:firstColumn="0" w:lastColumn="0" w:oddVBand="0" w:evenVBand="0" w:oddHBand="1" w:evenHBand="0" w:firstRowFirstColumn="0" w:firstRowLastColumn="0" w:lastRowFirstColumn="0" w:lastRowLastColumn="0"/>
              <w:rPr>
                <w:sz w:val="20"/>
                <w:szCs w:val="18"/>
              </w:rPr>
            </w:pPr>
            <w:hyperlink r:id="rId222" w:history="1">
              <w:r w:rsidR="003D7EEB" w:rsidRPr="00C1794F">
                <w:rPr>
                  <w:rStyle w:val="Hyperlink"/>
                  <w:sz w:val="20"/>
                  <w:szCs w:val="18"/>
                </w:rPr>
                <w:t>http://social.technet.microsoft.com/wiki/contents/articles/7916.importance-of-windows-azure-affinity-groups.aspx</w:t>
              </w:r>
            </w:hyperlink>
            <w:r w:rsidR="003D7EEB">
              <w:rPr>
                <w:sz w:val="20"/>
                <w:szCs w:val="18"/>
              </w:rPr>
              <w:t xml:space="preserve"> </w:t>
            </w:r>
          </w:p>
        </w:tc>
      </w:tr>
      <w:tr w:rsidR="003D7EEB" w14:paraId="14B7F680" w14:textId="77777777" w:rsidTr="003D7EEB">
        <w:tc>
          <w:tcPr>
            <w:cnfStyle w:val="001000000000" w:firstRow="0" w:lastRow="0" w:firstColumn="1" w:lastColumn="0" w:oddVBand="0" w:evenVBand="0" w:oddHBand="0" w:evenHBand="0" w:firstRowFirstColumn="0" w:firstRowLastColumn="0" w:lastRowFirstColumn="0" w:lastRowLastColumn="0"/>
            <w:tcW w:w="2477" w:type="dxa"/>
          </w:tcPr>
          <w:p w14:paraId="6AD75878" w14:textId="41F9EEC9" w:rsidR="003D7EEB" w:rsidRPr="00F47607" w:rsidRDefault="003D7EEB" w:rsidP="003D7EEB">
            <w:pPr>
              <w:spacing w:line="240" w:lineRule="auto"/>
              <w:rPr>
                <w:sz w:val="20"/>
              </w:rPr>
            </w:pPr>
            <w:r w:rsidRPr="00272B28">
              <w:rPr>
                <w:sz w:val="20"/>
              </w:rPr>
              <w:t xml:space="preserve">About Regional </w:t>
            </w:r>
            <w:r>
              <w:rPr>
                <w:sz w:val="20"/>
              </w:rPr>
              <w:t>Virtual network</w:t>
            </w:r>
            <w:r w:rsidRPr="00272B28">
              <w:rPr>
                <w:sz w:val="20"/>
              </w:rPr>
              <w:t xml:space="preserve"> and Affinity Groups</w:t>
            </w:r>
          </w:p>
        </w:tc>
        <w:tc>
          <w:tcPr>
            <w:tcW w:w="6873" w:type="dxa"/>
          </w:tcPr>
          <w:p w14:paraId="6269ED0D" w14:textId="3BD41EE4" w:rsidR="003D7EEB" w:rsidRPr="00927F75" w:rsidRDefault="00872E47" w:rsidP="003D7EEB">
            <w:pPr>
              <w:cnfStyle w:val="000000000000" w:firstRow="0" w:lastRow="0" w:firstColumn="0" w:lastColumn="0" w:oddVBand="0" w:evenVBand="0" w:oddHBand="0" w:evenHBand="0" w:firstRowFirstColumn="0" w:firstRowLastColumn="0" w:lastRowFirstColumn="0" w:lastRowLastColumn="0"/>
              <w:rPr>
                <w:sz w:val="20"/>
              </w:rPr>
            </w:pPr>
            <w:hyperlink r:id="rId223" w:history="1">
              <w:r w:rsidR="003D7EEB">
                <w:rPr>
                  <w:rStyle w:val="Hyperlink"/>
                  <w:sz w:val="20"/>
                </w:rPr>
                <w:t>https://azure.microsoft.com/documentation/articles/virtual-networks-migrate-to-regional-virtual network/</w:t>
              </w:r>
            </w:hyperlink>
            <w:r w:rsidR="003D7EEB">
              <w:rPr>
                <w:sz w:val="20"/>
              </w:rPr>
              <w:t xml:space="preserve"> </w:t>
            </w:r>
          </w:p>
        </w:tc>
      </w:tr>
      <w:tr w:rsidR="003D7EEB" w14:paraId="482C0550" w14:textId="77777777" w:rsidTr="003D7E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7" w:type="dxa"/>
          </w:tcPr>
          <w:p w14:paraId="707839C1" w14:textId="6B6D74D3" w:rsidR="003D7EEB" w:rsidRDefault="003D7EEB" w:rsidP="003D7EEB">
            <w:pPr>
              <w:spacing w:line="240" w:lineRule="auto"/>
              <w:rPr>
                <w:sz w:val="20"/>
              </w:rPr>
            </w:pPr>
            <w:r w:rsidRPr="00E46637">
              <w:rPr>
                <w:sz w:val="20"/>
                <w:szCs w:val="20"/>
              </w:rPr>
              <w:t>Role-based access control in the Microsoft Azure portal</w:t>
            </w:r>
          </w:p>
        </w:tc>
        <w:tc>
          <w:tcPr>
            <w:tcW w:w="6873" w:type="dxa"/>
          </w:tcPr>
          <w:p w14:paraId="4F4C963A" w14:textId="4C8AE764" w:rsidR="003D7EEB" w:rsidRPr="00927F75" w:rsidRDefault="00872E47" w:rsidP="003D7EEB">
            <w:pPr>
              <w:cnfStyle w:val="000000100000" w:firstRow="0" w:lastRow="0" w:firstColumn="0" w:lastColumn="0" w:oddVBand="0" w:evenVBand="0" w:oddHBand="1" w:evenHBand="0" w:firstRowFirstColumn="0" w:firstRowLastColumn="0" w:lastRowFirstColumn="0" w:lastRowLastColumn="0"/>
              <w:rPr>
                <w:sz w:val="20"/>
              </w:rPr>
            </w:pPr>
            <w:hyperlink r:id="rId224" w:history="1">
              <w:r w:rsidR="003D7EEB" w:rsidRPr="00E46637">
                <w:rPr>
                  <w:rStyle w:val="Hyperlink"/>
                  <w:rFonts w:eastAsia="Times New Roman" w:cs="Segoe UI"/>
                  <w:sz w:val="20"/>
                  <w:szCs w:val="20"/>
                </w:rPr>
                <w:t>http://azure.microsoft.com/en-us/documentation/articles/role-based-access-control-configure/</w:t>
              </w:r>
            </w:hyperlink>
          </w:p>
        </w:tc>
      </w:tr>
      <w:tr w:rsidR="003D7EEB" w14:paraId="4BBB666B" w14:textId="77777777" w:rsidTr="003D7EEB">
        <w:tc>
          <w:tcPr>
            <w:cnfStyle w:val="001000000000" w:firstRow="0" w:lastRow="0" w:firstColumn="1" w:lastColumn="0" w:oddVBand="0" w:evenVBand="0" w:oddHBand="0" w:evenHBand="0" w:firstRowFirstColumn="0" w:firstRowLastColumn="0" w:lastRowFirstColumn="0" w:lastRowLastColumn="0"/>
            <w:tcW w:w="2477" w:type="dxa"/>
          </w:tcPr>
          <w:p w14:paraId="5BD4AA86" w14:textId="17B61BF5" w:rsidR="003D7EEB" w:rsidRPr="00E46637" w:rsidRDefault="003D7EEB" w:rsidP="003D7EEB">
            <w:pPr>
              <w:spacing w:line="240" w:lineRule="auto"/>
              <w:rPr>
                <w:sz w:val="20"/>
                <w:szCs w:val="20"/>
              </w:rPr>
            </w:pPr>
            <w:r w:rsidRPr="00E46637">
              <w:rPr>
                <w:sz w:val="20"/>
                <w:szCs w:val="20"/>
                <w:lang w:val="en"/>
              </w:rPr>
              <w:t>Using Azure PowerShell with Azure Resource Manager</w:t>
            </w:r>
          </w:p>
        </w:tc>
        <w:tc>
          <w:tcPr>
            <w:tcW w:w="6873" w:type="dxa"/>
          </w:tcPr>
          <w:p w14:paraId="089EB611" w14:textId="0596A26C" w:rsidR="003D7EEB" w:rsidRPr="00E46637" w:rsidRDefault="00872E47" w:rsidP="003D7EEB">
            <w:pPr>
              <w:cnfStyle w:val="000000000000" w:firstRow="0" w:lastRow="0" w:firstColumn="0" w:lastColumn="0" w:oddVBand="0" w:evenVBand="0" w:oddHBand="0" w:evenHBand="0" w:firstRowFirstColumn="0" w:firstRowLastColumn="0" w:lastRowFirstColumn="0" w:lastRowLastColumn="0"/>
              <w:rPr>
                <w:sz w:val="20"/>
                <w:szCs w:val="20"/>
              </w:rPr>
            </w:pPr>
            <w:hyperlink r:id="rId225" w:history="1">
              <w:r w:rsidR="003D7EEB" w:rsidRPr="0068034F">
                <w:rPr>
                  <w:rStyle w:val="Hyperlink"/>
                  <w:sz w:val="20"/>
                  <w:szCs w:val="20"/>
                </w:rPr>
                <w:t>http://azure.microsoft.com/en-us/documentation/articles/powershell-azure-resource-manager/</w:t>
              </w:r>
            </w:hyperlink>
            <w:r w:rsidR="003D7EEB">
              <w:rPr>
                <w:sz w:val="20"/>
                <w:szCs w:val="20"/>
              </w:rPr>
              <w:t xml:space="preserve"> </w:t>
            </w:r>
          </w:p>
        </w:tc>
      </w:tr>
      <w:tr w:rsidR="003D7EEB" w14:paraId="38862FBC" w14:textId="77777777" w:rsidTr="003D7E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77" w:type="dxa"/>
          </w:tcPr>
          <w:p w14:paraId="6F54F235" w14:textId="3422CE86" w:rsidR="003D7EEB" w:rsidRPr="00E46637" w:rsidRDefault="003D7EEB" w:rsidP="003D7EEB">
            <w:pPr>
              <w:spacing w:line="240" w:lineRule="auto"/>
              <w:rPr>
                <w:sz w:val="20"/>
                <w:szCs w:val="20"/>
              </w:rPr>
            </w:pPr>
            <w:r w:rsidRPr="00B92ADE">
              <w:rPr>
                <w:sz w:val="20"/>
                <w:szCs w:val="20"/>
              </w:rPr>
              <w:t>Azure Resource Groups</w:t>
            </w:r>
          </w:p>
        </w:tc>
        <w:tc>
          <w:tcPr>
            <w:tcW w:w="6873" w:type="dxa"/>
          </w:tcPr>
          <w:p w14:paraId="28DCC534" w14:textId="2C4AFA33" w:rsidR="003D7EEB" w:rsidRPr="00E46637" w:rsidRDefault="00872E47" w:rsidP="003D7EEB">
            <w:pPr>
              <w:cnfStyle w:val="000000100000" w:firstRow="0" w:lastRow="0" w:firstColumn="0" w:lastColumn="0" w:oddVBand="0" w:evenVBand="0" w:oddHBand="1" w:evenHBand="0" w:firstRowFirstColumn="0" w:firstRowLastColumn="0" w:lastRowFirstColumn="0" w:lastRowLastColumn="0"/>
              <w:rPr>
                <w:sz w:val="20"/>
                <w:szCs w:val="20"/>
              </w:rPr>
            </w:pPr>
            <w:hyperlink r:id="rId226" w:history="1">
              <w:r w:rsidR="003D7EEB" w:rsidRPr="0029404B">
                <w:rPr>
                  <w:rStyle w:val="Hyperlink"/>
                  <w:sz w:val="20"/>
                  <w:szCs w:val="20"/>
                </w:rPr>
                <w:t>http://azure.microsoft.com/en-us/documentation/articles/azure-preview-portal-using-resource-groups/</w:t>
              </w:r>
            </w:hyperlink>
            <w:r w:rsidR="003D7EEB" w:rsidRPr="0029404B">
              <w:rPr>
                <w:sz w:val="20"/>
                <w:szCs w:val="20"/>
              </w:rPr>
              <w:t xml:space="preserve"> </w:t>
            </w:r>
          </w:p>
        </w:tc>
      </w:tr>
      <w:tr w:rsidR="003D7EEB" w14:paraId="500E5008" w14:textId="77777777" w:rsidTr="003D7EEB">
        <w:tc>
          <w:tcPr>
            <w:cnfStyle w:val="001000000000" w:firstRow="0" w:lastRow="0" w:firstColumn="1" w:lastColumn="0" w:oddVBand="0" w:evenVBand="0" w:oddHBand="0" w:evenHBand="0" w:firstRowFirstColumn="0" w:firstRowLastColumn="0" w:lastRowFirstColumn="0" w:lastRowLastColumn="0"/>
            <w:tcW w:w="2477" w:type="dxa"/>
          </w:tcPr>
          <w:p w14:paraId="0EE222F4" w14:textId="1EC5F078" w:rsidR="003D7EEB" w:rsidRPr="00272B28" w:rsidRDefault="003D7EEB" w:rsidP="003D7EEB">
            <w:pPr>
              <w:spacing w:line="240" w:lineRule="auto"/>
              <w:rPr>
                <w:sz w:val="20"/>
              </w:rPr>
            </w:pPr>
            <w:r>
              <w:rPr>
                <w:sz w:val="20"/>
                <w:szCs w:val="18"/>
              </w:rPr>
              <w:t>Importance of Azure Affinity Groups</w:t>
            </w:r>
          </w:p>
        </w:tc>
        <w:tc>
          <w:tcPr>
            <w:tcW w:w="6873" w:type="dxa"/>
          </w:tcPr>
          <w:p w14:paraId="1463B473" w14:textId="5F02049F" w:rsidR="003D7EEB" w:rsidRPr="0029404B" w:rsidRDefault="00872E47" w:rsidP="003D7EEB">
            <w:pPr>
              <w:cnfStyle w:val="000000000000" w:firstRow="0" w:lastRow="0" w:firstColumn="0" w:lastColumn="0" w:oddVBand="0" w:evenVBand="0" w:oddHBand="0" w:evenHBand="0" w:firstRowFirstColumn="0" w:firstRowLastColumn="0" w:lastRowFirstColumn="0" w:lastRowLastColumn="0"/>
              <w:rPr>
                <w:sz w:val="20"/>
                <w:szCs w:val="20"/>
              </w:rPr>
            </w:pPr>
            <w:hyperlink r:id="rId227" w:history="1">
              <w:r w:rsidR="003D7EEB" w:rsidRPr="00C1794F">
                <w:rPr>
                  <w:rStyle w:val="Hyperlink"/>
                  <w:sz w:val="20"/>
                  <w:szCs w:val="18"/>
                </w:rPr>
                <w:t>http://social.technet.microsoft.com/wiki/contents/articles/7916.importance-of-windows-azure-affinity-groups.aspx</w:t>
              </w:r>
            </w:hyperlink>
            <w:r w:rsidR="003D7EEB">
              <w:rPr>
                <w:sz w:val="20"/>
                <w:szCs w:val="18"/>
              </w:rPr>
              <w:t xml:space="preserve"> </w:t>
            </w:r>
          </w:p>
        </w:tc>
      </w:tr>
    </w:tbl>
    <w:p w14:paraId="50211BD8" w14:textId="77777777" w:rsidR="00B92ADE" w:rsidRPr="00D252DE" w:rsidRDefault="00B92ADE" w:rsidP="005729D2">
      <w:pPr>
        <w:pStyle w:val="Heading3Numbered"/>
        <w:numPr>
          <w:ilvl w:val="2"/>
          <w:numId w:val="64"/>
        </w:numPr>
        <w:rPr>
          <w:rFonts w:cs="Segoe UI"/>
        </w:rPr>
      </w:pPr>
      <w:bookmarkStart w:id="3115" w:name="_Toc418094054"/>
      <w:bookmarkStart w:id="3116" w:name="_Toc418156681"/>
      <w:bookmarkStart w:id="3117" w:name="_Toc418167600"/>
      <w:bookmarkStart w:id="3118" w:name="_Toc418185857"/>
      <w:bookmarkStart w:id="3119" w:name="_Toc422941567"/>
      <w:bookmarkStart w:id="3120" w:name="_Toc423116773"/>
      <w:bookmarkStart w:id="3121" w:name="_Toc423117806"/>
      <w:bookmarkStart w:id="3122" w:name="_Toc423117256"/>
      <w:bookmarkStart w:id="3123" w:name="_Toc431288848"/>
      <w:r>
        <w:t xml:space="preserve">Virtual Machine </w:t>
      </w:r>
      <w:r w:rsidRPr="00E10F08">
        <w:t>Availability</w:t>
      </w:r>
      <w:bookmarkEnd w:id="3115"/>
      <w:bookmarkEnd w:id="3116"/>
      <w:bookmarkEnd w:id="3117"/>
      <w:bookmarkEnd w:id="3118"/>
      <w:bookmarkEnd w:id="3119"/>
      <w:bookmarkEnd w:id="3120"/>
      <w:bookmarkEnd w:id="3121"/>
      <w:bookmarkEnd w:id="3122"/>
      <w:bookmarkEnd w:id="3123"/>
      <w:r w:rsidRPr="00E10F08">
        <w:t xml:space="preserve"> </w:t>
      </w:r>
    </w:p>
    <w:p w14:paraId="6C42E623" w14:textId="0B98C527" w:rsidR="00492AAF" w:rsidRDefault="00492AAF" w:rsidP="00492AAF">
      <w:r>
        <w:t xml:space="preserve">It is important to tell the Azure Fabric Controller which resources must be aligned and placed near one another for performance, management, and so on. However, it is critical that Azure be informed of systems that must be placed across mutually exclusive boundaries to ensure that the availability of a given service that spans multiple virtual machines is maintained and not interrupted by planned maintenance activities within Azure. </w:t>
      </w:r>
    </w:p>
    <w:p w14:paraId="5D83CA98" w14:textId="77777777" w:rsidR="00492AAF" w:rsidRDefault="00492AAF" w:rsidP="00492AAF">
      <w:pPr>
        <w:rPr>
          <w:lang w:val="en"/>
        </w:rPr>
      </w:pPr>
      <w:r w:rsidRPr="00153796">
        <w:rPr>
          <w:lang w:val="en"/>
        </w:rPr>
        <w:t>Azure natively understands the tiers in a PaaS application</w:t>
      </w:r>
      <w:r>
        <w:rPr>
          <w:lang w:val="en"/>
        </w:rPr>
        <w:t>;</w:t>
      </w:r>
      <w:r w:rsidRPr="00153796">
        <w:rPr>
          <w:lang w:val="en"/>
        </w:rPr>
        <w:t xml:space="preserve"> and thus</w:t>
      </w:r>
      <w:r>
        <w:rPr>
          <w:lang w:val="en"/>
        </w:rPr>
        <w:t>, it</w:t>
      </w:r>
      <w:r w:rsidRPr="00153796">
        <w:rPr>
          <w:lang w:val="en"/>
        </w:rPr>
        <w:t xml:space="preserve"> can properly distribute them across </w:t>
      </w:r>
      <w:r>
        <w:rPr>
          <w:lang w:val="en"/>
        </w:rPr>
        <w:t>f</w:t>
      </w:r>
      <w:r w:rsidRPr="00153796">
        <w:rPr>
          <w:lang w:val="en"/>
        </w:rPr>
        <w:t xml:space="preserve">ault and </w:t>
      </w:r>
      <w:r>
        <w:rPr>
          <w:lang w:val="en"/>
        </w:rPr>
        <w:t>u</w:t>
      </w:r>
      <w:r w:rsidRPr="00153796">
        <w:rPr>
          <w:lang w:val="en"/>
        </w:rPr>
        <w:t xml:space="preserve">pdate </w:t>
      </w:r>
      <w:r>
        <w:rPr>
          <w:lang w:val="en"/>
        </w:rPr>
        <w:t>d</w:t>
      </w:r>
      <w:r w:rsidRPr="00153796">
        <w:rPr>
          <w:lang w:val="en"/>
        </w:rPr>
        <w:t xml:space="preserve">omains. In contrast, the tiers in an IaaS application </w:t>
      </w:r>
      <w:r>
        <w:rPr>
          <w:lang w:val="en"/>
        </w:rPr>
        <w:t xml:space="preserve">must be manually defined using </w:t>
      </w:r>
      <w:r w:rsidRPr="002955CA">
        <w:rPr>
          <w:i/>
          <w:lang w:val="en"/>
        </w:rPr>
        <w:t>Availability Sets</w:t>
      </w:r>
      <w:r w:rsidRPr="00153796">
        <w:rPr>
          <w:lang w:val="en"/>
        </w:rPr>
        <w:t xml:space="preserve">. </w:t>
      </w:r>
      <w:r>
        <w:rPr>
          <w:lang w:val="en"/>
        </w:rPr>
        <w:t>To meet a given SLA, availability s</w:t>
      </w:r>
      <w:r w:rsidRPr="00153796">
        <w:rPr>
          <w:lang w:val="en"/>
        </w:rPr>
        <w:t xml:space="preserve">ets are required </w:t>
      </w:r>
      <w:r>
        <w:rPr>
          <w:lang w:val="en"/>
        </w:rPr>
        <w:t xml:space="preserve">when building IaaS solutions using Azure virtual machines. </w:t>
      </w:r>
    </w:p>
    <w:p w14:paraId="21361E9D" w14:textId="2400090E" w:rsidR="00B92ADE" w:rsidRPr="00153796" w:rsidRDefault="00492AAF" w:rsidP="00492AAF">
      <w:pPr>
        <w:rPr>
          <w:lang w:val="en"/>
        </w:rPr>
      </w:pPr>
      <w:r>
        <w:rPr>
          <w:lang w:val="en"/>
        </w:rPr>
        <w:t>Placing virtual machines in an availability set tells the Fabric Controller in Azure to place the virtual machines in separate fault domains. This ultimately provides redundancy for the services provided by the virtual machines when both systems are responsible for the same tier of service in an application. This is illustrated in the following diagram</w:t>
      </w:r>
      <w:r w:rsidR="00B92ADE">
        <w:rPr>
          <w:lang w:val="en"/>
        </w:rPr>
        <w:t>:</w:t>
      </w:r>
    </w:p>
    <w:p w14:paraId="34412B27" w14:textId="77777777" w:rsidR="00B92ADE" w:rsidRPr="00153796" w:rsidRDefault="00B92ADE" w:rsidP="00B92ADE">
      <w:pPr>
        <w:jc w:val="center"/>
        <w:rPr>
          <w:lang w:val="en"/>
        </w:rPr>
      </w:pPr>
      <w:r w:rsidRPr="00153796">
        <w:rPr>
          <w:noProof/>
        </w:rPr>
        <w:drawing>
          <wp:inline distT="0" distB="0" distL="0" distR="0" wp14:anchorId="44AC0532" wp14:editId="7EAA7DB3">
            <wp:extent cx="3981450" cy="2438400"/>
            <wp:effectExtent l="0" t="0" r="0" b="0"/>
            <wp:docPr id="1546650182" name="Picture 1546650182" descr="Availability Sets for Windows Azure V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0be1801-c303-4ba0-83b2-049603d2beed" descr="Availability Sets for Windows Azure VMs"/>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3981450" cy="2438400"/>
                    </a:xfrm>
                    <a:prstGeom prst="rect">
                      <a:avLst/>
                    </a:prstGeom>
                    <a:noFill/>
                    <a:ln>
                      <a:noFill/>
                    </a:ln>
                  </pic:spPr>
                </pic:pic>
              </a:graphicData>
            </a:graphic>
          </wp:inline>
        </w:drawing>
      </w:r>
    </w:p>
    <w:p w14:paraId="432140E6" w14:textId="46BD6B06" w:rsidR="00B92ADE" w:rsidRPr="00153796" w:rsidRDefault="00492AAF" w:rsidP="00B92ADE">
      <w:pPr>
        <w:rPr>
          <w:lang w:val="en"/>
        </w:rPr>
      </w:pPr>
      <w:r>
        <w:rPr>
          <w:lang w:val="en"/>
        </w:rPr>
        <w:t xml:space="preserve">As illustrated, availability sets </w:t>
      </w:r>
      <w:r w:rsidRPr="00153796">
        <w:rPr>
          <w:lang w:val="en"/>
        </w:rPr>
        <w:t>ensure that all instances of each tier have hardware redundancy by distributing them across fault domains, and are not taken down during an update</w:t>
      </w:r>
      <w:r w:rsidR="00B92ADE" w:rsidRPr="00153796">
        <w:rPr>
          <w:lang w:val="en"/>
        </w:rPr>
        <w:t>.</w:t>
      </w:r>
    </w:p>
    <w:p w14:paraId="5D7590FA" w14:textId="77777777" w:rsidR="00B92ADE" w:rsidRPr="002955CA" w:rsidRDefault="00B92ADE" w:rsidP="005729D2">
      <w:pPr>
        <w:pStyle w:val="Heading3Numbered"/>
        <w:numPr>
          <w:ilvl w:val="2"/>
          <w:numId w:val="64"/>
        </w:numPr>
      </w:pPr>
      <w:bookmarkStart w:id="3124" w:name="_Toc418094055"/>
      <w:bookmarkStart w:id="3125" w:name="_Toc418156682"/>
      <w:bookmarkStart w:id="3126" w:name="_Toc418167601"/>
      <w:bookmarkStart w:id="3127" w:name="_Toc418185858"/>
      <w:bookmarkStart w:id="3128" w:name="_Toc422941568"/>
      <w:bookmarkStart w:id="3129" w:name="_Toc423116774"/>
      <w:bookmarkStart w:id="3130" w:name="_Toc423117807"/>
      <w:bookmarkStart w:id="3131" w:name="_Toc423117257"/>
      <w:bookmarkStart w:id="3132" w:name="_Toc431288849"/>
      <w:r w:rsidRPr="002955CA">
        <w:t>Virtual Machine Load Balancing</w:t>
      </w:r>
      <w:bookmarkEnd w:id="3124"/>
      <w:bookmarkEnd w:id="3125"/>
      <w:bookmarkEnd w:id="3126"/>
      <w:bookmarkEnd w:id="3127"/>
      <w:bookmarkEnd w:id="3128"/>
      <w:bookmarkEnd w:id="3129"/>
      <w:bookmarkEnd w:id="3130"/>
      <w:bookmarkEnd w:id="3131"/>
      <w:bookmarkEnd w:id="3132"/>
      <w:r w:rsidRPr="002955CA">
        <w:t xml:space="preserve"> </w:t>
      </w:r>
    </w:p>
    <w:p w14:paraId="7A76E662" w14:textId="17484317" w:rsidR="00492AAF" w:rsidRDefault="00B92ADE" w:rsidP="00492AAF">
      <w:pPr>
        <w:rPr>
          <w:lang w:val="en"/>
        </w:rPr>
      </w:pPr>
      <w:r w:rsidRPr="00153796">
        <w:rPr>
          <w:lang w:val="en"/>
        </w:rPr>
        <w:t>If</w:t>
      </w:r>
      <w:r w:rsidR="00492AAF" w:rsidRPr="00153796">
        <w:rPr>
          <w:lang w:val="en"/>
        </w:rPr>
        <w:t xml:space="preserve"> the </w:t>
      </w:r>
      <w:r w:rsidR="00492AAF">
        <w:rPr>
          <w:lang w:val="en"/>
        </w:rPr>
        <w:t>virtual machines</w:t>
      </w:r>
      <w:r w:rsidR="00492AAF" w:rsidRPr="00153796">
        <w:rPr>
          <w:lang w:val="en"/>
        </w:rPr>
        <w:t xml:space="preserve"> should have traffic distributed across them, you must group the </w:t>
      </w:r>
      <w:r w:rsidR="00492AAF">
        <w:rPr>
          <w:lang w:val="en"/>
        </w:rPr>
        <w:t>virtual machines</w:t>
      </w:r>
      <w:r w:rsidR="00492AAF" w:rsidRPr="00153796">
        <w:rPr>
          <w:lang w:val="en"/>
        </w:rPr>
        <w:t xml:space="preserve"> in a cloud service</w:t>
      </w:r>
      <w:r w:rsidR="00492AAF">
        <w:rPr>
          <w:lang w:val="en"/>
        </w:rPr>
        <w:t>,</w:t>
      </w:r>
      <w:r w:rsidR="00492AAF" w:rsidRPr="00153796">
        <w:rPr>
          <w:lang w:val="en"/>
        </w:rPr>
        <w:t xml:space="preserve"> and load balance </w:t>
      </w:r>
      <w:r w:rsidR="00492AAF">
        <w:rPr>
          <w:lang w:val="en"/>
        </w:rPr>
        <w:t xml:space="preserve">them </w:t>
      </w:r>
      <w:r w:rsidR="00492AAF" w:rsidRPr="00153796">
        <w:rPr>
          <w:lang w:val="en"/>
        </w:rPr>
        <w:t xml:space="preserve">across a specific TCP or UDP endpoint. For more information, see </w:t>
      </w:r>
      <w:hyperlink r:id="rId229" w:history="1">
        <w:r w:rsidR="00492AAF" w:rsidRPr="00153796">
          <w:rPr>
            <w:rStyle w:val="Hyperlink"/>
            <w:lang w:val="en"/>
          </w:rPr>
          <w:t>Load Balancing Virtual Machines</w:t>
        </w:r>
      </w:hyperlink>
      <w:r w:rsidR="00492AAF">
        <w:rPr>
          <w:lang w:val="en"/>
        </w:rPr>
        <w:t xml:space="preserve">. </w:t>
      </w:r>
    </w:p>
    <w:p w14:paraId="7DA4DAD5" w14:textId="3E713D34" w:rsidR="00D53A7A" w:rsidRDefault="00492AAF" w:rsidP="00492AAF">
      <w:pPr>
        <w:rPr>
          <w:lang w:val="en"/>
        </w:rPr>
      </w:pPr>
      <w:r>
        <w:rPr>
          <w:lang w:val="en"/>
        </w:rPr>
        <w:t>If the virtual machines</w:t>
      </w:r>
      <w:r w:rsidRPr="00153796">
        <w:rPr>
          <w:lang w:val="en"/>
        </w:rPr>
        <w:t xml:space="preserve"> receive input from another source (</w:t>
      </w:r>
      <w:r>
        <w:rPr>
          <w:lang w:val="en"/>
        </w:rPr>
        <w:t>such as</w:t>
      </w:r>
      <w:r w:rsidRPr="00153796">
        <w:rPr>
          <w:lang w:val="en"/>
        </w:rPr>
        <w:t xml:space="preserve"> a queuing mechanism), a load balancer is not required.</w:t>
      </w:r>
      <w:r>
        <w:rPr>
          <w:lang w:val="en"/>
        </w:rPr>
        <w:t xml:space="preserve"> </w:t>
      </w:r>
      <w:r w:rsidRPr="00153796">
        <w:rPr>
          <w:lang w:val="en"/>
        </w:rPr>
        <w:t>The load balancer uses a basic health check to determine if traffic should be sent to the node. It is also possible to create your own probes to implement application</w:t>
      </w:r>
      <w:r>
        <w:rPr>
          <w:lang w:val="en"/>
        </w:rPr>
        <w:t>-</w:t>
      </w:r>
      <w:r w:rsidRPr="00153796">
        <w:rPr>
          <w:lang w:val="en"/>
        </w:rPr>
        <w:t xml:space="preserve">specific health metrics that determine if the </w:t>
      </w:r>
      <w:r>
        <w:rPr>
          <w:lang w:val="en"/>
        </w:rPr>
        <w:t>virtual machine</w:t>
      </w:r>
      <w:r w:rsidRPr="00153796">
        <w:rPr>
          <w:lang w:val="en"/>
        </w:rPr>
        <w:t xml:space="preserve"> should receive traffic.</w:t>
      </w:r>
      <w:r>
        <w:rPr>
          <w:lang w:val="en"/>
        </w:rPr>
        <w:t xml:space="preserve"> Load balancing mechanisms and constructs within Microsoft Azure are covered in the Networking section of this document</w:t>
      </w:r>
      <w:r w:rsidR="007467FF">
        <w:rPr>
          <w:lang w:val="en"/>
        </w:rPr>
        <w:t>.</w:t>
      </w:r>
    </w:p>
    <w:p w14:paraId="3CA22195" w14:textId="77777777" w:rsidR="007515AB" w:rsidRDefault="007515AB" w:rsidP="00D53A7A">
      <w:bookmarkStart w:id="3133" w:name="_Toc418080718"/>
      <w:bookmarkStart w:id="3134" w:name="_Toc418081887"/>
      <w:bookmarkStart w:id="3135" w:name="_Toc418083290"/>
      <w:bookmarkStart w:id="3136" w:name="_Toc418095514"/>
    </w:p>
    <w:p w14:paraId="1DF3EAE3" w14:textId="77777777" w:rsidR="007515AB" w:rsidRDefault="007515AB">
      <w:pPr>
        <w:spacing w:before="0" w:after="160" w:line="259" w:lineRule="auto"/>
      </w:pPr>
      <w:r>
        <w:br w:type="page"/>
      </w:r>
    </w:p>
    <w:p w14:paraId="55AEAF26" w14:textId="474ADC2D" w:rsidR="00D53A7A" w:rsidRPr="009306B5" w:rsidRDefault="00B92ADE" w:rsidP="005729D2">
      <w:pPr>
        <w:pStyle w:val="Heading3Numbered"/>
        <w:numPr>
          <w:ilvl w:val="2"/>
          <w:numId w:val="64"/>
        </w:numPr>
      </w:pPr>
      <w:bookmarkStart w:id="3137" w:name="_Toc418156683"/>
      <w:bookmarkStart w:id="3138" w:name="_Toc418167602"/>
      <w:bookmarkStart w:id="3139" w:name="_Toc418185859"/>
      <w:bookmarkStart w:id="3140" w:name="_Toc422941569"/>
      <w:bookmarkStart w:id="3141" w:name="_Toc423116775"/>
      <w:bookmarkStart w:id="3142" w:name="_Toc423117808"/>
      <w:bookmarkStart w:id="3143" w:name="_Toc423117258"/>
      <w:bookmarkStart w:id="3144" w:name="_Toc431288850"/>
      <w:r>
        <w:t>Virtual Machine Gallery Items and</w:t>
      </w:r>
      <w:r w:rsidR="00D53A7A" w:rsidRPr="009306B5">
        <w:t xml:space="preserve"> Images</w:t>
      </w:r>
      <w:bookmarkEnd w:id="3133"/>
      <w:bookmarkEnd w:id="3134"/>
      <w:bookmarkEnd w:id="3135"/>
      <w:bookmarkEnd w:id="3136"/>
      <w:bookmarkEnd w:id="3137"/>
      <w:bookmarkEnd w:id="3138"/>
      <w:bookmarkEnd w:id="3139"/>
      <w:bookmarkEnd w:id="3140"/>
      <w:bookmarkEnd w:id="3141"/>
      <w:bookmarkEnd w:id="3142"/>
      <w:bookmarkEnd w:id="3143"/>
      <w:bookmarkEnd w:id="3144"/>
    </w:p>
    <w:p w14:paraId="648973E0" w14:textId="0319B153" w:rsidR="0014687E" w:rsidRDefault="0014687E" w:rsidP="007515AB">
      <w:r>
        <w:t>The</w:t>
      </w:r>
      <w:r w:rsidR="00492AAF">
        <w:t xml:space="preserve"> Azure Gallery contains a library of images that are provided by Microsoft and Microsoft partners, and they can be used to create IaaS virtual machines. Custom images that you upload to your Azure subscription are also available in the Azure Gallery. This section outlines each of the image types and how they can be utilized</w:t>
      </w:r>
      <w:r w:rsidR="00E86534">
        <w:t>.</w:t>
      </w:r>
    </w:p>
    <w:p w14:paraId="0F5819B7" w14:textId="608CAAA3" w:rsidR="0014687E" w:rsidRDefault="0014687E" w:rsidP="00D53A7A">
      <w:pPr>
        <w:pStyle w:val="NoSpacing"/>
      </w:pPr>
      <w:r>
        <w:rPr>
          <w:noProof/>
        </w:rPr>
        <w:drawing>
          <wp:inline distT="0" distB="0" distL="0" distR="0" wp14:anchorId="0F7B1652" wp14:editId="6DA547C4">
            <wp:extent cx="5943600" cy="4072890"/>
            <wp:effectExtent l="0" t="0" r="0" b="3810"/>
            <wp:docPr id="1546650220" name="Picture 1546650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5943600" cy="4072890"/>
                    </a:xfrm>
                    <a:prstGeom prst="rect">
                      <a:avLst/>
                    </a:prstGeom>
                  </pic:spPr>
                </pic:pic>
              </a:graphicData>
            </a:graphic>
          </wp:inline>
        </w:drawing>
      </w:r>
    </w:p>
    <w:p w14:paraId="6F42848F" w14:textId="77777777" w:rsidR="0014687E" w:rsidRPr="00E22F4B" w:rsidRDefault="0014687E" w:rsidP="00D53A7A">
      <w:pPr>
        <w:pStyle w:val="NoSpacing"/>
      </w:pPr>
    </w:p>
    <w:p w14:paraId="014E6110" w14:textId="77777777" w:rsidR="00D53A7A" w:rsidRPr="00D252DE" w:rsidRDefault="00D53A7A" w:rsidP="005729D2">
      <w:pPr>
        <w:pStyle w:val="Heading4Numbered"/>
        <w:numPr>
          <w:ilvl w:val="3"/>
          <w:numId w:val="64"/>
        </w:numPr>
        <w:rPr>
          <w:rFonts w:cs="Segoe UI"/>
        </w:rPr>
      </w:pPr>
      <w:r w:rsidRPr="007515AB">
        <w:t xml:space="preserve">Image Families </w:t>
      </w:r>
    </w:p>
    <w:p w14:paraId="435BF055" w14:textId="397F83C3" w:rsidR="00492AAF" w:rsidRDefault="00D53A7A" w:rsidP="00492AAF">
      <w:r>
        <w:t>Image</w:t>
      </w:r>
      <w:r w:rsidR="00492AAF">
        <w:t xml:space="preserve"> families are virtual hard disks (VHDs) that are managed and supported by Azure. In some instances, these VHDs may include preinstalled software and configuration. A few examples are a SQL Database, SharePoint, and BizTalk. </w:t>
      </w:r>
    </w:p>
    <w:p w14:paraId="36EE5F6E" w14:textId="391FB4D0" w:rsidR="00D53A7A" w:rsidRPr="00B25214" w:rsidRDefault="00492AAF" w:rsidP="00492AAF">
      <w:r>
        <w:t>The goal of the image families is to make it easier for you to deploy an application into the Azure environment. These image families are updated once a month, going back as far back as two months</w:t>
      </w:r>
      <w:r w:rsidR="00D53A7A">
        <w:t xml:space="preserve">. </w:t>
      </w:r>
    </w:p>
    <w:p w14:paraId="71CFD6C6" w14:textId="77777777" w:rsidR="00D53A7A" w:rsidRPr="00D252DE" w:rsidRDefault="00D53A7A" w:rsidP="005729D2">
      <w:pPr>
        <w:pStyle w:val="Heading4Numbered"/>
        <w:numPr>
          <w:ilvl w:val="3"/>
          <w:numId w:val="64"/>
        </w:numPr>
        <w:rPr>
          <w:rFonts w:cs="Segoe UI"/>
        </w:rPr>
      </w:pPr>
      <w:r w:rsidRPr="007515AB">
        <w:t>Partner Images</w:t>
      </w:r>
    </w:p>
    <w:p w14:paraId="4D6F711A" w14:textId="697A90EF" w:rsidR="00D53A7A" w:rsidRDefault="00D53A7A" w:rsidP="00D53A7A">
      <w:r>
        <w:t>Partner</w:t>
      </w:r>
      <w:r w:rsidR="00492AAF">
        <w:t xml:space="preserve"> images are VHDs that were uploaded by partners so that their applications can be consumed by Azure customers. Virtual machines that are deployed by using partner images are not deployed on the same clusters as other virtual machine workloads. Examples partners that provide images include Oracle and Puppet Labs</w:t>
      </w:r>
      <w:r w:rsidR="00E86534">
        <w:t>.</w:t>
      </w:r>
      <w:r>
        <w:t xml:space="preserve"> </w:t>
      </w:r>
    </w:p>
    <w:p w14:paraId="4C9C7366" w14:textId="77777777" w:rsidR="00D53A7A" w:rsidRPr="00D252DE" w:rsidRDefault="00D53A7A" w:rsidP="005729D2">
      <w:pPr>
        <w:pStyle w:val="Heading4Numbered"/>
        <w:numPr>
          <w:ilvl w:val="3"/>
          <w:numId w:val="64"/>
        </w:numPr>
        <w:rPr>
          <w:rFonts w:cs="Segoe UI"/>
        </w:rPr>
      </w:pPr>
      <w:r w:rsidRPr="007515AB">
        <w:t>Latest Images</w:t>
      </w:r>
    </w:p>
    <w:p w14:paraId="315FCD45" w14:textId="3734186C" w:rsidR="00DD500E" w:rsidRPr="006E2AFC" w:rsidRDefault="00D53A7A" w:rsidP="00DD500E">
      <w:r>
        <w:t>Azure</w:t>
      </w:r>
      <w:r w:rsidR="00DD500E">
        <w:t xml:space="preserve"> actively maintains the images that are part of the Azure Gallery. In some instances, you may want to get the latest image. By default, the latest image is chosen when you deploy a virtual machine by using the portal. However, if you would like to use Azure PowerShell, please use the following code snippet:</w:t>
      </w:r>
    </w:p>
    <w:p w14:paraId="435297C6" w14:textId="77777777" w:rsidR="00DD500E" w:rsidRPr="006E2AFC" w:rsidRDefault="00DD500E" w:rsidP="00DD500E">
      <w:pPr>
        <w:rPr>
          <w:rFonts w:ascii="Courier New" w:eastAsiaTheme="minorHAnsi" w:hAnsi="Courier New" w:cs="Courier New"/>
          <w:color w:val="000000"/>
          <w:sz w:val="18"/>
          <w:szCs w:val="18"/>
        </w:rPr>
      </w:pPr>
      <w:r>
        <w:rPr>
          <w:rFonts w:ascii="Courier New" w:eastAsiaTheme="minorHAnsi" w:hAnsi="Courier New" w:cs="Courier New"/>
          <w:color w:val="800080"/>
          <w:sz w:val="18"/>
          <w:szCs w:val="18"/>
        </w:rPr>
        <w:t>$image_name</w:t>
      </w:r>
      <w:r>
        <w:rPr>
          <w:rFonts w:ascii="Courier New" w:eastAsiaTheme="minorHAnsi" w:hAnsi="Courier New" w:cs="Courier New"/>
          <w:color w:val="000000"/>
          <w:sz w:val="18"/>
          <w:szCs w:val="18"/>
        </w:rPr>
        <w:t xml:space="preserve"> </w:t>
      </w:r>
      <w:r>
        <w:rPr>
          <w:rFonts w:ascii="Courier New" w:eastAsiaTheme="minorHAnsi" w:hAnsi="Courier New" w:cs="Courier New"/>
          <w:color w:val="FF0000"/>
          <w:sz w:val="18"/>
          <w:szCs w:val="18"/>
        </w:rPr>
        <w:t>=</w:t>
      </w:r>
      <w:r>
        <w:rPr>
          <w:rFonts w:ascii="Courier New" w:eastAsiaTheme="minorHAnsi" w:hAnsi="Courier New" w:cs="Courier New"/>
          <w:color w:val="000000"/>
          <w:sz w:val="18"/>
          <w:szCs w:val="18"/>
        </w:rPr>
        <w:t xml:space="preserve"> (</w:t>
      </w:r>
      <w:r>
        <w:rPr>
          <w:rFonts w:ascii="Courier New" w:eastAsiaTheme="minorHAnsi" w:hAnsi="Courier New" w:cs="Courier New"/>
          <w:b/>
          <w:bCs/>
          <w:color w:val="5F9EA0"/>
          <w:sz w:val="18"/>
          <w:szCs w:val="18"/>
        </w:rPr>
        <w:t>Get-AzureVMImage</w:t>
      </w:r>
      <w:r>
        <w:rPr>
          <w:rFonts w:ascii="Courier New" w:eastAsiaTheme="minorHAnsi" w:hAnsi="Courier New" w:cs="Courier New"/>
          <w:color w:val="000000"/>
          <w:sz w:val="18"/>
          <w:szCs w:val="18"/>
        </w:rPr>
        <w:t xml:space="preserve"> | </w:t>
      </w:r>
      <w:r>
        <w:rPr>
          <w:rFonts w:ascii="Courier New" w:eastAsiaTheme="minorHAnsi" w:hAnsi="Courier New" w:cs="Courier New"/>
          <w:b/>
          <w:bCs/>
          <w:color w:val="5F9EA0"/>
          <w:sz w:val="18"/>
          <w:szCs w:val="18"/>
        </w:rPr>
        <w:t>Where</w:t>
      </w:r>
      <w:r>
        <w:rPr>
          <w:rFonts w:ascii="Courier New" w:eastAsiaTheme="minorHAnsi" w:hAnsi="Courier New" w:cs="Courier New"/>
          <w:color w:val="000000"/>
          <w:sz w:val="18"/>
          <w:szCs w:val="18"/>
        </w:rPr>
        <w:t xml:space="preserve"> { </w:t>
      </w:r>
      <w:r>
        <w:rPr>
          <w:rFonts w:ascii="Courier New" w:eastAsiaTheme="minorHAnsi" w:hAnsi="Courier New" w:cs="Courier New"/>
          <w:color w:val="800080"/>
          <w:sz w:val="18"/>
          <w:szCs w:val="18"/>
        </w:rPr>
        <w:t>$_</w:t>
      </w:r>
      <w:r>
        <w:rPr>
          <w:rFonts w:ascii="Courier New" w:eastAsiaTheme="minorHAnsi" w:hAnsi="Courier New" w:cs="Courier New"/>
          <w:color w:val="000000"/>
          <w:sz w:val="18"/>
          <w:szCs w:val="18"/>
        </w:rPr>
        <w:t xml:space="preserve">.ImageFamily </w:t>
      </w:r>
      <w:r>
        <w:rPr>
          <w:rFonts w:ascii="Courier New" w:eastAsiaTheme="minorHAnsi" w:hAnsi="Courier New" w:cs="Courier New"/>
          <w:color w:val="FF0000"/>
          <w:sz w:val="18"/>
          <w:szCs w:val="18"/>
        </w:rPr>
        <w:t>-eq</w:t>
      </w:r>
      <w:r>
        <w:rPr>
          <w:rFonts w:ascii="Courier New" w:eastAsiaTheme="minorHAnsi" w:hAnsi="Courier New" w:cs="Courier New"/>
          <w:color w:val="000000"/>
          <w:sz w:val="18"/>
          <w:szCs w:val="18"/>
        </w:rPr>
        <w:t xml:space="preserve"> </w:t>
      </w:r>
      <w:r>
        <w:rPr>
          <w:rFonts w:ascii="Courier New" w:eastAsiaTheme="minorHAnsi" w:hAnsi="Courier New" w:cs="Courier New"/>
          <w:color w:val="800080"/>
          <w:sz w:val="18"/>
          <w:szCs w:val="18"/>
        </w:rPr>
        <w:t>$ImageFamily</w:t>
      </w:r>
      <w:r>
        <w:rPr>
          <w:rFonts w:ascii="Courier New" w:eastAsiaTheme="minorHAnsi" w:hAnsi="Courier New" w:cs="Courier New"/>
          <w:color w:val="000000"/>
          <w:sz w:val="18"/>
          <w:szCs w:val="18"/>
        </w:rPr>
        <w:t xml:space="preserve"> } | </w:t>
      </w:r>
      <w:r>
        <w:rPr>
          <w:rFonts w:ascii="Courier New" w:eastAsiaTheme="minorHAnsi" w:hAnsi="Courier New" w:cs="Courier New"/>
          <w:b/>
          <w:bCs/>
          <w:color w:val="5F9EA0"/>
          <w:sz w:val="18"/>
          <w:szCs w:val="18"/>
        </w:rPr>
        <w:t>sort</w:t>
      </w:r>
      <w:r>
        <w:rPr>
          <w:rFonts w:ascii="Courier New" w:eastAsiaTheme="minorHAnsi" w:hAnsi="Courier New" w:cs="Courier New"/>
          <w:color w:val="000000"/>
          <w:sz w:val="18"/>
          <w:szCs w:val="18"/>
        </w:rPr>
        <w:t xml:space="preserve"> </w:t>
      </w:r>
      <w:r>
        <w:rPr>
          <w:rFonts w:ascii="Courier New" w:eastAsiaTheme="minorHAnsi" w:hAnsi="Courier New" w:cs="Courier New"/>
          <w:color w:val="800000"/>
          <w:sz w:val="18"/>
          <w:szCs w:val="18"/>
        </w:rPr>
        <w:t>PublishedDate</w:t>
      </w:r>
      <w:r>
        <w:rPr>
          <w:rFonts w:ascii="Courier New" w:eastAsiaTheme="minorHAnsi" w:hAnsi="Courier New" w:cs="Courier New"/>
          <w:color w:val="000000"/>
          <w:sz w:val="18"/>
          <w:szCs w:val="18"/>
        </w:rPr>
        <w:t xml:space="preserve"> </w:t>
      </w:r>
      <w:r>
        <w:rPr>
          <w:rFonts w:ascii="Courier New" w:eastAsiaTheme="minorHAnsi" w:hAnsi="Courier New" w:cs="Courier New"/>
          <w:i/>
          <w:iCs/>
          <w:color w:val="5F9EA0"/>
          <w:sz w:val="18"/>
          <w:szCs w:val="18"/>
        </w:rPr>
        <w:t>-Descending</w:t>
      </w:r>
      <w:r>
        <w:rPr>
          <w:rFonts w:ascii="Courier New" w:eastAsiaTheme="minorHAnsi" w:hAnsi="Courier New" w:cs="Courier New"/>
          <w:color w:val="000000"/>
          <w:sz w:val="18"/>
          <w:szCs w:val="18"/>
        </w:rPr>
        <w:t xml:space="preserve"> | </w:t>
      </w:r>
      <w:r>
        <w:rPr>
          <w:rFonts w:ascii="Courier New" w:eastAsiaTheme="minorHAnsi" w:hAnsi="Courier New" w:cs="Courier New"/>
          <w:b/>
          <w:bCs/>
          <w:color w:val="5F9EA0"/>
          <w:sz w:val="18"/>
          <w:szCs w:val="18"/>
        </w:rPr>
        <w:t>Select-Object</w:t>
      </w:r>
      <w:r>
        <w:rPr>
          <w:rFonts w:ascii="Courier New" w:eastAsiaTheme="minorHAnsi" w:hAnsi="Courier New" w:cs="Courier New"/>
          <w:color w:val="000000"/>
          <w:sz w:val="18"/>
          <w:szCs w:val="18"/>
        </w:rPr>
        <w:t xml:space="preserve"> </w:t>
      </w:r>
      <w:r>
        <w:rPr>
          <w:rFonts w:ascii="Courier New" w:eastAsiaTheme="minorHAnsi" w:hAnsi="Courier New" w:cs="Courier New"/>
          <w:i/>
          <w:iCs/>
          <w:color w:val="5F9EA0"/>
          <w:sz w:val="18"/>
          <w:szCs w:val="18"/>
        </w:rPr>
        <w:t>-First</w:t>
      </w:r>
      <w:r>
        <w:rPr>
          <w:rFonts w:ascii="Courier New" w:eastAsiaTheme="minorHAnsi" w:hAnsi="Courier New" w:cs="Courier New"/>
          <w:color w:val="000000"/>
          <w:sz w:val="18"/>
          <w:szCs w:val="18"/>
        </w:rPr>
        <w:t> 1).ImageName</w:t>
      </w:r>
    </w:p>
    <w:p w14:paraId="0710F76F" w14:textId="526CC21E" w:rsidR="002D1A5B" w:rsidRPr="006E2AFC" w:rsidRDefault="002D1A5B" w:rsidP="00DD500E">
      <w:pPr>
        <w:rPr>
          <w:rFonts w:ascii="Courier New" w:eastAsiaTheme="minorHAnsi" w:hAnsi="Courier New" w:cs="Courier New"/>
          <w:color w:val="000000"/>
          <w:sz w:val="18"/>
          <w:szCs w:val="18"/>
        </w:rPr>
      </w:pPr>
    </w:p>
    <w:p w14:paraId="3423D3EE" w14:textId="77777777" w:rsidR="00D53A7A" w:rsidRPr="00D252DE" w:rsidRDefault="00D53A7A" w:rsidP="005729D2">
      <w:pPr>
        <w:pStyle w:val="Heading4Numbered"/>
        <w:numPr>
          <w:ilvl w:val="3"/>
          <w:numId w:val="64"/>
        </w:numPr>
        <w:rPr>
          <w:rFonts w:cs="Segoe UI"/>
        </w:rPr>
      </w:pPr>
      <w:r w:rsidRPr="00D252DE">
        <w:rPr>
          <w:rFonts w:cs="Segoe UI"/>
        </w:rPr>
        <w:t>Customized Images</w:t>
      </w:r>
    </w:p>
    <w:p w14:paraId="75019C11" w14:textId="0B169D93" w:rsidR="00DD500E" w:rsidRDefault="00DD500E" w:rsidP="00DD500E">
      <w:r>
        <w:t xml:space="preserve">For various reasons, many customers would like to upload their own images as opposed to using the images provided by Azure. Reasons range from internal security standards to cost, especially in the scenario of licensing. </w:t>
      </w:r>
    </w:p>
    <w:p w14:paraId="00406EC0" w14:textId="59CD39E0" w:rsidR="00D53A7A" w:rsidRDefault="00DD500E" w:rsidP="00DD500E">
      <w:r>
        <w:t>A good example is for a SQL server. You may want to leverage a SQL server license in the cloud as opposed to paying the additional cost for the SQL Database license that is provided by Azure. In this scenario, you may want to upload your image and have it available as a gallery item for tenants in your company to consume. T</w:t>
      </w:r>
      <w:r w:rsidRPr="00E22F4B">
        <w:t xml:space="preserve">o upload a customized </w:t>
      </w:r>
      <w:r>
        <w:t>i</w:t>
      </w:r>
      <w:r w:rsidRPr="00E22F4B">
        <w:t>mage</w:t>
      </w:r>
      <w:r>
        <w:t xml:space="preserve">, see </w:t>
      </w:r>
      <w:hyperlink r:id="rId231" w:history="1">
        <w:r w:rsidRPr="00C207F7">
          <w:rPr>
            <w:rStyle w:val="Hyperlink"/>
          </w:rPr>
          <w:t>Create and upload a Windows Server VHD to Azure</w:t>
        </w:r>
      </w:hyperlink>
      <w:r>
        <w:t>.</w:t>
      </w:r>
      <w:r w:rsidR="00D53A7A">
        <w:t xml:space="preserve">.   </w:t>
      </w:r>
    </w:p>
    <w:p w14:paraId="42E57346" w14:textId="77777777" w:rsidR="00D53A7A" w:rsidRDefault="00D53A7A" w:rsidP="00D53A7A">
      <w:pPr>
        <w:rPr>
          <w:sz w:val="20"/>
        </w:rPr>
      </w:pPr>
    </w:p>
    <w:tbl>
      <w:tblPr>
        <w:tblStyle w:val="PlainTable11"/>
        <w:tblW w:w="0" w:type="auto"/>
        <w:tblLook w:val="04A0" w:firstRow="1" w:lastRow="0" w:firstColumn="1" w:lastColumn="0" w:noHBand="0" w:noVBand="1"/>
      </w:tblPr>
      <w:tblGrid>
        <w:gridCol w:w="3416"/>
        <w:gridCol w:w="5934"/>
      </w:tblGrid>
      <w:tr w:rsidR="00D53A7A" w14:paraId="203717E6" w14:textId="77777777" w:rsidTr="006E2AF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77840EC2" w14:textId="77777777" w:rsidR="00D53A7A" w:rsidRPr="00F47607" w:rsidRDefault="00D53A7A" w:rsidP="00D53A7A">
            <w:pPr>
              <w:spacing w:line="240" w:lineRule="auto"/>
              <w:rPr>
                <w:color w:val="FFFFFF"/>
              </w:rPr>
            </w:pPr>
            <w:r>
              <w:rPr>
                <w:color w:val="FFFFFF"/>
              </w:rPr>
              <w:t>Feature References</w:t>
            </w:r>
          </w:p>
        </w:tc>
      </w:tr>
      <w:tr w:rsidR="00D53A7A" w:rsidRPr="006E2AFC" w14:paraId="49F3339E" w14:textId="77777777" w:rsidTr="006E2A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7C9C89EC" w14:textId="77777777" w:rsidR="00D53A7A" w:rsidRPr="006E2AFC" w:rsidRDefault="00D53A7A" w:rsidP="00D53A7A">
            <w:pPr>
              <w:spacing w:line="240" w:lineRule="auto"/>
              <w:rPr>
                <w:sz w:val="20"/>
                <w:szCs w:val="18"/>
              </w:rPr>
            </w:pPr>
            <w:r w:rsidRPr="006E2AFC">
              <w:rPr>
                <w:sz w:val="20"/>
                <w:szCs w:val="18"/>
              </w:rPr>
              <w:t xml:space="preserve">Virtual Machine Images in Azure </w:t>
            </w:r>
          </w:p>
        </w:tc>
        <w:tc>
          <w:tcPr>
            <w:tcW w:w="5940" w:type="dxa"/>
          </w:tcPr>
          <w:p w14:paraId="1C642BDB" w14:textId="1C9F28DA" w:rsidR="00D53A7A" w:rsidRPr="006E2AFC" w:rsidRDefault="00872E47" w:rsidP="00D53A7A">
            <w:pPr>
              <w:cnfStyle w:val="000000100000" w:firstRow="0" w:lastRow="0" w:firstColumn="0" w:lastColumn="0" w:oddVBand="0" w:evenVBand="0" w:oddHBand="1" w:evenHBand="0" w:firstRowFirstColumn="0" w:firstRowLastColumn="0" w:lastRowFirstColumn="0" w:lastRowLastColumn="0"/>
              <w:rPr>
                <w:color w:val="0563C1" w:themeColor="hyperlink"/>
                <w:sz w:val="20"/>
                <w:u w:val="single"/>
              </w:rPr>
            </w:pPr>
            <w:hyperlink r:id="rId232" w:history="1">
              <w:r w:rsidR="00D53A7A" w:rsidRPr="00F3265D">
                <w:rPr>
                  <w:rStyle w:val="Hyperlink"/>
                  <w:sz w:val="20"/>
                </w:rPr>
                <w:t>https://msdn.microsoft.com/en-us/library/azure/dn790290.aspx</w:t>
              </w:r>
            </w:hyperlink>
          </w:p>
        </w:tc>
      </w:tr>
      <w:tr w:rsidR="00D53A7A" w:rsidRPr="006E2AFC" w14:paraId="098021F4" w14:textId="77777777" w:rsidTr="006E2AFC">
        <w:tc>
          <w:tcPr>
            <w:cnfStyle w:val="001000000000" w:firstRow="0" w:lastRow="0" w:firstColumn="1" w:lastColumn="0" w:oddVBand="0" w:evenVBand="0" w:oddHBand="0" w:evenHBand="0" w:firstRowFirstColumn="0" w:firstRowLastColumn="0" w:lastRowFirstColumn="0" w:lastRowLastColumn="0"/>
            <w:tcW w:w="3420" w:type="dxa"/>
          </w:tcPr>
          <w:p w14:paraId="1210240B" w14:textId="77777777" w:rsidR="00D53A7A" w:rsidRPr="006E2AFC" w:rsidRDefault="00D53A7A" w:rsidP="00D53A7A">
            <w:pPr>
              <w:spacing w:line="240" w:lineRule="auto"/>
              <w:rPr>
                <w:sz w:val="20"/>
                <w:szCs w:val="18"/>
              </w:rPr>
            </w:pPr>
            <w:r w:rsidRPr="006E2AFC">
              <w:rPr>
                <w:sz w:val="20"/>
                <w:szCs w:val="18"/>
              </w:rPr>
              <w:t>Preparing SQL Image</w:t>
            </w:r>
          </w:p>
        </w:tc>
        <w:tc>
          <w:tcPr>
            <w:tcW w:w="5940" w:type="dxa"/>
          </w:tcPr>
          <w:p w14:paraId="10438634" w14:textId="57EEC51A" w:rsidR="00D53A7A" w:rsidRPr="006E2AFC" w:rsidRDefault="00872E47" w:rsidP="00D53A7A">
            <w:pPr>
              <w:cnfStyle w:val="000000000000" w:firstRow="0" w:lastRow="0" w:firstColumn="0" w:lastColumn="0" w:oddVBand="0" w:evenVBand="0" w:oddHBand="0" w:evenHBand="0" w:firstRowFirstColumn="0" w:firstRowLastColumn="0" w:lastRowFirstColumn="0" w:lastRowLastColumn="0"/>
              <w:rPr>
                <w:color w:val="0563C1" w:themeColor="hyperlink"/>
                <w:sz w:val="20"/>
                <w:u w:val="single"/>
              </w:rPr>
            </w:pPr>
            <w:hyperlink r:id="rId233" w:history="1">
              <w:r w:rsidR="00D53A7A" w:rsidRPr="00F3265D">
                <w:rPr>
                  <w:rStyle w:val="Hyperlink"/>
                  <w:sz w:val="20"/>
                </w:rPr>
                <w:t>https://msdn.microsoft.com/en-us/library/ee210664.aspx</w:t>
              </w:r>
            </w:hyperlink>
          </w:p>
        </w:tc>
      </w:tr>
    </w:tbl>
    <w:p w14:paraId="5761FD40" w14:textId="7D34242E" w:rsidR="00D53A7A" w:rsidRPr="002B19E2" w:rsidRDefault="00B92ADE" w:rsidP="005729D2">
      <w:pPr>
        <w:pStyle w:val="Heading3Numbered"/>
        <w:numPr>
          <w:ilvl w:val="2"/>
          <w:numId w:val="64"/>
        </w:numPr>
      </w:pPr>
      <w:bookmarkStart w:id="3145" w:name="_Toc418080719"/>
      <w:bookmarkStart w:id="3146" w:name="_Toc418081888"/>
      <w:bookmarkStart w:id="3147" w:name="_Toc418083291"/>
      <w:bookmarkStart w:id="3148" w:name="_Toc418095515"/>
      <w:bookmarkStart w:id="3149" w:name="_Toc418156684"/>
      <w:bookmarkStart w:id="3150" w:name="_Toc418167603"/>
      <w:bookmarkStart w:id="3151" w:name="_Toc418185860"/>
      <w:bookmarkStart w:id="3152" w:name="_Toc422941570"/>
      <w:bookmarkStart w:id="3153" w:name="_Toc423116776"/>
      <w:bookmarkStart w:id="3154" w:name="_Toc423117809"/>
      <w:bookmarkStart w:id="3155" w:name="_Toc423117259"/>
      <w:bookmarkStart w:id="3156" w:name="_Toc431288851"/>
      <w:r>
        <w:t>Virtual Machine</w:t>
      </w:r>
      <w:r w:rsidR="00D53A7A" w:rsidRPr="00C41F9E">
        <w:t xml:space="preserve"> Extensions</w:t>
      </w:r>
      <w:bookmarkEnd w:id="3145"/>
      <w:bookmarkEnd w:id="3146"/>
      <w:bookmarkEnd w:id="3147"/>
      <w:bookmarkEnd w:id="3148"/>
      <w:bookmarkEnd w:id="3149"/>
      <w:bookmarkEnd w:id="3150"/>
      <w:bookmarkEnd w:id="3151"/>
      <w:bookmarkEnd w:id="3152"/>
      <w:bookmarkEnd w:id="3153"/>
      <w:bookmarkEnd w:id="3154"/>
      <w:bookmarkEnd w:id="3155"/>
      <w:bookmarkEnd w:id="3156"/>
    </w:p>
    <w:p w14:paraId="676F08A0" w14:textId="4FF3E34F" w:rsidR="00DD500E" w:rsidRDefault="00DD500E" w:rsidP="00DD500E">
      <w:pPr>
        <w:rPr>
          <w:shd w:val="clear" w:color="auto" w:fill="FFFFFF"/>
        </w:rPr>
      </w:pPr>
      <w:r>
        <w:rPr>
          <w:shd w:val="clear" w:color="auto" w:fill="FFFFFF"/>
        </w:rPr>
        <w:t>Azure Virtual Machines extensions are built by Microsoft and trusted third-party providers to enable security, runtime, debugging, management, and other features that you can take advantage of to increase your productivity. This section describes the various features that Azure Virtual Machines extensions provide for Windows and Linux virtual machines, and it points to documentation for each operating system.</w:t>
      </w:r>
    </w:p>
    <w:p w14:paraId="29AABEF6" w14:textId="77777777" w:rsidR="00DD500E" w:rsidRDefault="00DD500E" w:rsidP="00DD500E">
      <w:pPr>
        <w:rPr>
          <w:shd w:val="clear" w:color="auto" w:fill="FFFFFF"/>
        </w:rPr>
      </w:pPr>
      <w:r>
        <w:rPr>
          <w:shd w:val="clear" w:color="auto" w:fill="FFFFFF"/>
        </w:rPr>
        <w:t xml:space="preserve">Virtual Machines extensions implement most of the critical functionality that you want to use with your virtual machines, including basic functionality such as resetting passwords and configuring Remote Desktop Protocol (RDP). Because new extensions are added all the time, the number of possible features that your virtual machines support in Azure continues to increase. </w:t>
      </w:r>
    </w:p>
    <w:p w14:paraId="166CBF3B" w14:textId="77777777" w:rsidR="00DD500E" w:rsidRDefault="00DD500E" w:rsidP="00DD500E">
      <w:pPr>
        <w:rPr>
          <w:shd w:val="clear" w:color="auto" w:fill="FFFFFF"/>
        </w:rPr>
      </w:pPr>
      <w:r>
        <w:rPr>
          <w:shd w:val="clear" w:color="auto" w:fill="FFFFFF"/>
        </w:rPr>
        <w:t>By default, several basic Virtual Machines extensions are installed when you create your virtual machine from the image gallery, including</w:t>
      </w:r>
      <w:r>
        <w:rPr>
          <w:rStyle w:val="apple-converted-space"/>
          <w:color w:val="2A2A2A"/>
          <w:sz w:val="20"/>
          <w:szCs w:val="20"/>
          <w:shd w:val="clear" w:color="auto" w:fill="FFFFFF"/>
        </w:rPr>
        <w:t> </w:t>
      </w:r>
      <w:r>
        <w:rPr>
          <w:rStyle w:val="Strong"/>
          <w:rFonts w:cs="Segoe UI"/>
          <w:color w:val="2A2A2A"/>
          <w:sz w:val="20"/>
          <w:szCs w:val="20"/>
          <w:shd w:val="clear" w:color="auto" w:fill="FFFFFF"/>
        </w:rPr>
        <w:t>IaaSDiagnostics</w:t>
      </w:r>
      <w:r>
        <w:rPr>
          <w:rStyle w:val="apple-converted-space"/>
          <w:color w:val="2A2A2A"/>
          <w:sz w:val="20"/>
          <w:szCs w:val="20"/>
          <w:shd w:val="clear" w:color="auto" w:fill="FFFFFF"/>
        </w:rPr>
        <w:t> </w:t>
      </w:r>
      <w:r>
        <w:rPr>
          <w:shd w:val="clear" w:color="auto" w:fill="FFFFFF"/>
        </w:rPr>
        <w:t>and</w:t>
      </w:r>
      <w:r>
        <w:rPr>
          <w:rStyle w:val="apple-converted-space"/>
          <w:color w:val="2A2A2A"/>
          <w:sz w:val="20"/>
          <w:szCs w:val="20"/>
          <w:shd w:val="clear" w:color="auto" w:fill="FFFFFF"/>
        </w:rPr>
        <w:t> </w:t>
      </w:r>
      <w:r>
        <w:rPr>
          <w:rStyle w:val="Strong"/>
          <w:rFonts w:cs="Segoe UI"/>
          <w:color w:val="2A2A2A"/>
          <w:sz w:val="20"/>
          <w:szCs w:val="20"/>
          <w:shd w:val="clear" w:color="auto" w:fill="FFFFFF"/>
        </w:rPr>
        <w:t>BGInfo</w:t>
      </w:r>
      <w:r>
        <w:rPr>
          <w:shd w:val="clear" w:color="auto" w:fill="FFFFFF"/>
        </w:rPr>
        <w:t xml:space="preserve"> (currently available for Windows virtual machines only), and</w:t>
      </w:r>
      <w:r>
        <w:rPr>
          <w:rStyle w:val="apple-converted-space"/>
          <w:color w:val="2A2A2A"/>
          <w:sz w:val="20"/>
          <w:szCs w:val="20"/>
          <w:shd w:val="clear" w:color="auto" w:fill="FFFFFF"/>
        </w:rPr>
        <w:t> </w:t>
      </w:r>
      <w:r>
        <w:rPr>
          <w:rStyle w:val="Strong"/>
          <w:rFonts w:cs="Segoe UI"/>
          <w:color w:val="2A2A2A"/>
          <w:sz w:val="20"/>
          <w:szCs w:val="20"/>
          <w:shd w:val="clear" w:color="auto" w:fill="FFFFFF"/>
        </w:rPr>
        <w:t>VMAccess</w:t>
      </w:r>
      <w:r>
        <w:rPr>
          <w:shd w:val="clear" w:color="auto" w:fill="FFFFFF"/>
        </w:rPr>
        <w:t xml:space="preserve">. However, not all extensions are implemented on both Windows and Linux operating systems at any specific time. This is due to the constant flow of feature updates and new extensions. </w:t>
      </w:r>
    </w:p>
    <w:p w14:paraId="64F1086F" w14:textId="77777777" w:rsidR="00DD500E" w:rsidRDefault="00DD500E" w:rsidP="00DD500E">
      <w:pPr>
        <w:rPr>
          <w:shd w:val="clear" w:color="auto" w:fill="FFFFFF"/>
          <w:lang w:val="en"/>
        </w:rPr>
      </w:pPr>
      <w:r>
        <w:rPr>
          <w:shd w:val="clear" w:color="auto" w:fill="FFFFFF"/>
          <w:lang w:val="en"/>
        </w:rPr>
        <w:t>Virtual Machines</w:t>
      </w:r>
      <w:r w:rsidRPr="00332E98">
        <w:rPr>
          <w:shd w:val="clear" w:color="auto" w:fill="FFFFFF"/>
          <w:lang w:val="en"/>
        </w:rPr>
        <w:t xml:space="preserve"> </w:t>
      </w:r>
      <w:r>
        <w:rPr>
          <w:shd w:val="clear" w:color="auto" w:fill="FFFFFF"/>
          <w:lang w:val="en"/>
        </w:rPr>
        <w:t>e</w:t>
      </w:r>
      <w:r w:rsidRPr="00332E98">
        <w:rPr>
          <w:shd w:val="clear" w:color="auto" w:fill="FFFFFF"/>
          <w:lang w:val="en"/>
        </w:rPr>
        <w:t>xtensions provide dynamic features that Microsoft and third</w:t>
      </w:r>
      <w:r>
        <w:rPr>
          <w:shd w:val="clear" w:color="auto" w:fill="FFFFFF"/>
          <w:lang w:val="en"/>
        </w:rPr>
        <w:t>-</w:t>
      </w:r>
      <w:r w:rsidRPr="00332E98">
        <w:rPr>
          <w:shd w:val="clear" w:color="auto" w:fill="FFFFFF"/>
          <w:lang w:val="en"/>
        </w:rPr>
        <w:t xml:space="preserve">parties provide. The agent and extensions are added primarily through the Management </w:t>
      </w:r>
      <w:r>
        <w:rPr>
          <w:shd w:val="clear" w:color="auto" w:fill="FFFFFF"/>
          <w:lang w:val="en"/>
        </w:rPr>
        <w:t>p</w:t>
      </w:r>
      <w:r w:rsidRPr="00332E98">
        <w:rPr>
          <w:shd w:val="clear" w:color="auto" w:fill="FFFFFF"/>
          <w:lang w:val="en"/>
        </w:rPr>
        <w:t>ortal, but you can also use</w:t>
      </w:r>
      <w:r w:rsidRPr="00AA5D42">
        <w:rPr>
          <w:shd w:val="clear" w:color="auto" w:fill="FFFFFF"/>
          <w:lang w:val="en"/>
        </w:rPr>
        <w:t xml:space="preserve"> </w:t>
      </w:r>
      <w:r>
        <w:rPr>
          <w:shd w:val="clear" w:color="auto" w:fill="FFFFFF"/>
          <w:lang w:val="en"/>
        </w:rPr>
        <w:t xml:space="preserve">the following options </w:t>
      </w:r>
      <w:r w:rsidRPr="00332E98">
        <w:rPr>
          <w:shd w:val="clear" w:color="auto" w:fill="FFFFFF"/>
          <w:lang w:val="en"/>
        </w:rPr>
        <w:t xml:space="preserve">to add and configure </w:t>
      </w:r>
      <w:r>
        <w:rPr>
          <w:shd w:val="clear" w:color="auto" w:fill="FFFFFF"/>
          <w:lang w:val="en"/>
        </w:rPr>
        <w:t>extensions</w:t>
      </w:r>
      <w:r w:rsidRPr="00332E98">
        <w:rPr>
          <w:shd w:val="clear" w:color="auto" w:fill="FFFFFF"/>
          <w:lang w:val="en"/>
        </w:rPr>
        <w:t xml:space="preserve"> when you create a </w:t>
      </w:r>
      <w:r>
        <w:rPr>
          <w:shd w:val="clear" w:color="auto" w:fill="FFFFFF"/>
          <w:lang w:val="en"/>
        </w:rPr>
        <w:t>virtual machine</w:t>
      </w:r>
      <w:r w:rsidRPr="00332E98">
        <w:rPr>
          <w:shd w:val="clear" w:color="auto" w:fill="FFFFFF"/>
          <w:lang w:val="en"/>
        </w:rPr>
        <w:t xml:space="preserve"> or </w:t>
      </w:r>
      <w:r>
        <w:rPr>
          <w:shd w:val="clear" w:color="auto" w:fill="FFFFFF"/>
          <w:lang w:val="en"/>
        </w:rPr>
        <w:t>for</w:t>
      </w:r>
      <w:r w:rsidRPr="00332E98">
        <w:rPr>
          <w:shd w:val="clear" w:color="auto" w:fill="FFFFFF"/>
          <w:lang w:val="en"/>
        </w:rPr>
        <w:t xml:space="preserve"> existing </w:t>
      </w:r>
      <w:r>
        <w:rPr>
          <w:shd w:val="clear" w:color="auto" w:fill="FFFFFF"/>
          <w:lang w:val="en"/>
        </w:rPr>
        <w:t>virtual machines:</w:t>
      </w:r>
    </w:p>
    <w:p w14:paraId="0DDD678A" w14:textId="77777777" w:rsidR="00DD500E" w:rsidRPr="005005B9" w:rsidRDefault="00DD500E" w:rsidP="005729D2">
      <w:pPr>
        <w:pStyle w:val="ListParagraph"/>
        <w:numPr>
          <w:ilvl w:val="0"/>
          <w:numId w:val="258"/>
        </w:numPr>
        <w:rPr>
          <w:shd w:val="clear" w:color="auto" w:fill="FFFFFF"/>
          <w:lang w:val="en"/>
        </w:rPr>
      </w:pPr>
      <w:r w:rsidRPr="005005B9">
        <w:rPr>
          <w:shd w:val="clear" w:color="auto" w:fill="FFFFFF"/>
          <w:lang w:val="en"/>
        </w:rPr>
        <w:t xml:space="preserve">Azure PowerShell cmdlets </w:t>
      </w:r>
      <w:r>
        <w:rPr>
          <w:shd w:val="clear" w:color="auto" w:fill="FFFFFF"/>
          <w:lang w:val="en"/>
        </w:rPr>
        <w:t>(f</w:t>
      </w:r>
      <w:r w:rsidRPr="005005B9">
        <w:rPr>
          <w:shd w:val="clear" w:color="auto" w:fill="FFFFFF"/>
          <w:lang w:val="en"/>
        </w:rPr>
        <w:t xml:space="preserve">or more information, see </w:t>
      </w:r>
      <w:hyperlink r:id="rId234" w:history="1">
        <w:r w:rsidRPr="005005B9">
          <w:rPr>
            <w:rStyle w:val="Hyperlink"/>
            <w:shd w:val="clear" w:color="auto" w:fill="FFFFFF"/>
            <w:lang w:val="en"/>
          </w:rPr>
          <w:t>How to install and configure Azure PowerShell</w:t>
        </w:r>
      </w:hyperlink>
      <w:r>
        <w:rPr>
          <w:shd w:val="clear" w:color="auto" w:fill="FFFFFF"/>
          <w:lang w:val="en"/>
        </w:rPr>
        <w:t>)</w:t>
      </w:r>
    </w:p>
    <w:p w14:paraId="01D9CB1D" w14:textId="77777777" w:rsidR="00DD500E" w:rsidRPr="005005B9" w:rsidRDefault="00DD500E" w:rsidP="005729D2">
      <w:pPr>
        <w:pStyle w:val="ListParagraph"/>
        <w:numPr>
          <w:ilvl w:val="0"/>
          <w:numId w:val="258"/>
        </w:numPr>
        <w:rPr>
          <w:shd w:val="clear" w:color="auto" w:fill="FFFFFF"/>
          <w:lang w:val="en"/>
        </w:rPr>
      </w:pPr>
      <w:r w:rsidRPr="005005B9">
        <w:rPr>
          <w:shd w:val="clear" w:color="auto" w:fill="FFFFFF"/>
          <w:lang w:val="en"/>
        </w:rPr>
        <w:t xml:space="preserve">Azure CLI </w:t>
      </w:r>
      <w:r>
        <w:rPr>
          <w:shd w:val="clear" w:color="auto" w:fill="FFFFFF"/>
          <w:lang w:val="en"/>
        </w:rPr>
        <w:t>(f</w:t>
      </w:r>
      <w:r w:rsidRPr="005005B9">
        <w:rPr>
          <w:shd w:val="clear" w:color="auto" w:fill="FFFFFF"/>
          <w:lang w:val="en"/>
        </w:rPr>
        <w:t xml:space="preserve">or more information, see </w:t>
      </w:r>
      <w:hyperlink r:id="rId235" w:history="1">
        <w:r w:rsidRPr="005005B9">
          <w:rPr>
            <w:rStyle w:val="Hyperlink"/>
            <w:shd w:val="clear" w:color="auto" w:fill="FFFFFF"/>
            <w:lang w:val="en"/>
          </w:rPr>
          <w:t>Using the Azure CLI for Mac, Linux, and Windows with Azure Service Management</w:t>
        </w:r>
      </w:hyperlink>
      <w:r w:rsidRPr="005005B9">
        <w:rPr>
          <w:shd w:val="clear" w:color="auto" w:fill="FFFFFF"/>
          <w:lang w:val="en"/>
        </w:rPr>
        <w:t>)</w:t>
      </w:r>
      <w:r w:rsidDel="00AA5D42">
        <w:t xml:space="preserve"> </w:t>
      </w:r>
    </w:p>
    <w:p w14:paraId="7FFA9BE6" w14:textId="1712235F" w:rsidR="00D53A7A" w:rsidRDefault="00DD500E" w:rsidP="00DD500E">
      <w:r w:rsidRPr="00332E98">
        <w:rPr>
          <w:shd w:val="clear" w:color="auto" w:fill="FFFFFF"/>
          <w:lang w:val="en"/>
        </w:rPr>
        <w:t xml:space="preserve">Extensions include support for </w:t>
      </w:r>
      <w:hyperlink r:id="rId236" w:history="1">
        <w:r w:rsidRPr="00DA0A54">
          <w:rPr>
            <w:rStyle w:val="Hyperlink"/>
            <w:rFonts w:cs="Segoe UI"/>
            <w:shd w:val="clear" w:color="auto" w:fill="FFFFFF"/>
            <w:lang w:val="en"/>
          </w:rPr>
          <w:t>Remote Debugging in Visual Studio</w:t>
        </w:r>
      </w:hyperlink>
      <w:r w:rsidRPr="00DA0A54">
        <w:rPr>
          <w:shd w:val="clear" w:color="auto" w:fill="FFFFFF"/>
          <w:lang w:val="en"/>
        </w:rPr>
        <w:t xml:space="preserve">, </w:t>
      </w:r>
      <w:hyperlink r:id="rId237" w:history="1">
        <w:r w:rsidRPr="00DA0A54">
          <w:rPr>
            <w:rStyle w:val="Hyperlink"/>
            <w:rFonts w:cs="Segoe UI"/>
            <w:shd w:val="clear" w:color="auto" w:fill="FFFFFF"/>
            <w:lang w:val="en"/>
          </w:rPr>
          <w:t>System Center</w:t>
        </w:r>
        <w:r>
          <w:rPr>
            <w:rStyle w:val="Hyperlink"/>
            <w:rFonts w:cs="Segoe UI"/>
            <w:shd w:val="clear" w:color="auto" w:fill="FFFFFF"/>
            <w:lang w:val="en"/>
          </w:rPr>
          <w:t> 2</w:t>
        </w:r>
        <w:r w:rsidRPr="00DA0A54">
          <w:rPr>
            <w:rStyle w:val="Hyperlink"/>
            <w:rFonts w:cs="Segoe UI"/>
            <w:shd w:val="clear" w:color="auto" w:fill="FFFFFF"/>
            <w:lang w:val="en"/>
          </w:rPr>
          <w:t>012</w:t>
        </w:r>
      </w:hyperlink>
      <w:r w:rsidRPr="00DA0A54">
        <w:rPr>
          <w:shd w:val="clear" w:color="auto" w:fill="FFFFFF"/>
          <w:lang w:val="en"/>
        </w:rPr>
        <w:t xml:space="preserve">, </w:t>
      </w:r>
      <w:hyperlink r:id="rId238" w:history="1">
        <w:r w:rsidRPr="00DA0A54">
          <w:rPr>
            <w:rStyle w:val="Hyperlink"/>
            <w:rFonts w:cs="Segoe UI"/>
            <w:shd w:val="clear" w:color="auto" w:fill="FFFFFF"/>
            <w:lang w:val="en"/>
          </w:rPr>
          <w:t>Microsoft Azure Diagnostics</w:t>
        </w:r>
      </w:hyperlink>
      <w:r w:rsidRPr="00DA0A54">
        <w:rPr>
          <w:shd w:val="clear" w:color="auto" w:fill="FFFFFF"/>
          <w:lang w:val="en"/>
        </w:rPr>
        <w:t xml:space="preserve">, and </w:t>
      </w:r>
      <w:hyperlink r:id="rId239" w:history="1">
        <w:r w:rsidRPr="00DA0A54">
          <w:rPr>
            <w:rStyle w:val="Hyperlink"/>
            <w:rFonts w:cs="Segoe UI"/>
            <w:shd w:val="clear" w:color="auto" w:fill="FFFFFF"/>
            <w:lang w:val="en"/>
          </w:rPr>
          <w:t>Docker</w:t>
        </w:r>
      </w:hyperlink>
      <w:r w:rsidRPr="00DA0A54">
        <w:rPr>
          <w:shd w:val="clear" w:color="auto" w:fill="FFFFFF"/>
          <w:lang w:val="en"/>
        </w:rPr>
        <w:t xml:space="preserve"> </w:t>
      </w:r>
      <w:r>
        <w:rPr>
          <w:shd w:val="clear" w:color="auto" w:fill="FFFFFF"/>
          <w:lang w:val="en"/>
        </w:rPr>
        <w:t>(</w:t>
      </w:r>
      <w:r w:rsidRPr="00332E98">
        <w:rPr>
          <w:shd w:val="clear" w:color="auto" w:fill="FFFFFF"/>
          <w:lang w:val="en"/>
        </w:rPr>
        <w:t>to name a few</w:t>
      </w:r>
      <w:r>
        <w:rPr>
          <w:shd w:val="clear" w:color="auto" w:fill="FFFFFF"/>
          <w:lang w:val="en"/>
        </w:rPr>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2D1A5B" w14:paraId="5DC32D03" w14:textId="77777777" w:rsidTr="007D3FC2">
        <w:trPr>
          <w:trHeight w:val="423"/>
        </w:trPr>
        <w:tc>
          <w:tcPr>
            <w:tcW w:w="666" w:type="dxa"/>
          </w:tcPr>
          <w:p w14:paraId="2B718649" w14:textId="77777777" w:rsidR="002D1A5B" w:rsidRDefault="002D1A5B" w:rsidP="007D3FC2">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534336" behindDoc="0" locked="0" layoutInCell="1" allowOverlap="1" wp14:anchorId="23A2C2EE" wp14:editId="78BF2143">
                      <wp:simplePos x="0" y="0"/>
                      <wp:positionH relativeFrom="column">
                        <wp:posOffset>66675</wp:posOffset>
                      </wp:positionH>
                      <wp:positionV relativeFrom="paragraph">
                        <wp:posOffset>90170</wp:posOffset>
                      </wp:positionV>
                      <wp:extent cx="209550" cy="180975"/>
                      <wp:effectExtent l="57150" t="19050" r="57150" b="104775"/>
                      <wp:wrapNone/>
                      <wp:docPr id="16" name="Isosceles Tri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1B757D03" id="Isosceles Triangle 16" o:spid="_x0000_s1026" type="#_x0000_t5" style="position:absolute;margin-left:5.25pt;margin-top:7.1pt;width:16.5pt;height:14.25pt;z-index:25153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0N0iAIAAHEFAAAOAAAAZHJzL2Uyb0RvYy54bWysVNtu2zAMfR+wfxD0vtrOml6MOkXQIkOB&#10;oC3aDn1WZCkRJouapMTJvn6UfGnXFSgwzA+CaB6SInnIi8t9o8lOOK/AVLQ4yikRhkOtzLqi358W&#10;X84o8YGZmmkwoqIH4enl7POni9aWYgIb0LVwBJ0YX7a2opsQbJllnm9Ew/wRWGFQKcE1LKDo1lnt&#10;WIveG51N8vwka8HV1gEX3uPf605JZ8m/lIKHOym9CERXFN8W0unSuYpnNrtg5doxu1G8fwb7h1c0&#10;TBkMOrq6ZoGRrVN/uWoUd+BBhiMOTQZSKi5SDphNkb/J5nHDrEi5YHG8Hcvk/59bfru7d0TV2LsT&#10;SgxrsEc3HjwXWnjy5BQzay0IKrFSrfUlGjzaexdz9XYJ/IdHRfaHJgq+x+ylayIWMyX7VPbDWHax&#10;D4Tjz0l+Pp1icziqirP8/HQag2WsHIyt8+GbgIbES0VD/6pUcLZb+tDBB1h6G2hVL5TWSXDr1ZV2&#10;ZMeQBQv88tR4jOBfYCmH7tkpgXDQIhpr8yAkVggfWqSIiZti9Mc4Fyak+qDDhI5mEmOPhl8/Nuzx&#10;0VQk3o7Gk4+NR4sUGUwYjRtlwL3nQIeir7Ls8H0XfZd3LMEK6gOSw0E3Nd7yhcIGLJkP98zhmGDP&#10;cPTDHR5SQ1tR6G+UbMD9eu9/xCN7UUtJi2NXUf9zy5ygRN8Y5PV5cXwc5zQJx9PTCQrutWb1WmO2&#10;zRVgTwtcMpana8QHPVylg+YZN8Q8RkUVMxxjV5QHNwhXoVsHuGO4mM8TDGfTsrA0j5YPXY/keto/&#10;M2cHFiJ9b2EYUVa+IWKHjf0wMN8GkCqx9KWufb1xrhPX+x0UF8drOaFeNuXsNwAAAP//AwBQSwME&#10;FAAGAAgAAAAhADU8QjDZAAAABwEAAA8AAABkcnMvZG93bnJldi54bWxMjs1OwzAQhO9IvIO1SFxQ&#10;65CGtgpxKoSSI6ooPIATb36EvY5itw1vz3KC02g0o5mvOCzOigvOYfSk4HGdgEBqvRmpV/D5Ua/2&#10;IELUZLT1hAq+McChvL0pdG78ld7xcoq94BEKuVYwxDjlUoZ2QKfD2k9InHV+djqynXtpZn3lcWdl&#10;miRb6fRI/DDoCV8HbL9OZ6fAN8ux29S7/UPtJvvWVVXmjpVS93fLyzOIiEv8K8MvPqNDyUyNP5MJ&#10;wrJPnrjJmqUgOM827BvWdAeyLOR//vIHAAD//wMAUEsBAi0AFAAGAAgAAAAhALaDOJL+AAAA4QEA&#10;ABMAAAAAAAAAAAAAAAAAAAAAAFtDb250ZW50X1R5cGVzXS54bWxQSwECLQAUAAYACAAAACEAOP0h&#10;/9YAAACUAQAACwAAAAAAAAAAAAAAAAAvAQAAX3JlbHMvLnJlbHNQSwECLQAUAAYACAAAACEAhaND&#10;dIgCAABxBQAADgAAAAAAAAAAAAAAAAAuAgAAZHJzL2Uyb0RvYy54bWxQSwECLQAUAAYACAAAACEA&#10;NTxCMNkAAAAHAQAADwAAAAAAAAAAAAAAAADiBAAAZHJzL2Rvd25yZXYueG1sUEsFBgAAAAAEAAQA&#10;8wAAAOgFAAAAAA==&#10;" fillcolor="yellow" strokecolor="#70ad47 [3209]" strokeweight=".5pt">
                      <v:path arrowok="t"/>
                    </v:shape>
                  </w:pict>
                </mc:Fallback>
              </mc:AlternateContent>
            </w:r>
          </w:p>
        </w:tc>
        <w:tc>
          <w:tcPr>
            <w:tcW w:w="8604" w:type="dxa"/>
          </w:tcPr>
          <w:p w14:paraId="3D396421" w14:textId="5B3ADBD0" w:rsidR="002D1A5B" w:rsidRDefault="002D1A5B" w:rsidP="00A74CB6">
            <w:pPr>
              <w:rPr>
                <w:lang w:eastAsia="en-US"/>
              </w:rPr>
            </w:pPr>
            <w:r>
              <w:rPr>
                <w:rFonts w:eastAsiaTheme="minorHAnsi"/>
                <w:b/>
                <w:lang w:eastAsia="en-US"/>
              </w:rPr>
              <w:t xml:space="preserve">Recommended: </w:t>
            </w:r>
            <w:r>
              <w:rPr>
                <w:rFonts w:eastAsiaTheme="minorHAnsi"/>
                <w:lang w:eastAsia="en-US"/>
              </w:rPr>
              <w:t xml:space="preserve"> </w:t>
            </w:r>
            <w:r w:rsidR="00DD500E">
              <w:rPr>
                <w:rFonts w:eastAsiaTheme="minorHAnsi"/>
                <w:lang w:eastAsia="en-US"/>
              </w:rPr>
              <w:t>Evaluate each Virtual Machines extension and define which of them will be used as a standard for all of your Azure Virtual Machines. For example, you may standardize one antivirus extension to use in addition to the Azure PowerShell DSC extension</w:t>
            </w:r>
            <w:r>
              <w:rPr>
                <w:rFonts w:eastAsiaTheme="minorHAnsi"/>
                <w:lang w:eastAsia="en-US"/>
              </w:rPr>
              <w:t>.</w:t>
            </w:r>
          </w:p>
        </w:tc>
      </w:tr>
    </w:tbl>
    <w:p w14:paraId="51BE86C5" w14:textId="1328521E" w:rsidR="00C865F9" w:rsidRDefault="00C865F9" w:rsidP="00D53A7A"/>
    <w:p w14:paraId="0CE314A8" w14:textId="77777777" w:rsidR="00C865F9" w:rsidRDefault="00C865F9">
      <w:pPr>
        <w:spacing w:before="0" w:after="160" w:line="259" w:lineRule="auto"/>
      </w:pPr>
      <w:r>
        <w:br w:type="page"/>
      </w:r>
    </w:p>
    <w:p w14:paraId="2DEE3F16" w14:textId="77777777" w:rsidR="00D53A7A" w:rsidRPr="00D252DE" w:rsidRDefault="00D53A7A" w:rsidP="005729D2">
      <w:pPr>
        <w:pStyle w:val="Heading4Numbered"/>
        <w:numPr>
          <w:ilvl w:val="3"/>
          <w:numId w:val="64"/>
        </w:numPr>
        <w:rPr>
          <w:rFonts w:cs="Segoe UI"/>
          <w:color w:val="2E74B5" w:themeColor="accent1" w:themeShade="BF"/>
        </w:rPr>
      </w:pPr>
      <w:r w:rsidRPr="00D252DE">
        <w:rPr>
          <w:rFonts w:cs="Segoe UI"/>
        </w:rPr>
        <w:t>Connectivity and Basic Management</w:t>
      </w:r>
    </w:p>
    <w:p w14:paraId="27F6ECE2" w14:textId="7A1AF60D" w:rsidR="00D53A7A" w:rsidRDefault="00D53A7A" w:rsidP="00D53A7A">
      <w:pPr>
        <w:rPr>
          <w:shd w:val="clear" w:color="auto" w:fill="FFFFFF"/>
        </w:rPr>
      </w:pPr>
      <w:r w:rsidRPr="00332E98">
        <w:rPr>
          <w:shd w:val="clear" w:color="auto" w:fill="FFFFFF"/>
          <w:lang w:val="en"/>
        </w:rPr>
        <w:t>The</w:t>
      </w:r>
      <w:r w:rsidR="00DD500E" w:rsidRPr="00332E98">
        <w:rPr>
          <w:shd w:val="clear" w:color="auto" w:fill="FFFFFF"/>
          <w:lang w:val="en"/>
        </w:rPr>
        <w:t xml:space="preserve"> Azure Virtual Machine Agent (VM Agent) is used to install, configure, manage</w:t>
      </w:r>
      <w:r w:rsidR="00DD500E">
        <w:rPr>
          <w:shd w:val="clear" w:color="auto" w:fill="FFFFFF"/>
          <w:lang w:val="en"/>
        </w:rPr>
        <w:t>,</w:t>
      </w:r>
      <w:r w:rsidR="00DD500E" w:rsidRPr="00332E98">
        <w:rPr>
          <w:shd w:val="clear" w:color="auto" w:fill="FFFFFF"/>
          <w:lang w:val="en"/>
        </w:rPr>
        <w:t xml:space="preserve"> and run Azure Virtual Machine</w:t>
      </w:r>
      <w:r w:rsidR="00DD500E">
        <w:rPr>
          <w:shd w:val="clear" w:color="auto" w:fill="FFFFFF"/>
          <w:lang w:val="en"/>
        </w:rPr>
        <w:t>s</w:t>
      </w:r>
      <w:r w:rsidR="00DD500E" w:rsidRPr="00332E98">
        <w:rPr>
          <w:shd w:val="clear" w:color="auto" w:fill="FFFFFF"/>
          <w:lang w:val="en"/>
        </w:rPr>
        <w:t xml:space="preserve"> </w:t>
      </w:r>
      <w:r w:rsidR="00DD500E">
        <w:rPr>
          <w:shd w:val="clear" w:color="auto" w:fill="FFFFFF"/>
          <w:lang w:val="en"/>
        </w:rPr>
        <w:t>e</w:t>
      </w:r>
      <w:r w:rsidR="00DD500E" w:rsidRPr="00332E98">
        <w:rPr>
          <w:shd w:val="clear" w:color="auto" w:fill="FFFFFF"/>
          <w:lang w:val="en"/>
        </w:rPr>
        <w:t xml:space="preserve">xtensions. </w:t>
      </w:r>
      <w:r w:rsidR="00DD500E">
        <w:rPr>
          <w:shd w:val="clear" w:color="auto" w:fill="FFFFFF"/>
        </w:rPr>
        <w:t>The following extensions are critical for enabling, re-enabling, or disabling basic connectivity with your virtual machines after they are created and running</w:t>
      </w:r>
      <w:r>
        <w:rPr>
          <w:shd w:val="clear" w:color="auto" w:fill="FFFFFF"/>
        </w:rPr>
        <w:t xml:space="preserve">. </w:t>
      </w:r>
    </w:p>
    <w:p w14:paraId="46EA754A" w14:textId="77777777" w:rsidR="00D53A7A" w:rsidRPr="00954F07" w:rsidRDefault="00D53A7A" w:rsidP="00D53A7A">
      <w:pPr>
        <w:rPr>
          <w:rFonts w:cs="Segoe UI"/>
          <w:b/>
          <w:bCs/>
          <w:color w:val="2A2A2A"/>
          <w:sz w:val="20"/>
          <w:szCs w:val="20"/>
          <w:shd w:val="clear" w:color="auto" w:fill="FFFFFF"/>
          <w:lang w:val="en"/>
        </w:rPr>
      </w:pPr>
    </w:p>
    <w:tbl>
      <w:tblPr>
        <w:tblStyle w:val="PlainTable11"/>
        <w:tblW w:w="0" w:type="auto"/>
        <w:tblLook w:val="04A0" w:firstRow="1" w:lastRow="0" w:firstColumn="1" w:lastColumn="0" w:noHBand="0" w:noVBand="1"/>
      </w:tblPr>
      <w:tblGrid>
        <w:gridCol w:w="2155"/>
        <w:gridCol w:w="5522"/>
        <w:gridCol w:w="1673"/>
      </w:tblGrid>
      <w:tr w:rsidR="006E2AFC" w:rsidRPr="006E2AFC" w14:paraId="60521218" w14:textId="77777777" w:rsidTr="006E2AF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shd w:val="clear" w:color="auto" w:fill="808080" w:themeFill="background1" w:themeFillShade="80"/>
            <w:hideMark/>
          </w:tcPr>
          <w:p w14:paraId="2BA273E5" w14:textId="77777777" w:rsidR="00D53A7A" w:rsidRPr="006E2AFC" w:rsidRDefault="00D53A7A" w:rsidP="00D53A7A">
            <w:pPr>
              <w:rPr>
                <w:rFonts w:cs="Segoe UI"/>
                <w:color w:val="FFFFFF" w:themeColor="background1"/>
                <w:sz w:val="20"/>
                <w:szCs w:val="20"/>
                <w:shd w:val="clear" w:color="auto" w:fill="FFFFFF"/>
              </w:rPr>
            </w:pPr>
            <w:r w:rsidRPr="006E2AFC">
              <w:rPr>
                <w:color w:val="FFFFFF" w:themeColor="background1"/>
                <w:sz w:val="20"/>
              </w:rPr>
              <w:t xml:space="preserve">VM Extension Name </w:t>
            </w:r>
          </w:p>
        </w:tc>
        <w:tc>
          <w:tcPr>
            <w:tcW w:w="5522" w:type="dxa"/>
            <w:shd w:val="clear" w:color="auto" w:fill="808080" w:themeFill="background1" w:themeFillShade="80"/>
            <w:hideMark/>
          </w:tcPr>
          <w:p w14:paraId="1244F422" w14:textId="77777777" w:rsidR="00D53A7A" w:rsidRPr="006E2AFC" w:rsidRDefault="00D53A7A" w:rsidP="00D53A7A">
            <w:pPr>
              <w:cnfStyle w:val="100000000000" w:firstRow="1" w:lastRow="0" w:firstColumn="0" w:lastColumn="0" w:oddVBand="0" w:evenVBand="0" w:oddHBand="0" w:evenHBand="0" w:firstRowFirstColumn="0" w:firstRowLastColumn="0" w:lastRowFirstColumn="0" w:lastRowLastColumn="0"/>
              <w:rPr>
                <w:rFonts w:cs="Segoe UI"/>
                <w:color w:val="FFFFFF" w:themeColor="background1"/>
                <w:sz w:val="20"/>
                <w:szCs w:val="20"/>
                <w:shd w:val="clear" w:color="auto" w:fill="FFFFFF"/>
              </w:rPr>
            </w:pPr>
            <w:r w:rsidRPr="006E2AFC">
              <w:rPr>
                <w:color w:val="FFFFFF" w:themeColor="background1"/>
                <w:sz w:val="20"/>
              </w:rPr>
              <w:t xml:space="preserve">Feature Description </w:t>
            </w:r>
          </w:p>
        </w:tc>
        <w:tc>
          <w:tcPr>
            <w:tcW w:w="0" w:type="auto"/>
            <w:shd w:val="clear" w:color="auto" w:fill="808080" w:themeFill="background1" w:themeFillShade="80"/>
            <w:hideMark/>
          </w:tcPr>
          <w:p w14:paraId="7A566AF4" w14:textId="77777777" w:rsidR="00D53A7A" w:rsidRPr="006E2AFC" w:rsidRDefault="00D53A7A" w:rsidP="00D53A7A">
            <w:pPr>
              <w:cnfStyle w:val="100000000000" w:firstRow="1" w:lastRow="0" w:firstColumn="0" w:lastColumn="0" w:oddVBand="0" w:evenVBand="0" w:oddHBand="0" w:evenHBand="0" w:firstRowFirstColumn="0" w:firstRowLastColumn="0" w:lastRowFirstColumn="0" w:lastRowLastColumn="0"/>
              <w:rPr>
                <w:rFonts w:cs="Segoe UI"/>
                <w:color w:val="FFFFFF" w:themeColor="background1"/>
                <w:sz w:val="20"/>
                <w:szCs w:val="20"/>
                <w:shd w:val="clear" w:color="auto" w:fill="FFFFFF"/>
              </w:rPr>
            </w:pPr>
            <w:r w:rsidRPr="006E2AFC">
              <w:rPr>
                <w:color w:val="FFFFFF" w:themeColor="background1"/>
                <w:sz w:val="20"/>
              </w:rPr>
              <w:t xml:space="preserve">More Information </w:t>
            </w:r>
          </w:p>
        </w:tc>
      </w:tr>
      <w:tr w:rsidR="00D53A7A" w:rsidRPr="00954F07" w14:paraId="26F520B4" w14:textId="77777777" w:rsidTr="006E2AF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hideMark/>
          </w:tcPr>
          <w:p w14:paraId="478CFB82" w14:textId="77777777" w:rsidR="00D53A7A" w:rsidRPr="004F6301" w:rsidRDefault="00D53A7A" w:rsidP="00D53A7A">
            <w:pPr>
              <w:rPr>
                <w:rFonts w:cs="Segoe UI"/>
                <w:color w:val="2A2A2A"/>
                <w:szCs w:val="20"/>
                <w:shd w:val="clear" w:color="auto" w:fill="FFFFFF"/>
              </w:rPr>
            </w:pPr>
            <w:r w:rsidRPr="004F6301">
              <w:rPr>
                <w:rFonts w:cs="Segoe UI"/>
                <w:b w:val="0"/>
                <w:color w:val="2A2A2A"/>
                <w:szCs w:val="20"/>
                <w:shd w:val="clear" w:color="auto" w:fill="FFFFFF"/>
              </w:rPr>
              <w:t>VMAccessAgent</w:t>
            </w:r>
            <w:r w:rsidRPr="004F6301">
              <w:rPr>
                <w:rFonts w:cs="Segoe UI"/>
                <w:color w:val="2A2A2A"/>
                <w:szCs w:val="20"/>
                <w:shd w:val="clear" w:color="auto" w:fill="FFFFFF"/>
              </w:rPr>
              <w:t xml:space="preserve"> (Windows)</w:t>
            </w:r>
          </w:p>
          <w:p w14:paraId="06998D6F" w14:textId="77777777" w:rsidR="00D53A7A" w:rsidRPr="004F6301" w:rsidRDefault="00D53A7A" w:rsidP="00D53A7A">
            <w:pPr>
              <w:rPr>
                <w:rFonts w:cs="Segoe UI"/>
                <w:color w:val="2A2A2A"/>
                <w:szCs w:val="20"/>
                <w:shd w:val="clear" w:color="auto" w:fill="FFFFFF"/>
              </w:rPr>
            </w:pPr>
            <w:r w:rsidRPr="004F6301">
              <w:rPr>
                <w:rFonts w:cs="Segoe UI"/>
                <w:b w:val="0"/>
                <w:color w:val="2A2A2A"/>
                <w:szCs w:val="20"/>
                <w:shd w:val="clear" w:color="auto" w:fill="FFFFFF"/>
              </w:rPr>
              <w:t>VMAccessForLinux</w:t>
            </w:r>
            <w:r w:rsidRPr="004F6301">
              <w:rPr>
                <w:rFonts w:cs="Segoe UI"/>
                <w:color w:val="2A2A2A"/>
                <w:szCs w:val="20"/>
                <w:shd w:val="clear" w:color="auto" w:fill="FFFFFF"/>
              </w:rPr>
              <w:t xml:space="preserve"> (Linux)</w:t>
            </w:r>
          </w:p>
        </w:tc>
        <w:tc>
          <w:tcPr>
            <w:tcW w:w="5522" w:type="dxa"/>
            <w:hideMark/>
          </w:tcPr>
          <w:p w14:paraId="4BD3A1AE" w14:textId="77777777" w:rsidR="00D53A7A" w:rsidRPr="004F6301" w:rsidRDefault="00D53A7A" w:rsidP="00D53A7A">
            <w:pPr>
              <w:cnfStyle w:val="000000100000" w:firstRow="0" w:lastRow="0" w:firstColumn="0" w:lastColumn="0" w:oddVBand="0" w:evenVBand="0" w:oddHBand="1" w:evenHBand="0" w:firstRowFirstColumn="0" w:firstRowLastColumn="0" w:lastRowFirstColumn="0" w:lastRowLastColumn="0"/>
              <w:rPr>
                <w:rFonts w:cs="Segoe UI"/>
                <w:color w:val="2A2A2A"/>
                <w:szCs w:val="20"/>
                <w:shd w:val="clear" w:color="auto" w:fill="FFFFFF"/>
              </w:rPr>
            </w:pPr>
            <w:r w:rsidRPr="004F6301">
              <w:rPr>
                <w:rFonts w:cs="Segoe UI"/>
                <w:color w:val="2A2A2A"/>
                <w:szCs w:val="20"/>
                <w:shd w:val="clear" w:color="auto" w:fill="FFFFFF"/>
              </w:rPr>
              <w:t>Create, update, and reset user information and RDP and SSH connection configurations.</w:t>
            </w:r>
          </w:p>
        </w:tc>
        <w:tc>
          <w:tcPr>
            <w:tcW w:w="0" w:type="auto"/>
            <w:hideMark/>
          </w:tcPr>
          <w:p w14:paraId="10EE7F8F" w14:textId="77777777" w:rsidR="00D53A7A" w:rsidRPr="004F6301" w:rsidRDefault="00872E47" w:rsidP="00D53A7A">
            <w:pPr>
              <w:cnfStyle w:val="000000100000" w:firstRow="0" w:lastRow="0" w:firstColumn="0" w:lastColumn="0" w:oddVBand="0" w:evenVBand="0" w:oddHBand="1" w:evenHBand="0" w:firstRowFirstColumn="0" w:firstRowLastColumn="0" w:lastRowFirstColumn="0" w:lastRowLastColumn="0"/>
              <w:rPr>
                <w:rFonts w:cs="Segoe UI"/>
                <w:color w:val="2A2A2A"/>
                <w:szCs w:val="20"/>
                <w:shd w:val="clear" w:color="auto" w:fill="FFFFFF"/>
              </w:rPr>
            </w:pPr>
            <w:hyperlink r:id="rId240" w:history="1">
              <w:r w:rsidR="00D53A7A" w:rsidRPr="004F6301">
                <w:rPr>
                  <w:rStyle w:val="Hyperlink"/>
                  <w:rFonts w:cs="Segoe UI"/>
                  <w:sz w:val="20"/>
                  <w:szCs w:val="20"/>
                  <w:shd w:val="clear" w:color="auto" w:fill="FFFFFF"/>
                </w:rPr>
                <w:t>Windows</w:t>
              </w:r>
            </w:hyperlink>
            <w:r w:rsidR="00D53A7A" w:rsidRPr="004F6301">
              <w:rPr>
                <w:rFonts w:cs="Segoe UI"/>
                <w:color w:val="2A2A2A"/>
                <w:szCs w:val="20"/>
                <w:shd w:val="clear" w:color="auto" w:fill="FFFFFF"/>
              </w:rPr>
              <w:t xml:space="preserve"> </w:t>
            </w:r>
          </w:p>
          <w:p w14:paraId="28A04148" w14:textId="77777777" w:rsidR="00D53A7A" w:rsidRPr="004F6301" w:rsidRDefault="00872E47" w:rsidP="00D53A7A">
            <w:pPr>
              <w:cnfStyle w:val="000000100000" w:firstRow="0" w:lastRow="0" w:firstColumn="0" w:lastColumn="0" w:oddVBand="0" w:evenVBand="0" w:oddHBand="1" w:evenHBand="0" w:firstRowFirstColumn="0" w:firstRowLastColumn="0" w:lastRowFirstColumn="0" w:lastRowLastColumn="0"/>
              <w:rPr>
                <w:rFonts w:cs="Segoe UI"/>
                <w:color w:val="2A2A2A"/>
                <w:szCs w:val="20"/>
                <w:shd w:val="clear" w:color="auto" w:fill="FFFFFF"/>
              </w:rPr>
            </w:pPr>
            <w:hyperlink r:id="rId241" w:history="1">
              <w:r w:rsidR="00D53A7A" w:rsidRPr="004F6301">
                <w:rPr>
                  <w:rStyle w:val="Hyperlink"/>
                  <w:rFonts w:cs="Segoe UI"/>
                  <w:sz w:val="20"/>
                  <w:szCs w:val="20"/>
                  <w:shd w:val="clear" w:color="auto" w:fill="FFFFFF"/>
                </w:rPr>
                <w:t>Linux</w:t>
              </w:r>
            </w:hyperlink>
          </w:p>
        </w:tc>
      </w:tr>
    </w:tbl>
    <w:p w14:paraId="4E159136" w14:textId="77777777" w:rsidR="00D53A7A" w:rsidRDefault="00D53A7A" w:rsidP="00D53A7A">
      <w:pPr>
        <w:rPr>
          <w:b/>
        </w:rPr>
      </w:pPr>
    </w:p>
    <w:p w14:paraId="6D04CF84" w14:textId="061CDB0B" w:rsidR="00707CAF" w:rsidRDefault="00D53A7A" w:rsidP="005729D2">
      <w:pPr>
        <w:pStyle w:val="Heading4Numbered"/>
        <w:numPr>
          <w:ilvl w:val="3"/>
          <w:numId w:val="64"/>
        </w:numPr>
        <w:rPr>
          <w:rFonts w:cs="Segoe UI"/>
        </w:rPr>
      </w:pPr>
      <w:r w:rsidRPr="00E85B07">
        <w:rPr>
          <w:rFonts w:cs="Segoe UI"/>
        </w:rPr>
        <w:t>Deployment and Configuration Management</w:t>
      </w:r>
    </w:p>
    <w:p w14:paraId="1C0BE720" w14:textId="44DF1B1E" w:rsidR="00C210FB" w:rsidRPr="00C210FB" w:rsidRDefault="00C210FB" w:rsidP="00C210FB">
      <w:r>
        <w:t xml:space="preserve">The Azure </w:t>
      </w:r>
      <w:r w:rsidRPr="00C210FB">
        <w:t xml:space="preserve">CustomScript extension automatically runs a specified script or a set of scripts on a running </w:t>
      </w:r>
      <w:r>
        <w:t xml:space="preserve">virtual machine </w:t>
      </w:r>
      <w:r>
        <w:rPr>
          <w:shd w:val="clear" w:color="auto" w:fill="FFFFFF"/>
        </w:rPr>
        <w:t>after they are created and running.</w:t>
      </w:r>
    </w:p>
    <w:tbl>
      <w:tblPr>
        <w:tblStyle w:val="PlainTable11"/>
        <w:tblpPr w:leftFromText="180" w:rightFromText="180" w:vertAnchor="text" w:horzAnchor="margin" w:tblpY="257"/>
        <w:tblW w:w="0" w:type="auto"/>
        <w:tblLook w:val="0420" w:firstRow="1" w:lastRow="0" w:firstColumn="0" w:lastColumn="0" w:noHBand="0" w:noVBand="1"/>
      </w:tblPr>
      <w:tblGrid>
        <w:gridCol w:w="2155"/>
        <w:gridCol w:w="7195"/>
      </w:tblGrid>
      <w:tr w:rsidR="00A54C92" w:rsidRPr="006E2AFC" w14:paraId="1BFAD8C3" w14:textId="77777777" w:rsidTr="00763DF3">
        <w:trPr>
          <w:cnfStyle w:val="100000000000" w:firstRow="1" w:lastRow="0" w:firstColumn="0" w:lastColumn="0" w:oddVBand="0" w:evenVBand="0" w:oddHBand="0" w:evenHBand="0" w:firstRowFirstColumn="0" w:firstRowLastColumn="0" w:lastRowFirstColumn="0" w:lastRowLastColumn="0"/>
        </w:trPr>
        <w:tc>
          <w:tcPr>
            <w:tcW w:w="2155" w:type="dxa"/>
            <w:shd w:val="clear" w:color="auto" w:fill="808080" w:themeFill="background1" w:themeFillShade="80"/>
          </w:tcPr>
          <w:p w14:paraId="50B9A284" w14:textId="77777777" w:rsidR="00A54C92" w:rsidRPr="007B720C" w:rsidRDefault="00A54C92" w:rsidP="00763DF3">
            <w:pPr>
              <w:rPr>
                <w:color w:val="FFFFFF" w:themeColor="background1"/>
                <w:sz w:val="20"/>
                <w:szCs w:val="20"/>
              </w:rPr>
            </w:pPr>
            <w:r w:rsidRPr="007B720C">
              <w:rPr>
                <w:color w:val="FFFFFF" w:themeColor="background1"/>
                <w:sz w:val="20"/>
                <w:szCs w:val="20"/>
              </w:rPr>
              <w:t>Name</w:t>
            </w:r>
          </w:p>
        </w:tc>
        <w:tc>
          <w:tcPr>
            <w:tcW w:w="7195" w:type="dxa"/>
            <w:shd w:val="clear" w:color="auto" w:fill="808080" w:themeFill="background1" w:themeFillShade="80"/>
          </w:tcPr>
          <w:p w14:paraId="7C9C872E" w14:textId="21B0ADF3" w:rsidR="00A54C92" w:rsidRPr="007B720C" w:rsidRDefault="00A54C92" w:rsidP="00C210FB">
            <w:pPr>
              <w:rPr>
                <w:color w:val="FFFFFF" w:themeColor="background1"/>
                <w:sz w:val="20"/>
                <w:szCs w:val="20"/>
              </w:rPr>
            </w:pPr>
            <w:r w:rsidRPr="007B720C">
              <w:rPr>
                <w:color w:val="FFFFFF" w:themeColor="background1"/>
                <w:sz w:val="20"/>
                <w:szCs w:val="20"/>
              </w:rPr>
              <w:t xml:space="preserve">Custom </w:t>
            </w:r>
            <w:r w:rsidR="00C210FB">
              <w:rPr>
                <w:color w:val="FFFFFF" w:themeColor="background1"/>
                <w:sz w:val="20"/>
                <w:szCs w:val="20"/>
              </w:rPr>
              <w:t>Script Extension</w:t>
            </w:r>
          </w:p>
        </w:tc>
      </w:tr>
      <w:tr w:rsidR="00A54C92" w:rsidRPr="00A2569F" w14:paraId="576E09A0" w14:textId="77777777" w:rsidTr="00763DF3">
        <w:trPr>
          <w:cnfStyle w:val="000000100000" w:firstRow="0" w:lastRow="0" w:firstColumn="0" w:lastColumn="0" w:oddVBand="0" w:evenVBand="0" w:oddHBand="1" w:evenHBand="0" w:firstRowFirstColumn="0" w:firstRowLastColumn="0" w:lastRowFirstColumn="0" w:lastRowLastColumn="0"/>
        </w:trPr>
        <w:tc>
          <w:tcPr>
            <w:tcW w:w="2155" w:type="dxa"/>
          </w:tcPr>
          <w:p w14:paraId="015A7DCC" w14:textId="77777777" w:rsidR="00A54C92" w:rsidRPr="009A6B9D" w:rsidRDefault="00A54C92" w:rsidP="00763DF3">
            <w:pPr>
              <w:shd w:val="clear" w:color="auto" w:fill="FFFFFF"/>
              <w:spacing w:before="0" w:after="0" w:line="240" w:lineRule="auto"/>
              <w:rPr>
                <w:rFonts w:eastAsiaTheme="minorHAnsi" w:cs="Segoe UI"/>
                <w:b/>
                <w:color w:val="000000"/>
                <w:sz w:val="20"/>
                <w:szCs w:val="20"/>
              </w:rPr>
            </w:pPr>
            <w:r w:rsidRPr="009A6B9D">
              <w:rPr>
                <w:rFonts w:eastAsiaTheme="minorHAnsi" w:cs="Segoe UI"/>
                <w:b/>
                <w:color w:val="000000"/>
                <w:sz w:val="20"/>
                <w:szCs w:val="20"/>
              </w:rPr>
              <w:t>Description</w:t>
            </w:r>
          </w:p>
          <w:p w14:paraId="07989D21" w14:textId="77777777" w:rsidR="00A54C92" w:rsidRPr="009A6B9D" w:rsidRDefault="00A54C92" w:rsidP="00763DF3">
            <w:pPr>
              <w:shd w:val="clear" w:color="auto" w:fill="FFFFFF"/>
              <w:spacing w:before="0" w:after="0" w:line="240" w:lineRule="auto"/>
              <w:jc w:val="center"/>
              <w:rPr>
                <w:rFonts w:eastAsiaTheme="minorHAnsi" w:cs="Segoe UI"/>
                <w:b/>
                <w:color w:val="000000"/>
                <w:sz w:val="20"/>
                <w:szCs w:val="20"/>
              </w:rPr>
            </w:pPr>
          </w:p>
        </w:tc>
        <w:tc>
          <w:tcPr>
            <w:tcW w:w="7195" w:type="dxa"/>
          </w:tcPr>
          <w:p w14:paraId="04D0C04D" w14:textId="77777777" w:rsidR="00A54C92" w:rsidRPr="009A6B9D" w:rsidRDefault="00A54C92" w:rsidP="00763DF3">
            <w:pPr>
              <w:spacing w:before="0" w:after="0" w:line="240" w:lineRule="auto"/>
              <w:rPr>
                <w:rFonts w:eastAsiaTheme="minorHAnsi" w:cs="Segoe UI"/>
                <w:color w:val="000000"/>
                <w:sz w:val="20"/>
                <w:szCs w:val="20"/>
              </w:rPr>
            </w:pPr>
            <w:r w:rsidRPr="009A6B9D">
              <w:rPr>
                <w:rFonts w:eastAsiaTheme="minorHAnsi" w:cs="Segoe UI"/>
                <w:color w:val="000000"/>
                <w:sz w:val="20"/>
                <w:szCs w:val="20"/>
              </w:rPr>
              <w:t>Execution of Windows PowerShell on the target resource</w:t>
            </w:r>
          </w:p>
        </w:tc>
      </w:tr>
      <w:tr w:rsidR="00A54C92" w:rsidRPr="00A2569F" w14:paraId="08399D43" w14:textId="77777777" w:rsidTr="00763DF3">
        <w:tc>
          <w:tcPr>
            <w:tcW w:w="2155" w:type="dxa"/>
          </w:tcPr>
          <w:p w14:paraId="3374116F" w14:textId="77777777" w:rsidR="00A54C92" w:rsidRPr="009A6B9D" w:rsidRDefault="00A54C92" w:rsidP="00763DF3">
            <w:pPr>
              <w:shd w:val="clear" w:color="auto" w:fill="FFFFFF"/>
              <w:spacing w:before="0" w:after="0" w:line="240" w:lineRule="auto"/>
              <w:rPr>
                <w:rFonts w:eastAsiaTheme="minorHAnsi" w:cs="Segoe UI"/>
                <w:b/>
                <w:color w:val="000000"/>
                <w:sz w:val="20"/>
                <w:szCs w:val="20"/>
              </w:rPr>
            </w:pPr>
            <w:r w:rsidRPr="009A6B9D">
              <w:rPr>
                <w:rFonts w:eastAsiaTheme="minorHAnsi" w:cs="Segoe UI"/>
                <w:b/>
                <w:color w:val="000000"/>
                <w:sz w:val="20"/>
                <w:szCs w:val="20"/>
              </w:rPr>
              <w:t>Applicability</w:t>
            </w:r>
          </w:p>
          <w:p w14:paraId="06CDAA71" w14:textId="77777777" w:rsidR="00A54C92" w:rsidRPr="009A6B9D" w:rsidRDefault="00A54C92" w:rsidP="00763DF3">
            <w:pPr>
              <w:spacing w:before="0" w:after="0" w:line="240" w:lineRule="auto"/>
              <w:rPr>
                <w:rFonts w:eastAsiaTheme="minorHAnsi" w:cs="Segoe UI"/>
                <w:b/>
                <w:color w:val="000000"/>
                <w:sz w:val="20"/>
                <w:szCs w:val="20"/>
              </w:rPr>
            </w:pPr>
          </w:p>
        </w:tc>
        <w:tc>
          <w:tcPr>
            <w:tcW w:w="7195" w:type="dxa"/>
          </w:tcPr>
          <w:p w14:paraId="1B105FBC" w14:textId="77777777" w:rsidR="00A54C92" w:rsidRPr="009A6B9D" w:rsidRDefault="00A54C92" w:rsidP="00763DF3">
            <w:pPr>
              <w:spacing w:before="0" w:after="0" w:line="240" w:lineRule="auto"/>
              <w:rPr>
                <w:rFonts w:eastAsiaTheme="minorHAnsi" w:cs="Segoe UI"/>
                <w:color w:val="000000"/>
                <w:sz w:val="20"/>
                <w:szCs w:val="20"/>
              </w:rPr>
            </w:pPr>
            <w:r w:rsidRPr="009A6B9D">
              <w:rPr>
                <w:rFonts w:eastAsiaTheme="minorHAnsi" w:cs="Segoe UI"/>
                <w:color w:val="000000"/>
                <w:sz w:val="20"/>
                <w:szCs w:val="20"/>
              </w:rPr>
              <w:t>Provisioning in Azure:</w:t>
            </w:r>
          </w:p>
          <w:p w14:paraId="5E3568FD" w14:textId="77777777" w:rsidR="00A54C92" w:rsidRPr="009A6B9D" w:rsidRDefault="00A54C92" w:rsidP="005729D2">
            <w:pPr>
              <w:numPr>
                <w:ilvl w:val="0"/>
                <w:numId w:val="260"/>
              </w:numPr>
              <w:spacing w:before="0" w:after="0" w:line="240" w:lineRule="auto"/>
              <w:rPr>
                <w:rFonts w:eastAsiaTheme="minorHAnsi" w:cs="Segoe UI"/>
                <w:color w:val="000000"/>
                <w:sz w:val="20"/>
                <w:szCs w:val="20"/>
              </w:rPr>
            </w:pPr>
            <w:r w:rsidRPr="009A6B9D">
              <w:rPr>
                <w:rFonts w:eastAsiaTheme="minorHAnsi" w:cs="Segoe UI"/>
                <w:color w:val="000000"/>
                <w:sz w:val="20"/>
                <w:szCs w:val="20"/>
              </w:rPr>
              <w:t>Post virtual machine installations</w:t>
            </w:r>
          </w:p>
          <w:p w14:paraId="4209ACDE" w14:textId="77777777" w:rsidR="00A54C92" w:rsidRPr="009A6B9D" w:rsidRDefault="00A54C92" w:rsidP="005729D2">
            <w:pPr>
              <w:numPr>
                <w:ilvl w:val="0"/>
                <w:numId w:val="260"/>
              </w:numPr>
              <w:spacing w:before="0" w:after="0" w:line="240" w:lineRule="auto"/>
              <w:rPr>
                <w:rFonts w:eastAsiaTheme="minorHAnsi" w:cs="Segoe UI"/>
                <w:color w:val="000000"/>
                <w:sz w:val="20"/>
                <w:szCs w:val="20"/>
              </w:rPr>
            </w:pPr>
            <w:r w:rsidRPr="009A6B9D">
              <w:rPr>
                <w:rFonts w:eastAsiaTheme="minorHAnsi" w:cs="Segoe UI"/>
                <w:color w:val="000000"/>
                <w:sz w:val="20"/>
                <w:szCs w:val="20"/>
              </w:rPr>
              <w:t xml:space="preserve">Multiple point of integration (for example, Azure, virtual machines, or Active Directory) </w:t>
            </w:r>
          </w:p>
        </w:tc>
      </w:tr>
      <w:tr w:rsidR="00A54C92" w:rsidRPr="00A2569F" w14:paraId="192452CD" w14:textId="77777777" w:rsidTr="00763DF3">
        <w:trPr>
          <w:cnfStyle w:val="000000100000" w:firstRow="0" w:lastRow="0" w:firstColumn="0" w:lastColumn="0" w:oddVBand="0" w:evenVBand="0" w:oddHBand="1" w:evenHBand="0" w:firstRowFirstColumn="0" w:firstRowLastColumn="0" w:lastRowFirstColumn="0" w:lastRowLastColumn="0"/>
        </w:trPr>
        <w:tc>
          <w:tcPr>
            <w:tcW w:w="2155" w:type="dxa"/>
          </w:tcPr>
          <w:p w14:paraId="2552DA4D" w14:textId="77777777" w:rsidR="00A54C92" w:rsidRPr="009A6B9D" w:rsidRDefault="00A54C92" w:rsidP="00763DF3">
            <w:pPr>
              <w:shd w:val="clear" w:color="auto" w:fill="FFFFFF"/>
              <w:tabs>
                <w:tab w:val="left" w:pos="1155"/>
              </w:tabs>
              <w:spacing w:before="0" w:after="0" w:line="240" w:lineRule="auto"/>
              <w:rPr>
                <w:rFonts w:eastAsiaTheme="minorHAnsi" w:cs="Segoe UI"/>
                <w:b/>
                <w:color w:val="000000"/>
                <w:sz w:val="20"/>
                <w:szCs w:val="20"/>
              </w:rPr>
            </w:pPr>
            <w:r w:rsidRPr="009A6B9D">
              <w:rPr>
                <w:rFonts w:eastAsiaTheme="minorHAnsi" w:cs="Segoe UI"/>
                <w:b/>
                <w:color w:val="000000"/>
                <w:sz w:val="20"/>
                <w:szCs w:val="20"/>
              </w:rPr>
              <w:t>Pros</w:t>
            </w:r>
          </w:p>
          <w:p w14:paraId="768D6FF8" w14:textId="77777777" w:rsidR="00A54C92" w:rsidRPr="009A6B9D" w:rsidRDefault="00A54C92" w:rsidP="00763DF3">
            <w:pPr>
              <w:spacing w:before="0" w:after="0" w:line="240" w:lineRule="auto"/>
              <w:rPr>
                <w:rFonts w:eastAsiaTheme="minorHAnsi" w:cs="Segoe UI"/>
                <w:b/>
                <w:color w:val="000000"/>
                <w:sz w:val="20"/>
                <w:szCs w:val="20"/>
              </w:rPr>
            </w:pPr>
          </w:p>
        </w:tc>
        <w:tc>
          <w:tcPr>
            <w:tcW w:w="7195" w:type="dxa"/>
          </w:tcPr>
          <w:p w14:paraId="2B0D7F8C" w14:textId="77777777" w:rsidR="00A54C92" w:rsidRPr="009A6B9D" w:rsidRDefault="00A54C92" w:rsidP="005729D2">
            <w:pPr>
              <w:numPr>
                <w:ilvl w:val="0"/>
                <w:numId w:val="259"/>
              </w:numPr>
              <w:spacing w:before="0" w:after="0" w:line="240" w:lineRule="auto"/>
              <w:rPr>
                <w:rFonts w:eastAsiaTheme="minorHAnsi" w:cs="Segoe UI"/>
                <w:color w:val="000000"/>
                <w:sz w:val="20"/>
                <w:szCs w:val="20"/>
              </w:rPr>
            </w:pPr>
            <w:r w:rsidRPr="009A6B9D">
              <w:rPr>
                <w:rFonts w:eastAsiaTheme="minorHAnsi" w:cs="Segoe UI"/>
                <w:color w:val="000000"/>
                <w:sz w:val="20"/>
                <w:szCs w:val="20"/>
              </w:rPr>
              <w:t>Developed in Windows PowerShell, code can be easily edited and ported into Azure Automation</w:t>
            </w:r>
          </w:p>
          <w:p w14:paraId="3FE2DA7A" w14:textId="77777777" w:rsidR="00A54C92" w:rsidRPr="009A6B9D" w:rsidRDefault="00A54C92" w:rsidP="005729D2">
            <w:pPr>
              <w:numPr>
                <w:ilvl w:val="0"/>
                <w:numId w:val="259"/>
              </w:numPr>
              <w:spacing w:before="0" w:after="0" w:line="240" w:lineRule="auto"/>
              <w:rPr>
                <w:rFonts w:eastAsiaTheme="minorHAnsi" w:cs="Segoe UI"/>
                <w:color w:val="000000"/>
                <w:sz w:val="20"/>
                <w:szCs w:val="20"/>
              </w:rPr>
            </w:pPr>
            <w:r w:rsidRPr="009A6B9D">
              <w:rPr>
                <w:rFonts w:eastAsiaTheme="minorHAnsi" w:cs="Segoe UI"/>
                <w:color w:val="000000"/>
                <w:sz w:val="20"/>
                <w:szCs w:val="20"/>
              </w:rPr>
              <w:t>Reproducible artifact that can be used multiple times</w:t>
            </w:r>
          </w:p>
          <w:p w14:paraId="7CE45222" w14:textId="77777777" w:rsidR="00A54C92" w:rsidRPr="009A6B9D" w:rsidRDefault="00A54C92" w:rsidP="005729D2">
            <w:pPr>
              <w:numPr>
                <w:ilvl w:val="0"/>
                <w:numId w:val="259"/>
              </w:numPr>
              <w:spacing w:before="0" w:after="0" w:line="240" w:lineRule="auto"/>
              <w:rPr>
                <w:rFonts w:eastAsiaTheme="minorHAnsi" w:cs="Segoe UI"/>
                <w:color w:val="000000"/>
                <w:sz w:val="20"/>
                <w:szCs w:val="20"/>
              </w:rPr>
            </w:pPr>
            <w:r w:rsidRPr="009A6B9D">
              <w:rPr>
                <w:rFonts w:eastAsiaTheme="minorHAnsi" w:cs="Segoe UI"/>
                <w:color w:val="000000"/>
                <w:sz w:val="20"/>
                <w:szCs w:val="20"/>
              </w:rPr>
              <w:t>Can be executed remotely</w:t>
            </w:r>
          </w:p>
          <w:p w14:paraId="5E2FDE0F" w14:textId="77777777" w:rsidR="00A54C92" w:rsidRPr="009A6B9D" w:rsidRDefault="00A54C92" w:rsidP="005729D2">
            <w:pPr>
              <w:numPr>
                <w:ilvl w:val="0"/>
                <w:numId w:val="259"/>
              </w:numPr>
              <w:spacing w:before="0" w:after="0" w:line="240" w:lineRule="auto"/>
              <w:rPr>
                <w:rFonts w:eastAsiaTheme="minorHAnsi" w:cs="Segoe UI"/>
                <w:color w:val="000000"/>
                <w:sz w:val="20"/>
                <w:szCs w:val="20"/>
              </w:rPr>
            </w:pPr>
            <w:r w:rsidRPr="009A6B9D">
              <w:rPr>
                <w:rFonts w:eastAsiaTheme="minorHAnsi" w:cs="Segoe UI"/>
                <w:color w:val="000000"/>
                <w:sz w:val="20"/>
                <w:szCs w:val="20"/>
              </w:rPr>
              <w:t xml:space="preserve">Extensibility can be integrated with multiple systems (such as Azure, virtual machines, Active Directory, or System Center) </w:t>
            </w:r>
          </w:p>
          <w:p w14:paraId="6D66BB17" w14:textId="77777777" w:rsidR="00A54C92" w:rsidRPr="009A6B9D" w:rsidRDefault="00A54C92" w:rsidP="005729D2">
            <w:pPr>
              <w:numPr>
                <w:ilvl w:val="0"/>
                <w:numId w:val="259"/>
              </w:numPr>
              <w:spacing w:before="0" w:after="0" w:line="240" w:lineRule="auto"/>
              <w:rPr>
                <w:rFonts w:eastAsiaTheme="minorHAnsi" w:cs="Segoe UI"/>
                <w:color w:val="000000"/>
                <w:sz w:val="20"/>
                <w:szCs w:val="20"/>
              </w:rPr>
            </w:pPr>
            <w:r w:rsidRPr="009A6B9D">
              <w:rPr>
                <w:rFonts w:eastAsiaTheme="minorHAnsi" w:cs="Segoe UI"/>
                <w:color w:val="000000"/>
                <w:sz w:val="20"/>
                <w:szCs w:val="20"/>
              </w:rPr>
              <w:t>Can be integrated with the Azure virtual machine provisioning process</w:t>
            </w:r>
          </w:p>
        </w:tc>
      </w:tr>
      <w:tr w:rsidR="00A54C92" w:rsidRPr="00A2569F" w14:paraId="2CC46699" w14:textId="77777777" w:rsidTr="00763DF3">
        <w:tc>
          <w:tcPr>
            <w:tcW w:w="2155" w:type="dxa"/>
          </w:tcPr>
          <w:p w14:paraId="21893640" w14:textId="77777777" w:rsidR="00A54C92" w:rsidRPr="009A6B9D" w:rsidRDefault="00A54C92" w:rsidP="00763DF3">
            <w:pPr>
              <w:shd w:val="clear" w:color="auto" w:fill="FFFFFF"/>
              <w:spacing w:before="0" w:after="0" w:line="240" w:lineRule="auto"/>
              <w:rPr>
                <w:rFonts w:eastAsiaTheme="minorHAnsi" w:cs="Segoe UI"/>
                <w:b/>
                <w:color w:val="000000"/>
                <w:sz w:val="20"/>
                <w:szCs w:val="20"/>
              </w:rPr>
            </w:pPr>
            <w:r w:rsidRPr="009A6B9D">
              <w:rPr>
                <w:rFonts w:eastAsiaTheme="minorHAnsi" w:cs="Segoe UI"/>
                <w:b/>
                <w:color w:val="000000"/>
                <w:sz w:val="20"/>
                <w:szCs w:val="20"/>
              </w:rPr>
              <w:t>Cons</w:t>
            </w:r>
          </w:p>
          <w:p w14:paraId="27F2FC6F" w14:textId="77777777" w:rsidR="00A54C92" w:rsidRPr="009A6B9D" w:rsidRDefault="00A54C92" w:rsidP="00763DF3">
            <w:pPr>
              <w:spacing w:before="0" w:after="0" w:line="240" w:lineRule="auto"/>
              <w:rPr>
                <w:rFonts w:eastAsiaTheme="minorHAnsi" w:cs="Segoe UI"/>
                <w:b/>
                <w:color w:val="000000"/>
                <w:sz w:val="20"/>
                <w:szCs w:val="20"/>
              </w:rPr>
            </w:pPr>
          </w:p>
        </w:tc>
        <w:tc>
          <w:tcPr>
            <w:tcW w:w="7195" w:type="dxa"/>
          </w:tcPr>
          <w:p w14:paraId="2FCAF73B" w14:textId="77777777" w:rsidR="00A54C92" w:rsidRPr="009A6B9D" w:rsidRDefault="00A54C92" w:rsidP="005729D2">
            <w:pPr>
              <w:numPr>
                <w:ilvl w:val="0"/>
                <w:numId w:val="260"/>
              </w:numPr>
              <w:spacing w:before="0" w:after="0" w:line="240" w:lineRule="auto"/>
              <w:rPr>
                <w:rFonts w:eastAsiaTheme="minorHAnsi" w:cs="Segoe UI"/>
                <w:color w:val="000000"/>
                <w:sz w:val="20"/>
                <w:szCs w:val="20"/>
              </w:rPr>
            </w:pPr>
            <w:r w:rsidRPr="009A6B9D">
              <w:rPr>
                <w:rFonts w:eastAsiaTheme="minorHAnsi" w:cs="Segoe UI"/>
                <w:color w:val="000000"/>
                <w:sz w:val="20"/>
                <w:szCs w:val="20"/>
              </w:rPr>
              <w:t xml:space="preserve">Involves a lot of Windows PowerShell code development </w:t>
            </w:r>
          </w:p>
          <w:p w14:paraId="187B6229" w14:textId="77777777" w:rsidR="00A54C92" w:rsidRPr="009A6B9D" w:rsidRDefault="00A54C92" w:rsidP="005729D2">
            <w:pPr>
              <w:numPr>
                <w:ilvl w:val="0"/>
                <w:numId w:val="260"/>
              </w:numPr>
              <w:spacing w:before="0" w:after="0" w:line="240" w:lineRule="auto"/>
              <w:rPr>
                <w:rFonts w:eastAsiaTheme="minorHAnsi" w:cs="Segoe UI"/>
                <w:color w:val="000000"/>
                <w:sz w:val="20"/>
                <w:szCs w:val="20"/>
              </w:rPr>
            </w:pPr>
            <w:r w:rsidRPr="009A6B9D">
              <w:rPr>
                <w:rFonts w:eastAsiaTheme="minorHAnsi" w:cs="Segoe UI"/>
                <w:color w:val="000000"/>
                <w:sz w:val="20"/>
                <w:szCs w:val="20"/>
              </w:rPr>
              <w:t xml:space="preserve">Though it is extensible, may not be the best tool for all scenarios </w:t>
            </w:r>
          </w:p>
          <w:p w14:paraId="50717C8F" w14:textId="77777777" w:rsidR="00A54C92" w:rsidRPr="009A6B9D" w:rsidRDefault="00A54C92" w:rsidP="005729D2">
            <w:pPr>
              <w:numPr>
                <w:ilvl w:val="0"/>
                <w:numId w:val="260"/>
              </w:numPr>
              <w:spacing w:before="0" w:after="0" w:line="240" w:lineRule="auto"/>
              <w:rPr>
                <w:rFonts w:eastAsiaTheme="minorHAnsi" w:cs="Segoe UI"/>
                <w:color w:val="000000"/>
                <w:sz w:val="20"/>
                <w:szCs w:val="20"/>
              </w:rPr>
            </w:pPr>
            <w:r w:rsidRPr="009A6B9D">
              <w:rPr>
                <w:rFonts w:eastAsiaTheme="minorHAnsi" w:cs="Segoe UI"/>
                <w:color w:val="000000"/>
                <w:sz w:val="20"/>
                <w:szCs w:val="20"/>
              </w:rPr>
              <w:t>Only for IaaS-based and Web Roles scenarios</w:t>
            </w:r>
          </w:p>
        </w:tc>
      </w:tr>
      <w:tr w:rsidR="00A54C92" w:rsidRPr="00A2569F" w14:paraId="5AC95170" w14:textId="77777777" w:rsidTr="00763DF3">
        <w:trPr>
          <w:cnfStyle w:val="000000100000" w:firstRow="0" w:lastRow="0" w:firstColumn="0" w:lastColumn="0" w:oddVBand="0" w:evenVBand="0" w:oddHBand="1" w:evenHBand="0" w:firstRowFirstColumn="0" w:firstRowLastColumn="0" w:lastRowFirstColumn="0" w:lastRowLastColumn="0"/>
        </w:trPr>
        <w:tc>
          <w:tcPr>
            <w:tcW w:w="2155" w:type="dxa"/>
          </w:tcPr>
          <w:p w14:paraId="05A0BD99" w14:textId="77777777" w:rsidR="00A54C92" w:rsidRPr="009A6B9D" w:rsidRDefault="00A54C92" w:rsidP="00763DF3">
            <w:pPr>
              <w:shd w:val="clear" w:color="auto" w:fill="FFFFFF"/>
              <w:spacing w:before="0" w:after="0" w:line="240" w:lineRule="auto"/>
              <w:rPr>
                <w:rFonts w:eastAsiaTheme="minorHAnsi" w:cs="Segoe UI"/>
                <w:b/>
                <w:color w:val="000000"/>
                <w:sz w:val="20"/>
                <w:szCs w:val="20"/>
              </w:rPr>
            </w:pPr>
            <w:r w:rsidRPr="009A6B9D">
              <w:rPr>
                <w:rFonts w:eastAsiaTheme="minorHAnsi" w:cs="Segoe UI"/>
                <w:b/>
                <w:color w:val="000000"/>
                <w:sz w:val="20"/>
                <w:szCs w:val="20"/>
              </w:rPr>
              <w:t>Supported operating systems</w:t>
            </w:r>
          </w:p>
        </w:tc>
        <w:tc>
          <w:tcPr>
            <w:tcW w:w="7195" w:type="dxa"/>
          </w:tcPr>
          <w:p w14:paraId="02964B09" w14:textId="77777777" w:rsidR="00A54C92" w:rsidRPr="009A6B9D" w:rsidRDefault="00A54C92" w:rsidP="00763DF3">
            <w:pPr>
              <w:spacing w:before="0" w:after="0" w:line="240" w:lineRule="auto"/>
              <w:rPr>
                <w:rFonts w:eastAsiaTheme="minorHAnsi" w:cs="Segoe UI"/>
                <w:color w:val="000000"/>
                <w:sz w:val="20"/>
                <w:szCs w:val="20"/>
              </w:rPr>
            </w:pPr>
            <w:r w:rsidRPr="009A6B9D">
              <w:rPr>
                <w:rFonts w:eastAsiaTheme="minorHAnsi" w:cs="Segoe UI"/>
                <w:color w:val="000000"/>
                <w:sz w:val="20"/>
                <w:szCs w:val="20"/>
              </w:rPr>
              <w:t>Windows, Linux</w:t>
            </w:r>
          </w:p>
        </w:tc>
      </w:tr>
    </w:tbl>
    <w:p w14:paraId="0747598D" w14:textId="77777777" w:rsidR="00A74CB6" w:rsidRDefault="00A74CB6" w:rsidP="006E4CDF">
      <w:pPr>
        <w:rPr>
          <w:lang w:val="en"/>
        </w:rPr>
      </w:pPr>
    </w:p>
    <w:p w14:paraId="7A4A5FD7" w14:textId="582CC67E" w:rsidR="00D53A7A" w:rsidRDefault="00A54C92" w:rsidP="00D53A7A">
      <w:pPr>
        <w:rPr>
          <w:lang w:val="en"/>
        </w:rPr>
      </w:pPr>
      <w:r w:rsidRPr="001432D2">
        <w:rPr>
          <w:lang w:val="en"/>
        </w:rPr>
        <w:t xml:space="preserve">The extensions </w:t>
      </w:r>
      <w:r>
        <w:rPr>
          <w:lang w:val="en"/>
        </w:rPr>
        <w:t xml:space="preserve">detailed in the following table </w:t>
      </w:r>
      <w:r w:rsidRPr="001432D2">
        <w:rPr>
          <w:lang w:val="en"/>
        </w:rPr>
        <w:t>support different kinds of deployment and configuration mana</w:t>
      </w:r>
      <w:r>
        <w:rPr>
          <w:lang w:val="en"/>
        </w:rPr>
        <w:t>gement scenarios and features</w:t>
      </w:r>
      <w:r w:rsidR="00D53A7A">
        <w:rPr>
          <w:lang w:val="en"/>
        </w:rPr>
        <w:t xml:space="preserve">. </w:t>
      </w:r>
    </w:p>
    <w:p w14:paraId="1E1D9111" w14:textId="77777777" w:rsidR="00D53A7A" w:rsidRPr="00A2569F" w:rsidRDefault="00D53A7A" w:rsidP="00D53A7A">
      <w:pPr>
        <w:rPr>
          <w:rFonts w:cs="Segoe UI"/>
          <w:sz w:val="20"/>
          <w:szCs w:val="20"/>
        </w:rPr>
      </w:pPr>
    </w:p>
    <w:tbl>
      <w:tblPr>
        <w:tblStyle w:val="PlainTable11"/>
        <w:tblW w:w="0" w:type="auto"/>
        <w:tblLook w:val="0420" w:firstRow="1" w:lastRow="0" w:firstColumn="0" w:lastColumn="0" w:noHBand="0" w:noVBand="1"/>
      </w:tblPr>
      <w:tblGrid>
        <w:gridCol w:w="2037"/>
        <w:gridCol w:w="7313"/>
      </w:tblGrid>
      <w:tr w:rsidR="00A54C92" w:rsidRPr="00E85B07" w14:paraId="003C272E" w14:textId="77777777" w:rsidTr="00A54C92">
        <w:trPr>
          <w:cnfStyle w:val="100000000000" w:firstRow="1" w:lastRow="0" w:firstColumn="0" w:lastColumn="0" w:oddVBand="0" w:evenVBand="0" w:oddHBand="0" w:evenHBand="0" w:firstRowFirstColumn="0" w:firstRowLastColumn="0" w:lastRowFirstColumn="0" w:lastRowLastColumn="0"/>
        </w:trPr>
        <w:tc>
          <w:tcPr>
            <w:tcW w:w="0" w:type="auto"/>
            <w:shd w:val="clear" w:color="auto" w:fill="808080" w:themeFill="background1" w:themeFillShade="80"/>
          </w:tcPr>
          <w:p w14:paraId="5E3332F9" w14:textId="0B2E6C68" w:rsidR="00A54C92" w:rsidRPr="00E85B07" w:rsidRDefault="00A54C92" w:rsidP="00A54C92">
            <w:pPr>
              <w:rPr>
                <w:rFonts w:eastAsiaTheme="minorHAnsi"/>
                <w:sz w:val="20"/>
                <w:szCs w:val="20"/>
              </w:rPr>
            </w:pPr>
            <w:r w:rsidRPr="007B720C">
              <w:rPr>
                <w:rFonts w:eastAsiaTheme="minorHAnsi" w:cs="Segoe UI"/>
                <w:color w:val="FFFFFF" w:themeColor="background1"/>
                <w:sz w:val="20"/>
                <w:szCs w:val="20"/>
              </w:rPr>
              <w:t>Name</w:t>
            </w:r>
          </w:p>
        </w:tc>
        <w:tc>
          <w:tcPr>
            <w:tcW w:w="0" w:type="auto"/>
            <w:shd w:val="clear" w:color="auto" w:fill="808080" w:themeFill="background1" w:themeFillShade="80"/>
          </w:tcPr>
          <w:p w14:paraId="6D375EC9" w14:textId="467C3C81" w:rsidR="00A54C92" w:rsidRPr="00E85B07" w:rsidRDefault="00A54C92" w:rsidP="00A54C92">
            <w:pPr>
              <w:rPr>
                <w:rFonts w:eastAsiaTheme="minorHAnsi"/>
                <w:b w:val="0"/>
                <w:sz w:val="20"/>
                <w:szCs w:val="20"/>
              </w:rPr>
            </w:pPr>
            <w:r w:rsidRPr="007B720C">
              <w:rPr>
                <w:rFonts w:eastAsiaTheme="minorHAnsi" w:cs="Segoe UI"/>
                <w:color w:val="FFFFFF" w:themeColor="background1"/>
                <w:sz w:val="20"/>
                <w:szCs w:val="20"/>
              </w:rPr>
              <w:t xml:space="preserve">Chef </w:t>
            </w:r>
          </w:p>
        </w:tc>
      </w:tr>
      <w:tr w:rsidR="00A54C92" w:rsidRPr="00A2569F" w14:paraId="10FB9B14" w14:textId="77777777" w:rsidTr="00E85B07">
        <w:trPr>
          <w:cnfStyle w:val="000000100000" w:firstRow="0" w:lastRow="0" w:firstColumn="0" w:lastColumn="0" w:oddVBand="0" w:evenVBand="0" w:oddHBand="1" w:evenHBand="0" w:firstRowFirstColumn="0" w:firstRowLastColumn="0" w:lastRowFirstColumn="0" w:lastRowLastColumn="0"/>
        </w:trPr>
        <w:tc>
          <w:tcPr>
            <w:tcW w:w="0" w:type="auto"/>
          </w:tcPr>
          <w:p w14:paraId="272A002D" w14:textId="77777777" w:rsidR="00A54C92" w:rsidRPr="009A6B9D" w:rsidRDefault="00A54C92" w:rsidP="00A54C92">
            <w:pPr>
              <w:rPr>
                <w:rFonts w:eastAsiaTheme="minorHAnsi" w:cs="Segoe UI"/>
                <w:b/>
                <w:sz w:val="20"/>
                <w:szCs w:val="20"/>
              </w:rPr>
            </w:pPr>
            <w:r w:rsidRPr="009A6B9D">
              <w:rPr>
                <w:rFonts w:eastAsiaTheme="minorHAnsi" w:cs="Segoe UI"/>
                <w:b/>
                <w:sz w:val="20"/>
                <w:szCs w:val="20"/>
              </w:rPr>
              <w:t>Description</w:t>
            </w:r>
          </w:p>
          <w:p w14:paraId="0A82DD38" w14:textId="77777777" w:rsidR="00A54C92" w:rsidRPr="00EC09FD" w:rsidRDefault="00A54C92" w:rsidP="00A54C92">
            <w:pPr>
              <w:rPr>
                <w:rFonts w:eastAsiaTheme="minorHAnsi"/>
                <w:b/>
                <w:szCs w:val="20"/>
              </w:rPr>
            </w:pPr>
          </w:p>
        </w:tc>
        <w:tc>
          <w:tcPr>
            <w:tcW w:w="0" w:type="auto"/>
          </w:tcPr>
          <w:p w14:paraId="16417A39" w14:textId="77777777" w:rsidR="00A54C92" w:rsidRPr="009A6B9D" w:rsidRDefault="00A54C92" w:rsidP="00A54C92">
            <w:pPr>
              <w:rPr>
                <w:rFonts w:eastAsiaTheme="minorHAnsi" w:cs="Segoe UI"/>
                <w:sz w:val="20"/>
                <w:szCs w:val="20"/>
              </w:rPr>
            </w:pPr>
            <w:r w:rsidRPr="009A6B9D">
              <w:rPr>
                <w:rFonts w:eastAsiaTheme="minorHAnsi" w:cs="Segoe UI"/>
                <w:sz w:val="20"/>
                <w:szCs w:val="20"/>
              </w:rPr>
              <w:t xml:space="preserve">With Chef, you can automate how you build, deploy, and manage your infrastructure. Your infrastructure becomes as versionable, testable, and repeatable as application code. </w:t>
            </w:r>
          </w:p>
          <w:p w14:paraId="4B18C99E" w14:textId="68FA9FEA" w:rsidR="00A54C92" w:rsidRPr="006E4CDF" w:rsidRDefault="00A54C92" w:rsidP="00A54C92">
            <w:pPr>
              <w:rPr>
                <w:rFonts w:eastAsiaTheme="minorHAnsi"/>
                <w:szCs w:val="20"/>
              </w:rPr>
            </w:pPr>
            <w:r w:rsidRPr="009A6B9D">
              <w:rPr>
                <w:rFonts w:eastAsiaTheme="minorHAnsi" w:cs="Segoe UI"/>
                <w:sz w:val="20"/>
                <w:szCs w:val="20"/>
              </w:rPr>
              <w:t xml:space="preserve">For more information, see </w:t>
            </w:r>
            <w:hyperlink r:id="rId242" w:history="1">
              <w:r w:rsidRPr="009A6B9D">
                <w:rPr>
                  <w:rStyle w:val="Hyperlink"/>
                  <w:rFonts w:eastAsiaTheme="minorHAnsi" w:cs="Segoe UI"/>
                  <w:sz w:val="20"/>
                  <w:szCs w:val="20"/>
                </w:rPr>
                <w:t>Get Chef</w:t>
              </w:r>
            </w:hyperlink>
            <w:r w:rsidRPr="009A6B9D">
              <w:rPr>
                <w:rFonts w:cs="Segoe UI"/>
                <w:sz w:val="20"/>
                <w:szCs w:val="20"/>
              </w:rPr>
              <w:t>.</w:t>
            </w:r>
          </w:p>
        </w:tc>
      </w:tr>
      <w:tr w:rsidR="00A54C92" w:rsidRPr="00A2569F" w14:paraId="3C9FBC91" w14:textId="77777777" w:rsidTr="00E85B07">
        <w:tc>
          <w:tcPr>
            <w:tcW w:w="0" w:type="auto"/>
          </w:tcPr>
          <w:p w14:paraId="71D5D196" w14:textId="77777777" w:rsidR="00A54C92" w:rsidRPr="009A6B9D" w:rsidRDefault="00A54C92" w:rsidP="00A54C92">
            <w:pPr>
              <w:rPr>
                <w:rFonts w:eastAsiaTheme="minorHAnsi" w:cs="Segoe UI"/>
                <w:b/>
                <w:sz w:val="20"/>
                <w:szCs w:val="20"/>
              </w:rPr>
            </w:pPr>
            <w:r w:rsidRPr="009A6B9D">
              <w:rPr>
                <w:rFonts w:eastAsiaTheme="minorHAnsi" w:cs="Segoe UI"/>
                <w:b/>
                <w:sz w:val="20"/>
                <w:szCs w:val="20"/>
              </w:rPr>
              <w:t>Applicability</w:t>
            </w:r>
          </w:p>
          <w:p w14:paraId="7ED7981E" w14:textId="77777777" w:rsidR="00A54C92" w:rsidRPr="00EC09FD" w:rsidRDefault="00A54C92" w:rsidP="00A54C92">
            <w:pPr>
              <w:rPr>
                <w:rFonts w:eastAsiaTheme="minorHAnsi"/>
                <w:b/>
                <w:szCs w:val="20"/>
              </w:rPr>
            </w:pPr>
          </w:p>
        </w:tc>
        <w:tc>
          <w:tcPr>
            <w:tcW w:w="0" w:type="auto"/>
          </w:tcPr>
          <w:p w14:paraId="630D8F2C" w14:textId="77777777" w:rsidR="00A54C92" w:rsidRPr="009A6B9D" w:rsidRDefault="00A54C92" w:rsidP="00A54C92">
            <w:pPr>
              <w:rPr>
                <w:rFonts w:eastAsiaTheme="minorHAnsi" w:cs="Segoe UI"/>
                <w:sz w:val="20"/>
                <w:szCs w:val="20"/>
              </w:rPr>
            </w:pPr>
            <w:r w:rsidRPr="009A6B9D">
              <w:rPr>
                <w:rFonts w:eastAsiaTheme="minorHAnsi" w:cs="Segoe UI"/>
                <w:sz w:val="20"/>
                <w:szCs w:val="20"/>
              </w:rPr>
              <w:t>Provisioning in Azure:</w:t>
            </w:r>
          </w:p>
          <w:p w14:paraId="1ECD14B2" w14:textId="1A3A796E" w:rsidR="00A54C92" w:rsidRPr="006E4CDF" w:rsidRDefault="00A54C92" w:rsidP="00A54C92">
            <w:pPr>
              <w:rPr>
                <w:rFonts w:eastAsiaTheme="minorHAnsi"/>
                <w:szCs w:val="20"/>
              </w:rPr>
            </w:pPr>
            <w:r w:rsidRPr="009A6B9D">
              <w:rPr>
                <w:rFonts w:eastAsiaTheme="minorHAnsi" w:cs="Segoe UI"/>
                <w:sz w:val="20"/>
                <w:szCs w:val="20"/>
              </w:rPr>
              <w:t>Infrastructure as a Service (IaaS)</w:t>
            </w:r>
          </w:p>
        </w:tc>
      </w:tr>
      <w:tr w:rsidR="00A54C92" w:rsidRPr="00A2569F" w14:paraId="7FE8021C" w14:textId="77777777" w:rsidTr="00E85B07">
        <w:trPr>
          <w:cnfStyle w:val="000000100000" w:firstRow="0" w:lastRow="0" w:firstColumn="0" w:lastColumn="0" w:oddVBand="0" w:evenVBand="0" w:oddHBand="1" w:evenHBand="0" w:firstRowFirstColumn="0" w:firstRowLastColumn="0" w:lastRowFirstColumn="0" w:lastRowLastColumn="0"/>
        </w:trPr>
        <w:tc>
          <w:tcPr>
            <w:tcW w:w="0" w:type="auto"/>
          </w:tcPr>
          <w:p w14:paraId="505140C2" w14:textId="77777777" w:rsidR="00A54C92" w:rsidRPr="009A6B9D" w:rsidRDefault="00A54C92" w:rsidP="00A54C92">
            <w:pPr>
              <w:rPr>
                <w:rFonts w:eastAsiaTheme="minorHAnsi" w:cs="Segoe UI"/>
                <w:b/>
                <w:sz w:val="20"/>
                <w:szCs w:val="20"/>
              </w:rPr>
            </w:pPr>
            <w:r w:rsidRPr="009A6B9D">
              <w:rPr>
                <w:rFonts w:eastAsiaTheme="minorHAnsi" w:cs="Segoe UI"/>
                <w:b/>
                <w:sz w:val="20"/>
                <w:szCs w:val="20"/>
              </w:rPr>
              <w:t>Pros</w:t>
            </w:r>
          </w:p>
          <w:p w14:paraId="63E1D97E" w14:textId="77777777" w:rsidR="00A54C92" w:rsidRPr="00EC09FD" w:rsidRDefault="00A54C92" w:rsidP="00A54C92">
            <w:pPr>
              <w:rPr>
                <w:rFonts w:eastAsiaTheme="minorHAnsi"/>
                <w:b/>
                <w:szCs w:val="20"/>
              </w:rPr>
            </w:pPr>
          </w:p>
        </w:tc>
        <w:tc>
          <w:tcPr>
            <w:tcW w:w="0" w:type="auto"/>
          </w:tcPr>
          <w:p w14:paraId="00F9337C" w14:textId="77777777" w:rsidR="00A54C92" w:rsidRPr="009A6B9D" w:rsidRDefault="00A54C92" w:rsidP="005729D2">
            <w:pPr>
              <w:numPr>
                <w:ilvl w:val="0"/>
                <w:numId w:val="259"/>
              </w:numPr>
              <w:spacing w:before="0" w:after="0" w:line="240" w:lineRule="auto"/>
              <w:rPr>
                <w:rFonts w:eastAsiaTheme="minorHAnsi" w:cs="Segoe UI"/>
                <w:color w:val="000000"/>
                <w:sz w:val="20"/>
                <w:szCs w:val="20"/>
              </w:rPr>
            </w:pPr>
            <w:r w:rsidRPr="009A6B9D">
              <w:rPr>
                <w:rFonts w:eastAsiaTheme="minorHAnsi" w:cs="Segoe UI"/>
                <w:color w:val="000000"/>
                <w:sz w:val="20"/>
                <w:szCs w:val="20"/>
              </w:rPr>
              <w:t xml:space="preserve">Extensible and can be implemented many ways. </w:t>
            </w:r>
          </w:p>
          <w:p w14:paraId="7338DE6E" w14:textId="073B1C05" w:rsidR="00A54C92" w:rsidRDefault="00A54C92" w:rsidP="005729D2">
            <w:pPr>
              <w:numPr>
                <w:ilvl w:val="0"/>
                <w:numId w:val="259"/>
              </w:numPr>
              <w:spacing w:before="0" w:after="0" w:line="240" w:lineRule="auto"/>
              <w:rPr>
                <w:rFonts w:eastAsiaTheme="minorHAnsi" w:cs="Segoe UI"/>
                <w:color w:val="000000"/>
                <w:sz w:val="20"/>
                <w:szCs w:val="20"/>
              </w:rPr>
            </w:pPr>
            <w:r w:rsidRPr="009A6B9D">
              <w:rPr>
                <w:rFonts w:eastAsiaTheme="minorHAnsi" w:cs="Segoe UI"/>
                <w:color w:val="000000"/>
                <w:sz w:val="20"/>
                <w:szCs w:val="20"/>
              </w:rPr>
              <w:t xml:space="preserve">Leveraged mainly for post virtual machine provisioning tasks, updates, and software deployment. </w:t>
            </w:r>
          </w:p>
          <w:p w14:paraId="20628DD6" w14:textId="2F38CAB0" w:rsidR="00A54C92" w:rsidRPr="0099155F" w:rsidRDefault="00A54C92" w:rsidP="005729D2">
            <w:pPr>
              <w:numPr>
                <w:ilvl w:val="0"/>
                <w:numId w:val="259"/>
              </w:numPr>
              <w:spacing w:before="0" w:after="0" w:line="240" w:lineRule="auto"/>
              <w:rPr>
                <w:rFonts w:eastAsiaTheme="minorHAnsi" w:cs="Segoe UI"/>
                <w:color w:val="000000"/>
                <w:sz w:val="20"/>
                <w:szCs w:val="20"/>
              </w:rPr>
            </w:pPr>
            <w:r w:rsidRPr="0099155F">
              <w:rPr>
                <w:rFonts w:eastAsiaTheme="minorHAnsi" w:cs="Segoe UI"/>
                <w:color w:val="000000"/>
                <w:sz w:val="20"/>
                <w:szCs w:val="20"/>
              </w:rPr>
              <w:t>Integrated Windows PowerShell DSC</w:t>
            </w:r>
            <w:r w:rsidRPr="0099155F">
              <w:rPr>
                <w:rFonts w:eastAsiaTheme="minorHAnsi" w:cs="Segoe UI"/>
                <w:sz w:val="20"/>
                <w:szCs w:val="20"/>
              </w:rPr>
              <w:t xml:space="preserve"> </w:t>
            </w:r>
          </w:p>
        </w:tc>
      </w:tr>
      <w:tr w:rsidR="00A54C92" w:rsidRPr="00A2569F" w14:paraId="22D359B9" w14:textId="77777777" w:rsidTr="00E85B07">
        <w:tc>
          <w:tcPr>
            <w:tcW w:w="0" w:type="auto"/>
          </w:tcPr>
          <w:p w14:paraId="6A5BC6F0" w14:textId="77777777" w:rsidR="00A54C92" w:rsidRPr="009A6B9D" w:rsidRDefault="00A54C92" w:rsidP="00A54C92">
            <w:pPr>
              <w:rPr>
                <w:rFonts w:eastAsiaTheme="minorHAnsi" w:cs="Segoe UI"/>
                <w:b/>
                <w:sz w:val="20"/>
                <w:szCs w:val="20"/>
              </w:rPr>
            </w:pPr>
            <w:r w:rsidRPr="009A6B9D">
              <w:rPr>
                <w:rFonts w:eastAsiaTheme="minorHAnsi" w:cs="Segoe UI"/>
                <w:b/>
                <w:sz w:val="20"/>
                <w:szCs w:val="20"/>
              </w:rPr>
              <w:t>Cons</w:t>
            </w:r>
          </w:p>
          <w:p w14:paraId="33C0014F" w14:textId="77777777" w:rsidR="00A54C92" w:rsidRPr="00EC09FD" w:rsidRDefault="00A54C92" w:rsidP="00A54C92">
            <w:pPr>
              <w:rPr>
                <w:rFonts w:eastAsiaTheme="minorHAnsi"/>
                <w:b/>
                <w:szCs w:val="20"/>
              </w:rPr>
            </w:pPr>
          </w:p>
        </w:tc>
        <w:tc>
          <w:tcPr>
            <w:tcW w:w="0" w:type="auto"/>
          </w:tcPr>
          <w:p w14:paraId="3C9E2C94" w14:textId="77777777" w:rsidR="00A54C92" w:rsidRPr="009A6B9D" w:rsidRDefault="00A54C92" w:rsidP="005729D2">
            <w:pPr>
              <w:numPr>
                <w:ilvl w:val="0"/>
                <w:numId w:val="259"/>
              </w:numPr>
              <w:spacing w:before="0" w:after="0" w:line="240" w:lineRule="auto"/>
              <w:rPr>
                <w:rFonts w:eastAsiaTheme="minorHAnsi" w:cs="Segoe UI"/>
                <w:color w:val="000000"/>
                <w:sz w:val="20"/>
                <w:szCs w:val="20"/>
              </w:rPr>
            </w:pPr>
            <w:r w:rsidRPr="009A6B9D">
              <w:rPr>
                <w:rFonts w:eastAsiaTheme="minorHAnsi" w:cs="Segoe UI"/>
                <w:color w:val="000000"/>
                <w:sz w:val="20"/>
                <w:szCs w:val="20"/>
              </w:rPr>
              <w:t xml:space="preserve">Involves knowledge about the product </w:t>
            </w:r>
          </w:p>
          <w:p w14:paraId="1B210DDF" w14:textId="77777777" w:rsidR="00A54C92" w:rsidRPr="009A6B9D" w:rsidRDefault="00A54C92" w:rsidP="005729D2">
            <w:pPr>
              <w:numPr>
                <w:ilvl w:val="0"/>
                <w:numId w:val="259"/>
              </w:numPr>
              <w:spacing w:before="0" w:after="0" w:line="240" w:lineRule="auto"/>
              <w:rPr>
                <w:rFonts w:eastAsiaTheme="minorHAnsi" w:cs="Segoe UI"/>
                <w:color w:val="000000"/>
                <w:sz w:val="20"/>
                <w:szCs w:val="20"/>
              </w:rPr>
            </w:pPr>
            <w:r w:rsidRPr="009A6B9D">
              <w:rPr>
                <w:rFonts w:eastAsiaTheme="minorHAnsi" w:cs="Segoe UI"/>
                <w:color w:val="000000"/>
                <w:sz w:val="20"/>
                <w:szCs w:val="20"/>
              </w:rPr>
              <w:t xml:space="preserve">Though it is extensible, may not be the best tool for all scenarios </w:t>
            </w:r>
          </w:p>
          <w:p w14:paraId="5E1DF143" w14:textId="77777777" w:rsidR="00A54C92" w:rsidRPr="009A6B9D" w:rsidRDefault="00A54C92" w:rsidP="005729D2">
            <w:pPr>
              <w:numPr>
                <w:ilvl w:val="0"/>
                <w:numId w:val="259"/>
              </w:numPr>
              <w:spacing w:before="0" w:after="0" w:line="240" w:lineRule="auto"/>
              <w:rPr>
                <w:rFonts w:eastAsiaTheme="minorHAnsi" w:cs="Segoe UI"/>
                <w:color w:val="000000"/>
                <w:sz w:val="20"/>
                <w:szCs w:val="20"/>
              </w:rPr>
            </w:pPr>
            <w:r w:rsidRPr="009A6B9D">
              <w:rPr>
                <w:rFonts w:eastAsiaTheme="minorHAnsi" w:cs="Segoe UI"/>
                <w:color w:val="000000"/>
                <w:sz w:val="20"/>
                <w:szCs w:val="20"/>
              </w:rPr>
              <w:t xml:space="preserve">Recipes may pose potential limitations </w:t>
            </w:r>
          </w:p>
          <w:p w14:paraId="3DBD7B98" w14:textId="6528256E" w:rsidR="00A54C92" w:rsidRDefault="00A54C92" w:rsidP="005729D2">
            <w:pPr>
              <w:numPr>
                <w:ilvl w:val="0"/>
                <w:numId w:val="259"/>
              </w:numPr>
              <w:spacing w:before="0" w:after="0" w:line="240" w:lineRule="auto"/>
              <w:rPr>
                <w:rFonts w:eastAsiaTheme="minorHAnsi" w:cs="Segoe UI"/>
                <w:color w:val="000000"/>
                <w:sz w:val="20"/>
                <w:szCs w:val="20"/>
              </w:rPr>
            </w:pPr>
            <w:r w:rsidRPr="009A6B9D">
              <w:rPr>
                <w:rFonts w:eastAsiaTheme="minorHAnsi" w:cs="Segoe UI"/>
                <w:color w:val="000000"/>
                <w:sz w:val="20"/>
                <w:szCs w:val="20"/>
              </w:rPr>
              <w:t>Only for IaaS-based scenarios</w:t>
            </w:r>
          </w:p>
          <w:p w14:paraId="47EB2410" w14:textId="013B335E" w:rsidR="00A54C92" w:rsidRPr="0099155F" w:rsidRDefault="00A54C92" w:rsidP="005729D2">
            <w:pPr>
              <w:numPr>
                <w:ilvl w:val="0"/>
                <w:numId w:val="259"/>
              </w:numPr>
              <w:spacing w:before="0" w:after="0" w:line="240" w:lineRule="auto"/>
              <w:rPr>
                <w:rFonts w:eastAsiaTheme="minorHAnsi" w:cs="Segoe UI"/>
                <w:color w:val="000000"/>
                <w:sz w:val="20"/>
                <w:szCs w:val="20"/>
              </w:rPr>
            </w:pPr>
            <w:r w:rsidRPr="0099155F">
              <w:rPr>
                <w:rFonts w:eastAsiaTheme="minorHAnsi" w:cs="Segoe UI"/>
                <w:color w:val="000000"/>
                <w:sz w:val="20"/>
                <w:szCs w:val="20"/>
              </w:rPr>
              <w:t>Potential license cost</w:t>
            </w:r>
            <w:r w:rsidRPr="0099155F">
              <w:rPr>
                <w:rFonts w:eastAsiaTheme="minorHAnsi" w:cs="Segoe UI"/>
                <w:sz w:val="20"/>
                <w:szCs w:val="20"/>
              </w:rPr>
              <w:t xml:space="preserve"> </w:t>
            </w:r>
          </w:p>
        </w:tc>
      </w:tr>
      <w:tr w:rsidR="00A54C92" w:rsidRPr="00A2569F" w14:paraId="6F72B649" w14:textId="77777777" w:rsidTr="00E85B07">
        <w:trPr>
          <w:cnfStyle w:val="000000100000" w:firstRow="0" w:lastRow="0" w:firstColumn="0" w:lastColumn="0" w:oddVBand="0" w:evenVBand="0" w:oddHBand="1" w:evenHBand="0" w:firstRowFirstColumn="0" w:firstRowLastColumn="0" w:lastRowFirstColumn="0" w:lastRowLastColumn="0"/>
        </w:trPr>
        <w:tc>
          <w:tcPr>
            <w:tcW w:w="0" w:type="auto"/>
          </w:tcPr>
          <w:p w14:paraId="2125D4DE" w14:textId="46A5EDAF" w:rsidR="00A54C92" w:rsidRPr="00EC09FD" w:rsidRDefault="00A54C92" w:rsidP="00A54C92">
            <w:pPr>
              <w:rPr>
                <w:rFonts w:eastAsiaTheme="minorHAnsi"/>
                <w:b/>
                <w:szCs w:val="20"/>
              </w:rPr>
            </w:pPr>
            <w:r w:rsidRPr="009A6B9D">
              <w:rPr>
                <w:rFonts w:eastAsiaTheme="minorHAnsi" w:cs="Segoe UI"/>
                <w:b/>
                <w:sz w:val="20"/>
                <w:szCs w:val="20"/>
              </w:rPr>
              <w:t>Supported operating systems</w:t>
            </w:r>
          </w:p>
        </w:tc>
        <w:tc>
          <w:tcPr>
            <w:tcW w:w="0" w:type="auto"/>
          </w:tcPr>
          <w:p w14:paraId="43640724" w14:textId="0FA5D897" w:rsidR="00A54C92" w:rsidRPr="006E4CDF" w:rsidRDefault="00A54C92" w:rsidP="00A54C92">
            <w:pPr>
              <w:rPr>
                <w:rFonts w:eastAsiaTheme="minorHAnsi"/>
                <w:szCs w:val="20"/>
              </w:rPr>
            </w:pPr>
            <w:r w:rsidRPr="009A6B9D">
              <w:rPr>
                <w:rFonts w:eastAsiaTheme="minorHAnsi" w:cs="Segoe UI"/>
                <w:sz w:val="20"/>
                <w:szCs w:val="20"/>
              </w:rPr>
              <w:t>Windows, Linux</w:t>
            </w:r>
          </w:p>
        </w:tc>
      </w:tr>
    </w:tbl>
    <w:p w14:paraId="1EC7EFEE" w14:textId="77777777" w:rsidR="00D53A7A" w:rsidRPr="00A2569F" w:rsidRDefault="00D53A7A" w:rsidP="00D53A7A">
      <w:pPr>
        <w:shd w:val="clear" w:color="auto" w:fill="FFFFFF"/>
        <w:spacing w:before="0" w:after="0" w:line="240" w:lineRule="auto"/>
        <w:rPr>
          <w:rFonts w:eastAsiaTheme="minorHAnsi" w:cs="Segoe UI"/>
          <w:b/>
          <w:bCs/>
          <w:color w:val="000000"/>
          <w:sz w:val="20"/>
          <w:szCs w:val="20"/>
        </w:rPr>
      </w:pPr>
    </w:p>
    <w:p w14:paraId="41F06B7C" w14:textId="77777777" w:rsidR="00A5084D" w:rsidRPr="00A2569F" w:rsidRDefault="00A5084D" w:rsidP="00D53A7A">
      <w:pPr>
        <w:shd w:val="clear" w:color="auto" w:fill="FFFFFF"/>
        <w:spacing w:before="0" w:after="0" w:line="240" w:lineRule="auto"/>
        <w:rPr>
          <w:rFonts w:eastAsiaTheme="minorHAnsi" w:cs="Segoe UI"/>
          <w:b/>
          <w:bCs/>
          <w:color w:val="000000"/>
          <w:sz w:val="20"/>
          <w:szCs w:val="20"/>
        </w:rPr>
      </w:pPr>
    </w:p>
    <w:tbl>
      <w:tblPr>
        <w:tblStyle w:val="TableGridLight1"/>
        <w:tblW w:w="0" w:type="auto"/>
        <w:tblLook w:val="04A0" w:firstRow="1" w:lastRow="0" w:firstColumn="1" w:lastColumn="0" w:noHBand="0" w:noVBand="1"/>
      </w:tblPr>
      <w:tblGrid>
        <w:gridCol w:w="2155"/>
        <w:gridCol w:w="7195"/>
      </w:tblGrid>
      <w:tr w:rsidR="0099155F" w:rsidRPr="00E85B07" w14:paraId="2700BDD2" w14:textId="77777777" w:rsidTr="0099155F">
        <w:tc>
          <w:tcPr>
            <w:tcW w:w="2155" w:type="dxa"/>
            <w:shd w:val="clear" w:color="auto" w:fill="808080" w:themeFill="background1" w:themeFillShade="80"/>
          </w:tcPr>
          <w:p w14:paraId="41C1B011" w14:textId="1513D6D8" w:rsidR="0099155F" w:rsidRPr="00E85B07" w:rsidRDefault="0099155F" w:rsidP="0099155F">
            <w:pPr>
              <w:rPr>
                <w:rFonts w:eastAsiaTheme="minorHAnsi"/>
                <w:b/>
                <w:sz w:val="20"/>
                <w:szCs w:val="20"/>
              </w:rPr>
            </w:pPr>
            <w:r w:rsidRPr="007B720C">
              <w:rPr>
                <w:rFonts w:eastAsiaTheme="minorHAnsi" w:cs="Segoe UI"/>
                <w:b/>
                <w:color w:val="FFFFFF" w:themeColor="background1"/>
                <w:sz w:val="20"/>
                <w:szCs w:val="20"/>
              </w:rPr>
              <w:t>Name</w:t>
            </w:r>
          </w:p>
        </w:tc>
        <w:tc>
          <w:tcPr>
            <w:tcW w:w="7195" w:type="dxa"/>
            <w:shd w:val="clear" w:color="auto" w:fill="808080" w:themeFill="background1" w:themeFillShade="80"/>
          </w:tcPr>
          <w:p w14:paraId="3E8C4A07" w14:textId="0850B573" w:rsidR="0099155F" w:rsidRPr="00E85B07" w:rsidRDefault="0099155F" w:rsidP="0099155F">
            <w:pPr>
              <w:rPr>
                <w:rFonts w:eastAsiaTheme="minorHAnsi"/>
                <w:sz w:val="20"/>
                <w:szCs w:val="20"/>
              </w:rPr>
            </w:pPr>
            <w:r w:rsidRPr="007B720C">
              <w:rPr>
                <w:rFonts w:eastAsiaTheme="minorHAnsi" w:cs="Segoe UI"/>
                <w:b/>
                <w:color w:val="FFFFFF" w:themeColor="background1"/>
                <w:sz w:val="20"/>
                <w:szCs w:val="20"/>
              </w:rPr>
              <w:t>Puppet Enterprise</w:t>
            </w:r>
          </w:p>
        </w:tc>
      </w:tr>
      <w:tr w:rsidR="0099155F" w:rsidRPr="00A2569F" w14:paraId="56349D49" w14:textId="77777777" w:rsidTr="00E85B07">
        <w:tc>
          <w:tcPr>
            <w:tcW w:w="2155" w:type="dxa"/>
          </w:tcPr>
          <w:p w14:paraId="1B4DB3B4" w14:textId="77777777" w:rsidR="0099155F" w:rsidRPr="009A6B9D" w:rsidRDefault="0099155F" w:rsidP="0099155F">
            <w:pPr>
              <w:rPr>
                <w:rFonts w:eastAsiaTheme="minorHAnsi" w:cs="Segoe UI"/>
                <w:b/>
                <w:sz w:val="20"/>
                <w:szCs w:val="20"/>
              </w:rPr>
            </w:pPr>
            <w:r w:rsidRPr="009A6B9D">
              <w:rPr>
                <w:rFonts w:eastAsiaTheme="minorHAnsi" w:cs="Segoe UI"/>
                <w:b/>
                <w:sz w:val="20"/>
                <w:szCs w:val="20"/>
              </w:rPr>
              <w:t>Description</w:t>
            </w:r>
          </w:p>
          <w:p w14:paraId="37B7E93D" w14:textId="77777777" w:rsidR="0099155F" w:rsidRPr="00EC09FD" w:rsidRDefault="0099155F" w:rsidP="0099155F">
            <w:pPr>
              <w:rPr>
                <w:rFonts w:eastAsiaTheme="minorHAnsi"/>
                <w:b/>
                <w:szCs w:val="20"/>
              </w:rPr>
            </w:pPr>
          </w:p>
        </w:tc>
        <w:tc>
          <w:tcPr>
            <w:tcW w:w="7195" w:type="dxa"/>
          </w:tcPr>
          <w:p w14:paraId="3719F3E1" w14:textId="77777777" w:rsidR="0099155F" w:rsidRPr="009A6B9D" w:rsidRDefault="0099155F" w:rsidP="0099155F">
            <w:pPr>
              <w:rPr>
                <w:rFonts w:eastAsiaTheme="minorHAnsi" w:cs="Segoe UI"/>
                <w:sz w:val="20"/>
                <w:szCs w:val="20"/>
                <w:lang w:val="en"/>
              </w:rPr>
            </w:pPr>
            <w:r w:rsidRPr="009A6B9D">
              <w:rPr>
                <w:rFonts w:eastAsiaTheme="minorHAnsi" w:cs="Segoe UI"/>
                <w:sz w:val="20"/>
                <w:szCs w:val="20"/>
                <w:lang w:val="en"/>
              </w:rPr>
              <w:t>With Puppet Enterprise, you can easily configure and manage your Windows environments. Whether you are managing a large datacenter, are taking advantage of Microsoft Azure, or a combination of both, Puppet Enterprise lets you manage your Microsoft Windows machines faster than ever. </w:t>
            </w:r>
          </w:p>
          <w:p w14:paraId="0632640B" w14:textId="79ADDE32" w:rsidR="0099155F" w:rsidRPr="006E4CDF" w:rsidRDefault="0099155F" w:rsidP="0099155F">
            <w:pPr>
              <w:rPr>
                <w:rFonts w:eastAsiaTheme="minorHAnsi"/>
                <w:szCs w:val="20"/>
              </w:rPr>
            </w:pPr>
            <w:r w:rsidRPr="009A6B9D">
              <w:rPr>
                <w:rFonts w:eastAsiaTheme="minorHAnsi" w:cs="Segoe UI"/>
                <w:sz w:val="20"/>
                <w:szCs w:val="20"/>
                <w:lang w:val="en"/>
              </w:rPr>
              <w:t xml:space="preserve">For more information, see </w:t>
            </w:r>
            <w:hyperlink r:id="rId243" w:history="1">
              <w:r w:rsidRPr="009A6B9D">
                <w:rPr>
                  <w:rStyle w:val="Hyperlink"/>
                  <w:rFonts w:eastAsiaTheme="minorHAnsi" w:cs="Segoe UI"/>
                  <w:sz w:val="20"/>
                  <w:szCs w:val="20"/>
                  <w:lang w:val="en"/>
                </w:rPr>
                <w:t>Puppet Labs</w:t>
              </w:r>
            </w:hyperlink>
            <w:r w:rsidRPr="009A6B9D">
              <w:rPr>
                <w:rFonts w:eastAsiaTheme="minorHAnsi" w:cs="Segoe UI"/>
                <w:sz w:val="20"/>
                <w:szCs w:val="20"/>
                <w:lang w:val="en"/>
              </w:rPr>
              <w:t>.</w:t>
            </w:r>
          </w:p>
        </w:tc>
      </w:tr>
      <w:tr w:rsidR="0099155F" w:rsidRPr="00A2569F" w14:paraId="164527B4" w14:textId="77777777" w:rsidTr="00E85B07">
        <w:tc>
          <w:tcPr>
            <w:tcW w:w="2155" w:type="dxa"/>
          </w:tcPr>
          <w:p w14:paraId="1E320DBE" w14:textId="77777777" w:rsidR="0099155F" w:rsidRPr="009A6B9D" w:rsidRDefault="0099155F" w:rsidP="0099155F">
            <w:pPr>
              <w:rPr>
                <w:rFonts w:eastAsiaTheme="minorHAnsi" w:cs="Segoe UI"/>
                <w:b/>
                <w:sz w:val="20"/>
                <w:szCs w:val="20"/>
              </w:rPr>
            </w:pPr>
            <w:r w:rsidRPr="009A6B9D">
              <w:rPr>
                <w:rFonts w:eastAsiaTheme="minorHAnsi" w:cs="Segoe UI"/>
                <w:b/>
                <w:sz w:val="20"/>
                <w:szCs w:val="20"/>
              </w:rPr>
              <w:t>Applicability</w:t>
            </w:r>
          </w:p>
          <w:p w14:paraId="2820BD7F" w14:textId="77777777" w:rsidR="0099155F" w:rsidRPr="00EC09FD" w:rsidRDefault="0099155F" w:rsidP="0099155F">
            <w:pPr>
              <w:rPr>
                <w:rFonts w:eastAsiaTheme="minorHAnsi"/>
                <w:b/>
                <w:szCs w:val="20"/>
              </w:rPr>
            </w:pPr>
          </w:p>
        </w:tc>
        <w:tc>
          <w:tcPr>
            <w:tcW w:w="7195" w:type="dxa"/>
          </w:tcPr>
          <w:p w14:paraId="71207591" w14:textId="77777777" w:rsidR="0099155F" w:rsidRPr="009A6B9D" w:rsidRDefault="0099155F" w:rsidP="0099155F">
            <w:pPr>
              <w:rPr>
                <w:rFonts w:eastAsiaTheme="minorHAnsi" w:cs="Segoe UI"/>
                <w:sz w:val="20"/>
                <w:szCs w:val="20"/>
              </w:rPr>
            </w:pPr>
            <w:r w:rsidRPr="009A6B9D">
              <w:rPr>
                <w:rFonts w:eastAsiaTheme="minorHAnsi" w:cs="Segoe UI"/>
                <w:sz w:val="20"/>
                <w:szCs w:val="20"/>
              </w:rPr>
              <w:t>Provisioning in Azure:</w:t>
            </w:r>
          </w:p>
          <w:p w14:paraId="667AF63B" w14:textId="054B2E19" w:rsidR="0099155F" w:rsidRPr="006E4CDF" w:rsidRDefault="0099155F" w:rsidP="0099155F">
            <w:pPr>
              <w:rPr>
                <w:rFonts w:eastAsiaTheme="minorHAnsi"/>
                <w:szCs w:val="20"/>
              </w:rPr>
            </w:pPr>
            <w:r w:rsidRPr="009A6B9D">
              <w:rPr>
                <w:rFonts w:eastAsiaTheme="minorHAnsi" w:cs="Segoe UI"/>
                <w:sz w:val="20"/>
                <w:szCs w:val="20"/>
              </w:rPr>
              <w:t xml:space="preserve">Infrastructure as a Service (IaaS) </w:t>
            </w:r>
          </w:p>
        </w:tc>
      </w:tr>
      <w:tr w:rsidR="0099155F" w:rsidRPr="00A2569F" w14:paraId="763464B9" w14:textId="77777777" w:rsidTr="00E85B07">
        <w:tc>
          <w:tcPr>
            <w:tcW w:w="2155" w:type="dxa"/>
          </w:tcPr>
          <w:p w14:paraId="30341BD2" w14:textId="77777777" w:rsidR="0099155F" w:rsidRPr="009A6B9D" w:rsidRDefault="0099155F" w:rsidP="0099155F">
            <w:pPr>
              <w:rPr>
                <w:rFonts w:eastAsiaTheme="minorHAnsi" w:cs="Segoe UI"/>
                <w:b/>
                <w:sz w:val="20"/>
                <w:szCs w:val="20"/>
              </w:rPr>
            </w:pPr>
            <w:r w:rsidRPr="009A6B9D">
              <w:rPr>
                <w:rFonts w:eastAsiaTheme="minorHAnsi" w:cs="Segoe UI"/>
                <w:b/>
                <w:sz w:val="20"/>
                <w:szCs w:val="20"/>
              </w:rPr>
              <w:t>Pros</w:t>
            </w:r>
          </w:p>
          <w:p w14:paraId="7F391130" w14:textId="77777777" w:rsidR="0099155F" w:rsidRPr="00EC09FD" w:rsidRDefault="0099155F" w:rsidP="0099155F">
            <w:pPr>
              <w:rPr>
                <w:rFonts w:eastAsiaTheme="minorHAnsi"/>
                <w:b/>
                <w:szCs w:val="20"/>
              </w:rPr>
            </w:pPr>
          </w:p>
        </w:tc>
        <w:tc>
          <w:tcPr>
            <w:tcW w:w="7195" w:type="dxa"/>
          </w:tcPr>
          <w:p w14:paraId="03A8A6BE" w14:textId="77777777" w:rsidR="0099155F" w:rsidRPr="009A6B9D" w:rsidRDefault="0099155F" w:rsidP="005729D2">
            <w:pPr>
              <w:numPr>
                <w:ilvl w:val="0"/>
                <w:numId w:val="259"/>
              </w:numPr>
              <w:spacing w:before="0" w:after="0" w:line="240" w:lineRule="auto"/>
              <w:rPr>
                <w:rFonts w:eastAsiaTheme="minorHAnsi" w:cs="Segoe UI"/>
                <w:color w:val="000000"/>
                <w:sz w:val="20"/>
                <w:szCs w:val="20"/>
              </w:rPr>
            </w:pPr>
            <w:r w:rsidRPr="009A6B9D">
              <w:rPr>
                <w:rFonts w:eastAsiaTheme="minorHAnsi" w:cs="Segoe UI"/>
                <w:color w:val="000000"/>
                <w:sz w:val="20"/>
                <w:szCs w:val="20"/>
              </w:rPr>
              <w:t xml:space="preserve">Extensible and can be implemented many ways </w:t>
            </w:r>
          </w:p>
          <w:p w14:paraId="78117BEB" w14:textId="77777777" w:rsidR="0099155F" w:rsidRPr="009A6B9D" w:rsidRDefault="0099155F" w:rsidP="005729D2">
            <w:pPr>
              <w:numPr>
                <w:ilvl w:val="0"/>
                <w:numId w:val="259"/>
              </w:numPr>
              <w:spacing w:before="0" w:after="0" w:line="240" w:lineRule="auto"/>
              <w:rPr>
                <w:rFonts w:eastAsiaTheme="minorHAnsi" w:cs="Segoe UI"/>
                <w:color w:val="000000"/>
                <w:sz w:val="20"/>
                <w:szCs w:val="20"/>
              </w:rPr>
            </w:pPr>
            <w:r w:rsidRPr="009A6B9D">
              <w:rPr>
                <w:rFonts w:eastAsiaTheme="minorHAnsi" w:cs="Segoe UI"/>
                <w:color w:val="000000"/>
                <w:sz w:val="20"/>
                <w:szCs w:val="20"/>
              </w:rPr>
              <w:t xml:space="preserve">Leveraged mainly for post virtual machine provisioning tasks, updates, and software deployment </w:t>
            </w:r>
          </w:p>
          <w:p w14:paraId="51CBEFB7" w14:textId="6553CCED" w:rsidR="0099155F" w:rsidRDefault="0099155F" w:rsidP="005729D2">
            <w:pPr>
              <w:numPr>
                <w:ilvl w:val="0"/>
                <w:numId w:val="259"/>
              </w:numPr>
              <w:spacing w:before="0" w:after="0" w:line="240" w:lineRule="auto"/>
              <w:rPr>
                <w:rFonts w:eastAsiaTheme="minorHAnsi" w:cs="Segoe UI"/>
                <w:color w:val="000000"/>
                <w:sz w:val="20"/>
                <w:szCs w:val="20"/>
              </w:rPr>
            </w:pPr>
            <w:r w:rsidRPr="009A6B9D">
              <w:rPr>
                <w:rFonts w:eastAsiaTheme="minorHAnsi" w:cs="Segoe UI"/>
                <w:color w:val="000000"/>
                <w:sz w:val="20"/>
                <w:szCs w:val="20"/>
              </w:rPr>
              <w:t>.NET integration</w:t>
            </w:r>
          </w:p>
          <w:p w14:paraId="5A57D287" w14:textId="3F65D797" w:rsidR="0099155F" w:rsidRPr="0099155F" w:rsidRDefault="0099155F" w:rsidP="005729D2">
            <w:pPr>
              <w:numPr>
                <w:ilvl w:val="0"/>
                <w:numId w:val="259"/>
              </w:numPr>
              <w:spacing w:before="0" w:after="0" w:line="240" w:lineRule="auto"/>
              <w:rPr>
                <w:rFonts w:eastAsiaTheme="minorHAnsi" w:cs="Segoe UI"/>
                <w:color w:val="000000"/>
                <w:sz w:val="20"/>
                <w:szCs w:val="20"/>
              </w:rPr>
            </w:pPr>
            <w:r w:rsidRPr="0099155F">
              <w:rPr>
                <w:rFonts w:eastAsiaTheme="minorHAnsi" w:cs="Segoe UI"/>
                <w:color w:val="000000"/>
                <w:sz w:val="20"/>
                <w:szCs w:val="20"/>
              </w:rPr>
              <w:t>Native</w:t>
            </w:r>
            <w:r w:rsidRPr="0099155F">
              <w:rPr>
                <w:rFonts w:eastAsiaTheme="minorHAnsi" w:cs="Segoe UI"/>
                <w:sz w:val="20"/>
                <w:szCs w:val="20"/>
              </w:rPr>
              <w:t xml:space="preserve"> integration with Open Source repositories</w:t>
            </w:r>
          </w:p>
        </w:tc>
      </w:tr>
      <w:tr w:rsidR="0099155F" w:rsidRPr="00A2569F" w14:paraId="374A63F3" w14:textId="77777777" w:rsidTr="00E85B07">
        <w:tc>
          <w:tcPr>
            <w:tcW w:w="2155" w:type="dxa"/>
          </w:tcPr>
          <w:p w14:paraId="0C6573D4" w14:textId="77777777" w:rsidR="0099155F" w:rsidRPr="009A6B9D" w:rsidRDefault="0099155F" w:rsidP="0099155F">
            <w:pPr>
              <w:rPr>
                <w:rFonts w:eastAsiaTheme="minorHAnsi" w:cs="Segoe UI"/>
                <w:b/>
                <w:sz w:val="20"/>
                <w:szCs w:val="20"/>
              </w:rPr>
            </w:pPr>
            <w:r w:rsidRPr="009A6B9D">
              <w:rPr>
                <w:rFonts w:eastAsiaTheme="minorHAnsi" w:cs="Segoe UI"/>
                <w:b/>
                <w:sz w:val="20"/>
                <w:szCs w:val="20"/>
              </w:rPr>
              <w:t>Cons</w:t>
            </w:r>
          </w:p>
          <w:p w14:paraId="1D1229CB" w14:textId="77777777" w:rsidR="0099155F" w:rsidRPr="00EC09FD" w:rsidRDefault="0099155F" w:rsidP="0099155F">
            <w:pPr>
              <w:rPr>
                <w:rFonts w:eastAsiaTheme="minorHAnsi"/>
                <w:b/>
                <w:szCs w:val="20"/>
              </w:rPr>
            </w:pPr>
          </w:p>
        </w:tc>
        <w:tc>
          <w:tcPr>
            <w:tcW w:w="7195" w:type="dxa"/>
          </w:tcPr>
          <w:p w14:paraId="0163A4EF" w14:textId="77777777" w:rsidR="0099155F" w:rsidRPr="009A6B9D" w:rsidRDefault="0099155F" w:rsidP="005729D2">
            <w:pPr>
              <w:numPr>
                <w:ilvl w:val="0"/>
                <w:numId w:val="259"/>
              </w:numPr>
              <w:spacing w:before="0" w:after="0" w:line="240" w:lineRule="auto"/>
              <w:rPr>
                <w:rFonts w:eastAsiaTheme="minorHAnsi" w:cs="Segoe UI"/>
                <w:color w:val="000000"/>
                <w:sz w:val="20"/>
                <w:szCs w:val="20"/>
              </w:rPr>
            </w:pPr>
            <w:r w:rsidRPr="009A6B9D">
              <w:rPr>
                <w:rFonts w:eastAsiaTheme="minorHAnsi" w:cs="Segoe UI"/>
                <w:color w:val="000000"/>
                <w:sz w:val="20"/>
                <w:szCs w:val="20"/>
              </w:rPr>
              <w:t>Involves knowledge of the product</w:t>
            </w:r>
          </w:p>
          <w:p w14:paraId="66BB190C" w14:textId="77777777" w:rsidR="0099155F" w:rsidRPr="009A6B9D" w:rsidRDefault="0099155F" w:rsidP="005729D2">
            <w:pPr>
              <w:numPr>
                <w:ilvl w:val="0"/>
                <w:numId w:val="259"/>
              </w:numPr>
              <w:spacing w:before="0" w:after="0" w:line="240" w:lineRule="auto"/>
              <w:rPr>
                <w:rFonts w:eastAsiaTheme="minorHAnsi" w:cs="Segoe UI"/>
                <w:color w:val="000000"/>
                <w:sz w:val="20"/>
                <w:szCs w:val="20"/>
              </w:rPr>
            </w:pPr>
            <w:r w:rsidRPr="009A6B9D">
              <w:rPr>
                <w:rFonts w:eastAsiaTheme="minorHAnsi" w:cs="Segoe UI"/>
                <w:color w:val="000000"/>
                <w:sz w:val="20"/>
                <w:szCs w:val="20"/>
              </w:rPr>
              <w:t xml:space="preserve">Though it is extensible, may not be the best tool for all scenarios </w:t>
            </w:r>
          </w:p>
          <w:p w14:paraId="32BCD25B" w14:textId="4682501C" w:rsidR="0099155F" w:rsidRDefault="0099155F" w:rsidP="005729D2">
            <w:pPr>
              <w:numPr>
                <w:ilvl w:val="0"/>
                <w:numId w:val="259"/>
              </w:numPr>
              <w:spacing w:before="0" w:after="0" w:line="240" w:lineRule="auto"/>
              <w:rPr>
                <w:rFonts w:eastAsiaTheme="minorHAnsi" w:cs="Segoe UI"/>
                <w:color w:val="000000"/>
                <w:sz w:val="20"/>
                <w:szCs w:val="20"/>
              </w:rPr>
            </w:pPr>
            <w:r w:rsidRPr="009A6B9D">
              <w:rPr>
                <w:rFonts w:eastAsiaTheme="minorHAnsi" w:cs="Segoe UI"/>
                <w:color w:val="000000"/>
                <w:sz w:val="20"/>
                <w:szCs w:val="20"/>
              </w:rPr>
              <w:t xml:space="preserve">Only for IaaS-based scenarios </w:t>
            </w:r>
          </w:p>
          <w:p w14:paraId="27C4785E" w14:textId="449C75B6" w:rsidR="0099155F" w:rsidRPr="0099155F" w:rsidRDefault="0099155F" w:rsidP="005729D2">
            <w:pPr>
              <w:numPr>
                <w:ilvl w:val="0"/>
                <w:numId w:val="259"/>
              </w:numPr>
              <w:spacing w:before="0" w:after="0" w:line="240" w:lineRule="auto"/>
              <w:rPr>
                <w:rFonts w:eastAsiaTheme="minorHAnsi" w:cs="Segoe UI"/>
                <w:color w:val="000000"/>
                <w:sz w:val="20"/>
                <w:szCs w:val="20"/>
              </w:rPr>
            </w:pPr>
            <w:r w:rsidRPr="0099155F">
              <w:rPr>
                <w:rFonts w:eastAsiaTheme="minorHAnsi" w:cs="Segoe UI"/>
                <w:color w:val="000000"/>
                <w:sz w:val="20"/>
                <w:szCs w:val="20"/>
              </w:rPr>
              <w:t>Potential</w:t>
            </w:r>
            <w:r w:rsidRPr="0099155F">
              <w:rPr>
                <w:rFonts w:eastAsiaTheme="minorHAnsi" w:cs="Segoe UI"/>
                <w:sz w:val="20"/>
                <w:szCs w:val="20"/>
              </w:rPr>
              <w:t xml:space="preserve"> license cost </w:t>
            </w:r>
          </w:p>
        </w:tc>
      </w:tr>
      <w:tr w:rsidR="0099155F" w:rsidRPr="00A2569F" w14:paraId="6403DA02" w14:textId="77777777" w:rsidTr="00E85B07">
        <w:tc>
          <w:tcPr>
            <w:tcW w:w="2155" w:type="dxa"/>
          </w:tcPr>
          <w:p w14:paraId="3BE924CA" w14:textId="5857D385" w:rsidR="0099155F" w:rsidRPr="00EC09FD" w:rsidRDefault="0099155F" w:rsidP="0099155F">
            <w:pPr>
              <w:rPr>
                <w:rFonts w:eastAsiaTheme="minorHAnsi"/>
                <w:b/>
                <w:szCs w:val="20"/>
              </w:rPr>
            </w:pPr>
            <w:r w:rsidRPr="009A6B9D">
              <w:rPr>
                <w:rFonts w:eastAsiaTheme="minorHAnsi" w:cs="Segoe UI"/>
                <w:b/>
                <w:sz w:val="20"/>
                <w:szCs w:val="20"/>
              </w:rPr>
              <w:t>Supported operating systems</w:t>
            </w:r>
          </w:p>
        </w:tc>
        <w:tc>
          <w:tcPr>
            <w:tcW w:w="7195" w:type="dxa"/>
          </w:tcPr>
          <w:p w14:paraId="7A35261B" w14:textId="78C830C3" w:rsidR="0099155F" w:rsidRPr="006E4CDF" w:rsidRDefault="0099155F" w:rsidP="0099155F">
            <w:pPr>
              <w:rPr>
                <w:rFonts w:eastAsiaTheme="minorHAnsi"/>
                <w:szCs w:val="20"/>
              </w:rPr>
            </w:pPr>
            <w:r w:rsidRPr="009A6B9D">
              <w:rPr>
                <w:rFonts w:eastAsiaTheme="minorHAnsi" w:cs="Segoe UI"/>
                <w:sz w:val="20"/>
                <w:szCs w:val="20"/>
              </w:rPr>
              <w:t>Windows, Linux</w:t>
            </w:r>
          </w:p>
        </w:tc>
      </w:tr>
    </w:tbl>
    <w:p w14:paraId="02CF76D7" w14:textId="77777777" w:rsidR="00D53A7A" w:rsidRPr="00A2569F" w:rsidRDefault="00D53A7A" w:rsidP="00D53A7A">
      <w:pPr>
        <w:shd w:val="clear" w:color="auto" w:fill="FFFFFF"/>
        <w:spacing w:before="0" w:after="0" w:line="240" w:lineRule="auto"/>
        <w:rPr>
          <w:rFonts w:eastAsiaTheme="minorHAnsi" w:cs="Segoe UI"/>
          <w:color w:val="000000"/>
          <w:sz w:val="20"/>
          <w:szCs w:val="20"/>
        </w:rPr>
      </w:pPr>
    </w:p>
    <w:p w14:paraId="6C0ED019" w14:textId="77777777" w:rsidR="00D53A7A" w:rsidRPr="00A2569F" w:rsidRDefault="00D53A7A" w:rsidP="00D53A7A">
      <w:pPr>
        <w:shd w:val="clear" w:color="auto" w:fill="FFFFFF"/>
        <w:spacing w:before="0" w:after="0" w:line="240" w:lineRule="auto"/>
        <w:rPr>
          <w:rFonts w:eastAsiaTheme="minorHAnsi" w:cs="Segoe UI"/>
          <w:color w:val="000000"/>
          <w:sz w:val="20"/>
          <w:szCs w:val="20"/>
        </w:rPr>
      </w:pPr>
    </w:p>
    <w:p w14:paraId="0F523F8E" w14:textId="77777777" w:rsidR="00D53A7A" w:rsidRPr="00A2569F" w:rsidRDefault="00D53A7A" w:rsidP="00D53A7A">
      <w:pPr>
        <w:shd w:val="clear" w:color="auto" w:fill="FFFFFF"/>
        <w:spacing w:before="0" w:after="0" w:line="240" w:lineRule="auto"/>
        <w:rPr>
          <w:rFonts w:eastAsiaTheme="minorHAnsi" w:cs="Segoe UI"/>
          <w:color w:val="000000"/>
          <w:sz w:val="20"/>
          <w:szCs w:val="20"/>
        </w:rPr>
      </w:pPr>
      <w:r w:rsidRPr="00A2569F">
        <w:rPr>
          <w:rFonts w:eastAsiaTheme="minorHAnsi" w:cs="Segoe UI"/>
          <w:color w:val="000000"/>
          <w:sz w:val="20"/>
          <w:szCs w:val="20"/>
        </w:rPr>
        <w:t> </w:t>
      </w:r>
    </w:p>
    <w:p w14:paraId="615CE75A" w14:textId="77777777" w:rsidR="00D53A7A" w:rsidRPr="00A2569F" w:rsidRDefault="00D53A7A" w:rsidP="00D53A7A">
      <w:pPr>
        <w:shd w:val="clear" w:color="auto" w:fill="FFFFFF"/>
        <w:spacing w:before="0" w:after="0" w:line="240" w:lineRule="auto"/>
        <w:rPr>
          <w:rFonts w:eastAsiaTheme="minorHAnsi" w:cs="Segoe UI"/>
          <w:b/>
          <w:bCs/>
          <w:color w:val="000000"/>
          <w:sz w:val="20"/>
          <w:szCs w:val="20"/>
        </w:rPr>
      </w:pPr>
    </w:p>
    <w:tbl>
      <w:tblPr>
        <w:tblStyle w:val="PlainTable11"/>
        <w:tblW w:w="0" w:type="auto"/>
        <w:tblLook w:val="04A0" w:firstRow="1" w:lastRow="0" w:firstColumn="1" w:lastColumn="0" w:noHBand="0" w:noVBand="1"/>
      </w:tblPr>
      <w:tblGrid>
        <w:gridCol w:w="2155"/>
        <w:gridCol w:w="7195"/>
      </w:tblGrid>
      <w:tr w:rsidR="0099155F" w:rsidRPr="00E85B07" w14:paraId="7A665B83" w14:textId="77777777" w:rsidTr="009915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shd w:val="clear" w:color="auto" w:fill="808080" w:themeFill="background1" w:themeFillShade="80"/>
          </w:tcPr>
          <w:p w14:paraId="3FBC01E1" w14:textId="263DE934" w:rsidR="0099155F" w:rsidRPr="00E85B07" w:rsidRDefault="0099155F" w:rsidP="0099155F">
            <w:pPr>
              <w:rPr>
                <w:rFonts w:eastAsiaTheme="minorHAnsi"/>
                <w:sz w:val="20"/>
                <w:szCs w:val="20"/>
              </w:rPr>
            </w:pPr>
            <w:r w:rsidRPr="007B720C">
              <w:rPr>
                <w:rFonts w:eastAsiaTheme="minorHAnsi" w:cs="Segoe UI"/>
                <w:color w:val="FFFFFF" w:themeColor="background1"/>
                <w:sz w:val="20"/>
                <w:szCs w:val="20"/>
              </w:rPr>
              <w:t>Name</w:t>
            </w:r>
          </w:p>
        </w:tc>
        <w:tc>
          <w:tcPr>
            <w:tcW w:w="7195" w:type="dxa"/>
            <w:shd w:val="clear" w:color="auto" w:fill="808080" w:themeFill="background1" w:themeFillShade="80"/>
          </w:tcPr>
          <w:p w14:paraId="2AA0EB0F" w14:textId="0F155C7F" w:rsidR="0099155F" w:rsidRPr="00E85B07" w:rsidRDefault="0099155F" w:rsidP="0099155F">
            <w:pPr>
              <w:cnfStyle w:val="100000000000" w:firstRow="1" w:lastRow="0" w:firstColumn="0" w:lastColumn="0" w:oddVBand="0" w:evenVBand="0" w:oddHBand="0" w:evenHBand="0" w:firstRowFirstColumn="0" w:firstRowLastColumn="0" w:lastRowFirstColumn="0" w:lastRowLastColumn="0"/>
              <w:rPr>
                <w:rFonts w:eastAsiaTheme="minorHAnsi"/>
                <w:b w:val="0"/>
                <w:sz w:val="20"/>
                <w:szCs w:val="20"/>
              </w:rPr>
            </w:pPr>
            <w:r w:rsidRPr="007B720C">
              <w:rPr>
                <w:rFonts w:eastAsiaTheme="minorHAnsi" w:cs="Segoe UI"/>
                <w:color w:val="FFFFFF" w:themeColor="background1"/>
                <w:sz w:val="20"/>
                <w:szCs w:val="20"/>
              </w:rPr>
              <w:t>Windows PowerShell DSC</w:t>
            </w:r>
          </w:p>
        </w:tc>
      </w:tr>
      <w:tr w:rsidR="0099155F" w:rsidRPr="00A2569F" w14:paraId="46273AC5" w14:textId="77777777" w:rsidTr="00E85B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tcPr>
          <w:p w14:paraId="418A29B6" w14:textId="77777777" w:rsidR="0099155F" w:rsidRPr="009A6B9D" w:rsidRDefault="0099155F" w:rsidP="0099155F">
            <w:pPr>
              <w:rPr>
                <w:rFonts w:eastAsiaTheme="minorHAnsi" w:cs="Segoe UI"/>
                <w:sz w:val="20"/>
                <w:szCs w:val="20"/>
              </w:rPr>
            </w:pPr>
            <w:r w:rsidRPr="009A6B9D">
              <w:rPr>
                <w:rFonts w:eastAsiaTheme="minorHAnsi" w:cs="Segoe UI"/>
                <w:sz w:val="20"/>
                <w:szCs w:val="20"/>
              </w:rPr>
              <w:t>Description</w:t>
            </w:r>
          </w:p>
          <w:p w14:paraId="5EAECB1C" w14:textId="77777777" w:rsidR="0099155F" w:rsidRPr="00E85B07" w:rsidRDefault="0099155F" w:rsidP="0099155F">
            <w:pPr>
              <w:rPr>
                <w:rFonts w:eastAsiaTheme="minorHAnsi"/>
                <w:szCs w:val="20"/>
              </w:rPr>
            </w:pPr>
          </w:p>
        </w:tc>
        <w:tc>
          <w:tcPr>
            <w:tcW w:w="7195" w:type="dxa"/>
          </w:tcPr>
          <w:p w14:paraId="79632514" w14:textId="77777777" w:rsidR="0099155F" w:rsidRPr="009A6B9D" w:rsidRDefault="0099155F" w:rsidP="0099155F">
            <w:pPr>
              <w:cnfStyle w:val="000000100000" w:firstRow="0" w:lastRow="0" w:firstColumn="0" w:lastColumn="0" w:oddVBand="0" w:evenVBand="0" w:oddHBand="1" w:evenHBand="0" w:firstRowFirstColumn="0" w:firstRowLastColumn="0" w:lastRowFirstColumn="0" w:lastRowLastColumn="0"/>
              <w:rPr>
                <w:rFonts w:eastAsiaTheme="minorHAnsi" w:cs="Segoe UI"/>
                <w:sz w:val="20"/>
                <w:szCs w:val="20"/>
                <w:lang w:val="en"/>
              </w:rPr>
            </w:pPr>
            <w:r w:rsidRPr="009A6B9D">
              <w:rPr>
                <w:rFonts w:eastAsiaTheme="minorHAnsi" w:cs="Segoe UI"/>
                <w:sz w:val="20"/>
                <w:szCs w:val="20"/>
                <w:lang w:val="en"/>
              </w:rPr>
              <w:t>Desired State Configuration (DSC) is a management platform in Windows PowerShell that enables deploying and managing configuration data for software services and managing the environment in which these services run.</w:t>
            </w:r>
          </w:p>
          <w:p w14:paraId="680FEDEB" w14:textId="6B926F6B" w:rsidR="0099155F" w:rsidRPr="006E4CDF" w:rsidRDefault="0099155F" w:rsidP="0099155F">
            <w:pPr>
              <w:cnfStyle w:val="000000100000" w:firstRow="0" w:lastRow="0" w:firstColumn="0" w:lastColumn="0" w:oddVBand="0" w:evenVBand="0" w:oddHBand="1" w:evenHBand="0" w:firstRowFirstColumn="0" w:firstRowLastColumn="0" w:lastRowFirstColumn="0" w:lastRowLastColumn="0"/>
              <w:rPr>
                <w:rFonts w:eastAsiaTheme="minorHAnsi"/>
                <w:szCs w:val="20"/>
              </w:rPr>
            </w:pPr>
            <w:r w:rsidRPr="009A6B9D">
              <w:rPr>
                <w:rFonts w:eastAsiaTheme="minorHAnsi" w:cs="Segoe UI"/>
                <w:sz w:val="20"/>
                <w:szCs w:val="20"/>
                <w:lang w:val="en"/>
              </w:rPr>
              <w:t xml:space="preserve">For more information, see </w:t>
            </w:r>
            <w:hyperlink r:id="rId244" w:history="1">
              <w:r w:rsidRPr="009A6B9D">
                <w:rPr>
                  <w:rStyle w:val="Hyperlink"/>
                  <w:rFonts w:eastAsiaTheme="minorHAnsi" w:cs="Segoe UI"/>
                  <w:sz w:val="20"/>
                  <w:szCs w:val="20"/>
                  <w:lang w:val="en"/>
                </w:rPr>
                <w:t>Windows PowerShell Desired State Configuration Overview</w:t>
              </w:r>
            </w:hyperlink>
            <w:r w:rsidRPr="009A6B9D">
              <w:rPr>
                <w:rFonts w:eastAsiaTheme="minorHAnsi" w:cs="Segoe UI"/>
                <w:sz w:val="20"/>
                <w:szCs w:val="20"/>
                <w:lang w:val="en"/>
              </w:rPr>
              <w:t>.</w:t>
            </w:r>
          </w:p>
        </w:tc>
      </w:tr>
      <w:tr w:rsidR="0099155F" w:rsidRPr="00A2569F" w14:paraId="0EE9E9A8" w14:textId="77777777" w:rsidTr="00E85B07">
        <w:tc>
          <w:tcPr>
            <w:cnfStyle w:val="001000000000" w:firstRow="0" w:lastRow="0" w:firstColumn="1" w:lastColumn="0" w:oddVBand="0" w:evenVBand="0" w:oddHBand="0" w:evenHBand="0" w:firstRowFirstColumn="0" w:firstRowLastColumn="0" w:lastRowFirstColumn="0" w:lastRowLastColumn="0"/>
            <w:tcW w:w="2155" w:type="dxa"/>
          </w:tcPr>
          <w:p w14:paraId="6BC93F26" w14:textId="77777777" w:rsidR="0099155F" w:rsidRPr="009A6B9D" w:rsidRDefault="0099155F" w:rsidP="0099155F">
            <w:pPr>
              <w:rPr>
                <w:rFonts w:eastAsiaTheme="minorHAnsi" w:cs="Segoe UI"/>
                <w:sz w:val="20"/>
                <w:szCs w:val="20"/>
              </w:rPr>
            </w:pPr>
            <w:r w:rsidRPr="009A6B9D">
              <w:rPr>
                <w:rFonts w:eastAsiaTheme="minorHAnsi" w:cs="Segoe UI"/>
                <w:sz w:val="20"/>
                <w:szCs w:val="20"/>
              </w:rPr>
              <w:t>Applicability</w:t>
            </w:r>
          </w:p>
          <w:p w14:paraId="13D1F91D" w14:textId="77777777" w:rsidR="0099155F" w:rsidRPr="00E85B07" w:rsidRDefault="0099155F" w:rsidP="0099155F">
            <w:pPr>
              <w:rPr>
                <w:rFonts w:eastAsiaTheme="minorHAnsi"/>
                <w:szCs w:val="20"/>
              </w:rPr>
            </w:pPr>
          </w:p>
        </w:tc>
        <w:tc>
          <w:tcPr>
            <w:tcW w:w="7195" w:type="dxa"/>
          </w:tcPr>
          <w:p w14:paraId="6AEC14F0" w14:textId="77777777" w:rsidR="0099155F" w:rsidRPr="009A6B9D" w:rsidRDefault="0099155F" w:rsidP="0099155F">
            <w:pPr>
              <w:cnfStyle w:val="000000000000" w:firstRow="0" w:lastRow="0" w:firstColumn="0" w:lastColumn="0" w:oddVBand="0" w:evenVBand="0" w:oddHBand="0" w:evenHBand="0" w:firstRowFirstColumn="0" w:firstRowLastColumn="0" w:lastRowFirstColumn="0" w:lastRowLastColumn="0"/>
              <w:rPr>
                <w:rFonts w:eastAsiaTheme="minorHAnsi" w:cs="Segoe UI"/>
                <w:sz w:val="20"/>
                <w:szCs w:val="20"/>
              </w:rPr>
            </w:pPr>
            <w:r w:rsidRPr="009A6B9D">
              <w:rPr>
                <w:rFonts w:eastAsiaTheme="minorHAnsi" w:cs="Segoe UI"/>
                <w:sz w:val="20"/>
                <w:szCs w:val="20"/>
              </w:rPr>
              <w:t>Provisioning in Azure:</w:t>
            </w:r>
          </w:p>
          <w:p w14:paraId="79997351" w14:textId="7DEC3B76" w:rsidR="0099155F" w:rsidRPr="006E4CDF" w:rsidRDefault="0099155F" w:rsidP="0099155F">
            <w:pPr>
              <w:cnfStyle w:val="000000000000" w:firstRow="0" w:lastRow="0" w:firstColumn="0" w:lastColumn="0" w:oddVBand="0" w:evenVBand="0" w:oddHBand="0" w:evenHBand="0" w:firstRowFirstColumn="0" w:firstRowLastColumn="0" w:lastRowFirstColumn="0" w:lastRowLastColumn="0"/>
              <w:rPr>
                <w:rFonts w:eastAsiaTheme="minorHAnsi"/>
                <w:szCs w:val="20"/>
              </w:rPr>
            </w:pPr>
            <w:r w:rsidRPr="009A6B9D">
              <w:rPr>
                <w:rFonts w:eastAsiaTheme="minorHAnsi" w:cs="Segoe UI"/>
                <w:sz w:val="20"/>
                <w:szCs w:val="20"/>
              </w:rPr>
              <w:t xml:space="preserve">Infrastructure as a Service (IaaS) </w:t>
            </w:r>
          </w:p>
        </w:tc>
      </w:tr>
      <w:tr w:rsidR="0099155F" w:rsidRPr="00A2569F" w14:paraId="31B1913D" w14:textId="77777777" w:rsidTr="00E85B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tcPr>
          <w:p w14:paraId="6AB21CDE" w14:textId="77777777" w:rsidR="0099155F" w:rsidRPr="009A6B9D" w:rsidRDefault="0099155F" w:rsidP="0099155F">
            <w:pPr>
              <w:rPr>
                <w:rFonts w:eastAsiaTheme="minorHAnsi" w:cs="Segoe UI"/>
                <w:sz w:val="20"/>
                <w:szCs w:val="20"/>
              </w:rPr>
            </w:pPr>
            <w:r w:rsidRPr="009A6B9D">
              <w:rPr>
                <w:rFonts w:eastAsiaTheme="minorHAnsi" w:cs="Segoe UI"/>
                <w:sz w:val="20"/>
                <w:szCs w:val="20"/>
              </w:rPr>
              <w:t>Pros</w:t>
            </w:r>
          </w:p>
          <w:p w14:paraId="57480172" w14:textId="77777777" w:rsidR="0099155F" w:rsidRPr="00E85B07" w:rsidRDefault="0099155F" w:rsidP="0099155F">
            <w:pPr>
              <w:rPr>
                <w:rFonts w:eastAsiaTheme="minorHAnsi"/>
                <w:szCs w:val="20"/>
              </w:rPr>
            </w:pPr>
          </w:p>
        </w:tc>
        <w:tc>
          <w:tcPr>
            <w:tcW w:w="7195" w:type="dxa"/>
          </w:tcPr>
          <w:p w14:paraId="00EBB4A2" w14:textId="77777777" w:rsidR="0099155F" w:rsidRPr="009A6B9D" w:rsidRDefault="0099155F" w:rsidP="005729D2">
            <w:pPr>
              <w:numPr>
                <w:ilvl w:val="0"/>
                <w:numId w:val="259"/>
              </w:numPr>
              <w:spacing w:before="0" w:after="0" w:line="240" w:lineRule="auto"/>
              <w:cnfStyle w:val="000000100000" w:firstRow="0" w:lastRow="0" w:firstColumn="0" w:lastColumn="0" w:oddVBand="0" w:evenVBand="0" w:oddHBand="1" w:evenHBand="0" w:firstRowFirstColumn="0" w:firstRowLastColumn="0" w:lastRowFirstColumn="0" w:lastRowLastColumn="0"/>
              <w:rPr>
                <w:rFonts w:eastAsiaTheme="minorHAnsi" w:cs="Segoe UI"/>
                <w:color w:val="000000"/>
                <w:sz w:val="20"/>
                <w:szCs w:val="20"/>
              </w:rPr>
            </w:pPr>
            <w:r w:rsidRPr="009A6B9D">
              <w:rPr>
                <w:rFonts w:eastAsiaTheme="minorHAnsi" w:cs="Segoe UI"/>
                <w:color w:val="000000"/>
                <w:sz w:val="20"/>
                <w:szCs w:val="20"/>
              </w:rPr>
              <w:t xml:space="preserve">Extensible and can be implemented many ways </w:t>
            </w:r>
          </w:p>
          <w:p w14:paraId="6D7D4898" w14:textId="4FFEBBC9" w:rsidR="0099155F" w:rsidRDefault="0099155F" w:rsidP="005729D2">
            <w:pPr>
              <w:numPr>
                <w:ilvl w:val="0"/>
                <w:numId w:val="259"/>
              </w:numPr>
              <w:spacing w:before="0" w:after="0" w:line="240" w:lineRule="auto"/>
              <w:cnfStyle w:val="000000100000" w:firstRow="0" w:lastRow="0" w:firstColumn="0" w:lastColumn="0" w:oddVBand="0" w:evenVBand="0" w:oddHBand="1" w:evenHBand="0" w:firstRowFirstColumn="0" w:firstRowLastColumn="0" w:lastRowFirstColumn="0" w:lastRowLastColumn="0"/>
              <w:rPr>
                <w:rFonts w:eastAsiaTheme="minorHAnsi" w:cs="Segoe UI"/>
                <w:color w:val="000000"/>
                <w:sz w:val="20"/>
                <w:szCs w:val="20"/>
              </w:rPr>
            </w:pPr>
            <w:r w:rsidRPr="009A6B9D">
              <w:rPr>
                <w:rFonts w:eastAsiaTheme="minorHAnsi" w:cs="Segoe UI"/>
                <w:color w:val="000000"/>
                <w:sz w:val="20"/>
                <w:szCs w:val="20"/>
              </w:rPr>
              <w:t>Leveraged mainly for post virtual machine provisioning tasks and desired state configurations</w:t>
            </w:r>
          </w:p>
          <w:p w14:paraId="2EB6B103" w14:textId="2CE07B03" w:rsidR="0099155F" w:rsidRPr="0099155F" w:rsidRDefault="0099155F" w:rsidP="005729D2">
            <w:pPr>
              <w:numPr>
                <w:ilvl w:val="0"/>
                <w:numId w:val="259"/>
              </w:numPr>
              <w:spacing w:before="0" w:after="0" w:line="240" w:lineRule="auto"/>
              <w:cnfStyle w:val="000000100000" w:firstRow="0" w:lastRow="0" w:firstColumn="0" w:lastColumn="0" w:oddVBand="0" w:evenVBand="0" w:oddHBand="1" w:evenHBand="0" w:firstRowFirstColumn="0" w:firstRowLastColumn="0" w:lastRowFirstColumn="0" w:lastRowLastColumn="0"/>
              <w:rPr>
                <w:rFonts w:eastAsiaTheme="minorHAnsi" w:cs="Segoe UI"/>
                <w:color w:val="000000"/>
                <w:sz w:val="20"/>
                <w:szCs w:val="20"/>
              </w:rPr>
            </w:pPr>
            <w:r w:rsidRPr="0099155F">
              <w:rPr>
                <w:rFonts w:eastAsiaTheme="minorHAnsi" w:cs="Segoe UI"/>
                <w:color w:val="000000"/>
                <w:sz w:val="20"/>
                <w:szCs w:val="20"/>
              </w:rPr>
              <w:t>Integrated with release management so it can perform application deplo</w:t>
            </w:r>
            <w:r w:rsidRPr="0099155F">
              <w:rPr>
                <w:rFonts w:eastAsiaTheme="minorHAnsi" w:cs="Segoe UI"/>
                <w:sz w:val="20"/>
                <w:szCs w:val="20"/>
              </w:rPr>
              <w:t xml:space="preserve">yments </w:t>
            </w:r>
          </w:p>
        </w:tc>
      </w:tr>
      <w:tr w:rsidR="0099155F" w:rsidRPr="00A2569F" w14:paraId="4DE7E4D9" w14:textId="77777777" w:rsidTr="00E85B07">
        <w:tc>
          <w:tcPr>
            <w:cnfStyle w:val="001000000000" w:firstRow="0" w:lastRow="0" w:firstColumn="1" w:lastColumn="0" w:oddVBand="0" w:evenVBand="0" w:oddHBand="0" w:evenHBand="0" w:firstRowFirstColumn="0" w:firstRowLastColumn="0" w:lastRowFirstColumn="0" w:lastRowLastColumn="0"/>
            <w:tcW w:w="2155" w:type="dxa"/>
          </w:tcPr>
          <w:p w14:paraId="74CFB812" w14:textId="77777777" w:rsidR="0099155F" w:rsidRPr="009A6B9D" w:rsidRDefault="0099155F" w:rsidP="0099155F">
            <w:pPr>
              <w:rPr>
                <w:rFonts w:eastAsiaTheme="minorHAnsi" w:cs="Segoe UI"/>
                <w:sz w:val="20"/>
                <w:szCs w:val="20"/>
              </w:rPr>
            </w:pPr>
            <w:r w:rsidRPr="009A6B9D">
              <w:rPr>
                <w:rFonts w:eastAsiaTheme="minorHAnsi" w:cs="Segoe UI"/>
                <w:sz w:val="20"/>
                <w:szCs w:val="20"/>
              </w:rPr>
              <w:t>Cons</w:t>
            </w:r>
          </w:p>
          <w:p w14:paraId="7F95236C" w14:textId="77777777" w:rsidR="0099155F" w:rsidRPr="00E85B07" w:rsidRDefault="0099155F" w:rsidP="0099155F">
            <w:pPr>
              <w:rPr>
                <w:rFonts w:eastAsiaTheme="minorHAnsi"/>
                <w:szCs w:val="20"/>
              </w:rPr>
            </w:pPr>
          </w:p>
        </w:tc>
        <w:tc>
          <w:tcPr>
            <w:tcW w:w="7195" w:type="dxa"/>
          </w:tcPr>
          <w:p w14:paraId="1D4CB761" w14:textId="77777777" w:rsidR="0099155F" w:rsidRPr="009A6B9D" w:rsidRDefault="0099155F" w:rsidP="005729D2">
            <w:pPr>
              <w:numPr>
                <w:ilvl w:val="0"/>
                <w:numId w:val="259"/>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Segoe UI"/>
                <w:color w:val="000000"/>
                <w:sz w:val="20"/>
                <w:szCs w:val="20"/>
              </w:rPr>
            </w:pPr>
            <w:r w:rsidRPr="009A6B9D">
              <w:rPr>
                <w:rFonts w:eastAsiaTheme="minorHAnsi" w:cs="Segoe UI"/>
                <w:color w:val="000000"/>
                <w:sz w:val="20"/>
                <w:szCs w:val="20"/>
              </w:rPr>
              <w:t xml:space="preserve">Involves knowledge of Windows PowerShell DSC </w:t>
            </w:r>
          </w:p>
          <w:p w14:paraId="2323B6E4" w14:textId="77777777" w:rsidR="0099155F" w:rsidRPr="009A6B9D" w:rsidRDefault="0099155F" w:rsidP="005729D2">
            <w:pPr>
              <w:numPr>
                <w:ilvl w:val="0"/>
                <w:numId w:val="259"/>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Segoe UI"/>
                <w:color w:val="000000"/>
                <w:sz w:val="20"/>
                <w:szCs w:val="20"/>
              </w:rPr>
            </w:pPr>
            <w:r w:rsidRPr="009A6B9D">
              <w:rPr>
                <w:rFonts w:eastAsiaTheme="minorHAnsi" w:cs="Segoe UI"/>
                <w:color w:val="000000"/>
                <w:sz w:val="20"/>
                <w:szCs w:val="20"/>
              </w:rPr>
              <w:t>Though it is extensible, may not be the best tool for all scenarios</w:t>
            </w:r>
          </w:p>
          <w:p w14:paraId="2C2C1A94" w14:textId="07FE8BA6" w:rsidR="0099155F" w:rsidRDefault="0099155F" w:rsidP="005729D2">
            <w:pPr>
              <w:numPr>
                <w:ilvl w:val="0"/>
                <w:numId w:val="259"/>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Segoe UI"/>
                <w:color w:val="000000"/>
                <w:sz w:val="20"/>
                <w:szCs w:val="20"/>
              </w:rPr>
            </w:pPr>
            <w:r w:rsidRPr="009A6B9D">
              <w:rPr>
                <w:rFonts w:eastAsiaTheme="minorHAnsi" w:cs="Segoe UI"/>
                <w:color w:val="000000"/>
                <w:sz w:val="20"/>
                <w:szCs w:val="20"/>
              </w:rPr>
              <w:t>Only for IaaS-based scenarios</w:t>
            </w:r>
          </w:p>
          <w:p w14:paraId="2E7B5E92" w14:textId="42588DD8" w:rsidR="0099155F" w:rsidRPr="0099155F" w:rsidRDefault="0099155F" w:rsidP="005729D2">
            <w:pPr>
              <w:numPr>
                <w:ilvl w:val="0"/>
                <w:numId w:val="259"/>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Segoe UI"/>
                <w:color w:val="000000"/>
                <w:sz w:val="20"/>
                <w:szCs w:val="20"/>
              </w:rPr>
            </w:pPr>
            <w:r w:rsidRPr="0099155F">
              <w:rPr>
                <w:rFonts w:eastAsiaTheme="minorHAnsi" w:cs="Segoe UI"/>
                <w:color w:val="000000"/>
                <w:sz w:val="20"/>
                <w:szCs w:val="20"/>
              </w:rPr>
              <w:t>Can be challenging to implement based on requirements</w:t>
            </w:r>
          </w:p>
        </w:tc>
      </w:tr>
      <w:tr w:rsidR="0099155F" w:rsidRPr="00A2569F" w14:paraId="17A402BE" w14:textId="77777777" w:rsidTr="00E85B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tcPr>
          <w:p w14:paraId="5443428E" w14:textId="60DEAB0A" w:rsidR="0099155F" w:rsidRPr="00E85B07" w:rsidRDefault="0099155F" w:rsidP="0099155F">
            <w:pPr>
              <w:rPr>
                <w:rFonts w:eastAsiaTheme="minorHAnsi"/>
                <w:szCs w:val="20"/>
              </w:rPr>
            </w:pPr>
            <w:r w:rsidRPr="009A6B9D">
              <w:rPr>
                <w:rFonts w:eastAsiaTheme="minorHAnsi" w:cs="Segoe UI"/>
                <w:sz w:val="20"/>
                <w:szCs w:val="20"/>
              </w:rPr>
              <w:t>Supported operating systems</w:t>
            </w:r>
          </w:p>
        </w:tc>
        <w:tc>
          <w:tcPr>
            <w:tcW w:w="7195" w:type="dxa"/>
          </w:tcPr>
          <w:p w14:paraId="1BC3676C" w14:textId="77777777" w:rsidR="0099155F" w:rsidRPr="009A6B9D" w:rsidRDefault="0099155F" w:rsidP="0099155F">
            <w:pPr>
              <w:cnfStyle w:val="000000100000" w:firstRow="0" w:lastRow="0" w:firstColumn="0" w:lastColumn="0" w:oddVBand="0" w:evenVBand="0" w:oddHBand="1" w:evenHBand="0" w:firstRowFirstColumn="0" w:firstRowLastColumn="0" w:lastRowFirstColumn="0" w:lastRowLastColumn="0"/>
              <w:rPr>
                <w:rFonts w:eastAsiaTheme="minorHAnsi" w:cs="Segoe UI"/>
                <w:sz w:val="20"/>
                <w:szCs w:val="20"/>
              </w:rPr>
            </w:pPr>
            <w:r w:rsidRPr="009A6B9D">
              <w:rPr>
                <w:rFonts w:eastAsiaTheme="minorHAnsi" w:cs="Segoe UI"/>
                <w:sz w:val="20"/>
                <w:szCs w:val="20"/>
              </w:rPr>
              <w:t xml:space="preserve">Windows, Linux </w:t>
            </w:r>
          </w:p>
          <w:p w14:paraId="335D26BD" w14:textId="32634A44" w:rsidR="0099155F" w:rsidRPr="006E4CDF" w:rsidRDefault="0099155F" w:rsidP="0099155F">
            <w:pPr>
              <w:cnfStyle w:val="000000100000" w:firstRow="0" w:lastRow="0" w:firstColumn="0" w:lastColumn="0" w:oddVBand="0" w:evenVBand="0" w:oddHBand="1" w:evenHBand="0" w:firstRowFirstColumn="0" w:firstRowLastColumn="0" w:lastRowFirstColumn="0" w:lastRowLastColumn="0"/>
              <w:rPr>
                <w:rFonts w:eastAsiaTheme="minorHAnsi"/>
                <w:szCs w:val="20"/>
              </w:rPr>
            </w:pPr>
            <w:r w:rsidRPr="009A6B9D">
              <w:rPr>
                <w:rFonts w:eastAsiaTheme="minorHAnsi" w:cs="Segoe UI"/>
                <w:sz w:val="20"/>
                <w:szCs w:val="20"/>
              </w:rPr>
              <w:t xml:space="preserve">For more information, see </w:t>
            </w:r>
            <w:hyperlink r:id="rId245" w:history="1">
              <w:r w:rsidRPr="009A6B9D">
                <w:rPr>
                  <w:rStyle w:val="Hyperlink"/>
                  <w:rFonts w:eastAsiaTheme="minorHAnsi" w:cs="Segoe UI"/>
                  <w:sz w:val="20"/>
                  <w:szCs w:val="20"/>
                </w:rPr>
                <w:t>Installing and configuring DSC for Linux</w:t>
              </w:r>
            </w:hyperlink>
            <w:r w:rsidRPr="009A6B9D">
              <w:rPr>
                <w:rFonts w:eastAsiaTheme="minorHAnsi" w:cs="Segoe UI"/>
                <w:sz w:val="20"/>
                <w:szCs w:val="20"/>
              </w:rPr>
              <w:t xml:space="preserve"> </w:t>
            </w:r>
          </w:p>
        </w:tc>
      </w:tr>
    </w:tbl>
    <w:p w14:paraId="0A0A03F3" w14:textId="77777777" w:rsidR="00D53A7A" w:rsidRPr="00A2569F" w:rsidRDefault="00D53A7A" w:rsidP="00D53A7A">
      <w:pPr>
        <w:shd w:val="clear" w:color="auto" w:fill="FFFFFF"/>
        <w:spacing w:before="0" w:after="0" w:line="240" w:lineRule="auto"/>
        <w:rPr>
          <w:rFonts w:eastAsiaTheme="minorHAnsi" w:cs="Segoe UI"/>
          <w:color w:val="000000"/>
          <w:sz w:val="20"/>
          <w:szCs w:val="20"/>
        </w:rPr>
      </w:pPr>
    </w:p>
    <w:p w14:paraId="3D463B59" w14:textId="77777777" w:rsidR="00D53A7A" w:rsidRPr="00A2569F" w:rsidRDefault="00D53A7A" w:rsidP="00D53A7A">
      <w:pPr>
        <w:shd w:val="clear" w:color="auto" w:fill="FFFFFF"/>
        <w:spacing w:before="0" w:after="0" w:line="240" w:lineRule="auto"/>
        <w:rPr>
          <w:rFonts w:eastAsiaTheme="minorHAnsi" w:cs="Segoe UI"/>
          <w:color w:val="000000"/>
          <w:sz w:val="20"/>
          <w:szCs w:val="20"/>
        </w:rPr>
      </w:pPr>
      <w:r w:rsidRPr="00A2569F">
        <w:rPr>
          <w:rFonts w:eastAsiaTheme="minorHAnsi" w:cs="Segoe UI"/>
          <w:color w:val="000000"/>
          <w:sz w:val="20"/>
          <w:szCs w:val="20"/>
        </w:rPr>
        <w:t> </w:t>
      </w:r>
    </w:p>
    <w:p w14:paraId="4A5F9667" w14:textId="77777777" w:rsidR="00D53A7A" w:rsidRPr="00A2569F" w:rsidRDefault="00D53A7A" w:rsidP="00D53A7A">
      <w:pPr>
        <w:shd w:val="clear" w:color="auto" w:fill="FFFFFF"/>
        <w:spacing w:before="0" w:after="0" w:line="240" w:lineRule="auto"/>
        <w:rPr>
          <w:rFonts w:eastAsiaTheme="minorHAnsi" w:cs="Segoe UI"/>
          <w:b/>
          <w:bCs/>
          <w:color w:val="000000"/>
          <w:sz w:val="20"/>
          <w:szCs w:val="20"/>
        </w:rPr>
      </w:pPr>
    </w:p>
    <w:tbl>
      <w:tblPr>
        <w:tblStyle w:val="PlainTable11"/>
        <w:tblW w:w="0" w:type="auto"/>
        <w:tblLayout w:type="fixed"/>
        <w:tblLook w:val="04A0" w:firstRow="1" w:lastRow="0" w:firstColumn="1" w:lastColumn="0" w:noHBand="0" w:noVBand="1"/>
      </w:tblPr>
      <w:tblGrid>
        <w:gridCol w:w="2155"/>
        <w:gridCol w:w="7195"/>
      </w:tblGrid>
      <w:tr w:rsidR="0099155F" w:rsidRPr="00A2569F" w14:paraId="35F20CB0" w14:textId="77777777" w:rsidTr="009915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shd w:val="clear" w:color="auto" w:fill="808080" w:themeFill="background1" w:themeFillShade="80"/>
          </w:tcPr>
          <w:p w14:paraId="0B119D37" w14:textId="0BA825BF" w:rsidR="0099155F" w:rsidRPr="00E85B07" w:rsidRDefault="0099155F" w:rsidP="0099155F">
            <w:pPr>
              <w:rPr>
                <w:rFonts w:eastAsiaTheme="minorHAnsi"/>
                <w:sz w:val="20"/>
              </w:rPr>
            </w:pPr>
            <w:r w:rsidRPr="00FB75F6">
              <w:rPr>
                <w:rFonts w:eastAsiaTheme="minorHAnsi" w:cs="Segoe UI"/>
                <w:color w:val="FFFFFF" w:themeColor="background1"/>
                <w:sz w:val="20"/>
                <w:szCs w:val="20"/>
              </w:rPr>
              <w:t>Name</w:t>
            </w:r>
          </w:p>
        </w:tc>
        <w:tc>
          <w:tcPr>
            <w:tcW w:w="7195" w:type="dxa"/>
            <w:shd w:val="clear" w:color="auto" w:fill="808080" w:themeFill="background1" w:themeFillShade="80"/>
          </w:tcPr>
          <w:p w14:paraId="656D8772" w14:textId="5D48CF3A" w:rsidR="0099155F" w:rsidRPr="00E85B07" w:rsidRDefault="004F6301" w:rsidP="0099155F">
            <w:pPr>
              <w:cnfStyle w:val="100000000000" w:firstRow="1" w:lastRow="0" w:firstColumn="0" w:lastColumn="0" w:oddVBand="0" w:evenVBand="0" w:oddHBand="0" w:evenHBand="0" w:firstRowFirstColumn="0" w:firstRowLastColumn="0" w:lastRowFirstColumn="0" w:lastRowLastColumn="0"/>
              <w:rPr>
                <w:rFonts w:eastAsiaTheme="minorHAnsi"/>
                <w:b w:val="0"/>
                <w:sz w:val="20"/>
              </w:rPr>
            </w:pPr>
            <w:r w:rsidRPr="004F6301">
              <w:rPr>
                <w:rFonts w:eastAsiaTheme="minorHAnsi" w:cs="Segoe UI"/>
                <w:color w:val="FFFFFF" w:themeColor="background1"/>
                <w:sz w:val="20"/>
                <w:szCs w:val="20"/>
              </w:rPr>
              <w:t>System Center 2012 R2 Virtual Machine Role Authoring Guide</w:t>
            </w:r>
          </w:p>
        </w:tc>
      </w:tr>
      <w:tr w:rsidR="0099155F" w:rsidRPr="00A2569F" w14:paraId="2D9AAA2B" w14:textId="77777777" w:rsidTr="00E85B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tcPr>
          <w:p w14:paraId="470ADD70" w14:textId="77777777" w:rsidR="0099155F" w:rsidRPr="009A6B9D" w:rsidRDefault="0099155F" w:rsidP="0099155F">
            <w:pPr>
              <w:rPr>
                <w:rFonts w:eastAsiaTheme="minorHAnsi" w:cs="Segoe UI"/>
                <w:sz w:val="20"/>
                <w:szCs w:val="20"/>
              </w:rPr>
            </w:pPr>
            <w:r w:rsidRPr="009A6B9D">
              <w:rPr>
                <w:rFonts w:eastAsiaTheme="minorHAnsi" w:cs="Segoe UI"/>
                <w:sz w:val="20"/>
                <w:szCs w:val="20"/>
              </w:rPr>
              <w:t>Description</w:t>
            </w:r>
          </w:p>
          <w:p w14:paraId="49BCC803" w14:textId="77777777" w:rsidR="0099155F" w:rsidRPr="00E85B07" w:rsidRDefault="0099155F" w:rsidP="0099155F">
            <w:pPr>
              <w:rPr>
                <w:rFonts w:eastAsiaTheme="minorHAnsi"/>
              </w:rPr>
            </w:pPr>
          </w:p>
        </w:tc>
        <w:tc>
          <w:tcPr>
            <w:tcW w:w="7195" w:type="dxa"/>
          </w:tcPr>
          <w:p w14:paraId="0D05B02C" w14:textId="77777777" w:rsidR="0099155F" w:rsidRPr="009A6B9D" w:rsidRDefault="0099155F" w:rsidP="0099155F">
            <w:pPr>
              <w:cnfStyle w:val="000000100000" w:firstRow="0" w:lastRow="0" w:firstColumn="0" w:lastColumn="0" w:oddVBand="0" w:evenVBand="0" w:oddHBand="1" w:evenHBand="0" w:firstRowFirstColumn="0" w:firstRowLastColumn="0" w:lastRowFirstColumn="0" w:lastRowLastColumn="0"/>
              <w:rPr>
                <w:rFonts w:eastAsiaTheme="minorHAnsi" w:cs="Segoe UI"/>
                <w:sz w:val="20"/>
                <w:szCs w:val="20"/>
              </w:rPr>
            </w:pPr>
            <w:r w:rsidRPr="009A6B9D">
              <w:rPr>
                <w:rFonts w:eastAsiaTheme="minorHAnsi" w:cs="Segoe UI"/>
                <w:sz w:val="20"/>
                <w:szCs w:val="20"/>
              </w:rPr>
              <w:t>Implements features for support by System Center.</w:t>
            </w:r>
          </w:p>
          <w:p w14:paraId="65C0B989" w14:textId="2E443F95" w:rsidR="0099155F" w:rsidRPr="006E4CDF" w:rsidRDefault="0099155F" w:rsidP="0099155F">
            <w:pPr>
              <w:cnfStyle w:val="000000100000" w:firstRow="0" w:lastRow="0" w:firstColumn="0" w:lastColumn="0" w:oddVBand="0" w:evenVBand="0" w:oddHBand="1" w:evenHBand="0" w:firstRowFirstColumn="0" w:firstRowLastColumn="0" w:lastRowFirstColumn="0" w:lastRowLastColumn="0"/>
              <w:rPr>
                <w:rFonts w:eastAsiaTheme="minorHAnsi"/>
              </w:rPr>
            </w:pPr>
            <w:r w:rsidRPr="009A6B9D">
              <w:rPr>
                <w:rFonts w:eastAsiaTheme="minorHAnsi" w:cs="Segoe UI"/>
                <w:sz w:val="20"/>
                <w:szCs w:val="20"/>
              </w:rPr>
              <w:t xml:space="preserve">For more information, see </w:t>
            </w:r>
            <w:hyperlink r:id="rId246" w:history="1">
              <w:r w:rsidRPr="009A6B9D">
                <w:rPr>
                  <w:rFonts w:eastAsiaTheme="minorHAnsi" w:cs="Segoe UI"/>
                  <w:color w:val="0563C1" w:themeColor="hyperlink"/>
                  <w:sz w:val="20"/>
                  <w:szCs w:val="20"/>
                  <w:u w:val="single"/>
                </w:rPr>
                <w:t>System Center 2012 R2 Virtual Machine Role Authoring Guide - Resource Extension Package</w:t>
              </w:r>
            </w:hyperlink>
            <w:r w:rsidRPr="009A6B9D">
              <w:rPr>
                <w:rFonts w:eastAsiaTheme="minorHAnsi" w:cs="Segoe UI"/>
                <w:sz w:val="20"/>
                <w:szCs w:val="20"/>
              </w:rPr>
              <w:t xml:space="preserve"> </w:t>
            </w:r>
          </w:p>
        </w:tc>
      </w:tr>
      <w:tr w:rsidR="0099155F" w:rsidRPr="00A2569F" w14:paraId="457E65CB" w14:textId="77777777" w:rsidTr="00E85B07">
        <w:tc>
          <w:tcPr>
            <w:cnfStyle w:val="001000000000" w:firstRow="0" w:lastRow="0" w:firstColumn="1" w:lastColumn="0" w:oddVBand="0" w:evenVBand="0" w:oddHBand="0" w:evenHBand="0" w:firstRowFirstColumn="0" w:firstRowLastColumn="0" w:lastRowFirstColumn="0" w:lastRowLastColumn="0"/>
            <w:tcW w:w="2155" w:type="dxa"/>
          </w:tcPr>
          <w:p w14:paraId="0B48086E" w14:textId="77777777" w:rsidR="0099155F" w:rsidRPr="009A6B9D" w:rsidRDefault="0099155F" w:rsidP="0099155F">
            <w:pPr>
              <w:rPr>
                <w:rFonts w:eastAsiaTheme="minorHAnsi" w:cs="Segoe UI"/>
                <w:sz w:val="20"/>
                <w:szCs w:val="20"/>
              </w:rPr>
            </w:pPr>
            <w:r w:rsidRPr="009A6B9D">
              <w:rPr>
                <w:rFonts w:eastAsiaTheme="minorHAnsi" w:cs="Segoe UI"/>
                <w:sz w:val="20"/>
                <w:szCs w:val="20"/>
              </w:rPr>
              <w:t>Applicability</w:t>
            </w:r>
          </w:p>
          <w:p w14:paraId="1D93EED3" w14:textId="77777777" w:rsidR="0099155F" w:rsidRPr="00E85B07" w:rsidRDefault="0099155F" w:rsidP="0099155F">
            <w:pPr>
              <w:rPr>
                <w:rFonts w:eastAsiaTheme="minorHAnsi"/>
              </w:rPr>
            </w:pPr>
          </w:p>
        </w:tc>
        <w:tc>
          <w:tcPr>
            <w:tcW w:w="7195" w:type="dxa"/>
          </w:tcPr>
          <w:p w14:paraId="4B9DD00E" w14:textId="77777777" w:rsidR="0099155F" w:rsidRPr="009A6B9D" w:rsidRDefault="0099155F" w:rsidP="0099155F">
            <w:pPr>
              <w:cnfStyle w:val="000000000000" w:firstRow="0" w:lastRow="0" w:firstColumn="0" w:lastColumn="0" w:oddVBand="0" w:evenVBand="0" w:oddHBand="0" w:evenHBand="0" w:firstRowFirstColumn="0" w:firstRowLastColumn="0" w:lastRowFirstColumn="0" w:lastRowLastColumn="0"/>
              <w:rPr>
                <w:rFonts w:eastAsiaTheme="minorHAnsi" w:cs="Segoe UI"/>
                <w:sz w:val="20"/>
                <w:szCs w:val="20"/>
              </w:rPr>
            </w:pPr>
            <w:r w:rsidRPr="009A6B9D">
              <w:rPr>
                <w:rFonts w:eastAsiaTheme="minorHAnsi" w:cs="Segoe UI"/>
                <w:sz w:val="20"/>
                <w:szCs w:val="20"/>
              </w:rPr>
              <w:t>Provisioning in Azure:</w:t>
            </w:r>
          </w:p>
          <w:p w14:paraId="665E2A01" w14:textId="00439955" w:rsidR="0099155F" w:rsidRPr="006E4CDF" w:rsidRDefault="0099155F" w:rsidP="0099155F">
            <w:pPr>
              <w:cnfStyle w:val="000000000000" w:firstRow="0" w:lastRow="0" w:firstColumn="0" w:lastColumn="0" w:oddVBand="0" w:evenVBand="0" w:oddHBand="0" w:evenHBand="0" w:firstRowFirstColumn="0" w:firstRowLastColumn="0" w:lastRowFirstColumn="0" w:lastRowLastColumn="0"/>
              <w:rPr>
                <w:rFonts w:eastAsiaTheme="minorHAnsi"/>
              </w:rPr>
            </w:pPr>
            <w:r w:rsidRPr="009A6B9D">
              <w:rPr>
                <w:rFonts w:eastAsiaTheme="minorHAnsi" w:cs="Segoe UI"/>
                <w:sz w:val="20"/>
                <w:szCs w:val="20"/>
              </w:rPr>
              <w:t xml:space="preserve">Infrastructure as a Service (IaaS) </w:t>
            </w:r>
          </w:p>
        </w:tc>
      </w:tr>
      <w:tr w:rsidR="0099155F" w:rsidRPr="00A2569F" w14:paraId="74F393DA" w14:textId="77777777" w:rsidTr="00E85B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tcPr>
          <w:p w14:paraId="3C5E091A" w14:textId="77777777" w:rsidR="0099155F" w:rsidRPr="009A6B9D" w:rsidRDefault="0099155F" w:rsidP="0099155F">
            <w:pPr>
              <w:rPr>
                <w:rFonts w:eastAsiaTheme="minorHAnsi" w:cs="Segoe UI"/>
                <w:sz w:val="20"/>
                <w:szCs w:val="20"/>
              </w:rPr>
            </w:pPr>
            <w:r w:rsidRPr="009A6B9D">
              <w:rPr>
                <w:rFonts w:eastAsiaTheme="minorHAnsi" w:cs="Segoe UI"/>
                <w:sz w:val="20"/>
                <w:szCs w:val="20"/>
              </w:rPr>
              <w:t>Pros</w:t>
            </w:r>
          </w:p>
          <w:p w14:paraId="224965C5" w14:textId="77777777" w:rsidR="0099155F" w:rsidRPr="00E85B07" w:rsidRDefault="0099155F" w:rsidP="0099155F">
            <w:pPr>
              <w:rPr>
                <w:rFonts w:eastAsiaTheme="minorHAnsi"/>
              </w:rPr>
            </w:pPr>
          </w:p>
        </w:tc>
        <w:tc>
          <w:tcPr>
            <w:tcW w:w="7195" w:type="dxa"/>
          </w:tcPr>
          <w:p w14:paraId="47091943" w14:textId="77777777" w:rsidR="0099155F" w:rsidRDefault="0099155F" w:rsidP="005729D2">
            <w:pPr>
              <w:numPr>
                <w:ilvl w:val="0"/>
                <w:numId w:val="259"/>
              </w:numPr>
              <w:spacing w:before="0" w:after="0" w:line="240" w:lineRule="auto"/>
              <w:cnfStyle w:val="000000100000" w:firstRow="0" w:lastRow="0" w:firstColumn="0" w:lastColumn="0" w:oddVBand="0" w:evenVBand="0" w:oddHBand="1" w:evenHBand="0" w:firstRowFirstColumn="0" w:firstRowLastColumn="0" w:lastRowFirstColumn="0" w:lastRowLastColumn="0"/>
              <w:rPr>
                <w:rFonts w:eastAsiaTheme="minorHAnsi" w:cs="Segoe UI"/>
                <w:color w:val="000000"/>
                <w:sz w:val="20"/>
                <w:szCs w:val="20"/>
              </w:rPr>
            </w:pPr>
            <w:r w:rsidRPr="009A6B9D">
              <w:rPr>
                <w:rFonts w:eastAsiaTheme="minorHAnsi" w:cs="Segoe UI"/>
                <w:color w:val="000000"/>
                <w:sz w:val="20"/>
                <w:szCs w:val="20"/>
              </w:rPr>
              <w:t>Extensible and can be implemented many ways</w:t>
            </w:r>
          </w:p>
          <w:p w14:paraId="35FAE36D" w14:textId="4471A0EE" w:rsidR="0099155F" w:rsidRPr="0099155F" w:rsidRDefault="0099155F" w:rsidP="005729D2">
            <w:pPr>
              <w:numPr>
                <w:ilvl w:val="0"/>
                <w:numId w:val="259"/>
              </w:numPr>
              <w:spacing w:before="0" w:after="0" w:line="240" w:lineRule="auto"/>
              <w:cnfStyle w:val="000000100000" w:firstRow="0" w:lastRow="0" w:firstColumn="0" w:lastColumn="0" w:oddVBand="0" w:evenVBand="0" w:oddHBand="1" w:evenHBand="0" w:firstRowFirstColumn="0" w:firstRowLastColumn="0" w:lastRowFirstColumn="0" w:lastRowLastColumn="0"/>
              <w:rPr>
                <w:rFonts w:eastAsiaTheme="minorHAnsi" w:cs="Segoe UI"/>
                <w:color w:val="000000"/>
                <w:sz w:val="20"/>
                <w:szCs w:val="20"/>
              </w:rPr>
            </w:pPr>
            <w:r w:rsidRPr="0099155F">
              <w:rPr>
                <w:rFonts w:eastAsiaTheme="minorHAnsi" w:cs="Segoe UI"/>
                <w:color w:val="000000"/>
                <w:sz w:val="20"/>
                <w:szCs w:val="20"/>
              </w:rPr>
              <w:t>Leveraged mainly for post virtual machine provisioning tasks, updates,</w:t>
            </w:r>
            <w:r w:rsidRPr="0099155F">
              <w:rPr>
                <w:rFonts w:eastAsiaTheme="minorHAnsi" w:cs="Segoe UI"/>
                <w:sz w:val="20"/>
                <w:szCs w:val="20"/>
              </w:rPr>
              <w:t xml:space="preserve"> and software deployment</w:t>
            </w:r>
          </w:p>
        </w:tc>
      </w:tr>
      <w:tr w:rsidR="0099155F" w:rsidRPr="00A2569F" w14:paraId="1830D19E" w14:textId="77777777" w:rsidTr="00E85B07">
        <w:tc>
          <w:tcPr>
            <w:cnfStyle w:val="001000000000" w:firstRow="0" w:lastRow="0" w:firstColumn="1" w:lastColumn="0" w:oddVBand="0" w:evenVBand="0" w:oddHBand="0" w:evenHBand="0" w:firstRowFirstColumn="0" w:firstRowLastColumn="0" w:lastRowFirstColumn="0" w:lastRowLastColumn="0"/>
            <w:tcW w:w="2155" w:type="dxa"/>
          </w:tcPr>
          <w:p w14:paraId="1E5AA665" w14:textId="77777777" w:rsidR="0099155F" w:rsidRPr="009A6B9D" w:rsidRDefault="0099155F" w:rsidP="0099155F">
            <w:pPr>
              <w:rPr>
                <w:rFonts w:eastAsiaTheme="minorHAnsi" w:cs="Segoe UI"/>
                <w:sz w:val="20"/>
                <w:szCs w:val="20"/>
              </w:rPr>
            </w:pPr>
            <w:r w:rsidRPr="009A6B9D">
              <w:rPr>
                <w:rFonts w:eastAsiaTheme="minorHAnsi" w:cs="Segoe UI"/>
                <w:sz w:val="20"/>
                <w:szCs w:val="20"/>
              </w:rPr>
              <w:t>Cons</w:t>
            </w:r>
          </w:p>
          <w:p w14:paraId="145C5614" w14:textId="77777777" w:rsidR="0099155F" w:rsidRPr="00E85B07" w:rsidRDefault="0099155F" w:rsidP="0099155F">
            <w:pPr>
              <w:rPr>
                <w:rFonts w:eastAsiaTheme="minorHAnsi"/>
              </w:rPr>
            </w:pPr>
          </w:p>
        </w:tc>
        <w:tc>
          <w:tcPr>
            <w:tcW w:w="7195" w:type="dxa"/>
          </w:tcPr>
          <w:p w14:paraId="35E446CC" w14:textId="77777777" w:rsidR="0099155F" w:rsidRPr="009A6B9D" w:rsidRDefault="0099155F" w:rsidP="005729D2">
            <w:pPr>
              <w:numPr>
                <w:ilvl w:val="0"/>
                <w:numId w:val="259"/>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Segoe UI"/>
                <w:color w:val="000000"/>
                <w:sz w:val="20"/>
                <w:szCs w:val="20"/>
              </w:rPr>
            </w:pPr>
            <w:r w:rsidRPr="009A6B9D">
              <w:rPr>
                <w:rFonts w:eastAsiaTheme="minorHAnsi" w:cs="Segoe UI"/>
                <w:color w:val="000000"/>
                <w:sz w:val="20"/>
                <w:szCs w:val="20"/>
              </w:rPr>
              <w:t xml:space="preserve">Involves knowledge of Virtual Machine Manager (VMM) </w:t>
            </w:r>
          </w:p>
          <w:p w14:paraId="117CCEA3" w14:textId="642FC7AE" w:rsidR="0099155F" w:rsidRDefault="0099155F" w:rsidP="005729D2">
            <w:pPr>
              <w:numPr>
                <w:ilvl w:val="0"/>
                <w:numId w:val="259"/>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Segoe UI"/>
                <w:sz w:val="20"/>
                <w:szCs w:val="20"/>
              </w:rPr>
            </w:pPr>
            <w:r w:rsidRPr="009A6B9D">
              <w:rPr>
                <w:rFonts w:eastAsiaTheme="minorHAnsi" w:cs="Segoe UI"/>
                <w:color w:val="000000"/>
                <w:sz w:val="20"/>
                <w:szCs w:val="20"/>
              </w:rPr>
              <w:t>T</w:t>
            </w:r>
            <w:r w:rsidRPr="009A6B9D">
              <w:rPr>
                <w:rFonts w:eastAsiaTheme="minorHAnsi" w:cs="Segoe UI"/>
                <w:sz w:val="20"/>
                <w:szCs w:val="20"/>
              </w:rPr>
              <w:t xml:space="preserve">hough it is extensible, may not be the best tool for all scenarios </w:t>
            </w:r>
          </w:p>
          <w:p w14:paraId="04CF1A4E" w14:textId="12009391" w:rsidR="0099155F" w:rsidRPr="0099155F" w:rsidRDefault="0099155F" w:rsidP="005729D2">
            <w:pPr>
              <w:numPr>
                <w:ilvl w:val="0"/>
                <w:numId w:val="259"/>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Segoe UI"/>
                <w:sz w:val="20"/>
                <w:szCs w:val="20"/>
              </w:rPr>
            </w:pPr>
            <w:r w:rsidRPr="0099155F">
              <w:rPr>
                <w:rFonts w:eastAsiaTheme="minorHAnsi" w:cs="Segoe UI"/>
                <w:sz w:val="20"/>
                <w:szCs w:val="20"/>
              </w:rPr>
              <w:t>Only for IaaS-based scenarios</w:t>
            </w:r>
          </w:p>
        </w:tc>
      </w:tr>
      <w:tr w:rsidR="0099155F" w:rsidRPr="00A2569F" w14:paraId="37EA5D4F" w14:textId="77777777" w:rsidTr="00E85B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55" w:type="dxa"/>
          </w:tcPr>
          <w:p w14:paraId="23E6657B" w14:textId="4D2906E1" w:rsidR="0099155F" w:rsidRPr="00E85B07" w:rsidRDefault="0099155F" w:rsidP="0099155F">
            <w:pPr>
              <w:rPr>
                <w:rFonts w:eastAsiaTheme="minorHAnsi"/>
              </w:rPr>
            </w:pPr>
            <w:r w:rsidRPr="009A6B9D">
              <w:rPr>
                <w:rFonts w:eastAsiaTheme="minorHAnsi" w:cs="Segoe UI"/>
                <w:sz w:val="20"/>
                <w:szCs w:val="20"/>
              </w:rPr>
              <w:t>Supported operating systems</w:t>
            </w:r>
          </w:p>
        </w:tc>
        <w:tc>
          <w:tcPr>
            <w:tcW w:w="7195" w:type="dxa"/>
          </w:tcPr>
          <w:p w14:paraId="58CFD34F" w14:textId="3C658BE1" w:rsidR="0099155F" w:rsidRPr="006E4CDF" w:rsidRDefault="0099155F" w:rsidP="0099155F">
            <w:pPr>
              <w:cnfStyle w:val="000000100000" w:firstRow="0" w:lastRow="0" w:firstColumn="0" w:lastColumn="0" w:oddVBand="0" w:evenVBand="0" w:oddHBand="1" w:evenHBand="0" w:firstRowFirstColumn="0" w:firstRowLastColumn="0" w:lastRowFirstColumn="0" w:lastRowLastColumn="0"/>
              <w:rPr>
                <w:rFonts w:eastAsiaTheme="minorHAnsi"/>
              </w:rPr>
            </w:pPr>
            <w:r w:rsidRPr="009A6B9D">
              <w:rPr>
                <w:rFonts w:eastAsiaTheme="minorHAnsi" w:cs="Segoe UI"/>
                <w:sz w:val="20"/>
                <w:szCs w:val="20"/>
              </w:rPr>
              <w:t>Windows</w:t>
            </w:r>
          </w:p>
        </w:tc>
      </w:tr>
    </w:tbl>
    <w:p w14:paraId="350A70D9" w14:textId="77777777" w:rsidR="00D53A7A" w:rsidRDefault="00D53A7A" w:rsidP="00D53A7A"/>
    <w:p w14:paraId="6C9803CE" w14:textId="77777777" w:rsidR="00D53A7A" w:rsidRPr="00D252DE" w:rsidRDefault="00D53A7A" w:rsidP="005729D2">
      <w:pPr>
        <w:pStyle w:val="Heading4Numbered"/>
        <w:numPr>
          <w:ilvl w:val="3"/>
          <w:numId w:val="64"/>
        </w:numPr>
        <w:rPr>
          <w:rFonts w:cs="Segoe UI"/>
          <w:color w:val="2E74B5" w:themeColor="accent1" w:themeShade="BF"/>
        </w:rPr>
      </w:pPr>
      <w:r w:rsidRPr="00C865F9">
        <w:rPr>
          <w:rFonts w:cs="Segoe UI"/>
        </w:rPr>
        <w:t xml:space="preserve">Security and </w:t>
      </w:r>
      <w:r w:rsidRPr="00D252DE">
        <w:rPr>
          <w:rFonts w:cs="Segoe UI"/>
        </w:rPr>
        <w:t>Protection</w:t>
      </w:r>
    </w:p>
    <w:p w14:paraId="347F13DA" w14:textId="72400EAF" w:rsidR="00D53A7A" w:rsidRPr="00EB01C9" w:rsidRDefault="00D53A7A" w:rsidP="00D53A7A">
      <w:r w:rsidRPr="00EB01C9">
        <w:rPr>
          <w:sz w:val="20"/>
          <w:lang w:val="en"/>
        </w:rPr>
        <w:t>The extensions in this section provide critical security features for your Azure V</w:t>
      </w:r>
      <w:r w:rsidR="00920F20">
        <w:rPr>
          <w:sz w:val="20"/>
          <w:lang w:val="en"/>
        </w:rPr>
        <w:t xml:space="preserve">irtual </w:t>
      </w:r>
      <w:r w:rsidRPr="00EB01C9">
        <w:rPr>
          <w:sz w:val="20"/>
          <w:lang w:val="en"/>
        </w:rPr>
        <w:t>M</w:t>
      </w:r>
      <w:r w:rsidR="00920F20">
        <w:rPr>
          <w:sz w:val="20"/>
          <w:lang w:val="en"/>
        </w:rPr>
        <w:t>achine</w:t>
      </w:r>
      <w:r w:rsidRPr="00EB01C9">
        <w:rPr>
          <w:sz w:val="20"/>
          <w:lang w:val="en"/>
        </w:rPr>
        <w:t>s.</w:t>
      </w:r>
    </w:p>
    <w:tbl>
      <w:tblPr>
        <w:tblStyle w:val="PlainTable11"/>
        <w:tblW w:w="5000" w:type="pct"/>
        <w:tblLook w:val="04A0" w:firstRow="1" w:lastRow="0" w:firstColumn="1" w:lastColumn="0" w:noHBand="0" w:noVBand="1"/>
      </w:tblPr>
      <w:tblGrid>
        <w:gridCol w:w="3643"/>
        <w:gridCol w:w="3676"/>
        <w:gridCol w:w="2031"/>
      </w:tblGrid>
      <w:tr w:rsidR="00920F20" w:rsidRPr="00E85B07" w14:paraId="51D4382A" w14:textId="77777777" w:rsidTr="00920F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8" w:type="pct"/>
            <w:shd w:val="clear" w:color="auto" w:fill="808080" w:themeFill="background1" w:themeFillShade="80"/>
            <w:hideMark/>
          </w:tcPr>
          <w:p w14:paraId="0A29576F" w14:textId="228D0AB4" w:rsidR="00920F20" w:rsidRPr="00E85B07" w:rsidRDefault="00920F20" w:rsidP="00920F20">
            <w:pPr>
              <w:spacing w:line="240" w:lineRule="auto"/>
              <w:rPr>
                <w:b w:val="0"/>
                <w:color w:val="FFFFFF" w:themeColor="background1"/>
                <w:sz w:val="20"/>
                <w:szCs w:val="20"/>
              </w:rPr>
            </w:pPr>
            <w:r w:rsidRPr="00E85B07">
              <w:rPr>
                <w:color w:val="FFFFFF" w:themeColor="background1"/>
                <w:sz w:val="20"/>
                <w:szCs w:val="20"/>
              </w:rPr>
              <w:t>V</w:t>
            </w:r>
            <w:r>
              <w:rPr>
                <w:color w:val="FFFFFF" w:themeColor="background1"/>
                <w:sz w:val="20"/>
                <w:szCs w:val="20"/>
              </w:rPr>
              <w:t xml:space="preserve">irtual </w:t>
            </w:r>
            <w:r w:rsidRPr="00E85B07">
              <w:rPr>
                <w:color w:val="FFFFFF" w:themeColor="background1"/>
                <w:sz w:val="20"/>
                <w:szCs w:val="20"/>
              </w:rPr>
              <w:t>M</w:t>
            </w:r>
            <w:r>
              <w:rPr>
                <w:color w:val="FFFFFF" w:themeColor="background1"/>
                <w:sz w:val="20"/>
                <w:szCs w:val="20"/>
              </w:rPr>
              <w:t>achines</w:t>
            </w:r>
            <w:r w:rsidRPr="00E85B07">
              <w:rPr>
                <w:color w:val="FFFFFF" w:themeColor="background1"/>
                <w:sz w:val="20"/>
                <w:szCs w:val="20"/>
              </w:rPr>
              <w:t xml:space="preserve"> Extension Name </w:t>
            </w:r>
          </w:p>
        </w:tc>
        <w:tc>
          <w:tcPr>
            <w:tcW w:w="1966" w:type="pct"/>
            <w:shd w:val="clear" w:color="auto" w:fill="808080" w:themeFill="background1" w:themeFillShade="80"/>
            <w:hideMark/>
          </w:tcPr>
          <w:p w14:paraId="6F0BEA81" w14:textId="149D1C8C" w:rsidR="00920F20" w:rsidRPr="00E85B07" w:rsidRDefault="00920F20" w:rsidP="00920F20">
            <w:pPr>
              <w:cnfStyle w:val="100000000000" w:firstRow="1" w:lastRow="0" w:firstColumn="0" w:lastColumn="0" w:oddVBand="0" w:evenVBand="0" w:oddHBand="0" w:evenHBand="0" w:firstRowFirstColumn="0" w:firstRowLastColumn="0" w:lastRowFirstColumn="0" w:lastRowLastColumn="0"/>
              <w:rPr>
                <w:b w:val="0"/>
                <w:color w:val="FFFFFF" w:themeColor="background1"/>
                <w:sz w:val="20"/>
                <w:szCs w:val="20"/>
              </w:rPr>
            </w:pPr>
            <w:r w:rsidRPr="00E85B07">
              <w:rPr>
                <w:color w:val="FFFFFF" w:themeColor="background1"/>
                <w:sz w:val="20"/>
                <w:szCs w:val="20"/>
              </w:rPr>
              <w:t xml:space="preserve">Feature Description </w:t>
            </w:r>
          </w:p>
        </w:tc>
        <w:tc>
          <w:tcPr>
            <w:tcW w:w="1086" w:type="pct"/>
            <w:shd w:val="clear" w:color="auto" w:fill="808080" w:themeFill="background1" w:themeFillShade="80"/>
            <w:hideMark/>
          </w:tcPr>
          <w:p w14:paraId="37304502" w14:textId="06846EAD" w:rsidR="00920F20" w:rsidRPr="00E85B07" w:rsidRDefault="00920F20" w:rsidP="00920F20">
            <w:pPr>
              <w:cnfStyle w:val="100000000000" w:firstRow="1" w:lastRow="0" w:firstColumn="0" w:lastColumn="0" w:oddVBand="0" w:evenVBand="0" w:oddHBand="0" w:evenHBand="0" w:firstRowFirstColumn="0" w:firstRowLastColumn="0" w:lastRowFirstColumn="0" w:lastRowLastColumn="0"/>
              <w:rPr>
                <w:b w:val="0"/>
                <w:color w:val="FFFFFF" w:themeColor="background1"/>
                <w:sz w:val="20"/>
                <w:szCs w:val="20"/>
              </w:rPr>
            </w:pPr>
            <w:r w:rsidRPr="00E85B07">
              <w:rPr>
                <w:color w:val="FFFFFF" w:themeColor="background1"/>
                <w:sz w:val="20"/>
                <w:szCs w:val="20"/>
              </w:rPr>
              <w:t xml:space="preserve">More Information </w:t>
            </w:r>
          </w:p>
        </w:tc>
      </w:tr>
      <w:tr w:rsidR="00920F20" w:rsidRPr="00EB01C9" w14:paraId="5897BE07" w14:textId="77777777" w:rsidTr="00920F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8" w:type="pct"/>
            <w:hideMark/>
          </w:tcPr>
          <w:p w14:paraId="557B8650" w14:textId="2B8FE31E" w:rsidR="00920F20" w:rsidRPr="00EC09FD" w:rsidRDefault="00920F20" w:rsidP="00920F20">
            <w:pPr>
              <w:rPr>
                <w:b w:val="0"/>
                <w:szCs w:val="20"/>
              </w:rPr>
            </w:pPr>
            <w:r w:rsidRPr="00C807EF">
              <w:rPr>
                <w:b w:val="0"/>
                <w:sz w:val="20"/>
                <w:szCs w:val="20"/>
              </w:rPr>
              <w:t xml:space="preserve">CloudLinkSecureVMWindowsAgent </w:t>
            </w:r>
          </w:p>
        </w:tc>
        <w:tc>
          <w:tcPr>
            <w:tcW w:w="1966" w:type="pct"/>
            <w:hideMark/>
          </w:tcPr>
          <w:p w14:paraId="7EDC89D8" w14:textId="4A25903C" w:rsidR="00920F20" w:rsidRPr="006E4CDF" w:rsidRDefault="00920F20" w:rsidP="00920F20">
            <w:pPr>
              <w:cnfStyle w:val="000000100000" w:firstRow="0" w:lastRow="0" w:firstColumn="0" w:lastColumn="0" w:oddVBand="0" w:evenVBand="0" w:oddHBand="1" w:evenHBand="0" w:firstRowFirstColumn="0" w:firstRowLastColumn="0" w:lastRowFirstColumn="0" w:lastRowLastColumn="0"/>
              <w:rPr>
                <w:szCs w:val="20"/>
              </w:rPr>
            </w:pPr>
            <w:r w:rsidRPr="00C807EF">
              <w:rPr>
                <w:sz w:val="20"/>
                <w:szCs w:val="20"/>
              </w:rPr>
              <w:t>Provides Azure customers with the capability to encrypt their virtual machine data on a multitenant, shared infrastructure, and fully control the encryption keys for their encrypted data in Azure Storage</w:t>
            </w:r>
          </w:p>
        </w:tc>
        <w:tc>
          <w:tcPr>
            <w:tcW w:w="1086" w:type="pct"/>
            <w:hideMark/>
          </w:tcPr>
          <w:p w14:paraId="6DA11B0D" w14:textId="14421914" w:rsidR="00920F20" w:rsidRPr="006E4CDF" w:rsidRDefault="00872E47" w:rsidP="00920F20">
            <w:pPr>
              <w:cnfStyle w:val="000000100000" w:firstRow="0" w:lastRow="0" w:firstColumn="0" w:lastColumn="0" w:oddVBand="0" w:evenVBand="0" w:oddHBand="1" w:evenHBand="0" w:firstRowFirstColumn="0" w:firstRowLastColumn="0" w:lastRowFirstColumn="0" w:lastRowLastColumn="0"/>
              <w:rPr>
                <w:szCs w:val="20"/>
              </w:rPr>
            </w:pPr>
            <w:hyperlink r:id="rId247" w:history="1">
              <w:r w:rsidR="00920F20" w:rsidRPr="00C807EF">
                <w:rPr>
                  <w:rStyle w:val="Hyperlink"/>
                  <w:sz w:val="20"/>
                  <w:szCs w:val="20"/>
                </w:rPr>
                <w:t>Securing Microsoft Azure Virtual Machines leveraging BitLocker and Native operating system encryption</w:t>
              </w:r>
            </w:hyperlink>
            <w:r w:rsidR="00920F20" w:rsidRPr="00C807EF">
              <w:rPr>
                <w:sz w:val="20"/>
                <w:szCs w:val="20"/>
              </w:rPr>
              <w:t xml:space="preserve"> </w:t>
            </w:r>
          </w:p>
        </w:tc>
      </w:tr>
      <w:tr w:rsidR="00920F20" w:rsidRPr="00EB01C9" w14:paraId="1A008D34" w14:textId="77777777" w:rsidTr="00920F20">
        <w:tc>
          <w:tcPr>
            <w:cnfStyle w:val="001000000000" w:firstRow="0" w:lastRow="0" w:firstColumn="1" w:lastColumn="0" w:oddVBand="0" w:evenVBand="0" w:oddHBand="0" w:evenHBand="0" w:firstRowFirstColumn="0" w:firstRowLastColumn="0" w:lastRowFirstColumn="0" w:lastRowLastColumn="0"/>
            <w:tcW w:w="1948" w:type="pct"/>
            <w:hideMark/>
          </w:tcPr>
          <w:p w14:paraId="5061F992" w14:textId="1FC61425" w:rsidR="00920F20" w:rsidRPr="00EC09FD" w:rsidRDefault="00920F20" w:rsidP="00920F20">
            <w:pPr>
              <w:rPr>
                <w:b w:val="0"/>
                <w:szCs w:val="20"/>
              </w:rPr>
            </w:pPr>
            <w:r w:rsidRPr="00C807EF">
              <w:rPr>
                <w:b w:val="0"/>
                <w:sz w:val="20"/>
                <w:szCs w:val="20"/>
              </w:rPr>
              <w:t xml:space="preserve">McAfeeEndpointSecurity </w:t>
            </w:r>
          </w:p>
        </w:tc>
        <w:tc>
          <w:tcPr>
            <w:tcW w:w="1966" w:type="pct"/>
            <w:hideMark/>
          </w:tcPr>
          <w:p w14:paraId="59B02683" w14:textId="455354BF" w:rsidR="00920F20" w:rsidRPr="006E4CDF" w:rsidRDefault="00920F20" w:rsidP="00920F20">
            <w:pPr>
              <w:cnfStyle w:val="000000000000" w:firstRow="0" w:lastRow="0" w:firstColumn="0" w:lastColumn="0" w:oddVBand="0" w:evenVBand="0" w:oddHBand="0" w:evenHBand="0" w:firstRowFirstColumn="0" w:firstRowLastColumn="0" w:lastRowFirstColumn="0" w:lastRowLastColumn="0"/>
              <w:rPr>
                <w:szCs w:val="20"/>
              </w:rPr>
            </w:pPr>
            <w:r w:rsidRPr="00C807EF">
              <w:rPr>
                <w:sz w:val="20"/>
                <w:szCs w:val="20"/>
              </w:rPr>
              <w:t>Protects your virtual machine against malicious software</w:t>
            </w:r>
          </w:p>
        </w:tc>
        <w:tc>
          <w:tcPr>
            <w:tcW w:w="1086" w:type="pct"/>
            <w:hideMark/>
          </w:tcPr>
          <w:p w14:paraId="55C24C93" w14:textId="3DDB8AC8" w:rsidR="00920F20" w:rsidRPr="006E4CDF" w:rsidRDefault="00872E47" w:rsidP="00920F20">
            <w:pPr>
              <w:cnfStyle w:val="000000000000" w:firstRow="0" w:lastRow="0" w:firstColumn="0" w:lastColumn="0" w:oddVBand="0" w:evenVBand="0" w:oddHBand="0" w:evenHBand="0" w:firstRowFirstColumn="0" w:firstRowLastColumn="0" w:lastRowFirstColumn="0" w:lastRowLastColumn="0"/>
              <w:rPr>
                <w:szCs w:val="20"/>
              </w:rPr>
            </w:pPr>
            <w:hyperlink r:id="rId248" w:history="1">
              <w:r w:rsidR="00920F20" w:rsidRPr="00C807EF">
                <w:rPr>
                  <w:rStyle w:val="Hyperlink"/>
                  <w:sz w:val="20"/>
                  <w:szCs w:val="20"/>
                </w:rPr>
                <w:t>McAfee</w:t>
              </w:r>
            </w:hyperlink>
            <w:r w:rsidR="00920F20" w:rsidRPr="00C807EF">
              <w:rPr>
                <w:sz w:val="20"/>
                <w:szCs w:val="20"/>
              </w:rPr>
              <w:t xml:space="preserve"> </w:t>
            </w:r>
          </w:p>
        </w:tc>
      </w:tr>
      <w:tr w:rsidR="00920F20" w:rsidRPr="00EB01C9" w14:paraId="27B1B1EA" w14:textId="77777777" w:rsidTr="00920F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8" w:type="pct"/>
            <w:hideMark/>
          </w:tcPr>
          <w:p w14:paraId="2235C9A7" w14:textId="6FC84D11" w:rsidR="00920F20" w:rsidRPr="00EC09FD" w:rsidRDefault="00920F20" w:rsidP="00920F20">
            <w:pPr>
              <w:rPr>
                <w:b w:val="0"/>
                <w:szCs w:val="20"/>
              </w:rPr>
            </w:pPr>
            <w:r w:rsidRPr="00C807EF">
              <w:rPr>
                <w:b w:val="0"/>
                <w:sz w:val="20"/>
                <w:szCs w:val="20"/>
              </w:rPr>
              <w:t xml:space="preserve">TrendMicroDSA </w:t>
            </w:r>
          </w:p>
        </w:tc>
        <w:tc>
          <w:tcPr>
            <w:tcW w:w="1966" w:type="pct"/>
            <w:hideMark/>
          </w:tcPr>
          <w:p w14:paraId="0485C345" w14:textId="54B8423A" w:rsidR="00920F20" w:rsidRPr="006E4CDF" w:rsidRDefault="00920F20" w:rsidP="00920F20">
            <w:pPr>
              <w:cnfStyle w:val="000000100000" w:firstRow="0" w:lastRow="0" w:firstColumn="0" w:lastColumn="0" w:oddVBand="0" w:evenVBand="0" w:oddHBand="1" w:evenHBand="0" w:firstRowFirstColumn="0" w:firstRowLastColumn="0" w:lastRowFirstColumn="0" w:lastRowLastColumn="0"/>
              <w:rPr>
                <w:szCs w:val="20"/>
              </w:rPr>
            </w:pPr>
            <w:r w:rsidRPr="00C807EF">
              <w:rPr>
                <w:sz w:val="20"/>
                <w:szCs w:val="20"/>
              </w:rPr>
              <w:t>Enables Trend Micro Deep Security platform support to provide intrusion detection and prevention, firewall, antimalware, web reputation, log inspection, and integrity monitoring</w:t>
            </w:r>
          </w:p>
        </w:tc>
        <w:tc>
          <w:tcPr>
            <w:tcW w:w="1086" w:type="pct"/>
            <w:hideMark/>
          </w:tcPr>
          <w:p w14:paraId="1AA0D901" w14:textId="739F0561" w:rsidR="00920F20" w:rsidRPr="006E4CDF" w:rsidRDefault="00872E47" w:rsidP="00920F20">
            <w:pPr>
              <w:cnfStyle w:val="000000100000" w:firstRow="0" w:lastRow="0" w:firstColumn="0" w:lastColumn="0" w:oddVBand="0" w:evenVBand="0" w:oddHBand="1" w:evenHBand="0" w:firstRowFirstColumn="0" w:firstRowLastColumn="0" w:lastRowFirstColumn="0" w:lastRowLastColumn="0"/>
              <w:rPr>
                <w:szCs w:val="20"/>
              </w:rPr>
            </w:pPr>
            <w:hyperlink r:id="rId249" w:history="1">
              <w:r w:rsidR="00920F20" w:rsidRPr="00C807EF">
                <w:rPr>
                  <w:rStyle w:val="Hyperlink"/>
                  <w:sz w:val="20"/>
                  <w:szCs w:val="20"/>
                </w:rPr>
                <w:t>How to install and configure Trend Micro Deep Security as a Service on an Azure VM</w:t>
              </w:r>
            </w:hyperlink>
            <w:r w:rsidR="00920F20" w:rsidRPr="00C807EF">
              <w:rPr>
                <w:sz w:val="20"/>
                <w:szCs w:val="20"/>
              </w:rPr>
              <w:t xml:space="preserve"> </w:t>
            </w:r>
          </w:p>
        </w:tc>
      </w:tr>
      <w:tr w:rsidR="00920F20" w:rsidRPr="00EB01C9" w14:paraId="03DF0B6F" w14:textId="77777777" w:rsidTr="00920F20">
        <w:tc>
          <w:tcPr>
            <w:cnfStyle w:val="001000000000" w:firstRow="0" w:lastRow="0" w:firstColumn="1" w:lastColumn="0" w:oddVBand="0" w:evenVBand="0" w:oddHBand="0" w:evenHBand="0" w:firstRowFirstColumn="0" w:firstRowLastColumn="0" w:lastRowFirstColumn="0" w:lastRowLastColumn="0"/>
            <w:tcW w:w="1948" w:type="pct"/>
            <w:hideMark/>
          </w:tcPr>
          <w:p w14:paraId="67031A79" w14:textId="701DDF8B" w:rsidR="00920F20" w:rsidRPr="00EC09FD" w:rsidRDefault="00920F20" w:rsidP="00920F20">
            <w:pPr>
              <w:rPr>
                <w:b w:val="0"/>
                <w:szCs w:val="20"/>
              </w:rPr>
            </w:pPr>
            <w:r w:rsidRPr="00C807EF">
              <w:rPr>
                <w:b w:val="0"/>
                <w:sz w:val="20"/>
                <w:szCs w:val="20"/>
              </w:rPr>
              <w:t xml:space="preserve">PortalProtectExtension </w:t>
            </w:r>
          </w:p>
        </w:tc>
        <w:tc>
          <w:tcPr>
            <w:tcW w:w="1966" w:type="pct"/>
            <w:hideMark/>
          </w:tcPr>
          <w:p w14:paraId="7D1B8432" w14:textId="6E324B8A" w:rsidR="00920F20" w:rsidRPr="006E4CDF" w:rsidRDefault="00920F20" w:rsidP="00920F20">
            <w:pPr>
              <w:cnfStyle w:val="000000000000" w:firstRow="0" w:lastRow="0" w:firstColumn="0" w:lastColumn="0" w:oddVBand="0" w:evenVBand="0" w:oddHBand="0" w:evenHBand="0" w:firstRowFirstColumn="0" w:firstRowLastColumn="0" w:lastRowFirstColumn="0" w:lastRowLastColumn="0"/>
              <w:rPr>
                <w:szCs w:val="20"/>
              </w:rPr>
            </w:pPr>
            <w:r w:rsidRPr="00C807EF">
              <w:rPr>
                <w:sz w:val="20"/>
                <w:szCs w:val="20"/>
              </w:rPr>
              <w:t>Guards against threats to your Microsoft SharePoint environment</w:t>
            </w:r>
          </w:p>
        </w:tc>
        <w:tc>
          <w:tcPr>
            <w:tcW w:w="1086" w:type="pct"/>
            <w:hideMark/>
          </w:tcPr>
          <w:p w14:paraId="23AB761D" w14:textId="0E991583" w:rsidR="00920F20" w:rsidRPr="006E4CDF" w:rsidRDefault="00872E47" w:rsidP="00920F20">
            <w:pPr>
              <w:cnfStyle w:val="000000000000" w:firstRow="0" w:lastRow="0" w:firstColumn="0" w:lastColumn="0" w:oddVBand="0" w:evenVBand="0" w:oddHBand="0" w:evenHBand="0" w:firstRowFirstColumn="0" w:firstRowLastColumn="0" w:lastRowFirstColumn="0" w:lastRowLastColumn="0"/>
              <w:rPr>
                <w:szCs w:val="20"/>
              </w:rPr>
            </w:pPr>
            <w:hyperlink r:id="rId250" w:history="1">
              <w:r w:rsidR="00920F20" w:rsidRPr="00C807EF">
                <w:rPr>
                  <w:rStyle w:val="Hyperlink"/>
                  <w:sz w:val="20"/>
                  <w:szCs w:val="20"/>
                </w:rPr>
                <w:t>Securing Your SharePoint Deployment on Azure</w:t>
              </w:r>
            </w:hyperlink>
            <w:r w:rsidR="00920F20" w:rsidRPr="00C807EF">
              <w:rPr>
                <w:sz w:val="20"/>
                <w:szCs w:val="20"/>
              </w:rPr>
              <w:t xml:space="preserve"> </w:t>
            </w:r>
          </w:p>
        </w:tc>
      </w:tr>
      <w:tr w:rsidR="00920F20" w:rsidRPr="00EB01C9" w14:paraId="0F8FC6B9" w14:textId="77777777" w:rsidTr="00920F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8" w:type="pct"/>
            <w:hideMark/>
          </w:tcPr>
          <w:p w14:paraId="1EC64D16" w14:textId="68C85437" w:rsidR="00920F20" w:rsidRPr="00EC09FD" w:rsidRDefault="00920F20" w:rsidP="00920F20">
            <w:pPr>
              <w:rPr>
                <w:b w:val="0"/>
                <w:szCs w:val="20"/>
              </w:rPr>
            </w:pPr>
            <w:r w:rsidRPr="00C807EF">
              <w:rPr>
                <w:b w:val="0"/>
                <w:sz w:val="20"/>
                <w:szCs w:val="20"/>
              </w:rPr>
              <w:t xml:space="preserve">IaaSAntimalware </w:t>
            </w:r>
          </w:p>
        </w:tc>
        <w:tc>
          <w:tcPr>
            <w:tcW w:w="1966" w:type="pct"/>
            <w:hideMark/>
          </w:tcPr>
          <w:p w14:paraId="3887FB77" w14:textId="6E4ACDE5" w:rsidR="00920F20" w:rsidRPr="006E4CDF" w:rsidRDefault="00920F20" w:rsidP="00920F20">
            <w:pPr>
              <w:cnfStyle w:val="000000100000" w:firstRow="0" w:lastRow="0" w:firstColumn="0" w:lastColumn="0" w:oddVBand="0" w:evenVBand="0" w:oddHBand="1" w:evenHBand="0" w:firstRowFirstColumn="0" w:firstRowLastColumn="0" w:lastRowFirstColumn="0" w:lastRowLastColumn="0"/>
              <w:rPr>
                <w:szCs w:val="20"/>
              </w:rPr>
            </w:pPr>
            <w:r w:rsidRPr="00C807EF">
              <w:rPr>
                <w:sz w:val="20"/>
                <w:szCs w:val="20"/>
              </w:rPr>
              <w:t>Microsoft Antimalware for Azure Cloud Services and Virtual Machines is a real-time protection capability that helps identify and remove viruses, spyware, and other malicious software, with configurable alerts when known malicious or unwanted software attempts to install itself or run on your system.</w:t>
            </w:r>
          </w:p>
        </w:tc>
        <w:tc>
          <w:tcPr>
            <w:tcW w:w="1086" w:type="pct"/>
            <w:hideMark/>
          </w:tcPr>
          <w:p w14:paraId="53C6E017" w14:textId="41E5AA5F" w:rsidR="00920F20" w:rsidRPr="006E4CDF" w:rsidRDefault="00872E47" w:rsidP="00920F20">
            <w:pPr>
              <w:cnfStyle w:val="000000100000" w:firstRow="0" w:lastRow="0" w:firstColumn="0" w:lastColumn="0" w:oddVBand="0" w:evenVBand="0" w:oddHBand="1" w:evenHBand="0" w:firstRowFirstColumn="0" w:firstRowLastColumn="0" w:lastRowFirstColumn="0" w:lastRowLastColumn="0"/>
              <w:rPr>
                <w:szCs w:val="20"/>
              </w:rPr>
            </w:pPr>
            <w:hyperlink r:id="rId251" w:history="1">
              <w:r w:rsidR="00920F20" w:rsidRPr="00C807EF">
                <w:rPr>
                  <w:rStyle w:val="Hyperlink"/>
                  <w:sz w:val="20"/>
                  <w:szCs w:val="20"/>
                </w:rPr>
                <w:t>Download antimalware documentation</w:t>
              </w:r>
            </w:hyperlink>
            <w:r w:rsidR="00920F20" w:rsidRPr="00C807EF">
              <w:rPr>
                <w:sz w:val="20"/>
                <w:szCs w:val="20"/>
              </w:rPr>
              <w:t xml:space="preserve"> </w:t>
            </w:r>
          </w:p>
        </w:tc>
      </w:tr>
      <w:tr w:rsidR="00920F20" w:rsidRPr="00EB01C9" w14:paraId="1C91D225" w14:textId="77777777" w:rsidTr="00920F20">
        <w:tc>
          <w:tcPr>
            <w:cnfStyle w:val="001000000000" w:firstRow="0" w:lastRow="0" w:firstColumn="1" w:lastColumn="0" w:oddVBand="0" w:evenVBand="0" w:oddHBand="0" w:evenHBand="0" w:firstRowFirstColumn="0" w:firstRowLastColumn="0" w:lastRowFirstColumn="0" w:lastRowLastColumn="0"/>
            <w:tcW w:w="1948" w:type="pct"/>
            <w:hideMark/>
          </w:tcPr>
          <w:p w14:paraId="19C75E0F" w14:textId="1D7F4A0C" w:rsidR="00920F20" w:rsidRPr="00EC09FD" w:rsidRDefault="00920F20" w:rsidP="00920F20">
            <w:pPr>
              <w:rPr>
                <w:b w:val="0"/>
                <w:szCs w:val="20"/>
              </w:rPr>
            </w:pPr>
            <w:r w:rsidRPr="00C807EF">
              <w:rPr>
                <w:b w:val="0"/>
                <w:sz w:val="20"/>
                <w:szCs w:val="20"/>
              </w:rPr>
              <w:t xml:space="preserve">SymantecEndpointProtection </w:t>
            </w:r>
          </w:p>
        </w:tc>
        <w:tc>
          <w:tcPr>
            <w:tcW w:w="1966" w:type="pct"/>
            <w:hideMark/>
          </w:tcPr>
          <w:p w14:paraId="1070176E" w14:textId="718761C3" w:rsidR="00920F20" w:rsidRPr="006E4CDF" w:rsidRDefault="00920F20" w:rsidP="00920F20">
            <w:pPr>
              <w:cnfStyle w:val="000000000000" w:firstRow="0" w:lastRow="0" w:firstColumn="0" w:lastColumn="0" w:oddVBand="0" w:evenVBand="0" w:oddHBand="0" w:evenHBand="0" w:firstRowFirstColumn="0" w:firstRowLastColumn="0" w:lastRowFirstColumn="0" w:lastRowLastColumn="0"/>
              <w:rPr>
                <w:szCs w:val="20"/>
              </w:rPr>
            </w:pPr>
            <w:r w:rsidRPr="00C807EF">
              <w:rPr>
                <w:sz w:val="20"/>
                <w:szCs w:val="20"/>
              </w:rPr>
              <w:t>Symantec Endpoint Protection 12.1.4 enables security and performance across physical and virtual systems</w:t>
            </w:r>
          </w:p>
        </w:tc>
        <w:tc>
          <w:tcPr>
            <w:tcW w:w="1086" w:type="pct"/>
            <w:hideMark/>
          </w:tcPr>
          <w:p w14:paraId="373F905B" w14:textId="300E94FD" w:rsidR="00920F20" w:rsidRPr="006E4CDF" w:rsidRDefault="00872E47" w:rsidP="00920F20">
            <w:pPr>
              <w:cnfStyle w:val="000000000000" w:firstRow="0" w:lastRow="0" w:firstColumn="0" w:lastColumn="0" w:oddVBand="0" w:evenVBand="0" w:oddHBand="0" w:evenHBand="0" w:firstRowFirstColumn="0" w:firstRowLastColumn="0" w:lastRowFirstColumn="0" w:lastRowLastColumn="0"/>
              <w:rPr>
                <w:szCs w:val="20"/>
              </w:rPr>
            </w:pPr>
            <w:hyperlink r:id="rId252" w:history="1">
              <w:r w:rsidR="00920F20" w:rsidRPr="00C807EF">
                <w:rPr>
                  <w:rStyle w:val="Hyperlink"/>
                  <w:sz w:val="20"/>
                  <w:szCs w:val="20"/>
                </w:rPr>
                <w:t>How to install and configure Symantec Endpoint Protection on an Azure VM</w:t>
              </w:r>
            </w:hyperlink>
            <w:r w:rsidR="00920F20" w:rsidRPr="00C807EF">
              <w:rPr>
                <w:sz w:val="20"/>
                <w:szCs w:val="20"/>
              </w:rPr>
              <w:t xml:space="preserve"> </w:t>
            </w:r>
          </w:p>
        </w:tc>
      </w:tr>
    </w:tbl>
    <w:p w14:paraId="0C880474" w14:textId="79A4D113" w:rsidR="00D53A7A" w:rsidRPr="00C865F9" w:rsidRDefault="00C865F9" w:rsidP="005729D2">
      <w:pPr>
        <w:pStyle w:val="Heading4Numbered"/>
        <w:numPr>
          <w:ilvl w:val="3"/>
          <w:numId w:val="64"/>
        </w:numPr>
        <w:rPr>
          <w:rFonts w:cs="Segoe UI"/>
        </w:rPr>
      </w:pPr>
      <w:r>
        <w:rPr>
          <w:rFonts w:cs="Segoe UI"/>
        </w:rPr>
        <w:t>Virtual Machine</w:t>
      </w:r>
      <w:r w:rsidR="00D53A7A" w:rsidRPr="00D252DE">
        <w:rPr>
          <w:rFonts w:cs="Segoe UI"/>
        </w:rPr>
        <w:t xml:space="preserve"> Operations and Management </w:t>
      </w:r>
    </w:p>
    <w:tbl>
      <w:tblPr>
        <w:tblStyle w:val="PlainTable11"/>
        <w:tblW w:w="0" w:type="auto"/>
        <w:tblLook w:val="04A0" w:firstRow="1" w:lastRow="0" w:firstColumn="1" w:lastColumn="0" w:noHBand="0" w:noVBand="1"/>
      </w:tblPr>
      <w:tblGrid>
        <w:gridCol w:w="2251"/>
        <w:gridCol w:w="4549"/>
        <w:gridCol w:w="2550"/>
      </w:tblGrid>
      <w:tr w:rsidR="00920F20" w:rsidRPr="00E85B07" w14:paraId="373D35A9" w14:textId="77777777" w:rsidTr="00E85B0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808080" w:themeFill="background1" w:themeFillShade="80"/>
            <w:hideMark/>
          </w:tcPr>
          <w:p w14:paraId="591F9920" w14:textId="412C89DD" w:rsidR="00920F20" w:rsidRPr="00E85B07" w:rsidRDefault="00920F20" w:rsidP="00920F20">
            <w:pPr>
              <w:rPr>
                <w:b w:val="0"/>
                <w:color w:val="FFFFFF" w:themeColor="background1"/>
                <w:sz w:val="20"/>
              </w:rPr>
            </w:pPr>
            <w:r w:rsidRPr="00E85B07">
              <w:rPr>
                <w:color w:val="FFFFFF" w:themeColor="background1"/>
                <w:sz w:val="20"/>
              </w:rPr>
              <w:t>V</w:t>
            </w:r>
            <w:r>
              <w:rPr>
                <w:color w:val="FFFFFF" w:themeColor="background1"/>
                <w:sz w:val="20"/>
              </w:rPr>
              <w:t xml:space="preserve">irtual </w:t>
            </w:r>
            <w:r w:rsidRPr="00E85B07">
              <w:rPr>
                <w:color w:val="FFFFFF" w:themeColor="background1"/>
                <w:sz w:val="20"/>
              </w:rPr>
              <w:t>M</w:t>
            </w:r>
            <w:r>
              <w:rPr>
                <w:color w:val="FFFFFF" w:themeColor="background1"/>
                <w:sz w:val="20"/>
              </w:rPr>
              <w:t>achines</w:t>
            </w:r>
            <w:r w:rsidRPr="00E85B07">
              <w:rPr>
                <w:color w:val="FFFFFF" w:themeColor="background1"/>
                <w:sz w:val="20"/>
              </w:rPr>
              <w:t xml:space="preserve"> Extension Name </w:t>
            </w:r>
          </w:p>
        </w:tc>
        <w:tc>
          <w:tcPr>
            <w:tcW w:w="0" w:type="auto"/>
            <w:shd w:val="clear" w:color="auto" w:fill="808080" w:themeFill="background1" w:themeFillShade="80"/>
            <w:hideMark/>
          </w:tcPr>
          <w:p w14:paraId="2C42494D" w14:textId="0F2A8366" w:rsidR="00920F20" w:rsidRPr="00E85B07" w:rsidRDefault="00920F20" w:rsidP="00920F20">
            <w:pPr>
              <w:cnfStyle w:val="100000000000" w:firstRow="1" w:lastRow="0" w:firstColumn="0" w:lastColumn="0" w:oddVBand="0" w:evenVBand="0" w:oddHBand="0" w:evenHBand="0" w:firstRowFirstColumn="0" w:firstRowLastColumn="0" w:lastRowFirstColumn="0" w:lastRowLastColumn="0"/>
              <w:rPr>
                <w:b w:val="0"/>
                <w:color w:val="FFFFFF" w:themeColor="background1"/>
                <w:sz w:val="20"/>
              </w:rPr>
            </w:pPr>
            <w:r w:rsidRPr="00E85B07">
              <w:rPr>
                <w:color w:val="FFFFFF" w:themeColor="background1"/>
                <w:sz w:val="20"/>
              </w:rPr>
              <w:t xml:space="preserve">Feature Description </w:t>
            </w:r>
          </w:p>
        </w:tc>
        <w:tc>
          <w:tcPr>
            <w:tcW w:w="0" w:type="auto"/>
            <w:shd w:val="clear" w:color="auto" w:fill="808080" w:themeFill="background1" w:themeFillShade="80"/>
            <w:hideMark/>
          </w:tcPr>
          <w:p w14:paraId="0602DF4D" w14:textId="24B46F9B" w:rsidR="00920F20" w:rsidRPr="00E85B07" w:rsidRDefault="00920F20" w:rsidP="00920F20">
            <w:pPr>
              <w:cnfStyle w:val="100000000000" w:firstRow="1" w:lastRow="0" w:firstColumn="0" w:lastColumn="0" w:oddVBand="0" w:evenVBand="0" w:oddHBand="0" w:evenHBand="0" w:firstRowFirstColumn="0" w:firstRowLastColumn="0" w:lastRowFirstColumn="0" w:lastRowLastColumn="0"/>
              <w:rPr>
                <w:b w:val="0"/>
                <w:color w:val="FFFFFF" w:themeColor="background1"/>
                <w:sz w:val="20"/>
              </w:rPr>
            </w:pPr>
            <w:r w:rsidRPr="00E85B07">
              <w:rPr>
                <w:color w:val="FFFFFF" w:themeColor="background1"/>
                <w:sz w:val="20"/>
              </w:rPr>
              <w:t xml:space="preserve">More Information </w:t>
            </w:r>
          </w:p>
        </w:tc>
      </w:tr>
      <w:tr w:rsidR="00920F20" w:rsidRPr="00C41F9E" w14:paraId="33AB0C73" w14:textId="77777777" w:rsidTr="00E85B0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2406013" w14:textId="26AD9D8E" w:rsidR="00920F20" w:rsidRPr="00EC09FD" w:rsidRDefault="00920F20" w:rsidP="00920F20">
            <w:pPr>
              <w:rPr>
                <w:b w:val="0"/>
              </w:rPr>
            </w:pPr>
            <w:r w:rsidRPr="00C807EF">
              <w:rPr>
                <w:b w:val="0"/>
                <w:sz w:val="20"/>
                <w:szCs w:val="20"/>
              </w:rPr>
              <w:t xml:space="preserve">IaaSDiagnostics </w:t>
            </w:r>
          </w:p>
        </w:tc>
        <w:tc>
          <w:tcPr>
            <w:tcW w:w="0" w:type="auto"/>
            <w:hideMark/>
          </w:tcPr>
          <w:p w14:paraId="3AB27DE9" w14:textId="3066E589" w:rsidR="00920F20" w:rsidRPr="00C41F9E" w:rsidRDefault="00920F20" w:rsidP="00920F20">
            <w:pPr>
              <w:cnfStyle w:val="000000100000" w:firstRow="0" w:lastRow="0" w:firstColumn="0" w:lastColumn="0" w:oddVBand="0" w:evenVBand="0" w:oddHBand="1" w:evenHBand="0" w:firstRowFirstColumn="0" w:firstRowLastColumn="0" w:lastRowFirstColumn="0" w:lastRowLastColumn="0"/>
            </w:pPr>
            <w:r w:rsidRPr="00C807EF">
              <w:rPr>
                <w:sz w:val="20"/>
                <w:szCs w:val="20"/>
              </w:rPr>
              <w:t xml:space="preserve">Enables, disables, and configures Azure Diagnostics, and is also used by the </w:t>
            </w:r>
            <w:r w:rsidRPr="00C807EF">
              <w:rPr>
                <w:b/>
                <w:sz w:val="20"/>
                <w:szCs w:val="20"/>
              </w:rPr>
              <w:t>AzureCATExtensionHandler</w:t>
            </w:r>
            <w:r w:rsidRPr="00C807EF">
              <w:rPr>
                <w:sz w:val="20"/>
                <w:szCs w:val="20"/>
              </w:rPr>
              <w:t xml:space="preserve"> to support SAP monitoring</w:t>
            </w:r>
          </w:p>
        </w:tc>
        <w:tc>
          <w:tcPr>
            <w:tcW w:w="0" w:type="auto"/>
            <w:hideMark/>
          </w:tcPr>
          <w:p w14:paraId="6C9538A5" w14:textId="3DCA393E" w:rsidR="00920F20" w:rsidRPr="00C41F9E" w:rsidRDefault="00872E47" w:rsidP="00920F20">
            <w:pPr>
              <w:cnfStyle w:val="000000100000" w:firstRow="0" w:lastRow="0" w:firstColumn="0" w:lastColumn="0" w:oddVBand="0" w:evenVBand="0" w:oddHBand="1" w:evenHBand="0" w:firstRowFirstColumn="0" w:firstRowLastColumn="0" w:lastRowFirstColumn="0" w:lastRowLastColumn="0"/>
            </w:pPr>
            <w:hyperlink r:id="rId253" w:history="1">
              <w:r w:rsidR="00920F20" w:rsidRPr="00C807EF">
                <w:rPr>
                  <w:rStyle w:val="Hyperlink"/>
                  <w:sz w:val="20"/>
                  <w:szCs w:val="20"/>
                </w:rPr>
                <w:t>Microsoft Azure Virtual Machine Monitoring with Azure Diagnostics Extension</w:t>
              </w:r>
            </w:hyperlink>
            <w:r w:rsidR="00920F20" w:rsidRPr="00C807EF">
              <w:rPr>
                <w:sz w:val="20"/>
                <w:szCs w:val="20"/>
              </w:rPr>
              <w:t xml:space="preserve"> </w:t>
            </w:r>
          </w:p>
        </w:tc>
      </w:tr>
      <w:tr w:rsidR="00920F20" w:rsidRPr="00C41F9E" w14:paraId="0B8F43E0" w14:textId="77777777" w:rsidTr="00E85B07">
        <w:tc>
          <w:tcPr>
            <w:cnfStyle w:val="001000000000" w:firstRow="0" w:lastRow="0" w:firstColumn="1" w:lastColumn="0" w:oddVBand="0" w:evenVBand="0" w:oddHBand="0" w:evenHBand="0" w:firstRowFirstColumn="0" w:firstRowLastColumn="0" w:lastRowFirstColumn="0" w:lastRowLastColumn="0"/>
            <w:tcW w:w="0" w:type="auto"/>
            <w:hideMark/>
          </w:tcPr>
          <w:p w14:paraId="44097104" w14:textId="0EFB3D42" w:rsidR="00920F20" w:rsidRPr="00EC09FD" w:rsidRDefault="00920F20" w:rsidP="00920F20">
            <w:pPr>
              <w:rPr>
                <w:b w:val="0"/>
              </w:rPr>
            </w:pPr>
            <w:r w:rsidRPr="00C807EF">
              <w:rPr>
                <w:b w:val="0"/>
                <w:sz w:val="20"/>
                <w:szCs w:val="20"/>
              </w:rPr>
              <w:t xml:space="preserve">OSPatchingForLinux </w:t>
            </w:r>
          </w:p>
        </w:tc>
        <w:tc>
          <w:tcPr>
            <w:tcW w:w="0" w:type="auto"/>
            <w:hideMark/>
          </w:tcPr>
          <w:p w14:paraId="10452597" w14:textId="77777777" w:rsidR="00920F20" w:rsidRPr="00C807EF" w:rsidRDefault="00920F20" w:rsidP="005729D2">
            <w:pPr>
              <w:numPr>
                <w:ilvl w:val="0"/>
                <w:numId w:val="259"/>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Segoe UI"/>
                <w:color w:val="000000"/>
                <w:sz w:val="20"/>
                <w:szCs w:val="20"/>
              </w:rPr>
            </w:pPr>
            <w:r w:rsidRPr="00C807EF">
              <w:rPr>
                <w:rFonts w:eastAsiaTheme="minorHAnsi" w:cs="Segoe UI"/>
                <w:color w:val="000000"/>
                <w:sz w:val="20"/>
                <w:szCs w:val="20"/>
              </w:rPr>
              <w:t xml:space="preserve">Enables Azure Virtual Machines administrators to automate operating system updates with customized configurations. </w:t>
            </w:r>
          </w:p>
          <w:p w14:paraId="47BFCBED" w14:textId="77777777" w:rsidR="00920F20" w:rsidRPr="00C807EF" w:rsidRDefault="00920F20" w:rsidP="00920F20">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Segoe UI"/>
                <w:color w:val="000000"/>
                <w:sz w:val="20"/>
                <w:szCs w:val="20"/>
              </w:rPr>
            </w:pPr>
          </w:p>
          <w:p w14:paraId="23FF142C" w14:textId="77777777" w:rsidR="00920F20" w:rsidRPr="00C807EF" w:rsidRDefault="00920F20" w:rsidP="00920F20">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Segoe UI"/>
                <w:color w:val="000000"/>
                <w:sz w:val="20"/>
                <w:szCs w:val="20"/>
              </w:rPr>
            </w:pPr>
            <w:r w:rsidRPr="00C807EF">
              <w:rPr>
                <w:rFonts w:eastAsiaTheme="minorHAnsi" w:cs="Segoe UI"/>
                <w:color w:val="000000"/>
                <w:sz w:val="20"/>
                <w:szCs w:val="20"/>
              </w:rPr>
              <w:t xml:space="preserve">You can use the OSPatching extension to configure operating system updates for your virtual machines, including: </w:t>
            </w:r>
          </w:p>
          <w:p w14:paraId="0BB5A3FE" w14:textId="77777777" w:rsidR="00920F20" w:rsidRPr="00C807EF" w:rsidRDefault="00920F20" w:rsidP="005729D2">
            <w:pPr>
              <w:numPr>
                <w:ilvl w:val="0"/>
                <w:numId w:val="259"/>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Segoe UI"/>
                <w:color w:val="000000"/>
                <w:sz w:val="20"/>
                <w:szCs w:val="20"/>
              </w:rPr>
            </w:pPr>
            <w:r w:rsidRPr="00C807EF">
              <w:rPr>
                <w:rFonts w:eastAsiaTheme="minorHAnsi" w:cs="Segoe UI"/>
                <w:color w:val="000000"/>
                <w:sz w:val="20"/>
                <w:szCs w:val="20"/>
              </w:rPr>
              <w:t>Specify how often and when to install operating system patches</w:t>
            </w:r>
          </w:p>
          <w:p w14:paraId="5261101A" w14:textId="115B2350" w:rsidR="00920F20" w:rsidRDefault="00920F20" w:rsidP="005729D2">
            <w:pPr>
              <w:numPr>
                <w:ilvl w:val="0"/>
                <w:numId w:val="259"/>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Segoe UI"/>
                <w:color w:val="000000"/>
                <w:sz w:val="20"/>
                <w:szCs w:val="20"/>
              </w:rPr>
            </w:pPr>
            <w:r w:rsidRPr="00C807EF">
              <w:rPr>
                <w:rFonts w:eastAsiaTheme="minorHAnsi" w:cs="Segoe UI"/>
                <w:color w:val="000000"/>
                <w:sz w:val="20"/>
                <w:szCs w:val="20"/>
              </w:rPr>
              <w:t>Specify what patches to install</w:t>
            </w:r>
          </w:p>
          <w:p w14:paraId="1679E7BE" w14:textId="5047067E" w:rsidR="00920F20" w:rsidRPr="00920F20" w:rsidRDefault="00920F20" w:rsidP="005729D2">
            <w:pPr>
              <w:numPr>
                <w:ilvl w:val="0"/>
                <w:numId w:val="259"/>
              </w:numPr>
              <w:spacing w:before="0" w:after="0" w:line="240" w:lineRule="auto"/>
              <w:cnfStyle w:val="000000000000" w:firstRow="0" w:lastRow="0" w:firstColumn="0" w:lastColumn="0" w:oddVBand="0" w:evenVBand="0" w:oddHBand="0" w:evenHBand="0" w:firstRowFirstColumn="0" w:firstRowLastColumn="0" w:lastRowFirstColumn="0" w:lastRowLastColumn="0"/>
              <w:rPr>
                <w:rFonts w:eastAsiaTheme="minorHAnsi" w:cs="Segoe UI"/>
                <w:color w:val="000000"/>
                <w:sz w:val="20"/>
                <w:szCs w:val="20"/>
              </w:rPr>
            </w:pPr>
            <w:r w:rsidRPr="00920F20">
              <w:rPr>
                <w:rFonts w:eastAsiaTheme="minorHAnsi" w:cs="Segoe UI"/>
                <w:color w:val="000000"/>
                <w:sz w:val="20"/>
                <w:szCs w:val="20"/>
              </w:rPr>
              <w:t>Configure the reboot behavior after updates</w:t>
            </w:r>
          </w:p>
        </w:tc>
        <w:tc>
          <w:tcPr>
            <w:tcW w:w="0" w:type="auto"/>
            <w:hideMark/>
          </w:tcPr>
          <w:p w14:paraId="0E2D6B4B" w14:textId="77777777" w:rsidR="00920F20" w:rsidRPr="00C807EF" w:rsidRDefault="00872E47" w:rsidP="00920F20">
            <w:pPr>
              <w:cnfStyle w:val="000000000000" w:firstRow="0" w:lastRow="0" w:firstColumn="0" w:lastColumn="0" w:oddVBand="0" w:evenVBand="0" w:oddHBand="0" w:evenHBand="0" w:firstRowFirstColumn="0" w:firstRowLastColumn="0" w:lastRowFirstColumn="0" w:lastRowLastColumn="0"/>
              <w:rPr>
                <w:sz w:val="20"/>
                <w:szCs w:val="20"/>
              </w:rPr>
            </w:pPr>
            <w:hyperlink r:id="rId254" w:history="1">
              <w:r w:rsidR="00920F20" w:rsidRPr="00C807EF">
                <w:rPr>
                  <w:rStyle w:val="Hyperlink"/>
                  <w:sz w:val="20"/>
                  <w:szCs w:val="20"/>
                </w:rPr>
                <w:t>Operating System Patching Extension Blog Post</w:t>
              </w:r>
            </w:hyperlink>
            <w:r w:rsidR="00920F20" w:rsidRPr="00C807EF">
              <w:rPr>
                <w:sz w:val="20"/>
                <w:szCs w:val="20"/>
              </w:rPr>
              <w:t xml:space="preserve"> </w:t>
            </w:r>
          </w:p>
          <w:p w14:paraId="13825F50" w14:textId="7F79C959" w:rsidR="00920F20" w:rsidRPr="00C41F9E" w:rsidRDefault="00920F20" w:rsidP="00920F20">
            <w:pPr>
              <w:cnfStyle w:val="000000000000" w:firstRow="0" w:lastRow="0" w:firstColumn="0" w:lastColumn="0" w:oddVBand="0" w:evenVBand="0" w:oddHBand="0" w:evenHBand="0" w:firstRowFirstColumn="0" w:firstRowLastColumn="0" w:lastRowFirstColumn="0" w:lastRowLastColumn="0"/>
            </w:pPr>
            <w:r w:rsidRPr="00C807EF">
              <w:rPr>
                <w:sz w:val="20"/>
                <w:szCs w:val="20"/>
              </w:rPr>
              <w:t xml:space="preserve">See also the Readme and source on Github at </w:t>
            </w:r>
            <w:hyperlink r:id="rId255" w:history="1">
              <w:r w:rsidRPr="00C807EF">
                <w:rPr>
                  <w:rStyle w:val="Hyperlink"/>
                  <w:sz w:val="20"/>
                  <w:szCs w:val="20"/>
                </w:rPr>
                <w:t>Operating System Patching Extension</w:t>
              </w:r>
            </w:hyperlink>
            <w:r w:rsidRPr="00C807EF">
              <w:rPr>
                <w:sz w:val="20"/>
                <w:szCs w:val="20"/>
              </w:rPr>
              <w:t>.</w:t>
            </w:r>
          </w:p>
        </w:tc>
      </w:tr>
    </w:tbl>
    <w:p w14:paraId="122BAA9D" w14:textId="1501EA9A" w:rsidR="00D53A7A" w:rsidRPr="00C41F9E" w:rsidRDefault="00D53A7A" w:rsidP="00D53A7A"/>
    <w:p w14:paraId="0591DCAE" w14:textId="77777777" w:rsidR="00C865F9" w:rsidRDefault="00C865F9">
      <w:pPr>
        <w:spacing w:before="0" w:after="160" w:line="259" w:lineRule="auto"/>
      </w:pPr>
      <w:bookmarkStart w:id="3157" w:name="_Toc418080720"/>
      <w:bookmarkStart w:id="3158" w:name="_Toc418081889"/>
      <w:bookmarkStart w:id="3159" w:name="_Toc418083292"/>
      <w:bookmarkStart w:id="3160" w:name="_Toc418095516"/>
      <w:r>
        <w:br w:type="page"/>
      </w:r>
    </w:p>
    <w:p w14:paraId="303D1264" w14:textId="77777777" w:rsidR="00D53A7A" w:rsidRPr="002B19E2" w:rsidRDefault="00D53A7A" w:rsidP="005729D2">
      <w:pPr>
        <w:pStyle w:val="Heading2Numbered"/>
        <w:numPr>
          <w:ilvl w:val="1"/>
          <w:numId w:val="64"/>
        </w:numPr>
      </w:pPr>
      <w:bookmarkStart w:id="3161" w:name="_Toc418156685"/>
      <w:bookmarkStart w:id="3162" w:name="_Toc418167604"/>
      <w:bookmarkStart w:id="3163" w:name="_Toc418185861"/>
      <w:bookmarkStart w:id="3164" w:name="_Toc422941571"/>
      <w:bookmarkStart w:id="3165" w:name="_Toc423116777"/>
      <w:bookmarkStart w:id="3166" w:name="_Toc423117810"/>
      <w:bookmarkStart w:id="3167" w:name="_Toc423117260"/>
      <w:bookmarkStart w:id="3168" w:name="_Toc431288852"/>
      <w:r w:rsidRPr="002B19E2">
        <w:t>Cloud Services</w:t>
      </w:r>
      <w:bookmarkEnd w:id="3157"/>
      <w:bookmarkEnd w:id="3158"/>
      <w:bookmarkEnd w:id="3159"/>
      <w:bookmarkEnd w:id="3160"/>
      <w:bookmarkEnd w:id="3161"/>
      <w:bookmarkEnd w:id="3162"/>
      <w:bookmarkEnd w:id="3163"/>
      <w:bookmarkEnd w:id="3164"/>
      <w:bookmarkEnd w:id="3165"/>
      <w:bookmarkEnd w:id="3166"/>
      <w:bookmarkEnd w:id="3167"/>
      <w:bookmarkEnd w:id="3168"/>
    </w:p>
    <w:p w14:paraId="350CD265" w14:textId="129A11B1" w:rsidR="00D53A7A" w:rsidRDefault="009F4F23" w:rsidP="00D53A7A">
      <w:r>
        <w:t>An Azure cloud service is a compute capability within Microsoft Azure that is available to IaaS and specific PaaS workloads. From an IaaS perspective, Azure cloud services</w:t>
      </w:r>
      <w:r w:rsidRPr="00593E1D">
        <w:t xml:space="preserve"> </w:t>
      </w:r>
      <w:r>
        <w:t>leverage virtual machines to provide a unit of access through public endpoints, load balancing, and scalability through auto-scale capabilities. This relationship is illustrated in the following conceptual diagram</w:t>
      </w:r>
      <w:r w:rsidR="00A825CD">
        <w:t>:</w:t>
      </w:r>
    </w:p>
    <w:p w14:paraId="5A8AEF18" w14:textId="0AFB51C2" w:rsidR="00A825CD" w:rsidRDefault="00A825CD" w:rsidP="00D53A7A">
      <w:r>
        <w:rPr>
          <w:noProof/>
        </w:rPr>
        <w:drawing>
          <wp:inline distT="0" distB="0" distL="0" distR="0" wp14:anchorId="4D83D61B" wp14:editId="576BF94E">
            <wp:extent cx="5943600" cy="39128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5943600" cy="3912870"/>
                    </a:xfrm>
                    <a:prstGeom prst="rect">
                      <a:avLst/>
                    </a:prstGeom>
                  </pic:spPr>
                </pic:pic>
              </a:graphicData>
            </a:graphic>
          </wp:inline>
        </w:drawing>
      </w:r>
    </w:p>
    <w:p w14:paraId="14533F7A" w14:textId="49D1E554" w:rsidR="00490928" w:rsidRPr="00593E1D" w:rsidRDefault="009F4F23" w:rsidP="00490928">
      <w:r>
        <w:t>The following diagram shows a visual comparison between leveraging virtual machines and native PaaS capabilities within Azure Cloud Services</w:t>
      </w:r>
      <w:r w:rsidR="00490928">
        <w:t>:</w:t>
      </w:r>
    </w:p>
    <w:p w14:paraId="58B6F26D" w14:textId="77777777" w:rsidR="00490928" w:rsidRDefault="00490928" w:rsidP="00490928">
      <w:pPr>
        <w:jc w:val="center"/>
      </w:pPr>
      <w:r>
        <w:rPr>
          <w:noProof/>
        </w:rPr>
        <w:drawing>
          <wp:inline distT="0" distB="0" distL="0" distR="0" wp14:anchorId="122A7667" wp14:editId="644809D0">
            <wp:extent cx="5686425" cy="1962076"/>
            <wp:effectExtent l="0" t="0" r="0" b="635"/>
            <wp:docPr id="1546650222" name="Picture 1546650222" descr="Choices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oicesDiagram"/>
                    <pic:cNvPicPr>
                      <a:picLocks noChangeAspect="1" noChangeArrowheads="1"/>
                    </pic:cNvPicPr>
                  </pic:nvPicPr>
                  <pic:blipFill rotWithShape="1">
                    <a:blip r:embed="rId257">
                      <a:extLst>
                        <a:ext uri="{28A0092B-C50C-407E-A947-70E740481C1C}">
                          <a14:useLocalDpi xmlns:a14="http://schemas.microsoft.com/office/drawing/2010/main" val="0"/>
                        </a:ext>
                      </a:extLst>
                    </a:blip>
                    <a:srcRect r="4317" b="36446"/>
                    <a:stretch/>
                  </pic:blipFill>
                  <pic:spPr bwMode="auto">
                    <a:xfrm>
                      <a:off x="0" y="0"/>
                      <a:ext cx="5687033" cy="1962286"/>
                    </a:xfrm>
                    <a:prstGeom prst="rect">
                      <a:avLst/>
                    </a:prstGeom>
                    <a:noFill/>
                    <a:ln>
                      <a:noFill/>
                    </a:ln>
                    <a:extLst>
                      <a:ext uri="{53640926-AAD7-44D8-BBD7-CCE9431645EC}">
                        <a14:shadowObscured xmlns:a14="http://schemas.microsoft.com/office/drawing/2010/main"/>
                      </a:ext>
                    </a:extLst>
                  </pic:spPr>
                </pic:pic>
              </a:graphicData>
            </a:graphic>
          </wp:inline>
        </w:drawing>
      </w:r>
    </w:p>
    <w:p w14:paraId="77FA021D" w14:textId="4E2694F2" w:rsidR="00490928" w:rsidRDefault="009A5135" w:rsidP="005729D2">
      <w:pPr>
        <w:pStyle w:val="Heading3Numbered"/>
        <w:numPr>
          <w:ilvl w:val="2"/>
          <w:numId w:val="64"/>
        </w:numPr>
      </w:pPr>
      <w:bookmarkStart w:id="3169" w:name="_Toc418156686"/>
      <w:bookmarkStart w:id="3170" w:name="_Toc418167605"/>
      <w:bookmarkStart w:id="3171" w:name="_Toc418185862"/>
      <w:bookmarkStart w:id="3172" w:name="_Toc422941572"/>
      <w:bookmarkStart w:id="3173" w:name="_Toc423116778"/>
      <w:bookmarkStart w:id="3174" w:name="_Toc423117811"/>
      <w:bookmarkStart w:id="3175" w:name="_Toc423117261"/>
      <w:bookmarkStart w:id="3176" w:name="_Toc431288853"/>
      <w:r>
        <w:t xml:space="preserve">Cloud Services </w:t>
      </w:r>
      <w:r w:rsidR="00490928">
        <w:t>Load Balancing</w:t>
      </w:r>
      <w:bookmarkEnd w:id="3169"/>
      <w:bookmarkEnd w:id="3170"/>
      <w:bookmarkEnd w:id="3171"/>
      <w:bookmarkEnd w:id="3172"/>
      <w:bookmarkEnd w:id="3173"/>
      <w:bookmarkEnd w:id="3174"/>
      <w:bookmarkEnd w:id="3175"/>
      <w:bookmarkEnd w:id="3176"/>
    </w:p>
    <w:p w14:paraId="7496C14F" w14:textId="6F471EF6" w:rsidR="009F4F23" w:rsidRDefault="00490928" w:rsidP="009F4F23">
      <w:r>
        <w:t>Load</w:t>
      </w:r>
      <w:r w:rsidR="009F4F23">
        <w:t xml:space="preserve"> balancing cloud services can be managed </w:t>
      </w:r>
      <w:r w:rsidR="009F4F23" w:rsidRPr="00490928">
        <w:rPr>
          <w:i/>
        </w:rPr>
        <w:t>between</w:t>
      </w:r>
      <w:r w:rsidR="009F4F23">
        <w:t xml:space="preserve"> and </w:t>
      </w:r>
      <w:r w:rsidR="009F4F23" w:rsidRPr="00490928">
        <w:rPr>
          <w:i/>
        </w:rPr>
        <w:t>within</w:t>
      </w:r>
      <w:r w:rsidR="009F4F23">
        <w:t xml:space="preserve"> each deployed cloud service. To load balance</w:t>
      </w:r>
      <w:r w:rsidR="009F4F23" w:rsidRPr="00490928">
        <w:t xml:space="preserve"> network</w:t>
      </w:r>
      <w:r w:rsidR="009F4F23">
        <w:t xml:space="preserve"> traffic </w:t>
      </w:r>
      <w:r w:rsidR="009F4F23" w:rsidRPr="00490928">
        <w:rPr>
          <w:i/>
        </w:rPr>
        <w:t>between</w:t>
      </w:r>
      <w:r w:rsidR="009F4F23">
        <w:t xml:space="preserve"> deployed cloud services, Azure Traffic Manager can provide redundant and performant paths to the publicly routable virtual IP that is used by the systems within the cloud service. </w:t>
      </w:r>
    </w:p>
    <w:p w14:paraId="5682E298" w14:textId="77777777" w:rsidR="009F4F23" w:rsidRPr="009A181E" w:rsidRDefault="009F4F23" w:rsidP="009F4F23">
      <w:pPr>
        <w:rPr>
          <w:lang w:val="en"/>
        </w:rPr>
      </w:pPr>
      <w:r w:rsidRPr="009A181E">
        <w:rPr>
          <w:lang w:val="en"/>
        </w:rPr>
        <w:t xml:space="preserve">Azure Traffic Manager </w:t>
      </w:r>
      <w:r>
        <w:rPr>
          <w:lang w:val="en"/>
        </w:rPr>
        <w:t xml:space="preserve">provides </w:t>
      </w:r>
      <w:r w:rsidRPr="009A181E">
        <w:rPr>
          <w:lang w:val="en"/>
        </w:rPr>
        <w:t xml:space="preserve">control </w:t>
      </w:r>
      <w:r>
        <w:rPr>
          <w:lang w:val="en"/>
        </w:rPr>
        <w:t xml:space="preserve">over </w:t>
      </w:r>
      <w:r w:rsidRPr="009A181E">
        <w:rPr>
          <w:lang w:val="en"/>
        </w:rPr>
        <w:t xml:space="preserve">the distribution of </w:t>
      </w:r>
      <w:r>
        <w:rPr>
          <w:lang w:val="en"/>
        </w:rPr>
        <w:t xml:space="preserve">network </w:t>
      </w:r>
      <w:r w:rsidRPr="009A181E">
        <w:rPr>
          <w:lang w:val="en"/>
        </w:rPr>
        <w:t xml:space="preserve">traffic to </w:t>
      </w:r>
      <w:r>
        <w:rPr>
          <w:lang w:val="en"/>
        </w:rPr>
        <w:t xml:space="preserve">public Internet </w:t>
      </w:r>
      <w:r w:rsidRPr="009A181E">
        <w:rPr>
          <w:lang w:val="en"/>
        </w:rPr>
        <w:t>endpoints</w:t>
      </w:r>
      <w:r>
        <w:rPr>
          <w:lang w:val="en"/>
        </w:rPr>
        <w:t>.</w:t>
      </w:r>
      <w:r w:rsidRPr="009A181E">
        <w:rPr>
          <w:lang w:val="en"/>
        </w:rPr>
        <w:t xml:space="preserve"> Traffic Manager works by applying an intelligent policy engine to Domain Name System (DNS) queries for the domain names of your Internet resources. Azure Traffic Manager uses three load-balancing methods to distribute traffic:</w:t>
      </w:r>
    </w:p>
    <w:p w14:paraId="763BB476" w14:textId="77777777" w:rsidR="009F4F23" w:rsidRPr="009A181E" w:rsidRDefault="009F4F23" w:rsidP="005729D2">
      <w:pPr>
        <w:numPr>
          <w:ilvl w:val="0"/>
          <w:numId w:val="62"/>
        </w:numPr>
        <w:rPr>
          <w:lang w:val="en"/>
        </w:rPr>
      </w:pPr>
      <w:r w:rsidRPr="009A181E">
        <w:rPr>
          <w:b/>
          <w:bCs/>
          <w:lang w:val="en"/>
        </w:rPr>
        <w:t>Failover</w:t>
      </w:r>
      <w:r w:rsidRPr="009A181E">
        <w:rPr>
          <w:lang w:val="en"/>
        </w:rPr>
        <w:t>: Use this method when you want to use a primary endpoint for all traffic, but provide backups in case the primary becomes unavailable.</w:t>
      </w:r>
    </w:p>
    <w:p w14:paraId="6B870B80" w14:textId="77777777" w:rsidR="009F4F23" w:rsidRPr="009A181E" w:rsidRDefault="009F4F23" w:rsidP="005729D2">
      <w:pPr>
        <w:numPr>
          <w:ilvl w:val="0"/>
          <w:numId w:val="62"/>
        </w:numPr>
        <w:rPr>
          <w:lang w:val="en"/>
        </w:rPr>
      </w:pPr>
      <w:r w:rsidRPr="009A181E">
        <w:rPr>
          <w:b/>
          <w:bCs/>
          <w:lang w:val="en"/>
        </w:rPr>
        <w:t>Performance</w:t>
      </w:r>
      <w:r w:rsidRPr="009A181E">
        <w:rPr>
          <w:lang w:val="en"/>
        </w:rPr>
        <w:t>: Use this method when you have endpoints in different geographic locations</w:t>
      </w:r>
      <w:r>
        <w:rPr>
          <w:lang w:val="en"/>
        </w:rPr>
        <w:t>,</w:t>
      </w:r>
      <w:r w:rsidRPr="009A181E">
        <w:rPr>
          <w:lang w:val="en"/>
        </w:rPr>
        <w:t xml:space="preserve"> and you want requesting clients to use the "closest" endpoint in terms of the lowest latency.</w:t>
      </w:r>
    </w:p>
    <w:p w14:paraId="36D1186C" w14:textId="77777777" w:rsidR="009F4F23" w:rsidRPr="009A181E" w:rsidRDefault="009F4F23" w:rsidP="005729D2">
      <w:pPr>
        <w:numPr>
          <w:ilvl w:val="0"/>
          <w:numId w:val="62"/>
        </w:numPr>
        <w:rPr>
          <w:lang w:val="en"/>
        </w:rPr>
      </w:pPr>
      <w:r w:rsidRPr="009A181E">
        <w:rPr>
          <w:b/>
          <w:bCs/>
          <w:lang w:val="en"/>
        </w:rPr>
        <w:t xml:space="preserve">Round </w:t>
      </w:r>
      <w:r>
        <w:rPr>
          <w:b/>
          <w:bCs/>
          <w:lang w:val="en"/>
        </w:rPr>
        <w:t>r</w:t>
      </w:r>
      <w:r w:rsidRPr="009A181E">
        <w:rPr>
          <w:b/>
          <w:bCs/>
          <w:lang w:val="en"/>
        </w:rPr>
        <w:t>obin:</w:t>
      </w:r>
      <w:r w:rsidRPr="009A181E">
        <w:rPr>
          <w:lang w:val="en"/>
        </w:rPr>
        <w:t xml:space="preserve"> Use this method when you want to distribute load across a set of cloud services in the same datacenter or across cloud services or websites in different datacenters.</w:t>
      </w:r>
    </w:p>
    <w:p w14:paraId="0EA2C8DF" w14:textId="77777777" w:rsidR="009F4F23" w:rsidRPr="009A181E" w:rsidRDefault="009F4F23" w:rsidP="009F4F23">
      <w:pPr>
        <w:rPr>
          <w:lang w:val="en"/>
        </w:rPr>
      </w:pPr>
      <w:r w:rsidRPr="009A181E">
        <w:rPr>
          <w:lang w:val="en"/>
        </w:rPr>
        <w:t xml:space="preserve">For more information, see </w:t>
      </w:r>
      <w:hyperlink r:id="rId258" w:history="1">
        <w:r>
          <w:rPr>
            <w:rStyle w:val="Hyperlink"/>
            <w:lang w:val="en"/>
          </w:rPr>
          <w:t>Traffic Manager routing methods</w:t>
        </w:r>
      </w:hyperlink>
      <w:r w:rsidRPr="009A181E">
        <w:rPr>
          <w:lang w:val="en"/>
        </w:rPr>
        <w:t>.</w:t>
      </w:r>
    </w:p>
    <w:p w14:paraId="514E1502" w14:textId="1600BA21" w:rsidR="00D53A7A" w:rsidRPr="009A181E" w:rsidRDefault="009F4F23" w:rsidP="009F4F23">
      <w:pPr>
        <w:rPr>
          <w:lang w:val="en"/>
        </w:rPr>
      </w:pPr>
      <w:r w:rsidRPr="009A181E">
        <w:rPr>
          <w:lang w:val="en"/>
        </w:rPr>
        <w:t xml:space="preserve">The following </w:t>
      </w:r>
      <w:r>
        <w:rPr>
          <w:lang w:val="en"/>
        </w:rPr>
        <w:t>image</w:t>
      </w:r>
      <w:r w:rsidRPr="009A181E">
        <w:rPr>
          <w:lang w:val="en"/>
        </w:rPr>
        <w:t xml:space="preserve"> shows an example of the </w:t>
      </w:r>
      <w:r>
        <w:rPr>
          <w:lang w:val="en"/>
        </w:rPr>
        <w:t>r</w:t>
      </w:r>
      <w:r w:rsidRPr="009A181E">
        <w:rPr>
          <w:lang w:val="en"/>
        </w:rPr>
        <w:t xml:space="preserve">ound </w:t>
      </w:r>
      <w:r>
        <w:rPr>
          <w:lang w:val="en"/>
        </w:rPr>
        <w:t>r</w:t>
      </w:r>
      <w:r w:rsidRPr="009A181E">
        <w:rPr>
          <w:lang w:val="en"/>
        </w:rPr>
        <w:t>obin load</w:t>
      </w:r>
      <w:r>
        <w:rPr>
          <w:lang w:val="en"/>
        </w:rPr>
        <w:t>-</w:t>
      </w:r>
      <w:r w:rsidRPr="009A181E">
        <w:rPr>
          <w:lang w:val="en"/>
        </w:rPr>
        <w:t>balancing method for distributing traffic between different cloud services</w:t>
      </w:r>
      <w:r w:rsidR="00D53A7A" w:rsidRPr="009A181E">
        <w:rPr>
          <w:lang w:val="en"/>
        </w:rPr>
        <w:t>.</w:t>
      </w:r>
    </w:p>
    <w:p w14:paraId="3B88D2A8" w14:textId="77777777" w:rsidR="00D53A7A" w:rsidRDefault="00D53A7A" w:rsidP="00490928">
      <w:pPr>
        <w:jc w:val="center"/>
        <w:rPr>
          <w:lang w:val="en"/>
        </w:rPr>
      </w:pPr>
      <w:r w:rsidRPr="009A181E">
        <w:rPr>
          <w:noProof/>
        </w:rPr>
        <w:drawing>
          <wp:inline distT="0" distB="0" distL="0" distR="0" wp14:anchorId="4EBF249F" wp14:editId="3AAD60A8">
            <wp:extent cx="2862658" cy="2333625"/>
            <wp:effectExtent l="0" t="0" r="0" b="0"/>
            <wp:docPr id="1546650224" name="Picture 1546650224" descr="loadbalan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loadbalancing"/>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864178" cy="2334864"/>
                    </a:xfrm>
                    <a:prstGeom prst="rect">
                      <a:avLst/>
                    </a:prstGeom>
                    <a:noFill/>
                    <a:ln>
                      <a:noFill/>
                    </a:ln>
                  </pic:spPr>
                </pic:pic>
              </a:graphicData>
            </a:graphic>
          </wp:inline>
        </w:drawing>
      </w:r>
    </w:p>
    <w:p w14:paraId="0B064436" w14:textId="77777777" w:rsidR="00D53A7A" w:rsidRDefault="00D53A7A" w:rsidP="00D53A7A">
      <w:pPr>
        <w:rPr>
          <w:lang w:val="en"/>
        </w:rPr>
      </w:pPr>
    </w:p>
    <w:p w14:paraId="4FC0FEB9" w14:textId="66321D39" w:rsidR="009F4F23" w:rsidRDefault="009F4F23" w:rsidP="009F4F23">
      <w:pPr>
        <w:rPr>
          <w:lang w:val="en"/>
        </w:rPr>
      </w:pPr>
      <w:r>
        <w:t xml:space="preserve">To load balance network traffic across systems deployed </w:t>
      </w:r>
      <w:r w:rsidRPr="00606CE5">
        <w:rPr>
          <w:i/>
        </w:rPr>
        <w:t>within</w:t>
      </w:r>
      <w:r>
        <w:t xml:space="preserve"> cloud services, the Azure Load Balancer can be used. </w:t>
      </w:r>
      <w:r w:rsidRPr="005F6C24">
        <w:rPr>
          <w:lang w:val="en"/>
        </w:rPr>
        <w:t xml:space="preserve">Virtual machines in the same cloud service or virtual network can communicate with each other directly </w:t>
      </w:r>
      <w:r>
        <w:rPr>
          <w:lang w:val="en"/>
        </w:rPr>
        <w:t xml:space="preserve">by </w:t>
      </w:r>
      <w:r w:rsidRPr="005F6C24">
        <w:rPr>
          <w:lang w:val="en"/>
        </w:rPr>
        <w:t xml:space="preserve">using their private </w:t>
      </w:r>
      <w:r>
        <w:rPr>
          <w:lang w:val="en"/>
        </w:rPr>
        <w:t>IP</w:t>
      </w:r>
      <w:r w:rsidRPr="005F6C24">
        <w:rPr>
          <w:lang w:val="en"/>
        </w:rPr>
        <w:t xml:space="preserve"> addresses. Computers and services outside the cloud service or virtual network can only communicate with virtual machines in a cloud service or virtual network with a configured endpoint. </w:t>
      </w:r>
    </w:p>
    <w:p w14:paraId="39F8DD18" w14:textId="77777777" w:rsidR="009F4F23" w:rsidRDefault="009F4F23" w:rsidP="009F4F23">
      <w:pPr>
        <w:rPr>
          <w:lang w:val="en"/>
        </w:rPr>
      </w:pPr>
      <w:r w:rsidRPr="005F6C24">
        <w:rPr>
          <w:lang w:val="en"/>
        </w:rPr>
        <w:t xml:space="preserve">An endpoint is a mapping of a public </w:t>
      </w:r>
      <w:r>
        <w:rPr>
          <w:lang w:val="en"/>
        </w:rPr>
        <w:t>IP</w:t>
      </w:r>
      <w:r w:rsidRPr="005F6C24">
        <w:rPr>
          <w:lang w:val="en"/>
        </w:rPr>
        <w:t xml:space="preserve"> address and port to that private </w:t>
      </w:r>
      <w:r>
        <w:rPr>
          <w:lang w:val="en"/>
        </w:rPr>
        <w:t>IP</w:t>
      </w:r>
      <w:r w:rsidRPr="005F6C24">
        <w:rPr>
          <w:lang w:val="en"/>
        </w:rPr>
        <w:t xml:space="preserve"> address and port of a virtual machine or web role within a</w:t>
      </w:r>
      <w:r>
        <w:rPr>
          <w:lang w:val="en"/>
        </w:rPr>
        <w:t>n</w:t>
      </w:r>
      <w:r w:rsidRPr="005F6C24">
        <w:rPr>
          <w:lang w:val="en"/>
        </w:rPr>
        <w:t xml:space="preserve"> Azure cloud service.</w:t>
      </w:r>
      <w:r>
        <w:rPr>
          <w:lang w:val="en"/>
        </w:rPr>
        <w:t xml:space="preserve"> </w:t>
      </w:r>
      <w:r w:rsidRPr="005F6C24">
        <w:rPr>
          <w:lang w:val="en"/>
        </w:rPr>
        <w:t xml:space="preserve">The Azure Load Balancer randomly distributes a specific type of incoming traffic across multiple virtual machines or services in a configuration known as a </w:t>
      </w:r>
      <w:r w:rsidRPr="00431AD6">
        <w:rPr>
          <w:i/>
          <w:lang w:val="en"/>
        </w:rPr>
        <w:t>load-balanced set</w:t>
      </w:r>
      <w:r w:rsidRPr="005F6C24">
        <w:rPr>
          <w:lang w:val="en"/>
        </w:rPr>
        <w:t xml:space="preserve">. </w:t>
      </w:r>
    </w:p>
    <w:p w14:paraId="3E37E066" w14:textId="1B46AC0D" w:rsidR="00D53A7A" w:rsidRPr="005F6C24" w:rsidRDefault="009F4F23" w:rsidP="009F4F23">
      <w:pPr>
        <w:rPr>
          <w:lang w:val="en"/>
        </w:rPr>
      </w:pPr>
      <w:r w:rsidRPr="005F6C24">
        <w:rPr>
          <w:lang w:val="en"/>
        </w:rPr>
        <w:t xml:space="preserve">The following </w:t>
      </w:r>
      <w:r>
        <w:rPr>
          <w:lang w:val="en"/>
        </w:rPr>
        <w:t>image</w:t>
      </w:r>
      <w:r w:rsidRPr="005F6C24">
        <w:rPr>
          <w:lang w:val="en"/>
        </w:rPr>
        <w:t xml:space="preserve"> shows a load-balanced endpoint for standard (unencrypted) web traffic that is shared among three virtual machines for the public and private TCP port of</w:t>
      </w:r>
      <w:r>
        <w:rPr>
          <w:lang w:val="en"/>
        </w:rPr>
        <w:t> 8</w:t>
      </w:r>
      <w:r w:rsidRPr="005F6C24">
        <w:rPr>
          <w:lang w:val="en"/>
        </w:rPr>
        <w:t>0. These three virtual machines are</w:t>
      </w:r>
      <w:r>
        <w:rPr>
          <w:lang w:val="en"/>
        </w:rPr>
        <w:t xml:space="preserve"> configured</w:t>
      </w:r>
      <w:r w:rsidRPr="005F6C24">
        <w:rPr>
          <w:lang w:val="en"/>
        </w:rPr>
        <w:t xml:space="preserve"> in a load-balanced set</w:t>
      </w:r>
      <w:r w:rsidR="00D53A7A" w:rsidRPr="005F6C24">
        <w:rPr>
          <w:lang w:val="en"/>
        </w:rPr>
        <w:t>.</w:t>
      </w:r>
    </w:p>
    <w:p w14:paraId="6094DEA8" w14:textId="77777777" w:rsidR="00EF29E8" w:rsidRPr="005F6C24" w:rsidRDefault="00EF29E8" w:rsidP="00D53A7A">
      <w:pPr>
        <w:rPr>
          <w:lang w:val="en"/>
        </w:rPr>
      </w:pPr>
    </w:p>
    <w:p w14:paraId="00A86C6B" w14:textId="77777777" w:rsidR="00D53A7A" w:rsidRPr="005F6C24" w:rsidRDefault="00D53A7A" w:rsidP="00606CE5">
      <w:pPr>
        <w:jc w:val="center"/>
        <w:rPr>
          <w:lang w:val="en"/>
        </w:rPr>
      </w:pPr>
      <w:r w:rsidRPr="005F6C24">
        <w:rPr>
          <w:noProof/>
        </w:rPr>
        <w:drawing>
          <wp:inline distT="0" distB="0" distL="0" distR="0" wp14:anchorId="362DE9BB" wp14:editId="2861DCAF">
            <wp:extent cx="2933700" cy="2293620"/>
            <wp:effectExtent l="0" t="0" r="0" b="0"/>
            <wp:docPr id="1546650225" name="Picture 1546650225" descr="loadbalan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loadbalancing"/>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935954" cy="2295382"/>
                    </a:xfrm>
                    <a:prstGeom prst="rect">
                      <a:avLst/>
                    </a:prstGeom>
                    <a:noFill/>
                    <a:ln>
                      <a:noFill/>
                    </a:ln>
                  </pic:spPr>
                </pic:pic>
              </a:graphicData>
            </a:graphic>
          </wp:inline>
        </w:drawing>
      </w:r>
    </w:p>
    <w:p w14:paraId="302C22A8" w14:textId="77777777" w:rsidR="00EF29E8" w:rsidRPr="005F6C24" w:rsidRDefault="00EF29E8" w:rsidP="00606CE5">
      <w:pPr>
        <w:jc w:val="center"/>
        <w:rPr>
          <w:lang w:val="en"/>
        </w:rPr>
      </w:pPr>
    </w:p>
    <w:p w14:paraId="79723DBB" w14:textId="30EE7739" w:rsidR="005C6916" w:rsidRDefault="005C6916" w:rsidP="00D53A7A">
      <w:pPr>
        <w:rPr>
          <w:lang w:val="en"/>
        </w:rPr>
      </w:pPr>
      <w:r>
        <w:rPr>
          <w:lang w:val="en"/>
        </w:rPr>
        <w:t>By</w:t>
      </w:r>
      <w:r w:rsidR="009F4F23">
        <w:rPr>
          <w:lang w:val="en"/>
        </w:rPr>
        <w:t xml:space="preserve"> default, a cloud service has a single public facing virtual IP (VIP) address that is assigned an IP address from the Azure IPv4 public address space. Each endpoint uses the VIP for the address component and a unique port. It is possible to add additional public facing VIPs to a cloud service load balancer to support the ability to have endpoints with different IP addresses but the same port</w:t>
      </w:r>
      <w:r w:rsidR="005A548C">
        <w:rPr>
          <w:lang w:val="en"/>
        </w:rPr>
        <w:t>.</w:t>
      </w:r>
    </w:p>
    <w:p w14:paraId="5552C6F6" w14:textId="27889E64" w:rsidR="005A548C" w:rsidRDefault="005A548C" w:rsidP="00D53A7A">
      <w:pPr>
        <w:rPr>
          <w:lang w:val="en"/>
        </w:rPr>
      </w:pPr>
      <w:r>
        <w:rPr>
          <w:noProof/>
        </w:rPr>
        <w:drawing>
          <wp:inline distT="0" distB="0" distL="0" distR="0" wp14:anchorId="7AB7B209" wp14:editId="4D5BDC45">
            <wp:extent cx="5943600" cy="2540449"/>
            <wp:effectExtent l="0" t="0" r="0" b="0"/>
            <wp:docPr id="1252047297" name="Picture 1252047297" descr="Multi VIP SSL scen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Multi VIP SSL scenario"/>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943600" cy="2540449"/>
                    </a:xfrm>
                    <a:prstGeom prst="rect">
                      <a:avLst/>
                    </a:prstGeom>
                    <a:noFill/>
                    <a:ln>
                      <a:noFill/>
                    </a:ln>
                  </pic:spPr>
                </pic:pic>
              </a:graphicData>
            </a:graphic>
          </wp:inline>
        </w:drawing>
      </w:r>
    </w:p>
    <w:p w14:paraId="298A44AC" w14:textId="0F278BE9" w:rsidR="009F4F23" w:rsidRPr="005F6C24" w:rsidRDefault="00D53A7A" w:rsidP="009F4F23">
      <w:pPr>
        <w:rPr>
          <w:lang w:val="en"/>
        </w:rPr>
      </w:pPr>
      <w:r w:rsidRPr="005F6C24">
        <w:rPr>
          <w:lang w:val="en"/>
        </w:rPr>
        <w:t>Azure</w:t>
      </w:r>
      <w:r w:rsidR="009F4F23" w:rsidRPr="005F6C24">
        <w:rPr>
          <w:lang w:val="en"/>
        </w:rPr>
        <w:t xml:space="preserve"> can also load balance within a cloud service or virtual network</w:t>
      </w:r>
      <w:r w:rsidR="009F4F23">
        <w:rPr>
          <w:lang w:val="en"/>
        </w:rPr>
        <w:t xml:space="preserve"> by using the internal load balancer. The i</w:t>
      </w:r>
      <w:r w:rsidR="009F4F23" w:rsidRPr="005F6C24">
        <w:rPr>
          <w:lang w:val="en"/>
        </w:rPr>
        <w:t>nternal load balanc</w:t>
      </w:r>
      <w:r w:rsidR="009F4F23">
        <w:rPr>
          <w:lang w:val="en"/>
        </w:rPr>
        <w:t>er</w:t>
      </w:r>
      <w:r w:rsidR="009F4F23" w:rsidRPr="005F6C24">
        <w:rPr>
          <w:lang w:val="en"/>
        </w:rPr>
        <w:t xml:space="preserve"> can be used in the following ways:</w:t>
      </w:r>
    </w:p>
    <w:p w14:paraId="387942A4" w14:textId="77777777" w:rsidR="009F4F23" w:rsidRPr="005F6C24" w:rsidRDefault="009F4F23" w:rsidP="005729D2">
      <w:pPr>
        <w:numPr>
          <w:ilvl w:val="0"/>
          <w:numId w:val="63"/>
        </w:numPr>
        <w:rPr>
          <w:lang w:val="en"/>
        </w:rPr>
      </w:pPr>
      <w:r w:rsidRPr="005F6C24">
        <w:rPr>
          <w:lang w:val="en"/>
        </w:rPr>
        <w:t>To balance load</w:t>
      </w:r>
      <w:r>
        <w:rPr>
          <w:lang w:val="en"/>
        </w:rPr>
        <w:t>s</w:t>
      </w:r>
      <w:r w:rsidRPr="005F6C24">
        <w:rPr>
          <w:lang w:val="en"/>
        </w:rPr>
        <w:t xml:space="preserve"> between servers in different tiers of a multitier application (for example, between web and database tiers).</w:t>
      </w:r>
    </w:p>
    <w:p w14:paraId="1EFE6459" w14:textId="77777777" w:rsidR="009F4F23" w:rsidRPr="005F6C24" w:rsidRDefault="009F4F23" w:rsidP="005729D2">
      <w:pPr>
        <w:numPr>
          <w:ilvl w:val="0"/>
          <w:numId w:val="63"/>
        </w:numPr>
        <w:rPr>
          <w:lang w:val="en"/>
        </w:rPr>
      </w:pPr>
      <w:r>
        <w:rPr>
          <w:lang w:val="en"/>
        </w:rPr>
        <w:t>To balance l</w:t>
      </w:r>
      <w:r w:rsidRPr="005F6C24">
        <w:rPr>
          <w:lang w:val="en"/>
        </w:rPr>
        <w:t>oad</w:t>
      </w:r>
      <w:r>
        <w:rPr>
          <w:lang w:val="en"/>
        </w:rPr>
        <w:t>s</w:t>
      </w:r>
      <w:r w:rsidRPr="005F6C24">
        <w:rPr>
          <w:lang w:val="en"/>
        </w:rPr>
        <w:t xml:space="preserve"> for line-of-business (LOB) applications hosted in Azure without requiring additional load</w:t>
      </w:r>
      <w:r>
        <w:rPr>
          <w:lang w:val="en"/>
        </w:rPr>
        <w:t>-</w:t>
      </w:r>
      <w:r w:rsidRPr="005F6C24">
        <w:rPr>
          <w:lang w:val="en"/>
        </w:rPr>
        <w:t xml:space="preserve">balancer hardware or software. </w:t>
      </w:r>
    </w:p>
    <w:p w14:paraId="205C6AD9" w14:textId="77777777" w:rsidR="009F4F23" w:rsidRPr="005F6C24" w:rsidRDefault="009F4F23" w:rsidP="005729D2">
      <w:pPr>
        <w:numPr>
          <w:ilvl w:val="0"/>
          <w:numId w:val="63"/>
        </w:numPr>
        <w:rPr>
          <w:lang w:val="en"/>
        </w:rPr>
      </w:pPr>
      <w:r>
        <w:rPr>
          <w:lang w:val="en"/>
        </w:rPr>
        <w:t>To i</w:t>
      </w:r>
      <w:r w:rsidRPr="005F6C24">
        <w:rPr>
          <w:lang w:val="en"/>
        </w:rPr>
        <w:t>nclud</w:t>
      </w:r>
      <w:r>
        <w:rPr>
          <w:lang w:val="en"/>
        </w:rPr>
        <w:t>e</w:t>
      </w:r>
      <w:r w:rsidRPr="005F6C24">
        <w:rPr>
          <w:lang w:val="en"/>
        </w:rPr>
        <w:t xml:space="preserve"> on-premises servers in the set of computers </w:t>
      </w:r>
      <w:r>
        <w:rPr>
          <w:lang w:val="en"/>
        </w:rPr>
        <w:t>with</w:t>
      </w:r>
      <w:r w:rsidRPr="005F6C24">
        <w:rPr>
          <w:lang w:val="en"/>
        </w:rPr>
        <w:t xml:space="preserve"> traffic that is load balanced.</w:t>
      </w:r>
    </w:p>
    <w:p w14:paraId="147BC95F" w14:textId="77777777" w:rsidR="009F4F23" w:rsidRPr="005F6C24" w:rsidRDefault="009F4F23" w:rsidP="009F4F23">
      <w:pPr>
        <w:rPr>
          <w:lang w:val="en"/>
        </w:rPr>
      </w:pPr>
      <w:r>
        <w:rPr>
          <w:lang w:val="en"/>
        </w:rPr>
        <w:t>I</w:t>
      </w:r>
      <w:r w:rsidRPr="005F6C24">
        <w:rPr>
          <w:lang w:val="en"/>
        </w:rPr>
        <w:t>nternal load balancing is</w:t>
      </w:r>
      <w:r>
        <w:rPr>
          <w:lang w:val="en"/>
        </w:rPr>
        <w:t xml:space="preserve"> also</w:t>
      </w:r>
      <w:r w:rsidRPr="005F6C24">
        <w:rPr>
          <w:lang w:val="en"/>
        </w:rPr>
        <w:t xml:space="preserve"> facilitated by configuring an internal load-balanced set. </w:t>
      </w:r>
    </w:p>
    <w:p w14:paraId="076C8797" w14:textId="6BE90060" w:rsidR="00D53A7A" w:rsidRPr="005F6C24" w:rsidRDefault="009F4F23" w:rsidP="009F4F23">
      <w:pPr>
        <w:rPr>
          <w:lang w:val="en"/>
        </w:rPr>
      </w:pPr>
      <w:r w:rsidRPr="005F6C24">
        <w:rPr>
          <w:lang w:val="en"/>
        </w:rPr>
        <w:t>The following figure shows an example of an internal load-balanced endpoint for a</w:t>
      </w:r>
      <w:r>
        <w:rPr>
          <w:lang w:val="en"/>
        </w:rPr>
        <w:t>n</w:t>
      </w:r>
      <w:r w:rsidRPr="005F6C24">
        <w:rPr>
          <w:lang w:val="en"/>
        </w:rPr>
        <w:t xml:space="preserve"> LOB application that is shared among three virtual machines in a cross-premises virtual network</w:t>
      </w:r>
      <w:r w:rsidR="00D53A7A" w:rsidRPr="005F6C24">
        <w:rPr>
          <w:lang w:val="en"/>
        </w:rPr>
        <w:t xml:space="preserve">. </w:t>
      </w:r>
    </w:p>
    <w:p w14:paraId="699A69AB" w14:textId="77777777" w:rsidR="00D53A7A" w:rsidRPr="005F6C24" w:rsidRDefault="00D53A7A" w:rsidP="00606CE5">
      <w:pPr>
        <w:jc w:val="center"/>
        <w:rPr>
          <w:lang w:val="en"/>
        </w:rPr>
      </w:pPr>
      <w:r w:rsidRPr="005F6C24">
        <w:rPr>
          <w:noProof/>
        </w:rPr>
        <w:drawing>
          <wp:inline distT="0" distB="0" distL="0" distR="0" wp14:anchorId="4F961875" wp14:editId="581E33D5">
            <wp:extent cx="5172075" cy="2126890"/>
            <wp:effectExtent l="0" t="0" r="0" b="6985"/>
            <wp:docPr id="1546650228" name="Picture 1546650228" descr="loadbalan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loadbalancing"/>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184221" cy="2131885"/>
                    </a:xfrm>
                    <a:prstGeom prst="rect">
                      <a:avLst/>
                    </a:prstGeom>
                    <a:noFill/>
                    <a:ln>
                      <a:noFill/>
                    </a:ln>
                  </pic:spPr>
                </pic:pic>
              </a:graphicData>
            </a:graphic>
          </wp:inline>
        </w:drawing>
      </w:r>
    </w:p>
    <w:p w14:paraId="38E0673C" w14:textId="32B68605" w:rsidR="005A548C" w:rsidRDefault="005A548C" w:rsidP="005A548C">
      <w:pPr>
        <w:rPr>
          <w:lang w:val="en"/>
        </w:rPr>
      </w:pPr>
      <w:bookmarkStart w:id="3177" w:name="_Toc418080721"/>
      <w:bookmarkStart w:id="3178" w:name="_Toc418081890"/>
      <w:bookmarkStart w:id="3179" w:name="_Toc418083293"/>
      <w:bookmarkStart w:id="3180" w:name="_Toc418095517"/>
      <w:bookmarkStart w:id="3181" w:name="_Toc418156687"/>
      <w:bookmarkStart w:id="3182" w:name="_Toc418167606"/>
      <w:bookmarkStart w:id="3183" w:name="_Toc418185863"/>
      <w:bookmarkStart w:id="3184" w:name="_Toc422941573"/>
      <w:bookmarkStart w:id="3185" w:name="_Toc423116779"/>
    </w:p>
    <w:tbl>
      <w:tblPr>
        <w:tblStyle w:val="PlainTable11"/>
        <w:tblW w:w="0" w:type="auto"/>
        <w:tblLook w:val="04A0" w:firstRow="1" w:lastRow="0" w:firstColumn="1" w:lastColumn="0" w:noHBand="0" w:noVBand="1"/>
      </w:tblPr>
      <w:tblGrid>
        <w:gridCol w:w="2528"/>
        <w:gridCol w:w="6822"/>
      </w:tblGrid>
      <w:tr w:rsidR="005A548C" w14:paraId="393A9792" w14:textId="77777777" w:rsidTr="005A54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2"/>
            <w:shd w:val="clear" w:color="auto" w:fill="808080" w:themeFill="background1" w:themeFillShade="80"/>
            <w:hideMark/>
          </w:tcPr>
          <w:p w14:paraId="73B9C800" w14:textId="77777777" w:rsidR="005A548C" w:rsidRDefault="005A548C" w:rsidP="005A548C">
            <w:pPr>
              <w:spacing w:line="240" w:lineRule="auto"/>
              <w:rPr>
                <w:color w:val="FFFFFF"/>
              </w:rPr>
            </w:pPr>
            <w:r>
              <w:rPr>
                <w:color w:val="FFFFFF"/>
              </w:rPr>
              <w:t>Feature References</w:t>
            </w:r>
          </w:p>
        </w:tc>
      </w:tr>
      <w:tr w:rsidR="005A548C" w14:paraId="0F7ED1E1" w14:textId="77777777" w:rsidTr="005A54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895D68C" w14:textId="0F466029" w:rsidR="005A548C" w:rsidRDefault="005A548C" w:rsidP="005A548C">
            <w:pPr>
              <w:spacing w:line="240" w:lineRule="auto"/>
              <w:rPr>
                <w:sz w:val="20"/>
                <w:szCs w:val="20"/>
              </w:rPr>
            </w:pPr>
            <w:r>
              <w:rPr>
                <w:sz w:val="20"/>
                <w:szCs w:val="20"/>
              </w:rPr>
              <w:t>Cloud Services</w:t>
            </w:r>
          </w:p>
        </w:tc>
        <w:tc>
          <w:tcPr>
            <w:tcW w:w="0" w:type="auto"/>
          </w:tcPr>
          <w:p w14:paraId="47547E51" w14:textId="5443DF5D" w:rsidR="005A548C" w:rsidRPr="005A548C" w:rsidRDefault="00872E47" w:rsidP="005A548C">
            <w:pPr>
              <w:cnfStyle w:val="000000100000" w:firstRow="0" w:lastRow="0" w:firstColumn="0" w:lastColumn="0" w:oddVBand="0" w:evenVBand="0" w:oddHBand="1" w:evenHBand="0" w:firstRowFirstColumn="0" w:firstRowLastColumn="0" w:lastRowFirstColumn="0" w:lastRowLastColumn="0"/>
              <w:rPr>
                <w:sz w:val="20"/>
                <w:szCs w:val="20"/>
              </w:rPr>
            </w:pPr>
            <w:hyperlink r:id="rId263" w:history="1">
              <w:r w:rsidR="00675AFE" w:rsidRPr="00A71918">
                <w:rPr>
                  <w:rStyle w:val="Hyperlink"/>
                  <w:sz w:val="20"/>
                  <w:szCs w:val="20"/>
                </w:rPr>
                <w:t>https://azure.microsoft.com/en-us/documentation/services/cloud-services/</w:t>
              </w:r>
            </w:hyperlink>
            <w:r w:rsidR="00675AFE">
              <w:rPr>
                <w:sz w:val="20"/>
                <w:szCs w:val="20"/>
              </w:rPr>
              <w:t xml:space="preserve"> </w:t>
            </w:r>
          </w:p>
        </w:tc>
      </w:tr>
      <w:tr w:rsidR="005A548C" w14:paraId="6CB0017D" w14:textId="77777777" w:rsidTr="005A548C">
        <w:tc>
          <w:tcPr>
            <w:cnfStyle w:val="001000000000" w:firstRow="0" w:lastRow="0" w:firstColumn="1" w:lastColumn="0" w:oddVBand="0" w:evenVBand="0" w:oddHBand="0" w:evenHBand="0" w:firstRowFirstColumn="0" w:firstRowLastColumn="0" w:lastRowFirstColumn="0" w:lastRowLastColumn="0"/>
            <w:tcW w:w="0" w:type="auto"/>
          </w:tcPr>
          <w:p w14:paraId="17D5815A" w14:textId="37A60499" w:rsidR="005A548C" w:rsidRPr="000D0DAD" w:rsidRDefault="005A548C" w:rsidP="005A548C">
            <w:pPr>
              <w:spacing w:line="240" w:lineRule="auto"/>
              <w:rPr>
                <w:sz w:val="20"/>
                <w:szCs w:val="20"/>
              </w:rPr>
            </w:pPr>
            <w:r>
              <w:rPr>
                <w:sz w:val="20"/>
                <w:szCs w:val="20"/>
              </w:rPr>
              <w:t>Multiple VIPs per Cloud Service</w:t>
            </w:r>
          </w:p>
        </w:tc>
        <w:tc>
          <w:tcPr>
            <w:tcW w:w="0" w:type="auto"/>
          </w:tcPr>
          <w:p w14:paraId="74D00DD8" w14:textId="4945EEC2" w:rsidR="005A548C" w:rsidRPr="000D0DAD" w:rsidRDefault="00872E47" w:rsidP="005A548C">
            <w:pPr>
              <w:cnfStyle w:val="000000000000" w:firstRow="0" w:lastRow="0" w:firstColumn="0" w:lastColumn="0" w:oddVBand="0" w:evenVBand="0" w:oddHBand="0" w:evenHBand="0" w:firstRowFirstColumn="0" w:firstRowLastColumn="0" w:lastRowFirstColumn="0" w:lastRowLastColumn="0"/>
              <w:rPr>
                <w:sz w:val="20"/>
                <w:szCs w:val="20"/>
              </w:rPr>
            </w:pPr>
            <w:hyperlink r:id="rId264" w:history="1">
              <w:r w:rsidR="005A548C" w:rsidRPr="001E1BA4">
                <w:rPr>
                  <w:rStyle w:val="Hyperlink"/>
                  <w:sz w:val="20"/>
                  <w:szCs w:val="20"/>
                </w:rPr>
                <w:t>https://azure.microsoft.com/en-us/documentation/articles/load-balancer-multivip/</w:t>
              </w:r>
            </w:hyperlink>
          </w:p>
        </w:tc>
      </w:tr>
      <w:tr w:rsidR="005A548C" w14:paraId="69322DE1" w14:textId="77777777" w:rsidTr="005A54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9D4B541" w14:textId="451705B4" w:rsidR="005A548C" w:rsidRDefault="005A548C" w:rsidP="005A548C">
            <w:pPr>
              <w:spacing w:line="240" w:lineRule="auto"/>
              <w:rPr>
                <w:sz w:val="20"/>
                <w:szCs w:val="20"/>
              </w:rPr>
            </w:pPr>
            <w:r>
              <w:rPr>
                <w:sz w:val="20"/>
                <w:szCs w:val="20"/>
              </w:rPr>
              <w:t>Azure Load Balancer</w:t>
            </w:r>
          </w:p>
        </w:tc>
        <w:tc>
          <w:tcPr>
            <w:tcW w:w="0" w:type="auto"/>
          </w:tcPr>
          <w:p w14:paraId="503A5741" w14:textId="336342E7" w:rsidR="005A548C" w:rsidRPr="005A548C" w:rsidRDefault="00872E47" w:rsidP="005A548C">
            <w:pPr>
              <w:cnfStyle w:val="000000100000" w:firstRow="0" w:lastRow="0" w:firstColumn="0" w:lastColumn="0" w:oddVBand="0" w:evenVBand="0" w:oddHBand="1" w:evenHBand="0" w:firstRowFirstColumn="0" w:firstRowLastColumn="0" w:lastRowFirstColumn="0" w:lastRowLastColumn="0"/>
              <w:rPr>
                <w:sz w:val="20"/>
                <w:szCs w:val="20"/>
              </w:rPr>
            </w:pPr>
            <w:hyperlink r:id="rId265" w:history="1">
              <w:r w:rsidR="00675AFE" w:rsidRPr="00A71918">
                <w:rPr>
                  <w:rStyle w:val="Hyperlink"/>
                  <w:sz w:val="20"/>
                  <w:szCs w:val="20"/>
                </w:rPr>
                <w:t>https://azure.microsoft.com/en-us/documentation/articles/load-balancer-internet-overview/</w:t>
              </w:r>
            </w:hyperlink>
            <w:r w:rsidR="00675AFE">
              <w:rPr>
                <w:sz w:val="20"/>
                <w:szCs w:val="20"/>
              </w:rPr>
              <w:t xml:space="preserve"> </w:t>
            </w:r>
          </w:p>
        </w:tc>
      </w:tr>
      <w:tr w:rsidR="005A548C" w14:paraId="2A24B878" w14:textId="77777777" w:rsidTr="005A548C">
        <w:tc>
          <w:tcPr>
            <w:cnfStyle w:val="001000000000" w:firstRow="0" w:lastRow="0" w:firstColumn="1" w:lastColumn="0" w:oddVBand="0" w:evenVBand="0" w:oddHBand="0" w:evenHBand="0" w:firstRowFirstColumn="0" w:firstRowLastColumn="0" w:lastRowFirstColumn="0" w:lastRowLastColumn="0"/>
            <w:tcW w:w="0" w:type="auto"/>
          </w:tcPr>
          <w:p w14:paraId="43058EFC" w14:textId="5DC58CEA" w:rsidR="005A548C" w:rsidRDefault="005A548C" w:rsidP="005A548C">
            <w:pPr>
              <w:spacing w:line="240" w:lineRule="auto"/>
              <w:rPr>
                <w:sz w:val="20"/>
                <w:szCs w:val="20"/>
              </w:rPr>
            </w:pPr>
            <w:r>
              <w:rPr>
                <w:sz w:val="20"/>
                <w:szCs w:val="20"/>
              </w:rPr>
              <w:t>Internal Load Balancer</w:t>
            </w:r>
          </w:p>
        </w:tc>
        <w:tc>
          <w:tcPr>
            <w:tcW w:w="0" w:type="auto"/>
          </w:tcPr>
          <w:p w14:paraId="474B2DB1" w14:textId="2C052ED8" w:rsidR="005A548C" w:rsidRDefault="00872E47" w:rsidP="005A548C">
            <w:pPr>
              <w:cnfStyle w:val="000000000000" w:firstRow="0" w:lastRow="0" w:firstColumn="0" w:lastColumn="0" w:oddVBand="0" w:evenVBand="0" w:oddHBand="0" w:evenHBand="0" w:firstRowFirstColumn="0" w:firstRowLastColumn="0" w:lastRowFirstColumn="0" w:lastRowLastColumn="0"/>
              <w:rPr>
                <w:sz w:val="20"/>
                <w:szCs w:val="20"/>
              </w:rPr>
            </w:pPr>
            <w:hyperlink r:id="rId266" w:history="1">
              <w:r w:rsidR="00675AFE" w:rsidRPr="00A71918">
                <w:rPr>
                  <w:rStyle w:val="Hyperlink"/>
                  <w:sz w:val="20"/>
                  <w:szCs w:val="20"/>
                </w:rPr>
                <w:t>https://azure.microsoft.com/en-us/documentation/articles/load-balancer-internal-overview/</w:t>
              </w:r>
            </w:hyperlink>
            <w:r w:rsidR="00675AFE">
              <w:rPr>
                <w:sz w:val="20"/>
                <w:szCs w:val="20"/>
              </w:rPr>
              <w:t xml:space="preserve"> </w:t>
            </w:r>
          </w:p>
        </w:tc>
      </w:tr>
    </w:tbl>
    <w:p w14:paraId="41569C49" w14:textId="77777777" w:rsidR="005A548C" w:rsidRPr="005F6C24" w:rsidRDefault="005A548C" w:rsidP="005A548C">
      <w:pPr>
        <w:rPr>
          <w:lang w:val="en"/>
        </w:rPr>
      </w:pPr>
    </w:p>
    <w:p w14:paraId="305DDA5A" w14:textId="77777777" w:rsidR="00D53A7A" w:rsidRPr="002B19E2" w:rsidRDefault="00D53A7A" w:rsidP="005729D2">
      <w:pPr>
        <w:pStyle w:val="Heading2Numbered"/>
        <w:numPr>
          <w:ilvl w:val="1"/>
          <w:numId w:val="64"/>
        </w:numPr>
      </w:pPr>
      <w:bookmarkStart w:id="3186" w:name="_Toc423117812"/>
      <w:bookmarkStart w:id="3187" w:name="_Toc423117262"/>
      <w:bookmarkStart w:id="3188" w:name="_Toc431288854"/>
      <w:r w:rsidRPr="002B19E2">
        <w:t>Azure RemoteApp</w:t>
      </w:r>
      <w:bookmarkEnd w:id="3177"/>
      <w:bookmarkEnd w:id="3178"/>
      <w:bookmarkEnd w:id="3179"/>
      <w:bookmarkEnd w:id="3180"/>
      <w:bookmarkEnd w:id="3181"/>
      <w:bookmarkEnd w:id="3182"/>
      <w:bookmarkEnd w:id="3183"/>
      <w:bookmarkEnd w:id="3184"/>
      <w:bookmarkEnd w:id="3185"/>
      <w:bookmarkEnd w:id="3186"/>
      <w:bookmarkEnd w:id="3187"/>
      <w:bookmarkEnd w:id="3188"/>
    </w:p>
    <w:p w14:paraId="4A828A41" w14:textId="176618FD" w:rsidR="009F4F23" w:rsidRDefault="00D53A7A" w:rsidP="009F4F23">
      <w:pPr>
        <w:rPr>
          <w:rFonts w:eastAsia="Calibri"/>
          <w:lang w:val="en"/>
        </w:rPr>
      </w:pPr>
      <w:r w:rsidRPr="12674EE7">
        <w:rPr>
          <w:rFonts w:eastAsia="Calibri"/>
          <w:lang w:val="en"/>
        </w:rPr>
        <w:t>Azure</w:t>
      </w:r>
      <w:r w:rsidR="009F4F23" w:rsidRPr="12674EE7">
        <w:rPr>
          <w:rFonts w:eastAsia="Calibri"/>
          <w:lang w:val="en"/>
        </w:rPr>
        <w:t xml:space="preserve"> RemoteApp is a </w:t>
      </w:r>
      <w:r w:rsidR="009F4F23">
        <w:rPr>
          <w:rFonts w:eastAsia="Calibri"/>
          <w:lang w:val="en"/>
        </w:rPr>
        <w:t xml:space="preserve">service that runs </w:t>
      </w:r>
      <w:r w:rsidR="009F4F23" w:rsidRPr="12674EE7">
        <w:rPr>
          <w:rFonts w:eastAsia="Calibri"/>
          <w:lang w:val="en"/>
        </w:rPr>
        <w:t>on Microsoft’s Azure fabric</w:t>
      </w:r>
      <w:r w:rsidR="009F4F23">
        <w:rPr>
          <w:rFonts w:eastAsia="Calibri"/>
          <w:lang w:val="en"/>
        </w:rPr>
        <w:t>.</w:t>
      </w:r>
      <w:r w:rsidR="009F4F23" w:rsidRPr="12674EE7">
        <w:rPr>
          <w:rFonts w:eastAsia="Calibri"/>
          <w:lang w:val="en"/>
        </w:rPr>
        <w:t xml:space="preserve"> </w:t>
      </w:r>
      <w:r w:rsidR="009F4F23">
        <w:rPr>
          <w:rFonts w:eastAsia="Calibri"/>
          <w:lang w:val="en"/>
        </w:rPr>
        <w:t xml:space="preserve">It </w:t>
      </w:r>
      <w:r w:rsidR="009F4F23" w:rsidRPr="12674EE7">
        <w:rPr>
          <w:rFonts w:eastAsia="Calibri"/>
          <w:lang w:val="en"/>
        </w:rPr>
        <w:t>provid</w:t>
      </w:r>
      <w:r w:rsidR="009F4F23">
        <w:rPr>
          <w:rFonts w:eastAsia="Calibri"/>
          <w:lang w:val="en"/>
        </w:rPr>
        <w:t>es</w:t>
      </w:r>
      <w:r w:rsidR="009F4F23" w:rsidRPr="12674EE7">
        <w:rPr>
          <w:rFonts w:eastAsia="Calibri"/>
          <w:lang w:val="en"/>
        </w:rPr>
        <w:t xml:space="preserve"> an environment for Windows applications to be remotely accessed over the Internet.</w:t>
      </w:r>
      <w:r w:rsidR="009F4F23">
        <w:rPr>
          <w:rFonts w:eastAsia="Calibri"/>
          <w:lang w:val="en"/>
        </w:rPr>
        <w:t xml:space="preserve"> </w:t>
      </w:r>
      <w:r w:rsidR="009F4F23" w:rsidRPr="12674EE7">
        <w:rPr>
          <w:rFonts w:eastAsia="Calibri"/>
          <w:lang w:val="en"/>
        </w:rPr>
        <w:t>This environment is scalable to accommodate the end-user demand.</w:t>
      </w:r>
      <w:r w:rsidR="009F4F23">
        <w:rPr>
          <w:rFonts w:eastAsia="Calibri"/>
          <w:lang w:val="en"/>
        </w:rPr>
        <w:t xml:space="preserve"> </w:t>
      </w:r>
    </w:p>
    <w:p w14:paraId="0CFEBD0E" w14:textId="77777777" w:rsidR="009F4F23" w:rsidRDefault="009F4F23" w:rsidP="009F4F23">
      <w:pPr>
        <w:rPr>
          <w:rFonts w:eastAsia="Calibri"/>
          <w:lang w:val="en"/>
        </w:rPr>
      </w:pPr>
      <w:r w:rsidRPr="12674EE7">
        <w:rPr>
          <w:rFonts w:eastAsia="Calibri"/>
          <w:lang w:val="en"/>
        </w:rPr>
        <w:t>Azure RemoteApp technology expands on the native Windows on-premises service to provide a secure remote connection to applications hosted in Azure.</w:t>
      </w:r>
      <w:r>
        <w:rPr>
          <w:rFonts w:eastAsia="Calibri"/>
          <w:lang w:val="en"/>
        </w:rPr>
        <w:t xml:space="preserve"> </w:t>
      </w:r>
      <w:r w:rsidRPr="12674EE7">
        <w:rPr>
          <w:rFonts w:eastAsia="Calibri"/>
          <w:lang w:val="en"/>
        </w:rPr>
        <w:t>Azure RemoteApp enables remote LOB applications to appear like they are running on the end user's local computer.</w:t>
      </w:r>
      <w:r>
        <w:rPr>
          <w:rFonts w:eastAsia="Calibri"/>
          <w:lang w:val="en"/>
        </w:rPr>
        <w:t xml:space="preserve"> </w:t>
      </w:r>
    </w:p>
    <w:p w14:paraId="23A76E12" w14:textId="77777777" w:rsidR="009F4F23" w:rsidRDefault="009F4F23" w:rsidP="009F4F23">
      <w:r w:rsidRPr="12674EE7">
        <w:rPr>
          <w:rFonts w:eastAsia="Calibri"/>
          <w:lang w:val="en"/>
        </w:rPr>
        <w:t>RemoteApp uses Microsoft Remote Desktop Protocol (RDP) and RemoteFX.</w:t>
      </w:r>
      <w:r>
        <w:rPr>
          <w:rFonts w:eastAsia="Calibri"/>
          <w:lang w:val="en"/>
        </w:rPr>
        <w:t xml:space="preserve"> </w:t>
      </w:r>
      <w:r w:rsidRPr="12674EE7">
        <w:rPr>
          <w:rFonts w:eastAsia="Calibri"/>
          <w:lang w:val="en"/>
        </w:rPr>
        <w:t>RDP is a WAN optimized protocol to resist network latency and loss.</w:t>
      </w:r>
      <w:r>
        <w:rPr>
          <w:rFonts w:eastAsia="Calibri"/>
          <w:lang w:val="en"/>
        </w:rPr>
        <w:t xml:space="preserve"> </w:t>
      </w:r>
      <w:r w:rsidRPr="12674EE7">
        <w:rPr>
          <w:rFonts w:eastAsia="Calibri"/>
          <w:lang w:val="en"/>
        </w:rPr>
        <w:t>RemoteFX provides a</w:t>
      </w:r>
      <w:r>
        <w:rPr>
          <w:rFonts w:eastAsia="Calibri"/>
          <w:lang w:val="en"/>
        </w:rPr>
        <w:t> 3</w:t>
      </w:r>
      <w:r w:rsidRPr="12674EE7">
        <w:rPr>
          <w:rFonts w:eastAsia="Calibri"/>
          <w:lang w:val="en"/>
        </w:rPr>
        <w:t>D virtual adapter for rendering images.</w:t>
      </w:r>
      <w:r>
        <w:rPr>
          <w:rFonts w:eastAsia="Calibri"/>
          <w:lang w:val="en"/>
        </w:rPr>
        <w:t xml:space="preserve"> </w:t>
      </w:r>
      <w:r w:rsidRPr="12674EE7">
        <w:rPr>
          <w:rFonts w:eastAsia="Calibri"/>
          <w:lang w:val="en"/>
        </w:rPr>
        <w:t>Application delivery provides a highly reliable, fast</w:t>
      </w:r>
      <w:r>
        <w:rPr>
          <w:rFonts w:eastAsia="Calibri"/>
          <w:lang w:val="en"/>
        </w:rPr>
        <w:t>,</w:t>
      </w:r>
      <w:r w:rsidRPr="12674EE7">
        <w:rPr>
          <w:rFonts w:eastAsia="Calibri"/>
          <w:lang w:val="en"/>
        </w:rPr>
        <w:t xml:space="preserve"> and consistent user experience to support content ranging from text to the streaming of multimedia via </w:t>
      </w:r>
      <w:r>
        <w:rPr>
          <w:rFonts w:eastAsia="Calibri"/>
          <w:lang w:val="en"/>
        </w:rPr>
        <w:t xml:space="preserve">the </w:t>
      </w:r>
      <w:r w:rsidRPr="12674EE7">
        <w:rPr>
          <w:rFonts w:eastAsia="Calibri"/>
          <w:lang w:val="en"/>
        </w:rPr>
        <w:t xml:space="preserve">Azure global network of datacenters. </w:t>
      </w:r>
    </w:p>
    <w:p w14:paraId="693673EA" w14:textId="77777777" w:rsidR="009F4F23" w:rsidRDefault="009F4F23" w:rsidP="009F4F23">
      <w:pPr>
        <w:rPr>
          <w:rFonts w:eastAsia="Calibri"/>
          <w:lang w:val="en"/>
        </w:rPr>
      </w:pPr>
      <w:r w:rsidRPr="12674EE7">
        <w:rPr>
          <w:rFonts w:eastAsia="Calibri"/>
          <w:lang w:val="en"/>
        </w:rPr>
        <w:t xml:space="preserve">Azure RemoteApp is available to run from </w:t>
      </w:r>
      <w:r>
        <w:rPr>
          <w:rFonts w:eastAsia="Calibri"/>
          <w:lang w:val="en"/>
        </w:rPr>
        <w:t>the following</w:t>
      </w:r>
      <w:r w:rsidRPr="12674EE7">
        <w:rPr>
          <w:rFonts w:eastAsia="Calibri"/>
          <w:lang w:val="en"/>
        </w:rPr>
        <w:t xml:space="preserve"> supported end-user devices</w:t>
      </w:r>
      <w:r>
        <w:rPr>
          <w:rFonts w:eastAsia="Calibri"/>
          <w:lang w:val="en"/>
        </w:rPr>
        <w:t xml:space="preserve"> including:</w:t>
      </w:r>
    </w:p>
    <w:p w14:paraId="6909CDDE" w14:textId="77777777" w:rsidR="009F4F23" w:rsidRPr="00F76CD0" w:rsidRDefault="009F4F23" w:rsidP="005729D2">
      <w:pPr>
        <w:pStyle w:val="ListParagraph"/>
        <w:numPr>
          <w:ilvl w:val="0"/>
          <w:numId w:val="261"/>
        </w:numPr>
        <w:rPr>
          <w:rFonts w:eastAsia="Calibri"/>
          <w:lang w:val="en"/>
        </w:rPr>
      </w:pPr>
      <w:r w:rsidRPr="00F76CD0">
        <w:rPr>
          <w:rFonts w:eastAsia="Calibri"/>
          <w:lang w:val="en"/>
        </w:rPr>
        <w:t>Windows operating system</w:t>
      </w:r>
    </w:p>
    <w:p w14:paraId="382BB323" w14:textId="77777777" w:rsidR="009F4F23" w:rsidRPr="00F76CD0" w:rsidRDefault="009F4F23" w:rsidP="005729D2">
      <w:pPr>
        <w:pStyle w:val="ListParagraph"/>
        <w:numPr>
          <w:ilvl w:val="0"/>
          <w:numId w:val="261"/>
        </w:numPr>
        <w:rPr>
          <w:rFonts w:eastAsia="Calibri"/>
          <w:lang w:val="en"/>
        </w:rPr>
      </w:pPr>
      <w:r w:rsidRPr="00F76CD0">
        <w:rPr>
          <w:rFonts w:eastAsia="Calibri"/>
          <w:lang w:val="en"/>
        </w:rPr>
        <w:t>Windows RT</w:t>
      </w:r>
    </w:p>
    <w:p w14:paraId="7F84185B" w14:textId="77777777" w:rsidR="009F4F23" w:rsidRPr="00F76CD0" w:rsidRDefault="009F4F23" w:rsidP="005729D2">
      <w:pPr>
        <w:pStyle w:val="ListParagraph"/>
        <w:numPr>
          <w:ilvl w:val="0"/>
          <w:numId w:val="261"/>
        </w:numPr>
        <w:rPr>
          <w:rFonts w:eastAsia="Calibri"/>
          <w:lang w:val="en"/>
        </w:rPr>
      </w:pPr>
      <w:r w:rsidRPr="00F76CD0">
        <w:rPr>
          <w:rFonts w:eastAsia="Calibri"/>
          <w:lang w:val="en"/>
        </w:rPr>
        <w:t>Mac oper</w:t>
      </w:r>
      <w:r>
        <w:rPr>
          <w:rFonts w:eastAsia="Calibri"/>
          <w:lang w:val="en"/>
        </w:rPr>
        <w:t>a</w:t>
      </w:r>
      <w:r w:rsidRPr="00F76CD0">
        <w:rPr>
          <w:rFonts w:eastAsia="Calibri"/>
          <w:lang w:val="en"/>
        </w:rPr>
        <w:t>ting system</w:t>
      </w:r>
    </w:p>
    <w:p w14:paraId="09A768AD" w14:textId="7A73B6C2" w:rsidR="009F4F23" w:rsidRDefault="009F4F23" w:rsidP="005729D2">
      <w:pPr>
        <w:pStyle w:val="ListParagraph"/>
        <w:numPr>
          <w:ilvl w:val="0"/>
          <w:numId w:val="261"/>
        </w:numPr>
        <w:rPr>
          <w:rFonts w:eastAsia="Calibri"/>
          <w:lang w:val="en"/>
        </w:rPr>
      </w:pPr>
      <w:r w:rsidRPr="00F76CD0">
        <w:rPr>
          <w:rFonts w:eastAsia="Calibri"/>
          <w:lang w:val="en"/>
        </w:rPr>
        <w:t>iOS</w:t>
      </w:r>
    </w:p>
    <w:p w14:paraId="084DB7D5" w14:textId="77777777" w:rsidR="009F4F23" w:rsidRDefault="009F4F23" w:rsidP="005729D2">
      <w:pPr>
        <w:pStyle w:val="ListParagraph"/>
        <w:numPr>
          <w:ilvl w:val="0"/>
          <w:numId w:val="261"/>
        </w:numPr>
        <w:rPr>
          <w:rFonts w:eastAsia="Calibri"/>
          <w:lang w:val="en"/>
        </w:rPr>
      </w:pPr>
      <w:r w:rsidRPr="009F4F23">
        <w:rPr>
          <w:rFonts w:eastAsia="Calibri"/>
          <w:lang w:val="en"/>
        </w:rPr>
        <w:t>Android operating system</w:t>
      </w:r>
      <w:r w:rsidR="00D53A7A" w:rsidRPr="009F4F23">
        <w:rPr>
          <w:rFonts w:eastAsia="Calibri"/>
          <w:lang w:val="en"/>
        </w:rPr>
        <w:t xml:space="preserve">.   </w:t>
      </w:r>
    </w:p>
    <w:p w14:paraId="4597B0E2" w14:textId="1346C791" w:rsidR="0078523F" w:rsidRDefault="009F4F23" w:rsidP="009F4F23">
      <w:pPr>
        <w:rPr>
          <w:rFonts w:eastAsia="Calibri"/>
          <w:lang w:val="en"/>
        </w:rPr>
      </w:pPr>
      <w:r w:rsidRPr="12674EE7">
        <w:rPr>
          <w:rFonts w:eastAsia="Calibri"/>
          <w:lang w:val="en"/>
        </w:rPr>
        <w:t>End-users can use the client-side software from their preferred devices to access the Azure RemoteApp programs.</w:t>
      </w:r>
      <w:r>
        <w:rPr>
          <w:rFonts w:eastAsia="Calibri"/>
          <w:lang w:val="en"/>
        </w:rPr>
        <w:t xml:space="preserve"> </w:t>
      </w:r>
      <w:r w:rsidRPr="12674EE7">
        <w:rPr>
          <w:rFonts w:eastAsia="Calibri"/>
          <w:lang w:val="en"/>
        </w:rPr>
        <w:t>Azure RemoteApp provides users with</w:t>
      </w:r>
      <w:r>
        <w:rPr>
          <w:rFonts w:eastAsia="Calibri"/>
          <w:lang w:val="en"/>
        </w:rPr>
        <w:t> 5</w:t>
      </w:r>
      <w:r w:rsidRPr="12674EE7">
        <w:rPr>
          <w:rFonts w:eastAsia="Calibri"/>
          <w:lang w:val="en"/>
        </w:rPr>
        <w:t>0</w:t>
      </w:r>
      <w:r>
        <w:rPr>
          <w:rFonts w:eastAsia="Calibri"/>
          <w:lang w:val="en"/>
        </w:rPr>
        <w:t> </w:t>
      </w:r>
      <w:r w:rsidRPr="12674EE7">
        <w:rPr>
          <w:rFonts w:eastAsia="Calibri"/>
          <w:lang w:val="en"/>
        </w:rPr>
        <w:t xml:space="preserve">GB </w:t>
      </w:r>
      <w:r>
        <w:rPr>
          <w:rFonts w:eastAsia="Calibri"/>
          <w:lang w:val="en"/>
        </w:rPr>
        <w:t xml:space="preserve">of </w:t>
      </w:r>
      <w:r w:rsidRPr="12674EE7">
        <w:rPr>
          <w:rFonts w:eastAsia="Calibri"/>
          <w:lang w:val="en"/>
        </w:rPr>
        <w:t>persistent storage. This storage is protected by the fault tolerant nature of Azure Storage accounts</w:t>
      </w:r>
      <w:r w:rsidR="00D53A7A" w:rsidRPr="009F4F23">
        <w:rPr>
          <w:rFonts w:eastAsia="Calibri"/>
          <w:lang w:val="en"/>
        </w:rPr>
        <w:t>.</w:t>
      </w:r>
      <w:r w:rsidR="0078523F" w:rsidRPr="009F4F23">
        <w:rPr>
          <w:rFonts w:eastAsia="Calibri"/>
          <w:lang w:val="en"/>
        </w:rPr>
        <w:t xml:space="preserve">  </w:t>
      </w:r>
    </w:p>
    <w:p w14:paraId="0B6E1FAA" w14:textId="226E7BC0" w:rsidR="0078523F" w:rsidRDefault="009F4F23" w:rsidP="009F4F23">
      <w:r>
        <w:rPr>
          <w:rFonts w:eastAsia="Calibri"/>
          <w:lang w:val="en"/>
        </w:rPr>
        <w:t>To test Azure RemoteApp, see</w:t>
      </w:r>
      <w:r w:rsidRPr="0078523F">
        <w:rPr>
          <w:rFonts w:eastAsia="Calibri" w:cs="Segoe UI"/>
          <w:lang w:val="en"/>
        </w:rPr>
        <w:t xml:space="preserve">: </w:t>
      </w:r>
      <w:hyperlink r:id="rId267">
        <w:r>
          <w:rPr>
            <w:rStyle w:val="Hyperlink"/>
            <w:rFonts w:eastAsia="Calibri" w:cs="Segoe UI"/>
            <w:color w:val="0070C0"/>
          </w:rPr>
          <w:t>Azure RemoteApp</w:t>
        </w:r>
      </w:hyperlink>
      <w:r w:rsidR="0078523F">
        <w:rPr>
          <w:noProof/>
        </w:rPr>
        <w:drawing>
          <wp:inline distT="0" distB="0" distL="0" distR="0" wp14:anchorId="45865BE0" wp14:editId="19B75A62">
            <wp:extent cx="3133725" cy="1724025"/>
            <wp:effectExtent l="0" t="0" r="9525" b="9525"/>
            <wp:docPr id="154665022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68">
                      <a:extLst>
                        <a:ext uri="{28A0092B-C50C-407E-A947-70E740481C1C}">
                          <a14:useLocalDpi xmlns:a14="http://schemas.microsoft.com/office/drawing/2010/main" val="0"/>
                        </a:ext>
                      </a:extLst>
                    </a:blip>
                    <a:stretch>
                      <a:fillRect/>
                    </a:stretch>
                  </pic:blipFill>
                  <pic:spPr>
                    <a:xfrm>
                      <a:off x="0" y="0"/>
                      <a:ext cx="3133725" cy="1724025"/>
                    </a:xfrm>
                    <a:prstGeom prst="rect">
                      <a:avLst/>
                    </a:prstGeom>
                  </pic:spPr>
                </pic:pic>
              </a:graphicData>
            </a:graphic>
          </wp:inline>
        </w:drawing>
      </w:r>
    </w:p>
    <w:p w14:paraId="6A8F98B7" w14:textId="162680AB" w:rsidR="00D53A7A" w:rsidRDefault="00763DF3" w:rsidP="0078523F">
      <w:r>
        <w:rPr>
          <w:rFonts w:eastAsia="Calibri"/>
          <w:lang w:val="en"/>
        </w:rPr>
        <w:t>On</w:t>
      </w:r>
      <w:r w:rsidRPr="12674EE7">
        <w:rPr>
          <w:rFonts w:eastAsia="Calibri"/>
          <w:lang w:val="en"/>
        </w:rPr>
        <w:t xml:space="preserve"> the integrated Azure RemoteApp </w:t>
      </w:r>
      <w:r>
        <w:rPr>
          <w:rFonts w:eastAsia="Calibri"/>
          <w:lang w:val="en"/>
        </w:rPr>
        <w:t>menu</w:t>
      </w:r>
      <w:r w:rsidRPr="12674EE7">
        <w:rPr>
          <w:rFonts w:eastAsia="Calibri"/>
          <w:lang w:val="en"/>
        </w:rPr>
        <w:t>, select an application (</w:t>
      </w:r>
      <w:r>
        <w:rPr>
          <w:rFonts w:eastAsia="Calibri"/>
          <w:lang w:val="en"/>
        </w:rPr>
        <w:t xml:space="preserve">for example, </w:t>
      </w:r>
      <w:r w:rsidRPr="12674EE7">
        <w:rPr>
          <w:rFonts w:eastAsia="Calibri"/>
          <w:lang w:val="en"/>
        </w:rPr>
        <w:t>Excel).</w:t>
      </w:r>
      <w:r>
        <w:rPr>
          <w:rFonts w:eastAsia="Calibri"/>
          <w:lang w:val="en"/>
        </w:rPr>
        <w:t xml:space="preserve"> </w:t>
      </w:r>
      <w:r w:rsidRPr="12674EE7">
        <w:rPr>
          <w:rFonts w:eastAsia="Calibri"/>
          <w:lang w:val="en"/>
        </w:rPr>
        <w:t xml:space="preserve">The </w:t>
      </w:r>
      <w:r w:rsidRPr="00347350">
        <w:rPr>
          <w:rFonts w:eastAsia="Calibri"/>
          <w:b/>
          <w:lang w:val="en"/>
        </w:rPr>
        <w:t>Connecting to</w:t>
      </w:r>
      <w:r w:rsidRPr="12674EE7">
        <w:rPr>
          <w:rFonts w:eastAsia="Calibri"/>
          <w:lang w:val="en"/>
        </w:rPr>
        <w:t xml:space="preserve"> dialog will start and you may be prompted for credentials depending on the deployment type</w:t>
      </w:r>
      <w:r w:rsidR="00D53A7A" w:rsidRPr="12674EE7">
        <w:rPr>
          <w:rFonts w:eastAsia="Calibri"/>
          <w:lang w:val="en"/>
        </w:rPr>
        <w:t>.</w:t>
      </w:r>
      <w:r w:rsidR="00D53A7A" w:rsidRPr="12674EE7">
        <w:rPr>
          <w:rFonts w:ascii="Calibri" w:eastAsia="Calibri" w:hAnsi="Calibri" w:cs="Calibri"/>
          <w:lang w:val="en"/>
        </w:rPr>
        <w:t xml:space="preserve"> </w:t>
      </w:r>
    </w:p>
    <w:p w14:paraId="21E2872A" w14:textId="0E81B1BE" w:rsidR="00D53A7A" w:rsidRDefault="00D53A7A" w:rsidP="00D53A7A">
      <w:pPr>
        <w:jc w:val="center"/>
      </w:pPr>
      <w:r>
        <w:rPr>
          <w:noProof/>
        </w:rPr>
        <w:drawing>
          <wp:inline distT="0" distB="0" distL="0" distR="0" wp14:anchorId="0CBC6E45" wp14:editId="2A131993">
            <wp:extent cx="3009900" cy="2276475"/>
            <wp:effectExtent l="0" t="0" r="0" b="0"/>
            <wp:docPr id="154665023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69">
                      <a:extLst>
                        <a:ext uri="{28A0092B-C50C-407E-A947-70E740481C1C}">
                          <a14:useLocalDpi xmlns:a14="http://schemas.microsoft.com/office/drawing/2010/main" val="0"/>
                        </a:ext>
                      </a:extLst>
                    </a:blip>
                    <a:stretch>
                      <a:fillRect/>
                    </a:stretch>
                  </pic:blipFill>
                  <pic:spPr>
                    <a:xfrm>
                      <a:off x="0" y="0"/>
                      <a:ext cx="3009900" cy="2276475"/>
                    </a:xfrm>
                    <a:prstGeom prst="rect">
                      <a:avLst/>
                    </a:prstGeom>
                  </pic:spPr>
                </pic:pic>
              </a:graphicData>
            </a:graphic>
          </wp:inline>
        </w:drawing>
      </w:r>
      <w:r>
        <w:rPr>
          <w:noProof/>
        </w:rPr>
        <w:drawing>
          <wp:inline distT="0" distB="0" distL="0" distR="0" wp14:anchorId="10915EBA" wp14:editId="39C8EA2E">
            <wp:extent cx="1543050" cy="2305050"/>
            <wp:effectExtent l="0" t="0" r="0" b="0"/>
            <wp:docPr id="154665023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70">
                      <a:extLst>
                        <a:ext uri="{28A0092B-C50C-407E-A947-70E740481C1C}">
                          <a14:useLocalDpi xmlns:a14="http://schemas.microsoft.com/office/drawing/2010/main" val="0"/>
                        </a:ext>
                      </a:extLst>
                    </a:blip>
                    <a:stretch>
                      <a:fillRect/>
                    </a:stretch>
                  </pic:blipFill>
                  <pic:spPr>
                    <a:xfrm>
                      <a:off x="0" y="0"/>
                      <a:ext cx="1543050" cy="2305050"/>
                    </a:xfrm>
                    <a:prstGeom prst="rect">
                      <a:avLst/>
                    </a:prstGeom>
                  </pic:spPr>
                </pic:pic>
              </a:graphicData>
            </a:graphic>
          </wp:inline>
        </w:drawing>
      </w:r>
    </w:p>
    <w:p w14:paraId="652F084A" w14:textId="7F2D90AD" w:rsidR="00763DF3" w:rsidRDefault="00763DF3" w:rsidP="00763DF3">
      <w:r w:rsidRPr="12674EE7">
        <w:rPr>
          <w:rFonts w:eastAsia="Calibri"/>
          <w:lang w:val="en"/>
        </w:rPr>
        <w:t>After the authentication process</w:t>
      </w:r>
      <w:r>
        <w:rPr>
          <w:rFonts w:eastAsia="Calibri"/>
          <w:lang w:val="en"/>
        </w:rPr>
        <w:t xml:space="preserve"> is complete,</w:t>
      </w:r>
      <w:r w:rsidRPr="12674EE7">
        <w:rPr>
          <w:rFonts w:eastAsia="Calibri"/>
          <w:lang w:val="en"/>
        </w:rPr>
        <w:t xml:space="preserve"> the </w:t>
      </w:r>
      <w:r>
        <w:rPr>
          <w:rFonts w:eastAsia="Calibri"/>
          <w:lang w:val="en"/>
        </w:rPr>
        <w:t>RemoteApp</w:t>
      </w:r>
      <w:r w:rsidRPr="12674EE7">
        <w:rPr>
          <w:rFonts w:eastAsia="Calibri"/>
          <w:lang w:val="en"/>
        </w:rPr>
        <w:t xml:space="preserve"> will launch</w:t>
      </w:r>
      <w:r>
        <w:rPr>
          <w:rFonts w:eastAsia="Calibri"/>
          <w:lang w:val="en"/>
        </w:rPr>
        <w:t>, and the user will have remote access to the application</w:t>
      </w:r>
      <w:r w:rsidRPr="12674EE7">
        <w:rPr>
          <w:rFonts w:eastAsia="Calibri"/>
          <w:lang w:val="en"/>
        </w:rPr>
        <w:t>.</w:t>
      </w:r>
    </w:p>
    <w:p w14:paraId="0A681234" w14:textId="77777777" w:rsidR="00D53A7A" w:rsidRDefault="00D53A7A" w:rsidP="00D53A7A">
      <w:pPr>
        <w:jc w:val="center"/>
      </w:pPr>
      <w:r>
        <w:rPr>
          <w:noProof/>
        </w:rPr>
        <w:drawing>
          <wp:inline distT="0" distB="0" distL="0" distR="0" wp14:anchorId="76716428" wp14:editId="6BCCAF04">
            <wp:extent cx="4524375" cy="3086100"/>
            <wp:effectExtent l="0" t="0" r="0" b="0"/>
            <wp:docPr id="154665023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71">
                      <a:extLst>
                        <a:ext uri="{28A0092B-C50C-407E-A947-70E740481C1C}">
                          <a14:useLocalDpi xmlns:a14="http://schemas.microsoft.com/office/drawing/2010/main" val="0"/>
                        </a:ext>
                      </a:extLst>
                    </a:blip>
                    <a:stretch>
                      <a:fillRect/>
                    </a:stretch>
                  </pic:blipFill>
                  <pic:spPr>
                    <a:xfrm>
                      <a:off x="0" y="0"/>
                      <a:ext cx="4524375" cy="3086100"/>
                    </a:xfrm>
                    <a:prstGeom prst="rect">
                      <a:avLst/>
                    </a:prstGeom>
                  </pic:spPr>
                </pic:pic>
              </a:graphicData>
            </a:graphic>
          </wp:inline>
        </w:drawing>
      </w:r>
    </w:p>
    <w:p w14:paraId="558F145B" w14:textId="77777777" w:rsidR="00D53A7A" w:rsidRDefault="00D53A7A" w:rsidP="00D53A7A">
      <w:pPr>
        <w:jc w:val="center"/>
      </w:pPr>
      <w:r w:rsidRPr="12674EE7">
        <w:rPr>
          <w:rFonts w:ascii="Calibri" w:eastAsia="Calibri" w:hAnsi="Calibri" w:cs="Calibri"/>
          <w:lang w:val="en"/>
        </w:rPr>
        <w:t xml:space="preserve"> </w:t>
      </w:r>
    </w:p>
    <w:p w14:paraId="0E544A2A" w14:textId="77777777" w:rsidR="00763DF3" w:rsidRDefault="00763DF3" w:rsidP="00763DF3">
      <w:pPr>
        <w:rPr>
          <w:rFonts w:eastAsia="Calibri" w:cs="Segoe UI"/>
          <w:lang w:val="en"/>
        </w:rPr>
      </w:pPr>
      <w:r>
        <w:rPr>
          <w:rFonts w:eastAsia="Calibri" w:cs="Segoe UI"/>
          <w:lang w:val="en"/>
        </w:rPr>
        <w:t>RemoteApp is available in two</w:t>
      </w:r>
      <w:r w:rsidRPr="0078523F">
        <w:rPr>
          <w:rFonts w:eastAsia="Calibri" w:cs="Segoe UI"/>
          <w:lang w:val="en"/>
        </w:rPr>
        <w:t xml:space="preserve"> deployment types, which are referred to as </w:t>
      </w:r>
      <w:r w:rsidRPr="0078523F">
        <w:rPr>
          <w:rFonts w:eastAsia="Calibri" w:cs="Segoe UI"/>
          <w:i/>
          <w:lang w:val="en"/>
        </w:rPr>
        <w:t>collections</w:t>
      </w:r>
      <w:r w:rsidRPr="0078523F">
        <w:rPr>
          <w:rFonts w:eastAsia="Calibri" w:cs="Segoe UI"/>
          <w:lang w:val="en"/>
        </w:rPr>
        <w:t>.</w:t>
      </w:r>
      <w:r>
        <w:rPr>
          <w:rFonts w:eastAsia="Calibri" w:cs="Segoe UI"/>
          <w:lang w:val="en"/>
        </w:rPr>
        <w:t xml:space="preserve"> </w:t>
      </w:r>
    </w:p>
    <w:p w14:paraId="52ADF377" w14:textId="77777777" w:rsidR="00763DF3" w:rsidRPr="00597085" w:rsidRDefault="00763DF3" w:rsidP="005729D2">
      <w:pPr>
        <w:pStyle w:val="ListParagraph"/>
        <w:numPr>
          <w:ilvl w:val="0"/>
          <w:numId w:val="262"/>
        </w:numPr>
        <w:rPr>
          <w:rFonts w:eastAsia="Calibri" w:cs="Segoe UI"/>
          <w:lang w:val="en"/>
        </w:rPr>
      </w:pPr>
      <w:r w:rsidRPr="00597085">
        <w:rPr>
          <w:rFonts w:eastAsia="Calibri" w:cs="Segoe UI"/>
          <w:color w:val="000000" w:themeColor="text1"/>
          <w:lang w:val="en"/>
        </w:rPr>
        <w:t xml:space="preserve">A </w:t>
      </w:r>
      <w:r w:rsidRPr="00597085">
        <w:rPr>
          <w:rFonts w:eastAsia="Calibri" w:cs="Segoe UI"/>
          <w:i/>
          <w:color w:val="000000" w:themeColor="text1"/>
          <w:lang w:val="en"/>
        </w:rPr>
        <w:t>cloud collection</w:t>
      </w:r>
      <w:r w:rsidRPr="00597085">
        <w:rPr>
          <w:rFonts w:eastAsia="Calibri" w:cs="Segoe UI"/>
          <w:color w:val="000000" w:themeColor="text1"/>
          <w:lang w:val="en"/>
        </w:rPr>
        <w:t xml:space="preserve"> is hosted in and stores all data for the programs within the Azure cloud. End-users access apps by signing in with their Microsoft account, synchronized corporate credentials, or credentials that are federated with Azure Active Directory. </w:t>
      </w:r>
      <w:r w:rsidRPr="00597085">
        <w:rPr>
          <w:rFonts w:eastAsia="Calibri" w:cs="Segoe UI"/>
          <w:color w:val="000000" w:themeColor="text1"/>
          <w:lang w:val="en"/>
        </w:rPr>
        <w:br/>
      </w:r>
      <w:r w:rsidRPr="00597085">
        <w:rPr>
          <w:rFonts w:eastAsia="Calibri" w:cs="Segoe UI"/>
          <w:lang w:val="en"/>
        </w:rPr>
        <w:t>The RemoteApp cloud collection offers a standalone way to host applications within Azure. A cloud collection exists only in the Azure cloud and cannot access the local on-premises network. Cloud collections support creat</w:t>
      </w:r>
      <w:r>
        <w:rPr>
          <w:rFonts w:eastAsia="Calibri" w:cs="Segoe UI"/>
          <w:lang w:val="en"/>
        </w:rPr>
        <w:t>ing</w:t>
      </w:r>
      <w:r w:rsidRPr="00597085">
        <w:rPr>
          <w:rFonts w:eastAsia="Calibri" w:cs="Segoe UI"/>
          <w:lang w:val="en"/>
        </w:rPr>
        <w:t xml:space="preserve"> and sharing custom applications through the use of a custom template image for the application </w:t>
      </w:r>
      <w:r>
        <w:rPr>
          <w:rFonts w:eastAsia="Calibri" w:cs="Segoe UI"/>
          <w:lang w:val="en"/>
        </w:rPr>
        <w:t xml:space="preserve">that is </w:t>
      </w:r>
      <w:r w:rsidRPr="00597085">
        <w:rPr>
          <w:rFonts w:eastAsia="Calibri" w:cs="Segoe UI"/>
          <w:lang w:val="en"/>
        </w:rPr>
        <w:t xml:space="preserve">being published. </w:t>
      </w:r>
    </w:p>
    <w:p w14:paraId="7661FDA2" w14:textId="77777777" w:rsidR="00763DF3" w:rsidRDefault="00763DF3" w:rsidP="005729D2">
      <w:pPr>
        <w:pStyle w:val="ListParagraph"/>
        <w:numPr>
          <w:ilvl w:val="0"/>
          <w:numId w:val="262"/>
        </w:numPr>
      </w:pPr>
      <w:r w:rsidRPr="00597085">
        <w:rPr>
          <w:rFonts w:eastAsia="Calibri" w:cs="Segoe UI"/>
          <w:color w:val="000000" w:themeColor="text1"/>
          <w:lang w:val="en"/>
        </w:rPr>
        <w:t xml:space="preserve">A </w:t>
      </w:r>
      <w:r w:rsidRPr="00597085">
        <w:rPr>
          <w:rFonts w:eastAsia="Calibri" w:cs="Segoe UI"/>
          <w:i/>
          <w:color w:val="000000" w:themeColor="text1"/>
          <w:lang w:val="en"/>
        </w:rPr>
        <w:t>hybrid collection</w:t>
      </w:r>
      <w:r w:rsidRPr="00597085">
        <w:rPr>
          <w:rFonts w:eastAsia="Calibri" w:cs="Segoe UI"/>
          <w:color w:val="000000" w:themeColor="text1"/>
          <w:lang w:val="en"/>
        </w:rPr>
        <w:t xml:space="preserve"> is hosted in and stores data in the Azure cloud, but </w:t>
      </w:r>
      <w:r>
        <w:rPr>
          <w:rFonts w:eastAsia="Calibri" w:cs="Segoe UI"/>
          <w:color w:val="000000" w:themeColor="text1"/>
          <w:lang w:val="en"/>
        </w:rPr>
        <w:t xml:space="preserve">it </w:t>
      </w:r>
      <w:r w:rsidRPr="00597085">
        <w:rPr>
          <w:rFonts w:eastAsia="Calibri" w:cs="Segoe UI"/>
          <w:color w:val="000000" w:themeColor="text1"/>
          <w:lang w:val="en"/>
        </w:rPr>
        <w:t xml:space="preserve">allows end-users to access resources </w:t>
      </w:r>
      <w:r>
        <w:rPr>
          <w:rFonts w:eastAsia="Calibri" w:cs="Segoe UI"/>
          <w:color w:val="000000" w:themeColor="text1"/>
          <w:lang w:val="en"/>
        </w:rPr>
        <w:t xml:space="preserve">that are </w:t>
      </w:r>
      <w:r w:rsidRPr="00597085">
        <w:rPr>
          <w:rFonts w:eastAsia="Calibri" w:cs="Segoe UI"/>
          <w:color w:val="000000" w:themeColor="text1"/>
          <w:lang w:val="en"/>
        </w:rPr>
        <w:t xml:space="preserve">stored on an on-premises network. Users can access apps by </w:t>
      </w:r>
      <w:r>
        <w:rPr>
          <w:rFonts w:eastAsia="Calibri" w:cs="Segoe UI"/>
          <w:color w:val="000000" w:themeColor="text1"/>
          <w:lang w:val="en"/>
        </w:rPr>
        <w:t>sign</w:t>
      </w:r>
      <w:r w:rsidRPr="00597085">
        <w:rPr>
          <w:rFonts w:eastAsia="Calibri" w:cs="Segoe UI"/>
          <w:color w:val="000000" w:themeColor="text1"/>
          <w:lang w:val="en"/>
        </w:rPr>
        <w:t xml:space="preserve">ing in with their synchronized corporate credentials or </w:t>
      </w:r>
      <w:r>
        <w:rPr>
          <w:rFonts w:eastAsia="Calibri" w:cs="Segoe UI"/>
          <w:color w:val="000000" w:themeColor="text1"/>
          <w:lang w:val="en"/>
        </w:rPr>
        <w:t xml:space="preserve">credentials that are </w:t>
      </w:r>
      <w:r w:rsidRPr="00597085">
        <w:rPr>
          <w:rFonts w:eastAsia="Calibri" w:cs="Segoe UI"/>
          <w:color w:val="000000" w:themeColor="text1"/>
          <w:lang w:val="en"/>
        </w:rPr>
        <w:t xml:space="preserve">federated with Azure Active Directory. </w:t>
      </w:r>
      <w:r>
        <w:rPr>
          <w:rFonts w:eastAsia="Calibri" w:cs="Segoe UI"/>
          <w:color w:val="000000" w:themeColor="text1"/>
          <w:lang w:val="en"/>
        </w:rPr>
        <w:br/>
      </w:r>
      <w:r w:rsidRPr="00597085">
        <w:rPr>
          <w:rFonts w:eastAsia="Calibri" w:cs="Segoe UI"/>
          <w:lang w:val="en"/>
        </w:rPr>
        <w:t xml:space="preserve">The hybrid RemoteApp collection provides a custom set of applications to end-users and access to resources </w:t>
      </w:r>
      <w:r>
        <w:rPr>
          <w:rFonts w:eastAsia="Calibri" w:cs="Segoe UI"/>
          <w:lang w:val="en"/>
        </w:rPr>
        <w:t>that are stored on an</w:t>
      </w:r>
      <w:r w:rsidRPr="00597085">
        <w:rPr>
          <w:rFonts w:eastAsia="Calibri" w:cs="Segoe UI"/>
          <w:lang w:val="en"/>
        </w:rPr>
        <w:t xml:space="preserve"> on-premises network. Unlike a custom image </w:t>
      </w:r>
      <w:r>
        <w:rPr>
          <w:rFonts w:eastAsia="Calibri" w:cs="Segoe UI"/>
          <w:lang w:val="en"/>
        </w:rPr>
        <w:t xml:space="preserve">that is </w:t>
      </w:r>
      <w:r w:rsidRPr="00597085">
        <w:rPr>
          <w:rFonts w:eastAsia="Calibri" w:cs="Segoe UI"/>
          <w:lang w:val="en"/>
        </w:rPr>
        <w:t xml:space="preserve">used with the cloud collection, the image you create for a hybrid collection runs apps in a domain-joined environment, granting full access to the local network and resources. </w:t>
      </w:r>
      <w:r>
        <w:rPr>
          <w:rFonts w:eastAsia="Calibri" w:cs="Segoe UI"/>
          <w:lang w:val="en"/>
        </w:rPr>
        <w:br/>
      </w:r>
      <w:r w:rsidRPr="00597085">
        <w:rPr>
          <w:rFonts w:eastAsia="Calibri" w:cs="Segoe UI"/>
          <w:lang w:val="en"/>
        </w:rPr>
        <w:t xml:space="preserve">When integrating Active Directory with Azure Active Directory </w:t>
      </w:r>
      <w:r>
        <w:rPr>
          <w:rFonts w:eastAsia="Calibri" w:cs="Segoe UI"/>
          <w:lang w:val="en"/>
        </w:rPr>
        <w:t xml:space="preserve">by </w:t>
      </w:r>
      <w:r w:rsidRPr="00597085">
        <w:rPr>
          <w:rFonts w:eastAsia="Calibri" w:cs="Segoe UI"/>
          <w:lang w:val="en"/>
        </w:rPr>
        <w:t xml:space="preserve">using DirSync or </w:t>
      </w:r>
      <w:r>
        <w:rPr>
          <w:rFonts w:eastAsia="Calibri" w:cs="Segoe UI"/>
          <w:lang w:val="en"/>
        </w:rPr>
        <w:t>Azure AD</w:t>
      </w:r>
      <w:r w:rsidRPr="00597085">
        <w:rPr>
          <w:rFonts w:eastAsia="Calibri" w:cs="Segoe UI"/>
          <w:lang w:val="en"/>
        </w:rPr>
        <w:t xml:space="preserve"> Connect, corporate policies can be used within Azure to control the </w:t>
      </w:r>
      <w:r>
        <w:rPr>
          <w:rFonts w:eastAsia="Calibri" w:cs="Segoe UI"/>
          <w:lang w:val="en"/>
        </w:rPr>
        <w:t>applications</w:t>
      </w:r>
      <w:r w:rsidRPr="00597085">
        <w:rPr>
          <w:rFonts w:eastAsia="Calibri" w:cs="Segoe UI"/>
          <w:lang w:val="en"/>
        </w:rPr>
        <w:t xml:space="preserve"> being offered</w:t>
      </w:r>
      <w:r>
        <w:rPr>
          <w:rFonts w:eastAsia="Calibri" w:cs="Segoe UI"/>
          <w:lang w:val="en"/>
        </w:rPr>
        <w:t>,</w:t>
      </w:r>
      <w:r w:rsidRPr="00597085">
        <w:rPr>
          <w:rFonts w:eastAsia="Calibri" w:cs="Segoe UI"/>
          <w:lang w:val="en"/>
        </w:rPr>
        <w:t xml:space="preserve"> and end-users can use Active Directory credentials to access the RemoteApp applications and resources. </w:t>
      </w:r>
    </w:p>
    <w:p w14:paraId="284C3527" w14:textId="77777777" w:rsidR="00763DF3" w:rsidRDefault="00763DF3" w:rsidP="00763DF3">
      <w:pPr>
        <w:rPr>
          <w:rFonts w:eastAsia="Calibri" w:cs="Segoe UI"/>
          <w:lang w:val="en"/>
        </w:rPr>
      </w:pPr>
      <w:r w:rsidRPr="0078523F">
        <w:rPr>
          <w:rFonts w:eastAsia="Calibri" w:cs="Segoe UI"/>
          <w:lang w:val="en"/>
        </w:rPr>
        <w:t xml:space="preserve">The key differences between </w:t>
      </w:r>
      <w:r>
        <w:rPr>
          <w:rFonts w:eastAsia="Calibri" w:cs="Segoe UI"/>
          <w:lang w:val="en"/>
        </w:rPr>
        <w:t xml:space="preserve">the </w:t>
      </w:r>
      <w:r w:rsidRPr="0078523F">
        <w:rPr>
          <w:rFonts w:eastAsia="Calibri" w:cs="Segoe UI"/>
          <w:lang w:val="en"/>
        </w:rPr>
        <w:t xml:space="preserve">hybrid and cloud collections </w:t>
      </w:r>
      <w:r>
        <w:rPr>
          <w:rFonts w:eastAsia="Calibri" w:cs="Segoe UI"/>
          <w:lang w:val="en"/>
        </w:rPr>
        <w:t>are</w:t>
      </w:r>
      <w:r w:rsidRPr="0078523F">
        <w:rPr>
          <w:rFonts w:eastAsia="Calibri" w:cs="Segoe UI"/>
          <w:lang w:val="en"/>
        </w:rPr>
        <w:t xml:space="preserve"> how the installation of software updates (patching) is handled. Cloud collection use</w:t>
      </w:r>
      <w:r>
        <w:rPr>
          <w:rFonts w:eastAsia="Calibri" w:cs="Segoe UI"/>
          <w:lang w:val="en"/>
        </w:rPr>
        <w:t>s</w:t>
      </w:r>
      <w:r w:rsidRPr="0078523F">
        <w:rPr>
          <w:rFonts w:eastAsia="Calibri" w:cs="Segoe UI"/>
          <w:lang w:val="en"/>
        </w:rPr>
        <w:t xml:space="preserve"> preinstalled images (</w:t>
      </w:r>
      <w:r>
        <w:rPr>
          <w:rFonts w:eastAsia="Calibri" w:cs="Segoe UI"/>
          <w:lang w:val="en"/>
        </w:rPr>
        <w:t xml:space="preserve">from </w:t>
      </w:r>
      <w:r w:rsidRPr="0078523F">
        <w:rPr>
          <w:rFonts w:eastAsia="Calibri" w:cs="Segoe UI"/>
          <w:lang w:val="en"/>
        </w:rPr>
        <w:t>Office</w:t>
      </w:r>
      <w:r>
        <w:rPr>
          <w:rFonts w:eastAsia="Calibri" w:cs="Segoe UI"/>
          <w:lang w:val="en"/>
        </w:rPr>
        <w:t> 3</w:t>
      </w:r>
      <w:r w:rsidRPr="0078523F">
        <w:rPr>
          <w:rFonts w:eastAsia="Calibri" w:cs="Segoe UI"/>
          <w:lang w:val="en"/>
        </w:rPr>
        <w:t>65 or Office</w:t>
      </w:r>
      <w:r>
        <w:rPr>
          <w:rFonts w:eastAsia="Calibri" w:cs="Segoe UI"/>
          <w:lang w:val="en"/>
        </w:rPr>
        <w:t> 2</w:t>
      </w:r>
      <w:r w:rsidRPr="0078523F">
        <w:rPr>
          <w:rFonts w:eastAsia="Calibri" w:cs="Segoe UI"/>
          <w:lang w:val="en"/>
        </w:rPr>
        <w:t>013</w:t>
      </w:r>
      <w:r>
        <w:rPr>
          <w:rFonts w:eastAsia="Calibri" w:cs="Segoe UI"/>
          <w:lang w:val="en"/>
        </w:rPr>
        <w:t>), and the</w:t>
      </w:r>
      <w:r w:rsidRPr="0078523F">
        <w:rPr>
          <w:rFonts w:eastAsia="Calibri" w:cs="Segoe UI"/>
          <w:lang w:val="en"/>
        </w:rPr>
        <w:t xml:space="preserve"> patching process is accomplished by Microsoft.</w:t>
      </w:r>
      <w:r>
        <w:rPr>
          <w:rFonts w:eastAsia="Calibri" w:cs="Segoe UI"/>
          <w:lang w:val="en"/>
        </w:rPr>
        <w:t xml:space="preserve"> </w:t>
      </w:r>
    </w:p>
    <w:p w14:paraId="31F12C7A" w14:textId="0E9FD20B" w:rsidR="00D53A7A" w:rsidRDefault="00763DF3" w:rsidP="00763DF3">
      <w:pPr>
        <w:rPr>
          <w:rFonts w:eastAsia="Calibri" w:cs="Segoe UI"/>
          <w:lang w:val="en"/>
        </w:rPr>
      </w:pPr>
      <w:r w:rsidRPr="0078523F">
        <w:rPr>
          <w:rFonts w:eastAsia="Calibri" w:cs="Segoe UI"/>
          <w:lang w:val="en"/>
        </w:rPr>
        <w:t xml:space="preserve">For </w:t>
      </w:r>
      <w:r>
        <w:rPr>
          <w:rFonts w:eastAsia="Calibri" w:cs="Segoe UI"/>
          <w:lang w:val="en"/>
        </w:rPr>
        <w:t>both types of</w:t>
      </w:r>
      <w:r w:rsidRPr="0078523F">
        <w:rPr>
          <w:rFonts w:eastAsia="Calibri" w:cs="Segoe UI"/>
          <w:lang w:val="en"/>
        </w:rPr>
        <w:t xml:space="preserve"> collections created from a custom template image, the subscription owner is responsible for managing the image and the applications.</w:t>
      </w:r>
      <w:r>
        <w:rPr>
          <w:rFonts w:eastAsia="Calibri" w:cs="Segoe UI"/>
          <w:lang w:val="en"/>
        </w:rPr>
        <w:t xml:space="preserve"> </w:t>
      </w:r>
      <w:r w:rsidRPr="0078523F">
        <w:rPr>
          <w:rFonts w:eastAsia="Calibri" w:cs="Segoe UI"/>
          <w:lang w:val="en"/>
        </w:rPr>
        <w:t xml:space="preserve">Domain-joined images can </w:t>
      </w:r>
      <w:r>
        <w:rPr>
          <w:rFonts w:eastAsia="Calibri" w:cs="Segoe UI"/>
          <w:lang w:val="en"/>
        </w:rPr>
        <w:t xml:space="preserve">be </w:t>
      </w:r>
      <w:r w:rsidRPr="0078523F">
        <w:rPr>
          <w:rFonts w:eastAsia="Calibri" w:cs="Segoe UI"/>
          <w:lang w:val="en"/>
        </w:rPr>
        <w:t>managed by Windows Update, Group Policy, Desired State Configuration</w:t>
      </w:r>
      <w:r>
        <w:rPr>
          <w:rFonts w:eastAsia="Calibri" w:cs="Segoe UI"/>
          <w:lang w:val="en"/>
        </w:rPr>
        <w:t>,</w:t>
      </w:r>
      <w:r w:rsidRPr="0078523F">
        <w:rPr>
          <w:rFonts w:eastAsia="Calibri" w:cs="Segoe UI"/>
          <w:lang w:val="en"/>
        </w:rPr>
        <w:t xml:space="preserve"> or System Center Configuration Manager.</w:t>
      </w:r>
      <w:r>
        <w:rPr>
          <w:rFonts w:eastAsia="Calibri" w:cs="Segoe UI"/>
          <w:lang w:val="en"/>
        </w:rPr>
        <w:t xml:space="preserve"> </w:t>
      </w:r>
      <w:r w:rsidRPr="0078523F">
        <w:rPr>
          <w:rFonts w:eastAsia="Calibri" w:cs="Segoe UI"/>
          <w:lang w:val="en"/>
        </w:rPr>
        <w:t>After the updates to custom template image are applied, they are uploaded to Azure and the collections (hybrid</w:t>
      </w:r>
      <w:r>
        <w:rPr>
          <w:rFonts w:eastAsia="Calibri" w:cs="Segoe UI"/>
          <w:lang w:val="en"/>
        </w:rPr>
        <w:t xml:space="preserve"> or c</w:t>
      </w:r>
      <w:r w:rsidRPr="0078523F">
        <w:rPr>
          <w:rFonts w:eastAsia="Calibri" w:cs="Segoe UI"/>
          <w:lang w:val="en"/>
        </w:rPr>
        <w:t>loud) are update</w:t>
      </w:r>
      <w:r>
        <w:rPr>
          <w:rFonts w:eastAsia="Calibri" w:cs="Segoe UI"/>
          <w:lang w:val="en"/>
        </w:rPr>
        <w:t>d</w:t>
      </w:r>
      <w:r w:rsidRPr="0078523F">
        <w:rPr>
          <w:rFonts w:eastAsia="Calibri" w:cs="Segoe UI"/>
          <w:lang w:val="en"/>
        </w:rPr>
        <w:t xml:space="preserve"> to consume the new image</w:t>
      </w:r>
      <w:r w:rsidR="00D53A7A" w:rsidRPr="0078523F">
        <w:rPr>
          <w:rFonts w:eastAsia="Calibri" w:cs="Segoe UI"/>
          <w:lang w:val="en"/>
        </w:rPr>
        <w:t>.</w:t>
      </w:r>
    </w:p>
    <w:p w14:paraId="66806EF2" w14:textId="77777777" w:rsidR="00EF29E8" w:rsidRDefault="00EF29E8" w:rsidP="0078523F">
      <w:pPr>
        <w:rPr>
          <w:rFonts w:eastAsia="Calibri" w:cs="Segoe UI"/>
          <w:lang w:val="en"/>
        </w:rPr>
      </w:pPr>
    </w:p>
    <w:tbl>
      <w:tblPr>
        <w:tblStyle w:val="PlainTable11"/>
        <w:tblW w:w="0" w:type="auto"/>
        <w:tblLook w:val="04A0" w:firstRow="1" w:lastRow="0" w:firstColumn="1" w:lastColumn="0" w:noHBand="0" w:noVBand="1"/>
      </w:tblPr>
      <w:tblGrid>
        <w:gridCol w:w="2438"/>
        <w:gridCol w:w="6912"/>
      </w:tblGrid>
      <w:tr w:rsidR="0078523F" w14:paraId="7B56641D" w14:textId="77777777" w:rsidTr="00DE007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2"/>
            <w:shd w:val="clear" w:color="auto" w:fill="808080" w:themeFill="background1" w:themeFillShade="80"/>
            <w:hideMark/>
          </w:tcPr>
          <w:p w14:paraId="6E2ACF0F" w14:textId="77777777" w:rsidR="0078523F" w:rsidRDefault="0078523F" w:rsidP="0078523F">
            <w:pPr>
              <w:spacing w:line="240" w:lineRule="auto"/>
              <w:rPr>
                <w:color w:val="FFFFFF"/>
              </w:rPr>
            </w:pPr>
            <w:r>
              <w:rPr>
                <w:color w:val="FFFFFF"/>
              </w:rPr>
              <w:t>Feature References</w:t>
            </w:r>
          </w:p>
        </w:tc>
      </w:tr>
      <w:tr w:rsidR="0078523F" w14:paraId="0A89734A" w14:textId="77777777" w:rsidTr="00DE00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C4B9B81" w14:textId="567D69DB" w:rsidR="0078523F" w:rsidRPr="000D0DAD" w:rsidRDefault="0078523F" w:rsidP="0078523F">
            <w:pPr>
              <w:spacing w:line="240" w:lineRule="auto"/>
              <w:rPr>
                <w:sz w:val="20"/>
                <w:szCs w:val="20"/>
              </w:rPr>
            </w:pPr>
            <w:r w:rsidRPr="000D0DAD">
              <w:rPr>
                <w:sz w:val="20"/>
                <w:szCs w:val="20"/>
              </w:rPr>
              <w:t>Introducing Microsoft Azure RemoteApp</w:t>
            </w:r>
          </w:p>
        </w:tc>
        <w:tc>
          <w:tcPr>
            <w:tcW w:w="0" w:type="auto"/>
          </w:tcPr>
          <w:p w14:paraId="3B997E27" w14:textId="1D484550" w:rsidR="0078523F" w:rsidRPr="000D0DAD" w:rsidRDefault="00872E47" w:rsidP="0078523F">
            <w:pPr>
              <w:cnfStyle w:val="000000100000" w:firstRow="0" w:lastRow="0" w:firstColumn="0" w:lastColumn="0" w:oddVBand="0" w:evenVBand="0" w:oddHBand="1" w:evenHBand="0" w:firstRowFirstColumn="0" w:firstRowLastColumn="0" w:lastRowFirstColumn="0" w:lastRowLastColumn="0"/>
              <w:rPr>
                <w:sz w:val="20"/>
                <w:szCs w:val="20"/>
              </w:rPr>
            </w:pPr>
            <w:hyperlink r:id="rId272" w:history="1">
              <w:r w:rsidR="000D0DAD" w:rsidRPr="0068034F">
                <w:rPr>
                  <w:rStyle w:val="Hyperlink"/>
                  <w:sz w:val="20"/>
                  <w:szCs w:val="20"/>
                </w:rPr>
                <w:t>http://blogs.msdn.com/b/rds/archive/2014/05/12/windows-apps-in-the-cloud-introducing-microsoft-azure-remoteapp.aspx</w:t>
              </w:r>
            </w:hyperlink>
            <w:r w:rsidR="000D0DAD">
              <w:rPr>
                <w:sz w:val="20"/>
                <w:szCs w:val="20"/>
              </w:rPr>
              <w:t xml:space="preserve"> </w:t>
            </w:r>
          </w:p>
        </w:tc>
      </w:tr>
      <w:tr w:rsidR="0078523F" w14:paraId="227C66DE" w14:textId="77777777" w:rsidTr="00DE0079">
        <w:tc>
          <w:tcPr>
            <w:cnfStyle w:val="001000000000" w:firstRow="0" w:lastRow="0" w:firstColumn="1" w:lastColumn="0" w:oddVBand="0" w:evenVBand="0" w:oddHBand="0" w:evenHBand="0" w:firstRowFirstColumn="0" w:firstRowLastColumn="0" w:lastRowFirstColumn="0" w:lastRowLastColumn="0"/>
            <w:tcW w:w="0" w:type="auto"/>
          </w:tcPr>
          <w:p w14:paraId="56189E8B" w14:textId="4DA5EAA9" w:rsidR="0078523F" w:rsidRPr="000D0DAD" w:rsidRDefault="0078523F" w:rsidP="0078523F">
            <w:pPr>
              <w:spacing w:line="240" w:lineRule="auto"/>
              <w:rPr>
                <w:sz w:val="20"/>
                <w:szCs w:val="20"/>
              </w:rPr>
            </w:pPr>
            <w:r w:rsidRPr="000D0DAD">
              <w:rPr>
                <w:sz w:val="20"/>
                <w:szCs w:val="20"/>
              </w:rPr>
              <w:t>How to create a custom template image for RemoteApp</w:t>
            </w:r>
          </w:p>
        </w:tc>
        <w:tc>
          <w:tcPr>
            <w:tcW w:w="0" w:type="auto"/>
          </w:tcPr>
          <w:p w14:paraId="09873156" w14:textId="5A511EEB" w:rsidR="0078523F" w:rsidRPr="000D0DAD" w:rsidRDefault="00872E47" w:rsidP="0078523F">
            <w:pPr>
              <w:cnfStyle w:val="000000000000" w:firstRow="0" w:lastRow="0" w:firstColumn="0" w:lastColumn="0" w:oddVBand="0" w:evenVBand="0" w:oddHBand="0" w:evenHBand="0" w:firstRowFirstColumn="0" w:firstRowLastColumn="0" w:lastRowFirstColumn="0" w:lastRowLastColumn="0"/>
              <w:rPr>
                <w:sz w:val="20"/>
                <w:szCs w:val="20"/>
              </w:rPr>
            </w:pPr>
            <w:hyperlink r:id="rId273" w:history="1">
              <w:r w:rsidR="000D0DAD" w:rsidRPr="0068034F">
                <w:rPr>
                  <w:rStyle w:val="Hyperlink"/>
                  <w:sz w:val="20"/>
                  <w:szCs w:val="20"/>
                </w:rPr>
                <w:t>http://azure.microsoft.com/en-us/documentation/articles/remoteapp-create-cloud-deployment/</w:t>
              </w:r>
            </w:hyperlink>
            <w:r w:rsidR="000D0DAD">
              <w:rPr>
                <w:sz w:val="20"/>
                <w:szCs w:val="20"/>
              </w:rPr>
              <w:t xml:space="preserve"> </w:t>
            </w:r>
          </w:p>
        </w:tc>
      </w:tr>
      <w:tr w:rsidR="0078523F" w14:paraId="7EF63401" w14:textId="77777777" w:rsidTr="00DE00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41998CF" w14:textId="2281F949" w:rsidR="0078523F" w:rsidRPr="000D0DAD" w:rsidRDefault="000D0DAD" w:rsidP="0078523F">
            <w:pPr>
              <w:spacing w:line="240" w:lineRule="auto"/>
              <w:rPr>
                <w:sz w:val="20"/>
                <w:szCs w:val="20"/>
              </w:rPr>
            </w:pPr>
            <w:r w:rsidRPr="000D0DAD">
              <w:rPr>
                <w:sz w:val="20"/>
                <w:szCs w:val="20"/>
              </w:rPr>
              <w:t>How to create a hybrid collection of RemoteApp</w:t>
            </w:r>
          </w:p>
        </w:tc>
        <w:tc>
          <w:tcPr>
            <w:tcW w:w="0" w:type="auto"/>
          </w:tcPr>
          <w:p w14:paraId="65080009" w14:textId="4A02ABE8" w:rsidR="0078523F" w:rsidRPr="000D0DAD" w:rsidRDefault="00872E47" w:rsidP="0078523F">
            <w:pPr>
              <w:cnfStyle w:val="000000100000" w:firstRow="0" w:lastRow="0" w:firstColumn="0" w:lastColumn="0" w:oddVBand="0" w:evenVBand="0" w:oddHBand="1" w:evenHBand="0" w:firstRowFirstColumn="0" w:firstRowLastColumn="0" w:lastRowFirstColumn="0" w:lastRowLastColumn="0"/>
              <w:rPr>
                <w:sz w:val="20"/>
                <w:szCs w:val="20"/>
              </w:rPr>
            </w:pPr>
            <w:hyperlink r:id="rId274" w:history="1">
              <w:r w:rsidR="000D0DAD" w:rsidRPr="0068034F">
                <w:rPr>
                  <w:rStyle w:val="Hyperlink"/>
                  <w:sz w:val="20"/>
                  <w:szCs w:val="20"/>
                </w:rPr>
                <w:t>http://azure.microsoft.com/en-us/documentation/articles/remoteapp-create-hybrid-deployment/</w:t>
              </w:r>
            </w:hyperlink>
            <w:r w:rsidR="000D0DAD">
              <w:rPr>
                <w:sz w:val="20"/>
                <w:szCs w:val="20"/>
              </w:rPr>
              <w:t xml:space="preserve"> </w:t>
            </w:r>
          </w:p>
        </w:tc>
      </w:tr>
      <w:tr w:rsidR="000D0DAD" w14:paraId="5D210A5D" w14:textId="77777777" w:rsidTr="00DE0079">
        <w:tc>
          <w:tcPr>
            <w:cnfStyle w:val="001000000000" w:firstRow="0" w:lastRow="0" w:firstColumn="1" w:lastColumn="0" w:oddVBand="0" w:evenVBand="0" w:oddHBand="0" w:evenHBand="0" w:firstRowFirstColumn="0" w:firstRowLastColumn="0" w:lastRowFirstColumn="0" w:lastRowLastColumn="0"/>
            <w:tcW w:w="0" w:type="auto"/>
          </w:tcPr>
          <w:p w14:paraId="2E06EAA5" w14:textId="36C1DA62" w:rsidR="000D0DAD" w:rsidRPr="000D0DAD" w:rsidRDefault="000D0DAD" w:rsidP="0078523F">
            <w:pPr>
              <w:spacing w:line="240" w:lineRule="auto"/>
              <w:rPr>
                <w:sz w:val="20"/>
                <w:szCs w:val="20"/>
              </w:rPr>
            </w:pPr>
            <w:r w:rsidRPr="000D0DAD">
              <w:rPr>
                <w:sz w:val="20"/>
                <w:szCs w:val="20"/>
              </w:rPr>
              <w:t>How does licensing work in RemoteApp?</w:t>
            </w:r>
          </w:p>
        </w:tc>
        <w:tc>
          <w:tcPr>
            <w:tcW w:w="0" w:type="auto"/>
          </w:tcPr>
          <w:p w14:paraId="5A6483CC" w14:textId="6832A56D" w:rsidR="000D0DAD" w:rsidRPr="000D0DAD" w:rsidRDefault="00872E47" w:rsidP="0078523F">
            <w:pPr>
              <w:cnfStyle w:val="000000000000" w:firstRow="0" w:lastRow="0" w:firstColumn="0" w:lastColumn="0" w:oddVBand="0" w:evenVBand="0" w:oddHBand="0" w:evenHBand="0" w:firstRowFirstColumn="0" w:firstRowLastColumn="0" w:lastRowFirstColumn="0" w:lastRowLastColumn="0"/>
              <w:rPr>
                <w:sz w:val="20"/>
                <w:szCs w:val="20"/>
              </w:rPr>
            </w:pPr>
            <w:hyperlink r:id="rId275" w:history="1">
              <w:r w:rsidR="000D0DAD" w:rsidRPr="0068034F">
                <w:rPr>
                  <w:rStyle w:val="Hyperlink"/>
                  <w:sz w:val="20"/>
                  <w:szCs w:val="20"/>
                </w:rPr>
                <w:t>http://azure.microsoft.com/en-us/documentation/articles/remoteapp-licensing/</w:t>
              </w:r>
            </w:hyperlink>
            <w:r w:rsidR="000D0DAD">
              <w:rPr>
                <w:sz w:val="20"/>
                <w:szCs w:val="20"/>
              </w:rPr>
              <w:t xml:space="preserve"> </w:t>
            </w:r>
          </w:p>
        </w:tc>
      </w:tr>
      <w:tr w:rsidR="0078523F" w14:paraId="6E3760D1" w14:textId="77777777" w:rsidTr="00DE00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DD837BA" w14:textId="1C70DC77" w:rsidR="0078523F" w:rsidRPr="000D0DAD" w:rsidRDefault="000D0DAD" w:rsidP="0078523F">
            <w:pPr>
              <w:spacing w:line="240" w:lineRule="auto"/>
              <w:rPr>
                <w:sz w:val="20"/>
                <w:szCs w:val="20"/>
              </w:rPr>
            </w:pPr>
            <w:r w:rsidRPr="000D0DAD">
              <w:rPr>
                <w:sz w:val="20"/>
                <w:szCs w:val="20"/>
              </w:rPr>
              <w:t>Best practices for using Azure RemoteApp</w:t>
            </w:r>
          </w:p>
        </w:tc>
        <w:tc>
          <w:tcPr>
            <w:tcW w:w="0" w:type="auto"/>
          </w:tcPr>
          <w:p w14:paraId="1ADEBE4D" w14:textId="1ECB02BE" w:rsidR="0078523F" w:rsidRPr="000D0DAD" w:rsidRDefault="00872E47" w:rsidP="0078523F">
            <w:pPr>
              <w:cnfStyle w:val="000000100000" w:firstRow="0" w:lastRow="0" w:firstColumn="0" w:lastColumn="0" w:oddVBand="0" w:evenVBand="0" w:oddHBand="1" w:evenHBand="0" w:firstRowFirstColumn="0" w:firstRowLastColumn="0" w:lastRowFirstColumn="0" w:lastRowLastColumn="0"/>
              <w:rPr>
                <w:sz w:val="20"/>
                <w:szCs w:val="20"/>
              </w:rPr>
            </w:pPr>
            <w:hyperlink r:id="rId276" w:history="1">
              <w:r w:rsidR="000D0DAD" w:rsidRPr="0068034F">
                <w:rPr>
                  <w:rStyle w:val="Hyperlink"/>
                  <w:sz w:val="20"/>
                  <w:szCs w:val="20"/>
                </w:rPr>
                <w:t>http://azure.microsoft.com/en-us/documentation/articles/remoteapp-bestpractices/</w:t>
              </w:r>
            </w:hyperlink>
            <w:r w:rsidR="000D0DAD">
              <w:rPr>
                <w:sz w:val="20"/>
                <w:szCs w:val="20"/>
              </w:rPr>
              <w:t xml:space="preserve"> </w:t>
            </w:r>
          </w:p>
        </w:tc>
      </w:tr>
      <w:tr w:rsidR="0078523F" w14:paraId="6A66EE33" w14:textId="77777777" w:rsidTr="00DE0079">
        <w:tc>
          <w:tcPr>
            <w:cnfStyle w:val="001000000000" w:firstRow="0" w:lastRow="0" w:firstColumn="1" w:lastColumn="0" w:oddVBand="0" w:evenVBand="0" w:oddHBand="0" w:evenHBand="0" w:firstRowFirstColumn="0" w:firstRowLastColumn="0" w:lastRowFirstColumn="0" w:lastRowLastColumn="0"/>
            <w:tcW w:w="0" w:type="auto"/>
          </w:tcPr>
          <w:p w14:paraId="329CF413" w14:textId="63E4D957" w:rsidR="0078523F" w:rsidRPr="000D0DAD" w:rsidRDefault="000D0DAD" w:rsidP="0078523F">
            <w:pPr>
              <w:spacing w:line="240" w:lineRule="auto"/>
              <w:rPr>
                <w:sz w:val="20"/>
                <w:szCs w:val="20"/>
              </w:rPr>
            </w:pPr>
            <w:r w:rsidRPr="000D0DAD">
              <w:rPr>
                <w:sz w:val="20"/>
                <w:szCs w:val="20"/>
              </w:rPr>
              <w:t>Azure RemoteApp FAQ</w:t>
            </w:r>
          </w:p>
        </w:tc>
        <w:tc>
          <w:tcPr>
            <w:tcW w:w="0" w:type="auto"/>
          </w:tcPr>
          <w:p w14:paraId="4A4C4103" w14:textId="4FD08D89" w:rsidR="0078523F" w:rsidRPr="000D0DAD" w:rsidRDefault="00872E47" w:rsidP="0078523F">
            <w:pPr>
              <w:cnfStyle w:val="000000000000" w:firstRow="0" w:lastRow="0" w:firstColumn="0" w:lastColumn="0" w:oddVBand="0" w:evenVBand="0" w:oddHBand="0" w:evenHBand="0" w:firstRowFirstColumn="0" w:firstRowLastColumn="0" w:lastRowFirstColumn="0" w:lastRowLastColumn="0"/>
              <w:rPr>
                <w:sz w:val="20"/>
                <w:szCs w:val="20"/>
              </w:rPr>
            </w:pPr>
            <w:hyperlink r:id="rId277" w:history="1">
              <w:r w:rsidR="000D0DAD" w:rsidRPr="000D0DAD">
                <w:rPr>
                  <w:rStyle w:val="Hyperlink"/>
                  <w:sz w:val="20"/>
                  <w:szCs w:val="20"/>
                </w:rPr>
                <w:t>http://azure.microsoft.com/en-us/documentation/articles/remoteapp-faq/</w:t>
              </w:r>
            </w:hyperlink>
            <w:r w:rsidR="000D0DAD" w:rsidRPr="000D0DAD">
              <w:rPr>
                <w:sz w:val="20"/>
                <w:szCs w:val="20"/>
              </w:rPr>
              <w:t xml:space="preserve"> </w:t>
            </w:r>
          </w:p>
        </w:tc>
      </w:tr>
    </w:tbl>
    <w:p w14:paraId="26BBE55D" w14:textId="77777777" w:rsidR="0078523F" w:rsidRDefault="0078523F" w:rsidP="0078523F">
      <w:pPr>
        <w:rPr>
          <w:rFonts w:eastAsia="Calibri" w:cs="Segoe UI"/>
          <w:lang w:val="en"/>
        </w:rPr>
      </w:pPr>
    </w:p>
    <w:p w14:paraId="7A0A3C0C" w14:textId="77777777" w:rsidR="008E5B12" w:rsidRDefault="008E5B12">
      <w:pPr>
        <w:spacing w:before="0" w:after="160" w:line="259" w:lineRule="auto"/>
        <w:rPr>
          <w:rFonts w:eastAsiaTheme="minorHAnsi"/>
          <w:color w:val="008AC8"/>
          <w:sz w:val="32"/>
          <w:szCs w:val="36"/>
        </w:rPr>
      </w:pPr>
      <w:bookmarkStart w:id="3189" w:name="_Toc418061363"/>
      <w:bookmarkStart w:id="3190" w:name="_Toc418080722"/>
      <w:bookmarkStart w:id="3191" w:name="_Toc418081891"/>
      <w:bookmarkStart w:id="3192" w:name="_Toc418083294"/>
      <w:bookmarkStart w:id="3193" w:name="_Toc418095518"/>
      <w:r>
        <w:br w:type="page"/>
      </w:r>
    </w:p>
    <w:p w14:paraId="115AEEF0" w14:textId="77777777" w:rsidR="00D53A7A" w:rsidRDefault="00D53A7A" w:rsidP="005729D2">
      <w:pPr>
        <w:pStyle w:val="Heading2Numbered"/>
        <w:numPr>
          <w:ilvl w:val="1"/>
          <w:numId w:val="64"/>
        </w:numPr>
      </w:pPr>
      <w:bookmarkStart w:id="3194" w:name="_Toc418156688"/>
      <w:bookmarkStart w:id="3195" w:name="_Toc418167607"/>
      <w:bookmarkStart w:id="3196" w:name="_Toc418185864"/>
      <w:bookmarkStart w:id="3197" w:name="_Toc422941574"/>
      <w:bookmarkStart w:id="3198" w:name="_Toc423116780"/>
      <w:bookmarkStart w:id="3199" w:name="_Toc423117813"/>
      <w:bookmarkStart w:id="3200" w:name="_Toc423117263"/>
      <w:bookmarkStart w:id="3201" w:name="_Toc431288855"/>
      <w:r>
        <w:t>IaaS Considerations</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688D31F8" w14:textId="524B89FF" w:rsidR="00D53A7A" w:rsidRDefault="00C97C1E" w:rsidP="00C97C1E">
      <w:r>
        <w:t>There</w:t>
      </w:r>
      <w:r w:rsidR="00763DF3">
        <w:t xml:space="preserve"> are several considerations when deploying IaaS solutions within Microsoft Azure. Deployment considerations include cost, load balancing, resiliency, security, networking, and disaster recovery. Although not exhaustive, this section explores many of these considerations at a high level</w:t>
      </w:r>
      <w:r w:rsidR="008E5B12">
        <w:t>.</w:t>
      </w:r>
    </w:p>
    <w:p w14:paraId="0BC2ED8F" w14:textId="77777777" w:rsidR="00D53A7A" w:rsidRPr="003F7EF0" w:rsidRDefault="00D53A7A" w:rsidP="005729D2">
      <w:pPr>
        <w:pStyle w:val="Heading3Numbered"/>
        <w:numPr>
          <w:ilvl w:val="2"/>
          <w:numId w:val="64"/>
        </w:numPr>
      </w:pPr>
      <w:bookmarkStart w:id="3202" w:name="_Toc418061364"/>
      <w:bookmarkStart w:id="3203" w:name="_Toc418080723"/>
      <w:bookmarkStart w:id="3204" w:name="_Toc418081892"/>
      <w:bookmarkStart w:id="3205" w:name="_Toc418083295"/>
      <w:bookmarkStart w:id="3206" w:name="_Toc418095519"/>
      <w:bookmarkStart w:id="3207" w:name="_Toc418156689"/>
      <w:bookmarkStart w:id="3208" w:name="_Toc418167608"/>
      <w:bookmarkStart w:id="3209" w:name="_Toc418185865"/>
      <w:bookmarkStart w:id="3210" w:name="_Toc422941575"/>
      <w:bookmarkStart w:id="3211" w:name="_Toc423116781"/>
      <w:bookmarkStart w:id="3212" w:name="_Toc423117814"/>
      <w:bookmarkStart w:id="3213" w:name="_Toc423117264"/>
      <w:bookmarkStart w:id="3214" w:name="_Toc431288856"/>
      <w:r>
        <w:t>Cost</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50204118" w14:textId="0D28FEAF" w:rsidR="00D53A7A" w:rsidRDefault="008E5B12" w:rsidP="00C97C1E">
      <w:r>
        <w:t>Cost</w:t>
      </w:r>
      <w:r w:rsidR="00763DF3">
        <w:t xml:space="preserve"> is one of the top considerations for most organizations consuming services from Microsoft Azure. Being able to develop a predictable consumption model is key for the success of any solution deployed in Azure. The following table itemizes c</w:t>
      </w:r>
      <w:r w:rsidR="00763DF3" w:rsidRPr="000017A9">
        <w:t>ost factors that you should consider</w:t>
      </w:r>
      <w:r w:rsidR="00D53A7A" w:rsidRPr="000017A9">
        <w:t>:</w:t>
      </w:r>
    </w:p>
    <w:tbl>
      <w:tblPr>
        <w:tblStyle w:val="PlainTable11"/>
        <w:tblW w:w="0" w:type="auto"/>
        <w:tblLook w:val="04A0" w:firstRow="1" w:lastRow="0" w:firstColumn="1" w:lastColumn="0" w:noHBand="0" w:noVBand="1"/>
      </w:tblPr>
      <w:tblGrid>
        <w:gridCol w:w="2069"/>
        <w:gridCol w:w="7281"/>
      </w:tblGrid>
      <w:tr w:rsidR="008E5B12" w14:paraId="2FD3D975" w14:textId="77777777" w:rsidTr="00DE007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808080" w:themeFill="background1" w:themeFillShade="80"/>
            <w:hideMark/>
          </w:tcPr>
          <w:p w14:paraId="024AF008" w14:textId="77777777" w:rsidR="008E5B12" w:rsidRPr="00B45F31" w:rsidRDefault="008E5B12" w:rsidP="008E5B12">
            <w:pPr>
              <w:spacing w:line="240" w:lineRule="auto"/>
              <w:rPr>
                <w:rFonts w:eastAsia="Calibri"/>
                <w:color w:val="FFFFFF"/>
                <w:sz w:val="20"/>
                <w:szCs w:val="20"/>
                <w:lang w:eastAsia="en-AU"/>
              </w:rPr>
            </w:pPr>
            <w:r w:rsidRPr="00B45F31">
              <w:rPr>
                <w:rFonts w:eastAsia="Calibri"/>
                <w:color w:val="FFFFFF"/>
                <w:sz w:val="20"/>
                <w:szCs w:val="20"/>
                <w:lang w:eastAsia="en-AU"/>
              </w:rPr>
              <w:t>Considerations</w:t>
            </w:r>
          </w:p>
        </w:tc>
        <w:tc>
          <w:tcPr>
            <w:tcW w:w="0" w:type="auto"/>
            <w:shd w:val="clear" w:color="auto" w:fill="808080" w:themeFill="background1" w:themeFillShade="80"/>
            <w:hideMark/>
          </w:tcPr>
          <w:p w14:paraId="0FE719C2" w14:textId="77777777" w:rsidR="008E5B12" w:rsidRPr="00B45F31" w:rsidRDefault="008E5B12" w:rsidP="008E5B12">
            <w:pPr>
              <w:spacing w:line="240" w:lineRule="auto"/>
              <w:cnfStyle w:val="100000000000" w:firstRow="1" w:lastRow="0" w:firstColumn="0" w:lastColumn="0" w:oddVBand="0" w:evenVBand="0" w:oddHBand="0" w:evenHBand="0" w:firstRowFirstColumn="0" w:firstRowLastColumn="0" w:lastRowFirstColumn="0" w:lastRowLastColumn="0"/>
              <w:rPr>
                <w:rFonts w:eastAsia="Calibri"/>
                <w:color w:val="FFFFFF"/>
                <w:sz w:val="20"/>
                <w:szCs w:val="20"/>
                <w:lang w:eastAsia="en-AU"/>
              </w:rPr>
            </w:pPr>
            <w:r w:rsidRPr="00B45F31">
              <w:rPr>
                <w:rFonts w:eastAsia="Calibri"/>
                <w:color w:val="FFFFFF"/>
                <w:sz w:val="20"/>
                <w:szCs w:val="20"/>
                <w:lang w:eastAsia="en-AU"/>
              </w:rPr>
              <w:t>Decision Points</w:t>
            </w:r>
          </w:p>
        </w:tc>
      </w:tr>
      <w:tr w:rsidR="00763DF3" w14:paraId="2BF5DABF" w14:textId="77777777" w:rsidTr="00DE00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D4A2DE6" w14:textId="6EBA3794" w:rsidR="00763DF3" w:rsidRPr="00B45F31" w:rsidRDefault="00763DF3" w:rsidP="00763DF3">
            <w:pPr>
              <w:rPr>
                <w:sz w:val="20"/>
                <w:szCs w:val="20"/>
              </w:rPr>
            </w:pPr>
            <w:r w:rsidRPr="00B45F31">
              <w:rPr>
                <w:sz w:val="20"/>
                <w:szCs w:val="20"/>
              </w:rPr>
              <w:t>The size and number of virtual machines</w:t>
            </w:r>
          </w:p>
        </w:tc>
        <w:tc>
          <w:tcPr>
            <w:tcW w:w="0" w:type="auto"/>
          </w:tcPr>
          <w:p w14:paraId="51CFCCEF" w14:textId="2035E959" w:rsidR="00763DF3" w:rsidRPr="00E40705" w:rsidRDefault="00763DF3" w:rsidP="00763DF3">
            <w:pPr>
              <w:cnfStyle w:val="000000100000" w:firstRow="0" w:lastRow="0" w:firstColumn="0" w:lastColumn="0" w:oddVBand="0" w:evenVBand="0" w:oddHBand="1" w:evenHBand="0" w:firstRowFirstColumn="0" w:firstRowLastColumn="0" w:lastRowFirstColumn="0" w:lastRowLastColumn="0"/>
              <w:rPr>
                <w:sz w:val="20"/>
                <w:szCs w:val="20"/>
                <w:lang w:val="en"/>
              </w:rPr>
            </w:pPr>
            <w:r w:rsidRPr="00CD3D42">
              <w:rPr>
                <w:sz w:val="20"/>
                <w:szCs w:val="20"/>
                <w:lang w:val="en"/>
              </w:rPr>
              <w:t xml:space="preserve">Windows Server licensing costs may be included. Compute hours don’t include any Azure </w:t>
            </w:r>
            <w:r>
              <w:rPr>
                <w:sz w:val="20"/>
                <w:szCs w:val="20"/>
                <w:lang w:val="en"/>
              </w:rPr>
              <w:t>S</w:t>
            </w:r>
            <w:r w:rsidRPr="00CD3D42">
              <w:rPr>
                <w:sz w:val="20"/>
                <w:szCs w:val="20"/>
                <w:lang w:val="en"/>
              </w:rPr>
              <w:t>torage costs that are associated with the Windows Server image running in virtual machines. These costs are billed separately.</w:t>
            </w:r>
          </w:p>
        </w:tc>
      </w:tr>
      <w:tr w:rsidR="00763DF3" w14:paraId="5F30E343" w14:textId="77777777" w:rsidTr="00DE0079">
        <w:tc>
          <w:tcPr>
            <w:cnfStyle w:val="001000000000" w:firstRow="0" w:lastRow="0" w:firstColumn="1" w:lastColumn="0" w:oddVBand="0" w:evenVBand="0" w:oddHBand="0" w:evenHBand="0" w:firstRowFirstColumn="0" w:firstRowLastColumn="0" w:lastRowFirstColumn="0" w:lastRowLastColumn="0"/>
            <w:tcW w:w="0" w:type="auto"/>
          </w:tcPr>
          <w:p w14:paraId="11D596C6" w14:textId="412D3767" w:rsidR="00763DF3" w:rsidRPr="00B45F31" w:rsidRDefault="00763DF3" w:rsidP="00763DF3">
            <w:pPr>
              <w:rPr>
                <w:sz w:val="20"/>
                <w:szCs w:val="20"/>
              </w:rPr>
            </w:pPr>
            <w:r w:rsidRPr="00B45F31">
              <w:rPr>
                <w:sz w:val="20"/>
                <w:szCs w:val="20"/>
              </w:rPr>
              <w:t xml:space="preserve">Azure </w:t>
            </w:r>
            <w:r>
              <w:rPr>
                <w:sz w:val="20"/>
                <w:szCs w:val="20"/>
              </w:rPr>
              <w:t>S</w:t>
            </w:r>
            <w:r w:rsidRPr="00B45F31">
              <w:rPr>
                <w:sz w:val="20"/>
                <w:szCs w:val="20"/>
              </w:rPr>
              <w:t>torage requirements</w:t>
            </w:r>
          </w:p>
        </w:tc>
        <w:tc>
          <w:tcPr>
            <w:tcW w:w="0" w:type="auto"/>
          </w:tcPr>
          <w:p w14:paraId="4A05E50C" w14:textId="3F345F4D" w:rsidR="00763DF3" w:rsidRPr="00E40705" w:rsidRDefault="00763DF3" w:rsidP="00763DF3">
            <w:pPr>
              <w:cnfStyle w:val="000000000000" w:firstRow="0" w:lastRow="0" w:firstColumn="0" w:lastColumn="0" w:oddVBand="0" w:evenVBand="0" w:oddHBand="0" w:evenHBand="0" w:firstRowFirstColumn="0" w:firstRowLastColumn="0" w:lastRowFirstColumn="0" w:lastRowLastColumn="0"/>
              <w:rPr>
                <w:sz w:val="20"/>
                <w:szCs w:val="20"/>
                <w:lang w:val="en"/>
              </w:rPr>
            </w:pPr>
            <w:r w:rsidRPr="00CD3D42">
              <w:rPr>
                <w:sz w:val="20"/>
                <w:szCs w:val="20"/>
                <w:lang w:val="en"/>
              </w:rPr>
              <w:t xml:space="preserve">Charges apply for Azure </w:t>
            </w:r>
            <w:r>
              <w:rPr>
                <w:sz w:val="20"/>
                <w:szCs w:val="20"/>
                <w:lang w:val="en"/>
              </w:rPr>
              <w:t>S</w:t>
            </w:r>
            <w:r w:rsidRPr="00CD3D42">
              <w:rPr>
                <w:sz w:val="20"/>
                <w:szCs w:val="20"/>
                <w:lang w:val="en"/>
              </w:rPr>
              <w:t>torage costs that are required for virtual machines.</w:t>
            </w:r>
          </w:p>
        </w:tc>
      </w:tr>
      <w:tr w:rsidR="00763DF3" w14:paraId="3048B865" w14:textId="77777777" w:rsidTr="00DE00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18B5C60" w14:textId="3F45F0DA" w:rsidR="00763DF3" w:rsidRPr="00B45F31" w:rsidRDefault="00763DF3" w:rsidP="00763DF3">
            <w:pPr>
              <w:rPr>
                <w:sz w:val="20"/>
                <w:szCs w:val="20"/>
              </w:rPr>
            </w:pPr>
            <w:r w:rsidRPr="00B45F31">
              <w:rPr>
                <w:sz w:val="20"/>
                <w:szCs w:val="20"/>
              </w:rPr>
              <w:t>Azure Virtual Network</w:t>
            </w:r>
          </w:p>
        </w:tc>
        <w:tc>
          <w:tcPr>
            <w:tcW w:w="0" w:type="auto"/>
          </w:tcPr>
          <w:p w14:paraId="0A63C351" w14:textId="1CDC2708" w:rsidR="00763DF3" w:rsidRPr="00E40705" w:rsidRDefault="00763DF3" w:rsidP="00763DF3">
            <w:pPr>
              <w:cnfStyle w:val="000000100000" w:firstRow="0" w:lastRow="0" w:firstColumn="0" w:lastColumn="0" w:oddVBand="0" w:evenVBand="0" w:oddHBand="1" w:evenHBand="0" w:firstRowFirstColumn="0" w:firstRowLastColumn="0" w:lastRowFirstColumn="0" w:lastRowLastColumn="0"/>
              <w:rPr>
                <w:sz w:val="20"/>
                <w:szCs w:val="20"/>
                <w:lang w:val="en"/>
              </w:rPr>
            </w:pPr>
            <w:r w:rsidRPr="00CD3D42">
              <w:rPr>
                <w:sz w:val="20"/>
                <w:szCs w:val="20"/>
                <w:lang w:val="en"/>
              </w:rPr>
              <w:t>Charges apply for the creation of a virtual private network (VPN) connection between a virtual network and your VPN gateway. The charge is for each hour that the VPN connection is provisioned and available (</w:t>
            </w:r>
            <w:r>
              <w:rPr>
                <w:sz w:val="20"/>
                <w:szCs w:val="20"/>
                <w:lang w:val="en"/>
              </w:rPr>
              <w:t xml:space="preserve">referred to as </w:t>
            </w:r>
            <w:r w:rsidRPr="00CD3D42">
              <w:rPr>
                <w:sz w:val="20"/>
                <w:szCs w:val="20"/>
                <w:lang w:val="en"/>
              </w:rPr>
              <w:t xml:space="preserve">a VPN connection hour). </w:t>
            </w:r>
            <w:r>
              <w:rPr>
                <w:sz w:val="20"/>
                <w:szCs w:val="20"/>
                <w:lang w:val="en"/>
              </w:rPr>
              <w:t>The connection</w:t>
            </w:r>
            <w:r w:rsidRPr="00CD3D42">
              <w:rPr>
                <w:sz w:val="20"/>
                <w:szCs w:val="20"/>
                <w:lang w:val="en"/>
              </w:rPr>
              <w:t xml:space="preserve"> should be</w:t>
            </w:r>
            <w:r>
              <w:rPr>
                <w:sz w:val="20"/>
                <w:szCs w:val="20"/>
                <w:lang w:val="en"/>
              </w:rPr>
              <w:t> 2</w:t>
            </w:r>
            <w:r w:rsidRPr="00CD3D42">
              <w:rPr>
                <w:sz w:val="20"/>
                <w:szCs w:val="20"/>
                <w:lang w:val="en"/>
              </w:rPr>
              <w:t>4 hours a day, seven days a week. All data transferred over the VPN connection is charged separately at the Azure standard data transfer rates.</w:t>
            </w:r>
          </w:p>
        </w:tc>
      </w:tr>
      <w:tr w:rsidR="00763DF3" w14:paraId="0695F594" w14:textId="77777777" w:rsidTr="00DE0079">
        <w:tc>
          <w:tcPr>
            <w:cnfStyle w:val="001000000000" w:firstRow="0" w:lastRow="0" w:firstColumn="1" w:lastColumn="0" w:oddVBand="0" w:evenVBand="0" w:oddHBand="0" w:evenHBand="0" w:firstRowFirstColumn="0" w:firstRowLastColumn="0" w:lastRowFirstColumn="0" w:lastRowLastColumn="0"/>
            <w:tcW w:w="0" w:type="auto"/>
          </w:tcPr>
          <w:p w14:paraId="70D6B67B" w14:textId="4967B47B" w:rsidR="00763DF3" w:rsidRPr="00B45F31" w:rsidRDefault="00763DF3" w:rsidP="00763DF3">
            <w:pPr>
              <w:rPr>
                <w:sz w:val="20"/>
                <w:szCs w:val="20"/>
              </w:rPr>
            </w:pPr>
            <w:r w:rsidRPr="00B45F31">
              <w:rPr>
                <w:sz w:val="20"/>
                <w:szCs w:val="20"/>
              </w:rPr>
              <w:t>Network traffic</w:t>
            </w:r>
          </w:p>
        </w:tc>
        <w:tc>
          <w:tcPr>
            <w:tcW w:w="0" w:type="auto"/>
          </w:tcPr>
          <w:p w14:paraId="78238AEF" w14:textId="195318C9" w:rsidR="00763DF3" w:rsidRPr="00E40705" w:rsidRDefault="00763DF3" w:rsidP="00763DF3">
            <w:pPr>
              <w:cnfStyle w:val="000000000000" w:firstRow="0" w:lastRow="0" w:firstColumn="0" w:lastColumn="0" w:oddVBand="0" w:evenVBand="0" w:oddHBand="0" w:evenHBand="0" w:firstRowFirstColumn="0" w:firstRowLastColumn="0" w:lastRowFirstColumn="0" w:lastRowLastColumn="0"/>
              <w:rPr>
                <w:sz w:val="20"/>
                <w:szCs w:val="20"/>
                <w:lang w:val="en"/>
              </w:rPr>
            </w:pPr>
            <w:r w:rsidRPr="00CD3D42">
              <w:rPr>
                <w:sz w:val="20"/>
                <w:szCs w:val="20"/>
                <w:lang w:val="en"/>
              </w:rPr>
              <w:t xml:space="preserve">Outbound data is charged based on the total amount of data moving out of the Azure datacenters through the Internet in a given billing cycle. This applies to any traffic, including traffic that traverses the VPN tunnel. In this </w:t>
            </w:r>
            <w:r>
              <w:rPr>
                <w:sz w:val="20"/>
                <w:szCs w:val="20"/>
                <w:lang w:val="en"/>
              </w:rPr>
              <w:t>document</w:t>
            </w:r>
            <w:r w:rsidRPr="00CD3D42">
              <w:rPr>
                <w:sz w:val="20"/>
                <w:szCs w:val="20"/>
                <w:lang w:val="en"/>
              </w:rPr>
              <w:t>, outbound directory synchronization traffic is expected to represent the most significant portion of the network traffic, depending on the amount of directory changes.</w:t>
            </w:r>
          </w:p>
        </w:tc>
      </w:tr>
      <w:tr w:rsidR="00763DF3" w14:paraId="1E268386" w14:textId="77777777" w:rsidTr="00DE00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1FAE0E5" w14:textId="78097938" w:rsidR="00763DF3" w:rsidRPr="00B45F31" w:rsidRDefault="00763DF3" w:rsidP="00763DF3">
            <w:pPr>
              <w:rPr>
                <w:sz w:val="20"/>
                <w:szCs w:val="20"/>
              </w:rPr>
            </w:pPr>
            <w:r w:rsidRPr="00B45F31">
              <w:rPr>
                <w:sz w:val="20"/>
                <w:szCs w:val="20"/>
              </w:rPr>
              <w:t>Support</w:t>
            </w:r>
          </w:p>
        </w:tc>
        <w:tc>
          <w:tcPr>
            <w:tcW w:w="0" w:type="auto"/>
          </w:tcPr>
          <w:p w14:paraId="50927886" w14:textId="22986C37" w:rsidR="00763DF3" w:rsidRPr="00E40705" w:rsidRDefault="00763DF3" w:rsidP="00763DF3">
            <w:pPr>
              <w:cnfStyle w:val="000000100000" w:firstRow="0" w:lastRow="0" w:firstColumn="0" w:lastColumn="0" w:oddVBand="0" w:evenVBand="0" w:oddHBand="1" w:evenHBand="0" w:firstRowFirstColumn="0" w:firstRowLastColumn="0" w:lastRowFirstColumn="0" w:lastRowLastColumn="0"/>
              <w:rPr>
                <w:sz w:val="20"/>
                <w:szCs w:val="20"/>
                <w:lang w:val="en"/>
              </w:rPr>
            </w:pPr>
            <w:r w:rsidRPr="00CD3D42">
              <w:rPr>
                <w:sz w:val="20"/>
                <w:szCs w:val="20"/>
                <w:lang w:val="en"/>
              </w:rPr>
              <w:t>Azure offers flexible support options for organizations of all sizes. Enterprises that deploy business-critical applications in Azure should consider additional support options</w:t>
            </w:r>
            <w:r>
              <w:rPr>
                <w:sz w:val="20"/>
                <w:szCs w:val="20"/>
                <w:lang w:val="en"/>
              </w:rPr>
              <w:t>.</w:t>
            </w:r>
          </w:p>
        </w:tc>
      </w:tr>
    </w:tbl>
    <w:p w14:paraId="4E8308CA" w14:textId="77777777" w:rsidR="00D53A7A" w:rsidRDefault="00D53A7A" w:rsidP="008E5B12">
      <w:pPr>
        <w:rPr>
          <w:b/>
          <w:bCs/>
        </w:rPr>
      </w:pPr>
    </w:p>
    <w:p w14:paraId="13F50594" w14:textId="77777777" w:rsidR="00D53A7A" w:rsidRDefault="00D53A7A" w:rsidP="005729D2">
      <w:pPr>
        <w:pStyle w:val="Heading3Numbered"/>
        <w:numPr>
          <w:ilvl w:val="2"/>
          <w:numId w:val="64"/>
        </w:numPr>
      </w:pPr>
      <w:bookmarkStart w:id="3215" w:name="_Toc418061365"/>
      <w:bookmarkStart w:id="3216" w:name="_Toc418080724"/>
      <w:bookmarkStart w:id="3217" w:name="_Toc418081893"/>
      <w:bookmarkStart w:id="3218" w:name="_Toc418083296"/>
      <w:bookmarkStart w:id="3219" w:name="_Toc418095520"/>
      <w:bookmarkStart w:id="3220" w:name="_Toc418156690"/>
      <w:bookmarkStart w:id="3221" w:name="_Toc418167609"/>
      <w:bookmarkStart w:id="3222" w:name="_Toc418185866"/>
      <w:bookmarkStart w:id="3223" w:name="_Toc422941576"/>
      <w:bookmarkStart w:id="3224" w:name="_Toc423116782"/>
      <w:bookmarkStart w:id="3225" w:name="_Toc423117815"/>
      <w:bookmarkStart w:id="3226" w:name="_Toc423117265"/>
      <w:bookmarkStart w:id="3227" w:name="_Toc431288857"/>
      <w:r>
        <w:t>Load Balancing</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72E515FC" w14:textId="748705B0" w:rsidR="00763DF3" w:rsidRPr="00657A6B" w:rsidRDefault="00D53A7A" w:rsidP="00763DF3">
      <w:r>
        <w:t>Customers</w:t>
      </w:r>
      <w:r w:rsidR="00763DF3">
        <w:t xml:space="preserve"> deploying applications </w:t>
      </w:r>
      <w:r w:rsidR="00763DF3" w:rsidRPr="006779E0">
        <w:t xml:space="preserve">in </w:t>
      </w:r>
      <w:r w:rsidR="00763DF3">
        <w:t>Azure</w:t>
      </w:r>
      <w:r w:rsidR="00763DF3" w:rsidRPr="006779E0">
        <w:t xml:space="preserve"> Virtual Machines </w:t>
      </w:r>
      <w:r w:rsidR="00763DF3">
        <w:t>must consider</w:t>
      </w:r>
      <w:r w:rsidR="00763DF3" w:rsidRPr="006779E0">
        <w:t xml:space="preserve"> load balancing their </w:t>
      </w:r>
      <w:r w:rsidR="00763DF3">
        <w:t>v</w:t>
      </w:r>
      <w:r w:rsidR="00763DF3" w:rsidRPr="006779E0">
        <w:t xml:space="preserve">irtual </w:t>
      </w:r>
      <w:r w:rsidR="00763DF3">
        <w:t>m</w:t>
      </w:r>
      <w:r w:rsidR="00763DF3" w:rsidRPr="006779E0">
        <w:t xml:space="preserve">achines. This is for </w:t>
      </w:r>
      <w:r w:rsidR="00763DF3">
        <w:t>application</w:t>
      </w:r>
      <w:r w:rsidR="00763DF3" w:rsidRPr="006779E0">
        <w:t xml:space="preserve"> deployments that </w:t>
      </w:r>
      <w:r w:rsidR="00763DF3">
        <w:t xml:space="preserve">require </w:t>
      </w:r>
      <w:r w:rsidR="00763DF3" w:rsidRPr="006779E0">
        <w:t xml:space="preserve">more than one server. </w:t>
      </w:r>
      <w:r w:rsidR="00763DF3" w:rsidRPr="00657A6B">
        <w:t>For customers wanting to use on-premises load balancing, this configuration is not supported today with Azure Virtual Machines.</w:t>
      </w:r>
      <w:r w:rsidR="00763DF3">
        <w:t xml:space="preserve"> W</w:t>
      </w:r>
      <w:r w:rsidR="00763DF3" w:rsidRPr="00657A6B">
        <w:t>hen</w:t>
      </w:r>
      <w:r w:rsidR="00763DF3">
        <w:t xml:space="preserve"> considering </w:t>
      </w:r>
      <w:r w:rsidR="00763DF3" w:rsidRPr="00657A6B">
        <w:t xml:space="preserve">load balancing </w:t>
      </w:r>
      <w:r w:rsidR="00763DF3">
        <w:t xml:space="preserve">in </w:t>
      </w:r>
      <w:r w:rsidR="00763DF3" w:rsidRPr="00657A6B">
        <w:t>Azure Virtual Machines</w:t>
      </w:r>
      <w:r w:rsidR="00763DF3">
        <w:t xml:space="preserve">, note that </w:t>
      </w:r>
      <w:r w:rsidR="00763DF3" w:rsidRPr="00657A6B">
        <w:t>Azure Virtual Machines currently only supports</w:t>
      </w:r>
      <w:r w:rsidR="00763DF3">
        <w:t xml:space="preserve"> a</w:t>
      </w:r>
      <w:r w:rsidR="00763DF3" w:rsidRPr="00657A6B">
        <w:t xml:space="preserve"> </w:t>
      </w:r>
      <w:r w:rsidR="00763DF3">
        <w:t>r</w:t>
      </w:r>
      <w:r w:rsidR="00763DF3" w:rsidRPr="00657A6B">
        <w:t xml:space="preserve">ound </w:t>
      </w:r>
      <w:r w:rsidR="00763DF3">
        <w:t>r</w:t>
      </w:r>
      <w:r w:rsidR="00763DF3" w:rsidRPr="00657A6B">
        <w:t>obin load</w:t>
      </w:r>
      <w:r w:rsidR="00763DF3">
        <w:t>-</w:t>
      </w:r>
      <w:r w:rsidR="00763DF3" w:rsidRPr="00657A6B">
        <w:t xml:space="preserve">balancing configuration. </w:t>
      </w:r>
    </w:p>
    <w:p w14:paraId="598953D0" w14:textId="77777777" w:rsidR="00763DF3" w:rsidRPr="00657A6B" w:rsidRDefault="00763DF3" w:rsidP="00763DF3">
      <w:r>
        <w:t>There</w:t>
      </w:r>
      <w:r w:rsidRPr="00657A6B">
        <w:t xml:space="preserve"> are two levels of load balancing available for Azure infrastructure services:</w:t>
      </w:r>
    </w:p>
    <w:p w14:paraId="046148BA" w14:textId="77777777" w:rsidR="00763DF3" w:rsidRPr="00657A6B" w:rsidRDefault="00763DF3" w:rsidP="005729D2">
      <w:pPr>
        <w:numPr>
          <w:ilvl w:val="0"/>
          <w:numId w:val="24"/>
        </w:numPr>
      </w:pPr>
      <w:r w:rsidRPr="00657A6B">
        <w:rPr>
          <w:b/>
        </w:rPr>
        <w:t xml:space="preserve">DNS </w:t>
      </w:r>
      <w:r>
        <w:rPr>
          <w:b/>
        </w:rPr>
        <w:t>l</w:t>
      </w:r>
      <w:r w:rsidRPr="00657A6B">
        <w:rPr>
          <w:b/>
        </w:rPr>
        <w:t>evel</w:t>
      </w:r>
      <w:r w:rsidRPr="00657A6B">
        <w:t xml:space="preserve">: Load balancing for traffic to different cloud services located in different </w:t>
      </w:r>
      <w:r>
        <w:t>datacenter</w:t>
      </w:r>
      <w:r w:rsidRPr="00657A6B">
        <w:t xml:space="preserve">s, to different Azure websites located in different </w:t>
      </w:r>
      <w:r>
        <w:t>datacenter</w:t>
      </w:r>
      <w:r w:rsidRPr="00657A6B">
        <w:t xml:space="preserve">s, or to external endpoints. This is done with Traffic Manager and the </w:t>
      </w:r>
      <w:r>
        <w:t>r</w:t>
      </w:r>
      <w:r w:rsidRPr="00657A6B">
        <w:t xml:space="preserve">ound </w:t>
      </w:r>
      <w:r>
        <w:t>r</w:t>
      </w:r>
      <w:r w:rsidRPr="00657A6B">
        <w:t>obin load balancing method.</w:t>
      </w:r>
    </w:p>
    <w:p w14:paraId="3B827F16" w14:textId="232FCC35" w:rsidR="00D53A7A" w:rsidRPr="00657A6B" w:rsidRDefault="00763DF3" w:rsidP="00763DF3">
      <w:r w:rsidRPr="00657A6B">
        <w:rPr>
          <w:b/>
        </w:rPr>
        <w:t xml:space="preserve">Network </w:t>
      </w:r>
      <w:r>
        <w:rPr>
          <w:b/>
        </w:rPr>
        <w:t>l</w:t>
      </w:r>
      <w:r w:rsidRPr="00657A6B">
        <w:rPr>
          <w:b/>
        </w:rPr>
        <w:t>evel</w:t>
      </w:r>
      <w:r w:rsidRPr="00657A6B">
        <w:t xml:space="preserve">: Load balancing of incoming Internet traffic to different virtual machines of a cloud service, or load balancing of traffic between virtual machines in a cloud service or virtual network. This is done with the Azure </w:t>
      </w:r>
      <w:r>
        <w:t>L</w:t>
      </w:r>
      <w:r w:rsidRPr="00657A6B">
        <w:t xml:space="preserve">oad </w:t>
      </w:r>
      <w:r>
        <w:t>B</w:t>
      </w:r>
      <w:r w:rsidRPr="00657A6B">
        <w:t>alancer</w:t>
      </w:r>
      <w:r w:rsidR="00D53A7A" w:rsidRPr="00657A6B">
        <w:t>.</w:t>
      </w:r>
    </w:p>
    <w:p w14:paraId="7A8DD80B" w14:textId="77777777" w:rsidR="00D53A7A" w:rsidRPr="0016058B" w:rsidRDefault="00D53A7A" w:rsidP="00D53A7A"/>
    <w:tbl>
      <w:tblPr>
        <w:tblStyle w:val="PlainTable11"/>
        <w:tblW w:w="0" w:type="auto"/>
        <w:tblLook w:val="04A0" w:firstRow="1" w:lastRow="0" w:firstColumn="1" w:lastColumn="0" w:noHBand="0" w:noVBand="1"/>
      </w:tblPr>
      <w:tblGrid>
        <w:gridCol w:w="3412"/>
        <w:gridCol w:w="5938"/>
      </w:tblGrid>
      <w:tr w:rsidR="00D53A7A" w14:paraId="7ACDEE7C" w14:textId="77777777" w:rsidTr="00DE007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014979AF" w14:textId="77777777" w:rsidR="00D53A7A" w:rsidRPr="00F47607" w:rsidRDefault="00D53A7A" w:rsidP="00D53A7A">
            <w:pPr>
              <w:spacing w:line="240" w:lineRule="auto"/>
              <w:rPr>
                <w:color w:val="FFFFFF"/>
              </w:rPr>
            </w:pPr>
            <w:r>
              <w:rPr>
                <w:color w:val="FFFFFF"/>
              </w:rPr>
              <w:t>Feature References</w:t>
            </w:r>
          </w:p>
        </w:tc>
      </w:tr>
      <w:tr w:rsidR="00D53A7A" w14:paraId="26BA7B99" w14:textId="77777777" w:rsidTr="00DE00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494308ED" w14:textId="77777777" w:rsidR="00D53A7A" w:rsidRPr="00927F75" w:rsidRDefault="00D53A7A" w:rsidP="00D53A7A">
            <w:pPr>
              <w:spacing w:line="240" w:lineRule="auto"/>
              <w:rPr>
                <w:sz w:val="20"/>
                <w:szCs w:val="18"/>
              </w:rPr>
            </w:pPr>
            <w:r w:rsidRPr="006779E0">
              <w:rPr>
                <w:sz w:val="20"/>
                <w:szCs w:val="18"/>
                <w:lang w:val="en"/>
              </w:rPr>
              <w:t>Load Balancing for Azure Infrastructure Services</w:t>
            </w:r>
          </w:p>
        </w:tc>
        <w:tc>
          <w:tcPr>
            <w:tcW w:w="5940" w:type="dxa"/>
          </w:tcPr>
          <w:p w14:paraId="2BBA5779" w14:textId="77777777" w:rsidR="00D53A7A" w:rsidRPr="006779E0" w:rsidRDefault="00872E47" w:rsidP="00D53A7A">
            <w:pPr>
              <w:spacing w:after="0" w:line="360" w:lineRule="auto"/>
              <w:cnfStyle w:val="000000100000" w:firstRow="0" w:lastRow="0" w:firstColumn="0" w:lastColumn="0" w:oddVBand="0" w:evenVBand="0" w:oddHBand="1" w:evenHBand="0" w:firstRowFirstColumn="0" w:firstRowLastColumn="0" w:lastRowFirstColumn="0" w:lastRowLastColumn="0"/>
              <w:rPr>
                <w:rFonts w:cs="Segoe UI"/>
                <w:sz w:val="20"/>
                <w:lang w:val="en"/>
              </w:rPr>
            </w:pPr>
            <w:hyperlink r:id="rId278" w:history="1">
              <w:r w:rsidR="00D53A7A" w:rsidRPr="006779E0">
                <w:rPr>
                  <w:rStyle w:val="Hyperlink"/>
                  <w:rFonts w:cs="Segoe UI"/>
                  <w:sz w:val="20"/>
                  <w:lang w:val="en"/>
                </w:rPr>
                <w:t>http://www.windowsazure.com/en-us/manage/windows/common-tasks/how-to-load-balance-virtual-machines/</w:t>
              </w:r>
            </w:hyperlink>
          </w:p>
        </w:tc>
      </w:tr>
      <w:tr w:rsidR="00D53A7A" w14:paraId="0A8FD3FC" w14:textId="77777777" w:rsidTr="00DE0079">
        <w:tc>
          <w:tcPr>
            <w:cnfStyle w:val="001000000000" w:firstRow="0" w:lastRow="0" w:firstColumn="1" w:lastColumn="0" w:oddVBand="0" w:evenVBand="0" w:oddHBand="0" w:evenHBand="0" w:firstRowFirstColumn="0" w:firstRowLastColumn="0" w:lastRowFirstColumn="0" w:lastRowLastColumn="0"/>
            <w:tcW w:w="3420" w:type="dxa"/>
          </w:tcPr>
          <w:p w14:paraId="5B2470BA" w14:textId="77777777" w:rsidR="00D53A7A" w:rsidRPr="00F47607" w:rsidRDefault="00D53A7A" w:rsidP="00D53A7A">
            <w:pPr>
              <w:spacing w:line="240" w:lineRule="auto"/>
              <w:rPr>
                <w:sz w:val="20"/>
              </w:rPr>
            </w:pPr>
            <w:r w:rsidRPr="008C74F8">
              <w:rPr>
                <w:sz w:val="20"/>
                <w:lang w:val="en"/>
              </w:rPr>
              <w:t>About Traffic Manager Load Balancing Methods</w:t>
            </w:r>
          </w:p>
        </w:tc>
        <w:tc>
          <w:tcPr>
            <w:tcW w:w="5940" w:type="dxa"/>
          </w:tcPr>
          <w:p w14:paraId="200568BD" w14:textId="2077F5B0" w:rsidR="00D53A7A" w:rsidRPr="00927F75" w:rsidRDefault="00872E47" w:rsidP="00D53A7A">
            <w:pPr>
              <w:cnfStyle w:val="000000000000" w:firstRow="0" w:lastRow="0" w:firstColumn="0" w:lastColumn="0" w:oddVBand="0" w:evenVBand="0" w:oddHBand="0" w:evenHBand="0" w:firstRowFirstColumn="0" w:firstRowLastColumn="0" w:lastRowFirstColumn="0" w:lastRowLastColumn="0"/>
              <w:rPr>
                <w:sz w:val="20"/>
              </w:rPr>
            </w:pPr>
            <w:hyperlink r:id="rId279" w:history="1">
              <w:r w:rsidR="00F83B5B">
                <w:rPr>
                  <w:rStyle w:val="Hyperlink"/>
                  <w:sz w:val="20"/>
                </w:rPr>
                <w:t>http://azure.microsoft.com/documentation/articles/traffic-manager-load-balancing-methods</w:t>
              </w:r>
            </w:hyperlink>
            <w:r w:rsidR="00D53A7A">
              <w:rPr>
                <w:sz w:val="20"/>
              </w:rPr>
              <w:t xml:space="preserve"> </w:t>
            </w:r>
          </w:p>
        </w:tc>
      </w:tr>
      <w:tr w:rsidR="00D53A7A" w14:paraId="70210A19" w14:textId="77777777" w:rsidTr="00DE00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4AC41C4D" w14:textId="77777777" w:rsidR="00D53A7A" w:rsidRDefault="00D53A7A" w:rsidP="00D53A7A">
            <w:pPr>
              <w:spacing w:line="240" w:lineRule="auto"/>
              <w:rPr>
                <w:sz w:val="20"/>
              </w:rPr>
            </w:pPr>
            <w:r w:rsidRPr="007E62C3">
              <w:rPr>
                <w:sz w:val="20"/>
                <w:lang w:val="en"/>
              </w:rPr>
              <w:t>Internal load balancing</w:t>
            </w:r>
          </w:p>
        </w:tc>
        <w:tc>
          <w:tcPr>
            <w:tcW w:w="5940" w:type="dxa"/>
          </w:tcPr>
          <w:p w14:paraId="607E80D3" w14:textId="4472694E" w:rsidR="00D53A7A" w:rsidRPr="00927F75" w:rsidRDefault="00872E47" w:rsidP="00D53A7A">
            <w:pPr>
              <w:cnfStyle w:val="000000100000" w:firstRow="0" w:lastRow="0" w:firstColumn="0" w:lastColumn="0" w:oddVBand="0" w:evenVBand="0" w:oddHBand="1" w:evenHBand="0" w:firstRowFirstColumn="0" w:firstRowLastColumn="0" w:lastRowFirstColumn="0" w:lastRowLastColumn="0"/>
              <w:rPr>
                <w:sz w:val="20"/>
              </w:rPr>
            </w:pPr>
            <w:hyperlink r:id="rId280" w:history="1">
              <w:r w:rsidR="00F83B5B">
                <w:rPr>
                  <w:rStyle w:val="Hyperlink"/>
                  <w:sz w:val="20"/>
                </w:rPr>
                <w:t>http://azure.microsoft.com/documentation/articles/load-balancer-internal-overview</w:t>
              </w:r>
            </w:hyperlink>
            <w:r w:rsidR="00D53A7A">
              <w:rPr>
                <w:sz w:val="20"/>
              </w:rPr>
              <w:t xml:space="preserve"> </w:t>
            </w:r>
          </w:p>
        </w:tc>
      </w:tr>
    </w:tbl>
    <w:p w14:paraId="6C5E1D59" w14:textId="77777777" w:rsidR="00D53A7A" w:rsidRPr="006779E0" w:rsidRDefault="00D53A7A" w:rsidP="00D53A7A"/>
    <w:p w14:paraId="7B2B41EA" w14:textId="04C136DF" w:rsidR="00D53A7A" w:rsidRDefault="00094BC1" w:rsidP="005729D2">
      <w:pPr>
        <w:pStyle w:val="Heading3Numbered"/>
        <w:numPr>
          <w:ilvl w:val="2"/>
          <w:numId w:val="64"/>
        </w:numPr>
      </w:pPr>
      <w:bookmarkStart w:id="3228" w:name="_Toc418156691"/>
      <w:bookmarkStart w:id="3229" w:name="_Toc418167610"/>
      <w:bookmarkStart w:id="3230" w:name="_Toc418185867"/>
      <w:bookmarkStart w:id="3231" w:name="_Toc422941577"/>
      <w:bookmarkStart w:id="3232" w:name="_Toc423116783"/>
      <w:bookmarkStart w:id="3233" w:name="_Toc423117816"/>
      <w:bookmarkStart w:id="3234" w:name="_Toc423117266"/>
      <w:bookmarkStart w:id="3235" w:name="_Toc431288858"/>
      <w:r>
        <w:t>Encryption</w:t>
      </w:r>
      <w:bookmarkEnd w:id="3228"/>
      <w:bookmarkEnd w:id="3229"/>
      <w:bookmarkEnd w:id="3230"/>
      <w:bookmarkEnd w:id="3231"/>
      <w:bookmarkEnd w:id="3232"/>
      <w:bookmarkEnd w:id="3233"/>
      <w:bookmarkEnd w:id="3234"/>
      <w:bookmarkEnd w:id="3235"/>
    </w:p>
    <w:p w14:paraId="4EDE865B" w14:textId="070B73D2" w:rsidR="00763DF3" w:rsidRDefault="00094BC1" w:rsidP="00763DF3">
      <w:pPr>
        <w:rPr>
          <w:rFonts w:cs="Segoe UI"/>
        </w:rPr>
      </w:pPr>
      <w:r>
        <w:rPr>
          <w:rFonts w:cs="Segoe UI"/>
        </w:rPr>
        <w:t>A</w:t>
      </w:r>
      <w:r w:rsidR="00763DF3">
        <w:rPr>
          <w:rFonts w:cs="Segoe UI"/>
        </w:rPr>
        <w:t xml:space="preserve"> key consideration for workloads deployed in Azure virtual machines is encryption for data-at-rest. For virtual machines, most customers seek the ability to perform platform encryption that they have the ability to control. </w:t>
      </w:r>
    </w:p>
    <w:p w14:paraId="49D51FBC" w14:textId="77777777" w:rsidR="00763DF3" w:rsidRDefault="00763DF3" w:rsidP="00763DF3">
      <w:pPr>
        <w:rPr>
          <w:rFonts w:cs="Segoe UI"/>
        </w:rPr>
      </w:pPr>
      <w:r>
        <w:rPr>
          <w:rFonts w:cs="Segoe UI"/>
        </w:rPr>
        <w:t>Currently, Microsoft B</w:t>
      </w:r>
      <w:r w:rsidRPr="00094BC1">
        <w:rPr>
          <w:rFonts w:cs="Segoe UI"/>
        </w:rPr>
        <w:t xml:space="preserve">itLocker </w:t>
      </w:r>
      <w:r>
        <w:rPr>
          <w:rFonts w:cs="Segoe UI"/>
        </w:rPr>
        <w:t xml:space="preserve">Drive Encryption </w:t>
      </w:r>
      <w:r w:rsidRPr="00094BC1">
        <w:rPr>
          <w:rFonts w:cs="Segoe UI"/>
        </w:rPr>
        <w:t xml:space="preserve">is not supported </w:t>
      </w:r>
      <w:r>
        <w:rPr>
          <w:rFonts w:cs="Segoe UI"/>
        </w:rPr>
        <w:t>because</w:t>
      </w:r>
      <w:r w:rsidRPr="00094BC1">
        <w:rPr>
          <w:rFonts w:cs="Segoe UI"/>
        </w:rPr>
        <w:t xml:space="preserve"> there is no way for Azure to handle the key management portion </w:t>
      </w:r>
      <w:r>
        <w:rPr>
          <w:rFonts w:cs="Segoe UI"/>
        </w:rPr>
        <w:t>during virtual m</w:t>
      </w:r>
      <w:r w:rsidRPr="00094BC1">
        <w:rPr>
          <w:rFonts w:cs="Segoe UI"/>
        </w:rPr>
        <w:t>achine startup.</w:t>
      </w:r>
      <w:r>
        <w:rPr>
          <w:rFonts w:cs="Segoe UI"/>
        </w:rPr>
        <w:t xml:space="preserve"> Given that </w:t>
      </w:r>
      <w:r w:rsidRPr="00094BC1">
        <w:rPr>
          <w:rFonts w:cs="Segoe UI"/>
        </w:rPr>
        <w:t xml:space="preserve">Azure consists of multiple physical servers, there </w:t>
      </w:r>
      <w:r>
        <w:rPr>
          <w:rFonts w:cs="Segoe UI"/>
        </w:rPr>
        <w:t>is not a simple way to manage</w:t>
      </w:r>
      <w:r w:rsidRPr="00094BC1">
        <w:rPr>
          <w:rFonts w:cs="Segoe UI"/>
        </w:rPr>
        <w:t xml:space="preserve"> BitLocker </w:t>
      </w:r>
      <w:r>
        <w:rPr>
          <w:rFonts w:cs="Segoe UI"/>
        </w:rPr>
        <w:t xml:space="preserve">encryption keys. </w:t>
      </w:r>
    </w:p>
    <w:p w14:paraId="3E7A7C98" w14:textId="102F3E80" w:rsidR="00D53A7A" w:rsidRPr="00094BC1" w:rsidRDefault="00763DF3" w:rsidP="00763DF3">
      <w:pPr>
        <w:rPr>
          <w:rFonts w:cs="Segoe UI"/>
        </w:rPr>
      </w:pPr>
      <w:r>
        <w:rPr>
          <w:rFonts w:cs="Segoe UI"/>
        </w:rPr>
        <w:t>Third parties, such as CloudLink, have</w:t>
      </w:r>
      <w:r w:rsidRPr="00094BC1">
        <w:rPr>
          <w:rFonts w:cs="Segoe UI"/>
        </w:rPr>
        <w:t xml:space="preserve"> the capability to manage </w:t>
      </w:r>
      <w:r>
        <w:rPr>
          <w:rFonts w:cs="Segoe UI"/>
        </w:rPr>
        <w:t>disk encryption keys on Windows and Linux platforms. You can use CloudLink to support</w:t>
      </w:r>
      <w:r w:rsidRPr="00094BC1">
        <w:rPr>
          <w:rFonts w:cs="Segoe UI"/>
        </w:rPr>
        <w:t xml:space="preserve"> encrypt</w:t>
      </w:r>
      <w:r>
        <w:rPr>
          <w:rFonts w:cs="Segoe UI"/>
        </w:rPr>
        <w:t>ing virtual hard disks that are attached to virtual machines and that use published virtual machine extensions. Additional details about CloudLink are provided in the following table</w:t>
      </w:r>
      <w:r w:rsidR="00094BC1">
        <w:rPr>
          <w:rFonts w:cs="Segoe UI"/>
        </w:rPr>
        <w:t>.</w:t>
      </w:r>
    </w:p>
    <w:p w14:paraId="7C0A97DA" w14:textId="77777777" w:rsidR="00D53A7A" w:rsidRPr="00B60FDB" w:rsidRDefault="00D53A7A" w:rsidP="00D53A7A">
      <w:pPr>
        <w:rPr>
          <w:rFonts w:asciiTheme="minorHAnsi" w:hAnsiTheme="minorHAnsi"/>
        </w:rPr>
      </w:pPr>
    </w:p>
    <w:tbl>
      <w:tblPr>
        <w:tblStyle w:val="PlainTable11"/>
        <w:tblW w:w="0" w:type="auto"/>
        <w:tblLook w:val="04A0" w:firstRow="1" w:lastRow="0" w:firstColumn="1" w:lastColumn="0" w:noHBand="0" w:noVBand="1"/>
      </w:tblPr>
      <w:tblGrid>
        <w:gridCol w:w="2483"/>
        <w:gridCol w:w="6867"/>
      </w:tblGrid>
      <w:tr w:rsidR="00D53A7A" w14:paraId="5C84F568" w14:textId="77777777" w:rsidTr="00713DE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4B998B61" w14:textId="77777777" w:rsidR="00D53A7A" w:rsidRPr="00F47607" w:rsidRDefault="00D53A7A" w:rsidP="00D53A7A">
            <w:pPr>
              <w:spacing w:line="240" w:lineRule="auto"/>
              <w:rPr>
                <w:color w:val="FFFFFF"/>
              </w:rPr>
            </w:pPr>
            <w:r>
              <w:rPr>
                <w:color w:val="FFFFFF"/>
              </w:rPr>
              <w:t>Feature References</w:t>
            </w:r>
          </w:p>
        </w:tc>
      </w:tr>
      <w:tr w:rsidR="00D53A7A" w14:paraId="3D55C946" w14:textId="77777777" w:rsidTr="001128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7" w:type="dxa"/>
          </w:tcPr>
          <w:p w14:paraId="48F58A5E" w14:textId="363BC9A3" w:rsidR="00D53A7A" w:rsidRPr="00B45F31" w:rsidRDefault="00D53A7A" w:rsidP="00094BC1">
            <w:pPr>
              <w:rPr>
                <w:rFonts w:cs="Segoe UI"/>
                <w:sz w:val="20"/>
              </w:rPr>
            </w:pPr>
            <w:r w:rsidRPr="00B45F31">
              <w:rPr>
                <w:rFonts w:cs="Segoe UI"/>
                <w:sz w:val="20"/>
              </w:rPr>
              <w:t xml:space="preserve">Azure Virtual Machine </w:t>
            </w:r>
            <w:r w:rsidR="00094BC1" w:rsidRPr="00B45F31">
              <w:rPr>
                <w:rFonts w:cs="Segoe UI"/>
                <w:sz w:val="20"/>
              </w:rPr>
              <w:t>Disk Encryption using CloudLink</w:t>
            </w:r>
          </w:p>
        </w:tc>
        <w:tc>
          <w:tcPr>
            <w:tcW w:w="6873" w:type="dxa"/>
          </w:tcPr>
          <w:p w14:paraId="0ECA1A62" w14:textId="77777777" w:rsidR="00D53A7A" w:rsidRPr="00B45F31" w:rsidRDefault="00872E47" w:rsidP="00D53A7A">
            <w:pPr>
              <w:cnfStyle w:val="000000100000" w:firstRow="0" w:lastRow="0" w:firstColumn="0" w:lastColumn="0" w:oddVBand="0" w:evenVBand="0" w:oddHBand="1" w:evenHBand="0" w:firstRowFirstColumn="0" w:firstRowLastColumn="0" w:lastRowFirstColumn="0" w:lastRowLastColumn="0"/>
              <w:rPr>
                <w:rFonts w:cs="Segoe UI"/>
                <w:sz w:val="20"/>
              </w:rPr>
            </w:pPr>
            <w:hyperlink r:id="rId281" w:history="1">
              <w:r w:rsidR="00D53A7A" w:rsidRPr="00B45F31">
                <w:rPr>
                  <w:rStyle w:val="Hyperlink"/>
                  <w:rFonts w:cs="Segoe UI"/>
                  <w:sz w:val="20"/>
                </w:rPr>
                <w:t>http://azure.microsoft.com/blog/2014/08/19/azure-virtual-machine-disk-encryption-using-cloudlink/</w:t>
              </w:r>
            </w:hyperlink>
            <w:r w:rsidR="00D53A7A" w:rsidRPr="00B45F31">
              <w:rPr>
                <w:rFonts w:cs="Segoe UI"/>
                <w:sz w:val="20"/>
              </w:rPr>
              <w:t xml:space="preserve"> </w:t>
            </w:r>
          </w:p>
          <w:p w14:paraId="7A62DA18" w14:textId="77777777" w:rsidR="00D53A7A" w:rsidRPr="00094BC1" w:rsidRDefault="00D53A7A" w:rsidP="00D53A7A">
            <w:pPr>
              <w:cnfStyle w:val="000000100000" w:firstRow="0" w:lastRow="0" w:firstColumn="0" w:lastColumn="0" w:oddVBand="0" w:evenVBand="0" w:oddHBand="1" w:evenHBand="0" w:firstRowFirstColumn="0" w:firstRowLastColumn="0" w:lastRowFirstColumn="0" w:lastRowLastColumn="0"/>
              <w:rPr>
                <w:rFonts w:cs="Segoe UI"/>
                <w:sz w:val="20"/>
                <w:szCs w:val="18"/>
              </w:rPr>
            </w:pPr>
          </w:p>
        </w:tc>
      </w:tr>
      <w:tr w:rsidR="00094BC1" w14:paraId="4F90A62A" w14:textId="77777777" w:rsidTr="001128E2">
        <w:tc>
          <w:tcPr>
            <w:cnfStyle w:val="001000000000" w:firstRow="0" w:lastRow="0" w:firstColumn="1" w:lastColumn="0" w:oddVBand="0" w:evenVBand="0" w:oddHBand="0" w:evenHBand="0" w:firstRowFirstColumn="0" w:firstRowLastColumn="0" w:lastRowFirstColumn="0" w:lastRowLastColumn="0"/>
            <w:tcW w:w="2487" w:type="dxa"/>
          </w:tcPr>
          <w:p w14:paraId="0F1F9E11" w14:textId="14573E3A" w:rsidR="00094BC1" w:rsidRPr="00B45F31" w:rsidRDefault="00094BC1" w:rsidP="00094BC1">
            <w:pPr>
              <w:rPr>
                <w:rFonts w:cs="Segoe UI"/>
                <w:sz w:val="20"/>
              </w:rPr>
            </w:pPr>
            <w:r w:rsidRPr="00B45F31">
              <w:rPr>
                <w:rFonts w:cs="Segoe UI"/>
                <w:sz w:val="20"/>
              </w:rPr>
              <w:t>Encrypting Azure Virtual Machines with CloudLink SecureVM</w:t>
            </w:r>
          </w:p>
        </w:tc>
        <w:tc>
          <w:tcPr>
            <w:tcW w:w="6873" w:type="dxa"/>
          </w:tcPr>
          <w:p w14:paraId="4AFFBA08" w14:textId="6C8F0ECC" w:rsidR="00094BC1" w:rsidRPr="00B45F31" w:rsidRDefault="00872E47" w:rsidP="00D53A7A">
            <w:pPr>
              <w:cnfStyle w:val="000000000000" w:firstRow="0" w:lastRow="0" w:firstColumn="0" w:lastColumn="0" w:oddVBand="0" w:evenVBand="0" w:oddHBand="0" w:evenHBand="0" w:firstRowFirstColumn="0" w:firstRowLastColumn="0" w:lastRowFirstColumn="0" w:lastRowLastColumn="0"/>
              <w:rPr>
                <w:rFonts w:cs="Segoe UI"/>
                <w:sz w:val="20"/>
              </w:rPr>
            </w:pPr>
            <w:hyperlink r:id="rId282" w:history="1">
              <w:r w:rsidR="00094BC1" w:rsidRPr="00B45F31">
                <w:rPr>
                  <w:rStyle w:val="Hyperlink"/>
                  <w:rFonts w:cs="Segoe UI"/>
                  <w:sz w:val="20"/>
                </w:rPr>
                <w:t>http://azure.microsoft.com/blog/2014/11/13/encrypting-azure-virtual-machines-with-cloudlink-securevm/</w:t>
              </w:r>
            </w:hyperlink>
            <w:r w:rsidR="00094BC1" w:rsidRPr="00B45F31">
              <w:rPr>
                <w:rFonts w:cs="Segoe UI"/>
                <w:sz w:val="20"/>
              </w:rPr>
              <w:t xml:space="preserve">  </w:t>
            </w:r>
          </w:p>
        </w:tc>
      </w:tr>
    </w:tbl>
    <w:p w14:paraId="1AEEFC84" w14:textId="6A6AEFAD" w:rsidR="00D53A7A" w:rsidRDefault="00D53A7A" w:rsidP="00D53A7A"/>
    <w:p w14:paraId="667C2359" w14:textId="77777777" w:rsidR="00D53A7A" w:rsidRDefault="00D53A7A" w:rsidP="005729D2">
      <w:pPr>
        <w:pStyle w:val="Heading3Numbered"/>
        <w:numPr>
          <w:ilvl w:val="2"/>
          <w:numId w:val="64"/>
        </w:numPr>
      </w:pPr>
      <w:bookmarkStart w:id="3236" w:name="_Toc418061369"/>
      <w:bookmarkStart w:id="3237" w:name="_Toc418081247"/>
      <w:bookmarkStart w:id="3238" w:name="_Toc418081897"/>
      <w:bookmarkStart w:id="3239" w:name="_Toc418083300"/>
      <w:bookmarkStart w:id="3240" w:name="_Toc418096043"/>
      <w:bookmarkStart w:id="3241" w:name="_Toc418156692"/>
      <w:bookmarkStart w:id="3242" w:name="_Toc418167611"/>
      <w:bookmarkStart w:id="3243" w:name="_Toc418185868"/>
      <w:bookmarkStart w:id="3244" w:name="_Toc422941578"/>
      <w:bookmarkStart w:id="3245" w:name="_Toc423116784"/>
      <w:bookmarkStart w:id="3246" w:name="_Toc423117817"/>
      <w:bookmarkStart w:id="3247" w:name="_Toc423117267"/>
      <w:bookmarkStart w:id="3248" w:name="_Toc431288859"/>
      <w:r>
        <w:t>Networking</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r>
        <w:t xml:space="preserve"> </w:t>
      </w:r>
    </w:p>
    <w:p w14:paraId="2F6C3D88" w14:textId="175E2FFC" w:rsidR="00D53A7A" w:rsidRDefault="00D53A7A" w:rsidP="00D53A7A">
      <w:pPr>
        <w:spacing w:before="0" w:after="160" w:line="259" w:lineRule="auto"/>
        <w:rPr>
          <w:lang w:val="en"/>
        </w:rPr>
      </w:pPr>
      <w:r>
        <w:rPr>
          <w:lang w:val="en"/>
        </w:rPr>
        <w:t xml:space="preserve">When </w:t>
      </w:r>
      <w:r w:rsidR="00BD6328">
        <w:rPr>
          <w:lang w:val="en"/>
        </w:rPr>
        <w:t>The following table itemizes what to consider when you are deciding how to provision virtual machines on a virtual network</w:t>
      </w:r>
      <w:r w:rsidR="00094BC1">
        <w:rPr>
          <w:lang w:val="en"/>
        </w:rPr>
        <w:t>:</w:t>
      </w:r>
    </w:p>
    <w:tbl>
      <w:tblPr>
        <w:tblStyle w:val="PlainTable11"/>
        <w:tblW w:w="9355" w:type="dxa"/>
        <w:tblLayout w:type="fixed"/>
        <w:tblLook w:val="04A0" w:firstRow="1" w:lastRow="0" w:firstColumn="1" w:lastColumn="0" w:noHBand="0" w:noVBand="1"/>
      </w:tblPr>
      <w:tblGrid>
        <w:gridCol w:w="2614"/>
        <w:gridCol w:w="6741"/>
      </w:tblGrid>
      <w:tr w:rsidR="009C56AA" w14:paraId="678322BE" w14:textId="77777777" w:rsidTr="00BD63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4" w:type="dxa"/>
            <w:shd w:val="clear" w:color="auto" w:fill="808080" w:themeFill="background1" w:themeFillShade="80"/>
            <w:hideMark/>
          </w:tcPr>
          <w:p w14:paraId="00D590AA" w14:textId="77777777" w:rsidR="009C56AA" w:rsidRPr="00B45F31" w:rsidRDefault="009C56AA" w:rsidP="00B81959">
            <w:pPr>
              <w:spacing w:line="240" w:lineRule="auto"/>
              <w:rPr>
                <w:rFonts w:eastAsia="Calibri"/>
                <w:color w:val="FFFFFF"/>
                <w:sz w:val="20"/>
                <w:szCs w:val="20"/>
                <w:lang w:eastAsia="en-AU"/>
              </w:rPr>
            </w:pPr>
            <w:r w:rsidRPr="00B45F31">
              <w:rPr>
                <w:rFonts w:eastAsia="Calibri"/>
                <w:color w:val="FFFFFF"/>
                <w:sz w:val="20"/>
                <w:szCs w:val="20"/>
                <w:lang w:eastAsia="en-AU"/>
              </w:rPr>
              <w:t>Considerations</w:t>
            </w:r>
          </w:p>
        </w:tc>
        <w:tc>
          <w:tcPr>
            <w:tcW w:w="6741" w:type="dxa"/>
            <w:shd w:val="clear" w:color="auto" w:fill="808080" w:themeFill="background1" w:themeFillShade="80"/>
            <w:hideMark/>
          </w:tcPr>
          <w:p w14:paraId="1C1B89D3" w14:textId="77777777" w:rsidR="009C56AA" w:rsidRPr="00B45F31" w:rsidRDefault="009C56AA" w:rsidP="00B81959">
            <w:pPr>
              <w:spacing w:line="240" w:lineRule="auto"/>
              <w:cnfStyle w:val="100000000000" w:firstRow="1" w:lastRow="0" w:firstColumn="0" w:lastColumn="0" w:oddVBand="0" w:evenVBand="0" w:oddHBand="0" w:evenHBand="0" w:firstRowFirstColumn="0" w:firstRowLastColumn="0" w:lastRowFirstColumn="0" w:lastRowLastColumn="0"/>
              <w:rPr>
                <w:rFonts w:eastAsia="Calibri"/>
                <w:color w:val="FFFFFF"/>
                <w:sz w:val="20"/>
                <w:szCs w:val="20"/>
                <w:lang w:eastAsia="en-AU"/>
              </w:rPr>
            </w:pPr>
            <w:r w:rsidRPr="00B45F31">
              <w:rPr>
                <w:rFonts w:eastAsia="Calibri"/>
                <w:color w:val="FFFFFF"/>
                <w:sz w:val="20"/>
                <w:szCs w:val="20"/>
                <w:lang w:eastAsia="en-AU"/>
              </w:rPr>
              <w:t>Decision Points</w:t>
            </w:r>
          </w:p>
        </w:tc>
      </w:tr>
      <w:tr w:rsidR="00BD6328" w14:paraId="006FF4D4" w14:textId="77777777" w:rsidTr="00BD63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4" w:type="dxa"/>
          </w:tcPr>
          <w:p w14:paraId="2CD8B61E" w14:textId="2B8CD03B" w:rsidR="00BD6328" w:rsidRPr="001E5AC2" w:rsidRDefault="00BD6328" w:rsidP="00BD6328">
            <w:pPr>
              <w:rPr>
                <w:sz w:val="20"/>
                <w:szCs w:val="20"/>
              </w:rPr>
            </w:pPr>
            <w:r w:rsidRPr="001E5AC2">
              <w:rPr>
                <w:sz w:val="20"/>
                <w:szCs w:val="20"/>
                <w:lang w:val="en"/>
              </w:rPr>
              <w:t>Name resolution</w:t>
            </w:r>
          </w:p>
        </w:tc>
        <w:tc>
          <w:tcPr>
            <w:tcW w:w="6741" w:type="dxa"/>
          </w:tcPr>
          <w:p w14:paraId="10CF6C07" w14:textId="7C6A4522" w:rsidR="00BD6328" w:rsidRPr="00CD3D42" w:rsidRDefault="00BD6328" w:rsidP="00BD6328">
            <w:pPr>
              <w:cnfStyle w:val="000000100000" w:firstRow="0" w:lastRow="0" w:firstColumn="0" w:lastColumn="0" w:oddVBand="0" w:evenVBand="0" w:oddHBand="1" w:evenHBand="0" w:firstRowFirstColumn="0" w:firstRowLastColumn="0" w:lastRowFirstColumn="0" w:lastRowLastColumn="0"/>
              <w:rPr>
                <w:sz w:val="20"/>
                <w:szCs w:val="20"/>
                <w:lang w:val="en"/>
              </w:rPr>
            </w:pPr>
            <w:r w:rsidRPr="00CD3D42">
              <w:rPr>
                <w:sz w:val="20"/>
                <w:szCs w:val="20"/>
                <w:lang w:val="en"/>
              </w:rPr>
              <w:t xml:space="preserve">When you deploy </w:t>
            </w:r>
            <w:r>
              <w:rPr>
                <w:sz w:val="20"/>
                <w:szCs w:val="20"/>
                <w:lang w:val="en"/>
              </w:rPr>
              <w:t>virtual machines</w:t>
            </w:r>
            <w:r w:rsidRPr="00CD3D42">
              <w:rPr>
                <w:sz w:val="20"/>
                <w:szCs w:val="20"/>
                <w:lang w:val="en"/>
              </w:rPr>
              <w:t xml:space="preserve"> and cloud services to a virtual network you can use Azure-provided name resolution or your own DNS solution, depending on your name resolution requirements. </w:t>
            </w:r>
          </w:p>
        </w:tc>
      </w:tr>
      <w:tr w:rsidR="00BD6328" w14:paraId="0CC207B3" w14:textId="77777777" w:rsidTr="00BD6328">
        <w:tc>
          <w:tcPr>
            <w:cnfStyle w:val="001000000000" w:firstRow="0" w:lastRow="0" w:firstColumn="1" w:lastColumn="0" w:oddVBand="0" w:evenVBand="0" w:oddHBand="0" w:evenHBand="0" w:firstRowFirstColumn="0" w:firstRowLastColumn="0" w:lastRowFirstColumn="0" w:lastRowLastColumn="0"/>
            <w:tcW w:w="2614" w:type="dxa"/>
          </w:tcPr>
          <w:p w14:paraId="621029E7" w14:textId="3BFA088C" w:rsidR="00BD6328" w:rsidRPr="001E5AC2" w:rsidRDefault="00BD6328" w:rsidP="00BD6328">
            <w:pPr>
              <w:rPr>
                <w:sz w:val="20"/>
                <w:szCs w:val="20"/>
              </w:rPr>
            </w:pPr>
            <w:r w:rsidRPr="001E5AC2">
              <w:rPr>
                <w:sz w:val="20"/>
                <w:szCs w:val="20"/>
                <w:lang w:val="en"/>
              </w:rPr>
              <w:t>Enhanced security and isolation</w:t>
            </w:r>
          </w:p>
        </w:tc>
        <w:tc>
          <w:tcPr>
            <w:tcW w:w="6741" w:type="dxa"/>
          </w:tcPr>
          <w:p w14:paraId="2124684D" w14:textId="23CB8912" w:rsidR="00BD6328" w:rsidRPr="00CD3D42" w:rsidRDefault="00BD6328" w:rsidP="00BD6328">
            <w:pPr>
              <w:cnfStyle w:val="000000000000" w:firstRow="0" w:lastRow="0" w:firstColumn="0" w:lastColumn="0" w:oddVBand="0" w:evenVBand="0" w:oddHBand="0" w:evenHBand="0" w:firstRowFirstColumn="0" w:firstRowLastColumn="0" w:lastRowFirstColumn="0" w:lastRowLastColumn="0"/>
              <w:rPr>
                <w:sz w:val="20"/>
                <w:szCs w:val="20"/>
                <w:lang w:val="en"/>
              </w:rPr>
            </w:pPr>
            <w:r>
              <w:rPr>
                <w:sz w:val="20"/>
                <w:szCs w:val="20"/>
                <w:lang w:val="en"/>
              </w:rPr>
              <w:t>Because</w:t>
            </w:r>
            <w:r w:rsidRPr="00CD3D42">
              <w:rPr>
                <w:sz w:val="20"/>
                <w:szCs w:val="20"/>
                <w:lang w:val="en"/>
              </w:rPr>
              <w:t xml:space="preserve"> each virtual network is run as an overlay, only virtual machines and services that are part of the same network can access each other. Services outside the virtual network have no way to identify or connect to services hosted within virtual networks. This provides an added layer of isolation to your services.</w:t>
            </w:r>
          </w:p>
        </w:tc>
      </w:tr>
      <w:tr w:rsidR="00BD6328" w14:paraId="6EF394ED" w14:textId="77777777" w:rsidTr="00BD63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4" w:type="dxa"/>
          </w:tcPr>
          <w:p w14:paraId="0AAE1A93" w14:textId="527A5610" w:rsidR="00BD6328" w:rsidRPr="001E5AC2" w:rsidRDefault="00BD6328" w:rsidP="00BD6328">
            <w:pPr>
              <w:rPr>
                <w:sz w:val="20"/>
                <w:szCs w:val="20"/>
              </w:rPr>
            </w:pPr>
            <w:r w:rsidRPr="001E5AC2">
              <w:rPr>
                <w:bCs w:val="0"/>
                <w:sz w:val="20"/>
                <w:szCs w:val="20"/>
                <w:lang w:val="en"/>
              </w:rPr>
              <w:t>Extended connectivity boundary</w:t>
            </w:r>
          </w:p>
        </w:tc>
        <w:tc>
          <w:tcPr>
            <w:tcW w:w="6741" w:type="dxa"/>
          </w:tcPr>
          <w:p w14:paraId="543E23E3" w14:textId="707882A1" w:rsidR="00BD6328" w:rsidRPr="00CD3D42" w:rsidRDefault="00BD6328" w:rsidP="00BD6328">
            <w:pPr>
              <w:cnfStyle w:val="000000100000" w:firstRow="0" w:lastRow="0" w:firstColumn="0" w:lastColumn="0" w:oddVBand="0" w:evenVBand="0" w:oddHBand="1" w:evenHBand="0" w:firstRowFirstColumn="0" w:firstRowLastColumn="0" w:lastRowFirstColumn="0" w:lastRowLastColumn="0"/>
              <w:rPr>
                <w:sz w:val="20"/>
                <w:szCs w:val="20"/>
                <w:lang w:val="en"/>
              </w:rPr>
            </w:pPr>
            <w:r w:rsidRPr="00CD3D42">
              <w:rPr>
                <w:sz w:val="20"/>
                <w:szCs w:val="20"/>
                <w:lang w:val="en"/>
              </w:rPr>
              <w:t xml:space="preserve">The virtual network extends the connectivity boundary from a single service to the virtual network boundary. You can create several cloud services and virtual machines within a single virtual network and have them communicate with each other without having to go through the </w:t>
            </w:r>
            <w:r>
              <w:rPr>
                <w:sz w:val="20"/>
                <w:szCs w:val="20"/>
                <w:lang w:val="en"/>
              </w:rPr>
              <w:t>Internet</w:t>
            </w:r>
            <w:r w:rsidRPr="00CD3D42">
              <w:rPr>
                <w:sz w:val="20"/>
                <w:szCs w:val="20"/>
                <w:lang w:val="en"/>
              </w:rPr>
              <w:t>. You can also set</w:t>
            </w:r>
            <w:r>
              <w:rPr>
                <w:sz w:val="20"/>
                <w:szCs w:val="20"/>
                <w:lang w:val="en"/>
              </w:rPr>
              <w:t xml:space="preserve"> </w:t>
            </w:r>
            <w:r w:rsidRPr="00CD3D42">
              <w:rPr>
                <w:sz w:val="20"/>
                <w:szCs w:val="20"/>
                <w:lang w:val="en"/>
              </w:rPr>
              <w:t>up services that use a common back</w:t>
            </w:r>
            <w:r>
              <w:rPr>
                <w:sz w:val="20"/>
                <w:szCs w:val="20"/>
                <w:lang w:val="en"/>
              </w:rPr>
              <w:t>-</w:t>
            </w:r>
            <w:r w:rsidRPr="00CD3D42">
              <w:rPr>
                <w:sz w:val="20"/>
                <w:szCs w:val="20"/>
                <w:lang w:val="en"/>
              </w:rPr>
              <w:t>end database tier or use a shared management service.</w:t>
            </w:r>
          </w:p>
        </w:tc>
      </w:tr>
      <w:tr w:rsidR="00BD6328" w14:paraId="746364FA" w14:textId="77777777" w:rsidTr="00BD6328">
        <w:tc>
          <w:tcPr>
            <w:cnfStyle w:val="001000000000" w:firstRow="0" w:lastRow="0" w:firstColumn="1" w:lastColumn="0" w:oddVBand="0" w:evenVBand="0" w:oddHBand="0" w:evenHBand="0" w:firstRowFirstColumn="0" w:firstRowLastColumn="0" w:lastRowFirstColumn="0" w:lastRowLastColumn="0"/>
            <w:tcW w:w="2614" w:type="dxa"/>
          </w:tcPr>
          <w:p w14:paraId="11A543A8" w14:textId="3F5805E9" w:rsidR="00BD6328" w:rsidRPr="001E5AC2" w:rsidRDefault="00BD6328" w:rsidP="00BD6328">
            <w:pPr>
              <w:rPr>
                <w:sz w:val="20"/>
                <w:szCs w:val="20"/>
              </w:rPr>
            </w:pPr>
            <w:r w:rsidRPr="001E5AC2">
              <w:rPr>
                <w:sz w:val="20"/>
                <w:szCs w:val="20"/>
                <w:lang w:val="en"/>
              </w:rPr>
              <w:t>Extend your on-premises network to the cloud</w:t>
            </w:r>
          </w:p>
        </w:tc>
        <w:tc>
          <w:tcPr>
            <w:tcW w:w="6741" w:type="dxa"/>
          </w:tcPr>
          <w:p w14:paraId="0C214BBE" w14:textId="03D4B971" w:rsidR="00BD6328" w:rsidRPr="00CD3D42" w:rsidRDefault="00BD6328" w:rsidP="00BD6328">
            <w:pPr>
              <w:cnfStyle w:val="000000000000" w:firstRow="0" w:lastRow="0" w:firstColumn="0" w:lastColumn="0" w:oddVBand="0" w:evenVBand="0" w:oddHBand="0" w:evenHBand="0" w:firstRowFirstColumn="0" w:firstRowLastColumn="0" w:lastRowFirstColumn="0" w:lastRowLastColumn="0"/>
              <w:rPr>
                <w:sz w:val="20"/>
                <w:szCs w:val="20"/>
                <w:lang w:val="en"/>
              </w:rPr>
            </w:pPr>
            <w:r w:rsidRPr="00CD3D42">
              <w:rPr>
                <w:sz w:val="20"/>
                <w:szCs w:val="20"/>
                <w:lang w:val="en"/>
              </w:rPr>
              <w:t xml:space="preserve">You can join </w:t>
            </w:r>
            <w:r>
              <w:rPr>
                <w:sz w:val="20"/>
                <w:szCs w:val="20"/>
                <w:lang w:val="en"/>
              </w:rPr>
              <w:t>virtual machines</w:t>
            </w:r>
            <w:r w:rsidRPr="00CD3D42">
              <w:rPr>
                <w:sz w:val="20"/>
                <w:szCs w:val="20"/>
                <w:lang w:val="en"/>
              </w:rPr>
              <w:t xml:space="preserve"> in Azure to your domain running on-premises. You can access and leverage all on-premises investments </w:t>
            </w:r>
            <w:r>
              <w:rPr>
                <w:sz w:val="20"/>
                <w:szCs w:val="20"/>
                <w:lang w:val="en"/>
              </w:rPr>
              <w:t>for</w:t>
            </w:r>
            <w:r w:rsidRPr="00CD3D42">
              <w:rPr>
                <w:sz w:val="20"/>
                <w:szCs w:val="20"/>
                <w:lang w:val="en"/>
              </w:rPr>
              <w:t xml:space="preserve"> monitoring and identity for your services hosted in Azure.</w:t>
            </w:r>
          </w:p>
        </w:tc>
      </w:tr>
      <w:tr w:rsidR="00BD6328" w14:paraId="43ADF355" w14:textId="77777777" w:rsidTr="00BD63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4" w:type="dxa"/>
          </w:tcPr>
          <w:p w14:paraId="2425CA6D" w14:textId="6ED91B3E" w:rsidR="00BD6328" w:rsidRPr="001E5AC2" w:rsidRDefault="00BD6328" w:rsidP="00BD6328">
            <w:pPr>
              <w:rPr>
                <w:sz w:val="20"/>
                <w:szCs w:val="20"/>
              </w:rPr>
            </w:pPr>
            <w:r w:rsidRPr="001E5AC2">
              <w:rPr>
                <w:sz w:val="20"/>
                <w:szCs w:val="20"/>
                <w:lang w:val="en"/>
              </w:rPr>
              <w:t xml:space="preserve">Use persistent private </w:t>
            </w:r>
            <w:r>
              <w:rPr>
                <w:sz w:val="20"/>
                <w:szCs w:val="20"/>
                <w:lang w:val="en"/>
              </w:rPr>
              <w:t>IP</w:t>
            </w:r>
            <w:r w:rsidRPr="001E5AC2">
              <w:rPr>
                <w:sz w:val="20"/>
                <w:szCs w:val="20"/>
                <w:lang w:val="en"/>
              </w:rPr>
              <w:t xml:space="preserve"> addresses</w:t>
            </w:r>
          </w:p>
        </w:tc>
        <w:tc>
          <w:tcPr>
            <w:tcW w:w="6741" w:type="dxa"/>
          </w:tcPr>
          <w:p w14:paraId="33169AC5" w14:textId="77777777" w:rsidR="00BD6328" w:rsidRDefault="00BD6328" w:rsidP="00BD6328">
            <w:pPr>
              <w:cnfStyle w:val="000000100000" w:firstRow="0" w:lastRow="0" w:firstColumn="0" w:lastColumn="0" w:oddVBand="0" w:evenVBand="0" w:oddHBand="1" w:evenHBand="0" w:firstRowFirstColumn="0" w:firstRowLastColumn="0" w:lastRowFirstColumn="0" w:lastRowLastColumn="0"/>
              <w:rPr>
                <w:sz w:val="20"/>
                <w:szCs w:val="20"/>
                <w:lang w:val="en"/>
              </w:rPr>
            </w:pPr>
            <w:r w:rsidRPr="00CD3D42">
              <w:rPr>
                <w:sz w:val="20"/>
                <w:szCs w:val="20"/>
                <w:lang w:val="en"/>
              </w:rPr>
              <w:t xml:space="preserve">Virtual machines within a </w:t>
            </w:r>
            <w:r>
              <w:rPr>
                <w:sz w:val="20"/>
                <w:szCs w:val="20"/>
                <w:lang w:val="en"/>
              </w:rPr>
              <w:t>virtual network</w:t>
            </w:r>
            <w:r w:rsidRPr="00CD3D42">
              <w:rPr>
                <w:sz w:val="20"/>
                <w:szCs w:val="20"/>
                <w:lang w:val="en"/>
              </w:rPr>
              <w:t xml:space="preserve"> will have a stable private </w:t>
            </w:r>
            <w:r>
              <w:rPr>
                <w:sz w:val="20"/>
                <w:szCs w:val="20"/>
                <w:lang w:val="en"/>
              </w:rPr>
              <w:t>IP</w:t>
            </w:r>
            <w:r w:rsidRPr="00CD3D42">
              <w:rPr>
                <w:sz w:val="20"/>
                <w:szCs w:val="20"/>
                <w:lang w:val="en"/>
              </w:rPr>
              <w:t xml:space="preserve"> address. We assign an </w:t>
            </w:r>
            <w:r>
              <w:rPr>
                <w:sz w:val="20"/>
                <w:szCs w:val="20"/>
                <w:lang w:val="en"/>
              </w:rPr>
              <w:t>IP</w:t>
            </w:r>
            <w:r w:rsidRPr="00CD3D42">
              <w:rPr>
                <w:sz w:val="20"/>
                <w:szCs w:val="20"/>
                <w:lang w:val="en"/>
              </w:rPr>
              <w:t xml:space="preserve"> address from the address range you specify and offer an infinite DHCP lease on it. You can also choose to configure your virtual machine with a specific private </w:t>
            </w:r>
            <w:r>
              <w:rPr>
                <w:sz w:val="20"/>
                <w:szCs w:val="20"/>
                <w:lang w:val="en"/>
              </w:rPr>
              <w:t>IP</w:t>
            </w:r>
            <w:r w:rsidRPr="00CD3D42">
              <w:rPr>
                <w:sz w:val="20"/>
                <w:szCs w:val="20"/>
                <w:lang w:val="en"/>
              </w:rPr>
              <w:t xml:space="preserve"> address from the address range when you create it. This ensures that your virtual machine retains its private </w:t>
            </w:r>
            <w:r>
              <w:rPr>
                <w:sz w:val="20"/>
                <w:szCs w:val="20"/>
                <w:lang w:val="en"/>
              </w:rPr>
              <w:t>IP</w:t>
            </w:r>
            <w:r w:rsidRPr="00CD3D42">
              <w:rPr>
                <w:sz w:val="20"/>
                <w:szCs w:val="20"/>
                <w:lang w:val="en"/>
              </w:rPr>
              <w:t xml:space="preserve"> address even when </w:t>
            </w:r>
            <w:r>
              <w:rPr>
                <w:sz w:val="20"/>
                <w:szCs w:val="20"/>
                <w:lang w:val="en"/>
              </w:rPr>
              <w:t>it is s</w:t>
            </w:r>
            <w:r w:rsidRPr="00CD3D42">
              <w:rPr>
                <w:sz w:val="20"/>
                <w:szCs w:val="20"/>
                <w:lang w:val="en"/>
              </w:rPr>
              <w:t>top</w:t>
            </w:r>
            <w:r>
              <w:rPr>
                <w:sz w:val="20"/>
                <w:szCs w:val="20"/>
                <w:lang w:val="en"/>
              </w:rPr>
              <w:t>ped or d</w:t>
            </w:r>
            <w:r w:rsidRPr="00CD3D42">
              <w:rPr>
                <w:sz w:val="20"/>
                <w:szCs w:val="20"/>
                <w:lang w:val="en"/>
              </w:rPr>
              <w:t xml:space="preserve">eallocated. </w:t>
            </w:r>
          </w:p>
          <w:p w14:paraId="58D377F6" w14:textId="053C4BF1" w:rsidR="00BD6328" w:rsidRPr="00CD3D42" w:rsidRDefault="00BD6328" w:rsidP="00BD6328">
            <w:pPr>
              <w:cnfStyle w:val="000000100000" w:firstRow="0" w:lastRow="0" w:firstColumn="0" w:lastColumn="0" w:oddVBand="0" w:evenVBand="0" w:oddHBand="1" w:evenHBand="0" w:firstRowFirstColumn="0" w:firstRowLastColumn="0" w:lastRowFirstColumn="0" w:lastRowLastColumn="0"/>
              <w:rPr>
                <w:sz w:val="20"/>
                <w:szCs w:val="20"/>
                <w:lang w:val="en"/>
              </w:rPr>
            </w:pPr>
            <w:r>
              <w:rPr>
                <w:sz w:val="20"/>
                <w:szCs w:val="20"/>
                <w:lang w:val="en"/>
              </w:rPr>
              <w:t>For more information, s</w:t>
            </w:r>
            <w:r w:rsidRPr="00CD3D42">
              <w:rPr>
                <w:sz w:val="20"/>
                <w:szCs w:val="20"/>
                <w:lang w:val="en"/>
              </w:rPr>
              <w:t xml:space="preserve">ee </w:t>
            </w:r>
            <w:hyperlink r:id="rId283" w:history="1">
              <w:r w:rsidRPr="00CD3D42">
                <w:rPr>
                  <w:rStyle w:val="Hyperlink"/>
                  <w:sz w:val="20"/>
                  <w:szCs w:val="20"/>
                  <w:lang w:val="en"/>
                </w:rPr>
                <w:t xml:space="preserve">Configure a static internal </w:t>
              </w:r>
              <w:r>
                <w:rPr>
                  <w:rStyle w:val="Hyperlink"/>
                  <w:sz w:val="20"/>
                  <w:szCs w:val="20"/>
                  <w:lang w:val="en"/>
                </w:rPr>
                <w:t>IP</w:t>
              </w:r>
              <w:r w:rsidRPr="00CD3D42">
                <w:rPr>
                  <w:rStyle w:val="Hyperlink"/>
                  <w:sz w:val="20"/>
                  <w:szCs w:val="20"/>
                  <w:lang w:val="en"/>
                </w:rPr>
                <w:t xml:space="preserve"> address for a VM</w:t>
              </w:r>
            </w:hyperlink>
            <w:r w:rsidRPr="00CD3D42">
              <w:rPr>
                <w:sz w:val="20"/>
                <w:szCs w:val="20"/>
                <w:lang w:val="en"/>
              </w:rPr>
              <w:t>.</w:t>
            </w:r>
          </w:p>
        </w:tc>
      </w:tr>
    </w:tbl>
    <w:p w14:paraId="499BA94C" w14:textId="77777777" w:rsidR="00094BC1" w:rsidRDefault="00094BC1" w:rsidP="00D53A7A">
      <w:pPr>
        <w:spacing w:before="0" w:after="160" w:line="259" w:lineRule="auto"/>
        <w:rPr>
          <w:lang w:val="en"/>
        </w:rPr>
      </w:pPr>
    </w:p>
    <w:p w14:paraId="0F4510EA" w14:textId="77777777" w:rsidR="00BD6328" w:rsidRDefault="00BD6328" w:rsidP="00BD6328">
      <w:pPr>
        <w:spacing w:before="0" w:after="160" w:line="259" w:lineRule="auto"/>
      </w:pPr>
      <w:r>
        <w:rPr>
          <w:lang w:val="en"/>
        </w:rPr>
        <w:t xml:space="preserve">There are two models for network configurations for Azure virtual machines: </w:t>
      </w:r>
      <w:hyperlink r:id="rId284" w:tooltip="Collapse" w:history="1">
        <w:r>
          <w:rPr>
            <w:i/>
          </w:rPr>
          <w:t>cloud-only</w:t>
        </w:r>
        <w:r w:rsidRPr="007206A0">
          <w:t xml:space="preserve"> </w:t>
        </w:r>
        <w:r>
          <w:t xml:space="preserve">and </w:t>
        </w:r>
        <w:r>
          <w:rPr>
            <w:i/>
          </w:rPr>
          <w:t>cloud-premises</w:t>
        </w:r>
      </w:hyperlink>
      <w:r>
        <w:t>:</w:t>
      </w:r>
    </w:p>
    <w:p w14:paraId="67A6A4AA" w14:textId="77777777" w:rsidR="00BD6328" w:rsidRPr="009C56AA" w:rsidRDefault="00BD6328" w:rsidP="005729D2">
      <w:pPr>
        <w:pStyle w:val="ListParagraph"/>
        <w:numPr>
          <w:ilvl w:val="0"/>
          <w:numId w:val="143"/>
        </w:numPr>
        <w:rPr>
          <w:lang w:val="en"/>
        </w:rPr>
      </w:pPr>
      <w:r w:rsidRPr="009C56AA">
        <w:rPr>
          <w:b/>
          <w:lang w:val="en"/>
        </w:rPr>
        <w:t>Cloud-</w:t>
      </w:r>
      <w:r>
        <w:rPr>
          <w:b/>
          <w:lang w:val="en"/>
        </w:rPr>
        <w:t>o</w:t>
      </w:r>
      <w:r w:rsidRPr="009C56AA">
        <w:rPr>
          <w:b/>
          <w:lang w:val="en"/>
        </w:rPr>
        <w:t>nly</w:t>
      </w:r>
      <w:r w:rsidRPr="009C56AA">
        <w:rPr>
          <w:lang w:val="en"/>
        </w:rPr>
        <w:t xml:space="preserve"> virtual network configurations are </w:t>
      </w:r>
      <w:r>
        <w:rPr>
          <w:lang w:val="en"/>
        </w:rPr>
        <w:t>virtual networks</w:t>
      </w:r>
      <w:r w:rsidRPr="009C56AA">
        <w:rPr>
          <w:lang w:val="en"/>
        </w:rPr>
        <w:t xml:space="preserve"> that don’t use a virtual network gateway to connect back to your on-premises network or directly to </w:t>
      </w:r>
      <w:r>
        <w:rPr>
          <w:lang w:val="en"/>
        </w:rPr>
        <w:t>an</w:t>
      </w:r>
      <w:r w:rsidRPr="009C56AA">
        <w:rPr>
          <w:lang w:val="en"/>
        </w:rPr>
        <w:t xml:space="preserve">other Azure </w:t>
      </w:r>
      <w:r>
        <w:rPr>
          <w:lang w:val="en"/>
        </w:rPr>
        <w:t>virtual network</w:t>
      </w:r>
      <w:r w:rsidRPr="009C56AA">
        <w:rPr>
          <w:lang w:val="en"/>
        </w:rPr>
        <w:t xml:space="preserve">. They aren’t really a different type of </w:t>
      </w:r>
      <w:r>
        <w:rPr>
          <w:lang w:val="en"/>
        </w:rPr>
        <w:t>virtual network</w:t>
      </w:r>
      <w:r w:rsidRPr="009C56AA">
        <w:rPr>
          <w:lang w:val="en"/>
        </w:rPr>
        <w:t xml:space="preserve">, but rather, they are a way to configure a </w:t>
      </w:r>
      <w:r>
        <w:rPr>
          <w:lang w:val="en"/>
        </w:rPr>
        <w:t>virtual network</w:t>
      </w:r>
      <w:r w:rsidRPr="009C56AA">
        <w:rPr>
          <w:lang w:val="en"/>
        </w:rPr>
        <w:t xml:space="preserve"> without configuring cross-premises connectivity. You connect to the </w:t>
      </w:r>
      <w:r>
        <w:rPr>
          <w:lang w:val="en"/>
        </w:rPr>
        <w:t>virtual machines</w:t>
      </w:r>
      <w:r w:rsidRPr="009C56AA">
        <w:rPr>
          <w:lang w:val="en"/>
        </w:rPr>
        <w:t xml:space="preserve"> and cloud services from the endpoints, rather than through a VPN connection. For </w:t>
      </w:r>
      <w:r>
        <w:rPr>
          <w:lang w:val="en"/>
        </w:rPr>
        <w:t>c</w:t>
      </w:r>
      <w:r w:rsidRPr="009C56AA">
        <w:rPr>
          <w:lang w:val="en"/>
        </w:rPr>
        <w:t>loud-</w:t>
      </w:r>
      <w:r>
        <w:rPr>
          <w:lang w:val="en"/>
        </w:rPr>
        <w:t>o</w:t>
      </w:r>
      <w:r w:rsidRPr="009C56AA">
        <w:rPr>
          <w:lang w:val="en"/>
        </w:rPr>
        <w:t xml:space="preserve">nly configurations, see </w:t>
      </w:r>
      <w:hyperlink r:id="rId285" w:history="1">
        <w:r>
          <w:rPr>
            <w:rStyle w:val="Hyperlink"/>
            <w:lang w:val="en"/>
          </w:rPr>
          <w:t>How to create a virtual network</w:t>
        </w:r>
      </w:hyperlink>
      <w:r w:rsidRPr="009C56AA">
        <w:rPr>
          <w:lang w:val="en"/>
        </w:rPr>
        <w:t>.</w:t>
      </w:r>
    </w:p>
    <w:p w14:paraId="598AE33A" w14:textId="7F080EC8" w:rsidR="00D53A7A" w:rsidRPr="009C56AA" w:rsidRDefault="00BD6328" w:rsidP="005729D2">
      <w:pPr>
        <w:pStyle w:val="ListParagraph"/>
        <w:numPr>
          <w:ilvl w:val="0"/>
          <w:numId w:val="143"/>
        </w:numPr>
        <w:rPr>
          <w:b/>
          <w:bCs/>
          <w:lang w:val="en"/>
        </w:rPr>
      </w:pPr>
      <w:r w:rsidRPr="009C56AA">
        <w:rPr>
          <w:b/>
          <w:lang w:val="en"/>
        </w:rPr>
        <w:t>Cross-</w:t>
      </w:r>
      <w:r>
        <w:rPr>
          <w:b/>
          <w:lang w:val="en"/>
        </w:rPr>
        <w:t>p</w:t>
      </w:r>
      <w:r w:rsidRPr="009C56AA">
        <w:rPr>
          <w:b/>
          <w:lang w:val="en"/>
        </w:rPr>
        <w:t>remises</w:t>
      </w:r>
      <w:r w:rsidRPr="009C56AA">
        <w:rPr>
          <w:lang w:val="en"/>
        </w:rPr>
        <w:t xml:space="preserve"> connections offer an enormous amount of flexibility. You can create multisite configurations, </w:t>
      </w:r>
      <w:r>
        <w:rPr>
          <w:lang w:val="en"/>
        </w:rPr>
        <w:t>virtual network</w:t>
      </w:r>
      <w:r w:rsidRPr="009C56AA">
        <w:rPr>
          <w:lang w:val="en"/>
        </w:rPr>
        <w:t xml:space="preserve"> to </w:t>
      </w:r>
      <w:r>
        <w:rPr>
          <w:lang w:val="en"/>
        </w:rPr>
        <w:t>virtual network</w:t>
      </w:r>
      <w:r w:rsidRPr="009C56AA">
        <w:rPr>
          <w:lang w:val="en"/>
        </w:rPr>
        <w:t xml:space="preserve"> configurations, ExpressRoute connections, and combinations of multiple configuration types. If you are extending your on-premises network to the cloud, this is the way to do it.</w:t>
      </w:r>
      <w:r>
        <w:rPr>
          <w:lang w:val="en"/>
        </w:rPr>
        <w:br/>
      </w:r>
      <w:r w:rsidRPr="009C56AA">
        <w:rPr>
          <w:lang w:val="en"/>
        </w:rPr>
        <w:t xml:space="preserve">Most cross-premises connections involve using a VPN device to create a secure connection to your Azure virtual network. </w:t>
      </w:r>
      <w:r>
        <w:rPr>
          <w:lang w:val="en"/>
        </w:rPr>
        <w:t>I</w:t>
      </w:r>
      <w:r w:rsidRPr="009C56AA">
        <w:rPr>
          <w:lang w:val="en"/>
        </w:rPr>
        <w:t xml:space="preserve">f you prefer, you can create an ExpressRoute direct connection to Azure through your network service provider or exchange provider and bypass the public </w:t>
      </w:r>
      <w:r>
        <w:rPr>
          <w:lang w:val="en"/>
        </w:rPr>
        <w:t>Internet</w:t>
      </w:r>
      <w:r w:rsidRPr="009C56AA">
        <w:rPr>
          <w:lang w:val="en"/>
        </w:rPr>
        <w:t xml:space="preserve"> altogether</w:t>
      </w:r>
      <w:r w:rsidR="00D53A7A" w:rsidRPr="009C56AA">
        <w:rPr>
          <w:lang w:val="en"/>
        </w:rPr>
        <w:t>.</w:t>
      </w:r>
    </w:p>
    <w:tbl>
      <w:tblPr>
        <w:tblStyle w:val="PlainTable11"/>
        <w:tblW w:w="0" w:type="auto"/>
        <w:tblLook w:val="04A0" w:firstRow="1" w:lastRow="0" w:firstColumn="1" w:lastColumn="0" w:noHBand="0" w:noVBand="1"/>
      </w:tblPr>
      <w:tblGrid>
        <w:gridCol w:w="3416"/>
        <w:gridCol w:w="5934"/>
      </w:tblGrid>
      <w:tr w:rsidR="009C56AA" w14:paraId="41B8D4E0" w14:textId="77777777" w:rsidTr="00713DE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hideMark/>
          </w:tcPr>
          <w:p w14:paraId="5C764EC5" w14:textId="77777777" w:rsidR="009C56AA" w:rsidRDefault="009C56AA" w:rsidP="00B81959">
            <w:pPr>
              <w:spacing w:line="240" w:lineRule="auto"/>
              <w:rPr>
                <w:color w:val="FFFFFF"/>
              </w:rPr>
            </w:pPr>
            <w:r>
              <w:rPr>
                <w:color w:val="FFFFFF"/>
              </w:rPr>
              <w:t>Feature References</w:t>
            </w:r>
          </w:p>
        </w:tc>
      </w:tr>
      <w:tr w:rsidR="009C56AA" w14:paraId="3A6D9BDE" w14:textId="77777777" w:rsidTr="00713D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hideMark/>
          </w:tcPr>
          <w:p w14:paraId="6ACB7222" w14:textId="0FA23012" w:rsidR="009C56AA" w:rsidRDefault="009C56AA" w:rsidP="00B81959">
            <w:pPr>
              <w:spacing w:line="240" w:lineRule="auto"/>
              <w:rPr>
                <w:sz w:val="18"/>
                <w:szCs w:val="18"/>
              </w:rPr>
            </w:pPr>
            <w:r w:rsidRPr="009C56AA">
              <w:rPr>
                <w:sz w:val="18"/>
                <w:szCs w:val="18"/>
              </w:rPr>
              <w:t>About Virtual Network Sec</w:t>
            </w:r>
            <w:r>
              <w:rPr>
                <w:sz w:val="18"/>
                <w:szCs w:val="18"/>
              </w:rPr>
              <w:t>ure Cross-Premises Connectivity</w:t>
            </w:r>
          </w:p>
        </w:tc>
        <w:tc>
          <w:tcPr>
            <w:tcW w:w="5940" w:type="dxa"/>
            <w:hideMark/>
          </w:tcPr>
          <w:p w14:paraId="19E67D9C" w14:textId="795B5D87" w:rsidR="009C56AA" w:rsidRDefault="00872E47" w:rsidP="00B81959">
            <w:pPr>
              <w:cnfStyle w:val="000000100000" w:firstRow="0" w:lastRow="0" w:firstColumn="0" w:lastColumn="0" w:oddVBand="0" w:evenVBand="0" w:oddHBand="1" w:evenHBand="0" w:firstRowFirstColumn="0" w:firstRowLastColumn="0" w:lastRowFirstColumn="0" w:lastRowLastColumn="0"/>
              <w:rPr>
                <w:sz w:val="18"/>
                <w:szCs w:val="18"/>
              </w:rPr>
            </w:pPr>
            <w:hyperlink r:id="rId286" w:history="1">
              <w:r w:rsidR="009C56AA" w:rsidRPr="003129DA">
                <w:rPr>
                  <w:rStyle w:val="Hyperlink"/>
                  <w:sz w:val="18"/>
                  <w:szCs w:val="18"/>
                </w:rPr>
                <w:t>https://msdn.microsoft.com/en-us/library/azure/dn133798.aspx</w:t>
              </w:r>
            </w:hyperlink>
            <w:r w:rsidR="009C56AA">
              <w:rPr>
                <w:sz w:val="18"/>
                <w:szCs w:val="18"/>
              </w:rPr>
              <w:t xml:space="preserve"> </w:t>
            </w:r>
          </w:p>
        </w:tc>
      </w:tr>
    </w:tbl>
    <w:p w14:paraId="397CE518" w14:textId="7AF80144" w:rsidR="009C56AA" w:rsidRDefault="009C56AA" w:rsidP="009C56AA">
      <w:pPr>
        <w:rPr>
          <w:lang w:val="en"/>
        </w:rPr>
      </w:pPr>
    </w:p>
    <w:p w14:paraId="28699D74" w14:textId="45CBB33C" w:rsidR="00D53A7A" w:rsidRDefault="00D53A7A" w:rsidP="005729D2">
      <w:pPr>
        <w:pStyle w:val="Heading3Numbered"/>
        <w:numPr>
          <w:ilvl w:val="2"/>
          <w:numId w:val="64"/>
        </w:numPr>
      </w:pPr>
      <w:bookmarkStart w:id="3249" w:name="_Toc418156693"/>
      <w:bookmarkStart w:id="3250" w:name="_Toc418167612"/>
      <w:bookmarkStart w:id="3251" w:name="_Toc418185869"/>
      <w:bookmarkStart w:id="3252" w:name="_Toc422941579"/>
      <w:bookmarkStart w:id="3253" w:name="_Toc423116785"/>
      <w:bookmarkStart w:id="3254" w:name="_Toc423117818"/>
      <w:bookmarkStart w:id="3255" w:name="_Toc423117268"/>
      <w:bookmarkStart w:id="3256" w:name="_Toc431288860"/>
      <w:r>
        <w:t>Limitations</w:t>
      </w:r>
      <w:bookmarkEnd w:id="3249"/>
      <w:bookmarkEnd w:id="3250"/>
      <w:bookmarkEnd w:id="3251"/>
      <w:bookmarkEnd w:id="3252"/>
      <w:bookmarkEnd w:id="3253"/>
      <w:bookmarkEnd w:id="3254"/>
      <w:bookmarkEnd w:id="3255"/>
      <w:bookmarkEnd w:id="3256"/>
      <w:r>
        <w:t xml:space="preserve"> </w:t>
      </w:r>
    </w:p>
    <w:p w14:paraId="76CA3B63" w14:textId="30971745" w:rsidR="00D53A7A" w:rsidRDefault="00BD6328" w:rsidP="00D53A7A">
      <w:r>
        <w:t>Although the capabilities of Azure Virtual Machines are quite comprehensive, some native limitations exist, and they should be understood by organizations prior to deploying solutions in Azure. The following table explores these limitations.</w:t>
      </w:r>
    </w:p>
    <w:tbl>
      <w:tblPr>
        <w:tblStyle w:val="PlainTable11"/>
        <w:tblW w:w="0" w:type="auto"/>
        <w:tblLook w:val="04A0" w:firstRow="1" w:lastRow="0" w:firstColumn="1" w:lastColumn="0" w:noHBand="0" w:noVBand="1"/>
      </w:tblPr>
      <w:tblGrid>
        <w:gridCol w:w="1555"/>
        <w:gridCol w:w="4306"/>
        <w:gridCol w:w="3489"/>
      </w:tblGrid>
      <w:tr w:rsidR="004B150A" w14:paraId="03E56156" w14:textId="77777777" w:rsidTr="00BD63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0" w:type="dxa"/>
            <w:shd w:val="clear" w:color="auto" w:fill="808080" w:themeFill="background1" w:themeFillShade="80"/>
            <w:hideMark/>
          </w:tcPr>
          <w:p w14:paraId="7AB69832" w14:textId="77777777" w:rsidR="004B150A" w:rsidRPr="00B45F31" w:rsidRDefault="004B150A" w:rsidP="00B81959">
            <w:pPr>
              <w:spacing w:line="240" w:lineRule="auto"/>
              <w:rPr>
                <w:rFonts w:eastAsia="Calibri"/>
                <w:color w:val="FFFFFF"/>
                <w:sz w:val="20"/>
                <w:szCs w:val="20"/>
                <w:lang w:eastAsia="en-AU"/>
              </w:rPr>
            </w:pPr>
            <w:r w:rsidRPr="00B45F31">
              <w:rPr>
                <w:rFonts w:eastAsia="Calibri"/>
                <w:color w:val="FFFFFF"/>
                <w:sz w:val="20"/>
                <w:szCs w:val="20"/>
                <w:lang w:eastAsia="en-AU"/>
              </w:rPr>
              <w:t>Limitation</w:t>
            </w:r>
          </w:p>
        </w:tc>
        <w:tc>
          <w:tcPr>
            <w:tcW w:w="5016" w:type="dxa"/>
            <w:shd w:val="clear" w:color="auto" w:fill="808080" w:themeFill="background1" w:themeFillShade="80"/>
          </w:tcPr>
          <w:p w14:paraId="49F99FD0" w14:textId="77777777" w:rsidR="004B150A" w:rsidRPr="00B45F31" w:rsidRDefault="004B150A" w:rsidP="00B81959">
            <w:pPr>
              <w:spacing w:line="240" w:lineRule="auto"/>
              <w:cnfStyle w:val="100000000000" w:firstRow="1" w:lastRow="0" w:firstColumn="0" w:lastColumn="0" w:oddVBand="0" w:evenVBand="0" w:oddHBand="0" w:evenHBand="0" w:firstRowFirstColumn="0" w:firstRowLastColumn="0" w:lastRowFirstColumn="0" w:lastRowLastColumn="0"/>
              <w:rPr>
                <w:rFonts w:eastAsia="Calibri"/>
                <w:color w:val="FFFFFF"/>
                <w:sz w:val="20"/>
                <w:szCs w:val="20"/>
                <w:lang w:eastAsia="en-AU"/>
              </w:rPr>
            </w:pPr>
            <w:r w:rsidRPr="00B45F31">
              <w:rPr>
                <w:rFonts w:eastAsia="Calibri"/>
                <w:color w:val="FFFFFF"/>
                <w:sz w:val="20"/>
                <w:szCs w:val="20"/>
                <w:lang w:eastAsia="en-AU"/>
              </w:rPr>
              <w:t>Impact</w:t>
            </w:r>
          </w:p>
        </w:tc>
        <w:tc>
          <w:tcPr>
            <w:tcW w:w="2844" w:type="dxa"/>
            <w:shd w:val="clear" w:color="auto" w:fill="808080" w:themeFill="background1" w:themeFillShade="80"/>
            <w:hideMark/>
          </w:tcPr>
          <w:p w14:paraId="0874CCE7" w14:textId="77777777" w:rsidR="004B150A" w:rsidRPr="00B45F31" w:rsidRDefault="004B150A" w:rsidP="00B81959">
            <w:pPr>
              <w:spacing w:line="240" w:lineRule="auto"/>
              <w:cnfStyle w:val="100000000000" w:firstRow="1" w:lastRow="0" w:firstColumn="0" w:lastColumn="0" w:oddVBand="0" w:evenVBand="0" w:oddHBand="0" w:evenHBand="0" w:firstRowFirstColumn="0" w:firstRowLastColumn="0" w:lastRowFirstColumn="0" w:lastRowLastColumn="0"/>
              <w:rPr>
                <w:rFonts w:eastAsia="Calibri"/>
                <w:color w:val="FFFFFF"/>
                <w:sz w:val="20"/>
                <w:szCs w:val="20"/>
                <w:lang w:eastAsia="en-AU"/>
              </w:rPr>
            </w:pPr>
            <w:r w:rsidRPr="00B45F31">
              <w:rPr>
                <w:rFonts w:eastAsia="Calibri"/>
                <w:color w:val="FFFFFF"/>
                <w:sz w:val="20"/>
                <w:szCs w:val="20"/>
                <w:lang w:eastAsia="en-AU"/>
              </w:rPr>
              <w:t>Workaround</w:t>
            </w:r>
          </w:p>
        </w:tc>
      </w:tr>
      <w:tr w:rsidR="00BD6328" w14:paraId="5F8EADFB" w14:textId="77777777" w:rsidTr="00713D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15" w:type="dxa"/>
          </w:tcPr>
          <w:p w14:paraId="11D3C230" w14:textId="2E01C2C4" w:rsidR="00BD6328" w:rsidRPr="001E5AC2" w:rsidRDefault="00BD6328" w:rsidP="00BD6328">
            <w:pPr>
              <w:rPr>
                <w:sz w:val="20"/>
                <w:szCs w:val="20"/>
              </w:rPr>
            </w:pPr>
            <w:r w:rsidRPr="001E5AC2">
              <w:rPr>
                <w:sz w:val="20"/>
                <w:szCs w:val="20"/>
              </w:rPr>
              <w:t>Auto-</w:t>
            </w:r>
            <w:r>
              <w:rPr>
                <w:sz w:val="20"/>
                <w:szCs w:val="20"/>
              </w:rPr>
              <w:t>s</w:t>
            </w:r>
            <w:r w:rsidRPr="001E5AC2">
              <w:rPr>
                <w:sz w:val="20"/>
                <w:szCs w:val="20"/>
              </w:rPr>
              <w:t>caling</w:t>
            </w:r>
          </w:p>
        </w:tc>
        <w:tc>
          <w:tcPr>
            <w:tcW w:w="3647" w:type="dxa"/>
          </w:tcPr>
          <w:p w14:paraId="6579B58F" w14:textId="77777777" w:rsidR="00BD6328" w:rsidRDefault="00BD6328" w:rsidP="00BD6328">
            <w:pPr>
              <w:cnfStyle w:val="000000100000" w:firstRow="0" w:lastRow="0" w:firstColumn="0" w:lastColumn="0" w:oddVBand="0" w:evenVBand="0" w:oddHBand="1" w:evenHBand="0" w:firstRowFirstColumn="0" w:firstRowLastColumn="0" w:lastRowFirstColumn="0" w:lastRowLastColumn="0"/>
              <w:rPr>
                <w:sz w:val="20"/>
                <w:szCs w:val="20"/>
              </w:rPr>
            </w:pPr>
            <w:r w:rsidRPr="003E32DB">
              <w:rPr>
                <w:sz w:val="20"/>
                <w:szCs w:val="20"/>
              </w:rPr>
              <w:t>The application environment does not automatically increase or decrease role instances for increase or decrease in load</w:t>
            </w:r>
            <w:r>
              <w:rPr>
                <w:sz w:val="20"/>
                <w:szCs w:val="20"/>
              </w:rPr>
              <w:t>.</w:t>
            </w:r>
          </w:p>
          <w:p w14:paraId="093708DE" w14:textId="77777777" w:rsidR="00BD6328" w:rsidRPr="00CD3D42" w:rsidRDefault="00BD6328" w:rsidP="005729D2">
            <w:pPr>
              <w:pStyle w:val="ListParagraph"/>
              <w:numPr>
                <w:ilvl w:val="0"/>
                <w:numId w:val="144"/>
              </w:numPr>
              <w:cnfStyle w:val="000000100000" w:firstRow="0" w:lastRow="0" w:firstColumn="0" w:lastColumn="0" w:oddVBand="0" w:evenVBand="0" w:oddHBand="1" w:evenHBand="0" w:firstRowFirstColumn="0" w:firstRowLastColumn="0" w:lastRowFirstColumn="0" w:lastRowLastColumn="0"/>
              <w:rPr>
                <w:sz w:val="20"/>
                <w:szCs w:val="20"/>
              </w:rPr>
            </w:pPr>
            <w:r w:rsidRPr="00CD3D42">
              <w:rPr>
                <w:sz w:val="20"/>
                <w:szCs w:val="20"/>
              </w:rPr>
              <w:t xml:space="preserve">Someone needs to manually monitor </w:t>
            </w:r>
            <w:r>
              <w:rPr>
                <w:sz w:val="20"/>
                <w:szCs w:val="20"/>
              </w:rPr>
              <w:t>the load.</w:t>
            </w:r>
          </w:p>
          <w:p w14:paraId="499ECEBF" w14:textId="1F5BDEED" w:rsidR="00BD6328" w:rsidRPr="00CD3D42" w:rsidRDefault="00BD6328" w:rsidP="005729D2">
            <w:pPr>
              <w:pStyle w:val="ListParagraph"/>
              <w:numPr>
                <w:ilvl w:val="0"/>
                <w:numId w:val="144"/>
              </w:numPr>
              <w:cnfStyle w:val="000000100000" w:firstRow="0" w:lastRow="0" w:firstColumn="0" w:lastColumn="0" w:oddVBand="0" w:evenVBand="0" w:oddHBand="1" w:evenHBand="0" w:firstRowFirstColumn="0" w:firstRowLastColumn="0" w:lastRowFirstColumn="0" w:lastRowLastColumn="0"/>
              <w:rPr>
                <w:sz w:val="20"/>
                <w:szCs w:val="20"/>
              </w:rPr>
            </w:pPr>
            <w:r w:rsidRPr="00CD3D42">
              <w:rPr>
                <w:sz w:val="20"/>
                <w:szCs w:val="20"/>
              </w:rPr>
              <w:t>Sudden increase in load will impact the performance</w:t>
            </w:r>
            <w:r>
              <w:rPr>
                <w:sz w:val="20"/>
                <w:szCs w:val="20"/>
              </w:rPr>
              <w:t>.</w:t>
            </w:r>
            <w:r w:rsidRPr="00CD3D42">
              <w:rPr>
                <w:sz w:val="20"/>
                <w:szCs w:val="20"/>
              </w:rPr>
              <w:t xml:space="preserve"> </w:t>
            </w:r>
          </w:p>
        </w:tc>
        <w:tc>
          <w:tcPr>
            <w:tcW w:w="4093" w:type="dxa"/>
          </w:tcPr>
          <w:p w14:paraId="6C6E53B8" w14:textId="3CE887C0" w:rsidR="00BD6328" w:rsidRDefault="00BD6328" w:rsidP="00BD632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Utilize monitoring and automation capabilities such as the Azure Monitoring Agent and Azure Automation to dynamically scale and deploy application code to virtual machine instances in the environment.</w:t>
            </w:r>
          </w:p>
        </w:tc>
      </w:tr>
      <w:tr w:rsidR="00BD6328" w14:paraId="4DC7AAA9" w14:textId="77777777" w:rsidTr="00BD6328">
        <w:tc>
          <w:tcPr>
            <w:cnfStyle w:val="001000000000" w:firstRow="0" w:lastRow="0" w:firstColumn="1" w:lastColumn="0" w:oddVBand="0" w:evenVBand="0" w:oddHBand="0" w:evenHBand="0" w:firstRowFirstColumn="0" w:firstRowLastColumn="0" w:lastRowFirstColumn="0" w:lastRowLastColumn="0"/>
            <w:tcW w:w="1490" w:type="dxa"/>
          </w:tcPr>
          <w:p w14:paraId="7FB56500" w14:textId="5B75B2EB" w:rsidR="00BD6328" w:rsidRPr="001E5AC2" w:rsidRDefault="00BD6328" w:rsidP="00BD6328">
            <w:pPr>
              <w:pStyle w:val="NormalWeb"/>
              <w:spacing w:line="256" w:lineRule="auto"/>
              <w:rPr>
                <w:rFonts w:ascii="Segoe UI" w:hAnsi="Segoe UI" w:cs="Segoe UI"/>
                <w:sz w:val="20"/>
                <w:szCs w:val="20"/>
                <w:lang w:val="en-AU" w:eastAsia="en-AU"/>
              </w:rPr>
            </w:pPr>
            <w:r w:rsidRPr="001E5AC2">
              <w:rPr>
                <w:rFonts w:ascii="Segoe UI" w:hAnsi="Segoe UI" w:cs="Segoe UI"/>
                <w:sz w:val="20"/>
                <w:szCs w:val="20"/>
                <w:lang w:val="en-AU" w:eastAsia="en-AU"/>
              </w:rPr>
              <w:t xml:space="preserve">Load </w:t>
            </w:r>
            <w:r>
              <w:rPr>
                <w:rFonts w:ascii="Segoe UI" w:hAnsi="Segoe UI" w:cs="Segoe UI"/>
                <w:sz w:val="20"/>
                <w:szCs w:val="20"/>
                <w:lang w:val="en-AU" w:eastAsia="en-AU"/>
              </w:rPr>
              <w:t>b</w:t>
            </w:r>
            <w:r w:rsidRPr="001E5AC2">
              <w:rPr>
                <w:rFonts w:ascii="Segoe UI" w:hAnsi="Segoe UI" w:cs="Segoe UI"/>
                <w:sz w:val="20"/>
                <w:szCs w:val="20"/>
                <w:lang w:val="en-AU" w:eastAsia="en-AU"/>
              </w:rPr>
              <w:t>alancing</w:t>
            </w:r>
          </w:p>
        </w:tc>
        <w:tc>
          <w:tcPr>
            <w:tcW w:w="5016" w:type="dxa"/>
          </w:tcPr>
          <w:p w14:paraId="2139E8E7" w14:textId="77777777" w:rsidR="00BD6328" w:rsidRDefault="00BD6328" w:rsidP="00BD6328">
            <w:pPr>
              <w:cnfStyle w:val="000000000000" w:firstRow="0" w:lastRow="0" w:firstColumn="0" w:lastColumn="0" w:oddVBand="0" w:evenVBand="0" w:oddHBand="0" w:evenHBand="0" w:firstRowFirstColumn="0" w:firstRowLastColumn="0" w:lastRowFirstColumn="0" w:lastRowLastColumn="0"/>
              <w:rPr>
                <w:rFonts w:cs="Segoe UI"/>
                <w:sz w:val="20"/>
                <w:szCs w:val="20"/>
                <w:lang w:val="en-AU" w:eastAsia="en-AU"/>
              </w:rPr>
            </w:pPr>
            <w:r>
              <w:rPr>
                <w:rFonts w:cs="Segoe UI"/>
                <w:sz w:val="20"/>
                <w:szCs w:val="20"/>
                <w:lang w:val="en-AU" w:eastAsia="en-AU"/>
              </w:rPr>
              <w:t>Virtual m</w:t>
            </w:r>
            <w:r w:rsidRPr="00CD3D42">
              <w:rPr>
                <w:rFonts w:cs="Segoe UI"/>
                <w:sz w:val="20"/>
                <w:szCs w:val="20"/>
                <w:lang w:val="en-AU" w:eastAsia="en-AU"/>
              </w:rPr>
              <w:t>achines are not load balanced by default</w:t>
            </w:r>
          </w:p>
          <w:p w14:paraId="45A8A143" w14:textId="77777777" w:rsidR="00BD6328" w:rsidRPr="00CD3D42" w:rsidRDefault="00BD6328" w:rsidP="005729D2">
            <w:pPr>
              <w:pStyle w:val="ListParagraph"/>
              <w:numPr>
                <w:ilvl w:val="0"/>
                <w:numId w:val="145"/>
              </w:num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Azure Virtual Machines</w:t>
            </w:r>
            <w:r w:rsidRPr="00CD3D42">
              <w:rPr>
                <w:sz w:val="20"/>
                <w:szCs w:val="20"/>
              </w:rPr>
              <w:t xml:space="preserve"> does not allow for elasticity of the application environment.</w:t>
            </w:r>
            <w:r>
              <w:rPr>
                <w:sz w:val="20"/>
                <w:szCs w:val="20"/>
              </w:rPr>
              <w:t xml:space="preserve"> </w:t>
            </w:r>
          </w:p>
          <w:p w14:paraId="53ABF44F" w14:textId="713F5BC8" w:rsidR="00BD6328" w:rsidRPr="00CD3D42" w:rsidRDefault="00BD6328" w:rsidP="005729D2">
            <w:pPr>
              <w:pStyle w:val="ListParagraph"/>
              <w:numPr>
                <w:ilvl w:val="0"/>
                <w:numId w:val="145"/>
              </w:numPr>
              <w:cnfStyle w:val="000000000000" w:firstRow="0" w:lastRow="0" w:firstColumn="0" w:lastColumn="0" w:oddVBand="0" w:evenVBand="0" w:oddHBand="0" w:evenHBand="0" w:firstRowFirstColumn="0" w:firstRowLastColumn="0" w:lastRowFirstColumn="0" w:lastRowLastColumn="0"/>
              <w:rPr>
                <w:sz w:val="20"/>
                <w:szCs w:val="20"/>
              </w:rPr>
            </w:pPr>
            <w:r w:rsidRPr="00CD3D42">
              <w:rPr>
                <w:sz w:val="20"/>
                <w:szCs w:val="20"/>
              </w:rPr>
              <w:t>Sudden increase in load will impact the performance</w:t>
            </w:r>
            <w:r>
              <w:rPr>
                <w:sz w:val="20"/>
                <w:szCs w:val="20"/>
              </w:rPr>
              <w:t>.</w:t>
            </w:r>
            <w:r w:rsidRPr="00CD3D42">
              <w:rPr>
                <w:sz w:val="20"/>
                <w:szCs w:val="20"/>
              </w:rPr>
              <w:t xml:space="preserve"> </w:t>
            </w:r>
          </w:p>
        </w:tc>
        <w:tc>
          <w:tcPr>
            <w:tcW w:w="2844" w:type="dxa"/>
          </w:tcPr>
          <w:p w14:paraId="06C85092" w14:textId="6EDB0803" w:rsidR="00BD6328" w:rsidRDefault="00BD6328" w:rsidP="00BD632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After the virtual machine is provisioned, create an Internal Load Balancer and associate it with the virtual machine.</w:t>
            </w:r>
          </w:p>
        </w:tc>
      </w:tr>
      <w:tr w:rsidR="00BD6328" w14:paraId="391D0087" w14:textId="77777777" w:rsidTr="00BD63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0" w:type="dxa"/>
          </w:tcPr>
          <w:p w14:paraId="7FEAE304" w14:textId="213C689E" w:rsidR="00BD6328" w:rsidRPr="001E5AC2" w:rsidRDefault="00BD6328" w:rsidP="00BD6328">
            <w:pPr>
              <w:pStyle w:val="NormalWeb"/>
              <w:spacing w:line="256" w:lineRule="auto"/>
              <w:rPr>
                <w:rFonts w:ascii="Segoe UI" w:hAnsi="Segoe UI" w:cs="Segoe UI"/>
                <w:sz w:val="20"/>
                <w:szCs w:val="20"/>
                <w:lang w:val="en-AU" w:eastAsia="en-AU"/>
              </w:rPr>
            </w:pPr>
            <w:r w:rsidRPr="001E5AC2">
              <w:rPr>
                <w:rFonts w:ascii="Segoe UI" w:hAnsi="Segoe UI" w:cs="Segoe UI"/>
                <w:sz w:val="20"/>
                <w:szCs w:val="20"/>
                <w:lang w:val="en-AU" w:eastAsia="en-AU"/>
              </w:rPr>
              <w:t xml:space="preserve">Multiple </w:t>
            </w:r>
            <w:r>
              <w:rPr>
                <w:rFonts w:ascii="Segoe UI" w:hAnsi="Segoe UI" w:cs="Segoe UI"/>
                <w:sz w:val="20"/>
                <w:szCs w:val="20"/>
                <w:lang w:val="en-AU" w:eastAsia="en-AU"/>
              </w:rPr>
              <w:t>network adapters</w:t>
            </w:r>
          </w:p>
        </w:tc>
        <w:tc>
          <w:tcPr>
            <w:tcW w:w="5016" w:type="dxa"/>
          </w:tcPr>
          <w:p w14:paraId="231CDBF0" w14:textId="77777777" w:rsidR="00BD6328" w:rsidRPr="00BB75C1" w:rsidRDefault="00BD6328" w:rsidP="005729D2">
            <w:pPr>
              <w:numPr>
                <w:ilvl w:val="0"/>
                <w:numId w:val="40"/>
              </w:numPr>
              <w:tabs>
                <w:tab w:val="clear" w:pos="720"/>
                <w:tab w:val="num" w:pos="360"/>
              </w:tabs>
              <w:ind w:left="360"/>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The c</w:t>
            </w:r>
            <w:r w:rsidRPr="00BB75C1">
              <w:rPr>
                <w:sz w:val="20"/>
                <w:szCs w:val="20"/>
              </w:rPr>
              <w:t xml:space="preserve">urrent release does not support adding or removing </w:t>
            </w:r>
            <w:r>
              <w:rPr>
                <w:sz w:val="20"/>
                <w:szCs w:val="20"/>
              </w:rPr>
              <w:t>network adapter</w:t>
            </w:r>
            <w:r w:rsidRPr="00BB75C1">
              <w:rPr>
                <w:sz w:val="20"/>
                <w:szCs w:val="20"/>
              </w:rPr>
              <w:t xml:space="preserve">s after a </w:t>
            </w:r>
            <w:r>
              <w:rPr>
                <w:sz w:val="20"/>
                <w:szCs w:val="20"/>
              </w:rPr>
              <w:t>virtual machine</w:t>
            </w:r>
            <w:r w:rsidRPr="00BB75C1">
              <w:rPr>
                <w:sz w:val="20"/>
                <w:szCs w:val="20"/>
              </w:rPr>
              <w:t xml:space="preserve"> is created.</w:t>
            </w:r>
          </w:p>
          <w:p w14:paraId="252E3FF6" w14:textId="77777777" w:rsidR="00BD6328" w:rsidRPr="00BB75C1" w:rsidRDefault="00BD6328" w:rsidP="005729D2">
            <w:pPr>
              <w:numPr>
                <w:ilvl w:val="0"/>
                <w:numId w:val="40"/>
              </w:numPr>
              <w:tabs>
                <w:tab w:val="clear" w:pos="720"/>
                <w:tab w:val="num" w:pos="360"/>
              </w:tabs>
              <w:ind w:left="360"/>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Network adapters</w:t>
            </w:r>
            <w:r w:rsidRPr="00BB75C1">
              <w:rPr>
                <w:sz w:val="20"/>
                <w:szCs w:val="20"/>
              </w:rPr>
              <w:t xml:space="preserve"> in Azure </w:t>
            </w:r>
            <w:r>
              <w:rPr>
                <w:sz w:val="20"/>
                <w:szCs w:val="20"/>
              </w:rPr>
              <w:t>Virtual Machines</w:t>
            </w:r>
            <w:r w:rsidRPr="00BB75C1">
              <w:rPr>
                <w:sz w:val="20"/>
                <w:szCs w:val="20"/>
              </w:rPr>
              <w:t xml:space="preserve"> cannot forward traffic or act as Layer</w:t>
            </w:r>
            <w:r>
              <w:rPr>
                <w:sz w:val="20"/>
                <w:szCs w:val="20"/>
              </w:rPr>
              <w:t> 3</w:t>
            </w:r>
            <w:r w:rsidRPr="00BB75C1">
              <w:rPr>
                <w:sz w:val="20"/>
                <w:szCs w:val="20"/>
              </w:rPr>
              <w:t xml:space="preserve"> (</w:t>
            </w:r>
            <w:r>
              <w:rPr>
                <w:sz w:val="20"/>
                <w:szCs w:val="20"/>
              </w:rPr>
              <w:t>IP</w:t>
            </w:r>
            <w:r w:rsidRPr="00BB75C1">
              <w:rPr>
                <w:sz w:val="20"/>
                <w:szCs w:val="20"/>
              </w:rPr>
              <w:t>) gateways.</w:t>
            </w:r>
          </w:p>
          <w:p w14:paraId="7A587590" w14:textId="77777777" w:rsidR="00BD6328" w:rsidRPr="00BB75C1" w:rsidRDefault="00BD6328" w:rsidP="005729D2">
            <w:pPr>
              <w:numPr>
                <w:ilvl w:val="0"/>
                <w:numId w:val="40"/>
              </w:numPr>
              <w:tabs>
                <w:tab w:val="clear" w:pos="720"/>
                <w:tab w:val="num" w:pos="360"/>
              </w:tabs>
              <w:ind w:left="360"/>
              <w:cnfStyle w:val="000000100000" w:firstRow="0" w:lastRow="0" w:firstColumn="0" w:lastColumn="0" w:oddVBand="0" w:evenVBand="0" w:oddHBand="1" w:evenHBand="0" w:firstRowFirstColumn="0" w:firstRowLastColumn="0" w:lastRowFirstColumn="0" w:lastRowLastColumn="0"/>
              <w:rPr>
                <w:sz w:val="20"/>
                <w:szCs w:val="20"/>
              </w:rPr>
            </w:pPr>
            <w:r w:rsidRPr="00BB75C1">
              <w:rPr>
                <w:sz w:val="20"/>
                <w:szCs w:val="20"/>
              </w:rPr>
              <w:t xml:space="preserve">Internet-facing VIP is only supported on the “default” </w:t>
            </w:r>
            <w:r>
              <w:rPr>
                <w:sz w:val="20"/>
                <w:szCs w:val="20"/>
              </w:rPr>
              <w:t>network adapter</w:t>
            </w:r>
            <w:r w:rsidRPr="00BB75C1">
              <w:rPr>
                <w:sz w:val="20"/>
                <w:szCs w:val="20"/>
              </w:rPr>
              <w:t xml:space="preserve">, and there is only one VIP mapped to the </w:t>
            </w:r>
            <w:r>
              <w:rPr>
                <w:sz w:val="20"/>
                <w:szCs w:val="20"/>
              </w:rPr>
              <w:t>IP</w:t>
            </w:r>
            <w:r w:rsidRPr="00BB75C1">
              <w:rPr>
                <w:sz w:val="20"/>
                <w:szCs w:val="20"/>
              </w:rPr>
              <w:t xml:space="preserve"> of the default </w:t>
            </w:r>
            <w:r>
              <w:rPr>
                <w:sz w:val="20"/>
                <w:szCs w:val="20"/>
              </w:rPr>
              <w:t>network adapter</w:t>
            </w:r>
            <w:r w:rsidRPr="00BB75C1">
              <w:rPr>
                <w:sz w:val="20"/>
                <w:szCs w:val="20"/>
              </w:rPr>
              <w:t xml:space="preserve">. The additional </w:t>
            </w:r>
            <w:r>
              <w:rPr>
                <w:sz w:val="20"/>
                <w:szCs w:val="20"/>
              </w:rPr>
              <w:t>network adapter</w:t>
            </w:r>
            <w:r w:rsidRPr="00BB75C1">
              <w:rPr>
                <w:sz w:val="20"/>
                <w:szCs w:val="20"/>
              </w:rPr>
              <w:t xml:space="preserve">s cannot be used in a </w:t>
            </w:r>
            <w:r>
              <w:rPr>
                <w:sz w:val="20"/>
                <w:szCs w:val="20"/>
              </w:rPr>
              <w:t>l</w:t>
            </w:r>
            <w:r w:rsidRPr="00BB75C1">
              <w:rPr>
                <w:sz w:val="20"/>
                <w:szCs w:val="20"/>
              </w:rPr>
              <w:t>oad</w:t>
            </w:r>
            <w:r>
              <w:rPr>
                <w:sz w:val="20"/>
                <w:szCs w:val="20"/>
              </w:rPr>
              <w:t>-b</w:t>
            </w:r>
            <w:r w:rsidRPr="00BB75C1">
              <w:rPr>
                <w:sz w:val="20"/>
                <w:szCs w:val="20"/>
              </w:rPr>
              <w:t>alance set.</w:t>
            </w:r>
          </w:p>
          <w:p w14:paraId="2EA3142B" w14:textId="77777777" w:rsidR="00BD6328" w:rsidRPr="00BB75C1" w:rsidRDefault="00BD6328" w:rsidP="005729D2">
            <w:pPr>
              <w:numPr>
                <w:ilvl w:val="0"/>
                <w:numId w:val="40"/>
              </w:numPr>
              <w:tabs>
                <w:tab w:val="clear" w:pos="720"/>
                <w:tab w:val="num" w:pos="360"/>
              </w:tabs>
              <w:ind w:left="360"/>
              <w:cnfStyle w:val="000000100000" w:firstRow="0" w:lastRow="0" w:firstColumn="0" w:lastColumn="0" w:oddVBand="0" w:evenVBand="0" w:oddHBand="1" w:evenHBand="0" w:firstRowFirstColumn="0" w:firstRowLastColumn="0" w:lastRowFirstColumn="0" w:lastRowLastColumn="0"/>
              <w:rPr>
                <w:sz w:val="20"/>
                <w:szCs w:val="20"/>
              </w:rPr>
            </w:pPr>
            <w:r w:rsidRPr="00BB75C1">
              <w:rPr>
                <w:sz w:val="20"/>
                <w:szCs w:val="20"/>
              </w:rPr>
              <w:t xml:space="preserve">The order of the </w:t>
            </w:r>
            <w:r>
              <w:rPr>
                <w:sz w:val="20"/>
                <w:szCs w:val="20"/>
              </w:rPr>
              <w:t>network adapter</w:t>
            </w:r>
            <w:r w:rsidRPr="00BB75C1">
              <w:rPr>
                <w:sz w:val="20"/>
                <w:szCs w:val="20"/>
              </w:rPr>
              <w:t xml:space="preserve">s inside the </w:t>
            </w:r>
            <w:r>
              <w:rPr>
                <w:sz w:val="20"/>
                <w:szCs w:val="20"/>
              </w:rPr>
              <w:t>virtual machine</w:t>
            </w:r>
            <w:r w:rsidRPr="00BB75C1">
              <w:rPr>
                <w:sz w:val="20"/>
                <w:szCs w:val="20"/>
              </w:rPr>
              <w:t xml:space="preserve"> will be random, but the </w:t>
            </w:r>
            <w:r>
              <w:rPr>
                <w:sz w:val="20"/>
                <w:szCs w:val="20"/>
              </w:rPr>
              <w:t>IP</w:t>
            </w:r>
            <w:r w:rsidRPr="00BB75C1">
              <w:rPr>
                <w:sz w:val="20"/>
                <w:szCs w:val="20"/>
              </w:rPr>
              <w:t xml:space="preserve"> addresses and the corresponding MAC</w:t>
            </w:r>
            <w:r>
              <w:rPr>
                <w:sz w:val="20"/>
                <w:szCs w:val="20"/>
              </w:rPr>
              <w:t xml:space="preserve"> addresse</w:t>
            </w:r>
            <w:r w:rsidRPr="00BB75C1">
              <w:rPr>
                <w:sz w:val="20"/>
                <w:szCs w:val="20"/>
              </w:rPr>
              <w:t>s will remain the same.</w:t>
            </w:r>
          </w:p>
          <w:p w14:paraId="41497D07" w14:textId="77777777" w:rsidR="00BD6328" w:rsidRDefault="00BD6328" w:rsidP="005729D2">
            <w:pPr>
              <w:numPr>
                <w:ilvl w:val="0"/>
                <w:numId w:val="40"/>
              </w:numPr>
              <w:tabs>
                <w:tab w:val="clear" w:pos="720"/>
                <w:tab w:val="num" w:pos="360"/>
              </w:tabs>
              <w:ind w:left="360"/>
              <w:cnfStyle w:val="000000100000" w:firstRow="0" w:lastRow="0" w:firstColumn="0" w:lastColumn="0" w:oddVBand="0" w:evenVBand="0" w:oddHBand="1" w:evenHBand="0" w:firstRowFirstColumn="0" w:firstRowLastColumn="0" w:lastRowFirstColumn="0" w:lastRowLastColumn="0"/>
              <w:rPr>
                <w:sz w:val="20"/>
                <w:szCs w:val="20"/>
              </w:rPr>
            </w:pPr>
            <w:r w:rsidRPr="00BB75C1">
              <w:rPr>
                <w:sz w:val="20"/>
                <w:szCs w:val="20"/>
              </w:rPr>
              <w:t xml:space="preserve">You cannot apply Network Security Groups or Forced Tunneling to the non-default </w:t>
            </w:r>
            <w:r>
              <w:rPr>
                <w:sz w:val="20"/>
                <w:szCs w:val="20"/>
              </w:rPr>
              <w:t>network adapter</w:t>
            </w:r>
            <w:r w:rsidRPr="00BB75C1">
              <w:rPr>
                <w:sz w:val="20"/>
                <w:szCs w:val="20"/>
              </w:rPr>
              <w:t>s.</w:t>
            </w:r>
          </w:p>
          <w:p w14:paraId="3B4E535B" w14:textId="77777777" w:rsidR="00BD6328" w:rsidRPr="00BB75C1" w:rsidRDefault="00BD6328" w:rsidP="00BD632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For more information, see:</w:t>
            </w:r>
          </w:p>
          <w:p w14:paraId="5207F393" w14:textId="46E08D6B" w:rsidR="00BD6328" w:rsidRPr="00CD3D42" w:rsidRDefault="00872E47" w:rsidP="00BD6328">
            <w:pPr>
              <w:cnfStyle w:val="000000100000" w:firstRow="0" w:lastRow="0" w:firstColumn="0" w:lastColumn="0" w:oddVBand="0" w:evenVBand="0" w:oddHBand="1" w:evenHBand="0" w:firstRowFirstColumn="0" w:firstRowLastColumn="0" w:lastRowFirstColumn="0" w:lastRowLastColumn="0"/>
              <w:rPr>
                <w:rFonts w:eastAsia="Calibri" w:cs="Segoe UI"/>
                <w:sz w:val="20"/>
                <w:szCs w:val="20"/>
                <w:lang w:val="en-AU" w:eastAsia="en-AU"/>
              </w:rPr>
            </w:pPr>
            <w:hyperlink r:id="rId287" w:history="1">
              <w:r w:rsidR="00BD6328">
                <w:rPr>
                  <w:rStyle w:val="Hyperlink"/>
                  <w:sz w:val="20"/>
                  <w:szCs w:val="20"/>
                </w:rPr>
                <w:t>Multiple virtual machine network adapters and network virtual appliances in Azure</w:t>
              </w:r>
            </w:hyperlink>
          </w:p>
        </w:tc>
        <w:tc>
          <w:tcPr>
            <w:tcW w:w="2844" w:type="dxa"/>
          </w:tcPr>
          <w:p w14:paraId="16183103" w14:textId="77777777" w:rsidR="00BD6328" w:rsidRPr="00CD3D42" w:rsidRDefault="00BD6328" w:rsidP="00BD6328">
            <w:pPr>
              <w:cnfStyle w:val="000000100000" w:firstRow="0" w:lastRow="0" w:firstColumn="0" w:lastColumn="0" w:oddVBand="0" w:evenVBand="0" w:oddHBand="1" w:evenHBand="0" w:firstRowFirstColumn="0" w:firstRowLastColumn="0" w:lastRowFirstColumn="0" w:lastRowLastColumn="0"/>
              <w:rPr>
                <w:rFonts w:eastAsia="Calibri" w:cs="Segoe UI"/>
                <w:sz w:val="20"/>
                <w:szCs w:val="20"/>
                <w:lang w:val="en-AU" w:eastAsia="en-AU"/>
              </w:rPr>
            </w:pPr>
          </w:p>
        </w:tc>
      </w:tr>
      <w:tr w:rsidR="00BD6328" w14:paraId="344809EA" w14:textId="77777777" w:rsidTr="00BD6328">
        <w:tc>
          <w:tcPr>
            <w:cnfStyle w:val="001000000000" w:firstRow="0" w:lastRow="0" w:firstColumn="1" w:lastColumn="0" w:oddVBand="0" w:evenVBand="0" w:oddHBand="0" w:evenHBand="0" w:firstRowFirstColumn="0" w:firstRowLastColumn="0" w:lastRowFirstColumn="0" w:lastRowLastColumn="0"/>
            <w:tcW w:w="1490" w:type="dxa"/>
          </w:tcPr>
          <w:p w14:paraId="28AA1CFA" w14:textId="39C02243" w:rsidR="00BD6328" w:rsidRPr="001E5AC2" w:rsidRDefault="00BD6328" w:rsidP="00BD6328">
            <w:pPr>
              <w:pStyle w:val="NormalWeb"/>
              <w:spacing w:line="256" w:lineRule="auto"/>
              <w:rPr>
                <w:rFonts w:ascii="Segoe UI" w:hAnsi="Segoe UI" w:cs="Segoe UI"/>
                <w:sz w:val="20"/>
                <w:szCs w:val="20"/>
                <w:lang w:val="en-AU" w:eastAsia="en-AU"/>
              </w:rPr>
            </w:pPr>
            <w:r w:rsidRPr="001E5AC2">
              <w:rPr>
                <w:rFonts w:ascii="Segoe UI" w:hAnsi="Segoe UI" w:cs="Segoe UI"/>
                <w:sz w:val="20"/>
                <w:szCs w:val="20"/>
                <w:lang w:val="en-AU" w:eastAsia="en-AU"/>
              </w:rPr>
              <w:t>Density</w:t>
            </w:r>
          </w:p>
        </w:tc>
        <w:tc>
          <w:tcPr>
            <w:tcW w:w="5016" w:type="dxa"/>
          </w:tcPr>
          <w:p w14:paraId="212665CF" w14:textId="682E3100" w:rsidR="00BD6328" w:rsidRDefault="00BD6328" w:rsidP="00BD6328">
            <w:pPr>
              <w:cnfStyle w:val="000000000000" w:firstRow="0" w:lastRow="0" w:firstColumn="0" w:lastColumn="0" w:oddVBand="0" w:evenVBand="0" w:oddHBand="0" w:evenHBand="0" w:firstRowFirstColumn="0" w:firstRowLastColumn="0" w:lastRowFirstColumn="0" w:lastRowLastColumn="0"/>
              <w:rPr>
                <w:sz w:val="20"/>
                <w:szCs w:val="20"/>
              </w:rPr>
            </w:pPr>
            <w:r>
              <w:rPr>
                <w:rFonts w:cs="Segoe UI"/>
                <w:sz w:val="20"/>
                <w:szCs w:val="20"/>
                <w:lang w:val="en-AU" w:eastAsia="en-AU"/>
              </w:rPr>
              <w:t>The total virtual machines per virtual network currently is 2048.</w:t>
            </w:r>
          </w:p>
        </w:tc>
        <w:tc>
          <w:tcPr>
            <w:tcW w:w="2844" w:type="dxa"/>
          </w:tcPr>
          <w:p w14:paraId="591C7882" w14:textId="4F92F457" w:rsidR="00BD6328" w:rsidRDefault="00BD6328" w:rsidP="00BD632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Create a new virtual network and extend the network by connecting virtual networks together.</w:t>
            </w:r>
          </w:p>
        </w:tc>
      </w:tr>
      <w:tr w:rsidR="00BD6328" w14:paraId="79F295A3" w14:textId="77777777" w:rsidTr="00BD63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0" w:type="dxa"/>
          </w:tcPr>
          <w:p w14:paraId="4AB1250F" w14:textId="52ED4D5B" w:rsidR="00BD6328" w:rsidRPr="001E5AC2" w:rsidRDefault="00BD6328" w:rsidP="00BD6328">
            <w:pPr>
              <w:pStyle w:val="NormalWeb"/>
              <w:spacing w:line="256" w:lineRule="auto"/>
              <w:rPr>
                <w:rFonts w:ascii="Segoe UI" w:hAnsi="Segoe UI" w:cs="Segoe UI"/>
                <w:sz w:val="20"/>
                <w:szCs w:val="20"/>
                <w:lang w:val="en-AU" w:eastAsia="en-AU"/>
              </w:rPr>
            </w:pPr>
            <w:r w:rsidRPr="001E5AC2">
              <w:rPr>
                <w:rFonts w:ascii="Segoe UI" w:hAnsi="Segoe UI" w:cs="Segoe UI"/>
                <w:sz w:val="20"/>
                <w:szCs w:val="20"/>
                <w:lang w:val="en-AU" w:eastAsia="en-AU"/>
              </w:rPr>
              <w:t>Concurrent TCP connections</w:t>
            </w:r>
          </w:p>
        </w:tc>
        <w:tc>
          <w:tcPr>
            <w:tcW w:w="5016" w:type="dxa"/>
          </w:tcPr>
          <w:p w14:paraId="08E77C21" w14:textId="2623EA6A" w:rsidR="00BD6328" w:rsidRDefault="00BD6328" w:rsidP="00BD6328">
            <w:pPr>
              <w:cnfStyle w:val="000000100000" w:firstRow="0" w:lastRow="0" w:firstColumn="0" w:lastColumn="0" w:oddVBand="0" w:evenVBand="0" w:oddHBand="1" w:evenHBand="0" w:firstRowFirstColumn="0" w:firstRowLastColumn="0" w:lastRowFirstColumn="0" w:lastRowLastColumn="0"/>
              <w:rPr>
                <w:sz w:val="20"/>
                <w:szCs w:val="20"/>
              </w:rPr>
            </w:pPr>
            <w:r w:rsidRPr="00BB75C1">
              <w:rPr>
                <w:sz w:val="20"/>
                <w:szCs w:val="20"/>
              </w:rPr>
              <w:t>Concurrent TCP connections for a virtual machine or role instance</w:t>
            </w:r>
            <w:r>
              <w:rPr>
                <w:sz w:val="20"/>
                <w:szCs w:val="20"/>
              </w:rPr>
              <w:t xml:space="preserve"> = 500 K.</w:t>
            </w:r>
          </w:p>
        </w:tc>
        <w:tc>
          <w:tcPr>
            <w:tcW w:w="2844" w:type="dxa"/>
          </w:tcPr>
          <w:p w14:paraId="3391C300" w14:textId="77777777" w:rsidR="00BD6328" w:rsidRDefault="00BD6328" w:rsidP="00BD6328">
            <w:pPr>
              <w:cnfStyle w:val="000000100000" w:firstRow="0" w:lastRow="0" w:firstColumn="0" w:lastColumn="0" w:oddVBand="0" w:evenVBand="0" w:oddHBand="1" w:evenHBand="0" w:firstRowFirstColumn="0" w:firstRowLastColumn="0" w:lastRowFirstColumn="0" w:lastRowLastColumn="0"/>
              <w:rPr>
                <w:sz w:val="20"/>
                <w:szCs w:val="20"/>
              </w:rPr>
            </w:pPr>
          </w:p>
        </w:tc>
      </w:tr>
      <w:tr w:rsidR="00BD6328" w14:paraId="2055014A" w14:textId="77777777" w:rsidTr="00BD6328">
        <w:tc>
          <w:tcPr>
            <w:cnfStyle w:val="001000000000" w:firstRow="0" w:lastRow="0" w:firstColumn="1" w:lastColumn="0" w:oddVBand="0" w:evenVBand="0" w:oddHBand="0" w:evenHBand="0" w:firstRowFirstColumn="0" w:firstRowLastColumn="0" w:lastRowFirstColumn="0" w:lastRowLastColumn="0"/>
            <w:tcW w:w="1490" w:type="dxa"/>
          </w:tcPr>
          <w:p w14:paraId="6A6388B8" w14:textId="41E34AF9" w:rsidR="00BD6328" w:rsidRPr="001E5AC2" w:rsidRDefault="00BD6328" w:rsidP="00BD6328">
            <w:pPr>
              <w:pStyle w:val="NormalWeb"/>
              <w:spacing w:line="256" w:lineRule="auto"/>
              <w:rPr>
                <w:rFonts w:ascii="Segoe UI" w:hAnsi="Segoe UI" w:cs="Segoe UI"/>
                <w:sz w:val="20"/>
                <w:szCs w:val="20"/>
                <w:lang w:val="en-AU" w:eastAsia="en-AU"/>
              </w:rPr>
            </w:pPr>
            <w:r w:rsidRPr="001E5AC2">
              <w:rPr>
                <w:rFonts w:ascii="Segoe UI" w:hAnsi="Segoe UI" w:cs="Segoe UI"/>
                <w:sz w:val="20"/>
                <w:szCs w:val="20"/>
                <w:lang w:val="en-AU" w:eastAsia="en-AU"/>
              </w:rPr>
              <w:t xml:space="preserve">Static </w:t>
            </w:r>
            <w:r>
              <w:rPr>
                <w:rFonts w:ascii="Segoe UI" w:hAnsi="Segoe UI" w:cs="Segoe UI"/>
                <w:sz w:val="20"/>
                <w:szCs w:val="20"/>
                <w:lang w:val="en-AU" w:eastAsia="en-AU"/>
              </w:rPr>
              <w:t>IP</w:t>
            </w:r>
            <w:r w:rsidRPr="001E5AC2">
              <w:rPr>
                <w:rFonts w:ascii="Segoe UI" w:hAnsi="Segoe UI" w:cs="Segoe UI"/>
                <w:sz w:val="20"/>
                <w:szCs w:val="20"/>
                <w:lang w:val="en-AU" w:eastAsia="en-AU"/>
              </w:rPr>
              <w:t xml:space="preserve"> </w:t>
            </w:r>
            <w:r>
              <w:rPr>
                <w:rFonts w:ascii="Segoe UI" w:hAnsi="Segoe UI" w:cs="Segoe UI"/>
                <w:sz w:val="20"/>
                <w:szCs w:val="20"/>
                <w:lang w:val="en-AU" w:eastAsia="en-AU"/>
              </w:rPr>
              <w:t>a</w:t>
            </w:r>
            <w:r w:rsidRPr="001E5AC2">
              <w:rPr>
                <w:rFonts w:ascii="Segoe UI" w:hAnsi="Segoe UI" w:cs="Segoe UI"/>
                <w:sz w:val="20"/>
                <w:szCs w:val="20"/>
                <w:lang w:val="en-AU" w:eastAsia="en-AU"/>
              </w:rPr>
              <w:t xml:space="preserve">ddress or multiple </w:t>
            </w:r>
            <w:r>
              <w:rPr>
                <w:rFonts w:ascii="Segoe UI" w:hAnsi="Segoe UI" w:cs="Segoe UI"/>
                <w:sz w:val="20"/>
                <w:szCs w:val="20"/>
                <w:lang w:val="en-AU" w:eastAsia="en-AU"/>
              </w:rPr>
              <w:t>IP</w:t>
            </w:r>
            <w:r w:rsidRPr="001E5AC2">
              <w:rPr>
                <w:rFonts w:ascii="Segoe UI" w:hAnsi="Segoe UI" w:cs="Segoe UI"/>
                <w:sz w:val="20"/>
                <w:szCs w:val="20"/>
                <w:lang w:val="en-AU" w:eastAsia="en-AU"/>
              </w:rPr>
              <w:t xml:space="preserve"> </w:t>
            </w:r>
            <w:r>
              <w:rPr>
                <w:rFonts w:ascii="Segoe UI" w:hAnsi="Segoe UI" w:cs="Segoe UI"/>
                <w:sz w:val="20"/>
                <w:szCs w:val="20"/>
                <w:lang w:val="en-AU" w:eastAsia="en-AU"/>
              </w:rPr>
              <w:t>a</w:t>
            </w:r>
            <w:r w:rsidRPr="001E5AC2">
              <w:rPr>
                <w:rFonts w:ascii="Segoe UI" w:hAnsi="Segoe UI" w:cs="Segoe UI"/>
                <w:sz w:val="20"/>
                <w:szCs w:val="20"/>
                <w:lang w:val="en-AU" w:eastAsia="en-AU"/>
              </w:rPr>
              <w:t>ddress</w:t>
            </w:r>
          </w:p>
        </w:tc>
        <w:tc>
          <w:tcPr>
            <w:tcW w:w="5016" w:type="dxa"/>
          </w:tcPr>
          <w:p w14:paraId="2DEF4DEC" w14:textId="77777777" w:rsidR="00BD6328" w:rsidRDefault="00BD6328" w:rsidP="005729D2">
            <w:pPr>
              <w:pStyle w:val="ListParagraph"/>
              <w:numPr>
                <w:ilvl w:val="0"/>
                <w:numId w:val="48"/>
              </w:numPr>
              <w:ind w:left="36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Cannot assign static IP Addresses on a virtual machine instance</w:t>
            </w:r>
          </w:p>
          <w:p w14:paraId="7A14CE10" w14:textId="508D11B4" w:rsidR="00BD6328" w:rsidRPr="00BB75C1" w:rsidRDefault="00BD6328" w:rsidP="005729D2">
            <w:pPr>
              <w:pStyle w:val="ListParagraph"/>
              <w:numPr>
                <w:ilvl w:val="0"/>
                <w:numId w:val="48"/>
              </w:numPr>
              <w:ind w:left="360"/>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Cannot assign multiple IP Address on a virtual machine instance</w:t>
            </w:r>
          </w:p>
        </w:tc>
        <w:tc>
          <w:tcPr>
            <w:tcW w:w="2844" w:type="dxa"/>
          </w:tcPr>
          <w:p w14:paraId="0B32362D" w14:textId="77777777" w:rsidR="00BD6328" w:rsidRDefault="00BD6328" w:rsidP="00BD6328">
            <w:pPr>
              <w:cnfStyle w:val="000000000000" w:firstRow="0" w:lastRow="0" w:firstColumn="0" w:lastColumn="0" w:oddVBand="0" w:evenVBand="0" w:oddHBand="0" w:evenHBand="0" w:firstRowFirstColumn="0" w:firstRowLastColumn="0" w:lastRowFirstColumn="0" w:lastRowLastColumn="0"/>
              <w:rPr>
                <w:sz w:val="20"/>
                <w:szCs w:val="20"/>
              </w:rPr>
            </w:pPr>
          </w:p>
        </w:tc>
      </w:tr>
    </w:tbl>
    <w:p w14:paraId="4C035F49" w14:textId="7543291A" w:rsidR="004B150A" w:rsidRDefault="004B150A" w:rsidP="00D53A7A"/>
    <w:p w14:paraId="2C779F35" w14:textId="77777777" w:rsidR="00D53A7A" w:rsidRDefault="00D53A7A" w:rsidP="005729D2">
      <w:pPr>
        <w:pStyle w:val="Heading3Numbered"/>
        <w:numPr>
          <w:ilvl w:val="2"/>
          <w:numId w:val="64"/>
        </w:numPr>
      </w:pPr>
      <w:bookmarkStart w:id="3257" w:name="_Toc418061373"/>
      <w:bookmarkStart w:id="3258" w:name="_Toc418081251"/>
      <w:bookmarkStart w:id="3259" w:name="_Toc418081901"/>
      <w:bookmarkStart w:id="3260" w:name="_Toc418083304"/>
      <w:bookmarkStart w:id="3261" w:name="_Toc418096047"/>
      <w:bookmarkStart w:id="3262" w:name="_Toc418156694"/>
      <w:bookmarkStart w:id="3263" w:name="_Toc418167613"/>
      <w:bookmarkStart w:id="3264" w:name="_Toc418185870"/>
      <w:bookmarkStart w:id="3265" w:name="_Toc422941580"/>
      <w:bookmarkStart w:id="3266" w:name="_Toc423116786"/>
      <w:bookmarkStart w:id="3267" w:name="_Toc423117819"/>
      <w:bookmarkStart w:id="3268" w:name="_Toc423117269"/>
      <w:bookmarkStart w:id="3269" w:name="_Toc431288861"/>
      <w:r>
        <w:t>Management Considerations for Azure IaaS Virtual Machines</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452483F4" w14:textId="6BC20D05" w:rsidR="00BD6328" w:rsidRPr="00425B49" w:rsidRDefault="00D53A7A" w:rsidP="00BD6328">
      <w:pPr>
        <w:rPr>
          <w:rFonts w:eastAsia="Times New Roman"/>
        </w:rPr>
      </w:pPr>
      <w:r>
        <w:t>Azure</w:t>
      </w:r>
      <w:r w:rsidR="00BD6328">
        <w:t xml:space="preserve"> Diagnostics</w:t>
      </w:r>
      <w:r w:rsidR="00BD6328" w:rsidRPr="00425B49">
        <w:rPr>
          <w:rFonts w:eastAsia="Times New Roman"/>
        </w:rPr>
        <w:t xml:space="preserve"> </w:t>
      </w:r>
      <w:r w:rsidR="00BD6328">
        <w:rPr>
          <w:rFonts w:eastAsia="Times New Roman"/>
        </w:rPr>
        <w:t>provides</w:t>
      </w:r>
      <w:r w:rsidR="00BD6328" w:rsidRPr="00425B49">
        <w:rPr>
          <w:rFonts w:eastAsia="Times New Roman"/>
        </w:rPr>
        <w:t xml:space="preserve"> Azure extensions that enable you to collect diagnostic telemetry data from a worker role, web role, or virtual machine running in Azure. The telemetry data is stored in an Azure </w:t>
      </w:r>
      <w:r w:rsidR="00BD6328">
        <w:rPr>
          <w:rFonts w:eastAsia="Times New Roman"/>
        </w:rPr>
        <w:t>S</w:t>
      </w:r>
      <w:r w:rsidR="00BD6328" w:rsidRPr="00425B49">
        <w:rPr>
          <w:rFonts w:eastAsia="Times New Roman"/>
        </w:rPr>
        <w:t>torage account</w:t>
      </w:r>
      <w:r w:rsidR="00BD6328">
        <w:rPr>
          <w:rFonts w:eastAsia="Times New Roman"/>
        </w:rPr>
        <w:t>.</w:t>
      </w:r>
      <w:r w:rsidR="00BD6328" w:rsidRPr="00425B49">
        <w:rPr>
          <w:rFonts w:eastAsia="Times New Roman"/>
        </w:rPr>
        <w:t xml:space="preserve"> </w:t>
      </w:r>
      <w:r w:rsidR="00BD6328">
        <w:rPr>
          <w:rFonts w:eastAsia="Times New Roman"/>
        </w:rPr>
        <w:t>It</w:t>
      </w:r>
      <w:r w:rsidR="00BD6328" w:rsidRPr="00425B49">
        <w:rPr>
          <w:rFonts w:eastAsia="Times New Roman"/>
        </w:rPr>
        <w:t xml:space="preserve"> can be used for debugging and troubleshooting, measuring performance, monitoring resource usage, traffic analysis and capacity planning, and auditing.</w:t>
      </w:r>
    </w:p>
    <w:p w14:paraId="24E70394" w14:textId="77777777" w:rsidR="00BD6328" w:rsidRPr="00425B49" w:rsidRDefault="00BD6328" w:rsidP="00BD6328">
      <w:pPr>
        <w:rPr>
          <w:rFonts w:eastAsia="Times New Roman"/>
        </w:rPr>
      </w:pPr>
      <w:r>
        <w:rPr>
          <w:rFonts w:eastAsia="Times New Roman"/>
        </w:rPr>
        <w:t xml:space="preserve">The following table explains the types of telemetry </w:t>
      </w:r>
      <w:r w:rsidRPr="00425B49">
        <w:rPr>
          <w:rFonts w:eastAsia="Times New Roman"/>
        </w:rPr>
        <w:t>Azure Diagnostics can collect</w:t>
      </w:r>
      <w:r>
        <w:rPr>
          <w:rFonts w:eastAsia="Times New Roman"/>
        </w:rPr>
        <w:t>.</w:t>
      </w:r>
    </w:p>
    <w:tbl>
      <w:tblPr>
        <w:tblStyle w:val="PlainTable11"/>
        <w:tblW w:w="9299" w:type="dxa"/>
        <w:tblLook w:val="04A0" w:firstRow="1" w:lastRow="0" w:firstColumn="1" w:lastColumn="0" w:noHBand="0" w:noVBand="1"/>
      </w:tblPr>
      <w:tblGrid>
        <w:gridCol w:w="3607"/>
        <w:gridCol w:w="5692"/>
      </w:tblGrid>
      <w:tr w:rsidR="00BD6328" w:rsidRPr="00713DEC" w14:paraId="609220AE" w14:textId="77777777" w:rsidTr="000E2AF6">
        <w:trPr>
          <w:cnfStyle w:val="100000000000" w:firstRow="1" w:lastRow="0" w:firstColumn="0" w:lastColumn="0" w:oddVBand="0" w:evenVBand="0" w:oddHBand="0" w:evenHBand="0" w:firstRowFirstColumn="0" w:firstRowLastColumn="0" w:lastRowFirstColumn="0" w:lastRowLastColumn="0"/>
          <w:trHeight w:val="335"/>
        </w:trPr>
        <w:tc>
          <w:tcPr>
            <w:cnfStyle w:val="001000000000" w:firstRow="0" w:lastRow="0" w:firstColumn="1" w:lastColumn="0" w:oddVBand="0" w:evenVBand="0" w:oddHBand="0" w:evenHBand="0" w:firstRowFirstColumn="0" w:firstRowLastColumn="0" w:lastRowFirstColumn="0" w:lastRowLastColumn="0"/>
            <w:tcW w:w="2567" w:type="dxa"/>
            <w:shd w:val="clear" w:color="auto" w:fill="808080" w:themeFill="background1" w:themeFillShade="80"/>
            <w:hideMark/>
          </w:tcPr>
          <w:p w14:paraId="4D8119BC" w14:textId="77777777" w:rsidR="00BD6328" w:rsidRPr="00713DEC" w:rsidRDefault="00BD6328" w:rsidP="000E2AF6">
            <w:pPr>
              <w:spacing w:after="0" w:line="315" w:lineRule="atLeast"/>
              <w:rPr>
                <w:rFonts w:eastAsia="Times New Roman" w:cs="Segoe UI"/>
                <w:color w:val="FFFFFF" w:themeColor="background1"/>
                <w:sz w:val="20"/>
                <w:szCs w:val="20"/>
              </w:rPr>
            </w:pPr>
            <w:r w:rsidRPr="00713DEC">
              <w:rPr>
                <w:rFonts w:eastAsia="Times New Roman" w:cs="Segoe UI"/>
                <w:color w:val="FFFFFF" w:themeColor="background1"/>
                <w:sz w:val="20"/>
                <w:szCs w:val="20"/>
              </w:rPr>
              <w:t>Data Source</w:t>
            </w:r>
          </w:p>
        </w:tc>
        <w:tc>
          <w:tcPr>
            <w:tcW w:w="0" w:type="auto"/>
            <w:shd w:val="clear" w:color="auto" w:fill="808080" w:themeFill="background1" w:themeFillShade="80"/>
            <w:hideMark/>
          </w:tcPr>
          <w:p w14:paraId="6CC51A62" w14:textId="77777777" w:rsidR="00BD6328" w:rsidRPr="00713DEC" w:rsidRDefault="00BD6328" w:rsidP="000E2AF6">
            <w:pPr>
              <w:spacing w:after="0" w:line="315" w:lineRule="atLeast"/>
              <w:cnfStyle w:val="100000000000" w:firstRow="1" w:lastRow="0" w:firstColumn="0" w:lastColumn="0" w:oddVBand="0" w:evenVBand="0" w:oddHBand="0" w:evenHBand="0" w:firstRowFirstColumn="0" w:firstRowLastColumn="0" w:lastRowFirstColumn="0" w:lastRowLastColumn="0"/>
              <w:rPr>
                <w:rFonts w:eastAsia="Times New Roman" w:cs="Segoe UI"/>
                <w:color w:val="FFFFFF" w:themeColor="background1"/>
                <w:sz w:val="20"/>
                <w:szCs w:val="20"/>
              </w:rPr>
            </w:pPr>
            <w:r w:rsidRPr="00713DEC">
              <w:rPr>
                <w:rFonts w:eastAsia="Times New Roman" w:cs="Segoe UI"/>
                <w:color w:val="FFFFFF" w:themeColor="background1"/>
                <w:sz w:val="20"/>
                <w:szCs w:val="20"/>
              </w:rPr>
              <w:t>Description</w:t>
            </w:r>
          </w:p>
        </w:tc>
      </w:tr>
      <w:tr w:rsidR="00BD6328" w:rsidRPr="00F51512" w14:paraId="36C22195" w14:textId="77777777" w:rsidTr="000E2AF6">
        <w:trPr>
          <w:cnfStyle w:val="000000100000" w:firstRow="0" w:lastRow="0" w:firstColumn="0" w:lastColumn="0" w:oddVBand="0" w:evenVBand="0" w:oddHBand="1" w:evenHBand="0" w:firstRowFirstColumn="0" w:firstRowLastColumn="0" w:lastRowFirstColumn="0" w:lastRowLastColumn="0"/>
          <w:trHeight w:val="319"/>
        </w:trPr>
        <w:tc>
          <w:tcPr>
            <w:cnfStyle w:val="001000000000" w:firstRow="0" w:lastRow="0" w:firstColumn="1" w:lastColumn="0" w:oddVBand="0" w:evenVBand="0" w:oddHBand="0" w:evenHBand="0" w:firstRowFirstColumn="0" w:firstRowLastColumn="0" w:lastRowFirstColumn="0" w:lastRowLastColumn="0"/>
            <w:tcW w:w="0" w:type="auto"/>
            <w:hideMark/>
          </w:tcPr>
          <w:p w14:paraId="60FC8F72" w14:textId="77777777" w:rsidR="00BD6328" w:rsidRPr="00B45F31" w:rsidRDefault="00BD6328" w:rsidP="000E2AF6">
            <w:pPr>
              <w:spacing w:after="0" w:line="315" w:lineRule="atLeast"/>
              <w:rPr>
                <w:rFonts w:eastAsia="Times New Roman" w:cs="Segoe UI"/>
                <w:sz w:val="20"/>
                <w:szCs w:val="20"/>
              </w:rPr>
            </w:pPr>
            <w:r w:rsidRPr="00B45F31">
              <w:rPr>
                <w:rFonts w:eastAsia="Times New Roman" w:cs="Segoe UI"/>
                <w:sz w:val="20"/>
                <w:szCs w:val="20"/>
              </w:rPr>
              <w:t xml:space="preserve">IIS </w:t>
            </w:r>
            <w:r>
              <w:rPr>
                <w:rFonts w:eastAsia="Times New Roman" w:cs="Segoe UI"/>
                <w:sz w:val="20"/>
                <w:szCs w:val="20"/>
              </w:rPr>
              <w:t>l</w:t>
            </w:r>
            <w:r w:rsidRPr="00B45F31">
              <w:rPr>
                <w:rFonts w:eastAsia="Times New Roman" w:cs="Segoe UI"/>
                <w:sz w:val="20"/>
                <w:szCs w:val="20"/>
              </w:rPr>
              <w:t>ogs</w:t>
            </w:r>
          </w:p>
        </w:tc>
        <w:tc>
          <w:tcPr>
            <w:tcW w:w="0" w:type="auto"/>
            <w:hideMark/>
          </w:tcPr>
          <w:p w14:paraId="5417F941" w14:textId="77777777" w:rsidR="00BD6328" w:rsidRPr="00B45F31" w:rsidRDefault="00BD6328" w:rsidP="000E2AF6">
            <w:pPr>
              <w:spacing w:after="0" w:line="315" w:lineRule="atLeast"/>
              <w:cnfStyle w:val="000000100000" w:firstRow="0" w:lastRow="0" w:firstColumn="0" w:lastColumn="0" w:oddVBand="0" w:evenVBand="0" w:oddHBand="1" w:evenHBand="0" w:firstRowFirstColumn="0" w:firstRowLastColumn="0" w:lastRowFirstColumn="0" w:lastRowLastColumn="0"/>
              <w:rPr>
                <w:rFonts w:eastAsia="Times New Roman" w:cs="Segoe UI"/>
                <w:sz w:val="20"/>
                <w:szCs w:val="20"/>
              </w:rPr>
            </w:pPr>
            <w:r w:rsidRPr="00B45F31">
              <w:rPr>
                <w:rFonts w:eastAsia="Times New Roman" w:cs="Segoe UI"/>
                <w:sz w:val="20"/>
                <w:szCs w:val="20"/>
              </w:rPr>
              <w:t>Information about IIS websites</w:t>
            </w:r>
          </w:p>
        </w:tc>
      </w:tr>
      <w:tr w:rsidR="00BD6328" w:rsidRPr="00F51512" w14:paraId="575E730B" w14:textId="77777777" w:rsidTr="000E2AF6">
        <w:trPr>
          <w:trHeight w:val="335"/>
        </w:trPr>
        <w:tc>
          <w:tcPr>
            <w:cnfStyle w:val="001000000000" w:firstRow="0" w:lastRow="0" w:firstColumn="1" w:lastColumn="0" w:oddVBand="0" w:evenVBand="0" w:oddHBand="0" w:evenHBand="0" w:firstRowFirstColumn="0" w:firstRowLastColumn="0" w:lastRowFirstColumn="0" w:lastRowLastColumn="0"/>
            <w:tcW w:w="0" w:type="auto"/>
            <w:hideMark/>
          </w:tcPr>
          <w:p w14:paraId="508F2B58" w14:textId="77777777" w:rsidR="00BD6328" w:rsidRPr="00B45F31" w:rsidRDefault="00BD6328" w:rsidP="000E2AF6">
            <w:pPr>
              <w:spacing w:after="0" w:line="315" w:lineRule="atLeast"/>
              <w:rPr>
                <w:rFonts w:eastAsia="Times New Roman" w:cs="Segoe UI"/>
                <w:sz w:val="20"/>
                <w:szCs w:val="20"/>
              </w:rPr>
            </w:pPr>
            <w:r w:rsidRPr="00B45F31">
              <w:rPr>
                <w:rFonts w:eastAsia="Times New Roman" w:cs="Segoe UI"/>
                <w:sz w:val="20"/>
                <w:szCs w:val="20"/>
              </w:rPr>
              <w:t>Azure Diagnostic infrastructure logs</w:t>
            </w:r>
          </w:p>
        </w:tc>
        <w:tc>
          <w:tcPr>
            <w:tcW w:w="0" w:type="auto"/>
            <w:hideMark/>
          </w:tcPr>
          <w:p w14:paraId="1F7E9D1F" w14:textId="77777777" w:rsidR="00BD6328" w:rsidRPr="00B45F31" w:rsidRDefault="00BD6328" w:rsidP="000E2AF6">
            <w:pPr>
              <w:spacing w:after="0" w:line="315" w:lineRule="atLeast"/>
              <w:cnfStyle w:val="000000000000" w:firstRow="0" w:lastRow="0" w:firstColumn="0" w:lastColumn="0" w:oddVBand="0" w:evenVBand="0" w:oddHBand="0" w:evenHBand="0" w:firstRowFirstColumn="0" w:firstRowLastColumn="0" w:lastRowFirstColumn="0" w:lastRowLastColumn="0"/>
              <w:rPr>
                <w:rFonts w:eastAsia="Times New Roman" w:cs="Segoe UI"/>
                <w:sz w:val="20"/>
                <w:szCs w:val="20"/>
              </w:rPr>
            </w:pPr>
            <w:r w:rsidRPr="00B45F31">
              <w:rPr>
                <w:rFonts w:eastAsia="Times New Roman" w:cs="Segoe UI"/>
                <w:sz w:val="20"/>
                <w:szCs w:val="20"/>
              </w:rPr>
              <w:t xml:space="preserve">Information about </w:t>
            </w:r>
            <w:r>
              <w:rPr>
                <w:rFonts w:eastAsia="Times New Roman" w:cs="Segoe UI"/>
                <w:sz w:val="20"/>
                <w:szCs w:val="20"/>
              </w:rPr>
              <w:t>d</w:t>
            </w:r>
            <w:r w:rsidRPr="00B45F31">
              <w:rPr>
                <w:rFonts w:eastAsia="Times New Roman" w:cs="Segoe UI"/>
                <w:sz w:val="20"/>
                <w:szCs w:val="20"/>
              </w:rPr>
              <w:t>iagnostics</w:t>
            </w:r>
          </w:p>
        </w:tc>
      </w:tr>
      <w:tr w:rsidR="00BD6328" w:rsidRPr="00F51512" w14:paraId="2C042B22" w14:textId="77777777" w:rsidTr="000E2AF6">
        <w:trPr>
          <w:cnfStyle w:val="000000100000" w:firstRow="0" w:lastRow="0" w:firstColumn="0" w:lastColumn="0" w:oddVBand="0" w:evenVBand="0" w:oddHBand="1" w:evenHBand="0" w:firstRowFirstColumn="0" w:firstRowLastColumn="0" w:lastRowFirstColumn="0" w:lastRowLastColumn="0"/>
          <w:trHeight w:val="335"/>
        </w:trPr>
        <w:tc>
          <w:tcPr>
            <w:cnfStyle w:val="001000000000" w:firstRow="0" w:lastRow="0" w:firstColumn="1" w:lastColumn="0" w:oddVBand="0" w:evenVBand="0" w:oddHBand="0" w:evenHBand="0" w:firstRowFirstColumn="0" w:firstRowLastColumn="0" w:lastRowFirstColumn="0" w:lastRowLastColumn="0"/>
            <w:tcW w:w="0" w:type="auto"/>
            <w:hideMark/>
          </w:tcPr>
          <w:p w14:paraId="5D706375" w14:textId="77777777" w:rsidR="00BD6328" w:rsidRPr="00B45F31" w:rsidRDefault="00BD6328" w:rsidP="000E2AF6">
            <w:pPr>
              <w:spacing w:after="0" w:line="315" w:lineRule="atLeast"/>
              <w:rPr>
                <w:rFonts w:eastAsia="Times New Roman" w:cs="Segoe UI"/>
                <w:sz w:val="20"/>
                <w:szCs w:val="20"/>
              </w:rPr>
            </w:pPr>
            <w:r w:rsidRPr="00B45F31">
              <w:rPr>
                <w:rFonts w:eastAsia="Times New Roman" w:cs="Segoe UI"/>
                <w:sz w:val="20"/>
                <w:szCs w:val="20"/>
              </w:rPr>
              <w:t xml:space="preserve">IIS </w:t>
            </w:r>
            <w:r>
              <w:rPr>
                <w:rFonts w:eastAsia="Times New Roman" w:cs="Segoe UI"/>
                <w:sz w:val="20"/>
                <w:szCs w:val="20"/>
              </w:rPr>
              <w:t>f</w:t>
            </w:r>
            <w:r w:rsidRPr="00B45F31">
              <w:rPr>
                <w:rFonts w:eastAsia="Times New Roman" w:cs="Segoe UI"/>
                <w:sz w:val="20"/>
                <w:szCs w:val="20"/>
              </w:rPr>
              <w:t xml:space="preserve">ailed </w:t>
            </w:r>
            <w:r>
              <w:rPr>
                <w:rFonts w:eastAsia="Times New Roman" w:cs="Segoe UI"/>
                <w:sz w:val="20"/>
                <w:szCs w:val="20"/>
              </w:rPr>
              <w:t>r</w:t>
            </w:r>
            <w:r w:rsidRPr="00B45F31">
              <w:rPr>
                <w:rFonts w:eastAsia="Times New Roman" w:cs="Segoe UI"/>
                <w:sz w:val="20"/>
                <w:szCs w:val="20"/>
              </w:rPr>
              <w:t>equest logs</w:t>
            </w:r>
          </w:p>
        </w:tc>
        <w:tc>
          <w:tcPr>
            <w:tcW w:w="0" w:type="auto"/>
            <w:hideMark/>
          </w:tcPr>
          <w:p w14:paraId="3BA46003" w14:textId="77777777" w:rsidR="00BD6328" w:rsidRPr="00B45F31" w:rsidRDefault="00BD6328" w:rsidP="000E2AF6">
            <w:pPr>
              <w:spacing w:after="0" w:line="315" w:lineRule="atLeast"/>
              <w:cnfStyle w:val="000000100000" w:firstRow="0" w:lastRow="0" w:firstColumn="0" w:lastColumn="0" w:oddVBand="0" w:evenVBand="0" w:oddHBand="1" w:evenHBand="0" w:firstRowFirstColumn="0" w:firstRowLastColumn="0" w:lastRowFirstColumn="0" w:lastRowLastColumn="0"/>
              <w:rPr>
                <w:rFonts w:eastAsia="Times New Roman" w:cs="Segoe UI"/>
                <w:sz w:val="20"/>
                <w:szCs w:val="20"/>
              </w:rPr>
            </w:pPr>
            <w:r w:rsidRPr="00B45F31">
              <w:rPr>
                <w:rFonts w:eastAsia="Times New Roman" w:cs="Segoe UI"/>
                <w:sz w:val="20"/>
                <w:szCs w:val="20"/>
              </w:rPr>
              <w:t>Information about failed requests to an IIS site or application</w:t>
            </w:r>
          </w:p>
        </w:tc>
      </w:tr>
      <w:tr w:rsidR="00BD6328" w:rsidRPr="00F51512" w14:paraId="565E8762" w14:textId="77777777" w:rsidTr="000E2AF6">
        <w:trPr>
          <w:trHeight w:val="319"/>
        </w:trPr>
        <w:tc>
          <w:tcPr>
            <w:cnfStyle w:val="001000000000" w:firstRow="0" w:lastRow="0" w:firstColumn="1" w:lastColumn="0" w:oddVBand="0" w:evenVBand="0" w:oddHBand="0" w:evenHBand="0" w:firstRowFirstColumn="0" w:firstRowLastColumn="0" w:lastRowFirstColumn="0" w:lastRowLastColumn="0"/>
            <w:tcW w:w="0" w:type="auto"/>
            <w:hideMark/>
          </w:tcPr>
          <w:p w14:paraId="36F77B3D" w14:textId="77777777" w:rsidR="00BD6328" w:rsidRPr="00B45F31" w:rsidRDefault="00BD6328" w:rsidP="000E2AF6">
            <w:pPr>
              <w:spacing w:after="0" w:line="315" w:lineRule="atLeast"/>
              <w:rPr>
                <w:rFonts w:eastAsia="Times New Roman" w:cs="Segoe UI"/>
                <w:sz w:val="20"/>
                <w:szCs w:val="20"/>
              </w:rPr>
            </w:pPr>
            <w:r w:rsidRPr="00B45F31">
              <w:rPr>
                <w:rFonts w:eastAsia="Times New Roman" w:cs="Segoe UI"/>
                <w:sz w:val="20"/>
                <w:szCs w:val="20"/>
              </w:rPr>
              <w:t>Windows Event logs</w:t>
            </w:r>
          </w:p>
        </w:tc>
        <w:tc>
          <w:tcPr>
            <w:tcW w:w="0" w:type="auto"/>
            <w:hideMark/>
          </w:tcPr>
          <w:p w14:paraId="4F3F9C5D" w14:textId="77777777" w:rsidR="00BD6328" w:rsidRPr="00B45F31" w:rsidRDefault="00BD6328" w:rsidP="000E2AF6">
            <w:pPr>
              <w:spacing w:after="0" w:line="315" w:lineRule="atLeast"/>
              <w:cnfStyle w:val="000000000000" w:firstRow="0" w:lastRow="0" w:firstColumn="0" w:lastColumn="0" w:oddVBand="0" w:evenVBand="0" w:oddHBand="0" w:evenHBand="0" w:firstRowFirstColumn="0" w:firstRowLastColumn="0" w:lastRowFirstColumn="0" w:lastRowLastColumn="0"/>
              <w:rPr>
                <w:rFonts w:eastAsia="Times New Roman" w:cs="Segoe UI"/>
                <w:sz w:val="20"/>
                <w:szCs w:val="20"/>
              </w:rPr>
            </w:pPr>
            <w:r w:rsidRPr="00B45F31">
              <w:rPr>
                <w:rFonts w:eastAsia="Times New Roman" w:cs="Segoe UI"/>
                <w:sz w:val="20"/>
                <w:szCs w:val="20"/>
              </w:rPr>
              <w:t>Information sent to the Windows event logging system</w:t>
            </w:r>
          </w:p>
        </w:tc>
      </w:tr>
      <w:tr w:rsidR="00BD6328" w:rsidRPr="00F51512" w14:paraId="5270C7C8" w14:textId="77777777" w:rsidTr="000E2AF6">
        <w:trPr>
          <w:cnfStyle w:val="000000100000" w:firstRow="0" w:lastRow="0" w:firstColumn="0" w:lastColumn="0" w:oddVBand="0" w:evenVBand="0" w:oddHBand="1" w:evenHBand="0" w:firstRowFirstColumn="0" w:firstRowLastColumn="0" w:lastRowFirstColumn="0" w:lastRowLastColumn="0"/>
          <w:trHeight w:val="335"/>
        </w:trPr>
        <w:tc>
          <w:tcPr>
            <w:cnfStyle w:val="001000000000" w:firstRow="0" w:lastRow="0" w:firstColumn="1" w:lastColumn="0" w:oddVBand="0" w:evenVBand="0" w:oddHBand="0" w:evenHBand="0" w:firstRowFirstColumn="0" w:firstRowLastColumn="0" w:lastRowFirstColumn="0" w:lastRowLastColumn="0"/>
            <w:tcW w:w="0" w:type="auto"/>
            <w:hideMark/>
          </w:tcPr>
          <w:p w14:paraId="037C8E27" w14:textId="77777777" w:rsidR="00BD6328" w:rsidRPr="00B45F31" w:rsidRDefault="00BD6328" w:rsidP="000E2AF6">
            <w:pPr>
              <w:spacing w:after="0" w:line="315" w:lineRule="atLeast"/>
              <w:rPr>
                <w:rFonts w:eastAsia="Times New Roman" w:cs="Segoe UI"/>
                <w:sz w:val="20"/>
                <w:szCs w:val="20"/>
              </w:rPr>
            </w:pPr>
            <w:r w:rsidRPr="00B45F31">
              <w:rPr>
                <w:rFonts w:eastAsia="Times New Roman" w:cs="Segoe UI"/>
                <w:sz w:val="20"/>
                <w:szCs w:val="20"/>
              </w:rPr>
              <w:t>Performance counters</w:t>
            </w:r>
          </w:p>
        </w:tc>
        <w:tc>
          <w:tcPr>
            <w:tcW w:w="0" w:type="auto"/>
            <w:hideMark/>
          </w:tcPr>
          <w:p w14:paraId="5C660F96" w14:textId="77777777" w:rsidR="00BD6328" w:rsidRPr="00B45F31" w:rsidRDefault="00BD6328" w:rsidP="000E2AF6">
            <w:pPr>
              <w:spacing w:after="0" w:line="315" w:lineRule="atLeast"/>
              <w:cnfStyle w:val="000000100000" w:firstRow="0" w:lastRow="0" w:firstColumn="0" w:lastColumn="0" w:oddVBand="0" w:evenVBand="0" w:oddHBand="1" w:evenHBand="0" w:firstRowFirstColumn="0" w:firstRowLastColumn="0" w:lastRowFirstColumn="0" w:lastRowLastColumn="0"/>
              <w:rPr>
                <w:rFonts w:eastAsia="Times New Roman" w:cs="Segoe UI"/>
                <w:sz w:val="20"/>
                <w:szCs w:val="20"/>
              </w:rPr>
            </w:pPr>
            <w:r w:rsidRPr="00B45F31">
              <w:rPr>
                <w:rFonts w:eastAsia="Times New Roman" w:cs="Segoe UI"/>
                <w:sz w:val="20"/>
                <w:szCs w:val="20"/>
              </w:rPr>
              <w:t xml:space="preserve">Operating </w:t>
            </w:r>
            <w:r>
              <w:rPr>
                <w:rFonts w:eastAsia="Times New Roman" w:cs="Segoe UI"/>
                <w:sz w:val="20"/>
                <w:szCs w:val="20"/>
              </w:rPr>
              <w:t>s</w:t>
            </w:r>
            <w:r w:rsidRPr="00B45F31">
              <w:rPr>
                <w:rFonts w:eastAsia="Times New Roman" w:cs="Segoe UI"/>
                <w:sz w:val="20"/>
                <w:szCs w:val="20"/>
              </w:rPr>
              <w:t>ystem and custom performance counters</w:t>
            </w:r>
          </w:p>
        </w:tc>
      </w:tr>
      <w:tr w:rsidR="00BD6328" w:rsidRPr="00F51512" w14:paraId="68F4697A" w14:textId="77777777" w:rsidTr="000E2AF6">
        <w:trPr>
          <w:trHeight w:val="335"/>
        </w:trPr>
        <w:tc>
          <w:tcPr>
            <w:cnfStyle w:val="001000000000" w:firstRow="0" w:lastRow="0" w:firstColumn="1" w:lastColumn="0" w:oddVBand="0" w:evenVBand="0" w:oddHBand="0" w:evenHBand="0" w:firstRowFirstColumn="0" w:firstRowLastColumn="0" w:lastRowFirstColumn="0" w:lastRowLastColumn="0"/>
            <w:tcW w:w="0" w:type="auto"/>
            <w:hideMark/>
          </w:tcPr>
          <w:p w14:paraId="4BAD18C6" w14:textId="77777777" w:rsidR="00BD6328" w:rsidRPr="00B45F31" w:rsidRDefault="00BD6328" w:rsidP="000E2AF6">
            <w:pPr>
              <w:spacing w:after="0" w:line="315" w:lineRule="atLeast"/>
              <w:rPr>
                <w:rFonts w:eastAsia="Times New Roman" w:cs="Segoe UI"/>
                <w:sz w:val="20"/>
                <w:szCs w:val="20"/>
              </w:rPr>
            </w:pPr>
            <w:r w:rsidRPr="00B45F31">
              <w:rPr>
                <w:rFonts w:eastAsia="Times New Roman" w:cs="Segoe UI"/>
                <w:sz w:val="20"/>
                <w:szCs w:val="20"/>
              </w:rPr>
              <w:t>Crash dumps</w:t>
            </w:r>
          </w:p>
        </w:tc>
        <w:tc>
          <w:tcPr>
            <w:tcW w:w="0" w:type="auto"/>
            <w:hideMark/>
          </w:tcPr>
          <w:p w14:paraId="4A9C4AF5" w14:textId="77777777" w:rsidR="00BD6328" w:rsidRPr="00B45F31" w:rsidRDefault="00BD6328" w:rsidP="000E2AF6">
            <w:pPr>
              <w:spacing w:after="0" w:line="315" w:lineRule="atLeast"/>
              <w:cnfStyle w:val="000000000000" w:firstRow="0" w:lastRow="0" w:firstColumn="0" w:lastColumn="0" w:oddVBand="0" w:evenVBand="0" w:oddHBand="0" w:evenHBand="0" w:firstRowFirstColumn="0" w:firstRowLastColumn="0" w:lastRowFirstColumn="0" w:lastRowLastColumn="0"/>
              <w:rPr>
                <w:rFonts w:eastAsia="Times New Roman" w:cs="Segoe UI"/>
                <w:sz w:val="20"/>
                <w:szCs w:val="20"/>
              </w:rPr>
            </w:pPr>
            <w:r w:rsidRPr="00B45F31">
              <w:rPr>
                <w:rFonts w:eastAsia="Times New Roman" w:cs="Segoe UI"/>
                <w:sz w:val="20"/>
                <w:szCs w:val="20"/>
              </w:rPr>
              <w:t>Information about the state of the process in the event of an application crash</w:t>
            </w:r>
          </w:p>
        </w:tc>
      </w:tr>
      <w:tr w:rsidR="00BD6328" w:rsidRPr="00F51512" w14:paraId="0871107A" w14:textId="77777777" w:rsidTr="000E2AF6">
        <w:trPr>
          <w:cnfStyle w:val="000000100000" w:firstRow="0" w:lastRow="0" w:firstColumn="0" w:lastColumn="0" w:oddVBand="0" w:evenVBand="0" w:oddHBand="1" w:evenHBand="0" w:firstRowFirstColumn="0" w:firstRowLastColumn="0" w:lastRowFirstColumn="0" w:lastRowLastColumn="0"/>
          <w:trHeight w:val="319"/>
        </w:trPr>
        <w:tc>
          <w:tcPr>
            <w:cnfStyle w:val="001000000000" w:firstRow="0" w:lastRow="0" w:firstColumn="1" w:lastColumn="0" w:oddVBand="0" w:evenVBand="0" w:oddHBand="0" w:evenHBand="0" w:firstRowFirstColumn="0" w:firstRowLastColumn="0" w:lastRowFirstColumn="0" w:lastRowLastColumn="0"/>
            <w:tcW w:w="0" w:type="auto"/>
            <w:hideMark/>
          </w:tcPr>
          <w:p w14:paraId="037F4A4F" w14:textId="77777777" w:rsidR="00BD6328" w:rsidRPr="00B45F31" w:rsidRDefault="00BD6328" w:rsidP="000E2AF6">
            <w:pPr>
              <w:spacing w:after="0" w:line="315" w:lineRule="atLeast"/>
              <w:rPr>
                <w:rFonts w:eastAsia="Times New Roman" w:cs="Segoe UI"/>
                <w:sz w:val="20"/>
                <w:szCs w:val="20"/>
              </w:rPr>
            </w:pPr>
            <w:r w:rsidRPr="00B45F31">
              <w:rPr>
                <w:rFonts w:eastAsia="Times New Roman" w:cs="Segoe UI"/>
                <w:sz w:val="20"/>
                <w:szCs w:val="20"/>
              </w:rPr>
              <w:t>Custom error logs</w:t>
            </w:r>
          </w:p>
        </w:tc>
        <w:tc>
          <w:tcPr>
            <w:tcW w:w="0" w:type="auto"/>
            <w:hideMark/>
          </w:tcPr>
          <w:p w14:paraId="45527C22" w14:textId="77777777" w:rsidR="00BD6328" w:rsidRPr="00B45F31" w:rsidRDefault="00BD6328" w:rsidP="000E2AF6">
            <w:pPr>
              <w:spacing w:after="0" w:line="315" w:lineRule="atLeast"/>
              <w:cnfStyle w:val="000000100000" w:firstRow="0" w:lastRow="0" w:firstColumn="0" w:lastColumn="0" w:oddVBand="0" w:evenVBand="0" w:oddHBand="1" w:evenHBand="0" w:firstRowFirstColumn="0" w:firstRowLastColumn="0" w:lastRowFirstColumn="0" w:lastRowLastColumn="0"/>
              <w:rPr>
                <w:rFonts w:eastAsia="Times New Roman" w:cs="Segoe UI"/>
                <w:sz w:val="20"/>
                <w:szCs w:val="20"/>
              </w:rPr>
            </w:pPr>
            <w:r w:rsidRPr="00B45F31">
              <w:rPr>
                <w:rFonts w:eastAsia="Times New Roman" w:cs="Segoe UI"/>
                <w:sz w:val="20"/>
                <w:szCs w:val="20"/>
              </w:rPr>
              <w:t>Logs created by your application or service</w:t>
            </w:r>
          </w:p>
        </w:tc>
      </w:tr>
      <w:tr w:rsidR="00BD6328" w:rsidRPr="00F51512" w14:paraId="3A17EC1C" w14:textId="77777777" w:rsidTr="000E2AF6">
        <w:trPr>
          <w:trHeight w:val="335"/>
        </w:trPr>
        <w:tc>
          <w:tcPr>
            <w:cnfStyle w:val="001000000000" w:firstRow="0" w:lastRow="0" w:firstColumn="1" w:lastColumn="0" w:oddVBand="0" w:evenVBand="0" w:oddHBand="0" w:evenHBand="0" w:firstRowFirstColumn="0" w:firstRowLastColumn="0" w:lastRowFirstColumn="0" w:lastRowLastColumn="0"/>
            <w:tcW w:w="0" w:type="auto"/>
            <w:hideMark/>
          </w:tcPr>
          <w:p w14:paraId="7491CFEA" w14:textId="77777777" w:rsidR="00BD6328" w:rsidRPr="00B45F31" w:rsidRDefault="00BD6328" w:rsidP="000E2AF6">
            <w:pPr>
              <w:spacing w:after="0" w:line="315" w:lineRule="atLeast"/>
              <w:rPr>
                <w:rFonts w:eastAsia="Times New Roman" w:cs="Segoe UI"/>
                <w:sz w:val="20"/>
                <w:szCs w:val="20"/>
              </w:rPr>
            </w:pPr>
            <w:r w:rsidRPr="00B45F31">
              <w:rPr>
                <w:rFonts w:eastAsia="Times New Roman" w:cs="Segoe UI"/>
                <w:sz w:val="20"/>
                <w:szCs w:val="20"/>
              </w:rPr>
              <w:t>.NET EventSource</w:t>
            </w:r>
          </w:p>
        </w:tc>
        <w:tc>
          <w:tcPr>
            <w:tcW w:w="0" w:type="auto"/>
            <w:hideMark/>
          </w:tcPr>
          <w:p w14:paraId="18E23BAC" w14:textId="77777777" w:rsidR="00BD6328" w:rsidRPr="00B45F31" w:rsidRDefault="00BD6328" w:rsidP="000E2AF6">
            <w:pPr>
              <w:spacing w:after="0" w:line="315" w:lineRule="atLeast"/>
              <w:cnfStyle w:val="000000000000" w:firstRow="0" w:lastRow="0" w:firstColumn="0" w:lastColumn="0" w:oddVBand="0" w:evenVBand="0" w:oddHBand="0" w:evenHBand="0" w:firstRowFirstColumn="0" w:firstRowLastColumn="0" w:lastRowFirstColumn="0" w:lastRowLastColumn="0"/>
              <w:rPr>
                <w:rFonts w:eastAsia="Times New Roman" w:cs="Segoe UI"/>
                <w:sz w:val="20"/>
                <w:szCs w:val="20"/>
              </w:rPr>
            </w:pPr>
            <w:r w:rsidRPr="00B45F31">
              <w:rPr>
                <w:rFonts w:eastAsia="Times New Roman" w:cs="Segoe UI"/>
                <w:sz w:val="20"/>
                <w:szCs w:val="20"/>
              </w:rPr>
              <w:t>Events generated by your code using the .NET </w:t>
            </w:r>
            <w:hyperlink r:id="rId288" w:history="1">
              <w:r w:rsidRPr="00B45F31">
                <w:rPr>
                  <w:rFonts w:eastAsia="Times New Roman" w:cs="Segoe UI"/>
                  <w:sz w:val="20"/>
                  <w:szCs w:val="20"/>
                </w:rPr>
                <w:t>EventSource class</w:t>
              </w:r>
            </w:hyperlink>
          </w:p>
        </w:tc>
      </w:tr>
      <w:tr w:rsidR="00BD6328" w:rsidRPr="00F51512" w14:paraId="3BEC20EC" w14:textId="77777777" w:rsidTr="000E2AF6">
        <w:trPr>
          <w:cnfStyle w:val="000000100000" w:firstRow="0" w:lastRow="0" w:firstColumn="0" w:lastColumn="0" w:oddVBand="0" w:evenVBand="0" w:oddHBand="1" w:evenHBand="0" w:firstRowFirstColumn="0" w:firstRowLastColumn="0" w:lastRowFirstColumn="0" w:lastRowLastColumn="0"/>
          <w:trHeight w:val="319"/>
        </w:trPr>
        <w:tc>
          <w:tcPr>
            <w:cnfStyle w:val="001000000000" w:firstRow="0" w:lastRow="0" w:firstColumn="1" w:lastColumn="0" w:oddVBand="0" w:evenVBand="0" w:oddHBand="0" w:evenHBand="0" w:firstRowFirstColumn="0" w:firstRowLastColumn="0" w:lastRowFirstColumn="0" w:lastRowLastColumn="0"/>
            <w:tcW w:w="0" w:type="auto"/>
            <w:hideMark/>
          </w:tcPr>
          <w:p w14:paraId="42C9B19C" w14:textId="77777777" w:rsidR="00BD6328" w:rsidRPr="00B45F31" w:rsidRDefault="00BD6328" w:rsidP="000E2AF6">
            <w:pPr>
              <w:spacing w:after="0" w:line="315" w:lineRule="atLeast"/>
              <w:rPr>
                <w:rFonts w:eastAsia="Times New Roman" w:cs="Segoe UI"/>
                <w:sz w:val="20"/>
                <w:szCs w:val="20"/>
              </w:rPr>
            </w:pPr>
            <w:r w:rsidRPr="00B45F31">
              <w:rPr>
                <w:rFonts w:eastAsia="Times New Roman" w:cs="Segoe UI"/>
                <w:sz w:val="20"/>
                <w:szCs w:val="20"/>
              </w:rPr>
              <w:t>Manifest</w:t>
            </w:r>
            <w:r>
              <w:rPr>
                <w:rFonts w:eastAsia="Times New Roman" w:cs="Segoe UI"/>
                <w:sz w:val="20"/>
                <w:szCs w:val="20"/>
              </w:rPr>
              <w:t>-</w:t>
            </w:r>
            <w:r w:rsidRPr="00B45F31">
              <w:rPr>
                <w:rFonts w:eastAsia="Times New Roman" w:cs="Segoe UI"/>
                <w:sz w:val="20"/>
                <w:szCs w:val="20"/>
              </w:rPr>
              <w:t>based ETW</w:t>
            </w:r>
          </w:p>
        </w:tc>
        <w:tc>
          <w:tcPr>
            <w:tcW w:w="0" w:type="auto"/>
            <w:hideMark/>
          </w:tcPr>
          <w:p w14:paraId="4EAF736E" w14:textId="77777777" w:rsidR="00BD6328" w:rsidRPr="00B45F31" w:rsidRDefault="00BD6328" w:rsidP="000E2AF6">
            <w:pPr>
              <w:spacing w:after="0" w:line="315" w:lineRule="atLeast"/>
              <w:cnfStyle w:val="000000100000" w:firstRow="0" w:lastRow="0" w:firstColumn="0" w:lastColumn="0" w:oddVBand="0" w:evenVBand="0" w:oddHBand="1" w:evenHBand="0" w:firstRowFirstColumn="0" w:firstRowLastColumn="0" w:lastRowFirstColumn="0" w:lastRowLastColumn="0"/>
              <w:rPr>
                <w:rFonts w:eastAsia="Times New Roman" w:cs="Segoe UI"/>
                <w:sz w:val="20"/>
                <w:szCs w:val="20"/>
              </w:rPr>
            </w:pPr>
            <w:r w:rsidRPr="00B45F31">
              <w:rPr>
                <w:rFonts w:eastAsia="Times New Roman" w:cs="Segoe UI"/>
                <w:sz w:val="20"/>
                <w:szCs w:val="20"/>
              </w:rPr>
              <w:t>E</w:t>
            </w:r>
            <w:r>
              <w:rPr>
                <w:rFonts w:eastAsia="Times New Roman" w:cs="Segoe UI"/>
                <w:sz w:val="20"/>
                <w:szCs w:val="20"/>
              </w:rPr>
              <w:t xml:space="preserve">vent </w:t>
            </w:r>
            <w:r w:rsidRPr="00B45F31">
              <w:rPr>
                <w:rFonts w:eastAsia="Times New Roman" w:cs="Segoe UI"/>
                <w:sz w:val="20"/>
                <w:szCs w:val="20"/>
              </w:rPr>
              <w:t>T</w:t>
            </w:r>
            <w:r>
              <w:rPr>
                <w:rFonts w:eastAsia="Times New Roman" w:cs="Segoe UI"/>
                <w:sz w:val="20"/>
                <w:szCs w:val="20"/>
              </w:rPr>
              <w:t xml:space="preserve">racing for </w:t>
            </w:r>
            <w:r w:rsidRPr="00B45F31">
              <w:rPr>
                <w:rFonts w:eastAsia="Times New Roman" w:cs="Segoe UI"/>
                <w:sz w:val="20"/>
                <w:szCs w:val="20"/>
              </w:rPr>
              <w:t>W</w:t>
            </w:r>
            <w:r>
              <w:rPr>
                <w:rFonts w:eastAsia="Times New Roman" w:cs="Segoe UI"/>
                <w:sz w:val="20"/>
                <w:szCs w:val="20"/>
              </w:rPr>
              <w:t>indows (ETW)</w:t>
            </w:r>
            <w:r w:rsidRPr="00B45F31">
              <w:rPr>
                <w:rFonts w:eastAsia="Times New Roman" w:cs="Segoe UI"/>
                <w:sz w:val="20"/>
                <w:szCs w:val="20"/>
              </w:rPr>
              <w:t xml:space="preserve"> events generated by any process</w:t>
            </w:r>
          </w:p>
        </w:tc>
      </w:tr>
    </w:tbl>
    <w:p w14:paraId="6CB7CF07" w14:textId="77777777" w:rsidR="00BD6328" w:rsidRDefault="00BD6328" w:rsidP="00BD6328">
      <w:r w:rsidRPr="00D51D1A">
        <w:t>Operational Insights is an analysis service that enables IT administrators to gain deep insight across on-premises and cloud environments. It enables you to interact with real-time and historical machine data to rapidly develop custom insights, and provides Microsoft and community-developed patterns for analyzing data.</w:t>
      </w:r>
      <w:r>
        <w:t xml:space="preserve"> </w:t>
      </w:r>
    </w:p>
    <w:p w14:paraId="62400857" w14:textId="40648C7D" w:rsidR="00425B49" w:rsidRPr="00D51D1A" w:rsidRDefault="00BD6328" w:rsidP="00BD6328">
      <w:r>
        <w:t xml:space="preserve">For more information about these topics, please refer to the Cloud Platform Integration Framework section </w:t>
      </w:r>
      <w:r w:rsidR="00675AFE">
        <w:t xml:space="preserve">later in this </w:t>
      </w:r>
      <w:r>
        <w:t>document</w:t>
      </w:r>
      <w:r w:rsidR="00425B49">
        <w:t xml:space="preserve">. </w:t>
      </w:r>
    </w:p>
    <w:p w14:paraId="6C2F1686" w14:textId="385AAE80" w:rsidR="009065A3" w:rsidRDefault="00D03D12" w:rsidP="005729D2">
      <w:pPr>
        <w:pStyle w:val="Heading1Numbered"/>
        <w:numPr>
          <w:ilvl w:val="0"/>
          <w:numId w:val="64"/>
        </w:numPr>
      </w:pPr>
      <w:bookmarkStart w:id="3270" w:name="_Toc418123896"/>
      <w:bookmarkStart w:id="3271" w:name="_Toc418124098"/>
      <w:bookmarkStart w:id="3272" w:name="_Toc418124300"/>
      <w:bookmarkStart w:id="3273" w:name="_Toc418156695"/>
      <w:bookmarkStart w:id="3274" w:name="_Toc418167614"/>
      <w:bookmarkStart w:id="3275" w:name="_Toc418185871"/>
      <w:bookmarkStart w:id="3276" w:name="_Toc422941581"/>
      <w:bookmarkStart w:id="3277" w:name="_Toc423116787"/>
      <w:bookmarkStart w:id="3278" w:name="_Toc423117820"/>
      <w:bookmarkStart w:id="3279" w:name="_Toc423117270"/>
      <w:bookmarkStart w:id="3280" w:name="_Toc431288862"/>
      <w:bookmarkEnd w:id="3270"/>
      <w:bookmarkEnd w:id="3271"/>
      <w:bookmarkEnd w:id="3272"/>
      <w:bookmarkEnd w:id="3273"/>
      <w:bookmarkEnd w:id="3274"/>
      <w:r>
        <w:t>Microsoft Azure Compute</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r w:rsidR="00BD6328">
        <w:t>:</w:t>
      </w:r>
      <w:r w:rsidR="00D153C3">
        <w:t xml:space="preserve"> PaaS</w:t>
      </w:r>
      <w:bookmarkEnd w:id="3275"/>
      <w:bookmarkEnd w:id="3276"/>
      <w:bookmarkEnd w:id="3277"/>
      <w:bookmarkEnd w:id="3278"/>
      <w:bookmarkEnd w:id="3279"/>
      <w:bookmarkEnd w:id="3280"/>
    </w:p>
    <w:p w14:paraId="4DB59107" w14:textId="1F03C031" w:rsidR="00E0205E" w:rsidRDefault="003722E4" w:rsidP="00E0205E">
      <w:bookmarkStart w:id="3281" w:name="_Virtual_Machine_Storage"/>
      <w:bookmarkEnd w:id="3281"/>
      <w:r>
        <w:rPr>
          <w:rFonts w:eastAsia="Times New Roman" w:cs="Times New Roman"/>
        </w:rPr>
        <w:t>Azure</w:t>
      </w:r>
      <w:r w:rsidR="00E0205E">
        <w:rPr>
          <w:rFonts w:eastAsia="Times New Roman" w:cs="Times New Roman"/>
        </w:rPr>
        <w:t xml:space="preserve"> </w:t>
      </w:r>
      <w:r w:rsidR="00E0205E" w:rsidRPr="00487625">
        <w:t>Platform</w:t>
      </w:r>
      <w:r w:rsidR="00E0205E">
        <w:t>-</w:t>
      </w:r>
      <w:r w:rsidR="00E0205E" w:rsidRPr="00487625">
        <w:t>as</w:t>
      </w:r>
      <w:r w:rsidR="00E0205E">
        <w:t>-</w:t>
      </w:r>
      <w:r w:rsidR="00E0205E" w:rsidRPr="00487625">
        <w:t>a</w:t>
      </w:r>
      <w:r w:rsidR="00E0205E">
        <w:t>-</w:t>
      </w:r>
      <w:r w:rsidR="00E0205E" w:rsidRPr="00487625">
        <w:t xml:space="preserve">Service </w:t>
      </w:r>
      <w:r w:rsidR="00E0205E">
        <w:t>(PaaS)</w:t>
      </w:r>
      <w:r w:rsidR="00E0205E" w:rsidRPr="00487625">
        <w:t xml:space="preserve"> </w:t>
      </w:r>
      <w:r w:rsidR="00E0205E">
        <w:t xml:space="preserve">workloads share some common elements with IaaS, but they also have some key differences that should be considered when they are deployed. This service has been a part of the Azure offering since its inception, and in many ways is a desirable service to realize the true value of cloud computing. </w:t>
      </w:r>
    </w:p>
    <w:p w14:paraId="49899E9F" w14:textId="77777777" w:rsidR="00E0205E" w:rsidRDefault="00E0205E" w:rsidP="00E0205E">
      <w:r>
        <w:t xml:space="preserve">A primary goal of PaaS is to remove the need to manage the underlying virtual machines. This allows customers to focus on the real value of the application, which is the functionality that it provides, not the underlying operating system or virtual machine. </w:t>
      </w:r>
    </w:p>
    <w:p w14:paraId="0019A9A7" w14:textId="3F9714E0" w:rsidR="003722E4" w:rsidRDefault="00E0205E" w:rsidP="00E0205E">
      <w:r>
        <w:t>PaaS provides great value in that management duties are significantly smaller for most organizations. The ability for Microsoft to maintain the operating system and virtual machines, and keep them patched with the latest security updates is a key differentiator to many cloud solutions in place today</w:t>
      </w:r>
      <w:r w:rsidR="006F766F">
        <w:t>.</w:t>
      </w:r>
    </w:p>
    <w:p w14:paraId="2CF6641F" w14:textId="1A196239" w:rsidR="006F766F" w:rsidRDefault="006F766F" w:rsidP="00AC6CC7">
      <w:pPr>
        <w:jc w:val="center"/>
      </w:pPr>
      <w:r>
        <w:rPr>
          <w:noProof/>
        </w:rPr>
        <w:drawing>
          <wp:inline distT="0" distB="0" distL="0" distR="0" wp14:anchorId="5AD9DBEE" wp14:editId="26631129">
            <wp:extent cx="5251529" cy="3219450"/>
            <wp:effectExtent l="0" t="0" r="635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72" name="azra_1.png"/>
                    <pic:cNvPicPr/>
                  </pic:nvPicPr>
                  <pic:blipFill>
                    <a:blip r:embed="rId289">
                      <a:extLst>
                        <a:ext uri="{28A0092B-C50C-407E-A947-70E740481C1C}">
                          <a14:useLocalDpi xmlns:a14="http://schemas.microsoft.com/office/drawing/2010/main" val="0"/>
                        </a:ext>
                      </a:extLst>
                    </a:blip>
                    <a:stretch>
                      <a:fillRect/>
                    </a:stretch>
                  </pic:blipFill>
                  <pic:spPr>
                    <a:xfrm>
                      <a:off x="0" y="0"/>
                      <a:ext cx="5255964" cy="3222169"/>
                    </a:xfrm>
                    <a:prstGeom prst="rect">
                      <a:avLst/>
                    </a:prstGeom>
                  </pic:spPr>
                </pic:pic>
              </a:graphicData>
            </a:graphic>
          </wp:inline>
        </w:drawing>
      </w:r>
    </w:p>
    <w:p w14:paraId="6D72DCF4" w14:textId="77777777" w:rsidR="00E0205E" w:rsidRDefault="00E0205E" w:rsidP="00E0205E">
      <w:r>
        <w:t>Another key benefit for targeting PaaS for applications and services is the dynamic scaling features that it affords. A side benefit of not managing the underlying virtual machines is the ability to scale the workloads to upper limits without any preplanning. New instances can be created and destroyed by the Azure platform and controlled by the customer. The real value of auto-scaling is in full effect with PaaS.</w:t>
      </w:r>
    </w:p>
    <w:p w14:paraId="6A936FA7" w14:textId="77777777" w:rsidR="00E0205E" w:rsidRDefault="00E0205E" w:rsidP="00E0205E">
      <w:r>
        <w:t xml:space="preserve">The integration of application deployment and release management into the service offering makes PaaS very desirable for customers looking to automate and orchestrate deployment of their application. Every application that gets deployed to Azure is a self-contained, packaged asset. This package is simply deployed to a virtual machine that is provisioned by the platform based on a configuration that the customer provides. </w:t>
      </w:r>
    </w:p>
    <w:p w14:paraId="67BA245C" w14:textId="352F52FA" w:rsidR="003722E4" w:rsidRDefault="00E0205E" w:rsidP="00E0205E">
      <w:r>
        <w:t>This makes automated and continuous integration of application code a real option. Partnered with the concept of deployment slots to allow VIP swapping makes deployments to the cloud a more predictable and safer deployment model. In addition, rolling back to a snapshot is possible with these options</w:t>
      </w:r>
      <w:r w:rsidR="003722E4">
        <w:t>.</w:t>
      </w:r>
    </w:p>
    <w:p w14:paraId="6B11BEAD" w14:textId="77777777" w:rsidR="003722E4" w:rsidRPr="00E9737C" w:rsidRDefault="003722E4" w:rsidP="003722E4"/>
    <w:tbl>
      <w:tblPr>
        <w:tblStyle w:val="PlainTable11"/>
        <w:tblW w:w="0" w:type="auto"/>
        <w:tblLook w:val="04A0" w:firstRow="1" w:lastRow="0" w:firstColumn="1" w:lastColumn="0" w:noHBand="0" w:noVBand="1"/>
      </w:tblPr>
      <w:tblGrid>
        <w:gridCol w:w="3297"/>
        <w:gridCol w:w="6053"/>
      </w:tblGrid>
      <w:tr w:rsidR="003722E4" w14:paraId="2A41DABB" w14:textId="77777777" w:rsidTr="0013185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22CCEA36" w14:textId="77777777" w:rsidR="003722E4" w:rsidRPr="00F47607" w:rsidRDefault="003722E4" w:rsidP="002F63EE">
            <w:pPr>
              <w:spacing w:line="240" w:lineRule="auto"/>
              <w:rPr>
                <w:color w:val="FFFFFF"/>
              </w:rPr>
            </w:pPr>
            <w:r>
              <w:rPr>
                <w:color w:val="FFFFFF"/>
              </w:rPr>
              <w:t>Feature References</w:t>
            </w:r>
          </w:p>
        </w:tc>
      </w:tr>
      <w:tr w:rsidR="003722E4" w14:paraId="14BA01FA"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3B710BDB" w14:textId="77777777" w:rsidR="003722E4" w:rsidRPr="00B814EA" w:rsidRDefault="003722E4" w:rsidP="002F63EE">
            <w:pPr>
              <w:spacing w:line="240" w:lineRule="auto"/>
              <w:rPr>
                <w:sz w:val="18"/>
                <w:szCs w:val="18"/>
              </w:rPr>
            </w:pPr>
            <w:r>
              <w:rPr>
                <w:sz w:val="18"/>
                <w:szCs w:val="18"/>
              </w:rPr>
              <w:t>Cloud Services Explained</w:t>
            </w:r>
          </w:p>
        </w:tc>
        <w:tc>
          <w:tcPr>
            <w:tcW w:w="5940" w:type="dxa"/>
          </w:tcPr>
          <w:p w14:paraId="7AE094D1" w14:textId="77777777" w:rsidR="003722E4" w:rsidRPr="00B814EA" w:rsidRDefault="00872E47" w:rsidP="002F63EE">
            <w:pPr>
              <w:cnfStyle w:val="000000100000" w:firstRow="0" w:lastRow="0" w:firstColumn="0" w:lastColumn="0" w:oddVBand="0" w:evenVBand="0" w:oddHBand="1" w:evenHBand="0" w:firstRowFirstColumn="0" w:firstRowLastColumn="0" w:lastRowFirstColumn="0" w:lastRowLastColumn="0"/>
              <w:rPr>
                <w:sz w:val="18"/>
                <w:szCs w:val="18"/>
              </w:rPr>
            </w:pPr>
            <w:hyperlink r:id="rId290" w:anchor="cloud-services" w:history="1">
              <w:r w:rsidR="003722E4" w:rsidRPr="00067826">
                <w:rPr>
                  <w:rStyle w:val="Hyperlink"/>
                  <w:sz w:val="18"/>
                  <w:szCs w:val="18"/>
                </w:rPr>
                <w:t>http://azure.microsoft.com/en-us/documentation/articles/fundamentals-application-models/#cloud-services</w:t>
              </w:r>
            </w:hyperlink>
          </w:p>
        </w:tc>
      </w:tr>
      <w:tr w:rsidR="003722E4" w14:paraId="4DA8FF7B"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3EEA8499" w14:textId="77777777" w:rsidR="003722E4" w:rsidRPr="00F47607" w:rsidRDefault="003722E4" w:rsidP="002F63EE">
            <w:pPr>
              <w:spacing w:line="240" w:lineRule="auto"/>
              <w:rPr>
                <w:sz w:val="20"/>
              </w:rPr>
            </w:pPr>
            <w:r>
              <w:rPr>
                <w:sz w:val="18"/>
                <w:szCs w:val="18"/>
              </w:rPr>
              <w:t>Websites explained</w:t>
            </w:r>
          </w:p>
        </w:tc>
        <w:tc>
          <w:tcPr>
            <w:tcW w:w="5940" w:type="dxa"/>
          </w:tcPr>
          <w:p w14:paraId="45EDC4F0" w14:textId="77777777" w:rsidR="003722E4" w:rsidRPr="00CD64DE" w:rsidRDefault="00872E47" w:rsidP="002F63EE">
            <w:pPr>
              <w:cnfStyle w:val="000000000000" w:firstRow="0" w:lastRow="0" w:firstColumn="0" w:lastColumn="0" w:oddVBand="0" w:evenVBand="0" w:oddHBand="0" w:evenHBand="0" w:firstRowFirstColumn="0" w:firstRowLastColumn="0" w:lastRowFirstColumn="0" w:lastRowLastColumn="0"/>
              <w:rPr>
                <w:sz w:val="18"/>
                <w:szCs w:val="18"/>
              </w:rPr>
            </w:pPr>
            <w:hyperlink r:id="rId291" w:anchor="websites" w:history="1">
              <w:r w:rsidR="003722E4" w:rsidRPr="00067826">
                <w:rPr>
                  <w:rStyle w:val="Hyperlink"/>
                  <w:sz w:val="18"/>
                  <w:szCs w:val="18"/>
                </w:rPr>
                <w:t>http://azure.microsoft.com/en-us/documentation/articles/fundamentals-application-models/#websites</w:t>
              </w:r>
            </w:hyperlink>
          </w:p>
        </w:tc>
      </w:tr>
      <w:tr w:rsidR="003722E4" w14:paraId="6B1D9DBB"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675DF8C8" w14:textId="77777777" w:rsidR="003722E4" w:rsidRDefault="003722E4" w:rsidP="002F63EE">
            <w:pPr>
              <w:spacing w:line="240" w:lineRule="auto"/>
              <w:rPr>
                <w:sz w:val="20"/>
              </w:rPr>
            </w:pPr>
            <w:r>
              <w:rPr>
                <w:sz w:val="18"/>
                <w:szCs w:val="18"/>
              </w:rPr>
              <w:t>Cloud Service details / architecture</w:t>
            </w:r>
          </w:p>
        </w:tc>
        <w:tc>
          <w:tcPr>
            <w:tcW w:w="5940" w:type="dxa"/>
          </w:tcPr>
          <w:p w14:paraId="1B1E0E77" w14:textId="77777777" w:rsidR="003722E4" w:rsidRPr="00CD64DE" w:rsidRDefault="00872E47" w:rsidP="002F63EE">
            <w:pPr>
              <w:cnfStyle w:val="000000100000" w:firstRow="0" w:lastRow="0" w:firstColumn="0" w:lastColumn="0" w:oddVBand="0" w:evenVBand="0" w:oddHBand="1" w:evenHBand="0" w:firstRowFirstColumn="0" w:firstRowLastColumn="0" w:lastRowFirstColumn="0" w:lastRowLastColumn="0"/>
              <w:rPr>
                <w:sz w:val="18"/>
                <w:szCs w:val="18"/>
              </w:rPr>
            </w:pPr>
            <w:hyperlink r:id="rId292" w:history="1">
              <w:r w:rsidR="003722E4" w:rsidRPr="00067826">
                <w:rPr>
                  <w:rStyle w:val="Hyperlink"/>
                  <w:sz w:val="18"/>
                  <w:szCs w:val="18"/>
                </w:rPr>
                <w:t>https://msdn.microsoft.com/en-us/library/azure/jj155995.aspx</w:t>
              </w:r>
            </w:hyperlink>
          </w:p>
        </w:tc>
      </w:tr>
      <w:tr w:rsidR="003722E4" w14:paraId="32108A5F"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6A38F91B" w14:textId="77777777" w:rsidR="003722E4" w:rsidRDefault="003722E4" w:rsidP="002F63EE">
            <w:pPr>
              <w:spacing w:line="240" w:lineRule="auto"/>
              <w:rPr>
                <w:sz w:val="18"/>
                <w:szCs w:val="18"/>
              </w:rPr>
            </w:pPr>
            <w:r>
              <w:rPr>
                <w:sz w:val="18"/>
                <w:szCs w:val="18"/>
              </w:rPr>
              <w:t>Large Scale Services in Azure</w:t>
            </w:r>
          </w:p>
        </w:tc>
        <w:tc>
          <w:tcPr>
            <w:tcW w:w="5940" w:type="dxa"/>
          </w:tcPr>
          <w:p w14:paraId="26B9697C" w14:textId="77777777" w:rsidR="003722E4" w:rsidRDefault="00872E47" w:rsidP="002F63EE">
            <w:pPr>
              <w:cnfStyle w:val="000000000000" w:firstRow="0" w:lastRow="0" w:firstColumn="0" w:lastColumn="0" w:oddVBand="0" w:evenVBand="0" w:oddHBand="0" w:evenHBand="0" w:firstRowFirstColumn="0" w:firstRowLastColumn="0" w:lastRowFirstColumn="0" w:lastRowLastColumn="0"/>
              <w:rPr>
                <w:sz w:val="18"/>
                <w:szCs w:val="18"/>
              </w:rPr>
            </w:pPr>
            <w:hyperlink r:id="rId293" w:history="1">
              <w:r w:rsidR="003722E4" w:rsidRPr="00067826">
                <w:rPr>
                  <w:rStyle w:val="Hyperlink"/>
                  <w:sz w:val="18"/>
                  <w:szCs w:val="18"/>
                </w:rPr>
                <w:t>https://msdn.microsoft.com/en-us/library/azure/jj717232.aspx</w:t>
              </w:r>
            </w:hyperlink>
          </w:p>
        </w:tc>
      </w:tr>
      <w:tr w:rsidR="003722E4" w14:paraId="2946AD49"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3F992D90" w14:textId="77777777" w:rsidR="003722E4" w:rsidRDefault="003722E4" w:rsidP="002F63EE">
            <w:pPr>
              <w:spacing w:line="240" w:lineRule="auto"/>
              <w:rPr>
                <w:sz w:val="18"/>
                <w:szCs w:val="18"/>
              </w:rPr>
            </w:pPr>
            <w:r>
              <w:rPr>
                <w:sz w:val="18"/>
                <w:szCs w:val="18"/>
              </w:rPr>
              <w:t xml:space="preserve">Development Considerations </w:t>
            </w:r>
          </w:p>
        </w:tc>
        <w:tc>
          <w:tcPr>
            <w:tcW w:w="5940" w:type="dxa"/>
          </w:tcPr>
          <w:p w14:paraId="7275B8FD" w14:textId="77777777" w:rsidR="003722E4" w:rsidRDefault="00872E47" w:rsidP="002F63EE">
            <w:pPr>
              <w:cnfStyle w:val="000000100000" w:firstRow="0" w:lastRow="0" w:firstColumn="0" w:lastColumn="0" w:oddVBand="0" w:evenVBand="0" w:oddHBand="1" w:evenHBand="0" w:firstRowFirstColumn="0" w:firstRowLastColumn="0" w:lastRowFirstColumn="0" w:lastRowLastColumn="0"/>
              <w:rPr>
                <w:sz w:val="18"/>
                <w:szCs w:val="18"/>
              </w:rPr>
            </w:pPr>
            <w:hyperlink r:id="rId294" w:history="1">
              <w:r w:rsidR="003722E4" w:rsidRPr="00067826">
                <w:rPr>
                  <w:rStyle w:val="Hyperlink"/>
                  <w:sz w:val="18"/>
                  <w:szCs w:val="18"/>
                </w:rPr>
                <w:t>https://msdn.microsoft.com/en-us/library/azure/jj156146.aspx</w:t>
              </w:r>
            </w:hyperlink>
          </w:p>
        </w:tc>
      </w:tr>
      <w:tr w:rsidR="003722E4" w14:paraId="1F83FFB1"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1772883D" w14:textId="77777777" w:rsidR="003722E4" w:rsidRDefault="003722E4" w:rsidP="002F63EE">
            <w:pPr>
              <w:spacing w:line="240" w:lineRule="auto"/>
              <w:rPr>
                <w:sz w:val="18"/>
                <w:szCs w:val="18"/>
              </w:rPr>
            </w:pPr>
            <w:r>
              <w:rPr>
                <w:sz w:val="18"/>
                <w:szCs w:val="18"/>
              </w:rPr>
              <w:t>Platform updates in PaaS</w:t>
            </w:r>
          </w:p>
        </w:tc>
        <w:tc>
          <w:tcPr>
            <w:tcW w:w="5940" w:type="dxa"/>
          </w:tcPr>
          <w:p w14:paraId="1FE140E9" w14:textId="77777777" w:rsidR="003722E4" w:rsidRDefault="00872E47" w:rsidP="002F63EE">
            <w:pPr>
              <w:cnfStyle w:val="000000000000" w:firstRow="0" w:lastRow="0" w:firstColumn="0" w:lastColumn="0" w:oddVBand="0" w:evenVBand="0" w:oddHBand="0" w:evenHBand="0" w:firstRowFirstColumn="0" w:firstRowLastColumn="0" w:lastRowFirstColumn="0" w:lastRowLastColumn="0"/>
              <w:rPr>
                <w:sz w:val="18"/>
                <w:szCs w:val="18"/>
              </w:rPr>
            </w:pPr>
            <w:hyperlink r:id="rId295" w:history="1">
              <w:r w:rsidR="003722E4" w:rsidRPr="00067826">
                <w:rPr>
                  <w:rStyle w:val="Hyperlink"/>
                  <w:sz w:val="18"/>
                  <w:szCs w:val="18"/>
                </w:rPr>
                <w:t>https://msdn.microsoft.com/en-us/library/azure/hh472157.aspx</w:t>
              </w:r>
            </w:hyperlink>
          </w:p>
        </w:tc>
      </w:tr>
      <w:tr w:rsidR="003722E4" w14:paraId="4662250B"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25F4E2FF" w14:textId="77777777" w:rsidR="003722E4" w:rsidRDefault="003722E4" w:rsidP="002F63EE">
            <w:pPr>
              <w:spacing w:line="240" w:lineRule="auto"/>
              <w:rPr>
                <w:sz w:val="18"/>
                <w:szCs w:val="18"/>
              </w:rPr>
            </w:pPr>
            <w:r>
              <w:rPr>
                <w:sz w:val="18"/>
                <w:szCs w:val="18"/>
              </w:rPr>
              <w:t>Deploying Azure Cloud Service with Release Management</w:t>
            </w:r>
          </w:p>
        </w:tc>
        <w:tc>
          <w:tcPr>
            <w:tcW w:w="5940" w:type="dxa"/>
          </w:tcPr>
          <w:p w14:paraId="3EB5253B" w14:textId="77777777" w:rsidR="003722E4" w:rsidRDefault="00872E47" w:rsidP="002F63EE">
            <w:pPr>
              <w:cnfStyle w:val="000000100000" w:firstRow="0" w:lastRow="0" w:firstColumn="0" w:lastColumn="0" w:oddVBand="0" w:evenVBand="0" w:oddHBand="1" w:evenHBand="0" w:firstRowFirstColumn="0" w:firstRowLastColumn="0" w:lastRowFirstColumn="0" w:lastRowLastColumn="0"/>
              <w:rPr>
                <w:sz w:val="18"/>
                <w:szCs w:val="18"/>
              </w:rPr>
            </w:pPr>
            <w:hyperlink r:id="rId296" w:history="1">
              <w:r w:rsidR="003722E4" w:rsidRPr="00067826">
                <w:rPr>
                  <w:rStyle w:val="Hyperlink"/>
                  <w:sz w:val="18"/>
                  <w:szCs w:val="18"/>
                </w:rPr>
                <w:t>http://blogs.msdn.com/b/visualstudioalm/archive/2015/02/09/deploying-azure-cloud-service-using-release-management.aspx</w:t>
              </w:r>
            </w:hyperlink>
          </w:p>
        </w:tc>
      </w:tr>
    </w:tbl>
    <w:p w14:paraId="3E340451" w14:textId="77777777" w:rsidR="003722E4" w:rsidRDefault="003722E4" w:rsidP="003722E4"/>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3722E4" w14:paraId="3DDD89BF" w14:textId="77777777" w:rsidTr="002F63EE">
        <w:trPr>
          <w:trHeight w:val="423"/>
        </w:trPr>
        <w:tc>
          <w:tcPr>
            <w:tcW w:w="666" w:type="dxa"/>
          </w:tcPr>
          <w:p w14:paraId="04662BB0" w14:textId="77777777" w:rsidR="003722E4" w:rsidRDefault="003722E4" w:rsidP="002F63EE">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7307B3FB" wp14:editId="41960A2A">
                      <wp:extent cx="200025" cy="180975"/>
                      <wp:effectExtent l="57150" t="19050" r="28575" b="104775"/>
                      <wp:docPr id="28" name="Octagon 28"/>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DADEF2C" id="Octagon 28"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U+JcAIAAEwFAAAOAAAAZHJzL2Uyb0RvYy54bWysVF9r2zAQfx/sOwi9r469dmtDnRJSOgal&#10;LWtHnxVZSgSyTjspcbJPv5PsuKErFMZepDvd7/7f6fJq11q2VRgMuJqXJxPOlJPQGLeq+c+nm0/n&#10;nIUoXCMsOFXzvQr8avbxw2Xnp6qCNdhGISMjLkw7X/N1jH5aFEGuVSvCCXjlSKgBWxGJxVXRoOjI&#10;emuLajL5UnSAjUeQKgR6ve6FfJbta61kvNc6qMhszSm2mE/M5zKdxexSTFco/NrIIQzxD1G0wjhy&#10;Opq6FlGwDZq/TLVGIgTQ8URCW4DWRqqcA2VTTl5l87gWXuVcqDjBj2UK/8+svNs+IDNNzSvqlBMt&#10;9eheRrECx+iFytP5MCXUo3/AgQtEplx3Gtt0UxZsl0u6H0uqdpFJeqQeTaozziSJyvPJxdezZLN4&#10;UfYY4jcFLUtEzaH3nWsptrch9ugDKrkLYE1zY6zNDK6WC4tsK6jBiwV5yz0lB0ewIuXQR52puLcq&#10;KVv3Q2lKnuIss8c8dmq0J6RULlZDxBmd1DT5HhU/v6844JOqyiM5KlfvK48a2TO4OCq3xgG+ZcDG&#10;cghZ93gq+FHeiVxCs6e+I/QLEby8MVT/WxHig0DaANoV2up4T4e20FFjBoqzNeDvt94TngaTpJx1&#10;tFE1D782AhVn9rujkb0oT0/TCmbm9OxrRQweS5bHErdpF0A9Len/8DKTCR/tgdQI7TMt/zx5JZFw&#10;knzXXEY8MIvYbzp9H1LN5xlGa+dFvHWPXh66nobrafcs0A9DGGl67+CwfWL6ahB7bOqHg/kmgjZ5&#10;Sl/qOtSbVjaP+vC9pD/hmM+ol09w9gcAAP//AwBQSwMEFAAGAAgAAAAhAJ+3RPHbAAAAAwEAAA8A&#10;AABkcnMvZG93bnJldi54bWxMj0FLw0AQhe+C/2EZwZvdpNIS02yKCAUP0mC1eN1mp0lodjbsbpv4&#10;7x292MvA4z3e+6ZYT7YXF/Shc6QgnSUgkGpnOmoUfH5sHjIQIWoyuneECr4xwLq8vSl0btxI73jZ&#10;xUZwCYVcK2hjHHIpQ92i1WHmBiT2js5bHVn6RhqvRy63vZwnyVJa3REvtHrAlxbr0+5sFVSnsXrN&#10;qurpy2+W2zdv96nf7pW6v5ueVyAiTvE/DL/4jA4lMx3cmUwQvQJ+JP5d9h7TBYiDgnm2AFkW8pq9&#10;/AEAAP//AwBQSwECLQAUAAYACAAAACEAtoM4kv4AAADhAQAAEwAAAAAAAAAAAAAAAAAAAAAAW0Nv&#10;bnRlbnRfVHlwZXNdLnhtbFBLAQItABQABgAIAAAAIQA4/SH/1gAAAJQBAAALAAAAAAAAAAAAAAAA&#10;AC8BAABfcmVscy8ucmVsc1BLAQItABQABgAIAAAAIQANtU+JcAIAAEwFAAAOAAAAAAAAAAAAAAAA&#10;AC4CAABkcnMvZTJvRG9jLnhtbFBLAQItABQABgAIAAAAIQCft0Tx2wAAAAMBAAAPAAAAAAAAAAAA&#10;AAAAAMoEAABkcnMvZG93bnJldi54bWxQSwUGAAAAAAQABADzAAAA0gUAAAAA&#10;" fillcolor="#c00" strokecolor="#ed7d31 [3205]" strokeweight=".5pt">
                      <w10:anchorlock/>
                    </v:shape>
                  </w:pict>
                </mc:Fallback>
              </mc:AlternateContent>
            </w:r>
          </w:p>
        </w:tc>
        <w:tc>
          <w:tcPr>
            <w:tcW w:w="8604" w:type="dxa"/>
          </w:tcPr>
          <w:p w14:paraId="5EA6BE40" w14:textId="2CC72D72" w:rsidR="003722E4" w:rsidRDefault="003722E4" w:rsidP="002F63EE">
            <w:pPr>
              <w:rPr>
                <w:lang w:eastAsia="en-US"/>
              </w:rPr>
            </w:pPr>
            <w:r w:rsidRPr="00192064">
              <w:rPr>
                <w:b/>
                <w:lang w:eastAsia="en-US"/>
              </w:rPr>
              <w:t>Mandatory</w:t>
            </w:r>
            <w:r>
              <w:rPr>
                <w:lang w:eastAsia="en-US"/>
              </w:rPr>
              <w:t xml:space="preserve">:  </w:t>
            </w:r>
            <w:r w:rsidR="00E0205E">
              <w:rPr>
                <w:lang w:eastAsia="en-US"/>
              </w:rPr>
              <w:t>Azure solutions must contain at least two instances if running web or worker roles. For apps (such as Web Apps), this is not a requirement because the design has inherit fault tolerance built in</w:t>
            </w:r>
            <w:r>
              <w:rPr>
                <w:lang w:eastAsia="en-US"/>
              </w:rPr>
              <w:t>.</w:t>
            </w:r>
          </w:p>
        </w:tc>
      </w:tr>
      <w:tr w:rsidR="003722E4" w14:paraId="45E4042C" w14:textId="77777777" w:rsidTr="002F63EE">
        <w:trPr>
          <w:trHeight w:val="423"/>
        </w:trPr>
        <w:tc>
          <w:tcPr>
            <w:tcW w:w="666" w:type="dxa"/>
          </w:tcPr>
          <w:p w14:paraId="794907B4" w14:textId="77777777" w:rsidR="003722E4" w:rsidRDefault="003722E4" w:rsidP="002F63EE">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483136" behindDoc="0" locked="0" layoutInCell="1" allowOverlap="1" wp14:anchorId="091F8868" wp14:editId="3410D6E8">
                      <wp:simplePos x="0" y="0"/>
                      <wp:positionH relativeFrom="column">
                        <wp:posOffset>66675</wp:posOffset>
                      </wp:positionH>
                      <wp:positionV relativeFrom="paragraph">
                        <wp:posOffset>90170</wp:posOffset>
                      </wp:positionV>
                      <wp:extent cx="209550" cy="180975"/>
                      <wp:effectExtent l="57150" t="19050" r="57150" b="104775"/>
                      <wp:wrapNone/>
                      <wp:docPr id="29" name="Isosceles Tri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68B55228" id="Isosceles Triangle 29" o:spid="_x0000_s1026" type="#_x0000_t5" style="position:absolute;margin-left:5.25pt;margin-top:7.1pt;width:16.5pt;height:14.25pt;z-index:25148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T5uhQIAAHEFAAAOAAAAZHJzL2Uyb0RvYy54bWysVFtP2zAUfp+0/2D5fSTpKNCIFFWgTkgV&#10;Q4OJZ9exW2uOj2e7Tbtfv2PnAmNISNPyYNk537l/51xeHRpN9sJ5BaaixUlOiTAcamU2Ff3+uPx0&#10;QYkPzNRMgxEVPQpPr+YfP1y2thQT2IKuhSNoxPiytRXdhmDLLPN8KxrmT8AKg0IJrmEBn26T1Y61&#10;aL3R2STPz7IWXG0dcOE9/r3phHSe7EspePgqpReB6IpibCGdLp3reGbzS1ZuHLNbxfsw2D9E0TBl&#10;0Olo6oYFRnZO/WWqUdyBBxlOODQZSKm4SDlgNkX+KpuHLbMi5YLF8XYsk/9/Zvnd/t4RVVd0MqPE&#10;sAZ7dOvBc6GFJ49OMbPRgqAQK9VaX6LCg713MVdvV8B/eBRkf0jiw/eYg3RNxGKm5JDKfhzLLg6B&#10;cPw5yWfTKTaHo6i4yGfn0+gsY+WgbJ0PXwQ0JF4qGvqoUsHZfuVDBx9gKTbQql4qrdPDbdbX2pE9&#10;QxYs8ctT49GDf4alHLqwUwLhqEVU1uabkFghDLRIHhM3xWiPcS5MOOtDTuioJtH3qPj5fcUeH1VF&#10;4u2oPHlfedRInsGEUblRBtxbBnQo+pBlh++76Lu8YwnWUB+RHA66qfGWLxU2YMV8uGcOxwR7hqMf&#10;vuIhNbQVhf5GyRbcr7f+RzyyF6WUtDh2FfU/d8wJSvStQV7PitPTOKfpcTo9n+DDvZSsX0rMrrkG&#10;7GmBS8bydI34oIerdNA84YZYRK8oYoaj74ry4IbHdejWAe4YLhaLBMPZtCyszIPlQ9cjuR4PT8zZ&#10;gYVI3zsYRpSVr4jYYWM/DCx2AaRKLH2ua19vnOvE9X4HxcXx8p1Qz5ty/hsAAP//AwBQSwMEFAAG&#10;AAgAAAAhADU8QjDZAAAABwEAAA8AAABkcnMvZG93bnJldi54bWxMjs1OwzAQhO9IvIO1SFxQ65CG&#10;tgpxKoSSI6ooPIATb36EvY5itw1vz3KC02g0o5mvOCzOigvOYfSk4HGdgEBqvRmpV/D5Ua/2IELU&#10;ZLT1hAq+McChvL0pdG78ld7xcoq94BEKuVYwxDjlUoZ2QKfD2k9InHV+djqynXtpZn3lcWdlmiRb&#10;6fRI/DDoCV8HbL9OZ6fAN8ux29S7/UPtJvvWVVXmjpVS93fLyzOIiEv8K8MvPqNDyUyNP5MJwrJP&#10;nrjJmqUgOM827BvWdAeyLOR//vIHAAD//wMAUEsBAi0AFAAGAAgAAAAhALaDOJL+AAAA4QEAABMA&#10;AAAAAAAAAAAAAAAAAAAAAFtDb250ZW50X1R5cGVzXS54bWxQSwECLQAUAAYACAAAACEAOP0h/9YA&#10;AACUAQAACwAAAAAAAAAAAAAAAAAvAQAAX3JlbHMvLnJlbHNQSwECLQAUAAYACAAAACEANJU+boUC&#10;AABxBQAADgAAAAAAAAAAAAAAAAAuAgAAZHJzL2Uyb0RvYy54bWxQSwECLQAUAAYACAAAACEANTxC&#10;MNkAAAAHAQAADwAAAAAAAAAAAAAAAADfBAAAZHJzL2Rvd25yZXYueG1sUEsFBgAAAAAEAAQA8wAA&#10;AOUFAAAAAA==&#10;" fillcolor="yellow" strokecolor="#70ad47 [3209]" strokeweight=".5pt">
                      <v:path arrowok="t"/>
                    </v:shape>
                  </w:pict>
                </mc:Fallback>
              </mc:AlternateContent>
            </w:r>
          </w:p>
        </w:tc>
        <w:tc>
          <w:tcPr>
            <w:tcW w:w="8604" w:type="dxa"/>
          </w:tcPr>
          <w:p w14:paraId="01B989B1" w14:textId="5D540052" w:rsidR="003722E4" w:rsidRDefault="003722E4" w:rsidP="002F63EE">
            <w:pPr>
              <w:rPr>
                <w:lang w:eastAsia="en-US"/>
              </w:rPr>
            </w:pPr>
            <w:r>
              <w:rPr>
                <w:rFonts w:eastAsiaTheme="minorHAnsi"/>
                <w:b/>
                <w:lang w:eastAsia="en-US"/>
              </w:rPr>
              <w:t xml:space="preserve">Recommended: </w:t>
            </w:r>
            <w:r>
              <w:rPr>
                <w:rFonts w:eastAsiaTheme="minorHAnsi"/>
                <w:lang w:eastAsia="en-US"/>
              </w:rPr>
              <w:t xml:space="preserve"> </w:t>
            </w:r>
            <w:r w:rsidR="00E0205E">
              <w:rPr>
                <w:rFonts w:eastAsiaTheme="minorHAnsi"/>
                <w:lang w:eastAsia="en-US"/>
              </w:rPr>
              <w:t>Azure solutions should contain multiple upgrade domains to avoid outages caused by updates to the guest and host by the platform. This is a unique item that exists for PaaS services</w:t>
            </w:r>
            <w:r>
              <w:rPr>
                <w:rFonts w:eastAsiaTheme="minorHAnsi"/>
                <w:lang w:eastAsia="en-US"/>
              </w:rPr>
              <w:t>.</w:t>
            </w:r>
          </w:p>
        </w:tc>
      </w:tr>
      <w:tr w:rsidR="003722E4" w14:paraId="6B06EF29" w14:textId="77777777" w:rsidTr="002F63EE">
        <w:trPr>
          <w:trHeight w:val="423"/>
        </w:trPr>
        <w:tc>
          <w:tcPr>
            <w:tcW w:w="666" w:type="dxa"/>
          </w:tcPr>
          <w:p w14:paraId="06376141" w14:textId="77777777" w:rsidR="003722E4" w:rsidRDefault="003722E4" w:rsidP="002F63EE">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488256" behindDoc="0" locked="0" layoutInCell="1" allowOverlap="1" wp14:anchorId="12BB875D" wp14:editId="05116078">
                      <wp:simplePos x="0" y="0"/>
                      <wp:positionH relativeFrom="column">
                        <wp:posOffset>66675</wp:posOffset>
                      </wp:positionH>
                      <wp:positionV relativeFrom="paragraph">
                        <wp:posOffset>90170</wp:posOffset>
                      </wp:positionV>
                      <wp:extent cx="180975" cy="180975"/>
                      <wp:effectExtent l="57150" t="19050" r="9525" b="104775"/>
                      <wp:wrapNone/>
                      <wp:docPr id="41057" name="Oval 410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630EA341" id="Oval 41057" o:spid="_x0000_s1026" style="position:absolute;margin-left:5.25pt;margin-top:7.1pt;width:14.25pt;height:14.25pt;z-index:25148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EtBfgIAAGgFAAAOAAAAZHJzL2Uyb0RvYy54bWysVN9P2zAQfp+0/8Hy+0hS2gFRU9QVMU2q&#10;AA0mnl3Hbq05Ps92m3Z/PWcnDWwgIU17sXy+7376u5te7htNdsJ5BaaixUlOiTAcamXWFf3xcP3p&#10;nBIfmKmZBiMqehCeXs4+fpi2thQj2ICuhSPoxPiytRXdhGDLLPN8IxrmT8AKg0oJrmEBRbfOasda&#10;9N7obJTnn7MWXG0dcOE9vl51SjpL/qUUPNxK6UUguqKYW0inS+cqntlsysq1Y3ajeJ8G+4csGqYM&#10;Bh1cXbHAyNapV64axR14kOGEQ5OBlIqLVANWU+R/VXO/YVakWrA53g5t8v/PLb/Z3Tmi6oqOi3xy&#10;RolhDX7T7Y5p0r1gh1rrSwTe2zsXa/R2CfynR0X2hyYKvsfspWsiFisk+9Tuw9BusQ+E42Nxnl+c&#10;TSjhqOrv0Scrj8bW+fBVQEPipaJCa2V9bAgr2W7pQ4c+olJqoFV9rbROgluvFtoRrAVj51/ySfpv&#10;DOCfYamELuuUfzhoEY21+S4kNibmmSImSorBH+NcmHAaCYQOEzqaSYw9GJ6+b9jjo6lIdB2MR+8b&#10;DxYpMpgwGDfKgHvLgQ5Fn7Ls8P0n+q7u2IIV1AfkhINuWLzl1wr7v2Q+3DGH04FzhBMfbvGQGtqK&#10;Qn+jZAPu91vvEY+kRS0lLU5bRf2vLXOCEv3NIJ0vivE4jmcSxpOzEQrupWb1UmO2zQLwTwvcLZan&#10;a8QHfbxKB80jLoZ5jIoqZjjGrigP7igsQrcFcLVwMZ8nGI6kZWFp7i0//nok18P+kTnbkzAge2/g&#10;OJmviNhh438YmG8DSJVY+tzXvt84zok4/eqJ++KlnFDPC3L2BAAA//8DAFBLAwQUAAYACAAAACEA&#10;whqfIt4AAAAHAQAADwAAAGRycy9kb3ducmV2LnhtbEyPQUvDQBCF74L/YRnBi9hNYqs2ZlNEEBS9&#10;mFbU2zQ7JsHsbMhu2/jvHU96Gh7v8eZ7xWpyvdrTGDrPBtJZAoq49rbjxsBmfX9+DSpEZIu9ZzLw&#10;TQFW5fFRgbn1B36hfRUbJSUccjTQxjjkWoe6JYdh5gdi8T796DCKHBttRzxIuet1liSX2mHH8qHF&#10;ge5aqr+qnTPwUW2e3Tp9cm+P6cOCzt77JdpXY05PptsbUJGm+BeGX3xBh1KYtn7HNqhedLKQpNx5&#10;Bkr8i6VM2xqYZ1egy0L/5y9/AAAA//8DAFBLAQItABQABgAIAAAAIQC2gziS/gAAAOEBAAATAAAA&#10;AAAAAAAAAAAAAAAAAABbQ29udGVudF9UeXBlc10ueG1sUEsBAi0AFAAGAAgAAAAhADj9If/WAAAA&#10;lAEAAAsAAAAAAAAAAAAAAAAALwEAAF9yZWxzLy5yZWxzUEsBAi0AFAAGAAgAAAAhAMUcS0F+AgAA&#10;aAUAAA4AAAAAAAAAAAAAAAAALgIAAGRycy9lMm9Eb2MueG1sUEsBAi0AFAAGAAgAAAAhAMIanyLe&#10;AAAABwEAAA8AAAAAAAAAAAAAAAAA2AQAAGRycy9kb3ducmV2LnhtbFBLBQYAAAAABAAEAPMAAADj&#10;BQAAAAA=&#10;" fillcolor="#00b050" strokecolor="#a5a5a5 [3206]" strokeweight=".5pt">
                      <v:stroke joinstyle="miter"/>
                      <v:path arrowok="t"/>
                    </v:oval>
                  </w:pict>
                </mc:Fallback>
              </mc:AlternateContent>
            </w:r>
          </w:p>
        </w:tc>
        <w:tc>
          <w:tcPr>
            <w:tcW w:w="8604" w:type="dxa"/>
          </w:tcPr>
          <w:p w14:paraId="159AB463" w14:textId="301CCB3B" w:rsidR="003722E4" w:rsidRDefault="003722E4" w:rsidP="002F63EE">
            <w:pPr>
              <w:rPr>
                <w:lang w:eastAsia="en-US"/>
              </w:rPr>
            </w:pPr>
            <w:r>
              <w:rPr>
                <w:rFonts w:eastAsiaTheme="minorHAnsi"/>
                <w:b/>
                <w:lang w:eastAsia="en-US"/>
              </w:rPr>
              <w:t xml:space="preserve">Optional: </w:t>
            </w:r>
            <w:r>
              <w:rPr>
                <w:rFonts w:eastAsiaTheme="minorHAnsi"/>
                <w:lang w:eastAsia="en-US"/>
              </w:rPr>
              <w:t xml:space="preserve"> </w:t>
            </w:r>
            <w:r w:rsidR="00E0205E">
              <w:rPr>
                <w:rFonts w:eastAsiaTheme="minorHAnsi"/>
                <w:lang w:eastAsia="en-US"/>
              </w:rPr>
              <w:t>Azure solutions can optionally contain auto-scaling configurations to increase and decrease instance counts for the service, based on a schedule or metric</w:t>
            </w:r>
            <w:r>
              <w:rPr>
                <w:rFonts w:eastAsiaTheme="minorHAnsi"/>
                <w:lang w:eastAsia="en-US"/>
              </w:rPr>
              <w:t>.</w:t>
            </w:r>
          </w:p>
        </w:tc>
      </w:tr>
    </w:tbl>
    <w:p w14:paraId="18EE8380" w14:textId="77777777" w:rsidR="003722E4" w:rsidRDefault="003722E4" w:rsidP="003722E4"/>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3722E4" w14:paraId="184B5EF1" w14:textId="77777777" w:rsidTr="002F63EE">
        <w:tc>
          <w:tcPr>
            <w:tcW w:w="9360" w:type="dxa"/>
            <w:shd w:val="clear" w:color="auto" w:fill="008AC8"/>
          </w:tcPr>
          <w:p w14:paraId="113779E1" w14:textId="77777777" w:rsidR="003722E4" w:rsidRPr="00F47607" w:rsidRDefault="003722E4" w:rsidP="002F63EE">
            <w:pPr>
              <w:spacing w:line="240" w:lineRule="auto"/>
              <w:rPr>
                <w:color w:val="FFFFFF"/>
              </w:rPr>
            </w:pPr>
            <w:r>
              <w:rPr>
                <w:color w:val="FFFFFF"/>
              </w:rPr>
              <w:t>Design Guidance</w:t>
            </w:r>
          </w:p>
        </w:tc>
      </w:tr>
    </w:tbl>
    <w:p w14:paraId="04402279" w14:textId="77777777" w:rsidR="00E0205E" w:rsidRPr="009F55D9" w:rsidRDefault="00E0205E" w:rsidP="00E0205E">
      <w:r>
        <w:t xml:space="preserve">For more information, </w:t>
      </w:r>
      <w:r w:rsidRPr="009F55D9">
        <w:t xml:space="preserve">see these applicable Azure design patterns: </w:t>
      </w:r>
    </w:p>
    <w:p w14:paraId="2B7739B3" w14:textId="77777777" w:rsidR="00E0205E" w:rsidRDefault="00872E47" w:rsidP="005729D2">
      <w:pPr>
        <w:pStyle w:val="ListParagraph"/>
        <w:numPr>
          <w:ilvl w:val="0"/>
          <w:numId w:val="263"/>
        </w:numPr>
      </w:pPr>
      <w:hyperlink r:id="rId297" w:history="1">
        <w:r w:rsidR="00E0205E" w:rsidRPr="0075577B">
          <w:rPr>
            <w:rStyle w:val="Hyperlink"/>
          </w:rPr>
          <w:t>Modern Datacenter – Architecture Patterns – Foundational – Offsite Batch Processing Tier</w:t>
        </w:r>
      </w:hyperlink>
    </w:p>
    <w:p w14:paraId="17ED5548" w14:textId="77777777" w:rsidR="00E0205E" w:rsidRDefault="00872E47" w:rsidP="005729D2">
      <w:pPr>
        <w:pStyle w:val="ListParagraph"/>
        <w:numPr>
          <w:ilvl w:val="0"/>
          <w:numId w:val="263"/>
        </w:numPr>
      </w:pPr>
      <w:hyperlink r:id="rId298" w:history="1">
        <w:r w:rsidR="00E0205E" w:rsidRPr="00106C2D">
          <w:rPr>
            <w:rStyle w:val="Hyperlink"/>
          </w:rPr>
          <w:t>Modern Datacenter – Architecture Patterns – Foundational – Web Tier</w:t>
        </w:r>
      </w:hyperlink>
    </w:p>
    <w:p w14:paraId="06ED690D" w14:textId="77777777" w:rsidR="00E0205E" w:rsidRDefault="00E0205E" w:rsidP="00E0205E">
      <w:r>
        <w:t xml:space="preserve">The common design patterns for PaaS workloads can be split into two primary categories: </w:t>
      </w:r>
    </w:p>
    <w:p w14:paraId="5CE3CC8C" w14:textId="77777777" w:rsidR="00E0205E" w:rsidRDefault="00E0205E" w:rsidP="005729D2">
      <w:pPr>
        <w:pStyle w:val="ListParagraph"/>
        <w:numPr>
          <w:ilvl w:val="0"/>
          <w:numId w:val="264"/>
        </w:numPr>
      </w:pPr>
      <w:r>
        <w:t>Web-based workloads</w:t>
      </w:r>
    </w:p>
    <w:p w14:paraId="2A2AF2DF" w14:textId="77777777" w:rsidR="00E0205E" w:rsidRDefault="00E0205E" w:rsidP="005729D2">
      <w:pPr>
        <w:pStyle w:val="ListParagraph"/>
        <w:numPr>
          <w:ilvl w:val="0"/>
          <w:numId w:val="264"/>
        </w:numPr>
      </w:pPr>
      <w:r>
        <w:t xml:space="preserve">Back-end processing workloads </w:t>
      </w:r>
    </w:p>
    <w:p w14:paraId="4CB430F3" w14:textId="77777777" w:rsidR="00E0205E" w:rsidRDefault="00E0205E" w:rsidP="00E0205E">
      <w:r>
        <w:t xml:space="preserve">Typically, web-based workloads for modern frameworks work on PaaS with few changes. </w:t>
      </w:r>
    </w:p>
    <w:p w14:paraId="37C6AF3F" w14:textId="77777777" w:rsidR="00E0205E" w:rsidRDefault="00E0205E" w:rsidP="00E0205E">
      <w:r>
        <w:t>Web applications that use a framework prior to .NET Framework 4.0, usually require some code changes to fit with this cloud model. The key points to remember are whether there are extra components that need to be installed as part of the application, for example, custom ISAPI filters, drivers, or security models that require full trust. These can be adapted to PaaS web applications, but they require varying levels of changes.</w:t>
      </w:r>
    </w:p>
    <w:p w14:paraId="5C3DDCFA" w14:textId="77777777" w:rsidR="00E0205E" w:rsidRDefault="00E0205E" w:rsidP="00E0205E">
      <w:r>
        <w:t xml:space="preserve">The other very important point to remember when using both web and back-end workloads is that the application needs to be stateless. Applications that require additional components for state management and tight coupling of the tiers of the applications tend to have problems when using modern cloud scale models. </w:t>
      </w:r>
    </w:p>
    <w:p w14:paraId="6D8E5AFD" w14:textId="4C533B89" w:rsidR="003722E4" w:rsidRDefault="00E0205E" w:rsidP="00E0205E">
      <w:r>
        <w:t>At a minimum, it’s important to understand all the components that make up the application and the architecture for the data, business, and front-end tiers. Additionally, its key to understand if the deployment can be a file-based deployment and if the application is self-contained from a binary perspective</w:t>
      </w:r>
      <w:r w:rsidR="003722E4">
        <w:t>.</w:t>
      </w:r>
    </w:p>
    <w:p w14:paraId="4C946C87" w14:textId="77777777" w:rsidR="003722E4" w:rsidRDefault="003722E4" w:rsidP="003722E4"/>
    <w:tbl>
      <w:tblPr>
        <w:tblStyle w:val="PlainTable11"/>
        <w:tblW w:w="9355" w:type="dxa"/>
        <w:tblLook w:val="04A0" w:firstRow="1" w:lastRow="0" w:firstColumn="1" w:lastColumn="0" w:noHBand="0" w:noVBand="1"/>
      </w:tblPr>
      <w:tblGrid>
        <w:gridCol w:w="2965"/>
        <w:gridCol w:w="2787"/>
        <w:gridCol w:w="3603"/>
      </w:tblGrid>
      <w:tr w:rsidR="003722E4" w:rsidRPr="00131853" w14:paraId="51A51F26" w14:textId="77777777" w:rsidTr="0013185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shd w:val="clear" w:color="auto" w:fill="808080" w:themeFill="background1" w:themeFillShade="80"/>
            <w:hideMark/>
          </w:tcPr>
          <w:p w14:paraId="3F8A060B" w14:textId="77777777" w:rsidR="003722E4" w:rsidRPr="00131853" w:rsidRDefault="003722E4" w:rsidP="002F63EE">
            <w:pPr>
              <w:spacing w:line="240" w:lineRule="auto"/>
              <w:rPr>
                <w:rFonts w:ascii="Times New Roman" w:hAnsi="Times New Roman"/>
                <w:bCs w:val="0"/>
                <w:color w:val="FFFFFF"/>
                <w:lang w:val="en-AU" w:eastAsia="en-AU"/>
              </w:rPr>
            </w:pPr>
            <w:r w:rsidRPr="00131853">
              <w:rPr>
                <w:rFonts w:eastAsia="Calibri"/>
                <w:bCs w:val="0"/>
                <w:color w:val="FFFFFF"/>
                <w:lang w:val="en-AU" w:eastAsia="en-AU"/>
              </w:rPr>
              <w:t>Scenario</w:t>
            </w:r>
          </w:p>
        </w:tc>
        <w:tc>
          <w:tcPr>
            <w:tcW w:w="2787" w:type="dxa"/>
            <w:shd w:val="clear" w:color="auto" w:fill="808080" w:themeFill="background1" w:themeFillShade="80"/>
            <w:hideMark/>
          </w:tcPr>
          <w:p w14:paraId="2D16B3D5" w14:textId="77777777" w:rsidR="003722E4" w:rsidRPr="00131853" w:rsidRDefault="003722E4" w:rsidP="002F63EE">
            <w:pPr>
              <w:spacing w:line="240" w:lineRule="auto"/>
              <w:cnfStyle w:val="100000000000" w:firstRow="1" w:lastRow="0" w:firstColumn="0" w:lastColumn="0" w:oddVBand="0" w:evenVBand="0" w:oddHBand="0" w:evenHBand="0" w:firstRowFirstColumn="0" w:firstRowLastColumn="0" w:lastRowFirstColumn="0" w:lastRowLastColumn="0"/>
              <w:rPr>
                <w:rFonts w:eastAsia="Calibri"/>
                <w:color w:val="FFFFFF"/>
                <w:lang w:val="en-AU" w:eastAsia="en-AU"/>
              </w:rPr>
            </w:pPr>
            <w:r w:rsidRPr="00131853">
              <w:rPr>
                <w:rFonts w:eastAsia="Calibri"/>
                <w:bCs w:val="0"/>
                <w:color w:val="FFFFFF"/>
                <w:lang w:val="en-AU" w:eastAsia="en-AU"/>
              </w:rPr>
              <w:t>Model</w:t>
            </w:r>
          </w:p>
        </w:tc>
        <w:tc>
          <w:tcPr>
            <w:tcW w:w="3603" w:type="dxa"/>
            <w:shd w:val="clear" w:color="auto" w:fill="808080" w:themeFill="background1" w:themeFillShade="80"/>
            <w:hideMark/>
          </w:tcPr>
          <w:p w14:paraId="5AFDB211" w14:textId="77777777" w:rsidR="003722E4" w:rsidRPr="00131853" w:rsidRDefault="003722E4" w:rsidP="002F63EE">
            <w:pPr>
              <w:spacing w:line="240" w:lineRule="auto"/>
              <w:cnfStyle w:val="100000000000" w:firstRow="1" w:lastRow="0" w:firstColumn="0" w:lastColumn="0" w:oddVBand="0" w:evenVBand="0" w:oddHBand="0" w:evenHBand="0" w:firstRowFirstColumn="0" w:firstRowLastColumn="0" w:lastRowFirstColumn="0" w:lastRowLastColumn="0"/>
              <w:rPr>
                <w:rFonts w:eastAsia="Calibri"/>
                <w:color w:val="FFFFFF"/>
                <w:lang w:val="en-AU" w:eastAsia="en-AU"/>
              </w:rPr>
            </w:pPr>
            <w:r w:rsidRPr="00131853">
              <w:rPr>
                <w:rFonts w:eastAsia="Calibri"/>
                <w:bCs w:val="0"/>
                <w:color w:val="FFFFFF"/>
                <w:lang w:val="en-AU" w:eastAsia="en-AU"/>
              </w:rPr>
              <w:t>Points to Consider</w:t>
            </w:r>
          </w:p>
        </w:tc>
      </w:tr>
      <w:tr w:rsidR="00E0205E" w14:paraId="325783CF"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hideMark/>
          </w:tcPr>
          <w:p w14:paraId="46A8E100" w14:textId="4AB94E19" w:rsidR="00E0205E" w:rsidRPr="00F47607" w:rsidRDefault="00E0205E" w:rsidP="00E0205E">
            <w:pPr>
              <w:pStyle w:val="NormalWeb"/>
              <w:rPr>
                <w:rFonts w:ascii="Segoe UI" w:hAnsi="Segoe UI" w:cs="Segoe UI"/>
                <w:sz w:val="20"/>
                <w:szCs w:val="20"/>
                <w:lang w:val="en-AU" w:eastAsia="en-AU"/>
              </w:rPr>
            </w:pPr>
            <w:r>
              <w:rPr>
                <w:rFonts w:ascii="Segoe UI" w:hAnsi="Segoe UI" w:cs="Segoe UI"/>
                <w:b w:val="0"/>
                <w:bCs w:val="0"/>
                <w:sz w:val="20"/>
                <w:szCs w:val="20"/>
                <w:lang w:val="en-AU" w:eastAsia="en-AU"/>
              </w:rPr>
              <w:t>Web-based workload</w:t>
            </w:r>
          </w:p>
        </w:tc>
        <w:tc>
          <w:tcPr>
            <w:tcW w:w="2787" w:type="dxa"/>
            <w:hideMark/>
          </w:tcPr>
          <w:p w14:paraId="57CCA1ED" w14:textId="12DBA569" w:rsidR="00E0205E" w:rsidRPr="00F47607" w:rsidRDefault="00E0205E" w:rsidP="00E0205E">
            <w:pPr>
              <w:pStyle w:val="NormalWeb"/>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Web-based applications</w:t>
            </w:r>
          </w:p>
        </w:tc>
        <w:tc>
          <w:tcPr>
            <w:tcW w:w="3603" w:type="dxa"/>
            <w:hideMark/>
          </w:tcPr>
          <w:p w14:paraId="3F274636" w14:textId="77777777" w:rsidR="00E0205E" w:rsidRPr="00392839" w:rsidRDefault="00E0205E" w:rsidP="00E0205E">
            <w:pPr>
              <w:pStyle w:val="NormalWeb"/>
              <w:numPr>
                <w:ilvl w:val="0"/>
                <w:numId w:val="8"/>
              </w:numPr>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Software outside of web server needs to be installed</w:t>
            </w:r>
          </w:p>
          <w:p w14:paraId="4EF1EE80" w14:textId="60BD515E" w:rsidR="00E0205E" w:rsidRPr="00B814EA" w:rsidRDefault="00E0205E" w:rsidP="00E0205E">
            <w:pPr>
              <w:pStyle w:val="NormalWeb"/>
              <w:numPr>
                <w:ilvl w:val="0"/>
                <w:numId w:val="8"/>
              </w:numPr>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Startup tasks are needed</w:t>
            </w:r>
          </w:p>
        </w:tc>
      </w:tr>
      <w:tr w:rsidR="00E0205E" w14:paraId="546EE3B8" w14:textId="77777777" w:rsidTr="00131853">
        <w:tc>
          <w:tcPr>
            <w:cnfStyle w:val="001000000000" w:firstRow="0" w:lastRow="0" w:firstColumn="1" w:lastColumn="0" w:oddVBand="0" w:evenVBand="0" w:oddHBand="0" w:evenHBand="0" w:firstRowFirstColumn="0" w:firstRowLastColumn="0" w:lastRowFirstColumn="0" w:lastRowLastColumn="0"/>
            <w:tcW w:w="2965" w:type="dxa"/>
            <w:hideMark/>
          </w:tcPr>
          <w:p w14:paraId="626877D6" w14:textId="1F931D4B" w:rsidR="00E0205E" w:rsidRPr="00F47607" w:rsidRDefault="00E0205E" w:rsidP="00E0205E">
            <w:pPr>
              <w:pStyle w:val="NormalWeb"/>
              <w:rPr>
                <w:rFonts w:ascii="Segoe UI" w:hAnsi="Segoe UI" w:cs="Segoe UI"/>
                <w:bCs w:val="0"/>
                <w:sz w:val="20"/>
                <w:szCs w:val="20"/>
                <w:lang w:val="en-AU" w:eastAsia="en-AU"/>
              </w:rPr>
            </w:pPr>
            <w:r>
              <w:rPr>
                <w:rFonts w:ascii="Segoe UI" w:hAnsi="Segoe UI" w:cs="Segoe UI"/>
                <w:b w:val="0"/>
                <w:bCs w:val="0"/>
                <w:sz w:val="20"/>
                <w:szCs w:val="20"/>
                <w:lang w:val="en-AU" w:eastAsia="en-AU"/>
              </w:rPr>
              <w:t>Back-end workload</w:t>
            </w:r>
          </w:p>
        </w:tc>
        <w:tc>
          <w:tcPr>
            <w:tcW w:w="2787" w:type="dxa"/>
            <w:hideMark/>
          </w:tcPr>
          <w:p w14:paraId="5CCA2C33" w14:textId="0F5926D9" w:rsidR="00E0205E" w:rsidRPr="00F47607" w:rsidRDefault="00E0205E" w:rsidP="00E0205E">
            <w:pPr>
              <w:pStyle w:val="NormalWeb"/>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Service-based applications</w:t>
            </w:r>
          </w:p>
        </w:tc>
        <w:tc>
          <w:tcPr>
            <w:tcW w:w="3603" w:type="dxa"/>
            <w:hideMark/>
          </w:tcPr>
          <w:p w14:paraId="6C6C4DA2" w14:textId="77777777" w:rsidR="00E0205E" w:rsidRDefault="00E0205E" w:rsidP="00E0205E">
            <w:pPr>
              <w:pStyle w:val="NormalWeb"/>
              <w:numPr>
                <w:ilvl w:val="0"/>
                <w:numId w:val="8"/>
              </w:numPr>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Avoid tight processing loops</w:t>
            </w:r>
          </w:p>
          <w:p w14:paraId="6FD4DEA9" w14:textId="11EB1F77" w:rsidR="00E0205E" w:rsidRPr="00A10975" w:rsidRDefault="00E0205E" w:rsidP="00E0205E">
            <w:pPr>
              <w:pStyle w:val="NormalWeb"/>
              <w:numPr>
                <w:ilvl w:val="0"/>
                <w:numId w:val="8"/>
              </w:numPr>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Leverage competing consumer for multiple instances</w:t>
            </w:r>
          </w:p>
        </w:tc>
      </w:tr>
    </w:tbl>
    <w:p w14:paraId="44BD9EED" w14:textId="63E49DDC" w:rsidR="003722E4" w:rsidRPr="00E81F98" w:rsidRDefault="003722E4" w:rsidP="005729D2">
      <w:pPr>
        <w:pStyle w:val="Heading2Numbered"/>
        <w:numPr>
          <w:ilvl w:val="1"/>
          <w:numId w:val="64"/>
        </w:numPr>
      </w:pPr>
      <w:bookmarkStart w:id="3282" w:name="_Toc417933805"/>
      <w:bookmarkStart w:id="3283" w:name="_Toc417935746"/>
      <w:bookmarkStart w:id="3284" w:name="_Toc418014630"/>
      <w:bookmarkStart w:id="3285" w:name="_Toc418029966"/>
      <w:bookmarkStart w:id="3286" w:name="_Toc418036902"/>
      <w:bookmarkStart w:id="3287" w:name="_Toc418061378"/>
      <w:bookmarkStart w:id="3288" w:name="_Toc418081256"/>
      <w:bookmarkStart w:id="3289" w:name="_Toc418081906"/>
      <w:bookmarkStart w:id="3290" w:name="_Toc418083309"/>
      <w:bookmarkStart w:id="3291" w:name="_Toc418096052"/>
      <w:bookmarkStart w:id="3292" w:name="_Toc418156697"/>
      <w:bookmarkStart w:id="3293" w:name="_Toc418167616"/>
      <w:bookmarkStart w:id="3294" w:name="_Toc418185872"/>
      <w:bookmarkStart w:id="3295" w:name="_Toc422941582"/>
      <w:bookmarkStart w:id="3296" w:name="_Toc423116788"/>
      <w:bookmarkStart w:id="3297" w:name="_Toc423117821"/>
      <w:bookmarkStart w:id="3298" w:name="_Toc423117271"/>
      <w:bookmarkStart w:id="3299" w:name="_Toc431288863"/>
      <w:r>
        <w:t>Cloud Services</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1CF19AE9" w14:textId="373D501C" w:rsidR="00E0205E" w:rsidRDefault="00E0205E" w:rsidP="00E0205E">
      <w:r>
        <w:t>Azure Cloud services, in the context of PaaS, provides the units that contain the roles instances that comprise a given application. Azure Cloud Services bind to the virtual IP (VIP) that services request and load balance requests over underlying role instances. Azure Cloud Services can be considered a unit of deployment that can be versioned and stored. When you deploy a cloud service, it contains a package that defines the service (such as networking, load balancing, or role instance counts) in addition to the actual code for the application.</w:t>
      </w:r>
    </w:p>
    <w:p w14:paraId="7BD0949D" w14:textId="77777777" w:rsidR="00E0205E" w:rsidRDefault="00E0205E" w:rsidP="00E0205E">
      <w:r>
        <w:t xml:space="preserve">This model of deployment makes it very easy to control and deploy specific versions of an application. A cloud service can have multiple deployments running simultaneously. This is possible because of a concept of deployment slots that are implemented with cloud services. There are two deployment slots available for each cloud service. </w:t>
      </w:r>
    </w:p>
    <w:p w14:paraId="0BE23F2D" w14:textId="77777777" w:rsidR="00E0205E" w:rsidRDefault="00E0205E" w:rsidP="00E0205E">
      <w:r>
        <w:t>The intention is for the staging slot to be used to stage new or updated versions of the cloud service, which are assessable to the deployment or DevOps teams for testing, and the production slot is used to host the production deployment of the application.</w:t>
      </w:r>
    </w:p>
    <w:p w14:paraId="3A21A123" w14:textId="019E69CF" w:rsidR="003722E4" w:rsidRDefault="00E0205E" w:rsidP="00E0205E">
      <w:r>
        <w:t>Cloud services also contain the binaries and scripts to install additional components to the PaaS instance at startup. These are necessary because the deployment that is running in Azure, will move inside the Azure datacenter. As updates are deployed to the host and guest operating systems, the PaaS instances will be moved to other hosts. This means that everything required to make the PaaS instance and application run is required to be a part of the cloud service package</w:t>
      </w:r>
      <w:r w:rsidR="003722E4">
        <w:t>.</w:t>
      </w:r>
    </w:p>
    <w:p w14:paraId="35FC9792" w14:textId="77777777" w:rsidR="003722E4" w:rsidRDefault="003722E4" w:rsidP="003722E4"/>
    <w:tbl>
      <w:tblPr>
        <w:tblStyle w:val="PlainTable11"/>
        <w:tblW w:w="0" w:type="auto"/>
        <w:tblLook w:val="04A0" w:firstRow="1" w:lastRow="0" w:firstColumn="1" w:lastColumn="0" w:noHBand="0" w:noVBand="1"/>
      </w:tblPr>
      <w:tblGrid>
        <w:gridCol w:w="3416"/>
        <w:gridCol w:w="5934"/>
      </w:tblGrid>
      <w:tr w:rsidR="003722E4" w:rsidRPr="00131853" w14:paraId="02015FBC" w14:textId="77777777" w:rsidTr="00E020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808080" w:themeFill="background1" w:themeFillShade="80"/>
          </w:tcPr>
          <w:p w14:paraId="23EE24AA" w14:textId="77777777" w:rsidR="003722E4" w:rsidRPr="00131853" w:rsidRDefault="003722E4" w:rsidP="002F63EE">
            <w:pPr>
              <w:spacing w:line="240" w:lineRule="auto"/>
              <w:rPr>
                <w:color w:val="FFFFFF"/>
                <w:szCs w:val="20"/>
              </w:rPr>
            </w:pPr>
            <w:r w:rsidRPr="00131853">
              <w:rPr>
                <w:color w:val="FFFFFF"/>
                <w:szCs w:val="20"/>
              </w:rPr>
              <w:t>Feature References</w:t>
            </w:r>
          </w:p>
        </w:tc>
      </w:tr>
      <w:tr w:rsidR="003722E4" w:rsidRPr="00131853" w14:paraId="2DF1FB4B"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09C257D6" w14:textId="77777777" w:rsidR="003722E4" w:rsidRPr="00131853" w:rsidRDefault="003722E4" w:rsidP="002F63EE">
            <w:pPr>
              <w:spacing w:line="240" w:lineRule="auto"/>
              <w:rPr>
                <w:sz w:val="20"/>
                <w:szCs w:val="20"/>
              </w:rPr>
            </w:pPr>
            <w:r w:rsidRPr="00131853">
              <w:rPr>
                <w:sz w:val="20"/>
                <w:szCs w:val="20"/>
              </w:rPr>
              <w:t>Cloud services explained</w:t>
            </w:r>
          </w:p>
        </w:tc>
        <w:tc>
          <w:tcPr>
            <w:tcW w:w="5940" w:type="dxa"/>
          </w:tcPr>
          <w:p w14:paraId="7FB06A7B" w14:textId="77777777" w:rsidR="003722E4" w:rsidRPr="00131853" w:rsidRDefault="00872E47" w:rsidP="002F63EE">
            <w:pPr>
              <w:cnfStyle w:val="000000100000" w:firstRow="0" w:lastRow="0" w:firstColumn="0" w:lastColumn="0" w:oddVBand="0" w:evenVBand="0" w:oddHBand="1" w:evenHBand="0" w:firstRowFirstColumn="0" w:firstRowLastColumn="0" w:lastRowFirstColumn="0" w:lastRowLastColumn="0"/>
              <w:rPr>
                <w:sz w:val="20"/>
                <w:szCs w:val="20"/>
              </w:rPr>
            </w:pPr>
            <w:hyperlink r:id="rId299" w:history="1">
              <w:r w:rsidR="003722E4" w:rsidRPr="00131853">
                <w:rPr>
                  <w:rStyle w:val="Hyperlink"/>
                  <w:sz w:val="20"/>
                  <w:szCs w:val="20"/>
                </w:rPr>
                <w:t>https://msdn.microsoft.com/en-us/library/azure/jj155995.aspx</w:t>
              </w:r>
            </w:hyperlink>
          </w:p>
        </w:tc>
      </w:tr>
      <w:tr w:rsidR="003722E4" w:rsidRPr="00131853" w14:paraId="1C69B645"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3742384D" w14:textId="77777777" w:rsidR="003722E4" w:rsidRPr="00131853" w:rsidRDefault="003722E4" w:rsidP="002F63EE">
            <w:pPr>
              <w:spacing w:line="240" w:lineRule="auto"/>
              <w:rPr>
                <w:sz w:val="20"/>
                <w:szCs w:val="20"/>
              </w:rPr>
            </w:pPr>
            <w:r w:rsidRPr="00131853">
              <w:rPr>
                <w:sz w:val="20"/>
                <w:szCs w:val="20"/>
              </w:rPr>
              <w:t>Startup tasks in cloud services</w:t>
            </w:r>
          </w:p>
        </w:tc>
        <w:tc>
          <w:tcPr>
            <w:tcW w:w="5940" w:type="dxa"/>
          </w:tcPr>
          <w:p w14:paraId="0276A377" w14:textId="77777777" w:rsidR="003722E4" w:rsidRPr="00131853" w:rsidRDefault="00872E47" w:rsidP="002F63EE">
            <w:pPr>
              <w:cnfStyle w:val="000000000000" w:firstRow="0" w:lastRow="0" w:firstColumn="0" w:lastColumn="0" w:oddVBand="0" w:evenVBand="0" w:oddHBand="0" w:evenHBand="0" w:firstRowFirstColumn="0" w:firstRowLastColumn="0" w:lastRowFirstColumn="0" w:lastRowLastColumn="0"/>
              <w:rPr>
                <w:sz w:val="20"/>
                <w:szCs w:val="20"/>
              </w:rPr>
            </w:pPr>
            <w:hyperlink r:id="rId300" w:history="1">
              <w:r w:rsidR="003722E4" w:rsidRPr="00131853">
                <w:rPr>
                  <w:rStyle w:val="Hyperlink"/>
                  <w:sz w:val="20"/>
                  <w:szCs w:val="20"/>
                </w:rPr>
                <w:t>https://msdn.microsoft.com/en-us/library/azure/hh180155.aspx</w:t>
              </w:r>
            </w:hyperlink>
          </w:p>
        </w:tc>
      </w:tr>
      <w:tr w:rsidR="003722E4" w:rsidRPr="00131853" w14:paraId="641560E2"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1E8224BA" w14:textId="77777777" w:rsidR="003722E4" w:rsidRPr="00131853" w:rsidRDefault="003722E4" w:rsidP="002F63EE">
            <w:pPr>
              <w:spacing w:line="240" w:lineRule="auto"/>
              <w:rPr>
                <w:sz w:val="20"/>
                <w:szCs w:val="20"/>
              </w:rPr>
            </w:pPr>
            <w:r w:rsidRPr="00131853">
              <w:rPr>
                <w:sz w:val="20"/>
                <w:szCs w:val="20"/>
              </w:rPr>
              <w:t>Tools for packaging and deployment</w:t>
            </w:r>
          </w:p>
        </w:tc>
        <w:tc>
          <w:tcPr>
            <w:tcW w:w="5940" w:type="dxa"/>
          </w:tcPr>
          <w:p w14:paraId="01C7ABC5" w14:textId="77777777" w:rsidR="003722E4" w:rsidRPr="00131853" w:rsidRDefault="00872E47" w:rsidP="002F63EE">
            <w:pPr>
              <w:cnfStyle w:val="000000100000" w:firstRow="0" w:lastRow="0" w:firstColumn="0" w:lastColumn="0" w:oddVBand="0" w:evenVBand="0" w:oddHBand="1" w:evenHBand="0" w:firstRowFirstColumn="0" w:firstRowLastColumn="0" w:lastRowFirstColumn="0" w:lastRowLastColumn="0"/>
              <w:rPr>
                <w:sz w:val="20"/>
                <w:szCs w:val="20"/>
              </w:rPr>
            </w:pPr>
            <w:hyperlink r:id="rId301" w:history="1">
              <w:r w:rsidR="003722E4" w:rsidRPr="00131853">
                <w:rPr>
                  <w:rStyle w:val="Hyperlink"/>
                  <w:sz w:val="20"/>
                  <w:szCs w:val="20"/>
                </w:rPr>
                <w:t>https://msdn.microsoft.com/en-us/library/azure/gg433055.aspx</w:t>
              </w:r>
            </w:hyperlink>
          </w:p>
        </w:tc>
      </w:tr>
      <w:tr w:rsidR="00E0205E" w:rsidRPr="00131853" w14:paraId="1510FC0B"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2332A069" w14:textId="2A03FB75" w:rsidR="00E0205E" w:rsidRPr="00131853" w:rsidRDefault="00E0205E" w:rsidP="00E0205E">
            <w:pPr>
              <w:spacing w:line="240" w:lineRule="auto"/>
              <w:rPr>
                <w:sz w:val="20"/>
                <w:szCs w:val="20"/>
              </w:rPr>
            </w:pPr>
            <w:r w:rsidRPr="00131853">
              <w:rPr>
                <w:sz w:val="20"/>
                <w:szCs w:val="20"/>
              </w:rPr>
              <w:t xml:space="preserve">Manage guest </w:t>
            </w:r>
            <w:r>
              <w:rPr>
                <w:sz w:val="20"/>
                <w:szCs w:val="20"/>
              </w:rPr>
              <w:t>operating system</w:t>
            </w:r>
            <w:r w:rsidRPr="00131853">
              <w:rPr>
                <w:sz w:val="20"/>
                <w:szCs w:val="20"/>
              </w:rPr>
              <w:t xml:space="preserve"> updates</w:t>
            </w:r>
          </w:p>
        </w:tc>
        <w:tc>
          <w:tcPr>
            <w:tcW w:w="5940" w:type="dxa"/>
          </w:tcPr>
          <w:p w14:paraId="6840B29C" w14:textId="77777777" w:rsidR="00E0205E" w:rsidRPr="00131853" w:rsidRDefault="00872E47" w:rsidP="00E0205E">
            <w:pPr>
              <w:cnfStyle w:val="000000000000" w:firstRow="0" w:lastRow="0" w:firstColumn="0" w:lastColumn="0" w:oddVBand="0" w:evenVBand="0" w:oddHBand="0" w:evenHBand="0" w:firstRowFirstColumn="0" w:firstRowLastColumn="0" w:lastRowFirstColumn="0" w:lastRowLastColumn="0"/>
              <w:rPr>
                <w:sz w:val="20"/>
                <w:szCs w:val="20"/>
              </w:rPr>
            </w:pPr>
            <w:hyperlink r:id="rId302" w:history="1">
              <w:r w:rsidR="00E0205E" w:rsidRPr="00131853">
                <w:rPr>
                  <w:rStyle w:val="Hyperlink"/>
                  <w:sz w:val="20"/>
                  <w:szCs w:val="20"/>
                </w:rPr>
                <w:t>https://msdn.microsoft.com/en-us/library/azure/ff729422.aspx</w:t>
              </w:r>
            </w:hyperlink>
          </w:p>
        </w:tc>
      </w:tr>
      <w:tr w:rsidR="00E0205E" w:rsidRPr="00131853" w14:paraId="799B69D3" w14:textId="77777777" w:rsidTr="00E020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6" w:type="dxa"/>
          </w:tcPr>
          <w:p w14:paraId="47A1DEA7" w14:textId="28D9DD42" w:rsidR="00E0205E" w:rsidRPr="00131853" w:rsidRDefault="00E0205E" w:rsidP="00E0205E">
            <w:pPr>
              <w:spacing w:line="240" w:lineRule="auto"/>
              <w:rPr>
                <w:sz w:val="20"/>
                <w:szCs w:val="20"/>
              </w:rPr>
            </w:pPr>
            <w:r w:rsidRPr="00131853">
              <w:rPr>
                <w:sz w:val="20"/>
                <w:szCs w:val="20"/>
              </w:rPr>
              <w:t xml:space="preserve">Recommended practices for large scale </w:t>
            </w:r>
            <w:r>
              <w:rPr>
                <w:sz w:val="20"/>
                <w:szCs w:val="20"/>
              </w:rPr>
              <w:t>W</w:t>
            </w:r>
            <w:r w:rsidRPr="00131853">
              <w:rPr>
                <w:sz w:val="20"/>
                <w:szCs w:val="20"/>
              </w:rPr>
              <w:t xml:space="preserve">eb </w:t>
            </w:r>
            <w:r>
              <w:rPr>
                <w:sz w:val="20"/>
                <w:szCs w:val="20"/>
              </w:rPr>
              <w:t>A</w:t>
            </w:r>
            <w:r w:rsidRPr="00131853">
              <w:rPr>
                <w:sz w:val="20"/>
                <w:szCs w:val="20"/>
              </w:rPr>
              <w:t>pps</w:t>
            </w:r>
          </w:p>
        </w:tc>
        <w:tc>
          <w:tcPr>
            <w:tcW w:w="5934" w:type="dxa"/>
          </w:tcPr>
          <w:p w14:paraId="27E79066" w14:textId="77777777" w:rsidR="00E0205E" w:rsidRPr="00131853" w:rsidRDefault="00872E47" w:rsidP="00E0205E">
            <w:pPr>
              <w:cnfStyle w:val="000000100000" w:firstRow="0" w:lastRow="0" w:firstColumn="0" w:lastColumn="0" w:oddVBand="0" w:evenVBand="0" w:oddHBand="1" w:evenHBand="0" w:firstRowFirstColumn="0" w:firstRowLastColumn="0" w:lastRowFirstColumn="0" w:lastRowLastColumn="0"/>
              <w:rPr>
                <w:sz w:val="20"/>
                <w:szCs w:val="20"/>
              </w:rPr>
            </w:pPr>
            <w:hyperlink r:id="rId303" w:history="1">
              <w:r w:rsidR="00E0205E" w:rsidRPr="00131853">
                <w:rPr>
                  <w:rStyle w:val="Hyperlink"/>
                  <w:sz w:val="20"/>
                  <w:szCs w:val="20"/>
                </w:rPr>
                <w:t>https://msdn.microsoft.com/en-us/library/azure/jj717232</w:t>
              </w:r>
            </w:hyperlink>
          </w:p>
        </w:tc>
      </w:tr>
    </w:tbl>
    <w:p w14:paraId="5A37BC83" w14:textId="77777777" w:rsidR="003722E4" w:rsidRDefault="003722E4" w:rsidP="003722E4"/>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3722E4" w14:paraId="1C073BE2" w14:textId="77777777" w:rsidTr="002F63EE">
        <w:trPr>
          <w:trHeight w:val="423"/>
        </w:trPr>
        <w:tc>
          <w:tcPr>
            <w:tcW w:w="666" w:type="dxa"/>
          </w:tcPr>
          <w:p w14:paraId="16541E4F" w14:textId="77777777" w:rsidR="003722E4" w:rsidRDefault="003722E4" w:rsidP="002F63EE">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4AB85CAC" wp14:editId="06AE9B70">
                      <wp:extent cx="200025" cy="180975"/>
                      <wp:effectExtent l="57150" t="19050" r="28575" b="104775"/>
                      <wp:docPr id="41031" name="Octagon 41031"/>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7B45C1C" id="Octagon 41031"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iGydAIAAFIFAAAOAAAAZHJzL2Uyb0RvYy54bWysVF9r2zAQfx/sOwi9r7bTdG1DnBJSOgal&#10;LWtHnxVZSgSSTpOUONmn30l2nNAVCmMv0p3u/+/uNL3ZGU22wgcFtqbVWUmJsBwaZVc1/fly9+WK&#10;khCZbZgGK2q6F4HezD5/mrZuIkawBt0IT9CJDZPW1XQdo5sUReBrYVg4AycsCiV4wyKyflU0nrXo&#10;3ehiVJZfixZ84zxwEQK+3nZCOsv+pRQ8PkoZRCS6pphbzKfP5zKdxWzKJivP3FrxPg32D1kYpiwG&#10;HVzdssjIxqu/XBnFPQSQ8YyDKUBKxUWuAaupyjfVPK+ZE7kWBCe4Aabw/9zyh+2TJ6qp6bgqzytK&#10;LDPYpkce2Qos6R4RpNaFCeo+uyffcwHJVPFOepNurIXsMrD7AVixi4TjI3aqHF1QwlFUXZXXlxcJ&#10;+OJo7HyI3wQYkoiaQhc+I8q29yF22getFC6AVs2d0jozfrVcaE+2DNu8WGC03FkMcKJWpBq6rDMV&#10;91okY21/CIkQYJ5VjpiHTwz+GOfCxlGfcdZOZhJjD4bnHxv2+slU5MEcjEcfGw8WOTLYOBgbZcG/&#10;50DHqk9ZdvoI+EndiVxCs8fue+jWIjh+pxD/exbiE/O4B7gxuNvxEQ+pocXG9BQla/C/33tP+jie&#10;KKWkxb2qafi1YV5Qor9bHNzrajxOi5iZ8cXlCBl/KlmeSuzGLAB7ioOJ2WUy6Ud9IKUH84pfwDxF&#10;RRGzHGPXlEd/YBax23f8RLiYz7MaLp9j8d4+O37oehqul90r864fwojT+wCHHWSTN4PY6aZ+WJhv&#10;IkiVp/SIa483Lm4e9f6TST/DKZ+1jl/h7A8AAAD//wMAUEsDBBQABgAIAAAAIQCft0Tx2wAAAAMB&#10;AAAPAAAAZHJzL2Rvd25yZXYueG1sTI9BS8NAEIXvgv9hGcGb3aTSEtNsiggFD9JgtXjdZqdJaHY2&#10;7G6b+O8dvdjLwOM93vumWE+2Fxf0oXOkIJ0lIJBqZzpqFHx+bB4yECFqMrp3hAq+McC6vL0pdG7c&#10;SO942cVGcAmFXCtoYxxyKUPdotVh5gYk9o7OWx1Z+kYar0cut72cJ8lSWt0RL7R6wJcW69PubBVU&#10;p7F6zarq6ctvlts3b/ep3+6Vur+bnlcgIk7xPwy/+IwOJTMd3JlMEL0CfiT+XfYe0wWIg4J5tgBZ&#10;FvKavfwBAAD//wMAUEsBAi0AFAAGAAgAAAAhALaDOJL+AAAA4QEAABMAAAAAAAAAAAAAAAAAAAAA&#10;AFtDb250ZW50X1R5cGVzXS54bWxQSwECLQAUAAYACAAAACEAOP0h/9YAAACUAQAACwAAAAAAAAAA&#10;AAAAAAAvAQAAX3JlbHMvLnJlbHNQSwECLQAUAAYACAAAACEA+YohsnQCAABSBQAADgAAAAAAAAAA&#10;AAAAAAAuAgAAZHJzL2Uyb0RvYy54bWxQSwECLQAUAAYACAAAACEAn7dE8dsAAAADAQAADwAAAAAA&#10;AAAAAAAAAADOBAAAZHJzL2Rvd25yZXYueG1sUEsFBgAAAAAEAAQA8wAAANYFAAAAAA==&#10;" fillcolor="#c00" strokecolor="#ed7d31 [3205]" strokeweight=".5pt">
                      <w10:anchorlock/>
                    </v:shape>
                  </w:pict>
                </mc:Fallback>
              </mc:AlternateContent>
            </w:r>
          </w:p>
        </w:tc>
        <w:tc>
          <w:tcPr>
            <w:tcW w:w="8604" w:type="dxa"/>
          </w:tcPr>
          <w:p w14:paraId="341B7293" w14:textId="64036857" w:rsidR="003722E4" w:rsidRDefault="003722E4" w:rsidP="002F63EE">
            <w:pPr>
              <w:rPr>
                <w:lang w:eastAsia="en-US"/>
              </w:rPr>
            </w:pPr>
            <w:r w:rsidRPr="00192064">
              <w:rPr>
                <w:b/>
                <w:lang w:eastAsia="en-US"/>
              </w:rPr>
              <w:t>Mandatory</w:t>
            </w:r>
            <w:r>
              <w:rPr>
                <w:lang w:eastAsia="en-US"/>
              </w:rPr>
              <w:t xml:space="preserve">:  </w:t>
            </w:r>
            <w:r w:rsidR="00E0205E">
              <w:rPr>
                <w:lang w:eastAsia="en-US"/>
              </w:rPr>
              <w:t>Cloud services must contain all the assets, including code and other installations required to run the application. Everything must be included in the cloud service package, including scripts for installation</w:t>
            </w:r>
            <w:r>
              <w:rPr>
                <w:lang w:eastAsia="en-US"/>
              </w:rPr>
              <w:t>.</w:t>
            </w:r>
          </w:p>
        </w:tc>
      </w:tr>
      <w:tr w:rsidR="003722E4" w14:paraId="5D17EA3E" w14:textId="77777777" w:rsidTr="002F63EE">
        <w:trPr>
          <w:trHeight w:val="423"/>
        </w:trPr>
        <w:tc>
          <w:tcPr>
            <w:tcW w:w="666" w:type="dxa"/>
          </w:tcPr>
          <w:p w14:paraId="5C9115B5" w14:textId="77777777" w:rsidR="003722E4" w:rsidRDefault="003722E4" w:rsidP="002F63EE">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493376" behindDoc="0" locked="0" layoutInCell="1" allowOverlap="1" wp14:anchorId="2011AC5E" wp14:editId="738DC1DF">
                      <wp:simplePos x="0" y="0"/>
                      <wp:positionH relativeFrom="column">
                        <wp:posOffset>66675</wp:posOffset>
                      </wp:positionH>
                      <wp:positionV relativeFrom="paragraph">
                        <wp:posOffset>90170</wp:posOffset>
                      </wp:positionV>
                      <wp:extent cx="209550" cy="180975"/>
                      <wp:effectExtent l="57150" t="19050" r="57150" b="104775"/>
                      <wp:wrapNone/>
                      <wp:docPr id="41039" name="Isosceles Triangle 410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14DA2E37" id="Isosceles Triangle 41039" o:spid="_x0000_s1026" type="#_x0000_t5" style="position:absolute;margin-left:5.25pt;margin-top:7.1pt;width:16.5pt;height:14.25pt;z-index:25149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laaiQIAAHcFAAAOAAAAZHJzL2Uyb0RvYy54bWysVNtOGzEQfa/Uf7D8XnY3JEBWbFAESoUU&#10;ASpUPDteO7Hq9bi2c+vXd+y9QCkSUtV9sDw7Z8ZzOTOXV4dGk51wXoGpaHGSUyIMh1qZdUW/Py2+&#10;XFDiAzM102BERY/C06vZ50+Xe1uKEWxA18IRdGJ8ubcV3YRgyyzzfCMa5k/ACoNKCa5hAUW3zmrH&#10;9ui90dkoz8+yPbjaOuDCe/x70yrpLPmXUvBwL6UXgeiKYmwhnS6dq3hms0tWrh2zG8W7MNg/RNEw&#10;ZfDRwdUNC4xsnfrLVaO4Aw8ynHBoMpBScZFywGyK/E02jxtmRcoFi+PtUCb//9zyu92DI6qu6LjI&#10;T6eUGNZgm249eC608OTJKWbWWpBWj/XaW1+i2aN9cDFjb5fAf3hUZH9oouA7zEG6JmIxX3JIxT8O&#10;xReHQDj+HOXTyQRbxFFVXOTT80lsTsbK3tg6H74KaEi8VDR0gaWys93Shxbew1JsoFW9UFonwa1X&#10;19qRHUMuLPDLU/vxBf8CSzm0YacEwlGLaKzNNyGxThhokV5MDBWDP8a5MOGsCzmho5nEtwfD048N&#10;O3w0FYm9g/HoY+PBIr0MJgzGjTLg3nOgQ9GFLFt810Xf5h1LsIL6iBRx0M6Ot3yhsAFL5sMDczgs&#10;2DNcAOEeD6lhX1HobpRswP1673/EI4dRS8keh6+i/ueWOUGJvjXI7mkxHsdpTcJ4cj5Cwb3WrF5r&#10;zLa5BuxpgavG8nSN+KD7q3TQPOOemMdXUcUMx7cryoPrhevQLgXcNFzM5wmGE2pZWJpHy/uuR3I9&#10;HZ6Zsz0Lkb530A8qK98QscXGfhiYbwNIlVj6Uteu3jjdievdJorr47WcUC/7cvYbAAD//wMAUEsD&#10;BBQABgAIAAAAIQA1PEIw2QAAAAcBAAAPAAAAZHJzL2Rvd25yZXYueG1sTI7NTsMwEITvSLyDtUhc&#10;UOuQhrYKcSqEkiOqKDyAE29+hL2OYrcNb89ygtNoNKOZrzgszooLzmH0pOBxnYBAar0ZqVfw+VGv&#10;9iBC1GS09YQKvjHAoby9KXRu/JXe8XKKveARCrlWMMQ45VKGdkCnw9pPSJx1fnY6sp17aWZ95XFn&#10;ZZokW+n0SPww6AlfB2y/TmenwDfLsdvUu/1D7Sb71lVV5o6VUvd3y8sziIhL/CvDLz6jQ8lMjT+T&#10;CcKyT564yZqlIDjPNuwb1nQHsizkf/7yBwAA//8DAFBLAQItABQABgAIAAAAIQC2gziS/gAAAOEB&#10;AAATAAAAAAAAAAAAAAAAAAAAAABbQ29udGVudF9UeXBlc10ueG1sUEsBAi0AFAAGAAgAAAAhADj9&#10;If/WAAAAlAEAAAsAAAAAAAAAAAAAAAAALwEAAF9yZWxzLy5yZWxzUEsBAi0AFAAGAAgAAAAhALYy&#10;VpqJAgAAdwUAAA4AAAAAAAAAAAAAAAAALgIAAGRycy9lMm9Eb2MueG1sUEsBAi0AFAAGAAgAAAAh&#10;ADU8QjDZAAAABwEAAA8AAAAAAAAAAAAAAAAA4wQAAGRycy9kb3ducmV2LnhtbFBLBQYAAAAABAAE&#10;APMAAADpBQAAAAA=&#10;" fillcolor="yellow" strokecolor="#70ad47 [3209]" strokeweight=".5pt">
                      <v:path arrowok="t"/>
                    </v:shape>
                  </w:pict>
                </mc:Fallback>
              </mc:AlternateContent>
            </w:r>
          </w:p>
        </w:tc>
        <w:tc>
          <w:tcPr>
            <w:tcW w:w="8604" w:type="dxa"/>
          </w:tcPr>
          <w:p w14:paraId="44FA9AF8" w14:textId="3BA9281B" w:rsidR="003722E4" w:rsidRDefault="003722E4" w:rsidP="002F63EE">
            <w:pPr>
              <w:rPr>
                <w:lang w:eastAsia="en-US"/>
              </w:rPr>
            </w:pPr>
            <w:r>
              <w:rPr>
                <w:rFonts w:eastAsiaTheme="minorHAnsi"/>
                <w:b/>
                <w:lang w:eastAsia="en-US"/>
              </w:rPr>
              <w:t xml:space="preserve">Recommended: </w:t>
            </w:r>
            <w:r>
              <w:rPr>
                <w:rFonts w:eastAsiaTheme="minorHAnsi"/>
                <w:lang w:eastAsia="en-US"/>
              </w:rPr>
              <w:t xml:space="preserve"> </w:t>
            </w:r>
            <w:r w:rsidR="00E0205E">
              <w:rPr>
                <w:rFonts w:eastAsiaTheme="minorHAnsi"/>
                <w:lang w:eastAsia="en-US"/>
              </w:rPr>
              <w:t>Give consideration to deployment models that will be used when updating the application. There are a few options to understand, and they each have pros and cons</w:t>
            </w:r>
            <w:r>
              <w:rPr>
                <w:rFonts w:eastAsiaTheme="minorHAnsi"/>
                <w:lang w:eastAsia="en-US"/>
              </w:rPr>
              <w:t>.</w:t>
            </w:r>
          </w:p>
        </w:tc>
      </w:tr>
      <w:tr w:rsidR="003722E4" w14:paraId="4543E1B6" w14:textId="77777777" w:rsidTr="002F63EE">
        <w:trPr>
          <w:trHeight w:val="423"/>
        </w:trPr>
        <w:tc>
          <w:tcPr>
            <w:tcW w:w="666" w:type="dxa"/>
          </w:tcPr>
          <w:p w14:paraId="798237AB" w14:textId="77777777" w:rsidR="003722E4" w:rsidRDefault="003722E4" w:rsidP="002F63EE">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508736" behindDoc="0" locked="0" layoutInCell="1" allowOverlap="1" wp14:anchorId="7E5D9C97" wp14:editId="20536BF8">
                      <wp:simplePos x="0" y="0"/>
                      <wp:positionH relativeFrom="column">
                        <wp:posOffset>66675</wp:posOffset>
                      </wp:positionH>
                      <wp:positionV relativeFrom="paragraph">
                        <wp:posOffset>90170</wp:posOffset>
                      </wp:positionV>
                      <wp:extent cx="180975" cy="180975"/>
                      <wp:effectExtent l="57150" t="19050" r="9525" b="104775"/>
                      <wp:wrapNone/>
                      <wp:docPr id="41042" name="Oval 410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4DBCDEC2" id="Oval 41042" o:spid="_x0000_s1026" style="position:absolute;margin-left:5.25pt;margin-top:7.1pt;width:14.25pt;height:14.25pt;z-index:25150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0Fs4fgIAAGgFAAAOAAAAZHJzL2Uyb0RvYy54bWysVN9P2zAQfp+0/8Hy+0hSyoCIFHUgpkkV&#10;oMHEs+vYrTXb59lu0+6v39lJAxuTkKa9WD7fdz/93V1c7owmW+GDAtvQ6qikRFgOrbKrhn57vPlw&#10;RkmIzLZMgxUN3YtAL2fv3110rhYTWINuhSfoxIa6cw1dx+jqogh8LQwLR+CERaUEb1hE0a+K1rMO&#10;vRtdTMryY9GBb50HLkLA1+teSWfZv5SCxzspg4hENxRzi/n0+Vyms5hdsHrlmVsrPqTB/iELw5TF&#10;oKOraxYZ2Xj1ypVR3EMAGY84mAKkVFzkGrCaqvyjmoc1cyLXgs0JbmxT+H9u+e323hPVNnRaldMJ&#10;JZYZ/Ka7LdOkf8EOdS7UCHxw9z7VGNwC+PeAiuI3TRLCgNlJbxIWKyS73O792G6xi4TjY3VWnp+e&#10;UMJRNdyTT1YfjJ0P8bMAQ9KloUJr5UJqCKvZdhFijz6gcmqgVXujtM6CXy2vtCdYC8YuP5Un+b8x&#10;QHiG5RL6rHP+ca9FMtb2q5DYmJRnjpgpKUZ/jHNh43EiEDrM6GQmMfZoePy24YBPpiLTdTSevG08&#10;WuTIYONobJQF/zcHOlZDyrLHD58Y+rpTC5bQ7pETHvphCY7fKOz/goV4zzxOB84RTny8w0Nq6BoK&#10;w42SNfiff3tPeCQtainpcNoaGn5smBeU6C8W6XxeTadpPLMwPTmdoOBfapYvNXZjrgD/tMLd4ni+&#10;JnzUh6v0YJ5wMcxTVFQxyzF2Q3n0B+Eq9lsAVwsX83mG4Ug6Fhf2wfHDrydyPe6emHcDCSOy9xYO&#10;k/mKiD02/YeF+SaCVJmlz30d+o3jnIkzrJ60L17KGfW8IGe/AAAA//8DAFBLAwQUAAYACAAAACEA&#10;whqfIt4AAAAHAQAADwAAAGRycy9kb3ducmV2LnhtbEyPQUvDQBCF74L/YRnBi9hNYqs2ZlNEEBS9&#10;mFbU2zQ7JsHsbMhu2/jvHU96Gh7v8eZ7xWpyvdrTGDrPBtJZAoq49rbjxsBmfX9+DSpEZIu9ZzLw&#10;TQFW5fFRgbn1B36hfRUbJSUccjTQxjjkWoe6JYdh5gdi8T796DCKHBttRzxIuet1liSX2mHH8qHF&#10;ge5aqr+qnTPwUW2e3Tp9cm+P6cOCzt77JdpXY05PptsbUJGm+BeGX3xBh1KYtn7HNqhedLKQpNx5&#10;Bkr8i6VM2xqYZ1egy0L/5y9/AAAA//8DAFBLAQItABQABgAIAAAAIQC2gziS/gAAAOEBAAATAAAA&#10;AAAAAAAAAAAAAAAAAABbQ29udGVudF9UeXBlc10ueG1sUEsBAi0AFAAGAAgAAAAhADj9If/WAAAA&#10;lAEAAAsAAAAAAAAAAAAAAAAALwEAAF9yZWxzLy5yZWxzUEsBAi0AFAAGAAgAAAAhAHnQWzh+AgAA&#10;aAUAAA4AAAAAAAAAAAAAAAAALgIAAGRycy9lMm9Eb2MueG1sUEsBAi0AFAAGAAgAAAAhAMIanyLe&#10;AAAABwEAAA8AAAAAAAAAAAAAAAAA2AQAAGRycy9kb3ducmV2LnhtbFBLBQYAAAAABAAEAPMAAADj&#10;BQAAAAA=&#10;" fillcolor="#00b050" strokecolor="#a5a5a5 [3206]" strokeweight=".5pt">
                      <v:stroke joinstyle="miter"/>
                      <v:path arrowok="t"/>
                    </v:oval>
                  </w:pict>
                </mc:Fallback>
              </mc:AlternateContent>
            </w:r>
          </w:p>
        </w:tc>
        <w:tc>
          <w:tcPr>
            <w:tcW w:w="8604" w:type="dxa"/>
          </w:tcPr>
          <w:p w14:paraId="139E9196" w14:textId="66CF3156" w:rsidR="003722E4" w:rsidRDefault="003722E4" w:rsidP="002F63EE">
            <w:pPr>
              <w:rPr>
                <w:lang w:eastAsia="en-US"/>
              </w:rPr>
            </w:pPr>
            <w:r>
              <w:rPr>
                <w:rFonts w:eastAsiaTheme="minorHAnsi"/>
                <w:b/>
                <w:lang w:eastAsia="en-US"/>
              </w:rPr>
              <w:t xml:space="preserve">Optional: </w:t>
            </w:r>
            <w:r>
              <w:rPr>
                <w:rFonts w:eastAsiaTheme="minorHAnsi"/>
                <w:lang w:eastAsia="en-US"/>
              </w:rPr>
              <w:t xml:space="preserve"> </w:t>
            </w:r>
            <w:r w:rsidR="00E0205E">
              <w:rPr>
                <w:rFonts w:eastAsiaTheme="minorHAnsi"/>
                <w:lang w:eastAsia="en-US"/>
              </w:rPr>
              <w:t>Cloud services can contain multiple running deployments in the form of production and testing or staging</w:t>
            </w:r>
            <w:r>
              <w:rPr>
                <w:rFonts w:eastAsiaTheme="minorHAnsi"/>
                <w:lang w:eastAsia="en-US"/>
              </w:rPr>
              <w:t>.</w:t>
            </w:r>
          </w:p>
        </w:tc>
      </w:tr>
    </w:tbl>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3722E4" w14:paraId="557B8858" w14:textId="77777777" w:rsidTr="002F63EE">
        <w:tc>
          <w:tcPr>
            <w:tcW w:w="9360" w:type="dxa"/>
            <w:shd w:val="clear" w:color="auto" w:fill="008AC8"/>
          </w:tcPr>
          <w:p w14:paraId="3B7D6AEB" w14:textId="77777777" w:rsidR="003722E4" w:rsidRPr="00F47607" w:rsidRDefault="003722E4" w:rsidP="002F63EE">
            <w:pPr>
              <w:spacing w:line="240" w:lineRule="auto"/>
              <w:rPr>
                <w:color w:val="FFFFFF"/>
              </w:rPr>
            </w:pPr>
            <w:r>
              <w:rPr>
                <w:color w:val="FFFFFF"/>
              </w:rPr>
              <w:t>Design Guidance</w:t>
            </w:r>
          </w:p>
        </w:tc>
      </w:tr>
    </w:tbl>
    <w:p w14:paraId="3C81877B" w14:textId="77777777" w:rsidR="00E852EF" w:rsidRDefault="00E852EF" w:rsidP="00E852EF">
      <w:r>
        <w:t xml:space="preserve">It is best to understand that Azure Cloud Services, in the simplest form, provide a container or package wrapper for applications that are deployed to Azure. This type of application deployment model is not necessarily new. You will find similar models in client applications, such as the .appx format used by modern Windows applications. </w:t>
      </w:r>
    </w:p>
    <w:p w14:paraId="5037582B" w14:textId="77777777" w:rsidR="00E852EF" w:rsidRDefault="00E852EF" w:rsidP="00E852EF">
      <w:r>
        <w:t>The core idea is to build, version, and deploy the service package as a unit. This will make it easier for the DevOps or release management team to deploy updates to the application and to roll back if there are unforeseen side effects from an application update.</w:t>
      </w:r>
    </w:p>
    <w:p w14:paraId="6CE54867" w14:textId="763E4555" w:rsidR="003722E4" w:rsidRDefault="00E852EF" w:rsidP="00E852EF">
      <w:r>
        <w:t>It is also important to realize that scaling Azure Cloud Services in the PaaS model is trivial. Because the application and service definition are wrapped in a package, deploying more instances of this is simply a matter of telling the Azure platform how many instances you want</w:t>
      </w:r>
      <w:r w:rsidR="003722E4">
        <w:t>.</w:t>
      </w:r>
    </w:p>
    <w:p w14:paraId="7AA5D466" w14:textId="77777777" w:rsidR="003722E4" w:rsidRPr="00D1718C" w:rsidRDefault="003722E4" w:rsidP="005729D2">
      <w:pPr>
        <w:pStyle w:val="Heading3Numbered"/>
        <w:numPr>
          <w:ilvl w:val="2"/>
          <w:numId w:val="64"/>
        </w:numPr>
      </w:pPr>
      <w:bookmarkStart w:id="3300" w:name="_Toc417933806"/>
      <w:bookmarkStart w:id="3301" w:name="_Toc417935747"/>
      <w:bookmarkStart w:id="3302" w:name="_Toc418014631"/>
      <w:bookmarkStart w:id="3303" w:name="_Toc418029967"/>
      <w:bookmarkStart w:id="3304" w:name="_Toc418036903"/>
      <w:bookmarkStart w:id="3305" w:name="_Toc418061379"/>
      <w:bookmarkStart w:id="3306" w:name="_Toc418081257"/>
      <w:bookmarkStart w:id="3307" w:name="_Toc418081907"/>
      <w:bookmarkStart w:id="3308" w:name="_Toc418083310"/>
      <w:bookmarkStart w:id="3309" w:name="_Toc418096053"/>
      <w:bookmarkStart w:id="3310" w:name="_Toc418156698"/>
      <w:bookmarkStart w:id="3311" w:name="_Toc418167617"/>
      <w:bookmarkStart w:id="3312" w:name="_Toc418185873"/>
      <w:bookmarkStart w:id="3313" w:name="_Toc422941583"/>
      <w:bookmarkStart w:id="3314" w:name="_Toc423116789"/>
      <w:bookmarkStart w:id="3315" w:name="_Toc423117822"/>
      <w:bookmarkStart w:id="3316" w:name="_Toc423117272"/>
      <w:bookmarkStart w:id="3317" w:name="_Toc431288864"/>
      <w:r>
        <w:t>Web and Worker Roles</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tbl>
      <w:tblPr>
        <w:tblStyle w:val="PlainTable11"/>
        <w:tblW w:w="0" w:type="auto"/>
        <w:tblLook w:val="04A0" w:firstRow="1" w:lastRow="0" w:firstColumn="1" w:lastColumn="0" w:noHBand="0" w:noVBand="1"/>
      </w:tblPr>
      <w:tblGrid>
        <w:gridCol w:w="1979"/>
        <w:gridCol w:w="7371"/>
      </w:tblGrid>
      <w:tr w:rsidR="00131853" w:rsidRPr="00131853" w14:paraId="7B5C8B31" w14:textId="77777777" w:rsidTr="00E852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dxa"/>
            <w:shd w:val="clear" w:color="auto" w:fill="808080" w:themeFill="background1" w:themeFillShade="80"/>
          </w:tcPr>
          <w:p w14:paraId="0FC79D4F" w14:textId="77777777" w:rsidR="003722E4" w:rsidRPr="00131853" w:rsidRDefault="003722E4" w:rsidP="002F63EE">
            <w:pPr>
              <w:rPr>
                <w:color w:val="FFFFFF" w:themeColor="background1"/>
              </w:rPr>
            </w:pPr>
            <w:r w:rsidRPr="00131853">
              <w:rPr>
                <w:color w:val="FFFFFF" w:themeColor="background1"/>
              </w:rPr>
              <w:t>Application Type</w:t>
            </w:r>
          </w:p>
        </w:tc>
        <w:tc>
          <w:tcPr>
            <w:tcW w:w="7371" w:type="dxa"/>
            <w:shd w:val="clear" w:color="auto" w:fill="808080" w:themeFill="background1" w:themeFillShade="80"/>
          </w:tcPr>
          <w:p w14:paraId="77EA877C" w14:textId="77777777" w:rsidR="003722E4" w:rsidRPr="00131853" w:rsidRDefault="003722E4" w:rsidP="002F63EE">
            <w:pPr>
              <w:cnfStyle w:val="100000000000" w:firstRow="1" w:lastRow="0" w:firstColumn="0" w:lastColumn="0" w:oddVBand="0" w:evenVBand="0" w:oddHBand="0" w:evenHBand="0" w:firstRowFirstColumn="0" w:firstRowLastColumn="0" w:lastRowFirstColumn="0" w:lastRowLastColumn="0"/>
              <w:rPr>
                <w:color w:val="FFFFFF" w:themeColor="background1"/>
              </w:rPr>
            </w:pPr>
            <w:r w:rsidRPr="00131853">
              <w:rPr>
                <w:color w:val="FFFFFF" w:themeColor="background1"/>
              </w:rPr>
              <w:t>Description</w:t>
            </w:r>
          </w:p>
        </w:tc>
      </w:tr>
      <w:tr w:rsidR="00E852EF" w14:paraId="6EBA0786" w14:textId="77777777" w:rsidTr="00E852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dxa"/>
          </w:tcPr>
          <w:p w14:paraId="2854CD6A" w14:textId="6A14D0C8" w:rsidR="00E852EF" w:rsidRDefault="00E852EF" w:rsidP="00E852EF">
            <w:r w:rsidRPr="00057354">
              <w:rPr>
                <w:sz w:val="20"/>
                <w:szCs w:val="20"/>
              </w:rPr>
              <w:t>Web role</w:t>
            </w:r>
          </w:p>
        </w:tc>
        <w:tc>
          <w:tcPr>
            <w:tcW w:w="7371" w:type="dxa"/>
          </w:tcPr>
          <w:p w14:paraId="585923AA" w14:textId="32D76DB7" w:rsidR="00E852EF" w:rsidRDefault="00E852EF" w:rsidP="00E852EF">
            <w:pPr>
              <w:cnfStyle w:val="000000100000" w:firstRow="0" w:lastRow="0" w:firstColumn="0" w:lastColumn="0" w:oddVBand="0" w:evenVBand="0" w:oddHBand="1" w:evenHBand="0" w:firstRowFirstColumn="0" w:firstRowLastColumn="0" w:lastRowFirstColumn="0" w:lastRowLastColumn="0"/>
            </w:pPr>
            <w:r w:rsidRPr="00057354">
              <w:rPr>
                <w:sz w:val="20"/>
                <w:szCs w:val="20"/>
              </w:rPr>
              <w:t>This role is used primarily to host and support applications that target IIS and ASP.NET. The role is provisioned with IIS installed, and it can be used to host front-end, web-based applications.</w:t>
            </w:r>
          </w:p>
        </w:tc>
      </w:tr>
      <w:tr w:rsidR="00E852EF" w14:paraId="38FC0039" w14:textId="77777777" w:rsidTr="00E852EF">
        <w:tc>
          <w:tcPr>
            <w:cnfStyle w:val="001000000000" w:firstRow="0" w:lastRow="0" w:firstColumn="1" w:lastColumn="0" w:oddVBand="0" w:evenVBand="0" w:oddHBand="0" w:evenHBand="0" w:firstRowFirstColumn="0" w:firstRowLastColumn="0" w:lastRowFirstColumn="0" w:lastRowLastColumn="0"/>
            <w:tcW w:w="1979" w:type="dxa"/>
          </w:tcPr>
          <w:p w14:paraId="71BF868E" w14:textId="3B632DFB" w:rsidR="00E852EF" w:rsidRDefault="00E852EF" w:rsidP="00E852EF">
            <w:r w:rsidRPr="00057354">
              <w:rPr>
                <w:sz w:val="20"/>
                <w:szCs w:val="20"/>
              </w:rPr>
              <w:t>Worker role</w:t>
            </w:r>
          </w:p>
        </w:tc>
        <w:tc>
          <w:tcPr>
            <w:tcW w:w="7371" w:type="dxa"/>
          </w:tcPr>
          <w:p w14:paraId="5B99DE8F" w14:textId="65720FDE" w:rsidR="00E852EF" w:rsidRDefault="00E852EF" w:rsidP="00E852EF">
            <w:pPr>
              <w:cnfStyle w:val="000000000000" w:firstRow="0" w:lastRow="0" w:firstColumn="0" w:lastColumn="0" w:oddVBand="0" w:evenVBand="0" w:oddHBand="0" w:evenHBand="0" w:firstRowFirstColumn="0" w:firstRowLastColumn="0" w:lastRowFirstColumn="0" w:lastRowLastColumn="0"/>
            </w:pPr>
            <w:r w:rsidRPr="00057354">
              <w:rPr>
                <w:sz w:val="20"/>
                <w:szCs w:val="20"/>
              </w:rPr>
              <w:t>This role is used primarily to host and support service applications. These applications target back-end processing workloads. They can be long running processes and can be thought of as providing services in the cloud.</w:t>
            </w:r>
          </w:p>
        </w:tc>
      </w:tr>
    </w:tbl>
    <w:p w14:paraId="4110FA72" w14:textId="77777777" w:rsidR="00E852EF" w:rsidRDefault="00E852EF" w:rsidP="00E852EF">
      <w:r>
        <w:t>It is important to remember that web and worker roles have dedicated underlying virtual machines per instance. Typically, this is transparent to the consumer, but it’s particularly important from a diagnostics perspective. You can enable and log on to the underlying virtual machine if needed; however, this option is disabled by default.</w:t>
      </w:r>
    </w:p>
    <w:p w14:paraId="4364C7C6" w14:textId="77777777" w:rsidR="00E852EF" w:rsidRDefault="00E852EF" w:rsidP="00E852EF">
      <w:r>
        <w:t>Important things to keep in mind when deploying to the PaaS model are:</w:t>
      </w:r>
    </w:p>
    <w:p w14:paraId="0C50C10A" w14:textId="77777777" w:rsidR="00E852EF" w:rsidRDefault="00E852EF" w:rsidP="005729D2">
      <w:pPr>
        <w:pStyle w:val="ListParagraph"/>
        <w:numPr>
          <w:ilvl w:val="0"/>
          <w:numId w:val="18"/>
        </w:numPr>
      </w:pPr>
      <w:r>
        <w:t xml:space="preserve">Additional components and software can be installed on the PaaS instances. This is accomplished via startup scripts. </w:t>
      </w:r>
    </w:p>
    <w:p w14:paraId="110A4266" w14:textId="77777777" w:rsidR="00E852EF" w:rsidRDefault="00E852EF" w:rsidP="005729D2">
      <w:pPr>
        <w:pStyle w:val="ListParagraph"/>
        <w:numPr>
          <w:ilvl w:val="0"/>
          <w:numId w:val="18"/>
        </w:numPr>
      </w:pPr>
      <w:r>
        <w:t>There will most likely be some changes to the application when you migrate from an existing on-premises or private cloud deployment. At the very least, you will be repackaging the application in the cloud service.</w:t>
      </w:r>
    </w:p>
    <w:p w14:paraId="51A20B82" w14:textId="77777777" w:rsidR="00E852EF" w:rsidRDefault="00E852EF" w:rsidP="005729D2">
      <w:pPr>
        <w:pStyle w:val="ListParagraph"/>
        <w:numPr>
          <w:ilvl w:val="0"/>
          <w:numId w:val="18"/>
        </w:numPr>
      </w:pPr>
      <w:r>
        <w:t xml:space="preserve">It’s important to consider session affinity and session state management when deploying applications to the cloud. </w:t>
      </w:r>
    </w:p>
    <w:p w14:paraId="5F9C92BA" w14:textId="50A06CDE" w:rsidR="003722E4" w:rsidRDefault="00E852EF" w:rsidP="005729D2">
      <w:pPr>
        <w:pStyle w:val="ListParagraph"/>
        <w:numPr>
          <w:ilvl w:val="0"/>
          <w:numId w:val="18"/>
        </w:numPr>
      </w:pPr>
      <w:r>
        <w:t>You should consider how upgrade domains are configured with the PaaS application. This affects how deployments are rolled out to PaaS workloads</w:t>
      </w:r>
      <w:r w:rsidR="003722E4">
        <w:t>.</w:t>
      </w:r>
    </w:p>
    <w:p w14:paraId="14B5DD43" w14:textId="77777777" w:rsidR="003722E4" w:rsidRPr="00E81F98" w:rsidRDefault="003722E4" w:rsidP="003722E4">
      <w:pPr>
        <w:rPr>
          <w:i/>
        </w:rPr>
      </w:pPr>
    </w:p>
    <w:tbl>
      <w:tblPr>
        <w:tblStyle w:val="PlainTable11"/>
        <w:tblW w:w="0" w:type="auto"/>
        <w:tblLook w:val="04A0" w:firstRow="1" w:lastRow="0" w:firstColumn="1" w:lastColumn="0" w:noHBand="0" w:noVBand="1"/>
      </w:tblPr>
      <w:tblGrid>
        <w:gridCol w:w="3416"/>
        <w:gridCol w:w="5934"/>
      </w:tblGrid>
      <w:tr w:rsidR="003722E4" w14:paraId="3F0B3398" w14:textId="77777777" w:rsidTr="00E852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808080" w:themeFill="background1" w:themeFillShade="80"/>
          </w:tcPr>
          <w:p w14:paraId="1FF61834" w14:textId="77777777" w:rsidR="003722E4" w:rsidRPr="00F47607" w:rsidRDefault="003722E4" w:rsidP="002F63EE">
            <w:pPr>
              <w:spacing w:line="240" w:lineRule="auto"/>
              <w:rPr>
                <w:color w:val="FFFFFF"/>
              </w:rPr>
            </w:pPr>
            <w:r>
              <w:rPr>
                <w:color w:val="FFFFFF"/>
              </w:rPr>
              <w:t>Feature References</w:t>
            </w:r>
          </w:p>
        </w:tc>
      </w:tr>
      <w:tr w:rsidR="00E852EF" w14:paraId="115123F0"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2BC72A9B" w14:textId="4A986B19" w:rsidR="00E852EF" w:rsidRPr="001E5AC2" w:rsidRDefault="00E852EF" w:rsidP="00E852EF">
            <w:pPr>
              <w:spacing w:line="240" w:lineRule="auto"/>
              <w:rPr>
                <w:sz w:val="20"/>
                <w:szCs w:val="20"/>
              </w:rPr>
            </w:pPr>
            <w:r w:rsidRPr="001E5AC2">
              <w:rPr>
                <w:sz w:val="20"/>
                <w:szCs w:val="20"/>
              </w:rPr>
              <w:t>Web and worker role</w:t>
            </w:r>
            <w:r>
              <w:rPr>
                <w:sz w:val="20"/>
                <w:szCs w:val="20"/>
              </w:rPr>
              <w:t>s</w:t>
            </w:r>
          </w:p>
        </w:tc>
        <w:tc>
          <w:tcPr>
            <w:tcW w:w="5940" w:type="dxa"/>
          </w:tcPr>
          <w:p w14:paraId="12BA54BA" w14:textId="77777777" w:rsidR="00E852EF" w:rsidRPr="001E5AC2" w:rsidRDefault="00872E47" w:rsidP="00E852EF">
            <w:pPr>
              <w:cnfStyle w:val="000000100000" w:firstRow="0" w:lastRow="0" w:firstColumn="0" w:lastColumn="0" w:oddVBand="0" w:evenVBand="0" w:oddHBand="1" w:evenHBand="0" w:firstRowFirstColumn="0" w:firstRowLastColumn="0" w:lastRowFirstColumn="0" w:lastRowLastColumn="0"/>
              <w:rPr>
                <w:sz w:val="20"/>
                <w:szCs w:val="20"/>
              </w:rPr>
            </w:pPr>
            <w:hyperlink r:id="rId304" w:history="1">
              <w:r w:rsidR="00E852EF" w:rsidRPr="001E5AC2">
                <w:rPr>
                  <w:rStyle w:val="Hyperlink"/>
                  <w:sz w:val="20"/>
                  <w:szCs w:val="20"/>
                </w:rPr>
                <w:t>https://msdn.microsoft.com/en-us/library/azure/hh180152.aspx</w:t>
              </w:r>
            </w:hyperlink>
          </w:p>
        </w:tc>
      </w:tr>
      <w:tr w:rsidR="00E852EF" w14:paraId="4CEDF1C9" w14:textId="77777777" w:rsidTr="00E852EF">
        <w:tc>
          <w:tcPr>
            <w:cnfStyle w:val="001000000000" w:firstRow="0" w:lastRow="0" w:firstColumn="1" w:lastColumn="0" w:oddVBand="0" w:evenVBand="0" w:oddHBand="0" w:evenHBand="0" w:firstRowFirstColumn="0" w:firstRowLastColumn="0" w:lastRowFirstColumn="0" w:lastRowLastColumn="0"/>
            <w:tcW w:w="3416" w:type="dxa"/>
          </w:tcPr>
          <w:p w14:paraId="70DC62C9" w14:textId="557ADE82" w:rsidR="00E852EF" w:rsidRPr="00F47607" w:rsidRDefault="00E852EF" w:rsidP="00E852EF">
            <w:pPr>
              <w:spacing w:line="240" w:lineRule="auto"/>
              <w:rPr>
                <w:sz w:val="20"/>
              </w:rPr>
            </w:pPr>
            <w:r w:rsidRPr="001E5AC2">
              <w:rPr>
                <w:sz w:val="20"/>
                <w:szCs w:val="20"/>
              </w:rPr>
              <w:t xml:space="preserve">IIS </w:t>
            </w:r>
            <w:r>
              <w:rPr>
                <w:sz w:val="20"/>
                <w:szCs w:val="20"/>
              </w:rPr>
              <w:t>c</w:t>
            </w:r>
            <w:r w:rsidRPr="001E5AC2">
              <w:rPr>
                <w:sz w:val="20"/>
                <w:szCs w:val="20"/>
              </w:rPr>
              <w:t>onfiguration in PaaS</w:t>
            </w:r>
          </w:p>
        </w:tc>
        <w:tc>
          <w:tcPr>
            <w:tcW w:w="5934" w:type="dxa"/>
          </w:tcPr>
          <w:p w14:paraId="51C6A67D" w14:textId="77777777" w:rsidR="00E852EF" w:rsidRPr="001E5AC2" w:rsidRDefault="00872E47" w:rsidP="00E852EF">
            <w:pPr>
              <w:cnfStyle w:val="000000000000" w:firstRow="0" w:lastRow="0" w:firstColumn="0" w:lastColumn="0" w:oddVBand="0" w:evenVBand="0" w:oddHBand="0" w:evenHBand="0" w:firstRowFirstColumn="0" w:firstRowLastColumn="0" w:lastRowFirstColumn="0" w:lastRowLastColumn="0"/>
              <w:rPr>
                <w:sz w:val="20"/>
                <w:szCs w:val="20"/>
              </w:rPr>
            </w:pPr>
            <w:hyperlink r:id="rId305" w:history="1">
              <w:r w:rsidR="00E852EF" w:rsidRPr="001E5AC2">
                <w:rPr>
                  <w:rStyle w:val="Hyperlink"/>
                  <w:sz w:val="20"/>
                  <w:szCs w:val="20"/>
                </w:rPr>
                <w:t>https://msdn.microsoft.com/en-us/library/azure/gg433059.aspx</w:t>
              </w:r>
            </w:hyperlink>
          </w:p>
        </w:tc>
      </w:tr>
      <w:tr w:rsidR="00E852EF" w14:paraId="7DF1732F" w14:textId="77777777" w:rsidTr="00E852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6" w:type="dxa"/>
          </w:tcPr>
          <w:p w14:paraId="5F6186D5" w14:textId="3865C5DD" w:rsidR="00E852EF" w:rsidRDefault="00E852EF" w:rsidP="00E852EF">
            <w:pPr>
              <w:spacing w:line="240" w:lineRule="auto"/>
              <w:rPr>
                <w:sz w:val="20"/>
              </w:rPr>
            </w:pPr>
            <w:r w:rsidRPr="001E5AC2">
              <w:rPr>
                <w:sz w:val="20"/>
                <w:szCs w:val="20"/>
              </w:rPr>
              <w:t>Configure web role with multiple sites</w:t>
            </w:r>
          </w:p>
        </w:tc>
        <w:tc>
          <w:tcPr>
            <w:tcW w:w="5934" w:type="dxa"/>
          </w:tcPr>
          <w:p w14:paraId="3B7E78EA" w14:textId="77777777" w:rsidR="00E852EF" w:rsidRPr="001E5AC2" w:rsidRDefault="00872E47" w:rsidP="00E852EF">
            <w:pPr>
              <w:cnfStyle w:val="000000100000" w:firstRow="0" w:lastRow="0" w:firstColumn="0" w:lastColumn="0" w:oddVBand="0" w:evenVBand="0" w:oddHBand="1" w:evenHBand="0" w:firstRowFirstColumn="0" w:firstRowLastColumn="0" w:lastRowFirstColumn="0" w:lastRowLastColumn="0"/>
              <w:rPr>
                <w:sz w:val="20"/>
                <w:szCs w:val="20"/>
              </w:rPr>
            </w:pPr>
            <w:hyperlink r:id="rId306" w:history="1">
              <w:r w:rsidR="00E852EF" w:rsidRPr="001E5AC2">
                <w:rPr>
                  <w:rStyle w:val="Hyperlink"/>
                  <w:sz w:val="20"/>
                  <w:szCs w:val="20"/>
                </w:rPr>
                <w:t>https://msdn.microsoft.com/en-us/library/azure/gg433110.aspx</w:t>
              </w:r>
            </w:hyperlink>
          </w:p>
        </w:tc>
      </w:tr>
    </w:tbl>
    <w:p w14:paraId="32DCCB89" w14:textId="77777777" w:rsidR="003722E4" w:rsidRDefault="003722E4" w:rsidP="003722E4"/>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3722E4" w14:paraId="67A4BE1A" w14:textId="77777777" w:rsidTr="002F63EE">
        <w:trPr>
          <w:trHeight w:val="423"/>
        </w:trPr>
        <w:tc>
          <w:tcPr>
            <w:tcW w:w="666" w:type="dxa"/>
          </w:tcPr>
          <w:p w14:paraId="29AB2F82" w14:textId="77777777" w:rsidR="003722E4" w:rsidRDefault="003722E4" w:rsidP="002F63EE">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79F39A5C" wp14:editId="3B61C88F">
                      <wp:extent cx="200025" cy="180975"/>
                      <wp:effectExtent l="57150" t="19050" r="28575" b="104775"/>
                      <wp:docPr id="41043" name="Octagon 41043"/>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B74001E" id="Octagon 41043"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mNbdAIAAFIFAAAOAAAAZHJzL2Uyb0RvYy54bWysVN1r2zAQfx/sfxB6X22n6dqGOCWkdAxK&#10;W9aOPiuylAgknSYpcbK/fifZcUJXKIy92He6331/TG92RpOt8EGBrWl1VlIiLIdG2VVNf77cfbmi&#10;JERmG6bBipruRaA3s8+fpq2biBGsQTfCEzRiw6R1NV3H6CZFEfhaGBbOwAmLQgnesIisXxWNZy1a&#10;N7oYleXXogXfOA9chICvt52QzrJ9KQWPj1IGEYmuKcYW89fn7zJ9i9mUTVaeubXifRjsH6IwTFl0&#10;Opi6ZZGRjVd/mTKKewgg4xkHU4CUioucA2ZTlW+yeV4zJ3IuWJzghjKF/2eWP2yfPFFNTcdVOT6n&#10;xDKDbXrkka3Aku4Ri9S6MEHss3vyPReQTBnvpDfpj7mQXS7sfiis2EXC8RE7VY4uKOEoqq7K68uL&#10;VPjiqOx8iN8EGJKImkLnPleUbe9D7NAHVHIXQKvmTmmdGb9aLrQnW4ZtXizQW+4sOjiBFSmHLupM&#10;xb0WSVnbH0JiCTDOKnvMwycGe4xzYeOojzijk5pE34Pi+ceKPT6pijyYg/LoY+VBI3sGGwdloyz4&#10;9wzoWPUhyw6PBT/JO5FLaPbYfQ/dWgTH7xTW/56F+MQ87gFuDO52fMSP1NBiY3qKkjX43++9JzyO&#10;J0opaXGvahp+bZgXlOjvFgf3uhqP0yJmZnxxOULGn0qWpxK7MQvAnlZ4RRzPZMJHfSClB/OKJ2Ce&#10;vKKIWY6+a8qjPzCL2O07HhEu5vMMw+VzLN7bZ8cPXU/D9bJ7Zd71Qxhxeh/gsINs8mYQO2zqh4X5&#10;JoJUeUqPde3rjYubR70/MukynPIZdTyFsz8AAAD//wMAUEsDBBQABgAIAAAAIQCft0Tx2wAAAAMB&#10;AAAPAAAAZHJzL2Rvd25yZXYueG1sTI9BS8NAEIXvgv9hGcGb3aTSEtNsiggFD9JgtXjdZqdJaHY2&#10;7G6b+O8dvdjLwOM93vumWE+2Fxf0oXOkIJ0lIJBqZzpqFHx+bB4yECFqMrp3hAq+McC6vL0pdG7c&#10;SO942cVGcAmFXCtoYxxyKUPdotVh5gYk9o7OWx1Z+kYar0cut72cJ8lSWt0RL7R6wJcW69PubBVU&#10;p7F6zarq6ctvlts3b/ep3+6Vur+bnlcgIk7xPwy/+IwOJTMd3JlMEL0CfiT+XfYe0wWIg4J5tgBZ&#10;FvKavfwBAAD//wMAUEsBAi0AFAAGAAgAAAAhALaDOJL+AAAA4QEAABMAAAAAAAAAAAAAAAAAAAAA&#10;AFtDb250ZW50X1R5cGVzXS54bWxQSwECLQAUAAYACAAAACEAOP0h/9YAAACUAQAACwAAAAAAAAAA&#10;AAAAAAAvAQAAX3JlbHMvLnJlbHNQSwECLQAUAAYACAAAACEABm5jW3QCAABSBQAADgAAAAAAAAAA&#10;AAAAAAAuAgAAZHJzL2Uyb0RvYy54bWxQSwECLQAUAAYACAAAACEAn7dE8dsAAAADAQAADwAAAAAA&#10;AAAAAAAAAADOBAAAZHJzL2Rvd25yZXYueG1sUEsFBgAAAAAEAAQA8wAAANYFAAAAAA==&#10;" fillcolor="#c00" strokecolor="#ed7d31 [3205]" strokeweight=".5pt">
                      <w10:anchorlock/>
                    </v:shape>
                  </w:pict>
                </mc:Fallback>
              </mc:AlternateContent>
            </w:r>
          </w:p>
        </w:tc>
        <w:tc>
          <w:tcPr>
            <w:tcW w:w="8604" w:type="dxa"/>
          </w:tcPr>
          <w:p w14:paraId="274A4779" w14:textId="3FD3EDC2" w:rsidR="003722E4" w:rsidRDefault="003722E4" w:rsidP="002F63EE">
            <w:pPr>
              <w:rPr>
                <w:lang w:eastAsia="en-US"/>
              </w:rPr>
            </w:pPr>
            <w:r w:rsidRPr="00192064">
              <w:rPr>
                <w:b/>
                <w:lang w:eastAsia="en-US"/>
              </w:rPr>
              <w:t>Mandatory</w:t>
            </w:r>
            <w:r>
              <w:rPr>
                <w:lang w:eastAsia="en-US"/>
              </w:rPr>
              <w:t xml:space="preserve">:  </w:t>
            </w:r>
            <w:r w:rsidR="00E852EF">
              <w:rPr>
                <w:lang w:eastAsia="en-US"/>
              </w:rPr>
              <w:t>Web and worker roles require at least two instances to provide fault tolerance for the automatic maintenance nature of PaaS</w:t>
            </w:r>
            <w:r>
              <w:rPr>
                <w:lang w:eastAsia="en-US"/>
              </w:rPr>
              <w:t>.</w:t>
            </w:r>
          </w:p>
        </w:tc>
      </w:tr>
      <w:tr w:rsidR="003722E4" w14:paraId="03442611" w14:textId="77777777" w:rsidTr="002F63EE">
        <w:trPr>
          <w:trHeight w:val="423"/>
        </w:trPr>
        <w:tc>
          <w:tcPr>
            <w:tcW w:w="666" w:type="dxa"/>
          </w:tcPr>
          <w:p w14:paraId="361DE0C9" w14:textId="77777777" w:rsidR="003722E4" w:rsidRDefault="003722E4" w:rsidP="002F63EE">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513856" behindDoc="0" locked="0" layoutInCell="1" allowOverlap="1" wp14:anchorId="6D77D1C3" wp14:editId="3157EA05">
                      <wp:simplePos x="0" y="0"/>
                      <wp:positionH relativeFrom="column">
                        <wp:posOffset>66675</wp:posOffset>
                      </wp:positionH>
                      <wp:positionV relativeFrom="paragraph">
                        <wp:posOffset>90170</wp:posOffset>
                      </wp:positionV>
                      <wp:extent cx="209550" cy="180975"/>
                      <wp:effectExtent l="57150" t="19050" r="57150" b="104775"/>
                      <wp:wrapNone/>
                      <wp:docPr id="41058" name="Isosceles Triangle 410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514AA289" id="Isosceles Triangle 41058" o:spid="_x0000_s1026" type="#_x0000_t5" style="position:absolute;margin-left:5.25pt;margin-top:7.1pt;width:16.5pt;height:14.25pt;z-index:25151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gjig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Mi&#10;n2GzDGuwTbcePBdaePLoFDMbLUinx3q11pdo9mDvXczY2xXwHx4V2R+aKPgec5CuiVjMlxxS8Y9j&#10;8cUhEI4/J/nFbIYt4qgqzvOLs1lsTsbKwdg6H74IaEi8VDT0gaWys/3Khw4+wFJsoFW9VFonwW3W&#10;19qRPUMuLPHLU/vxBf8MSzl0YacEwlGLaKzNNyGxThhokV5MDBWjP8a5MOG0Dzmho5nEt0fDz+8b&#10;9vhoKhJ7R+PJ+8ajRXoZTBiNG2XAveVAh6IPWXb4vou+yzuWYA31ESnioJsdb/lSYQNWzId75nBY&#10;sGe4AMJXPKSGtqLQ3yjZgvv11v+IRw6jlpIWh6+i/ueOOUGJvjXI7otiOo3TmoTp7GyCgnupWb/U&#10;mF1zDdjTAleN5eka8UEPV+mgecI9sYivoooZjm9XlAc3CNehWwq4abhYLBIMJ9SysDIPlg9dj+R6&#10;PDwxZwcWIn3vYBhUVr4iYoeN/TCw2AWQKrH0ua59vXG6E9f7TRTXx0s5oZ735fw3AAAA//8DAFBL&#10;AwQUAAYACAAAACEANTxCMNkAAAAHAQAADwAAAGRycy9kb3ducmV2LnhtbEyOzU7DMBCE70i8g7VI&#10;XFDrkIa2CnEqhJIjqig8gBNvfoS9jmK3DW/PcoLTaDSjma84LM6KC85h9KTgcZ2AQGq9GalX8PlR&#10;r/YgQtRktPWECr4xwKG8vSl0bvyV3vFyir3gEQq5VjDEOOVShnZAp8PaT0icdX52OrKde2lmfeVx&#10;Z2WaJFvp9Ej8MOgJXwdsv05np8A3y7Hb1Lv9Q+0m+9ZVVeaOlVL3d8vLM4iIS/wrwy8+o0PJTI0/&#10;kwnCsk+euMmapSA4zzbsG9Z0B7Is5H/+8gcAAP//AwBQSwECLQAUAAYACAAAACEAtoM4kv4AAADh&#10;AQAAEwAAAAAAAAAAAAAAAAAAAAAAW0NvbnRlbnRfVHlwZXNdLnhtbFBLAQItABQABgAIAAAAIQA4&#10;/SH/1gAAAJQBAAALAAAAAAAAAAAAAAAAAC8BAABfcmVscy8ucmVsc1BLAQItABQABgAIAAAAIQCO&#10;+OgjigIAAHcFAAAOAAAAAAAAAAAAAAAAAC4CAABkcnMvZTJvRG9jLnhtbFBLAQItABQABgAIAAAA&#10;IQA1PEIw2QAAAAcBAAAPAAAAAAAAAAAAAAAAAOQEAABkcnMvZG93bnJldi54bWxQSwUGAAAAAAQA&#10;BADzAAAA6gUAAAAA&#10;" fillcolor="yellow" strokecolor="#70ad47 [3209]" strokeweight=".5pt">
                      <v:path arrowok="t"/>
                    </v:shape>
                  </w:pict>
                </mc:Fallback>
              </mc:AlternateContent>
            </w:r>
          </w:p>
        </w:tc>
        <w:tc>
          <w:tcPr>
            <w:tcW w:w="8604" w:type="dxa"/>
          </w:tcPr>
          <w:p w14:paraId="334543BB" w14:textId="014390FC" w:rsidR="003722E4" w:rsidRDefault="003722E4" w:rsidP="002F63EE">
            <w:pPr>
              <w:rPr>
                <w:lang w:eastAsia="en-US"/>
              </w:rPr>
            </w:pPr>
            <w:r>
              <w:rPr>
                <w:rFonts w:eastAsiaTheme="minorHAnsi"/>
                <w:b/>
                <w:lang w:eastAsia="en-US"/>
              </w:rPr>
              <w:t xml:space="preserve">Recommended: </w:t>
            </w:r>
            <w:r>
              <w:rPr>
                <w:rFonts w:eastAsiaTheme="minorHAnsi"/>
                <w:lang w:eastAsia="en-US"/>
              </w:rPr>
              <w:t xml:space="preserve"> </w:t>
            </w:r>
            <w:r w:rsidR="00E852EF">
              <w:rPr>
                <w:rFonts w:eastAsiaTheme="minorHAnsi"/>
                <w:lang w:eastAsia="en-US"/>
              </w:rPr>
              <w:t>Web and worker roles should be considered if the application requires installing binaries on the web or application servers.</w:t>
            </w:r>
          </w:p>
        </w:tc>
      </w:tr>
      <w:tr w:rsidR="003722E4" w14:paraId="3F053741" w14:textId="77777777" w:rsidTr="002F63EE">
        <w:trPr>
          <w:trHeight w:val="423"/>
        </w:trPr>
        <w:tc>
          <w:tcPr>
            <w:tcW w:w="666" w:type="dxa"/>
          </w:tcPr>
          <w:p w14:paraId="68751870" w14:textId="77777777" w:rsidR="003722E4" w:rsidRDefault="003722E4" w:rsidP="002F63EE">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518976" behindDoc="0" locked="0" layoutInCell="1" allowOverlap="1" wp14:anchorId="13A5F80E" wp14:editId="14B99404">
                      <wp:simplePos x="0" y="0"/>
                      <wp:positionH relativeFrom="column">
                        <wp:posOffset>66675</wp:posOffset>
                      </wp:positionH>
                      <wp:positionV relativeFrom="paragraph">
                        <wp:posOffset>90170</wp:posOffset>
                      </wp:positionV>
                      <wp:extent cx="180975" cy="180975"/>
                      <wp:effectExtent l="57150" t="19050" r="9525" b="104775"/>
                      <wp:wrapNone/>
                      <wp:docPr id="41059" name="Oval 410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6F686D80" id="Oval 41059" o:spid="_x0000_s1026" style="position:absolute;margin-left:5.25pt;margin-top:7.1pt;width:14.25pt;height:14.25pt;z-index:25151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j4zfgIAAGgFAAAOAAAAZHJzL2Uyb0RvYy54bWysVN9P2zAQfp+0/8Hy+0hS2gFRU9SBmCZV&#10;gAYTz65jt9Ycn2e7Tbu/nrOThm4gIU17sXy+7376u5te7hpNtsJ5BaaixUlOiTAcamVWFf3xePPp&#10;nBIfmKmZBiMquheeXs4+fpi2thQjWIOuhSPoxPiytRVdh2DLLPN8LRrmT8AKg0oJrmEBRbfKasda&#10;9N7obJTnn7MWXG0dcOE9vl53SjpL/qUUPNxJ6UUguqKYW0inS+cyntlsysqVY3ateJ8G+4csGqYM&#10;Bh1cXbPAyMapV64axR14kOGEQ5OBlIqLVANWU+R/VfOwZlakWrA53g5t8v/PLb/d3jui6oqOi3xy&#10;QYlhDX7T3ZZp0r1gh1rrSwQ+2HsXa/R2AfynR0X2hyYKvsfspGsiFisku9Tu/dBusQuE42Nxnl+c&#10;TSjhqOrv0ScrD8bW+fBVQEPipaJCa2V9bAgr2XbhQ4c+oFJqoFV9o7ROglstr7QjWAvGzr/kk/Tf&#10;GMC/wFIJXdYp/7DXIhpr811IbEzMM0VMlBSDP8a5MOE0EggdJnQ0kxh7MDx937DHR1OR6DoYj943&#10;HixSZDBhMG6UAfeWAx2KPmXZ4ftP9F3dsQVLqPfICQfdsHjLbxT2f8F8uGcOpwPnCCc+3OEhNbQV&#10;hf5GyRrc77feIx5Ji1pKWpy2ivpfG+YEJfqbQTpfFONxHM8kjCdnIxTcsWZ5rDGb5grwTwvcLZan&#10;a8QHfbhKB80TLoZ5jIoqZjjGrigP7iBchW4L4GrhYj5PMBxJy8LCPFh++PVIrsfdE3O2J2FA9t7C&#10;YTJfEbHDxv8wMN8EkCqx9KWvfb9xnBNx+tUT98WxnFAvC3L2DAAA//8DAFBLAwQUAAYACAAAACEA&#10;whqfIt4AAAAHAQAADwAAAGRycy9kb3ducmV2LnhtbEyPQUvDQBCF74L/YRnBi9hNYqs2ZlNEEBS9&#10;mFbU2zQ7JsHsbMhu2/jvHU96Gh7v8eZ7xWpyvdrTGDrPBtJZAoq49rbjxsBmfX9+DSpEZIu9ZzLw&#10;TQFW5fFRgbn1B36hfRUbJSUccjTQxjjkWoe6JYdh5gdi8T796DCKHBttRzxIuet1liSX2mHH8qHF&#10;ge5aqr+qnTPwUW2e3Tp9cm+P6cOCzt77JdpXY05PptsbUJGm+BeGX3xBh1KYtn7HNqhedLKQpNx5&#10;Bkr8i6VM2xqYZ1egy0L/5y9/AAAA//8DAFBLAQItABQABgAIAAAAIQC2gziS/gAAAOEBAAATAAAA&#10;AAAAAAAAAAAAAAAAAABbQ29udGVudF9UeXBlc10ueG1sUEsBAi0AFAAGAAgAAAAhADj9If/WAAAA&#10;lAEAAAsAAAAAAAAAAAAAAAAALwEAAF9yZWxzLy5yZWxzUEsBAi0AFAAGAAgAAAAhAKL2PjN+AgAA&#10;aAUAAA4AAAAAAAAAAAAAAAAALgIAAGRycy9lMm9Eb2MueG1sUEsBAi0AFAAGAAgAAAAhAMIanyLe&#10;AAAABwEAAA8AAAAAAAAAAAAAAAAA2AQAAGRycy9kb3ducmV2LnhtbFBLBQYAAAAABAAEAPMAAADj&#10;BQAAAAA=&#10;" fillcolor="#00b050" strokecolor="#a5a5a5 [3206]" strokeweight=".5pt">
                      <v:stroke joinstyle="miter"/>
                      <v:path arrowok="t"/>
                    </v:oval>
                  </w:pict>
                </mc:Fallback>
              </mc:AlternateContent>
            </w:r>
          </w:p>
        </w:tc>
        <w:tc>
          <w:tcPr>
            <w:tcW w:w="8604" w:type="dxa"/>
          </w:tcPr>
          <w:p w14:paraId="6F377EB7" w14:textId="61E20FB1" w:rsidR="003722E4" w:rsidRDefault="003722E4" w:rsidP="002F63EE">
            <w:pPr>
              <w:rPr>
                <w:lang w:eastAsia="en-US"/>
              </w:rPr>
            </w:pPr>
            <w:r>
              <w:rPr>
                <w:rFonts w:eastAsiaTheme="minorHAnsi"/>
                <w:b/>
                <w:lang w:eastAsia="en-US"/>
              </w:rPr>
              <w:t xml:space="preserve">Optional: </w:t>
            </w:r>
            <w:r>
              <w:rPr>
                <w:rFonts w:eastAsiaTheme="minorHAnsi"/>
                <w:lang w:eastAsia="en-US"/>
              </w:rPr>
              <w:t xml:space="preserve"> </w:t>
            </w:r>
            <w:r w:rsidR="00E852EF">
              <w:rPr>
                <w:rFonts w:eastAsiaTheme="minorHAnsi"/>
                <w:lang w:eastAsia="en-US"/>
              </w:rPr>
              <w:t>Virtual networking is common to allow the communication needed for databases, management services, and other services, but it is not a hard requirement for deploying an application via PaaS to a web or worker role.</w:t>
            </w:r>
          </w:p>
        </w:tc>
      </w:tr>
    </w:tbl>
    <w:p w14:paraId="4BC570E1" w14:textId="77777777" w:rsidR="003722E4" w:rsidRDefault="003722E4" w:rsidP="003722E4"/>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3722E4" w14:paraId="384E0529" w14:textId="77777777" w:rsidTr="002F63EE">
        <w:tc>
          <w:tcPr>
            <w:tcW w:w="9360" w:type="dxa"/>
            <w:shd w:val="clear" w:color="auto" w:fill="008AC8"/>
          </w:tcPr>
          <w:p w14:paraId="70884F10" w14:textId="77777777" w:rsidR="003722E4" w:rsidRPr="00F47607" w:rsidRDefault="003722E4" w:rsidP="002F63EE">
            <w:pPr>
              <w:spacing w:line="240" w:lineRule="auto"/>
              <w:rPr>
                <w:color w:val="FFFFFF"/>
              </w:rPr>
            </w:pPr>
            <w:r>
              <w:rPr>
                <w:color w:val="FFFFFF"/>
              </w:rPr>
              <w:t>Design Guidance</w:t>
            </w:r>
          </w:p>
        </w:tc>
      </w:tr>
    </w:tbl>
    <w:p w14:paraId="435DEE5B" w14:textId="77777777" w:rsidR="00E852EF" w:rsidRDefault="00E852EF" w:rsidP="00E852EF">
      <w:r>
        <w:t>Web roles are specifically tailored for IIS-based applications. This limits their use to Windows applications that can target the Microsoft operation system and services. The common design pattern is to configure the scale unit for the instances and ensure that multiple (at least 2) are used for production workloads. This is done by simply setting the configuration in the service definition.</w:t>
      </w:r>
    </w:p>
    <w:p w14:paraId="295FF4C2" w14:textId="3BC955C8" w:rsidR="003722E4" w:rsidRDefault="00E852EF" w:rsidP="00E852EF">
      <w:r>
        <w:t xml:space="preserve">Worker roles specifically target service applications (non-web based). As such, error handling that would be required for </w:t>
      </w:r>
      <w:r w:rsidR="004F6301">
        <w:t>an out-of-band management</w:t>
      </w:r>
      <w:r>
        <w:t xml:space="preserve"> service application should be employed. If exceptions are not handled in the service inner loop, the role instance will be restarted, which will result in downtime for processing</w:t>
      </w:r>
      <w:r w:rsidR="003722E4">
        <w:t>.</w:t>
      </w:r>
    </w:p>
    <w:p w14:paraId="03CAEC0E" w14:textId="77777777" w:rsidR="003722E4" w:rsidRPr="006F7BE5" w:rsidRDefault="003722E4" w:rsidP="003722E4"/>
    <w:p w14:paraId="1ACE7DA0" w14:textId="77777777" w:rsidR="003722E4" w:rsidRDefault="003722E4" w:rsidP="005729D2">
      <w:pPr>
        <w:pStyle w:val="Heading3Numbered"/>
        <w:numPr>
          <w:ilvl w:val="2"/>
          <w:numId w:val="64"/>
        </w:numPr>
      </w:pPr>
      <w:bookmarkStart w:id="3318" w:name="_Toc417933807"/>
      <w:bookmarkStart w:id="3319" w:name="_Toc417935748"/>
      <w:bookmarkStart w:id="3320" w:name="_Toc418029968"/>
      <w:bookmarkStart w:id="3321" w:name="_Toc418036904"/>
      <w:bookmarkStart w:id="3322" w:name="_Toc418061380"/>
      <w:bookmarkStart w:id="3323" w:name="_Toc418081258"/>
      <w:bookmarkStart w:id="3324" w:name="_Toc418081908"/>
      <w:bookmarkStart w:id="3325" w:name="_Toc418083311"/>
      <w:bookmarkStart w:id="3326" w:name="_Toc418096054"/>
      <w:bookmarkStart w:id="3327" w:name="_Toc418156699"/>
      <w:bookmarkStart w:id="3328" w:name="_Toc418167618"/>
      <w:bookmarkStart w:id="3329" w:name="_Toc418185874"/>
      <w:bookmarkStart w:id="3330" w:name="_Toc422941584"/>
      <w:bookmarkStart w:id="3331" w:name="_Toc423116790"/>
      <w:bookmarkStart w:id="3332" w:name="_Toc423117823"/>
      <w:bookmarkStart w:id="3333" w:name="_Toc423117273"/>
      <w:bookmarkStart w:id="3334" w:name="_Toc431288865"/>
      <w:r>
        <w:t>Azure App Service</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r>
        <w:t xml:space="preserve"> </w:t>
      </w:r>
    </w:p>
    <w:p w14:paraId="57507E57" w14:textId="00B42A6B" w:rsidR="000E2AF6" w:rsidRDefault="000E2AF6" w:rsidP="000E2AF6">
      <w:r>
        <w:t>Previous PaaS applications called Azure Websites have been integrated into a model that is called Azure App Service. App Service is comprised of the following subcomponents:</w:t>
      </w:r>
    </w:p>
    <w:p w14:paraId="460BAE04" w14:textId="77777777" w:rsidR="000E2AF6" w:rsidRDefault="000E2AF6" w:rsidP="005729D2">
      <w:pPr>
        <w:pStyle w:val="ListParagraph"/>
        <w:numPr>
          <w:ilvl w:val="0"/>
          <w:numId w:val="36"/>
        </w:numPr>
      </w:pPr>
      <w:r>
        <w:t>Web Apps</w:t>
      </w:r>
    </w:p>
    <w:p w14:paraId="491FB1D5" w14:textId="77777777" w:rsidR="000E2AF6" w:rsidRDefault="000E2AF6" w:rsidP="005729D2">
      <w:pPr>
        <w:pStyle w:val="ListParagraph"/>
        <w:numPr>
          <w:ilvl w:val="0"/>
          <w:numId w:val="36"/>
        </w:numPr>
      </w:pPr>
      <w:r>
        <w:t>Mobile Apps</w:t>
      </w:r>
    </w:p>
    <w:p w14:paraId="5FF6252C" w14:textId="77777777" w:rsidR="000E2AF6" w:rsidRDefault="000E2AF6" w:rsidP="005729D2">
      <w:pPr>
        <w:pStyle w:val="ListParagraph"/>
        <w:numPr>
          <w:ilvl w:val="0"/>
          <w:numId w:val="36"/>
        </w:numPr>
      </w:pPr>
      <w:r>
        <w:t>API Apps</w:t>
      </w:r>
    </w:p>
    <w:p w14:paraId="00FCFF4D" w14:textId="77777777" w:rsidR="000E2AF6" w:rsidRDefault="000E2AF6" w:rsidP="005729D2">
      <w:pPr>
        <w:pStyle w:val="ListParagraph"/>
        <w:numPr>
          <w:ilvl w:val="0"/>
          <w:numId w:val="36"/>
        </w:numPr>
      </w:pPr>
      <w:r>
        <w:t>Logic Apps</w:t>
      </w:r>
    </w:p>
    <w:p w14:paraId="04DAD92F" w14:textId="77777777" w:rsidR="000E2AF6" w:rsidRDefault="000E2AF6" w:rsidP="000E2AF6">
      <w:r>
        <w:t xml:space="preserve">Web Apps is the new term used to describe what was previously named Azure Websites. The Web Apps feature in Azure App Service is a type of PaaS workload that differs slightly from the traditional web and worker role applications. The model is based on decoupling from the underlying infrastructure—even more than traditional PaaS applications. </w:t>
      </w:r>
      <w:r w:rsidRPr="00AC6CC7">
        <w:t xml:space="preserve">This highly reduces the operational burden when maintaining applications </w:t>
      </w:r>
      <w:r>
        <w:t>because</w:t>
      </w:r>
      <w:r w:rsidRPr="00AC6CC7">
        <w:t xml:space="preserve"> the maintenance is no longer required for the infrastructure</w:t>
      </w:r>
      <w:r>
        <w:t>,</w:t>
      </w:r>
      <w:r w:rsidRPr="00AC6CC7">
        <w:t xml:space="preserve"> and </w:t>
      </w:r>
      <w:r>
        <w:t xml:space="preserve">it </w:t>
      </w:r>
      <w:r w:rsidRPr="00AC6CC7">
        <w:t>shifts to the underlying application.</w:t>
      </w:r>
    </w:p>
    <w:p w14:paraId="5ACA99FE" w14:textId="77777777" w:rsidR="000E2AF6" w:rsidRDefault="000E2AF6" w:rsidP="000E2AF6">
      <w:r>
        <w:t xml:space="preserve">This model primarily removes the customer from any connection with the underlying virtual machines that are hosting the application. This means components such as Remote Desktop are not an option and that the installation of components and software is not something a customer can directly execute. </w:t>
      </w:r>
    </w:p>
    <w:p w14:paraId="29829A45" w14:textId="77777777" w:rsidR="000E2AF6" w:rsidRDefault="000E2AF6" w:rsidP="000E2AF6">
      <w:r>
        <w:t>There are extensions available via the Azure portal (Azure Marketplace), which are essentially packages of software that have been tested and can be added to a website deployed via Web Apps.</w:t>
      </w:r>
    </w:p>
    <w:p w14:paraId="1265205C" w14:textId="77777777" w:rsidR="000E2AF6" w:rsidRDefault="000E2AF6" w:rsidP="000E2AF6">
      <w:r>
        <w:t xml:space="preserve">Web Apps are primarily used to provide a platform to host various web applications and web services. Additionally, Web Apps can run back-end processes via a service offering in Azure WebJobs. </w:t>
      </w:r>
    </w:p>
    <w:p w14:paraId="4C97345A" w14:textId="77777777" w:rsidR="000E2AF6" w:rsidRDefault="000E2AF6" w:rsidP="000E2AF6">
      <w:pPr>
        <w:rPr>
          <w:rStyle w:val="Hyperlink"/>
        </w:rPr>
      </w:pPr>
      <w:r>
        <w:t xml:space="preserve">WebJobs encapsulate an existing executable or script that provides some processing output. WebJobs can also be scheduled or run on demand. For more information about WebJobs, see </w:t>
      </w:r>
      <w:hyperlink r:id="rId307" w:history="1">
        <w:r>
          <w:rPr>
            <w:rStyle w:val="Hyperlink"/>
          </w:rPr>
          <w:t>Azure WebJobs documentation resources</w:t>
        </w:r>
      </w:hyperlink>
      <w:r>
        <w:rPr>
          <w:rStyle w:val="Hyperlink"/>
        </w:rPr>
        <w:t>.</w:t>
      </w:r>
    </w:p>
    <w:p w14:paraId="5FC02CBF" w14:textId="77777777" w:rsidR="000E2AF6" w:rsidRDefault="000E2AF6" w:rsidP="000E2AF6">
      <w:r>
        <w:t>Deployment of Web Apps is in some ways different from other PaaS and IaaS deployment models. Supported deployment models include:</w:t>
      </w:r>
    </w:p>
    <w:p w14:paraId="6A81833C" w14:textId="77777777" w:rsidR="000E2AF6" w:rsidRDefault="000E2AF6" w:rsidP="005729D2">
      <w:pPr>
        <w:pStyle w:val="ListParagraph"/>
        <w:numPr>
          <w:ilvl w:val="0"/>
          <w:numId w:val="22"/>
        </w:numPr>
      </w:pPr>
      <w:r w:rsidRPr="00AC6CC7">
        <w:rPr>
          <w:b/>
        </w:rPr>
        <w:t>Manual</w:t>
      </w:r>
      <w:r>
        <w:t xml:space="preserve"> – Use a file copy, FTP, or WebMatrix</w:t>
      </w:r>
    </w:p>
    <w:p w14:paraId="05948B90" w14:textId="77777777" w:rsidR="000E2AF6" w:rsidRDefault="000E2AF6" w:rsidP="005729D2">
      <w:pPr>
        <w:pStyle w:val="ListParagraph"/>
        <w:numPr>
          <w:ilvl w:val="0"/>
          <w:numId w:val="22"/>
        </w:numPr>
      </w:pPr>
      <w:r w:rsidRPr="00AC6CC7">
        <w:rPr>
          <w:b/>
        </w:rPr>
        <w:t>Local Git</w:t>
      </w:r>
      <w:r>
        <w:t xml:space="preserve"> – Use the Kudo environment</w:t>
      </w:r>
    </w:p>
    <w:p w14:paraId="2EBAC2F8" w14:textId="77777777" w:rsidR="000E2AF6" w:rsidRDefault="000E2AF6" w:rsidP="005729D2">
      <w:pPr>
        <w:pStyle w:val="ListParagraph"/>
        <w:numPr>
          <w:ilvl w:val="0"/>
          <w:numId w:val="22"/>
        </w:numPr>
      </w:pPr>
      <w:r w:rsidRPr="00AC6CC7">
        <w:rPr>
          <w:b/>
        </w:rPr>
        <w:t xml:space="preserve">Continuous </w:t>
      </w:r>
      <w:r>
        <w:rPr>
          <w:b/>
        </w:rPr>
        <w:t>i</w:t>
      </w:r>
      <w:r w:rsidRPr="00AC6CC7">
        <w:rPr>
          <w:b/>
        </w:rPr>
        <w:t>ntegration</w:t>
      </w:r>
      <w:r>
        <w:t xml:space="preserve"> – Use GitHub or Team Foundation Version Control (TFVC)</w:t>
      </w:r>
    </w:p>
    <w:p w14:paraId="4DD66BA6" w14:textId="77777777" w:rsidR="000E2AF6" w:rsidRDefault="000E2AF6" w:rsidP="000E2AF6">
      <w:r>
        <w:t>There are some fundamental differences in deployment slots in Web Apps as compared with the web and worker role deployments. Web Apps supports up to five deployment slots.</w:t>
      </w:r>
    </w:p>
    <w:p w14:paraId="35ECAB0D" w14:textId="77777777" w:rsidR="000E2AF6" w:rsidRDefault="000E2AF6" w:rsidP="000E2AF6">
      <w:r>
        <w:t>Web Apps is deployed in an App Service plan, previously called a Web Hosting plan. The service plan represents a set of features and capacity that can be contained and shared with multiple Web Apps in an Azure App Service. The following pricing tiers are provided:</w:t>
      </w:r>
    </w:p>
    <w:p w14:paraId="536AF334" w14:textId="77777777" w:rsidR="000E2AF6" w:rsidRDefault="000E2AF6" w:rsidP="005729D2">
      <w:pPr>
        <w:pStyle w:val="ListParagraph"/>
        <w:numPr>
          <w:ilvl w:val="0"/>
          <w:numId w:val="23"/>
        </w:numPr>
      </w:pPr>
      <w:r>
        <w:t>Free</w:t>
      </w:r>
    </w:p>
    <w:p w14:paraId="4900F7CB" w14:textId="77777777" w:rsidR="000E2AF6" w:rsidRDefault="000E2AF6" w:rsidP="005729D2">
      <w:pPr>
        <w:pStyle w:val="ListParagraph"/>
        <w:numPr>
          <w:ilvl w:val="0"/>
          <w:numId w:val="23"/>
        </w:numPr>
      </w:pPr>
      <w:r>
        <w:t>Shared</w:t>
      </w:r>
    </w:p>
    <w:p w14:paraId="452F01C9" w14:textId="77777777" w:rsidR="000E2AF6" w:rsidRDefault="000E2AF6" w:rsidP="005729D2">
      <w:pPr>
        <w:pStyle w:val="ListParagraph"/>
        <w:numPr>
          <w:ilvl w:val="0"/>
          <w:numId w:val="23"/>
        </w:numPr>
      </w:pPr>
      <w:r>
        <w:t xml:space="preserve">Basic </w:t>
      </w:r>
    </w:p>
    <w:p w14:paraId="37644A18" w14:textId="77777777" w:rsidR="000E2AF6" w:rsidRDefault="000E2AF6" w:rsidP="005729D2">
      <w:pPr>
        <w:pStyle w:val="ListParagraph"/>
        <w:numPr>
          <w:ilvl w:val="0"/>
          <w:numId w:val="23"/>
        </w:numPr>
      </w:pPr>
      <w:r>
        <w:t>Standard</w:t>
      </w:r>
    </w:p>
    <w:p w14:paraId="1D7B5EE6" w14:textId="77777777" w:rsidR="000E2AF6" w:rsidRDefault="000E2AF6" w:rsidP="005729D2">
      <w:pPr>
        <w:pStyle w:val="ListParagraph"/>
        <w:numPr>
          <w:ilvl w:val="0"/>
          <w:numId w:val="23"/>
        </w:numPr>
      </w:pPr>
      <w:r>
        <w:t>Premium</w:t>
      </w:r>
    </w:p>
    <w:p w14:paraId="5AD13FCF" w14:textId="20F471C7" w:rsidR="003722E4" w:rsidRDefault="000E2AF6" w:rsidP="000E2AF6">
      <w:r>
        <w:t>For apps to share a hosting plan, they need to be in the same subscription and geographical location. In an Azure App Service, an app can be associated with only a single app hosting plan at one time</w:t>
      </w:r>
      <w:r w:rsidR="003722E4">
        <w:t>.</w:t>
      </w:r>
    </w:p>
    <w:p w14:paraId="23AC555E" w14:textId="77777777" w:rsidR="0006359F" w:rsidRDefault="0006359F" w:rsidP="003722E4"/>
    <w:tbl>
      <w:tblPr>
        <w:tblStyle w:val="PlainTable11"/>
        <w:tblW w:w="0" w:type="auto"/>
        <w:tblLook w:val="04A0" w:firstRow="1" w:lastRow="0" w:firstColumn="1" w:lastColumn="0" w:noHBand="0" w:noVBand="1"/>
      </w:tblPr>
      <w:tblGrid>
        <w:gridCol w:w="3414"/>
        <w:gridCol w:w="5936"/>
      </w:tblGrid>
      <w:tr w:rsidR="003722E4" w14:paraId="2F261CDD" w14:textId="77777777" w:rsidTr="0013185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4BD1152C" w14:textId="77777777" w:rsidR="003722E4" w:rsidRPr="00F47607" w:rsidRDefault="003722E4" w:rsidP="002F63EE">
            <w:pPr>
              <w:spacing w:line="240" w:lineRule="auto"/>
              <w:rPr>
                <w:color w:val="FFFFFF"/>
              </w:rPr>
            </w:pPr>
            <w:r>
              <w:rPr>
                <w:color w:val="FFFFFF"/>
              </w:rPr>
              <w:t>Feature References</w:t>
            </w:r>
          </w:p>
        </w:tc>
      </w:tr>
      <w:tr w:rsidR="003722E4" w:rsidRPr="00131853" w14:paraId="227B6CE5"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642E28FE" w14:textId="77777777" w:rsidR="003722E4" w:rsidRPr="00131853" w:rsidRDefault="003722E4" w:rsidP="002F63EE">
            <w:pPr>
              <w:spacing w:line="240" w:lineRule="auto"/>
              <w:rPr>
                <w:sz w:val="20"/>
                <w:szCs w:val="20"/>
              </w:rPr>
            </w:pPr>
            <w:r w:rsidRPr="00131853">
              <w:rPr>
                <w:sz w:val="20"/>
                <w:szCs w:val="20"/>
              </w:rPr>
              <w:t>App Services explained</w:t>
            </w:r>
          </w:p>
        </w:tc>
        <w:tc>
          <w:tcPr>
            <w:tcW w:w="5940" w:type="dxa"/>
          </w:tcPr>
          <w:p w14:paraId="59E788E4" w14:textId="77777777" w:rsidR="003722E4" w:rsidRPr="00131853" w:rsidRDefault="00872E47" w:rsidP="002F63EE">
            <w:pPr>
              <w:cnfStyle w:val="000000100000" w:firstRow="0" w:lastRow="0" w:firstColumn="0" w:lastColumn="0" w:oddVBand="0" w:evenVBand="0" w:oddHBand="1" w:evenHBand="0" w:firstRowFirstColumn="0" w:firstRowLastColumn="0" w:lastRowFirstColumn="0" w:lastRowLastColumn="0"/>
              <w:rPr>
                <w:sz w:val="20"/>
                <w:szCs w:val="20"/>
              </w:rPr>
            </w:pPr>
            <w:hyperlink r:id="rId308" w:history="1">
              <w:r w:rsidR="003722E4" w:rsidRPr="00131853">
                <w:rPr>
                  <w:rStyle w:val="Hyperlink"/>
                  <w:sz w:val="20"/>
                  <w:szCs w:val="20"/>
                </w:rPr>
                <w:t>https://msdn.microsoft.com/en-us/library/azure/dn948515.aspx</w:t>
              </w:r>
            </w:hyperlink>
          </w:p>
        </w:tc>
      </w:tr>
      <w:tr w:rsidR="003722E4" w:rsidRPr="00131853" w14:paraId="0E51E38D"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740D4D67" w14:textId="77777777" w:rsidR="003722E4" w:rsidRPr="00131853" w:rsidRDefault="003722E4" w:rsidP="002F63EE">
            <w:pPr>
              <w:spacing w:line="240" w:lineRule="auto"/>
              <w:rPr>
                <w:sz w:val="20"/>
                <w:szCs w:val="20"/>
              </w:rPr>
            </w:pPr>
            <w:r w:rsidRPr="00131853">
              <w:rPr>
                <w:sz w:val="20"/>
                <w:szCs w:val="20"/>
              </w:rPr>
              <w:t xml:space="preserve">App Services deep dive </w:t>
            </w:r>
          </w:p>
        </w:tc>
        <w:tc>
          <w:tcPr>
            <w:tcW w:w="5940" w:type="dxa"/>
          </w:tcPr>
          <w:p w14:paraId="3D5F5BCF" w14:textId="77777777" w:rsidR="003722E4" w:rsidRPr="00131853" w:rsidRDefault="00872E47" w:rsidP="002F63EE">
            <w:pPr>
              <w:cnfStyle w:val="000000000000" w:firstRow="0" w:lastRow="0" w:firstColumn="0" w:lastColumn="0" w:oddVBand="0" w:evenVBand="0" w:oddHBand="0" w:evenHBand="0" w:firstRowFirstColumn="0" w:firstRowLastColumn="0" w:lastRowFirstColumn="0" w:lastRowLastColumn="0"/>
              <w:rPr>
                <w:sz w:val="20"/>
                <w:szCs w:val="20"/>
              </w:rPr>
            </w:pPr>
            <w:hyperlink r:id="rId309" w:history="1">
              <w:r w:rsidR="003722E4" w:rsidRPr="00131853">
                <w:rPr>
                  <w:rStyle w:val="Hyperlink"/>
                  <w:sz w:val="20"/>
                  <w:szCs w:val="20"/>
                </w:rPr>
                <w:t>http://channel9.msdn.com/Series/Windows-Azure-Web-Sites-Tutorials</w:t>
              </w:r>
            </w:hyperlink>
          </w:p>
        </w:tc>
      </w:tr>
      <w:tr w:rsidR="003722E4" w:rsidRPr="00131853" w14:paraId="7C40D57B"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76935968" w14:textId="68440341" w:rsidR="003722E4" w:rsidRPr="00131853" w:rsidRDefault="003722E4" w:rsidP="000E2AF6">
            <w:pPr>
              <w:spacing w:line="240" w:lineRule="auto"/>
              <w:rPr>
                <w:sz w:val="20"/>
                <w:szCs w:val="20"/>
              </w:rPr>
            </w:pPr>
            <w:r w:rsidRPr="00131853">
              <w:rPr>
                <w:sz w:val="20"/>
                <w:szCs w:val="20"/>
              </w:rPr>
              <w:t xml:space="preserve">App Service </w:t>
            </w:r>
            <w:r w:rsidR="000E2AF6">
              <w:rPr>
                <w:sz w:val="20"/>
                <w:szCs w:val="20"/>
              </w:rPr>
              <w:t>m</w:t>
            </w:r>
            <w:r w:rsidRPr="00131853">
              <w:rPr>
                <w:sz w:val="20"/>
                <w:szCs w:val="20"/>
              </w:rPr>
              <w:t>igration tools</w:t>
            </w:r>
          </w:p>
        </w:tc>
        <w:tc>
          <w:tcPr>
            <w:tcW w:w="5940" w:type="dxa"/>
          </w:tcPr>
          <w:p w14:paraId="0DD9EC09" w14:textId="77777777" w:rsidR="003722E4" w:rsidRPr="00131853" w:rsidRDefault="00872E47" w:rsidP="002F63EE">
            <w:pPr>
              <w:cnfStyle w:val="000000100000" w:firstRow="0" w:lastRow="0" w:firstColumn="0" w:lastColumn="0" w:oddVBand="0" w:evenVBand="0" w:oddHBand="1" w:evenHBand="0" w:firstRowFirstColumn="0" w:firstRowLastColumn="0" w:lastRowFirstColumn="0" w:lastRowLastColumn="0"/>
              <w:rPr>
                <w:sz w:val="20"/>
                <w:szCs w:val="20"/>
              </w:rPr>
            </w:pPr>
            <w:hyperlink r:id="rId310" w:history="1">
              <w:r w:rsidR="003722E4" w:rsidRPr="00131853">
                <w:rPr>
                  <w:rStyle w:val="Hyperlink"/>
                  <w:sz w:val="20"/>
                  <w:szCs w:val="20"/>
                </w:rPr>
                <w:t>https://www.movemetothecloud.net/</w:t>
              </w:r>
            </w:hyperlink>
          </w:p>
        </w:tc>
      </w:tr>
    </w:tbl>
    <w:p w14:paraId="5E4AC312" w14:textId="77777777" w:rsidR="003722E4" w:rsidRDefault="003722E4" w:rsidP="003722E4"/>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0E2AF6" w14:paraId="5003245E" w14:textId="77777777" w:rsidTr="000E2AF6">
        <w:trPr>
          <w:trHeight w:val="423"/>
        </w:trPr>
        <w:tc>
          <w:tcPr>
            <w:tcW w:w="666" w:type="dxa"/>
          </w:tcPr>
          <w:p w14:paraId="4E6A7422" w14:textId="77777777" w:rsidR="000E2AF6" w:rsidRDefault="000E2AF6" w:rsidP="000E2AF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0192EC98" wp14:editId="7C8B4561">
                      <wp:extent cx="200025" cy="180975"/>
                      <wp:effectExtent l="57150" t="19050" r="28575" b="104775"/>
                      <wp:docPr id="41061" name="Octagon 41061"/>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CD47317" id="Octagon 41061"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XNacwIAAFIFAAAOAAAAZHJzL2Uyb0RvYy54bWysVEtrGzEQvhf6H4Tuze66zst4HYyDSyEk&#10;oUnJWdZKtkDSqJLstfvrO9KuNyYNBEov0ozm/c2Mpjd7o8lO+KDA1rQ6KykRlkOj7LqmP5+XX64o&#10;CZHZhmmwoqYHEejN7POnaesmYgQb0I3wBJ3YMGldTTcxuklRBL4RhoUzcMKiUII3LCLr10XjWYve&#10;jS5GZXlRtOAb54GLEPD1thPSWfYvpeDxQcogItE1xdxiPn0+V+ksZlM2WXvmNor3abB/yMIwZTHo&#10;4OqWRUa2Xv3lyijuIYCMZxxMAVIqLnINWE1VvqnmacOcyLUgOMENMIX/55bf7x49UU1Nx1V5UVFi&#10;mcE2PfDI1mBJ94ggtS5MUPfJPfqeC0imivfSm3RjLWSfgT0MwIp9JBwfsVPl6JwSjqLqqry+PE/A&#10;F6/Gzof4TYAhiagpdOEzomx3F2KnfdRK4QJo1SyV1pnx69VCe7Jj2ObFAqPlzmKAE7Ui1dBlnal4&#10;0CIZa/tDSIQA86xyxDx8YvDHOBc2jvqMs3Yykxh7MPz6sWGvn0xFHszBePSx8WCRI4ONg7FRFvx7&#10;DnSs+pRlp4+An9SdyBU0B+y+h24tguNLhfjfsRAfmcc9wI3B3Y4PeEgNLTampyjZgP/93nvSx/FE&#10;KSUt7lVNw68t84IS/d3i4F5X43FaxMyMzy9HyPhTyepUYrdmAdhTHEzMLpNJP+ojKT2YF/wC5ikq&#10;ipjlGLumPPojs4jdvuMnwsV8ntVw+RyLd/bJ8WPX03A971+Yd/0QRpzeezjuIJu8GcRON/XDwnwb&#10;Qao8pa+49njj4uZR7z+Z9DOc8lnr9Suc/QE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AWpXNa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64F617FD" w14:textId="77777777" w:rsidR="000E2AF6" w:rsidRDefault="000E2AF6" w:rsidP="000E2AF6">
            <w:pPr>
              <w:rPr>
                <w:lang w:eastAsia="en-US"/>
              </w:rPr>
            </w:pPr>
            <w:r w:rsidRPr="00192064">
              <w:rPr>
                <w:b/>
                <w:lang w:eastAsia="en-US"/>
              </w:rPr>
              <w:t>Mandatory</w:t>
            </w:r>
            <w:r>
              <w:rPr>
                <w:lang w:eastAsia="en-US"/>
              </w:rPr>
              <w:t>: These lighter weight PaaS services do not allow direct access to the underlying virtual machines. This means no installation of components on the underlying web server (outside of the application folder).</w:t>
            </w:r>
          </w:p>
        </w:tc>
      </w:tr>
      <w:tr w:rsidR="000E2AF6" w14:paraId="25DE548F" w14:textId="77777777" w:rsidTr="000E2AF6">
        <w:trPr>
          <w:trHeight w:val="423"/>
        </w:trPr>
        <w:tc>
          <w:tcPr>
            <w:tcW w:w="666" w:type="dxa"/>
          </w:tcPr>
          <w:p w14:paraId="239713B9" w14:textId="77777777" w:rsidR="000E2AF6" w:rsidRDefault="000E2AF6" w:rsidP="000E2AF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672576" behindDoc="0" locked="0" layoutInCell="1" allowOverlap="1" wp14:anchorId="05F182FE" wp14:editId="1D3B06BE">
                      <wp:simplePos x="0" y="0"/>
                      <wp:positionH relativeFrom="column">
                        <wp:posOffset>66675</wp:posOffset>
                      </wp:positionH>
                      <wp:positionV relativeFrom="paragraph">
                        <wp:posOffset>90170</wp:posOffset>
                      </wp:positionV>
                      <wp:extent cx="209550" cy="180975"/>
                      <wp:effectExtent l="57150" t="19050" r="57150" b="104775"/>
                      <wp:wrapNone/>
                      <wp:docPr id="41138" name="Isosceles Triangle 41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4EA234F1" id="Isosceles Triangle 41138" o:spid="_x0000_s1026" type="#_x0000_t5" style="position:absolute;margin-left:5.25pt;margin-top:7.1pt;width:16.5pt;height:14.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g9UigIAAHcFAAAOAAAAZHJzL2Uyb0RvYy54bWysVG1r2zAQ/j7YfxD6vtpOk76YOiW0ZBRC&#10;G9aOflZkKRGTdZqkxMl+/U6y43ZdoTDmD0Lne+50L8/d1fW+0WQnnFdgKlqc5JQIw6FWZl3R70/z&#10;LxeU+MBMzTQYUdGD8PR6+vnTVWtLMYIN6Fo4gk6ML1tb0U0ItswyzzeiYf4ErDColOAaFlB066x2&#10;rEXvjc5GeX6WteBq64AL7/Hvbaek0+RfSsHDg5ReBKIrirGFdLp0ruKZTa9YuXbMbhTvw2D/EEXD&#10;lMFHB1e3LDCydeovV43iDjzIcMKhyUBKxUXKAbMp8jfZPG6YFSkXLI63Q5n8/3PL73dLR1Rd0XFR&#10;nGKzDGuwTXcePBdaePLkFDNrLUinx3q11pdo9miXLmbs7QL4D4+K7A9NFHyP2UvXRCzmS/ap+Ieh&#10;+GIfCMefo/xyMsEWcVQVF/nl+SQ2J2Pl0dg6H74KaEi8VDT0gaWys93Chw5+hKXYQKt6rrROgluv&#10;brQjO4ZcmOOXp/bjC/4FlnLowk4JhIMW0Vibb0JinTDQIr2YGCoGf4xzYcJZH3JCRzOJbw+Gpx8b&#10;9vhoKhJ7B+PRx8aDRXoZTBiMG2XAvedAh6IPWXb4vou+yzuWYAX1ASnioJsdb/lcYQMWzIclczgs&#10;2DNcAOEBD6mhrSj0N0o24H699z/ikcOopaTF4auo/7llTlCi7wyy+7IYj+O0JmE8OR+h4F5rVq81&#10;ZtvcAPa0wFVjebpGfNDHq3TQPOOemMVXUcUMx7cryoM7CjehWwq4abiYzRIMJ9SysDCPlh+7Hsn1&#10;tH9mzh5ZiPS9h+OgsvINETts7IeB2TaAVImlL3Xt643Tnbjeb6K4Pl7LCfWyL6e/AQAA//8DAFBL&#10;AwQUAAYACAAAACEANTxCMNkAAAAHAQAADwAAAGRycy9kb3ducmV2LnhtbEyOzU7DMBCE70i8g7VI&#10;XFDrkIa2CnEqhJIjqig8gBNvfoS9jmK3DW/PcoLTaDSjma84LM6KC85h9KTgcZ2AQGq9GalX8PlR&#10;r/YgQtRktPWECr4xwKG8vSl0bvyV3vFyir3gEQq5VjDEOOVShnZAp8PaT0icdX52OrKde2lmfeVx&#10;Z2WaJFvp9Ej8MOgJXwdsv05np8A3y7Hb1Lv9Q+0m+9ZVVeaOlVL3d8vLM4iIS/wrwy8+o0PJTI0/&#10;kwnCsk+euMmapSA4zzbsG9Z0B7Is5H/+8gcAAP//AwBQSwECLQAUAAYACAAAACEAtoM4kv4AAADh&#10;AQAAEwAAAAAAAAAAAAAAAAAAAAAAW0NvbnRlbnRfVHlwZXNdLnhtbFBLAQItABQABgAIAAAAIQA4&#10;/SH/1gAAAJQBAAALAAAAAAAAAAAAAAAAAC8BAABfcmVscy8ucmVsc1BLAQItABQABgAIAAAAIQAP&#10;Ng9UigIAAHcFAAAOAAAAAAAAAAAAAAAAAC4CAABkcnMvZTJvRG9jLnhtbFBLAQItABQABgAIAAAA&#10;IQA1PEIw2QAAAAcBAAAPAAAAAAAAAAAAAAAAAOQEAABkcnMvZG93bnJldi54bWxQSwUGAAAAAAQA&#10;BADzAAAA6gUAAAAA&#10;" fillcolor="yellow" strokecolor="#70ad47 [3209]" strokeweight=".5pt">
                      <v:path arrowok="t"/>
                    </v:shape>
                  </w:pict>
                </mc:Fallback>
              </mc:AlternateContent>
            </w:r>
          </w:p>
        </w:tc>
        <w:tc>
          <w:tcPr>
            <w:tcW w:w="8604" w:type="dxa"/>
          </w:tcPr>
          <w:p w14:paraId="75DC776C" w14:textId="77777777" w:rsidR="000E2AF6" w:rsidRDefault="000E2AF6" w:rsidP="000E2AF6">
            <w:pPr>
              <w:rPr>
                <w:lang w:eastAsia="en-US"/>
              </w:rPr>
            </w:pPr>
            <w:r>
              <w:rPr>
                <w:rFonts w:eastAsiaTheme="minorHAnsi"/>
                <w:b/>
                <w:lang w:eastAsia="en-US"/>
              </w:rPr>
              <w:t xml:space="preserve">Recommended: </w:t>
            </w:r>
            <w:r>
              <w:rPr>
                <w:rFonts w:eastAsiaTheme="minorHAnsi"/>
                <w:lang w:eastAsia="en-US"/>
              </w:rPr>
              <w:t>Match the service offering with the type of workload. API apps differ from Web Apps because one needs more focus on the back end and the other needs more focus on the front end.</w:t>
            </w:r>
          </w:p>
        </w:tc>
      </w:tr>
      <w:tr w:rsidR="000E2AF6" w14:paraId="7C37BE78" w14:textId="77777777" w:rsidTr="000E2AF6">
        <w:trPr>
          <w:trHeight w:val="423"/>
        </w:trPr>
        <w:tc>
          <w:tcPr>
            <w:tcW w:w="666" w:type="dxa"/>
          </w:tcPr>
          <w:p w14:paraId="5D5EC232" w14:textId="77777777" w:rsidR="000E2AF6" w:rsidRDefault="000E2AF6" w:rsidP="000E2AF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677696" behindDoc="0" locked="0" layoutInCell="1" allowOverlap="1" wp14:anchorId="7C7E70E6" wp14:editId="19BE2B82">
                      <wp:simplePos x="0" y="0"/>
                      <wp:positionH relativeFrom="column">
                        <wp:posOffset>66675</wp:posOffset>
                      </wp:positionH>
                      <wp:positionV relativeFrom="paragraph">
                        <wp:posOffset>90170</wp:posOffset>
                      </wp:positionV>
                      <wp:extent cx="180975" cy="180975"/>
                      <wp:effectExtent l="57150" t="19050" r="9525" b="104775"/>
                      <wp:wrapNone/>
                      <wp:docPr id="41139" name="Oval 411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4FA0AF65" id="Oval 41139" o:spid="_x0000_s1026" style="position:absolute;margin-left:5.25pt;margin-top:7.1pt;width:14.25pt;height:14.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2jkifgIAAGgFAAAOAAAAZHJzL2Uyb0RvYy54bWysVN9P2zAQfp+0/8Hy+0hSyoCIFHUgpkkV&#10;oMHEs+vYrTXb59lu0+6v39lJAxuTkKa9WD7fdz/93V1c7owmW+GDAtvQ6qikRFgOrbKrhn57vPlw&#10;RkmIzLZMgxUN3YtAL2fv3110rhYTWINuhSfoxIa6cw1dx+jqogh8LQwLR+CERaUEb1hE0a+K1rMO&#10;vRtdTMryY9GBb50HLkLA1+teSWfZv5SCxzspg4hENxRzi/n0+Vyms5hdsHrlmVsrPqTB/iELw5TF&#10;oKOraxYZ2Xj1ypVR3EMAGY84mAKkVFzkGrCaqvyjmoc1cyLXgs0JbmxT+H9u+e323hPVNnRaVcfn&#10;lFhm8JvutkyT/gU71LlQI/DB3ftUY3AL4N8DKorfNEkIA2YnvUlYrJDscrv3Y7vFLhKOj9VZeX56&#10;QglH1XBPPll9MHY+xM8CDEmXhgqtlQupIaxm20WIPfqAyqmBVu2N0joLfrW80p5gLRi7/FSe5P/G&#10;AOEZlkvos875x70WyVjbr0JiY1KeOWKmpBj9Mc6FjceJQOgwo5OZxNij4fHbhgM+mYpM19F48rbx&#10;aJEjg42jsVEW/N8c6FgNKcseP3xi6OtOLVhCu0dOeOiHJTh+o7D/CxbiPfM4HThHOPHxDg+poWso&#10;DDdK1uB//u094ZG0qKWkw2lraPixYV5Qor9YpPN5NZ2m8czC9OR0goJ/qVm+1NiNuQL80wp3i+P5&#10;mvBRH67Sg3nCxTBPUVHFLMfYDeXRH4Sr2G8BXC1czOcZhiPpWFzYB8cPv57I9bh7Yt4NJIzI3ls4&#10;TOYrIvbY9B8W5psIUmWWPvd16DeOcybOsHrSvngpZ9Tzgpz9AgAA//8DAFBLAwQUAAYACAAAACEA&#10;whqfIt4AAAAHAQAADwAAAGRycy9kb3ducmV2LnhtbEyPQUvDQBCF74L/YRnBi9hNYqs2ZlNEEBS9&#10;mFbU2zQ7JsHsbMhu2/jvHU96Gh7v8eZ7xWpyvdrTGDrPBtJZAoq49rbjxsBmfX9+DSpEZIu9ZzLw&#10;TQFW5fFRgbn1B36hfRUbJSUccjTQxjjkWoe6JYdh5gdi8T796DCKHBttRzxIuet1liSX2mHH8qHF&#10;ge5aqr+qnTPwUW2e3Tp9cm+P6cOCzt77JdpXY05PptsbUJGm+BeGX3xBh1KYtn7HNqhedLKQpNx5&#10;Bkr8i6VM2xqYZ1egy0L/5y9/AAAA//8DAFBLAQItABQABgAIAAAAIQC2gziS/gAAAOEBAAATAAAA&#10;AAAAAAAAAAAAAAAAAABbQ29udGVudF9UeXBlc10ueG1sUEsBAi0AFAAGAAgAAAAhADj9If/WAAAA&#10;lAEAAAsAAAAAAAAAAAAAAAAALwEAAF9yZWxzLy5yZWxzUEsBAi0AFAAGAAgAAAAhALfaOSJ+AgAA&#10;aAUAAA4AAAAAAAAAAAAAAAAALgIAAGRycy9lMm9Eb2MueG1sUEsBAi0AFAAGAAgAAAAhAMIanyLe&#10;AAAABwEAAA8AAAAAAAAAAAAAAAAA2AQAAGRycy9kb3ducmV2LnhtbFBLBQYAAAAABAAEAPMAAADj&#10;BQAAAAA=&#10;" fillcolor="#00b050" strokecolor="#a5a5a5 [3206]" strokeweight=".5pt">
                      <v:stroke joinstyle="miter"/>
                      <v:path arrowok="t"/>
                    </v:oval>
                  </w:pict>
                </mc:Fallback>
              </mc:AlternateContent>
            </w:r>
          </w:p>
        </w:tc>
        <w:tc>
          <w:tcPr>
            <w:tcW w:w="8604" w:type="dxa"/>
          </w:tcPr>
          <w:p w14:paraId="174CE69C" w14:textId="77777777" w:rsidR="000E2AF6" w:rsidRDefault="000E2AF6" w:rsidP="000E2AF6">
            <w:pPr>
              <w:rPr>
                <w:lang w:eastAsia="en-US"/>
              </w:rPr>
            </w:pPr>
            <w:r>
              <w:rPr>
                <w:rFonts w:eastAsiaTheme="minorHAnsi"/>
                <w:b/>
                <w:lang w:eastAsia="en-US"/>
              </w:rPr>
              <w:t xml:space="preserve">Optional: </w:t>
            </w:r>
            <w:r>
              <w:rPr>
                <w:rFonts w:eastAsiaTheme="minorHAnsi"/>
                <w:lang w:eastAsia="en-US"/>
              </w:rPr>
              <w:t>Plan for capacity needs. Although some thought should be given to how many instances or sizes should be used, these can easily be changed later. The focus here is on rapid deployment.</w:t>
            </w:r>
          </w:p>
        </w:tc>
      </w:tr>
    </w:tbl>
    <w:p w14:paraId="2F985CA2" w14:textId="77777777" w:rsidR="003722E4" w:rsidRDefault="003722E4" w:rsidP="003722E4"/>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3722E4" w14:paraId="756C7C73" w14:textId="77777777" w:rsidTr="002F63EE">
        <w:tc>
          <w:tcPr>
            <w:tcW w:w="9360" w:type="dxa"/>
            <w:shd w:val="clear" w:color="auto" w:fill="008AC8"/>
          </w:tcPr>
          <w:p w14:paraId="0326753E" w14:textId="77777777" w:rsidR="003722E4" w:rsidRPr="00F47607" w:rsidRDefault="003722E4" w:rsidP="002F63EE">
            <w:pPr>
              <w:spacing w:line="240" w:lineRule="auto"/>
              <w:rPr>
                <w:color w:val="FFFFFF"/>
              </w:rPr>
            </w:pPr>
            <w:r>
              <w:rPr>
                <w:color w:val="FFFFFF"/>
              </w:rPr>
              <w:t>Design Guidance</w:t>
            </w:r>
          </w:p>
        </w:tc>
      </w:tr>
    </w:tbl>
    <w:p w14:paraId="08028887" w14:textId="77777777" w:rsidR="000E2AF6" w:rsidRDefault="000E2AF6" w:rsidP="000E2AF6">
      <w:r>
        <w:t xml:space="preserve">Azure App Service is one of the latest models to be employed on Azure. The idea is to simplify the management and cost of running a variety of services in PaaS. This means a service performance level can be set at the service level and then the various services can be deployed inside this service. </w:t>
      </w:r>
    </w:p>
    <w:p w14:paraId="643C4EF3" w14:textId="77777777" w:rsidR="000E2AF6" w:rsidRDefault="000E2AF6" w:rsidP="000E2AF6">
      <w:r>
        <w:t>For example, a web app could be deployed that is using an API app or a Logic App, and the cost and performance levels are set at the service level. This simplifies the deployments because each app doesn’t need to be configured and billed separately.</w:t>
      </w:r>
    </w:p>
    <w:p w14:paraId="61E22A87" w14:textId="78ADAB0C" w:rsidR="003722E4" w:rsidRDefault="000E2AF6" w:rsidP="000E2AF6">
      <w:r>
        <w:t>The app model is growing very fast, and it makes integrating deployed services, APIs, and applications much simpler and faster than previous PaaS models, such as web roles</w:t>
      </w:r>
      <w:r w:rsidR="003722E4">
        <w:t>.</w:t>
      </w:r>
    </w:p>
    <w:p w14:paraId="09A8C34D" w14:textId="77777777" w:rsidR="003722E4" w:rsidRDefault="003722E4" w:rsidP="005729D2">
      <w:pPr>
        <w:pStyle w:val="Heading3Numbered"/>
        <w:numPr>
          <w:ilvl w:val="2"/>
          <w:numId w:val="64"/>
        </w:numPr>
      </w:pPr>
      <w:bookmarkStart w:id="3335" w:name="_Toc418123902"/>
      <w:bookmarkStart w:id="3336" w:name="_Toc418124104"/>
      <w:bookmarkStart w:id="3337" w:name="_Toc418124306"/>
      <w:bookmarkStart w:id="3338" w:name="_Toc417933808"/>
      <w:bookmarkStart w:id="3339" w:name="_Toc417935749"/>
      <w:bookmarkStart w:id="3340" w:name="_Toc418029969"/>
      <w:bookmarkStart w:id="3341" w:name="_Toc418036905"/>
      <w:bookmarkStart w:id="3342" w:name="_Toc418061381"/>
      <w:bookmarkStart w:id="3343" w:name="_Toc418081259"/>
      <w:bookmarkStart w:id="3344" w:name="_Toc418081909"/>
      <w:bookmarkStart w:id="3345" w:name="_Toc418083312"/>
      <w:bookmarkStart w:id="3346" w:name="_Toc418096055"/>
      <w:bookmarkStart w:id="3347" w:name="_Toc418156700"/>
      <w:bookmarkStart w:id="3348" w:name="_Toc418167619"/>
      <w:bookmarkStart w:id="3349" w:name="_Toc418185875"/>
      <w:bookmarkStart w:id="3350" w:name="_Toc422941585"/>
      <w:bookmarkStart w:id="3351" w:name="_Toc423116791"/>
      <w:bookmarkStart w:id="3352" w:name="_Toc423117824"/>
      <w:bookmarkStart w:id="3353" w:name="_Toc423117274"/>
      <w:bookmarkStart w:id="3354" w:name="_Toc431288866"/>
      <w:bookmarkEnd w:id="3335"/>
      <w:bookmarkEnd w:id="3336"/>
      <w:bookmarkEnd w:id="3337"/>
      <w:r>
        <w:t>Azure SQL Database</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6DC549F6" w14:textId="55F52235" w:rsidR="000E2AF6" w:rsidRDefault="003722E4" w:rsidP="000E2AF6">
      <w:r>
        <w:t>Azure</w:t>
      </w:r>
      <w:r w:rsidR="000E2AF6">
        <w:t xml:space="preserve"> SQL Database is the realization of one of the most popular relational databases in a managed, multitenant, PaaS model. When choosing a database deployment model, there are key factors to consider to ensure the end goal is met. Although this is attractive for many reasons, it is important to understand that there are key differences between running an Azure SQL Database and an on-premises or IaaS virtual machine with SQL Server installed.</w:t>
      </w:r>
    </w:p>
    <w:p w14:paraId="44B35F6C" w14:textId="77777777" w:rsidR="000E2AF6" w:rsidRDefault="000E2AF6" w:rsidP="000E2AF6">
      <w:r>
        <w:t xml:space="preserve">A key point is that system-level functions cannot be performed from Azure SQL Database. This includes database backups, system level profiling, and extensions to SQL Database, including FILESTREAM and CLR extensions. </w:t>
      </w:r>
    </w:p>
    <w:p w14:paraId="30609238" w14:textId="77777777" w:rsidR="000E2AF6" w:rsidRDefault="000E2AF6" w:rsidP="000E2AF6">
      <w:r>
        <w:t>Operations such as backups have been accommodated by extensions to TSQL, which allows for the backups without the need to create a backup media object (which would tie to a file system object on the operating system running SQL Server). All other operations such as management for the SQL Database instance are accommodated by using dynamic management views (DMVs) instead of extended stored procedures.</w:t>
      </w:r>
    </w:p>
    <w:p w14:paraId="03D63BF9" w14:textId="77777777" w:rsidR="000E2AF6" w:rsidRDefault="000E2AF6" w:rsidP="000E2AF6">
      <w:r>
        <w:t xml:space="preserve">The key benefits of leveraging Azure SQL Database over traditional deployments of SQL Server is that databases and servers can be created in seconds, not hours or days. The other added benefit is that there is less need to focus on the infrastructure and processes to replicate and back up the data in the databases. </w:t>
      </w:r>
    </w:p>
    <w:p w14:paraId="2D1A5019" w14:textId="4CC779D3" w:rsidR="003722E4" w:rsidRDefault="000E2AF6" w:rsidP="000E2AF6">
      <w:r>
        <w:t>By default, Azure SQL Database commits the data to three separate instances in the same Azure region. This is similar to how Azure Storage commits all Writes to three stamps in Azure. This provides the high availability feature and protects against hardware failures inside Azure</w:t>
      </w:r>
      <w:r w:rsidR="003722E4">
        <w:t>.</w:t>
      </w:r>
    </w:p>
    <w:p w14:paraId="657F87A7" w14:textId="77777777" w:rsidR="003722E4" w:rsidRPr="00E81F98" w:rsidRDefault="003722E4" w:rsidP="003722E4">
      <w:pPr>
        <w:rPr>
          <w:i/>
        </w:rPr>
      </w:pPr>
    </w:p>
    <w:tbl>
      <w:tblPr>
        <w:tblStyle w:val="PlainTable11"/>
        <w:tblW w:w="0" w:type="auto"/>
        <w:tblLook w:val="04A0" w:firstRow="1" w:lastRow="0" w:firstColumn="1" w:lastColumn="0" w:noHBand="0" w:noVBand="1"/>
      </w:tblPr>
      <w:tblGrid>
        <w:gridCol w:w="3413"/>
        <w:gridCol w:w="5937"/>
      </w:tblGrid>
      <w:tr w:rsidR="003722E4" w14:paraId="28BAC2B8" w14:textId="77777777" w:rsidTr="0013185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6883F0D3" w14:textId="77777777" w:rsidR="003722E4" w:rsidRPr="00F47607" w:rsidRDefault="003722E4" w:rsidP="002F63EE">
            <w:pPr>
              <w:spacing w:line="240" w:lineRule="auto"/>
              <w:rPr>
                <w:color w:val="FFFFFF"/>
              </w:rPr>
            </w:pPr>
            <w:r>
              <w:rPr>
                <w:color w:val="FFFFFF"/>
              </w:rPr>
              <w:t>Feature References</w:t>
            </w:r>
          </w:p>
        </w:tc>
      </w:tr>
      <w:tr w:rsidR="003722E4" w:rsidRPr="00131853" w14:paraId="3FA49D08"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1FCCCE2F" w14:textId="77777777" w:rsidR="003722E4" w:rsidRPr="00131853" w:rsidRDefault="003722E4" w:rsidP="002F63EE">
            <w:pPr>
              <w:spacing w:line="240" w:lineRule="auto"/>
              <w:rPr>
                <w:sz w:val="20"/>
                <w:szCs w:val="18"/>
              </w:rPr>
            </w:pPr>
            <w:r w:rsidRPr="00131853">
              <w:rPr>
                <w:sz w:val="20"/>
                <w:szCs w:val="18"/>
              </w:rPr>
              <w:t>Understanding Azure SQL</w:t>
            </w:r>
          </w:p>
        </w:tc>
        <w:tc>
          <w:tcPr>
            <w:tcW w:w="5940" w:type="dxa"/>
          </w:tcPr>
          <w:p w14:paraId="0F0EA38A" w14:textId="77777777" w:rsidR="003722E4" w:rsidRPr="00131853" w:rsidRDefault="00872E47" w:rsidP="002F63EE">
            <w:pPr>
              <w:cnfStyle w:val="000000100000" w:firstRow="0" w:lastRow="0" w:firstColumn="0" w:lastColumn="0" w:oddVBand="0" w:evenVBand="0" w:oddHBand="1" w:evenHBand="0" w:firstRowFirstColumn="0" w:firstRowLastColumn="0" w:lastRowFirstColumn="0" w:lastRowLastColumn="0"/>
              <w:rPr>
                <w:sz w:val="20"/>
                <w:szCs w:val="18"/>
              </w:rPr>
            </w:pPr>
            <w:hyperlink r:id="rId311" w:history="1">
              <w:r w:rsidR="003722E4" w:rsidRPr="00131853">
                <w:rPr>
                  <w:rStyle w:val="Hyperlink"/>
                  <w:sz w:val="20"/>
                  <w:szCs w:val="18"/>
                </w:rPr>
                <w:t>http://azure.microsoft.com/en-us/documentation/articles/data-management-azure-sql-database-and-sql-server-iaas/</w:t>
              </w:r>
            </w:hyperlink>
          </w:p>
        </w:tc>
      </w:tr>
      <w:tr w:rsidR="003722E4" w:rsidRPr="00131853" w14:paraId="06C8929D"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292902B7" w14:textId="77777777" w:rsidR="003722E4" w:rsidRPr="00131853" w:rsidRDefault="003722E4" w:rsidP="002F63EE">
            <w:pPr>
              <w:spacing w:line="240" w:lineRule="auto"/>
              <w:rPr>
                <w:sz w:val="20"/>
              </w:rPr>
            </w:pPr>
            <w:r w:rsidRPr="00131853">
              <w:rPr>
                <w:sz w:val="20"/>
                <w:szCs w:val="18"/>
              </w:rPr>
              <w:t>Development considerations</w:t>
            </w:r>
          </w:p>
        </w:tc>
        <w:tc>
          <w:tcPr>
            <w:tcW w:w="5940" w:type="dxa"/>
          </w:tcPr>
          <w:p w14:paraId="2559F2E9" w14:textId="77777777" w:rsidR="003722E4" w:rsidRPr="00131853" w:rsidRDefault="00872E47" w:rsidP="002F63EE">
            <w:pPr>
              <w:cnfStyle w:val="000000000000" w:firstRow="0" w:lastRow="0" w:firstColumn="0" w:lastColumn="0" w:oddVBand="0" w:evenVBand="0" w:oddHBand="0" w:evenHBand="0" w:firstRowFirstColumn="0" w:firstRowLastColumn="0" w:lastRowFirstColumn="0" w:lastRowLastColumn="0"/>
              <w:rPr>
                <w:sz w:val="20"/>
                <w:szCs w:val="18"/>
              </w:rPr>
            </w:pPr>
            <w:hyperlink r:id="rId312" w:history="1">
              <w:r w:rsidR="003722E4" w:rsidRPr="00131853">
                <w:rPr>
                  <w:rStyle w:val="Hyperlink"/>
                  <w:sz w:val="20"/>
                  <w:szCs w:val="18"/>
                </w:rPr>
                <w:t>https://msdn.microsoft.com/library/azure/ee730903.aspx</w:t>
              </w:r>
            </w:hyperlink>
          </w:p>
        </w:tc>
      </w:tr>
      <w:tr w:rsidR="003722E4" w:rsidRPr="00131853" w14:paraId="15B8F899"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57AD4CD4" w14:textId="77777777" w:rsidR="003722E4" w:rsidRPr="00131853" w:rsidRDefault="003722E4" w:rsidP="002F63EE">
            <w:pPr>
              <w:spacing w:line="240" w:lineRule="auto"/>
              <w:rPr>
                <w:sz w:val="20"/>
              </w:rPr>
            </w:pPr>
            <w:r w:rsidRPr="00131853">
              <w:rPr>
                <w:sz w:val="20"/>
                <w:szCs w:val="18"/>
              </w:rPr>
              <w:t>Performance and scaling</w:t>
            </w:r>
          </w:p>
        </w:tc>
        <w:tc>
          <w:tcPr>
            <w:tcW w:w="5940" w:type="dxa"/>
          </w:tcPr>
          <w:p w14:paraId="2E6938E8" w14:textId="77777777" w:rsidR="003722E4" w:rsidRPr="00131853" w:rsidRDefault="00872E47" w:rsidP="002F63EE">
            <w:pPr>
              <w:cnfStyle w:val="000000100000" w:firstRow="0" w:lastRow="0" w:firstColumn="0" w:lastColumn="0" w:oddVBand="0" w:evenVBand="0" w:oddHBand="1" w:evenHBand="0" w:firstRowFirstColumn="0" w:firstRowLastColumn="0" w:lastRowFirstColumn="0" w:lastRowLastColumn="0"/>
              <w:rPr>
                <w:sz w:val="20"/>
                <w:szCs w:val="18"/>
              </w:rPr>
            </w:pPr>
            <w:hyperlink r:id="rId313" w:history="1">
              <w:r w:rsidR="003722E4" w:rsidRPr="00131853">
                <w:rPr>
                  <w:rStyle w:val="Hyperlink"/>
                  <w:sz w:val="20"/>
                  <w:szCs w:val="18"/>
                </w:rPr>
                <w:t>https://msdn.microsoft.com/library/azure/e6f95976-cc09-4b46-9d8c-4cf23119598d</w:t>
              </w:r>
            </w:hyperlink>
          </w:p>
        </w:tc>
      </w:tr>
    </w:tbl>
    <w:p w14:paraId="6DA9BBA6" w14:textId="734AB6A0" w:rsidR="0006359F" w:rsidRDefault="0006359F">
      <w:pPr>
        <w:spacing w:before="0" w:after="160" w:line="259" w:lineRule="auto"/>
      </w:pP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7D165C" w14:paraId="6FB13FF0" w14:textId="77777777" w:rsidTr="00EC1B06">
        <w:trPr>
          <w:trHeight w:val="423"/>
        </w:trPr>
        <w:tc>
          <w:tcPr>
            <w:tcW w:w="666" w:type="dxa"/>
          </w:tcPr>
          <w:p w14:paraId="6D6591B3" w14:textId="77777777" w:rsidR="007D165C" w:rsidRDefault="007D165C"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39D0BC77" wp14:editId="17DAFB99">
                      <wp:extent cx="200025" cy="180975"/>
                      <wp:effectExtent l="57150" t="19050" r="28575" b="104775"/>
                      <wp:docPr id="41140" name="Octagon 41140"/>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649F4ED" id="Octagon 41140"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yYNcwIAAFIFAAAOAAAAZHJzL2Uyb0RvYy54bWysVN1P2zAQf5+0/8Hy+0jTlQEVKaqKmCYh&#10;QMDEs+vYrSXH59nXpt1fv7OThoohIU17Se5837/7uLzaNZZtVYgGXMXLkxFnykmojVtV/OfzzZdz&#10;ziIKVwsLTlV8ryK/mn3+dNn6qRrDGmytAiMnLk5bX/E1op8WRZRr1Yh4Al45EmoIjUBiw6qog2jJ&#10;e2OL8Wj0rWgh1D6AVDHS63Un5LPsX2sl8V7rqJDZilNumL8hf5fpW8wuxXQVhF8b2ach/iGLRhhH&#10;QQdX1wIF2wTzl6vGyAARNJ5IaArQ2kiVa6BqytGbap7WwqtcC4ET/QBT/H9u5d32ITBTV3xSlhNC&#10;yImG2nQvUazAse6RQGp9nJLuk38IPReJTBXvdGjSn2phuwzsfgBW7ZBJeqROjcannEkSleeji7PT&#10;BHzxauxDxO8KGpaIikMXPiMqtrcRO+2DVgoXwZr6xlibmbBaLmxgW0FtXiwoWu4sBThSK1INXdaZ&#10;wr1Vydi6R6UJAsqzzBHz8KnBn5BSORz3GWftZKYp9mD49WPDXj+ZqjyYg/H4Y+PBIkcGh4NxYxyE&#10;9xxYLPuUdadPgB/Vncgl1HvqfoBuLaKXN4bwvxURH0SgPaB5oN3Ge/poCy01pqc4W0P4/d570qfx&#10;JClnLe1VxeOvjQiKM/vD0eBelJM0ZpiZyenZmJhwLFkeS9ymWQD1tKQr4mUmkz7aA6kDNC90AuYp&#10;KomEkxS74hLDgVlgt+90RKSaz7MaLZ8XeOuevDx0PQ3X8+5FBN8PIdL03sFhB8X0zSB2uqkfDuYb&#10;BG3ylL7i2uNNi5tHvT8y6TIc81nr9RTO/gA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AFUyYN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6C93730A" w14:textId="77777777" w:rsidR="007D165C" w:rsidRDefault="007D165C" w:rsidP="00EC1B06">
            <w:pPr>
              <w:rPr>
                <w:lang w:eastAsia="en-US"/>
              </w:rPr>
            </w:pPr>
            <w:r w:rsidRPr="00192064">
              <w:rPr>
                <w:b/>
                <w:lang w:eastAsia="en-US"/>
              </w:rPr>
              <w:t>Mandatory</w:t>
            </w:r>
            <w:r>
              <w:rPr>
                <w:lang w:eastAsia="en-US"/>
              </w:rPr>
              <w:t>: Understand the performance and management differences between a traditional SQL Server database and an Azure SQL Database.</w:t>
            </w:r>
          </w:p>
        </w:tc>
      </w:tr>
      <w:tr w:rsidR="007D165C" w14:paraId="2D3944F7" w14:textId="77777777" w:rsidTr="00EC1B06">
        <w:trPr>
          <w:trHeight w:val="423"/>
        </w:trPr>
        <w:tc>
          <w:tcPr>
            <w:tcW w:w="666" w:type="dxa"/>
          </w:tcPr>
          <w:p w14:paraId="7DEEDD62" w14:textId="77777777" w:rsidR="007D165C" w:rsidRDefault="007D165C"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682816" behindDoc="0" locked="0" layoutInCell="1" allowOverlap="1" wp14:anchorId="46F2D24E" wp14:editId="6C7ADD3D">
                      <wp:simplePos x="0" y="0"/>
                      <wp:positionH relativeFrom="column">
                        <wp:posOffset>66675</wp:posOffset>
                      </wp:positionH>
                      <wp:positionV relativeFrom="paragraph">
                        <wp:posOffset>90170</wp:posOffset>
                      </wp:positionV>
                      <wp:extent cx="209550" cy="180975"/>
                      <wp:effectExtent l="57150" t="19050" r="57150" b="104775"/>
                      <wp:wrapNone/>
                      <wp:docPr id="41154" name="Isosceles Triangle 41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63F891EA" id="Isosceles Triangle 41154" o:spid="_x0000_s1026" type="#_x0000_t5" style="position:absolute;margin-left:5.25pt;margin-top:7.1pt;width:16.5pt;height:14.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v2Iig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Oi&#10;mE0pMazBNt168Fxo4cmjU8xstCCdHuvVWl+i2YO9dzFjb1fAf3hUZH9oouB7zEG6JmIxX3JIxT+O&#10;xReHQDj+nOQXsxm2iKOqOM8vzmaxORkrB2PrfPgioCHxUtHQB5bKzvYrHzr4AEuxgVb1UmmdBLdZ&#10;X2tH9gy5sMQvT+3HF/wzLOXQhZ0SCEctorE234TEOmGgRXoxMVSM/hjnwoTTPuSEjmYS3x4NP79v&#10;2OOjqUjsHY0n7xuPFullMGE0bpQB95YDHYo+ZNnh+y76Lu9YgjXUR6SIg252vOVLhQ1YMR/umcNh&#10;wZ7hAghf8ZAa2opCf6NkC+7XW/8jHjmMWkpaHL6K+p875gQl+tYguy+K6TROaxKms7MJCu6lZv1S&#10;Y3bNNWBPC1w1lqdrxAc9XKWD5gn3xCK+iipmOL5dUR7cIFyHbingpuFisUgwnFDLwso8WD50PZLr&#10;8fDEnB1YiPS9g2FQWfmKiB029sPAYhdAqsTS57r29cbpTlzvN1FcHy/lhHrel/PfAAAA//8DAFBL&#10;AwQUAAYACAAAACEANTxCMNkAAAAHAQAADwAAAGRycy9kb3ducmV2LnhtbEyOzU7DMBCE70i8g7VI&#10;XFDrkIa2CnEqhJIjqig8gBNvfoS9jmK3DW/PcoLTaDSjma84LM6KC85h9KTgcZ2AQGq9GalX8PlR&#10;r/YgQtRktPWECr4xwKG8vSl0bvyV3vFyir3gEQq5VjDEOOVShnZAp8PaT0icdX52OrKde2lmfeVx&#10;Z2WaJFvp9Ej8MOgJXwdsv05np8A3y7Hb1Lv9Q+0m+9ZVVeaOlVL3d8vLM4iIS/wrwy8+o0PJTI0/&#10;kwnCsk+euMmapSA4zzbsG9Z0B7Is5H/+8gcAAP//AwBQSwECLQAUAAYACAAAACEAtoM4kv4AAADh&#10;AQAAEwAAAAAAAAAAAAAAAAAAAAAAW0NvbnRlbnRfVHlwZXNdLnhtbFBLAQItABQABgAIAAAAIQA4&#10;/SH/1gAAAJQBAAALAAAAAAAAAAAAAAAAAC8BAABfcmVscy8ucmVsc1BLAQItABQABgAIAAAAIQAX&#10;Pv2IigIAAHcFAAAOAAAAAAAAAAAAAAAAAC4CAABkcnMvZTJvRG9jLnhtbFBLAQItABQABgAIAAAA&#10;IQA1PEIw2QAAAAcBAAAPAAAAAAAAAAAAAAAAAOQEAABkcnMvZG93bnJldi54bWxQSwUGAAAAAAQA&#10;BADzAAAA6gUAAAAA&#10;" fillcolor="yellow" strokecolor="#70ad47 [3209]" strokeweight=".5pt">
                      <v:path arrowok="t"/>
                    </v:shape>
                  </w:pict>
                </mc:Fallback>
              </mc:AlternateContent>
            </w:r>
          </w:p>
        </w:tc>
        <w:tc>
          <w:tcPr>
            <w:tcW w:w="8604" w:type="dxa"/>
          </w:tcPr>
          <w:p w14:paraId="4FAFFAE7" w14:textId="77777777" w:rsidR="007D165C" w:rsidRDefault="007D165C" w:rsidP="00EC1B06">
            <w:pPr>
              <w:rPr>
                <w:lang w:eastAsia="en-US"/>
              </w:rPr>
            </w:pPr>
            <w:r>
              <w:rPr>
                <w:rFonts w:eastAsiaTheme="minorHAnsi"/>
                <w:b/>
                <w:lang w:eastAsia="en-US"/>
              </w:rPr>
              <w:t xml:space="preserve">Recommended: </w:t>
            </w:r>
            <w:r>
              <w:rPr>
                <w:rFonts w:eastAsiaTheme="minorHAnsi"/>
                <w:lang w:eastAsia="en-US"/>
              </w:rPr>
              <w:t>Analyze databases to be migrated to Azure SQL Database for incompatibles that might be present (for example, FILESTREAM).</w:t>
            </w:r>
          </w:p>
        </w:tc>
      </w:tr>
      <w:tr w:rsidR="007D165C" w14:paraId="09BD2F6A" w14:textId="77777777" w:rsidTr="00EC1B06">
        <w:trPr>
          <w:trHeight w:val="423"/>
        </w:trPr>
        <w:tc>
          <w:tcPr>
            <w:tcW w:w="666" w:type="dxa"/>
          </w:tcPr>
          <w:p w14:paraId="0917716E" w14:textId="77777777" w:rsidR="007D165C" w:rsidRDefault="007D165C"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687936" behindDoc="0" locked="0" layoutInCell="1" allowOverlap="1" wp14:anchorId="4086645F" wp14:editId="7EC56A0C">
                      <wp:simplePos x="0" y="0"/>
                      <wp:positionH relativeFrom="column">
                        <wp:posOffset>66675</wp:posOffset>
                      </wp:positionH>
                      <wp:positionV relativeFrom="paragraph">
                        <wp:posOffset>90170</wp:posOffset>
                      </wp:positionV>
                      <wp:extent cx="180975" cy="180975"/>
                      <wp:effectExtent l="57150" t="19050" r="9525" b="104775"/>
                      <wp:wrapNone/>
                      <wp:docPr id="41155" name="Oval 411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36BC6CE0" id="Oval 41155" o:spid="_x0000_s1026" style="position:absolute;margin-left:5.25pt;margin-top:7.1pt;width:14.25pt;height:14.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bR5fgIAAGgFAAAOAAAAZHJzL2Uyb0RvYy54bWysVN9P2zAQfp+0/8Hy+0hS2gFRU9QVMU2q&#10;AA0mnl3Hbq05Ps92m3Z/PWcnDWwgIU17sXy+7376u5te7htNdsJ5BaaixUlOiTAcamXWFf3xcP3p&#10;nBIfmKmZBiMqehCeXs4+fpi2thQj2ICuhSPoxPiytRXdhGDLLPN8IxrmT8AKg0oJrmEBRbfOasda&#10;9N7obJTnn7MWXG0dcOE9vl51SjpL/qUUPNxK6UUguqKYW0inS+cqntlsysq1Y3ajeJ8G+4csGqYM&#10;Bh1cXbHAyNapV64axR14kOGEQ5OBlIqLVANWU+R/VXO/YVakWrA53g5t8v/PLb/Z3Tmi6oqOi2Iy&#10;ocSwBr/pdsc06V6wQ631JQLv7Z2LNXq7BP7ToyL7QxMF32P20jURixWSfWr3YWi32AfC8bE4zy/O&#10;MCRHVX+PPll5NLbOh68CGhIvFRVaK+tjQ1jJdksfOvQRlVIDreprpXUS3Hq10I5gLRg7/5JP0n9j&#10;AP8MSyV0Waf8w0GLaKzNdyGxMTHPFDFRUgz+GOfChNNIIHSY0NFMYuzB8PR9wx4fTUWi62A8et94&#10;sEiRwYTBuFEG3FsOdCj6lGWH7z/Rd3XHFqygPiAnHHTD4i2/Vtj/JfPhjjmcDpwjnPhwi4fU0FYU&#10;+hslG3C/33qPeCQtailpcdoq6n9tmROU6G8G6XxRjMdxPJMwnpyNUHAvNauXGrNtFoB/WuBusTxd&#10;Iz7o41U6aB5xMcxjVFQxwzF2RXlwR2ERui2Aq4WL+TzBcCQtC0tzb/nx1yO5HvaPzNmehAHZewPH&#10;yXxFxA4b/8PAfBtAqsTS5772/cZxTsTpV0/cFy/lhHpekLMnAAAA//8DAFBLAwQUAAYACAAAACEA&#10;whqfIt4AAAAHAQAADwAAAGRycy9kb3ducmV2LnhtbEyPQUvDQBCF74L/YRnBi9hNYqs2ZlNEEBS9&#10;mFbU2zQ7JsHsbMhu2/jvHU96Gh7v8eZ7xWpyvdrTGDrPBtJZAoq49rbjxsBmfX9+DSpEZIu9ZzLw&#10;TQFW5fFRgbn1B36hfRUbJSUccjTQxjjkWoe6JYdh5gdi8T796DCKHBttRzxIuet1liSX2mHH8qHF&#10;ge5aqr+qnTPwUW2e3Tp9cm+P6cOCzt77JdpXY05PptsbUJGm+BeGX3xBh1KYtn7HNqhedLKQpNx5&#10;Bkr8i6VM2xqYZ1egy0L/5y9/AAAA//8DAFBLAQItABQABgAIAAAAIQC2gziS/gAAAOEBAAATAAAA&#10;AAAAAAAAAAAAAAAAAABbQ29udGVudF9UeXBlc10ueG1sUEsBAi0AFAAGAAgAAAAhADj9If/WAAAA&#10;lAEAAAsAAAAAAAAAAAAAAAAALwEAAF9yZWxzLy5yZWxzUEsBAi0AFAAGAAgAAAAhANdJtHl+AgAA&#10;aAUAAA4AAAAAAAAAAAAAAAAALgIAAGRycy9lMm9Eb2MueG1sUEsBAi0AFAAGAAgAAAAhAMIanyLe&#10;AAAABwEAAA8AAAAAAAAAAAAAAAAA2AQAAGRycy9kb3ducmV2LnhtbFBLBQYAAAAABAAEAPMAAADj&#10;BQAAAAA=&#10;" fillcolor="#00b050" strokecolor="#a5a5a5 [3206]" strokeweight=".5pt">
                      <v:stroke joinstyle="miter"/>
                      <v:path arrowok="t"/>
                    </v:oval>
                  </w:pict>
                </mc:Fallback>
              </mc:AlternateContent>
            </w:r>
          </w:p>
        </w:tc>
        <w:tc>
          <w:tcPr>
            <w:tcW w:w="8604" w:type="dxa"/>
          </w:tcPr>
          <w:p w14:paraId="63673731" w14:textId="77777777" w:rsidR="007D165C" w:rsidRDefault="007D165C" w:rsidP="00EC1B06">
            <w:pPr>
              <w:rPr>
                <w:lang w:eastAsia="en-US"/>
              </w:rPr>
            </w:pPr>
            <w:r>
              <w:rPr>
                <w:rFonts w:eastAsiaTheme="minorHAnsi"/>
                <w:b/>
                <w:lang w:eastAsia="en-US"/>
              </w:rPr>
              <w:t xml:space="preserve">Optional: </w:t>
            </w:r>
            <w:r>
              <w:rPr>
                <w:rFonts w:eastAsiaTheme="minorHAnsi"/>
                <w:lang w:eastAsia="en-US"/>
              </w:rPr>
              <w:t>Leverage built-in tools for BACPAC and DACPAC to move databases to Azure SQL Databases.</w:t>
            </w:r>
          </w:p>
        </w:tc>
      </w:tr>
    </w:tbl>
    <w:p w14:paraId="6919CA34" w14:textId="77777777" w:rsidR="003722E4" w:rsidRDefault="003722E4" w:rsidP="003722E4"/>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3722E4" w14:paraId="4AFCBC17" w14:textId="77777777" w:rsidTr="002F63EE">
        <w:tc>
          <w:tcPr>
            <w:tcW w:w="9360" w:type="dxa"/>
            <w:shd w:val="clear" w:color="auto" w:fill="008AC8"/>
          </w:tcPr>
          <w:p w14:paraId="1D6F1EC9" w14:textId="77777777" w:rsidR="003722E4" w:rsidRPr="00F47607" w:rsidRDefault="003722E4" w:rsidP="002F63EE">
            <w:pPr>
              <w:spacing w:line="240" w:lineRule="auto"/>
              <w:rPr>
                <w:color w:val="FFFFFF"/>
              </w:rPr>
            </w:pPr>
            <w:r>
              <w:rPr>
                <w:color w:val="FFFFFF"/>
              </w:rPr>
              <w:t>Design Guidance</w:t>
            </w:r>
          </w:p>
        </w:tc>
      </w:tr>
    </w:tbl>
    <w:p w14:paraId="4950457F" w14:textId="77777777" w:rsidR="007D165C" w:rsidRDefault="007D165C" w:rsidP="007D165C">
      <w:r>
        <w:t>Running relational databases in the cloud has deep implications to the application, performance, and resiliency. In many ways, the database is as important as the application in terms of how to run it effectively in a public cloud. There are pros and cons to running SQL Server in an IaaS environment as well as Azure SQL Database.</w:t>
      </w:r>
    </w:p>
    <w:p w14:paraId="2786FE11" w14:textId="77777777" w:rsidR="007D165C" w:rsidRDefault="007D165C" w:rsidP="007D165C">
      <w:r>
        <w:t xml:space="preserve">Some fundamental considerations are encryption requirements, performance requirements, and feature requirements. Although data can be encrypted by the application and stored in an SQL Database, TDE is not yet supported in SQL Databases. </w:t>
      </w:r>
    </w:p>
    <w:p w14:paraId="00CD9F5B" w14:textId="77777777" w:rsidR="007D165C" w:rsidRDefault="007D165C" w:rsidP="007D165C">
      <w:r>
        <w:t xml:space="preserve">If this is required, a SQL Server in your IaaS environment would be the preferred target. Performance of an Azure SQL Database can appear to be slower, but one must consider that each write, will be committed to three (3) databases in the local datacenter (synchronously) and other is asynchronously if geo replication is enabled. This affords the benefit of having to maintain as many local backups (built-in backups) with the downside of performance. For high TPS loads, consider adding a caching layer to insulate the application from the performance impacts of multiple commits as much as possible. </w:t>
      </w:r>
    </w:p>
    <w:p w14:paraId="6B671CFB" w14:textId="77777777" w:rsidR="007D165C" w:rsidRPr="00F511B5" w:rsidRDefault="007D165C" w:rsidP="007D165C">
      <w:r>
        <w:t>Advanced features in SQL Server that require access at the disk level or operating system level obviously will not work the same with SQL Database. For example, CLR integration, backup sets, and FILESTREAM tables are not possible with Azure SQL Database.</w:t>
      </w:r>
    </w:p>
    <w:p w14:paraId="6DCFA87E" w14:textId="77777777" w:rsidR="007D165C" w:rsidRDefault="007D165C" w:rsidP="007D165C">
      <w:r>
        <w:t xml:space="preserve">Leveraging Azure SQL Database has some unique security considerations. Azure SQL Database has a public facing IP address that is accessible by anyone. Communications to Azure SQL Database can be secured by using the SQL Server firewall and the per SQL Database firewall. </w:t>
      </w:r>
    </w:p>
    <w:p w14:paraId="45C4DE86" w14:textId="527FD0F3" w:rsidR="003722E4" w:rsidRDefault="007D165C" w:rsidP="007D165C">
      <w:r>
        <w:t>This allows for specific IP addresses that can connect to the database. When using ExpressRoute and public peering to access Azure SQL Database, the access flows through a network address translation (NAT) interface. This means the NAT address has to be specified in the firewall rules for Azure SQL Database, and therefore, it does not allow the ability to specify end-to-end security</w:t>
      </w:r>
      <w:r w:rsidR="000F3853">
        <w:t>.</w:t>
      </w:r>
    </w:p>
    <w:tbl>
      <w:tblPr>
        <w:tblW w:w="9355"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29" w:type="dxa"/>
          <w:bottom w:w="29" w:type="dxa"/>
        </w:tblCellMar>
        <w:tblLook w:val="04A0" w:firstRow="1" w:lastRow="0" w:firstColumn="1" w:lastColumn="0" w:noHBand="0" w:noVBand="1"/>
      </w:tblPr>
      <w:tblGrid>
        <w:gridCol w:w="2965"/>
        <w:gridCol w:w="2787"/>
        <w:gridCol w:w="3603"/>
      </w:tblGrid>
      <w:tr w:rsidR="003722E4" w14:paraId="10CCAED1" w14:textId="77777777" w:rsidTr="002F63EE">
        <w:tc>
          <w:tcPr>
            <w:tcW w:w="2965" w:type="dxa"/>
            <w:tcBorders>
              <w:top w:val="single" w:sz="4" w:space="0" w:color="A5A5A5"/>
              <w:left w:val="single" w:sz="4" w:space="0" w:color="A5A5A5"/>
              <w:bottom w:val="single" w:sz="4" w:space="0" w:color="A5A5A5"/>
              <w:right w:val="nil"/>
            </w:tcBorders>
            <w:shd w:val="clear" w:color="auto" w:fill="A5A5A5"/>
            <w:hideMark/>
          </w:tcPr>
          <w:p w14:paraId="01487DB0" w14:textId="77777777" w:rsidR="003722E4" w:rsidRPr="00F47607" w:rsidRDefault="003722E4" w:rsidP="002F63EE">
            <w:pPr>
              <w:spacing w:line="240" w:lineRule="auto"/>
              <w:rPr>
                <w:rFonts w:ascii="Times New Roman" w:hAnsi="Times New Roman"/>
                <w:b/>
                <w:bCs/>
                <w:color w:val="FFFFFF"/>
                <w:lang w:val="en-AU" w:eastAsia="en-AU"/>
              </w:rPr>
            </w:pPr>
            <w:r w:rsidRPr="00F47607">
              <w:rPr>
                <w:rFonts w:eastAsia="Calibri"/>
                <w:b/>
                <w:bCs/>
                <w:color w:val="FFFFFF"/>
                <w:lang w:val="en-AU" w:eastAsia="en-AU"/>
              </w:rPr>
              <w:t>Scenario</w:t>
            </w:r>
          </w:p>
        </w:tc>
        <w:tc>
          <w:tcPr>
            <w:tcW w:w="2787" w:type="dxa"/>
            <w:tcBorders>
              <w:top w:val="single" w:sz="4" w:space="0" w:color="A5A5A5"/>
              <w:left w:val="nil"/>
              <w:bottom w:val="single" w:sz="4" w:space="0" w:color="A5A5A5"/>
              <w:right w:val="nil"/>
            </w:tcBorders>
            <w:shd w:val="clear" w:color="auto" w:fill="A5A5A5"/>
            <w:hideMark/>
          </w:tcPr>
          <w:p w14:paraId="550A78D1" w14:textId="77777777" w:rsidR="003722E4" w:rsidRPr="00F47607" w:rsidRDefault="003722E4" w:rsidP="002F63EE">
            <w:pPr>
              <w:spacing w:line="240" w:lineRule="auto"/>
              <w:rPr>
                <w:rFonts w:eastAsia="Calibri"/>
                <w:b/>
                <w:color w:val="FFFFFF"/>
                <w:lang w:val="en-AU" w:eastAsia="en-AU"/>
              </w:rPr>
            </w:pPr>
            <w:r>
              <w:rPr>
                <w:rFonts w:eastAsia="Calibri"/>
                <w:b/>
                <w:bCs/>
                <w:color w:val="FFFFFF"/>
                <w:lang w:val="en-AU" w:eastAsia="en-AU"/>
              </w:rPr>
              <w:t>Model</w:t>
            </w:r>
          </w:p>
        </w:tc>
        <w:tc>
          <w:tcPr>
            <w:tcW w:w="3603" w:type="dxa"/>
            <w:tcBorders>
              <w:top w:val="single" w:sz="4" w:space="0" w:color="A5A5A5"/>
              <w:left w:val="nil"/>
              <w:bottom w:val="single" w:sz="4" w:space="0" w:color="A5A5A5"/>
              <w:right w:val="single" w:sz="4" w:space="0" w:color="A5A5A5"/>
            </w:tcBorders>
            <w:shd w:val="clear" w:color="auto" w:fill="A5A5A5"/>
            <w:hideMark/>
          </w:tcPr>
          <w:p w14:paraId="0DC9C664" w14:textId="77777777" w:rsidR="003722E4" w:rsidRPr="00F47607" w:rsidRDefault="003722E4" w:rsidP="002F63EE">
            <w:pPr>
              <w:spacing w:line="240" w:lineRule="auto"/>
              <w:rPr>
                <w:rFonts w:eastAsia="Calibri"/>
                <w:b/>
                <w:color w:val="FFFFFF"/>
                <w:lang w:val="en-AU" w:eastAsia="en-AU"/>
              </w:rPr>
            </w:pPr>
            <w:r w:rsidRPr="00F47607">
              <w:rPr>
                <w:rFonts w:eastAsia="Calibri"/>
                <w:b/>
                <w:bCs/>
                <w:color w:val="FFFFFF"/>
                <w:lang w:val="en-AU" w:eastAsia="en-AU"/>
              </w:rPr>
              <w:t>Points to Consider</w:t>
            </w:r>
          </w:p>
        </w:tc>
      </w:tr>
      <w:tr w:rsidR="007D165C" w14:paraId="7C3DFEA3" w14:textId="77777777" w:rsidTr="002F63EE">
        <w:tc>
          <w:tcPr>
            <w:tcW w:w="2965" w:type="dxa"/>
            <w:shd w:val="clear" w:color="auto" w:fill="EDEDED"/>
            <w:hideMark/>
          </w:tcPr>
          <w:p w14:paraId="175B3C27" w14:textId="643BFECF" w:rsidR="007D165C" w:rsidRPr="00F47607" w:rsidRDefault="007D165C" w:rsidP="007D165C">
            <w:pPr>
              <w:pStyle w:val="NormalWeb"/>
              <w:rPr>
                <w:rFonts w:ascii="Segoe UI" w:hAnsi="Segoe UI" w:cs="Segoe UI"/>
                <w:sz w:val="20"/>
                <w:szCs w:val="20"/>
                <w:lang w:val="en-AU" w:eastAsia="en-AU"/>
              </w:rPr>
            </w:pPr>
            <w:r>
              <w:rPr>
                <w:rFonts w:ascii="Segoe UI" w:hAnsi="Segoe UI" w:cs="Segoe UI"/>
                <w:b/>
                <w:bCs/>
                <w:sz w:val="20"/>
                <w:szCs w:val="20"/>
                <w:lang w:val="en-AU" w:eastAsia="en-AU"/>
              </w:rPr>
              <w:t>FILESTREAM needed</w:t>
            </w:r>
          </w:p>
        </w:tc>
        <w:tc>
          <w:tcPr>
            <w:tcW w:w="2787" w:type="dxa"/>
            <w:shd w:val="clear" w:color="auto" w:fill="EDEDED"/>
            <w:hideMark/>
          </w:tcPr>
          <w:p w14:paraId="221F6ECC" w14:textId="024A822A" w:rsidR="007D165C" w:rsidRPr="00F47607" w:rsidRDefault="007D165C" w:rsidP="007D165C">
            <w:pPr>
              <w:pStyle w:val="NormalWeb"/>
              <w:rPr>
                <w:rFonts w:ascii="Segoe UI" w:hAnsi="Segoe UI" w:cs="Segoe UI"/>
                <w:sz w:val="20"/>
                <w:szCs w:val="20"/>
                <w:lang w:val="en-AU" w:eastAsia="en-AU"/>
              </w:rPr>
            </w:pPr>
            <w:r>
              <w:rPr>
                <w:rFonts w:ascii="Segoe UI" w:hAnsi="Segoe UI" w:cs="Segoe UI"/>
                <w:sz w:val="20"/>
                <w:szCs w:val="20"/>
                <w:lang w:val="en-AU" w:eastAsia="en-AU"/>
              </w:rPr>
              <w:t>Shred the file objects to a blob in Azure Storage and store indexes in SQL Server</w:t>
            </w:r>
          </w:p>
        </w:tc>
        <w:tc>
          <w:tcPr>
            <w:tcW w:w="3603" w:type="dxa"/>
            <w:shd w:val="clear" w:color="auto" w:fill="EDEDED"/>
            <w:hideMark/>
          </w:tcPr>
          <w:p w14:paraId="2AEA5EA7" w14:textId="0D93E91D" w:rsidR="007D165C" w:rsidRPr="00B814EA" w:rsidRDefault="007D165C" w:rsidP="007D165C">
            <w:pPr>
              <w:pStyle w:val="NormalWeb"/>
              <w:rPr>
                <w:rFonts w:ascii="Segoe UI" w:hAnsi="Segoe UI" w:cs="Segoe UI"/>
                <w:sz w:val="20"/>
                <w:szCs w:val="20"/>
                <w:lang w:val="en-AU" w:eastAsia="en-AU"/>
              </w:rPr>
            </w:pPr>
            <w:r>
              <w:rPr>
                <w:rFonts w:ascii="Segoe UI" w:hAnsi="Segoe UI" w:cs="Segoe UI"/>
                <w:sz w:val="20"/>
                <w:szCs w:val="20"/>
                <w:lang w:val="en-AU" w:eastAsia="en-AU"/>
              </w:rPr>
              <w:t>FILESTREAM is not available with Azure SQL Databases</w:t>
            </w:r>
          </w:p>
        </w:tc>
      </w:tr>
      <w:tr w:rsidR="007D165C" w14:paraId="7B26E0D8" w14:textId="77777777" w:rsidTr="002F63EE">
        <w:tc>
          <w:tcPr>
            <w:tcW w:w="2965" w:type="dxa"/>
            <w:shd w:val="clear" w:color="auto" w:fill="auto"/>
            <w:hideMark/>
          </w:tcPr>
          <w:p w14:paraId="715EA87A" w14:textId="2DFC316F" w:rsidR="007D165C" w:rsidRPr="00F47607" w:rsidRDefault="007D165C" w:rsidP="007D165C">
            <w:pPr>
              <w:pStyle w:val="NormalWeb"/>
              <w:rPr>
                <w:rFonts w:ascii="Segoe UI" w:hAnsi="Segoe UI" w:cs="Segoe UI"/>
                <w:bCs/>
                <w:sz w:val="20"/>
                <w:szCs w:val="20"/>
                <w:lang w:val="en-AU" w:eastAsia="en-AU"/>
              </w:rPr>
            </w:pPr>
            <w:r>
              <w:rPr>
                <w:rFonts w:ascii="Segoe UI" w:hAnsi="Segoe UI" w:cs="Segoe UI"/>
                <w:b/>
                <w:bCs/>
                <w:sz w:val="20"/>
                <w:szCs w:val="20"/>
                <w:lang w:val="en-AU" w:eastAsia="en-AU"/>
              </w:rPr>
              <w:t>SQL backups</w:t>
            </w:r>
          </w:p>
        </w:tc>
        <w:tc>
          <w:tcPr>
            <w:tcW w:w="2787" w:type="dxa"/>
            <w:shd w:val="clear" w:color="auto" w:fill="auto"/>
            <w:hideMark/>
          </w:tcPr>
          <w:p w14:paraId="57723480" w14:textId="2A645B5A" w:rsidR="007D165C" w:rsidRPr="00F47607" w:rsidRDefault="007D165C" w:rsidP="007D165C">
            <w:pPr>
              <w:pStyle w:val="NormalWeb"/>
              <w:rPr>
                <w:rFonts w:ascii="Segoe UI" w:hAnsi="Segoe UI" w:cs="Segoe UI"/>
                <w:sz w:val="20"/>
                <w:szCs w:val="20"/>
                <w:lang w:val="en-AU" w:eastAsia="en-AU"/>
              </w:rPr>
            </w:pPr>
            <w:r>
              <w:rPr>
                <w:rFonts w:ascii="Segoe UI" w:hAnsi="Segoe UI" w:cs="Segoe UI"/>
                <w:sz w:val="20"/>
                <w:szCs w:val="20"/>
                <w:lang w:val="en-AU" w:eastAsia="en-AU"/>
              </w:rPr>
              <w:t>Use geo-replication and point-in-time backups for Azure SQL Database workloads</w:t>
            </w:r>
          </w:p>
        </w:tc>
        <w:tc>
          <w:tcPr>
            <w:tcW w:w="3603" w:type="dxa"/>
            <w:shd w:val="clear" w:color="auto" w:fill="auto"/>
            <w:hideMark/>
          </w:tcPr>
          <w:p w14:paraId="5354E6CB" w14:textId="1F9F5F65" w:rsidR="007D165C" w:rsidRPr="005720DA" w:rsidRDefault="007D165C" w:rsidP="007D165C">
            <w:pPr>
              <w:pStyle w:val="NormalWeb"/>
              <w:rPr>
                <w:rFonts w:ascii="Segoe UI" w:hAnsi="Segoe UI" w:cs="Segoe UI"/>
                <w:sz w:val="20"/>
                <w:szCs w:val="20"/>
                <w:lang w:val="en-AU" w:eastAsia="en-AU"/>
              </w:rPr>
            </w:pPr>
            <w:r>
              <w:rPr>
                <w:rFonts w:ascii="Segoe UI" w:hAnsi="Segoe UI" w:cs="Segoe UI"/>
                <w:sz w:val="20"/>
                <w:szCs w:val="20"/>
                <w:lang w:val="en-AU" w:eastAsia="en-AU"/>
              </w:rPr>
              <w:t>Traditional backup sets are not supported in Azure SQL Databases</w:t>
            </w:r>
          </w:p>
        </w:tc>
      </w:tr>
    </w:tbl>
    <w:p w14:paraId="13454A48" w14:textId="77777777" w:rsidR="003722E4" w:rsidRDefault="003722E4" w:rsidP="003722E4"/>
    <w:p w14:paraId="643F5E48" w14:textId="77777777" w:rsidR="003722E4" w:rsidRDefault="003722E4" w:rsidP="005729D2">
      <w:pPr>
        <w:pStyle w:val="Heading3Numbered"/>
        <w:numPr>
          <w:ilvl w:val="2"/>
          <w:numId w:val="64"/>
        </w:numPr>
      </w:pPr>
      <w:bookmarkStart w:id="3355" w:name="_Toc417933809"/>
      <w:bookmarkStart w:id="3356" w:name="_Toc417935750"/>
      <w:bookmarkStart w:id="3357" w:name="_Toc418029970"/>
      <w:bookmarkStart w:id="3358" w:name="_Toc418036906"/>
      <w:bookmarkStart w:id="3359" w:name="_Toc418061382"/>
      <w:bookmarkStart w:id="3360" w:name="_Toc418081260"/>
      <w:bookmarkStart w:id="3361" w:name="_Toc418081910"/>
      <w:bookmarkStart w:id="3362" w:name="_Toc418083313"/>
      <w:bookmarkStart w:id="3363" w:name="_Toc418096056"/>
      <w:bookmarkStart w:id="3364" w:name="_Toc418156701"/>
      <w:bookmarkStart w:id="3365" w:name="_Toc418167620"/>
      <w:bookmarkStart w:id="3366" w:name="_Toc418185876"/>
      <w:bookmarkStart w:id="3367" w:name="_Toc422941586"/>
      <w:bookmarkStart w:id="3368" w:name="_Toc423116792"/>
      <w:bookmarkStart w:id="3369" w:name="_Toc423117825"/>
      <w:bookmarkStart w:id="3370" w:name="_Toc423117275"/>
      <w:bookmarkStart w:id="3371" w:name="_Toc431288867"/>
      <w:r>
        <w:t>Azure Batch</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78AB5B3A" w14:textId="6EA51DEE" w:rsidR="00974D8E" w:rsidRDefault="003722E4" w:rsidP="00974D8E">
      <w:r>
        <w:rPr>
          <w:noProof/>
        </w:rPr>
        <w:drawing>
          <wp:anchor distT="0" distB="0" distL="114300" distR="114300" simplePos="0" relativeHeight="251472896" behindDoc="0" locked="0" layoutInCell="1" allowOverlap="1" wp14:anchorId="4C48C1A2" wp14:editId="27F3E41B">
            <wp:simplePos x="0" y="0"/>
            <wp:positionH relativeFrom="column">
              <wp:posOffset>152400</wp:posOffset>
            </wp:positionH>
            <wp:positionV relativeFrom="paragraph">
              <wp:posOffset>153670</wp:posOffset>
            </wp:positionV>
            <wp:extent cx="2286000" cy="2165350"/>
            <wp:effectExtent l="95250" t="95250" r="95250" b="101600"/>
            <wp:wrapSquare wrapText="bothSides"/>
            <wp:docPr id="41160" name="Picture 4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27" name="batch.png"/>
                    <pic:cNvPicPr/>
                  </pic:nvPicPr>
                  <pic:blipFill>
                    <a:blip r:embed="rId314">
                      <a:extLst>
                        <a:ext uri="{28A0092B-C50C-407E-A947-70E740481C1C}">
                          <a14:useLocalDpi xmlns:a14="http://schemas.microsoft.com/office/drawing/2010/main" val="0"/>
                        </a:ext>
                      </a:extLst>
                    </a:blip>
                    <a:stretch>
                      <a:fillRect/>
                    </a:stretch>
                  </pic:blipFill>
                  <pic:spPr>
                    <a:xfrm>
                      <a:off x="0" y="0"/>
                      <a:ext cx="2286000" cy="2165350"/>
                    </a:xfrm>
                    <a:prstGeom prst="rect">
                      <a:avLst/>
                    </a:prstGeom>
                    <a:solidFill>
                      <a:srgbClr val="FFFFFF">
                        <a:shade val="85000"/>
                      </a:srgbClr>
                    </a:solidFill>
                    <a:ln w="88900" cap="sq">
                      <a:solidFill>
                        <a:srgbClr val="FFFFFF"/>
                      </a:solidFill>
                      <a:miter lim="800000"/>
                    </a:ln>
                    <a:effectLst/>
                    <a:scene3d>
                      <a:camera prst="orthographicFront"/>
                      <a:lightRig rig="twoPt" dir="t">
                        <a:rot lat="0" lon="0" rev="7200000"/>
                      </a:lightRig>
                    </a:scene3d>
                    <a:sp3d>
                      <a:bevelT w="25400" h="19050"/>
                      <a:contourClr>
                        <a:srgbClr val="FFFFFF"/>
                      </a:contourClr>
                    </a:sp3d>
                  </pic:spPr>
                </pic:pic>
              </a:graphicData>
            </a:graphic>
          </wp:anchor>
        </w:drawing>
      </w:r>
      <w:r>
        <w:t xml:space="preserve">As </w:t>
      </w:r>
      <w:r w:rsidR="00974D8E">
        <w:rPr>
          <w:noProof/>
        </w:rPr>
        <w:drawing>
          <wp:anchor distT="0" distB="0" distL="114300" distR="114300" simplePos="0" relativeHeight="251693056" behindDoc="0" locked="0" layoutInCell="1" allowOverlap="1" wp14:anchorId="1A595A6C" wp14:editId="70EE8F9D">
            <wp:simplePos x="0" y="0"/>
            <wp:positionH relativeFrom="column">
              <wp:posOffset>152400</wp:posOffset>
            </wp:positionH>
            <wp:positionV relativeFrom="paragraph">
              <wp:posOffset>153670</wp:posOffset>
            </wp:positionV>
            <wp:extent cx="2286000" cy="2165350"/>
            <wp:effectExtent l="95250" t="95250" r="95250" b="101600"/>
            <wp:wrapSquare wrapText="bothSides"/>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27" name="batch.png"/>
                    <pic:cNvPicPr/>
                  </pic:nvPicPr>
                  <pic:blipFill>
                    <a:blip r:embed="rId314">
                      <a:extLst>
                        <a:ext uri="{28A0092B-C50C-407E-A947-70E740481C1C}">
                          <a14:useLocalDpi xmlns:a14="http://schemas.microsoft.com/office/drawing/2010/main" val="0"/>
                        </a:ext>
                      </a:extLst>
                    </a:blip>
                    <a:stretch>
                      <a:fillRect/>
                    </a:stretch>
                  </pic:blipFill>
                  <pic:spPr>
                    <a:xfrm>
                      <a:off x="0" y="0"/>
                      <a:ext cx="2286000" cy="2165350"/>
                    </a:xfrm>
                    <a:prstGeom prst="rect">
                      <a:avLst/>
                    </a:prstGeom>
                    <a:solidFill>
                      <a:srgbClr val="FFFFFF">
                        <a:shade val="85000"/>
                      </a:srgbClr>
                    </a:solidFill>
                    <a:ln w="88900" cap="sq">
                      <a:solidFill>
                        <a:srgbClr val="FFFFFF"/>
                      </a:solidFill>
                      <a:miter lim="800000"/>
                    </a:ln>
                    <a:effectLst/>
                    <a:scene3d>
                      <a:camera prst="orthographicFront"/>
                      <a:lightRig rig="twoPt" dir="t">
                        <a:rot lat="0" lon="0" rev="7200000"/>
                      </a:lightRig>
                    </a:scene3d>
                    <a:sp3d>
                      <a:bevelT w="25400" h="19050"/>
                      <a:contourClr>
                        <a:srgbClr val="FFFFFF"/>
                      </a:contourClr>
                    </a:sp3d>
                  </pic:spPr>
                </pic:pic>
              </a:graphicData>
            </a:graphic>
          </wp:anchor>
        </w:drawing>
      </w:r>
      <w:r w:rsidR="00974D8E">
        <w:t xml:space="preserve"> discussed earlier, there is often the need to run processing that might not have an immediate UI and runs as a service in the background. Traditional PaaS offering was to leverage a worker role and implement the business logic via custom code.</w:t>
      </w:r>
    </w:p>
    <w:p w14:paraId="60D7B51B" w14:textId="77777777" w:rsidR="00974D8E" w:rsidRDefault="00974D8E" w:rsidP="00974D8E">
      <w:r>
        <w:rPr>
          <w:noProof/>
        </w:rPr>
        <w:drawing>
          <wp:anchor distT="0" distB="0" distL="114300" distR="114300" simplePos="0" relativeHeight="251698176" behindDoc="0" locked="0" layoutInCell="1" allowOverlap="1" wp14:anchorId="0B086496" wp14:editId="5C078D5B">
            <wp:simplePos x="0" y="0"/>
            <wp:positionH relativeFrom="margin">
              <wp:align>right</wp:align>
            </wp:positionH>
            <wp:positionV relativeFrom="paragraph">
              <wp:posOffset>1309063</wp:posOffset>
            </wp:positionV>
            <wp:extent cx="1949550" cy="1352620"/>
            <wp:effectExtent l="0" t="0" r="0" b="0"/>
            <wp:wrapSquare wrapText="bothSides"/>
            <wp:docPr id="41161" name="Picture 4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28" name="batch_task.png"/>
                    <pic:cNvPicPr/>
                  </pic:nvPicPr>
                  <pic:blipFill>
                    <a:blip r:embed="rId315">
                      <a:extLst>
                        <a:ext uri="{28A0092B-C50C-407E-A947-70E740481C1C}">
                          <a14:useLocalDpi xmlns:a14="http://schemas.microsoft.com/office/drawing/2010/main" val="0"/>
                        </a:ext>
                      </a:extLst>
                    </a:blip>
                    <a:stretch>
                      <a:fillRect/>
                    </a:stretch>
                  </pic:blipFill>
                  <pic:spPr>
                    <a:xfrm>
                      <a:off x="0" y="0"/>
                      <a:ext cx="1949550" cy="1352620"/>
                    </a:xfrm>
                    <a:prstGeom prst="rect">
                      <a:avLst/>
                    </a:prstGeom>
                  </pic:spPr>
                </pic:pic>
              </a:graphicData>
            </a:graphic>
          </wp:anchor>
        </w:drawing>
      </w:r>
      <w:r>
        <w:t>Azure Batch offers a similar type service, but with a unique twist. It has been designed to run background processes, but it is centered on high-performance data. It can provide scheduling, auto-scaling of compute resources, and partitioning of jobs.</w:t>
      </w:r>
    </w:p>
    <w:p w14:paraId="4E4BC285" w14:textId="77777777" w:rsidR="00974D8E" w:rsidRDefault="00974D8E" w:rsidP="00974D8E">
      <w:r>
        <w:t>This type of service targets the following type of workloads:</w:t>
      </w:r>
    </w:p>
    <w:p w14:paraId="4B724FDE" w14:textId="77777777" w:rsidR="00974D8E" w:rsidRDefault="00974D8E" w:rsidP="00974D8E">
      <w:pPr>
        <w:pStyle w:val="ListParagraph"/>
        <w:numPr>
          <w:ilvl w:val="0"/>
          <w:numId w:val="8"/>
        </w:numPr>
      </w:pPr>
      <w:r>
        <w:t xml:space="preserve">Financial risk modeling </w:t>
      </w:r>
    </w:p>
    <w:p w14:paraId="7B6ED288" w14:textId="77777777" w:rsidR="00974D8E" w:rsidRDefault="00974D8E" w:rsidP="00974D8E">
      <w:pPr>
        <w:pStyle w:val="ListParagraph"/>
        <w:numPr>
          <w:ilvl w:val="0"/>
          <w:numId w:val="8"/>
        </w:numPr>
      </w:pPr>
      <w:r>
        <w:t xml:space="preserve">Image rendering </w:t>
      </w:r>
    </w:p>
    <w:p w14:paraId="658FB845" w14:textId="77777777" w:rsidR="00974D8E" w:rsidRDefault="00974D8E" w:rsidP="00974D8E">
      <w:pPr>
        <w:pStyle w:val="ListParagraph"/>
        <w:numPr>
          <w:ilvl w:val="0"/>
          <w:numId w:val="8"/>
        </w:numPr>
      </w:pPr>
      <w:r>
        <w:t>Image processing</w:t>
      </w:r>
    </w:p>
    <w:p w14:paraId="559D1B7D" w14:textId="77777777" w:rsidR="00974D8E" w:rsidRDefault="00974D8E" w:rsidP="00974D8E">
      <w:pPr>
        <w:pStyle w:val="ListParagraph"/>
        <w:numPr>
          <w:ilvl w:val="0"/>
          <w:numId w:val="8"/>
        </w:numPr>
      </w:pPr>
      <w:r>
        <w:t>Media encoding and transcoding</w:t>
      </w:r>
    </w:p>
    <w:p w14:paraId="07345DE2" w14:textId="71695198" w:rsidR="00974D8E" w:rsidRDefault="00974D8E" w:rsidP="00974D8E">
      <w:pPr>
        <w:pStyle w:val="ListParagraph"/>
        <w:numPr>
          <w:ilvl w:val="0"/>
          <w:numId w:val="8"/>
        </w:numPr>
      </w:pPr>
      <w:r>
        <w:t>Genetic sequence analysis</w:t>
      </w:r>
    </w:p>
    <w:p w14:paraId="2F7C9551" w14:textId="7B645704" w:rsidR="003722E4" w:rsidRDefault="00974D8E" w:rsidP="00974D8E">
      <w:pPr>
        <w:pStyle w:val="ListParagraph"/>
        <w:numPr>
          <w:ilvl w:val="0"/>
          <w:numId w:val="8"/>
        </w:numPr>
      </w:pPr>
      <w:r>
        <w:t>Software testing</w:t>
      </w:r>
    </w:p>
    <w:p w14:paraId="434B5903" w14:textId="77777777" w:rsidR="00974D8E" w:rsidRDefault="00974D8E" w:rsidP="00974D8E">
      <w:pPr>
        <w:pStyle w:val="ListParagraph"/>
        <w:numPr>
          <w:ilvl w:val="0"/>
          <w:numId w:val="8"/>
        </w:numPr>
      </w:pPr>
      <w:r>
        <w:t xml:space="preserve">Azure Batch is comprised of two primary components: Azure Batch and Azure Batch Apps. Azure Batch APIs focus on the ability to create pools of virtual machines and define work items to be scheduled for processing. </w:t>
      </w:r>
    </w:p>
    <w:p w14:paraId="3CA2AF0B" w14:textId="77777777" w:rsidR="00974D8E" w:rsidRDefault="00974D8E" w:rsidP="00974D8E">
      <w:pPr>
        <w:pStyle w:val="ListParagraph"/>
        <w:numPr>
          <w:ilvl w:val="0"/>
          <w:numId w:val="8"/>
        </w:numPr>
      </w:pPr>
      <w:r>
        <w:t xml:space="preserve">Before the advent of Azure Batch, the typical model was to create an HPC cluster, and devise a software model that would allow scheduling or queueing items that required processing. </w:t>
      </w:r>
    </w:p>
    <w:p w14:paraId="48220280" w14:textId="77777777" w:rsidR="00974D8E" w:rsidRDefault="00974D8E" w:rsidP="00974D8E">
      <w:pPr>
        <w:pStyle w:val="ListParagraph"/>
        <w:numPr>
          <w:ilvl w:val="0"/>
          <w:numId w:val="8"/>
        </w:numPr>
      </w:pPr>
      <w:r>
        <w:t xml:space="preserve">Azure Batch includes an API to support the infrastructure. There is no need to manually build servers and software libraries to handle job scheduling. This allows consumers the ability to focus purely on the business logic and use configuration to drive the infrastructure. </w:t>
      </w:r>
    </w:p>
    <w:p w14:paraId="59791DBD" w14:textId="5BC6C99B" w:rsidR="003722E4" w:rsidRDefault="00974D8E" w:rsidP="00974D8E">
      <w:pPr>
        <w:pStyle w:val="ListParagraph"/>
        <w:numPr>
          <w:ilvl w:val="0"/>
          <w:numId w:val="8"/>
        </w:numPr>
      </w:pPr>
      <w:r>
        <w:t>Azure Batch apps take this a step further. Consumers can publish an “app,” which is essentially a service that allows data to be fed to it, and it will run as needed. Definition of the pool for the compute workload is defined in the configuration. This adds the ability to monitor these jobs via the Azure portal and via the REST API for extensibility to build custom dashboards</w:t>
      </w:r>
      <w:r w:rsidR="003722E4">
        <w:t>.</w:t>
      </w:r>
    </w:p>
    <w:p w14:paraId="1676C948" w14:textId="77777777" w:rsidR="003722E4" w:rsidRPr="00424308" w:rsidRDefault="003722E4" w:rsidP="003722E4">
      <w:pPr>
        <w:spacing w:before="0" w:after="160" w:line="259" w:lineRule="auto"/>
        <w:rPr>
          <w:rStyle w:val="Hyperlink"/>
          <w:color w:val="auto"/>
          <w:u w:val="none"/>
        </w:rPr>
      </w:pPr>
      <w:r>
        <w:rPr>
          <w:noProof/>
        </w:rPr>
        <w:drawing>
          <wp:inline distT="0" distB="0" distL="0" distR="0" wp14:anchorId="5ECAD12E" wp14:editId="7C16071A">
            <wp:extent cx="5943600" cy="2758440"/>
            <wp:effectExtent l="0" t="0" r="0" b="3810"/>
            <wp:docPr id="1252047299" name="Picture 1252047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047299" name="azure_batch.png"/>
                    <pic:cNvPicPr/>
                  </pic:nvPicPr>
                  <pic:blipFill>
                    <a:blip r:embed="rId316">
                      <a:extLst>
                        <a:ext uri="{28A0092B-C50C-407E-A947-70E740481C1C}">
                          <a14:useLocalDpi xmlns:a14="http://schemas.microsoft.com/office/drawing/2010/main" val="0"/>
                        </a:ext>
                      </a:extLst>
                    </a:blip>
                    <a:stretch>
                      <a:fillRect/>
                    </a:stretch>
                  </pic:blipFill>
                  <pic:spPr>
                    <a:xfrm>
                      <a:off x="0" y="0"/>
                      <a:ext cx="5943600" cy="2758440"/>
                    </a:xfrm>
                    <a:prstGeom prst="rect">
                      <a:avLst/>
                    </a:prstGeom>
                    <a:ln>
                      <a:noFill/>
                    </a:ln>
                    <a:effectLst/>
                  </pic:spPr>
                </pic:pic>
              </a:graphicData>
            </a:graphic>
          </wp:inline>
        </w:drawing>
      </w:r>
    </w:p>
    <w:tbl>
      <w:tblPr>
        <w:tblStyle w:val="PlainTable11"/>
        <w:tblW w:w="0" w:type="auto"/>
        <w:tblLook w:val="04A0" w:firstRow="1" w:lastRow="0" w:firstColumn="1" w:lastColumn="0" w:noHBand="0" w:noVBand="1"/>
      </w:tblPr>
      <w:tblGrid>
        <w:gridCol w:w="3415"/>
        <w:gridCol w:w="5935"/>
      </w:tblGrid>
      <w:tr w:rsidR="003722E4" w14:paraId="4025C182" w14:textId="77777777" w:rsidTr="0013185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66149F07" w14:textId="77777777" w:rsidR="003722E4" w:rsidRPr="00F47607" w:rsidRDefault="003722E4" w:rsidP="002F63EE">
            <w:pPr>
              <w:spacing w:line="240" w:lineRule="auto"/>
              <w:rPr>
                <w:color w:val="FFFFFF"/>
              </w:rPr>
            </w:pPr>
            <w:r>
              <w:rPr>
                <w:color w:val="FFFFFF"/>
              </w:rPr>
              <w:t>Feature References</w:t>
            </w:r>
          </w:p>
        </w:tc>
      </w:tr>
      <w:tr w:rsidR="003722E4" w14:paraId="5D00FBCE"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037D7CA2" w14:textId="77777777" w:rsidR="003722E4" w:rsidRPr="001E5AC2" w:rsidRDefault="003722E4" w:rsidP="002F63EE">
            <w:pPr>
              <w:spacing w:line="240" w:lineRule="auto"/>
              <w:rPr>
                <w:sz w:val="20"/>
                <w:szCs w:val="20"/>
              </w:rPr>
            </w:pPr>
            <w:r w:rsidRPr="001E5AC2">
              <w:rPr>
                <w:sz w:val="20"/>
                <w:szCs w:val="20"/>
              </w:rPr>
              <w:t>Azure Batch Technical Overview</w:t>
            </w:r>
          </w:p>
        </w:tc>
        <w:tc>
          <w:tcPr>
            <w:tcW w:w="5940" w:type="dxa"/>
          </w:tcPr>
          <w:p w14:paraId="0023159E" w14:textId="77777777" w:rsidR="003722E4" w:rsidRPr="001E5AC2" w:rsidRDefault="00872E47" w:rsidP="002F63EE">
            <w:pPr>
              <w:cnfStyle w:val="000000100000" w:firstRow="0" w:lastRow="0" w:firstColumn="0" w:lastColumn="0" w:oddVBand="0" w:evenVBand="0" w:oddHBand="1" w:evenHBand="0" w:firstRowFirstColumn="0" w:firstRowLastColumn="0" w:lastRowFirstColumn="0" w:lastRowLastColumn="0"/>
              <w:rPr>
                <w:sz w:val="20"/>
                <w:szCs w:val="20"/>
              </w:rPr>
            </w:pPr>
            <w:hyperlink r:id="rId317" w:history="1">
              <w:r w:rsidR="003722E4" w:rsidRPr="001E5AC2">
                <w:rPr>
                  <w:rStyle w:val="Hyperlink"/>
                  <w:sz w:val="20"/>
                  <w:szCs w:val="20"/>
                </w:rPr>
                <w:t>http://azure.microsoft.com/en-us/documentation/articles/batch-technical-overview/</w:t>
              </w:r>
            </w:hyperlink>
          </w:p>
        </w:tc>
      </w:tr>
      <w:tr w:rsidR="003722E4" w14:paraId="734BCBB8"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09C8EA87" w14:textId="77777777" w:rsidR="003722E4" w:rsidRPr="00F47607" w:rsidRDefault="003722E4" w:rsidP="002F63EE">
            <w:pPr>
              <w:spacing w:line="240" w:lineRule="auto"/>
              <w:rPr>
                <w:sz w:val="20"/>
              </w:rPr>
            </w:pPr>
            <w:r w:rsidRPr="001E5AC2">
              <w:rPr>
                <w:sz w:val="20"/>
                <w:szCs w:val="20"/>
              </w:rPr>
              <w:t>Azure Batch APIs</w:t>
            </w:r>
          </w:p>
        </w:tc>
        <w:tc>
          <w:tcPr>
            <w:tcW w:w="5940" w:type="dxa"/>
          </w:tcPr>
          <w:p w14:paraId="7BD9F2FD" w14:textId="77777777" w:rsidR="003722E4" w:rsidRPr="001E5AC2" w:rsidRDefault="00872E47" w:rsidP="002F63EE">
            <w:pPr>
              <w:cnfStyle w:val="000000000000" w:firstRow="0" w:lastRow="0" w:firstColumn="0" w:lastColumn="0" w:oddVBand="0" w:evenVBand="0" w:oddHBand="0" w:evenHBand="0" w:firstRowFirstColumn="0" w:firstRowLastColumn="0" w:lastRowFirstColumn="0" w:lastRowLastColumn="0"/>
              <w:rPr>
                <w:sz w:val="20"/>
                <w:szCs w:val="20"/>
              </w:rPr>
            </w:pPr>
            <w:hyperlink r:id="rId318" w:history="1">
              <w:r w:rsidR="003722E4" w:rsidRPr="001E5AC2">
                <w:rPr>
                  <w:rStyle w:val="Hyperlink"/>
                  <w:sz w:val="20"/>
                  <w:szCs w:val="20"/>
                </w:rPr>
                <w:t>https://msdn.microsoft.com/en-us/library/azure/dn820177.aspx</w:t>
              </w:r>
            </w:hyperlink>
          </w:p>
        </w:tc>
      </w:tr>
    </w:tbl>
    <w:p w14:paraId="3DD33CC4" w14:textId="537432C6" w:rsidR="003722E4" w:rsidRDefault="003722E4" w:rsidP="003722E4"/>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974D8E" w14:paraId="1C6C3FEB" w14:textId="77777777" w:rsidTr="00EC1B06">
        <w:trPr>
          <w:trHeight w:val="423"/>
        </w:trPr>
        <w:tc>
          <w:tcPr>
            <w:tcW w:w="666" w:type="dxa"/>
          </w:tcPr>
          <w:p w14:paraId="107C88DC" w14:textId="77777777" w:rsidR="00974D8E" w:rsidRDefault="00974D8E"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36BC477B" wp14:editId="700F11F2">
                      <wp:extent cx="200025" cy="180975"/>
                      <wp:effectExtent l="57150" t="19050" r="28575" b="104775"/>
                      <wp:docPr id="41156" name="Octagon 41156"/>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BCD89F8" id="Octagon 41156"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ftSdAIAAFIFAAAOAAAAZHJzL2Uyb0RvYy54bWysVEtrGzEQvhf6H4Tu9XpdOw+TdTAOLoWQ&#10;mCYlZ1kr2QJJo0qy1+6v70i73pg0ECi97M5ovnk/bm4PRpO98EGBrWg5GFIiLIda2U1Ffz4vv1xR&#10;EiKzNdNgRUWPItDb2edPN42bihFsQdfCEzRiw7RxFd3G6KZFEfhWGBYG4IRFoQRvWETWb4raswat&#10;G12MhsOLogFfOw9chICvd62QzrJ9KQWPj1IGEYmuKMYW89fn7zp9i9kNm248c1vFuzDYP0RhmLLo&#10;tDd1xyIjO6/+MmUU9xBAxgEHU4CUioucA2ZTDt9k87RlTuRcsDjB9WUK/88sf9ivPFF1RcdlObmg&#10;xDKDbXrkkW3AkvYRi9S4MEXsk1v5jgtIpowP0pv0x1zIIRf22BdWHCLh+IidGo4mlHAUlVfD68tJ&#10;Knzxqux8iN8EGJKIikLrPleU7e9DbNEnVHIXQKt6qbTOjN+sF9qTPcM2LxboLXcWHZzBipRDG3Wm&#10;4lGLpKztDyGxBBhnmT3m4RO9Pca5sHHURZzRSU2i717x68eKHT6pijyYvfLoY+VeI3sGG3tloyz4&#10;9wzoWHYhyxaPBT/LO5FrqI/YfQ/tWgTHlwrrf89CXDGPe4Abg7sdH/EjNTTYmI6iZAv+93vvCY/j&#10;iVJKGtyrioZfO+YFJfq7xcG9LsfjtIiZGU8uR8j4c8n6XGJ3ZgHY0xKviOOZTPioT6T0YF7wBMyT&#10;VxQxy9F3RXn0J2YR233HI8LFfJ5huHyOxXv75Pip62m4ng8vzLtuCCNO7wOcdpBN3wxii039sDDf&#10;RZAqT+lrXbt64+LmUe+OTLoM53xGvZ7C2R8AAAD//wMAUEsDBBQABgAIAAAAIQCft0Tx2wAAAAMB&#10;AAAPAAAAZHJzL2Rvd25yZXYueG1sTI9BS8NAEIXvgv9hGcGb3aTSEtNsiggFD9JgtXjdZqdJaHY2&#10;7G6b+O8dvdjLwOM93vumWE+2Fxf0oXOkIJ0lIJBqZzpqFHx+bB4yECFqMrp3hAq+McC6vL0pdG7c&#10;SO942cVGcAmFXCtoYxxyKUPdotVh5gYk9o7OWx1Z+kYar0cut72cJ8lSWt0RL7R6wJcW69PubBVU&#10;p7F6zarq6ctvlts3b/ep3+6Vur+bnlcgIk7xPwy/+IwOJTMd3JlMEL0CfiT+XfYe0wWIg4J5tgBZ&#10;FvKavfwBAAD//wMAUEsBAi0AFAAGAAgAAAAhALaDOJL+AAAA4QEAABMAAAAAAAAAAAAAAAAAAAAA&#10;AFtDb250ZW50X1R5cGVzXS54bWxQSwECLQAUAAYACAAAACEAOP0h/9YAAACUAQAACwAAAAAAAAAA&#10;AAAAAAAvAQAAX3JlbHMvLnJlbHNQSwECLQAUAAYACAAAACEANjH7UnQCAABSBQAADgAAAAAAAAAA&#10;AAAAAAAuAgAAZHJzL2Uyb0RvYy54bWxQSwECLQAUAAYACAAAACEAn7dE8dsAAAADAQAADwAAAAAA&#10;AAAAAAAAAADOBAAAZHJzL2Rvd25yZXYueG1sUEsFBgAAAAAEAAQA8wAAANYFAAAAAA==&#10;" fillcolor="#c00" strokecolor="#ed7d31 [3205]" strokeweight=".5pt">
                      <w10:anchorlock/>
                    </v:shape>
                  </w:pict>
                </mc:Fallback>
              </mc:AlternateContent>
            </w:r>
          </w:p>
        </w:tc>
        <w:tc>
          <w:tcPr>
            <w:tcW w:w="8604" w:type="dxa"/>
          </w:tcPr>
          <w:p w14:paraId="149B1473" w14:textId="77777777" w:rsidR="00974D8E" w:rsidRDefault="00974D8E" w:rsidP="00EC1B06">
            <w:pPr>
              <w:rPr>
                <w:lang w:eastAsia="en-US"/>
              </w:rPr>
            </w:pPr>
            <w:r w:rsidRPr="00192064">
              <w:rPr>
                <w:b/>
                <w:lang w:eastAsia="en-US"/>
              </w:rPr>
              <w:t>Mandatory</w:t>
            </w:r>
            <w:r>
              <w:rPr>
                <w:lang w:eastAsia="en-US"/>
              </w:rPr>
              <w:t>: Define pools of virtual machines that will perform the underlying work for Azure Batch jobs.</w:t>
            </w:r>
          </w:p>
        </w:tc>
      </w:tr>
      <w:tr w:rsidR="00974D8E" w14:paraId="6448F649" w14:textId="77777777" w:rsidTr="00EC1B06">
        <w:trPr>
          <w:trHeight w:val="423"/>
        </w:trPr>
        <w:tc>
          <w:tcPr>
            <w:tcW w:w="666" w:type="dxa"/>
          </w:tcPr>
          <w:p w14:paraId="7FDCE06D" w14:textId="77777777" w:rsidR="00974D8E" w:rsidRDefault="00974D8E"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703296" behindDoc="0" locked="0" layoutInCell="1" allowOverlap="1" wp14:anchorId="0D307012" wp14:editId="16481F75">
                      <wp:simplePos x="0" y="0"/>
                      <wp:positionH relativeFrom="column">
                        <wp:posOffset>66675</wp:posOffset>
                      </wp:positionH>
                      <wp:positionV relativeFrom="paragraph">
                        <wp:posOffset>90170</wp:posOffset>
                      </wp:positionV>
                      <wp:extent cx="209550" cy="180975"/>
                      <wp:effectExtent l="57150" t="19050" r="57150" b="104775"/>
                      <wp:wrapNone/>
                      <wp:docPr id="41157" name="Isosceles Triangle 41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741262A" id="Isosceles Triangle 41157" o:spid="_x0000_s1026" type="#_x0000_t5" style="position:absolute;margin-left:5.25pt;margin-top:7.1pt;width:16.5pt;height:14.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0dAig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Oi&#10;mJ1RYliDbbr14LnQwpNHp5jZaEE6Pdartb5Eswd772LG3q6A//CoyP7QRMH3mIN0TcRivuSQin8c&#10;iy8OgXD8OckvZjNsEUdVcZ5fnM1iczJWDsbW+fBFQEPipaKhDyyVne1XPnTwAZZiA63qpdI6CW6z&#10;vtaO7BlyYYlfntqPL/hnWMqhCzslEI5aRGNtvgmJdcJAi/RiYqgY/THOhQmnfcgJHc0kvj0afn7f&#10;sMdHU5HYOxpP3jceLdLLYMJo3CgD7i0HOhR9yLLD9130Xd6xBGuoj0gRB93seMuXChuwYj7cM4fD&#10;gj3DBRC+4iE1tBWF/kbJFtyvt/5HPHIYtZS0OHwV9T93zAlK9K1Bdl8U02mc1iRMZ2cTFNxLzfql&#10;xuyaa8CeFrhqLE/XiA96uEoHzRPuiUV8FVXMcHy7ojy4QbgO3VLATcPFYpFgOKGWhZV5sHzoeiTX&#10;4+GJOTuwEOl7B8OgsvIVETts7IeBxS6AVImlz3Xt643Tnbjeb6K4Pl7KCfW8L+e/AQAA//8DAFBL&#10;AwQUAAYACAAAACEANTxCMNkAAAAHAQAADwAAAGRycy9kb3ducmV2LnhtbEyOzU7DMBCE70i8g7VI&#10;XFDrkIa2CnEqhJIjqig8gBNvfoS9jmK3DW/PcoLTaDSjma84LM6KC85h9KTgcZ2AQGq9GalX8PlR&#10;r/YgQtRktPWECr4xwKG8vSl0bvyV3vFyir3gEQq5VjDEOOVShnZAp8PaT0icdX52OrKde2lmfeVx&#10;Z2WaJFvp9Ej8MOgJXwdsv05np8A3y7Hb1Lv9Q+0m+9ZVVeaOlVL3d8vLM4iIS/wrwy8+o0PJTI0/&#10;kwnCsk+euMmapSA4zzbsG9Z0B7Is5H/+8gcAAP//AwBQSwECLQAUAAYACAAAACEAtoM4kv4AAADh&#10;AQAAEwAAAAAAAAAAAAAAAAAAAAAAW0NvbnRlbnRfVHlwZXNdLnhtbFBLAQItABQABgAIAAAAIQA4&#10;/SH/1gAAAJQBAAALAAAAAAAAAAAAAAAAAC8BAABfcmVscy8ucmVsc1BLAQItABQABgAIAAAAIQDk&#10;M0dAigIAAHcFAAAOAAAAAAAAAAAAAAAAAC4CAABkcnMvZTJvRG9jLnhtbFBLAQItABQABgAIAAAA&#10;IQA1PEIw2QAAAAcBAAAPAAAAAAAAAAAAAAAAAOQEAABkcnMvZG93bnJldi54bWxQSwUGAAAAAAQA&#10;BADzAAAA6gUAAAAA&#10;" fillcolor="yellow" strokecolor="#70ad47 [3209]" strokeweight=".5pt">
                      <v:path arrowok="t"/>
                    </v:shape>
                  </w:pict>
                </mc:Fallback>
              </mc:AlternateContent>
            </w:r>
          </w:p>
        </w:tc>
        <w:tc>
          <w:tcPr>
            <w:tcW w:w="8604" w:type="dxa"/>
          </w:tcPr>
          <w:p w14:paraId="579AAF6E" w14:textId="77777777" w:rsidR="00974D8E" w:rsidRDefault="00974D8E" w:rsidP="00EC1B06">
            <w:pPr>
              <w:rPr>
                <w:lang w:eastAsia="en-US"/>
              </w:rPr>
            </w:pPr>
            <w:r>
              <w:rPr>
                <w:rFonts w:eastAsiaTheme="minorHAnsi"/>
                <w:b/>
                <w:lang w:eastAsia="en-US"/>
              </w:rPr>
              <w:t xml:space="preserve">Recommended: </w:t>
            </w:r>
            <w:r>
              <w:rPr>
                <w:rFonts w:eastAsiaTheme="minorHAnsi"/>
                <w:lang w:eastAsia="en-US"/>
              </w:rPr>
              <w:t>Analyse the workload to determine which model is the better fit— Azure Batch or Azure Batch apps.</w:t>
            </w:r>
          </w:p>
        </w:tc>
      </w:tr>
      <w:tr w:rsidR="00974D8E" w14:paraId="1019541B" w14:textId="77777777" w:rsidTr="00EC1B06">
        <w:trPr>
          <w:trHeight w:val="423"/>
        </w:trPr>
        <w:tc>
          <w:tcPr>
            <w:tcW w:w="666" w:type="dxa"/>
          </w:tcPr>
          <w:p w14:paraId="5E1D3ADD" w14:textId="77777777" w:rsidR="00974D8E" w:rsidRDefault="00974D8E"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708416" behindDoc="0" locked="0" layoutInCell="1" allowOverlap="1" wp14:anchorId="67EB98D4" wp14:editId="5452E83D">
                      <wp:simplePos x="0" y="0"/>
                      <wp:positionH relativeFrom="column">
                        <wp:posOffset>66675</wp:posOffset>
                      </wp:positionH>
                      <wp:positionV relativeFrom="paragraph">
                        <wp:posOffset>90170</wp:posOffset>
                      </wp:positionV>
                      <wp:extent cx="180975" cy="180975"/>
                      <wp:effectExtent l="57150" t="19050" r="9525" b="104775"/>
                      <wp:wrapNone/>
                      <wp:docPr id="41158" name="Oval 411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3D0EA346" id="Oval 41158" o:spid="_x0000_s1026" style="position:absolute;margin-left:5.25pt;margin-top:7.1pt;width:14.25pt;height:14.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vZ0fQIAAGgFAAAOAAAAZHJzL2Uyb0RvYy54bWysVN1P2zAQf5+0/8Hy+0hS2gFRU9QVMU2q&#10;AA0mnl3Hbq05Ps92m3Z/PWcnDWwgIU17se58v/v+mF7uG012wnkFpqLFSU6JMBxqZdYV/fFw/emc&#10;Eh+YqZkGIyp6EJ5ezj5+mLa2FCPYgK6FI2jE+LK1Fd2EYMss83wjGuZPwAqDQgmuYQFZt85qx1q0&#10;3uhslOefsxZcbR1w4T3+XnVCOkv2pRQ83ErpRSC6ohhbSK9L7yq+2WzKyrVjdqN4Hwb7hygapgw6&#10;HUxdscDI1qlXphrFHXiQ4YRDk4GUiouUA2ZT5H9lc79hVqRcsDjeDmXy/88sv9ndOaLqio6LYoLN&#10;MqzBNt3umCbdD1aotb5E4L29czFHb5fAf3oUZH9IIuN7zF66JmIxQ7JP5T4M5Rb7QDh+Fuf5xdmE&#10;Eo6ino42WXlUts6HrwIaEomKCq2V9bEgrGS7pQ8d+ohKoYFW9bXSOjFuvVpoRzAX9J1/ySep3+jA&#10;P8NSCl3UKf5w0CIqa/NdSCxMjDN5TCMpBnuMc2HCaRwgNJjQUU2i70Hx9H3FHh9VRRrXQXn0vvKg&#10;kTyDCYNyowy4twzoUPQhyw7fN9F3eccSrKA+4Ew46JbFW36tsP5L5sMdc7gduEe48eEWH6mhrSj0&#10;FCUbcL/f+o94HFqUUtLitlXU/9oyJyjR3wyO80UxHsf1TMx4cjZCxr2UrF5KzLZZAPa0wNtieSIj&#10;PugjKR00j3gY5tEripjh6LuiPLgjswjdFcDTwsV8nmC4kpaFpbm3/Nj1OFwP+0fmbD+EAaf3Bo6b&#10;+WoQO2zsh4H5NoBUaUqf69rXG9c5DU5/euK9eMkn1POBnD0BAAD//wMAUEsDBBQABgAIAAAAIQDC&#10;Gp8i3gAAAAcBAAAPAAAAZHJzL2Rvd25yZXYueG1sTI9BS8NAEIXvgv9hGcGL2E1iqzZmU0QQFL2Y&#10;VtTbNDsmwexsyG7b+O8dT3oaHu/x5nvFanK92tMYOs8G0lkCirj2tuPGwGZ9f34NKkRki71nMvBN&#10;AVbl8VGBufUHfqF9FRslJRxyNNDGOORah7olh2HmB2LxPv3oMIocG21HPEi563WWJJfaYcfyocWB&#10;7lqqv6qdM/BRbZ7dOn1yb4/pw4LO3vsl2ldjTk+m2xtQkab4F4ZffEGHUpi2fsc2qF50spCk3HkG&#10;SvyLpUzbGphnV6DLQv/nL38AAAD//wMAUEsBAi0AFAAGAAgAAAAhALaDOJL+AAAA4QEAABMAAAAA&#10;AAAAAAAAAAAAAAAAAFtDb250ZW50X1R5cGVzXS54bWxQSwECLQAUAAYACAAAACEAOP0h/9YAAACU&#10;AQAACwAAAAAAAAAAAAAAAAAvAQAAX3JlbHMvLnJlbHNQSwECLQAUAAYACAAAACEA1yb2dH0CAABo&#10;BQAADgAAAAAAAAAAAAAAAAAuAgAAZHJzL2Uyb0RvYy54bWxQSwECLQAUAAYACAAAACEAwhqfIt4A&#10;AAAHAQAADwAAAAAAAAAAAAAAAADXBAAAZHJzL2Rvd25yZXYueG1sUEsFBgAAAAAEAAQA8wAAAOIF&#10;AAAAAA==&#10;" fillcolor="#00b050" strokecolor="#a5a5a5 [3206]" strokeweight=".5pt">
                      <v:stroke joinstyle="miter"/>
                      <v:path arrowok="t"/>
                    </v:oval>
                  </w:pict>
                </mc:Fallback>
              </mc:AlternateContent>
            </w:r>
          </w:p>
        </w:tc>
        <w:tc>
          <w:tcPr>
            <w:tcW w:w="8604" w:type="dxa"/>
          </w:tcPr>
          <w:p w14:paraId="22682327" w14:textId="77777777" w:rsidR="00974D8E" w:rsidRDefault="00974D8E" w:rsidP="00EC1B06">
            <w:pPr>
              <w:rPr>
                <w:lang w:eastAsia="en-US"/>
              </w:rPr>
            </w:pPr>
            <w:r>
              <w:rPr>
                <w:rFonts w:eastAsiaTheme="minorHAnsi"/>
                <w:b/>
                <w:lang w:eastAsia="en-US"/>
              </w:rPr>
              <w:t xml:space="preserve">Optional: </w:t>
            </w:r>
            <w:r>
              <w:rPr>
                <w:rFonts w:eastAsiaTheme="minorHAnsi"/>
                <w:lang w:eastAsia="en-US"/>
              </w:rPr>
              <w:t>Leverage the REST API to output monitoring and telemetry to existing systems.</w:t>
            </w:r>
          </w:p>
        </w:tc>
      </w:tr>
    </w:tbl>
    <w:p w14:paraId="2BCCC892" w14:textId="77777777" w:rsidR="00974D8E" w:rsidRDefault="00974D8E" w:rsidP="003722E4"/>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3722E4" w14:paraId="32A58CC0" w14:textId="77777777" w:rsidTr="002F63EE">
        <w:tc>
          <w:tcPr>
            <w:tcW w:w="9360" w:type="dxa"/>
            <w:shd w:val="clear" w:color="auto" w:fill="008AC8"/>
          </w:tcPr>
          <w:p w14:paraId="7A97F52C" w14:textId="77777777" w:rsidR="003722E4" w:rsidRPr="00F47607" w:rsidRDefault="003722E4" w:rsidP="002F63EE">
            <w:pPr>
              <w:spacing w:line="240" w:lineRule="auto"/>
              <w:rPr>
                <w:color w:val="FFFFFF"/>
              </w:rPr>
            </w:pPr>
            <w:r>
              <w:rPr>
                <w:color w:val="FFFFFF"/>
              </w:rPr>
              <w:t>Design Guidance</w:t>
            </w:r>
          </w:p>
        </w:tc>
      </w:tr>
    </w:tbl>
    <w:p w14:paraId="76F9FD53" w14:textId="39938C22" w:rsidR="003722E4" w:rsidRDefault="00974D8E" w:rsidP="003722E4">
      <w:r>
        <w:t>Azure Batch is a good consideration for workloads in which an existing process or executable is used to process the data. For this to work effectively, the data should be in a format that can allow parallelization (which cuts the data into several chunks). This service can be highly effective for custom processing and it is easy to configure</w:t>
      </w:r>
      <w:r w:rsidR="003722E4">
        <w:t>.</w:t>
      </w:r>
    </w:p>
    <w:p w14:paraId="6C2F16B2" w14:textId="77777777" w:rsidR="003722E4" w:rsidRDefault="003722E4" w:rsidP="005729D2">
      <w:pPr>
        <w:pStyle w:val="Heading3Numbered"/>
        <w:numPr>
          <w:ilvl w:val="2"/>
          <w:numId w:val="64"/>
        </w:numPr>
      </w:pPr>
      <w:bookmarkStart w:id="3372" w:name="_Toc417548297"/>
      <w:bookmarkStart w:id="3373" w:name="_Toc417594529"/>
      <w:bookmarkStart w:id="3374" w:name="_Toc417934630"/>
      <w:bookmarkStart w:id="3375" w:name="_Toc417935969"/>
      <w:bookmarkStart w:id="3376" w:name="_Toc417936431"/>
      <w:bookmarkStart w:id="3377" w:name="_Toc417946883"/>
      <w:bookmarkStart w:id="3378" w:name="_Toc417947300"/>
      <w:bookmarkStart w:id="3379" w:name="_Toc417982493"/>
      <w:bookmarkStart w:id="3380" w:name="_Toc417985918"/>
      <w:bookmarkStart w:id="3381" w:name="_Toc418000639"/>
      <w:bookmarkStart w:id="3382" w:name="_Toc418003782"/>
      <w:bookmarkStart w:id="3383" w:name="_Toc418011987"/>
      <w:bookmarkStart w:id="3384" w:name="_Toc418029971"/>
      <w:bookmarkStart w:id="3385" w:name="_Toc418036912"/>
      <w:bookmarkStart w:id="3386" w:name="_Toc418061388"/>
      <w:bookmarkStart w:id="3387" w:name="_Toc418081261"/>
      <w:bookmarkStart w:id="3388" w:name="_Toc418081916"/>
      <w:bookmarkStart w:id="3389" w:name="_Toc418083319"/>
      <w:bookmarkStart w:id="3390" w:name="_Toc418096057"/>
      <w:bookmarkStart w:id="3391" w:name="_Toc418156702"/>
      <w:bookmarkStart w:id="3392" w:name="_Toc418167621"/>
      <w:bookmarkStart w:id="3393" w:name="_Toc418185877"/>
      <w:bookmarkStart w:id="3394" w:name="_Toc422941587"/>
      <w:bookmarkStart w:id="3395" w:name="_Toc423116793"/>
      <w:bookmarkStart w:id="3396" w:name="_Toc423117826"/>
      <w:bookmarkStart w:id="3397" w:name="_Toc423117276"/>
      <w:bookmarkStart w:id="3398" w:name="_Toc431288868"/>
      <w:r>
        <w:t>Azure HDInsight (Hadoop)</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648ECCA8" w14:textId="27E27C6D" w:rsidR="00974D8E" w:rsidRDefault="003722E4" w:rsidP="00974D8E">
      <w:r>
        <w:t>Azure</w:t>
      </w:r>
      <w:r w:rsidR="00974D8E">
        <w:t xml:space="preserve"> HDInsight is the implementation of Hadoop as a service in Azure. The goal of this service is to enable customers with the ability to create Hadoop cluster services in seconds and minutes instead of hours and days. This significantly reduces the cost of this big data service. Additionally, the service provides storage in the form of the Hadoop Distributed File System (HDFS), which has become the standard for Hadoop clusters. Azure extends this concept to allow Azure Storage to be leveraged by Hadoop.</w:t>
      </w:r>
    </w:p>
    <w:p w14:paraId="554E262B" w14:textId="77777777" w:rsidR="00974D8E" w:rsidRDefault="00974D8E" w:rsidP="00974D8E">
      <w:r>
        <w:t xml:space="preserve">At its core, HDInsight can be run on Linux-based or Windows-based servers. This makes using Hadoop easy for those coming from a Linux background and approachable by those who use Windows. </w:t>
      </w:r>
    </w:p>
    <w:p w14:paraId="4ABD846B" w14:textId="321B10FF" w:rsidR="003722E4" w:rsidRDefault="00974D8E" w:rsidP="00974D8E">
      <w:r>
        <w:t>The HortonWorks Data Platform (HDP) is the Hadoop distribution used by HDInsight. Additionally, there are several high-level configurations for running Hadoop, which can be used to optimize the cluster based on the operations and activities it will target. Along with this are other components that have been developed primarily by the open source community. These customize the system for specific types of workloads</w:t>
      </w:r>
      <w:r w:rsidR="003722E4">
        <w:t>.</w:t>
      </w:r>
    </w:p>
    <w:p w14:paraId="638DCD58" w14:textId="77777777" w:rsidR="003722E4" w:rsidRDefault="003722E4" w:rsidP="003722E4"/>
    <w:tbl>
      <w:tblPr>
        <w:tblStyle w:val="PlainTable11"/>
        <w:tblW w:w="0" w:type="auto"/>
        <w:tblLook w:val="04A0" w:firstRow="1" w:lastRow="0" w:firstColumn="1" w:lastColumn="0" w:noHBand="0" w:noVBand="1"/>
      </w:tblPr>
      <w:tblGrid>
        <w:gridCol w:w="3415"/>
        <w:gridCol w:w="5935"/>
      </w:tblGrid>
      <w:tr w:rsidR="003722E4" w14:paraId="1F1ECB71" w14:textId="77777777" w:rsidTr="0013185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520B85F4" w14:textId="77777777" w:rsidR="003722E4" w:rsidRPr="00F47607" w:rsidRDefault="003722E4" w:rsidP="002F63EE">
            <w:pPr>
              <w:spacing w:line="240" w:lineRule="auto"/>
              <w:rPr>
                <w:color w:val="FFFFFF"/>
              </w:rPr>
            </w:pPr>
            <w:r>
              <w:rPr>
                <w:color w:val="FFFFFF"/>
              </w:rPr>
              <w:t>Feature References</w:t>
            </w:r>
          </w:p>
        </w:tc>
      </w:tr>
      <w:tr w:rsidR="003722E4" w:rsidRPr="00131853" w14:paraId="7D1EB857"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7B6F73CE" w14:textId="77777777" w:rsidR="003722E4" w:rsidRPr="00131853" w:rsidRDefault="003722E4" w:rsidP="002F63EE">
            <w:pPr>
              <w:spacing w:line="240" w:lineRule="auto"/>
              <w:rPr>
                <w:sz w:val="20"/>
                <w:szCs w:val="20"/>
              </w:rPr>
            </w:pPr>
            <w:r w:rsidRPr="00131853">
              <w:rPr>
                <w:sz w:val="20"/>
                <w:szCs w:val="20"/>
              </w:rPr>
              <w:t>Hadoop on Azure</w:t>
            </w:r>
          </w:p>
        </w:tc>
        <w:tc>
          <w:tcPr>
            <w:tcW w:w="5940" w:type="dxa"/>
          </w:tcPr>
          <w:p w14:paraId="7DBAAA28" w14:textId="77777777" w:rsidR="003722E4" w:rsidRPr="00131853" w:rsidRDefault="00872E47" w:rsidP="002F63EE">
            <w:pPr>
              <w:cnfStyle w:val="000000100000" w:firstRow="0" w:lastRow="0" w:firstColumn="0" w:lastColumn="0" w:oddVBand="0" w:evenVBand="0" w:oddHBand="1" w:evenHBand="0" w:firstRowFirstColumn="0" w:firstRowLastColumn="0" w:lastRowFirstColumn="0" w:lastRowLastColumn="0"/>
              <w:rPr>
                <w:sz w:val="20"/>
                <w:szCs w:val="20"/>
              </w:rPr>
            </w:pPr>
            <w:hyperlink r:id="rId319" w:history="1">
              <w:r w:rsidR="003722E4" w:rsidRPr="00131853">
                <w:rPr>
                  <w:rStyle w:val="Hyperlink"/>
                  <w:sz w:val="20"/>
                  <w:szCs w:val="20"/>
                </w:rPr>
                <w:t>http://azure.microsoft.com/en-us/documentation/articles/hdinsight-hadoop-introduction/</w:t>
              </w:r>
            </w:hyperlink>
          </w:p>
        </w:tc>
      </w:tr>
      <w:tr w:rsidR="003722E4" w:rsidRPr="00131853" w14:paraId="76341252"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1E92CC88" w14:textId="77777777" w:rsidR="003722E4" w:rsidRPr="00131853" w:rsidRDefault="003722E4" w:rsidP="002F63EE">
            <w:pPr>
              <w:spacing w:line="240" w:lineRule="auto"/>
              <w:rPr>
                <w:sz w:val="20"/>
              </w:rPr>
            </w:pPr>
            <w:r w:rsidRPr="00131853">
              <w:rPr>
                <w:sz w:val="20"/>
                <w:szCs w:val="20"/>
              </w:rPr>
              <w:t>Components matrix</w:t>
            </w:r>
          </w:p>
        </w:tc>
        <w:tc>
          <w:tcPr>
            <w:tcW w:w="5940" w:type="dxa"/>
          </w:tcPr>
          <w:p w14:paraId="00BD38AE" w14:textId="77777777" w:rsidR="003722E4" w:rsidRPr="00131853" w:rsidRDefault="00872E47" w:rsidP="002F63EE">
            <w:pPr>
              <w:cnfStyle w:val="000000000000" w:firstRow="0" w:lastRow="0" w:firstColumn="0" w:lastColumn="0" w:oddVBand="0" w:evenVBand="0" w:oddHBand="0" w:evenHBand="0" w:firstRowFirstColumn="0" w:firstRowLastColumn="0" w:lastRowFirstColumn="0" w:lastRowLastColumn="0"/>
              <w:rPr>
                <w:sz w:val="20"/>
                <w:szCs w:val="20"/>
              </w:rPr>
            </w:pPr>
            <w:hyperlink r:id="rId320" w:history="1">
              <w:r w:rsidR="003722E4" w:rsidRPr="00131853">
                <w:rPr>
                  <w:rStyle w:val="Hyperlink"/>
                  <w:sz w:val="20"/>
                  <w:szCs w:val="20"/>
                </w:rPr>
                <w:t>http://azure.microsoft.com/en-us/documentation/articles/hdinsight-component-versioning/</w:t>
              </w:r>
            </w:hyperlink>
          </w:p>
        </w:tc>
      </w:tr>
      <w:tr w:rsidR="003722E4" w:rsidRPr="00131853" w14:paraId="49C92F89"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46AFCCF3" w14:textId="77777777" w:rsidR="003722E4" w:rsidRPr="00131853" w:rsidRDefault="003722E4" w:rsidP="002F63EE">
            <w:pPr>
              <w:spacing w:line="240" w:lineRule="auto"/>
              <w:rPr>
                <w:sz w:val="20"/>
                <w:szCs w:val="20"/>
              </w:rPr>
            </w:pPr>
            <w:r w:rsidRPr="00131853">
              <w:rPr>
                <w:sz w:val="20"/>
                <w:szCs w:val="20"/>
              </w:rPr>
              <w:t>Apache Hadoop Core</w:t>
            </w:r>
          </w:p>
        </w:tc>
        <w:tc>
          <w:tcPr>
            <w:tcW w:w="5940" w:type="dxa"/>
          </w:tcPr>
          <w:p w14:paraId="615660B7" w14:textId="77777777" w:rsidR="003722E4" w:rsidRPr="00131853" w:rsidRDefault="00872E47" w:rsidP="002F63EE">
            <w:pPr>
              <w:cnfStyle w:val="000000100000" w:firstRow="0" w:lastRow="0" w:firstColumn="0" w:lastColumn="0" w:oddVBand="0" w:evenVBand="0" w:oddHBand="1" w:evenHBand="0" w:firstRowFirstColumn="0" w:firstRowLastColumn="0" w:lastRowFirstColumn="0" w:lastRowLastColumn="0"/>
              <w:rPr>
                <w:sz w:val="20"/>
                <w:szCs w:val="20"/>
              </w:rPr>
            </w:pPr>
            <w:hyperlink r:id="rId321" w:history="1">
              <w:r w:rsidR="003722E4" w:rsidRPr="00131853">
                <w:rPr>
                  <w:rStyle w:val="Hyperlink"/>
                  <w:sz w:val="20"/>
                  <w:szCs w:val="20"/>
                </w:rPr>
                <w:t>http://hadoop.apache.org/</w:t>
              </w:r>
            </w:hyperlink>
          </w:p>
        </w:tc>
      </w:tr>
      <w:tr w:rsidR="003722E4" w:rsidRPr="00131853" w14:paraId="704B9424"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4631798E" w14:textId="77777777" w:rsidR="003722E4" w:rsidRPr="00131853" w:rsidRDefault="003722E4" w:rsidP="002F63EE">
            <w:pPr>
              <w:spacing w:line="240" w:lineRule="auto"/>
              <w:rPr>
                <w:sz w:val="20"/>
                <w:szCs w:val="20"/>
              </w:rPr>
            </w:pPr>
            <w:r w:rsidRPr="00131853">
              <w:rPr>
                <w:sz w:val="20"/>
                <w:szCs w:val="20"/>
              </w:rPr>
              <w:t>Using Pig with Hadoop</w:t>
            </w:r>
          </w:p>
        </w:tc>
        <w:tc>
          <w:tcPr>
            <w:tcW w:w="5940" w:type="dxa"/>
          </w:tcPr>
          <w:p w14:paraId="73110DCE" w14:textId="77777777" w:rsidR="003722E4" w:rsidRPr="00131853" w:rsidRDefault="00872E47" w:rsidP="002F63EE">
            <w:pPr>
              <w:cnfStyle w:val="000000000000" w:firstRow="0" w:lastRow="0" w:firstColumn="0" w:lastColumn="0" w:oddVBand="0" w:evenVBand="0" w:oddHBand="0" w:evenHBand="0" w:firstRowFirstColumn="0" w:firstRowLastColumn="0" w:lastRowFirstColumn="0" w:lastRowLastColumn="0"/>
              <w:rPr>
                <w:sz w:val="20"/>
                <w:szCs w:val="20"/>
              </w:rPr>
            </w:pPr>
            <w:hyperlink r:id="rId322" w:history="1">
              <w:r w:rsidR="003722E4" w:rsidRPr="00131853">
                <w:rPr>
                  <w:rStyle w:val="Hyperlink"/>
                  <w:sz w:val="20"/>
                  <w:szCs w:val="20"/>
                </w:rPr>
                <w:t>http://azure.microsoft.com/en-us/documentation/articles/hdinsight-use-pig/</w:t>
              </w:r>
            </w:hyperlink>
          </w:p>
        </w:tc>
      </w:tr>
    </w:tbl>
    <w:p w14:paraId="1E7F101B" w14:textId="3B90B228" w:rsidR="003722E4" w:rsidRDefault="003722E4" w:rsidP="003722E4"/>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974D8E" w14:paraId="79AE329C" w14:textId="77777777" w:rsidTr="00EC1B06">
        <w:trPr>
          <w:trHeight w:val="423"/>
        </w:trPr>
        <w:tc>
          <w:tcPr>
            <w:tcW w:w="666" w:type="dxa"/>
          </w:tcPr>
          <w:p w14:paraId="01947092" w14:textId="77777777" w:rsidR="00974D8E" w:rsidRDefault="00974D8E"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47DCC2C9" wp14:editId="7B296299">
                      <wp:extent cx="200025" cy="180975"/>
                      <wp:effectExtent l="57150" t="19050" r="28575" b="104775"/>
                      <wp:docPr id="41162" name="Octagon 41162"/>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FEB67F8" id="Octagon 41162"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DYMcwIAAFIFAAAOAAAAZHJzL2Uyb0RvYy54bWysVFtr2zAUfh/sPwi9r4699BbilJCSMSht&#10;WTv6rMhSIpB0NEmJk/36HcmOG7pCYezFPkfnO/fL9GZvNNkJHxTYmpZnI0qE5dAou67pz+fllytK&#10;QmS2YRqsqOlBBHoz+/xp2rqJqGADuhGeoBEbJq2r6SZGNymKwDfCsHAGTlgUSvCGRWT9umg8a9G6&#10;0UU1Gl0ULfjGeeAiBHy97YR0lu1LKXh8kDKISHRNMbaYvz5/V+lbzKZssvbMbRTvw2D/EIVhyqLT&#10;wdQti4xsvfrLlFHcQwAZzziYAqRUXOQcMJty9Cabpw1zIueCxQluKFP4f2b5/e7RE9XUdFyWFxUl&#10;lhls0wOPbA2WdI9YpNaFCWKf3KPvuYBkyngvvUl/zIXsc2EPQ2HFPhKOj9ipUXVOCUdReTW6vjxP&#10;hS9elZ0P8ZsAQxJRU+jc54qy3V2IHfqISu4CaNUsldaZ8evVQnuyY9jmxQK95c6igxNYkXLoos5U&#10;PGiRlLX9ISSWAOMss8c8fGKwxzgXNlZ9xBmd1CT6HhS/fqzY45OqyIM5KFcfKw8a2TPYOCgbZcG/&#10;Z0DHsg9Zdngs+EneiVxBc8Due+jWIji+VFj/OxbiI/O4B7gxuNvxAT9SQ4uN6SlKNuB/v/ee8Die&#10;KKWkxb2qafi1ZV5Qor9bHNzrcjxOi5iZ8fllhYw/laxOJXZrFoA9LfGKOJ7JhI/6SEoP5gVPwDx5&#10;RRGzHH3XlEd/ZBax23c8IlzM5xmGy+dYvLNPjh+7nobref/CvOuHMOL03sNxB9nkzSB22NQPC/Nt&#10;BKnylL7Wta83Lm4e9f7IpMtwymfU6ymc/QE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AVmDYM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36AF2F16" w14:textId="77777777" w:rsidR="00974D8E" w:rsidRDefault="00974D8E" w:rsidP="00EC1B06">
            <w:pPr>
              <w:rPr>
                <w:lang w:eastAsia="en-US"/>
              </w:rPr>
            </w:pPr>
            <w:r w:rsidRPr="00192064">
              <w:rPr>
                <w:b/>
                <w:lang w:eastAsia="en-US"/>
              </w:rPr>
              <w:t>Mandatory</w:t>
            </w:r>
            <w:r>
              <w:rPr>
                <w:lang w:eastAsia="en-US"/>
              </w:rPr>
              <w:t>: Create storage accounts for data repositories for HDInsight. Also, be sure to deprovision your clusters when not in use because the cost for running thousands of cores can add up quickly.</w:t>
            </w:r>
          </w:p>
        </w:tc>
      </w:tr>
      <w:tr w:rsidR="00974D8E" w14:paraId="7CE10833" w14:textId="77777777" w:rsidTr="00EC1B06">
        <w:trPr>
          <w:trHeight w:val="423"/>
        </w:trPr>
        <w:tc>
          <w:tcPr>
            <w:tcW w:w="666" w:type="dxa"/>
          </w:tcPr>
          <w:p w14:paraId="2AD88B40" w14:textId="77777777" w:rsidR="00974D8E" w:rsidRDefault="00974D8E"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713536" behindDoc="0" locked="0" layoutInCell="1" allowOverlap="1" wp14:anchorId="7DB86FA7" wp14:editId="27A06569">
                      <wp:simplePos x="0" y="0"/>
                      <wp:positionH relativeFrom="column">
                        <wp:posOffset>66675</wp:posOffset>
                      </wp:positionH>
                      <wp:positionV relativeFrom="paragraph">
                        <wp:posOffset>90170</wp:posOffset>
                      </wp:positionV>
                      <wp:extent cx="209550" cy="180975"/>
                      <wp:effectExtent l="57150" t="19050" r="57150" b="104775"/>
                      <wp:wrapNone/>
                      <wp:docPr id="41163" name="Isosceles Triangle 411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66C6D6EE" id="Isosceles Triangle 41163" o:spid="_x0000_s1026" type="#_x0000_t5" style="position:absolute;margin-left:5.25pt;margin-top:7.1pt;width:16.5pt;height:14.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8IXiQIAAHcFAAAOAAAAZHJzL2Uyb0RvYy54bWysVNtqGzEQfS/0H4Tem9117FyWrINJcAmY&#10;xDQpeZa1ki2q1aiSfOvXd6S9JE0DgdJ9EJqdM6O5nJmr60OjyU44r8BUtDjJKRGGQ63MuqLfn+Zf&#10;LijxgZmaaTCiokfh6fX086ervS3FCDaga+EIOjG+3NuKbkKwZZZ5vhEN8ydghUGlBNewgKJbZ7Vj&#10;e/Te6GyU52fZHlxtHXDhPf69bZV0mvxLKXh4kNKLQHRFMbaQTpfOVTyz6RUr147ZjeJdGOwfomiY&#10;Mvjo4OqWBUa2Tv3lqlHcgQcZTjg0GUipuEg5YDZF/iabxw2zIuWCxfF2KJP/f275/W7piKorOi6K&#10;s1NKDGuwTXcePBdaePLkFDNrLUirx3rtrS/R7NEuXczY2wXwHx4V2R+aKPgOc5CuiVjMlxxS8Y9D&#10;8cUhEI4/R/nlZIIt4qgqLvLL80lsTsbK3tg6H74KaEi8VDR0gaWys93Chxbew1JsoFU9V1onwa1X&#10;N9qRHUMuzPHLU/vxBf8CSzm0YacEwlGLaKzNNyGxThhokV5MDBWDP8a5MOGsCzmho5nEtwfD048N&#10;O3w0FYm9g/HoY+PBIr0MJgzGjTLg3nOgQ9GFLFt810Xf5h1LsIL6iBRx0M6Ot3yusAEL5sOSORwW&#10;7BkugPCAh9Swryh0N0o24H699z/ikcOopWSPw1dR/3PLnKBE3xlk92UxHsdpTcJ4cj5Cwb3WrF5r&#10;zLa5AexpgavG8nSN+KD7q3TQPOOemMVXUcUMx7cryoPrhZvQLgXcNFzMZgmGE2pZWJhHy/uuR3I9&#10;HZ6Zsz0Lkb730A8qK98QscXGfhiYbQNIlVj6Uteu3jjdievdJorr47WcUC/7cvobAAD//wMAUEsD&#10;BBQABgAIAAAAIQA1PEIw2QAAAAcBAAAPAAAAZHJzL2Rvd25yZXYueG1sTI7NTsMwEITvSLyDtUhc&#10;UOuQhrYKcSqEkiOqKDyAE29+hL2OYrcNb89ygtNoNKOZrzgszooLzmH0pOBxnYBAar0ZqVfw+VGv&#10;9iBC1GS09YQKvjHAoby9KXRu/JXe8XKKveARCrlWMMQ45VKGdkCnw9pPSJx1fnY6sp17aWZ95XFn&#10;ZZokW+n0SPww6AlfB2y/TmenwDfLsdvUu/1D7Sb71lVV5o6VUvd3y8sziIhL/CvDLz6jQ8lMjT+T&#10;CcKyT564yZqlIDjPNuwb1nQHsizkf/7yBwAA//8DAFBLAQItABQABgAIAAAAIQC2gziS/gAAAOEB&#10;AAATAAAAAAAAAAAAAAAAAAAAAABbQ29udGVudF9UeXBlc10ueG1sUEsBAi0AFAAGAAgAAAAhADj9&#10;If/WAAAAlAEAAAsAAAAAAAAAAAAAAAAALwEAAF9yZWxzLy5yZWxzUEsBAi0AFAAGAAgAAAAhAHXD&#10;wheJAgAAdwUAAA4AAAAAAAAAAAAAAAAALgIAAGRycy9lMm9Eb2MueG1sUEsBAi0AFAAGAAgAAAAh&#10;ADU8QjDZAAAABwEAAA8AAAAAAAAAAAAAAAAA4wQAAGRycy9kb3ducmV2LnhtbFBLBQYAAAAABAAE&#10;APMAAADpBQAAAAA=&#10;" fillcolor="yellow" strokecolor="#70ad47 [3209]" strokeweight=".5pt">
                      <v:path arrowok="t"/>
                    </v:shape>
                  </w:pict>
                </mc:Fallback>
              </mc:AlternateContent>
            </w:r>
          </w:p>
        </w:tc>
        <w:tc>
          <w:tcPr>
            <w:tcW w:w="8604" w:type="dxa"/>
          </w:tcPr>
          <w:p w14:paraId="5062E466" w14:textId="77777777" w:rsidR="00974D8E" w:rsidRDefault="00974D8E" w:rsidP="00EC1B06">
            <w:pPr>
              <w:rPr>
                <w:lang w:eastAsia="en-US"/>
              </w:rPr>
            </w:pPr>
            <w:r>
              <w:rPr>
                <w:rFonts w:eastAsiaTheme="minorHAnsi"/>
                <w:b/>
                <w:lang w:eastAsia="en-US"/>
              </w:rPr>
              <w:t xml:space="preserve">Recommended: </w:t>
            </w:r>
            <w:r>
              <w:rPr>
                <w:rFonts w:eastAsiaTheme="minorHAnsi"/>
              </w:rPr>
              <w:t xml:space="preserve">Know the type of data you have in your system, and think about what actions are most important for your workloads.  </w:t>
            </w:r>
            <w:r>
              <w:rPr>
                <w:rFonts w:eastAsiaTheme="minorHAnsi"/>
                <w:lang w:eastAsia="en-US"/>
              </w:rPr>
              <w:t>Get a good sense for your data and what is most important to your workloads. This will help guide what components in HDInsights can be leveraged to take best advantage of the platform services.</w:t>
            </w:r>
          </w:p>
        </w:tc>
      </w:tr>
      <w:tr w:rsidR="00974D8E" w14:paraId="3C1334C8" w14:textId="77777777" w:rsidTr="00EC1B06">
        <w:trPr>
          <w:trHeight w:val="423"/>
        </w:trPr>
        <w:tc>
          <w:tcPr>
            <w:tcW w:w="666" w:type="dxa"/>
          </w:tcPr>
          <w:p w14:paraId="600482FD" w14:textId="77777777" w:rsidR="00974D8E" w:rsidRDefault="00974D8E"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718656" behindDoc="0" locked="0" layoutInCell="1" allowOverlap="1" wp14:anchorId="4F5F3DD7" wp14:editId="13D45300">
                      <wp:simplePos x="0" y="0"/>
                      <wp:positionH relativeFrom="column">
                        <wp:posOffset>66675</wp:posOffset>
                      </wp:positionH>
                      <wp:positionV relativeFrom="paragraph">
                        <wp:posOffset>90170</wp:posOffset>
                      </wp:positionV>
                      <wp:extent cx="180975" cy="180975"/>
                      <wp:effectExtent l="57150" t="19050" r="9525" b="104775"/>
                      <wp:wrapNone/>
                      <wp:docPr id="41173" name="Oval 411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1B0FDD5A" id="Oval 41173" o:spid="_x0000_s1026" style="position:absolute;margin-left:5.25pt;margin-top:7.1pt;width:14.25pt;height:14.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zqsfgIAAGgFAAAOAAAAZHJzL2Uyb0RvYy54bWysVN9P2zAQfp+0/8Hy+0hSyoCIFHUgpkkV&#10;oMHEs+vYrTXb59lu0+6v39lJAxuTkKa9WD7fdz/93V1c7owmW+GDAtvQ6qikRFgOrbKrhn57vPlw&#10;RkmIzLZMgxUN3YtAL2fv3110rhYTWINuhSfoxIa6cw1dx+jqogh8LQwLR+CERaUEb1hE0a+K1rMO&#10;vRtdTMryY9GBb50HLkLA1+teSWfZv5SCxzspg4hENxRzi/n0+Vyms5hdsHrlmVsrPqTB/iELw5TF&#10;oKOraxYZ2Xj1ypVR3EMAGY84mAKkVFzkGrCaqvyjmoc1cyLXgs0JbmxT+H9u+e323hPVNnRaVafH&#10;lFhm8JvutkyT/gU71LlQI/DB3ftUY3AL4N8DKorfNEkIA2YnvUlYrJDscrv3Y7vFLhKOj9VZeX56&#10;QglH1XBPPll9MHY+xM8CDEmXhgqtlQupIaxm20WIPfqAyqmBVu2N0joLfrW80p5gLRi7/FSe5P/G&#10;AOEZlkvos875x70WyVjbr0JiY1KeOWKmpBj9Mc6FjceJQOgwo5OZxNij4fHbhgM+mYpM19F48rbx&#10;aJEjg42jsVEW/N8c6FgNKcseP3xi6OtOLVhCu0dOeOiHJTh+o7D/CxbiPfM4HThHOPHxDg+poWso&#10;DDdK1uB//u094ZG0qKWkw2lraPixYV5Qor9YpPN5NZ2m8czC9OR0goJ/qVm+1NiNuQL80wp3i+P5&#10;mvBRH67Sg3nCxTBPUVHFLMfYDeXRH4Sr2G8BXC1czOcZhiPpWFzYB8cPv57I9bh7Yt4NJIzI3ls4&#10;TOYrIvbY9B8W5psIUmWWPvd16DeOcybOsHrSvngpZ9Tzgpz9AgAA//8DAFBLAwQUAAYACAAAACEA&#10;whqfIt4AAAAHAQAADwAAAGRycy9kb3ducmV2LnhtbEyPQUvDQBCF74L/YRnBi9hNYqs2ZlNEEBS9&#10;mFbU2zQ7JsHsbMhu2/jvHU96Gh7v8eZ7xWpyvdrTGDrPBtJZAoq49rbjxsBmfX9+DSpEZIu9ZzLw&#10;TQFW5fFRgbn1B36hfRUbJSUccjTQxjjkWoe6JYdh5gdi8T796DCKHBttRzxIuet1liSX2mHH8qHF&#10;ge5aqr+qnTPwUW2e3Tp9cm+P6cOCzt77JdpXY05PptsbUJGm+BeGX3xBh1KYtn7HNqhedLKQpNx5&#10;Bkr8i6VM2xqYZ1egy0L/5y9/AAAA//8DAFBLAQItABQABgAIAAAAIQC2gziS/gAAAOEBAAATAAAA&#10;AAAAAAAAAAAAAAAAAABbQ29udGVudF9UeXBlc10ueG1sUEsBAi0AFAAGAAgAAAAhADj9If/WAAAA&#10;lAEAAAsAAAAAAAAAAAAAAAAALwEAAF9yZWxzLy5yZWxzUEsBAi0AFAAGAAgAAAAhAHLDOqx+AgAA&#10;aAUAAA4AAAAAAAAAAAAAAAAALgIAAGRycy9lMm9Eb2MueG1sUEsBAi0AFAAGAAgAAAAhAMIanyLe&#10;AAAABwEAAA8AAAAAAAAAAAAAAAAA2AQAAGRycy9kb3ducmV2LnhtbFBLBQYAAAAABAAEAPMAAADj&#10;BQAAAAA=&#10;" fillcolor="#00b050" strokecolor="#a5a5a5 [3206]" strokeweight=".5pt">
                      <v:stroke joinstyle="miter"/>
                      <v:path arrowok="t"/>
                    </v:oval>
                  </w:pict>
                </mc:Fallback>
              </mc:AlternateContent>
            </w:r>
          </w:p>
        </w:tc>
        <w:tc>
          <w:tcPr>
            <w:tcW w:w="8604" w:type="dxa"/>
          </w:tcPr>
          <w:p w14:paraId="2822047F" w14:textId="77777777" w:rsidR="00974D8E" w:rsidRDefault="00974D8E" w:rsidP="00EC1B06">
            <w:pPr>
              <w:rPr>
                <w:lang w:eastAsia="en-US"/>
              </w:rPr>
            </w:pPr>
            <w:r>
              <w:rPr>
                <w:rFonts w:eastAsiaTheme="minorHAnsi"/>
                <w:b/>
                <w:lang w:eastAsia="en-US"/>
              </w:rPr>
              <w:t xml:space="preserve">Optional: </w:t>
            </w:r>
            <w:r>
              <w:rPr>
                <w:rFonts w:eastAsiaTheme="minorHAnsi"/>
                <w:lang w:eastAsia="en-US"/>
              </w:rPr>
              <w:t>Spend some time checking what is already built by the open-source communities that you can use with must less effort than writing from scratch.</w:t>
            </w:r>
          </w:p>
        </w:tc>
      </w:tr>
    </w:tbl>
    <w:p w14:paraId="390F88D1" w14:textId="77777777" w:rsidR="00974D8E" w:rsidRDefault="00974D8E" w:rsidP="003722E4"/>
    <w:p w14:paraId="36BDE54B" w14:textId="77777777" w:rsidR="003722E4" w:rsidRDefault="003722E4" w:rsidP="005729D2">
      <w:pPr>
        <w:pStyle w:val="Heading3Numbered"/>
        <w:numPr>
          <w:ilvl w:val="2"/>
          <w:numId w:val="64"/>
        </w:numPr>
      </w:pPr>
      <w:bookmarkStart w:id="3399" w:name="_Toc417983668"/>
      <w:bookmarkStart w:id="3400" w:name="_Toc418013250"/>
      <w:bookmarkStart w:id="3401" w:name="_Toc418029972"/>
      <w:bookmarkStart w:id="3402" w:name="_Toc418036913"/>
      <w:bookmarkStart w:id="3403" w:name="_Toc418061389"/>
      <w:bookmarkStart w:id="3404" w:name="_Toc418081262"/>
      <w:bookmarkStart w:id="3405" w:name="_Toc418081917"/>
      <w:bookmarkStart w:id="3406" w:name="_Toc418083320"/>
      <w:bookmarkStart w:id="3407" w:name="_Toc418096058"/>
      <w:bookmarkStart w:id="3408" w:name="_Toc418156703"/>
      <w:bookmarkStart w:id="3409" w:name="_Toc418167622"/>
      <w:bookmarkStart w:id="3410" w:name="_Toc418185878"/>
      <w:bookmarkStart w:id="3411" w:name="_Toc422941588"/>
      <w:bookmarkStart w:id="3412" w:name="_Toc423116794"/>
      <w:bookmarkStart w:id="3413" w:name="_Toc423117827"/>
      <w:bookmarkStart w:id="3414" w:name="_Toc423117277"/>
      <w:bookmarkStart w:id="3415" w:name="_Toc431288869"/>
      <w:r>
        <w:t>Azure Machine Learning</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3BFFC569" w14:textId="62108ACD" w:rsidR="00974D8E" w:rsidRDefault="003722E4" w:rsidP="00974D8E">
      <w:r>
        <w:rPr>
          <w:noProof/>
        </w:rPr>
        <w:drawing>
          <wp:anchor distT="0" distB="0" distL="114300" distR="114300" simplePos="0" relativeHeight="251524096" behindDoc="0" locked="0" layoutInCell="1" allowOverlap="1" wp14:anchorId="2FC68155" wp14:editId="31DF8765">
            <wp:simplePos x="0" y="0"/>
            <wp:positionH relativeFrom="column">
              <wp:posOffset>0</wp:posOffset>
            </wp:positionH>
            <wp:positionV relativeFrom="paragraph">
              <wp:posOffset>1905</wp:posOffset>
            </wp:positionV>
            <wp:extent cx="2819400" cy="1498600"/>
            <wp:effectExtent l="0" t="0" r="0" b="6350"/>
            <wp:wrapSquare wrapText="bothSides"/>
            <wp:docPr id="1252047315" name="Picture 1252047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29" name="bigdata.png"/>
                    <pic:cNvPicPr/>
                  </pic:nvPicPr>
                  <pic:blipFill>
                    <a:blip r:embed="rId323">
                      <a:extLst>
                        <a:ext uri="{28A0092B-C50C-407E-A947-70E740481C1C}">
                          <a14:useLocalDpi xmlns:a14="http://schemas.microsoft.com/office/drawing/2010/main" val="0"/>
                        </a:ext>
                      </a:extLst>
                    </a:blip>
                    <a:stretch>
                      <a:fillRect/>
                    </a:stretch>
                  </pic:blipFill>
                  <pic:spPr>
                    <a:xfrm>
                      <a:off x="0" y="0"/>
                      <a:ext cx="2819400" cy="1498600"/>
                    </a:xfrm>
                    <a:prstGeom prst="rect">
                      <a:avLst/>
                    </a:prstGeom>
                  </pic:spPr>
                </pic:pic>
              </a:graphicData>
            </a:graphic>
          </wp:anchor>
        </w:drawing>
      </w:r>
      <w:r>
        <w:t xml:space="preserve">Machine </w:t>
      </w:r>
      <w:r w:rsidR="00974D8E">
        <w:rPr>
          <w:noProof/>
        </w:rPr>
        <w:drawing>
          <wp:anchor distT="0" distB="0" distL="114300" distR="114300" simplePos="0" relativeHeight="251723776" behindDoc="0" locked="0" layoutInCell="1" allowOverlap="1" wp14:anchorId="68465A7C" wp14:editId="6E0A2933">
            <wp:simplePos x="0" y="0"/>
            <wp:positionH relativeFrom="column">
              <wp:posOffset>0</wp:posOffset>
            </wp:positionH>
            <wp:positionV relativeFrom="paragraph">
              <wp:posOffset>1905</wp:posOffset>
            </wp:positionV>
            <wp:extent cx="2819400" cy="1498600"/>
            <wp:effectExtent l="0" t="0" r="0" b="6350"/>
            <wp:wrapSquare wrapText="bothSides"/>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29" name="bigdata.png"/>
                    <pic:cNvPicPr/>
                  </pic:nvPicPr>
                  <pic:blipFill>
                    <a:blip r:embed="rId323">
                      <a:extLst>
                        <a:ext uri="{28A0092B-C50C-407E-A947-70E740481C1C}">
                          <a14:useLocalDpi xmlns:a14="http://schemas.microsoft.com/office/drawing/2010/main" val="0"/>
                        </a:ext>
                      </a:extLst>
                    </a:blip>
                    <a:stretch>
                      <a:fillRect/>
                    </a:stretch>
                  </pic:blipFill>
                  <pic:spPr>
                    <a:xfrm>
                      <a:off x="0" y="0"/>
                      <a:ext cx="2819400" cy="1498600"/>
                    </a:xfrm>
                    <a:prstGeom prst="rect">
                      <a:avLst/>
                    </a:prstGeom>
                  </pic:spPr>
                </pic:pic>
              </a:graphicData>
            </a:graphic>
          </wp:anchor>
        </w:drawing>
      </w:r>
      <w:r w:rsidR="00974D8E">
        <w:t xml:space="preserve"> learning and data science is an exciting technology in today’s market. Unlocking the insights that our data holds is key to getting the competitive advantage that most companies need for success. </w:t>
      </w:r>
    </w:p>
    <w:p w14:paraId="5E452B67" w14:textId="77777777" w:rsidR="00974D8E" w:rsidRDefault="00974D8E" w:rsidP="00974D8E">
      <w:r>
        <w:t>Although the language around neural networks and machine learning have been in place for decades, only recently has computing power been able to provide the computational performance required to run these algorithms at a large scale. This service allows modeling data and algorithms. This provides a low bar for entry and users can start simply with a web browser. Azure Machine Learning also provides a tool set called Azure Machine Learning Studio.</w:t>
      </w:r>
    </w:p>
    <w:p w14:paraId="1E9EFB97" w14:textId="77777777" w:rsidR="00974D8E" w:rsidRDefault="00974D8E" w:rsidP="00974D8E">
      <w:r>
        <w:t>This service offering turns the algorithms and code from languages (for example, R and Python) into services that can target user’s data. Users upload more data, and it can be compared and processed against models created by data scientists. Machine Learning also provides training with existing data to feed the models.</w:t>
      </w:r>
    </w:p>
    <w:p w14:paraId="7B282EAB" w14:textId="54269C48" w:rsidR="003722E4" w:rsidRDefault="00974D8E" w:rsidP="00974D8E">
      <w:r>
        <w:t>This offering lowers the bar for getting the most out of a predictive analytics system. Historically, it required very different skill sets to develop the models and algorithms as opposed to exposing the results via the web or services. Machine Learning marries these primary skills and focuses on the underlying business logic</w:t>
      </w:r>
      <w:r w:rsidR="003722E4">
        <w:t>.</w:t>
      </w:r>
    </w:p>
    <w:p w14:paraId="4F934A42" w14:textId="77777777" w:rsidR="003722E4" w:rsidRDefault="003722E4" w:rsidP="003722E4"/>
    <w:tbl>
      <w:tblPr>
        <w:tblStyle w:val="PlainTable11"/>
        <w:tblW w:w="0" w:type="auto"/>
        <w:tblLook w:val="04A0" w:firstRow="1" w:lastRow="0" w:firstColumn="1" w:lastColumn="0" w:noHBand="0" w:noVBand="1"/>
      </w:tblPr>
      <w:tblGrid>
        <w:gridCol w:w="3415"/>
        <w:gridCol w:w="5935"/>
      </w:tblGrid>
      <w:tr w:rsidR="003722E4" w14:paraId="43E8C263" w14:textId="77777777" w:rsidTr="0013185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6094B4CB" w14:textId="77777777" w:rsidR="003722E4" w:rsidRPr="00F47607" w:rsidRDefault="003722E4" w:rsidP="002F63EE">
            <w:pPr>
              <w:spacing w:line="240" w:lineRule="auto"/>
              <w:rPr>
                <w:color w:val="FFFFFF"/>
              </w:rPr>
            </w:pPr>
            <w:r>
              <w:rPr>
                <w:color w:val="FFFFFF"/>
              </w:rPr>
              <w:t>Feature References</w:t>
            </w:r>
          </w:p>
        </w:tc>
      </w:tr>
      <w:tr w:rsidR="003722E4" w:rsidRPr="00131853" w14:paraId="00836EA6"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5376265B" w14:textId="77777777" w:rsidR="003722E4" w:rsidRPr="00131853" w:rsidRDefault="003722E4" w:rsidP="002F63EE">
            <w:pPr>
              <w:spacing w:line="240" w:lineRule="auto"/>
              <w:rPr>
                <w:sz w:val="20"/>
                <w:szCs w:val="20"/>
              </w:rPr>
            </w:pPr>
            <w:r w:rsidRPr="00131853">
              <w:rPr>
                <w:sz w:val="20"/>
                <w:szCs w:val="20"/>
              </w:rPr>
              <w:t>Machine learning overview</w:t>
            </w:r>
          </w:p>
        </w:tc>
        <w:tc>
          <w:tcPr>
            <w:tcW w:w="5940" w:type="dxa"/>
          </w:tcPr>
          <w:p w14:paraId="76AA5B74" w14:textId="009F6234" w:rsidR="003722E4" w:rsidRPr="00131853" w:rsidRDefault="00872E47" w:rsidP="002F63EE">
            <w:pPr>
              <w:cnfStyle w:val="000000100000" w:firstRow="0" w:lastRow="0" w:firstColumn="0" w:lastColumn="0" w:oddVBand="0" w:evenVBand="0" w:oddHBand="1" w:evenHBand="0" w:firstRowFirstColumn="0" w:firstRowLastColumn="0" w:lastRowFirstColumn="0" w:lastRowLastColumn="0"/>
              <w:rPr>
                <w:sz w:val="20"/>
                <w:szCs w:val="20"/>
              </w:rPr>
            </w:pPr>
            <w:hyperlink r:id="rId324" w:history="1">
              <w:r w:rsidR="002811A0">
                <w:rPr>
                  <w:rStyle w:val="Hyperlink"/>
                  <w:sz w:val="20"/>
                  <w:szCs w:val="20"/>
                </w:rPr>
                <w:t>https://azure.microsoft.com/en-us/documentation/articles/machine-learning-what-is-machine-learning/</w:t>
              </w:r>
            </w:hyperlink>
          </w:p>
        </w:tc>
      </w:tr>
      <w:tr w:rsidR="003722E4" w14:paraId="0C5E6061"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4D38935F" w14:textId="77777777" w:rsidR="003722E4" w:rsidRPr="00F47607" w:rsidRDefault="003722E4" w:rsidP="002F63EE">
            <w:pPr>
              <w:spacing w:line="240" w:lineRule="auto"/>
              <w:rPr>
                <w:sz w:val="20"/>
              </w:rPr>
            </w:pPr>
            <w:r w:rsidRPr="001E5AC2">
              <w:rPr>
                <w:sz w:val="20"/>
                <w:szCs w:val="20"/>
              </w:rPr>
              <w:t>Azure for Research</w:t>
            </w:r>
          </w:p>
        </w:tc>
        <w:tc>
          <w:tcPr>
            <w:tcW w:w="5940" w:type="dxa"/>
          </w:tcPr>
          <w:p w14:paraId="0E7A7EC7" w14:textId="77777777" w:rsidR="003722E4" w:rsidRPr="001E5AC2" w:rsidRDefault="00872E47" w:rsidP="002F63EE">
            <w:pPr>
              <w:cnfStyle w:val="000000000000" w:firstRow="0" w:lastRow="0" w:firstColumn="0" w:lastColumn="0" w:oddVBand="0" w:evenVBand="0" w:oddHBand="0" w:evenHBand="0" w:firstRowFirstColumn="0" w:firstRowLastColumn="0" w:lastRowFirstColumn="0" w:lastRowLastColumn="0"/>
              <w:rPr>
                <w:sz w:val="20"/>
                <w:szCs w:val="20"/>
              </w:rPr>
            </w:pPr>
            <w:hyperlink r:id="rId325" w:history="1">
              <w:r w:rsidR="003722E4" w:rsidRPr="001E5AC2">
                <w:rPr>
                  <w:rStyle w:val="Hyperlink"/>
                  <w:sz w:val="20"/>
                  <w:szCs w:val="20"/>
                </w:rPr>
                <w:t>http://research.microsoft.com/en-us/projects/azure/default.aspx</w:t>
              </w:r>
            </w:hyperlink>
          </w:p>
        </w:tc>
      </w:tr>
      <w:tr w:rsidR="003722E4" w14:paraId="798FC635"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1BA412AD" w14:textId="77777777" w:rsidR="003722E4" w:rsidRPr="001E5AC2" w:rsidRDefault="003722E4" w:rsidP="002F63EE">
            <w:pPr>
              <w:spacing w:line="240" w:lineRule="auto"/>
              <w:rPr>
                <w:sz w:val="20"/>
                <w:szCs w:val="20"/>
              </w:rPr>
            </w:pPr>
            <w:r w:rsidRPr="001E5AC2">
              <w:rPr>
                <w:sz w:val="20"/>
                <w:szCs w:val="20"/>
              </w:rPr>
              <w:t>Machine Learning Studio</w:t>
            </w:r>
          </w:p>
        </w:tc>
        <w:tc>
          <w:tcPr>
            <w:tcW w:w="5940" w:type="dxa"/>
          </w:tcPr>
          <w:p w14:paraId="006D3B7C" w14:textId="77777777" w:rsidR="003722E4" w:rsidRPr="001E5AC2" w:rsidRDefault="00872E47" w:rsidP="002F63EE">
            <w:pPr>
              <w:cnfStyle w:val="000000100000" w:firstRow="0" w:lastRow="0" w:firstColumn="0" w:lastColumn="0" w:oddVBand="0" w:evenVBand="0" w:oddHBand="1" w:evenHBand="0" w:firstRowFirstColumn="0" w:firstRowLastColumn="0" w:lastRowFirstColumn="0" w:lastRowLastColumn="0"/>
              <w:rPr>
                <w:sz w:val="20"/>
                <w:szCs w:val="20"/>
              </w:rPr>
            </w:pPr>
            <w:hyperlink r:id="rId326" w:history="1">
              <w:r w:rsidR="003722E4" w:rsidRPr="001E5AC2">
                <w:rPr>
                  <w:rStyle w:val="Hyperlink"/>
                  <w:sz w:val="20"/>
                  <w:szCs w:val="20"/>
                </w:rPr>
                <w:t>http://azure.microsoft.com/en-us/documentation/articles/machine-learning-what-is-ml-studio/</w:t>
              </w:r>
            </w:hyperlink>
          </w:p>
        </w:tc>
      </w:tr>
      <w:tr w:rsidR="003722E4" w14:paraId="10F6950C"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1BB3C802" w14:textId="77777777" w:rsidR="003722E4" w:rsidRPr="001E5AC2" w:rsidRDefault="003722E4" w:rsidP="002F63EE">
            <w:pPr>
              <w:spacing w:line="240" w:lineRule="auto"/>
              <w:rPr>
                <w:sz w:val="20"/>
                <w:szCs w:val="20"/>
              </w:rPr>
            </w:pPr>
            <w:r w:rsidRPr="001E5AC2">
              <w:rPr>
                <w:sz w:val="20"/>
                <w:szCs w:val="20"/>
              </w:rPr>
              <w:t>Publishing the API</w:t>
            </w:r>
          </w:p>
        </w:tc>
        <w:tc>
          <w:tcPr>
            <w:tcW w:w="5940" w:type="dxa"/>
          </w:tcPr>
          <w:p w14:paraId="5B0CB131" w14:textId="77777777" w:rsidR="003722E4" w:rsidRPr="001E5AC2" w:rsidRDefault="00872E47" w:rsidP="002F63EE">
            <w:pPr>
              <w:cnfStyle w:val="000000000000" w:firstRow="0" w:lastRow="0" w:firstColumn="0" w:lastColumn="0" w:oddVBand="0" w:evenVBand="0" w:oddHBand="0" w:evenHBand="0" w:firstRowFirstColumn="0" w:firstRowLastColumn="0" w:lastRowFirstColumn="0" w:lastRowLastColumn="0"/>
              <w:rPr>
                <w:sz w:val="20"/>
                <w:szCs w:val="20"/>
              </w:rPr>
            </w:pPr>
            <w:hyperlink r:id="rId327" w:history="1">
              <w:r w:rsidR="003722E4" w:rsidRPr="001E5AC2">
                <w:rPr>
                  <w:rStyle w:val="Hyperlink"/>
                  <w:sz w:val="20"/>
                  <w:szCs w:val="20"/>
                </w:rPr>
                <w:t>http://azure.microsoft.com/en-us/documentation/articles/machine-learning-publish-a-machine-learning-web-service/</w:t>
              </w:r>
            </w:hyperlink>
          </w:p>
        </w:tc>
      </w:tr>
    </w:tbl>
    <w:p w14:paraId="5EC0A494" w14:textId="5F3D3734" w:rsidR="003722E4" w:rsidRDefault="003722E4" w:rsidP="003722E4"/>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974D8E" w14:paraId="4E1C9F9D" w14:textId="77777777" w:rsidTr="00EC1B06">
        <w:trPr>
          <w:trHeight w:val="423"/>
        </w:trPr>
        <w:tc>
          <w:tcPr>
            <w:tcW w:w="666" w:type="dxa"/>
          </w:tcPr>
          <w:p w14:paraId="63F99901" w14:textId="77777777" w:rsidR="00974D8E" w:rsidRDefault="00974D8E"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326283B8" wp14:editId="08640AF4">
                      <wp:extent cx="200025" cy="180975"/>
                      <wp:effectExtent l="57150" t="19050" r="28575" b="104775"/>
                      <wp:docPr id="41175" name="Octagon 41175"/>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1DA5E30" id="Octagon 41175"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zwJcwIAAFIFAAAOAAAAZHJzL2Uyb0RvYy54bWysVN1P2zAQf5+0/8Hy+0jTlQEVKaqKmCYh&#10;QMDEs+vYrSXH553dpt1fv7OThoohIU17Se58v/v+uLzaNZZtFQYDruLlyYgz5STUxq0q/vP55ss5&#10;ZyEKVwsLTlV8rwK/mn3+dNn6qRrDGmytkJERF6atr/g6Rj8tiiDXqhHhBLxyJNSAjYjE4qqoUbRk&#10;vbHFeDT6VrSAtUeQKgR6ve6EfJbta61kvNc6qMhsxSm2mL+Yv8v0LWaXYrpC4ddG9mGIf4iiEcaR&#10;08HUtYiCbdD8ZaoxEiGAjicSmgK0NlLlHCibcvQmm6e18CrnQsUJfihT+H9m5d32AZmpKz4py7NT&#10;zpxoqE33MooVONY9UpFaH6aEffIP2HOByJTxTmOT/pQL2+XC7ofCql1kkh6pU6MxGZckKs9HF+SI&#10;rBSvyh5D/K6gYYmoOHTuc0XF9jbEDn1AJXcBrKlvjLWZwdVyYZFtBbV5sSBvubPk4AhWpBy6qDMV&#10;91YlZeselaYSUJxl9piHTw32hJTKxXEfcUYnNU2+B8WvHyv2+KSq8mAOyuOPlQeN7BlcHJQb4wDf&#10;M2Bj2YesOzwV/CjvRC6h3lP3Ebq1CF7eGKr/rQjxQSDtAW0M7Xa8p4+20FJjeoqzNeDv994TnsaT&#10;pJy1tFcVD782AhVn9oejwb0oJ5O0iJmZnJ6NicFjyfJY4jbNAqinJV0RLzOZ8NEeSI3QvNAJmCev&#10;JBJOku+Ky4gHZhG7facjItV8nmG0fF7EW/fk5aHrabiedy8CfT+Ekab3Dg47KKZvBrHDpn44mG8i&#10;aJOn9LWufb1pcfOo90cmXYZjPqNeT+HsDwA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DYlzwJ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796FB917" w14:textId="77777777" w:rsidR="00974D8E" w:rsidRDefault="00974D8E" w:rsidP="00EC1B06">
            <w:pPr>
              <w:rPr>
                <w:lang w:eastAsia="en-US"/>
              </w:rPr>
            </w:pPr>
            <w:r w:rsidRPr="00192064">
              <w:rPr>
                <w:b/>
                <w:lang w:eastAsia="en-US"/>
              </w:rPr>
              <w:t>Mandatory</w:t>
            </w:r>
            <w:r>
              <w:rPr>
                <w:lang w:eastAsia="en-US"/>
              </w:rPr>
              <w:t>: Bring your R and Python code libraries, and understand how to leverage Machine Learning Studio to provide a streamlined development experience.</w:t>
            </w:r>
          </w:p>
        </w:tc>
      </w:tr>
      <w:tr w:rsidR="00974D8E" w14:paraId="1F2E6DCB" w14:textId="77777777" w:rsidTr="00EC1B06">
        <w:trPr>
          <w:trHeight w:val="423"/>
        </w:trPr>
        <w:tc>
          <w:tcPr>
            <w:tcW w:w="666" w:type="dxa"/>
          </w:tcPr>
          <w:p w14:paraId="3B243868" w14:textId="77777777" w:rsidR="00974D8E" w:rsidRDefault="00974D8E"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728896" behindDoc="0" locked="0" layoutInCell="1" allowOverlap="1" wp14:anchorId="0104F5B5" wp14:editId="3652C3AC">
                      <wp:simplePos x="0" y="0"/>
                      <wp:positionH relativeFrom="column">
                        <wp:posOffset>66675</wp:posOffset>
                      </wp:positionH>
                      <wp:positionV relativeFrom="paragraph">
                        <wp:posOffset>90170</wp:posOffset>
                      </wp:positionV>
                      <wp:extent cx="209550" cy="180975"/>
                      <wp:effectExtent l="57150" t="19050" r="57150" b="104775"/>
                      <wp:wrapNone/>
                      <wp:docPr id="41176" name="Isosceles Triangle 411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49EFE199" id="Isosceles Triangle 41176" o:spid="_x0000_s1026" type="#_x0000_t5" style="position:absolute;margin-left:5.25pt;margin-top:7.1pt;width:16.5pt;height:14.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YY/ig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Oi&#10;ODulxLAG23TrwXOhhSePTjGz0YJ0eqxXa32JZg/23sWMvV0B/+FRkf2hiYLvMQfpmojFfMkhFf84&#10;Fl8cAuH4c5JfzGbYIo6q4jy/OJvF5mSsHIyt8+GLgIbES0VDH1gqO9uvfOjgAyzFBlrVS6V1Etxm&#10;fa0d2TPkwhK/PLUfX/DPsJRDF3ZKIBy1iMbafBMS64SBFunFxFAx+mOcCxNO+5ATOppJfHs0/Py+&#10;YY+PpiKxdzSevG88WqSXwYTRuFEG3FsOdCj6kGWH77vou7xjCdZQH5EiDrrZ8ZYvFTZgxXy4Zw6H&#10;BXuGCyB8xUNqaCsK/Y2SLbhfb/2PeOQwailpcfgq6n/umBOU6FuD7L4optM4rUmYzs4mKLiXmvVL&#10;jdk114A9LXDVWJ6uER/0cJUOmifcE4v4KqqY4fh2RXlwg3AduqWAm4aLxSLBcEItCyvzYPnQ9Uiu&#10;x8MTc3ZgIdL3DoZBZeUrInbY2A8Di10AqRJLn+va1xunO3G930RxfbyUE+p5X85/AwAA//8DAFBL&#10;AwQUAAYACAAAACEANTxCMNkAAAAHAQAADwAAAGRycy9kb3ducmV2LnhtbEyOzU7DMBCE70i8g7VI&#10;XFDrkIa2CnEqhJIjqig8gBNvfoS9jmK3DW/PcoLTaDSjma84LM6KC85h9KTgcZ2AQGq9GalX8PlR&#10;r/YgQtRktPWECr4xwKG8vSl0bvyV3vFyir3gEQq5VjDEOOVShnZAp8PaT0icdX52OrKde2lmfeVx&#10;Z2WaJFvp9Ej8MOgJXwdsv05np8A3y7Hb1Lv9Q+0m+9ZVVeaOlVL3d8vLM4iIS/wrwy8+o0PJTI0/&#10;kwnCsk+euMmapSA4zzbsG9Z0B7Is5H/+8gcAAP//AwBQSwECLQAUAAYACAAAACEAtoM4kv4AAADh&#10;AQAAEwAAAAAAAAAAAAAAAAAAAAAAW0NvbnRlbnRfVHlwZXNdLnhtbFBLAQItABQABgAIAAAAIQA4&#10;/SH/1gAAAJQBAAALAAAAAAAAAAAAAAAAAC8BAABfcmVscy8ucmVsc1BLAQItABQABgAIAAAAIQCH&#10;2YY/igIAAHcFAAAOAAAAAAAAAAAAAAAAAC4CAABkcnMvZTJvRG9jLnhtbFBLAQItABQABgAIAAAA&#10;IQA1PEIw2QAAAAcBAAAPAAAAAAAAAAAAAAAAAOQEAABkcnMvZG93bnJldi54bWxQSwUGAAAAAAQA&#10;BADzAAAA6gUAAAAA&#10;" fillcolor="yellow" strokecolor="#70ad47 [3209]" strokeweight=".5pt">
                      <v:path arrowok="t"/>
                    </v:shape>
                  </w:pict>
                </mc:Fallback>
              </mc:AlternateContent>
            </w:r>
          </w:p>
        </w:tc>
        <w:tc>
          <w:tcPr>
            <w:tcW w:w="8604" w:type="dxa"/>
          </w:tcPr>
          <w:p w14:paraId="7794B69C" w14:textId="77777777" w:rsidR="00974D8E" w:rsidRDefault="00974D8E" w:rsidP="00EC1B06">
            <w:pPr>
              <w:rPr>
                <w:lang w:eastAsia="en-US"/>
              </w:rPr>
            </w:pPr>
            <w:r>
              <w:rPr>
                <w:rFonts w:eastAsiaTheme="minorHAnsi"/>
                <w:b/>
                <w:lang w:eastAsia="en-US"/>
              </w:rPr>
              <w:t xml:space="preserve">Recommended: </w:t>
            </w:r>
            <w:r>
              <w:rPr>
                <w:rFonts w:eastAsiaTheme="minorHAnsi"/>
                <w:lang w:eastAsia="en-US"/>
              </w:rPr>
              <w:t>Partition your logic to create consumable services by using the platform services of Machine Learning.</w:t>
            </w:r>
          </w:p>
        </w:tc>
      </w:tr>
      <w:tr w:rsidR="00974D8E" w14:paraId="5623B1A2" w14:textId="77777777" w:rsidTr="00EC1B06">
        <w:trPr>
          <w:trHeight w:val="423"/>
        </w:trPr>
        <w:tc>
          <w:tcPr>
            <w:tcW w:w="666" w:type="dxa"/>
          </w:tcPr>
          <w:p w14:paraId="5336C69B" w14:textId="77777777" w:rsidR="00974D8E" w:rsidRDefault="00974D8E"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734016" behindDoc="0" locked="0" layoutInCell="1" allowOverlap="1" wp14:anchorId="202969B1" wp14:editId="6FC85FD3">
                      <wp:simplePos x="0" y="0"/>
                      <wp:positionH relativeFrom="column">
                        <wp:posOffset>66675</wp:posOffset>
                      </wp:positionH>
                      <wp:positionV relativeFrom="paragraph">
                        <wp:posOffset>90170</wp:posOffset>
                      </wp:positionV>
                      <wp:extent cx="180975" cy="180975"/>
                      <wp:effectExtent l="57150" t="19050" r="9525" b="104775"/>
                      <wp:wrapNone/>
                      <wp:docPr id="41177" name="Oval 411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170A6C9C" id="Oval 41177" o:spid="_x0000_s1026" style="position:absolute;margin-left:5.25pt;margin-top:7.1pt;width:14.25pt;height:14.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I8HfgIAAGgFAAAOAAAAZHJzL2Uyb0RvYy54bWysVN9P2zAQfp+0/8Hy+0hSygpRU9QVMU2q&#10;AA0mnl3Hbq05Ps92m3Z/PWcnDWwgIU17sXy+7376u5te7htNdsJ5BaaixUlOiTAcamXWFf3xcP3p&#10;nBIfmKmZBiMqehCeXs4+fpi2thQj2ICuhSPoxPiytRXdhGDLLPN8IxrmT8AKg0oJrmEBRbfOasda&#10;9N7obJTnn7MWXG0dcOE9vl51SjpL/qUUPNxK6UUguqKYW0inS+cqntlsysq1Y3ajeJ8G+4csGqYM&#10;Bh1cXbHAyNapV64axR14kOGEQ5OBlIqLVANWU+R/VXO/YVakWrA53g5t8v/PLb/Z3Tmi6oqOi2Iy&#10;ocSwBr/pdsc06V6wQ631JQLv7Z2LNXq7BP7ToyL7QxMF32P20jURixWSfWr3YWi32AfC8bE4zy8m&#10;Z5RwVPX36JOVR2PrfPgqoCHxUlGhtbI+NoSVbLf0oUMfUSk10Kq+Vlonwa1XC+0I1oKx8y/5Wfpv&#10;DOCfYamELuuUfzhoEY21+S4kNibmmSImSorBH+NcmHAaCYQOEzqaSYw9GJ6+b9jjo6lIdB2MR+8b&#10;DxYpMpgwGDfKgHvLgQ5Fn7Ls8P0n+q7u2IIV1AfkhINuWLzl1wr7v2Q+3DGH04FzhBMfbvGQGtqK&#10;Qn+jZAPu91vvEY+kRS0lLU5bRf2vLXOCEv3NIJ0vivE4jmcSxmeTEQrupWb1UmO2zQLwTwvcLZan&#10;a8QHfbxKB80jLoZ5jIoqZjjGrigP7igsQrcFcLVwMZ8nGI6kZWFp7i0//nok18P+kTnbkzAge2/g&#10;OJmviNhh438YmG8DSJVY+tzXvt84zok4/eqJ++KlnFDPC3L2BAAA//8DAFBLAwQUAAYACAAAACEA&#10;whqfIt4AAAAHAQAADwAAAGRycy9kb3ducmV2LnhtbEyPQUvDQBCF74L/YRnBi9hNYqs2ZlNEEBS9&#10;mFbU2zQ7JsHsbMhu2/jvHU96Gh7v8eZ7xWpyvdrTGDrPBtJZAoq49rbjxsBmfX9+DSpEZIu9ZzLw&#10;TQFW5fFRgbn1B36hfRUbJSUccjTQxjjkWoe6JYdh5gdi8T796DCKHBttRzxIuet1liSX2mHH8qHF&#10;ge5aqr+qnTPwUW2e3Tp9cm+P6cOCzt77JdpXY05PptsbUJGm+BeGX3xBh1KYtn7HNqhedLKQpNx5&#10;Bkr8i6VM2xqYZ1egy0L/5y9/AAAA//8DAFBLAQItABQABgAIAAAAIQC2gziS/gAAAOEBAAATAAAA&#10;AAAAAAAAAAAAAAAAAABbQ29udGVudF9UeXBlc10ueG1sUEsBAi0AFAAGAAgAAAAhADj9If/WAAAA&#10;lAEAAAsAAAAAAAAAAAAAAAAALwEAAF9yZWxzLy5yZWxzUEsBAi0AFAAGAAgAAAAhAAYwjwd+AgAA&#10;aAUAAA4AAAAAAAAAAAAAAAAALgIAAGRycy9lMm9Eb2MueG1sUEsBAi0AFAAGAAgAAAAhAMIanyLe&#10;AAAABwEAAA8AAAAAAAAAAAAAAAAA2AQAAGRycy9kb3ducmV2LnhtbFBLBQYAAAAABAAEAPMAAADj&#10;BQAAAAA=&#10;" fillcolor="#00b050" strokecolor="#a5a5a5 [3206]" strokeweight=".5pt">
                      <v:stroke joinstyle="miter"/>
                      <v:path arrowok="t"/>
                    </v:oval>
                  </w:pict>
                </mc:Fallback>
              </mc:AlternateContent>
            </w:r>
          </w:p>
        </w:tc>
        <w:tc>
          <w:tcPr>
            <w:tcW w:w="8604" w:type="dxa"/>
          </w:tcPr>
          <w:p w14:paraId="776E1B8C" w14:textId="77777777" w:rsidR="00974D8E" w:rsidRDefault="00974D8E" w:rsidP="00EC1B06">
            <w:pPr>
              <w:rPr>
                <w:lang w:eastAsia="en-US"/>
              </w:rPr>
            </w:pPr>
            <w:r>
              <w:rPr>
                <w:rFonts w:eastAsiaTheme="minorHAnsi"/>
                <w:b/>
                <w:lang w:eastAsia="en-US"/>
              </w:rPr>
              <w:t>Optional:</w:t>
            </w:r>
            <w:r>
              <w:rPr>
                <w:rFonts w:eastAsiaTheme="minorHAnsi"/>
                <w:lang w:eastAsia="en-US"/>
              </w:rPr>
              <w:t xml:space="preserve"> Explore what the data science community has already created and work to extend or enhance these to speed your development effort and time.</w:t>
            </w:r>
          </w:p>
        </w:tc>
      </w:tr>
    </w:tbl>
    <w:p w14:paraId="4A7BA86C" w14:textId="77777777" w:rsidR="00974D8E" w:rsidRDefault="00974D8E" w:rsidP="003722E4"/>
    <w:p w14:paraId="13B04B8F" w14:textId="64C601D0" w:rsidR="003722E4" w:rsidRDefault="003722E4" w:rsidP="005729D2">
      <w:pPr>
        <w:pStyle w:val="Heading3Numbered"/>
        <w:numPr>
          <w:ilvl w:val="2"/>
          <w:numId w:val="64"/>
        </w:numPr>
      </w:pPr>
      <w:bookmarkStart w:id="3416" w:name="_Toc431288870"/>
      <w:bookmarkStart w:id="3417" w:name="_Toc417983669"/>
      <w:bookmarkStart w:id="3418" w:name="_Toc418013251"/>
      <w:bookmarkStart w:id="3419" w:name="_Toc418029973"/>
      <w:bookmarkStart w:id="3420" w:name="_Toc418036914"/>
      <w:bookmarkStart w:id="3421" w:name="_Toc418061390"/>
      <w:bookmarkStart w:id="3422" w:name="_Toc418081263"/>
      <w:bookmarkStart w:id="3423" w:name="_Toc418081918"/>
      <w:bookmarkStart w:id="3424" w:name="_Toc418083321"/>
      <w:bookmarkStart w:id="3425" w:name="_Toc418096059"/>
      <w:bookmarkStart w:id="3426" w:name="_Toc418156704"/>
      <w:bookmarkStart w:id="3427" w:name="_Toc418167623"/>
      <w:bookmarkStart w:id="3428" w:name="_Toc418185879"/>
      <w:bookmarkStart w:id="3429" w:name="_Toc422941589"/>
      <w:bookmarkStart w:id="3430" w:name="_Toc423116795"/>
      <w:bookmarkStart w:id="3431" w:name="_Toc423117828"/>
      <w:bookmarkStart w:id="3432" w:name="_Toc423117278"/>
      <w:r>
        <w:t>High-Performance Computing</w:t>
      </w:r>
      <w:bookmarkEnd w:id="3416"/>
      <w:r>
        <w:t xml:space="preserve"> </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3472F149" w14:textId="507DB8E1" w:rsidR="001A1012" w:rsidRDefault="003722E4" w:rsidP="001A1012">
      <w:r>
        <w:t>Azure</w:t>
      </w:r>
      <w:r w:rsidR="001A1012">
        <w:t xml:space="preserve"> provides high-performance computing (HPC) in the form of high-performance virtual machines. These virtual machines are tailored to support this specific computing need via features such as a back-end network with MPI latency under three microseconds and up to 32 Gbps of throughput. The back-end network leverages RDMA to enable scaling workloads beyond the typical limits (even for cloud platforms) to thousands of cores. </w:t>
      </w:r>
    </w:p>
    <w:p w14:paraId="389F45D3" w14:textId="77777777" w:rsidR="001A1012" w:rsidRDefault="001A1012" w:rsidP="001A1012">
      <w:r>
        <w:t xml:space="preserve">Azure supports a high-performance capacity of up to 500 MB of memory and 6.9 TB of SSD disk performance, up to 32 CPUs per virtual machine. When combined with the Microsoft HPC Pack, a system can be architected to run on-premises in a Windows compute cluster, and then extend to Azure as capacity demands dictate. This allows organizations to also run HPC wholly in Azure if desired. </w:t>
      </w:r>
    </w:p>
    <w:p w14:paraId="3C3677FC" w14:textId="5146945B" w:rsidR="003722E4" w:rsidRDefault="001A1012" w:rsidP="001A1012">
      <w:r>
        <w:t>Combined with a rich ecosystem of applications, libraries, and tools, Azure provides a premier platform for high-performance computing</w:t>
      </w:r>
      <w:r w:rsidR="003722E4">
        <w:t>.</w:t>
      </w:r>
    </w:p>
    <w:p w14:paraId="10A5D5EB" w14:textId="77777777" w:rsidR="003722E4" w:rsidRDefault="003722E4" w:rsidP="003722E4"/>
    <w:tbl>
      <w:tblPr>
        <w:tblStyle w:val="PlainTable11"/>
        <w:tblW w:w="0" w:type="auto"/>
        <w:tblLook w:val="04A0" w:firstRow="1" w:lastRow="0" w:firstColumn="1" w:lastColumn="0" w:noHBand="0" w:noVBand="1"/>
      </w:tblPr>
      <w:tblGrid>
        <w:gridCol w:w="3415"/>
        <w:gridCol w:w="5935"/>
      </w:tblGrid>
      <w:tr w:rsidR="003722E4" w14:paraId="0295E337" w14:textId="77777777" w:rsidTr="0013185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450C43E8" w14:textId="77777777" w:rsidR="003722E4" w:rsidRPr="00F47607" w:rsidRDefault="003722E4" w:rsidP="002F63EE">
            <w:pPr>
              <w:spacing w:line="240" w:lineRule="auto"/>
              <w:rPr>
                <w:color w:val="FFFFFF"/>
              </w:rPr>
            </w:pPr>
            <w:r>
              <w:rPr>
                <w:color w:val="FFFFFF"/>
              </w:rPr>
              <w:t>Feature References</w:t>
            </w:r>
          </w:p>
        </w:tc>
      </w:tr>
      <w:tr w:rsidR="003722E4" w:rsidRPr="00131853" w14:paraId="72E973BF"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4B3A76D8" w14:textId="77777777" w:rsidR="003722E4" w:rsidRPr="00131853" w:rsidRDefault="003722E4" w:rsidP="002F63EE">
            <w:pPr>
              <w:spacing w:line="240" w:lineRule="auto"/>
              <w:rPr>
                <w:sz w:val="20"/>
                <w:szCs w:val="20"/>
              </w:rPr>
            </w:pPr>
            <w:r w:rsidRPr="00131853">
              <w:rPr>
                <w:sz w:val="20"/>
                <w:szCs w:val="20"/>
              </w:rPr>
              <w:t>HPC overview</w:t>
            </w:r>
          </w:p>
        </w:tc>
        <w:tc>
          <w:tcPr>
            <w:tcW w:w="5940" w:type="dxa"/>
          </w:tcPr>
          <w:p w14:paraId="1CEE095A" w14:textId="77777777" w:rsidR="003722E4" w:rsidRPr="00131853" w:rsidRDefault="00872E47" w:rsidP="002F63EE">
            <w:pPr>
              <w:cnfStyle w:val="000000100000" w:firstRow="0" w:lastRow="0" w:firstColumn="0" w:lastColumn="0" w:oddVBand="0" w:evenVBand="0" w:oddHBand="1" w:evenHBand="0" w:firstRowFirstColumn="0" w:firstRowLastColumn="0" w:lastRowFirstColumn="0" w:lastRowLastColumn="0"/>
              <w:rPr>
                <w:sz w:val="20"/>
                <w:szCs w:val="20"/>
              </w:rPr>
            </w:pPr>
            <w:hyperlink r:id="rId328" w:history="1">
              <w:r w:rsidR="003722E4" w:rsidRPr="00131853">
                <w:rPr>
                  <w:rStyle w:val="Hyperlink"/>
                  <w:sz w:val="20"/>
                  <w:szCs w:val="20"/>
                </w:rPr>
                <w:t>https://msdn.microsoft.com/en-us/library/azure/dn482130.aspx</w:t>
              </w:r>
            </w:hyperlink>
          </w:p>
        </w:tc>
      </w:tr>
      <w:tr w:rsidR="003722E4" w:rsidRPr="00131853" w14:paraId="5CE3D17A"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010A4D1E" w14:textId="77777777" w:rsidR="003722E4" w:rsidRPr="00131853" w:rsidRDefault="003722E4" w:rsidP="002F63EE">
            <w:pPr>
              <w:spacing w:line="240" w:lineRule="auto"/>
              <w:rPr>
                <w:sz w:val="20"/>
                <w:szCs w:val="20"/>
              </w:rPr>
            </w:pPr>
            <w:r w:rsidRPr="00131853">
              <w:rPr>
                <w:sz w:val="20"/>
                <w:szCs w:val="20"/>
              </w:rPr>
              <w:t>Cluster pack for Azure IaaS</w:t>
            </w:r>
          </w:p>
        </w:tc>
        <w:tc>
          <w:tcPr>
            <w:tcW w:w="5940" w:type="dxa"/>
          </w:tcPr>
          <w:p w14:paraId="033D2C94" w14:textId="77777777" w:rsidR="003722E4" w:rsidRPr="00131853" w:rsidRDefault="00872E47" w:rsidP="002F63EE">
            <w:pPr>
              <w:cnfStyle w:val="000000000000" w:firstRow="0" w:lastRow="0" w:firstColumn="0" w:lastColumn="0" w:oddVBand="0" w:evenVBand="0" w:oddHBand="0" w:evenHBand="0" w:firstRowFirstColumn="0" w:firstRowLastColumn="0" w:lastRowFirstColumn="0" w:lastRowLastColumn="0"/>
              <w:rPr>
                <w:sz w:val="20"/>
                <w:szCs w:val="20"/>
              </w:rPr>
            </w:pPr>
            <w:hyperlink r:id="rId329" w:history="1">
              <w:r w:rsidR="003722E4" w:rsidRPr="00131853">
                <w:rPr>
                  <w:rStyle w:val="Hyperlink"/>
                  <w:sz w:val="20"/>
                  <w:szCs w:val="20"/>
                </w:rPr>
                <w:t>https://msdn.microsoft.com/en-us/library/azure/dn518135.aspx</w:t>
              </w:r>
            </w:hyperlink>
          </w:p>
        </w:tc>
      </w:tr>
      <w:tr w:rsidR="003722E4" w:rsidRPr="00131853" w14:paraId="038D43D6"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2AE82500" w14:textId="77777777" w:rsidR="003722E4" w:rsidRPr="00131853" w:rsidRDefault="003722E4" w:rsidP="002F63EE">
            <w:pPr>
              <w:spacing w:line="240" w:lineRule="auto"/>
              <w:rPr>
                <w:sz w:val="20"/>
                <w:szCs w:val="20"/>
              </w:rPr>
            </w:pPr>
            <w:r w:rsidRPr="00131853">
              <w:rPr>
                <w:sz w:val="20"/>
                <w:szCs w:val="20"/>
              </w:rPr>
              <w:t>Running MPI apps</w:t>
            </w:r>
          </w:p>
        </w:tc>
        <w:tc>
          <w:tcPr>
            <w:tcW w:w="5940" w:type="dxa"/>
          </w:tcPr>
          <w:p w14:paraId="26E03CE7" w14:textId="77777777" w:rsidR="003722E4" w:rsidRPr="00131853" w:rsidRDefault="00872E47" w:rsidP="002F63EE">
            <w:pPr>
              <w:cnfStyle w:val="000000100000" w:firstRow="0" w:lastRow="0" w:firstColumn="0" w:lastColumn="0" w:oddVBand="0" w:evenVBand="0" w:oddHBand="1" w:evenHBand="0" w:firstRowFirstColumn="0" w:firstRowLastColumn="0" w:lastRowFirstColumn="0" w:lastRowLastColumn="0"/>
              <w:rPr>
                <w:sz w:val="20"/>
                <w:szCs w:val="20"/>
              </w:rPr>
            </w:pPr>
            <w:hyperlink r:id="rId330" w:history="1">
              <w:r w:rsidR="003722E4" w:rsidRPr="00131853">
                <w:rPr>
                  <w:rStyle w:val="Hyperlink"/>
                  <w:sz w:val="20"/>
                  <w:szCs w:val="20"/>
                </w:rPr>
                <w:t>https://msdn.microsoft.com/en-us/library/azure/dn592104.aspx</w:t>
              </w:r>
            </w:hyperlink>
          </w:p>
        </w:tc>
      </w:tr>
      <w:tr w:rsidR="003722E4" w:rsidRPr="00131853" w14:paraId="39116E98"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5D701B05" w14:textId="77777777" w:rsidR="003722E4" w:rsidRPr="00131853" w:rsidRDefault="003722E4" w:rsidP="002F63EE">
            <w:pPr>
              <w:spacing w:line="240" w:lineRule="auto"/>
              <w:rPr>
                <w:sz w:val="20"/>
                <w:szCs w:val="20"/>
              </w:rPr>
            </w:pPr>
            <w:r w:rsidRPr="00131853">
              <w:rPr>
                <w:sz w:val="20"/>
                <w:szCs w:val="20"/>
              </w:rPr>
              <w:t>Hybrid cluster</w:t>
            </w:r>
          </w:p>
        </w:tc>
        <w:tc>
          <w:tcPr>
            <w:tcW w:w="5940" w:type="dxa"/>
          </w:tcPr>
          <w:p w14:paraId="30C96416" w14:textId="77777777" w:rsidR="003722E4" w:rsidRPr="00131853" w:rsidRDefault="00872E47" w:rsidP="002F63EE">
            <w:pPr>
              <w:cnfStyle w:val="000000000000" w:firstRow="0" w:lastRow="0" w:firstColumn="0" w:lastColumn="0" w:oddVBand="0" w:evenVBand="0" w:oddHBand="0" w:evenHBand="0" w:firstRowFirstColumn="0" w:firstRowLastColumn="0" w:lastRowFirstColumn="0" w:lastRowLastColumn="0"/>
              <w:rPr>
                <w:sz w:val="20"/>
                <w:szCs w:val="20"/>
              </w:rPr>
            </w:pPr>
            <w:hyperlink r:id="rId331" w:history="1">
              <w:r w:rsidR="003722E4" w:rsidRPr="00131853">
                <w:rPr>
                  <w:rStyle w:val="Hyperlink"/>
                  <w:sz w:val="20"/>
                  <w:szCs w:val="20"/>
                </w:rPr>
                <w:t>http://azure.microsoft.com/en-us/documentation/articles/cloud-services-setup-hybrid-hpcpack-cluster/</w:t>
              </w:r>
            </w:hyperlink>
          </w:p>
        </w:tc>
      </w:tr>
    </w:tbl>
    <w:p w14:paraId="6CCC8572" w14:textId="1F40CF4C" w:rsidR="003722E4" w:rsidRDefault="003722E4" w:rsidP="003722E4"/>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1A1012" w14:paraId="3D27C61B" w14:textId="77777777" w:rsidTr="00EC1B06">
        <w:trPr>
          <w:trHeight w:val="423"/>
        </w:trPr>
        <w:tc>
          <w:tcPr>
            <w:tcW w:w="666" w:type="dxa"/>
          </w:tcPr>
          <w:p w14:paraId="0C7990DC" w14:textId="77777777" w:rsidR="001A1012" w:rsidRDefault="001A1012"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1DDC11EA" wp14:editId="1EA802CB">
                      <wp:extent cx="200025" cy="180975"/>
                      <wp:effectExtent l="57150" t="19050" r="28575" b="104775"/>
                      <wp:docPr id="41178" name="Octagon 41178"/>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36177CC" id="Octagon 41178"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u9YdAIAAFIFAAAOAAAAZHJzL2Uyb0RvYy54bWysVN1P2zAQf5+0/8Hy+0jTlQEVKaqKmCYh&#10;QMDEs+vYrSXH553dpt1fv7OThoohIU17Se58v/v+uLzaNZZtFQYDruLlyYgz5STUxq0q/vP55ss5&#10;ZyEKVwsLTlV8rwK/mn3+dNn6qRrDGmytkJERF6atr/g6Rj8tiiDXqhHhBLxyJNSAjYjE4qqoUbRk&#10;vbHFeDT6VrSAtUeQKgR6ve6EfJbta61kvNc6qMhsxSm2mL+Yv8v0LWaXYrpC4ddG9mGIf4iiEcaR&#10;08HUtYiCbdD8ZaoxEiGAjicSmgK0NlLlHCibcvQmm6e18CrnQsUJfihT+H9m5d32AZmpKz4pyzNq&#10;lhMNteleRrECx7pHKlLrw5SwT/4Bey4QmTLeaWzSn3Jhu1zY/VBYtYtM0iN1ajQ+5UySqDwfXZyd&#10;psIXr8oeQ/yuoGGJqDh07nNFxfY2xA59QCV3Aaypb4y1mcHVcmGRbQW1ebEgb7mz5OAIVqQcuqgz&#10;FfdWJWXrHpWmElCcZfaYh08N9oSUysVxH3FGJzVNvgfFrx8r9vikqvJgDsrjj5UHjewZXByUG+MA&#10;3zNgY9mHrDs8Ffwo70Quod5T9xG6tQhe3hiq/60I8UEg7QFtDO12vKePttBSY3qKszXg7/feE57G&#10;k6SctbRXFQ+/NgIVZ/aHo8G9KCeTtIiZmZyejYnBY8nyWOI2zQKopyVdES8zmfDRHkiN0LzQCZgn&#10;ryQSTpLvisuIB2YRu32nIyLVfJ5htHxexFv35OWh62m4nncvAn0/hJGm9w4OOyimbwaxw6Z+OJhv&#10;ImiTp/S1rn29aXHzqPdHJl2GYz6jXk/h7A8AAAD//wMAUEsDBBQABgAIAAAAIQCft0Tx2wAAAAMB&#10;AAAPAAAAZHJzL2Rvd25yZXYueG1sTI9BS8NAEIXvgv9hGcGb3aTSEtNsiggFD9JgtXjdZqdJaHY2&#10;7G6b+O8dvdjLwOM93vumWE+2Fxf0oXOkIJ0lIJBqZzpqFHx+bB4yECFqMrp3hAq+McC6vL0pdG7c&#10;SO942cVGcAmFXCtoYxxyKUPdotVh5gYk9o7OWx1Z+kYar0cut72cJ8lSWt0RL7R6wJcW69PubBVU&#10;p7F6zarq6ctvlts3b/ep3+6Vur+bnlcgIk7xPwy/+IwOJTMd3JlMEL0CfiT+XfYe0wWIg4J5tgBZ&#10;FvKavfwBAAD//wMAUEsBAi0AFAAGAAgAAAAhALaDOJL+AAAA4QEAABMAAAAAAAAAAAAAAAAAAAAA&#10;AFtDb250ZW50X1R5cGVzXS54bWxQSwECLQAUAAYACAAAACEAOP0h/9YAAACUAQAACwAAAAAAAAAA&#10;AAAAAAAvAQAAX3JlbHMvLnJlbHNQSwECLQAUAAYACAAAACEArC7vWHQCAABSBQAADgAAAAAAAAAA&#10;AAAAAAAuAgAAZHJzL2Uyb0RvYy54bWxQSwECLQAUAAYACAAAACEAn7dE8dsAAAADAQAADwAAAAAA&#10;AAAAAAAAAADOBAAAZHJzL2Rvd25yZXYueG1sUEsFBgAAAAAEAAQA8wAAANYFAAAAAA==&#10;" fillcolor="#c00" strokecolor="#ed7d31 [3205]" strokeweight=".5pt">
                      <w10:anchorlock/>
                    </v:shape>
                  </w:pict>
                </mc:Fallback>
              </mc:AlternateContent>
            </w:r>
          </w:p>
        </w:tc>
        <w:tc>
          <w:tcPr>
            <w:tcW w:w="8604" w:type="dxa"/>
          </w:tcPr>
          <w:p w14:paraId="2EB6FD7F" w14:textId="77777777" w:rsidR="001A1012" w:rsidRDefault="001A1012" w:rsidP="00EC1B06">
            <w:pPr>
              <w:rPr>
                <w:lang w:eastAsia="en-US"/>
              </w:rPr>
            </w:pPr>
            <w:r w:rsidRPr="00192064">
              <w:rPr>
                <w:b/>
                <w:lang w:eastAsia="en-US"/>
              </w:rPr>
              <w:t>Mandatory</w:t>
            </w:r>
            <w:r>
              <w:rPr>
                <w:lang w:eastAsia="en-US"/>
              </w:rPr>
              <w:t>: Determine a strategy for on-premises, cloud, and hybrid clustering for HPC workloads.</w:t>
            </w:r>
          </w:p>
        </w:tc>
      </w:tr>
      <w:tr w:rsidR="001A1012" w14:paraId="4C35254D" w14:textId="77777777" w:rsidTr="00EC1B06">
        <w:trPr>
          <w:trHeight w:val="423"/>
        </w:trPr>
        <w:tc>
          <w:tcPr>
            <w:tcW w:w="666" w:type="dxa"/>
          </w:tcPr>
          <w:p w14:paraId="39E7D2E6" w14:textId="77777777" w:rsidR="001A1012" w:rsidRDefault="001A1012"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739136" behindDoc="0" locked="0" layoutInCell="1" allowOverlap="1" wp14:anchorId="2E7FF5D9" wp14:editId="7E073FF9">
                      <wp:simplePos x="0" y="0"/>
                      <wp:positionH relativeFrom="column">
                        <wp:posOffset>66675</wp:posOffset>
                      </wp:positionH>
                      <wp:positionV relativeFrom="paragraph">
                        <wp:posOffset>90170</wp:posOffset>
                      </wp:positionV>
                      <wp:extent cx="209550" cy="180975"/>
                      <wp:effectExtent l="57150" t="19050" r="57150" b="104775"/>
                      <wp:wrapNone/>
                      <wp:docPr id="47" name="Isosceles Tri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78C7C44B" id="Isosceles Triangle 47" o:spid="_x0000_s1026" type="#_x0000_t5" style="position:absolute;margin-left:5.25pt;margin-top:7.1pt;width:16.5pt;height:14.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uDjhQIAAHEFAAAOAAAAZHJzL2Uyb0RvYy54bWysVFtr2zAUfh/sPwi9r7azpBdTp4SWjELo&#10;ytrRZ0WWEjFZR5OUONmv35F8adcVCmN+EJLPd+7fOZdXh0aTvXBegalocZJTIgyHWplNRb8/Lj+d&#10;U+IDMzXTYERFj8LTq/nHD5etLcUEtqBr4QgaMb5sbUW3Idgyyzzfiob5E7DCoFCCa1jAp9tktWMt&#10;Wm90Nsnz06wFV1sHXHiPf286IZ0n+1IKHr5K6UUguqIYW0inS+c6ntn8kpUbx+xW8T4M9g9RNEwZ&#10;dDqaumGBkZ1Tf5lqFHfgQYYTDk0GUiouUg6YTZG/yuZhy6xIuWBxvB3L5P+fWX63v3dE1RWdnlFi&#10;WIM9uvXgudDCk0enmNloQVCIlWqtL1Hhwd67mKu3K+A/PAqyPyTx4XvMQbomYjFTckhlP45lF4dA&#10;OP6c5BezGTaHo6g4zy/OZtFZxspB2TofvghoSLxUNPRRpYKz/cqHDj7AUmygVb1UWqeH26yvtSN7&#10;hixY4penxqMH/wxLOXRhpwTCUYuorM03IbFCGGiRPCZuitEe41yYcNqHnNBRTaLvUfHz+4o9PqqK&#10;xNtRefK+8qiRPIMJo3KjDLi3DOhQ9CHLDt930Xd5xxKsoT4iORx0U+MtXypswIr5cM8cjgn2DEc/&#10;fMVDamgrCv2Nki24X2/9j3hkL0opaXHsKup/7pgTlOhbg7y+KKbTOKfpMZ2dTfDhXkrWLyVm11wD&#10;9rTAJWN5ukZ80MNVOmiecEMsolcUMcPRd0V5cMPjOnTrAHcMF4tFguFsWhZW5sHyoeuRXI+HJ+bs&#10;wEKk7x0MI8rKV0TssLEfBha7AFIllj7Xta83znXier+D4uJ4+U6o5005/w0AAP//AwBQSwMEFAAG&#10;AAgAAAAhADU8QjDZAAAABwEAAA8AAABkcnMvZG93bnJldi54bWxMjs1OwzAQhO9IvIO1SFxQ65CG&#10;tgpxKoSSI6ooPIATb36EvY5itw1vz3KC02g0o5mvOCzOigvOYfSk4HGdgEBqvRmpV/D5Ua/2IELU&#10;ZLT1hAq+McChvL0pdG78ld7xcoq94BEKuVYwxDjlUoZ2QKfD2k9InHV+djqynXtpZn3lcWdlmiRb&#10;6fRI/DDoCV8HbL9OZ6fAN8ux29S7/UPtJvvWVVXmjpVS93fLyzOIiEv8K8MvPqNDyUyNP5MJwrJP&#10;nrjJmqUgOM827BvWdAeyLOR//vIHAAD//wMAUEsBAi0AFAAGAAgAAAAhALaDOJL+AAAA4QEAABMA&#10;AAAAAAAAAAAAAAAAAAAAAFtDb250ZW50X1R5cGVzXS54bWxQSwECLQAUAAYACAAAACEAOP0h/9YA&#10;AACUAQAACwAAAAAAAAAAAAAAAAAvAQAAX3JlbHMvLnJlbHNQSwECLQAUAAYACAAAACEAA47g44UC&#10;AABxBQAADgAAAAAAAAAAAAAAAAAuAgAAZHJzL2Uyb0RvYy54bWxQSwECLQAUAAYACAAAACEANTxC&#10;MNkAAAAHAQAADwAAAAAAAAAAAAAAAADfBAAAZHJzL2Rvd25yZXYueG1sUEsFBgAAAAAEAAQA8wAA&#10;AOUFAAAAAA==&#10;" fillcolor="yellow" strokecolor="#70ad47 [3209]" strokeweight=".5pt">
                      <v:path arrowok="t"/>
                    </v:shape>
                  </w:pict>
                </mc:Fallback>
              </mc:AlternateContent>
            </w:r>
          </w:p>
        </w:tc>
        <w:tc>
          <w:tcPr>
            <w:tcW w:w="8604" w:type="dxa"/>
          </w:tcPr>
          <w:p w14:paraId="0D929A46" w14:textId="77777777" w:rsidR="001A1012" w:rsidRDefault="001A1012" w:rsidP="00EC1B06">
            <w:pPr>
              <w:rPr>
                <w:lang w:eastAsia="en-US"/>
              </w:rPr>
            </w:pPr>
            <w:r>
              <w:rPr>
                <w:rFonts w:eastAsiaTheme="minorHAnsi"/>
                <w:b/>
                <w:lang w:eastAsia="en-US"/>
              </w:rPr>
              <w:t xml:space="preserve">Recommended: </w:t>
            </w:r>
            <w:r>
              <w:rPr>
                <w:rFonts w:eastAsiaTheme="minorHAnsi"/>
                <w:lang w:eastAsia="en-US"/>
              </w:rPr>
              <w:t>Scale the application resources dynamically, to take advantage of extreme size virtual machines only when it makes sense.</w:t>
            </w:r>
          </w:p>
        </w:tc>
      </w:tr>
      <w:tr w:rsidR="001A1012" w14:paraId="653E309E" w14:textId="77777777" w:rsidTr="00EC1B06">
        <w:trPr>
          <w:trHeight w:val="423"/>
        </w:trPr>
        <w:tc>
          <w:tcPr>
            <w:tcW w:w="666" w:type="dxa"/>
          </w:tcPr>
          <w:p w14:paraId="2DE4EBD1" w14:textId="77777777" w:rsidR="001A1012" w:rsidRDefault="001A1012"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744256" behindDoc="0" locked="0" layoutInCell="1" allowOverlap="1" wp14:anchorId="772E31DC" wp14:editId="423BAF3F">
                      <wp:simplePos x="0" y="0"/>
                      <wp:positionH relativeFrom="column">
                        <wp:posOffset>66675</wp:posOffset>
                      </wp:positionH>
                      <wp:positionV relativeFrom="paragraph">
                        <wp:posOffset>90170</wp:posOffset>
                      </wp:positionV>
                      <wp:extent cx="180975" cy="180975"/>
                      <wp:effectExtent l="57150" t="19050" r="9525" b="104775"/>
                      <wp:wrapNone/>
                      <wp:docPr id="1546650176" name="Oval 15466501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27987AAE" id="Oval 1546650176" o:spid="_x0000_s1026" style="position:absolute;margin-left:5.25pt;margin-top:7.1pt;width:14.25pt;height:14.2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JVlggIAAHIFAAAOAAAAZHJzL2Uyb0RvYy54bWysVN1P2zAQf5+0/8Hy+0hS2gIRKepATJMq&#10;QIOJZ9exW2uOz7Pdpt1fv7OThm4gIU17se58v/v+uLzaNZpshfMKTEWLk5wSYTjUyqwq+v3p9tM5&#10;JT4wUzMNRlR0Lzy9mn38cNnaUoxgDboWjqAR48vWVnQdgi2zzPO1aJg/ASsMCiW4hgVk3SqrHWvR&#10;eqOzUZ5PsxZcbR1w4T3+3nRCOkv2pRQ83EvpRSC6ohhbSK9L7zK+2eySlSvH7FrxPgz2D1E0TBl0&#10;Opi6YYGRjVOvTDWKO/AgwwmHJgMpFRcpB8ymyP/K5nHNrEi5YHG8Hcrk/59Zfrd9cETV2LvJeDqd&#10;5MXZlBLDGuzV/ZZpcvSNtWqtL1Hl0T64mK23C+A/PAqyPySR8T1mJ10TsZgr2aXC74fCi10gHD+L&#10;8/zibEIJR1FPR5usPChb58MXAQ2JREWF1sr6WBpWsu3Chw59QKXQQKv6VmmdGLdaXmtHMCH0nX/O&#10;J6nz6MC/wFIKXdQp/rDXIipr801ILFGMM3lMwykGe4xzYcJpHCU0mNBRTaLvQfH0fcUeH1VFGtxB&#10;efS+8qCRPIMJg3KjDLi3DOhQ9CHLDt830Xd5xxIsod7jdDjo1sZbfquw/gvmwwNzuCe4Ubj74R4f&#10;qaGtKPQUJWtwv976j3gcX5RS0uLeVdT/3DAnKNFfDQ72RTEex0VNzHhyNkLGHUuWxxKzaa4Be1rg&#10;lbE8kREf9IGUDppnPBHz6BVFzHD0XVEe3IG5Dt09wCPDxXyeYLicloWFebT80PU4XE+7Z+ZsP4QB&#10;p/cODjv6ahA7bOyHgfkmgFRpSl/q2tcbFzsNTn+E4uU45hPq5VTOfgMAAP//AwBQSwMEFAAGAAgA&#10;AAAhAMIanyLeAAAABwEAAA8AAABkcnMvZG93bnJldi54bWxMj0FLw0AQhe+C/2EZwYvYTWKrNmZT&#10;RBAUvZhW1Ns0OybB7GzIbtv47x1Pehoe7/Hme8Vqcr3a0xg6zwbSWQKKuPa248bAZn1/fg0qRGSL&#10;vWcy8E0BVuXxUYG59Qd+oX0VGyUlHHI00MY45FqHuiWHYeYHYvE+/egwihwbbUc8SLnrdZYkl9ph&#10;x/KhxYHuWqq/qp0z8FFtnt06fXJvj+nDgs7e+yXaV2NOT6bbG1CRpvgXhl98QYdSmLZ+xzaoXnSy&#10;kKTceQZK/IulTNsamGdXoMtC/+cvfwAAAP//AwBQSwECLQAUAAYACAAAACEAtoM4kv4AAADhAQAA&#10;EwAAAAAAAAAAAAAAAAAAAAAAW0NvbnRlbnRfVHlwZXNdLnhtbFBLAQItABQABgAIAAAAIQA4/SH/&#10;1gAAAJQBAAALAAAAAAAAAAAAAAAAAC8BAABfcmVscy8ucmVsc1BLAQItABQABgAIAAAAIQAs3JVl&#10;ggIAAHIFAAAOAAAAAAAAAAAAAAAAAC4CAABkcnMvZTJvRG9jLnhtbFBLAQItABQABgAIAAAAIQDC&#10;Gp8i3gAAAAcBAAAPAAAAAAAAAAAAAAAAANwEAABkcnMvZG93bnJldi54bWxQSwUGAAAAAAQABADz&#10;AAAA5wUAAAAA&#10;" fillcolor="#00b050" strokecolor="#a5a5a5 [3206]" strokeweight=".5pt">
                      <v:stroke joinstyle="miter"/>
                      <v:path arrowok="t"/>
                    </v:oval>
                  </w:pict>
                </mc:Fallback>
              </mc:AlternateContent>
            </w:r>
          </w:p>
        </w:tc>
        <w:tc>
          <w:tcPr>
            <w:tcW w:w="8604" w:type="dxa"/>
          </w:tcPr>
          <w:p w14:paraId="42377988" w14:textId="77777777" w:rsidR="001A1012" w:rsidRDefault="001A1012" w:rsidP="00EC1B06">
            <w:pPr>
              <w:rPr>
                <w:lang w:eastAsia="en-US"/>
              </w:rPr>
            </w:pPr>
            <w:r>
              <w:rPr>
                <w:rFonts w:eastAsiaTheme="minorHAnsi"/>
                <w:b/>
                <w:lang w:eastAsia="en-US"/>
              </w:rPr>
              <w:t xml:space="preserve">Optional: </w:t>
            </w:r>
            <w:r>
              <w:rPr>
                <w:rFonts w:eastAsiaTheme="minorHAnsi"/>
                <w:lang w:eastAsia="en-US"/>
              </w:rPr>
              <w:t>Make changes to the applications to allow disconnecting the tiers to take advantage of features, such as queuing to allow scaling of independent compute clusters.</w:t>
            </w:r>
          </w:p>
        </w:tc>
      </w:tr>
    </w:tbl>
    <w:p w14:paraId="145D6450" w14:textId="77777777" w:rsidR="001A1012" w:rsidRDefault="001A1012" w:rsidP="003722E4"/>
    <w:p w14:paraId="07BD87E4" w14:textId="77777777" w:rsidR="003722E4" w:rsidRDefault="003722E4" w:rsidP="005729D2">
      <w:pPr>
        <w:pStyle w:val="Heading3Numbered"/>
        <w:numPr>
          <w:ilvl w:val="2"/>
          <w:numId w:val="64"/>
        </w:numPr>
      </w:pPr>
      <w:bookmarkStart w:id="3433" w:name="_Toc417983670"/>
      <w:bookmarkStart w:id="3434" w:name="_Toc418013252"/>
      <w:bookmarkStart w:id="3435" w:name="_Toc418029974"/>
      <w:bookmarkStart w:id="3436" w:name="_Toc418036915"/>
      <w:bookmarkStart w:id="3437" w:name="_Toc418061391"/>
      <w:bookmarkStart w:id="3438" w:name="_Toc418081264"/>
      <w:bookmarkStart w:id="3439" w:name="_Toc418081919"/>
      <w:bookmarkStart w:id="3440" w:name="_Toc418083322"/>
      <w:bookmarkStart w:id="3441" w:name="_Toc418096060"/>
      <w:bookmarkStart w:id="3442" w:name="_Toc418156705"/>
      <w:bookmarkStart w:id="3443" w:name="_Toc418167624"/>
      <w:bookmarkStart w:id="3444" w:name="_Toc418185880"/>
      <w:bookmarkStart w:id="3445" w:name="_Toc422941590"/>
      <w:bookmarkStart w:id="3446" w:name="_Toc423116796"/>
      <w:bookmarkStart w:id="3447" w:name="_Toc423117829"/>
      <w:bookmarkStart w:id="3448" w:name="_Toc423117279"/>
      <w:bookmarkStart w:id="3449" w:name="_Toc431288871"/>
      <w:r>
        <w:t>Content Delivery Network</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777C0B74" w14:textId="1F80C2BC" w:rsidR="001A1012" w:rsidRDefault="003722E4" w:rsidP="001A1012">
      <w:r>
        <w:t>A</w:t>
      </w:r>
      <w:r w:rsidR="001A1012">
        <w:t xml:space="preserve"> key component for applications that require global reach is to be able to reach customers in the quickest manner. One of the industry standards for distributing static content (typically images and video) is content delivery networks (CDNs). </w:t>
      </w:r>
    </w:p>
    <w:p w14:paraId="6CD0532E" w14:textId="77777777" w:rsidR="001A1012" w:rsidRDefault="001A1012" w:rsidP="001A1012">
      <w:r>
        <w:t>Although this type of service has been available for years, the Azure platform integrates the CDN with existing data in Azure Blob Storage. This integration enables hosting the applications for a global reach, and makes it easier and less expensive to implement.</w:t>
      </w:r>
    </w:p>
    <w:p w14:paraId="2973482C" w14:textId="0F13F73D" w:rsidR="003722E4" w:rsidRDefault="001A1012" w:rsidP="001A1012">
      <w:r>
        <w:t>Typically, CDNs are used for static content, such as media, images, or documents, which is read more than written to. With an end goal of pushing content globally, this integration with Azure results in a faster response time for clients, based on their location. It also facilitates automatic redundancy and replication of content</w:t>
      </w:r>
      <w:r w:rsidR="003722E4">
        <w:t>.</w:t>
      </w:r>
    </w:p>
    <w:p w14:paraId="336BE84D" w14:textId="77777777" w:rsidR="003722E4" w:rsidRDefault="003722E4" w:rsidP="003722E4"/>
    <w:tbl>
      <w:tblPr>
        <w:tblStyle w:val="PlainTable11"/>
        <w:tblW w:w="0" w:type="auto"/>
        <w:tblLook w:val="04A0" w:firstRow="1" w:lastRow="0" w:firstColumn="1" w:lastColumn="0" w:noHBand="0" w:noVBand="1"/>
      </w:tblPr>
      <w:tblGrid>
        <w:gridCol w:w="3416"/>
        <w:gridCol w:w="5934"/>
      </w:tblGrid>
      <w:tr w:rsidR="003722E4" w14:paraId="309EE00F" w14:textId="77777777" w:rsidTr="0090521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808080" w:themeFill="background1" w:themeFillShade="80"/>
          </w:tcPr>
          <w:p w14:paraId="4DBB970E" w14:textId="77777777" w:rsidR="003722E4" w:rsidRPr="00F47607" w:rsidRDefault="003722E4" w:rsidP="002F63EE">
            <w:pPr>
              <w:spacing w:line="240" w:lineRule="auto"/>
              <w:rPr>
                <w:color w:val="FFFFFF"/>
              </w:rPr>
            </w:pPr>
            <w:r>
              <w:rPr>
                <w:color w:val="FFFFFF"/>
              </w:rPr>
              <w:t>Feature References</w:t>
            </w:r>
          </w:p>
        </w:tc>
      </w:tr>
      <w:tr w:rsidR="003722E4" w14:paraId="4EA33A4C"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5A066F79" w14:textId="77777777" w:rsidR="003722E4" w:rsidRPr="001E5AC2" w:rsidRDefault="003722E4" w:rsidP="002F63EE">
            <w:pPr>
              <w:spacing w:line="240" w:lineRule="auto"/>
              <w:rPr>
                <w:sz w:val="20"/>
                <w:szCs w:val="20"/>
              </w:rPr>
            </w:pPr>
            <w:r w:rsidRPr="001E5AC2">
              <w:rPr>
                <w:sz w:val="20"/>
                <w:szCs w:val="20"/>
              </w:rPr>
              <w:t>CDN overview</w:t>
            </w:r>
          </w:p>
        </w:tc>
        <w:tc>
          <w:tcPr>
            <w:tcW w:w="5940" w:type="dxa"/>
          </w:tcPr>
          <w:p w14:paraId="43EF4E7F" w14:textId="77777777" w:rsidR="003722E4" w:rsidRPr="001E5AC2" w:rsidRDefault="00872E47" w:rsidP="002F63EE">
            <w:pPr>
              <w:cnfStyle w:val="000000100000" w:firstRow="0" w:lastRow="0" w:firstColumn="0" w:lastColumn="0" w:oddVBand="0" w:evenVBand="0" w:oddHBand="1" w:evenHBand="0" w:firstRowFirstColumn="0" w:firstRowLastColumn="0" w:lastRowFirstColumn="0" w:lastRowLastColumn="0"/>
              <w:rPr>
                <w:sz w:val="20"/>
                <w:szCs w:val="20"/>
              </w:rPr>
            </w:pPr>
            <w:hyperlink r:id="rId332" w:history="1">
              <w:r w:rsidR="003722E4" w:rsidRPr="001E5AC2">
                <w:rPr>
                  <w:rStyle w:val="Hyperlink"/>
                  <w:sz w:val="20"/>
                  <w:szCs w:val="20"/>
                </w:rPr>
                <w:t>http://azure.microsoft.com/en-us/documentation/articles/cdn-overview/</w:t>
              </w:r>
            </w:hyperlink>
          </w:p>
        </w:tc>
      </w:tr>
      <w:tr w:rsidR="003722E4" w14:paraId="2BA3E473"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38D4AC3D" w14:textId="77777777" w:rsidR="003722E4" w:rsidRPr="001E5AC2" w:rsidRDefault="003722E4" w:rsidP="002F63EE">
            <w:pPr>
              <w:spacing w:line="240" w:lineRule="auto"/>
              <w:rPr>
                <w:sz w:val="20"/>
                <w:szCs w:val="20"/>
              </w:rPr>
            </w:pPr>
            <w:r w:rsidRPr="001E5AC2">
              <w:rPr>
                <w:sz w:val="20"/>
                <w:szCs w:val="20"/>
              </w:rPr>
              <w:t>POP locations for CDN in Azure</w:t>
            </w:r>
          </w:p>
        </w:tc>
        <w:tc>
          <w:tcPr>
            <w:tcW w:w="5940" w:type="dxa"/>
          </w:tcPr>
          <w:p w14:paraId="51E0798D" w14:textId="35DE3C7E" w:rsidR="003722E4" w:rsidRPr="001E5AC2" w:rsidRDefault="00872E47" w:rsidP="002F63EE">
            <w:pPr>
              <w:cnfStyle w:val="000000000000" w:firstRow="0" w:lastRow="0" w:firstColumn="0" w:lastColumn="0" w:oddVBand="0" w:evenVBand="0" w:oddHBand="0" w:evenHBand="0" w:firstRowFirstColumn="0" w:firstRowLastColumn="0" w:lastRowFirstColumn="0" w:lastRowLastColumn="0"/>
              <w:rPr>
                <w:sz w:val="20"/>
                <w:szCs w:val="20"/>
              </w:rPr>
            </w:pPr>
            <w:hyperlink r:id="rId333" w:history="1">
              <w:r w:rsidR="0090521D">
                <w:rPr>
                  <w:rStyle w:val="Hyperlink"/>
                  <w:sz w:val="20"/>
                  <w:szCs w:val="20"/>
                </w:rPr>
                <w:t>https://azure.microsoft.com/en-us/documentation/articles/cdn-pop-locations/</w:t>
              </w:r>
            </w:hyperlink>
          </w:p>
        </w:tc>
      </w:tr>
      <w:tr w:rsidR="003722E4" w14:paraId="61E8DC7B" w14:textId="77777777" w:rsidTr="009052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6" w:type="dxa"/>
          </w:tcPr>
          <w:p w14:paraId="497FDB88" w14:textId="77777777" w:rsidR="003722E4" w:rsidRPr="001E5AC2" w:rsidRDefault="003722E4" w:rsidP="002F63EE">
            <w:pPr>
              <w:spacing w:line="240" w:lineRule="auto"/>
              <w:rPr>
                <w:sz w:val="20"/>
                <w:szCs w:val="20"/>
              </w:rPr>
            </w:pPr>
            <w:r w:rsidRPr="001E5AC2">
              <w:rPr>
                <w:sz w:val="20"/>
                <w:szCs w:val="20"/>
              </w:rPr>
              <w:t>Integration of CDN</w:t>
            </w:r>
          </w:p>
        </w:tc>
        <w:tc>
          <w:tcPr>
            <w:tcW w:w="5934" w:type="dxa"/>
          </w:tcPr>
          <w:p w14:paraId="4915BC62" w14:textId="77777777" w:rsidR="003722E4" w:rsidRPr="001E5AC2" w:rsidRDefault="00872E47" w:rsidP="002F63EE">
            <w:pPr>
              <w:cnfStyle w:val="000000100000" w:firstRow="0" w:lastRow="0" w:firstColumn="0" w:lastColumn="0" w:oddVBand="0" w:evenVBand="0" w:oddHBand="1" w:evenHBand="0" w:firstRowFirstColumn="0" w:firstRowLastColumn="0" w:lastRowFirstColumn="0" w:lastRowLastColumn="0"/>
              <w:rPr>
                <w:sz w:val="20"/>
                <w:szCs w:val="20"/>
              </w:rPr>
            </w:pPr>
            <w:hyperlink r:id="rId334" w:history="1">
              <w:r w:rsidR="003722E4" w:rsidRPr="001E5AC2">
                <w:rPr>
                  <w:rStyle w:val="Hyperlink"/>
                  <w:sz w:val="20"/>
                  <w:szCs w:val="20"/>
                </w:rPr>
                <w:t>http://azure.microsoft.com/en-us/documentation/articles/cdn-serve-content-from-cdn-in-your-web-application/</w:t>
              </w:r>
            </w:hyperlink>
          </w:p>
        </w:tc>
      </w:tr>
    </w:tbl>
    <w:p w14:paraId="3D5F5591" w14:textId="06FAF59B" w:rsidR="003722E4" w:rsidRDefault="003722E4" w:rsidP="003722E4"/>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1A1012" w14:paraId="16010301" w14:textId="77777777" w:rsidTr="00EC1B06">
        <w:trPr>
          <w:trHeight w:val="423"/>
        </w:trPr>
        <w:tc>
          <w:tcPr>
            <w:tcW w:w="666" w:type="dxa"/>
          </w:tcPr>
          <w:p w14:paraId="7336E56A" w14:textId="77777777" w:rsidR="001A1012" w:rsidRDefault="001A1012"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5444172B" wp14:editId="5339AB68">
                      <wp:extent cx="200025" cy="180975"/>
                      <wp:effectExtent l="57150" t="19050" r="28575" b="104775"/>
                      <wp:docPr id="1546650185" name="Octagon 1546650185"/>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A32F4E2" id="Octagon 1546650185"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VFkeAIAAFwFAAAOAAAAZHJzL2Uyb0RvYy54bWysVFtr2zAUfh/sPwi9r7azpJdQp4SUjkFp&#10;w9rRZ0WWEoGko0lKnOzX70h23NAVCmMv8jk+9+9crm/2RpOd8EGBrWl1VlIiLIdG2XVNfz7ffbmk&#10;JERmG6bBipoeRKA3s8+frls3FSPYgG6EJ+jEhmnrarqJ0U2LIvCNMCycgRMWhRK8YRFZvy4az1r0&#10;bnQxKsvzogXfOA9chIB/bzshnWX/UgoeH6UMIhJdU8wt5tfnd5XeYnbNpmvP3EbxPg32D1kYpiwG&#10;HVzdssjI1qu/XBnFPQSQ8YyDKUBKxUWuAaupyjfVPG2YE7kWBCe4Aabw/9zyh93SE9Vg7ybj8/NJ&#10;WV1OKLHMYK8eeWRrsOREgnC1LkzR6sktfc8FJFPte+lN+mJVZJ8hPgwQi30kHH9iz8oRRuAoqi7L&#10;q4tJakHxaux8iN8EGJKImkKXQ8aW7e5D7LSPWilcAK2aO6V1Zvx6tdCe7Bg2fLHAaLnHGOBErUg1&#10;dFlnKh60SMba/hASwcA8qxwxj6EY/DHOhY2jPuOsncwkxh4Mv35s2OsnU5FHdDAefWw8WOTIYONg&#10;bJQF/54DHas+ZdnpI+AndSdyBc0B58BDtyDB8TuF+N+zEJfM40bg7uCWx0d8pIYWG9NTlGzA/37v&#10;f9LHQUUpJS1uWE3Dry3zghL93eIIX1XjcVrJzIwnFyNk/KlkdSqxW7MA7GmF98TxTCb9qI+k9GBe&#10;8BjMU1QUMcsxdk159EdmEbvNx3PCxXye1XANHYv39snxY9fTcD3vX5h3/RBGnN4HOG4jm74ZxE43&#10;9cPCfBtBqjylr7j2eOMK51Hvz026Ead81no9irM/AA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NnBUWR4AgAAXA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1C0C1151" w14:textId="77777777" w:rsidR="001A1012" w:rsidRDefault="001A1012" w:rsidP="00EC1B06">
            <w:pPr>
              <w:rPr>
                <w:lang w:eastAsia="en-US"/>
              </w:rPr>
            </w:pPr>
            <w:r w:rsidRPr="00192064">
              <w:rPr>
                <w:b/>
                <w:lang w:eastAsia="en-US"/>
              </w:rPr>
              <w:t>Mandatory</w:t>
            </w:r>
            <w:r>
              <w:rPr>
                <w:lang w:eastAsia="en-US"/>
              </w:rPr>
              <w:t>: Determine regions to target for the CDN and update the application to use the root URI of the CDN rather than for the local content.</w:t>
            </w:r>
          </w:p>
        </w:tc>
      </w:tr>
      <w:tr w:rsidR="001A1012" w14:paraId="731004AD" w14:textId="77777777" w:rsidTr="00EC1B06">
        <w:trPr>
          <w:trHeight w:val="423"/>
        </w:trPr>
        <w:tc>
          <w:tcPr>
            <w:tcW w:w="666" w:type="dxa"/>
          </w:tcPr>
          <w:p w14:paraId="3FDD0824" w14:textId="77777777" w:rsidR="001A1012" w:rsidRDefault="001A1012"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749376" behindDoc="0" locked="0" layoutInCell="1" allowOverlap="1" wp14:anchorId="66718600" wp14:editId="2C2EAA4F">
                      <wp:simplePos x="0" y="0"/>
                      <wp:positionH relativeFrom="column">
                        <wp:posOffset>66675</wp:posOffset>
                      </wp:positionH>
                      <wp:positionV relativeFrom="paragraph">
                        <wp:posOffset>90170</wp:posOffset>
                      </wp:positionV>
                      <wp:extent cx="209550" cy="180975"/>
                      <wp:effectExtent l="57150" t="19050" r="57150" b="104775"/>
                      <wp:wrapNone/>
                      <wp:docPr id="1252047312" name="Isosceles Triangle 12520473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161BA879" id="Isosceles Triangle 1252047312" o:spid="_x0000_s1026" type="#_x0000_t5" style="position:absolute;margin-left:5.25pt;margin-top:7.1pt;width:16.5pt;height:14.2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rKxjgIAAIEFAAAOAAAAZHJzL2Uyb0RvYy54bWysVNtqGzEQfS/0H4Tem73EzmXJOpgEl4BJ&#10;QpOSZ1kr2Uu1GlWSvXa/viPtJW4aCJTug9DsnLnpzMzV9b5RZCesq0GXNDtJKRGaQ1XrdUm/Py++&#10;XFDiPNMVU6BFSQ/C0evZ509XrSlEDhtQlbAEnWhXtKakG+9NkSSOb0TD3AkYoVEpwTbMo2jXSWVZ&#10;i94bleRpepa0YCtjgQvn8O9tp6Sz6F9Kwf2DlE54okqKufl42niuwpnMrlixtsxsat6nwf4hi4bV&#10;GoOOrm6ZZ2Rr679cNTW34ED6Ew5NAlLWXMQasJosfVPN04YZEWvBx3FmfCb3/9zy+92jJXWF3OXT&#10;PJ2cn2Y5JZo1yNWdA8eFEo4825rptRLkCIQv1xpXoIMn82hD7c4sgf9wqEj+0ATB9Zi9tE3AYuVk&#10;H2k4jDSIvSccf+bp5XSKZHFUZRfp5fk00JSwYjA21vmvAhoSLiX1fXaRALZbOt/BB1jMDVRdLWql&#10;omDXqxtlyY5hVyzwS2MjYAT3Cos1dGnHAvxBiWCs9Dch8cUw0SxGjL0qRn+Mc6H9WZ9yRAczibFH&#10;w9OPDXt8MBWxj0fj/GPj0SJGBu1H46bWYN9zoHzWpyw7fM+i6+oOT7CC6oDNYqGbImf4okYClsz5&#10;R2ZxbJAzXAX+AQ+poC0p9DdKNmB/vfc/4LGbUUtJi2NYUvdzy6ygRN1p7PPLbDIJcxuFyfQ8R8Ee&#10;a1bHGr1tbgA5zXDpGB6vAe/VcJUWmhfcGPMQFVVMc4xdUu7tINz4bj3gzuFiPo8wnFXD/FI/GT6w&#10;Hprref/CrBm6ENv3HoaRZcWbRuywgQ8N860HWccufX3X/r1xzmOv9zspLJJjOaJeN+fsNwA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oTqysY4CAAC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1D8E318F" w14:textId="77777777" w:rsidR="001A1012" w:rsidRDefault="001A1012" w:rsidP="00EC1B06">
            <w:pPr>
              <w:rPr>
                <w:lang w:eastAsia="en-US"/>
              </w:rPr>
            </w:pPr>
            <w:r>
              <w:rPr>
                <w:rFonts w:eastAsiaTheme="minorHAnsi"/>
                <w:b/>
                <w:lang w:eastAsia="en-US"/>
              </w:rPr>
              <w:t xml:space="preserve">Recommended: </w:t>
            </w:r>
            <w:r>
              <w:rPr>
                <w:rFonts w:eastAsiaTheme="minorHAnsi"/>
                <w:lang w:eastAsia="en-US"/>
              </w:rPr>
              <w:t>Leverage parameters to vary the caching characteristics and lifetime of the content cache.</w:t>
            </w:r>
          </w:p>
        </w:tc>
      </w:tr>
      <w:tr w:rsidR="001A1012" w14:paraId="7B24F7D1" w14:textId="77777777" w:rsidTr="00EC1B06">
        <w:trPr>
          <w:trHeight w:val="423"/>
        </w:trPr>
        <w:tc>
          <w:tcPr>
            <w:tcW w:w="666" w:type="dxa"/>
          </w:tcPr>
          <w:p w14:paraId="489056DC" w14:textId="77777777" w:rsidR="001A1012" w:rsidRDefault="001A1012"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754496" behindDoc="0" locked="0" layoutInCell="1" allowOverlap="1" wp14:anchorId="1548594A" wp14:editId="13963564">
                      <wp:simplePos x="0" y="0"/>
                      <wp:positionH relativeFrom="column">
                        <wp:posOffset>66675</wp:posOffset>
                      </wp:positionH>
                      <wp:positionV relativeFrom="paragraph">
                        <wp:posOffset>90170</wp:posOffset>
                      </wp:positionV>
                      <wp:extent cx="180975" cy="180975"/>
                      <wp:effectExtent l="57150" t="19050" r="9525" b="104775"/>
                      <wp:wrapNone/>
                      <wp:docPr id="1252047313" name="Oval 12520473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69F7D929" id="Oval 1252047313" o:spid="_x0000_s1026" style="position:absolute;margin-left:5.25pt;margin-top:7.1pt;width:14.25pt;height:14.2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qgqggIAAHIFAAAOAAAAZHJzL2Uyb0RvYy54bWysVFtP2zAUfp+0/2D5fSTpZUBEijoQ06QK&#10;0GDi2XXs1prj49lu0+7Xc+ykoRtISNNerHN8vnO/XFzuGk22wnkFpqLFSU6JMBxqZVYV/fF48+mM&#10;Eh+YqZkGIyq6F55ezj5+uGhtKUawBl0LR9CI8WVrK7oOwZZZ5vlaNMyfgBUGhRJcwwKybpXVjrVo&#10;vdHZKM8/Zy242jrgwnv8ve6EdJbsSyl4uJPSi0B0RTG2kF6X3mV8s9kFK1eO2bXifRjsH6JomDLo&#10;dDB1zQIjG6demWoUd+BBhhMOTQZSKi5SDphNkf+VzcOaWZFyweJ4O5TJ/z+z/HZ774iqsXej6Sif&#10;nI6LMSWGNdiruy3T5Ogba9VaX6LKg713MVtvF8B/ehRkf0gi43vMTromYjFXskuF3w+FF7tAOH4W&#10;Z/n56ZQSjqKejjZZeVC2zoevAhoSiYoKrZX1sTSsZNuFDx36gEqhgVb1jdI6MW61vNKOYELoO/+S&#10;T1Pn0YF/gaUUuqhT/GGvRVTW5ruQWKIYZ/KYhlMM9hjnwoRxHCU0mNBRTaLvQXH8vmKPj6oiDe6g&#10;PHpfedBInsGEQblRBtxbBnQo+pBlh++b6Lu8YwmWUO9xOhx0a+Mtv1FY/wXz4Z453BPcKNz9cIeP&#10;1NBWFHqKkjW432/9RzyOL0opaXHvKup/bZgTlOhvBgf7vJhM4qImZjI9HSHjjiXLY4nZNFeAPS3w&#10;ylieyIgP+kBKB80Tnoh59IoiZjj6rigP7sBche4e4JHhYj5PMFxOy8LCPFh+6HocrsfdE3O2H8KA&#10;03sLhx19NYgdNvbDwHwTQKo0pS917euNi50Gpz9C8XIc8wn1cipnzwAAAP//AwBQSwMEFAAGAAgA&#10;AAAhAMIanyLeAAAABwEAAA8AAABkcnMvZG93bnJldi54bWxMj0FLw0AQhe+C/2EZwYvYTWKrNmZT&#10;RBAUvZhW1Ns0OybB7GzIbtv47x1Pehoe7/Hme8Vqcr3a0xg6zwbSWQKKuPa248bAZn1/fg0qRGSL&#10;vWcy8E0BVuXxUYG59Qd+oX0VGyUlHHI00MY45FqHuiWHYeYHYvE+/egwihwbbUc8SLnrdZYkl9ph&#10;x/KhxYHuWqq/qp0z8FFtnt06fXJvj+nDgs7e+yXaV2NOT6bbG1CRpvgXhl98QYdSmLZ+xzaoXnSy&#10;kKTceQZK/IulTNsamGdXoMtC/+cvfwAAAP//AwBQSwECLQAUAAYACAAAACEAtoM4kv4AAADhAQAA&#10;EwAAAAAAAAAAAAAAAAAAAAAAW0NvbnRlbnRfVHlwZXNdLnhtbFBLAQItABQABgAIAAAAIQA4/SH/&#10;1gAAAJQBAAALAAAAAAAAAAAAAAAAAC8BAABfcmVscy8ucmVsc1BLAQItABQABgAIAAAAIQBAkqgq&#10;ggIAAHIFAAAOAAAAAAAAAAAAAAAAAC4CAABkcnMvZTJvRG9jLnhtbFBLAQItABQABgAIAAAAIQDC&#10;Gp8i3gAAAAcBAAAPAAAAAAAAAAAAAAAAANwEAABkcnMvZG93bnJldi54bWxQSwUGAAAAAAQABADz&#10;AAAA5wUAAAAA&#10;" fillcolor="#00b050" strokecolor="#a5a5a5 [3206]" strokeweight=".5pt">
                      <v:stroke joinstyle="miter"/>
                      <v:path arrowok="t"/>
                    </v:oval>
                  </w:pict>
                </mc:Fallback>
              </mc:AlternateContent>
            </w:r>
          </w:p>
        </w:tc>
        <w:tc>
          <w:tcPr>
            <w:tcW w:w="8604" w:type="dxa"/>
          </w:tcPr>
          <w:p w14:paraId="6461130E" w14:textId="77777777" w:rsidR="001A1012" w:rsidRDefault="001A1012" w:rsidP="00EC1B06">
            <w:pPr>
              <w:rPr>
                <w:lang w:eastAsia="en-US"/>
              </w:rPr>
            </w:pPr>
            <w:r>
              <w:rPr>
                <w:rFonts w:eastAsiaTheme="minorHAnsi"/>
                <w:b/>
                <w:lang w:eastAsia="en-US"/>
              </w:rPr>
              <w:t xml:space="preserve">Optional: </w:t>
            </w:r>
            <w:r>
              <w:rPr>
                <w:rFonts w:eastAsiaTheme="minorHAnsi"/>
                <w:lang w:eastAsia="en-US"/>
              </w:rPr>
              <w:t>Map the CDN content to a custom domain name.</w:t>
            </w:r>
          </w:p>
        </w:tc>
      </w:tr>
    </w:tbl>
    <w:p w14:paraId="64ACFE71" w14:textId="77777777" w:rsidR="001A1012" w:rsidRDefault="001A1012" w:rsidP="003722E4"/>
    <w:p w14:paraId="6C2F16BA" w14:textId="60534044" w:rsidR="003722E4" w:rsidRDefault="00131853" w:rsidP="005729D2">
      <w:pPr>
        <w:pStyle w:val="Heading3Numbered"/>
        <w:numPr>
          <w:ilvl w:val="2"/>
          <w:numId w:val="64"/>
        </w:numPr>
      </w:pPr>
      <w:bookmarkStart w:id="3450" w:name="_Toc418079664"/>
      <w:bookmarkStart w:id="3451" w:name="_Toc418081265"/>
      <w:bookmarkStart w:id="3452" w:name="_Toc418069178"/>
      <w:bookmarkStart w:id="3453" w:name="_Toc418072014"/>
      <w:bookmarkStart w:id="3454" w:name="_Toc418095287"/>
      <w:bookmarkStart w:id="3455" w:name="_Toc418096061"/>
      <w:bookmarkStart w:id="3456" w:name="_Toc418079665"/>
      <w:bookmarkStart w:id="3457" w:name="_Toc418081266"/>
      <w:bookmarkStart w:id="3458" w:name="_Toc418069179"/>
      <w:bookmarkStart w:id="3459" w:name="_Toc418072015"/>
      <w:bookmarkStart w:id="3460" w:name="_Toc418095288"/>
      <w:bookmarkStart w:id="3461" w:name="_Toc418096062"/>
      <w:bookmarkStart w:id="3462" w:name="_Toc418079666"/>
      <w:bookmarkStart w:id="3463" w:name="_Toc418081267"/>
      <w:bookmarkStart w:id="3464" w:name="_Toc418069180"/>
      <w:bookmarkStart w:id="3465" w:name="_Toc418072016"/>
      <w:bookmarkStart w:id="3466" w:name="_Toc418095289"/>
      <w:bookmarkStart w:id="3467" w:name="_Toc418096063"/>
      <w:bookmarkStart w:id="3468" w:name="_Toc418079667"/>
      <w:bookmarkStart w:id="3469" w:name="_Toc418081268"/>
      <w:bookmarkStart w:id="3470" w:name="_Toc418069181"/>
      <w:bookmarkStart w:id="3471" w:name="_Toc418072017"/>
      <w:bookmarkStart w:id="3472" w:name="_Toc418095290"/>
      <w:bookmarkStart w:id="3473" w:name="_Toc418096064"/>
      <w:bookmarkStart w:id="3474" w:name="_Toc418079668"/>
      <w:bookmarkStart w:id="3475" w:name="_Toc418081269"/>
      <w:bookmarkStart w:id="3476" w:name="_Toc418069182"/>
      <w:bookmarkStart w:id="3477" w:name="_Toc418072018"/>
      <w:bookmarkStart w:id="3478" w:name="_Toc418095291"/>
      <w:bookmarkStart w:id="3479" w:name="_Toc418096065"/>
      <w:bookmarkStart w:id="3480" w:name="_Toc418079669"/>
      <w:bookmarkStart w:id="3481" w:name="_Toc418081270"/>
      <w:bookmarkStart w:id="3482" w:name="_Toc418069183"/>
      <w:bookmarkStart w:id="3483" w:name="_Toc418072019"/>
      <w:bookmarkStart w:id="3484" w:name="_Toc418095292"/>
      <w:bookmarkStart w:id="3485" w:name="_Toc418096066"/>
      <w:bookmarkStart w:id="3486" w:name="_Toc418079670"/>
      <w:bookmarkStart w:id="3487" w:name="_Toc418081271"/>
      <w:bookmarkStart w:id="3488" w:name="_Toc418069184"/>
      <w:bookmarkStart w:id="3489" w:name="_Toc418072020"/>
      <w:bookmarkStart w:id="3490" w:name="_Toc418095293"/>
      <w:bookmarkStart w:id="3491" w:name="_Toc418096067"/>
      <w:bookmarkStart w:id="3492" w:name="_Toc418079671"/>
      <w:bookmarkStart w:id="3493" w:name="_Toc418081272"/>
      <w:bookmarkStart w:id="3494" w:name="_Toc418069185"/>
      <w:bookmarkStart w:id="3495" w:name="_Toc418072021"/>
      <w:bookmarkStart w:id="3496" w:name="_Toc418095294"/>
      <w:bookmarkStart w:id="3497" w:name="_Toc418096068"/>
      <w:bookmarkStart w:id="3498" w:name="_Toc418079672"/>
      <w:bookmarkStart w:id="3499" w:name="_Toc418081273"/>
      <w:bookmarkStart w:id="3500" w:name="_Toc418069186"/>
      <w:bookmarkStart w:id="3501" w:name="_Toc418072022"/>
      <w:bookmarkStart w:id="3502" w:name="_Toc418095295"/>
      <w:bookmarkStart w:id="3503" w:name="_Toc418096069"/>
      <w:bookmarkStart w:id="3504" w:name="_Toc418079673"/>
      <w:bookmarkStart w:id="3505" w:name="_Toc418081274"/>
      <w:bookmarkStart w:id="3506" w:name="_Toc418069187"/>
      <w:bookmarkStart w:id="3507" w:name="_Toc418072023"/>
      <w:bookmarkStart w:id="3508" w:name="_Toc418095296"/>
      <w:bookmarkStart w:id="3509" w:name="_Toc418096070"/>
      <w:bookmarkStart w:id="3510" w:name="_Toc418079674"/>
      <w:bookmarkStart w:id="3511" w:name="_Toc418081275"/>
      <w:bookmarkStart w:id="3512" w:name="_Toc418069188"/>
      <w:bookmarkStart w:id="3513" w:name="_Toc418072024"/>
      <w:bookmarkStart w:id="3514" w:name="_Toc418095297"/>
      <w:bookmarkStart w:id="3515" w:name="_Toc418096071"/>
      <w:bookmarkStart w:id="3516" w:name="_Toc418079675"/>
      <w:bookmarkStart w:id="3517" w:name="_Toc418081276"/>
      <w:bookmarkStart w:id="3518" w:name="_Toc418069189"/>
      <w:bookmarkStart w:id="3519" w:name="_Toc418072025"/>
      <w:bookmarkStart w:id="3520" w:name="_Toc418095298"/>
      <w:bookmarkStart w:id="3521" w:name="_Toc418096072"/>
      <w:bookmarkStart w:id="3522" w:name="_Toc418079676"/>
      <w:bookmarkStart w:id="3523" w:name="_Toc418081277"/>
      <w:bookmarkStart w:id="3524" w:name="_Toc418069190"/>
      <w:bookmarkStart w:id="3525" w:name="_Toc418072026"/>
      <w:bookmarkStart w:id="3526" w:name="_Toc418095299"/>
      <w:bookmarkStart w:id="3527" w:name="_Toc418096073"/>
      <w:bookmarkStart w:id="3528" w:name="_Toc418079677"/>
      <w:bookmarkStart w:id="3529" w:name="_Toc418081278"/>
      <w:bookmarkStart w:id="3530" w:name="_Toc418069191"/>
      <w:bookmarkStart w:id="3531" w:name="_Toc418072027"/>
      <w:bookmarkStart w:id="3532" w:name="_Toc418095300"/>
      <w:bookmarkStart w:id="3533" w:name="_Toc418096074"/>
      <w:bookmarkStart w:id="3534" w:name="_Toc418079678"/>
      <w:bookmarkStart w:id="3535" w:name="_Toc418081279"/>
      <w:bookmarkStart w:id="3536" w:name="_Toc418069192"/>
      <w:bookmarkStart w:id="3537" w:name="_Toc418072028"/>
      <w:bookmarkStart w:id="3538" w:name="_Toc418095301"/>
      <w:bookmarkStart w:id="3539" w:name="_Toc418096075"/>
      <w:bookmarkStart w:id="3540" w:name="_Toc418079679"/>
      <w:bookmarkStart w:id="3541" w:name="_Toc418081280"/>
      <w:bookmarkStart w:id="3542" w:name="_Toc418069193"/>
      <w:bookmarkStart w:id="3543" w:name="_Toc418072029"/>
      <w:bookmarkStart w:id="3544" w:name="_Toc418095302"/>
      <w:bookmarkStart w:id="3545" w:name="_Toc418096076"/>
      <w:bookmarkStart w:id="3546" w:name="_Toc418079680"/>
      <w:bookmarkStart w:id="3547" w:name="_Toc418081281"/>
      <w:bookmarkStart w:id="3548" w:name="_Toc418069194"/>
      <w:bookmarkStart w:id="3549" w:name="_Toc418072030"/>
      <w:bookmarkStart w:id="3550" w:name="_Toc418095303"/>
      <w:bookmarkStart w:id="3551" w:name="_Toc418096077"/>
      <w:bookmarkStart w:id="3552" w:name="_Toc418079681"/>
      <w:bookmarkStart w:id="3553" w:name="_Toc418081282"/>
      <w:bookmarkStart w:id="3554" w:name="_Toc418069195"/>
      <w:bookmarkStart w:id="3555" w:name="_Toc418072031"/>
      <w:bookmarkStart w:id="3556" w:name="_Toc418095304"/>
      <w:bookmarkStart w:id="3557" w:name="_Toc418096078"/>
      <w:bookmarkStart w:id="3558" w:name="_Toc417548301"/>
      <w:bookmarkStart w:id="3559" w:name="_Toc417594533"/>
      <w:bookmarkStart w:id="3560" w:name="_Toc417934634"/>
      <w:bookmarkStart w:id="3561" w:name="_Toc417935973"/>
      <w:bookmarkStart w:id="3562" w:name="_Toc417936435"/>
      <w:bookmarkStart w:id="3563" w:name="_Toc417946887"/>
      <w:bookmarkStart w:id="3564" w:name="_Toc417947304"/>
      <w:bookmarkStart w:id="3565" w:name="_Toc417982497"/>
      <w:bookmarkStart w:id="3566" w:name="_Toc417985922"/>
      <w:bookmarkStart w:id="3567" w:name="_Toc418000643"/>
      <w:bookmarkStart w:id="3568" w:name="_Toc418003786"/>
      <w:bookmarkStart w:id="3569" w:name="_Toc418011991"/>
      <w:bookmarkStart w:id="3570" w:name="_Toc418029993"/>
      <w:bookmarkStart w:id="3571" w:name="_Toc418036919"/>
      <w:bookmarkStart w:id="3572" w:name="_Toc418061395"/>
      <w:bookmarkStart w:id="3573" w:name="_Toc418081283"/>
      <w:bookmarkStart w:id="3574" w:name="_Toc418081923"/>
      <w:bookmarkStart w:id="3575" w:name="_Toc418083326"/>
      <w:bookmarkStart w:id="3576" w:name="_Toc418096079"/>
      <w:bookmarkStart w:id="3577" w:name="_Toc418156706"/>
      <w:bookmarkStart w:id="3578" w:name="_Toc418167625"/>
      <w:bookmarkStart w:id="3579" w:name="_Toc418185881"/>
      <w:bookmarkStart w:id="3580" w:name="_Toc422941591"/>
      <w:bookmarkStart w:id="3581" w:name="_Toc423116797"/>
      <w:bookmarkStart w:id="3582" w:name="_Toc423117830"/>
      <w:bookmarkStart w:id="3583" w:name="_Toc423117280"/>
      <w:bookmarkStart w:id="3584" w:name="_Toc431288872"/>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r>
        <w:t>Red</w:t>
      </w:r>
      <w:r w:rsidR="003722E4">
        <w:t>is Cache</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3509F377" w14:textId="1119EDCE" w:rsidR="006E04D1" w:rsidRDefault="006E04D1" w:rsidP="006E04D1">
      <w:r>
        <w:t>Application-level caching can be achieved with a variety of products, some from Microsoft and others from external vendors. There are multiple types of caching options in Azure, including Managed Cache Service, In-Role Cache, and Redis Cache.</w:t>
      </w:r>
    </w:p>
    <w:p w14:paraId="59CDDEB1" w14:textId="77777777" w:rsidR="006E04D1" w:rsidRDefault="006E04D1" w:rsidP="006E04D1">
      <w:r>
        <w:t>Redis Cache is a cache-as-a-service offering for the Azure platform. This means that the Azure platform manages the underlying infrastructure to host the caching servers. From an application point of view, the service can be accessed via the same Redis clients that have been in use since Redis was created. These vary based on platforms, and they are available for most of the popular selections (for example, Java, Node, and .NET).</w:t>
      </w:r>
    </w:p>
    <w:p w14:paraId="46C1B0E8" w14:textId="49E50A8F" w:rsidR="003722E4" w:rsidRDefault="006E04D1" w:rsidP="006E04D1">
      <w:r>
        <w:t>Redis goes beyond a simple key/value pair so it can cache entire data structures, such as collections and sets. Redis also supports non-blocking, first synchronization, and automatic reconnections, which support cache replication to increase uptime</w:t>
      </w:r>
      <w:r w:rsidR="003722E4">
        <w:t>.</w:t>
      </w:r>
    </w:p>
    <w:tbl>
      <w:tblPr>
        <w:tblStyle w:val="PlainTable11"/>
        <w:tblW w:w="0" w:type="auto"/>
        <w:tblLook w:val="04A0" w:firstRow="1" w:lastRow="0" w:firstColumn="1" w:lastColumn="0" w:noHBand="0" w:noVBand="1"/>
      </w:tblPr>
      <w:tblGrid>
        <w:gridCol w:w="3413"/>
        <w:gridCol w:w="5937"/>
      </w:tblGrid>
      <w:tr w:rsidR="003722E4" w14:paraId="64145548" w14:textId="77777777" w:rsidTr="0013185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6C646F72" w14:textId="77777777" w:rsidR="003722E4" w:rsidRPr="00F47607" w:rsidRDefault="003722E4" w:rsidP="002F63EE">
            <w:pPr>
              <w:spacing w:line="240" w:lineRule="auto"/>
              <w:rPr>
                <w:color w:val="FFFFFF"/>
              </w:rPr>
            </w:pPr>
            <w:r>
              <w:rPr>
                <w:color w:val="FFFFFF"/>
              </w:rPr>
              <w:t>Feature References</w:t>
            </w:r>
          </w:p>
        </w:tc>
      </w:tr>
      <w:tr w:rsidR="003722E4" w14:paraId="79E64C43"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7B18A882" w14:textId="77777777" w:rsidR="003722E4" w:rsidRPr="001E5AC2" w:rsidRDefault="003722E4" w:rsidP="002F63EE">
            <w:pPr>
              <w:spacing w:line="240" w:lineRule="auto"/>
              <w:rPr>
                <w:sz w:val="20"/>
                <w:szCs w:val="20"/>
              </w:rPr>
            </w:pPr>
            <w:r w:rsidRPr="001E5AC2">
              <w:rPr>
                <w:sz w:val="20"/>
                <w:szCs w:val="20"/>
              </w:rPr>
              <w:t>Redis overview</w:t>
            </w:r>
          </w:p>
        </w:tc>
        <w:tc>
          <w:tcPr>
            <w:tcW w:w="5940" w:type="dxa"/>
          </w:tcPr>
          <w:p w14:paraId="7C057F01" w14:textId="77777777" w:rsidR="003722E4" w:rsidRPr="001E5AC2" w:rsidRDefault="00872E47" w:rsidP="002F63EE">
            <w:pPr>
              <w:cnfStyle w:val="000000100000" w:firstRow="0" w:lastRow="0" w:firstColumn="0" w:lastColumn="0" w:oddVBand="0" w:evenVBand="0" w:oddHBand="1" w:evenHBand="0" w:firstRowFirstColumn="0" w:firstRowLastColumn="0" w:lastRowFirstColumn="0" w:lastRowLastColumn="0"/>
              <w:rPr>
                <w:sz w:val="20"/>
                <w:szCs w:val="20"/>
              </w:rPr>
            </w:pPr>
            <w:hyperlink r:id="rId335" w:history="1">
              <w:r w:rsidR="003722E4" w:rsidRPr="001E5AC2">
                <w:rPr>
                  <w:rStyle w:val="Hyperlink"/>
                  <w:sz w:val="20"/>
                  <w:szCs w:val="20"/>
                </w:rPr>
                <w:t>http://azure.microsoft.com/en-us/services/cache/</w:t>
              </w:r>
            </w:hyperlink>
          </w:p>
        </w:tc>
      </w:tr>
      <w:tr w:rsidR="003722E4" w14:paraId="74AD847D"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13088CC5" w14:textId="77777777" w:rsidR="003722E4" w:rsidRPr="00F47607" w:rsidRDefault="003722E4" w:rsidP="002F63EE">
            <w:pPr>
              <w:spacing w:line="240" w:lineRule="auto"/>
              <w:rPr>
                <w:sz w:val="20"/>
              </w:rPr>
            </w:pPr>
            <w:r w:rsidRPr="001E5AC2">
              <w:rPr>
                <w:sz w:val="20"/>
                <w:szCs w:val="20"/>
              </w:rPr>
              <w:t>Caching data in Redis</w:t>
            </w:r>
          </w:p>
        </w:tc>
        <w:tc>
          <w:tcPr>
            <w:tcW w:w="5940" w:type="dxa"/>
          </w:tcPr>
          <w:p w14:paraId="4A0D20BB" w14:textId="77777777" w:rsidR="003722E4" w:rsidRPr="001E5AC2" w:rsidRDefault="00872E47" w:rsidP="002F63EE">
            <w:pPr>
              <w:cnfStyle w:val="000000000000" w:firstRow="0" w:lastRow="0" w:firstColumn="0" w:lastColumn="0" w:oddVBand="0" w:evenVBand="0" w:oddHBand="0" w:evenHBand="0" w:firstRowFirstColumn="0" w:firstRowLastColumn="0" w:lastRowFirstColumn="0" w:lastRowLastColumn="0"/>
              <w:rPr>
                <w:sz w:val="20"/>
                <w:szCs w:val="20"/>
              </w:rPr>
            </w:pPr>
            <w:hyperlink r:id="rId336" w:history="1">
              <w:r w:rsidR="003722E4" w:rsidRPr="001E5AC2">
                <w:rPr>
                  <w:rStyle w:val="Hyperlink"/>
                  <w:sz w:val="20"/>
                  <w:szCs w:val="20"/>
                </w:rPr>
                <w:t>https://msdn.microsoft.com/library/azure/dn690521.aspx</w:t>
              </w:r>
            </w:hyperlink>
          </w:p>
        </w:tc>
      </w:tr>
      <w:tr w:rsidR="003722E4" w14:paraId="1160071E"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3FC0B874" w14:textId="77777777" w:rsidR="003722E4" w:rsidRPr="001E5AC2" w:rsidRDefault="003722E4" w:rsidP="002F63EE">
            <w:pPr>
              <w:spacing w:line="240" w:lineRule="auto"/>
              <w:rPr>
                <w:sz w:val="20"/>
                <w:szCs w:val="20"/>
              </w:rPr>
            </w:pPr>
            <w:r w:rsidRPr="001E5AC2">
              <w:rPr>
                <w:sz w:val="20"/>
                <w:szCs w:val="20"/>
              </w:rPr>
              <w:t>Management in Azure Portal</w:t>
            </w:r>
          </w:p>
        </w:tc>
        <w:tc>
          <w:tcPr>
            <w:tcW w:w="5940" w:type="dxa"/>
          </w:tcPr>
          <w:p w14:paraId="5F711C85" w14:textId="77777777" w:rsidR="003722E4" w:rsidRPr="001E5AC2" w:rsidRDefault="00872E47" w:rsidP="002F63EE">
            <w:pPr>
              <w:cnfStyle w:val="000000100000" w:firstRow="0" w:lastRow="0" w:firstColumn="0" w:lastColumn="0" w:oddVBand="0" w:evenVBand="0" w:oddHBand="1" w:evenHBand="0" w:firstRowFirstColumn="0" w:firstRowLastColumn="0" w:lastRowFirstColumn="0" w:lastRowLastColumn="0"/>
              <w:rPr>
                <w:sz w:val="20"/>
                <w:szCs w:val="20"/>
              </w:rPr>
            </w:pPr>
            <w:hyperlink r:id="rId337" w:history="1">
              <w:r w:rsidR="003722E4" w:rsidRPr="001E5AC2">
                <w:rPr>
                  <w:rStyle w:val="Hyperlink"/>
                  <w:sz w:val="20"/>
                  <w:szCs w:val="20"/>
                </w:rPr>
                <w:t>https://msdn.microsoft.com/library/azure/dn793612.aspx</w:t>
              </w:r>
            </w:hyperlink>
          </w:p>
        </w:tc>
      </w:tr>
      <w:tr w:rsidR="003722E4" w14:paraId="032F83AF"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2BFDB37C" w14:textId="77777777" w:rsidR="003722E4" w:rsidRPr="001E5AC2" w:rsidRDefault="003722E4" w:rsidP="002F63EE">
            <w:pPr>
              <w:spacing w:line="240" w:lineRule="auto"/>
              <w:rPr>
                <w:sz w:val="20"/>
                <w:szCs w:val="20"/>
              </w:rPr>
            </w:pPr>
            <w:r w:rsidRPr="001E5AC2">
              <w:rPr>
                <w:sz w:val="20"/>
                <w:szCs w:val="20"/>
              </w:rPr>
              <w:t>Cache planning</w:t>
            </w:r>
          </w:p>
        </w:tc>
        <w:tc>
          <w:tcPr>
            <w:tcW w:w="5940" w:type="dxa"/>
          </w:tcPr>
          <w:p w14:paraId="3EDB6E9E" w14:textId="77777777" w:rsidR="003722E4" w:rsidRPr="001E5AC2" w:rsidRDefault="00872E47" w:rsidP="002F63EE">
            <w:pPr>
              <w:cnfStyle w:val="000000000000" w:firstRow="0" w:lastRow="0" w:firstColumn="0" w:lastColumn="0" w:oddVBand="0" w:evenVBand="0" w:oddHBand="0" w:evenHBand="0" w:firstRowFirstColumn="0" w:firstRowLastColumn="0" w:lastRowFirstColumn="0" w:lastRowLastColumn="0"/>
              <w:rPr>
                <w:sz w:val="20"/>
                <w:szCs w:val="20"/>
              </w:rPr>
            </w:pPr>
            <w:hyperlink r:id="rId338" w:history="1">
              <w:r w:rsidR="003722E4" w:rsidRPr="001E5AC2">
                <w:rPr>
                  <w:rStyle w:val="Hyperlink"/>
                  <w:sz w:val="20"/>
                  <w:szCs w:val="20"/>
                </w:rPr>
                <w:t>https://msdn.microsoft.com/library/azure/dn762132.aspx</w:t>
              </w:r>
            </w:hyperlink>
          </w:p>
        </w:tc>
      </w:tr>
    </w:tbl>
    <w:p w14:paraId="50DB93B6" w14:textId="2950796F" w:rsidR="003722E4" w:rsidRDefault="003722E4" w:rsidP="003722E4"/>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6E04D1" w14:paraId="53CEA2C1" w14:textId="77777777" w:rsidTr="00EC1B06">
        <w:trPr>
          <w:trHeight w:val="423"/>
        </w:trPr>
        <w:tc>
          <w:tcPr>
            <w:tcW w:w="666" w:type="dxa"/>
          </w:tcPr>
          <w:p w14:paraId="19F23417" w14:textId="77777777" w:rsidR="006E04D1" w:rsidRDefault="006E04D1"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431FE675" wp14:editId="39D8E4BB">
                      <wp:extent cx="200025" cy="180975"/>
                      <wp:effectExtent l="57150" t="19050" r="28575" b="104775"/>
                      <wp:docPr id="1252047317" name="Octagon 1252047317"/>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8E90440" id="Octagon 1252047317"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WmheAIAAFwFAAAOAAAAZHJzL2Uyb0RvYy54bWysVEtrGzEQvhf6H4TuzT5i14nxOhgHl0JI&#10;QpOSs6yV7AVJo0qy1+6v70i73pg0ECi9aGd23t88ZjcHrcheON+AqWhxkVMiDIe6MZuK/nxefbmi&#10;xAdmaqbAiIoehac388+fZq2dihK2oGrhCDoxftraim5DsNMs83wrNPMXYIVBoQSnWUDWbbLasRa9&#10;a5WVef41a8HV1gEX3uPf205I58m/lIKHBym9CERVFHML6XXpXcc3m8/YdOOY3Ta8T4P9QxaaNQaD&#10;Dq5uWWBk55q/XOmGO/AgwwUHnYGUDRepBqymyN9U87RlVqRaEBxvB5j8/3PL7/ePjjQ19q4cl/lo&#10;cllMKDFMY68eeGAbMORMgnC11k/R6sk+up7zSMbaD9Lp+MWqyCFBfBwgFodAOP7EnuXlmBKOouIq&#10;v56MYwuyV2PrfPgmQJNIVBS6HBK2bH/nQ6d90orhPKimXjVKJcZt1kvlyJ5hw5dLjJZ6jAHO1LJY&#10;Q5d1osJRiWiszA8hEQzMs0gR0xiKwR/jXJhQ9hkn7WgmMfZgePmxYa8fTUUa0cG4/Nh4sEiRwYTB&#10;WDcG3HsOVCj6lGWnj4Cf1R3JNdRHnAMH3YJ4y1cN4n/HfHhkDjcCdwe3PDzgIxW02JieomQL7vd7&#10;/6M+DipKKWlxwyrqf+2YE5So7wZH+LoYjeJKJmY0npTIuHPJ+lxidnoJ2NMC74nliYz6QZ1I6UC/&#10;4DFYxKgoYoZj7Iry4E7MMnSbj+eEi8UiqeEaWhbuzJPlp67H4Xo+vDBn+yEMOL33cNpGNn0ziJ1u&#10;7IeBxS6AbNKUvuLa440rnEa9PzfxRpzzSev1KM7/AA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AnBaaF4AgAAXA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7BC51BF6" w14:textId="77777777" w:rsidR="006E04D1" w:rsidRDefault="006E04D1" w:rsidP="00EC1B06">
            <w:pPr>
              <w:rPr>
                <w:lang w:eastAsia="en-US"/>
              </w:rPr>
            </w:pPr>
            <w:r w:rsidRPr="00192064">
              <w:rPr>
                <w:b/>
                <w:lang w:eastAsia="en-US"/>
              </w:rPr>
              <w:t>Mandatory</w:t>
            </w:r>
            <w:r>
              <w:rPr>
                <w:lang w:eastAsia="en-US"/>
              </w:rPr>
              <w:t>: Understand which tier of service will be required and implement the Redis client in the application.</w:t>
            </w:r>
          </w:p>
        </w:tc>
      </w:tr>
      <w:tr w:rsidR="006E04D1" w14:paraId="54519FE3" w14:textId="77777777" w:rsidTr="00EC1B06">
        <w:trPr>
          <w:trHeight w:val="423"/>
        </w:trPr>
        <w:tc>
          <w:tcPr>
            <w:tcW w:w="666" w:type="dxa"/>
          </w:tcPr>
          <w:p w14:paraId="39469FA7" w14:textId="77777777" w:rsidR="006E04D1" w:rsidRDefault="006E04D1"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759616" behindDoc="0" locked="0" layoutInCell="1" allowOverlap="1" wp14:anchorId="50CBA5AF" wp14:editId="2FA01CEB">
                      <wp:simplePos x="0" y="0"/>
                      <wp:positionH relativeFrom="column">
                        <wp:posOffset>66675</wp:posOffset>
                      </wp:positionH>
                      <wp:positionV relativeFrom="paragraph">
                        <wp:posOffset>90170</wp:posOffset>
                      </wp:positionV>
                      <wp:extent cx="209550" cy="180975"/>
                      <wp:effectExtent l="57150" t="19050" r="57150" b="104775"/>
                      <wp:wrapNone/>
                      <wp:docPr id="1252047318" name="Isosceles Triangle 1252047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1EE3A22" id="Isosceles Triangle 1252047318" o:spid="_x0000_s1026" type="#_x0000_t5" style="position:absolute;margin-left:5.25pt;margin-top:7.1pt;width:16.5pt;height:14.2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6PQjQIAAIEFAAAOAAAAZHJzL2Uyb0RvYy54bWysVNtqGzEQfS/0H4Tem73EzmXJOpgEl4BJ&#10;QpOSZ1kr2Uu1GlWSvXa/viPtJW4aCJTug9DsnLnpzMzV9b5RZCesq0GXNDtJKRGaQ1XrdUm/Py++&#10;XFDiPNMVU6BFSQ/C0evZ509XrSlEDhtQlbAEnWhXtKakG+9NkSSOb0TD3AkYoVEpwTbMo2jXSWVZ&#10;i94bleRpepa0YCtjgQvn8O9tp6Sz6F9Kwf2DlE54okqKufl42niuwpnMrlixtsxsat6nwf4hi4bV&#10;GoOOrm6ZZ2Rr679cNTW34ED6Ew5NAlLWXMQasJosfVPN04YZEWvBx3FmfCb3/9zy+92jJXWF3OXT&#10;PJ2cn2bImGYNcnXnwHGhhCPPtmZ6rQQ5AuHLtcYV6ODJPNpQuzNL4D8cKpI/NEFwPWYvbROwWDnZ&#10;RxoOIw1i7wnHn3l6OZ0iWRxV2UV6eT4NNCWsGIyNdf6rgIaES0l9n10kgO2WznfwARZzA1VXi1qp&#10;KNj16kZZsmPYFQv80tgIGMG9wmINXdqxAH9QIhgr/U1IfDFMNIsRY6+K0R/jXGh/1qcc0cFMYuzR&#10;8PRjwx4fTEXs49E4/9h4tIiRQfvRuKk12PccKJ/1KcsO37PourrDE6ygOmCzWOimyBm+qJGAJXP+&#10;kVkcG+QMV4F/wEMqaEsK/Y2SDdhf7/0PeOxm1FLS4hiW1P3cMisoUXca+/wym0zC3EZhMj3PUbDH&#10;mtWxRm+bG0BOM1w6hsdrwHs1XKWF5gU3xjxERRXTHGOXlHs7CDe+Ww+4c7iYzyMMZ9Uwv9RPhg+s&#10;h+Z63r8wa4YuxPa9h2FkWfGmETts4EPDfOtB1rFLX9+1f2+c89jr/U4Ki+RYjqjXzTn7DQAA//8D&#10;AFBLAwQUAAYACAAAACEANTxCMNkAAAAHAQAADwAAAGRycy9kb3ducmV2LnhtbEyOzU7DMBCE70i8&#10;g7VIXFDrkIa2CnEqhJIjqig8gBNvfoS9jmK3DW/PcoLTaDSjma84LM6KC85h9KTgcZ2AQGq9GalX&#10;8PlRr/YgQtRktPWECr4xwKG8vSl0bvyV3vFyir3gEQq5VjDEOOVShnZAp8PaT0icdX52OrKde2lm&#10;feVxZ2WaJFvp9Ej8MOgJXwdsv05np8A3y7Hb1Lv9Q+0m+9ZVVeaOlVL3d8vLM4iIS/wrwy8+o0PJ&#10;TI0/kwnCsk+euMmapSA4zzbsG9Z0B7Is5H/+8gcAAP//AwBQSwECLQAUAAYACAAAACEAtoM4kv4A&#10;AADhAQAAEwAAAAAAAAAAAAAAAAAAAAAAW0NvbnRlbnRfVHlwZXNdLnhtbFBLAQItABQABgAIAAAA&#10;IQA4/SH/1gAAAJQBAAALAAAAAAAAAAAAAAAAAC8BAABfcmVscy8ucmVsc1BLAQItABQABgAIAAAA&#10;IQBy06PQjQIAAIEFAAAOAAAAAAAAAAAAAAAAAC4CAABkcnMvZTJvRG9jLnhtbFBLAQItABQABgAI&#10;AAAAIQA1PEIw2QAAAAcBAAAPAAAAAAAAAAAAAAAAAOcEAABkcnMvZG93bnJldi54bWxQSwUGAAAA&#10;AAQABADzAAAA7QUAAAAA&#10;" fillcolor="yellow" strokecolor="#70ad47 [3209]" strokeweight=".5pt">
                      <v:path arrowok="t"/>
                    </v:shape>
                  </w:pict>
                </mc:Fallback>
              </mc:AlternateContent>
            </w:r>
          </w:p>
        </w:tc>
        <w:tc>
          <w:tcPr>
            <w:tcW w:w="8604" w:type="dxa"/>
          </w:tcPr>
          <w:p w14:paraId="6567A5D4" w14:textId="77777777" w:rsidR="006E04D1" w:rsidRDefault="006E04D1" w:rsidP="00EC1B06">
            <w:pPr>
              <w:rPr>
                <w:lang w:eastAsia="en-US"/>
              </w:rPr>
            </w:pPr>
            <w:r>
              <w:rPr>
                <w:rFonts w:eastAsiaTheme="minorHAnsi"/>
                <w:b/>
                <w:lang w:eastAsia="en-US"/>
              </w:rPr>
              <w:t xml:space="preserve">Recommended: </w:t>
            </w:r>
            <w:r>
              <w:rPr>
                <w:rFonts w:eastAsiaTheme="minorHAnsi"/>
                <w:lang w:eastAsia="en-US"/>
              </w:rPr>
              <w:t>Use the advanced structure caching options with Redis to simplify the application caching code.</w:t>
            </w:r>
          </w:p>
        </w:tc>
      </w:tr>
      <w:tr w:rsidR="006E04D1" w14:paraId="4B742E45" w14:textId="77777777" w:rsidTr="00EC1B06">
        <w:trPr>
          <w:trHeight w:val="423"/>
        </w:trPr>
        <w:tc>
          <w:tcPr>
            <w:tcW w:w="666" w:type="dxa"/>
          </w:tcPr>
          <w:p w14:paraId="5A6FBA8E" w14:textId="77777777" w:rsidR="006E04D1" w:rsidRDefault="006E04D1"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764736" behindDoc="0" locked="0" layoutInCell="1" allowOverlap="1" wp14:anchorId="2C821DE4" wp14:editId="16C1885A">
                      <wp:simplePos x="0" y="0"/>
                      <wp:positionH relativeFrom="column">
                        <wp:posOffset>66675</wp:posOffset>
                      </wp:positionH>
                      <wp:positionV relativeFrom="paragraph">
                        <wp:posOffset>90170</wp:posOffset>
                      </wp:positionV>
                      <wp:extent cx="180975" cy="180975"/>
                      <wp:effectExtent l="57150" t="19050" r="9525" b="104775"/>
                      <wp:wrapNone/>
                      <wp:docPr id="1252047319" name="Oval 12520473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3426719E" id="Oval 1252047319" o:spid="_x0000_s1026" style="position:absolute;margin-left:5.25pt;margin-top:7.1pt;width:14.25pt;height:14.2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P7qggIAAHIFAAAOAAAAZHJzL2Uyb0RvYy54bWysVN1P2zAQf5+0/8Hy+0hS2gERKepATJMq&#10;igYTz65jt9Ycn2e7Tbu/nrOThm4gIU17se58v/v+uLzaNZpshfMKTEWLk5wSYTjUyqwq+uPx9tM5&#10;JT4wUzMNRlR0Lzy9mn78cNnaUoxgDboWjqAR48vWVnQdgi2zzPO1aJg/ASsMCiW4hgVk3SqrHWvR&#10;eqOzUZ5/zlpwtXXAhff4e9MJ6TTZl1LwsJDSi0B0RTG2kF6X3mV8s+klK1eO2bXifRjsH6JomDLo&#10;dDB1wwIjG6demWoUd+BBhhMOTQZSKi5SDphNkf+VzcOaWZFyweJ4O5TJ/z+z/G5774iqsXejySgf&#10;n50WF5QY1mCvFlumydE31qq1vkSVB3vvYrbezoH/9CjI/pBExveYnXRNxGKuZJcKvx8KL3aBcPws&#10;zvOLswklHEU9HW2y8qBsnQ9fBTQkEhUVWivrY2lYybZzHzr0AZVCA63qW6V1Ytxqea0dwYTQd/4l&#10;n6TOowP/AkspdFGn+MNei6iszXchsUQxzuQxDacY7DHOhQmncZTQYEJHNYm+B8XT9xV7fFQVaXAH&#10;5dH7yoNG8gwmDMqNMuDeMqBD0YcsO3zfRN/lHUuwhHqP0+GgWxtv+a3C+s+ZD/fM4Z7gRuHuhwU+&#10;UkNbUegpStbgfr/1H/E4viilpMW9q6j/tWFOUKK/GRzsi2I8jouamPHkbISMO5YsjyVm01wD9rTA&#10;K2N5IiM+6AMpHTRPeCJm0SuKmOHou6I8uANzHbp7gEeGi9kswXA5LQtz82D5oetxuB53T8zZfggD&#10;Tu8dHHb01SB22NgPA7NNAKnSlL7Uta83LnYanP4IxctxzCfUy6mcPgMAAP//AwBQSwMEFAAGAAgA&#10;AAAhAMIanyLeAAAABwEAAA8AAABkcnMvZG93bnJldi54bWxMj0FLw0AQhe+C/2EZwYvYTWKrNmZT&#10;RBAUvZhW1Ns0OybB7GzIbtv47x1Pehoe7/Hme8Vqcr3a0xg6zwbSWQKKuPa248bAZn1/fg0qRGSL&#10;vWcy8E0BVuXxUYG59Qd+oX0VGyUlHHI00MY45FqHuiWHYeYHYvE+/egwihwbbUc8SLnrdZYkl9ph&#10;x/KhxYHuWqq/qp0z8FFtnt06fXJvj+nDgs7e+yXaV2NOT6bbG1CRpvgXhl98QYdSmLZ+xzaoXnSy&#10;kKTceQZK/IulTNsamGdXoMtC/+cvfwAAAP//AwBQSwECLQAUAAYACAAAACEAtoM4kv4AAADhAQAA&#10;EwAAAAAAAAAAAAAAAAAAAAAAW0NvbnRlbnRfVHlwZXNdLnhtbFBLAQItABQABgAIAAAAIQA4/SH/&#10;1gAAAJQBAAALAAAAAAAAAAAAAAAAAC8BAABfcmVscy8ucmVsc1BLAQItABQABgAIAAAAIQAzWP7q&#10;ggIAAHIFAAAOAAAAAAAAAAAAAAAAAC4CAABkcnMvZTJvRG9jLnhtbFBLAQItABQABgAIAAAAIQDC&#10;Gp8i3gAAAAcBAAAPAAAAAAAAAAAAAAAAANwEAABkcnMvZG93bnJldi54bWxQSwUGAAAAAAQABADz&#10;AAAA5wUAAAAA&#10;" fillcolor="#00b050" strokecolor="#a5a5a5 [3206]" strokeweight=".5pt">
                      <v:stroke joinstyle="miter"/>
                      <v:path arrowok="t"/>
                    </v:oval>
                  </w:pict>
                </mc:Fallback>
              </mc:AlternateContent>
            </w:r>
          </w:p>
        </w:tc>
        <w:tc>
          <w:tcPr>
            <w:tcW w:w="8604" w:type="dxa"/>
          </w:tcPr>
          <w:p w14:paraId="0B54B36E" w14:textId="77777777" w:rsidR="006E04D1" w:rsidRDefault="006E04D1" w:rsidP="00EC1B06">
            <w:pPr>
              <w:rPr>
                <w:lang w:eastAsia="en-US"/>
              </w:rPr>
            </w:pPr>
            <w:r>
              <w:rPr>
                <w:rFonts w:eastAsiaTheme="minorHAnsi"/>
                <w:b/>
                <w:lang w:eastAsia="en-US"/>
              </w:rPr>
              <w:t xml:space="preserve">Optional: </w:t>
            </w:r>
            <w:r>
              <w:rPr>
                <w:rFonts w:eastAsiaTheme="minorHAnsi"/>
                <w:lang w:eastAsia="en-US"/>
              </w:rPr>
              <w:t>Set up policies for cache rejection, lifetime, and so on.</w:t>
            </w:r>
          </w:p>
        </w:tc>
      </w:tr>
    </w:tbl>
    <w:p w14:paraId="0F4F68A0" w14:textId="77777777" w:rsidR="006E04D1" w:rsidRDefault="006E04D1" w:rsidP="003722E4"/>
    <w:p w14:paraId="5D5372F2" w14:textId="77777777" w:rsidR="003722E4" w:rsidRDefault="003722E4" w:rsidP="005729D2">
      <w:pPr>
        <w:pStyle w:val="Heading3Numbered"/>
        <w:numPr>
          <w:ilvl w:val="2"/>
          <w:numId w:val="64"/>
        </w:numPr>
      </w:pPr>
      <w:bookmarkStart w:id="3585" w:name="_Toc417983672"/>
      <w:bookmarkStart w:id="3586" w:name="_Toc418013254"/>
      <w:bookmarkStart w:id="3587" w:name="_Toc418029994"/>
      <w:bookmarkStart w:id="3588" w:name="_Toc418036920"/>
      <w:bookmarkStart w:id="3589" w:name="_Toc418061396"/>
      <w:bookmarkStart w:id="3590" w:name="_Toc418081284"/>
      <w:bookmarkStart w:id="3591" w:name="_Toc418081924"/>
      <w:bookmarkStart w:id="3592" w:name="_Toc418083327"/>
      <w:bookmarkStart w:id="3593" w:name="_Toc418096080"/>
      <w:bookmarkStart w:id="3594" w:name="_Toc418156707"/>
      <w:bookmarkStart w:id="3595" w:name="_Toc418167626"/>
      <w:bookmarkStart w:id="3596" w:name="_Toc418185882"/>
      <w:bookmarkStart w:id="3597" w:name="_Toc422941592"/>
      <w:bookmarkStart w:id="3598" w:name="_Toc423116798"/>
      <w:bookmarkStart w:id="3599" w:name="_Toc423117831"/>
      <w:bookmarkStart w:id="3600" w:name="_Toc423117281"/>
      <w:bookmarkStart w:id="3601" w:name="_Toc431288873"/>
      <w:r>
        <w:t>Service Bus</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r>
        <w:t xml:space="preserve"> </w:t>
      </w:r>
    </w:p>
    <w:p w14:paraId="13BE482E" w14:textId="107C2A1C" w:rsidR="006E04D1" w:rsidRDefault="003722E4" w:rsidP="006E04D1">
      <w:r>
        <w:t>Azure</w:t>
      </w:r>
      <w:r w:rsidR="006E04D1">
        <w:t xml:space="preserve"> Service Bus is one of the core services, and it provides a high-performance, durable-messaging service. But it is actually a bit more than this—Service Bus offers queueing and relay services.</w:t>
      </w:r>
    </w:p>
    <w:p w14:paraId="05E3D59F" w14:textId="77777777" w:rsidR="006E04D1" w:rsidRDefault="006E04D1" w:rsidP="006E04D1">
      <w:r>
        <w:t>Service Bus queues provide an option to decouple any processing from the request pipelines. This type of architecture is very important, especially when migrating workloads to the cloud because loosely coupled applications can scale, and they are more fault resilient.</w:t>
      </w:r>
    </w:p>
    <w:p w14:paraId="2B3EB008" w14:textId="1086DE20" w:rsidR="003722E4" w:rsidRDefault="006E04D1" w:rsidP="006E04D1">
      <w:r>
        <w:t>Service Bus can use a variety of models, from simple queue-based storage, to topics (which target and partition messages in a namespace). You can even use Event Hubs on top of Service Bus to service very large client bases, where input to Service Bus will include several thousands to millions of messages in rapid succession</w:t>
      </w:r>
      <w:r w:rsidR="00131853">
        <w:t>.</w:t>
      </w:r>
    </w:p>
    <w:tbl>
      <w:tblPr>
        <w:tblStyle w:val="PlainTable11"/>
        <w:tblW w:w="0" w:type="auto"/>
        <w:tblLook w:val="04A0" w:firstRow="1" w:lastRow="0" w:firstColumn="1" w:lastColumn="0" w:noHBand="0" w:noVBand="1"/>
      </w:tblPr>
      <w:tblGrid>
        <w:gridCol w:w="3416"/>
        <w:gridCol w:w="5934"/>
      </w:tblGrid>
      <w:tr w:rsidR="003722E4" w14:paraId="0D45EA53" w14:textId="77777777" w:rsidTr="0013185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1EF3E286" w14:textId="77777777" w:rsidR="003722E4" w:rsidRPr="00F47607" w:rsidRDefault="003722E4" w:rsidP="002F63EE">
            <w:pPr>
              <w:spacing w:line="240" w:lineRule="auto"/>
              <w:rPr>
                <w:color w:val="FFFFFF"/>
              </w:rPr>
            </w:pPr>
            <w:r>
              <w:rPr>
                <w:color w:val="FFFFFF"/>
              </w:rPr>
              <w:t>Feature References</w:t>
            </w:r>
          </w:p>
        </w:tc>
      </w:tr>
      <w:tr w:rsidR="003722E4" w14:paraId="5FB00C7B"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4E3B3C1B" w14:textId="77777777" w:rsidR="003722E4" w:rsidRPr="001E5AC2" w:rsidRDefault="003722E4" w:rsidP="002F63EE">
            <w:pPr>
              <w:spacing w:line="240" w:lineRule="auto"/>
              <w:rPr>
                <w:sz w:val="20"/>
                <w:szCs w:val="20"/>
              </w:rPr>
            </w:pPr>
            <w:r w:rsidRPr="001E5AC2">
              <w:rPr>
                <w:sz w:val="20"/>
                <w:szCs w:val="20"/>
              </w:rPr>
              <w:t>Service Bus overview</w:t>
            </w:r>
          </w:p>
        </w:tc>
        <w:tc>
          <w:tcPr>
            <w:tcW w:w="5940" w:type="dxa"/>
          </w:tcPr>
          <w:p w14:paraId="517DBC5D" w14:textId="77777777" w:rsidR="003722E4" w:rsidRPr="001E5AC2" w:rsidRDefault="00872E47" w:rsidP="002F63EE">
            <w:pPr>
              <w:cnfStyle w:val="000000100000" w:firstRow="0" w:lastRow="0" w:firstColumn="0" w:lastColumn="0" w:oddVBand="0" w:evenVBand="0" w:oddHBand="1" w:evenHBand="0" w:firstRowFirstColumn="0" w:firstRowLastColumn="0" w:lastRowFirstColumn="0" w:lastRowLastColumn="0"/>
              <w:rPr>
                <w:sz w:val="20"/>
                <w:szCs w:val="20"/>
              </w:rPr>
            </w:pPr>
            <w:hyperlink r:id="rId339" w:history="1">
              <w:r w:rsidR="003722E4" w:rsidRPr="001E5AC2">
                <w:rPr>
                  <w:rStyle w:val="Hyperlink"/>
                  <w:sz w:val="20"/>
                  <w:szCs w:val="20"/>
                </w:rPr>
                <w:t>https://msdn.microsoft.com/en-us/library/ee732537.aspx</w:t>
              </w:r>
            </w:hyperlink>
          </w:p>
        </w:tc>
      </w:tr>
      <w:tr w:rsidR="003722E4" w14:paraId="06046F11"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7FDBBC92" w14:textId="77777777" w:rsidR="003722E4" w:rsidRPr="00F47607" w:rsidRDefault="003722E4" w:rsidP="002F63EE">
            <w:pPr>
              <w:spacing w:line="240" w:lineRule="auto"/>
              <w:rPr>
                <w:sz w:val="20"/>
              </w:rPr>
            </w:pPr>
            <w:r w:rsidRPr="001E5AC2">
              <w:rPr>
                <w:sz w:val="20"/>
                <w:szCs w:val="20"/>
              </w:rPr>
              <w:t>Sample scenarios</w:t>
            </w:r>
          </w:p>
        </w:tc>
        <w:tc>
          <w:tcPr>
            <w:tcW w:w="5940" w:type="dxa"/>
          </w:tcPr>
          <w:p w14:paraId="2BDE30D7" w14:textId="77777777" w:rsidR="003722E4" w:rsidRPr="001E5AC2" w:rsidRDefault="00872E47" w:rsidP="002F63EE">
            <w:pPr>
              <w:cnfStyle w:val="000000000000" w:firstRow="0" w:lastRow="0" w:firstColumn="0" w:lastColumn="0" w:oddVBand="0" w:evenVBand="0" w:oddHBand="0" w:evenHBand="0" w:firstRowFirstColumn="0" w:firstRowLastColumn="0" w:lastRowFirstColumn="0" w:lastRowLastColumn="0"/>
              <w:rPr>
                <w:sz w:val="20"/>
                <w:szCs w:val="20"/>
              </w:rPr>
            </w:pPr>
            <w:hyperlink r:id="rId340" w:history="1">
              <w:r w:rsidR="003722E4" w:rsidRPr="001E5AC2">
                <w:rPr>
                  <w:rStyle w:val="Hyperlink"/>
                  <w:sz w:val="20"/>
                  <w:szCs w:val="20"/>
                </w:rPr>
                <w:t>https://msdn.microsoft.com/en-us/library/dn194201.aspx</w:t>
              </w:r>
            </w:hyperlink>
          </w:p>
        </w:tc>
      </w:tr>
      <w:tr w:rsidR="003722E4" w14:paraId="2D1FE24E"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7325932C" w14:textId="77777777" w:rsidR="003722E4" w:rsidRPr="001E5AC2" w:rsidRDefault="003722E4" w:rsidP="002F63EE">
            <w:pPr>
              <w:spacing w:line="240" w:lineRule="auto"/>
              <w:rPr>
                <w:sz w:val="20"/>
                <w:szCs w:val="20"/>
              </w:rPr>
            </w:pPr>
            <w:r w:rsidRPr="001E5AC2">
              <w:rPr>
                <w:sz w:val="20"/>
                <w:szCs w:val="20"/>
              </w:rPr>
              <w:t>Event Hubs</w:t>
            </w:r>
          </w:p>
        </w:tc>
        <w:tc>
          <w:tcPr>
            <w:tcW w:w="5940" w:type="dxa"/>
          </w:tcPr>
          <w:p w14:paraId="038C0170" w14:textId="77777777" w:rsidR="003722E4" w:rsidRPr="001E5AC2" w:rsidRDefault="00872E47" w:rsidP="002F63EE">
            <w:pPr>
              <w:cnfStyle w:val="000000100000" w:firstRow="0" w:lastRow="0" w:firstColumn="0" w:lastColumn="0" w:oddVBand="0" w:evenVBand="0" w:oddHBand="1" w:evenHBand="0" w:firstRowFirstColumn="0" w:firstRowLastColumn="0" w:lastRowFirstColumn="0" w:lastRowLastColumn="0"/>
              <w:rPr>
                <w:sz w:val="20"/>
                <w:szCs w:val="20"/>
              </w:rPr>
            </w:pPr>
            <w:hyperlink r:id="rId341" w:history="1">
              <w:r w:rsidR="003722E4" w:rsidRPr="001E5AC2">
                <w:rPr>
                  <w:rStyle w:val="Hyperlink"/>
                  <w:sz w:val="20"/>
                  <w:szCs w:val="20"/>
                </w:rPr>
                <w:t>https://msdn.microsoft.com/en-us/library/dn789973.aspx</w:t>
              </w:r>
            </w:hyperlink>
          </w:p>
        </w:tc>
      </w:tr>
      <w:tr w:rsidR="003722E4" w14:paraId="21718229"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3B39A227" w14:textId="77777777" w:rsidR="003722E4" w:rsidRPr="001E5AC2" w:rsidRDefault="003722E4" w:rsidP="002F63EE">
            <w:pPr>
              <w:spacing w:line="240" w:lineRule="auto"/>
              <w:rPr>
                <w:sz w:val="20"/>
                <w:szCs w:val="20"/>
              </w:rPr>
            </w:pPr>
            <w:r w:rsidRPr="001E5AC2">
              <w:rPr>
                <w:sz w:val="20"/>
                <w:szCs w:val="20"/>
              </w:rPr>
              <w:t>Application architecture</w:t>
            </w:r>
          </w:p>
        </w:tc>
        <w:tc>
          <w:tcPr>
            <w:tcW w:w="5940" w:type="dxa"/>
          </w:tcPr>
          <w:p w14:paraId="2D0E8783" w14:textId="77777777" w:rsidR="003722E4" w:rsidRPr="001E5AC2" w:rsidRDefault="00872E47" w:rsidP="002F63EE">
            <w:pPr>
              <w:cnfStyle w:val="000000000000" w:firstRow="0" w:lastRow="0" w:firstColumn="0" w:lastColumn="0" w:oddVBand="0" w:evenVBand="0" w:oddHBand="0" w:evenHBand="0" w:firstRowFirstColumn="0" w:firstRowLastColumn="0" w:lastRowFirstColumn="0" w:lastRowLastColumn="0"/>
              <w:rPr>
                <w:sz w:val="20"/>
                <w:szCs w:val="20"/>
              </w:rPr>
            </w:pPr>
            <w:hyperlink r:id="rId342" w:history="1">
              <w:r w:rsidR="003722E4" w:rsidRPr="001E5AC2">
                <w:rPr>
                  <w:rStyle w:val="Hyperlink"/>
                  <w:sz w:val="20"/>
                  <w:szCs w:val="20"/>
                </w:rPr>
                <w:t>http://azure.microsoft.com/en-us/documentation/articles/service-bus-build-reliable-and-elastic-cloud-apps/</w:t>
              </w:r>
            </w:hyperlink>
          </w:p>
        </w:tc>
      </w:tr>
    </w:tbl>
    <w:p w14:paraId="1A9B2302" w14:textId="6E955C68" w:rsidR="003722E4" w:rsidRDefault="003722E4" w:rsidP="003722E4"/>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6E04D1" w14:paraId="08E146BA" w14:textId="77777777" w:rsidTr="00EC1B06">
        <w:trPr>
          <w:trHeight w:val="423"/>
        </w:trPr>
        <w:tc>
          <w:tcPr>
            <w:tcW w:w="666" w:type="dxa"/>
          </w:tcPr>
          <w:p w14:paraId="1DA86EC9" w14:textId="77777777" w:rsidR="006E04D1" w:rsidRDefault="006E04D1"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7A392E2B" wp14:editId="7EAD30F6">
                      <wp:extent cx="200025" cy="180975"/>
                      <wp:effectExtent l="57150" t="19050" r="28575" b="104775"/>
                      <wp:docPr id="1252047320" name="Octagon 1252047320"/>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C8F069F" id="Octagon 1252047320"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GOEeAIAAFwFAAAOAAAAZHJzL2Uyb0RvYy54bWysVN1r2zAQfx/sfxB6X/zRZG1DnRJSMgal&#10;DWtHnxVZSgSyTpOUONlfv5PsuKErFMZe5Dvf993v7ub20GiyF84rMBUtRjklwnColdlU9Ofz8ssV&#10;JT4wUzMNRlT0KDy9nX3+dNPaqShhC7oWjqAT46etreg2BDvNMs+3omF+BFYYFEpwDQvIuk1WO9ai&#10;90ZnZZ5/zVpwtXXAhff4964T0lnyL6Xg4VFKLwLRFcXcQnpdetfxzWY3bLpxzG4V79Ng/5BFw5TB&#10;oIOrOxYY2Tn1l6tGcQceZBhxaDKQUnGRasBqivxNNU9bZkWqBZvj7dAm///c8of9yhFV4+zKSZmP&#10;Ly9KbJNhDc7qkQe2AUPOJNiu1vopWj3Zles5j2Ss/SBdE79YFTmkFh+HFotDIBx/4szyckIJR1Fx&#10;lV9fTuIIsldj63z4JqAhkagodDmk3rL9vQ+d9kkrhvOgVb1UWifGbdYL7cie4cAXC4yWZowBztSy&#10;WEOXdaLCUYtorM0PIbEZmGeRIiYYisEf41yYUPYZJ+1oJjH2YHjxsWGvH01FguhgXH5sPFikyGDC&#10;YNwoA+49BzoUfcqy08eGn9UdyTXUR8SBg25BvOVLhf2/Zz6smMONQFDglodHfKSGFgfTU5Rswf1+&#10;73/UR6CilJIWN6yi/teOOUGJ/m4QwtfFeBxXMjHjyWUEnjuXrM8lZtcsAGda4D2xPJFRP+gTKR00&#10;L3gM5jEqipjhGLuiPLgTswjd5uM54WI+T2q4hpaFe/Nk+WnqEVzPhxfmbA/CgOh9gNM2sukbIHa6&#10;cR4G5rsAUiWUvva17zeucIJ6f27ijTjnk9brUZz9AQ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JTAY4R4AgAAXA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61AEC5A5" w14:textId="77777777" w:rsidR="006E04D1" w:rsidRDefault="006E04D1" w:rsidP="00EC1B06">
            <w:pPr>
              <w:rPr>
                <w:lang w:eastAsia="en-US"/>
              </w:rPr>
            </w:pPr>
            <w:r w:rsidRPr="00192064">
              <w:rPr>
                <w:b/>
                <w:lang w:eastAsia="en-US"/>
              </w:rPr>
              <w:t>Mandatory</w:t>
            </w:r>
            <w:r>
              <w:rPr>
                <w:lang w:eastAsia="en-US"/>
              </w:rPr>
              <w:t>: Determine which model to use when storing messages in Service Bus, based on transaction, lifetimes, and message rates.</w:t>
            </w:r>
          </w:p>
        </w:tc>
      </w:tr>
      <w:tr w:rsidR="006E04D1" w14:paraId="6E311F5B" w14:textId="77777777" w:rsidTr="00EC1B06">
        <w:trPr>
          <w:trHeight w:val="423"/>
        </w:trPr>
        <w:tc>
          <w:tcPr>
            <w:tcW w:w="666" w:type="dxa"/>
          </w:tcPr>
          <w:p w14:paraId="456303BE" w14:textId="77777777" w:rsidR="006E04D1" w:rsidRDefault="006E04D1"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769856" behindDoc="0" locked="0" layoutInCell="1" allowOverlap="1" wp14:anchorId="553C4B9F" wp14:editId="052DEF27">
                      <wp:simplePos x="0" y="0"/>
                      <wp:positionH relativeFrom="column">
                        <wp:posOffset>66675</wp:posOffset>
                      </wp:positionH>
                      <wp:positionV relativeFrom="paragraph">
                        <wp:posOffset>90170</wp:posOffset>
                      </wp:positionV>
                      <wp:extent cx="209550" cy="180975"/>
                      <wp:effectExtent l="57150" t="19050" r="57150" b="104775"/>
                      <wp:wrapNone/>
                      <wp:docPr id="1252047321" name="Isosceles Triangle 12520473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04B57E2A" id="Isosceles Triangle 1252047321" o:spid="_x0000_s1026" type="#_x0000_t5" style="position:absolute;margin-left:5.25pt;margin-top:7.1pt;width:16.5pt;height:14.2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01ESjQIAAIEFAAAOAAAAZHJzL2Uyb0RvYy54bWysVNtqGzEQfS/0H4Tem73EzmXJOpgEl4BJ&#10;QpOSZ1kr2Uu1GlWSvXa/viPtJW4aCJTug9DsnLlpzszV9b5RZCesq0GXNDtJKRGaQ1XrdUm/Py++&#10;XFDiPNMVU6BFSQ/C0evZ509XrSlEDhtQlbAEnWhXtKakG+9NkSSOb0TD3AkYoVEpwTbMo2jXSWVZ&#10;i94bleRpepa0YCtjgQvn8O9tp6Sz6F9Kwf2DlE54okqKufl42niuwpnMrlixtsxsat6nwf4hi4bV&#10;GoOOrm6ZZ2Rr679cNTW34ED6Ew5NAlLWXMQasJosfVPN04YZEWvBx3FmfCb3/9zy+92jJXWFvcun&#10;eTo5P80zSjRrsFd3DhwXSjjybGum10qQIxC+XGtcgQ6ezKMNtTuzBP7DoSL5QxME12P20jYBi5WT&#10;fWzDYWyD2HvC8WeeXk6n2CyOquwivTyfhjYlrBiMjXX+q4CGhEtJfZ9dbADbLZ3v4AMs5gaqrha1&#10;UlGw69WNsmTHkBUL/NJIBIzgXmGxhi7tWIA/KBGMlf4mJL4YJprFiJGrYvTHOBfan/UpR3Qwkxh7&#10;NDz92LDHB1MReTwa5x8bjxYxMmg/Gje1BvueA+WzPmXZ4fsuuq7u8AQrqA5IFgvdFDnDFzU2YMmc&#10;f2QWxwZ7hqvAP+AhFbQlhf5GyQbsr/f+BzyyGbWUtDiGJXU/t8wKStSdRp5fZpNJmNsoTKbnOQr2&#10;WLM61uhtcwPYU6QwZhevAe/VcJUWmhfcGPMQFVVMc4xdUu7tINz4bj3gzuFiPo8wnFXD/FI/GT50&#10;PZDref/CrBlYiPS9h2FkWfGGiB029EPDfOtB1pGlr+/avzfOeeR6v5PCIjmWI+p1c85+AwAA//8D&#10;AFBLAwQUAAYACAAAACEANTxCMNkAAAAHAQAADwAAAGRycy9kb3ducmV2LnhtbEyOzU7DMBCE70i8&#10;g7VIXFDrkIa2CnEqhJIjqig8gBNvfoS9jmK3DW/PcoLTaDSjma84LM6KC85h9KTgcZ2AQGq9GalX&#10;8PlRr/YgQtRktPWECr4xwKG8vSl0bvyV3vFyir3gEQq5VjDEOOVShnZAp8PaT0icdX52OrKde2lm&#10;feVxZ2WaJFvp9Ej8MOgJXwdsv05np8A3y7Hb1Lv9Q+0m+9ZVVeaOlVL3d8vLM4iIS/wrwy8+o0PJ&#10;TI0/kwnCsk+euMmapSA4zzbsG9Z0B7Is5H/+8gcAAP//AwBQSwECLQAUAAYACAAAACEAtoM4kv4A&#10;AADhAQAAEwAAAAAAAAAAAAAAAAAAAAAAW0NvbnRlbnRfVHlwZXNdLnhtbFBLAQItABQABgAIAAAA&#10;IQA4/SH/1gAAAJQBAAALAAAAAAAAAAAAAAAAAC8BAABfcmVscy8ucmVsc1BLAQItABQABgAIAAAA&#10;IQD401ESjQIAAIEFAAAOAAAAAAAAAAAAAAAAAC4CAABkcnMvZTJvRG9jLnhtbFBLAQItABQABgAI&#10;AAAAIQA1PEIw2QAAAAcBAAAPAAAAAAAAAAAAAAAAAOcEAABkcnMvZG93bnJldi54bWxQSwUGAAAA&#10;AAQABADzAAAA7QUAAAAA&#10;" fillcolor="yellow" strokecolor="#70ad47 [3209]" strokeweight=".5pt">
                      <v:path arrowok="t"/>
                    </v:shape>
                  </w:pict>
                </mc:Fallback>
              </mc:AlternateContent>
            </w:r>
          </w:p>
        </w:tc>
        <w:tc>
          <w:tcPr>
            <w:tcW w:w="8604" w:type="dxa"/>
          </w:tcPr>
          <w:p w14:paraId="02937661" w14:textId="77777777" w:rsidR="006E04D1" w:rsidRDefault="006E04D1" w:rsidP="00EC1B06">
            <w:pPr>
              <w:rPr>
                <w:lang w:eastAsia="en-US"/>
              </w:rPr>
            </w:pPr>
            <w:r>
              <w:rPr>
                <w:rFonts w:eastAsiaTheme="minorHAnsi"/>
                <w:b/>
                <w:lang w:eastAsia="en-US"/>
              </w:rPr>
              <w:t xml:space="preserve">Recommended: </w:t>
            </w:r>
            <w:r>
              <w:rPr>
                <w:rFonts w:eastAsiaTheme="minorHAnsi"/>
                <w:lang w:eastAsia="en-US"/>
              </w:rPr>
              <w:t>Modify applications to provide transient fault handling to compliment decoupling message posting from message processing.</w:t>
            </w:r>
          </w:p>
        </w:tc>
      </w:tr>
      <w:tr w:rsidR="006E04D1" w14:paraId="42C77DFD" w14:textId="77777777" w:rsidTr="00EC1B06">
        <w:trPr>
          <w:trHeight w:val="423"/>
        </w:trPr>
        <w:tc>
          <w:tcPr>
            <w:tcW w:w="666" w:type="dxa"/>
          </w:tcPr>
          <w:p w14:paraId="6D8CE822" w14:textId="77777777" w:rsidR="006E04D1" w:rsidRDefault="006E04D1"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774976" behindDoc="0" locked="0" layoutInCell="1" allowOverlap="1" wp14:anchorId="4E3C5D38" wp14:editId="7CD11411">
                      <wp:simplePos x="0" y="0"/>
                      <wp:positionH relativeFrom="column">
                        <wp:posOffset>66675</wp:posOffset>
                      </wp:positionH>
                      <wp:positionV relativeFrom="paragraph">
                        <wp:posOffset>90170</wp:posOffset>
                      </wp:positionV>
                      <wp:extent cx="180975" cy="180975"/>
                      <wp:effectExtent l="57150" t="19050" r="9525" b="104775"/>
                      <wp:wrapNone/>
                      <wp:docPr id="1252047322" name="Oval 1252047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4909B622" id="Oval 1252047322" o:spid="_x0000_s1026" style="position:absolute;margin-left:5.25pt;margin-top:7.1pt;width:14.25pt;height:14.2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CUgggIAAHIFAAAOAAAAZHJzL2Uyb0RvYy54bWysVN1P2zAQf5+0/8Hy+0ga2gERKepATJMq&#10;igYTz65jt9Ycn2e7Tbu/nrOThm4gIU17se58v/v+uLzaNZpshfMKTEVHJzklwnColVlV9Mfj7adz&#10;SnxgpmYajKjoXnh6Nf344bK1pShgDboWjqAR48vWVnQdgi2zzPO1aJg/ASsMCiW4hgVk3SqrHWvR&#10;eqOzIs8/Zy242jrgwnv8vemEdJrsSyl4WEjpRSC6ohhbSK9L7zK+2fSSlSvH7FrxPgz2D1E0TBl0&#10;Opi6YYGRjVOvTDWKO/AgwwmHJgMpFRcpB8xmlP+VzcOaWZFyweJ4O5TJ/z+z/G5774iqsXfFpMjH&#10;Z6dFQYlhDfZqsWWaHH1jrVrrS1R5sPcuZuvtHPhPj4LsD0lkfI/ZSddELOZKdqnw+6HwYhcIx8/R&#10;eX5xNqGEo6ino01WHpSt8+GrgIZEoqJCa2V9LA0r2XbuQ4c+oFJooFV9q7ROjFstr7UjmBD6zr/k&#10;k9R5dOBfYCmFLuoUf9hrEZW1+S4klijGmTym4RSDPca5MOE0jhIaTOioJtH3oHj6vmKPj6oiDe6g&#10;XLyvPGgkz2DCoNwoA+4tAzqM+pBlh++b6Lu8YwmWUO9xOhx0a+Mtv1VY/znz4Z453BPcKNz9sMBH&#10;amgrCj1FyRrc77f+Ix7HF6WUtLh3FfW/NswJSvQ3g4N9MRqP46ImZjw5K5Bxx5LlscRsmmvAno7w&#10;ylieyIgP+kBKB80TnohZ9IoiZjj6rigP7sBch+4e4JHhYjZLMFxOy8LcPFh+6HocrsfdE3O2H8KA&#10;03sHhx19NYgdNvbDwGwTQKo0pS917euNi50Gpz9C8XIc8wn1ciqnzwAAAP//AwBQSwMEFAAGAAgA&#10;AAAhAMIanyLeAAAABwEAAA8AAABkcnMvZG93bnJldi54bWxMj0FLw0AQhe+C/2EZwYvYTWKrNmZT&#10;RBAUvZhW1Ns0OybB7GzIbtv47x1Pehoe7/Hme8Vqcr3a0xg6zwbSWQKKuPa248bAZn1/fg0qRGSL&#10;vWcy8E0BVuXxUYG59Qd+oX0VGyUlHHI00MY45FqHuiWHYeYHYvE+/egwihwbbUc8SLnrdZYkl9ph&#10;x/KhxYHuWqq/qp0z8FFtnt06fXJvj+nDgs7e+yXaV2NOT6bbG1CRpvgXhl98QYdSmLZ+xzaoXnSy&#10;kKTceQZK/IulTNsamGdXoMtC/+cvfwAAAP//AwBQSwECLQAUAAYACAAAACEAtoM4kv4AAADhAQAA&#10;EwAAAAAAAAAAAAAAAAAAAAAAW0NvbnRlbnRfVHlwZXNdLnhtbFBLAQItABQABgAIAAAAIQA4/SH/&#10;1gAAAJQBAAALAAAAAAAAAAAAAAAAAC8BAABfcmVscy8ucmVsc1BLAQItABQABgAIAAAAIQAPsCUg&#10;ggIAAHIFAAAOAAAAAAAAAAAAAAAAAC4CAABkcnMvZTJvRG9jLnhtbFBLAQItABQABgAIAAAAIQDC&#10;Gp8i3gAAAAcBAAAPAAAAAAAAAAAAAAAAANwEAABkcnMvZG93bnJldi54bWxQSwUGAAAAAAQABADz&#10;AAAA5wUAAAAA&#10;" fillcolor="#00b050" strokecolor="#a5a5a5 [3206]" strokeweight=".5pt">
                      <v:stroke joinstyle="miter"/>
                      <v:path arrowok="t"/>
                    </v:oval>
                  </w:pict>
                </mc:Fallback>
              </mc:AlternateContent>
            </w:r>
          </w:p>
        </w:tc>
        <w:tc>
          <w:tcPr>
            <w:tcW w:w="8604" w:type="dxa"/>
          </w:tcPr>
          <w:p w14:paraId="51B25DDB" w14:textId="77777777" w:rsidR="006E04D1" w:rsidRDefault="006E04D1" w:rsidP="00EC1B06">
            <w:pPr>
              <w:rPr>
                <w:lang w:eastAsia="en-US"/>
              </w:rPr>
            </w:pPr>
            <w:r>
              <w:rPr>
                <w:rFonts w:eastAsiaTheme="minorHAnsi"/>
                <w:b/>
                <w:lang w:eastAsia="en-US"/>
              </w:rPr>
              <w:t xml:space="preserve">Optional: </w:t>
            </w:r>
            <w:r>
              <w:rPr>
                <w:rFonts w:eastAsiaTheme="minorHAnsi"/>
                <w:lang w:eastAsia="en-US"/>
              </w:rPr>
              <w:t>Leverage Event Hubs to handle large scale intake of Service Bus messages.</w:t>
            </w:r>
          </w:p>
        </w:tc>
      </w:tr>
    </w:tbl>
    <w:p w14:paraId="7306E9EE" w14:textId="77777777" w:rsidR="006E04D1" w:rsidRDefault="006E04D1" w:rsidP="003722E4"/>
    <w:p w14:paraId="131DCBAE" w14:textId="77777777" w:rsidR="003722E4" w:rsidRDefault="003722E4" w:rsidP="005729D2">
      <w:pPr>
        <w:pStyle w:val="Heading3Numbered"/>
        <w:numPr>
          <w:ilvl w:val="2"/>
          <w:numId w:val="64"/>
        </w:numPr>
      </w:pPr>
      <w:bookmarkStart w:id="3602" w:name="_Toc417983673"/>
      <w:bookmarkStart w:id="3603" w:name="_Toc418013255"/>
      <w:bookmarkStart w:id="3604" w:name="_Toc418029995"/>
      <w:bookmarkStart w:id="3605" w:name="_Toc418036921"/>
      <w:bookmarkStart w:id="3606" w:name="_Toc418061397"/>
      <w:bookmarkStart w:id="3607" w:name="_Toc418081285"/>
      <w:bookmarkStart w:id="3608" w:name="_Toc418081925"/>
      <w:bookmarkStart w:id="3609" w:name="_Toc418083328"/>
      <w:bookmarkStart w:id="3610" w:name="_Toc418096081"/>
      <w:bookmarkStart w:id="3611" w:name="_Toc418156708"/>
      <w:bookmarkStart w:id="3612" w:name="_Toc418167627"/>
      <w:bookmarkStart w:id="3613" w:name="_Toc418185883"/>
      <w:bookmarkStart w:id="3614" w:name="_Toc422941593"/>
      <w:bookmarkStart w:id="3615" w:name="_Toc423116799"/>
      <w:bookmarkStart w:id="3616" w:name="_Toc423117832"/>
      <w:bookmarkStart w:id="3617" w:name="_Toc423117282"/>
      <w:bookmarkStart w:id="3618" w:name="_Toc431288874"/>
      <w:r>
        <w:t>API Management</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59C56D7E" w14:textId="40167BC2" w:rsidR="006E04D1" w:rsidRDefault="006E04D1" w:rsidP="006E04D1">
      <w:r>
        <w:t>In addition to providing business logic, a key consideration when implementing web-service workloads is to allow for features such as throttling, authentication, and partitioning services. Until this point, developers were tasked with building code for this infrastructure, which became the framework for the web services that were deployed.</w:t>
      </w:r>
    </w:p>
    <w:p w14:paraId="06065631" w14:textId="77777777" w:rsidR="006E04D1" w:rsidRDefault="006E04D1" w:rsidP="006E04D1">
      <w:r>
        <w:t>API Management Service was designed to accommodate this need. It provides this infrastructure with very little effort. Developers can concentrate on the business logic of the web services instead of how they are deployed. This also allows deploying the underlying web services on different servers and different technologies, as needed.</w:t>
      </w:r>
    </w:p>
    <w:p w14:paraId="15A313C5" w14:textId="3C2539FE" w:rsidR="003722E4" w:rsidRDefault="006E04D1" w:rsidP="006E04D1">
      <w:r>
        <w:t>API Management Service can leverage existing on-premises web services in addition to cloud-deployed services. Services such as throttling, rate limits, and service quotas can be applied in a central point, similar to load balancing. Services are based on rules that are established in the API Management service. This allows consolidating services from multiple back-ends to a single entry point for service consumers</w:t>
      </w:r>
      <w:r w:rsidR="003722E4">
        <w:t>.</w:t>
      </w:r>
    </w:p>
    <w:tbl>
      <w:tblPr>
        <w:tblStyle w:val="PlainTable11"/>
        <w:tblW w:w="0" w:type="auto"/>
        <w:tblLook w:val="04A0" w:firstRow="1" w:lastRow="0" w:firstColumn="1" w:lastColumn="0" w:noHBand="0" w:noVBand="1"/>
      </w:tblPr>
      <w:tblGrid>
        <w:gridCol w:w="3416"/>
        <w:gridCol w:w="5934"/>
      </w:tblGrid>
      <w:tr w:rsidR="003722E4" w14:paraId="025101DA" w14:textId="77777777" w:rsidTr="0013185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4F0B5F3A" w14:textId="77777777" w:rsidR="003722E4" w:rsidRPr="00F47607" w:rsidRDefault="003722E4" w:rsidP="002F63EE">
            <w:pPr>
              <w:spacing w:line="240" w:lineRule="auto"/>
              <w:rPr>
                <w:color w:val="FFFFFF"/>
              </w:rPr>
            </w:pPr>
            <w:r>
              <w:rPr>
                <w:color w:val="FFFFFF"/>
              </w:rPr>
              <w:t>Feature References</w:t>
            </w:r>
          </w:p>
        </w:tc>
      </w:tr>
      <w:tr w:rsidR="003722E4" w14:paraId="04AD2F96"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78C0AA22" w14:textId="77777777" w:rsidR="003722E4" w:rsidRPr="001E5AC2" w:rsidRDefault="003722E4" w:rsidP="002F63EE">
            <w:pPr>
              <w:spacing w:line="240" w:lineRule="auto"/>
              <w:rPr>
                <w:sz w:val="20"/>
                <w:szCs w:val="20"/>
              </w:rPr>
            </w:pPr>
            <w:r w:rsidRPr="001E5AC2">
              <w:rPr>
                <w:sz w:val="20"/>
                <w:szCs w:val="20"/>
              </w:rPr>
              <w:t>API Management overview</w:t>
            </w:r>
          </w:p>
        </w:tc>
        <w:tc>
          <w:tcPr>
            <w:tcW w:w="5940" w:type="dxa"/>
          </w:tcPr>
          <w:p w14:paraId="124BE56D" w14:textId="77777777" w:rsidR="003722E4" w:rsidRPr="001E5AC2" w:rsidRDefault="00872E47" w:rsidP="002F63EE">
            <w:pPr>
              <w:cnfStyle w:val="000000100000" w:firstRow="0" w:lastRow="0" w:firstColumn="0" w:lastColumn="0" w:oddVBand="0" w:evenVBand="0" w:oddHBand="1" w:evenHBand="0" w:firstRowFirstColumn="0" w:firstRowLastColumn="0" w:lastRowFirstColumn="0" w:lastRowLastColumn="0"/>
              <w:rPr>
                <w:sz w:val="20"/>
                <w:szCs w:val="20"/>
              </w:rPr>
            </w:pPr>
            <w:hyperlink r:id="rId343" w:history="1">
              <w:r w:rsidR="003722E4" w:rsidRPr="001E5AC2">
                <w:rPr>
                  <w:rStyle w:val="Hyperlink"/>
                  <w:sz w:val="20"/>
                  <w:szCs w:val="20"/>
                </w:rPr>
                <w:t>http://azure.microsoft.com/en-us/documentation/articles/api-management-key-concepts/</w:t>
              </w:r>
            </w:hyperlink>
          </w:p>
        </w:tc>
      </w:tr>
      <w:tr w:rsidR="003722E4" w14:paraId="36DB5996"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03074EAF" w14:textId="77777777" w:rsidR="003722E4" w:rsidRPr="00F47607" w:rsidRDefault="003722E4" w:rsidP="002F63EE">
            <w:pPr>
              <w:spacing w:line="240" w:lineRule="auto"/>
              <w:rPr>
                <w:sz w:val="20"/>
              </w:rPr>
            </w:pPr>
            <w:r w:rsidRPr="001E5AC2">
              <w:rPr>
                <w:sz w:val="20"/>
                <w:szCs w:val="20"/>
              </w:rPr>
              <w:t>Getting started</w:t>
            </w:r>
          </w:p>
        </w:tc>
        <w:tc>
          <w:tcPr>
            <w:tcW w:w="5940" w:type="dxa"/>
          </w:tcPr>
          <w:p w14:paraId="4A624419" w14:textId="77777777" w:rsidR="003722E4" w:rsidRPr="001E5AC2" w:rsidRDefault="00872E47" w:rsidP="002F63EE">
            <w:pPr>
              <w:cnfStyle w:val="000000000000" w:firstRow="0" w:lastRow="0" w:firstColumn="0" w:lastColumn="0" w:oddVBand="0" w:evenVBand="0" w:oddHBand="0" w:evenHBand="0" w:firstRowFirstColumn="0" w:firstRowLastColumn="0" w:lastRowFirstColumn="0" w:lastRowLastColumn="0"/>
              <w:rPr>
                <w:sz w:val="20"/>
                <w:szCs w:val="20"/>
              </w:rPr>
            </w:pPr>
            <w:hyperlink r:id="rId344" w:history="1">
              <w:r w:rsidR="003722E4" w:rsidRPr="001E5AC2">
                <w:rPr>
                  <w:rStyle w:val="Hyperlink"/>
                  <w:sz w:val="20"/>
                  <w:szCs w:val="20"/>
                </w:rPr>
                <w:t>http://azure.microsoft.com/en-us/documentation/articles/api-management-get-started/</w:t>
              </w:r>
            </w:hyperlink>
          </w:p>
        </w:tc>
      </w:tr>
      <w:tr w:rsidR="003722E4" w14:paraId="1EE40AEA"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1808AC8E" w14:textId="77777777" w:rsidR="003722E4" w:rsidRPr="001E5AC2" w:rsidRDefault="003722E4" w:rsidP="002F63EE">
            <w:pPr>
              <w:spacing w:line="240" w:lineRule="auto"/>
              <w:rPr>
                <w:sz w:val="20"/>
                <w:szCs w:val="20"/>
              </w:rPr>
            </w:pPr>
            <w:r w:rsidRPr="001E5AC2">
              <w:rPr>
                <w:sz w:val="20"/>
                <w:szCs w:val="20"/>
              </w:rPr>
              <w:t>API management for developers</w:t>
            </w:r>
          </w:p>
        </w:tc>
        <w:tc>
          <w:tcPr>
            <w:tcW w:w="5940" w:type="dxa"/>
          </w:tcPr>
          <w:p w14:paraId="1FD08DFE" w14:textId="77777777" w:rsidR="003722E4" w:rsidRPr="001E5AC2" w:rsidRDefault="00872E47" w:rsidP="002F63EE">
            <w:pPr>
              <w:cnfStyle w:val="000000100000" w:firstRow="0" w:lastRow="0" w:firstColumn="0" w:lastColumn="0" w:oddVBand="0" w:evenVBand="0" w:oddHBand="1" w:evenHBand="0" w:firstRowFirstColumn="0" w:firstRowLastColumn="0" w:lastRowFirstColumn="0" w:lastRowLastColumn="0"/>
              <w:rPr>
                <w:sz w:val="20"/>
                <w:szCs w:val="20"/>
              </w:rPr>
            </w:pPr>
            <w:hyperlink r:id="rId345" w:history="1">
              <w:r w:rsidR="003722E4" w:rsidRPr="001E5AC2">
                <w:rPr>
                  <w:rStyle w:val="Hyperlink"/>
                  <w:sz w:val="20"/>
                  <w:szCs w:val="20"/>
                </w:rPr>
                <w:t>https://msdn.microsoft.com/en-us/library/azure/dn776327.aspx</w:t>
              </w:r>
            </w:hyperlink>
          </w:p>
        </w:tc>
      </w:tr>
      <w:tr w:rsidR="003722E4" w14:paraId="4FAE61AC"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2D836AFB" w14:textId="77777777" w:rsidR="003722E4" w:rsidRPr="001E5AC2" w:rsidRDefault="003722E4" w:rsidP="002F63EE">
            <w:pPr>
              <w:spacing w:line="240" w:lineRule="auto"/>
              <w:rPr>
                <w:sz w:val="20"/>
                <w:szCs w:val="20"/>
              </w:rPr>
            </w:pPr>
            <w:r w:rsidRPr="001E5AC2">
              <w:rPr>
                <w:sz w:val="20"/>
                <w:szCs w:val="20"/>
              </w:rPr>
              <w:t>Securing APIs</w:t>
            </w:r>
          </w:p>
        </w:tc>
        <w:tc>
          <w:tcPr>
            <w:tcW w:w="5940" w:type="dxa"/>
          </w:tcPr>
          <w:p w14:paraId="25ABECF6" w14:textId="77777777" w:rsidR="003722E4" w:rsidRPr="001E5AC2" w:rsidRDefault="00872E47" w:rsidP="002F63EE">
            <w:pPr>
              <w:cnfStyle w:val="000000000000" w:firstRow="0" w:lastRow="0" w:firstColumn="0" w:lastColumn="0" w:oddVBand="0" w:evenVBand="0" w:oddHBand="0" w:evenHBand="0" w:firstRowFirstColumn="0" w:firstRowLastColumn="0" w:lastRowFirstColumn="0" w:lastRowLastColumn="0"/>
              <w:rPr>
                <w:sz w:val="20"/>
                <w:szCs w:val="20"/>
              </w:rPr>
            </w:pPr>
            <w:hyperlink r:id="rId346" w:history="1">
              <w:r w:rsidR="003722E4" w:rsidRPr="001E5AC2">
                <w:rPr>
                  <w:rStyle w:val="Hyperlink"/>
                  <w:sz w:val="20"/>
                  <w:szCs w:val="20"/>
                </w:rPr>
                <w:t>http://azure.microsoft.com/en-us/documentation/articles/api-management-howto-mutual-certificates/</w:t>
              </w:r>
            </w:hyperlink>
          </w:p>
        </w:tc>
      </w:tr>
    </w:tbl>
    <w:p w14:paraId="6FE5E82F" w14:textId="40135741" w:rsidR="003722E4" w:rsidRDefault="003722E4" w:rsidP="003722E4"/>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6E04D1" w14:paraId="1F40B316" w14:textId="77777777" w:rsidTr="00EC1B06">
        <w:trPr>
          <w:trHeight w:val="423"/>
        </w:trPr>
        <w:tc>
          <w:tcPr>
            <w:tcW w:w="666" w:type="dxa"/>
          </w:tcPr>
          <w:p w14:paraId="037132BC" w14:textId="77777777" w:rsidR="006E04D1" w:rsidRDefault="006E04D1"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3AE5B1B0" wp14:editId="18DE8368">
                      <wp:extent cx="200025" cy="180975"/>
                      <wp:effectExtent l="57150" t="19050" r="28575" b="104775"/>
                      <wp:docPr id="1252047323" name="Octagon 1252047323"/>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0C912B0" id="Octagon 1252047323"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qreAIAAFwFAAAOAAAAZHJzL2Uyb0RvYy54bWysVEtrGzEQvhf6H4TuzT5sN4nJOhgHl0JI&#10;TJOSs6yVbIFWo0qy1+6v70i73pg0ECi9aGd23t88bm4PjSZ74bwCU9HiIqdEGA61MpuK/nxefrmi&#10;xAdmaqbBiIoehae3s8+fblo7FSVsQdfCEXRi/LS1Fd2GYKdZ5vlWNMxfgBUGhRJcwwKybpPVjrXo&#10;vdFZmedfsxZcbR1w4T3+veuEdJb8Syl4eJTSi0B0RTG3kF6X3nV8s9kNm24cs1vF+zTYP2TRMGUw&#10;6ODqjgVGdk795apR3IEHGS44NBlIqbhINWA1Rf6mmqctsyLVguB4O8Dk/59b/rBfOaJq7F05KfPx&#10;5agcUWJYg7165IFtwJAzCcLVWj9Fqye7cj3nkYy1H6Rr4herIocE8XGAWBwC4fgTe5aXE0o4ioqr&#10;/PpyEluQvRpb58M3AQ2JREWhyyFhy/b3PnTaJ60YzoNW9VJpnRi3WS+0I3uGDV8sMFrqMQY4U8ti&#10;DV3WiQpHLaKxNj+ERDAwzyJFTGMoBn+Mc2FC2WectKOZxNiD4ehjw14/moo0ooNx+bHxYJEigwmD&#10;caMMuPcc6FD0KctOHwE/qzuSa6iPOAcOugXxli8V4n/PfFgxhxuBu4NbHh7xkRpabExPUbIF9/u9&#10;/1EfBxWllLS4YRX1v3bMCUr0d4MjfF2Mx3ElEzOeXJbIuHPJ+lxids0CsKcF3hPLExn1gz6R0kHz&#10;gsdgHqOiiBmOsSvKgzsxi9BtPp4TLubzpIZraFm4N0+Wn7oeh+v58MKc7Ycw4PQ+wGkb2fTNIHa6&#10;sR8G5rsAUqUpfcW1xxtXOI16f27ijTjnk9brUZz9AQ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AvD6qt4AgAAXA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28B412C4" w14:textId="77777777" w:rsidR="006E04D1" w:rsidRDefault="006E04D1" w:rsidP="00EC1B06">
            <w:pPr>
              <w:rPr>
                <w:lang w:eastAsia="en-US"/>
              </w:rPr>
            </w:pPr>
            <w:r w:rsidRPr="00192064">
              <w:rPr>
                <w:b/>
                <w:lang w:eastAsia="en-US"/>
              </w:rPr>
              <w:t>Mandatory</w:t>
            </w:r>
            <w:r>
              <w:rPr>
                <w:lang w:eastAsia="en-US"/>
              </w:rPr>
              <w:t>: Configure policies for services and profiles for existing web services to use API Management.</w:t>
            </w:r>
          </w:p>
        </w:tc>
      </w:tr>
      <w:tr w:rsidR="006E04D1" w14:paraId="1263E7A1" w14:textId="77777777" w:rsidTr="00EC1B06">
        <w:trPr>
          <w:trHeight w:val="423"/>
        </w:trPr>
        <w:tc>
          <w:tcPr>
            <w:tcW w:w="666" w:type="dxa"/>
          </w:tcPr>
          <w:p w14:paraId="10230A38" w14:textId="77777777" w:rsidR="006E04D1" w:rsidRDefault="006E04D1"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780096" behindDoc="0" locked="0" layoutInCell="1" allowOverlap="1" wp14:anchorId="2B63F7C9" wp14:editId="3525AD0B">
                      <wp:simplePos x="0" y="0"/>
                      <wp:positionH relativeFrom="column">
                        <wp:posOffset>66675</wp:posOffset>
                      </wp:positionH>
                      <wp:positionV relativeFrom="paragraph">
                        <wp:posOffset>90170</wp:posOffset>
                      </wp:positionV>
                      <wp:extent cx="209550" cy="180975"/>
                      <wp:effectExtent l="57150" t="19050" r="57150" b="104775"/>
                      <wp:wrapNone/>
                      <wp:docPr id="1252047324" name="Isosceles Triangle 12520473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060EC836" id="Isosceles Triangle 1252047324" o:spid="_x0000_s1026" type="#_x0000_t5" style="position:absolute;margin-left:5.25pt;margin-top:7.1pt;width:16.5pt;height:14.2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GHPjgIAAIEFAAAOAAAAZHJzL2Uyb0RvYy54bWysVNtqGzEQfS/0H4Tem73EzmXJOpgEl4BJ&#10;QpOSZ1kr2Uu1GlWSvXa/viPtJW4aCJTug9DsnLnpzMzV9b5RZCesq0GXNDtJKRGaQ1XrdUm/Py++&#10;XFDiPNMVU6BFSQ/C0evZ509XrSlEDhtQlbAEnWhXtKakG+9NkSSOb0TD3AkYoVEpwTbMo2jXSWVZ&#10;i94bleRpepa0YCtjgQvn8O9tp6Sz6F9Kwf2DlE54okqKufl42niuwpnMrlixtsxsat6nwf4hi4bV&#10;GoOOrm6ZZ2Rr679cNTW34ED6Ew5NAlLWXMQasJosfVPN04YZEWvBx3FmfCb3/9zy+92jJXWF3OXT&#10;PJ2cn+YTSjRrkKs7B44LJRx5tjXTayXIEQhfrjWuQAdP5tGG2p1ZAv/hUJH8oQmC6zF7aZuAxcrJ&#10;PtJwGGkQe084/szTy+kUyeKoyi7Sy/NpoClhxWBsrPNfBTQkXErq++wiAWy3dL6DD7CYG6i6WtRK&#10;RcGuVzfKkh3Drljgl8ZGwAjuFRZr6NKOBfiDEsFY6W9C4otholmMGHtVjP4Y50L7sz7liA5mEmOP&#10;hqcfG/b4YCpiH4/G+cfGo0WMDNqPxk2twb7nQPmsT1l2+J5F19UdnmAF1QGbxUI3Rc7wRY0ELJnz&#10;j8zi2CBnuAr8Ax5SQVtS6G+UbMD+eu9/wGM3o5aSFsewpO7nlllBibrT2OeX2WQS5jYKk+l5joI9&#10;1qyONXrb3ABymuHSMTxeA96r4SotNC+4MeYhKqqY5hi7pNzbQbjx3XrAncPFfB5hOKuG+aV+Mnxg&#10;PTTX8/6FWTN0IbbvPQwjy4o3jdhhAx8a5lsPso5d+vqu/XvjnMde73dSWCTHckS9bs7ZbwA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MaRhz44CAAC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2B4BB4CD" w14:textId="77777777" w:rsidR="006E04D1" w:rsidRDefault="006E04D1" w:rsidP="00EC1B06">
            <w:pPr>
              <w:rPr>
                <w:lang w:eastAsia="en-US"/>
              </w:rPr>
            </w:pPr>
            <w:r>
              <w:rPr>
                <w:rFonts w:eastAsiaTheme="minorHAnsi"/>
                <w:b/>
                <w:lang w:eastAsia="en-US"/>
              </w:rPr>
              <w:t xml:space="preserve">Recommended: </w:t>
            </w:r>
            <w:r>
              <w:rPr>
                <w:rFonts w:eastAsiaTheme="minorHAnsi"/>
                <w:lang w:eastAsia="en-US"/>
              </w:rPr>
              <w:t>Protect web services with API Management rate limits and quota policies.</w:t>
            </w:r>
          </w:p>
        </w:tc>
      </w:tr>
      <w:tr w:rsidR="006E04D1" w14:paraId="0812236D" w14:textId="77777777" w:rsidTr="00EC1B06">
        <w:trPr>
          <w:trHeight w:val="423"/>
        </w:trPr>
        <w:tc>
          <w:tcPr>
            <w:tcW w:w="666" w:type="dxa"/>
          </w:tcPr>
          <w:p w14:paraId="1DB9C616" w14:textId="77777777" w:rsidR="006E04D1" w:rsidRDefault="006E04D1"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785216" behindDoc="0" locked="0" layoutInCell="1" allowOverlap="1" wp14:anchorId="016C3C5E" wp14:editId="30548C8F">
                      <wp:simplePos x="0" y="0"/>
                      <wp:positionH relativeFrom="column">
                        <wp:posOffset>66675</wp:posOffset>
                      </wp:positionH>
                      <wp:positionV relativeFrom="paragraph">
                        <wp:posOffset>90170</wp:posOffset>
                      </wp:positionV>
                      <wp:extent cx="180975" cy="180975"/>
                      <wp:effectExtent l="57150" t="19050" r="9525" b="104775"/>
                      <wp:wrapNone/>
                      <wp:docPr id="1252047325" name="Oval 12520473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061BF7DB" id="Oval 1252047325" o:spid="_x0000_s1026" style="position:absolute;margin-left:5.25pt;margin-top:7.1pt;width:14.25pt;height:14.2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j/gQIAAHIFAAAOAAAAZHJzL2Uyb0RvYy54bWysVN1P2zAQf5+0/8Hy+0ga2gERKepATJMq&#10;igYTz65jt9Ycn2e7Tbu/nrOThm4gIU17se58v/v+uLzaNZpshfMKTEVHJzklwnColVlV9Mfj7adz&#10;SnxgpmYajKjoXnh6Nf344bK1pShgDboWjqAR48vWVnQdgi2zzPO1aJg/ASsMCiW4hgVk3SqrHWvR&#10;eqOzIs8/Zy242jrgwnv8vemEdJrsSyl4WEjpRSC6ohhbSK9L7zK+2fSSlSvH7FrxPgz2D1E0TBl0&#10;Opi6YYGRjVOvTDWKO/AgwwmHJgMpFRcpB8xmlP+VzcOaWZFyweJ4O5TJ/z+z/G5774iqsXfFpMjH&#10;Z6fFhBLDGuzVYss0OfrGWrXWl6jyYO9dzNbbOfCfHgXZH5LI+B6zk66JWMyV7FLh90PhxS4Qjp+j&#10;8/ziDP1yFPV0tMnKg7J1PnwV0JBIVFRorayPpWEl28596NAHVAoNtKpvldaJcavltXYEE0Lf+Zd8&#10;kjqPDvwLLKXQRZ3iD3storI234XEEsU4k8c0nGKwxzgXJpzGUUKDCR3VJPoeFE/fV+zxUVWkwR2U&#10;i/eVB43kGUwYlBtlwL1lQIdRH7Ls8H0TfZd3LMES6j1Oh4NubbzltwrrP2c+3DOHe4IbhbsfFvhI&#10;DW1FoacoWYP7/dZ/xOP4opSSFveuov7XhjlBif5mcLAvRuNxXNTEjCdnBTLuWLI8lphNcw3Y0xFe&#10;GcsTGfFBH0jpoHnCEzGLXlHEDEffFeXBHZjr0N0DPDJczGYJhstpWZibB8sPXY/D9bh7Ys72Qxhw&#10;eu/gsKOvBrHDxn4YmG0CSJWm9KWufb1xsdPg9EcoXo5jPqFeTuX0GQAA//8DAFBLAwQUAAYACAAA&#10;ACEAwhqfIt4AAAAHAQAADwAAAGRycy9kb3ducmV2LnhtbEyPQUvDQBCF74L/YRnBi9hNYqs2ZlNE&#10;EBS9mFbU2zQ7JsHsbMhu2/jvHU96Gh7v8eZ7xWpyvdrTGDrPBtJZAoq49rbjxsBmfX9+DSpEZIu9&#10;ZzLwTQFW5fFRgbn1B36hfRUbJSUccjTQxjjkWoe6JYdh5gdi8T796DCKHBttRzxIuet1liSX2mHH&#10;8qHFge5aqr+qnTPwUW2e3Tp9cm+P6cOCzt77JdpXY05PptsbUJGm+BeGX3xBh1KYtn7HNqhedLKQ&#10;pNx5Bkr8i6VM2xqYZ1egy0L/5y9/AAAA//8DAFBLAQItABQABgAIAAAAIQC2gziS/gAAAOEBAAAT&#10;AAAAAAAAAAAAAAAAAAAAAABbQ29udGVudF9UeXBlc10ueG1sUEsBAi0AFAAGAAgAAAAhADj9If/W&#10;AAAAlAEAAAsAAAAAAAAAAAAAAAAALwEAAF9yZWxzLy5yZWxzUEsBAi0AFAAGAAgAAAAhAEw/6P+B&#10;AgAAcgUAAA4AAAAAAAAAAAAAAAAALgIAAGRycy9lMm9Eb2MueG1sUEsBAi0AFAAGAAgAAAAhAMIa&#10;nyLeAAAABwEAAA8AAAAAAAAAAAAAAAAA2wQAAGRycy9kb3ducmV2LnhtbFBLBQYAAAAABAAEAPMA&#10;AADmBQAAAAA=&#10;" fillcolor="#00b050" strokecolor="#a5a5a5 [3206]" strokeweight=".5pt">
                      <v:stroke joinstyle="miter"/>
                      <v:path arrowok="t"/>
                    </v:oval>
                  </w:pict>
                </mc:Fallback>
              </mc:AlternateContent>
            </w:r>
          </w:p>
        </w:tc>
        <w:tc>
          <w:tcPr>
            <w:tcW w:w="8604" w:type="dxa"/>
          </w:tcPr>
          <w:p w14:paraId="7AF0EF1D" w14:textId="77777777" w:rsidR="006E04D1" w:rsidRDefault="006E04D1" w:rsidP="00EC1B06">
            <w:pPr>
              <w:rPr>
                <w:lang w:eastAsia="en-US"/>
              </w:rPr>
            </w:pPr>
            <w:r>
              <w:rPr>
                <w:rFonts w:eastAsiaTheme="minorHAnsi"/>
                <w:b/>
                <w:lang w:eastAsia="en-US"/>
              </w:rPr>
              <w:t xml:space="preserve">Optional: </w:t>
            </w:r>
            <w:r>
              <w:rPr>
                <w:rFonts w:eastAsiaTheme="minorHAnsi"/>
                <w:lang w:eastAsia="en-US"/>
              </w:rPr>
              <w:t>Customize the developer portal to allow for developer registration and subscription models.</w:t>
            </w:r>
          </w:p>
        </w:tc>
      </w:tr>
    </w:tbl>
    <w:p w14:paraId="4107300E" w14:textId="77777777" w:rsidR="006E04D1" w:rsidRDefault="006E04D1" w:rsidP="003722E4"/>
    <w:p w14:paraId="6C2F16C0" w14:textId="77777777" w:rsidR="003722E4" w:rsidRDefault="003722E4" w:rsidP="005729D2">
      <w:pPr>
        <w:pStyle w:val="Heading3Numbered"/>
        <w:numPr>
          <w:ilvl w:val="2"/>
          <w:numId w:val="64"/>
        </w:numPr>
      </w:pPr>
      <w:bookmarkStart w:id="3619" w:name="_Toc418079685"/>
      <w:bookmarkStart w:id="3620" w:name="_Toc418081286"/>
      <w:bookmarkStart w:id="3621" w:name="_Toc418069199"/>
      <w:bookmarkStart w:id="3622" w:name="_Toc418072035"/>
      <w:bookmarkStart w:id="3623" w:name="_Toc418095308"/>
      <w:bookmarkStart w:id="3624" w:name="_Toc418096082"/>
      <w:bookmarkStart w:id="3625" w:name="_Toc418079686"/>
      <w:bookmarkStart w:id="3626" w:name="_Toc418081287"/>
      <w:bookmarkStart w:id="3627" w:name="_Toc418069200"/>
      <w:bookmarkStart w:id="3628" w:name="_Toc418072036"/>
      <w:bookmarkStart w:id="3629" w:name="_Toc418095309"/>
      <w:bookmarkStart w:id="3630" w:name="_Toc418096083"/>
      <w:bookmarkStart w:id="3631" w:name="_Toc418079687"/>
      <w:bookmarkStart w:id="3632" w:name="_Toc418081288"/>
      <w:bookmarkStart w:id="3633" w:name="_Toc418069201"/>
      <w:bookmarkStart w:id="3634" w:name="_Toc418072037"/>
      <w:bookmarkStart w:id="3635" w:name="_Toc418095310"/>
      <w:bookmarkStart w:id="3636" w:name="_Toc418096084"/>
      <w:bookmarkStart w:id="3637" w:name="_Toc418079688"/>
      <w:bookmarkStart w:id="3638" w:name="_Toc418081289"/>
      <w:bookmarkStart w:id="3639" w:name="_Toc418069202"/>
      <w:bookmarkStart w:id="3640" w:name="_Toc418072038"/>
      <w:bookmarkStart w:id="3641" w:name="_Toc418095311"/>
      <w:bookmarkStart w:id="3642" w:name="_Toc418096085"/>
      <w:bookmarkStart w:id="3643" w:name="_Toc418079689"/>
      <w:bookmarkStart w:id="3644" w:name="_Toc418081290"/>
      <w:bookmarkStart w:id="3645" w:name="_Toc418069203"/>
      <w:bookmarkStart w:id="3646" w:name="_Toc418072039"/>
      <w:bookmarkStart w:id="3647" w:name="_Toc418095312"/>
      <w:bookmarkStart w:id="3648" w:name="_Toc418096086"/>
      <w:bookmarkStart w:id="3649" w:name="_Toc418079690"/>
      <w:bookmarkStart w:id="3650" w:name="_Toc418081291"/>
      <w:bookmarkStart w:id="3651" w:name="_Toc418069204"/>
      <w:bookmarkStart w:id="3652" w:name="_Toc418072040"/>
      <w:bookmarkStart w:id="3653" w:name="_Toc418095313"/>
      <w:bookmarkStart w:id="3654" w:name="_Toc418096087"/>
      <w:bookmarkStart w:id="3655" w:name="_Toc418079691"/>
      <w:bookmarkStart w:id="3656" w:name="_Toc418081292"/>
      <w:bookmarkStart w:id="3657" w:name="_Toc418069205"/>
      <w:bookmarkStart w:id="3658" w:name="_Toc418072041"/>
      <w:bookmarkStart w:id="3659" w:name="_Toc418095314"/>
      <w:bookmarkStart w:id="3660" w:name="_Toc418096088"/>
      <w:bookmarkStart w:id="3661" w:name="_Toc418079692"/>
      <w:bookmarkStart w:id="3662" w:name="_Toc418081293"/>
      <w:bookmarkStart w:id="3663" w:name="_Toc418069206"/>
      <w:bookmarkStart w:id="3664" w:name="_Toc418072042"/>
      <w:bookmarkStart w:id="3665" w:name="_Toc418095315"/>
      <w:bookmarkStart w:id="3666" w:name="_Toc418096089"/>
      <w:bookmarkStart w:id="3667" w:name="_Toc418079693"/>
      <w:bookmarkStart w:id="3668" w:name="_Toc418081294"/>
      <w:bookmarkStart w:id="3669" w:name="_Toc418069207"/>
      <w:bookmarkStart w:id="3670" w:name="_Toc418072043"/>
      <w:bookmarkStart w:id="3671" w:name="_Toc418095316"/>
      <w:bookmarkStart w:id="3672" w:name="_Toc418096090"/>
      <w:bookmarkStart w:id="3673" w:name="_Toc418079694"/>
      <w:bookmarkStart w:id="3674" w:name="_Toc418081295"/>
      <w:bookmarkStart w:id="3675" w:name="_Toc418069208"/>
      <w:bookmarkStart w:id="3676" w:name="_Toc418072044"/>
      <w:bookmarkStart w:id="3677" w:name="_Toc418095317"/>
      <w:bookmarkStart w:id="3678" w:name="_Toc418096091"/>
      <w:bookmarkStart w:id="3679" w:name="_Toc418079695"/>
      <w:bookmarkStart w:id="3680" w:name="_Toc418081296"/>
      <w:bookmarkStart w:id="3681" w:name="_Toc418069209"/>
      <w:bookmarkStart w:id="3682" w:name="_Toc418072045"/>
      <w:bookmarkStart w:id="3683" w:name="_Toc418095318"/>
      <w:bookmarkStart w:id="3684" w:name="_Toc418096092"/>
      <w:bookmarkStart w:id="3685" w:name="_Toc418079696"/>
      <w:bookmarkStart w:id="3686" w:name="_Toc418081297"/>
      <w:bookmarkStart w:id="3687" w:name="_Toc418069210"/>
      <w:bookmarkStart w:id="3688" w:name="_Toc418072046"/>
      <w:bookmarkStart w:id="3689" w:name="_Toc418095319"/>
      <w:bookmarkStart w:id="3690" w:name="_Toc418096093"/>
      <w:bookmarkStart w:id="3691" w:name="_Toc418079697"/>
      <w:bookmarkStart w:id="3692" w:name="_Toc418081298"/>
      <w:bookmarkStart w:id="3693" w:name="_Toc418069211"/>
      <w:bookmarkStart w:id="3694" w:name="_Toc418072047"/>
      <w:bookmarkStart w:id="3695" w:name="_Toc418095320"/>
      <w:bookmarkStart w:id="3696" w:name="_Toc418096094"/>
      <w:bookmarkStart w:id="3697" w:name="_Toc418079698"/>
      <w:bookmarkStart w:id="3698" w:name="_Toc418081299"/>
      <w:bookmarkStart w:id="3699" w:name="_Toc418069212"/>
      <w:bookmarkStart w:id="3700" w:name="_Toc418072048"/>
      <w:bookmarkStart w:id="3701" w:name="_Toc418095321"/>
      <w:bookmarkStart w:id="3702" w:name="_Toc418096095"/>
      <w:bookmarkStart w:id="3703" w:name="_Toc418079699"/>
      <w:bookmarkStart w:id="3704" w:name="_Toc418081300"/>
      <w:bookmarkStart w:id="3705" w:name="_Toc418069213"/>
      <w:bookmarkStart w:id="3706" w:name="_Toc418072049"/>
      <w:bookmarkStart w:id="3707" w:name="_Toc418095322"/>
      <w:bookmarkStart w:id="3708" w:name="_Toc418096096"/>
      <w:bookmarkStart w:id="3709" w:name="_Toc418079700"/>
      <w:bookmarkStart w:id="3710" w:name="_Toc418081301"/>
      <w:bookmarkStart w:id="3711" w:name="_Toc418069214"/>
      <w:bookmarkStart w:id="3712" w:name="_Toc418072050"/>
      <w:bookmarkStart w:id="3713" w:name="_Toc418095323"/>
      <w:bookmarkStart w:id="3714" w:name="_Toc418096097"/>
      <w:bookmarkStart w:id="3715" w:name="_Toc417548304"/>
      <w:bookmarkStart w:id="3716" w:name="_Toc417594536"/>
      <w:bookmarkStart w:id="3717" w:name="_Toc417934637"/>
      <w:bookmarkStart w:id="3718" w:name="_Toc417935976"/>
      <w:bookmarkStart w:id="3719" w:name="_Toc417936438"/>
      <w:bookmarkStart w:id="3720" w:name="_Toc417946890"/>
      <w:bookmarkStart w:id="3721" w:name="_Toc417947307"/>
      <w:bookmarkStart w:id="3722" w:name="_Toc417982500"/>
      <w:bookmarkStart w:id="3723" w:name="_Toc417985925"/>
      <w:bookmarkStart w:id="3724" w:name="_Toc418000646"/>
      <w:bookmarkStart w:id="3725" w:name="_Toc418003789"/>
      <w:bookmarkStart w:id="3726" w:name="_Toc418011994"/>
      <w:bookmarkStart w:id="3727" w:name="_Toc418030012"/>
      <w:bookmarkStart w:id="3728" w:name="_Toc418036924"/>
      <w:bookmarkStart w:id="3729" w:name="_Toc418061400"/>
      <w:bookmarkStart w:id="3730" w:name="_Toc418081302"/>
      <w:bookmarkStart w:id="3731" w:name="_Toc418083331"/>
      <w:bookmarkStart w:id="3732" w:name="_Toc418096098"/>
      <w:bookmarkStart w:id="3733" w:name="_Toc418156709"/>
      <w:bookmarkStart w:id="3734" w:name="_Toc418167628"/>
      <w:bookmarkStart w:id="3735" w:name="_Toc418185884"/>
      <w:bookmarkStart w:id="3736" w:name="_Toc422941594"/>
      <w:bookmarkStart w:id="3737" w:name="_Toc423116800"/>
      <w:bookmarkStart w:id="3738" w:name="_Toc423117833"/>
      <w:bookmarkStart w:id="3739" w:name="_Toc423117283"/>
      <w:bookmarkStart w:id="3740" w:name="_Toc431288875"/>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r>
        <w:t>Azure Search</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3A76875E" w14:textId="4B41D4AB" w:rsidR="006E04D1" w:rsidRDefault="003722E4" w:rsidP="006E04D1">
      <w:r>
        <w:t>Probably</w:t>
      </w:r>
      <w:bookmarkStart w:id="3741" w:name="_Toc414892112"/>
      <w:bookmarkStart w:id="3742" w:name="_Toc414960135"/>
      <w:bookmarkStart w:id="3743" w:name="_Toc414969106"/>
      <w:bookmarkStart w:id="3744" w:name="_Toc415011328"/>
      <w:bookmarkStart w:id="3745" w:name="_Toc415040018"/>
      <w:bookmarkStart w:id="3746" w:name="_Toc415572373"/>
      <w:r w:rsidR="006E04D1">
        <w:t xml:space="preserve"> one of the most common components in applications is a platform or infrastructure that can support searching for application data. There are quite a few products offered on the market by third-party and Microsoft. Azure Search was created to provide the search-as-a-service offering in Azure.</w:t>
      </w:r>
    </w:p>
    <w:p w14:paraId="2A67C5A8" w14:textId="7033F61D" w:rsidR="003722E4" w:rsidRDefault="006E04D1" w:rsidP="006E04D1">
      <w:r>
        <w:t>While Azure Search does not offer a crawler to index the application data sources, it does provide the infrastructure to intake the index files and provides interfaces for the actual search functions. This service is targeted at developers, and it is not a service that is directly customer facing. At the core, it’s a web service that follows the model of a REST-based interface for connected applications</w:t>
      </w:r>
      <w:r w:rsidR="003722E4">
        <w:t>.</w:t>
      </w:r>
    </w:p>
    <w:p w14:paraId="04ECD8D6" w14:textId="77777777" w:rsidR="003722E4" w:rsidRDefault="003722E4" w:rsidP="003722E4">
      <w:r>
        <w:rPr>
          <w:noProof/>
        </w:rPr>
        <w:drawing>
          <wp:inline distT="0" distB="0" distL="0" distR="0" wp14:anchorId="39E23472" wp14:editId="24745A48">
            <wp:extent cx="4661535" cy="1877060"/>
            <wp:effectExtent l="0" t="0" r="5715" b="8890"/>
            <wp:docPr id="361" name="Picture 361"/>
            <wp:cNvGraphicFramePr/>
            <a:graphic xmlns:a="http://schemas.openxmlformats.org/drawingml/2006/main">
              <a:graphicData uri="http://schemas.openxmlformats.org/drawingml/2006/picture">
                <pic:pic xmlns:pic="http://schemas.openxmlformats.org/drawingml/2006/picture">
                  <pic:nvPicPr>
                    <pic:cNvPr id="361" name="Picture 361"/>
                    <pic:cNvPicPr/>
                  </pic:nvPicPr>
                  <pic:blipFill>
                    <a:blip r:embed="rId347"/>
                    <a:stretch>
                      <a:fillRect/>
                    </a:stretch>
                  </pic:blipFill>
                  <pic:spPr>
                    <a:xfrm>
                      <a:off x="0" y="0"/>
                      <a:ext cx="4661535" cy="1877060"/>
                    </a:xfrm>
                    <a:prstGeom prst="rect">
                      <a:avLst/>
                    </a:prstGeom>
                  </pic:spPr>
                </pic:pic>
              </a:graphicData>
            </a:graphic>
          </wp:inline>
        </w:drawing>
      </w:r>
    </w:p>
    <w:p w14:paraId="4CAB23E9" w14:textId="77777777" w:rsidR="003722E4" w:rsidRDefault="003722E4" w:rsidP="003722E4"/>
    <w:p w14:paraId="39C09153" w14:textId="77777777" w:rsidR="006E04D1" w:rsidRDefault="006E04D1" w:rsidP="006E04D1">
      <w:bookmarkStart w:id="3747" w:name="_Toc415735543"/>
      <w:bookmarkStart w:id="3748" w:name="_Toc415814124"/>
      <w:bookmarkStart w:id="3749" w:name="_Toc416343859"/>
      <w:bookmarkStart w:id="3750" w:name="_Toc416863129"/>
      <w:bookmarkStart w:id="3751" w:name="_Toc417314735"/>
      <w:bookmarkStart w:id="3752" w:name="_Toc417323752"/>
      <w:bookmarkStart w:id="3753" w:name="_Toc417326841"/>
      <w:bookmarkStart w:id="3754" w:name="_Toc417330389"/>
      <w:bookmarkStart w:id="3755" w:name="_Toc417394995"/>
      <w:bookmarkStart w:id="3756" w:name="_Toc417399212"/>
      <w:bookmarkStart w:id="3757" w:name="_Toc417399371"/>
      <w:bookmarkStart w:id="3758" w:name="_Toc417400418"/>
      <w:bookmarkStart w:id="3759" w:name="_Toc417401266"/>
      <w:bookmarkStart w:id="3760" w:name="_Toc417419579"/>
      <w:bookmarkStart w:id="3761" w:name="_Toc417457351"/>
      <w:bookmarkStart w:id="3762" w:name="_Toc417481929"/>
      <w:bookmarkStart w:id="3763" w:name="_Toc417482187"/>
      <w:bookmarkStart w:id="3764" w:name="_Toc417499906"/>
      <w:bookmarkStart w:id="3765" w:name="_Toc417502728"/>
      <w:bookmarkStart w:id="3766" w:name="_Toc417548305"/>
      <w:bookmarkStart w:id="3767" w:name="_Toc417594537"/>
      <w:bookmarkStart w:id="3768" w:name="_Toc417934638"/>
      <w:bookmarkStart w:id="3769" w:name="_Toc417935977"/>
      <w:bookmarkStart w:id="3770" w:name="_Toc417936439"/>
      <w:bookmarkStart w:id="3771" w:name="_Toc417946891"/>
      <w:bookmarkStart w:id="3772" w:name="_Toc417947308"/>
      <w:bookmarkStart w:id="3773" w:name="_Toc417982501"/>
      <w:bookmarkStart w:id="3774" w:name="_Toc417985926"/>
      <w:bookmarkStart w:id="3775" w:name="_Toc418000647"/>
      <w:bookmarkStart w:id="3776" w:name="_Toc418003790"/>
      <w:bookmarkStart w:id="3777" w:name="_Toc418011995"/>
      <w:bookmarkStart w:id="3778" w:name="_Toc418030013"/>
      <w:bookmarkStart w:id="3779" w:name="_Toc418036925"/>
      <w:bookmarkStart w:id="3780" w:name="_Toc418061401"/>
      <w:bookmarkStart w:id="3781" w:name="_Toc418081303"/>
      <w:bookmarkStart w:id="3782" w:name="_Toc418083332"/>
      <w:bookmarkStart w:id="3783" w:name="_Toc418096099"/>
      <w:r>
        <w:t>The index schemas are expressed in JavaScript Object Notation (JSON). Essentially the index contains a list of fields and associated attributes. These attributes are:</w:t>
      </w:r>
    </w:p>
    <w:p w14:paraId="2B93E024" w14:textId="77777777" w:rsidR="006E04D1" w:rsidRPr="00C31C3A" w:rsidRDefault="006E04D1" w:rsidP="005729D2">
      <w:pPr>
        <w:pStyle w:val="ListParagraph"/>
        <w:numPr>
          <w:ilvl w:val="0"/>
          <w:numId w:val="146"/>
        </w:numPr>
        <w:spacing w:before="0" w:after="244" w:line="268" w:lineRule="auto"/>
        <w:ind w:right="46"/>
        <w:rPr>
          <w:rFonts w:ascii="Calibri" w:eastAsia="Calibri" w:hAnsi="Calibri"/>
        </w:rPr>
      </w:pPr>
      <w:r w:rsidRPr="00AC6CC7">
        <w:rPr>
          <w:b/>
        </w:rPr>
        <w:t>Name</w:t>
      </w:r>
      <w:r>
        <w:t xml:space="preserve">: Describes the data this field contains. </w:t>
      </w:r>
    </w:p>
    <w:p w14:paraId="630A8763" w14:textId="77777777" w:rsidR="006E04D1" w:rsidRDefault="006E04D1" w:rsidP="005729D2">
      <w:pPr>
        <w:pStyle w:val="ListParagraph"/>
        <w:numPr>
          <w:ilvl w:val="0"/>
          <w:numId w:val="146"/>
        </w:numPr>
        <w:spacing w:before="0" w:after="230" w:line="256" w:lineRule="auto"/>
        <w:ind w:right="46"/>
      </w:pPr>
      <w:r w:rsidRPr="00AC6CC7">
        <w:rPr>
          <w:b/>
        </w:rPr>
        <w:t>Type</w:t>
      </w:r>
      <w:r>
        <w:t xml:space="preserve">: Indicates the type of data in this field. Some of the options are String, Int32, Double, Boolean. </w:t>
      </w:r>
    </w:p>
    <w:p w14:paraId="25F8D7A7" w14:textId="77777777" w:rsidR="006E04D1" w:rsidRDefault="006E04D1" w:rsidP="005729D2">
      <w:pPr>
        <w:pStyle w:val="ListParagraph"/>
        <w:numPr>
          <w:ilvl w:val="0"/>
          <w:numId w:val="146"/>
        </w:numPr>
        <w:spacing w:before="0" w:after="244" w:line="268" w:lineRule="auto"/>
        <w:ind w:right="46"/>
      </w:pPr>
      <w:r w:rsidRPr="00AC6CC7">
        <w:rPr>
          <w:b/>
        </w:rPr>
        <w:t>Searchable</w:t>
      </w:r>
      <w:r>
        <w:t xml:space="preserve">: Determines whether a user’s search request can access this field. </w:t>
      </w:r>
    </w:p>
    <w:p w14:paraId="5675F0B7" w14:textId="77777777" w:rsidR="006E04D1" w:rsidRDefault="006E04D1" w:rsidP="005729D2">
      <w:pPr>
        <w:pStyle w:val="ListParagraph"/>
        <w:numPr>
          <w:ilvl w:val="0"/>
          <w:numId w:val="146"/>
        </w:numPr>
        <w:spacing w:before="0" w:after="216" w:line="268" w:lineRule="auto"/>
        <w:ind w:right="46"/>
      </w:pPr>
      <w:r w:rsidRPr="00AC6CC7">
        <w:rPr>
          <w:b/>
        </w:rPr>
        <w:t>Suggestions</w:t>
      </w:r>
      <w:r>
        <w:t xml:space="preserve">: Determines whether Azure Search can provide suggestions for this field. If this is set, an application can call Azure Search regularly while the user is typing in the Search box to get suggestions. These suggestions are added to the index by the people who own that index—they’re not created automatically by the search service. </w:t>
      </w:r>
    </w:p>
    <w:p w14:paraId="05A08E86" w14:textId="77777777" w:rsidR="006E04D1" w:rsidRDefault="006E04D1" w:rsidP="005729D2">
      <w:pPr>
        <w:pStyle w:val="ListParagraph"/>
        <w:numPr>
          <w:ilvl w:val="0"/>
          <w:numId w:val="146"/>
        </w:numPr>
        <w:spacing w:before="0" w:after="221" w:line="268" w:lineRule="auto"/>
        <w:ind w:right="46"/>
      </w:pPr>
      <w:r w:rsidRPr="00AC6CC7">
        <w:rPr>
          <w:b/>
        </w:rPr>
        <w:t>Sortable</w:t>
      </w:r>
      <w:r>
        <w:t xml:space="preserve">: Indicates that search results can be sorted by this field. Some fields, such as a string containing a paragraph of text, might not allow this because sorting on a paragraph probably wouldn’t make much sense. </w:t>
      </w:r>
    </w:p>
    <w:p w14:paraId="7B886FAF" w14:textId="77777777" w:rsidR="006E04D1" w:rsidRDefault="006E04D1" w:rsidP="005729D2">
      <w:pPr>
        <w:pStyle w:val="ListParagraph"/>
        <w:numPr>
          <w:ilvl w:val="0"/>
          <w:numId w:val="146"/>
        </w:numPr>
        <w:spacing w:before="0" w:after="220" w:line="268" w:lineRule="auto"/>
        <w:ind w:right="46"/>
      </w:pPr>
      <w:r w:rsidRPr="00AC6CC7">
        <w:rPr>
          <w:b/>
        </w:rPr>
        <w:t>Retrievable</w:t>
      </w:r>
      <w:r>
        <w:t xml:space="preserve">: Indicates whether this field can be returned in the search results. </w:t>
      </w:r>
    </w:p>
    <w:p w14:paraId="3C3197F1" w14:textId="77777777" w:rsidR="006E04D1" w:rsidRDefault="006E04D1" w:rsidP="005729D2">
      <w:pPr>
        <w:pStyle w:val="ListParagraph"/>
        <w:numPr>
          <w:ilvl w:val="0"/>
          <w:numId w:val="146"/>
        </w:numPr>
        <w:spacing w:before="0" w:after="217" w:line="268" w:lineRule="auto"/>
        <w:ind w:right="46"/>
      </w:pPr>
      <w:r w:rsidRPr="00430C6F">
        <w:rPr>
          <w:b/>
        </w:rPr>
        <w:t>Filterable</w:t>
      </w:r>
      <w:r>
        <w:t xml:space="preserve">: Indicates that this field can be used as a filter. For example, if a user wants to search for “high heels,” the field that contains these search terms must be marked as filterable. This lets Azure Search return only the rows in the index that contain “high heels” in that field. </w:t>
      </w:r>
    </w:p>
    <w:p w14:paraId="6E42DA10" w14:textId="49C6EAFD" w:rsidR="003722E4" w:rsidRDefault="006E04D1" w:rsidP="005729D2">
      <w:pPr>
        <w:pStyle w:val="ListParagraph"/>
        <w:numPr>
          <w:ilvl w:val="0"/>
          <w:numId w:val="146"/>
        </w:numPr>
        <w:spacing w:before="0" w:after="217" w:line="268" w:lineRule="auto"/>
        <w:ind w:right="46"/>
      </w:pPr>
      <w:r w:rsidRPr="00AC6CC7">
        <w:rPr>
          <w:b/>
        </w:rPr>
        <w:t>Facetable</w:t>
      </w:r>
      <w:r>
        <w:t>: Indicates whether a search request can return the number of items in the index with a specific characteristic. An application can also request the number of items within a specific range.</w:t>
      </w:r>
    </w:p>
    <w:p w14:paraId="15B49399" w14:textId="77777777" w:rsidR="003722E4" w:rsidRDefault="003722E4" w:rsidP="003722E4"/>
    <w:tbl>
      <w:tblPr>
        <w:tblStyle w:val="PlainTable11"/>
        <w:tblW w:w="0" w:type="auto"/>
        <w:tblLook w:val="04A0" w:firstRow="1" w:lastRow="0" w:firstColumn="1" w:lastColumn="0" w:noHBand="0" w:noVBand="1"/>
      </w:tblPr>
      <w:tblGrid>
        <w:gridCol w:w="3412"/>
        <w:gridCol w:w="5938"/>
      </w:tblGrid>
      <w:tr w:rsidR="003722E4" w14:paraId="015B2FFE" w14:textId="77777777" w:rsidTr="0013185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3CDCE573" w14:textId="77777777" w:rsidR="003722E4" w:rsidRPr="00F47607" w:rsidRDefault="003722E4" w:rsidP="002F63EE">
            <w:pPr>
              <w:spacing w:line="240" w:lineRule="auto"/>
              <w:rPr>
                <w:color w:val="FFFFFF"/>
              </w:rPr>
            </w:pPr>
            <w:r>
              <w:rPr>
                <w:color w:val="FFFFFF"/>
              </w:rPr>
              <w:t>Feature References</w:t>
            </w:r>
          </w:p>
        </w:tc>
      </w:tr>
      <w:tr w:rsidR="003722E4" w:rsidRPr="00131853" w14:paraId="64547AF3"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224CD421" w14:textId="69B5338F" w:rsidR="003722E4" w:rsidRPr="00131853" w:rsidRDefault="003722E4" w:rsidP="002F63EE">
            <w:pPr>
              <w:spacing w:line="240" w:lineRule="auto"/>
              <w:rPr>
                <w:sz w:val="20"/>
                <w:szCs w:val="20"/>
              </w:rPr>
            </w:pPr>
            <w:r w:rsidRPr="00131853">
              <w:rPr>
                <w:sz w:val="20"/>
                <w:szCs w:val="20"/>
              </w:rPr>
              <w:t>Azure Search Overview</w:t>
            </w:r>
          </w:p>
        </w:tc>
        <w:tc>
          <w:tcPr>
            <w:tcW w:w="5940" w:type="dxa"/>
          </w:tcPr>
          <w:p w14:paraId="7872B9F2" w14:textId="0EDFAFEB" w:rsidR="003722E4" w:rsidRPr="00131853" w:rsidRDefault="00872E47" w:rsidP="002F63EE">
            <w:pPr>
              <w:cnfStyle w:val="000000100000" w:firstRow="0" w:lastRow="0" w:firstColumn="0" w:lastColumn="0" w:oddVBand="0" w:evenVBand="0" w:oddHBand="1" w:evenHBand="0" w:firstRowFirstColumn="0" w:firstRowLastColumn="0" w:lastRowFirstColumn="0" w:lastRowLastColumn="0"/>
              <w:rPr>
                <w:sz w:val="20"/>
                <w:szCs w:val="20"/>
              </w:rPr>
            </w:pPr>
            <w:hyperlink r:id="rId348" w:history="1">
              <w:r w:rsidR="003722E4" w:rsidRPr="00131853">
                <w:rPr>
                  <w:rStyle w:val="Hyperlink"/>
                  <w:sz w:val="20"/>
                  <w:szCs w:val="20"/>
                </w:rPr>
                <w:t>https://msdn.microsoft.com/library/azure/dn798933.aspx</w:t>
              </w:r>
            </w:hyperlink>
          </w:p>
        </w:tc>
      </w:tr>
      <w:tr w:rsidR="003722E4" w14:paraId="4E1DEB19"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17FDB271" w14:textId="77777777" w:rsidR="003722E4" w:rsidRPr="00F47607" w:rsidRDefault="003722E4" w:rsidP="002F63EE">
            <w:pPr>
              <w:spacing w:line="240" w:lineRule="auto"/>
              <w:rPr>
                <w:sz w:val="20"/>
              </w:rPr>
            </w:pPr>
            <w:r w:rsidRPr="001E5AC2">
              <w:rPr>
                <w:sz w:val="20"/>
                <w:szCs w:val="20"/>
              </w:rPr>
              <w:t>Getting started</w:t>
            </w:r>
          </w:p>
        </w:tc>
        <w:tc>
          <w:tcPr>
            <w:tcW w:w="5940" w:type="dxa"/>
          </w:tcPr>
          <w:p w14:paraId="7AB35DAF" w14:textId="178FA04E" w:rsidR="003722E4" w:rsidRPr="001E5AC2" w:rsidRDefault="00872E47" w:rsidP="002F63EE">
            <w:pPr>
              <w:cnfStyle w:val="000000000000" w:firstRow="0" w:lastRow="0" w:firstColumn="0" w:lastColumn="0" w:oddVBand="0" w:evenVBand="0" w:oddHBand="0" w:evenHBand="0" w:firstRowFirstColumn="0" w:firstRowLastColumn="0" w:lastRowFirstColumn="0" w:lastRowLastColumn="0"/>
              <w:rPr>
                <w:sz w:val="20"/>
                <w:szCs w:val="20"/>
              </w:rPr>
            </w:pPr>
            <w:hyperlink r:id="rId349" w:history="1">
              <w:r w:rsidR="003722E4" w:rsidRPr="001E5AC2">
                <w:rPr>
                  <w:rStyle w:val="Hyperlink"/>
                  <w:sz w:val="20"/>
                  <w:szCs w:val="20"/>
                </w:rPr>
                <w:t>http://azure.microsoft.com/en-us/documentation/articles/fundamentals-azure-search-chappell/</w:t>
              </w:r>
            </w:hyperlink>
          </w:p>
        </w:tc>
      </w:tr>
      <w:tr w:rsidR="003722E4" w14:paraId="49072B74"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6CD106E8" w14:textId="5D143C99" w:rsidR="003722E4" w:rsidRPr="001E5AC2" w:rsidRDefault="003722E4" w:rsidP="002F63EE">
            <w:pPr>
              <w:spacing w:line="240" w:lineRule="auto"/>
              <w:rPr>
                <w:sz w:val="20"/>
                <w:szCs w:val="20"/>
              </w:rPr>
            </w:pPr>
            <w:r w:rsidRPr="001E5AC2">
              <w:rPr>
                <w:sz w:val="20"/>
                <w:szCs w:val="20"/>
              </w:rPr>
              <w:t>Azure Search API</w:t>
            </w:r>
          </w:p>
        </w:tc>
        <w:tc>
          <w:tcPr>
            <w:tcW w:w="5940" w:type="dxa"/>
          </w:tcPr>
          <w:p w14:paraId="2A02D08B" w14:textId="0290E243" w:rsidR="003722E4" w:rsidRPr="001E5AC2" w:rsidRDefault="00872E47" w:rsidP="002F63EE">
            <w:pPr>
              <w:cnfStyle w:val="000000100000" w:firstRow="0" w:lastRow="0" w:firstColumn="0" w:lastColumn="0" w:oddVBand="0" w:evenVBand="0" w:oddHBand="1" w:evenHBand="0" w:firstRowFirstColumn="0" w:firstRowLastColumn="0" w:lastRowFirstColumn="0" w:lastRowLastColumn="0"/>
              <w:rPr>
                <w:sz w:val="20"/>
                <w:szCs w:val="20"/>
              </w:rPr>
            </w:pPr>
            <w:hyperlink r:id="rId350" w:history="1">
              <w:r w:rsidR="003722E4" w:rsidRPr="001E5AC2">
                <w:rPr>
                  <w:rStyle w:val="Hyperlink"/>
                  <w:sz w:val="20"/>
                  <w:szCs w:val="20"/>
                </w:rPr>
                <w:t>https://msdn.microsoft.com/en-us/library/azure/dn798935.aspx</w:t>
              </w:r>
            </w:hyperlink>
          </w:p>
        </w:tc>
      </w:tr>
      <w:tr w:rsidR="003722E4" w14:paraId="15C7B030"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331ADB81" w14:textId="2A224467" w:rsidR="003722E4" w:rsidRPr="001E5AC2" w:rsidRDefault="003722E4" w:rsidP="002F63EE">
            <w:pPr>
              <w:spacing w:line="240" w:lineRule="auto"/>
              <w:rPr>
                <w:sz w:val="20"/>
                <w:szCs w:val="20"/>
              </w:rPr>
            </w:pPr>
            <w:r w:rsidRPr="001E5AC2">
              <w:rPr>
                <w:sz w:val="20"/>
                <w:szCs w:val="20"/>
              </w:rPr>
              <w:t>Creating indexes</w:t>
            </w:r>
          </w:p>
        </w:tc>
        <w:tc>
          <w:tcPr>
            <w:tcW w:w="5940" w:type="dxa"/>
          </w:tcPr>
          <w:p w14:paraId="2863BFF4" w14:textId="438ECE57" w:rsidR="003722E4" w:rsidRPr="001E5AC2" w:rsidRDefault="00872E47" w:rsidP="002F63EE">
            <w:pPr>
              <w:cnfStyle w:val="000000000000" w:firstRow="0" w:lastRow="0" w:firstColumn="0" w:lastColumn="0" w:oddVBand="0" w:evenVBand="0" w:oddHBand="0" w:evenHBand="0" w:firstRowFirstColumn="0" w:firstRowLastColumn="0" w:lastRowFirstColumn="0" w:lastRowLastColumn="0"/>
              <w:rPr>
                <w:sz w:val="20"/>
                <w:szCs w:val="20"/>
              </w:rPr>
            </w:pPr>
            <w:hyperlink r:id="rId351" w:history="1">
              <w:r w:rsidR="003722E4" w:rsidRPr="001E5AC2">
                <w:rPr>
                  <w:rStyle w:val="Hyperlink"/>
                  <w:sz w:val="20"/>
                  <w:szCs w:val="20"/>
                </w:rPr>
                <w:t>https://msdn.microsoft.com/en-us/library/azure/dn798941.aspx</w:t>
              </w:r>
            </w:hyperlink>
          </w:p>
        </w:tc>
      </w:tr>
    </w:tbl>
    <w:p w14:paraId="28BECBEC" w14:textId="77777777" w:rsidR="003722E4" w:rsidRDefault="003722E4" w:rsidP="003722E4"/>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A36561" w14:paraId="5504758A" w14:textId="77777777" w:rsidTr="00EC1B06">
        <w:trPr>
          <w:trHeight w:val="423"/>
        </w:trPr>
        <w:tc>
          <w:tcPr>
            <w:tcW w:w="666" w:type="dxa"/>
          </w:tcPr>
          <w:p w14:paraId="308125B1" w14:textId="77777777" w:rsidR="00A36561" w:rsidRDefault="00A36561"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13C213E7" wp14:editId="17825039">
                      <wp:extent cx="200025" cy="180975"/>
                      <wp:effectExtent l="57150" t="19050" r="28575" b="104775"/>
                      <wp:docPr id="874593614" name="Octagon 874593614"/>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2FD7DFC" id="Octagon 874593614"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jKaeAIAAFoFAAAOAAAAZHJzL2Uyb0RvYy54bWysVEtrGzEQvhf6H4TuzXodOw+TdTAOKYWQ&#10;mCQlZ1kr2QJJo0qy1+6v70i7Xps0ECi9aGd23t88bm53RpOt8EGBrWh5NqBEWA61squK/ny9/3ZF&#10;SYjM1kyDFRXdi0Bvp1+/3DRuIoawBl0LT9CJDZPGVXQdo5sUReBrYVg4AycsCiV4wyKyflXUnjXo&#10;3ehiOBhcFA342nngIgT8e9cK6TT7l1Lw+CRlEJHoimJuMb8+v8v0FtMbNll55taKd2mwf8jCMGUx&#10;aO/qjkVGNl795coo7iGAjGccTAFSKi5yDVhNOXhXzcuaOZFrQXCC62EK/88tf9wuPFF1Ra8uR+Pr&#10;84tyRIllBlv1xCNbgSVHAYLVuDBBmxe38B0XkEyV76Q36Ys1kV0GeN8DLHaRcPyJHRsMx5RwFJVX&#10;g+vLcWpAcTR2PsTvAgxJREWhTSEjy7YPIbbaB60ULoBW9b3SOjN+tZxrT7YM2z2fY7TcYQxwolak&#10;GtqsMxX3WiRjbZ+FRCgwzzJHzEMoen+Mc2HjsMs4ayczibF7w/PPDTv9ZCrygPbGw8+Ne4scGWzs&#10;jY2y4D9yoGPZpSxbfQT8pO5ELqHe4xR4aNcjOH6vEP8HFuKCedwH3Bzc8fiEj9TQYGM6ipI1+N8f&#10;/U/6OKYopaTB/apo+LVhXlCif1gc4OtyNEoLmZnR+HKIjD+VLE8ldmPmgD0t8Zo4nsmkH/WBlB7M&#10;G56CWYqKImY5xq4oj/7AzGO793hMuJjNshouoWPxwb44fuh6Gq7X3RvzrhvCiNP7CIddZJN3g9jq&#10;pn5YmG0iSJWn9IhrhzcucB717tikC3HKZ63jSZz+AQ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JhOMpp4AgAAWg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658FB44A" w14:textId="77777777" w:rsidR="00A36561" w:rsidRDefault="00A36561" w:rsidP="00EC1B06">
            <w:pPr>
              <w:rPr>
                <w:lang w:eastAsia="en-US"/>
              </w:rPr>
            </w:pPr>
            <w:r w:rsidRPr="00192064">
              <w:rPr>
                <w:b/>
                <w:lang w:eastAsia="en-US"/>
              </w:rPr>
              <w:t>Mandatory</w:t>
            </w:r>
            <w:r>
              <w:rPr>
                <w:lang w:eastAsia="en-US"/>
              </w:rPr>
              <w:t>: Construct and update indexes for Azure Search consumption via back-end services. PaaS-based worker roles work well for these types of jobs.</w:t>
            </w:r>
          </w:p>
        </w:tc>
      </w:tr>
      <w:tr w:rsidR="00A36561" w14:paraId="067FA407" w14:textId="77777777" w:rsidTr="00EC1B06">
        <w:trPr>
          <w:trHeight w:val="423"/>
        </w:trPr>
        <w:tc>
          <w:tcPr>
            <w:tcW w:w="666" w:type="dxa"/>
          </w:tcPr>
          <w:p w14:paraId="271E163C" w14:textId="77777777" w:rsidR="00A36561" w:rsidRDefault="00A36561"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790336" behindDoc="0" locked="0" layoutInCell="1" allowOverlap="1" wp14:anchorId="7D4C633C" wp14:editId="7687EE67">
                      <wp:simplePos x="0" y="0"/>
                      <wp:positionH relativeFrom="column">
                        <wp:posOffset>66675</wp:posOffset>
                      </wp:positionH>
                      <wp:positionV relativeFrom="paragraph">
                        <wp:posOffset>90170</wp:posOffset>
                      </wp:positionV>
                      <wp:extent cx="209550" cy="180975"/>
                      <wp:effectExtent l="57150" t="19050" r="57150" b="104775"/>
                      <wp:wrapNone/>
                      <wp:docPr id="32" name="Isosceles Tri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ABA9627" id="Isosceles Triangle 32" o:spid="_x0000_s1026" type="#_x0000_t5" style="position:absolute;margin-left:5.25pt;margin-top:7.1pt;width:16.5pt;height:14.2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Hf5hQIAAHEFAAAOAAAAZHJzL2Uyb0RvYy54bWysVFtP2zAUfp+0/2D5fSQplEtEiipQJ6QK&#10;0GDi2XXs1prj49lu0+7X79i5wBgS0rQ8WHbOd+7fOZdX+0aTnXBegalocZRTIgyHWpl1Rb8/Lb6c&#10;U+IDMzXTYERFD8LTq9nnT5etLcUENqBr4QgaMb5sbUU3IdgyyzzfiIb5I7DCoFCCa1jAp1tntWMt&#10;Wm90Nsnz06wFV1sHXHiPf286IZ0l+1IKHu6l9CIQXVGMLaTTpXMVz2x2ycq1Y3ajeB8G+4coGqYM&#10;Oh1N3bDAyNapv0w1ijvwIMMRhyYDKRUXKQfMpsjfZPO4YVakXLA43o5l8v/PLL/bPTii6ooeTygx&#10;rMEe3XrwXGjhyZNTzKy1ICjESrXWl6jwaB9czNXbJfAfHgXZH5L48D1mL10TsZgp2aeyH8ayi30g&#10;HH9O8ovpFJvDUVSc5xdn0+gsY+WgbJ0PXwU0JF4qGvqoUsHZbulDBx9gKTbQql4ordPDrVfX2pEd&#10;QxYs8MtT49GDf4GlHLqwUwLhoEVU1uabkFghDLRIHhM3xWiPcS5MOO1DTuioJtH3qHj8sWKPj6oi&#10;8XZUnnysPGokz2DCqNwoA+49AzoUfciyw/dd9F3esQQrqA9IDgfd1HjLFwobsGQ+PDCHY4I9w9EP&#10;93hIDW1Fob9RsgH3673/EY/sRSklLY5dRf3PLXOCEn1rkNcXxclJnNP0OJmeTfDhXktWryVm21wD&#10;9rTAJWN5ukZ80MNVOmiecUPMo1cUMcPRd0V5cMPjOnTrAHcMF/N5guFsWhaW5tHyoeuRXE/7Z+bs&#10;wEKk7x0MI8rKN0TssLEfBubbAFIllr7Uta83znXier+D4uJ4/U6ol005+w0AAP//AwBQSwMEFAAG&#10;AAgAAAAhADU8QjDZAAAABwEAAA8AAABkcnMvZG93bnJldi54bWxMjs1OwzAQhO9IvIO1SFxQ65CG&#10;tgpxKoSSI6ooPIATb36EvY5itw1vz3KC02g0o5mvOCzOigvOYfSk4HGdgEBqvRmpV/D5Ua/2IELU&#10;ZLT1hAq+McChvL0pdG78ld7xcoq94BEKuVYwxDjlUoZ2QKfD2k9InHV+djqynXtpZn3lcWdlmiRb&#10;6fRI/DDoCV8HbL9OZ6fAN8ux29S7/UPtJvvWVVXmjpVS93fLyzOIiEv8K8MvPqNDyUyNP5MJwrJP&#10;nrjJmqUgOM827BvWdAeyLOR//vIHAAD//wMAUEsBAi0AFAAGAAgAAAAhALaDOJL+AAAA4QEAABMA&#10;AAAAAAAAAAAAAAAAAAAAAFtDb250ZW50X1R5cGVzXS54bWxQSwECLQAUAAYACAAAACEAOP0h/9YA&#10;AACUAQAACwAAAAAAAAAAAAAAAAAvAQAAX3JlbHMvLnJlbHNQSwECLQAUAAYACAAAACEASUx3+YUC&#10;AABxBQAADgAAAAAAAAAAAAAAAAAuAgAAZHJzL2Uyb0RvYy54bWxQSwECLQAUAAYACAAAACEANTxC&#10;MNkAAAAHAQAADwAAAAAAAAAAAAAAAADfBAAAZHJzL2Rvd25yZXYueG1sUEsFBgAAAAAEAAQA8wAA&#10;AOUFAAAAAA==&#10;" fillcolor="yellow" strokecolor="#70ad47 [3209]" strokeweight=".5pt">
                      <v:path arrowok="t"/>
                    </v:shape>
                  </w:pict>
                </mc:Fallback>
              </mc:AlternateContent>
            </w:r>
          </w:p>
        </w:tc>
        <w:tc>
          <w:tcPr>
            <w:tcW w:w="8604" w:type="dxa"/>
          </w:tcPr>
          <w:p w14:paraId="4847D33D" w14:textId="77777777" w:rsidR="00A36561" w:rsidRDefault="00A36561" w:rsidP="00EC1B06">
            <w:pPr>
              <w:rPr>
                <w:lang w:eastAsia="en-US"/>
              </w:rPr>
            </w:pPr>
            <w:r>
              <w:rPr>
                <w:rFonts w:eastAsiaTheme="minorHAnsi"/>
                <w:b/>
                <w:lang w:eastAsia="en-US"/>
              </w:rPr>
              <w:t xml:space="preserve">Recommended: </w:t>
            </w:r>
            <w:r>
              <w:rPr>
                <w:rFonts w:eastAsiaTheme="minorHAnsi"/>
                <w:lang w:eastAsia="en-US"/>
              </w:rPr>
              <w:t>Add additional attributes to the index to support advanced features, such as automatic suggestions.</w:t>
            </w:r>
          </w:p>
        </w:tc>
      </w:tr>
      <w:tr w:rsidR="00A36561" w14:paraId="03B361F8" w14:textId="77777777" w:rsidTr="00EC1B06">
        <w:trPr>
          <w:trHeight w:val="423"/>
        </w:trPr>
        <w:tc>
          <w:tcPr>
            <w:tcW w:w="666" w:type="dxa"/>
          </w:tcPr>
          <w:p w14:paraId="69C4645A" w14:textId="77777777" w:rsidR="00A36561" w:rsidRDefault="00A36561" w:rsidP="00EC1B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795456" behindDoc="0" locked="0" layoutInCell="1" allowOverlap="1" wp14:anchorId="57D1DE20" wp14:editId="29436371">
                      <wp:simplePos x="0" y="0"/>
                      <wp:positionH relativeFrom="column">
                        <wp:posOffset>66675</wp:posOffset>
                      </wp:positionH>
                      <wp:positionV relativeFrom="paragraph">
                        <wp:posOffset>90170</wp:posOffset>
                      </wp:positionV>
                      <wp:extent cx="180975" cy="180975"/>
                      <wp:effectExtent l="57150" t="19050" r="9525" b="104775"/>
                      <wp:wrapNone/>
                      <wp:docPr id="36" name="Oval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14732DEA" id="Oval 36" o:spid="_x0000_s1026" style="position:absolute;margin-left:5.25pt;margin-top:7.1pt;width:14.25pt;height:14.2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KtLewIAAGIFAAAOAAAAZHJzL2Uyb0RvYy54bWysVNtuGyEQfa/Uf0C8N7u2c11lHbmJUlWy&#10;kqhJlWfMgo0KDAXstfv1Hdj1xm0iRar6ghjmzO0wM5dXW6PJRvigwNZ0dFRSIiyHRtllTb8/3X46&#10;pyREZhumwYqa7kSgV9OPHy5bV4kxrEA3whN0YkPVupquYnRVUQS+EoaFI3DColKCNyyi6JdF41mL&#10;3o0uxmV5WrTgG+eBixDw9aZT0mn2L6Xg8V7KICLRNcXcYj59PhfpLKaXrFp65laK92mwf8jCMGUx&#10;6ODqhkVG1l69cmUU9xBAxiMOpgApFRe5BqxmVP5VzeOKOZFrQXKCG2gK/88tv9s8eKKamk5OKbHM&#10;4B/db5gmKCI3rQsVQh7dg0/VBTcH/iOgovhDk4TQY7bSm4TF2sg2E70biBbbSDg+js7Li7MTSjiq&#10;+nvyyaq9sfMhfhFgSLrUVGitXEhUsIpt5iF26D0qpwZaNbdK6yz45eJae4KFYOzyc3mSfxoDhBdY&#10;LqHLOucfd1okY22/CYmUpDxzxNyMYvDHOBc2ThI96DCjk5nE2IPh5H3DHp9MRW7UwXj8vvFgkSOD&#10;jYOxURb8Ww50HPUpyw7ff2Lo6k4ULKDZYTd46MYkOH6rkP85C/GBeZwLnCCc9XiPh9TQ1hT6GyUr&#10;8L/eek94bFfUUtLinNU0/FwzLyjRXy028sXo+DgNZhaOT87GKPhDzeJQY9fmGvBPR7hVHM/XhI96&#10;f5UezDOuhFmKiipmOcauKY9+L1zHbv5xqXAxm2UYDqNjcW4fHd//emqup+0z865vwojdewf7mXzV&#10;iB02/YeF2TqCVLlLX3jt+cZBzo3TL520KQ7ljHpZjdPfAAAA//8DAFBLAwQUAAYACAAAACEAwhqf&#10;It4AAAAHAQAADwAAAGRycy9kb3ducmV2LnhtbEyPQUvDQBCF74L/YRnBi9hNYqs2ZlNEEBS9mFbU&#10;2zQ7JsHsbMhu2/jvHU96Gh7v8eZ7xWpyvdrTGDrPBtJZAoq49rbjxsBmfX9+DSpEZIu9ZzLwTQFW&#10;5fFRgbn1B36hfRUbJSUccjTQxjjkWoe6JYdh5gdi8T796DCKHBttRzxIuet1liSX2mHH8qHFge5a&#10;qr+qnTPwUW2e3Tp9cm+P6cOCzt77JdpXY05PptsbUJGm+BeGX3xBh1KYtn7HNqhedLKQpNx5Bkr8&#10;i6VM2xqYZ1egy0L/5y9/AAAA//8DAFBLAQItABQABgAIAAAAIQC2gziS/gAAAOEBAAATAAAAAAAA&#10;AAAAAAAAAAAAAABbQ29udGVudF9UeXBlc10ueG1sUEsBAi0AFAAGAAgAAAAhADj9If/WAAAAlAEA&#10;AAsAAAAAAAAAAAAAAAAALwEAAF9yZWxzLy5yZWxzUEsBAi0AFAAGAAgAAAAhAJugq0t7AgAAYgUA&#10;AA4AAAAAAAAAAAAAAAAALgIAAGRycy9lMm9Eb2MueG1sUEsBAi0AFAAGAAgAAAAhAMIanyLeAAAA&#10;BwEAAA8AAAAAAAAAAAAAAAAA1QQAAGRycy9kb3ducmV2LnhtbFBLBQYAAAAABAAEAPMAAADgBQAA&#10;AAA=&#10;" fillcolor="#00b050" strokecolor="#a5a5a5 [3206]" strokeweight=".5pt">
                      <v:stroke joinstyle="miter"/>
                      <v:path arrowok="t"/>
                    </v:oval>
                  </w:pict>
                </mc:Fallback>
              </mc:AlternateContent>
            </w:r>
          </w:p>
        </w:tc>
        <w:tc>
          <w:tcPr>
            <w:tcW w:w="8604" w:type="dxa"/>
          </w:tcPr>
          <w:p w14:paraId="2E4AB94C" w14:textId="77777777" w:rsidR="00A36561" w:rsidRDefault="00A36561" w:rsidP="00EC1B06">
            <w:pPr>
              <w:rPr>
                <w:lang w:eastAsia="en-US"/>
              </w:rPr>
            </w:pPr>
            <w:r>
              <w:rPr>
                <w:rFonts w:eastAsiaTheme="minorHAnsi"/>
                <w:b/>
                <w:lang w:eastAsia="en-US"/>
              </w:rPr>
              <w:t xml:space="preserve">Optional: </w:t>
            </w:r>
            <w:r>
              <w:rPr>
                <w:rFonts w:eastAsiaTheme="minorHAnsi"/>
                <w:lang w:eastAsia="en-US"/>
              </w:rPr>
              <w:t>Build monitoring data integration to existing monitors to ensure storage or indexes don’t exceed the limits for the service.</w:t>
            </w:r>
          </w:p>
        </w:tc>
      </w:tr>
    </w:tbl>
    <w:p w14:paraId="0B2D5449" w14:textId="6A6CC739" w:rsidR="003722E4" w:rsidRDefault="003722E4" w:rsidP="003722E4"/>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3722E4" w14:paraId="5CCA4800" w14:textId="77777777" w:rsidTr="002F63EE">
        <w:tc>
          <w:tcPr>
            <w:tcW w:w="9360" w:type="dxa"/>
            <w:shd w:val="clear" w:color="auto" w:fill="008AC8"/>
          </w:tcPr>
          <w:p w14:paraId="65071C01" w14:textId="77777777" w:rsidR="003722E4" w:rsidRPr="00F47607" w:rsidRDefault="003722E4" w:rsidP="002F63EE">
            <w:pPr>
              <w:spacing w:line="240" w:lineRule="auto"/>
              <w:rPr>
                <w:color w:val="FFFFFF"/>
              </w:rPr>
            </w:pPr>
            <w:r>
              <w:rPr>
                <w:color w:val="FFFFFF"/>
              </w:rPr>
              <w:t>Design Guidance</w:t>
            </w:r>
          </w:p>
        </w:tc>
      </w:tr>
    </w:tbl>
    <w:p w14:paraId="57390895" w14:textId="0867582A" w:rsidR="003722E4" w:rsidRDefault="00A36561" w:rsidP="009C13D8">
      <w:r>
        <w:t xml:space="preserve">For more information about </w:t>
      </w:r>
      <w:r w:rsidRPr="008123C6">
        <w:t xml:space="preserve">applicable Azure </w:t>
      </w:r>
      <w:r>
        <w:t>d</w:t>
      </w:r>
      <w:r w:rsidRPr="008123C6">
        <w:t xml:space="preserve">esign </w:t>
      </w:r>
      <w:r>
        <w:t>p</w:t>
      </w:r>
      <w:r w:rsidRPr="008123C6">
        <w:t>atterns</w:t>
      </w:r>
      <w:r>
        <w:t xml:space="preserve">, see </w:t>
      </w:r>
      <w:hyperlink r:id="rId352" w:history="1">
        <w:r w:rsidRPr="008123C6">
          <w:rPr>
            <w:rStyle w:val="Hyperlink"/>
            <w:rFonts w:cs="Segoe UI"/>
          </w:rPr>
          <w:t>Azure Search Tier (Azure Architecture Patterns)</w:t>
        </w:r>
      </w:hyperlink>
      <w:r>
        <w:rPr>
          <w:rStyle w:val="Hyperlink"/>
          <w:rFonts w:cs="Segoe UI"/>
        </w:rPr>
        <w:t>.</w:t>
      </w:r>
    </w:p>
    <w:p w14:paraId="6C2F16C3" w14:textId="77777777" w:rsidR="003722E4" w:rsidRDefault="003722E4" w:rsidP="005729D2">
      <w:pPr>
        <w:pStyle w:val="Heading2Numbered"/>
        <w:numPr>
          <w:ilvl w:val="1"/>
          <w:numId w:val="64"/>
        </w:numPr>
      </w:pPr>
      <w:bookmarkStart w:id="3784" w:name="_Toc418156710"/>
      <w:bookmarkStart w:id="3785" w:name="_Toc418167629"/>
      <w:bookmarkStart w:id="3786" w:name="_Toc418185885"/>
      <w:bookmarkStart w:id="3787" w:name="_Toc422941595"/>
      <w:bookmarkStart w:id="3788" w:name="_Toc423116801"/>
      <w:bookmarkStart w:id="3789" w:name="_Toc423117834"/>
      <w:bookmarkStart w:id="3790" w:name="_Toc423117284"/>
      <w:bookmarkStart w:id="3791" w:name="_Toc431288876"/>
      <w:r>
        <w:t>PaaS Considerations</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0D101FD5" w14:textId="7741AB7E" w:rsidR="003722E4" w:rsidRDefault="003722E4" w:rsidP="003722E4">
      <w:r>
        <w:t>As</w:t>
      </w:r>
      <w:r w:rsidR="00A36561">
        <w:t xml:space="preserve"> with IaaS, there are several considerations when deploying solutions within Microsoft Azure, specifically when targeting PaaS models. Deployment considerations include deployment methods, load balancing, resiliency, security, and networking. This section covers these areas at a high level</w:t>
      </w:r>
      <w:r w:rsidR="009C13D8">
        <w:t>.</w:t>
      </w:r>
    </w:p>
    <w:p w14:paraId="3EA1EE4B" w14:textId="7C482CE3" w:rsidR="003722E4" w:rsidRPr="003F7EF0" w:rsidRDefault="003722E4" w:rsidP="005729D2">
      <w:pPr>
        <w:pStyle w:val="Heading3Numbered"/>
        <w:numPr>
          <w:ilvl w:val="2"/>
          <w:numId w:val="64"/>
        </w:numPr>
      </w:pPr>
      <w:bookmarkStart w:id="3792" w:name="_Toc418156711"/>
      <w:bookmarkStart w:id="3793" w:name="_Toc418167630"/>
      <w:bookmarkStart w:id="3794" w:name="_Toc418185886"/>
      <w:bookmarkStart w:id="3795" w:name="_Toc422941596"/>
      <w:bookmarkStart w:id="3796" w:name="_Toc423116802"/>
      <w:bookmarkStart w:id="3797" w:name="_Toc423117835"/>
      <w:bookmarkStart w:id="3798" w:name="_Toc423117285"/>
      <w:bookmarkStart w:id="3799" w:name="_Toc431288877"/>
      <w:r>
        <w:t xml:space="preserve">Deployment </w:t>
      </w:r>
      <w:r w:rsidR="009C13D8">
        <w:t>M</w:t>
      </w:r>
      <w:r>
        <w:t>ethods</w:t>
      </w:r>
      <w:bookmarkEnd w:id="3792"/>
      <w:bookmarkEnd w:id="3793"/>
      <w:bookmarkEnd w:id="3794"/>
      <w:bookmarkEnd w:id="3795"/>
      <w:bookmarkEnd w:id="3796"/>
      <w:bookmarkEnd w:id="3797"/>
      <w:bookmarkEnd w:id="3798"/>
      <w:bookmarkEnd w:id="3799"/>
    </w:p>
    <w:p w14:paraId="399BF6B0" w14:textId="70ACFF23" w:rsidR="00A36561" w:rsidRDefault="003722E4" w:rsidP="00A36561">
      <w:r>
        <w:t>When</w:t>
      </w:r>
      <w:r w:rsidR="00A36561">
        <w:t xml:space="preserve"> running services in PaaS, it’s important to understand and configure the services such that upgrades to the application and upgrades as part of the Azure platform do not result in outages or downtime to the application. </w:t>
      </w:r>
    </w:p>
    <w:p w14:paraId="653F8AC3" w14:textId="2F53935B" w:rsidR="003722E4" w:rsidRDefault="00A36561" w:rsidP="00A36561">
      <w:r>
        <w:t>Models for the application lifecycle vary from simple to complex. Some of the most important tradeoffs are detailed in the following table</w:t>
      </w:r>
      <w:r w:rsidR="003722E4">
        <w:t>:</w:t>
      </w:r>
    </w:p>
    <w:tbl>
      <w:tblPr>
        <w:tblStyle w:val="GridTable4-Accent31"/>
        <w:tblW w:w="9355" w:type="dxa"/>
        <w:tblLayout w:type="fixed"/>
        <w:tblLook w:val="0420" w:firstRow="1" w:lastRow="0" w:firstColumn="0" w:lastColumn="0" w:noHBand="0" w:noVBand="1"/>
      </w:tblPr>
      <w:tblGrid>
        <w:gridCol w:w="2614"/>
        <w:gridCol w:w="6741"/>
      </w:tblGrid>
      <w:tr w:rsidR="003722E4" w14:paraId="618876BE" w14:textId="77777777" w:rsidTr="00A36561">
        <w:trPr>
          <w:cnfStyle w:val="100000000000" w:firstRow="1" w:lastRow="0" w:firstColumn="0" w:lastColumn="0" w:oddVBand="0" w:evenVBand="0" w:oddHBand="0" w:evenHBand="0" w:firstRowFirstColumn="0" w:firstRowLastColumn="0" w:lastRowFirstColumn="0" w:lastRowLastColumn="0"/>
        </w:trPr>
        <w:tc>
          <w:tcPr>
            <w:tcW w:w="2614" w:type="dxa"/>
            <w:shd w:val="clear" w:color="auto" w:fill="808080" w:themeFill="background1" w:themeFillShade="80"/>
            <w:hideMark/>
          </w:tcPr>
          <w:p w14:paraId="51BB3AAC" w14:textId="77777777" w:rsidR="003722E4" w:rsidRPr="007A6DE2" w:rsidRDefault="003722E4" w:rsidP="002F63EE">
            <w:pPr>
              <w:spacing w:line="240" w:lineRule="auto"/>
              <w:rPr>
                <w:rFonts w:eastAsia="Calibri"/>
                <w:color w:val="FFFFFF"/>
                <w:sz w:val="20"/>
                <w:szCs w:val="20"/>
                <w:lang w:eastAsia="en-AU"/>
              </w:rPr>
            </w:pPr>
            <w:r w:rsidRPr="007A6DE2">
              <w:rPr>
                <w:rFonts w:eastAsia="Calibri"/>
                <w:color w:val="FFFFFF"/>
                <w:sz w:val="20"/>
                <w:szCs w:val="20"/>
                <w:lang w:eastAsia="en-AU"/>
              </w:rPr>
              <w:t>Considerations</w:t>
            </w:r>
          </w:p>
        </w:tc>
        <w:tc>
          <w:tcPr>
            <w:tcW w:w="6741" w:type="dxa"/>
            <w:shd w:val="clear" w:color="auto" w:fill="808080" w:themeFill="background1" w:themeFillShade="80"/>
            <w:hideMark/>
          </w:tcPr>
          <w:p w14:paraId="16C6BE8A" w14:textId="77777777" w:rsidR="003722E4" w:rsidRPr="007A6DE2" w:rsidRDefault="003722E4" w:rsidP="002F63EE">
            <w:pPr>
              <w:spacing w:line="240" w:lineRule="auto"/>
              <w:rPr>
                <w:rFonts w:eastAsia="Calibri"/>
                <w:color w:val="FFFFFF"/>
                <w:sz w:val="20"/>
                <w:szCs w:val="20"/>
                <w:lang w:eastAsia="en-AU"/>
              </w:rPr>
            </w:pPr>
            <w:r w:rsidRPr="007A6DE2">
              <w:rPr>
                <w:rFonts w:eastAsia="Calibri"/>
                <w:color w:val="FFFFFF"/>
                <w:sz w:val="20"/>
                <w:szCs w:val="20"/>
                <w:lang w:eastAsia="en-AU"/>
              </w:rPr>
              <w:t>Decision Points</w:t>
            </w:r>
          </w:p>
        </w:tc>
      </w:tr>
      <w:tr w:rsidR="00A36561" w14:paraId="1E946A9C" w14:textId="77777777" w:rsidTr="00A36561">
        <w:trPr>
          <w:cnfStyle w:val="000000100000" w:firstRow="0" w:lastRow="0" w:firstColumn="0" w:lastColumn="0" w:oddVBand="0" w:evenVBand="0" w:oddHBand="1" w:evenHBand="0" w:firstRowFirstColumn="0" w:firstRowLastColumn="0" w:lastRowFirstColumn="0" w:lastRowLastColumn="0"/>
        </w:trPr>
        <w:tc>
          <w:tcPr>
            <w:tcW w:w="2614" w:type="dxa"/>
          </w:tcPr>
          <w:p w14:paraId="4B404338" w14:textId="7CD74798" w:rsidR="00A36561" w:rsidRPr="001E5AC2" w:rsidRDefault="00A36561" w:rsidP="00A36561">
            <w:pPr>
              <w:rPr>
                <w:sz w:val="20"/>
                <w:szCs w:val="20"/>
              </w:rPr>
            </w:pPr>
            <w:r w:rsidRPr="001E5AC2">
              <w:rPr>
                <w:sz w:val="20"/>
                <w:szCs w:val="20"/>
              </w:rPr>
              <w:t>Upgrade domains</w:t>
            </w:r>
          </w:p>
        </w:tc>
        <w:tc>
          <w:tcPr>
            <w:tcW w:w="6741" w:type="dxa"/>
          </w:tcPr>
          <w:p w14:paraId="7B5FA045" w14:textId="6083D1E7" w:rsidR="00A36561" w:rsidRPr="00E40705" w:rsidRDefault="00A36561" w:rsidP="00A36561">
            <w:pPr>
              <w:rPr>
                <w:sz w:val="20"/>
                <w:szCs w:val="20"/>
                <w:lang w:val="en"/>
              </w:rPr>
            </w:pPr>
            <w:r>
              <w:rPr>
                <w:sz w:val="20"/>
                <w:szCs w:val="20"/>
                <w:lang w:val="en"/>
              </w:rPr>
              <w:t xml:space="preserve">This service is deployed to Azure (specifically for PaaS web and worker roles), and it includes the concept of upgrade domains. It’s important to configure the services to use multiple </w:t>
            </w:r>
            <w:r w:rsidR="004F6301">
              <w:rPr>
                <w:sz w:val="20"/>
                <w:szCs w:val="20"/>
                <w:lang w:val="en"/>
              </w:rPr>
              <w:t xml:space="preserve">upgrade domains </w:t>
            </w:r>
            <w:r>
              <w:rPr>
                <w:sz w:val="20"/>
                <w:szCs w:val="20"/>
                <w:lang w:val="en"/>
              </w:rPr>
              <w:t>to avoid unnecessary outages when new deployment or upgrades to the application or service are initiated.</w:t>
            </w:r>
          </w:p>
        </w:tc>
      </w:tr>
      <w:tr w:rsidR="00A36561" w14:paraId="254C5977" w14:textId="77777777" w:rsidTr="00A36561">
        <w:tc>
          <w:tcPr>
            <w:tcW w:w="2614" w:type="dxa"/>
          </w:tcPr>
          <w:p w14:paraId="3ECA99BF" w14:textId="43010A09" w:rsidR="00A36561" w:rsidRPr="001E5AC2" w:rsidRDefault="00A36561" w:rsidP="00A36561">
            <w:pPr>
              <w:rPr>
                <w:sz w:val="20"/>
                <w:szCs w:val="20"/>
              </w:rPr>
            </w:pPr>
            <w:r w:rsidRPr="001E5AC2">
              <w:rPr>
                <w:sz w:val="20"/>
                <w:szCs w:val="20"/>
              </w:rPr>
              <w:t>Deployment slots</w:t>
            </w:r>
          </w:p>
        </w:tc>
        <w:tc>
          <w:tcPr>
            <w:tcW w:w="6741" w:type="dxa"/>
          </w:tcPr>
          <w:p w14:paraId="7D78FB44" w14:textId="62E9EEBA" w:rsidR="00A36561" w:rsidRPr="00E40705" w:rsidRDefault="00A36561" w:rsidP="00A36561">
            <w:pPr>
              <w:rPr>
                <w:sz w:val="20"/>
                <w:szCs w:val="20"/>
                <w:lang w:val="en"/>
              </w:rPr>
            </w:pPr>
            <w:r>
              <w:rPr>
                <w:sz w:val="20"/>
                <w:szCs w:val="20"/>
                <w:lang w:val="en"/>
              </w:rPr>
              <w:t>Deployment slots can be used to test new versions or upgrades without affected the production application. A model for using staging slots before releasing to production can enable better testing to avoid downtime.</w:t>
            </w:r>
          </w:p>
        </w:tc>
      </w:tr>
      <w:tr w:rsidR="00A36561" w14:paraId="7A73D395" w14:textId="77777777" w:rsidTr="00A36561">
        <w:trPr>
          <w:cnfStyle w:val="000000100000" w:firstRow="0" w:lastRow="0" w:firstColumn="0" w:lastColumn="0" w:oddVBand="0" w:evenVBand="0" w:oddHBand="1" w:evenHBand="0" w:firstRowFirstColumn="0" w:firstRowLastColumn="0" w:lastRowFirstColumn="0" w:lastRowLastColumn="0"/>
        </w:trPr>
        <w:tc>
          <w:tcPr>
            <w:tcW w:w="2614" w:type="dxa"/>
          </w:tcPr>
          <w:p w14:paraId="7D10E426" w14:textId="784ED7D1" w:rsidR="00A36561" w:rsidRPr="001E5AC2" w:rsidRDefault="00A36561" w:rsidP="00A36561">
            <w:pPr>
              <w:rPr>
                <w:sz w:val="20"/>
                <w:szCs w:val="20"/>
              </w:rPr>
            </w:pPr>
            <w:r w:rsidRPr="001E5AC2">
              <w:rPr>
                <w:sz w:val="20"/>
                <w:szCs w:val="20"/>
              </w:rPr>
              <w:t>Web Deploy</w:t>
            </w:r>
          </w:p>
        </w:tc>
        <w:tc>
          <w:tcPr>
            <w:tcW w:w="6741" w:type="dxa"/>
          </w:tcPr>
          <w:p w14:paraId="0C0D6F4F" w14:textId="219A8114" w:rsidR="00A36561" w:rsidRPr="00E40705" w:rsidRDefault="00A36561" w:rsidP="00A36561">
            <w:pPr>
              <w:rPr>
                <w:sz w:val="20"/>
                <w:szCs w:val="20"/>
                <w:lang w:val="en"/>
              </w:rPr>
            </w:pPr>
            <w:r>
              <w:rPr>
                <w:sz w:val="20"/>
                <w:szCs w:val="20"/>
                <w:lang w:val="en"/>
              </w:rPr>
              <w:t>Web Deploy is a way to deploy services to cloud services in Azure. Although this is simple, user interaction is typically required with this model. This makes a good option for developer and smaller apps, but larger apps might require more governance and control for the deployments.</w:t>
            </w:r>
          </w:p>
        </w:tc>
      </w:tr>
      <w:tr w:rsidR="00A36561" w14:paraId="01305B45" w14:textId="77777777" w:rsidTr="00A36561">
        <w:tc>
          <w:tcPr>
            <w:tcW w:w="2614" w:type="dxa"/>
          </w:tcPr>
          <w:p w14:paraId="4888E993" w14:textId="7BFCA255" w:rsidR="00A36561" w:rsidRPr="001E5AC2" w:rsidRDefault="00A36561" w:rsidP="00A36561">
            <w:pPr>
              <w:rPr>
                <w:sz w:val="20"/>
                <w:szCs w:val="20"/>
              </w:rPr>
            </w:pPr>
            <w:r w:rsidRPr="001E5AC2">
              <w:rPr>
                <w:sz w:val="20"/>
                <w:szCs w:val="20"/>
              </w:rPr>
              <w:t xml:space="preserve">Continuous </w:t>
            </w:r>
            <w:r>
              <w:rPr>
                <w:sz w:val="20"/>
                <w:szCs w:val="20"/>
              </w:rPr>
              <w:t>i</w:t>
            </w:r>
            <w:r w:rsidRPr="001E5AC2">
              <w:rPr>
                <w:sz w:val="20"/>
                <w:szCs w:val="20"/>
              </w:rPr>
              <w:t>ntegration</w:t>
            </w:r>
          </w:p>
        </w:tc>
        <w:tc>
          <w:tcPr>
            <w:tcW w:w="6741" w:type="dxa"/>
          </w:tcPr>
          <w:p w14:paraId="47757C5A" w14:textId="7E984761" w:rsidR="00A36561" w:rsidRPr="00E40705" w:rsidRDefault="00A36561" w:rsidP="00A36561">
            <w:pPr>
              <w:rPr>
                <w:sz w:val="20"/>
                <w:szCs w:val="20"/>
                <w:lang w:val="en"/>
              </w:rPr>
            </w:pPr>
            <w:r>
              <w:rPr>
                <w:sz w:val="20"/>
                <w:szCs w:val="20"/>
                <w:lang w:val="en"/>
              </w:rPr>
              <w:t>Continuous integration is a great option for larger applications and organizations that require automating deployments. This allows gated check-ins (approval) and continuous check-ins (triggered).</w:t>
            </w:r>
          </w:p>
        </w:tc>
      </w:tr>
    </w:tbl>
    <w:p w14:paraId="372A1FFD" w14:textId="77777777" w:rsidR="003722E4" w:rsidRDefault="003722E4" w:rsidP="003722E4">
      <w:pPr>
        <w:rPr>
          <w:b/>
          <w:bCs/>
        </w:rPr>
      </w:pPr>
    </w:p>
    <w:p w14:paraId="6619F00C" w14:textId="77777777" w:rsidR="003722E4" w:rsidRDefault="003722E4" w:rsidP="005729D2">
      <w:pPr>
        <w:pStyle w:val="Heading3Numbered"/>
        <w:numPr>
          <w:ilvl w:val="2"/>
          <w:numId w:val="64"/>
        </w:numPr>
      </w:pPr>
      <w:bookmarkStart w:id="3800" w:name="_Toc418156712"/>
      <w:bookmarkStart w:id="3801" w:name="_Toc418167631"/>
      <w:bookmarkStart w:id="3802" w:name="_Toc418185887"/>
      <w:bookmarkStart w:id="3803" w:name="_Toc422941597"/>
      <w:bookmarkStart w:id="3804" w:name="_Toc423116803"/>
      <w:bookmarkStart w:id="3805" w:name="_Toc423117836"/>
      <w:bookmarkStart w:id="3806" w:name="_Toc423117286"/>
      <w:bookmarkStart w:id="3807" w:name="_Toc431288878"/>
      <w:r>
        <w:t>Load Balancing</w:t>
      </w:r>
      <w:bookmarkEnd w:id="3800"/>
      <w:bookmarkEnd w:id="3801"/>
      <w:bookmarkEnd w:id="3802"/>
      <w:bookmarkEnd w:id="3803"/>
      <w:bookmarkEnd w:id="3804"/>
      <w:bookmarkEnd w:id="3805"/>
      <w:bookmarkEnd w:id="3806"/>
      <w:bookmarkEnd w:id="3807"/>
    </w:p>
    <w:p w14:paraId="403BF2B2" w14:textId="65EF2F93" w:rsidR="00A36561" w:rsidRDefault="003722E4" w:rsidP="00A36561">
      <w:r>
        <w:t>Customers</w:t>
      </w:r>
      <w:r w:rsidR="00A36561">
        <w:t xml:space="preserve"> who deploy applications as PaaS </w:t>
      </w:r>
      <w:r w:rsidR="00A36561" w:rsidRPr="006779E0">
        <w:t xml:space="preserve">in </w:t>
      </w:r>
      <w:r w:rsidR="00A36561">
        <w:t>Azure</w:t>
      </w:r>
      <w:r w:rsidR="00A36561" w:rsidRPr="006779E0">
        <w:t xml:space="preserve"> </w:t>
      </w:r>
      <w:r w:rsidR="00A36561">
        <w:t xml:space="preserve">must consider load balancing as a core part of the application. This is a must for applications hosted in PaaS because even if hardware failures never happen (which is unlikely), the servers need to be upgraded (guest and host upgrades). This means that these instances will be moved at some point. </w:t>
      </w:r>
    </w:p>
    <w:p w14:paraId="56DA68DC" w14:textId="77777777" w:rsidR="00A36561" w:rsidRDefault="00A36561" w:rsidP="00A36561">
      <w:r>
        <w:t xml:space="preserve">The Azure fabric will ensure that it doesn’t take all the server instances down at one time, but this requires the use of at least two instances (fault and upgrade domains allow the fabric to operate in this way). </w:t>
      </w:r>
    </w:p>
    <w:p w14:paraId="13F5A3BB" w14:textId="77777777" w:rsidR="00A36561" w:rsidRPr="00657A6B" w:rsidRDefault="00A36561" w:rsidP="00A36561">
      <w:r>
        <w:t>Keep in mind that</w:t>
      </w:r>
      <w:r w:rsidRPr="00657A6B">
        <w:t xml:space="preserve"> are two levels of load balancing available for Azure </w:t>
      </w:r>
      <w:r>
        <w:t>PaaS</w:t>
      </w:r>
      <w:r w:rsidRPr="00657A6B">
        <w:t xml:space="preserve"> services:</w:t>
      </w:r>
    </w:p>
    <w:p w14:paraId="5196EE50" w14:textId="18A0D1BD" w:rsidR="00A36561" w:rsidRDefault="00A36561" w:rsidP="005729D2">
      <w:pPr>
        <w:numPr>
          <w:ilvl w:val="0"/>
          <w:numId w:val="24"/>
        </w:numPr>
      </w:pPr>
      <w:r w:rsidRPr="00657A6B">
        <w:rPr>
          <w:b/>
        </w:rPr>
        <w:t xml:space="preserve">DNS </w:t>
      </w:r>
      <w:r>
        <w:rPr>
          <w:b/>
        </w:rPr>
        <w:t>l</w:t>
      </w:r>
      <w:r w:rsidRPr="00657A6B">
        <w:rPr>
          <w:b/>
        </w:rPr>
        <w:t>evel</w:t>
      </w:r>
      <w:r w:rsidRPr="00657A6B">
        <w:t xml:space="preserve">: Load balancing for traffic to different cloud services located in different </w:t>
      </w:r>
      <w:r>
        <w:t>datacenter</w:t>
      </w:r>
      <w:r w:rsidRPr="00657A6B">
        <w:t xml:space="preserve">s, to different Azure websites located in different </w:t>
      </w:r>
      <w:r>
        <w:t>datacenter</w:t>
      </w:r>
      <w:r w:rsidRPr="00657A6B">
        <w:t xml:space="preserve">s, or to external endpoints. This is done with Traffic Manager and the </w:t>
      </w:r>
      <w:r>
        <w:t>r</w:t>
      </w:r>
      <w:r w:rsidRPr="00657A6B">
        <w:t xml:space="preserve">ound </w:t>
      </w:r>
      <w:r>
        <w:t>r</w:t>
      </w:r>
      <w:r w:rsidRPr="00657A6B">
        <w:t>obin load balancing method.</w:t>
      </w:r>
    </w:p>
    <w:p w14:paraId="4C8817D1" w14:textId="030DAA0E" w:rsidR="003722E4" w:rsidRPr="00657A6B" w:rsidRDefault="00A36561" w:rsidP="005729D2">
      <w:pPr>
        <w:numPr>
          <w:ilvl w:val="0"/>
          <w:numId w:val="24"/>
        </w:numPr>
      </w:pPr>
      <w:r w:rsidRPr="00A36561">
        <w:rPr>
          <w:b/>
        </w:rPr>
        <w:t>Network level</w:t>
      </w:r>
      <w:r w:rsidRPr="00657A6B">
        <w:t xml:space="preserve">: Load balancing of incoming Internet traffic to different virtual machines of a cloud service, or load balancing of traffic between virtual machines in a cloud service or virtual network. This is done with the Azure </w:t>
      </w:r>
      <w:r>
        <w:t>L</w:t>
      </w:r>
      <w:r w:rsidRPr="00657A6B">
        <w:t xml:space="preserve">oad </w:t>
      </w:r>
      <w:r>
        <w:t>B</w:t>
      </w:r>
      <w:r w:rsidRPr="00657A6B">
        <w:t>alancer</w:t>
      </w:r>
      <w:r w:rsidR="003722E4" w:rsidRPr="00657A6B">
        <w:t>.</w:t>
      </w:r>
    </w:p>
    <w:p w14:paraId="1C067B4E" w14:textId="77777777" w:rsidR="003722E4" w:rsidRPr="0016058B" w:rsidRDefault="003722E4" w:rsidP="003722E4"/>
    <w:tbl>
      <w:tblPr>
        <w:tblStyle w:val="PlainTable11"/>
        <w:tblW w:w="0" w:type="auto"/>
        <w:tblLook w:val="04A0" w:firstRow="1" w:lastRow="0" w:firstColumn="1" w:lastColumn="0" w:noHBand="0" w:noVBand="1"/>
      </w:tblPr>
      <w:tblGrid>
        <w:gridCol w:w="3412"/>
        <w:gridCol w:w="5938"/>
      </w:tblGrid>
      <w:tr w:rsidR="003722E4" w14:paraId="2099C77F" w14:textId="77777777" w:rsidTr="0013185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3FB512AA" w14:textId="77777777" w:rsidR="003722E4" w:rsidRPr="00F47607" w:rsidRDefault="003722E4" w:rsidP="002F63EE">
            <w:pPr>
              <w:spacing w:line="240" w:lineRule="auto"/>
              <w:rPr>
                <w:color w:val="FFFFFF"/>
              </w:rPr>
            </w:pPr>
            <w:r>
              <w:rPr>
                <w:color w:val="FFFFFF"/>
              </w:rPr>
              <w:t>Feature References</w:t>
            </w:r>
          </w:p>
        </w:tc>
      </w:tr>
      <w:tr w:rsidR="003722E4" w14:paraId="3278ABC6"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46870E68" w14:textId="77777777" w:rsidR="003722E4" w:rsidRPr="00927F75" w:rsidRDefault="003722E4" w:rsidP="002F63EE">
            <w:pPr>
              <w:spacing w:line="240" w:lineRule="auto"/>
              <w:rPr>
                <w:sz w:val="20"/>
                <w:szCs w:val="18"/>
              </w:rPr>
            </w:pPr>
            <w:r w:rsidRPr="006779E0">
              <w:rPr>
                <w:sz w:val="20"/>
                <w:szCs w:val="18"/>
                <w:lang w:val="en"/>
              </w:rPr>
              <w:t>Load Balancing for Azure Services</w:t>
            </w:r>
          </w:p>
        </w:tc>
        <w:tc>
          <w:tcPr>
            <w:tcW w:w="5940" w:type="dxa"/>
          </w:tcPr>
          <w:p w14:paraId="46407942" w14:textId="324C2DA2" w:rsidR="003722E4" w:rsidRPr="006229D3" w:rsidRDefault="00872E47" w:rsidP="002F63EE">
            <w:pPr>
              <w:spacing w:after="0" w:line="360" w:lineRule="auto"/>
              <w:cnfStyle w:val="000000100000" w:firstRow="0" w:lastRow="0" w:firstColumn="0" w:lastColumn="0" w:oddVBand="0" w:evenVBand="0" w:oddHBand="1" w:evenHBand="0" w:firstRowFirstColumn="0" w:firstRowLastColumn="0" w:lastRowFirstColumn="0" w:lastRowLastColumn="0"/>
            </w:pPr>
            <w:hyperlink r:id="rId353" w:history="1">
              <w:r w:rsidR="000D4FA9">
                <w:rPr>
                  <w:rStyle w:val="Hyperlink"/>
                  <w:sz w:val="20"/>
                </w:rPr>
                <w:t>http://azure.microsoft.com/documentation/articles/load-balancer-overview</w:t>
              </w:r>
            </w:hyperlink>
          </w:p>
        </w:tc>
      </w:tr>
      <w:tr w:rsidR="003722E4" w14:paraId="16798EA0"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5A6299C1" w14:textId="77777777" w:rsidR="003722E4" w:rsidRPr="00F47607" w:rsidRDefault="003722E4" w:rsidP="002F63EE">
            <w:pPr>
              <w:spacing w:line="240" w:lineRule="auto"/>
              <w:rPr>
                <w:sz w:val="20"/>
              </w:rPr>
            </w:pPr>
            <w:r w:rsidRPr="008C74F8">
              <w:rPr>
                <w:sz w:val="20"/>
                <w:lang w:val="en"/>
              </w:rPr>
              <w:t>About Traffic Manager Load Balancing Methods</w:t>
            </w:r>
          </w:p>
        </w:tc>
        <w:tc>
          <w:tcPr>
            <w:tcW w:w="5940" w:type="dxa"/>
          </w:tcPr>
          <w:p w14:paraId="13B15E41" w14:textId="3C809229" w:rsidR="003722E4" w:rsidRPr="00927F75" w:rsidRDefault="00872E47" w:rsidP="002F63EE">
            <w:pPr>
              <w:cnfStyle w:val="000000000000" w:firstRow="0" w:lastRow="0" w:firstColumn="0" w:lastColumn="0" w:oddVBand="0" w:evenVBand="0" w:oddHBand="0" w:evenHBand="0" w:firstRowFirstColumn="0" w:firstRowLastColumn="0" w:lastRowFirstColumn="0" w:lastRowLastColumn="0"/>
              <w:rPr>
                <w:sz w:val="20"/>
              </w:rPr>
            </w:pPr>
            <w:hyperlink r:id="rId354" w:history="1">
              <w:r w:rsidR="000D4FA9">
                <w:rPr>
                  <w:rStyle w:val="Hyperlink"/>
                  <w:sz w:val="20"/>
                </w:rPr>
                <w:t>http://azure.microsoft.com/documentation/articles/traffic-manager-load-balancing-methods</w:t>
              </w:r>
            </w:hyperlink>
            <w:r w:rsidR="003722E4">
              <w:rPr>
                <w:sz w:val="20"/>
              </w:rPr>
              <w:t xml:space="preserve"> </w:t>
            </w:r>
          </w:p>
        </w:tc>
      </w:tr>
      <w:tr w:rsidR="003722E4" w14:paraId="6BDCC022"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50614DA4" w14:textId="77777777" w:rsidR="003722E4" w:rsidRDefault="003722E4" w:rsidP="002F63EE">
            <w:pPr>
              <w:spacing w:line="240" w:lineRule="auto"/>
              <w:rPr>
                <w:sz w:val="20"/>
              </w:rPr>
            </w:pPr>
            <w:r w:rsidRPr="007E62C3">
              <w:rPr>
                <w:sz w:val="20"/>
                <w:lang w:val="en"/>
              </w:rPr>
              <w:t>Internal load balancing</w:t>
            </w:r>
          </w:p>
        </w:tc>
        <w:tc>
          <w:tcPr>
            <w:tcW w:w="5940" w:type="dxa"/>
          </w:tcPr>
          <w:p w14:paraId="3FEC6B4A" w14:textId="3D5E3E0E" w:rsidR="003722E4" w:rsidRPr="00927F75" w:rsidRDefault="00872E47" w:rsidP="002F63EE">
            <w:pPr>
              <w:cnfStyle w:val="000000100000" w:firstRow="0" w:lastRow="0" w:firstColumn="0" w:lastColumn="0" w:oddVBand="0" w:evenVBand="0" w:oddHBand="1" w:evenHBand="0" w:firstRowFirstColumn="0" w:firstRowLastColumn="0" w:lastRowFirstColumn="0" w:lastRowLastColumn="0"/>
              <w:rPr>
                <w:sz w:val="20"/>
              </w:rPr>
            </w:pPr>
            <w:hyperlink r:id="rId355" w:history="1">
              <w:r w:rsidR="000D4FA9">
                <w:rPr>
                  <w:rStyle w:val="Hyperlink"/>
                  <w:sz w:val="20"/>
                </w:rPr>
                <w:t>http://azure.microsoft.com/documentation/articles/load-balancer-internal-overview</w:t>
              </w:r>
            </w:hyperlink>
            <w:r w:rsidR="003722E4">
              <w:rPr>
                <w:sz w:val="20"/>
              </w:rPr>
              <w:t xml:space="preserve"> </w:t>
            </w:r>
          </w:p>
        </w:tc>
      </w:tr>
    </w:tbl>
    <w:p w14:paraId="0A603106" w14:textId="77777777" w:rsidR="003722E4" w:rsidRDefault="003722E4" w:rsidP="005729D2">
      <w:pPr>
        <w:pStyle w:val="Heading3Numbered"/>
        <w:numPr>
          <w:ilvl w:val="2"/>
          <w:numId w:val="64"/>
        </w:numPr>
      </w:pPr>
      <w:bookmarkStart w:id="3808" w:name="_Toc418156713"/>
      <w:bookmarkStart w:id="3809" w:name="_Toc418167632"/>
      <w:bookmarkStart w:id="3810" w:name="_Toc418185888"/>
      <w:bookmarkStart w:id="3811" w:name="_Toc422941598"/>
      <w:bookmarkStart w:id="3812" w:name="_Toc423116804"/>
      <w:bookmarkStart w:id="3813" w:name="_Toc423117837"/>
      <w:bookmarkStart w:id="3814" w:name="_Toc423117287"/>
      <w:bookmarkStart w:id="3815" w:name="_Toc431288879"/>
      <w:r>
        <w:t>Networking</w:t>
      </w:r>
      <w:bookmarkEnd w:id="3808"/>
      <w:bookmarkEnd w:id="3809"/>
      <w:bookmarkEnd w:id="3810"/>
      <w:bookmarkEnd w:id="3811"/>
      <w:bookmarkEnd w:id="3812"/>
      <w:bookmarkEnd w:id="3813"/>
      <w:bookmarkEnd w:id="3814"/>
      <w:bookmarkEnd w:id="3815"/>
      <w:r>
        <w:t xml:space="preserve"> </w:t>
      </w:r>
    </w:p>
    <w:p w14:paraId="274567C8" w14:textId="01F0A303" w:rsidR="003722E4" w:rsidRDefault="003722E4" w:rsidP="003722E4">
      <w:pPr>
        <w:spacing w:before="0" w:after="160" w:line="259" w:lineRule="auto"/>
        <w:rPr>
          <w:lang w:val="en"/>
        </w:rPr>
      </w:pPr>
      <w:r>
        <w:rPr>
          <w:lang w:val="en"/>
        </w:rPr>
        <w:t>When</w:t>
      </w:r>
      <w:r w:rsidR="00A36561">
        <w:rPr>
          <w:lang w:val="en"/>
        </w:rPr>
        <w:t xml:space="preserve"> deciding to provision PaaS instances that need to communicate with other servers or services in Azure, a virtual network is required. Some areas of consideration include</w:t>
      </w:r>
      <w:r>
        <w:rPr>
          <w:lang w:val="en"/>
        </w:rPr>
        <w:t>:</w:t>
      </w:r>
    </w:p>
    <w:tbl>
      <w:tblPr>
        <w:tblStyle w:val="GridTable4-Accent31"/>
        <w:tblW w:w="9355" w:type="dxa"/>
        <w:tblLayout w:type="fixed"/>
        <w:tblLook w:val="0420" w:firstRow="1" w:lastRow="0" w:firstColumn="0" w:lastColumn="0" w:noHBand="0" w:noVBand="1"/>
      </w:tblPr>
      <w:tblGrid>
        <w:gridCol w:w="2614"/>
        <w:gridCol w:w="6741"/>
      </w:tblGrid>
      <w:tr w:rsidR="003722E4" w14:paraId="00AC2FED" w14:textId="77777777" w:rsidTr="00A36561">
        <w:trPr>
          <w:cnfStyle w:val="100000000000" w:firstRow="1" w:lastRow="0" w:firstColumn="0" w:lastColumn="0" w:oddVBand="0" w:evenVBand="0" w:oddHBand="0" w:evenHBand="0" w:firstRowFirstColumn="0" w:firstRowLastColumn="0" w:lastRowFirstColumn="0" w:lastRowLastColumn="0"/>
        </w:trPr>
        <w:tc>
          <w:tcPr>
            <w:tcW w:w="2614" w:type="dxa"/>
            <w:shd w:val="clear" w:color="auto" w:fill="808080" w:themeFill="background1" w:themeFillShade="80"/>
            <w:hideMark/>
          </w:tcPr>
          <w:p w14:paraId="2CAB2AC4" w14:textId="77777777" w:rsidR="003722E4" w:rsidRPr="007A6DE2" w:rsidRDefault="003722E4" w:rsidP="002F63EE">
            <w:pPr>
              <w:spacing w:line="240" w:lineRule="auto"/>
              <w:rPr>
                <w:rFonts w:eastAsia="Calibri"/>
                <w:color w:val="FFFFFF"/>
                <w:sz w:val="20"/>
                <w:szCs w:val="20"/>
                <w:lang w:eastAsia="en-AU"/>
              </w:rPr>
            </w:pPr>
            <w:r w:rsidRPr="007A6DE2">
              <w:rPr>
                <w:rFonts w:eastAsia="Calibri"/>
                <w:color w:val="FFFFFF"/>
                <w:sz w:val="20"/>
                <w:szCs w:val="20"/>
                <w:lang w:eastAsia="en-AU"/>
              </w:rPr>
              <w:t>Considerations</w:t>
            </w:r>
          </w:p>
        </w:tc>
        <w:tc>
          <w:tcPr>
            <w:tcW w:w="6741" w:type="dxa"/>
            <w:shd w:val="clear" w:color="auto" w:fill="808080" w:themeFill="background1" w:themeFillShade="80"/>
            <w:hideMark/>
          </w:tcPr>
          <w:p w14:paraId="3D946324" w14:textId="77777777" w:rsidR="003722E4" w:rsidRPr="007A6DE2" w:rsidRDefault="003722E4" w:rsidP="002F63EE">
            <w:pPr>
              <w:spacing w:line="240" w:lineRule="auto"/>
              <w:rPr>
                <w:rFonts w:eastAsia="Calibri"/>
                <w:color w:val="FFFFFF"/>
                <w:sz w:val="20"/>
                <w:szCs w:val="20"/>
                <w:lang w:eastAsia="en-AU"/>
              </w:rPr>
            </w:pPr>
            <w:r w:rsidRPr="007A6DE2">
              <w:rPr>
                <w:rFonts w:eastAsia="Calibri"/>
                <w:color w:val="FFFFFF"/>
                <w:sz w:val="20"/>
                <w:szCs w:val="20"/>
                <w:lang w:eastAsia="en-AU"/>
              </w:rPr>
              <w:t>Decision Points</w:t>
            </w:r>
          </w:p>
        </w:tc>
      </w:tr>
      <w:tr w:rsidR="00A36561" w14:paraId="5081DC6F" w14:textId="77777777" w:rsidTr="00A36561">
        <w:trPr>
          <w:cnfStyle w:val="000000100000" w:firstRow="0" w:lastRow="0" w:firstColumn="0" w:lastColumn="0" w:oddVBand="0" w:evenVBand="0" w:oddHBand="1" w:evenHBand="0" w:firstRowFirstColumn="0" w:firstRowLastColumn="0" w:lastRowFirstColumn="0" w:lastRowLastColumn="0"/>
        </w:trPr>
        <w:tc>
          <w:tcPr>
            <w:tcW w:w="2614" w:type="dxa"/>
          </w:tcPr>
          <w:p w14:paraId="68B75463" w14:textId="4E3DEC72" w:rsidR="00A36561" w:rsidRPr="001E5AC2" w:rsidRDefault="00A36561" w:rsidP="00A36561">
            <w:pPr>
              <w:rPr>
                <w:sz w:val="20"/>
                <w:szCs w:val="20"/>
              </w:rPr>
            </w:pPr>
            <w:r w:rsidRPr="001E5AC2">
              <w:rPr>
                <w:sz w:val="20"/>
                <w:szCs w:val="20"/>
                <w:lang w:val="en"/>
              </w:rPr>
              <w:t>Name resolution</w:t>
            </w:r>
          </w:p>
        </w:tc>
        <w:tc>
          <w:tcPr>
            <w:tcW w:w="6741" w:type="dxa"/>
          </w:tcPr>
          <w:p w14:paraId="5C2D4A22" w14:textId="235E4ADA" w:rsidR="00A36561" w:rsidRPr="00CD3D42" w:rsidRDefault="00A36561" w:rsidP="00A36561">
            <w:pPr>
              <w:rPr>
                <w:sz w:val="20"/>
                <w:szCs w:val="20"/>
                <w:lang w:val="en"/>
              </w:rPr>
            </w:pPr>
            <w:r w:rsidRPr="00CD3D42">
              <w:rPr>
                <w:sz w:val="20"/>
                <w:szCs w:val="20"/>
                <w:lang w:val="en"/>
              </w:rPr>
              <w:t xml:space="preserve">When you deploy </w:t>
            </w:r>
            <w:r>
              <w:rPr>
                <w:sz w:val="20"/>
                <w:szCs w:val="20"/>
                <w:lang w:val="en"/>
              </w:rPr>
              <w:t>virtual machines</w:t>
            </w:r>
            <w:r w:rsidRPr="00CD3D42">
              <w:rPr>
                <w:sz w:val="20"/>
                <w:szCs w:val="20"/>
                <w:lang w:val="en"/>
              </w:rPr>
              <w:t xml:space="preserve"> and cloud services to a virtual network</w:t>
            </w:r>
            <w:r>
              <w:rPr>
                <w:sz w:val="20"/>
                <w:szCs w:val="20"/>
                <w:lang w:val="en"/>
              </w:rPr>
              <w:t>,</w:t>
            </w:r>
            <w:r w:rsidRPr="00CD3D42">
              <w:rPr>
                <w:sz w:val="20"/>
                <w:szCs w:val="20"/>
                <w:lang w:val="en"/>
              </w:rPr>
              <w:t xml:space="preserve"> you can use Azure-provided name resolution or your own DNS solution, depending on your name resolution requirements. For information about name resolution options, see </w:t>
            </w:r>
            <w:hyperlink r:id="rId356" w:history="1">
              <w:r w:rsidRPr="00CD3D42">
                <w:rPr>
                  <w:rStyle w:val="Hyperlink"/>
                  <w:sz w:val="20"/>
                  <w:szCs w:val="20"/>
                  <w:lang w:val="en"/>
                </w:rPr>
                <w:t>Name Resolution (DNS)</w:t>
              </w:r>
            </w:hyperlink>
            <w:r w:rsidRPr="00CD3D42">
              <w:rPr>
                <w:sz w:val="20"/>
                <w:szCs w:val="20"/>
                <w:lang w:val="en"/>
              </w:rPr>
              <w:t>.</w:t>
            </w:r>
          </w:p>
        </w:tc>
      </w:tr>
      <w:tr w:rsidR="00A36561" w14:paraId="71AA1EDC" w14:textId="77777777" w:rsidTr="00A36561">
        <w:tc>
          <w:tcPr>
            <w:tcW w:w="2614" w:type="dxa"/>
          </w:tcPr>
          <w:p w14:paraId="20F25F40" w14:textId="5170336D" w:rsidR="00A36561" w:rsidRPr="001E5AC2" w:rsidRDefault="00A36561" w:rsidP="00A36561">
            <w:pPr>
              <w:rPr>
                <w:sz w:val="20"/>
                <w:szCs w:val="20"/>
              </w:rPr>
            </w:pPr>
            <w:r w:rsidRPr="001E5AC2">
              <w:rPr>
                <w:sz w:val="20"/>
                <w:szCs w:val="20"/>
                <w:lang w:val="en"/>
              </w:rPr>
              <w:t>Enhanced security and isolation</w:t>
            </w:r>
          </w:p>
        </w:tc>
        <w:tc>
          <w:tcPr>
            <w:tcW w:w="6741" w:type="dxa"/>
          </w:tcPr>
          <w:p w14:paraId="0D3CD453" w14:textId="2039984A" w:rsidR="00A36561" w:rsidRPr="00CD3D42" w:rsidRDefault="00A36561" w:rsidP="00A36561">
            <w:pPr>
              <w:rPr>
                <w:sz w:val="20"/>
                <w:szCs w:val="20"/>
                <w:lang w:val="en"/>
              </w:rPr>
            </w:pPr>
            <w:r>
              <w:rPr>
                <w:sz w:val="20"/>
                <w:szCs w:val="20"/>
                <w:lang w:val="en"/>
              </w:rPr>
              <w:t>Because</w:t>
            </w:r>
            <w:r w:rsidRPr="00CD3D42">
              <w:rPr>
                <w:sz w:val="20"/>
                <w:szCs w:val="20"/>
                <w:lang w:val="en"/>
              </w:rPr>
              <w:t xml:space="preserve"> each virtual network is run as an overlay, only virtual machines and services that are part of the same network can access each other. Services outside the virtual network have no way to identify or connect to services hosted within virtual networks. This provides an added layer of isolation to your services.</w:t>
            </w:r>
          </w:p>
        </w:tc>
      </w:tr>
      <w:tr w:rsidR="00A36561" w14:paraId="314B01E5" w14:textId="77777777" w:rsidTr="00A36561">
        <w:trPr>
          <w:cnfStyle w:val="000000100000" w:firstRow="0" w:lastRow="0" w:firstColumn="0" w:lastColumn="0" w:oddVBand="0" w:evenVBand="0" w:oddHBand="1" w:evenHBand="0" w:firstRowFirstColumn="0" w:firstRowLastColumn="0" w:lastRowFirstColumn="0" w:lastRowLastColumn="0"/>
        </w:trPr>
        <w:tc>
          <w:tcPr>
            <w:tcW w:w="2614" w:type="dxa"/>
          </w:tcPr>
          <w:p w14:paraId="266ECC4B" w14:textId="372AFE13" w:rsidR="00A36561" w:rsidRPr="001E5AC2" w:rsidRDefault="00A36561" w:rsidP="00A36561">
            <w:pPr>
              <w:rPr>
                <w:sz w:val="20"/>
                <w:szCs w:val="20"/>
              </w:rPr>
            </w:pPr>
            <w:r w:rsidRPr="001E5AC2">
              <w:rPr>
                <w:sz w:val="20"/>
                <w:szCs w:val="20"/>
                <w:lang w:val="en"/>
              </w:rPr>
              <w:t>Extended connectivity boundary</w:t>
            </w:r>
          </w:p>
        </w:tc>
        <w:tc>
          <w:tcPr>
            <w:tcW w:w="6741" w:type="dxa"/>
          </w:tcPr>
          <w:p w14:paraId="03A02228" w14:textId="53CCEB7D" w:rsidR="00A36561" w:rsidRPr="00CD3D42" w:rsidRDefault="00A36561" w:rsidP="00A36561">
            <w:pPr>
              <w:rPr>
                <w:sz w:val="20"/>
                <w:szCs w:val="20"/>
                <w:lang w:val="en"/>
              </w:rPr>
            </w:pPr>
            <w:r w:rsidRPr="00CD3D42">
              <w:rPr>
                <w:sz w:val="20"/>
                <w:szCs w:val="20"/>
                <w:lang w:val="en"/>
              </w:rPr>
              <w:t xml:space="preserve">The virtual network extends the connectivity boundary from a single service to the virtual network boundary. You can create several cloud services and virtual machines within a single virtual network and have them communicate with each other without having to go through the </w:t>
            </w:r>
            <w:r>
              <w:rPr>
                <w:sz w:val="20"/>
                <w:szCs w:val="20"/>
                <w:lang w:val="en"/>
              </w:rPr>
              <w:t>Internet</w:t>
            </w:r>
            <w:r w:rsidRPr="00CD3D42">
              <w:rPr>
                <w:sz w:val="20"/>
                <w:szCs w:val="20"/>
                <w:lang w:val="en"/>
              </w:rPr>
              <w:t>. You can also set</w:t>
            </w:r>
            <w:r>
              <w:rPr>
                <w:sz w:val="20"/>
                <w:szCs w:val="20"/>
                <w:lang w:val="en"/>
              </w:rPr>
              <w:t xml:space="preserve"> </w:t>
            </w:r>
            <w:r w:rsidRPr="00CD3D42">
              <w:rPr>
                <w:sz w:val="20"/>
                <w:szCs w:val="20"/>
                <w:lang w:val="en"/>
              </w:rPr>
              <w:t>up services that use a common backend database tier or use a shared management service.</w:t>
            </w:r>
          </w:p>
        </w:tc>
      </w:tr>
      <w:tr w:rsidR="00A36561" w14:paraId="2E6DBC44" w14:textId="77777777" w:rsidTr="00A36561">
        <w:tc>
          <w:tcPr>
            <w:tcW w:w="2614" w:type="dxa"/>
          </w:tcPr>
          <w:p w14:paraId="25946BDC" w14:textId="11C03987" w:rsidR="00A36561" w:rsidRPr="001E5AC2" w:rsidRDefault="00A36561" w:rsidP="00A36561">
            <w:pPr>
              <w:rPr>
                <w:sz w:val="20"/>
                <w:szCs w:val="20"/>
              </w:rPr>
            </w:pPr>
            <w:r w:rsidRPr="001E5AC2">
              <w:rPr>
                <w:sz w:val="20"/>
                <w:szCs w:val="20"/>
                <w:lang w:val="en"/>
              </w:rPr>
              <w:t>Extend your on-premises network to the cloud</w:t>
            </w:r>
          </w:p>
        </w:tc>
        <w:tc>
          <w:tcPr>
            <w:tcW w:w="6741" w:type="dxa"/>
          </w:tcPr>
          <w:p w14:paraId="49FA9D34" w14:textId="39B4FF44" w:rsidR="00A36561" w:rsidRPr="00CD3D42" w:rsidRDefault="00A36561" w:rsidP="00A36561">
            <w:pPr>
              <w:rPr>
                <w:sz w:val="20"/>
                <w:szCs w:val="20"/>
                <w:lang w:val="en"/>
              </w:rPr>
            </w:pPr>
            <w:r w:rsidRPr="00CD3D42">
              <w:rPr>
                <w:sz w:val="20"/>
                <w:szCs w:val="20"/>
                <w:lang w:val="en"/>
              </w:rPr>
              <w:t xml:space="preserve">You can join </w:t>
            </w:r>
            <w:r>
              <w:rPr>
                <w:sz w:val="20"/>
                <w:szCs w:val="20"/>
                <w:lang w:val="en"/>
              </w:rPr>
              <w:t>virtual machines</w:t>
            </w:r>
            <w:r w:rsidRPr="00CD3D42">
              <w:rPr>
                <w:sz w:val="20"/>
                <w:szCs w:val="20"/>
                <w:lang w:val="en"/>
              </w:rPr>
              <w:t xml:space="preserve"> in Azure to your domain running on-premises. You can access and leverage all on-premises investments </w:t>
            </w:r>
            <w:r>
              <w:rPr>
                <w:sz w:val="20"/>
                <w:szCs w:val="20"/>
                <w:lang w:val="en"/>
              </w:rPr>
              <w:t>related to</w:t>
            </w:r>
            <w:r w:rsidRPr="00CD3D42">
              <w:rPr>
                <w:sz w:val="20"/>
                <w:szCs w:val="20"/>
                <w:lang w:val="en"/>
              </w:rPr>
              <w:t xml:space="preserve"> monitoring and identity for your services hosted in Azure.</w:t>
            </w:r>
          </w:p>
        </w:tc>
      </w:tr>
      <w:tr w:rsidR="00A36561" w14:paraId="63017F96" w14:textId="77777777" w:rsidTr="00A36561">
        <w:trPr>
          <w:cnfStyle w:val="000000100000" w:firstRow="0" w:lastRow="0" w:firstColumn="0" w:lastColumn="0" w:oddVBand="0" w:evenVBand="0" w:oddHBand="1" w:evenHBand="0" w:firstRowFirstColumn="0" w:firstRowLastColumn="0" w:lastRowFirstColumn="0" w:lastRowLastColumn="0"/>
        </w:trPr>
        <w:tc>
          <w:tcPr>
            <w:tcW w:w="2614" w:type="dxa"/>
          </w:tcPr>
          <w:p w14:paraId="42DC5784" w14:textId="0D924839" w:rsidR="00A36561" w:rsidRPr="001E5AC2" w:rsidRDefault="00A36561" w:rsidP="00A36561">
            <w:pPr>
              <w:rPr>
                <w:sz w:val="20"/>
                <w:szCs w:val="20"/>
              </w:rPr>
            </w:pPr>
            <w:r w:rsidRPr="001E5AC2">
              <w:rPr>
                <w:sz w:val="20"/>
                <w:szCs w:val="20"/>
                <w:lang w:val="en"/>
              </w:rPr>
              <w:t xml:space="preserve">Use persistent public </w:t>
            </w:r>
            <w:r>
              <w:rPr>
                <w:sz w:val="20"/>
                <w:szCs w:val="20"/>
                <w:lang w:val="en"/>
              </w:rPr>
              <w:t>IP</w:t>
            </w:r>
            <w:r w:rsidRPr="001E5AC2">
              <w:rPr>
                <w:sz w:val="20"/>
                <w:szCs w:val="20"/>
                <w:lang w:val="en"/>
              </w:rPr>
              <w:t xml:space="preserve"> addresses</w:t>
            </w:r>
          </w:p>
        </w:tc>
        <w:tc>
          <w:tcPr>
            <w:tcW w:w="6741" w:type="dxa"/>
          </w:tcPr>
          <w:p w14:paraId="1A16427D" w14:textId="7AED491E" w:rsidR="00A36561" w:rsidRPr="00CD3D42" w:rsidRDefault="00A36561" w:rsidP="00A36561">
            <w:pPr>
              <w:rPr>
                <w:sz w:val="20"/>
                <w:szCs w:val="20"/>
                <w:lang w:val="en"/>
              </w:rPr>
            </w:pPr>
            <w:r>
              <w:rPr>
                <w:sz w:val="20"/>
                <w:szCs w:val="20"/>
                <w:lang w:val="en"/>
              </w:rPr>
              <w:t>Cloud services</w:t>
            </w:r>
            <w:r w:rsidRPr="00CD3D42">
              <w:rPr>
                <w:sz w:val="20"/>
                <w:szCs w:val="20"/>
                <w:lang w:val="en"/>
              </w:rPr>
              <w:t xml:space="preserve"> within a </w:t>
            </w:r>
            <w:r>
              <w:rPr>
                <w:sz w:val="20"/>
                <w:szCs w:val="20"/>
                <w:lang w:val="en"/>
              </w:rPr>
              <w:t>virtual network</w:t>
            </w:r>
            <w:r w:rsidRPr="00CD3D42">
              <w:rPr>
                <w:sz w:val="20"/>
                <w:szCs w:val="20"/>
                <w:lang w:val="en"/>
              </w:rPr>
              <w:t xml:space="preserve"> have a stable </w:t>
            </w:r>
            <w:r>
              <w:rPr>
                <w:sz w:val="20"/>
                <w:szCs w:val="20"/>
                <w:lang w:val="en"/>
              </w:rPr>
              <w:t>public</w:t>
            </w:r>
            <w:r w:rsidRPr="00CD3D42">
              <w:rPr>
                <w:sz w:val="20"/>
                <w:szCs w:val="20"/>
                <w:lang w:val="en"/>
              </w:rPr>
              <w:t xml:space="preserve"> </w:t>
            </w:r>
            <w:r>
              <w:rPr>
                <w:sz w:val="20"/>
                <w:szCs w:val="20"/>
                <w:lang w:val="en"/>
              </w:rPr>
              <w:t>V</w:t>
            </w:r>
            <w:r w:rsidRPr="00CD3D42">
              <w:rPr>
                <w:sz w:val="20"/>
                <w:szCs w:val="20"/>
                <w:lang w:val="en"/>
              </w:rPr>
              <w:t xml:space="preserve">IP address. You can also choose to configure your </w:t>
            </w:r>
            <w:r>
              <w:rPr>
                <w:sz w:val="20"/>
                <w:szCs w:val="20"/>
                <w:lang w:val="en"/>
              </w:rPr>
              <w:t xml:space="preserve">cloud services </w:t>
            </w:r>
            <w:r w:rsidRPr="00CD3D42">
              <w:rPr>
                <w:sz w:val="20"/>
                <w:szCs w:val="20"/>
                <w:lang w:val="en"/>
              </w:rPr>
              <w:t xml:space="preserve">when you create it </w:t>
            </w:r>
            <w:r>
              <w:rPr>
                <w:sz w:val="20"/>
                <w:szCs w:val="20"/>
                <w:lang w:val="en"/>
              </w:rPr>
              <w:t>by using</w:t>
            </w:r>
            <w:r w:rsidRPr="00CD3D42">
              <w:rPr>
                <w:sz w:val="20"/>
                <w:szCs w:val="20"/>
                <w:lang w:val="en"/>
              </w:rPr>
              <w:t xml:space="preserve"> a </w:t>
            </w:r>
            <w:r>
              <w:rPr>
                <w:sz w:val="20"/>
                <w:szCs w:val="20"/>
                <w:lang w:val="en"/>
              </w:rPr>
              <w:t>reserved</w:t>
            </w:r>
            <w:r w:rsidRPr="00CD3D42">
              <w:rPr>
                <w:sz w:val="20"/>
                <w:szCs w:val="20"/>
                <w:lang w:val="en"/>
              </w:rPr>
              <w:t xml:space="preserve"> </w:t>
            </w:r>
            <w:r>
              <w:rPr>
                <w:sz w:val="20"/>
                <w:szCs w:val="20"/>
                <w:lang w:val="en"/>
              </w:rPr>
              <w:t>public</w:t>
            </w:r>
            <w:r w:rsidRPr="00CD3D42">
              <w:rPr>
                <w:sz w:val="20"/>
                <w:szCs w:val="20"/>
                <w:lang w:val="en"/>
              </w:rPr>
              <w:t xml:space="preserve"> </w:t>
            </w:r>
            <w:r>
              <w:rPr>
                <w:sz w:val="20"/>
                <w:szCs w:val="20"/>
                <w:lang w:val="en"/>
              </w:rPr>
              <w:t>IP</w:t>
            </w:r>
            <w:r w:rsidRPr="00CD3D42">
              <w:rPr>
                <w:sz w:val="20"/>
                <w:szCs w:val="20"/>
                <w:lang w:val="en"/>
              </w:rPr>
              <w:t xml:space="preserve"> address from the address range. This ensures that your </w:t>
            </w:r>
            <w:r>
              <w:rPr>
                <w:sz w:val="20"/>
                <w:szCs w:val="20"/>
                <w:lang w:val="en"/>
              </w:rPr>
              <w:t>instances retain</w:t>
            </w:r>
            <w:r w:rsidRPr="00CD3D42">
              <w:rPr>
                <w:sz w:val="20"/>
                <w:szCs w:val="20"/>
                <w:lang w:val="en"/>
              </w:rPr>
              <w:t xml:space="preserve"> </w:t>
            </w:r>
            <w:r>
              <w:rPr>
                <w:sz w:val="20"/>
                <w:szCs w:val="20"/>
                <w:lang w:val="en"/>
              </w:rPr>
              <w:t>their</w:t>
            </w:r>
            <w:r w:rsidRPr="00CD3D42">
              <w:rPr>
                <w:sz w:val="20"/>
                <w:szCs w:val="20"/>
                <w:lang w:val="en"/>
              </w:rPr>
              <w:t xml:space="preserve"> </w:t>
            </w:r>
            <w:r>
              <w:rPr>
                <w:sz w:val="20"/>
                <w:szCs w:val="20"/>
                <w:lang w:val="en"/>
              </w:rPr>
              <w:t>public</w:t>
            </w:r>
            <w:r w:rsidRPr="00CD3D42">
              <w:rPr>
                <w:sz w:val="20"/>
                <w:szCs w:val="20"/>
                <w:lang w:val="en"/>
              </w:rPr>
              <w:t xml:space="preserve"> </w:t>
            </w:r>
            <w:r>
              <w:rPr>
                <w:sz w:val="20"/>
                <w:szCs w:val="20"/>
                <w:lang w:val="en"/>
              </w:rPr>
              <w:t>IP</w:t>
            </w:r>
            <w:r w:rsidRPr="00CD3D42">
              <w:rPr>
                <w:sz w:val="20"/>
                <w:szCs w:val="20"/>
                <w:lang w:val="en"/>
              </w:rPr>
              <w:t xml:space="preserve"> address even when </w:t>
            </w:r>
            <w:r>
              <w:rPr>
                <w:sz w:val="20"/>
                <w:szCs w:val="20"/>
                <w:lang w:val="en"/>
              </w:rPr>
              <w:t>moved or restarted</w:t>
            </w:r>
            <w:r w:rsidRPr="00CD3D42">
              <w:rPr>
                <w:sz w:val="20"/>
                <w:szCs w:val="20"/>
                <w:lang w:val="en"/>
              </w:rPr>
              <w:t xml:space="preserve">. See </w:t>
            </w:r>
            <w:hyperlink r:id="rId357" w:history="1">
              <w:r>
                <w:rPr>
                  <w:rStyle w:val="Hyperlink"/>
                  <w:sz w:val="20"/>
                  <w:szCs w:val="20"/>
                  <w:lang w:val="en"/>
                </w:rPr>
                <w:t>R</w:t>
              </w:r>
              <w:r w:rsidRPr="004F0F8A">
                <w:rPr>
                  <w:rStyle w:val="Hyperlink"/>
                  <w:sz w:val="20"/>
                  <w:szCs w:val="20"/>
                  <w:lang w:val="en"/>
                </w:rPr>
                <w:t xml:space="preserve">eserved </w:t>
              </w:r>
              <w:r>
                <w:rPr>
                  <w:rStyle w:val="Hyperlink"/>
                  <w:sz w:val="20"/>
                  <w:szCs w:val="20"/>
                  <w:lang w:val="en"/>
                </w:rPr>
                <w:t>IP Overview</w:t>
              </w:r>
              <w:r w:rsidRPr="004F0F8A">
                <w:rPr>
                  <w:rStyle w:val="Hyperlink"/>
                  <w:sz w:val="20"/>
                  <w:szCs w:val="20"/>
                  <w:lang w:val="en"/>
                </w:rPr>
                <w:t>.</w:t>
              </w:r>
            </w:hyperlink>
          </w:p>
        </w:tc>
      </w:tr>
    </w:tbl>
    <w:p w14:paraId="4B8896F3" w14:textId="77777777" w:rsidR="003722E4" w:rsidRDefault="003722E4" w:rsidP="003722E4">
      <w:pPr>
        <w:spacing w:before="0" w:after="160" w:line="259" w:lineRule="auto"/>
        <w:rPr>
          <w:lang w:val="en"/>
        </w:rPr>
      </w:pPr>
    </w:p>
    <w:p w14:paraId="42AC95A4" w14:textId="77777777" w:rsidR="00A36561" w:rsidRDefault="00A36561" w:rsidP="00A36561">
      <w:pPr>
        <w:spacing w:before="0" w:after="160" w:line="259" w:lineRule="auto"/>
      </w:pPr>
      <w:r>
        <w:rPr>
          <w:lang w:val="en"/>
        </w:rPr>
        <w:t xml:space="preserve">There are two models for network configurations for Azure cloud services: </w:t>
      </w:r>
      <w:hyperlink r:id="rId358" w:tooltip="Collapse" w:history="1">
        <w:r>
          <w:rPr>
            <w:i/>
          </w:rPr>
          <w:t>cloud-only</w:t>
        </w:r>
        <w:r w:rsidRPr="007206A0">
          <w:t xml:space="preserve"> </w:t>
        </w:r>
        <w:r>
          <w:t xml:space="preserve">and </w:t>
        </w:r>
        <w:r>
          <w:rPr>
            <w:i/>
          </w:rPr>
          <w:t xml:space="preserve">cloud-premises </w:t>
        </w:r>
        <w:r w:rsidRPr="007206A0">
          <w:t>virtual network configurations</w:t>
        </w:r>
      </w:hyperlink>
      <w:r>
        <w:t>:</w:t>
      </w:r>
    </w:p>
    <w:p w14:paraId="71F58D97" w14:textId="77777777" w:rsidR="00A36561" w:rsidRPr="009C56AA" w:rsidRDefault="00A36561" w:rsidP="005729D2">
      <w:pPr>
        <w:pStyle w:val="ListParagraph"/>
        <w:numPr>
          <w:ilvl w:val="0"/>
          <w:numId w:val="143"/>
        </w:numPr>
        <w:rPr>
          <w:lang w:val="en"/>
        </w:rPr>
      </w:pPr>
      <w:r w:rsidRPr="009C56AA">
        <w:rPr>
          <w:b/>
          <w:lang w:val="en"/>
        </w:rPr>
        <w:t>Cloud-</w:t>
      </w:r>
      <w:r>
        <w:rPr>
          <w:b/>
          <w:lang w:val="en"/>
        </w:rPr>
        <w:t>o</w:t>
      </w:r>
      <w:r w:rsidRPr="009C56AA">
        <w:rPr>
          <w:b/>
          <w:lang w:val="en"/>
        </w:rPr>
        <w:t>nly</w:t>
      </w:r>
      <w:r w:rsidRPr="009C56AA">
        <w:rPr>
          <w:lang w:val="en"/>
        </w:rPr>
        <w:t xml:space="preserve"> virtual network configurations are </w:t>
      </w:r>
      <w:r>
        <w:rPr>
          <w:lang w:val="en"/>
        </w:rPr>
        <w:t>virtual networks</w:t>
      </w:r>
      <w:r w:rsidRPr="009C56AA">
        <w:rPr>
          <w:lang w:val="en"/>
        </w:rPr>
        <w:t xml:space="preserve"> that don’t use a virtual network gateway to connect back to your on-premises network or directly to </w:t>
      </w:r>
      <w:r>
        <w:rPr>
          <w:lang w:val="en"/>
        </w:rPr>
        <w:t>an</w:t>
      </w:r>
      <w:r w:rsidRPr="009C56AA">
        <w:rPr>
          <w:lang w:val="en"/>
        </w:rPr>
        <w:t xml:space="preserve">other </w:t>
      </w:r>
      <w:r>
        <w:rPr>
          <w:lang w:val="en"/>
        </w:rPr>
        <w:t xml:space="preserve">virtual network in </w:t>
      </w:r>
      <w:r w:rsidRPr="009C56AA">
        <w:rPr>
          <w:lang w:val="en"/>
        </w:rPr>
        <w:t xml:space="preserve">Azure. They aren’t really a different type of </w:t>
      </w:r>
      <w:r>
        <w:rPr>
          <w:lang w:val="en"/>
        </w:rPr>
        <w:t>virtual network</w:t>
      </w:r>
      <w:r w:rsidRPr="009C56AA">
        <w:rPr>
          <w:lang w:val="en"/>
        </w:rPr>
        <w:t xml:space="preserve">, but rather, they are a way to configure a </w:t>
      </w:r>
      <w:r>
        <w:rPr>
          <w:lang w:val="en"/>
        </w:rPr>
        <w:t>virtual network</w:t>
      </w:r>
      <w:r w:rsidRPr="009C56AA">
        <w:rPr>
          <w:lang w:val="en"/>
        </w:rPr>
        <w:t xml:space="preserve"> without configuring cross-premises connectivity. </w:t>
      </w:r>
      <w:r>
        <w:rPr>
          <w:lang w:val="en"/>
        </w:rPr>
        <w:br/>
      </w:r>
      <w:r w:rsidRPr="009C56AA">
        <w:rPr>
          <w:lang w:val="en"/>
        </w:rPr>
        <w:t xml:space="preserve">You connect to the </w:t>
      </w:r>
      <w:r>
        <w:rPr>
          <w:lang w:val="en"/>
        </w:rPr>
        <w:t>virtual machines</w:t>
      </w:r>
      <w:r w:rsidRPr="009C56AA">
        <w:rPr>
          <w:lang w:val="en"/>
        </w:rPr>
        <w:t xml:space="preserve"> and cloud services from the endpoints, rather than through a VPN connection.</w:t>
      </w:r>
    </w:p>
    <w:p w14:paraId="33ED2DD4" w14:textId="7445D1F6" w:rsidR="003722E4" w:rsidRPr="009C56AA" w:rsidRDefault="00A36561" w:rsidP="005729D2">
      <w:pPr>
        <w:pStyle w:val="ListParagraph"/>
        <w:numPr>
          <w:ilvl w:val="0"/>
          <w:numId w:val="143"/>
        </w:numPr>
        <w:rPr>
          <w:b/>
          <w:bCs/>
          <w:lang w:val="en"/>
        </w:rPr>
      </w:pPr>
      <w:r w:rsidRPr="009C56AA">
        <w:rPr>
          <w:b/>
          <w:lang w:val="en"/>
        </w:rPr>
        <w:t>Cross-</w:t>
      </w:r>
      <w:r>
        <w:rPr>
          <w:b/>
          <w:lang w:val="en"/>
        </w:rPr>
        <w:t>p</w:t>
      </w:r>
      <w:r w:rsidRPr="009C56AA">
        <w:rPr>
          <w:b/>
          <w:lang w:val="en"/>
        </w:rPr>
        <w:t>remises</w:t>
      </w:r>
      <w:r w:rsidRPr="009C56AA">
        <w:rPr>
          <w:lang w:val="en"/>
        </w:rPr>
        <w:t xml:space="preserve"> connections offer an enormous amount of flexibility. You can create multisite configurations, </w:t>
      </w:r>
      <w:r>
        <w:rPr>
          <w:lang w:val="en"/>
        </w:rPr>
        <w:t>virtual network</w:t>
      </w:r>
      <w:r w:rsidRPr="009C56AA">
        <w:rPr>
          <w:lang w:val="en"/>
        </w:rPr>
        <w:t xml:space="preserve"> to </w:t>
      </w:r>
      <w:r>
        <w:rPr>
          <w:lang w:val="en"/>
        </w:rPr>
        <w:t>virtual network</w:t>
      </w:r>
      <w:r w:rsidRPr="009C56AA">
        <w:rPr>
          <w:lang w:val="en"/>
        </w:rPr>
        <w:t xml:space="preserve"> configurations, ExpressRoute connections, and combinations of multiple configuration types. If you are extending your on-premises network to the cloud, this is the way to do it. </w:t>
      </w:r>
      <w:r>
        <w:rPr>
          <w:lang w:val="en"/>
        </w:rPr>
        <w:br/>
      </w:r>
      <w:r w:rsidRPr="009C56AA">
        <w:rPr>
          <w:lang w:val="en"/>
        </w:rPr>
        <w:t xml:space="preserve">Most cross-premises connections involve using a VPN device to create a secure connection to your Azure virtual network. Or if you prefer, you can create an ExpressRoute direct connection to Azure through your network service provider or exchange provider and bypass the public </w:t>
      </w:r>
      <w:r>
        <w:rPr>
          <w:lang w:val="en"/>
        </w:rPr>
        <w:t>Internet</w:t>
      </w:r>
      <w:r w:rsidRPr="009C56AA">
        <w:rPr>
          <w:lang w:val="en"/>
        </w:rPr>
        <w:t xml:space="preserve"> altogether</w:t>
      </w:r>
      <w:r w:rsidR="003722E4" w:rsidRPr="009C56AA">
        <w:rPr>
          <w:lang w:val="en"/>
        </w:rPr>
        <w:t>.</w:t>
      </w:r>
    </w:p>
    <w:tbl>
      <w:tblPr>
        <w:tblStyle w:val="PlainTable11"/>
        <w:tblW w:w="0" w:type="auto"/>
        <w:tblLook w:val="04A0" w:firstRow="1" w:lastRow="0" w:firstColumn="1" w:lastColumn="0" w:noHBand="0" w:noVBand="1"/>
      </w:tblPr>
      <w:tblGrid>
        <w:gridCol w:w="3412"/>
        <w:gridCol w:w="5938"/>
      </w:tblGrid>
      <w:tr w:rsidR="003722E4" w14:paraId="0BAD2538" w14:textId="77777777" w:rsidTr="00A365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808080" w:themeFill="background1" w:themeFillShade="80"/>
            <w:hideMark/>
          </w:tcPr>
          <w:p w14:paraId="2D03F3CF" w14:textId="77777777" w:rsidR="003722E4" w:rsidRDefault="003722E4" w:rsidP="002F63EE">
            <w:pPr>
              <w:spacing w:line="240" w:lineRule="auto"/>
              <w:rPr>
                <w:color w:val="FFFFFF"/>
              </w:rPr>
            </w:pPr>
            <w:r>
              <w:rPr>
                <w:color w:val="FFFFFF"/>
              </w:rPr>
              <w:t>Feature References</w:t>
            </w:r>
          </w:p>
        </w:tc>
      </w:tr>
      <w:tr w:rsidR="00A36561" w14:paraId="043D5792"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hideMark/>
          </w:tcPr>
          <w:p w14:paraId="0C7980BB" w14:textId="766026BD" w:rsidR="00A36561" w:rsidRPr="001E5AC2" w:rsidRDefault="00A36561" w:rsidP="00A36561">
            <w:pPr>
              <w:spacing w:line="240" w:lineRule="auto"/>
              <w:rPr>
                <w:sz w:val="20"/>
                <w:szCs w:val="20"/>
              </w:rPr>
            </w:pPr>
            <w:r>
              <w:rPr>
                <w:sz w:val="20"/>
                <w:szCs w:val="20"/>
              </w:rPr>
              <w:t>How to create a</w:t>
            </w:r>
            <w:r w:rsidRPr="001E5AC2">
              <w:rPr>
                <w:sz w:val="20"/>
                <w:szCs w:val="20"/>
              </w:rPr>
              <w:t xml:space="preserve"> </w:t>
            </w:r>
            <w:r>
              <w:rPr>
                <w:sz w:val="20"/>
                <w:szCs w:val="20"/>
              </w:rPr>
              <w:t>v</w:t>
            </w:r>
            <w:r w:rsidRPr="001E5AC2">
              <w:rPr>
                <w:sz w:val="20"/>
                <w:szCs w:val="20"/>
              </w:rPr>
              <w:t xml:space="preserve">irtual </w:t>
            </w:r>
            <w:r>
              <w:rPr>
                <w:sz w:val="20"/>
                <w:szCs w:val="20"/>
              </w:rPr>
              <w:t>n</w:t>
            </w:r>
            <w:r w:rsidRPr="001E5AC2">
              <w:rPr>
                <w:sz w:val="20"/>
                <w:szCs w:val="20"/>
              </w:rPr>
              <w:t xml:space="preserve">etwork </w:t>
            </w:r>
          </w:p>
        </w:tc>
        <w:tc>
          <w:tcPr>
            <w:tcW w:w="5940" w:type="dxa"/>
            <w:hideMark/>
          </w:tcPr>
          <w:p w14:paraId="2C4C3FEE" w14:textId="61E01BEE" w:rsidR="00A36561" w:rsidRPr="001E5AC2" w:rsidRDefault="00872E47" w:rsidP="00A36561">
            <w:pPr>
              <w:cnfStyle w:val="000000100000" w:firstRow="0" w:lastRow="0" w:firstColumn="0" w:lastColumn="0" w:oddVBand="0" w:evenVBand="0" w:oddHBand="1" w:evenHBand="0" w:firstRowFirstColumn="0" w:firstRowLastColumn="0" w:lastRowFirstColumn="0" w:lastRowLastColumn="0"/>
              <w:rPr>
                <w:sz w:val="20"/>
                <w:szCs w:val="20"/>
              </w:rPr>
            </w:pPr>
            <w:hyperlink r:id="rId359" w:history="1">
              <w:r w:rsidR="00A36561">
                <w:rPr>
                  <w:rStyle w:val="Hyperlink"/>
                  <w:sz w:val="20"/>
                  <w:szCs w:val="20"/>
                </w:rPr>
                <w:t>https://azure.microsoft.com/documentation/articles/virtual-networks-create-virtual network/</w:t>
              </w:r>
            </w:hyperlink>
            <w:r w:rsidR="00A36561" w:rsidRPr="001E5AC2">
              <w:rPr>
                <w:sz w:val="20"/>
                <w:szCs w:val="20"/>
              </w:rPr>
              <w:t xml:space="preserve"> </w:t>
            </w:r>
          </w:p>
        </w:tc>
      </w:tr>
    </w:tbl>
    <w:p w14:paraId="405521CE" w14:textId="77777777" w:rsidR="003722E4" w:rsidRDefault="003722E4" w:rsidP="003722E4">
      <w:pPr>
        <w:rPr>
          <w:lang w:val="en"/>
        </w:rPr>
      </w:pPr>
    </w:p>
    <w:p w14:paraId="1CFEA44B" w14:textId="77777777" w:rsidR="003722E4" w:rsidRDefault="003722E4" w:rsidP="005729D2">
      <w:pPr>
        <w:pStyle w:val="Heading3Numbered"/>
        <w:numPr>
          <w:ilvl w:val="2"/>
          <w:numId w:val="64"/>
        </w:numPr>
      </w:pPr>
      <w:bookmarkStart w:id="3816" w:name="_Toc418156714"/>
      <w:bookmarkStart w:id="3817" w:name="_Toc418167633"/>
      <w:bookmarkStart w:id="3818" w:name="_Toc418185889"/>
      <w:bookmarkStart w:id="3819" w:name="_Toc422941599"/>
      <w:bookmarkStart w:id="3820" w:name="_Toc423116805"/>
      <w:bookmarkStart w:id="3821" w:name="_Toc423117838"/>
      <w:bookmarkStart w:id="3822" w:name="_Toc423117288"/>
      <w:bookmarkStart w:id="3823" w:name="_Toc431288880"/>
      <w:r>
        <w:t>Limitations</w:t>
      </w:r>
      <w:bookmarkEnd w:id="3816"/>
      <w:bookmarkEnd w:id="3817"/>
      <w:bookmarkEnd w:id="3818"/>
      <w:bookmarkEnd w:id="3819"/>
      <w:bookmarkEnd w:id="3820"/>
      <w:bookmarkEnd w:id="3821"/>
      <w:bookmarkEnd w:id="3822"/>
      <w:bookmarkEnd w:id="3823"/>
      <w:r>
        <w:t xml:space="preserve"> </w:t>
      </w:r>
    </w:p>
    <w:p w14:paraId="6FF19D85" w14:textId="7305ECF5" w:rsidR="003722E4" w:rsidRDefault="00A36561" w:rsidP="003722E4">
      <w:r>
        <w:t>Although the capabilities of Azure Virtual Machines are quite comprehensive, there are some native limitations that exist and should be understood by organizations prior to deploying solutions in Azure. These include</w:t>
      </w:r>
      <w:r w:rsidR="003722E4">
        <w:t>:</w:t>
      </w:r>
    </w:p>
    <w:tbl>
      <w:tblPr>
        <w:tblStyle w:val="GridTable4-Accent31"/>
        <w:tblW w:w="0" w:type="auto"/>
        <w:tblLook w:val="0420" w:firstRow="1" w:lastRow="0" w:firstColumn="0" w:lastColumn="0" w:noHBand="0" w:noVBand="1"/>
      </w:tblPr>
      <w:tblGrid>
        <w:gridCol w:w="1532"/>
        <w:gridCol w:w="3379"/>
        <w:gridCol w:w="4439"/>
      </w:tblGrid>
      <w:tr w:rsidR="003722E4" w14:paraId="7CC4F9C2" w14:textId="77777777" w:rsidTr="00131853">
        <w:trPr>
          <w:cnfStyle w:val="100000000000" w:firstRow="1" w:lastRow="0" w:firstColumn="0" w:lastColumn="0" w:oddVBand="0" w:evenVBand="0" w:oddHBand="0" w:evenHBand="0" w:firstRowFirstColumn="0" w:firstRowLastColumn="0" w:lastRowFirstColumn="0" w:lastRowLastColumn="0"/>
        </w:trPr>
        <w:tc>
          <w:tcPr>
            <w:tcW w:w="0" w:type="auto"/>
            <w:shd w:val="clear" w:color="auto" w:fill="808080" w:themeFill="background1" w:themeFillShade="80"/>
            <w:hideMark/>
          </w:tcPr>
          <w:p w14:paraId="2334F413" w14:textId="5CB4CA90" w:rsidR="003722E4" w:rsidRPr="0075717A" w:rsidRDefault="0075717A" w:rsidP="002F63EE">
            <w:pPr>
              <w:spacing w:line="240" w:lineRule="auto"/>
              <w:rPr>
                <w:rFonts w:eastAsia="Calibri"/>
                <w:color w:val="FFFFFF"/>
                <w:sz w:val="20"/>
                <w:szCs w:val="20"/>
                <w:lang w:eastAsia="en-AU"/>
              </w:rPr>
            </w:pPr>
            <w:r>
              <w:rPr>
                <w:rFonts w:eastAsia="Calibri"/>
                <w:bCs w:val="0"/>
                <w:color w:val="FFFFFF"/>
                <w:sz w:val="20"/>
                <w:szCs w:val="20"/>
                <w:lang w:eastAsia="en-AU"/>
              </w:rPr>
              <w:t>Consideration</w:t>
            </w:r>
          </w:p>
        </w:tc>
        <w:tc>
          <w:tcPr>
            <w:tcW w:w="0" w:type="auto"/>
            <w:shd w:val="clear" w:color="auto" w:fill="808080" w:themeFill="background1" w:themeFillShade="80"/>
          </w:tcPr>
          <w:p w14:paraId="41844103" w14:textId="77777777" w:rsidR="003722E4" w:rsidRPr="0075717A" w:rsidRDefault="003722E4" w:rsidP="002F63EE">
            <w:pPr>
              <w:spacing w:line="240" w:lineRule="auto"/>
              <w:rPr>
                <w:rFonts w:eastAsia="Calibri"/>
                <w:color w:val="FFFFFF"/>
                <w:sz w:val="20"/>
                <w:szCs w:val="20"/>
                <w:lang w:eastAsia="en-AU"/>
              </w:rPr>
            </w:pPr>
            <w:r w:rsidRPr="0075717A">
              <w:rPr>
                <w:rFonts w:eastAsia="Calibri"/>
                <w:color w:val="FFFFFF"/>
                <w:sz w:val="20"/>
                <w:szCs w:val="20"/>
                <w:lang w:eastAsia="en-AU"/>
              </w:rPr>
              <w:t>Impact</w:t>
            </w:r>
          </w:p>
        </w:tc>
        <w:tc>
          <w:tcPr>
            <w:tcW w:w="0" w:type="auto"/>
            <w:shd w:val="clear" w:color="auto" w:fill="808080" w:themeFill="background1" w:themeFillShade="80"/>
            <w:hideMark/>
          </w:tcPr>
          <w:p w14:paraId="09BEEE34" w14:textId="77777777" w:rsidR="003722E4" w:rsidRPr="0075717A" w:rsidRDefault="003722E4" w:rsidP="002F63EE">
            <w:pPr>
              <w:spacing w:line="240" w:lineRule="auto"/>
              <w:rPr>
                <w:rFonts w:eastAsia="Calibri"/>
                <w:color w:val="FFFFFF"/>
                <w:sz w:val="20"/>
                <w:szCs w:val="20"/>
                <w:lang w:eastAsia="en-AU"/>
              </w:rPr>
            </w:pPr>
            <w:r w:rsidRPr="0075717A">
              <w:rPr>
                <w:rFonts w:eastAsia="Calibri"/>
                <w:color w:val="FFFFFF"/>
                <w:sz w:val="20"/>
                <w:szCs w:val="20"/>
                <w:lang w:eastAsia="en-AU"/>
              </w:rPr>
              <w:t>Workaround</w:t>
            </w:r>
          </w:p>
        </w:tc>
      </w:tr>
      <w:tr w:rsidR="00A0167E" w14:paraId="6988FF48" w14:textId="77777777" w:rsidTr="001E5AC2">
        <w:trPr>
          <w:cnfStyle w:val="000000100000" w:firstRow="0" w:lastRow="0" w:firstColumn="0" w:lastColumn="0" w:oddVBand="0" w:evenVBand="0" w:oddHBand="1" w:evenHBand="0" w:firstRowFirstColumn="0" w:firstRowLastColumn="0" w:lastRowFirstColumn="0" w:lastRowLastColumn="0"/>
        </w:trPr>
        <w:tc>
          <w:tcPr>
            <w:tcW w:w="0" w:type="auto"/>
          </w:tcPr>
          <w:p w14:paraId="2BAE8283" w14:textId="619BC0F0" w:rsidR="00A0167E" w:rsidRPr="001E5AC2" w:rsidRDefault="00A0167E" w:rsidP="00A0167E">
            <w:pPr>
              <w:rPr>
                <w:sz w:val="20"/>
                <w:szCs w:val="20"/>
              </w:rPr>
            </w:pPr>
            <w:r w:rsidRPr="001E5AC2">
              <w:rPr>
                <w:sz w:val="20"/>
                <w:szCs w:val="20"/>
              </w:rPr>
              <w:t>Auto-</w:t>
            </w:r>
            <w:r>
              <w:rPr>
                <w:sz w:val="20"/>
                <w:szCs w:val="20"/>
              </w:rPr>
              <w:t>s</w:t>
            </w:r>
            <w:r w:rsidRPr="001E5AC2">
              <w:rPr>
                <w:sz w:val="20"/>
                <w:szCs w:val="20"/>
              </w:rPr>
              <w:t>caling</w:t>
            </w:r>
          </w:p>
        </w:tc>
        <w:tc>
          <w:tcPr>
            <w:tcW w:w="0" w:type="auto"/>
          </w:tcPr>
          <w:p w14:paraId="1F741632" w14:textId="77777777" w:rsidR="00A0167E" w:rsidRDefault="00A0167E" w:rsidP="00A0167E">
            <w:pPr>
              <w:rPr>
                <w:sz w:val="20"/>
                <w:szCs w:val="20"/>
              </w:rPr>
            </w:pPr>
            <w:r w:rsidRPr="003E32DB">
              <w:rPr>
                <w:sz w:val="20"/>
                <w:szCs w:val="20"/>
              </w:rPr>
              <w:t>The application environment does not automatically increase or decrease role instances for increase</w:t>
            </w:r>
            <w:r>
              <w:rPr>
                <w:sz w:val="20"/>
                <w:szCs w:val="20"/>
              </w:rPr>
              <w:t>d</w:t>
            </w:r>
            <w:r w:rsidRPr="003E32DB">
              <w:rPr>
                <w:sz w:val="20"/>
                <w:szCs w:val="20"/>
              </w:rPr>
              <w:t xml:space="preserve"> or decrease</w:t>
            </w:r>
            <w:r>
              <w:rPr>
                <w:sz w:val="20"/>
                <w:szCs w:val="20"/>
              </w:rPr>
              <w:t>d</w:t>
            </w:r>
            <w:r w:rsidRPr="003E32DB">
              <w:rPr>
                <w:sz w:val="20"/>
                <w:szCs w:val="20"/>
              </w:rPr>
              <w:t xml:space="preserve"> load</w:t>
            </w:r>
            <w:r>
              <w:rPr>
                <w:sz w:val="20"/>
                <w:szCs w:val="20"/>
              </w:rPr>
              <w:t>s.</w:t>
            </w:r>
          </w:p>
          <w:p w14:paraId="43842D8B" w14:textId="77777777" w:rsidR="00A0167E" w:rsidRPr="00CD3D42" w:rsidRDefault="00A0167E" w:rsidP="005729D2">
            <w:pPr>
              <w:pStyle w:val="ListParagraph"/>
              <w:numPr>
                <w:ilvl w:val="0"/>
                <w:numId w:val="144"/>
              </w:numPr>
              <w:rPr>
                <w:sz w:val="20"/>
                <w:szCs w:val="20"/>
              </w:rPr>
            </w:pPr>
            <w:r w:rsidRPr="00CD3D42">
              <w:rPr>
                <w:sz w:val="20"/>
                <w:szCs w:val="20"/>
              </w:rPr>
              <w:t xml:space="preserve">Someone needs to manually monitor </w:t>
            </w:r>
            <w:r>
              <w:rPr>
                <w:sz w:val="20"/>
                <w:szCs w:val="20"/>
              </w:rPr>
              <w:t>the environment</w:t>
            </w:r>
          </w:p>
          <w:p w14:paraId="7FFB07C9" w14:textId="40D3FBDF" w:rsidR="00A0167E" w:rsidRPr="00CD3D42" w:rsidRDefault="00A0167E" w:rsidP="005729D2">
            <w:pPr>
              <w:pStyle w:val="ListParagraph"/>
              <w:numPr>
                <w:ilvl w:val="0"/>
                <w:numId w:val="144"/>
              </w:numPr>
              <w:rPr>
                <w:sz w:val="20"/>
                <w:szCs w:val="20"/>
              </w:rPr>
            </w:pPr>
            <w:r w:rsidRPr="00CD3D42">
              <w:rPr>
                <w:sz w:val="20"/>
                <w:szCs w:val="20"/>
              </w:rPr>
              <w:t>Sudden increase in load impact</w:t>
            </w:r>
            <w:r>
              <w:rPr>
                <w:sz w:val="20"/>
                <w:szCs w:val="20"/>
              </w:rPr>
              <w:t>s</w:t>
            </w:r>
            <w:r w:rsidRPr="00CD3D42">
              <w:rPr>
                <w:sz w:val="20"/>
                <w:szCs w:val="20"/>
              </w:rPr>
              <w:t xml:space="preserve"> the performance</w:t>
            </w:r>
            <w:r>
              <w:rPr>
                <w:sz w:val="20"/>
                <w:szCs w:val="20"/>
              </w:rPr>
              <w:t>.</w:t>
            </w:r>
            <w:r w:rsidRPr="00CD3D42">
              <w:rPr>
                <w:sz w:val="20"/>
                <w:szCs w:val="20"/>
              </w:rPr>
              <w:t xml:space="preserve"> </w:t>
            </w:r>
          </w:p>
        </w:tc>
        <w:tc>
          <w:tcPr>
            <w:tcW w:w="0" w:type="auto"/>
          </w:tcPr>
          <w:p w14:paraId="5C66A9B2" w14:textId="04CD8421" w:rsidR="00A0167E" w:rsidRDefault="00A0167E" w:rsidP="00A0167E">
            <w:pPr>
              <w:rPr>
                <w:sz w:val="20"/>
                <w:szCs w:val="20"/>
              </w:rPr>
            </w:pPr>
            <w:r>
              <w:rPr>
                <w:sz w:val="20"/>
                <w:szCs w:val="20"/>
              </w:rPr>
              <w:t>Utilize monitoring and automation capabilities such as the Azure Monitoring Agent and Azure Automation to dynamically scale and deploy application code to cloud service instances in the environment.</w:t>
            </w:r>
          </w:p>
        </w:tc>
      </w:tr>
      <w:tr w:rsidR="00A0167E" w14:paraId="4CF8E091" w14:textId="77777777" w:rsidTr="001E5AC2">
        <w:tc>
          <w:tcPr>
            <w:tcW w:w="0" w:type="auto"/>
          </w:tcPr>
          <w:p w14:paraId="47B66365" w14:textId="0C012E75" w:rsidR="00A0167E" w:rsidRPr="001E5AC2" w:rsidRDefault="00A0167E" w:rsidP="00A0167E">
            <w:pPr>
              <w:pStyle w:val="NormalWeb"/>
              <w:spacing w:line="256" w:lineRule="auto"/>
              <w:rPr>
                <w:rFonts w:ascii="Segoe UI" w:hAnsi="Segoe UI" w:cs="Segoe UI"/>
                <w:sz w:val="20"/>
                <w:szCs w:val="20"/>
                <w:lang w:val="en-AU" w:eastAsia="en-AU"/>
              </w:rPr>
            </w:pPr>
            <w:r w:rsidRPr="001E5AC2">
              <w:rPr>
                <w:rFonts w:ascii="Segoe UI" w:hAnsi="Segoe UI" w:cs="Segoe UI"/>
                <w:sz w:val="20"/>
                <w:szCs w:val="20"/>
                <w:lang w:val="en-AU" w:eastAsia="en-AU"/>
              </w:rPr>
              <w:t xml:space="preserve">Load </w:t>
            </w:r>
            <w:r>
              <w:rPr>
                <w:rFonts w:ascii="Segoe UI" w:hAnsi="Segoe UI" w:cs="Segoe UI"/>
                <w:sz w:val="20"/>
                <w:szCs w:val="20"/>
                <w:lang w:val="en-AU" w:eastAsia="en-AU"/>
              </w:rPr>
              <w:t>b</w:t>
            </w:r>
            <w:r w:rsidRPr="001E5AC2">
              <w:rPr>
                <w:rFonts w:ascii="Segoe UI" w:hAnsi="Segoe UI" w:cs="Segoe UI"/>
                <w:sz w:val="20"/>
                <w:szCs w:val="20"/>
                <w:lang w:val="en-AU" w:eastAsia="en-AU"/>
              </w:rPr>
              <w:t>alancing</w:t>
            </w:r>
          </w:p>
        </w:tc>
        <w:tc>
          <w:tcPr>
            <w:tcW w:w="0" w:type="auto"/>
          </w:tcPr>
          <w:p w14:paraId="0EC4C804" w14:textId="77777777" w:rsidR="00A0167E" w:rsidRDefault="00A0167E" w:rsidP="00A0167E">
            <w:pPr>
              <w:rPr>
                <w:rFonts w:cs="Segoe UI"/>
                <w:sz w:val="20"/>
                <w:szCs w:val="20"/>
                <w:lang w:val="en-AU" w:eastAsia="en-AU"/>
              </w:rPr>
            </w:pPr>
            <w:r>
              <w:rPr>
                <w:rFonts w:cs="Segoe UI"/>
                <w:sz w:val="20"/>
                <w:szCs w:val="20"/>
                <w:lang w:val="en-AU" w:eastAsia="en-AU"/>
              </w:rPr>
              <w:t>Application instances</w:t>
            </w:r>
            <w:r w:rsidRPr="00CD3D42">
              <w:rPr>
                <w:rFonts w:cs="Segoe UI"/>
                <w:sz w:val="20"/>
                <w:szCs w:val="20"/>
                <w:lang w:val="en-AU" w:eastAsia="en-AU"/>
              </w:rPr>
              <w:t xml:space="preserve"> are not load balanced by default</w:t>
            </w:r>
            <w:r>
              <w:rPr>
                <w:rFonts w:cs="Segoe UI"/>
                <w:sz w:val="20"/>
                <w:szCs w:val="20"/>
                <w:lang w:val="en-AU" w:eastAsia="en-AU"/>
              </w:rPr>
              <w:t>.</w:t>
            </w:r>
          </w:p>
          <w:p w14:paraId="2E39F83A" w14:textId="77777777" w:rsidR="00A0167E" w:rsidRPr="00CD3D42" w:rsidRDefault="00A0167E" w:rsidP="005729D2">
            <w:pPr>
              <w:pStyle w:val="ListParagraph"/>
              <w:numPr>
                <w:ilvl w:val="0"/>
                <w:numId w:val="145"/>
              </w:numPr>
              <w:rPr>
                <w:sz w:val="20"/>
                <w:szCs w:val="20"/>
              </w:rPr>
            </w:pPr>
            <w:r w:rsidRPr="00CD3D42">
              <w:rPr>
                <w:sz w:val="20"/>
                <w:szCs w:val="20"/>
              </w:rPr>
              <w:t>It does not allow for elasticity of the application environment.</w:t>
            </w:r>
            <w:r>
              <w:rPr>
                <w:sz w:val="20"/>
                <w:szCs w:val="20"/>
              </w:rPr>
              <w:t xml:space="preserve"> </w:t>
            </w:r>
          </w:p>
          <w:p w14:paraId="7E5B936D" w14:textId="00F49A72" w:rsidR="00A0167E" w:rsidRPr="00CD3D42" w:rsidRDefault="00A0167E" w:rsidP="005729D2">
            <w:pPr>
              <w:pStyle w:val="ListParagraph"/>
              <w:numPr>
                <w:ilvl w:val="0"/>
                <w:numId w:val="145"/>
              </w:numPr>
              <w:rPr>
                <w:sz w:val="20"/>
                <w:szCs w:val="20"/>
              </w:rPr>
            </w:pPr>
            <w:r w:rsidRPr="00CD3D42">
              <w:rPr>
                <w:sz w:val="20"/>
                <w:szCs w:val="20"/>
              </w:rPr>
              <w:t>Sudden increase in load impact</w:t>
            </w:r>
            <w:r>
              <w:rPr>
                <w:sz w:val="20"/>
                <w:szCs w:val="20"/>
              </w:rPr>
              <w:t>s</w:t>
            </w:r>
            <w:r w:rsidRPr="00CD3D42">
              <w:rPr>
                <w:sz w:val="20"/>
                <w:szCs w:val="20"/>
              </w:rPr>
              <w:t xml:space="preserve"> the performance</w:t>
            </w:r>
            <w:r>
              <w:rPr>
                <w:sz w:val="20"/>
                <w:szCs w:val="20"/>
              </w:rPr>
              <w:t>.</w:t>
            </w:r>
            <w:r w:rsidRPr="00CD3D42">
              <w:rPr>
                <w:sz w:val="20"/>
                <w:szCs w:val="20"/>
              </w:rPr>
              <w:t xml:space="preserve"> </w:t>
            </w:r>
          </w:p>
        </w:tc>
        <w:tc>
          <w:tcPr>
            <w:tcW w:w="0" w:type="auto"/>
          </w:tcPr>
          <w:p w14:paraId="1A33B6CF" w14:textId="1DF0BD2D" w:rsidR="00A0167E" w:rsidRDefault="00A0167E" w:rsidP="00A0167E">
            <w:pPr>
              <w:rPr>
                <w:sz w:val="20"/>
                <w:szCs w:val="20"/>
              </w:rPr>
            </w:pPr>
            <w:r>
              <w:rPr>
                <w:sz w:val="20"/>
                <w:szCs w:val="20"/>
              </w:rPr>
              <w:t>After the cloud service is provisioned, create an Internal Load Balancer and associate it with the cloud service endpoint.</w:t>
            </w:r>
          </w:p>
        </w:tc>
      </w:tr>
      <w:tr w:rsidR="00A0167E" w14:paraId="64EA50A5" w14:textId="77777777" w:rsidTr="001E5AC2">
        <w:trPr>
          <w:cnfStyle w:val="000000100000" w:firstRow="0" w:lastRow="0" w:firstColumn="0" w:lastColumn="0" w:oddVBand="0" w:evenVBand="0" w:oddHBand="1" w:evenHBand="0" w:firstRowFirstColumn="0" w:firstRowLastColumn="0" w:lastRowFirstColumn="0" w:lastRowLastColumn="0"/>
        </w:trPr>
        <w:tc>
          <w:tcPr>
            <w:tcW w:w="0" w:type="auto"/>
          </w:tcPr>
          <w:p w14:paraId="02CBEB74" w14:textId="13F1C971" w:rsidR="00A0167E" w:rsidRPr="001E5AC2" w:rsidRDefault="00A0167E" w:rsidP="00A0167E">
            <w:pPr>
              <w:pStyle w:val="NormalWeb"/>
              <w:spacing w:line="256" w:lineRule="auto"/>
              <w:rPr>
                <w:rFonts w:ascii="Segoe UI" w:hAnsi="Segoe UI" w:cs="Segoe UI"/>
                <w:sz w:val="20"/>
                <w:szCs w:val="20"/>
                <w:lang w:val="en-AU" w:eastAsia="en-AU"/>
              </w:rPr>
            </w:pPr>
            <w:r w:rsidRPr="001E5AC2">
              <w:rPr>
                <w:rFonts w:ascii="Segoe UI" w:hAnsi="Segoe UI" w:cs="Segoe UI"/>
                <w:sz w:val="20"/>
                <w:szCs w:val="20"/>
                <w:lang w:val="en-AU" w:eastAsia="en-AU"/>
              </w:rPr>
              <w:t>Density</w:t>
            </w:r>
          </w:p>
        </w:tc>
        <w:tc>
          <w:tcPr>
            <w:tcW w:w="0" w:type="auto"/>
          </w:tcPr>
          <w:p w14:paraId="64146D46" w14:textId="7B945E91" w:rsidR="00A0167E" w:rsidRDefault="00A0167E" w:rsidP="00A0167E">
            <w:pPr>
              <w:rPr>
                <w:sz w:val="20"/>
                <w:szCs w:val="20"/>
              </w:rPr>
            </w:pPr>
            <w:r>
              <w:rPr>
                <w:rFonts w:cs="Segoe UI"/>
                <w:sz w:val="20"/>
                <w:szCs w:val="20"/>
                <w:lang w:val="en-AU" w:eastAsia="en-AU"/>
              </w:rPr>
              <w:t>The total cloud services per subscription is 20.</w:t>
            </w:r>
          </w:p>
        </w:tc>
        <w:tc>
          <w:tcPr>
            <w:tcW w:w="0" w:type="auto"/>
          </w:tcPr>
          <w:p w14:paraId="7EB0EFBE" w14:textId="4F775E7D" w:rsidR="00A0167E" w:rsidRDefault="00A0167E" w:rsidP="00A0167E">
            <w:pPr>
              <w:rPr>
                <w:sz w:val="20"/>
                <w:szCs w:val="20"/>
              </w:rPr>
            </w:pPr>
            <w:r>
              <w:rPr>
                <w:sz w:val="20"/>
                <w:szCs w:val="20"/>
              </w:rPr>
              <w:t>Leverage multiple subscriptions to provide the proper level of segmentation.</w:t>
            </w:r>
          </w:p>
        </w:tc>
      </w:tr>
    </w:tbl>
    <w:p w14:paraId="208118CA" w14:textId="77777777" w:rsidR="003722E4" w:rsidRDefault="003722E4" w:rsidP="005729D2">
      <w:pPr>
        <w:pStyle w:val="Heading3Numbered"/>
        <w:numPr>
          <w:ilvl w:val="2"/>
          <w:numId w:val="64"/>
        </w:numPr>
      </w:pPr>
      <w:bookmarkStart w:id="3824" w:name="_Toc418123918"/>
      <w:bookmarkStart w:id="3825" w:name="_Toc418124120"/>
      <w:bookmarkStart w:id="3826" w:name="_Toc418124322"/>
      <w:bookmarkStart w:id="3827" w:name="_Toc418123919"/>
      <w:bookmarkStart w:id="3828" w:name="_Toc418124121"/>
      <w:bookmarkStart w:id="3829" w:name="_Toc418124323"/>
      <w:bookmarkStart w:id="3830" w:name="_Toc418123920"/>
      <w:bookmarkStart w:id="3831" w:name="_Toc418124122"/>
      <w:bookmarkStart w:id="3832" w:name="_Toc418124324"/>
      <w:bookmarkStart w:id="3833" w:name="_Toc418123921"/>
      <w:bookmarkStart w:id="3834" w:name="_Toc418124123"/>
      <w:bookmarkStart w:id="3835" w:name="_Toc418124325"/>
      <w:bookmarkStart w:id="3836" w:name="_Toc418156715"/>
      <w:bookmarkStart w:id="3837" w:name="_Toc418167634"/>
      <w:bookmarkStart w:id="3838" w:name="_Toc418185890"/>
      <w:bookmarkStart w:id="3839" w:name="_Toc422941600"/>
      <w:bookmarkStart w:id="3840" w:name="_Toc423116806"/>
      <w:bookmarkStart w:id="3841" w:name="_Toc423117839"/>
      <w:bookmarkStart w:id="3842" w:name="_Toc423117289"/>
      <w:bookmarkStart w:id="3843" w:name="_Toc431288881"/>
      <w:bookmarkEnd w:id="3824"/>
      <w:bookmarkEnd w:id="3825"/>
      <w:bookmarkEnd w:id="3826"/>
      <w:bookmarkEnd w:id="3827"/>
      <w:bookmarkEnd w:id="3828"/>
      <w:bookmarkEnd w:id="3829"/>
      <w:bookmarkEnd w:id="3830"/>
      <w:bookmarkEnd w:id="3831"/>
      <w:bookmarkEnd w:id="3832"/>
      <w:bookmarkEnd w:id="3833"/>
      <w:bookmarkEnd w:id="3834"/>
      <w:bookmarkEnd w:id="3835"/>
      <w:r>
        <w:t>Management Considerations for Azure PaaS Cloud Services</w:t>
      </w:r>
      <w:bookmarkEnd w:id="3836"/>
      <w:bookmarkEnd w:id="3837"/>
      <w:bookmarkEnd w:id="3838"/>
      <w:bookmarkEnd w:id="3839"/>
      <w:bookmarkEnd w:id="3840"/>
      <w:bookmarkEnd w:id="3841"/>
      <w:bookmarkEnd w:id="3842"/>
      <w:bookmarkEnd w:id="3843"/>
    </w:p>
    <w:p w14:paraId="10897BD7" w14:textId="0365695C" w:rsidR="00A0167E" w:rsidRDefault="003722E4" w:rsidP="00A0167E">
      <w:pPr>
        <w:rPr>
          <w:rFonts w:eastAsia="Times New Roman"/>
        </w:rPr>
      </w:pPr>
      <w:r>
        <w:t>Azure</w:t>
      </w:r>
      <w:r w:rsidR="00A0167E">
        <w:t xml:space="preserve"> Diagnostics</w:t>
      </w:r>
      <w:r w:rsidR="00A0167E" w:rsidRPr="00425B49">
        <w:rPr>
          <w:rFonts w:eastAsia="Times New Roman"/>
        </w:rPr>
        <w:t xml:space="preserve"> are Azure extensions that enable you to collect diagnostic telemetry data from a worker role, web role, or virtual machine running in Azure. The telemetry data is stored in an Azure </w:t>
      </w:r>
      <w:r w:rsidR="00A0167E">
        <w:rPr>
          <w:rFonts w:eastAsia="Times New Roman"/>
        </w:rPr>
        <w:t>S</w:t>
      </w:r>
      <w:r w:rsidR="00A0167E" w:rsidRPr="00425B49">
        <w:rPr>
          <w:rFonts w:eastAsia="Times New Roman"/>
        </w:rPr>
        <w:t>torage account and can be used for debugging and troubleshooting, measuring performance, monitoring resource usage, traffic analysis</w:t>
      </w:r>
      <w:r w:rsidR="00A0167E">
        <w:rPr>
          <w:rFonts w:eastAsia="Times New Roman"/>
        </w:rPr>
        <w:t>,</w:t>
      </w:r>
      <w:r w:rsidR="00A0167E" w:rsidRPr="00425B49">
        <w:rPr>
          <w:rFonts w:eastAsia="Times New Roman"/>
        </w:rPr>
        <w:t xml:space="preserve"> c</w:t>
      </w:r>
      <w:r w:rsidR="00A0167E">
        <w:rPr>
          <w:rFonts w:eastAsia="Times New Roman"/>
        </w:rPr>
        <w:t>apacity planning, and auditing.</w:t>
      </w:r>
    </w:p>
    <w:p w14:paraId="1BC0FF24" w14:textId="056099D6" w:rsidR="003722E4" w:rsidRPr="00425B49" w:rsidRDefault="00A0167E" w:rsidP="00A0167E">
      <w:pPr>
        <w:rPr>
          <w:rFonts w:eastAsia="Times New Roman"/>
        </w:rPr>
      </w:pPr>
      <w:r w:rsidRPr="00425B49">
        <w:rPr>
          <w:rFonts w:eastAsia="Times New Roman"/>
        </w:rPr>
        <w:t>Azure Diagnostics can collect the following types of telemetry</w:t>
      </w:r>
      <w:r w:rsidR="003722E4" w:rsidRPr="00425B49">
        <w:rPr>
          <w:rFonts w:eastAsia="Times New Roman"/>
        </w:rPr>
        <w:t>:</w:t>
      </w:r>
    </w:p>
    <w:tbl>
      <w:tblPr>
        <w:tblStyle w:val="GridTable4-Accent31"/>
        <w:tblW w:w="0" w:type="auto"/>
        <w:tblLook w:val="0420" w:firstRow="1" w:lastRow="0" w:firstColumn="0" w:lastColumn="0" w:noHBand="0" w:noVBand="1"/>
      </w:tblPr>
      <w:tblGrid>
        <w:gridCol w:w="3108"/>
        <w:gridCol w:w="6242"/>
      </w:tblGrid>
      <w:tr w:rsidR="003722E4" w:rsidRPr="00F51512" w14:paraId="2B297918" w14:textId="77777777" w:rsidTr="00131853">
        <w:trPr>
          <w:cnfStyle w:val="100000000000" w:firstRow="1" w:lastRow="0" w:firstColumn="0" w:lastColumn="0" w:oddVBand="0" w:evenVBand="0" w:oddHBand="0" w:evenHBand="0" w:firstRowFirstColumn="0" w:firstRowLastColumn="0" w:lastRowFirstColumn="0" w:lastRowLastColumn="0"/>
          <w:trHeight w:val="335"/>
        </w:trPr>
        <w:tc>
          <w:tcPr>
            <w:tcW w:w="0" w:type="auto"/>
            <w:shd w:val="clear" w:color="auto" w:fill="808080" w:themeFill="background1" w:themeFillShade="80"/>
            <w:hideMark/>
          </w:tcPr>
          <w:p w14:paraId="5608CC30" w14:textId="77777777" w:rsidR="003722E4" w:rsidRPr="0075717A" w:rsidRDefault="003722E4" w:rsidP="001E5AC2">
            <w:pPr>
              <w:spacing w:line="240" w:lineRule="auto"/>
              <w:rPr>
                <w:rFonts w:eastAsia="Calibri"/>
                <w:color w:val="FFFFFF"/>
                <w:sz w:val="20"/>
                <w:szCs w:val="20"/>
                <w:lang w:eastAsia="en-AU"/>
              </w:rPr>
            </w:pPr>
            <w:r w:rsidRPr="0075717A">
              <w:rPr>
                <w:rFonts w:eastAsia="Calibri"/>
                <w:color w:val="FFFFFF"/>
                <w:sz w:val="20"/>
                <w:szCs w:val="20"/>
                <w:lang w:eastAsia="en-AU"/>
              </w:rPr>
              <w:t>Data Source</w:t>
            </w:r>
          </w:p>
        </w:tc>
        <w:tc>
          <w:tcPr>
            <w:tcW w:w="0" w:type="auto"/>
            <w:shd w:val="clear" w:color="auto" w:fill="808080" w:themeFill="background1" w:themeFillShade="80"/>
            <w:hideMark/>
          </w:tcPr>
          <w:p w14:paraId="2A8E2B8D" w14:textId="77777777" w:rsidR="003722E4" w:rsidRPr="0075717A" w:rsidRDefault="003722E4" w:rsidP="001E5AC2">
            <w:pPr>
              <w:spacing w:line="240" w:lineRule="auto"/>
              <w:rPr>
                <w:rFonts w:eastAsia="Calibri"/>
                <w:color w:val="FFFFFF"/>
                <w:sz w:val="20"/>
                <w:szCs w:val="20"/>
                <w:lang w:eastAsia="en-AU"/>
              </w:rPr>
            </w:pPr>
            <w:r w:rsidRPr="0075717A">
              <w:rPr>
                <w:rFonts w:eastAsia="Calibri"/>
                <w:color w:val="FFFFFF"/>
                <w:sz w:val="20"/>
                <w:szCs w:val="20"/>
                <w:lang w:eastAsia="en-AU"/>
              </w:rPr>
              <w:t>Description</w:t>
            </w:r>
          </w:p>
        </w:tc>
      </w:tr>
      <w:tr w:rsidR="00A0167E" w:rsidRPr="00F51512" w14:paraId="3E5FE4C5" w14:textId="77777777" w:rsidTr="001E5AC2">
        <w:trPr>
          <w:cnfStyle w:val="000000100000" w:firstRow="0" w:lastRow="0" w:firstColumn="0" w:lastColumn="0" w:oddVBand="0" w:evenVBand="0" w:oddHBand="1" w:evenHBand="0" w:firstRowFirstColumn="0" w:firstRowLastColumn="0" w:lastRowFirstColumn="0" w:lastRowLastColumn="0"/>
          <w:trHeight w:val="319"/>
        </w:trPr>
        <w:tc>
          <w:tcPr>
            <w:tcW w:w="0" w:type="auto"/>
            <w:hideMark/>
          </w:tcPr>
          <w:p w14:paraId="71176263" w14:textId="502E6A42" w:rsidR="00A0167E" w:rsidRPr="00AC6CC7" w:rsidRDefault="00A0167E" w:rsidP="00A0167E">
            <w:pPr>
              <w:spacing w:after="0" w:line="315" w:lineRule="atLeast"/>
              <w:rPr>
                <w:rFonts w:eastAsia="Times New Roman" w:cs="Segoe UI"/>
                <w:sz w:val="20"/>
                <w:szCs w:val="20"/>
              </w:rPr>
            </w:pPr>
            <w:r w:rsidRPr="00AC6CC7">
              <w:rPr>
                <w:rFonts w:eastAsia="Times New Roman" w:cs="Segoe UI"/>
                <w:sz w:val="20"/>
                <w:szCs w:val="20"/>
              </w:rPr>
              <w:t xml:space="preserve">IIS </w:t>
            </w:r>
            <w:r>
              <w:rPr>
                <w:rFonts w:eastAsia="Times New Roman" w:cs="Segoe UI"/>
                <w:sz w:val="20"/>
                <w:szCs w:val="20"/>
              </w:rPr>
              <w:t>l</w:t>
            </w:r>
            <w:r w:rsidRPr="00AC6CC7">
              <w:rPr>
                <w:rFonts w:eastAsia="Times New Roman" w:cs="Segoe UI"/>
                <w:sz w:val="20"/>
                <w:szCs w:val="20"/>
              </w:rPr>
              <w:t>ogs</w:t>
            </w:r>
          </w:p>
        </w:tc>
        <w:tc>
          <w:tcPr>
            <w:tcW w:w="0" w:type="auto"/>
            <w:hideMark/>
          </w:tcPr>
          <w:p w14:paraId="2926538C" w14:textId="1F5E5B8D" w:rsidR="00A0167E" w:rsidRPr="00AC6CC7" w:rsidRDefault="00A0167E" w:rsidP="00A0167E">
            <w:pPr>
              <w:spacing w:after="0" w:line="315" w:lineRule="atLeast"/>
              <w:rPr>
                <w:rFonts w:eastAsia="Times New Roman" w:cs="Segoe UI"/>
                <w:sz w:val="20"/>
                <w:szCs w:val="20"/>
              </w:rPr>
            </w:pPr>
            <w:r w:rsidRPr="00AC6CC7">
              <w:rPr>
                <w:rFonts w:eastAsia="Times New Roman" w:cs="Segoe UI"/>
                <w:sz w:val="20"/>
                <w:szCs w:val="20"/>
              </w:rPr>
              <w:t>Information about IIS websites.</w:t>
            </w:r>
          </w:p>
        </w:tc>
      </w:tr>
      <w:tr w:rsidR="00A0167E" w:rsidRPr="00F51512" w14:paraId="7202201F" w14:textId="77777777" w:rsidTr="001E5AC2">
        <w:trPr>
          <w:trHeight w:val="335"/>
        </w:trPr>
        <w:tc>
          <w:tcPr>
            <w:tcW w:w="0" w:type="auto"/>
            <w:hideMark/>
          </w:tcPr>
          <w:p w14:paraId="7FD83B45" w14:textId="2D6D01D6" w:rsidR="00A0167E" w:rsidRPr="00AC6CC7" w:rsidRDefault="00A0167E" w:rsidP="00A0167E">
            <w:pPr>
              <w:spacing w:after="0" w:line="315" w:lineRule="atLeast"/>
              <w:rPr>
                <w:rFonts w:eastAsia="Times New Roman" w:cs="Segoe UI"/>
                <w:sz w:val="20"/>
                <w:szCs w:val="20"/>
              </w:rPr>
            </w:pPr>
            <w:r w:rsidRPr="00AC6CC7">
              <w:rPr>
                <w:rFonts w:eastAsia="Times New Roman" w:cs="Segoe UI"/>
                <w:sz w:val="20"/>
                <w:szCs w:val="20"/>
              </w:rPr>
              <w:t>Azure Diagnostic</w:t>
            </w:r>
            <w:r>
              <w:rPr>
                <w:rFonts w:eastAsia="Times New Roman" w:cs="Segoe UI"/>
                <w:sz w:val="20"/>
                <w:szCs w:val="20"/>
              </w:rPr>
              <w:t>s</w:t>
            </w:r>
            <w:r w:rsidRPr="00AC6CC7">
              <w:rPr>
                <w:rFonts w:eastAsia="Times New Roman" w:cs="Segoe UI"/>
                <w:sz w:val="20"/>
                <w:szCs w:val="20"/>
              </w:rPr>
              <w:t xml:space="preserve"> infrastructure logs</w:t>
            </w:r>
          </w:p>
        </w:tc>
        <w:tc>
          <w:tcPr>
            <w:tcW w:w="0" w:type="auto"/>
            <w:hideMark/>
          </w:tcPr>
          <w:p w14:paraId="2566C0E0" w14:textId="05CF45A8" w:rsidR="00A0167E" w:rsidRPr="00AC6CC7" w:rsidRDefault="00A0167E" w:rsidP="00A0167E">
            <w:pPr>
              <w:spacing w:after="0" w:line="315" w:lineRule="atLeast"/>
              <w:rPr>
                <w:rFonts w:eastAsia="Times New Roman" w:cs="Segoe UI"/>
                <w:sz w:val="20"/>
                <w:szCs w:val="20"/>
              </w:rPr>
            </w:pPr>
            <w:r w:rsidRPr="00AC6CC7">
              <w:rPr>
                <w:rFonts w:eastAsia="Times New Roman" w:cs="Segoe UI"/>
                <w:sz w:val="20"/>
                <w:szCs w:val="20"/>
              </w:rPr>
              <w:t xml:space="preserve">Information about </w:t>
            </w:r>
            <w:r>
              <w:rPr>
                <w:rFonts w:eastAsia="Times New Roman" w:cs="Segoe UI"/>
                <w:sz w:val="20"/>
                <w:szCs w:val="20"/>
              </w:rPr>
              <w:t xml:space="preserve">Azure </w:t>
            </w:r>
            <w:r w:rsidRPr="00AC6CC7">
              <w:rPr>
                <w:rFonts w:eastAsia="Times New Roman" w:cs="Segoe UI"/>
                <w:sz w:val="20"/>
                <w:szCs w:val="20"/>
              </w:rPr>
              <w:t>Diagnostics.</w:t>
            </w:r>
          </w:p>
        </w:tc>
      </w:tr>
      <w:tr w:rsidR="00A0167E" w:rsidRPr="00F51512" w14:paraId="0C376D69" w14:textId="77777777" w:rsidTr="001E5AC2">
        <w:trPr>
          <w:cnfStyle w:val="000000100000" w:firstRow="0" w:lastRow="0" w:firstColumn="0" w:lastColumn="0" w:oddVBand="0" w:evenVBand="0" w:oddHBand="1" w:evenHBand="0" w:firstRowFirstColumn="0" w:firstRowLastColumn="0" w:lastRowFirstColumn="0" w:lastRowLastColumn="0"/>
          <w:trHeight w:val="335"/>
        </w:trPr>
        <w:tc>
          <w:tcPr>
            <w:tcW w:w="0" w:type="auto"/>
            <w:hideMark/>
          </w:tcPr>
          <w:p w14:paraId="569741CB" w14:textId="28077771" w:rsidR="00A0167E" w:rsidRPr="00AC6CC7" w:rsidRDefault="00A0167E" w:rsidP="00A0167E">
            <w:pPr>
              <w:spacing w:after="0" w:line="315" w:lineRule="atLeast"/>
              <w:rPr>
                <w:rFonts w:eastAsia="Times New Roman" w:cs="Segoe UI"/>
                <w:sz w:val="20"/>
                <w:szCs w:val="20"/>
              </w:rPr>
            </w:pPr>
            <w:r w:rsidRPr="00AC6CC7">
              <w:rPr>
                <w:rFonts w:eastAsia="Times New Roman" w:cs="Segoe UI"/>
                <w:sz w:val="20"/>
                <w:szCs w:val="20"/>
              </w:rPr>
              <w:t xml:space="preserve">IIS </w:t>
            </w:r>
            <w:r>
              <w:rPr>
                <w:rFonts w:eastAsia="Times New Roman" w:cs="Segoe UI"/>
                <w:sz w:val="20"/>
                <w:szCs w:val="20"/>
              </w:rPr>
              <w:t>f</w:t>
            </w:r>
            <w:r w:rsidRPr="00AC6CC7">
              <w:rPr>
                <w:rFonts w:eastAsia="Times New Roman" w:cs="Segoe UI"/>
                <w:sz w:val="20"/>
                <w:szCs w:val="20"/>
              </w:rPr>
              <w:t xml:space="preserve">ailed </w:t>
            </w:r>
            <w:r>
              <w:rPr>
                <w:rFonts w:eastAsia="Times New Roman" w:cs="Segoe UI"/>
                <w:sz w:val="20"/>
                <w:szCs w:val="20"/>
              </w:rPr>
              <w:t>r</w:t>
            </w:r>
            <w:r w:rsidRPr="00AC6CC7">
              <w:rPr>
                <w:rFonts w:eastAsia="Times New Roman" w:cs="Segoe UI"/>
                <w:sz w:val="20"/>
                <w:szCs w:val="20"/>
              </w:rPr>
              <w:t>equest logs</w:t>
            </w:r>
          </w:p>
        </w:tc>
        <w:tc>
          <w:tcPr>
            <w:tcW w:w="0" w:type="auto"/>
            <w:hideMark/>
          </w:tcPr>
          <w:p w14:paraId="03C3DE65" w14:textId="1A1D56DD" w:rsidR="00A0167E" w:rsidRPr="00AC6CC7" w:rsidRDefault="00A0167E" w:rsidP="00A0167E">
            <w:pPr>
              <w:spacing w:after="0" w:line="315" w:lineRule="atLeast"/>
              <w:rPr>
                <w:rFonts w:eastAsia="Times New Roman" w:cs="Segoe UI"/>
                <w:sz w:val="20"/>
                <w:szCs w:val="20"/>
              </w:rPr>
            </w:pPr>
            <w:r w:rsidRPr="00AC6CC7">
              <w:rPr>
                <w:rFonts w:eastAsia="Times New Roman" w:cs="Segoe UI"/>
                <w:sz w:val="20"/>
                <w:szCs w:val="20"/>
              </w:rPr>
              <w:t>Information about failed requests to an IIS site or application.</w:t>
            </w:r>
          </w:p>
        </w:tc>
      </w:tr>
      <w:tr w:rsidR="00A0167E" w:rsidRPr="00F51512" w14:paraId="3DFB887F" w14:textId="77777777" w:rsidTr="001E5AC2">
        <w:trPr>
          <w:trHeight w:val="319"/>
        </w:trPr>
        <w:tc>
          <w:tcPr>
            <w:tcW w:w="0" w:type="auto"/>
            <w:hideMark/>
          </w:tcPr>
          <w:p w14:paraId="456D08C5" w14:textId="1FD949C9" w:rsidR="00A0167E" w:rsidRPr="00AC6CC7" w:rsidRDefault="00A0167E" w:rsidP="00A0167E">
            <w:pPr>
              <w:spacing w:after="0" w:line="315" w:lineRule="atLeast"/>
              <w:rPr>
                <w:rFonts w:eastAsia="Times New Roman" w:cs="Segoe UI"/>
                <w:sz w:val="20"/>
                <w:szCs w:val="20"/>
              </w:rPr>
            </w:pPr>
            <w:r w:rsidRPr="00AC6CC7">
              <w:rPr>
                <w:rFonts w:eastAsia="Times New Roman" w:cs="Segoe UI"/>
                <w:sz w:val="20"/>
                <w:szCs w:val="20"/>
              </w:rPr>
              <w:t>Windows Event logs</w:t>
            </w:r>
          </w:p>
        </w:tc>
        <w:tc>
          <w:tcPr>
            <w:tcW w:w="0" w:type="auto"/>
            <w:hideMark/>
          </w:tcPr>
          <w:p w14:paraId="02F64D2E" w14:textId="387BF342" w:rsidR="00A0167E" w:rsidRPr="00AC6CC7" w:rsidRDefault="00A0167E" w:rsidP="00A0167E">
            <w:pPr>
              <w:spacing w:after="0" w:line="315" w:lineRule="atLeast"/>
              <w:rPr>
                <w:rFonts w:eastAsia="Times New Roman" w:cs="Segoe UI"/>
                <w:sz w:val="20"/>
                <w:szCs w:val="20"/>
              </w:rPr>
            </w:pPr>
            <w:r w:rsidRPr="00AC6CC7">
              <w:rPr>
                <w:rFonts w:eastAsia="Times New Roman" w:cs="Segoe UI"/>
                <w:sz w:val="20"/>
                <w:szCs w:val="20"/>
              </w:rPr>
              <w:t>Information sent to the Windows event logging system.</w:t>
            </w:r>
          </w:p>
        </w:tc>
      </w:tr>
      <w:tr w:rsidR="00A0167E" w:rsidRPr="00F51512" w14:paraId="04F2B251" w14:textId="77777777" w:rsidTr="001E5AC2">
        <w:trPr>
          <w:cnfStyle w:val="000000100000" w:firstRow="0" w:lastRow="0" w:firstColumn="0" w:lastColumn="0" w:oddVBand="0" w:evenVBand="0" w:oddHBand="1" w:evenHBand="0" w:firstRowFirstColumn="0" w:firstRowLastColumn="0" w:lastRowFirstColumn="0" w:lastRowLastColumn="0"/>
          <w:trHeight w:val="335"/>
        </w:trPr>
        <w:tc>
          <w:tcPr>
            <w:tcW w:w="0" w:type="auto"/>
            <w:hideMark/>
          </w:tcPr>
          <w:p w14:paraId="75B03F1C" w14:textId="7980AB41" w:rsidR="00A0167E" w:rsidRPr="00AC6CC7" w:rsidRDefault="00A0167E" w:rsidP="00A0167E">
            <w:pPr>
              <w:spacing w:after="0" w:line="315" w:lineRule="atLeast"/>
              <w:rPr>
                <w:rFonts w:eastAsia="Times New Roman" w:cs="Segoe UI"/>
                <w:sz w:val="20"/>
                <w:szCs w:val="20"/>
              </w:rPr>
            </w:pPr>
            <w:r w:rsidRPr="00AC6CC7">
              <w:rPr>
                <w:rFonts w:eastAsia="Times New Roman" w:cs="Segoe UI"/>
                <w:sz w:val="20"/>
                <w:szCs w:val="20"/>
              </w:rPr>
              <w:t>Performance counters</w:t>
            </w:r>
          </w:p>
        </w:tc>
        <w:tc>
          <w:tcPr>
            <w:tcW w:w="0" w:type="auto"/>
            <w:hideMark/>
          </w:tcPr>
          <w:p w14:paraId="05721740" w14:textId="47D3FCF0" w:rsidR="00A0167E" w:rsidRPr="00AC6CC7" w:rsidRDefault="00A0167E" w:rsidP="00A0167E">
            <w:pPr>
              <w:spacing w:after="0" w:line="315" w:lineRule="atLeast"/>
              <w:rPr>
                <w:rFonts w:eastAsia="Times New Roman" w:cs="Segoe UI"/>
                <w:sz w:val="20"/>
                <w:szCs w:val="20"/>
              </w:rPr>
            </w:pPr>
            <w:r w:rsidRPr="00AC6CC7">
              <w:rPr>
                <w:rFonts w:eastAsia="Times New Roman" w:cs="Segoe UI"/>
                <w:sz w:val="20"/>
                <w:szCs w:val="20"/>
              </w:rPr>
              <w:t xml:space="preserve">Operating </w:t>
            </w:r>
            <w:r>
              <w:rPr>
                <w:rFonts w:eastAsia="Times New Roman" w:cs="Segoe UI"/>
                <w:sz w:val="20"/>
                <w:szCs w:val="20"/>
              </w:rPr>
              <w:t>s</w:t>
            </w:r>
            <w:r w:rsidRPr="00AC6CC7">
              <w:rPr>
                <w:rFonts w:eastAsia="Times New Roman" w:cs="Segoe UI"/>
                <w:sz w:val="20"/>
                <w:szCs w:val="20"/>
              </w:rPr>
              <w:t>ystem and custom performance counters.</w:t>
            </w:r>
          </w:p>
        </w:tc>
      </w:tr>
      <w:tr w:rsidR="00A0167E" w:rsidRPr="00F51512" w14:paraId="7AC66A5F" w14:textId="77777777" w:rsidTr="001E5AC2">
        <w:trPr>
          <w:trHeight w:val="335"/>
        </w:trPr>
        <w:tc>
          <w:tcPr>
            <w:tcW w:w="0" w:type="auto"/>
            <w:hideMark/>
          </w:tcPr>
          <w:p w14:paraId="6DAF8C83" w14:textId="23F6969B" w:rsidR="00A0167E" w:rsidRPr="00AC6CC7" w:rsidRDefault="00A0167E" w:rsidP="00A0167E">
            <w:pPr>
              <w:spacing w:after="0" w:line="315" w:lineRule="atLeast"/>
              <w:rPr>
                <w:rFonts w:eastAsia="Times New Roman" w:cs="Segoe UI"/>
                <w:sz w:val="20"/>
                <w:szCs w:val="20"/>
              </w:rPr>
            </w:pPr>
            <w:r w:rsidRPr="00AC6CC7">
              <w:rPr>
                <w:rFonts w:eastAsia="Times New Roman" w:cs="Segoe UI"/>
                <w:sz w:val="20"/>
                <w:szCs w:val="20"/>
              </w:rPr>
              <w:t>Crash dumps</w:t>
            </w:r>
          </w:p>
        </w:tc>
        <w:tc>
          <w:tcPr>
            <w:tcW w:w="0" w:type="auto"/>
            <w:hideMark/>
          </w:tcPr>
          <w:p w14:paraId="02AE7B8C" w14:textId="042F3C9D" w:rsidR="00A0167E" w:rsidRPr="00AC6CC7" w:rsidRDefault="00A0167E" w:rsidP="00A0167E">
            <w:pPr>
              <w:spacing w:after="0" w:line="315" w:lineRule="atLeast"/>
              <w:rPr>
                <w:rFonts w:eastAsia="Times New Roman" w:cs="Segoe UI"/>
                <w:sz w:val="20"/>
                <w:szCs w:val="20"/>
              </w:rPr>
            </w:pPr>
            <w:r w:rsidRPr="00AC6CC7">
              <w:rPr>
                <w:rFonts w:eastAsia="Times New Roman" w:cs="Segoe UI"/>
                <w:sz w:val="20"/>
                <w:szCs w:val="20"/>
              </w:rPr>
              <w:t>Information about the state of the process in the event of an application crash.</w:t>
            </w:r>
          </w:p>
        </w:tc>
      </w:tr>
      <w:tr w:rsidR="00A0167E" w:rsidRPr="00F51512" w14:paraId="6C2E19BA" w14:textId="77777777" w:rsidTr="001E5AC2">
        <w:trPr>
          <w:cnfStyle w:val="000000100000" w:firstRow="0" w:lastRow="0" w:firstColumn="0" w:lastColumn="0" w:oddVBand="0" w:evenVBand="0" w:oddHBand="1" w:evenHBand="0" w:firstRowFirstColumn="0" w:firstRowLastColumn="0" w:lastRowFirstColumn="0" w:lastRowLastColumn="0"/>
          <w:trHeight w:val="319"/>
        </w:trPr>
        <w:tc>
          <w:tcPr>
            <w:tcW w:w="0" w:type="auto"/>
            <w:hideMark/>
          </w:tcPr>
          <w:p w14:paraId="28EBA76A" w14:textId="41BB1E9E" w:rsidR="00A0167E" w:rsidRPr="00AC6CC7" w:rsidRDefault="00A0167E" w:rsidP="00A0167E">
            <w:pPr>
              <w:spacing w:after="0" w:line="315" w:lineRule="atLeast"/>
              <w:rPr>
                <w:rFonts w:eastAsia="Times New Roman" w:cs="Segoe UI"/>
                <w:sz w:val="20"/>
                <w:szCs w:val="20"/>
              </w:rPr>
            </w:pPr>
            <w:r w:rsidRPr="00AC6CC7">
              <w:rPr>
                <w:rFonts w:eastAsia="Times New Roman" w:cs="Segoe UI"/>
                <w:sz w:val="20"/>
                <w:szCs w:val="20"/>
              </w:rPr>
              <w:t>Custom error logs</w:t>
            </w:r>
          </w:p>
        </w:tc>
        <w:tc>
          <w:tcPr>
            <w:tcW w:w="0" w:type="auto"/>
            <w:hideMark/>
          </w:tcPr>
          <w:p w14:paraId="73826373" w14:textId="089A9622" w:rsidR="00A0167E" w:rsidRPr="00AC6CC7" w:rsidRDefault="00A0167E" w:rsidP="00A0167E">
            <w:pPr>
              <w:spacing w:after="0" w:line="315" w:lineRule="atLeast"/>
              <w:rPr>
                <w:rFonts w:eastAsia="Times New Roman" w:cs="Segoe UI"/>
                <w:sz w:val="20"/>
                <w:szCs w:val="20"/>
              </w:rPr>
            </w:pPr>
            <w:r w:rsidRPr="00AC6CC7">
              <w:rPr>
                <w:rFonts w:eastAsia="Times New Roman" w:cs="Segoe UI"/>
                <w:sz w:val="20"/>
                <w:szCs w:val="20"/>
              </w:rPr>
              <w:t>Logs created by your application or service.</w:t>
            </w:r>
          </w:p>
        </w:tc>
      </w:tr>
      <w:tr w:rsidR="00A0167E" w:rsidRPr="00F51512" w14:paraId="58E371D2" w14:textId="77777777" w:rsidTr="001E5AC2">
        <w:trPr>
          <w:trHeight w:val="335"/>
        </w:trPr>
        <w:tc>
          <w:tcPr>
            <w:tcW w:w="0" w:type="auto"/>
            <w:hideMark/>
          </w:tcPr>
          <w:p w14:paraId="3F9DE497" w14:textId="6397DC85" w:rsidR="00A0167E" w:rsidRPr="00AC6CC7" w:rsidRDefault="00A0167E" w:rsidP="00A0167E">
            <w:pPr>
              <w:spacing w:after="0" w:line="315" w:lineRule="atLeast"/>
              <w:rPr>
                <w:rFonts w:eastAsia="Times New Roman" w:cs="Segoe UI"/>
                <w:sz w:val="20"/>
                <w:szCs w:val="20"/>
              </w:rPr>
            </w:pPr>
            <w:r w:rsidRPr="00AC6CC7">
              <w:rPr>
                <w:rFonts w:eastAsia="Times New Roman" w:cs="Segoe UI"/>
                <w:sz w:val="20"/>
                <w:szCs w:val="20"/>
              </w:rPr>
              <w:t>.NET EventSource</w:t>
            </w:r>
          </w:p>
        </w:tc>
        <w:tc>
          <w:tcPr>
            <w:tcW w:w="0" w:type="auto"/>
            <w:hideMark/>
          </w:tcPr>
          <w:p w14:paraId="27573D9D" w14:textId="47E5CD9B" w:rsidR="00A0167E" w:rsidRPr="00AC6CC7" w:rsidRDefault="00A0167E" w:rsidP="00A0167E">
            <w:pPr>
              <w:spacing w:after="0" w:line="315" w:lineRule="atLeast"/>
              <w:rPr>
                <w:rFonts w:eastAsia="Times New Roman" w:cs="Segoe UI"/>
                <w:sz w:val="20"/>
                <w:szCs w:val="20"/>
              </w:rPr>
            </w:pPr>
            <w:r w:rsidRPr="00AC6CC7">
              <w:rPr>
                <w:rFonts w:eastAsia="Times New Roman" w:cs="Segoe UI"/>
                <w:sz w:val="20"/>
                <w:szCs w:val="20"/>
              </w:rPr>
              <w:t>Events generated by your code using the .NET </w:t>
            </w:r>
            <w:hyperlink r:id="rId360" w:history="1">
              <w:r w:rsidRPr="00AC6CC7">
                <w:rPr>
                  <w:rFonts w:eastAsia="Times New Roman" w:cs="Segoe UI"/>
                  <w:sz w:val="20"/>
                  <w:szCs w:val="20"/>
                </w:rPr>
                <w:t>EventSource class</w:t>
              </w:r>
            </w:hyperlink>
            <w:r w:rsidRPr="00AC6CC7">
              <w:rPr>
                <w:rFonts w:eastAsia="Times New Roman" w:cs="Segoe UI"/>
                <w:sz w:val="20"/>
                <w:szCs w:val="20"/>
              </w:rPr>
              <w:t>.</w:t>
            </w:r>
          </w:p>
        </w:tc>
      </w:tr>
      <w:tr w:rsidR="00A0167E" w:rsidRPr="00F51512" w14:paraId="57455BE3" w14:textId="77777777" w:rsidTr="001E5AC2">
        <w:trPr>
          <w:cnfStyle w:val="000000100000" w:firstRow="0" w:lastRow="0" w:firstColumn="0" w:lastColumn="0" w:oddVBand="0" w:evenVBand="0" w:oddHBand="1" w:evenHBand="0" w:firstRowFirstColumn="0" w:firstRowLastColumn="0" w:lastRowFirstColumn="0" w:lastRowLastColumn="0"/>
          <w:trHeight w:val="319"/>
        </w:trPr>
        <w:tc>
          <w:tcPr>
            <w:tcW w:w="0" w:type="auto"/>
            <w:hideMark/>
          </w:tcPr>
          <w:p w14:paraId="28927190" w14:textId="63DAFAB8" w:rsidR="00A0167E" w:rsidRPr="00AC6CC7" w:rsidRDefault="00A0167E" w:rsidP="00A0167E">
            <w:pPr>
              <w:spacing w:after="0" w:line="315" w:lineRule="atLeast"/>
              <w:rPr>
                <w:rFonts w:eastAsia="Times New Roman" w:cs="Segoe UI"/>
                <w:sz w:val="20"/>
                <w:szCs w:val="20"/>
              </w:rPr>
            </w:pPr>
            <w:r w:rsidRPr="00AC6CC7">
              <w:rPr>
                <w:rFonts w:eastAsia="Times New Roman" w:cs="Segoe UI"/>
                <w:sz w:val="20"/>
                <w:szCs w:val="20"/>
              </w:rPr>
              <w:t>Manifest</w:t>
            </w:r>
            <w:r>
              <w:rPr>
                <w:rFonts w:eastAsia="Times New Roman" w:cs="Segoe UI"/>
                <w:sz w:val="20"/>
                <w:szCs w:val="20"/>
              </w:rPr>
              <w:t>-</w:t>
            </w:r>
            <w:r w:rsidRPr="00AC6CC7">
              <w:rPr>
                <w:rFonts w:eastAsia="Times New Roman" w:cs="Segoe UI"/>
                <w:sz w:val="20"/>
                <w:szCs w:val="20"/>
              </w:rPr>
              <w:t>based ETW</w:t>
            </w:r>
          </w:p>
        </w:tc>
        <w:tc>
          <w:tcPr>
            <w:tcW w:w="0" w:type="auto"/>
            <w:hideMark/>
          </w:tcPr>
          <w:p w14:paraId="151B66D9" w14:textId="15D67244" w:rsidR="00A0167E" w:rsidRPr="00AC6CC7" w:rsidRDefault="00A0167E" w:rsidP="00A0167E">
            <w:pPr>
              <w:spacing w:after="0" w:line="315" w:lineRule="atLeast"/>
              <w:rPr>
                <w:rFonts w:eastAsia="Times New Roman" w:cs="Segoe UI"/>
                <w:sz w:val="20"/>
                <w:szCs w:val="20"/>
              </w:rPr>
            </w:pPr>
            <w:r w:rsidRPr="00AC6CC7">
              <w:rPr>
                <w:rFonts w:eastAsia="Times New Roman" w:cs="Segoe UI"/>
                <w:sz w:val="20"/>
                <w:szCs w:val="20"/>
              </w:rPr>
              <w:t>ETW events generated by any process.</w:t>
            </w:r>
          </w:p>
        </w:tc>
      </w:tr>
    </w:tbl>
    <w:p w14:paraId="6C2F1709" w14:textId="010ED76D" w:rsidR="003722E4" w:rsidRDefault="003722E4" w:rsidP="003722E4">
      <w:r>
        <w:t xml:space="preserve"> </w:t>
      </w:r>
    </w:p>
    <w:p w14:paraId="6C2F170A" w14:textId="77777777" w:rsidR="009065A3" w:rsidRDefault="006B29E9" w:rsidP="005729D2">
      <w:pPr>
        <w:pStyle w:val="Heading1Numbered"/>
        <w:numPr>
          <w:ilvl w:val="0"/>
          <w:numId w:val="64"/>
        </w:numPr>
      </w:pPr>
      <w:bookmarkStart w:id="3844" w:name="_Toc414892115"/>
      <w:bookmarkStart w:id="3845" w:name="_Toc414960138"/>
      <w:bookmarkStart w:id="3846" w:name="_Toc414969109"/>
      <w:bookmarkStart w:id="3847" w:name="_Toc415011331"/>
      <w:bookmarkStart w:id="3848" w:name="_Toc415040021"/>
      <w:bookmarkStart w:id="3849" w:name="_Toc415572378"/>
      <w:bookmarkStart w:id="3850" w:name="_Toc415735548"/>
      <w:bookmarkStart w:id="3851" w:name="_Toc415814129"/>
      <w:bookmarkStart w:id="3852" w:name="_Toc416343864"/>
      <w:bookmarkStart w:id="3853" w:name="_Toc416863134"/>
      <w:bookmarkStart w:id="3854" w:name="_Toc417314740"/>
      <w:bookmarkStart w:id="3855" w:name="_Toc417323757"/>
      <w:bookmarkStart w:id="3856" w:name="_Toc417326846"/>
      <w:bookmarkStart w:id="3857" w:name="_Toc417330394"/>
      <w:bookmarkStart w:id="3858" w:name="_Toc417395000"/>
      <w:bookmarkStart w:id="3859" w:name="_Toc417399217"/>
      <w:bookmarkStart w:id="3860" w:name="_Toc417399376"/>
      <w:bookmarkStart w:id="3861" w:name="_Toc417400423"/>
      <w:bookmarkStart w:id="3862" w:name="_Toc417401271"/>
      <w:bookmarkStart w:id="3863" w:name="_Toc417419584"/>
      <w:bookmarkStart w:id="3864" w:name="_Toc417457356"/>
      <w:bookmarkStart w:id="3865" w:name="_Toc417481934"/>
      <w:bookmarkStart w:id="3866" w:name="_Toc417482192"/>
      <w:bookmarkStart w:id="3867" w:name="_Toc417499911"/>
      <w:bookmarkStart w:id="3868" w:name="_Toc417502733"/>
      <w:bookmarkStart w:id="3869" w:name="_Toc417548310"/>
      <w:bookmarkStart w:id="3870" w:name="_Toc417594552"/>
      <w:bookmarkStart w:id="3871" w:name="_Toc417934653"/>
      <w:bookmarkStart w:id="3872" w:name="_Toc417935992"/>
      <w:bookmarkStart w:id="3873" w:name="_Toc417936454"/>
      <w:bookmarkStart w:id="3874" w:name="_Toc417946909"/>
      <w:bookmarkStart w:id="3875" w:name="_Toc417947326"/>
      <w:bookmarkStart w:id="3876" w:name="_Toc417982519"/>
      <w:bookmarkStart w:id="3877" w:name="_Toc417985941"/>
      <w:bookmarkStart w:id="3878" w:name="_Toc418000665"/>
      <w:bookmarkStart w:id="3879" w:name="_Toc418003805"/>
      <w:bookmarkStart w:id="3880" w:name="_Toc418012010"/>
      <w:bookmarkStart w:id="3881" w:name="_Toc418014658"/>
      <w:bookmarkStart w:id="3882" w:name="_Toc418030028"/>
      <w:bookmarkStart w:id="3883" w:name="_Toc418036943"/>
      <w:bookmarkStart w:id="3884" w:name="_Toc418061419"/>
      <w:bookmarkStart w:id="3885" w:name="_Toc418081318"/>
      <w:bookmarkStart w:id="3886" w:name="_Toc418083350"/>
      <w:bookmarkStart w:id="3887" w:name="_Toc418096114"/>
      <w:bookmarkStart w:id="3888" w:name="_Toc418156716"/>
      <w:bookmarkStart w:id="3889" w:name="_Toc418167635"/>
      <w:bookmarkStart w:id="3890" w:name="_Toc418185891"/>
      <w:bookmarkStart w:id="3891" w:name="_Toc422941601"/>
      <w:bookmarkStart w:id="3892" w:name="_Toc423116807"/>
      <w:bookmarkStart w:id="3893" w:name="_Toc423117840"/>
      <w:bookmarkStart w:id="3894" w:name="_Toc423117290"/>
      <w:bookmarkStart w:id="3895" w:name="_Toc431288882"/>
      <w:r>
        <w:t>Microsoft Azure Network</w:t>
      </w:r>
      <w:r w:rsidR="00682E4A">
        <w:t>ing</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7B2B7D00" w14:textId="17705E47" w:rsidR="00EC1B06" w:rsidRDefault="00501278" w:rsidP="00EC1B06">
      <w:r>
        <w:t>Microsoft</w:t>
      </w:r>
      <w:bookmarkStart w:id="3896" w:name="_Toc414892116"/>
      <w:bookmarkStart w:id="3897" w:name="_Toc414960139"/>
      <w:bookmarkStart w:id="3898" w:name="_Toc414969110"/>
      <w:bookmarkStart w:id="3899" w:name="_Toc415011332"/>
      <w:bookmarkStart w:id="3900" w:name="_Toc415040022"/>
      <w:bookmarkStart w:id="3901" w:name="_Toc415572379"/>
      <w:r w:rsidR="00EC1B06">
        <w:t xml:space="preserve"> Azure networking leverages a combination of software-defined networking within the Azure fabric infrastructure and physical networking at the edge where customers interface with Azure. Within the Azure fabric infrastructure, there is the concept of virtual networks, subnets within the virtual networks, and the network gateways that allow connectivity between virtual networks and customer networks. </w:t>
      </w:r>
    </w:p>
    <w:p w14:paraId="4E676E4C" w14:textId="77777777" w:rsidR="00EC1B06" w:rsidRDefault="00EC1B06" w:rsidP="00EC1B06">
      <w:r>
        <w:t xml:space="preserve">At the edge of the Azure fabric infrastructure, enterprise customers typically use physical devices to provide communications from the on-premises enterprise datacenter environments, where small or medium businesses might use virtual devices or only connect from the client computer to the Azure environment. </w:t>
      </w:r>
    </w:p>
    <w:p w14:paraId="619657B8" w14:textId="70FF38D7" w:rsidR="00D53C85" w:rsidRDefault="00EC1B06" w:rsidP="00EC1B06">
      <w:r>
        <w:t>This section covers the concepts and planning guidance required for networking infrastructures that interface with and exist within the Microsoft Azure platform</w:t>
      </w:r>
      <w:r w:rsidR="006079FC">
        <w:t>.</w:t>
      </w:r>
    </w:p>
    <w:p w14:paraId="3A2CEE58" w14:textId="132B2311" w:rsidR="0002781B" w:rsidRDefault="0002781B" w:rsidP="005729D2">
      <w:pPr>
        <w:pStyle w:val="Heading2Numbered"/>
        <w:numPr>
          <w:ilvl w:val="1"/>
          <w:numId w:val="64"/>
        </w:numPr>
      </w:pPr>
      <w:bookmarkStart w:id="3902" w:name="_Toc431288883"/>
      <w:bookmarkStart w:id="3903" w:name="_Toc415735549"/>
      <w:bookmarkStart w:id="3904" w:name="_Toc415814130"/>
      <w:bookmarkStart w:id="3905" w:name="_Toc416343865"/>
      <w:bookmarkStart w:id="3906" w:name="_Toc416863135"/>
      <w:bookmarkStart w:id="3907" w:name="_Toc417314741"/>
      <w:bookmarkStart w:id="3908" w:name="_Toc417323758"/>
      <w:bookmarkStart w:id="3909" w:name="_Toc417326847"/>
      <w:bookmarkStart w:id="3910" w:name="_Toc417330395"/>
      <w:bookmarkStart w:id="3911" w:name="_Toc417395001"/>
      <w:bookmarkStart w:id="3912" w:name="_Toc417399218"/>
      <w:bookmarkStart w:id="3913" w:name="_Toc417399377"/>
      <w:bookmarkStart w:id="3914" w:name="_Toc417400424"/>
      <w:bookmarkStart w:id="3915" w:name="_Toc417401272"/>
      <w:bookmarkStart w:id="3916" w:name="_Toc417419585"/>
      <w:bookmarkStart w:id="3917" w:name="_Toc417457357"/>
      <w:bookmarkStart w:id="3918" w:name="_Toc417481935"/>
      <w:bookmarkStart w:id="3919" w:name="_Toc417482193"/>
      <w:bookmarkStart w:id="3920" w:name="_Toc417499912"/>
      <w:bookmarkStart w:id="3921" w:name="_Toc417502734"/>
      <w:bookmarkStart w:id="3922" w:name="_Toc417548311"/>
      <w:bookmarkStart w:id="3923" w:name="_Toc417594553"/>
      <w:bookmarkStart w:id="3924" w:name="_Toc417934654"/>
      <w:bookmarkStart w:id="3925" w:name="_Toc417935993"/>
      <w:bookmarkStart w:id="3926" w:name="_Toc417936455"/>
      <w:bookmarkStart w:id="3927" w:name="_Toc417946910"/>
      <w:bookmarkStart w:id="3928" w:name="_Toc417947327"/>
      <w:bookmarkStart w:id="3929" w:name="_Toc417982520"/>
      <w:bookmarkStart w:id="3930" w:name="_Toc417985942"/>
      <w:bookmarkStart w:id="3931" w:name="_Toc418000666"/>
      <w:bookmarkStart w:id="3932" w:name="_Toc418003806"/>
      <w:bookmarkStart w:id="3933" w:name="_Toc418012011"/>
      <w:bookmarkStart w:id="3934" w:name="_Toc418030029"/>
      <w:bookmarkStart w:id="3935" w:name="_Toc418036944"/>
      <w:bookmarkStart w:id="3936" w:name="_Toc418061420"/>
      <w:bookmarkStart w:id="3937" w:name="_Toc418081319"/>
      <w:bookmarkStart w:id="3938" w:name="_Toc418083351"/>
      <w:bookmarkStart w:id="3939" w:name="_Toc418096115"/>
      <w:bookmarkStart w:id="3940" w:name="_Toc418156717"/>
      <w:bookmarkStart w:id="3941" w:name="_Toc418167636"/>
      <w:bookmarkStart w:id="3942" w:name="_Toc418185892"/>
      <w:bookmarkStart w:id="3943" w:name="_Toc422941602"/>
      <w:bookmarkStart w:id="3944" w:name="_Toc423116808"/>
      <w:bookmarkStart w:id="3945" w:name="_Toc423117841"/>
      <w:bookmarkStart w:id="3946" w:name="_Toc423117291"/>
      <w:r>
        <w:t xml:space="preserve">Cloud Service Provider </w:t>
      </w:r>
      <w:r w:rsidR="002F519A">
        <w:t>and</w:t>
      </w:r>
      <w:r>
        <w:t xml:space="preserve"> Enterprise Customer Connectivity</w:t>
      </w:r>
      <w:bookmarkEnd w:id="3902"/>
    </w:p>
    <w:p w14:paraId="6F8AB780" w14:textId="5B98531D" w:rsidR="0002781B" w:rsidRDefault="0002781B" w:rsidP="0002781B">
      <w:r>
        <w:t>Connecting to Azure can be accomplished directly by enterprise customers or using a cloud service provider as the interface. When customer</w:t>
      </w:r>
      <w:r w:rsidR="00EC1B06">
        <w:t>s</w:t>
      </w:r>
      <w:r>
        <w:t xml:space="preserve"> connect directly, they create subscriptions, establish connection</w:t>
      </w:r>
      <w:r w:rsidR="00EC1B06">
        <w:t>s, and</w:t>
      </w:r>
      <w:r>
        <w:t xml:space="preserve"> are responsible for managing the </w:t>
      </w:r>
      <w:r w:rsidR="003E6CD2">
        <w:t xml:space="preserve">private </w:t>
      </w:r>
      <w:r>
        <w:t>network interfaces and manage all aspects of establishing services with</w:t>
      </w:r>
      <w:r w:rsidR="00EC1B06">
        <w:t>in</w:t>
      </w:r>
      <w:r>
        <w:t xml:space="preserve"> Azure. When customers leverage a cloud service provider, they offload various aspects of the subscription, networking, identity, and management of the Azure environment to the cloud service provider.</w:t>
      </w:r>
    </w:p>
    <w:p w14:paraId="086E4021" w14:textId="77777777" w:rsidR="00EC1B06" w:rsidRDefault="00EC1B06" w:rsidP="0002781B">
      <w:r>
        <w:t>F</w:t>
      </w:r>
      <w:r w:rsidR="0002781B">
        <w:t>rom a networking perspective, cloud service providers offer two types of network connectivity to Azure for customers.</w:t>
      </w:r>
      <w:r w:rsidR="003E6CD2">
        <w:t xml:space="preserve"> </w:t>
      </w:r>
    </w:p>
    <w:p w14:paraId="2CDB2865" w14:textId="180C8D53" w:rsidR="003E6CD2" w:rsidRDefault="003E6CD2" w:rsidP="005729D2">
      <w:pPr>
        <w:pStyle w:val="ListParagraph"/>
        <w:numPr>
          <w:ilvl w:val="0"/>
          <w:numId w:val="265"/>
        </w:numPr>
      </w:pPr>
      <w:r>
        <w:t>The customer can choose to “</w:t>
      </w:r>
      <w:r w:rsidRPr="00EC1B06">
        <w:rPr>
          <w:b/>
        </w:rPr>
        <w:t>connect through</w:t>
      </w:r>
      <w:r>
        <w:t>” the CSP</w:t>
      </w:r>
      <w:r w:rsidR="00A8228E">
        <w:t xml:space="preserve"> to </w:t>
      </w:r>
      <w:r w:rsidR="00EC1B06">
        <w:t>connect</w:t>
      </w:r>
      <w:r w:rsidR="00A8228E">
        <w:t xml:space="preserve"> to Azure</w:t>
      </w:r>
      <w:r>
        <w:t>. In this model</w:t>
      </w:r>
      <w:r w:rsidR="00EC1B06">
        <w:t>,</w:t>
      </w:r>
      <w:r>
        <w:t xml:space="preserve"> the CSP creates the customer subscription</w:t>
      </w:r>
      <w:r w:rsidR="00EC1B06">
        <w:t xml:space="preserve">, </w:t>
      </w:r>
      <w:r>
        <w:t>connects their datacenter to the subscription</w:t>
      </w:r>
      <w:r w:rsidR="00EC1B06">
        <w:t xml:space="preserve">, </w:t>
      </w:r>
      <w:r>
        <w:t xml:space="preserve">and </w:t>
      </w:r>
      <w:r w:rsidR="00EC1B06">
        <w:t xml:space="preserve">then </w:t>
      </w:r>
      <w:r>
        <w:t xml:space="preserve">the customer connects to the CSP network to access </w:t>
      </w:r>
      <w:r w:rsidR="00A8228E">
        <w:t xml:space="preserve">Azure and the </w:t>
      </w:r>
      <w:r>
        <w:t>subscription</w:t>
      </w:r>
      <w:r w:rsidR="00EC1B06">
        <w:t>’s</w:t>
      </w:r>
      <w:r w:rsidR="00A8228E">
        <w:t xml:space="preserve"> resources</w:t>
      </w:r>
      <w:r>
        <w:t xml:space="preserve">. </w:t>
      </w:r>
    </w:p>
    <w:p w14:paraId="2DDE0797" w14:textId="11D55A0F" w:rsidR="003E6CD2" w:rsidRDefault="003E6CD2" w:rsidP="0002781B">
      <w:r>
        <w:rPr>
          <w:rFonts w:eastAsiaTheme="minorHAnsi"/>
          <w:b/>
          <w:noProof/>
        </w:rPr>
        <w:drawing>
          <wp:inline distT="0" distB="0" distL="0" distR="0" wp14:anchorId="39D5F7D5" wp14:editId="750F149A">
            <wp:extent cx="5937250" cy="3093085"/>
            <wp:effectExtent l="0" t="0" r="6350" b="0"/>
            <wp:docPr id="169" name="Picture 169" descr="ConnectThrou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onnectThrough"/>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5937250" cy="3093085"/>
                    </a:xfrm>
                    <a:prstGeom prst="rect">
                      <a:avLst/>
                    </a:prstGeom>
                    <a:noFill/>
                    <a:ln>
                      <a:noFill/>
                    </a:ln>
                  </pic:spPr>
                </pic:pic>
              </a:graphicData>
            </a:graphic>
          </wp:inline>
        </w:drawing>
      </w:r>
    </w:p>
    <w:p w14:paraId="48700DEF" w14:textId="4D992746" w:rsidR="0002781B" w:rsidRDefault="003E6CD2" w:rsidP="005729D2">
      <w:pPr>
        <w:pStyle w:val="ListParagraph"/>
        <w:numPr>
          <w:ilvl w:val="0"/>
          <w:numId w:val="265"/>
        </w:numPr>
      </w:pPr>
      <w:r>
        <w:t>The customer can also choose a “</w:t>
      </w:r>
      <w:r w:rsidRPr="00EC1B06">
        <w:rPr>
          <w:b/>
        </w:rPr>
        <w:t>connect to</w:t>
      </w:r>
      <w:r>
        <w:t>” model</w:t>
      </w:r>
      <w:r w:rsidR="00EC1B06">
        <w:t>.  T</w:t>
      </w:r>
      <w:r>
        <w:t xml:space="preserve">he CSP creates the </w:t>
      </w:r>
      <w:r w:rsidR="00EC1B06">
        <w:t>customer’s</w:t>
      </w:r>
      <w:r>
        <w:t xml:space="preserve"> subscription, but the customer is responsible for connecting their datacenter to Azure</w:t>
      </w:r>
      <w:r w:rsidR="00EC1B06">
        <w:t>.  T</w:t>
      </w:r>
      <w:r>
        <w:t xml:space="preserve">he CSP connects to the customer network to obtain access to the </w:t>
      </w:r>
      <w:r w:rsidR="00A8228E">
        <w:t xml:space="preserve">Azure </w:t>
      </w:r>
      <w:r>
        <w:t xml:space="preserve">subscription </w:t>
      </w:r>
      <w:r w:rsidR="00EC1B06">
        <w:t xml:space="preserve">and </w:t>
      </w:r>
      <w:r>
        <w:t>assist</w:t>
      </w:r>
      <w:r w:rsidR="00EC1B06">
        <w:t>s</w:t>
      </w:r>
      <w:r>
        <w:t xml:space="preserve"> the customer in management aspects.</w:t>
      </w:r>
    </w:p>
    <w:p w14:paraId="5C5093FA" w14:textId="6AB647AF" w:rsidR="0002781B" w:rsidRDefault="003E6CD2" w:rsidP="0002781B">
      <w:r>
        <w:rPr>
          <w:rFonts w:eastAsiaTheme="minorHAnsi"/>
          <w:noProof/>
        </w:rPr>
        <w:drawing>
          <wp:inline distT="0" distB="0" distL="0" distR="0" wp14:anchorId="0EA9A17A" wp14:editId="5E964544">
            <wp:extent cx="5937250" cy="2371090"/>
            <wp:effectExtent l="0" t="0" r="6350" b="0"/>
            <wp:docPr id="170" name="Picture 170" descr="Connec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onnectTo"/>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7250" cy="2371090"/>
                    </a:xfrm>
                    <a:prstGeom prst="rect">
                      <a:avLst/>
                    </a:prstGeom>
                    <a:noFill/>
                    <a:ln>
                      <a:noFill/>
                    </a:ln>
                  </pic:spPr>
                </pic:pic>
              </a:graphicData>
            </a:graphic>
          </wp:inline>
        </w:drawing>
      </w:r>
    </w:p>
    <w:p w14:paraId="3AFD9D16" w14:textId="29877DAB" w:rsidR="00D849F4" w:rsidRDefault="00D849F4" w:rsidP="005729D2">
      <w:pPr>
        <w:pStyle w:val="Heading2Numbered"/>
        <w:numPr>
          <w:ilvl w:val="1"/>
          <w:numId w:val="64"/>
        </w:numPr>
      </w:pPr>
      <w:bookmarkStart w:id="3947" w:name="_Toc431288884"/>
      <w:r>
        <w:t>Azure Resource Management versus Service Management</w:t>
      </w:r>
      <w:bookmarkEnd w:id="3947"/>
    </w:p>
    <w:p w14:paraId="086A63A0" w14:textId="1916818C" w:rsidR="00EC1B06" w:rsidRDefault="002F57ED" w:rsidP="00D849F4">
      <w:r>
        <w:t>When leveraging</w:t>
      </w:r>
      <w:r w:rsidR="00D849F4">
        <w:t xml:space="preserve"> Azure networking </w:t>
      </w:r>
      <w:r w:rsidR="00EC1B06">
        <w:t>technologies,</w:t>
      </w:r>
      <w:r w:rsidR="00D849F4">
        <w:t xml:space="preserve"> </w:t>
      </w:r>
      <w:r>
        <w:t>a key c</w:t>
      </w:r>
      <w:r w:rsidR="00D849F4">
        <w:t xml:space="preserve">onsideration </w:t>
      </w:r>
      <w:r w:rsidR="00EC1B06">
        <w:t xml:space="preserve">are the </w:t>
      </w:r>
      <w:r w:rsidR="00D849F4">
        <w:t xml:space="preserve">capabilities </w:t>
      </w:r>
      <w:r w:rsidR="00EC1B06">
        <w:t xml:space="preserve">that </w:t>
      </w:r>
      <w:r w:rsidR="00D849F4">
        <w:t>can be implemented</w:t>
      </w:r>
      <w:r w:rsidR="00EC1B06">
        <w:t>,</w:t>
      </w:r>
      <w:r w:rsidR="00D849F4">
        <w:t xml:space="preserve"> depending on the API and portal approach that you are targeting. Before a capability can be used, the implementation API (ARM or ASM) has to enable that capability. </w:t>
      </w:r>
      <w:r w:rsidR="00EC1B06">
        <w:t>M</w:t>
      </w:r>
      <w:r w:rsidR="00D849F4">
        <w:t xml:space="preserve">ost </w:t>
      </w:r>
      <w:r>
        <w:t xml:space="preserve">common Azure </w:t>
      </w:r>
      <w:r w:rsidR="00D849F4">
        <w:t xml:space="preserve">networking technologies are available using the ASM API, </w:t>
      </w:r>
      <w:r>
        <w:t>however advanced capabilities</w:t>
      </w:r>
      <w:r w:rsidR="00D849F4">
        <w:t xml:space="preserve"> logging or diagnostics data are only implemented using the ARM API.</w:t>
      </w:r>
      <w:r>
        <w:t xml:space="preserve"> While the transition between ASM and ARM APIs continue, it is important to verify </w:t>
      </w:r>
      <w:r w:rsidR="00EC1B06">
        <w:t xml:space="preserve">that </w:t>
      </w:r>
      <w:r>
        <w:t xml:space="preserve">a specific area of functionality is available in either API before committing to a path of implementation. </w:t>
      </w:r>
    </w:p>
    <w:p w14:paraId="733199BD" w14:textId="222878EB" w:rsidR="00EC1B06" w:rsidRDefault="002F57ED" w:rsidP="00D849F4">
      <w:r>
        <w:t>For customer-</w:t>
      </w:r>
      <w:r w:rsidR="00E74CE8">
        <w:t>manage</w:t>
      </w:r>
      <w:r>
        <w:t>d</w:t>
      </w:r>
      <w:r w:rsidR="00E74CE8">
        <w:t xml:space="preserve"> environments, the customer has the option of </w:t>
      </w:r>
      <w:r w:rsidR="00D849F4">
        <w:t>choosing</w:t>
      </w:r>
      <w:r w:rsidR="00E74CE8">
        <w:t xml:space="preserve"> whether to use the </w:t>
      </w:r>
      <w:r>
        <w:t xml:space="preserve">existing </w:t>
      </w:r>
      <w:r w:rsidR="00E74CE8">
        <w:t>ASM API and migrat</w:t>
      </w:r>
      <w:r>
        <w:t>e</w:t>
      </w:r>
      <w:r w:rsidR="00E74CE8">
        <w:t xml:space="preserve"> to the ARM API when </w:t>
      </w:r>
      <w:r>
        <w:t>required</w:t>
      </w:r>
      <w:r w:rsidR="00E74CE8">
        <w:t xml:space="preserve"> networking capabilities are available</w:t>
      </w:r>
      <w:r>
        <w:t xml:space="preserve"> in ARM.  Conversely, they can choose to</w:t>
      </w:r>
      <w:r w:rsidR="00E74CE8">
        <w:t xml:space="preserve"> immediately adopt the ARM API understanding that there are certain capabilities they cannot leverage</w:t>
      </w:r>
      <w:r>
        <w:t xml:space="preserve"> until they are made available</w:t>
      </w:r>
      <w:r w:rsidR="00EC1B06">
        <w:t>.</w:t>
      </w:r>
      <w:r>
        <w:t xml:space="preserve">  </w:t>
      </w:r>
    </w:p>
    <w:p w14:paraId="3F423A07" w14:textId="4890B9B8" w:rsidR="00E74CE8" w:rsidRPr="00D849F4" w:rsidRDefault="00E74CE8" w:rsidP="00D849F4">
      <w:r>
        <w:t>For CSP managed scenarios, the networking capabilities are limited to ARM API due the requirement for RBAC to separate management scope between the provider and the customer.</w:t>
      </w:r>
    </w:p>
    <w:p w14:paraId="6C2F170C" w14:textId="785CFF14" w:rsidR="006B29E9" w:rsidRDefault="006B29E9" w:rsidP="005729D2">
      <w:pPr>
        <w:pStyle w:val="Heading2Numbered"/>
        <w:numPr>
          <w:ilvl w:val="1"/>
          <w:numId w:val="64"/>
        </w:numPr>
      </w:pPr>
      <w:bookmarkStart w:id="3948" w:name="_Toc431288885"/>
      <w:r>
        <w:t>Virtual Networks</w:t>
      </w:r>
      <w:bookmarkEnd w:id="3896"/>
      <w:bookmarkEnd w:id="3897"/>
      <w:bookmarkEnd w:id="3898"/>
      <w:bookmarkEnd w:id="3899"/>
      <w:bookmarkEnd w:id="3900"/>
      <w:bookmarkEnd w:id="3901"/>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8"/>
    </w:p>
    <w:p w14:paraId="36D5083B" w14:textId="7CDEA275" w:rsidR="00E301D4" w:rsidRDefault="00E301D4" w:rsidP="00E301D4">
      <w:r>
        <w:t>Azure Virtual Networks provide a key building block for establishing virtual private networks. Virtual networks can be used to allow isolated network communication within the Azure environment or establish cross-premises network communication between an organization’s network infrastructure and Azure. By default, when virtual machines are created and connected to Azure Virtual Network, they are allowed to route to any subnet within the virtual network, and outbound access to the Internet is provided by</w:t>
      </w:r>
      <w:r w:rsidDel="00375850">
        <w:t xml:space="preserve"> </w:t>
      </w:r>
      <w:r>
        <w:t xml:space="preserve">Azure’s Internet connection. </w:t>
      </w:r>
    </w:p>
    <w:p w14:paraId="25A99946" w14:textId="77777777" w:rsidR="00E301D4" w:rsidRDefault="00E301D4" w:rsidP="00E301D4">
      <w:r>
        <w:t>A fundamental first step in creating services within Microsoft Azure is establishing a Virtual Network. To establish a virtual private network within Azure, you must create a minimum of one virtual network. Each virtual network</w:t>
      </w:r>
      <w:r w:rsidDel="000361E8">
        <w:t xml:space="preserve"> </w:t>
      </w:r>
      <w:r>
        <w:t>must contain an IP address space and a minimum of one subnet that leverages all or part of the virtual network address space. To establish remote network communications to on-premises or other virtual networks, a gateway subnet must be allocated for the virtual network and a virtual network gateway must be added to it.</w:t>
      </w:r>
    </w:p>
    <w:p w14:paraId="7669E419" w14:textId="77777777" w:rsidR="00E301D4" w:rsidRDefault="00E301D4" w:rsidP="00E301D4">
      <w:r>
        <w:t>To enable cross premises connectivity, a Virtual Network must attach a virtual network gateway (often referred to as a gateway). Currently, there are three types of gateways that can be deployed:</w:t>
      </w:r>
    </w:p>
    <w:p w14:paraId="576092D5" w14:textId="77777777" w:rsidR="00E301D4" w:rsidRDefault="00E301D4" w:rsidP="005729D2">
      <w:pPr>
        <w:pStyle w:val="ListBullet"/>
        <w:numPr>
          <w:ilvl w:val="0"/>
          <w:numId w:val="169"/>
        </w:numPr>
      </w:pPr>
      <w:r>
        <w:t>Static routing gateway (basic, standard, and high performance)</w:t>
      </w:r>
    </w:p>
    <w:p w14:paraId="2EEDEA0B" w14:textId="77777777" w:rsidR="00E301D4" w:rsidRDefault="00E301D4" w:rsidP="005729D2">
      <w:pPr>
        <w:pStyle w:val="ListBullet"/>
        <w:numPr>
          <w:ilvl w:val="0"/>
          <w:numId w:val="169"/>
        </w:numPr>
      </w:pPr>
      <w:r>
        <w:t>Dynamic routing gateway (basic, standard, and high performance)</w:t>
      </w:r>
    </w:p>
    <w:p w14:paraId="78387AB7" w14:textId="77777777" w:rsidR="00E301D4" w:rsidRDefault="00E301D4" w:rsidP="005729D2">
      <w:pPr>
        <w:pStyle w:val="ListBullet"/>
        <w:numPr>
          <w:ilvl w:val="0"/>
          <w:numId w:val="169"/>
        </w:numPr>
      </w:pPr>
      <w:r>
        <w:t>ExpressRoute gateway</w:t>
      </w:r>
    </w:p>
    <w:p w14:paraId="29C8ACB4" w14:textId="77777777" w:rsidR="00E301D4" w:rsidRDefault="00E301D4" w:rsidP="00E301D4">
      <w:r>
        <w:t>The type of gateway determines the cross-premises connectivity capabilities, the performance, and the features that are offered. Static and dynamic gateways are used when establishing Point-to-Site (P2S) and Site-to-Site (S2S) VPN connections where the cross-premises connectivity leverages the Internet for the transport path. ExpressRoute gateways are designed for high-speed, private, cross-premises connectivity where the traffic flows across dedicated circuits and not the Internet.</w:t>
      </w:r>
    </w:p>
    <w:p w14:paraId="58FDAF86" w14:textId="1296305D" w:rsidR="005968E2" w:rsidRDefault="00E301D4" w:rsidP="00E301D4">
      <w:r>
        <w:t>Static gateways are for establishing low-cost connections to a single virtual network in Azure. Dynamic gateways are used to establish low-cost connections to an on-premises environment or to connect multiple virtual networks for routing purposes in Azure. ExpressRoute gateways are used for connecting on-premises environments to Azure over high-speed private connections</w:t>
      </w:r>
      <w:r w:rsidR="00B55CE2">
        <w:t>.</w:t>
      </w:r>
    </w:p>
    <w:tbl>
      <w:tblPr>
        <w:tblStyle w:val="PlainTable11"/>
        <w:tblW w:w="0" w:type="auto"/>
        <w:tblLook w:val="04A0" w:firstRow="1" w:lastRow="0" w:firstColumn="1" w:lastColumn="0" w:noHBand="0" w:noVBand="1"/>
      </w:tblPr>
      <w:tblGrid>
        <w:gridCol w:w="3413"/>
        <w:gridCol w:w="5937"/>
      </w:tblGrid>
      <w:tr w:rsidR="00D53C85" w14:paraId="1545C082" w14:textId="77777777" w:rsidTr="0013185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1F30269B" w14:textId="77777777" w:rsidR="00D53C85" w:rsidRPr="00F47607" w:rsidRDefault="00D53C85" w:rsidP="00D53C85">
            <w:pPr>
              <w:spacing w:line="240" w:lineRule="auto"/>
              <w:rPr>
                <w:color w:val="FFFFFF"/>
              </w:rPr>
            </w:pPr>
            <w:r>
              <w:rPr>
                <w:color w:val="FFFFFF"/>
              </w:rPr>
              <w:t>Feature References</w:t>
            </w:r>
          </w:p>
        </w:tc>
      </w:tr>
      <w:tr w:rsidR="00D53C85" w:rsidRPr="00131853" w14:paraId="3DB1AB4D"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2FF6F78C" w14:textId="159A4008" w:rsidR="00D53C85" w:rsidRPr="00131853" w:rsidRDefault="00215EBC" w:rsidP="00D53C85">
            <w:pPr>
              <w:spacing w:line="240" w:lineRule="auto"/>
              <w:rPr>
                <w:sz w:val="20"/>
                <w:szCs w:val="18"/>
              </w:rPr>
            </w:pPr>
            <w:r w:rsidRPr="00131853">
              <w:rPr>
                <w:sz w:val="20"/>
                <w:szCs w:val="18"/>
              </w:rPr>
              <w:t>Azure Virtual Network Over</w:t>
            </w:r>
            <w:r w:rsidR="00A6428C" w:rsidRPr="00131853">
              <w:rPr>
                <w:sz w:val="20"/>
                <w:szCs w:val="18"/>
              </w:rPr>
              <w:t>v</w:t>
            </w:r>
            <w:r w:rsidRPr="00131853">
              <w:rPr>
                <w:sz w:val="20"/>
                <w:szCs w:val="18"/>
              </w:rPr>
              <w:t>iew</w:t>
            </w:r>
          </w:p>
        </w:tc>
        <w:tc>
          <w:tcPr>
            <w:tcW w:w="5940" w:type="dxa"/>
          </w:tcPr>
          <w:p w14:paraId="308371CE" w14:textId="23EAED6C" w:rsidR="00D53C85" w:rsidRPr="00131853" w:rsidRDefault="00872E47" w:rsidP="00D53C85">
            <w:pPr>
              <w:cnfStyle w:val="000000100000" w:firstRow="0" w:lastRow="0" w:firstColumn="0" w:lastColumn="0" w:oddVBand="0" w:evenVBand="0" w:oddHBand="1" w:evenHBand="0" w:firstRowFirstColumn="0" w:firstRowLastColumn="0" w:lastRowFirstColumn="0" w:lastRowLastColumn="0"/>
              <w:rPr>
                <w:sz w:val="20"/>
                <w:szCs w:val="18"/>
              </w:rPr>
            </w:pPr>
            <w:hyperlink r:id="rId362" w:history="1">
              <w:r w:rsidR="00215EBC" w:rsidRPr="00131853">
                <w:rPr>
                  <w:rStyle w:val="Hyperlink"/>
                  <w:sz w:val="20"/>
                  <w:szCs w:val="18"/>
                </w:rPr>
                <w:t>https://msdn.microsoft.com/library/azure/jj156007.aspx</w:t>
              </w:r>
            </w:hyperlink>
            <w:r w:rsidR="00215EBC" w:rsidRPr="00131853">
              <w:rPr>
                <w:sz w:val="20"/>
                <w:szCs w:val="18"/>
              </w:rPr>
              <w:t xml:space="preserve"> </w:t>
            </w:r>
          </w:p>
        </w:tc>
      </w:tr>
      <w:tr w:rsidR="00D53C85" w:rsidRPr="00131853" w14:paraId="6DBDF89A"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64057D0A" w14:textId="698FF79C" w:rsidR="00D53C85" w:rsidRPr="00131853" w:rsidRDefault="00A6428C" w:rsidP="00D53C85">
            <w:pPr>
              <w:spacing w:line="240" w:lineRule="auto"/>
              <w:rPr>
                <w:sz w:val="20"/>
              </w:rPr>
            </w:pPr>
            <w:r w:rsidRPr="00131853">
              <w:rPr>
                <w:sz w:val="20"/>
                <w:szCs w:val="18"/>
              </w:rPr>
              <w:t>Virtual Network FAQ</w:t>
            </w:r>
          </w:p>
        </w:tc>
        <w:tc>
          <w:tcPr>
            <w:tcW w:w="5940" w:type="dxa"/>
          </w:tcPr>
          <w:p w14:paraId="419AE131" w14:textId="68BC29BE" w:rsidR="00D53C85" w:rsidRPr="00131853" w:rsidRDefault="00872E47" w:rsidP="00D53C85">
            <w:pPr>
              <w:cnfStyle w:val="000000000000" w:firstRow="0" w:lastRow="0" w:firstColumn="0" w:lastColumn="0" w:oddVBand="0" w:evenVBand="0" w:oddHBand="0" w:evenHBand="0" w:firstRowFirstColumn="0" w:firstRowLastColumn="0" w:lastRowFirstColumn="0" w:lastRowLastColumn="0"/>
              <w:rPr>
                <w:sz w:val="20"/>
              </w:rPr>
            </w:pPr>
            <w:hyperlink r:id="rId363" w:history="1">
              <w:r w:rsidR="00A6428C" w:rsidRPr="00131853">
                <w:rPr>
                  <w:rStyle w:val="Hyperlink"/>
                  <w:sz w:val="20"/>
                  <w:szCs w:val="18"/>
                </w:rPr>
                <w:t>https://msdn.microsoft.com/en-us/library/azure/dn133803.aspx</w:t>
              </w:r>
            </w:hyperlink>
            <w:r w:rsidR="00A6428C" w:rsidRPr="00131853">
              <w:rPr>
                <w:sz w:val="20"/>
                <w:szCs w:val="18"/>
              </w:rPr>
              <w:t xml:space="preserve"> </w:t>
            </w:r>
          </w:p>
        </w:tc>
      </w:tr>
      <w:tr w:rsidR="00D53C85" w:rsidRPr="00131853" w14:paraId="75278FA4"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2BF72A0D" w14:textId="4D289C11" w:rsidR="00D53C85" w:rsidRPr="00131853" w:rsidRDefault="00A6428C" w:rsidP="00D53C85">
            <w:pPr>
              <w:spacing w:line="240" w:lineRule="auto"/>
              <w:rPr>
                <w:sz w:val="20"/>
              </w:rPr>
            </w:pPr>
            <w:r w:rsidRPr="00131853">
              <w:rPr>
                <w:sz w:val="20"/>
                <w:szCs w:val="18"/>
              </w:rPr>
              <w:t>Virtual Network Cross Premises Connectivity</w:t>
            </w:r>
          </w:p>
        </w:tc>
        <w:tc>
          <w:tcPr>
            <w:tcW w:w="5940" w:type="dxa"/>
          </w:tcPr>
          <w:p w14:paraId="4415032C" w14:textId="51D4009E" w:rsidR="00D53C85" w:rsidRPr="00131853" w:rsidRDefault="00872E47" w:rsidP="00D53C85">
            <w:pPr>
              <w:cnfStyle w:val="000000100000" w:firstRow="0" w:lastRow="0" w:firstColumn="0" w:lastColumn="0" w:oddVBand="0" w:evenVBand="0" w:oddHBand="1" w:evenHBand="0" w:firstRowFirstColumn="0" w:firstRowLastColumn="0" w:lastRowFirstColumn="0" w:lastRowLastColumn="0"/>
              <w:rPr>
                <w:sz w:val="20"/>
              </w:rPr>
            </w:pPr>
            <w:hyperlink r:id="rId364" w:history="1">
              <w:r w:rsidR="00A6428C" w:rsidRPr="00131853">
                <w:rPr>
                  <w:rStyle w:val="Hyperlink"/>
                  <w:sz w:val="20"/>
                  <w:szCs w:val="18"/>
                </w:rPr>
                <w:t>https://msdn.microsoft.com/en-us/library/azure/dn133798.aspx</w:t>
              </w:r>
            </w:hyperlink>
            <w:r w:rsidR="00A6428C" w:rsidRPr="00131853">
              <w:rPr>
                <w:sz w:val="20"/>
                <w:szCs w:val="18"/>
              </w:rPr>
              <w:t xml:space="preserve"> </w:t>
            </w:r>
          </w:p>
        </w:tc>
      </w:tr>
      <w:tr w:rsidR="00B55CE2" w:rsidRPr="00131853" w14:paraId="5524D0EA" w14:textId="77777777" w:rsidTr="00131853">
        <w:tc>
          <w:tcPr>
            <w:cnfStyle w:val="001000000000" w:firstRow="0" w:lastRow="0" w:firstColumn="1" w:lastColumn="0" w:oddVBand="0" w:evenVBand="0" w:oddHBand="0" w:evenHBand="0" w:firstRowFirstColumn="0" w:firstRowLastColumn="0" w:lastRowFirstColumn="0" w:lastRowLastColumn="0"/>
            <w:tcW w:w="3420" w:type="dxa"/>
          </w:tcPr>
          <w:p w14:paraId="069079DB" w14:textId="006F7ADA" w:rsidR="00B55CE2" w:rsidRPr="00131853" w:rsidRDefault="00B55CE2" w:rsidP="00D53C85">
            <w:pPr>
              <w:spacing w:line="240" w:lineRule="auto"/>
              <w:rPr>
                <w:sz w:val="20"/>
                <w:szCs w:val="18"/>
              </w:rPr>
            </w:pPr>
            <w:r w:rsidRPr="00131853">
              <w:rPr>
                <w:sz w:val="20"/>
                <w:szCs w:val="18"/>
              </w:rPr>
              <w:t>VPN Devices and Gateway Information</w:t>
            </w:r>
          </w:p>
        </w:tc>
        <w:tc>
          <w:tcPr>
            <w:tcW w:w="5940" w:type="dxa"/>
          </w:tcPr>
          <w:p w14:paraId="6F9F8100" w14:textId="478DACB2" w:rsidR="00B55CE2" w:rsidRPr="00131853" w:rsidRDefault="00872E47" w:rsidP="00D53C85">
            <w:pPr>
              <w:cnfStyle w:val="000000000000" w:firstRow="0" w:lastRow="0" w:firstColumn="0" w:lastColumn="0" w:oddVBand="0" w:evenVBand="0" w:oddHBand="0" w:evenHBand="0" w:firstRowFirstColumn="0" w:firstRowLastColumn="0" w:lastRowFirstColumn="0" w:lastRowLastColumn="0"/>
              <w:rPr>
                <w:sz w:val="20"/>
                <w:szCs w:val="18"/>
              </w:rPr>
            </w:pPr>
            <w:hyperlink r:id="rId365" w:history="1">
              <w:r w:rsidR="00B55CE2" w:rsidRPr="00131853">
                <w:rPr>
                  <w:rStyle w:val="Hyperlink"/>
                  <w:sz w:val="20"/>
                  <w:szCs w:val="18"/>
                </w:rPr>
                <w:t>https://msdn.microsoft.com/en-us/library/azure/jj156075.aspx</w:t>
              </w:r>
            </w:hyperlink>
            <w:r w:rsidR="00B55CE2" w:rsidRPr="00131853">
              <w:rPr>
                <w:sz w:val="20"/>
                <w:szCs w:val="18"/>
              </w:rPr>
              <w:t xml:space="preserve"> </w:t>
            </w:r>
          </w:p>
        </w:tc>
      </w:tr>
      <w:tr w:rsidR="00093703" w:rsidRPr="00131853" w14:paraId="4BCACFDE" w14:textId="77777777" w:rsidTr="001318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2E481EC8" w14:textId="49FB981F" w:rsidR="00093703" w:rsidRPr="00131853" w:rsidRDefault="00093703">
            <w:pPr>
              <w:spacing w:line="240" w:lineRule="auto"/>
              <w:rPr>
                <w:sz w:val="20"/>
                <w:szCs w:val="18"/>
              </w:rPr>
            </w:pPr>
            <w:r w:rsidRPr="00131853">
              <w:rPr>
                <w:sz w:val="20"/>
                <w:szCs w:val="18"/>
              </w:rPr>
              <w:t>ExpressRoute</w:t>
            </w:r>
          </w:p>
        </w:tc>
        <w:tc>
          <w:tcPr>
            <w:tcW w:w="5940" w:type="dxa"/>
          </w:tcPr>
          <w:p w14:paraId="1FD1B99F" w14:textId="167BD500" w:rsidR="00093703" w:rsidRPr="00131853" w:rsidRDefault="00872E47" w:rsidP="00D53C85">
            <w:pPr>
              <w:cnfStyle w:val="000000100000" w:firstRow="0" w:lastRow="0" w:firstColumn="0" w:lastColumn="0" w:oddVBand="0" w:evenVBand="0" w:oddHBand="1" w:evenHBand="0" w:firstRowFirstColumn="0" w:firstRowLastColumn="0" w:lastRowFirstColumn="0" w:lastRowLastColumn="0"/>
              <w:rPr>
                <w:sz w:val="20"/>
              </w:rPr>
            </w:pPr>
            <w:hyperlink r:id="rId366" w:history="1">
              <w:r w:rsidR="000D4FA9">
                <w:rPr>
                  <w:rStyle w:val="Hyperlink"/>
                  <w:sz w:val="20"/>
                </w:rPr>
                <w:t>http://azure.microsoft.com/en-us/documentation/services/expressroute/</w:t>
              </w:r>
            </w:hyperlink>
            <w:r w:rsidR="00093703" w:rsidRPr="00131853">
              <w:rPr>
                <w:sz w:val="20"/>
              </w:rPr>
              <w:t xml:space="preserve"> </w:t>
            </w:r>
          </w:p>
        </w:tc>
      </w:tr>
    </w:tbl>
    <w:p w14:paraId="6961B6A6" w14:textId="11372B0B" w:rsidR="00D53C85" w:rsidRDefault="00D53C85" w:rsidP="00D53C85"/>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E301D4" w14:paraId="0E425A27" w14:textId="77777777" w:rsidTr="000530DE">
        <w:trPr>
          <w:trHeight w:val="423"/>
        </w:trPr>
        <w:tc>
          <w:tcPr>
            <w:tcW w:w="666" w:type="dxa"/>
          </w:tcPr>
          <w:p w14:paraId="2D91B857" w14:textId="77777777" w:rsidR="00E301D4" w:rsidRDefault="00E301D4" w:rsidP="000530DE">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30A29577" wp14:editId="684CC594">
                      <wp:extent cx="200025" cy="180975"/>
                      <wp:effectExtent l="57150" t="19050" r="28575" b="104775"/>
                      <wp:docPr id="41024" name="Octagon 41024"/>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CDC0AF9" id="Octagon 41024"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oUCcwIAAFIFAAAOAAAAZHJzL2Uyb0RvYy54bWysVEtPGzEQvlfqf7B8L/toKBCxQVEQVSUE&#10;CKg4O147sWR7XNvJJv31HXs3S0SRkKpedmc837wfl1c7o8lW+KDANrQ6KSkRlkOr7KqhP59vvpxT&#10;EiKzLdNgRUP3ItCr2edPl52bihrWoFvhCRqxYdq5hq5jdNOiCHwtDAsn4IRFoQRvWETWr4rWsw6t&#10;G13UZfmt6MC3zgMXIeDrdS+ks2xfSsHjvZRBRKIbirHF/PX5u0zfYnbJpivP3FrxIQz2D1EYpiw6&#10;HU1ds8jIxqu/TBnFPQSQ8YSDKUBKxUXOAbOpyjfZPK2ZEzkXLE5wY5nC/zPL77YPnqi2oZOqrCeU&#10;WGawTfc8shVY0j9ikToXpoh9cg9+4AKSKeOd9Cb9MReyy4Xdj4UVu0g4PmKnyvqUEo6i6ry8ODtN&#10;hS9elZ0P8bsAQxLRUOjd54qy7W2IPfqASu4CaNXeKK0z41fLhfZky7DNiwV6y51FB0ewIuXQR52p&#10;uNciKWv7KCSWAOOsssc8fGK0xzgXNtZDxBmd1CT6HhW/fqw44JOqyIM5KtcfK48a2TPYOCobZcG/&#10;Z0DHaghZ9ngs+FHeiVxCu8fue+jXIjh+o7D+tyzEB+ZxD3BjcLfjPX6khg4bM1CUrMH/fu894XE8&#10;UUpJh3vV0PBrw7ygRP+wOLgX1WSSFjEzk9OzGhl/LFkeS+zGLAB7WuEVcTyTCR/1gZQezAuegHny&#10;iiJmOfpuKI/+wCxiv+94RLiYzzMMl8+xeGufHD90PQ3X8+6FeTcMYcTpvYPDDrLpm0HssakfFuab&#10;CFLlKX2t61BvXNw86sORSZfhmM+o11M4+wM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DIXoUC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4A59A39E" w14:textId="77777777" w:rsidR="00E301D4" w:rsidRDefault="00E301D4" w:rsidP="000530DE">
            <w:pPr>
              <w:rPr>
                <w:lang w:eastAsia="en-US"/>
              </w:rPr>
            </w:pPr>
            <w:r w:rsidRPr="00192064">
              <w:rPr>
                <w:b/>
                <w:lang w:eastAsia="en-US"/>
              </w:rPr>
              <w:t>Mandatory</w:t>
            </w:r>
            <w:r>
              <w:rPr>
                <w:lang w:eastAsia="en-US"/>
              </w:rPr>
              <w:t>: Azure solutions must contain a minimum of one virtual network to establish network communications within Azure. A Virtual Network must contain a minimum of one subnet for virtual machine placement and one gateway subnet if cross premises network connectivity is required.</w:t>
            </w:r>
          </w:p>
          <w:p w14:paraId="6BE6BF36" w14:textId="77777777" w:rsidR="00E301D4" w:rsidRDefault="00E301D4" w:rsidP="000530DE">
            <w:pPr>
              <w:rPr>
                <w:lang w:eastAsia="en-US"/>
              </w:rPr>
            </w:pPr>
            <w:r>
              <w:rPr>
                <w:lang w:eastAsia="en-US"/>
              </w:rPr>
              <w:t>Proper network address space planning is required when implementing virtual networks and subnets.</w:t>
            </w:r>
          </w:p>
        </w:tc>
      </w:tr>
      <w:tr w:rsidR="00E301D4" w14:paraId="70D1832F" w14:textId="77777777" w:rsidTr="000530DE">
        <w:trPr>
          <w:trHeight w:val="423"/>
        </w:trPr>
        <w:tc>
          <w:tcPr>
            <w:tcW w:w="666" w:type="dxa"/>
          </w:tcPr>
          <w:p w14:paraId="2289546D" w14:textId="77777777" w:rsidR="00E301D4" w:rsidRDefault="00E301D4" w:rsidP="000530DE">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800576" behindDoc="0" locked="0" layoutInCell="1" allowOverlap="1" wp14:anchorId="6444A651" wp14:editId="38AD4C51">
                      <wp:simplePos x="0" y="0"/>
                      <wp:positionH relativeFrom="column">
                        <wp:posOffset>66675</wp:posOffset>
                      </wp:positionH>
                      <wp:positionV relativeFrom="paragraph">
                        <wp:posOffset>90170</wp:posOffset>
                      </wp:positionV>
                      <wp:extent cx="209550" cy="180975"/>
                      <wp:effectExtent l="57150" t="19050" r="57150" b="104775"/>
                      <wp:wrapNone/>
                      <wp:docPr id="41025" name="Isosceles Triangle 410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2CDEDC47" id="Isosceles Triangle 41025" o:spid="_x0000_s1026" type="#_x0000_t5" style="position:absolute;margin-left:5.25pt;margin-top:7.1pt;width:16.5pt;height:14.2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6ekig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Mi&#10;n8woMazBNt168Fxo4cmjU8xstCCdHuvVWl+i2YO9dzFjb1fAf3hUZH9oouB7zEG6JmIxX3JIxT+O&#10;xReHQDj+nOQXsxm2iKOqOM8vzmaxORkrB2PrfPgioCHxUtHQB5bKzvYrHzr4AEuxgVb1UmmdBLdZ&#10;X2tH9gy5sMQvT+3HF/wzLOXQhZ0SCEctorE234TEOmGgRXoxMVSM/hjnwoTTPuSEjmYS3x4NP79v&#10;2OOjqUjsHY0n7xuPFullMGE0bpQB95YDHYo+ZNnh+y76Lu9YgjXUR6SIg252vOVLhQ1YMR/umcNh&#10;wZ7hAghf8ZAa2opCf6NkC+7XW/8jHjmMWkpaHL6K+p875gQl+tYguy+K6TROaxKms7MJCu6lZv1S&#10;Y3bNNWBPC1w1lqdrxAc9XKWD5gn3xCK+iipmOL5dUR7cIFyHbingpuFisUgwnFDLwso8WD50PZLr&#10;8fDEnB1YiPS9g2FQWfmKiB029sPAYhdAqsTS57r29cbpTlzvN1FcHy/lhHrel/PfAAAA//8DAFBL&#10;AwQUAAYACAAAACEANTxCMNkAAAAHAQAADwAAAGRycy9kb3ducmV2LnhtbEyOzU7DMBCE70i8g7VI&#10;XFDrkIa2CnEqhJIjqig8gBNvfoS9jmK3DW/PcoLTaDSjma84LM6KC85h9KTgcZ2AQGq9GalX8PlR&#10;r/YgQtRktPWECr4xwKG8vSl0bvyV3vFyir3gEQq5VjDEOOVShnZAp8PaT0icdX52OrKde2lmfeVx&#10;Z2WaJFvp9Ej8MOgJXwdsv05np8A3y7Hb1Lv9Q+0m+9ZVVeaOlVL3d8vLM4iIS/wrwy8+o0PJTI0/&#10;kwnCsk+euMmapSA4zzbsG9Z0B7Is5H/+8gcAAP//AwBQSwECLQAUAAYACAAAACEAtoM4kv4AAADh&#10;AQAAEwAAAAAAAAAAAAAAAAAAAAAAW0NvbnRlbnRfVHlwZXNdLnhtbFBLAQItABQABgAIAAAAIQA4&#10;/SH/1gAAAJQBAAALAAAAAAAAAAAAAAAAAC8BAABfcmVscy8ucmVsc1BLAQItABQABgAIAAAAIQBe&#10;A6ekigIAAHcFAAAOAAAAAAAAAAAAAAAAAC4CAABkcnMvZTJvRG9jLnhtbFBLAQItABQABgAIAAAA&#10;IQA1PEIw2QAAAAcBAAAPAAAAAAAAAAAAAAAAAOQEAABkcnMvZG93bnJldi54bWxQSwUGAAAAAAQA&#10;BADzAAAA6gUAAAAA&#10;" fillcolor="yellow" strokecolor="#70ad47 [3209]" strokeweight=".5pt">
                      <v:path arrowok="t"/>
                    </v:shape>
                  </w:pict>
                </mc:Fallback>
              </mc:AlternateContent>
            </w:r>
          </w:p>
        </w:tc>
        <w:tc>
          <w:tcPr>
            <w:tcW w:w="8604" w:type="dxa"/>
          </w:tcPr>
          <w:p w14:paraId="09788D4D" w14:textId="77777777" w:rsidR="00E301D4" w:rsidRDefault="00E301D4" w:rsidP="000530DE">
            <w:pPr>
              <w:rPr>
                <w:lang w:eastAsia="en-US"/>
              </w:rPr>
            </w:pPr>
            <w:r>
              <w:rPr>
                <w:rFonts w:eastAsiaTheme="minorHAnsi"/>
                <w:b/>
                <w:lang w:eastAsia="en-US"/>
              </w:rPr>
              <w:t xml:space="preserve">Recommended: </w:t>
            </w:r>
            <w:r>
              <w:rPr>
                <w:rFonts w:eastAsiaTheme="minorHAnsi"/>
                <w:lang w:eastAsia="en-US"/>
              </w:rPr>
              <w:t>Azure solutions should use the dynamic routing or ExpressRoute gateway versus the static routing gateway.</w:t>
            </w:r>
          </w:p>
        </w:tc>
      </w:tr>
    </w:tbl>
    <w:p w14:paraId="634FB5AD" w14:textId="77777777" w:rsidR="00D53C85" w:rsidRDefault="00D53C85" w:rsidP="00D53C85">
      <w:pPr>
        <w:jc w:val="both"/>
      </w:pPr>
    </w:p>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E74CE8" w14:paraId="70CF2D14" w14:textId="77777777" w:rsidTr="00005AF1">
        <w:tc>
          <w:tcPr>
            <w:tcW w:w="9360" w:type="dxa"/>
            <w:shd w:val="clear" w:color="auto" w:fill="008AC8"/>
          </w:tcPr>
          <w:p w14:paraId="19C68B00" w14:textId="75FCC9B0" w:rsidR="00E74CE8" w:rsidRPr="00F47607" w:rsidRDefault="00E74CE8" w:rsidP="00005AF1">
            <w:pPr>
              <w:spacing w:line="240" w:lineRule="auto"/>
              <w:rPr>
                <w:color w:val="FFFFFF"/>
              </w:rPr>
            </w:pPr>
            <w:r>
              <w:rPr>
                <w:color w:val="FFFFFF"/>
              </w:rPr>
              <w:t>Design Guidance</w:t>
            </w:r>
          </w:p>
        </w:tc>
      </w:tr>
    </w:tbl>
    <w:p w14:paraId="67FF78AF" w14:textId="0A411A6B" w:rsidR="00E74CE8" w:rsidRDefault="00E74CE8" w:rsidP="00E74CE8">
      <w:r>
        <w:t>When you design Virtual Networks, consider the following:</w:t>
      </w:r>
    </w:p>
    <w:tbl>
      <w:tblPr>
        <w:tblStyle w:val="PlainTable11"/>
        <w:tblW w:w="0" w:type="auto"/>
        <w:tblLook w:val="04A0" w:firstRow="1" w:lastRow="0" w:firstColumn="1" w:lastColumn="0" w:noHBand="0" w:noVBand="1"/>
      </w:tblPr>
      <w:tblGrid>
        <w:gridCol w:w="2609"/>
        <w:gridCol w:w="6741"/>
      </w:tblGrid>
      <w:tr w:rsidR="00E74CE8" w:rsidRPr="002227B5" w14:paraId="46E6DAC3" w14:textId="77777777" w:rsidTr="00005AF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808080" w:themeFill="background1" w:themeFillShade="80"/>
            <w:hideMark/>
          </w:tcPr>
          <w:p w14:paraId="4EC5B920" w14:textId="77777777" w:rsidR="00E74CE8" w:rsidRPr="002227B5" w:rsidRDefault="00E74CE8" w:rsidP="00005AF1">
            <w:pPr>
              <w:spacing w:line="240" w:lineRule="auto"/>
              <w:rPr>
                <w:rFonts w:eastAsia="Calibri"/>
                <w:bCs w:val="0"/>
                <w:color w:val="FFFFFF"/>
                <w:sz w:val="20"/>
                <w:szCs w:val="20"/>
                <w:lang w:eastAsia="en-AU"/>
              </w:rPr>
            </w:pPr>
            <w:r w:rsidRPr="002227B5">
              <w:rPr>
                <w:rFonts w:eastAsia="Calibri"/>
                <w:bCs w:val="0"/>
                <w:color w:val="FFFFFF"/>
                <w:sz w:val="20"/>
                <w:szCs w:val="20"/>
                <w:lang w:eastAsia="en-AU"/>
              </w:rPr>
              <w:t>Capability Considerations</w:t>
            </w:r>
          </w:p>
          <w:p w14:paraId="125BDB84" w14:textId="77777777" w:rsidR="00E74CE8" w:rsidRPr="002227B5" w:rsidRDefault="00E74CE8" w:rsidP="00005AF1">
            <w:pPr>
              <w:spacing w:line="240" w:lineRule="auto"/>
              <w:rPr>
                <w:rFonts w:ascii="Times New Roman" w:hAnsi="Times New Roman"/>
                <w:bCs w:val="0"/>
                <w:color w:val="FFFFFF"/>
                <w:sz w:val="20"/>
                <w:szCs w:val="20"/>
                <w:lang w:val="en-AU" w:eastAsia="en-AU"/>
              </w:rPr>
            </w:pPr>
          </w:p>
        </w:tc>
        <w:tc>
          <w:tcPr>
            <w:tcW w:w="6741" w:type="dxa"/>
            <w:shd w:val="clear" w:color="auto" w:fill="808080" w:themeFill="background1" w:themeFillShade="80"/>
            <w:hideMark/>
          </w:tcPr>
          <w:p w14:paraId="69011717" w14:textId="77777777" w:rsidR="00E74CE8" w:rsidRPr="002227B5" w:rsidRDefault="00E74CE8" w:rsidP="00005AF1">
            <w:pPr>
              <w:spacing w:line="240" w:lineRule="auto"/>
              <w:cnfStyle w:val="100000000000" w:firstRow="1" w:lastRow="0" w:firstColumn="0" w:lastColumn="0" w:oddVBand="0" w:evenVBand="0" w:oddHBand="0" w:evenHBand="0" w:firstRowFirstColumn="0" w:firstRowLastColumn="0" w:lastRowFirstColumn="0" w:lastRowLastColumn="0"/>
              <w:rPr>
                <w:rFonts w:eastAsia="Calibri"/>
                <w:bCs w:val="0"/>
                <w:color w:val="FFFFFF"/>
                <w:sz w:val="20"/>
                <w:szCs w:val="20"/>
                <w:lang w:eastAsia="en-AU"/>
              </w:rPr>
            </w:pPr>
            <w:r w:rsidRPr="002227B5">
              <w:rPr>
                <w:rFonts w:eastAsia="Calibri"/>
                <w:bCs w:val="0"/>
                <w:color w:val="FFFFFF"/>
                <w:sz w:val="20"/>
                <w:szCs w:val="20"/>
                <w:lang w:eastAsia="en-AU"/>
              </w:rPr>
              <w:t>Capability Decision Points</w:t>
            </w:r>
          </w:p>
          <w:p w14:paraId="69DFB9C6" w14:textId="77777777" w:rsidR="00E74CE8" w:rsidRPr="002227B5" w:rsidRDefault="00E74CE8" w:rsidP="00005AF1">
            <w:pPr>
              <w:spacing w:line="240" w:lineRule="auto"/>
              <w:cnfStyle w:val="100000000000" w:firstRow="1" w:lastRow="0" w:firstColumn="0" w:lastColumn="0" w:oddVBand="0" w:evenVBand="0" w:oddHBand="0" w:evenHBand="0" w:firstRowFirstColumn="0" w:firstRowLastColumn="0" w:lastRowFirstColumn="0" w:lastRowLastColumn="0"/>
              <w:rPr>
                <w:rFonts w:eastAsia="Calibri"/>
                <w:color w:val="FFFFFF"/>
                <w:sz w:val="20"/>
                <w:szCs w:val="20"/>
                <w:lang w:val="en-AU" w:eastAsia="en-AU"/>
              </w:rPr>
            </w:pPr>
          </w:p>
        </w:tc>
      </w:tr>
      <w:tr w:rsidR="00E74CE8" w14:paraId="27419008" w14:textId="77777777" w:rsidTr="00005A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1635205" w14:textId="627C32AE" w:rsidR="00E74CE8" w:rsidRPr="000A6CB0" w:rsidRDefault="00E74CE8" w:rsidP="00005AF1">
            <w:pPr>
              <w:rPr>
                <w:sz w:val="20"/>
                <w:szCs w:val="20"/>
              </w:rPr>
            </w:pPr>
            <w:r>
              <w:rPr>
                <w:sz w:val="20"/>
                <w:szCs w:val="20"/>
              </w:rPr>
              <w:t>RBAC</w:t>
            </w:r>
          </w:p>
        </w:tc>
        <w:tc>
          <w:tcPr>
            <w:tcW w:w="6741" w:type="dxa"/>
          </w:tcPr>
          <w:p w14:paraId="7A4E41DC" w14:textId="5BFC37FD" w:rsidR="00E74CE8" w:rsidRPr="000A6CB0" w:rsidRDefault="003E7DF2" w:rsidP="003E7DF2">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The Virtual Network Contributor resource role allows the ability to manage the entire virtual network and subnets. The Virtual Machine Contributor role can be used to grant the ability to use a subnet but not manage it.</w:t>
            </w:r>
          </w:p>
        </w:tc>
      </w:tr>
      <w:tr w:rsidR="003E7DF2" w14:paraId="6188E669" w14:textId="77777777" w:rsidTr="00005AF1">
        <w:tc>
          <w:tcPr>
            <w:cnfStyle w:val="001000000000" w:firstRow="0" w:lastRow="0" w:firstColumn="1" w:lastColumn="0" w:oddVBand="0" w:evenVBand="0" w:oddHBand="0" w:evenHBand="0" w:firstRowFirstColumn="0" w:firstRowLastColumn="0" w:lastRowFirstColumn="0" w:lastRowLastColumn="0"/>
            <w:tcW w:w="0" w:type="auto"/>
          </w:tcPr>
          <w:p w14:paraId="15CDCEA9" w14:textId="2162A62D" w:rsidR="003E7DF2" w:rsidRDefault="003E7DF2" w:rsidP="00E301D4">
            <w:pPr>
              <w:rPr>
                <w:sz w:val="20"/>
                <w:szCs w:val="20"/>
              </w:rPr>
            </w:pPr>
            <w:r>
              <w:rPr>
                <w:sz w:val="20"/>
                <w:szCs w:val="20"/>
              </w:rPr>
              <w:t xml:space="preserve">CSP </w:t>
            </w:r>
            <w:r w:rsidR="00E301D4">
              <w:rPr>
                <w:sz w:val="20"/>
                <w:szCs w:val="20"/>
              </w:rPr>
              <w:t>m</w:t>
            </w:r>
            <w:r>
              <w:rPr>
                <w:sz w:val="20"/>
                <w:szCs w:val="20"/>
              </w:rPr>
              <w:t>anagement</w:t>
            </w:r>
          </w:p>
        </w:tc>
        <w:tc>
          <w:tcPr>
            <w:tcW w:w="6741" w:type="dxa"/>
          </w:tcPr>
          <w:p w14:paraId="137DF0BB" w14:textId="76A090D8" w:rsidR="003E7DF2" w:rsidRDefault="003E7DF2" w:rsidP="003E7DF2">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CSP scenarios might drive additional virtual networks to allow customer separate management capabilities</w:t>
            </w:r>
            <w:r w:rsidR="00E301D4">
              <w:rPr>
                <w:sz w:val="20"/>
                <w:szCs w:val="20"/>
              </w:rPr>
              <w:t>.</w:t>
            </w:r>
          </w:p>
        </w:tc>
      </w:tr>
      <w:tr w:rsidR="003E7DF2" w14:paraId="2286DF61" w14:textId="77777777" w:rsidTr="00005A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B0F9023" w14:textId="4D9D2B04" w:rsidR="003E7DF2" w:rsidRDefault="003E7DF2" w:rsidP="00005AF1">
            <w:pPr>
              <w:rPr>
                <w:sz w:val="20"/>
                <w:szCs w:val="20"/>
              </w:rPr>
            </w:pPr>
            <w:r>
              <w:rPr>
                <w:sz w:val="20"/>
                <w:szCs w:val="20"/>
              </w:rPr>
              <w:t>Core limitations</w:t>
            </w:r>
          </w:p>
        </w:tc>
        <w:tc>
          <w:tcPr>
            <w:tcW w:w="6741" w:type="dxa"/>
          </w:tcPr>
          <w:p w14:paraId="4F198EC4" w14:textId="1543C5CB" w:rsidR="003E7DF2" w:rsidRDefault="003E7DF2" w:rsidP="003E7DF2">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Ensure that the virtual network design supports the number of virtual machines that are desired</w:t>
            </w:r>
            <w:r w:rsidR="00E301D4">
              <w:rPr>
                <w:sz w:val="20"/>
                <w:szCs w:val="20"/>
              </w:rPr>
              <w:t>.</w:t>
            </w:r>
          </w:p>
        </w:tc>
      </w:tr>
    </w:tbl>
    <w:p w14:paraId="09BE6C8F" w14:textId="77777777" w:rsidR="00D53C85" w:rsidRDefault="00D53C85" w:rsidP="00D53C85"/>
    <w:p w14:paraId="73287AE5" w14:textId="0033671E" w:rsidR="00F71B2D" w:rsidRDefault="00F71B2D" w:rsidP="005729D2">
      <w:pPr>
        <w:pStyle w:val="Heading2Numbered"/>
        <w:numPr>
          <w:ilvl w:val="1"/>
          <w:numId w:val="64"/>
        </w:numPr>
      </w:pPr>
      <w:bookmarkStart w:id="3949" w:name="_Toc417314742"/>
      <w:bookmarkStart w:id="3950" w:name="_Toc417323759"/>
      <w:bookmarkStart w:id="3951" w:name="_Toc417326848"/>
      <w:bookmarkStart w:id="3952" w:name="_Toc417330396"/>
      <w:bookmarkStart w:id="3953" w:name="_Toc417395002"/>
      <w:bookmarkStart w:id="3954" w:name="_Toc417399219"/>
      <w:bookmarkStart w:id="3955" w:name="_Toc417399378"/>
      <w:bookmarkStart w:id="3956" w:name="_Toc417400425"/>
      <w:bookmarkStart w:id="3957" w:name="_Toc417401273"/>
      <w:bookmarkStart w:id="3958" w:name="_Toc417419587"/>
      <w:bookmarkStart w:id="3959" w:name="_Toc417457359"/>
      <w:bookmarkStart w:id="3960" w:name="_Toc417481937"/>
      <w:bookmarkStart w:id="3961" w:name="_Toc417482195"/>
      <w:bookmarkStart w:id="3962" w:name="_Toc417499914"/>
      <w:bookmarkStart w:id="3963" w:name="_Toc417502736"/>
      <w:bookmarkStart w:id="3964" w:name="_Toc417548313"/>
      <w:bookmarkStart w:id="3965" w:name="_Toc417594555"/>
      <w:bookmarkStart w:id="3966" w:name="_Toc417934655"/>
      <w:bookmarkStart w:id="3967" w:name="_Toc417935994"/>
      <w:bookmarkStart w:id="3968" w:name="_Toc417936456"/>
      <w:bookmarkStart w:id="3969" w:name="_Toc417946911"/>
      <w:bookmarkStart w:id="3970" w:name="_Toc417947328"/>
      <w:bookmarkStart w:id="3971" w:name="_Toc417982521"/>
      <w:bookmarkStart w:id="3972" w:name="_Toc417985943"/>
      <w:bookmarkStart w:id="3973" w:name="_Toc418000667"/>
      <w:bookmarkStart w:id="3974" w:name="_Toc418003807"/>
      <w:bookmarkStart w:id="3975" w:name="_Toc418012012"/>
      <w:bookmarkStart w:id="3976" w:name="_Toc418014457"/>
      <w:bookmarkStart w:id="3977" w:name="_Toc418030030"/>
      <w:bookmarkStart w:id="3978" w:name="_Toc418036945"/>
      <w:bookmarkStart w:id="3979" w:name="_Toc418061421"/>
      <w:bookmarkStart w:id="3980" w:name="_Toc418081320"/>
      <w:bookmarkStart w:id="3981" w:name="_Toc418083352"/>
      <w:bookmarkStart w:id="3982" w:name="_Toc418096116"/>
      <w:bookmarkStart w:id="3983" w:name="_Toc418156718"/>
      <w:bookmarkStart w:id="3984" w:name="_Toc418167637"/>
      <w:bookmarkStart w:id="3985" w:name="_Toc418185893"/>
      <w:bookmarkStart w:id="3986" w:name="_Toc422941603"/>
      <w:bookmarkStart w:id="3987" w:name="_Toc423116809"/>
      <w:bookmarkStart w:id="3988" w:name="_Toc423117842"/>
      <w:bookmarkStart w:id="3989" w:name="_Toc423117292"/>
      <w:bookmarkStart w:id="3990" w:name="_Toc431288886"/>
      <w:bookmarkStart w:id="3991" w:name="_Toc416863136"/>
      <w:r>
        <w:t>Virtual Network Gateways</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253BF861" w14:textId="4C80A27E" w:rsidR="00E301D4" w:rsidRDefault="00F71B2D" w:rsidP="00E301D4">
      <w:r>
        <w:t>Virtual</w:t>
      </w:r>
      <w:r w:rsidR="00E301D4">
        <w:t xml:space="preserve"> network gateways provide connectivity from on-premises networks to Azure and between Azure virtual networks. Types of gateway connection technologies include Point-to-Site (P2S), Site-to-Site (S2S), and ExpressRoute. This section covers gateways in the context of Site-to-Site (S2S) and ExpressRoute connections.</w:t>
      </w:r>
    </w:p>
    <w:p w14:paraId="08B46281" w14:textId="77777777" w:rsidR="00E301D4" w:rsidRDefault="00E301D4" w:rsidP="00E301D4">
      <w:r w:rsidRPr="00CB4BF7">
        <w:t xml:space="preserve">For </w:t>
      </w:r>
      <w:r>
        <w:t xml:space="preserve">Site-to-Site </w:t>
      </w:r>
      <w:r w:rsidDel="00A44207">
        <w:t>g</w:t>
      </w:r>
      <w:r>
        <w:t xml:space="preserve">ateways, an IPsec/IKE VPN tunnel is created </w:t>
      </w:r>
      <w:r w:rsidRPr="00CB4BF7">
        <w:t xml:space="preserve">between the </w:t>
      </w:r>
      <w:r>
        <w:t>v</w:t>
      </w:r>
      <w:r w:rsidRPr="00CB4BF7">
        <w:t xml:space="preserve">irtual </w:t>
      </w:r>
      <w:r>
        <w:t>n</w:t>
      </w:r>
      <w:r w:rsidRPr="00CB4BF7">
        <w:t xml:space="preserve">etworks and </w:t>
      </w:r>
      <w:r>
        <w:t xml:space="preserve">the </w:t>
      </w:r>
      <w:r w:rsidRPr="00CB4BF7">
        <w:t>on</w:t>
      </w:r>
      <w:r>
        <w:t>-</w:t>
      </w:r>
      <w:r w:rsidRPr="00CB4BF7">
        <w:t xml:space="preserve">premises sites </w:t>
      </w:r>
      <w:r>
        <w:t>by using Internet Key Exchange (</w:t>
      </w:r>
      <w:r w:rsidRPr="00CB4BF7">
        <w:t>IKE</w:t>
      </w:r>
      <w:r>
        <w:t xml:space="preserve">) protocol </w:t>
      </w:r>
      <w:r w:rsidRPr="00CB4BF7">
        <w:t>handshakes</w:t>
      </w:r>
      <w:r>
        <w:t>.</w:t>
      </w:r>
      <w:r w:rsidRPr="00CB4BF7">
        <w:t xml:space="preserve"> For ExpressRoute, the gateways advertise the prefixes </w:t>
      </w:r>
      <w:r>
        <w:t xml:space="preserve">by using the Border Gateway Protocol (BGP) </w:t>
      </w:r>
      <w:r w:rsidRPr="00CB4BF7">
        <w:t>in your virtual networks via the peering circuits</w:t>
      </w:r>
      <w:r>
        <w:t>. The gateways</w:t>
      </w:r>
      <w:r w:rsidRPr="00CB4BF7">
        <w:t xml:space="preserve"> also forward packets from your ExpressRoute circuits to your </w:t>
      </w:r>
      <w:r>
        <w:t>virtual machines</w:t>
      </w:r>
      <w:r w:rsidRPr="00CB4BF7">
        <w:t xml:space="preserve"> inside your virtual networks.</w:t>
      </w:r>
    </w:p>
    <w:p w14:paraId="0B33AA5C" w14:textId="77777777" w:rsidR="00E301D4" w:rsidRDefault="00E301D4" w:rsidP="00E301D4">
      <w:r>
        <w:t xml:space="preserve">Currently there are two types of S2S virtual private network connections (VPNs) that require the use of two types of gateways: static routing and dynamic routing. A </w:t>
      </w:r>
      <w:r w:rsidRPr="00256000">
        <w:rPr>
          <w:i/>
        </w:rPr>
        <w:t>static routing</w:t>
      </w:r>
      <w:r>
        <w:t xml:space="preserve"> gateway uses policy-based VPNs. Policy-based VPNs encrypt and route packets through an interface based on a customer-defined policy. The policy is usually defined as an access list. Static routing VPNs require a static routing VPN gateway. Although they are effective for single virtual network connections, static gateways are limited to a single virtual network per VPN connection.</w:t>
      </w:r>
    </w:p>
    <w:p w14:paraId="581B4770" w14:textId="77777777" w:rsidR="00E301D4" w:rsidRDefault="00E301D4" w:rsidP="00E301D4">
      <w:r>
        <w:t xml:space="preserve">In contrast, </w:t>
      </w:r>
      <w:r w:rsidRPr="00256000">
        <w:rPr>
          <w:i/>
        </w:rPr>
        <w:t>dynamic routing</w:t>
      </w:r>
      <w:r w:rsidRPr="00CB4BF7">
        <w:t xml:space="preserve"> </w:t>
      </w:r>
      <w:r>
        <w:t>gateways use</w:t>
      </w:r>
      <w:r w:rsidRPr="00CB4BF7">
        <w:t xml:space="preserve"> route-based VPNs. Route-based VPNs depend on a tunnel interface specifically created for forwarding packets. Any packet arriving </w:t>
      </w:r>
      <w:r>
        <w:t>at</w:t>
      </w:r>
      <w:r w:rsidRPr="00CB4BF7">
        <w:t xml:space="preserve"> the tunnel interface </w:t>
      </w:r>
      <w:r>
        <w:t>is</w:t>
      </w:r>
      <w:r w:rsidRPr="00CB4BF7">
        <w:t xml:space="preserve"> forwarded through the VPN connection. Dynamic routing VPNs require a dynamic routing VPN gateway</w:t>
      </w:r>
      <w:r>
        <w:t xml:space="preserve">. </w:t>
      </w:r>
    </w:p>
    <w:p w14:paraId="215BC2A9" w14:textId="2990807C" w:rsidR="003835C6" w:rsidRDefault="00E301D4" w:rsidP="00E301D4">
      <w:r>
        <w:t>From a performance</w:t>
      </w:r>
      <w:r w:rsidDel="00F8792B">
        <w:t xml:space="preserve"> </w:t>
      </w:r>
      <w:r>
        <w:t>perspective there are three types of dynamic routing gateways: Basic, Standard, and High-Performance. The differences between these gateway types are outlined in the following table</w:t>
      </w:r>
      <w:r w:rsidR="00F8792B">
        <w:t>.</w:t>
      </w:r>
    </w:p>
    <w:tbl>
      <w:tblPr>
        <w:tblStyle w:val="PlainTable11"/>
        <w:tblW w:w="10701" w:type="dxa"/>
        <w:tblCellMar>
          <w:left w:w="72" w:type="dxa"/>
          <w:right w:w="72" w:type="dxa"/>
        </w:tblCellMar>
        <w:tblLook w:val="04A0" w:firstRow="1" w:lastRow="0" w:firstColumn="1" w:lastColumn="0" w:noHBand="0" w:noVBand="1"/>
      </w:tblPr>
      <w:tblGrid>
        <w:gridCol w:w="1351"/>
        <w:gridCol w:w="1351"/>
        <w:gridCol w:w="1345"/>
        <w:gridCol w:w="1480"/>
        <w:gridCol w:w="1306"/>
        <w:gridCol w:w="1306"/>
        <w:gridCol w:w="1216"/>
        <w:gridCol w:w="1346"/>
      </w:tblGrid>
      <w:tr w:rsidR="00E301D4" w:rsidRPr="003E7DF2" w14:paraId="28CE0C61" w14:textId="7AB9CD80" w:rsidTr="00E301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1" w:type="dxa"/>
            <w:shd w:val="clear" w:color="auto" w:fill="808080" w:themeFill="background1" w:themeFillShade="80"/>
          </w:tcPr>
          <w:p w14:paraId="4CF666AF" w14:textId="0BA66DAA" w:rsidR="00E301D4" w:rsidRPr="003E7DF2" w:rsidRDefault="00E301D4" w:rsidP="00E301D4">
            <w:pPr>
              <w:rPr>
                <w:color w:val="FFFFFF" w:themeColor="background1"/>
                <w:sz w:val="18"/>
              </w:rPr>
            </w:pPr>
            <w:r w:rsidRPr="00797F05">
              <w:rPr>
                <w:color w:val="FFFFFF" w:themeColor="background1"/>
                <w:sz w:val="20"/>
                <w:szCs w:val="20"/>
              </w:rPr>
              <w:t>Type</w:t>
            </w:r>
          </w:p>
        </w:tc>
        <w:tc>
          <w:tcPr>
            <w:tcW w:w="1351" w:type="dxa"/>
            <w:shd w:val="clear" w:color="auto" w:fill="808080" w:themeFill="background1" w:themeFillShade="80"/>
          </w:tcPr>
          <w:p w14:paraId="1D103317" w14:textId="3BA1E5B7" w:rsidR="00E301D4" w:rsidRPr="003E7DF2" w:rsidRDefault="00E301D4" w:rsidP="00E301D4">
            <w:pPr>
              <w:cnfStyle w:val="100000000000" w:firstRow="1" w:lastRow="0" w:firstColumn="0" w:lastColumn="0" w:oddVBand="0" w:evenVBand="0" w:oddHBand="0" w:evenHBand="0" w:firstRowFirstColumn="0" w:firstRowLastColumn="0" w:lastRowFirstColumn="0" w:lastRowLastColumn="0"/>
              <w:rPr>
                <w:color w:val="FFFFFF" w:themeColor="background1"/>
                <w:sz w:val="18"/>
              </w:rPr>
            </w:pPr>
            <w:r w:rsidRPr="003E7DF2">
              <w:rPr>
                <w:color w:val="FFFFFF" w:themeColor="background1"/>
                <w:sz w:val="18"/>
              </w:rPr>
              <w:t>Type</w:t>
            </w:r>
          </w:p>
        </w:tc>
        <w:tc>
          <w:tcPr>
            <w:tcW w:w="1345" w:type="dxa"/>
            <w:shd w:val="clear" w:color="auto" w:fill="808080" w:themeFill="background1" w:themeFillShade="80"/>
          </w:tcPr>
          <w:p w14:paraId="1184C0B1" w14:textId="4B991952" w:rsidR="00E301D4" w:rsidRPr="003E7DF2" w:rsidRDefault="00E301D4" w:rsidP="00E301D4">
            <w:pPr>
              <w:cnfStyle w:val="100000000000" w:firstRow="1" w:lastRow="0" w:firstColumn="0" w:lastColumn="0" w:oddVBand="0" w:evenVBand="0" w:oddHBand="0" w:evenHBand="0" w:firstRowFirstColumn="0" w:firstRowLastColumn="0" w:lastRowFirstColumn="0" w:lastRowLastColumn="0"/>
              <w:rPr>
                <w:color w:val="FFFFFF" w:themeColor="background1"/>
                <w:sz w:val="18"/>
              </w:rPr>
            </w:pPr>
            <w:r w:rsidRPr="003E7DF2">
              <w:rPr>
                <w:color w:val="FFFFFF" w:themeColor="background1"/>
                <w:sz w:val="18"/>
              </w:rPr>
              <w:t>S2S connectivity</w:t>
            </w:r>
          </w:p>
        </w:tc>
        <w:tc>
          <w:tcPr>
            <w:tcW w:w="1480" w:type="dxa"/>
            <w:shd w:val="clear" w:color="auto" w:fill="808080" w:themeFill="background1" w:themeFillShade="80"/>
          </w:tcPr>
          <w:p w14:paraId="2CE0F6C8" w14:textId="4B6D3388" w:rsidR="00E301D4" w:rsidRPr="003E7DF2" w:rsidRDefault="00E301D4" w:rsidP="00E301D4">
            <w:pPr>
              <w:cnfStyle w:val="100000000000" w:firstRow="1" w:lastRow="0" w:firstColumn="0" w:lastColumn="0" w:oddVBand="0" w:evenVBand="0" w:oddHBand="0" w:evenHBand="0" w:firstRowFirstColumn="0" w:firstRowLastColumn="0" w:lastRowFirstColumn="0" w:lastRowLastColumn="0"/>
              <w:rPr>
                <w:color w:val="FFFFFF" w:themeColor="background1"/>
                <w:sz w:val="18"/>
              </w:rPr>
            </w:pPr>
            <w:r w:rsidRPr="003E7DF2">
              <w:rPr>
                <w:color w:val="FFFFFF" w:themeColor="background1"/>
                <w:sz w:val="18"/>
              </w:rPr>
              <w:t>Authentication method</w:t>
            </w:r>
          </w:p>
        </w:tc>
        <w:tc>
          <w:tcPr>
            <w:tcW w:w="1306" w:type="dxa"/>
            <w:shd w:val="clear" w:color="auto" w:fill="808080" w:themeFill="background1" w:themeFillShade="80"/>
          </w:tcPr>
          <w:p w14:paraId="4D681E23" w14:textId="1B2928D9" w:rsidR="00E301D4" w:rsidRPr="003E7DF2" w:rsidRDefault="00E301D4" w:rsidP="00E301D4">
            <w:pPr>
              <w:cnfStyle w:val="100000000000" w:firstRow="1" w:lastRow="0" w:firstColumn="0" w:lastColumn="0" w:oddVBand="0" w:evenVBand="0" w:oddHBand="0" w:evenHBand="0" w:firstRowFirstColumn="0" w:firstRowLastColumn="0" w:lastRowFirstColumn="0" w:lastRowLastColumn="0"/>
              <w:rPr>
                <w:color w:val="FFFFFF" w:themeColor="background1"/>
                <w:sz w:val="18"/>
              </w:rPr>
            </w:pPr>
            <w:r w:rsidRPr="003E7DF2">
              <w:rPr>
                <w:color w:val="FFFFFF" w:themeColor="background1"/>
                <w:sz w:val="18"/>
              </w:rPr>
              <w:t>Maximum number of S2S vNet connections</w:t>
            </w:r>
          </w:p>
        </w:tc>
        <w:tc>
          <w:tcPr>
            <w:tcW w:w="1306" w:type="dxa"/>
            <w:shd w:val="clear" w:color="auto" w:fill="808080" w:themeFill="background1" w:themeFillShade="80"/>
          </w:tcPr>
          <w:p w14:paraId="2E59097F" w14:textId="0A53D87F" w:rsidR="00E301D4" w:rsidRPr="003E7DF2" w:rsidRDefault="00E301D4" w:rsidP="00E301D4">
            <w:pPr>
              <w:cnfStyle w:val="100000000000" w:firstRow="1" w:lastRow="0" w:firstColumn="0" w:lastColumn="0" w:oddVBand="0" w:evenVBand="0" w:oddHBand="0" w:evenHBand="0" w:firstRowFirstColumn="0" w:firstRowLastColumn="0" w:lastRowFirstColumn="0" w:lastRowLastColumn="0"/>
              <w:rPr>
                <w:color w:val="FFFFFF" w:themeColor="background1"/>
                <w:sz w:val="18"/>
              </w:rPr>
            </w:pPr>
            <w:r w:rsidRPr="003E7DF2">
              <w:rPr>
                <w:color w:val="FFFFFF" w:themeColor="background1"/>
                <w:sz w:val="18"/>
              </w:rPr>
              <w:t>Maximum number of P2S connections</w:t>
            </w:r>
          </w:p>
        </w:tc>
        <w:tc>
          <w:tcPr>
            <w:tcW w:w="1216" w:type="dxa"/>
            <w:shd w:val="clear" w:color="auto" w:fill="808080" w:themeFill="background1" w:themeFillShade="80"/>
          </w:tcPr>
          <w:p w14:paraId="65536584" w14:textId="4565FE00" w:rsidR="00E301D4" w:rsidRPr="003E7DF2" w:rsidRDefault="00E301D4" w:rsidP="00E301D4">
            <w:pPr>
              <w:cnfStyle w:val="100000000000" w:firstRow="1" w:lastRow="0" w:firstColumn="0" w:lastColumn="0" w:oddVBand="0" w:evenVBand="0" w:oddHBand="0" w:evenHBand="0" w:firstRowFirstColumn="0" w:firstRowLastColumn="0" w:lastRowFirstColumn="0" w:lastRowLastColumn="0"/>
              <w:rPr>
                <w:color w:val="FFFFFF" w:themeColor="background1"/>
                <w:sz w:val="18"/>
              </w:rPr>
            </w:pPr>
            <w:r w:rsidRPr="003E7DF2">
              <w:rPr>
                <w:color w:val="FFFFFF" w:themeColor="background1"/>
                <w:sz w:val="18"/>
              </w:rPr>
              <w:t>S2S VPN Throughput</w:t>
            </w:r>
          </w:p>
        </w:tc>
        <w:tc>
          <w:tcPr>
            <w:tcW w:w="1346" w:type="dxa"/>
            <w:shd w:val="clear" w:color="auto" w:fill="808080" w:themeFill="background1" w:themeFillShade="80"/>
          </w:tcPr>
          <w:p w14:paraId="3E9629C1" w14:textId="77777777" w:rsidR="00E301D4" w:rsidRPr="003E7DF2" w:rsidRDefault="00E301D4" w:rsidP="00E301D4">
            <w:pPr>
              <w:cnfStyle w:val="100000000000" w:firstRow="1" w:lastRow="0" w:firstColumn="0" w:lastColumn="0" w:oddVBand="0" w:evenVBand="0" w:oddHBand="0" w:evenHBand="0" w:firstRowFirstColumn="0" w:firstRowLastColumn="0" w:lastRowFirstColumn="0" w:lastRowLastColumn="0"/>
              <w:rPr>
                <w:color w:val="FFFFFF" w:themeColor="background1"/>
                <w:sz w:val="18"/>
              </w:rPr>
            </w:pPr>
            <w:r w:rsidRPr="003E7DF2">
              <w:rPr>
                <w:color w:val="FFFFFF" w:themeColor="background1"/>
                <w:sz w:val="18"/>
              </w:rPr>
              <w:t>ExpressRoute</w:t>
            </w:r>
          </w:p>
          <w:p w14:paraId="450D926C" w14:textId="4556B256" w:rsidR="00E301D4" w:rsidRPr="003E7DF2" w:rsidRDefault="00E301D4" w:rsidP="00E301D4">
            <w:pPr>
              <w:cnfStyle w:val="100000000000" w:firstRow="1" w:lastRow="0" w:firstColumn="0" w:lastColumn="0" w:oddVBand="0" w:evenVBand="0" w:oddHBand="0" w:evenHBand="0" w:firstRowFirstColumn="0" w:firstRowLastColumn="0" w:lastRowFirstColumn="0" w:lastRowLastColumn="0"/>
              <w:rPr>
                <w:color w:val="FFFFFF" w:themeColor="background1"/>
                <w:sz w:val="18"/>
              </w:rPr>
            </w:pPr>
            <w:r w:rsidRPr="003E7DF2">
              <w:rPr>
                <w:color w:val="FFFFFF" w:themeColor="background1"/>
                <w:sz w:val="18"/>
              </w:rPr>
              <w:t>Throughput</w:t>
            </w:r>
          </w:p>
        </w:tc>
      </w:tr>
      <w:tr w:rsidR="00E301D4" w:rsidRPr="003E7DF2" w14:paraId="4A7D520F" w14:textId="77777777" w:rsidTr="00E301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1" w:type="dxa"/>
          </w:tcPr>
          <w:p w14:paraId="388DF288" w14:textId="0AC9BE12" w:rsidR="00E301D4" w:rsidRPr="003E7DF2" w:rsidRDefault="00E301D4" w:rsidP="00E301D4">
            <w:pPr>
              <w:rPr>
                <w:sz w:val="18"/>
              </w:rPr>
            </w:pPr>
            <w:r w:rsidRPr="00797F05">
              <w:rPr>
                <w:sz w:val="20"/>
                <w:szCs w:val="20"/>
              </w:rPr>
              <w:t>Basic Dynamic Routing Gateway</w:t>
            </w:r>
          </w:p>
        </w:tc>
        <w:tc>
          <w:tcPr>
            <w:tcW w:w="1351" w:type="dxa"/>
          </w:tcPr>
          <w:p w14:paraId="600160F3" w14:textId="23CE332C" w:rsidR="00E301D4" w:rsidRPr="003E7DF2" w:rsidRDefault="00E301D4" w:rsidP="00E301D4">
            <w:pPr>
              <w:cnfStyle w:val="000000100000" w:firstRow="0" w:lastRow="0" w:firstColumn="0" w:lastColumn="0" w:oddVBand="0" w:evenVBand="0" w:oddHBand="1" w:evenHBand="0" w:firstRowFirstColumn="0" w:firstRowLastColumn="0" w:lastRowFirstColumn="0" w:lastRowLastColumn="0"/>
              <w:rPr>
                <w:sz w:val="18"/>
              </w:rPr>
            </w:pPr>
            <w:r w:rsidRPr="003E7DF2">
              <w:rPr>
                <w:sz w:val="18"/>
              </w:rPr>
              <w:t>Basic Dynamic Routing Gateway</w:t>
            </w:r>
          </w:p>
        </w:tc>
        <w:tc>
          <w:tcPr>
            <w:tcW w:w="1345" w:type="dxa"/>
          </w:tcPr>
          <w:p w14:paraId="2FF13FC4" w14:textId="6AC1FF35" w:rsidR="00E301D4" w:rsidRPr="003E7DF2" w:rsidRDefault="00E301D4" w:rsidP="00E301D4">
            <w:pPr>
              <w:cnfStyle w:val="000000100000" w:firstRow="0" w:lastRow="0" w:firstColumn="0" w:lastColumn="0" w:oddVBand="0" w:evenVBand="0" w:oddHBand="1" w:evenHBand="0" w:firstRowFirstColumn="0" w:firstRowLastColumn="0" w:lastRowFirstColumn="0" w:lastRowLastColumn="0"/>
              <w:rPr>
                <w:sz w:val="18"/>
              </w:rPr>
            </w:pPr>
            <w:r w:rsidRPr="003E7DF2">
              <w:rPr>
                <w:sz w:val="18"/>
              </w:rPr>
              <w:t>Route-based VPN configuration</w:t>
            </w:r>
          </w:p>
        </w:tc>
        <w:tc>
          <w:tcPr>
            <w:tcW w:w="1480" w:type="dxa"/>
          </w:tcPr>
          <w:p w14:paraId="552814D9" w14:textId="2F688253" w:rsidR="00E301D4" w:rsidRPr="003E7DF2" w:rsidRDefault="00E301D4" w:rsidP="00E301D4">
            <w:pPr>
              <w:cnfStyle w:val="000000100000" w:firstRow="0" w:lastRow="0" w:firstColumn="0" w:lastColumn="0" w:oddVBand="0" w:evenVBand="0" w:oddHBand="1" w:evenHBand="0" w:firstRowFirstColumn="0" w:firstRowLastColumn="0" w:lastRowFirstColumn="0" w:lastRowLastColumn="0"/>
              <w:rPr>
                <w:sz w:val="18"/>
              </w:rPr>
            </w:pPr>
            <w:r w:rsidRPr="003E7DF2">
              <w:rPr>
                <w:sz w:val="18"/>
              </w:rPr>
              <w:t>Pre-shared key</w:t>
            </w:r>
          </w:p>
        </w:tc>
        <w:tc>
          <w:tcPr>
            <w:tcW w:w="1306" w:type="dxa"/>
          </w:tcPr>
          <w:p w14:paraId="7DB4B014" w14:textId="575C7D79" w:rsidR="00E301D4" w:rsidRPr="003E7DF2" w:rsidRDefault="00E301D4" w:rsidP="00E301D4">
            <w:pPr>
              <w:cnfStyle w:val="000000100000" w:firstRow="0" w:lastRow="0" w:firstColumn="0" w:lastColumn="0" w:oddVBand="0" w:evenVBand="0" w:oddHBand="1" w:evenHBand="0" w:firstRowFirstColumn="0" w:firstRowLastColumn="0" w:lastRowFirstColumn="0" w:lastRowLastColumn="0"/>
              <w:rPr>
                <w:sz w:val="18"/>
              </w:rPr>
            </w:pPr>
            <w:r w:rsidRPr="003E7DF2">
              <w:rPr>
                <w:sz w:val="18"/>
              </w:rPr>
              <w:t>10</w:t>
            </w:r>
          </w:p>
        </w:tc>
        <w:tc>
          <w:tcPr>
            <w:tcW w:w="1306" w:type="dxa"/>
          </w:tcPr>
          <w:p w14:paraId="17D3FB02" w14:textId="12466433" w:rsidR="00E301D4" w:rsidRPr="003E7DF2" w:rsidRDefault="00E301D4" w:rsidP="00E301D4">
            <w:pPr>
              <w:cnfStyle w:val="000000100000" w:firstRow="0" w:lastRow="0" w:firstColumn="0" w:lastColumn="0" w:oddVBand="0" w:evenVBand="0" w:oddHBand="1" w:evenHBand="0" w:firstRowFirstColumn="0" w:firstRowLastColumn="0" w:lastRowFirstColumn="0" w:lastRowLastColumn="0"/>
              <w:rPr>
                <w:sz w:val="18"/>
              </w:rPr>
            </w:pPr>
            <w:r w:rsidRPr="003E7DF2">
              <w:rPr>
                <w:sz w:val="18"/>
              </w:rPr>
              <w:t>128</w:t>
            </w:r>
          </w:p>
        </w:tc>
        <w:tc>
          <w:tcPr>
            <w:tcW w:w="1216" w:type="dxa"/>
          </w:tcPr>
          <w:p w14:paraId="3A514C6D" w14:textId="7002756C" w:rsidR="00E301D4" w:rsidRPr="003E7DF2" w:rsidRDefault="00E301D4" w:rsidP="00E301D4">
            <w:pPr>
              <w:cnfStyle w:val="000000100000" w:firstRow="0" w:lastRow="0" w:firstColumn="0" w:lastColumn="0" w:oddVBand="0" w:evenVBand="0" w:oddHBand="1" w:evenHBand="0" w:firstRowFirstColumn="0" w:firstRowLastColumn="0" w:lastRowFirstColumn="0" w:lastRowLastColumn="0"/>
              <w:rPr>
                <w:sz w:val="18"/>
              </w:rPr>
            </w:pPr>
            <w:r w:rsidRPr="003E7DF2">
              <w:rPr>
                <w:sz w:val="18"/>
              </w:rPr>
              <w:t>~100 Mbps</w:t>
            </w:r>
          </w:p>
        </w:tc>
        <w:tc>
          <w:tcPr>
            <w:tcW w:w="1346" w:type="dxa"/>
          </w:tcPr>
          <w:p w14:paraId="5BEDBD20" w14:textId="39CF9962" w:rsidR="00E301D4" w:rsidRPr="003E7DF2" w:rsidRDefault="00E301D4" w:rsidP="00E301D4">
            <w:pPr>
              <w:cnfStyle w:val="000000100000" w:firstRow="0" w:lastRow="0" w:firstColumn="0" w:lastColumn="0" w:oddVBand="0" w:evenVBand="0" w:oddHBand="1" w:evenHBand="0" w:firstRowFirstColumn="0" w:firstRowLastColumn="0" w:lastRowFirstColumn="0" w:lastRowLastColumn="0"/>
              <w:rPr>
                <w:sz w:val="18"/>
              </w:rPr>
            </w:pPr>
            <w:r w:rsidRPr="003E7DF2">
              <w:rPr>
                <w:sz w:val="18"/>
              </w:rPr>
              <w:t>~500 Mbps</w:t>
            </w:r>
          </w:p>
        </w:tc>
      </w:tr>
      <w:tr w:rsidR="00E301D4" w:rsidRPr="003E7DF2" w14:paraId="71BB7FE6" w14:textId="34B71ADE" w:rsidTr="00E301D4">
        <w:tc>
          <w:tcPr>
            <w:cnfStyle w:val="001000000000" w:firstRow="0" w:lastRow="0" w:firstColumn="1" w:lastColumn="0" w:oddVBand="0" w:evenVBand="0" w:oddHBand="0" w:evenHBand="0" w:firstRowFirstColumn="0" w:firstRowLastColumn="0" w:lastRowFirstColumn="0" w:lastRowLastColumn="0"/>
            <w:tcW w:w="1351" w:type="dxa"/>
          </w:tcPr>
          <w:p w14:paraId="2352F2BA" w14:textId="788D6B90" w:rsidR="00E301D4" w:rsidRPr="003E7DF2" w:rsidRDefault="00E301D4" w:rsidP="00E301D4">
            <w:pPr>
              <w:rPr>
                <w:sz w:val="18"/>
              </w:rPr>
            </w:pPr>
            <w:r w:rsidRPr="00797F05">
              <w:rPr>
                <w:sz w:val="20"/>
                <w:szCs w:val="20"/>
              </w:rPr>
              <w:t>Standard Dynamic Routing Gateway</w:t>
            </w:r>
          </w:p>
        </w:tc>
        <w:tc>
          <w:tcPr>
            <w:tcW w:w="1351" w:type="dxa"/>
          </w:tcPr>
          <w:p w14:paraId="03BDA468" w14:textId="389E1330" w:rsidR="00E301D4" w:rsidRPr="003E7DF2" w:rsidRDefault="00E301D4" w:rsidP="00E301D4">
            <w:pPr>
              <w:cnfStyle w:val="000000000000" w:firstRow="0" w:lastRow="0" w:firstColumn="0" w:lastColumn="0" w:oddVBand="0" w:evenVBand="0" w:oddHBand="0" w:evenHBand="0" w:firstRowFirstColumn="0" w:firstRowLastColumn="0" w:lastRowFirstColumn="0" w:lastRowLastColumn="0"/>
              <w:rPr>
                <w:sz w:val="18"/>
              </w:rPr>
            </w:pPr>
            <w:r w:rsidRPr="003E7DF2">
              <w:rPr>
                <w:sz w:val="18"/>
              </w:rPr>
              <w:t>Standard Dynamic Routing Gateway</w:t>
            </w:r>
          </w:p>
        </w:tc>
        <w:tc>
          <w:tcPr>
            <w:tcW w:w="1345" w:type="dxa"/>
          </w:tcPr>
          <w:p w14:paraId="1D58E1FB" w14:textId="335251CC" w:rsidR="00E301D4" w:rsidRPr="003E7DF2" w:rsidRDefault="00E301D4" w:rsidP="00E301D4">
            <w:pPr>
              <w:cnfStyle w:val="000000000000" w:firstRow="0" w:lastRow="0" w:firstColumn="0" w:lastColumn="0" w:oddVBand="0" w:evenVBand="0" w:oddHBand="0" w:evenHBand="0" w:firstRowFirstColumn="0" w:firstRowLastColumn="0" w:lastRowFirstColumn="0" w:lastRowLastColumn="0"/>
              <w:rPr>
                <w:sz w:val="18"/>
              </w:rPr>
            </w:pPr>
            <w:r w:rsidRPr="003E7DF2">
              <w:rPr>
                <w:sz w:val="18"/>
              </w:rPr>
              <w:t>Route-based VPN configuration</w:t>
            </w:r>
          </w:p>
        </w:tc>
        <w:tc>
          <w:tcPr>
            <w:tcW w:w="1480" w:type="dxa"/>
          </w:tcPr>
          <w:p w14:paraId="75E2167F" w14:textId="132B4D73" w:rsidR="00E301D4" w:rsidRPr="003E7DF2" w:rsidRDefault="00E301D4" w:rsidP="00E301D4">
            <w:pPr>
              <w:cnfStyle w:val="000000000000" w:firstRow="0" w:lastRow="0" w:firstColumn="0" w:lastColumn="0" w:oddVBand="0" w:evenVBand="0" w:oddHBand="0" w:evenHBand="0" w:firstRowFirstColumn="0" w:firstRowLastColumn="0" w:lastRowFirstColumn="0" w:lastRowLastColumn="0"/>
              <w:rPr>
                <w:sz w:val="18"/>
              </w:rPr>
            </w:pPr>
            <w:r w:rsidRPr="003E7DF2">
              <w:rPr>
                <w:sz w:val="18"/>
              </w:rPr>
              <w:t>Pre-shared key</w:t>
            </w:r>
          </w:p>
        </w:tc>
        <w:tc>
          <w:tcPr>
            <w:tcW w:w="1306" w:type="dxa"/>
          </w:tcPr>
          <w:p w14:paraId="7D860ECD" w14:textId="21426CFE" w:rsidR="00E301D4" w:rsidRPr="003E7DF2" w:rsidRDefault="00E301D4" w:rsidP="00E301D4">
            <w:pPr>
              <w:cnfStyle w:val="000000000000" w:firstRow="0" w:lastRow="0" w:firstColumn="0" w:lastColumn="0" w:oddVBand="0" w:evenVBand="0" w:oddHBand="0" w:evenHBand="0" w:firstRowFirstColumn="0" w:firstRowLastColumn="0" w:lastRowFirstColumn="0" w:lastRowLastColumn="0"/>
              <w:rPr>
                <w:sz w:val="18"/>
              </w:rPr>
            </w:pPr>
            <w:r w:rsidRPr="003E7DF2">
              <w:rPr>
                <w:sz w:val="18"/>
              </w:rPr>
              <w:t>10</w:t>
            </w:r>
          </w:p>
        </w:tc>
        <w:tc>
          <w:tcPr>
            <w:tcW w:w="1306" w:type="dxa"/>
          </w:tcPr>
          <w:p w14:paraId="1AF2DAAB" w14:textId="4409F0E9" w:rsidR="00E301D4" w:rsidRPr="003E7DF2" w:rsidRDefault="00E301D4" w:rsidP="00E301D4">
            <w:pPr>
              <w:cnfStyle w:val="000000000000" w:firstRow="0" w:lastRow="0" w:firstColumn="0" w:lastColumn="0" w:oddVBand="0" w:evenVBand="0" w:oddHBand="0" w:evenHBand="0" w:firstRowFirstColumn="0" w:firstRowLastColumn="0" w:lastRowFirstColumn="0" w:lastRowLastColumn="0"/>
              <w:rPr>
                <w:sz w:val="18"/>
              </w:rPr>
            </w:pPr>
            <w:r w:rsidRPr="003E7DF2">
              <w:rPr>
                <w:sz w:val="18"/>
              </w:rPr>
              <w:t>128</w:t>
            </w:r>
          </w:p>
        </w:tc>
        <w:tc>
          <w:tcPr>
            <w:tcW w:w="1216" w:type="dxa"/>
          </w:tcPr>
          <w:p w14:paraId="49AEFF24" w14:textId="27F1AC0B" w:rsidR="00E301D4" w:rsidRPr="003E7DF2" w:rsidRDefault="00E301D4" w:rsidP="00E301D4">
            <w:pPr>
              <w:cnfStyle w:val="000000000000" w:firstRow="0" w:lastRow="0" w:firstColumn="0" w:lastColumn="0" w:oddVBand="0" w:evenVBand="0" w:oddHBand="0" w:evenHBand="0" w:firstRowFirstColumn="0" w:firstRowLastColumn="0" w:lastRowFirstColumn="0" w:lastRowLastColumn="0"/>
              <w:rPr>
                <w:sz w:val="18"/>
              </w:rPr>
            </w:pPr>
            <w:r w:rsidRPr="003E7DF2">
              <w:rPr>
                <w:sz w:val="18"/>
              </w:rPr>
              <w:t>~100 Mbps</w:t>
            </w:r>
          </w:p>
        </w:tc>
        <w:tc>
          <w:tcPr>
            <w:tcW w:w="1346" w:type="dxa"/>
          </w:tcPr>
          <w:p w14:paraId="6F8E841F" w14:textId="7D61DAB7" w:rsidR="00E301D4" w:rsidRPr="003E7DF2" w:rsidRDefault="00E301D4" w:rsidP="00E301D4">
            <w:pPr>
              <w:cnfStyle w:val="000000000000" w:firstRow="0" w:lastRow="0" w:firstColumn="0" w:lastColumn="0" w:oddVBand="0" w:evenVBand="0" w:oddHBand="0" w:evenHBand="0" w:firstRowFirstColumn="0" w:firstRowLastColumn="0" w:lastRowFirstColumn="0" w:lastRowLastColumn="0"/>
              <w:rPr>
                <w:sz w:val="18"/>
              </w:rPr>
            </w:pPr>
            <w:r w:rsidRPr="003E7DF2">
              <w:rPr>
                <w:sz w:val="18"/>
              </w:rPr>
              <w:t>~1000 Mbps</w:t>
            </w:r>
          </w:p>
        </w:tc>
      </w:tr>
      <w:tr w:rsidR="00E301D4" w:rsidRPr="003E7DF2" w14:paraId="7CFCD365" w14:textId="496F926C" w:rsidTr="00E301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1" w:type="dxa"/>
          </w:tcPr>
          <w:p w14:paraId="0A72ACF8" w14:textId="646467E6" w:rsidR="00E301D4" w:rsidRPr="003E7DF2" w:rsidRDefault="00E301D4" w:rsidP="00E301D4">
            <w:pPr>
              <w:rPr>
                <w:sz w:val="18"/>
              </w:rPr>
            </w:pPr>
            <w:r w:rsidRPr="00797F05">
              <w:rPr>
                <w:sz w:val="20"/>
                <w:szCs w:val="20"/>
              </w:rPr>
              <w:t>High</w:t>
            </w:r>
            <w:r>
              <w:rPr>
                <w:sz w:val="20"/>
                <w:szCs w:val="20"/>
              </w:rPr>
              <w:t>-p</w:t>
            </w:r>
            <w:r w:rsidRPr="00797F05">
              <w:rPr>
                <w:sz w:val="20"/>
                <w:szCs w:val="20"/>
              </w:rPr>
              <w:t>erformance Dynamic Routing Gateway</w:t>
            </w:r>
          </w:p>
        </w:tc>
        <w:tc>
          <w:tcPr>
            <w:tcW w:w="1351" w:type="dxa"/>
          </w:tcPr>
          <w:p w14:paraId="41269A15" w14:textId="40369EB0" w:rsidR="00E301D4" w:rsidRPr="003E7DF2" w:rsidRDefault="00E301D4" w:rsidP="00E301D4">
            <w:pPr>
              <w:cnfStyle w:val="000000100000" w:firstRow="0" w:lastRow="0" w:firstColumn="0" w:lastColumn="0" w:oddVBand="0" w:evenVBand="0" w:oddHBand="1" w:evenHBand="0" w:firstRowFirstColumn="0" w:firstRowLastColumn="0" w:lastRowFirstColumn="0" w:lastRowLastColumn="0"/>
              <w:rPr>
                <w:sz w:val="18"/>
              </w:rPr>
            </w:pPr>
            <w:r w:rsidRPr="003E7DF2">
              <w:rPr>
                <w:sz w:val="18"/>
              </w:rPr>
              <w:t>High Performance  Dynamic Routing Gateway</w:t>
            </w:r>
          </w:p>
        </w:tc>
        <w:tc>
          <w:tcPr>
            <w:tcW w:w="1345" w:type="dxa"/>
          </w:tcPr>
          <w:p w14:paraId="00F1F777" w14:textId="77292CFD" w:rsidR="00E301D4" w:rsidRPr="003E7DF2" w:rsidRDefault="00E301D4" w:rsidP="00E301D4">
            <w:pPr>
              <w:cnfStyle w:val="000000100000" w:firstRow="0" w:lastRow="0" w:firstColumn="0" w:lastColumn="0" w:oddVBand="0" w:evenVBand="0" w:oddHBand="1" w:evenHBand="0" w:firstRowFirstColumn="0" w:firstRowLastColumn="0" w:lastRowFirstColumn="0" w:lastRowLastColumn="0"/>
              <w:rPr>
                <w:sz w:val="18"/>
              </w:rPr>
            </w:pPr>
            <w:r w:rsidRPr="003E7DF2">
              <w:rPr>
                <w:sz w:val="18"/>
              </w:rPr>
              <w:t>Route-based VPN configuration</w:t>
            </w:r>
          </w:p>
        </w:tc>
        <w:tc>
          <w:tcPr>
            <w:tcW w:w="1480" w:type="dxa"/>
          </w:tcPr>
          <w:p w14:paraId="5DAF4FEB" w14:textId="682652C6" w:rsidR="00E301D4" w:rsidRPr="003E7DF2" w:rsidRDefault="00E301D4" w:rsidP="00E301D4">
            <w:pPr>
              <w:cnfStyle w:val="000000100000" w:firstRow="0" w:lastRow="0" w:firstColumn="0" w:lastColumn="0" w:oddVBand="0" w:evenVBand="0" w:oddHBand="1" w:evenHBand="0" w:firstRowFirstColumn="0" w:firstRowLastColumn="0" w:lastRowFirstColumn="0" w:lastRowLastColumn="0"/>
              <w:rPr>
                <w:sz w:val="18"/>
              </w:rPr>
            </w:pPr>
            <w:r w:rsidRPr="003E7DF2">
              <w:rPr>
                <w:sz w:val="18"/>
              </w:rPr>
              <w:t>Pre-shared key</w:t>
            </w:r>
          </w:p>
        </w:tc>
        <w:tc>
          <w:tcPr>
            <w:tcW w:w="1306" w:type="dxa"/>
          </w:tcPr>
          <w:p w14:paraId="2999D359" w14:textId="0C5C17CE" w:rsidR="00E301D4" w:rsidRPr="003E7DF2" w:rsidRDefault="00E301D4" w:rsidP="00E301D4">
            <w:pPr>
              <w:cnfStyle w:val="000000100000" w:firstRow="0" w:lastRow="0" w:firstColumn="0" w:lastColumn="0" w:oddVBand="0" w:evenVBand="0" w:oddHBand="1" w:evenHBand="0" w:firstRowFirstColumn="0" w:firstRowLastColumn="0" w:lastRowFirstColumn="0" w:lastRowLastColumn="0"/>
              <w:rPr>
                <w:sz w:val="18"/>
              </w:rPr>
            </w:pPr>
            <w:r w:rsidRPr="003E7DF2">
              <w:rPr>
                <w:sz w:val="18"/>
              </w:rPr>
              <w:t>30</w:t>
            </w:r>
          </w:p>
        </w:tc>
        <w:tc>
          <w:tcPr>
            <w:tcW w:w="1306" w:type="dxa"/>
          </w:tcPr>
          <w:p w14:paraId="0D4DCEA2" w14:textId="4C6BE187" w:rsidR="00E301D4" w:rsidRPr="003E7DF2" w:rsidRDefault="00E301D4" w:rsidP="00E301D4">
            <w:pPr>
              <w:cnfStyle w:val="000000100000" w:firstRow="0" w:lastRow="0" w:firstColumn="0" w:lastColumn="0" w:oddVBand="0" w:evenVBand="0" w:oddHBand="1" w:evenHBand="0" w:firstRowFirstColumn="0" w:firstRowLastColumn="0" w:lastRowFirstColumn="0" w:lastRowLastColumn="0"/>
              <w:rPr>
                <w:sz w:val="18"/>
              </w:rPr>
            </w:pPr>
            <w:r w:rsidRPr="003E7DF2">
              <w:rPr>
                <w:sz w:val="18"/>
              </w:rPr>
              <w:t>128</w:t>
            </w:r>
          </w:p>
        </w:tc>
        <w:tc>
          <w:tcPr>
            <w:tcW w:w="1216" w:type="dxa"/>
          </w:tcPr>
          <w:p w14:paraId="74547E8A" w14:textId="17FE63BC" w:rsidR="00E301D4" w:rsidRPr="003E7DF2" w:rsidRDefault="00E301D4" w:rsidP="00E301D4">
            <w:pPr>
              <w:cnfStyle w:val="000000100000" w:firstRow="0" w:lastRow="0" w:firstColumn="0" w:lastColumn="0" w:oddVBand="0" w:evenVBand="0" w:oddHBand="1" w:evenHBand="0" w:firstRowFirstColumn="0" w:firstRowLastColumn="0" w:lastRowFirstColumn="0" w:lastRowLastColumn="0"/>
              <w:rPr>
                <w:sz w:val="18"/>
              </w:rPr>
            </w:pPr>
            <w:r w:rsidRPr="003E7DF2">
              <w:rPr>
                <w:sz w:val="18"/>
              </w:rPr>
              <w:t>~200 Mbps</w:t>
            </w:r>
          </w:p>
        </w:tc>
        <w:tc>
          <w:tcPr>
            <w:tcW w:w="1346" w:type="dxa"/>
          </w:tcPr>
          <w:p w14:paraId="58510822" w14:textId="2E108B94" w:rsidR="00E301D4" w:rsidRPr="003E7DF2" w:rsidRDefault="00E301D4" w:rsidP="00E301D4">
            <w:pPr>
              <w:cnfStyle w:val="000000100000" w:firstRow="0" w:lastRow="0" w:firstColumn="0" w:lastColumn="0" w:oddVBand="0" w:evenVBand="0" w:oddHBand="1" w:evenHBand="0" w:firstRowFirstColumn="0" w:firstRowLastColumn="0" w:lastRowFirstColumn="0" w:lastRowLastColumn="0"/>
              <w:rPr>
                <w:sz w:val="18"/>
              </w:rPr>
            </w:pPr>
            <w:r w:rsidRPr="003E7DF2">
              <w:rPr>
                <w:sz w:val="18"/>
              </w:rPr>
              <w:t>~2 Gbps</w:t>
            </w:r>
          </w:p>
        </w:tc>
      </w:tr>
    </w:tbl>
    <w:p w14:paraId="4853AA7D" w14:textId="77777777" w:rsidR="003835C6" w:rsidRDefault="003835C6" w:rsidP="00F71B2D"/>
    <w:p w14:paraId="7CFAC328" w14:textId="77777777" w:rsidR="008918F7" w:rsidRDefault="008918F7" w:rsidP="008918F7">
      <w:r>
        <w:t>Creating and connecting a gateway for a Virtual Network is a multiple step process, and it requires certain configurations to be complete. A high-level set of steps is outlined here:</w:t>
      </w:r>
    </w:p>
    <w:p w14:paraId="3B1DDF1A" w14:textId="77777777" w:rsidR="008918F7" w:rsidRDefault="008918F7" w:rsidP="005729D2">
      <w:pPr>
        <w:pStyle w:val="ListParagraph"/>
        <w:numPr>
          <w:ilvl w:val="0"/>
          <w:numId w:val="45"/>
        </w:numPr>
      </w:pPr>
      <w:r>
        <w:t>Define a virtual network gateway subnet within the available IP address space within the virtual network.</w:t>
      </w:r>
    </w:p>
    <w:p w14:paraId="0404AECF" w14:textId="77777777" w:rsidR="008918F7" w:rsidRDefault="008918F7" w:rsidP="005729D2">
      <w:pPr>
        <w:pStyle w:val="ListParagraph"/>
        <w:numPr>
          <w:ilvl w:val="0"/>
          <w:numId w:val="45"/>
        </w:numPr>
      </w:pPr>
      <w:r>
        <w:t>Create the virtual network gateway and allow it to provision.</w:t>
      </w:r>
    </w:p>
    <w:p w14:paraId="42B2DDD1" w14:textId="77777777" w:rsidR="008918F7" w:rsidRDefault="008918F7" w:rsidP="005729D2">
      <w:pPr>
        <w:pStyle w:val="ListParagraph"/>
        <w:numPr>
          <w:ilvl w:val="0"/>
          <w:numId w:val="45"/>
        </w:numPr>
      </w:pPr>
      <w:r>
        <w:t>Establish the connection between locations.</w:t>
      </w:r>
    </w:p>
    <w:p w14:paraId="62F4719E" w14:textId="77777777" w:rsidR="008918F7" w:rsidRDefault="008918F7" w:rsidP="005729D2">
      <w:pPr>
        <w:pStyle w:val="ListParagraph"/>
        <w:numPr>
          <w:ilvl w:val="1"/>
          <w:numId w:val="45"/>
        </w:numPr>
      </w:pPr>
      <w:r>
        <w:t xml:space="preserve">For S2S connections, you must download the </w:t>
      </w:r>
      <w:r w:rsidRPr="00592C76">
        <w:t>supported VPN device</w:t>
      </w:r>
      <w:r>
        <w:t xml:space="preserve"> configuration script (or instructions) and establish the connection. For more information, see </w:t>
      </w:r>
      <w:hyperlink r:id="rId367" w:history="1">
        <w:r>
          <w:rPr>
            <w:rStyle w:val="Hyperlink"/>
          </w:rPr>
          <w:t>About VPN Devices and Gateways for Virtual Network Connectivity</w:t>
        </w:r>
      </w:hyperlink>
      <w:r>
        <w:rPr>
          <w:rStyle w:val="Hyperlink"/>
        </w:rPr>
        <w:t>.</w:t>
      </w:r>
    </w:p>
    <w:p w14:paraId="56B79A4E" w14:textId="77777777" w:rsidR="008918F7" w:rsidRDefault="008918F7" w:rsidP="005729D2">
      <w:pPr>
        <w:pStyle w:val="ListParagraph"/>
        <w:numPr>
          <w:ilvl w:val="1"/>
          <w:numId w:val="45"/>
        </w:numPr>
      </w:pPr>
      <w:r>
        <w:t xml:space="preserve">For virtual network-to-virtual network connections, you must define and register shared keys to establish the connection. </w:t>
      </w:r>
    </w:p>
    <w:p w14:paraId="5CA78F5B" w14:textId="77777777" w:rsidR="008918F7" w:rsidRDefault="008918F7" w:rsidP="005729D2">
      <w:pPr>
        <w:pStyle w:val="ListParagraph"/>
        <w:numPr>
          <w:ilvl w:val="1"/>
          <w:numId w:val="45"/>
        </w:numPr>
      </w:pPr>
      <w:r>
        <w:t>For ExpressRoute connections, you must define a service key to establish connections.</w:t>
      </w:r>
    </w:p>
    <w:p w14:paraId="23337AEA" w14:textId="77777777" w:rsidR="008918F7" w:rsidRDefault="008918F7" w:rsidP="005729D2">
      <w:pPr>
        <w:pStyle w:val="ListParagraph"/>
        <w:numPr>
          <w:ilvl w:val="0"/>
          <w:numId w:val="45"/>
        </w:numPr>
      </w:pPr>
      <w:r>
        <w:t>Initiate the connection handshake to connect the gateways.</w:t>
      </w:r>
    </w:p>
    <w:p w14:paraId="42CFC53A" w14:textId="08FF2938" w:rsidR="00D527D7" w:rsidRDefault="008918F7" w:rsidP="008918F7">
      <w:r>
        <w:t>After you have a successful gateway connection, the gateway status will show as active within the virtual network dashboard in the Azure portal. Note that for ExpressRoute, S2S, and</w:t>
      </w:r>
      <w:r w:rsidDel="00D527D7">
        <w:t xml:space="preserve"> </w:t>
      </w:r>
      <w:r>
        <w:t>virtual network-to-virtual network connections the portal will provide a gateway connection status, Data-In traffic amount, Data-Out traffic amount, and the gateway address in the portal. Here is an example of this information shown in the Azure portal</w:t>
      </w:r>
      <w:r w:rsidR="00C67C57">
        <w:t>:</w:t>
      </w:r>
    </w:p>
    <w:p w14:paraId="688CD61C" w14:textId="77777777" w:rsidR="008C2FFD" w:rsidRDefault="008C2FFD" w:rsidP="00F71B2D"/>
    <w:p w14:paraId="406EF901" w14:textId="277BECF3" w:rsidR="00D527D7" w:rsidRDefault="00C67C57" w:rsidP="00F71B2D">
      <w:r>
        <w:rPr>
          <w:noProof/>
        </w:rPr>
        <w:drawing>
          <wp:inline distT="0" distB="0" distL="0" distR="0" wp14:anchorId="583DFB78" wp14:editId="42741B23">
            <wp:extent cx="5943600" cy="3072130"/>
            <wp:effectExtent l="0" t="0" r="0" b="0"/>
            <wp:docPr id="41183" name="Picture 4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8"/>
                    <a:stretch>
                      <a:fillRect/>
                    </a:stretch>
                  </pic:blipFill>
                  <pic:spPr>
                    <a:xfrm>
                      <a:off x="0" y="0"/>
                      <a:ext cx="5943600" cy="3072130"/>
                    </a:xfrm>
                    <a:prstGeom prst="rect">
                      <a:avLst/>
                    </a:prstGeom>
                  </pic:spPr>
                </pic:pic>
              </a:graphicData>
            </a:graphic>
          </wp:inline>
        </w:drawing>
      </w:r>
    </w:p>
    <w:p w14:paraId="52A23579" w14:textId="77777777" w:rsidR="00336FFA" w:rsidRDefault="00D527D7" w:rsidP="00F71B2D">
      <w:r>
        <w:t xml:space="preserve">  </w:t>
      </w:r>
    </w:p>
    <w:p w14:paraId="76CFFB43" w14:textId="77777777" w:rsidR="008918F7" w:rsidRDefault="008918F7" w:rsidP="008918F7">
      <w:r>
        <w:t>The configuration of an S2S or P2S virtual network gateway can be performed within the portal, but at this time, ExpressRoute gateways can only be provisioned and configured by using the ExpressRoute PowerShell module.</w:t>
      </w:r>
    </w:p>
    <w:p w14:paraId="275E4793" w14:textId="23E731C0" w:rsidR="00D14FD7" w:rsidRDefault="008918F7" w:rsidP="008918F7">
      <w:r>
        <w:t xml:space="preserve">Note that it is possible to resize a gateway (between Basic, Standard, and High-Performance) with the </w:t>
      </w:r>
      <w:r w:rsidRPr="000759B0">
        <w:rPr>
          <w:b/>
        </w:rPr>
        <w:t>Resize-AzureVNetGateway</w:t>
      </w:r>
      <w:r>
        <w:rPr>
          <w:i/>
        </w:rPr>
        <w:t xml:space="preserve"> </w:t>
      </w:r>
      <w:r>
        <w:t>cmdlet.</w:t>
      </w:r>
      <w:r w:rsidRPr="00D14FD7">
        <w:t xml:space="preserve"> </w:t>
      </w:r>
      <w:r>
        <w:t>This allows organizations to start at one class of service and expand their capabilities as their requirements grow</w:t>
      </w:r>
      <w:r>
        <w:rPr>
          <w:i/>
        </w:rPr>
        <w:t xml:space="preserve">. </w:t>
      </w:r>
      <w:r>
        <w:t>This process results in resizing the gateway, and some downtime is required during the resizing process. No other configuration changes are required. Resizing operations include increasing or decreasing between a Basic, Standard, and High-Performance gateway</w:t>
      </w:r>
      <w:r w:rsidR="00D14FD7">
        <w:t>.</w:t>
      </w:r>
    </w:p>
    <w:p w14:paraId="71BA23D1" w14:textId="5EC016E0" w:rsidR="00874105" w:rsidRDefault="00874105" w:rsidP="00F71B2D"/>
    <w:tbl>
      <w:tblPr>
        <w:tblStyle w:val="PlainTable11"/>
        <w:tblW w:w="0" w:type="auto"/>
        <w:tblLook w:val="04A0" w:firstRow="1" w:lastRow="0" w:firstColumn="1" w:lastColumn="0" w:noHBand="0" w:noVBand="1"/>
      </w:tblPr>
      <w:tblGrid>
        <w:gridCol w:w="3379"/>
        <w:gridCol w:w="5971"/>
      </w:tblGrid>
      <w:tr w:rsidR="00874105" w14:paraId="1E67693E" w14:textId="77777777" w:rsidTr="002227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27C72872" w14:textId="77777777" w:rsidR="00874105" w:rsidRPr="00F47607" w:rsidRDefault="00874105" w:rsidP="001D5F5A">
            <w:pPr>
              <w:spacing w:line="240" w:lineRule="auto"/>
              <w:rPr>
                <w:color w:val="FFFFFF"/>
              </w:rPr>
            </w:pPr>
            <w:r>
              <w:rPr>
                <w:color w:val="FFFFFF"/>
              </w:rPr>
              <w:t>Feature References</w:t>
            </w:r>
          </w:p>
        </w:tc>
      </w:tr>
      <w:tr w:rsidR="00874105" w:rsidRPr="002227B5" w14:paraId="3131C1F4" w14:textId="77777777" w:rsidTr="00222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003D4279" w14:textId="54B65C27" w:rsidR="00874105" w:rsidRPr="002227B5" w:rsidRDefault="00874105" w:rsidP="001D5F5A">
            <w:pPr>
              <w:spacing w:line="240" w:lineRule="auto"/>
              <w:rPr>
                <w:sz w:val="20"/>
                <w:szCs w:val="18"/>
              </w:rPr>
            </w:pPr>
            <w:r w:rsidRPr="002227B5">
              <w:rPr>
                <w:sz w:val="20"/>
                <w:szCs w:val="18"/>
              </w:rPr>
              <w:t>Configure a Cross-Premises Site-to-Site connection to an Azure Virtual Network</w:t>
            </w:r>
          </w:p>
        </w:tc>
        <w:tc>
          <w:tcPr>
            <w:tcW w:w="5940" w:type="dxa"/>
          </w:tcPr>
          <w:p w14:paraId="492BD25B" w14:textId="5CB34E82" w:rsidR="00874105" w:rsidRPr="002227B5" w:rsidRDefault="00872E47" w:rsidP="001D5F5A">
            <w:pPr>
              <w:cnfStyle w:val="000000100000" w:firstRow="0" w:lastRow="0" w:firstColumn="0" w:lastColumn="0" w:oddVBand="0" w:evenVBand="0" w:oddHBand="1" w:evenHBand="0" w:firstRowFirstColumn="0" w:firstRowLastColumn="0" w:lastRowFirstColumn="0" w:lastRowLastColumn="0"/>
              <w:rPr>
                <w:sz w:val="20"/>
                <w:szCs w:val="18"/>
              </w:rPr>
            </w:pPr>
            <w:hyperlink r:id="rId369" w:history="1">
              <w:r w:rsidR="000D4FA9">
                <w:rPr>
                  <w:rStyle w:val="Hyperlink"/>
                  <w:sz w:val="20"/>
                </w:rPr>
                <w:t>http://azure.microsoft.com/documentation/articles/vpn-gateway-site-to-site-create/</w:t>
              </w:r>
            </w:hyperlink>
            <w:r w:rsidR="00874105" w:rsidRPr="002227B5">
              <w:rPr>
                <w:sz w:val="20"/>
              </w:rPr>
              <w:t xml:space="preserve"> </w:t>
            </w:r>
          </w:p>
        </w:tc>
      </w:tr>
      <w:tr w:rsidR="00874105" w:rsidRPr="002227B5" w14:paraId="423E8BB8" w14:textId="77777777" w:rsidTr="002227B5">
        <w:tc>
          <w:tcPr>
            <w:cnfStyle w:val="001000000000" w:firstRow="0" w:lastRow="0" w:firstColumn="1" w:lastColumn="0" w:oddVBand="0" w:evenVBand="0" w:oddHBand="0" w:evenHBand="0" w:firstRowFirstColumn="0" w:firstRowLastColumn="0" w:lastRowFirstColumn="0" w:lastRowLastColumn="0"/>
            <w:tcW w:w="3420" w:type="dxa"/>
          </w:tcPr>
          <w:p w14:paraId="5CEA8E26" w14:textId="371F4CFD" w:rsidR="00874105" w:rsidRPr="002227B5" w:rsidRDefault="00874105" w:rsidP="001D5F5A">
            <w:pPr>
              <w:spacing w:line="240" w:lineRule="auto"/>
              <w:rPr>
                <w:sz w:val="20"/>
              </w:rPr>
            </w:pPr>
            <w:r w:rsidRPr="002227B5">
              <w:rPr>
                <w:sz w:val="20"/>
                <w:szCs w:val="18"/>
              </w:rPr>
              <w:t>Configure a Virtual Network Gateway in the Management Portal</w:t>
            </w:r>
          </w:p>
        </w:tc>
        <w:tc>
          <w:tcPr>
            <w:tcW w:w="5940" w:type="dxa"/>
          </w:tcPr>
          <w:p w14:paraId="2D5C1FD9" w14:textId="06CF9D35" w:rsidR="00874105" w:rsidRPr="002227B5" w:rsidRDefault="00872E47" w:rsidP="001D5F5A">
            <w:pPr>
              <w:cnfStyle w:val="000000000000" w:firstRow="0" w:lastRow="0" w:firstColumn="0" w:lastColumn="0" w:oddVBand="0" w:evenVBand="0" w:oddHBand="0" w:evenHBand="0" w:firstRowFirstColumn="0" w:firstRowLastColumn="0" w:lastRowFirstColumn="0" w:lastRowLastColumn="0"/>
              <w:rPr>
                <w:sz w:val="20"/>
              </w:rPr>
            </w:pPr>
            <w:hyperlink r:id="rId370" w:history="1">
              <w:r w:rsidR="00874105" w:rsidRPr="002227B5">
                <w:rPr>
                  <w:rStyle w:val="Hyperlink"/>
                  <w:sz w:val="20"/>
                </w:rPr>
                <w:t>https://msdn.microsoft.com/en-us/library/azure/jj156210.aspx</w:t>
              </w:r>
            </w:hyperlink>
            <w:r w:rsidR="00874105" w:rsidRPr="002227B5">
              <w:rPr>
                <w:sz w:val="20"/>
              </w:rPr>
              <w:t xml:space="preserve"> </w:t>
            </w:r>
            <w:r w:rsidR="00874105" w:rsidRPr="002227B5">
              <w:rPr>
                <w:sz w:val="20"/>
                <w:szCs w:val="18"/>
              </w:rPr>
              <w:t xml:space="preserve"> </w:t>
            </w:r>
          </w:p>
        </w:tc>
      </w:tr>
      <w:tr w:rsidR="00874105" w:rsidRPr="002227B5" w14:paraId="1D59BED8" w14:textId="77777777" w:rsidTr="00222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59FCAB42" w14:textId="31081742" w:rsidR="00874105" w:rsidRPr="002227B5" w:rsidRDefault="003835C6" w:rsidP="001D5F5A">
            <w:pPr>
              <w:spacing w:line="240" w:lineRule="auto"/>
              <w:rPr>
                <w:sz w:val="20"/>
                <w:szCs w:val="18"/>
              </w:rPr>
            </w:pPr>
            <w:r w:rsidRPr="002227B5">
              <w:rPr>
                <w:sz w:val="20"/>
                <w:szCs w:val="18"/>
              </w:rPr>
              <w:t>Connect Multiple On-premises Sites to a Virtual Network</w:t>
            </w:r>
          </w:p>
        </w:tc>
        <w:tc>
          <w:tcPr>
            <w:tcW w:w="5940" w:type="dxa"/>
          </w:tcPr>
          <w:p w14:paraId="4D42F910" w14:textId="70F4CFEA" w:rsidR="00874105" w:rsidRPr="002227B5" w:rsidRDefault="00872E47" w:rsidP="001D5F5A">
            <w:pPr>
              <w:cnfStyle w:val="000000100000" w:firstRow="0" w:lastRow="0" w:firstColumn="0" w:lastColumn="0" w:oddVBand="0" w:evenVBand="0" w:oddHBand="1" w:evenHBand="0" w:firstRowFirstColumn="0" w:firstRowLastColumn="0" w:lastRowFirstColumn="0" w:lastRowLastColumn="0"/>
              <w:rPr>
                <w:sz w:val="20"/>
              </w:rPr>
            </w:pPr>
            <w:hyperlink r:id="rId371" w:history="1">
              <w:r w:rsidR="003835C6" w:rsidRPr="002227B5">
                <w:rPr>
                  <w:rStyle w:val="Hyperlink"/>
                  <w:sz w:val="20"/>
                </w:rPr>
                <w:t>https://msdn.microsoft.com/en-us/library/azure/dn690124.aspx</w:t>
              </w:r>
            </w:hyperlink>
            <w:r w:rsidR="003835C6" w:rsidRPr="002227B5">
              <w:rPr>
                <w:sz w:val="20"/>
              </w:rPr>
              <w:t xml:space="preserve"> </w:t>
            </w:r>
          </w:p>
        </w:tc>
      </w:tr>
      <w:tr w:rsidR="003835C6" w:rsidRPr="002227B5" w14:paraId="56B24F99" w14:textId="77777777" w:rsidTr="002227B5">
        <w:tc>
          <w:tcPr>
            <w:cnfStyle w:val="001000000000" w:firstRow="0" w:lastRow="0" w:firstColumn="1" w:lastColumn="0" w:oddVBand="0" w:evenVBand="0" w:oddHBand="0" w:evenHBand="0" w:firstRowFirstColumn="0" w:firstRowLastColumn="0" w:lastRowFirstColumn="0" w:lastRowLastColumn="0"/>
            <w:tcW w:w="3420" w:type="dxa"/>
          </w:tcPr>
          <w:p w14:paraId="0147EBB6" w14:textId="1323DBA0" w:rsidR="003835C6" w:rsidRPr="002227B5" w:rsidRDefault="003835C6" w:rsidP="001D5F5A">
            <w:pPr>
              <w:spacing w:line="240" w:lineRule="auto"/>
              <w:rPr>
                <w:sz w:val="20"/>
                <w:szCs w:val="18"/>
              </w:rPr>
            </w:pPr>
            <w:r w:rsidRPr="002227B5">
              <w:rPr>
                <w:sz w:val="20"/>
                <w:szCs w:val="18"/>
              </w:rPr>
              <w:t>Configure a Virtual Network and Gateway for ExpressRoute</w:t>
            </w:r>
          </w:p>
        </w:tc>
        <w:tc>
          <w:tcPr>
            <w:tcW w:w="5940" w:type="dxa"/>
          </w:tcPr>
          <w:p w14:paraId="3F2A5958" w14:textId="6C32481A" w:rsidR="003835C6" w:rsidRPr="002227B5" w:rsidRDefault="00872E47" w:rsidP="001D5F5A">
            <w:pPr>
              <w:cnfStyle w:val="000000000000" w:firstRow="0" w:lastRow="0" w:firstColumn="0" w:lastColumn="0" w:oddVBand="0" w:evenVBand="0" w:oddHBand="0" w:evenHBand="0" w:firstRowFirstColumn="0" w:firstRowLastColumn="0" w:lastRowFirstColumn="0" w:lastRowLastColumn="0"/>
              <w:rPr>
                <w:sz w:val="20"/>
              </w:rPr>
            </w:pPr>
            <w:hyperlink r:id="rId372" w:history="1">
              <w:r w:rsidR="000D4FA9">
                <w:rPr>
                  <w:rStyle w:val="Hyperlink"/>
                  <w:sz w:val="20"/>
                </w:rPr>
                <w:t>http://azure.microsoft.com/documentation/articles/expressroute-configuring-vnet-gateway/</w:t>
              </w:r>
            </w:hyperlink>
            <w:r w:rsidR="003835C6" w:rsidRPr="002227B5">
              <w:rPr>
                <w:sz w:val="20"/>
              </w:rPr>
              <w:t xml:space="preserve"> </w:t>
            </w:r>
          </w:p>
        </w:tc>
      </w:tr>
      <w:tr w:rsidR="007C1F16" w:rsidRPr="002227B5" w14:paraId="443C20BA" w14:textId="77777777" w:rsidTr="00222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6B57CBEF" w14:textId="67A233C6" w:rsidR="007C1F16" w:rsidRPr="002227B5" w:rsidRDefault="007C1F16" w:rsidP="007C1F16">
            <w:pPr>
              <w:spacing w:line="240" w:lineRule="auto"/>
              <w:rPr>
                <w:sz w:val="20"/>
                <w:szCs w:val="18"/>
              </w:rPr>
            </w:pPr>
            <w:r w:rsidRPr="002227B5">
              <w:rPr>
                <w:sz w:val="20"/>
                <w:szCs w:val="18"/>
              </w:rPr>
              <w:t>ExpressRoute Technical Overview</w:t>
            </w:r>
          </w:p>
        </w:tc>
        <w:tc>
          <w:tcPr>
            <w:tcW w:w="5940" w:type="dxa"/>
          </w:tcPr>
          <w:p w14:paraId="223772CF" w14:textId="731DA9B9" w:rsidR="007C1F16" w:rsidRPr="002227B5" w:rsidRDefault="00872E47" w:rsidP="007C1F16">
            <w:pPr>
              <w:cnfStyle w:val="000000100000" w:firstRow="0" w:lastRow="0" w:firstColumn="0" w:lastColumn="0" w:oddVBand="0" w:evenVBand="0" w:oddHBand="1" w:evenHBand="0" w:firstRowFirstColumn="0" w:firstRowLastColumn="0" w:lastRowFirstColumn="0" w:lastRowLastColumn="0"/>
              <w:rPr>
                <w:sz w:val="20"/>
              </w:rPr>
            </w:pPr>
            <w:hyperlink r:id="rId373" w:history="1">
              <w:r w:rsidR="000D4FA9">
                <w:rPr>
                  <w:rStyle w:val="Hyperlink"/>
                  <w:sz w:val="20"/>
                </w:rPr>
                <w:t>http://azure.microsoft.com/documentation/articles/expressroute-introduction/</w:t>
              </w:r>
            </w:hyperlink>
            <w:r w:rsidR="007C1F16" w:rsidRPr="002227B5">
              <w:rPr>
                <w:sz w:val="20"/>
              </w:rPr>
              <w:t xml:space="preserve"> </w:t>
            </w:r>
          </w:p>
        </w:tc>
      </w:tr>
      <w:tr w:rsidR="000D4FA9" w:rsidRPr="002227B5" w14:paraId="0FF33A43" w14:textId="77777777" w:rsidTr="002227B5">
        <w:tc>
          <w:tcPr>
            <w:cnfStyle w:val="001000000000" w:firstRow="0" w:lastRow="0" w:firstColumn="1" w:lastColumn="0" w:oddVBand="0" w:evenVBand="0" w:oddHBand="0" w:evenHBand="0" w:firstRowFirstColumn="0" w:firstRowLastColumn="0" w:lastRowFirstColumn="0" w:lastRowLastColumn="0"/>
            <w:tcW w:w="3420" w:type="dxa"/>
          </w:tcPr>
          <w:p w14:paraId="4AAC904E" w14:textId="44320097" w:rsidR="000D4FA9" w:rsidRPr="002227B5" w:rsidRDefault="000D4FA9" w:rsidP="000D4FA9">
            <w:pPr>
              <w:spacing w:line="240" w:lineRule="auto"/>
              <w:rPr>
                <w:sz w:val="20"/>
                <w:szCs w:val="18"/>
              </w:rPr>
            </w:pPr>
            <w:r>
              <w:rPr>
                <w:sz w:val="20"/>
                <w:szCs w:val="18"/>
              </w:rPr>
              <w:t>ExpressRoute Prerequisites</w:t>
            </w:r>
          </w:p>
        </w:tc>
        <w:tc>
          <w:tcPr>
            <w:tcW w:w="5940" w:type="dxa"/>
          </w:tcPr>
          <w:p w14:paraId="5928DEAB" w14:textId="14DD35A3" w:rsidR="000D4FA9" w:rsidRPr="000D4FA9" w:rsidRDefault="00872E47" w:rsidP="007C1F16">
            <w:pPr>
              <w:cnfStyle w:val="000000000000" w:firstRow="0" w:lastRow="0" w:firstColumn="0" w:lastColumn="0" w:oddVBand="0" w:evenVBand="0" w:oddHBand="0" w:evenHBand="0" w:firstRowFirstColumn="0" w:firstRowLastColumn="0" w:lastRowFirstColumn="0" w:lastRowLastColumn="0"/>
              <w:rPr>
                <w:sz w:val="20"/>
                <w:szCs w:val="20"/>
              </w:rPr>
            </w:pPr>
            <w:hyperlink r:id="rId374" w:history="1">
              <w:r w:rsidR="000D4FA9" w:rsidRPr="00D215EC">
                <w:rPr>
                  <w:rStyle w:val="Hyperlink"/>
                  <w:sz w:val="20"/>
                  <w:szCs w:val="20"/>
                </w:rPr>
                <w:t>http://azure.microsoft.com/documentation/articles/expressroute-prerequisites/</w:t>
              </w:r>
            </w:hyperlink>
            <w:r w:rsidR="000D4FA9">
              <w:rPr>
                <w:sz w:val="20"/>
                <w:szCs w:val="20"/>
              </w:rPr>
              <w:t xml:space="preserve"> </w:t>
            </w:r>
          </w:p>
        </w:tc>
      </w:tr>
      <w:tr w:rsidR="00A70208" w:rsidRPr="002227B5" w14:paraId="148264E6" w14:textId="77777777" w:rsidTr="00222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0026F974" w14:textId="2953D761" w:rsidR="00A70208" w:rsidRDefault="00A70208" w:rsidP="000D4FA9">
            <w:pPr>
              <w:spacing w:line="240" w:lineRule="auto"/>
              <w:rPr>
                <w:sz w:val="20"/>
                <w:szCs w:val="18"/>
              </w:rPr>
            </w:pPr>
            <w:r>
              <w:rPr>
                <w:sz w:val="20"/>
                <w:szCs w:val="18"/>
              </w:rPr>
              <w:t>Coexistence Gateway</w:t>
            </w:r>
          </w:p>
        </w:tc>
        <w:tc>
          <w:tcPr>
            <w:tcW w:w="5940" w:type="dxa"/>
          </w:tcPr>
          <w:p w14:paraId="723C75DC" w14:textId="6393F283" w:rsidR="00A70208" w:rsidRDefault="00872E47" w:rsidP="007C1F16">
            <w:pPr>
              <w:cnfStyle w:val="000000100000" w:firstRow="0" w:lastRow="0" w:firstColumn="0" w:lastColumn="0" w:oddVBand="0" w:evenVBand="0" w:oddHBand="1" w:evenHBand="0" w:firstRowFirstColumn="0" w:firstRowLastColumn="0" w:lastRowFirstColumn="0" w:lastRowLastColumn="0"/>
            </w:pPr>
            <w:hyperlink r:id="rId375" w:history="1">
              <w:r w:rsidR="00FD610D" w:rsidRPr="00C53C41">
                <w:rPr>
                  <w:rStyle w:val="Hyperlink"/>
                  <w:sz w:val="20"/>
                </w:rPr>
                <w:t>https://azure.microsoft.com/en-us/documentation/articles/expressroute-coexist/</w:t>
              </w:r>
            </w:hyperlink>
            <w:r w:rsidR="00FD610D">
              <w:rPr>
                <w:sz w:val="20"/>
              </w:rPr>
              <w:t xml:space="preserve"> </w:t>
            </w:r>
          </w:p>
        </w:tc>
      </w:tr>
    </w:tbl>
    <w:p w14:paraId="40A79465" w14:textId="6C4BB7E9" w:rsidR="00A016D5" w:rsidRDefault="00A016D5">
      <w:pPr>
        <w:spacing w:before="0" w:after="160" w:line="259" w:lineRule="auto"/>
      </w:pP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8918F7" w14:paraId="1EB63C58" w14:textId="77777777" w:rsidTr="000530DE">
        <w:trPr>
          <w:trHeight w:val="423"/>
        </w:trPr>
        <w:tc>
          <w:tcPr>
            <w:tcW w:w="666" w:type="dxa"/>
          </w:tcPr>
          <w:p w14:paraId="593380FB" w14:textId="77777777" w:rsidR="008918F7" w:rsidRDefault="008918F7" w:rsidP="000530DE">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32ACA39A" wp14:editId="240D2636">
                      <wp:extent cx="200025" cy="180975"/>
                      <wp:effectExtent l="57150" t="19050" r="28575" b="104775"/>
                      <wp:docPr id="5" name="Octagon 5"/>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3BC477B" id="Octagon 5"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tsmcAIAAEoFAAAOAAAAZHJzL2Uyb0RvYy54bWysVN1P2zAQf5+0/8Hy+0jTwYCKFFVFTJMQ&#10;VMDEs+vYrSXH553dpt1fv7OThoohIU17ce5yv/v+uLreNZZtFQYDruLlyYgz5STUxq0q/vP59ssF&#10;ZyEKVwsLTlV8rwK/nn7+dNX6iRrDGmytkJERFyatr/g6Rj8piiDXqhHhBLxyJNSAjYjE4qqoUbRk&#10;vbHFeDT6VrSAtUeQKgT6e9MJ+TTb11rJ+KB1UJHZilNsMb+Y32V6i+mVmKxQ+LWRfRjiH6JohHHk&#10;dDB1I6JgGzR/mWqMRAig44mEpgCtjVQ5B8qmHL3J5mktvMq5UHGCH8oU/p9Zeb9dIDN1xc84c6Kh&#10;Fj3IKFbg2FkqTuvDhDBPfoE9F4hMme40NulLObBdLuh+KKjaRSbpJ3VoNCbDkkTlxejyPNssXpU9&#10;hvhdQcMSUXHoXOdKiu1diOST0AdUchfAmvrWWJsZXC3nFtlWUHvnc/KWO0oqR7Ai5dBFnam4tyop&#10;W/eoNKVOcZbZYx46NdgTUioXx6kKZDCjk5om34Pi148Ve3xSVXkgB+Xxx8qDRvYMLg7KjXGA7xmw&#10;sexD1h2ewj/KO5FLqPfUdYRuHYKXt4bqfydCXAik+adNoZ2OD/RoCy01pqc4WwP+fu9/wtNYkpSz&#10;lvap4uHXRqDizP5wNLCX5elpWsDMnJ6dj4nBY8nyWOI2zRyopyVdDy8zmfDRHkiN0LzQ6s+SVxIJ&#10;J8l3xWXEAzOP3Z7T8ZBqNsswWjov4p178vLQ9TRcz7sXgb4fwkjTew+H3ROTN4PYYVM/HMw2EbTJ&#10;U/pa177etLB5cPrjki7CMZ9Rrydw+gcAAP//AwBQSwMEFAAGAAgAAAAhAJ+3RPHbAAAAAwEAAA8A&#10;AABkcnMvZG93bnJldi54bWxMj0FLw0AQhe+C/2EZwZvdpNIS02yKCAUP0mC1eN1mp0lodjbsbpv4&#10;7x292MvA4z3e+6ZYT7YXF/Shc6QgnSUgkGpnOmoUfH5sHjIQIWoyuneECr4xwLq8vSl0btxI73jZ&#10;xUZwCYVcK2hjHHIpQ92i1WHmBiT2js5bHVn6RhqvRy63vZwnyVJa3REvtHrAlxbr0+5sFVSnsXrN&#10;qurpy2+W2zdv96nf7pW6v5ueVyAiTvE/DL/4jA4lMx3cmUwQvQJ+JP5d9h7TBYiDgnm2AFkW8pq9&#10;/AEAAP//AwBQSwECLQAUAAYACAAAACEAtoM4kv4AAADhAQAAEwAAAAAAAAAAAAAAAAAAAAAAW0Nv&#10;bnRlbnRfVHlwZXNdLnhtbFBLAQItABQABgAIAAAAIQA4/SH/1gAAAJQBAAALAAAAAAAAAAAAAAAA&#10;AC8BAABfcmVscy8ucmVsc1BLAQItABQABgAIAAAAIQDY0tsmcAIAAEoFAAAOAAAAAAAAAAAAAAAA&#10;AC4CAABkcnMvZTJvRG9jLnhtbFBLAQItABQABgAIAAAAIQCft0Tx2wAAAAMBAAAPAAAAAAAAAAAA&#10;AAAAAMoEAABkcnMvZG93bnJldi54bWxQSwUGAAAAAAQABADzAAAA0gUAAAAA&#10;" fillcolor="#c00" strokecolor="#ed7d31 [3205]" strokeweight=".5pt">
                      <w10:anchorlock/>
                    </v:shape>
                  </w:pict>
                </mc:Fallback>
              </mc:AlternateContent>
            </w:r>
          </w:p>
        </w:tc>
        <w:tc>
          <w:tcPr>
            <w:tcW w:w="8604" w:type="dxa"/>
          </w:tcPr>
          <w:p w14:paraId="27E807E2" w14:textId="77777777" w:rsidR="008918F7" w:rsidRDefault="008918F7" w:rsidP="000530DE">
            <w:pPr>
              <w:rPr>
                <w:lang w:eastAsia="en-US"/>
              </w:rPr>
            </w:pPr>
            <w:r w:rsidRPr="00192064">
              <w:rPr>
                <w:b/>
                <w:lang w:eastAsia="en-US"/>
              </w:rPr>
              <w:t>Mandatory</w:t>
            </w:r>
            <w:r>
              <w:rPr>
                <w:lang w:eastAsia="en-US"/>
              </w:rPr>
              <w:t xml:space="preserve">: </w:t>
            </w:r>
          </w:p>
          <w:p w14:paraId="0B8335C2" w14:textId="77777777" w:rsidR="008918F7" w:rsidRDefault="008918F7" w:rsidP="005729D2">
            <w:pPr>
              <w:pStyle w:val="ListParagraph"/>
              <w:numPr>
                <w:ilvl w:val="0"/>
                <w:numId w:val="170"/>
              </w:numPr>
              <w:rPr>
                <w:lang w:eastAsia="en-US"/>
              </w:rPr>
            </w:pPr>
            <w:r>
              <w:rPr>
                <w:lang w:eastAsia="en-US"/>
              </w:rPr>
              <w:t>Connecting a virtual network to an on premises environment or to another virtual network requires the creation of a virtual gateway.</w:t>
            </w:r>
          </w:p>
          <w:p w14:paraId="43B1FFFC" w14:textId="77777777" w:rsidR="008918F7" w:rsidRDefault="008918F7" w:rsidP="005729D2">
            <w:pPr>
              <w:pStyle w:val="ListParagraph"/>
              <w:numPr>
                <w:ilvl w:val="0"/>
                <w:numId w:val="170"/>
              </w:numPr>
              <w:rPr>
                <w:lang w:eastAsia="en-US"/>
              </w:rPr>
            </w:pPr>
            <w:r>
              <w:rPr>
                <w:lang w:eastAsia="en-US"/>
              </w:rPr>
              <w:t>Only a single gateway can be attached to a virtual network.</w:t>
            </w:r>
          </w:p>
        </w:tc>
      </w:tr>
      <w:tr w:rsidR="008918F7" w14:paraId="53F388AE" w14:textId="77777777" w:rsidTr="000530DE">
        <w:trPr>
          <w:trHeight w:val="423"/>
        </w:trPr>
        <w:tc>
          <w:tcPr>
            <w:tcW w:w="666" w:type="dxa"/>
          </w:tcPr>
          <w:p w14:paraId="5035AE9F" w14:textId="77777777" w:rsidR="008918F7" w:rsidRDefault="008918F7" w:rsidP="000530DE">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805696" behindDoc="0" locked="0" layoutInCell="1" allowOverlap="1" wp14:anchorId="277FA23C" wp14:editId="667FAF9C">
                      <wp:simplePos x="0" y="0"/>
                      <wp:positionH relativeFrom="column">
                        <wp:posOffset>66675</wp:posOffset>
                      </wp:positionH>
                      <wp:positionV relativeFrom="paragraph">
                        <wp:posOffset>90170</wp:posOffset>
                      </wp:positionV>
                      <wp:extent cx="209550" cy="180975"/>
                      <wp:effectExtent l="57150" t="19050" r="57150" b="104775"/>
                      <wp:wrapNone/>
                      <wp:docPr id="9" name="Isosceles Tri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60DF37D9" id="Isosceles Triangle 9" o:spid="_x0000_s1026" type="#_x0000_t5" style="position:absolute;margin-left:5.25pt;margin-top:7.1pt;width:16.5pt;height:14.2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ygxhAIAAG8FAAAOAAAAZHJzL2Uyb0RvYy54bWysVFtP2zAUfp+0/2D5fSTpKNCIFFWgTkgV&#10;Q4OJZ9exW2uOj2e7Tbtfv2PnAmNISNPyYNk537l/51xeHRpN9sJ5BaaixUlOiTAcamU2Ff3+uPx0&#10;QYkPzNRMgxEVPQpPr+YfP1y2thQT2IKuhSNoxPiytRXdhmDLLPN8KxrmT8AKg0IJrmEBn26T1Y61&#10;aL3R2STPz7IWXG0dcOE9/r3phHSe7EspePgqpReB6IpibCGdLp3reGbzS1ZuHLNbxfsw2D9E0TBl&#10;0Olo6oYFRnZO/WWqUdyBBxlOODQZSKm4SDlgNkX+KpuHLbMi5YLF8XYsk/9/Zvnd/t4RVVd0Rolh&#10;Dbbo1oPnQgtPHp1iZqMFmcU6tdaXCH+w9y5m6u0K+A+PguwPSXz4HnOQrolYzJMcUtGPY9HFIRCO&#10;Pyf5bDrF1nAUFRf57HwanWWsHJSt8+GLgIbES0VDH1QqN9uvfOjgAyzFBlrVS6V1erjN+lo7smfI&#10;gSV+eWo7evDPsJRDF3ZKIBy1iMrafBMS64OBFsljYqYY7THOhQlnfcgJHdUk+h4VP7+v2OOjqkis&#10;HZUn7yuPGskzmDAqN8qAe8uADkUfsuzwfRd9l3cswRrqI1LDQTcz3vKlwgasmA/3zOGQYM9w8MNX&#10;PKSGtqLQ3yjZgvv11v+IR+6ilJIWh66i/ueOOUGJvjXI6llxehqnND1Op+cTfLiXkvVLidk114A9&#10;LXDFWJ6uER/0cJUOmifcD4voFUXMcPRdUR7c8LgO3TLADcPFYpFgOJmWhZV5sHzoeiTX4+GJOTuw&#10;EOl7B8OAsvIVETts7IeBxS6AVImlz3Xt641Tnbjeb6C4Nl6+E+p5T85/AwAA//8DAFBLAwQUAAYA&#10;CAAAACEANTxCMNkAAAAHAQAADwAAAGRycy9kb3ducmV2LnhtbEyOzU7DMBCE70i8g7VIXFDrkIa2&#10;CnEqhJIjqig8gBNvfoS9jmK3DW/PcoLTaDSjma84LM6KC85h9KTgcZ2AQGq9GalX8PlRr/YgQtRk&#10;tPWECr4xwKG8vSl0bvyV3vFyir3gEQq5VjDEOOVShnZAp8PaT0icdX52OrKde2lmfeVxZ2WaJFvp&#10;9Ej8MOgJXwdsv05np8A3y7Hb1Lv9Q+0m+9ZVVeaOlVL3d8vLM4iIS/wrwy8+o0PJTI0/kwnCsk+e&#10;uMmapSA4zzbsG9Z0B7Is5H/+8gcAAP//AwBQSwECLQAUAAYACAAAACEAtoM4kv4AAADhAQAAEwAA&#10;AAAAAAAAAAAAAAAAAAAAW0NvbnRlbnRfVHlwZXNdLnhtbFBLAQItABQABgAIAAAAIQA4/SH/1gAA&#10;AJQBAAALAAAAAAAAAAAAAAAAAC8BAABfcmVscy8ucmVsc1BLAQItABQABgAIAAAAIQAfVygxhAIA&#10;AG8FAAAOAAAAAAAAAAAAAAAAAC4CAABkcnMvZTJvRG9jLnhtbFBLAQItABQABgAIAAAAIQA1PEIw&#10;2QAAAAcBAAAPAAAAAAAAAAAAAAAAAN4EAABkcnMvZG93bnJldi54bWxQSwUGAAAAAAQABADzAAAA&#10;5AUAAAAA&#10;" fillcolor="yellow" strokecolor="#70ad47 [3209]" strokeweight=".5pt">
                      <v:path arrowok="t"/>
                    </v:shape>
                  </w:pict>
                </mc:Fallback>
              </mc:AlternateContent>
            </w:r>
          </w:p>
        </w:tc>
        <w:tc>
          <w:tcPr>
            <w:tcW w:w="8604" w:type="dxa"/>
          </w:tcPr>
          <w:p w14:paraId="3678DB82" w14:textId="77777777" w:rsidR="008918F7" w:rsidRDefault="008918F7" w:rsidP="000530DE">
            <w:pPr>
              <w:rPr>
                <w:rFonts w:eastAsiaTheme="minorHAnsi"/>
                <w:lang w:eastAsia="en-US"/>
              </w:rPr>
            </w:pPr>
            <w:r>
              <w:rPr>
                <w:rFonts w:eastAsiaTheme="minorHAnsi"/>
                <w:b/>
                <w:lang w:eastAsia="en-US"/>
              </w:rPr>
              <w:t xml:space="preserve">Recommended: </w:t>
            </w:r>
          </w:p>
          <w:p w14:paraId="5589EA95" w14:textId="77777777" w:rsidR="008918F7" w:rsidRDefault="008918F7" w:rsidP="005729D2">
            <w:pPr>
              <w:pStyle w:val="ListParagraph"/>
              <w:numPr>
                <w:ilvl w:val="0"/>
                <w:numId w:val="171"/>
              </w:numPr>
              <w:rPr>
                <w:rFonts w:eastAsiaTheme="minorHAnsi"/>
                <w:lang w:eastAsia="en-US"/>
              </w:rPr>
            </w:pPr>
            <w:r>
              <w:rPr>
                <w:rFonts w:eastAsiaTheme="minorHAnsi"/>
                <w:lang w:eastAsia="en-US"/>
              </w:rPr>
              <w:t>Because gateways take time to be provisioned and they must be accessible to establish the handshake, create the gateway as soon as possible after the virtual network is created.</w:t>
            </w:r>
          </w:p>
          <w:p w14:paraId="26F94699" w14:textId="77777777" w:rsidR="008918F7" w:rsidRDefault="008918F7" w:rsidP="005729D2">
            <w:pPr>
              <w:pStyle w:val="ListParagraph"/>
              <w:numPr>
                <w:ilvl w:val="0"/>
                <w:numId w:val="171"/>
              </w:numPr>
              <w:rPr>
                <w:rFonts w:eastAsiaTheme="minorHAnsi"/>
                <w:lang w:eastAsia="en-US"/>
              </w:rPr>
            </w:pPr>
            <w:r>
              <w:rPr>
                <w:rFonts w:eastAsiaTheme="minorHAnsi"/>
                <w:lang w:eastAsia="en-US"/>
              </w:rPr>
              <w:t>Use a high-performance gateway for ExpressRoute connections of 1 Gbps or higher.</w:t>
            </w:r>
          </w:p>
          <w:p w14:paraId="441627B6" w14:textId="77777777" w:rsidR="008918F7" w:rsidRDefault="008918F7" w:rsidP="005729D2">
            <w:pPr>
              <w:pStyle w:val="ListParagraph"/>
              <w:numPr>
                <w:ilvl w:val="0"/>
                <w:numId w:val="171"/>
              </w:numPr>
              <w:rPr>
                <w:rFonts w:eastAsiaTheme="minorHAnsi"/>
                <w:lang w:eastAsia="en-US"/>
              </w:rPr>
            </w:pPr>
            <w:r>
              <w:rPr>
                <w:rFonts w:eastAsiaTheme="minorHAnsi"/>
                <w:lang w:eastAsia="en-US"/>
              </w:rPr>
              <w:t>Use a high-performance dynamic routing gateway in S2S scenarios if more than 10 virtual network connections are required per gateway or if more than 100 Mbps of throughput is required.</w:t>
            </w:r>
          </w:p>
          <w:p w14:paraId="20FE3993" w14:textId="77777777" w:rsidR="008918F7" w:rsidRPr="00524A84" w:rsidRDefault="008918F7" w:rsidP="005729D2">
            <w:pPr>
              <w:pStyle w:val="ListParagraph"/>
              <w:numPr>
                <w:ilvl w:val="0"/>
                <w:numId w:val="171"/>
              </w:numPr>
              <w:rPr>
                <w:rFonts w:eastAsiaTheme="minorHAnsi"/>
                <w:lang w:eastAsia="en-US"/>
              </w:rPr>
            </w:pPr>
            <w:r>
              <w:rPr>
                <w:rFonts w:eastAsiaTheme="minorHAnsi"/>
                <w:lang w:eastAsia="en-US"/>
              </w:rPr>
              <w:t>Consider using a coexistence gateway as the default gateway for all ExpressRoute circuits.</w:t>
            </w:r>
          </w:p>
        </w:tc>
      </w:tr>
      <w:tr w:rsidR="008918F7" w14:paraId="2F74E61D" w14:textId="77777777" w:rsidTr="000530DE">
        <w:trPr>
          <w:trHeight w:val="423"/>
        </w:trPr>
        <w:tc>
          <w:tcPr>
            <w:tcW w:w="666" w:type="dxa"/>
          </w:tcPr>
          <w:p w14:paraId="40CF519B" w14:textId="77777777" w:rsidR="008918F7" w:rsidRDefault="008918F7" w:rsidP="000530DE">
            <w:pPr>
              <w:spacing w:after="200"/>
              <w:rPr>
                <w:rFonts w:asciiTheme="minorHAnsi" w:eastAsiaTheme="minorHAnsi" w:hAnsiTheme="minorHAnsi" w:cstheme="minorBidi"/>
                <w:b/>
                <w:bCs/>
                <w:sz w:val="20"/>
                <w:szCs w:val="18"/>
                <w:lang w:eastAsia="en-US"/>
              </w:rPr>
            </w:pPr>
          </w:p>
        </w:tc>
        <w:tc>
          <w:tcPr>
            <w:tcW w:w="8604" w:type="dxa"/>
          </w:tcPr>
          <w:p w14:paraId="6C7A6B57" w14:textId="77777777" w:rsidR="008918F7" w:rsidRDefault="008918F7" w:rsidP="000530DE">
            <w:pPr>
              <w:rPr>
                <w:lang w:eastAsia="en-US"/>
              </w:rPr>
            </w:pPr>
          </w:p>
        </w:tc>
      </w:tr>
    </w:tbl>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6D1518" w14:paraId="7EACD9F1" w14:textId="77777777" w:rsidTr="006D1518">
        <w:tc>
          <w:tcPr>
            <w:tcW w:w="9360" w:type="dxa"/>
            <w:shd w:val="clear" w:color="auto" w:fill="008AC8"/>
          </w:tcPr>
          <w:p w14:paraId="6E52EF22" w14:textId="77777777" w:rsidR="006D1518" w:rsidRPr="00F47607" w:rsidRDefault="006D1518" w:rsidP="006D1518">
            <w:pPr>
              <w:spacing w:line="240" w:lineRule="auto"/>
              <w:rPr>
                <w:color w:val="FFFFFF"/>
              </w:rPr>
            </w:pPr>
            <w:r>
              <w:rPr>
                <w:color w:val="FFFFFF"/>
              </w:rPr>
              <w:t>Design Guidance</w:t>
            </w:r>
          </w:p>
        </w:tc>
      </w:tr>
    </w:tbl>
    <w:p w14:paraId="259CFE1F" w14:textId="77777777" w:rsidR="008918F7" w:rsidRDefault="008918F7" w:rsidP="008918F7">
      <w:r>
        <w:t xml:space="preserve">For more information about </w:t>
      </w:r>
      <w:r w:rsidRPr="007F3E5C">
        <w:t xml:space="preserve">Applicable Azure </w:t>
      </w:r>
      <w:r>
        <w:t>d</w:t>
      </w:r>
      <w:r w:rsidRPr="007F3E5C">
        <w:t xml:space="preserve">esign </w:t>
      </w:r>
      <w:r>
        <w:t>p</w:t>
      </w:r>
      <w:r w:rsidRPr="007F3E5C">
        <w:t>attern</w:t>
      </w:r>
      <w:r>
        <w:t xml:space="preserve">s, see </w:t>
      </w:r>
      <w:hyperlink r:id="rId376" w:history="1">
        <w:r>
          <w:rPr>
            <w:rStyle w:val="Hyperlink"/>
            <w:sz w:val="20"/>
            <w:szCs w:val="20"/>
          </w:rPr>
          <w:t>Hybrid Networking (Azure Architecture Patterns)</w:t>
        </w:r>
      </w:hyperlink>
      <w:r>
        <w:rPr>
          <w:rStyle w:val="Hyperlink"/>
          <w:sz w:val="20"/>
          <w:szCs w:val="20"/>
        </w:rPr>
        <w:t>.</w:t>
      </w:r>
    </w:p>
    <w:p w14:paraId="4831F6A6" w14:textId="12CDABEE" w:rsidR="006D1518" w:rsidRDefault="008918F7" w:rsidP="008918F7">
      <w:r>
        <w:t>When you design virtual network gateways, consider the following</w:t>
      </w:r>
      <w:r w:rsidR="006D1518">
        <w:t>:</w:t>
      </w:r>
    </w:p>
    <w:tbl>
      <w:tblPr>
        <w:tblStyle w:val="PlainTable11"/>
        <w:tblW w:w="0" w:type="auto"/>
        <w:tblLook w:val="04A0" w:firstRow="1" w:lastRow="0" w:firstColumn="1" w:lastColumn="0" w:noHBand="0" w:noVBand="1"/>
      </w:tblPr>
      <w:tblGrid>
        <w:gridCol w:w="2609"/>
        <w:gridCol w:w="6741"/>
      </w:tblGrid>
      <w:tr w:rsidR="006D1518" w:rsidRPr="002227B5" w14:paraId="1D73DC30" w14:textId="77777777" w:rsidTr="002227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808080" w:themeFill="background1" w:themeFillShade="80"/>
            <w:hideMark/>
          </w:tcPr>
          <w:p w14:paraId="3FD02123" w14:textId="77777777" w:rsidR="006D1518" w:rsidRPr="002227B5" w:rsidRDefault="006D1518" w:rsidP="006D1518">
            <w:pPr>
              <w:spacing w:line="240" w:lineRule="auto"/>
              <w:rPr>
                <w:rFonts w:eastAsia="Calibri"/>
                <w:bCs w:val="0"/>
                <w:color w:val="FFFFFF"/>
                <w:sz w:val="20"/>
                <w:szCs w:val="20"/>
                <w:lang w:eastAsia="en-AU"/>
              </w:rPr>
            </w:pPr>
            <w:r w:rsidRPr="002227B5">
              <w:rPr>
                <w:rFonts w:eastAsia="Calibri"/>
                <w:bCs w:val="0"/>
                <w:color w:val="FFFFFF"/>
                <w:sz w:val="20"/>
                <w:szCs w:val="20"/>
                <w:lang w:eastAsia="en-AU"/>
              </w:rPr>
              <w:t>Capability Considerations</w:t>
            </w:r>
          </w:p>
          <w:p w14:paraId="2E940598" w14:textId="77777777" w:rsidR="006D1518" w:rsidRPr="002227B5" w:rsidRDefault="006D1518" w:rsidP="006D1518">
            <w:pPr>
              <w:spacing w:line="240" w:lineRule="auto"/>
              <w:rPr>
                <w:rFonts w:ascii="Times New Roman" w:hAnsi="Times New Roman"/>
                <w:bCs w:val="0"/>
                <w:color w:val="FFFFFF"/>
                <w:sz w:val="20"/>
                <w:szCs w:val="20"/>
                <w:lang w:val="en-AU" w:eastAsia="en-AU"/>
              </w:rPr>
            </w:pPr>
          </w:p>
        </w:tc>
        <w:tc>
          <w:tcPr>
            <w:tcW w:w="6741" w:type="dxa"/>
            <w:shd w:val="clear" w:color="auto" w:fill="808080" w:themeFill="background1" w:themeFillShade="80"/>
            <w:hideMark/>
          </w:tcPr>
          <w:p w14:paraId="7FA775CD" w14:textId="77777777" w:rsidR="006D1518" w:rsidRPr="002227B5" w:rsidRDefault="006D1518" w:rsidP="006D1518">
            <w:pPr>
              <w:spacing w:line="240" w:lineRule="auto"/>
              <w:cnfStyle w:val="100000000000" w:firstRow="1" w:lastRow="0" w:firstColumn="0" w:lastColumn="0" w:oddVBand="0" w:evenVBand="0" w:oddHBand="0" w:evenHBand="0" w:firstRowFirstColumn="0" w:firstRowLastColumn="0" w:lastRowFirstColumn="0" w:lastRowLastColumn="0"/>
              <w:rPr>
                <w:rFonts w:eastAsia="Calibri"/>
                <w:bCs w:val="0"/>
                <w:color w:val="FFFFFF"/>
                <w:sz w:val="20"/>
                <w:szCs w:val="20"/>
                <w:lang w:eastAsia="en-AU"/>
              </w:rPr>
            </w:pPr>
            <w:r w:rsidRPr="002227B5">
              <w:rPr>
                <w:rFonts w:eastAsia="Calibri"/>
                <w:bCs w:val="0"/>
                <w:color w:val="FFFFFF"/>
                <w:sz w:val="20"/>
                <w:szCs w:val="20"/>
                <w:lang w:eastAsia="en-AU"/>
              </w:rPr>
              <w:t>Capability Decision Points</w:t>
            </w:r>
          </w:p>
          <w:p w14:paraId="565F34A7" w14:textId="77777777" w:rsidR="006D1518" w:rsidRPr="002227B5" w:rsidRDefault="006D1518" w:rsidP="006D1518">
            <w:pPr>
              <w:spacing w:line="240" w:lineRule="auto"/>
              <w:cnfStyle w:val="100000000000" w:firstRow="1" w:lastRow="0" w:firstColumn="0" w:lastColumn="0" w:oddVBand="0" w:evenVBand="0" w:oddHBand="0" w:evenHBand="0" w:firstRowFirstColumn="0" w:firstRowLastColumn="0" w:lastRowFirstColumn="0" w:lastRowLastColumn="0"/>
              <w:rPr>
                <w:rFonts w:eastAsia="Calibri"/>
                <w:color w:val="FFFFFF"/>
                <w:sz w:val="20"/>
                <w:szCs w:val="20"/>
                <w:lang w:val="en-AU" w:eastAsia="en-AU"/>
              </w:rPr>
            </w:pPr>
          </w:p>
        </w:tc>
      </w:tr>
      <w:tr w:rsidR="00D86FAA" w14:paraId="7C4EA236" w14:textId="77777777" w:rsidTr="00222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0D2D809" w14:textId="06DBFE1B" w:rsidR="00D86FAA" w:rsidRPr="000A6CB0" w:rsidRDefault="00D86FAA" w:rsidP="00D86FAA">
            <w:pPr>
              <w:rPr>
                <w:sz w:val="20"/>
                <w:szCs w:val="20"/>
              </w:rPr>
            </w:pPr>
            <w:r w:rsidRPr="000A6CB0">
              <w:rPr>
                <w:sz w:val="20"/>
                <w:szCs w:val="20"/>
              </w:rPr>
              <w:t xml:space="preserve">Gateway </w:t>
            </w:r>
            <w:r>
              <w:rPr>
                <w:sz w:val="20"/>
                <w:szCs w:val="20"/>
              </w:rPr>
              <w:t>p</w:t>
            </w:r>
            <w:r w:rsidRPr="000A6CB0">
              <w:rPr>
                <w:sz w:val="20"/>
                <w:szCs w:val="20"/>
              </w:rPr>
              <w:t xml:space="preserve">rovisioning </w:t>
            </w:r>
            <w:r>
              <w:rPr>
                <w:sz w:val="20"/>
                <w:szCs w:val="20"/>
              </w:rPr>
              <w:t>p</w:t>
            </w:r>
            <w:r w:rsidRPr="000A6CB0">
              <w:rPr>
                <w:sz w:val="20"/>
                <w:szCs w:val="20"/>
              </w:rPr>
              <w:t>erformance</w:t>
            </w:r>
          </w:p>
        </w:tc>
        <w:tc>
          <w:tcPr>
            <w:tcW w:w="6741" w:type="dxa"/>
          </w:tcPr>
          <w:p w14:paraId="33B68665" w14:textId="3DA1DDDA" w:rsidR="00D86FAA" w:rsidRPr="000A6CB0" w:rsidRDefault="00D86FAA" w:rsidP="00D86FAA">
            <w:pPr>
              <w:cnfStyle w:val="000000100000" w:firstRow="0" w:lastRow="0" w:firstColumn="0" w:lastColumn="0" w:oddVBand="0" w:evenVBand="0" w:oddHBand="1" w:evenHBand="0" w:firstRowFirstColumn="0" w:firstRowLastColumn="0" w:lastRowFirstColumn="0" w:lastRowLastColumn="0"/>
              <w:rPr>
                <w:sz w:val="20"/>
                <w:szCs w:val="20"/>
              </w:rPr>
            </w:pPr>
            <w:r w:rsidRPr="000A6CB0">
              <w:rPr>
                <w:sz w:val="20"/>
                <w:szCs w:val="20"/>
              </w:rPr>
              <w:t>Note that when you create a gateway, it can take anywhere from</w:t>
            </w:r>
            <w:r>
              <w:rPr>
                <w:sz w:val="20"/>
                <w:szCs w:val="20"/>
              </w:rPr>
              <w:t> 1</w:t>
            </w:r>
            <w:r w:rsidRPr="000A6CB0">
              <w:rPr>
                <w:sz w:val="20"/>
                <w:szCs w:val="20"/>
              </w:rPr>
              <w:t>5-30 minutes for the gateway to be available via the provisioning process.</w:t>
            </w:r>
          </w:p>
        </w:tc>
      </w:tr>
      <w:tr w:rsidR="00D86FAA" w14:paraId="582ED7D9" w14:textId="77777777" w:rsidTr="002227B5">
        <w:tc>
          <w:tcPr>
            <w:cnfStyle w:val="001000000000" w:firstRow="0" w:lastRow="0" w:firstColumn="1" w:lastColumn="0" w:oddVBand="0" w:evenVBand="0" w:oddHBand="0" w:evenHBand="0" w:firstRowFirstColumn="0" w:firstRowLastColumn="0" w:lastRowFirstColumn="0" w:lastRowLastColumn="0"/>
            <w:tcW w:w="0" w:type="auto"/>
          </w:tcPr>
          <w:p w14:paraId="6FB1EEEF" w14:textId="05190F7C" w:rsidR="00D86FAA" w:rsidRPr="000A6CB0" w:rsidRDefault="00D86FAA" w:rsidP="00D86FAA">
            <w:pPr>
              <w:pStyle w:val="NormalWeb"/>
              <w:rPr>
                <w:rFonts w:ascii="Segoe UI" w:hAnsi="Segoe UI" w:cs="Segoe UI"/>
                <w:sz w:val="20"/>
                <w:szCs w:val="20"/>
                <w:lang w:val="en-AU" w:eastAsia="en-AU"/>
              </w:rPr>
            </w:pPr>
            <w:r w:rsidRPr="000A6CB0">
              <w:rPr>
                <w:rFonts w:ascii="Segoe UI" w:hAnsi="Segoe UI" w:cs="Segoe UI"/>
                <w:sz w:val="20"/>
                <w:szCs w:val="20"/>
                <w:lang w:val="en-AU" w:eastAsia="en-AU"/>
              </w:rPr>
              <w:t xml:space="preserve">Gateway </w:t>
            </w:r>
            <w:r>
              <w:rPr>
                <w:rFonts w:ascii="Segoe UI" w:hAnsi="Segoe UI" w:cs="Segoe UI"/>
                <w:sz w:val="20"/>
                <w:szCs w:val="20"/>
                <w:lang w:val="en-AU" w:eastAsia="en-AU"/>
              </w:rPr>
              <w:t>l</w:t>
            </w:r>
            <w:r w:rsidRPr="000A6CB0">
              <w:rPr>
                <w:rFonts w:ascii="Segoe UI" w:hAnsi="Segoe UI" w:cs="Segoe UI"/>
                <w:sz w:val="20"/>
                <w:szCs w:val="20"/>
                <w:lang w:val="en-AU" w:eastAsia="en-AU"/>
              </w:rPr>
              <w:t>imits</w:t>
            </w:r>
          </w:p>
        </w:tc>
        <w:tc>
          <w:tcPr>
            <w:tcW w:w="6741" w:type="dxa"/>
          </w:tcPr>
          <w:p w14:paraId="18282C0E" w14:textId="4EB99526" w:rsidR="00D86FAA" w:rsidRPr="000A6CB0" w:rsidRDefault="00D86FAA" w:rsidP="00D86FAA">
            <w:pPr>
              <w:cnfStyle w:val="000000000000" w:firstRow="0" w:lastRow="0" w:firstColumn="0" w:lastColumn="0" w:oddVBand="0" w:evenVBand="0" w:oddHBand="0" w:evenHBand="0" w:firstRowFirstColumn="0" w:firstRowLastColumn="0" w:lastRowFirstColumn="0" w:lastRowLastColumn="0"/>
              <w:rPr>
                <w:sz w:val="20"/>
                <w:szCs w:val="20"/>
              </w:rPr>
            </w:pPr>
            <w:r w:rsidRPr="000A6CB0">
              <w:rPr>
                <w:sz w:val="20"/>
                <w:szCs w:val="20"/>
              </w:rPr>
              <w:t>A virtual network can have a maximum of a single gateway attached to it.</w:t>
            </w:r>
          </w:p>
        </w:tc>
      </w:tr>
      <w:tr w:rsidR="00D86FAA" w14:paraId="4B478FC7" w14:textId="77777777" w:rsidTr="00222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81B739B" w14:textId="309C97B5" w:rsidR="00D86FAA" w:rsidRPr="000A6CB0" w:rsidRDefault="00D86FAA" w:rsidP="00D86FAA">
            <w:pPr>
              <w:pStyle w:val="NormalWeb"/>
              <w:rPr>
                <w:rFonts w:ascii="Segoe UI" w:hAnsi="Segoe UI" w:cs="Segoe UI"/>
                <w:sz w:val="20"/>
                <w:szCs w:val="20"/>
                <w:lang w:val="en-AU" w:eastAsia="en-AU"/>
              </w:rPr>
            </w:pPr>
            <w:r w:rsidRPr="005E4684">
              <w:rPr>
                <w:rFonts w:ascii="Segoe UI" w:hAnsi="Segoe UI" w:cs="Segoe UI"/>
                <w:sz w:val="20"/>
                <w:szCs w:val="20"/>
                <w:lang w:val="en-AU" w:eastAsia="en-AU"/>
              </w:rPr>
              <w:t xml:space="preserve">Static </w:t>
            </w:r>
            <w:r>
              <w:rPr>
                <w:rFonts w:ascii="Segoe UI" w:hAnsi="Segoe UI" w:cs="Segoe UI"/>
                <w:sz w:val="20"/>
                <w:szCs w:val="20"/>
                <w:lang w:val="en-AU" w:eastAsia="en-AU"/>
              </w:rPr>
              <w:t>r</w:t>
            </w:r>
            <w:r w:rsidRPr="005E4684">
              <w:rPr>
                <w:rFonts w:ascii="Segoe UI" w:hAnsi="Segoe UI" w:cs="Segoe UI"/>
                <w:sz w:val="20"/>
                <w:szCs w:val="20"/>
                <w:lang w:val="en-AU" w:eastAsia="en-AU"/>
              </w:rPr>
              <w:t xml:space="preserve">outing </w:t>
            </w:r>
            <w:r>
              <w:rPr>
                <w:rFonts w:ascii="Segoe UI" w:hAnsi="Segoe UI" w:cs="Segoe UI"/>
                <w:sz w:val="20"/>
                <w:szCs w:val="20"/>
                <w:lang w:val="en-AU" w:eastAsia="en-AU"/>
              </w:rPr>
              <w:t>g</w:t>
            </w:r>
            <w:r w:rsidRPr="005E4684">
              <w:rPr>
                <w:rFonts w:ascii="Segoe UI" w:hAnsi="Segoe UI" w:cs="Segoe UI"/>
                <w:sz w:val="20"/>
                <w:szCs w:val="20"/>
                <w:lang w:val="en-AU" w:eastAsia="en-AU"/>
              </w:rPr>
              <w:t xml:space="preserve">ateway </w:t>
            </w:r>
            <w:r>
              <w:rPr>
                <w:rFonts w:ascii="Segoe UI" w:hAnsi="Segoe UI" w:cs="Segoe UI"/>
                <w:sz w:val="20"/>
                <w:szCs w:val="20"/>
                <w:lang w:val="en-AU" w:eastAsia="en-AU"/>
              </w:rPr>
              <w:t>l</w:t>
            </w:r>
            <w:r w:rsidRPr="005E4684">
              <w:rPr>
                <w:rFonts w:ascii="Segoe UI" w:hAnsi="Segoe UI" w:cs="Segoe UI"/>
                <w:sz w:val="20"/>
                <w:szCs w:val="20"/>
                <w:lang w:val="en-AU" w:eastAsia="en-AU"/>
              </w:rPr>
              <w:t>imits</w:t>
            </w:r>
          </w:p>
        </w:tc>
        <w:tc>
          <w:tcPr>
            <w:tcW w:w="6741" w:type="dxa"/>
          </w:tcPr>
          <w:p w14:paraId="702EB7A1" w14:textId="55C20BC3" w:rsidR="00D86FAA" w:rsidRPr="000A6CB0" w:rsidRDefault="00D86FAA" w:rsidP="00D86FAA">
            <w:pPr>
              <w:cnfStyle w:val="000000100000" w:firstRow="0" w:lastRow="0" w:firstColumn="0" w:lastColumn="0" w:oddVBand="0" w:evenVBand="0" w:oddHBand="1" w:evenHBand="0" w:firstRowFirstColumn="0" w:firstRowLastColumn="0" w:lastRowFirstColumn="0" w:lastRowLastColumn="0"/>
              <w:rPr>
                <w:sz w:val="20"/>
                <w:szCs w:val="20"/>
              </w:rPr>
            </w:pPr>
            <w:r w:rsidRPr="005E4684">
              <w:rPr>
                <w:sz w:val="20"/>
                <w:szCs w:val="20"/>
              </w:rPr>
              <w:t>Multi-</w:t>
            </w:r>
            <w:r>
              <w:rPr>
                <w:sz w:val="20"/>
                <w:szCs w:val="20"/>
              </w:rPr>
              <w:t>s</w:t>
            </w:r>
            <w:r w:rsidRPr="005E4684">
              <w:rPr>
                <w:sz w:val="20"/>
                <w:szCs w:val="20"/>
              </w:rPr>
              <w:t xml:space="preserve">ite, </w:t>
            </w:r>
            <w:r>
              <w:rPr>
                <w:sz w:val="20"/>
                <w:szCs w:val="20"/>
              </w:rPr>
              <w:t>virtual network</w:t>
            </w:r>
            <w:r w:rsidRPr="005E4684">
              <w:rPr>
                <w:sz w:val="20"/>
                <w:szCs w:val="20"/>
              </w:rPr>
              <w:t xml:space="preserve"> to </w:t>
            </w:r>
            <w:r>
              <w:rPr>
                <w:sz w:val="20"/>
                <w:szCs w:val="20"/>
              </w:rPr>
              <w:t>virtual network</w:t>
            </w:r>
            <w:r w:rsidRPr="005E4684">
              <w:rPr>
                <w:sz w:val="20"/>
                <w:szCs w:val="20"/>
              </w:rPr>
              <w:t xml:space="preserve">, and Point-to-Site </w:t>
            </w:r>
            <w:r w:rsidRPr="007F3E5C">
              <w:rPr>
                <w:sz w:val="20"/>
                <w:szCs w:val="20"/>
              </w:rPr>
              <w:t>gateway connection technologies</w:t>
            </w:r>
            <w:r>
              <w:rPr>
                <w:sz w:val="20"/>
                <w:szCs w:val="20"/>
              </w:rPr>
              <w:t xml:space="preserve"> </w:t>
            </w:r>
            <w:r w:rsidRPr="005E4684">
              <w:rPr>
                <w:sz w:val="20"/>
                <w:szCs w:val="20"/>
              </w:rPr>
              <w:t>are not supported with static routing VPN gateways</w:t>
            </w:r>
            <w:r>
              <w:rPr>
                <w:sz w:val="20"/>
                <w:szCs w:val="20"/>
              </w:rPr>
              <w:t>.</w:t>
            </w:r>
          </w:p>
        </w:tc>
      </w:tr>
      <w:tr w:rsidR="00D86FAA" w14:paraId="52B2BDD1" w14:textId="77777777" w:rsidTr="002227B5">
        <w:tc>
          <w:tcPr>
            <w:cnfStyle w:val="001000000000" w:firstRow="0" w:lastRow="0" w:firstColumn="1" w:lastColumn="0" w:oddVBand="0" w:evenVBand="0" w:oddHBand="0" w:evenHBand="0" w:firstRowFirstColumn="0" w:firstRowLastColumn="0" w:lastRowFirstColumn="0" w:lastRowLastColumn="0"/>
            <w:tcW w:w="0" w:type="auto"/>
          </w:tcPr>
          <w:p w14:paraId="13639B8A" w14:textId="068C3242" w:rsidR="00D86FAA" w:rsidRPr="000A6CB0" w:rsidRDefault="00D86FAA" w:rsidP="00D86FAA">
            <w:pPr>
              <w:pStyle w:val="NormalWeb"/>
              <w:rPr>
                <w:rFonts w:ascii="Segoe UI" w:hAnsi="Segoe UI" w:cs="Segoe UI"/>
                <w:sz w:val="20"/>
                <w:szCs w:val="20"/>
                <w:lang w:val="en-AU" w:eastAsia="en-AU"/>
              </w:rPr>
            </w:pPr>
            <w:r w:rsidRPr="005E4684">
              <w:rPr>
                <w:rFonts w:ascii="Segoe UI" w:hAnsi="Segoe UI" w:cs="Segoe UI"/>
                <w:sz w:val="20"/>
                <w:szCs w:val="20"/>
                <w:lang w:val="en-AU" w:eastAsia="en-AU"/>
              </w:rPr>
              <w:t>Co</w:t>
            </w:r>
            <w:r>
              <w:rPr>
                <w:rFonts w:ascii="Segoe UI" w:hAnsi="Segoe UI" w:cs="Segoe UI"/>
                <w:sz w:val="20"/>
                <w:szCs w:val="20"/>
                <w:lang w:val="en-AU" w:eastAsia="en-AU"/>
              </w:rPr>
              <w:t>-</w:t>
            </w:r>
            <w:r w:rsidRPr="005E4684">
              <w:rPr>
                <w:rFonts w:ascii="Segoe UI" w:hAnsi="Segoe UI" w:cs="Segoe UI"/>
                <w:sz w:val="20"/>
                <w:szCs w:val="20"/>
                <w:lang w:val="en-AU" w:eastAsia="en-AU"/>
              </w:rPr>
              <w:t xml:space="preserve">existence </w:t>
            </w:r>
            <w:r>
              <w:rPr>
                <w:rFonts w:ascii="Segoe UI" w:hAnsi="Segoe UI" w:cs="Segoe UI"/>
                <w:sz w:val="20"/>
                <w:szCs w:val="20"/>
                <w:lang w:val="en-AU" w:eastAsia="en-AU"/>
              </w:rPr>
              <w:t>g</w:t>
            </w:r>
            <w:r w:rsidRPr="005E4684">
              <w:rPr>
                <w:rFonts w:ascii="Segoe UI" w:hAnsi="Segoe UI" w:cs="Segoe UI"/>
                <w:sz w:val="20"/>
                <w:szCs w:val="20"/>
                <w:lang w:val="en-AU" w:eastAsia="en-AU"/>
              </w:rPr>
              <w:t>ateway</w:t>
            </w:r>
          </w:p>
        </w:tc>
        <w:tc>
          <w:tcPr>
            <w:tcW w:w="6741" w:type="dxa"/>
          </w:tcPr>
          <w:p w14:paraId="3F7553EB" w14:textId="77777777" w:rsidR="00D86FAA" w:rsidRDefault="00D86FAA" w:rsidP="00D86FAA">
            <w:pPr>
              <w:cnfStyle w:val="000000000000" w:firstRow="0" w:lastRow="0" w:firstColumn="0" w:lastColumn="0" w:oddVBand="0" w:evenVBand="0" w:oddHBand="0" w:evenHBand="0" w:firstRowFirstColumn="0" w:firstRowLastColumn="0" w:lastRowFirstColumn="0" w:lastRowLastColumn="0"/>
              <w:rPr>
                <w:sz w:val="20"/>
                <w:szCs w:val="20"/>
              </w:rPr>
            </w:pPr>
            <w:r w:rsidRPr="005E4684">
              <w:rPr>
                <w:sz w:val="20"/>
                <w:szCs w:val="20"/>
              </w:rPr>
              <w:t>A new co</w:t>
            </w:r>
            <w:r>
              <w:rPr>
                <w:sz w:val="20"/>
                <w:szCs w:val="20"/>
              </w:rPr>
              <w:t>-</w:t>
            </w:r>
            <w:r w:rsidRPr="005E4684">
              <w:rPr>
                <w:sz w:val="20"/>
                <w:szCs w:val="20"/>
              </w:rPr>
              <w:t xml:space="preserve">existence gateway </w:t>
            </w:r>
            <w:r>
              <w:rPr>
                <w:sz w:val="20"/>
                <w:szCs w:val="20"/>
              </w:rPr>
              <w:t xml:space="preserve">exists </w:t>
            </w:r>
            <w:r w:rsidRPr="005E4684">
              <w:rPr>
                <w:sz w:val="20"/>
                <w:szCs w:val="20"/>
              </w:rPr>
              <w:t>that combines both the BGP and IKE protocols</w:t>
            </w:r>
            <w:r>
              <w:rPr>
                <w:sz w:val="20"/>
                <w:szCs w:val="20"/>
              </w:rPr>
              <w:t xml:space="preserve"> (ExpressRoute and S2S connections)</w:t>
            </w:r>
            <w:r w:rsidRPr="005E4684">
              <w:rPr>
                <w:sz w:val="20"/>
                <w:szCs w:val="20"/>
              </w:rPr>
              <w:t>. With this gateway</w:t>
            </w:r>
            <w:r>
              <w:rPr>
                <w:sz w:val="20"/>
                <w:szCs w:val="20"/>
              </w:rPr>
              <w:t>,</w:t>
            </w:r>
            <w:r w:rsidRPr="005E4684">
              <w:rPr>
                <w:sz w:val="20"/>
                <w:szCs w:val="20"/>
              </w:rPr>
              <w:t xml:space="preserve"> it </w:t>
            </w:r>
            <w:r>
              <w:rPr>
                <w:sz w:val="20"/>
                <w:szCs w:val="20"/>
              </w:rPr>
              <w:t xml:space="preserve">is </w:t>
            </w:r>
            <w:r w:rsidRPr="005E4684">
              <w:rPr>
                <w:sz w:val="20"/>
                <w:szCs w:val="20"/>
              </w:rPr>
              <w:t xml:space="preserve">possible to support ExpressRoute and S2S VPN connections to a single virtual network. </w:t>
            </w:r>
          </w:p>
          <w:p w14:paraId="13212794" w14:textId="77777777" w:rsidR="00D86FAA" w:rsidRDefault="00D86FAA" w:rsidP="00D86FAA">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The coexistence gateway supports two modes of operation: failover and coexistence. </w:t>
            </w:r>
          </w:p>
          <w:p w14:paraId="79F81DFF" w14:textId="77777777" w:rsidR="00D86FAA" w:rsidRPr="007F3E5C" w:rsidRDefault="00D86FAA" w:rsidP="005729D2">
            <w:pPr>
              <w:pStyle w:val="ListParagraph"/>
              <w:numPr>
                <w:ilvl w:val="0"/>
                <w:numId w:val="266"/>
              </w:numPr>
              <w:cnfStyle w:val="000000000000" w:firstRow="0" w:lastRow="0" w:firstColumn="0" w:lastColumn="0" w:oddVBand="0" w:evenVBand="0" w:oddHBand="0" w:evenHBand="0" w:firstRowFirstColumn="0" w:firstRowLastColumn="0" w:lastRowFirstColumn="0" w:lastRowLastColumn="0"/>
              <w:rPr>
                <w:sz w:val="20"/>
                <w:szCs w:val="20"/>
              </w:rPr>
            </w:pPr>
            <w:r w:rsidRPr="007F3E5C">
              <w:rPr>
                <w:sz w:val="20"/>
                <w:szCs w:val="20"/>
              </w:rPr>
              <w:t xml:space="preserve">In failover mode, the ExpressRoute side handles all traffic until a failure occurs and then the S2S gateway takes over. </w:t>
            </w:r>
          </w:p>
          <w:p w14:paraId="3EA3B98C" w14:textId="1F3762DA" w:rsidR="00D86FAA" w:rsidRPr="007F3E5C" w:rsidRDefault="00D86FAA" w:rsidP="005729D2">
            <w:pPr>
              <w:pStyle w:val="ListParagraph"/>
              <w:numPr>
                <w:ilvl w:val="0"/>
                <w:numId w:val="266"/>
              </w:numPr>
              <w:cnfStyle w:val="000000000000" w:firstRow="0" w:lastRow="0" w:firstColumn="0" w:lastColumn="0" w:oddVBand="0" w:evenVBand="0" w:oddHBand="0" w:evenHBand="0" w:firstRowFirstColumn="0" w:firstRowLastColumn="0" w:lastRowFirstColumn="0" w:lastRowLastColumn="0"/>
              <w:rPr>
                <w:sz w:val="20"/>
                <w:szCs w:val="20"/>
              </w:rPr>
            </w:pPr>
            <w:r w:rsidRPr="007F3E5C">
              <w:rPr>
                <w:sz w:val="20"/>
                <w:szCs w:val="20"/>
              </w:rPr>
              <w:t xml:space="preserve">In coexistence mode, the gateway allows a customer to leverage a high-speed ExpressRoute connection to provide ingress and egress to Azure while also providing virtual network-to-virtual network connections across the Azure network fabric. </w:t>
            </w:r>
          </w:p>
          <w:p w14:paraId="6F52B33A" w14:textId="2A11F7B8" w:rsidR="00D86FAA" w:rsidRPr="000A6CB0" w:rsidRDefault="00D86FAA" w:rsidP="00D86FAA">
            <w:pPr>
              <w:cnfStyle w:val="000000000000" w:firstRow="0" w:lastRow="0" w:firstColumn="0" w:lastColumn="0" w:oddVBand="0" w:evenVBand="0" w:oddHBand="0" w:evenHBand="0" w:firstRowFirstColumn="0" w:firstRowLastColumn="0" w:lastRowFirstColumn="0" w:lastRowLastColumn="0"/>
              <w:rPr>
                <w:sz w:val="20"/>
                <w:szCs w:val="20"/>
              </w:rPr>
            </w:pPr>
            <w:r w:rsidRPr="005E4684">
              <w:rPr>
                <w:sz w:val="20"/>
                <w:szCs w:val="20"/>
              </w:rPr>
              <w:t>Gateway performance remain</w:t>
            </w:r>
            <w:r>
              <w:rPr>
                <w:sz w:val="20"/>
                <w:szCs w:val="20"/>
              </w:rPr>
              <w:t>s</w:t>
            </w:r>
            <w:r w:rsidRPr="005E4684">
              <w:rPr>
                <w:sz w:val="20"/>
                <w:szCs w:val="20"/>
              </w:rPr>
              <w:t xml:space="preserve"> the same for the connection types.</w:t>
            </w:r>
          </w:p>
        </w:tc>
      </w:tr>
      <w:tr w:rsidR="006D1518" w14:paraId="1FA91DDD" w14:textId="77777777" w:rsidTr="00222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E28DD9C" w14:textId="77777777" w:rsidR="006D1518" w:rsidRPr="000A6CB0" w:rsidRDefault="006D1518" w:rsidP="006D1518">
            <w:pPr>
              <w:pStyle w:val="NormalWeb"/>
              <w:rPr>
                <w:rFonts w:ascii="Segoe UI" w:hAnsi="Segoe UI" w:cs="Segoe UI"/>
                <w:sz w:val="20"/>
                <w:szCs w:val="20"/>
                <w:lang w:val="en-AU" w:eastAsia="en-AU"/>
              </w:rPr>
            </w:pPr>
            <w:r w:rsidRPr="005E4684">
              <w:rPr>
                <w:rFonts w:ascii="Segoe UI" w:hAnsi="Segoe UI" w:cs="Segoe UI"/>
                <w:sz w:val="20"/>
                <w:szCs w:val="20"/>
                <w:lang w:val="en-AU" w:eastAsia="en-AU"/>
              </w:rPr>
              <w:t>Cisco ASA VPN Device</w:t>
            </w:r>
          </w:p>
        </w:tc>
        <w:tc>
          <w:tcPr>
            <w:tcW w:w="6741" w:type="dxa"/>
          </w:tcPr>
          <w:p w14:paraId="70CA659D" w14:textId="77777777" w:rsidR="006D1518" w:rsidRPr="000A6CB0" w:rsidRDefault="006D1518" w:rsidP="006D1518">
            <w:pPr>
              <w:cnfStyle w:val="000000100000" w:firstRow="0" w:lastRow="0" w:firstColumn="0" w:lastColumn="0" w:oddVBand="0" w:evenVBand="0" w:oddHBand="1" w:evenHBand="0" w:firstRowFirstColumn="0" w:firstRowLastColumn="0" w:lastRowFirstColumn="0" w:lastRowLastColumn="0"/>
              <w:rPr>
                <w:sz w:val="20"/>
                <w:szCs w:val="20"/>
              </w:rPr>
            </w:pPr>
            <w:r w:rsidRPr="005E4684">
              <w:rPr>
                <w:sz w:val="20"/>
                <w:szCs w:val="20"/>
              </w:rPr>
              <w:t>The most common VPN device that customers use is a Cisco ASA device. This device does not currently support dynamic routing and we do not support multiple policy configuration with a static routing gateway, so only a single virtual network can be connected to a Cisco ASA VPN device.</w:t>
            </w:r>
          </w:p>
        </w:tc>
      </w:tr>
      <w:tr w:rsidR="003E7DF2" w14:paraId="4A9189EC" w14:textId="77777777" w:rsidTr="002227B5">
        <w:tc>
          <w:tcPr>
            <w:cnfStyle w:val="001000000000" w:firstRow="0" w:lastRow="0" w:firstColumn="1" w:lastColumn="0" w:oddVBand="0" w:evenVBand="0" w:oddHBand="0" w:evenHBand="0" w:firstRowFirstColumn="0" w:firstRowLastColumn="0" w:lastRowFirstColumn="0" w:lastRowLastColumn="0"/>
            <w:tcW w:w="0" w:type="auto"/>
          </w:tcPr>
          <w:p w14:paraId="15A6C780" w14:textId="76AE474C" w:rsidR="003E7DF2" w:rsidRPr="005E4684" w:rsidRDefault="003E7DF2" w:rsidP="006D1518">
            <w:pPr>
              <w:pStyle w:val="NormalWeb"/>
              <w:rPr>
                <w:rFonts w:ascii="Segoe UI" w:hAnsi="Segoe UI" w:cs="Segoe UI"/>
                <w:sz w:val="20"/>
                <w:szCs w:val="20"/>
                <w:lang w:val="en-AU" w:eastAsia="en-AU"/>
              </w:rPr>
            </w:pPr>
            <w:r>
              <w:rPr>
                <w:rFonts w:ascii="Segoe UI" w:hAnsi="Segoe UI" w:cs="Segoe UI"/>
                <w:sz w:val="20"/>
                <w:szCs w:val="20"/>
                <w:lang w:val="en-AU" w:eastAsia="en-AU"/>
              </w:rPr>
              <w:t>CSP Limits</w:t>
            </w:r>
          </w:p>
        </w:tc>
        <w:tc>
          <w:tcPr>
            <w:tcW w:w="6741" w:type="dxa"/>
          </w:tcPr>
          <w:p w14:paraId="3A4029D4" w14:textId="09081ECB" w:rsidR="003E7DF2" w:rsidRPr="005E4684" w:rsidRDefault="003E7DF2" w:rsidP="00D86FAA">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CSP scenarios currently only support S2S</w:t>
            </w:r>
            <w:r w:rsidR="002F57ED">
              <w:rPr>
                <w:sz w:val="20"/>
                <w:szCs w:val="20"/>
              </w:rPr>
              <w:t xml:space="preserve"> VPN</w:t>
            </w:r>
            <w:r>
              <w:rPr>
                <w:sz w:val="20"/>
                <w:szCs w:val="20"/>
              </w:rPr>
              <w:t xml:space="preserve"> gateways due to limitations of the ARM API. </w:t>
            </w:r>
          </w:p>
        </w:tc>
      </w:tr>
    </w:tbl>
    <w:p w14:paraId="689FB1F2" w14:textId="77777777" w:rsidR="003835C6" w:rsidRPr="00F71B2D" w:rsidRDefault="003835C6" w:rsidP="00F71B2D"/>
    <w:p w14:paraId="3F9DE430" w14:textId="27EC6139" w:rsidR="00732925" w:rsidRDefault="00732925" w:rsidP="005729D2">
      <w:pPr>
        <w:pStyle w:val="Heading3Numbered"/>
        <w:numPr>
          <w:ilvl w:val="2"/>
          <w:numId w:val="64"/>
        </w:numPr>
      </w:pPr>
      <w:bookmarkStart w:id="3992" w:name="_Toc417314743"/>
      <w:bookmarkStart w:id="3993" w:name="_Toc417323760"/>
      <w:bookmarkStart w:id="3994" w:name="_Toc417326849"/>
      <w:bookmarkStart w:id="3995" w:name="_Toc417330397"/>
      <w:bookmarkStart w:id="3996" w:name="_Toc417395003"/>
      <w:bookmarkStart w:id="3997" w:name="_Toc417399220"/>
      <w:bookmarkStart w:id="3998" w:name="_Toc417399379"/>
      <w:bookmarkStart w:id="3999" w:name="_Toc417400426"/>
      <w:bookmarkStart w:id="4000" w:name="_Toc417401274"/>
      <w:bookmarkStart w:id="4001" w:name="_Toc417419588"/>
      <w:bookmarkStart w:id="4002" w:name="_Toc417457360"/>
      <w:bookmarkStart w:id="4003" w:name="_Toc417481938"/>
      <w:bookmarkStart w:id="4004" w:name="_Toc417482196"/>
      <w:bookmarkStart w:id="4005" w:name="_Toc417499915"/>
      <w:bookmarkStart w:id="4006" w:name="_Toc417502737"/>
      <w:bookmarkStart w:id="4007" w:name="_Toc417548314"/>
      <w:bookmarkStart w:id="4008" w:name="_Toc417594556"/>
      <w:bookmarkStart w:id="4009" w:name="_Toc417934656"/>
      <w:bookmarkStart w:id="4010" w:name="_Toc417935995"/>
      <w:bookmarkStart w:id="4011" w:name="_Toc417936457"/>
      <w:bookmarkStart w:id="4012" w:name="_Toc417946912"/>
      <w:bookmarkStart w:id="4013" w:name="_Toc417947329"/>
      <w:bookmarkStart w:id="4014" w:name="_Toc417982522"/>
      <w:bookmarkStart w:id="4015" w:name="_Toc417985944"/>
      <w:bookmarkStart w:id="4016" w:name="_Toc418000668"/>
      <w:bookmarkStart w:id="4017" w:name="_Toc418003808"/>
      <w:bookmarkStart w:id="4018" w:name="_Toc418012013"/>
      <w:bookmarkStart w:id="4019" w:name="_Toc418014458"/>
      <w:bookmarkStart w:id="4020" w:name="_Toc418030031"/>
      <w:bookmarkStart w:id="4021" w:name="_Toc418036946"/>
      <w:bookmarkStart w:id="4022" w:name="_Toc418061422"/>
      <w:bookmarkStart w:id="4023" w:name="_Toc418081321"/>
      <w:bookmarkStart w:id="4024" w:name="_Toc418083353"/>
      <w:bookmarkStart w:id="4025" w:name="_Toc418096117"/>
      <w:bookmarkStart w:id="4026" w:name="_Toc418156719"/>
      <w:bookmarkStart w:id="4027" w:name="_Toc418167638"/>
      <w:bookmarkStart w:id="4028" w:name="_Toc418185894"/>
      <w:bookmarkStart w:id="4029" w:name="_Toc422941604"/>
      <w:bookmarkStart w:id="4030" w:name="_Toc423116810"/>
      <w:bookmarkStart w:id="4031" w:name="_Toc423117843"/>
      <w:bookmarkStart w:id="4032" w:name="_Toc423117293"/>
      <w:bookmarkStart w:id="4033" w:name="_Toc431288887"/>
      <w:r>
        <w:t>Virtual Network Gateway Address Requirements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00327671" w14:textId="42EBC94A" w:rsidR="00D86FAA" w:rsidRDefault="00732925" w:rsidP="00D86FAA">
      <w:r>
        <w:t xml:space="preserve">In </w:t>
      </w:r>
      <w:r w:rsidR="00D86FAA">
        <w:t>the previous section, we discussed that there are three types of gateways available today in Azure. Gateways are used to connect on-premises environments to Azure and to enable virtual network-to-virtual network connectivity. Gateways are created at the virtual network level and a virtual network can have only a single gateway connected to each.</w:t>
      </w:r>
    </w:p>
    <w:p w14:paraId="2AF67A4F" w14:textId="751F4D78" w:rsidR="00D86FAA" w:rsidRDefault="00D86FAA" w:rsidP="00D86FAA">
      <w:r>
        <w:t xml:space="preserve">Regardless of which gateway type you </w:t>
      </w:r>
      <w:r w:rsidR="00675AFE">
        <w:t>create;</w:t>
      </w:r>
      <w:r>
        <w:t xml:space="preserve"> you must have a gateway subnet defined for the virtual network. The gateway subnet has different address space requirements based on the type of gateway created. </w:t>
      </w:r>
    </w:p>
    <w:p w14:paraId="4CBEF773" w14:textId="77777777" w:rsidR="00D86FAA" w:rsidRDefault="00D86FAA" w:rsidP="00D86FAA">
      <w:r>
        <w:t xml:space="preserve">A static routing gateway or a dynamic routing gateway must have a subnet with a /29 CIDR definition. When the gateway is connected, it actually takes the /29 segment and breaks it into two /30 segments to provide redundant connections as part of the Site-to-Site VPN. The address requirements are the same for a standard and a high-performance static or dynamic routing gateway. </w:t>
      </w:r>
    </w:p>
    <w:p w14:paraId="05D92774" w14:textId="5527DB55" w:rsidR="00F71B2D" w:rsidRDefault="00D86FAA" w:rsidP="00D86FAA">
      <w:r>
        <w:t>An ExpressRoute gateway must have a subnet with a /28 CIDR definition. When the ExpressRoute gateway is established, it breaks the /28 into two /29 segments that are used to provide the redundant connections as part of the ExpressRoute circuit establishment</w:t>
      </w:r>
      <w:r w:rsidR="002227B5">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732925" w14:paraId="2E02EFD4" w14:textId="77777777" w:rsidTr="00732925">
        <w:trPr>
          <w:trHeight w:val="423"/>
        </w:trPr>
        <w:tc>
          <w:tcPr>
            <w:tcW w:w="666" w:type="dxa"/>
          </w:tcPr>
          <w:p w14:paraId="3DED1117" w14:textId="77777777" w:rsidR="00732925" w:rsidRDefault="00732925" w:rsidP="00732925">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59698061" wp14:editId="43D7A004">
                      <wp:extent cx="200025" cy="180975"/>
                      <wp:effectExtent l="57150" t="19050" r="28575" b="104775"/>
                      <wp:docPr id="38" name="Octagon 38"/>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1130FCE" id="Octagon 38"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oPlcQIAAEwFAAAOAAAAZHJzL2Uyb0RvYy54bWysVF9P2zAQf5+072D5faQpMKAiRVUR0yQE&#10;1WDi2XXs1pLj885u0+7T7+ykoWJISNNe7Dvf7/7f+fpm11i2VRgMuIqXJyPOlJNQG7eq+M/nuy+X&#10;nIUoXC0sOFXxvQr8Zvr503XrJ2oMa7C1QkZGXJi0vuLrGP2kKIJcq0aEE/DKkVADNiISi6uiRtGS&#10;9cYW49Hoa9EC1h5BqhDo9bYT8mm2r7WS8VHroCKzFafYYj4xn8t0FtNrMVmh8Gsj+zDEP0TRCOPI&#10;6WDqVkTBNmj+MtUYiRBAxxMJTQFaG6lyDpRNOXqTzdNaeJVzoeIEP5Qp/D+z8mG7QGbqip9Sp5xo&#10;qEePMooVOEYvVJ7WhwmhnvwCey4QmXLdaWzSTVmwXS7pfiip2kUm6ZF6NBqfcyZJVF6Ori7Ok83i&#10;VdljiN8UNCwRFYfOd66l2N6H2KEPqOQugDX1nbE2M7hazi2yraAGz+fkLfeUHBzBipRDF3Wm4t6q&#10;pGzdD6UpeYqzzB7z2KnBnpBSuTjuI87opKbJ96B4+rFij0+qKo/koDz+WHnQyJ7BxUG5MQ7wPQM2&#10;ln3IusNTwY/yTuQS6j31HaFbiODlnaH634sQFwJpA2hXaKvjIx3aQkuN6SnO1oC/33tPeBpMknLW&#10;0kZVPPzaCFSc2e+ORvaqPDtLK5iZs/OLMTF4LFkeS9ymmQP1tKT/w8tMJny0B1IjNC+0/LPklUTC&#10;SfJdcRnxwMxjt+n0fUg1m2UYrZ0X8d49eXnoehqu592LQN8PYaTpfYDD9onJm0HssKkfDmabCNrk&#10;KX2ta19vWtk86v33kv6EYz6jXj/B6R8AAAD//wMAUEsDBBQABgAIAAAAIQCft0Tx2wAAAAMBAAAP&#10;AAAAZHJzL2Rvd25yZXYueG1sTI9BS8NAEIXvgv9hGcGb3aTSEtNsiggFD9JgtXjdZqdJaHY27G6b&#10;+O8dvdjLwOM93vumWE+2Fxf0oXOkIJ0lIJBqZzpqFHx+bB4yECFqMrp3hAq+McC6vL0pdG7cSO94&#10;2cVGcAmFXCtoYxxyKUPdotVh5gYk9o7OWx1Z+kYar0cut72cJ8lSWt0RL7R6wJcW69PubBVUp7F6&#10;zarq6ctvlts3b/ep3+6Vur+bnlcgIk7xPwy/+IwOJTMd3JlMEL0CfiT+XfYe0wWIg4J5tgBZFvKa&#10;vfwBAAD//wMAUEsBAi0AFAAGAAgAAAAhALaDOJL+AAAA4QEAABMAAAAAAAAAAAAAAAAAAAAAAFtD&#10;b250ZW50X1R5cGVzXS54bWxQSwECLQAUAAYACAAAACEAOP0h/9YAAACUAQAACwAAAAAAAAAAAAAA&#10;AAAvAQAAX3JlbHMvLnJlbHNQSwECLQAUAAYACAAAACEAa7KD5XECAABMBQAADgAAAAAAAAAAAAAA&#10;AAAuAgAAZHJzL2Uyb0RvYy54bWxQSwECLQAUAAYACAAAACEAn7dE8dsAAAADAQAADwAAAAAAAAAA&#10;AAAAAADLBAAAZHJzL2Rvd25yZXYueG1sUEsFBgAAAAAEAAQA8wAAANMFAAAAAA==&#10;" fillcolor="#c00" strokecolor="#ed7d31 [3205]" strokeweight=".5pt">
                      <w10:anchorlock/>
                    </v:shape>
                  </w:pict>
                </mc:Fallback>
              </mc:AlternateContent>
            </w:r>
          </w:p>
        </w:tc>
        <w:tc>
          <w:tcPr>
            <w:tcW w:w="8604" w:type="dxa"/>
          </w:tcPr>
          <w:p w14:paraId="56D035C0" w14:textId="77777777" w:rsidR="00484D51" w:rsidRDefault="00732925" w:rsidP="00732925">
            <w:pPr>
              <w:rPr>
                <w:lang w:eastAsia="en-US"/>
              </w:rPr>
            </w:pPr>
            <w:r w:rsidRPr="00192064">
              <w:rPr>
                <w:b/>
                <w:lang w:eastAsia="en-US"/>
              </w:rPr>
              <w:t>Mandatory</w:t>
            </w:r>
            <w:r>
              <w:rPr>
                <w:lang w:eastAsia="en-US"/>
              </w:rPr>
              <w:t xml:space="preserve">:  </w:t>
            </w:r>
          </w:p>
          <w:p w14:paraId="249676A7" w14:textId="77777777" w:rsidR="00484D51" w:rsidRPr="00484D51" w:rsidRDefault="00732925" w:rsidP="005729D2">
            <w:pPr>
              <w:pStyle w:val="ListParagraph"/>
              <w:numPr>
                <w:ilvl w:val="0"/>
                <w:numId w:val="239"/>
              </w:numPr>
              <w:rPr>
                <w:rFonts w:eastAsiaTheme="minorHAnsi"/>
                <w:lang w:eastAsia="en-US"/>
              </w:rPr>
            </w:pPr>
            <w:r w:rsidRPr="00484D51">
              <w:rPr>
                <w:lang w:eastAsia="en-US"/>
              </w:rPr>
              <w:t xml:space="preserve">An Azure gateway </w:t>
            </w:r>
            <w:r w:rsidR="00282D8C" w:rsidRPr="00484D51">
              <w:rPr>
                <w:lang w:eastAsia="en-US"/>
              </w:rPr>
              <w:t>requires</w:t>
            </w:r>
            <w:r w:rsidRPr="00484D51">
              <w:rPr>
                <w:lang w:eastAsia="en-US"/>
              </w:rPr>
              <w:t xml:space="preserve"> the creation of a gateway subnet in a virtual network to create the gateway. The gateway subnet must meet the address requirements based on the type of connection the gateway will support (S2S or ExpressRoute). </w:t>
            </w:r>
          </w:p>
          <w:p w14:paraId="11A95E05" w14:textId="2988A0DD" w:rsidR="00484D51" w:rsidRDefault="00484D51" w:rsidP="005729D2">
            <w:pPr>
              <w:pStyle w:val="ListParagraph"/>
              <w:numPr>
                <w:ilvl w:val="0"/>
                <w:numId w:val="239"/>
              </w:numPr>
              <w:rPr>
                <w:rFonts w:eastAsiaTheme="minorHAnsi"/>
                <w:lang w:eastAsia="en-US"/>
              </w:rPr>
            </w:pPr>
            <w:r>
              <w:rPr>
                <w:rFonts w:eastAsiaTheme="minorHAnsi"/>
                <w:lang w:eastAsia="en-US"/>
              </w:rPr>
              <w:t>Address prefixes used in Azure or for Azure connectivity must be non-overlapping</w:t>
            </w:r>
          </w:p>
          <w:p w14:paraId="4AB572D3" w14:textId="33125D1F" w:rsidR="00732925" w:rsidRPr="00484D51" w:rsidRDefault="00484D51" w:rsidP="005729D2">
            <w:pPr>
              <w:pStyle w:val="ListParagraph"/>
              <w:numPr>
                <w:ilvl w:val="0"/>
                <w:numId w:val="239"/>
              </w:numPr>
              <w:rPr>
                <w:rFonts w:eastAsiaTheme="minorHAnsi"/>
                <w:lang w:eastAsia="en-US"/>
              </w:rPr>
            </w:pPr>
            <w:r>
              <w:rPr>
                <w:rFonts w:eastAsiaTheme="minorHAnsi"/>
                <w:lang w:eastAsia="en-US"/>
              </w:rPr>
              <w:t>CSP Scenarios will require address planning with the customer to ensure non-overlapping address prefixes are being used.</w:t>
            </w:r>
          </w:p>
        </w:tc>
      </w:tr>
      <w:tr w:rsidR="00732925" w14:paraId="5E17DC27" w14:textId="77777777" w:rsidTr="00732925">
        <w:trPr>
          <w:trHeight w:val="423"/>
        </w:trPr>
        <w:tc>
          <w:tcPr>
            <w:tcW w:w="666" w:type="dxa"/>
          </w:tcPr>
          <w:p w14:paraId="41B7766D" w14:textId="77777777" w:rsidR="00732925" w:rsidRDefault="00732925" w:rsidP="00732925">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309056" behindDoc="0" locked="0" layoutInCell="1" allowOverlap="1" wp14:anchorId="1E1E1004" wp14:editId="422289ED">
                      <wp:simplePos x="0" y="0"/>
                      <wp:positionH relativeFrom="column">
                        <wp:posOffset>66675</wp:posOffset>
                      </wp:positionH>
                      <wp:positionV relativeFrom="paragraph">
                        <wp:posOffset>90170</wp:posOffset>
                      </wp:positionV>
                      <wp:extent cx="209550" cy="180975"/>
                      <wp:effectExtent l="57150" t="19050" r="57150" b="104775"/>
                      <wp:wrapNone/>
                      <wp:docPr id="56" name="Isosceles Tri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59F1F6D7" id="Isosceles Triangle 56" o:spid="_x0000_s1026" type="#_x0000_t5" style="position:absolute;margin-left:5.25pt;margin-top:7.1pt;width:16.5pt;height:14.25pt;z-index:25130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nEEiAIAAHEFAAAOAAAAZHJzL2Uyb0RvYy54bWysVNtu2zAMfR+wfxD0vtrOml6MOkXQIkOB&#10;oC3aDn1WZCkRJouapMTJvn6UfGnXFSgwzA+CaB6SInnIi8t9o8lOOK/AVLQ4yikRhkOtzLqi358W&#10;X84o8YGZmmkwoqIH4enl7POni9aWYgIb0LVwBJ0YX7a2opsQbJllnm9Ew/wRWGFQKcE1LKDo1lnt&#10;WIveG51N8vwka8HV1gEX3uPf605JZ8m/lIKHOym9CERXFN8W0unSuYpnNrtg5doxu1G8fwb7h1c0&#10;TBkMOrq6ZoGRrVN/uWoUd+BBhiMOTQZSKi5SDphNkb/J5nHDrEi5YHG8Hcvk/59bfru7d0TVFZ2e&#10;UGJYgz268eC50MKTJ6eYWWtBUImVaq0v0eDR3ruYq7dL4D88KrI/NFHwPWYvXROxmCnZp7IfxrKL&#10;fSAcf07y8+kUm8NRVZzl56fTGCxj5WBsnQ/fBDQkXioa+lelgrPd0ocOPsDS20CreqG0ToJbr660&#10;IzuGLFjgl6fGYwT/Aks5dM9OCYSDFtFYmwchsUL40CJFTNwUoz/GuTAh1QcdJnQ0kxh7NPz6sWGP&#10;j6Yi8XY0nnxsPFqkyGDCaNwoA+49BzoUfZVlh++76Lu8YwlWUB+QHA66qfGWLxQ2YMl8uGcOxwR7&#10;hqMf7vCQGtqKQn+jZAPu13v/Ix7Zi1pKWhy7ivqfW+YEJfrGIK/Pi+PjOKdJOJ6eTlBwrzWr1xqz&#10;ba4Ae1rgkrE8XSM+6OEqHTTPuCHmMSqqmOEYu6I8uEG4Ct06wB3DxXyeYDibloWlebR86Hok19P+&#10;mTk7sBDpewvDiLLyDRE7bOyHgfk2gFSJpS917euNc5243u+guDheywn1silnvwEAAP//AwBQSwME&#10;FAAGAAgAAAAhADU8QjDZAAAABwEAAA8AAABkcnMvZG93bnJldi54bWxMjs1OwzAQhO9IvIO1SFxQ&#10;65CGtgpxKoSSI6ooPIATb36EvY5itw1vz3KC02g0o5mvOCzOigvOYfSk4HGdgEBqvRmpV/D5Ua/2&#10;IELUZLT1hAq+McChvL0pdG78ld7xcoq94BEKuVYwxDjlUoZ2QKfD2k9InHV+djqynXtpZn3lcWdl&#10;miRb6fRI/DDoCV8HbL9OZ6fAN8ux29S7/UPtJvvWVVXmjpVS93fLyzOIiEv8K8MvPqNDyUyNP5MJ&#10;wrJPnrjJmqUgOM827BvWdAeyLOR//vIHAAD//wMAUEsBAi0AFAAGAAgAAAAhALaDOJL+AAAA4QEA&#10;ABMAAAAAAAAAAAAAAAAAAAAAAFtDb250ZW50X1R5cGVzXS54bWxQSwECLQAUAAYACAAAACEAOP0h&#10;/9YAAACUAQAACwAAAAAAAAAAAAAAAAAvAQAAX3JlbHMvLnJlbHNQSwECLQAUAAYACAAAACEAVsJx&#10;BIgCAABxBQAADgAAAAAAAAAAAAAAAAAuAgAAZHJzL2Uyb0RvYy54bWxQSwECLQAUAAYACAAAACEA&#10;NTxCMNkAAAAHAQAADwAAAAAAAAAAAAAAAADiBAAAZHJzL2Rvd25yZXYueG1sUEsFBgAAAAAEAAQA&#10;8wAAAOgFAAAAAA==&#10;" fillcolor="yellow" strokecolor="#70ad47 [3209]" strokeweight=".5pt">
                      <v:path arrowok="t"/>
                    </v:shape>
                  </w:pict>
                </mc:Fallback>
              </mc:AlternateContent>
            </w:r>
          </w:p>
        </w:tc>
        <w:tc>
          <w:tcPr>
            <w:tcW w:w="8604" w:type="dxa"/>
          </w:tcPr>
          <w:p w14:paraId="41CB7A44" w14:textId="77777777" w:rsidR="00484D51" w:rsidRDefault="00732925" w:rsidP="00732925">
            <w:pPr>
              <w:rPr>
                <w:rFonts w:eastAsiaTheme="minorHAnsi"/>
                <w:lang w:eastAsia="en-US"/>
              </w:rPr>
            </w:pPr>
            <w:r>
              <w:rPr>
                <w:rFonts w:eastAsiaTheme="minorHAnsi"/>
                <w:b/>
                <w:lang w:eastAsia="en-US"/>
              </w:rPr>
              <w:t xml:space="preserve">Recommended: </w:t>
            </w:r>
            <w:r>
              <w:rPr>
                <w:rFonts w:eastAsiaTheme="minorHAnsi"/>
                <w:lang w:eastAsia="en-US"/>
              </w:rPr>
              <w:t xml:space="preserve"> </w:t>
            </w:r>
          </w:p>
          <w:p w14:paraId="520CF999" w14:textId="6BEC7DEA" w:rsidR="00732925" w:rsidRDefault="00484D51" w:rsidP="005729D2">
            <w:pPr>
              <w:pStyle w:val="ListParagraph"/>
              <w:numPr>
                <w:ilvl w:val="0"/>
                <w:numId w:val="239"/>
              </w:numPr>
              <w:rPr>
                <w:rFonts w:eastAsiaTheme="minorHAnsi"/>
                <w:lang w:eastAsia="en-US"/>
              </w:rPr>
            </w:pPr>
            <w:r>
              <w:rPr>
                <w:rFonts w:eastAsiaTheme="minorHAnsi"/>
                <w:lang w:eastAsia="en-US"/>
              </w:rPr>
              <w:t>Develop and Address prefix plan for Azure so you can create a spreadsheet that pre-allocates addresses space for the virtual network architecture.</w:t>
            </w:r>
          </w:p>
          <w:p w14:paraId="0BBF83C8" w14:textId="67ADCE02" w:rsidR="00484D51" w:rsidRDefault="00484D51" w:rsidP="005729D2">
            <w:pPr>
              <w:pStyle w:val="ListParagraph"/>
              <w:numPr>
                <w:ilvl w:val="0"/>
                <w:numId w:val="239"/>
              </w:numPr>
              <w:rPr>
                <w:rFonts w:eastAsiaTheme="minorHAnsi"/>
                <w:lang w:eastAsia="en-US"/>
              </w:rPr>
            </w:pPr>
            <w:r>
              <w:rPr>
                <w:rFonts w:eastAsiaTheme="minorHAnsi"/>
                <w:lang w:eastAsia="en-US"/>
              </w:rPr>
              <w:t xml:space="preserve">Plan for both production, pre-production, and non-production environments </w:t>
            </w:r>
          </w:p>
          <w:p w14:paraId="36470858" w14:textId="0948645A" w:rsidR="00484D51" w:rsidRDefault="00484D51" w:rsidP="002F57ED">
            <w:pPr>
              <w:pStyle w:val="ListParagraph"/>
              <w:tabs>
                <w:tab w:val="clear" w:pos="720"/>
              </w:tabs>
              <w:ind w:firstLine="0"/>
              <w:rPr>
                <w:lang w:eastAsia="en-US"/>
              </w:rPr>
            </w:pPr>
          </w:p>
        </w:tc>
      </w:tr>
    </w:tbl>
    <w:p w14:paraId="3D5B4DAE" w14:textId="4D2F4561" w:rsidR="00732925" w:rsidRDefault="00732925" w:rsidP="005729D2">
      <w:pPr>
        <w:pStyle w:val="Heading2Numbered"/>
        <w:numPr>
          <w:ilvl w:val="1"/>
          <w:numId w:val="64"/>
        </w:numPr>
      </w:pPr>
      <w:bookmarkStart w:id="4034" w:name="_Toc416863137"/>
      <w:bookmarkStart w:id="4035" w:name="_Toc417314744"/>
      <w:bookmarkStart w:id="4036" w:name="_Toc417323761"/>
      <w:bookmarkStart w:id="4037" w:name="_Toc417326850"/>
      <w:bookmarkStart w:id="4038" w:name="_Toc417330398"/>
      <w:bookmarkStart w:id="4039" w:name="_Toc417395004"/>
      <w:bookmarkStart w:id="4040" w:name="_Toc417399221"/>
      <w:bookmarkStart w:id="4041" w:name="_Toc417399380"/>
      <w:bookmarkStart w:id="4042" w:name="_Toc417400427"/>
      <w:bookmarkStart w:id="4043" w:name="_Toc417401275"/>
      <w:bookmarkStart w:id="4044" w:name="_Toc417419589"/>
      <w:bookmarkStart w:id="4045" w:name="_Toc417457361"/>
      <w:bookmarkStart w:id="4046" w:name="_Toc417481939"/>
      <w:bookmarkStart w:id="4047" w:name="_Toc417482197"/>
      <w:bookmarkStart w:id="4048" w:name="_Toc417499916"/>
      <w:bookmarkStart w:id="4049" w:name="_Toc417502738"/>
      <w:bookmarkStart w:id="4050" w:name="_Toc417548315"/>
      <w:bookmarkStart w:id="4051" w:name="_Toc417594557"/>
      <w:bookmarkStart w:id="4052" w:name="_Toc417934657"/>
      <w:bookmarkStart w:id="4053" w:name="_Toc417935996"/>
      <w:bookmarkStart w:id="4054" w:name="_Toc417936458"/>
      <w:bookmarkStart w:id="4055" w:name="_Toc417946913"/>
      <w:bookmarkStart w:id="4056" w:name="_Toc417947330"/>
      <w:bookmarkStart w:id="4057" w:name="_Toc417982523"/>
      <w:bookmarkStart w:id="4058" w:name="_Toc417985945"/>
      <w:bookmarkStart w:id="4059" w:name="_Toc418000669"/>
      <w:bookmarkStart w:id="4060" w:name="_Toc418003809"/>
      <w:bookmarkStart w:id="4061" w:name="_Toc418012014"/>
      <w:bookmarkStart w:id="4062" w:name="_Toc418014459"/>
      <w:bookmarkStart w:id="4063" w:name="_Toc418030032"/>
      <w:bookmarkStart w:id="4064" w:name="_Toc418036947"/>
      <w:bookmarkStart w:id="4065" w:name="_Toc418061423"/>
      <w:bookmarkStart w:id="4066" w:name="_Toc418081322"/>
      <w:bookmarkStart w:id="4067" w:name="_Toc418081951"/>
      <w:bookmarkStart w:id="4068" w:name="_Toc418083354"/>
      <w:bookmarkStart w:id="4069" w:name="_Toc418096118"/>
      <w:bookmarkStart w:id="4070" w:name="_Toc418156720"/>
      <w:bookmarkStart w:id="4071" w:name="_Toc418167639"/>
      <w:bookmarkStart w:id="4072" w:name="_Toc418185895"/>
      <w:bookmarkStart w:id="4073" w:name="_Toc422941605"/>
      <w:bookmarkStart w:id="4074" w:name="_Toc423116811"/>
      <w:bookmarkStart w:id="4075" w:name="_Toc423117844"/>
      <w:bookmarkStart w:id="4076" w:name="_Toc423117294"/>
      <w:bookmarkStart w:id="4077" w:name="_Toc431288888"/>
      <w:r>
        <w:t>Virtual Network to Virtual Network Routing</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72BC2110" w14:textId="21FC011A" w:rsidR="00D86FAA" w:rsidRDefault="00732925" w:rsidP="00D86FAA">
      <w:r>
        <w:t>Virtual</w:t>
      </w:r>
      <w:r w:rsidR="00D86FAA">
        <w:t xml:space="preserve"> network-to-virtual network routing allows establishing routing paths across the Azure network fabric without having to send the traffic on-premises. Establishing virtual network-to-virtual network routing requires creating an IPsec tunnel and dynamic routing across that segment. </w:t>
      </w:r>
    </w:p>
    <w:p w14:paraId="364D639D" w14:textId="77777777" w:rsidR="00D86FAA" w:rsidRDefault="00D86FAA" w:rsidP="00D86FAA">
      <w:r>
        <w:t xml:space="preserve">The static and dynamic routing gateways use IKE protocol to establish an IPsec tunnel and route traffic, but only the dynamic routing gateway supports dynamic routing. Based on those requirements, the static routing gateway does not support virtual network-to-virtual network routing. Every virtual network-to-virtual network segment requires a dynamic routing gateway on both ends. </w:t>
      </w:r>
    </w:p>
    <w:p w14:paraId="51F3612A" w14:textId="77777777" w:rsidR="00D86FAA" w:rsidRDefault="00D86FAA" w:rsidP="00D86FAA">
      <w:r>
        <w:t xml:space="preserve">The ExpressRoute gateway leverages the BGP routing protocol to establish the communication and route traffic, and therefore, it does not meet the requirements to establish a virtual network-to-virtual network connection. This requires that a separate connection to each virtual network must be established when using ExpressRoute. In addition, it requires that virtual network traffic routes from Azure to the edge of the ExpressRoute circuit and back to Azure communicate between virtual machines on different virtual networks. </w:t>
      </w:r>
    </w:p>
    <w:p w14:paraId="7BCCDF30" w14:textId="00E36E04" w:rsidR="009C7C3E" w:rsidRDefault="00D86FAA" w:rsidP="00D86FAA">
      <w:r>
        <w:t>When you establish virtual network routing, by default a virtual network can allow traffic to flow cross a single virtual network-virtual network gateway connection. This is an isolation feature that forces establishing multiple hop routing definitions to enable communications</w:t>
      </w:r>
      <w:r w:rsidR="009C7C3E">
        <w:t>.</w:t>
      </w:r>
    </w:p>
    <w:p w14:paraId="11C5154C" w14:textId="7E3D1445" w:rsidR="00484D51" w:rsidRDefault="00C245AF" w:rsidP="00732925">
      <w:r>
        <w:t>The following section discusses the different options of connecting v</w:t>
      </w:r>
      <w:r w:rsidR="00D86FAA">
        <w:t>irtual n</w:t>
      </w:r>
      <w:r>
        <w:t>et</w:t>
      </w:r>
      <w:r w:rsidR="00D86FAA">
        <w:t>work</w:t>
      </w:r>
      <w:r>
        <w:t>s together to support routing scenarios. Note that it is possible to provision ASM and ARM versions of v</w:t>
      </w:r>
      <w:r w:rsidR="00D86FAA">
        <w:t>irtual networks.  T</w:t>
      </w:r>
      <w:r>
        <w:t xml:space="preserve">he process for connecting </w:t>
      </w:r>
      <w:r w:rsidR="00D86FAA">
        <w:t xml:space="preserve">both </w:t>
      </w:r>
      <w:r>
        <w:t xml:space="preserve">versions is slightly different. </w:t>
      </w:r>
    </w:p>
    <w:p w14:paraId="083F90A2" w14:textId="44D1D8FF" w:rsidR="00D86FAA" w:rsidRDefault="00D86FAA" w:rsidP="00732925"/>
    <w:p w14:paraId="4445CAC3" w14:textId="7983368E" w:rsidR="00732925" w:rsidRDefault="00D81DEF" w:rsidP="005729D2">
      <w:pPr>
        <w:pStyle w:val="Heading3Numbered"/>
        <w:numPr>
          <w:ilvl w:val="2"/>
          <w:numId w:val="64"/>
        </w:numPr>
      </w:pPr>
      <w:bookmarkStart w:id="4078" w:name="_Toc417314745"/>
      <w:bookmarkStart w:id="4079" w:name="_Toc417323762"/>
      <w:bookmarkStart w:id="4080" w:name="_Toc417326851"/>
      <w:bookmarkStart w:id="4081" w:name="_Toc417330399"/>
      <w:bookmarkStart w:id="4082" w:name="_Toc417395005"/>
      <w:bookmarkStart w:id="4083" w:name="_Toc417399222"/>
      <w:bookmarkStart w:id="4084" w:name="_Toc417399381"/>
      <w:bookmarkStart w:id="4085" w:name="_Toc417400428"/>
      <w:bookmarkStart w:id="4086" w:name="_Toc417401276"/>
      <w:bookmarkStart w:id="4087" w:name="_Toc417419590"/>
      <w:bookmarkStart w:id="4088" w:name="_Toc417457362"/>
      <w:bookmarkStart w:id="4089" w:name="_Toc417481940"/>
      <w:bookmarkStart w:id="4090" w:name="_Toc417482198"/>
      <w:bookmarkStart w:id="4091" w:name="_Toc417499917"/>
      <w:bookmarkStart w:id="4092" w:name="_Toc417502739"/>
      <w:bookmarkStart w:id="4093" w:name="_Toc417548316"/>
      <w:bookmarkStart w:id="4094" w:name="_Toc417594558"/>
      <w:bookmarkStart w:id="4095" w:name="_Toc417934658"/>
      <w:bookmarkStart w:id="4096" w:name="_Toc417935997"/>
      <w:bookmarkStart w:id="4097" w:name="_Toc417936459"/>
      <w:bookmarkStart w:id="4098" w:name="_Toc417946914"/>
      <w:bookmarkStart w:id="4099" w:name="_Toc417947331"/>
      <w:bookmarkStart w:id="4100" w:name="_Toc417982524"/>
      <w:bookmarkStart w:id="4101" w:name="_Toc417985946"/>
      <w:bookmarkStart w:id="4102" w:name="_Toc418000670"/>
      <w:bookmarkStart w:id="4103" w:name="_Toc418003810"/>
      <w:bookmarkStart w:id="4104" w:name="_Toc418012015"/>
      <w:bookmarkStart w:id="4105" w:name="_Toc418014460"/>
      <w:bookmarkStart w:id="4106" w:name="_Toc418030033"/>
      <w:bookmarkStart w:id="4107" w:name="_Toc418036948"/>
      <w:bookmarkStart w:id="4108" w:name="_Toc418061424"/>
      <w:bookmarkStart w:id="4109" w:name="_Toc418081323"/>
      <w:bookmarkStart w:id="4110" w:name="_Toc418083355"/>
      <w:bookmarkStart w:id="4111" w:name="_Toc418096119"/>
      <w:bookmarkStart w:id="4112" w:name="_Toc418156721"/>
      <w:bookmarkStart w:id="4113" w:name="_Toc418167640"/>
      <w:bookmarkStart w:id="4114" w:name="_Toc418185896"/>
      <w:bookmarkStart w:id="4115" w:name="_Toc422941606"/>
      <w:bookmarkStart w:id="4116" w:name="_Toc423116812"/>
      <w:bookmarkStart w:id="4117" w:name="_Toc423117845"/>
      <w:bookmarkStart w:id="4118" w:name="_Toc423117295"/>
      <w:bookmarkStart w:id="4119" w:name="_Toc431288889"/>
      <w:r>
        <w:t>Multiple</w:t>
      </w:r>
      <w:r w:rsidR="00732925">
        <w:t xml:space="preserve"> Virtual Network Routing</w:t>
      </w:r>
      <w:r w:rsidR="00753A97">
        <w:t xml:space="preserve"> Configuration</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53942FD4" w14:textId="6A88B1DF" w:rsidR="009C7C3E" w:rsidRDefault="009C7C3E" w:rsidP="00753A97">
      <w:r>
        <w:t>Each</w:t>
      </w:r>
      <w:r w:rsidR="00D86FAA">
        <w:t xml:space="preserve"> gateway has a limited number of other gateway connections that it can establish. The connection model between gateways dictate how far you can route within Azure. There are three distinct models that you can leverage to connect multiple virtual networks to one another:</w:t>
      </w:r>
    </w:p>
    <w:p w14:paraId="1F8B252C" w14:textId="280606A3" w:rsidR="00753A97" w:rsidRPr="00256000" w:rsidRDefault="00B62918" w:rsidP="00753A97">
      <w:pPr>
        <w:rPr>
          <w:b/>
        </w:rPr>
      </w:pPr>
      <w:r w:rsidRPr="00256000">
        <w:rPr>
          <w:b/>
        </w:rPr>
        <w:t>Mesh</w:t>
      </w:r>
    </w:p>
    <w:p w14:paraId="29E3ECF4" w14:textId="41220112" w:rsidR="00B62918" w:rsidRDefault="00F45A83" w:rsidP="00A52078">
      <w:pPr>
        <w:jc w:val="center"/>
      </w:pPr>
      <w:r>
        <w:object w:dxaOrig="8664" w:dyaOrig="2737" w14:anchorId="4199B783">
          <v:shape id="_x0000_i1029" type="#_x0000_t75" style="width:434.25pt;height:135pt" o:ole="">
            <v:imagedata r:id="rId377" o:title=""/>
          </v:shape>
          <o:OLEObject Type="Embed" ProgID="Visio.Drawing.15" ShapeID="_x0000_i1029" DrawAspect="Content" ObjectID="_1508841457" r:id="rId378"/>
        </w:object>
      </w:r>
    </w:p>
    <w:p w14:paraId="381DBC89" w14:textId="190EE9C6" w:rsidR="00753A97" w:rsidRPr="00256000" w:rsidRDefault="00753A97" w:rsidP="00753A97">
      <w:pPr>
        <w:rPr>
          <w:b/>
        </w:rPr>
      </w:pPr>
      <w:r w:rsidRPr="00256000">
        <w:rPr>
          <w:b/>
        </w:rPr>
        <w:t xml:space="preserve">Hub and </w:t>
      </w:r>
      <w:r w:rsidR="00D81DEF" w:rsidRPr="00256000">
        <w:rPr>
          <w:b/>
        </w:rPr>
        <w:t>Spoke</w:t>
      </w:r>
    </w:p>
    <w:p w14:paraId="67D6AC68" w14:textId="3F70D359" w:rsidR="00753A97" w:rsidRDefault="00B62918" w:rsidP="00A52078">
      <w:pPr>
        <w:jc w:val="center"/>
      </w:pPr>
      <w:r>
        <w:object w:dxaOrig="6864" w:dyaOrig="2568" w14:anchorId="067E8995">
          <v:shape id="_x0000_i1030" type="#_x0000_t75" style="width:346.5pt;height:130.5pt" o:ole="">
            <v:imagedata r:id="rId379" o:title=""/>
          </v:shape>
          <o:OLEObject Type="Embed" ProgID="Visio.Drawing.15" ShapeID="_x0000_i1030" DrawAspect="Content" ObjectID="_1508841458" r:id="rId380"/>
        </w:object>
      </w:r>
    </w:p>
    <w:p w14:paraId="31A10D6A" w14:textId="49E494FD" w:rsidR="00753A97" w:rsidRPr="00256000" w:rsidRDefault="00753A97" w:rsidP="00753A97">
      <w:pPr>
        <w:rPr>
          <w:b/>
        </w:rPr>
      </w:pPr>
      <w:r w:rsidRPr="00256000">
        <w:rPr>
          <w:b/>
        </w:rPr>
        <w:t>Daisy-Chain</w:t>
      </w:r>
    </w:p>
    <w:p w14:paraId="0A8C6A1C" w14:textId="2B0CECC4" w:rsidR="00753A97" w:rsidRDefault="00B62918" w:rsidP="00A52078">
      <w:pPr>
        <w:jc w:val="center"/>
      </w:pPr>
      <w:r>
        <w:object w:dxaOrig="8664" w:dyaOrig="985" w14:anchorId="7CDFA6BF">
          <v:shape id="_x0000_i1031" type="#_x0000_t75" style="width:6in;height:50.25pt" o:ole="">
            <v:imagedata r:id="rId381" o:title=""/>
          </v:shape>
          <o:OLEObject Type="Embed" ProgID="Visio.Drawing.15" ShapeID="_x0000_i1031" DrawAspect="Content" ObjectID="_1508841459" r:id="rId382"/>
        </w:object>
      </w:r>
    </w:p>
    <w:p w14:paraId="669825CD" w14:textId="77777777" w:rsidR="00D86FAA" w:rsidRDefault="00D86FAA" w:rsidP="00D86FAA">
      <w:r>
        <w:t xml:space="preserve">By default, in the </w:t>
      </w:r>
      <w:r w:rsidRPr="00E9294E">
        <w:rPr>
          <w:b/>
        </w:rPr>
        <w:t>Mesh</w:t>
      </w:r>
      <w:r>
        <w:t xml:space="preserve"> approach, every virtual network can talk to every other virtual network with a single hop. Therefore, this approach does not require you to define multiple hop routing. Challenges with this approach include the rapid consumption of</w:t>
      </w:r>
      <w:r w:rsidDel="00D81DEF">
        <w:t xml:space="preserve"> </w:t>
      </w:r>
      <w:r>
        <w:t>gateway connections, which limit the size of the virtual network routing capability.</w:t>
      </w:r>
    </w:p>
    <w:p w14:paraId="75EF1A89" w14:textId="77777777" w:rsidR="00D86FAA" w:rsidRDefault="00D86FAA" w:rsidP="00D86FAA">
      <w:r>
        <w:t xml:space="preserve">By default, in the </w:t>
      </w:r>
      <w:r w:rsidRPr="00E9294E">
        <w:rPr>
          <w:b/>
        </w:rPr>
        <w:t>Hub and Spoke</w:t>
      </w:r>
      <w:r>
        <w:t xml:space="preserve"> approach (as illustrated in the previous example) a virtual machine on vNet1 will be able to communicate to a virtual machine on vNet2, vNet3, vNet4, or vNet5. A virtual machine on vNet2 could talk to virtual machines on vNet1, but not a virtual machine on vNet3,</w:t>
      </w:r>
      <w:r w:rsidRPr="009739AD">
        <w:t xml:space="preserve"> </w:t>
      </w:r>
      <w:r>
        <w:t>vNet4, or vNet5. This is due to the default single hop isolation of the virtual network in this configuration.</w:t>
      </w:r>
    </w:p>
    <w:p w14:paraId="7DE45926" w14:textId="70D9FDA4" w:rsidR="00753A97" w:rsidRDefault="00D86FAA" w:rsidP="00D86FAA">
      <w:r>
        <w:t xml:space="preserve">By default, in a </w:t>
      </w:r>
      <w:r w:rsidRPr="00256000">
        <w:rPr>
          <w:b/>
        </w:rPr>
        <w:t>Daisy-Chain</w:t>
      </w:r>
      <w:r>
        <w:t xml:space="preserve"> approach, a virtual machine on vNet1 can communicate to a virtual machine on vNet2, but not vNet3, vNet4 or vNet5. A virtual machine on vNet2 could talk to virtual machines on vNet1 and vNet3. The same virtual network single hop isolation applies</w:t>
      </w:r>
      <w:r w:rsidR="00753A97">
        <w:t>.</w:t>
      </w:r>
    </w:p>
    <w:tbl>
      <w:tblPr>
        <w:tblStyle w:val="PlainTable11"/>
        <w:tblW w:w="0" w:type="auto"/>
        <w:tblLook w:val="04A0" w:firstRow="1" w:lastRow="0" w:firstColumn="1" w:lastColumn="0" w:noHBand="0" w:noVBand="1"/>
      </w:tblPr>
      <w:tblGrid>
        <w:gridCol w:w="3416"/>
        <w:gridCol w:w="5934"/>
      </w:tblGrid>
      <w:tr w:rsidR="00C245AF" w14:paraId="6B047B10" w14:textId="77777777" w:rsidTr="00005AF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5E407CE6" w14:textId="77777777" w:rsidR="00C245AF" w:rsidRPr="00F47607" w:rsidRDefault="00C245AF" w:rsidP="00005AF1">
            <w:pPr>
              <w:spacing w:line="240" w:lineRule="auto"/>
              <w:rPr>
                <w:color w:val="FFFFFF"/>
              </w:rPr>
            </w:pPr>
            <w:r>
              <w:rPr>
                <w:color w:val="FFFFFF"/>
              </w:rPr>
              <w:t>Feature References</w:t>
            </w:r>
          </w:p>
        </w:tc>
      </w:tr>
      <w:tr w:rsidR="00C245AF" w:rsidRPr="002227B5" w14:paraId="268AC69D" w14:textId="77777777" w:rsidTr="00005A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25F20A27" w14:textId="6133F24A" w:rsidR="00C245AF" w:rsidRPr="002227B5" w:rsidRDefault="00C245AF" w:rsidP="00005AF1">
            <w:pPr>
              <w:spacing w:line="240" w:lineRule="auto"/>
              <w:rPr>
                <w:sz w:val="20"/>
                <w:szCs w:val="18"/>
              </w:rPr>
            </w:pPr>
            <w:r>
              <w:rPr>
                <w:sz w:val="20"/>
                <w:szCs w:val="18"/>
              </w:rPr>
              <w:t>Connecting ASM virtual networks to ARM virtual networks</w:t>
            </w:r>
          </w:p>
        </w:tc>
        <w:tc>
          <w:tcPr>
            <w:tcW w:w="5940" w:type="dxa"/>
          </w:tcPr>
          <w:p w14:paraId="517C3F07" w14:textId="76EC6C74" w:rsidR="00C245AF" w:rsidRPr="002227B5" w:rsidRDefault="00872E47" w:rsidP="00005AF1">
            <w:pPr>
              <w:cnfStyle w:val="000000100000" w:firstRow="0" w:lastRow="0" w:firstColumn="0" w:lastColumn="0" w:oddVBand="0" w:evenVBand="0" w:oddHBand="1" w:evenHBand="0" w:firstRowFirstColumn="0" w:firstRowLastColumn="0" w:lastRowFirstColumn="0" w:lastRowLastColumn="0"/>
              <w:rPr>
                <w:sz w:val="20"/>
                <w:szCs w:val="18"/>
              </w:rPr>
            </w:pPr>
            <w:hyperlink r:id="rId383" w:history="1">
              <w:r w:rsidR="00E9294E" w:rsidRPr="0039126D">
                <w:rPr>
                  <w:rStyle w:val="Hyperlink"/>
                  <w:rFonts w:eastAsiaTheme="minorHAnsi" w:cs="Segoe UI"/>
                  <w:sz w:val="20"/>
                  <w:szCs w:val="20"/>
                </w:rPr>
                <w:t>https://azure.microsoft.com/en-us/documentation/articles/virtual-networks-arm-asm-s2s/</w:t>
              </w:r>
            </w:hyperlink>
            <w:r w:rsidR="00E9294E">
              <w:rPr>
                <w:rFonts w:eastAsiaTheme="minorHAnsi" w:cs="Segoe UI"/>
                <w:color w:val="000000"/>
                <w:sz w:val="20"/>
                <w:szCs w:val="20"/>
              </w:rPr>
              <w:t xml:space="preserve"> </w:t>
            </w:r>
          </w:p>
        </w:tc>
      </w:tr>
    </w:tbl>
    <w:p w14:paraId="0C098908" w14:textId="77777777" w:rsidR="00C245AF" w:rsidRDefault="00C245AF" w:rsidP="00753A97"/>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84240A" w14:paraId="2F70CE12" w14:textId="77777777" w:rsidTr="00D67C9C">
        <w:trPr>
          <w:trHeight w:val="423"/>
        </w:trPr>
        <w:tc>
          <w:tcPr>
            <w:tcW w:w="666" w:type="dxa"/>
          </w:tcPr>
          <w:p w14:paraId="71A6129F" w14:textId="77777777" w:rsidR="0084240A" w:rsidRDefault="0084240A" w:rsidP="00D67C9C">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51379C16" wp14:editId="42122615">
                      <wp:extent cx="200025" cy="180975"/>
                      <wp:effectExtent l="57150" t="19050" r="28575" b="104775"/>
                      <wp:docPr id="1546650177" name="Octagon 1546650177"/>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EE673A0" id="Octagon 1546650177"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3c1oeAIAAFwFAAAOAAAAZHJzL2Uyb0RvYy54bWysVN1r2zAQfx/sfxB6X21nSdOGOiWkdAxK&#10;W9aOPiuylAgknSYpcbK/fifZcUNXKIy9yHe+7999XF3vjSY74YMCW9PqrKREWA6Nsuua/ny+/XJB&#10;SYjMNkyDFTU9iECv558/XbVuJkawAd0IT9CJDbPW1XQTo5sVReAbYVg4AycsCiV4wyKyfl00nrXo&#10;3ehiVJbnRQu+cR64CAH/3nRCOs/+pRQ8PkgZRCS6pphbzK/P7yq9xfyKzdaeuY3ifRrsH7IwTFkM&#10;Ori6YZGRrVd/uTKKewgg4xkHU4CUiotcA1ZTlW+qedowJ3ItCE5wA0zh/7nl97tHT1SDvZuMz88n&#10;ZTWdUmKZwV498MjWYMmJBOFqXZih1ZN79D0XkEy176U36YtVkX2G+DBALPaRcPyJPStHE0o4iqqL&#10;8nI6SS0oXo2dD/GbAEMSUVPocsjYst1diJ32USuFC6BVc6u0zoxfr5bakx3Dhi+XGC33GAOcqBWp&#10;hi7rTMWDFslY2x9CIhiYZ5Uj5jEUgz/GubBx1GectZOZxNiD4dePDXv9ZCryiA7Go4+NB4scGWwc&#10;jI2y4N9zoGPVpyw7fQT8pO5ErqA54Bx46BYkOH6rEP87FuIj87gRuDu45fEBH6mhxcb0FCUb8L/f&#10;+5/0cVBRSkmLG1bT8GvLvKBEf7c4wpfVeJxWMjPjyXSEjD+VrE4ldmuWgD2t8J44nsmkH/WRlB7M&#10;Cx6DRYqKImY5xq4pj/7ILGO3+XhOuFgsshquoWPxzj45fux6Gq7n/Qvzrh/CiNN7D8dtZLM3g9jp&#10;pn5YWGwjSJWn9BXXHm9c4Tzq/blJN+KUz1qvR3H+Bw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PzdzWh4AgAAXA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54BC22E4" w14:textId="77777777" w:rsidR="00C245AF" w:rsidRDefault="0084240A" w:rsidP="0084240A">
            <w:pPr>
              <w:rPr>
                <w:lang w:eastAsia="en-US"/>
              </w:rPr>
            </w:pPr>
            <w:r w:rsidRPr="00192064">
              <w:rPr>
                <w:b/>
                <w:lang w:eastAsia="en-US"/>
              </w:rPr>
              <w:t>Mandatory</w:t>
            </w:r>
            <w:r>
              <w:rPr>
                <w:lang w:eastAsia="en-US"/>
              </w:rPr>
              <w:t xml:space="preserve">:  </w:t>
            </w:r>
          </w:p>
          <w:p w14:paraId="1A3BABA4" w14:textId="5C734D06" w:rsidR="00C245AF" w:rsidRDefault="00E9294E" w:rsidP="005729D2">
            <w:pPr>
              <w:pStyle w:val="ListParagraph"/>
              <w:numPr>
                <w:ilvl w:val="0"/>
                <w:numId w:val="240"/>
              </w:numPr>
              <w:rPr>
                <w:lang w:eastAsia="en-US"/>
              </w:rPr>
            </w:pPr>
            <w:r>
              <w:rPr>
                <w:lang w:eastAsia="en-US"/>
              </w:rPr>
              <w:t>Multiple hop routing requires selecting a connection model and modifying the default single hop routing.</w:t>
            </w:r>
            <w:r w:rsidR="0084240A" w:rsidRPr="00C245AF">
              <w:rPr>
                <w:lang w:eastAsia="en-US"/>
              </w:rPr>
              <w:t xml:space="preserve"> </w:t>
            </w:r>
          </w:p>
          <w:p w14:paraId="0B254265" w14:textId="56E2FA76" w:rsidR="0084240A" w:rsidRPr="00C245AF" w:rsidRDefault="00C245AF" w:rsidP="005729D2">
            <w:pPr>
              <w:pStyle w:val="ListParagraph"/>
              <w:numPr>
                <w:ilvl w:val="0"/>
                <w:numId w:val="240"/>
              </w:numPr>
              <w:rPr>
                <w:lang w:eastAsia="en-US"/>
              </w:rPr>
            </w:pPr>
            <w:r>
              <w:rPr>
                <w:lang w:eastAsia="en-US"/>
              </w:rPr>
              <w:t>It is possible to establish v</w:t>
            </w:r>
            <w:r w:rsidR="00E9294E">
              <w:rPr>
                <w:lang w:eastAsia="en-US"/>
              </w:rPr>
              <w:t>irtual network to virtual network</w:t>
            </w:r>
            <w:r>
              <w:rPr>
                <w:lang w:eastAsia="en-US"/>
              </w:rPr>
              <w:t xml:space="preserve"> connections between </w:t>
            </w:r>
            <w:r w:rsidR="002F57ED">
              <w:rPr>
                <w:lang w:eastAsia="en-US"/>
              </w:rPr>
              <w:t>ASM and ARM virtual networks</w:t>
            </w:r>
            <w:r w:rsidR="00E9294E">
              <w:rPr>
                <w:lang w:eastAsia="en-US"/>
              </w:rPr>
              <w:t>.</w:t>
            </w:r>
          </w:p>
        </w:tc>
      </w:tr>
      <w:tr w:rsidR="0084240A" w14:paraId="211B1EC4" w14:textId="77777777" w:rsidTr="00D67C9C">
        <w:trPr>
          <w:trHeight w:val="423"/>
        </w:trPr>
        <w:tc>
          <w:tcPr>
            <w:tcW w:w="666" w:type="dxa"/>
          </w:tcPr>
          <w:p w14:paraId="159E56EB" w14:textId="77777777" w:rsidR="0084240A" w:rsidRDefault="0084240A" w:rsidP="00D67C9C">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319296" behindDoc="0" locked="0" layoutInCell="1" allowOverlap="1" wp14:anchorId="0CDC245D" wp14:editId="4D4BDD6D">
                      <wp:simplePos x="0" y="0"/>
                      <wp:positionH relativeFrom="column">
                        <wp:posOffset>66675</wp:posOffset>
                      </wp:positionH>
                      <wp:positionV relativeFrom="paragraph">
                        <wp:posOffset>90170</wp:posOffset>
                      </wp:positionV>
                      <wp:extent cx="209550" cy="180975"/>
                      <wp:effectExtent l="57150" t="19050" r="57150" b="104775"/>
                      <wp:wrapNone/>
                      <wp:docPr id="1546650178" name="Isosceles Triangle 15466501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1BA51D82" id="Isosceles Triangle 1546650178" o:spid="_x0000_s1026" type="#_x0000_t5" style="position:absolute;margin-left:5.25pt;margin-top:7.1pt;width:16.5pt;height:14.25pt;z-index:25131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wxWjQIAAIEFAAAOAAAAZHJzL2Uyb0RvYy54bWysVNtqGzEQfS/0H4Tem911bSdZsg4mwSVg&#10;0tCk5FnWSraoVqNK8q1f35H2EjcNBEr3QWh2ztx0Zubq+tBoshPOKzAVLc5ySoThUCuzruj3p8Wn&#10;C0p8YKZmGoyo6FF4ej37+OFqb0sxgg3oWjiCTowv97aimxBsmWWeb0TD/BlYYVApwTUsoOjWWe3Y&#10;Hr03Ohvl+TTbg6utAy68x7+3rZLOkn8pBQ9fpfQiEF1RzC2k06VzFc9sdsXKtWN2o3iXBvuHLBqm&#10;DAYdXN2ywMjWqb9cNYo78CDDGYcmAykVF6kGrKbIX1XzuGFWpFrwcbwdnsn/P7f8fvfgiKqRu8l4&#10;Op3kxTkyZliDXN158Fxo4cmTU8ystSAnIHy5vfUlOni0Dy7W7u0S+A+PiuwPTRR8hzlI10QsVk4O&#10;iYbjQIM4BMLx5yi/nEyQLI6q4iK/PJ9EmjJW9sbW+fBFQEPipaKhyy4RwHZLH1p4D0u5gVb1Qmmd&#10;BLde3WhHdgy7YoFfnhoBI/gXWKqhTTsVEI5aRGNtvgmJL4aJFili6lUx+GOcCxOmXcoJHc0kxh4M&#10;P79v2OGjqUh9PBiP3jceLFJkMGEwbpQB95YDHYouZdniOxZ9W3d8ghXUR2wWB+0UecsXCglYMh8e&#10;mMOxQc5wFYSveEgN+4pCd6NkA+7XW/8jHrsZtZTscQwr6n9umROU6DuDfX5ZjMdxbpMwnpyPUHCn&#10;mtWpxmybG0BOC1w6lqdrxAfdX6WD5hk3xjxGRRUzHGNXlAfXCzehXQ+4c7iYzxMMZ9WysDSPlves&#10;x+Z6OjwzZ/suxPa9h35kWfmqEVts5MPAfBtAqtSlL+/avTfOeer1bifFRXIqJ9TL5pz9BgAA//8D&#10;AFBLAwQUAAYACAAAACEANTxCMNkAAAAHAQAADwAAAGRycy9kb3ducmV2LnhtbEyOzU7DMBCE70i8&#10;g7VIXFDrkIa2CnEqhJIjqig8gBNvfoS9jmK3DW/PcoLTaDSjma84LM6KC85h9KTgcZ2AQGq9GalX&#10;8PlRr/YgQtRktPWECr4xwKG8vSl0bvyV3vFyir3gEQq5VjDEOOVShnZAp8PaT0icdX52OrKde2lm&#10;feVxZ2WaJFvp9Ej8MOgJXwdsv05np8A3y7Hb1Lv9Q+0m+9ZVVeaOlVL3d8vLM4iIS/wrwy8+o0PJ&#10;TI0/kwnCsk+euMmapSA4zzbsG9Z0B7Is5H/+8gcAAP//AwBQSwECLQAUAAYACAAAACEAtoM4kv4A&#10;AADhAQAAEwAAAAAAAAAAAAAAAAAAAAAAW0NvbnRlbnRfVHlwZXNdLnhtbFBLAQItABQABgAIAAAA&#10;IQA4/SH/1gAAAJQBAAALAAAAAAAAAAAAAAAAAC8BAABfcmVscy8ucmVsc1BLAQItABQABgAIAAAA&#10;IQDlewxWjQIAAIEFAAAOAAAAAAAAAAAAAAAAAC4CAABkcnMvZTJvRG9jLnhtbFBLAQItABQABgAI&#10;AAAAIQA1PEIw2QAAAAcBAAAPAAAAAAAAAAAAAAAAAOcEAABkcnMvZG93bnJldi54bWxQSwUGAAAA&#10;AAQABADzAAAA7QUAAAAA&#10;" fillcolor="yellow" strokecolor="#70ad47 [3209]" strokeweight=".5pt">
                      <v:path arrowok="t"/>
                    </v:shape>
                  </w:pict>
                </mc:Fallback>
              </mc:AlternateContent>
            </w:r>
          </w:p>
        </w:tc>
        <w:tc>
          <w:tcPr>
            <w:tcW w:w="8604" w:type="dxa"/>
          </w:tcPr>
          <w:p w14:paraId="0A35506E" w14:textId="77777777" w:rsidR="00C245AF" w:rsidRDefault="0084240A" w:rsidP="00557788">
            <w:pPr>
              <w:rPr>
                <w:rFonts w:eastAsiaTheme="minorHAnsi"/>
                <w:lang w:eastAsia="en-US"/>
              </w:rPr>
            </w:pPr>
            <w:r>
              <w:rPr>
                <w:rFonts w:eastAsiaTheme="minorHAnsi"/>
                <w:b/>
                <w:lang w:eastAsia="en-US"/>
              </w:rPr>
              <w:t xml:space="preserve">Recommended: </w:t>
            </w:r>
            <w:r>
              <w:rPr>
                <w:rFonts w:eastAsiaTheme="minorHAnsi"/>
                <w:lang w:eastAsia="en-US"/>
              </w:rPr>
              <w:t xml:space="preserve"> </w:t>
            </w:r>
          </w:p>
          <w:p w14:paraId="232A1FE2" w14:textId="5FF05EEC" w:rsidR="0084240A" w:rsidRPr="00C245AF" w:rsidRDefault="00E9294E" w:rsidP="005729D2">
            <w:pPr>
              <w:pStyle w:val="ListParagraph"/>
              <w:numPr>
                <w:ilvl w:val="0"/>
                <w:numId w:val="241"/>
              </w:numPr>
              <w:rPr>
                <w:rFonts w:eastAsiaTheme="minorHAnsi"/>
                <w:lang w:eastAsia="en-US"/>
              </w:rPr>
            </w:pPr>
            <w:r>
              <w:rPr>
                <w:rFonts w:eastAsiaTheme="minorHAnsi"/>
                <w:lang w:eastAsia="en-US"/>
              </w:rPr>
              <w:t>Do not use the Mesh connection option because of the limitations on expandability due to gateway connection limits.</w:t>
            </w:r>
          </w:p>
          <w:p w14:paraId="767928B2" w14:textId="4DB6DDA0" w:rsidR="00557788" w:rsidRPr="00C245AF" w:rsidRDefault="00557788" w:rsidP="005729D2">
            <w:pPr>
              <w:pStyle w:val="ListParagraph"/>
              <w:numPr>
                <w:ilvl w:val="0"/>
                <w:numId w:val="241"/>
              </w:numPr>
              <w:rPr>
                <w:lang w:eastAsia="en-US"/>
              </w:rPr>
            </w:pPr>
            <w:r w:rsidRPr="00C245AF">
              <w:rPr>
                <w:rFonts w:eastAsiaTheme="minorHAnsi"/>
                <w:lang w:eastAsia="en-US"/>
              </w:rPr>
              <w:t>For higher v</w:t>
            </w:r>
            <w:r w:rsidR="00E9294E">
              <w:rPr>
                <w:rFonts w:eastAsiaTheme="minorHAnsi"/>
                <w:lang w:eastAsia="en-US"/>
              </w:rPr>
              <w:t>irtual network</w:t>
            </w:r>
            <w:r w:rsidRPr="00C245AF">
              <w:rPr>
                <w:rFonts w:eastAsiaTheme="minorHAnsi"/>
                <w:lang w:eastAsia="en-US"/>
              </w:rPr>
              <w:t xml:space="preserve"> gateway connection limits, deploy the high performance gateway</w:t>
            </w:r>
          </w:p>
        </w:tc>
      </w:tr>
    </w:tbl>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404639" w14:paraId="63D2DEC5" w14:textId="77777777" w:rsidTr="00404639">
        <w:tc>
          <w:tcPr>
            <w:tcW w:w="9360" w:type="dxa"/>
            <w:shd w:val="clear" w:color="auto" w:fill="008AC8"/>
          </w:tcPr>
          <w:p w14:paraId="43C7D212" w14:textId="77777777" w:rsidR="00404639" w:rsidRPr="00F47607" w:rsidRDefault="00404639" w:rsidP="00404639">
            <w:pPr>
              <w:spacing w:line="240" w:lineRule="auto"/>
              <w:rPr>
                <w:color w:val="FFFFFF"/>
              </w:rPr>
            </w:pPr>
            <w:r>
              <w:rPr>
                <w:color w:val="FFFFFF"/>
              </w:rPr>
              <w:t>Design Guidance</w:t>
            </w:r>
          </w:p>
        </w:tc>
      </w:tr>
    </w:tbl>
    <w:p w14:paraId="6559E110" w14:textId="77777777" w:rsidR="00E9294E" w:rsidRDefault="00E9294E" w:rsidP="00E9294E">
      <w:r w:rsidRPr="005C11ED">
        <w:t>For more information about applicable Azure design patterns, see</w:t>
      </w:r>
      <w:r>
        <w:t xml:space="preserve"> </w:t>
      </w:r>
      <w:hyperlink r:id="rId384" w:history="1">
        <w:r>
          <w:rPr>
            <w:rStyle w:val="Hyperlink"/>
            <w:sz w:val="20"/>
            <w:szCs w:val="20"/>
          </w:rPr>
          <w:t>Hybrid Networking (Azure Architecture Patterns)</w:t>
        </w:r>
      </w:hyperlink>
      <w:r>
        <w:rPr>
          <w:rStyle w:val="Hyperlink"/>
          <w:sz w:val="20"/>
          <w:szCs w:val="20"/>
        </w:rPr>
        <w:t>.</w:t>
      </w:r>
    </w:p>
    <w:p w14:paraId="2A5826E4" w14:textId="441C1527" w:rsidR="00404639" w:rsidRDefault="00E9294E" w:rsidP="00E9294E">
      <w:r>
        <w:t>Additional implementation guidance and examples are provided in the Appendix of this document.</w:t>
      </w:r>
    </w:p>
    <w:p w14:paraId="4C3C0B05" w14:textId="3FE54B19" w:rsidR="00FA1822" w:rsidRDefault="0016471E" w:rsidP="005729D2">
      <w:pPr>
        <w:pStyle w:val="Heading2Numbered"/>
        <w:numPr>
          <w:ilvl w:val="1"/>
          <w:numId w:val="64"/>
        </w:numPr>
      </w:pPr>
      <w:bookmarkStart w:id="4120" w:name="_Toc417314747"/>
      <w:bookmarkStart w:id="4121" w:name="_Toc417323764"/>
      <w:bookmarkStart w:id="4122" w:name="_Toc417326853"/>
      <w:bookmarkStart w:id="4123" w:name="_Toc417330401"/>
      <w:bookmarkStart w:id="4124" w:name="_Toc417395007"/>
      <w:bookmarkStart w:id="4125" w:name="_Toc417399224"/>
      <w:bookmarkStart w:id="4126" w:name="_Toc417399383"/>
      <w:bookmarkStart w:id="4127" w:name="_Toc417400430"/>
      <w:bookmarkStart w:id="4128" w:name="_Toc417401278"/>
      <w:bookmarkStart w:id="4129" w:name="_Toc417419592"/>
      <w:bookmarkStart w:id="4130" w:name="_Toc417457364"/>
      <w:bookmarkStart w:id="4131" w:name="_Toc417481942"/>
      <w:bookmarkStart w:id="4132" w:name="_Toc417482200"/>
      <w:bookmarkStart w:id="4133" w:name="_Toc417499919"/>
      <w:bookmarkStart w:id="4134" w:name="_Toc417502741"/>
      <w:bookmarkStart w:id="4135" w:name="_Toc417548318"/>
      <w:bookmarkStart w:id="4136" w:name="_Toc417594560"/>
      <w:bookmarkStart w:id="4137" w:name="_Toc417934659"/>
      <w:bookmarkStart w:id="4138" w:name="_Toc417935998"/>
      <w:bookmarkStart w:id="4139" w:name="_Toc417936460"/>
      <w:bookmarkStart w:id="4140" w:name="_Toc417946915"/>
      <w:bookmarkStart w:id="4141" w:name="_Toc417947332"/>
      <w:bookmarkStart w:id="4142" w:name="_Toc417982525"/>
      <w:bookmarkStart w:id="4143" w:name="_Toc417985947"/>
      <w:bookmarkStart w:id="4144" w:name="_Toc418000671"/>
      <w:bookmarkStart w:id="4145" w:name="_Toc418003811"/>
      <w:bookmarkStart w:id="4146" w:name="_Toc418012016"/>
      <w:bookmarkStart w:id="4147" w:name="_Toc418014461"/>
      <w:bookmarkStart w:id="4148" w:name="_Toc418030034"/>
      <w:bookmarkStart w:id="4149" w:name="_Toc418036949"/>
      <w:bookmarkStart w:id="4150" w:name="_Toc418061425"/>
      <w:bookmarkStart w:id="4151" w:name="_Toc418081324"/>
      <w:bookmarkStart w:id="4152" w:name="_Toc418083356"/>
      <w:bookmarkStart w:id="4153" w:name="_Toc418096120"/>
      <w:bookmarkStart w:id="4154" w:name="_Toc418156722"/>
      <w:bookmarkStart w:id="4155" w:name="_Toc418167641"/>
      <w:bookmarkStart w:id="4156" w:name="_Toc418185897"/>
      <w:bookmarkStart w:id="4157" w:name="_Toc422941607"/>
      <w:bookmarkStart w:id="4158" w:name="_Toc423116813"/>
      <w:bookmarkStart w:id="4159" w:name="_Toc423117846"/>
      <w:bookmarkStart w:id="4160" w:name="_Toc423117296"/>
      <w:bookmarkStart w:id="4161" w:name="_Toc431288890"/>
      <w:r>
        <w:t>Virtual Network IP Address Space</w:t>
      </w:r>
      <w:r w:rsidR="00FA1822">
        <w:t xml:space="preserve"> Planning</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651DAFBF" w14:textId="79C8EACC" w:rsidR="00E9294E" w:rsidRDefault="00FA1822" w:rsidP="00E9294E">
      <w:r>
        <w:t>A</w:t>
      </w:r>
      <w:r w:rsidR="00E9294E">
        <w:t xml:space="preserve"> Virtual Network in Azure is an address space container that can have a gateway connected to it to allow communications. As part of the Virtual Network configuration, customers must configure non-overlapping IP address space for their Azure environment. </w:t>
      </w:r>
    </w:p>
    <w:p w14:paraId="3EEC263A" w14:textId="77777777" w:rsidR="00E9294E" w:rsidRDefault="00E9294E" w:rsidP="00E9294E">
      <w:r>
        <w:t xml:space="preserve">This IP address space can consist of private IPV4 IP address ranges (as described in </w:t>
      </w:r>
      <w:hyperlink r:id="rId385" w:history="1">
        <w:r w:rsidRPr="00AE63F9">
          <w:rPr>
            <w:rStyle w:val="Hyperlink"/>
          </w:rPr>
          <w:t>RFC</w:t>
        </w:r>
        <w:r>
          <w:rPr>
            <w:rStyle w:val="Hyperlink"/>
          </w:rPr>
          <w:t> 1</w:t>
        </w:r>
        <w:r w:rsidRPr="00AE63F9">
          <w:rPr>
            <w:rStyle w:val="Hyperlink"/>
          </w:rPr>
          <w:t>918</w:t>
        </w:r>
      </w:hyperlink>
      <w:r>
        <w:t>) or public (non-RFC 1918) IPV4 IP address ranges owned by the organization. Exceptions to public address ranges include:</w:t>
      </w:r>
    </w:p>
    <w:p w14:paraId="048351DF" w14:textId="77777777" w:rsidR="00E9294E" w:rsidRDefault="00E9294E" w:rsidP="005729D2">
      <w:pPr>
        <w:pStyle w:val="ListParagraph"/>
        <w:numPr>
          <w:ilvl w:val="0"/>
          <w:numId w:val="72"/>
        </w:numPr>
      </w:pPr>
      <w:r>
        <w:t>224.0.0.0/4 (multicast)</w:t>
      </w:r>
    </w:p>
    <w:p w14:paraId="3CE88079" w14:textId="77777777" w:rsidR="00E9294E" w:rsidRDefault="00E9294E" w:rsidP="005729D2">
      <w:pPr>
        <w:pStyle w:val="ListParagraph"/>
        <w:numPr>
          <w:ilvl w:val="0"/>
          <w:numId w:val="72"/>
        </w:numPr>
      </w:pPr>
      <w:r>
        <w:t>255.255.255.255/32 (broadcast)</w:t>
      </w:r>
    </w:p>
    <w:p w14:paraId="3E957F18" w14:textId="77777777" w:rsidR="00E9294E" w:rsidRDefault="00E9294E" w:rsidP="005729D2">
      <w:pPr>
        <w:pStyle w:val="ListParagraph"/>
        <w:numPr>
          <w:ilvl w:val="0"/>
          <w:numId w:val="72"/>
        </w:numPr>
      </w:pPr>
      <w:r>
        <w:t>127.0.0.0/8 (loopback)</w:t>
      </w:r>
    </w:p>
    <w:p w14:paraId="08398D18" w14:textId="77777777" w:rsidR="00E9294E" w:rsidRDefault="00E9294E" w:rsidP="005729D2">
      <w:pPr>
        <w:pStyle w:val="ListParagraph"/>
        <w:numPr>
          <w:ilvl w:val="0"/>
          <w:numId w:val="72"/>
        </w:numPr>
      </w:pPr>
      <w:r>
        <w:t>169.254.0.0/16 (link-local)</w:t>
      </w:r>
    </w:p>
    <w:p w14:paraId="22E68F3D" w14:textId="77777777" w:rsidR="00E9294E" w:rsidRDefault="00E9294E" w:rsidP="005729D2">
      <w:pPr>
        <w:pStyle w:val="ListParagraph"/>
        <w:numPr>
          <w:ilvl w:val="0"/>
          <w:numId w:val="72"/>
        </w:numPr>
      </w:pPr>
      <w:r>
        <w:t>68.63.129.16/32 (internal DNS)</w:t>
      </w:r>
    </w:p>
    <w:p w14:paraId="0211CF83" w14:textId="77777777" w:rsidR="00E9294E" w:rsidRDefault="00E9294E" w:rsidP="00E9294E">
      <w:r>
        <w:t xml:space="preserve">A virtual network address space can be subdivided into smaller groups of address spaces called subnets. Subnets are the connection points for virtual machines and specific PaaS roles, not the virtual network. The subnets are connected to the virtual network and part of a flat routed network where traffic that flows through the gateway will reach each subnet. </w:t>
      </w:r>
    </w:p>
    <w:p w14:paraId="0052787C" w14:textId="77777777" w:rsidR="00E9294E" w:rsidRDefault="00E9294E" w:rsidP="00E9294E">
      <w:r>
        <w:t>There are two types of subnets that can be created:</w:t>
      </w:r>
    </w:p>
    <w:p w14:paraId="76E4E0BF" w14:textId="77777777" w:rsidR="00E9294E" w:rsidRDefault="00E9294E" w:rsidP="005729D2">
      <w:pPr>
        <w:pStyle w:val="ListBullet"/>
        <w:numPr>
          <w:ilvl w:val="0"/>
          <w:numId w:val="65"/>
        </w:numPr>
        <w:ind w:left="720"/>
      </w:pPr>
      <w:r>
        <w:t>Virtual machine subnet</w:t>
      </w:r>
    </w:p>
    <w:p w14:paraId="458EFCF6" w14:textId="77777777" w:rsidR="00E9294E" w:rsidRDefault="00E9294E" w:rsidP="005729D2">
      <w:pPr>
        <w:pStyle w:val="ListBullet"/>
        <w:numPr>
          <w:ilvl w:val="0"/>
          <w:numId w:val="65"/>
        </w:numPr>
        <w:ind w:left="720"/>
      </w:pPr>
      <w:r>
        <w:t>Gateway subnet</w:t>
      </w:r>
    </w:p>
    <w:p w14:paraId="6D97810D" w14:textId="198B4382" w:rsidR="00AB2C91" w:rsidRDefault="00E9294E" w:rsidP="00E9294E">
      <w:r>
        <w:t>Virtual machine subnets can have virtual machines, PaaS roles (web and worker), and internal load balancers. Gateway subnets can have connections only with other gateways—provided they are using non-overlapping IP address spaces</w:t>
      </w:r>
      <w:r w:rsidR="00923A8F">
        <w:t>.</w:t>
      </w:r>
    </w:p>
    <w:tbl>
      <w:tblPr>
        <w:tblStyle w:val="PlainTable11"/>
        <w:tblW w:w="0" w:type="auto"/>
        <w:tblLook w:val="04A0" w:firstRow="1" w:lastRow="0" w:firstColumn="1" w:lastColumn="0" w:noHBand="0" w:noVBand="1"/>
      </w:tblPr>
      <w:tblGrid>
        <w:gridCol w:w="3412"/>
        <w:gridCol w:w="5938"/>
      </w:tblGrid>
      <w:tr w:rsidR="00AB2C91" w14:paraId="205089FA" w14:textId="77777777" w:rsidTr="002227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hideMark/>
          </w:tcPr>
          <w:p w14:paraId="2D6F4255" w14:textId="77777777" w:rsidR="00AB2C91" w:rsidRDefault="00AB2C91" w:rsidP="0029153A">
            <w:pPr>
              <w:spacing w:line="240" w:lineRule="auto"/>
              <w:rPr>
                <w:color w:val="FFFFFF"/>
              </w:rPr>
            </w:pPr>
            <w:r>
              <w:rPr>
                <w:color w:val="FFFFFF"/>
              </w:rPr>
              <w:t>Feature References</w:t>
            </w:r>
          </w:p>
        </w:tc>
      </w:tr>
      <w:tr w:rsidR="00AB2C91" w:rsidRPr="002227B5" w14:paraId="27A39CF2" w14:textId="77777777" w:rsidTr="00222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4CCA0028" w14:textId="77777777" w:rsidR="00AB2C91" w:rsidRPr="002227B5" w:rsidRDefault="00AB2C91" w:rsidP="0029153A">
            <w:pPr>
              <w:spacing w:line="240" w:lineRule="auto"/>
              <w:rPr>
                <w:sz w:val="20"/>
                <w:szCs w:val="18"/>
              </w:rPr>
            </w:pPr>
            <w:r w:rsidRPr="002227B5">
              <w:rPr>
                <w:sz w:val="20"/>
                <w:szCs w:val="18"/>
              </w:rPr>
              <w:t>Non-RFC 1918 space now allowed in a virtual network</w:t>
            </w:r>
          </w:p>
        </w:tc>
        <w:tc>
          <w:tcPr>
            <w:tcW w:w="5940" w:type="dxa"/>
          </w:tcPr>
          <w:p w14:paraId="7C74CB2E" w14:textId="77777777" w:rsidR="00AB2C91" w:rsidRPr="002227B5" w:rsidRDefault="00872E47" w:rsidP="0029153A">
            <w:pPr>
              <w:cnfStyle w:val="000000100000" w:firstRow="0" w:lastRow="0" w:firstColumn="0" w:lastColumn="0" w:oddVBand="0" w:evenVBand="0" w:oddHBand="1" w:evenHBand="0" w:firstRowFirstColumn="0" w:firstRowLastColumn="0" w:lastRowFirstColumn="0" w:lastRowLastColumn="0"/>
              <w:rPr>
                <w:sz w:val="20"/>
                <w:szCs w:val="18"/>
              </w:rPr>
            </w:pPr>
            <w:hyperlink r:id="rId386" w:history="1">
              <w:r w:rsidR="00AB2C91" w:rsidRPr="002227B5">
                <w:rPr>
                  <w:rStyle w:val="Hyperlink"/>
                  <w:sz w:val="20"/>
                  <w:szCs w:val="18"/>
                </w:rPr>
                <w:t>http://azure.microsoft.com/en-us/updates/non-rfc-1918-space-is-now-allowed-in-a-virtual-network</w:t>
              </w:r>
            </w:hyperlink>
            <w:r w:rsidR="00AB2C91" w:rsidRPr="002227B5">
              <w:rPr>
                <w:sz w:val="20"/>
                <w:szCs w:val="18"/>
              </w:rPr>
              <w:t xml:space="preserve">  </w:t>
            </w:r>
          </w:p>
        </w:tc>
      </w:tr>
      <w:tr w:rsidR="00AB2C91" w:rsidRPr="002227B5" w14:paraId="301FF019" w14:textId="77777777" w:rsidTr="002227B5">
        <w:tc>
          <w:tcPr>
            <w:cnfStyle w:val="001000000000" w:firstRow="0" w:lastRow="0" w:firstColumn="1" w:lastColumn="0" w:oddVBand="0" w:evenVBand="0" w:oddHBand="0" w:evenHBand="0" w:firstRowFirstColumn="0" w:firstRowLastColumn="0" w:lastRowFirstColumn="0" w:lastRowLastColumn="0"/>
            <w:tcW w:w="3420" w:type="dxa"/>
          </w:tcPr>
          <w:p w14:paraId="4AC8C5DB" w14:textId="77777777" w:rsidR="00AB2C91" w:rsidRPr="002227B5" w:rsidRDefault="00AB2C91" w:rsidP="0029153A">
            <w:pPr>
              <w:spacing w:line="240" w:lineRule="auto"/>
              <w:rPr>
                <w:sz w:val="20"/>
                <w:szCs w:val="20"/>
              </w:rPr>
            </w:pPr>
            <w:r w:rsidRPr="002227B5">
              <w:rPr>
                <w:sz w:val="20"/>
                <w:szCs w:val="20"/>
              </w:rPr>
              <w:t>About Public IP Address Space and Virtual Network</w:t>
            </w:r>
          </w:p>
        </w:tc>
        <w:tc>
          <w:tcPr>
            <w:tcW w:w="5940" w:type="dxa"/>
          </w:tcPr>
          <w:p w14:paraId="135B4983" w14:textId="352125B0" w:rsidR="00AB2C91" w:rsidRPr="002227B5" w:rsidRDefault="00872E47" w:rsidP="0029153A">
            <w:pPr>
              <w:cnfStyle w:val="000000000000" w:firstRow="0" w:lastRow="0" w:firstColumn="0" w:lastColumn="0" w:oddVBand="0" w:evenVBand="0" w:oddHBand="0" w:evenHBand="0" w:firstRowFirstColumn="0" w:firstRowLastColumn="0" w:lastRowFirstColumn="0" w:lastRowLastColumn="0"/>
              <w:rPr>
                <w:sz w:val="20"/>
                <w:szCs w:val="20"/>
              </w:rPr>
            </w:pPr>
            <w:hyperlink r:id="rId387" w:history="1">
              <w:r w:rsidR="00C83035">
                <w:rPr>
                  <w:rStyle w:val="Hyperlink"/>
                  <w:sz w:val="20"/>
                  <w:szCs w:val="20"/>
                </w:rPr>
                <w:t>https://azure.microsoft.com/documentation/articles/virtual-networks-public-ip-within-vnet/</w:t>
              </w:r>
            </w:hyperlink>
            <w:r w:rsidR="00AB2C91" w:rsidRPr="002227B5">
              <w:rPr>
                <w:sz w:val="20"/>
                <w:szCs w:val="20"/>
              </w:rPr>
              <w:t xml:space="preserve"> </w:t>
            </w:r>
          </w:p>
        </w:tc>
      </w:tr>
      <w:tr w:rsidR="00AB2C91" w:rsidRPr="002227B5" w14:paraId="7AD0E18B" w14:textId="77777777" w:rsidTr="00222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544AA9D3" w14:textId="77777777" w:rsidR="00AB2C91" w:rsidRPr="002227B5" w:rsidRDefault="00AB2C91" w:rsidP="0029153A">
            <w:pPr>
              <w:spacing w:line="240" w:lineRule="auto"/>
              <w:rPr>
                <w:sz w:val="20"/>
                <w:szCs w:val="20"/>
              </w:rPr>
            </w:pPr>
            <w:r w:rsidRPr="002227B5">
              <w:rPr>
                <w:sz w:val="20"/>
                <w:szCs w:val="20"/>
              </w:rPr>
              <w:t>Microsoft Azure Datacenter IP Ranges</w:t>
            </w:r>
          </w:p>
        </w:tc>
        <w:tc>
          <w:tcPr>
            <w:tcW w:w="5940" w:type="dxa"/>
          </w:tcPr>
          <w:p w14:paraId="4F61ED13" w14:textId="77777777" w:rsidR="00AB2C91" w:rsidRPr="002227B5" w:rsidRDefault="00872E47" w:rsidP="0029153A">
            <w:pPr>
              <w:cnfStyle w:val="000000100000" w:firstRow="0" w:lastRow="0" w:firstColumn="0" w:lastColumn="0" w:oddVBand="0" w:evenVBand="0" w:oddHBand="1" w:evenHBand="0" w:firstRowFirstColumn="0" w:firstRowLastColumn="0" w:lastRowFirstColumn="0" w:lastRowLastColumn="0"/>
              <w:rPr>
                <w:sz w:val="20"/>
                <w:szCs w:val="20"/>
              </w:rPr>
            </w:pPr>
            <w:hyperlink r:id="rId388" w:history="1">
              <w:r w:rsidR="00AB2C91" w:rsidRPr="002227B5">
                <w:rPr>
                  <w:rStyle w:val="Hyperlink"/>
                  <w:sz w:val="20"/>
                  <w:szCs w:val="20"/>
                </w:rPr>
                <w:t>http://www.microsoft.com/en-us/download/details.aspx?id=41653</w:t>
              </w:r>
            </w:hyperlink>
            <w:r w:rsidR="00AB2C91" w:rsidRPr="002227B5">
              <w:rPr>
                <w:sz w:val="20"/>
                <w:szCs w:val="20"/>
              </w:rPr>
              <w:t xml:space="preserve"> </w:t>
            </w:r>
          </w:p>
        </w:tc>
      </w:tr>
    </w:tbl>
    <w:p w14:paraId="0BAA266B" w14:textId="77777777" w:rsidR="00AB2C91" w:rsidRDefault="00AB2C91" w:rsidP="0016471E"/>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AB2C91" w14:paraId="36488C89" w14:textId="77777777" w:rsidTr="0029153A">
        <w:trPr>
          <w:trHeight w:val="423"/>
        </w:trPr>
        <w:tc>
          <w:tcPr>
            <w:tcW w:w="666" w:type="dxa"/>
          </w:tcPr>
          <w:p w14:paraId="3174F48D" w14:textId="77777777" w:rsidR="00AB2C91" w:rsidRDefault="00AB2C91" w:rsidP="0029153A">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18442CD4" wp14:editId="727A8AB7">
                      <wp:extent cx="200025" cy="180975"/>
                      <wp:effectExtent l="57150" t="19050" r="28575" b="104775"/>
                      <wp:docPr id="41186" name="Octagon 41186"/>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F6220CB" id="Octagon 41186"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8IFcwIAAFIFAAAOAAAAZHJzL2Uyb0RvYy54bWysVN1r2zAQfx/sfxB6Xx1n6VeoU0JKx6C0&#10;Ze3osyJLiUDWaSclTvbX7yQ7bugKhbEX+073u++Pq+tdY9lWYTDgKl6ejDhTTkJt3KriP59vv1xw&#10;FqJwtbDgVMX3KvDr2edPV62fqjGswdYKGRlxYdr6iq9j9NOiCHKtGhFOwCtHQg3YiEgsrooaRUvW&#10;G1uMR6OzogWsPYJUIdDrTSfks2xfayXjg9ZBRWYrTrHF/MX8XaZvMbsS0xUKvzayD0P8QxSNMI6c&#10;DqZuRBRsg+YvU42RCAF0PJHQFKC1kSrnQNmUozfZPK2FVzkXKk7wQ5nC/zMr77ePyExd8UlZXpxx&#10;5kRDbXqQUazAse6RitT6MCXsk3/EngtEpox3Gpv0p1zYLhd2PxRW7SKT9EidGo1POZMkKi9Gl+en&#10;qfDFq7LHEL8paFgiKg6d+1xRsb0LsUMfUMldAGvqW2NtZnC1XFhkW0FtXizIW+4sOTiCFSmHLupM&#10;xb1VSdm6H0pTCSjOMnvMw6cGe0JK5eK4jzijk5om34Pi148Ve3xSVXkwB+Xxx8qDRvYMLg7KjXGA&#10;7xmwsexD1h2eCn6UdyKXUO+p+wjdWgQvbw3V/06E+CiQ9oA2hnY7PtBHW2ipMT3F2Rrw93vvCU/j&#10;SVLOWtqriodfG4GKM/vd0eBelpNJWsTMTE7Px8TgsWR5LHGbZgHU05KuiJeZTPhoD6RGaF7oBMyT&#10;VxIJJ8l3xWXEA7OI3b7TEZFqPs8wWj4v4p178vLQ9TRcz7sXgb4fwkjTew+HHRTTN4PYYVM/HMw3&#10;EbTJU/pa177etLh51Psjky7DMZ9Rr6dw9gc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CqV8IF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01BC8968" w14:textId="77777777" w:rsidR="00C245AF" w:rsidRDefault="00AB2C91">
            <w:pPr>
              <w:rPr>
                <w:lang w:eastAsia="en-US"/>
              </w:rPr>
            </w:pPr>
            <w:r w:rsidRPr="00192064">
              <w:rPr>
                <w:b/>
                <w:lang w:eastAsia="en-US"/>
              </w:rPr>
              <w:t>Mandatory</w:t>
            </w:r>
            <w:r>
              <w:rPr>
                <w:lang w:eastAsia="en-US"/>
              </w:rPr>
              <w:t xml:space="preserve">:  </w:t>
            </w:r>
          </w:p>
          <w:p w14:paraId="6412E7E1" w14:textId="4A460E33" w:rsidR="00AB2C91" w:rsidRPr="00C245AF" w:rsidRDefault="00E9294E" w:rsidP="005729D2">
            <w:pPr>
              <w:pStyle w:val="ListParagraph"/>
              <w:numPr>
                <w:ilvl w:val="0"/>
                <w:numId w:val="242"/>
              </w:numPr>
              <w:rPr>
                <w:lang w:eastAsia="en-US"/>
              </w:rPr>
            </w:pPr>
            <w:r>
              <w:rPr>
                <w:lang w:eastAsia="en-US"/>
              </w:rPr>
              <w:t>When designing Azure Virtual Network infrastructures, planning for IP address spaces is a required initial step prior to deploying and configuring virtual networks.</w:t>
            </w:r>
          </w:p>
          <w:p w14:paraId="315BA32C" w14:textId="57B076EF" w:rsidR="00FD610D" w:rsidRPr="00C245AF" w:rsidRDefault="00FD610D" w:rsidP="005729D2">
            <w:pPr>
              <w:pStyle w:val="ListParagraph"/>
              <w:numPr>
                <w:ilvl w:val="0"/>
                <w:numId w:val="242"/>
              </w:numPr>
              <w:rPr>
                <w:lang w:eastAsia="en-US"/>
              </w:rPr>
            </w:pPr>
            <w:r w:rsidRPr="00C245AF">
              <w:rPr>
                <w:lang w:eastAsia="en-US"/>
              </w:rPr>
              <w:t>For CSP “Connect Through” scenarios, the provider will control the IP address space</w:t>
            </w:r>
            <w:r w:rsidR="00C245AF">
              <w:rPr>
                <w:lang w:eastAsia="en-US"/>
              </w:rPr>
              <w:t xml:space="preserve">, but must coordinate with </w:t>
            </w:r>
            <w:r w:rsidR="00E9294E">
              <w:rPr>
                <w:lang w:eastAsia="en-US"/>
              </w:rPr>
              <w:t xml:space="preserve">the </w:t>
            </w:r>
            <w:r w:rsidR="00C245AF">
              <w:rPr>
                <w:lang w:eastAsia="en-US"/>
              </w:rPr>
              <w:t>customer to achieve non-overlapping space</w:t>
            </w:r>
            <w:r w:rsidR="00E9294E">
              <w:rPr>
                <w:lang w:eastAsia="en-US"/>
              </w:rPr>
              <w:t>.</w:t>
            </w:r>
          </w:p>
          <w:p w14:paraId="6ED68210" w14:textId="0E2B8068" w:rsidR="00FD610D" w:rsidRPr="00C245AF" w:rsidRDefault="00FD610D" w:rsidP="005729D2">
            <w:pPr>
              <w:pStyle w:val="ListParagraph"/>
              <w:numPr>
                <w:ilvl w:val="0"/>
                <w:numId w:val="242"/>
              </w:numPr>
              <w:rPr>
                <w:lang w:eastAsia="en-US"/>
              </w:rPr>
            </w:pPr>
            <w:r w:rsidRPr="00C245AF">
              <w:rPr>
                <w:lang w:eastAsia="en-US"/>
              </w:rPr>
              <w:t>For CSP “Connect To” scenarios the customer will control the IP address space</w:t>
            </w:r>
            <w:r w:rsidR="00E9294E">
              <w:rPr>
                <w:lang w:eastAsia="en-US"/>
              </w:rPr>
              <w:t>.</w:t>
            </w:r>
          </w:p>
        </w:tc>
      </w:tr>
    </w:tbl>
    <w:p w14:paraId="6F803435" w14:textId="238F90EC" w:rsidR="00923A8F" w:rsidRDefault="00923A8F" w:rsidP="00923A8F"/>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923A8F" w14:paraId="05C67401" w14:textId="77777777" w:rsidTr="00923A8F">
        <w:tc>
          <w:tcPr>
            <w:tcW w:w="9360" w:type="dxa"/>
            <w:tcBorders>
              <w:top w:val="single" w:sz="4" w:space="0" w:color="008AC8"/>
              <w:left w:val="nil"/>
              <w:bottom w:val="single" w:sz="4" w:space="0" w:color="008AC8"/>
              <w:right w:val="nil"/>
            </w:tcBorders>
            <w:shd w:val="clear" w:color="auto" w:fill="008AC8"/>
            <w:hideMark/>
          </w:tcPr>
          <w:p w14:paraId="6E5674A9" w14:textId="77777777" w:rsidR="00923A8F" w:rsidRDefault="00923A8F">
            <w:pPr>
              <w:spacing w:line="240" w:lineRule="auto"/>
              <w:rPr>
                <w:color w:val="FFFFFF"/>
              </w:rPr>
            </w:pPr>
            <w:r>
              <w:rPr>
                <w:color w:val="FFFFFF"/>
              </w:rPr>
              <w:t>Design Guidance</w:t>
            </w:r>
          </w:p>
        </w:tc>
      </w:tr>
    </w:tbl>
    <w:p w14:paraId="229C6EBC" w14:textId="2B7C544F" w:rsidR="00923A8F" w:rsidRDefault="00923A8F" w:rsidP="00923A8F">
      <w:r>
        <w:t xml:space="preserve">When you design </w:t>
      </w:r>
      <w:r w:rsidR="00E9294E">
        <w:t>v</w:t>
      </w:r>
      <w:r>
        <w:t xml:space="preserve">irtual </w:t>
      </w:r>
      <w:r w:rsidR="00E9294E">
        <w:t>n</w:t>
      </w:r>
      <w:r>
        <w:t xml:space="preserve">etwork IP </w:t>
      </w:r>
      <w:r w:rsidR="00E9294E">
        <w:t>a</w:t>
      </w:r>
      <w:r>
        <w:t>ddress space</w:t>
      </w:r>
      <w:r w:rsidR="00E9294E">
        <w:t>s</w:t>
      </w:r>
      <w:r>
        <w:t>, consider the following:</w:t>
      </w:r>
    </w:p>
    <w:tbl>
      <w:tblPr>
        <w:tblStyle w:val="PlainTable11"/>
        <w:tblW w:w="0" w:type="auto"/>
        <w:tblLook w:val="0420" w:firstRow="1" w:lastRow="0" w:firstColumn="0" w:lastColumn="0" w:noHBand="0" w:noVBand="1"/>
      </w:tblPr>
      <w:tblGrid>
        <w:gridCol w:w="2609"/>
        <w:gridCol w:w="6741"/>
      </w:tblGrid>
      <w:tr w:rsidR="00923A8F" w:rsidRPr="002227B5" w14:paraId="62B016C4" w14:textId="77777777" w:rsidTr="002227B5">
        <w:trPr>
          <w:cnfStyle w:val="100000000000" w:firstRow="1" w:lastRow="0" w:firstColumn="0" w:lastColumn="0" w:oddVBand="0" w:evenVBand="0" w:oddHBand="0" w:evenHBand="0" w:firstRowFirstColumn="0" w:firstRowLastColumn="0" w:lastRowFirstColumn="0" w:lastRowLastColumn="0"/>
        </w:trPr>
        <w:tc>
          <w:tcPr>
            <w:tcW w:w="0" w:type="auto"/>
            <w:shd w:val="clear" w:color="auto" w:fill="808080" w:themeFill="background1" w:themeFillShade="80"/>
            <w:hideMark/>
          </w:tcPr>
          <w:p w14:paraId="6650E7FA" w14:textId="77777777" w:rsidR="00923A8F" w:rsidRPr="002227B5" w:rsidRDefault="00923A8F">
            <w:pPr>
              <w:spacing w:line="240" w:lineRule="auto"/>
              <w:rPr>
                <w:rFonts w:eastAsia="Calibri"/>
                <w:bCs w:val="0"/>
                <w:color w:val="FFFFFF"/>
                <w:sz w:val="20"/>
                <w:szCs w:val="20"/>
                <w:lang w:eastAsia="en-AU"/>
              </w:rPr>
            </w:pPr>
            <w:r w:rsidRPr="002227B5">
              <w:rPr>
                <w:rFonts w:eastAsia="Calibri"/>
                <w:bCs w:val="0"/>
                <w:color w:val="FFFFFF"/>
                <w:sz w:val="20"/>
                <w:szCs w:val="20"/>
                <w:lang w:eastAsia="en-AU"/>
              </w:rPr>
              <w:t>Capability Considerations</w:t>
            </w:r>
          </w:p>
        </w:tc>
        <w:tc>
          <w:tcPr>
            <w:tcW w:w="6741" w:type="dxa"/>
            <w:shd w:val="clear" w:color="auto" w:fill="808080" w:themeFill="background1" w:themeFillShade="80"/>
            <w:hideMark/>
          </w:tcPr>
          <w:p w14:paraId="48E05F2D" w14:textId="77777777" w:rsidR="00923A8F" w:rsidRPr="002227B5" w:rsidRDefault="00923A8F">
            <w:pPr>
              <w:spacing w:line="240" w:lineRule="auto"/>
              <w:rPr>
                <w:rFonts w:eastAsia="Calibri"/>
                <w:bCs w:val="0"/>
                <w:color w:val="FFFFFF"/>
                <w:sz w:val="20"/>
                <w:szCs w:val="20"/>
                <w:lang w:eastAsia="en-AU"/>
              </w:rPr>
            </w:pPr>
            <w:r w:rsidRPr="002227B5">
              <w:rPr>
                <w:rFonts w:eastAsia="Calibri"/>
                <w:bCs w:val="0"/>
                <w:color w:val="FFFFFF"/>
                <w:sz w:val="20"/>
                <w:szCs w:val="20"/>
                <w:lang w:eastAsia="en-AU"/>
              </w:rPr>
              <w:t>Capability Decision Points</w:t>
            </w:r>
          </w:p>
        </w:tc>
      </w:tr>
      <w:tr w:rsidR="00E9294E" w14:paraId="3ED4C793" w14:textId="77777777" w:rsidTr="002227B5">
        <w:trPr>
          <w:cnfStyle w:val="000000100000" w:firstRow="0" w:lastRow="0" w:firstColumn="0" w:lastColumn="0" w:oddVBand="0" w:evenVBand="0" w:oddHBand="1" w:evenHBand="0" w:firstRowFirstColumn="0" w:firstRowLastColumn="0" w:lastRowFirstColumn="0" w:lastRowLastColumn="0"/>
        </w:trPr>
        <w:tc>
          <w:tcPr>
            <w:tcW w:w="0" w:type="auto"/>
          </w:tcPr>
          <w:p w14:paraId="186639BE" w14:textId="3B9C9DA3" w:rsidR="00E9294E" w:rsidRPr="00923A8F" w:rsidRDefault="00E9294E" w:rsidP="00E9294E">
            <w:pPr>
              <w:rPr>
                <w:sz w:val="20"/>
                <w:szCs w:val="20"/>
              </w:rPr>
            </w:pPr>
            <w:r w:rsidRPr="00923A8F">
              <w:rPr>
                <w:sz w:val="20"/>
                <w:szCs w:val="20"/>
              </w:rPr>
              <w:t xml:space="preserve">Virtual </w:t>
            </w:r>
            <w:r>
              <w:rPr>
                <w:sz w:val="20"/>
                <w:szCs w:val="20"/>
              </w:rPr>
              <w:t>n</w:t>
            </w:r>
            <w:r w:rsidRPr="00923A8F">
              <w:rPr>
                <w:sz w:val="20"/>
                <w:szCs w:val="20"/>
              </w:rPr>
              <w:t xml:space="preserve">etwork and </w:t>
            </w:r>
            <w:r>
              <w:rPr>
                <w:sz w:val="20"/>
                <w:szCs w:val="20"/>
              </w:rPr>
              <w:t>s</w:t>
            </w:r>
            <w:r w:rsidRPr="00923A8F">
              <w:rPr>
                <w:sz w:val="20"/>
                <w:szCs w:val="20"/>
              </w:rPr>
              <w:t>ubnet Configuration</w:t>
            </w:r>
          </w:p>
        </w:tc>
        <w:tc>
          <w:tcPr>
            <w:tcW w:w="6741" w:type="dxa"/>
          </w:tcPr>
          <w:p w14:paraId="0FF8A6CA" w14:textId="77777777" w:rsidR="00E9294E" w:rsidRDefault="00E9294E" w:rsidP="00E9294E">
            <w:pPr>
              <w:rPr>
                <w:sz w:val="20"/>
                <w:szCs w:val="20"/>
              </w:rPr>
            </w:pPr>
            <w:r>
              <w:rPr>
                <w:sz w:val="20"/>
                <w:szCs w:val="20"/>
              </w:rPr>
              <w:t>Although</w:t>
            </w:r>
            <w:r w:rsidRPr="00256000">
              <w:rPr>
                <w:sz w:val="20"/>
                <w:szCs w:val="20"/>
              </w:rPr>
              <w:t xml:space="preserve"> there is a limit on the number of virtual networks that can be placed in a subscription, there is no limit on subnets except for how small the address space of the virtual network can be subdivided. </w:t>
            </w:r>
          </w:p>
          <w:p w14:paraId="51234609" w14:textId="77777777" w:rsidR="00E9294E" w:rsidRDefault="00E9294E" w:rsidP="00E9294E">
            <w:pPr>
              <w:rPr>
                <w:sz w:val="20"/>
                <w:szCs w:val="20"/>
              </w:rPr>
            </w:pPr>
            <w:r w:rsidRPr="00256000">
              <w:rPr>
                <w:sz w:val="20"/>
                <w:szCs w:val="20"/>
              </w:rPr>
              <w:t>Each subnet has the first three addresses reserved for Azure usage, so the first available address is the fourth address. This means that the smallest subnet can have a CIDR of /29</w:t>
            </w:r>
            <w:r>
              <w:rPr>
                <w:sz w:val="20"/>
                <w:szCs w:val="20"/>
              </w:rPr>
              <w:t>,</w:t>
            </w:r>
            <w:r w:rsidRPr="00256000">
              <w:rPr>
                <w:sz w:val="20"/>
                <w:szCs w:val="20"/>
              </w:rPr>
              <w:t xml:space="preserve"> so there are</w:t>
            </w:r>
            <w:r>
              <w:rPr>
                <w:sz w:val="20"/>
                <w:szCs w:val="20"/>
              </w:rPr>
              <w:t> six</w:t>
            </w:r>
            <w:r w:rsidRPr="00256000">
              <w:rPr>
                <w:sz w:val="20"/>
                <w:szCs w:val="20"/>
              </w:rPr>
              <w:t xml:space="preserve"> assignable addresses.</w:t>
            </w:r>
          </w:p>
          <w:p w14:paraId="24C1EE04" w14:textId="5142B005" w:rsidR="00E9294E" w:rsidRPr="00923A8F" w:rsidRDefault="00E9294E" w:rsidP="00E9294E">
            <w:pPr>
              <w:rPr>
                <w:sz w:val="20"/>
                <w:szCs w:val="20"/>
              </w:rPr>
            </w:pPr>
            <w:r w:rsidRPr="00923A8F">
              <w:rPr>
                <w:sz w:val="20"/>
                <w:szCs w:val="20"/>
              </w:rPr>
              <w:t xml:space="preserve">It is possible to have multiple </w:t>
            </w:r>
            <w:r>
              <w:rPr>
                <w:sz w:val="20"/>
                <w:szCs w:val="20"/>
              </w:rPr>
              <w:t>IP</w:t>
            </w:r>
            <w:r w:rsidRPr="00923A8F">
              <w:rPr>
                <w:sz w:val="20"/>
                <w:szCs w:val="20"/>
              </w:rPr>
              <w:t xml:space="preserve"> address space definitions in a virtual network definition.</w:t>
            </w:r>
          </w:p>
        </w:tc>
      </w:tr>
      <w:tr w:rsidR="00E9294E" w14:paraId="3314960B" w14:textId="77777777" w:rsidTr="002227B5">
        <w:tc>
          <w:tcPr>
            <w:tcW w:w="0" w:type="auto"/>
          </w:tcPr>
          <w:p w14:paraId="34F92DD3" w14:textId="4CB7081A" w:rsidR="00E9294E" w:rsidRPr="00923A8F" w:rsidRDefault="00E9294E" w:rsidP="00E9294E">
            <w:pPr>
              <w:rPr>
                <w:sz w:val="20"/>
                <w:szCs w:val="20"/>
              </w:rPr>
            </w:pPr>
            <w:r w:rsidRPr="00923A8F">
              <w:rPr>
                <w:sz w:val="20"/>
                <w:szCs w:val="20"/>
              </w:rPr>
              <w:t xml:space="preserve">Virtual </w:t>
            </w:r>
            <w:r>
              <w:rPr>
                <w:sz w:val="20"/>
                <w:szCs w:val="20"/>
              </w:rPr>
              <w:t>m</w:t>
            </w:r>
            <w:r w:rsidRPr="00923A8F">
              <w:rPr>
                <w:sz w:val="20"/>
                <w:szCs w:val="20"/>
              </w:rPr>
              <w:t xml:space="preserve">achines and </w:t>
            </w:r>
            <w:r>
              <w:rPr>
                <w:sz w:val="20"/>
                <w:szCs w:val="20"/>
              </w:rPr>
              <w:t>a</w:t>
            </w:r>
            <w:r w:rsidRPr="00923A8F">
              <w:rPr>
                <w:sz w:val="20"/>
                <w:szCs w:val="20"/>
              </w:rPr>
              <w:t xml:space="preserve">ddress </w:t>
            </w:r>
            <w:r>
              <w:rPr>
                <w:sz w:val="20"/>
                <w:szCs w:val="20"/>
              </w:rPr>
              <w:t>s</w:t>
            </w:r>
            <w:r w:rsidRPr="00923A8F">
              <w:rPr>
                <w:sz w:val="20"/>
                <w:szCs w:val="20"/>
              </w:rPr>
              <w:t xml:space="preserve">pace </w:t>
            </w:r>
            <w:r>
              <w:rPr>
                <w:sz w:val="20"/>
                <w:szCs w:val="20"/>
              </w:rPr>
              <w:t>p</w:t>
            </w:r>
            <w:r w:rsidRPr="00923A8F">
              <w:rPr>
                <w:sz w:val="20"/>
                <w:szCs w:val="20"/>
              </w:rPr>
              <w:t>lanning</w:t>
            </w:r>
          </w:p>
        </w:tc>
        <w:tc>
          <w:tcPr>
            <w:tcW w:w="6741" w:type="dxa"/>
          </w:tcPr>
          <w:p w14:paraId="565FC4FA" w14:textId="3F1384FD" w:rsidR="00E9294E" w:rsidRPr="00923A8F" w:rsidRDefault="00E9294E" w:rsidP="00E9294E">
            <w:pPr>
              <w:rPr>
                <w:sz w:val="20"/>
                <w:szCs w:val="20"/>
              </w:rPr>
            </w:pPr>
            <w:r w:rsidRPr="00923A8F">
              <w:rPr>
                <w:sz w:val="20"/>
                <w:szCs w:val="20"/>
              </w:rPr>
              <w:t>Currently</w:t>
            </w:r>
            <w:r>
              <w:rPr>
                <w:sz w:val="20"/>
                <w:szCs w:val="20"/>
              </w:rPr>
              <w:t>,</w:t>
            </w:r>
            <w:r w:rsidRPr="00923A8F">
              <w:rPr>
                <w:sz w:val="20"/>
                <w:szCs w:val="20"/>
              </w:rPr>
              <w:t xml:space="preserve"> a virtual network can have a total of</w:t>
            </w:r>
            <w:r>
              <w:rPr>
                <w:sz w:val="20"/>
                <w:szCs w:val="20"/>
              </w:rPr>
              <w:t> 2</w:t>
            </w:r>
            <w:r w:rsidRPr="00923A8F">
              <w:rPr>
                <w:sz w:val="20"/>
                <w:szCs w:val="20"/>
              </w:rPr>
              <w:t xml:space="preserve">048 virtual machines attached to subnets. By default, every virtual machine has a single </w:t>
            </w:r>
            <w:r>
              <w:rPr>
                <w:sz w:val="20"/>
                <w:szCs w:val="20"/>
              </w:rPr>
              <w:t>network adapter,</w:t>
            </w:r>
            <w:r w:rsidRPr="00923A8F">
              <w:rPr>
                <w:sz w:val="20"/>
                <w:szCs w:val="20"/>
              </w:rPr>
              <w:t xml:space="preserve"> and therefore</w:t>
            </w:r>
            <w:r>
              <w:rPr>
                <w:sz w:val="20"/>
                <w:szCs w:val="20"/>
              </w:rPr>
              <w:t>,</w:t>
            </w:r>
            <w:r w:rsidRPr="00923A8F">
              <w:rPr>
                <w:sz w:val="20"/>
                <w:szCs w:val="20"/>
              </w:rPr>
              <w:t xml:space="preserve"> the virtual network space needs a minimum of</w:t>
            </w:r>
            <w:r>
              <w:rPr>
                <w:sz w:val="20"/>
                <w:szCs w:val="20"/>
              </w:rPr>
              <w:t> 2</w:t>
            </w:r>
            <w:r w:rsidRPr="00923A8F">
              <w:rPr>
                <w:sz w:val="20"/>
                <w:szCs w:val="20"/>
              </w:rPr>
              <w:t xml:space="preserve">048 </w:t>
            </w:r>
            <w:r>
              <w:rPr>
                <w:sz w:val="20"/>
                <w:szCs w:val="20"/>
              </w:rPr>
              <w:t>IP</w:t>
            </w:r>
            <w:r w:rsidRPr="00923A8F">
              <w:rPr>
                <w:sz w:val="20"/>
                <w:szCs w:val="20"/>
              </w:rPr>
              <w:t xml:space="preserve"> addresses (plus the</w:t>
            </w:r>
            <w:r>
              <w:rPr>
                <w:sz w:val="20"/>
                <w:szCs w:val="20"/>
              </w:rPr>
              <w:t> three</w:t>
            </w:r>
            <w:r w:rsidRPr="00923A8F">
              <w:rPr>
                <w:sz w:val="20"/>
                <w:szCs w:val="20"/>
              </w:rPr>
              <w:t xml:space="preserve"> for Azure) if you are going to maximize the density of the virtual network. </w:t>
            </w:r>
          </w:p>
        </w:tc>
      </w:tr>
      <w:tr w:rsidR="00E9294E" w14:paraId="674466D1" w14:textId="77777777" w:rsidTr="002227B5">
        <w:trPr>
          <w:cnfStyle w:val="000000100000" w:firstRow="0" w:lastRow="0" w:firstColumn="0" w:lastColumn="0" w:oddVBand="0" w:evenVBand="0" w:oddHBand="1" w:evenHBand="0" w:firstRowFirstColumn="0" w:firstRowLastColumn="0" w:lastRowFirstColumn="0" w:lastRowLastColumn="0"/>
        </w:trPr>
        <w:tc>
          <w:tcPr>
            <w:tcW w:w="0" w:type="auto"/>
          </w:tcPr>
          <w:p w14:paraId="03F92E1E" w14:textId="6EE8E2B7" w:rsidR="00E9294E" w:rsidRPr="00923A8F" w:rsidRDefault="00E9294E" w:rsidP="00E9294E">
            <w:pPr>
              <w:pStyle w:val="NormalWeb"/>
              <w:spacing w:line="254" w:lineRule="auto"/>
              <w:rPr>
                <w:rFonts w:ascii="Segoe UI" w:hAnsi="Segoe UI" w:cs="Segoe UI"/>
                <w:sz w:val="20"/>
                <w:szCs w:val="20"/>
                <w:lang w:val="en-AU" w:eastAsia="en-AU"/>
              </w:rPr>
            </w:pPr>
            <w:r w:rsidRPr="00923A8F">
              <w:rPr>
                <w:rFonts w:ascii="Segoe UI" w:hAnsi="Segoe UI" w:cs="Segoe UI"/>
                <w:sz w:val="20"/>
                <w:szCs w:val="20"/>
                <w:lang w:val="en-AU" w:eastAsia="en-AU"/>
              </w:rPr>
              <w:t>Address space considerations</w:t>
            </w:r>
          </w:p>
        </w:tc>
        <w:tc>
          <w:tcPr>
            <w:tcW w:w="6741" w:type="dxa"/>
          </w:tcPr>
          <w:p w14:paraId="17D458E1" w14:textId="77777777" w:rsidR="00E9294E" w:rsidRPr="00256000" w:rsidRDefault="00E9294E" w:rsidP="00E9294E">
            <w:pPr>
              <w:rPr>
                <w:sz w:val="20"/>
                <w:szCs w:val="20"/>
              </w:rPr>
            </w:pPr>
            <w:r w:rsidRPr="00256000">
              <w:rPr>
                <w:sz w:val="20"/>
                <w:szCs w:val="20"/>
              </w:rPr>
              <w:t xml:space="preserve">When designing an address space for a virtual network, </w:t>
            </w:r>
            <w:r>
              <w:rPr>
                <w:sz w:val="20"/>
                <w:szCs w:val="20"/>
              </w:rPr>
              <w:t>consider</w:t>
            </w:r>
            <w:r w:rsidRPr="00256000">
              <w:rPr>
                <w:sz w:val="20"/>
                <w:szCs w:val="20"/>
              </w:rPr>
              <w:t xml:space="preserve"> the following:</w:t>
            </w:r>
          </w:p>
          <w:p w14:paraId="486271E6" w14:textId="77777777" w:rsidR="00E9294E" w:rsidRPr="00326055" w:rsidRDefault="00E9294E" w:rsidP="005729D2">
            <w:pPr>
              <w:pStyle w:val="ListBullet"/>
              <w:numPr>
                <w:ilvl w:val="0"/>
                <w:numId w:val="66"/>
              </w:numPr>
              <w:rPr>
                <w:sz w:val="20"/>
                <w:szCs w:val="20"/>
              </w:rPr>
            </w:pPr>
            <w:r w:rsidRPr="00326055">
              <w:rPr>
                <w:sz w:val="20"/>
                <w:szCs w:val="20"/>
              </w:rPr>
              <w:t>Limit</w:t>
            </w:r>
            <w:r>
              <w:rPr>
                <w:sz w:val="20"/>
                <w:szCs w:val="20"/>
              </w:rPr>
              <w:t>s</w:t>
            </w:r>
            <w:r w:rsidRPr="00326055">
              <w:rPr>
                <w:sz w:val="20"/>
                <w:szCs w:val="20"/>
              </w:rPr>
              <w:t xml:space="preserve"> to the number of objects that can consume IP addresses in a virtual machine subnet</w:t>
            </w:r>
          </w:p>
          <w:p w14:paraId="096AF4F7" w14:textId="03B86D4F" w:rsidR="00E9294E" w:rsidRPr="00923A8F" w:rsidRDefault="00E9294E" w:rsidP="005729D2">
            <w:pPr>
              <w:pStyle w:val="ListBullet"/>
              <w:numPr>
                <w:ilvl w:val="0"/>
                <w:numId w:val="66"/>
              </w:numPr>
            </w:pPr>
            <w:r w:rsidRPr="00326055">
              <w:rPr>
                <w:sz w:val="20"/>
                <w:szCs w:val="20"/>
              </w:rPr>
              <w:t xml:space="preserve">Requirements of the gateway subnet based on </w:t>
            </w:r>
            <w:r>
              <w:rPr>
                <w:sz w:val="20"/>
                <w:szCs w:val="20"/>
              </w:rPr>
              <w:t xml:space="preserve">the </w:t>
            </w:r>
            <w:r w:rsidRPr="00326055">
              <w:rPr>
                <w:sz w:val="20"/>
                <w:szCs w:val="20"/>
              </w:rPr>
              <w:t>type of gateway connection</w:t>
            </w:r>
          </w:p>
        </w:tc>
      </w:tr>
      <w:tr w:rsidR="00E9294E" w14:paraId="69A7FB10" w14:textId="77777777" w:rsidTr="002227B5">
        <w:tc>
          <w:tcPr>
            <w:tcW w:w="0" w:type="auto"/>
          </w:tcPr>
          <w:p w14:paraId="46295DE1" w14:textId="7E5E8B6A" w:rsidR="00E9294E" w:rsidRPr="00923A8F" w:rsidRDefault="00E9294E" w:rsidP="00E9294E">
            <w:pPr>
              <w:pStyle w:val="NormalWeb"/>
              <w:spacing w:line="254" w:lineRule="auto"/>
              <w:rPr>
                <w:rFonts w:ascii="Segoe UI" w:hAnsi="Segoe UI" w:cs="Segoe UI"/>
                <w:sz w:val="20"/>
                <w:szCs w:val="20"/>
                <w:lang w:val="en-AU" w:eastAsia="en-AU"/>
              </w:rPr>
            </w:pPr>
            <w:r w:rsidRPr="00923A8F">
              <w:rPr>
                <w:rFonts w:ascii="Segoe UI" w:hAnsi="Segoe UI" w:cs="Segoe UI"/>
                <w:sz w:val="20"/>
                <w:szCs w:val="20"/>
                <w:lang w:val="en-AU" w:eastAsia="en-AU"/>
              </w:rPr>
              <w:t xml:space="preserve">Planning for </w:t>
            </w:r>
            <w:r>
              <w:rPr>
                <w:rFonts w:ascii="Segoe UI" w:hAnsi="Segoe UI" w:cs="Segoe UI"/>
                <w:sz w:val="20"/>
                <w:szCs w:val="20"/>
                <w:lang w:val="en-AU" w:eastAsia="en-AU"/>
              </w:rPr>
              <w:t>i</w:t>
            </w:r>
            <w:r w:rsidRPr="00923A8F">
              <w:rPr>
                <w:rFonts w:ascii="Segoe UI" w:hAnsi="Segoe UI" w:cs="Segoe UI"/>
                <w:sz w:val="20"/>
                <w:szCs w:val="20"/>
                <w:lang w:val="en-AU" w:eastAsia="en-AU"/>
              </w:rPr>
              <w:t xml:space="preserve">nternal </w:t>
            </w:r>
            <w:r>
              <w:rPr>
                <w:rFonts w:ascii="Segoe UI" w:hAnsi="Segoe UI" w:cs="Segoe UI"/>
                <w:sz w:val="20"/>
                <w:szCs w:val="20"/>
                <w:lang w:val="en-AU" w:eastAsia="en-AU"/>
              </w:rPr>
              <w:t>l</w:t>
            </w:r>
            <w:r w:rsidRPr="00923A8F">
              <w:rPr>
                <w:rFonts w:ascii="Segoe UI" w:hAnsi="Segoe UI" w:cs="Segoe UI"/>
                <w:sz w:val="20"/>
                <w:szCs w:val="20"/>
                <w:lang w:val="en-AU" w:eastAsia="en-AU"/>
              </w:rPr>
              <w:t xml:space="preserve">oad </w:t>
            </w:r>
            <w:r>
              <w:rPr>
                <w:rFonts w:ascii="Segoe UI" w:hAnsi="Segoe UI" w:cs="Segoe UI"/>
                <w:sz w:val="20"/>
                <w:szCs w:val="20"/>
                <w:lang w:val="en-AU" w:eastAsia="en-AU"/>
              </w:rPr>
              <w:t>b</w:t>
            </w:r>
            <w:r w:rsidRPr="00923A8F">
              <w:rPr>
                <w:rFonts w:ascii="Segoe UI" w:hAnsi="Segoe UI" w:cs="Segoe UI"/>
                <w:sz w:val="20"/>
                <w:szCs w:val="20"/>
                <w:lang w:val="en-AU" w:eastAsia="en-AU"/>
              </w:rPr>
              <w:t>alancing</w:t>
            </w:r>
          </w:p>
        </w:tc>
        <w:tc>
          <w:tcPr>
            <w:tcW w:w="6741" w:type="dxa"/>
          </w:tcPr>
          <w:p w14:paraId="75FB6CA8" w14:textId="77777777" w:rsidR="00E9294E" w:rsidRPr="00923A8F" w:rsidRDefault="00E9294E" w:rsidP="00E9294E">
            <w:pPr>
              <w:rPr>
                <w:sz w:val="20"/>
                <w:szCs w:val="20"/>
              </w:rPr>
            </w:pPr>
            <w:r>
              <w:rPr>
                <w:sz w:val="20"/>
                <w:szCs w:val="20"/>
              </w:rPr>
              <w:t>E</w:t>
            </w:r>
            <w:r w:rsidRPr="00923A8F">
              <w:rPr>
                <w:sz w:val="20"/>
                <w:szCs w:val="20"/>
              </w:rPr>
              <w:t xml:space="preserve">ach virtual machine can have multiple </w:t>
            </w:r>
            <w:r>
              <w:rPr>
                <w:sz w:val="20"/>
                <w:szCs w:val="20"/>
              </w:rPr>
              <w:t>network adapters,</w:t>
            </w:r>
            <w:r w:rsidRPr="00923A8F">
              <w:rPr>
                <w:sz w:val="20"/>
                <w:szCs w:val="20"/>
              </w:rPr>
              <w:t xml:space="preserve"> and if internal load balancers are used, you also need a single </w:t>
            </w:r>
            <w:r>
              <w:rPr>
                <w:sz w:val="20"/>
                <w:szCs w:val="20"/>
              </w:rPr>
              <w:t>IP</w:t>
            </w:r>
            <w:r w:rsidRPr="00923A8F">
              <w:rPr>
                <w:sz w:val="20"/>
                <w:szCs w:val="20"/>
              </w:rPr>
              <w:t xml:space="preserve"> address for every internal load balancer. So a formula would be</w:t>
            </w:r>
            <w:r>
              <w:rPr>
                <w:sz w:val="20"/>
                <w:szCs w:val="20"/>
              </w:rPr>
              <w:t>:</w:t>
            </w:r>
            <w:r w:rsidRPr="00923A8F">
              <w:rPr>
                <w:sz w:val="20"/>
                <w:szCs w:val="20"/>
              </w:rPr>
              <w:t xml:space="preserve"> </w:t>
            </w:r>
          </w:p>
          <w:p w14:paraId="498466C3" w14:textId="77777777" w:rsidR="00E9294E" w:rsidRPr="00923A8F" w:rsidRDefault="00E9294E" w:rsidP="00E9294E">
            <w:pPr>
              <w:rPr>
                <w:i/>
                <w:sz w:val="20"/>
                <w:szCs w:val="20"/>
              </w:rPr>
            </w:pPr>
            <w:r w:rsidRPr="00923A8F">
              <w:rPr>
                <w:i/>
                <w:sz w:val="20"/>
                <w:szCs w:val="20"/>
              </w:rPr>
              <w:t xml:space="preserve">Virtual </w:t>
            </w:r>
            <w:r>
              <w:rPr>
                <w:i/>
                <w:sz w:val="20"/>
                <w:szCs w:val="20"/>
              </w:rPr>
              <w:t>n</w:t>
            </w:r>
            <w:r w:rsidRPr="00923A8F">
              <w:rPr>
                <w:i/>
                <w:sz w:val="20"/>
                <w:szCs w:val="20"/>
              </w:rPr>
              <w:t xml:space="preserve">etwork address space = # of Virtual machines + # of additional </w:t>
            </w:r>
            <w:r>
              <w:rPr>
                <w:i/>
                <w:sz w:val="20"/>
                <w:szCs w:val="20"/>
              </w:rPr>
              <w:t>network adapters</w:t>
            </w:r>
            <w:r w:rsidRPr="00923A8F">
              <w:rPr>
                <w:i/>
                <w:sz w:val="20"/>
                <w:szCs w:val="20"/>
              </w:rPr>
              <w:t xml:space="preserve"> + # of </w:t>
            </w:r>
            <w:r w:rsidRPr="00326055">
              <w:rPr>
                <w:i/>
                <w:sz w:val="20"/>
                <w:szCs w:val="20"/>
              </w:rPr>
              <w:t>internal load balancers</w:t>
            </w:r>
            <w:r w:rsidRPr="00923A8F">
              <w:rPr>
                <w:i/>
                <w:sz w:val="20"/>
                <w:szCs w:val="20"/>
              </w:rPr>
              <w:t xml:space="preserve"> +</w:t>
            </w:r>
            <w:r>
              <w:rPr>
                <w:i/>
                <w:sz w:val="20"/>
                <w:szCs w:val="20"/>
              </w:rPr>
              <w:t> 3</w:t>
            </w:r>
          </w:p>
          <w:p w14:paraId="3C03678A" w14:textId="776718E2" w:rsidR="00E9294E" w:rsidRPr="00923A8F" w:rsidRDefault="00E9294E" w:rsidP="00E9294E">
            <w:pPr>
              <w:rPr>
                <w:sz w:val="20"/>
                <w:szCs w:val="20"/>
              </w:rPr>
            </w:pPr>
            <w:r w:rsidRPr="00923A8F">
              <w:rPr>
                <w:sz w:val="20"/>
                <w:szCs w:val="20"/>
              </w:rPr>
              <w:t xml:space="preserve">Note that you need to round up this number to an </w:t>
            </w:r>
            <w:r>
              <w:rPr>
                <w:sz w:val="20"/>
                <w:szCs w:val="20"/>
              </w:rPr>
              <w:t>IP</w:t>
            </w:r>
            <w:r w:rsidRPr="00923A8F">
              <w:rPr>
                <w:sz w:val="20"/>
                <w:szCs w:val="20"/>
              </w:rPr>
              <w:t xml:space="preserve"> address CIDR border. For example, if the formula results in a minimum requirement of</w:t>
            </w:r>
            <w:r>
              <w:rPr>
                <w:sz w:val="20"/>
                <w:szCs w:val="20"/>
              </w:rPr>
              <w:t> 8</w:t>
            </w:r>
            <w:r w:rsidRPr="00923A8F">
              <w:rPr>
                <w:sz w:val="20"/>
                <w:szCs w:val="20"/>
              </w:rPr>
              <w:t>003 addresses, you must round up to the next CIDR border of /19</w:t>
            </w:r>
            <w:r>
              <w:rPr>
                <w:sz w:val="20"/>
                <w:szCs w:val="20"/>
              </w:rPr>
              <w:t>,</w:t>
            </w:r>
            <w:r w:rsidRPr="00923A8F">
              <w:rPr>
                <w:sz w:val="20"/>
                <w:szCs w:val="20"/>
              </w:rPr>
              <w:t xml:space="preserve"> which is</w:t>
            </w:r>
            <w:r>
              <w:rPr>
                <w:sz w:val="20"/>
                <w:szCs w:val="20"/>
              </w:rPr>
              <w:t> 8</w:t>
            </w:r>
            <w:r w:rsidRPr="00923A8F">
              <w:rPr>
                <w:sz w:val="20"/>
                <w:szCs w:val="20"/>
              </w:rPr>
              <w:t>190 addresses for the virtual network address space.</w:t>
            </w:r>
          </w:p>
        </w:tc>
      </w:tr>
      <w:tr w:rsidR="00923A8F" w14:paraId="6FB4586F" w14:textId="77777777" w:rsidTr="002227B5">
        <w:trPr>
          <w:cnfStyle w:val="000000100000" w:firstRow="0" w:lastRow="0" w:firstColumn="0" w:lastColumn="0" w:oddVBand="0" w:evenVBand="0" w:oddHBand="1" w:evenHBand="0" w:firstRowFirstColumn="0" w:firstRowLastColumn="0" w:lastRowFirstColumn="0" w:lastRowLastColumn="0"/>
        </w:trPr>
        <w:tc>
          <w:tcPr>
            <w:tcW w:w="0" w:type="auto"/>
          </w:tcPr>
          <w:p w14:paraId="6C577E29" w14:textId="40EA68E1" w:rsidR="00923A8F" w:rsidRPr="00923A8F" w:rsidRDefault="00923A8F">
            <w:pPr>
              <w:pStyle w:val="NormalWeb"/>
              <w:spacing w:line="254" w:lineRule="auto"/>
              <w:rPr>
                <w:rFonts w:ascii="Segoe UI" w:hAnsi="Segoe UI" w:cs="Segoe UI"/>
                <w:sz w:val="20"/>
                <w:szCs w:val="20"/>
                <w:lang w:val="en-AU" w:eastAsia="en-AU"/>
              </w:rPr>
            </w:pPr>
            <w:r>
              <w:rPr>
                <w:rFonts w:ascii="Segoe UI" w:hAnsi="Segoe UI" w:cs="Segoe UI"/>
                <w:sz w:val="20"/>
                <w:szCs w:val="20"/>
                <w:lang w:val="en-AU" w:eastAsia="en-AU"/>
              </w:rPr>
              <w:t>Duplicate or overlapping IP ranges</w:t>
            </w:r>
          </w:p>
        </w:tc>
        <w:tc>
          <w:tcPr>
            <w:tcW w:w="6741" w:type="dxa"/>
          </w:tcPr>
          <w:p w14:paraId="4BEFC43F" w14:textId="458DB72B" w:rsidR="00923A8F" w:rsidRDefault="00E9294E" w:rsidP="00923A8F">
            <w:pPr>
              <w:rPr>
                <w:sz w:val="20"/>
                <w:szCs w:val="20"/>
              </w:rPr>
            </w:pPr>
            <w:r w:rsidRPr="00923A8F">
              <w:rPr>
                <w:sz w:val="20"/>
                <w:szCs w:val="20"/>
              </w:rPr>
              <w:t xml:space="preserve">One limitation of address space design is that no duplicate </w:t>
            </w:r>
            <w:r>
              <w:rPr>
                <w:sz w:val="20"/>
                <w:szCs w:val="20"/>
              </w:rPr>
              <w:t>IP</w:t>
            </w:r>
            <w:r w:rsidRPr="00923A8F">
              <w:rPr>
                <w:sz w:val="20"/>
                <w:szCs w:val="20"/>
              </w:rPr>
              <w:t xml:space="preserve"> address ranges can exist in any routed network. This means that you cannot use the same address space for an Azure virtual network or subnet that already exists somewhere else (</w:t>
            </w:r>
            <w:r>
              <w:rPr>
                <w:sz w:val="20"/>
                <w:szCs w:val="20"/>
              </w:rPr>
              <w:t>such as</w:t>
            </w:r>
            <w:r w:rsidRPr="00923A8F">
              <w:rPr>
                <w:sz w:val="20"/>
                <w:szCs w:val="20"/>
              </w:rPr>
              <w:t xml:space="preserve"> on premises) where the Azure subnets need to route</w:t>
            </w:r>
            <w:r w:rsidR="00923A8F" w:rsidRPr="00923A8F">
              <w:rPr>
                <w:sz w:val="20"/>
                <w:szCs w:val="20"/>
              </w:rPr>
              <w:t>.</w:t>
            </w:r>
          </w:p>
          <w:p w14:paraId="738FD391" w14:textId="355D25C7" w:rsidR="00C245AF" w:rsidRPr="00923A8F" w:rsidRDefault="00C245AF" w:rsidP="00E9294E">
            <w:pPr>
              <w:rPr>
                <w:sz w:val="20"/>
                <w:szCs w:val="20"/>
              </w:rPr>
            </w:pPr>
            <w:r>
              <w:rPr>
                <w:sz w:val="20"/>
                <w:szCs w:val="20"/>
              </w:rPr>
              <w:t>CSP’s need t</w:t>
            </w:r>
            <w:r w:rsidR="002F57ED">
              <w:rPr>
                <w:sz w:val="20"/>
                <w:szCs w:val="20"/>
              </w:rPr>
              <w:t>o ensure</w:t>
            </w:r>
            <w:r>
              <w:rPr>
                <w:sz w:val="20"/>
                <w:szCs w:val="20"/>
              </w:rPr>
              <w:t xml:space="preserve"> </w:t>
            </w:r>
            <w:r w:rsidR="00E9294E">
              <w:rPr>
                <w:sz w:val="20"/>
                <w:szCs w:val="20"/>
              </w:rPr>
              <w:t xml:space="preserve">that </w:t>
            </w:r>
            <w:r w:rsidR="002F57ED">
              <w:rPr>
                <w:sz w:val="20"/>
                <w:szCs w:val="20"/>
              </w:rPr>
              <w:t>customers do not implement</w:t>
            </w:r>
            <w:r>
              <w:rPr>
                <w:sz w:val="20"/>
                <w:szCs w:val="20"/>
              </w:rPr>
              <w:t xml:space="preserve"> </w:t>
            </w:r>
            <w:r w:rsidR="00E9294E">
              <w:rPr>
                <w:sz w:val="20"/>
                <w:szCs w:val="20"/>
              </w:rPr>
              <w:t>o</w:t>
            </w:r>
            <w:r>
              <w:rPr>
                <w:sz w:val="20"/>
                <w:szCs w:val="20"/>
              </w:rPr>
              <w:t>verlapping address spaces</w:t>
            </w:r>
            <w:r w:rsidR="002F57ED">
              <w:rPr>
                <w:sz w:val="20"/>
                <w:szCs w:val="20"/>
              </w:rPr>
              <w:t xml:space="preserve"> in Azure</w:t>
            </w:r>
            <w:r>
              <w:rPr>
                <w:sz w:val="20"/>
                <w:szCs w:val="20"/>
              </w:rPr>
              <w:t>.</w:t>
            </w:r>
          </w:p>
        </w:tc>
      </w:tr>
    </w:tbl>
    <w:p w14:paraId="354B285C" w14:textId="77777777" w:rsidR="00CB4498" w:rsidRPr="00D53C85" w:rsidRDefault="00CB4498" w:rsidP="005729D2">
      <w:pPr>
        <w:pStyle w:val="Heading3Numbered"/>
        <w:numPr>
          <w:ilvl w:val="2"/>
          <w:numId w:val="64"/>
        </w:numPr>
      </w:pPr>
      <w:bookmarkStart w:id="4162" w:name="_Toc417419586"/>
      <w:bookmarkStart w:id="4163" w:name="_Toc417457358"/>
      <w:bookmarkStart w:id="4164" w:name="_Toc417481936"/>
      <w:bookmarkStart w:id="4165" w:name="_Toc417482194"/>
      <w:bookmarkStart w:id="4166" w:name="_Toc417499913"/>
      <w:bookmarkStart w:id="4167" w:name="_Toc417502735"/>
      <w:bookmarkStart w:id="4168" w:name="_Toc417548312"/>
      <w:bookmarkStart w:id="4169" w:name="_Toc417594554"/>
      <w:bookmarkStart w:id="4170" w:name="_Toc417934660"/>
      <w:bookmarkStart w:id="4171" w:name="_Toc417935999"/>
      <w:bookmarkStart w:id="4172" w:name="_Toc417936461"/>
      <w:bookmarkStart w:id="4173" w:name="_Toc417946916"/>
      <w:bookmarkStart w:id="4174" w:name="_Toc417947333"/>
      <w:bookmarkStart w:id="4175" w:name="_Toc417982526"/>
      <w:bookmarkStart w:id="4176" w:name="_Toc417985948"/>
      <w:bookmarkStart w:id="4177" w:name="_Toc418000672"/>
      <w:bookmarkStart w:id="4178" w:name="_Toc418003812"/>
      <w:bookmarkStart w:id="4179" w:name="_Toc418012017"/>
      <w:bookmarkStart w:id="4180" w:name="_Toc418014462"/>
      <w:bookmarkStart w:id="4181" w:name="_Toc418030035"/>
      <w:bookmarkStart w:id="4182" w:name="_Toc418036950"/>
      <w:bookmarkStart w:id="4183" w:name="_Toc418061426"/>
      <w:bookmarkStart w:id="4184" w:name="_Toc418081325"/>
      <w:bookmarkStart w:id="4185" w:name="_Toc418083357"/>
      <w:bookmarkStart w:id="4186" w:name="_Toc418096121"/>
      <w:bookmarkStart w:id="4187" w:name="_Toc418156723"/>
      <w:bookmarkStart w:id="4188" w:name="_Toc418167642"/>
      <w:bookmarkStart w:id="4189" w:name="_Toc418185898"/>
      <w:bookmarkStart w:id="4190" w:name="_Toc422941608"/>
      <w:bookmarkStart w:id="4191" w:name="_Toc423116814"/>
      <w:bookmarkStart w:id="4192" w:name="_Toc423117847"/>
      <w:bookmarkStart w:id="4193" w:name="_Toc423117297"/>
      <w:bookmarkStart w:id="4194" w:name="_Toc431288891"/>
      <w:bookmarkStart w:id="4195" w:name="_Toc414892117"/>
      <w:bookmarkStart w:id="4196" w:name="_Toc414960140"/>
      <w:bookmarkStart w:id="4197" w:name="_Toc414969111"/>
      <w:bookmarkStart w:id="4198" w:name="_Toc415011333"/>
      <w:bookmarkStart w:id="4199" w:name="_Toc415040023"/>
      <w:bookmarkStart w:id="4200" w:name="_Toc415572380"/>
      <w:bookmarkStart w:id="4201" w:name="_Toc415735550"/>
      <w:bookmarkStart w:id="4202" w:name="_Toc415814131"/>
      <w:bookmarkStart w:id="4203" w:name="_Toc416343866"/>
      <w:bookmarkStart w:id="4204" w:name="_Toc416863138"/>
      <w:bookmarkStart w:id="4205" w:name="_Toc417314750"/>
      <w:bookmarkStart w:id="4206" w:name="_Toc417323767"/>
      <w:bookmarkStart w:id="4207" w:name="_Toc417326856"/>
      <w:bookmarkStart w:id="4208" w:name="_Toc417330404"/>
      <w:bookmarkStart w:id="4209" w:name="_Toc417395010"/>
      <w:bookmarkStart w:id="4210" w:name="_Toc417399227"/>
      <w:bookmarkStart w:id="4211" w:name="_Toc417399386"/>
      <w:bookmarkStart w:id="4212" w:name="_Toc417400433"/>
      <w:bookmarkStart w:id="4213" w:name="_Toc417401281"/>
      <w:bookmarkStart w:id="4214" w:name="_Toc417419595"/>
      <w:bookmarkStart w:id="4215" w:name="_Toc417457367"/>
      <w:bookmarkStart w:id="4216" w:name="_Toc417481945"/>
      <w:bookmarkStart w:id="4217" w:name="_Toc417482203"/>
      <w:bookmarkStart w:id="4218" w:name="_Toc417499922"/>
      <w:bookmarkStart w:id="4219" w:name="_Toc417502744"/>
      <w:bookmarkStart w:id="4220" w:name="_Toc417548321"/>
      <w:bookmarkStart w:id="4221" w:name="_Toc417594561"/>
      <w:r>
        <w:t>Virtual Network Logging</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4EC9F190" w14:textId="6DB6FF31" w:rsidR="000530DE" w:rsidRDefault="00CB4498" w:rsidP="000530DE">
      <w:r>
        <w:t>Currently</w:t>
      </w:r>
      <w:r w:rsidR="000530DE">
        <w:t xml:space="preserve"> virtual network logging is limited to change management (create, modify, and delete) audit logging. In the Azure portal, it is available via Management Services &gt; Operations Logs. You can also use the Azure PowerShell cmdlet </w:t>
      </w:r>
      <w:r w:rsidR="000530DE" w:rsidRPr="00DD2F33">
        <w:rPr>
          <w:b/>
          <w:color w:val="000000" w:themeColor="text1"/>
        </w:rPr>
        <w:t>Get-AzureSubscriptionIDLog</w:t>
      </w:r>
      <w:r w:rsidR="000530DE" w:rsidRPr="00DD2F33">
        <w:rPr>
          <w:color w:val="000000" w:themeColor="text1"/>
        </w:rPr>
        <w:t xml:space="preserve"> </w:t>
      </w:r>
      <w:r w:rsidR="000530DE">
        <w:t xml:space="preserve">for: </w:t>
      </w:r>
    </w:p>
    <w:p w14:paraId="3444EDD1" w14:textId="77777777" w:rsidR="000530DE" w:rsidRDefault="000530DE" w:rsidP="000530DE">
      <w:pPr>
        <w:pStyle w:val="ListBullet"/>
      </w:pPr>
      <w:r>
        <w:t xml:space="preserve">virtualNetworks (write, delete) </w:t>
      </w:r>
    </w:p>
    <w:p w14:paraId="53642FDC" w14:textId="77777777" w:rsidR="000530DE" w:rsidRDefault="000530DE" w:rsidP="000530DE">
      <w:pPr>
        <w:pStyle w:val="ListBullet"/>
      </w:pPr>
      <w:r>
        <w:t xml:space="preserve">publicIPAddresses (write, delete) </w:t>
      </w:r>
    </w:p>
    <w:p w14:paraId="458CE8F5" w14:textId="77777777" w:rsidR="000530DE" w:rsidRDefault="000530DE" w:rsidP="000530DE">
      <w:pPr>
        <w:pStyle w:val="ListBullet"/>
      </w:pPr>
      <w:r>
        <w:t>networkInterfaces (write, delete)</w:t>
      </w:r>
    </w:p>
    <w:p w14:paraId="49D1D745" w14:textId="77777777" w:rsidR="000530DE" w:rsidRDefault="000530DE" w:rsidP="000530DE">
      <w:pPr>
        <w:pStyle w:val="ListBullet"/>
      </w:pPr>
      <w:r>
        <w:t>loadBalancers (write, delete)</w:t>
      </w:r>
    </w:p>
    <w:p w14:paraId="123C4ADC" w14:textId="77777777" w:rsidR="000530DE" w:rsidRDefault="000530DE" w:rsidP="000530DE">
      <w:pPr>
        <w:pStyle w:val="ListBullet"/>
      </w:pPr>
      <w:r>
        <w:t>networkSecurityGroups (write, delete)</w:t>
      </w:r>
    </w:p>
    <w:p w14:paraId="2E1096C4" w14:textId="77777777" w:rsidR="000530DE" w:rsidRDefault="000530DE" w:rsidP="000530DE">
      <w:r>
        <w:t xml:space="preserve">Data plane and control plane logging is not available at this time. </w:t>
      </w:r>
    </w:p>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0530DE" w14:paraId="0EB3944C" w14:textId="77777777" w:rsidTr="000530DE">
        <w:tc>
          <w:tcPr>
            <w:tcW w:w="9360" w:type="dxa"/>
            <w:tcBorders>
              <w:top w:val="single" w:sz="4" w:space="0" w:color="008AC8"/>
              <w:left w:val="nil"/>
              <w:bottom w:val="single" w:sz="4" w:space="0" w:color="008AC8"/>
              <w:right w:val="nil"/>
            </w:tcBorders>
            <w:shd w:val="clear" w:color="auto" w:fill="008AC8"/>
            <w:hideMark/>
          </w:tcPr>
          <w:p w14:paraId="4D74A38F" w14:textId="77777777" w:rsidR="000530DE" w:rsidRDefault="000530DE" w:rsidP="000530DE">
            <w:pPr>
              <w:spacing w:line="240" w:lineRule="auto"/>
              <w:rPr>
                <w:color w:val="FFFFFF"/>
              </w:rPr>
            </w:pPr>
            <w:r>
              <w:rPr>
                <w:color w:val="FFFFFF"/>
              </w:rPr>
              <w:t>Design Guidance</w:t>
            </w:r>
          </w:p>
        </w:tc>
      </w:tr>
    </w:tbl>
    <w:p w14:paraId="2DB4CD17" w14:textId="1A4CD7F1" w:rsidR="00CB4498" w:rsidRDefault="000530DE" w:rsidP="000530DE">
      <w:r w:rsidRPr="00C8079C">
        <w:t xml:space="preserve">Consider the impact of logging </w:t>
      </w:r>
      <w:r>
        <w:t>v</w:t>
      </w:r>
      <w:r w:rsidRPr="00C8079C">
        <w:t xml:space="preserve">irtual </w:t>
      </w:r>
      <w:r>
        <w:t>n</w:t>
      </w:r>
      <w:r w:rsidRPr="00C8079C">
        <w:t>etwork information for customers who require regulatory compliance (such as PCI) or other operational requirements</w:t>
      </w:r>
      <w:r w:rsidR="00C8079C" w:rsidRPr="00C8079C">
        <w:t>.</w:t>
      </w:r>
    </w:p>
    <w:p w14:paraId="6C2F1711" w14:textId="72FC2CA0" w:rsidR="006B29E9" w:rsidRDefault="006B29E9" w:rsidP="005729D2">
      <w:pPr>
        <w:pStyle w:val="Heading2Numbered"/>
        <w:numPr>
          <w:ilvl w:val="1"/>
          <w:numId w:val="64"/>
        </w:numPr>
      </w:pPr>
      <w:bookmarkStart w:id="4222" w:name="_Toc417934661"/>
      <w:bookmarkStart w:id="4223" w:name="_Toc417936000"/>
      <w:bookmarkStart w:id="4224" w:name="_Toc417936462"/>
      <w:bookmarkStart w:id="4225" w:name="_Toc417946917"/>
      <w:bookmarkStart w:id="4226" w:name="_Toc417947334"/>
      <w:bookmarkStart w:id="4227" w:name="_Toc417982527"/>
      <w:bookmarkStart w:id="4228" w:name="_Toc417985949"/>
      <w:bookmarkStart w:id="4229" w:name="_Toc418000673"/>
      <w:bookmarkStart w:id="4230" w:name="_Toc418003813"/>
      <w:bookmarkStart w:id="4231" w:name="_Toc418012018"/>
      <w:bookmarkStart w:id="4232" w:name="_Toc418014463"/>
      <w:bookmarkStart w:id="4233" w:name="_Toc418030036"/>
      <w:bookmarkStart w:id="4234" w:name="_Toc418036951"/>
      <w:bookmarkStart w:id="4235" w:name="_Toc418061427"/>
      <w:bookmarkStart w:id="4236" w:name="_Toc418081326"/>
      <w:bookmarkStart w:id="4237" w:name="_Toc418083358"/>
      <w:bookmarkStart w:id="4238" w:name="_Toc418096122"/>
      <w:bookmarkStart w:id="4239" w:name="_Toc418156724"/>
      <w:bookmarkStart w:id="4240" w:name="_Toc418167643"/>
      <w:bookmarkStart w:id="4241" w:name="_Toc418185899"/>
      <w:bookmarkStart w:id="4242" w:name="_Toc422941609"/>
      <w:bookmarkStart w:id="4243" w:name="_Toc423116815"/>
      <w:bookmarkStart w:id="4244" w:name="_Toc423117848"/>
      <w:bookmarkStart w:id="4245" w:name="_Toc423117298"/>
      <w:bookmarkStart w:id="4246" w:name="_Toc431288892"/>
      <w:r>
        <w:t>Network Connectivity</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495E0B40" w14:textId="79AD4626" w:rsidR="000530DE" w:rsidRDefault="00E65D33" w:rsidP="000530DE">
      <w:r>
        <w:t>Azure</w:t>
      </w:r>
      <w:r w:rsidR="000530DE">
        <w:t xml:space="preserve"> supports two types of connectivity options to connect customer’s networks to Azure virtual networks: Site-to-Site VPN and ExpressRoute. Although Point-to-Site is another viable connectivity option, it is client-focused and is not specific to this discussion. </w:t>
      </w:r>
    </w:p>
    <w:p w14:paraId="37E2843F" w14:textId="77777777" w:rsidR="000530DE" w:rsidRDefault="000530DE" w:rsidP="000530DE">
      <w:r>
        <w:t>Site-to-Site VPN connections use VPN devices</w:t>
      </w:r>
      <w:r w:rsidDel="0029153A">
        <w:t xml:space="preserve"> </w:t>
      </w:r>
      <w:r>
        <w:t xml:space="preserve">over public Internet connections to create a path to route traffic to a virtual network in a customer subscription. Traffic to the virtual network flows across an encrypted VPN connection, while traffic to the Azure public services flows over the Internet. </w:t>
      </w:r>
    </w:p>
    <w:p w14:paraId="0EFB14C6" w14:textId="3A1CC550" w:rsidR="00A15839" w:rsidRDefault="000530DE" w:rsidP="000530DE">
      <w:r>
        <w:t>It is not possible to create a Site-to-Site VPN connection that provides direct connectivity to the public Azure services via a public peering path. To provide multiple VPN connections to the virtual network, you must use multiple VPN devices connected to different sites. These relationships are depicted in the following diagram:</w:t>
      </w:r>
    </w:p>
    <w:p w14:paraId="01E09A60" w14:textId="463E4720" w:rsidR="00E65D33" w:rsidRDefault="00E65D33" w:rsidP="00256000">
      <w:pPr>
        <w:jc w:val="center"/>
      </w:pPr>
      <w:r>
        <w:object w:dxaOrig="9744" w:dyaOrig="3577" w14:anchorId="51B29DC3">
          <v:shape id="_x0000_i1032" type="#_x0000_t75" style="width:408pt;height:150pt" o:ole="">
            <v:imagedata r:id="rId389" o:title=""/>
          </v:shape>
          <o:OLEObject Type="Embed" ProgID="Visio.Drawing.15" ShapeID="_x0000_i1032" DrawAspect="Content" ObjectID="_1508841460" r:id="rId390"/>
        </w:object>
      </w:r>
    </w:p>
    <w:p w14:paraId="3865A55D" w14:textId="6E8A19CC" w:rsidR="00416362" w:rsidRDefault="000530DE" w:rsidP="00780CB7">
      <w:r>
        <w:t>If</w:t>
      </w:r>
      <w:r w:rsidR="00416362">
        <w:t xml:space="preserve"> </w:t>
      </w:r>
      <w:r>
        <w:t>a</w:t>
      </w:r>
      <w:r w:rsidR="00416362">
        <w:t xml:space="preserve"> customer selects to engage a cloud service provider in a “connect through” scenario, the customers connect to the CSP network over </w:t>
      </w:r>
      <w:r>
        <w:t xml:space="preserve">a </w:t>
      </w:r>
      <w:r w:rsidR="00416362">
        <w:t>S2S VPN and the CSP is connected to Azure over separate S2S VPN connections.</w:t>
      </w:r>
    </w:p>
    <w:p w14:paraId="2A4DE018" w14:textId="3032012B" w:rsidR="00416362" w:rsidRDefault="00416362" w:rsidP="00780CB7">
      <w:r>
        <w:object w:dxaOrig="13897" w:dyaOrig="5749" w14:anchorId="3F9491CE">
          <v:shape id="_x0000_i1033" type="#_x0000_t75" style="width:468pt;height:192pt" o:ole="">
            <v:imagedata r:id="rId391" o:title=""/>
          </v:shape>
          <o:OLEObject Type="Embed" ProgID="Visio.Drawing.15" ShapeID="_x0000_i1033" DrawAspect="Content" ObjectID="_1508841461" r:id="rId392"/>
        </w:object>
      </w:r>
    </w:p>
    <w:p w14:paraId="78C4FD37" w14:textId="52423AEE" w:rsidR="00416362" w:rsidRDefault="000530DE" w:rsidP="00416362">
      <w:r>
        <w:t>If a</w:t>
      </w:r>
      <w:r w:rsidR="00416362">
        <w:t xml:space="preserve"> customer selects to engage a cloud service provider in a “con</w:t>
      </w:r>
      <w:r>
        <w:t>nect to” scenario, the customer</w:t>
      </w:r>
      <w:r w:rsidR="00416362">
        <w:t xml:space="preserve"> connect</w:t>
      </w:r>
      <w:r>
        <w:t>s</w:t>
      </w:r>
      <w:r w:rsidR="00416362">
        <w:t xml:space="preserve"> to Azure network over </w:t>
      </w:r>
      <w:r>
        <w:t xml:space="preserve">a </w:t>
      </w:r>
      <w:r w:rsidR="00416362">
        <w:t xml:space="preserve">S2S VPN and the CSP is connected to the </w:t>
      </w:r>
      <w:r w:rsidR="00675AFE">
        <w:t>customer’s</w:t>
      </w:r>
      <w:r w:rsidR="00416362">
        <w:t xml:space="preserve"> network over a separate S2S VPN connection that allows the CSP to manage the Azure subscription and resources on behalf of the customer.</w:t>
      </w:r>
    </w:p>
    <w:p w14:paraId="09638EEA" w14:textId="77B46F8C" w:rsidR="00416362" w:rsidRDefault="00416362" w:rsidP="00780CB7">
      <w:r>
        <w:object w:dxaOrig="12889" w:dyaOrig="3565" w14:anchorId="3D91B91E">
          <v:shape id="_x0000_i1034" type="#_x0000_t75" style="width:468pt;height:130.5pt" o:ole="">
            <v:imagedata r:id="rId393" o:title=""/>
          </v:shape>
          <o:OLEObject Type="Embed" ProgID="Visio.Drawing.15" ShapeID="_x0000_i1034" DrawAspect="Content" ObjectID="_1508841462" r:id="rId394"/>
        </w:object>
      </w:r>
    </w:p>
    <w:p w14:paraId="22581BA2" w14:textId="77777777" w:rsidR="000530DE" w:rsidRDefault="000530DE" w:rsidP="000530DE">
      <w:r>
        <w:t xml:space="preserve">ExpressRoute connections use routers and private network paths to route traffic to Azure Virtual Network, and optionally, to the Azure public services. Private connections are made through a network provider by establishing an ExpressRoute circuit with a selected provider. The customer’s router is connected to the provider’s router and the provider creates the ExpressRoute circuit to connect to the Azure Routers. </w:t>
      </w:r>
    </w:p>
    <w:p w14:paraId="7AE1A4D7" w14:textId="2928CAFA" w:rsidR="00E65D33" w:rsidRDefault="000530DE" w:rsidP="000530DE">
      <w:r>
        <w:t>When the circuit is created, VLANs can be created that allow separate paths to the private peering network to link to virtual networks and to the public peering network to access Azure public services</w:t>
      </w:r>
      <w:r w:rsidR="00BD5BFA">
        <w:t>.</w:t>
      </w:r>
    </w:p>
    <w:p w14:paraId="5A714FC2" w14:textId="3350173F" w:rsidR="00E65D33" w:rsidRDefault="00E65D33" w:rsidP="00256000">
      <w:pPr>
        <w:jc w:val="center"/>
      </w:pPr>
      <w:r>
        <w:object w:dxaOrig="9744" w:dyaOrig="3565" w14:anchorId="4BDB7F41">
          <v:shape id="_x0000_i1035" type="#_x0000_t75" style="width:412.5pt;height:153pt" o:ole="">
            <v:imagedata r:id="rId395" o:title=""/>
          </v:shape>
          <o:OLEObject Type="Embed" ProgID="Visio.Drawing.15" ShapeID="_x0000_i1035" DrawAspect="Content" ObjectID="_1508841463" r:id="rId396"/>
        </w:object>
      </w:r>
    </w:p>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FD610D" w14:paraId="0321CB7D" w14:textId="77777777" w:rsidTr="001B6783">
        <w:tc>
          <w:tcPr>
            <w:tcW w:w="9360" w:type="dxa"/>
            <w:tcBorders>
              <w:top w:val="single" w:sz="4" w:space="0" w:color="008AC8"/>
              <w:left w:val="nil"/>
              <w:bottom w:val="single" w:sz="4" w:space="0" w:color="008AC8"/>
              <w:right w:val="nil"/>
            </w:tcBorders>
            <w:shd w:val="clear" w:color="auto" w:fill="008AC8"/>
            <w:hideMark/>
          </w:tcPr>
          <w:p w14:paraId="0914EF02" w14:textId="77777777" w:rsidR="00FD610D" w:rsidRDefault="00FD610D" w:rsidP="001B6783">
            <w:pPr>
              <w:spacing w:line="240" w:lineRule="auto"/>
              <w:rPr>
                <w:color w:val="FFFFFF"/>
              </w:rPr>
            </w:pPr>
            <w:r>
              <w:rPr>
                <w:color w:val="FFFFFF"/>
              </w:rPr>
              <w:t>Design Guidance</w:t>
            </w:r>
          </w:p>
        </w:tc>
      </w:tr>
    </w:tbl>
    <w:p w14:paraId="3ACEBA2B" w14:textId="084249AD" w:rsidR="00FD610D" w:rsidRDefault="00FD610D" w:rsidP="00FD610D">
      <w:r>
        <w:t xml:space="preserve">Cloud Service Provider scenarios are currently limited to Site-to-Site connection options due to the </w:t>
      </w:r>
      <w:r w:rsidR="000530DE">
        <w:t xml:space="preserve">current </w:t>
      </w:r>
      <w:r>
        <w:t xml:space="preserve">lack of support for ExpressRoute </w:t>
      </w:r>
      <w:r w:rsidR="00307C1D">
        <w:t>in A</w:t>
      </w:r>
      <w:r w:rsidR="000530DE">
        <w:t>RM</w:t>
      </w:r>
      <w:r w:rsidRPr="00C8079C">
        <w:t>.</w:t>
      </w:r>
      <w:r w:rsidR="00307C1D">
        <w:t xml:space="preserve"> </w:t>
      </w:r>
    </w:p>
    <w:p w14:paraId="6C2F1713" w14:textId="29413457" w:rsidR="006B29E9" w:rsidRDefault="006B29E9" w:rsidP="005729D2">
      <w:pPr>
        <w:pStyle w:val="Heading3Numbered"/>
        <w:numPr>
          <w:ilvl w:val="2"/>
          <w:numId w:val="64"/>
        </w:numPr>
      </w:pPr>
      <w:bookmarkStart w:id="4247" w:name="_Toc417927068"/>
      <w:bookmarkStart w:id="4248" w:name="_Toc417927967"/>
      <w:bookmarkStart w:id="4249" w:name="_Toc417929246"/>
      <w:bookmarkStart w:id="4250" w:name="_Toc417929712"/>
      <w:bookmarkStart w:id="4251" w:name="_Toc417929963"/>
      <w:bookmarkStart w:id="4252" w:name="_Toc417931532"/>
      <w:bookmarkStart w:id="4253" w:name="_Toc417930695"/>
      <w:bookmarkStart w:id="4254" w:name="_Toc417931119"/>
      <w:bookmarkStart w:id="4255" w:name="_Toc417932575"/>
      <w:bookmarkStart w:id="4256" w:name="_Toc417933058"/>
      <w:bookmarkStart w:id="4257" w:name="_Toc417932216"/>
      <w:bookmarkStart w:id="4258" w:name="_Toc417933734"/>
      <w:bookmarkStart w:id="4259" w:name="_Toc417934199"/>
      <w:bookmarkStart w:id="4260" w:name="_Toc417933333"/>
      <w:bookmarkStart w:id="4261" w:name="_Toc417933843"/>
      <w:bookmarkStart w:id="4262" w:name="_Toc417934663"/>
      <w:bookmarkStart w:id="4263" w:name="_Toc417934822"/>
      <w:bookmarkStart w:id="4264" w:name="_Toc417935303"/>
      <w:bookmarkStart w:id="4265" w:name="_Toc417936002"/>
      <w:bookmarkStart w:id="4266" w:name="_Toc417936464"/>
      <w:bookmarkStart w:id="4267" w:name="_Toc417942527"/>
      <w:bookmarkStart w:id="4268" w:name="_Toc417943006"/>
      <w:bookmarkStart w:id="4269" w:name="_Toc417945350"/>
      <w:bookmarkStart w:id="4270" w:name="_Toc417946678"/>
      <w:bookmarkStart w:id="4271" w:name="_Toc417947340"/>
      <w:bookmarkStart w:id="4272" w:name="_Toc417948041"/>
      <w:bookmarkStart w:id="4273" w:name="_Toc417951090"/>
      <w:bookmarkStart w:id="4274" w:name="_Toc417975159"/>
      <w:bookmarkStart w:id="4275" w:name="_Toc417975876"/>
      <w:bookmarkStart w:id="4276" w:name="_Toc417976939"/>
      <w:bookmarkStart w:id="4277" w:name="_Toc417978027"/>
      <w:bookmarkStart w:id="4278" w:name="_Toc417979217"/>
      <w:bookmarkStart w:id="4279" w:name="_Toc417981319"/>
      <w:bookmarkStart w:id="4280" w:name="_Toc417981590"/>
      <w:bookmarkStart w:id="4281" w:name="_Toc417983117"/>
      <w:bookmarkStart w:id="4282" w:name="_Toc417984386"/>
      <w:bookmarkStart w:id="4283" w:name="_Toc417985951"/>
      <w:bookmarkStart w:id="4284" w:name="_Toc417987387"/>
      <w:bookmarkStart w:id="4285" w:name="_Toc417993083"/>
      <w:bookmarkStart w:id="4286" w:name="_Toc418003815"/>
      <w:bookmarkStart w:id="4287" w:name="_Toc418005555"/>
      <w:bookmarkStart w:id="4288" w:name="_Toc418006557"/>
      <w:bookmarkStart w:id="4289" w:name="_Toc418010796"/>
      <w:bookmarkStart w:id="4290" w:name="_Toc418012020"/>
      <w:bookmarkStart w:id="4291" w:name="_Toc418012288"/>
      <w:bookmarkStart w:id="4292" w:name="_Toc418012732"/>
      <w:bookmarkStart w:id="4293" w:name="_Toc418014288"/>
      <w:bookmarkStart w:id="4294" w:name="_Toc418014668"/>
      <w:bookmarkStart w:id="4295" w:name="_Toc418016037"/>
      <w:bookmarkStart w:id="4296" w:name="_Toc418017276"/>
      <w:bookmarkStart w:id="4297" w:name="_Toc418013605"/>
      <w:bookmarkStart w:id="4298" w:name="_Toc418017551"/>
      <w:bookmarkStart w:id="4299" w:name="_Toc418021040"/>
      <w:bookmarkStart w:id="4300" w:name="_Toc418022088"/>
      <w:bookmarkStart w:id="4301" w:name="_Toc418023061"/>
      <w:bookmarkStart w:id="4302" w:name="_Toc418025457"/>
      <w:bookmarkStart w:id="4303" w:name="_Toc418025732"/>
      <w:bookmarkStart w:id="4304" w:name="_Toc418026025"/>
      <w:bookmarkStart w:id="4305" w:name="_Toc418027707"/>
      <w:bookmarkStart w:id="4306" w:name="_Toc418028129"/>
      <w:bookmarkStart w:id="4307" w:name="_Toc418030038"/>
      <w:bookmarkStart w:id="4308" w:name="_Toc418030789"/>
      <w:bookmarkStart w:id="4309" w:name="_Toc418040541"/>
      <w:bookmarkStart w:id="4310" w:name="_Toc414892118"/>
      <w:bookmarkStart w:id="4311" w:name="_Toc414960141"/>
      <w:bookmarkStart w:id="4312" w:name="_Toc414969112"/>
      <w:bookmarkStart w:id="4313" w:name="_Toc415011334"/>
      <w:bookmarkStart w:id="4314" w:name="_Toc415040024"/>
      <w:bookmarkStart w:id="4315" w:name="_Toc415572381"/>
      <w:bookmarkStart w:id="4316" w:name="_Toc415735551"/>
      <w:bookmarkStart w:id="4317" w:name="_Toc415814132"/>
      <w:bookmarkStart w:id="4318" w:name="_Toc416343867"/>
      <w:bookmarkStart w:id="4319" w:name="_Toc416863139"/>
      <w:bookmarkStart w:id="4320" w:name="_Toc417314751"/>
      <w:bookmarkStart w:id="4321" w:name="_Toc417323768"/>
      <w:bookmarkStart w:id="4322" w:name="_Toc417326857"/>
      <w:bookmarkStart w:id="4323" w:name="_Toc417330405"/>
      <w:bookmarkStart w:id="4324" w:name="_Toc417395011"/>
      <w:bookmarkStart w:id="4325" w:name="_Toc417399228"/>
      <w:bookmarkStart w:id="4326" w:name="_Toc417399387"/>
      <w:bookmarkStart w:id="4327" w:name="_Toc417400434"/>
      <w:bookmarkStart w:id="4328" w:name="_Toc417401282"/>
      <w:bookmarkStart w:id="4329" w:name="_Toc417419596"/>
      <w:bookmarkStart w:id="4330" w:name="_Toc417457368"/>
      <w:bookmarkStart w:id="4331" w:name="_Toc417481946"/>
      <w:bookmarkStart w:id="4332" w:name="_Toc417482204"/>
      <w:bookmarkStart w:id="4333" w:name="_Toc417499923"/>
      <w:bookmarkStart w:id="4334" w:name="_Toc417502745"/>
      <w:bookmarkStart w:id="4335" w:name="_Toc417548322"/>
      <w:bookmarkStart w:id="4336" w:name="_Toc417594562"/>
      <w:bookmarkStart w:id="4337" w:name="_Toc417934692"/>
      <w:bookmarkStart w:id="4338" w:name="_Toc417936031"/>
      <w:bookmarkStart w:id="4339" w:name="_Toc417936493"/>
      <w:bookmarkStart w:id="4340" w:name="_Toc417946918"/>
      <w:bookmarkStart w:id="4341" w:name="_Toc417947335"/>
      <w:bookmarkStart w:id="4342" w:name="_Toc417982528"/>
      <w:bookmarkStart w:id="4343" w:name="_Toc417985980"/>
      <w:bookmarkStart w:id="4344" w:name="_Toc418000674"/>
      <w:bookmarkStart w:id="4345" w:name="_Toc418003844"/>
      <w:bookmarkStart w:id="4346" w:name="_Toc418012049"/>
      <w:bookmarkStart w:id="4347" w:name="_Toc418014464"/>
      <w:bookmarkStart w:id="4348" w:name="_Toc418014697"/>
      <w:bookmarkStart w:id="4349" w:name="_Toc418030067"/>
      <w:bookmarkStart w:id="4350" w:name="_Toc418036952"/>
      <w:bookmarkStart w:id="4351" w:name="_Toc418061428"/>
      <w:bookmarkStart w:id="4352" w:name="_Toc418081327"/>
      <w:bookmarkStart w:id="4353" w:name="_Toc418083359"/>
      <w:bookmarkStart w:id="4354" w:name="_Toc418096123"/>
      <w:bookmarkStart w:id="4355" w:name="_Toc418156725"/>
      <w:bookmarkStart w:id="4356" w:name="_Toc418167644"/>
      <w:bookmarkStart w:id="4357" w:name="_Toc418185900"/>
      <w:bookmarkStart w:id="4358" w:name="_Toc422941610"/>
      <w:bookmarkStart w:id="4359" w:name="_Toc423116816"/>
      <w:bookmarkStart w:id="4360" w:name="_Toc423117849"/>
      <w:bookmarkStart w:id="4361" w:name="_Toc423117299"/>
      <w:bookmarkStart w:id="4362" w:name="_Toc431288893"/>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r>
        <w:t>ExpressRoute</w:t>
      </w:r>
      <w:bookmarkEnd w:id="4310"/>
      <w:bookmarkEnd w:id="4311"/>
      <w:bookmarkEnd w:id="4312"/>
      <w:bookmarkEnd w:id="4313"/>
      <w:bookmarkEnd w:id="4314"/>
      <w:bookmarkEnd w:id="4315"/>
      <w:bookmarkEnd w:id="4316"/>
      <w:bookmarkEnd w:id="4317"/>
      <w:bookmarkEnd w:id="4318"/>
      <w:bookmarkEnd w:id="4319"/>
      <w:r w:rsidR="00CC57C3">
        <w:t xml:space="preserve"> Overview</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7E8216FA" w14:textId="65D4BD0E" w:rsidR="000530DE" w:rsidRDefault="00814628" w:rsidP="000530DE">
      <w:r>
        <w:t>ExpressRoute</w:t>
      </w:r>
      <w:r w:rsidR="000530DE">
        <w:t xml:space="preserve"> is a high-speed private routed network connection to Azure. The connections between the customer’s network edge and the provider’s network edge are redundant as are the connections from the provider’s edge to the Azure edge. </w:t>
      </w:r>
    </w:p>
    <w:p w14:paraId="02FD6366" w14:textId="6CBDF8AF" w:rsidR="0005643F" w:rsidRDefault="000530DE" w:rsidP="000530DE">
      <w:r>
        <w:t>From the provider to the Azure edge, you can have private peering connections to customer virtual networks and public peering connections to the Azure PaaS services, such as Azure SQL Database. There are two carrier models provided for ExpressRoute: Network Service Providers (NSPs) and Exchange Providers (IXPs). NSP and IXP connectivity models, speeds, costs and capacities vary. These differences are summarized in the following table:</w:t>
      </w:r>
    </w:p>
    <w:tbl>
      <w:tblPr>
        <w:tblStyle w:val="PlainTable11"/>
        <w:tblW w:w="0" w:type="auto"/>
        <w:tblLook w:val="04A0" w:firstRow="1" w:lastRow="0" w:firstColumn="1" w:lastColumn="0" w:noHBand="0" w:noVBand="1"/>
      </w:tblPr>
      <w:tblGrid>
        <w:gridCol w:w="3116"/>
        <w:gridCol w:w="3117"/>
        <w:gridCol w:w="3117"/>
      </w:tblGrid>
      <w:tr w:rsidR="000530DE" w14:paraId="73C18C86" w14:textId="77777777" w:rsidTr="000530D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shd w:val="clear" w:color="auto" w:fill="808080" w:themeFill="background1" w:themeFillShade="80"/>
          </w:tcPr>
          <w:p w14:paraId="0FB9D2AE" w14:textId="77777777" w:rsidR="000530DE" w:rsidRPr="007A2962" w:rsidRDefault="000530DE" w:rsidP="000530DE">
            <w:pPr>
              <w:rPr>
                <w:sz w:val="20"/>
              </w:rPr>
            </w:pPr>
          </w:p>
        </w:tc>
        <w:tc>
          <w:tcPr>
            <w:tcW w:w="3117" w:type="dxa"/>
            <w:shd w:val="clear" w:color="auto" w:fill="808080" w:themeFill="background1" w:themeFillShade="80"/>
          </w:tcPr>
          <w:p w14:paraId="66D4243E" w14:textId="77777777" w:rsidR="000530DE" w:rsidRPr="00DD2F33" w:rsidRDefault="000530DE" w:rsidP="000530DE">
            <w:pPr>
              <w:cnfStyle w:val="100000000000" w:firstRow="1" w:lastRow="0" w:firstColumn="0" w:lastColumn="0" w:oddVBand="0" w:evenVBand="0" w:oddHBand="0" w:evenHBand="0" w:firstRowFirstColumn="0" w:firstRowLastColumn="0" w:lastRowFirstColumn="0" w:lastRowLastColumn="0"/>
              <w:rPr>
                <w:color w:val="FFFFFF" w:themeColor="background1"/>
                <w:sz w:val="20"/>
              </w:rPr>
            </w:pPr>
            <w:r w:rsidRPr="00DD2F33">
              <w:rPr>
                <w:color w:val="FFFFFF" w:themeColor="background1"/>
                <w:sz w:val="20"/>
              </w:rPr>
              <w:t>Network Service Provider</w:t>
            </w:r>
          </w:p>
        </w:tc>
        <w:tc>
          <w:tcPr>
            <w:tcW w:w="3117" w:type="dxa"/>
            <w:shd w:val="clear" w:color="auto" w:fill="808080" w:themeFill="background1" w:themeFillShade="80"/>
          </w:tcPr>
          <w:p w14:paraId="737F3FDA" w14:textId="77777777" w:rsidR="000530DE" w:rsidRPr="00DD2F33" w:rsidRDefault="000530DE" w:rsidP="000530DE">
            <w:pPr>
              <w:cnfStyle w:val="100000000000" w:firstRow="1" w:lastRow="0" w:firstColumn="0" w:lastColumn="0" w:oddVBand="0" w:evenVBand="0" w:oddHBand="0" w:evenHBand="0" w:firstRowFirstColumn="0" w:firstRowLastColumn="0" w:lastRowFirstColumn="0" w:lastRowLastColumn="0"/>
              <w:rPr>
                <w:color w:val="FFFFFF" w:themeColor="background1"/>
                <w:sz w:val="20"/>
              </w:rPr>
            </w:pPr>
            <w:r w:rsidRPr="00DD2F33">
              <w:rPr>
                <w:color w:val="FFFFFF" w:themeColor="background1"/>
                <w:sz w:val="20"/>
              </w:rPr>
              <w:t>Exchange Provider</w:t>
            </w:r>
          </w:p>
        </w:tc>
      </w:tr>
      <w:tr w:rsidR="000530DE" w14:paraId="46D8CC73" w14:textId="77777777" w:rsidTr="000530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14:paraId="664CECD9" w14:textId="31B8E369" w:rsidR="000530DE" w:rsidRPr="007A2962" w:rsidRDefault="000530DE" w:rsidP="000530DE">
            <w:pPr>
              <w:rPr>
                <w:sz w:val="20"/>
              </w:rPr>
            </w:pPr>
            <w:r w:rsidRPr="007A2962">
              <w:rPr>
                <w:sz w:val="20"/>
              </w:rPr>
              <w:t>Bandwidth</w:t>
            </w:r>
          </w:p>
        </w:tc>
        <w:tc>
          <w:tcPr>
            <w:tcW w:w="3117" w:type="dxa"/>
          </w:tcPr>
          <w:p w14:paraId="302735B9" w14:textId="1A62867D" w:rsidR="000530DE" w:rsidRPr="007A2962" w:rsidRDefault="000530DE" w:rsidP="000530DE">
            <w:pPr>
              <w:cnfStyle w:val="000000100000" w:firstRow="0" w:lastRow="0" w:firstColumn="0" w:lastColumn="0" w:oddVBand="0" w:evenVBand="0" w:oddHBand="1" w:evenHBand="0" w:firstRowFirstColumn="0" w:firstRowLastColumn="0" w:lastRowFirstColumn="0" w:lastRowLastColumn="0"/>
              <w:rPr>
                <w:sz w:val="20"/>
              </w:rPr>
            </w:pPr>
            <w:r w:rsidRPr="007A2962">
              <w:rPr>
                <w:sz w:val="20"/>
              </w:rPr>
              <w:t>10,</w:t>
            </w:r>
            <w:r>
              <w:rPr>
                <w:sz w:val="20"/>
              </w:rPr>
              <w:t> 5</w:t>
            </w:r>
            <w:r w:rsidRPr="007A2962">
              <w:rPr>
                <w:sz w:val="20"/>
              </w:rPr>
              <w:t>0,</w:t>
            </w:r>
            <w:r>
              <w:rPr>
                <w:sz w:val="20"/>
              </w:rPr>
              <w:t> 1</w:t>
            </w:r>
            <w:r w:rsidRPr="007A2962">
              <w:rPr>
                <w:sz w:val="20"/>
              </w:rPr>
              <w:t>00,</w:t>
            </w:r>
            <w:r>
              <w:rPr>
                <w:sz w:val="20"/>
              </w:rPr>
              <w:t> 5</w:t>
            </w:r>
            <w:r w:rsidRPr="007A2962">
              <w:rPr>
                <w:sz w:val="20"/>
              </w:rPr>
              <w:t>00,</w:t>
            </w:r>
            <w:r>
              <w:rPr>
                <w:sz w:val="20"/>
              </w:rPr>
              <w:t> 1</w:t>
            </w:r>
            <w:r w:rsidRPr="007A2962">
              <w:rPr>
                <w:sz w:val="20"/>
              </w:rPr>
              <w:t>000 Mbps</w:t>
            </w:r>
          </w:p>
        </w:tc>
        <w:tc>
          <w:tcPr>
            <w:tcW w:w="3117" w:type="dxa"/>
          </w:tcPr>
          <w:p w14:paraId="6B44BB78" w14:textId="0EA15D5B" w:rsidR="000530DE" w:rsidRPr="007A2962" w:rsidRDefault="000530DE" w:rsidP="000530DE">
            <w:pPr>
              <w:cnfStyle w:val="000000100000" w:firstRow="0" w:lastRow="0" w:firstColumn="0" w:lastColumn="0" w:oddVBand="0" w:evenVBand="0" w:oddHBand="1" w:evenHBand="0" w:firstRowFirstColumn="0" w:firstRowLastColumn="0" w:lastRowFirstColumn="0" w:lastRowLastColumn="0"/>
              <w:rPr>
                <w:sz w:val="20"/>
              </w:rPr>
            </w:pPr>
            <w:r w:rsidRPr="007A2962">
              <w:rPr>
                <w:sz w:val="20"/>
              </w:rPr>
              <w:t>200,</w:t>
            </w:r>
            <w:r>
              <w:rPr>
                <w:sz w:val="20"/>
              </w:rPr>
              <w:t> 5</w:t>
            </w:r>
            <w:r w:rsidRPr="007A2962">
              <w:rPr>
                <w:sz w:val="20"/>
              </w:rPr>
              <w:t>00,</w:t>
            </w:r>
            <w:r>
              <w:rPr>
                <w:sz w:val="20"/>
              </w:rPr>
              <w:t> 1</w:t>
            </w:r>
            <w:r w:rsidRPr="007A2962">
              <w:rPr>
                <w:sz w:val="20"/>
              </w:rPr>
              <w:t>000,</w:t>
            </w:r>
            <w:r>
              <w:rPr>
                <w:sz w:val="20"/>
              </w:rPr>
              <w:t> 1</w:t>
            </w:r>
            <w:r w:rsidRPr="007A2962">
              <w:rPr>
                <w:sz w:val="20"/>
              </w:rPr>
              <w:t>0000 Mbps</w:t>
            </w:r>
          </w:p>
        </w:tc>
      </w:tr>
      <w:tr w:rsidR="000530DE" w14:paraId="2787FB35" w14:textId="77777777" w:rsidTr="000530DE">
        <w:tc>
          <w:tcPr>
            <w:cnfStyle w:val="001000000000" w:firstRow="0" w:lastRow="0" w:firstColumn="1" w:lastColumn="0" w:oddVBand="0" w:evenVBand="0" w:oddHBand="0" w:evenHBand="0" w:firstRowFirstColumn="0" w:firstRowLastColumn="0" w:lastRowFirstColumn="0" w:lastRowLastColumn="0"/>
            <w:tcW w:w="3116" w:type="dxa"/>
          </w:tcPr>
          <w:p w14:paraId="06283A50" w14:textId="5DE5BB89" w:rsidR="000530DE" w:rsidRPr="007A2962" w:rsidRDefault="000530DE" w:rsidP="000530DE">
            <w:pPr>
              <w:rPr>
                <w:sz w:val="20"/>
              </w:rPr>
            </w:pPr>
            <w:r w:rsidRPr="007A2962">
              <w:rPr>
                <w:sz w:val="20"/>
              </w:rPr>
              <w:t xml:space="preserve">Route </w:t>
            </w:r>
            <w:r>
              <w:rPr>
                <w:sz w:val="20"/>
              </w:rPr>
              <w:t>m</w:t>
            </w:r>
            <w:r w:rsidRPr="007A2962">
              <w:rPr>
                <w:sz w:val="20"/>
              </w:rPr>
              <w:t>anagement</w:t>
            </w:r>
          </w:p>
        </w:tc>
        <w:tc>
          <w:tcPr>
            <w:tcW w:w="3117" w:type="dxa"/>
          </w:tcPr>
          <w:p w14:paraId="5051BD11" w14:textId="457512B2" w:rsidR="000530DE" w:rsidRPr="007A2962" w:rsidRDefault="000530DE" w:rsidP="000530DE">
            <w:pPr>
              <w:cnfStyle w:val="000000000000" w:firstRow="0" w:lastRow="0" w:firstColumn="0" w:lastColumn="0" w:oddVBand="0" w:evenVBand="0" w:oddHBand="0" w:evenHBand="0" w:firstRowFirstColumn="0" w:firstRowLastColumn="0" w:lastRowFirstColumn="0" w:lastRowLastColumn="0"/>
              <w:rPr>
                <w:sz w:val="20"/>
              </w:rPr>
            </w:pPr>
            <w:r w:rsidRPr="007A2962">
              <w:rPr>
                <w:sz w:val="20"/>
              </w:rPr>
              <w:t>Provider manages</w:t>
            </w:r>
          </w:p>
        </w:tc>
        <w:tc>
          <w:tcPr>
            <w:tcW w:w="3117" w:type="dxa"/>
          </w:tcPr>
          <w:p w14:paraId="6ACF233E" w14:textId="3B86972F" w:rsidR="000530DE" w:rsidRPr="007A2962" w:rsidRDefault="000530DE" w:rsidP="000530DE">
            <w:pPr>
              <w:cnfStyle w:val="000000000000" w:firstRow="0" w:lastRow="0" w:firstColumn="0" w:lastColumn="0" w:oddVBand="0" w:evenVBand="0" w:oddHBand="0" w:evenHBand="0" w:firstRowFirstColumn="0" w:firstRowLastColumn="0" w:lastRowFirstColumn="0" w:lastRowLastColumn="0"/>
              <w:rPr>
                <w:sz w:val="20"/>
              </w:rPr>
            </w:pPr>
            <w:r w:rsidRPr="007A2962">
              <w:rPr>
                <w:sz w:val="20"/>
              </w:rPr>
              <w:t xml:space="preserve">Customer </w:t>
            </w:r>
            <w:r>
              <w:rPr>
                <w:sz w:val="20"/>
              </w:rPr>
              <w:t>m</w:t>
            </w:r>
            <w:r w:rsidRPr="007A2962">
              <w:rPr>
                <w:sz w:val="20"/>
              </w:rPr>
              <w:t>anages</w:t>
            </w:r>
          </w:p>
        </w:tc>
      </w:tr>
      <w:tr w:rsidR="000530DE" w14:paraId="62A65C72" w14:textId="77777777" w:rsidTr="000530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14:paraId="26BCF97F" w14:textId="25AEC51C" w:rsidR="000530DE" w:rsidRPr="007A2962" w:rsidRDefault="000530DE" w:rsidP="000530DE">
            <w:pPr>
              <w:rPr>
                <w:sz w:val="20"/>
              </w:rPr>
            </w:pPr>
            <w:r w:rsidRPr="007A2962">
              <w:rPr>
                <w:sz w:val="20"/>
              </w:rPr>
              <w:t xml:space="preserve">High </w:t>
            </w:r>
            <w:r>
              <w:rPr>
                <w:sz w:val="20"/>
              </w:rPr>
              <w:t>a</w:t>
            </w:r>
            <w:r w:rsidRPr="007A2962">
              <w:rPr>
                <w:sz w:val="20"/>
              </w:rPr>
              <w:t>vailability</w:t>
            </w:r>
          </w:p>
        </w:tc>
        <w:tc>
          <w:tcPr>
            <w:tcW w:w="3117" w:type="dxa"/>
          </w:tcPr>
          <w:p w14:paraId="3ABC3D6D" w14:textId="0B77A9E7" w:rsidR="000530DE" w:rsidRPr="007A2962" w:rsidRDefault="000530DE" w:rsidP="000530DE">
            <w:pPr>
              <w:cnfStyle w:val="000000100000" w:firstRow="0" w:lastRow="0" w:firstColumn="0" w:lastColumn="0" w:oddVBand="0" w:evenVBand="0" w:oddHBand="1" w:evenHBand="0" w:firstRowFirstColumn="0" w:firstRowLastColumn="0" w:lastRowFirstColumn="0" w:lastRowLastColumn="0"/>
              <w:rPr>
                <w:sz w:val="20"/>
              </w:rPr>
            </w:pPr>
            <w:r w:rsidRPr="007A2962">
              <w:rPr>
                <w:sz w:val="20"/>
              </w:rPr>
              <w:t>Provider manages</w:t>
            </w:r>
          </w:p>
        </w:tc>
        <w:tc>
          <w:tcPr>
            <w:tcW w:w="3117" w:type="dxa"/>
          </w:tcPr>
          <w:p w14:paraId="628D5297" w14:textId="70B1F65F" w:rsidR="000530DE" w:rsidRPr="007A2962" w:rsidRDefault="000530DE" w:rsidP="000530DE">
            <w:pPr>
              <w:cnfStyle w:val="000000100000" w:firstRow="0" w:lastRow="0" w:firstColumn="0" w:lastColumn="0" w:oddVBand="0" w:evenVBand="0" w:oddHBand="1" w:evenHBand="0" w:firstRowFirstColumn="0" w:firstRowLastColumn="0" w:lastRowFirstColumn="0" w:lastRowLastColumn="0"/>
              <w:rPr>
                <w:sz w:val="20"/>
              </w:rPr>
            </w:pPr>
            <w:r w:rsidRPr="007A2962">
              <w:rPr>
                <w:sz w:val="20"/>
              </w:rPr>
              <w:t xml:space="preserve">Customer </w:t>
            </w:r>
            <w:r>
              <w:rPr>
                <w:sz w:val="20"/>
              </w:rPr>
              <w:t>m</w:t>
            </w:r>
            <w:r w:rsidRPr="007A2962">
              <w:rPr>
                <w:sz w:val="20"/>
              </w:rPr>
              <w:t>anages</w:t>
            </w:r>
          </w:p>
        </w:tc>
      </w:tr>
      <w:tr w:rsidR="000530DE" w14:paraId="6420B1FD" w14:textId="77777777" w:rsidTr="000530DE">
        <w:tc>
          <w:tcPr>
            <w:cnfStyle w:val="001000000000" w:firstRow="0" w:lastRow="0" w:firstColumn="1" w:lastColumn="0" w:oddVBand="0" w:evenVBand="0" w:oddHBand="0" w:evenHBand="0" w:firstRowFirstColumn="0" w:firstRowLastColumn="0" w:lastRowFirstColumn="0" w:lastRowLastColumn="0"/>
            <w:tcW w:w="3116" w:type="dxa"/>
          </w:tcPr>
          <w:p w14:paraId="23356957" w14:textId="6361FD6F" w:rsidR="000530DE" w:rsidRPr="007A2962" w:rsidRDefault="000530DE" w:rsidP="000530DE">
            <w:pPr>
              <w:rPr>
                <w:sz w:val="20"/>
              </w:rPr>
            </w:pPr>
            <w:r w:rsidRPr="007A2962">
              <w:rPr>
                <w:sz w:val="20"/>
              </w:rPr>
              <w:t xml:space="preserve">MPLS </w:t>
            </w:r>
            <w:r>
              <w:rPr>
                <w:sz w:val="20"/>
              </w:rPr>
              <w:t>s</w:t>
            </w:r>
            <w:r w:rsidRPr="007A2962">
              <w:rPr>
                <w:sz w:val="20"/>
              </w:rPr>
              <w:t>upport</w:t>
            </w:r>
          </w:p>
        </w:tc>
        <w:tc>
          <w:tcPr>
            <w:tcW w:w="3117" w:type="dxa"/>
          </w:tcPr>
          <w:p w14:paraId="531705F9" w14:textId="7CC3960F" w:rsidR="000530DE" w:rsidRPr="007A2962" w:rsidRDefault="000530DE" w:rsidP="000530DE">
            <w:pPr>
              <w:cnfStyle w:val="000000000000" w:firstRow="0" w:lastRow="0" w:firstColumn="0" w:lastColumn="0" w:oddVBand="0" w:evenVBand="0" w:oddHBand="0" w:evenHBand="0" w:firstRowFirstColumn="0" w:firstRowLastColumn="0" w:lastRowFirstColumn="0" w:lastRowLastColumn="0"/>
              <w:rPr>
                <w:sz w:val="20"/>
              </w:rPr>
            </w:pPr>
            <w:r w:rsidRPr="007A2962">
              <w:rPr>
                <w:sz w:val="20"/>
              </w:rPr>
              <w:t>Yes</w:t>
            </w:r>
          </w:p>
        </w:tc>
        <w:tc>
          <w:tcPr>
            <w:tcW w:w="3117" w:type="dxa"/>
          </w:tcPr>
          <w:p w14:paraId="354CF35B" w14:textId="75F15D16" w:rsidR="000530DE" w:rsidRPr="007A2962" w:rsidRDefault="000530DE" w:rsidP="000530DE">
            <w:pPr>
              <w:cnfStyle w:val="000000000000" w:firstRow="0" w:lastRow="0" w:firstColumn="0" w:lastColumn="0" w:oddVBand="0" w:evenVBand="0" w:oddHBand="0" w:evenHBand="0" w:firstRowFirstColumn="0" w:firstRowLastColumn="0" w:lastRowFirstColumn="0" w:lastRowLastColumn="0"/>
              <w:rPr>
                <w:sz w:val="20"/>
              </w:rPr>
            </w:pPr>
            <w:r w:rsidRPr="007A2962">
              <w:rPr>
                <w:sz w:val="20"/>
              </w:rPr>
              <w:t>No</w:t>
            </w:r>
          </w:p>
        </w:tc>
      </w:tr>
      <w:tr w:rsidR="000530DE" w14:paraId="5D7CB648" w14:textId="77777777" w:rsidTr="000530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14:paraId="55591F22" w14:textId="0B5EA64F" w:rsidR="000530DE" w:rsidRPr="007A2962" w:rsidRDefault="000530DE" w:rsidP="000530DE">
            <w:pPr>
              <w:rPr>
                <w:sz w:val="20"/>
              </w:rPr>
            </w:pPr>
            <w:r w:rsidRPr="007A2962">
              <w:rPr>
                <w:sz w:val="20"/>
              </w:rPr>
              <w:t xml:space="preserve">Azure </w:t>
            </w:r>
            <w:r>
              <w:rPr>
                <w:sz w:val="20"/>
              </w:rPr>
              <w:t>c</w:t>
            </w:r>
            <w:r w:rsidRPr="007A2962">
              <w:rPr>
                <w:sz w:val="20"/>
              </w:rPr>
              <w:t xml:space="preserve">ircuit </w:t>
            </w:r>
            <w:r>
              <w:rPr>
                <w:sz w:val="20"/>
              </w:rPr>
              <w:t>c</w:t>
            </w:r>
            <w:r w:rsidRPr="007A2962">
              <w:rPr>
                <w:sz w:val="20"/>
              </w:rPr>
              <w:t>osts</w:t>
            </w:r>
          </w:p>
        </w:tc>
        <w:tc>
          <w:tcPr>
            <w:tcW w:w="3117" w:type="dxa"/>
          </w:tcPr>
          <w:p w14:paraId="570C4E97" w14:textId="416BD018" w:rsidR="000530DE" w:rsidRPr="007A2962" w:rsidRDefault="000530DE" w:rsidP="000530DE">
            <w:pPr>
              <w:cnfStyle w:val="000000100000" w:firstRow="0" w:lastRow="0" w:firstColumn="0" w:lastColumn="0" w:oddVBand="0" w:evenVBand="0" w:oddHBand="1" w:evenHBand="0" w:firstRowFirstColumn="0" w:firstRowLastColumn="0" w:lastRowFirstColumn="0" w:lastRowLastColumn="0"/>
              <w:rPr>
                <w:sz w:val="20"/>
              </w:rPr>
            </w:pPr>
            <w:r w:rsidRPr="007A2962">
              <w:rPr>
                <w:sz w:val="20"/>
              </w:rPr>
              <w:t>Ingress</w:t>
            </w:r>
            <w:r>
              <w:rPr>
                <w:sz w:val="20"/>
              </w:rPr>
              <w:t xml:space="preserve"> and e</w:t>
            </w:r>
            <w:r w:rsidRPr="007A2962">
              <w:rPr>
                <w:sz w:val="20"/>
              </w:rPr>
              <w:t>gress included in monthly fee</w:t>
            </w:r>
          </w:p>
        </w:tc>
        <w:tc>
          <w:tcPr>
            <w:tcW w:w="3117" w:type="dxa"/>
          </w:tcPr>
          <w:p w14:paraId="0E2FDEA2" w14:textId="07E791FF" w:rsidR="000530DE" w:rsidRPr="007A2962" w:rsidRDefault="000530DE" w:rsidP="000530DE">
            <w:pPr>
              <w:cnfStyle w:val="000000100000" w:firstRow="0" w:lastRow="0" w:firstColumn="0" w:lastColumn="0" w:oddVBand="0" w:evenVBand="0" w:oddHBand="1" w:evenHBand="0" w:firstRowFirstColumn="0" w:firstRowLastColumn="0" w:lastRowFirstColumn="0" w:lastRowLastColumn="0"/>
              <w:rPr>
                <w:sz w:val="20"/>
              </w:rPr>
            </w:pPr>
            <w:r w:rsidRPr="007A2962">
              <w:rPr>
                <w:sz w:val="20"/>
              </w:rPr>
              <w:t>Ingress</w:t>
            </w:r>
            <w:r>
              <w:rPr>
                <w:sz w:val="20"/>
              </w:rPr>
              <w:t xml:space="preserve"> and e</w:t>
            </w:r>
            <w:r w:rsidRPr="007A2962">
              <w:rPr>
                <w:sz w:val="20"/>
              </w:rPr>
              <w:t>gress allocation included in monthly fee and based on consumption</w:t>
            </w:r>
          </w:p>
        </w:tc>
      </w:tr>
      <w:tr w:rsidR="000530DE" w14:paraId="422B7E64" w14:textId="77777777" w:rsidTr="000530DE">
        <w:tc>
          <w:tcPr>
            <w:cnfStyle w:val="001000000000" w:firstRow="0" w:lastRow="0" w:firstColumn="1" w:lastColumn="0" w:oddVBand="0" w:evenVBand="0" w:oddHBand="0" w:evenHBand="0" w:firstRowFirstColumn="0" w:firstRowLastColumn="0" w:lastRowFirstColumn="0" w:lastRowLastColumn="0"/>
            <w:tcW w:w="3116" w:type="dxa"/>
          </w:tcPr>
          <w:p w14:paraId="1469C24C" w14:textId="63277C5B" w:rsidR="000530DE" w:rsidRPr="007A2962" w:rsidRDefault="000530DE" w:rsidP="000530DE">
            <w:pPr>
              <w:rPr>
                <w:sz w:val="20"/>
              </w:rPr>
            </w:pPr>
            <w:r w:rsidRPr="007A2962">
              <w:rPr>
                <w:sz w:val="20"/>
              </w:rPr>
              <w:t xml:space="preserve">Provider </w:t>
            </w:r>
            <w:r>
              <w:rPr>
                <w:sz w:val="20"/>
              </w:rPr>
              <w:t>c</w:t>
            </w:r>
            <w:r w:rsidRPr="007A2962">
              <w:rPr>
                <w:sz w:val="20"/>
              </w:rPr>
              <w:t xml:space="preserve">ircuit </w:t>
            </w:r>
            <w:r>
              <w:rPr>
                <w:sz w:val="20"/>
              </w:rPr>
              <w:t>c</w:t>
            </w:r>
            <w:r w:rsidRPr="007A2962">
              <w:rPr>
                <w:sz w:val="20"/>
              </w:rPr>
              <w:t>osts</w:t>
            </w:r>
          </w:p>
        </w:tc>
        <w:tc>
          <w:tcPr>
            <w:tcW w:w="3117" w:type="dxa"/>
          </w:tcPr>
          <w:p w14:paraId="384FA4CB" w14:textId="6801C2DF" w:rsidR="000530DE" w:rsidRPr="007A2962" w:rsidRDefault="000530DE" w:rsidP="000530DE">
            <w:pPr>
              <w:cnfStyle w:val="000000000000" w:firstRow="0" w:lastRow="0" w:firstColumn="0" w:lastColumn="0" w:oddVBand="0" w:evenVBand="0" w:oddHBand="0" w:evenHBand="0" w:firstRowFirstColumn="0" w:firstRowLastColumn="0" w:lastRowFirstColumn="0" w:lastRowLastColumn="0"/>
              <w:rPr>
                <w:sz w:val="20"/>
              </w:rPr>
            </w:pPr>
            <w:r w:rsidRPr="007A2962">
              <w:rPr>
                <w:sz w:val="20"/>
              </w:rPr>
              <w:t>Based on consumption</w:t>
            </w:r>
            <w:r>
              <w:rPr>
                <w:sz w:val="20"/>
              </w:rPr>
              <w:t>—</w:t>
            </w:r>
            <w:r w:rsidRPr="007A2962">
              <w:rPr>
                <w:sz w:val="20"/>
              </w:rPr>
              <w:t xml:space="preserve">some provide </w:t>
            </w:r>
            <w:r>
              <w:rPr>
                <w:sz w:val="20"/>
              </w:rPr>
              <w:t>all-inclusive</w:t>
            </w:r>
            <w:r w:rsidRPr="007A2962">
              <w:rPr>
                <w:sz w:val="20"/>
              </w:rPr>
              <w:t xml:space="preserve"> plans</w:t>
            </w:r>
          </w:p>
        </w:tc>
        <w:tc>
          <w:tcPr>
            <w:tcW w:w="3117" w:type="dxa"/>
          </w:tcPr>
          <w:p w14:paraId="6271C8A6" w14:textId="0D113E79" w:rsidR="000530DE" w:rsidRPr="007A2962" w:rsidRDefault="000530DE" w:rsidP="000530DE">
            <w:pPr>
              <w:cnfStyle w:val="000000000000" w:firstRow="0" w:lastRow="0" w:firstColumn="0" w:lastColumn="0" w:oddVBand="0" w:evenVBand="0" w:oddHBand="0" w:evenHBand="0" w:firstRowFirstColumn="0" w:firstRowLastColumn="0" w:lastRowFirstColumn="0" w:lastRowLastColumn="0"/>
              <w:rPr>
                <w:sz w:val="20"/>
              </w:rPr>
            </w:pPr>
            <w:r w:rsidRPr="007A2962">
              <w:rPr>
                <w:sz w:val="20"/>
              </w:rPr>
              <w:t>Based on consumption</w:t>
            </w:r>
          </w:p>
        </w:tc>
      </w:tr>
    </w:tbl>
    <w:p w14:paraId="01C60E47" w14:textId="1C404746" w:rsidR="0029153A" w:rsidRDefault="0029153A" w:rsidP="006B29E9"/>
    <w:tbl>
      <w:tblPr>
        <w:tblStyle w:val="PlainTable11"/>
        <w:tblW w:w="0" w:type="auto"/>
        <w:tblLook w:val="04A0" w:firstRow="1" w:lastRow="0" w:firstColumn="1" w:lastColumn="0" w:noHBand="0" w:noVBand="1"/>
      </w:tblPr>
      <w:tblGrid>
        <w:gridCol w:w="3379"/>
        <w:gridCol w:w="5971"/>
      </w:tblGrid>
      <w:tr w:rsidR="006B3724" w14:paraId="742FF1AD" w14:textId="77777777" w:rsidTr="002227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30C79871" w14:textId="77777777" w:rsidR="006B3724" w:rsidRPr="00F47607" w:rsidRDefault="006B3724" w:rsidP="006B3724">
            <w:pPr>
              <w:spacing w:line="240" w:lineRule="auto"/>
              <w:rPr>
                <w:color w:val="FFFFFF"/>
              </w:rPr>
            </w:pPr>
            <w:r>
              <w:rPr>
                <w:color w:val="FFFFFF"/>
              </w:rPr>
              <w:t>Feature References</w:t>
            </w:r>
          </w:p>
        </w:tc>
      </w:tr>
      <w:tr w:rsidR="006B3724" w:rsidRPr="002227B5" w14:paraId="6A3AA6D6" w14:textId="77777777" w:rsidTr="00222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6E5776C0" w14:textId="77777777" w:rsidR="006B3724" w:rsidRPr="002227B5" w:rsidRDefault="006B3724" w:rsidP="006B3724">
            <w:pPr>
              <w:spacing w:line="240" w:lineRule="auto"/>
              <w:rPr>
                <w:sz w:val="20"/>
                <w:szCs w:val="18"/>
              </w:rPr>
            </w:pPr>
            <w:r w:rsidRPr="002227B5">
              <w:rPr>
                <w:sz w:val="20"/>
                <w:szCs w:val="18"/>
              </w:rPr>
              <w:t>Configure an ExpressRoute Connection through a Network Service Provider</w:t>
            </w:r>
          </w:p>
        </w:tc>
        <w:tc>
          <w:tcPr>
            <w:tcW w:w="5940" w:type="dxa"/>
          </w:tcPr>
          <w:p w14:paraId="2C739C29" w14:textId="6775B09E" w:rsidR="006B3724" w:rsidRPr="00CE6596" w:rsidRDefault="00872E47" w:rsidP="006B3724">
            <w:pPr>
              <w:cnfStyle w:val="000000100000" w:firstRow="0" w:lastRow="0" w:firstColumn="0" w:lastColumn="0" w:oddVBand="0" w:evenVBand="0" w:oddHBand="1" w:evenHBand="0" w:firstRowFirstColumn="0" w:firstRowLastColumn="0" w:lastRowFirstColumn="0" w:lastRowLastColumn="0"/>
              <w:rPr>
                <w:sz w:val="20"/>
                <w:szCs w:val="20"/>
              </w:rPr>
            </w:pPr>
            <w:hyperlink r:id="rId397" w:history="1">
              <w:r w:rsidR="00CE6596" w:rsidRPr="00CE6596">
                <w:rPr>
                  <w:rStyle w:val="Hyperlink"/>
                  <w:sz w:val="20"/>
                  <w:szCs w:val="20"/>
                </w:rPr>
                <w:t>http://azure.microsoft.com/documentation/articles/expressroute-configuring-nsps/</w:t>
              </w:r>
            </w:hyperlink>
            <w:r w:rsidR="00CE6596" w:rsidRPr="00CE6596">
              <w:rPr>
                <w:sz w:val="20"/>
                <w:szCs w:val="20"/>
              </w:rPr>
              <w:t xml:space="preserve"> </w:t>
            </w:r>
            <w:r w:rsidR="006B3724" w:rsidRPr="00CE6596">
              <w:rPr>
                <w:sz w:val="20"/>
                <w:szCs w:val="20"/>
              </w:rPr>
              <w:t xml:space="preserve"> </w:t>
            </w:r>
          </w:p>
        </w:tc>
      </w:tr>
      <w:tr w:rsidR="006B3724" w:rsidRPr="002227B5" w14:paraId="73412DE4" w14:textId="77777777" w:rsidTr="002227B5">
        <w:tc>
          <w:tcPr>
            <w:cnfStyle w:val="001000000000" w:firstRow="0" w:lastRow="0" w:firstColumn="1" w:lastColumn="0" w:oddVBand="0" w:evenVBand="0" w:oddHBand="0" w:evenHBand="0" w:firstRowFirstColumn="0" w:firstRowLastColumn="0" w:lastRowFirstColumn="0" w:lastRowLastColumn="0"/>
            <w:tcW w:w="3420" w:type="dxa"/>
          </w:tcPr>
          <w:p w14:paraId="66E7DBD3" w14:textId="6E71ED67" w:rsidR="006B3724" w:rsidRPr="002227B5" w:rsidRDefault="006B3724" w:rsidP="006B3724">
            <w:pPr>
              <w:spacing w:line="240" w:lineRule="auto"/>
              <w:rPr>
                <w:sz w:val="20"/>
                <w:szCs w:val="18"/>
              </w:rPr>
            </w:pPr>
            <w:r w:rsidRPr="002227B5">
              <w:rPr>
                <w:sz w:val="20"/>
                <w:szCs w:val="18"/>
              </w:rPr>
              <w:t>Configure an ExpressRoute Connection through an Exchange Provider</w:t>
            </w:r>
          </w:p>
        </w:tc>
        <w:tc>
          <w:tcPr>
            <w:tcW w:w="5940" w:type="dxa"/>
          </w:tcPr>
          <w:p w14:paraId="67E91114" w14:textId="1DF5A3F0" w:rsidR="006B3724" w:rsidRPr="00B32915" w:rsidRDefault="00872E47" w:rsidP="006B3724">
            <w:pPr>
              <w:cnfStyle w:val="000000000000" w:firstRow="0" w:lastRow="0" w:firstColumn="0" w:lastColumn="0" w:oddVBand="0" w:evenVBand="0" w:oddHBand="0" w:evenHBand="0" w:firstRowFirstColumn="0" w:firstRowLastColumn="0" w:lastRowFirstColumn="0" w:lastRowLastColumn="0"/>
              <w:rPr>
                <w:sz w:val="20"/>
                <w:szCs w:val="20"/>
              </w:rPr>
            </w:pPr>
            <w:hyperlink r:id="rId398" w:history="1">
              <w:r w:rsidR="00B32915" w:rsidRPr="00B32915">
                <w:rPr>
                  <w:rStyle w:val="Hyperlink"/>
                  <w:sz w:val="20"/>
                  <w:szCs w:val="20"/>
                </w:rPr>
                <w:t>http://azure.microsoft.com/documentation/articles/expressroute-configuring-exps/</w:t>
              </w:r>
            </w:hyperlink>
            <w:r w:rsidR="00B32915" w:rsidRPr="00B32915">
              <w:rPr>
                <w:sz w:val="20"/>
                <w:szCs w:val="20"/>
              </w:rPr>
              <w:t xml:space="preserve"> </w:t>
            </w:r>
            <w:r w:rsidR="006B3724" w:rsidRPr="00B32915">
              <w:rPr>
                <w:sz w:val="20"/>
                <w:szCs w:val="20"/>
              </w:rPr>
              <w:t xml:space="preserve"> </w:t>
            </w:r>
          </w:p>
        </w:tc>
      </w:tr>
      <w:tr w:rsidR="006B3724" w:rsidRPr="002227B5" w14:paraId="01CD8787" w14:textId="77777777" w:rsidTr="00222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06C5ADAC" w14:textId="4F263E22" w:rsidR="006B3724" w:rsidRPr="002227B5" w:rsidRDefault="006B3724" w:rsidP="006B3724">
            <w:pPr>
              <w:spacing w:line="240" w:lineRule="auto"/>
              <w:rPr>
                <w:sz w:val="20"/>
                <w:szCs w:val="18"/>
              </w:rPr>
            </w:pPr>
            <w:r w:rsidRPr="002227B5">
              <w:rPr>
                <w:sz w:val="20"/>
                <w:szCs w:val="18"/>
              </w:rPr>
              <w:t>ExpressRoute Whitepaper with detailed steps for connecting via IXP model</w:t>
            </w:r>
          </w:p>
        </w:tc>
        <w:tc>
          <w:tcPr>
            <w:tcW w:w="5940" w:type="dxa"/>
          </w:tcPr>
          <w:p w14:paraId="68A44A91" w14:textId="092A8DB3" w:rsidR="006B3724" w:rsidRPr="002227B5" w:rsidRDefault="00872E47" w:rsidP="006B3724">
            <w:pPr>
              <w:cnfStyle w:val="000000100000" w:firstRow="0" w:lastRow="0" w:firstColumn="0" w:lastColumn="0" w:oddVBand="0" w:evenVBand="0" w:oddHBand="1" w:evenHBand="0" w:firstRowFirstColumn="0" w:firstRowLastColumn="0" w:lastRowFirstColumn="0" w:lastRowLastColumn="0"/>
              <w:rPr>
                <w:sz w:val="20"/>
              </w:rPr>
            </w:pPr>
            <w:hyperlink r:id="rId399" w:history="1">
              <w:r w:rsidR="006B3724" w:rsidRPr="002227B5">
                <w:rPr>
                  <w:rStyle w:val="Hyperlink"/>
                  <w:sz w:val="20"/>
                </w:rPr>
                <w:t>http://download.microsoft.com/download/0/F/B/0FBFAA46-2BFD-478F-8E56-7BF3C672DF9D/Microsoft%20Azure%20ExpressRoute.pdf</w:t>
              </w:r>
            </w:hyperlink>
            <w:r w:rsidR="006B3724" w:rsidRPr="002227B5">
              <w:rPr>
                <w:sz w:val="20"/>
              </w:rPr>
              <w:t xml:space="preserve"> </w:t>
            </w:r>
          </w:p>
        </w:tc>
      </w:tr>
    </w:tbl>
    <w:p w14:paraId="597049B3" w14:textId="074468EA" w:rsidR="00CC57C3" w:rsidRDefault="00CC57C3" w:rsidP="006B29E9">
      <w:bookmarkStart w:id="4363" w:name="_Toc414892119"/>
      <w:bookmarkStart w:id="4364" w:name="_Toc414960142"/>
      <w:bookmarkStart w:id="4365" w:name="_Toc414969113"/>
      <w:bookmarkStart w:id="4366" w:name="_Toc415011335"/>
      <w:bookmarkStart w:id="4367" w:name="_Toc415040025"/>
      <w:bookmarkStart w:id="4368" w:name="_Toc415572382"/>
      <w:bookmarkStart w:id="4369" w:name="_Toc415735552"/>
      <w:bookmarkStart w:id="4370" w:name="_Toc415814133"/>
      <w:bookmarkStart w:id="4371" w:name="_Toc416343868"/>
      <w:bookmarkStart w:id="4372" w:name="_Toc416863140"/>
    </w:p>
    <w:p w14:paraId="692C9E1D" w14:textId="77777777" w:rsidR="00CD72B7" w:rsidRDefault="00CD72B7" w:rsidP="005729D2">
      <w:pPr>
        <w:pStyle w:val="Heading4Numbered"/>
        <w:numPr>
          <w:ilvl w:val="3"/>
          <w:numId w:val="64"/>
        </w:numPr>
      </w:pPr>
      <w:bookmarkStart w:id="4373" w:name="_Toc417314752"/>
      <w:bookmarkStart w:id="4374" w:name="_Toc417323769"/>
      <w:bookmarkStart w:id="4375" w:name="_Toc417326858"/>
      <w:bookmarkStart w:id="4376" w:name="_Toc417330406"/>
      <w:bookmarkStart w:id="4377" w:name="_Toc417395012"/>
      <w:bookmarkStart w:id="4378" w:name="_Toc417399229"/>
      <w:bookmarkStart w:id="4379" w:name="_Toc417399388"/>
      <w:bookmarkStart w:id="4380" w:name="_Toc417400435"/>
      <w:bookmarkStart w:id="4381" w:name="_Toc417401283"/>
      <w:bookmarkStart w:id="4382" w:name="_Toc417419597"/>
      <w:bookmarkStart w:id="4383" w:name="_Toc417457369"/>
      <w:bookmarkStart w:id="4384" w:name="_Toc417481947"/>
      <w:bookmarkStart w:id="4385" w:name="_Toc417482205"/>
      <w:bookmarkStart w:id="4386" w:name="_Toc417499924"/>
      <w:bookmarkStart w:id="4387" w:name="_Toc417502746"/>
      <w:bookmarkStart w:id="4388" w:name="_Toc417548323"/>
      <w:bookmarkStart w:id="4389" w:name="_Toc417594563"/>
      <w:r>
        <w:t xml:space="preserve">ExpressRoute Public Peering Design Considerations </w:t>
      </w:r>
    </w:p>
    <w:p w14:paraId="71CAAD9A" w14:textId="6B341127" w:rsidR="000530DE" w:rsidRDefault="00CD72B7" w:rsidP="000530DE">
      <w:r>
        <w:t>Establishing</w:t>
      </w:r>
      <w:r w:rsidR="000530DE">
        <w:t xml:space="preserve"> a connection to the public peering network allows virtual machines on Azure Virtual Networks and on-premises systems to leverage the ExpressRoute circuit to connect to Azure PaaS services on the public peering network without traversing the Internet. </w:t>
      </w:r>
    </w:p>
    <w:p w14:paraId="0772E2A9" w14:textId="77777777" w:rsidR="000530DE" w:rsidRDefault="000530DE" w:rsidP="000530DE">
      <w:r>
        <w:t xml:space="preserve">Establishing a public peering connection is an optional configuration step for an ExpressRoute circuit. When the public peering connection is established, the routes for all the Azure datacenters worldwide are published to the edge router. This directs traffic to the Azure services instead of going out to the Internet. </w:t>
      </w:r>
    </w:p>
    <w:p w14:paraId="5D6E2EA8" w14:textId="77777777" w:rsidR="000530DE" w:rsidRDefault="000530DE" w:rsidP="000530DE">
      <w:r>
        <w:t>The interface between the Azure public services and the customer’s network is protected by redundant NAT firewalls. These NAT devices allow customers' systems to access the Azure public services, but they only allow stateful traffic back to the customer’s networks.</w:t>
      </w:r>
    </w:p>
    <w:p w14:paraId="5643D3C7" w14:textId="2D017505" w:rsidR="00CD72B7" w:rsidRDefault="000530DE" w:rsidP="000530DE">
      <w:r>
        <w:t>This interaction is outlined in the following diagram:</w:t>
      </w:r>
    </w:p>
    <w:p w14:paraId="2257923E" w14:textId="48C53A7F" w:rsidR="001D70E1" w:rsidRDefault="001D70E1" w:rsidP="00CD72B7">
      <w:r>
        <w:object w:dxaOrig="15649" w:dyaOrig="9685" w14:anchorId="4A334258">
          <v:shape id="_x0000_i1036" type="#_x0000_t75" style="width:468pt;height:290.25pt" o:ole="">
            <v:imagedata r:id="rId400" o:title=""/>
          </v:shape>
          <o:OLEObject Type="Embed" ProgID="Visio.Drawing.15" ShapeID="_x0000_i1036" DrawAspect="Content" ObjectID="_1508841464" r:id="rId401"/>
        </w:object>
      </w:r>
    </w:p>
    <w:p w14:paraId="03206678" w14:textId="3980843E" w:rsidR="00CD72B7" w:rsidRDefault="00CD72B7" w:rsidP="00CD72B7"/>
    <w:p w14:paraId="26CF12CA" w14:textId="43DADBA1" w:rsidR="00BD6475" w:rsidRDefault="00BD6475" w:rsidP="00CD72B7"/>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BD6475" w14:paraId="6139011B" w14:textId="77777777" w:rsidTr="00BD6475">
        <w:tc>
          <w:tcPr>
            <w:tcW w:w="9360" w:type="dxa"/>
            <w:tcBorders>
              <w:top w:val="single" w:sz="4" w:space="0" w:color="008AC8"/>
              <w:left w:val="nil"/>
              <w:bottom w:val="single" w:sz="4" w:space="0" w:color="008AC8"/>
              <w:right w:val="nil"/>
            </w:tcBorders>
            <w:shd w:val="clear" w:color="auto" w:fill="008AC8"/>
            <w:hideMark/>
          </w:tcPr>
          <w:p w14:paraId="40AA52D8" w14:textId="77777777" w:rsidR="00BD6475" w:rsidRDefault="00BD6475">
            <w:pPr>
              <w:spacing w:line="240" w:lineRule="auto"/>
              <w:rPr>
                <w:color w:val="FFFFFF"/>
              </w:rPr>
            </w:pPr>
            <w:r>
              <w:rPr>
                <w:color w:val="FFFFFF"/>
              </w:rPr>
              <w:t>Design Guidance</w:t>
            </w:r>
          </w:p>
        </w:tc>
      </w:tr>
    </w:tbl>
    <w:p w14:paraId="62EC6470" w14:textId="77777777" w:rsidR="00BD6475" w:rsidRDefault="00BD6475" w:rsidP="00BD6475">
      <w:r>
        <w:t>When you design ExpressRoute peering, consider the following:</w:t>
      </w:r>
    </w:p>
    <w:tbl>
      <w:tblPr>
        <w:tblStyle w:val="PlainTable11"/>
        <w:tblW w:w="0" w:type="auto"/>
        <w:tblLook w:val="04A0" w:firstRow="1" w:lastRow="0" w:firstColumn="1" w:lastColumn="0" w:noHBand="0" w:noVBand="1"/>
      </w:tblPr>
      <w:tblGrid>
        <w:gridCol w:w="2609"/>
        <w:gridCol w:w="6741"/>
      </w:tblGrid>
      <w:tr w:rsidR="00BD6475" w:rsidRPr="002227B5" w14:paraId="5F1F844A" w14:textId="77777777" w:rsidTr="002227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808080" w:themeFill="background1" w:themeFillShade="80"/>
            <w:hideMark/>
          </w:tcPr>
          <w:p w14:paraId="21D611A7" w14:textId="77777777" w:rsidR="00BD6475" w:rsidRPr="002227B5" w:rsidRDefault="00BD6475">
            <w:pPr>
              <w:spacing w:line="240" w:lineRule="auto"/>
              <w:rPr>
                <w:rFonts w:eastAsia="Calibri"/>
                <w:bCs w:val="0"/>
                <w:color w:val="FFFFFF"/>
                <w:sz w:val="20"/>
                <w:szCs w:val="20"/>
                <w:lang w:eastAsia="en-AU"/>
              </w:rPr>
            </w:pPr>
            <w:r w:rsidRPr="002227B5">
              <w:rPr>
                <w:rFonts w:eastAsia="Calibri"/>
                <w:bCs w:val="0"/>
                <w:color w:val="FFFFFF"/>
                <w:sz w:val="20"/>
                <w:szCs w:val="20"/>
                <w:lang w:eastAsia="en-AU"/>
              </w:rPr>
              <w:t>Capability Consideration</w:t>
            </w:r>
          </w:p>
        </w:tc>
        <w:tc>
          <w:tcPr>
            <w:tcW w:w="6741" w:type="dxa"/>
            <w:shd w:val="clear" w:color="auto" w:fill="808080" w:themeFill="background1" w:themeFillShade="80"/>
            <w:hideMark/>
          </w:tcPr>
          <w:p w14:paraId="2C6FFBE6" w14:textId="77777777" w:rsidR="00BD6475" w:rsidRPr="002227B5" w:rsidRDefault="00BD6475">
            <w:pPr>
              <w:spacing w:line="240" w:lineRule="auto"/>
              <w:cnfStyle w:val="100000000000" w:firstRow="1" w:lastRow="0" w:firstColumn="0" w:lastColumn="0" w:oddVBand="0" w:evenVBand="0" w:oddHBand="0" w:evenHBand="0" w:firstRowFirstColumn="0" w:firstRowLastColumn="0" w:lastRowFirstColumn="0" w:lastRowLastColumn="0"/>
              <w:rPr>
                <w:rFonts w:eastAsia="Calibri"/>
                <w:bCs w:val="0"/>
                <w:color w:val="FFFFFF"/>
                <w:sz w:val="20"/>
                <w:szCs w:val="20"/>
                <w:lang w:eastAsia="en-AU"/>
              </w:rPr>
            </w:pPr>
            <w:r w:rsidRPr="002227B5">
              <w:rPr>
                <w:rFonts w:eastAsia="Calibri"/>
                <w:bCs w:val="0"/>
                <w:color w:val="FFFFFF"/>
                <w:sz w:val="20"/>
                <w:szCs w:val="20"/>
                <w:lang w:eastAsia="en-AU"/>
              </w:rPr>
              <w:t>Capability Decision Points</w:t>
            </w:r>
          </w:p>
        </w:tc>
      </w:tr>
      <w:tr w:rsidR="000530DE" w14:paraId="08D8F01F" w14:textId="77777777" w:rsidTr="00222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722EDA3" w14:textId="3C6EAAEC" w:rsidR="000530DE" w:rsidRDefault="000530DE" w:rsidP="000530DE">
            <w:pPr>
              <w:rPr>
                <w:sz w:val="20"/>
                <w:szCs w:val="20"/>
              </w:rPr>
            </w:pPr>
            <w:r>
              <w:rPr>
                <w:sz w:val="20"/>
                <w:szCs w:val="20"/>
              </w:rPr>
              <w:t>Azure Services in the datacenter</w:t>
            </w:r>
          </w:p>
        </w:tc>
        <w:tc>
          <w:tcPr>
            <w:tcW w:w="6741" w:type="dxa"/>
            <w:hideMark/>
          </w:tcPr>
          <w:p w14:paraId="72036F7D" w14:textId="2124E358" w:rsidR="000530DE" w:rsidRDefault="000530DE" w:rsidP="000530DE">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All Azure services reside within an Azure datacenter and are assigned routable IP addresses.</w:t>
            </w:r>
          </w:p>
        </w:tc>
      </w:tr>
      <w:tr w:rsidR="000530DE" w14:paraId="3EE8AA24" w14:textId="77777777" w:rsidTr="002227B5">
        <w:trPr>
          <w:trHeight w:val="519"/>
        </w:trPr>
        <w:tc>
          <w:tcPr>
            <w:cnfStyle w:val="001000000000" w:firstRow="0" w:lastRow="0" w:firstColumn="1" w:lastColumn="0" w:oddVBand="0" w:evenVBand="0" w:oddHBand="0" w:evenHBand="0" w:firstRowFirstColumn="0" w:firstRowLastColumn="0" w:lastRowFirstColumn="0" w:lastRowLastColumn="0"/>
            <w:tcW w:w="0" w:type="auto"/>
            <w:hideMark/>
          </w:tcPr>
          <w:p w14:paraId="05808359" w14:textId="6A31D42B" w:rsidR="000530DE" w:rsidRDefault="000530DE" w:rsidP="000530DE">
            <w:pPr>
              <w:pStyle w:val="NormalWeb"/>
              <w:spacing w:line="254" w:lineRule="auto"/>
              <w:rPr>
                <w:rFonts w:ascii="Segoe UI" w:hAnsi="Segoe UI" w:cs="Segoe UI"/>
                <w:sz w:val="20"/>
                <w:szCs w:val="20"/>
                <w:lang w:val="en-AU" w:eastAsia="en-AU"/>
              </w:rPr>
            </w:pPr>
            <w:r>
              <w:rPr>
                <w:rFonts w:ascii="Segoe UI" w:hAnsi="Segoe UI" w:cs="Segoe UI"/>
                <w:sz w:val="20"/>
                <w:szCs w:val="20"/>
                <w:lang w:val="en-AU" w:eastAsia="en-AU"/>
              </w:rPr>
              <w:t>Public peering services</w:t>
            </w:r>
          </w:p>
        </w:tc>
        <w:tc>
          <w:tcPr>
            <w:tcW w:w="6741" w:type="dxa"/>
            <w:hideMark/>
          </w:tcPr>
          <w:p w14:paraId="2A1BF789" w14:textId="77777777" w:rsidR="000530DE" w:rsidRDefault="000530DE" w:rsidP="000530DE">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From a design perspective, any Azure public service only sees the NAT device address. If the Azure public service provides firewall protection, only the NAT addresses can be used in the firewall rules. </w:t>
            </w:r>
          </w:p>
          <w:p w14:paraId="2E3B95A5" w14:textId="0DF3FBCB" w:rsidR="000530DE" w:rsidRDefault="000530DE" w:rsidP="000530DE">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From a security perspective, specifying the NAT addresses will prevent connections from the Internet for the customer’s instance of that public service. This also means that any system behind the NAT can access the public service, which may not be desired from a security perspective.</w:t>
            </w:r>
          </w:p>
        </w:tc>
      </w:tr>
    </w:tbl>
    <w:p w14:paraId="5ED16FAA" w14:textId="64B8CF52" w:rsidR="00CD72B7" w:rsidRDefault="00CD72B7" w:rsidP="005729D2">
      <w:pPr>
        <w:pStyle w:val="Heading4Numbered"/>
        <w:numPr>
          <w:ilvl w:val="3"/>
          <w:numId w:val="64"/>
        </w:numPr>
      </w:pPr>
      <w:r>
        <w:t xml:space="preserve">ExpressRoute </w:t>
      </w:r>
      <w:r w:rsidR="00BD6475">
        <w:t xml:space="preserve">Performance </w:t>
      </w:r>
      <w:r>
        <w:t xml:space="preserve">Design Considerations </w:t>
      </w:r>
    </w:p>
    <w:p w14:paraId="43F76AC0" w14:textId="529039A7" w:rsidR="000530DE" w:rsidRDefault="00CD72B7" w:rsidP="000530DE">
      <w:r>
        <w:t>ExpressRoute</w:t>
      </w:r>
      <w:r w:rsidR="000530DE">
        <w:t xml:space="preserve"> circuits provide a private path to route traffic to the Azure datacenter. When the traffic reaches the Azure edge device, it must leverage the software-defined routing within the Azure datacenter to isolate traffic. Currently, ExpressRoute connections from the customer’s datacenter to the Azure edge and can achieve up to 10 Gbps. </w:t>
      </w:r>
    </w:p>
    <w:p w14:paraId="05C72138" w14:textId="77777777" w:rsidR="000530DE" w:rsidRDefault="000530DE" w:rsidP="000530DE">
      <w:r>
        <w:t>At that edge, virtual connections are established to the customer's private virtual network gateways to enable routing traffic. Today the maximum performance that a single virtual network gateway can provide is 2 Gbps. To optimize traffic through the ExpressRoute circuit, it may be required to leverage multiple virtual networks and gateways.</w:t>
      </w:r>
    </w:p>
    <w:p w14:paraId="1221B915" w14:textId="4352102D" w:rsidR="00BD6475" w:rsidRDefault="000530DE" w:rsidP="000530DE">
      <w:r>
        <w:t>Customers have the ability to purchase the optimal ExpressRoute circuit bandwidth to meet their throughput requirements. Circuits can be upgraded to provide additional performance with minimal impact. Circuits cannot be downgraded without impact</w:t>
      </w:r>
      <w:r w:rsidR="00A15839">
        <w:t>.</w:t>
      </w:r>
    </w:p>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BD6475" w14:paraId="752D34FA" w14:textId="77777777" w:rsidTr="00BD6475">
        <w:tc>
          <w:tcPr>
            <w:tcW w:w="9360" w:type="dxa"/>
            <w:tcBorders>
              <w:top w:val="single" w:sz="4" w:space="0" w:color="008AC8"/>
              <w:left w:val="nil"/>
              <w:bottom w:val="single" w:sz="4" w:space="0" w:color="008AC8"/>
              <w:right w:val="nil"/>
            </w:tcBorders>
            <w:shd w:val="clear" w:color="auto" w:fill="008AC8"/>
            <w:hideMark/>
          </w:tcPr>
          <w:p w14:paraId="70DD4F04" w14:textId="77777777" w:rsidR="00BD6475" w:rsidRDefault="00BD6475">
            <w:pPr>
              <w:spacing w:line="240" w:lineRule="auto"/>
              <w:rPr>
                <w:color w:val="FFFFFF"/>
              </w:rPr>
            </w:pPr>
            <w:r>
              <w:rPr>
                <w:color w:val="FFFFFF"/>
              </w:rPr>
              <w:t>Design Guidance</w:t>
            </w:r>
          </w:p>
        </w:tc>
      </w:tr>
    </w:tbl>
    <w:p w14:paraId="625643A5" w14:textId="77777777" w:rsidR="00BD6475" w:rsidRDefault="00BD6475" w:rsidP="00BD6475">
      <w:r>
        <w:t>When you design for ExpressRoute performance, consider the following:</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29" w:type="dxa"/>
          <w:bottom w:w="29" w:type="dxa"/>
        </w:tblCellMar>
        <w:tblLook w:val="0620" w:firstRow="1" w:lastRow="0" w:firstColumn="0" w:lastColumn="0" w:noHBand="1" w:noVBand="1"/>
      </w:tblPr>
      <w:tblGrid>
        <w:gridCol w:w="2614"/>
        <w:gridCol w:w="6741"/>
      </w:tblGrid>
      <w:tr w:rsidR="00BD6475" w14:paraId="70305D58" w14:textId="77777777" w:rsidTr="002227B5">
        <w:trPr>
          <w:tblHeader/>
        </w:trPr>
        <w:tc>
          <w:tcPr>
            <w:tcW w:w="0" w:type="auto"/>
            <w:tcBorders>
              <w:top w:val="single" w:sz="4" w:space="0" w:color="A5A5A5"/>
              <w:left w:val="single" w:sz="4" w:space="0" w:color="A5A5A5"/>
              <w:bottom w:val="single" w:sz="4" w:space="0" w:color="A5A5A5"/>
              <w:right w:val="nil"/>
            </w:tcBorders>
            <w:shd w:val="clear" w:color="auto" w:fill="808080" w:themeFill="background1" w:themeFillShade="80"/>
            <w:hideMark/>
          </w:tcPr>
          <w:p w14:paraId="226DEF47" w14:textId="77777777" w:rsidR="00BD6475" w:rsidRDefault="00BD6475">
            <w:pPr>
              <w:spacing w:line="240" w:lineRule="auto"/>
              <w:rPr>
                <w:rFonts w:eastAsia="Calibri"/>
                <w:b/>
                <w:bCs/>
                <w:color w:val="FFFFFF"/>
                <w:sz w:val="20"/>
                <w:szCs w:val="20"/>
                <w:lang w:eastAsia="en-AU"/>
              </w:rPr>
            </w:pPr>
            <w:r>
              <w:rPr>
                <w:rFonts w:eastAsia="Calibri"/>
                <w:b/>
                <w:bCs/>
                <w:color w:val="FFFFFF"/>
                <w:sz w:val="20"/>
                <w:szCs w:val="20"/>
                <w:lang w:eastAsia="en-AU"/>
              </w:rPr>
              <w:t>Capability Consideration</w:t>
            </w:r>
          </w:p>
        </w:tc>
        <w:tc>
          <w:tcPr>
            <w:tcW w:w="6741" w:type="dxa"/>
            <w:tcBorders>
              <w:top w:val="single" w:sz="4" w:space="0" w:color="A5A5A5"/>
              <w:left w:val="nil"/>
              <w:bottom w:val="single" w:sz="4" w:space="0" w:color="A5A5A5"/>
              <w:right w:val="nil"/>
            </w:tcBorders>
            <w:shd w:val="clear" w:color="auto" w:fill="808080" w:themeFill="background1" w:themeFillShade="80"/>
            <w:hideMark/>
          </w:tcPr>
          <w:p w14:paraId="6E814491" w14:textId="77777777" w:rsidR="00BD6475" w:rsidRDefault="00BD6475">
            <w:pPr>
              <w:spacing w:line="240" w:lineRule="auto"/>
              <w:rPr>
                <w:rFonts w:eastAsia="Calibri"/>
                <w:b/>
                <w:bCs/>
                <w:color w:val="FFFFFF"/>
                <w:sz w:val="20"/>
                <w:szCs w:val="20"/>
                <w:lang w:eastAsia="en-AU"/>
              </w:rPr>
            </w:pPr>
            <w:r>
              <w:rPr>
                <w:rFonts w:eastAsia="Calibri"/>
                <w:b/>
                <w:bCs/>
                <w:color w:val="FFFFFF"/>
                <w:sz w:val="20"/>
                <w:szCs w:val="20"/>
                <w:lang w:eastAsia="en-AU"/>
              </w:rPr>
              <w:t>Capability Decision Points</w:t>
            </w:r>
          </w:p>
        </w:tc>
      </w:tr>
      <w:tr w:rsidR="000530DE" w14:paraId="37BA284F" w14:textId="77777777" w:rsidTr="00675AFE">
        <w:tc>
          <w:tcPr>
            <w:tcW w:w="0" w:type="auto"/>
            <w:tcBorders>
              <w:top w:val="single" w:sz="4" w:space="0" w:color="C9C9C9"/>
              <w:left w:val="single" w:sz="4" w:space="0" w:color="C9C9C9"/>
              <w:bottom w:val="single" w:sz="4" w:space="0" w:color="C9C9C9"/>
              <w:right w:val="single" w:sz="4" w:space="0" w:color="C9C9C9"/>
            </w:tcBorders>
            <w:shd w:val="clear" w:color="auto" w:fill="F2F2F2" w:themeFill="background1" w:themeFillShade="F2"/>
            <w:hideMark/>
          </w:tcPr>
          <w:p w14:paraId="0A79DDC0" w14:textId="252AD6B2" w:rsidR="000530DE" w:rsidRDefault="000530DE" w:rsidP="000530DE">
            <w:pPr>
              <w:rPr>
                <w:sz w:val="20"/>
                <w:szCs w:val="20"/>
              </w:rPr>
            </w:pPr>
            <w:r>
              <w:rPr>
                <w:sz w:val="20"/>
                <w:szCs w:val="20"/>
              </w:rPr>
              <w:t>Bursting traffic</w:t>
            </w:r>
          </w:p>
        </w:tc>
        <w:tc>
          <w:tcPr>
            <w:tcW w:w="6741" w:type="dxa"/>
            <w:tcBorders>
              <w:top w:val="single" w:sz="4" w:space="0" w:color="C9C9C9"/>
              <w:left w:val="single" w:sz="4" w:space="0" w:color="C9C9C9"/>
              <w:bottom w:val="single" w:sz="4" w:space="0" w:color="C9C9C9"/>
              <w:right w:val="single" w:sz="4" w:space="0" w:color="C9C9C9"/>
            </w:tcBorders>
            <w:shd w:val="clear" w:color="auto" w:fill="F2F2F2" w:themeFill="background1" w:themeFillShade="F2"/>
            <w:hideMark/>
          </w:tcPr>
          <w:p w14:paraId="003CCE12" w14:textId="4DEBE6F3" w:rsidR="000530DE" w:rsidRDefault="000530DE" w:rsidP="000530DE">
            <w:pPr>
              <w:rPr>
                <w:sz w:val="20"/>
                <w:szCs w:val="20"/>
              </w:rPr>
            </w:pPr>
            <w:r>
              <w:rPr>
                <w:sz w:val="20"/>
                <w:szCs w:val="20"/>
              </w:rPr>
              <w:t>ExpressRoute circuits allow for bursting of traffic to up to two times the rated bandwidth of the circuit. Gateways will also support this bursting capability. Gateways and circuits will drop packets if the burst limit is exceeded.</w:t>
            </w:r>
          </w:p>
        </w:tc>
      </w:tr>
      <w:tr w:rsidR="000530DE" w14:paraId="25C9A882" w14:textId="77777777" w:rsidTr="00675AFE">
        <w:tc>
          <w:tcPr>
            <w:tcW w:w="0" w:type="auto"/>
            <w:tcBorders>
              <w:top w:val="single" w:sz="4" w:space="0" w:color="C9C9C9"/>
              <w:left w:val="single" w:sz="4" w:space="0" w:color="C9C9C9"/>
              <w:bottom w:val="single" w:sz="4" w:space="0" w:color="C9C9C9"/>
              <w:right w:val="single" w:sz="4" w:space="0" w:color="C9C9C9"/>
            </w:tcBorders>
            <w:shd w:val="clear" w:color="auto" w:fill="FFFFFF" w:themeFill="background1"/>
          </w:tcPr>
          <w:p w14:paraId="56F28B22" w14:textId="3ED50665" w:rsidR="000530DE" w:rsidRDefault="000530DE" w:rsidP="000530DE">
            <w:pPr>
              <w:rPr>
                <w:sz w:val="20"/>
                <w:szCs w:val="20"/>
              </w:rPr>
            </w:pPr>
            <w:r>
              <w:rPr>
                <w:sz w:val="20"/>
                <w:szCs w:val="20"/>
              </w:rPr>
              <w:t>Standard versus Premium ExpressRoute</w:t>
            </w:r>
          </w:p>
        </w:tc>
        <w:tc>
          <w:tcPr>
            <w:tcW w:w="6741" w:type="dxa"/>
            <w:tcBorders>
              <w:top w:val="single" w:sz="4" w:space="0" w:color="C9C9C9"/>
              <w:left w:val="single" w:sz="4" w:space="0" w:color="C9C9C9"/>
              <w:bottom w:val="single" w:sz="4" w:space="0" w:color="C9C9C9"/>
              <w:right w:val="single" w:sz="4" w:space="0" w:color="C9C9C9"/>
            </w:tcBorders>
            <w:shd w:val="clear" w:color="auto" w:fill="FFFFFF" w:themeFill="background1"/>
          </w:tcPr>
          <w:p w14:paraId="31D07949" w14:textId="31BC658F" w:rsidR="000530DE" w:rsidRDefault="000530DE" w:rsidP="000530DE">
            <w:pPr>
              <w:rPr>
                <w:sz w:val="20"/>
                <w:szCs w:val="20"/>
              </w:rPr>
            </w:pPr>
            <w:r>
              <w:rPr>
                <w:sz w:val="20"/>
                <w:szCs w:val="20"/>
              </w:rPr>
              <w:t>ExpressRoute comes in two SKUs: Standard and Premium. Although the performance of the ExpressRoute circuit does not change the number of routes, the number of virtual network connections per circuit, and the ability to route traffic across Azure regions is an upgrade when using Premium.</w:t>
            </w:r>
          </w:p>
        </w:tc>
      </w:tr>
      <w:tr w:rsidR="000530DE" w14:paraId="05AB7B66" w14:textId="77777777" w:rsidTr="00675AFE">
        <w:tc>
          <w:tcPr>
            <w:tcW w:w="0" w:type="auto"/>
            <w:tcBorders>
              <w:top w:val="single" w:sz="4" w:space="0" w:color="C9C9C9"/>
              <w:left w:val="single" w:sz="4" w:space="0" w:color="C9C9C9"/>
              <w:bottom w:val="single" w:sz="4" w:space="0" w:color="C9C9C9"/>
              <w:right w:val="single" w:sz="4" w:space="0" w:color="C9C9C9"/>
            </w:tcBorders>
            <w:shd w:val="clear" w:color="auto" w:fill="F2F2F2" w:themeFill="background1" w:themeFillShade="F2"/>
          </w:tcPr>
          <w:p w14:paraId="14508094" w14:textId="0C34E898" w:rsidR="000530DE" w:rsidRDefault="000530DE" w:rsidP="000530DE">
            <w:pPr>
              <w:rPr>
                <w:sz w:val="20"/>
                <w:szCs w:val="20"/>
              </w:rPr>
            </w:pPr>
            <w:r>
              <w:rPr>
                <w:sz w:val="20"/>
                <w:szCs w:val="20"/>
              </w:rPr>
              <w:t>Gateway performance</w:t>
            </w:r>
          </w:p>
        </w:tc>
        <w:tc>
          <w:tcPr>
            <w:tcW w:w="6741" w:type="dxa"/>
            <w:tcBorders>
              <w:top w:val="single" w:sz="4" w:space="0" w:color="C9C9C9"/>
              <w:left w:val="single" w:sz="4" w:space="0" w:color="C9C9C9"/>
              <w:bottom w:val="single" w:sz="4" w:space="0" w:color="C9C9C9"/>
              <w:right w:val="single" w:sz="4" w:space="0" w:color="C9C9C9"/>
            </w:tcBorders>
            <w:shd w:val="clear" w:color="auto" w:fill="F2F2F2" w:themeFill="background1" w:themeFillShade="F2"/>
          </w:tcPr>
          <w:p w14:paraId="6F615FF7" w14:textId="75C591AE" w:rsidR="000530DE" w:rsidRDefault="000530DE" w:rsidP="000530DE">
            <w:pPr>
              <w:rPr>
                <w:sz w:val="20"/>
                <w:szCs w:val="20"/>
              </w:rPr>
            </w:pPr>
            <w:r>
              <w:rPr>
                <w:sz w:val="20"/>
                <w:szCs w:val="20"/>
              </w:rPr>
              <w:t>Gateways come in three SKUs: Basic, Standard, and High Performance. The maximum speed of the gateway is a function of the SKU and affects the performance that you can achieve over an ExpressRoute circuit to a single virtual network.</w:t>
            </w:r>
          </w:p>
        </w:tc>
      </w:tr>
    </w:tbl>
    <w:p w14:paraId="0AD98EDA" w14:textId="472D99D2" w:rsidR="00BD6475" w:rsidRPr="00A15839" w:rsidRDefault="00BD6475" w:rsidP="00256000"/>
    <w:p w14:paraId="3CD0300F" w14:textId="3B72E807" w:rsidR="00CC57C3" w:rsidRDefault="00785F3C" w:rsidP="005729D2">
      <w:pPr>
        <w:pStyle w:val="Heading4Numbered"/>
        <w:numPr>
          <w:ilvl w:val="3"/>
          <w:numId w:val="64"/>
        </w:numPr>
      </w:pPr>
      <w:r>
        <w:t xml:space="preserve">ExpressRoute </w:t>
      </w:r>
      <w:r w:rsidR="00935964">
        <w:t xml:space="preserve">Cost </w:t>
      </w:r>
      <w:r w:rsidR="00112C98">
        <w:t>Design Considerations</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3A6B7F90" w14:textId="236DBB17" w:rsidR="000530DE" w:rsidRDefault="00935964" w:rsidP="000530DE">
      <w:r>
        <w:t>ExpressRoute</w:t>
      </w:r>
      <w:r w:rsidR="000530DE">
        <w:t xml:space="preserve"> connectivity and pricing is made of two components: </w:t>
      </w:r>
      <w:r w:rsidR="000530DE" w:rsidRPr="0029153A">
        <w:t>the service connection costs (Azure) and the authorized carrier costs (telco partner)</w:t>
      </w:r>
      <w:r w:rsidR="000530DE">
        <w:t>. Customers are charged by Azure for the</w:t>
      </w:r>
      <w:r w:rsidR="000530DE" w:rsidDel="00935964">
        <w:t xml:space="preserve"> </w:t>
      </w:r>
      <w:r w:rsidR="000530DE">
        <w:t xml:space="preserve">ExpressRoute monthly access fee, and potentially an egress traffic fee based on the type and performance of the ExpressRoute connection. Customers also have costs associated with the selected provider, which is typically comprised of the circuit connection and monthly traffic fees. </w:t>
      </w:r>
    </w:p>
    <w:p w14:paraId="111A9D92" w14:textId="4909902D" w:rsidR="00CC57C3" w:rsidRDefault="000530DE" w:rsidP="000530DE">
      <w:r w:rsidDel="00935964">
        <w:t xml:space="preserve">From </w:t>
      </w:r>
      <w:r>
        <w:t>an Azure perspective, an NSP connection is an inclusive plan where customers are charged a monthly fee and get unlimited ingress and egress traffic. Fees associated with IXP connections include</w:t>
      </w:r>
      <w:r w:rsidDel="009F1622">
        <w:t xml:space="preserve"> </w:t>
      </w:r>
      <w:r>
        <w:t>a monthly service charge and</w:t>
      </w:r>
      <w:r w:rsidDel="009F1622">
        <w:t xml:space="preserve"> </w:t>
      </w:r>
      <w:r>
        <w:t>potential traffic egress charges when a high watermark of traffic is exceeded. In these cases</w:t>
      </w:r>
      <w:r w:rsidDel="009F1622">
        <w:t>,</w:t>
      </w:r>
      <w:r>
        <w:t xml:space="preserve"> the customer is charged an additional fee based on the amount of egress traffic above the included amount</w:t>
      </w:r>
      <w:r w:rsidR="00112C98">
        <w:t>.</w:t>
      </w:r>
    </w:p>
    <w:p w14:paraId="657591B7" w14:textId="16F85ABD" w:rsidR="003708F6" w:rsidRDefault="003708F6" w:rsidP="00CC57C3"/>
    <w:tbl>
      <w:tblPr>
        <w:tblStyle w:val="PlainTable11"/>
        <w:tblW w:w="0" w:type="auto"/>
        <w:tblLook w:val="04A0" w:firstRow="1" w:lastRow="0" w:firstColumn="1" w:lastColumn="0" w:noHBand="0" w:noVBand="1"/>
      </w:tblPr>
      <w:tblGrid>
        <w:gridCol w:w="3416"/>
        <w:gridCol w:w="5934"/>
      </w:tblGrid>
      <w:tr w:rsidR="00833CD1" w14:paraId="2B53F0AB" w14:textId="77777777" w:rsidTr="002227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666427B3" w14:textId="77777777" w:rsidR="00833CD1" w:rsidRPr="00F47607" w:rsidRDefault="00833CD1" w:rsidP="00AC200E">
            <w:pPr>
              <w:spacing w:line="240" w:lineRule="auto"/>
              <w:rPr>
                <w:color w:val="FFFFFF"/>
              </w:rPr>
            </w:pPr>
            <w:r>
              <w:rPr>
                <w:color w:val="FFFFFF"/>
              </w:rPr>
              <w:t>Feature References</w:t>
            </w:r>
          </w:p>
        </w:tc>
      </w:tr>
      <w:tr w:rsidR="00833CD1" w:rsidRPr="002227B5" w14:paraId="471B960D" w14:textId="77777777" w:rsidTr="00222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4E44A683" w14:textId="332F97C7" w:rsidR="00833CD1" w:rsidRPr="002227B5" w:rsidRDefault="00833CD1" w:rsidP="00AC200E">
            <w:pPr>
              <w:spacing w:line="240" w:lineRule="auto"/>
              <w:rPr>
                <w:sz w:val="20"/>
                <w:szCs w:val="18"/>
              </w:rPr>
            </w:pPr>
            <w:r w:rsidRPr="002227B5">
              <w:rPr>
                <w:sz w:val="20"/>
                <w:szCs w:val="18"/>
              </w:rPr>
              <w:t>Azure ExpressRoute cost information</w:t>
            </w:r>
          </w:p>
        </w:tc>
        <w:tc>
          <w:tcPr>
            <w:tcW w:w="5940" w:type="dxa"/>
          </w:tcPr>
          <w:p w14:paraId="3AB4D9FD" w14:textId="47EB57EC" w:rsidR="00833CD1" w:rsidRPr="002227B5" w:rsidRDefault="00872E47" w:rsidP="00AC200E">
            <w:pPr>
              <w:cnfStyle w:val="000000100000" w:firstRow="0" w:lastRow="0" w:firstColumn="0" w:lastColumn="0" w:oddVBand="0" w:evenVBand="0" w:oddHBand="1" w:evenHBand="0" w:firstRowFirstColumn="0" w:firstRowLastColumn="0" w:lastRowFirstColumn="0" w:lastRowLastColumn="0"/>
              <w:rPr>
                <w:sz w:val="20"/>
              </w:rPr>
            </w:pPr>
            <w:hyperlink r:id="rId402" w:history="1">
              <w:r w:rsidR="00833CD1" w:rsidRPr="002227B5">
                <w:rPr>
                  <w:rStyle w:val="Hyperlink"/>
                  <w:sz w:val="20"/>
                </w:rPr>
                <w:t>http://azure.microsoft.com/en-us/pricing/details/expressroute/</w:t>
              </w:r>
            </w:hyperlink>
            <w:r w:rsidR="00833CD1" w:rsidRPr="002227B5">
              <w:rPr>
                <w:sz w:val="20"/>
              </w:rPr>
              <w:t xml:space="preserve"> </w:t>
            </w:r>
          </w:p>
        </w:tc>
      </w:tr>
    </w:tbl>
    <w:p w14:paraId="1FB019E7" w14:textId="77777777" w:rsidR="007040AF" w:rsidRDefault="007040AF" w:rsidP="00CC57C3"/>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A23064" w:rsidRPr="007B0E84" w14:paraId="5976D251" w14:textId="77777777" w:rsidTr="006B3724">
        <w:trPr>
          <w:trHeight w:val="423"/>
        </w:trPr>
        <w:tc>
          <w:tcPr>
            <w:tcW w:w="666" w:type="dxa"/>
          </w:tcPr>
          <w:p w14:paraId="25DA0B51" w14:textId="77777777" w:rsidR="00A23064" w:rsidRDefault="00A23064" w:rsidP="006B3724">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580416" behindDoc="0" locked="0" layoutInCell="1" allowOverlap="1" wp14:anchorId="3E6F593F" wp14:editId="622892CD">
                      <wp:simplePos x="0" y="0"/>
                      <wp:positionH relativeFrom="column">
                        <wp:posOffset>66675</wp:posOffset>
                      </wp:positionH>
                      <wp:positionV relativeFrom="paragraph">
                        <wp:posOffset>90170</wp:posOffset>
                      </wp:positionV>
                      <wp:extent cx="209550" cy="180975"/>
                      <wp:effectExtent l="57150" t="19050" r="57150" b="104775"/>
                      <wp:wrapNone/>
                      <wp:docPr id="41191" name="Isosceles Triangle 411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2AD585B8" id="Isosceles Triangle 41191" o:spid="_x0000_s1026" type="#_x0000_t5" style="position:absolute;margin-left:5.25pt;margin-top:7.1pt;width:16.5pt;height:14.25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LKbhwIAAHcFAAAOAAAAZHJzL2Uyb0RvYy54bWysVNtOGzEQfa/Uf7D8XnY3TYCs2KAIlAop&#10;AgRUPDteO7Hq9bi2c+vXd+y9QCkSUtV9sDw7Z+7Hc3F5aDTZCecVmIoWJzklwnColVlX9PvT4ss5&#10;JT4wUzMNRlT0KDy9nH3+dLG3pRjBBnQtHEEnxpd7W9FNCLbMMs83omH+BKwwqJTgGhZQdOusdmyP&#10;3hudjfL8NNuDq60DLrzHv9etks6SfykFD3dSehGIrijmFtLp0rmKZza7YOXaMbtRvEuD/UMWDVMG&#10;gw6urllgZOvUX64axR14kOGEQ5OBlIqLVANWU+RvqnncMCtSLdgcb4c2+f/nlt/u7h1RdUXHRTEt&#10;KDGswTHdePBcaOHJk1PMrLUgrR77tbe+RLNHe+9ixd4ugf/wqMj+0ETBd5iDdE3EYr3kkJp/HJov&#10;DoFw/DnKp5MJjoijqjjPp2eTOJyMlb2xdT58E9CQeKlo6BJLbWe7pQ8tvIel3ECreqG0ToJbr660&#10;IzuGXFjgl6fxYwT/Aks1tGmnAsJRi2iszYOQ2CdMtEgRE0PF4I9xLkw47VJO6GgmMfZg+PVjww4f&#10;TUVi72A8+th4sEiRwYTBuFEG3HsOdCi6lGWL76bo27pjC1ZQH5EiDtq34y1fKBzAkvlwzxw+FpwZ&#10;LoBwh4fUsK8odDdKNuB+vfc/4pHDqKVkj4+vov7nljlBib4xyO5pMR7H15qE8eRshIJ7rVm91pht&#10;cwU4U2QvZpeuER90f5UOmmfcE/MYFVXMcIxdUR5cL1yFdingpuFiPk8wfKGWhaV5tLyfeiTX0+GZ&#10;OduzEOl7C/1DZeUbIrbYOA8D820AqRJLX/ra9Rtfd+J6t4ni+ngtJ9TLvpz9BgAA//8DAFBLAwQU&#10;AAYACAAAACEANTxCMNkAAAAHAQAADwAAAGRycy9kb3ducmV2LnhtbEyOzU7DMBCE70i8g7VIXFDr&#10;kIa2CnEqhJIjqig8gBNvfoS9jmK3DW/PcoLTaDSjma84LM6KC85h9KTgcZ2AQGq9GalX8PlRr/Yg&#10;QtRktPWECr4xwKG8vSl0bvyV3vFyir3gEQq5VjDEOOVShnZAp8PaT0icdX52OrKde2lmfeVxZ2Wa&#10;JFvp9Ej8MOgJXwdsv05np8A3y7Hb1Lv9Q+0m+9ZVVeaOlVL3d8vLM4iIS/wrwy8+o0PJTI0/kwnC&#10;sk+euMmapSA4zzbsG9Z0B7Is5H/+8gcAAP//AwBQSwECLQAUAAYACAAAACEAtoM4kv4AAADhAQAA&#10;EwAAAAAAAAAAAAAAAAAAAAAAW0NvbnRlbnRfVHlwZXNdLnhtbFBLAQItABQABgAIAAAAIQA4/SH/&#10;1gAAAJQBAAALAAAAAAAAAAAAAAAAAC8BAABfcmVscy8ucmVsc1BLAQItABQABgAIAAAAIQDvSLKb&#10;hwIAAHcFAAAOAAAAAAAAAAAAAAAAAC4CAABkcnMvZTJvRG9jLnhtbFBLAQItABQABgAIAAAAIQA1&#10;PEIw2QAAAAcBAAAPAAAAAAAAAAAAAAAAAOEEAABkcnMvZG93bnJldi54bWxQSwUGAAAAAAQABADz&#10;AAAA5wUAAAAA&#10;" fillcolor="yellow" strokecolor="#70ad47 [3209]" strokeweight=".5pt">
                      <v:path arrowok="t"/>
                    </v:shape>
                  </w:pict>
                </mc:Fallback>
              </mc:AlternateContent>
            </w:r>
          </w:p>
        </w:tc>
        <w:tc>
          <w:tcPr>
            <w:tcW w:w="8604" w:type="dxa"/>
          </w:tcPr>
          <w:p w14:paraId="7529A39E" w14:textId="0AA56569" w:rsidR="00A23064" w:rsidRPr="007B0E84" w:rsidRDefault="00A23064">
            <w:pPr>
              <w:rPr>
                <w:rFonts w:eastAsiaTheme="minorHAnsi"/>
                <w:lang w:eastAsia="en-US"/>
              </w:rPr>
            </w:pPr>
            <w:r>
              <w:rPr>
                <w:rFonts w:eastAsiaTheme="minorHAnsi"/>
                <w:b/>
                <w:lang w:eastAsia="en-US"/>
              </w:rPr>
              <w:t xml:space="preserve">Recommended: </w:t>
            </w:r>
            <w:r>
              <w:rPr>
                <w:rFonts w:eastAsiaTheme="minorHAnsi"/>
                <w:lang w:eastAsia="en-US"/>
              </w:rPr>
              <w:t xml:space="preserve"> When planning for network connectivity with ExpressRoute, ensure that the costs are well understood and that conversations with authorized carriers are addressed early in the planning process.</w:t>
            </w:r>
          </w:p>
        </w:tc>
      </w:tr>
    </w:tbl>
    <w:p w14:paraId="4A3A6020" w14:textId="77777777" w:rsidR="008E7A7C" w:rsidRDefault="008E7A7C" w:rsidP="008E7A7C"/>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8E7A7C" w14:paraId="0E95C519" w14:textId="77777777" w:rsidTr="008E7A7C">
        <w:tc>
          <w:tcPr>
            <w:tcW w:w="9360" w:type="dxa"/>
            <w:tcBorders>
              <w:top w:val="single" w:sz="4" w:space="0" w:color="008AC8"/>
              <w:left w:val="nil"/>
              <w:bottom w:val="single" w:sz="4" w:space="0" w:color="008AC8"/>
              <w:right w:val="nil"/>
            </w:tcBorders>
            <w:shd w:val="clear" w:color="auto" w:fill="008AC8"/>
            <w:hideMark/>
          </w:tcPr>
          <w:p w14:paraId="3C867DD2" w14:textId="77777777" w:rsidR="008E7A7C" w:rsidRDefault="008E7A7C">
            <w:pPr>
              <w:spacing w:line="240" w:lineRule="auto"/>
              <w:rPr>
                <w:color w:val="FFFFFF"/>
              </w:rPr>
            </w:pPr>
            <w:r>
              <w:rPr>
                <w:color w:val="FFFFFF"/>
              </w:rPr>
              <w:t>Design Guidance</w:t>
            </w:r>
          </w:p>
        </w:tc>
      </w:tr>
    </w:tbl>
    <w:p w14:paraId="22B70176" w14:textId="77777777" w:rsidR="008E7A7C" w:rsidRDefault="008E7A7C" w:rsidP="008E7A7C">
      <w:r>
        <w:t>When you design for ExpressRoute costs, consider the following:</w:t>
      </w:r>
    </w:p>
    <w:tbl>
      <w:tblPr>
        <w:tblStyle w:val="PlainTable11"/>
        <w:tblW w:w="0" w:type="auto"/>
        <w:tblLook w:val="04A0" w:firstRow="1" w:lastRow="0" w:firstColumn="1" w:lastColumn="0" w:noHBand="0" w:noVBand="1"/>
      </w:tblPr>
      <w:tblGrid>
        <w:gridCol w:w="2526"/>
        <w:gridCol w:w="6741"/>
      </w:tblGrid>
      <w:tr w:rsidR="008E7A7C" w:rsidRPr="002227B5" w14:paraId="450C3FB7" w14:textId="77777777" w:rsidTr="002227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808080" w:themeFill="background1" w:themeFillShade="80"/>
            <w:hideMark/>
          </w:tcPr>
          <w:p w14:paraId="61BFDA3E" w14:textId="77777777" w:rsidR="008E7A7C" w:rsidRPr="002227B5" w:rsidRDefault="008E7A7C">
            <w:pPr>
              <w:spacing w:line="240" w:lineRule="auto"/>
              <w:rPr>
                <w:rFonts w:eastAsia="Calibri"/>
                <w:bCs w:val="0"/>
                <w:color w:val="FFFFFF"/>
                <w:sz w:val="20"/>
                <w:szCs w:val="20"/>
                <w:lang w:eastAsia="en-AU"/>
              </w:rPr>
            </w:pPr>
            <w:r w:rsidRPr="002227B5">
              <w:rPr>
                <w:rFonts w:eastAsia="Calibri"/>
                <w:bCs w:val="0"/>
                <w:color w:val="FFFFFF"/>
                <w:sz w:val="20"/>
                <w:szCs w:val="20"/>
                <w:lang w:eastAsia="en-AU"/>
              </w:rPr>
              <w:t>Capability Consideration</w:t>
            </w:r>
          </w:p>
        </w:tc>
        <w:tc>
          <w:tcPr>
            <w:tcW w:w="6741" w:type="dxa"/>
            <w:shd w:val="clear" w:color="auto" w:fill="808080" w:themeFill="background1" w:themeFillShade="80"/>
            <w:hideMark/>
          </w:tcPr>
          <w:p w14:paraId="18245637" w14:textId="77777777" w:rsidR="008E7A7C" w:rsidRPr="002227B5" w:rsidRDefault="008E7A7C">
            <w:pPr>
              <w:spacing w:line="240" w:lineRule="auto"/>
              <w:cnfStyle w:val="100000000000" w:firstRow="1" w:lastRow="0" w:firstColumn="0" w:lastColumn="0" w:oddVBand="0" w:evenVBand="0" w:oddHBand="0" w:evenHBand="0" w:firstRowFirstColumn="0" w:firstRowLastColumn="0" w:lastRowFirstColumn="0" w:lastRowLastColumn="0"/>
              <w:rPr>
                <w:rFonts w:eastAsia="Calibri"/>
                <w:bCs w:val="0"/>
                <w:color w:val="FFFFFF"/>
                <w:sz w:val="20"/>
                <w:szCs w:val="20"/>
                <w:lang w:eastAsia="en-AU"/>
              </w:rPr>
            </w:pPr>
            <w:r w:rsidRPr="002227B5">
              <w:rPr>
                <w:rFonts w:eastAsia="Calibri"/>
                <w:bCs w:val="0"/>
                <w:color w:val="FFFFFF"/>
                <w:sz w:val="20"/>
                <w:szCs w:val="20"/>
                <w:lang w:eastAsia="en-AU"/>
              </w:rPr>
              <w:t>Capability Decision Points</w:t>
            </w:r>
          </w:p>
        </w:tc>
      </w:tr>
      <w:tr w:rsidR="000530DE" w14:paraId="199C8CE4" w14:textId="77777777" w:rsidTr="00222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1F5311E" w14:textId="58D8045A" w:rsidR="000530DE" w:rsidRDefault="000530DE" w:rsidP="000530DE">
            <w:pPr>
              <w:rPr>
                <w:sz w:val="20"/>
                <w:szCs w:val="20"/>
              </w:rPr>
            </w:pPr>
            <w:r>
              <w:rPr>
                <w:sz w:val="20"/>
                <w:szCs w:val="20"/>
              </w:rPr>
              <w:t>Provider costs</w:t>
            </w:r>
          </w:p>
        </w:tc>
        <w:tc>
          <w:tcPr>
            <w:tcW w:w="6741" w:type="dxa"/>
            <w:hideMark/>
          </w:tcPr>
          <w:p w14:paraId="3669F303" w14:textId="1980A7D8" w:rsidR="000530DE" w:rsidRDefault="000530DE" w:rsidP="000530DE">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The provider costs are much harder to ascertain because egress traffic is inclusive and additional monthly circuit fees typically apply. NSP provider costs can range from a flat monthly fee per gigabyte to a premium service that is a large flat monthly fee. Potential additional costs may include the number of MPLS circuits that have been configured.</w:t>
            </w:r>
          </w:p>
        </w:tc>
      </w:tr>
      <w:tr w:rsidR="000530DE" w14:paraId="4763989F" w14:textId="77777777" w:rsidTr="002227B5">
        <w:tc>
          <w:tcPr>
            <w:cnfStyle w:val="001000000000" w:firstRow="0" w:lastRow="0" w:firstColumn="1" w:lastColumn="0" w:oddVBand="0" w:evenVBand="0" w:oddHBand="0" w:evenHBand="0" w:firstRowFirstColumn="0" w:firstRowLastColumn="0" w:lastRowFirstColumn="0" w:lastRowLastColumn="0"/>
            <w:tcW w:w="0" w:type="auto"/>
            <w:hideMark/>
          </w:tcPr>
          <w:p w14:paraId="25D5C64B" w14:textId="4622190D" w:rsidR="000530DE" w:rsidRDefault="000530DE" w:rsidP="000530DE">
            <w:pPr>
              <w:pStyle w:val="NormalWeb"/>
              <w:spacing w:line="254" w:lineRule="auto"/>
              <w:rPr>
                <w:rFonts w:ascii="Segoe UI" w:hAnsi="Segoe UI" w:cs="Segoe UI"/>
                <w:sz w:val="20"/>
                <w:szCs w:val="20"/>
                <w:lang w:val="en-AU" w:eastAsia="en-AU"/>
              </w:rPr>
            </w:pPr>
            <w:r>
              <w:rPr>
                <w:rFonts w:ascii="Segoe UI" w:hAnsi="Segoe UI" w:cs="Segoe UI"/>
                <w:sz w:val="20"/>
                <w:szCs w:val="20"/>
                <w:lang w:val="en-AU" w:eastAsia="en-AU"/>
              </w:rPr>
              <w:t>IPX connections</w:t>
            </w:r>
          </w:p>
        </w:tc>
        <w:tc>
          <w:tcPr>
            <w:tcW w:w="6741" w:type="dxa"/>
            <w:hideMark/>
          </w:tcPr>
          <w:p w14:paraId="1524FF52" w14:textId="27CE74A0" w:rsidR="000530DE" w:rsidRDefault="000530DE" w:rsidP="000530DE">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An IXP provider connection is a fiber connection, and it typically includes monthly and one-time fiber connection fees. The customer’s connection typically includes the fiber from the datacenter to the provider’s access point, the costs for transmitting the traffic to the consolidation point of presence, and a “last mile” fiber connection to get connected to the Azure datacenter.</w:t>
            </w:r>
          </w:p>
        </w:tc>
      </w:tr>
      <w:tr w:rsidR="000530DE" w14:paraId="07F88840" w14:textId="77777777" w:rsidTr="00222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2E2EF91" w14:textId="3807F02F" w:rsidR="000530DE" w:rsidRDefault="000530DE" w:rsidP="000530DE">
            <w:pPr>
              <w:pStyle w:val="NormalWeb"/>
              <w:spacing w:line="254" w:lineRule="auto"/>
              <w:rPr>
                <w:rFonts w:ascii="Segoe UI" w:hAnsi="Segoe UI" w:cs="Segoe UI"/>
                <w:sz w:val="20"/>
                <w:szCs w:val="20"/>
                <w:lang w:val="en-AU" w:eastAsia="en-AU"/>
              </w:rPr>
            </w:pPr>
            <w:r>
              <w:rPr>
                <w:rFonts w:ascii="Segoe UI" w:hAnsi="Segoe UI" w:cs="Segoe UI"/>
                <w:sz w:val="20"/>
                <w:szCs w:val="20"/>
                <w:lang w:val="en-AU" w:eastAsia="en-AU"/>
              </w:rPr>
              <w:t>NSP connections</w:t>
            </w:r>
          </w:p>
        </w:tc>
        <w:tc>
          <w:tcPr>
            <w:tcW w:w="6741" w:type="dxa"/>
            <w:hideMark/>
          </w:tcPr>
          <w:p w14:paraId="4DA1FE37" w14:textId="77777777" w:rsidR="000530DE" w:rsidRDefault="000530DE" w:rsidP="000530DE">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For the NSP model, the provider typically provides and manages the provider edge routers and the configuration and management of the published routes. However, for an IXP model, the customer must provide the router that is placed at the provider access point and manage all the route publishing. </w:t>
            </w:r>
          </w:p>
          <w:p w14:paraId="670D656A" w14:textId="5AA27280" w:rsidR="000530DE" w:rsidRDefault="000530DE" w:rsidP="000530DE">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The advantage of the IXP model is that typically the customers is given a rack and is allowed to place hardware in addition to the router. This allows the customer to include security hardware and other appliances.</w:t>
            </w:r>
          </w:p>
        </w:tc>
      </w:tr>
    </w:tbl>
    <w:p w14:paraId="648FB293" w14:textId="77777777" w:rsidR="008E7A7C" w:rsidRDefault="008E7A7C" w:rsidP="008E7A7C"/>
    <w:p w14:paraId="178DF96F" w14:textId="0388A79B" w:rsidR="00B32915" w:rsidRDefault="00B32915" w:rsidP="00B32915">
      <w:pPr>
        <w:pStyle w:val="Style2"/>
      </w:pPr>
      <w:r>
        <w:t>ExpressRoute Premium</w:t>
      </w:r>
    </w:p>
    <w:p w14:paraId="73D77AFE" w14:textId="1BA6F32D" w:rsidR="00E6326C" w:rsidRDefault="00B32915" w:rsidP="00E6326C">
      <w:r>
        <w:t>ExpressRoute</w:t>
      </w:r>
      <w:r w:rsidR="00E6326C">
        <w:t xml:space="preserve"> Premium is an add-on package that allows an increase in the number of BGP routes, allows for global connectivity, and increases the number of virtual networks per ExpressRoute circuit. This add-on can be applied to Network Service Provider or Exchange Provider circuits.</w:t>
      </w:r>
    </w:p>
    <w:p w14:paraId="2C9647E1" w14:textId="77777777" w:rsidR="00E6326C" w:rsidRDefault="00E6326C" w:rsidP="00E6326C">
      <w:pPr>
        <w:tabs>
          <w:tab w:val="left" w:pos="5146"/>
        </w:tabs>
      </w:pPr>
      <w:r w:rsidRPr="00395FDF">
        <w:rPr>
          <w:b/>
        </w:rPr>
        <w:t>Summary of ExpressRoute Premium features</w:t>
      </w:r>
      <w:r>
        <w:t>:</w:t>
      </w:r>
      <w:r>
        <w:tab/>
      </w:r>
    </w:p>
    <w:p w14:paraId="1C5041E8" w14:textId="77777777" w:rsidR="00E6326C" w:rsidRDefault="00E6326C" w:rsidP="005729D2">
      <w:pPr>
        <w:pStyle w:val="ListParagraph"/>
        <w:numPr>
          <w:ilvl w:val="0"/>
          <w:numId w:val="66"/>
        </w:numPr>
      </w:pPr>
      <w:r>
        <w:t>Increased route limits for public and private peering (from 4,000 routes to 10,000 routes).</w:t>
      </w:r>
    </w:p>
    <w:p w14:paraId="4DFD197A" w14:textId="77777777" w:rsidR="00E6326C" w:rsidRDefault="00E6326C" w:rsidP="005729D2">
      <w:pPr>
        <w:pStyle w:val="ListParagraph"/>
        <w:numPr>
          <w:ilvl w:val="0"/>
          <w:numId w:val="66"/>
        </w:numPr>
      </w:pPr>
      <w:r>
        <w:t>Global connectivity for services. An ExpressRoute circuit created in any region (excluding China and government cloud) will have access to resources across any other region in the world. For example, a virtual network created in West Europe can be accessed through an ExpressRoute circuit provisioned in the West US region.</w:t>
      </w:r>
    </w:p>
    <w:p w14:paraId="27C91AE2" w14:textId="01C74001" w:rsidR="00B32915" w:rsidRPr="00B32915" w:rsidRDefault="00E6326C" w:rsidP="00E6326C">
      <w:r>
        <w:t>Increased number of virtual network links per ExpressRoute circuit (from 10 to a larger limit, depending on the bandwidth of the circuit).</w:t>
      </w:r>
      <w:r w:rsidR="00087490">
        <w:t xml:space="preserve">  </w:t>
      </w:r>
    </w:p>
    <w:tbl>
      <w:tblPr>
        <w:tblStyle w:val="PlainTable11"/>
        <w:tblW w:w="0" w:type="auto"/>
        <w:tblLook w:val="04A0" w:firstRow="1" w:lastRow="0" w:firstColumn="1" w:lastColumn="0" w:noHBand="0" w:noVBand="1"/>
      </w:tblPr>
      <w:tblGrid>
        <w:gridCol w:w="3415"/>
        <w:gridCol w:w="5935"/>
      </w:tblGrid>
      <w:tr w:rsidR="00CD6D39" w14:paraId="6B1B49BE" w14:textId="77777777" w:rsidTr="006220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69AE9F1F" w14:textId="77777777" w:rsidR="00CD6D39" w:rsidRPr="00F47607" w:rsidRDefault="00CD6D39" w:rsidP="006220AC">
            <w:pPr>
              <w:spacing w:line="240" w:lineRule="auto"/>
              <w:rPr>
                <w:color w:val="FFFFFF"/>
              </w:rPr>
            </w:pPr>
            <w:r>
              <w:rPr>
                <w:color w:val="FFFFFF"/>
              </w:rPr>
              <w:t>Feature References</w:t>
            </w:r>
          </w:p>
        </w:tc>
      </w:tr>
      <w:tr w:rsidR="00CD6D39" w:rsidRPr="002227B5" w14:paraId="3D2FCACA" w14:textId="77777777" w:rsidTr="006220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10E8E3EE" w14:textId="3E1436C5" w:rsidR="00CD6D39" w:rsidRPr="002227B5" w:rsidRDefault="00CD6D39" w:rsidP="00CD6D39">
            <w:pPr>
              <w:spacing w:line="240" w:lineRule="auto"/>
              <w:rPr>
                <w:sz w:val="20"/>
                <w:szCs w:val="18"/>
              </w:rPr>
            </w:pPr>
            <w:r w:rsidRPr="002227B5">
              <w:rPr>
                <w:sz w:val="20"/>
                <w:szCs w:val="18"/>
              </w:rPr>
              <w:t xml:space="preserve">Azure ExpressRoute </w:t>
            </w:r>
            <w:r>
              <w:rPr>
                <w:sz w:val="20"/>
                <w:szCs w:val="18"/>
              </w:rPr>
              <w:t xml:space="preserve">Premium Circuit connection </w:t>
            </w:r>
            <w:r w:rsidRPr="002227B5">
              <w:rPr>
                <w:sz w:val="20"/>
                <w:szCs w:val="18"/>
              </w:rPr>
              <w:t>information</w:t>
            </w:r>
          </w:p>
        </w:tc>
        <w:tc>
          <w:tcPr>
            <w:tcW w:w="5940" w:type="dxa"/>
          </w:tcPr>
          <w:p w14:paraId="517CD623" w14:textId="673F8C97" w:rsidR="00CD6D39" w:rsidRPr="00CD6D39" w:rsidRDefault="00872E47" w:rsidP="006220AC">
            <w:pPr>
              <w:cnfStyle w:val="000000100000" w:firstRow="0" w:lastRow="0" w:firstColumn="0" w:lastColumn="0" w:oddVBand="0" w:evenVBand="0" w:oddHBand="1" w:evenHBand="0" w:firstRowFirstColumn="0" w:firstRowLastColumn="0" w:lastRowFirstColumn="0" w:lastRowLastColumn="0"/>
              <w:rPr>
                <w:sz w:val="20"/>
              </w:rPr>
            </w:pPr>
            <w:hyperlink r:id="rId403" w:history="1">
              <w:r w:rsidR="00E6326C" w:rsidRPr="0039126D">
                <w:rPr>
                  <w:rStyle w:val="Hyperlink"/>
                  <w:sz w:val="20"/>
                </w:rPr>
                <w:t>https://azure.microsoft.com/en-us/documentation/articles/expressroute-faqs/</w:t>
              </w:r>
            </w:hyperlink>
            <w:r w:rsidR="00E6326C">
              <w:rPr>
                <w:sz w:val="20"/>
              </w:rPr>
              <w:t xml:space="preserve"> </w:t>
            </w:r>
            <w:r w:rsidR="00CD6D39" w:rsidRPr="00CD6D39">
              <w:rPr>
                <w:sz w:val="20"/>
              </w:rPr>
              <w:t xml:space="preserve"> </w:t>
            </w:r>
          </w:p>
        </w:tc>
      </w:tr>
    </w:tbl>
    <w:p w14:paraId="1587DD63" w14:textId="77777777" w:rsidR="00CD6D39" w:rsidRPr="00B32915" w:rsidRDefault="00CD6D39" w:rsidP="00907EDE"/>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004041" w14:paraId="3D965155" w14:textId="77777777" w:rsidTr="00004041">
        <w:tc>
          <w:tcPr>
            <w:tcW w:w="9360" w:type="dxa"/>
            <w:tcBorders>
              <w:top w:val="single" w:sz="4" w:space="0" w:color="008AC8"/>
              <w:left w:val="nil"/>
              <w:bottom w:val="single" w:sz="4" w:space="0" w:color="008AC8"/>
              <w:right w:val="nil"/>
            </w:tcBorders>
            <w:shd w:val="clear" w:color="auto" w:fill="008AC8"/>
            <w:hideMark/>
          </w:tcPr>
          <w:p w14:paraId="492F7B34" w14:textId="77777777" w:rsidR="00004041" w:rsidRDefault="00004041" w:rsidP="00004041">
            <w:pPr>
              <w:spacing w:line="240" w:lineRule="auto"/>
              <w:rPr>
                <w:color w:val="FFFFFF"/>
              </w:rPr>
            </w:pPr>
            <w:r>
              <w:rPr>
                <w:color w:val="FFFFFF"/>
              </w:rPr>
              <w:t>Design Guidance</w:t>
            </w:r>
          </w:p>
        </w:tc>
      </w:tr>
    </w:tbl>
    <w:p w14:paraId="4ABB02BE" w14:textId="0BC8C2F1" w:rsidR="00004041" w:rsidRDefault="00004041" w:rsidP="00004041">
      <w:r>
        <w:t>When you design for ExpressRoute Premium, consider the following:</w:t>
      </w:r>
    </w:p>
    <w:tbl>
      <w:tblPr>
        <w:tblStyle w:val="PlainTable11"/>
        <w:tblW w:w="0" w:type="auto"/>
        <w:tblLook w:val="04A0" w:firstRow="1" w:lastRow="0" w:firstColumn="1" w:lastColumn="0" w:noHBand="0" w:noVBand="1"/>
      </w:tblPr>
      <w:tblGrid>
        <w:gridCol w:w="2609"/>
        <w:gridCol w:w="6741"/>
      </w:tblGrid>
      <w:tr w:rsidR="00004041" w:rsidRPr="002227B5" w14:paraId="6C83FB8E" w14:textId="77777777" w:rsidTr="000040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808080" w:themeFill="background1" w:themeFillShade="80"/>
            <w:hideMark/>
          </w:tcPr>
          <w:p w14:paraId="03651D33" w14:textId="77777777" w:rsidR="00004041" w:rsidRPr="002227B5" w:rsidRDefault="00004041" w:rsidP="00004041">
            <w:pPr>
              <w:spacing w:line="240" w:lineRule="auto"/>
              <w:rPr>
                <w:rFonts w:eastAsia="Calibri"/>
                <w:bCs w:val="0"/>
                <w:color w:val="FFFFFF"/>
                <w:sz w:val="20"/>
                <w:szCs w:val="20"/>
                <w:lang w:eastAsia="en-AU"/>
              </w:rPr>
            </w:pPr>
            <w:r w:rsidRPr="002227B5">
              <w:rPr>
                <w:rFonts w:eastAsia="Calibri"/>
                <w:bCs w:val="0"/>
                <w:color w:val="FFFFFF"/>
                <w:sz w:val="20"/>
                <w:szCs w:val="20"/>
                <w:lang w:eastAsia="en-AU"/>
              </w:rPr>
              <w:t>Capability Consideration</w:t>
            </w:r>
          </w:p>
        </w:tc>
        <w:tc>
          <w:tcPr>
            <w:tcW w:w="6741" w:type="dxa"/>
            <w:shd w:val="clear" w:color="auto" w:fill="808080" w:themeFill="background1" w:themeFillShade="80"/>
            <w:hideMark/>
          </w:tcPr>
          <w:p w14:paraId="591DEFC3" w14:textId="77777777" w:rsidR="00004041" w:rsidRPr="002227B5" w:rsidRDefault="00004041" w:rsidP="00004041">
            <w:pPr>
              <w:spacing w:line="240" w:lineRule="auto"/>
              <w:cnfStyle w:val="100000000000" w:firstRow="1" w:lastRow="0" w:firstColumn="0" w:lastColumn="0" w:oddVBand="0" w:evenVBand="0" w:oddHBand="0" w:evenHBand="0" w:firstRowFirstColumn="0" w:firstRowLastColumn="0" w:lastRowFirstColumn="0" w:lastRowLastColumn="0"/>
              <w:rPr>
                <w:rFonts w:eastAsia="Calibri"/>
                <w:bCs w:val="0"/>
                <w:color w:val="FFFFFF"/>
                <w:sz w:val="20"/>
                <w:szCs w:val="20"/>
                <w:lang w:eastAsia="en-AU"/>
              </w:rPr>
            </w:pPr>
            <w:r w:rsidRPr="002227B5">
              <w:rPr>
                <w:rFonts w:eastAsia="Calibri"/>
                <w:bCs w:val="0"/>
                <w:color w:val="FFFFFF"/>
                <w:sz w:val="20"/>
                <w:szCs w:val="20"/>
                <w:lang w:eastAsia="en-AU"/>
              </w:rPr>
              <w:t>Capability Decision Points</w:t>
            </w:r>
          </w:p>
        </w:tc>
      </w:tr>
      <w:tr w:rsidR="00E6326C" w14:paraId="39ABE2F3" w14:textId="77777777" w:rsidTr="000040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E56701F" w14:textId="496BDB9C" w:rsidR="00E6326C" w:rsidRDefault="00E6326C" w:rsidP="00E6326C">
            <w:pPr>
              <w:rPr>
                <w:sz w:val="20"/>
                <w:szCs w:val="20"/>
              </w:rPr>
            </w:pPr>
            <w:r>
              <w:rPr>
                <w:sz w:val="20"/>
                <w:szCs w:val="20"/>
              </w:rPr>
              <w:t>Service availability and access</w:t>
            </w:r>
          </w:p>
        </w:tc>
        <w:tc>
          <w:tcPr>
            <w:tcW w:w="6741" w:type="dxa"/>
            <w:hideMark/>
          </w:tcPr>
          <w:p w14:paraId="751820B6" w14:textId="04E44583" w:rsidR="00E6326C" w:rsidRDefault="00E6326C" w:rsidP="00E6326C">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Although ExpressRoute Premium is available in regions such as India and Australia, to leverage the cross virtual network connectivity, you must have a business presence within the country and a local Azure billing account to establish a cross-region virtual network connection. </w:t>
            </w:r>
          </w:p>
        </w:tc>
      </w:tr>
    </w:tbl>
    <w:p w14:paraId="363A0818" w14:textId="77777777" w:rsidR="00B32915" w:rsidRDefault="00B32915" w:rsidP="00907EDE"/>
    <w:p w14:paraId="7A1C0887" w14:textId="347A0320" w:rsidR="006B3724" w:rsidRDefault="006B3724" w:rsidP="005729D2">
      <w:pPr>
        <w:pStyle w:val="Heading3Numbered"/>
        <w:numPr>
          <w:ilvl w:val="2"/>
          <w:numId w:val="64"/>
        </w:numPr>
      </w:pPr>
      <w:bookmarkStart w:id="4390" w:name="_Toc417934693"/>
      <w:bookmarkStart w:id="4391" w:name="_Toc417936032"/>
      <w:bookmarkStart w:id="4392" w:name="_Toc417936494"/>
      <w:bookmarkStart w:id="4393" w:name="_Toc417946919"/>
      <w:bookmarkStart w:id="4394" w:name="_Toc417947336"/>
      <w:bookmarkStart w:id="4395" w:name="_Toc417982529"/>
      <w:bookmarkStart w:id="4396" w:name="_Toc417985981"/>
      <w:bookmarkStart w:id="4397" w:name="_Toc418000675"/>
      <w:bookmarkStart w:id="4398" w:name="_Toc418003845"/>
      <w:bookmarkStart w:id="4399" w:name="_Toc418012050"/>
      <w:bookmarkStart w:id="4400" w:name="_Toc418014465"/>
      <w:bookmarkStart w:id="4401" w:name="_Toc418014698"/>
      <w:bookmarkStart w:id="4402" w:name="_Toc418030068"/>
      <w:bookmarkStart w:id="4403" w:name="_Toc418036953"/>
      <w:bookmarkStart w:id="4404" w:name="_Toc418061429"/>
      <w:bookmarkStart w:id="4405" w:name="_Toc418081328"/>
      <w:bookmarkStart w:id="4406" w:name="_Toc418083360"/>
      <w:bookmarkStart w:id="4407" w:name="_Toc418096124"/>
      <w:bookmarkStart w:id="4408" w:name="_Toc418156726"/>
      <w:bookmarkStart w:id="4409" w:name="_Toc418167645"/>
      <w:bookmarkStart w:id="4410" w:name="_Toc418185901"/>
      <w:bookmarkStart w:id="4411" w:name="_Toc422941611"/>
      <w:bookmarkStart w:id="4412" w:name="_Toc423116817"/>
      <w:bookmarkStart w:id="4413" w:name="_Toc423117850"/>
      <w:bookmarkStart w:id="4414" w:name="_Toc423117300"/>
      <w:bookmarkStart w:id="4415" w:name="_Toc431288894"/>
      <w:r>
        <w:t xml:space="preserve">Microsoft Azure </w:t>
      </w:r>
      <w:r w:rsidR="00E6326C">
        <w:t xml:space="preserve">Site–to-Site </w:t>
      </w:r>
      <w:r>
        <w:t>VPN</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4FCB7485" w14:textId="1AD0328F" w:rsidR="00E6326C" w:rsidRDefault="006B3724" w:rsidP="00E6326C">
      <w:r>
        <w:t>Microsoft</w:t>
      </w:r>
      <w:r w:rsidR="00E6326C">
        <w:t xml:space="preserve"> Site-to-Site (S2S) connectivity allows low cost connections from customer locations to Azure private peering networks. S2S leverages the Internet for transport and IPsec encryption to protect the data flowing across the connection.</w:t>
      </w:r>
    </w:p>
    <w:p w14:paraId="4B41FFA3" w14:textId="77777777" w:rsidR="00E6326C" w:rsidRDefault="00E6326C" w:rsidP="00E6326C">
      <w:r>
        <w:t>Requirements:</w:t>
      </w:r>
    </w:p>
    <w:p w14:paraId="3DF8EA94" w14:textId="3BCDFA49" w:rsidR="00E6326C" w:rsidRDefault="00E6326C" w:rsidP="005729D2">
      <w:pPr>
        <w:pStyle w:val="ListBullet"/>
        <w:numPr>
          <w:ilvl w:val="0"/>
          <w:numId w:val="172"/>
        </w:numPr>
      </w:pPr>
      <w:r>
        <w:t>Public facing IPv4 address for the on-premises VPN device that is not behind a NAT</w:t>
      </w:r>
    </w:p>
    <w:p w14:paraId="6103C336" w14:textId="548F2CC0" w:rsidR="006B3724" w:rsidRDefault="00E6326C" w:rsidP="005729D2">
      <w:pPr>
        <w:pStyle w:val="ListBullet"/>
        <w:numPr>
          <w:ilvl w:val="0"/>
          <w:numId w:val="172"/>
        </w:numPr>
      </w:pPr>
      <w:r>
        <w:t>Compatible hardware VPN device or RRAS</w:t>
      </w:r>
    </w:p>
    <w:p w14:paraId="6864EB72" w14:textId="425A8BD4" w:rsidR="006B3724" w:rsidRDefault="004B24C8" w:rsidP="006B3724">
      <w:r>
        <w:t xml:space="preserve">Potential </w:t>
      </w:r>
      <w:r w:rsidR="006B3724">
        <w:t>Use Case</w:t>
      </w:r>
      <w:r>
        <w:t>s</w:t>
      </w:r>
      <w:r w:rsidR="006B3724">
        <w:t>:</w:t>
      </w:r>
    </w:p>
    <w:p w14:paraId="4A445345" w14:textId="43513278" w:rsidR="0094259D" w:rsidRDefault="0094259D" w:rsidP="005729D2">
      <w:pPr>
        <w:pStyle w:val="ListBullet"/>
        <w:numPr>
          <w:ilvl w:val="0"/>
          <w:numId w:val="173"/>
        </w:numPr>
      </w:pPr>
      <w:r>
        <w:t>CSP Connectivity</w:t>
      </w:r>
    </w:p>
    <w:p w14:paraId="2F3B51F1" w14:textId="77777777" w:rsidR="00E6326C" w:rsidRDefault="00E6326C" w:rsidP="005729D2">
      <w:pPr>
        <w:pStyle w:val="ListBullet"/>
        <w:numPr>
          <w:ilvl w:val="0"/>
          <w:numId w:val="173"/>
        </w:numPr>
      </w:pPr>
      <w:r>
        <w:t>Branch office connectivity</w:t>
      </w:r>
    </w:p>
    <w:p w14:paraId="11C346A5" w14:textId="77777777" w:rsidR="00E6326C" w:rsidRDefault="00E6326C" w:rsidP="005729D2">
      <w:pPr>
        <w:pStyle w:val="ListBullet"/>
        <w:numPr>
          <w:ilvl w:val="0"/>
          <w:numId w:val="173"/>
        </w:numPr>
      </w:pPr>
      <w:r>
        <w:t>Low cost primary datacenter connection where you do not want to require configuration at the client level</w:t>
      </w:r>
    </w:p>
    <w:p w14:paraId="5565DC94" w14:textId="0B79F559" w:rsidR="006B3724" w:rsidRDefault="00E6326C" w:rsidP="005729D2">
      <w:pPr>
        <w:pStyle w:val="ListBullet"/>
        <w:numPr>
          <w:ilvl w:val="0"/>
          <w:numId w:val="173"/>
        </w:numPr>
      </w:pPr>
      <w:r>
        <w:t>Require virtual network-virtual network routing in Azure datacenter</w:t>
      </w:r>
    </w:p>
    <w:p w14:paraId="5DF7B8B8" w14:textId="43ADADDE" w:rsidR="002063F1" w:rsidRDefault="002063F1" w:rsidP="00E74DE3">
      <w:pPr>
        <w:spacing w:after="200"/>
        <w:jc w:val="center"/>
        <w:rPr>
          <w:rFonts w:eastAsia="Arial" w:cs="Segoe UI"/>
          <w:noProof/>
          <w:sz w:val="20"/>
          <w:szCs w:val="20"/>
        </w:rPr>
      </w:pPr>
    </w:p>
    <w:tbl>
      <w:tblPr>
        <w:tblStyle w:val="PlainTable11"/>
        <w:tblW w:w="0" w:type="auto"/>
        <w:tblLook w:val="04A0" w:firstRow="1" w:lastRow="0" w:firstColumn="1" w:lastColumn="0" w:noHBand="0" w:noVBand="1"/>
      </w:tblPr>
      <w:tblGrid>
        <w:gridCol w:w="3413"/>
        <w:gridCol w:w="5937"/>
      </w:tblGrid>
      <w:tr w:rsidR="004B24C8" w14:paraId="20CD3042" w14:textId="77777777" w:rsidTr="00766BA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289615C0" w14:textId="77777777" w:rsidR="004B24C8" w:rsidRPr="00F47607" w:rsidRDefault="004B24C8" w:rsidP="00E64254">
            <w:pPr>
              <w:spacing w:line="240" w:lineRule="auto"/>
              <w:rPr>
                <w:color w:val="FFFFFF"/>
              </w:rPr>
            </w:pPr>
            <w:r>
              <w:rPr>
                <w:color w:val="FFFFFF"/>
              </w:rPr>
              <w:t>Feature References</w:t>
            </w:r>
          </w:p>
        </w:tc>
      </w:tr>
      <w:tr w:rsidR="004B24C8" w:rsidRPr="00766BA9" w14:paraId="561E2A6C" w14:textId="77777777" w:rsidTr="00766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7AC10EB8" w14:textId="77777777" w:rsidR="004B24C8" w:rsidRPr="00766BA9" w:rsidRDefault="004B24C8" w:rsidP="00E64254">
            <w:pPr>
              <w:spacing w:line="240" w:lineRule="auto"/>
              <w:rPr>
                <w:sz w:val="20"/>
                <w:szCs w:val="18"/>
              </w:rPr>
            </w:pPr>
            <w:r w:rsidRPr="00766BA9">
              <w:rPr>
                <w:sz w:val="20"/>
                <w:szCs w:val="18"/>
              </w:rPr>
              <w:t>VPN Device information</w:t>
            </w:r>
          </w:p>
        </w:tc>
        <w:tc>
          <w:tcPr>
            <w:tcW w:w="5940" w:type="dxa"/>
          </w:tcPr>
          <w:p w14:paraId="5B5E9244" w14:textId="77777777" w:rsidR="004B24C8" w:rsidRPr="00766BA9" w:rsidRDefault="00872E47" w:rsidP="00E64254">
            <w:pPr>
              <w:cnfStyle w:val="000000100000" w:firstRow="0" w:lastRow="0" w:firstColumn="0" w:lastColumn="0" w:oddVBand="0" w:evenVBand="0" w:oddHBand="1" w:evenHBand="0" w:firstRowFirstColumn="0" w:firstRowLastColumn="0" w:lastRowFirstColumn="0" w:lastRowLastColumn="0"/>
              <w:rPr>
                <w:sz w:val="20"/>
              </w:rPr>
            </w:pPr>
            <w:hyperlink r:id="rId404" w:history="1">
              <w:r w:rsidR="004B24C8" w:rsidRPr="00766BA9">
                <w:rPr>
                  <w:rStyle w:val="Hyperlink"/>
                  <w:sz w:val="20"/>
                </w:rPr>
                <w:t>https://msdn.microsoft.com/en-us/library/azure/jj156075.aspx</w:t>
              </w:r>
            </w:hyperlink>
            <w:r w:rsidR="004B24C8" w:rsidRPr="00766BA9">
              <w:rPr>
                <w:sz w:val="20"/>
              </w:rPr>
              <w:t xml:space="preserve"> </w:t>
            </w:r>
          </w:p>
        </w:tc>
      </w:tr>
      <w:tr w:rsidR="004B24C8" w:rsidRPr="00766BA9" w14:paraId="3A6CB586" w14:textId="77777777" w:rsidTr="00766BA9">
        <w:tc>
          <w:tcPr>
            <w:cnfStyle w:val="001000000000" w:firstRow="0" w:lastRow="0" w:firstColumn="1" w:lastColumn="0" w:oddVBand="0" w:evenVBand="0" w:oddHBand="0" w:evenHBand="0" w:firstRowFirstColumn="0" w:firstRowLastColumn="0" w:lastRowFirstColumn="0" w:lastRowLastColumn="0"/>
            <w:tcW w:w="3420" w:type="dxa"/>
          </w:tcPr>
          <w:p w14:paraId="5E4E4467" w14:textId="77777777" w:rsidR="004B24C8" w:rsidRPr="00766BA9" w:rsidRDefault="004B24C8" w:rsidP="00E64254">
            <w:pPr>
              <w:spacing w:line="240" w:lineRule="auto"/>
              <w:rPr>
                <w:sz w:val="20"/>
                <w:szCs w:val="18"/>
              </w:rPr>
            </w:pPr>
            <w:r w:rsidRPr="00766BA9">
              <w:rPr>
                <w:sz w:val="20"/>
                <w:szCs w:val="18"/>
              </w:rPr>
              <w:t xml:space="preserve">Configuring Multiple Sites Connectivity </w:t>
            </w:r>
          </w:p>
        </w:tc>
        <w:tc>
          <w:tcPr>
            <w:tcW w:w="5940" w:type="dxa"/>
          </w:tcPr>
          <w:p w14:paraId="7BA31515" w14:textId="77777777" w:rsidR="004B24C8" w:rsidRPr="00766BA9" w:rsidRDefault="00872E47" w:rsidP="00E64254">
            <w:pPr>
              <w:cnfStyle w:val="000000000000" w:firstRow="0" w:lastRow="0" w:firstColumn="0" w:lastColumn="0" w:oddVBand="0" w:evenVBand="0" w:oddHBand="0" w:evenHBand="0" w:firstRowFirstColumn="0" w:firstRowLastColumn="0" w:lastRowFirstColumn="0" w:lastRowLastColumn="0"/>
              <w:rPr>
                <w:sz w:val="20"/>
              </w:rPr>
            </w:pPr>
            <w:hyperlink r:id="rId405" w:history="1">
              <w:r w:rsidR="004B24C8" w:rsidRPr="00766BA9">
                <w:rPr>
                  <w:rStyle w:val="Hyperlink"/>
                  <w:sz w:val="20"/>
                </w:rPr>
                <w:t>https://msdn.microsoft.com/en-us/library/azure/dn690124.aspx</w:t>
              </w:r>
            </w:hyperlink>
            <w:r w:rsidR="004B24C8" w:rsidRPr="00766BA9">
              <w:rPr>
                <w:sz w:val="20"/>
              </w:rPr>
              <w:t xml:space="preserve"> </w:t>
            </w:r>
          </w:p>
        </w:tc>
      </w:tr>
      <w:tr w:rsidR="004B24C8" w:rsidRPr="00766BA9" w14:paraId="59562712" w14:textId="77777777" w:rsidTr="00766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777CA8EC" w14:textId="77777777" w:rsidR="004B24C8" w:rsidRPr="00766BA9" w:rsidRDefault="004B24C8" w:rsidP="00E64254">
            <w:pPr>
              <w:spacing w:line="240" w:lineRule="auto"/>
              <w:rPr>
                <w:sz w:val="20"/>
                <w:szCs w:val="18"/>
              </w:rPr>
            </w:pPr>
            <w:r w:rsidRPr="00766BA9">
              <w:rPr>
                <w:sz w:val="20"/>
                <w:szCs w:val="18"/>
              </w:rPr>
              <w:t>Configure a Cross-Premises Site-to-Site connection to an Azure Virtual Network</w:t>
            </w:r>
          </w:p>
        </w:tc>
        <w:tc>
          <w:tcPr>
            <w:tcW w:w="5940" w:type="dxa"/>
          </w:tcPr>
          <w:p w14:paraId="04695E5F" w14:textId="30D89814" w:rsidR="004B24C8" w:rsidRPr="00766BA9" w:rsidRDefault="00872E47" w:rsidP="00E64254">
            <w:pPr>
              <w:cnfStyle w:val="000000100000" w:firstRow="0" w:lastRow="0" w:firstColumn="0" w:lastColumn="0" w:oddVBand="0" w:evenVBand="0" w:oddHBand="1" w:evenHBand="0" w:firstRowFirstColumn="0" w:firstRowLastColumn="0" w:lastRowFirstColumn="0" w:lastRowLastColumn="0"/>
              <w:rPr>
                <w:sz w:val="20"/>
              </w:rPr>
            </w:pPr>
            <w:hyperlink r:id="rId406" w:history="1">
              <w:r w:rsidR="00C83035">
                <w:rPr>
                  <w:rStyle w:val="Hyperlink"/>
                  <w:sz w:val="20"/>
                </w:rPr>
                <w:t>http://azure.microsoft.com/documentation/articles/vpn-gateway-site-to-site-create/</w:t>
              </w:r>
            </w:hyperlink>
            <w:r w:rsidR="004B24C8" w:rsidRPr="00766BA9">
              <w:rPr>
                <w:sz w:val="20"/>
              </w:rPr>
              <w:t xml:space="preserve"> </w:t>
            </w:r>
          </w:p>
        </w:tc>
      </w:tr>
    </w:tbl>
    <w:p w14:paraId="2FBBA1D2" w14:textId="77777777" w:rsidR="006B3724" w:rsidRDefault="006B3724" w:rsidP="006B3724"/>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6B3724" w14:paraId="0BDD018E" w14:textId="77777777" w:rsidTr="00E74DE3">
        <w:trPr>
          <w:trHeight w:val="423"/>
        </w:trPr>
        <w:tc>
          <w:tcPr>
            <w:tcW w:w="666" w:type="dxa"/>
          </w:tcPr>
          <w:p w14:paraId="4C3BB74D" w14:textId="77777777" w:rsidR="006B3724" w:rsidRDefault="006B3724" w:rsidP="006B3724">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0C36492E" wp14:editId="4994BA48">
                      <wp:extent cx="200025" cy="180975"/>
                      <wp:effectExtent l="57150" t="19050" r="28575" b="104775"/>
                      <wp:docPr id="874593606" name="Octagon 874593606"/>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10DAD66" id="Octagon 874593606"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0TjeAIAAFoFAAAOAAAAZHJzL2Uyb0RvYy54bWysVFtr2zAUfh/sPwi9r7bTpJdQp4SUjkFp&#10;y9rRZ0WWEoGko0lKnOzX70h2nNAVBmMv8jk+9+9cbm53RpOt8EGBrWl1VlIiLIdG2VVNf7zef7mi&#10;JERmG6bBipruRaC3s8+fblo3FSNYg26EJ+jEhmnrarqO0U2LIvC1MCycgRMWhRK8YRFZvyoaz1r0&#10;bnQxKsuLogXfOA9chIB/7zohnWX/Ugoen6QMIhJdU8wt5tfnd5neYnbDpivP3FrxPg32D1kYpiwG&#10;HVzdscjIxqs/XBnFPQSQ8YyDKUBKxUWuAaupynfVvKyZE7kWBCe4Aabw/9zyx+2zJ6qp6dXleHJ9&#10;flFeUGKZwVY98chWYMlRgGC1LkzR5sU9+54LSKbKd9Kb9MWayC4DvB8AFrtIOP7EjpWjCSUcRdVV&#10;eX05SQ0ojsbOh/hVgCGJqCl0KWRk2fYhxE77oJXCBdCquVdaZ8avlgvtyZZhuxcLjJY7jAFO1IpU&#10;Q5d1puJei2Ss7XchEQrMs8oR8xCKwR/jXNg46jPO2slMYuzB8Pzvhr1+MhV5QAfj0d+NB4scGWwc&#10;jI2y4D9yoGPVpyw7fQT8pO5ELqHZ4xR46NYjOH6vEP8HFuIz87gPuDm44/EJH6mhxcb0FCVr8L8+&#10;+p/0cUxRSkmL+1XT8HPDvKBEf7M4wNfVeJwWMjPjyeUIGX8qWZ5K7MYsAHta4TVxPJNJP+oDKT2Y&#10;NzwF8xQVRcxyjF1THv2BWcRu7/GYcDGfZzVcQsfig31x/ND1NFyvuzfmXT+EEaf3EQ67yKbvBrHT&#10;Tf2wMN9EkCpP6RHXHm9c4Dzq/bFJF+KUz1rHkzj7DQ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NZvRON4AgAAWg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21A20DA1" w14:textId="77777777" w:rsidR="0094259D" w:rsidRDefault="006B3724" w:rsidP="006B3724">
            <w:pPr>
              <w:rPr>
                <w:lang w:eastAsia="en-US"/>
              </w:rPr>
            </w:pPr>
            <w:r w:rsidRPr="00192064">
              <w:rPr>
                <w:b/>
                <w:lang w:eastAsia="en-US"/>
              </w:rPr>
              <w:t>Mandatory</w:t>
            </w:r>
            <w:r>
              <w:rPr>
                <w:lang w:eastAsia="en-US"/>
              </w:rPr>
              <w:t xml:space="preserve">:  </w:t>
            </w:r>
          </w:p>
          <w:p w14:paraId="1D09F253" w14:textId="4277510E" w:rsidR="006B3724" w:rsidRDefault="00E6326C" w:rsidP="005729D2">
            <w:pPr>
              <w:pStyle w:val="ListParagraph"/>
              <w:numPr>
                <w:ilvl w:val="0"/>
                <w:numId w:val="243"/>
              </w:numPr>
              <w:rPr>
                <w:lang w:eastAsia="en-US"/>
              </w:rPr>
            </w:pPr>
            <w:r>
              <w:rPr>
                <w:lang w:eastAsia="en-US"/>
              </w:rPr>
              <w:t>A dedicated IPv4 address is required for the on-premises VPN device to establish a S2S VPN connection</w:t>
            </w:r>
          </w:p>
          <w:p w14:paraId="29F3DFCA" w14:textId="6E0D9E29" w:rsidR="0094259D" w:rsidRDefault="0094259D" w:rsidP="005729D2">
            <w:pPr>
              <w:pStyle w:val="ListParagraph"/>
              <w:numPr>
                <w:ilvl w:val="0"/>
                <w:numId w:val="243"/>
              </w:numPr>
              <w:rPr>
                <w:lang w:eastAsia="en-US"/>
              </w:rPr>
            </w:pPr>
            <w:r>
              <w:rPr>
                <w:lang w:eastAsia="en-US"/>
              </w:rPr>
              <w:t>For CSP scenarios, a separate S2S VPN device is required for the CSP connection</w:t>
            </w:r>
          </w:p>
        </w:tc>
      </w:tr>
      <w:tr w:rsidR="006B3724" w14:paraId="147F6C79" w14:textId="77777777" w:rsidTr="00E74DE3">
        <w:trPr>
          <w:trHeight w:val="423"/>
        </w:trPr>
        <w:tc>
          <w:tcPr>
            <w:tcW w:w="666" w:type="dxa"/>
          </w:tcPr>
          <w:p w14:paraId="38916EC4" w14:textId="77777777" w:rsidR="006B3724" w:rsidRDefault="006B3724" w:rsidP="006B3724">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585536" behindDoc="0" locked="0" layoutInCell="1" allowOverlap="1" wp14:anchorId="7AD95105" wp14:editId="69BB4700">
                      <wp:simplePos x="0" y="0"/>
                      <wp:positionH relativeFrom="column">
                        <wp:posOffset>66675</wp:posOffset>
                      </wp:positionH>
                      <wp:positionV relativeFrom="paragraph">
                        <wp:posOffset>90170</wp:posOffset>
                      </wp:positionV>
                      <wp:extent cx="209550" cy="180975"/>
                      <wp:effectExtent l="57150" t="19050" r="57150" b="104775"/>
                      <wp:wrapNone/>
                      <wp:docPr id="874593608" name="Isosceles Triangle 8745936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1BAE69B5" id="Isosceles Triangle 874593608" o:spid="_x0000_s1026" type="#_x0000_t5" style="position:absolute;margin-left:5.25pt;margin-top:7.1pt;width:16.5pt;height:14.2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Jc+jgIAAH8FAAAOAAAAZHJzL2Uyb0RvYy54bWysVG1r2zAQ/j7YfxD6vtpOk7YxdUpoySiE&#10;Nqwd/azIUmIm6zRJiZP9+p3kl3RdoTDmD0Lne+50L8/d9c2hVmQvrKtAFzQ7SykRmkNZ6U1Bvz8v&#10;vlxR4jzTJVOgRUGPwtGb2edP143JxQi2oEphCTrRLm9MQbfemzxJHN+KmrkzMEKjUoKtmUfRbpLS&#10;sga91yoZpelF0oAtjQUunMO/d62SzqJ/KQX3j1I64YkqKMbm42njuQ5nMrtm+cYys614Fwb7hyhq&#10;Vml8dHB1xzwjO1v95aquuAUH0p9xqBOQsuIi5oDZZOmbbJ62zIiYCxbHmaFM7v+55Q/7lSVVWdCr&#10;y/Fken6RYsM0q7FV9w4cF0o48mwrpjdKkBMG69YYl6P5k1nZkLkzS+A/HCqSPzRBcB3mIG0dsJg3&#10;OcQmHIcmiIMnHH+O0ulkgq3iqMqu0unlJDQpYXlvbKzzXwXUJFwK6rvgYvnZful8C+9hMTZQVbmo&#10;lIqC3axvlSV7hpxY4JdGGuAL7gSLObRhxwT8UYlgrPQ3IbFeGGgWX4xMFYM/xrnQ/qILOaKDmcS3&#10;B8Pzjw07fDAVkcWD8ehj48EivgzaD8Z1pcG+50D5rAtZtviui67NO5RgDeURqWKhnSFn+KLCBiyZ&#10;8ytmcWiwZ7gI/CMeUkFTUOhulGzB/nrvf8Ajl1FLSYNDWFD3c8esoETda2T5NBuPw9RGYTy5HKFg&#10;X2vWrzV6V98C9jTDlWN4vAa8V/1VWqhfcF/Mw6uoYprj2wXl3vbCrW+XA24cLubzCMNJNcwv9ZPh&#10;fdcDuZ4PL8yanoVI3wfoB5blb4jYYkM/NMx3HmQVWXqqa1dvnPLI9W4jhTXyWo6o096c/QY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4uyXPo4CAA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3E53284D" w14:textId="07F3C5CD" w:rsidR="006B3724" w:rsidRDefault="006B3724" w:rsidP="006B3724">
            <w:pPr>
              <w:rPr>
                <w:rFonts w:eastAsiaTheme="minorHAnsi"/>
                <w:lang w:eastAsia="en-US"/>
              </w:rPr>
            </w:pPr>
            <w:r>
              <w:rPr>
                <w:rFonts w:eastAsiaTheme="minorHAnsi"/>
                <w:b/>
                <w:lang w:eastAsia="en-US"/>
              </w:rPr>
              <w:t xml:space="preserve">Recommended: </w:t>
            </w:r>
            <w:r>
              <w:rPr>
                <w:rFonts w:eastAsiaTheme="minorHAnsi"/>
                <w:lang w:eastAsia="en-US"/>
              </w:rPr>
              <w:t xml:space="preserve"> </w:t>
            </w:r>
            <w:r w:rsidR="00E6326C">
              <w:rPr>
                <w:rFonts w:eastAsiaTheme="minorHAnsi"/>
                <w:lang w:eastAsia="en-US"/>
              </w:rPr>
              <w:t>If automating the creation of the gateway for the S2S VPN, specify your shared key versus retrieving a shared key from Azure</w:t>
            </w:r>
            <w:r>
              <w:rPr>
                <w:rFonts w:eastAsiaTheme="minorHAnsi"/>
                <w:lang w:eastAsia="en-US"/>
              </w:rPr>
              <w:t>.</w:t>
            </w:r>
          </w:p>
          <w:p w14:paraId="3F72C1B6" w14:textId="77777777" w:rsidR="00E6326C" w:rsidRPr="004B24C8" w:rsidRDefault="00E6326C" w:rsidP="005729D2">
            <w:pPr>
              <w:pStyle w:val="ListParagraph"/>
              <w:numPr>
                <w:ilvl w:val="0"/>
                <w:numId w:val="77"/>
              </w:numPr>
              <w:rPr>
                <w:rFonts w:eastAsiaTheme="minorHAnsi"/>
                <w:lang w:eastAsia="en-US"/>
              </w:rPr>
            </w:pPr>
            <w:r w:rsidRPr="004B24C8">
              <w:rPr>
                <w:rFonts w:eastAsiaTheme="minorHAnsi"/>
              </w:rPr>
              <w:t>Always use encrypted VPN connections for S2S VPNs</w:t>
            </w:r>
            <w:r>
              <w:rPr>
                <w:rFonts w:eastAsiaTheme="minorHAnsi"/>
              </w:rPr>
              <w:t>.</w:t>
            </w:r>
          </w:p>
          <w:p w14:paraId="307E2AD3" w14:textId="77777777" w:rsidR="00E6326C" w:rsidRPr="004B24C8" w:rsidRDefault="00E6326C" w:rsidP="005729D2">
            <w:pPr>
              <w:pStyle w:val="ListParagraph"/>
              <w:numPr>
                <w:ilvl w:val="0"/>
                <w:numId w:val="77"/>
              </w:numPr>
              <w:rPr>
                <w:rFonts w:eastAsiaTheme="minorHAnsi"/>
                <w:lang w:eastAsia="en-US"/>
              </w:rPr>
            </w:pPr>
            <w:r w:rsidRPr="004B24C8">
              <w:rPr>
                <w:rFonts w:eastAsiaTheme="minorHAnsi"/>
              </w:rPr>
              <w:t>Always use VPN devices that support dynamic routing</w:t>
            </w:r>
            <w:r>
              <w:rPr>
                <w:rFonts w:eastAsiaTheme="minorHAnsi"/>
              </w:rPr>
              <w:t>.</w:t>
            </w:r>
          </w:p>
          <w:p w14:paraId="1D2EBD4B" w14:textId="733DB3F8" w:rsidR="006B3724" w:rsidRDefault="00E6326C" w:rsidP="005729D2">
            <w:pPr>
              <w:pStyle w:val="ListParagraph"/>
              <w:numPr>
                <w:ilvl w:val="0"/>
                <w:numId w:val="77"/>
              </w:numPr>
              <w:rPr>
                <w:rFonts w:eastAsiaTheme="minorHAnsi"/>
                <w:lang w:eastAsia="en-US"/>
              </w:rPr>
            </w:pPr>
            <w:r w:rsidRPr="004B24C8">
              <w:rPr>
                <w:rFonts w:eastAsiaTheme="minorHAnsi"/>
              </w:rPr>
              <w:t xml:space="preserve">Leverage </w:t>
            </w:r>
            <w:r>
              <w:rPr>
                <w:rFonts w:eastAsiaTheme="minorHAnsi"/>
              </w:rPr>
              <w:t>m</w:t>
            </w:r>
            <w:r w:rsidRPr="004B24C8">
              <w:rPr>
                <w:rFonts w:eastAsiaTheme="minorHAnsi"/>
              </w:rPr>
              <w:t>ulti-</w:t>
            </w:r>
            <w:r>
              <w:rPr>
                <w:rFonts w:eastAsiaTheme="minorHAnsi"/>
              </w:rPr>
              <w:t>s</w:t>
            </w:r>
            <w:r w:rsidRPr="004B24C8">
              <w:rPr>
                <w:rFonts w:eastAsiaTheme="minorHAnsi"/>
              </w:rPr>
              <w:t xml:space="preserve">ite S2S support to provide redundant paths to a </w:t>
            </w:r>
            <w:r>
              <w:rPr>
                <w:rFonts w:eastAsiaTheme="minorHAnsi"/>
              </w:rPr>
              <w:t>virtual network</w:t>
            </w:r>
          </w:p>
          <w:p w14:paraId="2BCA8C91" w14:textId="10592992" w:rsidR="0094259D" w:rsidRPr="004B24C8" w:rsidRDefault="0094259D" w:rsidP="005729D2">
            <w:pPr>
              <w:pStyle w:val="ListParagraph"/>
              <w:numPr>
                <w:ilvl w:val="0"/>
                <w:numId w:val="77"/>
              </w:numPr>
              <w:rPr>
                <w:rFonts w:eastAsiaTheme="minorHAnsi"/>
                <w:lang w:eastAsia="en-US"/>
              </w:rPr>
            </w:pPr>
            <w:r>
              <w:rPr>
                <w:rFonts w:eastAsiaTheme="minorHAnsi"/>
              </w:rPr>
              <w:t>Leverage the high performance gateways to maximize v</w:t>
            </w:r>
            <w:r w:rsidR="00E6326C">
              <w:rPr>
                <w:rFonts w:eastAsiaTheme="minorHAnsi"/>
              </w:rPr>
              <w:t xml:space="preserve">irtual network to virtual network </w:t>
            </w:r>
            <w:r>
              <w:rPr>
                <w:rFonts w:eastAsiaTheme="minorHAnsi"/>
              </w:rPr>
              <w:t xml:space="preserve">connections and </w:t>
            </w:r>
            <w:r w:rsidR="00E6326C">
              <w:rPr>
                <w:rFonts w:eastAsiaTheme="minorHAnsi"/>
              </w:rPr>
              <w:t xml:space="preserve">to </w:t>
            </w:r>
            <w:r>
              <w:rPr>
                <w:rFonts w:eastAsiaTheme="minorHAnsi"/>
              </w:rPr>
              <w:t>obtain the high performance connection for S2S scenarios.</w:t>
            </w:r>
          </w:p>
        </w:tc>
      </w:tr>
      <w:tr w:rsidR="006B3724" w14:paraId="0744A34F" w14:textId="77777777" w:rsidTr="00E74DE3">
        <w:trPr>
          <w:trHeight w:val="423"/>
        </w:trPr>
        <w:tc>
          <w:tcPr>
            <w:tcW w:w="666" w:type="dxa"/>
          </w:tcPr>
          <w:p w14:paraId="7771109B" w14:textId="77777777" w:rsidR="006B3724" w:rsidRDefault="006B3724" w:rsidP="006B3724">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590656" behindDoc="0" locked="0" layoutInCell="1" allowOverlap="1" wp14:anchorId="4E6165E8" wp14:editId="509FCBF3">
                      <wp:simplePos x="0" y="0"/>
                      <wp:positionH relativeFrom="column">
                        <wp:posOffset>66675</wp:posOffset>
                      </wp:positionH>
                      <wp:positionV relativeFrom="paragraph">
                        <wp:posOffset>90170</wp:posOffset>
                      </wp:positionV>
                      <wp:extent cx="180975" cy="180975"/>
                      <wp:effectExtent l="57150" t="19050" r="9525" b="104775"/>
                      <wp:wrapNone/>
                      <wp:docPr id="874593610" name="Oval 8745936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62B83DD7" id="Oval 874593610" o:spid="_x0000_s1026" style="position:absolute;margin-left:5.25pt;margin-top:7.1pt;width:14.25pt;height:14.25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EO/ggIAAHAFAAAOAAAAZHJzL2Uyb0RvYy54bWysVN9P2zAQfp+0/8Hy+0hSWigRKepATJMq&#10;QIOJZ9exW2uOz7Pdpt1fv7OTpmwgIU17sXy+7376u7u82jWabIXzCkxFi5OcEmE41MqsKvr96fbT&#10;lBIfmKmZBiMquheeXs0+frhsbSlGsAZdC0fQifFlayu6DsGWWeb5WjTMn4AVBpUSXMMCim6V1Y61&#10;6L3R2SjPz7IWXG0dcOE9vt50SjpL/qUUPNxL6UUguqKYW0inS+cyntnskpUrx+xa8T4N9g9ZNEwZ&#10;DDq4umGBkY1Tr1w1ijvwIMMJhyYDKRUXqQaspsj/quZxzaxItWBzvB3a5P+fW363fXBE1RWdno8n&#10;F6dnBXbJsAa/6n7LNDm+Yqda60s0eLQPLtbq7QL4D4+K7A9NFHyP2UnXRCxWSnap7fuh7WIXCMfH&#10;YppfnE8o4ajq79EnKw/G1vnwRUBD4qWiQmtlfWwMK9l24UOHPqBSaqBVfau0ToJbLa+1I1gPxs4/&#10;55P07xjAH2GphC7rlH/YaxGNtfkmJDYo5pkiJmqKwR/jXJhwGomEDhM6mkmMPRievm/Y46OpSLQd&#10;jEfvGw8WKTKYMBg3yoB7y4EORZ+y7PD9J/qu7tiCJdR75IaDbmi85bcK+79gPjwwh1OCTMHJD/d4&#10;SA1tRaG/UbIG9+ut94hH8qKWkhanrqL+54Y5QYn+apDWF8V4HMc0CePJ+QgF91KzfKkxm+Ya8E8L&#10;3DGWp2vEB324SgfNMy6IeYyKKmY4xq4oD+4gXIduG+CK4WI+TzAcTcvCwjxafvj1SK6n3TNztidh&#10;QPbewWFCXxGxw8b/MDDfBJAqsfTY177fONaJOP0KinvjpZxQx0U5+w0AAP//AwBQSwMEFAAGAAgA&#10;AAAhAMIanyLeAAAABwEAAA8AAABkcnMvZG93bnJldi54bWxMj0FLw0AQhe+C/2EZwYvYTWKrNmZT&#10;RBAUvZhW1Ns0OybB7GzIbtv47x1Pehoe7/Hme8Vqcr3a0xg6zwbSWQKKuPa248bAZn1/fg0qRGSL&#10;vWcy8E0BVuXxUYG59Qd+oX0VGyUlHHI00MY45FqHuiWHYeYHYvE+/egwihwbbUc8SLnrdZYkl9ph&#10;x/KhxYHuWqq/qp0z8FFtnt06fXJvj+nDgs7e+yXaV2NOT6bbG1CRpvgXhl98QYdSmLZ+xzaoXnSy&#10;kKTceQZK/IulTNsamGdXoMtC/+cvfwAAAP//AwBQSwECLQAUAAYACAAAACEAtoM4kv4AAADhAQAA&#10;EwAAAAAAAAAAAAAAAAAAAAAAW0NvbnRlbnRfVHlwZXNdLnhtbFBLAQItABQABgAIAAAAIQA4/SH/&#10;1gAAAJQBAAALAAAAAAAAAAAAAAAAAC8BAABfcmVscy8ucmVsc1BLAQItABQABgAIAAAAIQCk4EO/&#10;ggIAAHAFAAAOAAAAAAAAAAAAAAAAAC4CAABkcnMvZTJvRG9jLnhtbFBLAQItABQABgAIAAAAIQDC&#10;Gp8i3gAAAAcBAAAPAAAAAAAAAAAAAAAAANwEAABkcnMvZG93bnJldi54bWxQSwUGAAAAAAQABADz&#10;AAAA5wUAAAAA&#10;" fillcolor="#00b050" strokecolor="#a5a5a5 [3206]" strokeweight=".5pt">
                      <v:stroke joinstyle="miter"/>
                      <v:path arrowok="t"/>
                    </v:oval>
                  </w:pict>
                </mc:Fallback>
              </mc:AlternateContent>
            </w:r>
          </w:p>
        </w:tc>
        <w:tc>
          <w:tcPr>
            <w:tcW w:w="8604" w:type="dxa"/>
          </w:tcPr>
          <w:p w14:paraId="4797026B" w14:textId="77777777" w:rsidR="006B3724" w:rsidRDefault="006B3724" w:rsidP="006B3724">
            <w:pPr>
              <w:rPr>
                <w:lang w:eastAsia="en-US"/>
              </w:rPr>
            </w:pPr>
            <w:r>
              <w:rPr>
                <w:rFonts w:eastAsiaTheme="minorHAnsi"/>
                <w:b/>
                <w:lang w:eastAsia="en-US"/>
              </w:rPr>
              <w:t xml:space="preserve">Optional: </w:t>
            </w:r>
            <w:r>
              <w:rPr>
                <w:rFonts w:eastAsiaTheme="minorHAnsi"/>
                <w:lang w:eastAsia="en-US"/>
              </w:rPr>
              <w:t xml:space="preserve"> Leverage the </w:t>
            </w:r>
            <w:r w:rsidRPr="00E6326C">
              <w:rPr>
                <w:rFonts w:eastAsiaTheme="minorHAnsi"/>
                <w:b/>
                <w:lang w:eastAsia="en-US"/>
              </w:rPr>
              <w:t>New-GUID</w:t>
            </w:r>
            <w:r>
              <w:rPr>
                <w:rFonts w:eastAsiaTheme="minorHAnsi"/>
                <w:lang w:eastAsia="en-US"/>
              </w:rPr>
              <w:t xml:space="preserve"> cmdlet to generate a complex shared key</w:t>
            </w:r>
          </w:p>
        </w:tc>
      </w:tr>
    </w:tbl>
    <w:p w14:paraId="6F39B868" w14:textId="77777777" w:rsidR="006B3724" w:rsidRDefault="006B3724" w:rsidP="006B3724"/>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4B24C8" w14:paraId="6BBDADC3" w14:textId="77777777" w:rsidTr="004B24C8">
        <w:tc>
          <w:tcPr>
            <w:tcW w:w="9360" w:type="dxa"/>
            <w:tcBorders>
              <w:top w:val="single" w:sz="4" w:space="0" w:color="008AC8"/>
              <w:left w:val="nil"/>
              <w:bottom w:val="single" w:sz="4" w:space="0" w:color="008AC8"/>
              <w:right w:val="nil"/>
            </w:tcBorders>
            <w:shd w:val="clear" w:color="auto" w:fill="008AC8"/>
            <w:hideMark/>
          </w:tcPr>
          <w:p w14:paraId="0FD14E83" w14:textId="77777777" w:rsidR="004B24C8" w:rsidRDefault="004B24C8">
            <w:pPr>
              <w:spacing w:line="240" w:lineRule="auto"/>
              <w:rPr>
                <w:color w:val="FFFFFF"/>
              </w:rPr>
            </w:pPr>
            <w:r>
              <w:rPr>
                <w:color w:val="FFFFFF"/>
              </w:rPr>
              <w:t>Design Guidance</w:t>
            </w:r>
          </w:p>
        </w:tc>
      </w:tr>
    </w:tbl>
    <w:p w14:paraId="66BFF831" w14:textId="77777777" w:rsidR="004B24C8" w:rsidRDefault="004B24C8" w:rsidP="004B24C8">
      <w:r>
        <w:t>When you design for Site-to-Site Connections, consider the following:</w:t>
      </w:r>
    </w:p>
    <w:tbl>
      <w:tblPr>
        <w:tblStyle w:val="PlainTable11"/>
        <w:tblW w:w="0" w:type="auto"/>
        <w:tblLook w:val="04A0" w:firstRow="1" w:lastRow="0" w:firstColumn="1" w:lastColumn="0" w:noHBand="0" w:noVBand="1"/>
      </w:tblPr>
      <w:tblGrid>
        <w:gridCol w:w="2532"/>
        <w:gridCol w:w="6741"/>
      </w:tblGrid>
      <w:tr w:rsidR="004B24C8" w:rsidRPr="00766BA9" w14:paraId="33CBEBCB" w14:textId="77777777" w:rsidTr="00766BA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808080" w:themeFill="background1" w:themeFillShade="80"/>
            <w:hideMark/>
          </w:tcPr>
          <w:p w14:paraId="6DA14E6F" w14:textId="77777777" w:rsidR="004B24C8" w:rsidRPr="00766BA9" w:rsidRDefault="004B24C8">
            <w:pPr>
              <w:spacing w:line="240" w:lineRule="auto"/>
              <w:rPr>
                <w:rFonts w:eastAsia="Calibri"/>
                <w:bCs w:val="0"/>
                <w:color w:val="FFFFFF"/>
                <w:sz w:val="20"/>
                <w:szCs w:val="20"/>
                <w:lang w:eastAsia="en-AU"/>
              </w:rPr>
            </w:pPr>
            <w:r w:rsidRPr="00766BA9">
              <w:rPr>
                <w:rFonts w:eastAsia="Calibri"/>
                <w:bCs w:val="0"/>
                <w:color w:val="FFFFFF"/>
                <w:sz w:val="20"/>
                <w:szCs w:val="20"/>
                <w:lang w:eastAsia="en-AU"/>
              </w:rPr>
              <w:t>Capability Consideration</w:t>
            </w:r>
          </w:p>
        </w:tc>
        <w:tc>
          <w:tcPr>
            <w:tcW w:w="6741" w:type="dxa"/>
            <w:shd w:val="clear" w:color="auto" w:fill="808080" w:themeFill="background1" w:themeFillShade="80"/>
            <w:hideMark/>
          </w:tcPr>
          <w:p w14:paraId="604AE1F9" w14:textId="77777777" w:rsidR="004B24C8" w:rsidRPr="00766BA9" w:rsidRDefault="004B24C8">
            <w:pPr>
              <w:spacing w:line="240" w:lineRule="auto"/>
              <w:cnfStyle w:val="100000000000" w:firstRow="1" w:lastRow="0" w:firstColumn="0" w:lastColumn="0" w:oddVBand="0" w:evenVBand="0" w:oddHBand="0" w:evenHBand="0" w:firstRowFirstColumn="0" w:firstRowLastColumn="0" w:lastRowFirstColumn="0" w:lastRowLastColumn="0"/>
              <w:rPr>
                <w:rFonts w:eastAsia="Calibri"/>
                <w:bCs w:val="0"/>
                <w:color w:val="FFFFFF"/>
                <w:sz w:val="20"/>
                <w:szCs w:val="20"/>
                <w:lang w:eastAsia="en-AU"/>
              </w:rPr>
            </w:pPr>
            <w:r w:rsidRPr="00766BA9">
              <w:rPr>
                <w:rFonts w:eastAsia="Calibri"/>
                <w:bCs w:val="0"/>
                <w:color w:val="FFFFFF"/>
                <w:sz w:val="20"/>
                <w:szCs w:val="20"/>
                <w:lang w:eastAsia="en-AU"/>
              </w:rPr>
              <w:t>Capability Decision Points</w:t>
            </w:r>
          </w:p>
        </w:tc>
      </w:tr>
      <w:tr w:rsidR="00E6326C" w14:paraId="1F62EC41" w14:textId="77777777" w:rsidTr="00766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1219886" w14:textId="742A747C" w:rsidR="00E6326C" w:rsidRDefault="00E6326C" w:rsidP="00E6326C">
            <w:pPr>
              <w:rPr>
                <w:sz w:val="20"/>
                <w:szCs w:val="20"/>
              </w:rPr>
            </w:pPr>
            <w:r>
              <w:rPr>
                <w:sz w:val="20"/>
                <w:szCs w:val="20"/>
              </w:rPr>
              <w:t>S2S VPN performance</w:t>
            </w:r>
          </w:p>
        </w:tc>
        <w:tc>
          <w:tcPr>
            <w:tcW w:w="6741" w:type="dxa"/>
            <w:hideMark/>
          </w:tcPr>
          <w:p w14:paraId="70E514FC" w14:textId="3DA3E9A3" w:rsidR="00E6326C" w:rsidRDefault="00E6326C" w:rsidP="00E6326C">
            <w:pPr>
              <w:cnfStyle w:val="000000100000" w:firstRow="0" w:lastRow="0" w:firstColumn="0" w:lastColumn="0" w:oddVBand="0" w:evenVBand="0" w:oddHBand="1" w:evenHBand="0" w:firstRowFirstColumn="0" w:firstRowLastColumn="0" w:lastRowFirstColumn="0" w:lastRowLastColumn="0"/>
              <w:rPr>
                <w:sz w:val="20"/>
                <w:szCs w:val="20"/>
              </w:rPr>
            </w:pPr>
            <w:r w:rsidRPr="00D82979">
              <w:rPr>
                <w:sz w:val="20"/>
                <w:szCs w:val="20"/>
              </w:rPr>
              <w:t>A maximum of</w:t>
            </w:r>
            <w:r>
              <w:rPr>
                <w:sz w:val="20"/>
                <w:szCs w:val="20"/>
              </w:rPr>
              <w:t> 2</w:t>
            </w:r>
            <w:r w:rsidRPr="00D82979">
              <w:rPr>
                <w:sz w:val="20"/>
                <w:szCs w:val="20"/>
              </w:rPr>
              <w:t>00 Mbps connection per VPN at the gateway interface to the virtual network regardless of the Internet connection speed</w:t>
            </w:r>
          </w:p>
        </w:tc>
      </w:tr>
      <w:tr w:rsidR="00E6326C" w14:paraId="7A0367EF" w14:textId="77777777" w:rsidTr="00766BA9">
        <w:tc>
          <w:tcPr>
            <w:cnfStyle w:val="001000000000" w:firstRow="0" w:lastRow="0" w:firstColumn="1" w:lastColumn="0" w:oddVBand="0" w:evenVBand="0" w:oddHBand="0" w:evenHBand="0" w:firstRowFirstColumn="0" w:firstRowLastColumn="0" w:lastRowFirstColumn="0" w:lastRowLastColumn="0"/>
            <w:tcW w:w="0" w:type="auto"/>
            <w:hideMark/>
          </w:tcPr>
          <w:p w14:paraId="310E31E3" w14:textId="3EEC117E" w:rsidR="00E6326C" w:rsidRDefault="00E6326C" w:rsidP="00E6326C">
            <w:pPr>
              <w:pStyle w:val="NormalWeb"/>
              <w:spacing w:line="254" w:lineRule="auto"/>
              <w:rPr>
                <w:rFonts w:ascii="Segoe UI" w:hAnsi="Segoe UI" w:cs="Segoe UI"/>
                <w:sz w:val="20"/>
                <w:szCs w:val="20"/>
                <w:lang w:val="en-AU" w:eastAsia="en-AU"/>
              </w:rPr>
            </w:pPr>
            <w:r>
              <w:rPr>
                <w:rFonts w:ascii="Segoe UI" w:hAnsi="Segoe UI" w:cs="Segoe UI"/>
                <w:sz w:val="20"/>
                <w:szCs w:val="20"/>
                <w:lang w:val="en-AU" w:eastAsia="en-AU"/>
              </w:rPr>
              <w:t>On-premises VPN device</w:t>
            </w:r>
          </w:p>
        </w:tc>
        <w:tc>
          <w:tcPr>
            <w:tcW w:w="6741" w:type="dxa"/>
            <w:hideMark/>
          </w:tcPr>
          <w:p w14:paraId="089C94C1" w14:textId="09C6C70C" w:rsidR="00E6326C" w:rsidRDefault="00E6326C" w:rsidP="00E6326C">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The supported VPN device used determines virtual network routing capability (static or dynamic routing)</w:t>
            </w:r>
          </w:p>
        </w:tc>
      </w:tr>
      <w:tr w:rsidR="00E6326C" w14:paraId="46CB5162" w14:textId="77777777" w:rsidTr="00766BA9">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0" w:type="auto"/>
            <w:hideMark/>
          </w:tcPr>
          <w:p w14:paraId="6FB72206" w14:textId="7EBB203B" w:rsidR="00E6326C" w:rsidRDefault="00E6326C" w:rsidP="00E6326C">
            <w:pPr>
              <w:pStyle w:val="NormalWeb"/>
              <w:spacing w:line="254" w:lineRule="auto"/>
              <w:rPr>
                <w:rFonts w:ascii="Segoe UI" w:hAnsi="Segoe UI" w:cs="Segoe UI"/>
                <w:sz w:val="20"/>
                <w:szCs w:val="20"/>
                <w:lang w:val="en-AU" w:eastAsia="en-AU"/>
              </w:rPr>
            </w:pPr>
            <w:r>
              <w:rPr>
                <w:rFonts w:ascii="Segoe UI" w:hAnsi="Segoe UI" w:cs="Segoe UI"/>
                <w:sz w:val="20"/>
                <w:szCs w:val="20"/>
                <w:lang w:val="en-AU" w:eastAsia="en-AU"/>
              </w:rPr>
              <w:t>Shared keys</w:t>
            </w:r>
          </w:p>
        </w:tc>
        <w:tc>
          <w:tcPr>
            <w:tcW w:w="6741" w:type="dxa"/>
            <w:hideMark/>
          </w:tcPr>
          <w:p w14:paraId="5FA13717" w14:textId="34BD4A31" w:rsidR="00E6326C" w:rsidRDefault="00E6326C" w:rsidP="00E6326C">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Shared keys are required for establishing site-to-site connectivity</w:t>
            </w:r>
          </w:p>
        </w:tc>
      </w:tr>
      <w:tr w:rsidR="00E6326C" w14:paraId="4E854B27" w14:textId="77777777" w:rsidTr="00766BA9">
        <w:trPr>
          <w:trHeight w:val="294"/>
        </w:trPr>
        <w:tc>
          <w:tcPr>
            <w:cnfStyle w:val="001000000000" w:firstRow="0" w:lastRow="0" w:firstColumn="1" w:lastColumn="0" w:oddVBand="0" w:evenVBand="0" w:oddHBand="0" w:evenHBand="0" w:firstRowFirstColumn="0" w:firstRowLastColumn="0" w:lastRowFirstColumn="0" w:lastRowLastColumn="0"/>
            <w:tcW w:w="0" w:type="auto"/>
            <w:hideMark/>
          </w:tcPr>
          <w:p w14:paraId="00FE0940" w14:textId="4E55D402" w:rsidR="00E6326C" w:rsidRDefault="00E6326C" w:rsidP="00E6326C">
            <w:pPr>
              <w:pStyle w:val="NormalWeb"/>
              <w:spacing w:line="254" w:lineRule="auto"/>
              <w:rPr>
                <w:rFonts w:ascii="Segoe UI" w:hAnsi="Segoe UI" w:cs="Segoe UI"/>
                <w:sz w:val="20"/>
                <w:szCs w:val="20"/>
                <w:lang w:val="en-AU" w:eastAsia="en-AU"/>
              </w:rPr>
            </w:pPr>
            <w:r>
              <w:rPr>
                <w:rFonts w:ascii="Segoe UI" w:hAnsi="Segoe UI" w:cs="Segoe UI"/>
                <w:sz w:val="20"/>
                <w:szCs w:val="20"/>
                <w:lang w:val="en-AU" w:eastAsia="en-AU"/>
              </w:rPr>
              <w:t>Multi-site support</w:t>
            </w:r>
          </w:p>
        </w:tc>
        <w:tc>
          <w:tcPr>
            <w:tcW w:w="6741" w:type="dxa"/>
            <w:hideMark/>
          </w:tcPr>
          <w:p w14:paraId="2CB59E43" w14:textId="6FF2F1A2" w:rsidR="00E6326C" w:rsidRDefault="00E6326C" w:rsidP="00E6326C">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You must determine if multiple on-premises sites can access a single virtual network gateway.</w:t>
            </w:r>
          </w:p>
        </w:tc>
      </w:tr>
      <w:tr w:rsidR="00E6326C" w14:paraId="16BF9F4A" w14:textId="77777777" w:rsidTr="00766BA9">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0" w:type="auto"/>
            <w:hideMark/>
          </w:tcPr>
          <w:p w14:paraId="6AA10233" w14:textId="119EE586" w:rsidR="00E6326C" w:rsidRDefault="00E6326C" w:rsidP="00E6326C">
            <w:pPr>
              <w:pStyle w:val="NormalWeb"/>
              <w:spacing w:line="254" w:lineRule="auto"/>
              <w:rPr>
                <w:rFonts w:ascii="Segoe UI" w:hAnsi="Segoe UI" w:cs="Segoe UI"/>
                <w:sz w:val="20"/>
                <w:szCs w:val="20"/>
                <w:lang w:val="en-AU" w:eastAsia="en-AU"/>
              </w:rPr>
            </w:pPr>
            <w:r>
              <w:rPr>
                <w:rFonts w:ascii="Segoe UI" w:hAnsi="Segoe UI" w:cs="Segoe UI"/>
                <w:sz w:val="20"/>
                <w:szCs w:val="20"/>
                <w:lang w:val="en-AU" w:eastAsia="en-AU"/>
              </w:rPr>
              <w:t>Public peering</w:t>
            </w:r>
          </w:p>
        </w:tc>
        <w:tc>
          <w:tcPr>
            <w:tcW w:w="6741" w:type="dxa"/>
            <w:hideMark/>
          </w:tcPr>
          <w:p w14:paraId="3DDE5DC2" w14:textId="55FF485D" w:rsidR="00E6326C" w:rsidRDefault="00E6326C" w:rsidP="00E6326C">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S2S VPNs do not have access to the public peering network to connect to Azure services.</w:t>
            </w:r>
          </w:p>
        </w:tc>
      </w:tr>
    </w:tbl>
    <w:p w14:paraId="3CA5F910" w14:textId="77777777" w:rsidR="006B3724" w:rsidRDefault="006B3724" w:rsidP="006B3724"/>
    <w:p w14:paraId="4650BBFF" w14:textId="122533EB" w:rsidR="006B3724" w:rsidRDefault="006B3724" w:rsidP="005729D2">
      <w:pPr>
        <w:pStyle w:val="Heading3Numbered"/>
        <w:numPr>
          <w:ilvl w:val="2"/>
          <w:numId w:val="64"/>
        </w:numPr>
      </w:pPr>
      <w:bookmarkStart w:id="4416" w:name="_Toc431288895"/>
      <w:bookmarkStart w:id="4417" w:name="_Toc417419603"/>
      <w:bookmarkStart w:id="4418" w:name="_Toc417457375"/>
      <w:bookmarkStart w:id="4419" w:name="_Toc417481953"/>
      <w:bookmarkStart w:id="4420" w:name="_Toc417482211"/>
      <w:bookmarkStart w:id="4421" w:name="_Toc417499930"/>
      <w:bookmarkStart w:id="4422" w:name="_Toc417502751"/>
      <w:bookmarkStart w:id="4423" w:name="_Toc417548328"/>
      <w:bookmarkStart w:id="4424" w:name="_Toc417594568"/>
      <w:bookmarkStart w:id="4425" w:name="_Toc417934694"/>
      <w:bookmarkStart w:id="4426" w:name="_Toc417936033"/>
      <w:bookmarkStart w:id="4427" w:name="_Toc417936495"/>
      <w:bookmarkStart w:id="4428" w:name="_Toc417946920"/>
      <w:bookmarkStart w:id="4429" w:name="_Toc417947337"/>
      <w:bookmarkStart w:id="4430" w:name="_Toc417982530"/>
      <w:bookmarkStart w:id="4431" w:name="_Toc417985982"/>
      <w:bookmarkStart w:id="4432" w:name="_Toc418000676"/>
      <w:bookmarkStart w:id="4433" w:name="_Toc418003846"/>
      <w:bookmarkStart w:id="4434" w:name="_Toc418012051"/>
      <w:bookmarkStart w:id="4435" w:name="_Toc418014466"/>
      <w:bookmarkStart w:id="4436" w:name="_Toc418014699"/>
      <w:bookmarkStart w:id="4437" w:name="_Toc418030069"/>
      <w:bookmarkStart w:id="4438" w:name="_Toc418036954"/>
      <w:bookmarkStart w:id="4439" w:name="_Toc418061430"/>
      <w:bookmarkStart w:id="4440" w:name="_Toc418081329"/>
      <w:bookmarkStart w:id="4441" w:name="_Toc418083361"/>
      <w:bookmarkStart w:id="4442" w:name="_Toc418096125"/>
      <w:bookmarkStart w:id="4443" w:name="_Toc418156727"/>
      <w:bookmarkStart w:id="4444" w:name="_Toc418167646"/>
      <w:bookmarkStart w:id="4445" w:name="_Toc418185902"/>
      <w:bookmarkStart w:id="4446" w:name="_Toc422941612"/>
      <w:bookmarkStart w:id="4447" w:name="_Toc423116818"/>
      <w:bookmarkStart w:id="4448" w:name="_Toc423117851"/>
      <w:bookmarkStart w:id="4449" w:name="_Toc423117301"/>
      <w:r>
        <w:t xml:space="preserve">Microsoft Azure </w:t>
      </w:r>
      <w:r w:rsidR="00E6326C">
        <w:t xml:space="preserve">Point-to-Site </w:t>
      </w:r>
      <w:r>
        <w:t>VPN</w:t>
      </w:r>
      <w:bookmarkEnd w:id="4416"/>
      <w:r>
        <w:t xml:space="preserve"> </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0CC1DF9C" w14:textId="68DB9511" w:rsidR="00E6326C" w:rsidRDefault="006B3724" w:rsidP="00E6326C">
      <w:r>
        <w:t>Microsoft</w:t>
      </w:r>
      <w:r w:rsidR="00E6326C">
        <w:t xml:space="preserve"> Point-to-Site (S2S) connectivity allows low cost connections from customer workstations to Azure private peering networks. P2S leverages the Internet for transport and certificate-based encryption to protect the data flowing across the connection. A VPN device or a public facing IPv4 address is not required to establish a P2S VPN connection.</w:t>
      </w:r>
    </w:p>
    <w:p w14:paraId="04AC2B75" w14:textId="77777777" w:rsidR="00E6326C" w:rsidRDefault="00E6326C" w:rsidP="00E6326C">
      <w:r>
        <w:t>Requirements:</w:t>
      </w:r>
    </w:p>
    <w:p w14:paraId="5C0BDB6E" w14:textId="77777777" w:rsidR="00E6326C" w:rsidRDefault="00E6326C" w:rsidP="005729D2">
      <w:pPr>
        <w:pStyle w:val="ListBullet"/>
        <w:numPr>
          <w:ilvl w:val="0"/>
          <w:numId w:val="174"/>
        </w:numPr>
      </w:pPr>
      <w:r>
        <w:t>Microsoft VPN client installed on the workstation with a supported operating system</w:t>
      </w:r>
    </w:p>
    <w:p w14:paraId="4DEDE014" w14:textId="77777777" w:rsidR="00E6326C" w:rsidRDefault="00E6326C" w:rsidP="005729D2">
      <w:pPr>
        <w:pStyle w:val="ListBullet"/>
        <w:numPr>
          <w:ilvl w:val="0"/>
          <w:numId w:val="174"/>
        </w:numPr>
      </w:pPr>
      <w:r>
        <w:t>Outbound Internet access</w:t>
      </w:r>
    </w:p>
    <w:p w14:paraId="39BA464B" w14:textId="77777777" w:rsidR="00E6326C" w:rsidRDefault="00E6326C" w:rsidP="005729D2">
      <w:pPr>
        <w:pStyle w:val="ListBullet"/>
        <w:numPr>
          <w:ilvl w:val="0"/>
          <w:numId w:val="174"/>
        </w:numPr>
      </w:pPr>
      <w:r>
        <w:t>Root certificate installed in Azure to support encryption</w:t>
      </w:r>
    </w:p>
    <w:p w14:paraId="3A277BB8" w14:textId="77777777" w:rsidR="00E6326C" w:rsidRDefault="00E6326C" w:rsidP="005729D2">
      <w:pPr>
        <w:pStyle w:val="ListBullet"/>
        <w:numPr>
          <w:ilvl w:val="0"/>
          <w:numId w:val="174"/>
        </w:numPr>
      </w:pPr>
      <w:r>
        <w:t>Client certificate installed on the workstation</w:t>
      </w:r>
    </w:p>
    <w:p w14:paraId="17C21ED5" w14:textId="77777777" w:rsidR="00E6326C" w:rsidRDefault="00E6326C" w:rsidP="005729D2">
      <w:pPr>
        <w:pStyle w:val="ListBullet"/>
        <w:numPr>
          <w:ilvl w:val="0"/>
          <w:numId w:val="174"/>
        </w:numPr>
      </w:pPr>
      <w:r>
        <w:t>Virtual network with a dynamic routing gateway</w:t>
      </w:r>
    </w:p>
    <w:p w14:paraId="0D2594D1" w14:textId="77777777" w:rsidR="00E6326C" w:rsidRDefault="00E6326C" w:rsidP="00E6326C">
      <w:r>
        <w:t>Potential use cases:</w:t>
      </w:r>
    </w:p>
    <w:p w14:paraId="75CADBAE" w14:textId="77777777" w:rsidR="00E6326C" w:rsidRDefault="00E6326C" w:rsidP="005729D2">
      <w:pPr>
        <w:pStyle w:val="ListBullet"/>
        <w:numPr>
          <w:ilvl w:val="0"/>
          <w:numId w:val="175"/>
        </w:numPr>
      </w:pPr>
      <w:r>
        <w:t>Developers accessing virtual networks without any other dedicated network connectivity</w:t>
      </w:r>
    </w:p>
    <w:p w14:paraId="025AA68A" w14:textId="77777777" w:rsidR="00E6326C" w:rsidRDefault="00E6326C" w:rsidP="005729D2">
      <w:pPr>
        <w:pStyle w:val="ListBullet"/>
        <w:numPr>
          <w:ilvl w:val="0"/>
          <w:numId w:val="175"/>
        </w:numPr>
      </w:pPr>
      <w:r>
        <w:t>Companies that have no datacenter or branch offices where they can place a VPN device to establish a S2S connection</w:t>
      </w:r>
    </w:p>
    <w:p w14:paraId="6AB3A737" w14:textId="49E96047" w:rsidR="00E6326C" w:rsidRDefault="00E6326C" w:rsidP="005729D2">
      <w:pPr>
        <w:pStyle w:val="ListBullet"/>
        <w:numPr>
          <w:ilvl w:val="0"/>
          <w:numId w:val="175"/>
        </w:numPr>
      </w:pPr>
      <w:r>
        <w:t>Temporary connection while you are away from your S2S network</w:t>
      </w:r>
    </w:p>
    <w:p w14:paraId="033B6832" w14:textId="5FE7FC7E" w:rsidR="006B3724" w:rsidRDefault="00E6326C" w:rsidP="005729D2">
      <w:pPr>
        <w:pStyle w:val="ListBullet"/>
        <w:numPr>
          <w:ilvl w:val="0"/>
          <w:numId w:val="175"/>
        </w:numPr>
      </w:pPr>
      <w:r>
        <w:t>Do not have a public IP4 address to establish a S2S VPN</w:t>
      </w:r>
    </w:p>
    <w:p w14:paraId="77713E0B" w14:textId="05175A18" w:rsidR="004B24C8" w:rsidRDefault="004B24C8" w:rsidP="004B24C8">
      <w:pPr>
        <w:pStyle w:val="ListBullet"/>
      </w:pPr>
    </w:p>
    <w:tbl>
      <w:tblPr>
        <w:tblStyle w:val="PlainTable11"/>
        <w:tblW w:w="0" w:type="auto"/>
        <w:tblLook w:val="04A0" w:firstRow="1" w:lastRow="0" w:firstColumn="1" w:lastColumn="0" w:noHBand="0" w:noVBand="1"/>
      </w:tblPr>
      <w:tblGrid>
        <w:gridCol w:w="3413"/>
        <w:gridCol w:w="5937"/>
      </w:tblGrid>
      <w:tr w:rsidR="004B24C8" w14:paraId="6D5EB452" w14:textId="77777777" w:rsidTr="00766BA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0C928E03" w14:textId="77777777" w:rsidR="004B24C8" w:rsidRPr="00F47607" w:rsidRDefault="004B24C8" w:rsidP="00E64254">
            <w:pPr>
              <w:spacing w:line="240" w:lineRule="auto"/>
              <w:rPr>
                <w:color w:val="FFFFFF"/>
              </w:rPr>
            </w:pPr>
            <w:r>
              <w:rPr>
                <w:color w:val="FFFFFF"/>
              </w:rPr>
              <w:t>Feature References</w:t>
            </w:r>
          </w:p>
        </w:tc>
      </w:tr>
      <w:tr w:rsidR="004B24C8" w:rsidRPr="00766BA9" w14:paraId="4910BC21" w14:textId="77777777" w:rsidTr="00766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6538A692" w14:textId="77777777" w:rsidR="004B24C8" w:rsidRPr="00766BA9" w:rsidRDefault="004B24C8" w:rsidP="00E64254">
            <w:pPr>
              <w:spacing w:line="240" w:lineRule="auto"/>
              <w:rPr>
                <w:sz w:val="20"/>
                <w:szCs w:val="18"/>
              </w:rPr>
            </w:pPr>
            <w:r w:rsidRPr="00766BA9">
              <w:rPr>
                <w:sz w:val="20"/>
                <w:szCs w:val="18"/>
              </w:rPr>
              <w:t>Configure a Cross-Premises Point-to-Site connection to an Azure Virtual Network</w:t>
            </w:r>
          </w:p>
        </w:tc>
        <w:tc>
          <w:tcPr>
            <w:tcW w:w="5940" w:type="dxa"/>
          </w:tcPr>
          <w:p w14:paraId="495B27C0" w14:textId="161FA412" w:rsidR="004B24C8" w:rsidRPr="00766BA9" w:rsidRDefault="00872E47" w:rsidP="00E64254">
            <w:pPr>
              <w:cnfStyle w:val="000000100000" w:firstRow="0" w:lastRow="0" w:firstColumn="0" w:lastColumn="0" w:oddVBand="0" w:evenVBand="0" w:oddHBand="1" w:evenHBand="0" w:firstRowFirstColumn="0" w:firstRowLastColumn="0" w:lastRowFirstColumn="0" w:lastRowLastColumn="0"/>
              <w:rPr>
                <w:sz w:val="20"/>
              </w:rPr>
            </w:pPr>
            <w:hyperlink r:id="rId407" w:history="1">
              <w:r w:rsidR="00C83035">
                <w:rPr>
                  <w:rStyle w:val="Hyperlink"/>
                  <w:sz w:val="20"/>
                </w:rPr>
                <w:t>http://azure.microsoft.com/documentation/articles/vpn-gateway-point-to-site-create/</w:t>
              </w:r>
            </w:hyperlink>
            <w:r w:rsidR="004B24C8" w:rsidRPr="00766BA9">
              <w:rPr>
                <w:sz w:val="20"/>
              </w:rPr>
              <w:t xml:space="preserve"> </w:t>
            </w:r>
          </w:p>
        </w:tc>
      </w:tr>
    </w:tbl>
    <w:p w14:paraId="12C0AF72" w14:textId="77777777" w:rsidR="004B24C8" w:rsidRDefault="004B24C8" w:rsidP="004B24C8">
      <w:pPr>
        <w:pStyle w:val="ListBullet"/>
        <w:ind w:left="0" w:firstLine="0"/>
      </w:pP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6B3724" w14:paraId="53F8EE79" w14:textId="77777777" w:rsidTr="00E74DE3">
        <w:trPr>
          <w:trHeight w:val="423"/>
        </w:trPr>
        <w:tc>
          <w:tcPr>
            <w:tcW w:w="666" w:type="dxa"/>
          </w:tcPr>
          <w:p w14:paraId="24CA57CD" w14:textId="77777777" w:rsidR="006B3724" w:rsidRDefault="006B3724" w:rsidP="006B3724">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5B9B95C2" wp14:editId="1D601A46">
                      <wp:extent cx="200025" cy="180975"/>
                      <wp:effectExtent l="57150" t="19050" r="28575" b="104775"/>
                      <wp:docPr id="874593611" name="Octagon 874593611"/>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BD838D3" id="Octagon 874593611"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3kceAIAAFoFAAAOAAAAZHJzL2Uyb0RvYy54bWysVN1r2zAQfx/sfxB6Xx2nST9CnRJSOgal&#10;DW1HnxVZSgSSTpOUONlfv5PsOKErFMZe5Dvf993v7uZ2ZzTZCh8U2IqWZwNKhOVQK7uq6M/X+29X&#10;lITIbM00WFHRvQj0dvr1y03jJmIIa9C18ASd2DBpXEXXMbpJUQS+FoaFM3DColCCNywi61dF7VmD&#10;3o0uhoPBRdGAr50HLkLAv3etkE6zfykFj09SBhGJrijmFvPr87tMbzG9YZOVZ26teJcG+4csDFMW&#10;g/au7lhkZOPVX66M4h4CyHjGwRQgpeIi14DVlIN31bysmRO5FmxOcH2bwv9zyx+3C09UXdGry9H4&#10;+vyiLCmxzOConnhkK7DkKMBmNS5M0ObFLXzHBSRT5TvpTfpiTWSXG7zvGyx2kXD8iRMbDMeUcBSV&#10;V4Pry3EaQHE0dj7E7wIMSURFoU0hd5ZtH0JstQ9aKVwArep7pXVm/Go5155sGY57PsdoecIY4ESt&#10;SDW0WWcq7rVIxto+C4mtwDzLHDGDUPT+GOfCxmGXcdZOZhJj94bnnxt2+slUZID2xsPPjXuLHBls&#10;7I2NsuA/cqBj2aUsW31s+EndiVxCvUcUeGjXIzh+r7D/DyzEBfO4D7g5uOPxCR+pocHBdBQla/C/&#10;P/qf9BGmKKWkwf2qaPi1YV5Qon9YBPB1ORqlhczMaHw5RMafSpanErsxc8CZIjgxu0wm/agPpPRg&#10;3vAUzFJUFDHLMXZFefQHZh7bvcdjwsVsltVwCR2LD/bF8cPUE7hed2/Muw6EEdH7CIddZJN3QGx1&#10;0zwszDYRpMooPfa16zcucIZ6d2zShTjls9bxJE7/AA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Je3eRx4AgAAWg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4BD10A28" w14:textId="23E706E8" w:rsidR="004B24C8" w:rsidRDefault="006B3724" w:rsidP="006B3724">
            <w:pPr>
              <w:rPr>
                <w:lang w:eastAsia="en-US"/>
              </w:rPr>
            </w:pPr>
            <w:r w:rsidRPr="00192064">
              <w:rPr>
                <w:b/>
                <w:lang w:eastAsia="en-US"/>
              </w:rPr>
              <w:t>Mandatory</w:t>
            </w:r>
            <w:r>
              <w:rPr>
                <w:lang w:eastAsia="en-US"/>
              </w:rPr>
              <w:t xml:space="preserve">:  </w:t>
            </w:r>
            <w:r w:rsidR="004B24C8">
              <w:rPr>
                <w:lang w:eastAsia="en-US"/>
              </w:rPr>
              <w:t xml:space="preserve">The following </w:t>
            </w:r>
            <w:r w:rsidR="00E6326C">
              <w:rPr>
                <w:lang w:eastAsia="en-US"/>
              </w:rPr>
              <w:t>are</w:t>
            </w:r>
            <w:r w:rsidR="004B24C8">
              <w:rPr>
                <w:lang w:eastAsia="en-US"/>
              </w:rPr>
              <w:t xml:space="preserve"> required for implementation of Point-to-Site VPN connections:</w:t>
            </w:r>
          </w:p>
          <w:p w14:paraId="01971D5B" w14:textId="407E640C" w:rsidR="006B3724" w:rsidRPr="004B24C8" w:rsidRDefault="006B3724" w:rsidP="005729D2">
            <w:pPr>
              <w:pStyle w:val="ListParagraph"/>
              <w:numPr>
                <w:ilvl w:val="0"/>
                <w:numId w:val="76"/>
              </w:numPr>
              <w:rPr>
                <w:lang w:eastAsia="en-US"/>
              </w:rPr>
            </w:pPr>
            <w:r w:rsidRPr="004B24C8">
              <w:rPr>
                <w:lang w:eastAsia="en-US"/>
              </w:rPr>
              <w:t>A certificate to encrypt the connection</w:t>
            </w:r>
          </w:p>
          <w:p w14:paraId="1D4DE348" w14:textId="77777777" w:rsidR="006B3724" w:rsidRPr="004B24C8" w:rsidRDefault="006B3724" w:rsidP="005729D2">
            <w:pPr>
              <w:pStyle w:val="ListParagraph"/>
              <w:numPr>
                <w:ilvl w:val="0"/>
                <w:numId w:val="76"/>
              </w:numPr>
              <w:rPr>
                <w:lang w:eastAsia="en-US"/>
              </w:rPr>
            </w:pPr>
            <w:r w:rsidRPr="004B24C8">
              <w:rPr>
                <w:lang w:eastAsia="en-US"/>
              </w:rPr>
              <w:t>Microsoft VPN client package installed on the workstation</w:t>
            </w:r>
          </w:p>
          <w:p w14:paraId="501515FA" w14:textId="77777777" w:rsidR="006B3724" w:rsidRPr="004B24C8" w:rsidRDefault="006B3724" w:rsidP="005729D2">
            <w:pPr>
              <w:pStyle w:val="ListParagraph"/>
              <w:numPr>
                <w:ilvl w:val="0"/>
                <w:numId w:val="76"/>
              </w:numPr>
              <w:rPr>
                <w:lang w:eastAsia="en-US"/>
              </w:rPr>
            </w:pPr>
            <w:r w:rsidRPr="004B24C8">
              <w:rPr>
                <w:lang w:eastAsia="en-US"/>
              </w:rPr>
              <w:t xml:space="preserve">P2S is only supported with a dynamic routing gateway </w:t>
            </w:r>
          </w:p>
        </w:tc>
      </w:tr>
    </w:tbl>
    <w:p w14:paraId="46024860" w14:textId="7964E7B9" w:rsidR="00263437" w:rsidRDefault="00263437">
      <w:pPr>
        <w:spacing w:before="0" w:after="160" w:line="259" w:lineRule="auto"/>
      </w:pPr>
    </w:p>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4B24C8" w14:paraId="37AC9281" w14:textId="77777777" w:rsidTr="004B24C8">
        <w:tc>
          <w:tcPr>
            <w:tcW w:w="9360" w:type="dxa"/>
            <w:tcBorders>
              <w:top w:val="single" w:sz="4" w:space="0" w:color="008AC8"/>
              <w:left w:val="nil"/>
              <w:bottom w:val="single" w:sz="4" w:space="0" w:color="008AC8"/>
              <w:right w:val="nil"/>
            </w:tcBorders>
            <w:shd w:val="clear" w:color="auto" w:fill="008AC8"/>
            <w:hideMark/>
          </w:tcPr>
          <w:p w14:paraId="0F9DE6D1" w14:textId="77777777" w:rsidR="004B24C8" w:rsidRDefault="004B24C8">
            <w:pPr>
              <w:spacing w:line="240" w:lineRule="auto"/>
              <w:rPr>
                <w:color w:val="FFFFFF"/>
              </w:rPr>
            </w:pPr>
            <w:r>
              <w:rPr>
                <w:color w:val="FFFFFF"/>
              </w:rPr>
              <w:t>Design Guidance</w:t>
            </w:r>
          </w:p>
        </w:tc>
      </w:tr>
    </w:tbl>
    <w:p w14:paraId="727D29A4" w14:textId="3F08DD52" w:rsidR="004B24C8" w:rsidRDefault="004B24C8" w:rsidP="004B24C8">
      <w:r>
        <w:t xml:space="preserve">When you design for Point-to-Site </w:t>
      </w:r>
      <w:r w:rsidR="00E6326C">
        <w:t>c</w:t>
      </w:r>
      <w:r>
        <w:t>onnections, consider the following:</w:t>
      </w:r>
    </w:p>
    <w:tbl>
      <w:tblPr>
        <w:tblStyle w:val="PlainTable11"/>
        <w:tblW w:w="0" w:type="auto"/>
        <w:tblLook w:val="04A0" w:firstRow="1" w:lastRow="0" w:firstColumn="1" w:lastColumn="0" w:noHBand="0" w:noVBand="1"/>
      </w:tblPr>
      <w:tblGrid>
        <w:gridCol w:w="2609"/>
        <w:gridCol w:w="6741"/>
      </w:tblGrid>
      <w:tr w:rsidR="004B24C8" w:rsidRPr="00766BA9" w14:paraId="7C5FDE3A" w14:textId="77777777" w:rsidTr="00766BA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808080" w:themeFill="background1" w:themeFillShade="80"/>
            <w:hideMark/>
          </w:tcPr>
          <w:p w14:paraId="46B35D0F" w14:textId="77777777" w:rsidR="004B24C8" w:rsidRPr="00766BA9" w:rsidRDefault="004B24C8">
            <w:pPr>
              <w:spacing w:line="240" w:lineRule="auto"/>
              <w:rPr>
                <w:rFonts w:eastAsia="Calibri"/>
                <w:bCs w:val="0"/>
                <w:color w:val="FFFFFF"/>
                <w:szCs w:val="20"/>
                <w:lang w:eastAsia="en-AU"/>
              </w:rPr>
            </w:pPr>
            <w:r w:rsidRPr="00766BA9">
              <w:rPr>
                <w:rFonts w:eastAsia="Calibri"/>
                <w:bCs w:val="0"/>
                <w:color w:val="FFFFFF"/>
                <w:szCs w:val="20"/>
                <w:lang w:eastAsia="en-AU"/>
              </w:rPr>
              <w:t>Capability Consideration</w:t>
            </w:r>
          </w:p>
        </w:tc>
        <w:tc>
          <w:tcPr>
            <w:tcW w:w="6741" w:type="dxa"/>
            <w:shd w:val="clear" w:color="auto" w:fill="808080" w:themeFill="background1" w:themeFillShade="80"/>
            <w:hideMark/>
          </w:tcPr>
          <w:p w14:paraId="6A05D240" w14:textId="77777777" w:rsidR="004B24C8" w:rsidRPr="00766BA9" w:rsidRDefault="004B24C8">
            <w:pPr>
              <w:spacing w:line="240" w:lineRule="auto"/>
              <w:cnfStyle w:val="100000000000" w:firstRow="1" w:lastRow="0" w:firstColumn="0" w:lastColumn="0" w:oddVBand="0" w:evenVBand="0" w:oddHBand="0" w:evenHBand="0" w:firstRowFirstColumn="0" w:firstRowLastColumn="0" w:lastRowFirstColumn="0" w:lastRowLastColumn="0"/>
              <w:rPr>
                <w:rFonts w:eastAsia="Calibri"/>
                <w:bCs w:val="0"/>
                <w:color w:val="FFFFFF"/>
                <w:szCs w:val="20"/>
                <w:lang w:eastAsia="en-AU"/>
              </w:rPr>
            </w:pPr>
            <w:r w:rsidRPr="00766BA9">
              <w:rPr>
                <w:rFonts w:eastAsia="Calibri"/>
                <w:bCs w:val="0"/>
                <w:color w:val="FFFFFF"/>
                <w:szCs w:val="20"/>
                <w:lang w:eastAsia="en-AU"/>
              </w:rPr>
              <w:t>Capability Decision Points</w:t>
            </w:r>
          </w:p>
        </w:tc>
      </w:tr>
      <w:tr w:rsidR="00135575" w14:paraId="60FCAA04" w14:textId="77777777" w:rsidTr="00766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4DD5661" w14:textId="596BF441" w:rsidR="00135575" w:rsidRDefault="00135575" w:rsidP="00135575">
            <w:pPr>
              <w:rPr>
                <w:sz w:val="20"/>
                <w:szCs w:val="20"/>
              </w:rPr>
            </w:pPr>
            <w:r>
              <w:rPr>
                <w:sz w:val="20"/>
                <w:szCs w:val="20"/>
              </w:rPr>
              <w:t>P2S VPN limitations</w:t>
            </w:r>
          </w:p>
        </w:tc>
        <w:tc>
          <w:tcPr>
            <w:tcW w:w="6741" w:type="dxa"/>
            <w:hideMark/>
          </w:tcPr>
          <w:p w14:paraId="3A476BBB" w14:textId="45AE7441" w:rsidR="00135575" w:rsidRDefault="00135575" w:rsidP="00135575">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There is a maximum of 128 P2S VPN connections per virtual network. At the time of writing, the client package is available for x86 and x64 Windows clients. </w:t>
            </w:r>
          </w:p>
        </w:tc>
      </w:tr>
      <w:tr w:rsidR="00135575" w14:paraId="23C6DD4E" w14:textId="77777777" w:rsidTr="00766BA9">
        <w:tc>
          <w:tcPr>
            <w:cnfStyle w:val="001000000000" w:firstRow="0" w:lastRow="0" w:firstColumn="1" w:lastColumn="0" w:oddVBand="0" w:evenVBand="0" w:oddHBand="0" w:evenHBand="0" w:firstRowFirstColumn="0" w:firstRowLastColumn="0" w:lastRowFirstColumn="0" w:lastRowLastColumn="0"/>
            <w:tcW w:w="0" w:type="auto"/>
            <w:hideMark/>
          </w:tcPr>
          <w:p w14:paraId="5813476C" w14:textId="5C2BCDDC" w:rsidR="00135575" w:rsidRDefault="00135575" w:rsidP="00135575">
            <w:pPr>
              <w:pStyle w:val="NormalWeb"/>
              <w:spacing w:line="254" w:lineRule="auto"/>
              <w:rPr>
                <w:rFonts w:ascii="Segoe UI" w:hAnsi="Segoe UI" w:cs="Segoe UI"/>
                <w:sz w:val="20"/>
                <w:szCs w:val="20"/>
                <w:lang w:val="en-AU" w:eastAsia="en-AU"/>
              </w:rPr>
            </w:pPr>
            <w:r>
              <w:rPr>
                <w:rFonts w:ascii="Segoe UI" w:hAnsi="Segoe UI" w:cs="Segoe UI"/>
                <w:sz w:val="20"/>
                <w:szCs w:val="20"/>
                <w:lang w:val="en-AU" w:eastAsia="en-AU"/>
              </w:rPr>
              <w:t>Certificate requirements</w:t>
            </w:r>
          </w:p>
        </w:tc>
        <w:tc>
          <w:tcPr>
            <w:tcW w:w="6741" w:type="dxa"/>
            <w:hideMark/>
          </w:tcPr>
          <w:p w14:paraId="76A7F09E" w14:textId="72F045B6" w:rsidR="00135575" w:rsidRDefault="00135575" w:rsidP="00135575">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Self-signed or Enterprise Certification Authority (CA) certificates must be used</w:t>
            </w:r>
          </w:p>
        </w:tc>
      </w:tr>
      <w:tr w:rsidR="00135575" w14:paraId="253308B1" w14:textId="77777777" w:rsidTr="00766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F24AF36" w14:textId="0E570651" w:rsidR="00135575" w:rsidRDefault="00135575" w:rsidP="00135575">
            <w:pPr>
              <w:pStyle w:val="NormalWeb"/>
              <w:spacing w:line="254" w:lineRule="auto"/>
              <w:rPr>
                <w:rFonts w:ascii="Segoe UI" w:hAnsi="Segoe UI" w:cs="Segoe UI"/>
                <w:sz w:val="20"/>
                <w:szCs w:val="20"/>
                <w:lang w:val="en-AU" w:eastAsia="en-AU"/>
              </w:rPr>
            </w:pPr>
            <w:r>
              <w:rPr>
                <w:rFonts w:ascii="Segoe UI" w:hAnsi="Segoe UI" w:cs="Segoe UI"/>
                <w:sz w:val="20"/>
                <w:szCs w:val="20"/>
                <w:lang w:val="en-AU" w:eastAsia="en-AU"/>
              </w:rPr>
              <w:t>Interoperability with ExpressRoute</w:t>
            </w:r>
          </w:p>
        </w:tc>
        <w:tc>
          <w:tcPr>
            <w:tcW w:w="6741" w:type="dxa"/>
            <w:hideMark/>
          </w:tcPr>
          <w:p w14:paraId="5D627518" w14:textId="2050315B" w:rsidR="00135575" w:rsidRDefault="00135575" w:rsidP="00135575">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You cannot leverage P2S connections with a virtual network connected to an ExpressRoute circuit due to existing gateway limitations.</w:t>
            </w:r>
          </w:p>
        </w:tc>
      </w:tr>
    </w:tbl>
    <w:p w14:paraId="10173A26" w14:textId="77777777" w:rsidR="006B3724" w:rsidRDefault="006B3724" w:rsidP="008E7A7C"/>
    <w:p w14:paraId="194ED83D" w14:textId="77777777" w:rsidR="00780CB7" w:rsidRDefault="00780CB7" w:rsidP="005729D2">
      <w:pPr>
        <w:pStyle w:val="Heading3Numbered"/>
        <w:numPr>
          <w:ilvl w:val="2"/>
          <w:numId w:val="64"/>
        </w:numPr>
      </w:pPr>
      <w:bookmarkStart w:id="4450" w:name="_Toc417927100"/>
      <w:bookmarkStart w:id="4451" w:name="_Toc417927999"/>
      <w:bookmarkStart w:id="4452" w:name="_Toc417929278"/>
      <w:bookmarkStart w:id="4453" w:name="_Toc417929744"/>
      <w:bookmarkStart w:id="4454" w:name="_Toc417929995"/>
      <w:bookmarkStart w:id="4455" w:name="_Toc417931564"/>
      <w:bookmarkStart w:id="4456" w:name="_Toc417930727"/>
      <w:bookmarkStart w:id="4457" w:name="_Toc417931151"/>
      <w:bookmarkStart w:id="4458" w:name="_Toc417932607"/>
      <w:bookmarkStart w:id="4459" w:name="_Toc417933090"/>
      <w:bookmarkStart w:id="4460" w:name="_Toc417932248"/>
      <w:bookmarkStart w:id="4461" w:name="_Toc417933766"/>
      <w:bookmarkStart w:id="4462" w:name="_Toc417934231"/>
      <w:bookmarkStart w:id="4463" w:name="_Toc417933365"/>
      <w:bookmarkStart w:id="4464" w:name="_Toc417934695"/>
      <w:bookmarkStart w:id="4465" w:name="_Toc417934854"/>
      <w:bookmarkStart w:id="4466" w:name="_Toc417935335"/>
      <w:bookmarkStart w:id="4467" w:name="_Toc417936034"/>
      <w:bookmarkStart w:id="4468" w:name="_Toc417936496"/>
      <w:bookmarkStart w:id="4469" w:name="_Toc417942559"/>
      <w:bookmarkStart w:id="4470" w:name="_Toc417943038"/>
      <w:bookmarkStart w:id="4471" w:name="_Toc417945382"/>
      <w:bookmarkStart w:id="4472" w:name="_Toc417946710"/>
      <w:bookmarkStart w:id="4473" w:name="_Toc417947372"/>
      <w:bookmarkStart w:id="4474" w:name="_Toc417948073"/>
      <w:bookmarkStart w:id="4475" w:name="_Toc417951122"/>
      <w:bookmarkStart w:id="4476" w:name="_Toc417975191"/>
      <w:bookmarkStart w:id="4477" w:name="_Toc417975908"/>
      <w:bookmarkStart w:id="4478" w:name="_Toc417976971"/>
      <w:bookmarkStart w:id="4479" w:name="_Toc417978059"/>
      <w:bookmarkStart w:id="4480" w:name="_Toc417979249"/>
      <w:bookmarkStart w:id="4481" w:name="_Toc417981351"/>
      <w:bookmarkStart w:id="4482" w:name="_Toc417981622"/>
      <w:bookmarkStart w:id="4483" w:name="_Toc417983149"/>
      <w:bookmarkStart w:id="4484" w:name="_Toc417984418"/>
      <w:bookmarkStart w:id="4485" w:name="_Toc417985983"/>
      <w:bookmarkStart w:id="4486" w:name="_Toc417987419"/>
      <w:bookmarkStart w:id="4487" w:name="_Toc417993115"/>
      <w:bookmarkStart w:id="4488" w:name="_Toc418003847"/>
      <w:bookmarkStart w:id="4489" w:name="_Toc418005587"/>
      <w:bookmarkStart w:id="4490" w:name="_Toc418006589"/>
      <w:bookmarkStart w:id="4491" w:name="_Toc418010828"/>
      <w:bookmarkStart w:id="4492" w:name="_Toc418012052"/>
      <w:bookmarkStart w:id="4493" w:name="_Toc418012320"/>
      <w:bookmarkStart w:id="4494" w:name="_Toc418012764"/>
      <w:bookmarkStart w:id="4495" w:name="_Toc418014320"/>
      <w:bookmarkStart w:id="4496" w:name="_Toc418014700"/>
      <w:bookmarkStart w:id="4497" w:name="_Toc418016069"/>
      <w:bookmarkStart w:id="4498" w:name="_Toc418017308"/>
      <w:bookmarkStart w:id="4499" w:name="_Toc418013637"/>
      <w:bookmarkStart w:id="4500" w:name="_Toc418017583"/>
      <w:bookmarkStart w:id="4501" w:name="_Toc418021072"/>
      <w:bookmarkStart w:id="4502" w:name="_Toc418022120"/>
      <w:bookmarkStart w:id="4503" w:name="_Toc418023093"/>
      <w:bookmarkStart w:id="4504" w:name="_Toc418025489"/>
      <w:bookmarkStart w:id="4505" w:name="_Toc418025764"/>
      <w:bookmarkStart w:id="4506" w:name="_Toc418026057"/>
      <w:bookmarkStart w:id="4507" w:name="_Toc418027739"/>
      <w:bookmarkStart w:id="4508" w:name="_Toc418028161"/>
      <w:bookmarkStart w:id="4509" w:name="_Toc418030070"/>
      <w:bookmarkStart w:id="4510" w:name="_Toc418030821"/>
      <w:bookmarkStart w:id="4511" w:name="_Toc418040573"/>
      <w:bookmarkStart w:id="4512" w:name="_Toc417314748"/>
      <w:bookmarkStart w:id="4513" w:name="_Toc417323765"/>
      <w:bookmarkStart w:id="4514" w:name="_Toc417326854"/>
      <w:bookmarkStart w:id="4515" w:name="_Toc417330402"/>
      <w:bookmarkStart w:id="4516" w:name="_Toc417395008"/>
      <w:bookmarkStart w:id="4517" w:name="_Toc417399225"/>
      <w:bookmarkStart w:id="4518" w:name="_Toc417399384"/>
      <w:bookmarkStart w:id="4519" w:name="_Toc417400431"/>
      <w:bookmarkStart w:id="4520" w:name="_Toc417401279"/>
      <w:bookmarkStart w:id="4521" w:name="_Toc417419593"/>
      <w:bookmarkStart w:id="4522" w:name="_Toc417457365"/>
      <w:bookmarkStart w:id="4523" w:name="_Toc417481943"/>
      <w:bookmarkStart w:id="4524" w:name="_Toc417482201"/>
      <w:bookmarkStart w:id="4525" w:name="_Toc417499920"/>
      <w:bookmarkStart w:id="4526" w:name="_Toc417502742"/>
      <w:bookmarkStart w:id="4527" w:name="_Toc417548319"/>
      <w:bookmarkStart w:id="4528" w:name="_Toc417594569"/>
      <w:bookmarkStart w:id="4529" w:name="_Toc417934696"/>
      <w:bookmarkStart w:id="4530" w:name="_Toc417936035"/>
      <w:bookmarkStart w:id="4531" w:name="_Toc417936497"/>
      <w:bookmarkStart w:id="4532" w:name="_Toc417946921"/>
      <w:bookmarkStart w:id="4533" w:name="_Toc417947338"/>
      <w:bookmarkStart w:id="4534" w:name="_Toc417982531"/>
      <w:bookmarkStart w:id="4535" w:name="_Toc417985984"/>
      <w:bookmarkStart w:id="4536" w:name="_Toc418000677"/>
      <w:bookmarkStart w:id="4537" w:name="_Toc418003848"/>
      <w:bookmarkStart w:id="4538" w:name="_Toc418012053"/>
      <w:bookmarkStart w:id="4539" w:name="_Toc418014467"/>
      <w:bookmarkStart w:id="4540" w:name="_Toc418014701"/>
      <w:bookmarkStart w:id="4541" w:name="_Toc418030071"/>
      <w:bookmarkStart w:id="4542" w:name="_Toc418036955"/>
      <w:bookmarkStart w:id="4543" w:name="_Toc418061431"/>
      <w:bookmarkStart w:id="4544" w:name="_Toc418081330"/>
      <w:bookmarkStart w:id="4545" w:name="_Toc418081959"/>
      <w:bookmarkStart w:id="4546" w:name="_Toc418083362"/>
      <w:bookmarkStart w:id="4547" w:name="_Toc418096126"/>
      <w:bookmarkStart w:id="4548" w:name="_Toc418156728"/>
      <w:bookmarkStart w:id="4549" w:name="_Toc418167647"/>
      <w:bookmarkStart w:id="4550" w:name="_Toc418185903"/>
      <w:bookmarkStart w:id="4551" w:name="_Toc422941613"/>
      <w:bookmarkStart w:id="4552" w:name="_Toc423116819"/>
      <w:bookmarkStart w:id="4553" w:name="_Toc423117852"/>
      <w:bookmarkStart w:id="4554" w:name="_Toc423117302"/>
      <w:bookmarkStart w:id="4555" w:name="_Toc431288896"/>
      <w:bookmarkStart w:id="4556" w:name="_Toc417419604"/>
      <w:bookmarkStart w:id="4557" w:name="_Toc414892121"/>
      <w:bookmarkStart w:id="4558" w:name="_Toc414960144"/>
      <w:bookmarkStart w:id="4559" w:name="_Toc414969115"/>
      <w:bookmarkStart w:id="4560" w:name="_Toc415011337"/>
      <w:bookmarkStart w:id="4561" w:name="_Toc415040027"/>
      <w:bookmarkStart w:id="4562" w:name="_Toc415572384"/>
      <w:bookmarkStart w:id="4563" w:name="_Toc415735554"/>
      <w:bookmarkStart w:id="4564" w:name="_Toc415814135"/>
      <w:bookmarkStart w:id="4565" w:name="_Toc416343870"/>
      <w:bookmarkStart w:id="4566" w:name="_Toc416863142"/>
      <w:bookmarkStart w:id="4567" w:name="_Toc417314757"/>
      <w:bookmarkStart w:id="4568" w:name="_Toc417323774"/>
      <w:bookmarkStart w:id="4569" w:name="_Toc417326864"/>
      <w:bookmarkStart w:id="4570" w:name="_Toc417330412"/>
      <w:bookmarkStart w:id="4571" w:name="_Toc417395018"/>
      <w:bookmarkStart w:id="4572" w:name="_Toc417399235"/>
      <w:bookmarkStart w:id="4573" w:name="_Toc417399394"/>
      <w:bookmarkStart w:id="4574" w:name="_Toc417400441"/>
      <w:bookmarkStart w:id="4575" w:name="_Toc417401289"/>
      <w:bookmarkStart w:id="4576" w:name="_Toc417457376"/>
      <w:bookmarkStart w:id="4577" w:name="_Toc417481954"/>
      <w:bookmarkStart w:id="4578" w:name="_Toc417482212"/>
      <w:bookmarkStart w:id="4579" w:name="_Toc417499931"/>
      <w:bookmarkStart w:id="4580" w:name="_Toc417502752"/>
      <w:bookmarkStart w:id="4581" w:name="_Toc417548329"/>
      <w:bookmarkEnd w:id="4363"/>
      <w:bookmarkEnd w:id="4364"/>
      <w:bookmarkEnd w:id="4365"/>
      <w:bookmarkEnd w:id="4366"/>
      <w:bookmarkEnd w:id="4367"/>
      <w:bookmarkEnd w:id="4368"/>
      <w:bookmarkEnd w:id="4369"/>
      <w:bookmarkEnd w:id="4370"/>
      <w:bookmarkEnd w:id="4371"/>
      <w:bookmarkEnd w:id="4372"/>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r>
        <w:t>Forced Tunneling</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2FC8D7CF" w14:textId="6FF92163" w:rsidR="00135575" w:rsidRDefault="00780CB7" w:rsidP="00135575">
      <w:r>
        <w:t>Forced</w:t>
      </w:r>
      <w:r w:rsidR="00135575">
        <w:t xml:space="preserve"> tunneling allows you to specify the default route for one or more virtual networks to be the on-premises VPN or ExpressRoute gateway. This is implemented by publishing a 0.0.0.0/0 route that points to that gateway. In effect, this results in any packet that is transmitted from a virtual machine connected to the virtual network that is not destined to another IP address within the scope of the virtual network to be sent to that default gateway.</w:t>
      </w:r>
    </w:p>
    <w:p w14:paraId="470BFD09" w14:textId="77777777" w:rsidR="00135575" w:rsidRDefault="00135575" w:rsidP="00135575">
      <w:r>
        <w:t>When using forced tunneling, any outbound packet that is attempting to go to an Internet address will be routed to the default gateway and not to the Azure Internet interface. For a virtual machine that has a public endpoint defined that allows inbound traffic, a packet from the Internet will be able to enter the virtual machine on the defined port. A response might be sent, but the reply will not go back out the public endpoint to the Internet. Rather</w:t>
      </w:r>
      <w:r w:rsidDel="00327A0D">
        <w:t>,</w:t>
      </w:r>
      <w:r>
        <w:t xml:space="preserve"> it will be routed to the default gateway. If the default gateway does not have a route path to the Internet, the packets will be dropped, effectively blocking any Internet access. </w:t>
      </w:r>
    </w:p>
    <w:p w14:paraId="31F71E22" w14:textId="77777777" w:rsidR="00135575" w:rsidRDefault="00135575" w:rsidP="00135575">
      <w:r>
        <w:t>Forced tunneling has different implementation requirements and scope depending on the type of Azure connectivity of the virtual network. A virtual network that is connected over a S2S VPN connection requires forced tunneling to be defined and configured on a per virtual network basis by using Azure PowerShell. A virtual network that is connected over an ExpressRoute connection requires forced tunneling to be defined at the ExpressRoute circuit, and this affects all virtual networks that are connected to that circuit.</w:t>
      </w:r>
    </w:p>
    <w:p w14:paraId="704BCC59" w14:textId="77777777" w:rsidR="00135575" w:rsidRDefault="00135575" w:rsidP="00135575">
      <w:r>
        <w:t>Determining how forced tunneling will be used in a design should involve the following design decisions:</w:t>
      </w:r>
    </w:p>
    <w:p w14:paraId="26EB75E8" w14:textId="77777777" w:rsidR="00135575" w:rsidRDefault="00135575" w:rsidP="005729D2">
      <w:pPr>
        <w:pStyle w:val="ListBullet"/>
        <w:numPr>
          <w:ilvl w:val="0"/>
          <w:numId w:val="176"/>
        </w:numPr>
      </w:pPr>
      <w:r>
        <w:t>Type of virtual network connectivity (S2S or ExpressRoute) (defines scope of impact)</w:t>
      </w:r>
    </w:p>
    <w:p w14:paraId="32171D9F" w14:textId="77777777" w:rsidR="00135575" w:rsidRDefault="00135575" w:rsidP="005729D2">
      <w:pPr>
        <w:pStyle w:val="ListBullet"/>
        <w:numPr>
          <w:ilvl w:val="0"/>
          <w:numId w:val="176"/>
        </w:numPr>
      </w:pPr>
      <w:r>
        <w:t>Requirements for direct Internet egress via Azure’s Internet connection (direct conflict with a business requirement)</w:t>
      </w:r>
    </w:p>
    <w:p w14:paraId="3BD83C85" w14:textId="0008A1F7" w:rsidR="00135575" w:rsidRDefault="00135575" w:rsidP="005729D2">
      <w:pPr>
        <w:pStyle w:val="ListBullet"/>
        <w:numPr>
          <w:ilvl w:val="0"/>
          <w:numId w:val="176"/>
        </w:numPr>
      </w:pPr>
      <w:r>
        <w:t>Security requirements and flexibility (forced tunneling can provide isolation of network traffic while the connection is up)</w:t>
      </w:r>
    </w:p>
    <w:p w14:paraId="64345374" w14:textId="77723579" w:rsidR="00780CB7" w:rsidRDefault="00135575" w:rsidP="005729D2">
      <w:pPr>
        <w:pStyle w:val="ListBullet"/>
        <w:numPr>
          <w:ilvl w:val="0"/>
          <w:numId w:val="176"/>
        </w:numPr>
      </w:pPr>
      <w:r>
        <w:t>Connectivity costs (forcing all traffic back over the S2S or ExpressRoute circuit)</w:t>
      </w:r>
    </w:p>
    <w:p w14:paraId="2F2F7375" w14:textId="27301A71" w:rsidR="00E20223" w:rsidRDefault="00E20223" w:rsidP="005729D2">
      <w:pPr>
        <w:pStyle w:val="ListBullet"/>
        <w:numPr>
          <w:ilvl w:val="0"/>
          <w:numId w:val="176"/>
        </w:numPr>
      </w:pPr>
      <w:r>
        <w:t>CSP considerations on how the traffic will be routed to the customer. CSP scenarios will usually require user defined routing</w:t>
      </w:r>
    </w:p>
    <w:p w14:paraId="46727BEE" w14:textId="33E8B804" w:rsidR="00780CB7" w:rsidRDefault="00780CB7" w:rsidP="005729D2">
      <w:pPr>
        <w:pStyle w:val="Heading4Numbered"/>
        <w:numPr>
          <w:ilvl w:val="3"/>
          <w:numId w:val="64"/>
        </w:numPr>
      </w:pPr>
      <w:bookmarkStart w:id="4582" w:name="_Toc417314749"/>
      <w:bookmarkStart w:id="4583" w:name="_Toc417323766"/>
      <w:bookmarkStart w:id="4584" w:name="_Toc417326855"/>
      <w:bookmarkStart w:id="4585" w:name="_Toc417330403"/>
      <w:bookmarkStart w:id="4586" w:name="_Toc417395009"/>
      <w:bookmarkStart w:id="4587" w:name="_Toc417399226"/>
      <w:bookmarkStart w:id="4588" w:name="_Toc417399385"/>
      <w:bookmarkStart w:id="4589" w:name="_Toc417400432"/>
      <w:bookmarkStart w:id="4590" w:name="_Toc417401280"/>
      <w:bookmarkStart w:id="4591" w:name="_Toc417419594"/>
      <w:bookmarkStart w:id="4592" w:name="_Toc417457366"/>
      <w:bookmarkStart w:id="4593" w:name="_Toc417481944"/>
      <w:bookmarkStart w:id="4594" w:name="_Toc417482202"/>
      <w:bookmarkStart w:id="4595" w:name="_Toc417499921"/>
      <w:bookmarkStart w:id="4596" w:name="_Toc417502743"/>
      <w:bookmarkStart w:id="4597" w:name="_Toc417548320"/>
      <w:bookmarkStart w:id="4598" w:name="_Toc417594570"/>
      <w:r>
        <w:t>Defense</w:t>
      </w:r>
      <w:r w:rsidR="00C3711F">
        <w:t>-</w:t>
      </w:r>
      <w:r w:rsidDel="00C3711F">
        <w:t>in</w:t>
      </w:r>
      <w:r w:rsidR="00C3711F">
        <w:t>-</w:t>
      </w:r>
      <w:r>
        <w:t>Depth Considerations for Forced Tunneling</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281940DE" w14:textId="306DB112" w:rsidR="00135575" w:rsidRDefault="00780CB7" w:rsidP="00135575">
      <w:r>
        <w:t>It</w:t>
      </w:r>
      <w:r w:rsidR="00135575">
        <w:t xml:space="preserve"> is always a good security practice to have defense-in-depth where there are additional layers of security in case a layer is compromised or inadvertently removed. Forced tunneling forces all packets back to the default gateway. However, relying only on that approach is not a good defense in depth design. </w:t>
      </w:r>
    </w:p>
    <w:p w14:paraId="6BDA5964" w14:textId="77777777" w:rsidR="00135575" w:rsidRDefault="00135575" w:rsidP="00135575">
      <w:r>
        <w:t>If you leverage forced tunneling, there is no reason to define any public endpoint for virtual machines when they are provisioned. Leaving the default public ports provides a security vector if forced tunneling is ever disabled.</w:t>
      </w:r>
    </w:p>
    <w:p w14:paraId="32A43BE1" w14:textId="77777777" w:rsidR="00135575" w:rsidRDefault="00135575" w:rsidP="00135575">
      <w:r>
        <w:t xml:space="preserve">A good design practice is to implement Network Security Groups for the subnets of every virtual network configured for forced tunneling. This allows you to have an additional layer of network protection. Understand that although you can use Network Security Groups to create rules for a virtual machine or a subnet that restricts outbound access, any co-administrator can temporarily or permanently override those rules. (Note that Network Security Group rule changes are logged.) </w:t>
      </w:r>
    </w:p>
    <w:p w14:paraId="36E29606" w14:textId="1A2203F4" w:rsidR="00780CB7" w:rsidRDefault="00135575" w:rsidP="00135575">
      <w:r>
        <w:t>Forced tunneling provides the best defense-</w:t>
      </w:r>
      <w:r w:rsidDel="00C3711F">
        <w:t>in</w:t>
      </w:r>
      <w:r>
        <w:t>-depth for a virtual network that is connected by ExpressRoute. A forced tunnel configuration with an ExpressRoute circuit requires a network engineer to be involved because it is implemented as a BGP routing configuration. This is not something an Azure co-administrator has the rights to configure. However, a forced tunneling configuration with a S2S VPN is something that can be performed by a co-administrator on each virtual network</w:t>
      </w:r>
      <w:r w:rsidR="00780CB7">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135575" w14:paraId="027E0785" w14:textId="77777777" w:rsidTr="00F8706D">
        <w:trPr>
          <w:trHeight w:val="423"/>
        </w:trPr>
        <w:tc>
          <w:tcPr>
            <w:tcW w:w="666" w:type="dxa"/>
          </w:tcPr>
          <w:p w14:paraId="3E0AE388" w14:textId="77777777" w:rsidR="00135575" w:rsidRDefault="00135575" w:rsidP="00F8706D">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2DF74E72" wp14:editId="03892843">
                      <wp:extent cx="200025" cy="180975"/>
                      <wp:effectExtent l="57150" t="19050" r="28575" b="104775"/>
                      <wp:docPr id="61" name="Octagon 61"/>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5CF1610" id="Octagon 61"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L3JcQIAAEwFAAAOAAAAZHJzL2Uyb0RvYy54bWysVEtrGzEQvhf6H4Tuzdqu8zJZB+PgUgiJ&#10;aVJylrWSLdBq1JHstfvrO9KuNyYNBEov0ozmm/eMbm73tWU7hcGAK/nwbMCZchIq49Yl//m8+HLF&#10;WYjCVcKCUyU/qMBvp58/3TR+okawAVspZGTEhUnjS76J0U+KIsiNqkU4A68cCTVgLSKxuC4qFA1Z&#10;r20xGgwuigaw8ghShUCvd62QT7N9rZWMj1oHFZktOcUW84n5XKWzmN6IyRqF3xjZhSH+IYpaGEdO&#10;e1N3Igq2RfOXqdpIhAA6nkmoC9DaSJVzoGyGgzfZPG2EVzkXKk7wfZnC/zMrH3ZLZKYq+cWQMydq&#10;6tGjjGINjtELlafxYUKoJ7/EjgtEplz3Gut0UxZsn0t66Euq9pFJeqQeDUbnnEkSDa8G15fnyWbx&#10;quwxxG8KapaIkkPrO9dS7O5DbNFHVHIXwJpqYazNDK5Xc4tsJ6jB8zl5yz0lByewIuXQRp2peLAq&#10;KVv3Q2lKnuIcZo957FRvT0ipXBx1EWd0UtPku1f8+rFih0+qKo9krzz6WLnXyJ7BxV65Ng7wPQM2&#10;5sZRDXSLp4Kf5J3IFVQH6jtCuxDBy4Wh+t+LEJcCaQNoV2ir4yMd2kJDjekozjaAv997T3gaTJJy&#10;1tBGlTz82gpUnNnvjkb2ejgepxXMzPj8ckQMnkpWpxK3redAPaWppOgymfDRHkmNUL/Q8s+SVxIJ&#10;J8l3yWXEIzOP7abT9yHVbJZhtHZexHv35OWx62m4nvcvAn03hJGm9wGO2ycmbwaxxaZ+OJhtI2iT&#10;p/S1rl29aWXzqHffS/oTTvmMev0Ep38AAAD//wMAUEsDBBQABgAIAAAAIQCft0Tx2wAAAAMBAAAP&#10;AAAAZHJzL2Rvd25yZXYueG1sTI9BS8NAEIXvgv9hGcGb3aTSEtNsiggFD9JgtXjdZqdJaHY27G6b&#10;+O8dvdjLwOM93vumWE+2Fxf0oXOkIJ0lIJBqZzpqFHx+bB4yECFqMrp3hAq+McC6vL0pdG7cSO94&#10;2cVGcAmFXCtoYxxyKUPdotVh5gYk9o7OWx1Z+kYar0cut72cJ8lSWt0RL7R6wJcW69PubBVUp7F6&#10;zarq6ctvlts3b/ep3+6Vur+bnlcgIk7xPwy/+IwOJTMd3JlMEL0CfiT+XfYe0wWIg4J5tgBZFvKa&#10;vfwBAAD//wMAUEsBAi0AFAAGAAgAAAAhALaDOJL+AAAA4QEAABMAAAAAAAAAAAAAAAAAAAAAAFtD&#10;b250ZW50X1R5cGVzXS54bWxQSwECLQAUAAYACAAAACEAOP0h/9YAAACUAQAACwAAAAAAAAAAAAAA&#10;AAAvAQAAX3JlbHMvLnJlbHNQSwECLQAUAAYACAAAACEAZWC9yXECAABMBQAADgAAAAAAAAAAAAAA&#10;AAAuAgAAZHJzL2Uyb0RvYy54bWxQSwECLQAUAAYACAAAACEAn7dE8dsAAAADAQAADwAAAAAAAAAA&#10;AAAAAADLBAAAZHJzL2Rvd25yZXYueG1sUEsFBgAAAAAEAAQA8wAAANMFAAAAAA==&#10;" fillcolor="#c00" strokecolor="#ed7d31 [3205]" strokeweight=".5pt">
                      <w10:anchorlock/>
                    </v:shape>
                  </w:pict>
                </mc:Fallback>
              </mc:AlternateContent>
            </w:r>
          </w:p>
        </w:tc>
        <w:tc>
          <w:tcPr>
            <w:tcW w:w="8604" w:type="dxa"/>
          </w:tcPr>
          <w:p w14:paraId="42C7B52B" w14:textId="77777777" w:rsidR="00135575" w:rsidRDefault="00135575" w:rsidP="00F8706D">
            <w:pPr>
              <w:rPr>
                <w:lang w:eastAsia="en-US"/>
              </w:rPr>
            </w:pPr>
            <w:r w:rsidRPr="00192064">
              <w:rPr>
                <w:b/>
                <w:lang w:eastAsia="en-US"/>
              </w:rPr>
              <w:t>Mandatory</w:t>
            </w:r>
            <w:r>
              <w:rPr>
                <w:lang w:eastAsia="en-US"/>
              </w:rPr>
              <w:t xml:space="preserve">: A design that leverages forced tunneling (default route) typically must provide access via a different path than using Azure Internet access. </w:t>
            </w:r>
          </w:p>
        </w:tc>
      </w:tr>
      <w:tr w:rsidR="00135575" w14:paraId="4FF51386" w14:textId="77777777" w:rsidTr="00F8706D">
        <w:trPr>
          <w:trHeight w:val="423"/>
        </w:trPr>
        <w:tc>
          <w:tcPr>
            <w:tcW w:w="666" w:type="dxa"/>
          </w:tcPr>
          <w:p w14:paraId="37F32513" w14:textId="77777777" w:rsidR="00135575" w:rsidRDefault="00135575" w:rsidP="00F8706D">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810816" behindDoc="0" locked="0" layoutInCell="1" allowOverlap="1" wp14:anchorId="3FDA3256" wp14:editId="30C9D639">
                      <wp:simplePos x="0" y="0"/>
                      <wp:positionH relativeFrom="column">
                        <wp:posOffset>66675</wp:posOffset>
                      </wp:positionH>
                      <wp:positionV relativeFrom="paragraph">
                        <wp:posOffset>90170</wp:posOffset>
                      </wp:positionV>
                      <wp:extent cx="209550" cy="180975"/>
                      <wp:effectExtent l="57150" t="19050" r="57150" b="104775"/>
                      <wp:wrapNone/>
                      <wp:docPr id="63" name="Isosceles Tri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5CA5BBFB" id="Isosceles Triangle 63" o:spid="_x0000_s1026" type="#_x0000_t5" style="position:absolute;margin-left:5.25pt;margin-top:7.1pt;width:16.5pt;height:14.2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dRuhQIAAHEFAAAOAAAAZHJzL2Uyb0RvYy54bWysVFtP2zAUfp+0/2D5fSQplEtEiipQJ6QK&#10;0GDi2XXs1prj49lu0+7X79i5wBgS0rQ8WHbOd+7fOZdX+0aTnXBegalocZRTIgyHWpl1Rb8/Lb6c&#10;U+IDMzXTYERFD8LTq9nnT5etLcUENqBr4QgaMb5sbUU3IdgyyzzfiIb5I7DCoFCCa1jAp1tntWMt&#10;Wm90Nsnz06wFV1sHXHiPf286IZ0l+1IKHu6l9CIQXVGMLaTTpXMVz2x2ycq1Y3ajeB8G+4coGqYM&#10;Oh1N3bDAyNapv0w1ijvwIMMRhyYDKRUXKQfMpsjfZPO4YVakXLA43o5l8v/PLL/bPTii6oqeHlNi&#10;WIM9uvXgudDCkyenmFlrQVCIlWqtL1Hh0T64mKu3S+A/PAqyPyTx4XvMXromYjFTsk9lP4xlF/tA&#10;OP6c5BfTKTaHo6g4zy/OptFZxspB2TofvgpoSLxUNPRRpYKz3dKHDj7AUmygVb1QWqeHW6+utSM7&#10;hixY4JenxqMH/wJLOXRhpwTCQYuorM03IbFCGGiRPCZuitEe41yYcNqHnNBRTaLvUfH4Y8UeH1VF&#10;4u2oPPlYedRInsGEUblRBtx7BnQo+pBlh++76Lu8YwlWUB+QHA66qfGWLxQ2YMl8eGAOxwR7hqMf&#10;7vGQGtqKQn+jZAPu13v/Ix7Zi1JKWhy7ivqfW+YEJfrWIK8vipOTOKfpcTI9m+DDvZasXkvMtrkG&#10;7GmBS8bydI34oIerdNA844aYR68oYoaj74ry4IbHdejWAe4YLubzBMPZtCwszaPlQ9cjuZ72z8zZ&#10;gYVI3zsYRpSVb4jYYWM/DMy3AaRKLH2pa19vnOvE9X4HxcXx+p1QL5ty9hsAAP//AwBQSwMEFAAG&#10;AAgAAAAhADU8QjDZAAAABwEAAA8AAABkcnMvZG93bnJldi54bWxMjs1OwzAQhO9IvIO1SFxQ65CG&#10;tgpxKoSSI6ooPIATb36EvY5itw1vz3KC02g0o5mvOCzOigvOYfSk4HGdgEBqvRmpV/D5Ua/2IELU&#10;ZLT1hAq+McChvL0pdG78ld7xcoq94BEKuVYwxDjlUoZ2QKfD2k9InHV+djqynXtpZn3lcWdlmiRb&#10;6fRI/DDoCV8HbL9OZ6fAN8ux29S7/UPtJvvWVVXmjpVS93fLyzOIiEv8K8MvPqNDyUyNP5MJwrJP&#10;nrjJmqUgOM827BvWdAeyLOR//vIHAAD//wMAUEsBAi0AFAAGAAgAAAAhALaDOJL+AAAA4QEAABMA&#10;AAAAAAAAAAAAAAAAAAAAAFtDb250ZW50X1R5cGVzXS54bWxQSwECLQAUAAYACAAAACEAOP0h/9YA&#10;AACUAQAACwAAAAAAAAAAAAAAAAAvAQAAX3JlbHMvLnJlbHNQSwECLQAUAAYACAAAACEAz2HUboUC&#10;AABxBQAADgAAAAAAAAAAAAAAAAAuAgAAZHJzL2Uyb0RvYy54bWxQSwECLQAUAAYACAAAACEANTxC&#10;MNkAAAAHAQAADwAAAAAAAAAAAAAAAADfBAAAZHJzL2Rvd25yZXYueG1sUEsFBgAAAAAEAAQA8wAA&#10;AOUFAAAAAA==&#10;" fillcolor="yellow" strokecolor="#70ad47 [3209]" strokeweight=".5pt">
                      <v:path arrowok="t"/>
                    </v:shape>
                  </w:pict>
                </mc:Fallback>
              </mc:AlternateContent>
            </w:r>
          </w:p>
        </w:tc>
        <w:tc>
          <w:tcPr>
            <w:tcW w:w="8604" w:type="dxa"/>
          </w:tcPr>
          <w:p w14:paraId="05E226BF" w14:textId="77777777" w:rsidR="00135575" w:rsidRPr="007B0E84" w:rsidRDefault="00135575" w:rsidP="00F8706D">
            <w:pPr>
              <w:rPr>
                <w:rFonts w:eastAsiaTheme="minorHAnsi"/>
                <w:lang w:eastAsia="en-US"/>
              </w:rPr>
            </w:pPr>
            <w:r>
              <w:rPr>
                <w:rFonts w:eastAsiaTheme="minorHAnsi"/>
                <w:b/>
                <w:lang w:eastAsia="en-US"/>
              </w:rPr>
              <w:t xml:space="preserve">Recommended: </w:t>
            </w:r>
            <w:r>
              <w:rPr>
                <w:rFonts w:eastAsiaTheme="minorHAnsi"/>
                <w:lang w:eastAsia="en-US"/>
              </w:rPr>
              <w:t xml:space="preserve">Combine forced tunneling with Network Security Groups to achieve defense-in-depth for traffic isolation. </w:t>
            </w:r>
          </w:p>
        </w:tc>
      </w:tr>
      <w:tr w:rsidR="00135575" w14:paraId="0EBAC3D4" w14:textId="77777777" w:rsidTr="00F8706D">
        <w:trPr>
          <w:trHeight w:val="423"/>
        </w:trPr>
        <w:tc>
          <w:tcPr>
            <w:tcW w:w="666" w:type="dxa"/>
          </w:tcPr>
          <w:p w14:paraId="07FAE6FB" w14:textId="77777777" w:rsidR="00135575" w:rsidRDefault="00135575" w:rsidP="00F8706D">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815936" behindDoc="0" locked="0" layoutInCell="1" allowOverlap="1" wp14:anchorId="4A2C1F66" wp14:editId="19BD6BF7">
                      <wp:simplePos x="0" y="0"/>
                      <wp:positionH relativeFrom="column">
                        <wp:posOffset>66675</wp:posOffset>
                      </wp:positionH>
                      <wp:positionV relativeFrom="paragraph">
                        <wp:posOffset>90170</wp:posOffset>
                      </wp:positionV>
                      <wp:extent cx="180975" cy="180975"/>
                      <wp:effectExtent l="57150" t="19050" r="9525" b="104775"/>
                      <wp:wrapNone/>
                      <wp:docPr id="1546650187" name="Oval 15466501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7831A5E5" id="Oval 1546650187" o:spid="_x0000_s1026" style="position:absolute;margin-left:5.25pt;margin-top:7.1pt;width:14.25pt;height:14.2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ZDhggIAAHIFAAAOAAAAZHJzL2Uyb0RvYy54bWysVN1P2zAQf5+0/8Hy+0hSWigRKepATJMq&#10;QIOJZ9exW2uOz7Pdpt1fv7OThm4gIU17se58v/v+uLzaNZpshfMKTEWLk5wSYTjUyqwq+v3p9tOU&#10;Eh+YqZkGIyq6F55ezT5+uGxtKUawBl0LR9CI8WVrK7oOwZZZ5vlaNMyfgBUGhRJcwwKybpXVjrVo&#10;vdHZKM/PshZcbR1w4T3+3nRCOkv2pRQ83EvpRSC6ohhbSK9L7zK+2eySlSvH7FrxPgz2D1E0TBl0&#10;Opi6YYGRjVOvTDWKO/AgwwmHJgMpFRcpB8ymyP/K5nHNrEi5YHG8Hcrk/59Zfrd9cETV2LvJ+Oxs&#10;khfTc0oMa7BX91umydE31qq1vkSVR/vgYrbeLoD/8CjI/pBExveYnXRNxGKuZJcKvx8KL3aBcPws&#10;pvnF+YQSjqKejjZZeVC2zocvAhoSiYoKrZX1sTSsZNuFDx36gEqhgVb1rdI6MW61vNaOYELoO/+c&#10;T1Ln0YF/gaUUuqhT/GGvRVTW5puQWKIYZ/KYhlMM9hjnwoTTOEpoMKGjmkTfg+Lp+4o9PqqKNLiD&#10;8uh95UEjeQYTBuVGGXBvGdCh6EOWHb5vou/yjiVYQr3H6XDQrY23/FZh/RfMhwfmcE9wo3D3wz0+&#10;UkNbUegpStbgfr31H/E4viilpMW9q6j/uWFOUKK/Ghzsi2I8jouamPHkfISMO5YsjyVm01wD9rTA&#10;K2N5IiM+6AMpHTTPeCLm0SuKmOHou6I8uANzHbp7gEeGi/k8wXA5LQsL82j5oetxuJ52z8zZfggD&#10;Tu8dHHb01SB22NgPA/NNAKnSlL7Uta83LnYanP4IxctxzCfUy6mc/QYAAP//AwBQSwMEFAAGAAgA&#10;AAAhAMIanyLeAAAABwEAAA8AAABkcnMvZG93bnJldi54bWxMj0FLw0AQhe+C/2EZwYvYTWKrNmZT&#10;RBAUvZhW1Ns0OybB7GzIbtv47x1Pehoe7/Hme8Vqcr3a0xg6zwbSWQKKuPa248bAZn1/fg0qRGSL&#10;vWcy8E0BVuXxUYG59Qd+oX0VGyUlHHI00MY45FqHuiWHYeYHYvE+/egwihwbbUc8SLnrdZYkl9ph&#10;x/KhxYHuWqq/qp0z8FFtnt06fXJvj+nDgs7e+yXaV2NOT6bbG1CRpvgXhl98QYdSmLZ+xzaoXnSy&#10;kKTceQZK/IulTNsamGdXoMtC/+cvfwAAAP//AwBQSwECLQAUAAYACAAAACEAtoM4kv4AAADhAQAA&#10;EwAAAAAAAAAAAAAAAAAAAAAAW0NvbnRlbnRfVHlwZXNdLnhtbFBLAQItABQABgAIAAAAIQA4/SH/&#10;1gAAAJQBAAALAAAAAAAAAAAAAAAAAC8BAABfcmVscy8ucmVsc1BLAQItABQABgAIAAAAIQDrpZDh&#10;ggIAAHIFAAAOAAAAAAAAAAAAAAAAAC4CAABkcnMvZTJvRG9jLnhtbFBLAQItABQABgAIAAAAIQDC&#10;Gp8i3gAAAAcBAAAPAAAAAAAAAAAAAAAAANwEAABkcnMvZG93bnJldi54bWxQSwUGAAAAAAQABADz&#10;AAAA5wUAAAAA&#10;" fillcolor="#00b050" strokecolor="#a5a5a5 [3206]" strokeweight=".5pt">
                      <v:stroke joinstyle="miter"/>
                      <v:path arrowok="t"/>
                    </v:oval>
                  </w:pict>
                </mc:Fallback>
              </mc:AlternateContent>
            </w:r>
          </w:p>
        </w:tc>
        <w:tc>
          <w:tcPr>
            <w:tcW w:w="8604" w:type="dxa"/>
          </w:tcPr>
          <w:p w14:paraId="3F7BE2DB" w14:textId="77777777" w:rsidR="00135575" w:rsidRDefault="00135575" w:rsidP="00F8706D">
            <w:pPr>
              <w:rPr>
                <w:lang w:eastAsia="en-US"/>
              </w:rPr>
            </w:pPr>
            <w:r>
              <w:rPr>
                <w:rFonts w:eastAsiaTheme="minorHAnsi"/>
                <w:b/>
                <w:lang w:eastAsia="en-US"/>
              </w:rPr>
              <w:t xml:space="preserve">Optional: </w:t>
            </w:r>
            <w:r>
              <w:rPr>
                <w:rFonts w:eastAsiaTheme="minorHAnsi"/>
                <w:lang w:eastAsia="en-US"/>
              </w:rPr>
              <w:t>Investigate the use of a dual network adapter edge firewall appliance with an extranet subnet as</w:t>
            </w:r>
            <w:r w:rsidDel="00C3711F">
              <w:rPr>
                <w:rFonts w:eastAsiaTheme="minorHAnsi"/>
                <w:lang w:eastAsia="en-US"/>
              </w:rPr>
              <w:t xml:space="preserve"> </w:t>
            </w:r>
            <w:r>
              <w:rPr>
                <w:rFonts w:eastAsiaTheme="minorHAnsi"/>
                <w:lang w:eastAsia="en-US"/>
              </w:rPr>
              <w:t>one alternative to Network Security Groups.</w:t>
            </w:r>
          </w:p>
        </w:tc>
      </w:tr>
    </w:tbl>
    <w:p w14:paraId="6C2F1719" w14:textId="4C8639C4" w:rsidR="006B29E9" w:rsidRDefault="006B29E9" w:rsidP="005729D2">
      <w:pPr>
        <w:pStyle w:val="Heading2Numbered"/>
        <w:numPr>
          <w:ilvl w:val="1"/>
          <w:numId w:val="64"/>
        </w:numPr>
      </w:pPr>
      <w:bookmarkStart w:id="4599" w:name="_Toc417594571"/>
      <w:bookmarkStart w:id="4600" w:name="_Toc417934697"/>
      <w:bookmarkStart w:id="4601" w:name="_Toc417936036"/>
      <w:bookmarkStart w:id="4602" w:name="_Toc417936498"/>
      <w:bookmarkStart w:id="4603" w:name="_Toc417946922"/>
      <w:bookmarkStart w:id="4604" w:name="_Toc417947369"/>
      <w:bookmarkStart w:id="4605" w:name="_Toc417982532"/>
      <w:bookmarkStart w:id="4606" w:name="_Toc417985985"/>
      <w:bookmarkStart w:id="4607" w:name="_Toc418000678"/>
      <w:bookmarkStart w:id="4608" w:name="_Toc418003849"/>
      <w:bookmarkStart w:id="4609" w:name="_Toc418012054"/>
      <w:bookmarkStart w:id="4610" w:name="_Toc418014468"/>
      <w:bookmarkStart w:id="4611" w:name="_Toc418014702"/>
      <w:bookmarkStart w:id="4612" w:name="_Toc418030072"/>
      <w:bookmarkStart w:id="4613" w:name="_Toc418036956"/>
      <w:bookmarkStart w:id="4614" w:name="_Toc418061432"/>
      <w:bookmarkStart w:id="4615" w:name="_Toc418081331"/>
      <w:bookmarkStart w:id="4616" w:name="_Toc418083363"/>
      <w:bookmarkStart w:id="4617" w:name="_Toc418096127"/>
      <w:bookmarkStart w:id="4618" w:name="_Toc418156729"/>
      <w:bookmarkStart w:id="4619" w:name="_Toc418167648"/>
      <w:bookmarkStart w:id="4620" w:name="_Toc418185904"/>
      <w:bookmarkStart w:id="4621" w:name="_Toc422941614"/>
      <w:bookmarkStart w:id="4622" w:name="_Toc423116820"/>
      <w:bookmarkStart w:id="4623" w:name="_Toc423117853"/>
      <w:bookmarkStart w:id="4624" w:name="_Toc423117303"/>
      <w:bookmarkStart w:id="4625" w:name="_Toc431288897"/>
      <w:r>
        <w:t>Network Security</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743A2E42" w14:textId="6E6CA6F8" w:rsidR="00135575" w:rsidRDefault="00E0728B" w:rsidP="00135575">
      <w:r>
        <w:t>Network</w:t>
      </w:r>
      <w:bookmarkStart w:id="4626" w:name="_Toc417934698"/>
      <w:bookmarkStart w:id="4627" w:name="_Toc417936037"/>
      <w:bookmarkStart w:id="4628" w:name="_Toc417936499"/>
      <w:bookmarkStart w:id="4629" w:name="_Toc417946923"/>
      <w:bookmarkStart w:id="4630" w:name="_Toc417947370"/>
      <w:bookmarkStart w:id="4631" w:name="_Toc417982533"/>
      <w:bookmarkStart w:id="4632" w:name="_Toc417985986"/>
      <w:bookmarkStart w:id="4633" w:name="_Toc418000679"/>
      <w:bookmarkStart w:id="4634" w:name="_Toc418003850"/>
      <w:bookmarkStart w:id="4635" w:name="_Toc418012055"/>
      <w:bookmarkStart w:id="4636" w:name="_Toc418014469"/>
      <w:bookmarkStart w:id="4637" w:name="_Toc418030073"/>
      <w:bookmarkStart w:id="4638" w:name="_Toc418036957"/>
      <w:bookmarkStart w:id="4639" w:name="_Toc418061433"/>
      <w:bookmarkStart w:id="4640" w:name="_Toc418081332"/>
      <w:bookmarkStart w:id="4641" w:name="_Toc418083364"/>
      <w:bookmarkStart w:id="4642" w:name="_Toc418096128"/>
      <w:r w:rsidR="00135575">
        <w:t xml:space="preserve"> security in Azure can present many challenges, especially to organizations that rely exclusively on network security measures for isolation. Many on-premises and IaaS deployments leverage a point-to-point firewall, rule-based approach to secure access to resources. They combine this with platform-based authentication access. </w:t>
      </w:r>
    </w:p>
    <w:p w14:paraId="770D95E8" w14:textId="77777777" w:rsidR="00135575" w:rsidRDefault="00135575" w:rsidP="00135575">
      <w:r>
        <w:t xml:space="preserve">PaaS deployments present new challenges because they are designed to be driven by application and identity controls, but many organizations attempt these deployments with traditional network based-approaches. </w:t>
      </w:r>
    </w:p>
    <w:p w14:paraId="5F3CCFE7" w14:textId="77777777" w:rsidR="00135575" w:rsidRDefault="00135575" w:rsidP="00135575">
      <w:r>
        <w:t xml:space="preserve">Hybrid PaaS and IaaS deployments (where there may be IaaS or PaaS roles combined with Azure public services such as Azure SQL Database, Redis Cache, and Service Bus) are the most challenging to plan. This is because the Azure public services are multitenant, and in some cases, they are cannot be connected directly to the network infrastructure owned by the customer. </w:t>
      </w:r>
    </w:p>
    <w:p w14:paraId="3B00BD0A" w14:textId="77777777" w:rsidR="00135575" w:rsidRDefault="00135575" w:rsidP="00135575">
      <w:r>
        <w:t xml:space="preserve">Many of the public Azure services also do not have the construct of a service-level firewall that the customer can configure directly, so leveraging traditional approaches to secure those solutions with classic network approaches can be challenging. </w:t>
      </w:r>
    </w:p>
    <w:p w14:paraId="26610698" w14:textId="77777777" w:rsidR="00135575" w:rsidRDefault="00135575" w:rsidP="00135575">
      <w:r>
        <w:t>Regulatory requirements introduce potential complications because they sometimes explicitly require (or are interpreted to require) a traditional, on-premises, point-to-point network security approach to mitigations.</w:t>
      </w:r>
    </w:p>
    <w:p w14:paraId="7346C683" w14:textId="77777777" w:rsidR="00135575" w:rsidRDefault="00135575" w:rsidP="00135575">
      <w:r>
        <w:t xml:space="preserve">Another complication with attempting to use traditional network-based security controls exclusively is that most of these controls assume the IP address is a good proxy for machine or service identity. </w:t>
      </w:r>
    </w:p>
    <w:p w14:paraId="7D3A92DC" w14:textId="77777777" w:rsidR="00135575" w:rsidRDefault="00135575" w:rsidP="00135575">
      <w:r>
        <w:t xml:space="preserve">IP addresses are a poor proxy for identity outside of a corporate LAN that is using static assignments, particularly in a globally scaled Internet service such as Azure where IP addresses change rapidly. This typically creates significant challenges for organizations that are overly reliant on network security measures and are using static IP addresses for server and service mapping. </w:t>
      </w:r>
    </w:p>
    <w:p w14:paraId="02A97D2B" w14:textId="37663CF2" w:rsidR="00100539" w:rsidRDefault="00135575" w:rsidP="00135575">
      <w:r>
        <w:t>Review the guidance in the Microsoft Azure Security section (specifically the Containment and Segmentation Strategy) for how to design complete security containment strategies that overcome the limitations of networking controls alone.</w:t>
      </w:r>
      <w:r w:rsidR="00001656">
        <w:t xml:space="preserve"> </w:t>
      </w:r>
    </w:p>
    <w:p w14:paraId="7E3DFA81" w14:textId="6AD3278E" w:rsidR="006F1EDD" w:rsidRDefault="006F1EDD">
      <w:pPr>
        <w:spacing w:before="0" w:after="160" w:line="259" w:lineRule="auto"/>
      </w:pPr>
    </w:p>
    <w:p w14:paraId="5300505D" w14:textId="085E335F" w:rsidR="00552150" w:rsidRDefault="00552150" w:rsidP="005729D2">
      <w:pPr>
        <w:pStyle w:val="Heading3Numbered"/>
        <w:numPr>
          <w:ilvl w:val="2"/>
          <w:numId w:val="64"/>
        </w:numPr>
      </w:pPr>
      <w:bookmarkStart w:id="4643" w:name="_Toc418156730"/>
      <w:bookmarkStart w:id="4644" w:name="_Toc418167649"/>
      <w:bookmarkStart w:id="4645" w:name="_Toc418185905"/>
      <w:bookmarkStart w:id="4646" w:name="_Toc422941615"/>
      <w:bookmarkStart w:id="4647" w:name="_Toc423116821"/>
      <w:bookmarkStart w:id="4648" w:name="_Toc423117854"/>
      <w:bookmarkStart w:id="4649" w:name="_Toc423117304"/>
      <w:bookmarkStart w:id="4650" w:name="_Toc431288898"/>
      <w:r>
        <w:t>Traditional Security Approaches</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20F1B6DF" w14:textId="5494405A" w:rsidR="00E0728B" w:rsidRPr="00256000" w:rsidRDefault="00552150" w:rsidP="00714433">
      <w:r w:rsidRPr="00256000">
        <w:t>Applying traditional security approaches to Azure networking involves the following</w:t>
      </w:r>
      <w:r w:rsidR="008E53F3">
        <w:t>:</w:t>
      </w:r>
    </w:p>
    <w:tbl>
      <w:tblPr>
        <w:tblStyle w:val="PlainTable11"/>
        <w:tblW w:w="0" w:type="auto"/>
        <w:tblLook w:val="04A0" w:firstRow="1" w:lastRow="0" w:firstColumn="1" w:lastColumn="0" w:noHBand="0" w:noVBand="1"/>
      </w:tblPr>
      <w:tblGrid>
        <w:gridCol w:w="2338"/>
        <w:gridCol w:w="3895"/>
        <w:gridCol w:w="3117"/>
      </w:tblGrid>
      <w:tr w:rsidR="00766BA9" w:rsidRPr="00766BA9" w14:paraId="4AD532A8" w14:textId="77777777" w:rsidTr="00A300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8" w:type="dxa"/>
            <w:shd w:val="clear" w:color="auto" w:fill="808080" w:themeFill="background1" w:themeFillShade="80"/>
          </w:tcPr>
          <w:p w14:paraId="7F2DD9F0" w14:textId="41A155B7" w:rsidR="00552150" w:rsidRPr="00766BA9" w:rsidRDefault="00552150" w:rsidP="00766BA9">
            <w:pPr>
              <w:tabs>
                <w:tab w:val="right" w:pos="2124"/>
              </w:tabs>
              <w:rPr>
                <w:color w:val="FFFFFF" w:themeColor="background1"/>
              </w:rPr>
            </w:pPr>
            <w:r w:rsidRPr="00766BA9">
              <w:rPr>
                <w:color w:val="FFFFFF" w:themeColor="background1"/>
              </w:rPr>
              <w:t>Security Feature</w:t>
            </w:r>
            <w:r w:rsidR="00766BA9" w:rsidRPr="00766BA9">
              <w:rPr>
                <w:color w:val="FFFFFF" w:themeColor="background1"/>
              </w:rPr>
              <w:tab/>
            </w:r>
          </w:p>
        </w:tc>
        <w:tc>
          <w:tcPr>
            <w:tcW w:w="3895" w:type="dxa"/>
            <w:shd w:val="clear" w:color="auto" w:fill="808080" w:themeFill="background1" w:themeFillShade="80"/>
          </w:tcPr>
          <w:p w14:paraId="1D0ECE44" w14:textId="1C810FBA" w:rsidR="00552150" w:rsidRPr="00766BA9" w:rsidRDefault="00552150" w:rsidP="00714433">
            <w:pPr>
              <w:cnfStyle w:val="100000000000" w:firstRow="1" w:lastRow="0" w:firstColumn="0" w:lastColumn="0" w:oddVBand="0" w:evenVBand="0" w:oddHBand="0" w:evenHBand="0" w:firstRowFirstColumn="0" w:firstRowLastColumn="0" w:lastRowFirstColumn="0" w:lastRowLastColumn="0"/>
              <w:rPr>
                <w:color w:val="FFFFFF" w:themeColor="background1"/>
              </w:rPr>
            </w:pPr>
            <w:r w:rsidRPr="00766BA9">
              <w:rPr>
                <w:color w:val="FFFFFF" w:themeColor="background1"/>
              </w:rPr>
              <w:t>Description</w:t>
            </w:r>
          </w:p>
        </w:tc>
        <w:tc>
          <w:tcPr>
            <w:tcW w:w="3117" w:type="dxa"/>
            <w:shd w:val="clear" w:color="auto" w:fill="808080" w:themeFill="background1" w:themeFillShade="80"/>
          </w:tcPr>
          <w:p w14:paraId="5C0BC6C4" w14:textId="16824734" w:rsidR="00552150" w:rsidRPr="00766BA9" w:rsidRDefault="00552150" w:rsidP="00714433">
            <w:pPr>
              <w:cnfStyle w:val="100000000000" w:firstRow="1" w:lastRow="0" w:firstColumn="0" w:lastColumn="0" w:oddVBand="0" w:evenVBand="0" w:oddHBand="0" w:evenHBand="0" w:firstRowFirstColumn="0" w:firstRowLastColumn="0" w:lastRowFirstColumn="0" w:lastRowLastColumn="0"/>
              <w:rPr>
                <w:color w:val="FFFFFF" w:themeColor="background1"/>
              </w:rPr>
            </w:pPr>
            <w:r w:rsidRPr="00766BA9">
              <w:rPr>
                <w:color w:val="FFFFFF" w:themeColor="background1"/>
              </w:rPr>
              <w:t>When to Use</w:t>
            </w:r>
          </w:p>
        </w:tc>
      </w:tr>
      <w:tr w:rsidR="00A30006" w14:paraId="6D5101DF" w14:textId="77777777" w:rsidTr="00766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0" w:type="dxa"/>
          </w:tcPr>
          <w:p w14:paraId="70052E9F" w14:textId="55C39502" w:rsidR="00A30006" w:rsidRPr="00256000" w:rsidRDefault="00A30006" w:rsidP="00A30006">
            <w:pPr>
              <w:rPr>
                <w:color w:val="000000" w:themeColor="text1"/>
                <w:sz w:val="20"/>
                <w:szCs w:val="20"/>
              </w:rPr>
            </w:pPr>
            <w:r w:rsidRPr="00256000">
              <w:rPr>
                <w:color w:val="000000" w:themeColor="text1"/>
                <w:sz w:val="20"/>
                <w:szCs w:val="20"/>
              </w:rPr>
              <w:t xml:space="preserve">Network </w:t>
            </w:r>
            <w:r>
              <w:rPr>
                <w:color w:val="000000" w:themeColor="text1"/>
                <w:sz w:val="20"/>
                <w:szCs w:val="20"/>
              </w:rPr>
              <w:t>s</w:t>
            </w:r>
            <w:r w:rsidRPr="00256000">
              <w:rPr>
                <w:color w:val="000000" w:themeColor="text1"/>
                <w:sz w:val="20"/>
                <w:szCs w:val="20"/>
              </w:rPr>
              <w:t xml:space="preserve">ecurity </w:t>
            </w:r>
            <w:r>
              <w:rPr>
                <w:color w:val="000000" w:themeColor="text1"/>
                <w:sz w:val="20"/>
                <w:szCs w:val="20"/>
              </w:rPr>
              <w:t>g</w:t>
            </w:r>
            <w:r w:rsidRPr="00256000">
              <w:rPr>
                <w:color w:val="000000" w:themeColor="text1"/>
                <w:sz w:val="20"/>
                <w:szCs w:val="20"/>
              </w:rPr>
              <w:t>roup</w:t>
            </w:r>
          </w:p>
        </w:tc>
        <w:tc>
          <w:tcPr>
            <w:tcW w:w="3900" w:type="dxa"/>
          </w:tcPr>
          <w:p w14:paraId="11DA7091" w14:textId="4D2EE888" w:rsidR="00A30006" w:rsidRPr="00256000" w:rsidRDefault="00A30006" w:rsidP="00A30006">
            <w:p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256000">
              <w:rPr>
                <w:color w:val="000000" w:themeColor="text1"/>
                <w:sz w:val="20"/>
                <w:szCs w:val="20"/>
              </w:rPr>
              <w:t xml:space="preserve">Access control rules that can be applied to subnets or </w:t>
            </w:r>
            <w:r>
              <w:rPr>
                <w:color w:val="000000" w:themeColor="text1"/>
                <w:sz w:val="20"/>
                <w:szCs w:val="20"/>
              </w:rPr>
              <w:t>virtual machines</w:t>
            </w:r>
          </w:p>
        </w:tc>
        <w:tc>
          <w:tcPr>
            <w:tcW w:w="3120" w:type="dxa"/>
          </w:tcPr>
          <w:p w14:paraId="389C52D6" w14:textId="77777777" w:rsidR="00A30006" w:rsidRPr="00256000" w:rsidRDefault="00A30006" w:rsidP="005729D2">
            <w:pPr>
              <w:pStyle w:val="ListParagraph"/>
              <w:numPr>
                <w:ilvl w:val="0"/>
                <w:numId w:val="78"/>
              </w:num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256000">
              <w:rPr>
                <w:color w:val="000000" w:themeColor="text1"/>
                <w:sz w:val="20"/>
                <w:szCs w:val="20"/>
              </w:rPr>
              <w:t xml:space="preserve">Control </w:t>
            </w:r>
            <w:r>
              <w:rPr>
                <w:color w:val="000000" w:themeColor="text1"/>
                <w:sz w:val="20"/>
                <w:szCs w:val="20"/>
              </w:rPr>
              <w:t xml:space="preserve">the </w:t>
            </w:r>
            <w:r w:rsidRPr="00256000">
              <w:rPr>
                <w:color w:val="000000" w:themeColor="text1"/>
                <w:sz w:val="20"/>
                <w:szCs w:val="20"/>
              </w:rPr>
              <w:t>ingress and egress traffic of a subnet</w:t>
            </w:r>
          </w:p>
          <w:p w14:paraId="60229EA7" w14:textId="77777777" w:rsidR="00A30006" w:rsidRPr="00256000" w:rsidRDefault="00A30006" w:rsidP="005729D2">
            <w:pPr>
              <w:pStyle w:val="ListParagraph"/>
              <w:numPr>
                <w:ilvl w:val="0"/>
                <w:numId w:val="78"/>
              </w:num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256000">
              <w:rPr>
                <w:color w:val="000000" w:themeColor="text1"/>
                <w:sz w:val="20"/>
                <w:szCs w:val="20"/>
              </w:rPr>
              <w:t xml:space="preserve">Control traffic between </w:t>
            </w:r>
            <w:r>
              <w:rPr>
                <w:color w:val="000000" w:themeColor="text1"/>
                <w:sz w:val="20"/>
                <w:szCs w:val="20"/>
              </w:rPr>
              <w:t>virtual machines</w:t>
            </w:r>
            <w:r w:rsidRPr="00256000">
              <w:rPr>
                <w:color w:val="000000" w:themeColor="text1"/>
                <w:sz w:val="20"/>
                <w:szCs w:val="20"/>
              </w:rPr>
              <w:t xml:space="preserve"> in a subnet</w:t>
            </w:r>
          </w:p>
          <w:p w14:paraId="041D263F" w14:textId="2B2D4E60" w:rsidR="00A30006" w:rsidRPr="00256000" w:rsidRDefault="00A30006" w:rsidP="005729D2">
            <w:pPr>
              <w:pStyle w:val="ListParagraph"/>
              <w:numPr>
                <w:ilvl w:val="0"/>
                <w:numId w:val="78"/>
              </w:num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256000">
              <w:rPr>
                <w:color w:val="000000" w:themeColor="text1"/>
                <w:sz w:val="20"/>
                <w:szCs w:val="20"/>
              </w:rPr>
              <w:t xml:space="preserve">Control ingress and egress traffic for a single </w:t>
            </w:r>
            <w:r>
              <w:rPr>
                <w:color w:val="000000" w:themeColor="text1"/>
                <w:sz w:val="20"/>
                <w:szCs w:val="20"/>
              </w:rPr>
              <w:t>virtual machine</w:t>
            </w:r>
            <w:r w:rsidRPr="00256000">
              <w:rPr>
                <w:color w:val="000000" w:themeColor="text1"/>
                <w:sz w:val="20"/>
                <w:szCs w:val="20"/>
              </w:rPr>
              <w:t xml:space="preserve"> </w:t>
            </w:r>
          </w:p>
        </w:tc>
      </w:tr>
      <w:tr w:rsidR="00A30006" w14:paraId="0EDDC185" w14:textId="77777777" w:rsidTr="00A30006">
        <w:tc>
          <w:tcPr>
            <w:cnfStyle w:val="001000000000" w:firstRow="0" w:lastRow="0" w:firstColumn="1" w:lastColumn="0" w:oddVBand="0" w:evenVBand="0" w:oddHBand="0" w:evenHBand="0" w:firstRowFirstColumn="0" w:firstRowLastColumn="0" w:lastRowFirstColumn="0" w:lastRowLastColumn="0"/>
            <w:tcW w:w="2338" w:type="dxa"/>
          </w:tcPr>
          <w:p w14:paraId="7F0AB44C" w14:textId="094E5178" w:rsidR="00A30006" w:rsidRPr="00256000" w:rsidRDefault="00A30006" w:rsidP="00A30006">
            <w:pPr>
              <w:rPr>
                <w:color w:val="000000" w:themeColor="text1"/>
                <w:sz w:val="20"/>
                <w:szCs w:val="20"/>
              </w:rPr>
            </w:pPr>
            <w:r w:rsidRPr="00256000">
              <w:rPr>
                <w:color w:val="000000" w:themeColor="text1"/>
                <w:sz w:val="20"/>
                <w:szCs w:val="20"/>
              </w:rPr>
              <w:t xml:space="preserve">Forced </w:t>
            </w:r>
            <w:r>
              <w:rPr>
                <w:color w:val="000000" w:themeColor="text1"/>
                <w:sz w:val="20"/>
                <w:szCs w:val="20"/>
              </w:rPr>
              <w:t>t</w:t>
            </w:r>
            <w:r w:rsidRPr="00256000">
              <w:rPr>
                <w:color w:val="000000" w:themeColor="text1"/>
                <w:sz w:val="20"/>
                <w:szCs w:val="20"/>
              </w:rPr>
              <w:t>unneling</w:t>
            </w:r>
          </w:p>
        </w:tc>
        <w:tc>
          <w:tcPr>
            <w:tcW w:w="3895" w:type="dxa"/>
          </w:tcPr>
          <w:p w14:paraId="58B3C796" w14:textId="10E18294" w:rsidR="00A30006" w:rsidRPr="00256000" w:rsidRDefault="00A30006" w:rsidP="00A30006">
            <w:p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256000">
              <w:rPr>
                <w:color w:val="000000" w:themeColor="text1"/>
                <w:sz w:val="20"/>
                <w:szCs w:val="20"/>
              </w:rPr>
              <w:t xml:space="preserve">Default route for a gateway that send all non-local traffic to </w:t>
            </w:r>
            <w:r>
              <w:rPr>
                <w:color w:val="000000" w:themeColor="text1"/>
                <w:sz w:val="20"/>
                <w:szCs w:val="20"/>
              </w:rPr>
              <w:t xml:space="preserve">the </w:t>
            </w:r>
            <w:r w:rsidRPr="00256000">
              <w:rPr>
                <w:color w:val="000000" w:themeColor="text1"/>
                <w:sz w:val="20"/>
                <w:szCs w:val="20"/>
              </w:rPr>
              <w:t>customer</w:t>
            </w:r>
            <w:r>
              <w:rPr>
                <w:color w:val="000000" w:themeColor="text1"/>
                <w:sz w:val="20"/>
                <w:szCs w:val="20"/>
              </w:rPr>
              <w:t>'</w:t>
            </w:r>
            <w:r w:rsidRPr="00256000">
              <w:rPr>
                <w:color w:val="000000" w:themeColor="text1"/>
                <w:sz w:val="20"/>
                <w:szCs w:val="20"/>
              </w:rPr>
              <w:t>s on</w:t>
            </w:r>
            <w:r>
              <w:rPr>
                <w:color w:val="000000" w:themeColor="text1"/>
                <w:sz w:val="20"/>
                <w:szCs w:val="20"/>
              </w:rPr>
              <w:t>-</w:t>
            </w:r>
            <w:r w:rsidRPr="00256000">
              <w:rPr>
                <w:color w:val="000000" w:themeColor="text1"/>
                <w:sz w:val="20"/>
                <w:szCs w:val="20"/>
              </w:rPr>
              <w:t>premises edge router for processing</w:t>
            </w:r>
          </w:p>
        </w:tc>
        <w:tc>
          <w:tcPr>
            <w:tcW w:w="3117" w:type="dxa"/>
          </w:tcPr>
          <w:p w14:paraId="61955B28" w14:textId="77777777" w:rsidR="00A30006" w:rsidRPr="00256000" w:rsidRDefault="00A30006" w:rsidP="005729D2">
            <w:pPr>
              <w:pStyle w:val="ListParagraph"/>
              <w:numPr>
                <w:ilvl w:val="0"/>
                <w:numId w:val="79"/>
              </w:num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Pr>
                <w:color w:val="000000" w:themeColor="text1"/>
                <w:sz w:val="20"/>
                <w:szCs w:val="20"/>
              </w:rPr>
              <w:t>B</w:t>
            </w:r>
            <w:r w:rsidRPr="00256000">
              <w:rPr>
                <w:color w:val="000000" w:themeColor="text1"/>
                <w:sz w:val="20"/>
                <w:szCs w:val="20"/>
              </w:rPr>
              <w:t xml:space="preserve">lock outbound Internet traffic in a </w:t>
            </w:r>
            <w:r>
              <w:rPr>
                <w:color w:val="000000" w:themeColor="text1"/>
                <w:sz w:val="20"/>
                <w:szCs w:val="20"/>
              </w:rPr>
              <w:t>virtual network</w:t>
            </w:r>
          </w:p>
          <w:p w14:paraId="39D700FF" w14:textId="77777777" w:rsidR="00A30006" w:rsidRPr="00256000" w:rsidRDefault="00A30006" w:rsidP="005729D2">
            <w:pPr>
              <w:pStyle w:val="ListParagraph"/>
              <w:numPr>
                <w:ilvl w:val="0"/>
                <w:numId w:val="79"/>
              </w:num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Pr>
                <w:color w:val="000000" w:themeColor="text1"/>
                <w:sz w:val="20"/>
                <w:szCs w:val="20"/>
              </w:rPr>
              <w:t>B</w:t>
            </w:r>
            <w:r w:rsidRPr="00256000">
              <w:rPr>
                <w:color w:val="000000" w:themeColor="text1"/>
                <w:sz w:val="20"/>
                <w:szCs w:val="20"/>
              </w:rPr>
              <w:t xml:space="preserve">lock inbound traffic in a </w:t>
            </w:r>
            <w:r>
              <w:rPr>
                <w:color w:val="000000" w:themeColor="text1"/>
                <w:sz w:val="20"/>
                <w:szCs w:val="20"/>
              </w:rPr>
              <w:t>virtual network</w:t>
            </w:r>
          </w:p>
          <w:p w14:paraId="03FCA8A0" w14:textId="084E0CF5" w:rsidR="00A30006" w:rsidRPr="00256000" w:rsidRDefault="00A30006" w:rsidP="005729D2">
            <w:pPr>
              <w:pStyle w:val="ListParagraph"/>
              <w:numPr>
                <w:ilvl w:val="0"/>
                <w:numId w:val="79"/>
              </w:num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256000">
              <w:rPr>
                <w:color w:val="000000" w:themeColor="text1"/>
                <w:sz w:val="20"/>
                <w:szCs w:val="20"/>
              </w:rPr>
              <w:t>ExpressRoute is implemented at the BGP routing level</w:t>
            </w:r>
            <w:r>
              <w:rPr>
                <w:color w:val="000000" w:themeColor="text1"/>
                <w:sz w:val="20"/>
                <w:szCs w:val="20"/>
              </w:rPr>
              <w:t>.</w:t>
            </w:r>
            <w:r w:rsidRPr="00256000">
              <w:rPr>
                <w:color w:val="000000" w:themeColor="text1"/>
                <w:sz w:val="20"/>
                <w:szCs w:val="20"/>
              </w:rPr>
              <w:t xml:space="preserve"> </w:t>
            </w:r>
            <w:r>
              <w:rPr>
                <w:color w:val="000000" w:themeColor="text1"/>
                <w:sz w:val="20"/>
                <w:szCs w:val="20"/>
              </w:rPr>
              <w:t>P</w:t>
            </w:r>
            <w:r w:rsidRPr="00256000">
              <w:rPr>
                <w:color w:val="000000" w:themeColor="text1"/>
                <w:sz w:val="20"/>
                <w:szCs w:val="20"/>
              </w:rPr>
              <w:t>rovides defense</w:t>
            </w:r>
            <w:r>
              <w:rPr>
                <w:color w:val="000000" w:themeColor="text1"/>
                <w:sz w:val="20"/>
                <w:szCs w:val="20"/>
              </w:rPr>
              <w:t>-</w:t>
            </w:r>
            <w:r w:rsidRPr="00256000">
              <w:rPr>
                <w:color w:val="000000" w:themeColor="text1"/>
                <w:sz w:val="20"/>
                <w:szCs w:val="20"/>
              </w:rPr>
              <w:t>in</w:t>
            </w:r>
            <w:r>
              <w:rPr>
                <w:color w:val="000000" w:themeColor="text1"/>
                <w:sz w:val="20"/>
                <w:szCs w:val="20"/>
              </w:rPr>
              <w:t>-</w:t>
            </w:r>
            <w:r w:rsidRPr="00256000">
              <w:rPr>
                <w:color w:val="000000" w:themeColor="text1"/>
                <w:sz w:val="20"/>
                <w:szCs w:val="20"/>
              </w:rPr>
              <w:t>depth by role separation.</w:t>
            </w:r>
          </w:p>
        </w:tc>
      </w:tr>
      <w:tr w:rsidR="00A30006" w14:paraId="5DAA0519" w14:textId="77777777" w:rsidTr="00A300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8" w:type="dxa"/>
          </w:tcPr>
          <w:p w14:paraId="154B769C" w14:textId="6B621DCD" w:rsidR="00A30006" w:rsidRPr="00256000" w:rsidRDefault="00A30006" w:rsidP="00A30006">
            <w:pPr>
              <w:rPr>
                <w:color w:val="000000" w:themeColor="text1"/>
                <w:sz w:val="20"/>
                <w:szCs w:val="20"/>
              </w:rPr>
            </w:pPr>
            <w:r w:rsidRPr="00256000">
              <w:rPr>
                <w:color w:val="000000" w:themeColor="text1"/>
                <w:sz w:val="20"/>
                <w:szCs w:val="20"/>
              </w:rPr>
              <w:t xml:space="preserve">Firewall </w:t>
            </w:r>
            <w:r>
              <w:rPr>
                <w:color w:val="000000" w:themeColor="text1"/>
                <w:sz w:val="20"/>
                <w:szCs w:val="20"/>
              </w:rPr>
              <w:t>a</w:t>
            </w:r>
            <w:r w:rsidRPr="00256000">
              <w:rPr>
                <w:color w:val="000000" w:themeColor="text1"/>
                <w:sz w:val="20"/>
                <w:szCs w:val="20"/>
              </w:rPr>
              <w:t xml:space="preserve">ppliances – </w:t>
            </w:r>
            <w:r>
              <w:rPr>
                <w:color w:val="000000" w:themeColor="text1"/>
                <w:sz w:val="20"/>
                <w:szCs w:val="20"/>
              </w:rPr>
              <w:t>s</w:t>
            </w:r>
            <w:r w:rsidRPr="00256000">
              <w:rPr>
                <w:color w:val="000000" w:themeColor="text1"/>
                <w:sz w:val="20"/>
                <w:szCs w:val="20"/>
              </w:rPr>
              <w:t xml:space="preserve">ingle </w:t>
            </w:r>
            <w:r>
              <w:rPr>
                <w:color w:val="000000" w:themeColor="text1"/>
                <w:sz w:val="20"/>
                <w:szCs w:val="20"/>
              </w:rPr>
              <w:t>network adapter</w:t>
            </w:r>
          </w:p>
        </w:tc>
        <w:tc>
          <w:tcPr>
            <w:tcW w:w="3895" w:type="dxa"/>
          </w:tcPr>
          <w:p w14:paraId="2E1E2474" w14:textId="77777777" w:rsidR="00A30006" w:rsidRPr="00256000" w:rsidRDefault="00A30006" w:rsidP="00A30006">
            <w:p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256000">
              <w:rPr>
                <w:color w:val="000000" w:themeColor="text1"/>
                <w:sz w:val="20"/>
                <w:szCs w:val="20"/>
              </w:rPr>
              <w:t>Software</w:t>
            </w:r>
            <w:r>
              <w:rPr>
                <w:color w:val="000000" w:themeColor="text1"/>
                <w:sz w:val="20"/>
                <w:szCs w:val="20"/>
              </w:rPr>
              <w:t>-</w:t>
            </w:r>
            <w:r w:rsidRPr="00256000">
              <w:rPr>
                <w:color w:val="000000" w:themeColor="text1"/>
                <w:sz w:val="20"/>
                <w:szCs w:val="20"/>
              </w:rPr>
              <w:t>based firewall that can be placed between virtual machines and the Internet. Requires all traffic to be routed through the firewall</w:t>
            </w:r>
            <w:r>
              <w:rPr>
                <w:color w:val="000000" w:themeColor="text1"/>
                <w:sz w:val="20"/>
                <w:szCs w:val="20"/>
              </w:rPr>
              <w:t>,</w:t>
            </w:r>
            <w:r w:rsidRPr="00256000">
              <w:rPr>
                <w:color w:val="000000" w:themeColor="text1"/>
                <w:sz w:val="20"/>
                <w:szCs w:val="20"/>
              </w:rPr>
              <w:t xml:space="preserve"> typically</w:t>
            </w:r>
            <w:r>
              <w:rPr>
                <w:color w:val="000000" w:themeColor="text1"/>
                <w:sz w:val="20"/>
                <w:szCs w:val="20"/>
              </w:rPr>
              <w:t xml:space="preserve"> by </w:t>
            </w:r>
            <w:r w:rsidRPr="00256000">
              <w:rPr>
                <w:color w:val="000000" w:themeColor="text1"/>
                <w:sz w:val="20"/>
                <w:szCs w:val="20"/>
              </w:rPr>
              <w:t>using agents and IP</w:t>
            </w:r>
            <w:r>
              <w:rPr>
                <w:color w:val="000000" w:themeColor="text1"/>
                <w:sz w:val="20"/>
                <w:szCs w:val="20"/>
              </w:rPr>
              <w:t>s</w:t>
            </w:r>
            <w:r w:rsidRPr="00256000">
              <w:rPr>
                <w:color w:val="000000" w:themeColor="text1"/>
                <w:sz w:val="20"/>
                <w:szCs w:val="20"/>
              </w:rPr>
              <w:t>ec.</w:t>
            </w:r>
          </w:p>
          <w:p w14:paraId="0B120BED" w14:textId="22D69FE7" w:rsidR="00A30006" w:rsidRPr="00256000" w:rsidRDefault="00A30006" w:rsidP="00A30006">
            <w:p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c>
          <w:tcPr>
            <w:tcW w:w="3117" w:type="dxa"/>
          </w:tcPr>
          <w:p w14:paraId="43E36538" w14:textId="77777777" w:rsidR="00A30006" w:rsidRDefault="00A30006" w:rsidP="005729D2">
            <w:pPr>
              <w:pStyle w:val="ListParagraph"/>
              <w:numPr>
                <w:ilvl w:val="0"/>
                <w:numId w:val="79"/>
              </w:num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Pr>
                <w:color w:val="000000" w:themeColor="text1"/>
                <w:sz w:val="20"/>
                <w:szCs w:val="20"/>
              </w:rPr>
              <w:t>N</w:t>
            </w:r>
            <w:r w:rsidRPr="00256000">
              <w:rPr>
                <w:color w:val="000000" w:themeColor="text1"/>
                <w:sz w:val="20"/>
                <w:szCs w:val="20"/>
              </w:rPr>
              <w:t>eed additional firewall protection from the Internet</w:t>
            </w:r>
          </w:p>
          <w:p w14:paraId="05AEE6CB" w14:textId="77777777" w:rsidR="00A30006" w:rsidRPr="00256000" w:rsidRDefault="00A30006" w:rsidP="005729D2">
            <w:pPr>
              <w:pStyle w:val="ListParagraph"/>
              <w:numPr>
                <w:ilvl w:val="0"/>
                <w:numId w:val="79"/>
              </w:num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Pr>
                <w:color w:val="000000" w:themeColor="text1"/>
                <w:sz w:val="20"/>
                <w:szCs w:val="20"/>
              </w:rPr>
              <w:t>W</w:t>
            </w:r>
            <w:r w:rsidRPr="00256000">
              <w:rPr>
                <w:color w:val="000000" w:themeColor="text1"/>
                <w:sz w:val="20"/>
                <w:szCs w:val="20"/>
              </w:rPr>
              <w:t xml:space="preserve">ant traffic flow control of all </w:t>
            </w:r>
            <w:r>
              <w:rPr>
                <w:color w:val="000000" w:themeColor="text1"/>
                <w:sz w:val="20"/>
                <w:szCs w:val="20"/>
              </w:rPr>
              <w:t>virtual machine</w:t>
            </w:r>
            <w:r w:rsidRPr="00256000">
              <w:rPr>
                <w:color w:val="000000" w:themeColor="text1"/>
                <w:sz w:val="20"/>
                <w:szCs w:val="20"/>
              </w:rPr>
              <w:t xml:space="preserve"> traffic</w:t>
            </w:r>
          </w:p>
          <w:p w14:paraId="4E6040FD" w14:textId="21D8BE3C" w:rsidR="00A30006" w:rsidRPr="00256000" w:rsidRDefault="00A30006" w:rsidP="005729D2">
            <w:pPr>
              <w:pStyle w:val="ListParagraph"/>
              <w:numPr>
                <w:ilvl w:val="0"/>
                <w:numId w:val="79"/>
              </w:num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Pr>
                <w:color w:val="000000" w:themeColor="text1"/>
                <w:sz w:val="20"/>
                <w:szCs w:val="20"/>
              </w:rPr>
              <w:t>W</w:t>
            </w:r>
            <w:r w:rsidRPr="00256000">
              <w:rPr>
                <w:color w:val="000000" w:themeColor="text1"/>
                <w:sz w:val="20"/>
                <w:szCs w:val="20"/>
              </w:rPr>
              <w:t>ant</w:t>
            </w:r>
            <w:r>
              <w:rPr>
                <w:color w:val="000000" w:themeColor="text1"/>
                <w:sz w:val="20"/>
                <w:szCs w:val="20"/>
              </w:rPr>
              <w:t xml:space="preserve"> to</w:t>
            </w:r>
            <w:r w:rsidRPr="00256000">
              <w:rPr>
                <w:color w:val="000000" w:themeColor="text1"/>
                <w:sz w:val="20"/>
                <w:szCs w:val="20"/>
              </w:rPr>
              <w:t xml:space="preserve"> log and monitor traffic</w:t>
            </w:r>
          </w:p>
        </w:tc>
      </w:tr>
      <w:tr w:rsidR="00A30006" w14:paraId="7323AA18" w14:textId="77777777" w:rsidTr="00A30006">
        <w:tc>
          <w:tcPr>
            <w:cnfStyle w:val="001000000000" w:firstRow="0" w:lastRow="0" w:firstColumn="1" w:lastColumn="0" w:oddVBand="0" w:evenVBand="0" w:oddHBand="0" w:evenHBand="0" w:firstRowFirstColumn="0" w:firstRowLastColumn="0" w:lastRowFirstColumn="0" w:lastRowLastColumn="0"/>
            <w:tcW w:w="2338" w:type="dxa"/>
          </w:tcPr>
          <w:p w14:paraId="2E3EAEEE" w14:textId="03CE88D0" w:rsidR="00A30006" w:rsidRPr="00256000" w:rsidRDefault="00A30006" w:rsidP="00A30006">
            <w:pPr>
              <w:rPr>
                <w:color w:val="000000" w:themeColor="text1"/>
                <w:sz w:val="20"/>
                <w:szCs w:val="20"/>
              </w:rPr>
            </w:pPr>
            <w:r w:rsidRPr="00256000">
              <w:rPr>
                <w:color w:val="000000" w:themeColor="text1"/>
                <w:sz w:val="20"/>
                <w:szCs w:val="20"/>
              </w:rPr>
              <w:t xml:space="preserve">Firewall </w:t>
            </w:r>
            <w:r>
              <w:rPr>
                <w:color w:val="000000" w:themeColor="text1"/>
                <w:sz w:val="20"/>
                <w:szCs w:val="20"/>
              </w:rPr>
              <w:t>a</w:t>
            </w:r>
            <w:r w:rsidRPr="00256000">
              <w:rPr>
                <w:color w:val="000000" w:themeColor="text1"/>
                <w:sz w:val="20"/>
                <w:szCs w:val="20"/>
              </w:rPr>
              <w:t xml:space="preserve">ppliances – </w:t>
            </w:r>
            <w:r>
              <w:rPr>
                <w:color w:val="000000" w:themeColor="text1"/>
                <w:sz w:val="20"/>
                <w:szCs w:val="20"/>
              </w:rPr>
              <w:t>d</w:t>
            </w:r>
            <w:r w:rsidRPr="00256000">
              <w:rPr>
                <w:color w:val="000000" w:themeColor="text1"/>
                <w:sz w:val="20"/>
                <w:szCs w:val="20"/>
              </w:rPr>
              <w:t xml:space="preserve">ual </w:t>
            </w:r>
            <w:r>
              <w:rPr>
                <w:color w:val="000000" w:themeColor="text1"/>
                <w:sz w:val="20"/>
                <w:szCs w:val="20"/>
              </w:rPr>
              <w:t>network adapters</w:t>
            </w:r>
          </w:p>
        </w:tc>
        <w:tc>
          <w:tcPr>
            <w:tcW w:w="3895" w:type="dxa"/>
          </w:tcPr>
          <w:p w14:paraId="35C99DAE" w14:textId="6C2AA1FE" w:rsidR="00A30006" w:rsidRPr="00256000" w:rsidRDefault="00A30006" w:rsidP="00A30006">
            <w:p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256000">
              <w:rPr>
                <w:color w:val="000000" w:themeColor="text1"/>
                <w:sz w:val="20"/>
                <w:szCs w:val="20"/>
              </w:rPr>
              <w:t>Software</w:t>
            </w:r>
            <w:r>
              <w:rPr>
                <w:color w:val="000000" w:themeColor="text1"/>
                <w:sz w:val="20"/>
                <w:szCs w:val="20"/>
              </w:rPr>
              <w:t>-</w:t>
            </w:r>
            <w:r w:rsidRPr="00256000">
              <w:rPr>
                <w:color w:val="000000" w:themeColor="text1"/>
                <w:sz w:val="20"/>
                <w:szCs w:val="20"/>
              </w:rPr>
              <w:t>based firewall that can be placed between subnets or between a subnet and the Internet</w:t>
            </w:r>
          </w:p>
        </w:tc>
        <w:tc>
          <w:tcPr>
            <w:tcW w:w="3117" w:type="dxa"/>
          </w:tcPr>
          <w:p w14:paraId="14BDA5F4" w14:textId="77777777" w:rsidR="00A30006" w:rsidRPr="00256000" w:rsidRDefault="00A30006" w:rsidP="005729D2">
            <w:pPr>
              <w:pStyle w:val="ListParagraph"/>
              <w:numPr>
                <w:ilvl w:val="0"/>
                <w:numId w:val="79"/>
              </w:num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Pr>
                <w:color w:val="000000" w:themeColor="text1"/>
                <w:sz w:val="20"/>
                <w:szCs w:val="20"/>
              </w:rPr>
              <w:t>N</w:t>
            </w:r>
            <w:r w:rsidRPr="00256000">
              <w:rPr>
                <w:color w:val="000000" w:themeColor="text1"/>
                <w:sz w:val="20"/>
                <w:szCs w:val="20"/>
              </w:rPr>
              <w:t>eed additional firewall protection from the Internet and also need high throughput.</w:t>
            </w:r>
          </w:p>
          <w:p w14:paraId="4A942F7F" w14:textId="77777777" w:rsidR="00A30006" w:rsidRPr="00256000" w:rsidRDefault="00A30006" w:rsidP="005729D2">
            <w:pPr>
              <w:pStyle w:val="ListParagraph"/>
              <w:numPr>
                <w:ilvl w:val="0"/>
                <w:numId w:val="79"/>
              </w:num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256000">
              <w:rPr>
                <w:color w:val="000000" w:themeColor="text1"/>
                <w:sz w:val="20"/>
                <w:szCs w:val="20"/>
              </w:rPr>
              <w:t>Want packet capture and inspection</w:t>
            </w:r>
          </w:p>
          <w:p w14:paraId="12B2DF0D" w14:textId="31EEFB45" w:rsidR="00A30006" w:rsidRPr="00256000" w:rsidRDefault="00A30006" w:rsidP="005729D2">
            <w:pPr>
              <w:pStyle w:val="ListParagraph"/>
              <w:numPr>
                <w:ilvl w:val="0"/>
                <w:numId w:val="79"/>
              </w:num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256000">
              <w:rPr>
                <w:color w:val="000000" w:themeColor="text1"/>
                <w:sz w:val="20"/>
                <w:szCs w:val="20"/>
              </w:rPr>
              <w:t>Want detailed logging</w:t>
            </w:r>
          </w:p>
        </w:tc>
      </w:tr>
      <w:tr w:rsidR="00A30006" w14:paraId="4385A039" w14:textId="77777777" w:rsidTr="00A300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8" w:type="dxa"/>
          </w:tcPr>
          <w:p w14:paraId="3C9A2829" w14:textId="4CF035FA" w:rsidR="00A30006" w:rsidRPr="00256000" w:rsidRDefault="00A30006" w:rsidP="00A30006">
            <w:pPr>
              <w:rPr>
                <w:color w:val="000000" w:themeColor="text1"/>
                <w:sz w:val="20"/>
                <w:szCs w:val="20"/>
              </w:rPr>
            </w:pPr>
            <w:r w:rsidRPr="00256000">
              <w:rPr>
                <w:color w:val="000000" w:themeColor="text1"/>
                <w:sz w:val="20"/>
                <w:szCs w:val="20"/>
              </w:rPr>
              <w:t>IP</w:t>
            </w:r>
            <w:r>
              <w:rPr>
                <w:color w:val="000000" w:themeColor="text1"/>
                <w:sz w:val="20"/>
                <w:szCs w:val="20"/>
              </w:rPr>
              <w:t>sec</w:t>
            </w:r>
          </w:p>
        </w:tc>
        <w:tc>
          <w:tcPr>
            <w:tcW w:w="3895" w:type="dxa"/>
          </w:tcPr>
          <w:p w14:paraId="0103725B" w14:textId="42018FCC" w:rsidR="00A30006" w:rsidRPr="00256000" w:rsidRDefault="00A30006" w:rsidP="00A30006">
            <w:p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256000">
              <w:rPr>
                <w:color w:val="000000" w:themeColor="text1"/>
                <w:sz w:val="20"/>
                <w:szCs w:val="20"/>
              </w:rPr>
              <w:t>Traffic authentication and encryption at the server level. Requires machine</w:t>
            </w:r>
            <w:r>
              <w:rPr>
                <w:color w:val="000000" w:themeColor="text1"/>
                <w:sz w:val="20"/>
                <w:szCs w:val="20"/>
              </w:rPr>
              <w:t>s</w:t>
            </w:r>
            <w:r w:rsidRPr="00256000">
              <w:rPr>
                <w:color w:val="000000" w:themeColor="text1"/>
                <w:sz w:val="20"/>
                <w:szCs w:val="20"/>
              </w:rPr>
              <w:t xml:space="preserve"> to be domain joined</w:t>
            </w:r>
            <w:r>
              <w:rPr>
                <w:color w:val="000000" w:themeColor="text1"/>
                <w:sz w:val="20"/>
                <w:szCs w:val="20"/>
              </w:rPr>
              <w:t>,</w:t>
            </w:r>
          </w:p>
        </w:tc>
        <w:tc>
          <w:tcPr>
            <w:tcW w:w="3117" w:type="dxa"/>
          </w:tcPr>
          <w:p w14:paraId="13E521A3" w14:textId="77777777" w:rsidR="00A30006" w:rsidRDefault="00A30006" w:rsidP="005729D2">
            <w:pPr>
              <w:pStyle w:val="ListParagraph"/>
              <w:numPr>
                <w:ilvl w:val="0"/>
                <w:numId w:val="79"/>
              </w:num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256000">
              <w:rPr>
                <w:color w:val="000000" w:themeColor="text1"/>
                <w:sz w:val="20"/>
                <w:szCs w:val="20"/>
              </w:rPr>
              <w:t>Want to use policy</w:t>
            </w:r>
            <w:r>
              <w:rPr>
                <w:color w:val="000000" w:themeColor="text1"/>
                <w:sz w:val="20"/>
                <w:szCs w:val="20"/>
              </w:rPr>
              <w:t>-</w:t>
            </w:r>
            <w:r w:rsidRPr="00256000">
              <w:rPr>
                <w:color w:val="000000" w:themeColor="text1"/>
                <w:sz w:val="20"/>
                <w:szCs w:val="20"/>
              </w:rPr>
              <w:t>based traffic encryption</w:t>
            </w:r>
          </w:p>
          <w:p w14:paraId="7C46CF24" w14:textId="58482974" w:rsidR="00A30006" w:rsidRPr="00256000" w:rsidRDefault="00A30006" w:rsidP="005729D2">
            <w:pPr>
              <w:pStyle w:val="ListParagraph"/>
              <w:numPr>
                <w:ilvl w:val="0"/>
                <w:numId w:val="79"/>
              </w:num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Pr>
                <w:color w:val="000000" w:themeColor="text1"/>
                <w:sz w:val="20"/>
                <w:szCs w:val="20"/>
              </w:rPr>
              <w:t xml:space="preserve">Want to </w:t>
            </w:r>
            <w:r w:rsidRPr="00256000">
              <w:rPr>
                <w:color w:val="000000" w:themeColor="text1"/>
                <w:sz w:val="20"/>
                <w:szCs w:val="20"/>
              </w:rPr>
              <w:t>control which servers can communicate with each other</w:t>
            </w:r>
          </w:p>
        </w:tc>
      </w:tr>
      <w:tr w:rsidR="00A30006" w14:paraId="0C6D1D70" w14:textId="77777777" w:rsidTr="00A30006">
        <w:tc>
          <w:tcPr>
            <w:cnfStyle w:val="001000000000" w:firstRow="0" w:lastRow="0" w:firstColumn="1" w:lastColumn="0" w:oddVBand="0" w:evenVBand="0" w:oddHBand="0" w:evenHBand="0" w:firstRowFirstColumn="0" w:firstRowLastColumn="0" w:lastRowFirstColumn="0" w:lastRowLastColumn="0"/>
            <w:tcW w:w="2338" w:type="dxa"/>
          </w:tcPr>
          <w:p w14:paraId="30D258FA" w14:textId="219D7AAF" w:rsidR="00A30006" w:rsidRPr="00256000" w:rsidRDefault="00A30006" w:rsidP="00A30006">
            <w:pPr>
              <w:rPr>
                <w:color w:val="000000" w:themeColor="text1"/>
                <w:sz w:val="20"/>
                <w:szCs w:val="20"/>
              </w:rPr>
            </w:pPr>
            <w:r w:rsidRPr="00256000">
              <w:rPr>
                <w:color w:val="000000" w:themeColor="text1"/>
                <w:sz w:val="20"/>
                <w:szCs w:val="20"/>
              </w:rPr>
              <w:t xml:space="preserve">Hardware </w:t>
            </w:r>
            <w:r>
              <w:rPr>
                <w:color w:val="000000" w:themeColor="text1"/>
                <w:sz w:val="20"/>
                <w:szCs w:val="20"/>
              </w:rPr>
              <w:t>f</w:t>
            </w:r>
            <w:r w:rsidRPr="00256000">
              <w:rPr>
                <w:color w:val="000000" w:themeColor="text1"/>
                <w:sz w:val="20"/>
                <w:szCs w:val="20"/>
              </w:rPr>
              <w:t>irewall appliances at the network edge</w:t>
            </w:r>
          </w:p>
        </w:tc>
        <w:tc>
          <w:tcPr>
            <w:tcW w:w="3895" w:type="dxa"/>
          </w:tcPr>
          <w:p w14:paraId="10AC3E79" w14:textId="6E6AD822" w:rsidR="00A30006" w:rsidRPr="00256000" w:rsidRDefault="00A30006" w:rsidP="00A30006">
            <w:p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256000">
              <w:rPr>
                <w:color w:val="000000" w:themeColor="text1"/>
                <w:sz w:val="20"/>
                <w:szCs w:val="20"/>
              </w:rPr>
              <w:t xml:space="preserve">Placing a hardware firewall appliance at the customers network edge </w:t>
            </w:r>
          </w:p>
        </w:tc>
        <w:tc>
          <w:tcPr>
            <w:tcW w:w="3117" w:type="dxa"/>
          </w:tcPr>
          <w:p w14:paraId="3AE55EA8" w14:textId="57AC96DB" w:rsidR="00A30006" w:rsidRPr="00256000" w:rsidRDefault="00A30006" w:rsidP="005729D2">
            <w:pPr>
              <w:pStyle w:val="ListParagraph"/>
              <w:numPr>
                <w:ilvl w:val="0"/>
                <w:numId w:val="79"/>
              </w:num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Pr>
                <w:color w:val="000000" w:themeColor="text1"/>
                <w:sz w:val="20"/>
                <w:szCs w:val="20"/>
              </w:rPr>
              <w:t>W</w:t>
            </w:r>
            <w:r w:rsidRPr="00256000">
              <w:rPr>
                <w:color w:val="000000" w:themeColor="text1"/>
                <w:sz w:val="20"/>
                <w:szCs w:val="20"/>
              </w:rPr>
              <w:t>ant to control ingress</w:t>
            </w:r>
            <w:r>
              <w:rPr>
                <w:color w:val="000000" w:themeColor="text1"/>
                <w:sz w:val="20"/>
                <w:szCs w:val="20"/>
              </w:rPr>
              <w:t xml:space="preserve"> and </w:t>
            </w:r>
            <w:r w:rsidRPr="00256000">
              <w:rPr>
                <w:color w:val="000000" w:themeColor="text1"/>
                <w:sz w:val="20"/>
                <w:szCs w:val="20"/>
              </w:rPr>
              <w:t>egress traffic between Azure and on</w:t>
            </w:r>
            <w:r>
              <w:rPr>
                <w:color w:val="000000" w:themeColor="text1"/>
                <w:sz w:val="20"/>
                <w:szCs w:val="20"/>
              </w:rPr>
              <w:t>-</w:t>
            </w:r>
            <w:r w:rsidRPr="00256000">
              <w:rPr>
                <w:color w:val="000000" w:themeColor="text1"/>
                <w:sz w:val="20"/>
                <w:szCs w:val="20"/>
              </w:rPr>
              <w:t>premises</w:t>
            </w:r>
          </w:p>
        </w:tc>
      </w:tr>
      <w:tr w:rsidR="00A30006" w14:paraId="63A662E7" w14:textId="77777777" w:rsidTr="00A300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8" w:type="dxa"/>
          </w:tcPr>
          <w:p w14:paraId="73B3B3D1" w14:textId="6D3B20E3" w:rsidR="00A30006" w:rsidRPr="00256000" w:rsidRDefault="00A30006" w:rsidP="00A30006">
            <w:pPr>
              <w:rPr>
                <w:color w:val="000000" w:themeColor="text1"/>
                <w:sz w:val="20"/>
                <w:szCs w:val="20"/>
              </w:rPr>
            </w:pPr>
            <w:r w:rsidRPr="00256000">
              <w:rPr>
                <w:color w:val="000000" w:themeColor="text1"/>
                <w:sz w:val="20"/>
                <w:szCs w:val="20"/>
              </w:rPr>
              <w:t xml:space="preserve">Web </w:t>
            </w:r>
            <w:r>
              <w:rPr>
                <w:color w:val="000000" w:themeColor="text1"/>
                <w:sz w:val="20"/>
                <w:szCs w:val="20"/>
              </w:rPr>
              <w:t>a</w:t>
            </w:r>
            <w:r w:rsidRPr="00256000">
              <w:rPr>
                <w:color w:val="000000" w:themeColor="text1"/>
                <w:sz w:val="20"/>
                <w:szCs w:val="20"/>
              </w:rPr>
              <w:t xml:space="preserve">pplication </w:t>
            </w:r>
            <w:r>
              <w:rPr>
                <w:color w:val="000000" w:themeColor="text1"/>
                <w:sz w:val="20"/>
                <w:szCs w:val="20"/>
              </w:rPr>
              <w:t>f</w:t>
            </w:r>
            <w:r w:rsidRPr="00256000">
              <w:rPr>
                <w:color w:val="000000" w:themeColor="text1"/>
                <w:sz w:val="20"/>
                <w:szCs w:val="20"/>
              </w:rPr>
              <w:t>irewalls</w:t>
            </w:r>
          </w:p>
        </w:tc>
        <w:tc>
          <w:tcPr>
            <w:tcW w:w="3895" w:type="dxa"/>
          </w:tcPr>
          <w:p w14:paraId="50065A54" w14:textId="3F9CE8C5" w:rsidR="00A30006" w:rsidRPr="00256000" w:rsidRDefault="00A30006" w:rsidP="00A30006">
            <w:p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256000">
              <w:rPr>
                <w:color w:val="000000" w:themeColor="text1"/>
                <w:sz w:val="20"/>
                <w:szCs w:val="20"/>
              </w:rPr>
              <w:t>Software</w:t>
            </w:r>
            <w:r>
              <w:rPr>
                <w:color w:val="000000" w:themeColor="text1"/>
                <w:sz w:val="20"/>
                <w:szCs w:val="20"/>
              </w:rPr>
              <w:t>-</w:t>
            </w:r>
            <w:r w:rsidRPr="00256000">
              <w:rPr>
                <w:color w:val="000000" w:themeColor="text1"/>
                <w:sz w:val="20"/>
                <w:szCs w:val="20"/>
              </w:rPr>
              <w:t xml:space="preserve">based firewall that is used to control ingress traffic from the Internet. Typically a </w:t>
            </w:r>
            <w:r>
              <w:rPr>
                <w:color w:val="000000" w:themeColor="text1"/>
                <w:sz w:val="20"/>
                <w:szCs w:val="20"/>
              </w:rPr>
              <w:t>l</w:t>
            </w:r>
            <w:r w:rsidRPr="00256000">
              <w:rPr>
                <w:color w:val="000000" w:themeColor="text1"/>
                <w:sz w:val="20"/>
                <w:szCs w:val="20"/>
              </w:rPr>
              <w:t>ayer</w:t>
            </w:r>
            <w:r>
              <w:rPr>
                <w:color w:val="000000" w:themeColor="text1"/>
                <w:sz w:val="20"/>
                <w:szCs w:val="20"/>
              </w:rPr>
              <w:t> 7</w:t>
            </w:r>
            <w:r w:rsidRPr="00256000">
              <w:rPr>
                <w:color w:val="000000" w:themeColor="text1"/>
                <w:sz w:val="20"/>
                <w:szCs w:val="20"/>
              </w:rPr>
              <w:t xml:space="preserve"> firewall</w:t>
            </w:r>
            <w:r>
              <w:rPr>
                <w:color w:val="000000" w:themeColor="text1"/>
                <w:sz w:val="20"/>
                <w:szCs w:val="20"/>
              </w:rPr>
              <w:t>.</w:t>
            </w:r>
          </w:p>
        </w:tc>
        <w:tc>
          <w:tcPr>
            <w:tcW w:w="3117" w:type="dxa"/>
          </w:tcPr>
          <w:p w14:paraId="21F8D647" w14:textId="77777777" w:rsidR="00A30006" w:rsidRPr="00256000" w:rsidRDefault="00A30006" w:rsidP="005729D2">
            <w:pPr>
              <w:pStyle w:val="ListParagraph"/>
              <w:numPr>
                <w:ilvl w:val="0"/>
                <w:numId w:val="79"/>
              </w:num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Pr>
                <w:color w:val="000000" w:themeColor="text1"/>
                <w:sz w:val="20"/>
                <w:szCs w:val="20"/>
              </w:rPr>
              <w:t>W</w:t>
            </w:r>
            <w:r w:rsidRPr="00256000">
              <w:rPr>
                <w:color w:val="000000" w:themeColor="text1"/>
                <w:sz w:val="20"/>
                <w:szCs w:val="20"/>
              </w:rPr>
              <w:t xml:space="preserve">ant SSL session termination </w:t>
            </w:r>
          </w:p>
          <w:p w14:paraId="1EC416AB" w14:textId="624131D1" w:rsidR="00A30006" w:rsidRPr="00256000" w:rsidRDefault="00A30006" w:rsidP="005729D2">
            <w:pPr>
              <w:pStyle w:val="ListParagraph"/>
              <w:numPr>
                <w:ilvl w:val="0"/>
                <w:numId w:val="79"/>
              </w:num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Pr>
                <w:color w:val="000000" w:themeColor="text1"/>
                <w:sz w:val="20"/>
                <w:szCs w:val="20"/>
              </w:rPr>
              <w:t>W</w:t>
            </w:r>
            <w:r w:rsidRPr="00256000">
              <w:rPr>
                <w:color w:val="000000" w:themeColor="text1"/>
                <w:sz w:val="20"/>
                <w:szCs w:val="20"/>
              </w:rPr>
              <w:t xml:space="preserve">ant session affinity </w:t>
            </w:r>
          </w:p>
        </w:tc>
      </w:tr>
    </w:tbl>
    <w:p w14:paraId="0AB8EA42" w14:textId="77777777" w:rsidR="00714433" w:rsidRDefault="00714433" w:rsidP="00714433">
      <w:pPr>
        <w:rPr>
          <w:color w:val="1F497D"/>
        </w:rPr>
      </w:pPr>
      <w:bookmarkStart w:id="4651" w:name="_Toc414892122"/>
      <w:bookmarkStart w:id="4652" w:name="_Toc414960145"/>
      <w:bookmarkStart w:id="4653" w:name="_Toc414969116"/>
      <w:bookmarkStart w:id="4654" w:name="_Toc415011338"/>
      <w:bookmarkStart w:id="4655" w:name="_Toc415040028"/>
      <w:bookmarkStart w:id="4656" w:name="_Toc415572385"/>
    </w:p>
    <w:p w14:paraId="01205A77" w14:textId="361A1D3E" w:rsidR="00CD0FB7" w:rsidRDefault="00423D09" w:rsidP="005729D2">
      <w:pPr>
        <w:pStyle w:val="Heading3Numbered"/>
        <w:numPr>
          <w:ilvl w:val="2"/>
          <w:numId w:val="64"/>
        </w:numPr>
      </w:pPr>
      <w:bookmarkStart w:id="4657" w:name="_Toc422941616"/>
      <w:bookmarkStart w:id="4658" w:name="_Toc423116822"/>
      <w:bookmarkStart w:id="4659" w:name="_Toc423117855"/>
      <w:bookmarkStart w:id="4660" w:name="_Toc423117305"/>
      <w:bookmarkStart w:id="4661" w:name="_Toc431288899"/>
      <w:bookmarkStart w:id="4662" w:name="_Toc415735555"/>
      <w:bookmarkStart w:id="4663" w:name="_Toc415814136"/>
      <w:bookmarkStart w:id="4664" w:name="_Toc416343871"/>
      <w:bookmarkStart w:id="4665" w:name="_Toc416863143"/>
      <w:bookmarkStart w:id="4666" w:name="_Toc417314758"/>
      <w:bookmarkStart w:id="4667" w:name="_Toc417323775"/>
      <w:bookmarkStart w:id="4668" w:name="_Toc417326865"/>
      <w:bookmarkStart w:id="4669" w:name="_Toc417330413"/>
      <w:bookmarkStart w:id="4670" w:name="_Toc417395019"/>
      <w:bookmarkStart w:id="4671" w:name="_Toc417399236"/>
      <w:bookmarkStart w:id="4672" w:name="_Toc417399395"/>
      <w:bookmarkStart w:id="4673" w:name="_Toc417400442"/>
      <w:bookmarkStart w:id="4674" w:name="_Toc417401290"/>
      <w:bookmarkStart w:id="4675" w:name="_Toc417419605"/>
      <w:bookmarkStart w:id="4676" w:name="_Toc417457377"/>
      <w:bookmarkStart w:id="4677" w:name="_Toc417481955"/>
      <w:bookmarkStart w:id="4678" w:name="_Toc417482213"/>
      <w:bookmarkStart w:id="4679" w:name="_Toc417499932"/>
      <w:bookmarkStart w:id="4680" w:name="_Toc417502753"/>
      <w:bookmarkStart w:id="4681" w:name="_Toc417548330"/>
      <w:bookmarkStart w:id="4682" w:name="_Toc417594572"/>
      <w:bookmarkStart w:id="4683" w:name="_Toc417934699"/>
      <w:bookmarkStart w:id="4684" w:name="_Toc417936038"/>
      <w:bookmarkStart w:id="4685" w:name="_Toc417936500"/>
      <w:bookmarkStart w:id="4686" w:name="_Toc417946925"/>
      <w:bookmarkStart w:id="4687" w:name="_Toc417947373"/>
      <w:bookmarkStart w:id="4688" w:name="_Toc417982535"/>
      <w:bookmarkStart w:id="4689" w:name="_Toc417985987"/>
      <w:bookmarkStart w:id="4690" w:name="_Toc418000681"/>
      <w:bookmarkStart w:id="4691" w:name="_Toc418003851"/>
      <w:bookmarkStart w:id="4692" w:name="_Toc418012056"/>
      <w:bookmarkStart w:id="4693" w:name="_Toc418014471"/>
      <w:bookmarkStart w:id="4694" w:name="_Toc418030074"/>
      <w:bookmarkStart w:id="4695" w:name="_Toc418036959"/>
      <w:bookmarkStart w:id="4696" w:name="_Toc418061434"/>
      <w:bookmarkStart w:id="4697" w:name="_Toc418081333"/>
      <w:bookmarkStart w:id="4698" w:name="_Toc418083365"/>
      <w:bookmarkStart w:id="4699" w:name="_Toc418096129"/>
      <w:bookmarkStart w:id="4700" w:name="_Toc418156731"/>
      <w:bookmarkStart w:id="4701" w:name="_Toc418167650"/>
      <w:bookmarkStart w:id="4702" w:name="_Toc418185906"/>
      <w:r>
        <w:t xml:space="preserve">Network </w:t>
      </w:r>
      <w:r w:rsidR="00CD0FB7">
        <w:t xml:space="preserve">Access </w:t>
      </w:r>
      <w:bookmarkEnd w:id="4657"/>
      <w:bookmarkEnd w:id="4658"/>
      <w:bookmarkEnd w:id="4659"/>
      <w:bookmarkEnd w:id="4660"/>
      <w:r>
        <w:t>Approaches</w:t>
      </w:r>
      <w:bookmarkEnd w:id="4661"/>
    </w:p>
    <w:p w14:paraId="45957E95" w14:textId="6B0A3964" w:rsidR="00A30006" w:rsidRDefault="001F44EF" w:rsidP="00A30006">
      <w:r>
        <w:t>When</w:t>
      </w:r>
      <w:r w:rsidR="00A30006">
        <w:t xml:space="preserve"> customers extend their datacenters to Azure or deploy an application within the Azure infrastructure, they must select an approach for access control and security, based on an access scenario. Common access scenarios include:</w:t>
      </w:r>
    </w:p>
    <w:p w14:paraId="1325E91B" w14:textId="77777777" w:rsidR="00A30006" w:rsidRDefault="00A30006" w:rsidP="005729D2">
      <w:pPr>
        <w:pStyle w:val="ListParagraph"/>
        <w:numPr>
          <w:ilvl w:val="0"/>
          <w:numId w:val="191"/>
        </w:numPr>
      </w:pPr>
      <w:r>
        <w:t>Internal users</w:t>
      </w:r>
    </w:p>
    <w:p w14:paraId="306C7585" w14:textId="77777777" w:rsidR="00A30006" w:rsidRDefault="00A30006" w:rsidP="005729D2">
      <w:pPr>
        <w:pStyle w:val="ListParagraph"/>
        <w:numPr>
          <w:ilvl w:val="1"/>
          <w:numId w:val="191"/>
        </w:numPr>
      </w:pPr>
      <w:r>
        <w:t>Accessing the solution from on premises</w:t>
      </w:r>
    </w:p>
    <w:p w14:paraId="4BE53872" w14:textId="77777777" w:rsidR="00A30006" w:rsidRDefault="00A30006" w:rsidP="005729D2">
      <w:pPr>
        <w:pStyle w:val="ListParagraph"/>
        <w:numPr>
          <w:ilvl w:val="1"/>
          <w:numId w:val="191"/>
        </w:numPr>
      </w:pPr>
      <w:r>
        <w:t>Accessing the solution from non-corporate locations</w:t>
      </w:r>
    </w:p>
    <w:p w14:paraId="33B3520B" w14:textId="77777777" w:rsidR="00A30006" w:rsidRDefault="00A30006" w:rsidP="005729D2">
      <w:pPr>
        <w:pStyle w:val="ListParagraph"/>
        <w:numPr>
          <w:ilvl w:val="1"/>
          <w:numId w:val="191"/>
        </w:numPr>
      </w:pPr>
      <w:r>
        <w:t>Accessing the solution via VPN</w:t>
      </w:r>
    </w:p>
    <w:p w14:paraId="015F47AB" w14:textId="77777777" w:rsidR="00A30006" w:rsidRDefault="00A30006" w:rsidP="005729D2">
      <w:pPr>
        <w:pStyle w:val="ListParagraph"/>
        <w:numPr>
          <w:ilvl w:val="0"/>
          <w:numId w:val="191"/>
        </w:numPr>
      </w:pPr>
      <w:r>
        <w:t>External users</w:t>
      </w:r>
    </w:p>
    <w:p w14:paraId="3F4D0C2A" w14:textId="77777777" w:rsidR="00A30006" w:rsidRDefault="00A30006" w:rsidP="005729D2">
      <w:pPr>
        <w:pStyle w:val="ListParagraph"/>
        <w:numPr>
          <w:ilvl w:val="1"/>
          <w:numId w:val="191"/>
        </w:numPr>
      </w:pPr>
      <w:r>
        <w:t>Accessing the solution via the Internet</w:t>
      </w:r>
    </w:p>
    <w:p w14:paraId="09D88513" w14:textId="77777777" w:rsidR="00A30006" w:rsidRDefault="00A30006" w:rsidP="005729D2">
      <w:pPr>
        <w:pStyle w:val="ListParagraph"/>
        <w:numPr>
          <w:ilvl w:val="0"/>
          <w:numId w:val="191"/>
        </w:numPr>
      </w:pPr>
      <w:r>
        <w:t xml:space="preserve">Dependent applications </w:t>
      </w:r>
    </w:p>
    <w:p w14:paraId="5275D25D" w14:textId="77777777" w:rsidR="00A30006" w:rsidRDefault="00A30006" w:rsidP="005729D2">
      <w:pPr>
        <w:pStyle w:val="ListParagraph"/>
        <w:numPr>
          <w:ilvl w:val="1"/>
          <w:numId w:val="191"/>
        </w:numPr>
      </w:pPr>
      <w:r>
        <w:t>Accessing the solution from on premises</w:t>
      </w:r>
    </w:p>
    <w:p w14:paraId="0D1416ED" w14:textId="77777777" w:rsidR="00A30006" w:rsidRDefault="00A30006" w:rsidP="005729D2">
      <w:pPr>
        <w:pStyle w:val="ListParagraph"/>
        <w:numPr>
          <w:ilvl w:val="1"/>
          <w:numId w:val="191"/>
        </w:numPr>
      </w:pPr>
      <w:r>
        <w:t>Accessing the solution from Azure</w:t>
      </w:r>
    </w:p>
    <w:p w14:paraId="56C02D1B" w14:textId="77777777" w:rsidR="00A30006" w:rsidRDefault="00A30006" w:rsidP="005729D2">
      <w:pPr>
        <w:pStyle w:val="ListParagraph"/>
        <w:numPr>
          <w:ilvl w:val="1"/>
          <w:numId w:val="191"/>
        </w:numPr>
      </w:pPr>
      <w:r>
        <w:t>Accessing the solution from Internet locations</w:t>
      </w:r>
    </w:p>
    <w:p w14:paraId="258F48B1" w14:textId="77777777" w:rsidR="00A30006" w:rsidRDefault="00A30006" w:rsidP="005729D2">
      <w:pPr>
        <w:pStyle w:val="ListParagraph"/>
        <w:numPr>
          <w:ilvl w:val="0"/>
          <w:numId w:val="191"/>
        </w:numPr>
      </w:pPr>
      <w:r>
        <w:t>Solution</w:t>
      </w:r>
    </w:p>
    <w:p w14:paraId="04E466A7" w14:textId="77777777" w:rsidR="00A30006" w:rsidRDefault="00A30006" w:rsidP="005729D2">
      <w:pPr>
        <w:pStyle w:val="ListParagraph"/>
        <w:numPr>
          <w:ilvl w:val="1"/>
          <w:numId w:val="191"/>
        </w:numPr>
      </w:pPr>
      <w:r>
        <w:t>Accessing on-premises resources</w:t>
      </w:r>
    </w:p>
    <w:p w14:paraId="4942B88F" w14:textId="77777777" w:rsidR="00A30006" w:rsidRDefault="00A30006" w:rsidP="005729D2">
      <w:pPr>
        <w:pStyle w:val="ListParagraph"/>
        <w:numPr>
          <w:ilvl w:val="1"/>
          <w:numId w:val="191"/>
        </w:numPr>
      </w:pPr>
      <w:r>
        <w:t>Accessing Azure public services</w:t>
      </w:r>
    </w:p>
    <w:p w14:paraId="1FAF2004" w14:textId="77777777" w:rsidR="00A30006" w:rsidRDefault="00A30006" w:rsidP="005729D2">
      <w:pPr>
        <w:pStyle w:val="ListParagraph"/>
        <w:numPr>
          <w:ilvl w:val="1"/>
          <w:numId w:val="191"/>
        </w:numPr>
      </w:pPr>
      <w:r>
        <w:t>Accessing other Internet-facing services</w:t>
      </w:r>
    </w:p>
    <w:p w14:paraId="1C6BF9AB" w14:textId="77777777" w:rsidR="00A30006" w:rsidRDefault="00A30006" w:rsidP="00A30006">
      <w:pPr>
        <w:ind w:left="720" w:hanging="630"/>
      </w:pPr>
    </w:p>
    <w:p w14:paraId="7543770C" w14:textId="7555E225" w:rsidR="001E64BB" w:rsidRDefault="00A30006" w:rsidP="00A30006">
      <w:r>
        <w:t>Note that a security-access approach might have multiple options to provide access. For example, accessing an application in Azure via the Internet can be accomplished with different security and traffic routing approaches</w:t>
      </w:r>
      <w:r w:rsidR="004D610B">
        <w:t>.</w:t>
      </w:r>
    </w:p>
    <w:p w14:paraId="20CCA922" w14:textId="77777777" w:rsidR="001E64BB" w:rsidRDefault="001E64BB" w:rsidP="00907EDE">
      <w:pPr>
        <w:ind w:left="720"/>
      </w:pPr>
    </w:p>
    <w:tbl>
      <w:tblPr>
        <w:tblStyle w:val="PlainTable11"/>
        <w:tblW w:w="0" w:type="auto"/>
        <w:tblLook w:val="04A0" w:firstRow="1" w:lastRow="0" w:firstColumn="1" w:lastColumn="0" w:noHBand="0" w:noVBand="1"/>
      </w:tblPr>
      <w:tblGrid>
        <w:gridCol w:w="2338"/>
        <w:gridCol w:w="3895"/>
        <w:gridCol w:w="3117"/>
      </w:tblGrid>
      <w:tr w:rsidR="00E80244" w:rsidRPr="00766BA9" w14:paraId="29960881" w14:textId="77777777" w:rsidTr="00A300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8" w:type="dxa"/>
            <w:shd w:val="clear" w:color="auto" w:fill="808080" w:themeFill="background1" w:themeFillShade="80"/>
          </w:tcPr>
          <w:p w14:paraId="13C415A8" w14:textId="694115EC" w:rsidR="00E80244" w:rsidRPr="00766BA9" w:rsidRDefault="004D610B" w:rsidP="00E80244">
            <w:pPr>
              <w:tabs>
                <w:tab w:val="right" w:pos="2124"/>
              </w:tabs>
              <w:rPr>
                <w:color w:val="FFFFFF" w:themeColor="background1"/>
              </w:rPr>
            </w:pPr>
            <w:r>
              <w:rPr>
                <w:color w:val="FFFFFF" w:themeColor="background1"/>
              </w:rPr>
              <w:t xml:space="preserve">Application </w:t>
            </w:r>
            <w:r w:rsidR="00E80244">
              <w:rPr>
                <w:color w:val="FFFFFF" w:themeColor="background1"/>
              </w:rPr>
              <w:t>Access Approach</w:t>
            </w:r>
            <w:r w:rsidR="00E80244" w:rsidRPr="00766BA9">
              <w:rPr>
                <w:color w:val="FFFFFF" w:themeColor="background1"/>
              </w:rPr>
              <w:tab/>
            </w:r>
          </w:p>
        </w:tc>
        <w:tc>
          <w:tcPr>
            <w:tcW w:w="3895" w:type="dxa"/>
            <w:shd w:val="clear" w:color="auto" w:fill="808080" w:themeFill="background1" w:themeFillShade="80"/>
          </w:tcPr>
          <w:p w14:paraId="647F9450" w14:textId="77777777" w:rsidR="00E80244" w:rsidRPr="00766BA9" w:rsidRDefault="00E80244" w:rsidP="004D610B">
            <w:pPr>
              <w:cnfStyle w:val="100000000000" w:firstRow="1" w:lastRow="0" w:firstColumn="0" w:lastColumn="0" w:oddVBand="0" w:evenVBand="0" w:oddHBand="0" w:evenHBand="0" w:firstRowFirstColumn="0" w:firstRowLastColumn="0" w:lastRowFirstColumn="0" w:lastRowLastColumn="0"/>
              <w:rPr>
                <w:color w:val="FFFFFF" w:themeColor="background1"/>
              </w:rPr>
            </w:pPr>
            <w:r w:rsidRPr="00766BA9">
              <w:rPr>
                <w:color w:val="FFFFFF" w:themeColor="background1"/>
              </w:rPr>
              <w:t>Description</w:t>
            </w:r>
          </w:p>
        </w:tc>
        <w:tc>
          <w:tcPr>
            <w:tcW w:w="3117" w:type="dxa"/>
            <w:shd w:val="clear" w:color="auto" w:fill="808080" w:themeFill="background1" w:themeFillShade="80"/>
          </w:tcPr>
          <w:p w14:paraId="0D69A971" w14:textId="77777777" w:rsidR="00E80244" w:rsidRPr="00766BA9" w:rsidRDefault="00E80244" w:rsidP="004D610B">
            <w:pPr>
              <w:cnfStyle w:val="100000000000" w:firstRow="1" w:lastRow="0" w:firstColumn="0" w:lastColumn="0" w:oddVBand="0" w:evenVBand="0" w:oddHBand="0" w:evenHBand="0" w:firstRowFirstColumn="0" w:firstRowLastColumn="0" w:lastRowFirstColumn="0" w:lastRowLastColumn="0"/>
              <w:rPr>
                <w:color w:val="FFFFFF" w:themeColor="background1"/>
              </w:rPr>
            </w:pPr>
            <w:r w:rsidRPr="00766BA9">
              <w:rPr>
                <w:color w:val="FFFFFF" w:themeColor="background1"/>
              </w:rPr>
              <w:t>When to Use</w:t>
            </w:r>
          </w:p>
        </w:tc>
      </w:tr>
      <w:tr w:rsidR="00A30006" w14:paraId="4F1EEB38" w14:textId="77777777" w:rsidTr="004D61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0" w:type="dxa"/>
          </w:tcPr>
          <w:p w14:paraId="7BD0F608" w14:textId="67A0318A" w:rsidR="00A30006" w:rsidRPr="00256000" w:rsidRDefault="00A30006" w:rsidP="00A30006">
            <w:pPr>
              <w:rPr>
                <w:color w:val="000000" w:themeColor="text1"/>
                <w:sz w:val="20"/>
                <w:szCs w:val="20"/>
              </w:rPr>
            </w:pPr>
            <w:r>
              <w:rPr>
                <w:color w:val="000000" w:themeColor="text1"/>
                <w:sz w:val="20"/>
                <w:szCs w:val="20"/>
              </w:rPr>
              <w:t>Direct to Azure</w:t>
            </w:r>
          </w:p>
        </w:tc>
        <w:tc>
          <w:tcPr>
            <w:tcW w:w="3900" w:type="dxa"/>
          </w:tcPr>
          <w:p w14:paraId="1A7B8174" w14:textId="2473F70E" w:rsidR="00A30006" w:rsidRPr="00256000" w:rsidRDefault="00A30006" w:rsidP="00A30006">
            <w:p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4D610B">
              <w:rPr>
                <w:color w:val="000000" w:themeColor="text1"/>
                <w:sz w:val="20"/>
                <w:szCs w:val="20"/>
              </w:rPr>
              <w:t xml:space="preserve">Internet access </w:t>
            </w:r>
            <w:r>
              <w:rPr>
                <w:color w:val="000000" w:themeColor="text1"/>
                <w:sz w:val="20"/>
                <w:szCs w:val="20"/>
              </w:rPr>
              <w:t xml:space="preserve">is </w:t>
            </w:r>
            <w:r w:rsidRPr="004D610B">
              <w:rPr>
                <w:color w:val="000000" w:themeColor="text1"/>
                <w:sz w:val="20"/>
                <w:szCs w:val="20"/>
              </w:rPr>
              <w:t>accomplished by exposing the UI tier directly on the Internet</w:t>
            </w:r>
            <w:r>
              <w:rPr>
                <w:color w:val="000000" w:themeColor="text1"/>
                <w:sz w:val="20"/>
                <w:szCs w:val="20"/>
              </w:rPr>
              <w:t>.</w:t>
            </w:r>
          </w:p>
        </w:tc>
        <w:tc>
          <w:tcPr>
            <w:tcW w:w="3120" w:type="dxa"/>
          </w:tcPr>
          <w:p w14:paraId="2C4B7646" w14:textId="77777777" w:rsidR="00A30006" w:rsidRDefault="00A30006" w:rsidP="005729D2">
            <w:pPr>
              <w:pStyle w:val="ListParagraph"/>
              <w:numPr>
                <w:ilvl w:val="0"/>
                <w:numId w:val="78"/>
              </w:num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Pr>
                <w:color w:val="000000" w:themeColor="text1"/>
                <w:sz w:val="20"/>
                <w:szCs w:val="20"/>
              </w:rPr>
              <w:t>The application needs to be accessed from the Internet, and minimal security is required.</w:t>
            </w:r>
          </w:p>
          <w:p w14:paraId="6560D6D7" w14:textId="6605174C" w:rsidR="00A30006" w:rsidRPr="00256000" w:rsidRDefault="00A30006" w:rsidP="005729D2">
            <w:pPr>
              <w:pStyle w:val="ListParagraph"/>
              <w:numPr>
                <w:ilvl w:val="0"/>
                <w:numId w:val="78"/>
              </w:num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Pr>
                <w:color w:val="000000" w:themeColor="text1"/>
                <w:sz w:val="20"/>
                <w:szCs w:val="20"/>
              </w:rPr>
              <w:t>The application has no connection to corporate resources.</w:t>
            </w:r>
          </w:p>
        </w:tc>
      </w:tr>
      <w:tr w:rsidR="00A30006" w14:paraId="776FE2A7" w14:textId="77777777" w:rsidTr="00A30006">
        <w:tc>
          <w:tcPr>
            <w:cnfStyle w:val="001000000000" w:firstRow="0" w:lastRow="0" w:firstColumn="1" w:lastColumn="0" w:oddVBand="0" w:evenVBand="0" w:oddHBand="0" w:evenHBand="0" w:firstRowFirstColumn="0" w:firstRowLastColumn="0" w:lastRowFirstColumn="0" w:lastRowLastColumn="0"/>
            <w:tcW w:w="2338" w:type="dxa"/>
          </w:tcPr>
          <w:p w14:paraId="0ADBB883" w14:textId="11B4DCCA" w:rsidR="00A30006" w:rsidRDefault="00A30006" w:rsidP="00A30006">
            <w:pPr>
              <w:rPr>
                <w:color w:val="000000" w:themeColor="text1"/>
                <w:sz w:val="20"/>
                <w:szCs w:val="20"/>
              </w:rPr>
            </w:pPr>
            <w:r>
              <w:rPr>
                <w:color w:val="000000" w:themeColor="text1"/>
                <w:sz w:val="20"/>
                <w:szCs w:val="20"/>
              </w:rPr>
              <w:t>Using the existing security solution</w:t>
            </w:r>
          </w:p>
        </w:tc>
        <w:tc>
          <w:tcPr>
            <w:tcW w:w="3895" w:type="dxa"/>
          </w:tcPr>
          <w:p w14:paraId="2A42232D" w14:textId="6AD5EB4D" w:rsidR="00A30006" w:rsidRPr="00256000" w:rsidRDefault="00A30006" w:rsidP="00A30006">
            <w:p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4D610B">
              <w:rPr>
                <w:color w:val="000000" w:themeColor="text1"/>
                <w:sz w:val="20"/>
                <w:szCs w:val="20"/>
              </w:rPr>
              <w:t xml:space="preserve">Internet access could be blocked </w:t>
            </w:r>
            <w:r>
              <w:rPr>
                <w:color w:val="000000" w:themeColor="text1"/>
                <w:sz w:val="20"/>
                <w:szCs w:val="20"/>
              </w:rPr>
              <w:t xml:space="preserve">by </w:t>
            </w:r>
            <w:r w:rsidRPr="004D610B">
              <w:rPr>
                <w:color w:val="000000" w:themeColor="text1"/>
                <w:sz w:val="20"/>
                <w:szCs w:val="20"/>
              </w:rPr>
              <w:t>using forced tunneling</w:t>
            </w:r>
            <w:r>
              <w:rPr>
                <w:color w:val="000000" w:themeColor="text1"/>
                <w:sz w:val="20"/>
                <w:szCs w:val="20"/>
              </w:rPr>
              <w:t>.</w:t>
            </w:r>
            <w:r w:rsidRPr="004D610B">
              <w:rPr>
                <w:color w:val="000000" w:themeColor="text1"/>
                <w:sz w:val="20"/>
                <w:szCs w:val="20"/>
              </w:rPr>
              <w:t xml:space="preserve"> </w:t>
            </w:r>
            <w:r>
              <w:rPr>
                <w:color w:val="000000" w:themeColor="text1"/>
                <w:sz w:val="20"/>
                <w:szCs w:val="20"/>
              </w:rPr>
              <w:t>A</w:t>
            </w:r>
            <w:r w:rsidRPr="004D610B">
              <w:rPr>
                <w:color w:val="000000" w:themeColor="text1"/>
                <w:sz w:val="20"/>
                <w:szCs w:val="20"/>
              </w:rPr>
              <w:t>ll traffic must flow through the corporate Internet</w:t>
            </w:r>
            <w:r>
              <w:rPr>
                <w:color w:val="000000" w:themeColor="text1"/>
                <w:sz w:val="20"/>
                <w:szCs w:val="20"/>
              </w:rPr>
              <w:t>-</w:t>
            </w:r>
            <w:r w:rsidRPr="004D610B">
              <w:rPr>
                <w:color w:val="000000" w:themeColor="text1"/>
                <w:sz w:val="20"/>
                <w:szCs w:val="20"/>
              </w:rPr>
              <w:t>facing security stack</w:t>
            </w:r>
            <w:r>
              <w:rPr>
                <w:color w:val="000000" w:themeColor="text1"/>
                <w:sz w:val="20"/>
                <w:szCs w:val="20"/>
              </w:rPr>
              <w:t>,</w:t>
            </w:r>
            <w:r w:rsidRPr="004D610B">
              <w:rPr>
                <w:color w:val="000000" w:themeColor="text1"/>
                <w:sz w:val="20"/>
                <w:szCs w:val="20"/>
              </w:rPr>
              <w:t xml:space="preserve"> be routed over the corporate backbone</w:t>
            </w:r>
            <w:r>
              <w:rPr>
                <w:color w:val="000000" w:themeColor="text1"/>
                <w:sz w:val="20"/>
                <w:szCs w:val="20"/>
              </w:rPr>
              <w:t>,</w:t>
            </w:r>
            <w:r w:rsidRPr="004D610B">
              <w:rPr>
                <w:color w:val="000000" w:themeColor="text1"/>
                <w:sz w:val="20"/>
                <w:szCs w:val="20"/>
              </w:rPr>
              <w:t xml:space="preserve"> and get to Azure using ExpressRoute or S2S connections</w:t>
            </w:r>
            <w:r>
              <w:rPr>
                <w:color w:val="000000" w:themeColor="text1"/>
                <w:sz w:val="20"/>
                <w:szCs w:val="20"/>
              </w:rPr>
              <w:t>.</w:t>
            </w:r>
          </w:p>
        </w:tc>
        <w:tc>
          <w:tcPr>
            <w:tcW w:w="3117" w:type="dxa"/>
          </w:tcPr>
          <w:p w14:paraId="39565E7B" w14:textId="77777777" w:rsidR="00A30006" w:rsidRDefault="00A30006" w:rsidP="005729D2">
            <w:pPr>
              <w:pStyle w:val="ListParagraph"/>
              <w:numPr>
                <w:ilvl w:val="0"/>
                <w:numId w:val="78"/>
              </w:num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Pr>
                <w:color w:val="000000" w:themeColor="text1"/>
                <w:sz w:val="20"/>
                <w:szCs w:val="20"/>
              </w:rPr>
              <w:t>The application needs to be accessed from the Internet, and high security is required.</w:t>
            </w:r>
          </w:p>
          <w:p w14:paraId="464C47EB" w14:textId="41735D11" w:rsidR="00A30006" w:rsidRPr="00256000" w:rsidRDefault="00A30006" w:rsidP="005729D2">
            <w:pPr>
              <w:pStyle w:val="ListParagraph"/>
              <w:numPr>
                <w:ilvl w:val="0"/>
                <w:numId w:val="78"/>
              </w:num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Pr>
                <w:color w:val="000000" w:themeColor="text1"/>
                <w:sz w:val="20"/>
                <w:szCs w:val="20"/>
              </w:rPr>
              <w:t>A security stack that meets requirements cannot be created in Azure.</w:t>
            </w:r>
          </w:p>
        </w:tc>
      </w:tr>
      <w:tr w:rsidR="00A30006" w14:paraId="12C85FB4" w14:textId="77777777" w:rsidTr="00A300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8" w:type="dxa"/>
          </w:tcPr>
          <w:p w14:paraId="1B25B2EF" w14:textId="27F2E190" w:rsidR="00A30006" w:rsidRDefault="00A30006" w:rsidP="00A30006">
            <w:pPr>
              <w:rPr>
                <w:color w:val="000000" w:themeColor="text1"/>
                <w:sz w:val="20"/>
                <w:szCs w:val="20"/>
              </w:rPr>
            </w:pPr>
            <w:r>
              <w:rPr>
                <w:color w:val="000000" w:themeColor="text1"/>
                <w:sz w:val="20"/>
                <w:szCs w:val="20"/>
              </w:rPr>
              <w:t>Using a provider security solution</w:t>
            </w:r>
          </w:p>
        </w:tc>
        <w:tc>
          <w:tcPr>
            <w:tcW w:w="3895" w:type="dxa"/>
          </w:tcPr>
          <w:p w14:paraId="104E3DD0" w14:textId="1C658620" w:rsidR="00A30006" w:rsidRPr="00256000" w:rsidRDefault="00A30006" w:rsidP="00A30006">
            <w:p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4D610B">
              <w:rPr>
                <w:color w:val="000000" w:themeColor="text1"/>
                <w:sz w:val="20"/>
                <w:szCs w:val="20"/>
              </w:rPr>
              <w:t xml:space="preserve">Internet access could be blocked </w:t>
            </w:r>
            <w:r>
              <w:rPr>
                <w:color w:val="000000" w:themeColor="text1"/>
                <w:sz w:val="20"/>
                <w:szCs w:val="20"/>
              </w:rPr>
              <w:t xml:space="preserve">by </w:t>
            </w:r>
            <w:r w:rsidRPr="004D610B">
              <w:rPr>
                <w:color w:val="000000" w:themeColor="text1"/>
                <w:sz w:val="20"/>
                <w:szCs w:val="20"/>
              </w:rPr>
              <w:t>using forced tunneling</w:t>
            </w:r>
            <w:r>
              <w:rPr>
                <w:color w:val="000000" w:themeColor="text1"/>
                <w:sz w:val="20"/>
                <w:szCs w:val="20"/>
              </w:rPr>
              <w:t>.</w:t>
            </w:r>
            <w:r w:rsidRPr="004D610B">
              <w:rPr>
                <w:color w:val="000000" w:themeColor="text1"/>
                <w:sz w:val="20"/>
                <w:szCs w:val="20"/>
              </w:rPr>
              <w:t xml:space="preserve"> </w:t>
            </w:r>
            <w:r>
              <w:rPr>
                <w:color w:val="000000" w:themeColor="text1"/>
                <w:sz w:val="20"/>
                <w:szCs w:val="20"/>
              </w:rPr>
              <w:t>A</w:t>
            </w:r>
            <w:r w:rsidRPr="004D610B">
              <w:rPr>
                <w:color w:val="000000" w:themeColor="text1"/>
                <w:sz w:val="20"/>
                <w:szCs w:val="20"/>
              </w:rPr>
              <w:t>ll traffic must flow through a service provider</w:t>
            </w:r>
            <w:r>
              <w:rPr>
                <w:color w:val="000000" w:themeColor="text1"/>
                <w:sz w:val="20"/>
                <w:szCs w:val="20"/>
              </w:rPr>
              <w:t>'</w:t>
            </w:r>
            <w:r w:rsidRPr="004D610B">
              <w:rPr>
                <w:color w:val="000000" w:themeColor="text1"/>
                <w:sz w:val="20"/>
                <w:szCs w:val="20"/>
              </w:rPr>
              <w:t>s Internet</w:t>
            </w:r>
            <w:r>
              <w:rPr>
                <w:color w:val="000000" w:themeColor="text1"/>
                <w:sz w:val="20"/>
                <w:szCs w:val="20"/>
              </w:rPr>
              <w:t>-</w:t>
            </w:r>
            <w:r w:rsidRPr="004D610B">
              <w:rPr>
                <w:color w:val="000000" w:themeColor="text1"/>
                <w:sz w:val="20"/>
                <w:szCs w:val="20"/>
              </w:rPr>
              <w:t>facing security stack</w:t>
            </w:r>
            <w:r>
              <w:rPr>
                <w:color w:val="000000" w:themeColor="text1"/>
                <w:sz w:val="20"/>
                <w:szCs w:val="20"/>
              </w:rPr>
              <w:t>,</w:t>
            </w:r>
            <w:r w:rsidRPr="004D610B">
              <w:rPr>
                <w:color w:val="000000" w:themeColor="text1"/>
                <w:sz w:val="20"/>
                <w:szCs w:val="20"/>
              </w:rPr>
              <w:t xml:space="preserve"> be routed over the service providers backbone</w:t>
            </w:r>
            <w:r>
              <w:rPr>
                <w:color w:val="000000" w:themeColor="text1"/>
                <w:sz w:val="20"/>
                <w:szCs w:val="20"/>
              </w:rPr>
              <w:t>,</w:t>
            </w:r>
            <w:r w:rsidRPr="004D610B">
              <w:rPr>
                <w:color w:val="000000" w:themeColor="text1"/>
                <w:sz w:val="20"/>
                <w:szCs w:val="20"/>
              </w:rPr>
              <w:t xml:space="preserve"> and get to Azure </w:t>
            </w:r>
            <w:r>
              <w:rPr>
                <w:color w:val="000000" w:themeColor="text1"/>
                <w:sz w:val="20"/>
                <w:szCs w:val="20"/>
              </w:rPr>
              <w:t xml:space="preserve">by </w:t>
            </w:r>
            <w:r w:rsidRPr="004D610B">
              <w:rPr>
                <w:color w:val="000000" w:themeColor="text1"/>
                <w:sz w:val="20"/>
                <w:szCs w:val="20"/>
              </w:rPr>
              <w:t>using S2S or ExpressRoute connections</w:t>
            </w:r>
            <w:r>
              <w:rPr>
                <w:color w:val="000000" w:themeColor="text1"/>
                <w:sz w:val="20"/>
                <w:szCs w:val="20"/>
              </w:rPr>
              <w:t>,</w:t>
            </w:r>
          </w:p>
        </w:tc>
        <w:tc>
          <w:tcPr>
            <w:tcW w:w="3117" w:type="dxa"/>
          </w:tcPr>
          <w:p w14:paraId="4611CBC7" w14:textId="77777777" w:rsidR="00A30006" w:rsidRDefault="00A30006" w:rsidP="005729D2">
            <w:pPr>
              <w:pStyle w:val="ListParagraph"/>
              <w:numPr>
                <w:ilvl w:val="0"/>
                <w:numId w:val="78"/>
              </w:num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Pr>
                <w:color w:val="000000" w:themeColor="text1"/>
                <w:sz w:val="20"/>
                <w:szCs w:val="20"/>
              </w:rPr>
              <w:t>The application needs to be accessed from the Internet, and high security is required.</w:t>
            </w:r>
          </w:p>
          <w:p w14:paraId="33C363A4" w14:textId="77777777" w:rsidR="00A30006" w:rsidRDefault="00A30006" w:rsidP="005729D2">
            <w:pPr>
              <w:pStyle w:val="ListParagraph"/>
              <w:numPr>
                <w:ilvl w:val="0"/>
                <w:numId w:val="78"/>
              </w:num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Pr>
                <w:color w:val="000000" w:themeColor="text1"/>
                <w:sz w:val="20"/>
                <w:szCs w:val="20"/>
              </w:rPr>
              <w:t>Internet access is being provided by a service provider that has a backbone connection to Azure.</w:t>
            </w:r>
          </w:p>
          <w:p w14:paraId="24A616E0" w14:textId="69D255F4" w:rsidR="00A30006" w:rsidRPr="00256000" w:rsidRDefault="00A30006" w:rsidP="005729D2">
            <w:pPr>
              <w:pStyle w:val="ListParagraph"/>
              <w:numPr>
                <w:ilvl w:val="0"/>
                <w:numId w:val="78"/>
              </w:num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Pr>
                <w:color w:val="000000" w:themeColor="text1"/>
                <w:sz w:val="20"/>
                <w:szCs w:val="20"/>
              </w:rPr>
              <w:t>Existing corporate Internet bandwidth cannot handle application load.</w:t>
            </w:r>
          </w:p>
        </w:tc>
      </w:tr>
      <w:tr w:rsidR="00A30006" w14:paraId="7DEA176E" w14:textId="77777777" w:rsidTr="00A30006">
        <w:tc>
          <w:tcPr>
            <w:cnfStyle w:val="001000000000" w:firstRow="0" w:lastRow="0" w:firstColumn="1" w:lastColumn="0" w:oddVBand="0" w:evenVBand="0" w:oddHBand="0" w:evenHBand="0" w:firstRowFirstColumn="0" w:firstRowLastColumn="0" w:lastRowFirstColumn="0" w:lastRowLastColumn="0"/>
            <w:tcW w:w="2338" w:type="dxa"/>
          </w:tcPr>
          <w:p w14:paraId="7DD08FCD" w14:textId="1FE78EFD" w:rsidR="00A30006" w:rsidRDefault="00A30006" w:rsidP="00A30006">
            <w:pPr>
              <w:rPr>
                <w:color w:val="000000" w:themeColor="text1"/>
                <w:sz w:val="20"/>
                <w:szCs w:val="20"/>
              </w:rPr>
            </w:pPr>
            <w:r>
              <w:rPr>
                <w:color w:val="000000" w:themeColor="text1"/>
                <w:sz w:val="20"/>
                <w:szCs w:val="20"/>
              </w:rPr>
              <w:t>Using an Azure-based security solution</w:t>
            </w:r>
          </w:p>
        </w:tc>
        <w:tc>
          <w:tcPr>
            <w:tcW w:w="3895" w:type="dxa"/>
          </w:tcPr>
          <w:p w14:paraId="4529AB00" w14:textId="771CF8D6" w:rsidR="00A30006" w:rsidRPr="00256000" w:rsidRDefault="00A30006" w:rsidP="00A30006">
            <w:p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4D610B">
              <w:rPr>
                <w:color w:val="000000" w:themeColor="text1"/>
                <w:sz w:val="20"/>
                <w:szCs w:val="20"/>
              </w:rPr>
              <w:t xml:space="preserve">Internet access </w:t>
            </w:r>
            <w:r>
              <w:rPr>
                <w:color w:val="000000" w:themeColor="text1"/>
                <w:sz w:val="20"/>
                <w:szCs w:val="20"/>
              </w:rPr>
              <w:t xml:space="preserve">is </w:t>
            </w:r>
            <w:r w:rsidRPr="004D610B">
              <w:rPr>
                <w:color w:val="000000" w:themeColor="text1"/>
                <w:sz w:val="20"/>
                <w:szCs w:val="20"/>
              </w:rPr>
              <w:t xml:space="preserve">accomplished by building a security stack in Azure </w:t>
            </w:r>
            <w:r>
              <w:rPr>
                <w:color w:val="000000" w:themeColor="text1"/>
                <w:sz w:val="20"/>
                <w:szCs w:val="20"/>
              </w:rPr>
              <w:t xml:space="preserve">by </w:t>
            </w:r>
            <w:r w:rsidRPr="004D610B">
              <w:rPr>
                <w:color w:val="000000" w:themeColor="text1"/>
                <w:sz w:val="20"/>
                <w:szCs w:val="20"/>
              </w:rPr>
              <w:t xml:space="preserve">using </w:t>
            </w:r>
            <w:r>
              <w:rPr>
                <w:color w:val="000000" w:themeColor="text1"/>
                <w:sz w:val="20"/>
                <w:szCs w:val="20"/>
              </w:rPr>
              <w:t xml:space="preserve">network </w:t>
            </w:r>
            <w:r w:rsidRPr="004D610B">
              <w:rPr>
                <w:color w:val="000000" w:themeColor="text1"/>
                <w:sz w:val="20"/>
                <w:szCs w:val="20"/>
              </w:rPr>
              <w:t>virtual appliances</w:t>
            </w:r>
            <w:r>
              <w:rPr>
                <w:color w:val="000000" w:themeColor="text1"/>
                <w:sz w:val="20"/>
                <w:szCs w:val="20"/>
              </w:rPr>
              <w:t>.</w:t>
            </w:r>
          </w:p>
        </w:tc>
        <w:tc>
          <w:tcPr>
            <w:tcW w:w="3117" w:type="dxa"/>
          </w:tcPr>
          <w:p w14:paraId="17E7E8F6" w14:textId="77777777" w:rsidR="00A30006" w:rsidRDefault="00A30006" w:rsidP="005729D2">
            <w:pPr>
              <w:pStyle w:val="ListParagraph"/>
              <w:numPr>
                <w:ilvl w:val="0"/>
                <w:numId w:val="78"/>
              </w:num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Pr>
                <w:color w:val="000000" w:themeColor="text1"/>
                <w:sz w:val="20"/>
                <w:szCs w:val="20"/>
              </w:rPr>
              <w:t>Application needs to be accessed from the Internet, and high security is required.</w:t>
            </w:r>
          </w:p>
          <w:p w14:paraId="36E0F0E5" w14:textId="77777777" w:rsidR="00A30006" w:rsidRDefault="00A30006" w:rsidP="005729D2">
            <w:pPr>
              <w:pStyle w:val="ListParagraph"/>
              <w:numPr>
                <w:ilvl w:val="0"/>
                <w:numId w:val="78"/>
              </w:num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Pr>
                <w:color w:val="000000" w:themeColor="text1"/>
                <w:sz w:val="20"/>
                <w:szCs w:val="20"/>
              </w:rPr>
              <w:t>Existing corporate Internet bandwidth cannot handle the application load.</w:t>
            </w:r>
          </w:p>
          <w:p w14:paraId="6E865EA0" w14:textId="77777777" w:rsidR="00A30006" w:rsidRDefault="00A30006" w:rsidP="005729D2">
            <w:pPr>
              <w:pStyle w:val="ListParagraph"/>
              <w:numPr>
                <w:ilvl w:val="0"/>
                <w:numId w:val="78"/>
              </w:num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Pr>
                <w:color w:val="000000" w:themeColor="text1"/>
                <w:sz w:val="20"/>
                <w:szCs w:val="20"/>
              </w:rPr>
              <w:t>There is a desire to have no dependency on corporate resources.</w:t>
            </w:r>
          </w:p>
          <w:p w14:paraId="33E90D5F" w14:textId="77777777" w:rsidR="00A30006" w:rsidRDefault="00A30006" w:rsidP="005729D2">
            <w:pPr>
              <w:pStyle w:val="ListParagraph"/>
              <w:numPr>
                <w:ilvl w:val="0"/>
                <w:numId w:val="78"/>
              </w:num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Pr>
                <w:color w:val="000000" w:themeColor="text1"/>
                <w:sz w:val="20"/>
                <w:szCs w:val="20"/>
              </w:rPr>
              <w:t>High-speed Internet access is required.</w:t>
            </w:r>
          </w:p>
          <w:p w14:paraId="6A91FED5" w14:textId="0EB2C90F" w:rsidR="00A30006" w:rsidRPr="00256000" w:rsidRDefault="00A30006" w:rsidP="005729D2">
            <w:pPr>
              <w:pStyle w:val="ListParagraph"/>
              <w:numPr>
                <w:ilvl w:val="0"/>
                <w:numId w:val="78"/>
              </w:num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Pr>
                <w:color w:val="000000" w:themeColor="text1"/>
                <w:sz w:val="20"/>
                <w:szCs w:val="20"/>
              </w:rPr>
              <w:t>Application requires global load balancing and the lowest latency connection.</w:t>
            </w:r>
          </w:p>
        </w:tc>
      </w:tr>
    </w:tbl>
    <w:p w14:paraId="01C49A2E" w14:textId="2D893DB9" w:rsidR="00E80244" w:rsidRPr="00CD0FB7" w:rsidRDefault="00E80244" w:rsidP="00907EDE">
      <w:pPr>
        <w:ind w:left="360"/>
      </w:pPr>
    </w:p>
    <w:p w14:paraId="578323D9" w14:textId="2985818A" w:rsidR="00CD6D39" w:rsidRDefault="00CD6D39" w:rsidP="005729D2">
      <w:pPr>
        <w:pStyle w:val="Heading3Numbered"/>
        <w:numPr>
          <w:ilvl w:val="2"/>
          <w:numId w:val="64"/>
        </w:numPr>
      </w:pPr>
      <w:bookmarkStart w:id="4703" w:name="_Toc422941617"/>
      <w:bookmarkStart w:id="4704" w:name="_Toc423116823"/>
      <w:bookmarkStart w:id="4705" w:name="_Toc423117856"/>
      <w:bookmarkStart w:id="4706" w:name="_Toc423117306"/>
      <w:bookmarkStart w:id="4707" w:name="_Toc431288900"/>
      <w:r>
        <w:t>Virtual Appliances</w:t>
      </w:r>
      <w:bookmarkEnd w:id="4703"/>
      <w:bookmarkEnd w:id="4704"/>
      <w:bookmarkEnd w:id="4705"/>
      <w:bookmarkEnd w:id="4706"/>
      <w:bookmarkEnd w:id="4707"/>
    </w:p>
    <w:p w14:paraId="78ABAC65" w14:textId="27E0F464" w:rsidR="00A30006" w:rsidRDefault="00965FA3" w:rsidP="00A30006">
      <w:r>
        <w:t>Virtual</w:t>
      </w:r>
      <w:r w:rsidR="00A30006">
        <w:t xml:space="preserve"> Appliances are third-party-based virtual machine solutions that can be selected from the Azure Gallery or Marketplace to provide services like network firewall, application firewall and proxy, load balancing, and logging. Appliances are licensed by:</w:t>
      </w:r>
    </w:p>
    <w:p w14:paraId="6D019796" w14:textId="341DE1FC" w:rsidR="00A30006" w:rsidRDefault="00A30006" w:rsidP="005729D2">
      <w:pPr>
        <w:pStyle w:val="ListParagraph"/>
        <w:numPr>
          <w:ilvl w:val="0"/>
          <w:numId w:val="267"/>
        </w:numPr>
      </w:pPr>
      <w:r>
        <w:t xml:space="preserve">Using a license key that you already own. </w:t>
      </w:r>
    </w:p>
    <w:p w14:paraId="7B23DA95" w14:textId="5F07AEC3" w:rsidR="00CD6D39" w:rsidRPr="00CD6D39" w:rsidRDefault="00A30006" w:rsidP="005729D2">
      <w:pPr>
        <w:pStyle w:val="ListParagraph"/>
        <w:numPr>
          <w:ilvl w:val="0"/>
          <w:numId w:val="267"/>
        </w:numPr>
      </w:pPr>
      <w:r>
        <w:t>Including the licensing cost into the hourly cost of the appliance</w:t>
      </w:r>
      <w:r w:rsidR="00965FA3">
        <w:t>.</w:t>
      </w:r>
    </w:p>
    <w:p w14:paraId="5B0C345C" w14:textId="13067762" w:rsidR="00DF70E7" w:rsidRPr="00CD6D39" w:rsidRDefault="00DF70E7" w:rsidP="000B1948">
      <w:r>
        <w:rPr>
          <w:noProof/>
        </w:rPr>
        <w:drawing>
          <wp:inline distT="0" distB="0" distL="0" distR="0" wp14:anchorId="35D1F1F2" wp14:editId="7FDBE135">
            <wp:extent cx="5810885" cy="3268980"/>
            <wp:effectExtent l="0" t="0" r="0" b="7620"/>
            <wp:docPr id="1252047307" name="Picture 1252047307" descr="http://acom.azurecomcdn.net/80C57D/blogmedia/blogmedia/2015/05/05/Appliance-Ecosyst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acom.azurecomcdn.net/80C57D/blogmedia/blogmedia/2015/05/05/Appliance-Ecosystem.png"/>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5810885" cy="3268980"/>
                    </a:xfrm>
                    <a:prstGeom prst="rect">
                      <a:avLst/>
                    </a:prstGeom>
                    <a:noFill/>
                    <a:ln>
                      <a:noFill/>
                    </a:ln>
                  </pic:spPr>
                </pic:pic>
              </a:graphicData>
            </a:graphic>
          </wp:inline>
        </w:drawing>
      </w:r>
    </w:p>
    <w:p w14:paraId="7FFDF0AA" w14:textId="77777777" w:rsidR="00A30006" w:rsidRDefault="00A30006" w:rsidP="00A30006">
      <w:r>
        <w:t xml:space="preserve">Appliances are available in single network adapter or multiple network adapter configurations depending on the type of appliance and the required capabilities. For example, a logging appliance might only require a virtual machine with a single network adapter because all the traffic is written to the appliance. A network firewall typically requires a virtual machine with a multiple network adapter configuration that supports layer 3 routing so that the traffic has to flow through the appliance to reach its destination. </w:t>
      </w:r>
    </w:p>
    <w:p w14:paraId="4C06A191" w14:textId="77777777" w:rsidR="00A30006" w:rsidRDefault="00A30006" w:rsidP="00A30006">
      <w:r>
        <w:t>To leverage an appliance that supports layer 3 routing, the network architecture must include user defined routing to override the default implicit routes to specify explicit user-defined routes. This allows the specification of routing rules that can direct traffic to the appliance network adapter, to the local virtual network, or to the on-premises environment.</w:t>
      </w:r>
    </w:p>
    <w:p w14:paraId="4EBB4B7B" w14:textId="35712299" w:rsidR="0095125E" w:rsidRDefault="00A30006" w:rsidP="00A30006">
      <w:r>
        <w:t>The following table lists virtual appliances types and when to use them</w:t>
      </w:r>
      <w:r w:rsidR="0095125E">
        <w:t>:</w:t>
      </w:r>
    </w:p>
    <w:tbl>
      <w:tblPr>
        <w:tblStyle w:val="PlainTable11"/>
        <w:tblW w:w="0" w:type="auto"/>
        <w:tblLook w:val="04A0" w:firstRow="1" w:lastRow="0" w:firstColumn="1" w:lastColumn="0" w:noHBand="0" w:noVBand="1"/>
      </w:tblPr>
      <w:tblGrid>
        <w:gridCol w:w="2338"/>
        <w:gridCol w:w="3895"/>
        <w:gridCol w:w="3117"/>
      </w:tblGrid>
      <w:tr w:rsidR="0095125E" w:rsidRPr="00766BA9" w14:paraId="1BBF7684" w14:textId="77777777" w:rsidTr="00A300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8" w:type="dxa"/>
            <w:shd w:val="clear" w:color="auto" w:fill="808080" w:themeFill="background1" w:themeFillShade="80"/>
          </w:tcPr>
          <w:p w14:paraId="3152F46D" w14:textId="4CBA2165" w:rsidR="0095125E" w:rsidRPr="00766BA9" w:rsidRDefault="0095125E" w:rsidP="0095125E">
            <w:pPr>
              <w:tabs>
                <w:tab w:val="right" w:pos="2124"/>
              </w:tabs>
              <w:rPr>
                <w:color w:val="FFFFFF" w:themeColor="background1"/>
              </w:rPr>
            </w:pPr>
            <w:r>
              <w:rPr>
                <w:color w:val="FFFFFF" w:themeColor="background1"/>
              </w:rPr>
              <w:t>Virtual Appliance Type</w:t>
            </w:r>
            <w:r w:rsidRPr="00766BA9">
              <w:rPr>
                <w:color w:val="FFFFFF" w:themeColor="background1"/>
              </w:rPr>
              <w:tab/>
            </w:r>
          </w:p>
        </w:tc>
        <w:tc>
          <w:tcPr>
            <w:tcW w:w="3895" w:type="dxa"/>
            <w:shd w:val="clear" w:color="auto" w:fill="808080" w:themeFill="background1" w:themeFillShade="80"/>
          </w:tcPr>
          <w:p w14:paraId="5677D037" w14:textId="77777777" w:rsidR="0095125E" w:rsidRPr="00766BA9" w:rsidRDefault="0095125E" w:rsidP="0095125E">
            <w:pPr>
              <w:cnfStyle w:val="100000000000" w:firstRow="1" w:lastRow="0" w:firstColumn="0" w:lastColumn="0" w:oddVBand="0" w:evenVBand="0" w:oddHBand="0" w:evenHBand="0" w:firstRowFirstColumn="0" w:firstRowLastColumn="0" w:lastRowFirstColumn="0" w:lastRowLastColumn="0"/>
              <w:rPr>
                <w:color w:val="FFFFFF" w:themeColor="background1"/>
              </w:rPr>
            </w:pPr>
            <w:r w:rsidRPr="00766BA9">
              <w:rPr>
                <w:color w:val="FFFFFF" w:themeColor="background1"/>
              </w:rPr>
              <w:t>Description</w:t>
            </w:r>
          </w:p>
        </w:tc>
        <w:tc>
          <w:tcPr>
            <w:tcW w:w="3117" w:type="dxa"/>
            <w:shd w:val="clear" w:color="auto" w:fill="808080" w:themeFill="background1" w:themeFillShade="80"/>
          </w:tcPr>
          <w:p w14:paraId="4D7BA6EB" w14:textId="77777777" w:rsidR="0095125E" w:rsidRPr="00766BA9" w:rsidRDefault="0095125E" w:rsidP="0095125E">
            <w:pPr>
              <w:cnfStyle w:val="100000000000" w:firstRow="1" w:lastRow="0" w:firstColumn="0" w:lastColumn="0" w:oddVBand="0" w:evenVBand="0" w:oddHBand="0" w:evenHBand="0" w:firstRowFirstColumn="0" w:firstRowLastColumn="0" w:lastRowFirstColumn="0" w:lastRowLastColumn="0"/>
              <w:rPr>
                <w:color w:val="FFFFFF" w:themeColor="background1"/>
              </w:rPr>
            </w:pPr>
            <w:r w:rsidRPr="00766BA9">
              <w:rPr>
                <w:color w:val="FFFFFF" w:themeColor="background1"/>
              </w:rPr>
              <w:t>When to Use</w:t>
            </w:r>
          </w:p>
        </w:tc>
      </w:tr>
      <w:tr w:rsidR="00A30006" w14:paraId="52690E72" w14:textId="77777777" w:rsidTr="00A300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8" w:type="dxa"/>
          </w:tcPr>
          <w:p w14:paraId="1B326412" w14:textId="0CB19B03" w:rsidR="00A30006" w:rsidRPr="00256000" w:rsidRDefault="00A30006" w:rsidP="00A30006">
            <w:pPr>
              <w:rPr>
                <w:color w:val="000000" w:themeColor="text1"/>
                <w:sz w:val="20"/>
                <w:szCs w:val="20"/>
              </w:rPr>
            </w:pPr>
            <w:r>
              <w:rPr>
                <w:color w:val="000000" w:themeColor="text1"/>
                <w:sz w:val="20"/>
                <w:szCs w:val="20"/>
              </w:rPr>
              <w:t>Network firewall</w:t>
            </w:r>
          </w:p>
        </w:tc>
        <w:tc>
          <w:tcPr>
            <w:tcW w:w="3895" w:type="dxa"/>
          </w:tcPr>
          <w:p w14:paraId="7735D044" w14:textId="1F43C3C8" w:rsidR="00A30006" w:rsidRPr="00256000" w:rsidRDefault="00A30006" w:rsidP="00A30006">
            <w:p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Pr>
                <w:color w:val="000000" w:themeColor="text1"/>
                <w:sz w:val="20"/>
                <w:szCs w:val="20"/>
              </w:rPr>
              <w:t xml:space="preserve">Virtual appliance that leverages a virtual machine with a </w:t>
            </w:r>
            <w:r w:rsidRPr="00206B37">
              <w:rPr>
                <w:color w:val="000000" w:themeColor="text1"/>
                <w:sz w:val="20"/>
                <w:szCs w:val="20"/>
              </w:rPr>
              <w:t>multiple network adapter configuration</w:t>
            </w:r>
            <w:r>
              <w:rPr>
                <w:color w:val="000000" w:themeColor="text1"/>
                <w:sz w:val="20"/>
                <w:szCs w:val="20"/>
              </w:rPr>
              <w:t xml:space="preserve"> and layer 3 routing support to enable a network firewall between multiple subnets in Azure.</w:t>
            </w:r>
          </w:p>
        </w:tc>
        <w:tc>
          <w:tcPr>
            <w:tcW w:w="3117" w:type="dxa"/>
          </w:tcPr>
          <w:p w14:paraId="5F7EFE6F" w14:textId="77777777" w:rsidR="00A30006" w:rsidRDefault="00A30006" w:rsidP="005729D2">
            <w:pPr>
              <w:pStyle w:val="ListParagraph"/>
              <w:numPr>
                <w:ilvl w:val="0"/>
                <w:numId w:val="78"/>
              </w:num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Pr>
                <w:color w:val="000000" w:themeColor="text1"/>
                <w:sz w:val="20"/>
                <w:szCs w:val="20"/>
              </w:rPr>
              <w:t>Control outbound traffic flow to the Internet from an application tier</w:t>
            </w:r>
          </w:p>
          <w:p w14:paraId="25F3E262" w14:textId="77777777" w:rsidR="00A30006" w:rsidRDefault="00A30006" w:rsidP="005729D2">
            <w:pPr>
              <w:pStyle w:val="ListParagraph"/>
              <w:numPr>
                <w:ilvl w:val="0"/>
                <w:numId w:val="78"/>
              </w:num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Pr>
                <w:color w:val="000000" w:themeColor="text1"/>
                <w:sz w:val="20"/>
                <w:szCs w:val="20"/>
              </w:rPr>
              <w:t>Control inbound traffic flow from the Internet to a UI tier of an application</w:t>
            </w:r>
          </w:p>
          <w:p w14:paraId="18409F53" w14:textId="77777777" w:rsidR="00A30006" w:rsidRDefault="00A30006" w:rsidP="005729D2">
            <w:pPr>
              <w:pStyle w:val="ListParagraph"/>
              <w:numPr>
                <w:ilvl w:val="0"/>
                <w:numId w:val="78"/>
              </w:num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Pr>
                <w:color w:val="000000" w:themeColor="text1"/>
                <w:sz w:val="20"/>
                <w:szCs w:val="20"/>
              </w:rPr>
              <w:t>Control traffic flow between two subnets in Azure</w:t>
            </w:r>
          </w:p>
          <w:p w14:paraId="7864E9C4" w14:textId="022CDED7" w:rsidR="00A30006" w:rsidRPr="00256000" w:rsidRDefault="00A30006" w:rsidP="005729D2">
            <w:pPr>
              <w:pStyle w:val="ListParagraph"/>
              <w:numPr>
                <w:ilvl w:val="0"/>
                <w:numId w:val="78"/>
              </w:num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Pr>
                <w:color w:val="000000" w:themeColor="text1"/>
                <w:sz w:val="20"/>
                <w:szCs w:val="20"/>
              </w:rPr>
              <w:t>Collect detailed packet captures or network logs of traffic flowing through the appliance</w:t>
            </w:r>
          </w:p>
        </w:tc>
      </w:tr>
      <w:tr w:rsidR="00A30006" w14:paraId="3836AC33" w14:textId="77777777" w:rsidTr="00A30006">
        <w:tc>
          <w:tcPr>
            <w:cnfStyle w:val="001000000000" w:firstRow="0" w:lastRow="0" w:firstColumn="1" w:lastColumn="0" w:oddVBand="0" w:evenVBand="0" w:oddHBand="0" w:evenHBand="0" w:firstRowFirstColumn="0" w:firstRowLastColumn="0" w:lastRowFirstColumn="0" w:lastRowLastColumn="0"/>
            <w:tcW w:w="2338" w:type="dxa"/>
          </w:tcPr>
          <w:p w14:paraId="7C86444B" w14:textId="1BDE79A9" w:rsidR="00A30006" w:rsidRDefault="00A30006" w:rsidP="00A30006">
            <w:pPr>
              <w:rPr>
                <w:color w:val="000000" w:themeColor="text1"/>
                <w:sz w:val="20"/>
                <w:szCs w:val="20"/>
              </w:rPr>
            </w:pPr>
            <w:r>
              <w:rPr>
                <w:color w:val="000000" w:themeColor="text1"/>
                <w:sz w:val="20"/>
                <w:szCs w:val="20"/>
              </w:rPr>
              <w:t>Load balancer</w:t>
            </w:r>
          </w:p>
        </w:tc>
        <w:tc>
          <w:tcPr>
            <w:tcW w:w="3895" w:type="dxa"/>
          </w:tcPr>
          <w:p w14:paraId="45F6E17D" w14:textId="06825911" w:rsidR="00A30006" w:rsidRDefault="00A30006" w:rsidP="00A30006">
            <w:p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Pr>
                <w:color w:val="000000" w:themeColor="text1"/>
                <w:sz w:val="20"/>
                <w:szCs w:val="20"/>
              </w:rPr>
              <w:t>Provides layer 4 or layer 7 load balancing</w:t>
            </w:r>
          </w:p>
        </w:tc>
        <w:tc>
          <w:tcPr>
            <w:tcW w:w="3117" w:type="dxa"/>
          </w:tcPr>
          <w:p w14:paraId="6F537C27" w14:textId="77777777" w:rsidR="00A30006" w:rsidRDefault="00A30006" w:rsidP="005729D2">
            <w:pPr>
              <w:pStyle w:val="ListParagraph"/>
              <w:numPr>
                <w:ilvl w:val="0"/>
                <w:numId w:val="78"/>
              </w:num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Pr>
                <w:color w:val="000000" w:themeColor="text1"/>
                <w:sz w:val="20"/>
                <w:szCs w:val="20"/>
              </w:rPr>
              <w:t>A load balancer with more features that the Azure Load Balancer is required</w:t>
            </w:r>
          </w:p>
          <w:p w14:paraId="70CECDE4" w14:textId="77777777" w:rsidR="00A30006" w:rsidRDefault="00A30006" w:rsidP="005729D2">
            <w:pPr>
              <w:pStyle w:val="ListParagraph"/>
              <w:numPr>
                <w:ilvl w:val="0"/>
                <w:numId w:val="78"/>
              </w:num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Pr>
                <w:color w:val="000000" w:themeColor="text1"/>
                <w:sz w:val="20"/>
                <w:szCs w:val="20"/>
              </w:rPr>
              <w:t>Detailed logging is required</w:t>
            </w:r>
          </w:p>
          <w:p w14:paraId="2B355626" w14:textId="48BD890E" w:rsidR="00A30006" w:rsidRDefault="00A30006" w:rsidP="005729D2">
            <w:pPr>
              <w:pStyle w:val="ListParagraph"/>
              <w:numPr>
                <w:ilvl w:val="0"/>
                <w:numId w:val="78"/>
              </w:numPr>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Pr>
                <w:color w:val="000000" w:themeColor="text1"/>
                <w:sz w:val="20"/>
                <w:szCs w:val="20"/>
              </w:rPr>
              <w:t>SSL termination is required</w:t>
            </w:r>
          </w:p>
        </w:tc>
      </w:tr>
      <w:tr w:rsidR="00A30006" w14:paraId="3B85A625" w14:textId="77777777" w:rsidTr="00A300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8" w:type="dxa"/>
          </w:tcPr>
          <w:p w14:paraId="7968A6E7" w14:textId="6BCA3662" w:rsidR="00A30006" w:rsidRDefault="00A30006" w:rsidP="00A30006">
            <w:pPr>
              <w:rPr>
                <w:color w:val="000000" w:themeColor="text1"/>
                <w:sz w:val="20"/>
                <w:szCs w:val="20"/>
              </w:rPr>
            </w:pPr>
            <w:r>
              <w:rPr>
                <w:color w:val="000000" w:themeColor="text1"/>
                <w:sz w:val="20"/>
                <w:szCs w:val="20"/>
              </w:rPr>
              <w:t>Security appliance</w:t>
            </w:r>
          </w:p>
        </w:tc>
        <w:tc>
          <w:tcPr>
            <w:tcW w:w="3895" w:type="dxa"/>
          </w:tcPr>
          <w:p w14:paraId="3ED7E53A" w14:textId="4643E4AB" w:rsidR="00A30006" w:rsidRDefault="00A30006" w:rsidP="00A30006">
            <w:p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Pr>
                <w:color w:val="000000" w:themeColor="text1"/>
                <w:sz w:val="20"/>
                <w:szCs w:val="20"/>
              </w:rPr>
              <w:t>Intrusion detection appliance</w:t>
            </w:r>
          </w:p>
        </w:tc>
        <w:tc>
          <w:tcPr>
            <w:tcW w:w="3117" w:type="dxa"/>
          </w:tcPr>
          <w:p w14:paraId="15450239" w14:textId="77777777" w:rsidR="00A30006" w:rsidRDefault="00A30006" w:rsidP="005729D2">
            <w:pPr>
              <w:pStyle w:val="ListParagraph"/>
              <w:numPr>
                <w:ilvl w:val="0"/>
                <w:numId w:val="78"/>
              </w:num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Pr>
                <w:color w:val="000000" w:themeColor="text1"/>
                <w:sz w:val="20"/>
                <w:szCs w:val="20"/>
              </w:rPr>
              <w:t xml:space="preserve">Attempting to create a security stack to manage inbound Internet traffic </w:t>
            </w:r>
          </w:p>
          <w:p w14:paraId="7B81BEE7" w14:textId="1372FE1B" w:rsidR="00A30006" w:rsidRDefault="00A30006" w:rsidP="005729D2">
            <w:pPr>
              <w:pStyle w:val="ListParagraph"/>
              <w:numPr>
                <w:ilvl w:val="0"/>
                <w:numId w:val="78"/>
              </w:numPr>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Pr>
                <w:color w:val="000000" w:themeColor="text1"/>
                <w:sz w:val="20"/>
                <w:szCs w:val="20"/>
              </w:rPr>
              <w:t>Advanced security monitoring and mitigation solution is needed</w:t>
            </w:r>
          </w:p>
        </w:tc>
      </w:tr>
    </w:tbl>
    <w:p w14:paraId="08C3A7F5" w14:textId="190EF306" w:rsidR="00965FA3" w:rsidRPr="00CD6D39" w:rsidRDefault="00965FA3" w:rsidP="00907EDE"/>
    <w:p w14:paraId="01C744E8" w14:textId="0799BCB0" w:rsidR="00CD6D39" w:rsidRDefault="00CD6D39" w:rsidP="005729D2">
      <w:pPr>
        <w:pStyle w:val="Heading3Numbered"/>
        <w:numPr>
          <w:ilvl w:val="2"/>
          <w:numId w:val="64"/>
        </w:numPr>
      </w:pPr>
      <w:bookmarkStart w:id="4708" w:name="_Toc422941618"/>
      <w:bookmarkStart w:id="4709" w:name="_Toc423116824"/>
      <w:bookmarkStart w:id="4710" w:name="_Toc423117857"/>
      <w:bookmarkStart w:id="4711" w:name="_Toc423117307"/>
      <w:bookmarkStart w:id="4712" w:name="_Toc431288901"/>
      <w:r>
        <w:t>User Defined Routing</w:t>
      </w:r>
      <w:bookmarkEnd w:id="4708"/>
      <w:bookmarkEnd w:id="4709"/>
      <w:bookmarkEnd w:id="4710"/>
      <w:bookmarkEnd w:id="4711"/>
      <w:bookmarkEnd w:id="4712"/>
    </w:p>
    <w:p w14:paraId="4A9AE9C2" w14:textId="031D894F" w:rsidR="00F8706D" w:rsidRDefault="00B5137F" w:rsidP="00F8706D">
      <w:r>
        <w:t>User</w:t>
      </w:r>
      <w:r w:rsidR="00F8706D">
        <w:t xml:space="preserve"> defined routing allows you to configure and assign routes that override the default implicit system routes, ExpressRoute BGP advertised routes, or the local-site network-defined routes for S2S connections. Configuring a user defined route allows the specification of next-hop definition rules that control traffic flow within a subnet, between subnets, from a subnet through an appliance to another subnet, to the Internet, and to on-premises networks.</w:t>
      </w:r>
    </w:p>
    <w:p w14:paraId="3406A5FF" w14:textId="77777777" w:rsidR="00F8706D" w:rsidRDefault="00F8706D" w:rsidP="00F8706D">
      <w:r>
        <w:t>Configuring user defined routes involves modifying the default routing table. Each entry in the routing table requires a set of information:</w:t>
      </w:r>
    </w:p>
    <w:p w14:paraId="7E1AFE66" w14:textId="77777777" w:rsidR="00F8706D" w:rsidRDefault="00F8706D" w:rsidP="005729D2">
      <w:pPr>
        <w:pStyle w:val="ListParagraph"/>
        <w:numPr>
          <w:ilvl w:val="0"/>
          <w:numId w:val="185"/>
        </w:numPr>
      </w:pPr>
      <w:r>
        <w:t>Destination address CIDR</w:t>
      </w:r>
    </w:p>
    <w:p w14:paraId="6C9E9C4B" w14:textId="77777777" w:rsidR="00F8706D" w:rsidRDefault="00F8706D" w:rsidP="005729D2">
      <w:pPr>
        <w:pStyle w:val="ListParagraph"/>
        <w:numPr>
          <w:ilvl w:val="0"/>
          <w:numId w:val="185"/>
        </w:numPr>
      </w:pPr>
      <w:r>
        <w:t>NextHop type specification: Includes Local, VPN Gateway, Internet, Virtual Appliance, NULL</w:t>
      </w:r>
    </w:p>
    <w:p w14:paraId="1BDED239" w14:textId="77777777" w:rsidR="00F8706D" w:rsidRDefault="00F8706D" w:rsidP="005729D2">
      <w:pPr>
        <w:pStyle w:val="ListParagraph"/>
        <w:numPr>
          <w:ilvl w:val="0"/>
          <w:numId w:val="185"/>
        </w:numPr>
      </w:pPr>
      <w:r>
        <w:t>If the NextHop type is Virtual Appliance, you need the address of the appliance</w:t>
      </w:r>
      <w:r w:rsidRPr="000E5067">
        <w:t xml:space="preserve"> </w:t>
      </w:r>
      <w:r>
        <w:t>network adapter.</w:t>
      </w:r>
    </w:p>
    <w:p w14:paraId="39F80AB9" w14:textId="4E339A9D" w:rsidR="006202E2" w:rsidRDefault="00F8706D" w:rsidP="00F8706D">
      <w:r>
        <w:t>User defined routing is only applied to virtual machines and cloud services in Azure. Placing a virtual appliance and defining user defined routes between on-premises networks and Azure allows you to control the traffic. Any traffic that flows from on-premises networks to Azure is not affected by the user defined routes, and it leverages the system routes and bypasses the virtual appliance</w:t>
      </w:r>
      <w:r w:rsidR="00D42D5E">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3302E0" w14:paraId="29E14F95" w14:textId="77777777" w:rsidTr="003302E0">
        <w:trPr>
          <w:trHeight w:val="423"/>
        </w:trPr>
        <w:tc>
          <w:tcPr>
            <w:tcW w:w="666" w:type="dxa"/>
          </w:tcPr>
          <w:p w14:paraId="784039C6" w14:textId="77777777" w:rsidR="003302E0" w:rsidRDefault="003302E0" w:rsidP="003302E0">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6DAC8BCB" wp14:editId="315BA1DF">
                      <wp:extent cx="200025" cy="180975"/>
                      <wp:effectExtent l="57150" t="19050" r="28575" b="104775"/>
                      <wp:docPr id="37" name="Octagon 37"/>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6C5C5BB" id="Octagon 37"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cwfcQIAAEwFAAAOAAAAZHJzL2Uyb0RvYy54bWysVF9P2zAQf5+072D5faQpMKAiRVUR0yQE&#10;1WDi2XXs1pLj885u0+7T7+ykoWJISNNe7Dvf7/7f+fpm11i2VRgMuIqXJyPOlJNQG7eq+M/nuy+X&#10;nIUoXC0sOFXxvQr8Zvr503XrJ2oMa7C1QkZGXJi0vuLrGP2kKIJcq0aEE/DKkVADNiISi6uiRtGS&#10;9cYW49Hoa9EC1h5BqhDo9bYT8mm2r7WS8VHroCKzFafYYj4xn8t0FtNrMVmh8Gsj+zDEP0TRCOPI&#10;6WDqVkTBNmj+MtUYiRBAxxMJTQFaG6lyDpRNOXqTzdNaeJVzoeIEP5Qp/D+z8mG7QGbqip9ecOZE&#10;Qz16lFGswDF6ofK0PkwI9eQX2HOByJTrTmOTbsqC7XJJ90NJ1S4ySY/Uo9H4nDNJovJydHVxnmwW&#10;r8oeQ/ymoGGJqDh0vnMtxfY+xA59QCV3Aayp74y1mcHVcm6RbQU1eD4nb7mn5OAIVqQcuqgzFfdW&#10;JWXrfihNyVOcZfaYx04N9oSUysVxH3FGJzVNvgfF048Ve3xSVXkkB+Xxx8qDRvYMLg7KjXGA7xmw&#10;sexD1h2eCn6UdyKXUO+p7wjdQgQv7wzV/16EuBBIG0C7QlsdH+nQFlpqTE9xtgb8/d57wtNgkpSz&#10;ljaq4uHXRqDizH53NLJX5dlZWsHMnJ1fjInBY8nyWOI2zRyopyX9H15mMuGjPZAaoXmh5Z8lryQS&#10;TpLvisuIB2Yeu02n70Oq2SzDaO28iPfuyctD19NwPe9eBPp+CCNN7wMctk9M3gxih039cDDbRNAm&#10;T+lrXft608rmUe+/l/QnHPMZ9foJTv8AAAD//wMAUEsDBBQABgAIAAAAIQCft0Tx2wAAAAMBAAAP&#10;AAAAZHJzL2Rvd25yZXYueG1sTI9BS8NAEIXvgv9hGcGb3aTSEtNsiggFD9JgtXjdZqdJaHY27G6b&#10;+O8dvdjLwOM93vumWE+2Fxf0oXOkIJ0lIJBqZzpqFHx+bB4yECFqMrp3hAq+McC6vL0pdG7cSO94&#10;2cVGcAmFXCtoYxxyKUPdotVh5gYk9o7OWx1Z+kYar0cut72cJ8lSWt0RL7R6wJcW69PubBVUp7F6&#10;zarq6ctvlts3b/ep3+6Vur+bnlcgIk7xPwy/+IwOJTMd3JlMEL0CfiT+XfYe0wWIg4J5tgBZFvKa&#10;vfwBAAD//wMAUEsBAi0AFAAGAAgAAAAhALaDOJL+AAAA4QEAABMAAAAAAAAAAAAAAAAAAAAAAFtD&#10;b250ZW50X1R5cGVzXS54bWxQSwECLQAUAAYACAAAACEAOP0h/9YAAACUAQAACwAAAAAAAAAAAAAA&#10;AAAvAQAAX3JlbHMvLnJlbHNQSwECLQAUAAYACAAAACEA4U3MH3ECAABMBQAADgAAAAAAAAAAAAAA&#10;AAAuAgAAZHJzL2Uyb0RvYy54bWxQSwECLQAUAAYACAAAACEAn7dE8dsAAAADAQAADwAAAAAAAAAA&#10;AAAAAADLBAAAZHJzL2Rvd25yZXYueG1sUEsFBgAAAAAEAAQA8wAAANMFAAAAAA==&#10;" fillcolor="#c00" strokecolor="#ed7d31 [3205]" strokeweight=".5pt">
                      <w10:anchorlock/>
                    </v:shape>
                  </w:pict>
                </mc:Fallback>
              </mc:AlternateContent>
            </w:r>
          </w:p>
        </w:tc>
        <w:tc>
          <w:tcPr>
            <w:tcW w:w="8604" w:type="dxa"/>
          </w:tcPr>
          <w:p w14:paraId="52F55C43" w14:textId="0509C26F" w:rsidR="003302E0" w:rsidRDefault="003302E0" w:rsidP="00E20223">
            <w:pPr>
              <w:rPr>
                <w:lang w:eastAsia="en-US"/>
              </w:rPr>
            </w:pPr>
            <w:r w:rsidRPr="00192064">
              <w:rPr>
                <w:b/>
                <w:lang w:eastAsia="en-US"/>
              </w:rPr>
              <w:t>Mandatory</w:t>
            </w:r>
            <w:r>
              <w:rPr>
                <w:lang w:eastAsia="en-US"/>
              </w:rPr>
              <w:t xml:space="preserve">:  </w:t>
            </w:r>
            <w:r w:rsidR="00F8706D">
              <w:rPr>
                <w:lang w:eastAsia="en-US"/>
              </w:rPr>
              <w:t>To leverage user defined routing or a virtual appliance requires that both are implemented</w:t>
            </w:r>
            <w:r>
              <w:rPr>
                <w:lang w:eastAsia="en-US"/>
              </w:rPr>
              <w:t xml:space="preserve">. </w:t>
            </w:r>
          </w:p>
        </w:tc>
      </w:tr>
      <w:tr w:rsidR="003302E0" w14:paraId="51BF3AE0" w14:textId="77777777" w:rsidTr="003302E0">
        <w:trPr>
          <w:trHeight w:val="423"/>
        </w:trPr>
        <w:tc>
          <w:tcPr>
            <w:tcW w:w="666" w:type="dxa"/>
          </w:tcPr>
          <w:p w14:paraId="43B6C76B" w14:textId="77777777" w:rsidR="003302E0" w:rsidRDefault="003302E0" w:rsidP="003302E0">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641856" behindDoc="0" locked="0" layoutInCell="1" allowOverlap="1" wp14:anchorId="1C596769" wp14:editId="235DA5FB">
                      <wp:simplePos x="0" y="0"/>
                      <wp:positionH relativeFrom="column">
                        <wp:posOffset>66675</wp:posOffset>
                      </wp:positionH>
                      <wp:positionV relativeFrom="paragraph">
                        <wp:posOffset>90170</wp:posOffset>
                      </wp:positionV>
                      <wp:extent cx="209550" cy="180975"/>
                      <wp:effectExtent l="57150" t="19050" r="57150" b="104775"/>
                      <wp:wrapNone/>
                      <wp:docPr id="51" name="Isosceles Tri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2D9C750C" id="Isosceles Triangle 51" o:spid="_x0000_s1026" type="#_x0000_t5" style="position:absolute;margin-left:5.25pt;margin-top:7.1pt;width:16.5pt;height:14.2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e/9hgIAAHEFAAAOAAAAZHJzL2Uyb0RvYy54bWysVNtqGzEQfS/0H4Tem127cS6L18E4uARM&#10;EpKUPMtayRbValRJ9tr9+o60l6RpIFC6D0Kzc+Z+RtOrQ63JXjivwJR0dJJTIgyHSplNSb8/Lb9c&#10;UOIDMxXTYERJj8LTq9nnT9PGFmIMW9CVcASdGF80tqTbEGyRZZ5vRc38CVhhUCnB1Syg6DZZ5ViD&#10;3mudjfP8LGvAVdYBF97j3+tWSWfJv5SChzspvQhElxRzC+l06VzHM5tNWbFxzG4V79Jg/5BFzZTB&#10;oIOraxYY2Tn1l6tacQceZDjhUGcgpeIi1YDVjPI31TxumRWpFmyOt0Ob/P9zy2/3946oqqSTESWG&#10;1TijGw+eCy08eXKKmY0WBJXYqcb6Ag0e7b2LtXq7Av7DoyL7QxMF32EO0tURi5WSQ2r7cWi7OATC&#10;8ec4v5xMcDgcVaOL/PJ8EoNlrOiNrfPhm4CaxEtJQ5dVajjbr3xo4T0s5QZaVUuldRLcZr3QjuwZ&#10;smCJX54GjxH8CyzV0KadCghHLaKxNg9CYocw0VGKmLgpBn+Mc2HCWZdyQkczibEHw68fG3b4aCoS&#10;bwfj8cfGg0WKDCYMxrUy4N5zoEMaKfZAtvhuir6tO7ZgDdURyeGg3Rpv+VLhAFbMh3vmcE1wZrj6&#10;4Q4PqaEpKXQ3Srbgfr33P+KRvailpMG1K6n/uWNOUKJvDPL6cnR6Gvc0CaeT8zEK7rVm/VpjdvUC&#10;cKZIXcwuXSM+6P4qHdTP+ELMY1RUMcMxdkl5cL2wCO1zgG8MF/N5guFuWhZW5tHyfuqRXE+HZ+Zs&#10;z0Kk7y30K8qKN0RssXEeBua7AFIllr70tes37nXievcGxYfjtZxQLy/l7DcAAAD//wMAUEsDBBQA&#10;BgAIAAAAIQA1PEIw2QAAAAcBAAAPAAAAZHJzL2Rvd25yZXYueG1sTI7NTsMwEITvSLyDtUhcUOuQ&#10;hrYKcSqEkiOqKDyAE29+hL2OYrcNb89ygtNoNKOZrzgszooLzmH0pOBxnYBAar0ZqVfw+VGv9iBC&#10;1GS09YQKvjHAoby9KXRu/JXe8XKKveARCrlWMMQ45VKGdkCnw9pPSJx1fnY6sp17aWZ95XFnZZok&#10;W+n0SPww6AlfB2y/TmenwDfLsdvUu/1D7Sb71lVV5o6VUvd3y8sziIhL/CvDLz6jQ8lMjT+TCcKy&#10;T564yZqlIDjPNuwb1nQHsizkf/7yBwAA//8DAFBLAQItABQABgAIAAAAIQC2gziS/gAAAOEBAAAT&#10;AAAAAAAAAAAAAAAAAAAAAABbQ29udGVudF9UeXBlc10ueG1sUEsBAi0AFAAGAAgAAAAhADj9If/W&#10;AAAAlAEAAAsAAAAAAAAAAAAAAAAALwEAAF9yZWxzLy5yZWxzUEsBAi0AFAAGAAgAAAAhAOCl7/2G&#10;AgAAcQUAAA4AAAAAAAAAAAAAAAAALgIAAGRycy9lMm9Eb2MueG1sUEsBAi0AFAAGAAgAAAAhADU8&#10;QjDZAAAABwEAAA8AAAAAAAAAAAAAAAAA4AQAAGRycy9kb3ducmV2LnhtbFBLBQYAAAAABAAEAPMA&#10;AADmBQAAAAA=&#10;" fillcolor="yellow" strokecolor="#70ad47 [3209]" strokeweight=".5pt">
                      <v:path arrowok="t"/>
                    </v:shape>
                  </w:pict>
                </mc:Fallback>
              </mc:AlternateContent>
            </w:r>
          </w:p>
        </w:tc>
        <w:tc>
          <w:tcPr>
            <w:tcW w:w="8604" w:type="dxa"/>
          </w:tcPr>
          <w:p w14:paraId="156E486C" w14:textId="77777777" w:rsidR="00E20223" w:rsidRDefault="003302E0" w:rsidP="003302E0">
            <w:pPr>
              <w:rPr>
                <w:rFonts w:eastAsiaTheme="minorHAnsi"/>
                <w:lang w:eastAsia="en-US"/>
              </w:rPr>
            </w:pPr>
            <w:r>
              <w:rPr>
                <w:rFonts w:eastAsiaTheme="minorHAnsi"/>
                <w:b/>
                <w:lang w:eastAsia="en-US"/>
              </w:rPr>
              <w:t xml:space="preserve">Recommended: </w:t>
            </w:r>
            <w:r>
              <w:rPr>
                <w:rFonts w:eastAsiaTheme="minorHAnsi"/>
                <w:lang w:eastAsia="en-US"/>
              </w:rPr>
              <w:t xml:space="preserve"> </w:t>
            </w:r>
          </w:p>
          <w:p w14:paraId="1E09F0BE" w14:textId="1675BBD8" w:rsidR="003302E0" w:rsidRPr="00E20223" w:rsidRDefault="00F8706D" w:rsidP="005729D2">
            <w:pPr>
              <w:pStyle w:val="ListParagraph"/>
              <w:numPr>
                <w:ilvl w:val="0"/>
                <w:numId w:val="244"/>
              </w:numPr>
              <w:rPr>
                <w:rFonts w:eastAsiaTheme="minorHAnsi"/>
                <w:lang w:eastAsia="en-US"/>
              </w:rPr>
            </w:pPr>
            <w:r>
              <w:rPr>
                <w:rFonts w:eastAsiaTheme="minorHAnsi"/>
                <w:lang w:eastAsia="en-US"/>
              </w:rPr>
              <w:t>Ensure that any user defined routes are more specific than ExpressRoute BGP routes or local site network routes; otherwise, they will not be used</w:t>
            </w:r>
            <w:r w:rsidR="003302E0" w:rsidRPr="00E20223">
              <w:rPr>
                <w:rFonts w:eastAsiaTheme="minorHAnsi"/>
                <w:lang w:eastAsia="en-US"/>
              </w:rPr>
              <w:t xml:space="preserve">. </w:t>
            </w:r>
          </w:p>
          <w:p w14:paraId="560D27DD" w14:textId="485EBC61" w:rsidR="00E20223" w:rsidRPr="00E20223" w:rsidRDefault="00E20223" w:rsidP="005729D2">
            <w:pPr>
              <w:pStyle w:val="ListParagraph"/>
              <w:numPr>
                <w:ilvl w:val="0"/>
                <w:numId w:val="244"/>
              </w:numPr>
              <w:rPr>
                <w:rFonts w:eastAsiaTheme="minorHAnsi"/>
                <w:lang w:eastAsia="en-US"/>
              </w:rPr>
            </w:pPr>
            <w:r w:rsidRPr="00E20223">
              <w:rPr>
                <w:rFonts w:eastAsiaTheme="minorHAnsi"/>
                <w:lang w:eastAsia="en-US"/>
              </w:rPr>
              <w:t>CSP</w:t>
            </w:r>
            <w:r>
              <w:rPr>
                <w:rFonts w:eastAsiaTheme="minorHAnsi"/>
                <w:lang w:eastAsia="en-US"/>
              </w:rPr>
              <w:t xml:space="preserve"> scenarios should leverage user defined routing to control customer traffic is required</w:t>
            </w:r>
          </w:p>
        </w:tc>
      </w:tr>
    </w:tbl>
    <w:p w14:paraId="5A96EBA2" w14:textId="7283DD32" w:rsidR="00F562BA" w:rsidRDefault="00F562BA" w:rsidP="0095125E">
      <w:pPr>
        <w:pStyle w:val="Style2"/>
      </w:pPr>
      <w:r>
        <w:t>Route Table Design Considerations</w:t>
      </w:r>
    </w:p>
    <w:p w14:paraId="2C14988C" w14:textId="033F259F" w:rsidR="00F562BA" w:rsidRDefault="00F562BA" w:rsidP="00F562BA">
      <w:r>
        <w:t>While</w:t>
      </w:r>
      <w:r w:rsidR="00F8706D">
        <w:t xml:space="preserve"> you can have multiple route tables defined, a subnet can only have a single route table associated with it. A single route table can be associated to multiple subnets. All virtual machines and cloud services connected to a subnet are affected by the route table decisions</w:t>
      </w:r>
      <w:r>
        <w:t>.</w:t>
      </w:r>
    </w:p>
    <w:p w14:paraId="668F188C" w14:textId="074FFF19" w:rsidR="0095125E" w:rsidRDefault="00F8706D" w:rsidP="0095125E">
      <w:pPr>
        <w:pStyle w:val="Style2"/>
      </w:pPr>
      <w:r>
        <w:t>Default R</w:t>
      </w:r>
      <w:r w:rsidR="0095125E">
        <w:t xml:space="preserve">outing in a </w:t>
      </w:r>
      <w:r w:rsidR="000B1948">
        <w:t>S</w:t>
      </w:r>
      <w:r w:rsidR="0095125E">
        <w:t>ubnet</w:t>
      </w:r>
    </w:p>
    <w:p w14:paraId="214CB738" w14:textId="16EB73DB" w:rsidR="00F8706D" w:rsidRDefault="0095125E" w:rsidP="00F8706D">
      <w:r>
        <w:t>Routing</w:t>
      </w:r>
      <w:r w:rsidR="00F8706D">
        <w:t xml:space="preserve"> of traffic from a virtual machine is accomplished by using implicit system routing via a distributed router that is implemented at the virtual network level. Every packet follows a set of implicit routes that are implemented at the host level. These routes control the flow of traffic within the virtual network to on-premises networks (if enabled), and to the Internet. Traffic flow to the Internet is achieved through NAT by the host.</w:t>
      </w:r>
    </w:p>
    <w:p w14:paraId="682C81EB" w14:textId="171D9A3D" w:rsidR="0095125E" w:rsidRPr="00A828F6" w:rsidRDefault="00F8706D" w:rsidP="00F8706D">
      <w:r>
        <w:t>The following diagram shows the implicit routing rules that a virtual machine follows by default without any user defined routing</w:t>
      </w:r>
      <w:r w:rsidR="0095125E">
        <w:t>.</w:t>
      </w:r>
    </w:p>
    <w:p w14:paraId="0E81066A" w14:textId="77777777" w:rsidR="0095125E" w:rsidRPr="00A828F6" w:rsidRDefault="0095125E" w:rsidP="0095125E">
      <w:r>
        <w:rPr>
          <w:noProof/>
        </w:rPr>
        <w:drawing>
          <wp:inline distT="0" distB="0" distL="0" distR="0" wp14:anchorId="1F62338D" wp14:editId="5AB549FA">
            <wp:extent cx="5943600" cy="26187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9"/>
                    <a:stretch>
                      <a:fillRect/>
                    </a:stretch>
                  </pic:blipFill>
                  <pic:spPr>
                    <a:xfrm>
                      <a:off x="0" y="0"/>
                      <a:ext cx="5943600" cy="2618740"/>
                    </a:xfrm>
                    <a:prstGeom prst="rect">
                      <a:avLst/>
                    </a:prstGeom>
                  </pic:spPr>
                </pic:pic>
              </a:graphicData>
            </a:graphic>
          </wp:inline>
        </w:drawing>
      </w:r>
    </w:p>
    <w:p w14:paraId="2FC2FDF4" w14:textId="77777777" w:rsidR="00966DD0" w:rsidRDefault="00966DD0" w:rsidP="0095125E"/>
    <w:p w14:paraId="4E3D34C9" w14:textId="77777777" w:rsidR="00F8706D" w:rsidRDefault="00F8706D" w:rsidP="00F8706D">
      <w:r>
        <w:t>The following rules are applied to the packet in this scenario:</w:t>
      </w:r>
    </w:p>
    <w:p w14:paraId="1D1EE10F" w14:textId="77777777" w:rsidR="00F8706D" w:rsidRDefault="00F8706D" w:rsidP="005729D2">
      <w:pPr>
        <w:pStyle w:val="ListParagraph"/>
        <w:numPr>
          <w:ilvl w:val="0"/>
          <w:numId w:val="183"/>
        </w:numPr>
      </w:pPr>
      <w:r>
        <w:t>If the address is within the virtual network address prefix, route to the local virtual network.</w:t>
      </w:r>
    </w:p>
    <w:p w14:paraId="44ACAE5A" w14:textId="77777777" w:rsidR="00F8706D" w:rsidRDefault="00F8706D" w:rsidP="005729D2">
      <w:pPr>
        <w:pStyle w:val="ListParagraph"/>
        <w:numPr>
          <w:ilvl w:val="0"/>
          <w:numId w:val="183"/>
        </w:numPr>
      </w:pPr>
      <w:r>
        <w:t>If the address is within the on-premises address prefixes or BGP published routes (BGP or local site network for S2S), route to the gateway.</w:t>
      </w:r>
    </w:p>
    <w:p w14:paraId="2FA98B7D" w14:textId="77777777" w:rsidR="00F8706D" w:rsidRDefault="00F8706D" w:rsidP="005729D2">
      <w:pPr>
        <w:pStyle w:val="ListParagraph"/>
        <w:numPr>
          <w:ilvl w:val="0"/>
          <w:numId w:val="183"/>
        </w:numPr>
      </w:pPr>
      <w:r>
        <w:t>If the address is not part of the virtual network, BGP, or local site network routes, route to Internet via NAT.</w:t>
      </w:r>
    </w:p>
    <w:p w14:paraId="1658F741" w14:textId="77777777" w:rsidR="00F8706D" w:rsidRDefault="00F8706D" w:rsidP="005729D2">
      <w:pPr>
        <w:pStyle w:val="ListParagraph"/>
        <w:numPr>
          <w:ilvl w:val="0"/>
          <w:numId w:val="183"/>
        </w:numPr>
      </w:pPr>
      <w:r>
        <w:t>If the destination is an Azure datacenter address and ExpressRoute public peering is enabled, it is routed to the gateway because the gateway has the Azure datacenter address via BGP.</w:t>
      </w:r>
    </w:p>
    <w:p w14:paraId="245BD11C" w14:textId="6E123EF8" w:rsidR="00966DD0" w:rsidRDefault="00F8706D" w:rsidP="005729D2">
      <w:pPr>
        <w:pStyle w:val="ListParagraph"/>
        <w:numPr>
          <w:ilvl w:val="0"/>
          <w:numId w:val="183"/>
        </w:numPr>
      </w:pPr>
      <w:r>
        <w:t>If the destination is an Azure datacenter with S2S or ExpressRoute without public peering enabled, it is routed to the host NAT for the Internet path, but it never leaves the datacenter</w:t>
      </w:r>
    </w:p>
    <w:p w14:paraId="47291BBA" w14:textId="0A4C5C9B" w:rsidR="0095125E" w:rsidRDefault="00966DD0" w:rsidP="0095125E">
      <w:pPr>
        <w:pStyle w:val="Style2"/>
      </w:pPr>
      <w:r>
        <w:t xml:space="preserve">Routing </w:t>
      </w:r>
      <w:r w:rsidR="000B1948">
        <w:t>Changes introduced by U</w:t>
      </w:r>
      <w:r>
        <w:t xml:space="preserve">ser </w:t>
      </w:r>
      <w:r w:rsidR="000B1948">
        <w:t>D</w:t>
      </w:r>
      <w:r>
        <w:t xml:space="preserve">efined </w:t>
      </w:r>
      <w:r w:rsidR="000B1948">
        <w:t>R</w:t>
      </w:r>
      <w:r>
        <w:t xml:space="preserve">outing and </w:t>
      </w:r>
      <w:r w:rsidR="000B1948">
        <w:t>V</w:t>
      </w:r>
      <w:r>
        <w:t xml:space="preserve">irtual </w:t>
      </w:r>
      <w:r w:rsidR="000B1948">
        <w:t>A</w:t>
      </w:r>
      <w:r>
        <w:t>ppliance</w:t>
      </w:r>
      <w:r w:rsidR="000B1948">
        <w:t>s</w:t>
      </w:r>
    </w:p>
    <w:p w14:paraId="5D28B4A3" w14:textId="7C059DC1" w:rsidR="00F8706D" w:rsidRDefault="00966DD0" w:rsidP="00F8706D">
      <w:r>
        <w:t>When</w:t>
      </w:r>
      <w:r w:rsidR="00F8706D">
        <w:t xml:space="preserve"> a network firewall virtual appliance is introduced to the scenario, user defined routing must be configured to control the traffic routing through the appliance. Without user defined routing, no traffic will flow through the appliance.</w:t>
      </w:r>
    </w:p>
    <w:p w14:paraId="34E2D409" w14:textId="7DA6BBD6" w:rsidR="00966DD0" w:rsidRDefault="00F8706D" w:rsidP="00F8706D">
      <w:r>
        <w:t>The following diagram shows a virtual appliance inserted into the scenario to control traffic routing to the Internet via front-end and back-end subnets in Azure</w:t>
      </w:r>
      <w:r w:rsidR="00966DD0">
        <w:t>:</w:t>
      </w:r>
    </w:p>
    <w:p w14:paraId="5FE791B4" w14:textId="74F6C41C" w:rsidR="00966DD0" w:rsidRDefault="00966DD0" w:rsidP="00907EDE">
      <w:r>
        <w:rPr>
          <w:noProof/>
        </w:rPr>
        <w:drawing>
          <wp:inline distT="0" distB="0" distL="0" distR="0" wp14:anchorId="3CB9D261" wp14:editId="77E3D3B5">
            <wp:extent cx="5943600" cy="257619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5943600" cy="2576195"/>
                    </a:xfrm>
                    <a:prstGeom prst="rect">
                      <a:avLst/>
                    </a:prstGeom>
                  </pic:spPr>
                </pic:pic>
              </a:graphicData>
            </a:graphic>
          </wp:inline>
        </w:drawing>
      </w:r>
    </w:p>
    <w:p w14:paraId="08CB2929" w14:textId="77777777" w:rsidR="00966DD0" w:rsidRDefault="00966DD0" w:rsidP="00907EDE"/>
    <w:p w14:paraId="7BE662A0" w14:textId="77777777" w:rsidR="00CD7B41" w:rsidRDefault="00CD7B41" w:rsidP="00CD7B41">
      <w:r>
        <w:t>The following rules are applied to the packet in this scenario:</w:t>
      </w:r>
    </w:p>
    <w:p w14:paraId="506294A0" w14:textId="77777777" w:rsidR="00CD7B41" w:rsidRDefault="00CD7B41" w:rsidP="005729D2">
      <w:pPr>
        <w:pStyle w:val="ListParagraph"/>
        <w:numPr>
          <w:ilvl w:val="0"/>
          <w:numId w:val="184"/>
        </w:numPr>
      </w:pPr>
      <w:r>
        <w:t>If the user-defined routing is defined with NextHop Local routing, route to a virtual machine in the virtual network, based on address.</w:t>
      </w:r>
    </w:p>
    <w:p w14:paraId="70ECABBE" w14:textId="77777777" w:rsidR="00CD7B41" w:rsidRDefault="00CD7B41" w:rsidP="005729D2">
      <w:pPr>
        <w:pStyle w:val="ListParagraph"/>
        <w:numPr>
          <w:ilvl w:val="0"/>
          <w:numId w:val="184"/>
        </w:numPr>
      </w:pPr>
      <w:r>
        <w:t>If the user-defined routing is defined with NextHop VPN Gateway routing, route to a machine on-premises, based on address.</w:t>
      </w:r>
    </w:p>
    <w:p w14:paraId="42858E43" w14:textId="77777777" w:rsidR="00CD7B41" w:rsidRDefault="00CD7B41" w:rsidP="005729D2">
      <w:pPr>
        <w:pStyle w:val="ListParagraph"/>
        <w:numPr>
          <w:ilvl w:val="0"/>
          <w:numId w:val="184"/>
        </w:numPr>
      </w:pPr>
      <w:r>
        <w:t>If the user-defined routing is defined with NextHop Appliance routing, route to the virtual appliance, based on address.</w:t>
      </w:r>
    </w:p>
    <w:p w14:paraId="3EAA2833" w14:textId="18AF6C18" w:rsidR="00966DD0" w:rsidRDefault="00CD7B41" w:rsidP="005729D2">
      <w:pPr>
        <w:pStyle w:val="ListParagraph"/>
        <w:numPr>
          <w:ilvl w:val="0"/>
          <w:numId w:val="184"/>
        </w:numPr>
      </w:pPr>
      <w:r>
        <w:t>If the user-defined routing is defined with NextHop Internet routing, route to the Internet over the host NAT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977D4E" w14:paraId="42157242" w14:textId="77777777" w:rsidTr="00B60808">
        <w:trPr>
          <w:trHeight w:val="423"/>
        </w:trPr>
        <w:tc>
          <w:tcPr>
            <w:tcW w:w="666" w:type="dxa"/>
          </w:tcPr>
          <w:p w14:paraId="2B5CEEBB" w14:textId="77777777" w:rsidR="00977D4E" w:rsidRDefault="00977D4E" w:rsidP="00B60808">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4BCD33F4" wp14:editId="7A3DC96D">
                      <wp:extent cx="200025" cy="180975"/>
                      <wp:effectExtent l="57150" t="19050" r="28575" b="104775"/>
                      <wp:docPr id="180" name="Octagon 180"/>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EDF93C1" id="Octagon 180"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3rMcAIAAE4FAAAOAAAAZHJzL2Uyb0RvYy54bWysVF9rGzEMfx/sOxi/r5dk7daGXkpI6RiU&#10;tqwdfXZ8dmKwLU92csk+/WTf5Rq6QmHsxZasn/5LvrzaOcu2CqMBX/PxyYgz5SU0xq9q/vPp5tM5&#10;ZzEJ3wgLXtV8ryK/mn38cNmGqZrAGmyjkJERH6dtqPk6pTCtqijXyol4AkF5EmpAJxKxuKoaFC1Z&#10;d7aajEZfqhawCQhSxUiv152Qz4p9rZVM91pHlZitOcWWyonlXOazml2K6QpFWBvZhyH+IQonjCen&#10;g6lrkQTboPnLlDMSIYJOJxJcBVobqUoOlM149Cqbx7UIquRCxYlhKFP8f2bl3fYBmWmod+dUHy8c&#10;NeleJrECz/ITFagNcUq4x/CAPReJzNnuNLp8Ux5sV4q6H4qqdolJeqQujSZnnEkSkcGLr2fZZvWi&#10;HDCmbwocy0TNoXNeqim2tzF16AMqu4tgTXNjrC0MrpYLi2wrqMWLBXkrQZODI1iVc+iiLlTaW5WV&#10;rf+hNKVPcY6LxzJ4arAnpFQ+TfqICzqrafI9KH5+X7HHZ1VVhnJQnryvPGgUz+DToOyMB3zLgE3j&#10;PmTd4angR3lncgnNnjqP0K1EDPLGUP1vRUwPAmkHaBpor9M9HdpCS43pKc7WgL/fes94Gk2SctbS&#10;TtU8/toIVJzZ756G9mJ8epqXsDCnZ18nxOCxZHks8Ru3AOrpmH6QIAuZ8ckeSI3gnmn959kriYSX&#10;5LvmMuGBWaRu1+kDkWo+LzBavCDSrX8M8tD1PFxPu2eBoR/CRNN7B4f9E9NXg9hhcz88zDcJtClT&#10;+lLXvt60tGXU+w8m/wrHfEG9fIOzPwAAAP//AwBQSwMEFAAGAAgAAAAhAJ+3RPHbAAAAAwEAAA8A&#10;AABkcnMvZG93bnJldi54bWxMj0FLw0AQhe+C/2EZwZvdpNIS02yKCAUP0mC1eN1mp0lodjbsbpv4&#10;7x292MvA4z3e+6ZYT7YXF/Shc6QgnSUgkGpnOmoUfH5sHjIQIWoyuneECr4xwLq8vSl0btxI73jZ&#10;xUZwCYVcK2hjHHIpQ92i1WHmBiT2js5bHVn6RhqvRy63vZwnyVJa3REvtHrAlxbr0+5sFVSnsXrN&#10;qurpy2+W2zdv96nf7pW6v5ueVyAiTvE/DL/4jA4lMx3cmUwQvQJ+JP5d9h7TBYiDgnm2AFkW8pq9&#10;/AEAAP//AwBQSwECLQAUAAYACAAAACEAtoM4kv4AAADhAQAAEwAAAAAAAAAAAAAAAAAAAAAAW0Nv&#10;bnRlbnRfVHlwZXNdLnhtbFBLAQItABQABgAIAAAAIQA4/SH/1gAAAJQBAAALAAAAAAAAAAAAAAAA&#10;AC8BAABfcmVscy8ucmVsc1BLAQItABQABgAIAAAAIQAod3rMcAIAAE4FAAAOAAAAAAAAAAAAAAAA&#10;AC4CAABkcnMvZTJvRG9jLnhtbFBLAQItABQABgAIAAAAIQCft0Tx2wAAAAMBAAAPAAAAAAAAAAAA&#10;AAAAAMoEAABkcnMvZG93bnJldi54bWxQSwUGAAAAAAQABADzAAAA0gUAAAAA&#10;" fillcolor="#c00" strokecolor="#ed7d31 [3205]" strokeweight=".5pt">
                      <w10:anchorlock/>
                    </v:shape>
                  </w:pict>
                </mc:Fallback>
              </mc:AlternateContent>
            </w:r>
          </w:p>
        </w:tc>
        <w:tc>
          <w:tcPr>
            <w:tcW w:w="8604" w:type="dxa"/>
          </w:tcPr>
          <w:p w14:paraId="273F4A63" w14:textId="032A4E1F" w:rsidR="00977D4E" w:rsidRDefault="00977D4E" w:rsidP="00977D4E">
            <w:pPr>
              <w:rPr>
                <w:lang w:eastAsia="en-US"/>
              </w:rPr>
            </w:pPr>
            <w:r w:rsidRPr="00192064">
              <w:rPr>
                <w:b/>
                <w:lang w:eastAsia="en-US"/>
              </w:rPr>
              <w:t>Mandatory</w:t>
            </w:r>
            <w:r>
              <w:rPr>
                <w:lang w:eastAsia="en-US"/>
              </w:rPr>
              <w:t xml:space="preserve">:  </w:t>
            </w:r>
            <w:r>
              <w:t>For CSP scenarios where the provider attempts to leverage a single VPN device to connect multiple customers to Azure, user defined routing is required to maintain proper traffic separation and flow.</w:t>
            </w:r>
            <w:r>
              <w:rPr>
                <w:lang w:eastAsia="en-US"/>
              </w:rPr>
              <w:t xml:space="preserve"> </w:t>
            </w:r>
          </w:p>
        </w:tc>
      </w:tr>
    </w:tbl>
    <w:p w14:paraId="4F715E9B" w14:textId="77777777" w:rsidR="00977D4E" w:rsidRDefault="00977D4E" w:rsidP="00E20223"/>
    <w:p w14:paraId="662B2BF4" w14:textId="451B921D" w:rsidR="0065033C" w:rsidRDefault="0065033C" w:rsidP="00E20223"/>
    <w:tbl>
      <w:tblPr>
        <w:tblStyle w:val="PlainTable11"/>
        <w:tblW w:w="0" w:type="auto"/>
        <w:tblLook w:val="04A0" w:firstRow="1" w:lastRow="0" w:firstColumn="1" w:lastColumn="0" w:noHBand="0" w:noVBand="1"/>
      </w:tblPr>
      <w:tblGrid>
        <w:gridCol w:w="3415"/>
        <w:gridCol w:w="5935"/>
      </w:tblGrid>
      <w:tr w:rsidR="0065033C" w14:paraId="1A720227" w14:textId="77777777" w:rsidTr="004D610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38F497D8" w14:textId="77777777" w:rsidR="0065033C" w:rsidRPr="00F47607" w:rsidRDefault="0065033C" w:rsidP="004D610B">
            <w:pPr>
              <w:spacing w:line="240" w:lineRule="auto"/>
              <w:rPr>
                <w:color w:val="FFFFFF"/>
              </w:rPr>
            </w:pPr>
            <w:r>
              <w:rPr>
                <w:color w:val="FFFFFF"/>
              </w:rPr>
              <w:t>Feature References</w:t>
            </w:r>
          </w:p>
        </w:tc>
      </w:tr>
      <w:tr w:rsidR="0065033C" w:rsidRPr="00E45C98" w14:paraId="245695B6" w14:textId="77777777" w:rsidTr="004D61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22C94CFD" w14:textId="264FC162" w:rsidR="0065033C" w:rsidRPr="00E45C98" w:rsidRDefault="0065033C" w:rsidP="004D610B">
            <w:pPr>
              <w:spacing w:line="240" w:lineRule="auto"/>
              <w:rPr>
                <w:sz w:val="20"/>
                <w:szCs w:val="20"/>
              </w:rPr>
            </w:pPr>
            <w:r>
              <w:rPr>
                <w:sz w:val="20"/>
                <w:szCs w:val="20"/>
              </w:rPr>
              <w:t>User Defined Routing</w:t>
            </w:r>
          </w:p>
        </w:tc>
        <w:tc>
          <w:tcPr>
            <w:tcW w:w="5940" w:type="dxa"/>
          </w:tcPr>
          <w:p w14:paraId="1F9B4FF1" w14:textId="54120D31" w:rsidR="0065033C" w:rsidRPr="0065033C" w:rsidRDefault="00872E47" w:rsidP="004D610B">
            <w:pPr>
              <w:cnfStyle w:val="000000100000" w:firstRow="0" w:lastRow="0" w:firstColumn="0" w:lastColumn="0" w:oddVBand="0" w:evenVBand="0" w:oddHBand="1" w:evenHBand="0" w:firstRowFirstColumn="0" w:firstRowLastColumn="0" w:lastRowFirstColumn="0" w:lastRowLastColumn="0"/>
              <w:rPr>
                <w:sz w:val="20"/>
                <w:szCs w:val="20"/>
              </w:rPr>
            </w:pPr>
            <w:hyperlink r:id="rId411" w:history="1">
              <w:r w:rsidR="00CD7B41" w:rsidRPr="0039126D">
                <w:rPr>
                  <w:rStyle w:val="Hyperlink"/>
                  <w:sz w:val="20"/>
                </w:rPr>
                <w:t>https://azure.microsoft.com/en-us/documentation/articles/virtual-networks-udr-overview/</w:t>
              </w:r>
            </w:hyperlink>
            <w:r w:rsidR="00CD7B41">
              <w:rPr>
                <w:sz w:val="20"/>
              </w:rPr>
              <w:t xml:space="preserve"> </w:t>
            </w:r>
          </w:p>
        </w:tc>
      </w:tr>
    </w:tbl>
    <w:p w14:paraId="4286D6A6" w14:textId="77777777" w:rsidR="0065033C" w:rsidRPr="00CD0FB7" w:rsidRDefault="0065033C" w:rsidP="00907EDE"/>
    <w:p w14:paraId="6C2F171B" w14:textId="77777777" w:rsidR="006B29E9" w:rsidRDefault="006B29E9" w:rsidP="005729D2">
      <w:pPr>
        <w:pStyle w:val="Heading3Numbered"/>
        <w:numPr>
          <w:ilvl w:val="2"/>
          <w:numId w:val="64"/>
        </w:numPr>
      </w:pPr>
      <w:bookmarkStart w:id="4713" w:name="_Toc422941619"/>
      <w:bookmarkStart w:id="4714" w:name="_Toc423116825"/>
      <w:bookmarkStart w:id="4715" w:name="_Toc423117858"/>
      <w:bookmarkStart w:id="4716" w:name="_Toc423117308"/>
      <w:bookmarkStart w:id="4717" w:name="_Toc431288902"/>
      <w:r>
        <w:t>Network Security Groups</w:t>
      </w:r>
      <w:bookmarkEnd w:id="4651"/>
      <w:bookmarkEnd w:id="4652"/>
      <w:bookmarkEnd w:id="4653"/>
      <w:bookmarkEnd w:id="4654"/>
      <w:bookmarkEnd w:id="4655"/>
      <w:bookmarkEnd w:id="4656"/>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13"/>
      <w:bookmarkEnd w:id="4714"/>
      <w:bookmarkEnd w:id="4715"/>
      <w:bookmarkEnd w:id="4716"/>
      <w:bookmarkEnd w:id="4717"/>
    </w:p>
    <w:p w14:paraId="4FD52D85" w14:textId="26F0AD8F" w:rsidR="006D2BC2" w:rsidRDefault="0005161F" w:rsidP="006D2BC2">
      <w:r w:rsidRPr="0005161F">
        <w:t>A</w:t>
      </w:r>
      <w:r w:rsidR="006D2BC2" w:rsidRPr="0005161F">
        <w:t xml:space="preserve"> </w:t>
      </w:r>
      <w:r w:rsidR="006D2BC2" w:rsidRPr="00E33F7E">
        <w:t xml:space="preserve">Network Security Group </w:t>
      </w:r>
      <w:r w:rsidR="006D2BC2" w:rsidRPr="0005161F">
        <w:t>is a top</w:t>
      </w:r>
      <w:r w:rsidR="006D2BC2">
        <w:t>-</w:t>
      </w:r>
      <w:r w:rsidR="006D2BC2" w:rsidRPr="0005161F">
        <w:t xml:space="preserve">level object that is associated </w:t>
      </w:r>
      <w:r w:rsidR="006D2BC2">
        <w:t>with</w:t>
      </w:r>
      <w:r w:rsidR="006D2BC2" w:rsidRPr="0005161F">
        <w:t xml:space="preserve"> your subscription. It can be used to control traffic to one or more </w:t>
      </w:r>
      <w:r w:rsidR="006D2BC2">
        <w:t>virtual machine</w:t>
      </w:r>
      <w:r w:rsidR="006D2BC2" w:rsidRPr="0005161F">
        <w:t xml:space="preserve"> instances in your </w:t>
      </w:r>
      <w:r w:rsidR="006D2BC2">
        <w:t>virtual n</w:t>
      </w:r>
      <w:r w:rsidR="006D2BC2" w:rsidRPr="0005161F">
        <w:t xml:space="preserve">etwork. A </w:t>
      </w:r>
      <w:r w:rsidR="006D2BC2">
        <w:t>Network Security Group</w:t>
      </w:r>
      <w:r w:rsidR="006D2BC2" w:rsidRPr="0005161F">
        <w:t xml:space="preserve"> contains access control rules that allow or deny traffic to </w:t>
      </w:r>
      <w:r w:rsidR="006D2BC2">
        <w:t>virtual machine</w:t>
      </w:r>
      <w:r w:rsidR="006D2BC2" w:rsidRPr="0005161F">
        <w:t xml:space="preserve"> instances. The rules of a </w:t>
      </w:r>
      <w:r w:rsidR="006D2BC2">
        <w:t>Network Security Group</w:t>
      </w:r>
      <w:r w:rsidR="006D2BC2" w:rsidRPr="0005161F">
        <w:t xml:space="preserve"> can be changed at any time, and changes are applied to all associated instances. </w:t>
      </w:r>
    </w:p>
    <w:p w14:paraId="40402BCC" w14:textId="77777777" w:rsidR="006D2BC2" w:rsidRDefault="006D2BC2" w:rsidP="006D2BC2">
      <w:r w:rsidRPr="0005161F">
        <w:t xml:space="preserve">A </w:t>
      </w:r>
      <w:r>
        <w:t>Network Security Group</w:t>
      </w:r>
      <w:r w:rsidRPr="0005161F">
        <w:t xml:space="preserve"> requires a regional </w:t>
      </w:r>
      <w:r>
        <w:t>virtual network</w:t>
      </w:r>
      <w:r w:rsidRPr="0005161F">
        <w:t xml:space="preserve">. </w:t>
      </w:r>
      <w:r>
        <w:t>Network Security Group</w:t>
      </w:r>
      <w:r w:rsidRPr="0005161F">
        <w:t xml:space="preserve">s are not compatible with </w:t>
      </w:r>
      <w:r>
        <w:t>virtual networks</w:t>
      </w:r>
      <w:r w:rsidRPr="0005161F">
        <w:t xml:space="preserve"> that are associated with an affinity group.</w:t>
      </w:r>
      <w:r>
        <w:t xml:space="preserve"> </w:t>
      </w:r>
    </w:p>
    <w:p w14:paraId="78DCFAD6" w14:textId="77777777" w:rsidR="006D2BC2" w:rsidRDefault="006D2BC2" w:rsidP="006D2BC2">
      <w:r w:rsidRPr="00E33F7E">
        <w:t xml:space="preserve">Network Security Groups </w:t>
      </w:r>
      <w:r>
        <w:t xml:space="preserve">are similar to firewall rules in that they provide the ability </w:t>
      </w:r>
      <w:r w:rsidRPr="00E33F7E">
        <w:t>to control the inbound and outbound traffic to a subnet</w:t>
      </w:r>
      <w:r>
        <w:t>,</w:t>
      </w:r>
      <w:r w:rsidRPr="00E33F7E">
        <w:t xml:space="preserve"> a virtual machine</w:t>
      </w:r>
      <w:r>
        <w:t>, or virtual network adapter</w:t>
      </w:r>
      <w:r w:rsidRPr="00E33F7E">
        <w:t xml:space="preserve">. </w:t>
      </w:r>
    </w:p>
    <w:p w14:paraId="508FD9C1" w14:textId="77777777" w:rsidR="006D2BC2" w:rsidRDefault="006D2BC2" w:rsidP="006D2BC2">
      <w:r>
        <w:t>Network Security Group</w:t>
      </w:r>
      <w:r w:rsidRPr="00E33F7E">
        <w:t xml:space="preserve">s allow you to define rules that specify the source </w:t>
      </w:r>
      <w:r>
        <w:t>IP</w:t>
      </w:r>
      <w:r w:rsidRPr="00E33F7E">
        <w:t xml:space="preserve"> </w:t>
      </w:r>
      <w:r>
        <w:t>a</w:t>
      </w:r>
      <w:r w:rsidRPr="00E33F7E">
        <w:t xml:space="preserve">ddress, </w:t>
      </w:r>
      <w:r>
        <w:t>s</w:t>
      </w:r>
      <w:r w:rsidRPr="00E33F7E">
        <w:t xml:space="preserve">ource </w:t>
      </w:r>
      <w:r>
        <w:t>p</w:t>
      </w:r>
      <w:r w:rsidRPr="00E33F7E">
        <w:t>ort, destination address, destination port, priority, and traffic action (Allow</w:t>
      </w:r>
      <w:r>
        <w:t xml:space="preserve"> or </w:t>
      </w:r>
      <w:r w:rsidRPr="00E33F7E">
        <w:t>Deny). The rules can be applied to inbound and outbound traffic independently.</w:t>
      </w:r>
    </w:p>
    <w:p w14:paraId="39A19E40" w14:textId="77777777" w:rsidR="006D2BC2" w:rsidRDefault="006D2BC2" w:rsidP="006D2BC2">
      <w:r>
        <w:t xml:space="preserve">Traditionally, a firewall rule is applied to a port on a router that is connected to a switch. It affects all traffic flowing inbound and outbound to the switch, but it does not affect any traffic within the switch. A Network Security Group rule that is applied to a subnet is more like a firewall rule that is applied at the switch and affects inbound and outbound traffic on every port in the switch. </w:t>
      </w:r>
    </w:p>
    <w:p w14:paraId="66B23705" w14:textId="0840CEA0" w:rsidR="00C33F76" w:rsidRDefault="006D2BC2" w:rsidP="006D2BC2">
      <w:r>
        <w:t>Any virtual machine connected to the switch port would be affected by the Network Security Group rule applied to the subnet</w:t>
      </w:r>
      <w:r w:rsidR="00C33F76">
        <w:t>.</w:t>
      </w:r>
    </w:p>
    <w:p w14:paraId="64E59698" w14:textId="267AAD34" w:rsidR="00C33F76" w:rsidRDefault="00C33F76" w:rsidP="00C33F76">
      <w:pPr>
        <w:jc w:val="center"/>
      </w:pPr>
      <w:r>
        <w:object w:dxaOrig="5149" w:dyaOrig="2352" w14:anchorId="0273907D">
          <v:shape id="_x0000_i1037" type="#_x0000_t75" style="width:259.5pt;height:116.25pt" o:ole="">
            <v:imagedata r:id="rId412" o:title=""/>
          </v:shape>
          <o:OLEObject Type="Embed" ProgID="Visio.Drawing.15" ShapeID="_x0000_i1037" DrawAspect="Content" ObjectID="_1508841465" r:id="rId413"/>
        </w:object>
      </w:r>
    </w:p>
    <w:p w14:paraId="60789A68" w14:textId="33CF202A" w:rsidR="006D2BC2" w:rsidRDefault="006D2BC2" w:rsidP="006D2BC2">
      <w:r w:rsidRPr="00E33F7E">
        <w:t xml:space="preserve">For example, if a </w:t>
      </w:r>
      <w:r>
        <w:t>Network Security Group</w:t>
      </w:r>
      <w:r w:rsidRPr="00E33F7E">
        <w:t xml:space="preserve"> is created and a </w:t>
      </w:r>
      <w:r>
        <w:t>Network Security Group</w:t>
      </w:r>
      <w:r w:rsidRPr="00E33F7E">
        <w:t xml:space="preserve"> rule is defined that </w:t>
      </w:r>
      <w:r>
        <w:t>denies</w:t>
      </w:r>
      <w:r w:rsidRPr="00E33F7E">
        <w:t xml:space="preserve"> inbound </w:t>
      </w:r>
      <w:r>
        <w:t>Remote Desktop Protocol (</w:t>
      </w:r>
      <w:r w:rsidRPr="00E33F7E">
        <w:t>RDP</w:t>
      </w:r>
      <w:r>
        <w:t>)</w:t>
      </w:r>
      <w:r w:rsidRPr="00E33F7E">
        <w:t xml:space="preserve"> </w:t>
      </w:r>
      <w:r>
        <w:t xml:space="preserve">traffic </w:t>
      </w:r>
      <w:r w:rsidRPr="00E33F7E">
        <w:t>for all addresses over port</w:t>
      </w:r>
      <w:r>
        <w:t> 3</w:t>
      </w:r>
      <w:r w:rsidRPr="00E33F7E">
        <w:t xml:space="preserve">389, no </w:t>
      </w:r>
      <w:r>
        <w:t xml:space="preserve">virtual </w:t>
      </w:r>
      <w:r w:rsidRPr="00E33F7E">
        <w:t xml:space="preserve">machine outside the subnet can </w:t>
      </w:r>
      <w:r>
        <w:t xml:space="preserve">connect via </w:t>
      </w:r>
      <w:r w:rsidRPr="00E33F7E">
        <w:t xml:space="preserve">RDP to a </w:t>
      </w:r>
      <w:r>
        <w:t>virtual machine</w:t>
      </w:r>
      <w:r w:rsidRPr="00E33F7E">
        <w:t xml:space="preserve"> </w:t>
      </w:r>
      <w:r>
        <w:t xml:space="preserve">that is </w:t>
      </w:r>
      <w:r w:rsidRPr="00E33F7E">
        <w:t>connected to the subnet</w:t>
      </w:r>
      <w:r>
        <w:t>,</w:t>
      </w:r>
      <w:r w:rsidRPr="00E33F7E">
        <w:t xml:space="preserve"> and no </w:t>
      </w:r>
      <w:r>
        <w:t>virtual machine</w:t>
      </w:r>
      <w:r w:rsidRPr="00E33F7E">
        <w:t xml:space="preserve"> connected to the subnet can </w:t>
      </w:r>
      <w:r>
        <w:t xml:space="preserve">connect via </w:t>
      </w:r>
      <w:r w:rsidRPr="00E33F7E">
        <w:t xml:space="preserve">RDP to any other </w:t>
      </w:r>
      <w:r>
        <w:t>connected virtual machine</w:t>
      </w:r>
      <w:r w:rsidRPr="00E33F7E">
        <w:t xml:space="preserve">. </w:t>
      </w:r>
    </w:p>
    <w:p w14:paraId="6873D50A" w14:textId="0DC862BF" w:rsidR="00BD02B1" w:rsidRDefault="006D2BC2" w:rsidP="006D2BC2">
      <w:r>
        <w:t>Network Security Groups can also be applied to the virtual machine or to the network adapter of a virtual machine. This allows greater flexibility in how traffic is filtered</w:t>
      </w:r>
      <w:r w:rsidR="00BD02B1">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5F6874" w14:paraId="2C517CEF" w14:textId="77777777" w:rsidTr="00D7271C">
        <w:trPr>
          <w:trHeight w:val="423"/>
        </w:trPr>
        <w:tc>
          <w:tcPr>
            <w:tcW w:w="666" w:type="dxa"/>
          </w:tcPr>
          <w:p w14:paraId="2B8BD143" w14:textId="77777777" w:rsidR="005F6874" w:rsidRDefault="005F6874" w:rsidP="00D7271C">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4D32AEA5" wp14:editId="2F655269">
                      <wp:extent cx="200025" cy="180975"/>
                      <wp:effectExtent l="57150" t="19050" r="28575" b="104775"/>
                      <wp:docPr id="11" name="Octagon 11"/>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A832AB0" id="Octagon 11"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VMcQIAAPIEAAAOAAAAZHJzL2Uyb0RvYy54bWysVEtv2zAMvg/YfxB0X52kTR9BnSJI1mFA&#10;0RRoh54ZWbYFSKImKXG6Xz9Kdtq022nYRSZFio+PH319szea7aQPCm3JxycjzqQVWCnblPzH0+2X&#10;S85CBFuBRitL/iIDv5l//nTduZmcYIu6kp5REBtmnSt5G6ObFUUQrTQQTtBJS8YavYFIqm+KykNH&#10;0Y0uJqPRedGhr5xHIUOg21Vv5PMcv66liOu6DjIyXXKqLebT53OTzmJ+DbPGg2uVGMqAf6jCgLKU&#10;9DXUCiKwrVd/hDJKeAxYxxOBpsC6VkLmHqib8ehDN48tOJl7IXCCe4Up/L+w4n734JmqaHZjziwY&#10;mtFaRGjQMroheDoXZuT16B78oAUSU6/72pv0pS7YPkP68gqp3Ecm6JJmNJpMORNkGl+Ori6mKWbx&#10;9tj5EL9JNCwJJcc+d8YSdnch9t4Hr5QuoFbVrdI6K77ZLLVnO6ABL5eULc+UErxz05Z1JT8/nRIH&#10;BBDPag2RROOo82AbzkA3RGARfU797nE4zvF1dbE6zcB8zJFqXEFo+1pyhJ5eRkXiuFam5JepwEOF&#10;2qYOZGbp0GkCu4c3SRusXmg6HnvaBiduFSW5gxAfwBNPqRvavbimo9ZIHeIgcdai//W3++RP9CEr&#10;Zx3xntr/uQUvOdPfLRHranx2lhYlK2fTiwkp/tiyObbYrVkiIU/coeqymPyjPoi1R/NMK7pIWckE&#10;VlDuHuhBWcZ+H2nJhVwsshsth4N4Zx+dSMETTgnep/0zeDdQJRLH7vGwIzD7QJfeN720uNhGrFXm&#10;0huuRMOk0GJlQg4/gbS5x3r2evtVzX8DAAD//wMAUEsDBBQABgAIAAAAIQBKbmSp2gAAAAMBAAAP&#10;AAAAZHJzL2Rvd25yZXYueG1sTI/NbsIwEITvlfoO1lbiVhxCQSiNg/ojjkgttPdNvE3SxuvINiTw&#10;9HV7gctKoxnNfJuvR9OJIznfWlYwmyYgiCurW64VfOw39ysQPiBr7CyTghN5WBe3Nzlm2g78Tsdd&#10;qEUsYZ+hgiaEPpPSVw0Z9FPbE0fvyzqDIUpXS+1wiOWmk2mSLKXBluNCgz29NFT97A5GwXK7Kbff&#10;bv5J6fDw9vxqzqYfz0pN7sanRxCBxnAJwx9+RIciMpX2wNqLTkF8JPzf6M1nCxClgnS1AFnk8pq9&#10;+AUAAP//AwBQSwECLQAUAAYACAAAACEAtoM4kv4AAADhAQAAEwAAAAAAAAAAAAAAAAAAAAAAW0Nv&#10;bnRlbnRfVHlwZXNdLnhtbFBLAQItABQABgAIAAAAIQA4/SH/1gAAAJQBAAALAAAAAAAAAAAAAAAA&#10;AC8BAABfcmVscy8ucmVsc1BLAQItABQABgAIAAAAIQAT/fVMcQIAAPIEAAAOAAAAAAAAAAAAAAAA&#10;AC4CAABkcnMvZTJvRG9jLnhtbFBLAQItABQABgAIAAAAIQBKbmSp2gAAAAMBAAAPAAAAAAAAAAAA&#10;AAAAAMsEAABkcnMvZG93bnJldi54bWxQSwUGAAAAAAQABADzAAAA0gUAAAAA&#10;" fillcolor="#c00" strokecolor="#ed7d31" strokeweight=".5pt">
                      <w10:anchorlock/>
                    </v:shape>
                  </w:pict>
                </mc:Fallback>
              </mc:AlternateContent>
            </w:r>
          </w:p>
        </w:tc>
        <w:tc>
          <w:tcPr>
            <w:tcW w:w="8604" w:type="dxa"/>
          </w:tcPr>
          <w:p w14:paraId="2DE7AFD6" w14:textId="087C7785" w:rsidR="005F6874" w:rsidRDefault="005F6874" w:rsidP="00EB3632">
            <w:pPr>
              <w:rPr>
                <w:lang w:eastAsia="en-US"/>
              </w:rPr>
            </w:pPr>
            <w:r w:rsidRPr="00192064">
              <w:rPr>
                <w:b/>
                <w:lang w:eastAsia="en-US"/>
              </w:rPr>
              <w:t>Mandatory</w:t>
            </w:r>
            <w:r w:rsidR="00EB3632">
              <w:rPr>
                <w:lang w:eastAsia="en-US"/>
              </w:rPr>
              <w:t xml:space="preserve">: </w:t>
            </w:r>
            <w:r w:rsidR="007632FC">
              <w:rPr>
                <w:lang w:eastAsia="en-US"/>
              </w:rPr>
              <w:t xml:space="preserve">For Ingress traffic to the VM, </w:t>
            </w:r>
            <w:r w:rsidR="00EB3632">
              <w:rPr>
                <w:lang w:eastAsia="en-US"/>
              </w:rPr>
              <w:t xml:space="preserve">rules </w:t>
            </w:r>
            <w:r w:rsidR="007632FC">
              <w:rPr>
                <w:lang w:eastAsia="en-US"/>
              </w:rPr>
              <w:t xml:space="preserve">are </w:t>
            </w:r>
            <w:r w:rsidR="00EB3632">
              <w:rPr>
                <w:lang w:eastAsia="en-US"/>
              </w:rPr>
              <w:t>applied at a subnet level</w:t>
            </w:r>
            <w:r w:rsidR="007632FC">
              <w:rPr>
                <w:lang w:eastAsia="en-US"/>
              </w:rPr>
              <w:t>, then VM level, and then NIC level.</w:t>
            </w:r>
            <w:r w:rsidR="00EB3632">
              <w:rPr>
                <w:lang w:eastAsia="en-US"/>
              </w:rPr>
              <w:t xml:space="preserve">  </w:t>
            </w:r>
            <w:r w:rsidR="007632FC">
              <w:rPr>
                <w:lang w:eastAsia="en-US"/>
              </w:rPr>
              <w:t xml:space="preserve">For Egress traffic from the VM, </w:t>
            </w:r>
            <w:r w:rsidR="00EB3632">
              <w:rPr>
                <w:lang w:eastAsia="en-US"/>
              </w:rPr>
              <w:t xml:space="preserve">rules </w:t>
            </w:r>
            <w:r w:rsidR="007632FC">
              <w:rPr>
                <w:lang w:eastAsia="en-US"/>
              </w:rPr>
              <w:t xml:space="preserve">are </w:t>
            </w:r>
            <w:r w:rsidR="00EB3632">
              <w:rPr>
                <w:lang w:eastAsia="en-US"/>
              </w:rPr>
              <w:t xml:space="preserve">applied at the </w:t>
            </w:r>
            <w:r w:rsidR="007632FC">
              <w:rPr>
                <w:lang w:eastAsia="en-US"/>
              </w:rPr>
              <w:t>NIC level, then VM level, and then subnet level</w:t>
            </w:r>
            <w:r w:rsidR="00EB3632">
              <w:rPr>
                <w:lang w:eastAsia="en-US"/>
              </w:rPr>
              <w:t>.</w:t>
            </w:r>
            <w:r w:rsidR="007632FC">
              <w:rPr>
                <w:lang w:eastAsia="en-US"/>
              </w:rPr>
              <w:t xml:space="preserve"> Rules are applied in priority order.</w:t>
            </w:r>
          </w:p>
        </w:tc>
      </w:tr>
    </w:tbl>
    <w:p w14:paraId="241F1A51" w14:textId="41E60791" w:rsidR="00430B7A" w:rsidRDefault="006D2BC2" w:rsidP="00E33F7E">
      <w:r>
        <w:t>To allow the virtual machines within the subnet to connect via RDP to each other, a new rule with higher priority has to be added that allows inbound traffic from the subnet CIDR on port 3389</w:t>
      </w:r>
      <w:r w:rsidR="00430B7A">
        <w:t>.</w:t>
      </w:r>
    </w:p>
    <w:tbl>
      <w:tblPr>
        <w:tblStyle w:val="PlainTable11"/>
        <w:tblW w:w="0" w:type="auto"/>
        <w:tblCellMar>
          <w:left w:w="72" w:type="dxa"/>
          <w:right w:w="72" w:type="dxa"/>
        </w:tblCellMar>
        <w:tblLook w:val="04A0" w:firstRow="1" w:lastRow="0" w:firstColumn="1" w:lastColumn="0" w:noHBand="0" w:noVBand="1"/>
      </w:tblPr>
      <w:tblGrid>
        <w:gridCol w:w="1255"/>
        <w:gridCol w:w="969"/>
        <w:gridCol w:w="1646"/>
        <w:gridCol w:w="1010"/>
        <w:gridCol w:w="1258"/>
        <w:gridCol w:w="1258"/>
        <w:gridCol w:w="944"/>
        <w:gridCol w:w="1010"/>
      </w:tblGrid>
      <w:tr w:rsidR="00766BA9" w:rsidRPr="00766BA9" w14:paraId="2F9E7372" w14:textId="77777777" w:rsidTr="006D2B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4" w:type="dxa"/>
            <w:shd w:val="clear" w:color="auto" w:fill="808080" w:themeFill="background1" w:themeFillShade="80"/>
          </w:tcPr>
          <w:p w14:paraId="76FF46EA" w14:textId="77777777" w:rsidR="00430B7A" w:rsidRPr="00766BA9" w:rsidRDefault="00430B7A" w:rsidP="00D27700">
            <w:pPr>
              <w:rPr>
                <w:color w:val="FFFFFF" w:themeColor="background1"/>
                <w:sz w:val="20"/>
              </w:rPr>
            </w:pPr>
            <w:r w:rsidRPr="00766BA9">
              <w:rPr>
                <w:color w:val="FFFFFF" w:themeColor="background1"/>
                <w:sz w:val="20"/>
              </w:rPr>
              <w:t>Description</w:t>
            </w:r>
          </w:p>
        </w:tc>
        <w:tc>
          <w:tcPr>
            <w:tcW w:w="967" w:type="dxa"/>
            <w:shd w:val="clear" w:color="auto" w:fill="808080" w:themeFill="background1" w:themeFillShade="80"/>
          </w:tcPr>
          <w:p w14:paraId="3A5079E4" w14:textId="77777777" w:rsidR="00430B7A" w:rsidRPr="00766BA9" w:rsidRDefault="00430B7A" w:rsidP="00D27700">
            <w:pPr>
              <w:cnfStyle w:val="100000000000" w:firstRow="1" w:lastRow="0" w:firstColumn="0" w:lastColumn="0" w:oddVBand="0" w:evenVBand="0" w:oddHBand="0" w:evenHBand="0" w:firstRowFirstColumn="0" w:firstRowLastColumn="0" w:lastRowFirstColumn="0" w:lastRowLastColumn="0"/>
              <w:rPr>
                <w:color w:val="FFFFFF" w:themeColor="background1"/>
                <w:sz w:val="20"/>
              </w:rPr>
            </w:pPr>
            <w:r w:rsidRPr="00766BA9">
              <w:rPr>
                <w:color w:val="FFFFFF" w:themeColor="background1"/>
                <w:sz w:val="20"/>
              </w:rPr>
              <w:t>Priority</w:t>
            </w:r>
          </w:p>
        </w:tc>
        <w:tc>
          <w:tcPr>
            <w:tcW w:w="1646" w:type="dxa"/>
            <w:shd w:val="clear" w:color="auto" w:fill="808080" w:themeFill="background1" w:themeFillShade="80"/>
          </w:tcPr>
          <w:p w14:paraId="3C60F579" w14:textId="77777777" w:rsidR="00430B7A" w:rsidRPr="00766BA9" w:rsidRDefault="00430B7A" w:rsidP="00D27700">
            <w:pPr>
              <w:cnfStyle w:val="100000000000" w:firstRow="1" w:lastRow="0" w:firstColumn="0" w:lastColumn="0" w:oddVBand="0" w:evenVBand="0" w:oddHBand="0" w:evenHBand="0" w:firstRowFirstColumn="0" w:firstRowLastColumn="0" w:lastRowFirstColumn="0" w:lastRowLastColumn="0"/>
              <w:rPr>
                <w:color w:val="FFFFFF" w:themeColor="background1"/>
                <w:sz w:val="20"/>
              </w:rPr>
            </w:pPr>
            <w:r w:rsidRPr="00766BA9">
              <w:rPr>
                <w:color w:val="FFFFFF" w:themeColor="background1"/>
                <w:sz w:val="20"/>
              </w:rPr>
              <w:t>Source Address</w:t>
            </w:r>
          </w:p>
        </w:tc>
        <w:tc>
          <w:tcPr>
            <w:tcW w:w="1006" w:type="dxa"/>
            <w:shd w:val="clear" w:color="auto" w:fill="808080" w:themeFill="background1" w:themeFillShade="80"/>
          </w:tcPr>
          <w:p w14:paraId="6EB5EE08" w14:textId="77777777" w:rsidR="00430B7A" w:rsidRPr="00766BA9" w:rsidRDefault="00430B7A" w:rsidP="00D27700">
            <w:pPr>
              <w:cnfStyle w:val="100000000000" w:firstRow="1" w:lastRow="0" w:firstColumn="0" w:lastColumn="0" w:oddVBand="0" w:evenVBand="0" w:oddHBand="0" w:evenHBand="0" w:firstRowFirstColumn="0" w:firstRowLastColumn="0" w:lastRowFirstColumn="0" w:lastRowLastColumn="0"/>
              <w:rPr>
                <w:color w:val="FFFFFF" w:themeColor="background1"/>
                <w:sz w:val="20"/>
              </w:rPr>
            </w:pPr>
            <w:r w:rsidRPr="00766BA9">
              <w:rPr>
                <w:color w:val="FFFFFF" w:themeColor="background1"/>
                <w:sz w:val="20"/>
              </w:rPr>
              <w:t>Source Port</w:t>
            </w:r>
          </w:p>
        </w:tc>
        <w:tc>
          <w:tcPr>
            <w:tcW w:w="1258" w:type="dxa"/>
            <w:shd w:val="clear" w:color="auto" w:fill="808080" w:themeFill="background1" w:themeFillShade="80"/>
          </w:tcPr>
          <w:p w14:paraId="5479A942" w14:textId="77777777" w:rsidR="00430B7A" w:rsidRPr="00766BA9" w:rsidRDefault="00430B7A" w:rsidP="00D27700">
            <w:pPr>
              <w:cnfStyle w:val="100000000000" w:firstRow="1" w:lastRow="0" w:firstColumn="0" w:lastColumn="0" w:oddVBand="0" w:evenVBand="0" w:oddHBand="0" w:evenHBand="0" w:firstRowFirstColumn="0" w:firstRowLastColumn="0" w:lastRowFirstColumn="0" w:lastRowLastColumn="0"/>
              <w:rPr>
                <w:color w:val="FFFFFF" w:themeColor="background1"/>
                <w:sz w:val="20"/>
              </w:rPr>
            </w:pPr>
            <w:r w:rsidRPr="00766BA9">
              <w:rPr>
                <w:color w:val="FFFFFF" w:themeColor="background1"/>
                <w:sz w:val="20"/>
              </w:rPr>
              <w:t>Destination Address</w:t>
            </w:r>
          </w:p>
        </w:tc>
        <w:tc>
          <w:tcPr>
            <w:tcW w:w="1258" w:type="dxa"/>
            <w:shd w:val="clear" w:color="auto" w:fill="808080" w:themeFill="background1" w:themeFillShade="80"/>
          </w:tcPr>
          <w:p w14:paraId="5A5F28A9" w14:textId="77777777" w:rsidR="00430B7A" w:rsidRPr="00766BA9" w:rsidRDefault="00430B7A" w:rsidP="00D27700">
            <w:pPr>
              <w:cnfStyle w:val="100000000000" w:firstRow="1" w:lastRow="0" w:firstColumn="0" w:lastColumn="0" w:oddVBand="0" w:evenVBand="0" w:oddHBand="0" w:evenHBand="0" w:firstRowFirstColumn="0" w:firstRowLastColumn="0" w:lastRowFirstColumn="0" w:lastRowLastColumn="0"/>
              <w:rPr>
                <w:color w:val="FFFFFF" w:themeColor="background1"/>
                <w:sz w:val="20"/>
              </w:rPr>
            </w:pPr>
            <w:r w:rsidRPr="00766BA9">
              <w:rPr>
                <w:color w:val="FFFFFF" w:themeColor="background1"/>
                <w:sz w:val="20"/>
              </w:rPr>
              <w:t>Destination Port</w:t>
            </w:r>
          </w:p>
        </w:tc>
        <w:tc>
          <w:tcPr>
            <w:tcW w:w="944" w:type="dxa"/>
            <w:shd w:val="clear" w:color="auto" w:fill="808080" w:themeFill="background1" w:themeFillShade="80"/>
          </w:tcPr>
          <w:p w14:paraId="662B3BA8" w14:textId="6E5D46DA" w:rsidR="00D67C9C" w:rsidRPr="00766BA9" w:rsidRDefault="00D67C9C" w:rsidP="00D27700">
            <w:pPr>
              <w:cnfStyle w:val="100000000000" w:firstRow="1" w:lastRow="0" w:firstColumn="0" w:lastColumn="0" w:oddVBand="0" w:evenVBand="0" w:oddHBand="0" w:evenHBand="0" w:firstRowFirstColumn="0" w:firstRowLastColumn="0" w:lastRowFirstColumn="0" w:lastRowLastColumn="0"/>
              <w:rPr>
                <w:color w:val="FFFFFF" w:themeColor="background1"/>
                <w:sz w:val="20"/>
              </w:rPr>
            </w:pPr>
            <w:r w:rsidRPr="00766BA9">
              <w:rPr>
                <w:color w:val="FFFFFF" w:themeColor="background1"/>
                <w:sz w:val="20"/>
              </w:rPr>
              <w:t>Protocol</w:t>
            </w:r>
          </w:p>
        </w:tc>
        <w:tc>
          <w:tcPr>
            <w:tcW w:w="1017" w:type="dxa"/>
            <w:shd w:val="clear" w:color="auto" w:fill="808080" w:themeFill="background1" w:themeFillShade="80"/>
          </w:tcPr>
          <w:p w14:paraId="0FA7B383" w14:textId="77777777" w:rsidR="00430B7A" w:rsidRPr="00766BA9" w:rsidRDefault="00430B7A" w:rsidP="00D27700">
            <w:pPr>
              <w:cnfStyle w:val="100000000000" w:firstRow="1" w:lastRow="0" w:firstColumn="0" w:lastColumn="0" w:oddVBand="0" w:evenVBand="0" w:oddHBand="0" w:evenHBand="0" w:firstRowFirstColumn="0" w:firstRowLastColumn="0" w:lastRowFirstColumn="0" w:lastRowLastColumn="0"/>
              <w:rPr>
                <w:color w:val="FFFFFF" w:themeColor="background1"/>
                <w:sz w:val="20"/>
              </w:rPr>
            </w:pPr>
            <w:r w:rsidRPr="00766BA9">
              <w:rPr>
                <w:color w:val="FFFFFF" w:themeColor="background1"/>
                <w:sz w:val="20"/>
              </w:rPr>
              <w:t>Action</w:t>
            </w:r>
          </w:p>
        </w:tc>
      </w:tr>
      <w:tr w:rsidR="006D2BC2" w:rsidRPr="00766BA9" w14:paraId="53B9219C" w14:textId="77777777" w:rsidTr="00766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6" w:type="dxa"/>
          </w:tcPr>
          <w:p w14:paraId="71D8A5A9" w14:textId="1957BA12" w:rsidR="006D2BC2" w:rsidRPr="00766BA9" w:rsidRDefault="006D2BC2" w:rsidP="006D2BC2">
            <w:pPr>
              <w:rPr>
                <w:sz w:val="20"/>
              </w:rPr>
            </w:pPr>
            <w:r w:rsidRPr="00766BA9">
              <w:rPr>
                <w:sz w:val="20"/>
              </w:rPr>
              <w:t>D</w:t>
            </w:r>
            <w:r>
              <w:rPr>
                <w:sz w:val="20"/>
              </w:rPr>
              <w:t>eny</w:t>
            </w:r>
            <w:r w:rsidRPr="00766BA9">
              <w:rPr>
                <w:sz w:val="20"/>
              </w:rPr>
              <w:t xml:space="preserve"> </w:t>
            </w:r>
            <w:r>
              <w:rPr>
                <w:sz w:val="20"/>
              </w:rPr>
              <w:t>i</w:t>
            </w:r>
            <w:r w:rsidRPr="00766BA9">
              <w:rPr>
                <w:sz w:val="20"/>
              </w:rPr>
              <w:t>nbound RDP</w:t>
            </w:r>
          </w:p>
        </w:tc>
        <w:tc>
          <w:tcPr>
            <w:tcW w:w="1014" w:type="dxa"/>
          </w:tcPr>
          <w:p w14:paraId="1F582F05" w14:textId="2D942E3B"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1010</w:t>
            </w:r>
          </w:p>
        </w:tc>
        <w:tc>
          <w:tcPr>
            <w:tcW w:w="1418" w:type="dxa"/>
          </w:tcPr>
          <w:p w14:paraId="15109894" w14:textId="2BDA569C"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w:t>
            </w:r>
          </w:p>
        </w:tc>
        <w:tc>
          <w:tcPr>
            <w:tcW w:w="1094" w:type="dxa"/>
          </w:tcPr>
          <w:p w14:paraId="38BA1D5D" w14:textId="22526572"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w:t>
            </w:r>
          </w:p>
        </w:tc>
        <w:tc>
          <w:tcPr>
            <w:tcW w:w="1269" w:type="dxa"/>
          </w:tcPr>
          <w:p w14:paraId="57054A15" w14:textId="03D8E728"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w:t>
            </w:r>
          </w:p>
        </w:tc>
        <w:tc>
          <w:tcPr>
            <w:tcW w:w="1269" w:type="dxa"/>
          </w:tcPr>
          <w:p w14:paraId="00F7E48B" w14:textId="3A60CD46"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3389</w:t>
            </w:r>
          </w:p>
        </w:tc>
        <w:tc>
          <w:tcPr>
            <w:tcW w:w="927" w:type="dxa"/>
          </w:tcPr>
          <w:p w14:paraId="3C61851F" w14:textId="2B7F2599"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TCP</w:t>
            </w:r>
          </w:p>
        </w:tc>
        <w:tc>
          <w:tcPr>
            <w:tcW w:w="1103" w:type="dxa"/>
          </w:tcPr>
          <w:p w14:paraId="410764F7" w14:textId="674F92F5"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D</w:t>
            </w:r>
            <w:r>
              <w:rPr>
                <w:sz w:val="20"/>
              </w:rPr>
              <w:t>eny</w:t>
            </w:r>
          </w:p>
        </w:tc>
      </w:tr>
      <w:tr w:rsidR="006D2BC2" w:rsidRPr="00766BA9" w14:paraId="66F5B5B6" w14:textId="77777777" w:rsidTr="006D2BC2">
        <w:tc>
          <w:tcPr>
            <w:cnfStyle w:val="001000000000" w:firstRow="0" w:lastRow="0" w:firstColumn="1" w:lastColumn="0" w:oddVBand="0" w:evenVBand="0" w:oddHBand="0" w:evenHBand="0" w:firstRowFirstColumn="0" w:firstRowLastColumn="0" w:lastRowFirstColumn="0" w:lastRowLastColumn="0"/>
            <w:tcW w:w="1254" w:type="dxa"/>
          </w:tcPr>
          <w:p w14:paraId="5045CAF1" w14:textId="22171F0A" w:rsidR="006D2BC2" w:rsidRPr="00766BA9" w:rsidRDefault="006D2BC2" w:rsidP="006D2BC2">
            <w:pPr>
              <w:rPr>
                <w:sz w:val="20"/>
              </w:rPr>
            </w:pPr>
            <w:r w:rsidRPr="00766BA9">
              <w:rPr>
                <w:sz w:val="20"/>
              </w:rPr>
              <w:t>A</w:t>
            </w:r>
            <w:r>
              <w:rPr>
                <w:sz w:val="20"/>
              </w:rPr>
              <w:t>llow</w:t>
            </w:r>
            <w:r w:rsidRPr="00766BA9">
              <w:rPr>
                <w:sz w:val="20"/>
              </w:rPr>
              <w:t xml:space="preserve"> </w:t>
            </w:r>
            <w:r>
              <w:rPr>
                <w:sz w:val="20"/>
              </w:rPr>
              <w:t>i</w:t>
            </w:r>
            <w:r w:rsidRPr="00766BA9">
              <w:rPr>
                <w:sz w:val="20"/>
              </w:rPr>
              <w:t xml:space="preserve">nbound for </w:t>
            </w:r>
            <w:r>
              <w:rPr>
                <w:sz w:val="20"/>
              </w:rPr>
              <w:t>s</w:t>
            </w:r>
            <w:r w:rsidRPr="00766BA9">
              <w:rPr>
                <w:sz w:val="20"/>
              </w:rPr>
              <w:t>ubnet</w:t>
            </w:r>
          </w:p>
        </w:tc>
        <w:tc>
          <w:tcPr>
            <w:tcW w:w="967" w:type="dxa"/>
          </w:tcPr>
          <w:p w14:paraId="208754AC" w14:textId="0437466E" w:rsidR="006D2BC2" w:rsidRPr="00766BA9" w:rsidRDefault="006D2BC2" w:rsidP="006D2BC2">
            <w:pPr>
              <w:cnfStyle w:val="000000000000" w:firstRow="0" w:lastRow="0" w:firstColumn="0" w:lastColumn="0" w:oddVBand="0" w:evenVBand="0" w:oddHBand="0" w:evenHBand="0" w:firstRowFirstColumn="0" w:firstRowLastColumn="0" w:lastRowFirstColumn="0" w:lastRowLastColumn="0"/>
              <w:rPr>
                <w:sz w:val="20"/>
              </w:rPr>
            </w:pPr>
            <w:r w:rsidRPr="00766BA9">
              <w:rPr>
                <w:sz w:val="20"/>
              </w:rPr>
              <w:t>1000</w:t>
            </w:r>
          </w:p>
        </w:tc>
        <w:tc>
          <w:tcPr>
            <w:tcW w:w="1646" w:type="dxa"/>
          </w:tcPr>
          <w:p w14:paraId="02C80B27" w14:textId="230794E0" w:rsidR="006D2BC2" w:rsidRPr="00766BA9" w:rsidRDefault="006D2BC2" w:rsidP="006D2BC2">
            <w:pPr>
              <w:cnfStyle w:val="000000000000" w:firstRow="0" w:lastRow="0" w:firstColumn="0" w:lastColumn="0" w:oddVBand="0" w:evenVBand="0" w:oddHBand="0" w:evenHBand="0" w:firstRowFirstColumn="0" w:firstRowLastColumn="0" w:lastRowFirstColumn="0" w:lastRowLastColumn="0"/>
              <w:rPr>
                <w:sz w:val="20"/>
              </w:rPr>
            </w:pPr>
            <w:r w:rsidRPr="00766BA9">
              <w:rPr>
                <w:sz w:val="20"/>
              </w:rPr>
              <w:t>192.168.100.0/24</w:t>
            </w:r>
          </w:p>
        </w:tc>
        <w:tc>
          <w:tcPr>
            <w:tcW w:w="1006" w:type="dxa"/>
          </w:tcPr>
          <w:p w14:paraId="4F608147" w14:textId="63CBE57F" w:rsidR="006D2BC2" w:rsidRPr="00766BA9" w:rsidRDefault="006D2BC2" w:rsidP="006D2BC2">
            <w:pPr>
              <w:cnfStyle w:val="000000000000" w:firstRow="0" w:lastRow="0" w:firstColumn="0" w:lastColumn="0" w:oddVBand="0" w:evenVBand="0" w:oddHBand="0" w:evenHBand="0" w:firstRowFirstColumn="0" w:firstRowLastColumn="0" w:lastRowFirstColumn="0" w:lastRowLastColumn="0"/>
              <w:rPr>
                <w:sz w:val="20"/>
              </w:rPr>
            </w:pPr>
            <w:r w:rsidRPr="00766BA9">
              <w:rPr>
                <w:sz w:val="20"/>
              </w:rPr>
              <w:t>*</w:t>
            </w:r>
          </w:p>
        </w:tc>
        <w:tc>
          <w:tcPr>
            <w:tcW w:w="1258" w:type="dxa"/>
          </w:tcPr>
          <w:p w14:paraId="444C5DC8" w14:textId="715A3B36" w:rsidR="006D2BC2" w:rsidRPr="00766BA9" w:rsidRDefault="006D2BC2" w:rsidP="006D2BC2">
            <w:pPr>
              <w:cnfStyle w:val="000000000000" w:firstRow="0" w:lastRow="0" w:firstColumn="0" w:lastColumn="0" w:oddVBand="0" w:evenVBand="0" w:oddHBand="0" w:evenHBand="0" w:firstRowFirstColumn="0" w:firstRowLastColumn="0" w:lastRowFirstColumn="0" w:lastRowLastColumn="0"/>
              <w:rPr>
                <w:sz w:val="20"/>
              </w:rPr>
            </w:pPr>
            <w:r w:rsidRPr="00766BA9">
              <w:rPr>
                <w:sz w:val="20"/>
              </w:rPr>
              <w:t>*</w:t>
            </w:r>
          </w:p>
        </w:tc>
        <w:tc>
          <w:tcPr>
            <w:tcW w:w="1258" w:type="dxa"/>
          </w:tcPr>
          <w:p w14:paraId="40B69C18" w14:textId="33A74F0F" w:rsidR="006D2BC2" w:rsidRPr="00766BA9" w:rsidRDefault="006D2BC2" w:rsidP="006D2BC2">
            <w:pPr>
              <w:cnfStyle w:val="000000000000" w:firstRow="0" w:lastRow="0" w:firstColumn="0" w:lastColumn="0" w:oddVBand="0" w:evenVBand="0" w:oddHBand="0" w:evenHBand="0" w:firstRowFirstColumn="0" w:firstRowLastColumn="0" w:lastRowFirstColumn="0" w:lastRowLastColumn="0"/>
              <w:rPr>
                <w:sz w:val="20"/>
              </w:rPr>
            </w:pPr>
            <w:r w:rsidRPr="00766BA9">
              <w:rPr>
                <w:sz w:val="20"/>
              </w:rPr>
              <w:t>3389</w:t>
            </w:r>
          </w:p>
        </w:tc>
        <w:tc>
          <w:tcPr>
            <w:tcW w:w="944" w:type="dxa"/>
          </w:tcPr>
          <w:p w14:paraId="0CE559B7" w14:textId="2DE69380" w:rsidR="006D2BC2" w:rsidRPr="00766BA9" w:rsidRDefault="006D2BC2" w:rsidP="006D2BC2">
            <w:pPr>
              <w:cnfStyle w:val="000000000000" w:firstRow="0" w:lastRow="0" w:firstColumn="0" w:lastColumn="0" w:oddVBand="0" w:evenVBand="0" w:oddHBand="0" w:evenHBand="0" w:firstRowFirstColumn="0" w:firstRowLastColumn="0" w:lastRowFirstColumn="0" w:lastRowLastColumn="0"/>
              <w:rPr>
                <w:sz w:val="20"/>
              </w:rPr>
            </w:pPr>
            <w:r w:rsidRPr="00766BA9">
              <w:rPr>
                <w:sz w:val="20"/>
              </w:rPr>
              <w:t>TCP</w:t>
            </w:r>
          </w:p>
        </w:tc>
        <w:tc>
          <w:tcPr>
            <w:tcW w:w="1017" w:type="dxa"/>
          </w:tcPr>
          <w:p w14:paraId="388F27C6" w14:textId="28634F71" w:rsidR="006D2BC2" w:rsidRPr="00766BA9" w:rsidRDefault="006D2BC2" w:rsidP="006D2BC2">
            <w:pPr>
              <w:cnfStyle w:val="000000000000" w:firstRow="0" w:lastRow="0" w:firstColumn="0" w:lastColumn="0" w:oddVBand="0" w:evenVBand="0" w:oddHBand="0" w:evenHBand="0" w:firstRowFirstColumn="0" w:firstRowLastColumn="0" w:lastRowFirstColumn="0" w:lastRowLastColumn="0"/>
              <w:rPr>
                <w:sz w:val="20"/>
              </w:rPr>
            </w:pPr>
            <w:r w:rsidRPr="00766BA9">
              <w:rPr>
                <w:sz w:val="20"/>
              </w:rPr>
              <w:t>A</w:t>
            </w:r>
            <w:r>
              <w:rPr>
                <w:sz w:val="20"/>
              </w:rPr>
              <w:t>llow</w:t>
            </w:r>
          </w:p>
        </w:tc>
      </w:tr>
    </w:tbl>
    <w:p w14:paraId="6A42EA30" w14:textId="77777777" w:rsidR="00430B7A" w:rsidRDefault="00430B7A" w:rsidP="00EB3632">
      <w:pPr>
        <w:spacing w:after="0"/>
      </w:pPr>
    </w:p>
    <w:p w14:paraId="76236C15" w14:textId="6E7E54F9" w:rsidR="00D67C9C" w:rsidRDefault="006D2BC2" w:rsidP="00EB3632">
      <w:pPr>
        <w:spacing w:before="0"/>
      </w:pPr>
      <w:r>
        <w:t>Every Network Security Group that is created has a set of default Inbound and Outbound rules that are defined and cannot be deleted. The rules can be overridden with higher priority rules though. Any user defined rule can range from a priority value of 100-4096, where 100 is the highest priority rule</w:t>
      </w:r>
      <w:r w:rsidR="007B0CFF">
        <w:t>.</w:t>
      </w:r>
    </w:p>
    <w:p w14:paraId="41565944" w14:textId="25655EA2" w:rsidR="00D67C9C" w:rsidRPr="00256000" w:rsidRDefault="00D67C9C" w:rsidP="00E33F7E">
      <w:pPr>
        <w:rPr>
          <w:b/>
        </w:rPr>
      </w:pPr>
      <w:r w:rsidRPr="00256000">
        <w:rPr>
          <w:b/>
        </w:rPr>
        <w:t>Default Inbound Network Security Group Rules</w:t>
      </w:r>
    </w:p>
    <w:tbl>
      <w:tblPr>
        <w:tblStyle w:val="PlainTable11"/>
        <w:tblW w:w="0" w:type="auto"/>
        <w:tblCellMar>
          <w:left w:w="72" w:type="dxa"/>
          <w:right w:w="72" w:type="dxa"/>
        </w:tblCellMar>
        <w:tblLook w:val="04A0" w:firstRow="1" w:lastRow="0" w:firstColumn="1" w:lastColumn="0" w:noHBand="0" w:noVBand="1"/>
      </w:tblPr>
      <w:tblGrid>
        <w:gridCol w:w="1143"/>
        <w:gridCol w:w="796"/>
        <w:gridCol w:w="2143"/>
        <w:gridCol w:w="736"/>
        <w:gridCol w:w="1787"/>
        <w:gridCol w:w="1148"/>
        <w:gridCol w:w="884"/>
        <w:gridCol w:w="713"/>
      </w:tblGrid>
      <w:tr w:rsidR="00766BA9" w:rsidRPr="00766BA9" w14:paraId="6F954688" w14:textId="77777777" w:rsidTr="006D2B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8" w:type="dxa"/>
            <w:shd w:val="clear" w:color="auto" w:fill="808080" w:themeFill="background1" w:themeFillShade="80"/>
          </w:tcPr>
          <w:p w14:paraId="1AE5107C" w14:textId="77777777" w:rsidR="00D67C9C" w:rsidRPr="00766BA9" w:rsidRDefault="00D67C9C" w:rsidP="00D67C9C">
            <w:pPr>
              <w:rPr>
                <w:color w:val="FFFFFF" w:themeColor="background1"/>
                <w:sz w:val="20"/>
              </w:rPr>
            </w:pPr>
            <w:r w:rsidRPr="00766BA9">
              <w:rPr>
                <w:color w:val="FFFFFF" w:themeColor="background1"/>
                <w:sz w:val="20"/>
              </w:rPr>
              <w:t>Description</w:t>
            </w:r>
          </w:p>
        </w:tc>
        <w:tc>
          <w:tcPr>
            <w:tcW w:w="793" w:type="dxa"/>
            <w:shd w:val="clear" w:color="auto" w:fill="808080" w:themeFill="background1" w:themeFillShade="80"/>
          </w:tcPr>
          <w:p w14:paraId="60B61539" w14:textId="77777777" w:rsidR="00D67C9C" w:rsidRPr="00766BA9" w:rsidRDefault="00D67C9C" w:rsidP="00D67C9C">
            <w:pPr>
              <w:cnfStyle w:val="100000000000" w:firstRow="1" w:lastRow="0" w:firstColumn="0" w:lastColumn="0" w:oddVBand="0" w:evenVBand="0" w:oddHBand="0" w:evenHBand="0" w:firstRowFirstColumn="0" w:firstRowLastColumn="0" w:lastRowFirstColumn="0" w:lastRowLastColumn="0"/>
              <w:rPr>
                <w:color w:val="FFFFFF" w:themeColor="background1"/>
                <w:sz w:val="20"/>
              </w:rPr>
            </w:pPr>
            <w:r w:rsidRPr="00766BA9">
              <w:rPr>
                <w:color w:val="FFFFFF" w:themeColor="background1"/>
                <w:sz w:val="20"/>
              </w:rPr>
              <w:t>Priority</w:t>
            </w:r>
          </w:p>
        </w:tc>
        <w:tc>
          <w:tcPr>
            <w:tcW w:w="2134" w:type="dxa"/>
            <w:shd w:val="clear" w:color="auto" w:fill="808080" w:themeFill="background1" w:themeFillShade="80"/>
          </w:tcPr>
          <w:p w14:paraId="4459240B" w14:textId="77777777" w:rsidR="00D67C9C" w:rsidRPr="00766BA9" w:rsidRDefault="00D67C9C" w:rsidP="00D67C9C">
            <w:pPr>
              <w:cnfStyle w:val="100000000000" w:firstRow="1" w:lastRow="0" w:firstColumn="0" w:lastColumn="0" w:oddVBand="0" w:evenVBand="0" w:oddHBand="0" w:evenHBand="0" w:firstRowFirstColumn="0" w:firstRowLastColumn="0" w:lastRowFirstColumn="0" w:lastRowLastColumn="0"/>
              <w:rPr>
                <w:color w:val="FFFFFF" w:themeColor="background1"/>
                <w:sz w:val="20"/>
              </w:rPr>
            </w:pPr>
            <w:r w:rsidRPr="00766BA9">
              <w:rPr>
                <w:color w:val="FFFFFF" w:themeColor="background1"/>
                <w:sz w:val="20"/>
              </w:rPr>
              <w:t>Source Address</w:t>
            </w:r>
          </w:p>
        </w:tc>
        <w:tc>
          <w:tcPr>
            <w:tcW w:w="734" w:type="dxa"/>
            <w:shd w:val="clear" w:color="auto" w:fill="808080" w:themeFill="background1" w:themeFillShade="80"/>
          </w:tcPr>
          <w:p w14:paraId="2AC888E6" w14:textId="77777777" w:rsidR="00D67C9C" w:rsidRPr="00766BA9" w:rsidRDefault="00D67C9C" w:rsidP="00D67C9C">
            <w:pPr>
              <w:cnfStyle w:val="100000000000" w:firstRow="1" w:lastRow="0" w:firstColumn="0" w:lastColumn="0" w:oddVBand="0" w:evenVBand="0" w:oddHBand="0" w:evenHBand="0" w:firstRowFirstColumn="0" w:firstRowLastColumn="0" w:lastRowFirstColumn="0" w:lastRowLastColumn="0"/>
              <w:rPr>
                <w:color w:val="FFFFFF" w:themeColor="background1"/>
                <w:sz w:val="20"/>
              </w:rPr>
            </w:pPr>
            <w:r w:rsidRPr="00766BA9">
              <w:rPr>
                <w:color w:val="FFFFFF" w:themeColor="background1"/>
                <w:sz w:val="20"/>
              </w:rPr>
              <w:t>Source Port</w:t>
            </w:r>
          </w:p>
        </w:tc>
        <w:tc>
          <w:tcPr>
            <w:tcW w:w="1779" w:type="dxa"/>
            <w:shd w:val="clear" w:color="auto" w:fill="808080" w:themeFill="background1" w:themeFillShade="80"/>
          </w:tcPr>
          <w:p w14:paraId="6A389D4B" w14:textId="77777777" w:rsidR="00D67C9C" w:rsidRPr="00766BA9" w:rsidRDefault="00D67C9C" w:rsidP="00D67C9C">
            <w:pPr>
              <w:cnfStyle w:val="100000000000" w:firstRow="1" w:lastRow="0" w:firstColumn="0" w:lastColumn="0" w:oddVBand="0" w:evenVBand="0" w:oddHBand="0" w:evenHBand="0" w:firstRowFirstColumn="0" w:firstRowLastColumn="0" w:lastRowFirstColumn="0" w:lastRowLastColumn="0"/>
              <w:rPr>
                <w:color w:val="FFFFFF" w:themeColor="background1"/>
                <w:sz w:val="20"/>
              </w:rPr>
            </w:pPr>
            <w:r w:rsidRPr="00766BA9">
              <w:rPr>
                <w:color w:val="FFFFFF" w:themeColor="background1"/>
                <w:sz w:val="20"/>
              </w:rPr>
              <w:t>Destination Address</w:t>
            </w:r>
          </w:p>
        </w:tc>
        <w:tc>
          <w:tcPr>
            <w:tcW w:w="1144" w:type="dxa"/>
            <w:shd w:val="clear" w:color="auto" w:fill="808080" w:themeFill="background1" w:themeFillShade="80"/>
          </w:tcPr>
          <w:p w14:paraId="18F739DD" w14:textId="77777777" w:rsidR="00D67C9C" w:rsidRPr="00766BA9" w:rsidRDefault="00D67C9C" w:rsidP="00D67C9C">
            <w:pPr>
              <w:cnfStyle w:val="100000000000" w:firstRow="1" w:lastRow="0" w:firstColumn="0" w:lastColumn="0" w:oddVBand="0" w:evenVBand="0" w:oddHBand="0" w:evenHBand="0" w:firstRowFirstColumn="0" w:firstRowLastColumn="0" w:lastRowFirstColumn="0" w:lastRowLastColumn="0"/>
              <w:rPr>
                <w:color w:val="FFFFFF" w:themeColor="background1"/>
                <w:sz w:val="20"/>
              </w:rPr>
            </w:pPr>
            <w:r w:rsidRPr="00766BA9">
              <w:rPr>
                <w:color w:val="FFFFFF" w:themeColor="background1"/>
                <w:sz w:val="20"/>
              </w:rPr>
              <w:t>Destination Port</w:t>
            </w:r>
          </w:p>
        </w:tc>
        <w:tc>
          <w:tcPr>
            <w:tcW w:w="881" w:type="dxa"/>
            <w:shd w:val="clear" w:color="auto" w:fill="808080" w:themeFill="background1" w:themeFillShade="80"/>
          </w:tcPr>
          <w:p w14:paraId="381AF5B6" w14:textId="4D53D686" w:rsidR="00D67C9C" w:rsidRPr="00766BA9" w:rsidRDefault="00D67C9C" w:rsidP="00D67C9C">
            <w:pPr>
              <w:cnfStyle w:val="100000000000" w:firstRow="1" w:lastRow="0" w:firstColumn="0" w:lastColumn="0" w:oddVBand="0" w:evenVBand="0" w:oddHBand="0" w:evenHBand="0" w:firstRowFirstColumn="0" w:firstRowLastColumn="0" w:lastRowFirstColumn="0" w:lastRowLastColumn="0"/>
              <w:rPr>
                <w:color w:val="FFFFFF" w:themeColor="background1"/>
                <w:sz w:val="20"/>
              </w:rPr>
            </w:pPr>
            <w:r w:rsidRPr="00766BA9">
              <w:rPr>
                <w:color w:val="FFFFFF" w:themeColor="background1"/>
                <w:sz w:val="20"/>
              </w:rPr>
              <w:t>Protocol</w:t>
            </w:r>
          </w:p>
        </w:tc>
        <w:tc>
          <w:tcPr>
            <w:tcW w:w="747" w:type="dxa"/>
            <w:shd w:val="clear" w:color="auto" w:fill="808080" w:themeFill="background1" w:themeFillShade="80"/>
          </w:tcPr>
          <w:p w14:paraId="5F73912D" w14:textId="6CFCC4E8" w:rsidR="00D67C9C" w:rsidRPr="00766BA9" w:rsidRDefault="00D67C9C" w:rsidP="00D67C9C">
            <w:pPr>
              <w:cnfStyle w:val="100000000000" w:firstRow="1" w:lastRow="0" w:firstColumn="0" w:lastColumn="0" w:oddVBand="0" w:evenVBand="0" w:oddHBand="0" w:evenHBand="0" w:firstRowFirstColumn="0" w:firstRowLastColumn="0" w:lastRowFirstColumn="0" w:lastRowLastColumn="0"/>
              <w:rPr>
                <w:color w:val="FFFFFF" w:themeColor="background1"/>
                <w:sz w:val="20"/>
              </w:rPr>
            </w:pPr>
            <w:r w:rsidRPr="00766BA9">
              <w:rPr>
                <w:color w:val="FFFFFF" w:themeColor="background1"/>
                <w:sz w:val="20"/>
              </w:rPr>
              <w:t>Action</w:t>
            </w:r>
          </w:p>
        </w:tc>
      </w:tr>
      <w:tr w:rsidR="006D2BC2" w:rsidRPr="00766BA9" w14:paraId="0B52727F" w14:textId="77777777" w:rsidTr="00766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6" w:type="dxa"/>
          </w:tcPr>
          <w:p w14:paraId="4CBFD1C8" w14:textId="431A5F7E" w:rsidR="006D2BC2" w:rsidRPr="00766BA9" w:rsidRDefault="006D2BC2" w:rsidP="006D2BC2">
            <w:pPr>
              <w:rPr>
                <w:sz w:val="20"/>
              </w:rPr>
            </w:pPr>
            <w:r w:rsidRPr="00766BA9">
              <w:rPr>
                <w:sz w:val="20"/>
              </w:rPr>
              <w:t xml:space="preserve">Allow </w:t>
            </w:r>
            <w:r>
              <w:rPr>
                <w:sz w:val="20"/>
              </w:rPr>
              <w:t>virtual network</w:t>
            </w:r>
            <w:r w:rsidRPr="00766BA9">
              <w:rPr>
                <w:sz w:val="20"/>
              </w:rPr>
              <w:t xml:space="preserve"> </w:t>
            </w:r>
            <w:r>
              <w:rPr>
                <w:sz w:val="20"/>
              </w:rPr>
              <w:t>i</w:t>
            </w:r>
            <w:r w:rsidRPr="00766BA9">
              <w:rPr>
                <w:sz w:val="20"/>
              </w:rPr>
              <w:t>nbound</w:t>
            </w:r>
          </w:p>
        </w:tc>
        <w:tc>
          <w:tcPr>
            <w:tcW w:w="930" w:type="dxa"/>
          </w:tcPr>
          <w:p w14:paraId="75DFC197" w14:textId="3292D23D"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65000</w:t>
            </w:r>
          </w:p>
        </w:tc>
        <w:tc>
          <w:tcPr>
            <w:tcW w:w="1636" w:type="dxa"/>
          </w:tcPr>
          <w:p w14:paraId="2412B931" w14:textId="7982CE0C"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VIRTUAL_NETWORK</w:t>
            </w:r>
          </w:p>
        </w:tc>
        <w:tc>
          <w:tcPr>
            <w:tcW w:w="981" w:type="dxa"/>
          </w:tcPr>
          <w:p w14:paraId="7D573FAC" w14:textId="4AABC17B"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w:t>
            </w:r>
          </w:p>
        </w:tc>
        <w:tc>
          <w:tcPr>
            <w:tcW w:w="1636" w:type="dxa"/>
          </w:tcPr>
          <w:p w14:paraId="1732B681" w14:textId="066EC3E6"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VIRTUAL_NETWORK</w:t>
            </w:r>
          </w:p>
        </w:tc>
        <w:tc>
          <w:tcPr>
            <w:tcW w:w="1198" w:type="dxa"/>
          </w:tcPr>
          <w:p w14:paraId="0F9020A6" w14:textId="4DD9838C"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w:t>
            </w:r>
          </w:p>
        </w:tc>
        <w:tc>
          <w:tcPr>
            <w:tcW w:w="784" w:type="dxa"/>
          </w:tcPr>
          <w:p w14:paraId="2CD1A406" w14:textId="717F0022"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w:t>
            </w:r>
          </w:p>
        </w:tc>
        <w:tc>
          <w:tcPr>
            <w:tcW w:w="999" w:type="dxa"/>
          </w:tcPr>
          <w:p w14:paraId="2741331C" w14:textId="7CCE55DB"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A</w:t>
            </w:r>
            <w:r>
              <w:rPr>
                <w:sz w:val="20"/>
              </w:rPr>
              <w:t>llow</w:t>
            </w:r>
          </w:p>
        </w:tc>
      </w:tr>
      <w:tr w:rsidR="006D2BC2" w:rsidRPr="00766BA9" w14:paraId="33984754" w14:textId="77777777" w:rsidTr="006D2BC2">
        <w:tc>
          <w:tcPr>
            <w:cnfStyle w:val="001000000000" w:firstRow="0" w:lastRow="0" w:firstColumn="1" w:lastColumn="0" w:oddVBand="0" w:evenVBand="0" w:oddHBand="0" w:evenHBand="0" w:firstRowFirstColumn="0" w:firstRowLastColumn="0" w:lastRowFirstColumn="0" w:lastRowLastColumn="0"/>
            <w:tcW w:w="1138" w:type="dxa"/>
          </w:tcPr>
          <w:p w14:paraId="74FF23E3" w14:textId="0212FD25" w:rsidR="006D2BC2" w:rsidRPr="00766BA9" w:rsidRDefault="006D2BC2" w:rsidP="006D2BC2">
            <w:pPr>
              <w:rPr>
                <w:sz w:val="20"/>
              </w:rPr>
            </w:pPr>
            <w:r w:rsidRPr="00766BA9">
              <w:rPr>
                <w:sz w:val="20"/>
              </w:rPr>
              <w:t>A</w:t>
            </w:r>
            <w:r>
              <w:rPr>
                <w:sz w:val="20"/>
              </w:rPr>
              <w:t>llow</w:t>
            </w:r>
            <w:r w:rsidRPr="00766BA9">
              <w:rPr>
                <w:sz w:val="20"/>
              </w:rPr>
              <w:t xml:space="preserve"> Azure </w:t>
            </w:r>
            <w:r>
              <w:rPr>
                <w:sz w:val="20"/>
              </w:rPr>
              <w:t>l</w:t>
            </w:r>
            <w:r w:rsidRPr="00766BA9">
              <w:rPr>
                <w:sz w:val="20"/>
              </w:rPr>
              <w:t xml:space="preserve">oad </w:t>
            </w:r>
            <w:r>
              <w:rPr>
                <w:sz w:val="20"/>
              </w:rPr>
              <w:t>b</w:t>
            </w:r>
            <w:r w:rsidRPr="00766BA9">
              <w:rPr>
                <w:sz w:val="20"/>
              </w:rPr>
              <w:t xml:space="preserve">alancer </w:t>
            </w:r>
            <w:r>
              <w:rPr>
                <w:sz w:val="20"/>
              </w:rPr>
              <w:t>i</w:t>
            </w:r>
            <w:r w:rsidRPr="00766BA9">
              <w:rPr>
                <w:sz w:val="20"/>
              </w:rPr>
              <w:t>nbound</w:t>
            </w:r>
          </w:p>
        </w:tc>
        <w:tc>
          <w:tcPr>
            <w:tcW w:w="793" w:type="dxa"/>
          </w:tcPr>
          <w:p w14:paraId="7B10ACAE" w14:textId="0E90D5BB" w:rsidR="006D2BC2" w:rsidRPr="00766BA9" w:rsidRDefault="006D2BC2" w:rsidP="006D2BC2">
            <w:pPr>
              <w:cnfStyle w:val="000000000000" w:firstRow="0" w:lastRow="0" w:firstColumn="0" w:lastColumn="0" w:oddVBand="0" w:evenVBand="0" w:oddHBand="0" w:evenHBand="0" w:firstRowFirstColumn="0" w:firstRowLastColumn="0" w:lastRowFirstColumn="0" w:lastRowLastColumn="0"/>
              <w:rPr>
                <w:sz w:val="20"/>
              </w:rPr>
            </w:pPr>
            <w:r w:rsidRPr="00766BA9">
              <w:rPr>
                <w:sz w:val="20"/>
              </w:rPr>
              <w:t>65001</w:t>
            </w:r>
          </w:p>
        </w:tc>
        <w:tc>
          <w:tcPr>
            <w:tcW w:w="2134" w:type="dxa"/>
          </w:tcPr>
          <w:p w14:paraId="49BD7ABC" w14:textId="4C3F00DA" w:rsidR="006D2BC2" w:rsidRPr="00766BA9" w:rsidRDefault="006D2BC2" w:rsidP="006D2BC2">
            <w:pPr>
              <w:cnfStyle w:val="000000000000" w:firstRow="0" w:lastRow="0" w:firstColumn="0" w:lastColumn="0" w:oddVBand="0" w:evenVBand="0" w:oddHBand="0" w:evenHBand="0" w:firstRowFirstColumn="0" w:firstRowLastColumn="0" w:lastRowFirstColumn="0" w:lastRowLastColumn="0"/>
              <w:rPr>
                <w:sz w:val="20"/>
              </w:rPr>
            </w:pPr>
            <w:r w:rsidRPr="00766BA9">
              <w:rPr>
                <w:sz w:val="20"/>
              </w:rPr>
              <w:t>AZURE_LOADBALANCER</w:t>
            </w:r>
          </w:p>
        </w:tc>
        <w:tc>
          <w:tcPr>
            <w:tcW w:w="734" w:type="dxa"/>
          </w:tcPr>
          <w:p w14:paraId="051A4AF4" w14:textId="1BEC4608" w:rsidR="006D2BC2" w:rsidRPr="00766BA9" w:rsidRDefault="006D2BC2" w:rsidP="006D2BC2">
            <w:pPr>
              <w:cnfStyle w:val="000000000000" w:firstRow="0" w:lastRow="0" w:firstColumn="0" w:lastColumn="0" w:oddVBand="0" w:evenVBand="0" w:oddHBand="0" w:evenHBand="0" w:firstRowFirstColumn="0" w:firstRowLastColumn="0" w:lastRowFirstColumn="0" w:lastRowLastColumn="0"/>
              <w:rPr>
                <w:sz w:val="20"/>
              </w:rPr>
            </w:pPr>
            <w:r w:rsidRPr="00766BA9">
              <w:rPr>
                <w:sz w:val="20"/>
              </w:rPr>
              <w:t>*</w:t>
            </w:r>
          </w:p>
        </w:tc>
        <w:tc>
          <w:tcPr>
            <w:tcW w:w="1779" w:type="dxa"/>
          </w:tcPr>
          <w:p w14:paraId="5CBA1F26" w14:textId="17996CF7" w:rsidR="006D2BC2" w:rsidRPr="00766BA9" w:rsidRDefault="006D2BC2" w:rsidP="006D2BC2">
            <w:pPr>
              <w:cnfStyle w:val="000000000000" w:firstRow="0" w:lastRow="0" w:firstColumn="0" w:lastColumn="0" w:oddVBand="0" w:evenVBand="0" w:oddHBand="0" w:evenHBand="0" w:firstRowFirstColumn="0" w:firstRowLastColumn="0" w:lastRowFirstColumn="0" w:lastRowLastColumn="0"/>
              <w:rPr>
                <w:sz w:val="20"/>
              </w:rPr>
            </w:pPr>
            <w:r w:rsidRPr="00766BA9">
              <w:rPr>
                <w:sz w:val="20"/>
              </w:rPr>
              <w:t>*</w:t>
            </w:r>
          </w:p>
        </w:tc>
        <w:tc>
          <w:tcPr>
            <w:tcW w:w="1144" w:type="dxa"/>
          </w:tcPr>
          <w:p w14:paraId="6B49CA98" w14:textId="3C4F57A3" w:rsidR="006D2BC2" w:rsidRPr="00766BA9" w:rsidRDefault="006D2BC2" w:rsidP="006D2BC2">
            <w:pPr>
              <w:cnfStyle w:val="000000000000" w:firstRow="0" w:lastRow="0" w:firstColumn="0" w:lastColumn="0" w:oddVBand="0" w:evenVBand="0" w:oddHBand="0" w:evenHBand="0" w:firstRowFirstColumn="0" w:firstRowLastColumn="0" w:lastRowFirstColumn="0" w:lastRowLastColumn="0"/>
              <w:rPr>
                <w:sz w:val="20"/>
              </w:rPr>
            </w:pPr>
            <w:r w:rsidRPr="00766BA9">
              <w:rPr>
                <w:sz w:val="20"/>
              </w:rPr>
              <w:t>*</w:t>
            </w:r>
          </w:p>
        </w:tc>
        <w:tc>
          <w:tcPr>
            <w:tcW w:w="881" w:type="dxa"/>
          </w:tcPr>
          <w:p w14:paraId="47324F6D" w14:textId="53122E24" w:rsidR="006D2BC2" w:rsidRPr="00766BA9" w:rsidRDefault="006D2BC2" w:rsidP="006D2BC2">
            <w:pPr>
              <w:cnfStyle w:val="000000000000" w:firstRow="0" w:lastRow="0" w:firstColumn="0" w:lastColumn="0" w:oddVBand="0" w:evenVBand="0" w:oddHBand="0" w:evenHBand="0" w:firstRowFirstColumn="0" w:firstRowLastColumn="0" w:lastRowFirstColumn="0" w:lastRowLastColumn="0"/>
              <w:rPr>
                <w:sz w:val="20"/>
              </w:rPr>
            </w:pPr>
            <w:r w:rsidRPr="00766BA9">
              <w:rPr>
                <w:sz w:val="20"/>
              </w:rPr>
              <w:t>*</w:t>
            </w:r>
          </w:p>
        </w:tc>
        <w:tc>
          <w:tcPr>
            <w:tcW w:w="747" w:type="dxa"/>
          </w:tcPr>
          <w:p w14:paraId="08EE289A" w14:textId="1F5754FE" w:rsidR="006D2BC2" w:rsidRPr="00766BA9" w:rsidRDefault="006D2BC2" w:rsidP="006D2BC2">
            <w:pPr>
              <w:cnfStyle w:val="000000000000" w:firstRow="0" w:lastRow="0" w:firstColumn="0" w:lastColumn="0" w:oddVBand="0" w:evenVBand="0" w:oddHBand="0" w:evenHBand="0" w:firstRowFirstColumn="0" w:firstRowLastColumn="0" w:lastRowFirstColumn="0" w:lastRowLastColumn="0"/>
              <w:rPr>
                <w:sz w:val="20"/>
              </w:rPr>
            </w:pPr>
            <w:r w:rsidRPr="00766BA9">
              <w:rPr>
                <w:sz w:val="20"/>
              </w:rPr>
              <w:t>A</w:t>
            </w:r>
            <w:r>
              <w:rPr>
                <w:sz w:val="20"/>
              </w:rPr>
              <w:t>llow</w:t>
            </w:r>
          </w:p>
        </w:tc>
      </w:tr>
      <w:tr w:rsidR="006D2BC2" w:rsidRPr="00766BA9" w14:paraId="0EF7B628" w14:textId="77777777" w:rsidTr="006D2B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8" w:type="dxa"/>
          </w:tcPr>
          <w:p w14:paraId="03DF91FB" w14:textId="462CE1E8" w:rsidR="006D2BC2" w:rsidRPr="00766BA9" w:rsidRDefault="006D2BC2" w:rsidP="006D2BC2">
            <w:pPr>
              <w:rPr>
                <w:sz w:val="20"/>
              </w:rPr>
            </w:pPr>
            <w:r w:rsidRPr="00766BA9">
              <w:rPr>
                <w:sz w:val="20"/>
              </w:rPr>
              <w:t>D</w:t>
            </w:r>
            <w:r>
              <w:rPr>
                <w:sz w:val="20"/>
              </w:rPr>
              <w:t>eny all inbound</w:t>
            </w:r>
          </w:p>
        </w:tc>
        <w:tc>
          <w:tcPr>
            <w:tcW w:w="793" w:type="dxa"/>
          </w:tcPr>
          <w:p w14:paraId="32F00980" w14:textId="24A7A2E8"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65500</w:t>
            </w:r>
          </w:p>
        </w:tc>
        <w:tc>
          <w:tcPr>
            <w:tcW w:w="2134" w:type="dxa"/>
          </w:tcPr>
          <w:p w14:paraId="3DA939A2" w14:textId="6F950DC9"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w:t>
            </w:r>
          </w:p>
        </w:tc>
        <w:tc>
          <w:tcPr>
            <w:tcW w:w="734" w:type="dxa"/>
          </w:tcPr>
          <w:p w14:paraId="2014D64B" w14:textId="355989BD"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w:t>
            </w:r>
          </w:p>
        </w:tc>
        <w:tc>
          <w:tcPr>
            <w:tcW w:w="1779" w:type="dxa"/>
          </w:tcPr>
          <w:p w14:paraId="5A6DB7F0" w14:textId="46C45310"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w:t>
            </w:r>
          </w:p>
        </w:tc>
        <w:tc>
          <w:tcPr>
            <w:tcW w:w="1144" w:type="dxa"/>
          </w:tcPr>
          <w:p w14:paraId="3E3650F9" w14:textId="241F27B1"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w:t>
            </w:r>
          </w:p>
        </w:tc>
        <w:tc>
          <w:tcPr>
            <w:tcW w:w="881" w:type="dxa"/>
          </w:tcPr>
          <w:p w14:paraId="462B7853" w14:textId="432ED4CA"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w:t>
            </w:r>
          </w:p>
        </w:tc>
        <w:tc>
          <w:tcPr>
            <w:tcW w:w="747" w:type="dxa"/>
          </w:tcPr>
          <w:p w14:paraId="44CD31AE" w14:textId="5D4EE2A3"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D</w:t>
            </w:r>
            <w:r>
              <w:rPr>
                <w:sz w:val="20"/>
              </w:rPr>
              <w:t>eny</w:t>
            </w:r>
          </w:p>
        </w:tc>
      </w:tr>
    </w:tbl>
    <w:p w14:paraId="568FFFB7" w14:textId="0CB3D0C3" w:rsidR="00D67C9C" w:rsidRDefault="00D67C9C" w:rsidP="00E33F7E"/>
    <w:p w14:paraId="4060FC62" w14:textId="7CBBFE56" w:rsidR="00D67C9C" w:rsidRPr="00256000" w:rsidRDefault="00D67C9C" w:rsidP="00D67C9C">
      <w:pPr>
        <w:rPr>
          <w:b/>
        </w:rPr>
      </w:pPr>
      <w:r w:rsidRPr="00256000">
        <w:rPr>
          <w:b/>
        </w:rPr>
        <w:t>Default Outbound Network Security Group Rules</w:t>
      </w:r>
    </w:p>
    <w:tbl>
      <w:tblPr>
        <w:tblStyle w:val="PlainTable11"/>
        <w:tblW w:w="0" w:type="auto"/>
        <w:tblCellMar>
          <w:left w:w="72" w:type="dxa"/>
          <w:right w:w="72" w:type="dxa"/>
        </w:tblCellMar>
        <w:tblLook w:val="04A0" w:firstRow="1" w:lastRow="0" w:firstColumn="1" w:lastColumn="0" w:noHBand="0" w:noVBand="1"/>
      </w:tblPr>
      <w:tblGrid>
        <w:gridCol w:w="1189"/>
        <w:gridCol w:w="825"/>
        <w:gridCol w:w="1861"/>
        <w:gridCol w:w="763"/>
        <w:gridCol w:w="1861"/>
        <w:gridCol w:w="1194"/>
        <w:gridCol w:w="918"/>
        <w:gridCol w:w="739"/>
      </w:tblGrid>
      <w:tr w:rsidR="00766BA9" w:rsidRPr="00766BA9" w14:paraId="1B7E0FD3" w14:textId="77777777" w:rsidTr="006D2B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7" w:type="dxa"/>
            <w:shd w:val="clear" w:color="auto" w:fill="808080" w:themeFill="background1" w:themeFillShade="80"/>
          </w:tcPr>
          <w:p w14:paraId="63BF0C86" w14:textId="77777777" w:rsidR="00D67C9C" w:rsidRPr="00766BA9" w:rsidRDefault="00D67C9C" w:rsidP="00D67C9C">
            <w:pPr>
              <w:rPr>
                <w:color w:val="FFFFFF" w:themeColor="background1"/>
                <w:sz w:val="20"/>
              </w:rPr>
            </w:pPr>
            <w:r w:rsidRPr="00766BA9">
              <w:rPr>
                <w:color w:val="FFFFFF" w:themeColor="background1"/>
                <w:sz w:val="20"/>
              </w:rPr>
              <w:t>Description</w:t>
            </w:r>
          </w:p>
        </w:tc>
        <w:tc>
          <w:tcPr>
            <w:tcW w:w="817" w:type="dxa"/>
            <w:shd w:val="clear" w:color="auto" w:fill="808080" w:themeFill="background1" w:themeFillShade="80"/>
          </w:tcPr>
          <w:p w14:paraId="3350511D" w14:textId="77777777" w:rsidR="00D67C9C" w:rsidRPr="00766BA9" w:rsidRDefault="00D67C9C" w:rsidP="00D67C9C">
            <w:pPr>
              <w:cnfStyle w:val="100000000000" w:firstRow="1" w:lastRow="0" w:firstColumn="0" w:lastColumn="0" w:oddVBand="0" w:evenVBand="0" w:oddHBand="0" w:evenHBand="0" w:firstRowFirstColumn="0" w:firstRowLastColumn="0" w:lastRowFirstColumn="0" w:lastRowLastColumn="0"/>
              <w:rPr>
                <w:color w:val="FFFFFF" w:themeColor="background1"/>
                <w:sz w:val="20"/>
              </w:rPr>
            </w:pPr>
            <w:r w:rsidRPr="00766BA9">
              <w:rPr>
                <w:color w:val="FFFFFF" w:themeColor="background1"/>
                <w:sz w:val="20"/>
              </w:rPr>
              <w:t>Priority</w:t>
            </w:r>
          </w:p>
        </w:tc>
        <w:tc>
          <w:tcPr>
            <w:tcW w:w="1840" w:type="dxa"/>
            <w:shd w:val="clear" w:color="auto" w:fill="808080" w:themeFill="background1" w:themeFillShade="80"/>
          </w:tcPr>
          <w:p w14:paraId="2B44969C" w14:textId="77777777" w:rsidR="00D67C9C" w:rsidRPr="00766BA9" w:rsidRDefault="00D67C9C" w:rsidP="00D67C9C">
            <w:pPr>
              <w:cnfStyle w:val="100000000000" w:firstRow="1" w:lastRow="0" w:firstColumn="0" w:lastColumn="0" w:oddVBand="0" w:evenVBand="0" w:oddHBand="0" w:evenHBand="0" w:firstRowFirstColumn="0" w:firstRowLastColumn="0" w:lastRowFirstColumn="0" w:lastRowLastColumn="0"/>
              <w:rPr>
                <w:color w:val="FFFFFF" w:themeColor="background1"/>
                <w:sz w:val="20"/>
              </w:rPr>
            </w:pPr>
            <w:r w:rsidRPr="00766BA9">
              <w:rPr>
                <w:color w:val="FFFFFF" w:themeColor="background1"/>
                <w:sz w:val="20"/>
              </w:rPr>
              <w:t>Source Address</w:t>
            </w:r>
          </w:p>
        </w:tc>
        <w:tc>
          <w:tcPr>
            <w:tcW w:w="756" w:type="dxa"/>
            <w:shd w:val="clear" w:color="auto" w:fill="808080" w:themeFill="background1" w:themeFillShade="80"/>
          </w:tcPr>
          <w:p w14:paraId="0152A6AF" w14:textId="77777777" w:rsidR="00D67C9C" w:rsidRPr="00766BA9" w:rsidRDefault="00D67C9C" w:rsidP="00D67C9C">
            <w:pPr>
              <w:cnfStyle w:val="100000000000" w:firstRow="1" w:lastRow="0" w:firstColumn="0" w:lastColumn="0" w:oddVBand="0" w:evenVBand="0" w:oddHBand="0" w:evenHBand="0" w:firstRowFirstColumn="0" w:firstRowLastColumn="0" w:lastRowFirstColumn="0" w:lastRowLastColumn="0"/>
              <w:rPr>
                <w:color w:val="FFFFFF" w:themeColor="background1"/>
                <w:sz w:val="20"/>
              </w:rPr>
            </w:pPr>
            <w:r w:rsidRPr="00766BA9">
              <w:rPr>
                <w:color w:val="FFFFFF" w:themeColor="background1"/>
                <w:sz w:val="20"/>
              </w:rPr>
              <w:t>Source Port</w:t>
            </w:r>
          </w:p>
        </w:tc>
        <w:tc>
          <w:tcPr>
            <w:tcW w:w="1840" w:type="dxa"/>
            <w:shd w:val="clear" w:color="auto" w:fill="808080" w:themeFill="background1" w:themeFillShade="80"/>
          </w:tcPr>
          <w:p w14:paraId="5AD12A0A" w14:textId="77777777" w:rsidR="00D67C9C" w:rsidRPr="00766BA9" w:rsidRDefault="00D67C9C" w:rsidP="00D67C9C">
            <w:pPr>
              <w:cnfStyle w:val="100000000000" w:firstRow="1" w:lastRow="0" w:firstColumn="0" w:lastColumn="0" w:oddVBand="0" w:evenVBand="0" w:oddHBand="0" w:evenHBand="0" w:firstRowFirstColumn="0" w:firstRowLastColumn="0" w:lastRowFirstColumn="0" w:lastRowLastColumn="0"/>
              <w:rPr>
                <w:color w:val="FFFFFF" w:themeColor="background1"/>
                <w:sz w:val="20"/>
              </w:rPr>
            </w:pPr>
            <w:r w:rsidRPr="00766BA9">
              <w:rPr>
                <w:color w:val="FFFFFF" w:themeColor="background1"/>
                <w:sz w:val="20"/>
              </w:rPr>
              <w:t>Destination Address</w:t>
            </w:r>
          </w:p>
        </w:tc>
        <w:tc>
          <w:tcPr>
            <w:tcW w:w="1181" w:type="dxa"/>
            <w:shd w:val="clear" w:color="auto" w:fill="808080" w:themeFill="background1" w:themeFillShade="80"/>
          </w:tcPr>
          <w:p w14:paraId="2546B0C1" w14:textId="77777777" w:rsidR="00D67C9C" w:rsidRPr="00766BA9" w:rsidRDefault="00D67C9C" w:rsidP="00D67C9C">
            <w:pPr>
              <w:cnfStyle w:val="100000000000" w:firstRow="1" w:lastRow="0" w:firstColumn="0" w:lastColumn="0" w:oddVBand="0" w:evenVBand="0" w:oddHBand="0" w:evenHBand="0" w:firstRowFirstColumn="0" w:firstRowLastColumn="0" w:lastRowFirstColumn="0" w:lastRowLastColumn="0"/>
              <w:rPr>
                <w:color w:val="FFFFFF" w:themeColor="background1"/>
                <w:sz w:val="20"/>
              </w:rPr>
            </w:pPr>
            <w:r w:rsidRPr="00766BA9">
              <w:rPr>
                <w:color w:val="FFFFFF" w:themeColor="background1"/>
                <w:sz w:val="20"/>
              </w:rPr>
              <w:t>Destination Port</w:t>
            </w:r>
          </w:p>
        </w:tc>
        <w:tc>
          <w:tcPr>
            <w:tcW w:w="909" w:type="dxa"/>
            <w:shd w:val="clear" w:color="auto" w:fill="808080" w:themeFill="background1" w:themeFillShade="80"/>
          </w:tcPr>
          <w:p w14:paraId="23F7A95E" w14:textId="77777777" w:rsidR="00D67C9C" w:rsidRPr="00766BA9" w:rsidRDefault="00D67C9C" w:rsidP="00D67C9C">
            <w:pPr>
              <w:cnfStyle w:val="100000000000" w:firstRow="1" w:lastRow="0" w:firstColumn="0" w:lastColumn="0" w:oddVBand="0" w:evenVBand="0" w:oddHBand="0" w:evenHBand="0" w:firstRowFirstColumn="0" w:firstRowLastColumn="0" w:lastRowFirstColumn="0" w:lastRowLastColumn="0"/>
              <w:rPr>
                <w:color w:val="FFFFFF" w:themeColor="background1"/>
                <w:sz w:val="20"/>
              </w:rPr>
            </w:pPr>
            <w:r w:rsidRPr="00766BA9">
              <w:rPr>
                <w:color w:val="FFFFFF" w:themeColor="background1"/>
                <w:sz w:val="20"/>
              </w:rPr>
              <w:t>Protocol</w:t>
            </w:r>
          </w:p>
        </w:tc>
        <w:tc>
          <w:tcPr>
            <w:tcW w:w="770" w:type="dxa"/>
            <w:shd w:val="clear" w:color="auto" w:fill="808080" w:themeFill="background1" w:themeFillShade="80"/>
          </w:tcPr>
          <w:p w14:paraId="6F293909" w14:textId="77777777" w:rsidR="00D67C9C" w:rsidRPr="00766BA9" w:rsidRDefault="00D67C9C" w:rsidP="00D67C9C">
            <w:pPr>
              <w:cnfStyle w:val="100000000000" w:firstRow="1" w:lastRow="0" w:firstColumn="0" w:lastColumn="0" w:oddVBand="0" w:evenVBand="0" w:oddHBand="0" w:evenHBand="0" w:firstRowFirstColumn="0" w:firstRowLastColumn="0" w:lastRowFirstColumn="0" w:lastRowLastColumn="0"/>
              <w:rPr>
                <w:color w:val="FFFFFF" w:themeColor="background1"/>
                <w:sz w:val="20"/>
              </w:rPr>
            </w:pPr>
            <w:r w:rsidRPr="00766BA9">
              <w:rPr>
                <w:color w:val="FFFFFF" w:themeColor="background1"/>
                <w:sz w:val="20"/>
              </w:rPr>
              <w:t>Action</w:t>
            </w:r>
          </w:p>
        </w:tc>
      </w:tr>
      <w:tr w:rsidR="006D2BC2" w:rsidRPr="00766BA9" w14:paraId="7C07841C" w14:textId="77777777" w:rsidTr="00766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6" w:type="dxa"/>
          </w:tcPr>
          <w:p w14:paraId="4E31C760" w14:textId="2C8400CE" w:rsidR="006D2BC2" w:rsidRPr="00766BA9" w:rsidRDefault="006D2BC2" w:rsidP="006D2BC2">
            <w:pPr>
              <w:rPr>
                <w:sz w:val="20"/>
              </w:rPr>
            </w:pPr>
            <w:r w:rsidRPr="00766BA9">
              <w:rPr>
                <w:sz w:val="20"/>
              </w:rPr>
              <w:t xml:space="preserve">Allow </w:t>
            </w:r>
            <w:r>
              <w:rPr>
                <w:sz w:val="20"/>
              </w:rPr>
              <w:t>virtual network</w:t>
            </w:r>
            <w:r w:rsidRPr="00766BA9">
              <w:rPr>
                <w:sz w:val="20"/>
              </w:rPr>
              <w:t xml:space="preserve"> </w:t>
            </w:r>
            <w:r>
              <w:rPr>
                <w:sz w:val="20"/>
              </w:rPr>
              <w:t>o</w:t>
            </w:r>
            <w:r w:rsidRPr="00766BA9">
              <w:rPr>
                <w:sz w:val="20"/>
              </w:rPr>
              <w:t>utbound</w:t>
            </w:r>
          </w:p>
        </w:tc>
        <w:tc>
          <w:tcPr>
            <w:tcW w:w="930" w:type="dxa"/>
          </w:tcPr>
          <w:p w14:paraId="66BA90C7" w14:textId="5D2AEB78"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65000</w:t>
            </w:r>
          </w:p>
        </w:tc>
        <w:tc>
          <w:tcPr>
            <w:tcW w:w="1636" w:type="dxa"/>
          </w:tcPr>
          <w:p w14:paraId="1E511982" w14:textId="365F3E22"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VIRTUAL_NETWORK</w:t>
            </w:r>
          </w:p>
        </w:tc>
        <w:tc>
          <w:tcPr>
            <w:tcW w:w="981" w:type="dxa"/>
          </w:tcPr>
          <w:p w14:paraId="284C4354" w14:textId="5B38A252"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w:t>
            </w:r>
          </w:p>
        </w:tc>
        <w:tc>
          <w:tcPr>
            <w:tcW w:w="1636" w:type="dxa"/>
          </w:tcPr>
          <w:p w14:paraId="10BFC2B6" w14:textId="7D1C490D"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VIRTUAL_NETWORK</w:t>
            </w:r>
          </w:p>
        </w:tc>
        <w:tc>
          <w:tcPr>
            <w:tcW w:w="1198" w:type="dxa"/>
          </w:tcPr>
          <w:p w14:paraId="279D87C0" w14:textId="3B59D435"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w:t>
            </w:r>
          </w:p>
        </w:tc>
        <w:tc>
          <w:tcPr>
            <w:tcW w:w="784" w:type="dxa"/>
          </w:tcPr>
          <w:p w14:paraId="616D9D1A" w14:textId="1E94FFDA"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w:t>
            </w:r>
          </w:p>
        </w:tc>
        <w:tc>
          <w:tcPr>
            <w:tcW w:w="999" w:type="dxa"/>
          </w:tcPr>
          <w:p w14:paraId="4530CBCE" w14:textId="7B002199"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A</w:t>
            </w:r>
            <w:r>
              <w:rPr>
                <w:sz w:val="20"/>
              </w:rPr>
              <w:t>llow</w:t>
            </w:r>
          </w:p>
        </w:tc>
      </w:tr>
      <w:tr w:rsidR="006D2BC2" w:rsidRPr="00766BA9" w14:paraId="5F28EA95" w14:textId="77777777" w:rsidTr="006D2BC2">
        <w:tc>
          <w:tcPr>
            <w:cnfStyle w:val="001000000000" w:firstRow="0" w:lastRow="0" w:firstColumn="1" w:lastColumn="0" w:oddVBand="0" w:evenVBand="0" w:oddHBand="0" w:evenHBand="0" w:firstRowFirstColumn="0" w:firstRowLastColumn="0" w:lastRowFirstColumn="0" w:lastRowLastColumn="0"/>
            <w:tcW w:w="1237" w:type="dxa"/>
          </w:tcPr>
          <w:p w14:paraId="4764240D" w14:textId="184FC203" w:rsidR="006D2BC2" w:rsidRPr="00766BA9" w:rsidRDefault="006D2BC2" w:rsidP="006D2BC2">
            <w:pPr>
              <w:rPr>
                <w:sz w:val="20"/>
              </w:rPr>
            </w:pPr>
            <w:r>
              <w:rPr>
                <w:sz w:val="20"/>
              </w:rPr>
              <w:t>Allow Internet outbound</w:t>
            </w:r>
          </w:p>
        </w:tc>
        <w:tc>
          <w:tcPr>
            <w:tcW w:w="817" w:type="dxa"/>
          </w:tcPr>
          <w:p w14:paraId="67C7E68E" w14:textId="1A2743AF" w:rsidR="006D2BC2" w:rsidRPr="00766BA9" w:rsidRDefault="006D2BC2" w:rsidP="006D2BC2">
            <w:pPr>
              <w:cnfStyle w:val="000000000000" w:firstRow="0" w:lastRow="0" w:firstColumn="0" w:lastColumn="0" w:oddVBand="0" w:evenVBand="0" w:oddHBand="0" w:evenHBand="0" w:firstRowFirstColumn="0" w:firstRowLastColumn="0" w:lastRowFirstColumn="0" w:lastRowLastColumn="0"/>
              <w:rPr>
                <w:sz w:val="20"/>
              </w:rPr>
            </w:pPr>
            <w:r w:rsidRPr="00766BA9">
              <w:rPr>
                <w:sz w:val="20"/>
              </w:rPr>
              <w:t>65001</w:t>
            </w:r>
          </w:p>
        </w:tc>
        <w:tc>
          <w:tcPr>
            <w:tcW w:w="1840" w:type="dxa"/>
          </w:tcPr>
          <w:p w14:paraId="7AE4BBA3" w14:textId="4637A404" w:rsidR="006D2BC2" w:rsidRPr="00766BA9" w:rsidRDefault="006D2BC2" w:rsidP="006D2BC2">
            <w:pPr>
              <w:cnfStyle w:val="000000000000" w:firstRow="0" w:lastRow="0" w:firstColumn="0" w:lastColumn="0" w:oddVBand="0" w:evenVBand="0" w:oddHBand="0" w:evenHBand="0" w:firstRowFirstColumn="0" w:firstRowLastColumn="0" w:lastRowFirstColumn="0" w:lastRowLastColumn="0"/>
              <w:rPr>
                <w:sz w:val="20"/>
              </w:rPr>
            </w:pPr>
            <w:r w:rsidRPr="00766BA9">
              <w:rPr>
                <w:sz w:val="20"/>
              </w:rPr>
              <w:t>*</w:t>
            </w:r>
          </w:p>
        </w:tc>
        <w:tc>
          <w:tcPr>
            <w:tcW w:w="756" w:type="dxa"/>
          </w:tcPr>
          <w:p w14:paraId="33FF4531" w14:textId="029979D9" w:rsidR="006D2BC2" w:rsidRPr="00766BA9" w:rsidRDefault="006D2BC2" w:rsidP="006D2BC2">
            <w:pPr>
              <w:cnfStyle w:val="000000000000" w:firstRow="0" w:lastRow="0" w:firstColumn="0" w:lastColumn="0" w:oddVBand="0" w:evenVBand="0" w:oddHBand="0" w:evenHBand="0" w:firstRowFirstColumn="0" w:firstRowLastColumn="0" w:lastRowFirstColumn="0" w:lastRowLastColumn="0"/>
              <w:rPr>
                <w:sz w:val="20"/>
              </w:rPr>
            </w:pPr>
            <w:r w:rsidRPr="00766BA9">
              <w:rPr>
                <w:sz w:val="20"/>
              </w:rPr>
              <w:t>*</w:t>
            </w:r>
          </w:p>
        </w:tc>
        <w:tc>
          <w:tcPr>
            <w:tcW w:w="1840" w:type="dxa"/>
          </w:tcPr>
          <w:p w14:paraId="630E2EB5" w14:textId="52AAAA5A" w:rsidR="006D2BC2" w:rsidRPr="00766BA9" w:rsidRDefault="006D2BC2" w:rsidP="006D2BC2">
            <w:pPr>
              <w:cnfStyle w:val="000000000000" w:firstRow="0" w:lastRow="0" w:firstColumn="0" w:lastColumn="0" w:oddVBand="0" w:evenVBand="0" w:oddHBand="0" w:evenHBand="0" w:firstRowFirstColumn="0" w:firstRowLastColumn="0" w:lastRowFirstColumn="0" w:lastRowLastColumn="0"/>
              <w:rPr>
                <w:sz w:val="20"/>
              </w:rPr>
            </w:pPr>
            <w:r w:rsidRPr="00766BA9">
              <w:rPr>
                <w:sz w:val="20"/>
              </w:rPr>
              <w:t>INTERNET</w:t>
            </w:r>
          </w:p>
        </w:tc>
        <w:tc>
          <w:tcPr>
            <w:tcW w:w="1181" w:type="dxa"/>
          </w:tcPr>
          <w:p w14:paraId="3222C1A7" w14:textId="1CA71289" w:rsidR="006D2BC2" w:rsidRPr="00766BA9" w:rsidRDefault="006D2BC2" w:rsidP="006D2BC2">
            <w:pPr>
              <w:cnfStyle w:val="000000000000" w:firstRow="0" w:lastRow="0" w:firstColumn="0" w:lastColumn="0" w:oddVBand="0" w:evenVBand="0" w:oddHBand="0" w:evenHBand="0" w:firstRowFirstColumn="0" w:firstRowLastColumn="0" w:lastRowFirstColumn="0" w:lastRowLastColumn="0"/>
              <w:rPr>
                <w:sz w:val="20"/>
              </w:rPr>
            </w:pPr>
            <w:r w:rsidRPr="00766BA9">
              <w:rPr>
                <w:sz w:val="20"/>
              </w:rPr>
              <w:t>*</w:t>
            </w:r>
          </w:p>
        </w:tc>
        <w:tc>
          <w:tcPr>
            <w:tcW w:w="909" w:type="dxa"/>
          </w:tcPr>
          <w:p w14:paraId="7A6BECB8" w14:textId="2C337E9C" w:rsidR="006D2BC2" w:rsidRPr="00766BA9" w:rsidRDefault="006D2BC2" w:rsidP="006D2BC2">
            <w:pPr>
              <w:cnfStyle w:val="000000000000" w:firstRow="0" w:lastRow="0" w:firstColumn="0" w:lastColumn="0" w:oddVBand="0" w:evenVBand="0" w:oddHBand="0" w:evenHBand="0" w:firstRowFirstColumn="0" w:firstRowLastColumn="0" w:lastRowFirstColumn="0" w:lastRowLastColumn="0"/>
              <w:rPr>
                <w:sz w:val="20"/>
              </w:rPr>
            </w:pPr>
            <w:r w:rsidRPr="00766BA9">
              <w:rPr>
                <w:sz w:val="20"/>
              </w:rPr>
              <w:t>*</w:t>
            </w:r>
          </w:p>
        </w:tc>
        <w:tc>
          <w:tcPr>
            <w:tcW w:w="770" w:type="dxa"/>
          </w:tcPr>
          <w:p w14:paraId="196552DF" w14:textId="0FF80EAF" w:rsidR="006D2BC2" w:rsidRPr="00766BA9" w:rsidRDefault="006D2BC2" w:rsidP="006D2BC2">
            <w:pPr>
              <w:cnfStyle w:val="000000000000" w:firstRow="0" w:lastRow="0" w:firstColumn="0" w:lastColumn="0" w:oddVBand="0" w:evenVBand="0" w:oddHBand="0" w:evenHBand="0" w:firstRowFirstColumn="0" w:firstRowLastColumn="0" w:lastRowFirstColumn="0" w:lastRowLastColumn="0"/>
              <w:rPr>
                <w:sz w:val="20"/>
              </w:rPr>
            </w:pPr>
            <w:r w:rsidRPr="00766BA9">
              <w:rPr>
                <w:sz w:val="20"/>
              </w:rPr>
              <w:t>A</w:t>
            </w:r>
            <w:r>
              <w:rPr>
                <w:sz w:val="20"/>
              </w:rPr>
              <w:t>llow</w:t>
            </w:r>
          </w:p>
        </w:tc>
      </w:tr>
      <w:tr w:rsidR="006D2BC2" w:rsidRPr="00766BA9" w14:paraId="11EC4665" w14:textId="77777777" w:rsidTr="006D2B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7" w:type="dxa"/>
          </w:tcPr>
          <w:p w14:paraId="3FBC5176" w14:textId="5C1B2B2C" w:rsidR="006D2BC2" w:rsidRPr="00766BA9" w:rsidRDefault="006D2BC2" w:rsidP="006D2BC2">
            <w:pPr>
              <w:rPr>
                <w:sz w:val="20"/>
              </w:rPr>
            </w:pPr>
            <w:r>
              <w:rPr>
                <w:sz w:val="20"/>
              </w:rPr>
              <w:t>Deny all outbound</w:t>
            </w:r>
          </w:p>
        </w:tc>
        <w:tc>
          <w:tcPr>
            <w:tcW w:w="817" w:type="dxa"/>
          </w:tcPr>
          <w:p w14:paraId="368DF4F5" w14:textId="49A03A1E"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65500</w:t>
            </w:r>
          </w:p>
        </w:tc>
        <w:tc>
          <w:tcPr>
            <w:tcW w:w="1840" w:type="dxa"/>
          </w:tcPr>
          <w:p w14:paraId="7EFB33B7" w14:textId="622E7174"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w:t>
            </w:r>
          </w:p>
        </w:tc>
        <w:tc>
          <w:tcPr>
            <w:tcW w:w="756" w:type="dxa"/>
          </w:tcPr>
          <w:p w14:paraId="05FBF616" w14:textId="222107DB"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w:t>
            </w:r>
          </w:p>
        </w:tc>
        <w:tc>
          <w:tcPr>
            <w:tcW w:w="1840" w:type="dxa"/>
          </w:tcPr>
          <w:p w14:paraId="2E1C4E2F" w14:textId="26771806"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w:t>
            </w:r>
          </w:p>
        </w:tc>
        <w:tc>
          <w:tcPr>
            <w:tcW w:w="1181" w:type="dxa"/>
          </w:tcPr>
          <w:p w14:paraId="0EF030A7" w14:textId="01AF2A87"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w:t>
            </w:r>
          </w:p>
        </w:tc>
        <w:tc>
          <w:tcPr>
            <w:tcW w:w="909" w:type="dxa"/>
          </w:tcPr>
          <w:p w14:paraId="2F872666" w14:textId="5314FA14"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w:t>
            </w:r>
          </w:p>
        </w:tc>
        <w:tc>
          <w:tcPr>
            <w:tcW w:w="770" w:type="dxa"/>
          </w:tcPr>
          <w:p w14:paraId="6ED8E594" w14:textId="07E21EAF"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D</w:t>
            </w:r>
            <w:r>
              <w:rPr>
                <w:sz w:val="20"/>
              </w:rPr>
              <w:t>eny</w:t>
            </w:r>
          </w:p>
        </w:tc>
      </w:tr>
    </w:tbl>
    <w:p w14:paraId="7CEAD95E" w14:textId="77777777" w:rsidR="00D67C9C" w:rsidRDefault="00D67C9C" w:rsidP="00E33F7E"/>
    <w:p w14:paraId="7E83BEC7" w14:textId="3E2A42BF" w:rsidR="00E33F7E" w:rsidRPr="00256000" w:rsidRDefault="00E33F7E" w:rsidP="00E33F7E">
      <w:pPr>
        <w:rPr>
          <w:b/>
        </w:rPr>
      </w:pPr>
      <w:r w:rsidRPr="00256000">
        <w:rPr>
          <w:b/>
        </w:rPr>
        <w:t xml:space="preserve">Subscription Limits for </w:t>
      </w:r>
      <w:r w:rsidR="00065101" w:rsidRPr="000A6CB0">
        <w:rPr>
          <w:b/>
        </w:rPr>
        <w:t>Network Security Group</w:t>
      </w:r>
      <w:r w:rsidR="00065101">
        <w:rPr>
          <w:b/>
        </w:rPr>
        <w:t>s</w:t>
      </w:r>
      <w:r w:rsidR="00065101" w:rsidRPr="000A6CB0">
        <w:rPr>
          <w:b/>
        </w:rPr>
        <w:t xml:space="preserve"> </w:t>
      </w:r>
    </w:p>
    <w:tbl>
      <w:tblPr>
        <w:tblStyle w:val="PlainTable11"/>
        <w:tblW w:w="0" w:type="auto"/>
        <w:tblLook w:val="04A0" w:firstRow="1" w:lastRow="0" w:firstColumn="1" w:lastColumn="0" w:noHBand="0" w:noVBand="1"/>
      </w:tblPr>
      <w:tblGrid>
        <w:gridCol w:w="1962"/>
        <w:gridCol w:w="4065"/>
        <w:gridCol w:w="3323"/>
      </w:tblGrid>
      <w:tr w:rsidR="00766BA9" w:rsidRPr="00766BA9" w14:paraId="0BE0F041" w14:textId="52E7FC6F" w:rsidTr="00907ED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62" w:type="dxa"/>
            <w:shd w:val="clear" w:color="auto" w:fill="808080" w:themeFill="background1" w:themeFillShade="80"/>
          </w:tcPr>
          <w:p w14:paraId="47801A0C" w14:textId="0D15CD37" w:rsidR="00E33F7E" w:rsidRPr="00766BA9" w:rsidRDefault="00E33F7E" w:rsidP="00E33F7E">
            <w:pPr>
              <w:rPr>
                <w:color w:val="FFFFFF" w:themeColor="background1"/>
                <w:sz w:val="20"/>
                <w:lang w:eastAsia="ja-JP"/>
              </w:rPr>
            </w:pPr>
            <w:r w:rsidRPr="00766BA9">
              <w:rPr>
                <w:color w:val="FFFFFF" w:themeColor="background1"/>
                <w:sz w:val="20"/>
                <w:lang w:eastAsia="ja-JP"/>
              </w:rPr>
              <w:t>Object</w:t>
            </w:r>
          </w:p>
        </w:tc>
        <w:tc>
          <w:tcPr>
            <w:tcW w:w="4065" w:type="dxa"/>
            <w:shd w:val="clear" w:color="auto" w:fill="808080" w:themeFill="background1" w:themeFillShade="80"/>
          </w:tcPr>
          <w:p w14:paraId="351B1A5E" w14:textId="07571830" w:rsidR="00E33F7E" w:rsidRPr="00766BA9" w:rsidRDefault="002A0D2E" w:rsidP="00E33F7E">
            <w:pPr>
              <w:cnfStyle w:val="100000000000" w:firstRow="1" w:lastRow="0" w:firstColumn="0" w:lastColumn="0" w:oddVBand="0" w:evenVBand="0" w:oddHBand="0" w:evenHBand="0" w:firstRowFirstColumn="0" w:firstRowLastColumn="0" w:lastRowFirstColumn="0" w:lastRowLastColumn="0"/>
              <w:rPr>
                <w:color w:val="FFFFFF" w:themeColor="background1"/>
                <w:sz w:val="20"/>
                <w:lang w:eastAsia="ja-JP"/>
              </w:rPr>
            </w:pPr>
            <w:r>
              <w:rPr>
                <w:color w:val="FFFFFF" w:themeColor="background1"/>
                <w:sz w:val="20"/>
                <w:lang w:eastAsia="ja-JP"/>
              </w:rPr>
              <w:t xml:space="preserve">Service Management </w:t>
            </w:r>
            <w:r w:rsidR="00E33F7E" w:rsidRPr="00766BA9">
              <w:rPr>
                <w:color w:val="FFFFFF" w:themeColor="background1"/>
                <w:sz w:val="20"/>
                <w:lang w:eastAsia="ja-JP"/>
              </w:rPr>
              <w:t>Subscription Limit</w:t>
            </w:r>
          </w:p>
        </w:tc>
        <w:tc>
          <w:tcPr>
            <w:tcW w:w="3323" w:type="dxa"/>
            <w:shd w:val="clear" w:color="auto" w:fill="808080" w:themeFill="background1" w:themeFillShade="80"/>
          </w:tcPr>
          <w:p w14:paraId="399B24FD" w14:textId="5E7B01BF" w:rsidR="002A0D2E" w:rsidRDefault="002A0D2E" w:rsidP="00E33F7E">
            <w:pPr>
              <w:cnfStyle w:val="100000000000" w:firstRow="1" w:lastRow="0" w:firstColumn="0" w:lastColumn="0" w:oddVBand="0" w:evenVBand="0" w:oddHBand="0" w:evenHBand="0" w:firstRowFirstColumn="0" w:firstRowLastColumn="0" w:lastRowFirstColumn="0" w:lastRowLastColumn="0"/>
              <w:rPr>
                <w:color w:val="FFFFFF" w:themeColor="background1"/>
                <w:sz w:val="20"/>
                <w:lang w:eastAsia="ja-JP"/>
              </w:rPr>
            </w:pPr>
            <w:r>
              <w:rPr>
                <w:color w:val="FFFFFF" w:themeColor="background1"/>
                <w:sz w:val="20"/>
                <w:lang w:eastAsia="ja-JP"/>
              </w:rPr>
              <w:t>Resource Management Subscription Limits</w:t>
            </w:r>
          </w:p>
        </w:tc>
      </w:tr>
      <w:tr w:rsidR="006D2BC2" w:rsidRPr="00766BA9" w14:paraId="07109D2B" w14:textId="1E8E99C0" w:rsidTr="00907E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62" w:type="dxa"/>
          </w:tcPr>
          <w:p w14:paraId="261EE723" w14:textId="1010B461" w:rsidR="006D2BC2" w:rsidRPr="00766BA9" w:rsidRDefault="006D2BC2" w:rsidP="006D2BC2">
            <w:pPr>
              <w:rPr>
                <w:sz w:val="20"/>
                <w:lang w:eastAsia="ja-JP"/>
              </w:rPr>
            </w:pPr>
            <w:r w:rsidRPr="00766BA9">
              <w:rPr>
                <w:sz w:val="20"/>
                <w:lang w:eastAsia="ja-JP"/>
              </w:rPr>
              <w:t>Network Security Groups</w:t>
            </w:r>
          </w:p>
        </w:tc>
        <w:tc>
          <w:tcPr>
            <w:tcW w:w="4065" w:type="dxa"/>
          </w:tcPr>
          <w:p w14:paraId="3C3B868F" w14:textId="77777777"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lang w:eastAsia="ja-JP"/>
              </w:rPr>
            </w:pPr>
            <w:r w:rsidRPr="00766BA9">
              <w:rPr>
                <w:sz w:val="20"/>
                <w:lang w:eastAsia="ja-JP"/>
              </w:rPr>
              <w:t>100</w:t>
            </w:r>
            <w:r>
              <w:rPr>
                <w:sz w:val="20"/>
                <w:lang w:eastAsia="ja-JP"/>
              </w:rPr>
              <w:t xml:space="preserve"> per s</w:t>
            </w:r>
            <w:r w:rsidRPr="00766BA9">
              <w:rPr>
                <w:sz w:val="20"/>
                <w:lang w:eastAsia="ja-JP"/>
              </w:rPr>
              <w:t>ubscription</w:t>
            </w:r>
          </w:p>
          <w:p w14:paraId="52A5F4BD" w14:textId="77777777"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lang w:eastAsia="ja-JP"/>
              </w:rPr>
            </w:pPr>
            <w:r w:rsidRPr="00766BA9">
              <w:rPr>
                <w:sz w:val="20"/>
                <w:lang w:eastAsia="ja-JP"/>
              </w:rPr>
              <w:t xml:space="preserve">1 </w:t>
            </w:r>
            <w:r>
              <w:rPr>
                <w:sz w:val="20"/>
                <w:lang w:eastAsia="ja-JP"/>
              </w:rPr>
              <w:t>Network Security Group per s</w:t>
            </w:r>
            <w:r w:rsidRPr="00766BA9">
              <w:rPr>
                <w:sz w:val="20"/>
                <w:lang w:eastAsia="ja-JP"/>
              </w:rPr>
              <w:t>ubnet</w:t>
            </w:r>
          </w:p>
          <w:p w14:paraId="43AAD9DE" w14:textId="77777777"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lang w:eastAsia="ja-JP"/>
              </w:rPr>
            </w:pPr>
            <w:r w:rsidRPr="00766BA9">
              <w:rPr>
                <w:sz w:val="20"/>
                <w:lang w:eastAsia="ja-JP"/>
              </w:rPr>
              <w:t xml:space="preserve">1 </w:t>
            </w:r>
            <w:r>
              <w:rPr>
                <w:sz w:val="20"/>
                <w:lang w:eastAsia="ja-JP"/>
              </w:rPr>
              <w:t>Network Security Group per virtual machine</w:t>
            </w:r>
          </w:p>
          <w:p w14:paraId="0C74E002" w14:textId="77777777"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lang w:eastAsia="ja-JP"/>
              </w:rPr>
            </w:pPr>
            <w:r>
              <w:rPr>
                <w:sz w:val="20"/>
                <w:lang w:eastAsia="ja-JP"/>
              </w:rPr>
              <w:t>1 Network Security Group per network adapter</w:t>
            </w:r>
          </w:p>
          <w:p w14:paraId="0A95E849" w14:textId="7AC275B4"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lang w:eastAsia="ja-JP"/>
              </w:rPr>
            </w:pPr>
            <w:r w:rsidRPr="00766BA9">
              <w:rPr>
                <w:sz w:val="20"/>
                <w:lang w:eastAsia="ja-JP"/>
              </w:rPr>
              <w:t xml:space="preserve">1 </w:t>
            </w:r>
            <w:r>
              <w:rPr>
                <w:sz w:val="20"/>
                <w:lang w:eastAsia="ja-JP"/>
              </w:rPr>
              <w:t>Network Security Group</w:t>
            </w:r>
            <w:r w:rsidRPr="00766BA9">
              <w:rPr>
                <w:sz w:val="20"/>
                <w:lang w:eastAsia="ja-JP"/>
              </w:rPr>
              <w:t xml:space="preserve"> can be linked to multiple subnets</w:t>
            </w:r>
            <w:r>
              <w:rPr>
                <w:sz w:val="20"/>
                <w:lang w:eastAsia="ja-JP"/>
              </w:rPr>
              <w:t>, virtual machines, or network adapters</w:t>
            </w:r>
          </w:p>
        </w:tc>
        <w:tc>
          <w:tcPr>
            <w:tcW w:w="3323" w:type="dxa"/>
          </w:tcPr>
          <w:p w14:paraId="25353066" w14:textId="77777777" w:rsidR="006D2BC2" w:rsidRDefault="006D2BC2" w:rsidP="006D2BC2">
            <w:pPr>
              <w:cnfStyle w:val="000000100000" w:firstRow="0" w:lastRow="0" w:firstColumn="0" w:lastColumn="0" w:oddVBand="0" w:evenVBand="0" w:oddHBand="1" w:evenHBand="0" w:firstRowFirstColumn="0" w:firstRowLastColumn="0" w:lastRowFirstColumn="0" w:lastRowLastColumn="0"/>
              <w:rPr>
                <w:sz w:val="20"/>
                <w:lang w:eastAsia="ja-JP"/>
              </w:rPr>
            </w:pPr>
            <w:r>
              <w:rPr>
                <w:sz w:val="20"/>
                <w:lang w:eastAsia="ja-JP"/>
              </w:rPr>
              <w:t>100 per region/per subscription</w:t>
            </w:r>
          </w:p>
          <w:p w14:paraId="048E86AF" w14:textId="77777777"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lang w:eastAsia="ja-JP"/>
              </w:rPr>
            </w:pPr>
            <w:r w:rsidRPr="00766BA9">
              <w:rPr>
                <w:sz w:val="20"/>
                <w:lang w:eastAsia="ja-JP"/>
              </w:rPr>
              <w:t xml:space="preserve">1 </w:t>
            </w:r>
            <w:r>
              <w:rPr>
                <w:sz w:val="20"/>
                <w:lang w:eastAsia="ja-JP"/>
              </w:rPr>
              <w:t>Network Security Group per s</w:t>
            </w:r>
            <w:r w:rsidRPr="00766BA9">
              <w:rPr>
                <w:sz w:val="20"/>
                <w:lang w:eastAsia="ja-JP"/>
              </w:rPr>
              <w:t>ubnet</w:t>
            </w:r>
          </w:p>
          <w:p w14:paraId="6AD1A1F1" w14:textId="77777777"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lang w:eastAsia="ja-JP"/>
              </w:rPr>
            </w:pPr>
            <w:r w:rsidRPr="00766BA9">
              <w:rPr>
                <w:sz w:val="20"/>
                <w:lang w:eastAsia="ja-JP"/>
              </w:rPr>
              <w:t xml:space="preserve">1 </w:t>
            </w:r>
            <w:r>
              <w:rPr>
                <w:sz w:val="20"/>
                <w:lang w:eastAsia="ja-JP"/>
              </w:rPr>
              <w:t>Network Security Group per virtual machine</w:t>
            </w:r>
          </w:p>
          <w:p w14:paraId="073E8780" w14:textId="77777777" w:rsidR="006D2BC2" w:rsidRPr="00766BA9" w:rsidRDefault="006D2BC2" w:rsidP="006D2BC2">
            <w:pPr>
              <w:cnfStyle w:val="000000100000" w:firstRow="0" w:lastRow="0" w:firstColumn="0" w:lastColumn="0" w:oddVBand="0" w:evenVBand="0" w:oddHBand="1" w:evenHBand="0" w:firstRowFirstColumn="0" w:firstRowLastColumn="0" w:lastRowFirstColumn="0" w:lastRowLastColumn="0"/>
              <w:rPr>
                <w:sz w:val="20"/>
                <w:lang w:eastAsia="ja-JP"/>
              </w:rPr>
            </w:pPr>
            <w:r>
              <w:rPr>
                <w:sz w:val="20"/>
                <w:lang w:eastAsia="ja-JP"/>
              </w:rPr>
              <w:t>1 Network Security Group per network adapter</w:t>
            </w:r>
          </w:p>
          <w:p w14:paraId="5F4EEB11" w14:textId="04E0F12D" w:rsidR="006D2BC2" w:rsidRDefault="006D2BC2" w:rsidP="006D2BC2">
            <w:pPr>
              <w:cnfStyle w:val="000000100000" w:firstRow="0" w:lastRow="0" w:firstColumn="0" w:lastColumn="0" w:oddVBand="0" w:evenVBand="0" w:oddHBand="1" w:evenHBand="0" w:firstRowFirstColumn="0" w:firstRowLastColumn="0" w:lastRowFirstColumn="0" w:lastRowLastColumn="0"/>
              <w:rPr>
                <w:sz w:val="20"/>
                <w:lang w:eastAsia="ja-JP"/>
              </w:rPr>
            </w:pPr>
            <w:r w:rsidRPr="00766BA9">
              <w:rPr>
                <w:sz w:val="20"/>
                <w:lang w:eastAsia="ja-JP"/>
              </w:rPr>
              <w:t xml:space="preserve">1 </w:t>
            </w:r>
            <w:r>
              <w:rPr>
                <w:sz w:val="20"/>
                <w:lang w:eastAsia="ja-JP"/>
              </w:rPr>
              <w:t>Network Security Group</w:t>
            </w:r>
            <w:r w:rsidRPr="00766BA9">
              <w:rPr>
                <w:sz w:val="20"/>
                <w:lang w:eastAsia="ja-JP"/>
              </w:rPr>
              <w:t xml:space="preserve"> can be linked to multiple subnets</w:t>
            </w:r>
            <w:r>
              <w:rPr>
                <w:sz w:val="20"/>
                <w:lang w:eastAsia="ja-JP"/>
              </w:rPr>
              <w:t>, virtual machines, or network adapters</w:t>
            </w:r>
          </w:p>
        </w:tc>
      </w:tr>
      <w:tr w:rsidR="006D2BC2" w:rsidRPr="00766BA9" w14:paraId="1177F48E" w14:textId="154C75A1" w:rsidTr="00907EDE">
        <w:tc>
          <w:tcPr>
            <w:cnfStyle w:val="001000000000" w:firstRow="0" w:lastRow="0" w:firstColumn="1" w:lastColumn="0" w:oddVBand="0" w:evenVBand="0" w:oddHBand="0" w:evenHBand="0" w:firstRowFirstColumn="0" w:firstRowLastColumn="0" w:lastRowFirstColumn="0" w:lastRowLastColumn="0"/>
            <w:tcW w:w="1962" w:type="dxa"/>
          </w:tcPr>
          <w:p w14:paraId="4F6D939A" w14:textId="0950590B" w:rsidR="006D2BC2" w:rsidRPr="00766BA9" w:rsidRDefault="006D2BC2" w:rsidP="006D2BC2">
            <w:pPr>
              <w:rPr>
                <w:sz w:val="20"/>
                <w:lang w:eastAsia="ja-JP"/>
              </w:rPr>
            </w:pPr>
            <w:r w:rsidRPr="00766BA9">
              <w:rPr>
                <w:sz w:val="20"/>
                <w:lang w:eastAsia="ja-JP"/>
              </w:rPr>
              <w:t xml:space="preserve">Network Security Group </w:t>
            </w:r>
            <w:r>
              <w:rPr>
                <w:sz w:val="20"/>
                <w:lang w:eastAsia="ja-JP"/>
              </w:rPr>
              <w:t>r</w:t>
            </w:r>
            <w:r w:rsidRPr="00766BA9">
              <w:rPr>
                <w:sz w:val="20"/>
                <w:lang w:eastAsia="ja-JP"/>
              </w:rPr>
              <w:t>ules</w:t>
            </w:r>
          </w:p>
        </w:tc>
        <w:tc>
          <w:tcPr>
            <w:tcW w:w="4065" w:type="dxa"/>
          </w:tcPr>
          <w:p w14:paraId="39C4584F" w14:textId="1ABD7977" w:rsidR="006D2BC2" w:rsidRPr="00766BA9" w:rsidRDefault="006D2BC2" w:rsidP="006D2BC2">
            <w:pPr>
              <w:cnfStyle w:val="000000000000" w:firstRow="0" w:lastRow="0" w:firstColumn="0" w:lastColumn="0" w:oddVBand="0" w:evenVBand="0" w:oddHBand="0" w:evenHBand="0" w:firstRowFirstColumn="0" w:firstRowLastColumn="0" w:lastRowFirstColumn="0" w:lastRowLastColumn="0"/>
              <w:rPr>
                <w:sz w:val="20"/>
                <w:lang w:eastAsia="ja-JP"/>
              </w:rPr>
            </w:pPr>
            <w:r>
              <w:rPr>
                <w:sz w:val="20"/>
                <w:lang w:eastAsia="ja-JP"/>
              </w:rPr>
              <w:t>1</w:t>
            </w:r>
            <w:r w:rsidRPr="00766BA9">
              <w:rPr>
                <w:sz w:val="20"/>
                <w:lang w:eastAsia="ja-JP"/>
              </w:rPr>
              <w:t>00 Rules/</w:t>
            </w:r>
            <w:r>
              <w:rPr>
                <w:sz w:val="20"/>
                <w:lang w:eastAsia="ja-JP"/>
              </w:rPr>
              <w:t>Network Security Group*</w:t>
            </w:r>
          </w:p>
        </w:tc>
        <w:tc>
          <w:tcPr>
            <w:tcW w:w="3323" w:type="dxa"/>
          </w:tcPr>
          <w:p w14:paraId="23683BCC" w14:textId="28C15550" w:rsidR="006D2BC2" w:rsidRDefault="006D2BC2" w:rsidP="006D2BC2">
            <w:pPr>
              <w:cnfStyle w:val="000000000000" w:firstRow="0" w:lastRow="0" w:firstColumn="0" w:lastColumn="0" w:oddVBand="0" w:evenVBand="0" w:oddHBand="0" w:evenHBand="0" w:firstRowFirstColumn="0" w:firstRowLastColumn="0" w:lastRowFirstColumn="0" w:lastRowLastColumn="0"/>
              <w:rPr>
                <w:sz w:val="20"/>
                <w:lang w:eastAsia="ja-JP"/>
              </w:rPr>
            </w:pPr>
            <w:r>
              <w:rPr>
                <w:sz w:val="20"/>
                <w:lang w:eastAsia="ja-JP"/>
              </w:rPr>
              <w:t>1</w:t>
            </w:r>
            <w:r w:rsidRPr="00766BA9">
              <w:rPr>
                <w:sz w:val="20"/>
                <w:lang w:eastAsia="ja-JP"/>
              </w:rPr>
              <w:t xml:space="preserve">00 </w:t>
            </w:r>
            <w:r>
              <w:rPr>
                <w:sz w:val="20"/>
                <w:lang w:eastAsia="ja-JP"/>
              </w:rPr>
              <w:t>r</w:t>
            </w:r>
            <w:r w:rsidRPr="00766BA9">
              <w:rPr>
                <w:sz w:val="20"/>
                <w:lang w:eastAsia="ja-JP"/>
              </w:rPr>
              <w:t>ules</w:t>
            </w:r>
            <w:r>
              <w:rPr>
                <w:sz w:val="20"/>
                <w:lang w:eastAsia="ja-JP"/>
              </w:rPr>
              <w:t xml:space="preserve"> per Network Security Group*</w:t>
            </w:r>
          </w:p>
        </w:tc>
      </w:tr>
    </w:tbl>
    <w:p w14:paraId="09C2A037" w14:textId="77777777" w:rsidR="00A838EF" w:rsidRPr="00E33F7E" w:rsidRDefault="00A838EF" w:rsidP="00A838EF">
      <w:bookmarkStart w:id="4718" w:name="_Toc414892123"/>
      <w:bookmarkStart w:id="4719" w:name="_Toc414960146"/>
      <w:bookmarkStart w:id="4720" w:name="_Toc414969117"/>
      <w:bookmarkStart w:id="4721" w:name="_Toc415011339"/>
      <w:bookmarkStart w:id="4722" w:name="_Toc415040029"/>
      <w:bookmarkStart w:id="4723" w:name="_Toc415572386"/>
      <w:bookmarkStart w:id="4724" w:name="_Toc415735556"/>
      <w:bookmarkStart w:id="4725" w:name="_Toc415814137"/>
      <w:bookmarkStart w:id="4726" w:name="_Toc416343872"/>
      <w:bookmarkStart w:id="4727" w:name="_Toc416863144"/>
      <w:r>
        <w:t>*Can be increased by Microsoft support personnel to a maximum of 400 rules per Network Security Group.</w:t>
      </w:r>
    </w:p>
    <w:p w14:paraId="526DD2A9" w14:textId="0A890EB0" w:rsidR="00306978" w:rsidRDefault="00A838EF" w:rsidP="00A838EF">
      <w:r>
        <w:t>Default tags are system-provided identifiers to address a category of IP addresses. Default tags can be specified in customer-defined rules. The default tags are as follows</w:t>
      </w:r>
      <w:r w:rsidR="00306978">
        <w:t>:</w:t>
      </w:r>
    </w:p>
    <w:tbl>
      <w:tblPr>
        <w:tblStyle w:val="PlainTable11"/>
        <w:tblW w:w="0" w:type="auto"/>
        <w:tblLook w:val="04A0" w:firstRow="1" w:lastRow="0" w:firstColumn="1" w:lastColumn="0" w:noHBand="0" w:noVBand="1"/>
      </w:tblPr>
      <w:tblGrid>
        <w:gridCol w:w="2517"/>
        <w:gridCol w:w="6833"/>
      </w:tblGrid>
      <w:tr w:rsidR="00766BA9" w:rsidRPr="00766BA9" w14:paraId="4976D020" w14:textId="77777777" w:rsidTr="00A838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7" w:type="dxa"/>
            <w:shd w:val="clear" w:color="auto" w:fill="808080" w:themeFill="background1" w:themeFillShade="80"/>
          </w:tcPr>
          <w:p w14:paraId="5869A0A3" w14:textId="6246C685" w:rsidR="00306978" w:rsidRPr="00766BA9" w:rsidRDefault="00306978" w:rsidP="00613B5A">
            <w:pPr>
              <w:rPr>
                <w:color w:val="FFFFFF" w:themeColor="background1"/>
                <w:sz w:val="20"/>
                <w:lang w:eastAsia="ja-JP"/>
              </w:rPr>
            </w:pPr>
            <w:r w:rsidRPr="00766BA9">
              <w:rPr>
                <w:color w:val="FFFFFF" w:themeColor="background1"/>
                <w:sz w:val="20"/>
                <w:lang w:eastAsia="ja-JP"/>
              </w:rPr>
              <w:t>Tag</w:t>
            </w:r>
          </w:p>
        </w:tc>
        <w:tc>
          <w:tcPr>
            <w:tcW w:w="6833" w:type="dxa"/>
            <w:shd w:val="clear" w:color="auto" w:fill="808080" w:themeFill="background1" w:themeFillShade="80"/>
          </w:tcPr>
          <w:p w14:paraId="67447CDB" w14:textId="3D497172" w:rsidR="00306978" w:rsidRPr="00766BA9" w:rsidRDefault="00306978" w:rsidP="00613B5A">
            <w:pPr>
              <w:cnfStyle w:val="100000000000" w:firstRow="1" w:lastRow="0" w:firstColumn="0" w:lastColumn="0" w:oddVBand="0" w:evenVBand="0" w:oddHBand="0" w:evenHBand="0" w:firstRowFirstColumn="0" w:firstRowLastColumn="0" w:lastRowFirstColumn="0" w:lastRowLastColumn="0"/>
              <w:rPr>
                <w:color w:val="FFFFFF" w:themeColor="background1"/>
                <w:sz w:val="20"/>
                <w:lang w:eastAsia="ja-JP"/>
              </w:rPr>
            </w:pPr>
            <w:r w:rsidRPr="00766BA9">
              <w:rPr>
                <w:color w:val="FFFFFF" w:themeColor="background1"/>
                <w:sz w:val="20"/>
                <w:lang w:eastAsia="ja-JP"/>
              </w:rPr>
              <w:t>Description</w:t>
            </w:r>
          </w:p>
        </w:tc>
      </w:tr>
      <w:tr w:rsidR="00A838EF" w:rsidRPr="00766BA9" w14:paraId="5E5F4F73" w14:textId="77777777" w:rsidTr="00766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0" w:type="dxa"/>
          </w:tcPr>
          <w:p w14:paraId="3637E395" w14:textId="431B7B10" w:rsidR="00A838EF" w:rsidRPr="00766BA9" w:rsidRDefault="00A838EF" w:rsidP="00A838EF">
            <w:pPr>
              <w:rPr>
                <w:sz w:val="20"/>
                <w:lang w:eastAsia="ja-JP"/>
              </w:rPr>
            </w:pPr>
            <w:r w:rsidRPr="00766BA9">
              <w:rPr>
                <w:sz w:val="20"/>
              </w:rPr>
              <w:t>VIRTUAL_NETWORK</w:t>
            </w:r>
          </w:p>
        </w:tc>
        <w:tc>
          <w:tcPr>
            <w:tcW w:w="7290" w:type="dxa"/>
          </w:tcPr>
          <w:p w14:paraId="1922929D" w14:textId="7263AEBA" w:rsidR="00A838EF" w:rsidRPr="00766BA9" w:rsidRDefault="00A838EF" w:rsidP="00A838EF">
            <w:pPr>
              <w:cnfStyle w:val="000000100000" w:firstRow="0" w:lastRow="0" w:firstColumn="0" w:lastColumn="0" w:oddVBand="0" w:evenVBand="0" w:oddHBand="1" w:evenHBand="0" w:firstRowFirstColumn="0" w:firstRowLastColumn="0" w:lastRowFirstColumn="0" w:lastRowLastColumn="0"/>
              <w:rPr>
                <w:sz w:val="20"/>
                <w:lang w:eastAsia="ja-JP"/>
              </w:rPr>
            </w:pPr>
            <w:r w:rsidRPr="00766BA9">
              <w:rPr>
                <w:sz w:val="20"/>
              </w:rPr>
              <w:t>This default tag denotes all of your network address space. It includes the virtual network address space (</w:t>
            </w:r>
            <w:r>
              <w:rPr>
                <w:sz w:val="20"/>
              </w:rPr>
              <w:t>IP</w:t>
            </w:r>
            <w:r w:rsidRPr="00766BA9">
              <w:rPr>
                <w:sz w:val="20"/>
              </w:rPr>
              <w:t xml:space="preserve"> CIDR in Azure) </w:t>
            </w:r>
            <w:r>
              <w:rPr>
                <w:sz w:val="20"/>
              </w:rPr>
              <w:t>and</w:t>
            </w:r>
            <w:r w:rsidRPr="00766BA9">
              <w:rPr>
                <w:sz w:val="20"/>
              </w:rPr>
              <w:t xml:space="preserve"> all connected on-premises address space</w:t>
            </w:r>
            <w:r>
              <w:rPr>
                <w:sz w:val="20"/>
              </w:rPr>
              <w:t>s</w:t>
            </w:r>
            <w:r w:rsidRPr="00766BA9">
              <w:rPr>
                <w:sz w:val="20"/>
              </w:rPr>
              <w:t xml:space="preserve"> (</w:t>
            </w:r>
            <w:r>
              <w:rPr>
                <w:sz w:val="20"/>
              </w:rPr>
              <w:t>l</w:t>
            </w:r>
            <w:r w:rsidRPr="00766BA9">
              <w:rPr>
                <w:sz w:val="20"/>
              </w:rPr>
              <w:t xml:space="preserve">ocal </w:t>
            </w:r>
            <w:r>
              <w:rPr>
                <w:sz w:val="20"/>
              </w:rPr>
              <w:t>n</w:t>
            </w:r>
            <w:r w:rsidRPr="00766BA9">
              <w:rPr>
                <w:sz w:val="20"/>
              </w:rPr>
              <w:t xml:space="preserve">etworks). </w:t>
            </w:r>
            <w:r>
              <w:rPr>
                <w:sz w:val="20"/>
              </w:rPr>
              <w:t>It</w:t>
            </w:r>
            <w:r w:rsidRPr="00766BA9">
              <w:rPr>
                <w:sz w:val="20"/>
              </w:rPr>
              <w:t xml:space="preserve"> also includes </w:t>
            </w:r>
            <w:r>
              <w:rPr>
                <w:sz w:val="20"/>
              </w:rPr>
              <w:t>virtual network-</w:t>
            </w:r>
            <w:r w:rsidRPr="00766BA9">
              <w:rPr>
                <w:sz w:val="20"/>
              </w:rPr>
              <w:t>to</w:t>
            </w:r>
            <w:r>
              <w:rPr>
                <w:sz w:val="20"/>
              </w:rPr>
              <w:t>-virtual network</w:t>
            </w:r>
            <w:r w:rsidRPr="00766BA9">
              <w:rPr>
                <w:sz w:val="20"/>
              </w:rPr>
              <w:t xml:space="preserve"> address spaces.</w:t>
            </w:r>
          </w:p>
        </w:tc>
      </w:tr>
      <w:tr w:rsidR="00A838EF" w:rsidRPr="00766BA9" w14:paraId="0E7BC394" w14:textId="77777777" w:rsidTr="00A838EF">
        <w:tc>
          <w:tcPr>
            <w:cnfStyle w:val="001000000000" w:firstRow="0" w:lastRow="0" w:firstColumn="1" w:lastColumn="0" w:oddVBand="0" w:evenVBand="0" w:oddHBand="0" w:evenHBand="0" w:firstRowFirstColumn="0" w:firstRowLastColumn="0" w:lastRowFirstColumn="0" w:lastRowLastColumn="0"/>
            <w:tcW w:w="2517" w:type="dxa"/>
          </w:tcPr>
          <w:p w14:paraId="76C005DD" w14:textId="3FE06C67" w:rsidR="00A838EF" w:rsidRPr="00766BA9" w:rsidRDefault="00A838EF" w:rsidP="00A838EF">
            <w:pPr>
              <w:rPr>
                <w:sz w:val="20"/>
              </w:rPr>
            </w:pPr>
            <w:r w:rsidRPr="00766BA9">
              <w:rPr>
                <w:sz w:val="20"/>
              </w:rPr>
              <w:t>AZURE_LOADBALANCER</w:t>
            </w:r>
          </w:p>
        </w:tc>
        <w:tc>
          <w:tcPr>
            <w:tcW w:w="6833" w:type="dxa"/>
          </w:tcPr>
          <w:p w14:paraId="3FADED77" w14:textId="13B6748C" w:rsidR="00A838EF" w:rsidRPr="00766BA9" w:rsidRDefault="00A838EF" w:rsidP="00A838EF">
            <w:pPr>
              <w:cnfStyle w:val="000000000000" w:firstRow="0" w:lastRow="0" w:firstColumn="0" w:lastColumn="0" w:oddVBand="0" w:evenVBand="0" w:oddHBand="0" w:evenHBand="0" w:firstRowFirstColumn="0" w:firstRowLastColumn="0" w:lastRowFirstColumn="0" w:lastRowLastColumn="0"/>
              <w:rPr>
                <w:sz w:val="20"/>
              </w:rPr>
            </w:pPr>
            <w:r w:rsidRPr="00766BA9">
              <w:rPr>
                <w:sz w:val="20"/>
              </w:rPr>
              <w:t xml:space="preserve">This default tag denotes </w:t>
            </w:r>
            <w:r>
              <w:rPr>
                <w:sz w:val="20"/>
              </w:rPr>
              <w:t xml:space="preserve">the </w:t>
            </w:r>
            <w:r w:rsidRPr="00766BA9">
              <w:rPr>
                <w:sz w:val="20"/>
              </w:rPr>
              <w:t xml:space="preserve">load balancer </w:t>
            </w:r>
            <w:r>
              <w:rPr>
                <w:sz w:val="20"/>
              </w:rPr>
              <w:t>for the Azure i</w:t>
            </w:r>
            <w:r w:rsidRPr="00766BA9">
              <w:rPr>
                <w:sz w:val="20"/>
              </w:rPr>
              <w:t>nfrastructure. This translate</w:t>
            </w:r>
            <w:r>
              <w:rPr>
                <w:sz w:val="20"/>
              </w:rPr>
              <w:t>s</w:t>
            </w:r>
            <w:r w:rsidRPr="00766BA9">
              <w:rPr>
                <w:sz w:val="20"/>
              </w:rPr>
              <w:t xml:space="preserve"> to an </w:t>
            </w:r>
            <w:r>
              <w:rPr>
                <w:sz w:val="20"/>
              </w:rPr>
              <w:t>IP address</w:t>
            </w:r>
            <w:r w:rsidRPr="00766BA9">
              <w:rPr>
                <w:sz w:val="20"/>
              </w:rPr>
              <w:t xml:space="preserve"> </w:t>
            </w:r>
            <w:r>
              <w:rPr>
                <w:sz w:val="20"/>
              </w:rPr>
              <w:t xml:space="preserve">for an Azure datacenter </w:t>
            </w:r>
            <w:r w:rsidRPr="00766BA9">
              <w:rPr>
                <w:sz w:val="20"/>
              </w:rPr>
              <w:t xml:space="preserve">where </w:t>
            </w:r>
            <w:r>
              <w:rPr>
                <w:sz w:val="20"/>
              </w:rPr>
              <w:t xml:space="preserve">the </w:t>
            </w:r>
            <w:r w:rsidRPr="00766BA9">
              <w:rPr>
                <w:sz w:val="20"/>
              </w:rPr>
              <w:t xml:space="preserve">health probes originate. This is needed only if the </w:t>
            </w:r>
            <w:r>
              <w:rPr>
                <w:sz w:val="20"/>
              </w:rPr>
              <w:t>virtual machine</w:t>
            </w:r>
            <w:r w:rsidRPr="00766BA9">
              <w:rPr>
                <w:sz w:val="20"/>
              </w:rPr>
              <w:t xml:space="preserve"> or set of </w:t>
            </w:r>
            <w:r>
              <w:rPr>
                <w:sz w:val="20"/>
              </w:rPr>
              <w:t>virtual machines</w:t>
            </w:r>
            <w:r w:rsidRPr="00766BA9">
              <w:rPr>
                <w:sz w:val="20"/>
              </w:rPr>
              <w:t xml:space="preserve"> associated with the </w:t>
            </w:r>
            <w:r>
              <w:rPr>
                <w:sz w:val="20"/>
              </w:rPr>
              <w:t>Network Security Group</w:t>
            </w:r>
            <w:r w:rsidRPr="00766BA9">
              <w:rPr>
                <w:sz w:val="20"/>
              </w:rPr>
              <w:t xml:space="preserve"> is participating in a load balanced set. Note this is not the actual load balancer </w:t>
            </w:r>
            <w:r>
              <w:rPr>
                <w:sz w:val="20"/>
              </w:rPr>
              <w:t>IP address</w:t>
            </w:r>
            <w:r w:rsidRPr="00766BA9">
              <w:rPr>
                <w:sz w:val="20"/>
              </w:rPr>
              <w:t>.</w:t>
            </w:r>
          </w:p>
        </w:tc>
      </w:tr>
      <w:tr w:rsidR="00A838EF" w:rsidRPr="00766BA9" w14:paraId="42DC7387" w14:textId="77777777" w:rsidTr="00A838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7" w:type="dxa"/>
          </w:tcPr>
          <w:p w14:paraId="17617604" w14:textId="2FC44247" w:rsidR="00A838EF" w:rsidRPr="00766BA9" w:rsidRDefault="00A838EF" w:rsidP="00A838EF">
            <w:pPr>
              <w:rPr>
                <w:sz w:val="20"/>
              </w:rPr>
            </w:pPr>
            <w:r w:rsidRPr="00766BA9">
              <w:rPr>
                <w:sz w:val="20"/>
              </w:rPr>
              <w:t>INTERNET</w:t>
            </w:r>
          </w:p>
        </w:tc>
        <w:tc>
          <w:tcPr>
            <w:tcW w:w="6833" w:type="dxa"/>
          </w:tcPr>
          <w:p w14:paraId="10F93114" w14:textId="11CB6203" w:rsidR="00A838EF" w:rsidRPr="00766BA9" w:rsidRDefault="00A838EF" w:rsidP="00A838EF">
            <w:pPr>
              <w:cnfStyle w:val="000000100000" w:firstRow="0" w:lastRow="0" w:firstColumn="0" w:lastColumn="0" w:oddVBand="0" w:evenVBand="0" w:oddHBand="1" w:evenHBand="0" w:firstRowFirstColumn="0" w:firstRowLastColumn="0" w:lastRowFirstColumn="0" w:lastRowLastColumn="0"/>
              <w:rPr>
                <w:sz w:val="20"/>
              </w:rPr>
            </w:pPr>
            <w:r w:rsidRPr="00766BA9">
              <w:rPr>
                <w:sz w:val="20"/>
              </w:rPr>
              <w:t xml:space="preserve">This default tag denotes the </w:t>
            </w:r>
            <w:r>
              <w:rPr>
                <w:sz w:val="20"/>
              </w:rPr>
              <w:t>IP</w:t>
            </w:r>
            <w:r w:rsidRPr="00766BA9">
              <w:rPr>
                <w:sz w:val="20"/>
              </w:rPr>
              <w:t xml:space="preserve"> </w:t>
            </w:r>
            <w:r>
              <w:rPr>
                <w:sz w:val="20"/>
              </w:rPr>
              <w:t>a</w:t>
            </w:r>
            <w:r w:rsidRPr="00766BA9">
              <w:rPr>
                <w:sz w:val="20"/>
              </w:rPr>
              <w:t xml:space="preserve">ddress space that is outside the virtual network and reachable by public Internet. This range includes </w:t>
            </w:r>
            <w:r>
              <w:rPr>
                <w:sz w:val="20"/>
              </w:rPr>
              <w:t>the</w:t>
            </w:r>
            <w:r w:rsidRPr="00766BA9">
              <w:rPr>
                <w:sz w:val="20"/>
              </w:rPr>
              <w:t xml:space="preserve"> public </w:t>
            </w:r>
            <w:r>
              <w:rPr>
                <w:sz w:val="20"/>
              </w:rPr>
              <w:t>IP</w:t>
            </w:r>
            <w:r w:rsidRPr="00766BA9">
              <w:rPr>
                <w:sz w:val="20"/>
              </w:rPr>
              <w:t xml:space="preserve"> space </w:t>
            </w:r>
            <w:r>
              <w:rPr>
                <w:sz w:val="20"/>
              </w:rPr>
              <w:t>that is owned by Azure</w:t>
            </w:r>
            <w:r w:rsidRPr="00766BA9">
              <w:rPr>
                <w:sz w:val="20"/>
              </w:rPr>
              <w:t>. If you use this tag for outbound restrictions, you potentially will not be able to access an Azure PaaS service unless you have a higher priority rule that grants access to that service.</w:t>
            </w:r>
          </w:p>
        </w:tc>
      </w:tr>
    </w:tbl>
    <w:p w14:paraId="6C77FBA6" w14:textId="0B04541C" w:rsidR="00306978" w:rsidRDefault="00306978" w:rsidP="00E33F7E"/>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7B0CFF" w14:paraId="022F014A" w14:textId="77777777" w:rsidTr="00A838EF">
        <w:trPr>
          <w:trHeight w:val="423"/>
        </w:trPr>
        <w:tc>
          <w:tcPr>
            <w:tcW w:w="666" w:type="dxa"/>
          </w:tcPr>
          <w:p w14:paraId="2102F366" w14:textId="77777777" w:rsidR="007B0CFF" w:rsidRDefault="007B0CFF" w:rsidP="00BE5A26">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7C5F2973" wp14:editId="5D174AB4">
                      <wp:extent cx="200025" cy="180975"/>
                      <wp:effectExtent l="57150" t="19050" r="28575" b="104775"/>
                      <wp:docPr id="1546650181" name="Octagon 1546650181"/>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8DBBF9E" id="Octagon 1546650181"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E0OeAIAAFwFAAAOAAAAZHJzL2Uyb0RvYy54bWysVN1r2zAQfx/sfxB6X21nST9CnRJSOgal&#10;DWtHnxVZSgSSTpOUONlfv5PsuKErFMZe5Dvf993v7vpmbzTZCR8U2JpWZyUlwnJolF3X9Ofz3ZdL&#10;SkJktmEarKjpQQR6M/v86bp1UzGCDehGeIJObJi2rqabGN20KALfCMPCGThhUSjBGxaR9eui8axF&#10;70YXo7I8L1rwjfPARQj497YT0ln2L6Xg8VHKICLRNcXcYn59flfpLWbXbLr2zG0U79Ng/5CFYcpi&#10;0MHVLYuMbL36y5VR3EMAGc84mAKkVFzkGrCaqnxTzdOGOZFrweYEN7Qp/D+3/GG39EQ1OLvJ+Px8&#10;UlaXFSWWGZzVI49sDZacSLBdrQtTtHpyS99zAclU+156k75YFdnnFh+GFot9JBx/4szK0YQSjqLq&#10;sry6mKQRFK/Gzof4TYAhiagpdDnk3rLdfYid9lErhQugVXOntM6MX68W2pMdw4EvFhgtzxgDnKgV&#10;qYYu60zFgxbJWNsfQmIzMM8qR8wwFIM/xrmwcdRnnLWTmcTYg+HXjw17/WQqMkQH49HHxoNFjgw2&#10;DsZGWfDvOdCx6lOWnT42/KTuRK6gOSAOPHQLEhy/U9j/exbiknncCNwd3PL4iI/U0OJgeoqSDfjf&#10;7/1P+ghUlFLS4obVNPzaMi8o0d8tQviqGo/TSmZmPLkYIeNPJatTid2aBeBMEZ2YXSaTftRHUnow&#10;L3gM5ikqipjlGLumPPojs4jd5uM54WI+z2q4ho7Fe/vk+HHqCVzP+xfmXQ/CiOh9gOM2sukbIHa6&#10;aR4W5tsIUmWUvva17zeucIZ6f27SjTjls9brUZz9AQ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A3ETQ54AgAAXA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094048A1" w14:textId="7C5907BA" w:rsidR="007B0CFF" w:rsidRDefault="007B0CFF" w:rsidP="007B0CFF">
            <w:pPr>
              <w:rPr>
                <w:lang w:eastAsia="en-US"/>
              </w:rPr>
            </w:pPr>
            <w:r w:rsidRPr="00192064">
              <w:rPr>
                <w:b/>
                <w:lang w:eastAsia="en-US"/>
              </w:rPr>
              <w:t>Mandatory</w:t>
            </w:r>
            <w:r>
              <w:rPr>
                <w:lang w:eastAsia="en-US"/>
              </w:rPr>
              <w:t xml:space="preserve">:  </w:t>
            </w:r>
            <w:r w:rsidR="00A838EF">
              <w:rPr>
                <w:lang w:eastAsia="en-US"/>
              </w:rPr>
              <w:t>Network Security Groups must be assigned to a subnet, virtual machine, or network adapter for any of the rules to affect traffic</w:t>
            </w:r>
            <w:r>
              <w:rPr>
                <w:lang w:eastAsia="en-US"/>
              </w:rPr>
              <w:t>.</w:t>
            </w:r>
          </w:p>
        </w:tc>
      </w:tr>
      <w:tr w:rsidR="00977D4E" w14:paraId="79C5C309" w14:textId="77777777" w:rsidTr="00A838EF">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423"/>
        </w:trPr>
        <w:tc>
          <w:tcPr>
            <w:tcW w:w="666" w:type="dxa"/>
            <w:tcBorders>
              <w:top w:val="nil"/>
              <w:left w:val="nil"/>
              <w:bottom w:val="nil"/>
              <w:right w:val="nil"/>
            </w:tcBorders>
          </w:tcPr>
          <w:p w14:paraId="3C0316B1" w14:textId="77777777" w:rsidR="00977D4E" w:rsidRDefault="00977D4E" w:rsidP="00B60808">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503616" behindDoc="0" locked="0" layoutInCell="1" allowOverlap="1" wp14:anchorId="32D82D67" wp14:editId="6199BCF2">
                      <wp:simplePos x="0" y="0"/>
                      <wp:positionH relativeFrom="column">
                        <wp:posOffset>66675</wp:posOffset>
                      </wp:positionH>
                      <wp:positionV relativeFrom="paragraph">
                        <wp:posOffset>90170</wp:posOffset>
                      </wp:positionV>
                      <wp:extent cx="209550" cy="180975"/>
                      <wp:effectExtent l="57150" t="19050" r="57150" b="104775"/>
                      <wp:wrapNone/>
                      <wp:docPr id="181" name="Isosceles Triangle 1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671B56B2" id="Isosceles Triangle 181" o:spid="_x0000_s1026" type="#_x0000_t5" style="position:absolute;margin-left:5.25pt;margin-top:7.1pt;width:16.5pt;height:14.25pt;z-index:25150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U8ChgIAAHMFAAAOAAAAZHJzL2Uyb0RvYy54bWysVNtOGzEQfa/Uf7D8XnaTEiCrbFAESoUU&#10;AQIqnh2vnVj1elzbySb9+o69FyhFQqq6D5Zn58z9jGeXh1qTvXBegSnp6CSnRBgOlTKbkn5/Wn65&#10;oMQHZiqmwYiSHoWnl/PPn2aNLcQYtqAr4Qg6Mb5obEm3Idgiyzzfipr5E7DCoFKCq1lA0W2yyrEG&#10;vdc6G+f5WdaAq6wDLrzHv9etks6TfykFD3dSehGILinmFtLp0rmOZzafsWLjmN0q3qXB/iGLmimD&#10;QQdX1ywwsnPqL1e14g48yHDCoc5ASsVFqgGrGeVvqnncMitSLdgcb4c2+f/nlt/u7x1RFc7uYkSJ&#10;YTUO6caD50ILT56cYmajBYla7FVjfYEmj/bexWq9XQH/4VGR/aGJgu8wB+nqiMVaySE1/jg0XhwC&#10;4fhznE8nExwPR9XoIp+eT2KwjBW9sXU+fBNQk3gpaejSSi1n+5UPLbyHpdxAq2qptE6C26yvtCN7&#10;hjxY4pen0WME/wJLNbRppwLCUYtorM2DkNgjTHSUIiZ2isEf41yYcNalnNDRTGLswfDrx4YdPpqK&#10;xNzBePyx8WCRIoMJg3GtDLj3HOiQRoo9kC2+m6Jv644tWEN1RHo4aPfGW75UOIAV8+GeOVwUnBku&#10;f7jDQ2poSgrdjZItuF/v/Y945C9qKWlw8Urqf+6YE5ToG4PMno5OT+OmJuF0cj5Gwb3WrF9rzK6+&#10;ApwpchezS9eID7q/Sgf1M74RixgVVcxwjF1SHlwvXIX2QcBXhovFIsFwOy0LK/NoeT/1SK6nwzNz&#10;tmch0vcW+iVlxRsittg4DwOLXQCpEktf+tr1Gzc7cb17heLT8VpOqJe3cv4bAAD//wMAUEsDBBQA&#10;BgAIAAAAIQA1PEIw2QAAAAcBAAAPAAAAZHJzL2Rvd25yZXYueG1sTI7NTsMwEITvSLyDtUhcUOuQ&#10;hrYKcSqEkiOqKDyAE29+hL2OYrcNb89ygtNoNKOZrzgszooLzmH0pOBxnYBAar0ZqVfw+VGv9iBC&#10;1GS09YQKvjHAoby9KXRu/JXe8XKKveARCrlWMMQ45VKGdkCnw9pPSJx1fnY6sp17aWZ95XFnZZok&#10;W+n0SPww6AlfB2y/TmenwDfLsdvUu/1D7Sb71lVV5o6VUvd3y8sziIhL/CvDLz6jQ8lMjT+TCcKy&#10;T564yZqlIDjPNuwb1nQHsizkf/7yBwAA//8DAFBLAQItABQABgAIAAAAIQC2gziS/gAAAOEBAAAT&#10;AAAAAAAAAAAAAAAAAAAAAABbQ29udGVudF9UeXBlc10ueG1sUEsBAi0AFAAGAAgAAAAhADj9If/W&#10;AAAAlAEAAAsAAAAAAAAAAAAAAAAALwEAAF9yZWxzLy5yZWxzUEsBAi0AFAAGAAgAAAAhAPdNTwKG&#10;AgAAcwUAAA4AAAAAAAAAAAAAAAAALgIAAGRycy9lMm9Eb2MueG1sUEsBAi0AFAAGAAgAAAAhADU8&#10;QjDZAAAABwEAAA8AAAAAAAAAAAAAAAAA4AQAAGRycy9kb3ducmV2LnhtbFBLBQYAAAAABAAEAPMA&#10;AADmBQAAAAA=&#10;" fillcolor="yellow" strokecolor="#70ad47 [3209]" strokeweight=".5pt">
                      <v:path arrowok="t"/>
                    </v:shape>
                  </w:pict>
                </mc:Fallback>
              </mc:AlternateContent>
            </w:r>
          </w:p>
        </w:tc>
        <w:tc>
          <w:tcPr>
            <w:tcW w:w="8604" w:type="dxa"/>
            <w:tcBorders>
              <w:top w:val="nil"/>
              <w:left w:val="nil"/>
              <w:bottom w:val="nil"/>
              <w:right w:val="nil"/>
            </w:tcBorders>
          </w:tcPr>
          <w:p w14:paraId="5D8A5080" w14:textId="5AB622A2" w:rsidR="00977D4E" w:rsidRDefault="00977D4E" w:rsidP="00B60808">
            <w:pPr>
              <w:rPr>
                <w:lang w:eastAsia="en-US"/>
              </w:rPr>
            </w:pPr>
            <w:r>
              <w:rPr>
                <w:rFonts w:eastAsiaTheme="minorHAnsi"/>
                <w:b/>
                <w:lang w:eastAsia="en-US"/>
              </w:rPr>
              <w:t xml:space="preserve">Recommended: </w:t>
            </w:r>
            <w:r>
              <w:rPr>
                <w:rFonts w:eastAsiaTheme="minorHAnsi"/>
                <w:lang w:eastAsia="en-US"/>
              </w:rPr>
              <w:t xml:space="preserve"> </w:t>
            </w:r>
            <w:r>
              <w:rPr>
                <w:lang w:eastAsia="en-US"/>
              </w:rPr>
              <w:t xml:space="preserve">For CSP scenarios, consider using </w:t>
            </w:r>
            <w:r w:rsidR="00A838EF">
              <w:rPr>
                <w:lang w:eastAsia="en-US"/>
              </w:rPr>
              <w:t xml:space="preserve">network security groups </w:t>
            </w:r>
            <w:r>
              <w:rPr>
                <w:lang w:eastAsia="en-US"/>
              </w:rPr>
              <w:t>to protect subnets from improperly configured CSP routing tables.</w:t>
            </w:r>
          </w:p>
          <w:p w14:paraId="1E3F344A" w14:textId="38CAB2C3" w:rsidR="00977D4E" w:rsidRDefault="00977D4E" w:rsidP="00B60808">
            <w:pPr>
              <w:rPr>
                <w:lang w:eastAsia="en-US"/>
              </w:rPr>
            </w:pPr>
          </w:p>
        </w:tc>
      </w:tr>
    </w:tbl>
    <w:p w14:paraId="4D8D3E68" w14:textId="77777777" w:rsidR="007B0CFF" w:rsidRPr="00E33F7E" w:rsidRDefault="007B0CFF" w:rsidP="00E33F7E"/>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F7754B" w14:paraId="0408FD05" w14:textId="77777777" w:rsidTr="001D5F5A">
        <w:tc>
          <w:tcPr>
            <w:tcW w:w="9360" w:type="dxa"/>
            <w:shd w:val="clear" w:color="auto" w:fill="008AC8"/>
          </w:tcPr>
          <w:p w14:paraId="5D439070" w14:textId="77777777" w:rsidR="00F7754B" w:rsidRPr="00F47607" w:rsidRDefault="00F7754B" w:rsidP="001D5F5A">
            <w:pPr>
              <w:spacing w:line="240" w:lineRule="auto"/>
              <w:rPr>
                <w:color w:val="FFFFFF"/>
              </w:rPr>
            </w:pPr>
            <w:r>
              <w:rPr>
                <w:color w:val="FFFFFF"/>
              </w:rPr>
              <w:t>Design Guidance</w:t>
            </w:r>
          </w:p>
        </w:tc>
      </w:tr>
    </w:tbl>
    <w:p w14:paraId="5A3A40E1" w14:textId="77777777" w:rsidR="00065101" w:rsidRDefault="00065101" w:rsidP="00065101">
      <w:r>
        <w:t>When you are designing Network Security Groups, consider the following:</w:t>
      </w:r>
    </w:p>
    <w:tbl>
      <w:tblPr>
        <w:tblStyle w:val="PlainTable11"/>
        <w:tblW w:w="0" w:type="auto"/>
        <w:tblLook w:val="04A0" w:firstRow="1" w:lastRow="0" w:firstColumn="1" w:lastColumn="0" w:noHBand="0" w:noVBand="1"/>
      </w:tblPr>
      <w:tblGrid>
        <w:gridCol w:w="2526"/>
        <w:gridCol w:w="6741"/>
      </w:tblGrid>
      <w:tr w:rsidR="00766BA9" w:rsidRPr="00766BA9" w14:paraId="7977A501" w14:textId="77777777" w:rsidTr="00766BA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808080" w:themeFill="background1" w:themeFillShade="80"/>
            <w:hideMark/>
          </w:tcPr>
          <w:p w14:paraId="07D7E164" w14:textId="77777777" w:rsidR="00065101" w:rsidRPr="00766BA9" w:rsidRDefault="00065101" w:rsidP="00EB3632">
            <w:pPr>
              <w:keepNext/>
              <w:spacing w:line="240" w:lineRule="auto"/>
              <w:rPr>
                <w:rFonts w:eastAsia="Calibri"/>
                <w:bCs w:val="0"/>
                <w:color w:val="FFFFFF" w:themeColor="background1"/>
                <w:sz w:val="20"/>
                <w:szCs w:val="20"/>
                <w:lang w:eastAsia="en-AU"/>
              </w:rPr>
            </w:pPr>
            <w:r w:rsidRPr="00766BA9">
              <w:rPr>
                <w:rFonts w:eastAsia="Calibri"/>
                <w:bCs w:val="0"/>
                <w:color w:val="FFFFFF" w:themeColor="background1"/>
                <w:sz w:val="20"/>
                <w:szCs w:val="20"/>
                <w:lang w:eastAsia="en-AU"/>
              </w:rPr>
              <w:t>Capability Consideration</w:t>
            </w:r>
          </w:p>
        </w:tc>
        <w:tc>
          <w:tcPr>
            <w:tcW w:w="6741" w:type="dxa"/>
            <w:shd w:val="clear" w:color="auto" w:fill="808080" w:themeFill="background1" w:themeFillShade="80"/>
            <w:hideMark/>
          </w:tcPr>
          <w:p w14:paraId="7FEE7125" w14:textId="77777777" w:rsidR="00065101" w:rsidRPr="00766BA9" w:rsidRDefault="00065101" w:rsidP="00EB3632">
            <w:pPr>
              <w:keepNext/>
              <w:spacing w:line="240" w:lineRule="auto"/>
              <w:cnfStyle w:val="100000000000" w:firstRow="1" w:lastRow="0" w:firstColumn="0" w:lastColumn="0" w:oddVBand="0" w:evenVBand="0" w:oddHBand="0" w:evenHBand="0" w:firstRowFirstColumn="0" w:firstRowLastColumn="0" w:lastRowFirstColumn="0" w:lastRowLastColumn="0"/>
              <w:rPr>
                <w:rFonts w:eastAsia="Calibri"/>
                <w:bCs w:val="0"/>
                <w:color w:val="FFFFFF" w:themeColor="background1"/>
                <w:sz w:val="20"/>
                <w:szCs w:val="20"/>
                <w:lang w:eastAsia="en-AU"/>
              </w:rPr>
            </w:pPr>
            <w:r w:rsidRPr="00766BA9">
              <w:rPr>
                <w:rFonts w:eastAsia="Calibri"/>
                <w:bCs w:val="0"/>
                <w:color w:val="FFFFFF" w:themeColor="background1"/>
                <w:sz w:val="20"/>
                <w:szCs w:val="20"/>
                <w:lang w:eastAsia="en-AU"/>
              </w:rPr>
              <w:t>Capability Decision Points</w:t>
            </w:r>
          </w:p>
        </w:tc>
      </w:tr>
      <w:tr w:rsidR="00A838EF" w14:paraId="50F5B039" w14:textId="77777777" w:rsidTr="00766B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E020E45" w14:textId="104F0EA7" w:rsidR="00A838EF" w:rsidRDefault="00A838EF" w:rsidP="00A838EF">
            <w:pPr>
              <w:rPr>
                <w:sz w:val="20"/>
                <w:szCs w:val="20"/>
              </w:rPr>
            </w:pPr>
            <w:r>
              <w:rPr>
                <w:sz w:val="20"/>
                <w:szCs w:val="20"/>
              </w:rPr>
              <w:t>Compliance</w:t>
            </w:r>
          </w:p>
        </w:tc>
        <w:tc>
          <w:tcPr>
            <w:tcW w:w="6741" w:type="dxa"/>
            <w:hideMark/>
          </w:tcPr>
          <w:p w14:paraId="2FEA7776" w14:textId="2D0D6129" w:rsidR="00A838EF" w:rsidRDefault="00A838EF" w:rsidP="00A838EF">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Network Security Groups can present design challenges from a PCI or other compliance perspective because of the logging capabilities that exist in the service.</w:t>
            </w:r>
          </w:p>
        </w:tc>
      </w:tr>
      <w:tr w:rsidR="00A838EF" w14:paraId="5C8D017D" w14:textId="77777777" w:rsidTr="00766BA9">
        <w:tc>
          <w:tcPr>
            <w:cnfStyle w:val="001000000000" w:firstRow="0" w:lastRow="0" w:firstColumn="1" w:lastColumn="0" w:oddVBand="0" w:evenVBand="0" w:oddHBand="0" w:evenHBand="0" w:firstRowFirstColumn="0" w:firstRowLastColumn="0" w:lastRowFirstColumn="0" w:lastRowLastColumn="0"/>
            <w:tcW w:w="0" w:type="auto"/>
            <w:hideMark/>
          </w:tcPr>
          <w:p w14:paraId="7C766A0C" w14:textId="5FCDA4E4" w:rsidR="00A838EF" w:rsidRDefault="00A838EF" w:rsidP="00A838EF">
            <w:pPr>
              <w:pStyle w:val="NormalWeb"/>
              <w:spacing w:line="254" w:lineRule="auto"/>
              <w:rPr>
                <w:rFonts w:ascii="Segoe UI" w:hAnsi="Segoe UI" w:cs="Segoe UI"/>
                <w:sz w:val="20"/>
                <w:szCs w:val="20"/>
                <w:lang w:val="en-AU" w:eastAsia="en-AU"/>
              </w:rPr>
            </w:pPr>
            <w:r>
              <w:rPr>
                <w:rFonts w:ascii="Segoe UI" w:hAnsi="Segoe UI" w:cs="Segoe UI"/>
                <w:sz w:val="20"/>
                <w:szCs w:val="20"/>
                <w:lang w:val="en-AU" w:eastAsia="en-AU"/>
              </w:rPr>
              <w:t>Priority numbering</w:t>
            </w:r>
          </w:p>
        </w:tc>
        <w:tc>
          <w:tcPr>
            <w:tcW w:w="6741" w:type="dxa"/>
            <w:hideMark/>
          </w:tcPr>
          <w:p w14:paraId="65CF4B6A" w14:textId="615330A1" w:rsidR="00A838EF" w:rsidRDefault="00A838EF" w:rsidP="00A838EF">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When designing Network Security Group rules for inbound or outbound scenarios, be sure to leave a blank priority number space between rules. Note that the priority values are independent for inbound and outbound rules.</w:t>
            </w:r>
          </w:p>
        </w:tc>
      </w:tr>
      <w:tr w:rsidR="00A838EF" w14:paraId="2E185CF7" w14:textId="77777777" w:rsidTr="00766BA9">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0" w:type="auto"/>
            <w:hideMark/>
          </w:tcPr>
          <w:p w14:paraId="287F0C67" w14:textId="1C504891" w:rsidR="00A838EF" w:rsidRDefault="00A838EF" w:rsidP="00A838EF">
            <w:pPr>
              <w:pStyle w:val="NormalWeb"/>
              <w:spacing w:line="254" w:lineRule="auto"/>
              <w:rPr>
                <w:rFonts w:ascii="Segoe UI" w:hAnsi="Segoe UI" w:cs="Segoe UI"/>
                <w:sz w:val="20"/>
                <w:szCs w:val="20"/>
                <w:lang w:val="en-AU" w:eastAsia="en-AU"/>
              </w:rPr>
            </w:pPr>
            <w:r>
              <w:rPr>
                <w:rFonts w:ascii="Segoe UI" w:hAnsi="Segoe UI" w:cs="Segoe UI"/>
                <w:sz w:val="20"/>
                <w:szCs w:val="20"/>
                <w:lang w:val="en-AU" w:eastAsia="en-AU"/>
              </w:rPr>
              <w:t>Default rules</w:t>
            </w:r>
          </w:p>
        </w:tc>
        <w:tc>
          <w:tcPr>
            <w:tcW w:w="6741" w:type="dxa"/>
            <w:hideMark/>
          </w:tcPr>
          <w:p w14:paraId="2D0B85CA" w14:textId="4B6F63F6" w:rsidR="00A838EF" w:rsidRDefault="00A838EF" w:rsidP="00A838EF">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To override the default rules, define a rule that has a priority number in the 4000 range to allow as many additional rules as possible.</w:t>
            </w:r>
          </w:p>
        </w:tc>
      </w:tr>
      <w:tr w:rsidR="00A838EF" w14:paraId="2FB2709B" w14:textId="77777777" w:rsidTr="00766BA9">
        <w:trPr>
          <w:trHeight w:val="294"/>
        </w:trPr>
        <w:tc>
          <w:tcPr>
            <w:cnfStyle w:val="001000000000" w:firstRow="0" w:lastRow="0" w:firstColumn="1" w:lastColumn="0" w:oddVBand="0" w:evenVBand="0" w:oddHBand="0" w:evenHBand="0" w:firstRowFirstColumn="0" w:firstRowLastColumn="0" w:lastRowFirstColumn="0" w:lastRowLastColumn="0"/>
            <w:tcW w:w="0" w:type="auto"/>
            <w:hideMark/>
          </w:tcPr>
          <w:p w14:paraId="77B34D9D" w14:textId="2F810872" w:rsidR="00A838EF" w:rsidRDefault="00A838EF" w:rsidP="00A838EF">
            <w:pPr>
              <w:pStyle w:val="NormalWeb"/>
              <w:spacing w:line="254" w:lineRule="auto"/>
              <w:rPr>
                <w:rFonts w:ascii="Segoe UI" w:hAnsi="Segoe UI" w:cs="Segoe UI"/>
                <w:sz w:val="20"/>
                <w:szCs w:val="20"/>
                <w:lang w:val="en-AU" w:eastAsia="en-AU"/>
              </w:rPr>
            </w:pPr>
            <w:r>
              <w:rPr>
                <w:rFonts w:ascii="Segoe UI" w:hAnsi="Segoe UI" w:cs="Segoe UI"/>
                <w:sz w:val="20"/>
                <w:szCs w:val="20"/>
                <w:lang w:val="en-AU" w:eastAsia="en-AU"/>
              </w:rPr>
              <w:t>Port numbers</w:t>
            </w:r>
          </w:p>
        </w:tc>
        <w:tc>
          <w:tcPr>
            <w:tcW w:w="6741" w:type="dxa"/>
            <w:hideMark/>
          </w:tcPr>
          <w:p w14:paraId="34B570BA" w14:textId="6CF5724D" w:rsidR="00A838EF" w:rsidRDefault="00A838EF" w:rsidP="00A838EF">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Although you can specify a contiguous range of ports in the rule definition (1024-1048), you cannot specify random port numbers (1024, 1036, 30000).</w:t>
            </w:r>
          </w:p>
        </w:tc>
      </w:tr>
      <w:tr w:rsidR="00A838EF" w14:paraId="312C6631" w14:textId="77777777" w:rsidTr="00766BA9">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0" w:type="auto"/>
            <w:hideMark/>
          </w:tcPr>
          <w:p w14:paraId="6B96A666" w14:textId="6554CB5F" w:rsidR="00A838EF" w:rsidRDefault="00A838EF" w:rsidP="00A838EF">
            <w:pPr>
              <w:pStyle w:val="NormalWeb"/>
              <w:spacing w:line="254" w:lineRule="auto"/>
              <w:rPr>
                <w:rFonts w:ascii="Segoe UI" w:hAnsi="Segoe UI" w:cs="Segoe UI"/>
                <w:sz w:val="20"/>
                <w:szCs w:val="20"/>
                <w:lang w:val="en-AU" w:eastAsia="en-AU"/>
              </w:rPr>
            </w:pPr>
            <w:r>
              <w:rPr>
                <w:rFonts w:ascii="Segoe UI" w:hAnsi="Segoe UI" w:cs="Segoe UI"/>
                <w:sz w:val="20"/>
                <w:szCs w:val="20"/>
                <w:lang w:val="en-AU" w:eastAsia="en-AU"/>
              </w:rPr>
              <w:t xml:space="preserve">Targeting </w:t>
            </w:r>
          </w:p>
        </w:tc>
        <w:tc>
          <w:tcPr>
            <w:tcW w:w="6741" w:type="dxa"/>
            <w:hideMark/>
          </w:tcPr>
          <w:p w14:paraId="1A902DE0" w14:textId="77777777" w:rsidR="00A838EF" w:rsidRDefault="00A838EF" w:rsidP="00A838EF">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There are limitations that affect how many Network Security Groups, how many rules per Network Security Group, and how they can be applied to the object.</w:t>
            </w:r>
          </w:p>
          <w:p w14:paraId="283CA439" w14:textId="77777777" w:rsidR="00A838EF" w:rsidRDefault="00A838EF" w:rsidP="00A838EF">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Consider the following when determining Network Security Group targets:</w:t>
            </w:r>
          </w:p>
          <w:p w14:paraId="3974E660" w14:textId="77777777" w:rsidR="00A838EF" w:rsidRDefault="00A838EF" w:rsidP="005729D2">
            <w:pPr>
              <w:pStyle w:val="ListParagraph"/>
              <w:numPr>
                <w:ilvl w:val="0"/>
                <w:numId w:val="81"/>
              </w:num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Targeting by virtual machine is useful when the number of systems that require this rule set (immediately and in the future) is unknown. This requires per-virtual machine management, but it avoids issues such as IP space exhaustion through over-provisioning subnet address space to plan for future growth of a given role</w:t>
            </w:r>
          </w:p>
          <w:p w14:paraId="0D7A8AD3" w14:textId="54B6D3E4" w:rsidR="00A838EF" w:rsidRPr="00256000" w:rsidRDefault="00A838EF" w:rsidP="005729D2">
            <w:pPr>
              <w:pStyle w:val="ListParagraph"/>
              <w:numPr>
                <w:ilvl w:val="0"/>
                <w:numId w:val="81"/>
              </w:num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Targeting by subnet is useful when the rule sets are defined by role and the number of systems that the Network Security Group is expected to apply is well known, and appropriate subnet sizes can be determined for these systems. This requires pre-planning IP address space, but it provides simplistic application and management of rule sets similar to management models for on-premises VLAN ACLs.</w:t>
            </w:r>
          </w:p>
        </w:tc>
      </w:tr>
      <w:tr w:rsidR="00A838EF" w14:paraId="04437301" w14:textId="77777777" w:rsidTr="00766BA9">
        <w:trPr>
          <w:trHeight w:val="294"/>
        </w:trPr>
        <w:tc>
          <w:tcPr>
            <w:cnfStyle w:val="001000000000" w:firstRow="0" w:lastRow="0" w:firstColumn="1" w:lastColumn="0" w:oddVBand="0" w:evenVBand="0" w:oddHBand="0" w:evenHBand="0" w:firstRowFirstColumn="0" w:firstRowLastColumn="0" w:lastRowFirstColumn="0" w:lastRowLastColumn="0"/>
            <w:tcW w:w="0" w:type="auto"/>
          </w:tcPr>
          <w:p w14:paraId="73097C51" w14:textId="633C0D3A" w:rsidR="00A838EF" w:rsidRDefault="00A838EF" w:rsidP="00A838EF">
            <w:pPr>
              <w:pStyle w:val="NormalWeb"/>
              <w:spacing w:line="254" w:lineRule="auto"/>
              <w:rPr>
                <w:rFonts w:ascii="Segoe UI" w:hAnsi="Segoe UI" w:cs="Segoe UI"/>
                <w:sz w:val="20"/>
                <w:szCs w:val="20"/>
                <w:lang w:val="en-AU" w:eastAsia="en-AU"/>
              </w:rPr>
            </w:pPr>
            <w:r>
              <w:rPr>
                <w:rFonts w:ascii="Segoe UI" w:hAnsi="Segoe UI" w:cs="Segoe UI"/>
                <w:sz w:val="20"/>
                <w:szCs w:val="20"/>
                <w:lang w:val="en-AU" w:eastAsia="en-AU"/>
              </w:rPr>
              <w:t>Precedence</w:t>
            </w:r>
          </w:p>
        </w:tc>
        <w:tc>
          <w:tcPr>
            <w:tcW w:w="6741" w:type="dxa"/>
          </w:tcPr>
          <w:p w14:paraId="19D055B4" w14:textId="77777777" w:rsidR="00A838EF" w:rsidRDefault="00A838EF" w:rsidP="00A838EF">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Consider where the Network Security Group is being deployed and if there are other Network Security Group in play at virtual machine or subnet levels that may prevent the Network Security Group being applied at the virtual machine or network adapter level from functioning.</w:t>
            </w:r>
          </w:p>
          <w:p w14:paraId="68749CC6" w14:textId="77777777" w:rsidR="00A838EF" w:rsidRDefault="00A838EF" w:rsidP="005729D2">
            <w:pPr>
              <w:pStyle w:val="ListParagraph"/>
              <w:numPr>
                <w:ilvl w:val="0"/>
                <w:numId w:val="181"/>
              </w:num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Deny at the subnet level takes precedence over Allow at virtual machine or network adapter level.</w:t>
            </w:r>
          </w:p>
          <w:p w14:paraId="5CAF5595" w14:textId="77777777" w:rsidR="00A838EF" w:rsidRDefault="00A838EF" w:rsidP="005729D2">
            <w:pPr>
              <w:pStyle w:val="ListParagraph"/>
              <w:numPr>
                <w:ilvl w:val="0"/>
                <w:numId w:val="181"/>
              </w:num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Deny at the virtual machine level takes precedence over Allow at the network adapter level or the subnet level.</w:t>
            </w:r>
          </w:p>
          <w:p w14:paraId="4DF3279C" w14:textId="4D73266C" w:rsidR="00A838EF" w:rsidRPr="00903386" w:rsidRDefault="00A838EF" w:rsidP="005729D2">
            <w:pPr>
              <w:pStyle w:val="ListParagraph"/>
              <w:numPr>
                <w:ilvl w:val="0"/>
                <w:numId w:val="181"/>
              </w:num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Deny at network adapter level takes precedence over Allow at virtual machine or subnet level.</w:t>
            </w:r>
          </w:p>
        </w:tc>
      </w:tr>
    </w:tbl>
    <w:p w14:paraId="5CF2E121" w14:textId="69AA3B2F" w:rsidR="007B0CFF" w:rsidRPr="00E33F7E" w:rsidRDefault="007B0CFF" w:rsidP="00F7754B"/>
    <w:p w14:paraId="6C2F171D" w14:textId="5DFE6C1A" w:rsidR="006B29E9" w:rsidRDefault="00CF37FA" w:rsidP="005729D2">
      <w:pPr>
        <w:pStyle w:val="Heading3Numbered"/>
        <w:numPr>
          <w:ilvl w:val="2"/>
          <w:numId w:val="64"/>
        </w:numPr>
      </w:pPr>
      <w:bookmarkStart w:id="4728" w:name="_Toc417314759"/>
      <w:bookmarkStart w:id="4729" w:name="_Toc417323776"/>
      <w:bookmarkStart w:id="4730" w:name="_Toc417326866"/>
      <w:bookmarkStart w:id="4731" w:name="_Toc417330414"/>
      <w:bookmarkStart w:id="4732" w:name="_Toc417395020"/>
      <w:bookmarkStart w:id="4733" w:name="_Toc417399237"/>
      <w:bookmarkStart w:id="4734" w:name="_Toc417399396"/>
      <w:bookmarkStart w:id="4735" w:name="_Toc417400443"/>
      <w:bookmarkStart w:id="4736" w:name="_Toc417401291"/>
      <w:bookmarkStart w:id="4737" w:name="_Toc417419606"/>
      <w:bookmarkStart w:id="4738" w:name="_Toc417457378"/>
      <w:bookmarkStart w:id="4739" w:name="_Toc417481956"/>
      <w:bookmarkStart w:id="4740" w:name="_Toc417482214"/>
      <w:bookmarkStart w:id="4741" w:name="_Toc417499933"/>
      <w:bookmarkStart w:id="4742" w:name="_Toc417502754"/>
      <w:bookmarkStart w:id="4743" w:name="_Toc417548331"/>
      <w:bookmarkStart w:id="4744" w:name="_Toc417594573"/>
      <w:bookmarkStart w:id="4745" w:name="_Toc417934701"/>
      <w:bookmarkStart w:id="4746" w:name="_Toc417936040"/>
      <w:bookmarkStart w:id="4747" w:name="_Toc417936502"/>
      <w:bookmarkStart w:id="4748" w:name="_Toc417946926"/>
      <w:bookmarkStart w:id="4749" w:name="_Toc417947374"/>
      <w:bookmarkStart w:id="4750" w:name="_Toc417982536"/>
      <w:bookmarkStart w:id="4751" w:name="_Toc417985989"/>
      <w:bookmarkStart w:id="4752" w:name="_Toc418000682"/>
      <w:bookmarkStart w:id="4753" w:name="_Toc418003853"/>
      <w:bookmarkStart w:id="4754" w:name="_Toc418012058"/>
      <w:bookmarkStart w:id="4755" w:name="_Toc418014472"/>
      <w:bookmarkStart w:id="4756" w:name="_Toc418014706"/>
      <w:bookmarkStart w:id="4757" w:name="_Toc418030076"/>
      <w:bookmarkStart w:id="4758" w:name="_Toc418036960"/>
      <w:bookmarkStart w:id="4759" w:name="_Toc418061435"/>
      <w:bookmarkStart w:id="4760" w:name="_Toc418081334"/>
      <w:bookmarkStart w:id="4761" w:name="_Toc418083366"/>
      <w:bookmarkStart w:id="4762" w:name="_Toc418096130"/>
      <w:bookmarkStart w:id="4763" w:name="_Toc418156732"/>
      <w:bookmarkStart w:id="4764" w:name="_Toc418167651"/>
      <w:bookmarkStart w:id="4765" w:name="_Toc418185907"/>
      <w:bookmarkStart w:id="4766" w:name="_Toc422941620"/>
      <w:bookmarkStart w:id="4767" w:name="_Toc423116826"/>
      <w:bookmarkStart w:id="4768" w:name="_Toc423117859"/>
      <w:bookmarkStart w:id="4769" w:name="_Toc423117309"/>
      <w:bookmarkStart w:id="4770" w:name="_Toc431288903"/>
      <w:r>
        <w:t>A</w:t>
      </w:r>
      <w:r w:rsidR="006B29E9">
        <w:t>zure Endpoints and ACLs</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24702025" w14:textId="77777777" w:rsidR="00016006" w:rsidRPr="00213D57" w:rsidRDefault="00016006" w:rsidP="00016006">
      <w:r w:rsidRPr="00256000">
        <w:rPr>
          <w:rFonts w:cs="Segoe UI"/>
        </w:rPr>
        <w:t xml:space="preserve">Endpoints allow </w:t>
      </w:r>
      <w:r w:rsidRPr="004B2DEF">
        <w:rPr>
          <w:rFonts w:cs="Segoe UI"/>
        </w:rPr>
        <w:t>for communication</w:t>
      </w:r>
      <w:r w:rsidRPr="00256000">
        <w:rPr>
          <w:rFonts w:cs="Segoe UI"/>
        </w:rPr>
        <w:t xml:space="preserve"> </w:t>
      </w:r>
      <w:r w:rsidRPr="004B2DEF">
        <w:rPr>
          <w:rFonts w:cs="Segoe UI"/>
        </w:rPr>
        <w:t>between Azure compute</w:t>
      </w:r>
      <w:r w:rsidRPr="00256000">
        <w:rPr>
          <w:rFonts w:cs="Segoe UI"/>
        </w:rPr>
        <w:t xml:space="preserve"> instance</w:t>
      </w:r>
      <w:r w:rsidRPr="004B2DEF">
        <w:rPr>
          <w:rFonts w:cs="Segoe UI"/>
        </w:rPr>
        <w:t>s</w:t>
      </w:r>
      <w:r w:rsidRPr="00256000">
        <w:rPr>
          <w:rFonts w:cs="Segoe UI"/>
        </w:rPr>
        <w:t xml:space="preserve"> </w:t>
      </w:r>
      <w:r w:rsidRPr="004B2DEF">
        <w:rPr>
          <w:rFonts w:cs="Segoe UI"/>
        </w:rPr>
        <w:t>and</w:t>
      </w:r>
      <w:r w:rsidRPr="00256000">
        <w:rPr>
          <w:rFonts w:cs="Segoe UI"/>
        </w:rPr>
        <w:t xml:space="preserve"> the Internet. </w:t>
      </w:r>
      <w:r>
        <w:t>Endpoints can be defined in Azure so that they allow translation of a public port and IP address to a private port and private address. By default, when provisioning a virtual machine, two endpoints are automatically created:</w:t>
      </w:r>
    </w:p>
    <w:p w14:paraId="7C8DFDC9" w14:textId="77777777" w:rsidR="00016006" w:rsidRDefault="00016006" w:rsidP="005729D2">
      <w:pPr>
        <w:pStyle w:val="ListBullet"/>
        <w:numPr>
          <w:ilvl w:val="0"/>
          <w:numId w:val="177"/>
        </w:numPr>
      </w:pPr>
      <w:r>
        <w:t>Remote Desktop with a private port for 3389 and a random public port</w:t>
      </w:r>
    </w:p>
    <w:p w14:paraId="6E4E0542" w14:textId="77777777" w:rsidR="00016006" w:rsidRDefault="00016006" w:rsidP="005729D2">
      <w:pPr>
        <w:pStyle w:val="ListBullet"/>
        <w:numPr>
          <w:ilvl w:val="0"/>
          <w:numId w:val="177"/>
        </w:numPr>
      </w:pPr>
      <w:r>
        <w:t>PowerShell with a private port of 5986 and a public port of 5986</w:t>
      </w:r>
    </w:p>
    <w:p w14:paraId="02F253EF" w14:textId="422CB986" w:rsidR="00067A54" w:rsidRDefault="00016006" w:rsidP="00016006">
      <w:r>
        <w:t xml:space="preserve">In the portal, you can see the defined endpoints on the </w:t>
      </w:r>
      <w:r w:rsidRPr="00CA6F81">
        <w:rPr>
          <w:b/>
        </w:rPr>
        <w:t>Endpoints</w:t>
      </w:r>
      <w:r>
        <w:t xml:space="preserve"> tab of the virtual machine configuration</w:t>
      </w:r>
      <w:r w:rsidR="00067A54">
        <w:t>.</w:t>
      </w:r>
    </w:p>
    <w:p w14:paraId="258AAF46" w14:textId="77777777" w:rsidR="00067A54" w:rsidRDefault="00067A54" w:rsidP="00067A54">
      <w:r>
        <w:rPr>
          <w:noProof/>
        </w:rPr>
        <w:drawing>
          <wp:inline distT="0" distB="0" distL="0" distR="0" wp14:anchorId="0A7079BF" wp14:editId="61F27CC8">
            <wp:extent cx="5943600" cy="854710"/>
            <wp:effectExtent l="0" t="0" r="0" b="2540"/>
            <wp:docPr id="1546650196" name="Picture 1546650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4"/>
                    <a:stretch>
                      <a:fillRect/>
                    </a:stretch>
                  </pic:blipFill>
                  <pic:spPr>
                    <a:xfrm>
                      <a:off x="0" y="0"/>
                      <a:ext cx="5943600" cy="854710"/>
                    </a:xfrm>
                    <a:prstGeom prst="rect">
                      <a:avLst/>
                    </a:prstGeom>
                  </pic:spPr>
                </pic:pic>
              </a:graphicData>
            </a:graphic>
          </wp:inline>
        </w:drawing>
      </w:r>
    </w:p>
    <w:p w14:paraId="0F0FABAE" w14:textId="77777777" w:rsidR="00016006" w:rsidRDefault="00016006" w:rsidP="00016006">
      <w:r>
        <w:t>To provision a virtual machine with no public endpoints, you have two choices:</w:t>
      </w:r>
    </w:p>
    <w:p w14:paraId="6739F8CB" w14:textId="77777777" w:rsidR="00016006" w:rsidRDefault="00016006" w:rsidP="005729D2">
      <w:pPr>
        <w:pStyle w:val="ListParagraph"/>
        <w:numPr>
          <w:ilvl w:val="0"/>
          <w:numId w:val="268"/>
        </w:numPr>
      </w:pPr>
      <w:r>
        <w:t>Use the portal and delete the default ports in the wizard</w:t>
      </w:r>
    </w:p>
    <w:p w14:paraId="360A61A2" w14:textId="77777777" w:rsidR="00016006" w:rsidRDefault="00016006" w:rsidP="005729D2">
      <w:pPr>
        <w:pStyle w:val="ListParagraph"/>
        <w:numPr>
          <w:ilvl w:val="0"/>
          <w:numId w:val="268"/>
        </w:numPr>
      </w:pPr>
      <w:r>
        <w:t>Use the parameter options in Azure PowerShell to disable the endpoints</w:t>
      </w:r>
    </w:p>
    <w:p w14:paraId="47504E2E" w14:textId="77777777" w:rsidR="00016006" w:rsidRDefault="00016006" w:rsidP="00016006">
      <w:r>
        <w:t>If a cloud service has more than one virtual machine, the endpoints have to share the single public facing VIP, but they require different public ports for the port translation to be redirected to the correct virtual machine.</w:t>
      </w:r>
    </w:p>
    <w:p w14:paraId="6ED41BBE" w14:textId="77777777" w:rsidR="00016006" w:rsidRDefault="00016006" w:rsidP="00016006">
      <w:r>
        <w:t xml:space="preserve">Endpoint design requires the consideration of the security threat that the endpoint provides. When you have a public facing endpoint, it can be used to access the provided service, but it also can be attacked by hackers. </w:t>
      </w:r>
    </w:p>
    <w:p w14:paraId="666CCF25" w14:textId="7804B08F" w:rsidR="00067A54" w:rsidRDefault="00016006" w:rsidP="00016006">
      <w:r>
        <w:t>Azure provides denial-of-service features at the edge of the Azure firewall, but it does not prevent someone from attempting to hack a public facing port. Any public facing port for a provided service should leverage a strong authentication mechanism to help prevent a hacker from gaining access</w:t>
      </w:r>
      <w:r w:rsidR="00067A54">
        <w:t xml:space="preserve">. </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016006" w14:paraId="17D0294A" w14:textId="77777777" w:rsidTr="00016006">
        <w:trPr>
          <w:trHeight w:val="423"/>
        </w:trPr>
        <w:tc>
          <w:tcPr>
            <w:tcW w:w="666" w:type="dxa"/>
          </w:tcPr>
          <w:p w14:paraId="3029AC7F" w14:textId="77777777" w:rsidR="00016006" w:rsidRDefault="00016006" w:rsidP="000160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3105191D" wp14:editId="2BA128F4">
                      <wp:extent cx="200025" cy="180975"/>
                      <wp:effectExtent l="57150" t="19050" r="28575" b="104775"/>
                      <wp:docPr id="41214" name="Octagon 41214"/>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8EF468E" id="Octagon 41214"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mxFdAIAAFIFAAAOAAAAZHJzL2Uyb0RvYy54bWysVN1r2zAQfx/sfxB6Xx176dqGOCWkZAxK&#10;W9qOPiuylAgknSYpcbK/fifZcUNXKIy92He6331/TK/3RpOd8EGBrWl5NqJEWA6Nsuua/nxefrmk&#10;JERmG6bBipoeRKDXs8+fpq2biAo2oBvhCRqxYdK6mm5idJOiCHwjDAtn4IRFoQRvWETWr4vGsxat&#10;G11Uo9G3ogXfOA9chICvN52QzrJ9KQWP91IGEYmuKcYW89fn7yp9i9mUTdaeuY3ifRjsH6IwTFl0&#10;Opi6YZGRrVd/mTKKewgg4xkHU4CUioucA2ZTjt5k87RhTuRcsDjBDWUK/88sv9s9eKKamo7LqhxT&#10;YpnBNt3zyNZgSfeIRWpdmCD2yT34ngtIpoz30pv0x1zIPhf2MBRW7CPh+IidGlXnlHAUlZejq4vz&#10;VPjiVdn5EL8LMCQRNYXOfa4o292G2KGPqOQugFbNUmmdGb9eLbQnO4ZtXizQW+4sOjiBFSmHLupM&#10;xYMWSVnbRyGxBBhnmT3m4RODPca5sLHqI87opCbR96D49WPFHp9URR7MQbn6WHnQyJ7BxkHZKAv+&#10;PQM6ln3IssNjwU/yTuQKmgN230O3FsHxpcL637IQH5jHPcCNwd2O9/iRGlpsTE9RsgH/+733hMfx&#10;RCklLe5VTcOvLfOCEv3D4uBeleNxWsTMjM8vKmT8qWR1KrFbswDsaYlXxPFMJnzUR1J6MC94AubJ&#10;K4qY5ei7pjz6I7OI3b7jEeFiPs8wXD7H4q19cvzY9TRcz/sX5l0/hBGn9w6OO8gmbwaxw6Z+WJhv&#10;I0iVp/S1rn29cXHzqPdHJl2GUz6jXk/h7A8AAAD//wMAUEsDBBQABgAIAAAAIQCft0Tx2wAAAAMB&#10;AAAPAAAAZHJzL2Rvd25yZXYueG1sTI9BS8NAEIXvgv9hGcGb3aTSEtNsiggFD9JgtXjdZqdJaHY2&#10;7G6b+O8dvdjLwOM93vumWE+2Fxf0oXOkIJ0lIJBqZzpqFHx+bB4yECFqMrp3hAq+McC6vL0pdG7c&#10;SO942cVGcAmFXCtoYxxyKUPdotVh5gYk9o7OWx1Z+kYar0cut72cJ8lSWt0RL7R6wJcW69PubBVU&#10;p7F6zarq6ctvlts3b/ep3+6Vur+bnlcgIk7xPwy/+IwOJTMd3JlMEL0CfiT+XfYe0wWIg4J5tgBZ&#10;FvKavfwBAAD//wMAUEsBAi0AFAAGAAgAAAAhALaDOJL+AAAA4QEAABMAAAAAAAAAAAAAAAAAAAAA&#10;AFtDb250ZW50X1R5cGVzXS54bWxQSwECLQAUAAYACAAAACEAOP0h/9YAAACUAQAACwAAAAAAAAAA&#10;AAAAAAAvAQAAX3JlbHMvLnJlbHNQSwECLQAUAAYACAAAACEAEVZsRXQCAABSBQAADgAAAAAAAAAA&#10;AAAAAAAuAgAAZHJzL2Uyb0RvYy54bWxQSwECLQAUAAYACAAAACEAn7dE8dsAAAADAQAADwAAAAAA&#10;AAAAAAAAAADOBAAAZHJzL2Rvd25yZXYueG1sUEsFBgAAAAAEAAQA8wAAANYFAAAAAA==&#10;" fillcolor="#c00" strokecolor="#ed7d31 [3205]" strokeweight=".5pt">
                      <w10:anchorlock/>
                    </v:shape>
                  </w:pict>
                </mc:Fallback>
              </mc:AlternateContent>
            </w:r>
          </w:p>
        </w:tc>
        <w:tc>
          <w:tcPr>
            <w:tcW w:w="8604" w:type="dxa"/>
          </w:tcPr>
          <w:p w14:paraId="49CB5030" w14:textId="77777777" w:rsidR="00016006" w:rsidRDefault="00016006" w:rsidP="00016006">
            <w:pPr>
              <w:rPr>
                <w:lang w:eastAsia="en-US"/>
              </w:rPr>
            </w:pPr>
            <w:r w:rsidRPr="00192064">
              <w:rPr>
                <w:b/>
                <w:lang w:eastAsia="en-US"/>
              </w:rPr>
              <w:t>Mandatory</w:t>
            </w:r>
            <w:r>
              <w:rPr>
                <w:lang w:eastAsia="en-US"/>
              </w:rPr>
              <w:t>: Public endpoints are not required unless you need inbound access from the Internet.</w:t>
            </w:r>
          </w:p>
        </w:tc>
      </w:tr>
      <w:tr w:rsidR="00016006" w14:paraId="581176BD" w14:textId="77777777" w:rsidTr="00016006">
        <w:trPr>
          <w:trHeight w:val="423"/>
        </w:trPr>
        <w:tc>
          <w:tcPr>
            <w:tcW w:w="666" w:type="dxa"/>
          </w:tcPr>
          <w:p w14:paraId="27CCCC48" w14:textId="77777777" w:rsidR="00016006" w:rsidRDefault="00016006" w:rsidP="0001600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821056" behindDoc="0" locked="0" layoutInCell="1" allowOverlap="1" wp14:anchorId="60ACF40D" wp14:editId="661B87A3">
                      <wp:simplePos x="0" y="0"/>
                      <wp:positionH relativeFrom="column">
                        <wp:posOffset>66675</wp:posOffset>
                      </wp:positionH>
                      <wp:positionV relativeFrom="paragraph">
                        <wp:posOffset>90170</wp:posOffset>
                      </wp:positionV>
                      <wp:extent cx="209550" cy="180975"/>
                      <wp:effectExtent l="57150" t="19050" r="57150" b="104775"/>
                      <wp:wrapNone/>
                      <wp:docPr id="41215" name="Isosceles Triangle 412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128EE924" id="Isosceles Triangle 41215" o:spid="_x0000_s1026" type="#_x0000_t5" style="position:absolute;margin-left:5.25pt;margin-top:7.1pt;width:16.5pt;height:14.2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eT+ig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Ni&#10;UswoMazBNt168Fxo4cmjU8xstCCdHuvVWl+i2YO9dzFjb1fAf3hUZH9oouB7zEG6JmIxX3JIxT+O&#10;xReHQDj+nOQXsxm2iKOqOM8vzmaxORkrB2PrfPgioCHxUtHQB5bKzvYrHzr4AEuxgVb1UmmdBLdZ&#10;X2tH9gy5sMQvT+3HF/wzLOXQhZ0SCEctorE234TEOmGgRXoxMVSM/hjnwoTTPuSEjmYS3x4NP79v&#10;2OOjqUjsHY0n7xuPFullMGE0bpQB95YDHYo+ZNnh+y76Lu9YgjXUR6SIg252vOVLhQ1YMR/umcNh&#10;wZ7hAghf8ZAa2opCf6NkC+7XW/8jHjmMWkpaHL6K+p875gQl+tYguy+K6TROaxKms7MJCu6lZv1S&#10;Y3bNNWBPC1w1lqdrxAc9XKWD5gn3xCK+iipmOL5dUR7cIFyHbingpuFisUgwnFDLwso8WD50PZLr&#10;8fDEnB1YiPS9g2FQWfmKiB029sPAYhdAqsTS57r29cbpTlzvN1FcHy/lhHrel/PfAAAA//8DAFBL&#10;AwQUAAYACAAAACEANTxCMNkAAAAHAQAADwAAAGRycy9kb3ducmV2LnhtbEyOzU7DMBCE70i8g7VI&#10;XFDrkIa2CnEqhJIjqig8gBNvfoS9jmK3DW/PcoLTaDSjma84LM6KC85h9KTgcZ2AQGq9GalX8PlR&#10;r/YgQtRktPWECr4xwKG8vSl0bvyV3vFyir3gEQq5VjDEOOVShnZAp8PaT0icdX52OrKde2lmfeVx&#10;Z2WaJFvp9Ej8MOgJXwdsv05np8A3y7Hb1Lv9Q+0m+9ZVVeaOlVL3d8vLM4iIS/wrwy8+o0PJTI0/&#10;kwnCsk+euMmapSA4zzbsG9Z0B7Is5H/+8gcAAP//AwBQSwECLQAUAAYACAAAACEAtoM4kv4AAADh&#10;AQAAEwAAAAAAAAAAAAAAAAAAAAAAW0NvbnRlbnRfVHlwZXNdLnhtbFBLAQItABQABgAIAAAAIQA4&#10;/SH/1gAAAJQBAAALAAAAAAAAAAAAAAAAAC8BAABfcmVscy8ucmVsc1BLAQItABQABgAIAAAAIQBb&#10;4eT+igIAAHcFAAAOAAAAAAAAAAAAAAAAAC4CAABkcnMvZTJvRG9jLnhtbFBLAQItABQABgAIAAAA&#10;IQA1PEIw2QAAAAcBAAAPAAAAAAAAAAAAAAAAAOQEAABkcnMvZG93bnJldi54bWxQSwUGAAAAAAQA&#10;BADzAAAA6gUAAAAA&#10;" fillcolor="yellow" strokecolor="#70ad47 [3209]" strokeweight=".5pt">
                      <v:path arrowok="t"/>
                    </v:shape>
                  </w:pict>
                </mc:Fallback>
              </mc:AlternateContent>
            </w:r>
          </w:p>
        </w:tc>
        <w:tc>
          <w:tcPr>
            <w:tcW w:w="8604" w:type="dxa"/>
          </w:tcPr>
          <w:p w14:paraId="76C5BC2C" w14:textId="77777777" w:rsidR="00016006" w:rsidRDefault="00016006" w:rsidP="00016006">
            <w:pPr>
              <w:rPr>
                <w:lang w:eastAsia="en-US"/>
              </w:rPr>
            </w:pPr>
            <w:r>
              <w:rPr>
                <w:rFonts w:eastAsiaTheme="minorHAnsi"/>
                <w:b/>
                <w:lang w:eastAsia="en-US"/>
              </w:rPr>
              <w:t xml:space="preserve">Recommended: </w:t>
            </w:r>
            <w:r>
              <w:rPr>
                <w:lang w:eastAsia="en-US"/>
              </w:rPr>
              <w:t>Only enable public endpoints if the inbound Internet is the only way to achieve communication.</w:t>
            </w:r>
          </w:p>
          <w:p w14:paraId="1AD0D1E8" w14:textId="77777777" w:rsidR="00016006" w:rsidRDefault="00016006" w:rsidP="00016006">
            <w:pPr>
              <w:rPr>
                <w:lang w:eastAsia="en-US"/>
              </w:rPr>
            </w:pPr>
            <w:r>
              <w:rPr>
                <w:lang w:eastAsia="en-US"/>
              </w:rPr>
              <w:t>Use P2S, S2S, or ExpressRoute to RDP, or access the PowerShell interfaces to a virtual machine versus using a public endpoint.</w:t>
            </w:r>
          </w:p>
        </w:tc>
      </w:tr>
    </w:tbl>
    <w:p w14:paraId="14FD79D6" w14:textId="77777777" w:rsidR="00016006" w:rsidRDefault="00016006" w:rsidP="00016006">
      <w:pPr>
        <w:rPr>
          <w:rFonts w:cs="Segoe UI"/>
          <w:lang w:val="en"/>
        </w:rPr>
      </w:pPr>
      <w:r w:rsidRPr="00256000">
        <w:rPr>
          <w:rFonts w:cs="Segoe UI"/>
          <w:lang w:val="en"/>
        </w:rPr>
        <w:t xml:space="preserve">To further protect </w:t>
      </w:r>
      <w:r>
        <w:rPr>
          <w:rFonts w:cs="Segoe UI"/>
          <w:lang w:val="en"/>
        </w:rPr>
        <w:t>resources deployed within Azure</w:t>
      </w:r>
      <w:r w:rsidRPr="00256000">
        <w:rPr>
          <w:rFonts w:cs="Segoe UI"/>
          <w:lang w:val="en"/>
        </w:rPr>
        <w:t xml:space="preserve">, you can manage incoming traffic to the public port by configuring rules for the </w:t>
      </w:r>
      <w:r w:rsidRPr="00256000">
        <w:rPr>
          <w:rFonts w:cs="Segoe UI"/>
        </w:rPr>
        <w:t>network</w:t>
      </w:r>
      <w:r w:rsidRPr="00256000">
        <w:rPr>
          <w:rFonts w:cs="Segoe UI"/>
          <w:lang w:val="en"/>
        </w:rPr>
        <w:t xml:space="preserve"> access control list (ACL) of the endpoint.</w:t>
      </w:r>
      <w:r>
        <w:rPr>
          <w:rFonts w:cs="Segoe UI"/>
          <w:lang w:val="en"/>
        </w:rPr>
        <w:t xml:space="preserve"> </w:t>
      </w:r>
      <w:r w:rsidRPr="00256000">
        <w:rPr>
          <w:rFonts w:cs="Segoe UI"/>
          <w:lang w:val="en"/>
        </w:rPr>
        <w:t>An ACL provides the ability to selectively permit or deny traffic for a virtual machine endpoint for an additional layer of security.</w:t>
      </w:r>
      <w:r>
        <w:rPr>
          <w:rFonts w:cs="Segoe UI"/>
          <w:lang w:val="en"/>
        </w:rPr>
        <w:t xml:space="preserve"> </w:t>
      </w:r>
    </w:p>
    <w:p w14:paraId="5B37B6D8" w14:textId="77777777" w:rsidR="00016006" w:rsidRPr="00256000" w:rsidRDefault="00016006" w:rsidP="00016006">
      <w:pPr>
        <w:rPr>
          <w:rFonts w:cs="Segoe UI"/>
          <w:lang w:val="en"/>
        </w:rPr>
      </w:pPr>
      <w:r>
        <w:rPr>
          <w:rFonts w:cs="Segoe UI"/>
          <w:lang w:val="en"/>
        </w:rPr>
        <w:t>By u</w:t>
      </w:r>
      <w:r w:rsidRPr="00256000">
        <w:rPr>
          <w:rFonts w:cs="Segoe UI"/>
          <w:lang w:val="en"/>
        </w:rPr>
        <w:t xml:space="preserve">sing </w:t>
      </w:r>
      <w:r>
        <w:rPr>
          <w:rFonts w:cs="Segoe UI"/>
          <w:lang w:val="en"/>
        </w:rPr>
        <w:t>n</w:t>
      </w:r>
      <w:r w:rsidRPr="00256000">
        <w:rPr>
          <w:rFonts w:cs="Segoe UI"/>
          <w:lang w:val="en"/>
        </w:rPr>
        <w:t>etwork ACLs, you can do the following:</w:t>
      </w:r>
    </w:p>
    <w:p w14:paraId="036E6DD7" w14:textId="77777777" w:rsidR="00016006" w:rsidRPr="00256000" w:rsidRDefault="00016006" w:rsidP="005729D2">
      <w:pPr>
        <w:numPr>
          <w:ilvl w:val="0"/>
          <w:numId w:val="41"/>
        </w:numPr>
        <w:rPr>
          <w:rFonts w:cs="Segoe UI"/>
          <w:lang w:val="en"/>
        </w:rPr>
      </w:pPr>
      <w:r w:rsidRPr="00256000">
        <w:rPr>
          <w:rFonts w:cs="Segoe UI"/>
          <w:lang w:val="en"/>
        </w:rPr>
        <w:t xml:space="preserve">Selectively permit or deny incoming traffic based on </w:t>
      </w:r>
      <w:r>
        <w:rPr>
          <w:rFonts w:cs="Segoe UI"/>
          <w:lang w:val="en"/>
        </w:rPr>
        <w:t xml:space="preserve">the </w:t>
      </w:r>
      <w:r w:rsidRPr="00256000">
        <w:rPr>
          <w:rFonts w:cs="Segoe UI"/>
          <w:lang w:val="en"/>
        </w:rPr>
        <w:t xml:space="preserve">remote subnet IPv4 address range to a virtual machine input endpoint. </w:t>
      </w:r>
    </w:p>
    <w:p w14:paraId="3E787DC3" w14:textId="77777777" w:rsidR="00016006" w:rsidRPr="00256000" w:rsidRDefault="00016006" w:rsidP="005729D2">
      <w:pPr>
        <w:numPr>
          <w:ilvl w:val="0"/>
          <w:numId w:val="41"/>
        </w:numPr>
        <w:rPr>
          <w:rFonts w:cs="Segoe UI"/>
          <w:lang w:val="en"/>
        </w:rPr>
      </w:pPr>
      <w:r>
        <w:rPr>
          <w:rFonts w:cs="Segoe UI"/>
          <w:lang w:val="en"/>
        </w:rPr>
        <w:t>Block lists of</w:t>
      </w:r>
      <w:r w:rsidRPr="00256000">
        <w:rPr>
          <w:rFonts w:cs="Segoe UI"/>
          <w:lang w:val="en"/>
        </w:rPr>
        <w:t xml:space="preserve"> </w:t>
      </w:r>
      <w:r>
        <w:rPr>
          <w:rFonts w:cs="Segoe UI"/>
          <w:lang w:val="en"/>
        </w:rPr>
        <w:t>IP</w:t>
      </w:r>
      <w:r w:rsidRPr="00256000">
        <w:rPr>
          <w:rFonts w:cs="Segoe UI"/>
          <w:lang w:val="en"/>
        </w:rPr>
        <w:t xml:space="preserve"> addresses </w:t>
      </w:r>
    </w:p>
    <w:p w14:paraId="2F7D8592" w14:textId="77777777" w:rsidR="00016006" w:rsidRPr="00256000" w:rsidRDefault="00016006" w:rsidP="005729D2">
      <w:pPr>
        <w:numPr>
          <w:ilvl w:val="0"/>
          <w:numId w:val="41"/>
        </w:numPr>
        <w:rPr>
          <w:rFonts w:cs="Segoe UI"/>
          <w:lang w:val="en"/>
        </w:rPr>
      </w:pPr>
      <w:r w:rsidRPr="00256000">
        <w:rPr>
          <w:rFonts w:cs="Segoe UI"/>
          <w:lang w:val="en"/>
        </w:rPr>
        <w:t xml:space="preserve">Create multiple rules per virtual machine endpoint </w:t>
      </w:r>
    </w:p>
    <w:p w14:paraId="7D7A02CF" w14:textId="77777777" w:rsidR="00016006" w:rsidRPr="00256000" w:rsidRDefault="00016006" w:rsidP="005729D2">
      <w:pPr>
        <w:numPr>
          <w:ilvl w:val="0"/>
          <w:numId w:val="41"/>
        </w:numPr>
        <w:rPr>
          <w:rFonts w:cs="Segoe UI"/>
          <w:lang w:val="en"/>
        </w:rPr>
      </w:pPr>
      <w:r w:rsidRPr="00256000">
        <w:rPr>
          <w:rFonts w:cs="Segoe UI"/>
          <w:lang w:val="en"/>
        </w:rPr>
        <w:t>Specify up to</w:t>
      </w:r>
      <w:r>
        <w:rPr>
          <w:rFonts w:cs="Segoe UI"/>
          <w:lang w:val="en"/>
        </w:rPr>
        <w:t> 5</w:t>
      </w:r>
      <w:r w:rsidRPr="00256000">
        <w:rPr>
          <w:rFonts w:cs="Segoe UI"/>
          <w:lang w:val="en"/>
        </w:rPr>
        <w:t xml:space="preserve">0 ACL rules per virtual machine endpoint </w:t>
      </w:r>
    </w:p>
    <w:p w14:paraId="4CCAB80F" w14:textId="77777777" w:rsidR="00016006" w:rsidRPr="00256000" w:rsidRDefault="00016006" w:rsidP="005729D2">
      <w:pPr>
        <w:numPr>
          <w:ilvl w:val="0"/>
          <w:numId w:val="41"/>
        </w:numPr>
        <w:rPr>
          <w:rFonts w:cs="Segoe UI"/>
          <w:lang w:val="en"/>
        </w:rPr>
      </w:pPr>
      <w:r w:rsidRPr="00256000">
        <w:rPr>
          <w:rFonts w:cs="Segoe UI"/>
          <w:lang w:val="en"/>
        </w:rPr>
        <w:t xml:space="preserve">Use rule ordering to ensure the correct set of rules are applied on a given virtual machine endpoint (lowest to highest) </w:t>
      </w:r>
    </w:p>
    <w:p w14:paraId="79E4D8C6" w14:textId="1803F0D7" w:rsidR="00CC0E47" w:rsidRPr="00256000" w:rsidRDefault="00016006" w:rsidP="005729D2">
      <w:pPr>
        <w:numPr>
          <w:ilvl w:val="0"/>
          <w:numId w:val="41"/>
        </w:numPr>
        <w:rPr>
          <w:rFonts w:cs="Segoe UI"/>
          <w:lang w:val="en"/>
        </w:rPr>
      </w:pPr>
      <w:r w:rsidRPr="00256000">
        <w:rPr>
          <w:rFonts w:cs="Segoe UI"/>
          <w:lang w:val="en"/>
        </w:rPr>
        <w:t>Specify an ACL for a specific remote subnet IPv4 address</w:t>
      </w:r>
      <w:r w:rsidR="00CC0E47" w:rsidRPr="00256000">
        <w:rPr>
          <w:rFonts w:cs="Segoe UI"/>
          <w:lang w:val="en"/>
        </w:rPr>
        <w:t>.</w:t>
      </w:r>
    </w:p>
    <w:p w14:paraId="1AFD147F" w14:textId="192EC949" w:rsidR="008C7D16" w:rsidRDefault="008C7D16">
      <w:pPr>
        <w:spacing w:before="0" w:after="160" w:line="259" w:lineRule="auto"/>
        <w:rPr>
          <w:rFonts w:cs="Segoe UI"/>
          <w:lang w:val="en"/>
        </w:rPr>
      </w:pPr>
    </w:p>
    <w:p w14:paraId="3EBC7D06" w14:textId="77777777" w:rsidR="00016006" w:rsidRDefault="00016006" w:rsidP="00016006">
      <w:pPr>
        <w:rPr>
          <w:rFonts w:cs="Segoe UI"/>
          <w:lang w:val="en"/>
        </w:rPr>
      </w:pPr>
      <w:r w:rsidRPr="00256000">
        <w:rPr>
          <w:rFonts w:cs="Segoe UI"/>
          <w:lang w:val="en"/>
        </w:rPr>
        <w:t xml:space="preserve">For instructions </w:t>
      </w:r>
      <w:r>
        <w:rPr>
          <w:rFonts w:cs="Segoe UI"/>
          <w:lang w:val="en"/>
        </w:rPr>
        <w:t>about</w:t>
      </w:r>
      <w:r w:rsidRPr="00256000">
        <w:rPr>
          <w:rFonts w:cs="Segoe UI"/>
          <w:lang w:val="en"/>
        </w:rPr>
        <w:t xml:space="preserve"> configuring ACLs for your Azure </w:t>
      </w:r>
      <w:r>
        <w:rPr>
          <w:rFonts w:cs="Segoe UI"/>
          <w:lang w:val="en"/>
        </w:rPr>
        <w:t>v</w:t>
      </w:r>
      <w:r w:rsidRPr="00256000">
        <w:rPr>
          <w:rFonts w:cs="Segoe UI"/>
          <w:lang w:val="en"/>
        </w:rPr>
        <w:t xml:space="preserve">irtual </w:t>
      </w:r>
      <w:r>
        <w:rPr>
          <w:rFonts w:cs="Segoe UI"/>
          <w:lang w:val="en"/>
        </w:rPr>
        <w:t>m</w:t>
      </w:r>
      <w:r w:rsidRPr="00256000">
        <w:rPr>
          <w:rFonts w:cs="Segoe UI"/>
          <w:lang w:val="en"/>
        </w:rPr>
        <w:t>achine endpoints, see</w:t>
      </w:r>
      <w:r>
        <w:rPr>
          <w:rFonts w:cs="Segoe UI"/>
          <w:lang w:val="en"/>
        </w:rPr>
        <w:t>:</w:t>
      </w:r>
    </w:p>
    <w:p w14:paraId="6015298B" w14:textId="77777777" w:rsidR="00016006" w:rsidRPr="00F81640" w:rsidRDefault="00016006" w:rsidP="005729D2">
      <w:pPr>
        <w:pStyle w:val="ListParagraph"/>
        <w:numPr>
          <w:ilvl w:val="0"/>
          <w:numId w:val="269"/>
        </w:numPr>
        <w:rPr>
          <w:rFonts w:cs="Segoe UI"/>
          <w:lang w:val="en"/>
        </w:rPr>
      </w:pPr>
      <w:r>
        <w:rPr>
          <w:rFonts w:cs="Segoe UI"/>
          <w:lang w:val="en"/>
        </w:rPr>
        <w:t>T</w:t>
      </w:r>
      <w:r w:rsidRPr="00F81640">
        <w:rPr>
          <w:rFonts w:cs="Segoe UI"/>
          <w:lang w:val="en"/>
        </w:rPr>
        <w:t xml:space="preserve">he </w:t>
      </w:r>
      <w:r w:rsidRPr="007A68FB">
        <w:rPr>
          <w:rFonts w:cs="Segoe UI"/>
          <w:b/>
          <w:lang w:val="en"/>
        </w:rPr>
        <w:t>Manage the ACL on an Endpoint</w:t>
      </w:r>
      <w:r w:rsidRPr="00F81640">
        <w:rPr>
          <w:rFonts w:cs="Segoe UI"/>
          <w:lang w:val="en"/>
        </w:rPr>
        <w:t xml:space="preserve"> section in</w:t>
      </w:r>
      <w:r>
        <w:t xml:space="preserve"> </w:t>
      </w:r>
      <w:hyperlink r:id="rId415" w:tgtFrame="_blank" w:history="1">
        <w:r w:rsidRPr="00F81640">
          <w:rPr>
            <w:rStyle w:val="Hyperlink"/>
            <w:rFonts w:cs="Segoe UI"/>
            <w:lang w:val="en"/>
          </w:rPr>
          <w:t xml:space="preserve">How to </w:t>
        </w:r>
        <w:r>
          <w:rPr>
            <w:rStyle w:val="Hyperlink"/>
            <w:rFonts w:cs="Segoe UI"/>
            <w:lang w:val="en"/>
          </w:rPr>
          <w:t>s</w:t>
        </w:r>
        <w:r w:rsidRPr="00F81640">
          <w:rPr>
            <w:rStyle w:val="Hyperlink"/>
            <w:rFonts w:cs="Segoe UI"/>
            <w:lang w:val="en"/>
          </w:rPr>
          <w:t xml:space="preserve">et </w:t>
        </w:r>
        <w:r>
          <w:rPr>
            <w:rStyle w:val="Hyperlink"/>
            <w:rFonts w:cs="Segoe UI"/>
            <w:lang w:val="en"/>
          </w:rPr>
          <w:t>u</w:t>
        </w:r>
        <w:r w:rsidRPr="00F81640">
          <w:rPr>
            <w:rStyle w:val="Hyperlink"/>
            <w:rFonts w:cs="Segoe UI"/>
            <w:lang w:val="en"/>
          </w:rPr>
          <w:t xml:space="preserve">p </w:t>
        </w:r>
        <w:r>
          <w:rPr>
            <w:rStyle w:val="Hyperlink"/>
            <w:rFonts w:cs="Segoe UI"/>
            <w:lang w:val="en"/>
          </w:rPr>
          <w:t>e</w:t>
        </w:r>
        <w:r w:rsidRPr="00F81640">
          <w:rPr>
            <w:rStyle w:val="Hyperlink"/>
            <w:rFonts w:cs="Segoe UI"/>
            <w:lang w:val="en"/>
          </w:rPr>
          <w:t xml:space="preserve">ndpoints to a </w:t>
        </w:r>
        <w:r>
          <w:rPr>
            <w:rStyle w:val="Hyperlink"/>
            <w:rFonts w:cs="Segoe UI"/>
            <w:lang w:val="en"/>
          </w:rPr>
          <w:t>v</w:t>
        </w:r>
        <w:r w:rsidRPr="00F81640">
          <w:rPr>
            <w:rStyle w:val="Hyperlink"/>
            <w:rFonts w:cs="Segoe UI"/>
            <w:lang w:val="en"/>
          </w:rPr>
          <w:t xml:space="preserve">irtual </w:t>
        </w:r>
        <w:r>
          <w:rPr>
            <w:rStyle w:val="Hyperlink"/>
            <w:rFonts w:cs="Segoe UI"/>
            <w:lang w:val="en"/>
          </w:rPr>
          <w:t>m</w:t>
        </w:r>
        <w:r w:rsidRPr="00F81640">
          <w:rPr>
            <w:rStyle w:val="Hyperlink"/>
            <w:rFonts w:cs="Segoe UI"/>
            <w:lang w:val="en"/>
          </w:rPr>
          <w:t>achine</w:t>
        </w:r>
      </w:hyperlink>
      <w:r w:rsidRPr="00F81640">
        <w:rPr>
          <w:rFonts w:cs="Segoe UI"/>
          <w:lang w:val="en"/>
        </w:rPr>
        <w:t xml:space="preserve">  </w:t>
      </w:r>
    </w:p>
    <w:p w14:paraId="26E79596" w14:textId="77777777" w:rsidR="00016006" w:rsidRPr="00F81640" w:rsidRDefault="00872E47" w:rsidP="005729D2">
      <w:pPr>
        <w:pStyle w:val="ListParagraph"/>
        <w:numPr>
          <w:ilvl w:val="0"/>
          <w:numId w:val="269"/>
        </w:numPr>
        <w:rPr>
          <w:rFonts w:cs="Segoe UI"/>
          <w:lang w:val="en"/>
        </w:rPr>
      </w:pPr>
      <w:hyperlink r:id="rId416" w:tgtFrame="_blank" w:history="1">
        <w:r w:rsidR="00016006">
          <w:rPr>
            <w:rStyle w:val="Hyperlink"/>
            <w:rFonts w:cs="Segoe UI"/>
            <w:lang w:val="en"/>
          </w:rPr>
          <w:t>What is a</w:t>
        </w:r>
        <w:r w:rsidR="00016006" w:rsidRPr="00F81640">
          <w:rPr>
            <w:rStyle w:val="Hyperlink"/>
            <w:rFonts w:cs="Segoe UI"/>
            <w:lang w:val="en"/>
          </w:rPr>
          <w:t xml:space="preserve"> Network Access Control List (ACL)</w:t>
        </w:r>
      </w:hyperlink>
    </w:p>
    <w:p w14:paraId="5B5D2302" w14:textId="5F46EB44" w:rsidR="00CC0E47" w:rsidRDefault="00CC0E47" w:rsidP="00CC0E47">
      <w:pPr>
        <w:rPr>
          <w:rFonts w:cs="Segoe UI"/>
          <w:lang w:val="en"/>
        </w:rPr>
      </w:pPr>
    </w:p>
    <w:p w14:paraId="0EADC71D" w14:textId="181BD2D7" w:rsidR="004F6301" w:rsidRDefault="004F6301">
      <w:pPr>
        <w:spacing w:before="0" w:after="160" w:line="259" w:lineRule="auto"/>
        <w:rPr>
          <w:rFonts w:cs="Segoe UI"/>
          <w:lang w:val="en"/>
        </w:rPr>
      </w:pPr>
      <w:r>
        <w:rPr>
          <w:rFonts w:cs="Segoe UI"/>
          <w:lang w:val="en"/>
        </w:rPr>
        <w:br w:type="page"/>
      </w:r>
    </w:p>
    <w:p w14:paraId="7E744FF4" w14:textId="61865693" w:rsidR="00812F82" w:rsidRPr="00256000" w:rsidRDefault="004F6301" w:rsidP="00CC0E47">
      <w:pPr>
        <w:rPr>
          <w:rFonts w:cs="Segoe UI"/>
          <w:lang w:val="en"/>
        </w:rPr>
      </w:pPr>
      <w:r>
        <w:rPr>
          <w:rFonts w:cs="Segoe UI"/>
          <w:lang w:val="en"/>
        </w:rPr>
        <w:t>The following diagram outlines the UI for creating of an ACL for a public endpoint.</w:t>
      </w:r>
    </w:p>
    <w:p w14:paraId="1F14DFF7" w14:textId="0B3E55BD" w:rsidR="00CC0E47" w:rsidRPr="004B2DEF" w:rsidRDefault="00CC0E47" w:rsidP="00256000">
      <w:pPr>
        <w:jc w:val="center"/>
        <w:rPr>
          <w:rFonts w:cs="Segoe UI"/>
          <w:lang w:val="en"/>
        </w:rPr>
      </w:pPr>
      <w:r w:rsidRPr="004C5BC1">
        <w:rPr>
          <w:rFonts w:cs="Segoe UI"/>
          <w:noProof/>
        </w:rPr>
        <w:drawing>
          <wp:inline distT="0" distB="0" distL="0" distR="0" wp14:anchorId="411C8E35" wp14:editId="1E52A7E0">
            <wp:extent cx="4572000" cy="1771650"/>
            <wp:effectExtent l="0" t="0" r="0" b="0"/>
            <wp:docPr id="41200" name="Picture 41200" descr="Specify ACL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pecify ACL details"/>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4572000" cy="1771650"/>
                    </a:xfrm>
                    <a:prstGeom prst="rect">
                      <a:avLst/>
                    </a:prstGeom>
                    <a:noFill/>
                    <a:ln>
                      <a:noFill/>
                    </a:ln>
                  </pic:spPr>
                </pic:pic>
              </a:graphicData>
            </a:graphic>
          </wp:inline>
        </w:drawing>
      </w:r>
    </w:p>
    <w:p w14:paraId="7EE0D135" w14:textId="77777777" w:rsidR="00CC0E47" w:rsidRDefault="00CC0E47" w:rsidP="00CC0E47">
      <w:pPr>
        <w:rPr>
          <w:rFonts w:cs="Segoe UI"/>
        </w:rPr>
      </w:pPr>
    </w:p>
    <w:p w14:paraId="32ECC6D1" w14:textId="77777777" w:rsidR="00E45C98" w:rsidRPr="004B2DEF" w:rsidRDefault="00E45C98" w:rsidP="00CC0E47">
      <w:pPr>
        <w:rPr>
          <w:rFonts w:cs="Segoe UI"/>
        </w:rPr>
      </w:pPr>
    </w:p>
    <w:tbl>
      <w:tblPr>
        <w:tblStyle w:val="PlainTable11"/>
        <w:tblW w:w="0" w:type="auto"/>
        <w:tblLook w:val="04A0" w:firstRow="1" w:lastRow="0" w:firstColumn="1" w:lastColumn="0" w:noHBand="0" w:noVBand="1"/>
      </w:tblPr>
      <w:tblGrid>
        <w:gridCol w:w="2947"/>
        <w:gridCol w:w="6403"/>
      </w:tblGrid>
      <w:tr w:rsidR="00812F82" w14:paraId="38CBB518" w14:textId="77777777" w:rsidTr="00E45C9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72B22F41" w14:textId="77777777" w:rsidR="00812F82" w:rsidRPr="00F47607" w:rsidRDefault="00812F82" w:rsidP="00E64254">
            <w:pPr>
              <w:spacing w:line="240" w:lineRule="auto"/>
              <w:rPr>
                <w:color w:val="FFFFFF"/>
              </w:rPr>
            </w:pPr>
            <w:r>
              <w:rPr>
                <w:color w:val="FFFFFF"/>
              </w:rPr>
              <w:t>Feature References</w:t>
            </w:r>
          </w:p>
        </w:tc>
      </w:tr>
      <w:tr w:rsidR="00E64254" w:rsidRPr="00E45C98" w14:paraId="76148EAE" w14:textId="77777777" w:rsidTr="00E45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0000E1E4" w14:textId="605F2CB1" w:rsidR="00E64254" w:rsidRPr="00E45C98" w:rsidRDefault="00E64254" w:rsidP="00E64254">
            <w:pPr>
              <w:spacing w:line="240" w:lineRule="auto"/>
              <w:rPr>
                <w:sz w:val="20"/>
                <w:szCs w:val="20"/>
              </w:rPr>
            </w:pPr>
            <w:r w:rsidRPr="00E45C98">
              <w:rPr>
                <w:sz w:val="20"/>
                <w:szCs w:val="20"/>
              </w:rPr>
              <w:t>Microsoft Azure Network Security Whitepaper version 3</w:t>
            </w:r>
          </w:p>
        </w:tc>
        <w:tc>
          <w:tcPr>
            <w:tcW w:w="5940" w:type="dxa"/>
          </w:tcPr>
          <w:p w14:paraId="3CE69CA7" w14:textId="42C3BDDA" w:rsidR="00E64254" w:rsidRPr="00E45C98" w:rsidRDefault="00872E47" w:rsidP="00E64254">
            <w:pPr>
              <w:cnfStyle w:val="000000100000" w:firstRow="0" w:lastRow="0" w:firstColumn="0" w:lastColumn="0" w:oddVBand="0" w:evenVBand="0" w:oddHBand="1" w:evenHBand="0" w:firstRowFirstColumn="0" w:firstRowLastColumn="0" w:lastRowFirstColumn="0" w:lastRowLastColumn="0"/>
              <w:rPr>
                <w:sz w:val="20"/>
                <w:szCs w:val="20"/>
              </w:rPr>
            </w:pPr>
            <w:hyperlink r:id="rId418" w:history="1">
              <w:r w:rsidR="00E64254" w:rsidRPr="00E45C98">
                <w:rPr>
                  <w:rStyle w:val="Hyperlink"/>
                  <w:sz w:val="20"/>
                  <w:szCs w:val="20"/>
                </w:rPr>
                <w:t>http://download.microsoft.com/download/C/A/3/CA3FC5C0-ECE0-4F87-BF4B-D74064A00846/AzureNetworkSecurity_v3_Feb2015.pdf</w:t>
              </w:r>
            </w:hyperlink>
            <w:r w:rsidR="00E64254" w:rsidRPr="00E45C98">
              <w:rPr>
                <w:sz w:val="20"/>
                <w:szCs w:val="20"/>
              </w:rPr>
              <w:t xml:space="preserve"> </w:t>
            </w:r>
          </w:p>
        </w:tc>
      </w:tr>
      <w:tr w:rsidR="00812F82" w14:paraId="3F89168D" w14:textId="77777777" w:rsidTr="00E45C98">
        <w:tc>
          <w:tcPr>
            <w:cnfStyle w:val="001000000000" w:firstRow="0" w:lastRow="0" w:firstColumn="1" w:lastColumn="0" w:oddVBand="0" w:evenVBand="0" w:oddHBand="0" w:evenHBand="0" w:firstRowFirstColumn="0" w:firstRowLastColumn="0" w:lastRowFirstColumn="0" w:lastRowLastColumn="0"/>
            <w:tcW w:w="3420" w:type="dxa"/>
          </w:tcPr>
          <w:p w14:paraId="79EF2385" w14:textId="465AF700" w:rsidR="00812F82" w:rsidRPr="00256000" w:rsidRDefault="00E64254" w:rsidP="00E64254">
            <w:pPr>
              <w:spacing w:line="240" w:lineRule="auto"/>
              <w:rPr>
                <w:sz w:val="20"/>
                <w:szCs w:val="20"/>
              </w:rPr>
            </w:pPr>
            <w:r w:rsidRPr="00E64254">
              <w:rPr>
                <w:sz w:val="20"/>
                <w:szCs w:val="20"/>
              </w:rPr>
              <w:t>Security Considerations for SQL Server in Azure Virtual Machines</w:t>
            </w:r>
          </w:p>
        </w:tc>
        <w:tc>
          <w:tcPr>
            <w:tcW w:w="5940" w:type="dxa"/>
          </w:tcPr>
          <w:p w14:paraId="6632A24B" w14:textId="181B1237" w:rsidR="00812F82" w:rsidRPr="00256000" w:rsidRDefault="00872E47" w:rsidP="00E64254">
            <w:pPr>
              <w:cnfStyle w:val="000000000000" w:firstRow="0" w:lastRow="0" w:firstColumn="0" w:lastColumn="0" w:oddVBand="0" w:evenVBand="0" w:oddHBand="0" w:evenHBand="0" w:firstRowFirstColumn="0" w:firstRowLastColumn="0" w:lastRowFirstColumn="0" w:lastRowLastColumn="0"/>
              <w:rPr>
                <w:sz w:val="20"/>
                <w:szCs w:val="20"/>
              </w:rPr>
            </w:pPr>
            <w:hyperlink r:id="rId419" w:history="1">
              <w:r w:rsidR="00812F82" w:rsidRPr="00256000">
                <w:rPr>
                  <w:rStyle w:val="Hyperlink"/>
                  <w:sz w:val="20"/>
                  <w:szCs w:val="20"/>
                </w:rPr>
                <w:t>https://msdn.microsoft.com/en-us/library/azure/dn133147.aspx</w:t>
              </w:r>
            </w:hyperlink>
            <w:r w:rsidR="00812F82" w:rsidRPr="00256000">
              <w:rPr>
                <w:sz w:val="20"/>
                <w:szCs w:val="20"/>
              </w:rPr>
              <w:t xml:space="preserve"> </w:t>
            </w:r>
          </w:p>
        </w:tc>
      </w:tr>
      <w:tr w:rsidR="00812F82" w14:paraId="3E61C66A" w14:textId="77777777" w:rsidTr="00E45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0932EA01" w14:textId="76F752D4" w:rsidR="00812F82" w:rsidRPr="00256000" w:rsidRDefault="00E64254" w:rsidP="00E64254">
            <w:pPr>
              <w:spacing w:line="240" w:lineRule="auto"/>
              <w:rPr>
                <w:sz w:val="20"/>
                <w:szCs w:val="20"/>
              </w:rPr>
            </w:pPr>
            <w:r w:rsidRPr="00E64254">
              <w:rPr>
                <w:sz w:val="20"/>
                <w:szCs w:val="20"/>
              </w:rPr>
              <w:t>Active Directory Considerations in Azure Virtual Machines and Virtual Networks Part 5 – Domains and GCs</w:t>
            </w:r>
          </w:p>
        </w:tc>
        <w:tc>
          <w:tcPr>
            <w:tcW w:w="5940" w:type="dxa"/>
          </w:tcPr>
          <w:p w14:paraId="0147E67C" w14:textId="25D8C633" w:rsidR="00812F82" w:rsidRPr="00256000" w:rsidRDefault="00872E47" w:rsidP="00E64254">
            <w:pPr>
              <w:cnfStyle w:val="000000100000" w:firstRow="0" w:lastRow="0" w:firstColumn="0" w:lastColumn="0" w:oddVBand="0" w:evenVBand="0" w:oddHBand="1" w:evenHBand="0" w:firstRowFirstColumn="0" w:firstRowLastColumn="0" w:lastRowFirstColumn="0" w:lastRowLastColumn="0"/>
              <w:rPr>
                <w:sz w:val="20"/>
                <w:szCs w:val="20"/>
              </w:rPr>
            </w:pPr>
            <w:hyperlink r:id="rId420" w:history="1">
              <w:r w:rsidR="00812F82" w:rsidRPr="00256000">
                <w:rPr>
                  <w:rStyle w:val="Hyperlink"/>
                  <w:sz w:val="20"/>
                  <w:szCs w:val="20"/>
                </w:rPr>
                <w:t>http://blogs.technet.com/b/privatecloud/archive/2013/04/09/active-directory-considerations-in-azure-virtual-machines-and-virtual-networks-part-5-domains-and-gcs.aspx</w:t>
              </w:r>
            </w:hyperlink>
            <w:r w:rsidR="00812F82" w:rsidRPr="00256000">
              <w:rPr>
                <w:sz w:val="20"/>
                <w:szCs w:val="20"/>
              </w:rPr>
              <w:t xml:space="preserve"> </w:t>
            </w:r>
          </w:p>
        </w:tc>
      </w:tr>
      <w:tr w:rsidR="00812F82" w14:paraId="52C18CD6" w14:textId="77777777" w:rsidTr="00E45C98">
        <w:tc>
          <w:tcPr>
            <w:cnfStyle w:val="001000000000" w:firstRow="0" w:lastRow="0" w:firstColumn="1" w:lastColumn="0" w:oddVBand="0" w:evenVBand="0" w:oddHBand="0" w:evenHBand="0" w:firstRowFirstColumn="0" w:firstRowLastColumn="0" w:lastRowFirstColumn="0" w:lastRowLastColumn="0"/>
            <w:tcW w:w="3420" w:type="dxa"/>
          </w:tcPr>
          <w:p w14:paraId="4805A028" w14:textId="4AB6A49C" w:rsidR="00812F82" w:rsidRPr="00256000" w:rsidRDefault="00E64254" w:rsidP="00E64254">
            <w:pPr>
              <w:spacing w:line="240" w:lineRule="auto"/>
              <w:rPr>
                <w:sz w:val="20"/>
                <w:szCs w:val="20"/>
              </w:rPr>
            </w:pPr>
            <w:r w:rsidRPr="00E64254">
              <w:rPr>
                <w:sz w:val="20"/>
                <w:szCs w:val="20"/>
              </w:rPr>
              <w:t>Security Considerations for Infrastructure as a Service–IaaS-Private Cloud</w:t>
            </w:r>
          </w:p>
        </w:tc>
        <w:tc>
          <w:tcPr>
            <w:tcW w:w="5940" w:type="dxa"/>
          </w:tcPr>
          <w:p w14:paraId="1ADE070F" w14:textId="23DE6516" w:rsidR="00812F82" w:rsidRPr="00256000" w:rsidRDefault="00872E47" w:rsidP="00E64254">
            <w:pPr>
              <w:cnfStyle w:val="000000000000" w:firstRow="0" w:lastRow="0" w:firstColumn="0" w:lastColumn="0" w:oddVBand="0" w:evenVBand="0" w:oddHBand="0" w:evenHBand="0" w:firstRowFirstColumn="0" w:firstRowLastColumn="0" w:lastRowFirstColumn="0" w:lastRowLastColumn="0"/>
              <w:rPr>
                <w:sz w:val="20"/>
                <w:szCs w:val="20"/>
              </w:rPr>
            </w:pPr>
            <w:hyperlink r:id="rId421" w:history="1">
              <w:r w:rsidR="00812F82" w:rsidRPr="00256000">
                <w:rPr>
                  <w:rStyle w:val="Hyperlink"/>
                  <w:sz w:val="20"/>
                  <w:szCs w:val="20"/>
                </w:rPr>
                <w:t>http://blogs.technet.com/b/privatecloud/archive/2011/10/12/security-considerations-for-infrastructure-as-a-service-iaas-private-cloud.aspx</w:t>
              </w:r>
            </w:hyperlink>
            <w:r w:rsidR="00812F82" w:rsidRPr="00256000">
              <w:rPr>
                <w:sz w:val="20"/>
                <w:szCs w:val="20"/>
              </w:rPr>
              <w:t xml:space="preserve"> </w:t>
            </w:r>
          </w:p>
        </w:tc>
      </w:tr>
    </w:tbl>
    <w:p w14:paraId="78F4BBD3" w14:textId="77777777" w:rsidR="00CC0E47" w:rsidRDefault="00CC0E47" w:rsidP="00CF37FA"/>
    <w:p w14:paraId="1206F411" w14:textId="0A7066C1" w:rsidR="00020E1E" w:rsidRDefault="006B29E9" w:rsidP="005729D2">
      <w:pPr>
        <w:pStyle w:val="Heading2Numbered"/>
        <w:numPr>
          <w:ilvl w:val="1"/>
          <w:numId w:val="64"/>
        </w:numPr>
      </w:pPr>
      <w:bookmarkStart w:id="4771" w:name="_Toc417934702"/>
      <w:bookmarkStart w:id="4772" w:name="_Toc417936041"/>
      <w:bookmarkStart w:id="4773" w:name="_Toc417936503"/>
      <w:bookmarkStart w:id="4774" w:name="_Toc417985990"/>
      <w:bookmarkStart w:id="4775" w:name="_Toc418003854"/>
      <w:bookmarkStart w:id="4776" w:name="_Toc418012059"/>
      <w:bookmarkStart w:id="4777" w:name="_Toc418030077"/>
      <w:bookmarkStart w:id="4778" w:name="_Toc417946927"/>
      <w:bookmarkStart w:id="4779" w:name="_Toc417947375"/>
      <w:bookmarkStart w:id="4780" w:name="_Toc417982537"/>
      <w:bookmarkStart w:id="4781" w:name="_Toc418000683"/>
      <w:bookmarkStart w:id="4782" w:name="_Toc418036961"/>
      <w:bookmarkStart w:id="4783" w:name="_Toc418061436"/>
      <w:bookmarkStart w:id="4784" w:name="_Toc418081335"/>
      <w:bookmarkStart w:id="4785" w:name="_Toc418083367"/>
      <w:bookmarkStart w:id="4786" w:name="_Toc418096131"/>
      <w:bookmarkStart w:id="4787" w:name="_Toc418156733"/>
      <w:bookmarkStart w:id="4788" w:name="_Toc418167652"/>
      <w:bookmarkStart w:id="4789" w:name="_Toc418185908"/>
      <w:bookmarkStart w:id="4790" w:name="_Toc422941621"/>
      <w:bookmarkStart w:id="4791" w:name="_Toc423116827"/>
      <w:bookmarkStart w:id="4792" w:name="_Toc423117860"/>
      <w:bookmarkStart w:id="4793" w:name="_Toc423117310"/>
      <w:bookmarkStart w:id="4794" w:name="_Toc431288904"/>
      <w:bookmarkStart w:id="4795" w:name="_Toc414892124"/>
      <w:bookmarkStart w:id="4796" w:name="_Toc414960147"/>
      <w:bookmarkStart w:id="4797" w:name="_Toc414969118"/>
      <w:bookmarkStart w:id="4798" w:name="_Toc415011340"/>
      <w:bookmarkStart w:id="4799" w:name="_Toc415040030"/>
      <w:bookmarkStart w:id="4800" w:name="_Toc415572387"/>
      <w:bookmarkStart w:id="4801" w:name="_Toc415735557"/>
      <w:bookmarkStart w:id="4802" w:name="_Toc415814138"/>
      <w:bookmarkStart w:id="4803" w:name="_Toc416343873"/>
      <w:bookmarkStart w:id="4804" w:name="_Toc416863145"/>
      <w:bookmarkStart w:id="4805" w:name="_Toc417314760"/>
      <w:bookmarkStart w:id="4806" w:name="_Toc417323777"/>
      <w:bookmarkStart w:id="4807" w:name="_Toc417326867"/>
      <w:bookmarkStart w:id="4808" w:name="_Toc417330415"/>
      <w:bookmarkStart w:id="4809" w:name="_Toc417395021"/>
      <w:bookmarkStart w:id="4810" w:name="_Toc417399238"/>
      <w:bookmarkStart w:id="4811" w:name="_Toc417399397"/>
      <w:bookmarkStart w:id="4812" w:name="_Toc417400444"/>
      <w:bookmarkStart w:id="4813" w:name="_Toc417401292"/>
      <w:bookmarkStart w:id="4814" w:name="_Toc417419607"/>
      <w:bookmarkStart w:id="4815" w:name="_Toc417457379"/>
      <w:bookmarkStart w:id="4816" w:name="_Toc417481957"/>
      <w:bookmarkStart w:id="4817" w:name="_Toc417482215"/>
      <w:bookmarkStart w:id="4818" w:name="_Toc417499934"/>
      <w:bookmarkStart w:id="4819" w:name="_Toc417502755"/>
      <w:bookmarkStart w:id="4820" w:name="_Toc417548332"/>
      <w:bookmarkStart w:id="4821" w:name="_Toc417594574"/>
      <w:r>
        <w:t xml:space="preserve">IP </w:t>
      </w:r>
      <w:r w:rsidR="00020E1E">
        <w:t>Address</w:t>
      </w:r>
      <w:r w:rsidR="00E64254">
        <w:t>es</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5BDD311C" w14:textId="54BFF175" w:rsidR="00020E1E" w:rsidRDefault="00020E1E" w:rsidP="00020E1E">
      <w:r>
        <w:t>Azure allocates IP addresses based on the type of object being provisioned and the options selected.</w:t>
      </w:r>
      <w:r w:rsidR="00E64254">
        <w:t xml:space="preserve">  In some cases, having a reserved IP address is required. The following table outlines the options for reserved IP addresses and the use cases for each type:</w:t>
      </w:r>
    </w:p>
    <w:tbl>
      <w:tblPr>
        <w:tblStyle w:val="PlainTable11"/>
        <w:tblW w:w="0" w:type="auto"/>
        <w:tblLook w:val="04A0" w:firstRow="1" w:lastRow="0" w:firstColumn="1" w:lastColumn="0" w:noHBand="0" w:noVBand="1"/>
      </w:tblPr>
      <w:tblGrid>
        <w:gridCol w:w="1309"/>
        <w:gridCol w:w="5343"/>
        <w:gridCol w:w="2698"/>
      </w:tblGrid>
      <w:tr w:rsidR="00E45C98" w:rsidRPr="00E45C98" w14:paraId="2670B4E2" w14:textId="5F6DFBA1" w:rsidTr="004B6D0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9" w:type="dxa"/>
            <w:shd w:val="clear" w:color="auto" w:fill="808080" w:themeFill="background1" w:themeFillShade="80"/>
          </w:tcPr>
          <w:p w14:paraId="712CA7D9" w14:textId="0A5DB135" w:rsidR="00020E1E" w:rsidRPr="00E45C98" w:rsidRDefault="00020E1E" w:rsidP="00020E1E">
            <w:pPr>
              <w:rPr>
                <w:color w:val="FFFFFF" w:themeColor="background1"/>
              </w:rPr>
            </w:pPr>
            <w:r w:rsidRPr="00E45C98">
              <w:rPr>
                <w:color w:val="FFFFFF" w:themeColor="background1"/>
              </w:rPr>
              <w:t>Type</w:t>
            </w:r>
          </w:p>
        </w:tc>
        <w:tc>
          <w:tcPr>
            <w:tcW w:w="5343" w:type="dxa"/>
            <w:shd w:val="clear" w:color="auto" w:fill="808080" w:themeFill="background1" w:themeFillShade="80"/>
          </w:tcPr>
          <w:p w14:paraId="5930210C" w14:textId="4763F999" w:rsidR="00020E1E" w:rsidRPr="00E45C98" w:rsidRDefault="00020E1E" w:rsidP="00020E1E">
            <w:pPr>
              <w:cnfStyle w:val="100000000000" w:firstRow="1" w:lastRow="0" w:firstColumn="0" w:lastColumn="0" w:oddVBand="0" w:evenVBand="0" w:oddHBand="0" w:evenHBand="0" w:firstRowFirstColumn="0" w:firstRowLastColumn="0" w:lastRowFirstColumn="0" w:lastRowLastColumn="0"/>
              <w:rPr>
                <w:color w:val="FFFFFF" w:themeColor="background1"/>
              </w:rPr>
            </w:pPr>
            <w:r w:rsidRPr="00E45C98">
              <w:rPr>
                <w:color w:val="FFFFFF" w:themeColor="background1"/>
              </w:rPr>
              <w:t>Description</w:t>
            </w:r>
          </w:p>
        </w:tc>
        <w:tc>
          <w:tcPr>
            <w:tcW w:w="2698" w:type="dxa"/>
            <w:shd w:val="clear" w:color="auto" w:fill="808080" w:themeFill="background1" w:themeFillShade="80"/>
          </w:tcPr>
          <w:p w14:paraId="694BF9B4" w14:textId="3695E41A" w:rsidR="008861C3" w:rsidRPr="00E45C98" w:rsidRDefault="008861C3" w:rsidP="008861C3">
            <w:pPr>
              <w:cnfStyle w:val="100000000000" w:firstRow="1" w:lastRow="0" w:firstColumn="0" w:lastColumn="0" w:oddVBand="0" w:evenVBand="0" w:oddHBand="0" w:evenHBand="0" w:firstRowFirstColumn="0" w:firstRowLastColumn="0" w:lastRowFirstColumn="0" w:lastRowLastColumn="0"/>
              <w:rPr>
                <w:color w:val="FFFFFF" w:themeColor="background1"/>
              </w:rPr>
            </w:pPr>
            <w:r w:rsidRPr="00E45C98">
              <w:rPr>
                <w:color w:val="FFFFFF" w:themeColor="background1"/>
              </w:rPr>
              <w:t>When to Use</w:t>
            </w:r>
          </w:p>
        </w:tc>
      </w:tr>
      <w:tr w:rsidR="004B6D04" w14:paraId="07433374" w14:textId="175F9ADA" w:rsidTr="004B6D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9" w:type="dxa"/>
          </w:tcPr>
          <w:p w14:paraId="4CD80EAE" w14:textId="6A838142" w:rsidR="004B6D04" w:rsidRDefault="004B6D04" w:rsidP="004B6D04">
            <w:r>
              <w:t>DIP</w:t>
            </w:r>
          </w:p>
        </w:tc>
        <w:tc>
          <w:tcPr>
            <w:tcW w:w="5343" w:type="dxa"/>
          </w:tcPr>
          <w:p w14:paraId="17B7F51E" w14:textId="49E2EB1F" w:rsidR="004B6D04" w:rsidRDefault="004B6D04" w:rsidP="004B6D04">
            <w:pPr>
              <w:cnfStyle w:val="000000100000" w:firstRow="0" w:lastRow="0" w:firstColumn="0" w:lastColumn="0" w:oddVBand="0" w:evenVBand="0" w:oddHBand="1" w:evenHBand="0" w:firstRowFirstColumn="0" w:firstRowLastColumn="0" w:lastRowFirstColumn="0" w:lastRowLastColumn="0"/>
            </w:pPr>
            <w:r>
              <w:t xml:space="preserve">Dynamic IP address. Internal IP address assigned by default and associated with a virtual machine. </w:t>
            </w:r>
          </w:p>
        </w:tc>
        <w:tc>
          <w:tcPr>
            <w:tcW w:w="2698" w:type="dxa"/>
          </w:tcPr>
          <w:p w14:paraId="2ED1E701" w14:textId="6A95EA1B" w:rsidR="004B6D04" w:rsidRDefault="004B6D04" w:rsidP="004B6D04">
            <w:pPr>
              <w:cnfStyle w:val="000000100000" w:firstRow="0" w:lastRow="0" w:firstColumn="0" w:lastColumn="0" w:oddVBand="0" w:evenVBand="0" w:oddHBand="1" w:evenHBand="0" w:firstRowFirstColumn="0" w:firstRowLastColumn="0" w:lastRowFirstColumn="0" w:lastRowLastColumn="0"/>
            </w:pPr>
            <w:r>
              <w:t>Always assigned</w:t>
            </w:r>
          </w:p>
        </w:tc>
      </w:tr>
      <w:tr w:rsidR="004B6D04" w14:paraId="2235EE67" w14:textId="0F5A8412" w:rsidTr="004B6D04">
        <w:tc>
          <w:tcPr>
            <w:cnfStyle w:val="001000000000" w:firstRow="0" w:lastRow="0" w:firstColumn="1" w:lastColumn="0" w:oddVBand="0" w:evenVBand="0" w:oddHBand="0" w:evenHBand="0" w:firstRowFirstColumn="0" w:firstRowLastColumn="0" w:lastRowFirstColumn="0" w:lastRowLastColumn="0"/>
            <w:tcW w:w="1309" w:type="dxa"/>
          </w:tcPr>
          <w:p w14:paraId="4AD042E1" w14:textId="66DFEFEA" w:rsidR="004B6D04" w:rsidRDefault="004B6D04" w:rsidP="004B6D04">
            <w:r>
              <w:t>VIP</w:t>
            </w:r>
          </w:p>
        </w:tc>
        <w:tc>
          <w:tcPr>
            <w:tcW w:w="5343" w:type="dxa"/>
          </w:tcPr>
          <w:p w14:paraId="3803C32B" w14:textId="77777777" w:rsidR="004B6D04" w:rsidRDefault="004B6D04" w:rsidP="004B6D04">
            <w:pPr>
              <w:cnfStyle w:val="000000000000" w:firstRow="0" w:lastRow="0" w:firstColumn="0" w:lastColumn="0" w:oddVBand="0" w:evenVBand="0" w:oddHBand="0" w:evenHBand="0" w:firstRowFirstColumn="0" w:firstRowLastColumn="0" w:lastRowFirstColumn="0" w:lastRowLastColumn="0"/>
            </w:pPr>
            <w:r>
              <w:t>Virtual IP address. Assigned to a virtual machine, cloud service load balancer, or an internal load balancer.</w:t>
            </w:r>
          </w:p>
          <w:p w14:paraId="03631653" w14:textId="77777777" w:rsidR="004B6D04" w:rsidRDefault="004B6D04" w:rsidP="004B6D04">
            <w:pPr>
              <w:cnfStyle w:val="000000000000" w:firstRow="0" w:lastRow="0" w:firstColumn="0" w:lastColumn="0" w:oddVBand="0" w:evenVBand="0" w:oddHBand="0" w:evenHBand="0" w:firstRowFirstColumn="0" w:firstRowLastColumn="0" w:lastRowFirstColumn="0" w:lastRowLastColumn="0"/>
            </w:pPr>
            <w:r>
              <w:t>Address is private for an internal load balancer and is public for a cloud service load balancer or a virtual machine.</w:t>
            </w:r>
          </w:p>
          <w:p w14:paraId="32A294DF" w14:textId="0B5C2F7E" w:rsidR="004B6D04" w:rsidRDefault="004B6D04" w:rsidP="004B6D04">
            <w:pPr>
              <w:cnfStyle w:val="000000000000" w:firstRow="0" w:lastRow="0" w:firstColumn="0" w:lastColumn="0" w:oddVBand="0" w:evenVBand="0" w:oddHBand="0" w:evenHBand="0" w:firstRowFirstColumn="0" w:firstRowLastColumn="0" w:lastRowFirstColumn="0" w:lastRowLastColumn="0"/>
            </w:pPr>
            <w:r>
              <w:t>Address is shared across all virtual machines within the same cloud service.</w:t>
            </w:r>
          </w:p>
        </w:tc>
        <w:tc>
          <w:tcPr>
            <w:tcW w:w="2698" w:type="dxa"/>
          </w:tcPr>
          <w:p w14:paraId="5620A6C5" w14:textId="3300570F" w:rsidR="004B6D04" w:rsidRDefault="004B6D04" w:rsidP="004B6D04">
            <w:pPr>
              <w:cnfStyle w:val="000000000000" w:firstRow="0" w:lastRow="0" w:firstColumn="0" w:lastColumn="0" w:oddVBand="0" w:evenVBand="0" w:oddHBand="0" w:evenHBand="0" w:firstRowFirstColumn="0" w:firstRowLastColumn="0" w:lastRowFirstColumn="0" w:lastRowLastColumn="0"/>
            </w:pPr>
            <w:r>
              <w:t>Always assigned</w:t>
            </w:r>
          </w:p>
        </w:tc>
      </w:tr>
      <w:tr w:rsidR="004B6D04" w14:paraId="03F00F04" w14:textId="06247C72" w:rsidTr="004B6D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9" w:type="dxa"/>
          </w:tcPr>
          <w:p w14:paraId="2078456C" w14:textId="5EEF2D67" w:rsidR="004B6D04" w:rsidRDefault="004B6D04" w:rsidP="004B6D04">
            <w:r>
              <w:t>PIP</w:t>
            </w:r>
          </w:p>
        </w:tc>
        <w:tc>
          <w:tcPr>
            <w:tcW w:w="5343" w:type="dxa"/>
          </w:tcPr>
          <w:p w14:paraId="410BFCDA" w14:textId="59C8FD8B" w:rsidR="004B6D04" w:rsidRDefault="004B6D04" w:rsidP="004B6D04">
            <w:pPr>
              <w:cnfStyle w:val="000000100000" w:firstRow="0" w:lastRow="0" w:firstColumn="0" w:lastColumn="0" w:oddVBand="0" w:evenVBand="0" w:oddHBand="1" w:evenHBand="0" w:firstRowFirstColumn="0" w:firstRowLastColumn="0" w:lastRowFirstColumn="0" w:lastRowLastColumn="0"/>
            </w:pPr>
            <w:r>
              <w:t>Public IP address. Public instance-level IP address that can be assigned to a virtual machine. A PIP allows direct communication to a virtual machine without going through the cloud service load balancer.</w:t>
            </w:r>
          </w:p>
        </w:tc>
        <w:tc>
          <w:tcPr>
            <w:tcW w:w="2698" w:type="dxa"/>
          </w:tcPr>
          <w:p w14:paraId="7E7B9B67" w14:textId="1A76D347" w:rsidR="004B6D04" w:rsidRDefault="004B6D04" w:rsidP="004B6D04">
            <w:pPr>
              <w:cnfStyle w:val="000000100000" w:firstRow="0" w:lastRow="0" w:firstColumn="0" w:lastColumn="0" w:oddVBand="0" w:evenVBand="0" w:oddHBand="1" w:evenHBand="0" w:firstRowFirstColumn="0" w:firstRowLastColumn="0" w:lastRowFirstColumn="0" w:lastRowLastColumn="0"/>
            </w:pPr>
            <w:r>
              <w:t>Use only when you need to directly communicate with an instance in cloud service</w:t>
            </w:r>
          </w:p>
        </w:tc>
      </w:tr>
      <w:tr w:rsidR="004B6D04" w14:paraId="14DF27D9" w14:textId="36EB7420" w:rsidTr="004B6D04">
        <w:tc>
          <w:tcPr>
            <w:cnfStyle w:val="001000000000" w:firstRow="0" w:lastRow="0" w:firstColumn="1" w:lastColumn="0" w:oddVBand="0" w:evenVBand="0" w:oddHBand="0" w:evenHBand="0" w:firstRowFirstColumn="0" w:firstRowLastColumn="0" w:lastRowFirstColumn="0" w:lastRowLastColumn="0"/>
            <w:tcW w:w="1309" w:type="dxa"/>
          </w:tcPr>
          <w:p w14:paraId="38D61F29" w14:textId="5C0C3B02" w:rsidR="004B6D04" w:rsidRDefault="004B6D04" w:rsidP="004B6D04">
            <w:r>
              <w:t>Reserved</w:t>
            </w:r>
          </w:p>
        </w:tc>
        <w:tc>
          <w:tcPr>
            <w:tcW w:w="5343" w:type="dxa"/>
          </w:tcPr>
          <w:p w14:paraId="097627BD" w14:textId="34D36C0E" w:rsidR="004B6D04" w:rsidRDefault="004B6D04" w:rsidP="004B6D04">
            <w:pPr>
              <w:cnfStyle w:val="000000000000" w:firstRow="0" w:lastRow="0" w:firstColumn="0" w:lastColumn="0" w:oddVBand="0" w:evenVBand="0" w:oddHBand="0" w:evenHBand="0" w:firstRowFirstColumn="0" w:firstRowLastColumn="0" w:lastRowFirstColumn="0" w:lastRowLastColumn="0"/>
            </w:pPr>
            <w:r>
              <w:t>This is a static public-facing VIP address for a cloud service that must be specially requested. There are a limited number of these addresses per subscription.</w:t>
            </w:r>
          </w:p>
        </w:tc>
        <w:tc>
          <w:tcPr>
            <w:tcW w:w="2698" w:type="dxa"/>
          </w:tcPr>
          <w:p w14:paraId="45DBE0E0" w14:textId="4BC79176" w:rsidR="004B6D04" w:rsidRDefault="004B6D04" w:rsidP="004B6D04">
            <w:pPr>
              <w:cnfStyle w:val="000000000000" w:firstRow="0" w:lastRow="0" w:firstColumn="0" w:lastColumn="0" w:oddVBand="0" w:evenVBand="0" w:oddHBand="0" w:evenHBand="0" w:firstRowFirstColumn="0" w:firstRowLastColumn="0" w:lastRowFirstColumn="0" w:lastRowLastColumn="0"/>
            </w:pPr>
            <w:r>
              <w:t>Use only when you need a public facing static IP address</w:t>
            </w:r>
          </w:p>
        </w:tc>
      </w:tr>
      <w:tr w:rsidR="004B6D04" w14:paraId="5AAD3182" w14:textId="4D7FEC24" w:rsidTr="004B6D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9" w:type="dxa"/>
          </w:tcPr>
          <w:p w14:paraId="3F482F84" w14:textId="00898550" w:rsidR="004B6D04" w:rsidRDefault="004B6D04" w:rsidP="004B6D04">
            <w:r>
              <w:t>Internal static</w:t>
            </w:r>
          </w:p>
        </w:tc>
        <w:tc>
          <w:tcPr>
            <w:tcW w:w="5343" w:type="dxa"/>
          </w:tcPr>
          <w:p w14:paraId="4F53BE02" w14:textId="4980F288" w:rsidR="004B6D04" w:rsidRDefault="004B6D04" w:rsidP="004B6D04">
            <w:pPr>
              <w:cnfStyle w:val="000000100000" w:firstRow="0" w:lastRow="0" w:firstColumn="0" w:lastColumn="0" w:oddVBand="0" w:evenVBand="0" w:oddHBand="1" w:evenHBand="0" w:firstRowFirstColumn="0" w:firstRowLastColumn="0" w:lastRowFirstColumn="0" w:lastRowLastColumn="0"/>
            </w:pPr>
            <w:r>
              <w:t>A static address allocated from the subnet address pool. Internal facing only. The number is only limited by the number of addresses assigned to the subnet address pool. This is implemented as a DHCP reservation.</w:t>
            </w:r>
          </w:p>
        </w:tc>
        <w:tc>
          <w:tcPr>
            <w:tcW w:w="2698" w:type="dxa"/>
          </w:tcPr>
          <w:p w14:paraId="3C2E5EAE" w14:textId="5DBE3D71" w:rsidR="004B6D04" w:rsidRDefault="004B6D04" w:rsidP="004B6D04">
            <w:pPr>
              <w:cnfStyle w:val="000000100000" w:firstRow="0" w:lastRow="0" w:firstColumn="0" w:lastColumn="0" w:oddVBand="0" w:evenVBand="0" w:oddHBand="1" w:evenHBand="0" w:firstRowFirstColumn="0" w:firstRowLastColumn="0" w:lastRowFirstColumn="0" w:lastRowLastColumn="0"/>
            </w:pPr>
            <w:r>
              <w:t>Use only when you need an internal facing static IP address</w:t>
            </w:r>
          </w:p>
        </w:tc>
      </w:tr>
    </w:tbl>
    <w:p w14:paraId="12C831F6" w14:textId="4E81FC5C" w:rsidR="008C7D16" w:rsidRDefault="004B6D04" w:rsidP="00020E1E">
      <w:r>
        <w:t xml:space="preserve">For more information, see </w:t>
      </w:r>
      <w:hyperlink r:id="rId422" w:history="1">
        <w:r w:rsidRPr="00271C44">
          <w:rPr>
            <w:rStyle w:val="Hyperlink"/>
            <w:lang w:val="en"/>
          </w:rPr>
          <w:t>VIPs, DIPs and PIPs in Microsoft Azure</w:t>
        </w:r>
      </w:hyperlink>
      <w:r>
        <w:rPr>
          <w:lang w:val="en"/>
        </w:rPr>
        <w:t>.</w:t>
      </w:r>
    </w:p>
    <w:p w14:paraId="73FAE157" w14:textId="77777777" w:rsidR="008C7D16" w:rsidRDefault="008C7D16">
      <w:pPr>
        <w:spacing w:before="0" w:after="160" w:line="259" w:lineRule="auto"/>
      </w:pPr>
      <w:r>
        <w:br w:type="page"/>
      </w:r>
    </w:p>
    <w:p w14:paraId="71D35408" w14:textId="219B8A2D" w:rsidR="00020E1E" w:rsidRPr="00020E1E" w:rsidRDefault="008C7D16" w:rsidP="00020E1E">
      <w:r>
        <w:t xml:space="preserve">This relationship is illustrated in the </w:t>
      </w:r>
      <w:r w:rsidR="004B6D04">
        <w:t xml:space="preserve">following </w:t>
      </w:r>
      <w:r>
        <w:t>diagram:</w:t>
      </w:r>
    </w:p>
    <w:p w14:paraId="14638AD2" w14:textId="238CD60F" w:rsidR="00534999" w:rsidRDefault="00534999" w:rsidP="00020E1E">
      <w:r w:rsidRPr="00534999">
        <w:rPr>
          <w:noProof/>
        </w:rPr>
        <w:drawing>
          <wp:inline distT="0" distB="0" distL="0" distR="0" wp14:anchorId="6CFCB2A5" wp14:editId="63FEFBFD">
            <wp:extent cx="5943600" cy="2850515"/>
            <wp:effectExtent l="0" t="0" r="0" b="6985"/>
            <wp:docPr id="41127" name="Picture 4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3"/>
                    <a:stretch>
                      <a:fillRect/>
                    </a:stretch>
                  </pic:blipFill>
                  <pic:spPr>
                    <a:xfrm>
                      <a:off x="0" y="0"/>
                      <a:ext cx="5943600" cy="2850515"/>
                    </a:xfrm>
                    <a:prstGeom prst="rect">
                      <a:avLst/>
                    </a:prstGeom>
                  </pic:spPr>
                </pic:pic>
              </a:graphicData>
            </a:graphic>
          </wp:inline>
        </w:drawing>
      </w:r>
    </w:p>
    <w:p w14:paraId="6C2F171F" w14:textId="64FAFC40" w:rsidR="006B29E9" w:rsidRDefault="00020E1E" w:rsidP="005729D2">
      <w:pPr>
        <w:pStyle w:val="Heading3Numbered"/>
        <w:numPr>
          <w:ilvl w:val="2"/>
          <w:numId w:val="64"/>
        </w:numPr>
      </w:pPr>
      <w:bookmarkStart w:id="4822" w:name="_Toc417928007"/>
      <w:bookmarkStart w:id="4823" w:name="_Toc417929286"/>
      <w:bookmarkStart w:id="4824" w:name="_Toc417929752"/>
      <w:bookmarkStart w:id="4825" w:name="_Toc417930003"/>
      <w:bookmarkStart w:id="4826" w:name="_Toc417931572"/>
      <w:bookmarkStart w:id="4827" w:name="_Toc417930735"/>
      <w:bookmarkStart w:id="4828" w:name="_Toc417931159"/>
      <w:bookmarkStart w:id="4829" w:name="_Toc417932615"/>
      <w:bookmarkStart w:id="4830" w:name="_Toc417933098"/>
      <w:bookmarkStart w:id="4831" w:name="_Toc417932256"/>
      <w:bookmarkStart w:id="4832" w:name="_Toc417933774"/>
      <w:bookmarkStart w:id="4833" w:name="_Toc417934239"/>
      <w:bookmarkStart w:id="4834" w:name="_Toc417933373"/>
      <w:bookmarkStart w:id="4835" w:name="_Toc417934703"/>
      <w:bookmarkStart w:id="4836" w:name="_Toc417934862"/>
      <w:bookmarkStart w:id="4837" w:name="_Toc417935343"/>
      <w:bookmarkStart w:id="4838" w:name="_Toc417936042"/>
      <w:bookmarkStart w:id="4839" w:name="_Toc417936504"/>
      <w:bookmarkStart w:id="4840" w:name="_Toc417942567"/>
      <w:bookmarkStart w:id="4841" w:name="_Toc417943046"/>
      <w:bookmarkStart w:id="4842" w:name="_Toc417945390"/>
      <w:bookmarkStart w:id="4843" w:name="_Toc417946718"/>
      <w:bookmarkStart w:id="4844" w:name="_Toc417947380"/>
      <w:bookmarkStart w:id="4845" w:name="_Toc417948081"/>
      <w:bookmarkStart w:id="4846" w:name="_Toc417951130"/>
      <w:bookmarkStart w:id="4847" w:name="_Toc417975199"/>
      <w:bookmarkStart w:id="4848" w:name="_Toc417975916"/>
      <w:bookmarkStart w:id="4849" w:name="_Toc417976979"/>
      <w:bookmarkStart w:id="4850" w:name="_Toc417978067"/>
      <w:bookmarkStart w:id="4851" w:name="_Toc417979257"/>
      <w:bookmarkStart w:id="4852" w:name="_Toc417981359"/>
      <w:bookmarkStart w:id="4853" w:name="_Toc417981630"/>
      <w:bookmarkStart w:id="4854" w:name="_Toc417983157"/>
      <w:bookmarkStart w:id="4855" w:name="_Toc417984426"/>
      <w:bookmarkStart w:id="4856" w:name="_Toc417985991"/>
      <w:bookmarkStart w:id="4857" w:name="_Toc417987427"/>
      <w:bookmarkStart w:id="4858" w:name="_Toc417993123"/>
      <w:bookmarkStart w:id="4859" w:name="_Toc418003855"/>
      <w:bookmarkStart w:id="4860" w:name="_Toc418005595"/>
      <w:bookmarkStart w:id="4861" w:name="_Toc418006597"/>
      <w:bookmarkStart w:id="4862" w:name="_Toc418010836"/>
      <w:bookmarkStart w:id="4863" w:name="_Toc418012060"/>
      <w:bookmarkStart w:id="4864" w:name="_Toc418012328"/>
      <w:bookmarkStart w:id="4865" w:name="_Toc418012772"/>
      <w:bookmarkStart w:id="4866" w:name="_Toc418014328"/>
      <w:bookmarkStart w:id="4867" w:name="_Toc418014708"/>
      <w:bookmarkStart w:id="4868" w:name="_Toc418016077"/>
      <w:bookmarkStart w:id="4869" w:name="_Toc418017316"/>
      <w:bookmarkStart w:id="4870" w:name="_Toc418013645"/>
      <w:bookmarkStart w:id="4871" w:name="_Toc418017591"/>
      <w:bookmarkStart w:id="4872" w:name="_Toc418021080"/>
      <w:bookmarkStart w:id="4873" w:name="_Toc418022128"/>
      <w:bookmarkStart w:id="4874" w:name="_Toc418023101"/>
      <w:bookmarkStart w:id="4875" w:name="_Toc418025497"/>
      <w:bookmarkStart w:id="4876" w:name="_Toc418025772"/>
      <w:bookmarkStart w:id="4877" w:name="_Toc418026065"/>
      <w:bookmarkStart w:id="4878" w:name="_Toc418027747"/>
      <w:bookmarkStart w:id="4879" w:name="_Toc418028169"/>
      <w:bookmarkStart w:id="4880" w:name="_Toc418030078"/>
      <w:bookmarkStart w:id="4881" w:name="_Toc418030829"/>
      <w:bookmarkStart w:id="4882" w:name="_Toc418040581"/>
      <w:bookmarkStart w:id="4883" w:name="_Toc417934704"/>
      <w:bookmarkStart w:id="4884" w:name="_Toc417936043"/>
      <w:bookmarkStart w:id="4885" w:name="_Toc417936505"/>
      <w:bookmarkStart w:id="4886" w:name="_Toc417946928"/>
      <w:bookmarkStart w:id="4887" w:name="_Toc417947376"/>
      <w:bookmarkStart w:id="4888" w:name="_Toc417982538"/>
      <w:bookmarkStart w:id="4889" w:name="_Toc417985992"/>
      <w:bookmarkStart w:id="4890" w:name="_Toc418000684"/>
      <w:bookmarkStart w:id="4891" w:name="_Toc418003856"/>
      <w:bookmarkStart w:id="4892" w:name="_Toc418012061"/>
      <w:bookmarkStart w:id="4893" w:name="_Toc418014474"/>
      <w:bookmarkStart w:id="4894" w:name="_Toc418014709"/>
      <w:bookmarkStart w:id="4895" w:name="_Toc418030079"/>
      <w:bookmarkStart w:id="4896" w:name="_Toc418036962"/>
      <w:bookmarkStart w:id="4897" w:name="_Toc418061437"/>
      <w:bookmarkStart w:id="4898" w:name="_Toc418081336"/>
      <w:bookmarkStart w:id="4899" w:name="_Toc418083368"/>
      <w:bookmarkStart w:id="4900" w:name="_Toc418096132"/>
      <w:bookmarkStart w:id="4901" w:name="_Toc418156734"/>
      <w:bookmarkStart w:id="4902" w:name="_Toc418167653"/>
      <w:bookmarkStart w:id="4903" w:name="_Toc418185909"/>
      <w:bookmarkStart w:id="4904" w:name="_Toc422941622"/>
      <w:bookmarkStart w:id="4905" w:name="_Toc423116828"/>
      <w:bookmarkStart w:id="4906" w:name="_Toc423117861"/>
      <w:bookmarkStart w:id="4907" w:name="_Toc423117311"/>
      <w:bookmarkStart w:id="4908" w:name="_Toc431288905"/>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r>
        <w:t xml:space="preserve">Address </w:t>
      </w:r>
      <w:r w:rsidR="006B29E9">
        <w:t>Assignment</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66ECFB0B" w14:textId="77777777" w:rsidR="004B6D04" w:rsidRDefault="004B6D04" w:rsidP="004B6D04">
      <w:r>
        <w:t xml:space="preserve">When you create an object that connects to a subnet in Azure, two IP addresses are automatically allocated to that object: </w:t>
      </w:r>
    </w:p>
    <w:p w14:paraId="2C67C876" w14:textId="77777777" w:rsidR="004B6D04" w:rsidRDefault="004B6D04" w:rsidP="005729D2">
      <w:pPr>
        <w:pStyle w:val="ListParagraph"/>
        <w:numPr>
          <w:ilvl w:val="0"/>
          <w:numId w:val="270"/>
        </w:numPr>
      </w:pPr>
      <w:r>
        <w:t xml:space="preserve">VIP: Public facing IP address associated with the cloud service it is a member </w:t>
      </w:r>
    </w:p>
    <w:p w14:paraId="24822D30" w14:textId="77777777" w:rsidR="004B6D04" w:rsidRDefault="004B6D04" w:rsidP="005729D2">
      <w:pPr>
        <w:pStyle w:val="ListParagraph"/>
        <w:numPr>
          <w:ilvl w:val="0"/>
          <w:numId w:val="270"/>
        </w:numPr>
      </w:pPr>
      <w:r>
        <w:t xml:space="preserve">DIP: Internal facing private IP address </w:t>
      </w:r>
    </w:p>
    <w:p w14:paraId="310C4781" w14:textId="77777777" w:rsidR="004B6D04" w:rsidRDefault="004B6D04" w:rsidP="004B6D04">
      <w:r>
        <w:t>Both addresses are assigned to the single network adapter and that adapter is connected to the subnet. The internal facing DIP address is allocated from the address space pool of the subnet to which the virtual machine is attached. The public facing VIP address is allocated from the pool of Azure datacenter addresses that are assigned to the datacenter where it resides.</w:t>
      </w:r>
    </w:p>
    <w:p w14:paraId="3F1FFB20" w14:textId="77777777" w:rsidR="004B6D04" w:rsidRDefault="004B6D04" w:rsidP="004B6D04">
      <w:r>
        <w:t xml:space="preserve">Azure provides dynamic allocation of IP addresses to compute resources within each subscription. Addresses are assigned starting from the first available address in the subnet pool. If a virtual machine is allocated an address and then it releases that address, the address is available for reassignment. </w:t>
      </w:r>
    </w:p>
    <w:p w14:paraId="48F1DD9B" w14:textId="77777777" w:rsidR="004B6D04" w:rsidRDefault="004B6D04" w:rsidP="004B6D04">
      <w:r>
        <w:t xml:space="preserve">An IP address assigned to a virtual machine is associated to the virtual machine until the machine is in a stopped (deallocated) state or it is destroyed completely. Using the </w:t>
      </w:r>
      <w:r w:rsidRPr="000D24BE">
        <w:rPr>
          <w:b/>
        </w:rPr>
        <w:t>Shutdown</w:t>
      </w:r>
      <w:r>
        <w:t xml:space="preserve"> option in the Azure portal results in the virtual machine being placed in the stopped-deallocated state, and the DHCP reservation is released. When the virtual machine is restarted it will receive a new IP address. </w:t>
      </w:r>
    </w:p>
    <w:p w14:paraId="01CF5B21" w14:textId="77777777" w:rsidR="004B6D04" w:rsidRDefault="004B6D04" w:rsidP="004B6D04">
      <w:r>
        <w:t xml:space="preserve">Actions like a virtual machine reboot by using </w:t>
      </w:r>
      <w:r w:rsidRPr="000D24BE">
        <w:rPr>
          <w:b/>
        </w:rPr>
        <w:t>Shutdown</w:t>
      </w:r>
      <w:r>
        <w:t xml:space="preserve"> from the operating system via RDP, or by leveraging the </w:t>
      </w:r>
      <w:r w:rsidRPr="000D24BE">
        <w:rPr>
          <w:b/>
        </w:rPr>
        <w:t>Stop-AzureVM</w:t>
      </w:r>
      <w:r>
        <w:t xml:space="preserve"> PowerShell cmdlet with the </w:t>
      </w:r>
      <w:r w:rsidRPr="000D24BE">
        <w:rPr>
          <w:rFonts w:ascii="Consolas" w:hAnsi="Consolas" w:cs="Consolas"/>
          <w:b/>
        </w:rPr>
        <w:t>–</w:t>
      </w:r>
      <w:r w:rsidRPr="000D24BE">
        <w:rPr>
          <w:b/>
        </w:rPr>
        <w:t xml:space="preserve">StayProvisioned </w:t>
      </w:r>
      <w:r>
        <w:t>parameter will not deallocate the IP address of the virtual machine.</w:t>
      </w:r>
    </w:p>
    <w:p w14:paraId="7FF4597F" w14:textId="380D1BB4" w:rsidR="00213D57" w:rsidRDefault="004B6D04" w:rsidP="004B6D04">
      <w:r>
        <w:t xml:space="preserve">Azure IP addresses that are released </w:t>
      </w:r>
      <w:r w:rsidDel="00067A54">
        <w:t xml:space="preserve">to the </w:t>
      </w:r>
      <w:r>
        <w:t>available address pool are immediately available for reassignment to a virtual machine. When Azure allocates an address, it searches sequentially from the beginning of the subnet address pool until it finds an available address, and then assigns it to the virtual machine. This assignment method is used for dynamic and static addresses from the subnet address pool</w:t>
      </w:r>
      <w:r w:rsidR="00213D57">
        <w:t>.</w:t>
      </w:r>
    </w:p>
    <w:tbl>
      <w:tblPr>
        <w:tblStyle w:val="TableGridLight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4B6D04" w14:paraId="64DEF3A1" w14:textId="77777777" w:rsidTr="00AE4350">
        <w:trPr>
          <w:trHeight w:val="423"/>
        </w:trPr>
        <w:tc>
          <w:tcPr>
            <w:tcW w:w="666" w:type="dxa"/>
          </w:tcPr>
          <w:p w14:paraId="42B16D5E" w14:textId="77777777" w:rsidR="004B6D04" w:rsidRDefault="004B6D04" w:rsidP="00AE4350">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6A1E0B50" wp14:editId="1DA4F0CE">
                      <wp:extent cx="200025" cy="180975"/>
                      <wp:effectExtent l="57150" t="19050" r="28575" b="104775"/>
                      <wp:docPr id="41145" name="Octagon 41145"/>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DB52FCA" id="Octagon 41145"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93ncwIAAFIFAAAOAAAAZHJzL2Uyb0RvYy54bWysVN1P2zAQf5+0/8Hy+0jTlQEVKaqKmCYh&#10;QMDEs+vYrSXH553dpt1fv7OThoohIU17Se58v/v+uLzaNZZtFQYDruLlyYgz5STUxq0q/vP55ss5&#10;ZyEKVwsLTlV8rwK/mn3+dNn6qRrDGmytkJERF6atr/g6Rj8tiiDXqhHhBLxyJNSAjYjE4qqoUbRk&#10;vbHFeDT6VrSAtUeQKgR6ve6EfJbta61kvNc6qMhsxSm2mL+Yv8v0LWaXYrpC4ddG9mGIf4iiEcaR&#10;08HUtYiCbdD8ZaoxEiGAjicSmgK0NlLlHCibcvQmm6e18CrnQsUJfihT+H9m5d32AZmpKz4py8kp&#10;Z0401KZ7GcUKHOseqUitD1PCPvkH7LlAZMp4p7FJf8qF7XJh90Nh1S4ySY/UqdGYjEsSleeji7PT&#10;VPjiVdljiN8VNCwRFYfOfa6o2N6G2KEPqOQugDX1jbE2M7haLiyyraA2LxbkLXeWHBzBipRDF3Wm&#10;4t6qpGzdo9JUAoqzzB7z8KnBnpBSuTjuI87opKbJ96D49WPFHp9UVR7MQXn8sfKgkT2Di4NyYxzg&#10;ewZsLPuQdYengh/lncgl1HvqPkK3FsHLG0P1vxUhPgikPaCNod2O9/TRFlpqTE9xtgb8/d57wtN4&#10;kpSzlvaq4uHXRqDizP5wNLgX5WSSFjEzk9OzMTF4LFkeS9ymWQD1tKQr4mUmEz7aA6kRmhc6AfPk&#10;lUTCSfJdcRnxwCxit+90RKSazzOMls+LeOuevDx0PQ3X8+5FoO+HMNL03sFhB8X0zSB22NQPB/NN&#10;BG3ylL7Wta83LW4e9f7IpMtwzGfU6ymc/QE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BCj93n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2BBD8DB6" w14:textId="77777777" w:rsidR="004B6D04" w:rsidRDefault="004B6D04" w:rsidP="00AE4350">
            <w:pPr>
              <w:rPr>
                <w:lang w:eastAsia="en-US"/>
              </w:rPr>
            </w:pPr>
            <w:r w:rsidRPr="00192064">
              <w:rPr>
                <w:b/>
                <w:lang w:eastAsia="en-US"/>
              </w:rPr>
              <w:t>Mandatory</w:t>
            </w:r>
            <w:r>
              <w:rPr>
                <w:lang w:eastAsia="en-US"/>
              </w:rPr>
              <w:t>: Every object that connects to a subnet in Azure requires a DIP (including IaaS virtual machines, internal load balancers, PaaS roles)</w:t>
            </w:r>
          </w:p>
          <w:p w14:paraId="21F23B70" w14:textId="77777777" w:rsidR="004B6D04" w:rsidRDefault="004B6D04" w:rsidP="00AE4350">
            <w:pPr>
              <w:rPr>
                <w:lang w:eastAsia="en-US"/>
              </w:rPr>
            </w:pPr>
            <w:r>
              <w:rPr>
                <w:lang w:eastAsia="en-US"/>
              </w:rPr>
              <w:t>A public-facing VIP is always assigned to a cloud service and shared by all virtual machines or PaaS roles within the cloud service.</w:t>
            </w:r>
          </w:p>
        </w:tc>
      </w:tr>
      <w:tr w:rsidR="004B6D04" w14:paraId="022F42B0" w14:textId="77777777" w:rsidTr="00AE4350">
        <w:trPr>
          <w:trHeight w:val="423"/>
        </w:trPr>
        <w:tc>
          <w:tcPr>
            <w:tcW w:w="666" w:type="dxa"/>
          </w:tcPr>
          <w:p w14:paraId="58354D51" w14:textId="77777777" w:rsidR="004B6D04" w:rsidRDefault="004B6D04" w:rsidP="00AE4350">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826176" behindDoc="0" locked="0" layoutInCell="1" allowOverlap="1" wp14:anchorId="5BB6D92A" wp14:editId="10B6014B">
                      <wp:simplePos x="0" y="0"/>
                      <wp:positionH relativeFrom="column">
                        <wp:posOffset>66675</wp:posOffset>
                      </wp:positionH>
                      <wp:positionV relativeFrom="paragraph">
                        <wp:posOffset>90170</wp:posOffset>
                      </wp:positionV>
                      <wp:extent cx="209550" cy="180975"/>
                      <wp:effectExtent l="57150" t="19050" r="57150" b="104775"/>
                      <wp:wrapNone/>
                      <wp:docPr id="41146" name="Isosceles Triangle 411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0F05C2EF" id="Isosceles Triangle 41146" o:spid="_x0000_s1026" type="#_x0000_t5" style="position:absolute;margin-left:5.25pt;margin-top:7.1pt;width:16.5pt;height:14.2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Pobig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Oi&#10;mJ5SYliDbbr14LnQwpNHp5jZaEE6Pdartb5Eswd772LG3q6A//CoyP7QRMH3mIN0TcRivuSQin8c&#10;iy8OgXD8OckvZjNsEUdVcZ5fnM1iczJWDsbW+fBFQEPipaKhDyyVne1XPnTwAZZiA63qpdI6CW6z&#10;vtaO7BlyYYlfntqPL/hnWMqhCzslEI5aRGNtvgmJdcJAi/RiYqgY/THOhQmnfcgJHc0kvj0afn7f&#10;sMdHU5HYOxpP3jceLdLLYMJo3CgD7i0HOhR9yLLD9130Xd6xBGuoj0gRB93seMuXChuwYj7cM4fD&#10;gj3DBRC+4iE1tBWF/kbJFtyvt/5HPHIYtZS0OHwV9T93zAlK9K1Bdl8U02mc1iRMZ2cTFNxLzfql&#10;xuyaa8CeFrhqLE/XiA96uEoHzRPuiUV8FVXMcHy7ojy4QbgO3VLATcPFYpFgOKGWhZV5sHzoeiTX&#10;4+GJOTuwEOl7B8OgsvIVETts7IeBxS6AVImlz3Xt643Tnbjeb6K4Pl7KCfW8L+e/AQAA//8DAFBL&#10;AwQUAAYACAAAACEANTxCMNkAAAAHAQAADwAAAGRycy9kb3ducmV2LnhtbEyOzU7DMBCE70i8g7VI&#10;XFDrkIa2CnEqhJIjqig8gBNvfoS9jmK3DW/PcoLTaDSjma84LM6KC85h9KTgcZ2AQGq9GalX8PlR&#10;r/YgQtRktPWECr4xwKG8vSl0bvyV3vFyir3gEQq5VjDEOOVShnZAp8PaT0icdX52OrKde2lmfeVx&#10;Z2WaJFvp9Ej8MOgJXwdsv05np8A3y7Hb1Lv9Q+0m+9ZVVeaOlVL3d8vLM4iIS/wrwy8+o0PJTI0/&#10;kwnCsk+euMmapSA4zzbsG9Z0B7Is5H/+8gcAAP//AwBQSwECLQAUAAYACAAAACEAtoM4kv4AAADh&#10;AQAAEwAAAAAAAAAAAAAAAAAAAAAAW0NvbnRlbnRfVHlwZXNdLnhtbFBLAQItABQABgAIAAAAIQA4&#10;/SH/1gAAAJQBAAALAAAAAAAAAAAAAAAAAC8BAABfcmVscy8ucmVsc1BLAQItABQABgAIAAAAIQAs&#10;wPobigIAAHcFAAAOAAAAAAAAAAAAAAAAAC4CAABkcnMvZTJvRG9jLnhtbFBLAQItABQABgAIAAAA&#10;IQA1PEIw2QAAAAcBAAAPAAAAAAAAAAAAAAAAAOQEAABkcnMvZG93bnJldi54bWxQSwUGAAAAAAQA&#10;BADzAAAA6gUAAAAA&#10;" fillcolor="yellow" strokecolor="#70ad47 [3209]" strokeweight=".5pt">
                      <v:path arrowok="t"/>
                    </v:shape>
                  </w:pict>
                </mc:Fallback>
              </mc:AlternateContent>
            </w:r>
          </w:p>
        </w:tc>
        <w:tc>
          <w:tcPr>
            <w:tcW w:w="8604" w:type="dxa"/>
          </w:tcPr>
          <w:p w14:paraId="0FE3F080" w14:textId="77777777" w:rsidR="004B6D04" w:rsidRDefault="004B6D04" w:rsidP="00AE4350">
            <w:pPr>
              <w:rPr>
                <w:rFonts w:eastAsiaTheme="minorHAnsi"/>
                <w:lang w:eastAsia="en-US"/>
              </w:rPr>
            </w:pPr>
            <w:r>
              <w:rPr>
                <w:rFonts w:eastAsiaTheme="minorHAnsi"/>
                <w:b/>
                <w:lang w:eastAsia="en-US"/>
              </w:rPr>
              <w:t xml:space="preserve">Recommended: </w:t>
            </w:r>
            <w:r>
              <w:rPr>
                <w:rFonts w:eastAsiaTheme="minorHAnsi"/>
                <w:lang w:eastAsia="en-US"/>
              </w:rPr>
              <w:t>Do not use the Azure portal to shut down a virtual machine unless you are trying to change its IP address or delete the virtual machine, otherwise you will lose the assigned IP address.</w:t>
            </w:r>
          </w:p>
          <w:p w14:paraId="368E0A55" w14:textId="77777777" w:rsidR="004B6D04" w:rsidRDefault="004B6D04" w:rsidP="00AE4350">
            <w:pPr>
              <w:rPr>
                <w:lang w:eastAsia="en-US"/>
              </w:rPr>
            </w:pPr>
            <w:r>
              <w:rPr>
                <w:rFonts w:eastAsiaTheme="minorHAnsi"/>
                <w:lang w:eastAsia="en-US"/>
              </w:rPr>
              <w:t xml:space="preserve">Use static IP addresses only when a dynamic address will not meet requirements. Do not use them because that is the current on-premises approach. </w:t>
            </w:r>
          </w:p>
        </w:tc>
      </w:tr>
    </w:tbl>
    <w:tbl>
      <w:tblPr>
        <w:tblStyle w:val="PlainTable11"/>
        <w:tblW w:w="0" w:type="auto"/>
        <w:tblLook w:val="04A0" w:firstRow="1" w:lastRow="0" w:firstColumn="1" w:lastColumn="0" w:noHBand="0" w:noVBand="1"/>
      </w:tblPr>
      <w:tblGrid>
        <w:gridCol w:w="3416"/>
        <w:gridCol w:w="5934"/>
      </w:tblGrid>
      <w:tr w:rsidR="003A181A" w14:paraId="430B43B2" w14:textId="77777777" w:rsidTr="004B6D0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808080" w:themeFill="background1" w:themeFillShade="80"/>
          </w:tcPr>
          <w:p w14:paraId="19C20374" w14:textId="77777777" w:rsidR="003A181A" w:rsidRPr="00F47607" w:rsidRDefault="003A181A" w:rsidP="00E65D33">
            <w:pPr>
              <w:spacing w:line="240" w:lineRule="auto"/>
              <w:rPr>
                <w:color w:val="FFFFFF"/>
              </w:rPr>
            </w:pPr>
            <w:r>
              <w:rPr>
                <w:color w:val="FFFFFF"/>
              </w:rPr>
              <w:t>Feature References</w:t>
            </w:r>
          </w:p>
        </w:tc>
      </w:tr>
      <w:tr w:rsidR="003A181A" w:rsidRPr="00E45C98" w14:paraId="064B0924" w14:textId="77777777" w:rsidTr="004B6D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6" w:type="dxa"/>
          </w:tcPr>
          <w:p w14:paraId="2230D33D" w14:textId="5C7F40BE" w:rsidR="003A181A" w:rsidRPr="00E45C98" w:rsidRDefault="003A181A" w:rsidP="00E65D33">
            <w:pPr>
              <w:spacing w:line="240" w:lineRule="auto"/>
              <w:rPr>
                <w:sz w:val="20"/>
                <w:szCs w:val="18"/>
              </w:rPr>
            </w:pPr>
            <w:r w:rsidRPr="00E45C98">
              <w:rPr>
                <w:sz w:val="20"/>
                <w:szCs w:val="18"/>
              </w:rPr>
              <w:t>Stop-AzureVM cmdlet</w:t>
            </w:r>
            <w:r w:rsidR="00067A54" w:rsidRPr="00E45C98">
              <w:rPr>
                <w:sz w:val="20"/>
                <w:szCs w:val="18"/>
              </w:rPr>
              <w:t xml:space="preserve"> command reference</w:t>
            </w:r>
          </w:p>
        </w:tc>
        <w:tc>
          <w:tcPr>
            <w:tcW w:w="5934" w:type="dxa"/>
          </w:tcPr>
          <w:p w14:paraId="4624A141" w14:textId="77777777" w:rsidR="003A181A" w:rsidRPr="00E45C98" w:rsidRDefault="00872E47" w:rsidP="00E65D33">
            <w:pPr>
              <w:cnfStyle w:val="000000100000" w:firstRow="0" w:lastRow="0" w:firstColumn="0" w:lastColumn="0" w:oddVBand="0" w:evenVBand="0" w:oddHBand="1" w:evenHBand="0" w:firstRowFirstColumn="0" w:firstRowLastColumn="0" w:lastRowFirstColumn="0" w:lastRowLastColumn="0"/>
              <w:rPr>
                <w:sz w:val="20"/>
              </w:rPr>
            </w:pPr>
            <w:hyperlink r:id="rId424" w:history="1">
              <w:r w:rsidR="003A181A" w:rsidRPr="00E45C98">
                <w:rPr>
                  <w:rStyle w:val="Hyperlink"/>
                  <w:sz w:val="20"/>
                </w:rPr>
                <w:t>https://msdn.microsoft.com/en-us/library/azure/dn495269.aspx</w:t>
              </w:r>
            </w:hyperlink>
            <w:r w:rsidR="003A181A" w:rsidRPr="00E45C98">
              <w:rPr>
                <w:sz w:val="20"/>
              </w:rPr>
              <w:t xml:space="preserve"> </w:t>
            </w:r>
          </w:p>
        </w:tc>
      </w:tr>
    </w:tbl>
    <w:p w14:paraId="1EEC694A" w14:textId="77777777" w:rsidR="003A181A" w:rsidRDefault="003A181A" w:rsidP="00213D57"/>
    <w:p w14:paraId="41282F35" w14:textId="6AC0FEBE" w:rsidR="00E40F63" w:rsidRDefault="00E40F63" w:rsidP="005729D2">
      <w:pPr>
        <w:pStyle w:val="Heading3Numbered"/>
        <w:numPr>
          <w:ilvl w:val="2"/>
          <w:numId w:val="64"/>
        </w:numPr>
      </w:pPr>
      <w:bookmarkStart w:id="4909" w:name="_Toc417934705"/>
      <w:bookmarkStart w:id="4910" w:name="_Toc417936044"/>
      <w:bookmarkStart w:id="4911" w:name="_Toc417936506"/>
      <w:bookmarkStart w:id="4912" w:name="_Toc417946929"/>
      <w:bookmarkStart w:id="4913" w:name="_Toc417947378"/>
      <w:bookmarkStart w:id="4914" w:name="_Toc417982539"/>
      <w:bookmarkStart w:id="4915" w:name="_Toc417985993"/>
      <w:bookmarkStart w:id="4916" w:name="_Toc418000685"/>
      <w:bookmarkStart w:id="4917" w:name="_Toc418003857"/>
      <w:bookmarkStart w:id="4918" w:name="_Toc418012062"/>
      <w:bookmarkStart w:id="4919" w:name="_Toc418014475"/>
      <w:bookmarkStart w:id="4920" w:name="_Toc418014710"/>
      <w:bookmarkStart w:id="4921" w:name="_Toc418030080"/>
      <w:bookmarkStart w:id="4922" w:name="_Toc418036963"/>
      <w:bookmarkStart w:id="4923" w:name="_Toc418061438"/>
      <w:bookmarkStart w:id="4924" w:name="_Toc418081337"/>
      <w:bookmarkStart w:id="4925" w:name="_Toc418083369"/>
      <w:bookmarkStart w:id="4926" w:name="_Toc418096133"/>
      <w:bookmarkStart w:id="4927" w:name="_Toc418156735"/>
      <w:bookmarkStart w:id="4928" w:name="_Toc418167654"/>
      <w:bookmarkStart w:id="4929" w:name="_Toc418185910"/>
      <w:bookmarkStart w:id="4930" w:name="_Toc422941623"/>
      <w:bookmarkStart w:id="4931" w:name="_Toc423116829"/>
      <w:bookmarkStart w:id="4932" w:name="_Toc423117862"/>
      <w:bookmarkStart w:id="4933" w:name="_Toc423117312"/>
      <w:bookmarkStart w:id="4934" w:name="_Toc431288906"/>
      <w:r>
        <w:t>Static Addresses</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306FABBB" w14:textId="00DDA546" w:rsidR="0058004B" w:rsidRDefault="00793876" w:rsidP="0058004B">
      <w:r>
        <w:t>By</w:t>
      </w:r>
      <w:r w:rsidR="0058004B">
        <w:t xml:space="preserve"> default, in Azure all addresses are dynamic regardless of if they are</w:t>
      </w:r>
      <w:r w:rsidR="0058004B" w:rsidDel="00067A54">
        <w:t xml:space="preserve"> </w:t>
      </w:r>
      <w:r w:rsidR="0058004B">
        <w:t>provisioned through the Azure portal or through PowerShell. Statically assigned IP addresses can only be requested or assigned by using Azure PowerShell. During the object creation process, a command-line option is provided to allow a static address to be specified.</w:t>
      </w:r>
      <w:r w:rsidR="0058004B" w:rsidRPr="008861C3">
        <w:t xml:space="preserve"> </w:t>
      </w:r>
    </w:p>
    <w:p w14:paraId="471C0478" w14:textId="77777777" w:rsidR="0058004B" w:rsidRDefault="0058004B" w:rsidP="0058004B">
      <w:r>
        <w:t>There is not a</w:t>
      </w:r>
      <w:r w:rsidDel="00067A54">
        <w:t xml:space="preserve"> </w:t>
      </w:r>
      <w:r>
        <w:t xml:space="preserve">way within Azure to preallocate or reserve an address prior to assignment. All address assignments are done at the time of object provisioning. To determine if an address is available to use as a static address, you can use the Azure PowerShell cmdlet </w:t>
      </w:r>
      <w:r w:rsidRPr="00B56787">
        <w:rPr>
          <w:b/>
        </w:rPr>
        <w:t>Test-AzureStaticvNetIP</w:t>
      </w:r>
      <w:r>
        <w:t xml:space="preserve"> to test if an IP address has already been allocated from the subnet address pool. </w:t>
      </w:r>
    </w:p>
    <w:p w14:paraId="18E439C7" w14:textId="77777777" w:rsidR="0058004B" w:rsidRDefault="0058004B" w:rsidP="0058004B">
      <w:r>
        <w:t xml:space="preserve">If the address is not available, the cmdlet will return a list of addresses that are available. Using the </w:t>
      </w:r>
      <w:r w:rsidRPr="00B56787">
        <w:rPr>
          <w:b/>
        </w:rPr>
        <w:t>Test-AzureStaticvNetIP</w:t>
      </w:r>
      <w:r>
        <w:t xml:space="preserve"> cmdlet to determine if an address is allocated does not guarantee that the address has not been allocated by the time you provision the object.</w:t>
      </w:r>
    </w:p>
    <w:p w14:paraId="06893407" w14:textId="77777777" w:rsidR="0058004B" w:rsidRDefault="0058004B" w:rsidP="0058004B">
      <w:r>
        <w:t xml:space="preserve">Reserved IP addresses are static public facing VIP addresses that are typically used to provide a static IP address for a public facing application. Using a reserved IP address allows a DNS A record to be created with minimum management overhead required. It also provides a consistent IP address that can be used for point-to-point security rules in firewalls. Reserved IP addresses must be requested by using the Azure PowerShell cmdlet </w:t>
      </w:r>
      <w:r w:rsidRPr="00B56787">
        <w:rPr>
          <w:b/>
        </w:rPr>
        <w:t>New-AzureReservedIP</w:t>
      </w:r>
      <w:r>
        <w:t xml:space="preserve">, and then given a name. The name is used by the </w:t>
      </w:r>
      <w:r w:rsidRPr="00B56787">
        <w:rPr>
          <w:b/>
        </w:rPr>
        <w:t>New-AzureVM</w:t>
      </w:r>
      <w:r>
        <w:t xml:space="preserve"> cmdlet during provisioning. </w:t>
      </w:r>
    </w:p>
    <w:p w14:paraId="589DB4E0" w14:textId="77777777" w:rsidR="0058004B" w:rsidRPr="00256000" w:rsidRDefault="0058004B" w:rsidP="0058004B">
      <w:pPr>
        <w:ind w:left="720"/>
        <w:rPr>
          <w:rFonts w:ascii="Consolas" w:hAnsi="Consolas" w:cs="Consolas"/>
        </w:rPr>
      </w:pPr>
      <w:r w:rsidRPr="00256000">
        <w:rPr>
          <w:rFonts w:ascii="Consolas" w:hAnsi="Consolas" w:cs="Consolas"/>
        </w:rPr>
        <w:t xml:space="preserve">New-AzureVM -ServiceName "WebApp" -ReservedIPName "MyWebSiteIP" </w:t>
      </w:r>
      <w:r>
        <w:rPr>
          <w:rFonts w:ascii="Consolas" w:hAnsi="Consolas" w:cs="Consolas"/>
        </w:rPr>
        <w:br/>
      </w:r>
      <w:r w:rsidRPr="00256000">
        <w:rPr>
          <w:rFonts w:ascii="Consolas" w:hAnsi="Consolas" w:cs="Consolas"/>
        </w:rPr>
        <w:t>-Location "US West"</w:t>
      </w:r>
    </w:p>
    <w:p w14:paraId="3530E864" w14:textId="77777777" w:rsidR="0058004B" w:rsidRDefault="0058004B" w:rsidP="0058004B">
      <w:r>
        <w:t>There are a limited number of reserved IP addresses in a given subscription. The default is five addresses, but through a limit increase request</w:t>
      </w:r>
      <w:r>
        <w:rPr>
          <w:rStyle w:val="FootnoteReference"/>
        </w:rPr>
        <w:footnoteReference w:id="10"/>
      </w:r>
      <w:r>
        <w:t>, it may be increased to a maximum of 100.</w:t>
      </w:r>
    </w:p>
    <w:p w14:paraId="78F9A969" w14:textId="3A2E0764" w:rsidR="00C76021" w:rsidRDefault="0058004B" w:rsidP="0058004B">
      <w:r>
        <w:t>Reserved IP addresses are scarce resources, and they should only be used when a static address is absolutely required</w:t>
      </w:r>
      <w:r w:rsidR="00C76021">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58004B" w14:paraId="2A4EC17D" w14:textId="77777777" w:rsidTr="00AE4350">
        <w:trPr>
          <w:trHeight w:val="423"/>
        </w:trPr>
        <w:tc>
          <w:tcPr>
            <w:tcW w:w="666" w:type="dxa"/>
          </w:tcPr>
          <w:p w14:paraId="1019B761" w14:textId="77777777" w:rsidR="0058004B" w:rsidRDefault="0058004B" w:rsidP="00AE4350">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0F53C521" wp14:editId="1BBE2947">
                      <wp:extent cx="200025" cy="180975"/>
                      <wp:effectExtent l="57150" t="19050" r="28575" b="104775"/>
                      <wp:docPr id="41148" name="Octagon 41148"/>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727BA43" id="Octagon 41148"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g62cwIAAFIFAAAOAAAAZHJzL2Uyb0RvYy54bWysVN1P2zAQf5+0/8Hy+0jTlQEVKaqKmCYh&#10;QMDEs+vYrSXH553dpt1fv7OThoohIU17Se58v/v+uLzaNZZtFQYDruLlyYgz5STUxq0q/vP55ss5&#10;ZyEKVwsLTlV8rwK/mn3+dNn6qRrDGmytkJERF6atr/g6Rj8tiiDXqhHhBLxyJNSAjYjE4qqoUbRk&#10;vbHFeDT6VrSAtUeQKgR6ve6EfJbta61kvNc6qMhsxSm2mL+Yv8v0LWaXYrpC4ddG9mGIf4iiEcaR&#10;08HUtYiCbdD8ZaoxEiGAjicSmgK0NlLlHCibcvQmm6e18CrnQsUJfihT+H9m5d32AZmpKz4pywk1&#10;y4mG2nQvo1iBY90jFan1YUrYJ/+APReITBnvNDbpT7mwXS7sfiis2kUm6ZE6NRqfciZJVJ6PLs5O&#10;U+GLV2WPIX5X0LBEVBw697miYnsbYoc+oJK7ANbUN8bazOBqubDItoLavFiQt9xZcnAEK1IOXdSZ&#10;inurkrJ1j0pTCSjOMnvMw6cGe0JK5eK4jzijk5om34Pi148Ve3xSVXkwB+Xxx8qDRvYMLg7KjXGA&#10;7xmwsexD1h2eCn6UdyKXUO+p+wjdWgQvbwzV/1aE+CCQ9oA2hnY73tNHW2ipMT3F2Rrw93vvCU/j&#10;SVLOWtqriodfG4GKM/vD0eBelJNJWsTMTE7PxsTgsWR5LHGbZgHU05KuiJeZTPhoD6RGaF7oBMyT&#10;VxIJJ8l3xWXEA7OI3b7TEZFqPs8wWj4v4q178vLQ9TRcz7sXgb4fwkjTeweHHRTTN4PYYVM/HMw3&#10;EbTJU/pa177etLh51Psjky7DMZ9Rr6dw9gc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A2Ng62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459CC56D" w14:textId="77777777" w:rsidR="0058004B" w:rsidRDefault="0058004B" w:rsidP="00AE4350">
            <w:pPr>
              <w:rPr>
                <w:lang w:eastAsia="en-US"/>
              </w:rPr>
            </w:pPr>
            <w:r w:rsidRPr="00192064">
              <w:rPr>
                <w:b/>
                <w:lang w:eastAsia="en-US"/>
              </w:rPr>
              <w:t>Mandatory</w:t>
            </w:r>
            <w:r>
              <w:rPr>
                <w:lang w:eastAsia="en-US"/>
              </w:rPr>
              <w:t>: Carefully plan and track reserved IP address usage to prevent running out of the address quota.</w:t>
            </w:r>
          </w:p>
        </w:tc>
      </w:tr>
      <w:tr w:rsidR="0058004B" w14:paraId="7CD84173" w14:textId="77777777" w:rsidTr="00AE4350">
        <w:trPr>
          <w:trHeight w:val="423"/>
        </w:trPr>
        <w:tc>
          <w:tcPr>
            <w:tcW w:w="666" w:type="dxa"/>
          </w:tcPr>
          <w:p w14:paraId="2A61988D" w14:textId="77777777" w:rsidR="0058004B" w:rsidRDefault="0058004B" w:rsidP="00AE4350">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831296" behindDoc="0" locked="0" layoutInCell="1" allowOverlap="1" wp14:anchorId="69425BA9" wp14:editId="31C35E8D">
                      <wp:simplePos x="0" y="0"/>
                      <wp:positionH relativeFrom="column">
                        <wp:posOffset>66675</wp:posOffset>
                      </wp:positionH>
                      <wp:positionV relativeFrom="paragraph">
                        <wp:posOffset>90170</wp:posOffset>
                      </wp:positionV>
                      <wp:extent cx="209550" cy="180975"/>
                      <wp:effectExtent l="57150" t="19050" r="57150" b="104775"/>
                      <wp:wrapNone/>
                      <wp:docPr id="41149" name="Isosceles Triangle 411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A936567" id="Isosceles Triangle 41149" o:spid="_x0000_s1026" type="#_x0000_t5" style="position:absolute;margin-left:5.25pt;margin-top:7.1pt;width:16.5pt;height:14.2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kpHiQIAAHcFAAAOAAAAZHJzL2Uyb0RvYy54bWysVNtOGzEQfa/Uf7D8XnY3TYCs2KAIlAop&#10;AgRUPDteO7Hq9bi2c+vXd+y9QCkSUtV9sDw7Z8ZzOTMXl4dGk51wXoGpaHGSUyIMh1qZdUW/Py2+&#10;nFPiAzM102BERY/C08vZ508Xe1uKEWxA18IRdGJ8ubcV3YRgyyzzfCMa5k/ACoNKCa5hAUW3zmrH&#10;9ui90dkoz0+zPbjaOuDCe/x73SrpLPmXUvBwJ6UXgeiKYmwhnS6dq3hmswtWrh2zG8W7MNg/RNEw&#10;ZfDRwdU1C4xsnfrLVaO4Aw8ynHBoMpBScZFywGyK/E02jxtmRcoFi+PtUCb//9zy2929I6qu6Lgo&#10;xlNKDGuwTTcePBdaePLkFDNrLUirx3rtrS/R7NHeu5ixt0vgPzwqsj80UfAd5iBdE7GYLzmk4h+H&#10;4otDIBx/jvLpZIIt4qgqzvPp2SQ2J2Nlb2ydD98ENCReKhq6wFLZ2W7pQwvvYSk20KpeKK2T4Nar&#10;K+3IjiEXFvjlqf34gn+BpRzasFMC4ahFNNbmQUisEwZapBcTQ8Xgj3EuTDjtQk7oaCbx7cHw68eG&#10;HT6aisTewXj0sfFgkV4GEwbjRhlw7znQoehCli2+66Jv844lWEF9RIo4aGfHW75Q2IAl8+GeORwW&#10;7BkugHCHh9Swryh0N0o24H699z/ikcOopWSPw1dR/3PLnKBE3xhk97QYj+O0JmE8ORuh4F5rVq81&#10;ZttcAfa0wFVjebpGfND9VTponnFPzOOrqGKG49sV5cH1wlVolwJuGi7m8wTDCbUsLM2j5X3XI7me&#10;Ds/M2Z6FSN9b6AeVlW+I2GJjPwzMtwGkSix9qWtXb5zuxPVuE8X18VpOqJd9OfsNAAD//wMAUEsD&#10;BBQABgAIAAAAIQA1PEIw2QAAAAcBAAAPAAAAZHJzL2Rvd25yZXYueG1sTI7NTsMwEITvSLyDtUhc&#10;UOuQhrYKcSqEkiOqKDyAE29+hL2OYrcNb89ygtNoNKOZrzgszooLzmH0pOBxnYBAar0ZqVfw+VGv&#10;9iBC1GS09YQKvjHAoby9KXRu/JXe8XKKveARCrlWMMQ45VKGdkCnw9pPSJx1fnY6sp17aWZ95XFn&#10;ZZokW+n0SPww6AlfB2y/TmenwDfLsdvUu/1D7Sb71lVV5o6VUvd3y8sziIhL/CvDLz6jQ8lMjT+T&#10;CcKyT564yZqlIDjPNuwb1nQHsizkf/7yBwAA//8DAFBLAQItABQABgAIAAAAIQC2gziS/gAAAOEB&#10;AAATAAAAAAAAAAAAAAAAAAAAAABbQ29udGVudF9UeXBlc10ueG1sUEsBAi0AFAAGAAgAAAAhADj9&#10;If/WAAAAlAEAAAsAAAAAAAAAAAAAAAAALwEAAF9yZWxzLy5yZWxzUEsBAi0AFAAGAAgAAAAhAJH2&#10;SkeJAgAAdwUAAA4AAAAAAAAAAAAAAAAALgIAAGRycy9lMm9Eb2MueG1sUEsBAi0AFAAGAAgAAAAh&#10;ADU8QjDZAAAABwEAAA8AAAAAAAAAAAAAAAAA4wQAAGRycy9kb3ducmV2LnhtbFBLBQYAAAAABAAE&#10;APMAAADpBQAAAAA=&#10;" fillcolor="yellow" strokecolor="#70ad47 [3209]" strokeweight=".5pt">
                      <v:path arrowok="t"/>
                    </v:shape>
                  </w:pict>
                </mc:Fallback>
              </mc:AlternateContent>
            </w:r>
          </w:p>
        </w:tc>
        <w:tc>
          <w:tcPr>
            <w:tcW w:w="8604" w:type="dxa"/>
          </w:tcPr>
          <w:p w14:paraId="7D261F47" w14:textId="77777777" w:rsidR="0058004B" w:rsidRDefault="0058004B" w:rsidP="00AE4350">
            <w:pPr>
              <w:rPr>
                <w:rFonts w:eastAsiaTheme="minorHAnsi"/>
                <w:lang w:eastAsia="en-US"/>
              </w:rPr>
            </w:pPr>
            <w:r>
              <w:rPr>
                <w:rFonts w:eastAsiaTheme="minorHAnsi"/>
                <w:b/>
                <w:lang w:eastAsia="en-US"/>
              </w:rPr>
              <w:t xml:space="preserve">Recommended: </w:t>
            </w:r>
            <w:r>
              <w:rPr>
                <w:rFonts w:eastAsiaTheme="minorHAnsi"/>
                <w:lang w:eastAsia="en-US"/>
              </w:rPr>
              <w:t>If more than five reserved addresses are required, contact Microsoft support early to increase the reserved address quota to prevent running out and preventing deployments.</w:t>
            </w:r>
          </w:p>
          <w:p w14:paraId="3A8AE0A1" w14:textId="77777777" w:rsidR="0058004B" w:rsidRDefault="0058004B" w:rsidP="00AE4350">
            <w:pPr>
              <w:rPr>
                <w:lang w:eastAsia="en-US"/>
              </w:rPr>
            </w:pPr>
            <w:r>
              <w:rPr>
                <w:rFonts w:eastAsiaTheme="minorHAnsi"/>
                <w:lang w:eastAsia="en-US"/>
              </w:rPr>
              <w:t>Leverage reserved IP address names that can be easily associated with the service they are being used for.</w:t>
            </w:r>
          </w:p>
        </w:tc>
      </w:tr>
    </w:tbl>
    <w:p w14:paraId="6C2F1721" w14:textId="77777777" w:rsidR="00CF37FA" w:rsidRDefault="006B29E9" w:rsidP="005729D2">
      <w:pPr>
        <w:pStyle w:val="Heading2Numbered"/>
        <w:numPr>
          <w:ilvl w:val="1"/>
          <w:numId w:val="64"/>
        </w:numPr>
      </w:pPr>
      <w:bookmarkStart w:id="4935" w:name="_Toc414892125"/>
      <w:bookmarkStart w:id="4936" w:name="_Toc414960148"/>
      <w:bookmarkStart w:id="4937" w:name="_Toc414969119"/>
      <w:bookmarkStart w:id="4938" w:name="_Toc415011341"/>
      <w:bookmarkStart w:id="4939" w:name="_Toc415040031"/>
      <w:bookmarkStart w:id="4940" w:name="_Toc415572388"/>
      <w:bookmarkStart w:id="4941" w:name="_Toc415735558"/>
      <w:bookmarkStart w:id="4942" w:name="_Toc415814139"/>
      <w:bookmarkStart w:id="4943" w:name="_Toc416343874"/>
      <w:bookmarkStart w:id="4944" w:name="_Toc416863146"/>
      <w:bookmarkStart w:id="4945" w:name="_Toc417314761"/>
      <w:bookmarkStart w:id="4946" w:name="_Toc417323778"/>
      <w:bookmarkStart w:id="4947" w:name="_Toc417326868"/>
      <w:bookmarkStart w:id="4948" w:name="_Toc417330416"/>
      <w:bookmarkStart w:id="4949" w:name="_Toc417395022"/>
      <w:bookmarkStart w:id="4950" w:name="_Toc417399239"/>
      <w:bookmarkStart w:id="4951" w:name="_Toc417399398"/>
      <w:bookmarkStart w:id="4952" w:name="_Toc417400445"/>
      <w:bookmarkStart w:id="4953" w:name="_Toc417401293"/>
      <w:bookmarkStart w:id="4954" w:name="_Toc417419608"/>
      <w:bookmarkStart w:id="4955" w:name="_Toc417457380"/>
      <w:bookmarkStart w:id="4956" w:name="_Toc417481958"/>
      <w:bookmarkStart w:id="4957" w:name="_Toc417482216"/>
      <w:bookmarkStart w:id="4958" w:name="_Toc417499935"/>
      <w:bookmarkStart w:id="4959" w:name="_Toc417502756"/>
      <w:bookmarkStart w:id="4960" w:name="_Toc417548333"/>
      <w:bookmarkStart w:id="4961" w:name="_Toc417594575"/>
      <w:bookmarkStart w:id="4962" w:name="_Toc417934707"/>
      <w:bookmarkStart w:id="4963" w:name="_Toc417936046"/>
      <w:bookmarkStart w:id="4964" w:name="_Toc417936508"/>
      <w:bookmarkStart w:id="4965" w:name="_Toc417946932"/>
      <w:bookmarkStart w:id="4966" w:name="_Toc417947382"/>
      <w:bookmarkStart w:id="4967" w:name="_Toc417982542"/>
      <w:bookmarkStart w:id="4968" w:name="_Toc417985995"/>
      <w:bookmarkStart w:id="4969" w:name="_Toc418000688"/>
      <w:bookmarkStart w:id="4970" w:name="_Toc418003859"/>
      <w:bookmarkStart w:id="4971" w:name="_Toc418012064"/>
      <w:bookmarkStart w:id="4972" w:name="_Toc418014478"/>
      <w:bookmarkStart w:id="4973" w:name="_Toc418014712"/>
      <w:bookmarkStart w:id="4974" w:name="_Toc418030082"/>
      <w:bookmarkStart w:id="4975" w:name="_Toc418036966"/>
      <w:bookmarkStart w:id="4976" w:name="_Toc418061440"/>
      <w:bookmarkStart w:id="4977" w:name="_Toc418081339"/>
      <w:bookmarkStart w:id="4978" w:name="_Toc418083371"/>
      <w:bookmarkStart w:id="4979" w:name="_Toc418096135"/>
      <w:bookmarkStart w:id="4980" w:name="_Toc418156737"/>
      <w:bookmarkStart w:id="4981" w:name="_Toc418167656"/>
      <w:bookmarkStart w:id="4982" w:name="_Toc418185912"/>
      <w:bookmarkStart w:id="4983" w:name="_Toc422941625"/>
      <w:bookmarkStart w:id="4984" w:name="_Toc423116831"/>
      <w:bookmarkStart w:id="4985" w:name="_Toc423117864"/>
      <w:bookmarkStart w:id="4986" w:name="_Toc423117314"/>
      <w:bookmarkStart w:id="4987" w:name="_Toc431288907"/>
      <w:r>
        <w:t>Name Resolution</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09DA3F53" w14:textId="376F6DC4" w:rsidR="0058004B" w:rsidRDefault="004F467C" w:rsidP="0058004B">
      <w:r>
        <w:t>When</w:t>
      </w:r>
      <w:r w:rsidR="0058004B">
        <w:t xml:space="preserve"> IaaS- and PaaS-provisioned services need to resolve host names and FQDNs, they can use either Azure provided name resolution or their own DNS server, depending on the actual scenario. </w:t>
      </w:r>
    </w:p>
    <w:p w14:paraId="14BC1877" w14:textId="77777777" w:rsidR="0058004B" w:rsidRDefault="0058004B" w:rsidP="0058004B">
      <w:r>
        <w:t xml:space="preserve">Azure automatically registers a new virtual machine or PaaS role in the Azure default *.cloudapp.net DNS suffix. Storage accounts are registered in *.blob.core.windows.net. Azure Web Apps (a feature in Azure App Service) are registered in *.azurewebsites.net. It may also be desirable to have those services resolvable under a custom domain name, for example *.contoso.com. </w:t>
      </w:r>
    </w:p>
    <w:p w14:paraId="6C2F1722" w14:textId="0F034162" w:rsidR="006B29E9" w:rsidRDefault="0058004B" w:rsidP="0058004B">
      <w:r>
        <w:t>The following table is provided to outline scenarios that are related to name resolution</w:t>
      </w:r>
      <w:r w:rsidR="009B041C">
        <w:t xml:space="preserve">. </w:t>
      </w:r>
    </w:p>
    <w:p w14:paraId="0288C01E" w14:textId="77777777" w:rsidR="00FD1155" w:rsidRDefault="00FD1155" w:rsidP="00CF37FA">
      <w:bookmarkStart w:id="4988" w:name="_Toc414892126"/>
      <w:bookmarkStart w:id="4989" w:name="_Toc414960149"/>
      <w:bookmarkStart w:id="4990" w:name="_Toc414969120"/>
      <w:bookmarkStart w:id="4991" w:name="_Toc415011342"/>
      <w:bookmarkStart w:id="4992" w:name="_Toc415040032"/>
      <w:bookmarkStart w:id="4993" w:name="_Toc415572389"/>
      <w:bookmarkStart w:id="4994" w:name="_Toc415735559"/>
      <w:bookmarkStart w:id="4995" w:name="_Toc415814140"/>
      <w:bookmarkStart w:id="4996" w:name="_Toc416343875"/>
      <w:bookmarkStart w:id="4997" w:name="_Toc416863147"/>
      <w:bookmarkStart w:id="4998" w:name="_Toc417314762"/>
      <w:bookmarkStart w:id="4999" w:name="_Toc417323779"/>
      <w:bookmarkStart w:id="5000" w:name="_Toc417326869"/>
      <w:bookmarkStart w:id="5001" w:name="_Toc417330417"/>
      <w:bookmarkStart w:id="5002" w:name="_Toc417395023"/>
      <w:bookmarkStart w:id="5003" w:name="_Toc417399240"/>
      <w:bookmarkStart w:id="5004" w:name="_Toc417399399"/>
      <w:bookmarkStart w:id="5005" w:name="_Toc417400446"/>
      <w:bookmarkStart w:id="5006" w:name="_Toc417401294"/>
      <w:bookmarkStart w:id="5007" w:name="_Toc417419609"/>
    </w:p>
    <w:tbl>
      <w:tblPr>
        <w:tblStyle w:val="PlainTable11"/>
        <w:tblW w:w="0" w:type="auto"/>
        <w:tblLook w:val="04A0" w:firstRow="1" w:lastRow="0" w:firstColumn="1" w:lastColumn="0" w:noHBand="0" w:noVBand="1"/>
      </w:tblPr>
      <w:tblGrid>
        <w:gridCol w:w="4207"/>
        <w:gridCol w:w="5143"/>
      </w:tblGrid>
      <w:tr w:rsidR="0058004B" w:rsidRPr="00E45C98" w14:paraId="6F0B78A1" w14:textId="77777777" w:rsidTr="00E45C9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808080" w:themeFill="background1" w:themeFillShade="80"/>
            <w:hideMark/>
          </w:tcPr>
          <w:p w14:paraId="1A531016" w14:textId="77777777" w:rsidR="0058004B" w:rsidRPr="00E45C98" w:rsidRDefault="0058004B" w:rsidP="00FD1155">
            <w:pPr>
              <w:spacing w:after="160" w:line="259" w:lineRule="auto"/>
              <w:rPr>
                <w:rFonts w:cs="Segoe UI"/>
                <w:color w:val="FFFFFF" w:themeColor="background1"/>
                <w:sz w:val="20"/>
              </w:rPr>
            </w:pPr>
            <w:r w:rsidRPr="00E45C98">
              <w:rPr>
                <w:rFonts w:cs="Segoe UI"/>
                <w:color w:val="FFFFFF" w:themeColor="background1"/>
                <w:sz w:val="20"/>
              </w:rPr>
              <w:t xml:space="preserve">Scenario </w:t>
            </w:r>
          </w:p>
        </w:tc>
        <w:tc>
          <w:tcPr>
            <w:tcW w:w="0" w:type="auto"/>
            <w:shd w:val="clear" w:color="auto" w:fill="808080" w:themeFill="background1" w:themeFillShade="80"/>
            <w:hideMark/>
          </w:tcPr>
          <w:p w14:paraId="7F9CE7D1" w14:textId="77777777" w:rsidR="0058004B" w:rsidRPr="00E45C98" w:rsidRDefault="0058004B" w:rsidP="00FD1155">
            <w:pPr>
              <w:spacing w:after="160" w:line="259" w:lineRule="auto"/>
              <w:cnfStyle w:val="100000000000" w:firstRow="1" w:lastRow="0" w:firstColumn="0" w:lastColumn="0" w:oddVBand="0" w:evenVBand="0" w:oddHBand="0" w:evenHBand="0" w:firstRowFirstColumn="0" w:firstRowLastColumn="0" w:lastRowFirstColumn="0" w:lastRowLastColumn="0"/>
              <w:rPr>
                <w:rFonts w:cs="Segoe UI"/>
                <w:color w:val="FFFFFF" w:themeColor="background1"/>
                <w:sz w:val="20"/>
              </w:rPr>
            </w:pPr>
            <w:r w:rsidRPr="00E45C98">
              <w:rPr>
                <w:rFonts w:cs="Segoe UI"/>
                <w:color w:val="FFFFFF" w:themeColor="background1"/>
                <w:sz w:val="20"/>
              </w:rPr>
              <w:t xml:space="preserve">Name resolution provided by: </w:t>
            </w:r>
          </w:p>
        </w:tc>
      </w:tr>
      <w:tr w:rsidR="0058004B" w:rsidRPr="00E45C98" w14:paraId="18926851" w14:textId="77777777" w:rsidTr="00E45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61FBAB7" w14:textId="3ECE4A7A" w:rsidR="0058004B" w:rsidRPr="00E45C98" w:rsidRDefault="0058004B" w:rsidP="0058004B">
            <w:pPr>
              <w:spacing w:before="0" w:after="160" w:line="259" w:lineRule="auto"/>
              <w:rPr>
                <w:rFonts w:cs="Segoe UI"/>
                <w:b w:val="0"/>
                <w:sz w:val="20"/>
              </w:rPr>
            </w:pPr>
            <w:r w:rsidRPr="00E45C98">
              <w:rPr>
                <w:rFonts w:cs="Segoe UI"/>
                <w:b w:val="0"/>
                <w:sz w:val="20"/>
              </w:rPr>
              <w:t xml:space="preserve">Name resolution between role instances or </w:t>
            </w:r>
            <w:r>
              <w:rPr>
                <w:rFonts w:cs="Segoe UI"/>
                <w:b w:val="0"/>
                <w:sz w:val="20"/>
              </w:rPr>
              <w:t>virtual machines</w:t>
            </w:r>
            <w:r w:rsidRPr="00E45C98">
              <w:rPr>
                <w:rFonts w:cs="Segoe UI"/>
                <w:b w:val="0"/>
                <w:sz w:val="20"/>
              </w:rPr>
              <w:t xml:space="preserve"> located in the same cloud service</w:t>
            </w:r>
          </w:p>
        </w:tc>
        <w:tc>
          <w:tcPr>
            <w:tcW w:w="0" w:type="auto"/>
            <w:hideMark/>
          </w:tcPr>
          <w:p w14:paraId="2A4ACCA2" w14:textId="65B539D3" w:rsidR="0058004B" w:rsidRPr="00E45C98" w:rsidRDefault="0058004B" w:rsidP="0058004B">
            <w:pPr>
              <w:spacing w:before="0" w:after="160" w:line="259" w:lineRule="auto"/>
              <w:cnfStyle w:val="000000100000" w:firstRow="0" w:lastRow="0" w:firstColumn="0" w:lastColumn="0" w:oddVBand="0" w:evenVBand="0" w:oddHBand="1" w:evenHBand="0" w:firstRowFirstColumn="0" w:firstRowLastColumn="0" w:lastRowFirstColumn="0" w:lastRowLastColumn="0"/>
              <w:rPr>
                <w:rFonts w:cs="Segoe UI"/>
                <w:sz w:val="20"/>
              </w:rPr>
            </w:pPr>
            <w:r w:rsidRPr="00E45C98">
              <w:rPr>
                <w:rFonts w:cs="Segoe UI"/>
                <w:sz w:val="20"/>
              </w:rPr>
              <w:t>Azure-provided name resolution</w:t>
            </w:r>
          </w:p>
        </w:tc>
      </w:tr>
      <w:tr w:rsidR="0058004B" w:rsidRPr="00E45C98" w14:paraId="6C147D74" w14:textId="77777777" w:rsidTr="00E45C98">
        <w:tc>
          <w:tcPr>
            <w:cnfStyle w:val="001000000000" w:firstRow="0" w:lastRow="0" w:firstColumn="1" w:lastColumn="0" w:oddVBand="0" w:evenVBand="0" w:oddHBand="0" w:evenHBand="0" w:firstRowFirstColumn="0" w:firstRowLastColumn="0" w:lastRowFirstColumn="0" w:lastRowLastColumn="0"/>
            <w:tcW w:w="0" w:type="auto"/>
            <w:hideMark/>
          </w:tcPr>
          <w:p w14:paraId="43B8A592" w14:textId="45476079" w:rsidR="0058004B" w:rsidRPr="00E45C98" w:rsidRDefault="0058004B" w:rsidP="0058004B">
            <w:pPr>
              <w:spacing w:before="0" w:after="160" w:line="259" w:lineRule="auto"/>
              <w:rPr>
                <w:rFonts w:cs="Segoe UI"/>
                <w:b w:val="0"/>
                <w:sz w:val="20"/>
              </w:rPr>
            </w:pPr>
            <w:r w:rsidRPr="00E45C98">
              <w:rPr>
                <w:rFonts w:cs="Segoe UI"/>
                <w:b w:val="0"/>
                <w:sz w:val="20"/>
              </w:rPr>
              <w:t xml:space="preserve">Name resolution between </w:t>
            </w:r>
            <w:r>
              <w:rPr>
                <w:rFonts w:cs="Segoe UI"/>
                <w:b w:val="0"/>
                <w:sz w:val="20"/>
              </w:rPr>
              <w:t>virtual machines</w:t>
            </w:r>
            <w:r w:rsidRPr="00E45C98">
              <w:rPr>
                <w:rFonts w:cs="Segoe UI"/>
                <w:b w:val="0"/>
                <w:sz w:val="20"/>
              </w:rPr>
              <w:t xml:space="preserve"> and role instances located in the same virtual network</w:t>
            </w:r>
          </w:p>
        </w:tc>
        <w:tc>
          <w:tcPr>
            <w:tcW w:w="0" w:type="auto"/>
            <w:hideMark/>
          </w:tcPr>
          <w:p w14:paraId="5E4CEDC7" w14:textId="77777777" w:rsidR="0058004B" w:rsidRDefault="0058004B" w:rsidP="0058004B">
            <w:pPr>
              <w:spacing w:before="0" w:after="160" w:line="259" w:lineRule="auto"/>
              <w:cnfStyle w:val="000000000000" w:firstRow="0" w:lastRow="0" w:firstColumn="0" w:lastColumn="0" w:oddVBand="0" w:evenVBand="0" w:oddHBand="0" w:evenHBand="0" w:firstRowFirstColumn="0" w:firstRowLastColumn="0" w:lastRowFirstColumn="0" w:lastRowLastColumn="0"/>
              <w:rPr>
                <w:rFonts w:cs="Segoe UI"/>
                <w:sz w:val="20"/>
              </w:rPr>
            </w:pPr>
            <w:r w:rsidRPr="00E45C98">
              <w:rPr>
                <w:rFonts w:cs="Segoe UI"/>
                <w:sz w:val="20"/>
              </w:rPr>
              <w:t>Azure-provided name resolution using FQDN</w:t>
            </w:r>
            <w:r>
              <w:rPr>
                <w:rFonts w:cs="Segoe UI"/>
                <w:sz w:val="20"/>
              </w:rPr>
              <w:t xml:space="preserve"> </w:t>
            </w:r>
          </w:p>
          <w:p w14:paraId="484AD3BE" w14:textId="77777777" w:rsidR="0058004B" w:rsidRDefault="0058004B" w:rsidP="0058004B">
            <w:pPr>
              <w:spacing w:before="0" w:after="160" w:line="259" w:lineRule="auto"/>
              <w:cnfStyle w:val="000000000000" w:firstRow="0" w:lastRow="0" w:firstColumn="0" w:lastColumn="0" w:oddVBand="0" w:evenVBand="0" w:oddHBand="0" w:evenHBand="0" w:firstRowFirstColumn="0" w:firstRowLastColumn="0" w:lastRowFirstColumn="0" w:lastRowLastColumn="0"/>
              <w:rPr>
                <w:rFonts w:cs="Segoe UI"/>
                <w:sz w:val="20"/>
              </w:rPr>
            </w:pPr>
            <w:r>
              <w:rPr>
                <w:rFonts w:cs="Segoe UI"/>
                <w:sz w:val="20"/>
              </w:rPr>
              <w:t>~</w:t>
            </w:r>
            <w:r w:rsidRPr="00E45C98">
              <w:rPr>
                <w:rFonts w:cs="Segoe UI"/>
                <w:sz w:val="20"/>
              </w:rPr>
              <w:t>or</w:t>
            </w:r>
            <w:r>
              <w:rPr>
                <w:rFonts w:cs="Segoe UI"/>
                <w:sz w:val="20"/>
              </w:rPr>
              <w:t>~</w:t>
            </w:r>
            <w:r w:rsidRPr="00E45C98">
              <w:rPr>
                <w:rFonts w:cs="Segoe UI"/>
                <w:sz w:val="20"/>
              </w:rPr>
              <w:t xml:space="preserve"> </w:t>
            </w:r>
          </w:p>
          <w:p w14:paraId="79AA01CD" w14:textId="77777777" w:rsidR="0058004B" w:rsidRPr="00E45C98" w:rsidRDefault="0058004B" w:rsidP="0058004B">
            <w:pPr>
              <w:spacing w:before="0" w:after="160" w:line="259" w:lineRule="auto"/>
              <w:cnfStyle w:val="000000000000" w:firstRow="0" w:lastRow="0" w:firstColumn="0" w:lastColumn="0" w:oddVBand="0" w:evenVBand="0" w:oddHBand="0" w:evenHBand="0" w:firstRowFirstColumn="0" w:firstRowLastColumn="0" w:lastRowFirstColumn="0" w:lastRowLastColumn="0"/>
              <w:rPr>
                <w:rFonts w:cs="Segoe UI"/>
                <w:sz w:val="20"/>
              </w:rPr>
            </w:pPr>
            <w:r w:rsidRPr="00E45C98">
              <w:rPr>
                <w:rFonts w:cs="Segoe UI"/>
                <w:sz w:val="20"/>
              </w:rPr>
              <w:t>Name resolution using your DNS server</w:t>
            </w:r>
          </w:p>
          <w:p w14:paraId="56D9B028" w14:textId="23DF130E" w:rsidR="0058004B" w:rsidRPr="00E45C98" w:rsidRDefault="0058004B" w:rsidP="0058004B">
            <w:pPr>
              <w:spacing w:before="0" w:after="160" w:line="259" w:lineRule="auto"/>
              <w:cnfStyle w:val="000000000000" w:firstRow="0" w:lastRow="0" w:firstColumn="0" w:lastColumn="0" w:oddVBand="0" w:evenVBand="0" w:oddHBand="0" w:evenHBand="0" w:firstRowFirstColumn="0" w:firstRowLastColumn="0" w:lastRowFirstColumn="0" w:lastRowLastColumn="0"/>
              <w:rPr>
                <w:rFonts w:cs="Segoe UI"/>
                <w:sz w:val="20"/>
              </w:rPr>
            </w:pPr>
          </w:p>
        </w:tc>
      </w:tr>
      <w:tr w:rsidR="0058004B" w:rsidRPr="00E45C98" w14:paraId="265B51B9" w14:textId="77777777" w:rsidTr="00E45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91DC978" w14:textId="3FCCBCCE" w:rsidR="0058004B" w:rsidRPr="00E45C98" w:rsidRDefault="0058004B" w:rsidP="0058004B">
            <w:pPr>
              <w:spacing w:before="0" w:after="160" w:line="259" w:lineRule="auto"/>
              <w:rPr>
                <w:rFonts w:cs="Segoe UI"/>
                <w:b w:val="0"/>
                <w:sz w:val="20"/>
              </w:rPr>
            </w:pPr>
            <w:r w:rsidRPr="00E45C98">
              <w:rPr>
                <w:rFonts w:cs="Segoe UI"/>
                <w:b w:val="0"/>
                <w:sz w:val="20"/>
              </w:rPr>
              <w:t xml:space="preserve">Name resolution between </w:t>
            </w:r>
            <w:r>
              <w:rPr>
                <w:rFonts w:cs="Segoe UI"/>
                <w:b w:val="0"/>
                <w:sz w:val="20"/>
              </w:rPr>
              <w:t>virtual machines</w:t>
            </w:r>
            <w:r w:rsidRPr="00E45C98">
              <w:rPr>
                <w:rFonts w:cs="Segoe UI"/>
                <w:b w:val="0"/>
                <w:sz w:val="20"/>
              </w:rPr>
              <w:t xml:space="preserve"> and role instances located in different virtual networks</w:t>
            </w:r>
          </w:p>
        </w:tc>
        <w:tc>
          <w:tcPr>
            <w:tcW w:w="0" w:type="auto"/>
            <w:hideMark/>
          </w:tcPr>
          <w:p w14:paraId="36C6E406" w14:textId="785A643C" w:rsidR="0058004B" w:rsidRPr="00E45C98" w:rsidRDefault="0058004B" w:rsidP="0058004B">
            <w:pPr>
              <w:spacing w:before="0" w:after="160" w:line="259" w:lineRule="auto"/>
              <w:cnfStyle w:val="000000100000" w:firstRow="0" w:lastRow="0" w:firstColumn="0" w:lastColumn="0" w:oddVBand="0" w:evenVBand="0" w:oddHBand="1" w:evenHBand="0" w:firstRowFirstColumn="0" w:firstRowLastColumn="0" w:lastRowFirstColumn="0" w:lastRowLastColumn="0"/>
              <w:rPr>
                <w:rFonts w:cs="Segoe UI"/>
                <w:sz w:val="20"/>
              </w:rPr>
            </w:pPr>
            <w:r w:rsidRPr="00E45C98">
              <w:rPr>
                <w:rFonts w:cs="Segoe UI"/>
                <w:sz w:val="20"/>
              </w:rPr>
              <w:t>Name resolution using your DNS server</w:t>
            </w:r>
          </w:p>
        </w:tc>
      </w:tr>
      <w:tr w:rsidR="0058004B" w:rsidRPr="00E45C98" w14:paraId="3974923A" w14:textId="77777777" w:rsidTr="00E45C98">
        <w:tc>
          <w:tcPr>
            <w:cnfStyle w:val="001000000000" w:firstRow="0" w:lastRow="0" w:firstColumn="1" w:lastColumn="0" w:oddVBand="0" w:evenVBand="0" w:oddHBand="0" w:evenHBand="0" w:firstRowFirstColumn="0" w:firstRowLastColumn="0" w:lastRowFirstColumn="0" w:lastRowLastColumn="0"/>
            <w:tcW w:w="0" w:type="auto"/>
            <w:hideMark/>
          </w:tcPr>
          <w:p w14:paraId="185AFB8E" w14:textId="0AD88F34" w:rsidR="0058004B" w:rsidRPr="00E45C98" w:rsidRDefault="0058004B" w:rsidP="0058004B">
            <w:pPr>
              <w:spacing w:before="0" w:after="160" w:line="259" w:lineRule="auto"/>
              <w:rPr>
                <w:rFonts w:cs="Segoe UI"/>
                <w:b w:val="0"/>
                <w:sz w:val="20"/>
              </w:rPr>
            </w:pPr>
            <w:r w:rsidRPr="00E45C98">
              <w:rPr>
                <w:rFonts w:cs="Segoe UI"/>
                <w:b w:val="0"/>
                <w:sz w:val="20"/>
              </w:rPr>
              <w:t xml:space="preserve">Cross-premises: Name resolution between role instances or </w:t>
            </w:r>
            <w:r>
              <w:rPr>
                <w:rFonts w:cs="Segoe UI"/>
                <w:b w:val="0"/>
                <w:sz w:val="20"/>
              </w:rPr>
              <w:t>virtual machines</w:t>
            </w:r>
            <w:r w:rsidRPr="00E45C98">
              <w:rPr>
                <w:rFonts w:cs="Segoe UI"/>
                <w:b w:val="0"/>
                <w:sz w:val="20"/>
              </w:rPr>
              <w:t xml:space="preserve"> in Azure and on-premises computers</w:t>
            </w:r>
          </w:p>
        </w:tc>
        <w:tc>
          <w:tcPr>
            <w:tcW w:w="0" w:type="auto"/>
            <w:hideMark/>
          </w:tcPr>
          <w:p w14:paraId="757125CA" w14:textId="140F86FC" w:rsidR="0058004B" w:rsidRPr="00E45C98" w:rsidRDefault="0058004B" w:rsidP="0058004B">
            <w:pPr>
              <w:spacing w:before="0" w:after="160" w:line="259" w:lineRule="auto"/>
              <w:cnfStyle w:val="000000000000" w:firstRow="0" w:lastRow="0" w:firstColumn="0" w:lastColumn="0" w:oddVBand="0" w:evenVBand="0" w:oddHBand="0" w:evenHBand="0" w:firstRowFirstColumn="0" w:firstRowLastColumn="0" w:lastRowFirstColumn="0" w:lastRowLastColumn="0"/>
              <w:rPr>
                <w:rFonts w:cs="Segoe UI"/>
                <w:sz w:val="20"/>
              </w:rPr>
            </w:pPr>
            <w:r w:rsidRPr="00E45C98">
              <w:rPr>
                <w:rFonts w:cs="Segoe UI"/>
                <w:sz w:val="20"/>
              </w:rPr>
              <w:t>Name resolution using your DNS server</w:t>
            </w:r>
          </w:p>
        </w:tc>
      </w:tr>
      <w:tr w:rsidR="0058004B" w:rsidRPr="00E45C98" w14:paraId="63A94E2A" w14:textId="77777777" w:rsidTr="00E45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81A8B9E" w14:textId="2D026822" w:rsidR="0058004B" w:rsidRPr="00E45C98" w:rsidRDefault="0058004B" w:rsidP="0058004B">
            <w:pPr>
              <w:spacing w:before="0" w:after="160" w:line="259" w:lineRule="auto"/>
              <w:rPr>
                <w:rFonts w:cs="Segoe UI"/>
                <w:b w:val="0"/>
                <w:sz w:val="20"/>
              </w:rPr>
            </w:pPr>
            <w:r w:rsidRPr="00E45C98">
              <w:rPr>
                <w:rFonts w:cs="Segoe UI"/>
                <w:b w:val="0"/>
                <w:sz w:val="20"/>
              </w:rPr>
              <w:t>Reverse lookup of internal IP</w:t>
            </w:r>
            <w:r>
              <w:rPr>
                <w:rFonts w:cs="Segoe UI"/>
                <w:b w:val="0"/>
                <w:sz w:val="20"/>
              </w:rPr>
              <w:t xml:space="preserve"> addresse</w:t>
            </w:r>
            <w:r w:rsidRPr="00E45C98">
              <w:rPr>
                <w:rFonts w:cs="Segoe UI"/>
                <w:b w:val="0"/>
                <w:sz w:val="20"/>
              </w:rPr>
              <w:t>s</w:t>
            </w:r>
          </w:p>
        </w:tc>
        <w:tc>
          <w:tcPr>
            <w:tcW w:w="0" w:type="auto"/>
            <w:hideMark/>
          </w:tcPr>
          <w:p w14:paraId="3D6B105A" w14:textId="4F19E804" w:rsidR="0058004B" w:rsidRPr="00E45C98" w:rsidRDefault="0058004B" w:rsidP="0058004B">
            <w:pPr>
              <w:spacing w:before="0" w:after="160" w:line="259" w:lineRule="auto"/>
              <w:cnfStyle w:val="000000100000" w:firstRow="0" w:lastRow="0" w:firstColumn="0" w:lastColumn="0" w:oddVBand="0" w:evenVBand="0" w:oddHBand="1" w:evenHBand="0" w:firstRowFirstColumn="0" w:firstRowLastColumn="0" w:lastRowFirstColumn="0" w:lastRowLastColumn="0"/>
              <w:rPr>
                <w:rFonts w:cs="Segoe UI"/>
                <w:sz w:val="20"/>
              </w:rPr>
            </w:pPr>
            <w:r w:rsidRPr="00E45C98">
              <w:rPr>
                <w:rFonts w:cs="Segoe UI"/>
                <w:sz w:val="20"/>
              </w:rPr>
              <w:t>Name resolution using your DNS server</w:t>
            </w:r>
          </w:p>
        </w:tc>
      </w:tr>
      <w:tr w:rsidR="0058004B" w:rsidRPr="00E45C98" w14:paraId="3115C163" w14:textId="77777777" w:rsidTr="00E45C98">
        <w:tc>
          <w:tcPr>
            <w:cnfStyle w:val="001000000000" w:firstRow="0" w:lastRow="0" w:firstColumn="1" w:lastColumn="0" w:oddVBand="0" w:evenVBand="0" w:oddHBand="0" w:evenHBand="0" w:firstRowFirstColumn="0" w:firstRowLastColumn="0" w:lastRowFirstColumn="0" w:lastRowLastColumn="0"/>
            <w:tcW w:w="0" w:type="auto"/>
            <w:hideMark/>
          </w:tcPr>
          <w:p w14:paraId="7128844F" w14:textId="4404C2E4" w:rsidR="0058004B" w:rsidRPr="00E45C98" w:rsidRDefault="0058004B" w:rsidP="0058004B">
            <w:pPr>
              <w:spacing w:before="0" w:after="160" w:line="259" w:lineRule="auto"/>
              <w:rPr>
                <w:rFonts w:cs="Segoe UI"/>
                <w:b w:val="0"/>
                <w:sz w:val="20"/>
              </w:rPr>
            </w:pPr>
            <w:r w:rsidRPr="00E45C98">
              <w:rPr>
                <w:rFonts w:cs="Segoe UI"/>
                <w:b w:val="0"/>
                <w:sz w:val="20"/>
              </w:rPr>
              <w:t>Name resolution for custom domains (</w:t>
            </w:r>
            <w:r>
              <w:rPr>
                <w:rFonts w:cs="Segoe UI"/>
                <w:b w:val="0"/>
                <w:sz w:val="20"/>
              </w:rPr>
              <w:t>such as</w:t>
            </w:r>
            <w:r w:rsidRPr="00E45C98">
              <w:rPr>
                <w:rFonts w:cs="Segoe UI"/>
                <w:b w:val="0"/>
                <w:sz w:val="20"/>
              </w:rPr>
              <w:t xml:space="preserve"> Active Directory domains</w:t>
            </w:r>
            <w:r>
              <w:rPr>
                <w:rFonts w:cs="Segoe UI"/>
                <w:b w:val="0"/>
                <w:sz w:val="20"/>
              </w:rPr>
              <w:t xml:space="preserve"> or</w:t>
            </w:r>
            <w:r w:rsidRPr="00E45C98">
              <w:rPr>
                <w:rFonts w:cs="Segoe UI"/>
                <w:b w:val="0"/>
                <w:sz w:val="20"/>
              </w:rPr>
              <w:t xml:space="preserve"> domains</w:t>
            </w:r>
            <w:r>
              <w:rPr>
                <w:rFonts w:cs="Segoe UI"/>
                <w:b w:val="0"/>
                <w:sz w:val="20"/>
              </w:rPr>
              <w:t xml:space="preserve"> that</w:t>
            </w:r>
            <w:r w:rsidRPr="00E45C98">
              <w:rPr>
                <w:rFonts w:cs="Segoe UI"/>
                <w:b w:val="0"/>
                <w:sz w:val="20"/>
              </w:rPr>
              <w:t xml:space="preserve"> you register) </w:t>
            </w:r>
          </w:p>
        </w:tc>
        <w:tc>
          <w:tcPr>
            <w:tcW w:w="0" w:type="auto"/>
            <w:hideMark/>
          </w:tcPr>
          <w:p w14:paraId="3A68CFD9" w14:textId="1C1FF672" w:rsidR="0058004B" w:rsidRPr="00E45C98" w:rsidRDefault="0058004B" w:rsidP="0058004B">
            <w:pPr>
              <w:spacing w:before="0" w:after="160" w:line="259" w:lineRule="auto"/>
              <w:cnfStyle w:val="000000000000" w:firstRow="0" w:lastRow="0" w:firstColumn="0" w:lastColumn="0" w:oddVBand="0" w:evenVBand="0" w:oddHBand="0" w:evenHBand="0" w:firstRowFirstColumn="0" w:firstRowLastColumn="0" w:lastRowFirstColumn="0" w:lastRowLastColumn="0"/>
              <w:rPr>
                <w:rFonts w:cs="Segoe UI"/>
                <w:sz w:val="20"/>
              </w:rPr>
            </w:pPr>
            <w:r w:rsidRPr="00E45C98">
              <w:rPr>
                <w:rFonts w:cs="Segoe UI"/>
                <w:sz w:val="20"/>
              </w:rPr>
              <w:t>Name resolution using your DNS server</w:t>
            </w:r>
          </w:p>
        </w:tc>
      </w:tr>
      <w:tr w:rsidR="0058004B" w:rsidRPr="00E45C98" w14:paraId="42C5706F" w14:textId="77777777" w:rsidTr="00E45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AA8BCD9" w14:textId="1AF90CE3" w:rsidR="0058004B" w:rsidRPr="00E45C98" w:rsidRDefault="0058004B" w:rsidP="0058004B">
            <w:pPr>
              <w:spacing w:before="0" w:after="160" w:line="259" w:lineRule="auto"/>
              <w:rPr>
                <w:rFonts w:cs="Segoe UI"/>
                <w:b w:val="0"/>
                <w:sz w:val="20"/>
              </w:rPr>
            </w:pPr>
            <w:r w:rsidRPr="00E45C98">
              <w:rPr>
                <w:rFonts w:cs="Segoe UI"/>
                <w:b w:val="0"/>
                <w:sz w:val="20"/>
              </w:rPr>
              <w:t>Name resolution between role instances located in different cloud services, not in a virtual network</w:t>
            </w:r>
          </w:p>
        </w:tc>
        <w:tc>
          <w:tcPr>
            <w:tcW w:w="0" w:type="auto"/>
            <w:hideMark/>
          </w:tcPr>
          <w:p w14:paraId="2661880E" w14:textId="6BF5DC7C" w:rsidR="0058004B" w:rsidRPr="00E45C98" w:rsidRDefault="0058004B" w:rsidP="0058004B">
            <w:pPr>
              <w:spacing w:before="0" w:after="160" w:line="259" w:lineRule="auto"/>
              <w:cnfStyle w:val="000000100000" w:firstRow="0" w:lastRow="0" w:firstColumn="0" w:lastColumn="0" w:oddVBand="0" w:evenVBand="0" w:oddHBand="1" w:evenHBand="0" w:firstRowFirstColumn="0" w:firstRowLastColumn="0" w:lastRowFirstColumn="0" w:lastRowLastColumn="0"/>
              <w:rPr>
                <w:rFonts w:cs="Segoe UI"/>
                <w:sz w:val="20"/>
              </w:rPr>
            </w:pPr>
            <w:r w:rsidRPr="00E45C98">
              <w:rPr>
                <w:rFonts w:cs="Segoe UI"/>
                <w:sz w:val="20"/>
              </w:rPr>
              <w:t xml:space="preserve">Not applicable. Connectivity between </w:t>
            </w:r>
            <w:r>
              <w:rPr>
                <w:rFonts w:cs="Segoe UI"/>
                <w:sz w:val="20"/>
              </w:rPr>
              <w:t>virtual machines</w:t>
            </w:r>
            <w:r w:rsidRPr="00E45C98">
              <w:rPr>
                <w:rFonts w:cs="Segoe UI"/>
                <w:sz w:val="20"/>
              </w:rPr>
              <w:t xml:space="preserve"> and role instances in different cloud services is not supported outside a virtual network.</w:t>
            </w:r>
          </w:p>
        </w:tc>
      </w:tr>
    </w:tbl>
    <w:p w14:paraId="7B0E3E9E" w14:textId="7F7E53E7" w:rsidR="004F467C" w:rsidRDefault="004F467C">
      <w:pPr>
        <w:spacing w:before="0" w:after="160" w:line="259" w:lineRule="auto"/>
      </w:pPr>
    </w:p>
    <w:tbl>
      <w:tblPr>
        <w:tblStyle w:val="PlainTable11"/>
        <w:tblW w:w="0" w:type="auto"/>
        <w:tblLook w:val="04A0" w:firstRow="1" w:lastRow="0" w:firstColumn="1" w:lastColumn="0" w:noHBand="0" w:noVBand="1"/>
      </w:tblPr>
      <w:tblGrid>
        <w:gridCol w:w="3415"/>
        <w:gridCol w:w="5935"/>
      </w:tblGrid>
      <w:tr w:rsidR="004F467C" w14:paraId="7DB6D53E" w14:textId="77777777" w:rsidTr="005800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808080" w:themeFill="background1" w:themeFillShade="80"/>
          </w:tcPr>
          <w:p w14:paraId="7D749CF8" w14:textId="77777777" w:rsidR="004F467C" w:rsidRPr="00F47607" w:rsidRDefault="004F467C" w:rsidP="00FD1155">
            <w:pPr>
              <w:spacing w:line="240" w:lineRule="auto"/>
              <w:rPr>
                <w:color w:val="FFFFFF"/>
              </w:rPr>
            </w:pPr>
            <w:r>
              <w:rPr>
                <w:color w:val="FFFFFF"/>
              </w:rPr>
              <w:t>Feature References</w:t>
            </w:r>
          </w:p>
        </w:tc>
      </w:tr>
      <w:tr w:rsidR="004F467C" w:rsidRPr="00E45C98" w14:paraId="12EBB203" w14:textId="77777777" w:rsidTr="00E45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6A1FB52A" w14:textId="6DEBDBFF" w:rsidR="004F467C" w:rsidRPr="00E45C98" w:rsidRDefault="004F467C" w:rsidP="00FD1155">
            <w:pPr>
              <w:spacing w:line="240" w:lineRule="auto"/>
              <w:rPr>
                <w:sz w:val="20"/>
                <w:szCs w:val="18"/>
              </w:rPr>
            </w:pPr>
            <w:r w:rsidRPr="00E45C98">
              <w:rPr>
                <w:sz w:val="20"/>
                <w:szCs w:val="18"/>
              </w:rPr>
              <w:t>Azure Name Resolution</w:t>
            </w:r>
          </w:p>
        </w:tc>
        <w:tc>
          <w:tcPr>
            <w:tcW w:w="5940" w:type="dxa"/>
          </w:tcPr>
          <w:p w14:paraId="5D760005" w14:textId="0B46FD9F" w:rsidR="004F467C" w:rsidRPr="00E45C98" w:rsidRDefault="00872E47" w:rsidP="00FD1155">
            <w:pPr>
              <w:cnfStyle w:val="000000100000" w:firstRow="0" w:lastRow="0" w:firstColumn="0" w:lastColumn="0" w:oddVBand="0" w:evenVBand="0" w:oddHBand="1" w:evenHBand="0" w:firstRowFirstColumn="0" w:firstRowLastColumn="0" w:lastRowFirstColumn="0" w:lastRowLastColumn="0"/>
              <w:rPr>
                <w:sz w:val="20"/>
              </w:rPr>
            </w:pPr>
            <w:hyperlink r:id="rId425" w:history="1">
              <w:r w:rsidR="004F467C" w:rsidRPr="00E45C98">
                <w:rPr>
                  <w:rStyle w:val="Hyperlink"/>
                  <w:sz w:val="20"/>
                </w:rPr>
                <w:t>https://msdn.microsoft.com/en-us/library/azure/jj156088.aspx</w:t>
              </w:r>
            </w:hyperlink>
            <w:r w:rsidR="004F467C" w:rsidRPr="00E45C98">
              <w:rPr>
                <w:sz w:val="20"/>
              </w:rPr>
              <w:t xml:space="preserve"> </w:t>
            </w:r>
          </w:p>
        </w:tc>
      </w:tr>
      <w:tr w:rsidR="0058004B" w:rsidRPr="00E45C98" w14:paraId="7A2C4DED" w14:textId="77777777" w:rsidTr="00E45C98">
        <w:tc>
          <w:tcPr>
            <w:cnfStyle w:val="001000000000" w:firstRow="0" w:lastRow="0" w:firstColumn="1" w:lastColumn="0" w:oddVBand="0" w:evenVBand="0" w:oddHBand="0" w:evenHBand="0" w:firstRowFirstColumn="0" w:firstRowLastColumn="0" w:lastRowFirstColumn="0" w:lastRowLastColumn="0"/>
            <w:tcW w:w="3420" w:type="dxa"/>
          </w:tcPr>
          <w:p w14:paraId="7718C9AB" w14:textId="6C8CF977" w:rsidR="0058004B" w:rsidRPr="00E45C98" w:rsidRDefault="0058004B" w:rsidP="0058004B">
            <w:pPr>
              <w:spacing w:line="240" w:lineRule="auto"/>
              <w:rPr>
                <w:sz w:val="20"/>
                <w:szCs w:val="18"/>
              </w:rPr>
            </w:pPr>
            <w:r w:rsidRPr="00E45C98">
              <w:rPr>
                <w:sz w:val="20"/>
                <w:szCs w:val="18"/>
              </w:rPr>
              <w:t xml:space="preserve">Configure a custom domain name for blob data in an Azure </w:t>
            </w:r>
            <w:r>
              <w:rPr>
                <w:sz w:val="20"/>
                <w:szCs w:val="18"/>
              </w:rPr>
              <w:t>S</w:t>
            </w:r>
            <w:r w:rsidRPr="00E45C98">
              <w:rPr>
                <w:sz w:val="20"/>
                <w:szCs w:val="18"/>
              </w:rPr>
              <w:t>torage account</w:t>
            </w:r>
          </w:p>
        </w:tc>
        <w:tc>
          <w:tcPr>
            <w:tcW w:w="5940" w:type="dxa"/>
          </w:tcPr>
          <w:p w14:paraId="0CFDA840" w14:textId="35947BD2" w:rsidR="0058004B" w:rsidRPr="00E45C98" w:rsidRDefault="00872E47" w:rsidP="0058004B">
            <w:pPr>
              <w:cnfStyle w:val="000000000000" w:firstRow="0" w:lastRow="0" w:firstColumn="0" w:lastColumn="0" w:oddVBand="0" w:evenVBand="0" w:oddHBand="0" w:evenHBand="0" w:firstRowFirstColumn="0" w:firstRowLastColumn="0" w:lastRowFirstColumn="0" w:lastRowLastColumn="0"/>
              <w:rPr>
                <w:sz w:val="20"/>
              </w:rPr>
            </w:pPr>
            <w:hyperlink r:id="rId426" w:history="1">
              <w:r w:rsidR="0058004B" w:rsidRPr="00E45C98">
                <w:rPr>
                  <w:rStyle w:val="Hyperlink"/>
                  <w:sz w:val="20"/>
                </w:rPr>
                <w:t>http://azure.microsoft.com/en-us/documentation/articles/storage-custom-domain-name/</w:t>
              </w:r>
            </w:hyperlink>
            <w:r w:rsidR="0058004B" w:rsidRPr="00E45C98">
              <w:rPr>
                <w:sz w:val="20"/>
              </w:rPr>
              <w:t xml:space="preserve"> </w:t>
            </w:r>
          </w:p>
        </w:tc>
      </w:tr>
      <w:tr w:rsidR="0058004B" w:rsidRPr="00E45C98" w14:paraId="3BA54722" w14:textId="77777777" w:rsidTr="005800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tcPr>
          <w:p w14:paraId="76199173" w14:textId="1C934B99" w:rsidR="0058004B" w:rsidRPr="00E45C98" w:rsidRDefault="0058004B" w:rsidP="0058004B">
            <w:pPr>
              <w:spacing w:line="240" w:lineRule="auto"/>
              <w:rPr>
                <w:sz w:val="20"/>
                <w:szCs w:val="18"/>
              </w:rPr>
            </w:pPr>
            <w:r w:rsidRPr="00E45C98">
              <w:rPr>
                <w:sz w:val="20"/>
                <w:szCs w:val="18"/>
              </w:rPr>
              <w:t>Configure a custom domain name in Azure App Service</w:t>
            </w:r>
          </w:p>
        </w:tc>
        <w:tc>
          <w:tcPr>
            <w:tcW w:w="5935" w:type="dxa"/>
          </w:tcPr>
          <w:p w14:paraId="4DEDECE1" w14:textId="6995BE38" w:rsidR="0058004B" w:rsidRPr="00E45C98" w:rsidRDefault="00872E47" w:rsidP="0058004B">
            <w:pPr>
              <w:cnfStyle w:val="000000100000" w:firstRow="0" w:lastRow="0" w:firstColumn="0" w:lastColumn="0" w:oddVBand="0" w:evenVBand="0" w:oddHBand="1" w:evenHBand="0" w:firstRowFirstColumn="0" w:firstRowLastColumn="0" w:lastRowFirstColumn="0" w:lastRowLastColumn="0"/>
              <w:rPr>
                <w:sz w:val="20"/>
              </w:rPr>
            </w:pPr>
            <w:hyperlink r:id="rId427" w:history="1">
              <w:r w:rsidR="0058004B" w:rsidRPr="00E45C98">
                <w:rPr>
                  <w:rStyle w:val="Hyperlink"/>
                  <w:sz w:val="20"/>
                </w:rPr>
                <w:t>http://azure.microsoft.com/en-us/documentation/articles/web-sites-custom-domain-name/</w:t>
              </w:r>
            </w:hyperlink>
            <w:r w:rsidR="0058004B" w:rsidRPr="00E45C98">
              <w:rPr>
                <w:sz w:val="20"/>
              </w:rPr>
              <w:t xml:space="preserve"> </w:t>
            </w:r>
          </w:p>
        </w:tc>
      </w:tr>
    </w:tbl>
    <w:p w14:paraId="54348239" w14:textId="77777777" w:rsidR="004F467C" w:rsidRDefault="004F467C" w:rsidP="00CF37FA"/>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0802AF" w14:paraId="14D73D4D" w14:textId="77777777" w:rsidTr="000802AF">
        <w:tc>
          <w:tcPr>
            <w:tcW w:w="9360" w:type="dxa"/>
            <w:tcBorders>
              <w:top w:val="single" w:sz="4" w:space="0" w:color="008AC8"/>
              <w:left w:val="nil"/>
              <w:bottom w:val="single" w:sz="4" w:space="0" w:color="008AC8"/>
              <w:right w:val="nil"/>
            </w:tcBorders>
            <w:shd w:val="clear" w:color="auto" w:fill="008AC8"/>
            <w:hideMark/>
          </w:tcPr>
          <w:p w14:paraId="0031E2D2" w14:textId="77777777" w:rsidR="000802AF" w:rsidRDefault="000802AF">
            <w:pPr>
              <w:spacing w:line="240" w:lineRule="auto"/>
              <w:rPr>
                <w:color w:val="FFFFFF"/>
              </w:rPr>
            </w:pPr>
            <w:r>
              <w:rPr>
                <w:color w:val="FFFFFF"/>
              </w:rPr>
              <w:t>Design Guidance</w:t>
            </w:r>
          </w:p>
        </w:tc>
      </w:tr>
    </w:tbl>
    <w:p w14:paraId="2057707E" w14:textId="2A483ABB" w:rsidR="000802AF" w:rsidRDefault="000802AF" w:rsidP="000802AF">
      <w:r>
        <w:t xml:space="preserve">When you are </w:t>
      </w:r>
      <w:r w:rsidR="005B6FC6">
        <w:t>planning n</w:t>
      </w:r>
      <w:r>
        <w:t xml:space="preserve">ame </w:t>
      </w:r>
      <w:r w:rsidR="005B6FC6">
        <w:t>r</w:t>
      </w:r>
      <w:r>
        <w:t>esolution, consider the following:</w:t>
      </w:r>
    </w:p>
    <w:tbl>
      <w:tblPr>
        <w:tblStyle w:val="PlainTable11"/>
        <w:tblW w:w="0" w:type="auto"/>
        <w:tblLook w:val="04A0" w:firstRow="1" w:lastRow="0" w:firstColumn="1" w:lastColumn="0" w:noHBand="0" w:noVBand="1"/>
      </w:tblPr>
      <w:tblGrid>
        <w:gridCol w:w="2526"/>
        <w:gridCol w:w="6741"/>
      </w:tblGrid>
      <w:tr w:rsidR="000802AF" w:rsidRPr="00E45C98" w14:paraId="67E59784" w14:textId="77777777" w:rsidTr="00E45C9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808080" w:themeFill="background1" w:themeFillShade="80"/>
            <w:hideMark/>
          </w:tcPr>
          <w:p w14:paraId="5583587C" w14:textId="77777777" w:rsidR="000802AF" w:rsidRPr="00E45C98" w:rsidRDefault="000802AF">
            <w:pPr>
              <w:spacing w:line="240" w:lineRule="auto"/>
              <w:rPr>
                <w:rFonts w:eastAsia="Calibri"/>
                <w:bCs w:val="0"/>
                <w:color w:val="FFFFFF"/>
                <w:sz w:val="20"/>
                <w:szCs w:val="20"/>
                <w:lang w:eastAsia="en-AU"/>
              </w:rPr>
            </w:pPr>
            <w:r w:rsidRPr="00E45C98">
              <w:rPr>
                <w:rFonts w:eastAsia="Calibri"/>
                <w:bCs w:val="0"/>
                <w:color w:val="FFFFFF"/>
                <w:sz w:val="20"/>
                <w:szCs w:val="20"/>
                <w:lang w:eastAsia="en-AU"/>
              </w:rPr>
              <w:t>Capability Consideration</w:t>
            </w:r>
          </w:p>
        </w:tc>
        <w:tc>
          <w:tcPr>
            <w:tcW w:w="6741" w:type="dxa"/>
            <w:shd w:val="clear" w:color="auto" w:fill="808080" w:themeFill="background1" w:themeFillShade="80"/>
            <w:hideMark/>
          </w:tcPr>
          <w:p w14:paraId="2AE680BD" w14:textId="77777777" w:rsidR="000802AF" w:rsidRPr="00E45C98" w:rsidRDefault="000802AF">
            <w:pPr>
              <w:spacing w:line="240" w:lineRule="auto"/>
              <w:cnfStyle w:val="100000000000" w:firstRow="1" w:lastRow="0" w:firstColumn="0" w:lastColumn="0" w:oddVBand="0" w:evenVBand="0" w:oddHBand="0" w:evenHBand="0" w:firstRowFirstColumn="0" w:firstRowLastColumn="0" w:lastRowFirstColumn="0" w:lastRowLastColumn="0"/>
              <w:rPr>
                <w:rFonts w:eastAsia="Calibri"/>
                <w:bCs w:val="0"/>
                <w:color w:val="FFFFFF"/>
                <w:sz w:val="20"/>
                <w:szCs w:val="20"/>
                <w:lang w:eastAsia="en-AU"/>
              </w:rPr>
            </w:pPr>
            <w:r w:rsidRPr="00E45C98">
              <w:rPr>
                <w:rFonts w:eastAsia="Calibri"/>
                <w:bCs w:val="0"/>
                <w:color w:val="FFFFFF"/>
                <w:sz w:val="20"/>
                <w:szCs w:val="20"/>
                <w:lang w:eastAsia="en-AU"/>
              </w:rPr>
              <w:t>Capability Decision Points</w:t>
            </w:r>
          </w:p>
        </w:tc>
      </w:tr>
      <w:tr w:rsidR="005B6FC6" w14:paraId="5E75E166" w14:textId="77777777" w:rsidTr="00E45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DF2A061" w14:textId="3C099518" w:rsidR="005B6FC6" w:rsidRDefault="005B6FC6" w:rsidP="005B6FC6">
            <w:pPr>
              <w:rPr>
                <w:sz w:val="20"/>
                <w:szCs w:val="20"/>
              </w:rPr>
            </w:pPr>
            <w:r>
              <w:rPr>
                <w:sz w:val="20"/>
                <w:szCs w:val="20"/>
              </w:rPr>
              <w:t>Subscription creation</w:t>
            </w:r>
          </w:p>
        </w:tc>
        <w:tc>
          <w:tcPr>
            <w:tcW w:w="6741" w:type="dxa"/>
            <w:hideMark/>
          </w:tcPr>
          <w:p w14:paraId="0FFFABFE" w14:textId="42102C50" w:rsidR="005B6FC6" w:rsidRDefault="005B6FC6" w:rsidP="005B6FC6">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When preparing a new Azure subscription for provisioning or migrating resources, configure DNS servers at the subscription level, and then assign them to the virtual network level so the Azure DHCP Server service will hand out the DNS servers for resolution support</w:t>
            </w:r>
          </w:p>
        </w:tc>
      </w:tr>
      <w:tr w:rsidR="005B6FC6" w14:paraId="708305C6" w14:textId="77777777" w:rsidTr="00E45C98">
        <w:tc>
          <w:tcPr>
            <w:cnfStyle w:val="001000000000" w:firstRow="0" w:lastRow="0" w:firstColumn="1" w:lastColumn="0" w:oddVBand="0" w:evenVBand="0" w:oddHBand="0" w:evenHBand="0" w:firstRowFirstColumn="0" w:firstRowLastColumn="0" w:lastRowFirstColumn="0" w:lastRowLastColumn="0"/>
            <w:tcW w:w="0" w:type="auto"/>
            <w:hideMark/>
          </w:tcPr>
          <w:p w14:paraId="6B54F3BF" w14:textId="44840C79" w:rsidR="005B6FC6" w:rsidRDefault="005B6FC6" w:rsidP="005B6FC6">
            <w:pPr>
              <w:pStyle w:val="NormalWeb"/>
              <w:spacing w:line="254" w:lineRule="auto"/>
              <w:rPr>
                <w:rFonts w:ascii="Segoe UI" w:hAnsi="Segoe UI" w:cs="Segoe UI"/>
                <w:sz w:val="20"/>
                <w:szCs w:val="20"/>
                <w:lang w:val="en-AU" w:eastAsia="en-AU"/>
              </w:rPr>
            </w:pPr>
            <w:r>
              <w:rPr>
                <w:rFonts w:ascii="Segoe UI" w:hAnsi="Segoe UI" w:cs="Segoe UI"/>
                <w:sz w:val="20"/>
                <w:szCs w:val="20"/>
                <w:lang w:val="en-AU" w:eastAsia="en-AU"/>
              </w:rPr>
              <w:t>Service limits</w:t>
            </w:r>
          </w:p>
        </w:tc>
        <w:tc>
          <w:tcPr>
            <w:tcW w:w="6741" w:type="dxa"/>
            <w:hideMark/>
          </w:tcPr>
          <w:p w14:paraId="3517E398" w14:textId="49551FF9" w:rsidR="005B6FC6" w:rsidRDefault="005B6FC6" w:rsidP="005B6FC6">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A maximum of 10 custom DNS servers can be configured per subscription.</w:t>
            </w:r>
          </w:p>
        </w:tc>
      </w:tr>
    </w:tbl>
    <w:p w14:paraId="639B23BB" w14:textId="77777777" w:rsidR="000802AF" w:rsidRDefault="000802AF" w:rsidP="00CF37FA"/>
    <w:p w14:paraId="279A8A4C" w14:textId="2A01D36E" w:rsidR="009D5950" w:rsidRDefault="009D5950" w:rsidP="005729D2">
      <w:pPr>
        <w:pStyle w:val="Heading3Numbered"/>
        <w:numPr>
          <w:ilvl w:val="2"/>
          <w:numId w:val="64"/>
        </w:numPr>
      </w:pPr>
      <w:bookmarkStart w:id="5008" w:name="_Toc422941626"/>
      <w:bookmarkStart w:id="5009" w:name="_Toc423116832"/>
      <w:bookmarkStart w:id="5010" w:name="_Toc423117865"/>
      <w:bookmarkStart w:id="5011" w:name="_Toc423117315"/>
      <w:bookmarkStart w:id="5012" w:name="_Toc431288908"/>
      <w:bookmarkStart w:id="5013" w:name="_Toc414892127"/>
      <w:bookmarkStart w:id="5014" w:name="_Toc414960150"/>
      <w:bookmarkStart w:id="5015" w:name="_Toc414969121"/>
      <w:bookmarkStart w:id="5016" w:name="_Toc415011343"/>
      <w:bookmarkStart w:id="5017" w:name="_Toc415040033"/>
      <w:bookmarkStart w:id="5018" w:name="_Toc415572390"/>
      <w:bookmarkStart w:id="5019" w:name="_Toc415735560"/>
      <w:bookmarkStart w:id="5020" w:name="_Toc415814141"/>
      <w:bookmarkStart w:id="5021" w:name="_Toc416343876"/>
      <w:bookmarkStart w:id="5022" w:name="_Toc416863148"/>
      <w:bookmarkStart w:id="5023" w:name="_Toc417314763"/>
      <w:bookmarkStart w:id="5024" w:name="_Toc417323780"/>
      <w:bookmarkStart w:id="5025" w:name="_Toc417326870"/>
      <w:bookmarkStart w:id="5026" w:name="_Toc417330418"/>
      <w:bookmarkStart w:id="5027" w:name="_Toc417395024"/>
      <w:bookmarkStart w:id="5028" w:name="_Toc417399241"/>
      <w:bookmarkStart w:id="5029" w:name="_Toc417399400"/>
      <w:bookmarkStart w:id="5030" w:name="_Toc417400447"/>
      <w:bookmarkStart w:id="5031" w:name="_Toc417401295"/>
      <w:bookmarkStart w:id="5032" w:name="_Toc417419610"/>
      <w:bookmarkStart w:id="5033" w:name="_Toc417457382"/>
      <w:bookmarkStart w:id="5034" w:name="_Toc417481960"/>
      <w:bookmarkStart w:id="5035" w:name="_Toc417482218"/>
      <w:bookmarkStart w:id="5036" w:name="_Toc417499937"/>
      <w:bookmarkStart w:id="5037" w:name="_Toc417502758"/>
      <w:bookmarkStart w:id="5038" w:name="_Toc417548335"/>
      <w:bookmarkStart w:id="5039" w:name="_Toc417594577"/>
      <w:bookmarkStart w:id="5040" w:name="_Toc417934709"/>
      <w:bookmarkStart w:id="5041" w:name="_Toc417936048"/>
      <w:bookmarkStart w:id="5042" w:name="_Toc417936510"/>
      <w:bookmarkStart w:id="5043" w:name="_Toc417946934"/>
      <w:bookmarkStart w:id="5044" w:name="_Toc417947384"/>
      <w:bookmarkStart w:id="5045" w:name="_Toc417982544"/>
      <w:bookmarkStart w:id="5046" w:name="_Toc417985997"/>
      <w:bookmarkStart w:id="5047" w:name="_Toc418000690"/>
      <w:bookmarkStart w:id="5048" w:name="_Toc418003861"/>
      <w:bookmarkStart w:id="5049" w:name="_Toc418012066"/>
      <w:bookmarkStart w:id="5050" w:name="_Toc418014480"/>
      <w:bookmarkStart w:id="5051" w:name="_Toc418014714"/>
      <w:bookmarkStart w:id="5052" w:name="_Toc418030084"/>
      <w:bookmarkStart w:id="5053" w:name="_Toc418036968"/>
      <w:bookmarkStart w:id="5054" w:name="_Toc418061441"/>
      <w:bookmarkStart w:id="5055" w:name="_Toc418081340"/>
      <w:bookmarkStart w:id="5056" w:name="_Toc418083372"/>
      <w:bookmarkStart w:id="5057" w:name="_Toc418096136"/>
      <w:bookmarkStart w:id="5058" w:name="_Toc418156738"/>
      <w:bookmarkStart w:id="5059" w:name="_Toc418167657"/>
      <w:bookmarkStart w:id="5060" w:name="_Toc418185913"/>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r>
        <w:t>Azure DNS Service</w:t>
      </w:r>
      <w:bookmarkEnd w:id="5008"/>
      <w:bookmarkEnd w:id="5009"/>
      <w:bookmarkEnd w:id="5010"/>
      <w:bookmarkEnd w:id="5011"/>
      <w:bookmarkEnd w:id="5012"/>
    </w:p>
    <w:p w14:paraId="7261101F" w14:textId="5A47681D" w:rsidR="005B6FC6" w:rsidRDefault="009032E5" w:rsidP="005B6FC6">
      <w:pPr>
        <w:rPr>
          <w:lang w:val="en"/>
        </w:rPr>
      </w:pPr>
      <w:r w:rsidRPr="009032E5">
        <w:rPr>
          <w:lang w:val="en"/>
        </w:rPr>
        <w:t>Azure</w:t>
      </w:r>
      <w:r w:rsidR="005B6FC6" w:rsidRPr="009032E5">
        <w:rPr>
          <w:lang w:val="en"/>
        </w:rPr>
        <w:t xml:space="preserve"> DNS </w:t>
      </w:r>
      <w:r w:rsidR="005B6FC6">
        <w:rPr>
          <w:lang w:val="en"/>
        </w:rPr>
        <w:t xml:space="preserve">is a global scale DNS service for hosting tenant </w:t>
      </w:r>
      <w:r w:rsidR="005B6FC6" w:rsidRPr="009032E5">
        <w:rPr>
          <w:lang w:val="en"/>
        </w:rPr>
        <w:t>DNS domains</w:t>
      </w:r>
      <w:r w:rsidR="005B6FC6">
        <w:rPr>
          <w:lang w:val="en"/>
        </w:rPr>
        <w:t xml:space="preserve"> and</w:t>
      </w:r>
      <w:r w:rsidR="005B6FC6" w:rsidRPr="009032E5">
        <w:rPr>
          <w:lang w:val="en"/>
        </w:rPr>
        <w:t xml:space="preserve"> providing name resolution </w:t>
      </w:r>
      <w:r w:rsidR="005B6FC6">
        <w:rPr>
          <w:lang w:val="en"/>
        </w:rPr>
        <w:t xml:space="preserve">by </w:t>
      </w:r>
      <w:r w:rsidR="005B6FC6" w:rsidRPr="009032E5">
        <w:rPr>
          <w:lang w:val="en"/>
        </w:rPr>
        <w:t xml:space="preserve">using Microsoft Azure infrastructure. </w:t>
      </w:r>
      <w:r w:rsidR="005B6FC6">
        <w:rPr>
          <w:lang w:val="en"/>
        </w:rPr>
        <w:t xml:space="preserve">Azure DNS has been tuned to be a highly available DNS service with fast query response times. Azure DNS provides updates of DNS records and global distribution. </w:t>
      </w:r>
    </w:p>
    <w:p w14:paraId="10B47638" w14:textId="77777777" w:rsidR="005B6FC6" w:rsidRDefault="005B6FC6" w:rsidP="005B6FC6">
      <w:pPr>
        <w:rPr>
          <w:lang w:val="en"/>
        </w:rPr>
      </w:pPr>
      <w:r w:rsidRPr="009032E5">
        <w:rPr>
          <w:lang w:val="en"/>
        </w:rPr>
        <w:t>By hosting domains in Azure</w:t>
      </w:r>
      <w:r>
        <w:rPr>
          <w:lang w:val="en"/>
        </w:rPr>
        <w:t xml:space="preserve"> DNS</w:t>
      </w:r>
      <w:r w:rsidRPr="009032E5">
        <w:rPr>
          <w:lang w:val="en"/>
        </w:rPr>
        <w:t xml:space="preserve">, </w:t>
      </w:r>
      <w:r>
        <w:rPr>
          <w:lang w:val="en"/>
        </w:rPr>
        <w:t xml:space="preserve">tenant DNS records </w:t>
      </w:r>
      <w:r w:rsidRPr="009032E5">
        <w:rPr>
          <w:lang w:val="en"/>
        </w:rPr>
        <w:t xml:space="preserve">can </w:t>
      </w:r>
      <w:r>
        <w:rPr>
          <w:lang w:val="en"/>
        </w:rPr>
        <w:t xml:space="preserve">be </w:t>
      </w:r>
      <w:r w:rsidRPr="009032E5">
        <w:rPr>
          <w:lang w:val="en"/>
        </w:rPr>
        <w:t>manage</w:t>
      </w:r>
      <w:r>
        <w:rPr>
          <w:lang w:val="en"/>
        </w:rPr>
        <w:t>d</w:t>
      </w:r>
      <w:r w:rsidRPr="009032E5">
        <w:rPr>
          <w:lang w:val="en"/>
        </w:rPr>
        <w:t xml:space="preserve"> </w:t>
      </w:r>
      <w:r>
        <w:rPr>
          <w:lang w:val="en"/>
        </w:rPr>
        <w:t>by</w:t>
      </w:r>
      <w:r w:rsidRPr="009032E5">
        <w:rPr>
          <w:lang w:val="en"/>
        </w:rPr>
        <w:t xml:space="preserve"> using the same credentials, APIs, tools</w:t>
      </w:r>
      <w:r>
        <w:rPr>
          <w:lang w:val="en"/>
        </w:rPr>
        <w:t>,</w:t>
      </w:r>
      <w:r w:rsidRPr="009032E5">
        <w:rPr>
          <w:lang w:val="en"/>
        </w:rPr>
        <w:t xml:space="preserve"> and billing as other Azure services.</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5B6FC6" w:rsidRPr="001B77E6" w14:paraId="4E9E75D9" w14:textId="77777777" w:rsidTr="00AE4350">
        <w:trPr>
          <w:trHeight w:val="423"/>
        </w:trPr>
        <w:tc>
          <w:tcPr>
            <w:tcW w:w="666" w:type="dxa"/>
          </w:tcPr>
          <w:p w14:paraId="7627F511" w14:textId="77777777" w:rsidR="005B6FC6" w:rsidRPr="001B77E6" w:rsidRDefault="005B6FC6" w:rsidP="00AE4350">
            <w:pPr>
              <w:rPr>
                <w:rFonts w:cstheme="minorBidi"/>
                <w:b/>
                <w:bCs/>
                <w:lang w:eastAsia="en-US"/>
              </w:rPr>
            </w:pPr>
            <w:r w:rsidRPr="001B77E6">
              <w:rPr>
                <w:noProof/>
              </w:rPr>
              <mc:AlternateContent>
                <mc:Choice Requires="wps">
                  <w:drawing>
                    <wp:inline distT="0" distB="0" distL="0" distR="0" wp14:anchorId="219AD1D4" wp14:editId="4B7081E4">
                      <wp:extent cx="200025" cy="180975"/>
                      <wp:effectExtent l="57150" t="19050" r="28575" b="104775"/>
                      <wp:docPr id="874593627" name="Octagon 874593627"/>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F15E20E" id="Octagon 874593627"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OOXeAIAAFoFAAAOAAAAZHJzL2Uyb0RvYy54bWysVN1r2zAQfx/sfxB6Xx27SdOGOCWkZAxK&#10;W9qOPiuylBgknSYpcbK/fifZcUJXKIy9yHe+7999TG/3WpGdcL4GU9L8YkCJMByq2qxL+vN1+e2a&#10;Eh+YqZgCI0p6EJ7ezr5+mTZ2IgrYgKqEI+jE+EljS7oJwU6yzPON0MxfgBUGhRKcZgFZt84qxxr0&#10;rlVWDAZXWQOusg648B7/3rVCOkv+pRQ8PErpRSCqpJhbSK9L7yq+2WzKJmvH7KbmXRrsH7LQrDYY&#10;tHd1xwIjW1f/5UrX3IEHGS446AykrLlINWA1+eBdNS8bZkWqBcHxtofJ/z+3/GH35EhdlfR6PBzd&#10;XF4VY0oM09iqRx7YGgw5CRCsxvoJ2rzYJ9dxHslY+V46Hb9YE9kngA89wGIfCMef2LFBMaKEoyi/&#10;HtyMR7EB2cnYOh++C9AkEiWFNoWELNvd+9BqH7ViOA+qrpa1Uolx69VCObJj2O7FAqOlDmOAM7Us&#10;1tBmnahwUCIaK/MsJEKBeeYpYhpC0ftjnAsTii7jpB3NJMbuDS8/N+z0o6lIA9obF58b9xYpMpjQ&#10;G+vagPvIgQp5l7Js9RHws7ojuYLqgFPgoF0Pb/myRvzvmQ9PzOE+4ObgjodHfKSCBhvTUZRswP3+&#10;6H/UxzFFKSUN7ldJ/a8tc4IS9cPgAN/kw2FcyMQMR+MCGXcuWZ1LzFYvAHua4zWxPJFRP6gjKR3o&#10;NzwF8xgVRcxwjF1SHtyRWYR27/GYcDGfJzVcQsvCvXmx/Nj1OFyv+zfmbDeEAaf3AY67yCbvBrHV&#10;jf0wMN8GkHWa0hOuHd64wGnUu2MTL8Q5n7ROJ3H2Bw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EXU45d4AgAAWg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75F18C40" w14:textId="77777777" w:rsidR="005B6FC6" w:rsidRPr="001B77E6" w:rsidRDefault="005B6FC6" w:rsidP="00AE4350">
            <w:pPr>
              <w:rPr>
                <w:rFonts w:cstheme="minorBidi"/>
                <w:lang w:eastAsia="en-US"/>
              </w:rPr>
            </w:pPr>
            <w:r w:rsidRPr="001B77E6">
              <w:rPr>
                <w:rFonts w:cstheme="minorBidi"/>
                <w:b/>
                <w:lang w:eastAsia="en-US"/>
              </w:rPr>
              <w:t>Mandatory</w:t>
            </w:r>
            <w:r w:rsidRPr="001B77E6">
              <w:rPr>
                <w:rFonts w:cstheme="minorBidi"/>
                <w:lang w:eastAsia="en-US"/>
              </w:rPr>
              <w:t>:</w:t>
            </w:r>
            <w:r>
              <w:rPr>
                <w:rFonts w:cstheme="minorBidi"/>
                <w:lang w:eastAsia="en-US"/>
              </w:rPr>
              <w:t xml:space="preserve"> Automation scripts must be created to automate the creation and update of Azure DNS domains and records</w:t>
            </w:r>
            <w:r w:rsidRPr="001B77E6">
              <w:rPr>
                <w:rFonts w:cstheme="minorBidi"/>
                <w:lang w:val="en" w:eastAsia="en-US"/>
              </w:rPr>
              <w:t>.</w:t>
            </w:r>
          </w:p>
        </w:tc>
      </w:tr>
    </w:tbl>
    <w:p w14:paraId="301BF6C0" w14:textId="77777777" w:rsidR="005B6FC6" w:rsidRPr="00907EDE" w:rsidRDefault="005B6FC6" w:rsidP="005B6FC6">
      <w:r w:rsidRPr="009032E5">
        <w:t xml:space="preserve">Azure DNS </w:t>
      </w:r>
      <w:r>
        <w:t xml:space="preserve">domains </w:t>
      </w:r>
      <w:r w:rsidRPr="009032E5">
        <w:t xml:space="preserve">are hosted on </w:t>
      </w:r>
      <w:r>
        <w:t xml:space="preserve">the </w:t>
      </w:r>
      <w:r w:rsidRPr="009032E5">
        <w:t xml:space="preserve">Azure global network of DNS name servers. </w:t>
      </w:r>
      <w:r>
        <w:t>Azure</w:t>
      </w:r>
      <w:r w:rsidRPr="009032E5">
        <w:t xml:space="preserve"> use</w:t>
      </w:r>
      <w:r>
        <w:t>s</w:t>
      </w:r>
      <w:r w:rsidRPr="009032E5">
        <w:t xml:space="preserve"> Anycast networking, so that each DNS query is answered by the closest available DNS </w:t>
      </w:r>
      <w:r>
        <w:t>S</w:t>
      </w:r>
      <w:r w:rsidRPr="009032E5">
        <w:t>erver. This provides fast performance and high availability for your domain.</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5B6FC6" w:rsidRPr="003F2D7B" w14:paraId="700B7869" w14:textId="77777777" w:rsidTr="00AE4350">
        <w:trPr>
          <w:trHeight w:val="423"/>
        </w:trPr>
        <w:tc>
          <w:tcPr>
            <w:tcW w:w="666" w:type="dxa"/>
          </w:tcPr>
          <w:p w14:paraId="3BD5F353" w14:textId="77777777" w:rsidR="005B6FC6" w:rsidRPr="003F2D7B" w:rsidRDefault="005B6FC6" w:rsidP="00AE4350">
            <w:pPr>
              <w:rPr>
                <w:rFonts w:cstheme="minorBidi"/>
                <w:b/>
                <w:bCs/>
                <w:lang w:eastAsia="en-US"/>
              </w:rPr>
            </w:pPr>
            <w:r w:rsidRPr="003F2D7B">
              <w:rPr>
                <w:noProof/>
              </w:rPr>
              <mc:AlternateContent>
                <mc:Choice Requires="wps">
                  <w:drawing>
                    <wp:inline distT="0" distB="0" distL="0" distR="0" wp14:anchorId="3633D36F" wp14:editId="7D43075D">
                      <wp:extent cx="200025" cy="180975"/>
                      <wp:effectExtent l="57150" t="19050" r="28575" b="104775"/>
                      <wp:docPr id="12" name="Octagon 12"/>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4A1F6AD" id="Octagon 12"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W6QcwIAAEwFAAAOAAAAZHJzL2Uyb0RvYy54bWysVFFrGzEMfh/sPxi/r5fL2rUNvZSQ0jEo&#10;bWg7+uz47MTgszzZySX79ZN9l2voCoWxlzvJ+iRZnyRfXe8ay7YKgwFX8fJkxJlyEmrjVhX/+Xz7&#10;5YKzEIWrhQWnKr5XgV9PP3+6av1EjWENtlbIKIgLk9ZXfB2jnxRFkGvViHACXjkyasBGRFJxVdQo&#10;Wore2GI8Gn0rWsDaI0gVAp3edEY+zfG1VjI+aB1UZLbidLeYv5i/y/QtpldiskLh10b21xD/cItG&#10;GEdJh1A3Igq2QfNXqMZIhAA6nkhoCtDaSJVroGrK0ZtqntbCq1wLkRP8QFP4f2Hl/XaBzNTUuzFn&#10;TjTUowcZxQocoxOip/VhQqgnv8BeCySmWncam/SnKtguU7ofKFW7yCQdUo9G4zPOJJnKi9Hl+VmK&#10;Wbw6ewzxu4KGJaHi0OXOXIrtXYgd+oBK6QJYU98aa7OCq+XcItsKavB8TtlyTynBEaxINXS3zlLc&#10;W5WcrXtUmoqne5Y5Yx47NcQTUioXMwsUMKOTm6bcg+PXjx17fHJVeSQH5/HHzoNHzgwuDs6NcYDv&#10;BbCx7EnWHZ4IP6o7iUuo99R3hG4hgpe3hvi/EyEuBNIG0K7QVscH+mgLLTWmlzhbA/5+7zzhaTDJ&#10;yllLG1Xx8GsjUHFmfzga2cvy9DStYFZOz87HpOCxZXlscZtmDtTTkt4PL7OY8NEeRI3QvNDyz1JW&#10;MgknKXfFZcSDMo/dptPzIdVslmG0dl7EO/fk5aHrabiedy8CfT+Ekab3Hg7bJyZvBrHDpn44mG0i&#10;aJOn9JXXnm9a2Tzq/fOS3oRjPaNeH8HpHwA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Cr6W6QcwIAAEw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19E48D3F" w14:textId="77777777" w:rsidR="005B6FC6" w:rsidRPr="003F2D7B" w:rsidRDefault="005B6FC6" w:rsidP="00AE4350">
            <w:pPr>
              <w:rPr>
                <w:rFonts w:cstheme="minorBidi"/>
                <w:lang w:eastAsia="en-US"/>
              </w:rPr>
            </w:pPr>
            <w:r w:rsidRPr="003F2D7B">
              <w:rPr>
                <w:rFonts w:cstheme="minorBidi"/>
                <w:b/>
                <w:lang w:eastAsia="en-US"/>
              </w:rPr>
              <w:t>Mandatory</w:t>
            </w:r>
            <w:r w:rsidRPr="003F2D7B">
              <w:rPr>
                <w:rFonts w:cstheme="minorBidi"/>
                <w:lang w:eastAsia="en-US"/>
              </w:rPr>
              <w:t>:</w:t>
            </w:r>
            <w:r>
              <w:rPr>
                <w:rFonts w:cstheme="minorBidi"/>
                <w:lang w:eastAsia="en-US"/>
              </w:rPr>
              <w:t xml:space="preserve"> </w:t>
            </w:r>
            <w:r w:rsidRPr="003F2D7B">
              <w:rPr>
                <w:rFonts w:cstheme="minorBidi"/>
                <w:lang w:eastAsia="en-US"/>
              </w:rPr>
              <w:t xml:space="preserve">Azure DNS does not currently support purchasing domain names. </w:t>
            </w:r>
            <w:r>
              <w:rPr>
                <w:rFonts w:cstheme="minorBidi"/>
                <w:lang w:eastAsia="en-US"/>
              </w:rPr>
              <w:t>Tenants purchase domains from</w:t>
            </w:r>
            <w:r w:rsidRPr="003F2D7B">
              <w:rPr>
                <w:rFonts w:cstheme="minorBidi"/>
                <w:lang w:eastAsia="en-US"/>
              </w:rPr>
              <w:t xml:space="preserve"> a third-party domain name registrar, who typically charge</w:t>
            </w:r>
            <w:r>
              <w:rPr>
                <w:rFonts w:cstheme="minorBidi"/>
                <w:lang w:eastAsia="en-US"/>
              </w:rPr>
              <w:t>s</w:t>
            </w:r>
            <w:r w:rsidRPr="003F2D7B">
              <w:rPr>
                <w:rFonts w:cstheme="minorBidi"/>
                <w:lang w:eastAsia="en-US"/>
              </w:rPr>
              <w:t xml:space="preserve"> a</w:t>
            </w:r>
            <w:r>
              <w:rPr>
                <w:rFonts w:cstheme="minorBidi"/>
                <w:lang w:eastAsia="en-US"/>
              </w:rPr>
              <w:t>n</w:t>
            </w:r>
            <w:r w:rsidRPr="003F2D7B">
              <w:rPr>
                <w:rFonts w:cstheme="minorBidi"/>
                <w:lang w:eastAsia="en-US"/>
              </w:rPr>
              <w:t xml:space="preserve"> annual fee.</w:t>
            </w:r>
            <w:r>
              <w:rPr>
                <w:rFonts w:cstheme="minorBidi"/>
                <w:lang w:eastAsia="en-US"/>
              </w:rPr>
              <w:t xml:space="preserve"> </w:t>
            </w:r>
            <w:r>
              <w:rPr>
                <w:lang w:val="en"/>
              </w:rPr>
              <w:t xml:space="preserve">These purchased domains can then be hosted in Azure DNS to manage DNS records. For more information, see </w:t>
            </w:r>
            <w:hyperlink r:id="rId428" w:history="1">
              <w:r>
                <w:rPr>
                  <w:rStyle w:val="Hyperlink"/>
                  <w:lang w:val="en"/>
                </w:rPr>
                <w:t>Delegate a Domain to Azure DNS</w:t>
              </w:r>
            </w:hyperlink>
            <w:r>
              <w:rPr>
                <w:lang w:val="en"/>
              </w:rPr>
              <w:t>.</w:t>
            </w:r>
          </w:p>
        </w:tc>
      </w:tr>
      <w:tr w:rsidR="005B6FC6" w:rsidRPr="003F2D7B" w14:paraId="5D9DAF7D" w14:textId="77777777" w:rsidTr="00AE4350">
        <w:trPr>
          <w:trHeight w:val="423"/>
        </w:trPr>
        <w:tc>
          <w:tcPr>
            <w:tcW w:w="666" w:type="dxa"/>
          </w:tcPr>
          <w:p w14:paraId="03173BC6" w14:textId="77777777" w:rsidR="005B6FC6" w:rsidRPr="003F2D7B" w:rsidRDefault="005B6FC6" w:rsidP="00AE4350">
            <w:r w:rsidRPr="003F2D7B">
              <w:rPr>
                <w:noProof/>
              </w:rPr>
              <mc:AlternateContent>
                <mc:Choice Requires="wps">
                  <w:drawing>
                    <wp:inline distT="0" distB="0" distL="0" distR="0" wp14:anchorId="0F7E63EA" wp14:editId="7ECBB57C">
                      <wp:extent cx="200025" cy="180975"/>
                      <wp:effectExtent l="57150" t="19050" r="28575" b="104775"/>
                      <wp:docPr id="27" name="Octagon 27"/>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7519DEA" id="Octagon 27"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gBzcQIAAEwFAAAOAAAAZHJzL2Uyb0RvYy54bWysVF9r2zAQfx/sOwi9r469dm1DnRJSOgZl&#10;LWtHnxVZSgSyTjspcbJPv5PsuKErFMZepDvd7/7f6ep611q2VRgMuJqXJxPOlJPQGLeq+c+n208X&#10;nIUoXCMsOFXzvQr8evbxw1Xnp6qCNdhGISMjLkw7X/N1jH5aFEGuVSvCCXjlSKgBWxGJxVXRoOjI&#10;emuLajL5UnSAjUeQKgR6vemFfJbta61kvNc6qMhszSm2mE/M5zKdxexKTFco/NrIIQzxD1G0wjhy&#10;Opq6EVGwDZq/TLVGIgTQ8URCW4DWRqqcA2VTTl5l87gWXuVcqDjBj2UK/8+s/L59QGaamlfnnDnR&#10;Uo/uZRQrcIxeqDydD1NCPfoHHLhAZMp1p7FNN2XBdrmk+7GkaheZpEfq0aQ640ySqLyYXJ6fJZvF&#10;i7LHEL8qaFkiag6971xLsb0LsUcfUMldAGuaW2NtZnC1XFhkW0ENXizIW+4pOTiCFSmHPupMxb1V&#10;Sdm6H0pT8hRnmT3msVOjPSGlcrEaIs7opKbJ96j4+X3FAZ9UVR7JUbl6X3nUyJ7BxVG5NQ7wLQM2&#10;lkPIusdTwY/yTuQSmj31HaFfiODlraH634kQHwTSBtCu0FbHezq0hY4aM1CcrQF/v/We8DSYJOWs&#10;o42qefi1Eag4s98cjexleXqaVjAzp2fnFTF4LFkeS9ymXQD1tKT/w8tMJny0B1IjtM+0/PPklUTC&#10;SfJdcxnxwCxiv+n0fUg1n2cYrZ0X8c49ennoehqup92zQD8MYaTp/Q6H7RPTV4PYY1M/HMw3EbTJ&#10;U/pS16HetLJ51IfvJf0Jx3xGvXyCsz8AAAD//wMAUEsDBBQABgAIAAAAIQCft0Tx2wAAAAMBAAAP&#10;AAAAZHJzL2Rvd25yZXYueG1sTI9BS8NAEIXvgv9hGcGb3aTSEtNsiggFD9JgtXjdZqdJaHY27G6b&#10;+O8dvdjLwOM93vumWE+2Fxf0oXOkIJ0lIJBqZzpqFHx+bB4yECFqMrp3hAq+McC6vL0pdG7cSO94&#10;2cVGcAmFXCtoYxxyKUPdotVh5gYk9o7OWx1Z+kYar0cut72cJ8lSWt0RL7R6wJcW69PubBVUp7F6&#10;zarq6ctvlts3b/ep3+6Vur+bnlcgIk7xPwy/+IwOJTMd3JlMEL0CfiT+XfYe0wWIg4J5tgBZFvKa&#10;vfwBAAD//wMAUEsBAi0AFAAGAAgAAAAhALaDOJL+AAAA4QEAABMAAAAAAAAAAAAAAAAAAAAAAFtD&#10;b250ZW50X1R5cGVzXS54bWxQSwECLQAUAAYACAAAACEAOP0h/9YAAACUAQAACwAAAAAAAAAAAAAA&#10;AAAvAQAAX3JlbHMvLnJlbHNQSwECLQAUAAYACAAAACEAh0oAc3ECAABMBQAADgAAAAAAAAAAAAAA&#10;AAAuAgAAZHJzL2Uyb0RvYy54bWxQSwECLQAUAAYACAAAACEAn7dE8dsAAAADAQAADwAAAAAAAAAA&#10;AAAAAADLBAAAZHJzL2Rvd25yZXYueG1sUEsFBgAAAAAEAAQA8wAAANMFAAAAAA==&#10;" fillcolor="#c00" strokecolor="#ed7d31 [3205]" strokeweight=".5pt">
                      <w10:anchorlock/>
                    </v:shape>
                  </w:pict>
                </mc:Fallback>
              </mc:AlternateContent>
            </w:r>
          </w:p>
        </w:tc>
        <w:tc>
          <w:tcPr>
            <w:tcW w:w="8604" w:type="dxa"/>
          </w:tcPr>
          <w:p w14:paraId="2D5CD680" w14:textId="77777777" w:rsidR="005B6FC6" w:rsidRPr="00907EDE" w:rsidRDefault="005B6FC6" w:rsidP="00AE4350">
            <w:r>
              <w:rPr>
                <w:b/>
              </w:rPr>
              <w:t>Mandatory:</w:t>
            </w:r>
            <w:r>
              <w:t xml:space="preserve"> Azure DNS does not currently support C names at the root (apex) of the domain.</w:t>
            </w:r>
          </w:p>
        </w:tc>
      </w:tr>
    </w:tbl>
    <w:p w14:paraId="356FBFB2" w14:textId="056227BB" w:rsidR="003F2D7B" w:rsidRDefault="005B6FC6" w:rsidP="005B6FC6">
      <w:r>
        <w:t>To create the domains and domain records within Azure DNS, you can use Azure PowerShell, Azure CLI, REST APIs, or the SDK</w:t>
      </w:r>
      <w:r w:rsidR="00C763A4">
        <w:t>.</w:t>
      </w:r>
      <w:r w:rsidR="003F2D7B">
        <w:t xml:space="preserve"> </w:t>
      </w:r>
    </w:p>
    <w:p w14:paraId="75516AC5" w14:textId="3A3B800E" w:rsidR="003F2D7B" w:rsidRPr="00907EDE" w:rsidRDefault="003F2D7B" w:rsidP="005729D2">
      <w:pPr>
        <w:pStyle w:val="Heading4Numbered"/>
        <w:numPr>
          <w:ilvl w:val="3"/>
          <w:numId w:val="64"/>
        </w:numPr>
        <w:rPr>
          <w:b/>
          <w:color w:val="auto"/>
        </w:rPr>
      </w:pPr>
      <w:r w:rsidRPr="00BE77A2">
        <w:t>Eta</w:t>
      </w:r>
      <w:r w:rsidR="00C22AE9" w:rsidRPr="00907EDE">
        <w:t>gs</w:t>
      </w:r>
      <w:r w:rsidR="00BE77A2" w:rsidRPr="00BE77A2">
        <w:t xml:space="preserve"> and </w:t>
      </w:r>
      <w:r w:rsidRPr="00BE77A2">
        <w:t>Tags</w:t>
      </w:r>
    </w:p>
    <w:p w14:paraId="5421483F" w14:textId="37EFEF30" w:rsidR="005B6FC6" w:rsidRDefault="005B6FC6" w:rsidP="005B6FC6">
      <w:r>
        <w:t xml:space="preserve">ETags are used to manage concurrency in a highly distributed DNS infrastructure where changes could be implemented at any location that has access to Azure. </w:t>
      </w:r>
      <w:r w:rsidRPr="00907EDE">
        <w:t>Azure DNS uses E</w:t>
      </w:r>
      <w:r>
        <w:t>T</w:t>
      </w:r>
      <w:r w:rsidRPr="00907EDE">
        <w:t xml:space="preserve">ags to handle concurrent changes to the same resource safely. </w:t>
      </w:r>
    </w:p>
    <w:p w14:paraId="1BDD8DDA" w14:textId="77777777" w:rsidR="005B6FC6" w:rsidRDefault="005B6FC6" w:rsidP="005B6FC6">
      <w:r w:rsidRPr="00907EDE">
        <w:t>Each DNS resource (zone or record set) has an E</w:t>
      </w:r>
      <w:r>
        <w:t>T</w:t>
      </w:r>
      <w:r w:rsidRPr="00907EDE">
        <w:t>ag associated with it. Whenever a resource is retrieved, its E</w:t>
      </w:r>
      <w:r>
        <w:t>T</w:t>
      </w:r>
      <w:r w:rsidRPr="00907EDE">
        <w:t>ag is also retrieved. When updating a resource, you have the option to pass back the E</w:t>
      </w:r>
      <w:r>
        <w:t>T</w:t>
      </w:r>
      <w:r w:rsidRPr="00907EDE">
        <w:t>ag so Azure DNS can verify that the E</w:t>
      </w:r>
      <w:r>
        <w:t>T</w:t>
      </w:r>
      <w:r w:rsidRPr="00907EDE">
        <w:t xml:space="preserve">ag on the server matches. </w:t>
      </w:r>
    </w:p>
    <w:p w14:paraId="1D97AC6E" w14:textId="77777777" w:rsidR="005B6FC6" w:rsidRPr="00907EDE" w:rsidRDefault="005B6FC6" w:rsidP="005B6FC6">
      <w:r>
        <w:t>Because</w:t>
      </w:r>
      <w:r w:rsidRPr="00907EDE">
        <w:t xml:space="preserve"> each update to a resource results in the E</w:t>
      </w:r>
      <w:r>
        <w:t>T</w:t>
      </w:r>
      <w:r w:rsidRPr="00907EDE">
        <w:t>ag being regenerated, an E</w:t>
      </w:r>
      <w:r>
        <w:t>T</w:t>
      </w:r>
      <w:r w:rsidRPr="00907EDE">
        <w:t xml:space="preserve">ag mismatch indicates </w:t>
      </w:r>
      <w:r>
        <w:t xml:space="preserve">that </w:t>
      </w:r>
      <w:r w:rsidRPr="00907EDE">
        <w:t>a concurrent change has occurred. E</w:t>
      </w:r>
      <w:r>
        <w:t>T</w:t>
      </w:r>
      <w:r w:rsidRPr="00907EDE">
        <w:t>ags are also used when creating a new resource to ensure that the resource does not already exist.</w:t>
      </w:r>
    </w:p>
    <w:p w14:paraId="5EBEAF55" w14:textId="77777777" w:rsidR="005B6FC6" w:rsidRPr="00907EDE" w:rsidRDefault="005B6FC6" w:rsidP="005B6FC6">
      <w:r w:rsidRPr="00907EDE">
        <w:t>By default, Azure PowerShell uses E</w:t>
      </w:r>
      <w:r>
        <w:t>T</w:t>
      </w:r>
      <w:r w:rsidRPr="00907EDE">
        <w:t>ags to block concurrent changes to</w:t>
      </w:r>
      <w:r>
        <w:t xml:space="preserve"> DNS</w:t>
      </w:r>
      <w:r w:rsidRPr="00907EDE">
        <w:t xml:space="preserve"> zones and record sets. The optional </w:t>
      </w:r>
      <w:r w:rsidRPr="00FB36AB">
        <w:rPr>
          <w:b/>
        </w:rPr>
        <w:t xml:space="preserve">–Overwrite </w:t>
      </w:r>
      <w:r w:rsidRPr="00907EDE">
        <w:t>switch can be used to suppress E</w:t>
      </w:r>
      <w:r>
        <w:t>T</w:t>
      </w:r>
      <w:r w:rsidRPr="00907EDE">
        <w:t xml:space="preserve">ag checks, in which case any concurrent changes that have occurred </w:t>
      </w:r>
      <w:r>
        <w:t>are</w:t>
      </w:r>
      <w:r w:rsidRPr="00907EDE">
        <w:t xml:space="preserve"> overwritten.</w:t>
      </w:r>
    </w:p>
    <w:p w14:paraId="545932A2" w14:textId="77777777" w:rsidR="005B6FC6" w:rsidRDefault="005B6FC6" w:rsidP="005B6FC6">
      <w:r w:rsidRPr="00907EDE">
        <w:t>Tags are different from E</w:t>
      </w:r>
      <w:r>
        <w:t>T</w:t>
      </w:r>
      <w:r w:rsidRPr="00907EDE">
        <w:t>ags. Tags are name-value pairs</w:t>
      </w:r>
      <w:r>
        <w:t xml:space="preserve"> used </w:t>
      </w:r>
      <w:r w:rsidRPr="00907EDE">
        <w:t>by Azure Resource Manager to label resources for billing or grouping purposes. For more information about Tags</w:t>
      </w:r>
      <w:r>
        <w:t>,</w:t>
      </w:r>
      <w:r w:rsidRPr="00907EDE">
        <w:t xml:space="preserve"> see </w:t>
      </w:r>
      <w:hyperlink r:id="rId429" w:history="1">
        <w:r w:rsidRPr="00FB36AB">
          <w:rPr>
            <w:rStyle w:val="Hyperlink"/>
          </w:rPr>
          <w:t>Using tags to organize your Azure resources</w:t>
        </w:r>
      </w:hyperlink>
      <w:r w:rsidRPr="00907EDE">
        <w:t xml:space="preserve">. </w:t>
      </w:r>
    </w:p>
    <w:p w14:paraId="70F1B4E4" w14:textId="7CF85A1F" w:rsidR="00160A70" w:rsidRPr="00EB318E" w:rsidRDefault="005B6FC6" w:rsidP="005B6FC6">
      <w:r w:rsidRPr="00907EDE">
        <w:t xml:space="preserve">Azure PowerShell supports Tags </w:t>
      </w:r>
      <w:r>
        <w:t>for</w:t>
      </w:r>
      <w:r w:rsidRPr="00907EDE">
        <w:t xml:space="preserve"> zones and record sets</w:t>
      </w:r>
      <w:r>
        <w:t>. Tags are</w:t>
      </w:r>
      <w:r w:rsidRPr="00907EDE">
        <w:t xml:space="preserve"> specified using the </w:t>
      </w:r>
      <w:r w:rsidRPr="00FB36AB">
        <w:rPr>
          <w:b/>
        </w:rPr>
        <w:t>–Tag</w:t>
      </w:r>
      <w:r w:rsidRPr="00907EDE">
        <w:t xml:space="preserve"> parameter</w:t>
      </w:r>
      <w:r w:rsidR="00C22AE9" w:rsidRPr="00907EDE">
        <w:t>:</w:t>
      </w:r>
    </w:p>
    <w:p w14:paraId="6C2F1725" w14:textId="77777777" w:rsidR="006B29E9" w:rsidRDefault="006B29E9" w:rsidP="005729D2">
      <w:pPr>
        <w:pStyle w:val="Heading2Numbered"/>
        <w:numPr>
          <w:ilvl w:val="1"/>
          <w:numId w:val="64"/>
        </w:numPr>
      </w:pPr>
      <w:bookmarkStart w:id="5061" w:name="_Toc422941627"/>
      <w:bookmarkStart w:id="5062" w:name="_Toc423116833"/>
      <w:bookmarkStart w:id="5063" w:name="_Toc423117866"/>
      <w:bookmarkStart w:id="5064" w:name="_Toc423117316"/>
      <w:bookmarkStart w:id="5065" w:name="_Toc431288909"/>
      <w:r>
        <w:t>Load Balancing</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36EBBCE6" w14:textId="682226F4" w:rsidR="00C24BDD" w:rsidRDefault="00C24BDD" w:rsidP="00C24BDD">
      <w:r>
        <w:t xml:space="preserve">There are several mechanisms </w:t>
      </w:r>
      <w:r w:rsidR="005B6FC6">
        <w:t>that</w:t>
      </w:r>
      <w:r>
        <w:t xml:space="preserve"> provide load balancing capabilities within Azure.  The following table outlines these features and their potential use in Azure designs:</w:t>
      </w:r>
    </w:p>
    <w:tbl>
      <w:tblPr>
        <w:tblStyle w:val="PlainTable11"/>
        <w:tblW w:w="0" w:type="auto"/>
        <w:tblLook w:val="04A0" w:firstRow="1" w:lastRow="0" w:firstColumn="1" w:lastColumn="0" w:noHBand="0" w:noVBand="1"/>
      </w:tblPr>
      <w:tblGrid>
        <w:gridCol w:w="1309"/>
        <w:gridCol w:w="5343"/>
        <w:gridCol w:w="2698"/>
      </w:tblGrid>
      <w:tr w:rsidR="00E45C98" w:rsidRPr="00E45C98" w14:paraId="0D38E260" w14:textId="77777777" w:rsidTr="005B6F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9" w:type="dxa"/>
            <w:shd w:val="clear" w:color="auto" w:fill="808080" w:themeFill="background1" w:themeFillShade="80"/>
          </w:tcPr>
          <w:p w14:paraId="0CBA95E8" w14:textId="77777777" w:rsidR="00C24BDD" w:rsidRPr="00E45C98" w:rsidRDefault="00C24BDD" w:rsidP="005F7D22">
            <w:pPr>
              <w:rPr>
                <w:color w:val="FFFFFF" w:themeColor="background1"/>
              </w:rPr>
            </w:pPr>
            <w:r w:rsidRPr="00E45C98">
              <w:rPr>
                <w:color w:val="FFFFFF" w:themeColor="background1"/>
              </w:rPr>
              <w:t>Type</w:t>
            </w:r>
          </w:p>
        </w:tc>
        <w:tc>
          <w:tcPr>
            <w:tcW w:w="5343" w:type="dxa"/>
            <w:shd w:val="clear" w:color="auto" w:fill="808080" w:themeFill="background1" w:themeFillShade="80"/>
          </w:tcPr>
          <w:p w14:paraId="6D158A4B" w14:textId="77777777" w:rsidR="00C24BDD" w:rsidRPr="00E45C98" w:rsidRDefault="00C24BDD" w:rsidP="005F7D22">
            <w:pPr>
              <w:cnfStyle w:val="100000000000" w:firstRow="1" w:lastRow="0" w:firstColumn="0" w:lastColumn="0" w:oddVBand="0" w:evenVBand="0" w:oddHBand="0" w:evenHBand="0" w:firstRowFirstColumn="0" w:firstRowLastColumn="0" w:lastRowFirstColumn="0" w:lastRowLastColumn="0"/>
              <w:rPr>
                <w:color w:val="FFFFFF" w:themeColor="background1"/>
              </w:rPr>
            </w:pPr>
            <w:r w:rsidRPr="00E45C98">
              <w:rPr>
                <w:color w:val="FFFFFF" w:themeColor="background1"/>
              </w:rPr>
              <w:t>Description</w:t>
            </w:r>
          </w:p>
        </w:tc>
        <w:tc>
          <w:tcPr>
            <w:tcW w:w="2698" w:type="dxa"/>
            <w:shd w:val="clear" w:color="auto" w:fill="808080" w:themeFill="background1" w:themeFillShade="80"/>
          </w:tcPr>
          <w:p w14:paraId="6E67551B" w14:textId="77777777" w:rsidR="00C24BDD" w:rsidRPr="00E45C98" w:rsidRDefault="00C24BDD" w:rsidP="005F7D22">
            <w:pPr>
              <w:cnfStyle w:val="100000000000" w:firstRow="1" w:lastRow="0" w:firstColumn="0" w:lastColumn="0" w:oddVBand="0" w:evenVBand="0" w:oddHBand="0" w:evenHBand="0" w:firstRowFirstColumn="0" w:firstRowLastColumn="0" w:lastRowFirstColumn="0" w:lastRowLastColumn="0"/>
              <w:rPr>
                <w:color w:val="FFFFFF" w:themeColor="background1"/>
              </w:rPr>
            </w:pPr>
            <w:r w:rsidRPr="00E45C98">
              <w:rPr>
                <w:color w:val="FFFFFF" w:themeColor="background1"/>
              </w:rPr>
              <w:t>When to Use</w:t>
            </w:r>
          </w:p>
        </w:tc>
      </w:tr>
      <w:tr w:rsidR="005B6FC6" w:rsidRPr="00E45C98" w14:paraId="64E6A37F" w14:textId="77777777" w:rsidTr="00E45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10" w:type="dxa"/>
          </w:tcPr>
          <w:p w14:paraId="56E3807E" w14:textId="028915EA" w:rsidR="005B6FC6" w:rsidRPr="00E45C98" w:rsidRDefault="005B6FC6" w:rsidP="005B6FC6">
            <w:pPr>
              <w:rPr>
                <w:sz w:val="20"/>
              </w:rPr>
            </w:pPr>
            <w:r>
              <w:rPr>
                <w:sz w:val="20"/>
              </w:rPr>
              <w:t>External load balancer</w:t>
            </w:r>
          </w:p>
        </w:tc>
        <w:tc>
          <w:tcPr>
            <w:tcW w:w="5350" w:type="dxa"/>
          </w:tcPr>
          <w:p w14:paraId="6DFC4B81" w14:textId="77777777" w:rsidR="005B6FC6" w:rsidRDefault="005B6FC6" w:rsidP="005B6FC6">
            <w:pPr>
              <w:cnfStyle w:val="000000100000" w:firstRow="0" w:lastRow="0" w:firstColumn="0" w:lastColumn="0" w:oddVBand="0" w:evenVBand="0" w:oddHBand="1" w:evenHBand="0" w:firstRowFirstColumn="0" w:firstRowLastColumn="0" w:lastRowFirstColumn="0" w:lastRowLastColumn="0"/>
              <w:rPr>
                <w:sz w:val="20"/>
              </w:rPr>
            </w:pPr>
            <w:r>
              <w:rPr>
                <w:sz w:val="20"/>
              </w:rPr>
              <w:t xml:space="preserve">A software load balancer that is automatically created when a cloud service is created. It is Internet facing only. It has a single Internet-facing VIP by default, but additional Internet-facing VIPs can be added. </w:t>
            </w:r>
          </w:p>
          <w:p w14:paraId="70C54F3E" w14:textId="02E994F8" w:rsidR="005B6FC6" w:rsidRPr="00E45C98" w:rsidRDefault="005B6FC6" w:rsidP="005B6FC6">
            <w:pPr>
              <w:cnfStyle w:val="000000100000" w:firstRow="0" w:lastRow="0" w:firstColumn="0" w:lastColumn="0" w:oddVBand="0" w:evenVBand="0" w:oddHBand="1" w:evenHBand="0" w:firstRowFirstColumn="0" w:firstRowLastColumn="0" w:lastRowFirstColumn="0" w:lastRowLastColumn="0"/>
              <w:rPr>
                <w:sz w:val="20"/>
              </w:rPr>
            </w:pPr>
            <w:r>
              <w:rPr>
                <w:sz w:val="20"/>
              </w:rPr>
              <w:t>VIP addresses are dynamically assigned from the Azure public datacenter address pool by default, but they can be assigned a reserved static address.</w:t>
            </w:r>
          </w:p>
        </w:tc>
        <w:tc>
          <w:tcPr>
            <w:tcW w:w="2700" w:type="dxa"/>
          </w:tcPr>
          <w:p w14:paraId="0A8931C9" w14:textId="77777777" w:rsidR="005B6FC6" w:rsidRDefault="005B6FC6" w:rsidP="005B6FC6">
            <w:pPr>
              <w:cnfStyle w:val="000000100000" w:firstRow="0" w:lastRow="0" w:firstColumn="0" w:lastColumn="0" w:oddVBand="0" w:evenVBand="0" w:oddHBand="1" w:evenHBand="0" w:firstRowFirstColumn="0" w:firstRowLastColumn="0" w:lastRowFirstColumn="0" w:lastRowLastColumn="0"/>
              <w:rPr>
                <w:sz w:val="20"/>
              </w:rPr>
            </w:pPr>
            <w:r>
              <w:rPr>
                <w:sz w:val="20"/>
              </w:rPr>
              <w:t xml:space="preserve">Use external load balancers to provide Internet-facing load balancing capabilities for the UI tier of an application. </w:t>
            </w:r>
          </w:p>
          <w:p w14:paraId="5C7DE5D2" w14:textId="4C47AB42" w:rsidR="005B6FC6" w:rsidRPr="00E45C98" w:rsidRDefault="005B6FC6" w:rsidP="005B6FC6">
            <w:pPr>
              <w:cnfStyle w:val="000000100000" w:firstRow="0" w:lastRow="0" w:firstColumn="0" w:lastColumn="0" w:oddVBand="0" w:evenVBand="0" w:oddHBand="1" w:evenHBand="0" w:firstRowFirstColumn="0" w:firstRowLastColumn="0" w:lastRowFirstColumn="0" w:lastRowLastColumn="0"/>
              <w:rPr>
                <w:sz w:val="20"/>
              </w:rPr>
            </w:pPr>
            <w:r>
              <w:rPr>
                <w:sz w:val="20"/>
              </w:rPr>
              <w:t>The remaining tiers of the application should use internal load balancers if required.</w:t>
            </w:r>
          </w:p>
        </w:tc>
      </w:tr>
      <w:tr w:rsidR="005B6FC6" w:rsidRPr="00E45C98" w14:paraId="131EDD08" w14:textId="77777777" w:rsidTr="005B6FC6">
        <w:tc>
          <w:tcPr>
            <w:cnfStyle w:val="001000000000" w:firstRow="0" w:lastRow="0" w:firstColumn="1" w:lastColumn="0" w:oddVBand="0" w:evenVBand="0" w:oddHBand="0" w:evenHBand="0" w:firstRowFirstColumn="0" w:firstRowLastColumn="0" w:lastRowFirstColumn="0" w:lastRowLastColumn="0"/>
            <w:tcW w:w="1309" w:type="dxa"/>
          </w:tcPr>
          <w:p w14:paraId="5A513033" w14:textId="36C17B6C" w:rsidR="005B6FC6" w:rsidRPr="00E45C98" w:rsidRDefault="005B6FC6" w:rsidP="005B6FC6">
            <w:pPr>
              <w:rPr>
                <w:sz w:val="20"/>
              </w:rPr>
            </w:pPr>
            <w:r w:rsidRPr="00E45C98">
              <w:rPr>
                <w:sz w:val="20"/>
              </w:rPr>
              <w:t xml:space="preserve">Load </w:t>
            </w:r>
            <w:r>
              <w:rPr>
                <w:sz w:val="20"/>
              </w:rPr>
              <w:t>b</w:t>
            </w:r>
            <w:r w:rsidRPr="00E45C98">
              <w:rPr>
                <w:sz w:val="20"/>
              </w:rPr>
              <w:t xml:space="preserve">alanced </w:t>
            </w:r>
            <w:r>
              <w:rPr>
                <w:sz w:val="20"/>
              </w:rPr>
              <w:t>s</w:t>
            </w:r>
            <w:r w:rsidRPr="00E45C98">
              <w:rPr>
                <w:sz w:val="20"/>
              </w:rPr>
              <w:t>ets</w:t>
            </w:r>
          </w:p>
        </w:tc>
        <w:tc>
          <w:tcPr>
            <w:tcW w:w="5343" w:type="dxa"/>
          </w:tcPr>
          <w:p w14:paraId="77B2FE9F" w14:textId="6003730E" w:rsidR="005B6FC6" w:rsidRPr="00E45C98" w:rsidRDefault="005B6FC6" w:rsidP="005B6FC6">
            <w:pPr>
              <w:cnfStyle w:val="000000000000" w:firstRow="0" w:lastRow="0" w:firstColumn="0" w:lastColumn="0" w:oddVBand="0" w:evenVBand="0" w:oddHBand="0" w:evenHBand="0" w:firstRowFirstColumn="0" w:firstRowLastColumn="0" w:lastRowFirstColumn="0" w:lastRowLastColumn="0"/>
              <w:rPr>
                <w:sz w:val="20"/>
              </w:rPr>
            </w:pPr>
            <w:r w:rsidRPr="00E45C98">
              <w:rPr>
                <w:sz w:val="20"/>
              </w:rPr>
              <w:t xml:space="preserve">A way to combine multiple virtual machines or PaaS roles from a single cloud service into a group that is associated with a port of the load balancer. </w:t>
            </w:r>
          </w:p>
        </w:tc>
        <w:tc>
          <w:tcPr>
            <w:tcW w:w="2698" w:type="dxa"/>
          </w:tcPr>
          <w:p w14:paraId="28DF21C2" w14:textId="63B6444D" w:rsidR="005B6FC6" w:rsidRPr="00E45C98" w:rsidRDefault="005B6FC6" w:rsidP="005B6FC6">
            <w:pPr>
              <w:cnfStyle w:val="000000000000" w:firstRow="0" w:lastRow="0" w:firstColumn="0" w:lastColumn="0" w:oddVBand="0" w:evenVBand="0" w:oddHBand="0" w:evenHBand="0" w:firstRowFirstColumn="0" w:firstRowLastColumn="0" w:lastRowFirstColumn="0" w:lastRowLastColumn="0"/>
              <w:rPr>
                <w:sz w:val="20"/>
              </w:rPr>
            </w:pPr>
            <w:r w:rsidRPr="00E45C98">
              <w:rPr>
                <w:sz w:val="20"/>
              </w:rPr>
              <w:t xml:space="preserve">Use load balanced sets </w:t>
            </w:r>
            <w:r>
              <w:rPr>
                <w:sz w:val="20"/>
              </w:rPr>
              <w:t>w</w:t>
            </w:r>
            <w:r w:rsidRPr="00E45C98">
              <w:rPr>
                <w:sz w:val="20"/>
              </w:rPr>
              <w:t>hen you need to use a single VIP with multiple load balanced applications in a single cloud service.</w:t>
            </w:r>
          </w:p>
        </w:tc>
      </w:tr>
      <w:tr w:rsidR="005B6FC6" w:rsidRPr="00E45C98" w14:paraId="5806684F" w14:textId="77777777" w:rsidTr="005B6F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9" w:type="dxa"/>
          </w:tcPr>
          <w:p w14:paraId="22122F4F" w14:textId="2B95AF5E" w:rsidR="005B6FC6" w:rsidRPr="00E45C98" w:rsidRDefault="005B6FC6" w:rsidP="005B6FC6">
            <w:pPr>
              <w:rPr>
                <w:sz w:val="20"/>
              </w:rPr>
            </w:pPr>
            <w:r w:rsidRPr="00E45C98">
              <w:rPr>
                <w:sz w:val="20"/>
              </w:rPr>
              <w:t xml:space="preserve">Internal </w:t>
            </w:r>
            <w:r>
              <w:rPr>
                <w:sz w:val="20"/>
              </w:rPr>
              <w:t>l</w:t>
            </w:r>
            <w:r w:rsidRPr="00E45C98">
              <w:rPr>
                <w:sz w:val="20"/>
              </w:rPr>
              <w:t xml:space="preserve">oad </w:t>
            </w:r>
            <w:r>
              <w:rPr>
                <w:sz w:val="20"/>
              </w:rPr>
              <w:t>b</w:t>
            </w:r>
            <w:r w:rsidRPr="00E45C98">
              <w:rPr>
                <w:sz w:val="20"/>
              </w:rPr>
              <w:t>alancer</w:t>
            </w:r>
          </w:p>
        </w:tc>
        <w:tc>
          <w:tcPr>
            <w:tcW w:w="5343" w:type="dxa"/>
          </w:tcPr>
          <w:p w14:paraId="2EADB467" w14:textId="3F6E32BD" w:rsidR="005B6FC6" w:rsidRPr="00E45C98" w:rsidRDefault="005B6FC6" w:rsidP="005B6FC6">
            <w:pPr>
              <w:cnfStyle w:val="000000100000" w:firstRow="0" w:lastRow="0" w:firstColumn="0" w:lastColumn="0" w:oddVBand="0" w:evenVBand="0" w:oddHBand="1" w:evenHBand="0" w:firstRowFirstColumn="0" w:firstRowLastColumn="0" w:lastRowFirstColumn="0" w:lastRowLastColumn="0"/>
              <w:rPr>
                <w:sz w:val="20"/>
              </w:rPr>
            </w:pPr>
            <w:r w:rsidRPr="00E45C98">
              <w:rPr>
                <w:sz w:val="20"/>
              </w:rPr>
              <w:t>A software load balancer that is internal facing only. It has a single VIP that is allocated from the local subnet address pool</w:t>
            </w:r>
            <w:r>
              <w:rPr>
                <w:sz w:val="20"/>
              </w:rPr>
              <w:t>.</w:t>
            </w:r>
          </w:p>
        </w:tc>
        <w:tc>
          <w:tcPr>
            <w:tcW w:w="2698" w:type="dxa"/>
          </w:tcPr>
          <w:p w14:paraId="09E45702" w14:textId="77777777" w:rsidR="005B6FC6" w:rsidRDefault="005B6FC6" w:rsidP="005B6FC6">
            <w:pPr>
              <w:cnfStyle w:val="000000100000" w:firstRow="0" w:lastRow="0" w:firstColumn="0" w:lastColumn="0" w:oddVBand="0" w:evenVBand="0" w:oddHBand="1" w:evenHBand="0" w:firstRowFirstColumn="0" w:firstRowLastColumn="0" w:lastRowFirstColumn="0" w:lastRowLastColumn="0"/>
              <w:rPr>
                <w:sz w:val="20"/>
              </w:rPr>
            </w:pPr>
            <w:r w:rsidRPr="00E45C98">
              <w:rPr>
                <w:sz w:val="20"/>
              </w:rPr>
              <w:t xml:space="preserve">Use an </w:t>
            </w:r>
            <w:r w:rsidRPr="00923A8F">
              <w:rPr>
                <w:sz w:val="20"/>
                <w:szCs w:val="20"/>
              </w:rPr>
              <w:t>internal load balancer</w:t>
            </w:r>
            <w:r w:rsidRPr="00E45C98">
              <w:rPr>
                <w:sz w:val="20"/>
              </w:rPr>
              <w:t xml:space="preserve"> when you need load balancing capabilities for an application</w:t>
            </w:r>
            <w:r>
              <w:rPr>
                <w:sz w:val="20"/>
              </w:rPr>
              <w:t>.</w:t>
            </w:r>
            <w:r w:rsidRPr="00E45C98">
              <w:rPr>
                <w:sz w:val="20"/>
              </w:rPr>
              <w:t xml:space="preserve"> </w:t>
            </w:r>
          </w:p>
          <w:p w14:paraId="58EEB0ED" w14:textId="17EA8C5F" w:rsidR="005B6FC6" w:rsidRPr="00E45C98" w:rsidRDefault="005B6FC6" w:rsidP="005B6FC6">
            <w:pPr>
              <w:cnfStyle w:val="000000100000" w:firstRow="0" w:lastRow="0" w:firstColumn="0" w:lastColumn="0" w:oddVBand="0" w:evenVBand="0" w:oddHBand="1" w:evenHBand="0" w:firstRowFirstColumn="0" w:firstRowLastColumn="0" w:lastRowFirstColumn="0" w:lastRowLastColumn="0"/>
              <w:rPr>
                <w:sz w:val="20"/>
              </w:rPr>
            </w:pPr>
            <w:r>
              <w:rPr>
                <w:sz w:val="20"/>
              </w:rPr>
              <w:t xml:space="preserve">However, </w:t>
            </w:r>
            <w:r w:rsidRPr="00E45C98">
              <w:rPr>
                <w:sz w:val="20"/>
              </w:rPr>
              <w:t>that application should not be Internet</w:t>
            </w:r>
            <w:r>
              <w:rPr>
                <w:sz w:val="20"/>
              </w:rPr>
              <w:t>-</w:t>
            </w:r>
            <w:r w:rsidRPr="00E45C98">
              <w:rPr>
                <w:sz w:val="20"/>
              </w:rPr>
              <w:t>facing</w:t>
            </w:r>
            <w:r>
              <w:rPr>
                <w:sz w:val="20"/>
              </w:rPr>
              <w:t>—f</w:t>
            </w:r>
            <w:r w:rsidRPr="00E45C98">
              <w:rPr>
                <w:sz w:val="20"/>
              </w:rPr>
              <w:t>or example</w:t>
            </w:r>
            <w:r>
              <w:rPr>
                <w:sz w:val="20"/>
              </w:rPr>
              <w:t>,</w:t>
            </w:r>
            <w:r w:rsidRPr="00E45C98">
              <w:rPr>
                <w:sz w:val="20"/>
              </w:rPr>
              <w:t xml:space="preserve"> the second and third tiers of a three tier application.</w:t>
            </w:r>
          </w:p>
        </w:tc>
      </w:tr>
      <w:tr w:rsidR="005B6FC6" w:rsidRPr="00E45C98" w14:paraId="59FDA185" w14:textId="77777777" w:rsidTr="005B6FC6">
        <w:tc>
          <w:tcPr>
            <w:cnfStyle w:val="001000000000" w:firstRow="0" w:lastRow="0" w:firstColumn="1" w:lastColumn="0" w:oddVBand="0" w:evenVBand="0" w:oddHBand="0" w:evenHBand="0" w:firstRowFirstColumn="0" w:firstRowLastColumn="0" w:lastRowFirstColumn="0" w:lastRowLastColumn="0"/>
            <w:tcW w:w="1309" w:type="dxa"/>
          </w:tcPr>
          <w:p w14:paraId="08DC9457" w14:textId="58AD227F" w:rsidR="005B6FC6" w:rsidRPr="00E45C98" w:rsidRDefault="005B6FC6" w:rsidP="005B6FC6">
            <w:pPr>
              <w:rPr>
                <w:sz w:val="20"/>
              </w:rPr>
            </w:pPr>
            <w:r w:rsidRPr="00E45C98">
              <w:rPr>
                <w:sz w:val="20"/>
              </w:rPr>
              <w:t xml:space="preserve">Traffic </w:t>
            </w:r>
            <w:r>
              <w:rPr>
                <w:sz w:val="20"/>
              </w:rPr>
              <w:t>m</w:t>
            </w:r>
            <w:r w:rsidRPr="00E45C98">
              <w:rPr>
                <w:sz w:val="20"/>
              </w:rPr>
              <w:t>anager</w:t>
            </w:r>
          </w:p>
        </w:tc>
        <w:tc>
          <w:tcPr>
            <w:tcW w:w="5343" w:type="dxa"/>
          </w:tcPr>
          <w:p w14:paraId="113387D4" w14:textId="05AA742E" w:rsidR="005B6FC6" w:rsidRPr="00E45C98" w:rsidRDefault="005B6FC6" w:rsidP="005B6FC6">
            <w:pPr>
              <w:cnfStyle w:val="000000000000" w:firstRow="0" w:lastRow="0" w:firstColumn="0" w:lastColumn="0" w:oddVBand="0" w:evenVBand="0" w:oddHBand="0" w:evenHBand="0" w:firstRowFirstColumn="0" w:firstRowLastColumn="0" w:lastRowFirstColumn="0" w:lastRowLastColumn="0"/>
              <w:rPr>
                <w:sz w:val="20"/>
              </w:rPr>
            </w:pPr>
            <w:r w:rsidRPr="00E45C98">
              <w:rPr>
                <w:sz w:val="20"/>
              </w:rPr>
              <w:t>A public</w:t>
            </w:r>
            <w:r>
              <w:rPr>
                <w:sz w:val="20"/>
              </w:rPr>
              <w:t>-</w:t>
            </w:r>
            <w:r w:rsidRPr="00E45C98">
              <w:rPr>
                <w:sz w:val="20"/>
              </w:rPr>
              <w:t>facing load balancer that is designed to support cross datacenter balancing of loads and geolocation optimization so the user is sent to the closest datacenter.</w:t>
            </w:r>
          </w:p>
        </w:tc>
        <w:tc>
          <w:tcPr>
            <w:tcW w:w="2698" w:type="dxa"/>
          </w:tcPr>
          <w:p w14:paraId="00EE88AA" w14:textId="31FBBAF0" w:rsidR="005B6FC6" w:rsidRPr="00E45C98" w:rsidRDefault="005B6FC6" w:rsidP="005B6FC6">
            <w:pPr>
              <w:cnfStyle w:val="000000000000" w:firstRow="0" w:lastRow="0" w:firstColumn="0" w:lastColumn="0" w:oddVBand="0" w:evenVBand="0" w:oddHBand="0" w:evenHBand="0" w:firstRowFirstColumn="0" w:firstRowLastColumn="0" w:lastRowFirstColumn="0" w:lastRowLastColumn="0"/>
              <w:rPr>
                <w:sz w:val="20"/>
              </w:rPr>
            </w:pPr>
            <w:r w:rsidRPr="00E45C98">
              <w:rPr>
                <w:sz w:val="20"/>
              </w:rPr>
              <w:t>Typically used to load balance two cloud services in separate datacenters to provide geolocation optimization</w:t>
            </w:r>
            <w:r>
              <w:rPr>
                <w:sz w:val="20"/>
              </w:rPr>
              <w:t>.</w:t>
            </w:r>
          </w:p>
        </w:tc>
      </w:tr>
    </w:tbl>
    <w:p w14:paraId="169BCEDB" w14:textId="0CF19F66" w:rsidR="004D04E4" w:rsidRDefault="004D04E4" w:rsidP="00CF37FA"/>
    <w:tbl>
      <w:tblPr>
        <w:tblStyle w:val="PlainTable11"/>
        <w:tblW w:w="0" w:type="auto"/>
        <w:tblLook w:val="04A0" w:firstRow="1" w:lastRow="0" w:firstColumn="1" w:lastColumn="0" w:noHBand="0" w:noVBand="1"/>
      </w:tblPr>
      <w:tblGrid>
        <w:gridCol w:w="3413"/>
        <w:gridCol w:w="5937"/>
      </w:tblGrid>
      <w:tr w:rsidR="004D04E4" w14:paraId="44671D33" w14:textId="77777777" w:rsidTr="00E45C9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77D869FE" w14:textId="4A6E35F4" w:rsidR="004D04E4" w:rsidRPr="00F47607" w:rsidRDefault="004D04E4" w:rsidP="004D04E4">
            <w:pPr>
              <w:spacing w:line="240" w:lineRule="auto"/>
              <w:rPr>
                <w:color w:val="FFFFFF"/>
              </w:rPr>
            </w:pPr>
            <w:r>
              <w:rPr>
                <w:color w:val="FFFFFF"/>
              </w:rPr>
              <w:t>Feature References</w:t>
            </w:r>
          </w:p>
        </w:tc>
      </w:tr>
      <w:tr w:rsidR="004D04E4" w:rsidRPr="00E45C98" w14:paraId="5B377F2D" w14:textId="77777777" w:rsidTr="00E45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42D804F8" w14:textId="26D2A1E1" w:rsidR="004D04E4" w:rsidRPr="00E45C98" w:rsidRDefault="00C82E93" w:rsidP="004D04E4">
            <w:pPr>
              <w:spacing w:line="240" w:lineRule="auto"/>
              <w:rPr>
                <w:sz w:val="20"/>
                <w:szCs w:val="18"/>
              </w:rPr>
            </w:pPr>
            <w:r w:rsidRPr="00E45C98">
              <w:rPr>
                <w:sz w:val="20"/>
                <w:szCs w:val="18"/>
              </w:rPr>
              <w:t xml:space="preserve">Azure Load Balancer </w:t>
            </w:r>
          </w:p>
        </w:tc>
        <w:tc>
          <w:tcPr>
            <w:tcW w:w="5940" w:type="dxa"/>
          </w:tcPr>
          <w:p w14:paraId="744376F5" w14:textId="61E30F5B" w:rsidR="004D04E4" w:rsidRPr="00E45C98" w:rsidRDefault="00872E47" w:rsidP="004D04E4">
            <w:pPr>
              <w:cnfStyle w:val="000000100000" w:firstRow="0" w:lastRow="0" w:firstColumn="0" w:lastColumn="0" w:oddVBand="0" w:evenVBand="0" w:oddHBand="1" w:evenHBand="0" w:firstRowFirstColumn="0" w:firstRowLastColumn="0" w:lastRowFirstColumn="0" w:lastRowLastColumn="0"/>
              <w:rPr>
                <w:color w:val="0563C1" w:themeColor="hyperlink"/>
                <w:sz w:val="20"/>
                <w:u w:val="single"/>
              </w:rPr>
            </w:pPr>
            <w:hyperlink r:id="rId430" w:history="1">
              <w:r w:rsidR="00C83035">
                <w:rPr>
                  <w:rStyle w:val="Hyperlink"/>
                  <w:sz w:val="20"/>
                </w:rPr>
                <w:t>http://azure.microsoft.com/documentation/articles/load-balancer-overview</w:t>
              </w:r>
            </w:hyperlink>
            <w:r w:rsidR="00C82E93" w:rsidRPr="00E45C98">
              <w:rPr>
                <w:rStyle w:val="Hyperlink"/>
                <w:sz w:val="20"/>
              </w:rPr>
              <w:t xml:space="preserve"> </w:t>
            </w:r>
          </w:p>
        </w:tc>
      </w:tr>
      <w:tr w:rsidR="00320A3E" w:rsidRPr="00E45C98" w14:paraId="5D9FFC1F" w14:textId="77777777" w:rsidTr="00E45C98">
        <w:tc>
          <w:tcPr>
            <w:cnfStyle w:val="001000000000" w:firstRow="0" w:lastRow="0" w:firstColumn="1" w:lastColumn="0" w:oddVBand="0" w:evenVBand="0" w:oddHBand="0" w:evenHBand="0" w:firstRowFirstColumn="0" w:firstRowLastColumn="0" w:lastRowFirstColumn="0" w:lastRowLastColumn="0"/>
            <w:tcW w:w="3420" w:type="dxa"/>
          </w:tcPr>
          <w:p w14:paraId="02B9F403" w14:textId="40A4C35D" w:rsidR="00320A3E" w:rsidRPr="00E45C98" w:rsidRDefault="00320A3E" w:rsidP="00320A3E">
            <w:pPr>
              <w:spacing w:line="240" w:lineRule="auto"/>
              <w:rPr>
                <w:sz w:val="20"/>
                <w:szCs w:val="18"/>
              </w:rPr>
            </w:pPr>
            <w:r w:rsidRPr="00E45C98">
              <w:rPr>
                <w:sz w:val="20"/>
                <w:szCs w:val="18"/>
              </w:rPr>
              <w:t>Azure Traffic Manager Overview</w:t>
            </w:r>
          </w:p>
        </w:tc>
        <w:tc>
          <w:tcPr>
            <w:tcW w:w="5940" w:type="dxa"/>
          </w:tcPr>
          <w:p w14:paraId="32D2D772" w14:textId="1B6F1BC4" w:rsidR="00320A3E" w:rsidRPr="00E45C98" w:rsidRDefault="00290616" w:rsidP="00320A3E">
            <w:pPr>
              <w:cnfStyle w:val="000000000000" w:firstRow="0" w:lastRow="0" w:firstColumn="0" w:lastColumn="0" w:oddVBand="0" w:evenVBand="0" w:oddHBand="0" w:evenHBand="0" w:firstRowFirstColumn="0" w:firstRowLastColumn="0" w:lastRowFirstColumn="0" w:lastRowLastColumn="0"/>
              <w:rPr>
                <w:color w:val="0563C1" w:themeColor="hyperlink"/>
                <w:sz w:val="20"/>
                <w:u w:val="single"/>
              </w:rPr>
            </w:pPr>
            <w:r w:rsidRPr="00290616">
              <w:rPr>
                <w:rStyle w:val="Hyperlink"/>
                <w:sz w:val="20"/>
              </w:rPr>
              <w:t>https://azure.microsoft.com/en-us/documentation/articles/traffic-manager-overview/</w:t>
            </w:r>
          </w:p>
        </w:tc>
      </w:tr>
      <w:tr w:rsidR="00320A3E" w:rsidRPr="00E45C98" w14:paraId="66988428" w14:textId="77777777" w:rsidTr="00E45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0002684C" w14:textId="4E8B9CFF" w:rsidR="00320A3E" w:rsidRPr="00E45C98" w:rsidRDefault="00320A3E" w:rsidP="00320A3E">
            <w:pPr>
              <w:spacing w:line="240" w:lineRule="auto"/>
              <w:rPr>
                <w:sz w:val="20"/>
                <w:szCs w:val="18"/>
              </w:rPr>
            </w:pPr>
            <w:r w:rsidRPr="00E45C98">
              <w:rPr>
                <w:sz w:val="20"/>
                <w:szCs w:val="18"/>
              </w:rPr>
              <w:t>Azure Traffic Manager Load Balancing Methods</w:t>
            </w:r>
          </w:p>
        </w:tc>
        <w:tc>
          <w:tcPr>
            <w:tcW w:w="5940" w:type="dxa"/>
          </w:tcPr>
          <w:p w14:paraId="7767DD0F" w14:textId="6F88DDEF" w:rsidR="00320A3E" w:rsidRPr="00E45C98" w:rsidRDefault="00290616" w:rsidP="00320A3E">
            <w:pPr>
              <w:cnfStyle w:val="000000100000" w:firstRow="0" w:lastRow="0" w:firstColumn="0" w:lastColumn="0" w:oddVBand="0" w:evenVBand="0" w:oddHBand="1" w:evenHBand="0" w:firstRowFirstColumn="0" w:firstRowLastColumn="0" w:lastRowFirstColumn="0" w:lastRowLastColumn="0"/>
              <w:rPr>
                <w:color w:val="0563C1" w:themeColor="hyperlink"/>
                <w:sz w:val="20"/>
                <w:u w:val="single"/>
              </w:rPr>
            </w:pPr>
            <w:r w:rsidRPr="00290616">
              <w:rPr>
                <w:rStyle w:val="Hyperlink"/>
                <w:sz w:val="20"/>
              </w:rPr>
              <w:t>https://azure.microsoft.com/en-us/documentation/articles/traffic-manager-load-balancing-methods/</w:t>
            </w:r>
          </w:p>
        </w:tc>
      </w:tr>
      <w:tr w:rsidR="00320A3E" w:rsidRPr="00E45C98" w14:paraId="38697803" w14:textId="77777777" w:rsidTr="00E45C98">
        <w:tc>
          <w:tcPr>
            <w:cnfStyle w:val="001000000000" w:firstRow="0" w:lastRow="0" w:firstColumn="1" w:lastColumn="0" w:oddVBand="0" w:evenVBand="0" w:oddHBand="0" w:evenHBand="0" w:firstRowFirstColumn="0" w:firstRowLastColumn="0" w:lastRowFirstColumn="0" w:lastRowLastColumn="0"/>
            <w:tcW w:w="3420" w:type="dxa"/>
          </w:tcPr>
          <w:p w14:paraId="5A6DD848" w14:textId="346AB3C2" w:rsidR="00320A3E" w:rsidRPr="00E45C98" w:rsidRDefault="00320A3E" w:rsidP="00320A3E">
            <w:pPr>
              <w:spacing w:line="240" w:lineRule="auto"/>
              <w:rPr>
                <w:sz w:val="20"/>
                <w:szCs w:val="18"/>
              </w:rPr>
            </w:pPr>
            <w:r w:rsidRPr="00E45C98">
              <w:rPr>
                <w:sz w:val="20"/>
                <w:szCs w:val="18"/>
              </w:rPr>
              <w:t>About Traffic Manager Monitoring</w:t>
            </w:r>
            <w:r w:rsidRPr="00E45C98">
              <w:rPr>
                <w:sz w:val="20"/>
                <w:szCs w:val="18"/>
              </w:rPr>
              <w:tab/>
            </w:r>
          </w:p>
        </w:tc>
        <w:tc>
          <w:tcPr>
            <w:tcW w:w="5940" w:type="dxa"/>
          </w:tcPr>
          <w:p w14:paraId="430F2E21" w14:textId="1CC3B29B" w:rsidR="00320A3E" w:rsidRPr="00E45C98" w:rsidRDefault="00872E47" w:rsidP="00320A3E">
            <w:pPr>
              <w:cnfStyle w:val="000000000000" w:firstRow="0" w:lastRow="0" w:firstColumn="0" w:lastColumn="0" w:oddVBand="0" w:evenVBand="0" w:oddHBand="0" w:evenHBand="0" w:firstRowFirstColumn="0" w:firstRowLastColumn="0" w:lastRowFirstColumn="0" w:lastRowLastColumn="0"/>
              <w:rPr>
                <w:rStyle w:val="Hyperlink"/>
                <w:sz w:val="20"/>
              </w:rPr>
            </w:pPr>
            <w:hyperlink r:id="rId431" w:history="1">
              <w:r w:rsidR="00290616">
                <w:rPr>
                  <w:rStyle w:val="Hyperlink"/>
                  <w:sz w:val="20"/>
                </w:rPr>
                <w:t>https://azure.microsoft.com/en-us/documentation/articles/traffic-manager-monitoring/</w:t>
              </w:r>
            </w:hyperlink>
          </w:p>
        </w:tc>
      </w:tr>
      <w:tr w:rsidR="00320A3E" w:rsidRPr="00E45C98" w14:paraId="1F595A2E" w14:textId="77777777" w:rsidTr="00E45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412DE4A1" w14:textId="03878E49" w:rsidR="00320A3E" w:rsidRPr="00E45C98" w:rsidRDefault="00320A3E" w:rsidP="00320A3E">
            <w:pPr>
              <w:spacing w:line="240" w:lineRule="auto"/>
              <w:rPr>
                <w:sz w:val="20"/>
                <w:szCs w:val="18"/>
              </w:rPr>
            </w:pPr>
            <w:r w:rsidRPr="00E45C98">
              <w:rPr>
                <w:sz w:val="20"/>
                <w:szCs w:val="18"/>
              </w:rPr>
              <w:t xml:space="preserve">Internal Load Balancer </w:t>
            </w:r>
          </w:p>
        </w:tc>
        <w:tc>
          <w:tcPr>
            <w:tcW w:w="5940" w:type="dxa"/>
          </w:tcPr>
          <w:p w14:paraId="18A8D0A7" w14:textId="1C169004" w:rsidR="00320A3E" w:rsidRPr="00E45C98" w:rsidRDefault="00872E47" w:rsidP="00320A3E">
            <w:pPr>
              <w:cnfStyle w:val="000000100000" w:firstRow="0" w:lastRow="0" w:firstColumn="0" w:lastColumn="0" w:oddVBand="0" w:evenVBand="0" w:oddHBand="1" w:evenHBand="0" w:firstRowFirstColumn="0" w:firstRowLastColumn="0" w:lastRowFirstColumn="0" w:lastRowLastColumn="0"/>
              <w:rPr>
                <w:rStyle w:val="Hyperlink"/>
                <w:sz w:val="20"/>
              </w:rPr>
            </w:pPr>
            <w:hyperlink r:id="rId432" w:history="1">
              <w:r w:rsidR="00290616">
                <w:rPr>
                  <w:rStyle w:val="Hyperlink"/>
                  <w:sz w:val="20"/>
                </w:rPr>
                <w:t>http://azure.microsoft.com/documentation/articles/load-balancer-internal-overview</w:t>
              </w:r>
            </w:hyperlink>
            <w:r w:rsidR="00320A3E" w:rsidRPr="00E45C98">
              <w:rPr>
                <w:rStyle w:val="Hyperlink"/>
                <w:sz w:val="20"/>
              </w:rPr>
              <w:t xml:space="preserve"> </w:t>
            </w:r>
          </w:p>
        </w:tc>
      </w:tr>
      <w:tr w:rsidR="00320A3E" w:rsidRPr="00E45C98" w14:paraId="4F22A1B7" w14:textId="77777777" w:rsidTr="00E45C98">
        <w:tc>
          <w:tcPr>
            <w:cnfStyle w:val="001000000000" w:firstRow="0" w:lastRow="0" w:firstColumn="1" w:lastColumn="0" w:oddVBand="0" w:evenVBand="0" w:oddHBand="0" w:evenHBand="0" w:firstRowFirstColumn="0" w:firstRowLastColumn="0" w:lastRowFirstColumn="0" w:lastRowLastColumn="0"/>
            <w:tcW w:w="3420" w:type="dxa"/>
          </w:tcPr>
          <w:p w14:paraId="41E56370" w14:textId="3484FB3F" w:rsidR="00320A3E" w:rsidRPr="00E45C98" w:rsidRDefault="00320A3E" w:rsidP="00320A3E">
            <w:pPr>
              <w:tabs>
                <w:tab w:val="left" w:pos="2205"/>
              </w:tabs>
              <w:spacing w:line="240" w:lineRule="auto"/>
              <w:rPr>
                <w:sz w:val="20"/>
                <w:szCs w:val="18"/>
              </w:rPr>
            </w:pPr>
            <w:r w:rsidRPr="00E45C98">
              <w:rPr>
                <w:sz w:val="20"/>
                <w:szCs w:val="18"/>
              </w:rPr>
              <w:t>Configure Load Balanced Sets</w:t>
            </w:r>
          </w:p>
        </w:tc>
        <w:tc>
          <w:tcPr>
            <w:tcW w:w="5940" w:type="dxa"/>
          </w:tcPr>
          <w:p w14:paraId="18249987" w14:textId="5E146C41" w:rsidR="00320A3E" w:rsidRPr="00E45C98" w:rsidRDefault="00872E47" w:rsidP="00320A3E">
            <w:pPr>
              <w:cnfStyle w:val="000000000000" w:firstRow="0" w:lastRow="0" w:firstColumn="0" w:lastColumn="0" w:oddVBand="0" w:evenVBand="0" w:oddHBand="0" w:evenHBand="0" w:firstRowFirstColumn="0" w:firstRowLastColumn="0" w:lastRowFirstColumn="0" w:lastRowLastColumn="0"/>
              <w:rPr>
                <w:rStyle w:val="Hyperlink"/>
                <w:sz w:val="20"/>
              </w:rPr>
            </w:pPr>
            <w:hyperlink r:id="rId433" w:history="1">
              <w:r w:rsidR="00290616">
                <w:rPr>
                  <w:rStyle w:val="Hyperlink"/>
                  <w:sz w:val="20"/>
                </w:rPr>
                <w:t>http://azure.microsoft.com/documentation/articles/load-balancer-internal-overview</w:t>
              </w:r>
            </w:hyperlink>
            <w:r w:rsidR="00320A3E" w:rsidRPr="00E45C98">
              <w:rPr>
                <w:rStyle w:val="Hyperlink"/>
                <w:sz w:val="20"/>
              </w:rPr>
              <w:t xml:space="preserve"> </w:t>
            </w:r>
          </w:p>
        </w:tc>
      </w:tr>
      <w:tr w:rsidR="00320A3E" w:rsidRPr="00E45C98" w14:paraId="2F592C6D" w14:textId="77777777" w:rsidTr="00E45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2A6D0889" w14:textId="7068A111" w:rsidR="00320A3E" w:rsidRPr="00E45C98" w:rsidRDefault="00320A3E" w:rsidP="00320A3E">
            <w:pPr>
              <w:tabs>
                <w:tab w:val="left" w:pos="2205"/>
              </w:tabs>
              <w:spacing w:line="240" w:lineRule="auto"/>
              <w:rPr>
                <w:sz w:val="20"/>
                <w:szCs w:val="18"/>
              </w:rPr>
            </w:pPr>
            <w:r w:rsidRPr="00E45C98">
              <w:rPr>
                <w:sz w:val="20"/>
                <w:szCs w:val="18"/>
              </w:rPr>
              <w:t>Configure an internal Load Balanced Sets</w:t>
            </w:r>
          </w:p>
        </w:tc>
        <w:tc>
          <w:tcPr>
            <w:tcW w:w="5940" w:type="dxa"/>
          </w:tcPr>
          <w:p w14:paraId="33ED3D65" w14:textId="0F5B9552" w:rsidR="00320A3E" w:rsidRPr="00E45C98" w:rsidRDefault="00290616" w:rsidP="00320A3E">
            <w:pPr>
              <w:cnfStyle w:val="000000100000" w:firstRow="0" w:lastRow="0" w:firstColumn="0" w:lastColumn="0" w:oddVBand="0" w:evenVBand="0" w:oddHBand="1" w:evenHBand="0" w:firstRowFirstColumn="0" w:firstRowLastColumn="0" w:lastRowFirstColumn="0" w:lastRowLastColumn="0"/>
              <w:rPr>
                <w:rStyle w:val="Hyperlink"/>
                <w:sz w:val="20"/>
              </w:rPr>
            </w:pPr>
            <w:r w:rsidRPr="00290616">
              <w:rPr>
                <w:rStyle w:val="Hyperlink"/>
                <w:sz w:val="20"/>
              </w:rPr>
              <w:t>http://azure.microsoft.com/documentation/articles/load-balancer-internal-getstarted</w:t>
            </w:r>
          </w:p>
        </w:tc>
      </w:tr>
      <w:tr w:rsidR="00320A3E" w:rsidRPr="00E45C98" w14:paraId="66C209E9" w14:textId="77777777" w:rsidTr="00E45C98">
        <w:tc>
          <w:tcPr>
            <w:cnfStyle w:val="001000000000" w:firstRow="0" w:lastRow="0" w:firstColumn="1" w:lastColumn="0" w:oddVBand="0" w:evenVBand="0" w:oddHBand="0" w:evenHBand="0" w:firstRowFirstColumn="0" w:firstRowLastColumn="0" w:lastRowFirstColumn="0" w:lastRowLastColumn="0"/>
            <w:tcW w:w="3420" w:type="dxa"/>
          </w:tcPr>
          <w:p w14:paraId="0B0A182F" w14:textId="5A6E78D0" w:rsidR="00320A3E" w:rsidRPr="00E45C98" w:rsidRDefault="000725F1" w:rsidP="00320A3E">
            <w:pPr>
              <w:tabs>
                <w:tab w:val="left" w:pos="2205"/>
              </w:tabs>
              <w:spacing w:line="240" w:lineRule="auto"/>
              <w:rPr>
                <w:sz w:val="20"/>
                <w:szCs w:val="18"/>
              </w:rPr>
            </w:pPr>
            <w:r w:rsidRPr="00E45C98">
              <w:rPr>
                <w:sz w:val="20"/>
                <w:szCs w:val="18"/>
              </w:rPr>
              <w:t>Azure Internal Load Balancer SQL Always-On</w:t>
            </w:r>
          </w:p>
        </w:tc>
        <w:tc>
          <w:tcPr>
            <w:tcW w:w="5940" w:type="dxa"/>
          </w:tcPr>
          <w:p w14:paraId="1D4E7A99" w14:textId="2C0683BC" w:rsidR="00320A3E" w:rsidRPr="00E45C98" w:rsidRDefault="00290616" w:rsidP="00320A3E">
            <w:pPr>
              <w:cnfStyle w:val="000000000000" w:firstRow="0" w:lastRow="0" w:firstColumn="0" w:lastColumn="0" w:oddVBand="0" w:evenVBand="0" w:oddHBand="0" w:evenHBand="0" w:firstRowFirstColumn="0" w:firstRowLastColumn="0" w:lastRowFirstColumn="0" w:lastRowLastColumn="0"/>
              <w:rPr>
                <w:rStyle w:val="Hyperlink"/>
                <w:sz w:val="20"/>
              </w:rPr>
            </w:pPr>
            <w:r w:rsidRPr="00290616">
              <w:rPr>
                <w:rStyle w:val="Hyperlink"/>
                <w:sz w:val="20"/>
              </w:rPr>
              <w:t>https://azure.microsoft.com/en-us/documentation/articles/load-balancer-configure-sqlao/</w:t>
            </w:r>
          </w:p>
        </w:tc>
      </w:tr>
    </w:tbl>
    <w:p w14:paraId="2D2ABAE3" w14:textId="2ED20297" w:rsidR="007474FC" w:rsidDel="00C24BDD" w:rsidRDefault="007474FC">
      <w:pPr>
        <w:spacing w:before="0" w:after="160" w:line="259" w:lineRule="auto"/>
      </w:pPr>
      <w:bookmarkStart w:id="5066" w:name="_Toc417930010"/>
      <w:bookmarkStart w:id="5067" w:name="_Toc417931579"/>
      <w:bookmarkStart w:id="5068" w:name="_Toc417932622"/>
      <w:bookmarkStart w:id="5069" w:name="_Toc417933105"/>
      <w:bookmarkStart w:id="5070" w:name="_Toc417934869"/>
      <w:bookmarkStart w:id="5071" w:name="_Toc417935350"/>
      <w:bookmarkStart w:id="5072" w:name="_Toc417942574"/>
      <w:bookmarkStart w:id="5073" w:name="_Toc417943053"/>
      <w:bookmarkStart w:id="5074" w:name="_Toc417945397"/>
      <w:bookmarkStart w:id="5075" w:name="_Toc417946725"/>
      <w:bookmarkStart w:id="5076" w:name="_Toc417947387"/>
      <w:bookmarkStart w:id="5077" w:name="_Toc417948088"/>
      <w:bookmarkStart w:id="5078" w:name="_Toc417951137"/>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AD0FCA9" w14:textId="4B9B0D93" w:rsidR="00375A6C" w:rsidRDefault="00375A6C" w:rsidP="005729D2">
      <w:pPr>
        <w:pStyle w:val="Heading2Numbered"/>
        <w:numPr>
          <w:ilvl w:val="1"/>
          <w:numId w:val="64"/>
        </w:numPr>
      </w:pPr>
      <w:bookmarkStart w:id="5079" w:name="_Toc417930011"/>
      <w:bookmarkStart w:id="5080" w:name="_Toc417931580"/>
      <w:bookmarkStart w:id="5081" w:name="_Toc417932623"/>
      <w:bookmarkStart w:id="5082" w:name="_Toc417933106"/>
      <w:bookmarkStart w:id="5083" w:name="_Toc417934870"/>
      <w:bookmarkStart w:id="5084" w:name="_Toc417935351"/>
      <w:bookmarkStart w:id="5085" w:name="_Toc417942575"/>
      <w:bookmarkStart w:id="5086" w:name="_Toc417943054"/>
      <w:bookmarkStart w:id="5087" w:name="_Toc417945398"/>
      <w:bookmarkStart w:id="5088" w:name="_Toc417946726"/>
      <w:bookmarkStart w:id="5089" w:name="_Toc417947388"/>
      <w:bookmarkStart w:id="5090" w:name="_Toc417948089"/>
      <w:bookmarkStart w:id="5091" w:name="_Toc417951138"/>
      <w:bookmarkStart w:id="5092" w:name="_Toc417929293"/>
      <w:bookmarkStart w:id="5093" w:name="_Toc417929759"/>
      <w:bookmarkStart w:id="5094" w:name="_Toc417930027"/>
      <w:bookmarkStart w:id="5095" w:name="_Toc417931596"/>
      <w:bookmarkStart w:id="5096" w:name="_Toc417930742"/>
      <w:bookmarkStart w:id="5097" w:name="_Toc417931166"/>
      <w:bookmarkStart w:id="5098" w:name="_Toc417932639"/>
      <w:bookmarkStart w:id="5099" w:name="_Toc417933122"/>
      <w:bookmarkStart w:id="5100" w:name="_Toc417932263"/>
      <w:bookmarkStart w:id="5101" w:name="_Toc417934246"/>
      <w:bookmarkStart w:id="5102" w:name="_Toc417933380"/>
      <w:bookmarkStart w:id="5103" w:name="_Toc417934710"/>
      <w:bookmarkStart w:id="5104" w:name="_Toc417934886"/>
      <w:bookmarkStart w:id="5105" w:name="_Toc417935367"/>
      <w:bookmarkStart w:id="5106" w:name="_Toc417936049"/>
      <w:bookmarkStart w:id="5107" w:name="_Toc417936511"/>
      <w:bookmarkStart w:id="5108" w:name="_Toc417942591"/>
      <w:bookmarkStart w:id="5109" w:name="_Toc417943070"/>
      <w:bookmarkStart w:id="5110" w:name="_Toc417945414"/>
      <w:bookmarkStart w:id="5111" w:name="_Toc417946742"/>
      <w:bookmarkStart w:id="5112" w:name="_Toc417947404"/>
      <w:bookmarkStart w:id="5113" w:name="_Toc417948105"/>
      <w:bookmarkStart w:id="5114" w:name="_Toc417951154"/>
      <w:bookmarkStart w:id="5115" w:name="_Toc417975206"/>
      <w:bookmarkStart w:id="5116" w:name="_Toc417975923"/>
      <w:bookmarkStart w:id="5117" w:name="_Toc417976986"/>
      <w:bookmarkStart w:id="5118" w:name="_Toc417978074"/>
      <w:bookmarkStart w:id="5119" w:name="_Toc417979264"/>
      <w:bookmarkStart w:id="5120" w:name="_Toc417981366"/>
      <w:bookmarkStart w:id="5121" w:name="_Toc417981637"/>
      <w:bookmarkStart w:id="5122" w:name="_Toc417983164"/>
      <w:bookmarkStart w:id="5123" w:name="_Toc417984433"/>
      <w:bookmarkStart w:id="5124" w:name="_Toc417985998"/>
      <w:bookmarkStart w:id="5125" w:name="_Toc417987434"/>
      <w:bookmarkStart w:id="5126" w:name="_Toc417993130"/>
      <w:bookmarkStart w:id="5127" w:name="_Toc418003862"/>
      <w:bookmarkStart w:id="5128" w:name="_Toc418005602"/>
      <w:bookmarkStart w:id="5129" w:name="_Toc418006604"/>
      <w:bookmarkStart w:id="5130" w:name="_Toc418010843"/>
      <w:bookmarkStart w:id="5131" w:name="_Toc418012067"/>
      <w:bookmarkStart w:id="5132" w:name="_Toc418012335"/>
      <w:bookmarkStart w:id="5133" w:name="_Toc418012779"/>
      <w:bookmarkStart w:id="5134" w:name="_Toc418014335"/>
      <w:bookmarkStart w:id="5135" w:name="_Toc418014715"/>
      <w:bookmarkStart w:id="5136" w:name="_Toc418016084"/>
      <w:bookmarkStart w:id="5137" w:name="_Toc418017323"/>
      <w:bookmarkStart w:id="5138" w:name="_Toc418013652"/>
      <w:bookmarkStart w:id="5139" w:name="_Toc418017598"/>
      <w:bookmarkStart w:id="5140" w:name="_Toc418021087"/>
      <w:bookmarkStart w:id="5141" w:name="_Toc418022135"/>
      <w:bookmarkStart w:id="5142" w:name="_Toc418023108"/>
      <w:bookmarkStart w:id="5143" w:name="_Toc418025504"/>
      <w:bookmarkStart w:id="5144" w:name="_Toc418026072"/>
      <w:bookmarkStart w:id="5145" w:name="_Toc418027754"/>
      <w:bookmarkStart w:id="5146" w:name="_Toc418028176"/>
      <w:bookmarkStart w:id="5147" w:name="_Toc418030085"/>
      <w:bookmarkStart w:id="5148" w:name="_Toc418030836"/>
      <w:bookmarkStart w:id="5149" w:name="_Toc418040588"/>
      <w:bookmarkStart w:id="5150" w:name="_Toc417594581"/>
      <w:bookmarkStart w:id="5151" w:name="_Toc417934711"/>
      <w:bookmarkStart w:id="5152" w:name="_Toc417936050"/>
      <w:bookmarkStart w:id="5153" w:name="_Toc417936512"/>
      <w:bookmarkStart w:id="5154" w:name="_Toc417946935"/>
      <w:bookmarkStart w:id="5155" w:name="_Toc417947386"/>
      <w:bookmarkStart w:id="5156" w:name="_Toc417982545"/>
      <w:bookmarkStart w:id="5157" w:name="_Toc417985999"/>
      <w:bookmarkStart w:id="5158" w:name="_Toc418000691"/>
      <w:bookmarkStart w:id="5159" w:name="_Toc418003863"/>
      <w:bookmarkStart w:id="5160" w:name="_Toc418012068"/>
      <w:bookmarkStart w:id="5161" w:name="_Toc418014481"/>
      <w:bookmarkStart w:id="5162" w:name="_Toc418014716"/>
      <w:bookmarkStart w:id="5163" w:name="_Toc418030086"/>
      <w:bookmarkStart w:id="5164" w:name="_Toc418036969"/>
      <w:bookmarkStart w:id="5165" w:name="_Toc418061442"/>
      <w:bookmarkStart w:id="5166" w:name="_Toc418081341"/>
      <w:bookmarkStart w:id="5167" w:name="_Toc418083373"/>
      <w:bookmarkStart w:id="5168" w:name="_Toc418096137"/>
      <w:bookmarkStart w:id="5169" w:name="_Toc418156739"/>
      <w:bookmarkStart w:id="5170" w:name="_Toc418167658"/>
      <w:bookmarkStart w:id="5171" w:name="_Toc418185914"/>
      <w:bookmarkStart w:id="5172" w:name="_Toc422941628"/>
      <w:bookmarkStart w:id="5173" w:name="_Toc423116834"/>
      <w:bookmarkStart w:id="5174" w:name="_Toc423117867"/>
      <w:bookmarkStart w:id="5175" w:name="_Toc423117317"/>
      <w:bookmarkStart w:id="5176" w:name="_Toc431288910"/>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r>
        <w:t>Naming Conventions</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43240B45" w14:textId="376041AF" w:rsidR="004D539B" w:rsidRDefault="00375A6C" w:rsidP="004D539B">
      <w:r>
        <w:t>The</w:t>
      </w:r>
      <w:r w:rsidR="004D539B">
        <w:t xml:space="preserve"> choice of a name for any asset in Microsoft Azure is an important choice because:</w:t>
      </w:r>
    </w:p>
    <w:p w14:paraId="58D11F1F" w14:textId="77777777" w:rsidR="004D539B" w:rsidRDefault="004D539B" w:rsidP="005729D2">
      <w:pPr>
        <w:pStyle w:val="ListParagraph"/>
        <w:numPr>
          <w:ilvl w:val="0"/>
          <w:numId w:val="271"/>
        </w:numPr>
      </w:pPr>
      <w:r>
        <w:t xml:space="preserve">It is difficult (though not impossible) to change that name at a later time. </w:t>
      </w:r>
    </w:p>
    <w:p w14:paraId="69A3C5EB" w14:textId="77777777" w:rsidR="004D539B" w:rsidRDefault="004D539B" w:rsidP="005729D2">
      <w:pPr>
        <w:pStyle w:val="ListParagraph"/>
        <w:numPr>
          <w:ilvl w:val="0"/>
          <w:numId w:val="271"/>
        </w:numPr>
      </w:pPr>
      <w:r>
        <w:t xml:space="preserve">There are certain constraints and requirements that must be met when choosing a name. </w:t>
      </w:r>
    </w:p>
    <w:p w14:paraId="4A44B2E6" w14:textId="4AECCA85" w:rsidR="00375A6C" w:rsidRDefault="004D539B" w:rsidP="004D539B">
      <w:r>
        <w:t>This table covers the naming requirements for various elements of Azure networking</w:t>
      </w:r>
      <w:r w:rsidR="00E45C98">
        <w:t>.</w:t>
      </w:r>
    </w:p>
    <w:p w14:paraId="488FF134" w14:textId="77777777" w:rsidR="00375A6C" w:rsidRDefault="00375A6C" w:rsidP="00375A6C"/>
    <w:tbl>
      <w:tblPr>
        <w:tblStyle w:val="PlainTable11"/>
        <w:tblW w:w="5000" w:type="pct"/>
        <w:tblLayout w:type="fixed"/>
        <w:tblCellMar>
          <w:left w:w="72" w:type="dxa"/>
          <w:right w:w="72" w:type="dxa"/>
        </w:tblCellMar>
        <w:tblLook w:val="04A0" w:firstRow="1" w:lastRow="0" w:firstColumn="1" w:lastColumn="0" w:noHBand="0" w:noVBand="1"/>
      </w:tblPr>
      <w:tblGrid>
        <w:gridCol w:w="2515"/>
        <w:gridCol w:w="1111"/>
        <w:gridCol w:w="1522"/>
        <w:gridCol w:w="4202"/>
      </w:tblGrid>
      <w:tr w:rsidR="00375A6C" w:rsidRPr="00B553A6" w14:paraId="1C724C39" w14:textId="77777777" w:rsidTr="004D539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5" w:type="pct"/>
            <w:shd w:val="clear" w:color="auto" w:fill="808080" w:themeFill="background1" w:themeFillShade="80"/>
            <w:noWrap/>
            <w:hideMark/>
          </w:tcPr>
          <w:p w14:paraId="525629CE" w14:textId="77777777" w:rsidR="00375A6C" w:rsidRPr="00B553A6" w:rsidRDefault="00375A6C" w:rsidP="000E4416">
            <w:pPr>
              <w:spacing w:line="240" w:lineRule="auto"/>
              <w:rPr>
                <w:color w:val="FFFFFF"/>
              </w:rPr>
            </w:pPr>
            <w:r>
              <w:rPr>
                <w:color w:val="FFFFFF"/>
              </w:rPr>
              <w:t>Item</w:t>
            </w:r>
          </w:p>
        </w:tc>
        <w:tc>
          <w:tcPr>
            <w:tcW w:w="594" w:type="pct"/>
            <w:shd w:val="clear" w:color="auto" w:fill="808080" w:themeFill="background1" w:themeFillShade="80"/>
            <w:noWrap/>
            <w:hideMark/>
          </w:tcPr>
          <w:p w14:paraId="4E8E9954" w14:textId="77777777" w:rsidR="00375A6C" w:rsidRPr="00B553A6" w:rsidRDefault="00375A6C" w:rsidP="000E4416">
            <w:pPr>
              <w:spacing w:line="240" w:lineRule="auto"/>
              <w:cnfStyle w:val="100000000000" w:firstRow="1" w:lastRow="0" w:firstColumn="0" w:lastColumn="0" w:oddVBand="0" w:evenVBand="0" w:oddHBand="0" w:evenHBand="0" w:firstRowFirstColumn="0" w:firstRowLastColumn="0" w:lastRowFirstColumn="0" w:lastRowLastColumn="0"/>
              <w:rPr>
                <w:color w:val="FFFFFF"/>
              </w:rPr>
            </w:pPr>
            <w:r w:rsidRPr="00B553A6">
              <w:rPr>
                <w:color w:val="FFFFFF"/>
              </w:rPr>
              <w:t xml:space="preserve">Length </w:t>
            </w:r>
          </w:p>
        </w:tc>
        <w:tc>
          <w:tcPr>
            <w:tcW w:w="814" w:type="pct"/>
            <w:shd w:val="clear" w:color="auto" w:fill="808080" w:themeFill="background1" w:themeFillShade="80"/>
            <w:noWrap/>
            <w:hideMark/>
          </w:tcPr>
          <w:p w14:paraId="4F9D0F05" w14:textId="77777777" w:rsidR="00375A6C" w:rsidRPr="00B553A6" w:rsidRDefault="00375A6C" w:rsidP="000E4416">
            <w:pPr>
              <w:spacing w:line="240" w:lineRule="auto"/>
              <w:cnfStyle w:val="100000000000" w:firstRow="1" w:lastRow="0" w:firstColumn="0" w:lastColumn="0" w:oddVBand="0" w:evenVBand="0" w:oddHBand="0" w:evenHBand="0" w:firstRowFirstColumn="0" w:firstRowLastColumn="0" w:lastRowFirstColumn="0" w:lastRowLastColumn="0"/>
              <w:rPr>
                <w:color w:val="FFFFFF"/>
              </w:rPr>
            </w:pPr>
            <w:r w:rsidRPr="00B553A6">
              <w:rPr>
                <w:color w:val="FFFFFF"/>
              </w:rPr>
              <w:t>Casing</w:t>
            </w:r>
          </w:p>
        </w:tc>
        <w:tc>
          <w:tcPr>
            <w:tcW w:w="2248" w:type="pct"/>
            <w:shd w:val="clear" w:color="auto" w:fill="808080" w:themeFill="background1" w:themeFillShade="80"/>
            <w:noWrap/>
            <w:hideMark/>
          </w:tcPr>
          <w:p w14:paraId="5756150C" w14:textId="77777777" w:rsidR="00375A6C" w:rsidRPr="00B553A6" w:rsidRDefault="00375A6C" w:rsidP="000E4416">
            <w:pPr>
              <w:spacing w:line="240" w:lineRule="auto"/>
              <w:cnfStyle w:val="100000000000" w:firstRow="1" w:lastRow="0" w:firstColumn="0" w:lastColumn="0" w:oddVBand="0" w:evenVBand="0" w:oddHBand="0" w:evenHBand="0" w:firstRowFirstColumn="0" w:firstRowLastColumn="0" w:lastRowFirstColumn="0" w:lastRowLastColumn="0"/>
              <w:rPr>
                <w:color w:val="FFFFFF"/>
              </w:rPr>
            </w:pPr>
            <w:r w:rsidRPr="00B553A6">
              <w:rPr>
                <w:color w:val="FFFFFF"/>
              </w:rPr>
              <w:t>Valid characters</w:t>
            </w:r>
          </w:p>
        </w:tc>
      </w:tr>
      <w:tr w:rsidR="004D539B" w:rsidRPr="00B553A6" w14:paraId="69DED5F3" w14:textId="77777777" w:rsidTr="004D539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5" w:type="pct"/>
            <w:noWrap/>
            <w:hideMark/>
          </w:tcPr>
          <w:p w14:paraId="67E2D888" w14:textId="74214394" w:rsidR="004D539B" w:rsidRPr="00B553A6" w:rsidRDefault="004D539B" w:rsidP="004D539B">
            <w:pPr>
              <w:rPr>
                <w:sz w:val="20"/>
              </w:rPr>
            </w:pPr>
            <w:r>
              <w:rPr>
                <w:sz w:val="20"/>
              </w:rPr>
              <w:t>Virtual network</w:t>
            </w:r>
          </w:p>
        </w:tc>
        <w:tc>
          <w:tcPr>
            <w:tcW w:w="594" w:type="pct"/>
            <w:noWrap/>
            <w:hideMark/>
          </w:tcPr>
          <w:p w14:paraId="0499D198" w14:textId="3E7B10EE" w:rsidR="004D539B" w:rsidRPr="00B553A6" w:rsidRDefault="004D539B" w:rsidP="004D539B">
            <w:pPr>
              <w:cnfStyle w:val="000000100000" w:firstRow="0" w:lastRow="0" w:firstColumn="0" w:lastColumn="0" w:oddVBand="0" w:evenVBand="0" w:oddHBand="1" w:evenHBand="0" w:firstRowFirstColumn="0" w:firstRowLastColumn="0" w:lastRowFirstColumn="0" w:lastRowLastColumn="0"/>
              <w:rPr>
                <w:sz w:val="20"/>
              </w:rPr>
            </w:pPr>
          </w:p>
        </w:tc>
        <w:tc>
          <w:tcPr>
            <w:tcW w:w="814" w:type="pct"/>
            <w:noWrap/>
            <w:hideMark/>
          </w:tcPr>
          <w:p w14:paraId="1C0A752F" w14:textId="687878A2" w:rsidR="004D539B" w:rsidRPr="00B553A6" w:rsidRDefault="004D539B" w:rsidP="004D539B">
            <w:pPr>
              <w:cnfStyle w:val="000000100000" w:firstRow="0" w:lastRow="0" w:firstColumn="0" w:lastColumn="0" w:oddVBand="0" w:evenVBand="0" w:oddHBand="1" w:evenHBand="0" w:firstRowFirstColumn="0" w:firstRowLastColumn="0" w:lastRowFirstColumn="0" w:lastRowLastColumn="0"/>
              <w:rPr>
                <w:sz w:val="20"/>
              </w:rPr>
            </w:pPr>
            <w:r>
              <w:rPr>
                <w:sz w:val="20"/>
              </w:rPr>
              <w:t>C</w:t>
            </w:r>
            <w:r w:rsidRPr="00B553A6">
              <w:rPr>
                <w:sz w:val="20"/>
              </w:rPr>
              <w:t>ase-insensitive</w:t>
            </w:r>
          </w:p>
        </w:tc>
        <w:tc>
          <w:tcPr>
            <w:tcW w:w="2248" w:type="pct"/>
            <w:noWrap/>
            <w:hideMark/>
          </w:tcPr>
          <w:p w14:paraId="7C4CB08B" w14:textId="77777777" w:rsidR="004D539B" w:rsidRDefault="004D539B" w:rsidP="004D539B">
            <w:pPr>
              <w:cnfStyle w:val="000000100000" w:firstRow="0" w:lastRow="0" w:firstColumn="0" w:lastColumn="0" w:oddVBand="0" w:evenVBand="0" w:oddHBand="1" w:evenHBand="0" w:firstRowFirstColumn="0" w:firstRowLastColumn="0" w:lastRowFirstColumn="0" w:lastRowLastColumn="0"/>
              <w:rPr>
                <w:sz w:val="20"/>
              </w:rPr>
            </w:pPr>
            <w:r w:rsidRPr="00B553A6">
              <w:rPr>
                <w:sz w:val="20"/>
              </w:rPr>
              <w:t>Alphanumeric</w:t>
            </w:r>
            <w:r>
              <w:rPr>
                <w:sz w:val="20"/>
              </w:rPr>
              <w:t xml:space="preserve"> and hyphen</w:t>
            </w:r>
          </w:p>
          <w:p w14:paraId="583E520E" w14:textId="251DC05B" w:rsidR="004D539B" w:rsidRPr="00B553A6" w:rsidRDefault="004D539B" w:rsidP="004D539B">
            <w:pPr>
              <w:cnfStyle w:val="000000100000" w:firstRow="0" w:lastRow="0" w:firstColumn="0" w:lastColumn="0" w:oddVBand="0" w:evenVBand="0" w:oddHBand="1" w:evenHBand="0" w:firstRowFirstColumn="0" w:firstRowLastColumn="0" w:lastRowFirstColumn="0" w:lastRowLastColumn="0"/>
              <w:rPr>
                <w:sz w:val="20"/>
              </w:rPr>
            </w:pPr>
            <w:r>
              <w:rPr>
                <w:sz w:val="20"/>
              </w:rPr>
              <w:t>Cannot start with a space or end with a hyphen</w:t>
            </w:r>
          </w:p>
        </w:tc>
      </w:tr>
      <w:tr w:rsidR="004D539B" w:rsidRPr="00B553A6" w14:paraId="7ED0332A" w14:textId="77777777" w:rsidTr="004D539B">
        <w:trPr>
          <w:trHeight w:val="300"/>
        </w:trPr>
        <w:tc>
          <w:tcPr>
            <w:cnfStyle w:val="001000000000" w:firstRow="0" w:lastRow="0" w:firstColumn="1" w:lastColumn="0" w:oddVBand="0" w:evenVBand="0" w:oddHBand="0" w:evenHBand="0" w:firstRowFirstColumn="0" w:firstRowLastColumn="0" w:lastRowFirstColumn="0" w:lastRowLastColumn="0"/>
            <w:tcW w:w="1345" w:type="pct"/>
            <w:noWrap/>
            <w:hideMark/>
          </w:tcPr>
          <w:p w14:paraId="24C2B694" w14:textId="390806A1" w:rsidR="004D539B" w:rsidRPr="00B553A6" w:rsidRDefault="004D539B" w:rsidP="004D539B">
            <w:pPr>
              <w:rPr>
                <w:sz w:val="20"/>
              </w:rPr>
            </w:pPr>
            <w:r>
              <w:rPr>
                <w:sz w:val="20"/>
              </w:rPr>
              <w:t>Subnet</w:t>
            </w:r>
          </w:p>
        </w:tc>
        <w:tc>
          <w:tcPr>
            <w:tcW w:w="594" w:type="pct"/>
            <w:noWrap/>
            <w:hideMark/>
          </w:tcPr>
          <w:p w14:paraId="5CE30370" w14:textId="1245476A" w:rsidR="004D539B" w:rsidRPr="00B553A6" w:rsidRDefault="004D539B" w:rsidP="004D539B">
            <w:pPr>
              <w:cnfStyle w:val="000000000000" w:firstRow="0" w:lastRow="0" w:firstColumn="0" w:lastColumn="0" w:oddVBand="0" w:evenVBand="0" w:oddHBand="0" w:evenHBand="0" w:firstRowFirstColumn="0" w:firstRowLastColumn="0" w:lastRowFirstColumn="0" w:lastRowLastColumn="0"/>
              <w:rPr>
                <w:sz w:val="20"/>
              </w:rPr>
            </w:pPr>
          </w:p>
        </w:tc>
        <w:tc>
          <w:tcPr>
            <w:tcW w:w="814" w:type="pct"/>
            <w:noWrap/>
            <w:hideMark/>
          </w:tcPr>
          <w:p w14:paraId="0C07B7F5" w14:textId="22817A1A" w:rsidR="004D539B" w:rsidRPr="00B553A6" w:rsidRDefault="004D539B" w:rsidP="004D539B">
            <w:pPr>
              <w:cnfStyle w:val="000000000000" w:firstRow="0" w:lastRow="0" w:firstColumn="0" w:lastColumn="0" w:oddVBand="0" w:evenVBand="0" w:oddHBand="0" w:evenHBand="0" w:firstRowFirstColumn="0" w:firstRowLastColumn="0" w:lastRowFirstColumn="0" w:lastRowLastColumn="0"/>
              <w:rPr>
                <w:sz w:val="20"/>
              </w:rPr>
            </w:pPr>
            <w:r>
              <w:rPr>
                <w:sz w:val="20"/>
              </w:rPr>
              <w:t>C</w:t>
            </w:r>
            <w:r w:rsidRPr="00B553A6">
              <w:rPr>
                <w:sz w:val="20"/>
              </w:rPr>
              <w:t>ase-insensitive</w:t>
            </w:r>
          </w:p>
        </w:tc>
        <w:tc>
          <w:tcPr>
            <w:tcW w:w="2248" w:type="pct"/>
            <w:noWrap/>
            <w:hideMark/>
          </w:tcPr>
          <w:p w14:paraId="1E53B0F3" w14:textId="77777777" w:rsidR="004D539B" w:rsidRDefault="004D539B" w:rsidP="004D539B">
            <w:pPr>
              <w:cnfStyle w:val="000000000000" w:firstRow="0" w:lastRow="0" w:firstColumn="0" w:lastColumn="0" w:oddVBand="0" w:evenVBand="0" w:oddHBand="0" w:evenHBand="0" w:firstRowFirstColumn="0" w:firstRowLastColumn="0" w:lastRowFirstColumn="0" w:lastRowLastColumn="0"/>
              <w:rPr>
                <w:sz w:val="20"/>
              </w:rPr>
            </w:pPr>
            <w:r w:rsidRPr="00B553A6">
              <w:rPr>
                <w:sz w:val="20"/>
              </w:rPr>
              <w:t>Alphanumeric</w:t>
            </w:r>
            <w:r>
              <w:rPr>
                <w:sz w:val="20"/>
              </w:rPr>
              <w:t>, underscore, and hyphen</w:t>
            </w:r>
          </w:p>
          <w:p w14:paraId="1F28E46F" w14:textId="0BB80EBB" w:rsidR="004D539B" w:rsidRPr="00B553A6" w:rsidRDefault="004D539B" w:rsidP="004D539B">
            <w:pPr>
              <w:cnfStyle w:val="000000000000" w:firstRow="0" w:lastRow="0" w:firstColumn="0" w:lastColumn="0" w:oddVBand="0" w:evenVBand="0" w:oddHBand="0" w:evenHBand="0" w:firstRowFirstColumn="0" w:firstRowLastColumn="0" w:lastRowFirstColumn="0" w:lastRowLastColumn="0"/>
              <w:rPr>
                <w:sz w:val="20"/>
              </w:rPr>
            </w:pPr>
            <w:r>
              <w:rPr>
                <w:sz w:val="20"/>
              </w:rPr>
              <w:t xml:space="preserve">Must be unique within a virtual network </w:t>
            </w:r>
          </w:p>
        </w:tc>
      </w:tr>
      <w:tr w:rsidR="004D539B" w:rsidRPr="00B553A6" w14:paraId="76562F4B" w14:textId="77777777" w:rsidTr="004D539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5" w:type="pct"/>
            <w:noWrap/>
            <w:hideMark/>
          </w:tcPr>
          <w:p w14:paraId="1447BEFB" w14:textId="0D1136FE" w:rsidR="004D539B" w:rsidRPr="00B553A6" w:rsidRDefault="004D539B" w:rsidP="004D539B">
            <w:pPr>
              <w:rPr>
                <w:sz w:val="20"/>
              </w:rPr>
            </w:pPr>
            <w:r>
              <w:rPr>
                <w:sz w:val="20"/>
              </w:rPr>
              <w:t>Network Security Group</w:t>
            </w:r>
          </w:p>
        </w:tc>
        <w:tc>
          <w:tcPr>
            <w:tcW w:w="594" w:type="pct"/>
            <w:noWrap/>
            <w:hideMark/>
          </w:tcPr>
          <w:p w14:paraId="1F766C3E" w14:textId="06D175E4" w:rsidR="004D539B" w:rsidRPr="00B553A6" w:rsidRDefault="004D539B" w:rsidP="004D539B">
            <w:pPr>
              <w:cnfStyle w:val="000000100000" w:firstRow="0" w:lastRow="0" w:firstColumn="0" w:lastColumn="0" w:oddVBand="0" w:evenVBand="0" w:oddHBand="1" w:evenHBand="0" w:firstRowFirstColumn="0" w:firstRowLastColumn="0" w:lastRowFirstColumn="0" w:lastRowLastColumn="0"/>
              <w:rPr>
                <w:sz w:val="20"/>
              </w:rPr>
            </w:pPr>
          </w:p>
        </w:tc>
        <w:tc>
          <w:tcPr>
            <w:tcW w:w="814" w:type="pct"/>
            <w:noWrap/>
            <w:hideMark/>
          </w:tcPr>
          <w:p w14:paraId="1D233DD3" w14:textId="45EB2010" w:rsidR="004D539B" w:rsidRPr="00B553A6" w:rsidRDefault="004D539B" w:rsidP="004D539B">
            <w:pPr>
              <w:cnfStyle w:val="000000100000" w:firstRow="0" w:lastRow="0" w:firstColumn="0" w:lastColumn="0" w:oddVBand="0" w:evenVBand="0" w:oddHBand="1" w:evenHBand="0" w:firstRowFirstColumn="0" w:firstRowLastColumn="0" w:lastRowFirstColumn="0" w:lastRowLastColumn="0"/>
              <w:rPr>
                <w:sz w:val="20"/>
              </w:rPr>
            </w:pPr>
            <w:r>
              <w:rPr>
                <w:sz w:val="20"/>
              </w:rPr>
              <w:t>C</w:t>
            </w:r>
            <w:r w:rsidRPr="00B553A6">
              <w:rPr>
                <w:sz w:val="20"/>
              </w:rPr>
              <w:t>ase-insensitive</w:t>
            </w:r>
          </w:p>
        </w:tc>
        <w:tc>
          <w:tcPr>
            <w:tcW w:w="2248" w:type="pct"/>
            <w:noWrap/>
            <w:hideMark/>
          </w:tcPr>
          <w:p w14:paraId="6C077D13" w14:textId="0D4BF21B" w:rsidR="004D539B" w:rsidRPr="00B553A6" w:rsidRDefault="004D539B" w:rsidP="004D539B">
            <w:pPr>
              <w:cnfStyle w:val="000000100000" w:firstRow="0" w:lastRow="0" w:firstColumn="0" w:lastColumn="0" w:oddVBand="0" w:evenVBand="0" w:oddHBand="1" w:evenHBand="0" w:firstRowFirstColumn="0" w:firstRowLastColumn="0" w:lastRowFirstColumn="0" w:lastRowLastColumn="0"/>
              <w:rPr>
                <w:sz w:val="20"/>
              </w:rPr>
            </w:pPr>
            <w:r>
              <w:rPr>
                <w:sz w:val="20"/>
              </w:rPr>
              <w:t>A</w:t>
            </w:r>
            <w:r w:rsidRPr="00B553A6">
              <w:rPr>
                <w:sz w:val="20"/>
              </w:rPr>
              <w:t xml:space="preserve">lphanumeric and </w:t>
            </w:r>
            <w:r>
              <w:rPr>
                <w:sz w:val="20"/>
              </w:rPr>
              <w:t>hyphen</w:t>
            </w:r>
          </w:p>
        </w:tc>
      </w:tr>
      <w:tr w:rsidR="004D539B" w:rsidRPr="00B553A6" w14:paraId="1425B2B1" w14:textId="77777777" w:rsidTr="004D539B">
        <w:trPr>
          <w:trHeight w:val="70"/>
        </w:trPr>
        <w:tc>
          <w:tcPr>
            <w:cnfStyle w:val="001000000000" w:firstRow="0" w:lastRow="0" w:firstColumn="1" w:lastColumn="0" w:oddVBand="0" w:evenVBand="0" w:oddHBand="0" w:evenHBand="0" w:firstRowFirstColumn="0" w:firstRowLastColumn="0" w:lastRowFirstColumn="0" w:lastRowLastColumn="0"/>
            <w:tcW w:w="1345" w:type="pct"/>
            <w:noWrap/>
            <w:hideMark/>
          </w:tcPr>
          <w:p w14:paraId="636157F0" w14:textId="7C36EE2C" w:rsidR="004D539B" w:rsidRPr="00B553A6" w:rsidRDefault="004D539B" w:rsidP="004D539B">
            <w:pPr>
              <w:rPr>
                <w:sz w:val="20"/>
              </w:rPr>
            </w:pPr>
            <w:r>
              <w:rPr>
                <w:sz w:val="20"/>
              </w:rPr>
              <w:t>Network Security Group rule</w:t>
            </w:r>
          </w:p>
        </w:tc>
        <w:tc>
          <w:tcPr>
            <w:tcW w:w="594" w:type="pct"/>
            <w:noWrap/>
            <w:hideMark/>
          </w:tcPr>
          <w:p w14:paraId="28779098" w14:textId="2CA47123" w:rsidR="004D539B" w:rsidRPr="00B553A6" w:rsidRDefault="004D539B" w:rsidP="004D539B">
            <w:pPr>
              <w:cnfStyle w:val="000000000000" w:firstRow="0" w:lastRow="0" w:firstColumn="0" w:lastColumn="0" w:oddVBand="0" w:evenVBand="0" w:oddHBand="0" w:evenHBand="0" w:firstRowFirstColumn="0" w:firstRowLastColumn="0" w:lastRowFirstColumn="0" w:lastRowLastColumn="0"/>
              <w:rPr>
                <w:sz w:val="20"/>
              </w:rPr>
            </w:pPr>
          </w:p>
        </w:tc>
        <w:tc>
          <w:tcPr>
            <w:tcW w:w="814" w:type="pct"/>
            <w:noWrap/>
            <w:hideMark/>
          </w:tcPr>
          <w:p w14:paraId="0DF2DB1B" w14:textId="7F62A726" w:rsidR="004D539B" w:rsidRPr="00B553A6" w:rsidRDefault="004D539B" w:rsidP="004D539B">
            <w:pPr>
              <w:cnfStyle w:val="000000000000" w:firstRow="0" w:lastRow="0" w:firstColumn="0" w:lastColumn="0" w:oddVBand="0" w:evenVBand="0" w:oddHBand="0" w:evenHBand="0" w:firstRowFirstColumn="0" w:firstRowLastColumn="0" w:lastRowFirstColumn="0" w:lastRowLastColumn="0"/>
              <w:rPr>
                <w:sz w:val="20"/>
              </w:rPr>
            </w:pPr>
            <w:r>
              <w:rPr>
                <w:sz w:val="20"/>
              </w:rPr>
              <w:t>C</w:t>
            </w:r>
            <w:r w:rsidRPr="00B553A6">
              <w:rPr>
                <w:sz w:val="20"/>
              </w:rPr>
              <w:t>ase-insensitive</w:t>
            </w:r>
          </w:p>
        </w:tc>
        <w:tc>
          <w:tcPr>
            <w:tcW w:w="2248" w:type="pct"/>
            <w:noWrap/>
            <w:hideMark/>
          </w:tcPr>
          <w:p w14:paraId="38CC6404" w14:textId="28B396AE" w:rsidR="004D539B" w:rsidRPr="00B553A6" w:rsidRDefault="004D539B" w:rsidP="004D539B">
            <w:pPr>
              <w:cnfStyle w:val="000000000000" w:firstRow="0" w:lastRow="0" w:firstColumn="0" w:lastColumn="0" w:oddVBand="0" w:evenVBand="0" w:oddHBand="0" w:evenHBand="0" w:firstRowFirstColumn="0" w:firstRowLastColumn="0" w:lastRowFirstColumn="0" w:lastRowLastColumn="0"/>
              <w:rPr>
                <w:sz w:val="20"/>
              </w:rPr>
            </w:pPr>
            <w:r>
              <w:rPr>
                <w:sz w:val="20"/>
              </w:rPr>
              <w:t>A</w:t>
            </w:r>
            <w:r w:rsidRPr="00B553A6">
              <w:rPr>
                <w:sz w:val="20"/>
              </w:rPr>
              <w:t xml:space="preserve">lphanumeric and </w:t>
            </w:r>
            <w:r>
              <w:rPr>
                <w:sz w:val="20"/>
              </w:rPr>
              <w:t>hyphen</w:t>
            </w:r>
          </w:p>
        </w:tc>
      </w:tr>
      <w:tr w:rsidR="004D539B" w:rsidRPr="00B553A6" w14:paraId="7CD0AA2A" w14:textId="77777777" w:rsidTr="004D539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45" w:type="pct"/>
            <w:noWrap/>
            <w:hideMark/>
          </w:tcPr>
          <w:p w14:paraId="0544DD7D" w14:textId="33A9C8B3" w:rsidR="004D539B" w:rsidRPr="00B553A6" w:rsidRDefault="004D539B" w:rsidP="004D539B">
            <w:pPr>
              <w:rPr>
                <w:sz w:val="20"/>
              </w:rPr>
            </w:pPr>
            <w:r>
              <w:rPr>
                <w:sz w:val="20"/>
              </w:rPr>
              <w:t>AT&amp;T VLAN name</w:t>
            </w:r>
          </w:p>
        </w:tc>
        <w:tc>
          <w:tcPr>
            <w:tcW w:w="594" w:type="pct"/>
            <w:noWrap/>
            <w:hideMark/>
          </w:tcPr>
          <w:p w14:paraId="3DF1A5D4" w14:textId="7997A28A" w:rsidR="004D539B" w:rsidRPr="00B553A6" w:rsidRDefault="004D539B" w:rsidP="004D539B">
            <w:pPr>
              <w:jc w:val="center"/>
              <w:cnfStyle w:val="000000100000" w:firstRow="0" w:lastRow="0" w:firstColumn="0" w:lastColumn="0" w:oddVBand="0" w:evenVBand="0" w:oddHBand="1" w:evenHBand="0" w:firstRowFirstColumn="0" w:firstRowLastColumn="0" w:lastRowFirstColumn="0" w:lastRowLastColumn="0"/>
              <w:rPr>
                <w:sz w:val="20"/>
              </w:rPr>
            </w:pPr>
            <w:r>
              <w:rPr>
                <w:sz w:val="20"/>
              </w:rPr>
              <w:t>15</w:t>
            </w:r>
          </w:p>
        </w:tc>
        <w:tc>
          <w:tcPr>
            <w:tcW w:w="814" w:type="pct"/>
            <w:noWrap/>
            <w:hideMark/>
          </w:tcPr>
          <w:p w14:paraId="7A73904D" w14:textId="3B59E507" w:rsidR="004D539B" w:rsidRPr="00B553A6" w:rsidRDefault="004D539B" w:rsidP="004D539B">
            <w:pPr>
              <w:cnfStyle w:val="000000100000" w:firstRow="0" w:lastRow="0" w:firstColumn="0" w:lastColumn="0" w:oddVBand="0" w:evenVBand="0" w:oddHBand="1" w:evenHBand="0" w:firstRowFirstColumn="0" w:firstRowLastColumn="0" w:lastRowFirstColumn="0" w:lastRowLastColumn="0"/>
              <w:rPr>
                <w:sz w:val="20"/>
              </w:rPr>
            </w:pPr>
            <w:r>
              <w:rPr>
                <w:sz w:val="20"/>
              </w:rPr>
              <w:t>Case</w:t>
            </w:r>
            <w:r w:rsidRPr="00B553A6">
              <w:rPr>
                <w:sz w:val="20"/>
              </w:rPr>
              <w:t>-insensitive</w:t>
            </w:r>
          </w:p>
        </w:tc>
        <w:tc>
          <w:tcPr>
            <w:tcW w:w="2248" w:type="pct"/>
            <w:noWrap/>
            <w:hideMark/>
          </w:tcPr>
          <w:p w14:paraId="3E73D574" w14:textId="4F541A68" w:rsidR="004D539B" w:rsidRPr="00B553A6" w:rsidRDefault="004D539B" w:rsidP="004D539B">
            <w:pPr>
              <w:cnfStyle w:val="000000100000" w:firstRow="0" w:lastRow="0" w:firstColumn="0" w:lastColumn="0" w:oddVBand="0" w:evenVBand="0" w:oddHBand="1" w:evenHBand="0" w:firstRowFirstColumn="0" w:firstRowLastColumn="0" w:lastRowFirstColumn="0" w:lastRowLastColumn="0"/>
              <w:rPr>
                <w:sz w:val="20"/>
              </w:rPr>
            </w:pPr>
            <w:r>
              <w:rPr>
                <w:sz w:val="20"/>
              </w:rPr>
              <w:t>A</w:t>
            </w:r>
            <w:r w:rsidRPr="00B553A6">
              <w:rPr>
                <w:sz w:val="20"/>
              </w:rPr>
              <w:t xml:space="preserve">lphanumeric and </w:t>
            </w:r>
            <w:r>
              <w:rPr>
                <w:sz w:val="20"/>
              </w:rPr>
              <w:t>hyphen</w:t>
            </w:r>
          </w:p>
        </w:tc>
      </w:tr>
    </w:tbl>
    <w:p w14:paraId="6C2F1751" w14:textId="77777777" w:rsidR="00062059" w:rsidRDefault="00062059" w:rsidP="00062059"/>
    <w:p w14:paraId="6C2F1760" w14:textId="77777777" w:rsidR="009065A3" w:rsidRDefault="002D299F" w:rsidP="005729D2">
      <w:pPr>
        <w:pStyle w:val="Heading1Numbered"/>
        <w:numPr>
          <w:ilvl w:val="0"/>
          <w:numId w:val="64"/>
        </w:numPr>
      </w:pPr>
      <w:bookmarkStart w:id="5177" w:name="_Toc414892129"/>
      <w:bookmarkStart w:id="5178" w:name="_Toc414960152"/>
      <w:bookmarkStart w:id="5179" w:name="_Toc414969123"/>
      <w:bookmarkStart w:id="5180" w:name="_Toc415011345"/>
      <w:bookmarkStart w:id="5181" w:name="_Toc415040035"/>
      <w:bookmarkStart w:id="5182" w:name="_Toc415572392"/>
      <w:bookmarkStart w:id="5183" w:name="_Toc415735562"/>
      <w:bookmarkStart w:id="5184" w:name="_Toc415814143"/>
      <w:bookmarkStart w:id="5185" w:name="_Toc416343878"/>
      <w:bookmarkStart w:id="5186" w:name="_Toc416863150"/>
      <w:bookmarkStart w:id="5187" w:name="_Toc417314765"/>
      <w:bookmarkStart w:id="5188" w:name="_Toc417323782"/>
      <w:bookmarkStart w:id="5189" w:name="_Toc417326872"/>
      <w:bookmarkStart w:id="5190" w:name="_Toc417330420"/>
      <w:bookmarkStart w:id="5191" w:name="_Toc417395026"/>
      <w:bookmarkStart w:id="5192" w:name="_Toc417399243"/>
      <w:bookmarkStart w:id="5193" w:name="_Toc417399402"/>
      <w:bookmarkStart w:id="5194" w:name="_Toc417400449"/>
      <w:bookmarkStart w:id="5195" w:name="_Toc417401297"/>
      <w:bookmarkStart w:id="5196" w:name="_Toc417419612"/>
      <w:bookmarkStart w:id="5197" w:name="_Toc417457384"/>
      <w:bookmarkStart w:id="5198" w:name="_Toc417481962"/>
      <w:bookmarkStart w:id="5199" w:name="_Toc417482220"/>
      <w:bookmarkStart w:id="5200" w:name="_Toc417499939"/>
      <w:bookmarkStart w:id="5201" w:name="_Toc417502760"/>
      <w:bookmarkStart w:id="5202" w:name="_Toc417548340"/>
      <w:bookmarkStart w:id="5203" w:name="_Toc417594583"/>
      <w:bookmarkStart w:id="5204" w:name="_Toc417934712"/>
      <w:bookmarkStart w:id="5205" w:name="_Toc417936051"/>
      <w:bookmarkStart w:id="5206" w:name="_Toc417936513"/>
      <w:bookmarkStart w:id="5207" w:name="_Toc417946936"/>
      <w:bookmarkStart w:id="5208" w:name="_Toc417947405"/>
      <w:bookmarkStart w:id="5209" w:name="_Toc417982546"/>
      <w:bookmarkStart w:id="5210" w:name="_Toc417986000"/>
      <w:bookmarkStart w:id="5211" w:name="_Toc418000692"/>
      <w:bookmarkStart w:id="5212" w:name="_Toc418003864"/>
      <w:bookmarkStart w:id="5213" w:name="_Toc418012069"/>
      <w:bookmarkStart w:id="5214" w:name="_Toc418014482"/>
      <w:bookmarkStart w:id="5215" w:name="_Toc418014717"/>
      <w:bookmarkStart w:id="5216" w:name="_Toc418030087"/>
      <w:bookmarkStart w:id="5217" w:name="_Toc418036970"/>
      <w:bookmarkStart w:id="5218" w:name="_Toc418061443"/>
      <w:bookmarkStart w:id="5219" w:name="_Toc418081342"/>
      <w:bookmarkStart w:id="5220" w:name="_Toc418083374"/>
      <w:bookmarkStart w:id="5221" w:name="_Toc418096138"/>
      <w:bookmarkStart w:id="5222" w:name="_Toc418156740"/>
      <w:bookmarkStart w:id="5223" w:name="_Toc418167659"/>
      <w:bookmarkStart w:id="5224" w:name="_Toc418185915"/>
      <w:bookmarkStart w:id="5225" w:name="_Toc422941629"/>
      <w:bookmarkStart w:id="5226" w:name="_Toc423116835"/>
      <w:bookmarkStart w:id="5227" w:name="_Toc423117868"/>
      <w:bookmarkStart w:id="5228" w:name="_Toc423117318"/>
      <w:bookmarkStart w:id="5229" w:name="_Toc431288911"/>
      <w:r>
        <w:t>Microsoft Azure Identity</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00B237AE" w14:textId="20E7220A" w:rsidR="00AE4350" w:rsidRDefault="004D2A48" w:rsidP="00AE4350">
      <w:r w:rsidRPr="004D2A48">
        <w:t>Identity</w:t>
      </w:r>
      <w:r w:rsidR="00AE4350" w:rsidRPr="004D2A48">
        <w:t xml:space="preserve"> and Access Management is a </w:t>
      </w:r>
      <w:r w:rsidR="00AE4350">
        <w:t>daunting</w:t>
      </w:r>
      <w:r w:rsidR="00AE4350" w:rsidRPr="004D2A48">
        <w:t xml:space="preserve"> space </w:t>
      </w:r>
      <w:r w:rsidR="00AE4350">
        <w:t xml:space="preserve">in </w:t>
      </w:r>
      <w:r w:rsidR="00AE4350" w:rsidRPr="004D2A48">
        <w:t xml:space="preserve">technology. </w:t>
      </w:r>
      <w:r w:rsidR="00AE4350">
        <w:t>As trends come and go and Internet threats mature, i</w:t>
      </w:r>
      <w:r w:rsidR="00AE4350" w:rsidRPr="004D2A48">
        <w:t xml:space="preserve">dentity and </w:t>
      </w:r>
      <w:r w:rsidR="00AE4350">
        <w:t>a</w:t>
      </w:r>
      <w:r w:rsidR="00AE4350" w:rsidRPr="004D2A48">
        <w:t xml:space="preserve">ccess </w:t>
      </w:r>
      <w:r w:rsidR="00AE4350">
        <w:t>m</w:t>
      </w:r>
      <w:r w:rsidR="00AE4350" w:rsidRPr="004D2A48">
        <w:t xml:space="preserve">anagement </w:t>
      </w:r>
      <w:r w:rsidR="00AE4350">
        <w:t xml:space="preserve">solutions must constantly evolve. </w:t>
      </w:r>
    </w:p>
    <w:p w14:paraId="500EBFE3" w14:textId="77777777" w:rsidR="00AE4350" w:rsidRDefault="00AE4350" w:rsidP="00AE4350">
      <w:r>
        <w:t xml:space="preserve">A few years ago, a framework for building identity solutions emerged. It’s called “The Four Pillars of Identity.” Many organizations have adopted this framework to forge their identity strategy at macro and micro levels. </w:t>
      </w:r>
    </w:p>
    <w:p w14:paraId="60E451B6" w14:textId="77777777" w:rsidR="00AE4350" w:rsidRDefault="00AE4350" w:rsidP="00AE4350">
      <w:r>
        <w:t>The Four Pillars of Identity are areas that identity solutions must address to be successful:</w:t>
      </w:r>
    </w:p>
    <w:p w14:paraId="321FAE27" w14:textId="77777777" w:rsidR="00AE4350" w:rsidRPr="00AA61C8" w:rsidRDefault="00AE4350" w:rsidP="005729D2">
      <w:pPr>
        <w:pStyle w:val="ListParagraph"/>
        <w:numPr>
          <w:ilvl w:val="0"/>
          <w:numId w:val="272"/>
        </w:numPr>
      </w:pPr>
      <w:r w:rsidRPr="00AA61C8">
        <w:t>Administration</w:t>
      </w:r>
    </w:p>
    <w:p w14:paraId="0468CB63" w14:textId="77777777" w:rsidR="00AE4350" w:rsidRPr="00AA61C8" w:rsidRDefault="00AE4350" w:rsidP="005729D2">
      <w:pPr>
        <w:pStyle w:val="ListParagraph"/>
        <w:numPr>
          <w:ilvl w:val="0"/>
          <w:numId w:val="272"/>
        </w:numPr>
      </w:pPr>
      <w:r w:rsidRPr="00AA61C8">
        <w:t>Authentication</w:t>
      </w:r>
    </w:p>
    <w:p w14:paraId="434F57CD" w14:textId="77777777" w:rsidR="00AE4350" w:rsidRPr="00AA61C8" w:rsidRDefault="00AE4350" w:rsidP="005729D2">
      <w:pPr>
        <w:pStyle w:val="ListParagraph"/>
        <w:numPr>
          <w:ilvl w:val="0"/>
          <w:numId w:val="272"/>
        </w:numPr>
      </w:pPr>
      <w:r w:rsidRPr="00AA61C8">
        <w:t>Authorization</w:t>
      </w:r>
    </w:p>
    <w:p w14:paraId="55E82E36" w14:textId="77777777" w:rsidR="00AE4350" w:rsidRDefault="00AE4350" w:rsidP="005729D2">
      <w:pPr>
        <w:pStyle w:val="ListParagraph"/>
        <w:numPr>
          <w:ilvl w:val="0"/>
          <w:numId w:val="272"/>
        </w:numPr>
      </w:pPr>
      <w:r w:rsidRPr="00AA61C8">
        <w:t>Auditing of identities</w:t>
      </w:r>
      <w:r>
        <w:t xml:space="preserve">. </w:t>
      </w:r>
    </w:p>
    <w:p w14:paraId="4741A62F" w14:textId="77777777" w:rsidR="00AE4350" w:rsidRPr="004D2A48" w:rsidRDefault="00AE4350" w:rsidP="00AE4350">
      <w:r>
        <w:t xml:space="preserve">For more information about the Four Pillars of Identity, please read the whitepaper titled </w:t>
      </w:r>
      <w:hyperlink r:id="rId434" w:history="1">
        <w:r w:rsidRPr="00AA61C8">
          <w:rPr>
            <w:rStyle w:val="Hyperlink"/>
          </w:rPr>
          <w:t>The Four Pillars of Identity – Identity Management in the Age of Hybrid IT</w:t>
        </w:r>
      </w:hyperlink>
      <w:r>
        <w:t>.</w:t>
      </w:r>
    </w:p>
    <w:p w14:paraId="1E4D9AC7" w14:textId="3C912760" w:rsidR="00E42B4E" w:rsidRDefault="00AE4350" w:rsidP="00AE4350">
      <w:r>
        <w:t>Several options for leveraging identity and access management solutions exist when working with Azure. Most often, it’s helpful to distinguish between two audiences when determining a solution: the developer and the IT pro</w:t>
      </w:r>
      <w:r w:rsidR="00E42B4E">
        <w:t>.</w:t>
      </w:r>
    </w:p>
    <w:p w14:paraId="4254BAA4" w14:textId="65623865" w:rsidR="003C1989" w:rsidRPr="003C1989" w:rsidRDefault="003C1989" w:rsidP="00165CBC">
      <w:pPr>
        <w:rPr>
          <w:b/>
        </w:rPr>
      </w:pPr>
      <w:r w:rsidRPr="003C1989">
        <w:rPr>
          <w:b/>
        </w:rPr>
        <w:t>The Developer Audience</w:t>
      </w:r>
    </w:p>
    <w:p w14:paraId="4F98E433" w14:textId="77777777" w:rsidR="00AE4350" w:rsidRDefault="00AE4350" w:rsidP="00AE4350">
      <w:r>
        <w:t>For developers, the most important thing with regards to identity is to integrate their applications with the organization’s preferred identity and access management platform. In the past, many developers didn’t have a good grasp on how to integrate applications with enterprise i</w:t>
      </w:r>
      <w:r w:rsidRPr="004D2A48">
        <w:t xml:space="preserve">dentity and </w:t>
      </w:r>
      <w:r>
        <w:t>a</w:t>
      </w:r>
      <w:r w:rsidRPr="004D2A48">
        <w:t xml:space="preserve">ccess </w:t>
      </w:r>
      <w:r>
        <w:t>m</w:t>
      </w:r>
      <w:r w:rsidRPr="004D2A48">
        <w:t>anagement</w:t>
      </w:r>
      <w:r>
        <w:t xml:space="preserve"> platforms, so they often took on the task of managing the identities and access within the application itself. </w:t>
      </w:r>
    </w:p>
    <w:p w14:paraId="37774AE0" w14:textId="77777777" w:rsidR="00AE4350" w:rsidRDefault="00AE4350" w:rsidP="00AE4350">
      <w:r>
        <w:t xml:space="preserve">This places a lot of burden on the developers, because they have to take on all the work of each of the four identity pillars described previously. This means that they have to provide a place to store identities and provide a way for users to change identity data, manage credentials, deactivate their access, request new access, and so on. </w:t>
      </w:r>
    </w:p>
    <w:p w14:paraId="76803EC0" w14:textId="77777777" w:rsidR="00AE4350" w:rsidRDefault="00AE4350" w:rsidP="00AE4350">
      <w:r>
        <w:t xml:space="preserve">Developers would also have to securely authenticate users, manage entitlements that authorize users to various resources in the application, and maintain audit trails of authentication and access events. </w:t>
      </w:r>
    </w:p>
    <w:p w14:paraId="7312E8C0" w14:textId="30F4419D" w:rsidR="00E42B4E" w:rsidRDefault="00AE4350" w:rsidP="00AE4350">
      <w:r>
        <w:t>Even if a single development team can do this well for a given application, organizations typically have hundreds of applications in use. The result is that users have multiple identities sprawled throughout an organization, with each application operating independently with regards to i</w:t>
      </w:r>
      <w:r w:rsidRPr="004D2A48">
        <w:t xml:space="preserve">dentity and </w:t>
      </w:r>
      <w:r>
        <w:t>a</w:t>
      </w:r>
      <w:r w:rsidRPr="004D2A48">
        <w:t xml:space="preserve">ccess </w:t>
      </w:r>
      <w:r>
        <w:t>m</w:t>
      </w:r>
      <w:r w:rsidRPr="004D2A48">
        <w:t>anagement</w:t>
      </w:r>
      <w:r w:rsidR="00E42B4E">
        <w:t>.</w:t>
      </w:r>
    </w:p>
    <w:p w14:paraId="6A34628D" w14:textId="77777777" w:rsidR="00574AFF" w:rsidRDefault="00574AFF" w:rsidP="00165CBC">
      <w:pPr>
        <w:rPr>
          <w:b/>
        </w:rPr>
      </w:pPr>
    </w:p>
    <w:p w14:paraId="76D1048F" w14:textId="2809F773" w:rsidR="003C1989" w:rsidRPr="003C1989" w:rsidRDefault="003C1989" w:rsidP="00165CBC">
      <w:pPr>
        <w:rPr>
          <w:b/>
        </w:rPr>
      </w:pPr>
      <w:r w:rsidRPr="003C1989">
        <w:rPr>
          <w:b/>
        </w:rPr>
        <w:t>The IT Professional Audience</w:t>
      </w:r>
    </w:p>
    <w:p w14:paraId="558807C6" w14:textId="77777777" w:rsidR="00AE4350" w:rsidRDefault="00AE4350" w:rsidP="00AE4350">
      <w:r>
        <w:t>IT pros are under pressure from the organization to facilitate the adoption of cloud services by extending the traditional i</w:t>
      </w:r>
      <w:r w:rsidRPr="004D2A48">
        <w:t xml:space="preserve">dentity and </w:t>
      </w:r>
      <w:r>
        <w:t>a</w:t>
      </w:r>
      <w:r w:rsidRPr="004D2A48">
        <w:t xml:space="preserve">ccess </w:t>
      </w:r>
      <w:r>
        <w:t>m</w:t>
      </w:r>
      <w:r w:rsidRPr="004D2A48">
        <w:t>anagement</w:t>
      </w:r>
      <w:r>
        <w:t xml:space="preserve"> enterprise into the cloud. Without this important integration, cloud services such as Azure, become virtually unusable. </w:t>
      </w:r>
    </w:p>
    <w:p w14:paraId="5E9F1C15" w14:textId="77777777" w:rsidR="00AE4350" w:rsidRDefault="00AE4350" w:rsidP="00AE4350">
      <w:r>
        <w:t>When there is no integration between the cloud and an organization’s on-premises i</w:t>
      </w:r>
      <w:r w:rsidRPr="004D2A48">
        <w:t xml:space="preserve">dentity and </w:t>
      </w:r>
      <w:r>
        <w:t>a</w:t>
      </w:r>
      <w:r w:rsidRPr="004D2A48">
        <w:t xml:space="preserve">ccess </w:t>
      </w:r>
      <w:r>
        <w:t>m</w:t>
      </w:r>
      <w:r w:rsidRPr="004D2A48">
        <w:t>anagement</w:t>
      </w:r>
      <w:r>
        <w:t xml:space="preserve"> platform, users have multiple identities with different credentials and different access rights to an organization’s data. Not only is this a bad experience for end users, but it makes it impossible to manage access to all of an organization’s applications and resources. The issue gets worse when non-Microsoft clouds are introduced into the equation.</w:t>
      </w:r>
    </w:p>
    <w:p w14:paraId="190533B6" w14:textId="77777777" w:rsidR="00AE4350" w:rsidRDefault="00AE4350" w:rsidP="00AE4350">
      <w:r>
        <w:t xml:space="preserve">Another important concept is that identity becomes the “control plane” for the cloud. In the past, an organization could keep sensitive information on-premises and put up firewalls and extranets to protect it and keep potential malicious users out. </w:t>
      </w:r>
    </w:p>
    <w:p w14:paraId="779D9E09" w14:textId="77777777" w:rsidR="00AE4350" w:rsidRDefault="00AE4350" w:rsidP="00AE4350">
      <w:r>
        <w:t xml:space="preserve">This becomes much more difficult in a cloud-connected world. The network edge is being pushed out and becoming vaster, while users on mobile devices are accessing on-premises applications inside the organization’s network and cloud services provided by the organization. </w:t>
      </w:r>
    </w:p>
    <w:p w14:paraId="186DBB76" w14:textId="74C4C610" w:rsidR="003C1989" w:rsidRDefault="00AE4350" w:rsidP="00AE4350">
      <w:r>
        <w:t>Organizations can no longer depend on firewalls to keep out potential attackers because those firewalls also keep out the people who require access to resources. Because of this, the i</w:t>
      </w:r>
      <w:r w:rsidRPr="004D2A48">
        <w:t xml:space="preserve">dentity and </w:t>
      </w:r>
      <w:r>
        <w:t>a</w:t>
      </w:r>
      <w:r w:rsidRPr="004D2A48">
        <w:t xml:space="preserve">ccess </w:t>
      </w:r>
      <w:r>
        <w:t>m</w:t>
      </w:r>
      <w:r w:rsidRPr="004D2A48">
        <w:t>anagement</w:t>
      </w:r>
      <w:r>
        <w:t xml:space="preserve"> platform is the primary means of protecting an organization’s applications and data in the cloud-connected world</w:t>
      </w:r>
      <w:r w:rsidR="00255EA8">
        <w:t>.</w:t>
      </w:r>
    </w:p>
    <w:p w14:paraId="6C2F1762" w14:textId="77777777" w:rsidR="00165CBC" w:rsidRDefault="00165CBC" w:rsidP="005729D2">
      <w:pPr>
        <w:pStyle w:val="Heading2Numbered"/>
        <w:numPr>
          <w:ilvl w:val="1"/>
          <w:numId w:val="64"/>
        </w:numPr>
      </w:pPr>
      <w:bookmarkStart w:id="5230" w:name="_Toc414892130"/>
      <w:bookmarkStart w:id="5231" w:name="_Toc414960153"/>
      <w:bookmarkStart w:id="5232" w:name="_Toc414969124"/>
      <w:bookmarkStart w:id="5233" w:name="_Toc415011346"/>
      <w:bookmarkStart w:id="5234" w:name="_Toc415040036"/>
      <w:bookmarkStart w:id="5235" w:name="_Toc415572393"/>
      <w:bookmarkStart w:id="5236" w:name="_Toc415735563"/>
      <w:bookmarkStart w:id="5237" w:name="_Toc415814144"/>
      <w:bookmarkStart w:id="5238" w:name="_Toc416343879"/>
      <w:bookmarkStart w:id="5239" w:name="_Toc416863151"/>
      <w:bookmarkStart w:id="5240" w:name="_Toc417314766"/>
      <w:bookmarkStart w:id="5241" w:name="_Toc417323783"/>
      <w:bookmarkStart w:id="5242" w:name="_Toc417326873"/>
      <w:bookmarkStart w:id="5243" w:name="_Toc417330421"/>
      <w:bookmarkStart w:id="5244" w:name="_Toc417395027"/>
      <w:bookmarkStart w:id="5245" w:name="_Toc417399244"/>
      <w:bookmarkStart w:id="5246" w:name="_Toc417399403"/>
      <w:bookmarkStart w:id="5247" w:name="_Toc417400450"/>
      <w:bookmarkStart w:id="5248" w:name="_Toc417401298"/>
      <w:bookmarkStart w:id="5249" w:name="_Toc417419613"/>
      <w:bookmarkStart w:id="5250" w:name="_Toc417457385"/>
      <w:bookmarkStart w:id="5251" w:name="_Toc417481963"/>
      <w:bookmarkStart w:id="5252" w:name="_Toc417482221"/>
      <w:bookmarkStart w:id="5253" w:name="_Toc417499940"/>
      <w:bookmarkStart w:id="5254" w:name="_Toc417502761"/>
      <w:bookmarkStart w:id="5255" w:name="_Toc417548341"/>
      <w:bookmarkStart w:id="5256" w:name="_Toc417594584"/>
      <w:bookmarkStart w:id="5257" w:name="_Toc417934713"/>
      <w:bookmarkStart w:id="5258" w:name="_Toc417936052"/>
      <w:bookmarkStart w:id="5259" w:name="_Toc417936514"/>
      <w:bookmarkStart w:id="5260" w:name="_Toc417946937"/>
      <w:bookmarkStart w:id="5261" w:name="_Toc417947406"/>
      <w:bookmarkStart w:id="5262" w:name="_Toc417982547"/>
      <w:bookmarkStart w:id="5263" w:name="_Toc417986001"/>
      <w:bookmarkStart w:id="5264" w:name="_Toc418000693"/>
      <w:bookmarkStart w:id="5265" w:name="_Toc418003865"/>
      <w:bookmarkStart w:id="5266" w:name="_Toc418012070"/>
      <w:bookmarkStart w:id="5267" w:name="_Toc418014483"/>
      <w:bookmarkStart w:id="5268" w:name="_Toc418030088"/>
      <w:bookmarkStart w:id="5269" w:name="_Toc418036971"/>
      <w:bookmarkStart w:id="5270" w:name="_Toc418061444"/>
      <w:bookmarkStart w:id="5271" w:name="_Toc418081343"/>
      <w:bookmarkStart w:id="5272" w:name="_Toc418083375"/>
      <w:bookmarkStart w:id="5273" w:name="_Toc418096139"/>
      <w:bookmarkStart w:id="5274" w:name="_Toc418156741"/>
      <w:bookmarkStart w:id="5275" w:name="_Toc418167660"/>
      <w:bookmarkStart w:id="5276" w:name="_Toc418185916"/>
      <w:bookmarkStart w:id="5277" w:name="_Toc422941630"/>
      <w:bookmarkStart w:id="5278" w:name="_Toc423116836"/>
      <w:bookmarkStart w:id="5279" w:name="_Toc423117869"/>
      <w:bookmarkStart w:id="5280" w:name="_Toc423117319"/>
      <w:bookmarkStart w:id="5281" w:name="_Toc431288912"/>
      <w:r>
        <w:t>Azure Active Directory</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2DDC4480" w14:textId="77777777" w:rsidR="00AE4350" w:rsidRDefault="00AE4350" w:rsidP="00AE4350">
      <w:r>
        <w:t>Azure Active Directory (Azure AD) interacts with the cloud in two ways:</w:t>
      </w:r>
    </w:p>
    <w:p w14:paraId="763CA5B5" w14:textId="77777777" w:rsidR="00AE4350" w:rsidRDefault="00AE4350" w:rsidP="005729D2">
      <w:pPr>
        <w:pStyle w:val="ListParagraph"/>
        <w:numPr>
          <w:ilvl w:val="0"/>
          <w:numId w:val="273"/>
        </w:numPr>
      </w:pPr>
      <w:r>
        <w:t xml:space="preserve">An enabler of the cloud </w:t>
      </w:r>
    </w:p>
    <w:p w14:paraId="0FAE0E56" w14:textId="77777777" w:rsidR="00AE4350" w:rsidRDefault="00AE4350" w:rsidP="005729D2">
      <w:pPr>
        <w:pStyle w:val="ListParagraph"/>
        <w:numPr>
          <w:ilvl w:val="0"/>
          <w:numId w:val="273"/>
        </w:numPr>
      </w:pPr>
      <w:r>
        <w:t>A consumer of the cloud</w:t>
      </w:r>
    </w:p>
    <w:p w14:paraId="2368BD34" w14:textId="77777777" w:rsidR="00AE4350" w:rsidRDefault="00AE4350" w:rsidP="00AE4350">
      <w:r>
        <w:t xml:space="preserve">IT professionals will mostly be concerned with Azure AD as an </w:t>
      </w:r>
      <w:r w:rsidRPr="000A2309">
        <w:t>enabler</w:t>
      </w:r>
      <w:r>
        <w:t xml:space="preserve"> of the cloud because they are often tasked with integrating the enterprise i</w:t>
      </w:r>
      <w:r w:rsidRPr="004D2A48">
        <w:t xml:space="preserve">dentity and </w:t>
      </w:r>
      <w:r>
        <w:t>a</w:t>
      </w:r>
      <w:r w:rsidRPr="004D2A48">
        <w:t xml:space="preserve">ccess </w:t>
      </w:r>
      <w:r>
        <w:t>m</w:t>
      </w:r>
      <w:r w:rsidRPr="004D2A48">
        <w:t>anagement</w:t>
      </w:r>
      <w:r>
        <w:t xml:space="preserve"> platform into the cloud. </w:t>
      </w:r>
    </w:p>
    <w:p w14:paraId="3129901D" w14:textId="042F4411" w:rsidR="00E832EF" w:rsidRDefault="00AE4350" w:rsidP="00AE4350">
      <w:r>
        <w:t xml:space="preserve">On the other hand, developers will mostly be concerned with the identity services that Azure AD provides as a </w:t>
      </w:r>
      <w:r w:rsidRPr="000A2309">
        <w:t>consumer</w:t>
      </w:r>
      <w:r>
        <w:t xml:space="preserve"> of the cloud. Most often, they are looking to understand how their applications can leverage the cloud identity service</w:t>
      </w:r>
      <w:r w:rsidR="00C90BA4">
        <w:t>.</w:t>
      </w:r>
    </w:p>
    <w:p w14:paraId="2AE16BF3" w14:textId="3AB94FD3" w:rsidR="00E832EF" w:rsidRPr="00E832EF" w:rsidRDefault="00E832EF" w:rsidP="00165CBC">
      <w:pPr>
        <w:rPr>
          <w:b/>
        </w:rPr>
      </w:pPr>
      <w:r w:rsidRPr="00E832EF">
        <w:rPr>
          <w:b/>
        </w:rPr>
        <w:t>Enabler of the Cloud</w:t>
      </w:r>
    </w:p>
    <w:p w14:paraId="0C93B477" w14:textId="77777777" w:rsidR="00AE4350" w:rsidRDefault="00AE4350" w:rsidP="00AE4350">
      <w:r>
        <w:t>Azure AD plays a pivotal role in enabling the cloud. To use Microsoft cloud services, such as Office 365, the cloud services must:</w:t>
      </w:r>
    </w:p>
    <w:p w14:paraId="197EEE22" w14:textId="77777777" w:rsidR="00AE4350" w:rsidRDefault="00AE4350" w:rsidP="005729D2">
      <w:pPr>
        <w:pStyle w:val="ListParagraph"/>
        <w:numPr>
          <w:ilvl w:val="0"/>
          <w:numId w:val="274"/>
        </w:numPr>
      </w:pPr>
      <w:r>
        <w:t>Store identity data that is used to identify the user</w:t>
      </w:r>
    </w:p>
    <w:p w14:paraId="35824AF8" w14:textId="77777777" w:rsidR="00AE4350" w:rsidRDefault="00AE4350" w:rsidP="005729D2">
      <w:pPr>
        <w:pStyle w:val="ListParagraph"/>
        <w:numPr>
          <w:ilvl w:val="0"/>
          <w:numId w:val="274"/>
        </w:numPr>
      </w:pPr>
      <w:r>
        <w:t>Store profile data about the user</w:t>
      </w:r>
    </w:p>
    <w:p w14:paraId="6282E3E8" w14:textId="77777777" w:rsidR="00AE4350" w:rsidRDefault="00AE4350" w:rsidP="005729D2">
      <w:pPr>
        <w:pStyle w:val="ListParagraph"/>
        <w:numPr>
          <w:ilvl w:val="0"/>
          <w:numId w:val="274"/>
        </w:numPr>
      </w:pPr>
      <w:r>
        <w:t xml:space="preserve">Entitle the user to specific applications and data in the cloud service </w:t>
      </w:r>
    </w:p>
    <w:p w14:paraId="526E36FD" w14:textId="77777777" w:rsidR="00AE4350" w:rsidRDefault="00AE4350" w:rsidP="00AE4350">
      <w:r>
        <w:t>Rather than having each cloud service keep its own identity repository, all Microsoft cloud services use Azure AD. The capabilities of the Microsoft cloud cannot be enabled without it.</w:t>
      </w:r>
    </w:p>
    <w:p w14:paraId="0F810940" w14:textId="69405D7A" w:rsidR="007D7808" w:rsidRDefault="00AE4350" w:rsidP="00AE4350">
      <w:r>
        <w:t>After identities are populated in the Microsoft cloud, Azure AD becomes an identity and access management hub that enables other clouds. Azure AD can facilitate access to an organization’s custom applications regardless of whether they are on-premises or hosted in the cloud, in addition to other Software-as-a-Service applications that do not reside in the Microsoft cloud</w:t>
      </w:r>
      <w:r w:rsidR="007E304E">
        <w:t>.</w:t>
      </w:r>
    </w:p>
    <w:p w14:paraId="4F423A09" w14:textId="4FCBBF6B" w:rsidR="00E832EF" w:rsidRPr="00E832EF" w:rsidRDefault="00E832EF" w:rsidP="00165CBC">
      <w:pPr>
        <w:rPr>
          <w:b/>
        </w:rPr>
      </w:pPr>
      <w:r w:rsidRPr="00E832EF">
        <w:rPr>
          <w:b/>
        </w:rPr>
        <w:t>Consumer of the Cloud</w:t>
      </w:r>
    </w:p>
    <w:p w14:paraId="63E53ED7" w14:textId="77777777" w:rsidR="00AE4350" w:rsidRDefault="00AE4350" w:rsidP="00AE4350">
      <w:r>
        <w:t>Azure AD is a single, multitenant directory that contains over 200 million active identities and serves billions of authentication requests each day. A cloud-scale identity service like this can only be built by using the scale and breadth of the cloud. In addition, Azure AD has features that rely on cloud services, such as Azure Multi-Factor Authentication and machine learning technologies. In this way, Azure AD consumes the cloud to provide its services.</w:t>
      </w:r>
    </w:p>
    <w:p w14:paraId="6CA8A8E0" w14:textId="77777777" w:rsidR="00AE4350" w:rsidRDefault="00AE4350" w:rsidP="00AE4350">
      <w:r>
        <w:t xml:space="preserve">Azure AD becomes a cloud service that can be consumed by other applications and services. Application programming interfaces (APIs) and endpoints are exposed so that developers can use Azure AD to store and retrieve their identity data, and they can depend on Azure AD to authenticate users to their applications. </w:t>
      </w:r>
    </w:p>
    <w:p w14:paraId="2806EE6E" w14:textId="1D63935C" w:rsidR="007E304E" w:rsidRDefault="00AE4350" w:rsidP="00AE4350">
      <w:r>
        <w:t>IT professionals can use the cloud Identity Management-as-a-Service features, such as Self-service password reset, to enable new identity management capabilities that traditionally took months to deploy on-premises</w:t>
      </w:r>
      <w:r w:rsidR="007E304E">
        <w:t>.</w:t>
      </w:r>
    </w:p>
    <w:tbl>
      <w:tblPr>
        <w:tblStyle w:val="PlainTable11"/>
        <w:tblW w:w="0" w:type="auto"/>
        <w:tblLook w:val="04A0" w:firstRow="1" w:lastRow="0" w:firstColumn="1" w:lastColumn="0" w:noHBand="0" w:noVBand="1"/>
      </w:tblPr>
      <w:tblGrid>
        <w:gridCol w:w="3415"/>
        <w:gridCol w:w="5935"/>
      </w:tblGrid>
      <w:tr w:rsidR="009E7807" w14:paraId="0690AF33" w14:textId="77777777" w:rsidTr="001C4D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101EBEF6" w14:textId="70A934AB" w:rsidR="009E7807" w:rsidRPr="00F47607" w:rsidRDefault="00C21112" w:rsidP="00B2601C">
            <w:pPr>
              <w:spacing w:line="240" w:lineRule="auto"/>
              <w:rPr>
                <w:color w:val="FFFFFF"/>
              </w:rPr>
            </w:pPr>
            <w:r>
              <w:rPr>
                <w:color w:val="FFFFFF"/>
              </w:rPr>
              <w:t xml:space="preserve">Feature </w:t>
            </w:r>
            <w:r w:rsidR="009E7807">
              <w:rPr>
                <w:color w:val="FFFFFF"/>
              </w:rPr>
              <w:t>References</w:t>
            </w:r>
          </w:p>
        </w:tc>
      </w:tr>
      <w:tr w:rsidR="009E7807" w:rsidRPr="001C4D03" w14:paraId="10C2BFDF" w14:textId="77777777" w:rsidTr="001C4D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779DE41B" w14:textId="26AB963E" w:rsidR="009E7807" w:rsidRPr="001C4D03" w:rsidRDefault="00C21112" w:rsidP="00B2601C">
            <w:pPr>
              <w:spacing w:line="240" w:lineRule="auto"/>
              <w:rPr>
                <w:sz w:val="20"/>
                <w:szCs w:val="18"/>
              </w:rPr>
            </w:pPr>
            <w:r w:rsidRPr="001C4D03">
              <w:rPr>
                <w:sz w:val="20"/>
                <w:szCs w:val="18"/>
              </w:rPr>
              <w:t>Azure Active Directory</w:t>
            </w:r>
          </w:p>
        </w:tc>
        <w:tc>
          <w:tcPr>
            <w:tcW w:w="5940" w:type="dxa"/>
          </w:tcPr>
          <w:p w14:paraId="7F44E2EE" w14:textId="0127A859" w:rsidR="009E7807" w:rsidRPr="001C4D03" w:rsidRDefault="00872E47" w:rsidP="00B2601C">
            <w:pPr>
              <w:cnfStyle w:val="000000100000" w:firstRow="0" w:lastRow="0" w:firstColumn="0" w:lastColumn="0" w:oddVBand="0" w:evenVBand="0" w:oddHBand="1" w:evenHBand="0" w:firstRowFirstColumn="0" w:firstRowLastColumn="0" w:lastRowFirstColumn="0" w:lastRowLastColumn="0"/>
              <w:rPr>
                <w:sz w:val="20"/>
                <w:szCs w:val="18"/>
              </w:rPr>
            </w:pPr>
            <w:hyperlink r:id="rId435" w:history="1">
              <w:r w:rsidR="00290616">
                <w:rPr>
                  <w:rStyle w:val="Hyperlink"/>
                  <w:sz w:val="20"/>
                  <w:szCs w:val="18"/>
                </w:rPr>
                <w:t>http://azure.microsoft.com/en-us/documentation/services/active-directory/</w:t>
              </w:r>
            </w:hyperlink>
            <w:r w:rsidR="00C21112" w:rsidRPr="001C4D03">
              <w:rPr>
                <w:sz w:val="20"/>
                <w:szCs w:val="18"/>
              </w:rPr>
              <w:t xml:space="preserve"> </w:t>
            </w:r>
          </w:p>
        </w:tc>
      </w:tr>
      <w:tr w:rsidR="00C21112" w:rsidRPr="001C4D03" w14:paraId="7DEEB50D" w14:textId="77777777" w:rsidTr="001C4D03">
        <w:tc>
          <w:tcPr>
            <w:cnfStyle w:val="001000000000" w:firstRow="0" w:lastRow="0" w:firstColumn="1" w:lastColumn="0" w:oddVBand="0" w:evenVBand="0" w:oddHBand="0" w:evenHBand="0" w:firstRowFirstColumn="0" w:firstRowLastColumn="0" w:lastRowFirstColumn="0" w:lastRowLastColumn="0"/>
            <w:tcW w:w="3420" w:type="dxa"/>
          </w:tcPr>
          <w:p w14:paraId="522EE8C4" w14:textId="3D993BD1" w:rsidR="00C21112" w:rsidRPr="001C4D03" w:rsidRDefault="00C21112" w:rsidP="00B2601C">
            <w:pPr>
              <w:spacing w:line="240" w:lineRule="auto"/>
              <w:rPr>
                <w:sz w:val="20"/>
                <w:szCs w:val="18"/>
              </w:rPr>
            </w:pPr>
            <w:r w:rsidRPr="001C4D03">
              <w:rPr>
                <w:sz w:val="20"/>
                <w:szCs w:val="18"/>
              </w:rPr>
              <w:t>What is Azure Active Directory</w:t>
            </w:r>
          </w:p>
        </w:tc>
        <w:tc>
          <w:tcPr>
            <w:tcW w:w="5940" w:type="dxa"/>
          </w:tcPr>
          <w:p w14:paraId="6CA480D1" w14:textId="2B1D42A1" w:rsidR="00C21112" w:rsidRPr="001C4D03" w:rsidRDefault="00872E47" w:rsidP="00B2601C">
            <w:pPr>
              <w:cnfStyle w:val="000000000000" w:firstRow="0" w:lastRow="0" w:firstColumn="0" w:lastColumn="0" w:oddVBand="0" w:evenVBand="0" w:oddHBand="0" w:evenHBand="0" w:firstRowFirstColumn="0" w:firstRowLastColumn="0" w:lastRowFirstColumn="0" w:lastRowLastColumn="0"/>
              <w:rPr>
                <w:sz w:val="20"/>
                <w:szCs w:val="18"/>
              </w:rPr>
            </w:pPr>
            <w:hyperlink r:id="rId436" w:history="1">
              <w:r w:rsidR="00C21112" w:rsidRPr="001C4D03">
                <w:rPr>
                  <w:rStyle w:val="Hyperlink"/>
                  <w:sz w:val="20"/>
                  <w:szCs w:val="18"/>
                </w:rPr>
                <w:t>http://azure.microsoft.com/en-us/documentation/articles/active-directory-whatis</w:t>
              </w:r>
            </w:hyperlink>
            <w:r w:rsidR="00C21112" w:rsidRPr="001C4D03">
              <w:rPr>
                <w:sz w:val="20"/>
                <w:szCs w:val="18"/>
              </w:rPr>
              <w:t xml:space="preserve"> </w:t>
            </w:r>
          </w:p>
        </w:tc>
      </w:tr>
    </w:tbl>
    <w:p w14:paraId="3A2DB0CF" w14:textId="3C707F9E" w:rsidR="005843BE" w:rsidRDefault="005843BE" w:rsidP="005729D2">
      <w:pPr>
        <w:pStyle w:val="Heading3Numbered"/>
        <w:numPr>
          <w:ilvl w:val="2"/>
          <w:numId w:val="64"/>
        </w:numPr>
      </w:pPr>
      <w:bookmarkStart w:id="5282" w:name="_Toc414892131"/>
      <w:bookmarkStart w:id="5283" w:name="_Toc414960154"/>
      <w:bookmarkStart w:id="5284" w:name="_Toc414969125"/>
      <w:bookmarkStart w:id="5285" w:name="_Toc415011347"/>
      <w:bookmarkStart w:id="5286" w:name="_Toc415040037"/>
      <w:bookmarkStart w:id="5287" w:name="_Toc415572394"/>
      <w:bookmarkStart w:id="5288" w:name="_Toc415735564"/>
      <w:bookmarkStart w:id="5289" w:name="_Toc415814145"/>
      <w:bookmarkStart w:id="5290" w:name="_Toc416343880"/>
      <w:bookmarkStart w:id="5291" w:name="_Toc416863152"/>
      <w:bookmarkStart w:id="5292" w:name="_Toc417314767"/>
      <w:bookmarkStart w:id="5293" w:name="_Toc417323784"/>
      <w:bookmarkStart w:id="5294" w:name="_Toc417326874"/>
      <w:bookmarkStart w:id="5295" w:name="_Toc417330422"/>
      <w:bookmarkStart w:id="5296" w:name="_Toc417395028"/>
      <w:bookmarkStart w:id="5297" w:name="_Toc417399245"/>
      <w:bookmarkStart w:id="5298" w:name="_Toc417399404"/>
      <w:bookmarkStart w:id="5299" w:name="_Toc417400451"/>
      <w:bookmarkStart w:id="5300" w:name="_Toc417401299"/>
      <w:bookmarkStart w:id="5301" w:name="_Toc417419614"/>
      <w:bookmarkStart w:id="5302" w:name="_Toc417457386"/>
      <w:bookmarkStart w:id="5303" w:name="_Toc417481964"/>
      <w:bookmarkStart w:id="5304" w:name="_Toc417482222"/>
      <w:bookmarkStart w:id="5305" w:name="_Toc417499941"/>
      <w:bookmarkStart w:id="5306" w:name="_Toc417502762"/>
      <w:bookmarkStart w:id="5307" w:name="_Toc417548342"/>
      <w:bookmarkStart w:id="5308" w:name="_Toc417594585"/>
      <w:bookmarkStart w:id="5309" w:name="_Toc417934714"/>
      <w:bookmarkStart w:id="5310" w:name="_Toc417936053"/>
      <w:bookmarkStart w:id="5311" w:name="_Toc417936515"/>
      <w:bookmarkStart w:id="5312" w:name="_Toc417946938"/>
      <w:bookmarkStart w:id="5313" w:name="_Toc417947407"/>
      <w:bookmarkStart w:id="5314" w:name="_Toc417982548"/>
      <w:bookmarkStart w:id="5315" w:name="_Toc417986002"/>
      <w:bookmarkStart w:id="5316" w:name="_Toc418000694"/>
      <w:bookmarkStart w:id="5317" w:name="_Toc418003866"/>
      <w:bookmarkStart w:id="5318" w:name="_Toc418012071"/>
      <w:bookmarkStart w:id="5319" w:name="_Toc418014484"/>
      <w:bookmarkStart w:id="5320" w:name="_Toc418030089"/>
      <w:bookmarkStart w:id="5321" w:name="_Toc418036972"/>
      <w:bookmarkStart w:id="5322" w:name="_Toc418061445"/>
      <w:bookmarkStart w:id="5323" w:name="_Toc418081344"/>
      <w:bookmarkStart w:id="5324" w:name="_Toc418083376"/>
      <w:bookmarkStart w:id="5325" w:name="_Toc418096140"/>
      <w:bookmarkStart w:id="5326" w:name="_Toc418156742"/>
      <w:bookmarkStart w:id="5327" w:name="_Toc418167661"/>
      <w:bookmarkStart w:id="5328" w:name="_Toc418185917"/>
      <w:bookmarkStart w:id="5329" w:name="_Toc422941631"/>
      <w:bookmarkStart w:id="5330" w:name="_Toc423116837"/>
      <w:bookmarkStart w:id="5331" w:name="_Toc423117870"/>
      <w:bookmarkStart w:id="5332" w:name="_Toc423117320"/>
      <w:bookmarkStart w:id="5333" w:name="_Toc431288913"/>
      <w:r>
        <w:t>Tenant Directory Planning</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75661A04" w14:textId="684B771D" w:rsidR="00AE4350" w:rsidRDefault="00002362" w:rsidP="00AE4350">
      <w:r>
        <w:t>The</w:t>
      </w:r>
      <w:r w:rsidR="00AE4350">
        <w:t xml:space="preserve"> existence of an Azure AD directory is a requirement for an Azure subscription. Therefore, each Azure tenant has at least one directory associated with it. This directory is used for signing in to and accessing the Azure portal, Office 365, and other Microsoft cloud services.</w:t>
      </w:r>
    </w:p>
    <w:p w14:paraId="690110F9" w14:textId="77777777" w:rsidR="00AE4350" w:rsidRDefault="00AE4350" w:rsidP="00AE4350">
      <w:r>
        <w:t>Additionally, Azure tenants can have multiple directories. These directories are separate and unique. For example, if two Azure AD directories exist in the same tenant, they have their own set of administrators and there is no data shared between them. Administrators of one directory in the tenant do not have access to another directory in the same tenant, unless they are explicitly granted access to it.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AE4350" w14:paraId="767CC80E" w14:textId="77777777" w:rsidTr="00AE4350">
        <w:trPr>
          <w:trHeight w:val="423"/>
        </w:trPr>
        <w:tc>
          <w:tcPr>
            <w:tcW w:w="666" w:type="dxa"/>
          </w:tcPr>
          <w:p w14:paraId="68F514AB" w14:textId="77777777" w:rsidR="00AE4350" w:rsidRDefault="00AE4350" w:rsidP="00AE4350">
            <w:pPr>
              <w:spacing w:after="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5873C29C" wp14:editId="6BFDCD9C">
                      <wp:extent cx="200025" cy="180975"/>
                      <wp:effectExtent l="57150" t="19050" r="28575" b="104775"/>
                      <wp:docPr id="41071" name="Octagon 41071"/>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1D2E6BA" id="Octagon 41071"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SwAdAIAAFIFAAAOAAAAZHJzL2Uyb0RvYy54bWysVF9r2zAQfx/sOwi9r7azdG1DnBJSOgal&#10;LW1HnxVZSgSSTpOUONmn30l2nNAVCmMv0p3u/+/uNL3eGU22wgcFtqbVWUmJsBwaZVc1/fly++WS&#10;khCZbZgGK2q6F4Fezz5/mrZuIkawBt0IT9CJDZPW1XQdo5sUReBrYVg4AycsCiV4wyKyflU0nrXo&#10;3ehiVJbfihZ84zxwEQK+3nRCOsv+pRQ8PkgZRCS6pphbzKfP5zKdxWzKJivP3FrxPg32D1kYpiwG&#10;HVzdsMjIxqu/XBnFPQSQ8YyDKUBKxUWuAaupyjfVPK+ZE7kWBCe4Aabw/9zy++2jJ6qp6bgqLypK&#10;LDPYpgce2Qos6R4RpNaFCeo+u0ffcwHJVPFOepNurIXsMrD7AVixi4TjI3aqHJ1TwlFUXZZXF+cJ&#10;+OJo7HyI3wUYkoiaQhc+I8q2dyF22getFC6AVs2t0jozfrVcaE+2DNu8WGC03FkMcKJWpBq6rDMV&#10;91okY22fhEQIMM8qR8zDJwZ/jHNh46jPOGsnM4mxB8OvHxv2+slU5MEcjEcfGw8WOTLYOBgbZcG/&#10;50DHqk9ZdvoI+EndiVxCs8fue+jWIjh+qxD/OxbiI/O4B7gxuNvxAQ+pocXG9BQla/C/33tP+jie&#10;KKWkxb2qafi1YV5Qon9YHNyrajxOi5iZ8fnFCBl/KlmeSuzGLAB7ioOJ2WUy6Ud9IKUH84pfwDxF&#10;RRGzHGPXlEd/YBax23f8RLiYz7MaLp9j8c4+O37oehqul90r864fwojTew+HHWSTN4PY6aZ+WJhv&#10;IkiVp/SIa483Lm4e9f6TST/DKZ+1jl/h7A8AAAD//wMAUEsDBBQABgAIAAAAIQCft0Tx2wAAAAMB&#10;AAAPAAAAZHJzL2Rvd25yZXYueG1sTI9BS8NAEIXvgv9hGcGb3aTSEtNsiggFD9JgtXjdZqdJaHY2&#10;7G6b+O8dvdjLwOM93vumWE+2Fxf0oXOkIJ0lIJBqZzpqFHx+bB4yECFqMrp3hAq+McC6vL0pdG7c&#10;SO942cVGcAmFXCtoYxxyKUPdotVh5gYk9o7OWx1Z+kYar0cut72cJ8lSWt0RL7R6wJcW69PubBVU&#10;p7F6zarq6ctvlts3b/ep3+6Vur+bnlcgIk7xPwy/+IwOJTMd3JlMEL0CfiT+XfYe0wWIg4J5tgBZ&#10;FvKavfwBAAD//wMAUEsBAi0AFAAGAAgAAAAhALaDOJL+AAAA4QEAABMAAAAAAAAAAAAAAAAAAAAA&#10;AFtDb250ZW50X1R5cGVzXS54bWxQSwECLQAUAAYACAAAACEAOP0h/9YAAACUAQAACwAAAAAAAAAA&#10;AAAAAAAvAQAAX3JlbHMvLnJlbHNQSwECLQAUAAYACAAAACEAYK0sAHQCAABSBQAADgAAAAAAAAAA&#10;AAAAAAAuAgAAZHJzL2Uyb0RvYy54bWxQSwECLQAUAAYACAAAACEAn7dE8dsAAAADAQAADwAAAAAA&#10;AAAAAAAAAADOBAAAZHJzL2Rvd25yZXYueG1sUEsFBgAAAAAEAAQA8wAAANYFAAAAAA==&#10;" fillcolor="#c00" strokecolor="#ed7d31 [3205]" strokeweight=".5pt">
                      <w10:anchorlock/>
                    </v:shape>
                  </w:pict>
                </mc:Fallback>
              </mc:AlternateContent>
            </w:r>
          </w:p>
        </w:tc>
        <w:tc>
          <w:tcPr>
            <w:tcW w:w="8604" w:type="dxa"/>
          </w:tcPr>
          <w:p w14:paraId="1D26D9C3" w14:textId="77777777" w:rsidR="00AE4350" w:rsidRDefault="00AE4350" w:rsidP="00AE4350">
            <w:pPr>
              <w:rPr>
                <w:lang w:eastAsia="en-US"/>
              </w:rPr>
            </w:pPr>
            <w:r w:rsidRPr="00192064">
              <w:rPr>
                <w:b/>
                <w:lang w:eastAsia="en-US"/>
              </w:rPr>
              <w:t>Mandatory</w:t>
            </w:r>
            <w:r>
              <w:rPr>
                <w:lang w:eastAsia="en-US"/>
              </w:rPr>
              <w:t>: There must be at least one directory in the tenant. You do not have a choice. All tenants created within Azure are assigned a default directory if one doesn’t exist.</w:t>
            </w:r>
          </w:p>
        </w:tc>
      </w:tr>
    </w:tbl>
    <w:p w14:paraId="2C13C676" w14:textId="77777777" w:rsidR="00AE4350" w:rsidRPr="00002362" w:rsidRDefault="00AE4350" w:rsidP="00AE4350">
      <w:pPr>
        <w:rPr>
          <w:b/>
        </w:rPr>
      </w:pPr>
      <w:r w:rsidRPr="00002362">
        <w:rPr>
          <w:b/>
        </w:rPr>
        <w:t>How Many Directories</w:t>
      </w:r>
      <w:r>
        <w:rPr>
          <w:b/>
        </w:rPr>
        <w:t xml:space="preserve"> Should a Customer Have</w:t>
      </w:r>
      <w:r w:rsidRPr="00002362">
        <w:rPr>
          <w:b/>
        </w:rPr>
        <w:t>?</w:t>
      </w:r>
    </w:p>
    <w:p w14:paraId="0DB15CA2" w14:textId="77777777" w:rsidR="00AE4350" w:rsidRDefault="00AE4350" w:rsidP="00AE4350">
      <w:r>
        <w:t xml:space="preserve">Most tenants should have at least two directories—one for the production users using the cloud services that are integrated with Azure AD, and another directory for testing. </w:t>
      </w:r>
    </w:p>
    <w:p w14:paraId="683B7C6E" w14:textId="77777777" w:rsidR="00AE4350" w:rsidRDefault="00AE4350" w:rsidP="00AE4350">
      <w:r>
        <w:t>If a customer has software development teams, it is possible that those teams might need Azure AD directories that they can use for developing applications. The following criteria should be used to determine if separate development directories are needed:</w:t>
      </w:r>
    </w:p>
    <w:p w14:paraId="4D217009" w14:textId="77777777" w:rsidR="00AE4350" w:rsidRDefault="00AE4350" w:rsidP="005729D2">
      <w:pPr>
        <w:pStyle w:val="ListBullet"/>
        <w:numPr>
          <w:ilvl w:val="0"/>
          <w:numId w:val="106"/>
        </w:numPr>
      </w:pPr>
      <w:r>
        <w:t>Is there any reason why the development team can’t use the test directory? For example, developers might need a separate directory if they need to control user accounts and attributes in the directory.</w:t>
      </w:r>
    </w:p>
    <w:p w14:paraId="16D3EE93" w14:textId="77777777" w:rsidR="00AE4350" w:rsidRDefault="00AE4350" w:rsidP="005729D2">
      <w:pPr>
        <w:pStyle w:val="ListBullet"/>
        <w:numPr>
          <w:ilvl w:val="0"/>
          <w:numId w:val="106"/>
        </w:numPr>
      </w:pPr>
      <w:r>
        <w:t>Does the development team need to have the full log-in experience that an end-user will go through? If so, the development directory might require a deeper level of integration with the on-premises Active Directory if the production tenant is federated with Active Directory Federation Services (AD FS). Maintaining this integration for each developer directory would be extremely arduous because it would require multiple on-premises servers. Most organizations would develop applications against the test directory in this case, rather than maintaining multiple Azure AD Connect instances.</w:t>
      </w:r>
    </w:p>
    <w:p w14:paraId="5B74470E" w14:textId="77777777" w:rsidR="00AE4350" w:rsidRDefault="00AE4350" w:rsidP="005729D2">
      <w:pPr>
        <w:pStyle w:val="ListBullet"/>
        <w:numPr>
          <w:ilvl w:val="0"/>
          <w:numId w:val="106"/>
        </w:numPr>
      </w:pPr>
      <w:r>
        <w:t>Are any Azure AD Premium features (such as Multi-Factor Authentication) needed by the development team? Azure AD Premium is licensed per-directory. Therefore, if Azure AD Premium features are needed in the development directory, the customer must purchase independent licenses for the development accounts.</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AE4350" w14:paraId="0B51B404" w14:textId="77777777" w:rsidTr="00AE4350">
        <w:trPr>
          <w:trHeight w:val="423"/>
        </w:trPr>
        <w:tc>
          <w:tcPr>
            <w:tcW w:w="666" w:type="dxa"/>
          </w:tcPr>
          <w:p w14:paraId="16D6D322" w14:textId="77777777" w:rsidR="00AE4350" w:rsidRDefault="00AE4350" w:rsidP="00AE4350">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836416" behindDoc="0" locked="0" layoutInCell="1" allowOverlap="1" wp14:anchorId="02C5CBF1" wp14:editId="792D902C">
                      <wp:simplePos x="0" y="0"/>
                      <wp:positionH relativeFrom="column">
                        <wp:posOffset>66675</wp:posOffset>
                      </wp:positionH>
                      <wp:positionV relativeFrom="paragraph">
                        <wp:posOffset>90170</wp:posOffset>
                      </wp:positionV>
                      <wp:extent cx="180975" cy="180975"/>
                      <wp:effectExtent l="57150" t="19050" r="9525" b="104775"/>
                      <wp:wrapNone/>
                      <wp:docPr id="221" name="Oval 2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7E5B7837" id="Oval 221" o:spid="_x0000_s1026" style="position:absolute;margin-left:5.25pt;margin-top:7.1pt;width:14.25pt;height:14.2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v14fAIAAGQFAAAOAAAAZHJzL2Uyb0RvYy54bWysVE1PGzEQvVfqf7B8L7sJocAqG5SCqCpF&#10;gAoVZ8drJ1Ztj2s72aS/nrF3s9CChFT1Ynk8b77feHqxM5pshQ8KbE1HRyUlwnJolF3V9MfD9acz&#10;SkJktmEarKjpXgR6Mfv4Ydq6SoxhDboRnqATG6rW1XQdo6uKIvC1MCwcgRMWlRK8YRFFvyoaz1r0&#10;bnQxLsvPRQu+cR64CAFfrzolnWX/Ugoeb6UMIhJdU8wt5tPnc5nOYjZl1cozt1a8T4P9QxaGKYtB&#10;B1dXLDKy8eqVK6O4hwAyHnEwBUipuMg1YDWj8q9q7tfMiVwLNie4oU3h/7nlN9s7T1RT0/F4RIll&#10;Bod0u2WaJBm707pQIeje3flUX3AL4D8DKoo/NEkIPWYnvUlYrI7scqv3Q6vFLhKOj6Oz8vz0hBKO&#10;qv6efLLqYOx8iF8FGJIuNRVaKxdSM1jFtosQO/QBlVMDrZprpXUW/Gp5qT3BSjB2+aU8ybPGAOEZ&#10;lkvoss75x70WyVjb70JiU1KeOWKmoxj8Mc6FjcepPegwo5OZxNiD4fH7hj0+mYpM1cF4/L7xYJEj&#10;g42DsVEW/FsOdMwTxZRlh++HGLq6UwuW0OyRDx66RQmOXyvs/4KFeMc8bgbuEG57vMVDamhrCv2N&#10;kjX432+9JzwSFrWUtLhpNQ2/NswLSvQ3i1Q+H00maTWzMDk5HaPgX2qWLzV2Yy4BZ4pkxezyNeGj&#10;PlylB/OIn8I8RUUVsxxj15RHfxAuY/cD4LfCxXyeYbiOjsWFvXf8MPVErofdI/OuJ2FE9t7AYStf&#10;EbHDpnlYmG8iSJVZ+tzXvt+4ypk4/beT/oqXckY9f46zJwAAAP//AwBQSwMEFAAGAAgAAAAhAMIa&#10;nyLeAAAABwEAAA8AAABkcnMvZG93bnJldi54bWxMj0FLw0AQhe+C/2EZwYvYTWKrNmZTRBAUvZhW&#10;1Ns0OybB7GzIbtv47x1Pehoe7/Hme8Vqcr3a0xg6zwbSWQKKuPa248bAZn1/fg0qRGSLvWcy8E0B&#10;VuXxUYG59Qd+oX0VGyUlHHI00MY45FqHuiWHYeYHYvE+/egwihwbbUc8SLnrdZYkl9phx/KhxYHu&#10;Wqq/qp0z8FFtnt06fXJvj+nDgs7e+yXaV2NOT6bbG1CRpvgXhl98QYdSmLZ+xzaoXnSykKTceQZK&#10;/IulTNsamGdXoMtC/+cvfwAAAP//AwBQSwECLQAUAAYACAAAACEAtoM4kv4AAADhAQAAEwAAAAAA&#10;AAAAAAAAAAAAAAAAW0NvbnRlbnRfVHlwZXNdLnhtbFBLAQItABQABgAIAAAAIQA4/SH/1gAAAJQB&#10;AAALAAAAAAAAAAAAAAAAAC8BAABfcmVscy8ucmVsc1BLAQItABQABgAIAAAAIQCFav14fAIAAGQF&#10;AAAOAAAAAAAAAAAAAAAAAC4CAABkcnMvZTJvRG9jLnhtbFBLAQItABQABgAIAAAAIQDCGp8i3gAA&#10;AAcBAAAPAAAAAAAAAAAAAAAAANYEAABkcnMvZG93bnJldi54bWxQSwUGAAAAAAQABADzAAAA4QUA&#10;AAAA&#10;" fillcolor="#00b050" strokecolor="#a5a5a5 [3206]" strokeweight=".5pt">
                      <v:stroke joinstyle="miter"/>
                      <v:path arrowok="t"/>
                    </v:oval>
                  </w:pict>
                </mc:Fallback>
              </mc:AlternateContent>
            </w:r>
          </w:p>
        </w:tc>
        <w:tc>
          <w:tcPr>
            <w:tcW w:w="8604" w:type="dxa"/>
          </w:tcPr>
          <w:p w14:paraId="4A6E7A2C" w14:textId="77777777" w:rsidR="00AE4350" w:rsidRDefault="00AE4350" w:rsidP="00AE4350">
            <w:pPr>
              <w:rPr>
                <w:lang w:eastAsia="en-US"/>
              </w:rPr>
            </w:pPr>
            <w:r>
              <w:rPr>
                <w:rFonts w:eastAsiaTheme="minorHAnsi"/>
                <w:b/>
                <w:lang w:eastAsia="en-US"/>
              </w:rPr>
              <w:t xml:space="preserve">Optional: </w:t>
            </w:r>
            <w:r>
              <w:rPr>
                <w:rFonts w:eastAsiaTheme="minorHAnsi"/>
                <w:lang w:eastAsia="en-US"/>
              </w:rPr>
              <w:t>Software development teams might want their own Azure AD directories in the tenant.</w:t>
            </w:r>
          </w:p>
        </w:tc>
      </w:tr>
    </w:tbl>
    <w:p w14:paraId="106C9515" w14:textId="0FBD8A0F" w:rsidR="001B2193" w:rsidRDefault="001B2193" w:rsidP="00AE4350"/>
    <w:p w14:paraId="75098505" w14:textId="73117EB8" w:rsidR="00D74374" w:rsidRPr="000C2031" w:rsidRDefault="007415ED" w:rsidP="005729D2">
      <w:pPr>
        <w:pStyle w:val="Heading4Numbered"/>
        <w:numPr>
          <w:ilvl w:val="3"/>
          <w:numId w:val="64"/>
        </w:numPr>
      </w:pPr>
      <w:r w:rsidRPr="000C2031">
        <w:t>Cross-Organizational Directories</w:t>
      </w:r>
      <w:r w:rsidR="00AE4350">
        <w:t>:</w:t>
      </w:r>
      <w:r w:rsidRPr="000C2031">
        <w:t xml:space="preserve"> </w:t>
      </w:r>
      <w:r w:rsidR="00D74374" w:rsidRPr="000C2031">
        <w:t>Complex Government Organizations</w:t>
      </w:r>
    </w:p>
    <w:p w14:paraId="5B33C056" w14:textId="674E4163" w:rsidR="00AE4350" w:rsidRDefault="00D74374" w:rsidP="00AE4350">
      <w:r>
        <w:t>Some</w:t>
      </w:r>
      <w:r w:rsidR="00AE4350">
        <w:t xml:space="preserve"> complex government organizations look like a single entity on paper; but in reality, they are multiple, independently-run organizations. The question of whether to have a single tenant or multiple tenants is a very important discussion to have with these customers before they get locked in to a model that doesn’t work for them. </w:t>
      </w:r>
    </w:p>
    <w:p w14:paraId="6B667BA8" w14:textId="77777777" w:rsidR="00AE4350" w:rsidRDefault="00AE4350" w:rsidP="00AE4350">
      <w:r>
        <w:t>There is no definitive answer for every situation. Rather, this must be addressed on a case-by-case basis. The following criteria should help you understand how to guide customers.</w:t>
      </w:r>
    </w:p>
    <w:p w14:paraId="55A2C2C2" w14:textId="77777777" w:rsidR="00AE4350" w:rsidRDefault="00AE4350" w:rsidP="00AE4350">
      <w:r>
        <w:t>Considerations for a cross-organizational directory:</w:t>
      </w:r>
    </w:p>
    <w:p w14:paraId="60166783" w14:textId="77777777" w:rsidR="00AE4350" w:rsidRDefault="00AE4350" w:rsidP="005729D2">
      <w:pPr>
        <w:pStyle w:val="ListBullet"/>
        <w:numPr>
          <w:ilvl w:val="0"/>
          <w:numId w:val="107"/>
        </w:numPr>
      </w:pPr>
      <w:r>
        <w:t>The customer has a long-term goal of operating as a single entity with a consolidated Active Directory environment.</w:t>
      </w:r>
    </w:p>
    <w:p w14:paraId="568E0107" w14:textId="77777777" w:rsidR="00AE4350" w:rsidRDefault="00AE4350" w:rsidP="005729D2">
      <w:pPr>
        <w:pStyle w:val="ListBullet"/>
        <w:numPr>
          <w:ilvl w:val="0"/>
          <w:numId w:val="107"/>
        </w:numPr>
      </w:pPr>
      <w:r>
        <w:t>Applications in one organization within the tenant should be readily accessible by users in other organizations.</w:t>
      </w:r>
    </w:p>
    <w:p w14:paraId="20CA4DB9" w14:textId="77777777" w:rsidR="00AE4350" w:rsidRDefault="00AE4350" w:rsidP="00AE4350">
      <w:r>
        <w:t>Considerations for unique organizational directories:</w:t>
      </w:r>
    </w:p>
    <w:p w14:paraId="0C14866E" w14:textId="77777777" w:rsidR="00AE4350" w:rsidRDefault="00AE4350" w:rsidP="005729D2">
      <w:pPr>
        <w:pStyle w:val="ListBullet"/>
        <w:numPr>
          <w:ilvl w:val="0"/>
          <w:numId w:val="108"/>
        </w:numPr>
      </w:pPr>
      <w:r>
        <w:t>Each organization in the tenant has an Active Directory environment and unique IT staff.</w:t>
      </w:r>
    </w:p>
    <w:p w14:paraId="0A75E3BC" w14:textId="3CA7732B" w:rsidR="00AE4350" w:rsidRDefault="00AE4350" w:rsidP="005729D2">
      <w:pPr>
        <w:pStyle w:val="ListBullet"/>
        <w:numPr>
          <w:ilvl w:val="0"/>
          <w:numId w:val="108"/>
        </w:numPr>
      </w:pPr>
      <w:r>
        <w:t>There are security requirements that prevent the customer from having a single set of directory administrators over all organizations.</w:t>
      </w:r>
    </w:p>
    <w:p w14:paraId="7CD2EAC1" w14:textId="3D3AD69B" w:rsidR="007415ED" w:rsidRDefault="00AE4350" w:rsidP="005729D2">
      <w:pPr>
        <w:pStyle w:val="ListBullet"/>
        <w:numPr>
          <w:ilvl w:val="0"/>
          <w:numId w:val="108"/>
        </w:numPr>
      </w:pPr>
      <w:r>
        <w:t>Applications within an organization are restricted only to users within that organization.</w:t>
      </w:r>
    </w:p>
    <w:p w14:paraId="26991467" w14:textId="5C43A729" w:rsidR="00D74374" w:rsidRPr="000C2031" w:rsidRDefault="007415ED" w:rsidP="005729D2">
      <w:pPr>
        <w:pStyle w:val="Heading4Numbered"/>
        <w:numPr>
          <w:ilvl w:val="3"/>
          <w:numId w:val="64"/>
        </w:numPr>
      </w:pPr>
      <w:r w:rsidRPr="000C2031">
        <w:t>Cross-Organizational Directories</w:t>
      </w:r>
      <w:r w:rsidR="00AE4350">
        <w:t>:</w:t>
      </w:r>
      <w:r w:rsidRPr="000C2031">
        <w:t xml:space="preserve"> </w:t>
      </w:r>
      <w:r w:rsidR="000C2031">
        <w:t xml:space="preserve">Mergers and </w:t>
      </w:r>
      <w:r w:rsidR="000C418F">
        <w:t>Acquisitions</w:t>
      </w:r>
    </w:p>
    <w:p w14:paraId="59CA16CD" w14:textId="0BF156AF" w:rsidR="00AE4350" w:rsidRDefault="007415ED" w:rsidP="00AE4350">
      <w:r>
        <w:t>The</w:t>
      </w:r>
      <w:r w:rsidR="00AE4350">
        <w:t xml:space="preserve"> topic of a cross-organizational directory is important to discuss with commercial customers who often buy and sell other companies. The following criteria can be used to help you determine if the customer should have a cross-organizational directory.</w:t>
      </w:r>
    </w:p>
    <w:p w14:paraId="38D99BC7" w14:textId="77777777" w:rsidR="00AE4350" w:rsidRDefault="00AE4350" w:rsidP="00AE4350">
      <w:r>
        <w:t>Considerations for a cross-organizational directory:</w:t>
      </w:r>
    </w:p>
    <w:p w14:paraId="0F39EAF3" w14:textId="77777777" w:rsidR="00AE4350" w:rsidRDefault="00AE4350" w:rsidP="005729D2">
      <w:pPr>
        <w:pStyle w:val="ListBullet"/>
        <w:numPr>
          <w:ilvl w:val="0"/>
          <w:numId w:val="108"/>
        </w:numPr>
      </w:pPr>
      <w:r>
        <w:t>The customer plans to permanently integrate the acquired company with no foreseeable plans to divest it.</w:t>
      </w:r>
    </w:p>
    <w:p w14:paraId="3BF734F5" w14:textId="77777777" w:rsidR="00AE4350" w:rsidRDefault="00AE4350" w:rsidP="005729D2">
      <w:pPr>
        <w:pStyle w:val="ListBullet"/>
        <w:numPr>
          <w:ilvl w:val="0"/>
          <w:numId w:val="108"/>
        </w:numPr>
      </w:pPr>
      <w:r>
        <w:t>Users in the acquired company should be able to access applications and data in the acquiring company.</w:t>
      </w:r>
    </w:p>
    <w:p w14:paraId="15B77C30" w14:textId="77777777" w:rsidR="00AE4350" w:rsidRDefault="00AE4350" w:rsidP="00AE4350">
      <w:r>
        <w:t>Considerations for unique organizational directories:</w:t>
      </w:r>
    </w:p>
    <w:p w14:paraId="3B240778" w14:textId="77777777" w:rsidR="00AE4350" w:rsidRDefault="00AE4350" w:rsidP="005729D2">
      <w:pPr>
        <w:pStyle w:val="ListBullet"/>
        <w:numPr>
          <w:ilvl w:val="0"/>
          <w:numId w:val="108"/>
        </w:numPr>
      </w:pPr>
      <w:r>
        <w:t>The customer plans to divest the acquired companies in the future.</w:t>
      </w:r>
    </w:p>
    <w:p w14:paraId="703F4BC0" w14:textId="70AFD4C2" w:rsidR="00AE4350" w:rsidRDefault="00AE4350" w:rsidP="005729D2">
      <w:pPr>
        <w:pStyle w:val="ListBullet"/>
        <w:numPr>
          <w:ilvl w:val="0"/>
          <w:numId w:val="108"/>
        </w:numPr>
      </w:pPr>
      <w:r>
        <w:t>The acquired company is already an Azure AD customer and the cost and disruption of migrating the users to the acquiring tenant is prohibitive.</w:t>
      </w:r>
    </w:p>
    <w:p w14:paraId="04A0BBB6" w14:textId="7A3A3184" w:rsidR="007415ED" w:rsidRDefault="00AE4350" w:rsidP="005729D2">
      <w:pPr>
        <w:pStyle w:val="ListBullet"/>
        <w:numPr>
          <w:ilvl w:val="0"/>
          <w:numId w:val="108"/>
        </w:numPr>
      </w:pPr>
      <w:r>
        <w:t>Users in the acquired company cannot access applications or data in the acquiring company.</w:t>
      </w:r>
    </w:p>
    <w:p w14:paraId="0E2F9A57" w14:textId="45E05D5C" w:rsidR="005843BE" w:rsidRPr="000C418F" w:rsidRDefault="005843BE" w:rsidP="005729D2">
      <w:pPr>
        <w:pStyle w:val="Heading4Numbered"/>
        <w:numPr>
          <w:ilvl w:val="3"/>
          <w:numId w:val="64"/>
        </w:numPr>
      </w:pPr>
      <w:r w:rsidRPr="000C418F">
        <w:t>C</w:t>
      </w:r>
      <w:r w:rsidR="007415ED" w:rsidRPr="000C418F">
        <w:t>ustom D</w:t>
      </w:r>
      <w:r w:rsidR="000418DB" w:rsidRPr="000C418F">
        <w:t>omain Names</w:t>
      </w:r>
    </w:p>
    <w:p w14:paraId="277AC31D" w14:textId="4AFEBD57" w:rsidR="00AE4350" w:rsidRDefault="000E267C" w:rsidP="00AE4350">
      <w:r>
        <w:t>When</w:t>
      </w:r>
      <w:r w:rsidR="00AE4350">
        <w:t xml:space="preserve"> a directory is created, the default name of the directory is &lt;something&gt;.onmicrosoft.com. The &lt;something&gt; is chosen by the directory administrator during the creation of the directory. Usually, customers want to use their own domain name, such as contoso.com. This can be achieved by using a custom domain name.</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AE4350" w14:paraId="3EB5640B" w14:textId="77777777" w:rsidTr="00AE4350">
        <w:trPr>
          <w:trHeight w:val="423"/>
        </w:trPr>
        <w:tc>
          <w:tcPr>
            <w:tcW w:w="666" w:type="dxa"/>
          </w:tcPr>
          <w:p w14:paraId="2B9C009C" w14:textId="77777777" w:rsidR="00AE4350" w:rsidRDefault="00AE4350" w:rsidP="00AE4350">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841536" behindDoc="0" locked="0" layoutInCell="1" allowOverlap="1" wp14:anchorId="56778A47" wp14:editId="4300A374">
                      <wp:simplePos x="0" y="0"/>
                      <wp:positionH relativeFrom="column">
                        <wp:posOffset>66675</wp:posOffset>
                      </wp:positionH>
                      <wp:positionV relativeFrom="paragraph">
                        <wp:posOffset>90170</wp:posOffset>
                      </wp:positionV>
                      <wp:extent cx="209550" cy="180975"/>
                      <wp:effectExtent l="57150" t="19050" r="57150" b="104775"/>
                      <wp:wrapNone/>
                      <wp:docPr id="41075" name="Isosceles Triangle 410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4078BA1A" id="Isosceles Triangle 41075" o:spid="_x0000_s1026" type="#_x0000_t5" style="position:absolute;margin-left:5.25pt;margin-top:7.1pt;width:16.5pt;height:14.2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SPIiQ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Mi&#10;P5tRYliDbbr14LnQwpNHp5jZaEE6Pdartb5Eswd772LG3q6A//CoyP7QRMH3mIN0TcRivuSQin8c&#10;iy8OgXD8OckvZjNsEUdVcZ5fYDDRJysHY+t8+CKgIfFS0dAHlsrO9isfOvgAS7GBVvVSaZ0Et1lf&#10;a0f2DLmwxC9P7ccX/DMs5dCFnRIIRy2isTbfhMQ6YaBFejExVIz+GOfChNM+5ISOZhLfHg0/v2/Y&#10;46OpSOwdjSfvG48W6WUwYTRulAH3lgMdij5k2eH7Lvou71iCNdRHpIiDbna85UuFDVgxH+6Zw2HB&#10;nuECCF/xkBraikJ/o2QL7tdb/yMeOYxaSlocvor6nzvmBCX61iC7L4rpNE5rEqazswkK7qVm/VJj&#10;ds01YE8LXDWWp2vEBz1cpYPmCffEIr6KKmY4vl1RHtwgXIduKeCm4WKxSDCcUMvCyjxYPnQ9kuvx&#10;8MScHViI9L2DYVBZ+YqIHTb2w8BiF0CqxNLnuvb1xulOXO83UVwfL+WEet6X898AAAD//wMAUEsD&#10;BBQABgAIAAAAIQA1PEIw2QAAAAcBAAAPAAAAZHJzL2Rvd25yZXYueG1sTI7NTsMwEITvSLyDtUhc&#10;UOuQhrYKcSqEkiOqKDyAE29+hL2OYrcNb89ygtNoNKOZrzgszooLzmH0pOBxnYBAar0ZqVfw+VGv&#10;9iBC1GS09YQKvjHAoby9KXRu/JXe8XKKveARCrlWMMQ45VKGdkCnw9pPSJx1fnY6sp17aWZ95XFn&#10;ZZokW+n0SPww6AlfB2y/TmenwDfLsdvUu/1D7Sb71lVV5o6VUvd3y8sziIhL/CvDLz6jQ8lMjT+T&#10;CcKyT564yZqlIDjPNuwb1nQHsizkf/7yBwAA//8DAFBLAQItABQABgAIAAAAIQC2gziS/gAAAOEB&#10;AAATAAAAAAAAAAAAAAAAAAAAAABbQ29udGVudF9UeXBlc10ueG1sUEsBAi0AFAAGAAgAAAAhADj9&#10;If/WAAAAlAEAAAsAAAAAAAAAAAAAAAAALwEAAF9yZWxzLy5yZWxzUEsBAi0AFAAGAAgAAAAhAKMp&#10;I8iJAgAAdwUAAA4AAAAAAAAAAAAAAAAALgIAAGRycy9lMm9Eb2MueG1sUEsBAi0AFAAGAAgAAAAh&#10;ADU8QjDZAAAABwEAAA8AAAAAAAAAAAAAAAAA4wQAAGRycy9kb3ducmV2LnhtbFBLBQYAAAAABAAE&#10;APMAAADpBQAAAAA=&#10;" fillcolor="yellow" strokecolor="#70ad47 [3209]" strokeweight=".5pt">
                      <v:path arrowok="t"/>
                    </v:shape>
                  </w:pict>
                </mc:Fallback>
              </mc:AlternateContent>
            </w:r>
          </w:p>
        </w:tc>
        <w:tc>
          <w:tcPr>
            <w:tcW w:w="8604" w:type="dxa"/>
          </w:tcPr>
          <w:p w14:paraId="1AD028AE" w14:textId="77777777" w:rsidR="00AE4350" w:rsidRDefault="00AE4350" w:rsidP="00AE4350">
            <w:pPr>
              <w:rPr>
                <w:lang w:eastAsia="en-US"/>
              </w:rPr>
            </w:pPr>
            <w:r>
              <w:rPr>
                <w:rFonts w:eastAsiaTheme="minorHAnsi"/>
                <w:b/>
                <w:lang w:eastAsia="en-US"/>
              </w:rPr>
              <w:t xml:space="preserve">Recommended: </w:t>
            </w:r>
            <w:r>
              <w:rPr>
                <w:rFonts w:eastAsiaTheme="minorHAnsi"/>
                <w:lang w:eastAsia="en-US"/>
              </w:rPr>
              <w:t xml:space="preserve">Add a customer’s public-facing DNS name as a custom domain name for the production Azure AD directory. Otherwise, users will sign in with accounts such as </w:t>
            </w:r>
            <w:r w:rsidRPr="00EA534A">
              <w:rPr>
                <w:rFonts w:eastAsiaTheme="minorHAnsi"/>
              </w:rPr>
              <w:t>bob@contoso.onmicrosoft.com</w:t>
            </w:r>
            <w:r w:rsidRPr="00EA534A">
              <w:rPr>
                <w:rFonts w:eastAsiaTheme="minorHAnsi"/>
                <w:lang w:eastAsia="en-US"/>
              </w:rPr>
              <w:t xml:space="preserve"> instead of bob@contoso.com</w:t>
            </w:r>
            <w:r>
              <w:rPr>
                <w:rFonts w:eastAsiaTheme="minorHAnsi"/>
                <w:lang w:eastAsia="en-US"/>
              </w:rPr>
              <w:t xml:space="preserve">. </w:t>
            </w:r>
          </w:p>
        </w:tc>
      </w:tr>
    </w:tbl>
    <w:p w14:paraId="4FCBC2C0" w14:textId="77777777" w:rsidR="00AE4350" w:rsidRDefault="00AE4350" w:rsidP="00AE4350">
      <w:r>
        <w:t>Multiple custom domain names can be added to each Azure AD directory, but a custom domain name can only be used in one Azure AD directory. For example, if there are two Azure AD directories in the tenant, and the first directory assigns the custom domain name of contoso.com, the second directory cannot use that name.</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AE4350" w14:paraId="5412208C" w14:textId="77777777" w:rsidTr="00AE4350">
        <w:trPr>
          <w:trHeight w:val="423"/>
        </w:trPr>
        <w:tc>
          <w:tcPr>
            <w:tcW w:w="666" w:type="dxa"/>
          </w:tcPr>
          <w:p w14:paraId="56FB27E6" w14:textId="77777777" w:rsidR="00AE4350" w:rsidRDefault="00AE4350" w:rsidP="00AE4350">
            <w:pPr>
              <w:spacing w:after="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0A8B74EE" wp14:editId="2311957F">
                      <wp:extent cx="200025" cy="180975"/>
                      <wp:effectExtent l="57150" t="19050" r="28575" b="104775"/>
                      <wp:docPr id="224" name="Octagon 224"/>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66C27D9" id="Octagon 224"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fhacgIAAE4FAAAOAAAAZHJzL2Uyb0RvYy54bWysVF9r2zAQfx/sOwi9r469dG1DnBJSMgal&#10;LW1HnxVZSgSSTpOUONmn30l23NAVCmMv0p3ud//vNL3eG012wgcFtqbl2YgSYTk0yq5r+vN5+eWS&#10;khCZbZgGK2p6EIFezz5/mrZuIirYgG6EJ2jEhknrarqJ0U2KIvCNMCycgRMWhRK8YRFZvy4az1q0&#10;bnRRjUbfihZ84zxwEQK+3nRCOsv2pRQ83ksZRCS6phhbzKfP5yqdxWzKJmvP3EbxPgz2D1EYpiw6&#10;HUzdsMjI1qu/TBnFPQSQ8YyDKUBKxUXOAbMpR2+yedowJ3IuWJzghjKF/2eW3+0ePFFNTatqTIll&#10;Bpt0zyNbgyXpCQvUujBB3JN78D0XkEzZ7qU36cY8yD4X9TAUVewj4fiIXRpV55RwFJWXo6uL82Sz&#10;eFV2PsTvAgxJRE2hc56ryXa3IXboIyq5C6BVs1RaZ8avVwvtyY5hixcL9Ja7ig5OYEXKoYs6U/Gg&#10;RVLW9lFITB/jLLPHPHhisMc4FzZWfcQZndQk+h4Uv36s2OOTqshDOShXHysPGtkz2DgoG2XBv2dA&#10;x7IPWXZ4LPhJ3olcQXPAznvoViI4vlRY/1sW4gPzuAO4LbjX8R4PqaHFxvQUJRvwv997T3gcTZRS&#10;0uJO1TT82jIvKNE/LA7tVTkepyXMzPj8okLGn0pWpxK7NQvAnpb4gzieyYSP+khKD+YF13+evKKI&#10;WY6+a8qjPzKL2O06fiBczOcZhovnWLy1T44fu56G63n/wrzrhzDi9N7Bcf/Y5M0gdtjUDwvzbQSp&#10;8pS+1rWvNy5tHvX+g0m/wimfUa/f4OwPAAAA//8DAFBLAwQUAAYACAAAACEAn7dE8dsAAAADAQAA&#10;DwAAAGRycy9kb3ducmV2LnhtbEyPQUvDQBCF74L/YRnBm92k0hLTbIoIBQ/SYLV43WanSWh2Nuxu&#10;m/jvHb3Yy8DjPd77plhPthcX9KFzpCCdJSCQamc6ahR8fmweMhAhajK6d4QKvjHAury9KXRu3Ejv&#10;eNnFRnAJhVwraGMccilD3aLVYeYGJPaOzlsdWfpGGq9HLre9nCfJUlrdES+0esCXFuvT7mwVVKex&#10;es2q6unLb5bbN2/3qd/ulbq/m55XICJO8T8Mv/iMDiUzHdyZTBC9An4k/l32HtMFiIOCebYAWRby&#10;mr38AQAA//8DAFBLAQItABQABgAIAAAAIQC2gziS/gAAAOEBAAATAAAAAAAAAAAAAAAAAAAAAABb&#10;Q29udGVudF9UeXBlc10ueG1sUEsBAi0AFAAGAAgAAAAhADj9If/WAAAAlAEAAAsAAAAAAAAAAAAA&#10;AAAALwEAAF9yZWxzLy5yZWxzUEsBAi0AFAAGAAgAAAAhAFhF+FpyAgAATgUAAA4AAAAAAAAAAAAA&#10;AAAALgIAAGRycy9lMm9Eb2MueG1sUEsBAi0AFAAGAAgAAAAhAJ+3RPHbAAAAAwEAAA8AAAAAAAAA&#10;AAAAAAAAzAQAAGRycy9kb3ducmV2LnhtbFBLBQYAAAAABAAEAPMAAADUBQAAAAA=&#10;" fillcolor="#c00" strokecolor="#ed7d31 [3205]" strokeweight=".5pt">
                      <w10:anchorlock/>
                    </v:shape>
                  </w:pict>
                </mc:Fallback>
              </mc:AlternateContent>
            </w:r>
          </w:p>
        </w:tc>
        <w:tc>
          <w:tcPr>
            <w:tcW w:w="8604" w:type="dxa"/>
          </w:tcPr>
          <w:p w14:paraId="7C368ED3" w14:textId="77777777" w:rsidR="00AE4350" w:rsidRDefault="00AE4350" w:rsidP="00AE4350">
            <w:pPr>
              <w:rPr>
                <w:lang w:eastAsia="en-US"/>
              </w:rPr>
            </w:pPr>
            <w:r w:rsidRPr="00192064">
              <w:rPr>
                <w:b/>
                <w:lang w:eastAsia="en-US"/>
              </w:rPr>
              <w:t>Mandatory</w:t>
            </w:r>
            <w:r>
              <w:rPr>
                <w:lang w:eastAsia="en-US"/>
              </w:rPr>
              <w:t>: Custom domain names must be publically registered with an Internet domain name registrar, and the customer must be able to modify the DNS records of the public record to prove ownership of the domain.</w:t>
            </w:r>
          </w:p>
        </w:tc>
      </w:tr>
    </w:tbl>
    <w:tbl>
      <w:tblPr>
        <w:tblStyle w:val="PlainTable11"/>
        <w:tblW w:w="0" w:type="auto"/>
        <w:tblLook w:val="04A0" w:firstRow="1" w:lastRow="0" w:firstColumn="1" w:lastColumn="0" w:noHBand="0" w:noVBand="1"/>
      </w:tblPr>
      <w:tblGrid>
        <w:gridCol w:w="3415"/>
        <w:gridCol w:w="5935"/>
      </w:tblGrid>
      <w:tr w:rsidR="009E7807" w14:paraId="03379147" w14:textId="77777777" w:rsidTr="00AE435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808080" w:themeFill="background1" w:themeFillShade="80"/>
          </w:tcPr>
          <w:p w14:paraId="642BE686" w14:textId="792072A0" w:rsidR="009E7807" w:rsidRPr="00F47607" w:rsidRDefault="00DA6C2E" w:rsidP="00B2601C">
            <w:pPr>
              <w:spacing w:line="240" w:lineRule="auto"/>
              <w:rPr>
                <w:color w:val="FFFFFF"/>
              </w:rPr>
            </w:pPr>
            <w:r>
              <w:rPr>
                <w:color w:val="FFFFFF"/>
              </w:rPr>
              <w:t xml:space="preserve">Feature </w:t>
            </w:r>
            <w:r w:rsidR="009E7807">
              <w:rPr>
                <w:color w:val="FFFFFF"/>
              </w:rPr>
              <w:t>References</w:t>
            </w:r>
          </w:p>
        </w:tc>
      </w:tr>
      <w:tr w:rsidR="009E7807" w:rsidRPr="001C4D03" w14:paraId="2EBC715C" w14:textId="77777777" w:rsidTr="00AE43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15" w:type="dxa"/>
          </w:tcPr>
          <w:p w14:paraId="05CD082B" w14:textId="1DD185C2" w:rsidR="009E7807" w:rsidRPr="001C4D03" w:rsidRDefault="00DA6C2E" w:rsidP="00B2601C">
            <w:pPr>
              <w:spacing w:line="240" w:lineRule="auto"/>
              <w:rPr>
                <w:sz w:val="20"/>
                <w:szCs w:val="18"/>
              </w:rPr>
            </w:pPr>
            <w:r w:rsidRPr="001C4D03">
              <w:rPr>
                <w:sz w:val="20"/>
                <w:szCs w:val="18"/>
              </w:rPr>
              <w:t>Add your custom domain to the Azure AD tenant</w:t>
            </w:r>
          </w:p>
        </w:tc>
        <w:tc>
          <w:tcPr>
            <w:tcW w:w="5935" w:type="dxa"/>
          </w:tcPr>
          <w:p w14:paraId="25BF1604" w14:textId="13BD65AF" w:rsidR="009E7807" w:rsidRPr="001C4D03" w:rsidRDefault="00872E47" w:rsidP="00B2601C">
            <w:pPr>
              <w:cnfStyle w:val="000000100000" w:firstRow="0" w:lastRow="0" w:firstColumn="0" w:lastColumn="0" w:oddVBand="0" w:evenVBand="0" w:oddHBand="1" w:evenHBand="0" w:firstRowFirstColumn="0" w:firstRowLastColumn="0" w:lastRowFirstColumn="0" w:lastRowLastColumn="0"/>
              <w:rPr>
                <w:sz w:val="20"/>
                <w:szCs w:val="18"/>
              </w:rPr>
            </w:pPr>
            <w:hyperlink r:id="rId437" w:history="1">
              <w:r w:rsidR="00DA6C2E" w:rsidRPr="001C4D03">
                <w:rPr>
                  <w:rStyle w:val="Hyperlink"/>
                  <w:sz w:val="20"/>
                  <w:szCs w:val="18"/>
                </w:rPr>
                <w:t>https://msdn.microsoft.com/en-us/library/azure/hh969247.aspx</w:t>
              </w:r>
            </w:hyperlink>
            <w:r w:rsidR="00DA6C2E" w:rsidRPr="001C4D03">
              <w:rPr>
                <w:sz w:val="20"/>
                <w:szCs w:val="18"/>
              </w:rPr>
              <w:t xml:space="preserve"> </w:t>
            </w:r>
          </w:p>
        </w:tc>
      </w:tr>
    </w:tbl>
    <w:p w14:paraId="6C2F1764" w14:textId="05E4BC63" w:rsidR="00165CBC" w:rsidRDefault="00165CBC" w:rsidP="005729D2">
      <w:pPr>
        <w:pStyle w:val="Heading3Numbered"/>
        <w:numPr>
          <w:ilvl w:val="2"/>
          <w:numId w:val="64"/>
        </w:numPr>
      </w:pPr>
      <w:bookmarkStart w:id="5334" w:name="_Toc414892132"/>
      <w:bookmarkStart w:id="5335" w:name="_Toc414960155"/>
      <w:bookmarkStart w:id="5336" w:name="_Toc414969126"/>
      <w:bookmarkStart w:id="5337" w:name="_Toc415011348"/>
      <w:bookmarkStart w:id="5338" w:name="_Toc415040038"/>
      <w:bookmarkStart w:id="5339" w:name="_Toc415572395"/>
      <w:bookmarkStart w:id="5340" w:name="_Toc415735565"/>
      <w:bookmarkStart w:id="5341" w:name="_Toc415814146"/>
      <w:bookmarkStart w:id="5342" w:name="_Toc416343881"/>
      <w:bookmarkStart w:id="5343" w:name="_Toc416863153"/>
      <w:bookmarkStart w:id="5344" w:name="_Toc417314768"/>
      <w:bookmarkStart w:id="5345" w:name="_Toc417323785"/>
      <w:bookmarkStart w:id="5346" w:name="_Toc417326875"/>
      <w:bookmarkStart w:id="5347" w:name="_Toc417330423"/>
      <w:bookmarkStart w:id="5348" w:name="_Toc417395029"/>
      <w:bookmarkStart w:id="5349" w:name="_Toc417399246"/>
      <w:bookmarkStart w:id="5350" w:name="_Toc417399405"/>
      <w:bookmarkStart w:id="5351" w:name="_Toc417400452"/>
      <w:bookmarkStart w:id="5352" w:name="_Toc417401300"/>
      <w:bookmarkStart w:id="5353" w:name="_Toc417419615"/>
      <w:bookmarkStart w:id="5354" w:name="_Toc417457387"/>
      <w:bookmarkStart w:id="5355" w:name="_Toc417481965"/>
      <w:bookmarkStart w:id="5356" w:name="_Toc417482223"/>
      <w:bookmarkStart w:id="5357" w:name="_Toc417499942"/>
      <w:bookmarkStart w:id="5358" w:name="_Toc417502763"/>
      <w:bookmarkStart w:id="5359" w:name="_Toc417548343"/>
      <w:bookmarkStart w:id="5360" w:name="_Toc417594586"/>
      <w:bookmarkStart w:id="5361" w:name="_Toc417934715"/>
      <w:bookmarkStart w:id="5362" w:name="_Toc417936054"/>
      <w:bookmarkStart w:id="5363" w:name="_Toc417936516"/>
      <w:bookmarkStart w:id="5364" w:name="_Toc417946939"/>
      <w:bookmarkStart w:id="5365" w:name="_Toc417947408"/>
      <w:bookmarkStart w:id="5366" w:name="_Toc417982549"/>
      <w:bookmarkStart w:id="5367" w:name="_Toc417986003"/>
      <w:bookmarkStart w:id="5368" w:name="_Toc418000695"/>
      <w:bookmarkStart w:id="5369" w:name="_Toc418003867"/>
      <w:bookmarkStart w:id="5370" w:name="_Toc418012072"/>
      <w:bookmarkStart w:id="5371" w:name="_Toc418014485"/>
      <w:bookmarkStart w:id="5372" w:name="_Toc418030090"/>
      <w:bookmarkStart w:id="5373" w:name="_Toc418036973"/>
      <w:bookmarkStart w:id="5374" w:name="_Toc418061446"/>
      <w:bookmarkStart w:id="5375" w:name="_Toc418081345"/>
      <w:bookmarkStart w:id="5376" w:name="_Toc418083377"/>
      <w:bookmarkStart w:id="5377" w:name="_Toc418096141"/>
      <w:bookmarkStart w:id="5378" w:name="_Toc418156743"/>
      <w:bookmarkStart w:id="5379" w:name="_Toc418167662"/>
      <w:bookmarkStart w:id="5380" w:name="_Toc418185918"/>
      <w:bookmarkStart w:id="5381" w:name="_Toc422941632"/>
      <w:bookmarkStart w:id="5382" w:name="_Toc423116838"/>
      <w:bookmarkStart w:id="5383" w:name="_Toc423117871"/>
      <w:bookmarkStart w:id="5384" w:name="_Toc423117321"/>
      <w:bookmarkStart w:id="5385" w:name="_Toc431288914"/>
      <w:r>
        <w:t>Integrating On-Premises Active Directory</w:t>
      </w:r>
      <w:r w:rsidR="00EA7BB0">
        <w:t xml:space="preserve"> (Identity Bridge)</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1AF6C550" w14:textId="374188F8" w:rsidR="00AE4350" w:rsidRDefault="000418DB" w:rsidP="00AE4350">
      <w:r>
        <w:t>When</w:t>
      </w:r>
      <w:r w:rsidR="00AE4350">
        <w:t xml:space="preserve"> you create a new Azure AD tenant, the contents of the directory will be managed independently from the on-premises Active Directory forest. This means that when a new user comes in to the organization, an administrator must create an on-premises Active Directory account and an Azure Active Directory account for the employee. Because these two accounts are separate by default, they also may have different user names and passwords, and they need to be managed separately.</w:t>
      </w:r>
    </w:p>
    <w:p w14:paraId="07FC5194" w14:textId="77777777" w:rsidR="00AE4350" w:rsidRDefault="00AE4350" w:rsidP="00AE4350">
      <w:r>
        <w:t xml:space="preserve">However, an organization can use Azure AD Connect to connect the on-premises Active Directory to Azure AD. When this is in place, users that are added or removed from the on-premises Active Directory are automatically added to Azure AD. The user names and passwords are also kept synchronized between the two directories, so end users do not have different credentials for cloud and on-premises systems. </w:t>
      </w:r>
    </w:p>
    <w:p w14:paraId="75D24120" w14:textId="77777777" w:rsidR="00AE4350" w:rsidRDefault="00AE4350" w:rsidP="00AE4350">
      <w:r>
        <w:t>AD FS can be used to add an identity federation trust between on-premises Active Directory and Azure AD, which enables the users in the organization to have a single sign-on experience. We call this scenario the “identity bridge” because it bridges the on-premises identity systems with the cloud, thereby enabling a single identity service for the enterprise.</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AE4350" w14:paraId="145B3F33" w14:textId="77777777" w:rsidTr="00AE4350">
        <w:trPr>
          <w:trHeight w:val="423"/>
        </w:trPr>
        <w:tc>
          <w:tcPr>
            <w:tcW w:w="666" w:type="dxa"/>
          </w:tcPr>
          <w:p w14:paraId="1E1968D4" w14:textId="77777777" w:rsidR="00AE4350" w:rsidRDefault="00AE4350" w:rsidP="00AE4350">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846656" behindDoc="0" locked="0" layoutInCell="1" allowOverlap="1" wp14:anchorId="0B9451A3" wp14:editId="540C7FFA">
                      <wp:simplePos x="0" y="0"/>
                      <wp:positionH relativeFrom="column">
                        <wp:posOffset>66675</wp:posOffset>
                      </wp:positionH>
                      <wp:positionV relativeFrom="paragraph">
                        <wp:posOffset>90170</wp:posOffset>
                      </wp:positionV>
                      <wp:extent cx="209550" cy="180975"/>
                      <wp:effectExtent l="57150" t="19050" r="57150" b="104775"/>
                      <wp:wrapNone/>
                      <wp:docPr id="273" name="Isosceles Triangle 2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5B421051" id="Isosceles Triangle 273" o:spid="_x0000_s1026" type="#_x0000_t5" style="position:absolute;margin-left:5.25pt;margin-top:7.1pt;width:16.5pt;height:14.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T8LhgIAAHMFAAAOAAAAZHJzL2Uyb0RvYy54bWysVFtP2zAUfp+0/2D5fSQplEtEiipQJ6QK&#10;0GDi2XXs1prj49lu0+7X79i5wBgS0rQ8WHbOd+7fOZdX+0aTnXBegalocZRTIgyHWpl1Rb8/Lb6c&#10;U+IDMzXTYERFD8LTq9nnT5etLcUENqBr4QgaMb5sbUU3IdgyyzzfiIb5I7DCoFCCa1jAp1tntWMt&#10;Wm90Nsnz06wFV1sHXHiPf286IZ0l+1IKHu6l9CIQXVGMLaTTpXMVz2x2ycq1Y3ajeB8G+4coGqYM&#10;Oh1N3bDAyNapv0w1ijvwIMMRhyYDKRUXKQfMpsjfZPO4YVakXLA43o5l8v/PLL/bPTii6opOzo4p&#10;MazBJt168Fxo4cmTU8ystSBRirVqrS9R5dE+uJitt0vgPzwKsj8k8eF7zF66JmIxV7JPhT+MhRf7&#10;QDj+nOQX0ym2h6OoOM8vzqbRWcbKQdk6H74KaEi8VDT0YaWSs93Shw4+wFJsoFW9UFqnh1uvrrUj&#10;O4Y8WOCXp9ajB/8CSzl0YacEwkGLqKzNNyGxRhhokTwmdorRHuNcmHDah5zQUU2i71Hx+GPFHh9V&#10;RWLuqDz5WHnUSJ7BhFG5UQbcewZ0KPqQZYfvu+i7vGMJVlAfkB4Ournxli8UNmDJfHhgDgcFe4bD&#10;H+7xkBraikJ/o2QD7td7/yMe+YtSSlocvIr6n1vmBCX61iCzL4qTkzip6XEyPZvgw72WrF5LzLa5&#10;BuxpgWvG8nSN+KCHq3TQPOOOmEevKGKGo++K8uCGx3XoFgJuGS7m8wTD6bQsLM2j5UPXI7me9s/M&#10;2YGFSN87GIaUlW+I2GFjPwzMtwGkSix9qWtfb5zsxPV+C8XV8fqdUC+7cvYbAAD//wMAUEsDBBQA&#10;BgAIAAAAIQA1PEIw2QAAAAcBAAAPAAAAZHJzL2Rvd25yZXYueG1sTI7NTsMwEITvSLyDtUhcUOuQ&#10;hrYKcSqEkiOqKDyAE29+hL2OYrcNb89ygtNoNKOZrzgszooLzmH0pOBxnYBAar0ZqVfw+VGv9iBC&#10;1GS09YQKvjHAoby9KXRu/JXe8XKKveARCrlWMMQ45VKGdkCnw9pPSJx1fnY6sp17aWZ95XFnZZok&#10;W+n0SPww6AlfB2y/TmenwDfLsdvUu/1D7Sb71lVV5o6VUvd3y8sziIhL/CvDLz6jQ8lMjT+TCcKy&#10;T564yZqlIDjPNuwb1nQHsizkf/7yBwAA//8DAFBLAQItABQABgAIAAAAIQC2gziS/gAAAOEBAAAT&#10;AAAAAAAAAAAAAAAAAAAAAABbQ29udGVudF9UeXBlc10ueG1sUEsBAi0AFAAGAAgAAAAhADj9If/W&#10;AAAAlAEAAAsAAAAAAAAAAAAAAAAALwEAAF9yZWxzLy5yZWxzUEsBAi0AFAAGAAgAAAAhANG1PwuG&#10;AgAAcwUAAA4AAAAAAAAAAAAAAAAALgIAAGRycy9lMm9Eb2MueG1sUEsBAi0AFAAGAAgAAAAhADU8&#10;QjDZAAAABwEAAA8AAAAAAAAAAAAAAAAA4AQAAGRycy9kb3ducmV2LnhtbFBLBQYAAAAABAAEAPMA&#10;AADmBQAAAAA=&#10;" fillcolor="yellow" strokecolor="#70ad47 [3209]" strokeweight=".5pt">
                      <v:path arrowok="t"/>
                    </v:shape>
                  </w:pict>
                </mc:Fallback>
              </mc:AlternateContent>
            </w:r>
          </w:p>
        </w:tc>
        <w:tc>
          <w:tcPr>
            <w:tcW w:w="8604" w:type="dxa"/>
          </w:tcPr>
          <w:p w14:paraId="4FD75EC3" w14:textId="77777777" w:rsidR="00AE4350" w:rsidRDefault="00AE4350" w:rsidP="00AE4350">
            <w:pPr>
              <w:rPr>
                <w:lang w:eastAsia="en-US"/>
              </w:rPr>
            </w:pPr>
            <w:r>
              <w:rPr>
                <w:rFonts w:eastAsiaTheme="minorHAnsi"/>
                <w:b/>
                <w:lang w:eastAsia="en-US"/>
              </w:rPr>
              <w:t xml:space="preserve">Recommended: </w:t>
            </w:r>
            <w:r>
              <w:rPr>
                <w:rFonts w:eastAsiaTheme="minorHAnsi"/>
                <w:lang w:eastAsia="en-US"/>
              </w:rPr>
              <w:t>Unless you have a cloud-only company (with no on-premises systems), you should incorporate this integration. Even if you are not using Azure AD, you will have a better experience with Azure and the other Microsoft cloud services that you may subscribe to.</w:t>
            </w:r>
          </w:p>
        </w:tc>
      </w:tr>
    </w:tbl>
    <w:p w14:paraId="5F1D8C7D" w14:textId="5887CCEF" w:rsidR="00156B5E" w:rsidRPr="000C2031" w:rsidRDefault="00156B5E" w:rsidP="001C4D03">
      <w:pPr>
        <w:pStyle w:val="Style2"/>
      </w:pPr>
      <w:r w:rsidRPr="000C2031">
        <w:t>Synchronizing Users to the Cloud</w:t>
      </w:r>
    </w:p>
    <w:p w14:paraId="3B7AA2FA" w14:textId="6EE93AA0" w:rsidR="00DF4F0C" w:rsidRDefault="00F079D7" w:rsidP="00DF4F0C">
      <w:r>
        <w:t>The</w:t>
      </w:r>
      <w:r w:rsidR="00DF4F0C">
        <w:t xml:space="preserve"> goal for synchronization of identities is to extend the on-premises Active Directory into Azure AD. After synchronization is in place, Active Directory and Azure AD should be viewed as a single identity service with on-premises and cloud components, instead of two separate identity services. </w:t>
      </w:r>
    </w:p>
    <w:p w14:paraId="6ACB124E" w14:textId="77777777" w:rsidR="00DF4F0C" w:rsidRDefault="00DF4F0C" w:rsidP="00DF4F0C">
      <w:r>
        <w:t xml:space="preserve">In most cases, managing the identities (such as on-boarding, off-boarding, and entitlement changes) still occurs on-premises by using identity management solutions that were specifically created for these scenarios. </w:t>
      </w:r>
    </w:p>
    <w:p w14:paraId="59430C62" w14:textId="0B8A311A" w:rsidR="000D5574" w:rsidRDefault="00DF4F0C" w:rsidP="00DF4F0C">
      <w:r>
        <w:t>This is depicted in the “On-Prem” box in the following diagram. These systems are usually going to be different than the identity bridge systems that connect the on-premises Active Directory to Azure AD</w:t>
      </w:r>
      <w:r w:rsidR="00333F8D">
        <w:t>.</w:t>
      </w:r>
    </w:p>
    <w:p w14:paraId="15C97CA5" w14:textId="4850369B" w:rsidR="000D5574" w:rsidRDefault="000D5574" w:rsidP="000B2342">
      <w:pPr>
        <w:jc w:val="center"/>
      </w:pPr>
      <w:r>
        <w:rPr>
          <w:noProof/>
        </w:rPr>
        <w:drawing>
          <wp:inline distT="0" distB="0" distL="0" distR="0" wp14:anchorId="55A05209" wp14:editId="12A83838">
            <wp:extent cx="5706033" cy="2540618"/>
            <wp:effectExtent l="0" t="0" r="0" b="0"/>
            <wp:docPr id="41109" name="Picture 4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5714504" cy="2544390"/>
                    </a:xfrm>
                    <a:prstGeom prst="rect">
                      <a:avLst/>
                    </a:prstGeom>
                    <a:noFill/>
                  </pic:spPr>
                </pic:pic>
              </a:graphicData>
            </a:graphic>
          </wp:inline>
        </w:drawing>
      </w:r>
    </w:p>
    <w:p w14:paraId="13E3ABEA" w14:textId="77777777" w:rsidR="00DF4F0C" w:rsidRDefault="00DF4F0C" w:rsidP="00DF4F0C">
      <w:r>
        <w:t xml:space="preserve">Historically, there have been four tools available to do the job of the identity bridge, which has caused a lot of confusion. Therefore, we released a single tool that can be used for everything except the most complex of scenarios. </w:t>
      </w:r>
    </w:p>
    <w:p w14:paraId="2046FEE9" w14:textId="77777777" w:rsidR="00DF4F0C" w:rsidRDefault="00DF4F0C" w:rsidP="00DF4F0C">
      <w:r>
        <w:t xml:space="preserve">When deciding on which synchronization tool to use, the choice should be between using Azure AD Connect or the Microsoft Identity Manager Synchronization Services with the Azure AD Connector. This is summarized in the following diagram. </w:t>
      </w:r>
    </w:p>
    <w:p w14:paraId="56B6A978" w14:textId="5EADEE62" w:rsidR="00F171A0" w:rsidRDefault="00DF4F0C" w:rsidP="00DF4F0C">
      <w:r>
        <w:t>In general, the default stance should be to use Azure AD Connect, unless the scenario is extremely complex, requiring a lot of customization. Some key features of Azure AD are lost (such as password synchronization and write-back) when using Identity Manager, so it should only be used as a fallback option if absolutely necessary</w:t>
      </w:r>
      <w:r w:rsidR="00C9728B">
        <w:t>.</w:t>
      </w:r>
    </w:p>
    <w:p w14:paraId="6F81C650" w14:textId="3469CC8F" w:rsidR="004015A7" w:rsidRDefault="00333F8D" w:rsidP="000B2342">
      <w:pPr>
        <w:jc w:val="center"/>
      </w:pPr>
      <w:r>
        <w:rPr>
          <w:noProof/>
        </w:rPr>
        <w:drawing>
          <wp:inline distT="0" distB="0" distL="0" distR="0" wp14:anchorId="4A2AB8E0" wp14:editId="5A816EB2">
            <wp:extent cx="5708003" cy="1731264"/>
            <wp:effectExtent l="0" t="0" r="0" b="2540"/>
            <wp:docPr id="41112" name="Picture 4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5744592" cy="1742362"/>
                    </a:xfrm>
                    <a:prstGeom prst="rect">
                      <a:avLst/>
                    </a:prstGeom>
                    <a:noFill/>
                  </pic:spPr>
                </pic:pic>
              </a:graphicData>
            </a:graphic>
          </wp:inline>
        </w:drawing>
      </w:r>
    </w:p>
    <w:p w14:paraId="16760F70" w14:textId="320830E1" w:rsidR="00C9728B" w:rsidRPr="00837DC2" w:rsidRDefault="00837DC2" w:rsidP="001C4D03">
      <w:pPr>
        <w:pStyle w:val="Style2"/>
      </w:pPr>
      <w:r w:rsidRPr="00837DC2">
        <w:t>Multiple Active Directory Forests</w:t>
      </w:r>
    </w:p>
    <w:p w14:paraId="027C366C" w14:textId="1BCE28B4" w:rsidR="00DF4F0C" w:rsidRDefault="00837DC2" w:rsidP="00DF4F0C">
      <w:r>
        <w:t>Many</w:t>
      </w:r>
      <w:r w:rsidR="00DF4F0C">
        <w:t xml:space="preserve"> customers do not have simple single-forest Active Directory environments, and dealing with multiple forests can be a challenge when integrating with Azure AD. Typically, customers fall in two scenarios: </w:t>
      </w:r>
    </w:p>
    <w:p w14:paraId="72406EB9" w14:textId="77777777" w:rsidR="00DF4F0C" w:rsidRDefault="00DF4F0C" w:rsidP="005729D2">
      <w:pPr>
        <w:pStyle w:val="ListParagraph"/>
        <w:numPr>
          <w:ilvl w:val="0"/>
          <w:numId w:val="275"/>
        </w:numPr>
      </w:pPr>
      <w:r>
        <w:t xml:space="preserve">They have an account and resource forest model. </w:t>
      </w:r>
    </w:p>
    <w:p w14:paraId="2CE4B6D5" w14:textId="77777777" w:rsidR="00DF4F0C" w:rsidRDefault="00DF4F0C" w:rsidP="005729D2">
      <w:pPr>
        <w:pStyle w:val="ListParagraph"/>
        <w:numPr>
          <w:ilvl w:val="0"/>
          <w:numId w:val="275"/>
        </w:numPr>
      </w:pPr>
      <w:r>
        <w:t>They have multiple forests with active users in many of them.</w:t>
      </w:r>
    </w:p>
    <w:p w14:paraId="5D46CB17" w14:textId="77777777" w:rsidR="00DF4F0C" w:rsidRPr="007877D9" w:rsidRDefault="00DF4F0C" w:rsidP="00DF4F0C">
      <w:pPr>
        <w:rPr>
          <w:b/>
        </w:rPr>
      </w:pPr>
      <w:r w:rsidRPr="007877D9">
        <w:rPr>
          <w:b/>
        </w:rPr>
        <w:t>Single Forest with Multiple Domains</w:t>
      </w:r>
    </w:p>
    <w:p w14:paraId="7FEA16A8" w14:textId="77777777" w:rsidR="00DF4F0C" w:rsidRDefault="00DF4F0C" w:rsidP="00DF4F0C">
      <w:r>
        <w:t>Some customers have a single forest environment with multiple domains. Azure AD Connect natively handles this scenario when the following conditions need to be met:</w:t>
      </w:r>
    </w:p>
    <w:p w14:paraId="52741B0C" w14:textId="77777777" w:rsidR="00DF4F0C" w:rsidRDefault="00DF4F0C" w:rsidP="005729D2">
      <w:pPr>
        <w:pStyle w:val="ListBullet"/>
        <w:numPr>
          <w:ilvl w:val="0"/>
          <w:numId w:val="109"/>
        </w:numPr>
      </w:pPr>
      <w:r>
        <w:t>Users need to exist uniquely across the forest. A user cannot have an active account in more than one domain, because both accounts will be synchronized as separate identities in Azure AD.</w:t>
      </w:r>
    </w:p>
    <w:p w14:paraId="4B3E8A7A" w14:textId="77777777" w:rsidR="00DF4F0C" w:rsidRDefault="00DF4F0C" w:rsidP="005729D2">
      <w:pPr>
        <w:pStyle w:val="ListBullet"/>
        <w:numPr>
          <w:ilvl w:val="0"/>
          <w:numId w:val="109"/>
        </w:numPr>
      </w:pPr>
      <w:r>
        <w:t>If the domains in the forest use different UPN suffixes, each UPN suffix needs to be added to the Azure AD tenant as a custom domain name.</w:t>
      </w:r>
    </w:p>
    <w:p w14:paraId="39535279" w14:textId="77777777" w:rsidR="00DF4F0C" w:rsidRPr="007877D9" w:rsidRDefault="00DF4F0C" w:rsidP="00DF4F0C">
      <w:pPr>
        <w:rPr>
          <w:b/>
        </w:rPr>
      </w:pPr>
      <w:r w:rsidRPr="007877D9">
        <w:rPr>
          <w:b/>
        </w:rPr>
        <w:t xml:space="preserve">Account </w:t>
      </w:r>
      <w:r>
        <w:rPr>
          <w:b/>
        </w:rPr>
        <w:t>and</w:t>
      </w:r>
      <w:r w:rsidRPr="007877D9">
        <w:rPr>
          <w:b/>
        </w:rPr>
        <w:t xml:space="preserve"> Resource Forest Model</w:t>
      </w:r>
    </w:p>
    <w:p w14:paraId="65233FD1" w14:textId="4C8FB1DD" w:rsidR="000B2342" w:rsidRDefault="00DF4F0C" w:rsidP="00DF4F0C">
      <w:r>
        <w:t>When a customer has an account and resource forest model, there is a dedicated forest where all of the user identities reside (the account forest) and a dedicated forest for some or all of the applications (the resource forest). A one-way trust (often a forest trust) is in place so that the resource forest trusts the account forest. This relationship is depicted in the following diagram</w:t>
      </w:r>
      <w:r w:rsidR="000B2342">
        <w:t>.</w:t>
      </w:r>
    </w:p>
    <w:p w14:paraId="7C9E2F22" w14:textId="3DA96AE8" w:rsidR="000B2342" w:rsidRDefault="000B2342" w:rsidP="000B2342">
      <w:pPr>
        <w:jc w:val="center"/>
      </w:pPr>
      <w:r w:rsidRPr="000B2342">
        <w:rPr>
          <w:noProof/>
        </w:rPr>
        <w:drawing>
          <wp:inline distT="0" distB="0" distL="0" distR="0" wp14:anchorId="2BE1604B" wp14:editId="32807EE7">
            <wp:extent cx="4559808" cy="1653320"/>
            <wp:effectExtent l="0" t="0" r="0" b="0"/>
            <wp:docPr id="41077" name="Picture 4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4580346" cy="1660767"/>
                    </a:xfrm>
                    <a:prstGeom prst="rect">
                      <a:avLst/>
                    </a:prstGeom>
                    <a:noFill/>
                    <a:ln>
                      <a:noFill/>
                    </a:ln>
                  </pic:spPr>
                </pic:pic>
              </a:graphicData>
            </a:graphic>
          </wp:inline>
        </w:drawing>
      </w:r>
    </w:p>
    <w:p w14:paraId="7B1D770B" w14:textId="77777777" w:rsidR="00DF4F0C" w:rsidRDefault="00DF4F0C" w:rsidP="00DF4F0C">
      <w:r>
        <w:t xml:space="preserve">This is most commonly seen with complex Exchange Server deployments. Often, there needs be a representation of the user in the resource forest’s Active Directory for the application to use. This is sometimes referred to this as a </w:t>
      </w:r>
      <w:r w:rsidRPr="00A02BA6">
        <w:rPr>
          <w:i/>
        </w:rPr>
        <w:t>shadow account</w:t>
      </w:r>
      <w:r>
        <w:t>. In most cases, it’s a duplicate of the user’s account from the Account forest, but it is put into a disabled state. Thereby, users are prevented from signing in to it.</w:t>
      </w:r>
    </w:p>
    <w:p w14:paraId="5319C605" w14:textId="77777777" w:rsidR="00DF4F0C" w:rsidRDefault="00DF4F0C" w:rsidP="00DF4F0C">
      <w:r>
        <w:t>Azure AD Connect natively handles this scenario. If the resource forest contains data that needs to be added to Azure AD (such as mailbox information for an Exchange user), the synchronization engine detects the presence of disabled accounts with linked mailboxes. The appropriate data is then contributed to the Azure AD user account</w:t>
      </w:r>
      <w:r w:rsidR="00B079A5">
        <w:t>.</w:t>
      </w:r>
    </w:p>
    <w:p w14:paraId="561BECE0" w14:textId="1D369C60" w:rsidR="000B2342" w:rsidRDefault="00B079A5" w:rsidP="00DF4F0C">
      <w:r>
        <w:t xml:space="preserve"> </w:t>
      </w:r>
    </w:p>
    <w:p w14:paraId="58A5E610" w14:textId="2937D8ED" w:rsidR="00B079A5" w:rsidRPr="007877D9" w:rsidRDefault="00B079A5" w:rsidP="00165CBC">
      <w:pPr>
        <w:rPr>
          <w:b/>
        </w:rPr>
      </w:pPr>
      <w:r w:rsidRPr="007877D9">
        <w:rPr>
          <w:b/>
        </w:rPr>
        <w:t>Multiple Forests with Unique Users</w:t>
      </w:r>
    </w:p>
    <w:p w14:paraId="2C17947A" w14:textId="2CBE9A3E" w:rsidR="00B079A5" w:rsidRDefault="00DF4F0C" w:rsidP="00165CBC">
      <w:r>
        <w:t>In this scenario, there are multiple independent forests in the environment, which may or may not have Active Directory trust relationships between them. This situation will be encountered in highly segmented organizations or companies that acquire other companies via mergers and acquisitions. The following diagram depicts what this architecture might look like</w:t>
      </w:r>
      <w:r w:rsidR="00F84CAF">
        <w:t>.</w:t>
      </w:r>
    </w:p>
    <w:p w14:paraId="5BDE06EE" w14:textId="4478B51D" w:rsidR="00396161" w:rsidRDefault="00396161" w:rsidP="00165CBC">
      <w:r w:rsidRPr="00396161">
        <w:rPr>
          <w:noProof/>
        </w:rPr>
        <w:drawing>
          <wp:inline distT="0" distB="0" distL="0" distR="0" wp14:anchorId="170AD177" wp14:editId="06912E67">
            <wp:extent cx="5943600" cy="1793758"/>
            <wp:effectExtent l="0" t="0" r="0" b="0"/>
            <wp:docPr id="41079" name="Picture 4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5943600" cy="1793758"/>
                    </a:xfrm>
                    <a:prstGeom prst="rect">
                      <a:avLst/>
                    </a:prstGeom>
                    <a:noFill/>
                    <a:ln>
                      <a:noFill/>
                    </a:ln>
                  </pic:spPr>
                </pic:pic>
              </a:graphicData>
            </a:graphic>
          </wp:inline>
        </w:drawing>
      </w:r>
    </w:p>
    <w:p w14:paraId="2B36C77F" w14:textId="77777777" w:rsidR="00DF4F0C" w:rsidRDefault="00DF4F0C" w:rsidP="00DF4F0C">
      <w:r>
        <w:t xml:space="preserve">Users in this scenario have only a single account in one of the forests (they do not have multiple user accounts across forests). Because of this, you do not need the synchronization tool to match a user to multiple accounts. </w:t>
      </w:r>
    </w:p>
    <w:p w14:paraId="6F9019F1" w14:textId="77777777" w:rsidR="00DF4F0C" w:rsidRDefault="00DF4F0C" w:rsidP="00DF4F0C">
      <w:r>
        <w:t xml:space="preserve">However, one decision that needs to be made is whether the accounts will be migrated into a single forest at some point. This is an important thing to consider, because it will determine whether you can use the objectGUID of the user accounts as the source anchor (which is used to match the Active Directory accounts to the Azure AD accounts). </w:t>
      </w:r>
    </w:p>
    <w:p w14:paraId="13FF1B15" w14:textId="503A4C9A" w:rsidR="000A1097" w:rsidRDefault="00DF4F0C" w:rsidP="00DF4F0C">
      <w:r>
        <w:t>If the users will be migrated to a single forest at some point, you’ll need to use a different source anchor, such as the user’s email address or UPN. The reason is that the objectGUID can’t be migrated with the user. After migration, there would be multiple accounts in Azure AD for migrated users—one for the old forest and another for the new forest</w:t>
      </w:r>
      <w:r w:rsidR="009A06F8">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DF4F0C" w14:paraId="17839088" w14:textId="77777777" w:rsidTr="00B42154">
        <w:trPr>
          <w:trHeight w:val="423"/>
        </w:trPr>
        <w:tc>
          <w:tcPr>
            <w:tcW w:w="666" w:type="dxa"/>
          </w:tcPr>
          <w:p w14:paraId="41EEA7A5" w14:textId="77777777" w:rsidR="00DF4F0C" w:rsidRDefault="00DF4F0C" w:rsidP="00B42154">
            <w:pPr>
              <w:spacing w:after="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2D4C8135" wp14:editId="6B0592E3">
                      <wp:extent cx="200025" cy="180975"/>
                      <wp:effectExtent l="57150" t="19050" r="28575" b="104775"/>
                      <wp:docPr id="41082" name="Octagon 41082"/>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16C12DC" id="Octagon 41082"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dIMcwIAAFIFAAAOAAAAZHJzL2Uyb0RvYy54bWysVEtPGzEQvlfqf7B8L/toKBCxQVEQVSUE&#10;CKg4O147sWR7XNvJJv31HXs3S0SRkKpedmc837wfl1c7o8lW+KDANrQ6KSkRlkOr7KqhP59vvpxT&#10;EiKzLdNgRUP3ItCr2edPl52bihrWoFvhCRqxYdq5hq5jdNOiCHwtDAsn4IRFoQRvWETWr4rWsw6t&#10;G13UZfmt6MC3zgMXIeDrdS+ks2xfSsHjvZRBRKIbirHF/PX5u0zfYnbJpivP3FrxIQz2D1EYpiw6&#10;HU1ds8jIxqu/TBnFPQSQ8YSDKUBKxUXOAbOpyjfZPK2ZEzkXLE5wY5nC/zPL77YPnqi2oZOqPK8p&#10;scxgm+55ZCuwpH/EInUuTBH75B78wAUkU8Y76U36Yy5klwu7HwsrdpFwfMROlfUpJRxF1Xl5cXaa&#10;Cl+8Kjsf4ncBhiSiodC7zxVl29sQe/QBldwF0Kq9UVpnxq+WC+3JlmGbFwv0ljuLDo5gRcqhjzpT&#10;ca9FUtb2UUgsAcZZZY95+MRoj3EubKyHiDM6qUn0PSp+/VhxwCdVkQdzVK4/Vh41smewcVQ2yoJ/&#10;z4CO1RCy7PFY8KO8E7mEdo/d99CvRXD8RmH9b1mID8zjHuDG4G7He/xIDR02ZqAoWYP//d57wuN4&#10;opSSDveqoeHXhnlBif5hcXAvqskkLWJmJqdnNTL+WLI8ltiNWQD2tMIr4ngmEz7qAyk9mBc8AfPk&#10;FUXMcvTdUB79gVnEft/xiHAxn2cYLp9j8dY+OX7oehqu590L824YwojTeweHHWTTN4PYY1M/LMw3&#10;EaTKU/pa16HeuLh51Icjky7DMZ9Rr6dw9gc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ASbdIM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7BA22C1F" w14:textId="77777777" w:rsidR="00DF4F0C" w:rsidRDefault="00DF4F0C" w:rsidP="00B42154">
            <w:pPr>
              <w:rPr>
                <w:lang w:eastAsia="en-US"/>
              </w:rPr>
            </w:pPr>
            <w:r w:rsidRPr="00192064">
              <w:rPr>
                <w:b/>
                <w:lang w:eastAsia="en-US"/>
              </w:rPr>
              <w:t>Mandatory</w:t>
            </w:r>
            <w:r>
              <w:rPr>
                <w:lang w:eastAsia="en-US"/>
              </w:rPr>
              <w:t xml:space="preserve">: If users from the additional forests will be migrated into a single forest in the future, you must choose something other than the objectGUID as the source anchor attribute (such as the mail attribute). </w:t>
            </w:r>
          </w:p>
        </w:tc>
      </w:tr>
    </w:tbl>
    <w:p w14:paraId="4EABF3FA" w14:textId="134F20FC" w:rsidR="009A06F8" w:rsidRPr="007877D9" w:rsidRDefault="003E49D3" w:rsidP="00165CBC">
      <w:pPr>
        <w:rPr>
          <w:b/>
        </w:rPr>
      </w:pPr>
      <w:r w:rsidRPr="007877D9">
        <w:rPr>
          <w:b/>
        </w:rPr>
        <w:t>Multiple Forests with Duplicate Users</w:t>
      </w:r>
    </w:p>
    <w:p w14:paraId="3B465D2A" w14:textId="77777777" w:rsidR="00DF4F0C" w:rsidRDefault="00DF4F0C" w:rsidP="00DF4F0C">
      <w:r>
        <w:t>This scenario is the same as the previous scenario (multiple forests with unique users) with the exception that a single user has multiple user accounts in different forests in the environment. These accounts are either:</w:t>
      </w:r>
    </w:p>
    <w:p w14:paraId="1570D8F8" w14:textId="77777777" w:rsidR="00DF4F0C" w:rsidRDefault="00DF4F0C" w:rsidP="005729D2">
      <w:pPr>
        <w:pStyle w:val="ListParagraph"/>
        <w:numPr>
          <w:ilvl w:val="0"/>
          <w:numId w:val="276"/>
        </w:numPr>
      </w:pPr>
      <w:r>
        <w:t xml:space="preserve">Enabled (users likely have a password and sign in to these accounts) </w:t>
      </w:r>
    </w:p>
    <w:p w14:paraId="25406B3A" w14:textId="77777777" w:rsidR="00DF4F0C" w:rsidRDefault="00DF4F0C" w:rsidP="005729D2">
      <w:pPr>
        <w:pStyle w:val="ListParagraph"/>
        <w:numPr>
          <w:ilvl w:val="0"/>
          <w:numId w:val="276"/>
        </w:numPr>
      </w:pPr>
      <w:r>
        <w:t>Disabled (a shadow account is used to store attributes for an application, such as Exchange).</w:t>
      </w:r>
    </w:p>
    <w:p w14:paraId="516069F1" w14:textId="335E4E56" w:rsidR="003E49D3" w:rsidRDefault="00DF4F0C" w:rsidP="00DF4F0C">
      <w:r>
        <w:t>Even though there are multiple user accounts in the organization, there should be only a single account for the user in Azure AD. To enable this, the synchronization service needs to be able to match user accounts across the forests to a single person. For this to happen, the accounts in each forest need to have an attribute that contains the same, unique value for a user</w:t>
      </w:r>
      <w:r w:rsidR="003E49D3">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3E49D3" w14:paraId="7BB86E53" w14:textId="77777777" w:rsidTr="00567BE6">
        <w:trPr>
          <w:trHeight w:val="423"/>
        </w:trPr>
        <w:tc>
          <w:tcPr>
            <w:tcW w:w="666" w:type="dxa"/>
          </w:tcPr>
          <w:p w14:paraId="45D4423D" w14:textId="77777777" w:rsidR="003E49D3" w:rsidRDefault="003E49D3" w:rsidP="00567BE6">
            <w:pPr>
              <w:spacing w:after="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6D6D60F5" wp14:editId="47D1789C">
                      <wp:extent cx="200025" cy="180975"/>
                      <wp:effectExtent l="57150" t="19050" r="28575" b="104775"/>
                      <wp:docPr id="41090" name="Octagon 41090"/>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CC99867" id="Octagon 41090"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iPjcwIAAFIFAAAOAAAAZHJzL2Uyb0RvYy54bWysVN1r2zAQfx/sfxB6X2xn6dqGOiWkZAxK&#10;W9qOPiuylAgknSYpcbK/fifZcUNXKIy92He67999XF3vjSY74YMCW9NqVFIiLIdG2XVNfz4vv1xQ&#10;EiKzDdNgRU0PItDr2edPV62bijFsQDfCE3Riw7R1Nd3E6KZFEfhGGBZG4IRFoQRvWETWr4vGsxa9&#10;G12My/Jb0YJvnAcuQsDXm05IZ9m/lILHeymDiETXFHOL+evzd5W+xeyKTdeeuY3ifRrsH7IwTFkM&#10;Ori6YZGRrVd/uTKKewgg44iDKUBKxUWuAaupyjfVPG2YE7kWBCe4Aabw/9zyu92DJ6qp6aQqLxEh&#10;ywy26Z5HtgZLukcEqXVhirpP7sH3XEAyVbyX3qQ/1kL2GdjDAKzYR8LxETtVjs8o4SiqLsrL87ME&#10;fPFq7HyI3wUYkoiaQhc+I8p2tyF22ketFC6AVs1SaZ0Zv14ttCc7hm1eLDBa7iwGOFErUg1d1pmK&#10;By2SsbaPQiIEmGeVI+bhE4M/xrmwcdxnnLWTmcTYg+HXjw17/WQq8mAOxuOPjQeLHBlsHIyNsuDf&#10;c6Bj1acsO30E/KTuRK6gOWD3PXRrERxfKsT/loX4wDzuAc4D7na8x4/U0GJjeoqSDfjf770nfRxP&#10;lFLS4l7VNPzaMi8o0T8sDu5lNZmkRczM5Ox8jIw/laxOJXZrFoA9rfCKOJ7JpB/1kZQezAuegHmK&#10;iiJmOcauKY/+yCxit+94RLiYz7MaLp9j8dY+OX7sehqu5/0L864fwojTewfHHWTTN4PY6aZ+WJhv&#10;I0iVp/QV1x5vXNw86v2RSZfhlM9ar6dw9gc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CYviPj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7AFDF54C" w14:textId="748A5C59" w:rsidR="003E49D3" w:rsidRDefault="003E49D3" w:rsidP="003E49D3">
            <w:pPr>
              <w:rPr>
                <w:lang w:eastAsia="en-US"/>
              </w:rPr>
            </w:pPr>
            <w:r w:rsidRPr="00192064">
              <w:rPr>
                <w:b/>
                <w:lang w:eastAsia="en-US"/>
              </w:rPr>
              <w:t>Mandatory</w:t>
            </w:r>
            <w:r>
              <w:rPr>
                <w:lang w:eastAsia="en-US"/>
              </w:rPr>
              <w:t>:  If a single person has multiple user accounts in different forests, you must choose a common attribute to match the accounts together.</w:t>
            </w:r>
          </w:p>
        </w:tc>
      </w:tr>
    </w:tbl>
    <w:p w14:paraId="0E37FD48" w14:textId="13F8130C" w:rsidR="00CD56B2" w:rsidRPr="00A67CC9" w:rsidRDefault="00A67CC9" w:rsidP="001C4D03">
      <w:pPr>
        <w:pStyle w:val="Style2"/>
      </w:pPr>
      <w:r w:rsidRPr="00A67CC9">
        <w:t>UPN Alignment</w:t>
      </w:r>
    </w:p>
    <w:p w14:paraId="2A1A8F4A" w14:textId="41179889" w:rsidR="00DF4F0C" w:rsidRDefault="00103037" w:rsidP="00DF4F0C">
      <w:r>
        <w:t>The</w:t>
      </w:r>
      <w:r w:rsidR="00DF4F0C">
        <w:t xml:space="preserve"> User Principal Name</w:t>
      </w:r>
      <w:r w:rsidR="00DF4F0C" w:rsidRPr="00A510F1">
        <w:t xml:space="preserve"> </w:t>
      </w:r>
      <w:r w:rsidR="00DF4F0C">
        <w:t xml:space="preserve">(UPN) is the attribute in Azure AD that is used for a user’s sign-in name. By default, this is sourced from the on-premises Active Directory directory by using the </w:t>
      </w:r>
      <w:r w:rsidR="00DF4F0C" w:rsidRPr="00103037">
        <w:rPr>
          <w:i/>
        </w:rPr>
        <w:t>userPrincipalName</w:t>
      </w:r>
      <w:r w:rsidR="00DF4F0C">
        <w:t xml:space="preserve"> attribute for the user account. Because of legacy guidance, some customers’ AD forests use non-routable UPN suffixes or UPN suffixes that are different from the public-facing DNS name of the organization. </w:t>
      </w:r>
    </w:p>
    <w:p w14:paraId="57F7D110" w14:textId="77777777" w:rsidR="00DF4F0C" w:rsidRDefault="00DF4F0C" w:rsidP="00DF4F0C">
      <w:r>
        <w:t xml:space="preserve">For example, the UPN suffix in Active Directory might be @contoso.local, while the public facing DNS name is @contoso.com. In this situation, the Active Directory users have a log-in name similar to </w:t>
      </w:r>
      <w:r w:rsidRPr="00103037">
        <w:rPr>
          <w:i/>
        </w:rPr>
        <w:t>bob@contoso.local</w:t>
      </w:r>
      <w:r>
        <w:t xml:space="preserve">, rather than </w:t>
      </w:r>
      <w:r w:rsidRPr="00103037">
        <w:rPr>
          <w:i/>
        </w:rPr>
        <w:t>bob@contoso.com</w:t>
      </w:r>
      <w:r>
        <w:t>.</w:t>
      </w:r>
    </w:p>
    <w:p w14:paraId="591C4214" w14:textId="77777777" w:rsidR="00DF4F0C" w:rsidRDefault="00DF4F0C" w:rsidP="00DF4F0C">
      <w:r>
        <w:t>Azure AD requires that the UPN suffix be a valid public domain name that is registered with an Internet name registrar. This is to ensure that it’s unique across all Azure AD tenants and that only one organization owns the domain name. When the tenant is federated with an on-premises identity provider, the UPN suffix is used to determine where to redirect the user for authentication.</w:t>
      </w:r>
    </w:p>
    <w:p w14:paraId="2C1FEF5B" w14:textId="77777777" w:rsidR="00DF4F0C" w:rsidRDefault="00DF4F0C" w:rsidP="00DF4F0C">
      <w:r>
        <w:t>Customers that have a UPN suffix that is not routable or not desirable for the user logon name have two options:</w:t>
      </w:r>
    </w:p>
    <w:p w14:paraId="602E33B9" w14:textId="5E002793" w:rsidR="00DF4F0C" w:rsidRDefault="00DF4F0C" w:rsidP="005729D2">
      <w:pPr>
        <w:pStyle w:val="ListBullet"/>
        <w:numPr>
          <w:ilvl w:val="0"/>
          <w:numId w:val="277"/>
        </w:numPr>
      </w:pPr>
      <w:r>
        <w:t>Perform a UPN rationalization exercise</w:t>
      </w:r>
    </w:p>
    <w:p w14:paraId="43D55A4C" w14:textId="23D31072" w:rsidR="00BF75D6" w:rsidRDefault="00DF4F0C" w:rsidP="005729D2">
      <w:pPr>
        <w:pStyle w:val="ListBullet"/>
        <w:numPr>
          <w:ilvl w:val="0"/>
          <w:numId w:val="277"/>
        </w:numPr>
      </w:pPr>
      <w:r>
        <w:t>Use the Alternate Login ID</w:t>
      </w:r>
    </w:p>
    <w:p w14:paraId="0F2105D4" w14:textId="27DCCD8F" w:rsidR="00BF75D6" w:rsidRPr="007877D9" w:rsidRDefault="00BF75D6" w:rsidP="00BF75D6">
      <w:pPr>
        <w:rPr>
          <w:b/>
        </w:rPr>
      </w:pPr>
      <w:r w:rsidRPr="007877D9">
        <w:rPr>
          <w:b/>
        </w:rPr>
        <w:t>UPN Rationalization</w:t>
      </w:r>
    </w:p>
    <w:p w14:paraId="351ABF4A" w14:textId="77777777" w:rsidR="00E53F82" w:rsidRDefault="00E53F82" w:rsidP="00E53F82">
      <w:r>
        <w:t>UPN rationalization entails that the organization add a new UPN suffix to the Active Directory forest, and then change the UPN suffix of every account to match the new UPN suffix. This is the preferred approach for UPN alignment because it provides the best experience for users after the alignment is complete. There are challenges with UPN rationalization, however.</w:t>
      </w:r>
    </w:p>
    <w:p w14:paraId="5E293E11" w14:textId="77777777" w:rsidR="00E53F82" w:rsidRPr="00216D67" w:rsidRDefault="00E53F82" w:rsidP="00E53F82">
      <w:pPr>
        <w:rPr>
          <w:b/>
        </w:rPr>
      </w:pPr>
      <w:r w:rsidRPr="00216D67">
        <w:rPr>
          <w:b/>
        </w:rPr>
        <w:t>Applications that are Dependent on the UPN Attribute</w:t>
      </w:r>
    </w:p>
    <w:p w14:paraId="6F3EF740" w14:textId="77777777" w:rsidR="00E53F82" w:rsidRDefault="00E53F82" w:rsidP="00E53F82">
      <w:r>
        <w:t xml:space="preserve">It is possible that some of a customer’s applications use the UPN to store data about users in the application. If this is the case, changing the UPN in Active Directory would break those applications. The risk associated with performing a UPN rationalization exercise increases with the size of the organization. </w:t>
      </w:r>
    </w:p>
    <w:p w14:paraId="73C6ACB7" w14:textId="4D97D8E0" w:rsidR="00BF75D6" w:rsidRDefault="00E53F82" w:rsidP="00E53F82">
      <w:r>
        <w:t>For smaller customers with a well-defined set of applications, it’s easier to determine if changing the UPN suffix will impact any of the applications in use. However, for larger organizations, it is nearly impossible to gauge the impact. In that situation, it is best to pick a sample of users that is representative of all of the business groups in the organization, and first test the change with their accounts</w:t>
      </w:r>
      <w:r w:rsidR="008804EC">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E53F82" w14:paraId="57A7F26B" w14:textId="77777777" w:rsidTr="00B42154">
        <w:trPr>
          <w:trHeight w:val="423"/>
        </w:trPr>
        <w:tc>
          <w:tcPr>
            <w:tcW w:w="666" w:type="dxa"/>
          </w:tcPr>
          <w:p w14:paraId="0A24D76D" w14:textId="77777777" w:rsidR="00E53F82" w:rsidRDefault="00E53F82" w:rsidP="00B42154">
            <w:pPr>
              <w:spacing w:after="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7CA6DFCC" wp14:editId="28E48C9F">
                      <wp:extent cx="200025" cy="180975"/>
                      <wp:effectExtent l="57150" t="19050" r="28575" b="104775"/>
                      <wp:docPr id="41103" name="Octagon 41103"/>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88D43BB" id="Octagon 41103"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lJQdAIAAFIFAAAOAAAAZHJzL2Uyb0RvYy54bWysVN1r2zAQfx/sfxB6X22n6dqGOCWkdAxK&#10;W9aOPiuylAgknSYpcbK/fifZcUJXKIy92He6331/TG92RpOt8EGBrWl1VlIiLIdG2VVNf77cfbmi&#10;JERmG6bBipruRaA3s8+fpq2biBGsQTfCEzRiw6R1NV3H6CZFEfhaGBbOwAmLQgnesIisXxWNZy1a&#10;N7oYleXXogXfOA9chICvt52QzrJ9KQWPj1IGEYmuKcYW89fn7zJ9i9mUTVaeubXifRjsH6IwTFl0&#10;Opi6ZZGRjVd/mTKKewgg4xkHU4CUioucA2ZTlW+yeV4zJ3IuWJzghjKF/2eWP2yfPFFNTcdVVZ5T&#10;YpnBNj3yyFZgSfeIRWpdmCD22T35ngtIpox30pv0x1zILhd2PxRW7CLh+IidKkcXlHAUVVfl9eVF&#10;KnxxVHY+xG8CDElETaFznyvKtvchdugDKrkLoFVzp7TOjF8tF9qTLcM2LxboLXcWHZzAipRDF3Wm&#10;4l6LpKztDyGxBBhnlT3m4RODPca5sHHUR5zRSU2i70Hx/GPFHp9URR7MQXn0sfKgkT2DjYOyURb8&#10;ewZ0rPqQZYfHgp/kncglNHvsvoduLYLjdwrrf89CfGIe9wA3Bnc7PuJHamixMT1FyRr87/feEx7H&#10;E6WUtLhXNQ2/NswLSvR3i4N7XY3HaREzM764HCHjTyXLU4ndmAVgTyu8Io5nMuGjPpDSg3nFEzBP&#10;XlHELEffNeXRH5hF7PYdjwgX83mG4fI5Fu/ts+OHrqfhetm9Mu/6IYw4vQ9w2EE2eTOIHTb1w8J8&#10;E0GqPKXHuvb1xsXNo94fmXQZTvmMOp7C2R8AAAD//wMAUEsDBBQABgAIAAAAIQCft0Tx2wAAAAMB&#10;AAAPAAAAZHJzL2Rvd25yZXYueG1sTI9BS8NAEIXvgv9hGcGb3aTSEtNsiggFD9JgtXjdZqdJaHY2&#10;7G6b+O8dvdjLwOM93vumWE+2Fxf0oXOkIJ0lIJBqZzpqFHx+bB4yECFqMrp3hAq+McC6vL0pdG7c&#10;SO942cVGcAmFXCtoYxxyKUPdotVh5gYk9o7OWx1Z+kYar0cut72cJ8lSWt0RL7R6wJcW69PubBVU&#10;p7F6zarq6ctvlts3b/ep3+6Vur+bnlcgIk7xPwy/+IwOJTMd3JlMEL0CfiT+XfYe0wWIg4J5tgBZ&#10;FvKavfwBAAD//wMAUEsBAi0AFAAGAAgAAAAhALaDOJL+AAAA4QEAABMAAAAAAAAAAAAAAAAAAAAA&#10;AFtDb250ZW50X1R5cGVzXS54bWxQSwECLQAUAAYACAAAACEAOP0h/9YAAACUAQAACwAAAAAAAAAA&#10;AAAAAAAvAQAAX3JlbHMvLnJlbHNQSwECLQAUAAYACAAAACEAnsJSUHQCAABSBQAADgAAAAAAAAAA&#10;AAAAAAAuAgAAZHJzL2Uyb0RvYy54bWxQSwECLQAUAAYACAAAACEAn7dE8dsAAAADAQAADwAAAAAA&#10;AAAAAAAAAADOBAAAZHJzL2Rvd25yZXYueG1sUEsFBgAAAAAEAAQA8wAAANYFAAAAAA==&#10;" fillcolor="#c00" strokecolor="#ed7d31 [3205]" strokeweight=".5pt">
                      <w10:anchorlock/>
                    </v:shape>
                  </w:pict>
                </mc:Fallback>
              </mc:AlternateContent>
            </w:r>
          </w:p>
        </w:tc>
        <w:tc>
          <w:tcPr>
            <w:tcW w:w="8604" w:type="dxa"/>
          </w:tcPr>
          <w:p w14:paraId="42692B1E" w14:textId="77777777" w:rsidR="00E53F82" w:rsidRDefault="00E53F82" w:rsidP="00B42154">
            <w:pPr>
              <w:rPr>
                <w:lang w:eastAsia="en-US"/>
              </w:rPr>
            </w:pPr>
            <w:r w:rsidRPr="00192064">
              <w:rPr>
                <w:b/>
                <w:lang w:eastAsia="en-US"/>
              </w:rPr>
              <w:t>Mandatory</w:t>
            </w:r>
            <w:r>
              <w:rPr>
                <w:lang w:eastAsia="en-US"/>
              </w:rPr>
              <w:t>: If user certificates use the UPN in the Subject Name field, the certificates need to be reissued during the UPN rationalization.</w:t>
            </w:r>
          </w:p>
        </w:tc>
      </w:tr>
      <w:tr w:rsidR="00E53F82" w14:paraId="689D7BE5" w14:textId="77777777" w:rsidTr="00B42154">
        <w:trPr>
          <w:trHeight w:val="423"/>
        </w:trPr>
        <w:tc>
          <w:tcPr>
            <w:tcW w:w="666" w:type="dxa"/>
          </w:tcPr>
          <w:p w14:paraId="610BC883" w14:textId="77777777" w:rsidR="00E53F82" w:rsidRDefault="00E53F82" w:rsidP="00B42154">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851776" behindDoc="0" locked="0" layoutInCell="1" allowOverlap="1" wp14:anchorId="62F37ECF" wp14:editId="3254BD3E">
                      <wp:simplePos x="0" y="0"/>
                      <wp:positionH relativeFrom="column">
                        <wp:posOffset>66675</wp:posOffset>
                      </wp:positionH>
                      <wp:positionV relativeFrom="paragraph">
                        <wp:posOffset>90170</wp:posOffset>
                      </wp:positionV>
                      <wp:extent cx="209550" cy="180975"/>
                      <wp:effectExtent l="57150" t="19050" r="57150" b="104775"/>
                      <wp:wrapNone/>
                      <wp:docPr id="41100" name="Isosceles Triangle 41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428C4424" id="Isosceles Triangle 41100" o:spid="_x0000_s1026" type="#_x0000_t5" style="position:absolute;margin-left:5.25pt;margin-top:7.1pt;width:16.5pt;height:14.2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CXiA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Oi&#10;yLFChjXYplsPngstPHl0ipmNFqTTY71a60s0e7D3Lmbs7Qr4D4+K7A9NFHyPOUjXRCzmSw6p+Mex&#10;+OIQCMefk/xiNsMAOKqK8/zibBabk7FyMLbOhy8CGhIvFQ19YKnsbL/yoYMPsBQbaFUvldZJcJv1&#10;tXZkz5ALS/ww3c7EP8NSDl3YKYFw1CIaa/NNSKwTBlqkFxNDxeiPcS5MOO0dJnQ0k/j2aPj5fcMe&#10;H01FYu9oPHnfeLRIL4MJo3GjDLi3HOhQ9CHLDt930Xd5xxKsoT4iRRx0s+MtXypswIr5cM8cDgv2&#10;DBdA+IqH1NBWFPobJVtwv976H/HIYdRS0uLwVdT/3DEnKNG3Btl9UUyncVqTMJ2dTVBwLzXrlxqz&#10;a64Be1rgqrE8XSM+6OEqHTRPuCcW8VVUMcPx7Yry4AbhOnRLATcNF4tFguGEWhZW5sHyoeuRXI+H&#10;J+bswEKk7x0Mg8rKV0TssLEfBha7AFIllj7Xta83Tnfier+J4vp4KSfU876c/wYAAP//AwBQSwME&#10;FAAGAAgAAAAhADU8QjDZAAAABwEAAA8AAABkcnMvZG93bnJldi54bWxMjs1OwzAQhO9IvIO1SFxQ&#10;65CGtgpxKoSSI6ooPIATb36EvY5itw1vz3KC02g0o5mvOCzOigvOYfSk4HGdgEBqvRmpV/D5Ua/2&#10;IELUZLT1hAq+McChvL0pdG78ld7xcoq94BEKuVYwxDjlUoZ2QKfD2k9InHV+djqynXtpZn3lcWdl&#10;miRb6fRI/DDoCV8HbL9OZ6fAN8ux29S7/UPtJvvWVVXmjpVS93fLyzOIiEv8K8MvPqNDyUyNP5MJ&#10;wrJPnrjJmqUgOM827BvWdAeyLOR//vIHAAD//wMAUEsBAi0AFAAGAAgAAAAhALaDOJL+AAAA4QEA&#10;ABMAAAAAAAAAAAAAAAAAAAAAAFtDb250ZW50X1R5cGVzXS54bWxQSwECLQAUAAYACAAAACEAOP0h&#10;/9YAAACUAQAACwAAAAAAAAAAAAAAAAAvAQAAX3JlbHMvLnJlbHNQSwECLQAUAAYACAAAACEA0P2A&#10;l4gCAAB3BQAADgAAAAAAAAAAAAAAAAAuAgAAZHJzL2Uyb0RvYy54bWxQSwECLQAUAAYACAAAACEA&#10;NTxCMNkAAAAHAQAADwAAAAAAAAAAAAAAAADiBAAAZHJzL2Rvd25yZXYueG1sUEsFBgAAAAAEAAQA&#10;8wAAAOgFAAAAAA==&#10;" fillcolor="yellow" strokecolor="#70ad47 [3209]" strokeweight=".5pt">
                      <v:path arrowok="t"/>
                    </v:shape>
                  </w:pict>
                </mc:Fallback>
              </mc:AlternateContent>
            </w:r>
          </w:p>
        </w:tc>
        <w:tc>
          <w:tcPr>
            <w:tcW w:w="8604" w:type="dxa"/>
          </w:tcPr>
          <w:p w14:paraId="1C183B09" w14:textId="77777777" w:rsidR="00E53F82" w:rsidRDefault="00E53F82" w:rsidP="00B42154">
            <w:pPr>
              <w:rPr>
                <w:lang w:eastAsia="en-US"/>
              </w:rPr>
            </w:pPr>
            <w:r>
              <w:rPr>
                <w:rFonts w:eastAsiaTheme="minorHAnsi"/>
                <w:b/>
                <w:lang w:eastAsia="en-US"/>
              </w:rPr>
              <w:t xml:space="preserve">Recommended: </w:t>
            </w:r>
            <w:r>
              <w:rPr>
                <w:rFonts w:eastAsiaTheme="minorHAnsi"/>
                <w:lang w:eastAsia="en-US"/>
              </w:rPr>
              <w:t>Before performing rationalizing UPNs, build a catalog of the applications that have a dependency on the UPN attribute of the users, and test the new UPN on users of those applications.</w:t>
            </w:r>
          </w:p>
        </w:tc>
      </w:tr>
    </w:tbl>
    <w:p w14:paraId="2539F828" w14:textId="77777777" w:rsidR="00E53F82" w:rsidRPr="00216D67" w:rsidRDefault="00E53F82" w:rsidP="00E53F82">
      <w:pPr>
        <w:rPr>
          <w:b/>
        </w:rPr>
      </w:pPr>
      <w:r w:rsidRPr="00216D67">
        <w:rPr>
          <w:b/>
        </w:rPr>
        <w:t xml:space="preserve">User Certificates </w:t>
      </w:r>
      <w:r>
        <w:rPr>
          <w:b/>
        </w:rPr>
        <w:t>I</w:t>
      </w:r>
      <w:r w:rsidRPr="00216D67">
        <w:rPr>
          <w:b/>
        </w:rPr>
        <w:t>ssued with UPN as the Subject Name</w:t>
      </w:r>
    </w:p>
    <w:p w14:paraId="3BF1EF9F" w14:textId="77777777" w:rsidR="00E53F82" w:rsidRDefault="00E53F82" w:rsidP="00E53F82">
      <w:r>
        <w:t xml:space="preserve">Another big challenge when changing UPNs is that some organizations issue x.509 certificates that have the UPN value in the Subject Name field of the certificate. The impact varies with each customer because the certificates could be used for authentication or for signing or encrypting data, such as when sending email messages. </w:t>
      </w:r>
    </w:p>
    <w:p w14:paraId="4B827F7A" w14:textId="77777777" w:rsidR="00E53F82" w:rsidRDefault="00E53F82" w:rsidP="00E53F82">
      <w:r>
        <w:t xml:space="preserve">The data in a certificate cannot simply be changed because the certificates are digitally signed by the Certification Authority that issues them. If the data is changed, the signature is broken and the certificate is no longer valid. Therefore, the certificates must be reissued when the UPN is changed. </w:t>
      </w:r>
    </w:p>
    <w:p w14:paraId="6861478E" w14:textId="77777777" w:rsidR="00E53F82" w:rsidRDefault="00E53F82" w:rsidP="00E53F82">
      <w:r>
        <w:t>The process of obtaining new certificates varies between customers, so if there are certificates that rely on the UPN attribute, it’s important to understand the process that the customer uses for reissuing those certificates. In some cases, this may mean provisioning a new “soft” certificate (a certificate with a private key that resides on the computer, rather than a hardware device) to the user’s machine. Or it may require that the user write the new certificate to their smartcard.</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E53F82" w14:paraId="3470A3F7" w14:textId="77777777" w:rsidTr="00B42154">
        <w:trPr>
          <w:trHeight w:val="423"/>
        </w:trPr>
        <w:tc>
          <w:tcPr>
            <w:tcW w:w="666" w:type="dxa"/>
          </w:tcPr>
          <w:p w14:paraId="7703036D" w14:textId="77777777" w:rsidR="00E53F82" w:rsidRDefault="00E53F82" w:rsidP="00B42154">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856896" behindDoc="0" locked="0" layoutInCell="1" allowOverlap="1" wp14:anchorId="604F0FD9" wp14:editId="541FDEDC">
                      <wp:simplePos x="0" y="0"/>
                      <wp:positionH relativeFrom="column">
                        <wp:posOffset>66675</wp:posOffset>
                      </wp:positionH>
                      <wp:positionV relativeFrom="paragraph">
                        <wp:posOffset>90170</wp:posOffset>
                      </wp:positionV>
                      <wp:extent cx="209550" cy="180975"/>
                      <wp:effectExtent l="57150" t="19050" r="57150" b="104775"/>
                      <wp:wrapNone/>
                      <wp:docPr id="274" name="Isosceles Triangle 2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4F308988" id="Isosceles Triangle 274" o:spid="_x0000_s1026" type="#_x0000_t5" style="position:absolute;margin-left:5.25pt;margin-top:7.1pt;width:16.5pt;height:14.2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7uNqhgIAAHMFAAAOAAAAZHJzL2Uyb0RvYy54bWysVFtr2zAUfh/sPwi9r7azpBdTp4SWjELo&#10;ytrRZ0WWEjFZR5OUONmv35F8adcVCmN+EJLPd+7fOZdXh0aTvXBegalocZJTIgyHWplNRb8/Lj+d&#10;U+IDMzXTYERFj8LTq/nHD5etLcUEtqBr4QgaMb5sbUW3Idgyyzzfiob5E7DCoFCCa1jAp9tktWMt&#10;Wm90Nsnz06wFV1sHXHiPf286IZ0n+1IKHr5K6UUguqIYW0inS+c6ntn8kpUbx+xW8T4M9g9RNEwZ&#10;dDqaumGBkZ1Tf5lqFHfgQYYTDk0GUiouUg6YTZG/yuZhy6xIuWBxvB3L5P+fWX63v3dE1RWdnE0p&#10;MazBJt168Fxo4cmjU8xstCBRirVqrS9R5cHeu5ittyvgPzwKsj8k8eF7zEG6JmIxV3JIhT+OhReH&#10;QDj+nOQXsxm2h6OoOM8vzmbRWcbKQdk6H74IaEi8VDT0YaWSs/3Khw4+wFJsoFW9VFqnh9usr7Uj&#10;e4Y8WOKXp9ajB/8MSzl0YacEwlGLqKzNNyGxRhhokTwmdorRHuNcmHDah5zQUU2i71Hx8/uKPT6q&#10;isTcUXnyvvKokTyDCaNyowy4twzoUPQhyw7fd9F3eccSrKE+Ij0cdHPjLV8qbMCK+XDPHA4K9gyH&#10;P3zFQ2poKwr9jZItuF9v/Y945C9KKWlx8Crqf+6YE5ToW4PMviim0zip6TGdnU3w4V5K1i8lZtdc&#10;A/a0wDVjebpGfNDDVTponnBHLKJXFDHD0XdFeXDD4zp0CwG3DBeLRYLhdFoWVubB8qHrkVyPhyfm&#10;7MBCpO8dDEPKyldE7LCxHwYWuwBSJZY+17WvN0524nq/heLqePlOqOddOf8NAAD//wMAUEsDBBQA&#10;BgAIAAAAIQA1PEIw2QAAAAcBAAAPAAAAZHJzL2Rvd25yZXYueG1sTI7NTsMwEITvSLyDtUhcUOuQ&#10;hrYKcSqEkiOqKDyAE29+hL2OYrcNb89ygtNoNKOZrzgszooLzmH0pOBxnYBAar0ZqVfw+VGv9iBC&#10;1GS09YQKvjHAoby9KXRu/JXe8XKKveARCrlWMMQ45VKGdkCnw9pPSJx1fnY6sp17aWZ95XFnZZok&#10;W+n0SPww6AlfB2y/TmenwDfLsdvUu/1D7Sb71lVV5o6VUvd3y8sziIhL/CvDLz6jQ8lMjT+TCcKy&#10;T564yZqlIDjPNuwb1nQHsizkf/7yBwAA//8DAFBLAQItABQABgAIAAAAIQC2gziS/gAAAOEBAAAT&#10;AAAAAAAAAAAAAAAAAAAAAABbQ29udGVudF9UeXBlc10ueG1sUEsBAi0AFAAGAAgAAAAhADj9If/W&#10;AAAAlAEAAAsAAAAAAAAAAAAAAAAALwEAAF9yZWxzLy5yZWxzUEsBAi0AFAAGAAgAAAAhAPzu42qG&#10;AgAAcwUAAA4AAAAAAAAAAAAAAAAALgIAAGRycy9lMm9Eb2MueG1sUEsBAi0AFAAGAAgAAAAhADU8&#10;QjDZAAAABwEAAA8AAAAAAAAAAAAAAAAA4AQAAGRycy9kb3ducmV2LnhtbFBLBQYAAAAABAAEAPMA&#10;AADmBQAAAAA=&#10;" fillcolor="yellow" strokecolor="#70ad47 [3209]" strokeweight=".5pt">
                      <v:path arrowok="t"/>
                    </v:shape>
                  </w:pict>
                </mc:Fallback>
              </mc:AlternateContent>
            </w:r>
          </w:p>
        </w:tc>
        <w:tc>
          <w:tcPr>
            <w:tcW w:w="8604" w:type="dxa"/>
          </w:tcPr>
          <w:p w14:paraId="49A75B91" w14:textId="77777777" w:rsidR="00E53F82" w:rsidRDefault="00E53F82" w:rsidP="00B42154">
            <w:pPr>
              <w:rPr>
                <w:lang w:eastAsia="en-US"/>
              </w:rPr>
            </w:pPr>
            <w:r>
              <w:rPr>
                <w:rFonts w:eastAsiaTheme="minorHAnsi"/>
                <w:b/>
                <w:lang w:eastAsia="en-US"/>
              </w:rPr>
              <w:t xml:space="preserve">Recommended: </w:t>
            </w:r>
            <w:r>
              <w:rPr>
                <w:rFonts w:eastAsiaTheme="minorHAnsi"/>
                <w:lang w:eastAsia="en-US"/>
              </w:rPr>
              <w:t>Understand the process used for reissuing user certificates, so that you can adequately communicate with users and prepare for a massive reissuance event, if needed.</w:t>
            </w:r>
          </w:p>
        </w:tc>
      </w:tr>
    </w:tbl>
    <w:p w14:paraId="69CED622" w14:textId="1D076A5F" w:rsidR="006A6787" w:rsidRPr="007877D9" w:rsidRDefault="006A6787" w:rsidP="001C4D03">
      <w:pPr>
        <w:pStyle w:val="Style2"/>
      </w:pPr>
      <w:r w:rsidRPr="007877D9">
        <w:t>Identity Management Systems</w:t>
      </w:r>
    </w:p>
    <w:p w14:paraId="1DF9EE51" w14:textId="6B1367F5" w:rsidR="00E53F82" w:rsidRDefault="006A6787" w:rsidP="00E53F82">
      <w:r>
        <w:t>If</w:t>
      </w:r>
      <w:r w:rsidR="00E53F82">
        <w:t xml:space="preserve"> an identity management solution is in place, such as Microsoft Identity Manager, it’s likely that there’s a dependency on the UPN attribute. In these cases, it’s likely that the identity management system is managing the value of the UPN attribute for users. So if the UPN is changed on the user account in Active Directory, the identity management system would set it back to the old value (which it deems is authoritative). </w:t>
      </w:r>
    </w:p>
    <w:p w14:paraId="18386B07" w14:textId="77777777" w:rsidR="00E53F82" w:rsidRDefault="00E53F82" w:rsidP="00E53F82">
      <w:r>
        <w:t>Depending on the configuration of the identity management system, it is also possible that the UPN attribute is being used as an anchor for joining identities in different systems to the identities in Active Directory. Therefore, changing the UPN without updating the identity management system could result in identities being disassociated in the connected systems. At best, this would cause the identities to stop synchronizing to those systems. At worst, the identities would be deleted from the target system.</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E53F82" w14:paraId="2F9625A0" w14:textId="77777777" w:rsidTr="00B42154">
        <w:trPr>
          <w:trHeight w:val="423"/>
        </w:trPr>
        <w:tc>
          <w:tcPr>
            <w:tcW w:w="666" w:type="dxa"/>
          </w:tcPr>
          <w:p w14:paraId="476E979A" w14:textId="77777777" w:rsidR="00E53F82" w:rsidRDefault="00E53F82" w:rsidP="00B42154">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862016" behindDoc="0" locked="0" layoutInCell="1" allowOverlap="1" wp14:anchorId="74D97742" wp14:editId="55C108A0">
                      <wp:simplePos x="0" y="0"/>
                      <wp:positionH relativeFrom="column">
                        <wp:posOffset>66675</wp:posOffset>
                      </wp:positionH>
                      <wp:positionV relativeFrom="paragraph">
                        <wp:posOffset>90170</wp:posOffset>
                      </wp:positionV>
                      <wp:extent cx="209550" cy="180975"/>
                      <wp:effectExtent l="57150" t="19050" r="57150" b="104775"/>
                      <wp:wrapNone/>
                      <wp:docPr id="41102" name="Isosceles Triangle 411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5AD50CB9" id="Isosceles Triangle 41102" o:spid="_x0000_s1026" type="#_x0000_t5" style="position:absolute;margin-left:5.25pt;margin-top:7.1pt;width:16.5pt;height:14.2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Xyuig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Oi&#10;yCeUGNZgm249eC608OTRKWY2WpBOj/VqrS/R7MHeu5ixtyvgPzwqsj80UfA95iBdE7GYLzmk4h/H&#10;4otDIBx/TvKL2QxbxFFVnOcXZ7PYnIyVg7F1PnwR0JB4qWjoA0tlZ/uVDx18gKXYQKt6qbROgtus&#10;r7Uje4ZcWOKXp/bjC/4ZlnLowk4JhKMW0Vibb0JinTDQIr2YGCpGf4xzYcJpH3JCRzOJb4+Gn983&#10;7PHRVCT2jsaT941Hi/QymDAaN8qAe8uBDkUfsuzwfRd9l3cswRrqI1LEQTc73vKlwgasmA/3zOGw&#10;YM9wAYSveEgNbUWhv1GyBffrrf8RjxxGLSUtDl9F/c8dc4ISfWuQ3RfFdBqnNQnT2dkEBfdSs36p&#10;MbvmGrCnBa4ay9M14oMertJB84R7YhFfRRUzHN+uKA9uEK5DtxRw03CxWCQYTqhlYWUeLB+6Hsn1&#10;eHhizg4sRPrewTCorHxFxA4b+2FgsQsgVWLpc137euN0J673myiuj5dyQj3vy/lvAAAA//8DAFBL&#10;AwQUAAYACAAAACEANTxCMNkAAAAHAQAADwAAAGRycy9kb3ducmV2LnhtbEyOzU7DMBCE70i8g7VI&#10;XFDrkIa2CnEqhJIjqig8gBNvfoS9jmK3DW/PcoLTaDSjma84LM6KC85h9KTgcZ2AQGq9GalX8PlR&#10;r/YgQtRktPWECr4xwKG8vSl0bvyV3vFyir3gEQq5VjDEOOVShnZAp8PaT0icdX52OrKde2lmfeVx&#10;Z2WaJFvp9Ej8MOgJXwdsv05np8A3y7Hb1Lv9Q+0m+9ZVVeaOlVL3d8vLM4iIS/wrwy8+o0PJTI0/&#10;kwnCsk+euMmapSA4zzbsG9Z0B7Is5H/+8gcAAP//AwBQSwECLQAUAAYACAAAACEAtoM4kv4AAADh&#10;AQAAEwAAAAAAAAAAAAAAAAAAAAAAW0NvbnRlbnRfVHlwZXNdLnhtbFBLAQItABQABgAIAAAAIQA4&#10;/SH/1gAAAJQBAAALAAAAAAAAAAAAAAAAAC8BAABfcmVscy8ucmVsc1BLAQItABQABgAIAAAAIQBN&#10;CXyuigIAAHcFAAAOAAAAAAAAAAAAAAAAAC4CAABkcnMvZTJvRG9jLnhtbFBLAQItABQABgAIAAAA&#10;IQA1PEIw2QAAAAcBAAAPAAAAAAAAAAAAAAAAAOQEAABkcnMvZG93bnJldi54bWxQSwUGAAAAAAQA&#10;BADzAAAA6gUAAAAA&#10;" fillcolor="yellow" strokecolor="#70ad47 [3209]" strokeweight=".5pt">
                      <v:path arrowok="t"/>
                    </v:shape>
                  </w:pict>
                </mc:Fallback>
              </mc:AlternateContent>
            </w:r>
          </w:p>
        </w:tc>
        <w:tc>
          <w:tcPr>
            <w:tcW w:w="8604" w:type="dxa"/>
          </w:tcPr>
          <w:p w14:paraId="78BAC14A" w14:textId="77777777" w:rsidR="00E53F82" w:rsidRDefault="00E53F82" w:rsidP="00B42154">
            <w:pPr>
              <w:rPr>
                <w:lang w:eastAsia="en-US"/>
              </w:rPr>
            </w:pPr>
            <w:r>
              <w:rPr>
                <w:rFonts w:eastAsiaTheme="minorHAnsi"/>
                <w:b/>
                <w:lang w:eastAsia="en-US"/>
              </w:rPr>
              <w:t xml:space="preserve">Recommended: </w:t>
            </w:r>
            <w:r>
              <w:rPr>
                <w:rFonts w:eastAsiaTheme="minorHAnsi"/>
                <w:lang w:eastAsia="en-US"/>
              </w:rPr>
              <w:t>Spend some time understanding the identity management systems that are used for managing Active Directory within the organization to ensure that there isn’t a dependency on the UPN of user accounts.</w:t>
            </w:r>
          </w:p>
        </w:tc>
      </w:tr>
    </w:tbl>
    <w:p w14:paraId="2E2E3AC6" w14:textId="77777777" w:rsidR="00E53F82" w:rsidRPr="007877D9" w:rsidRDefault="00E53F82" w:rsidP="00E53F82">
      <w:pPr>
        <w:rPr>
          <w:b/>
        </w:rPr>
      </w:pPr>
      <w:r w:rsidRPr="007877D9">
        <w:rPr>
          <w:b/>
        </w:rPr>
        <w:t>Alternate Login ID</w:t>
      </w:r>
    </w:p>
    <w:p w14:paraId="3E919AFE" w14:textId="16081C83" w:rsidR="00E53F82" w:rsidRDefault="00E53F82" w:rsidP="00E53F82">
      <w:r>
        <w:t xml:space="preserve">The Alternate Login ID is a way to achieve UPN alignment without having to modify the UPN attribute of user accounts in Active Directory. When using the Alternate Login ID, an Active Directory attribute other than </w:t>
      </w:r>
      <w:r w:rsidRPr="003B180C">
        <w:rPr>
          <w:i/>
        </w:rPr>
        <w:t>userPrincip</w:t>
      </w:r>
      <w:r w:rsidR="00A261A8">
        <w:rPr>
          <w:i/>
        </w:rPr>
        <w:t>alNa</w:t>
      </w:r>
      <w:r w:rsidRPr="003B180C">
        <w:rPr>
          <w:i/>
        </w:rPr>
        <w:t>me</w:t>
      </w:r>
      <w:r>
        <w:t xml:space="preserve"> is selected to feed the UPN of Azure AD. This can be any unique, indexed attribute that uses the </w:t>
      </w:r>
      <w:r w:rsidRPr="003B180C">
        <w:rPr>
          <w:i/>
        </w:rPr>
        <w:t>user@domain.com</w:t>
      </w:r>
      <w:r>
        <w:t xml:space="preserve"> format. The impact to users is much less than changing their UPNs.</w:t>
      </w:r>
    </w:p>
    <w:p w14:paraId="72F3CCAD" w14:textId="77777777" w:rsidR="00E53F82" w:rsidRDefault="00E53F82" w:rsidP="00E53F82">
      <w:r>
        <w:t>Although the Alternate Login ID can help in some situations, it should not be the default solution because it has some drawbacks, including:</w:t>
      </w:r>
    </w:p>
    <w:p w14:paraId="0DFFF0DA" w14:textId="77777777" w:rsidR="00E53F82" w:rsidRDefault="00E53F82" w:rsidP="005729D2">
      <w:pPr>
        <w:pStyle w:val="ListBullet"/>
        <w:numPr>
          <w:ilvl w:val="0"/>
          <w:numId w:val="110"/>
        </w:numPr>
      </w:pPr>
      <w:r>
        <w:t>Cannot be used with an Exchange hybrid online deployment.</w:t>
      </w:r>
    </w:p>
    <w:p w14:paraId="2EC7932B" w14:textId="77777777" w:rsidR="00E53F82" w:rsidRDefault="00E53F82" w:rsidP="005729D2">
      <w:pPr>
        <w:pStyle w:val="ListBullet"/>
        <w:numPr>
          <w:ilvl w:val="0"/>
          <w:numId w:val="110"/>
        </w:numPr>
      </w:pPr>
      <w:r>
        <w:t>Configuring it on an existing Azure AD Sync implementation that has already synchronized to Azure AD requires that you manually change the UPN on each Azure AD account.</w:t>
      </w:r>
    </w:p>
    <w:p w14:paraId="3965A666" w14:textId="77777777" w:rsidR="00E53F82" w:rsidRDefault="00E53F82" w:rsidP="005729D2">
      <w:pPr>
        <w:pStyle w:val="ListBullet"/>
        <w:numPr>
          <w:ilvl w:val="0"/>
          <w:numId w:val="110"/>
        </w:numPr>
      </w:pPr>
      <w:r>
        <w:t>Kerberos-based single sign-on no longer works for applications that rely on the Sign-in Assistant (such as Lync, OneDrive for Business, and Office Pro Plus). Users are prompted to enter credentials, which then can be cached by the Windows Credential Manager, but users will be prompted on a regular basis when their password changes.</w:t>
      </w:r>
    </w:p>
    <w:p w14:paraId="0BAD5F5D" w14:textId="77777777" w:rsidR="00E53F82" w:rsidRDefault="00E53F82" w:rsidP="005729D2">
      <w:pPr>
        <w:pStyle w:val="ListBullet"/>
        <w:numPr>
          <w:ilvl w:val="0"/>
          <w:numId w:val="110"/>
        </w:numPr>
      </w:pPr>
      <w:r>
        <w:t>Azure AD Application Proxy requires that the UPN in Azure AD is the same as the UPN in the on-premises Active Directory for Kerberos constrained delegation to work. Therefore, an Alternate Login ID will break Kerberos constrained delegation for Azure AD Application Proxy.</w:t>
      </w:r>
    </w:p>
    <w:p w14:paraId="37531579" w14:textId="15303121" w:rsidR="00582A0D" w:rsidRDefault="00E53F82" w:rsidP="00E53F82">
      <w:r>
        <w:t>Due to these issues, it is recommended that Alternate Login ID be used as a secondary option only when UPN rationalization is not possible with a customer</w:t>
      </w:r>
      <w:r w:rsidR="00582A0D">
        <w:t>.</w:t>
      </w:r>
    </w:p>
    <w:p w14:paraId="330F93B4" w14:textId="5BF0ECA9" w:rsidR="004015A7" w:rsidRPr="000C1D6E" w:rsidRDefault="00F82362" w:rsidP="001C4D03">
      <w:pPr>
        <w:pStyle w:val="Style2"/>
      </w:pPr>
      <w:r w:rsidRPr="000C1D6E">
        <w:t xml:space="preserve">Synchronization Server </w:t>
      </w:r>
      <w:r w:rsidR="00C9728B" w:rsidRPr="000C1D6E">
        <w:t>Availability</w:t>
      </w:r>
    </w:p>
    <w:p w14:paraId="728D6408" w14:textId="7857E13A" w:rsidR="00E53F82" w:rsidRDefault="00F82362" w:rsidP="00E53F82">
      <w:r>
        <w:t>It</w:t>
      </w:r>
      <w:r w:rsidR="00E53F82">
        <w:t xml:space="preserve"> is not possible to have a high availability design for the server hosting the Azure AD Connect service. By default, the synchronization server runs the synchronization job to Azure AD every three hours by using a scheduled task on the server. This interval can be decreased, if needed. High availability for the Azure AD Connect server should not be necessary in most situations because synchronization is not a continuous event.</w:t>
      </w:r>
    </w:p>
    <w:p w14:paraId="35437F18" w14:textId="77777777" w:rsidR="00E53F82" w:rsidRDefault="00E53F82" w:rsidP="00E53F82">
      <w:r>
        <w:t>In the event of a catastrophic failure, a new Azure AD Connect server can be built and synchronized in a couple of hours for a medium-sized business. Larger business with more than 100,000 users will take more time to synchronize. If you need a faster recovery time, Azure AD Connect can be configured to use a dedicated SQL Server deployment with high availability.</w:t>
      </w:r>
    </w:p>
    <w:p w14:paraId="796F7CAE" w14:textId="77777777" w:rsidR="00E53F82" w:rsidRDefault="00E53F82" w:rsidP="00E53F82">
      <w:r>
        <w:t>Consider a dedicated SQL Server environment in the following scenarios:</w:t>
      </w:r>
    </w:p>
    <w:p w14:paraId="450F0B8F" w14:textId="1B3C29DF" w:rsidR="00E53F82" w:rsidRDefault="00E53F82" w:rsidP="005729D2">
      <w:pPr>
        <w:pStyle w:val="ListBullet"/>
        <w:numPr>
          <w:ilvl w:val="0"/>
          <w:numId w:val="111"/>
        </w:numPr>
      </w:pPr>
      <w:r>
        <w:t>The organization has more than 100,000 users. The SQL Express LocalDB used by Azure AD Connect has a limitation of a 10 GB database. Therefore, if an organization has more users than SQL Express can hold, a full SQL Server implementation is required.</w:t>
      </w:r>
    </w:p>
    <w:p w14:paraId="7DB78F42" w14:textId="1B4CF950" w:rsidR="0082367F" w:rsidRDefault="00E53F82" w:rsidP="005729D2">
      <w:pPr>
        <w:pStyle w:val="ListBullet"/>
        <w:numPr>
          <w:ilvl w:val="0"/>
          <w:numId w:val="111"/>
        </w:numPr>
      </w:pPr>
      <w:r>
        <w:t>A large organization wants to have a low recovery time for the synchronization service.</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0F70D0" w14:paraId="79692380" w14:textId="77777777" w:rsidTr="006D6AF3">
        <w:trPr>
          <w:trHeight w:val="423"/>
        </w:trPr>
        <w:tc>
          <w:tcPr>
            <w:tcW w:w="666" w:type="dxa"/>
          </w:tcPr>
          <w:p w14:paraId="270E10A3" w14:textId="77777777" w:rsidR="000F70D0" w:rsidRDefault="000F70D0" w:rsidP="006D6AF3">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262976" behindDoc="0" locked="0" layoutInCell="1" allowOverlap="1" wp14:anchorId="5183DA03" wp14:editId="0D5BA316">
                      <wp:simplePos x="0" y="0"/>
                      <wp:positionH relativeFrom="column">
                        <wp:posOffset>66675</wp:posOffset>
                      </wp:positionH>
                      <wp:positionV relativeFrom="paragraph">
                        <wp:posOffset>90170</wp:posOffset>
                      </wp:positionV>
                      <wp:extent cx="180975" cy="180975"/>
                      <wp:effectExtent l="57150" t="19050" r="9525" b="104775"/>
                      <wp:wrapNone/>
                      <wp:docPr id="41105" name="Oval 411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5B3779EB" id="Oval 41105" o:spid="_x0000_s1026" style="position:absolute;margin-left:5.25pt;margin-top:7.1pt;width:14.25pt;height:14.25pt;z-index:25126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j/WfQIAAGgFAAAOAAAAZHJzL2Uyb0RvYy54bWysVN9P2zAQfp+0/8Hy+0hSyoCIFHUgpkkV&#10;oMHEs+vYrTXb59lu0+6v39lJAxuTkKa9WD7fdz/93V1c7owmW+GDAtvQ6qikRFgOrbKrhn57vPlw&#10;RkmIzLZMgxUN3YtAL2fv3110rhYTWINuhSfoxIa6cw1dx+jqogh8LQwLR+CERaUEb1hE0a+K1rMO&#10;vRtdTMryY9GBb50HLkLA1+teSWfZv5SCxzspg4hENxRzi/n0+Vyms5hdsHrlmVsrPqTB/iELw5TF&#10;oKOraxYZ2Xj1ypVR3EMAGY84mAKkVFzkGrCaqvyjmoc1cyLXgs0JbmxT+H9u+e323hPVNnRaVeUJ&#10;JZYZ/Ka7LdOkf8EOdS7UCHxw9z7VGNwC+PeAiuI3TRLCgNlJbxIWKyS73O792G6xi4TjY3VWnp9i&#10;SI6q4Z58svpg7HyInwUYki4NFVorF1JDWM22ixB79AGVUwOt2huldRb8anmlPcFaMHb5qTzJ/40B&#10;wjMsl9BnnfOPey2SsbZfhcTGpDxzxExJMfpjnAsbjxOB0GFGJzOJsUfD47cNB3wyFZmuo/HkbePR&#10;IkcGG0djoyz4vznQsRpSlj1++MTQ151asIR2j5zw0A9LcPxGYf8XLMR75nE6cI5w4uMdHlJD11AY&#10;bpSswf/823vCI2lRS0mH09bQ8GPDvKBEf7FI5/NqOk3jmYXpyekEBf9Ss3ypsRtzBfinFe4Wx/M1&#10;4aM+XKUH84SLYZ6ioopZjrEbyqM/CFex3wK4WriYzzMMR9KxuLAPjh9+PZHrcffEvBtIGJG9t3CY&#10;zFdE7LHpPyzMNxGkyix97uvQbxznTJxh9aR98VLOqOcFOfsFAAD//wMAUEsDBBQABgAIAAAAIQDC&#10;Gp8i3gAAAAcBAAAPAAAAZHJzL2Rvd25yZXYueG1sTI9BS8NAEIXvgv9hGcGL2E1iqzZmU0QQFL2Y&#10;VtTbNDsmwexsyG7b+O8dT3oaHu/x5nvFanK92tMYOs8G0lkCirj2tuPGwGZ9f34NKkRki71nMvBN&#10;AVbl8VGBufUHfqF9FRslJRxyNNDGOORah7olh2HmB2LxPv3oMIocG21HPEi563WWJJfaYcfyocWB&#10;7lqqv6qdM/BRbZ7dOn1yb4/pw4LO3vsl2ldjTk+m2xtQkab4F4ZffEGHUpi2fsc2qF50spCk3HkG&#10;SvyLpUzbGphnV6DLQv/nL38AAAD//wMAUEsBAi0AFAAGAAgAAAAhALaDOJL+AAAA4QEAABMAAAAA&#10;AAAAAAAAAAAAAAAAAFtDb250ZW50X1R5cGVzXS54bWxQSwECLQAUAAYACAAAACEAOP0h/9YAAACU&#10;AQAACwAAAAAAAAAAAAAAAAAvAQAAX3JlbHMvLnJlbHNQSwECLQAUAAYACAAAACEAFAo/1n0CAABo&#10;BQAADgAAAAAAAAAAAAAAAAAuAgAAZHJzL2Uyb0RvYy54bWxQSwECLQAUAAYACAAAACEAwhqfIt4A&#10;AAAHAQAADwAAAAAAAAAAAAAAAADXBAAAZHJzL2Rvd25yZXYueG1sUEsFBgAAAAAEAAQA8wAAAOIF&#10;AAAAAA==&#10;" fillcolor="#00b050" strokecolor="#a5a5a5 [3206]" strokeweight=".5pt">
                      <v:stroke joinstyle="miter"/>
                      <v:path arrowok="t"/>
                    </v:oval>
                  </w:pict>
                </mc:Fallback>
              </mc:AlternateContent>
            </w:r>
          </w:p>
        </w:tc>
        <w:tc>
          <w:tcPr>
            <w:tcW w:w="8604" w:type="dxa"/>
          </w:tcPr>
          <w:p w14:paraId="61A105D2" w14:textId="7B96A74E" w:rsidR="000F70D0" w:rsidRDefault="000F70D0" w:rsidP="000F70D0">
            <w:pPr>
              <w:rPr>
                <w:lang w:eastAsia="en-US"/>
              </w:rPr>
            </w:pPr>
            <w:r>
              <w:rPr>
                <w:rFonts w:eastAsiaTheme="minorHAnsi"/>
                <w:b/>
                <w:lang w:eastAsia="en-US"/>
              </w:rPr>
              <w:t xml:space="preserve">Optional: </w:t>
            </w:r>
            <w:r>
              <w:rPr>
                <w:rFonts w:eastAsiaTheme="minorHAnsi"/>
                <w:lang w:eastAsia="en-US"/>
              </w:rPr>
              <w:t xml:space="preserve"> A dedicated SQL Server instance can be used to provide better performance and high availability options for the Azure AD Connect synchronization service.</w:t>
            </w:r>
          </w:p>
        </w:tc>
      </w:tr>
    </w:tbl>
    <w:p w14:paraId="226B1A7B" w14:textId="3268A491" w:rsidR="005667D8" w:rsidRPr="005667D8" w:rsidRDefault="005667D8" w:rsidP="001C4D03">
      <w:pPr>
        <w:pStyle w:val="Style2"/>
      </w:pPr>
      <w:r w:rsidRPr="00652253">
        <w:t xml:space="preserve">Password </w:t>
      </w:r>
      <w:r w:rsidR="00652253" w:rsidRPr="00652253">
        <w:t xml:space="preserve">Hash </w:t>
      </w:r>
      <w:r w:rsidRPr="00652253">
        <w:t>Synchronization</w:t>
      </w:r>
    </w:p>
    <w:p w14:paraId="150398B2" w14:textId="64097891" w:rsidR="00E53F82" w:rsidRDefault="00652253" w:rsidP="00E53F82">
      <w:r>
        <w:t>With</w:t>
      </w:r>
      <w:r w:rsidR="00E53F82">
        <w:t xml:space="preserve"> password hash synchronization, the Azure AD Connect service will synchronize one-way SHA256 hashes of Active Directory password hashes into Azure AD. This allows a user that signs into Azure AD to use the same password that is used to sign in to the on-premises Active Directory. </w:t>
      </w:r>
    </w:p>
    <w:p w14:paraId="4605AD6B" w14:textId="77777777" w:rsidR="00E53F82" w:rsidRDefault="00E53F82" w:rsidP="00E53F82">
      <w:r>
        <w:t xml:space="preserve">Even though the default synchronization frequency for Azure AD Connect is every three hours, password hash synchronization occurs every two minutes, allowing users who change their passwords in on-premises Active Directory to begin using their new password in Azure AD almost immediately. </w:t>
      </w:r>
    </w:p>
    <w:p w14:paraId="62DACA05" w14:textId="77777777" w:rsidR="00E53F82" w:rsidRDefault="00E53F82" w:rsidP="00E53F82">
      <w:r>
        <w:t>When you enable password hash synchronization, it applies to all users that are being synchronized to Azure AD. This means that you cannot pick and choose which user’s password hashes get synchronized. The only way to prevent a user’s password hash from being synchronized to Azure AD is by filtering out the user in the synchronization policies, thereby removing their account from Azure AD.</w:t>
      </w:r>
    </w:p>
    <w:p w14:paraId="7E850E16" w14:textId="77777777" w:rsidR="00E53F82" w:rsidRDefault="00E53F82" w:rsidP="00E53F82">
      <w:r>
        <w:t xml:space="preserve">If you are using federated authentication for Azure AD, we still often recommend enabling password hash synchronization. This approach is recommended to allow password-based sign in to be used as a fallback if the customer’s on-premises AD FS instance goes down. </w:t>
      </w:r>
    </w:p>
    <w:p w14:paraId="517A4DE3" w14:textId="77777777" w:rsidR="00E53F82" w:rsidRDefault="00E53F82" w:rsidP="00E53F82">
      <w:r>
        <w:t>If a user’s password is already synchronized to Azure AD, enabling password-based sign in is as simple as running a PowerShell script. Users can safely be switched back to federated authentication after the problem is resolved and AD FS is back online.</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E53F82" w14:paraId="53B54FA0" w14:textId="77777777" w:rsidTr="00B42154">
        <w:trPr>
          <w:trHeight w:val="423"/>
        </w:trPr>
        <w:tc>
          <w:tcPr>
            <w:tcW w:w="666" w:type="dxa"/>
          </w:tcPr>
          <w:p w14:paraId="5C0AECE2" w14:textId="77777777" w:rsidR="00E53F82" w:rsidRDefault="00E53F82" w:rsidP="00B42154">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867136" behindDoc="0" locked="0" layoutInCell="1" allowOverlap="1" wp14:anchorId="6DBC9A85" wp14:editId="7780C1A5">
                      <wp:simplePos x="0" y="0"/>
                      <wp:positionH relativeFrom="column">
                        <wp:posOffset>66675</wp:posOffset>
                      </wp:positionH>
                      <wp:positionV relativeFrom="paragraph">
                        <wp:posOffset>90170</wp:posOffset>
                      </wp:positionV>
                      <wp:extent cx="209550" cy="180975"/>
                      <wp:effectExtent l="57150" t="19050" r="57150" b="104775"/>
                      <wp:wrapNone/>
                      <wp:docPr id="277" name="Isosceles Triangle 2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43362C17" id="Isosceles Triangle 277" o:spid="_x0000_s1026" type="#_x0000_t5" style="position:absolute;margin-left:5.25pt;margin-top:7.1pt;width:16.5pt;height:14.2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3KehwIAAHMFAAAOAAAAZHJzL2Uyb0RvYy54bWysVFtP2zAUfp+0/2D5fSTpKIWIFFWgTkgV&#10;Q4OJZ9exW2uOj2e7Tbtfv2PnAmNISNPyYNk537l/51xeHRpN9sJ5BaaixUlOiTAcamU2Ff3+uPx0&#10;TokPzNRMgxEVPQpPr+YfP1y2thQT2IKuhSNoxPiytRXdhmDLLPN8KxrmT8AKg0IJrmEBn26T1Y61&#10;aL3R2STPz7IWXG0dcOE9/r3phHSe7EspePgqpReB6IpibCGdLp3reGbzS1ZuHLNbxfsw2D9E0TBl&#10;0Olo6oYFRnZO/WWqUdyBBxlOODQZSKm4SDlgNkX+KpuHLbMi5YLF8XYsk/9/Zvnd/t4RVVd0MptR&#10;YliDTbr14LnQwpNHp5jZaEGiFGvVWl+iyoO9dzFbb1fAf3gUZH9I4sP3mIN0TcRiruSQCn8cCy8O&#10;gXD8OckvplNsD0dRcZ5fzKbRWcbKQdk6H74IaEi8VDT0YaWSs/3Khw4+wFJsoFW9VFqnh9usr7Uj&#10;e4Y8WOKXp9ajB/8MSzl0YacEwlGLqKzNNyGxRhhokTwmdorRHuNcmHDWh5zQUU2i71Hx8/uKPT6q&#10;isTcUXnyvvKokTyDCaNyowy4twzoUPQhyw7fd9F3eccSrKE+Ij0cdHPjLV8qbMCK+XDPHA4K9gyH&#10;P3zFQ2poKwr9jZItuF9v/Y945C9KKWlx8Crqf+6YE5ToW4PMvihOT+OkpsfpdDbBh3spWb+UmF1z&#10;DdjTAteM5eka8UEPV+mgecIdsYheUcQMR98V5cENj+vQLQTcMlwsFgmG02lZWJkHy4euR3I9Hp6Y&#10;swMLkb53MAwpK18RscPGfhhY7AJIlVj6XNe+3jjZiev9Foqr4+U7oZ535fw3AAAA//8DAFBLAwQU&#10;AAYACAAAACEANTxCMNkAAAAHAQAADwAAAGRycy9kb3ducmV2LnhtbEyOzU7DMBCE70i8g7VIXFDr&#10;kIa2CnEqhJIjqig8gBNvfoS9jmK3DW/PcoLTaDSjma84LM6KC85h9KTgcZ2AQGq9GalX8PlRr/Yg&#10;QtRktPWECr4xwKG8vSl0bvyV3vFyir3gEQq5VjDEOOVShnZAp8PaT0icdX52OrKde2lmfeVxZ2Wa&#10;JFvp9Ej8MOgJXwdsv05np8A3y7Hb1Lv9Q+0m+9ZVVeaOlVL3d8vLM4iIS/wrwy8+o0PJTI0/kwnC&#10;sk+euMmapSA4zzbsG9Z0B7Is5H/+8gcAAP//AwBQSwECLQAUAAYACAAAACEAtoM4kv4AAADhAQAA&#10;EwAAAAAAAAAAAAAAAAAAAAAAW0NvbnRlbnRfVHlwZXNdLnhtbFBLAQItABQABgAIAAAAIQA4/SH/&#10;1gAAAJQBAAALAAAAAAAAAAAAAAAAAC8BAABfcmVscy8ucmVsc1BLAQItABQABgAIAAAAIQDAz3Ke&#10;hwIAAHMFAAAOAAAAAAAAAAAAAAAAAC4CAABkcnMvZTJvRG9jLnhtbFBLAQItABQABgAIAAAAIQA1&#10;PEIw2QAAAAcBAAAPAAAAAAAAAAAAAAAAAOEEAABkcnMvZG93bnJldi54bWxQSwUGAAAAAAQABADz&#10;AAAA5wUAAAAA&#10;" fillcolor="yellow" strokecolor="#70ad47 [3209]" strokeweight=".5pt">
                      <v:path arrowok="t"/>
                    </v:shape>
                  </w:pict>
                </mc:Fallback>
              </mc:AlternateContent>
            </w:r>
          </w:p>
        </w:tc>
        <w:tc>
          <w:tcPr>
            <w:tcW w:w="8604" w:type="dxa"/>
          </w:tcPr>
          <w:p w14:paraId="2A2E77C3" w14:textId="77777777" w:rsidR="00E53F82" w:rsidRDefault="00E53F82" w:rsidP="00B42154">
            <w:pPr>
              <w:rPr>
                <w:lang w:eastAsia="en-US"/>
              </w:rPr>
            </w:pPr>
            <w:r>
              <w:rPr>
                <w:rFonts w:eastAsiaTheme="minorHAnsi"/>
                <w:b/>
                <w:lang w:eastAsia="en-US"/>
              </w:rPr>
              <w:t xml:space="preserve">Recommended: </w:t>
            </w:r>
            <w:r>
              <w:rPr>
                <w:rFonts w:eastAsiaTheme="minorHAnsi"/>
                <w:lang w:eastAsia="en-US"/>
              </w:rPr>
              <w:t>Even if all of a customer’s users are signing in to Azure AD with AD FS, it is recommended to enable password synchronization. Doing so provides a good fall-back method for user authentication if AD FS goes offline.</w:t>
            </w:r>
          </w:p>
        </w:tc>
      </w:tr>
    </w:tbl>
    <w:p w14:paraId="3EEEF23E" w14:textId="01E3936A" w:rsidR="00F171A0" w:rsidRPr="000C2031" w:rsidRDefault="005667D8" w:rsidP="005729D2">
      <w:pPr>
        <w:pStyle w:val="Heading4Numbered"/>
        <w:numPr>
          <w:ilvl w:val="3"/>
          <w:numId w:val="64"/>
        </w:numPr>
      </w:pPr>
      <w:r>
        <w:t>Signing In to Azure Active Directory</w:t>
      </w:r>
    </w:p>
    <w:p w14:paraId="7332344E" w14:textId="3F08A62F" w:rsidR="00E53F82" w:rsidRDefault="005667D8" w:rsidP="00E53F82">
      <w:r>
        <w:t>After</w:t>
      </w:r>
      <w:r w:rsidR="00E53F82">
        <w:t xml:space="preserve"> user accounts are synchronized from the on-premises Active Directory to the Azure AD tenant, users can sign in to the accounts and access applications that are integrated with Azure AD, such as Office 365. There are two options for signing in users to Azure AD:</w:t>
      </w:r>
    </w:p>
    <w:p w14:paraId="680D7A89" w14:textId="77777777" w:rsidR="00E53F82" w:rsidRDefault="00E53F82" w:rsidP="005729D2">
      <w:pPr>
        <w:pStyle w:val="ListParagraph"/>
        <w:numPr>
          <w:ilvl w:val="0"/>
          <w:numId w:val="16"/>
        </w:numPr>
      </w:pPr>
      <w:r>
        <w:t>Provide the user name and password to Azure AD for verification</w:t>
      </w:r>
    </w:p>
    <w:p w14:paraId="6822D0AE" w14:textId="77777777" w:rsidR="00E53F82" w:rsidRDefault="00E53F82" w:rsidP="005729D2">
      <w:pPr>
        <w:pStyle w:val="ListParagraph"/>
        <w:numPr>
          <w:ilvl w:val="0"/>
          <w:numId w:val="16"/>
        </w:numPr>
      </w:pPr>
      <w:r>
        <w:t>Sign in to on-premises identity provider that is trusted by Azure AD</w:t>
      </w:r>
    </w:p>
    <w:p w14:paraId="1AAC872B" w14:textId="77777777" w:rsidR="00E53F82" w:rsidRPr="00C36705" w:rsidRDefault="00E53F82" w:rsidP="00E53F82">
      <w:pPr>
        <w:pStyle w:val="Heading5"/>
      </w:pPr>
      <w:r w:rsidRPr="00C36705">
        <w:t xml:space="preserve">Authenticating to </w:t>
      </w:r>
      <w:r>
        <w:t>Azure AD</w:t>
      </w:r>
    </w:p>
    <w:p w14:paraId="67CA3BEF" w14:textId="77777777" w:rsidR="00E53F82" w:rsidRDefault="00E53F82" w:rsidP="00E53F82">
      <w:r>
        <w:t xml:space="preserve">The user object in Azure AD is separate from the object in the on-premises Active Directory. Because of this, the Azure AD object has its own user name and password. Unless password hash synchronization is enabled in Azure AD Connect, users will have different passwords for Active Directory and Azure AD. </w:t>
      </w:r>
    </w:p>
    <w:p w14:paraId="4818466D" w14:textId="546A2C52" w:rsidR="005667D8" w:rsidRDefault="00E53F82" w:rsidP="00E53F82">
      <w:r>
        <w:t>This can confuse users and lead to a poor cloud experience. Therefore, it’s recommended to enable password hash synchronization unless there is a specific reason that the customer doesn’t want it enabled</w:t>
      </w:r>
      <w:r w:rsidR="00C36705">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C36705" w14:paraId="16B95FE1" w14:textId="77777777" w:rsidTr="006D6AF3">
        <w:trPr>
          <w:trHeight w:val="423"/>
        </w:trPr>
        <w:tc>
          <w:tcPr>
            <w:tcW w:w="666" w:type="dxa"/>
          </w:tcPr>
          <w:p w14:paraId="6D804AD7" w14:textId="77777777" w:rsidR="00C36705" w:rsidRDefault="00C36705" w:rsidP="006D6AF3">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268096" behindDoc="0" locked="0" layoutInCell="1" allowOverlap="1" wp14:anchorId="60A00870" wp14:editId="138ACED1">
                      <wp:simplePos x="0" y="0"/>
                      <wp:positionH relativeFrom="column">
                        <wp:posOffset>66675</wp:posOffset>
                      </wp:positionH>
                      <wp:positionV relativeFrom="paragraph">
                        <wp:posOffset>90170</wp:posOffset>
                      </wp:positionV>
                      <wp:extent cx="209550" cy="180975"/>
                      <wp:effectExtent l="57150" t="19050" r="57150" b="104775"/>
                      <wp:wrapNone/>
                      <wp:docPr id="41110" name="Isosceles Triangle 41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16932789" id="Isosceles Triangle 41110" o:spid="_x0000_s1026" type="#_x0000_t5" style="position:absolute;margin-left:5.25pt;margin-top:7.1pt;width:16.5pt;height:14.25pt;z-index:25126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93s9iQ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Oi&#10;KLBChjXYplsPngstPHl0ipmNFqTTY71a60s0e7D3Lmbs7Qr4D4+K7A9NFHyPOUjXRCzmSw6p+Mex&#10;+OIQCMefk/xiNsMAOKqK8/zibBabk7FyMLbOhy8CGhIvFQ19YKnsbL/yoYMPsBQbaFUvldZJcJv1&#10;tXZkz5ALS/zy1H58wT/DUg5d2CmBcNQiGmvzTUisEwZapBcTQ8Xoj3EuTDjtQ07oaCbx7dHw8/uG&#10;PT6aisTe0XjyvvFokV4GE0bjRhlwbznQoehDlh2+76Lv8o4lWEN9RIo46GbHW75U2IAV8+GeORwW&#10;7BkugPAVD6mhrSj0N0q24H699T/ikcOopaTF4auo/7ljTlCibw2y+6KYTuO0JmE6O5ug4F5q1i81&#10;ZtdcA/a0wFVjebpGfNDDVTponnBPLOKrqGKG49sV5cENwnXolgJuGi4WiwTDCbUsrMyD5UPXI7ke&#10;D0/M2YGFSN87GAaVla+I2GFjPwwsdgGkSix9rmtfb5zuxPV+E8X18VJOqOd9Of8NAAD//wMAUEsD&#10;BBQABgAIAAAAIQA1PEIw2QAAAAcBAAAPAAAAZHJzL2Rvd25yZXYueG1sTI7NTsMwEITvSLyDtUhc&#10;UOuQhrYKcSqEkiOqKDyAE29+hL2OYrcNb89ygtNoNKOZrzgszooLzmH0pOBxnYBAar0ZqVfw+VGv&#10;9iBC1GS09YQKvjHAoby9KXRu/JXe8XKKveARCrlWMMQ45VKGdkCnw9pPSJx1fnY6sp17aWZ95XFn&#10;ZZokW+n0SPww6AlfB2y/TmenwDfLsdvUu/1D7Sb71lVV5o6VUvd3y8sziIhL/CvDLz6jQ8lMjT+T&#10;CcKyT564yZqlIDjPNuwb1nQHsizkf/7yBwAA//8DAFBLAQItABQABgAIAAAAIQC2gziS/gAAAOEB&#10;AAATAAAAAAAAAAAAAAAAAAAAAABbQ29udGVudF9UeXBlc10ueG1sUEsBAi0AFAAGAAgAAAAhADj9&#10;If/WAAAAlAEAAAsAAAAAAAAAAAAAAAAALwEAAF9yZWxzLy5yZWxzUEsBAi0AFAAGAAgAAAAhAHb3&#10;ez2JAgAAdwUAAA4AAAAAAAAAAAAAAAAALgIAAGRycy9lMm9Eb2MueG1sUEsBAi0AFAAGAAgAAAAh&#10;ADU8QjDZAAAABwEAAA8AAAAAAAAAAAAAAAAA4wQAAGRycy9kb3ducmV2LnhtbFBLBQYAAAAABAAE&#10;APMAAADpBQAAAAA=&#10;" fillcolor="yellow" strokecolor="#70ad47 [3209]" strokeweight=".5pt">
                      <v:path arrowok="t"/>
                    </v:shape>
                  </w:pict>
                </mc:Fallback>
              </mc:AlternateContent>
            </w:r>
          </w:p>
        </w:tc>
        <w:tc>
          <w:tcPr>
            <w:tcW w:w="8604" w:type="dxa"/>
          </w:tcPr>
          <w:p w14:paraId="6DC41729" w14:textId="4947FEE6" w:rsidR="00C36705" w:rsidRDefault="00C36705" w:rsidP="00C36705">
            <w:pPr>
              <w:rPr>
                <w:lang w:eastAsia="en-US"/>
              </w:rPr>
            </w:pPr>
            <w:r>
              <w:rPr>
                <w:rFonts w:eastAsiaTheme="minorHAnsi"/>
                <w:b/>
                <w:lang w:eastAsia="en-US"/>
              </w:rPr>
              <w:t xml:space="preserve">Recommended: </w:t>
            </w:r>
            <w:r>
              <w:rPr>
                <w:rFonts w:eastAsiaTheme="minorHAnsi"/>
                <w:lang w:eastAsia="en-US"/>
              </w:rPr>
              <w:t xml:space="preserve"> Enable password hash synchronization so that the Azure AD password for users is the same as the on-premises A</w:t>
            </w:r>
            <w:r w:rsidR="00E53F82">
              <w:rPr>
                <w:rFonts w:eastAsiaTheme="minorHAnsi"/>
                <w:lang w:eastAsia="en-US"/>
              </w:rPr>
              <w:t xml:space="preserve">ctive </w:t>
            </w:r>
            <w:r>
              <w:rPr>
                <w:rFonts w:eastAsiaTheme="minorHAnsi"/>
                <w:lang w:eastAsia="en-US"/>
              </w:rPr>
              <w:t>D</w:t>
            </w:r>
            <w:r w:rsidR="00E53F82">
              <w:rPr>
                <w:rFonts w:eastAsiaTheme="minorHAnsi"/>
                <w:lang w:eastAsia="en-US"/>
              </w:rPr>
              <w:t>irectory</w:t>
            </w:r>
            <w:r>
              <w:rPr>
                <w:rFonts w:eastAsiaTheme="minorHAnsi"/>
                <w:lang w:eastAsia="en-US"/>
              </w:rPr>
              <w:t xml:space="preserve"> password.</w:t>
            </w:r>
          </w:p>
        </w:tc>
      </w:tr>
    </w:tbl>
    <w:p w14:paraId="3143550A" w14:textId="6084169C" w:rsidR="00C36705" w:rsidRPr="00C36705" w:rsidRDefault="00C36705" w:rsidP="007877D9">
      <w:pPr>
        <w:pStyle w:val="Heading5"/>
      </w:pPr>
      <w:r w:rsidRPr="00C36705">
        <w:t>Authenticating to an On-Premises Identity Provider</w:t>
      </w:r>
    </w:p>
    <w:p w14:paraId="7078F400" w14:textId="77777777" w:rsidR="00344CDD" w:rsidRDefault="00344CDD" w:rsidP="00344CDD">
      <w:r>
        <w:t xml:space="preserve">Azure AD supports the ability to establish an identity federation trust with an on-premises identity provider (IdP), such as Active Directory Federation Services (AD FS). This enables users to have a desktop single sign-on experience when accessing resources that are integrated with Azure AD. </w:t>
      </w:r>
    </w:p>
    <w:p w14:paraId="6B35A147" w14:textId="77777777" w:rsidR="00344CDD" w:rsidRDefault="00344CDD" w:rsidP="00344CDD">
      <w:r>
        <w:t xml:space="preserve">With this experience, an end user would sign in to a domain-joined workstation and not be prompted again for a password throughout the entire session, regardless of which applications are used. </w:t>
      </w:r>
    </w:p>
    <w:p w14:paraId="0379159C" w14:textId="77777777" w:rsidR="00344CDD" w:rsidRDefault="00344CDD" w:rsidP="00344CDD">
      <w:r>
        <w:t xml:space="preserve">When a federation trust is in place, Azure AD defers to the on-premises identity provider to collect the user’s credentials and perform the authentication. After authenticating the user, the on-premises identity provider creates a signed security token to serve as proof that the user was successfully authenticated. </w:t>
      </w:r>
    </w:p>
    <w:p w14:paraId="16ED88B9" w14:textId="573EBC0A" w:rsidR="0021405B" w:rsidRDefault="00344CDD" w:rsidP="00344CDD">
      <w:r>
        <w:t>This security token may also contain data about the user (called claims), which can then be provided to Azure AD for various purposes. The security token is given to Azure AD, which then verifies the signature on the token and uses it to provide access to the applications. The following diagram illustrates this behavior</w:t>
      </w:r>
      <w:r w:rsidR="0021405B">
        <w:t>:</w:t>
      </w:r>
    </w:p>
    <w:p w14:paraId="454C228B" w14:textId="6FBC8C31" w:rsidR="00855B3D" w:rsidRDefault="00855B3D" w:rsidP="00165CBC">
      <w:r w:rsidRPr="00855B3D">
        <w:rPr>
          <w:noProof/>
        </w:rPr>
        <w:drawing>
          <wp:inline distT="0" distB="0" distL="0" distR="0" wp14:anchorId="316A26A6" wp14:editId="4F2CE90A">
            <wp:extent cx="5943600" cy="2502310"/>
            <wp:effectExtent l="0" t="0" r="0" b="0"/>
            <wp:docPr id="874593617" name="Picture 874593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5943600" cy="2502310"/>
                    </a:xfrm>
                    <a:prstGeom prst="rect">
                      <a:avLst/>
                    </a:prstGeom>
                    <a:noFill/>
                    <a:ln>
                      <a:noFill/>
                    </a:ln>
                  </pic:spPr>
                </pic:pic>
              </a:graphicData>
            </a:graphic>
          </wp:inline>
        </w:drawing>
      </w:r>
    </w:p>
    <w:p w14:paraId="7B857F62" w14:textId="20926493" w:rsidR="0038349C" w:rsidRPr="007877D9" w:rsidRDefault="0038349C" w:rsidP="00165CBC">
      <w:pPr>
        <w:rPr>
          <w:b/>
        </w:rPr>
      </w:pPr>
      <w:r w:rsidRPr="007877D9">
        <w:rPr>
          <w:b/>
        </w:rPr>
        <w:t>Domain Names</w:t>
      </w:r>
    </w:p>
    <w:p w14:paraId="6064B1A4" w14:textId="77777777" w:rsidR="00344CDD" w:rsidRDefault="00344CDD" w:rsidP="00344CDD">
      <w:r>
        <w:t xml:space="preserve">When enabling a federated identity relationship between Azure AD and an on-premises identity provider, an entire domain name in Azure AD is converted from a </w:t>
      </w:r>
      <w:r w:rsidRPr="00473C59">
        <w:rPr>
          <w:i/>
        </w:rPr>
        <w:t>standard</w:t>
      </w:r>
      <w:r>
        <w:t xml:space="preserve"> domain to a </w:t>
      </w:r>
      <w:r w:rsidRPr="00473C59">
        <w:rPr>
          <w:i/>
        </w:rPr>
        <w:t>federated</w:t>
      </w:r>
      <w:r>
        <w:t xml:space="preserve"> domain. This impacts all of the users that have UPNs under the domain name. You cannot have a mix of federated and non-federated users in a domain name.</w:t>
      </w:r>
    </w:p>
    <w:p w14:paraId="11FFC296" w14:textId="77777777" w:rsidR="00344CDD" w:rsidRDefault="00344CDD" w:rsidP="00344CDD">
      <w:pPr>
        <w:pStyle w:val="Note"/>
      </w:pPr>
      <w:r w:rsidRPr="00473C59">
        <w:rPr>
          <w:b/>
        </w:rPr>
        <w:t>Note</w:t>
      </w:r>
      <w:r>
        <w:t xml:space="preserve">: You cannot convert the default &lt;tenant&gt;.onmicrosoft.com domain name to a federated domain name. Only custom domain names added to Azure AD can be federated. </w:t>
      </w:r>
    </w:p>
    <w:p w14:paraId="1BD8BE73" w14:textId="77777777" w:rsidR="00344CDD" w:rsidRDefault="00344CDD" w:rsidP="00344CDD"/>
    <w:p w14:paraId="650EFFF7" w14:textId="77777777" w:rsidR="00344CDD" w:rsidRDefault="00344CDD" w:rsidP="00344CDD">
      <w:r>
        <w:t>Any subdomains under a domain namespace will have the same configuration as the parent domain. For example, if the custom domain name contoso.com is configured as a federated domain, child.contoso.com will also be a federated domain. This happens automatically by Azure AD, and it cannot be overridden.</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344CDD" w14:paraId="07469ADE" w14:textId="77777777" w:rsidTr="00B42154">
        <w:trPr>
          <w:trHeight w:val="423"/>
        </w:trPr>
        <w:tc>
          <w:tcPr>
            <w:tcW w:w="666" w:type="dxa"/>
          </w:tcPr>
          <w:p w14:paraId="0B7E9DCC" w14:textId="77777777" w:rsidR="00344CDD" w:rsidRDefault="00344CDD" w:rsidP="00B42154">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872256" behindDoc="0" locked="0" layoutInCell="1" allowOverlap="1" wp14:anchorId="3AAFFD88" wp14:editId="0C9E1DCE">
                      <wp:simplePos x="0" y="0"/>
                      <wp:positionH relativeFrom="column">
                        <wp:posOffset>66675</wp:posOffset>
                      </wp:positionH>
                      <wp:positionV relativeFrom="paragraph">
                        <wp:posOffset>90170</wp:posOffset>
                      </wp:positionV>
                      <wp:extent cx="209550" cy="180975"/>
                      <wp:effectExtent l="57150" t="19050" r="57150" b="104775"/>
                      <wp:wrapNone/>
                      <wp:docPr id="278" name="Isosceles Triangle 2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260218F5" id="Isosceles Triangle 278" o:spid="_x0000_s1026" type="#_x0000_t5" style="position:absolute;margin-left:5.25pt;margin-top:7.1pt;width:16.5pt;height:14.2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kUOhgIAAHMFAAAOAAAAZHJzL2Uyb0RvYy54bWysVFtP2zAUfp+0/2D5fSTpKJeIFFWgTkgV&#10;IGDi2XXs1prj49lu0+7X79i5wBgS0rQ8WHbOd+7fOReX+0aTnXBegalocZRTIgyHWpl1Rb8/Lb6c&#10;UeIDMzXTYERFD8LTy9nnTxetLcUENqBr4QgaMb5sbUU3IdgyyzzfiIb5I7DCoFCCa1jAp1tntWMt&#10;Wm90Nsnzk6wFV1sHXHiPf687IZ0l+1IKHu6k9CIQXVGMLaTTpXMVz2x2wcq1Y3ajeB8G+4coGqYM&#10;Oh1NXbPAyNapv0w1ijvwIMMRhyYDKRUXKQfMpsjfZPO4YVakXLA43o5l8v/PLL/d3Tui6opOTrFV&#10;hjXYpBsPngstPHlyipm1FiRKsVat9SWqPNp7F7P1dgn8h0dB9ockPnyP2UvXRCzmSvap8Iex8GIf&#10;CMefk/x8OsX2cBQVZ/n56TQ6y1g5KFvnwzcBDYmXioY+rFRytlv60MEHWIoNtKoXSuv0cOvVlXZk&#10;x5AHC/zy1Hr04F9gKYcu7JRAOGgRlbV5EBJrhIEWyWNipxjtMc6FCSd9yAkd1ST6HhW/fqzY46Oq&#10;SMwdlScfK48ayTOYMCo3yoB7z4AORR+y7PB9F32XdyzBCuoD0sNBNzfe8oXCBiyZD/fM4aBgz3D4&#10;wx0eUkNbUehvlGzA/Xrvf8Qjf1FKSYuDV1H/c8ucoETfGGT2eXF8HCc1PY6npxN8uNeS1WuJ2TZX&#10;gD0tcM1Ynq4RH/RwlQ6aZ9wR8+gVRcxw9F1RHtzwuArdQsAtw8V8nmA4nZaFpXm0fOh6JNfT/pk5&#10;O7AQ6XsLw5Cy8g0RO2zsh4H5NoBUiaUvde3rjZOduN5vobg6Xr8T6mVXzn4DAAD//wMAUEsDBBQA&#10;BgAIAAAAIQA1PEIw2QAAAAcBAAAPAAAAZHJzL2Rvd25yZXYueG1sTI7NTsMwEITvSLyDtUhcUOuQ&#10;hrYKcSqEkiOqKDyAE29+hL2OYrcNb89ygtNoNKOZrzgszooLzmH0pOBxnYBAar0ZqVfw+VGv9iBC&#10;1GS09YQKvjHAoby9KXRu/JXe8XKKveARCrlWMMQ45VKGdkCnw9pPSJx1fnY6sp17aWZ95XFnZZok&#10;W+n0SPww6AlfB2y/TmenwDfLsdvUu/1D7Sb71lVV5o6VUvd3y8sziIhL/CvDLz6jQ8lMjT+TCcKy&#10;T564yZqlIDjPNuwb1nQHsizkf/7yBwAA//8DAFBLAQItABQABgAIAAAAIQC2gziS/gAAAOEBAAAT&#10;AAAAAAAAAAAAAAAAAAAAAABbQ29udGVudF9UeXBlc10ueG1sUEsBAi0AFAAGAAgAAAAhADj9If/W&#10;AAAAlAEAAAsAAAAAAAAAAAAAAAAALwEAAF9yZWxzLy5yZWxzUEsBAi0AFAAGAAgAAAAhAI5mRQ6G&#10;AgAAcwUAAA4AAAAAAAAAAAAAAAAALgIAAGRycy9lMm9Eb2MueG1sUEsBAi0AFAAGAAgAAAAhADU8&#10;QjDZAAAABwEAAA8AAAAAAAAAAAAAAAAA4AQAAGRycy9kb3ducmV2LnhtbFBLBQYAAAAABAAEAPMA&#10;AADmBQAAAAA=&#10;" fillcolor="yellow" strokecolor="#70ad47 [3209]" strokeweight=".5pt">
                      <v:path arrowok="t"/>
                    </v:shape>
                  </w:pict>
                </mc:Fallback>
              </mc:AlternateContent>
            </w:r>
          </w:p>
        </w:tc>
        <w:tc>
          <w:tcPr>
            <w:tcW w:w="8604" w:type="dxa"/>
          </w:tcPr>
          <w:p w14:paraId="13784047" w14:textId="77777777" w:rsidR="00344CDD" w:rsidRDefault="00344CDD" w:rsidP="00B42154">
            <w:pPr>
              <w:rPr>
                <w:lang w:eastAsia="en-US"/>
              </w:rPr>
            </w:pPr>
            <w:r>
              <w:rPr>
                <w:rFonts w:eastAsiaTheme="minorHAnsi"/>
                <w:b/>
                <w:lang w:eastAsia="en-US"/>
              </w:rPr>
              <w:t xml:space="preserve">Recommended: </w:t>
            </w:r>
            <w:r>
              <w:rPr>
                <w:rFonts w:eastAsiaTheme="minorHAnsi"/>
                <w:lang w:eastAsia="en-US"/>
              </w:rPr>
              <w:t>Federated domains can be converted back to standard domains at any time. Using this option in conjunction with password synchronization can provide a great fall-back strategy if the customer’s identity provider goes down for a period of time.</w:t>
            </w:r>
          </w:p>
        </w:tc>
      </w:tr>
    </w:tbl>
    <w:p w14:paraId="16A463BF" w14:textId="77777777" w:rsidR="00344CDD" w:rsidRDefault="00344CDD" w:rsidP="00344CDD">
      <w:r>
        <w:t xml:space="preserve">After the domain name is converted to </w:t>
      </w:r>
      <w:r w:rsidRPr="004A6132">
        <w:rPr>
          <w:i/>
        </w:rPr>
        <w:t>federated</w:t>
      </w:r>
      <w:r>
        <w:t>, all users who attempt to sign in to Azure AD with a UPN from the converted domain (or one of its child domains) will be redirected to the on-premises identity provider for authentication. If the user does not have a valid account in the on-premises identity provider, the user will not be able to authenticate to Azure AD or to any of the connected applications.</w:t>
      </w:r>
    </w:p>
    <w:p w14:paraId="3B9350AE" w14:textId="77777777" w:rsidR="00344CDD" w:rsidRPr="00C23BE8" w:rsidRDefault="00344CDD" w:rsidP="00344CDD">
      <w:pPr>
        <w:rPr>
          <w:b/>
        </w:rPr>
      </w:pPr>
      <w:r w:rsidRPr="00C23BE8">
        <w:rPr>
          <w:b/>
        </w:rPr>
        <w:t>Federating Multiple Domains</w:t>
      </w:r>
    </w:p>
    <w:p w14:paraId="1D8B0931" w14:textId="77777777" w:rsidR="00344CDD" w:rsidRDefault="00344CDD" w:rsidP="00344CDD">
      <w:r>
        <w:t>If there are multiple custom domain names in an Azure AD tenant that need to be federated, Azure AD can be configured to redirect users to a single identity provider or to multiple identity providers. The following criteria should be used to determine whether to use a single or multiple identity providers.</w:t>
      </w:r>
    </w:p>
    <w:p w14:paraId="79EC5871" w14:textId="77777777" w:rsidR="00344CDD" w:rsidRDefault="00344CDD" w:rsidP="00344CDD">
      <w:r>
        <w:t xml:space="preserve">Use a </w:t>
      </w:r>
      <w:r w:rsidRPr="00C90964">
        <w:rPr>
          <w:i/>
        </w:rPr>
        <w:t>single</w:t>
      </w:r>
      <w:r>
        <w:t xml:space="preserve"> identity provider if:</w:t>
      </w:r>
    </w:p>
    <w:p w14:paraId="7B09D75D" w14:textId="77777777" w:rsidR="00344CDD" w:rsidRDefault="00344CDD" w:rsidP="005729D2">
      <w:pPr>
        <w:pStyle w:val="ListBullet"/>
        <w:numPr>
          <w:ilvl w:val="0"/>
          <w:numId w:val="113"/>
        </w:numPr>
      </w:pPr>
      <w:r>
        <w:t>There is a single Active Directory forest with multiple UPN suffixes synchronizing to different domain names in Azure AD.</w:t>
      </w:r>
    </w:p>
    <w:p w14:paraId="439815C7" w14:textId="77777777" w:rsidR="00344CDD" w:rsidRDefault="00344CDD" w:rsidP="005729D2">
      <w:pPr>
        <w:pStyle w:val="ListBullet"/>
        <w:numPr>
          <w:ilvl w:val="0"/>
          <w:numId w:val="113"/>
        </w:numPr>
      </w:pPr>
      <w:r>
        <w:t>There is a single Active Directory forest with child domains.</w:t>
      </w:r>
    </w:p>
    <w:p w14:paraId="53B366A5" w14:textId="707DD116" w:rsidR="00344CDD" w:rsidRDefault="00344CDD" w:rsidP="005729D2">
      <w:pPr>
        <w:pStyle w:val="ListBullet"/>
        <w:numPr>
          <w:ilvl w:val="0"/>
          <w:numId w:val="113"/>
        </w:numPr>
        <w:spacing w:after="160" w:line="259" w:lineRule="auto"/>
      </w:pPr>
      <w:r>
        <w:t>There are multiple Active Directory forests with two-way forest trusts to the forest that the identity provider resides in, and UPN suffixes can be correctly routed between the forest trusts.</w:t>
      </w:r>
    </w:p>
    <w:p w14:paraId="2475A1A2" w14:textId="77777777" w:rsidR="00344CDD" w:rsidRDefault="00344CDD" w:rsidP="00344CDD">
      <w:r>
        <w:t xml:space="preserve">Use </w:t>
      </w:r>
      <w:r w:rsidRPr="00C90964">
        <w:rPr>
          <w:i/>
        </w:rPr>
        <w:t>multiple</w:t>
      </w:r>
      <w:r>
        <w:t xml:space="preserve"> identity providers if:</w:t>
      </w:r>
    </w:p>
    <w:p w14:paraId="4FC68796" w14:textId="77777777" w:rsidR="00344CDD" w:rsidRDefault="00344CDD" w:rsidP="005729D2">
      <w:pPr>
        <w:pStyle w:val="ListBullet"/>
        <w:numPr>
          <w:ilvl w:val="0"/>
          <w:numId w:val="112"/>
        </w:numPr>
      </w:pPr>
      <w:r>
        <w:t>There are multiple Active Directory forests with no trust relationship between them.</w:t>
      </w:r>
    </w:p>
    <w:p w14:paraId="0E4C6721" w14:textId="77777777" w:rsidR="00344CDD" w:rsidRPr="003D0F67" w:rsidRDefault="00344CDD" w:rsidP="005729D2">
      <w:pPr>
        <w:pStyle w:val="ListBullet"/>
        <w:numPr>
          <w:ilvl w:val="0"/>
          <w:numId w:val="112"/>
        </w:numPr>
      </w:pPr>
      <w:r>
        <w:t>There are multiple Active Directory forests with only one-way trusts between them.</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344CDD" w14:paraId="2E351559" w14:textId="77777777" w:rsidTr="00B42154">
        <w:trPr>
          <w:trHeight w:val="423"/>
        </w:trPr>
        <w:tc>
          <w:tcPr>
            <w:tcW w:w="666" w:type="dxa"/>
          </w:tcPr>
          <w:p w14:paraId="241D041A" w14:textId="77777777" w:rsidR="00344CDD" w:rsidRDefault="00344CDD" w:rsidP="00B42154">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877376" behindDoc="0" locked="0" layoutInCell="1" allowOverlap="1" wp14:anchorId="4580D478" wp14:editId="7A63D0F6">
                      <wp:simplePos x="0" y="0"/>
                      <wp:positionH relativeFrom="column">
                        <wp:posOffset>66675</wp:posOffset>
                      </wp:positionH>
                      <wp:positionV relativeFrom="paragraph">
                        <wp:posOffset>90170</wp:posOffset>
                      </wp:positionV>
                      <wp:extent cx="209550" cy="180975"/>
                      <wp:effectExtent l="57150" t="19050" r="57150" b="104775"/>
                      <wp:wrapNone/>
                      <wp:docPr id="279" name="Isosceles Triangle 2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4134C2F8" id="Isosceles Triangle 279" o:spid="_x0000_s1026" type="#_x0000_t5" style="position:absolute;margin-left:5.25pt;margin-top:7.1pt;width:16.5pt;height:14.2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cpdhwIAAHMFAAAOAAAAZHJzL2Uyb0RvYy54bWysVFtP2zAUfp+0/2D5fSTpKNCIFFWgTkgV&#10;Q4OJZ9exW2uOj2e7Tbtfv2PnAmNISNPyYNk537l/51xeHRpN9sJ5BaaixUlOiTAcamU2Ff3+uPx0&#10;QYkPzNRMgxEVPQpPr+YfP1y2thQT2IKuhSNoxPiytRXdhmDLLPN8KxrmT8AKg0IJrmEBn26T1Y61&#10;aL3R2STPz7IWXG0dcOE9/r3phHSe7EspePgqpReB6IpibCGdLp3reGbzS1ZuHLNbxfsw2D9E0TBl&#10;0Olo6oYFRnZO/WWqUdyBBxlOODQZSKm4SDlgNkX+KpuHLbMi5YLF8XYsk/9/Zvnd/t4RVVd0cj6j&#10;xLAGm3TrwXOhhSePTjGz0YJEKdaqtb5ElQd772K23q6A//AoyP6QxIfvMQfpmojFXMkhFf44Fl4c&#10;AuH4c5LPplNsD0dRcZHPzqfRWcbKQdk6H74IaEi8VDT0YaWSs/3Khw4+wFJsoFW9VFqnh9usr7Uj&#10;e4Y8WOKXp9ajB/8MSzl0YacEwlGLqKzNNyGxRhhokTwmdorRHuNcmHDWh5zQUU2i71Hx8/uKPT6q&#10;isTcUXnyvvKokTyDCaNyowy4twzoUPQhyw7fd9F3eccSrKE+Ij0cdHPjLV8qbMCK+XDPHA4K9gyH&#10;P3zFQ2poKwr9jZItuF9v/Y945C9KKWlx8Crqf+6YE5ToW4PMnhWnp3FS0+N0ej7Bh3spWb+UmF1z&#10;DdjTAteM5eka8UEPV+mgecIdsYheUcQMR98V5cENj+vQLQTcMlwsFgmG02lZWJkHy4euR3I9Hp6Y&#10;swMLkb53MAwpK18RscPGfhhY7AJIlVj6XNe+3jjZiev9Foqr4+U7oZ535fw3AAAA//8DAFBLAwQU&#10;AAYACAAAACEANTxCMNkAAAAHAQAADwAAAGRycy9kb3ducmV2LnhtbEyOzU7DMBCE70i8g7VIXFDr&#10;kIa2CnEqhJIjqig8gBNvfoS9jmK3DW/PcoLTaDSjma84LM6KC85h9KTgcZ2AQGq9GalX8PlRr/Yg&#10;QtRktPWECr4xwKG8vSl0bvyV3vFyir3gEQq5VjDEOOVShnZAp8PaT0icdX52OrKde2lmfeVxZ2Wa&#10;JFvp9Ej8MOgJXwdsv05np8A3y7Hb1Lv9Q+0m+9ZVVeaOlVL3d8vLM4iIS/wrwy8+o0PJTI0/kwnC&#10;sk+euMmapSA4zzbsG9Z0B7Is5H/+8gcAAP//AwBQSwECLQAUAAYACAAAACEAtoM4kv4AAADhAQAA&#10;EwAAAAAAAAAAAAAAAAAAAAAAW0NvbnRlbnRfVHlwZXNdLnhtbFBLAQItABQABgAIAAAAIQA4/SH/&#10;1gAAAJQBAAALAAAAAAAAAAAAAAAAAC8BAABfcmVscy8ucmVsc1BLAQItABQABgAIAAAAIQCaecpd&#10;hwIAAHMFAAAOAAAAAAAAAAAAAAAAAC4CAABkcnMvZTJvRG9jLnhtbFBLAQItABQABgAIAAAAIQA1&#10;PEIw2QAAAAcBAAAPAAAAAAAAAAAAAAAAAOEEAABkcnMvZG93bnJldi54bWxQSwUGAAAAAAQABADz&#10;AAAA5wUAAAAA&#10;" fillcolor="yellow" strokecolor="#70ad47 [3209]" strokeweight=".5pt">
                      <v:path arrowok="t"/>
                    </v:shape>
                  </w:pict>
                </mc:Fallback>
              </mc:AlternateContent>
            </w:r>
          </w:p>
        </w:tc>
        <w:tc>
          <w:tcPr>
            <w:tcW w:w="8604" w:type="dxa"/>
          </w:tcPr>
          <w:p w14:paraId="08332C3F" w14:textId="77777777" w:rsidR="00344CDD" w:rsidRDefault="00344CDD" w:rsidP="00B42154">
            <w:pPr>
              <w:rPr>
                <w:lang w:eastAsia="en-US"/>
              </w:rPr>
            </w:pPr>
            <w:r>
              <w:rPr>
                <w:rFonts w:eastAsiaTheme="minorHAnsi"/>
                <w:b/>
                <w:lang w:eastAsia="en-US"/>
              </w:rPr>
              <w:t xml:space="preserve">Recommended: </w:t>
            </w:r>
            <w:r>
              <w:rPr>
                <w:rFonts w:eastAsiaTheme="minorHAnsi"/>
                <w:lang w:eastAsia="en-US"/>
              </w:rPr>
              <w:t>Use a single identity provider for the organization, if possible. Otherwise, you’ll have to manage multiple instances of the Identity Federation Service on-premises.</w:t>
            </w:r>
          </w:p>
        </w:tc>
      </w:tr>
    </w:tbl>
    <w:p w14:paraId="643EC957" w14:textId="3D1FA18A" w:rsidR="0038349C" w:rsidRPr="007877D9" w:rsidRDefault="0038349C" w:rsidP="00165CBC">
      <w:pPr>
        <w:rPr>
          <w:b/>
        </w:rPr>
      </w:pPr>
      <w:r w:rsidRPr="007877D9">
        <w:rPr>
          <w:b/>
        </w:rPr>
        <w:t>Multi-Factor Authentication</w:t>
      </w:r>
    </w:p>
    <w:p w14:paraId="59FAB7CF" w14:textId="77777777" w:rsidR="00344CDD" w:rsidRDefault="00344CDD" w:rsidP="00344CDD">
      <w:r>
        <w:t xml:space="preserve">Multi-factor authentication (MFA) adds a secondary authentication prompt for users when they sign in to an application that is integrated with Azure AD. This secondary authentication takes the form of something other than a password prompt. Azure AD uses Azure Multi-Factor Authentication, which performs MFA by using a phone call, a text message, or an authentication request to a smart phone application. </w:t>
      </w:r>
    </w:p>
    <w:p w14:paraId="026A56F8" w14:textId="77777777" w:rsidR="00344CDD" w:rsidRPr="00936901" w:rsidRDefault="00344CDD" w:rsidP="00344CDD">
      <w:r>
        <w:t>Depending on the on-premises identity provider, additional third-party MFA providers can be used in addition to Azure Multi-Factor Authentication. These MFA providers provide additional MFA methods that Azure Multi-Factor Authentication does not support, such as the use of OATH tokens.</w:t>
      </w:r>
    </w:p>
    <w:p w14:paraId="5C7802B6" w14:textId="4497289B" w:rsidR="00E648A3" w:rsidRDefault="00344CDD" w:rsidP="00344CDD">
      <w:r>
        <w:t>Most identity providers support the use of some form of multi-factor authentication when authenticating a user on-premises. With Azure AD, you have the choice of having the identity provider perform multi-factor authentication or have Azure AD perform it with Azure Multi-Factor Authentication</w:t>
      </w:r>
      <w:r w:rsidR="00E648A3">
        <w:t>.</w:t>
      </w:r>
    </w:p>
    <w:p w14:paraId="487FF4E0" w14:textId="77777777" w:rsidR="00344CDD" w:rsidRPr="0077406F" w:rsidRDefault="00344CDD" w:rsidP="00344CDD">
      <w:pPr>
        <w:rPr>
          <w:b/>
        </w:rPr>
      </w:pPr>
      <w:r w:rsidRPr="0077406F">
        <w:rPr>
          <w:b/>
        </w:rPr>
        <w:t xml:space="preserve">Performing MFA </w:t>
      </w:r>
      <w:r>
        <w:rPr>
          <w:b/>
        </w:rPr>
        <w:t>Through</w:t>
      </w:r>
      <w:r w:rsidRPr="0077406F">
        <w:rPr>
          <w:b/>
        </w:rPr>
        <w:t xml:space="preserve"> </w:t>
      </w:r>
      <w:r>
        <w:rPr>
          <w:b/>
        </w:rPr>
        <w:t>an</w:t>
      </w:r>
      <w:r w:rsidRPr="0077406F">
        <w:rPr>
          <w:b/>
        </w:rPr>
        <w:t xml:space="preserve"> Identity Provider</w:t>
      </w:r>
    </w:p>
    <w:p w14:paraId="6FE21129" w14:textId="77777777" w:rsidR="00344CDD" w:rsidRDefault="00344CDD" w:rsidP="00344CDD">
      <w:r>
        <w:t xml:space="preserve">When an identity provider performs the MFA, you must configure the identity provider to use Azure Multi-Factor Authentication or a third-party multi-factor authentication service. </w:t>
      </w:r>
    </w:p>
    <w:p w14:paraId="4EB93F4A" w14:textId="77777777" w:rsidR="00344CDD" w:rsidRDefault="00344CDD" w:rsidP="00344CDD">
      <w:r>
        <w:t xml:space="preserve">If the identity provider performs multi-factor authentication for a user, it must pass a special claim in the security token that it sends to Azure AD to indicate to Azure AD that MFA was performed on-premises. When this claim is passed into Azure AD, Azure AD bypasses its own prompt for MFA. For more information, see </w:t>
      </w:r>
      <w:hyperlink r:id="rId443" w:history="1">
        <w:r w:rsidRPr="00CC103C">
          <w:rPr>
            <w:rStyle w:val="Hyperlink"/>
          </w:rPr>
          <w:t>Getting started with Azure Multi-Factor Authentication and Active Directory Federation Services</w:t>
        </w:r>
      </w:hyperlink>
      <w:r>
        <w:t>.</w:t>
      </w:r>
    </w:p>
    <w:p w14:paraId="33BDDB37" w14:textId="77777777" w:rsidR="00344CDD" w:rsidRDefault="00344CDD" w:rsidP="00344CDD">
      <w:r>
        <w:t>Perform MFA through the on-premises identity provider if any of the following conditions exist:</w:t>
      </w:r>
    </w:p>
    <w:p w14:paraId="158FA4F3" w14:textId="77777777" w:rsidR="00344CDD" w:rsidRDefault="00344CDD" w:rsidP="005729D2">
      <w:pPr>
        <w:pStyle w:val="ListBullet"/>
        <w:numPr>
          <w:ilvl w:val="0"/>
          <w:numId w:val="114"/>
        </w:numPr>
      </w:pPr>
      <w:r>
        <w:t>User phone numbers aren’t populated in Azure AD</w:t>
      </w:r>
    </w:p>
    <w:p w14:paraId="42B7BB32" w14:textId="77777777" w:rsidR="00344CDD" w:rsidRDefault="00344CDD" w:rsidP="005729D2">
      <w:pPr>
        <w:pStyle w:val="ListBullet"/>
        <w:numPr>
          <w:ilvl w:val="0"/>
          <w:numId w:val="114"/>
        </w:numPr>
      </w:pPr>
      <w:r>
        <w:t>You want to use a smart card or client certificate authentication for the MFA method (Azure AD does not support certificate authentication)</w:t>
      </w:r>
    </w:p>
    <w:p w14:paraId="1D953A7E" w14:textId="77777777" w:rsidR="00344CDD" w:rsidRDefault="00344CDD" w:rsidP="005729D2">
      <w:pPr>
        <w:pStyle w:val="ListBullet"/>
        <w:numPr>
          <w:ilvl w:val="0"/>
          <w:numId w:val="114"/>
        </w:numPr>
      </w:pPr>
      <w:r>
        <w:t>You want to use a non-certificate-based MFA method that isn’t available in Azure AD (such as an OATH token)</w:t>
      </w:r>
    </w:p>
    <w:p w14:paraId="00F1B8A3" w14:textId="77777777" w:rsidR="00344CDD" w:rsidRDefault="00344CDD" w:rsidP="005729D2">
      <w:pPr>
        <w:pStyle w:val="ListBullet"/>
        <w:numPr>
          <w:ilvl w:val="0"/>
          <w:numId w:val="114"/>
        </w:numPr>
      </w:pPr>
      <w:r>
        <w:t>You want to trigger MFA, based on user attribute data in the on-premises Active Directory</w:t>
      </w:r>
    </w:p>
    <w:p w14:paraId="5444F5EB" w14:textId="77777777" w:rsidR="00344CDD" w:rsidRDefault="00344CDD" w:rsidP="005729D2">
      <w:pPr>
        <w:pStyle w:val="ListBullet"/>
        <w:numPr>
          <w:ilvl w:val="0"/>
          <w:numId w:val="114"/>
        </w:numPr>
      </w:pPr>
      <w:r>
        <w:t>You want to customize the web page that a user sees while undergoing MFA</w:t>
      </w:r>
    </w:p>
    <w:p w14:paraId="749B14C2" w14:textId="6B16FD7F" w:rsidR="00344CDD" w:rsidRDefault="00344CDD" w:rsidP="005729D2">
      <w:pPr>
        <w:pStyle w:val="ListBullet"/>
        <w:numPr>
          <w:ilvl w:val="0"/>
          <w:numId w:val="114"/>
        </w:numPr>
      </w:pPr>
      <w:r>
        <w:t>You want to use the device registration status as a trigger for MFA</w:t>
      </w:r>
    </w:p>
    <w:p w14:paraId="5961A110" w14:textId="77777777" w:rsidR="00344CDD" w:rsidRDefault="00344CDD" w:rsidP="005729D2">
      <w:pPr>
        <w:pStyle w:val="ListBullet"/>
        <w:numPr>
          <w:ilvl w:val="0"/>
          <w:numId w:val="114"/>
        </w:numPr>
      </w:pPr>
      <w:r>
        <w:t>You want to use an MFA provider other than Azure Multi-Factor Authentication</w:t>
      </w:r>
    </w:p>
    <w:p w14:paraId="4736007C" w14:textId="77777777" w:rsidR="00A73D0F" w:rsidRPr="008854B1" w:rsidRDefault="00A73D0F" w:rsidP="00A73D0F">
      <w:pPr>
        <w:rPr>
          <w:b/>
        </w:rPr>
      </w:pPr>
      <w:r w:rsidRPr="008854B1">
        <w:rPr>
          <w:b/>
        </w:rPr>
        <w:t xml:space="preserve">Performing MFA </w:t>
      </w:r>
      <w:r>
        <w:rPr>
          <w:b/>
        </w:rPr>
        <w:t>with</w:t>
      </w:r>
      <w:r w:rsidRPr="008854B1">
        <w:rPr>
          <w:b/>
        </w:rPr>
        <w:t xml:space="preserve"> </w:t>
      </w:r>
      <w:r>
        <w:rPr>
          <w:b/>
        </w:rPr>
        <w:t>Azure AD</w:t>
      </w:r>
    </w:p>
    <w:p w14:paraId="7DBD5E40" w14:textId="77777777" w:rsidR="00A73D0F" w:rsidRDefault="00A73D0F" w:rsidP="00A73D0F">
      <w:r>
        <w:t xml:space="preserve">If MFA is performed with Azure AD, the on-premises identity provider is not configured to perform MFA at all. Instead, MFA is activated globally for the users in the Azure AD tenant, or it is activated for a specific application by using a conditional access rule in Azure AD. </w:t>
      </w:r>
    </w:p>
    <w:p w14:paraId="64D5A8D8" w14:textId="77777777" w:rsidR="00A73D0F" w:rsidRDefault="00A73D0F" w:rsidP="00A73D0F">
      <w:r>
        <w:t>After authentication succeeds at the on-premises identity provider, the identity provider creates a security token and sends the user's identification to Azure AD with the security token. Azure AD receives and verifies the token, and then performs the MFA process as a secondary authentication step.</w:t>
      </w:r>
    </w:p>
    <w:p w14:paraId="73BB6060" w14:textId="77777777" w:rsidR="00A73D0F" w:rsidRDefault="00A73D0F" w:rsidP="00A73D0F">
      <w:r>
        <w:t>Perform MFA with Azure AD if any of the following conditions exist:</w:t>
      </w:r>
    </w:p>
    <w:p w14:paraId="766D3104" w14:textId="77777777" w:rsidR="00A73D0F" w:rsidRDefault="00A73D0F" w:rsidP="005729D2">
      <w:pPr>
        <w:pStyle w:val="ListBullet"/>
        <w:numPr>
          <w:ilvl w:val="0"/>
          <w:numId w:val="115"/>
        </w:numPr>
      </w:pPr>
      <w:r>
        <w:t>The identity provider does not support MFA</w:t>
      </w:r>
    </w:p>
    <w:p w14:paraId="55FE6741" w14:textId="77777777" w:rsidR="00A73D0F" w:rsidRDefault="00A73D0F" w:rsidP="005729D2">
      <w:pPr>
        <w:pStyle w:val="ListBullet"/>
        <w:numPr>
          <w:ilvl w:val="0"/>
          <w:numId w:val="115"/>
        </w:numPr>
      </w:pPr>
      <w:r>
        <w:t>You want to perform MFA for only certain applications. If the on-premises identity provider is not able to determine which Azure AD-integrated application the user is authenticating to, this cannot be done through the identity provider.</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A73D0F" w14:paraId="49796865" w14:textId="77777777" w:rsidTr="00B42154">
        <w:trPr>
          <w:trHeight w:val="423"/>
        </w:trPr>
        <w:tc>
          <w:tcPr>
            <w:tcW w:w="666" w:type="dxa"/>
          </w:tcPr>
          <w:p w14:paraId="1BCC0BBF" w14:textId="77777777" w:rsidR="00A73D0F" w:rsidRDefault="00A73D0F" w:rsidP="00B42154">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882496" behindDoc="0" locked="0" layoutInCell="1" allowOverlap="1" wp14:anchorId="51A6C115" wp14:editId="054A2D08">
                      <wp:simplePos x="0" y="0"/>
                      <wp:positionH relativeFrom="column">
                        <wp:posOffset>66675</wp:posOffset>
                      </wp:positionH>
                      <wp:positionV relativeFrom="paragraph">
                        <wp:posOffset>90170</wp:posOffset>
                      </wp:positionV>
                      <wp:extent cx="180975" cy="180975"/>
                      <wp:effectExtent l="57150" t="19050" r="9525" b="104775"/>
                      <wp:wrapNone/>
                      <wp:docPr id="280" name="Oval 2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5F085B42" id="Oval 280" o:spid="_x0000_s1026" style="position:absolute;margin-left:5.25pt;margin-top:7.1pt;width:14.25pt;height:14.2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4JGfAIAAGQFAAAOAAAAZHJzL2Uyb0RvYy54bWysVE1PGzEQvVfqf7B8L7sJUGCVDUpBVJUi&#10;QIWKs+O1E6u2x7WdbNJfz9i7WdKChFT1Ynk8b76eZ2ZyuTWabIQPCmxNR0clJcJyaJRd1vTH482n&#10;c0pCZLZhGqyo6U4Eejn9+GHSukqMYQW6EZ6gExuq1tV0FaOriiLwlTAsHIETFpUSvGERRb8sGs9a&#10;9G50MS7Lz0ULvnEeuAgBX687JZ1m/1IKHu+kDCISXVPMLebT53ORzmI6YdXSM7dSvE+D/UMWhimL&#10;QQdX1ywysvbqlSujuIcAMh5xMAVIqbjINWA1o/Kvah5WzIlcC5IT3EBT+H9u+e3m3hPV1HR8jvxY&#10;ZvCT7jZMkyQjO60LFYIe3L1P9QU3B/4zoKL4Q5OE0GO20puExerINlO9G6gW20g4Po7Oy4uzU0o4&#10;qvp78smqvbHzIX4VYEi61FRorVxIZLCKbeYhdug9KqcGWjU3Suss+OXiSnuClWDs8kt5mqvBAOEF&#10;lkvoss75x50WyVjb70IiKSnPHDG3oxj8Mc6FjceJHnSY0clMYuzB8Ph9wx6fTEVu1cF4/L7xYJEj&#10;g42DsVEW/FsOdBz1KcsO339i6OpOFCyg2WE/eOgGJTh+o5D/OQvxnnmcDOwRnPZ4h4fU0NYU+hsl&#10;K/C/33pPeGxY1FLS4qTVNPxaMy8o0d8stvLF6OQkjWYWTk7Pxij4Q83iUGPX5grwT0e4VxzP14SP&#10;en+VHswTLoVZiooqZjnGrimPfi9cxW4D4FrhYjbLMBxHx+LcPji+//XUXI/bJ+Zd34QRu/cW9lP5&#10;qhE7bPoPC7N1BKlyl77w2vONo5wbp187aVccyhn1shynzwAAAP//AwBQSwMEFAAGAAgAAAAhAMIa&#10;nyLeAAAABwEAAA8AAABkcnMvZG93bnJldi54bWxMj0FLw0AQhe+C/2EZwYvYTWKrNmZTRBAUvZhW&#10;1Ns0OybB7GzIbtv47x1Pehoe7/Hme8Vqcr3a0xg6zwbSWQKKuPa248bAZn1/fg0qRGSLvWcy8E0B&#10;VuXxUYG59Qd+oX0VGyUlHHI00MY45FqHuiWHYeYHYvE+/egwihwbbUc8SLnrdZYkl9phx/KhxYHu&#10;Wqq/qp0z8FFtnt06fXJvj+nDgs7e+yXaV2NOT6bbG1CRpvgXhl98QYdSmLZ+xzaoXnSykKTceQZK&#10;/IulTNsamGdXoMtC/+cvfwAAAP//AwBQSwECLQAUAAYACAAAACEAtoM4kv4AAADhAQAAEwAAAAAA&#10;AAAAAAAAAAAAAAAAW0NvbnRlbnRfVHlwZXNdLnhtbFBLAQItABQABgAIAAAAIQA4/SH/1gAAAJQB&#10;AAALAAAAAAAAAAAAAAAAAC8BAABfcmVscy8ucmVsc1BLAQItABQABgAIAAAAIQAM54JGfAIAAGQF&#10;AAAOAAAAAAAAAAAAAAAAAC4CAABkcnMvZTJvRG9jLnhtbFBLAQItABQABgAIAAAAIQDCGp8i3gAA&#10;AAcBAAAPAAAAAAAAAAAAAAAAANYEAABkcnMvZG93bnJldi54bWxQSwUGAAAAAAQABADzAAAA4QUA&#10;AAAA&#10;" fillcolor="#00b050" strokecolor="#a5a5a5 [3206]" strokeweight=".5pt">
                      <v:stroke joinstyle="miter"/>
                      <v:path arrowok="t"/>
                    </v:oval>
                  </w:pict>
                </mc:Fallback>
              </mc:AlternateContent>
            </w:r>
          </w:p>
        </w:tc>
        <w:tc>
          <w:tcPr>
            <w:tcW w:w="8604" w:type="dxa"/>
          </w:tcPr>
          <w:p w14:paraId="7DEB5DC6" w14:textId="77777777" w:rsidR="00A73D0F" w:rsidRDefault="00A73D0F" w:rsidP="00B42154">
            <w:pPr>
              <w:rPr>
                <w:lang w:eastAsia="en-US"/>
              </w:rPr>
            </w:pPr>
            <w:r>
              <w:rPr>
                <w:rFonts w:eastAsiaTheme="minorHAnsi"/>
                <w:b/>
                <w:lang w:eastAsia="en-US"/>
              </w:rPr>
              <w:t xml:space="preserve">Optional: </w:t>
            </w:r>
            <w:r>
              <w:rPr>
                <w:rFonts w:eastAsiaTheme="minorHAnsi"/>
                <w:lang w:eastAsia="en-US"/>
              </w:rPr>
              <w:t>Multi-factor authentication is an optional service that can increase the security of Azure AD. To use Azure Multi-Factor Authentication with the on-premises identity provider, an Azure AD Premium license is required.</w:t>
            </w:r>
          </w:p>
        </w:tc>
      </w:tr>
    </w:tbl>
    <w:p w14:paraId="31AFAE44" w14:textId="77777777" w:rsidR="00A73D0F" w:rsidRPr="007877D9" w:rsidRDefault="00A73D0F" w:rsidP="00A73D0F">
      <w:pPr>
        <w:rPr>
          <w:b/>
        </w:rPr>
      </w:pPr>
      <w:r w:rsidRPr="007877D9">
        <w:rPr>
          <w:b/>
        </w:rPr>
        <w:t>Multiple Forest Configurations</w:t>
      </w:r>
    </w:p>
    <w:p w14:paraId="64371F20" w14:textId="4A750C85" w:rsidR="00A73D0F" w:rsidRDefault="00A73D0F" w:rsidP="00A73D0F">
      <w:r>
        <w:t xml:space="preserve">When dealing with an environment that has multiple Active Directory forests, the main consideration is whether a single identity provider is needed, or if you need multiple identity providers. In general, the answer is going to depend on what product is used as the on-premises identity provider, and how it supports authentication across Active Directory forests. </w:t>
      </w:r>
    </w:p>
    <w:p w14:paraId="31B2041D" w14:textId="77777777" w:rsidR="00A73D0F" w:rsidRDefault="00A73D0F" w:rsidP="00A73D0F">
      <w:r>
        <w:t>Regardless of the vendor, however, the following key tenets of federation remain true with Azure AD:</w:t>
      </w:r>
    </w:p>
    <w:p w14:paraId="15549F2F" w14:textId="77777777" w:rsidR="00A73D0F" w:rsidRDefault="00A73D0F" w:rsidP="005729D2">
      <w:pPr>
        <w:pStyle w:val="ListBullet"/>
        <w:numPr>
          <w:ilvl w:val="0"/>
          <w:numId w:val="116"/>
        </w:numPr>
      </w:pPr>
      <w:r>
        <w:t>UPN suffixes are tied to the federated domain name in Azure AD, and therefore they must be unique across federated domains. For example, if you have a federated domain named contoso.com, all users with UPN suffixes of @contoso.com will use this federated domain. You cannot associate @contoso.com UPN suffixes with any other federated domain.</w:t>
      </w:r>
    </w:p>
    <w:p w14:paraId="5A3F621C" w14:textId="6A6B8EF6" w:rsidR="0038349C" w:rsidRDefault="00A73D0F" w:rsidP="005729D2">
      <w:pPr>
        <w:pStyle w:val="ListBullet"/>
        <w:numPr>
          <w:ilvl w:val="0"/>
          <w:numId w:val="116"/>
        </w:numPr>
      </w:pPr>
      <w:r>
        <w:t>A single federated domain in Azure AD also covers the child namespaces. So a federated domain of contoso.com would cover @contoso.com UPN suffixes and @child.contoso.com.</w:t>
      </w:r>
    </w:p>
    <w:p w14:paraId="0239F93F" w14:textId="77777777" w:rsidR="00A73D0F" w:rsidRPr="00253855" w:rsidRDefault="00A73D0F" w:rsidP="00A73D0F">
      <w:pPr>
        <w:rPr>
          <w:b/>
        </w:rPr>
      </w:pPr>
      <w:r w:rsidRPr="00253855">
        <w:rPr>
          <w:b/>
        </w:rPr>
        <w:t xml:space="preserve">Using </w:t>
      </w:r>
      <w:r>
        <w:rPr>
          <w:b/>
        </w:rPr>
        <w:t>AD FS</w:t>
      </w:r>
    </w:p>
    <w:p w14:paraId="051B8669" w14:textId="77777777" w:rsidR="00A73D0F" w:rsidRDefault="00A73D0F" w:rsidP="00A73D0F">
      <w:r>
        <w:t>AD FS can support a multiple forest configuration, but only if all the forests have two-way Active Directory trust relationships between them. If there are no forest trusts between the multiple Active Directory Domain Services (AD DS) forests, you must have multiple AD FS deployments (one for each forest that is untrusted).</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A73D0F" w14:paraId="0435BB6F" w14:textId="77777777" w:rsidTr="00B42154">
        <w:trPr>
          <w:trHeight w:val="423"/>
        </w:trPr>
        <w:tc>
          <w:tcPr>
            <w:tcW w:w="666" w:type="dxa"/>
          </w:tcPr>
          <w:p w14:paraId="0C00172F" w14:textId="77777777" w:rsidR="00A73D0F" w:rsidRDefault="00A73D0F" w:rsidP="00B42154">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4981D687" wp14:editId="150FDB34">
                      <wp:extent cx="200025" cy="180975"/>
                      <wp:effectExtent l="57150" t="19050" r="28575" b="104775"/>
                      <wp:docPr id="874593618" name="Octagon 874593618"/>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581A8A5" id="Octagon 874593618"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okAeAIAAFoFAAAOAAAAZHJzL2Uyb0RvYy54bWysVEtrGzEQvhf6H4TuzXodOw+TdTAOKYWQ&#10;mCQlZ1kr2QJJo0qy1+6v70i7Xps0ECi9aGd23t88bm53RpOt8EGBrWh5NqBEWA61squK/ny9/3ZF&#10;SYjM1kyDFRXdi0Bvp1+/3DRuIoawBl0LT9CJDZPGVXQdo5sUReBrYVg4AycsCiV4wyKyflXUnjXo&#10;3ehiOBhcFA342nngIgT8e9cK6TT7l1Lw+CRlEJHoimJuMb8+v8v0FtMbNll55taKd2mwf8jCMGUx&#10;aO/qjkVGNl795coo7iGAjGccTAFSKi5yDVhNOXhXzcuaOZFrQXCC62EK/88tf9wuPFF1Ra8uR+Pr&#10;84sSG2aZwVY98chWYMlRgGA1LkzQ5sUtfMcFJFPlO+lN+mJNZJcB3vcAi10kHH9ixwbDMSUcReXV&#10;4PpynBpQHI2dD/G7AEMSUVFoU8jIsu1DiK32QSuFC6BVfa+0zoxfLefaky3Dds/nGC13GAOcqBWp&#10;hjbrTMW9FslY22chEQrMs8wR8xCK3h/jXNg47DLO2slMYuze8Pxzw04/mYo8oL3x8HPj3iJHBht7&#10;Y6Ms+I8c6Fh2KctWHwE/qTuRS6j3OAUe2vUIjt8rxP+BhbhgHvcBNwd3PD7hIzU02JiOomQN/vdH&#10;/5M+jilKKWlwvyoafm2YF5ToHxYH+LocjdJCZmY0vhwi408ly1OJ3Zg5YE9LvCaOZzLpR30gpQfz&#10;hqdglqKiiFmOsSvKoz8w89juPR4TLmazrIZL6Fh8sC+OH7qehut198a864Yw4vQ+wmEX2eTdILa6&#10;qR8WZpsIUuUpPeLa4Y0LnEe9OzbpQpzyWet4Eqd/AA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PIWiQB4AgAAWg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7A86108C" w14:textId="77777777" w:rsidR="00A73D0F" w:rsidRDefault="00A73D0F" w:rsidP="00B42154">
            <w:pPr>
              <w:rPr>
                <w:lang w:eastAsia="en-US"/>
              </w:rPr>
            </w:pPr>
            <w:r w:rsidRPr="00192064">
              <w:rPr>
                <w:b/>
                <w:lang w:eastAsia="en-US"/>
              </w:rPr>
              <w:t>Mandatory</w:t>
            </w:r>
            <w:r>
              <w:rPr>
                <w:lang w:eastAsia="en-US"/>
              </w:rPr>
              <w:t>: If using AD FS in a multiple forest configuration with no forest trusts between Active Directory forests, you must have multiple deployments of AD FS (one for each untrusted forest).</w:t>
            </w:r>
          </w:p>
        </w:tc>
      </w:tr>
    </w:tbl>
    <w:p w14:paraId="1C64458D" w14:textId="77777777" w:rsidR="00A73D0F" w:rsidRDefault="00A73D0F" w:rsidP="00A73D0F">
      <w:r>
        <w:t>If possible, we recommend that customers have trusts between their multiple Active Directory forests, so that only a single AD FS farm is needed for Azure AD. If this is the case, the UPN suffixes need to be unique across each forest, otherwise the domain controllers will not be able to properly route the UPN suffixes to the correct forest for cross-forest authentication. For example, you can’t have two domains that contain users with an @contoso.com UPN suffix.</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A73D0F" w14:paraId="2BD4DDA2" w14:textId="77777777" w:rsidTr="00B42154">
        <w:trPr>
          <w:trHeight w:val="423"/>
        </w:trPr>
        <w:tc>
          <w:tcPr>
            <w:tcW w:w="666" w:type="dxa"/>
          </w:tcPr>
          <w:p w14:paraId="4DCCFCDA" w14:textId="77777777" w:rsidR="00A73D0F" w:rsidRDefault="00A73D0F" w:rsidP="00B42154">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887616" behindDoc="0" locked="0" layoutInCell="1" allowOverlap="1" wp14:anchorId="1C590B6C" wp14:editId="1F17E42F">
                      <wp:simplePos x="0" y="0"/>
                      <wp:positionH relativeFrom="column">
                        <wp:posOffset>66675</wp:posOffset>
                      </wp:positionH>
                      <wp:positionV relativeFrom="paragraph">
                        <wp:posOffset>90170</wp:posOffset>
                      </wp:positionV>
                      <wp:extent cx="209550" cy="180975"/>
                      <wp:effectExtent l="57150" t="19050" r="57150" b="104775"/>
                      <wp:wrapNone/>
                      <wp:docPr id="874593628" name="Isosceles Triangle 8745936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42D29DB3" id="Isosceles Triangle 874593628" o:spid="_x0000_s1026" type="#_x0000_t5" style="position:absolute;margin-left:5.25pt;margin-top:7.1pt;width:16.5pt;height:14.2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eeIjgIAAH8FAAAOAAAAZHJzL2Uyb0RvYy54bWysVG1r2zAQ/j7YfxD6vtpOk7YxdUpoySiE&#10;Nqwd/azIUmIm6zRJiZP9+p3kl3RdoTDmD0Lne+50L8/d9c2hVmQvrKtAFzQ7SykRmkNZ6U1Bvz8v&#10;vlxR4jzTJVOgRUGPwtGb2edP143JxQi2oEphCTrRLm9MQbfemzxJHN+KmrkzMEKjUoKtmUfRbpLS&#10;sga91yoZpelF0oAtjQUunMO/d62SzqJ/KQX3j1I64YkqKMbm42njuQ5nMrtm+cYys614Fwb7hyhq&#10;Vml8dHB1xzwjO1v95aquuAUH0p9xqBOQsuIi5oDZZOmbbJ62zIiYCxbHmaFM7v+55Q/7lSVVWdCr&#10;y/Fken4xwoZpVmOr7h04LpRw5NlWTG+UICcM1q0xLkfzJ7OyIXNnlsB/OFQkf2iC4DrMQdo6YDFv&#10;cohNOA5NEAdPOP4cpdPJBFvFUZVdpdPLSWhSwvLe2FjnvwqoSbgU1HfBxfKz/dL5Ft7DYmygqnJR&#10;KRUFu1nfKkv2DDmxwC+NNMAX3AkWc2jDjgn4oxLBWOlvQmK9MNAsvhiZKgZ/jHOh/UUXckQHM4lv&#10;D4bnHxt2+GAqIosH49HHxoNFfBm0H4zrSoN9z4HyWReybPFdF12bdyjBGsojUsVCO0PO8EWFDVgy&#10;51fM4tBgz3AR+Ec8pIKmoNDdKNmC/fXe/4BHLqOWkgaHsKDu545ZQYm618jyaTYeh6mNwnhyOULB&#10;vtasX2v0rr4F7GmGK8fweA14r/qrtFC/4L6Yh1dRxTTHtwvKve2FW98uB9w4XMznEYaTaphf6ifD&#10;+64Hcj0fXpg1PQuRvg/QDyzL3xCxxYZ+aJjvPMgqsvRU167eOOWR691GCmvktRxRp705+w0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RlXniI4CAA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4C0D0DBD" w14:textId="77777777" w:rsidR="00A73D0F" w:rsidRDefault="00A73D0F" w:rsidP="00B42154">
            <w:pPr>
              <w:rPr>
                <w:lang w:eastAsia="en-US"/>
              </w:rPr>
            </w:pPr>
            <w:r>
              <w:rPr>
                <w:rFonts w:eastAsiaTheme="minorHAnsi"/>
                <w:b/>
                <w:lang w:eastAsia="en-US"/>
              </w:rPr>
              <w:t xml:space="preserve">Recommended: </w:t>
            </w:r>
            <w:r>
              <w:rPr>
                <w:rFonts w:eastAsiaTheme="minorHAnsi"/>
                <w:lang w:eastAsia="en-US"/>
              </w:rPr>
              <w:t>If possible, we recommend that you have trusts between each Active Directory forest and use a single AD FS instance with Azure AD. This simplifies the architecture and prevents you from having to manage multiple AD FS farms.</w:t>
            </w:r>
          </w:p>
        </w:tc>
      </w:tr>
      <w:tr w:rsidR="00A73D0F" w14:paraId="52D4D1CF" w14:textId="77777777" w:rsidTr="00B42154">
        <w:trPr>
          <w:trHeight w:val="423"/>
        </w:trPr>
        <w:tc>
          <w:tcPr>
            <w:tcW w:w="666" w:type="dxa"/>
          </w:tcPr>
          <w:p w14:paraId="20475EC1" w14:textId="77777777" w:rsidR="00A73D0F" w:rsidRDefault="00A73D0F" w:rsidP="00B42154">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7299B085" wp14:editId="0D15C92B">
                      <wp:extent cx="200025" cy="180975"/>
                      <wp:effectExtent l="57150" t="19050" r="28575" b="104775"/>
                      <wp:docPr id="874593619" name="Octagon 874593619"/>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CB2ECA3" id="Octagon 874593619"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XtGeAIAAFoFAAAOAAAAZHJzL2Uyb0RvYy54bWysVN1r2zAQfx/sfxB6Xx2nSduEOiWkdAxK&#10;W9qOPiuylAgknSYpcbK/fifZcUJXKIy9yHe+7999XN/sjCZb4YMCW9HybECJsBxqZVcV/fl69+2K&#10;khCZrZkGKyq6F4HezL5+uW7cVAxhDboWnqATG6aNq+g6RjctisDXwrBwBk5YFErwhkVk/aqoPWvQ&#10;u9HFcDC4KBrwtfPARQj497YV0ln2L6Xg8VHKICLRFcXcYn59fpfpLWbXbLryzK0V79Jg/5CFYcpi&#10;0N7VLYuMbLz6y5VR3EMAGc84mAKkVFzkGrCacvCumpc1cyLXguAE18MU/p9b/rB98kTVFb26HI0n&#10;5xflhBLLDLbqkUe2AkuOAgSrcWGKNi/uyXdcQDJVvpPepC/WRHYZ4H0PsNhFwvEndmwwHFPCUVRe&#10;DSaX49SA4mjsfIjfBRiSiIpCm0JGlm3vQ2y1D1opXACt6juldWb8arnQnmwZtnuxwGi5wxjgRK1I&#10;NbRZZyrutUjG2j4LiVBgnmWOmIdQ9P4Y58LGYZdx1k5mEmP3huefG3b6yVTkAe2Nh58b9xY5MtjY&#10;GxtlwX/kQMeyS1m2+gj4Sd2JXEK9xynw0K5HcPxOIf73LMQn5nEfcHNwx+MjPlJDg43pKErW4H9/&#10;9D/p45iilJIG96ui4deGeUGJ/mFxgCflaJQWMjOj8eUQGX8qWZ5K7MYsAHta4jVxPJNJP+oDKT2Y&#10;NzwF8xQVRcxyjF1RHv2BWcR27/GYcDGfZzVcQsfivX1x/ND1NFyvuzfmXTeEEaf3AQ67yKbvBrHV&#10;Tf2wMN9EkCpP6RHXDm9c4Dzq3bFJF+KUz1rHkzj7Aw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OQle0Z4AgAAWg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6D0ACFDA" w14:textId="77777777" w:rsidR="00A73D0F" w:rsidRDefault="00A73D0F" w:rsidP="00B42154">
            <w:pPr>
              <w:rPr>
                <w:lang w:eastAsia="en-US"/>
              </w:rPr>
            </w:pPr>
            <w:r w:rsidRPr="00192064">
              <w:rPr>
                <w:b/>
                <w:lang w:eastAsia="en-US"/>
              </w:rPr>
              <w:t>Mandatory</w:t>
            </w:r>
            <w:r>
              <w:rPr>
                <w:lang w:eastAsia="en-US"/>
              </w:rPr>
              <w:t>: If AD FS is used in a multiple forest configuration with trusts between the Active Directory forests, the UPN suffixes for each domain must be unique.</w:t>
            </w:r>
          </w:p>
        </w:tc>
      </w:tr>
    </w:tbl>
    <w:p w14:paraId="3E37C94E" w14:textId="77777777" w:rsidR="00786048" w:rsidRPr="00253855" w:rsidRDefault="00786048" w:rsidP="00786048">
      <w:pPr>
        <w:rPr>
          <w:b/>
        </w:rPr>
      </w:pPr>
      <w:r w:rsidRPr="00253855">
        <w:rPr>
          <w:b/>
        </w:rPr>
        <w:t>Using a</w:t>
      </w:r>
      <w:r>
        <w:rPr>
          <w:b/>
        </w:rPr>
        <w:t> </w:t>
      </w:r>
      <w:r w:rsidRPr="00253855">
        <w:rPr>
          <w:b/>
        </w:rPr>
        <w:t>Third-Party Identity Provider</w:t>
      </w:r>
    </w:p>
    <w:p w14:paraId="7D329624" w14:textId="77777777" w:rsidR="00786048" w:rsidRDefault="00786048" w:rsidP="00786048">
      <w:r>
        <w:t xml:space="preserve">If a customer is using a third-party identity provider, the level of multiple forest support is going to depend on what the identity provider is capable of. For example, the “Optimal IDM Virtual Identity Server Federation Service” identity provider can be implemented with a single deployment whether or not Active Directory forest trusts are in place across the multiple domains. </w:t>
      </w:r>
    </w:p>
    <w:p w14:paraId="18B6D6FF" w14:textId="77777777" w:rsidR="00786048" w:rsidRDefault="00786048" w:rsidP="00786048">
      <w:r>
        <w:t>You’ll want to check with the vendor of the identity provider that the customer wants to use to find out their multiple forest support capabilities.</w:t>
      </w:r>
    </w:p>
    <w:p w14:paraId="3962A81D" w14:textId="77777777" w:rsidR="00786048" w:rsidRPr="007877D9" w:rsidRDefault="00786048" w:rsidP="00786048">
      <w:pPr>
        <w:rPr>
          <w:b/>
        </w:rPr>
      </w:pPr>
      <w:r w:rsidRPr="007877D9">
        <w:rPr>
          <w:b/>
        </w:rPr>
        <w:t xml:space="preserve">Using </w:t>
      </w:r>
      <w:r>
        <w:rPr>
          <w:b/>
        </w:rPr>
        <w:t>AD FS</w:t>
      </w:r>
      <w:r w:rsidRPr="007877D9">
        <w:rPr>
          <w:b/>
        </w:rPr>
        <w:t xml:space="preserve"> as the </w:t>
      </w:r>
      <w:r>
        <w:rPr>
          <w:b/>
        </w:rPr>
        <w:t>Azure AD</w:t>
      </w:r>
      <w:r w:rsidRPr="007877D9">
        <w:rPr>
          <w:b/>
        </w:rPr>
        <w:t xml:space="preserve"> </w:t>
      </w:r>
      <w:r>
        <w:rPr>
          <w:b/>
        </w:rPr>
        <w:t>Identity Provider</w:t>
      </w:r>
    </w:p>
    <w:p w14:paraId="18D83236" w14:textId="77777777" w:rsidR="00786048" w:rsidRDefault="00786048" w:rsidP="00786048">
      <w:r>
        <w:t>Most commonly, AD FS is used as the identity provider for Azure AD. Designing and deploying an AD FS farm tends to be a complex task, and we typically recommend a separate engagement for doing so. However, if a customer is implementing AD FS for only Office 365, a simple load-balanced AD FS deployment is probably fine if it’s scaled appropriately.</w:t>
      </w:r>
    </w:p>
    <w:p w14:paraId="390AF4A5" w14:textId="77777777" w:rsidR="00786048" w:rsidRPr="0099259F" w:rsidRDefault="00786048" w:rsidP="00786048">
      <w:pPr>
        <w:rPr>
          <w:b/>
        </w:rPr>
      </w:pPr>
      <w:r w:rsidRPr="0099259F">
        <w:rPr>
          <w:b/>
        </w:rPr>
        <w:t>Authentication Options</w:t>
      </w:r>
    </w:p>
    <w:p w14:paraId="74582C2A" w14:textId="77777777" w:rsidR="00786048" w:rsidRDefault="00786048" w:rsidP="00786048">
      <w:r>
        <w:t>In general, it’s best to provide a different authentication experience for users, based on whether they are on the corporate intranet. If a user is on the intranet and has direct access to an AD DS domain controller, you want to allow AD FS to use Windows Integrated Authentication (WIA). If a user is not on the intranet, however, there is no access to a domain controller, and therefore, no capability to perform WIA. Instead, it’s best to provide the user with a forms-based authentication experience.</w:t>
      </w:r>
    </w:p>
    <w:p w14:paraId="75A3395F" w14:textId="77777777" w:rsidR="00786048" w:rsidRDefault="00786048" w:rsidP="00786048">
      <w:r>
        <w:t xml:space="preserve">AD FS is able to accommodate this scenario through an external-facing server role called the Web Application Proxy. Although AD FS servers are configured for WIA, Web Application Proxy servers sit at the edge of the network in the extranet, and they are configured with Forms authentication. </w:t>
      </w:r>
    </w:p>
    <w:p w14:paraId="08E243B3" w14:textId="11DCE3EE" w:rsidR="00B147DC" w:rsidRDefault="00786048" w:rsidP="00786048">
      <w:r>
        <w:t>The determination of whether a user hits the AD FS server or the Web Application Proxy server is based on how the client computer resolves the DNS name of AD FS. This architecture requires a split-brain DNS implementation so that users outside of the corporate network resolve the AD FS DNS to the Web Application Proxy servers, while the users inside the corporate network resolve it to the AD FS servers directly</w:t>
      </w:r>
      <w:r w:rsidR="00B147DC">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B147DC" w14:paraId="0D58D0B1" w14:textId="77777777" w:rsidTr="00FF0F56">
        <w:trPr>
          <w:trHeight w:val="423"/>
        </w:trPr>
        <w:tc>
          <w:tcPr>
            <w:tcW w:w="666" w:type="dxa"/>
          </w:tcPr>
          <w:p w14:paraId="218B08A8" w14:textId="77777777" w:rsidR="00B147DC" w:rsidRDefault="00B147DC" w:rsidP="00FF0F56">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234AC67B" wp14:editId="2E3E4FC0">
                      <wp:extent cx="200025" cy="180975"/>
                      <wp:effectExtent l="57150" t="19050" r="28575" b="104775"/>
                      <wp:docPr id="41116" name="Octagon 41116"/>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B49FEE1" id="Octagon 41116"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vbgcwIAAFIFAAAOAAAAZHJzL2Uyb0RvYy54bWysVN1r2zAQfx/sfxB6Xx1n6VeoU0JKx6C0&#10;Ze3osyJLiUDWaSclTvbX7yQ7bugKhbEX+073u++Pq+tdY9lWYTDgKl6ejDhTTkJt3KriP59vv1xw&#10;FqJwtbDgVMX3KvDr2edPV62fqjGswdYKGRlxYdr6iq9j9NOiCHKtGhFOwCtHQg3YiEgsrooaRUvW&#10;G1uMR6OzogWsPYJUIdDrTSfks2xfayXjg9ZBRWYrTrHF/MX8XaZvMbsS0xUKvzayD0P8QxSNMI6c&#10;DqZuRBRsg+YvU42RCAF0PJHQFKC1kSrnQNmUozfZPK2FVzkXKk7wQ5nC/zMr77ePyExd8UlZlmec&#10;OdFQmx5kFCtwrHukIrU+TAn75B+x5wKRKeOdxib9KRe2y4XdD4VVu8gkPVKnRuNTziSJyovR5flp&#10;KnzxquwxxG8KGpaIikPnPldUbO9C7NAHVHIXwJr61libGVwtFxbZVlCbFwvyljtLDo5gRcqhizpT&#10;cW9VUrbuh9JUAoqzzB7z8KnBnpBSuTjuI87opKbJ96D49WPFHp9UVR7MQXn8sfKgkT2Di4NyYxzg&#10;ewZsLPuQdYengh/lncgl1HvqPkK3FsHLW0P1vxMhPgqkPaCNod2OD/TRFlpqTE9xtgb8/d57wtN4&#10;kpSzlvaq4uHXRqDizH53NLiX5WSSFjEzk9PzMTF4LFkeS9ymWQD1tKQr4mUmEz7aA6kRmhc6AfPk&#10;lUTCSfJdcRnxwCxit+90RKSazzOMls+LeOeevDx0PQ3X8+5FoO+HMNL03sNhB8X0zSB22NQPB/NN&#10;BG3ylL7Wta83LW4e9f7IpMtwzGfU6ymc/QE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CvFvbg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6DD7DD7C" w14:textId="4E36FB26" w:rsidR="00B147DC" w:rsidRDefault="00B147DC" w:rsidP="00B147DC">
            <w:pPr>
              <w:rPr>
                <w:lang w:eastAsia="en-US"/>
              </w:rPr>
            </w:pPr>
            <w:r w:rsidRPr="00192064">
              <w:rPr>
                <w:b/>
                <w:lang w:eastAsia="en-US"/>
              </w:rPr>
              <w:t>Mandatory</w:t>
            </w:r>
            <w:r>
              <w:rPr>
                <w:lang w:eastAsia="en-US"/>
              </w:rPr>
              <w:t>:  If</w:t>
            </w:r>
            <w:r w:rsidR="00786048" w:rsidRPr="00786048">
              <w:rPr>
                <w:lang w:eastAsia="en-US"/>
              </w:rPr>
              <w:t xml:space="preserve"> you want to implement Web Application Proxy servers in AD FS (which is highly recommended), you need to have a split-brain DNS implementation</w:t>
            </w:r>
            <w:r>
              <w:rPr>
                <w:lang w:eastAsia="en-US"/>
              </w:rPr>
              <w:t>.</w:t>
            </w:r>
          </w:p>
        </w:tc>
      </w:tr>
    </w:tbl>
    <w:p w14:paraId="7998AACA" w14:textId="77777777" w:rsidR="00786048" w:rsidRDefault="00786048" w:rsidP="00786048">
      <w:r w:rsidRPr="00B147DC">
        <w:t xml:space="preserve">Another </w:t>
      </w:r>
      <w:r>
        <w:t xml:space="preserve">authentication option for users is to allow them to sign in with an x.509 certificate, which is on a smart card, a virtual smart card, or a soft certificate that is installed on the client. This is used as an alternate primary authentication option, and therefore it bypasses the user name and password prompt at the AD FS log-on page. </w:t>
      </w:r>
    </w:p>
    <w:p w14:paraId="70DD09FB" w14:textId="77777777" w:rsidR="00786048" w:rsidRDefault="00786048" w:rsidP="00786048">
      <w:r>
        <w:t>You should consider using client certificate authentication if:</w:t>
      </w:r>
    </w:p>
    <w:p w14:paraId="6AD4D319" w14:textId="77777777" w:rsidR="00786048" w:rsidRDefault="00786048" w:rsidP="005729D2">
      <w:pPr>
        <w:pStyle w:val="ListBullet"/>
        <w:numPr>
          <w:ilvl w:val="0"/>
          <w:numId w:val="117"/>
        </w:numPr>
      </w:pPr>
      <w:r>
        <w:t>Users have smart cards or soft certificates that can be used for authentication issued to them</w:t>
      </w:r>
    </w:p>
    <w:p w14:paraId="79EF002B" w14:textId="01B35C19" w:rsidR="00B147DC" w:rsidRDefault="00786048" w:rsidP="005729D2">
      <w:pPr>
        <w:pStyle w:val="ListBullet"/>
        <w:numPr>
          <w:ilvl w:val="0"/>
          <w:numId w:val="117"/>
        </w:numPr>
      </w:pPr>
      <w:r>
        <w:t>You want multi-factor authentication (MFA), but you don’t want to implement Azure Multi-Factor Authentication Server or another third-party MFA product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B147DC" w14:paraId="4F4FAFBE" w14:textId="77777777" w:rsidTr="00FF0F56">
        <w:trPr>
          <w:trHeight w:val="423"/>
        </w:trPr>
        <w:tc>
          <w:tcPr>
            <w:tcW w:w="666" w:type="dxa"/>
          </w:tcPr>
          <w:p w14:paraId="70F249C5" w14:textId="77777777" w:rsidR="00B147DC" w:rsidRDefault="00B147DC" w:rsidP="00FF0F56">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273216" behindDoc="0" locked="0" layoutInCell="1" allowOverlap="1" wp14:anchorId="3F15EE54" wp14:editId="2786579C">
                      <wp:simplePos x="0" y="0"/>
                      <wp:positionH relativeFrom="column">
                        <wp:posOffset>66675</wp:posOffset>
                      </wp:positionH>
                      <wp:positionV relativeFrom="paragraph">
                        <wp:posOffset>90170</wp:posOffset>
                      </wp:positionV>
                      <wp:extent cx="180975" cy="180975"/>
                      <wp:effectExtent l="57150" t="19050" r="9525" b="104775"/>
                      <wp:wrapNone/>
                      <wp:docPr id="41117" name="Oval 41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11DA7AA2" id="Oval 41117" o:spid="_x0000_s1026" style="position:absolute;margin-left:5.25pt;margin-top:7.1pt;width:14.25pt;height:14.25pt;z-index:25127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K17fgIAAGgFAAAOAAAAZHJzL2Uyb0RvYy54bWysVN9P2zAQfp+0/8Hy+0hSyoCIFHUgpkkV&#10;oMHEs+vYrTXb59lu0+6v39lJAxuTkKa9WD7fdz/93V1c7owmW+GDAtvQ6qikRFgOrbKrhn57vPlw&#10;RkmIzLZMgxUN3YtAL2fv3110rhYTWINuhSfoxIa6cw1dx+jqogh8LQwLR+CERaUEb1hE0a+K1rMO&#10;vRtdTMryY9GBb50HLkLA1+teSWfZv5SCxzspg4hENxRzi/n0+Vyms5hdsHrlmVsrPqTB/iELw5TF&#10;oKOraxYZ2Xj1ypVR3EMAGY84mAKkVFzkGrCaqvyjmoc1cyLXgs0JbmxT+H9u+e323hPVNnRaVdUp&#10;JZYZ/Ka7LdOkf8EOdS7UCHxw9z7VGNwC+PeAiuI3TRLCgNlJbxIWKyS73O792G6xi4TjY3VWnp+e&#10;UMJRNdyTT1YfjJ0P8bMAQ9KloUJr5UJqCKvZdhFijz6gcmqgVXujtM6CXy2vtCdYC8YuP5Un+b8x&#10;QHiG5RL6rHP+ca9FMtb2q5DYmJRnjpgpKUZ/jHNh43EiEDrM6GQmMfZoePy24YBPpiLTdTSevG08&#10;WuTIYONobJQF/zcHOlZDyrLHD58Y+rpTC5bQ7pETHvphCY7fKOz/goV4zzxOB84RTny8w0Nq6BoK&#10;w42SNfiff3tPeCQtainpcNoaGn5smBeU6C8W6XxeTadpPLMwPTmdoOBfapYvNXZjrgD/tMLd4ni+&#10;JnzUh6v0YJ5wMcxTVFQxyzF2Q3n0B+Eq9lsAVwsX83mG4Ug6Fhf2wfHDrydyPe6emHcDCSOy9xYO&#10;k/mKiD02/YeF+SaCVJmlz30d+o3jnIkzrJ60L17KGfW8IGe/AAAA//8DAFBLAwQUAAYACAAAACEA&#10;whqfIt4AAAAHAQAADwAAAGRycy9kb3ducmV2LnhtbEyPQUvDQBCF74L/YRnBi9hNYqs2ZlNEEBS9&#10;mFbU2zQ7JsHsbMhu2/jvHU96Gh7v8eZ7xWpyvdrTGDrPBtJZAoq49rbjxsBmfX9+DSpEZIu9ZzLw&#10;TQFW5fFRgbn1B36hfRUbJSUccjTQxjjkWoe6JYdh5gdi8T796DCKHBttRzxIuet1liSX2mHH8qHF&#10;ge5aqr+qnTPwUW2e3Tp9cm+P6cOCzt77JdpXY05PptsbUJGm+BeGX3xBh1KYtn7HNqhedLKQpNx5&#10;Bkr8i6VM2xqYZ1egy0L/5y9/AAAA//8DAFBLAQItABQABgAIAAAAIQC2gziS/gAAAOEBAAATAAAA&#10;AAAAAAAAAAAAAAAAAABbQ29udGVudF9UeXBlc10ueG1sUEsBAi0AFAAGAAgAAAAhADj9If/WAAAA&#10;lAEAAAsAAAAAAAAAAAAAAAAALwEAAF9yZWxzLy5yZWxzUEsBAi0AFAAGAAgAAAAhALuwrXt+AgAA&#10;aAUAAA4AAAAAAAAAAAAAAAAALgIAAGRycy9lMm9Eb2MueG1sUEsBAi0AFAAGAAgAAAAhAMIanyLe&#10;AAAABwEAAA8AAAAAAAAAAAAAAAAA2AQAAGRycy9kb3ducmV2LnhtbFBLBQYAAAAABAAEAPMAAADj&#10;BQAAAAA=&#10;" fillcolor="#00b050" strokecolor="#a5a5a5 [3206]" strokeweight=".5pt">
                      <v:stroke joinstyle="miter"/>
                      <v:path arrowok="t"/>
                    </v:oval>
                  </w:pict>
                </mc:Fallback>
              </mc:AlternateContent>
            </w:r>
          </w:p>
        </w:tc>
        <w:tc>
          <w:tcPr>
            <w:tcW w:w="8604" w:type="dxa"/>
          </w:tcPr>
          <w:p w14:paraId="1A051051" w14:textId="21425899" w:rsidR="00B147DC" w:rsidRDefault="00B147DC" w:rsidP="00B147DC">
            <w:pPr>
              <w:rPr>
                <w:lang w:eastAsia="en-US"/>
              </w:rPr>
            </w:pPr>
            <w:r>
              <w:rPr>
                <w:rFonts w:eastAsiaTheme="minorHAnsi"/>
                <w:b/>
                <w:lang w:eastAsia="en-US"/>
              </w:rPr>
              <w:t xml:space="preserve">Optional: </w:t>
            </w:r>
            <w:r>
              <w:rPr>
                <w:rFonts w:eastAsiaTheme="minorHAnsi"/>
                <w:lang w:eastAsia="en-US"/>
              </w:rPr>
              <w:t xml:space="preserve"> You can optionally use client certificate authentication with AD FS to provide certificate-based multi-factor authentication. This is a good MFA option if your users already have authentication certificates issued to them.</w:t>
            </w:r>
          </w:p>
        </w:tc>
      </w:tr>
    </w:tbl>
    <w:p w14:paraId="7B331D66" w14:textId="266DECEC" w:rsidR="008F0A71" w:rsidRPr="00786048" w:rsidRDefault="008F0A71" w:rsidP="00C36705">
      <w:pPr>
        <w:rPr>
          <w:b/>
        </w:rPr>
      </w:pPr>
      <w:r w:rsidRPr="00786048">
        <w:rPr>
          <w:b/>
        </w:rPr>
        <w:t>Certificate Options</w:t>
      </w:r>
    </w:p>
    <w:p w14:paraId="0B145783" w14:textId="5CC67526" w:rsidR="008F0A71" w:rsidRDefault="008F0A71" w:rsidP="008F0A71">
      <w:r>
        <w:t>AD FS requires the following certificates:</w:t>
      </w:r>
    </w:p>
    <w:tbl>
      <w:tblPr>
        <w:tblStyle w:val="PlainTable11"/>
        <w:tblW w:w="0" w:type="auto"/>
        <w:tblLook w:val="0420" w:firstRow="1" w:lastRow="0" w:firstColumn="0" w:lastColumn="0" w:noHBand="0" w:noVBand="1"/>
      </w:tblPr>
      <w:tblGrid>
        <w:gridCol w:w="1975"/>
        <w:gridCol w:w="7290"/>
      </w:tblGrid>
      <w:tr w:rsidR="0021405B" w:rsidRPr="00970D41" w14:paraId="124ED552" w14:textId="77777777" w:rsidTr="00970D41">
        <w:trPr>
          <w:cnfStyle w:val="100000000000" w:firstRow="1" w:lastRow="0" w:firstColumn="0" w:lastColumn="0" w:oddVBand="0" w:evenVBand="0" w:oddHBand="0" w:evenHBand="0" w:firstRowFirstColumn="0" w:firstRowLastColumn="0" w:lastRowFirstColumn="0" w:lastRowLastColumn="0"/>
        </w:trPr>
        <w:tc>
          <w:tcPr>
            <w:tcW w:w="1975" w:type="dxa"/>
            <w:shd w:val="clear" w:color="auto" w:fill="808080" w:themeFill="background1" w:themeFillShade="80"/>
            <w:hideMark/>
          </w:tcPr>
          <w:p w14:paraId="33D58456" w14:textId="3F47F3D8" w:rsidR="0021405B" w:rsidRPr="00970D41" w:rsidRDefault="0021405B" w:rsidP="00F96D57">
            <w:pPr>
              <w:spacing w:line="240" w:lineRule="auto"/>
              <w:rPr>
                <w:rFonts w:eastAsia="Calibri"/>
                <w:bCs w:val="0"/>
                <w:color w:val="FFFFFF"/>
                <w:szCs w:val="20"/>
                <w:lang w:eastAsia="en-AU"/>
              </w:rPr>
            </w:pPr>
            <w:r w:rsidRPr="00970D41">
              <w:rPr>
                <w:rFonts w:eastAsia="Calibri"/>
                <w:bCs w:val="0"/>
                <w:color w:val="FFFFFF"/>
                <w:szCs w:val="20"/>
                <w:lang w:eastAsia="en-AU"/>
              </w:rPr>
              <w:t>Certificate Type</w:t>
            </w:r>
          </w:p>
        </w:tc>
        <w:tc>
          <w:tcPr>
            <w:tcW w:w="7290" w:type="dxa"/>
            <w:shd w:val="clear" w:color="auto" w:fill="808080" w:themeFill="background1" w:themeFillShade="80"/>
            <w:hideMark/>
          </w:tcPr>
          <w:p w14:paraId="214294B0" w14:textId="77777777" w:rsidR="0021405B" w:rsidRPr="00970D41" w:rsidRDefault="0021405B" w:rsidP="00F96D57">
            <w:pPr>
              <w:spacing w:line="240" w:lineRule="auto"/>
              <w:rPr>
                <w:rFonts w:eastAsia="Calibri"/>
                <w:bCs w:val="0"/>
                <w:color w:val="FFFFFF"/>
                <w:szCs w:val="20"/>
                <w:lang w:eastAsia="en-AU"/>
              </w:rPr>
            </w:pPr>
            <w:r w:rsidRPr="00970D41">
              <w:rPr>
                <w:rFonts w:eastAsia="Calibri"/>
                <w:bCs w:val="0"/>
                <w:color w:val="FFFFFF"/>
                <w:szCs w:val="20"/>
                <w:lang w:eastAsia="en-AU"/>
              </w:rPr>
              <w:t>Description</w:t>
            </w:r>
          </w:p>
        </w:tc>
      </w:tr>
      <w:tr w:rsidR="00786048" w14:paraId="72077B11" w14:textId="77777777" w:rsidTr="00970D41">
        <w:trPr>
          <w:cnfStyle w:val="000000100000" w:firstRow="0" w:lastRow="0" w:firstColumn="0" w:lastColumn="0" w:oddVBand="0" w:evenVBand="0" w:oddHBand="1" w:evenHBand="0" w:firstRowFirstColumn="0" w:firstRowLastColumn="0" w:lastRowFirstColumn="0" w:lastRowLastColumn="0"/>
        </w:trPr>
        <w:tc>
          <w:tcPr>
            <w:tcW w:w="1975" w:type="dxa"/>
          </w:tcPr>
          <w:p w14:paraId="755A52CC" w14:textId="441F8E0A" w:rsidR="00786048" w:rsidRPr="00BA0017" w:rsidRDefault="00786048" w:rsidP="00786048">
            <w:pPr>
              <w:rPr>
                <w:b/>
                <w:sz w:val="20"/>
                <w:szCs w:val="20"/>
              </w:rPr>
            </w:pPr>
            <w:r w:rsidRPr="00BA0017">
              <w:rPr>
                <w:b/>
                <w:sz w:val="20"/>
                <w:szCs w:val="20"/>
              </w:rPr>
              <w:t xml:space="preserve">Token </w:t>
            </w:r>
            <w:r>
              <w:rPr>
                <w:b/>
                <w:sz w:val="20"/>
                <w:szCs w:val="20"/>
              </w:rPr>
              <w:t>s</w:t>
            </w:r>
            <w:r w:rsidRPr="00BA0017">
              <w:rPr>
                <w:b/>
                <w:sz w:val="20"/>
                <w:szCs w:val="20"/>
              </w:rPr>
              <w:t xml:space="preserve">igning </w:t>
            </w:r>
            <w:r>
              <w:rPr>
                <w:b/>
                <w:sz w:val="20"/>
                <w:szCs w:val="20"/>
              </w:rPr>
              <w:t>c</w:t>
            </w:r>
            <w:r w:rsidRPr="00BA0017">
              <w:rPr>
                <w:b/>
                <w:sz w:val="20"/>
                <w:szCs w:val="20"/>
              </w:rPr>
              <w:t>ertificate</w:t>
            </w:r>
          </w:p>
        </w:tc>
        <w:tc>
          <w:tcPr>
            <w:tcW w:w="7290" w:type="dxa"/>
          </w:tcPr>
          <w:p w14:paraId="25275C2A" w14:textId="4CD1337D" w:rsidR="00786048" w:rsidRPr="008434C5" w:rsidRDefault="00786048" w:rsidP="00786048">
            <w:pPr>
              <w:rPr>
                <w:sz w:val="20"/>
                <w:szCs w:val="20"/>
              </w:rPr>
            </w:pPr>
            <w:r>
              <w:rPr>
                <w:sz w:val="20"/>
                <w:szCs w:val="20"/>
              </w:rPr>
              <w:t>AD FS</w:t>
            </w:r>
            <w:r w:rsidRPr="00570384">
              <w:rPr>
                <w:sz w:val="20"/>
                <w:szCs w:val="20"/>
              </w:rPr>
              <w:t xml:space="preserve"> uses the private key of this certificate to sign the security token that it sends to </w:t>
            </w:r>
            <w:r>
              <w:rPr>
                <w:sz w:val="20"/>
                <w:szCs w:val="20"/>
              </w:rPr>
              <w:t>Azure AD</w:t>
            </w:r>
            <w:r w:rsidRPr="00570384">
              <w:rPr>
                <w:sz w:val="20"/>
                <w:szCs w:val="20"/>
              </w:rPr>
              <w:t xml:space="preserve">. The public key of the certificate is provided to </w:t>
            </w:r>
            <w:r>
              <w:rPr>
                <w:sz w:val="20"/>
                <w:szCs w:val="20"/>
              </w:rPr>
              <w:t>Azure AD</w:t>
            </w:r>
            <w:r w:rsidRPr="00570384">
              <w:rPr>
                <w:sz w:val="20"/>
                <w:szCs w:val="20"/>
              </w:rPr>
              <w:t xml:space="preserve"> through a metadata file when federated authentication is configured.</w:t>
            </w:r>
          </w:p>
        </w:tc>
      </w:tr>
      <w:tr w:rsidR="00786048" w14:paraId="73A57D79" w14:textId="77777777" w:rsidTr="00970D41">
        <w:tc>
          <w:tcPr>
            <w:tcW w:w="1975" w:type="dxa"/>
          </w:tcPr>
          <w:p w14:paraId="240923C7" w14:textId="7619CEF8" w:rsidR="00786048" w:rsidRPr="00C90964" w:rsidRDefault="00786048" w:rsidP="00786048">
            <w:pPr>
              <w:rPr>
                <w:b/>
                <w:sz w:val="20"/>
                <w:szCs w:val="20"/>
              </w:rPr>
            </w:pPr>
            <w:r w:rsidRPr="00C90964">
              <w:rPr>
                <w:b/>
                <w:sz w:val="20"/>
                <w:szCs w:val="20"/>
              </w:rPr>
              <w:t xml:space="preserve">Web </w:t>
            </w:r>
            <w:r>
              <w:rPr>
                <w:b/>
                <w:sz w:val="20"/>
                <w:szCs w:val="20"/>
              </w:rPr>
              <w:t>a</w:t>
            </w:r>
            <w:r w:rsidRPr="00C90964">
              <w:rPr>
                <w:b/>
                <w:sz w:val="20"/>
                <w:szCs w:val="20"/>
              </w:rPr>
              <w:t xml:space="preserve">pplication SSL </w:t>
            </w:r>
            <w:r>
              <w:rPr>
                <w:b/>
                <w:sz w:val="20"/>
                <w:szCs w:val="20"/>
              </w:rPr>
              <w:t>c</w:t>
            </w:r>
            <w:r w:rsidRPr="00C90964">
              <w:rPr>
                <w:b/>
                <w:sz w:val="20"/>
                <w:szCs w:val="20"/>
              </w:rPr>
              <w:t>ertificate</w:t>
            </w:r>
          </w:p>
        </w:tc>
        <w:tc>
          <w:tcPr>
            <w:tcW w:w="7290" w:type="dxa"/>
          </w:tcPr>
          <w:p w14:paraId="0DAE52A7" w14:textId="682B3240" w:rsidR="00786048" w:rsidRPr="008434C5" w:rsidRDefault="00786048" w:rsidP="00786048">
            <w:pPr>
              <w:rPr>
                <w:sz w:val="20"/>
                <w:szCs w:val="20"/>
              </w:rPr>
            </w:pPr>
            <w:r w:rsidRPr="00570384">
              <w:rPr>
                <w:sz w:val="20"/>
                <w:szCs w:val="20"/>
              </w:rPr>
              <w:t xml:space="preserve">This certificate is used for transport security when users browse to the </w:t>
            </w:r>
            <w:r>
              <w:rPr>
                <w:sz w:val="20"/>
                <w:szCs w:val="20"/>
              </w:rPr>
              <w:t>AD FS</w:t>
            </w:r>
            <w:r w:rsidRPr="00570384">
              <w:rPr>
                <w:sz w:val="20"/>
                <w:szCs w:val="20"/>
              </w:rPr>
              <w:t xml:space="preserve"> </w:t>
            </w:r>
            <w:r>
              <w:rPr>
                <w:sz w:val="20"/>
                <w:szCs w:val="20"/>
              </w:rPr>
              <w:t>log-on page</w:t>
            </w:r>
            <w:r w:rsidRPr="00570384">
              <w:rPr>
                <w:sz w:val="20"/>
                <w:szCs w:val="20"/>
              </w:rPr>
              <w:t>. This is a traditional TLS certificate used for HTTPS connections with users’ web browsers</w:t>
            </w:r>
            <w:r>
              <w:rPr>
                <w:sz w:val="20"/>
                <w:szCs w:val="20"/>
              </w:rPr>
              <w:t>.</w:t>
            </w:r>
          </w:p>
        </w:tc>
      </w:tr>
      <w:tr w:rsidR="00786048" w14:paraId="689FB625" w14:textId="77777777" w:rsidTr="00970D41">
        <w:trPr>
          <w:cnfStyle w:val="000000100000" w:firstRow="0" w:lastRow="0" w:firstColumn="0" w:lastColumn="0" w:oddVBand="0" w:evenVBand="0" w:oddHBand="1" w:evenHBand="0" w:firstRowFirstColumn="0" w:firstRowLastColumn="0" w:lastRowFirstColumn="0" w:lastRowLastColumn="0"/>
        </w:trPr>
        <w:tc>
          <w:tcPr>
            <w:tcW w:w="1975" w:type="dxa"/>
          </w:tcPr>
          <w:p w14:paraId="2ECB7CA0" w14:textId="46388BD7" w:rsidR="00786048" w:rsidRPr="00C90964" w:rsidRDefault="00786048" w:rsidP="00786048">
            <w:pPr>
              <w:pStyle w:val="NormalWeb"/>
              <w:spacing w:line="256" w:lineRule="auto"/>
              <w:rPr>
                <w:rFonts w:ascii="Segoe UI" w:hAnsi="Segoe UI" w:cs="Segoe UI"/>
                <w:b/>
                <w:sz w:val="20"/>
                <w:szCs w:val="20"/>
                <w:lang w:val="en-AU" w:eastAsia="en-AU"/>
              </w:rPr>
            </w:pPr>
            <w:r w:rsidRPr="00C90964">
              <w:rPr>
                <w:rFonts w:ascii="Segoe UI" w:hAnsi="Segoe UI" w:cs="Segoe UI"/>
                <w:b/>
                <w:sz w:val="20"/>
                <w:szCs w:val="20"/>
                <w:lang w:val="en-AU" w:eastAsia="en-AU"/>
              </w:rPr>
              <w:t xml:space="preserve">Web </w:t>
            </w:r>
            <w:r>
              <w:rPr>
                <w:rFonts w:ascii="Segoe UI" w:hAnsi="Segoe UI" w:cs="Segoe UI"/>
                <w:b/>
                <w:sz w:val="20"/>
                <w:szCs w:val="20"/>
                <w:lang w:val="en-AU" w:eastAsia="en-AU"/>
              </w:rPr>
              <w:t>s</w:t>
            </w:r>
            <w:r w:rsidRPr="00C90964">
              <w:rPr>
                <w:rFonts w:ascii="Segoe UI" w:hAnsi="Segoe UI" w:cs="Segoe UI"/>
                <w:b/>
                <w:sz w:val="20"/>
                <w:szCs w:val="20"/>
                <w:lang w:val="en-AU" w:eastAsia="en-AU"/>
              </w:rPr>
              <w:t xml:space="preserve">ervice SSL </w:t>
            </w:r>
            <w:r>
              <w:rPr>
                <w:rFonts w:ascii="Segoe UI" w:hAnsi="Segoe UI" w:cs="Segoe UI"/>
                <w:b/>
                <w:sz w:val="20"/>
                <w:szCs w:val="20"/>
                <w:lang w:val="en-AU" w:eastAsia="en-AU"/>
              </w:rPr>
              <w:t>c</w:t>
            </w:r>
            <w:r w:rsidRPr="00C90964">
              <w:rPr>
                <w:rFonts w:ascii="Segoe UI" w:hAnsi="Segoe UI" w:cs="Segoe UI"/>
                <w:b/>
                <w:sz w:val="20"/>
                <w:szCs w:val="20"/>
                <w:lang w:val="en-AU" w:eastAsia="en-AU"/>
              </w:rPr>
              <w:t>ertificate</w:t>
            </w:r>
          </w:p>
        </w:tc>
        <w:tc>
          <w:tcPr>
            <w:tcW w:w="7290" w:type="dxa"/>
          </w:tcPr>
          <w:p w14:paraId="4F78CEBB" w14:textId="43A1287D" w:rsidR="00786048" w:rsidRPr="008434C5" w:rsidRDefault="00786048" w:rsidP="00786048">
            <w:pPr>
              <w:rPr>
                <w:sz w:val="20"/>
                <w:szCs w:val="20"/>
              </w:rPr>
            </w:pPr>
            <w:r w:rsidRPr="00570384">
              <w:rPr>
                <w:sz w:val="20"/>
                <w:szCs w:val="20"/>
              </w:rPr>
              <w:t>This certificate is different from the Web Application SSL certificate</w:t>
            </w:r>
            <w:r>
              <w:rPr>
                <w:sz w:val="20"/>
                <w:szCs w:val="20"/>
              </w:rPr>
              <w:t xml:space="preserve"> because</w:t>
            </w:r>
            <w:r w:rsidRPr="00570384">
              <w:rPr>
                <w:sz w:val="20"/>
                <w:szCs w:val="20"/>
              </w:rPr>
              <w:t xml:space="preserve"> it’s used specifically to protect the web service in the </w:t>
            </w:r>
            <w:r>
              <w:rPr>
                <w:sz w:val="20"/>
                <w:szCs w:val="20"/>
              </w:rPr>
              <w:t>AD FS</w:t>
            </w:r>
            <w:r w:rsidRPr="00570384">
              <w:rPr>
                <w:sz w:val="20"/>
                <w:szCs w:val="20"/>
              </w:rPr>
              <w:t xml:space="preserve"> active endpoints. Although not required by </w:t>
            </w:r>
            <w:r>
              <w:rPr>
                <w:sz w:val="20"/>
                <w:szCs w:val="20"/>
              </w:rPr>
              <w:t>Azure AD</w:t>
            </w:r>
            <w:r w:rsidRPr="00570384">
              <w:rPr>
                <w:sz w:val="20"/>
                <w:szCs w:val="20"/>
              </w:rPr>
              <w:t>, some Office</w:t>
            </w:r>
            <w:r>
              <w:rPr>
                <w:sz w:val="20"/>
                <w:szCs w:val="20"/>
              </w:rPr>
              <w:t> 3</w:t>
            </w:r>
            <w:r w:rsidRPr="00570384">
              <w:rPr>
                <w:sz w:val="20"/>
                <w:szCs w:val="20"/>
              </w:rPr>
              <w:t>65 properties (such as Exchange Online and Lync Online) use this endpoint. Most deployments use the same certificate as the Web Application SSL Certificate.</w:t>
            </w:r>
          </w:p>
        </w:tc>
      </w:tr>
    </w:tbl>
    <w:p w14:paraId="7797CF14" w14:textId="168523CB" w:rsidR="008F0A71" w:rsidRDefault="00786048" w:rsidP="008F0A71">
      <w:r>
        <w:t>Although there is no single configuration of certificates that makes sense for every situation, we’ve distilled the guidance into a few scenarios. Use the following table to make the appropriate decisions for certificate configuration</w:t>
      </w:r>
      <w:r w:rsidR="000E49C8">
        <w:t>:</w:t>
      </w:r>
    </w:p>
    <w:tbl>
      <w:tblPr>
        <w:tblStyle w:val="PlainTable11"/>
        <w:tblW w:w="0" w:type="auto"/>
        <w:tblLook w:val="04A0" w:firstRow="1" w:lastRow="0" w:firstColumn="1" w:lastColumn="0" w:noHBand="0" w:noVBand="1"/>
      </w:tblPr>
      <w:tblGrid>
        <w:gridCol w:w="2854"/>
        <w:gridCol w:w="1437"/>
        <w:gridCol w:w="2576"/>
        <w:gridCol w:w="1078"/>
        <w:gridCol w:w="1405"/>
      </w:tblGrid>
      <w:tr w:rsidR="000E49C8" w14:paraId="380995C3" w14:textId="1C3BD16F" w:rsidTr="00970D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shd w:val="clear" w:color="auto" w:fill="808080" w:themeFill="background1" w:themeFillShade="80"/>
          </w:tcPr>
          <w:p w14:paraId="6EC5DF04" w14:textId="2B8EC7EA" w:rsidR="000E49C8" w:rsidRPr="00F47607" w:rsidRDefault="000E49C8" w:rsidP="004C044D">
            <w:pPr>
              <w:spacing w:line="240" w:lineRule="auto"/>
              <w:rPr>
                <w:color w:val="FFFFFF"/>
              </w:rPr>
            </w:pPr>
            <w:r>
              <w:rPr>
                <w:color w:val="FFFFFF"/>
              </w:rPr>
              <w:t>Level of Security Consciousness</w:t>
            </w:r>
          </w:p>
        </w:tc>
        <w:tc>
          <w:tcPr>
            <w:tcW w:w="1440" w:type="dxa"/>
            <w:shd w:val="clear" w:color="auto" w:fill="808080" w:themeFill="background1" w:themeFillShade="80"/>
          </w:tcPr>
          <w:p w14:paraId="504548C7" w14:textId="1B9038C6" w:rsidR="000E49C8" w:rsidRDefault="000E49C8" w:rsidP="004C044D">
            <w:pPr>
              <w:spacing w:line="240" w:lineRule="auto"/>
              <w:cnfStyle w:val="100000000000" w:firstRow="1" w:lastRow="0" w:firstColumn="0" w:lastColumn="0" w:oddVBand="0" w:evenVBand="0" w:oddHBand="0" w:evenHBand="0" w:firstRowFirstColumn="0" w:firstRowLastColumn="0" w:lastRowFirstColumn="0" w:lastRowLastColumn="0"/>
              <w:rPr>
                <w:color w:val="FFFFFF"/>
              </w:rPr>
            </w:pPr>
            <w:r>
              <w:rPr>
                <w:color w:val="FFFFFF"/>
              </w:rPr>
              <w:t>Certificate</w:t>
            </w:r>
          </w:p>
        </w:tc>
        <w:tc>
          <w:tcPr>
            <w:tcW w:w="2610" w:type="dxa"/>
            <w:shd w:val="clear" w:color="auto" w:fill="808080" w:themeFill="background1" w:themeFillShade="80"/>
          </w:tcPr>
          <w:p w14:paraId="3AB7ED48" w14:textId="512D8369" w:rsidR="000E49C8" w:rsidRDefault="004214DB" w:rsidP="004C044D">
            <w:pPr>
              <w:spacing w:line="240" w:lineRule="auto"/>
              <w:cnfStyle w:val="100000000000" w:firstRow="1" w:lastRow="0" w:firstColumn="0" w:lastColumn="0" w:oddVBand="0" w:evenVBand="0" w:oddHBand="0" w:evenHBand="0" w:firstRowFirstColumn="0" w:firstRowLastColumn="0" w:lastRowFirstColumn="0" w:lastRowLastColumn="0"/>
              <w:rPr>
                <w:color w:val="FFFFFF"/>
              </w:rPr>
            </w:pPr>
            <w:r>
              <w:rPr>
                <w:color w:val="FFFFFF"/>
              </w:rPr>
              <w:t>Issuer</w:t>
            </w:r>
          </w:p>
        </w:tc>
        <w:tc>
          <w:tcPr>
            <w:tcW w:w="1080" w:type="dxa"/>
            <w:shd w:val="clear" w:color="auto" w:fill="808080" w:themeFill="background1" w:themeFillShade="80"/>
          </w:tcPr>
          <w:p w14:paraId="680C5E0A" w14:textId="66429A12" w:rsidR="000E49C8" w:rsidRDefault="000E49C8" w:rsidP="004C044D">
            <w:pPr>
              <w:spacing w:line="240" w:lineRule="auto"/>
              <w:cnfStyle w:val="100000000000" w:firstRow="1" w:lastRow="0" w:firstColumn="0" w:lastColumn="0" w:oddVBand="0" w:evenVBand="0" w:oddHBand="0" w:evenHBand="0" w:firstRowFirstColumn="0" w:firstRowLastColumn="0" w:lastRowFirstColumn="0" w:lastRowLastColumn="0"/>
              <w:rPr>
                <w:color w:val="FFFFFF"/>
              </w:rPr>
            </w:pPr>
            <w:r>
              <w:rPr>
                <w:color w:val="FFFFFF"/>
              </w:rPr>
              <w:t>Validity Period</w:t>
            </w:r>
          </w:p>
        </w:tc>
        <w:tc>
          <w:tcPr>
            <w:tcW w:w="1350" w:type="dxa"/>
            <w:shd w:val="clear" w:color="auto" w:fill="808080" w:themeFill="background1" w:themeFillShade="80"/>
          </w:tcPr>
          <w:p w14:paraId="3DDE4593" w14:textId="5CFC110A" w:rsidR="000E49C8" w:rsidRDefault="000E49C8" w:rsidP="004C044D">
            <w:pPr>
              <w:spacing w:line="240" w:lineRule="auto"/>
              <w:cnfStyle w:val="100000000000" w:firstRow="1" w:lastRow="0" w:firstColumn="0" w:lastColumn="0" w:oddVBand="0" w:evenVBand="0" w:oddHBand="0" w:evenHBand="0" w:firstRowFirstColumn="0" w:firstRowLastColumn="0" w:lastRowFirstColumn="0" w:lastRowLastColumn="0"/>
              <w:rPr>
                <w:color w:val="FFFFFF"/>
              </w:rPr>
            </w:pPr>
            <w:r>
              <w:rPr>
                <w:color w:val="FFFFFF"/>
              </w:rPr>
              <w:t>Uniqueness</w:t>
            </w:r>
          </w:p>
        </w:tc>
      </w:tr>
      <w:tr w:rsidR="000E49C8" w14:paraId="2E12221E" w14:textId="131FDF5D" w:rsidTr="00970D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761566B5" w14:textId="54AE51EC" w:rsidR="000E49C8" w:rsidRPr="00B814EA" w:rsidRDefault="000E49C8" w:rsidP="000E49C8">
            <w:pPr>
              <w:rPr>
                <w:sz w:val="18"/>
                <w:szCs w:val="18"/>
              </w:rPr>
            </w:pPr>
            <w:r>
              <w:rPr>
                <w:sz w:val="18"/>
                <w:szCs w:val="18"/>
              </w:rPr>
              <w:t>Favors convenience over security</w:t>
            </w:r>
          </w:p>
        </w:tc>
        <w:tc>
          <w:tcPr>
            <w:tcW w:w="1440" w:type="dxa"/>
          </w:tcPr>
          <w:p w14:paraId="374B441F" w14:textId="1D8B6F3C" w:rsidR="000E49C8" w:rsidRPr="00B814EA" w:rsidRDefault="000E49C8" w:rsidP="004C044D">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Token Signing</w:t>
            </w:r>
          </w:p>
        </w:tc>
        <w:tc>
          <w:tcPr>
            <w:tcW w:w="2610" w:type="dxa"/>
          </w:tcPr>
          <w:p w14:paraId="2B0FE350" w14:textId="09370D1E" w:rsidR="000E49C8" w:rsidRPr="00B814EA" w:rsidRDefault="000E49C8" w:rsidP="004C044D">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Self-Signed</w:t>
            </w:r>
          </w:p>
        </w:tc>
        <w:tc>
          <w:tcPr>
            <w:tcW w:w="1080" w:type="dxa"/>
          </w:tcPr>
          <w:p w14:paraId="06E34868" w14:textId="10468B7A" w:rsidR="000E49C8" w:rsidRPr="00B814EA" w:rsidRDefault="00CF0588" w:rsidP="00CF0588">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 year</w:t>
            </w:r>
          </w:p>
        </w:tc>
        <w:tc>
          <w:tcPr>
            <w:tcW w:w="1350" w:type="dxa"/>
          </w:tcPr>
          <w:p w14:paraId="48C8A6C9" w14:textId="5034E051" w:rsidR="000E49C8" w:rsidRDefault="000E49C8" w:rsidP="004C044D">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Unique</w:t>
            </w:r>
          </w:p>
        </w:tc>
      </w:tr>
      <w:tr w:rsidR="000E49C8" w14:paraId="0436C063" w14:textId="54B3491B" w:rsidTr="00970D41">
        <w:tc>
          <w:tcPr>
            <w:cnfStyle w:val="001000000000" w:firstRow="0" w:lastRow="0" w:firstColumn="1" w:lastColumn="0" w:oddVBand="0" w:evenVBand="0" w:oddHBand="0" w:evenHBand="0" w:firstRowFirstColumn="0" w:firstRowLastColumn="0" w:lastRowFirstColumn="0" w:lastRowLastColumn="0"/>
            <w:tcW w:w="2880" w:type="dxa"/>
            <w:shd w:val="clear" w:color="auto" w:fill="F2F2F2" w:themeFill="background1" w:themeFillShade="F2"/>
          </w:tcPr>
          <w:p w14:paraId="0199E550" w14:textId="77777777" w:rsidR="000E49C8" w:rsidRDefault="000E49C8" w:rsidP="000E49C8">
            <w:pPr>
              <w:rPr>
                <w:sz w:val="18"/>
                <w:szCs w:val="18"/>
              </w:rPr>
            </w:pPr>
          </w:p>
        </w:tc>
        <w:tc>
          <w:tcPr>
            <w:tcW w:w="1440" w:type="dxa"/>
            <w:shd w:val="clear" w:color="auto" w:fill="F2F2F2" w:themeFill="background1" w:themeFillShade="F2"/>
          </w:tcPr>
          <w:p w14:paraId="07FED614" w14:textId="437F4D30" w:rsidR="000E49C8" w:rsidRDefault="000E49C8" w:rsidP="004C044D">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Web App</w:t>
            </w:r>
          </w:p>
        </w:tc>
        <w:tc>
          <w:tcPr>
            <w:tcW w:w="2610" w:type="dxa"/>
            <w:shd w:val="clear" w:color="auto" w:fill="F2F2F2" w:themeFill="background1" w:themeFillShade="F2"/>
          </w:tcPr>
          <w:p w14:paraId="56677097" w14:textId="2F732C3B" w:rsidR="000E49C8" w:rsidRDefault="000E49C8" w:rsidP="004C044D">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CA-Issued (Publically Trusted)</w:t>
            </w:r>
          </w:p>
        </w:tc>
        <w:tc>
          <w:tcPr>
            <w:tcW w:w="1080" w:type="dxa"/>
            <w:shd w:val="clear" w:color="auto" w:fill="F2F2F2" w:themeFill="background1" w:themeFillShade="F2"/>
          </w:tcPr>
          <w:p w14:paraId="59574674" w14:textId="580D5221" w:rsidR="000E49C8" w:rsidRDefault="000E49C8" w:rsidP="004C044D">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5 years</w:t>
            </w:r>
          </w:p>
        </w:tc>
        <w:tc>
          <w:tcPr>
            <w:tcW w:w="1350" w:type="dxa"/>
            <w:shd w:val="clear" w:color="auto" w:fill="F2F2F2" w:themeFill="background1" w:themeFillShade="F2"/>
          </w:tcPr>
          <w:p w14:paraId="7D0873B6" w14:textId="71B1BEFA" w:rsidR="000E49C8" w:rsidRDefault="000E49C8" w:rsidP="004C044D">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Common</w:t>
            </w:r>
          </w:p>
        </w:tc>
      </w:tr>
      <w:tr w:rsidR="000E49C8" w14:paraId="7F2DC5F3" w14:textId="484C0454" w:rsidTr="00970D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259AD8D5" w14:textId="77777777" w:rsidR="000E49C8" w:rsidRDefault="000E49C8" w:rsidP="000E49C8">
            <w:pPr>
              <w:rPr>
                <w:sz w:val="18"/>
                <w:szCs w:val="18"/>
              </w:rPr>
            </w:pPr>
          </w:p>
        </w:tc>
        <w:tc>
          <w:tcPr>
            <w:tcW w:w="1440" w:type="dxa"/>
          </w:tcPr>
          <w:p w14:paraId="407D2E88" w14:textId="1A0FED19" w:rsidR="000E49C8" w:rsidRDefault="000E49C8" w:rsidP="004C044D">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Web Service</w:t>
            </w:r>
          </w:p>
        </w:tc>
        <w:tc>
          <w:tcPr>
            <w:tcW w:w="2610" w:type="dxa"/>
          </w:tcPr>
          <w:p w14:paraId="1D6EF85E" w14:textId="106DCB8C" w:rsidR="000E49C8" w:rsidRDefault="000E49C8" w:rsidP="004C044D">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CA-Issued (Publically Trusted)</w:t>
            </w:r>
          </w:p>
        </w:tc>
        <w:tc>
          <w:tcPr>
            <w:tcW w:w="1080" w:type="dxa"/>
          </w:tcPr>
          <w:p w14:paraId="453AE346" w14:textId="6C03444F" w:rsidR="000E49C8" w:rsidRDefault="000E49C8" w:rsidP="004C044D">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5 years</w:t>
            </w:r>
          </w:p>
        </w:tc>
        <w:tc>
          <w:tcPr>
            <w:tcW w:w="1350" w:type="dxa"/>
          </w:tcPr>
          <w:p w14:paraId="274EE40F" w14:textId="2CBE9FBD" w:rsidR="000E49C8" w:rsidRDefault="000E49C8" w:rsidP="004C044D">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Common</w:t>
            </w:r>
          </w:p>
        </w:tc>
      </w:tr>
      <w:tr w:rsidR="000E49C8" w14:paraId="672B001A" w14:textId="77777777" w:rsidTr="00970D41">
        <w:tc>
          <w:tcPr>
            <w:cnfStyle w:val="001000000000" w:firstRow="0" w:lastRow="0" w:firstColumn="1" w:lastColumn="0" w:oddVBand="0" w:evenVBand="0" w:oddHBand="0" w:evenHBand="0" w:firstRowFirstColumn="0" w:firstRowLastColumn="0" w:lastRowFirstColumn="0" w:lastRowLastColumn="0"/>
            <w:tcW w:w="2880" w:type="dxa"/>
            <w:shd w:val="clear" w:color="auto" w:fill="FFFFFF" w:themeFill="background1"/>
          </w:tcPr>
          <w:p w14:paraId="7EF3AB35" w14:textId="77AFC3B4" w:rsidR="000E49C8" w:rsidRDefault="000E49C8" w:rsidP="000E49C8">
            <w:pPr>
              <w:rPr>
                <w:sz w:val="18"/>
                <w:szCs w:val="18"/>
              </w:rPr>
            </w:pPr>
            <w:r>
              <w:rPr>
                <w:sz w:val="18"/>
                <w:szCs w:val="18"/>
              </w:rPr>
              <w:t>Somewhat security conscious</w:t>
            </w:r>
          </w:p>
        </w:tc>
        <w:tc>
          <w:tcPr>
            <w:tcW w:w="1440" w:type="dxa"/>
            <w:shd w:val="clear" w:color="auto" w:fill="FFFFFF" w:themeFill="background1"/>
          </w:tcPr>
          <w:p w14:paraId="64FBFF85" w14:textId="2CF3BD90" w:rsidR="000E49C8" w:rsidRDefault="000E49C8" w:rsidP="004C044D">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Token Signing</w:t>
            </w:r>
          </w:p>
        </w:tc>
        <w:tc>
          <w:tcPr>
            <w:tcW w:w="2610" w:type="dxa"/>
            <w:shd w:val="clear" w:color="auto" w:fill="FFFFFF" w:themeFill="background1"/>
          </w:tcPr>
          <w:p w14:paraId="3286877B" w14:textId="1DBC09D1" w:rsidR="000E49C8" w:rsidRDefault="000E49C8" w:rsidP="004C044D">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Self-Signed</w:t>
            </w:r>
          </w:p>
        </w:tc>
        <w:tc>
          <w:tcPr>
            <w:tcW w:w="1080" w:type="dxa"/>
            <w:shd w:val="clear" w:color="auto" w:fill="FFFFFF" w:themeFill="background1"/>
          </w:tcPr>
          <w:p w14:paraId="6E083E51" w14:textId="50922193" w:rsidR="000E49C8" w:rsidRDefault="00CF0588" w:rsidP="004C044D">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1 year</w:t>
            </w:r>
          </w:p>
        </w:tc>
        <w:tc>
          <w:tcPr>
            <w:tcW w:w="1350" w:type="dxa"/>
            <w:shd w:val="clear" w:color="auto" w:fill="FFFFFF" w:themeFill="background1"/>
          </w:tcPr>
          <w:p w14:paraId="4D4B91F3" w14:textId="178E56AD" w:rsidR="000E49C8" w:rsidRDefault="000E49C8" w:rsidP="004C044D">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Unique</w:t>
            </w:r>
          </w:p>
        </w:tc>
      </w:tr>
      <w:tr w:rsidR="000E49C8" w14:paraId="63919074" w14:textId="77777777" w:rsidTr="00970D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shd w:val="clear" w:color="auto" w:fill="FFFFFF" w:themeFill="background1"/>
          </w:tcPr>
          <w:p w14:paraId="65634A2E" w14:textId="77777777" w:rsidR="000E49C8" w:rsidRDefault="000E49C8" w:rsidP="000E49C8">
            <w:pPr>
              <w:rPr>
                <w:sz w:val="18"/>
                <w:szCs w:val="18"/>
              </w:rPr>
            </w:pPr>
          </w:p>
        </w:tc>
        <w:tc>
          <w:tcPr>
            <w:tcW w:w="1440" w:type="dxa"/>
            <w:shd w:val="clear" w:color="auto" w:fill="FFFFFF" w:themeFill="background1"/>
          </w:tcPr>
          <w:p w14:paraId="2D21C438" w14:textId="625F8B01" w:rsidR="000E49C8" w:rsidRDefault="000E49C8" w:rsidP="004C044D">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Web App</w:t>
            </w:r>
          </w:p>
        </w:tc>
        <w:tc>
          <w:tcPr>
            <w:tcW w:w="2610" w:type="dxa"/>
            <w:shd w:val="clear" w:color="auto" w:fill="FFFFFF" w:themeFill="background1"/>
          </w:tcPr>
          <w:p w14:paraId="03715557" w14:textId="630ECD74" w:rsidR="000E49C8" w:rsidRDefault="000E49C8" w:rsidP="004C044D">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CA-Issued (Publically Trusted)</w:t>
            </w:r>
          </w:p>
        </w:tc>
        <w:tc>
          <w:tcPr>
            <w:tcW w:w="1080" w:type="dxa"/>
            <w:shd w:val="clear" w:color="auto" w:fill="FFFFFF" w:themeFill="background1"/>
          </w:tcPr>
          <w:p w14:paraId="2DE3988A" w14:textId="5AE3635E" w:rsidR="000E49C8" w:rsidRDefault="000E49C8" w:rsidP="004C044D">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2 years</w:t>
            </w:r>
          </w:p>
        </w:tc>
        <w:tc>
          <w:tcPr>
            <w:tcW w:w="1350" w:type="dxa"/>
            <w:shd w:val="clear" w:color="auto" w:fill="FFFFFF" w:themeFill="background1"/>
          </w:tcPr>
          <w:p w14:paraId="0F5FA6E0" w14:textId="3B197C77" w:rsidR="000E49C8" w:rsidRDefault="000E49C8" w:rsidP="004C044D">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Common</w:t>
            </w:r>
          </w:p>
        </w:tc>
      </w:tr>
      <w:tr w:rsidR="000E49C8" w14:paraId="3B4BC9DD" w14:textId="77777777" w:rsidTr="00970D41">
        <w:tc>
          <w:tcPr>
            <w:cnfStyle w:val="001000000000" w:firstRow="0" w:lastRow="0" w:firstColumn="1" w:lastColumn="0" w:oddVBand="0" w:evenVBand="0" w:oddHBand="0" w:evenHBand="0" w:firstRowFirstColumn="0" w:firstRowLastColumn="0" w:lastRowFirstColumn="0" w:lastRowLastColumn="0"/>
            <w:tcW w:w="2880" w:type="dxa"/>
            <w:shd w:val="clear" w:color="auto" w:fill="FFFFFF" w:themeFill="background1"/>
          </w:tcPr>
          <w:p w14:paraId="02C2540F" w14:textId="77777777" w:rsidR="000E49C8" w:rsidRDefault="000E49C8" w:rsidP="000E49C8">
            <w:pPr>
              <w:rPr>
                <w:sz w:val="18"/>
                <w:szCs w:val="18"/>
              </w:rPr>
            </w:pPr>
          </w:p>
        </w:tc>
        <w:tc>
          <w:tcPr>
            <w:tcW w:w="1440" w:type="dxa"/>
            <w:shd w:val="clear" w:color="auto" w:fill="FFFFFF" w:themeFill="background1"/>
          </w:tcPr>
          <w:p w14:paraId="741F70B4" w14:textId="658C0151" w:rsidR="000E49C8" w:rsidRDefault="000E49C8" w:rsidP="004C044D">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Web Service</w:t>
            </w:r>
          </w:p>
        </w:tc>
        <w:tc>
          <w:tcPr>
            <w:tcW w:w="2610" w:type="dxa"/>
            <w:shd w:val="clear" w:color="auto" w:fill="FFFFFF" w:themeFill="background1"/>
          </w:tcPr>
          <w:p w14:paraId="75339E81" w14:textId="190D312D" w:rsidR="000E49C8" w:rsidRDefault="000E49C8" w:rsidP="004C044D">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CA-Issued (Publically Trusted)</w:t>
            </w:r>
          </w:p>
        </w:tc>
        <w:tc>
          <w:tcPr>
            <w:tcW w:w="1080" w:type="dxa"/>
            <w:shd w:val="clear" w:color="auto" w:fill="FFFFFF" w:themeFill="background1"/>
          </w:tcPr>
          <w:p w14:paraId="5854A808" w14:textId="04E614E1" w:rsidR="000E49C8" w:rsidRDefault="000E49C8" w:rsidP="004C044D">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2 years</w:t>
            </w:r>
          </w:p>
        </w:tc>
        <w:tc>
          <w:tcPr>
            <w:tcW w:w="1350" w:type="dxa"/>
            <w:shd w:val="clear" w:color="auto" w:fill="FFFFFF" w:themeFill="background1"/>
          </w:tcPr>
          <w:p w14:paraId="42BF2DC5" w14:textId="6B66576D" w:rsidR="000E49C8" w:rsidRDefault="000E49C8" w:rsidP="004C044D">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Common</w:t>
            </w:r>
          </w:p>
        </w:tc>
      </w:tr>
      <w:tr w:rsidR="000E49C8" w14:paraId="463F1577" w14:textId="77777777" w:rsidTr="00970D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316FB65B" w14:textId="7D275563" w:rsidR="000E49C8" w:rsidRDefault="000E49C8" w:rsidP="000E49C8">
            <w:pPr>
              <w:rPr>
                <w:sz w:val="18"/>
                <w:szCs w:val="18"/>
              </w:rPr>
            </w:pPr>
            <w:r>
              <w:rPr>
                <w:sz w:val="18"/>
                <w:szCs w:val="18"/>
              </w:rPr>
              <w:t>Favors security over convenience</w:t>
            </w:r>
          </w:p>
        </w:tc>
        <w:tc>
          <w:tcPr>
            <w:tcW w:w="1440" w:type="dxa"/>
          </w:tcPr>
          <w:p w14:paraId="25B3973A" w14:textId="6903AB07" w:rsidR="000E49C8" w:rsidRDefault="000E49C8" w:rsidP="004C044D">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Token Signing</w:t>
            </w:r>
          </w:p>
        </w:tc>
        <w:tc>
          <w:tcPr>
            <w:tcW w:w="2610" w:type="dxa"/>
          </w:tcPr>
          <w:p w14:paraId="75BD618F" w14:textId="4CC51351" w:rsidR="000E49C8" w:rsidRDefault="000E49C8" w:rsidP="004C044D">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CA Issued</w:t>
            </w:r>
          </w:p>
        </w:tc>
        <w:tc>
          <w:tcPr>
            <w:tcW w:w="1080" w:type="dxa"/>
          </w:tcPr>
          <w:p w14:paraId="7D54B4D0" w14:textId="2A245587" w:rsidR="000E49C8" w:rsidRDefault="000E49C8" w:rsidP="004C044D">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 year</w:t>
            </w:r>
          </w:p>
        </w:tc>
        <w:tc>
          <w:tcPr>
            <w:tcW w:w="1350" w:type="dxa"/>
          </w:tcPr>
          <w:p w14:paraId="35A99828" w14:textId="4A9FD6C1" w:rsidR="000E49C8" w:rsidRDefault="000E49C8" w:rsidP="004C044D">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Unique</w:t>
            </w:r>
          </w:p>
        </w:tc>
      </w:tr>
      <w:tr w:rsidR="000E49C8" w14:paraId="2B2AEECE" w14:textId="77777777" w:rsidTr="00970D41">
        <w:tc>
          <w:tcPr>
            <w:cnfStyle w:val="001000000000" w:firstRow="0" w:lastRow="0" w:firstColumn="1" w:lastColumn="0" w:oddVBand="0" w:evenVBand="0" w:oddHBand="0" w:evenHBand="0" w:firstRowFirstColumn="0" w:firstRowLastColumn="0" w:lastRowFirstColumn="0" w:lastRowLastColumn="0"/>
            <w:tcW w:w="2880" w:type="dxa"/>
            <w:shd w:val="clear" w:color="auto" w:fill="F2F2F2" w:themeFill="background1" w:themeFillShade="F2"/>
          </w:tcPr>
          <w:p w14:paraId="319709A7" w14:textId="77777777" w:rsidR="000E49C8" w:rsidRDefault="000E49C8" w:rsidP="000E49C8">
            <w:pPr>
              <w:rPr>
                <w:sz w:val="18"/>
                <w:szCs w:val="18"/>
              </w:rPr>
            </w:pPr>
          </w:p>
        </w:tc>
        <w:tc>
          <w:tcPr>
            <w:tcW w:w="1440" w:type="dxa"/>
            <w:shd w:val="clear" w:color="auto" w:fill="F2F2F2" w:themeFill="background1" w:themeFillShade="F2"/>
          </w:tcPr>
          <w:p w14:paraId="0A5A28F5" w14:textId="29182C0E" w:rsidR="000E49C8" w:rsidRDefault="000E49C8" w:rsidP="004C044D">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Web App</w:t>
            </w:r>
          </w:p>
        </w:tc>
        <w:tc>
          <w:tcPr>
            <w:tcW w:w="2610" w:type="dxa"/>
            <w:shd w:val="clear" w:color="auto" w:fill="F2F2F2" w:themeFill="background1" w:themeFillShade="F2"/>
          </w:tcPr>
          <w:p w14:paraId="3FE1F7F3" w14:textId="294555E2" w:rsidR="000E49C8" w:rsidRDefault="000E49C8" w:rsidP="004C044D">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CA-Issued (Publically Trusted)</w:t>
            </w:r>
          </w:p>
        </w:tc>
        <w:tc>
          <w:tcPr>
            <w:tcW w:w="1080" w:type="dxa"/>
            <w:shd w:val="clear" w:color="auto" w:fill="F2F2F2" w:themeFill="background1" w:themeFillShade="F2"/>
          </w:tcPr>
          <w:p w14:paraId="5AF200EA" w14:textId="63FC9305" w:rsidR="000E49C8" w:rsidRDefault="000E49C8" w:rsidP="004C044D">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1 year</w:t>
            </w:r>
          </w:p>
        </w:tc>
        <w:tc>
          <w:tcPr>
            <w:tcW w:w="1350" w:type="dxa"/>
            <w:shd w:val="clear" w:color="auto" w:fill="F2F2F2" w:themeFill="background1" w:themeFillShade="F2"/>
          </w:tcPr>
          <w:p w14:paraId="1119F078" w14:textId="70FE94E2" w:rsidR="000E49C8" w:rsidRDefault="000E49C8" w:rsidP="004C044D">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Unique</w:t>
            </w:r>
          </w:p>
        </w:tc>
      </w:tr>
      <w:tr w:rsidR="000E49C8" w14:paraId="44DD3506" w14:textId="77777777" w:rsidTr="00970D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382DDBBA" w14:textId="77777777" w:rsidR="000E49C8" w:rsidRDefault="000E49C8" w:rsidP="000E49C8">
            <w:pPr>
              <w:rPr>
                <w:sz w:val="18"/>
                <w:szCs w:val="18"/>
              </w:rPr>
            </w:pPr>
          </w:p>
        </w:tc>
        <w:tc>
          <w:tcPr>
            <w:tcW w:w="1440" w:type="dxa"/>
          </w:tcPr>
          <w:p w14:paraId="52533DC5" w14:textId="7547FD7F" w:rsidR="000E49C8" w:rsidRDefault="000E49C8" w:rsidP="004C044D">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Web Service</w:t>
            </w:r>
          </w:p>
        </w:tc>
        <w:tc>
          <w:tcPr>
            <w:tcW w:w="2610" w:type="dxa"/>
          </w:tcPr>
          <w:p w14:paraId="5E75882E" w14:textId="65D4D491" w:rsidR="000E49C8" w:rsidRDefault="000E49C8" w:rsidP="004C044D">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CA-Issued (Publically Trusted)</w:t>
            </w:r>
          </w:p>
        </w:tc>
        <w:tc>
          <w:tcPr>
            <w:tcW w:w="1080" w:type="dxa"/>
          </w:tcPr>
          <w:p w14:paraId="5DF62FD7" w14:textId="012E5158" w:rsidR="000E49C8" w:rsidRDefault="000E49C8" w:rsidP="004C044D">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 year</w:t>
            </w:r>
          </w:p>
        </w:tc>
        <w:tc>
          <w:tcPr>
            <w:tcW w:w="1350" w:type="dxa"/>
          </w:tcPr>
          <w:p w14:paraId="489630DC" w14:textId="71A29C15" w:rsidR="000E49C8" w:rsidRDefault="000E49C8" w:rsidP="004C044D">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Unique</w:t>
            </w:r>
          </w:p>
        </w:tc>
      </w:tr>
    </w:tbl>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734B19" w14:paraId="28A26799" w14:textId="77777777" w:rsidTr="004C044D">
        <w:trPr>
          <w:trHeight w:val="423"/>
        </w:trPr>
        <w:tc>
          <w:tcPr>
            <w:tcW w:w="666" w:type="dxa"/>
          </w:tcPr>
          <w:p w14:paraId="260E1527" w14:textId="5FCA8DB0" w:rsidR="00734B19" w:rsidRDefault="00734B19" w:rsidP="004C044D">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796D2B4D" wp14:editId="67DBD3DC">
                      <wp:extent cx="200025" cy="180975"/>
                      <wp:effectExtent l="57150" t="19050" r="28575" b="104775"/>
                      <wp:docPr id="830832951" name="Octagon 830832951"/>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356996D" id="Octagon 830832951"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V7veAIAAFoFAAAOAAAAZHJzL2Uyb0RvYy54bWysVN1r2zAQfx/sfxB6X/2RZE1DnRJSOgal&#10;LWtHnxVZSgSyTpOUONlfv5PsOKErFMZe5Dvf993v7vpm32iyE84rMBUtLnJKhOFQK7Ou6M+Xuy9T&#10;SnxgpmYajKjoQXh6M//86bq1M1HCBnQtHEEnxs9aW9FNCHaWZZ5vRMP8BVhhUCjBNSwg69ZZ7ViL&#10;3hudlXn+NWvB1dYBF97j39tOSOfJv5SCh0cpvQhEVxRzC+l16V3FN5tfs9naMbtRvE+D/UMWDVMG&#10;gw6ubllgZOvUX64axR14kOGCQ5OBlIqLVANWU+RvqnneMCtSLdgcb4c2+f/nlj/snhxRdUWno3w6&#10;Kq8mBSWGNTiqRx7YGgw5CbBZrfUztHm2T67nPJKx8r10TfxiTWSfGnwYGiz2gXD8iRPLywklHEXF&#10;NL+6nMQBZCdj63z4JqAhkagodCmkzrLdvQ+d9lErhvOgVX2ntE6MW6+W2pEdw3EvlxgtTRgDnKll&#10;sYYu60SFgxbRWJsfQmIrMM8iRUwgFIM/xrkwoewzTtrRTGLswXD0sWGvH01FAuhgXH5sPFikyGDC&#10;YNwoA+49BzoUfcqy08eGn9UdyRXUB0SBg249vOV3Cvt/z3x4Yg73ATcHdzw84iM1tDiYnqJkA+73&#10;e/+jPsIUpZS0uF8V9b+2zAlK9HeDAL4qxuO4kIkZTy5LZNy5ZHUuMdtmCThTBCdml8ioH/SRlA6a&#10;VzwFixgVRcxwjF1RHtyRWYZu7/GYcLFYJDVcQsvCvXm2/Dj1CK6X/StztgdhQPQ+wHEX2ewNEDvd&#10;OA8Di20AqRJKT33t+40LnKDeH5t4Ic75pHU6ifM/AA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P09Xu94AgAAWg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054E51BD" w14:textId="0D7EF9E1" w:rsidR="00734B19" w:rsidRDefault="00734B19" w:rsidP="00734B19">
            <w:pPr>
              <w:rPr>
                <w:lang w:eastAsia="en-US"/>
              </w:rPr>
            </w:pPr>
            <w:r w:rsidRPr="00192064">
              <w:rPr>
                <w:b/>
                <w:lang w:eastAsia="en-US"/>
              </w:rPr>
              <w:t>Mandatory</w:t>
            </w:r>
            <w:r>
              <w:rPr>
                <w:lang w:eastAsia="en-US"/>
              </w:rPr>
              <w:t>:  Azure AD requires that the key size of the token signing certificate is a minimum of 2048 bits.</w:t>
            </w:r>
          </w:p>
        </w:tc>
      </w:tr>
    </w:tbl>
    <w:p w14:paraId="6F7E8A0A" w14:textId="02F1BBA2" w:rsidR="00C36705" w:rsidRPr="00786048" w:rsidRDefault="00C36705" w:rsidP="00C36705">
      <w:pPr>
        <w:rPr>
          <w:b/>
        </w:rPr>
      </w:pPr>
      <w:r w:rsidRPr="00786048">
        <w:rPr>
          <w:b/>
        </w:rPr>
        <w:t>Web Application Proxy Servers</w:t>
      </w:r>
    </w:p>
    <w:p w14:paraId="1D219000" w14:textId="5473225B" w:rsidR="004214DB" w:rsidRDefault="004214DB" w:rsidP="004214DB">
      <w:r>
        <w:t>In the context of Azure AD, the Web Application Proxy role is basically an edge role for the AD FS implementation on-premises. Using the Web Application proxy has the following benefits for customers:</w:t>
      </w:r>
    </w:p>
    <w:p w14:paraId="18D592F3" w14:textId="0998D90F" w:rsidR="004214DB" w:rsidRDefault="004214DB" w:rsidP="005729D2">
      <w:pPr>
        <w:pStyle w:val="ListBullet"/>
        <w:numPr>
          <w:ilvl w:val="0"/>
          <w:numId w:val="118"/>
        </w:numPr>
      </w:pPr>
      <w:r>
        <w:t>Provides a layer of network insulation from the Internet so that users outside the network aren’t hitting the AD FS servers directly</w:t>
      </w:r>
    </w:p>
    <w:p w14:paraId="3DDD21CF" w14:textId="77777777" w:rsidR="00786048" w:rsidRDefault="00786048" w:rsidP="005729D2">
      <w:pPr>
        <w:pStyle w:val="ListBullet"/>
        <w:numPr>
          <w:ilvl w:val="0"/>
          <w:numId w:val="118"/>
        </w:numPr>
      </w:pPr>
      <w:r>
        <w:t>Provides a soft-account lockout capability (the user is locked out from the proxy server, but not from their Active Directory account) so that an attacker on the Internet cannot lock out internal user accounts</w:t>
      </w:r>
    </w:p>
    <w:p w14:paraId="6766D2BF" w14:textId="77777777" w:rsidR="00786048" w:rsidRDefault="00786048" w:rsidP="005729D2">
      <w:pPr>
        <w:pStyle w:val="ListBullet"/>
        <w:numPr>
          <w:ilvl w:val="0"/>
          <w:numId w:val="118"/>
        </w:numPr>
      </w:pPr>
      <w:r>
        <w:t>Allows you to split the authentication method being used, based on where the connection is coming from (for example, use Forms Authentication for users over the Internet, but use Windows Authentication for users on the corporate network)</w:t>
      </w:r>
    </w:p>
    <w:p w14:paraId="226F7CF7" w14:textId="6EAFCD57" w:rsidR="004214DB" w:rsidRDefault="00786048" w:rsidP="005729D2">
      <w:pPr>
        <w:pStyle w:val="ListBullet"/>
        <w:numPr>
          <w:ilvl w:val="0"/>
          <w:numId w:val="118"/>
        </w:numPr>
      </w:pPr>
      <w:r>
        <w:t>Provides location-awareness to AD FS, so that decisions can be made based on whether the user is on the corporate intranet</w:t>
      </w:r>
      <w:r w:rsidR="004214DB">
        <w:t>.</w:t>
      </w:r>
    </w:p>
    <w:p w14:paraId="73E6DFD2" w14:textId="4F177B35" w:rsidR="00786048" w:rsidRDefault="004214DB" w:rsidP="00786048">
      <w:r>
        <w:t>Because</w:t>
      </w:r>
      <w:r w:rsidR="00786048">
        <w:t xml:space="preserve"> of these benefits, we typically recommend using the Web Application Proxy role with an AD FS deployment that interacts with Azure Active Directory.</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786048" w14:paraId="0D21896D" w14:textId="77777777" w:rsidTr="00B42154">
        <w:trPr>
          <w:trHeight w:val="423"/>
        </w:trPr>
        <w:tc>
          <w:tcPr>
            <w:tcW w:w="666" w:type="dxa"/>
          </w:tcPr>
          <w:p w14:paraId="7B255F9D" w14:textId="77777777" w:rsidR="00786048" w:rsidRDefault="00786048" w:rsidP="00B42154">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897856" behindDoc="0" locked="0" layoutInCell="1" allowOverlap="1" wp14:anchorId="1DA6E782" wp14:editId="270C2205">
                      <wp:simplePos x="0" y="0"/>
                      <wp:positionH relativeFrom="column">
                        <wp:posOffset>66675</wp:posOffset>
                      </wp:positionH>
                      <wp:positionV relativeFrom="paragraph">
                        <wp:posOffset>90170</wp:posOffset>
                      </wp:positionV>
                      <wp:extent cx="209550" cy="180975"/>
                      <wp:effectExtent l="57150" t="19050" r="57150" b="104775"/>
                      <wp:wrapNone/>
                      <wp:docPr id="830832948" name="Isosceles Triangle 8308329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118769E2" id="Isosceles Triangle 830832948" o:spid="_x0000_s1026" type="#_x0000_t5" style="position:absolute;margin-left:5.25pt;margin-top:7.1pt;width:16.5pt;height:14.25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YEijgIAAH8FAAAOAAAAZHJzL2Uyb0RvYy54bWysVG1r2zAQ/j7YfxD6vtpOkzYxdUpoySiE&#10;tqwd/azIUmIm6zRJiZP9+p3kl3RdoTDmD0Lne+50L8/d1fWhVmQvrKtAFzQ7SykRmkNZ6U1Bvz8v&#10;v0wpcZ7pkinQoqBH4ej1/POnq8bkYgRbUKWwBJ1olzemoFvvTZ4kjm9FzdwZGKFRKcHWzKNoN0lp&#10;WYPea5WM0vQiacCWxgIXzuHf21ZJ59G/lIL7Bymd8EQVFGPz8bTxXIczmV+xfGOZ2Va8C4P9QxQ1&#10;qzQ+Ori6ZZ6Rna3+clVX3IID6c841AlIWXERc8BssvRNNk9bZkTMBYvjzFAm9//c8vv9oyVVWdDp&#10;eTo9H83G2DDNamzVnQPHhRKOPNuK6Y0S5ITBujXG5Wj+ZB5tyNyZFfAfDhXJH5oguA5zkLYOWMyb&#10;HGITjkMTxMETjj9H6WwywVZxVGXTdHY5CU1KWN4bG+v8VwE1CZeC+i64WH62XznfwntYjA1UVS4r&#10;paJgN+sbZcmeISeW+KWRBviCO8FiDm3YMQF/VCIYK/1NSKwXBprFFyNTxeCPcS60v+hCjuhgJvHt&#10;wfD8Y8MOH0xFZPFgPPrYeLCIL4P2g3FdabDvOVA+60KWLb7romvzDiVYQ3lEqlhoZ8gZvqywASvm&#10;/COzODTYM1wE/gEPqaApKHQ3SrZgf733P+CRy6ilpMEhLKj7uWNWUKLuNLJ8lo3HYWqjMJ5cjlCw&#10;rzXr1xq9q28Ae5rhyjE8XgPeq/4qLdQvuC8W4VVUMc3x7YJyb3vhxrfLATcOF4tFhOGkGuZX+snw&#10;vuuBXM+HF2ZNz0Kk7z30A8vyN0RssaEfGhY7D7KKLD3Vtas3TnnkereRwhp5LUfUaW/OfwM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TY2BIo4CAA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63D212A1" w14:textId="77777777" w:rsidR="00786048" w:rsidRDefault="00786048" w:rsidP="00B42154">
            <w:pPr>
              <w:rPr>
                <w:lang w:eastAsia="en-US"/>
              </w:rPr>
            </w:pPr>
            <w:r>
              <w:rPr>
                <w:rFonts w:eastAsiaTheme="minorHAnsi"/>
                <w:b/>
                <w:lang w:eastAsia="en-US"/>
              </w:rPr>
              <w:t xml:space="preserve">Recommended: </w:t>
            </w:r>
            <w:r>
              <w:rPr>
                <w:rFonts w:eastAsiaTheme="minorHAnsi"/>
                <w:lang w:eastAsia="en-US"/>
              </w:rPr>
              <w:t>It is very rare to not include Web Application Proxy servers in the AD FS deployment for Azure AD. We recommend that they be implemented unless you have a sound reason for not wanting to do so.</w:t>
            </w:r>
          </w:p>
        </w:tc>
      </w:tr>
    </w:tbl>
    <w:p w14:paraId="5AA1D364" w14:textId="77777777" w:rsidR="00786048" w:rsidRDefault="00786048" w:rsidP="00786048">
      <w:r>
        <w:t>Although Web Application Proxy servers can handle a heavier load than AD FS, we generally recommend that you deploy Web Application Proxy servers in a 1:1 relationship with AD FS servers. For example, if an organization has three AD FS servers on the intranet, it’s a good idea to start with three Web Application Proxy servers in the extranet. You can monitor the performance of the Web Application Proxy servers and determine if you can remove some of the servers from the load balancer, based on the utilization metrics of the servers.</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786048" w14:paraId="2C28585F" w14:textId="77777777" w:rsidTr="00B42154">
        <w:trPr>
          <w:trHeight w:val="423"/>
        </w:trPr>
        <w:tc>
          <w:tcPr>
            <w:tcW w:w="666" w:type="dxa"/>
          </w:tcPr>
          <w:p w14:paraId="0D379765" w14:textId="77777777" w:rsidR="00786048" w:rsidRDefault="00786048" w:rsidP="00B42154">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892736" behindDoc="0" locked="0" layoutInCell="1" allowOverlap="1" wp14:anchorId="1781F1B6" wp14:editId="6F228910">
                      <wp:simplePos x="0" y="0"/>
                      <wp:positionH relativeFrom="column">
                        <wp:posOffset>66675</wp:posOffset>
                      </wp:positionH>
                      <wp:positionV relativeFrom="paragraph">
                        <wp:posOffset>90170</wp:posOffset>
                      </wp:positionV>
                      <wp:extent cx="209550" cy="180975"/>
                      <wp:effectExtent l="57150" t="19050" r="57150" b="104775"/>
                      <wp:wrapNone/>
                      <wp:docPr id="830832947" name="Isosceles Triangle 8308329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5F454B8C" id="Isosceles Triangle 830832947" o:spid="_x0000_s1026" type="#_x0000_t5" style="position:absolute;margin-left:5.25pt;margin-top:7.1pt;width:16.5pt;height:14.25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ZyljgIAAH8FAAAOAAAAZHJzL2Uyb0RvYy54bWysVG1r2zAQ/j7YfxD6vtpOkzYxdUpoySiE&#10;tqwd/azIUmIm6zRJiZP9+p3kl3RdoTDmD0Lne+50L8/d1fWhVmQvrKtAFzQ7SykRmkNZ6U1Bvz8v&#10;v0wpcZ7pkinQoqBH4ej1/POnq8bkYgRbUKWwBJ1olzemoFvvTZ4kjm9FzdwZGKFRKcHWzKNoN0lp&#10;WYPea5WM0vQiacCWxgIXzuHf21ZJ59G/lIL7Bymd8EQVFGPz8bTxXIczmV+xfGOZ2Va8C4P9QxQ1&#10;qzQ+Ori6ZZ6Rna3+clVX3IID6c841AlIWXERc8BssvRNNk9bZkTMBYvjzFAm9//c8vv9oyVVWdDp&#10;eTo9H83Gl5RoVmOr7hw4LpRw5NlWTG+UICcM1q0xLkfzJ/NoQ+bOrID/cKhI/tAEwXWYg7R1wGLe&#10;5BCbcByaIA6ecPw5SmeTCbaKoyqbprPLSWhSwvLe2FjnvwqoSbgU1HfBxfKz/cr5Ft7DYmygqnJZ&#10;KRUFu1nfKEv2DDmxxC+NNMAX3AkWc2jDjgn4oxLBWOlvQmK9MNAsvhiZKgZ/jHOh/UUXckQHM4lv&#10;D4bnHxt2+GAqIosH49HHxoNFfBm0H4zrSoN9z4HyWReybPFdF12bdyjBGsojUsVCO0PO8GWFDVgx&#10;5x+ZxaHBnuEi8A94SAVNQaG7UbIF++u9/wGPXEYtJQ0OYUHdzx2zghJ1p5Hls2w8DlMbhfHkcoSC&#10;fa1Zv9boXX0D2NMMV47h8RrwXvVXaaF+wX2xCK+iimmObxeUe9sLN75dDrhxuFgsIgwn1TC/0k+G&#10;910P5Ho+vDBrehYife+hH1iWvyFiiw390LDYeZBVZOmprl29ccoj17uNFNbIazmiTntz/hs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T42cpY4CAA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28B7BF08" w14:textId="77777777" w:rsidR="00786048" w:rsidRDefault="00786048" w:rsidP="00B42154">
            <w:pPr>
              <w:rPr>
                <w:lang w:eastAsia="en-US"/>
              </w:rPr>
            </w:pPr>
            <w:r>
              <w:rPr>
                <w:rFonts w:eastAsiaTheme="minorHAnsi"/>
                <w:b/>
                <w:lang w:eastAsia="en-US"/>
              </w:rPr>
              <w:t xml:space="preserve">Recommended: </w:t>
            </w:r>
            <w:r>
              <w:rPr>
                <w:rFonts w:eastAsiaTheme="minorHAnsi"/>
                <w:lang w:eastAsia="en-US"/>
              </w:rPr>
              <w:t>As a general rule, we recommend starting with an equal number of Web Application Proxy servers and AD FS servers.</w:t>
            </w:r>
          </w:p>
        </w:tc>
      </w:tr>
    </w:tbl>
    <w:p w14:paraId="22D2EC69" w14:textId="77777777" w:rsidR="00786048" w:rsidRPr="00677BCC" w:rsidRDefault="00786048" w:rsidP="00786048">
      <w:pPr>
        <w:rPr>
          <w:b/>
        </w:rPr>
      </w:pPr>
      <w:r w:rsidRPr="00677BCC">
        <w:rPr>
          <w:b/>
        </w:rPr>
        <w:t>High Availability</w:t>
      </w:r>
    </w:p>
    <w:p w14:paraId="10C43EF4" w14:textId="77777777" w:rsidR="00786048" w:rsidRDefault="00786048" w:rsidP="00786048">
      <w:r>
        <w:t xml:space="preserve">AD FS is a web application and a web service, so making it highly available and responsive to client requests consists of using traditional web-based load balancing methods. We’ve performed AD FS deployments with most of the major load-balancer manufacturers on the market. </w:t>
      </w:r>
    </w:p>
    <w:p w14:paraId="04A8F6C5" w14:textId="53AFE311" w:rsidR="00BD67DA" w:rsidRDefault="00786048" w:rsidP="00786048">
      <w:r>
        <w:t>Some of the load balancers we’ve used are Citrix Netscaler, F5 BigIP, and Windows Network Load Balancing. We’ve found that most load-balancing manufacturers have specific guidelines for integrating AD FS with their products</w:t>
      </w:r>
      <w:r w:rsidR="004C72D5">
        <w:t>.</w:t>
      </w:r>
      <w:r w:rsidR="00C93072">
        <w:t xml:space="preserve"> </w:t>
      </w:r>
    </w:p>
    <w:p w14:paraId="09219985" w14:textId="77777777" w:rsidR="00BD67DA" w:rsidRDefault="00BD67DA">
      <w:pPr>
        <w:spacing w:before="0" w:after="160" w:line="259" w:lineRule="auto"/>
      </w:pPr>
      <w:r>
        <w:br w:type="page"/>
      </w:r>
    </w:p>
    <w:p w14:paraId="43EE68C2" w14:textId="285612F2" w:rsidR="004C72D5" w:rsidRDefault="00C93072" w:rsidP="004C72D5">
      <w:r>
        <w:t xml:space="preserve">The following diagram illustrates what a common load-balancing architecture for AD FS looks like. </w:t>
      </w:r>
    </w:p>
    <w:p w14:paraId="51BD4A35" w14:textId="67C4A84A" w:rsidR="00C93072" w:rsidRDefault="00C93072" w:rsidP="00C93072">
      <w:pPr>
        <w:jc w:val="center"/>
      </w:pPr>
      <w:r w:rsidRPr="00C93072">
        <w:rPr>
          <w:noProof/>
        </w:rPr>
        <w:drawing>
          <wp:inline distT="0" distB="0" distL="0" distR="0" wp14:anchorId="2C90435F" wp14:editId="72B0DAC5">
            <wp:extent cx="2703846" cy="5839315"/>
            <wp:effectExtent l="0" t="0" r="1270" b="0"/>
            <wp:docPr id="830832949" name="Picture 83083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2706767" cy="5845623"/>
                    </a:xfrm>
                    <a:prstGeom prst="rect">
                      <a:avLst/>
                    </a:prstGeom>
                    <a:noFill/>
                    <a:ln>
                      <a:noFill/>
                    </a:ln>
                  </pic:spPr>
                </pic:pic>
              </a:graphicData>
            </a:graphic>
          </wp:inline>
        </w:drawing>
      </w:r>
    </w:p>
    <w:p w14:paraId="50505617" w14:textId="77777777" w:rsidR="00786048" w:rsidRDefault="00786048" w:rsidP="00786048">
      <w:r>
        <w:t>AD FS supports active/active load balancing within a network segment, and it is 100% stateless. This means that persistent connections (sticky connections) are not needed at the load balancer. This simplifies the load balancer configuration to the point where you only have to select the load balancing algorithm to be used.</w:t>
      </w:r>
    </w:p>
    <w:p w14:paraId="35039403" w14:textId="77777777" w:rsidR="00786048" w:rsidRDefault="00786048" w:rsidP="00786048">
      <w:pPr>
        <w:rPr>
          <w:u w:val="single"/>
        </w:rPr>
      </w:pPr>
    </w:p>
    <w:p w14:paraId="655200E4" w14:textId="77777777" w:rsidR="00786048" w:rsidRPr="00677BCC" w:rsidRDefault="00786048" w:rsidP="00786048">
      <w:pPr>
        <w:rPr>
          <w:b/>
        </w:rPr>
      </w:pPr>
      <w:r w:rsidRPr="00677BCC">
        <w:rPr>
          <w:b/>
        </w:rPr>
        <w:t>Database Selection</w:t>
      </w:r>
    </w:p>
    <w:p w14:paraId="36E28489" w14:textId="15F927D0" w:rsidR="00572500" w:rsidRDefault="00786048" w:rsidP="00786048">
      <w:r>
        <w:t>AD FS has the ability to use a database that is hosted on a full deployment of SQL Server or it can use an internal database known as the Windows Internal Database (WID). The following table provides a comparison of these options</w:t>
      </w:r>
      <w:r w:rsidR="00572500">
        <w:t>:</w:t>
      </w:r>
    </w:p>
    <w:tbl>
      <w:tblPr>
        <w:tblStyle w:val="PlainTable11"/>
        <w:tblW w:w="0" w:type="auto"/>
        <w:tblLook w:val="04A0" w:firstRow="1" w:lastRow="0" w:firstColumn="1" w:lastColumn="0" w:noHBand="0" w:noVBand="1"/>
      </w:tblPr>
      <w:tblGrid>
        <w:gridCol w:w="1979"/>
        <w:gridCol w:w="3595"/>
        <w:gridCol w:w="3776"/>
      </w:tblGrid>
      <w:tr w:rsidR="00572500" w14:paraId="4E81D810" w14:textId="7650BD6D" w:rsidTr="0078604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dxa"/>
            <w:shd w:val="clear" w:color="auto" w:fill="808080" w:themeFill="background1" w:themeFillShade="80"/>
          </w:tcPr>
          <w:p w14:paraId="5A857FBA" w14:textId="2C4EE989" w:rsidR="00572500" w:rsidRPr="00F47607" w:rsidRDefault="00572500" w:rsidP="004C044D">
            <w:pPr>
              <w:spacing w:line="240" w:lineRule="auto"/>
              <w:rPr>
                <w:color w:val="FFFFFF"/>
              </w:rPr>
            </w:pPr>
            <w:r>
              <w:rPr>
                <w:color w:val="FFFFFF"/>
              </w:rPr>
              <w:t>Consideration</w:t>
            </w:r>
          </w:p>
        </w:tc>
        <w:tc>
          <w:tcPr>
            <w:tcW w:w="3595" w:type="dxa"/>
            <w:shd w:val="clear" w:color="auto" w:fill="808080" w:themeFill="background1" w:themeFillShade="80"/>
          </w:tcPr>
          <w:p w14:paraId="7898D051" w14:textId="27F30CE7" w:rsidR="00572500" w:rsidRDefault="00572500" w:rsidP="004C044D">
            <w:pPr>
              <w:spacing w:line="240" w:lineRule="auto"/>
              <w:cnfStyle w:val="100000000000" w:firstRow="1" w:lastRow="0" w:firstColumn="0" w:lastColumn="0" w:oddVBand="0" w:evenVBand="0" w:oddHBand="0" w:evenHBand="0" w:firstRowFirstColumn="0" w:firstRowLastColumn="0" w:lastRowFirstColumn="0" w:lastRowLastColumn="0"/>
              <w:rPr>
                <w:color w:val="FFFFFF"/>
              </w:rPr>
            </w:pPr>
            <w:r>
              <w:rPr>
                <w:color w:val="FFFFFF"/>
              </w:rPr>
              <w:t>SQL</w:t>
            </w:r>
            <w:r w:rsidR="00147FC0">
              <w:rPr>
                <w:color w:val="FFFFFF"/>
              </w:rPr>
              <w:t xml:space="preserve"> Server</w:t>
            </w:r>
          </w:p>
        </w:tc>
        <w:tc>
          <w:tcPr>
            <w:tcW w:w="3776" w:type="dxa"/>
            <w:shd w:val="clear" w:color="auto" w:fill="808080" w:themeFill="background1" w:themeFillShade="80"/>
          </w:tcPr>
          <w:p w14:paraId="127FE4F4" w14:textId="38B9A4F2" w:rsidR="00572500" w:rsidRDefault="00572500" w:rsidP="004C044D">
            <w:pPr>
              <w:spacing w:line="240" w:lineRule="auto"/>
              <w:cnfStyle w:val="100000000000" w:firstRow="1" w:lastRow="0" w:firstColumn="0" w:lastColumn="0" w:oddVBand="0" w:evenVBand="0" w:oddHBand="0" w:evenHBand="0" w:firstRowFirstColumn="0" w:firstRowLastColumn="0" w:lastRowFirstColumn="0" w:lastRowLastColumn="0"/>
              <w:rPr>
                <w:color w:val="FFFFFF"/>
              </w:rPr>
            </w:pPr>
            <w:r>
              <w:rPr>
                <w:color w:val="FFFFFF"/>
              </w:rPr>
              <w:t>WID</w:t>
            </w:r>
          </w:p>
        </w:tc>
      </w:tr>
      <w:tr w:rsidR="00786048" w14:paraId="2A2965E4" w14:textId="4F7F1CE9" w:rsidTr="007860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dxa"/>
          </w:tcPr>
          <w:p w14:paraId="5CE722A8" w14:textId="6FD9C0C2" w:rsidR="00786048" w:rsidRPr="00B814EA" w:rsidRDefault="00786048" w:rsidP="00786048">
            <w:pPr>
              <w:rPr>
                <w:sz w:val="18"/>
                <w:szCs w:val="18"/>
              </w:rPr>
            </w:pPr>
            <w:r w:rsidRPr="00057354">
              <w:rPr>
                <w:sz w:val="20"/>
                <w:szCs w:val="20"/>
              </w:rPr>
              <w:t>Database availability</w:t>
            </w:r>
          </w:p>
        </w:tc>
        <w:tc>
          <w:tcPr>
            <w:tcW w:w="3595" w:type="dxa"/>
          </w:tcPr>
          <w:p w14:paraId="61B8E593" w14:textId="0C9C9158" w:rsidR="00786048" w:rsidRPr="00B814EA" w:rsidRDefault="00786048" w:rsidP="00786048">
            <w:pPr>
              <w:cnfStyle w:val="000000100000" w:firstRow="0" w:lastRow="0" w:firstColumn="0" w:lastColumn="0" w:oddVBand="0" w:evenVBand="0" w:oddHBand="1" w:evenHBand="0" w:firstRowFirstColumn="0" w:firstRowLastColumn="0" w:lastRowFirstColumn="0" w:lastRowLastColumn="0"/>
              <w:rPr>
                <w:sz w:val="18"/>
                <w:szCs w:val="18"/>
              </w:rPr>
            </w:pPr>
            <w:r w:rsidRPr="00057354">
              <w:rPr>
                <w:sz w:val="20"/>
                <w:szCs w:val="20"/>
              </w:rPr>
              <w:t>Capable of active/active deployments, with multiple database nodes having write capabilities</w:t>
            </w:r>
          </w:p>
        </w:tc>
        <w:tc>
          <w:tcPr>
            <w:tcW w:w="3776" w:type="dxa"/>
          </w:tcPr>
          <w:p w14:paraId="5A85004B" w14:textId="785D5525" w:rsidR="00786048" w:rsidRPr="00B814EA" w:rsidRDefault="00786048" w:rsidP="00786048">
            <w:pPr>
              <w:cnfStyle w:val="000000100000" w:firstRow="0" w:lastRow="0" w:firstColumn="0" w:lastColumn="0" w:oddVBand="0" w:evenVBand="0" w:oddHBand="1" w:evenHBand="0" w:firstRowFirstColumn="0" w:firstRowLastColumn="0" w:lastRowFirstColumn="0" w:lastRowLastColumn="0"/>
              <w:rPr>
                <w:sz w:val="18"/>
                <w:szCs w:val="18"/>
              </w:rPr>
            </w:pPr>
            <w:r w:rsidRPr="00057354">
              <w:rPr>
                <w:sz w:val="20"/>
                <w:szCs w:val="20"/>
              </w:rPr>
              <w:t xml:space="preserve">Active/active deployment, but only one node can write to the database—all other </w:t>
            </w:r>
            <w:r>
              <w:rPr>
                <w:sz w:val="20"/>
                <w:szCs w:val="20"/>
              </w:rPr>
              <w:t>n</w:t>
            </w:r>
            <w:r w:rsidRPr="00057354">
              <w:rPr>
                <w:sz w:val="20"/>
                <w:szCs w:val="20"/>
              </w:rPr>
              <w:t xml:space="preserve">odes are Read-only </w:t>
            </w:r>
          </w:p>
        </w:tc>
      </w:tr>
      <w:tr w:rsidR="00786048" w14:paraId="65FA2E32" w14:textId="77777777" w:rsidTr="00786048">
        <w:tc>
          <w:tcPr>
            <w:cnfStyle w:val="001000000000" w:firstRow="0" w:lastRow="0" w:firstColumn="1" w:lastColumn="0" w:oddVBand="0" w:evenVBand="0" w:oddHBand="0" w:evenHBand="0" w:firstRowFirstColumn="0" w:firstRowLastColumn="0" w:lastRowFirstColumn="0" w:lastRowLastColumn="0"/>
            <w:tcW w:w="1979" w:type="dxa"/>
          </w:tcPr>
          <w:p w14:paraId="3243B8A0" w14:textId="01FAB0D1" w:rsidR="00786048" w:rsidRDefault="00786048" w:rsidP="00786048">
            <w:pPr>
              <w:rPr>
                <w:sz w:val="18"/>
                <w:szCs w:val="18"/>
              </w:rPr>
            </w:pPr>
            <w:r w:rsidRPr="00057354">
              <w:rPr>
                <w:sz w:val="20"/>
                <w:szCs w:val="20"/>
              </w:rPr>
              <w:t>Replication</w:t>
            </w:r>
          </w:p>
        </w:tc>
        <w:tc>
          <w:tcPr>
            <w:tcW w:w="3595" w:type="dxa"/>
          </w:tcPr>
          <w:p w14:paraId="6B0E952F" w14:textId="76820C3C" w:rsidR="00786048" w:rsidRPr="00B814EA" w:rsidRDefault="00786048" w:rsidP="00786048">
            <w:pPr>
              <w:cnfStyle w:val="000000000000" w:firstRow="0" w:lastRow="0" w:firstColumn="0" w:lastColumn="0" w:oddVBand="0" w:evenVBand="0" w:oddHBand="0" w:evenHBand="0" w:firstRowFirstColumn="0" w:firstRowLastColumn="0" w:lastRowFirstColumn="0" w:lastRowLastColumn="0"/>
              <w:rPr>
                <w:sz w:val="18"/>
                <w:szCs w:val="18"/>
              </w:rPr>
            </w:pPr>
            <w:r w:rsidRPr="00057354">
              <w:rPr>
                <w:sz w:val="20"/>
                <w:szCs w:val="20"/>
              </w:rPr>
              <w:t>Any supported SQL replication option</w:t>
            </w:r>
          </w:p>
        </w:tc>
        <w:tc>
          <w:tcPr>
            <w:tcW w:w="3776" w:type="dxa"/>
          </w:tcPr>
          <w:p w14:paraId="297E1BB8" w14:textId="35738D3E" w:rsidR="00786048" w:rsidRPr="00B814EA" w:rsidRDefault="00786048" w:rsidP="00786048">
            <w:pPr>
              <w:cnfStyle w:val="000000000000" w:firstRow="0" w:lastRow="0" w:firstColumn="0" w:lastColumn="0" w:oddVBand="0" w:evenVBand="0" w:oddHBand="0" w:evenHBand="0" w:firstRowFirstColumn="0" w:firstRowLastColumn="0" w:lastRowFirstColumn="0" w:lastRowLastColumn="0"/>
              <w:rPr>
                <w:sz w:val="18"/>
                <w:szCs w:val="18"/>
              </w:rPr>
            </w:pPr>
            <w:r w:rsidRPr="00057354">
              <w:rPr>
                <w:sz w:val="20"/>
                <w:szCs w:val="20"/>
              </w:rPr>
              <w:t>Uses a primary/secondary replication methodology, with replication occurring at five-minute intervals</w:t>
            </w:r>
          </w:p>
        </w:tc>
      </w:tr>
      <w:tr w:rsidR="00786048" w14:paraId="024B61E1" w14:textId="77777777" w:rsidTr="007860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dxa"/>
          </w:tcPr>
          <w:p w14:paraId="21E4AEDC" w14:textId="311D7AD3" w:rsidR="00786048" w:rsidRDefault="00786048" w:rsidP="00786048">
            <w:pPr>
              <w:rPr>
                <w:sz w:val="18"/>
                <w:szCs w:val="18"/>
              </w:rPr>
            </w:pPr>
            <w:r w:rsidRPr="00057354">
              <w:rPr>
                <w:sz w:val="20"/>
                <w:szCs w:val="20"/>
              </w:rPr>
              <w:t>Performance</w:t>
            </w:r>
          </w:p>
        </w:tc>
        <w:tc>
          <w:tcPr>
            <w:tcW w:w="3595" w:type="dxa"/>
          </w:tcPr>
          <w:p w14:paraId="5D14F088" w14:textId="6E3F8A94" w:rsidR="00786048" w:rsidRPr="00B814EA" w:rsidRDefault="00786048" w:rsidP="00786048">
            <w:pPr>
              <w:cnfStyle w:val="000000100000" w:firstRow="0" w:lastRow="0" w:firstColumn="0" w:lastColumn="0" w:oddVBand="0" w:evenVBand="0" w:oddHBand="1" w:evenHBand="0" w:firstRowFirstColumn="0" w:firstRowLastColumn="0" w:lastRowFirstColumn="0" w:lastRowLastColumn="0"/>
              <w:rPr>
                <w:sz w:val="18"/>
                <w:szCs w:val="18"/>
              </w:rPr>
            </w:pPr>
            <w:r w:rsidRPr="00057354">
              <w:rPr>
                <w:sz w:val="20"/>
                <w:szCs w:val="20"/>
              </w:rPr>
              <w:t>Can provide very high performance, which is good for environments consisting of hundreds of thousands of users and more than 100 applications integrated with AD FS</w:t>
            </w:r>
          </w:p>
        </w:tc>
        <w:tc>
          <w:tcPr>
            <w:tcW w:w="3776" w:type="dxa"/>
          </w:tcPr>
          <w:p w14:paraId="075C7D9B" w14:textId="1E38F12C" w:rsidR="00786048" w:rsidRPr="00B814EA" w:rsidRDefault="00786048" w:rsidP="00786048">
            <w:pPr>
              <w:cnfStyle w:val="000000100000" w:firstRow="0" w:lastRow="0" w:firstColumn="0" w:lastColumn="0" w:oddVBand="0" w:evenVBand="0" w:oddHBand="1" w:evenHBand="0" w:firstRowFirstColumn="0" w:firstRowLastColumn="0" w:lastRowFirstColumn="0" w:lastRowLastColumn="0"/>
              <w:rPr>
                <w:sz w:val="18"/>
                <w:szCs w:val="18"/>
              </w:rPr>
            </w:pPr>
            <w:r w:rsidRPr="00057354">
              <w:rPr>
                <w:sz w:val="20"/>
                <w:szCs w:val="20"/>
              </w:rPr>
              <w:t>Performance is good, but not has high as SQL Server. If the customer has less than 100,000 users and is only using AD FS for Azure AD, this is a good option.</w:t>
            </w:r>
          </w:p>
        </w:tc>
      </w:tr>
      <w:tr w:rsidR="00786048" w14:paraId="136A859E" w14:textId="77777777" w:rsidTr="00786048">
        <w:tc>
          <w:tcPr>
            <w:cnfStyle w:val="001000000000" w:firstRow="0" w:lastRow="0" w:firstColumn="1" w:lastColumn="0" w:oddVBand="0" w:evenVBand="0" w:oddHBand="0" w:evenHBand="0" w:firstRowFirstColumn="0" w:firstRowLastColumn="0" w:lastRowFirstColumn="0" w:lastRowLastColumn="0"/>
            <w:tcW w:w="1979" w:type="dxa"/>
          </w:tcPr>
          <w:p w14:paraId="559B3881" w14:textId="627D51AF" w:rsidR="00786048" w:rsidRDefault="00786048" w:rsidP="00786048">
            <w:pPr>
              <w:rPr>
                <w:sz w:val="18"/>
                <w:szCs w:val="18"/>
              </w:rPr>
            </w:pPr>
            <w:r w:rsidRPr="00057354">
              <w:rPr>
                <w:sz w:val="20"/>
                <w:szCs w:val="20"/>
              </w:rPr>
              <w:t>Scalability</w:t>
            </w:r>
          </w:p>
        </w:tc>
        <w:tc>
          <w:tcPr>
            <w:tcW w:w="3595" w:type="dxa"/>
          </w:tcPr>
          <w:p w14:paraId="3ED39371" w14:textId="0F0440A8" w:rsidR="00786048" w:rsidRPr="00B814EA" w:rsidRDefault="00786048" w:rsidP="00786048">
            <w:pPr>
              <w:cnfStyle w:val="000000000000" w:firstRow="0" w:lastRow="0" w:firstColumn="0" w:lastColumn="0" w:oddVBand="0" w:evenVBand="0" w:oddHBand="0" w:evenHBand="0" w:firstRowFirstColumn="0" w:firstRowLastColumn="0" w:lastRowFirstColumn="0" w:lastRowLastColumn="0"/>
              <w:rPr>
                <w:sz w:val="18"/>
                <w:szCs w:val="18"/>
              </w:rPr>
            </w:pPr>
            <w:r w:rsidRPr="00057354">
              <w:rPr>
                <w:sz w:val="20"/>
                <w:szCs w:val="20"/>
              </w:rPr>
              <w:t>No restrictions on scalability; scales as high as SQL Server allows</w:t>
            </w:r>
          </w:p>
        </w:tc>
        <w:tc>
          <w:tcPr>
            <w:tcW w:w="3776" w:type="dxa"/>
          </w:tcPr>
          <w:p w14:paraId="55CC2313" w14:textId="4365BC29" w:rsidR="00786048" w:rsidRPr="00B814EA" w:rsidRDefault="00786048" w:rsidP="00786048">
            <w:pPr>
              <w:cnfStyle w:val="000000000000" w:firstRow="0" w:lastRow="0" w:firstColumn="0" w:lastColumn="0" w:oddVBand="0" w:evenVBand="0" w:oddHBand="0" w:evenHBand="0" w:firstRowFirstColumn="0" w:firstRowLastColumn="0" w:lastRowFirstColumn="0" w:lastRowLastColumn="0"/>
              <w:rPr>
                <w:sz w:val="18"/>
                <w:szCs w:val="18"/>
              </w:rPr>
            </w:pPr>
            <w:r w:rsidRPr="00057354">
              <w:rPr>
                <w:sz w:val="20"/>
                <w:szCs w:val="20"/>
              </w:rPr>
              <w:t>Soft limit of 10 servers in the AD FS farm</w:t>
            </w:r>
          </w:p>
        </w:tc>
      </w:tr>
      <w:tr w:rsidR="00786048" w14:paraId="0AEE1124" w14:textId="77777777" w:rsidTr="007860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dxa"/>
          </w:tcPr>
          <w:p w14:paraId="3492F0DB" w14:textId="0B817637" w:rsidR="00786048" w:rsidRDefault="00786048" w:rsidP="00786048">
            <w:pPr>
              <w:rPr>
                <w:sz w:val="18"/>
                <w:szCs w:val="18"/>
              </w:rPr>
            </w:pPr>
            <w:r w:rsidRPr="00057354">
              <w:rPr>
                <w:sz w:val="20"/>
                <w:szCs w:val="20"/>
              </w:rPr>
              <w:t>Location</w:t>
            </w:r>
          </w:p>
        </w:tc>
        <w:tc>
          <w:tcPr>
            <w:tcW w:w="3595" w:type="dxa"/>
          </w:tcPr>
          <w:p w14:paraId="042EE2D2" w14:textId="36EFAE66" w:rsidR="00786048" w:rsidRPr="00B814EA" w:rsidRDefault="00786048" w:rsidP="00786048">
            <w:pPr>
              <w:cnfStyle w:val="000000100000" w:firstRow="0" w:lastRow="0" w:firstColumn="0" w:lastColumn="0" w:oddVBand="0" w:evenVBand="0" w:oddHBand="1" w:evenHBand="0" w:firstRowFirstColumn="0" w:firstRowLastColumn="0" w:lastRowFirstColumn="0" w:lastRowLastColumn="0"/>
              <w:rPr>
                <w:sz w:val="18"/>
                <w:szCs w:val="18"/>
              </w:rPr>
            </w:pPr>
            <w:r w:rsidRPr="00057354">
              <w:rPr>
                <w:sz w:val="20"/>
                <w:szCs w:val="20"/>
              </w:rPr>
              <w:t>Can be stored on separate, dedicated database servers, which can be used to increase performance</w:t>
            </w:r>
          </w:p>
        </w:tc>
        <w:tc>
          <w:tcPr>
            <w:tcW w:w="3776" w:type="dxa"/>
          </w:tcPr>
          <w:p w14:paraId="15C03CED" w14:textId="05C64C9D" w:rsidR="00786048" w:rsidRPr="00B814EA" w:rsidRDefault="00786048" w:rsidP="00786048">
            <w:pPr>
              <w:cnfStyle w:val="000000100000" w:firstRow="0" w:lastRow="0" w:firstColumn="0" w:lastColumn="0" w:oddVBand="0" w:evenVBand="0" w:oddHBand="1" w:evenHBand="0" w:firstRowFirstColumn="0" w:firstRowLastColumn="0" w:lastRowFirstColumn="0" w:lastRowLastColumn="0"/>
              <w:rPr>
                <w:sz w:val="18"/>
                <w:szCs w:val="18"/>
              </w:rPr>
            </w:pPr>
            <w:r w:rsidRPr="00057354">
              <w:rPr>
                <w:sz w:val="20"/>
                <w:szCs w:val="20"/>
              </w:rPr>
              <w:t>Local copy resides on each AD FS server</w:t>
            </w:r>
          </w:p>
        </w:tc>
      </w:tr>
      <w:tr w:rsidR="00786048" w14:paraId="4E3612F5" w14:textId="77777777" w:rsidTr="00786048">
        <w:tc>
          <w:tcPr>
            <w:cnfStyle w:val="001000000000" w:firstRow="0" w:lastRow="0" w:firstColumn="1" w:lastColumn="0" w:oddVBand="0" w:evenVBand="0" w:oddHBand="0" w:evenHBand="0" w:firstRowFirstColumn="0" w:firstRowLastColumn="0" w:lastRowFirstColumn="0" w:lastRowLastColumn="0"/>
            <w:tcW w:w="1979" w:type="dxa"/>
          </w:tcPr>
          <w:p w14:paraId="512C35E3" w14:textId="78436D53" w:rsidR="00786048" w:rsidRDefault="00786048" w:rsidP="00786048">
            <w:pPr>
              <w:rPr>
                <w:sz w:val="18"/>
                <w:szCs w:val="18"/>
              </w:rPr>
            </w:pPr>
            <w:r w:rsidRPr="00057354">
              <w:rPr>
                <w:sz w:val="20"/>
                <w:szCs w:val="20"/>
              </w:rPr>
              <w:t>Complexity</w:t>
            </w:r>
          </w:p>
        </w:tc>
        <w:tc>
          <w:tcPr>
            <w:tcW w:w="3595" w:type="dxa"/>
          </w:tcPr>
          <w:p w14:paraId="281C3975" w14:textId="3D59C829" w:rsidR="00786048" w:rsidRDefault="00786048" w:rsidP="00786048">
            <w:pPr>
              <w:cnfStyle w:val="000000000000" w:firstRow="0" w:lastRow="0" w:firstColumn="0" w:lastColumn="0" w:oddVBand="0" w:evenVBand="0" w:oddHBand="0" w:evenHBand="0" w:firstRowFirstColumn="0" w:firstRowLastColumn="0" w:lastRowFirstColumn="0" w:lastRowLastColumn="0"/>
              <w:rPr>
                <w:sz w:val="18"/>
                <w:szCs w:val="18"/>
              </w:rPr>
            </w:pPr>
            <w:r w:rsidRPr="00057354">
              <w:rPr>
                <w:sz w:val="20"/>
                <w:szCs w:val="20"/>
              </w:rPr>
              <w:t>Can be very high in complexity (we’ve seen AD FS deployments where more than half of the project consisted of deploying SQL Server)</w:t>
            </w:r>
          </w:p>
        </w:tc>
        <w:tc>
          <w:tcPr>
            <w:tcW w:w="3776" w:type="dxa"/>
          </w:tcPr>
          <w:p w14:paraId="5DD4F7DF" w14:textId="6C570995" w:rsidR="00786048" w:rsidRDefault="00786048" w:rsidP="00786048">
            <w:pPr>
              <w:cnfStyle w:val="000000000000" w:firstRow="0" w:lastRow="0" w:firstColumn="0" w:lastColumn="0" w:oddVBand="0" w:evenVBand="0" w:oddHBand="0" w:evenHBand="0" w:firstRowFirstColumn="0" w:firstRowLastColumn="0" w:lastRowFirstColumn="0" w:lastRowLastColumn="0"/>
              <w:rPr>
                <w:sz w:val="18"/>
                <w:szCs w:val="18"/>
              </w:rPr>
            </w:pPr>
            <w:r w:rsidRPr="00057354">
              <w:rPr>
                <w:sz w:val="20"/>
                <w:szCs w:val="20"/>
              </w:rPr>
              <w:t>Very low and works with virtually no configuration necessary</w:t>
            </w:r>
          </w:p>
        </w:tc>
      </w:tr>
    </w:tbl>
    <w:p w14:paraId="16B1274D" w14:textId="0F541630" w:rsidR="00B52CDE" w:rsidRDefault="00786048" w:rsidP="00572500">
      <w:r>
        <w:t>Aside from the general recommendations, there are two situations where SQL Server may be required over the WID</w:t>
      </w:r>
      <w:r w:rsidR="00B52CDE">
        <w:t>:</w:t>
      </w:r>
    </w:p>
    <w:p w14:paraId="7EC7E439" w14:textId="77777777" w:rsidR="00147FC0" w:rsidRDefault="00147FC0"/>
    <w:tbl>
      <w:tblPr>
        <w:tblStyle w:val="PlainTable11"/>
        <w:tblW w:w="0" w:type="auto"/>
        <w:tblLook w:val="0420" w:firstRow="1" w:lastRow="0" w:firstColumn="0" w:lastColumn="0" w:noHBand="0" w:noVBand="1"/>
      </w:tblPr>
      <w:tblGrid>
        <w:gridCol w:w="1975"/>
        <w:gridCol w:w="7290"/>
      </w:tblGrid>
      <w:tr w:rsidR="00147FC0" w:rsidRPr="00970D41" w14:paraId="4180CA52" w14:textId="77777777" w:rsidTr="00970D41">
        <w:trPr>
          <w:cnfStyle w:val="100000000000" w:firstRow="1" w:lastRow="0" w:firstColumn="0" w:lastColumn="0" w:oddVBand="0" w:evenVBand="0" w:oddHBand="0" w:evenHBand="0" w:firstRowFirstColumn="0" w:firstRowLastColumn="0" w:lastRowFirstColumn="0" w:lastRowLastColumn="0"/>
        </w:trPr>
        <w:tc>
          <w:tcPr>
            <w:tcW w:w="1975" w:type="dxa"/>
            <w:shd w:val="clear" w:color="auto" w:fill="808080" w:themeFill="background1" w:themeFillShade="80"/>
            <w:hideMark/>
          </w:tcPr>
          <w:p w14:paraId="72E980EB" w14:textId="77777777" w:rsidR="00147FC0" w:rsidRPr="00970D41" w:rsidRDefault="00147FC0" w:rsidP="0059733A">
            <w:pPr>
              <w:spacing w:line="240" w:lineRule="auto"/>
              <w:rPr>
                <w:rFonts w:eastAsia="Calibri"/>
                <w:bCs w:val="0"/>
                <w:color w:val="FFFFFF"/>
                <w:szCs w:val="20"/>
                <w:lang w:eastAsia="en-AU"/>
              </w:rPr>
            </w:pPr>
            <w:r w:rsidRPr="00970D41">
              <w:rPr>
                <w:rFonts w:eastAsia="Calibri"/>
                <w:bCs w:val="0"/>
                <w:color w:val="FFFFFF"/>
                <w:szCs w:val="20"/>
                <w:lang w:eastAsia="en-AU"/>
              </w:rPr>
              <w:t>Scenario</w:t>
            </w:r>
          </w:p>
        </w:tc>
        <w:tc>
          <w:tcPr>
            <w:tcW w:w="7290" w:type="dxa"/>
            <w:shd w:val="clear" w:color="auto" w:fill="808080" w:themeFill="background1" w:themeFillShade="80"/>
            <w:hideMark/>
          </w:tcPr>
          <w:p w14:paraId="0303BD46" w14:textId="77777777" w:rsidR="00147FC0" w:rsidRPr="00970D41" w:rsidRDefault="00147FC0" w:rsidP="0059733A">
            <w:pPr>
              <w:spacing w:line="240" w:lineRule="auto"/>
              <w:rPr>
                <w:rFonts w:eastAsia="Calibri"/>
                <w:bCs w:val="0"/>
                <w:color w:val="FFFFFF"/>
                <w:szCs w:val="20"/>
                <w:lang w:eastAsia="en-AU"/>
              </w:rPr>
            </w:pPr>
            <w:r w:rsidRPr="00970D41">
              <w:rPr>
                <w:rFonts w:eastAsia="Calibri"/>
                <w:bCs w:val="0"/>
                <w:color w:val="FFFFFF"/>
                <w:szCs w:val="20"/>
                <w:lang w:eastAsia="en-AU"/>
              </w:rPr>
              <w:t>Description</w:t>
            </w:r>
          </w:p>
        </w:tc>
      </w:tr>
      <w:tr w:rsidR="00786048" w14:paraId="17980B41" w14:textId="77777777" w:rsidTr="00970D41">
        <w:trPr>
          <w:cnfStyle w:val="000000100000" w:firstRow="0" w:lastRow="0" w:firstColumn="0" w:lastColumn="0" w:oddVBand="0" w:evenVBand="0" w:oddHBand="1" w:evenHBand="0" w:firstRowFirstColumn="0" w:firstRowLastColumn="0" w:lastRowFirstColumn="0" w:lastRowLastColumn="0"/>
        </w:trPr>
        <w:tc>
          <w:tcPr>
            <w:tcW w:w="1975" w:type="dxa"/>
          </w:tcPr>
          <w:p w14:paraId="04DE85DC" w14:textId="20EAFADB" w:rsidR="00786048" w:rsidRPr="00BA0017" w:rsidRDefault="00786048" w:rsidP="00786048">
            <w:pPr>
              <w:rPr>
                <w:b/>
                <w:sz w:val="20"/>
                <w:szCs w:val="20"/>
              </w:rPr>
            </w:pPr>
            <w:r w:rsidRPr="00BA0017">
              <w:rPr>
                <w:b/>
                <w:sz w:val="20"/>
                <w:szCs w:val="20"/>
              </w:rPr>
              <w:t xml:space="preserve">Token </w:t>
            </w:r>
            <w:r>
              <w:rPr>
                <w:b/>
                <w:sz w:val="20"/>
                <w:szCs w:val="20"/>
              </w:rPr>
              <w:t>r</w:t>
            </w:r>
            <w:r w:rsidRPr="00BA0017">
              <w:rPr>
                <w:b/>
                <w:sz w:val="20"/>
                <w:szCs w:val="20"/>
              </w:rPr>
              <w:t xml:space="preserve">eplay </w:t>
            </w:r>
            <w:r>
              <w:rPr>
                <w:b/>
                <w:sz w:val="20"/>
                <w:szCs w:val="20"/>
              </w:rPr>
              <w:t>p</w:t>
            </w:r>
            <w:r w:rsidRPr="00BA0017">
              <w:rPr>
                <w:b/>
                <w:sz w:val="20"/>
                <w:szCs w:val="20"/>
              </w:rPr>
              <w:t>rotection</w:t>
            </w:r>
          </w:p>
        </w:tc>
        <w:tc>
          <w:tcPr>
            <w:tcW w:w="7290" w:type="dxa"/>
          </w:tcPr>
          <w:p w14:paraId="19035C4D" w14:textId="77777777" w:rsidR="00786048" w:rsidRDefault="00786048" w:rsidP="00786048">
            <w:pPr>
              <w:rPr>
                <w:sz w:val="20"/>
                <w:szCs w:val="20"/>
              </w:rPr>
            </w:pPr>
            <w:r w:rsidRPr="00570384">
              <w:rPr>
                <w:sz w:val="20"/>
                <w:szCs w:val="20"/>
              </w:rPr>
              <w:t xml:space="preserve">Token </w:t>
            </w:r>
            <w:r>
              <w:rPr>
                <w:sz w:val="20"/>
                <w:szCs w:val="20"/>
              </w:rPr>
              <w:t>r</w:t>
            </w:r>
            <w:r w:rsidRPr="00570384">
              <w:rPr>
                <w:sz w:val="20"/>
                <w:szCs w:val="20"/>
              </w:rPr>
              <w:t xml:space="preserve">eplay </w:t>
            </w:r>
            <w:r>
              <w:rPr>
                <w:sz w:val="20"/>
                <w:szCs w:val="20"/>
              </w:rPr>
              <w:t>p</w:t>
            </w:r>
            <w:r w:rsidRPr="00570384">
              <w:rPr>
                <w:sz w:val="20"/>
                <w:szCs w:val="20"/>
              </w:rPr>
              <w:t>rotection comes in</w:t>
            </w:r>
            <w:r>
              <w:rPr>
                <w:sz w:val="20"/>
                <w:szCs w:val="20"/>
              </w:rPr>
              <w:t xml:space="preserve"> </w:t>
            </w:r>
            <w:r w:rsidRPr="00570384">
              <w:rPr>
                <w:sz w:val="20"/>
                <w:szCs w:val="20"/>
              </w:rPr>
              <w:t xml:space="preserve">to play when </w:t>
            </w:r>
            <w:r>
              <w:rPr>
                <w:sz w:val="20"/>
                <w:szCs w:val="20"/>
              </w:rPr>
              <w:t>AD FS</w:t>
            </w:r>
            <w:r w:rsidRPr="00570384">
              <w:rPr>
                <w:sz w:val="20"/>
                <w:szCs w:val="20"/>
              </w:rPr>
              <w:t xml:space="preserve"> is not the ultimate </w:t>
            </w:r>
            <w:r>
              <w:rPr>
                <w:sz w:val="20"/>
                <w:szCs w:val="20"/>
              </w:rPr>
              <w:t>i</w:t>
            </w:r>
            <w:r w:rsidRPr="00570384">
              <w:rPr>
                <w:sz w:val="20"/>
                <w:szCs w:val="20"/>
              </w:rPr>
              <w:t xml:space="preserve">dentity </w:t>
            </w:r>
            <w:r>
              <w:rPr>
                <w:sz w:val="20"/>
                <w:szCs w:val="20"/>
              </w:rPr>
              <w:t>p</w:t>
            </w:r>
            <w:r w:rsidRPr="00570384">
              <w:rPr>
                <w:sz w:val="20"/>
                <w:szCs w:val="20"/>
              </w:rPr>
              <w:t xml:space="preserve">rovider being used. In these scenarios, there is another </w:t>
            </w:r>
            <w:r>
              <w:rPr>
                <w:sz w:val="20"/>
                <w:szCs w:val="20"/>
              </w:rPr>
              <w:t>identity provider</w:t>
            </w:r>
            <w:r w:rsidRPr="00570384">
              <w:rPr>
                <w:sz w:val="20"/>
                <w:szCs w:val="20"/>
              </w:rPr>
              <w:t xml:space="preserve"> that </w:t>
            </w:r>
            <w:r>
              <w:rPr>
                <w:sz w:val="20"/>
                <w:szCs w:val="20"/>
              </w:rPr>
              <w:t>AD FS</w:t>
            </w:r>
            <w:r w:rsidRPr="00570384">
              <w:rPr>
                <w:sz w:val="20"/>
                <w:szCs w:val="20"/>
              </w:rPr>
              <w:t xml:space="preserve"> defers authentication to and receives a security token from. </w:t>
            </w:r>
          </w:p>
          <w:p w14:paraId="30F8B8BC" w14:textId="77777777" w:rsidR="00786048" w:rsidRDefault="00786048" w:rsidP="00786048">
            <w:pPr>
              <w:rPr>
                <w:sz w:val="20"/>
                <w:szCs w:val="20"/>
              </w:rPr>
            </w:pPr>
            <w:r w:rsidRPr="00570384">
              <w:rPr>
                <w:sz w:val="20"/>
                <w:szCs w:val="20"/>
              </w:rPr>
              <w:t xml:space="preserve">Token replay protection prevents an attacker from replaying the token sent to </w:t>
            </w:r>
            <w:r>
              <w:rPr>
                <w:sz w:val="20"/>
                <w:szCs w:val="20"/>
              </w:rPr>
              <w:t>AD FS</w:t>
            </w:r>
            <w:r w:rsidRPr="00570384">
              <w:rPr>
                <w:sz w:val="20"/>
                <w:szCs w:val="20"/>
              </w:rPr>
              <w:t xml:space="preserve"> from the additional </w:t>
            </w:r>
            <w:r>
              <w:rPr>
                <w:sz w:val="20"/>
                <w:szCs w:val="20"/>
              </w:rPr>
              <w:t>identity provider</w:t>
            </w:r>
            <w:r w:rsidRPr="00570384">
              <w:rPr>
                <w:sz w:val="20"/>
                <w:szCs w:val="20"/>
              </w:rPr>
              <w:t xml:space="preserve">. To do this, </w:t>
            </w:r>
            <w:r>
              <w:rPr>
                <w:sz w:val="20"/>
                <w:szCs w:val="20"/>
              </w:rPr>
              <w:t>AD FS</w:t>
            </w:r>
            <w:r w:rsidRPr="00570384">
              <w:rPr>
                <w:sz w:val="20"/>
                <w:szCs w:val="20"/>
              </w:rPr>
              <w:t xml:space="preserve"> writes a hashed value of the token to the database. Therefore, every </w:t>
            </w:r>
            <w:r>
              <w:rPr>
                <w:sz w:val="20"/>
                <w:szCs w:val="20"/>
              </w:rPr>
              <w:t>AD FS</w:t>
            </w:r>
            <w:r w:rsidRPr="00570384">
              <w:rPr>
                <w:sz w:val="20"/>
                <w:szCs w:val="20"/>
              </w:rPr>
              <w:t xml:space="preserve"> server must be able to write to the database, making this scenario unsuitable for WID-based deployments. </w:t>
            </w:r>
          </w:p>
          <w:p w14:paraId="67C1F9C6" w14:textId="50D3D811" w:rsidR="00786048" w:rsidRPr="008434C5" w:rsidRDefault="00786048" w:rsidP="00786048">
            <w:pPr>
              <w:rPr>
                <w:sz w:val="20"/>
                <w:szCs w:val="20"/>
              </w:rPr>
            </w:pPr>
            <w:r w:rsidRPr="00570384">
              <w:rPr>
                <w:sz w:val="20"/>
                <w:szCs w:val="20"/>
              </w:rPr>
              <w:t xml:space="preserve">This is typically not a common scenario with </w:t>
            </w:r>
            <w:r>
              <w:rPr>
                <w:sz w:val="20"/>
                <w:szCs w:val="20"/>
              </w:rPr>
              <w:t>Azure AD</w:t>
            </w:r>
            <w:r w:rsidRPr="00570384">
              <w:rPr>
                <w:sz w:val="20"/>
                <w:szCs w:val="20"/>
              </w:rPr>
              <w:t xml:space="preserve">, but it’s possible that customers may be using </w:t>
            </w:r>
            <w:r>
              <w:rPr>
                <w:sz w:val="20"/>
                <w:szCs w:val="20"/>
              </w:rPr>
              <w:t xml:space="preserve">this </w:t>
            </w:r>
            <w:r w:rsidRPr="00570384">
              <w:rPr>
                <w:sz w:val="20"/>
                <w:szCs w:val="20"/>
              </w:rPr>
              <w:t xml:space="preserve">capability, so this may be a key decision factor in determining which type of database to use with </w:t>
            </w:r>
            <w:r>
              <w:rPr>
                <w:sz w:val="20"/>
                <w:szCs w:val="20"/>
              </w:rPr>
              <w:t>AD FS</w:t>
            </w:r>
            <w:r w:rsidRPr="00570384">
              <w:rPr>
                <w:sz w:val="20"/>
                <w:szCs w:val="20"/>
              </w:rPr>
              <w:t>.</w:t>
            </w:r>
          </w:p>
        </w:tc>
      </w:tr>
      <w:tr w:rsidR="00786048" w14:paraId="4A02F60E" w14:textId="77777777" w:rsidTr="00970D41">
        <w:tc>
          <w:tcPr>
            <w:tcW w:w="1975" w:type="dxa"/>
          </w:tcPr>
          <w:p w14:paraId="3EF48CC9" w14:textId="3E034C36" w:rsidR="00786048" w:rsidRPr="00C90964" w:rsidRDefault="00786048" w:rsidP="00786048">
            <w:pPr>
              <w:rPr>
                <w:b/>
                <w:sz w:val="20"/>
                <w:szCs w:val="20"/>
              </w:rPr>
            </w:pPr>
            <w:r w:rsidRPr="00C90964">
              <w:rPr>
                <w:b/>
                <w:sz w:val="20"/>
                <w:szCs w:val="20"/>
              </w:rPr>
              <w:t xml:space="preserve">SAML </w:t>
            </w:r>
            <w:r>
              <w:rPr>
                <w:b/>
                <w:sz w:val="20"/>
                <w:szCs w:val="20"/>
              </w:rPr>
              <w:t>a</w:t>
            </w:r>
            <w:r w:rsidRPr="00C90964">
              <w:rPr>
                <w:b/>
                <w:sz w:val="20"/>
                <w:szCs w:val="20"/>
              </w:rPr>
              <w:t xml:space="preserve">rtifact </w:t>
            </w:r>
            <w:r>
              <w:rPr>
                <w:b/>
                <w:sz w:val="20"/>
                <w:szCs w:val="20"/>
              </w:rPr>
              <w:t>r</w:t>
            </w:r>
            <w:r w:rsidRPr="00C90964">
              <w:rPr>
                <w:b/>
                <w:sz w:val="20"/>
                <w:szCs w:val="20"/>
              </w:rPr>
              <w:t>esolution</w:t>
            </w:r>
          </w:p>
        </w:tc>
        <w:tc>
          <w:tcPr>
            <w:tcW w:w="7290" w:type="dxa"/>
          </w:tcPr>
          <w:p w14:paraId="60A89962" w14:textId="77777777" w:rsidR="00786048" w:rsidRDefault="00786048" w:rsidP="00786048">
            <w:pPr>
              <w:rPr>
                <w:sz w:val="20"/>
                <w:szCs w:val="20"/>
              </w:rPr>
            </w:pPr>
            <w:r w:rsidRPr="00570384">
              <w:rPr>
                <w:sz w:val="20"/>
                <w:szCs w:val="20"/>
              </w:rPr>
              <w:t xml:space="preserve">This is a capability where </w:t>
            </w:r>
            <w:r>
              <w:rPr>
                <w:sz w:val="20"/>
                <w:szCs w:val="20"/>
              </w:rPr>
              <w:t>AD FS</w:t>
            </w:r>
            <w:r w:rsidRPr="00570384">
              <w:rPr>
                <w:sz w:val="20"/>
                <w:szCs w:val="20"/>
              </w:rPr>
              <w:t xml:space="preserve"> can give a portion of the security token to the application through the user’s web browser, instead of the entire token. The application can then go back to the </w:t>
            </w:r>
            <w:r>
              <w:rPr>
                <w:sz w:val="20"/>
                <w:szCs w:val="20"/>
              </w:rPr>
              <w:t>AD FS</w:t>
            </w:r>
            <w:r w:rsidRPr="00570384">
              <w:rPr>
                <w:sz w:val="20"/>
                <w:szCs w:val="20"/>
              </w:rPr>
              <w:t xml:space="preserve"> server and retrieve the rest of the security token without the user’s browser being involved. </w:t>
            </w:r>
          </w:p>
          <w:p w14:paraId="46C9E27F" w14:textId="3F1123FC" w:rsidR="00786048" w:rsidRPr="008434C5" w:rsidRDefault="00786048" w:rsidP="00786048">
            <w:pPr>
              <w:rPr>
                <w:sz w:val="20"/>
                <w:szCs w:val="20"/>
              </w:rPr>
            </w:pPr>
            <w:r w:rsidRPr="00570384">
              <w:rPr>
                <w:sz w:val="20"/>
                <w:szCs w:val="20"/>
              </w:rPr>
              <w:t xml:space="preserve">This capability requires every </w:t>
            </w:r>
            <w:r>
              <w:rPr>
                <w:sz w:val="20"/>
                <w:szCs w:val="20"/>
              </w:rPr>
              <w:t>AD FS</w:t>
            </w:r>
            <w:r w:rsidRPr="00570384">
              <w:rPr>
                <w:sz w:val="20"/>
                <w:szCs w:val="20"/>
              </w:rPr>
              <w:t xml:space="preserve"> server in the farm to write to the database, so it’s no</w:t>
            </w:r>
            <w:r>
              <w:rPr>
                <w:sz w:val="20"/>
                <w:szCs w:val="20"/>
              </w:rPr>
              <w:t>t</w:t>
            </w:r>
            <w:r w:rsidRPr="00570384">
              <w:rPr>
                <w:sz w:val="20"/>
                <w:szCs w:val="20"/>
              </w:rPr>
              <w:t xml:space="preserve"> suitable for WID-based deployments. It’s rare that we see customer’s using SAML </w:t>
            </w:r>
            <w:r>
              <w:rPr>
                <w:sz w:val="20"/>
                <w:szCs w:val="20"/>
              </w:rPr>
              <w:t>a</w:t>
            </w:r>
            <w:r w:rsidRPr="00570384">
              <w:rPr>
                <w:sz w:val="20"/>
                <w:szCs w:val="20"/>
              </w:rPr>
              <w:t xml:space="preserve">rtifact </w:t>
            </w:r>
            <w:r>
              <w:rPr>
                <w:sz w:val="20"/>
                <w:szCs w:val="20"/>
              </w:rPr>
              <w:t>r</w:t>
            </w:r>
            <w:r w:rsidRPr="00570384">
              <w:rPr>
                <w:sz w:val="20"/>
                <w:szCs w:val="20"/>
              </w:rPr>
              <w:t xml:space="preserve">esolution. </w:t>
            </w:r>
            <w:r>
              <w:rPr>
                <w:sz w:val="20"/>
                <w:szCs w:val="20"/>
              </w:rPr>
              <w:t>Azure AD</w:t>
            </w:r>
            <w:r w:rsidRPr="00570384">
              <w:rPr>
                <w:sz w:val="20"/>
                <w:szCs w:val="20"/>
              </w:rPr>
              <w:t xml:space="preserve"> in particular does not use it, so if a customer is only using </w:t>
            </w:r>
            <w:r>
              <w:rPr>
                <w:sz w:val="20"/>
                <w:szCs w:val="20"/>
              </w:rPr>
              <w:t>AD FS</w:t>
            </w:r>
            <w:r w:rsidRPr="00570384">
              <w:rPr>
                <w:sz w:val="20"/>
                <w:szCs w:val="20"/>
              </w:rPr>
              <w:t xml:space="preserve"> for </w:t>
            </w:r>
            <w:r>
              <w:rPr>
                <w:sz w:val="20"/>
                <w:szCs w:val="20"/>
              </w:rPr>
              <w:t>Azure AD</w:t>
            </w:r>
            <w:r w:rsidRPr="00570384">
              <w:rPr>
                <w:sz w:val="20"/>
                <w:szCs w:val="20"/>
              </w:rPr>
              <w:t xml:space="preserve"> integration, this scenario can be ignored.</w:t>
            </w:r>
          </w:p>
        </w:tc>
      </w:tr>
    </w:tbl>
    <w:p w14:paraId="61000B4C" w14:textId="77777777" w:rsidR="00147FC0" w:rsidRDefault="00147FC0"/>
    <w:p w14:paraId="4861B586" w14:textId="77777777" w:rsidR="00786048" w:rsidRDefault="00786048" w:rsidP="00786048">
      <w:r>
        <w:t>Unfortunately, there is no single architecture that is right for every situation. However, we recommend that you default to a WID-based architecture, unless there is a solid reason to depart from it. This keeps the architecture simpler, particularly in cases where multisite deployments are needed.</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786048" w14:paraId="09252818" w14:textId="77777777" w:rsidTr="00B42154">
        <w:trPr>
          <w:trHeight w:val="423"/>
        </w:trPr>
        <w:tc>
          <w:tcPr>
            <w:tcW w:w="666" w:type="dxa"/>
          </w:tcPr>
          <w:p w14:paraId="677DA6C0" w14:textId="77777777" w:rsidR="00786048" w:rsidRDefault="00786048" w:rsidP="00B42154">
            <w:pPr>
              <w:spacing w:after="200"/>
              <w:rPr>
                <w:rFonts w:asciiTheme="minorHAnsi" w:eastAsiaTheme="minorHAnsi" w:hAnsiTheme="minorHAnsi" w:cstheme="minorBidi"/>
                <w:b/>
                <w:bCs/>
                <w:sz w:val="20"/>
                <w:szCs w:val="18"/>
                <w:lang w:eastAsia="en-US"/>
              </w:rPr>
            </w:pPr>
            <w:r>
              <w:t xml:space="preserve"> </w:t>
            </w:r>
            <w:r>
              <w:rPr>
                <w:rFonts w:eastAsia="Arial" w:cs="Segoe UI"/>
                <w:noProof/>
                <w:sz w:val="20"/>
                <w:szCs w:val="20"/>
              </w:rPr>
              <mc:AlternateContent>
                <mc:Choice Requires="wps">
                  <w:drawing>
                    <wp:anchor distT="0" distB="0" distL="114300" distR="114300" simplePos="0" relativeHeight="251902976" behindDoc="0" locked="0" layoutInCell="1" allowOverlap="1" wp14:anchorId="515829E7" wp14:editId="3E4C6A3F">
                      <wp:simplePos x="0" y="0"/>
                      <wp:positionH relativeFrom="column">
                        <wp:posOffset>66675</wp:posOffset>
                      </wp:positionH>
                      <wp:positionV relativeFrom="paragraph">
                        <wp:posOffset>90170</wp:posOffset>
                      </wp:positionV>
                      <wp:extent cx="209550" cy="180975"/>
                      <wp:effectExtent l="57150" t="19050" r="57150" b="104775"/>
                      <wp:wrapNone/>
                      <wp:docPr id="830832950" name="Isosceles Triangle 8308329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05C9E208" id="Isosceles Triangle 830832950" o:spid="_x0000_s1026" type="#_x0000_t5" style="position:absolute;margin-left:5.25pt;margin-top:7.1pt;width:16.5pt;height:14.25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esjjQIAAH8FAAAOAAAAZHJzL2Uyb0RvYy54bWysVG1r2zAQ/j7YfxD6vtpOmzYxdUpoySiE&#10;Nqwd/azIUmIm6zRJiZP9+p3kl3RdoTDmD0Lne+50L8/d9c2hVmQvrKtAFzQ7SykRmkNZ6U1Bvz8v&#10;vkwocZ7pkinQoqBH4ejN7POn68bkYgRbUKWwBJ1olzemoFvvTZ4kjm9FzdwZGKFRKcHWzKNoN0lp&#10;WYPea5WM0vQyacCWxgIXzuHfu1ZJZ9G/lIL7Rymd8EQVFGPz8bTxXIczmV2zfGOZ2Va8C4P9QxQ1&#10;qzQ+Ori6Y56Rna3+clVX3IID6c841AlIWXERc8BssvRNNk9bZkTMBYvjzFAm9//c8of9ypKqLOjk&#10;PJ2cj6ZjrJJmNbbq3oHjQglHnm3F9EYJcsJg3RrjcjR/MisbMndmCfyHQ0XyhyYIrsMcpK0DFvMm&#10;h9iE49AEcfCE489ROh2HIDiqskk6vRqHJiUs742Ndf6rgJqES0F9F1wsP9svnW/hPSzGBqoqF5VS&#10;UbCb9a2yZM+QEwv80kgDfMGdYDGHNuyYgD8qEYyV/iYk1gsDzeKLkali8Mc4F9pfdiFHdDCT+PZg&#10;eP6xYYcPpiKyeDAefWw8WMSXQfvBuK402PccKJ91IcsW33XRtXmHEqyhPCJVLLQz5AxfVNiAJXN+&#10;xSwODfYMF4F/xEMqaAoK3Y2SLdhf7/0PeOQyailpcAgL6n7umBWUqHuNLJ9mFxdhaqNwMb4aoWBf&#10;a9avNXpX3wL2NMOVY3i8BrxX/VVaqF9wX8zDq6himuPbBeXe9sKtb5cDbhwu5vMIw0k1zC/1k+F9&#10;1wO5ng8vzJqehUjfB+gHluVviNhiQz80zHceZBVZeqprV2+c8sj1biOFNfJajqjT3pz9BgAA//8D&#10;AFBLAwQUAAYACAAAACEANTxCMNkAAAAHAQAADwAAAGRycy9kb3ducmV2LnhtbEyOzU7DMBCE70i8&#10;g7VIXFDrkIa2CnEqhJIjqig8gBNvfoS9jmK3DW/PcoLTaDSjma84LM6KC85h9KTgcZ2AQGq9GalX&#10;8PlRr/YgQtRktPWECr4xwKG8vSl0bvyV3vFyir3gEQq5VjDEOOVShnZAp8PaT0icdX52OrKde2lm&#10;feVxZ2WaJFvp9Ej8MOgJXwdsv05np8A3y7Hb1Lv9Q+0m+9ZVVeaOlVL3d8vLM4iIS/wrwy8+o0PJ&#10;TI0/kwnCsk+euMmapSA4zzbsG9Z0B7Is5H/+8gcAAP//AwBQSwECLQAUAAYACAAAACEAtoM4kv4A&#10;AADhAQAAEwAAAAAAAAAAAAAAAAAAAAAAW0NvbnRlbnRfVHlwZXNdLnhtbFBLAQItABQABgAIAAAA&#10;IQA4/SH/1gAAAJQBAAALAAAAAAAAAAAAAAAAAC8BAABfcmVscy8ucmVsc1BLAQItABQABgAIAAAA&#10;IQBjtesjjQIAAH8FAAAOAAAAAAAAAAAAAAAAAC4CAABkcnMvZTJvRG9jLnhtbFBLAQItABQABgAI&#10;AAAAIQA1PEIw2QAAAAcBAAAPAAAAAAAAAAAAAAAAAOcEAABkcnMvZG93bnJldi54bWxQSwUGAAAA&#10;AAQABADzAAAA7QUAAAAA&#10;" fillcolor="yellow" strokecolor="#70ad47 [3209]" strokeweight=".5pt">
                      <v:path arrowok="t"/>
                    </v:shape>
                  </w:pict>
                </mc:Fallback>
              </mc:AlternateContent>
            </w:r>
          </w:p>
        </w:tc>
        <w:tc>
          <w:tcPr>
            <w:tcW w:w="8604" w:type="dxa"/>
          </w:tcPr>
          <w:p w14:paraId="5A73021E" w14:textId="77777777" w:rsidR="00786048" w:rsidRDefault="00786048" w:rsidP="00B42154">
            <w:pPr>
              <w:rPr>
                <w:lang w:eastAsia="en-US"/>
              </w:rPr>
            </w:pPr>
            <w:r>
              <w:rPr>
                <w:rFonts w:eastAsiaTheme="minorHAnsi"/>
                <w:b/>
                <w:lang w:eastAsia="en-US"/>
              </w:rPr>
              <w:t xml:space="preserve">Recommended: </w:t>
            </w:r>
            <w:r>
              <w:rPr>
                <w:rFonts w:eastAsiaTheme="minorHAnsi"/>
                <w:lang w:eastAsia="en-US"/>
              </w:rPr>
              <w:t>Plan to use a WID-based architecture by default, unless there is a solid reason to depart from it.</w:t>
            </w:r>
          </w:p>
        </w:tc>
      </w:tr>
    </w:tbl>
    <w:p w14:paraId="717FE979" w14:textId="77777777" w:rsidR="00786048" w:rsidRPr="007877D9" w:rsidRDefault="00786048" w:rsidP="00786048">
      <w:pPr>
        <w:rPr>
          <w:b/>
        </w:rPr>
      </w:pPr>
      <w:r w:rsidRPr="00BA48A9">
        <w:rPr>
          <w:b/>
        </w:rPr>
        <w:t>Using</w:t>
      </w:r>
      <w:r>
        <w:rPr>
          <w:b/>
        </w:rPr>
        <w:t> Third-</w:t>
      </w:r>
      <w:r w:rsidRPr="00BA48A9">
        <w:rPr>
          <w:b/>
        </w:rPr>
        <w:t xml:space="preserve">Party </w:t>
      </w:r>
      <w:r>
        <w:rPr>
          <w:b/>
        </w:rPr>
        <w:t>Identity Provider</w:t>
      </w:r>
      <w:r w:rsidRPr="00BA48A9">
        <w:rPr>
          <w:b/>
        </w:rPr>
        <w:t xml:space="preserve">s with </w:t>
      </w:r>
      <w:r>
        <w:rPr>
          <w:b/>
        </w:rPr>
        <w:t>Azure AD</w:t>
      </w:r>
    </w:p>
    <w:p w14:paraId="532CAF1B" w14:textId="77777777" w:rsidR="00786048" w:rsidRDefault="00786048" w:rsidP="00786048">
      <w:r>
        <w:t xml:space="preserve">The use of third-party identity providers is supported in Azure AD if the identity provider is on the approved list (see </w:t>
      </w:r>
      <w:r w:rsidRPr="00277922">
        <w:rPr>
          <w:b/>
        </w:rPr>
        <w:t>Use Third-Party Identity Providers to Implement Single Sign-On</w:t>
      </w:r>
      <w:r>
        <w:t xml:space="preserve"> in the following References table). </w:t>
      </w:r>
    </w:p>
    <w:p w14:paraId="5F1CF932" w14:textId="74468B3A" w:rsidR="005667D8" w:rsidRDefault="00786048" w:rsidP="00786048">
      <w:r>
        <w:t>The guidance for AD FS in the previous section of this document is not applicable to third-party identity providers. If a customer chooses to go that route, you’ll need to work with the vendor to obtain the recommended practices for implementing the identity provider</w:t>
      </w:r>
      <w:r w:rsidR="00BA48A9">
        <w:t>.</w:t>
      </w:r>
    </w:p>
    <w:p w14:paraId="6EA661B5" w14:textId="77777777" w:rsidR="00147FC0" w:rsidRDefault="00147FC0" w:rsidP="00165CBC"/>
    <w:tbl>
      <w:tblPr>
        <w:tblStyle w:val="PlainTable11"/>
        <w:tblW w:w="0" w:type="auto"/>
        <w:tblLook w:val="04A0" w:firstRow="1" w:lastRow="0" w:firstColumn="1" w:lastColumn="0" w:noHBand="0" w:noVBand="1"/>
      </w:tblPr>
      <w:tblGrid>
        <w:gridCol w:w="2751"/>
        <w:gridCol w:w="6599"/>
      </w:tblGrid>
      <w:tr w:rsidR="009E7807" w14:paraId="3974F4FC" w14:textId="77777777" w:rsidTr="0078604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808080" w:themeFill="background1" w:themeFillShade="80"/>
          </w:tcPr>
          <w:p w14:paraId="60265418" w14:textId="77777777" w:rsidR="009E7807" w:rsidRPr="00F47607" w:rsidRDefault="009E7807" w:rsidP="00B2601C">
            <w:pPr>
              <w:spacing w:line="240" w:lineRule="auto"/>
              <w:rPr>
                <w:color w:val="FFFFFF"/>
              </w:rPr>
            </w:pPr>
            <w:r>
              <w:rPr>
                <w:color w:val="FFFFFF"/>
              </w:rPr>
              <w:t>References</w:t>
            </w:r>
          </w:p>
        </w:tc>
      </w:tr>
      <w:tr w:rsidR="00786048" w14:paraId="283E8700" w14:textId="77777777" w:rsidTr="00970D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9" w:type="dxa"/>
          </w:tcPr>
          <w:p w14:paraId="19A5378E" w14:textId="1F835641" w:rsidR="00786048" w:rsidRPr="000A7EF0" w:rsidRDefault="00786048" w:rsidP="00786048">
            <w:pPr>
              <w:spacing w:line="240" w:lineRule="auto"/>
              <w:rPr>
                <w:sz w:val="20"/>
                <w:szCs w:val="20"/>
              </w:rPr>
            </w:pPr>
            <w:r w:rsidRPr="000A7EF0">
              <w:rPr>
                <w:sz w:val="20"/>
                <w:szCs w:val="20"/>
              </w:rPr>
              <w:t>Install the Azure Active Directory Sync Service</w:t>
            </w:r>
          </w:p>
        </w:tc>
        <w:tc>
          <w:tcPr>
            <w:tcW w:w="5961" w:type="dxa"/>
          </w:tcPr>
          <w:p w14:paraId="7250FE73" w14:textId="378EBFD8" w:rsidR="00786048" w:rsidRPr="000A7EF0" w:rsidRDefault="00872E47" w:rsidP="00786048">
            <w:pPr>
              <w:cnfStyle w:val="000000100000" w:firstRow="0" w:lastRow="0" w:firstColumn="0" w:lastColumn="0" w:oddVBand="0" w:evenVBand="0" w:oddHBand="1" w:evenHBand="0" w:firstRowFirstColumn="0" w:firstRowLastColumn="0" w:lastRowFirstColumn="0" w:lastRowLastColumn="0"/>
              <w:rPr>
                <w:sz w:val="20"/>
                <w:szCs w:val="20"/>
              </w:rPr>
            </w:pPr>
            <w:hyperlink r:id="rId445" w:history="1">
              <w:r w:rsidR="00786048" w:rsidRPr="000A7EF0">
                <w:rPr>
                  <w:rStyle w:val="Hyperlink"/>
                  <w:sz w:val="20"/>
                  <w:szCs w:val="20"/>
                </w:rPr>
                <w:t>https://msdn.microsoft.com/en-us/library/azure/dn757602.aspx</w:t>
              </w:r>
            </w:hyperlink>
          </w:p>
        </w:tc>
      </w:tr>
      <w:tr w:rsidR="00786048" w14:paraId="7CB03022" w14:textId="77777777" w:rsidTr="00786048">
        <w:tc>
          <w:tcPr>
            <w:cnfStyle w:val="001000000000" w:firstRow="0" w:lastRow="0" w:firstColumn="1" w:lastColumn="0" w:oddVBand="0" w:evenVBand="0" w:oddHBand="0" w:evenHBand="0" w:firstRowFirstColumn="0" w:firstRowLastColumn="0" w:lastRowFirstColumn="0" w:lastRowLastColumn="0"/>
            <w:tcW w:w="3389" w:type="dxa"/>
          </w:tcPr>
          <w:p w14:paraId="56E74056" w14:textId="252F7BD0" w:rsidR="00786048" w:rsidRPr="000A7EF0" w:rsidRDefault="00786048" w:rsidP="00786048">
            <w:pPr>
              <w:spacing w:line="240" w:lineRule="auto"/>
              <w:rPr>
                <w:sz w:val="20"/>
                <w:szCs w:val="20"/>
              </w:rPr>
            </w:pPr>
            <w:r w:rsidRPr="000A7EF0">
              <w:rPr>
                <w:sz w:val="20"/>
                <w:szCs w:val="20"/>
              </w:rPr>
              <w:t>DirSync: Using Alternate Login IDs with Azure Active Directory</w:t>
            </w:r>
          </w:p>
        </w:tc>
        <w:tc>
          <w:tcPr>
            <w:tcW w:w="5961" w:type="dxa"/>
          </w:tcPr>
          <w:p w14:paraId="009C0674" w14:textId="40044788" w:rsidR="00786048" w:rsidRPr="000A7EF0" w:rsidRDefault="00872E47" w:rsidP="00786048">
            <w:pPr>
              <w:cnfStyle w:val="000000000000" w:firstRow="0" w:lastRow="0" w:firstColumn="0" w:lastColumn="0" w:oddVBand="0" w:evenVBand="0" w:oddHBand="0" w:evenHBand="0" w:firstRowFirstColumn="0" w:firstRowLastColumn="0" w:lastRowFirstColumn="0" w:lastRowLastColumn="0"/>
              <w:rPr>
                <w:sz w:val="20"/>
                <w:szCs w:val="20"/>
              </w:rPr>
            </w:pPr>
            <w:hyperlink r:id="rId446" w:history="1">
              <w:r w:rsidR="00786048" w:rsidRPr="000A7EF0">
                <w:rPr>
                  <w:rStyle w:val="Hyperlink"/>
                  <w:sz w:val="20"/>
                  <w:szCs w:val="20"/>
                </w:rPr>
                <w:t>http://social.technet.microsoft.com/wiki/contents/articles/24096.dirsync-using-alternate-login-ids-with-azure-active-directory.aspx</w:t>
              </w:r>
            </w:hyperlink>
          </w:p>
        </w:tc>
      </w:tr>
      <w:tr w:rsidR="00786048" w14:paraId="3907D8BA" w14:textId="77777777" w:rsidTr="007860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89" w:type="dxa"/>
          </w:tcPr>
          <w:p w14:paraId="63EC1B84" w14:textId="07B8078D" w:rsidR="00786048" w:rsidRPr="000A7EF0" w:rsidRDefault="00786048" w:rsidP="00786048">
            <w:pPr>
              <w:spacing w:line="240" w:lineRule="auto"/>
              <w:rPr>
                <w:sz w:val="20"/>
                <w:szCs w:val="20"/>
              </w:rPr>
            </w:pPr>
            <w:r w:rsidRPr="000A7EF0">
              <w:rPr>
                <w:sz w:val="20"/>
                <w:szCs w:val="20"/>
              </w:rPr>
              <w:t>Configuring Alternate Login ID</w:t>
            </w:r>
          </w:p>
        </w:tc>
        <w:tc>
          <w:tcPr>
            <w:tcW w:w="5961" w:type="dxa"/>
          </w:tcPr>
          <w:p w14:paraId="73E87CC7" w14:textId="2EB91CBF" w:rsidR="00786048" w:rsidRPr="000A7EF0" w:rsidRDefault="00872E47" w:rsidP="00786048">
            <w:pPr>
              <w:cnfStyle w:val="000000100000" w:firstRow="0" w:lastRow="0" w:firstColumn="0" w:lastColumn="0" w:oddVBand="0" w:evenVBand="0" w:oddHBand="1" w:evenHBand="0" w:firstRowFirstColumn="0" w:firstRowLastColumn="0" w:lastRowFirstColumn="0" w:lastRowLastColumn="0"/>
              <w:rPr>
                <w:sz w:val="20"/>
                <w:szCs w:val="20"/>
              </w:rPr>
            </w:pPr>
            <w:hyperlink r:id="rId447" w:history="1">
              <w:r w:rsidR="00786048" w:rsidRPr="000A7EF0">
                <w:rPr>
                  <w:rStyle w:val="Hyperlink"/>
                  <w:sz w:val="20"/>
                  <w:szCs w:val="20"/>
                </w:rPr>
                <w:t>https://technet.microsoft.com/en-us/library/dn659436.aspx</w:t>
              </w:r>
            </w:hyperlink>
          </w:p>
        </w:tc>
      </w:tr>
      <w:tr w:rsidR="00786048" w14:paraId="13F50D6F" w14:textId="77777777" w:rsidTr="00786048">
        <w:tc>
          <w:tcPr>
            <w:cnfStyle w:val="001000000000" w:firstRow="0" w:lastRow="0" w:firstColumn="1" w:lastColumn="0" w:oddVBand="0" w:evenVBand="0" w:oddHBand="0" w:evenHBand="0" w:firstRowFirstColumn="0" w:firstRowLastColumn="0" w:lastRowFirstColumn="0" w:lastRowLastColumn="0"/>
            <w:tcW w:w="3389" w:type="dxa"/>
          </w:tcPr>
          <w:p w14:paraId="4B2EED4D" w14:textId="21BD45C3" w:rsidR="00786048" w:rsidRPr="000A7EF0" w:rsidRDefault="00786048" w:rsidP="00786048">
            <w:pPr>
              <w:spacing w:line="240" w:lineRule="auto"/>
              <w:rPr>
                <w:sz w:val="20"/>
                <w:szCs w:val="20"/>
              </w:rPr>
            </w:pPr>
            <w:r w:rsidRPr="000A7EF0">
              <w:rPr>
                <w:sz w:val="20"/>
                <w:szCs w:val="20"/>
              </w:rPr>
              <w:t>Set up a trust between AD FS and Azure AD</w:t>
            </w:r>
          </w:p>
        </w:tc>
        <w:tc>
          <w:tcPr>
            <w:tcW w:w="5961" w:type="dxa"/>
          </w:tcPr>
          <w:p w14:paraId="62528CEB" w14:textId="45965A26" w:rsidR="00786048" w:rsidRPr="000A7EF0" w:rsidRDefault="00872E47" w:rsidP="00786048">
            <w:pPr>
              <w:cnfStyle w:val="000000000000" w:firstRow="0" w:lastRow="0" w:firstColumn="0" w:lastColumn="0" w:oddVBand="0" w:evenVBand="0" w:oddHBand="0" w:evenHBand="0" w:firstRowFirstColumn="0" w:firstRowLastColumn="0" w:lastRowFirstColumn="0" w:lastRowLastColumn="0"/>
              <w:rPr>
                <w:sz w:val="20"/>
                <w:szCs w:val="20"/>
              </w:rPr>
            </w:pPr>
            <w:hyperlink r:id="rId448" w:history="1">
              <w:r w:rsidR="00786048" w:rsidRPr="000A7EF0">
                <w:rPr>
                  <w:rStyle w:val="Hyperlink"/>
                  <w:sz w:val="20"/>
                  <w:szCs w:val="20"/>
                </w:rPr>
                <w:t>https://msdn.microsoft.com/en-us/library/azure/jj205461.aspx</w:t>
              </w:r>
            </w:hyperlink>
          </w:p>
        </w:tc>
      </w:tr>
      <w:tr w:rsidR="00786048" w14:paraId="50E6DB69" w14:textId="77777777" w:rsidTr="007860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89" w:type="dxa"/>
          </w:tcPr>
          <w:p w14:paraId="30854E7C" w14:textId="200C062D" w:rsidR="00786048" w:rsidRPr="000A7EF0" w:rsidRDefault="00786048" w:rsidP="00786048">
            <w:pPr>
              <w:spacing w:line="240" w:lineRule="auto"/>
              <w:rPr>
                <w:sz w:val="20"/>
                <w:szCs w:val="20"/>
              </w:rPr>
            </w:pPr>
            <w:r w:rsidRPr="000A7EF0">
              <w:rPr>
                <w:sz w:val="20"/>
                <w:szCs w:val="20"/>
              </w:rPr>
              <w:t>SSO for On Prem IWA Apps Using Kerberos constrained delegation with Application Proxy</w:t>
            </w:r>
          </w:p>
        </w:tc>
        <w:tc>
          <w:tcPr>
            <w:tcW w:w="5961" w:type="dxa"/>
          </w:tcPr>
          <w:p w14:paraId="0520A858" w14:textId="6E8E6B45" w:rsidR="00786048" w:rsidRPr="000A7EF0" w:rsidRDefault="00872E47" w:rsidP="00786048">
            <w:pPr>
              <w:cnfStyle w:val="000000100000" w:firstRow="0" w:lastRow="0" w:firstColumn="0" w:lastColumn="0" w:oddVBand="0" w:evenVBand="0" w:oddHBand="1" w:evenHBand="0" w:firstRowFirstColumn="0" w:firstRowLastColumn="0" w:lastRowFirstColumn="0" w:lastRowLastColumn="0"/>
              <w:rPr>
                <w:sz w:val="20"/>
                <w:szCs w:val="20"/>
              </w:rPr>
            </w:pPr>
            <w:hyperlink r:id="rId449" w:history="1">
              <w:r w:rsidR="00786048" w:rsidRPr="000A7EF0">
                <w:rPr>
                  <w:rStyle w:val="Hyperlink"/>
                  <w:sz w:val="20"/>
                  <w:szCs w:val="20"/>
                </w:rPr>
                <w:t>https://msdn.microsoft.com/en-us/library/azure/dn879065.aspx</w:t>
              </w:r>
            </w:hyperlink>
          </w:p>
        </w:tc>
      </w:tr>
      <w:tr w:rsidR="00786048" w14:paraId="29C8C766" w14:textId="77777777" w:rsidTr="00786048">
        <w:tc>
          <w:tcPr>
            <w:cnfStyle w:val="001000000000" w:firstRow="0" w:lastRow="0" w:firstColumn="1" w:lastColumn="0" w:oddVBand="0" w:evenVBand="0" w:oddHBand="0" w:evenHBand="0" w:firstRowFirstColumn="0" w:firstRowLastColumn="0" w:lastRowFirstColumn="0" w:lastRowLastColumn="0"/>
            <w:tcW w:w="3389" w:type="dxa"/>
          </w:tcPr>
          <w:p w14:paraId="691BEF26" w14:textId="0034CD31" w:rsidR="00786048" w:rsidRPr="000A7EF0" w:rsidRDefault="00786048" w:rsidP="00786048">
            <w:pPr>
              <w:spacing w:line="240" w:lineRule="auto"/>
              <w:rPr>
                <w:sz w:val="20"/>
                <w:szCs w:val="20"/>
              </w:rPr>
            </w:pPr>
            <w:r w:rsidRPr="000A7EF0">
              <w:rPr>
                <w:sz w:val="20"/>
                <w:szCs w:val="20"/>
              </w:rPr>
              <w:t>Use Third-Party Identity Providers to Implement Single Sign-On</w:t>
            </w:r>
          </w:p>
        </w:tc>
        <w:tc>
          <w:tcPr>
            <w:tcW w:w="5961" w:type="dxa"/>
          </w:tcPr>
          <w:p w14:paraId="6FB2648F" w14:textId="1FDC7A61" w:rsidR="00786048" w:rsidRPr="000A7EF0" w:rsidRDefault="00872E47" w:rsidP="00786048">
            <w:pPr>
              <w:cnfStyle w:val="000000000000" w:firstRow="0" w:lastRow="0" w:firstColumn="0" w:lastColumn="0" w:oddVBand="0" w:evenVBand="0" w:oddHBand="0" w:evenHBand="0" w:firstRowFirstColumn="0" w:firstRowLastColumn="0" w:lastRowFirstColumn="0" w:lastRowLastColumn="0"/>
              <w:rPr>
                <w:sz w:val="20"/>
                <w:szCs w:val="20"/>
              </w:rPr>
            </w:pPr>
            <w:hyperlink r:id="rId450" w:history="1">
              <w:r w:rsidR="00786048" w:rsidRPr="000A7EF0">
                <w:rPr>
                  <w:rStyle w:val="Hyperlink"/>
                  <w:sz w:val="20"/>
                  <w:szCs w:val="20"/>
                </w:rPr>
                <w:t>https://msdn.microsoft.com/en-us/library/azure/jj679342.aspx</w:t>
              </w:r>
            </w:hyperlink>
          </w:p>
        </w:tc>
      </w:tr>
      <w:tr w:rsidR="00786048" w14:paraId="28AA64A9" w14:textId="77777777" w:rsidTr="007860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89" w:type="dxa"/>
          </w:tcPr>
          <w:p w14:paraId="2857BBAC" w14:textId="01B5B625" w:rsidR="00786048" w:rsidRPr="000A7EF0" w:rsidRDefault="00786048" w:rsidP="00786048">
            <w:pPr>
              <w:spacing w:line="240" w:lineRule="auto"/>
              <w:rPr>
                <w:sz w:val="20"/>
                <w:szCs w:val="20"/>
              </w:rPr>
            </w:pPr>
            <w:r w:rsidRPr="000A7EF0">
              <w:rPr>
                <w:sz w:val="20"/>
                <w:szCs w:val="20"/>
              </w:rPr>
              <w:t>Azure Multi-Factor Authentication Options for Federated Users</w:t>
            </w:r>
          </w:p>
        </w:tc>
        <w:tc>
          <w:tcPr>
            <w:tcW w:w="5961" w:type="dxa"/>
          </w:tcPr>
          <w:p w14:paraId="48C780F0" w14:textId="210F5CF3" w:rsidR="00786048" w:rsidRPr="000A7EF0" w:rsidRDefault="00872E47" w:rsidP="00786048">
            <w:pPr>
              <w:cnfStyle w:val="000000100000" w:firstRow="0" w:lastRow="0" w:firstColumn="0" w:lastColumn="0" w:oddVBand="0" w:evenVBand="0" w:oddHBand="1" w:evenHBand="0" w:firstRowFirstColumn="0" w:firstRowLastColumn="0" w:lastRowFirstColumn="0" w:lastRowLastColumn="0"/>
              <w:rPr>
                <w:sz w:val="20"/>
                <w:szCs w:val="20"/>
              </w:rPr>
            </w:pPr>
            <w:hyperlink r:id="rId451" w:history="1">
              <w:r w:rsidR="00786048" w:rsidRPr="000A7EF0">
                <w:rPr>
                  <w:rStyle w:val="Hyperlink"/>
                  <w:sz w:val="20"/>
                  <w:szCs w:val="20"/>
                </w:rPr>
                <w:t>https://msdn.microsoft.com/en-us/library/azure/dn394284.aspx</w:t>
              </w:r>
            </w:hyperlink>
          </w:p>
        </w:tc>
      </w:tr>
      <w:tr w:rsidR="00786048" w14:paraId="499499AE" w14:textId="77777777" w:rsidTr="00786048">
        <w:tc>
          <w:tcPr>
            <w:cnfStyle w:val="001000000000" w:firstRow="0" w:lastRow="0" w:firstColumn="1" w:lastColumn="0" w:oddVBand="0" w:evenVBand="0" w:oddHBand="0" w:evenHBand="0" w:firstRowFirstColumn="0" w:firstRowLastColumn="0" w:lastRowFirstColumn="0" w:lastRowLastColumn="0"/>
            <w:tcW w:w="3389" w:type="dxa"/>
          </w:tcPr>
          <w:p w14:paraId="089B5D05" w14:textId="6E6CF24F" w:rsidR="00786048" w:rsidRPr="000A7EF0" w:rsidRDefault="00786048" w:rsidP="00786048">
            <w:pPr>
              <w:spacing w:line="240" w:lineRule="auto"/>
              <w:rPr>
                <w:sz w:val="20"/>
                <w:szCs w:val="20"/>
              </w:rPr>
            </w:pPr>
            <w:r w:rsidRPr="000A7EF0">
              <w:rPr>
                <w:sz w:val="20"/>
                <w:szCs w:val="20"/>
              </w:rPr>
              <w:t>How to Switch from Single Sign-On to Password Sync</w:t>
            </w:r>
          </w:p>
        </w:tc>
        <w:tc>
          <w:tcPr>
            <w:tcW w:w="5961" w:type="dxa"/>
          </w:tcPr>
          <w:p w14:paraId="4B4C4F8C" w14:textId="0087C7FC" w:rsidR="00786048" w:rsidRPr="000A7EF0" w:rsidRDefault="00872E47" w:rsidP="00786048">
            <w:pPr>
              <w:cnfStyle w:val="000000000000" w:firstRow="0" w:lastRow="0" w:firstColumn="0" w:lastColumn="0" w:oddVBand="0" w:evenVBand="0" w:oddHBand="0" w:evenHBand="0" w:firstRowFirstColumn="0" w:firstRowLastColumn="0" w:lastRowFirstColumn="0" w:lastRowLastColumn="0"/>
              <w:rPr>
                <w:sz w:val="20"/>
                <w:szCs w:val="20"/>
              </w:rPr>
            </w:pPr>
            <w:hyperlink r:id="rId452" w:history="1">
              <w:r w:rsidR="00786048" w:rsidRPr="000A7EF0">
                <w:rPr>
                  <w:rStyle w:val="Hyperlink"/>
                  <w:sz w:val="20"/>
                  <w:szCs w:val="20"/>
                </w:rPr>
                <w:t>http://social.technet.microsoft.com/wiki/contents/articles/17857.how-to-switch-from-single-sign-on-to-password-sync.aspx</w:t>
              </w:r>
            </w:hyperlink>
          </w:p>
        </w:tc>
      </w:tr>
    </w:tbl>
    <w:p w14:paraId="1C209ED4" w14:textId="7D9F0365" w:rsidR="00731EE4" w:rsidRDefault="00786048" w:rsidP="005729D2">
      <w:pPr>
        <w:pStyle w:val="Heading3Numbered"/>
        <w:numPr>
          <w:ilvl w:val="2"/>
          <w:numId w:val="64"/>
        </w:numPr>
      </w:pPr>
      <w:bookmarkStart w:id="5386" w:name="_Toc415011349"/>
      <w:bookmarkStart w:id="5387" w:name="_Toc415040039"/>
      <w:bookmarkStart w:id="5388" w:name="_Toc415572396"/>
      <w:bookmarkStart w:id="5389" w:name="_Toc415735566"/>
      <w:bookmarkStart w:id="5390" w:name="_Toc415814147"/>
      <w:bookmarkStart w:id="5391" w:name="_Toc416343882"/>
      <w:bookmarkStart w:id="5392" w:name="_Toc416863154"/>
      <w:bookmarkStart w:id="5393" w:name="_Toc417314769"/>
      <w:bookmarkStart w:id="5394" w:name="_Toc417323786"/>
      <w:bookmarkStart w:id="5395" w:name="_Toc417326876"/>
      <w:bookmarkStart w:id="5396" w:name="_Toc417330424"/>
      <w:bookmarkStart w:id="5397" w:name="_Toc417395030"/>
      <w:bookmarkStart w:id="5398" w:name="_Toc417399247"/>
      <w:bookmarkStart w:id="5399" w:name="_Toc417399406"/>
      <w:bookmarkStart w:id="5400" w:name="_Toc417400453"/>
      <w:bookmarkStart w:id="5401" w:name="_Toc417401301"/>
      <w:bookmarkStart w:id="5402" w:name="_Toc417419616"/>
      <w:bookmarkStart w:id="5403" w:name="_Toc417457388"/>
      <w:bookmarkStart w:id="5404" w:name="_Toc417481966"/>
      <w:bookmarkStart w:id="5405" w:name="_Toc417482224"/>
      <w:bookmarkStart w:id="5406" w:name="_Toc417499943"/>
      <w:bookmarkStart w:id="5407" w:name="_Toc417502764"/>
      <w:bookmarkStart w:id="5408" w:name="_Toc417548344"/>
      <w:bookmarkStart w:id="5409" w:name="_Toc417594587"/>
      <w:bookmarkStart w:id="5410" w:name="_Toc417934716"/>
      <w:bookmarkStart w:id="5411" w:name="_Toc417936055"/>
      <w:bookmarkStart w:id="5412" w:name="_Toc417936517"/>
      <w:bookmarkStart w:id="5413" w:name="_Toc417946940"/>
      <w:bookmarkStart w:id="5414" w:name="_Toc417947409"/>
      <w:bookmarkStart w:id="5415" w:name="_Toc417982550"/>
      <w:bookmarkStart w:id="5416" w:name="_Toc417986004"/>
      <w:bookmarkStart w:id="5417" w:name="_Ref417989216"/>
      <w:bookmarkStart w:id="5418" w:name="_Toc418000696"/>
      <w:bookmarkStart w:id="5419" w:name="_Toc418003868"/>
      <w:bookmarkStart w:id="5420" w:name="_Toc418012073"/>
      <w:bookmarkStart w:id="5421" w:name="_Toc418014486"/>
      <w:bookmarkStart w:id="5422" w:name="_Toc418030091"/>
      <w:bookmarkStart w:id="5423" w:name="_Toc418036974"/>
      <w:bookmarkStart w:id="5424" w:name="_Toc418061447"/>
      <w:bookmarkStart w:id="5425" w:name="_Toc418081346"/>
      <w:bookmarkStart w:id="5426" w:name="_Toc418081975"/>
      <w:bookmarkStart w:id="5427" w:name="_Toc418083378"/>
      <w:bookmarkStart w:id="5428" w:name="_Toc418096142"/>
      <w:bookmarkStart w:id="5429" w:name="_Toc418156744"/>
      <w:bookmarkStart w:id="5430" w:name="_Toc418167663"/>
      <w:bookmarkStart w:id="5431" w:name="_Toc418185919"/>
      <w:bookmarkStart w:id="5432" w:name="_Toc422941633"/>
      <w:bookmarkStart w:id="5433" w:name="_Toc423116839"/>
      <w:bookmarkStart w:id="5434" w:name="_Toc423117872"/>
      <w:bookmarkStart w:id="5435" w:name="_Toc423117322"/>
      <w:bookmarkStart w:id="5436" w:name="_Toc431288915"/>
      <w:bookmarkStart w:id="5437" w:name="_Toc414892133"/>
      <w:bookmarkStart w:id="5438" w:name="_Toc414960156"/>
      <w:bookmarkStart w:id="5439" w:name="_Toc414969127"/>
      <w:r>
        <w:t xml:space="preserve">Azure </w:t>
      </w:r>
      <w:r w:rsidR="00731EE4">
        <w:t>Multi-Factor Authentication</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1BA101D3" w14:textId="49BDE941" w:rsidR="00C67252" w:rsidRPr="00C67252" w:rsidRDefault="00C67252" w:rsidP="00C67252">
      <w:r>
        <w:t xml:space="preserve">For an overview of Azure Multi-Factor Authentication, please see </w:t>
      </w:r>
      <w:hyperlink r:id="rId453" w:history="1">
        <w:r w:rsidRPr="00C67252">
          <w:rPr>
            <w:rStyle w:val="Hyperlink"/>
          </w:rPr>
          <w:t>What is Azure Multi-Factor Authentication</w:t>
        </w:r>
      </w:hyperlink>
      <w:r>
        <w:t>.</w:t>
      </w:r>
    </w:p>
    <w:p w14:paraId="67DCF914" w14:textId="77777777" w:rsidR="00D66DD5" w:rsidRDefault="00D66DD5" w:rsidP="005729D2">
      <w:pPr>
        <w:pStyle w:val="Heading4Numbered"/>
        <w:numPr>
          <w:ilvl w:val="3"/>
          <w:numId w:val="64"/>
        </w:numPr>
      </w:pPr>
      <w:r w:rsidRPr="00C67252">
        <w:t>Licensing</w:t>
      </w:r>
    </w:p>
    <w:p w14:paraId="2A009BCF" w14:textId="4DB0578F" w:rsidR="00C67252" w:rsidRDefault="00786048" w:rsidP="00C67252">
      <w:r>
        <w:t>There are multiple ways to acquire licenses for Azure Multi-Factor Authentication. The following methods currently exist</w:t>
      </w:r>
      <w:r w:rsidR="00C67252">
        <w:t>:</w:t>
      </w:r>
    </w:p>
    <w:tbl>
      <w:tblPr>
        <w:tblStyle w:val="PlainTable11"/>
        <w:tblW w:w="0" w:type="auto"/>
        <w:tblLook w:val="0420" w:firstRow="1" w:lastRow="0" w:firstColumn="0" w:lastColumn="0" w:noHBand="0" w:noVBand="1"/>
      </w:tblPr>
      <w:tblGrid>
        <w:gridCol w:w="2695"/>
        <w:gridCol w:w="6570"/>
      </w:tblGrid>
      <w:tr w:rsidR="00147FC0" w:rsidRPr="00970D41" w14:paraId="5B37223B" w14:textId="77777777" w:rsidTr="00970D41">
        <w:trPr>
          <w:cnfStyle w:val="100000000000" w:firstRow="1" w:lastRow="0" w:firstColumn="0" w:lastColumn="0" w:oddVBand="0" w:evenVBand="0" w:oddHBand="0" w:evenHBand="0" w:firstRowFirstColumn="0" w:firstRowLastColumn="0" w:lastRowFirstColumn="0" w:lastRowLastColumn="0"/>
        </w:trPr>
        <w:tc>
          <w:tcPr>
            <w:tcW w:w="2695" w:type="dxa"/>
            <w:shd w:val="clear" w:color="auto" w:fill="808080" w:themeFill="background1" w:themeFillShade="80"/>
            <w:hideMark/>
          </w:tcPr>
          <w:p w14:paraId="2005F9FE" w14:textId="11C7F480" w:rsidR="00147FC0" w:rsidRPr="00970D41" w:rsidRDefault="00147FC0" w:rsidP="0059733A">
            <w:pPr>
              <w:spacing w:line="240" w:lineRule="auto"/>
              <w:rPr>
                <w:rFonts w:eastAsia="Calibri"/>
                <w:bCs w:val="0"/>
                <w:color w:val="FFFFFF"/>
                <w:szCs w:val="20"/>
                <w:lang w:eastAsia="en-AU"/>
              </w:rPr>
            </w:pPr>
            <w:r w:rsidRPr="00970D41">
              <w:rPr>
                <w:rFonts w:eastAsia="Calibri"/>
                <w:bCs w:val="0"/>
                <w:color w:val="FFFFFF"/>
                <w:szCs w:val="20"/>
                <w:lang w:eastAsia="en-AU"/>
              </w:rPr>
              <w:t>Method</w:t>
            </w:r>
          </w:p>
        </w:tc>
        <w:tc>
          <w:tcPr>
            <w:tcW w:w="6570" w:type="dxa"/>
            <w:shd w:val="clear" w:color="auto" w:fill="808080" w:themeFill="background1" w:themeFillShade="80"/>
            <w:hideMark/>
          </w:tcPr>
          <w:p w14:paraId="20544065" w14:textId="77777777" w:rsidR="00147FC0" w:rsidRPr="00970D41" w:rsidRDefault="00147FC0" w:rsidP="0059733A">
            <w:pPr>
              <w:spacing w:line="240" w:lineRule="auto"/>
              <w:rPr>
                <w:rFonts w:eastAsia="Calibri"/>
                <w:bCs w:val="0"/>
                <w:color w:val="FFFFFF"/>
                <w:szCs w:val="20"/>
                <w:lang w:eastAsia="en-AU"/>
              </w:rPr>
            </w:pPr>
            <w:r w:rsidRPr="00970D41">
              <w:rPr>
                <w:rFonts w:eastAsia="Calibri"/>
                <w:bCs w:val="0"/>
                <w:color w:val="FFFFFF"/>
                <w:szCs w:val="20"/>
                <w:lang w:eastAsia="en-AU"/>
              </w:rPr>
              <w:t>Description</w:t>
            </w:r>
          </w:p>
        </w:tc>
      </w:tr>
      <w:tr w:rsidR="00786048" w14:paraId="0401B33D" w14:textId="77777777" w:rsidTr="00970D41">
        <w:trPr>
          <w:cnfStyle w:val="000000100000" w:firstRow="0" w:lastRow="0" w:firstColumn="0" w:lastColumn="0" w:oddVBand="0" w:evenVBand="0" w:oddHBand="1" w:evenHBand="0" w:firstRowFirstColumn="0" w:firstRowLastColumn="0" w:lastRowFirstColumn="0" w:lastRowLastColumn="0"/>
        </w:trPr>
        <w:tc>
          <w:tcPr>
            <w:tcW w:w="2695" w:type="dxa"/>
          </w:tcPr>
          <w:p w14:paraId="6D290C78" w14:textId="0D28679B" w:rsidR="00786048" w:rsidRPr="00570384" w:rsidRDefault="00786048" w:rsidP="00786048">
            <w:pPr>
              <w:rPr>
                <w:b/>
                <w:sz w:val="20"/>
                <w:szCs w:val="20"/>
              </w:rPr>
            </w:pPr>
            <w:r w:rsidRPr="00570384">
              <w:rPr>
                <w:b/>
                <w:sz w:val="20"/>
                <w:szCs w:val="20"/>
              </w:rPr>
              <w:t xml:space="preserve">Direct </w:t>
            </w:r>
            <w:r>
              <w:rPr>
                <w:b/>
                <w:sz w:val="20"/>
                <w:szCs w:val="20"/>
              </w:rPr>
              <w:t>p</w:t>
            </w:r>
            <w:r w:rsidRPr="00570384">
              <w:rPr>
                <w:b/>
                <w:sz w:val="20"/>
                <w:szCs w:val="20"/>
              </w:rPr>
              <w:t xml:space="preserve">urchase of Azure </w:t>
            </w:r>
            <w:r w:rsidRPr="004C4581">
              <w:rPr>
                <w:b/>
                <w:sz w:val="20"/>
                <w:szCs w:val="20"/>
              </w:rPr>
              <w:t>Multi-Factor Authentication</w:t>
            </w:r>
            <w:r w:rsidRPr="00570384">
              <w:rPr>
                <w:b/>
                <w:sz w:val="20"/>
                <w:szCs w:val="20"/>
              </w:rPr>
              <w:t xml:space="preserve"> licenses</w:t>
            </w:r>
          </w:p>
        </w:tc>
        <w:tc>
          <w:tcPr>
            <w:tcW w:w="6570" w:type="dxa"/>
          </w:tcPr>
          <w:p w14:paraId="5AD04C08" w14:textId="4C2FFF74" w:rsidR="00786048" w:rsidRPr="008434C5" w:rsidRDefault="00786048" w:rsidP="00786048">
            <w:pPr>
              <w:rPr>
                <w:sz w:val="20"/>
                <w:szCs w:val="20"/>
              </w:rPr>
            </w:pPr>
            <w:r>
              <w:rPr>
                <w:sz w:val="20"/>
                <w:szCs w:val="20"/>
              </w:rPr>
              <w:t>The ability to</w:t>
            </w:r>
            <w:r w:rsidRPr="00570384">
              <w:rPr>
                <w:sz w:val="20"/>
                <w:szCs w:val="20"/>
              </w:rPr>
              <w:t xml:space="preserve"> pay on either a per-user or per-authentication basis</w:t>
            </w:r>
          </w:p>
        </w:tc>
      </w:tr>
      <w:tr w:rsidR="00786048" w14:paraId="0D339BB9" w14:textId="77777777" w:rsidTr="00970D41">
        <w:tc>
          <w:tcPr>
            <w:tcW w:w="2695" w:type="dxa"/>
          </w:tcPr>
          <w:p w14:paraId="5045E6F4" w14:textId="7346DBD6" w:rsidR="00786048" w:rsidRPr="00570384" w:rsidRDefault="00786048" w:rsidP="00786048">
            <w:pPr>
              <w:rPr>
                <w:b/>
                <w:sz w:val="20"/>
                <w:szCs w:val="20"/>
              </w:rPr>
            </w:pPr>
            <w:r w:rsidRPr="00570384">
              <w:rPr>
                <w:b/>
                <w:sz w:val="20"/>
                <w:szCs w:val="20"/>
              </w:rPr>
              <w:t xml:space="preserve">Purchase as part of </w:t>
            </w:r>
            <w:r>
              <w:rPr>
                <w:b/>
                <w:sz w:val="20"/>
                <w:szCs w:val="20"/>
              </w:rPr>
              <w:t>Azure AD</w:t>
            </w:r>
            <w:r w:rsidRPr="00570384">
              <w:rPr>
                <w:b/>
                <w:sz w:val="20"/>
                <w:szCs w:val="20"/>
              </w:rPr>
              <w:t xml:space="preserve"> Premium</w:t>
            </w:r>
          </w:p>
        </w:tc>
        <w:tc>
          <w:tcPr>
            <w:tcW w:w="6570" w:type="dxa"/>
          </w:tcPr>
          <w:p w14:paraId="24B9F689" w14:textId="6130C3A0" w:rsidR="00786048" w:rsidRPr="008434C5" w:rsidRDefault="00786048" w:rsidP="00786048">
            <w:pPr>
              <w:rPr>
                <w:sz w:val="20"/>
                <w:szCs w:val="20"/>
              </w:rPr>
            </w:pPr>
            <w:r w:rsidRPr="00570384">
              <w:rPr>
                <w:sz w:val="20"/>
                <w:szCs w:val="20"/>
              </w:rPr>
              <w:t>AAD-Premium includes Azure licenses in the per-user cost</w:t>
            </w:r>
          </w:p>
        </w:tc>
      </w:tr>
      <w:tr w:rsidR="00786048" w14:paraId="17ABC886" w14:textId="77777777" w:rsidTr="00970D41">
        <w:trPr>
          <w:cnfStyle w:val="000000100000" w:firstRow="0" w:lastRow="0" w:firstColumn="0" w:lastColumn="0" w:oddVBand="0" w:evenVBand="0" w:oddHBand="1" w:evenHBand="0" w:firstRowFirstColumn="0" w:firstRowLastColumn="0" w:lastRowFirstColumn="0" w:lastRowLastColumn="0"/>
        </w:trPr>
        <w:tc>
          <w:tcPr>
            <w:tcW w:w="2695" w:type="dxa"/>
          </w:tcPr>
          <w:p w14:paraId="0FE9B34B" w14:textId="3F940FC8" w:rsidR="00786048" w:rsidRPr="00570384" w:rsidRDefault="00786048" w:rsidP="00786048">
            <w:pPr>
              <w:pStyle w:val="NormalWeb"/>
              <w:spacing w:line="256" w:lineRule="auto"/>
              <w:rPr>
                <w:rFonts w:ascii="Segoe UI" w:hAnsi="Segoe UI" w:cs="Segoe UI"/>
                <w:b/>
                <w:sz w:val="20"/>
                <w:szCs w:val="20"/>
                <w:lang w:val="en-AU" w:eastAsia="en-AU"/>
              </w:rPr>
            </w:pPr>
            <w:r w:rsidRPr="00570384">
              <w:rPr>
                <w:rFonts w:ascii="Segoe UI" w:hAnsi="Segoe UI" w:cs="Segoe UI"/>
                <w:b/>
                <w:sz w:val="20"/>
                <w:szCs w:val="20"/>
                <w:lang w:val="en-AU" w:eastAsia="en-AU"/>
              </w:rPr>
              <w:t>Purchase through the Enterprise Mobility Suite</w:t>
            </w:r>
          </w:p>
        </w:tc>
        <w:tc>
          <w:tcPr>
            <w:tcW w:w="6570" w:type="dxa"/>
          </w:tcPr>
          <w:p w14:paraId="139008BC" w14:textId="422C93CA" w:rsidR="00786048" w:rsidRPr="008434C5" w:rsidRDefault="00786048" w:rsidP="00786048">
            <w:pPr>
              <w:rPr>
                <w:sz w:val="20"/>
                <w:szCs w:val="20"/>
              </w:rPr>
            </w:pPr>
            <w:r>
              <w:rPr>
                <w:sz w:val="20"/>
                <w:szCs w:val="20"/>
              </w:rPr>
              <w:t xml:space="preserve">The </w:t>
            </w:r>
            <w:r w:rsidRPr="00570384">
              <w:rPr>
                <w:sz w:val="20"/>
                <w:szCs w:val="20"/>
              </w:rPr>
              <w:t>E</w:t>
            </w:r>
            <w:r>
              <w:rPr>
                <w:sz w:val="20"/>
                <w:szCs w:val="20"/>
              </w:rPr>
              <w:t xml:space="preserve">nterprise </w:t>
            </w:r>
            <w:r w:rsidRPr="00570384">
              <w:rPr>
                <w:sz w:val="20"/>
                <w:szCs w:val="20"/>
              </w:rPr>
              <w:t>M</w:t>
            </w:r>
            <w:r>
              <w:rPr>
                <w:sz w:val="20"/>
                <w:szCs w:val="20"/>
              </w:rPr>
              <w:t xml:space="preserve">obility </w:t>
            </w:r>
            <w:r w:rsidRPr="00570384">
              <w:rPr>
                <w:sz w:val="20"/>
                <w:szCs w:val="20"/>
              </w:rPr>
              <w:t>S</w:t>
            </w:r>
            <w:r>
              <w:rPr>
                <w:sz w:val="20"/>
                <w:szCs w:val="20"/>
              </w:rPr>
              <w:t>uite</w:t>
            </w:r>
            <w:r w:rsidRPr="00570384">
              <w:rPr>
                <w:sz w:val="20"/>
                <w:szCs w:val="20"/>
              </w:rPr>
              <w:t xml:space="preserve"> includes </w:t>
            </w:r>
            <w:r>
              <w:rPr>
                <w:sz w:val="20"/>
                <w:szCs w:val="20"/>
              </w:rPr>
              <w:t>Azure AD</w:t>
            </w:r>
            <w:r w:rsidRPr="00570384">
              <w:rPr>
                <w:sz w:val="20"/>
                <w:szCs w:val="20"/>
              </w:rPr>
              <w:t xml:space="preserve"> Premium as part of the package, which includes Azure </w:t>
            </w:r>
            <w:r w:rsidRPr="004C4581">
              <w:rPr>
                <w:sz w:val="20"/>
                <w:szCs w:val="20"/>
              </w:rPr>
              <w:t>Multi-Factor Authentication</w:t>
            </w:r>
            <w:r w:rsidRPr="00570384">
              <w:rPr>
                <w:sz w:val="20"/>
                <w:szCs w:val="20"/>
              </w:rPr>
              <w:t xml:space="preserve"> per-user licenses</w:t>
            </w:r>
          </w:p>
        </w:tc>
      </w:tr>
    </w:tbl>
    <w:p w14:paraId="747EF014" w14:textId="16E576B7" w:rsidR="00147FC0" w:rsidRDefault="00147FC0" w:rsidP="00C67252"/>
    <w:p w14:paraId="08420E1B" w14:textId="68C2E18F" w:rsidR="00786048" w:rsidRDefault="00C67252" w:rsidP="00786048">
      <w:r>
        <w:t>You</w:t>
      </w:r>
      <w:r w:rsidR="00786048">
        <w:t xml:space="preserve"> may encounter a situation where a customer purchases licenses and there was a delay before the licenses are available. If this is the case, do not simply create a temporary trial license and expect the trial licenses to be converted into production licenses. You’ll want to understand what licenses the customer purchased, and work with the customer’s Account team to make sure that the appropriate licenses become available.</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786048" w14:paraId="5DEC009D" w14:textId="77777777" w:rsidTr="00B42154">
        <w:trPr>
          <w:trHeight w:val="423"/>
        </w:trPr>
        <w:tc>
          <w:tcPr>
            <w:tcW w:w="666" w:type="dxa"/>
          </w:tcPr>
          <w:p w14:paraId="6923D91A" w14:textId="77777777" w:rsidR="00786048" w:rsidRDefault="00786048" w:rsidP="00B42154">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908096" behindDoc="0" locked="0" layoutInCell="1" allowOverlap="1" wp14:anchorId="41E0685E" wp14:editId="5910B61D">
                      <wp:simplePos x="0" y="0"/>
                      <wp:positionH relativeFrom="column">
                        <wp:posOffset>66675</wp:posOffset>
                      </wp:positionH>
                      <wp:positionV relativeFrom="paragraph">
                        <wp:posOffset>90170</wp:posOffset>
                      </wp:positionV>
                      <wp:extent cx="209550" cy="180975"/>
                      <wp:effectExtent l="57150" t="19050" r="57150" b="104775"/>
                      <wp:wrapNone/>
                      <wp:docPr id="830832952" name="Isosceles Triangle 8308329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1FC89C3C" id="Isosceles Triangle 830832952" o:spid="_x0000_s1026" type="#_x0000_t5" style="position:absolute;margin-left:5.25pt;margin-top:7.1pt;width:16.5pt;height:14.2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H81jQIAAH8FAAAOAAAAZHJzL2Uyb0RvYy54bWysVNtqGzEQfS/0H4Tem70kTuwl62ASXAIm&#10;MU1KnmWtZC/ValRJvvXrO9JenKaBQOk+CM3OmdFczsz1zaFRZCesq0GXNDtLKRGaQ1XrdUm/P8+/&#10;jClxnumKKdCipEfh6M3086frvSlEDhtQlbAEnWhX7E1JN96bIkkc34iGuTMwQqNSgm2YR9Guk8qy&#10;PXpvVJKn6WWyB1sZC1w4h3/vWiWdRv9SCu4fpXTCE1VSjM3H08ZzFc5kes2KtWVmU/MuDPYPUTSs&#10;1vjo4OqOeUa2tv7LVVNzCw6kP+PQJCBlzUXMAbPJ0jfZPG2YETEXLI4zQ5nc/3PLH3ZLS+qqpOPz&#10;dHyeT0Y5JZo12Kp7B44LJRx5tjXTayXICYN12xtXoPmTWdqQuTML4D8cKpI/NEFwHeYgbROwmDc5&#10;xCYchyaIgyccf+bpZDTCVnFUZeN0cjUKTUpY0Rsb6/xXAQ0Jl5L6LrhYfrZbON/Ce1iMDVRdzWul&#10;omDXq1tlyY4hJ+b4pZEG+II7wWIObdgxAX9UIhgr/U1IrBcGmsUXI1PF4I9xLrS/7EKO6GAm8e3B&#10;8Pxjww4fTEVk8WCcf2w8WMSXQfvBuKk12PccKJ91IcsW33XRtXmHEqygOiJVLLQz5Ayf19iABXN+&#10;ySwODfYMF4F/xEMq2JcUuhslG7C/3vsf8Mhl1FKyxyEsqfu5ZVZQou41snySXVyEqY3CxegqR8G+&#10;1qxea/S2uQXsaYYrx/B4DXiv+qu00LzgvpiFV1HFNMe3S8q97YVb3y4H3DhczGYRhpNqmF/oJ8P7&#10;rgdyPR9emDU9C5G+D9APLCveELHFhn5omG09yDqy9FTXrt445ZHr3UYKa+S1HFGnvTn9DQAA//8D&#10;AFBLAwQUAAYACAAAACEANTxCMNkAAAAHAQAADwAAAGRycy9kb3ducmV2LnhtbEyOzU7DMBCE70i8&#10;g7VIXFDrkIa2CnEqhJIjqig8gBNvfoS9jmK3DW/PcoLTaDSjma84LM6KC85h9KTgcZ2AQGq9GalX&#10;8PlRr/YgQtRktPWECr4xwKG8vSl0bvyV3vFyir3gEQq5VjDEOOVShnZAp8PaT0icdX52OrKde2lm&#10;feVxZ2WaJFvp9Ej8MOgJXwdsv05np8A3y7Hb1Lv9Q+0m+9ZVVeaOlVL3d8vLM4iIS/wrwy8+o0PJ&#10;TI0/kwnCsk+euMmapSA4zzbsG9Z0B7Is5H/+8gcAAP//AwBQSwECLQAUAAYACAAAACEAtoM4kv4A&#10;AADhAQAAEwAAAAAAAAAAAAAAAAAAAAAAW0NvbnRlbnRfVHlwZXNdLnhtbFBLAQItABQABgAIAAAA&#10;IQA4/SH/1gAAAJQBAAALAAAAAAAAAAAAAAAAAC8BAABfcmVscy8ucmVsc1BLAQItABQABgAIAAAA&#10;IQBcLH81jQIAAH8FAAAOAAAAAAAAAAAAAAAAAC4CAABkcnMvZTJvRG9jLnhtbFBLAQItABQABgAI&#10;AAAAIQA1PEIw2QAAAAcBAAAPAAAAAAAAAAAAAAAAAOcEAABkcnMvZG93bnJldi54bWxQSwUGAAAA&#10;AAQABADzAAAA7QUAAAAA&#10;" fillcolor="yellow" strokecolor="#70ad47 [3209]" strokeweight=".5pt">
                      <v:path arrowok="t"/>
                    </v:shape>
                  </w:pict>
                </mc:Fallback>
              </mc:AlternateContent>
            </w:r>
          </w:p>
        </w:tc>
        <w:tc>
          <w:tcPr>
            <w:tcW w:w="8604" w:type="dxa"/>
          </w:tcPr>
          <w:p w14:paraId="1F4CBC99" w14:textId="77777777" w:rsidR="00786048" w:rsidRDefault="00786048" w:rsidP="00B42154">
            <w:pPr>
              <w:rPr>
                <w:lang w:eastAsia="en-US"/>
              </w:rPr>
            </w:pPr>
            <w:r>
              <w:rPr>
                <w:rFonts w:eastAsiaTheme="minorHAnsi"/>
                <w:b/>
                <w:lang w:eastAsia="en-US"/>
              </w:rPr>
              <w:t xml:space="preserve">Recommended: </w:t>
            </w:r>
            <w:r>
              <w:rPr>
                <w:rFonts w:eastAsiaTheme="minorHAnsi"/>
                <w:lang w:eastAsia="en-US"/>
              </w:rPr>
              <w:t xml:space="preserve">Be sure to understand how a customer acquired the </w:t>
            </w:r>
            <w:r w:rsidRPr="00570384">
              <w:rPr>
                <w:sz w:val="20"/>
                <w:szCs w:val="20"/>
              </w:rPr>
              <w:t xml:space="preserve">Azure </w:t>
            </w:r>
            <w:r w:rsidRPr="004C4581">
              <w:rPr>
                <w:sz w:val="20"/>
                <w:szCs w:val="20"/>
              </w:rPr>
              <w:t>Multi-Factor Authentication</w:t>
            </w:r>
            <w:r w:rsidRPr="00570384">
              <w:rPr>
                <w:sz w:val="20"/>
                <w:szCs w:val="20"/>
              </w:rPr>
              <w:t xml:space="preserve"> </w:t>
            </w:r>
            <w:r>
              <w:rPr>
                <w:rFonts w:eastAsiaTheme="minorHAnsi"/>
                <w:lang w:eastAsia="en-US"/>
              </w:rPr>
              <w:t>licenses. Doing so may save you time and problems in the future.</w:t>
            </w:r>
          </w:p>
        </w:tc>
      </w:tr>
    </w:tbl>
    <w:p w14:paraId="6EBF5FA2" w14:textId="2D179B93" w:rsidR="00786048" w:rsidRDefault="00B42154" w:rsidP="00786048">
      <w:pPr>
        <w:pStyle w:val="Style2"/>
      </w:pPr>
      <w:r>
        <w:t xml:space="preserve">Azure </w:t>
      </w:r>
      <w:r w:rsidRPr="00286327">
        <w:rPr>
          <w:szCs w:val="24"/>
        </w:rPr>
        <w:t>MFA</w:t>
      </w:r>
      <w:r>
        <w:t xml:space="preserve"> </w:t>
      </w:r>
      <w:r w:rsidRPr="00F92221">
        <w:t xml:space="preserve">Server vs </w:t>
      </w:r>
      <w:r>
        <w:t>Azure AD</w:t>
      </w:r>
      <w:r w:rsidRPr="00F92221">
        <w:t xml:space="preserve"> MFA</w:t>
      </w:r>
    </w:p>
    <w:p w14:paraId="27D77753" w14:textId="06BF14CA" w:rsidR="00B42154" w:rsidRDefault="00F92221" w:rsidP="00B42154">
      <w:r>
        <w:t>There</w:t>
      </w:r>
      <w:r w:rsidR="00B42154">
        <w:t xml:space="preserve"> are two types of Azure </w:t>
      </w:r>
      <w:r w:rsidR="00B42154" w:rsidRPr="004C4581">
        <w:t>Multi-Factor Authentication</w:t>
      </w:r>
      <w:r w:rsidR="00B42154">
        <w:t xml:space="preserve"> services available:</w:t>
      </w:r>
    </w:p>
    <w:p w14:paraId="10096620" w14:textId="77777777" w:rsidR="00B42154" w:rsidRDefault="00B42154" w:rsidP="005729D2">
      <w:pPr>
        <w:pStyle w:val="ListBullet"/>
        <w:numPr>
          <w:ilvl w:val="0"/>
          <w:numId w:val="119"/>
        </w:numPr>
      </w:pPr>
      <w:r w:rsidRPr="00F92221">
        <w:rPr>
          <w:b/>
        </w:rPr>
        <w:t xml:space="preserve">Azure </w:t>
      </w:r>
      <w:r w:rsidRPr="00286327">
        <w:rPr>
          <w:b/>
        </w:rPr>
        <w:t>Multi-Factor Authentication</w:t>
      </w:r>
      <w:r w:rsidRPr="00F92221">
        <w:rPr>
          <w:b/>
        </w:rPr>
        <w:t xml:space="preserve"> Server</w:t>
      </w:r>
      <w:r>
        <w:t>: This is a server product that you install on-premises, which can add multi-factor authentication to services other than Azure AD.</w:t>
      </w:r>
    </w:p>
    <w:p w14:paraId="539F8B3A" w14:textId="77777777" w:rsidR="00B42154" w:rsidRDefault="00B42154" w:rsidP="005729D2">
      <w:pPr>
        <w:pStyle w:val="ListBullet"/>
        <w:numPr>
          <w:ilvl w:val="0"/>
          <w:numId w:val="119"/>
        </w:numPr>
      </w:pPr>
      <w:r w:rsidRPr="00F92221">
        <w:rPr>
          <w:b/>
        </w:rPr>
        <w:t xml:space="preserve">Azure </w:t>
      </w:r>
      <w:r>
        <w:rPr>
          <w:b/>
        </w:rPr>
        <w:t xml:space="preserve">AD </w:t>
      </w:r>
      <w:r w:rsidRPr="00286327">
        <w:rPr>
          <w:b/>
        </w:rPr>
        <w:t>Multi-Factor Authentication</w:t>
      </w:r>
      <w:r>
        <w:t>: This adds multi-factor authentication to an Azure AD account. This is a pure cloud service with no on-premises components.</w:t>
      </w:r>
    </w:p>
    <w:p w14:paraId="2AAD135A" w14:textId="77777777" w:rsidR="00B42154" w:rsidRDefault="00B42154" w:rsidP="00B42154">
      <w:pPr>
        <w:pStyle w:val="Heading5"/>
      </w:pPr>
      <w:r>
        <w:t xml:space="preserve">Situations for Using Azure </w:t>
      </w:r>
      <w:r w:rsidRPr="004C4581">
        <w:t>Multi-Factor Authentication</w:t>
      </w:r>
      <w:r>
        <w:t xml:space="preserve"> Server</w:t>
      </w:r>
    </w:p>
    <w:p w14:paraId="4CCC3105" w14:textId="77777777" w:rsidR="00B42154" w:rsidRDefault="00B42154" w:rsidP="00B42154">
      <w:r>
        <w:t>You should use Azure Multi-Factor Authentication Server in the following conditions:</w:t>
      </w:r>
    </w:p>
    <w:p w14:paraId="5081780A" w14:textId="77777777" w:rsidR="00B42154" w:rsidRDefault="00B42154" w:rsidP="005729D2">
      <w:pPr>
        <w:pStyle w:val="ListBullet"/>
        <w:numPr>
          <w:ilvl w:val="0"/>
          <w:numId w:val="120"/>
        </w:numPr>
      </w:pPr>
      <w:r>
        <w:t>You want to add multi-factor authentication to on-premises devices, such as VPN devices or networking gear</w:t>
      </w:r>
    </w:p>
    <w:p w14:paraId="11E6EEB4" w14:textId="77777777" w:rsidR="00B42154" w:rsidRDefault="00B42154" w:rsidP="005729D2">
      <w:pPr>
        <w:pStyle w:val="ListBullet"/>
        <w:numPr>
          <w:ilvl w:val="0"/>
          <w:numId w:val="120"/>
        </w:numPr>
      </w:pPr>
      <w:r>
        <w:t>You want to add multi-factor authentication to applications that don’t support identity federation protocols or are not integrated with Azure AD</w:t>
      </w:r>
    </w:p>
    <w:p w14:paraId="63602569" w14:textId="77777777" w:rsidR="00B42154" w:rsidRDefault="00B42154" w:rsidP="005729D2">
      <w:pPr>
        <w:pStyle w:val="ListBullet"/>
        <w:numPr>
          <w:ilvl w:val="0"/>
          <w:numId w:val="120"/>
        </w:numPr>
      </w:pPr>
      <w:r>
        <w:t>You want to use one of the following multi-factor authentication (MFA) methodologies:</w:t>
      </w:r>
    </w:p>
    <w:p w14:paraId="7A882BEC" w14:textId="77777777" w:rsidR="00B42154" w:rsidRDefault="00B42154" w:rsidP="005729D2">
      <w:pPr>
        <w:pStyle w:val="ListBullet"/>
        <w:numPr>
          <w:ilvl w:val="1"/>
          <w:numId w:val="120"/>
        </w:numPr>
      </w:pPr>
      <w:r>
        <w:t>OATH token</w:t>
      </w:r>
    </w:p>
    <w:p w14:paraId="5509E376" w14:textId="580C67C0" w:rsidR="00B42154" w:rsidRDefault="00B42154" w:rsidP="005729D2">
      <w:pPr>
        <w:pStyle w:val="ListBullet"/>
        <w:numPr>
          <w:ilvl w:val="1"/>
          <w:numId w:val="120"/>
        </w:numPr>
      </w:pPr>
      <w:r>
        <w:t>Two-way SMS</w:t>
      </w:r>
    </w:p>
    <w:p w14:paraId="77043D9D" w14:textId="241D5E14" w:rsidR="00261CB2" w:rsidRPr="00F92221" w:rsidRDefault="00B42154" w:rsidP="005729D2">
      <w:pPr>
        <w:pStyle w:val="ListBullet"/>
        <w:numPr>
          <w:ilvl w:val="0"/>
          <w:numId w:val="120"/>
        </w:numPr>
      </w:pPr>
      <w:r>
        <w:t>You want to integrate Azure Multi-Factor Authentication with AD FS directly</w:t>
      </w:r>
    </w:p>
    <w:p w14:paraId="7D69542B" w14:textId="79BBAEC4" w:rsidR="00936901" w:rsidRPr="00936901" w:rsidRDefault="00936901" w:rsidP="005729D2">
      <w:pPr>
        <w:pStyle w:val="Heading4Numbered"/>
        <w:numPr>
          <w:ilvl w:val="3"/>
          <w:numId w:val="64"/>
        </w:numPr>
      </w:pPr>
      <w:r w:rsidRPr="00261CB2">
        <w:t>Conditional Access</w:t>
      </w:r>
    </w:p>
    <w:p w14:paraId="3C8C526A" w14:textId="515ED4B8" w:rsidR="00B42154" w:rsidRDefault="00261CB2" w:rsidP="00B42154">
      <w:bookmarkStart w:id="5440" w:name="_Toc415011350"/>
      <w:bookmarkStart w:id="5441" w:name="_Toc415040040"/>
      <w:bookmarkStart w:id="5442" w:name="_Toc415572397"/>
      <w:bookmarkStart w:id="5443" w:name="_Toc415735567"/>
      <w:bookmarkStart w:id="5444" w:name="_Toc415814148"/>
      <w:bookmarkStart w:id="5445" w:name="_Toc416343883"/>
      <w:bookmarkStart w:id="5446" w:name="_Toc416863155"/>
      <w:bookmarkStart w:id="5447" w:name="_Toc417314770"/>
      <w:bookmarkStart w:id="5448" w:name="_Toc417323787"/>
      <w:bookmarkStart w:id="5449" w:name="_Toc417326877"/>
      <w:bookmarkStart w:id="5450" w:name="_Toc417330425"/>
      <w:bookmarkStart w:id="5451" w:name="_Toc417395031"/>
      <w:bookmarkStart w:id="5452" w:name="_Toc417399248"/>
      <w:bookmarkStart w:id="5453" w:name="_Toc417399407"/>
      <w:bookmarkStart w:id="5454" w:name="_Toc417400454"/>
      <w:bookmarkStart w:id="5455" w:name="_Toc417401302"/>
      <w:bookmarkStart w:id="5456" w:name="_Toc417419617"/>
      <w:bookmarkStart w:id="5457" w:name="_Toc417457389"/>
      <w:r>
        <w:t>Conditional</w:t>
      </w:r>
      <w:r w:rsidR="00B42154">
        <w:t xml:space="preserve"> access provides a way to specify advanced authorization rules for requiring MFA. Without conditional access, users that are enabled for MFA require MFA every time they attempt to access an application. For more information about conditional access, please see </w:t>
      </w:r>
      <w:hyperlink r:id="rId454" w:history="1">
        <w:r w:rsidR="00B42154" w:rsidRPr="004C044D">
          <w:rPr>
            <w:rStyle w:val="Hyperlink"/>
          </w:rPr>
          <w:t>Azure Conditional Access Preview for SaaS Apps</w:t>
        </w:r>
      </w:hyperlink>
      <w:r w:rsidR="00B42154">
        <w:t>.</w:t>
      </w:r>
    </w:p>
    <w:p w14:paraId="6E426E71" w14:textId="77777777" w:rsidR="00B42154" w:rsidRDefault="00B42154" w:rsidP="00B42154">
      <w:pPr>
        <w:pStyle w:val="Heading5"/>
      </w:pPr>
      <w:r>
        <w:t>Exception Policies</w:t>
      </w:r>
    </w:p>
    <w:p w14:paraId="510ABEAB" w14:textId="0593DF43" w:rsidR="004C044D" w:rsidRDefault="00B42154" w:rsidP="00B42154">
      <w:r>
        <w:t>Conditional access allows you to use “exception policies” so that users who are members of certain Azure AD security groups are exempt from the MFA requirement. When a user is exempt from MFA, the exemption overrides any MFA requirement, regardless of the application or the other groups that the user is a member of. Keep this in mind when working through exception policies with customers, and use exception policies sparingly, and only when necessary</w:t>
      </w:r>
      <w:r w:rsidR="004C044D">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4C044D" w14:paraId="12D116F6" w14:textId="77777777" w:rsidTr="004C044D">
        <w:trPr>
          <w:trHeight w:val="423"/>
        </w:trPr>
        <w:tc>
          <w:tcPr>
            <w:tcW w:w="666" w:type="dxa"/>
          </w:tcPr>
          <w:p w14:paraId="02ADE21D" w14:textId="77777777" w:rsidR="004C044D" w:rsidRDefault="004C044D" w:rsidP="004C044D">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339776" behindDoc="0" locked="0" layoutInCell="1" allowOverlap="1" wp14:anchorId="7A6AA1B9" wp14:editId="2E5DDE96">
                      <wp:simplePos x="0" y="0"/>
                      <wp:positionH relativeFrom="column">
                        <wp:posOffset>66675</wp:posOffset>
                      </wp:positionH>
                      <wp:positionV relativeFrom="paragraph">
                        <wp:posOffset>90170</wp:posOffset>
                      </wp:positionV>
                      <wp:extent cx="209550" cy="180975"/>
                      <wp:effectExtent l="57150" t="19050" r="57150" b="104775"/>
                      <wp:wrapNone/>
                      <wp:docPr id="830832953" name="Isosceles Triangle 8308329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06768001" id="Isosceles Triangle 830832953" o:spid="_x0000_s1026" type="#_x0000_t5" style="position:absolute;margin-left:5.25pt;margin-top:7.1pt;width:16.5pt;height:14.25pt;z-index:25133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43TjgIAAH8FAAAOAAAAZHJzL2Uyb0RvYy54bWysVG1r2zAQ/j7YfxD6vtpOmjYxdUpoySiE&#10;tqwd/azIUmIm6zRJiZP9+p3kl3RdoTDmD0Lne+50L8/d1fWhVmQvrKtAFzQ7SykRmkNZ6U1Bvz8v&#10;v0wpcZ7pkinQoqBH4ej1/POnq8bkYgRbUKWwBJ1olzemoFvvTZ4kjm9FzdwZGKFRKcHWzKNoN0lp&#10;WYPea5WM0vQiacCWxgIXzuHf21ZJ59G/lIL7Bymd8EQVFGPz8bTxXIczmV+xfGOZ2Va8C4P9QxQ1&#10;qzQ+Ori6ZZ6Rna3+clVX3IID6c841AlIWXERc8BssvRNNk9bZkTMBYvjzFAm9//c8vv9oyVVWdDp&#10;OJ2OR7PJmBLNamzVnQPHhRKOPNuK6Y0S5ITBujXG5Wj+ZB5tyNyZFfAfDhXJH5oguA5zkLYOWMyb&#10;HGITjkMTxMETjj9H6WwywVZxVGXTdHY5CU1KWN4bG+v8VwE1CZeC+i64WH62XznfwntYjA1UVS4r&#10;paJgN+sbZcmeISeW+KWRBviCO8FiDm3YMQF/VCIYK/1NSKwXBprFFyNTxeCPcS60v+hCjuhgJvHt&#10;wXD8sWGHD6YisngwHn1sPFjEl0H7wbiuNNj3HCifdSHLFt910bV5hxKsoTwiVSy0M+QMX1bYgBVz&#10;/pFZHBrsGS4C/4CHVNAUFLobJVuwv977H/DIZdRS0uAQFtT93DErKFF3Glk+y87Pw9RG4XxyOULB&#10;vtasX2v0rr4B7GmGK8fweA14r/qrtFC/4L5YhFdRxTTHtwvKve2FG98uB9w4XCwWEYaTaphf6SfD&#10;+64Hcj0fXpg1PQuRvvfQDyzL3xCxxYZ+aFjsPMgqsvRU167eOOWR691GCmvktRxRp705/w0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4+ON044CAA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63C8361E" w14:textId="4D1A6B2C" w:rsidR="004C044D" w:rsidRDefault="004C044D" w:rsidP="004C044D">
            <w:pPr>
              <w:rPr>
                <w:lang w:eastAsia="en-US"/>
              </w:rPr>
            </w:pPr>
            <w:r>
              <w:rPr>
                <w:rFonts w:eastAsiaTheme="minorHAnsi"/>
                <w:b/>
                <w:lang w:eastAsia="en-US"/>
              </w:rPr>
              <w:t xml:space="preserve">Recommended: </w:t>
            </w:r>
            <w:r>
              <w:rPr>
                <w:rFonts w:eastAsiaTheme="minorHAnsi"/>
                <w:lang w:eastAsia="en-US"/>
              </w:rPr>
              <w:t xml:space="preserve"> Exception policies override the MFA requirement for certain users. This may cause a security violation for some customers, so be sure that you understand a customer’s security policies when helping a customer define MFA exemptions.</w:t>
            </w:r>
          </w:p>
        </w:tc>
      </w:tr>
    </w:tbl>
    <w:tbl>
      <w:tblPr>
        <w:tblStyle w:val="PlainTable11"/>
        <w:tblW w:w="0" w:type="auto"/>
        <w:tblLook w:val="04A0" w:firstRow="1" w:lastRow="0" w:firstColumn="1" w:lastColumn="0" w:noHBand="0" w:noVBand="1"/>
      </w:tblPr>
      <w:tblGrid>
        <w:gridCol w:w="3395"/>
        <w:gridCol w:w="5955"/>
      </w:tblGrid>
      <w:tr w:rsidR="00C67252" w14:paraId="494C7298" w14:textId="77777777" w:rsidTr="00970D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45F45422" w14:textId="77777777" w:rsidR="00C67252" w:rsidRPr="00F47607" w:rsidRDefault="00C67252" w:rsidP="004C044D">
            <w:pPr>
              <w:spacing w:line="240" w:lineRule="auto"/>
              <w:rPr>
                <w:color w:val="FFFFFF"/>
              </w:rPr>
            </w:pPr>
            <w:r>
              <w:rPr>
                <w:color w:val="FFFFFF"/>
              </w:rPr>
              <w:t>References</w:t>
            </w:r>
          </w:p>
        </w:tc>
      </w:tr>
      <w:tr w:rsidR="00C67252" w:rsidRPr="00970D41" w14:paraId="1915C8D4" w14:textId="77777777" w:rsidTr="00970D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9" w:type="dxa"/>
          </w:tcPr>
          <w:p w14:paraId="14D50DAF" w14:textId="5529E597" w:rsidR="00C67252" w:rsidRPr="00970D41" w:rsidRDefault="00C67252" w:rsidP="004C044D">
            <w:pPr>
              <w:spacing w:line="240" w:lineRule="auto"/>
              <w:rPr>
                <w:sz w:val="20"/>
                <w:szCs w:val="18"/>
              </w:rPr>
            </w:pPr>
            <w:r w:rsidRPr="00970D41">
              <w:rPr>
                <w:sz w:val="20"/>
                <w:szCs w:val="18"/>
              </w:rPr>
              <w:t>What is Azure Multi-Factor Authentication?</w:t>
            </w:r>
          </w:p>
        </w:tc>
        <w:tc>
          <w:tcPr>
            <w:tcW w:w="5961" w:type="dxa"/>
          </w:tcPr>
          <w:p w14:paraId="4C7AAB98" w14:textId="186375A9" w:rsidR="00C67252" w:rsidRPr="00970D41" w:rsidRDefault="00872E47" w:rsidP="00C67252">
            <w:pPr>
              <w:cnfStyle w:val="000000100000" w:firstRow="0" w:lastRow="0" w:firstColumn="0" w:lastColumn="0" w:oddVBand="0" w:evenVBand="0" w:oddHBand="1" w:evenHBand="0" w:firstRowFirstColumn="0" w:firstRowLastColumn="0" w:lastRowFirstColumn="0" w:lastRowLastColumn="0"/>
              <w:rPr>
                <w:sz w:val="20"/>
                <w:szCs w:val="18"/>
              </w:rPr>
            </w:pPr>
            <w:hyperlink r:id="rId455" w:history="1">
              <w:r w:rsidR="00C67252" w:rsidRPr="00970D41">
                <w:rPr>
                  <w:rStyle w:val="Hyperlink"/>
                  <w:sz w:val="20"/>
                </w:rPr>
                <w:t>http://azure.microsoft.com/en-us/documentation/articles/multi-factor-authentication/</w:t>
              </w:r>
            </w:hyperlink>
          </w:p>
        </w:tc>
      </w:tr>
    </w:tbl>
    <w:p w14:paraId="1AD456A6" w14:textId="1F6BBDEE" w:rsidR="00FF0F56" w:rsidRDefault="00FF0F56" w:rsidP="005729D2">
      <w:pPr>
        <w:pStyle w:val="Heading3Numbered"/>
        <w:numPr>
          <w:ilvl w:val="2"/>
          <w:numId w:val="64"/>
        </w:numPr>
      </w:pPr>
      <w:bookmarkStart w:id="5458" w:name="_Toc417481967"/>
      <w:bookmarkStart w:id="5459" w:name="_Toc417482225"/>
      <w:bookmarkStart w:id="5460" w:name="_Toc417499944"/>
      <w:bookmarkStart w:id="5461" w:name="_Toc417502765"/>
      <w:bookmarkStart w:id="5462" w:name="_Toc417548345"/>
      <w:bookmarkStart w:id="5463" w:name="_Toc417594588"/>
      <w:bookmarkStart w:id="5464" w:name="_Toc417934717"/>
      <w:bookmarkStart w:id="5465" w:name="_Toc417936056"/>
      <w:bookmarkStart w:id="5466" w:name="_Toc417936518"/>
      <w:bookmarkStart w:id="5467" w:name="_Toc417946941"/>
      <w:bookmarkStart w:id="5468" w:name="_Toc417947410"/>
      <w:bookmarkStart w:id="5469" w:name="_Toc417982551"/>
      <w:bookmarkStart w:id="5470" w:name="_Toc417986005"/>
      <w:bookmarkStart w:id="5471" w:name="_Toc418000697"/>
      <w:bookmarkStart w:id="5472" w:name="_Toc418003869"/>
      <w:bookmarkStart w:id="5473" w:name="_Toc418012074"/>
      <w:bookmarkStart w:id="5474" w:name="_Toc418014487"/>
      <w:bookmarkStart w:id="5475" w:name="_Toc418030092"/>
      <w:bookmarkStart w:id="5476" w:name="_Toc418036975"/>
      <w:bookmarkStart w:id="5477" w:name="_Toc418061448"/>
      <w:bookmarkStart w:id="5478" w:name="_Toc418081347"/>
      <w:bookmarkStart w:id="5479" w:name="_Toc418083379"/>
      <w:bookmarkStart w:id="5480" w:name="_Toc418096143"/>
      <w:bookmarkStart w:id="5481" w:name="_Toc418156745"/>
      <w:bookmarkStart w:id="5482" w:name="_Toc418167664"/>
      <w:bookmarkStart w:id="5483" w:name="_Toc418185920"/>
      <w:bookmarkStart w:id="5484" w:name="_Toc422941634"/>
      <w:bookmarkStart w:id="5485" w:name="_Toc423116840"/>
      <w:bookmarkStart w:id="5486" w:name="_Toc423117873"/>
      <w:bookmarkStart w:id="5487" w:name="_Toc423117323"/>
      <w:bookmarkStart w:id="5488" w:name="_Toc431288916"/>
      <w:r>
        <w:t>Reporting</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30AE6310" w14:textId="7A606F9D" w:rsidR="00B42154" w:rsidRDefault="00FF0F56" w:rsidP="00B42154">
      <w:r>
        <w:t>Azure</w:t>
      </w:r>
      <w:r w:rsidR="00B42154">
        <w:t xml:space="preserve"> Active Directory contains a series of reports that can be used by customers to gain insight into various activities about the user. These reports are broken into three categories:</w:t>
      </w:r>
    </w:p>
    <w:p w14:paraId="2D1B1ADB" w14:textId="77777777" w:rsidR="00B42154" w:rsidRDefault="00B42154" w:rsidP="005729D2">
      <w:pPr>
        <w:pStyle w:val="ListParagraph"/>
        <w:numPr>
          <w:ilvl w:val="0"/>
          <w:numId w:val="49"/>
        </w:numPr>
      </w:pPr>
      <w:r w:rsidRPr="00F147DB">
        <w:rPr>
          <w:b/>
        </w:rPr>
        <w:t xml:space="preserve">Anomalous </w:t>
      </w:r>
      <w:r>
        <w:rPr>
          <w:b/>
        </w:rPr>
        <w:t>a</w:t>
      </w:r>
      <w:r w:rsidRPr="00F147DB">
        <w:rPr>
          <w:b/>
        </w:rPr>
        <w:t>ctivity</w:t>
      </w:r>
      <w:r>
        <w:t xml:space="preserve"> – Reports potentially suspicious activity that could be an indicator of a security incident.</w:t>
      </w:r>
    </w:p>
    <w:p w14:paraId="03E20653" w14:textId="77777777" w:rsidR="00B42154" w:rsidRDefault="00B42154" w:rsidP="005729D2">
      <w:pPr>
        <w:pStyle w:val="ListParagraph"/>
        <w:numPr>
          <w:ilvl w:val="0"/>
          <w:numId w:val="49"/>
        </w:numPr>
      </w:pPr>
      <w:r w:rsidRPr="00F147DB">
        <w:rPr>
          <w:b/>
        </w:rPr>
        <w:t xml:space="preserve">Activity </w:t>
      </w:r>
      <w:r>
        <w:rPr>
          <w:b/>
        </w:rPr>
        <w:t>l</w:t>
      </w:r>
      <w:r w:rsidRPr="00F147DB">
        <w:rPr>
          <w:b/>
        </w:rPr>
        <w:t>ogs</w:t>
      </w:r>
      <w:r>
        <w:t xml:space="preserve"> – Provides reports about various activities that are taking place within the directory, such as password management or self-service identity activities.</w:t>
      </w:r>
    </w:p>
    <w:p w14:paraId="11194B90" w14:textId="77777777" w:rsidR="00B42154" w:rsidRDefault="00B42154" w:rsidP="005729D2">
      <w:pPr>
        <w:pStyle w:val="ListParagraph"/>
        <w:numPr>
          <w:ilvl w:val="0"/>
          <w:numId w:val="49"/>
        </w:numPr>
      </w:pPr>
      <w:r w:rsidRPr="00F147DB">
        <w:rPr>
          <w:b/>
        </w:rPr>
        <w:t xml:space="preserve">Integrated </w:t>
      </w:r>
      <w:r>
        <w:rPr>
          <w:b/>
        </w:rPr>
        <w:t>a</w:t>
      </w:r>
      <w:r w:rsidRPr="00F147DB">
        <w:rPr>
          <w:b/>
        </w:rPr>
        <w:t>pplications</w:t>
      </w:r>
      <w:r>
        <w:t xml:space="preserve"> – Provides statistics about which applications are being used.</w:t>
      </w:r>
    </w:p>
    <w:p w14:paraId="4266A83E" w14:textId="127489A3" w:rsidR="00B44C3B" w:rsidRPr="00FF0F56" w:rsidRDefault="00B42154" w:rsidP="00B42154">
      <w:r>
        <w:t>These reports are available to customers with Azure Active Directory Premium licenses. There is nothing architecturally to be considered with these reports. Customers simply need to be aware that they exist and should be monitored</w:t>
      </w:r>
      <w:r w:rsidR="00B44C3B">
        <w:t>.</w:t>
      </w:r>
    </w:p>
    <w:p w14:paraId="6C2F1769" w14:textId="17EFEACB" w:rsidR="00165CBC" w:rsidRDefault="00165CBC" w:rsidP="005729D2">
      <w:pPr>
        <w:pStyle w:val="Heading3Numbered"/>
        <w:numPr>
          <w:ilvl w:val="2"/>
          <w:numId w:val="64"/>
        </w:numPr>
      </w:pPr>
      <w:bookmarkStart w:id="5489" w:name="_Toc415011351"/>
      <w:bookmarkStart w:id="5490" w:name="_Toc415040041"/>
      <w:bookmarkStart w:id="5491" w:name="_Toc415572398"/>
      <w:bookmarkStart w:id="5492" w:name="_Toc415735568"/>
      <w:bookmarkStart w:id="5493" w:name="_Toc415814149"/>
      <w:bookmarkStart w:id="5494" w:name="_Toc416343884"/>
      <w:bookmarkStart w:id="5495" w:name="_Toc416863156"/>
      <w:bookmarkStart w:id="5496" w:name="_Toc417314771"/>
      <w:bookmarkStart w:id="5497" w:name="_Toc417323788"/>
      <w:bookmarkStart w:id="5498" w:name="_Toc417326878"/>
      <w:bookmarkStart w:id="5499" w:name="_Toc417330426"/>
      <w:bookmarkStart w:id="5500" w:name="_Toc417395032"/>
      <w:bookmarkStart w:id="5501" w:name="_Toc417399249"/>
      <w:bookmarkStart w:id="5502" w:name="_Toc417399408"/>
      <w:bookmarkStart w:id="5503" w:name="_Toc417400455"/>
      <w:bookmarkStart w:id="5504" w:name="_Toc417401303"/>
      <w:bookmarkStart w:id="5505" w:name="_Toc417419618"/>
      <w:bookmarkStart w:id="5506" w:name="_Toc417457390"/>
      <w:bookmarkStart w:id="5507" w:name="_Toc417481968"/>
      <w:bookmarkStart w:id="5508" w:name="_Toc417482226"/>
      <w:bookmarkStart w:id="5509" w:name="_Toc417499945"/>
      <w:bookmarkStart w:id="5510" w:name="_Toc417502766"/>
      <w:bookmarkStart w:id="5511" w:name="_Toc417548346"/>
      <w:bookmarkStart w:id="5512" w:name="_Toc417594589"/>
      <w:bookmarkStart w:id="5513" w:name="_Toc417934718"/>
      <w:bookmarkStart w:id="5514" w:name="_Toc417936057"/>
      <w:bookmarkStart w:id="5515" w:name="_Toc417936519"/>
      <w:bookmarkStart w:id="5516" w:name="_Toc417946942"/>
      <w:bookmarkStart w:id="5517" w:name="_Toc417947411"/>
      <w:bookmarkStart w:id="5518" w:name="_Toc417982552"/>
      <w:bookmarkStart w:id="5519" w:name="_Toc417986006"/>
      <w:bookmarkStart w:id="5520" w:name="_Toc418000698"/>
      <w:bookmarkStart w:id="5521" w:name="_Toc418003870"/>
      <w:bookmarkStart w:id="5522" w:name="_Toc418012075"/>
      <w:bookmarkStart w:id="5523" w:name="_Toc418014488"/>
      <w:bookmarkStart w:id="5524" w:name="_Toc418030093"/>
      <w:bookmarkStart w:id="5525" w:name="_Toc418036976"/>
      <w:bookmarkStart w:id="5526" w:name="_Toc418061449"/>
      <w:bookmarkStart w:id="5527" w:name="_Toc418081348"/>
      <w:bookmarkStart w:id="5528" w:name="_Toc418083380"/>
      <w:bookmarkStart w:id="5529" w:name="_Toc418096144"/>
      <w:bookmarkStart w:id="5530" w:name="_Toc418156746"/>
      <w:bookmarkStart w:id="5531" w:name="_Toc418167665"/>
      <w:bookmarkStart w:id="5532" w:name="_Toc418185921"/>
      <w:bookmarkStart w:id="5533" w:name="_Toc422941635"/>
      <w:bookmarkStart w:id="5534" w:name="_Toc423116841"/>
      <w:bookmarkStart w:id="5535" w:name="_Toc423117874"/>
      <w:bookmarkStart w:id="5536" w:name="_Toc423117324"/>
      <w:bookmarkStart w:id="5537" w:name="_Toc431288917"/>
      <w:r>
        <w:t>Monitoring</w:t>
      </w:r>
      <w:bookmarkEnd w:id="5437"/>
      <w:bookmarkEnd w:id="5438"/>
      <w:bookmarkEnd w:id="5439"/>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2A07D0CE" w14:textId="58B616EC" w:rsidR="001D4A7B" w:rsidRDefault="001D4A7B" w:rsidP="002F4CAC">
      <w:r>
        <w:t xml:space="preserve">As a cloud service, Azure Active Directory does not need monitoring.  You can, however, visit the </w:t>
      </w:r>
      <w:hyperlink r:id="rId456" w:history="1">
        <w:r w:rsidR="00F147DB" w:rsidRPr="00F147DB">
          <w:rPr>
            <w:rStyle w:val="Hyperlink"/>
          </w:rPr>
          <w:t xml:space="preserve">Azure </w:t>
        </w:r>
        <w:r w:rsidRPr="00F147DB">
          <w:rPr>
            <w:rStyle w:val="Hyperlink"/>
          </w:rPr>
          <w:t>Status</w:t>
        </w:r>
      </w:hyperlink>
      <w:r w:rsidRPr="00F147DB">
        <w:t xml:space="preserve"> </w:t>
      </w:r>
      <w:r w:rsidR="00F147DB">
        <w:t>page</w:t>
      </w:r>
      <w:r>
        <w:t xml:space="preserve"> to determine if there are currently any issues with the Azure AD service.</w:t>
      </w:r>
    </w:p>
    <w:p w14:paraId="66429F32" w14:textId="5F746982" w:rsidR="00F147DB" w:rsidRDefault="00F147DB" w:rsidP="005729D2">
      <w:pPr>
        <w:pStyle w:val="Heading4Numbered"/>
        <w:numPr>
          <w:ilvl w:val="3"/>
          <w:numId w:val="64"/>
        </w:numPr>
      </w:pPr>
      <w:r>
        <w:t>Azure AD Connect Health</w:t>
      </w:r>
    </w:p>
    <w:p w14:paraId="41B28628" w14:textId="77777777" w:rsidR="00B42154" w:rsidRDefault="001D4A7B" w:rsidP="00B42154">
      <w:r>
        <w:t xml:space="preserve">One </w:t>
      </w:r>
      <w:r w:rsidR="00B42154">
        <w:t xml:space="preserve">monitoring capability that Azure Active Directory does provide is monitoring on-premises AD FS servers. This can be any AD FS implementation; it is not required to be the AD FS implementation that federates an organization with Azure AD. </w:t>
      </w:r>
    </w:p>
    <w:p w14:paraId="78D19068" w14:textId="77777777" w:rsidR="00B42154" w:rsidRDefault="00B42154" w:rsidP="00B42154">
      <w:r>
        <w:t xml:space="preserve">This feature is called Azure AD Connect Health. This service allows you to install agents on your AD FS servers that push audit data to Azure AD. When the data is there, Azure AD can provide lots of useful information about the health and metrics of AD FS. </w:t>
      </w:r>
    </w:p>
    <w:p w14:paraId="1A9DEADB" w14:textId="77777777" w:rsidR="00B42154" w:rsidRDefault="00B42154" w:rsidP="00B42154">
      <w:r>
        <w:t xml:space="preserve">For more information, please see </w:t>
      </w:r>
      <w:hyperlink r:id="rId457" w:history="1">
        <w:r>
          <w:rPr>
            <w:rStyle w:val="Hyperlink"/>
          </w:rPr>
          <w:t>Azure AD</w:t>
        </w:r>
        <w:r w:rsidRPr="00F147DB">
          <w:rPr>
            <w:rStyle w:val="Hyperlink"/>
          </w:rPr>
          <w:t xml:space="preserve"> Connect Health</w:t>
        </w:r>
      </w:hyperlink>
      <w:r>
        <w:t>.</w:t>
      </w:r>
    </w:p>
    <w:p w14:paraId="37479DD0" w14:textId="77777777" w:rsidR="00B42154" w:rsidRDefault="00B42154" w:rsidP="00B42154">
      <w:pPr>
        <w:pStyle w:val="Heading5"/>
      </w:pPr>
      <w:r>
        <w:t>Agent Installation</w:t>
      </w:r>
    </w:p>
    <w:p w14:paraId="517E0EA0" w14:textId="77777777" w:rsidR="00B42154" w:rsidRDefault="00B42154" w:rsidP="00B42154">
      <w:r>
        <w:t xml:space="preserve">The Azure AD Connect Health agent must be installed on each AD FS server that is being monitored. The package can be downloaded and deployed via automated software installation (such as Active Directory Group Policy Objects or System Center Configuration Manager), or it can be manually installed on each AD FS server. </w:t>
      </w:r>
    </w:p>
    <w:p w14:paraId="6C03F6B3" w14:textId="77777777" w:rsidR="00B42154" w:rsidRDefault="00B42154" w:rsidP="00B42154">
      <w:r>
        <w:t>Azure AD Connect Health has an option to keep the agents automatically up-to-the date (which is turned on by default), so the installation of the agents is a one-time event.</w:t>
      </w:r>
    </w:p>
    <w:p w14:paraId="2D92BCE0" w14:textId="6F1C246A" w:rsidR="008267A1" w:rsidRDefault="00B42154" w:rsidP="00B42154">
      <w:r>
        <w:t>For some of the agent functionality to work, auditing must be turned on at each of the AD FS servers. This is turned off by default, so you need to ensure that a customer does not have any issues enabling it</w:t>
      </w:r>
      <w:r w:rsidR="008267A1">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8267A1" w14:paraId="602994A0" w14:textId="77777777" w:rsidTr="002D2BC2">
        <w:trPr>
          <w:trHeight w:val="423"/>
        </w:trPr>
        <w:tc>
          <w:tcPr>
            <w:tcW w:w="666" w:type="dxa"/>
          </w:tcPr>
          <w:p w14:paraId="458D7641" w14:textId="77777777" w:rsidR="008267A1" w:rsidRDefault="008267A1" w:rsidP="002D2BC2">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3637A7DA" wp14:editId="6230ECFE">
                      <wp:extent cx="200025" cy="180975"/>
                      <wp:effectExtent l="57150" t="19050" r="28575" b="104775"/>
                      <wp:docPr id="874593616" name="Octagon 874593616"/>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431157B" id="Octagon 874593616"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NYXeAIAAFoFAAAOAAAAZHJzL2Uyb0RvYy54bWysVEtrGzEQvhf6H4TuzXodOw+TdTAOKYWQ&#10;mCQlZ1kr2QJJo0qy1+6v70i7Xps0ECi9aGd23t88bm53RpOt8EGBrWh5NqBEWA61squK/ny9/3ZF&#10;SYjM1kyDFRXdi0Bvp1+/3DRuIoawBl0LT9CJDZPGVXQdo5sUReBrYVg4AycsCiV4wyKyflXUnjXo&#10;3ehiOBhcFA342nngIgT8e9cK6TT7l1Lw+CRlEJHoimJuMb8+v8v0FtMbNll55taKd2mwf8jCMGUx&#10;aO/qjkVGNl795coo7iGAjGccTAFSKi5yDVhNOXhXzcuaOZFrQXCC62EK/88tf9wuPFF1Ra8uR+Pr&#10;84vyghLLDLbqiUe2AkuOAgSrcWGCNi9u4TsuIJkq30lv0hdrIrsM8L4HWOwi4fgTOzYYjinhKCqv&#10;BteX49SA4mjsfIjfBRiSiIpCm0JGlm0fQmy1D1opXACt6nuldWb8ajnXnmwZtns+x2i5wxjgRK1I&#10;NbRZZyrutUjG2j4LiVBgnmWOmIdQ9P4Y58LGYZdx1k5mEmP3huefG3b6yVTkAe2Nh58b9xY5MtjY&#10;GxtlwX/kQMeyS1m2+gj4Sd2JXEK9xynw0K5HcPxeIf4PLMQF87gPuDm44/EJH6mhwcZ0FCVr8L8/&#10;+p/0cUxRSkmD+1XR8GvDvKBE/7A4wNflaJQWMjOj8eUQGX8qWZ5K7MbMAXta4jVxPJNJP+oDKT2Y&#10;NzwFsxQVRcxyjF1RHv2Bmcd27/GYcDGbZTVcQsfig31x/ND1NFyvuzfmXTeEEaf3EQ67yCbvBrHV&#10;Tf2wMNtEkCpP6RHXDm9c4Dzq3bFJF+KUz1rHkzj9Aw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LQo1hd4AgAAWg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5EFE6305" w14:textId="1340C0CA" w:rsidR="008267A1" w:rsidRDefault="008267A1" w:rsidP="00B42154">
            <w:pPr>
              <w:rPr>
                <w:lang w:eastAsia="en-US"/>
              </w:rPr>
            </w:pPr>
            <w:r w:rsidRPr="00192064">
              <w:rPr>
                <w:b/>
                <w:lang w:eastAsia="en-US"/>
              </w:rPr>
              <w:t>Mandatory</w:t>
            </w:r>
            <w:r>
              <w:rPr>
                <w:lang w:eastAsia="en-US"/>
              </w:rPr>
              <w:t>:  Auditing must be enabled on each AD FS server for the Usage Analytics in A</w:t>
            </w:r>
            <w:r w:rsidR="00B42154">
              <w:rPr>
                <w:lang w:eastAsia="en-US"/>
              </w:rPr>
              <w:t xml:space="preserve">zure </w:t>
            </w:r>
            <w:r>
              <w:rPr>
                <w:lang w:eastAsia="en-US"/>
              </w:rPr>
              <w:t>AD Connect Health to work properly.</w:t>
            </w:r>
          </w:p>
        </w:tc>
      </w:tr>
    </w:tbl>
    <w:p w14:paraId="7F5BF0B5" w14:textId="77777777" w:rsidR="00B42154" w:rsidRDefault="00B42154" w:rsidP="00B42154">
      <w:r>
        <w:t xml:space="preserve">There is also a set of outbound URLs that the agent contacts. These URLs must not be blocked by firewalls. For a complete list of these addresses, see the “Outbound Connectivity to Azure Service Endpoints” section on the </w:t>
      </w:r>
      <w:hyperlink r:id="rId458" w:history="1">
        <w:r>
          <w:rPr>
            <w:rStyle w:val="Hyperlink"/>
          </w:rPr>
          <w:t>Azure AD</w:t>
        </w:r>
        <w:r w:rsidRPr="008267A1">
          <w:rPr>
            <w:rStyle w:val="Hyperlink"/>
          </w:rPr>
          <w:t xml:space="preserve"> Connect Health Requirements</w:t>
        </w:r>
      </w:hyperlink>
      <w:r>
        <w:t xml:space="preserve"> page.</w:t>
      </w:r>
    </w:p>
    <w:p w14:paraId="052E4CBD" w14:textId="77777777" w:rsidR="00B42154" w:rsidRDefault="00B42154" w:rsidP="00B42154">
      <w:pPr>
        <w:pStyle w:val="Heading5"/>
      </w:pPr>
      <w:r>
        <w:t>Network Connectivity</w:t>
      </w:r>
    </w:p>
    <w:p w14:paraId="520B24A6" w14:textId="5C42A13C" w:rsidR="008267A1" w:rsidRDefault="00B42154" w:rsidP="00B42154">
      <w:r>
        <w:t>The Azure AD Connect Health agent sends audit and event log data to Azure AD. If network connectivity is disrupted, the agent will queue data up to an amount equal to 10% of the total system memory. If connectivity isn’t restored before the queue is full, the newer data will overwrite the older data until network connectivity is restored. It is estimated that 1000 requests consume about 80 MB of data</w:t>
      </w:r>
      <w:r w:rsidR="002D2BC2">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2D2BC2" w14:paraId="672482B6" w14:textId="77777777" w:rsidTr="002D2BC2">
        <w:trPr>
          <w:trHeight w:val="423"/>
        </w:trPr>
        <w:tc>
          <w:tcPr>
            <w:tcW w:w="666" w:type="dxa"/>
          </w:tcPr>
          <w:p w14:paraId="157CB931" w14:textId="77777777" w:rsidR="002D2BC2" w:rsidRDefault="002D2BC2" w:rsidP="002D2BC2">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344896" behindDoc="0" locked="0" layoutInCell="1" allowOverlap="1" wp14:anchorId="7EB769D6" wp14:editId="0A00B793">
                      <wp:simplePos x="0" y="0"/>
                      <wp:positionH relativeFrom="column">
                        <wp:posOffset>66675</wp:posOffset>
                      </wp:positionH>
                      <wp:positionV relativeFrom="paragraph">
                        <wp:posOffset>90170</wp:posOffset>
                      </wp:positionV>
                      <wp:extent cx="209550" cy="180975"/>
                      <wp:effectExtent l="57150" t="19050" r="57150" b="104775"/>
                      <wp:wrapNone/>
                      <wp:docPr id="874593620" name="Isosceles Triangle 8745936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00E6F8FE" id="Isosceles Triangle 874593620" o:spid="_x0000_s1026" type="#_x0000_t5" style="position:absolute;margin-left:5.25pt;margin-top:7.1pt;width:16.5pt;height:14.25pt;z-index:25134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bXSjAIAAH8FAAAOAAAAZHJzL2Uyb0RvYy54bWysVFtr2zAUfh/sPwi9r7bTpG1MnRJaMgqh&#10;DWtHnxVZSsxkHU1S4mS/fkfyJV1XKIz5QUg+37l/51zfHGpF9sK6CnRBs7OUEqE5lJXeFPT78+LL&#10;FSXOM10yBVoU9CgcvZl9/nTdmFyMYAuqFJagEe3yxhR0673Jk8TxraiZOwMjNAol2Jp5fNpNUlrW&#10;oPVaJaM0vUgasKWxwIVz+PeuFdJZtC+l4P5RSic8UQXF2Hw8bTzX4Uxm1yzfWGa2Fe/CYP8QRc0q&#10;jU4HU3fMM7Kz1V+m6opbcCD9GYc6ASkrLmIOmE2WvsnmacuMiLlgcZwZyuT+n1n+sF9ZUpUFvboc&#10;T6bnFyOskmY1turegeNCCUeebcX0RglywmDdGuNyVH8yKxsyd2YJ/IdDQfKHJDxchzlIWwcs5k0O&#10;sQnHoQni4AnHn6N0OplgEBxF2VU6vZyEJiUs75WNdf6rgJqES0F9F1wsP9svnW/hPSzGBqoqF5VS&#10;8WE361tlyZ4hJxb4pZEG6MGdYDGHNuyYgD8qEZSV/iYk1gsDzaLHyFQx2GOcC+0vupAjOqhJ9D0o&#10;nn+s2OGDqogsHpRHHysPGtEzaD8o15UG+54B5bMuZNniuy66Nu9QgjWUR6SKhXaGnOGLChuwZM6v&#10;mMWhwZ7hIvCPeEgFTUGhu1GyBfvrvf8Bj1xGKSUNDmFB3c8ds4ISda+R5dNsPA5TGx/jyWUgp30t&#10;Wb+W6F19C9jTDFeO4fEa8F71V2mhfsF9MQ9eUcQ0R98F5d72j1vfLgfcOFzM5xGGk2qYX+onw/uu&#10;B3I9H16YNT0Lkb4P0A8sy98QscWGfmiY7zzIKrL0VNeu3jjlkevdRgpr5PU7ok57c/YbAAD//wMA&#10;UEsDBBQABgAIAAAAIQA1PEIw2QAAAAcBAAAPAAAAZHJzL2Rvd25yZXYueG1sTI7NTsMwEITvSLyD&#10;tUhcUOuQhrYKcSqEkiOqKDyAE29+hL2OYrcNb89ygtNoNKOZrzgszooLzmH0pOBxnYBAar0ZqVfw&#10;+VGv9iBC1GS09YQKvjHAoby9KXRu/JXe8XKKveARCrlWMMQ45VKGdkCnw9pPSJx1fnY6sp17aWZ9&#10;5XFnZZokW+n0SPww6AlfB2y/TmenwDfLsdvUu/1D7Sb71lVV5o6VUvd3y8sziIhL/CvDLz6jQ8lM&#10;jT+TCcKyT564yZqlIDjPNuwb1nQHsizkf/7yBwAA//8DAFBLAQItABQABgAIAAAAIQC2gziS/gAA&#10;AOEBAAATAAAAAAAAAAAAAAAAAAAAAABbQ29udGVudF9UeXBlc10ueG1sUEsBAi0AFAAGAAgAAAAh&#10;ADj9If/WAAAAlAEAAAsAAAAAAAAAAAAAAAAALwEAAF9yZWxzLy5yZWxzUEsBAi0AFAAGAAgAAAAh&#10;ALoxtdKMAgAAfwUAAA4AAAAAAAAAAAAAAAAALgIAAGRycy9lMm9Eb2MueG1sUEsBAi0AFAAGAAgA&#10;AAAhADU8QjDZAAAABwEAAA8AAAAAAAAAAAAAAAAA5gQAAGRycy9kb3ducmV2LnhtbFBLBQYAAAAA&#10;BAAEAPMAAADsBQAAAAA=&#10;" fillcolor="yellow" strokecolor="#70ad47 [3209]" strokeweight=".5pt">
                      <v:path arrowok="t"/>
                    </v:shape>
                  </w:pict>
                </mc:Fallback>
              </mc:AlternateContent>
            </w:r>
          </w:p>
        </w:tc>
        <w:tc>
          <w:tcPr>
            <w:tcW w:w="8604" w:type="dxa"/>
          </w:tcPr>
          <w:p w14:paraId="6CD94B24" w14:textId="2AE007B6" w:rsidR="002D2BC2" w:rsidRDefault="002D2BC2" w:rsidP="002D2BC2">
            <w:pPr>
              <w:rPr>
                <w:lang w:eastAsia="en-US"/>
              </w:rPr>
            </w:pPr>
            <w:r>
              <w:rPr>
                <w:rFonts w:eastAsiaTheme="minorHAnsi"/>
                <w:b/>
                <w:lang w:eastAsia="en-US"/>
              </w:rPr>
              <w:t xml:space="preserve">Recommended: </w:t>
            </w:r>
            <w:r>
              <w:rPr>
                <w:rFonts w:eastAsiaTheme="minorHAnsi"/>
                <w:lang w:eastAsia="en-US"/>
              </w:rPr>
              <w:t xml:space="preserve"> </w:t>
            </w:r>
            <w:r w:rsidR="00B42154">
              <w:rPr>
                <w:rFonts w:eastAsiaTheme="minorHAnsi"/>
                <w:lang w:eastAsia="en-US"/>
              </w:rPr>
              <w:t>You’ll want to ensure that there’s a big enough buffer on the AD FS audit channel to prevent wrapping of data. We recommend that you have at least 1 GB of storage allocated to the AD FS audit channel</w:t>
            </w:r>
            <w:r>
              <w:rPr>
                <w:rFonts w:eastAsiaTheme="minorHAnsi"/>
                <w:lang w:eastAsia="en-US"/>
              </w:rPr>
              <w:t>.</w:t>
            </w:r>
          </w:p>
        </w:tc>
      </w:tr>
    </w:tbl>
    <w:tbl>
      <w:tblPr>
        <w:tblStyle w:val="PlainTable11"/>
        <w:tblW w:w="0" w:type="auto"/>
        <w:tblLook w:val="04A0" w:firstRow="1" w:lastRow="0" w:firstColumn="1" w:lastColumn="0" w:noHBand="0" w:noVBand="1"/>
      </w:tblPr>
      <w:tblGrid>
        <w:gridCol w:w="3395"/>
        <w:gridCol w:w="5955"/>
      </w:tblGrid>
      <w:tr w:rsidR="00F147DB" w14:paraId="5B9CF21F" w14:textId="77777777" w:rsidTr="00970D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21372541" w14:textId="76F16A73" w:rsidR="00F147DB" w:rsidRPr="00F47607" w:rsidRDefault="00F147DB" w:rsidP="00F147DB">
            <w:pPr>
              <w:spacing w:line="240" w:lineRule="auto"/>
              <w:rPr>
                <w:color w:val="FFFFFF"/>
              </w:rPr>
            </w:pPr>
            <w:r>
              <w:rPr>
                <w:color w:val="FFFFFF"/>
              </w:rPr>
              <w:t>References</w:t>
            </w:r>
          </w:p>
        </w:tc>
      </w:tr>
      <w:tr w:rsidR="00F147DB" w:rsidRPr="00970D41" w14:paraId="5F9FA971" w14:textId="77777777" w:rsidTr="00970D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9" w:type="dxa"/>
          </w:tcPr>
          <w:p w14:paraId="2F01825A" w14:textId="77777777" w:rsidR="00F147DB" w:rsidRPr="00970D41" w:rsidRDefault="00F147DB" w:rsidP="00F147DB">
            <w:pPr>
              <w:spacing w:line="240" w:lineRule="auto"/>
              <w:rPr>
                <w:sz w:val="20"/>
                <w:szCs w:val="18"/>
              </w:rPr>
            </w:pPr>
            <w:r w:rsidRPr="00970D41">
              <w:rPr>
                <w:sz w:val="20"/>
                <w:szCs w:val="18"/>
              </w:rPr>
              <w:t>Azure Status</w:t>
            </w:r>
          </w:p>
        </w:tc>
        <w:tc>
          <w:tcPr>
            <w:tcW w:w="5961" w:type="dxa"/>
          </w:tcPr>
          <w:p w14:paraId="67F29088" w14:textId="2A2C0CBD" w:rsidR="00F147DB" w:rsidRPr="00970D41" w:rsidRDefault="00872E47" w:rsidP="00F147DB">
            <w:pPr>
              <w:cnfStyle w:val="000000100000" w:firstRow="0" w:lastRow="0" w:firstColumn="0" w:lastColumn="0" w:oddVBand="0" w:evenVBand="0" w:oddHBand="1" w:evenHBand="0" w:firstRowFirstColumn="0" w:firstRowLastColumn="0" w:lastRowFirstColumn="0" w:lastRowLastColumn="0"/>
              <w:rPr>
                <w:sz w:val="20"/>
                <w:szCs w:val="18"/>
              </w:rPr>
            </w:pPr>
            <w:hyperlink r:id="rId459" w:anchor="current" w:history="1">
              <w:r w:rsidR="00F147DB" w:rsidRPr="00970D41">
                <w:rPr>
                  <w:rStyle w:val="Hyperlink"/>
                  <w:sz w:val="20"/>
                </w:rPr>
                <w:t>http://azure.microsoft.com/en-us/status/#current</w:t>
              </w:r>
            </w:hyperlink>
          </w:p>
        </w:tc>
      </w:tr>
      <w:tr w:rsidR="008267A1" w:rsidRPr="00970D41" w14:paraId="1A1B7389" w14:textId="77777777" w:rsidTr="00970D41">
        <w:tc>
          <w:tcPr>
            <w:cnfStyle w:val="001000000000" w:firstRow="0" w:lastRow="0" w:firstColumn="1" w:lastColumn="0" w:oddVBand="0" w:evenVBand="0" w:oddHBand="0" w:evenHBand="0" w:firstRowFirstColumn="0" w:firstRowLastColumn="0" w:lastRowFirstColumn="0" w:lastRowLastColumn="0"/>
            <w:tcW w:w="3399" w:type="dxa"/>
          </w:tcPr>
          <w:p w14:paraId="028B43DE" w14:textId="19B844A7" w:rsidR="008267A1" w:rsidRPr="00970D41" w:rsidRDefault="008267A1" w:rsidP="00F147DB">
            <w:pPr>
              <w:spacing w:line="240" w:lineRule="auto"/>
              <w:rPr>
                <w:sz w:val="20"/>
                <w:szCs w:val="18"/>
              </w:rPr>
            </w:pPr>
            <w:r w:rsidRPr="00970D41">
              <w:rPr>
                <w:sz w:val="20"/>
                <w:szCs w:val="18"/>
              </w:rPr>
              <w:t>Azure AD Connect Health Requirements</w:t>
            </w:r>
          </w:p>
        </w:tc>
        <w:tc>
          <w:tcPr>
            <w:tcW w:w="5961" w:type="dxa"/>
          </w:tcPr>
          <w:p w14:paraId="33B74D41" w14:textId="7F39A69F" w:rsidR="008267A1" w:rsidRPr="00970D41" w:rsidRDefault="00872E47" w:rsidP="008267A1">
            <w:pPr>
              <w:cnfStyle w:val="000000000000" w:firstRow="0" w:lastRow="0" w:firstColumn="0" w:lastColumn="0" w:oddVBand="0" w:evenVBand="0" w:oddHBand="0" w:evenHBand="0" w:firstRowFirstColumn="0" w:firstRowLastColumn="0" w:lastRowFirstColumn="0" w:lastRowLastColumn="0"/>
              <w:rPr>
                <w:sz w:val="20"/>
              </w:rPr>
            </w:pPr>
            <w:hyperlink r:id="rId460" w:history="1">
              <w:r w:rsidR="008267A1" w:rsidRPr="00970D41">
                <w:rPr>
                  <w:rStyle w:val="Hyperlink"/>
                  <w:sz w:val="20"/>
                </w:rPr>
                <w:t>https://msdn.microsoft.com/en-us/library/azure/dn906733.aspx</w:t>
              </w:r>
            </w:hyperlink>
          </w:p>
        </w:tc>
      </w:tr>
      <w:tr w:rsidR="002D2BC2" w:rsidRPr="00970D41" w14:paraId="35AA7FBE" w14:textId="77777777" w:rsidTr="00970D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9" w:type="dxa"/>
          </w:tcPr>
          <w:p w14:paraId="709F6712" w14:textId="1AB44F90" w:rsidR="002D2BC2" w:rsidRPr="00970D41" w:rsidRDefault="002D2BC2" w:rsidP="00F147DB">
            <w:pPr>
              <w:spacing w:line="240" w:lineRule="auto"/>
              <w:rPr>
                <w:sz w:val="20"/>
                <w:szCs w:val="18"/>
              </w:rPr>
            </w:pPr>
            <w:r w:rsidRPr="00970D41">
              <w:rPr>
                <w:sz w:val="20"/>
                <w:szCs w:val="18"/>
              </w:rPr>
              <w:t>Azure AD Connect Health FAQ</w:t>
            </w:r>
          </w:p>
        </w:tc>
        <w:tc>
          <w:tcPr>
            <w:tcW w:w="5961" w:type="dxa"/>
          </w:tcPr>
          <w:p w14:paraId="2E420444" w14:textId="3FA52C58" w:rsidR="002D2BC2" w:rsidRPr="00970D41" w:rsidRDefault="00872E47" w:rsidP="002D2BC2">
            <w:pPr>
              <w:cnfStyle w:val="000000100000" w:firstRow="0" w:lastRow="0" w:firstColumn="0" w:lastColumn="0" w:oddVBand="0" w:evenVBand="0" w:oddHBand="1" w:evenHBand="0" w:firstRowFirstColumn="0" w:firstRowLastColumn="0" w:lastRowFirstColumn="0" w:lastRowLastColumn="0"/>
              <w:rPr>
                <w:sz w:val="20"/>
              </w:rPr>
            </w:pPr>
            <w:hyperlink r:id="rId461" w:history="1">
              <w:r w:rsidR="002D2BC2" w:rsidRPr="00970D41">
                <w:rPr>
                  <w:rStyle w:val="Hyperlink"/>
                  <w:sz w:val="20"/>
                </w:rPr>
                <w:t>https://msdn.microsoft.com/en-us/library/azure/dn906723.aspx</w:t>
              </w:r>
            </w:hyperlink>
          </w:p>
        </w:tc>
      </w:tr>
    </w:tbl>
    <w:p w14:paraId="087B5389" w14:textId="0BE7D909" w:rsidR="005843BE" w:rsidRDefault="004127DA" w:rsidP="005729D2">
      <w:pPr>
        <w:pStyle w:val="Heading3Numbered"/>
        <w:numPr>
          <w:ilvl w:val="2"/>
          <w:numId w:val="64"/>
        </w:numPr>
      </w:pPr>
      <w:bookmarkStart w:id="5538" w:name="_Toc414892134"/>
      <w:bookmarkStart w:id="5539" w:name="_Toc414960157"/>
      <w:bookmarkStart w:id="5540" w:name="_Toc414969128"/>
      <w:bookmarkStart w:id="5541" w:name="_Toc415011352"/>
      <w:bookmarkStart w:id="5542" w:name="_Toc415040042"/>
      <w:bookmarkStart w:id="5543" w:name="_Toc415572399"/>
      <w:bookmarkStart w:id="5544" w:name="_Toc415735569"/>
      <w:bookmarkStart w:id="5545" w:name="_Toc415814150"/>
      <w:bookmarkStart w:id="5546" w:name="_Toc416343885"/>
      <w:bookmarkStart w:id="5547" w:name="_Toc416863157"/>
      <w:bookmarkStart w:id="5548" w:name="_Toc417314772"/>
      <w:bookmarkStart w:id="5549" w:name="_Toc417323789"/>
      <w:bookmarkStart w:id="5550" w:name="_Toc417326879"/>
      <w:bookmarkStart w:id="5551" w:name="_Toc417330427"/>
      <w:bookmarkStart w:id="5552" w:name="_Toc417395033"/>
      <w:bookmarkStart w:id="5553" w:name="_Toc417399250"/>
      <w:bookmarkStart w:id="5554" w:name="_Toc417399409"/>
      <w:bookmarkStart w:id="5555" w:name="_Toc417400456"/>
      <w:bookmarkStart w:id="5556" w:name="_Toc417401304"/>
      <w:bookmarkStart w:id="5557" w:name="_Toc417419619"/>
      <w:bookmarkStart w:id="5558" w:name="_Toc417457391"/>
      <w:bookmarkStart w:id="5559" w:name="_Toc417481969"/>
      <w:bookmarkStart w:id="5560" w:name="_Toc417482227"/>
      <w:bookmarkStart w:id="5561" w:name="_Toc417499946"/>
      <w:bookmarkStart w:id="5562" w:name="_Toc417502767"/>
      <w:bookmarkStart w:id="5563" w:name="_Toc417548347"/>
      <w:bookmarkStart w:id="5564" w:name="_Toc417594590"/>
      <w:bookmarkStart w:id="5565" w:name="_Toc417934719"/>
      <w:bookmarkStart w:id="5566" w:name="_Toc417936058"/>
      <w:bookmarkStart w:id="5567" w:name="_Toc417936520"/>
      <w:bookmarkStart w:id="5568" w:name="_Toc417946943"/>
      <w:bookmarkStart w:id="5569" w:name="_Toc417947412"/>
      <w:bookmarkStart w:id="5570" w:name="_Toc417982553"/>
      <w:bookmarkStart w:id="5571" w:name="_Toc417986007"/>
      <w:bookmarkStart w:id="5572" w:name="_Toc418000699"/>
      <w:bookmarkStart w:id="5573" w:name="_Toc418003871"/>
      <w:bookmarkStart w:id="5574" w:name="_Toc418012076"/>
      <w:bookmarkStart w:id="5575" w:name="_Toc418014489"/>
      <w:bookmarkStart w:id="5576" w:name="_Toc418030094"/>
      <w:bookmarkStart w:id="5577" w:name="_Toc418036977"/>
      <w:bookmarkStart w:id="5578" w:name="_Toc418061450"/>
      <w:bookmarkStart w:id="5579" w:name="_Toc418081349"/>
      <w:bookmarkStart w:id="5580" w:name="_Toc418083381"/>
      <w:bookmarkStart w:id="5581" w:name="_Toc418096145"/>
      <w:bookmarkStart w:id="5582" w:name="_Toc418156747"/>
      <w:bookmarkStart w:id="5583" w:name="_Toc418167666"/>
      <w:bookmarkStart w:id="5584" w:name="_Toc418185922"/>
      <w:bookmarkStart w:id="5585" w:name="_Toc422941636"/>
      <w:bookmarkStart w:id="5586" w:name="_Toc423116842"/>
      <w:bookmarkStart w:id="5587" w:name="_Toc423117875"/>
      <w:bookmarkStart w:id="5588" w:name="_Toc423117325"/>
      <w:bookmarkStart w:id="5589" w:name="_Toc431288918"/>
      <w:r>
        <w:t xml:space="preserve">Directory </w:t>
      </w:r>
      <w:r w:rsidR="005843BE">
        <w:t>Management</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6C1792B9" w14:textId="16114918" w:rsidR="00E00567" w:rsidRDefault="00E00567" w:rsidP="005729D2">
      <w:pPr>
        <w:pStyle w:val="Heading4Numbered"/>
        <w:numPr>
          <w:ilvl w:val="3"/>
          <w:numId w:val="64"/>
        </w:numPr>
      </w:pPr>
      <w:r>
        <w:t>Azure AD License Assignment</w:t>
      </w:r>
    </w:p>
    <w:p w14:paraId="560335D1" w14:textId="403409B6" w:rsidR="00B42154" w:rsidRDefault="00E00567" w:rsidP="00B42154">
      <w:r>
        <w:t>All</w:t>
      </w:r>
      <w:r w:rsidR="00B42154">
        <w:t xml:space="preserve"> users that have a Basic, Premium, or </w:t>
      </w:r>
      <w:r w:rsidR="00B42154" w:rsidRPr="004A2325">
        <w:t>Enterprise Mobility Suite</w:t>
      </w:r>
      <w:r w:rsidR="00B42154" w:rsidDel="004C4581">
        <w:t xml:space="preserve"> </w:t>
      </w:r>
      <w:r w:rsidR="00B42154">
        <w:t>license must be specifically assigned to the license to use the associated features. There are two ways to associate a license with a user in Azure AD:</w:t>
      </w:r>
    </w:p>
    <w:p w14:paraId="54346FC3" w14:textId="77777777" w:rsidR="00B42154" w:rsidRDefault="00B42154" w:rsidP="005729D2">
      <w:pPr>
        <w:pStyle w:val="ListParagraph"/>
        <w:numPr>
          <w:ilvl w:val="0"/>
          <w:numId w:val="278"/>
        </w:numPr>
      </w:pPr>
      <w:r>
        <w:t>Direct assignment</w:t>
      </w:r>
    </w:p>
    <w:p w14:paraId="7AB067B3" w14:textId="77777777" w:rsidR="00B42154" w:rsidRDefault="00B42154" w:rsidP="005729D2">
      <w:pPr>
        <w:pStyle w:val="ListParagraph"/>
        <w:numPr>
          <w:ilvl w:val="0"/>
          <w:numId w:val="278"/>
        </w:numPr>
      </w:pPr>
      <w:r>
        <w:t>Group membership</w:t>
      </w:r>
    </w:p>
    <w:p w14:paraId="5C873264" w14:textId="77777777" w:rsidR="00B42154" w:rsidRDefault="00B42154" w:rsidP="00B42154">
      <w:pPr>
        <w:pStyle w:val="Heading5"/>
      </w:pPr>
      <w:r>
        <w:t>Direct License Assignment</w:t>
      </w:r>
    </w:p>
    <w:p w14:paraId="49A5039D" w14:textId="77777777" w:rsidR="00B42154" w:rsidRDefault="00B42154" w:rsidP="00B42154">
      <w:r>
        <w:t xml:space="preserve">With a direct license assignment, you are assigning a license to an individual person. For large organizations, this model can be unsustainable because it requires you to manage each user’s license individually. </w:t>
      </w:r>
    </w:p>
    <w:p w14:paraId="5A887D58" w14:textId="77777777" w:rsidR="00B42154" w:rsidRDefault="00B42154" w:rsidP="00B42154">
      <w:r>
        <w:t>However, if you are using an Identity Management service in your on-premises environment (such as Microsoft Identity Manager), you can directly assign licenses to users by having the Identity Management service run a PowerShell command. Therefore, we recommend assigning licenses directly if:</w:t>
      </w:r>
    </w:p>
    <w:p w14:paraId="413D749B" w14:textId="77777777" w:rsidR="00B42154" w:rsidRDefault="00B42154" w:rsidP="005729D2">
      <w:pPr>
        <w:pStyle w:val="ListBullet"/>
        <w:numPr>
          <w:ilvl w:val="0"/>
          <w:numId w:val="121"/>
        </w:numPr>
      </w:pPr>
      <w:r>
        <w:t>The organization is small and an administrator can manage the license assignments through the Azure portal.</w:t>
      </w:r>
    </w:p>
    <w:p w14:paraId="6DAF3DC4" w14:textId="77777777" w:rsidR="00B42154" w:rsidRDefault="00B42154" w:rsidP="005729D2">
      <w:pPr>
        <w:pStyle w:val="ListBullet"/>
        <w:numPr>
          <w:ilvl w:val="0"/>
          <w:numId w:val="121"/>
        </w:numPr>
      </w:pPr>
      <w:r>
        <w:t>An Identity Management system is used and it can integrate with Windows PowerShell as part of its provisioning process.</w:t>
      </w:r>
    </w:p>
    <w:p w14:paraId="76E171C6" w14:textId="77777777" w:rsidR="00B42154" w:rsidRDefault="00B42154" w:rsidP="00B42154">
      <w:pPr>
        <w:pStyle w:val="Heading5"/>
      </w:pPr>
      <w:r>
        <w:t>Group Membership</w:t>
      </w:r>
    </w:p>
    <w:p w14:paraId="41D6B696" w14:textId="77777777" w:rsidR="00B42154" w:rsidRDefault="00B42154" w:rsidP="00B42154">
      <w:r>
        <w:t xml:space="preserve">Another approach for assigning licenses to Azure AD users is to add the users to an Azure AD group, and then assign the license to the group, instead of to individual users. The group used for the license assignment can be a group that is sourced from the on-premises Active Directory or a group that is sourced from the Azure AD. </w:t>
      </w:r>
    </w:p>
    <w:p w14:paraId="6527637E" w14:textId="77777777" w:rsidR="00B42154" w:rsidRDefault="00B42154" w:rsidP="00B42154">
      <w:r>
        <w:t>This approach tends to be more manageable for large organizations, especially those that already have a group management solution in place. We recommend assigning licenses via group membership if:</w:t>
      </w:r>
    </w:p>
    <w:p w14:paraId="3320D229" w14:textId="03DBCE4B" w:rsidR="00B42154" w:rsidRDefault="00B42154" w:rsidP="005729D2">
      <w:pPr>
        <w:pStyle w:val="ListBullet"/>
        <w:numPr>
          <w:ilvl w:val="0"/>
          <w:numId w:val="122"/>
        </w:numPr>
      </w:pPr>
      <w:r>
        <w:t>The organization has an Identity Management system in place that is capable of managing group memberships</w:t>
      </w:r>
    </w:p>
    <w:p w14:paraId="57B5C980" w14:textId="3533A44A" w:rsidR="00E00567" w:rsidRDefault="00B42154" w:rsidP="005729D2">
      <w:pPr>
        <w:pStyle w:val="ListBullet"/>
        <w:numPr>
          <w:ilvl w:val="0"/>
          <w:numId w:val="122"/>
        </w:numPr>
      </w:pPr>
      <w:r>
        <w:t>The organization is large and can appropriately assign various users to role-based groups memberships</w:t>
      </w:r>
    </w:p>
    <w:tbl>
      <w:tblPr>
        <w:tblStyle w:val="PlainTable11"/>
        <w:tblW w:w="0" w:type="auto"/>
        <w:tblLook w:val="04A0" w:firstRow="1" w:lastRow="0" w:firstColumn="1" w:lastColumn="0" w:noHBand="0" w:noVBand="1"/>
      </w:tblPr>
      <w:tblGrid>
        <w:gridCol w:w="3395"/>
        <w:gridCol w:w="5955"/>
      </w:tblGrid>
      <w:tr w:rsidR="00E00567" w14:paraId="44DF8665" w14:textId="77777777" w:rsidTr="00970D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0BA49B1E" w14:textId="77777777" w:rsidR="00E00567" w:rsidRPr="00F47607" w:rsidRDefault="00E00567" w:rsidP="001E712B">
            <w:pPr>
              <w:spacing w:line="240" w:lineRule="auto"/>
              <w:rPr>
                <w:color w:val="FFFFFF"/>
              </w:rPr>
            </w:pPr>
            <w:bookmarkStart w:id="5590" w:name="_Toc414892135"/>
            <w:bookmarkStart w:id="5591" w:name="_Toc414960158"/>
            <w:bookmarkStart w:id="5592" w:name="_Toc414969129"/>
            <w:r>
              <w:rPr>
                <w:color w:val="FFFFFF"/>
              </w:rPr>
              <w:t>References</w:t>
            </w:r>
          </w:p>
        </w:tc>
      </w:tr>
      <w:tr w:rsidR="00E00567" w14:paraId="69F0AE36" w14:textId="77777777" w:rsidTr="00970D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9" w:type="dxa"/>
          </w:tcPr>
          <w:p w14:paraId="4E33B462" w14:textId="6C012277" w:rsidR="00E00567" w:rsidRDefault="00E00567" w:rsidP="001E712B">
            <w:pPr>
              <w:spacing w:line="240" w:lineRule="auto"/>
              <w:rPr>
                <w:sz w:val="18"/>
                <w:szCs w:val="18"/>
              </w:rPr>
            </w:pPr>
            <w:r>
              <w:rPr>
                <w:sz w:val="18"/>
                <w:szCs w:val="18"/>
              </w:rPr>
              <w:t>Manage Azure AD Subscriptions and Licenses</w:t>
            </w:r>
          </w:p>
        </w:tc>
        <w:tc>
          <w:tcPr>
            <w:tcW w:w="5961" w:type="dxa"/>
          </w:tcPr>
          <w:p w14:paraId="309BF41C" w14:textId="776DFAA7" w:rsidR="00E00567" w:rsidRDefault="00872E47" w:rsidP="00E00567">
            <w:pPr>
              <w:cnfStyle w:val="000000100000" w:firstRow="0" w:lastRow="0" w:firstColumn="0" w:lastColumn="0" w:oddVBand="0" w:evenVBand="0" w:oddHBand="1" w:evenHBand="0" w:firstRowFirstColumn="0" w:firstRowLastColumn="0" w:lastRowFirstColumn="0" w:lastRowLastColumn="0"/>
              <w:rPr>
                <w:sz w:val="18"/>
                <w:szCs w:val="18"/>
              </w:rPr>
            </w:pPr>
            <w:hyperlink r:id="rId462" w:history="1">
              <w:r w:rsidR="00232F08">
                <w:rPr>
                  <w:rStyle w:val="Hyperlink"/>
                  <w:sz w:val="18"/>
                  <w:szCs w:val="18"/>
                </w:rPr>
                <w:t>https://msdn.microsoft.com/en-us/library/azure/dn919664.aspx</w:t>
              </w:r>
            </w:hyperlink>
          </w:p>
        </w:tc>
      </w:tr>
    </w:tbl>
    <w:p w14:paraId="6C2F176B" w14:textId="09555EE6" w:rsidR="00165CBC" w:rsidRDefault="00B42154" w:rsidP="005729D2">
      <w:pPr>
        <w:pStyle w:val="Heading3Numbered"/>
        <w:numPr>
          <w:ilvl w:val="2"/>
          <w:numId w:val="64"/>
        </w:numPr>
      </w:pPr>
      <w:bookmarkStart w:id="5593" w:name="_Toc415011353"/>
      <w:bookmarkStart w:id="5594" w:name="_Toc415040043"/>
      <w:bookmarkStart w:id="5595" w:name="_Toc415572400"/>
      <w:bookmarkStart w:id="5596" w:name="_Toc415735570"/>
      <w:bookmarkStart w:id="5597" w:name="_Toc415814151"/>
      <w:bookmarkStart w:id="5598" w:name="_Toc416343886"/>
      <w:bookmarkStart w:id="5599" w:name="_Toc416863158"/>
      <w:bookmarkStart w:id="5600" w:name="_Toc417314773"/>
      <w:bookmarkStart w:id="5601" w:name="_Toc417323790"/>
      <w:bookmarkStart w:id="5602" w:name="_Toc417326880"/>
      <w:bookmarkStart w:id="5603" w:name="_Toc417330428"/>
      <w:bookmarkStart w:id="5604" w:name="_Toc417395034"/>
      <w:bookmarkStart w:id="5605" w:name="_Toc417399251"/>
      <w:bookmarkStart w:id="5606" w:name="_Toc417399410"/>
      <w:bookmarkStart w:id="5607" w:name="_Toc417400457"/>
      <w:bookmarkStart w:id="5608" w:name="_Toc417401305"/>
      <w:bookmarkStart w:id="5609" w:name="_Toc417419620"/>
      <w:bookmarkStart w:id="5610" w:name="_Toc417457392"/>
      <w:bookmarkStart w:id="5611" w:name="_Toc417481970"/>
      <w:bookmarkStart w:id="5612" w:name="_Toc417482228"/>
      <w:bookmarkStart w:id="5613" w:name="_Toc417499947"/>
      <w:bookmarkStart w:id="5614" w:name="_Toc417502768"/>
      <w:bookmarkStart w:id="5615" w:name="_Toc417548348"/>
      <w:bookmarkStart w:id="5616" w:name="_Toc417594591"/>
      <w:bookmarkStart w:id="5617" w:name="_Toc417934720"/>
      <w:bookmarkStart w:id="5618" w:name="_Toc417936059"/>
      <w:bookmarkStart w:id="5619" w:name="_Toc417936521"/>
      <w:bookmarkStart w:id="5620" w:name="_Toc417946944"/>
      <w:bookmarkStart w:id="5621" w:name="_Toc417947413"/>
      <w:bookmarkStart w:id="5622" w:name="_Toc417982554"/>
      <w:bookmarkStart w:id="5623" w:name="_Toc417986008"/>
      <w:bookmarkStart w:id="5624" w:name="_Toc418000700"/>
      <w:bookmarkStart w:id="5625" w:name="_Toc418003872"/>
      <w:bookmarkStart w:id="5626" w:name="_Toc418012077"/>
      <w:bookmarkStart w:id="5627" w:name="_Toc418014490"/>
      <w:bookmarkStart w:id="5628" w:name="_Toc418030095"/>
      <w:bookmarkStart w:id="5629" w:name="_Toc418036978"/>
      <w:bookmarkStart w:id="5630" w:name="_Toc418061451"/>
      <w:bookmarkStart w:id="5631" w:name="_Toc418081350"/>
      <w:bookmarkStart w:id="5632" w:name="_Toc418083382"/>
      <w:bookmarkStart w:id="5633" w:name="_Toc418096146"/>
      <w:bookmarkStart w:id="5634" w:name="_Toc418156748"/>
      <w:bookmarkStart w:id="5635" w:name="_Toc418167667"/>
      <w:bookmarkStart w:id="5636" w:name="_Toc418185923"/>
      <w:bookmarkStart w:id="5637" w:name="_Toc422941637"/>
      <w:bookmarkStart w:id="5638" w:name="_Toc423116843"/>
      <w:bookmarkStart w:id="5639" w:name="_Toc423117876"/>
      <w:bookmarkStart w:id="5640" w:name="_Toc423117326"/>
      <w:bookmarkStart w:id="5641" w:name="_Toc431288919"/>
      <w:r>
        <w:t>Identity Management-as-a-Service</w:t>
      </w:r>
      <w:r w:rsidR="005843BE">
        <w:t xml:space="preserve"> Capabilities</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7F87AA96" w14:textId="132F0839" w:rsidR="008459B4" w:rsidRPr="008459B4" w:rsidRDefault="008459B4" w:rsidP="008459B4">
      <w:r>
        <w:t xml:space="preserve">Azure Active Directory provides a set of capabilities that allow users to manage </w:t>
      </w:r>
      <w:r w:rsidR="006B0126">
        <w:t>their identities in the cloud</w:t>
      </w:r>
      <w:r>
        <w:t>.</w:t>
      </w:r>
    </w:p>
    <w:p w14:paraId="6DB2E1AB" w14:textId="69D00BE6" w:rsidR="005843BE" w:rsidRDefault="008459B4" w:rsidP="005729D2">
      <w:pPr>
        <w:pStyle w:val="Heading4Numbered"/>
        <w:numPr>
          <w:ilvl w:val="3"/>
          <w:numId w:val="64"/>
        </w:numPr>
      </w:pPr>
      <w:r>
        <w:t>Self-Service Password Reset</w:t>
      </w:r>
    </w:p>
    <w:p w14:paraId="6FB415B3" w14:textId="77777777" w:rsidR="00B42154" w:rsidRDefault="006B0126" w:rsidP="00B42154">
      <w:r>
        <w:t xml:space="preserve">With </w:t>
      </w:r>
      <w:r w:rsidR="00B42154">
        <w:t>self-service password reset, users can reset their forgotten passwords in Azure AD and the new password can optionally be written back to the on-premises Active Directory. To support password write-back, the following must be in place:</w:t>
      </w:r>
    </w:p>
    <w:p w14:paraId="6AB1647E" w14:textId="77777777" w:rsidR="00B42154" w:rsidRDefault="00B42154" w:rsidP="005729D2">
      <w:pPr>
        <w:pStyle w:val="ListBullet"/>
        <w:numPr>
          <w:ilvl w:val="0"/>
          <w:numId w:val="123"/>
        </w:numPr>
      </w:pPr>
      <w:r>
        <w:t xml:space="preserve">Azure AD Sync or Azure AD Connect must be used for synchronizing user accounts to Azure AD. </w:t>
      </w:r>
      <w:r w:rsidRPr="00242794">
        <w:t>Forefront Identity Manager</w:t>
      </w:r>
      <w:r>
        <w:t xml:space="preserve"> with the Azure AD Connector is not supported for password synchronization.</w:t>
      </w:r>
    </w:p>
    <w:p w14:paraId="32692857" w14:textId="77777777" w:rsidR="00B42154" w:rsidRDefault="00B42154" w:rsidP="005729D2">
      <w:pPr>
        <w:pStyle w:val="ListBullet"/>
        <w:numPr>
          <w:ilvl w:val="0"/>
          <w:numId w:val="123"/>
        </w:numPr>
      </w:pPr>
      <w:r>
        <w:t>Password hash synchronization must be enabled, so that the on-premises password hashes are synchronized to the Azure AD tenant for each user.</w:t>
      </w:r>
    </w:p>
    <w:p w14:paraId="073D6109" w14:textId="77777777" w:rsidR="00B42154" w:rsidRDefault="00B42154" w:rsidP="00B42154">
      <w:pPr>
        <w:pStyle w:val="ListBullet"/>
        <w:ind w:left="0" w:firstLine="0"/>
      </w:pPr>
    </w:p>
    <w:p w14:paraId="58C03810" w14:textId="77777777" w:rsidR="00B42154" w:rsidRPr="000A7EF0" w:rsidRDefault="00B42154" w:rsidP="00B42154">
      <w:pPr>
        <w:pStyle w:val="Heading5"/>
        <w:rPr>
          <w:b/>
          <w:color w:val="000000" w:themeColor="text1"/>
        </w:rPr>
      </w:pPr>
      <w:r w:rsidRPr="000A7EF0">
        <w:rPr>
          <w:b/>
          <w:color w:val="000000" w:themeColor="text1"/>
        </w:rPr>
        <w:t>Authentication</w:t>
      </w:r>
    </w:p>
    <w:p w14:paraId="61339494" w14:textId="77777777" w:rsidR="00B42154" w:rsidRDefault="00B42154" w:rsidP="00B42154">
      <w:r>
        <w:t>When a user initiates the process to replace a forgotten password, the user must be authenticated. Because the password is not known, an alternate means of authentication must be used. Azure AD self-service password reset supports the following forms of authentication for forgotten passwords:</w:t>
      </w:r>
    </w:p>
    <w:p w14:paraId="12D7D8A5" w14:textId="77777777" w:rsidR="00B42154" w:rsidRDefault="00B42154" w:rsidP="005729D2">
      <w:pPr>
        <w:pStyle w:val="ListBullet"/>
        <w:numPr>
          <w:ilvl w:val="0"/>
          <w:numId w:val="124"/>
        </w:numPr>
      </w:pPr>
      <w:r>
        <w:t>Phone call with a one-time code</w:t>
      </w:r>
    </w:p>
    <w:p w14:paraId="7D9EF479" w14:textId="77777777" w:rsidR="00B42154" w:rsidRDefault="00B42154" w:rsidP="005729D2">
      <w:pPr>
        <w:pStyle w:val="ListBullet"/>
        <w:numPr>
          <w:ilvl w:val="0"/>
          <w:numId w:val="124"/>
        </w:numPr>
      </w:pPr>
      <w:r>
        <w:t>Text message with a one-time code</w:t>
      </w:r>
    </w:p>
    <w:p w14:paraId="5615D18C" w14:textId="77777777" w:rsidR="00B42154" w:rsidRDefault="00B42154" w:rsidP="005729D2">
      <w:pPr>
        <w:pStyle w:val="ListBullet"/>
        <w:numPr>
          <w:ilvl w:val="0"/>
          <w:numId w:val="124"/>
        </w:numPr>
      </w:pPr>
      <w:r>
        <w:t>Email with a one-time code to an alternate email address</w:t>
      </w:r>
    </w:p>
    <w:p w14:paraId="1E14D0FC" w14:textId="77777777" w:rsidR="00B42154" w:rsidRDefault="00B42154" w:rsidP="005729D2">
      <w:pPr>
        <w:pStyle w:val="ListBullet"/>
        <w:numPr>
          <w:ilvl w:val="0"/>
          <w:numId w:val="124"/>
        </w:numPr>
      </w:pPr>
      <w:r>
        <w:t>Security questions</w:t>
      </w:r>
    </w:p>
    <w:p w14:paraId="1FA22752" w14:textId="77777777" w:rsidR="00B42154" w:rsidRPr="004C2D4B" w:rsidRDefault="00B42154" w:rsidP="00B42154">
      <w:pPr>
        <w:rPr>
          <w:b/>
        </w:rPr>
      </w:pPr>
      <w:r w:rsidRPr="004C2D4B">
        <w:rPr>
          <w:b/>
        </w:rPr>
        <w:t>Phone-Based Authentication</w:t>
      </w:r>
    </w:p>
    <w:p w14:paraId="2ACB2B1D" w14:textId="77777777" w:rsidR="00B42154" w:rsidRDefault="00B42154" w:rsidP="00B42154">
      <w:r>
        <w:t>To use the phone-based methods, the user’s mobile phone or office phone must be populated in the directory. This can be done through Azure AD Connect synchronization or by manually updating the phone number through the web interface or PowerShell.</w:t>
      </w:r>
    </w:p>
    <w:p w14:paraId="4F41C576" w14:textId="77777777" w:rsidR="00B42154" w:rsidRPr="004C2D4B" w:rsidRDefault="00B42154" w:rsidP="00B42154">
      <w:pPr>
        <w:rPr>
          <w:b/>
        </w:rPr>
      </w:pPr>
      <w:r w:rsidRPr="004C2D4B">
        <w:rPr>
          <w:b/>
        </w:rPr>
        <w:t>Email-Based Authentication</w:t>
      </w:r>
    </w:p>
    <w:p w14:paraId="2941161D" w14:textId="77777777" w:rsidR="00B42154" w:rsidRDefault="00B42154" w:rsidP="00B42154">
      <w:r>
        <w:t xml:space="preserve">If you want to use the email option, the </w:t>
      </w:r>
      <w:r w:rsidRPr="006F1F19">
        <w:rPr>
          <w:b/>
        </w:rPr>
        <w:t>Alternate Email Address</w:t>
      </w:r>
      <w:r>
        <w:t xml:space="preserve"> attribute of the user account needs to be populated with a valid email address. Similar to the phone number, this can be done through Azure AD Connect synchronization or by manually updating the email address through the web interface or PowerShell.</w:t>
      </w:r>
    </w:p>
    <w:p w14:paraId="40FA0CA2" w14:textId="77777777" w:rsidR="00B42154" w:rsidRPr="004C2D4B" w:rsidRDefault="00B42154" w:rsidP="00B42154">
      <w:pPr>
        <w:rPr>
          <w:b/>
        </w:rPr>
      </w:pPr>
      <w:r w:rsidRPr="004C2D4B">
        <w:rPr>
          <w:b/>
        </w:rPr>
        <w:t>Question-Based Authentication</w:t>
      </w:r>
    </w:p>
    <w:p w14:paraId="53C3823C" w14:textId="77777777" w:rsidR="00B42154" w:rsidRDefault="00B42154" w:rsidP="00B42154">
      <w:r>
        <w:t>When using security questions for self-service password reset authentication, you must specify a pool of security questions that Azure AD can choose from. Out of this question pool, Azure AD requires that some number of questions be answered during enrollment and all or a subset of those questions need to be answered during a password reset event.</w:t>
      </w:r>
    </w:p>
    <w:p w14:paraId="0E681A68" w14:textId="77777777" w:rsidR="00B42154" w:rsidRDefault="00B42154" w:rsidP="00B42154">
      <w:r>
        <w:t>We recommend that customers define their own questions, based on legal counsel and the approval of the customer’s security team. This is to ensure that the questions don’t inappropriately ask users for sensitive personally identifiable information, and that the questions are secure with the answers not being easily guessable.</w:t>
      </w:r>
    </w:p>
    <w:p w14:paraId="4AC9BCC1" w14:textId="77777777" w:rsidR="00B42154" w:rsidRPr="000A7EF0" w:rsidRDefault="00B42154" w:rsidP="00B42154">
      <w:pPr>
        <w:pStyle w:val="Heading5"/>
        <w:rPr>
          <w:b/>
          <w:color w:val="000000" w:themeColor="text1"/>
        </w:rPr>
      </w:pPr>
      <w:r w:rsidRPr="000A7EF0">
        <w:rPr>
          <w:b/>
          <w:color w:val="000000" w:themeColor="text1"/>
        </w:rPr>
        <w:t>Enablement</w:t>
      </w:r>
    </w:p>
    <w:p w14:paraId="385B2210" w14:textId="77777777" w:rsidR="00B42154" w:rsidRDefault="00B42154" w:rsidP="00B42154">
      <w:r>
        <w:t>Self-service password reset can be enabled for all users or for a subset of users in the directory. To enable self-service password reset for a subset of users, the users can be added to an Azure AD security group, which is referenced in the self-service password reset configuration. There are two options for adding users to this group:</w:t>
      </w:r>
    </w:p>
    <w:p w14:paraId="1B369383" w14:textId="77777777" w:rsidR="00B42154" w:rsidRDefault="00B42154" w:rsidP="005729D2">
      <w:pPr>
        <w:pStyle w:val="ListParagraph"/>
        <w:numPr>
          <w:ilvl w:val="0"/>
          <w:numId w:val="50"/>
        </w:numPr>
      </w:pPr>
      <w:r>
        <w:t>Create the group in the cloud and manage members through Azure AD. This process works well for organizations with smaller numbers of people and administrators can effectively manage the users through the Azure portal.</w:t>
      </w:r>
    </w:p>
    <w:p w14:paraId="17C5B7F3" w14:textId="77777777" w:rsidR="00B42154" w:rsidRDefault="00B42154" w:rsidP="005729D2">
      <w:pPr>
        <w:pStyle w:val="ListParagraph"/>
        <w:numPr>
          <w:ilvl w:val="0"/>
          <w:numId w:val="50"/>
        </w:numPr>
      </w:pPr>
      <w:r>
        <w:t>Create the group in the on-premises Active Directory, manage its membership in the on-premises Active Directory, and synchronize it into Azure AD via Azure AD Connect. This is the preferred process for large- and medium-sized organizations that already have a process for managing group memberships on-premises</w:t>
      </w:r>
    </w:p>
    <w:p w14:paraId="172E90F7" w14:textId="77777777" w:rsidR="00B42154" w:rsidRPr="000A7EF0" w:rsidRDefault="00B42154" w:rsidP="00B42154">
      <w:pPr>
        <w:pStyle w:val="Heading5"/>
        <w:rPr>
          <w:b/>
          <w:color w:val="000000" w:themeColor="text1"/>
        </w:rPr>
      </w:pPr>
      <w:r w:rsidRPr="000A7EF0">
        <w:rPr>
          <w:b/>
          <w:color w:val="000000" w:themeColor="text1"/>
        </w:rPr>
        <w:t>Registration</w:t>
      </w:r>
    </w:p>
    <w:p w14:paraId="707C033B" w14:textId="77777777" w:rsidR="00B42154" w:rsidRDefault="00B42154" w:rsidP="00B42154">
      <w:r>
        <w:t xml:space="preserve">Before self-service password reset can be used, the appropriate data must be populated in Azure AD. This data could be prepopulated based on the Azure AD Connect synchronization job, or users can be asked to self-register their information. </w:t>
      </w:r>
    </w:p>
    <w:p w14:paraId="549B960C" w14:textId="6094F4C7" w:rsidR="003734C0" w:rsidRDefault="00B42154" w:rsidP="00B42154">
      <w:r>
        <w:t>If you choose the latter method, users can be provided with a web page link to take them to the registration portal. Azure AD can also be configured to automatically take the user to the registration portal when they sign in to the Access Panel</w:t>
      </w:r>
      <w:r w:rsidR="003734C0">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3B5114" w14:paraId="5F56EEC7" w14:textId="77777777" w:rsidTr="0080760A">
        <w:trPr>
          <w:trHeight w:val="423"/>
        </w:trPr>
        <w:tc>
          <w:tcPr>
            <w:tcW w:w="666" w:type="dxa"/>
          </w:tcPr>
          <w:p w14:paraId="4880D0D7" w14:textId="77777777" w:rsidR="003B5114" w:rsidRDefault="003B5114" w:rsidP="0080760A">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288576" behindDoc="0" locked="0" layoutInCell="1" allowOverlap="1" wp14:anchorId="251331B8" wp14:editId="588F3A13">
                      <wp:simplePos x="0" y="0"/>
                      <wp:positionH relativeFrom="column">
                        <wp:posOffset>66675</wp:posOffset>
                      </wp:positionH>
                      <wp:positionV relativeFrom="paragraph">
                        <wp:posOffset>90170</wp:posOffset>
                      </wp:positionV>
                      <wp:extent cx="209550" cy="180975"/>
                      <wp:effectExtent l="57150" t="19050" r="57150" b="104775"/>
                      <wp:wrapNone/>
                      <wp:docPr id="41118" name="Isosceles Triangle 41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736AF8C9" id="Isosceles Triangle 41118" o:spid="_x0000_s1026" type="#_x0000_t5" style="position:absolute;margin-left:5.25pt;margin-top:7.1pt;width:16.5pt;height:14.25pt;z-index:25128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YjaiQ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Oi&#10;KLBZhjXYplsPngstPHl0ipmNFqTTY71a60s0e7D3Lmbs7Qr4D4+K7A9NFHyPOUjXRCzmSw6p+Mex&#10;+OIQCMefk/xiNsMWcVQV5/nF2Sw2J2PlYGydD18ENCReKhr6wFLZ2X7lQwcfYCk20KpeKq2T4Dbr&#10;a+3IniEXlvjlqf34gn+GpRy6sFMC4ahFNNbmm5BYJwy0SC8mhorRH+NcmHDah5zQ0Uzi26Ph5/cN&#10;e3w0FYm9o/HkfePRIr0MJozGjTLg3nKgQ9GHLDt830Xf5R1LsIb6iBRx0M2Ot3ypsAEr5sM9czgs&#10;2DNcAOErHlJDW1Hob5Rswf1663/EI4dRS0mLw1dR/3PHnKBE3xpk90UxncZpTcJ0djZBwb3UrF9q&#10;zK65BuxpgavG8nSN+KCHq3TQPOGeWMRXUcUMx7cryoMbhOvQLQXcNFwsFgmGE2pZWJkHy4euR3I9&#10;Hp6YswMLkb53MAwqK18RscPGfhhY7AJIlVj6XNe+3jjdiev9Jorr46WcUM/7cv4bAAD//wMAUEsD&#10;BBQABgAIAAAAIQA1PEIw2QAAAAcBAAAPAAAAZHJzL2Rvd25yZXYueG1sTI7NTsMwEITvSLyDtUhc&#10;UOuQhrYKcSqEkiOqKDyAE29+hL2OYrcNb89ygtNoNKOZrzgszooLzmH0pOBxnYBAar0ZqVfw+VGv&#10;9iBC1GS09YQKvjHAoby9KXRu/JXe8XKKveARCrlWMMQ45VKGdkCnw9pPSJx1fnY6sp17aWZ95XFn&#10;ZZokW+n0SPww6AlfB2y/TmenwDfLsdvUu/1D7Sb71lVV5o6VUvd3y8sziIhL/CvDLz6jQ8lMjT+T&#10;CcKyT564yZqlIDjPNuwb1nQHsizkf/7yBwAA//8DAFBLAQItABQABgAIAAAAIQC2gziS/gAAAOEB&#10;AAATAAAAAAAAAAAAAAAAAAAAAABbQ29udGVudF9UeXBlc10ueG1sUEsBAi0AFAAGAAgAAAAhADj9&#10;If/WAAAAlAEAAAsAAAAAAAAAAAAAAAAALwEAAF9yZWxzLy5yZWxzUEsBAi0AFAAGAAgAAAAhAAIl&#10;iNqJAgAAdwUAAA4AAAAAAAAAAAAAAAAALgIAAGRycy9lMm9Eb2MueG1sUEsBAi0AFAAGAAgAAAAh&#10;ADU8QjDZAAAABwEAAA8AAAAAAAAAAAAAAAAA4wQAAGRycy9kb3ducmV2LnhtbFBLBQYAAAAABAAE&#10;APMAAADpBQAAAAA=&#10;" fillcolor="yellow" strokecolor="#70ad47 [3209]" strokeweight=".5pt">
                      <v:path arrowok="t"/>
                    </v:shape>
                  </w:pict>
                </mc:Fallback>
              </mc:AlternateContent>
            </w:r>
          </w:p>
        </w:tc>
        <w:tc>
          <w:tcPr>
            <w:tcW w:w="8604" w:type="dxa"/>
          </w:tcPr>
          <w:p w14:paraId="10D8919D" w14:textId="79429DA9" w:rsidR="003B5114" w:rsidRDefault="003B5114" w:rsidP="0080760A">
            <w:pPr>
              <w:rPr>
                <w:lang w:eastAsia="en-US"/>
              </w:rPr>
            </w:pPr>
            <w:r>
              <w:rPr>
                <w:rFonts w:eastAsiaTheme="minorHAnsi"/>
                <w:b/>
                <w:lang w:eastAsia="en-US"/>
              </w:rPr>
              <w:t xml:space="preserve">Recommended: </w:t>
            </w:r>
            <w:r>
              <w:rPr>
                <w:rFonts w:eastAsiaTheme="minorHAnsi"/>
                <w:lang w:eastAsia="en-US"/>
              </w:rPr>
              <w:t xml:space="preserve"> </w:t>
            </w:r>
            <w:r w:rsidR="00B42154">
              <w:t>We recommend that you create an end-user communication plan to provide the users with the details about how to register for self-service password reset, reset their password, and know what to expect</w:t>
            </w:r>
            <w:r>
              <w:t>.</w:t>
            </w:r>
          </w:p>
        </w:tc>
      </w:tr>
    </w:tbl>
    <w:p w14:paraId="6C2F176C" w14:textId="79F79A1B" w:rsidR="00165CBC" w:rsidRDefault="008459B4" w:rsidP="005729D2">
      <w:pPr>
        <w:pStyle w:val="Heading4Numbered"/>
        <w:numPr>
          <w:ilvl w:val="3"/>
          <w:numId w:val="64"/>
        </w:numPr>
      </w:pPr>
      <w:r>
        <w:t>Self-Service Group Management</w:t>
      </w:r>
    </w:p>
    <w:p w14:paraId="1B79DED5" w14:textId="77777777" w:rsidR="00B42154" w:rsidRDefault="00B42154" w:rsidP="00B42154">
      <w:bookmarkStart w:id="5642" w:name="_Toc414892136"/>
      <w:bookmarkStart w:id="5643" w:name="_Toc414960159"/>
      <w:bookmarkStart w:id="5644" w:name="_Toc414969130"/>
      <w:r>
        <w:t>Self-service group management enables users to manage their groups and group memberships in Azure Active Directory. The following scenarios are supported by self-service group management:</w:t>
      </w:r>
    </w:p>
    <w:p w14:paraId="2D666154" w14:textId="77777777" w:rsidR="00B42154" w:rsidRDefault="00B42154" w:rsidP="005729D2">
      <w:pPr>
        <w:pStyle w:val="ListBullet"/>
        <w:numPr>
          <w:ilvl w:val="0"/>
          <w:numId w:val="125"/>
        </w:numPr>
      </w:pPr>
      <w:r>
        <w:t>Users can create groups in Azure AD, which can be used to authorize people to access applications that are integrated with Azure AD</w:t>
      </w:r>
    </w:p>
    <w:p w14:paraId="4BB0A616" w14:textId="77777777" w:rsidR="00B42154" w:rsidRDefault="00B42154" w:rsidP="005729D2">
      <w:pPr>
        <w:pStyle w:val="ListBullet"/>
        <w:numPr>
          <w:ilvl w:val="0"/>
          <w:numId w:val="125"/>
        </w:numPr>
      </w:pPr>
      <w:r>
        <w:t>Users can manage the memberships of groups that were created in Azure AD</w:t>
      </w:r>
    </w:p>
    <w:p w14:paraId="52E07A46" w14:textId="77777777" w:rsidR="00B42154" w:rsidRDefault="00B42154" w:rsidP="005729D2">
      <w:pPr>
        <w:pStyle w:val="ListBullet"/>
        <w:numPr>
          <w:ilvl w:val="0"/>
          <w:numId w:val="125"/>
        </w:numPr>
      </w:pPr>
      <w:r>
        <w:t>Users can request to join groups that were created in Azure AD</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B42154" w14:paraId="5F3FD832" w14:textId="77777777" w:rsidTr="00B42154">
        <w:trPr>
          <w:trHeight w:val="423"/>
        </w:trPr>
        <w:tc>
          <w:tcPr>
            <w:tcW w:w="666" w:type="dxa"/>
          </w:tcPr>
          <w:p w14:paraId="08BFB8EF" w14:textId="77777777" w:rsidR="00B42154" w:rsidRDefault="00B42154" w:rsidP="00B42154">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913216" behindDoc="0" locked="0" layoutInCell="1" allowOverlap="1" wp14:anchorId="28DC8044" wp14:editId="2E3187FF">
                      <wp:simplePos x="0" y="0"/>
                      <wp:positionH relativeFrom="column">
                        <wp:posOffset>66675</wp:posOffset>
                      </wp:positionH>
                      <wp:positionV relativeFrom="paragraph">
                        <wp:posOffset>90170</wp:posOffset>
                      </wp:positionV>
                      <wp:extent cx="209550" cy="180975"/>
                      <wp:effectExtent l="57150" t="19050" r="57150" b="104775"/>
                      <wp:wrapNone/>
                      <wp:docPr id="1546650186" name="Isosceles Triangle 15466501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44AA626D" id="Isosceles Triangle 1546650186" o:spid="_x0000_s1026" type="#_x0000_t5" style="position:absolute;margin-left:5.25pt;margin-top:7.1pt;width:16.5pt;height:14.25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CyYjgIAAIEFAAAOAAAAZHJzL2Uyb0RvYy54bWysVNtqGzEQfS/0H4Tem911bSdZsg4mwSVg&#10;0tCk5FnWSraoVqNK8q1f35H2EjcNBEr3QWh2ztx0Zubq+tBoshPOKzAVLc5ySoThUCuzruj3p8Wn&#10;C0p8YKZmGoyo6FF4ej37+OFqb0sxgg3oWjiCTowv97aimxBsmWWeb0TD/BlYYVApwTUsoOjWWe3Y&#10;Hr03Ohvl+TTbg6utAy68x7+3rZLOkn8pBQ9fpfQiEF1RzC2k06VzFc9sdsXKtWN2o3iXBvuHLBqm&#10;DAYdXN2ywMjWqb9cNYo78CDDGYcmAykVF6kGrKbIX1XzuGFWpFrwcbwdnsn/P7f8fvfgiKqRu8l4&#10;Op3kxcWUEsMa5OrOg+dCC0+enGJmrQU5AeHL7a0v0cGjfXCxdm+XwH94VGR/aKLgO8xBuiZisXJy&#10;SDQcBxrEIRCOP0f55WSCZHFUFRf55fkk0pSxsje2zocvAhoSLxUNXXaJALZb+tDCe1jKDbSqF0rr&#10;JLj16kY7smPYFQv88tQIGMG/wFINbdqpgHDUIhpr801IfDFMtEgRU6+KwR/jXJgw7VJO6GgmMfZg&#10;+Pl9ww4fTUXq48F49L7xYJEigwmDcaMMuLcc6FB0KcsW37Ho27rjE6ygPmKzOGinyFu+UEjAkvnw&#10;wByODXKGqyB8xUNq2FcUuhslG3C/3vof8djNqKVkj2NYUf9zy5ygRN8Z7PPLYjyOc5uE8eR8hII7&#10;1axONWbb3AByWuDSsTxdIz7o/iodNM+4MeYxKqqY4Ri7ojy4XrgJ7XrAncPFfJ5gOKuWhaV5tLxn&#10;PTbX0+GZOdt3IbbvPfQjy8pXjdhiIx8G5tsAUqUufXnX7r1xzlOvdzspLpJTOaFeNufsNwA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GSQsmI4CAAC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3E2652B6" w14:textId="77777777" w:rsidR="00B42154" w:rsidRDefault="00B42154" w:rsidP="00B42154">
            <w:pPr>
              <w:rPr>
                <w:lang w:eastAsia="en-US"/>
              </w:rPr>
            </w:pPr>
            <w:r>
              <w:rPr>
                <w:rFonts w:eastAsiaTheme="minorHAnsi"/>
                <w:b/>
                <w:lang w:eastAsia="en-US"/>
              </w:rPr>
              <w:t xml:space="preserve">Recommended: </w:t>
            </w:r>
            <w:r>
              <w:t>At the time of this writing, we did not support managing groups that are created in on-premises Active Directory and synchronized to Azure AD. Please check for updates about self-service group management on TechNet (see the References table at the end of this section).</w:t>
            </w:r>
          </w:p>
        </w:tc>
      </w:tr>
      <w:tr w:rsidR="00B42154" w14:paraId="647CF554" w14:textId="77777777" w:rsidTr="00B42154">
        <w:trPr>
          <w:trHeight w:val="423"/>
        </w:trPr>
        <w:tc>
          <w:tcPr>
            <w:tcW w:w="666" w:type="dxa"/>
          </w:tcPr>
          <w:p w14:paraId="2F55EC54" w14:textId="77777777" w:rsidR="00B42154" w:rsidRDefault="00B42154" w:rsidP="00B42154">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3D3B0C91" wp14:editId="1D5DE2BB">
                      <wp:extent cx="200025" cy="180975"/>
                      <wp:effectExtent l="57150" t="19050" r="28575" b="104775"/>
                      <wp:docPr id="1546650195" name="Octagon 1546650195"/>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55ABFD3" id="Octagon 1546650195"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yREeAIAAFwFAAAOAAAAZHJzL2Uyb0RvYy54bWysVFtr2zAUfh/sPwi9r7azpJdQp4SUjkFp&#10;w9rRZ0WWEoGko0lKnOzX70h23NAVCmMv8jk+9+9crm/2RpOd8EGBrWl1VlIiLIdG2XVNfz7ffbmk&#10;JERmG6bBipoeRKA3s8+frls3FSPYgG6EJ+jEhmnrarqJ0U2LIvCNMCycgRMWhRK8YRFZvy4az1r0&#10;bnQxKsvzogXfOA9chIB/bzshnWX/UgoeH6UMIhJdU8wt5tfnd5XeYnbNpmvP3EbxPg32D1kYpiwG&#10;HVzdssjI1qu/XBnFPQSQ8YyDKUBKxUWuAaupyjfVPG2YE7kWBCe4Aabw/9zyh93SE9Vg7ybj8/NJ&#10;WV1NKLHMYK8eeWRrsOREgnC1LkzR6sktfc8FJFPte+lN+mJVZJ8hPgwQi30kHH9iz8oRRuAoqi7L&#10;q4tJakHxaux8iN8EGJKImkKXQ8aW7e5D7LSPWilcAK2aO6V1Zvx6tdCe7Bg2fLHAaLnHGOBErUg1&#10;dFlnKh60SMba/hASwcA8qxwxj6EY/DHOhY2jPuOsncwkxh4Mv35s2OsnU5FHdDAefWw8WOTIYONg&#10;bJQF/54DHas+ZdnpI+AndSdyBc0B58BDtyDB8TuF+N+zEJfM40bg7uCWx0d8pIYWG9NTlGzA/37v&#10;f9LHQUUpJS1uWE3Dry3zghL93eIIX1XjcVrJzIwnFyNk/KlkdSqxW7MA7GmF98TxTCb9qI+k9GBe&#10;8BjMU1QUMcsxdk159EdmEbvNx3PCxXye1XANHYv39snxY9fTcD3vX5h3/RBGnN4HOG4jm74ZxE43&#10;9cPCfBtBqjylr7j2eOMK51Hvz026Ead81no9irM/AA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GvDJER4AgAAXA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0E581727" w14:textId="77777777" w:rsidR="00B42154" w:rsidRDefault="00B42154" w:rsidP="00B42154">
            <w:pPr>
              <w:spacing w:after="240"/>
              <w:rPr>
                <w:lang w:eastAsia="en-US"/>
              </w:rPr>
            </w:pPr>
            <w:r w:rsidRPr="00192064">
              <w:rPr>
                <w:b/>
                <w:lang w:eastAsia="en-US"/>
              </w:rPr>
              <w:t>Mandatory</w:t>
            </w:r>
            <w:r>
              <w:rPr>
                <w:lang w:eastAsia="en-US"/>
              </w:rPr>
              <w:t>: Self-service group management requires an Azure AD Premium license, and the user performing group management must have a license assigned to them.</w:t>
            </w:r>
          </w:p>
        </w:tc>
      </w:tr>
    </w:tbl>
    <w:p w14:paraId="4D61BE5E" w14:textId="6BE60855" w:rsidR="00524810" w:rsidRPr="000A7EF0" w:rsidRDefault="00524810" w:rsidP="00524810">
      <w:pPr>
        <w:pStyle w:val="Heading5"/>
        <w:rPr>
          <w:b/>
          <w:color w:val="000000" w:themeColor="text1"/>
        </w:rPr>
      </w:pPr>
      <w:r w:rsidRPr="000A7EF0">
        <w:rPr>
          <w:b/>
          <w:color w:val="000000" w:themeColor="text1"/>
        </w:rPr>
        <w:t>Enablement</w:t>
      </w:r>
    </w:p>
    <w:p w14:paraId="16279E6D" w14:textId="77777777" w:rsidR="00426F3B" w:rsidRDefault="00426F3B" w:rsidP="00426F3B">
      <w:r>
        <w:t>Self-service group management can be enabled for all users or for a subset of users in a specific Azure AD security group.</w:t>
      </w:r>
      <w:r w:rsidRPr="00F811FE">
        <w:t xml:space="preserve"> </w:t>
      </w:r>
      <w:r>
        <w:t>There are two options for adding users to this group:</w:t>
      </w:r>
    </w:p>
    <w:p w14:paraId="08F57A51" w14:textId="77777777" w:rsidR="00426F3B" w:rsidRDefault="00426F3B" w:rsidP="005729D2">
      <w:pPr>
        <w:pStyle w:val="ListParagraph"/>
        <w:numPr>
          <w:ilvl w:val="0"/>
          <w:numId w:val="57"/>
        </w:numPr>
      </w:pPr>
      <w:r>
        <w:t>Create the group in the cloud and manage members through Azure AD. This process works well for organizations with smaller numbers of people, where administrators can effectively manage the users through the Azure portal.</w:t>
      </w:r>
    </w:p>
    <w:p w14:paraId="4C622A2D" w14:textId="77777777" w:rsidR="00426F3B" w:rsidRPr="00F811FE" w:rsidRDefault="00426F3B" w:rsidP="005729D2">
      <w:pPr>
        <w:pStyle w:val="ListParagraph"/>
        <w:numPr>
          <w:ilvl w:val="0"/>
          <w:numId w:val="57"/>
        </w:numPr>
      </w:pPr>
      <w:r>
        <w:t>Create the group in the on-premises Active Directory, manage its membership in the on-premises Active Directory, and synchronize it to Azure AD via Azure AD Connect. This is the preferred process for large- and medium-sized organizations that already have a process for managing group memberships on-premises</w:t>
      </w:r>
    </w:p>
    <w:p w14:paraId="6CF8D564" w14:textId="77777777" w:rsidR="00426F3B" w:rsidRPr="000A7EF0" w:rsidRDefault="00426F3B" w:rsidP="00426F3B">
      <w:pPr>
        <w:pStyle w:val="Heading5"/>
        <w:rPr>
          <w:b/>
          <w:color w:val="000000" w:themeColor="text1"/>
        </w:rPr>
      </w:pPr>
      <w:r w:rsidRPr="000A7EF0">
        <w:rPr>
          <w:b/>
          <w:color w:val="000000" w:themeColor="text1"/>
        </w:rPr>
        <w:t>Managing Groups</w:t>
      </w:r>
    </w:p>
    <w:p w14:paraId="6B78472B" w14:textId="211F3D63" w:rsidR="006E1690" w:rsidRDefault="00426F3B" w:rsidP="00426F3B">
      <w:r>
        <w:t>After users are enabled for self-service group management, they are able to create groups and submit requests to join groups. After self-service group management is enabled, there are a couple of options available</w:t>
      </w:r>
      <w:r w:rsidR="009D5E11">
        <w:t>:</w:t>
      </w:r>
    </w:p>
    <w:tbl>
      <w:tblPr>
        <w:tblStyle w:val="PlainTable11"/>
        <w:tblW w:w="0" w:type="auto"/>
        <w:tblLook w:val="0420" w:firstRow="1" w:lastRow="0" w:firstColumn="0" w:lastColumn="0" w:noHBand="0" w:noVBand="1"/>
      </w:tblPr>
      <w:tblGrid>
        <w:gridCol w:w="2695"/>
        <w:gridCol w:w="6570"/>
      </w:tblGrid>
      <w:tr w:rsidR="00606067" w:rsidRPr="00970D41" w14:paraId="38A7A61C" w14:textId="77777777" w:rsidTr="00970D41">
        <w:trPr>
          <w:cnfStyle w:val="100000000000" w:firstRow="1" w:lastRow="0" w:firstColumn="0" w:lastColumn="0" w:oddVBand="0" w:evenVBand="0" w:oddHBand="0" w:evenHBand="0" w:firstRowFirstColumn="0" w:firstRowLastColumn="0" w:lastRowFirstColumn="0" w:lastRowLastColumn="0"/>
        </w:trPr>
        <w:tc>
          <w:tcPr>
            <w:tcW w:w="2695" w:type="dxa"/>
            <w:shd w:val="clear" w:color="auto" w:fill="808080" w:themeFill="background1" w:themeFillShade="80"/>
            <w:hideMark/>
          </w:tcPr>
          <w:p w14:paraId="05A20D76" w14:textId="77777777" w:rsidR="00606067" w:rsidRPr="00970D41" w:rsidRDefault="00606067" w:rsidP="00606067">
            <w:pPr>
              <w:spacing w:line="240" w:lineRule="auto"/>
              <w:rPr>
                <w:rFonts w:eastAsia="Calibri"/>
                <w:bCs w:val="0"/>
                <w:color w:val="FFFFFF"/>
                <w:szCs w:val="20"/>
                <w:lang w:eastAsia="en-AU"/>
              </w:rPr>
            </w:pPr>
            <w:r w:rsidRPr="00970D41">
              <w:rPr>
                <w:rFonts w:eastAsia="Calibri"/>
                <w:bCs w:val="0"/>
                <w:color w:val="FFFFFF"/>
                <w:szCs w:val="20"/>
                <w:lang w:eastAsia="en-AU"/>
              </w:rPr>
              <w:t>Option</w:t>
            </w:r>
          </w:p>
        </w:tc>
        <w:tc>
          <w:tcPr>
            <w:tcW w:w="6570" w:type="dxa"/>
            <w:shd w:val="clear" w:color="auto" w:fill="808080" w:themeFill="background1" w:themeFillShade="80"/>
            <w:hideMark/>
          </w:tcPr>
          <w:p w14:paraId="34EB0EE8" w14:textId="77777777" w:rsidR="00606067" w:rsidRPr="00970D41" w:rsidRDefault="00606067" w:rsidP="00606067">
            <w:pPr>
              <w:spacing w:line="240" w:lineRule="auto"/>
              <w:rPr>
                <w:rFonts w:eastAsia="Calibri"/>
                <w:bCs w:val="0"/>
                <w:color w:val="FFFFFF"/>
                <w:szCs w:val="20"/>
                <w:lang w:eastAsia="en-AU"/>
              </w:rPr>
            </w:pPr>
            <w:r w:rsidRPr="00970D41">
              <w:rPr>
                <w:rFonts w:eastAsia="Calibri"/>
                <w:bCs w:val="0"/>
                <w:color w:val="FFFFFF"/>
                <w:szCs w:val="20"/>
                <w:lang w:eastAsia="en-AU"/>
              </w:rPr>
              <w:t>Description</w:t>
            </w:r>
          </w:p>
        </w:tc>
      </w:tr>
      <w:tr w:rsidR="00426F3B" w14:paraId="76FA6249" w14:textId="77777777" w:rsidTr="00970D41">
        <w:trPr>
          <w:cnfStyle w:val="000000100000" w:firstRow="0" w:lastRow="0" w:firstColumn="0" w:lastColumn="0" w:oddVBand="0" w:evenVBand="0" w:oddHBand="1" w:evenHBand="0" w:firstRowFirstColumn="0" w:firstRowLastColumn="0" w:lastRowFirstColumn="0" w:lastRowLastColumn="0"/>
        </w:trPr>
        <w:tc>
          <w:tcPr>
            <w:tcW w:w="2695" w:type="dxa"/>
          </w:tcPr>
          <w:p w14:paraId="129C531F" w14:textId="5B27A69E" w:rsidR="00426F3B" w:rsidRPr="00570384" w:rsidRDefault="00426F3B" w:rsidP="00426F3B">
            <w:pPr>
              <w:rPr>
                <w:b/>
                <w:sz w:val="20"/>
                <w:szCs w:val="20"/>
              </w:rPr>
            </w:pPr>
            <w:r w:rsidRPr="00590ACE">
              <w:rPr>
                <w:b/>
                <w:sz w:val="20"/>
                <w:szCs w:val="20"/>
              </w:rPr>
              <w:t>Allow users to create groups</w:t>
            </w:r>
          </w:p>
        </w:tc>
        <w:tc>
          <w:tcPr>
            <w:tcW w:w="6570" w:type="dxa"/>
          </w:tcPr>
          <w:p w14:paraId="122D82AA" w14:textId="35B44C9D" w:rsidR="00426F3B" w:rsidRPr="008434C5" w:rsidRDefault="00426F3B" w:rsidP="00642341">
            <w:pPr>
              <w:rPr>
                <w:sz w:val="20"/>
                <w:szCs w:val="20"/>
              </w:rPr>
            </w:pPr>
            <w:r w:rsidRPr="00590ACE">
              <w:rPr>
                <w:sz w:val="20"/>
                <w:szCs w:val="20"/>
              </w:rPr>
              <w:t xml:space="preserve">Not all customers are comfortable allowing employees to create groups, so this is used to </w:t>
            </w:r>
            <w:r w:rsidR="00642341">
              <w:rPr>
                <w:sz w:val="20"/>
                <w:szCs w:val="20"/>
              </w:rPr>
              <w:t>control</w:t>
            </w:r>
            <w:r w:rsidRPr="00590ACE">
              <w:rPr>
                <w:sz w:val="20"/>
                <w:szCs w:val="20"/>
              </w:rPr>
              <w:t xml:space="preserve"> group creation for all users.</w:t>
            </w:r>
          </w:p>
        </w:tc>
      </w:tr>
      <w:tr w:rsidR="00426F3B" w14:paraId="567F7277" w14:textId="77777777" w:rsidTr="00970D41">
        <w:tc>
          <w:tcPr>
            <w:tcW w:w="2695" w:type="dxa"/>
          </w:tcPr>
          <w:p w14:paraId="7E998300" w14:textId="52E79919" w:rsidR="00426F3B" w:rsidRPr="00570384" w:rsidRDefault="00426F3B" w:rsidP="00426F3B">
            <w:pPr>
              <w:rPr>
                <w:b/>
                <w:sz w:val="20"/>
                <w:szCs w:val="20"/>
              </w:rPr>
            </w:pPr>
            <w:r w:rsidRPr="00590ACE">
              <w:rPr>
                <w:b/>
                <w:sz w:val="20"/>
                <w:szCs w:val="20"/>
              </w:rPr>
              <w:t xml:space="preserve">Restrict who can use </w:t>
            </w:r>
            <w:r>
              <w:rPr>
                <w:b/>
                <w:sz w:val="20"/>
                <w:szCs w:val="20"/>
              </w:rPr>
              <w:t>s</w:t>
            </w:r>
            <w:r w:rsidRPr="00590ACE">
              <w:rPr>
                <w:b/>
                <w:sz w:val="20"/>
                <w:szCs w:val="20"/>
              </w:rPr>
              <w:t>elf-</w:t>
            </w:r>
            <w:r>
              <w:rPr>
                <w:b/>
                <w:sz w:val="20"/>
                <w:szCs w:val="20"/>
              </w:rPr>
              <w:t>s</w:t>
            </w:r>
            <w:r w:rsidRPr="00590ACE">
              <w:rPr>
                <w:b/>
                <w:sz w:val="20"/>
                <w:szCs w:val="20"/>
              </w:rPr>
              <w:t xml:space="preserve">ervice </w:t>
            </w:r>
            <w:r>
              <w:rPr>
                <w:b/>
                <w:sz w:val="20"/>
                <w:szCs w:val="20"/>
              </w:rPr>
              <w:t>g</w:t>
            </w:r>
            <w:r w:rsidRPr="00590ACE">
              <w:rPr>
                <w:b/>
                <w:sz w:val="20"/>
                <w:szCs w:val="20"/>
              </w:rPr>
              <w:t xml:space="preserve">roup </w:t>
            </w:r>
            <w:r>
              <w:rPr>
                <w:b/>
                <w:sz w:val="20"/>
                <w:szCs w:val="20"/>
              </w:rPr>
              <w:t>m</w:t>
            </w:r>
            <w:r w:rsidRPr="00590ACE">
              <w:rPr>
                <w:b/>
                <w:sz w:val="20"/>
                <w:szCs w:val="20"/>
              </w:rPr>
              <w:t>anagement</w:t>
            </w:r>
          </w:p>
        </w:tc>
        <w:tc>
          <w:tcPr>
            <w:tcW w:w="6570" w:type="dxa"/>
          </w:tcPr>
          <w:p w14:paraId="62439A33" w14:textId="23FD8C9A" w:rsidR="00426F3B" w:rsidRPr="008434C5" w:rsidRDefault="00426F3B" w:rsidP="00426F3B">
            <w:pPr>
              <w:rPr>
                <w:sz w:val="20"/>
                <w:szCs w:val="20"/>
              </w:rPr>
            </w:pPr>
            <w:r w:rsidRPr="00590ACE">
              <w:rPr>
                <w:sz w:val="20"/>
                <w:szCs w:val="20"/>
              </w:rPr>
              <w:t xml:space="preserve">This option limits which users are enabled for </w:t>
            </w:r>
            <w:r>
              <w:rPr>
                <w:sz w:val="20"/>
                <w:szCs w:val="20"/>
              </w:rPr>
              <w:t>self-service group management</w:t>
            </w:r>
            <w:r w:rsidRPr="00590ACE">
              <w:rPr>
                <w:sz w:val="20"/>
                <w:szCs w:val="20"/>
              </w:rPr>
              <w:t xml:space="preserve">. Customers </w:t>
            </w:r>
            <w:r>
              <w:rPr>
                <w:sz w:val="20"/>
                <w:szCs w:val="20"/>
              </w:rPr>
              <w:t xml:space="preserve">who </w:t>
            </w:r>
            <w:r w:rsidRPr="00590ACE">
              <w:rPr>
                <w:sz w:val="20"/>
                <w:szCs w:val="20"/>
              </w:rPr>
              <w:t>us</w:t>
            </w:r>
            <w:r>
              <w:rPr>
                <w:sz w:val="20"/>
                <w:szCs w:val="20"/>
              </w:rPr>
              <w:t>e</w:t>
            </w:r>
            <w:r w:rsidRPr="00590ACE">
              <w:rPr>
                <w:sz w:val="20"/>
                <w:szCs w:val="20"/>
              </w:rPr>
              <w:t xml:space="preserve"> this option need to add all </w:t>
            </w:r>
            <w:r>
              <w:rPr>
                <w:sz w:val="20"/>
                <w:szCs w:val="20"/>
              </w:rPr>
              <w:t>users who can perform</w:t>
            </w:r>
            <w:r w:rsidRPr="00590ACE">
              <w:rPr>
                <w:sz w:val="20"/>
                <w:szCs w:val="20"/>
              </w:rPr>
              <w:t xml:space="preserve"> </w:t>
            </w:r>
            <w:r>
              <w:rPr>
                <w:sz w:val="20"/>
                <w:szCs w:val="20"/>
              </w:rPr>
              <w:t>self-service group management</w:t>
            </w:r>
            <w:r w:rsidRPr="00590ACE">
              <w:rPr>
                <w:sz w:val="20"/>
                <w:szCs w:val="20"/>
              </w:rPr>
              <w:t xml:space="preserve"> to a security group in </w:t>
            </w:r>
            <w:r>
              <w:rPr>
                <w:sz w:val="20"/>
                <w:szCs w:val="20"/>
              </w:rPr>
              <w:t>Azure AD</w:t>
            </w:r>
            <w:r w:rsidRPr="00590ACE">
              <w:rPr>
                <w:sz w:val="20"/>
                <w:szCs w:val="20"/>
              </w:rPr>
              <w:t>.</w:t>
            </w:r>
          </w:p>
        </w:tc>
      </w:tr>
    </w:tbl>
    <w:p w14:paraId="79F1C2B5" w14:textId="0A7F42D9" w:rsidR="00606067" w:rsidRDefault="00606067" w:rsidP="00982037"/>
    <w:p w14:paraId="3773F072" w14:textId="77777777" w:rsidR="00426F3B" w:rsidRPr="00524810" w:rsidRDefault="00426F3B" w:rsidP="00426F3B">
      <w:bookmarkStart w:id="5645" w:name="_Toc415011354"/>
      <w:bookmarkStart w:id="5646" w:name="_Toc415040044"/>
      <w:bookmarkStart w:id="5647" w:name="_Toc415572401"/>
      <w:bookmarkStart w:id="5648" w:name="_Toc415735571"/>
      <w:bookmarkStart w:id="5649" w:name="_Toc415814152"/>
      <w:bookmarkStart w:id="5650" w:name="_Toc416343887"/>
      <w:bookmarkStart w:id="5651" w:name="_Toc416863159"/>
      <w:r>
        <w:t xml:space="preserve">Groups that are created in the Azure portal have self-service group management disabled by default. If a customer wants to enable self-service group management for these groups, the groups must first be assigned owners, and the owner must change the policy for the group in the </w:t>
      </w:r>
      <w:r w:rsidRPr="00C56785">
        <w:rPr>
          <w:b/>
        </w:rPr>
        <w:t>MyApps</w:t>
      </w:r>
      <w:r>
        <w:t xml:space="preserve"> portal.</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426F3B" w14:paraId="71230F60" w14:textId="77777777" w:rsidTr="00275AB5">
        <w:trPr>
          <w:trHeight w:val="423"/>
        </w:trPr>
        <w:tc>
          <w:tcPr>
            <w:tcW w:w="666" w:type="dxa"/>
          </w:tcPr>
          <w:p w14:paraId="75DC27F1" w14:textId="77777777" w:rsidR="00426F3B" w:rsidRDefault="00426F3B" w:rsidP="00275AB5">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6911B721" wp14:editId="67AB647F">
                      <wp:extent cx="200025" cy="180975"/>
                      <wp:effectExtent l="57150" t="19050" r="28575" b="104775"/>
                      <wp:docPr id="874593602" name="Octagon 874593602"/>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9ADEECB" id="Octagon 874593602"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f0jeAIAAFoFAAAOAAAAZHJzL2Uyb0RvYy54bWysVFlrGzEQfi/0Pwi9N3vEzmGyDsYhpRAS&#10;k6TkWdZKtkCrUSXZa/fXd6Rdr00aCJS+aGd27m+Om9tdo8lWOK/AVLQ4yykRhkOtzKqiP1/vv11R&#10;4gMzNdNgREX3wtPb6dcvN62diBLWoGvhCDoxftLaiq5DsJMs83wtGubPwAqDQgmuYQFZt8pqx1r0&#10;3uiszPOLrAVXWwdceI9/7zohnSb/UgoenqT0IhBdUcwtpNeldxnfbHrDJivH7FrxPg32D1k0TBkM&#10;Ori6Y4GRjVN/uWoUd+BBhjMOTQZSKi5SDVhNkb+r5mXNrEi1IDjeDjD5/+eWP24Xjqi6oleXo/H1&#10;+UVeUmJYg6164oGtwJCjAMFqrZ+gzYtduJ7zSMbKd9I18Ys1kV0CeD8ALHaBcPyJHcvLMSUcRcVV&#10;fn05jg3IjsbW+fBdQEMiUVHoUkjIsu2DD532QSuG86BVfa+0ToxbLefakS3Dds/nGC11GAOcqGWx&#10;hi7rRIW9FtFYm2chEQrMs0gR0xCKwR/jXJhQ9hkn7WgmMfZgeP65Ya8fTUUa0MG4/Nx4sEiRwYTB&#10;uFEG3EcOdCj6lGWnj4Cf1B3JJdR7nAIH3Xp4y+8V4v/AfFgwh/uAm4M7Hp7wkRpabExPUbIG9/uj&#10;/1EfxxSllLS4XxX1vzbMCUr0D4MDfF2MRnEhEzMaX5bIuFPJ8lRiNs0csKcFXhPLExn1gz6Q0kHz&#10;hqdgFqOiiBmOsSvKgzsw89DtPR4TLmazpIZLaFl4MC+WH7oeh+t198ac7Ycw4PQ+wmEX2eTdIHa6&#10;sR8GZpsAUqUpPeLa440LnEa9PzbxQpzySet4Eqd/AA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M+l/SN4AgAAWg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19F54349" w14:textId="77777777" w:rsidR="00426F3B" w:rsidRDefault="00426F3B" w:rsidP="00275AB5">
            <w:pPr>
              <w:spacing w:after="240"/>
              <w:rPr>
                <w:lang w:eastAsia="en-US"/>
              </w:rPr>
            </w:pPr>
            <w:r w:rsidRPr="00192064">
              <w:rPr>
                <w:b/>
                <w:lang w:eastAsia="en-US"/>
              </w:rPr>
              <w:t>Mandatory</w:t>
            </w:r>
            <w:r>
              <w:rPr>
                <w:lang w:eastAsia="en-US"/>
              </w:rPr>
              <w:t>: Groups cannot be enabled for self-service group management unless they have an identified owner. Finding owners for groups can be a painful exercise for customers for various reasons—for example, the previous owner may have left the organization, or the group may have been created without an owner and no one is sure what organization the group should be managed by. When working with customers in self-service group management, it’s important to make sure that customers know that they may need to perform a group owner reconciliation exercise.</w:t>
            </w:r>
          </w:p>
        </w:tc>
      </w:tr>
    </w:tbl>
    <w:p w14:paraId="4CC1F8E9" w14:textId="77777777" w:rsidR="009D5E11" w:rsidRPr="000A7EF0" w:rsidRDefault="00F811FE" w:rsidP="00F811FE">
      <w:pPr>
        <w:pStyle w:val="Heading5"/>
        <w:rPr>
          <w:b/>
          <w:color w:val="000000" w:themeColor="text1"/>
        </w:rPr>
      </w:pPr>
      <w:r w:rsidRPr="000A7EF0">
        <w:rPr>
          <w:b/>
          <w:color w:val="000000" w:themeColor="text1"/>
        </w:rPr>
        <w:t xml:space="preserve">Dedicated </w:t>
      </w:r>
      <w:r w:rsidR="009D5E11" w:rsidRPr="000A7EF0">
        <w:rPr>
          <w:b/>
          <w:color w:val="000000" w:themeColor="text1"/>
        </w:rPr>
        <w:t>Groups</w:t>
      </w:r>
    </w:p>
    <w:p w14:paraId="175C8E6F" w14:textId="77777777" w:rsidR="00426F3B" w:rsidRDefault="00426F3B" w:rsidP="00426F3B">
      <w:r>
        <w:t xml:space="preserve">Dedicated groups are special groups that are automatically created and managed by Azure AD. For example, the dedicated group for </w:t>
      </w:r>
      <w:r w:rsidRPr="00C56785">
        <w:rPr>
          <w:b/>
        </w:rPr>
        <w:t>All Users</w:t>
      </w:r>
      <w:r>
        <w:t xml:space="preserve"> contains every user account in Azure AD. </w:t>
      </w:r>
    </w:p>
    <w:p w14:paraId="54D0FB9C" w14:textId="77777777" w:rsidR="00426F3B" w:rsidRDefault="00426F3B" w:rsidP="00426F3B">
      <w:r>
        <w:t>Customers can choose to enable or disable dedicated groups. If customers require a group that consists of all users, using a dedicated group is the preferred method of achieving that. Otherwise, customers need to proactively manage the membership of the group.</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426F3B" w14:paraId="64571963" w14:textId="77777777" w:rsidTr="00275AB5">
        <w:trPr>
          <w:trHeight w:val="423"/>
        </w:trPr>
        <w:tc>
          <w:tcPr>
            <w:tcW w:w="666" w:type="dxa"/>
          </w:tcPr>
          <w:p w14:paraId="70516DDB" w14:textId="77777777" w:rsidR="00426F3B" w:rsidRDefault="00426F3B" w:rsidP="00275AB5">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7C75CEFE" wp14:editId="4E92D2EB">
                      <wp:extent cx="200025" cy="180975"/>
                      <wp:effectExtent l="57150" t="19050" r="28575" b="104775"/>
                      <wp:docPr id="874593604" name="Octagon 874593604"/>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8782077" id="Octagon 874593604"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aBueAIAAFoFAAAOAAAAZHJzL2Uyb0RvYy54bWysVFtr2zAUfh/sPwi9r7bTpJdQp4SUjkFp&#10;y9rRZ0WWEoGko0lKnOzX70h2nNAVBmMv8jk+9+9cbm53RpOt8EGBrWl1VlIiLIdG2VVNf7zef7mi&#10;JERmG6bBipruRaC3s8+fblo3FSNYg26EJ+jEhmnrarqO0U2LIvC1MCycgRMWhRK8YRFZvyoaz1r0&#10;bnQxKsuLogXfOA9chIB/7zohnWX/Ugoen6QMIhJdU8wt5tfnd5neYnbDpivP3FrxPg32D1kYpiwG&#10;HVzdscjIxqs/XBnFPQSQ8YyDKUBKxUWuAaupynfVvKyZE7kWBCe4Aabw/9zyx+2zJ6qp6dXleHJ9&#10;flGOKbHMYKueeGQrsOQoQLBaF6Zo8+Kefc8FJFPlO+lN+mJNZJcB3g8Ai10kHH9ix8rRhBKOouqq&#10;vL6cpAYUR2PnQ/wqwJBE1BS6FDKybPsQYqd90ErhAmjV3CutM+NXy4X2ZMuw3YsFRssdxgAnakWq&#10;ocs6U3GvRTLW9ruQCAXmWeWIeQjF4I9xLmwc9Rln7WQmMfZgeP53w14/mYo8oIPx6O/Gg0WODDYO&#10;xkZZ8B850LHqU5adPgJ+Uncil9DscQo8dOsRHL9XiP8DC/GZedwH3Bzc8fiEj9TQYmN6ipI1+F8f&#10;/U/6OKYopaTF/app+LlhXlCiv1kc4OtqPE4LmZnx5HKEjD+VLE8ldmMWgD2t8Jo4nsmkH/WBlB7M&#10;G56CeYqKImY5xq4pj/7ALGK393hMuJjPsxouoWPxwb44fuh6Gq7X3Rvzrh/CiNP7CIddZNN3g9jp&#10;pn5YmG8iSJWn9IhrjzcucB71/tikC3HKZ63jSZz9Bg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PoJoG54AgAAWg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7EF050C2" w14:textId="77777777" w:rsidR="00426F3B" w:rsidRDefault="00426F3B" w:rsidP="00275AB5">
            <w:pPr>
              <w:spacing w:after="240"/>
              <w:rPr>
                <w:lang w:eastAsia="en-US"/>
              </w:rPr>
            </w:pPr>
            <w:r w:rsidRPr="00192064">
              <w:rPr>
                <w:b/>
                <w:lang w:eastAsia="en-US"/>
              </w:rPr>
              <w:t>Mandatory</w:t>
            </w:r>
            <w:r>
              <w:rPr>
                <w:lang w:eastAsia="en-US"/>
              </w:rPr>
              <w:t>: To use dedicated groups, self-service group management must be enabled in Azure AD. However, if customers want to use dedicated groups and they are not ready for their users to participate in self-service group management, they can configure self-service group management to apply only to users in a security group and keep that security group empty.</w:t>
            </w:r>
          </w:p>
        </w:tc>
      </w:tr>
    </w:tbl>
    <w:p w14:paraId="4BA7A4EB" w14:textId="14FD9B50" w:rsidR="00F811FE" w:rsidRPr="000A7EF0" w:rsidRDefault="00F811FE" w:rsidP="00F811FE">
      <w:pPr>
        <w:pStyle w:val="Heading5"/>
        <w:rPr>
          <w:b/>
          <w:color w:val="000000" w:themeColor="text1"/>
        </w:rPr>
      </w:pPr>
      <w:r w:rsidRPr="000A7EF0">
        <w:rPr>
          <w:b/>
          <w:color w:val="000000" w:themeColor="text1"/>
        </w:rPr>
        <w:t>Dynamic Groups</w:t>
      </w:r>
    </w:p>
    <w:p w14:paraId="5DEA440B" w14:textId="696102A0" w:rsidR="00426F3B" w:rsidRDefault="009D5E11" w:rsidP="00426F3B">
      <w:r>
        <w:t>Dynamic</w:t>
      </w:r>
      <w:r w:rsidR="00426F3B">
        <w:t xml:space="preserve"> groups allow an administrator to specify some criteria by which all users who meet the criteria are automatically members of the group. These criteria take the form of a user attribute query, based on attributes that are present in the directory. For example, if a customer wants to create a dynamic group called </w:t>
      </w:r>
      <w:r w:rsidR="00426F3B" w:rsidRPr="00C56785">
        <w:rPr>
          <w:b/>
        </w:rPr>
        <w:t>HR Users</w:t>
      </w:r>
      <w:r w:rsidR="00426F3B">
        <w:t xml:space="preserve">, the criteria for the group would consist of a query where the value of the </w:t>
      </w:r>
      <w:r w:rsidR="00426F3B" w:rsidRPr="00C56785">
        <w:rPr>
          <w:b/>
        </w:rPr>
        <w:t>Department</w:t>
      </w:r>
      <w:r w:rsidR="00426F3B">
        <w:t xml:space="preserve"> attribute is </w:t>
      </w:r>
      <w:r w:rsidR="00426F3B" w:rsidRPr="00C56785">
        <w:rPr>
          <w:b/>
        </w:rPr>
        <w:t>Human Resources</w:t>
      </w:r>
      <w:r w:rsidR="00426F3B">
        <w:t>.</w:t>
      </w:r>
    </w:p>
    <w:p w14:paraId="7F415493" w14:textId="77777777" w:rsidR="00426F3B" w:rsidRDefault="00426F3B" w:rsidP="00426F3B"/>
    <w:p w14:paraId="085691E7" w14:textId="77777777" w:rsidR="00426F3B" w:rsidRDefault="00426F3B" w:rsidP="00426F3B">
      <w:pPr>
        <w:spacing w:before="0" w:after="160" w:line="259" w:lineRule="auto"/>
      </w:pPr>
      <w:r>
        <w:br w:type="page"/>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426F3B" w14:paraId="0B0F4A6A" w14:textId="77777777" w:rsidTr="00275AB5">
        <w:trPr>
          <w:trHeight w:val="423"/>
        </w:trPr>
        <w:tc>
          <w:tcPr>
            <w:tcW w:w="666" w:type="dxa"/>
          </w:tcPr>
          <w:p w14:paraId="7C280030" w14:textId="77777777" w:rsidR="00426F3B" w:rsidRDefault="00426F3B" w:rsidP="00275AB5">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1C14595D" wp14:editId="53B4FC75">
                      <wp:extent cx="200025" cy="180975"/>
                      <wp:effectExtent l="57150" t="19050" r="28575" b="104775"/>
                      <wp:docPr id="874593605" name="Octagon 874593605"/>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62C5EDA" id="Octagon 874593605"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lIoeAIAAFoFAAAOAAAAZHJzL2Uyb0RvYy54bWysVFtr2zAUfh/sPwi9r7bTpJdQp4SUjkFp&#10;y9rRZ0WWEoGko0lKnOzX70h2nNAVBmMv8jk+9+9cbm53RpOt8EGBrWl1VlIiLIdG2VVNf7zef7mi&#10;JERmG6bBipruRaC3s8+fblo3FSNYg26EJ+jEhmnrarqO0U2LIvC1MCycgRMWhRK8YRFZvyoaz1r0&#10;bnQxKsuLogXfOA9chIB/7zohnWX/Ugoen6QMIhJdU8wt5tfnd5neYnbDpivP3FrxPg32D1kYpiwG&#10;HVzdscjIxqs/XBnFPQSQ8YyDKUBKxUWuAaupynfVvKyZE7kWBCe4Aabw/9zyx+2zJ6qp6dXleHJ9&#10;flFOKLHMYKueeGQrsOQoQLBaF6Zo8+Kefc8FJFPlO+lN+mJNZJcB3g8Ai10kHH9ix8oRBuAoqq7K&#10;68tJakBxNHY+xK8CDElETaFLISPLtg8hdtoHrRQugFbNvdI6M361XGhPtgzbvVhgtNxhDHCiVqQa&#10;uqwzFfdaJGNtvwuJUGCeVY6Yh1AM/hjnwsZRn3HWTmYSYw+G53837PWTqcgDOhiP/m48WOTIYONg&#10;bJQF/5EDHas+ZdnpI+AndSdyCc0ep8BDtx7B8XuF+D+wEJ+Zx33AzcEdj0/4SA0tNqanKFmD//XR&#10;/6SPY4pSSlrcr5qGnxvmBSX6m8UBvq7G47SQmRlPLkfI+FPJ8lRiN2YB2NMKr4njmUz6UR9I6cG8&#10;4SmYp6goYpZj7Jry6A/MInZ7j8eEi/k8q+ESOhYf7Ivjh66n4XrdvTHv+iGMOL2PcNhFNn03iJ1u&#10;6oeF+SaCVHlKj7j2eOMC51Hvj026EKd81jqexNlvAA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Ow6Uih4AgAAWg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259C3743" w14:textId="77777777" w:rsidR="00426F3B" w:rsidRDefault="00426F3B" w:rsidP="00275AB5">
            <w:pPr>
              <w:spacing w:after="240"/>
              <w:rPr>
                <w:lang w:eastAsia="en-US"/>
              </w:rPr>
            </w:pPr>
            <w:r w:rsidRPr="00192064">
              <w:rPr>
                <w:b/>
                <w:lang w:eastAsia="en-US"/>
              </w:rPr>
              <w:t>Mandatory</w:t>
            </w:r>
            <w:r>
              <w:rPr>
                <w:lang w:eastAsia="en-US"/>
              </w:rPr>
              <w:t xml:space="preserve">: </w:t>
            </w:r>
          </w:p>
          <w:p w14:paraId="7500C8B3" w14:textId="77777777" w:rsidR="00426F3B" w:rsidRDefault="00426F3B" w:rsidP="005729D2">
            <w:pPr>
              <w:pStyle w:val="ListParagraph"/>
              <w:numPr>
                <w:ilvl w:val="0"/>
                <w:numId w:val="126"/>
              </w:numPr>
              <w:spacing w:after="240"/>
              <w:rPr>
                <w:lang w:eastAsia="en-US"/>
              </w:rPr>
            </w:pPr>
            <w:r w:rsidRPr="002C5588">
              <w:t>Customers are limited to the number of dynamic groups they can have in the directory. At the time of this writing, the limit is</w:t>
            </w:r>
            <w:r>
              <w:t> 1</w:t>
            </w:r>
            <w:r w:rsidRPr="002C5588">
              <w:t xml:space="preserve">0 dynamic groups in the </w:t>
            </w:r>
            <w:r>
              <w:t>Azure AD</w:t>
            </w:r>
            <w:r w:rsidRPr="002C5588">
              <w:t xml:space="preserve"> tenant. </w:t>
            </w:r>
            <w:r>
              <w:t>C</w:t>
            </w:r>
            <w:r w:rsidRPr="002C5588">
              <w:t xml:space="preserve">heck the resources in the Reference table at the end of this section </w:t>
            </w:r>
            <w:r>
              <w:t xml:space="preserve">for current limits </w:t>
            </w:r>
            <w:r w:rsidRPr="002C5588">
              <w:t xml:space="preserve">before consulting a customer. </w:t>
            </w:r>
          </w:p>
          <w:p w14:paraId="3A20602E" w14:textId="77777777" w:rsidR="00426F3B" w:rsidRDefault="00426F3B" w:rsidP="005729D2">
            <w:pPr>
              <w:pStyle w:val="ListParagraph"/>
              <w:numPr>
                <w:ilvl w:val="0"/>
                <w:numId w:val="126"/>
              </w:numPr>
              <w:spacing w:after="240"/>
              <w:rPr>
                <w:lang w:eastAsia="en-US"/>
              </w:rPr>
            </w:pPr>
            <w:r>
              <w:rPr>
                <w:lang w:eastAsia="en-US"/>
              </w:rPr>
              <w:t>To use dynamic groups, self-service group management must be enabled in Azure AD. However, if customers want to use dynamic groups and they are not ready for their users to participate in self-service group management, they can configure self-service group management to only apply to users in a security group, and keep that security group empty.</w:t>
            </w:r>
          </w:p>
          <w:p w14:paraId="0716A6F2" w14:textId="77777777" w:rsidR="00426F3B" w:rsidRDefault="00426F3B" w:rsidP="005729D2">
            <w:pPr>
              <w:pStyle w:val="ListParagraph"/>
              <w:numPr>
                <w:ilvl w:val="0"/>
                <w:numId w:val="126"/>
              </w:numPr>
              <w:spacing w:after="240"/>
              <w:rPr>
                <w:lang w:eastAsia="en-US"/>
              </w:rPr>
            </w:pPr>
            <w:r>
              <w:t xml:space="preserve">All attributes that you want to use for group membership evaluation must be present on the </w:t>
            </w:r>
            <w:r w:rsidRPr="006D0054">
              <w:rPr>
                <w:b/>
              </w:rPr>
              <w:t>User</w:t>
            </w:r>
            <w:r>
              <w:t xml:space="preserve"> objects in Azure AD. This can be by manually adding the attributes or by synchronizing them from the on-premises Active Directory.</w:t>
            </w:r>
          </w:p>
        </w:tc>
      </w:tr>
      <w:tr w:rsidR="00426F3B" w14:paraId="52302550" w14:textId="77777777" w:rsidTr="00275AB5">
        <w:trPr>
          <w:trHeight w:val="423"/>
        </w:trPr>
        <w:tc>
          <w:tcPr>
            <w:tcW w:w="666" w:type="dxa"/>
          </w:tcPr>
          <w:p w14:paraId="64A67655" w14:textId="77777777" w:rsidR="00426F3B" w:rsidRDefault="00426F3B" w:rsidP="00275AB5">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918336" behindDoc="0" locked="0" layoutInCell="1" allowOverlap="1" wp14:anchorId="6145ECC5" wp14:editId="52991A5B">
                      <wp:simplePos x="0" y="0"/>
                      <wp:positionH relativeFrom="column">
                        <wp:posOffset>66675</wp:posOffset>
                      </wp:positionH>
                      <wp:positionV relativeFrom="paragraph">
                        <wp:posOffset>90170</wp:posOffset>
                      </wp:positionV>
                      <wp:extent cx="209550" cy="180975"/>
                      <wp:effectExtent l="57150" t="19050" r="57150" b="104775"/>
                      <wp:wrapNone/>
                      <wp:docPr id="874593631" name="Isosceles Triangle 8745936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4301EE31" id="Isosceles Triangle 874593631" o:spid="_x0000_s1026" type="#_x0000_t5" style="position:absolute;margin-left:5.25pt;margin-top:7.1pt;width:16.5pt;height:14.2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n9vjQIAAH8FAAAOAAAAZHJzL2Uyb0RvYy54bWysVFtr2zAUfh/sPwi9r7bTpG1MnRJaMgqh&#10;DWtHnxVZSsxkHU1S4mS/fkfyJV1XKIz5Qej4fOf+6VzfHGpF9sK6CnRBs7OUEqE5lJXeFPT78+LL&#10;FSXOM10yBVoU9CgcvZl9/nTdmFyMYAuqFJagE+3yxhR0673Jk8TxraiZOwMjNCol2Jp5FO0mKS1r&#10;0HutklGaXiQN2NJY4MI5/HvXKuks+pdScP8opROeqIJibj6eNp7rcCaza5ZvLDPbindpsH/IomaV&#10;xqCDqzvmGdnZ6i9XdcUtOJD+jEOdgJQVF7EGrCZL31TztGVGxFqwOc4MbXL/zy1/2K8sqcqCXl2O&#10;J9Pzi/OMEs1qHNW9A8eFEo4824rpjRLkhMG+NcblaP5kVjZU7swS+A+HiuQPTRBchzlIWwcs1k0O&#10;cQjHYQji4AnHn6N0OpngqDiqsqt0ejkJQ0pY3hsb6/xXATUJl4L6LrnYfrZfOt/Ce1jMDVRVLiql&#10;omA361tlyZ4hJxb4pZEGGMGdYLGGNu1YgD8qEYyV/iYk9gsTzWLEyFQx+GOcC+0vupQjOphJjD0Y&#10;nn9s2OGDqYgsHoxHHxsPFjEyaD8Y15UG+54D5bMuZdniuym6tu7QgjWUR6SKhfYNOcMXFQ5gyZxf&#10;MYuPBmeGi8A/4iEVNAWF7kbJFuyv9/4HPHIZtZQ0+AgL6n7umBWUqHuNLJ9m43F4tVEYTy5HKNjX&#10;mvVrjd7Vt4AzRQZjdvEa8F71V2mhfsF9MQ9RUcU0x9gF5d72wq1vlwNuHC7m8wjDl2qYX+onw/up&#10;B3I9H16YNT0Lkb4P0D9Ylr8hYosN89Aw33mQVWTpqa9dv/GVR653GymskddyRJ325uw3AAAA//8D&#10;AFBLAwQUAAYACAAAACEANTxCMNkAAAAHAQAADwAAAGRycy9kb3ducmV2LnhtbEyOzU7DMBCE70i8&#10;g7VIXFDrkIa2CnEqhJIjqig8gBNvfoS9jmK3DW/PcoLTaDSjma84LM6KC85h9KTgcZ2AQGq9GalX&#10;8PlRr/YgQtRktPWECr4xwKG8vSl0bvyV3vFyir3gEQq5VjDEOOVShnZAp8PaT0icdX52OrKde2lm&#10;feVxZ2WaJFvp9Ej8MOgJXwdsv05np8A3y7Hb1Lv9Q+0m+9ZVVeaOlVL3d8vLM4iIS/wrwy8+o0PJ&#10;TI0/kwnCsk+euMmapSA4zzbsG9Z0B7Is5H/+8gcAAP//AwBQSwECLQAUAAYACAAAACEAtoM4kv4A&#10;AADhAQAAEwAAAAAAAAAAAAAAAAAAAAAAW0NvbnRlbnRfVHlwZXNdLnhtbFBLAQItABQABgAIAAAA&#10;IQA4/SH/1gAAAJQBAAALAAAAAAAAAAAAAAAAAC8BAABfcmVscy8ucmVsc1BLAQItABQABgAIAAAA&#10;IQDXon9vjQIAAH8FAAAOAAAAAAAAAAAAAAAAAC4CAABkcnMvZTJvRG9jLnhtbFBLAQItABQABgAI&#10;AAAAIQA1PEIw2QAAAAcBAAAPAAAAAAAAAAAAAAAAAOcEAABkcnMvZG93bnJldi54bWxQSwUGAAAA&#10;AAQABADzAAAA7QUAAAAA&#10;" fillcolor="yellow" strokecolor="#70ad47 [3209]" strokeweight=".5pt">
                      <v:path arrowok="t"/>
                    </v:shape>
                  </w:pict>
                </mc:Fallback>
              </mc:AlternateContent>
            </w:r>
          </w:p>
        </w:tc>
        <w:tc>
          <w:tcPr>
            <w:tcW w:w="8604" w:type="dxa"/>
          </w:tcPr>
          <w:p w14:paraId="61169310" w14:textId="77777777" w:rsidR="00426F3B" w:rsidRDefault="00426F3B" w:rsidP="00275AB5">
            <w:pPr>
              <w:rPr>
                <w:rFonts w:eastAsiaTheme="minorHAnsi"/>
                <w:lang w:eastAsia="en-US"/>
              </w:rPr>
            </w:pPr>
            <w:r>
              <w:rPr>
                <w:rFonts w:eastAsiaTheme="minorHAnsi"/>
                <w:b/>
                <w:lang w:eastAsia="en-US"/>
              </w:rPr>
              <w:t xml:space="preserve">Recommended: </w:t>
            </w:r>
          </w:p>
          <w:p w14:paraId="3A14B424" w14:textId="77777777" w:rsidR="00426F3B" w:rsidRDefault="00426F3B" w:rsidP="005729D2">
            <w:pPr>
              <w:pStyle w:val="ListParagraph"/>
              <w:numPr>
                <w:ilvl w:val="0"/>
                <w:numId w:val="127"/>
              </w:numPr>
              <w:rPr>
                <w:lang w:eastAsia="en-US"/>
              </w:rPr>
            </w:pPr>
            <w:r>
              <w:t>When you convert a standard group to a dynamic group, the previous membership of the group is lost. Make sure that the previous membership is exported first if the customer wants to retain a list of those members.</w:t>
            </w:r>
          </w:p>
          <w:p w14:paraId="1C756C35" w14:textId="77777777" w:rsidR="00426F3B" w:rsidRDefault="00426F3B" w:rsidP="005729D2">
            <w:pPr>
              <w:pStyle w:val="ListParagraph"/>
              <w:numPr>
                <w:ilvl w:val="0"/>
                <w:numId w:val="127"/>
              </w:numPr>
              <w:rPr>
                <w:lang w:eastAsia="en-US"/>
              </w:rPr>
            </w:pPr>
            <w:r>
              <w:t>When creating a custom (advanced) membership evaluation policy, there is a limit of 255 characters. Therefore, complex evaluations that involve multiple attributes and AND/OR conditions should be limited.</w:t>
            </w:r>
          </w:p>
          <w:p w14:paraId="474F8F10" w14:textId="592C884A" w:rsidR="00426F3B" w:rsidRPr="00426F3B" w:rsidRDefault="00426F3B" w:rsidP="00426F3B">
            <w:pPr>
              <w:rPr>
                <w:lang w:eastAsia="en-US"/>
              </w:rPr>
            </w:pPr>
          </w:p>
        </w:tc>
      </w:tr>
    </w:tbl>
    <w:tbl>
      <w:tblPr>
        <w:tblStyle w:val="PlainTable11"/>
        <w:tblW w:w="0" w:type="auto"/>
        <w:tblLook w:val="04A0" w:firstRow="1" w:lastRow="0" w:firstColumn="1" w:lastColumn="0" w:noHBand="0" w:noVBand="1"/>
      </w:tblPr>
      <w:tblGrid>
        <w:gridCol w:w="3395"/>
        <w:gridCol w:w="5955"/>
      </w:tblGrid>
      <w:tr w:rsidR="009D2213" w14:paraId="090A832E" w14:textId="77777777" w:rsidTr="00426F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808080" w:themeFill="background1" w:themeFillShade="80"/>
          </w:tcPr>
          <w:p w14:paraId="16F9D26E" w14:textId="51CDEAB6" w:rsidR="009D2213" w:rsidRPr="00F47607" w:rsidRDefault="009D2213" w:rsidP="003D1FE5">
            <w:pPr>
              <w:spacing w:line="240" w:lineRule="auto"/>
              <w:rPr>
                <w:color w:val="FFFFFF"/>
              </w:rPr>
            </w:pPr>
            <w:r>
              <w:rPr>
                <w:color w:val="FFFFFF"/>
              </w:rPr>
              <w:t>References</w:t>
            </w:r>
          </w:p>
        </w:tc>
      </w:tr>
      <w:tr w:rsidR="009D2213" w:rsidRPr="00970D41" w14:paraId="3651D539" w14:textId="77777777" w:rsidTr="00426F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5" w:type="dxa"/>
          </w:tcPr>
          <w:p w14:paraId="73573E8B" w14:textId="5274E334" w:rsidR="009D2213" w:rsidRPr="00970D41" w:rsidRDefault="005072EB" w:rsidP="003D1FE5">
            <w:pPr>
              <w:spacing w:line="240" w:lineRule="auto"/>
              <w:rPr>
                <w:sz w:val="20"/>
                <w:szCs w:val="18"/>
              </w:rPr>
            </w:pPr>
            <w:r w:rsidRPr="00970D41">
              <w:rPr>
                <w:sz w:val="20"/>
                <w:szCs w:val="18"/>
                <w:lang w:val="en"/>
              </w:rPr>
              <w:t>Self-service group management for users in Azure AD</w:t>
            </w:r>
          </w:p>
        </w:tc>
        <w:tc>
          <w:tcPr>
            <w:tcW w:w="5955" w:type="dxa"/>
          </w:tcPr>
          <w:p w14:paraId="75075B98" w14:textId="49CF51B6" w:rsidR="009D2213" w:rsidRPr="00970D41" w:rsidRDefault="00872E47" w:rsidP="003D1FE5">
            <w:pPr>
              <w:cnfStyle w:val="000000100000" w:firstRow="0" w:lastRow="0" w:firstColumn="0" w:lastColumn="0" w:oddVBand="0" w:evenVBand="0" w:oddHBand="1" w:evenHBand="0" w:firstRowFirstColumn="0" w:firstRowLastColumn="0" w:lastRowFirstColumn="0" w:lastRowLastColumn="0"/>
              <w:rPr>
                <w:sz w:val="20"/>
                <w:szCs w:val="18"/>
              </w:rPr>
            </w:pPr>
            <w:hyperlink r:id="rId463" w:history="1">
              <w:r w:rsidR="005072EB" w:rsidRPr="00970D41">
                <w:rPr>
                  <w:rStyle w:val="Hyperlink"/>
                  <w:sz w:val="20"/>
                  <w:szCs w:val="18"/>
                </w:rPr>
                <w:t>https://msdn.microsoft.com/en-us/library/azure/dn641267.aspx</w:t>
              </w:r>
            </w:hyperlink>
          </w:p>
        </w:tc>
      </w:tr>
      <w:tr w:rsidR="00056648" w:rsidRPr="00970D41" w14:paraId="77B239AD" w14:textId="77777777" w:rsidTr="00426F3B">
        <w:tc>
          <w:tcPr>
            <w:cnfStyle w:val="001000000000" w:firstRow="0" w:lastRow="0" w:firstColumn="1" w:lastColumn="0" w:oddVBand="0" w:evenVBand="0" w:oddHBand="0" w:evenHBand="0" w:firstRowFirstColumn="0" w:firstRowLastColumn="0" w:lastRowFirstColumn="0" w:lastRowLastColumn="0"/>
            <w:tcW w:w="3395" w:type="dxa"/>
          </w:tcPr>
          <w:p w14:paraId="0A812514" w14:textId="45BE4102" w:rsidR="00056648" w:rsidRPr="00970D41" w:rsidRDefault="00056648" w:rsidP="003D1FE5">
            <w:pPr>
              <w:spacing w:line="240" w:lineRule="auto"/>
              <w:rPr>
                <w:sz w:val="20"/>
                <w:szCs w:val="18"/>
                <w:lang w:val="en"/>
              </w:rPr>
            </w:pPr>
            <w:r w:rsidRPr="00970D41">
              <w:rPr>
                <w:sz w:val="20"/>
                <w:szCs w:val="18"/>
                <w:lang w:val="en"/>
              </w:rPr>
              <w:t>Manage Your Groups</w:t>
            </w:r>
          </w:p>
        </w:tc>
        <w:tc>
          <w:tcPr>
            <w:tcW w:w="5955" w:type="dxa"/>
          </w:tcPr>
          <w:p w14:paraId="17782864" w14:textId="40AF7E08" w:rsidR="00056648" w:rsidRPr="00970D41" w:rsidRDefault="00872E47" w:rsidP="00056648">
            <w:pPr>
              <w:cnfStyle w:val="000000000000" w:firstRow="0" w:lastRow="0" w:firstColumn="0" w:lastColumn="0" w:oddVBand="0" w:evenVBand="0" w:oddHBand="0" w:evenHBand="0" w:firstRowFirstColumn="0" w:firstRowLastColumn="0" w:lastRowFirstColumn="0" w:lastRowLastColumn="0"/>
              <w:rPr>
                <w:sz w:val="20"/>
                <w:szCs w:val="18"/>
              </w:rPr>
            </w:pPr>
            <w:hyperlink r:id="rId464" w:history="1">
              <w:r w:rsidR="00056648" w:rsidRPr="00970D41">
                <w:rPr>
                  <w:rStyle w:val="Hyperlink"/>
                  <w:sz w:val="20"/>
                  <w:szCs w:val="18"/>
                </w:rPr>
                <w:t>https://msdn.microsoft.com/en-us/library/azure/dn641268.aspx</w:t>
              </w:r>
            </w:hyperlink>
          </w:p>
        </w:tc>
      </w:tr>
      <w:tr w:rsidR="00DE6733" w:rsidRPr="00970D41" w14:paraId="73042D20" w14:textId="77777777" w:rsidTr="00426F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5" w:type="dxa"/>
          </w:tcPr>
          <w:p w14:paraId="35D95CA6" w14:textId="67FC5D9F" w:rsidR="00DE6733" w:rsidRPr="00970D41" w:rsidRDefault="00DE6733" w:rsidP="003D1FE5">
            <w:pPr>
              <w:spacing w:line="240" w:lineRule="auto"/>
              <w:rPr>
                <w:sz w:val="20"/>
                <w:szCs w:val="18"/>
                <w:lang w:val="en"/>
              </w:rPr>
            </w:pPr>
            <w:r w:rsidRPr="00970D41">
              <w:rPr>
                <w:sz w:val="20"/>
                <w:szCs w:val="18"/>
                <w:lang w:val="en"/>
              </w:rPr>
              <w:t>Dedicated Groups in Azure AD</w:t>
            </w:r>
          </w:p>
        </w:tc>
        <w:tc>
          <w:tcPr>
            <w:tcW w:w="5955" w:type="dxa"/>
          </w:tcPr>
          <w:p w14:paraId="6EC4126F" w14:textId="1B947623" w:rsidR="00DE6733" w:rsidRPr="00970D41" w:rsidRDefault="00872E47" w:rsidP="00DE6733">
            <w:pPr>
              <w:cnfStyle w:val="000000100000" w:firstRow="0" w:lastRow="0" w:firstColumn="0" w:lastColumn="0" w:oddVBand="0" w:evenVBand="0" w:oddHBand="1" w:evenHBand="0" w:firstRowFirstColumn="0" w:firstRowLastColumn="0" w:lastRowFirstColumn="0" w:lastRowLastColumn="0"/>
              <w:rPr>
                <w:sz w:val="20"/>
              </w:rPr>
            </w:pPr>
            <w:hyperlink r:id="rId465" w:history="1">
              <w:r w:rsidR="00DE6733" w:rsidRPr="00970D41">
                <w:rPr>
                  <w:rStyle w:val="Hyperlink"/>
                  <w:sz w:val="20"/>
                </w:rPr>
                <w:t>https://msdn.microsoft.com/en-us/library/azure/dn889921.aspx</w:t>
              </w:r>
            </w:hyperlink>
          </w:p>
        </w:tc>
      </w:tr>
      <w:tr w:rsidR="008E1DD9" w:rsidRPr="00970D41" w14:paraId="51441BCF" w14:textId="77777777" w:rsidTr="00426F3B">
        <w:tc>
          <w:tcPr>
            <w:cnfStyle w:val="001000000000" w:firstRow="0" w:lastRow="0" w:firstColumn="1" w:lastColumn="0" w:oddVBand="0" w:evenVBand="0" w:oddHBand="0" w:evenHBand="0" w:firstRowFirstColumn="0" w:firstRowLastColumn="0" w:lastRowFirstColumn="0" w:lastRowLastColumn="0"/>
            <w:tcW w:w="3395" w:type="dxa"/>
          </w:tcPr>
          <w:p w14:paraId="4E27A321" w14:textId="18F50245" w:rsidR="008E1DD9" w:rsidRPr="00970D41" w:rsidRDefault="008E1DD9" w:rsidP="003D1FE5">
            <w:pPr>
              <w:spacing w:line="240" w:lineRule="auto"/>
              <w:rPr>
                <w:sz w:val="20"/>
                <w:szCs w:val="18"/>
                <w:lang w:val="en"/>
              </w:rPr>
            </w:pPr>
            <w:r w:rsidRPr="00970D41">
              <w:rPr>
                <w:sz w:val="20"/>
                <w:szCs w:val="18"/>
                <w:lang w:val="en"/>
              </w:rPr>
              <w:t>Dynamic Memberships for Groups in Azure AD</w:t>
            </w:r>
          </w:p>
        </w:tc>
        <w:tc>
          <w:tcPr>
            <w:tcW w:w="5955" w:type="dxa"/>
          </w:tcPr>
          <w:p w14:paraId="61A9FC62" w14:textId="6CD192C2" w:rsidR="008E1DD9" w:rsidRPr="00970D41" w:rsidRDefault="00872E47" w:rsidP="008E1DD9">
            <w:pPr>
              <w:cnfStyle w:val="000000000000" w:firstRow="0" w:lastRow="0" w:firstColumn="0" w:lastColumn="0" w:oddVBand="0" w:evenVBand="0" w:oddHBand="0" w:evenHBand="0" w:firstRowFirstColumn="0" w:firstRowLastColumn="0" w:lastRowFirstColumn="0" w:lastRowLastColumn="0"/>
              <w:rPr>
                <w:sz w:val="20"/>
                <w:szCs w:val="18"/>
              </w:rPr>
            </w:pPr>
            <w:hyperlink r:id="rId466" w:history="1">
              <w:r w:rsidR="008E1DD9" w:rsidRPr="00970D41">
                <w:rPr>
                  <w:rStyle w:val="Hyperlink"/>
                  <w:sz w:val="20"/>
                  <w:szCs w:val="18"/>
                </w:rPr>
                <w:t>https://msdn.microsoft.com/en-us/library/azure/dn913807.aspx</w:t>
              </w:r>
            </w:hyperlink>
          </w:p>
        </w:tc>
      </w:tr>
    </w:tbl>
    <w:p w14:paraId="3ACA630E" w14:textId="19D64E61" w:rsidR="004127DA" w:rsidRDefault="004127DA" w:rsidP="005729D2">
      <w:pPr>
        <w:pStyle w:val="Heading3Numbered"/>
        <w:numPr>
          <w:ilvl w:val="2"/>
          <w:numId w:val="64"/>
        </w:numPr>
      </w:pPr>
      <w:bookmarkStart w:id="5652" w:name="_Toc417314774"/>
      <w:bookmarkStart w:id="5653" w:name="_Toc417323791"/>
      <w:bookmarkStart w:id="5654" w:name="_Toc417326881"/>
      <w:bookmarkStart w:id="5655" w:name="_Toc417330429"/>
      <w:bookmarkStart w:id="5656" w:name="_Toc417395035"/>
      <w:bookmarkStart w:id="5657" w:name="_Toc417399252"/>
      <w:bookmarkStart w:id="5658" w:name="_Toc417399411"/>
      <w:bookmarkStart w:id="5659" w:name="_Toc417400458"/>
      <w:bookmarkStart w:id="5660" w:name="_Toc417401306"/>
      <w:bookmarkStart w:id="5661" w:name="_Toc417419621"/>
      <w:bookmarkStart w:id="5662" w:name="_Toc417457393"/>
      <w:bookmarkStart w:id="5663" w:name="_Toc417481971"/>
      <w:bookmarkStart w:id="5664" w:name="_Toc417482229"/>
      <w:bookmarkStart w:id="5665" w:name="_Toc417499948"/>
      <w:bookmarkStart w:id="5666" w:name="_Toc417502769"/>
      <w:bookmarkStart w:id="5667" w:name="_Toc417548349"/>
      <w:bookmarkStart w:id="5668" w:name="_Toc417594592"/>
      <w:bookmarkStart w:id="5669" w:name="_Toc417934721"/>
      <w:bookmarkStart w:id="5670" w:name="_Toc417936060"/>
      <w:bookmarkStart w:id="5671" w:name="_Toc417936522"/>
      <w:bookmarkStart w:id="5672" w:name="_Toc417946945"/>
      <w:bookmarkStart w:id="5673" w:name="_Toc417947414"/>
      <w:bookmarkStart w:id="5674" w:name="_Toc417982555"/>
      <w:bookmarkStart w:id="5675" w:name="_Toc417986009"/>
      <w:bookmarkStart w:id="5676" w:name="_Toc418000701"/>
      <w:bookmarkStart w:id="5677" w:name="_Toc418003873"/>
      <w:bookmarkStart w:id="5678" w:name="_Toc418012078"/>
      <w:bookmarkStart w:id="5679" w:name="_Toc418014491"/>
      <w:bookmarkStart w:id="5680" w:name="_Toc418030096"/>
      <w:bookmarkStart w:id="5681" w:name="_Toc418036979"/>
      <w:bookmarkStart w:id="5682" w:name="_Toc418061452"/>
      <w:bookmarkStart w:id="5683" w:name="_Toc418081351"/>
      <w:bookmarkStart w:id="5684" w:name="_Toc418083383"/>
      <w:bookmarkStart w:id="5685" w:name="_Toc418096147"/>
      <w:bookmarkStart w:id="5686" w:name="_Toc418156749"/>
      <w:bookmarkStart w:id="5687" w:name="_Toc418167668"/>
      <w:bookmarkStart w:id="5688" w:name="_Toc418185924"/>
      <w:bookmarkStart w:id="5689" w:name="_Toc422941638"/>
      <w:bookmarkStart w:id="5690" w:name="_Toc423116844"/>
      <w:bookmarkStart w:id="5691" w:name="_Toc423117877"/>
      <w:bookmarkStart w:id="5692" w:name="_Toc423117327"/>
      <w:bookmarkStart w:id="5693" w:name="_Toc431288920"/>
      <w:r>
        <w:t>Branding and Customization</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2C78966E" w14:textId="67E266E2" w:rsidR="00426F3B" w:rsidRPr="004127DA" w:rsidRDefault="001D4A7B" w:rsidP="00426F3B">
      <w:r>
        <w:t>Although</w:t>
      </w:r>
      <w:bookmarkStart w:id="5694" w:name="_Toc414892138"/>
      <w:bookmarkStart w:id="5695" w:name="_Toc414960161"/>
      <w:bookmarkStart w:id="5696" w:name="_Toc414969132"/>
      <w:bookmarkStart w:id="5697" w:name="_Toc415011356"/>
      <w:bookmarkStart w:id="5698" w:name="_Toc415040045"/>
      <w:bookmarkStart w:id="5699" w:name="_Toc415572402"/>
      <w:bookmarkStart w:id="5700" w:name="_Toc415735572"/>
      <w:bookmarkStart w:id="5701" w:name="_Toc415814153"/>
      <w:bookmarkStart w:id="5702" w:name="_Toc416343888"/>
      <w:bookmarkStart w:id="5703" w:name="_Toc416863160"/>
      <w:r w:rsidR="00426F3B">
        <w:t xml:space="preserve"> Azure AD is a cloud service, some elements of the user interfaces can be branded by customers. To brand the user interface in Azure AD, an Azure AD</w:t>
      </w:r>
      <w:r w:rsidR="00426F3B" w:rsidRPr="00B828D1">
        <w:t xml:space="preserve"> Basic</w:t>
      </w:r>
      <w:r w:rsidR="00426F3B">
        <w:t xml:space="preserve"> or Azure AD Premium license is required.</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426F3B" w14:paraId="7B55DBC9" w14:textId="77777777" w:rsidTr="00275AB5">
        <w:trPr>
          <w:trHeight w:val="423"/>
        </w:trPr>
        <w:tc>
          <w:tcPr>
            <w:tcW w:w="666" w:type="dxa"/>
          </w:tcPr>
          <w:p w14:paraId="292FBF45" w14:textId="77777777" w:rsidR="00426F3B" w:rsidRDefault="00426F3B" w:rsidP="00275AB5">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7B797E43" wp14:editId="7EEDC3BA">
                      <wp:extent cx="200025" cy="180975"/>
                      <wp:effectExtent l="57150" t="19050" r="28575" b="104775"/>
                      <wp:docPr id="830832941" name="Octagon 830832941"/>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1B91194" id="Octagon 830832941"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swbeAIAAFoFAAAOAAAAZHJzL2Uyb0RvYy54bWysVN1r2zAQfx/sfxB6X/2RdE1DnRJSMgal&#10;LWtHnxVZSgSyTpOUONlfv5PsOKErFMZe5Dvf993v7uZ232iyE84rMBUtLnJKhOFQK7Ou6M+X5ZcJ&#10;JT4wUzMNRlT0IDy9nX3+dNPaqShhA7oWjqAT46etregmBDvNMs83omH+AqwwKJTgGhaQdeusdqxF&#10;743Oyjz/mrXgauuAC+/x710npLPkX0rBw6OUXgSiK4q5hfS69K7im81u2HTtmN0o3qfB/iGLhimD&#10;QQdXdywwsnXqL1eN4g48yHDBoclASsVFqgGrKfI31TxvmBWpFmyOt0Ob/P9zyx92T46ouqKTUT4Z&#10;ldfjghLDGhzVIw9sDYacBNis1vop2jzbJ9dzHslY+V66Jn6xJrJPDT4MDRb7QDj+xInl5SUlHEXF&#10;JL++uowDyE7G1vnwTUBDIlFR6FJInWW7ex867aNWDOdBq3qptE6MW68W2pEdw3EvFhgtTRgDnKll&#10;sYYu60SFgxbRWJsfQmIrMM8iRUwgFIM/xrkwoewzTtrRTGLswXD0sWGvH01FAuhgXH5sPFikyGDC&#10;YNwoA+49BzoUfcqy08eGn9UdyRXUB0SBg249vOVLhf2/Zz48MYf7gJuDOx4e8ZEaWhxMT1GyAff7&#10;vf9RH2GKUkpa3K+K+l9b5gQl+rtBAF8X43FcyMSML69KZNy5ZHUuMdtmAThTBCdml8ioH/SRlA6a&#10;VzwF8xgVRcxwjF1RHtyRWYRu7/GYcDGfJzVcQsvCvXm2/Dj1CK6X/StztgdhQPQ+wHEX2fQNEDvd&#10;OA8D820AqRJKT33t+40LnKDeH5t4Ic75pHU6ibM/AA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J96zBt4AgAAWg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27C99495" w14:textId="77777777" w:rsidR="00426F3B" w:rsidRDefault="00426F3B" w:rsidP="00275AB5">
            <w:pPr>
              <w:spacing w:after="240"/>
              <w:rPr>
                <w:lang w:eastAsia="en-US"/>
              </w:rPr>
            </w:pPr>
            <w:r w:rsidRPr="00192064">
              <w:rPr>
                <w:b/>
                <w:lang w:eastAsia="en-US"/>
              </w:rPr>
              <w:t>Mandatory</w:t>
            </w:r>
            <w:r>
              <w:rPr>
                <w:lang w:eastAsia="en-US"/>
              </w:rPr>
              <w:t>: Azure AD Basic or Azure AD Premium licenses are required to customize the sign-in page and Access Panel. The administrator who is making the customizations must have an assigned license; otherwise, the option to configure the branding and customizations will not show up in the Azure portal.</w:t>
            </w:r>
          </w:p>
        </w:tc>
      </w:tr>
    </w:tbl>
    <w:p w14:paraId="27DDAF0C" w14:textId="77777777" w:rsidR="00426F3B" w:rsidRDefault="00426F3B" w:rsidP="00426F3B">
      <w:r>
        <w:t>The following Azure AD components can be branded or customized:</w:t>
      </w:r>
    </w:p>
    <w:p w14:paraId="7E91311A" w14:textId="77777777" w:rsidR="00426F3B" w:rsidRDefault="00426F3B" w:rsidP="005729D2">
      <w:pPr>
        <w:pStyle w:val="ListBullet"/>
        <w:numPr>
          <w:ilvl w:val="0"/>
          <w:numId w:val="128"/>
        </w:numPr>
      </w:pPr>
      <w:r>
        <w:t>Sign-in page elements</w:t>
      </w:r>
    </w:p>
    <w:p w14:paraId="2315B92B" w14:textId="77777777" w:rsidR="00426F3B" w:rsidRDefault="00426F3B" w:rsidP="005729D2">
      <w:pPr>
        <w:pStyle w:val="ListBullet"/>
        <w:numPr>
          <w:ilvl w:val="0"/>
          <w:numId w:val="128"/>
        </w:numPr>
      </w:pPr>
      <w:r>
        <w:t>Illustration image displayed on the left side of the page</w:t>
      </w:r>
    </w:p>
    <w:p w14:paraId="136D70E1" w14:textId="0CD229E0" w:rsidR="00426F3B" w:rsidRDefault="00426F3B" w:rsidP="005729D2">
      <w:pPr>
        <w:pStyle w:val="ListBullet"/>
        <w:numPr>
          <w:ilvl w:val="0"/>
          <w:numId w:val="128"/>
        </w:numPr>
      </w:pPr>
      <w:r>
        <w:t>Banner logo above the sign-in box</w:t>
      </w:r>
    </w:p>
    <w:p w14:paraId="49024010" w14:textId="61F526A8" w:rsidR="001D4A7B" w:rsidRDefault="00426F3B" w:rsidP="005729D2">
      <w:pPr>
        <w:pStyle w:val="ListBullet"/>
        <w:numPr>
          <w:ilvl w:val="0"/>
          <w:numId w:val="128"/>
        </w:numPr>
      </w:pPr>
      <w:r>
        <w:t>Sign-in page text</w:t>
      </w:r>
    </w:p>
    <w:p w14:paraId="69EF363D" w14:textId="3A9B054D" w:rsidR="00A20DDC" w:rsidRDefault="00A20DDC" w:rsidP="00A20DDC">
      <w:pPr>
        <w:jc w:val="center"/>
      </w:pPr>
      <w:r>
        <w:rPr>
          <w:noProof/>
        </w:rPr>
        <w:drawing>
          <wp:inline distT="0" distB="0" distL="0" distR="0" wp14:anchorId="5831E819" wp14:editId="441CC39B">
            <wp:extent cx="4923692" cy="2930804"/>
            <wp:effectExtent l="0" t="0" r="0" b="3175"/>
            <wp:docPr id="1546650189" name="Picture 1546650189" descr="Sign In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23220eb-16f9-4272-936a-c1d67977f9ba" descr="Sign In Page"/>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4930322" cy="2934750"/>
                    </a:xfrm>
                    <a:prstGeom prst="rect">
                      <a:avLst/>
                    </a:prstGeom>
                    <a:noFill/>
                    <a:ln>
                      <a:noFill/>
                    </a:ln>
                  </pic:spPr>
                </pic:pic>
              </a:graphicData>
            </a:graphic>
          </wp:inline>
        </w:drawing>
      </w:r>
    </w:p>
    <w:p w14:paraId="5A3B0395" w14:textId="5CAF7D54" w:rsidR="001D4A7B" w:rsidRDefault="001D4A7B" w:rsidP="005729D2">
      <w:pPr>
        <w:pStyle w:val="ListBullet"/>
        <w:numPr>
          <w:ilvl w:val="0"/>
          <w:numId w:val="129"/>
        </w:numPr>
      </w:pPr>
      <w:r>
        <w:t>Application Gallery</w:t>
      </w:r>
    </w:p>
    <w:p w14:paraId="2BA55164" w14:textId="550ABE36" w:rsidR="001D4A7B" w:rsidRPr="004127DA" w:rsidRDefault="001D4A7B" w:rsidP="005729D2">
      <w:pPr>
        <w:pStyle w:val="ListBullet"/>
        <w:numPr>
          <w:ilvl w:val="0"/>
          <w:numId w:val="129"/>
        </w:numPr>
      </w:pPr>
      <w:r>
        <w:t xml:space="preserve">Logo </w:t>
      </w:r>
      <w:r w:rsidR="006C57F2">
        <w:t>(</w:t>
      </w:r>
      <w:r>
        <w:t>in upper-left corner of page</w:t>
      </w:r>
      <w:r w:rsidR="006C57F2">
        <w:t>)</w:t>
      </w:r>
    </w:p>
    <w:p w14:paraId="0A0EAF29" w14:textId="151E7D1A" w:rsidR="00A20DDC" w:rsidRDefault="00A20DDC" w:rsidP="00A20DDC">
      <w:pPr>
        <w:spacing w:after="200"/>
        <w:jc w:val="center"/>
      </w:pPr>
      <w:r>
        <w:rPr>
          <w:noProof/>
        </w:rPr>
        <w:drawing>
          <wp:inline distT="0" distB="0" distL="0" distR="0" wp14:anchorId="5CD7AAB6" wp14:editId="1E88F62A">
            <wp:extent cx="4149969" cy="2641483"/>
            <wp:effectExtent l="0" t="0" r="3175" b="6985"/>
            <wp:docPr id="1546650190" name="Picture 1546650190" descr="Access Panel Branding and Customiz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522834-5320-4aa9-b033-cd774cd52aef" descr="Access Panel Branding and Customization"/>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4156622" cy="2645718"/>
                    </a:xfrm>
                    <a:prstGeom prst="rect">
                      <a:avLst/>
                    </a:prstGeom>
                    <a:noFill/>
                    <a:ln>
                      <a:noFill/>
                    </a:ln>
                  </pic:spPr>
                </pic:pic>
              </a:graphicData>
            </a:graphic>
          </wp:inline>
        </w:drawing>
      </w:r>
    </w:p>
    <w:tbl>
      <w:tblPr>
        <w:tblStyle w:val="TableGridLight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426F3B" w14:paraId="453EBE0F" w14:textId="77777777" w:rsidTr="00275AB5">
        <w:trPr>
          <w:trHeight w:val="423"/>
        </w:trPr>
        <w:tc>
          <w:tcPr>
            <w:tcW w:w="666" w:type="dxa"/>
          </w:tcPr>
          <w:p w14:paraId="59EACF01" w14:textId="77777777" w:rsidR="00426F3B" w:rsidRDefault="00426F3B" w:rsidP="00275AB5">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923456" behindDoc="0" locked="0" layoutInCell="1" allowOverlap="1" wp14:anchorId="6AD95703" wp14:editId="2EEBF51E">
                      <wp:simplePos x="0" y="0"/>
                      <wp:positionH relativeFrom="column">
                        <wp:posOffset>66675</wp:posOffset>
                      </wp:positionH>
                      <wp:positionV relativeFrom="paragraph">
                        <wp:posOffset>90170</wp:posOffset>
                      </wp:positionV>
                      <wp:extent cx="180975" cy="180975"/>
                      <wp:effectExtent l="57150" t="19050" r="9525" b="104775"/>
                      <wp:wrapNone/>
                      <wp:docPr id="1546650192" name="Oval 15466501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1FFEA27D" id="Oval 1546650192" o:spid="_x0000_s1026" style="position:absolute;margin-left:5.25pt;margin-top:7.1pt;width:14.25pt;height:14.2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03EggIAAHIFAAAOAAAAZHJzL2Uyb0RvYy54bWysVFtr2zAUfh/sPwi9r7bTpBdTp2QtHYPQ&#10;lLWjz4osJWKyjiYpcbJfvyPZcbO1UBh7EefofOd+ubreNZpshfMKTEWLk5wSYTjUyqwq+v3p7tMF&#10;JT4wUzMNRlR0Lzy9nn78cNXaUoxgDboWjqAR48vWVnQdgi2zzPO1aJg/ASsMCiW4hgVk3SqrHWvR&#10;eqOzUZ6fZS242jrgwnv8ve2EdJrsSyl4WEjpRSC6ohhbSK9L7zK+2fSKlSvH7FrxPgz2D1E0TBl0&#10;Opi6ZYGRjVOvTDWKO/AgwwmHJgMpFRcpB8ymyP/K5nHNrEi5YHG8Hcrk/59Zfr99cETV2LvJ+Oxs&#10;kheXI0oMa7BXiy3T5Ogba9VaX6LKo31wMVtv58B/eBRkf0gi43vMTromYjFXskuF3w+FF7tAOH4W&#10;F/nl+YQSjqKejjZZeVC2zocvAhoSiYoKrZX1sTSsZNu5Dx36gEqhgVb1ndI6MW61vNGOYELoO/+c&#10;T1Ln0YF/gaUUuqhT/GGvRVTW5puQWKIYZ/KYhlMM9hjnwoTTOEpoMKGjmkTfg+Lp+4o9PqqKNLiD&#10;8uh95UEjeQYTBuVGGXBvGdCh6EOWHb5vou/yjiVYQr3H6XDQrY23/E5h/efMhwfmcE9wo3D3wwIf&#10;qaGtKPQUJWtwv976j3gcX5RS0uLeVdT/3DAnKNFfDQ72ZTEex0VNzHhyPkLGHUuWxxKzaW4Ae1rg&#10;lbE8kREf9IGUDppnPBGz6BVFzHD0XVEe3IG5Cd09wCPDxWyWYLicloW5ebT80PU4XE+7Z+ZsP4QB&#10;p/ceDjv6ahA7bOyHgdkmgFRpSl/q2tcbFzsNTn+E4uU45hPq5VROfwMAAP//AwBQSwMEFAAGAAgA&#10;AAAhAMIanyLeAAAABwEAAA8AAABkcnMvZG93bnJldi54bWxMj0FLw0AQhe+C/2EZwYvYTWKrNmZT&#10;RBAUvZhW1Ns0OybB7GzIbtv47x1Pehoe7/Hme8Vqcr3a0xg6zwbSWQKKuPa248bAZn1/fg0qRGSL&#10;vWcy8E0BVuXxUYG59Qd+oX0VGyUlHHI00MY45FqHuiWHYeYHYvE+/egwihwbbUc8SLnrdZYkl9ph&#10;x/KhxYHuWqq/qp0z8FFtnt06fXJvj+nDgs7e+yXaV2NOT6bbG1CRpvgXhl98QYdSmLZ+xzaoXnSy&#10;kKTceQZK/IulTNsamGdXoMtC/+cvfwAAAP//AwBQSwECLQAUAAYACAAAACEAtoM4kv4AAADhAQAA&#10;EwAAAAAAAAAAAAAAAAAAAAAAW0NvbnRlbnRfVHlwZXNdLnhtbFBLAQItABQABgAIAAAAIQA4/SH/&#10;1gAAAJQBAAALAAAAAAAAAAAAAAAAAC8BAABfcmVscy8ucmVsc1BLAQItABQABgAIAAAAIQCTs03E&#10;ggIAAHIFAAAOAAAAAAAAAAAAAAAAAC4CAABkcnMvZTJvRG9jLnhtbFBLAQItABQABgAIAAAAIQDC&#10;Gp8i3gAAAAcBAAAPAAAAAAAAAAAAAAAAANwEAABkcnMvZG93bnJldi54bWxQSwUGAAAAAAQABADz&#10;AAAA5wUAAAAA&#10;" fillcolor="#00b050" strokecolor="#a5a5a5 [3206]" strokeweight=".5pt">
                      <v:stroke joinstyle="miter"/>
                      <v:path arrowok="t"/>
                    </v:oval>
                  </w:pict>
                </mc:Fallback>
              </mc:AlternateContent>
            </w:r>
          </w:p>
        </w:tc>
        <w:tc>
          <w:tcPr>
            <w:tcW w:w="8604" w:type="dxa"/>
          </w:tcPr>
          <w:p w14:paraId="201448EF" w14:textId="77777777" w:rsidR="00426F3B" w:rsidRDefault="00426F3B" w:rsidP="00275AB5">
            <w:pPr>
              <w:rPr>
                <w:lang w:eastAsia="en-US"/>
              </w:rPr>
            </w:pPr>
            <w:r>
              <w:rPr>
                <w:rFonts w:eastAsiaTheme="minorHAnsi"/>
                <w:b/>
                <w:lang w:eastAsia="en-US"/>
              </w:rPr>
              <w:t xml:space="preserve">Optional: </w:t>
            </w:r>
            <w:r>
              <w:rPr>
                <w:rFonts w:eastAsiaTheme="minorHAnsi"/>
                <w:lang w:eastAsia="en-US"/>
              </w:rPr>
              <w:t>Language-specific customizations can also be made. So if your customer is a multinational, you could customize the sign-in page text for each language that the customer supports.</w:t>
            </w:r>
          </w:p>
        </w:tc>
      </w:tr>
      <w:tr w:rsidR="00426F3B" w14:paraId="54200129" w14:textId="77777777" w:rsidTr="00275AB5">
        <w:trPr>
          <w:trHeight w:val="423"/>
        </w:trPr>
        <w:tc>
          <w:tcPr>
            <w:tcW w:w="666" w:type="dxa"/>
          </w:tcPr>
          <w:p w14:paraId="130E18FF" w14:textId="77777777" w:rsidR="00426F3B" w:rsidRDefault="00426F3B" w:rsidP="00275AB5">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2D275073" wp14:editId="5846095E">
                      <wp:extent cx="200025" cy="180975"/>
                      <wp:effectExtent l="57150" t="19050" r="28575" b="104775"/>
                      <wp:docPr id="1546650188" name="Octagon 1546650188"/>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3EF9F46" id="Octagon 1546650188"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vLAeAIAAFwFAAAOAAAAZHJzL2Uyb0RvYy54bWysVFtr2zAUfh/sPwi9r7azpJdQp4SUjkFp&#10;w9rRZ0WWEoGko0lKnOzX70h23NAVCmMv8jk+9+9crm/2RpOd8EGBrWl1VlIiLIdG2XVNfz7ffbmk&#10;JERmG6bBipoeRKA3s8+frls3FSPYgG6EJ+jEhmnrarqJ0U2LIvCNMCycgRMWhRK8YRFZvy4az1r0&#10;bnQxKsvzogXfOA9chIB/bzshnWX/UgoeH6UMIhJdU8wt5tfnd5XeYnbNpmvP3EbxPg32D1kYpiwG&#10;HVzdssjI1qu/XBnFPQSQ8YyDKUBKxUWuAaupyjfVPG2YE7kWBCe4Aabw/9zyh93SE9Vg7ybj8/NJ&#10;WV1ixywz2KtHHtkaLDmRIFytC1O0enJL33MByVT7XnqTvlgV2WeIDwPEYh8Jx5/Ys3I0oYSjqLos&#10;ry4mqQXFq7HzIX4TYEgiagpdDhlbtrsPsdM+aqVwAbRq7pTWmfHr1UJ7smPY8MUCo+UeY4ATtSLV&#10;0GWdqXjQIhlr+0NIBAPzrHLEPIZi8Mc4FzaO+oyzdjKTGHsw/PqxYa+fTEUe0cF49LHxYJEjg42D&#10;sVEW/HsOdKz6lGWnj4Cf1J3IFTQHnAMP3YIEx+8U4n/PQlwyjxuBu4NbHh/xkRpabExPUbIB//u9&#10;/0kfBxWllLS4YTUNv7bMC0r0d4sjfFWNx2klMzOeXIyQ8aeS1anEbs0CsKcV3hPHM5n0oz6S0oN5&#10;wWMwT1FRxCzH2DXl0R+ZRew2H88JF/N5VsM1dCze2yfHj11Pw/W8f2He9UMYcXof4LiNbPpmEDvd&#10;1A8L820EqfKUvuLa440rnEe9PzfpRpzyWev1KM7+AA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NDO8sB4AgAAXA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1EE1B66C" w14:textId="77777777" w:rsidR="00426F3B" w:rsidRDefault="00426F3B" w:rsidP="00275AB5">
            <w:pPr>
              <w:spacing w:after="240"/>
              <w:rPr>
                <w:lang w:eastAsia="en-US"/>
              </w:rPr>
            </w:pPr>
            <w:r w:rsidRPr="00192064">
              <w:rPr>
                <w:b/>
                <w:lang w:eastAsia="en-US"/>
              </w:rPr>
              <w:t>Mandatory</w:t>
            </w:r>
            <w:r>
              <w:rPr>
                <w:lang w:eastAsia="en-US"/>
              </w:rPr>
              <w:t>: Do not design solutions for Azure AD that require custom code to be run as part on the sign-in page or Access Panel. Azure AD does not allow HTML elements or client-side scripts to be run as a customization.</w:t>
            </w:r>
          </w:p>
        </w:tc>
      </w:tr>
    </w:tbl>
    <w:tbl>
      <w:tblPr>
        <w:tblStyle w:val="PlainTable11"/>
        <w:tblW w:w="0" w:type="auto"/>
        <w:tblLook w:val="04A0" w:firstRow="1" w:lastRow="0" w:firstColumn="1" w:lastColumn="0" w:noHBand="0" w:noVBand="1"/>
      </w:tblPr>
      <w:tblGrid>
        <w:gridCol w:w="3394"/>
        <w:gridCol w:w="5956"/>
      </w:tblGrid>
      <w:tr w:rsidR="00A20DDC" w14:paraId="77CDBE57" w14:textId="77777777" w:rsidTr="00426F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808080" w:themeFill="background1" w:themeFillShade="80"/>
          </w:tcPr>
          <w:p w14:paraId="2ABEE115" w14:textId="77777777" w:rsidR="00A20DDC" w:rsidRPr="00F47607" w:rsidRDefault="00A20DDC" w:rsidP="009B3F89">
            <w:pPr>
              <w:spacing w:line="240" w:lineRule="auto"/>
              <w:rPr>
                <w:color w:val="FFFFFF"/>
              </w:rPr>
            </w:pPr>
            <w:r>
              <w:rPr>
                <w:color w:val="FFFFFF"/>
              </w:rPr>
              <w:t>References</w:t>
            </w:r>
          </w:p>
        </w:tc>
      </w:tr>
      <w:tr w:rsidR="00A20DDC" w:rsidRPr="00970D41" w14:paraId="31CE5EE3" w14:textId="77777777" w:rsidTr="00426F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4" w:type="dxa"/>
          </w:tcPr>
          <w:p w14:paraId="2B0BF609" w14:textId="12454E43" w:rsidR="00A20DDC" w:rsidRPr="00970D41" w:rsidRDefault="00A20DDC" w:rsidP="009B3F89">
            <w:pPr>
              <w:spacing w:line="240" w:lineRule="auto"/>
              <w:rPr>
                <w:sz w:val="20"/>
                <w:szCs w:val="18"/>
              </w:rPr>
            </w:pPr>
            <w:r w:rsidRPr="00970D41">
              <w:rPr>
                <w:sz w:val="20"/>
                <w:szCs w:val="18"/>
              </w:rPr>
              <w:t>Ad</w:t>
            </w:r>
            <w:r w:rsidR="00426F3B">
              <w:rPr>
                <w:sz w:val="20"/>
                <w:szCs w:val="18"/>
              </w:rPr>
              <w:t>d Company Branding to your Sign-</w:t>
            </w:r>
            <w:r w:rsidRPr="00970D41">
              <w:rPr>
                <w:sz w:val="20"/>
                <w:szCs w:val="18"/>
              </w:rPr>
              <w:t>In and Access Panel pages</w:t>
            </w:r>
          </w:p>
        </w:tc>
        <w:tc>
          <w:tcPr>
            <w:tcW w:w="5956" w:type="dxa"/>
          </w:tcPr>
          <w:p w14:paraId="04EA7670" w14:textId="14F6A7C7" w:rsidR="00A20DDC" w:rsidRPr="00970D41" w:rsidRDefault="00872E47" w:rsidP="009B3F89">
            <w:pPr>
              <w:cnfStyle w:val="000000100000" w:firstRow="0" w:lastRow="0" w:firstColumn="0" w:lastColumn="0" w:oddVBand="0" w:evenVBand="0" w:oddHBand="1" w:evenHBand="0" w:firstRowFirstColumn="0" w:firstRowLastColumn="0" w:lastRowFirstColumn="0" w:lastRowLastColumn="0"/>
              <w:rPr>
                <w:sz w:val="20"/>
                <w:szCs w:val="18"/>
              </w:rPr>
            </w:pPr>
            <w:hyperlink r:id="rId469" w:history="1">
              <w:r w:rsidR="00A20DDC" w:rsidRPr="00970D41">
                <w:rPr>
                  <w:rStyle w:val="Hyperlink"/>
                  <w:sz w:val="20"/>
                  <w:szCs w:val="18"/>
                </w:rPr>
                <w:t>https://technet.microsoft.com/en-us/library/dn532270.aspx</w:t>
              </w:r>
            </w:hyperlink>
          </w:p>
        </w:tc>
      </w:tr>
    </w:tbl>
    <w:p w14:paraId="6C2F176D" w14:textId="77777777" w:rsidR="00165CBC" w:rsidRDefault="00165CBC" w:rsidP="005729D2">
      <w:pPr>
        <w:pStyle w:val="Heading2Numbered"/>
        <w:numPr>
          <w:ilvl w:val="1"/>
          <w:numId w:val="64"/>
        </w:numPr>
      </w:pPr>
      <w:bookmarkStart w:id="5704" w:name="_Toc417314775"/>
      <w:bookmarkStart w:id="5705" w:name="_Toc417323792"/>
      <w:bookmarkStart w:id="5706" w:name="_Toc417326882"/>
      <w:bookmarkStart w:id="5707" w:name="_Toc417330430"/>
      <w:bookmarkStart w:id="5708" w:name="_Toc417395036"/>
      <w:bookmarkStart w:id="5709" w:name="_Toc417399253"/>
      <w:bookmarkStart w:id="5710" w:name="_Toc417399412"/>
      <w:bookmarkStart w:id="5711" w:name="_Toc417400459"/>
      <w:bookmarkStart w:id="5712" w:name="_Toc417401307"/>
      <w:bookmarkStart w:id="5713" w:name="_Toc417419622"/>
      <w:bookmarkStart w:id="5714" w:name="_Toc417457394"/>
      <w:bookmarkStart w:id="5715" w:name="_Toc417481972"/>
      <w:bookmarkStart w:id="5716" w:name="_Toc417482230"/>
      <w:bookmarkStart w:id="5717" w:name="_Toc417499949"/>
      <w:bookmarkStart w:id="5718" w:name="_Toc417502770"/>
      <w:bookmarkStart w:id="5719" w:name="_Toc417548350"/>
      <w:bookmarkStart w:id="5720" w:name="_Toc417594593"/>
      <w:bookmarkStart w:id="5721" w:name="_Toc417934722"/>
      <w:bookmarkStart w:id="5722" w:name="_Toc417936061"/>
      <w:bookmarkStart w:id="5723" w:name="_Toc417936523"/>
      <w:bookmarkStart w:id="5724" w:name="_Toc417946946"/>
      <w:bookmarkStart w:id="5725" w:name="_Toc417947415"/>
      <w:bookmarkStart w:id="5726" w:name="_Toc417982556"/>
      <w:bookmarkStart w:id="5727" w:name="_Toc417986010"/>
      <w:bookmarkStart w:id="5728" w:name="_Ref417978740"/>
      <w:bookmarkStart w:id="5729" w:name="_Ref417979756"/>
      <w:bookmarkStart w:id="5730" w:name="_Toc418000702"/>
      <w:bookmarkStart w:id="5731" w:name="_Toc418003874"/>
      <w:bookmarkStart w:id="5732" w:name="_Toc418012079"/>
      <w:bookmarkStart w:id="5733" w:name="_Toc418014492"/>
      <w:bookmarkStart w:id="5734" w:name="_Toc418030097"/>
      <w:bookmarkStart w:id="5735" w:name="_Toc418036980"/>
      <w:bookmarkStart w:id="5736" w:name="_Toc418061453"/>
      <w:bookmarkStart w:id="5737" w:name="_Toc418081352"/>
      <w:bookmarkStart w:id="5738" w:name="_Toc418083384"/>
      <w:bookmarkStart w:id="5739" w:name="_Toc418096148"/>
      <w:bookmarkStart w:id="5740" w:name="_Toc418156750"/>
      <w:bookmarkStart w:id="5741" w:name="_Toc418167669"/>
      <w:bookmarkStart w:id="5742" w:name="_Toc418185925"/>
      <w:bookmarkStart w:id="5743" w:name="_Toc422941639"/>
      <w:bookmarkStart w:id="5744" w:name="_Toc423116845"/>
      <w:bookmarkStart w:id="5745" w:name="_Toc423117878"/>
      <w:bookmarkStart w:id="5746" w:name="_Toc423117328"/>
      <w:bookmarkStart w:id="5747" w:name="_Toc431288921"/>
      <w:r>
        <w:t>Extending On-Premises Active Directory to Microsoft Azure</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11E24CB1" w14:textId="35B8DA93" w:rsidR="009F14E9" w:rsidRDefault="00B01283" w:rsidP="009F14E9">
      <w:r>
        <w:t>When</w:t>
      </w:r>
      <w:r w:rsidR="009F14E9">
        <w:t xml:space="preserve"> working with virtual machines in an Infrastructure-as-a-Service (IaaS) environment, the virtual machines most often need to be joined to an Active Directory domain. This is so the operating system can be properly managed and the software running on the virtual machines can function properly. Many customers who move virtual machines to Azure have come to the conclusion that extending Active Directory into Azure IaaS is a </w:t>
      </w:r>
      <w:r w:rsidR="000A7EF0">
        <w:t>recommended course of action</w:t>
      </w:r>
      <w:r w:rsidR="009F14E9">
        <w:t xml:space="preserve">. </w:t>
      </w:r>
    </w:p>
    <w:p w14:paraId="0251D4E0" w14:textId="31A4ED74" w:rsidR="008A6F02" w:rsidRDefault="009F14E9" w:rsidP="009F14E9">
      <w:r>
        <w:t>One of the questions we are often asked is whether a customer should deploy Active Directory domain controllers into IaaS. The alternative option is to keep them on-premises and provide a VPN connection. There are various considerations to be made when answering this question. This section answers those questions and provides guidance about how to extend Active Directory to Azure virtual machines in a safe and reliable way</w:t>
      </w:r>
      <w:r w:rsidR="008A6F02">
        <w:t>.</w:t>
      </w:r>
    </w:p>
    <w:p w14:paraId="7E5F3D06" w14:textId="6ACD691D" w:rsidR="00AF609F" w:rsidRDefault="00AF609F" w:rsidP="005729D2">
      <w:pPr>
        <w:pStyle w:val="Heading3Numbered"/>
        <w:numPr>
          <w:ilvl w:val="2"/>
          <w:numId w:val="64"/>
        </w:numPr>
      </w:pPr>
      <w:bookmarkStart w:id="5748" w:name="_Toc417548351"/>
      <w:bookmarkStart w:id="5749" w:name="_Toc417594594"/>
      <w:bookmarkStart w:id="5750" w:name="_Toc417934723"/>
      <w:bookmarkStart w:id="5751" w:name="_Toc417936062"/>
      <w:bookmarkStart w:id="5752" w:name="_Toc417936524"/>
      <w:bookmarkStart w:id="5753" w:name="_Toc417946947"/>
      <w:bookmarkStart w:id="5754" w:name="_Toc417947416"/>
      <w:bookmarkStart w:id="5755" w:name="_Toc417982557"/>
      <w:bookmarkStart w:id="5756" w:name="_Toc417986011"/>
      <w:bookmarkStart w:id="5757" w:name="_Toc418000703"/>
      <w:bookmarkStart w:id="5758" w:name="_Toc418003875"/>
      <w:bookmarkStart w:id="5759" w:name="_Toc418012080"/>
      <w:bookmarkStart w:id="5760" w:name="_Toc418014493"/>
      <w:bookmarkStart w:id="5761" w:name="_Toc418030098"/>
      <w:bookmarkStart w:id="5762" w:name="_Toc418036981"/>
      <w:bookmarkStart w:id="5763" w:name="_Toc418061454"/>
      <w:bookmarkStart w:id="5764" w:name="_Toc418081353"/>
      <w:bookmarkStart w:id="5765" w:name="_Toc418083385"/>
      <w:bookmarkStart w:id="5766" w:name="_Toc418096149"/>
      <w:bookmarkStart w:id="5767" w:name="_Toc418156751"/>
      <w:bookmarkStart w:id="5768" w:name="_Toc418167670"/>
      <w:bookmarkStart w:id="5769" w:name="_Toc418185926"/>
      <w:bookmarkStart w:id="5770" w:name="_Toc422941640"/>
      <w:bookmarkStart w:id="5771" w:name="_Toc423116846"/>
      <w:bookmarkStart w:id="5772" w:name="_Toc423117879"/>
      <w:bookmarkStart w:id="5773" w:name="_Toc423117329"/>
      <w:bookmarkStart w:id="5774" w:name="_Toc431288922"/>
      <w:r>
        <w:t>Networking</w:t>
      </w:r>
      <w:r w:rsidR="008A6F02">
        <w:t xml:space="preserve"> Considerations</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5CDF22DB" w14:textId="320A7564" w:rsidR="00C84CA7" w:rsidRDefault="00C84CA7" w:rsidP="00B33BEC">
      <w:r>
        <w:t>When considering extending Active Directory to Azure, there are two primary areas of networking that need some thought:</w:t>
      </w:r>
    </w:p>
    <w:p w14:paraId="198C25D3" w14:textId="6075E45A" w:rsidR="009F14E9" w:rsidRDefault="009F14E9" w:rsidP="005729D2">
      <w:pPr>
        <w:pStyle w:val="ListBullet"/>
        <w:numPr>
          <w:ilvl w:val="0"/>
          <w:numId w:val="130"/>
        </w:numPr>
      </w:pPr>
      <w:r w:rsidRPr="005D214B">
        <w:t xml:space="preserve">Connecting on-premises </w:t>
      </w:r>
      <w:r>
        <w:t>d</w:t>
      </w:r>
      <w:r w:rsidRPr="005D214B">
        <w:t xml:space="preserve">omain </w:t>
      </w:r>
      <w:r>
        <w:t>c</w:t>
      </w:r>
      <w:r w:rsidRPr="005D214B">
        <w:t>ontrollers to Azure virtual machines</w:t>
      </w:r>
    </w:p>
    <w:p w14:paraId="56463C7E" w14:textId="211E72C3" w:rsidR="009F14E9" w:rsidRDefault="009F14E9" w:rsidP="005729D2">
      <w:pPr>
        <w:pStyle w:val="ListBullet"/>
        <w:numPr>
          <w:ilvl w:val="0"/>
          <w:numId w:val="130"/>
        </w:numPr>
      </w:pPr>
      <w:r w:rsidRPr="005D214B">
        <w:t xml:space="preserve">Networking the </w:t>
      </w:r>
      <w:r>
        <w:t>d</w:t>
      </w:r>
      <w:r w:rsidRPr="005D214B">
        <w:t xml:space="preserve">omain </w:t>
      </w:r>
      <w:r>
        <w:t>c</w:t>
      </w:r>
      <w:r w:rsidRPr="005D214B">
        <w:t>ontrollers in Azure with the virtual networks in IaaS</w:t>
      </w:r>
    </w:p>
    <w:p w14:paraId="3013BD3C" w14:textId="39C83EA3" w:rsidR="00B33BEC" w:rsidRDefault="00B33BEC" w:rsidP="005729D2">
      <w:pPr>
        <w:pStyle w:val="Heading4Numbered"/>
        <w:numPr>
          <w:ilvl w:val="3"/>
          <w:numId w:val="64"/>
        </w:numPr>
      </w:pPr>
      <w:r>
        <w:t>Connectivity to Azure</w:t>
      </w:r>
    </w:p>
    <w:p w14:paraId="55753679" w14:textId="79ECBAA6" w:rsidR="009F14E9" w:rsidRDefault="00C84CA7" w:rsidP="009F14E9">
      <w:r>
        <w:t>Whether</w:t>
      </w:r>
      <w:r w:rsidR="009F14E9">
        <w:t xml:space="preserve"> the domain controllers are on-premises or deployed in the Azure, there needs to be connectivity between the Azure virtual network and your on-premises network. If you want to keep domain controllers on-premises, you need an ExpressRoute connection or a Site-to-Site VPN connection to Azure. </w:t>
      </w:r>
    </w:p>
    <w:p w14:paraId="0CB796F4" w14:textId="77777777" w:rsidR="009F14E9" w:rsidRDefault="009F14E9" w:rsidP="009F14E9">
      <w:r>
        <w:t>Every time a virtual machine in Azure needs to access a domain controller, it will traverse this connection over the WAN. Depending on the stability and performance of the connection, this may cause issues. You should ask the following questions:</w:t>
      </w:r>
    </w:p>
    <w:p w14:paraId="7A26BDB1" w14:textId="008AF495" w:rsidR="009F14E9" w:rsidRDefault="009F14E9" w:rsidP="005729D2">
      <w:pPr>
        <w:pStyle w:val="ListBullet"/>
        <w:numPr>
          <w:ilvl w:val="0"/>
          <w:numId w:val="130"/>
        </w:numPr>
      </w:pPr>
      <w:r w:rsidRPr="00222237">
        <w:rPr>
          <w:b/>
        </w:rPr>
        <w:t>What kind of connection is available between the on-premises network and Azure?</w:t>
      </w:r>
      <w:r>
        <w:t xml:space="preserve"> If it’s an ExpressRoute connection, you are more likely to keep the domain controllers on-premises. And it’s even better if it’s an IXP connection instead of NSP. For more informati</w:t>
      </w:r>
      <w:r w:rsidR="000A7EF0">
        <w:t xml:space="preserve">on about ExpressRoute, see the </w:t>
      </w:r>
      <w:r>
        <w:t>ExpressRoute Overview section earlier in this document.</w:t>
      </w:r>
    </w:p>
    <w:p w14:paraId="3B483233" w14:textId="2FF9F4CC" w:rsidR="009F14E9" w:rsidRDefault="009F14E9" w:rsidP="005729D2">
      <w:pPr>
        <w:pStyle w:val="ListBullet"/>
        <w:numPr>
          <w:ilvl w:val="0"/>
          <w:numId w:val="130"/>
        </w:numPr>
      </w:pPr>
      <w:r w:rsidRPr="00222237">
        <w:rPr>
          <w:b/>
        </w:rPr>
        <w:t>What is the cost of network traffic across the connection?</w:t>
      </w:r>
      <w:r>
        <w:t xml:space="preserve"> If there’s a high cost associated with the connection, and you expect the virtual machines to communicate heavily with Active Directory, it would probably be more cost-effective to include the domain controllers in IaaS.</w:t>
      </w:r>
    </w:p>
    <w:p w14:paraId="774947F4" w14:textId="18E6E6E4" w:rsidR="00222237" w:rsidRDefault="009F14E9" w:rsidP="005729D2">
      <w:pPr>
        <w:pStyle w:val="ListBullet"/>
        <w:numPr>
          <w:ilvl w:val="0"/>
          <w:numId w:val="130"/>
        </w:numPr>
      </w:pPr>
      <w:r w:rsidRPr="009F14E9">
        <w:rPr>
          <w:b/>
        </w:rPr>
        <w:t>How stable is the network connection with Azure?</w:t>
      </w:r>
      <w:r>
        <w:t xml:space="preserve"> Accessing domain controllers over the WAN will not work well if the connection is unstable. Inaccessibility to Active Directory can cause many applications and services to be unusable. If you have applications with dependencies on Active Directory, you’ll want to put in a more stable connection (consider ExpressRoute) or put the domain controllers locally in the IaaS tenant</w:t>
      </w:r>
      <w:r w:rsidR="00222237">
        <w:t>.</w:t>
      </w:r>
    </w:p>
    <w:p w14:paraId="5217B895" w14:textId="15BEC265" w:rsidR="00B33BEC" w:rsidRDefault="00B33BEC" w:rsidP="005729D2">
      <w:pPr>
        <w:pStyle w:val="Heading4Numbered"/>
        <w:numPr>
          <w:ilvl w:val="3"/>
          <w:numId w:val="64"/>
        </w:numPr>
      </w:pPr>
      <w:r>
        <w:t>IP Addressing</w:t>
      </w:r>
    </w:p>
    <w:p w14:paraId="01460B61" w14:textId="1F9C7333" w:rsidR="009F14E9" w:rsidRDefault="005C5823" w:rsidP="009F14E9">
      <w:r>
        <w:t>Virtual</w:t>
      </w:r>
      <w:bookmarkStart w:id="5775" w:name="_Toc417548352"/>
      <w:bookmarkStart w:id="5776" w:name="_Toc417594595"/>
      <w:bookmarkStart w:id="5777" w:name="_Toc417934724"/>
      <w:bookmarkStart w:id="5778" w:name="_Toc417936063"/>
      <w:bookmarkStart w:id="5779" w:name="_Toc417936525"/>
      <w:bookmarkStart w:id="5780" w:name="_Toc417946948"/>
      <w:bookmarkStart w:id="5781" w:name="_Toc417947417"/>
      <w:bookmarkStart w:id="5782" w:name="_Toc417982558"/>
      <w:bookmarkStart w:id="5783" w:name="_Toc417986012"/>
      <w:bookmarkStart w:id="5784" w:name="_Toc418000704"/>
      <w:bookmarkStart w:id="5785" w:name="_Toc418003876"/>
      <w:bookmarkStart w:id="5786" w:name="_Toc418012081"/>
      <w:bookmarkStart w:id="5787" w:name="_Toc418030099"/>
      <w:bookmarkStart w:id="5788" w:name="_Toc418036982"/>
      <w:bookmarkStart w:id="5789" w:name="_Toc418061455"/>
      <w:bookmarkStart w:id="5790" w:name="_Toc418081354"/>
      <w:bookmarkStart w:id="5791" w:name="_Toc418081983"/>
      <w:bookmarkStart w:id="5792" w:name="_Toc418083386"/>
      <w:bookmarkStart w:id="5793" w:name="_Toc418096150"/>
      <w:bookmarkStart w:id="5794" w:name="_Toc418156752"/>
      <w:bookmarkStart w:id="5795" w:name="_Toc418167671"/>
      <w:bookmarkStart w:id="5796" w:name="_Toc418185927"/>
      <w:bookmarkStart w:id="5797" w:name="_Toc422941641"/>
      <w:bookmarkStart w:id="5798" w:name="_Toc423116847"/>
      <w:bookmarkStart w:id="5799" w:name="_Toc423117880"/>
      <w:bookmarkStart w:id="5800" w:name="_Toc423117330"/>
      <w:r w:rsidR="009F14E9">
        <w:t xml:space="preserve"> machines in Azure get IP addresses assigned dynamically from the virtual network that they reside in. To the operating system, this assignment occurs via DHCP. If you try to change the IP address to a static IP address, Azure will isolate the virtual machine, and it won’t be able to communicate on the network.</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9F14E9" w14:paraId="2E69ED70" w14:textId="77777777" w:rsidTr="00275AB5">
        <w:trPr>
          <w:trHeight w:val="423"/>
        </w:trPr>
        <w:tc>
          <w:tcPr>
            <w:tcW w:w="666" w:type="dxa"/>
          </w:tcPr>
          <w:p w14:paraId="772F3D96" w14:textId="77777777" w:rsidR="009F14E9" w:rsidRDefault="009F14E9" w:rsidP="00275AB5">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0F639A68" wp14:editId="7B27484B">
                      <wp:extent cx="200025" cy="180975"/>
                      <wp:effectExtent l="57150" t="19050" r="28575" b="104775"/>
                      <wp:docPr id="874593621" name="Octagon 874593621"/>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1A23B1D" id="Octagon 874593621"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L7aeAIAAFoFAAAOAAAAZHJzL2Uyb0RvYy54bWysVN1r2zAQfx/sfxB6Xx27ST9CnRJSOgal&#10;LWtHnxVZSgSSTpOUONlfv5PsOKErDMZe5Dvf993v7uZ2ZzTZCh8U2JqWZyNKhOXQKLuq6Y/X+y9X&#10;lITIbMM0WFHTvQj0dvb5003rpqKCNehGeIJObJi2rqbrGN20KAJfC8PCGThhUSjBGxaR9aui8axF&#10;70YX1Wh0UbTgG+eBixDw710npLPsX0rB45OUQUSia4q5xfz6/C7TW8xu2HTlmVsr3qfB/iELw5TF&#10;oIOrOxYZ2Xj1hyujuIcAMp5xMAVIqbjINWA15ehdNS9r5kSuBZsT3NCm8P/c8sftsyeqqenV5Xhy&#10;fX5RlZRYZnBUTzyyFVhyFGCzWhemaPPinn3PBSRT5TvpTfpiTWSXG7wfGix2kXD8iRMbVRNKOIrK&#10;q9H15SQNoDgaOx/iVwGGJKKm0KWQO8u2DyF22getFC6AVs290jozfrVcaE+2DMe9WGC0PGEMcKJW&#10;pBq6rDMV91okY22/C4mtwDzLHDGDUAz+GOfCxqrPOGsnM4mxB8Pzvxv2+slUZIAOxtXfjQeLHBls&#10;HIyNsuA/cqBj2acsO31s+EndiVxCs0cUeOjWIzh+r7D/DyzEZ+ZxH3BzcMfjEz5SQ4uD6SlK1uB/&#10;ffQ/6SNMUUpJi/tV0/Bzw7ygRH+zCODrcjxOC5mZ8eSyQsafSpanErsxC8CZIjgxu0wm/agPpPRg&#10;3vAUzFNUFDHLMXZNefQHZhG7vcdjwsV8ntVwCR2LD/bF8cPUE7hed2/Mux6EEdH7CIddZNN3QOx0&#10;0zwszDcRpMooPfa17zcucIZ6f2zShTjls9bxJM5+Aw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HB4vtp4AgAAWg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6A5A89EB" w14:textId="77777777" w:rsidR="009F14E9" w:rsidRDefault="009F14E9" w:rsidP="00275AB5">
            <w:pPr>
              <w:spacing w:after="240"/>
              <w:rPr>
                <w:lang w:eastAsia="en-US"/>
              </w:rPr>
            </w:pPr>
            <w:r w:rsidRPr="00192064">
              <w:rPr>
                <w:b/>
                <w:lang w:eastAsia="en-US"/>
              </w:rPr>
              <w:t>Mandatory</w:t>
            </w:r>
            <w:r>
              <w:rPr>
                <w:lang w:eastAsia="en-US"/>
              </w:rPr>
              <w:t>: Do not set a static IP address on the network adapter in the operating system for virtual domain controllers in Azure. Doing so will isolate the virtual machines and prevent them from communicating on the virtual network.</w:t>
            </w:r>
          </w:p>
        </w:tc>
      </w:tr>
    </w:tbl>
    <w:p w14:paraId="30C6BF33" w14:textId="77777777" w:rsidR="009F14E9" w:rsidRDefault="009F14E9" w:rsidP="009F14E9">
      <w:r>
        <w:t xml:space="preserve">The IP address that Azure gives the domain controller will never change </w:t>
      </w:r>
      <w:r w:rsidRPr="002E3A4D">
        <w:t>unless you deprovision the virtual machine</w:t>
      </w:r>
      <w:r>
        <w:t xml:space="preserve">. In general, it is safe to allow Azure to assign a dynamic IP address to a domain controller. If, however, you want a domain controller to have a specific IP address, you can configure Azure to provide a static IP address to the domain controller by using the methods outlined in the networking section of this document. </w:t>
      </w:r>
    </w:p>
    <w:p w14:paraId="53A1D561" w14:textId="77777777" w:rsidR="009F14E9" w:rsidRDefault="009F14E9" w:rsidP="009F14E9">
      <w:r>
        <w:t>The IP address is still dynamically assigned from the perspective of the operating system on the virtual machine, but it’s really an address that you choose. This also has the benefit of ensuring that the virtual machine retains the same IP address if it is accidently deprovisioned by an administrator.</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9F14E9" w14:paraId="092FF200" w14:textId="77777777" w:rsidTr="00275AB5">
        <w:trPr>
          <w:trHeight w:val="423"/>
        </w:trPr>
        <w:tc>
          <w:tcPr>
            <w:tcW w:w="666" w:type="dxa"/>
          </w:tcPr>
          <w:p w14:paraId="0283B984" w14:textId="77777777" w:rsidR="009F14E9" w:rsidRDefault="009F14E9" w:rsidP="00275AB5">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928576" behindDoc="0" locked="0" layoutInCell="1" allowOverlap="1" wp14:anchorId="2D0D4E26" wp14:editId="727BC6AB">
                      <wp:simplePos x="0" y="0"/>
                      <wp:positionH relativeFrom="column">
                        <wp:posOffset>66675</wp:posOffset>
                      </wp:positionH>
                      <wp:positionV relativeFrom="paragraph">
                        <wp:posOffset>90170</wp:posOffset>
                      </wp:positionV>
                      <wp:extent cx="209550" cy="180975"/>
                      <wp:effectExtent l="57150" t="19050" r="57150" b="104775"/>
                      <wp:wrapNone/>
                      <wp:docPr id="874593622" name="Isosceles Triangle 8745936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0CEDD4B2" id="Isosceles Triangle 874593622" o:spid="_x0000_s1026" type="#_x0000_t5" style="position:absolute;margin-left:5.25pt;margin-top:7.1pt;width:16.5pt;height:14.2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CHEjgIAAH8FAAAOAAAAZHJzL2Uyb0RvYy54bWysVNtqGzEQfS/0H4Tem73ETuIl62ASXAIm&#10;MU1KnmWtZC/ValRJvvXrO9JenKaBQOk+CM3OmdFczsz1zaFRZCesq0GXNDtLKRGaQ1XrdUm/P8+/&#10;XFHiPNMVU6BFSY/C0Zvp50/Xe1OIHDagKmEJOtGu2JuSbrw3RZI4vhENc2dghEalBNswj6JdJ5Vl&#10;e/TeqCRP04tkD7YyFrhwDv/etUo6jf6lFNw/SumEJ6qkGJuPp43nKpzJ9JoVa8vMpuZdGOwfomhY&#10;rfHRwdUd84xsbf2Xq6bmFhxIf8ahSUDKmouYA2aTpW+yedowI2IuWBxnhjK5/+eWP+yWltRVSa8u&#10;R+PJ+UWeU6JZg626d+C4UMKRZ1szvVaCnDBYt71xBZo/maUNmTuzAP7DoSL5QxME12EO0jYBi3mT&#10;Q2zCcWiCOHjC8WeeTsZjbBVHVXaVTi7HoUkJK3pjY53/KqAh4VJS3wUXy892C+dbeA+LsYGqq3mt&#10;VBTsenWrLNkx5MQcvzTSAF9wJ1jMoQ07JuCPSgRjpb8JifXCQLP4YmSqGPwxzoX2F13IER3MJL49&#10;GJ5/bNjhg6mILB6M84+NB4v4Mmg/GDe1BvueA+WzLmTZ4rsuujbvUIIVVEekioV2hpzh8xobsGDO&#10;L5nFocGe4SLwj3hIBfuSQnejZAP213v/Ax65jFpK9jiEJXU/t8wKStS9RpZPstEoTG0URuPLHAX7&#10;WrN6rdHb5hawpxmuHMPjNeC96q/SQvOC+2IWXkUV0xzfLin3thdufbsccONwMZtFGE6qYX6hnwzv&#10;ux7I9Xx4Ydb0LET6PkA/sKx4Q8QWG/qhYbb1IOvI0lNdu3rjlEeudxsprJHXckSd9ub0NwA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haghxI4CAA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1270B72D" w14:textId="77777777" w:rsidR="009F14E9" w:rsidRDefault="009F14E9" w:rsidP="00275AB5">
            <w:pPr>
              <w:rPr>
                <w:lang w:eastAsia="en-US"/>
              </w:rPr>
            </w:pPr>
            <w:r>
              <w:rPr>
                <w:rFonts w:eastAsiaTheme="minorHAnsi"/>
                <w:b/>
                <w:lang w:eastAsia="en-US"/>
              </w:rPr>
              <w:t xml:space="preserve">Recommended: </w:t>
            </w:r>
            <w:r>
              <w:t>To give a domain controller the IP address that you want and prevent it from changing if the virtual machine is deprovisioned, provide the virtual machine with a static virtual network IP address.</w:t>
            </w:r>
          </w:p>
        </w:tc>
      </w:tr>
    </w:tbl>
    <w:p w14:paraId="66949CDD" w14:textId="6DD74D83" w:rsidR="009F14E9" w:rsidRDefault="009F14E9" w:rsidP="005729D2">
      <w:pPr>
        <w:pStyle w:val="Heading3Numbered"/>
        <w:numPr>
          <w:ilvl w:val="2"/>
          <w:numId w:val="64"/>
        </w:numPr>
      </w:pPr>
      <w:bookmarkStart w:id="5801" w:name="_Toc431288923"/>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r>
        <w:t>Storage Considerations</w:t>
      </w:r>
      <w:bookmarkEnd w:id="5801"/>
    </w:p>
    <w:p w14:paraId="35055613" w14:textId="75BFA010" w:rsidR="0001357F" w:rsidRDefault="00C56B47" w:rsidP="0001357F">
      <w:r>
        <w:t>There</w:t>
      </w:r>
      <w:r w:rsidR="0001357F">
        <w:t xml:space="preserve"> are three types of disks in Azure that can be attached to virtual machines:</w:t>
      </w:r>
    </w:p>
    <w:p w14:paraId="28C3F2B1" w14:textId="77777777" w:rsidR="0001357F" w:rsidRDefault="0001357F" w:rsidP="005729D2">
      <w:pPr>
        <w:pStyle w:val="ListBullet"/>
        <w:numPr>
          <w:ilvl w:val="0"/>
          <w:numId w:val="131"/>
        </w:numPr>
      </w:pPr>
      <w:r w:rsidRPr="00C56B47">
        <w:rPr>
          <w:b/>
        </w:rPr>
        <w:t xml:space="preserve">Operating </w:t>
      </w:r>
      <w:r>
        <w:rPr>
          <w:b/>
        </w:rPr>
        <w:t>s</w:t>
      </w:r>
      <w:r w:rsidRPr="00C56B47">
        <w:rPr>
          <w:b/>
        </w:rPr>
        <w:t xml:space="preserve">ystem </w:t>
      </w:r>
      <w:r>
        <w:rPr>
          <w:b/>
        </w:rPr>
        <w:t>d</w:t>
      </w:r>
      <w:r w:rsidRPr="00C56B47">
        <w:rPr>
          <w:b/>
        </w:rPr>
        <w:t>isks</w:t>
      </w:r>
      <w:r>
        <w:t>: The default operating system disk that is used in the virtual machine. This disk is durable, but it has Write-behind disk caching enabled.</w:t>
      </w:r>
    </w:p>
    <w:p w14:paraId="00423756" w14:textId="77777777" w:rsidR="0001357F" w:rsidRDefault="0001357F" w:rsidP="005729D2">
      <w:pPr>
        <w:pStyle w:val="ListBullet"/>
        <w:numPr>
          <w:ilvl w:val="0"/>
          <w:numId w:val="131"/>
        </w:numPr>
      </w:pPr>
      <w:r w:rsidRPr="00C56B47">
        <w:rPr>
          <w:b/>
        </w:rPr>
        <w:t xml:space="preserve">Data </w:t>
      </w:r>
      <w:r>
        <w:rPr>
          <w:b/>
        </w:rPr>
        <w:t>d</w:t>
      </w:r>
      <w:r w:rsidRPr="00C56B47">
        <w:rPr>
          <w:b/>
        </w:rPr>
        <w:t>isks</w:t>
      </w:r>
      <w:r>
        <w:t>: Additional durable disks that have Write-behind disk caching disabled</w:t>
      </w:r>
    </w:p>
    <w:p w14:paraId="07519937" w14:textId="77777777" w:rsidR="0001357F" w:rsidRDefault="0001357F" w:rsidP="005729D2">
      <w:pPr>
        <w:pStyle w:val="ListBullet"/>
        <w:numPr>
          <w:ilvl w:val="0"/>
          <w:numId w:val="131"/>
        </w:numPr>
      </w:pPr>
      <w:r w:rsidRPr="00C56B47">
        <w:rPr>
          <w:b/>
        </w:rPr>
        <w:t xml:space="preserve">Temporary </w:t>
      </w:r>
      <w:r>
        <w:rPr>
          <w:b/>
        </w:rPr>
        <w:t>d</w:t>
      </w:r>
      <w:r w:rsidRPr="00C56B47">
        <w:rPr>
          <w:b/>
        </w:rPr>
        <w:t>isks</w:t>
      </w:r>
      <w:r>
        <w:t>: The contents are wiped away during reboot. This disk is intended for paging files, so that paging files don’t count against the storage quota.</w:t>
      </w:r>
    </w:p>
    <w:p w14:paraId="0EF7BCB8" w14:textId="606F8495" w:rsidR="00C56B47" w:rsidRDefault="0001357F" w:rsidP="0001357F">
      <w:r>
        <w:t>To prevent the Active Directory database and its SYSVOL from getting deleted or corrupted, both must be placed on a data disk. The virtual machine’s operating system disk has Write-behind disk caching in place, so placing the Active Directory database and SYSVOL on the operating system disk could cause Writes to get lost, if a virtual machine is stopped before the cache is committed. Never place the Active Directory database or SYSVOL on a temporary disk – the contents of the temporary disk are deleted during certain virtual machine operations</w:t>
      </w:r>
      <w:r w:rsidR="005B56FC">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5B56FC" w14:paraId="42AD9B12" w14:textId="77777777" w:rsidTr="004A29F8">
        <w:trPr>
          <w:trHeight w:val="423"/>
        </w:trPr>
        <w:tc>
          <w:tcPr>
            <w:tcW w:w="666" w:type="dxa"/>
          </w:tcPr>
          <w:bookmarkStart w:id="5802" w:name="_Toc417548353"/>
          <w:p w14:paraId="2B24ED9A" w14:textId="77777777" w:rsidR="005B56FC" w:rsidRDefault="005B56FC" w:rsidP="004A29F8">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1922DAA2" wp14:editId="3B59FA6F">
                      <wp:extent cx="200025" cy="180975"/>
                      <wp:effectExtent l="57150" t="19050" r="28575" b="104775"/>
                      <wp:docPr id="6" name="Octagon 6"/>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D077D35" id="Octagon 6"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hzbgIAAEoFAAAOAAAAZHJzL2Uyb0RvYy54bWysVN1r2zAQfx/sfxB6Xx1n/Qx1SkjpGJQ2&#10;rB19VmQpEcg67aTEyf76nWTHDV2hMPYi3/l+9/1xfbNrLNsqDAZcxcuTEWfKSaiNW1X85/Pdl0vO&#10;QhSuFhacqvheBX4z/fzpuvUTNYY12FohIyMuTFpf8XWMflIUQa5VI8IJeOVIqAEbEYnFVVGjaMl6&#10;Y4vxaHRetIC1R5AqBPp72wn5NNvXWsn4qHVQkdmKU2wxv5jfZXqL6bWYrFD4tZF9GOIfomiEceR0&#10;MHUromAbNH+ZaoxECKDjiYSmAK2NVDkHyqYcvcnmaS28yrlQcYIfyhT+n1n5sF0gM3XFzzlzoqEW&#10;PcooVuDYeSpO68OEME9+gT0XiEyZ7jQ26Us5sF0u6H4oqNpFJukndWg0PuNMkqi8HF1dnCWbxauy&#10;xxC/KWhYIioOnetcSbG9D7FDH1DJXQBr6jtjbWZwtZxbZFtB7Z3PyVvuKDk4ghUphy7qTMW9VUnZ&#10;uh9KU+oUZ5k95qFTgz0hpXJx3Eec0UlNk+9B8evHij0+qao8kIPy+GPlQSN7BhcH5cY4wPcM2Fj2&#10;IesOTwU/yjuRS6j31HWEbh2Cl3eG6n8vQlwIpPmnTaGdjo/0aAstNaanOFsD/n7vf8LTWJKUs5b2&#10;qeLh10ag4sx+dzSwV+XpaVrAzJyeXYyJwWPJ8ljiNs0cqKclXQ8vM5nw0R5IjdC80OrPklcSCSfJ&#10;d8VlxAMzj92e0/GQajbLMFo6L+K9e/Ly0PU0XM+7F4G+H8JI0/sAh90TkzeD2GFTPxzMNhG0yVP6&#10;Wte+3rSwedT745IuwjGfUa8ncPoHAAD//wMAUEsDBBQABgAIAAAAIQCft0Tx2wAAAAMBAAAPAAAA&#10;ZHJzL2Rvd25yZXYueG1sTI9BS8NAEIXvgv9hGcGb3aTSEtNsiggFD9JgtXjdZqdJaHY27G6b+O8d&#10;vdjLwOM93vumWE+2Fxf0oXOkIJ0lIJBqZzpqFHx+bB4yECFqMrp3hAq+McC6vL0pdG7cSO942cVG&#10;cAmFXCtoYxxyKUPdotVh5gYk9o7OWx1Z+kYar0cut72cJ8lSWt0RL7R6wJcW69PubBVUp7F6zarq&#10;6ctvlts3b/ep3+6Vur+bnlcgIk7xPwy/+IwOJTMd3JlMEL0CfiT+XfYe0wWIg4J5tgBZFvKavfwB&#10;AAD//wMAUEsBAi0AFAAGAAgAAAAhALaDOJL+AAAA4QEAABMAAAAAAAAAAAAAAAAAAAAAAFtDb250&#10;ZW50X1R5cGVzXS54bWxQSwECLQAUAAYACAAAACEAOP0h/9YAAACUAQAACwAAAAAAAAAAAAAAAAAv&#10;AQAAX3JlbHMvLnJlbHNQSwECLQAUAAYACAAAACEAzfxoc24CAABKBQAADgAAAAAAAAAAAAAAAAAu&#10;AgAAZHJzL2Uyb0RvYy54bWxQSwECLQAUAAYACAAAACEAn7dE8dsAAAADAQAADwAAAAAAAAAAAAAA&#10;AADIBAAAZHJzL2Rvd25yZXYueG1sUEsFBgAAAAAEAAQA8wAAANAFAAAAAA==&#10;" fillcolor="#c00" strokecolor="#ed7d31 [3205]" strokeweight=".5pt">
                      <w10:anchorlock/>
                    </v:shape>
                  </w:pict>
                </mc:Fallback>
              </mc:AlternateContent>
            </w:r>
          </w:p>
        </w:tc>
        <w:tc>
          <w:tcPr>
            <w:tcW w:w="8604" w:type="dxa"/>
          </w:tcPr>
          <w:p w14:paraId="42BC08E2" w14:textId="21A7F101" w:rsidR="005B56FC" w:rsidRDefault="005B56FC" w:rsidP="005B56FC">
            <w:pPr>
              <w:spacing w:after="240"/>
              <w:rPr>
                <w:lang w:eastAsia="en-US"/>
              </w:rPr>
            </w:pPr>
            <w:r w:rsidRPr="00192064">
              <w:rPr>
                <w:b/>
                <w:lang w:eastAsia="en-US"/>
              </w:rPr>
              <w:t>Mandatory</w:t>
            </w:r>
            <w:r>
              <w:rPr>
                <w:lang w:eastAsia="en-US"/>
              </w:rPr>
              <w:t xml:space="preserve">:  </w:t>
            </w:r>
            <w:r w:rsidR="0001357F">
              <w:rPr>
                <w:lang w:eastAsia="en-US"/>
              </w:rPr>
              <w:t>Make sure that you place the Active Directory database and SYSVOL on a data disk. If you use the operating system disk or a temporary disk, the database may get corrupted or purged during an outage</w:t>
            </w:r>
            <w:r>
              <w:rPr>
                <w:lang w:eastAsia="en-US"/>
              </w:rPr>
              <w:t>.</w:t>
            </w:r>
          </w:p>
        </w:tc>
      </w:tr>
    </w:tbl>
    <w:p w14:paraId="1460E6D1" w14:textId="4BF5BDD1" w:rsidR="008A6F02" w:rsidRPr="00AF609F" w:rsidRDefault="008A6F02" w:rsidP="005729D2">
      <w:pPr>
        <w:pStyle w:val="Heading3Numbered"/>
        <w:numPr>
          <w:ilvl w:val="2"/>
          <w:numId w:val="64"/>
        </w:numPr>
      </w:pPr>
      <w:bookmarkStart w:id="5803" w:name="_Toc417594596"/>
      <w:bookmarkStart w:id="5804" w:name="_Toc417934725"/>
      <w:bookmarkStart w:id="5805" w:name="_Toc417936064"/>
      <w:bookmarkStart w:id="5806" w:name="_Toc417936526"/>
      <w:bookmarkStart w:id="5807" w:name="_Toc417946949"/>
      <w:bookmarkStart w:id="5808" w:name="_Toc417947418"/>
      <w:bookmarkStart w:id="5809" w:name="_Toc417982559"/>
      <w:bookmarkStart w:id="5810" w:name="_Toc417986013"/>
      <w:bookmarkStart w:id="5811" w:name="_Toc418000705"/>
      <w:bookmarkStart w:id="5812" w:name="_Toc418003877"/>
      <w:bookmarkStart w:id="5813" w:name="_Toc418012082"/>
      <w:bookmarkStart w:id="5814" w:name="_Toc418030100"/>
      <w:bookmarkStart w:id="5815" w:name="_Toc418036983"/>
      <w:bookmarkStart w:id="5816" w:name="_Toc418061456"/>
      <w:bookmarkStart w:id="5817" w:name="_Toc418081355"/>
      <w:bookmarkStart w:id="5818" w:name="_Toc418083387"/>
      <w:bookmarkStart w:id="5819" w:name="_Toc418096151"/>
      <w:bookmarkStart w:id="5820" w:name="_Toc418156753"/>
      <w:bookmarkStart w:id="5821" w:name="_Toc418167672"/>
      <w:bookmarkStart w:id="5822" w:name="_Toc418185928"/>
      <w:bookmarkStart w:id="5823" w:name="_Toc422941642"/>
      <w:bookmarkStart w:id="5824" w:name="_Toc423116848"/>
      <w:bookmarkStart w:id="5825" w:name="_Toc423117881"/>
      <w:bookmarkStart w:id="5826" w:name="_Toc423117331"/>
      <w:bookmarkStart w:id="5827" w:name="_Toc431288924"/>
      <w:r>
        <w:t>Security Considerations</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7A1F30F5" w14:textId="304FCEDB" w:rsidR="00252F3C" w:rsidRDefault="00252F3C" w:rsidP="005729D2">
      <w:pPr>
        <w:pStyle w:val="Heading4Numbered"/>
        <w:numPr>
          <w:ilvl w:val="3"/>
          <w:numId w:val="64"/>
        </w:numPr>
      </w:pPr>
      <w:r>
        <w:t>Domain Controllers in Azure</w:t>
      </w:r>
    </w:p>
    <w:p w14:paraId="6B67C06F" w14:textId="77777777" w:rsidR="00275AB5" w:rsidRDefault="00252F3C" w:rsidP="00275AB5">
      <w:r>
        <w:t xml:space="preserve">Most </w:t>
      </w:r>
      <w:r w:rsidR="00275AB5">
        <w:t xml:space="preserve">customers will strongly consider placing domain controllers in Azure because they will want the applications they place in Azure IaaS to have reliable and low latency access to the domain controllers. </w:t>
      </w:r>
    </w:p>
    <w:p w14:paraId="064E526C" w14:textId="77777777" w:rsidR="00275AB5" w:rsidRDefault="00275AB5" w:rsidP="00275AB5">
      <w:r>
        <w:t xml:space="preserve">Domain controllers are highly sensitive roles. If someone compromises a domain controller, they can gain access to virtually everything in a customer’s environment. Some customers are nervous about hosting domain controllers in an Azure tenant, and we always respect that concern. </w:t>
      </w:r>
    </w:p>
    <w:p w14:paraId="05BCA286" w14:textId="77777777" w:rsidR="00275AB5" w:rsidRDefault="00275AB5" w:rsidP="00275AB5">
      <w:r>
        <w:t xml:space="preserve">The best way to handle the situation is to present the customer with an understanding of how Azure is secured and information about how we prevent the compromise of a domain controller. </w:t>
      </w:r>
    </w:p>
    <w:p w14:paraId="30B3A561" w14:textId="10530046" w:rsidR="00275AB5" w:rsidRDefault="00275AB5" w:rsidP="00275AB5">
      <w:r>
        <w:t>Key resources in any informed conversation about how Azure protects domain controllers</w:t>
      </w:r>
      <w:r w:rsidDel="00772B8A">
        <w:t xml:space="preserve"> </w:t>
      </w:r>
      <w:r>
        <w:t>should include:</w:t>
      </w:r>
    </w:p>
    <w:p w14:paraId="55399FB9" w14:textId="2E7375C5" w:rsidR="00456D62" w:rsidRDefault="00275AB5" w:rsidP="005729D2">
      <w:pPr>
        <w:pStyle w:val="ListParagraph"/>
        <w:numPr>
          <w:ilvl w:val="0"/>
          <w:numId w:val="131"/>
        </w:numPr>
      </w:pPr>
      <w:r>
        <w:t>Use the Tier 0 subscription described in the reference model in this document. It allows you to manage who has explicit control over the domain controllers (and their security equivalents in Tier 0).</w:t>
      </w:r>
      <w:r w:rsidR="00FE5843">
        <w:t xml:space="preserve"> </w:t>
      </w:r>
    </w:p>
    <w:p w14:paraId="74152E55" w14:textId="5F366630" w:rsidR="00C84CA7" w:rsidRDefault="00FE5843" w:rsidP="005729D2">
      <w:pPr>
        <w:pStyle w:val="ListParagraph"/>
        <w:numPr>
          <w:ilvl w:val="0"/>
          <w:numId w:val="83"/>
        </w:numPr>
      </w:pPr>
      <w:r>
        <w:t xml:space="preserve">The </w:t>
      </w:r>
      <w:r w:rsidR="00456D62">
        <w:t xml:space="preserve">logical flow of choosing </w:t>
      </w:r>
      <w:r>
        <w:t xml:space="preserve">security controls in </w:t>
      </w:r>
      <w:r w:rsidR="00456D62">
        <w:t>“</w:t>
      </w:r>
      <w:r w:rsidR="00456D62">
        <w:fldChar w:fldCharType="begin"/>
      </w:r>
      <w:r w:rsidR="00456D62">
        <w:instrText xml:space="preserve"> REF _Ref417933461 \r \h </w:instrText>
      </w:r>
      <w:r w:rsidR="00456D62">
        <w:fldChar w:fldCharType="separate"/>
      </w:r>
      <w:r w:rsidR="00275AB5">
        <w:t>10</w:t>
      </w:r>
      <w:r w:rsidR="00456D62">
        <w:t>.2</w:t>
      </w:r>
      <w:r w:rsidR="00456D62">
        <w:fldChar w:fldCharType="end"/>
      </w:r>
      <w:r w:rsidR="00456D62">
        <w:t xml:space="preserve"> Azure Security Strategies” </w:t>
      </w:r>
      <w:r w:rsidR="00275AB5">
        <w:t>later in this document (</w:t>
      </w:r>
      <w:r w:rsidR="00456D62">
        <w:t xml:space="preserve">including </w:t>
      </w:r>
      <w:r>
        <w:t xml:space="preserve">the “do no harm” </w:t>
      </w:r>
      <w:r w:rsidR="00456D62">
        <w:t xml:space="preserve">approach to </w:t>
      </w:r>
      <w:r>
        <w:t xml:space="preserve">security </w:t>
      </w:r>
      <w:r w:rsidR="00456D62">
        <w:t>controls</w:t>
      </w:r>
      <w:r w:rsidR="00275AB5">
        <w:t>)</w:t>
      </w:r>
      <w:r w:rsidR="006041E7">
        <w:t>.</w:t>
      </w:r>
      <w:r w:rsidR="00456D62">
        <w:t xml:space="preserve"> </w:t>
      </w:r>
    </w:p>
    <w:p w14:paraId="78301E98" w14:textId="77777777" w:rsidR="00275AB5" w:rsidRDefault="00275AB5" w:rsidP="00275AB5">
      <w:r>
        <w:t>Active Directory and its structure also provide pivotal tools for hardening and enforcing good credential hygiene. Defending against Pass-the-Hash and Pass-the-Ticket attacks come from the design principals in Active Directory, including:</w:t>
      </w:r>
    </w:p>
    <w:p w14:paraId="6912B67D" w14:textId="77777777" w:rsidR="00275AB5" w:rsidRDefault="00275AB5" w:rsidP="005729D2">
      <w:pPr>
        <w:pStyle w:val="ListParagraph"/>
        <w:numPr>
          <w:ilvl w:val="0"/>
          <w:numId w:val="83"/>
        </w:numPr>
      </w:pPr>
      <w:r>
        <w:t>Organizational unit (OU) structure</w:t>
      </w:r>
    </w:p>
    <w:p w14:paraId="0DEFB5CD" w14:textId="77777777" w:rsidR="00275AB5" w:rsidRDefault="00275AB5" w:rsidP="005729D2">
      <w:pPr>
        <w:pStyle w:val="ListParagraph"/>
        <w:numPr>
          <w:ilvl w:val="0"/>
          <w:numId w:val="83"/>
        </w:numPr>
      </w:pPr>
      <w:r>
        <w:t>Security Group memberships</w:t>
      </w:r>
    </w:p>
    <w:p w14:paraId="401E2B86" w14:textId="77777777" w:rsidR="00275AB5" w:rsidRDefault="00275AB5" w:rsidP="005729D2">
      <w:pPr>
        <w:pStyle w:val="ListParagraph"/>
        <w:numPr>
          <w:ilvl w:val="0"/>
          <w:numId w:val="83"/>
        </w:numPr>
      </w:pPr>
      <w:r>
        <w:t xml:space="preserve">Group Policy Objects (GPOs) and their respective local policies for </w:t>
      </w:r>
      <w:hyperlink r:id="rId470" w:history="1">
        <w:r w:rsidRPr="00E66B64">
          <w:rPr>
            <w:rStyle w:val="Hyperlink"/>
          </w:rPr>
          <w:t>User Rights Assignments</w:t>
        </w:r>
      </w:hyperlink>
    </w:p>
    <w:p w14:paraId="648DF848" w14:textId="0E009397" w:rsidR="00275700" w:rsidRDefault="00275AB5" w:rsidP="00275AB5">
      <w:r>
        <w:t>For further co</w:t>
      </w:r>
      <w:r w:rsidR="000A7EF0">
        <w:t xml:space="preserve">nsiderations, refer to the section in this document about </w:t>
      </w:r>
      <w:r w:rsidR="000A7EF0">
        <w:fldChar w:fldCharType="begin"/>
      </w:r>
      <w:r w:rsidR="000A7EF0">
        <w:instrText xml:space="preserve"> REF _Ref423191275 \h  \* MERGEFORMAT </w:instrText>
      </w:r>
      <w:r w:rsidR="000A7EF0">
        <w:fldChar w:fldCharType="separate"/>
      </w:r>
      <w:r w:rsidR="000A7EF0">
        <w:t>AD Design Considerations</w:t>
      </w:r>
      <w:r w:rsidR="000A7EF0">
        <w:fldChar w:fldCharType="end"/>
      </w:r>
      <w:r w:rsidR="000A7EF0">
        <w:t>.</w:t>
      </w:r>
    </w:p>
    <w:p w14:paraId="1C28D932" w14:textId="6621243C" w:rsidR="006F79B3" w:rsidRDefault="006F79B3" w:rsidP="005729D2">
      <w:pPr>
        <w:pStyle w:val="Heading4Numbered"/>
        <w:numPr>
          <w:ilvl w:val="3"/>
          <w:numId w:val="64"/>
        </w:numPr>
      </w:pPr>
      <w:r>
        <w:t>Azure Security</w:t>
      </w:r>
    </w:p>
    <w:p w14:paraId="463727A6" w14:textId="0163DAB6" w:rsidR="00275AB5" w:rsidRDefault="0040091F" w:rsidP="00275AB5">
      <w:r>
        <w:t>Microsoft</w:t>
      </w:r>
      <w:r w:rsidR="00275AB5">
        <w:t xml:space="preserve"> is committed to ensuring that the Azure platform is secure, and new capabilities are constantly being added that increase the security of solutions that can be deployed on Azure. It is highly recommended to read the section of this document called </w:t>
      </w:r>
      <w:hyperlink w:anchor="microsoftazuresecurity" w:history="1">
        <w:r w:rsidR="00275AB5" w:rsidRPr="00C90964">
          <w:rPr>
            <w:rStyle w:val="Hyperlink"/>
          </w:rPr>
          <w:t>Microsoft Azure Security</w:t>
        </w:r>
      </w:hyperlink>
      <w:r w:rsidR="00275AB5">
        <w:t xml:space="preserve"> to gain an understanding of the core security strategies in Azure. </w:t>
      </w:r>
    </w:p>
    <w:p w14:paraId="1F2B964E" w14:textId="4CF8E3D3" w:rsidR="006F79B3" w:rsidRDefault="00275AB5" w:rsidP="00275AB5">
      <w:r>
        <w:t xml:space="preserve">You can also visit the </w:t>
      </w:r>
      <w:hyperlink r:id="rId471" w:history="1">
        <w:r w:rsidRPr="00C90964">
          <w:rPr>
            <w:rStyle w:val="Hyperlink"/>
          </w:rPr>
          <w:t>Microsoft Azure Trust Center</w:t>
        </w:r>
      </w:hyperlink>
      <w:r>
        <w:t xml:space="preserve"> for additional Azure security documentation. Rather than expound on security itself (this is covered in detail in other places), the remainder of this section will discuss the security aspects of hosting Active Directory domain controllers in Azure</w:t>
      </w:r>
      <w:r w:rsidR="006F79B3">
        <w:t>.</w:t>
      </w:r>
    </w:p>
    <w:p w14:paraId="52B4E6DF" w14:textId="6B9F7B19" w:rsidR="00C84CA7" w:rsidRPr="00C84CA7" w:rsidRDefault="00C84CA7" w:rsidP="005729D2">
      <w:pPr>
        <w:pStyle w:val="Heading4Numbered"/>
        <w:numPr>
          <w:ilvl w:val="3"/>
          <w:numId w:val="64"/>
        </w:numPr>
      </w:pPr>
      <w:r w:rsidRPr="00C84CA7">
        <w:t>Read-Only Domain Controller</w:t>
      </w:r>
    </w:p>
    <w:p w14:paraId="5D9F92A9" w14:textId="24A95F88" w:rsidR="00275AB5" w:rsidRDefault="00275AB5" w:rsidP="00275AB5">
      <w:r>
        <w:t xml:space="preserve">Read-Only Domain Controllers (RODCs) are a type of Active Directory domain controller that do not allow Write operations to take place. For more information on RODCs, please see </w:t>
      </w:r>
      <w:hyperlink r:id="rId472" w:history="1">
        <w:r>
          <w:rPr>
            <w:rStyle w:val="Hyperlink"/>
          </w:rPr>
          <w:t>AD DS</w:t>
        </w:r>
        <w:r w:rsidRPr="00C90964">
          <w:rPr>
            <w:rStyle w:val="Hyperlink"/>
          </w:rPr>
          <w:t>: Read-Only Domain Controllers</w:t>
        </w:r>
      </w:hyperlink>
      <w:r>
        <w:t>.</w:t>
      </w:r>
    </w:p>
    <w:p w14:paraId="4DCA50B5" w14:textId="77777777" w:rsidR="00275AB5" w:rsidRDefault="00275AB5" w:rsidP="00275AB5">
      <w:r>
        <w:t>Customers frequently ask if they should use RODCs in Azure as a security measure. In short, the answer is, “</w:t>
      </w:r>
      <w:r w:rsidRPr="002F11CD">
        <w:t>No</w:t>
      </w:r>
      <w:r>
        <w:t>.”</w:t>
      </w:r>
    </w:p>
    <w:p w14:paraId="65871E7F" w14:textId="77777777" w:rsidR="00275AB5" w:rsidRDefault="00275AB5" w:rsidP="00275AB5">
      <w:r>
        <w:t xml:space="preserve">The intent of RODCs is to limit the scope of damage that can be done in the case of poor physical security. For example, if a branch domain controller sits in an unsecured trailer in a construction lot, the theft of that domain controller could expose user credentials and provide a way for someone to modify and inject data into the organization’s Active Directory infrastructure. </w:t>
      </w:r>
    </w:p>
    <w:p w14:paraId="0BA9D9D0" w14:textId="77777777" w:rsidR="00275AB5" w:rsidRDefault="00275AB5" w:rsidP="00275AB5">
      <w:r>
        <w:t xml:space="preserve">Some might argue that an Azure virtual machine could be stolen in a similar manner as a physical domain controller. Although this may be the case, there are security measures in place that prevent someone from downloading the virtual hard disk (VHD) associated with a domain controller’s virtual machine. There are also additional protective measures that can be taken to secure VHDs, which are covered later in this section. </w:t>
      </w:r>
    </w:p>
    <w:p w14:paraId="0E15B4B7" w14:textId="77777777" w:rsidR="00275AB5" w:rsidRDefault="00275AB5" w:rsidP="00275AB5">
      <w:r>
        <w:t>A primary reason that the use of RODCs is discouraged in Azure is that application compatibility is unpredictable. Many services and applications are not compatible with RODCs, and it’s difficult to fully assess an application or service to determine its compatibility. In addition, RODCs, by design, redirect a client’s Lightweight Directory Access Protocol (LDAP) Write requests to a Read/Write domain controller (RWDC), meaning a client needs to be able to touch an RWDC.</w:t>
      </w:r>
    </w:p>
    <w:p w14:paraId="71C29423" w14:textId="77777777" w:rsidR="00275AB5" w:rsidRDefault="00275AB5" w:rsidP="00275AB5">
      <w:r>
        <w:t>Another reason why we do not recommend using RODCs is that there is still a dependency on the network being in place. If the organization deploys domain controllers in Azure as a way to ensure that Active Directory is available if the connection to the on-premises datacenter goes down, an RODC will not suffice.</w:t>
      </w:r>
    </w:p>
    <w:p w14:paraId="7D7A9993" w14:textId="50BA03BE" w:rsidR="005A1A3B" w:rsidRDefault="00275AB5" w:rsidP="00275AB5">
      <w:r>
        <w:t xml:space="preserve">It is also inaccurate to believe an RODC helps secure LDAP. To secure LDAP, we recommend using </w:t>
      </w:r>
      <w:hyperlink r:id="rId473" w:history="1">
        <w:r w:rsidRPr="004847A6">
          <w:rPr>
            <w:rStyle w:val="Hyperlink"/>
          </w:rPr>
          <w:t>Controlling Object Visibility – List Object Mode in Active Directory</w:t>
        </w:r>
      </w:hyperlink>
      <w:r>
        <w:t>.</w:t>
      </w:r>
      <w:r w:rsidR="005A1A3B">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40128D" w14:paraId="0F7F8D8B" w14:textId="77777777" w:rsidTr="00B95516">
        <w:trPr>
          <w:trHeight w:val="423"/>
        </w:trPr>
        <w:tc>
          <w:tcPr>
            <w:tcW w:w="666" w:type="dxa"/>
          </w:tcPr>
          <w:p w14:paraId="50BC58CE" w14:textId="77777777" w:rsidR="0040128D" w:rsidRDefault="0040128D" w:rsidP="00B95516">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350016" behindDoc="0" locked="0" layoutInCell="1" allowOverlap="1" wp14:anchorId="2B65D0C9" wp14:editId="05E935BE">
                      <wp:simplePos x="0" y="0"/>
                      <wp:positionH relativeFrom="column">
                        <wp:posOffset>66675</wp:posOffset>
                      </wp:positionH>
                      <wp:positionV relativeFrom="paragraph">
                        <wp:posOffset>90170</wp:posOffset>
                      </wp:positionV>
                      <wp:extent cx="209550" cy="180975"/>
                      <wp:effectExtent l="57150" t="19050" r="57150" b="104775"/>
                      <wp:wrapNone/>
                      <wp:docPr id="8" name="Isosceles Tri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65BE46D2" id="Isosceles Triangle 8" o:spid="_x0000_s1026" type="#_x0000_t5" style="position:absolute;margin-left:5.25pt;margin-top:7.1pt;width:16.5pt;height:14.25pt;z-index:25135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cUkhAIAAG8FAAAOAAAAZHJzL2Uyb0RvYy54bWysVFtP2zAUfp+0/2D5fSTpKJeIFFWgTkgV&#10;IGDi2XXs1prj49lu0+7X79i5wBgS0rQ8WHbOd+7fOReX+0aTnXBegalocZRTIgyHWpl1Rb8/Lb6c&#10;UeIDMzXTYERFD8LTy9nnTxetLcUENqBr4QgaMb5sbUU3IdgyyzzfiIb5I7DCoFCCa1jAp1tntWMt&#10;Wm90Nsnzk6wFV1sHXHiPf687IZ0l+1IKHu6k9CIQXVGMLaTTpXMVz2x2wcq1Y3ajeB8G+4coGqYM&#10;Oh1NXbPAyNapv0w1ijvwIMMRhyYDKRUXKQfMpsjfZPO4YVakXLA43o5l8v/PLL/d3Tui6opiowxr&#10;sEU3HjwXWnjy5BQzay3IWaxTa32J8Ed772Km3i6B//AoyP6QxIfvMXvpmojFPMk+Ff0wFl3sA+H4&#10;c5KfT6fYGo6i4iw/P51GZxkrB2XrfPgmoCHxUtHQB5XKzXZLHzr4AEuxgVb1QmmdHm69utKO7Bhy&#10;YIFfntqOHvwLLOXQhZ0SCActorI2D0JifTDQInlMzBSjPca5MOGkDzmho5pE36Pi148Ve3xUFYm1&#10;o/LkY+VRI3kGE0blRhlw7xnQoehDlh2+76Lv8o4lWEF9QGo46GbGW75Q2IAl8+GeORwS7BkOfrjD&#10;Q2poKwr9jZINuF/v/Y945C5KKWlx6Crqf26ZE5ToG4OsPi+Oj+OUpsfx9HSCD/dasnotMdvmCrCn&#10;Ba4Yy9M14oMertJB84z7YR69oogZjr4ryoMbHlehWwa4YbiYzxMMJ9OysDSPlg9dj+R62j8zZwcW&#10;In1vYRhQVr4hYoeN/TAw3waQKrH0pa59vXGqE9f7DRTXxut3Qr3sydlvAAAA//8DAFBLAwQUAAYA&#10;CAAAACEANTxCMNkAAAAHAQAADwAAAGRycy9kb3ducmV2LnhtbEyOzU7DMBCE70i8g7VIXFDrkIa2&#10;CnEqhJIjqig8gBNvfoS9jmK3DW/PcoLTaDSjma84LM6KC85h9KTgcZ2AQGq9GalX8PlRr/YgQtRk&#10;tPWECr4xwKG8vSl0bvyV3vFyir3gEQq5VjDEOOVShnZAp8PaT0icdX52OrKde2lmfeVxZ2WaJFvp&#10;9Ej8MOgJXwdsv05np8A3y7Hb1Lv9Q+0m+9ZVVeaOlVL3d8vLM4iIS/wrwy8+o0PJTI0/kwnCsk+e&#10;uMmapSA4zzbsG9Z0B7Is5H/+8gcAAP//AwBQSwECLQAUAAYACAAAACEAtoM4kv4AAADhAQAAEwAA&#10;AAAAAAAAAAAAAAAAAAAAW0NvbnRlbnRfVHlwZXNdLnhtbFBLAQItABQABgAIAAAAIQA4/SH/1gAA&#10;AJQBAAALAAAAAAAAAAAAAAAAAC8BAABfcmVscy8ucmVsc1BLAQItABQABgAIAAAAIQDjIcUkhAIA&#10;AG8FAAAOAAAAAAAAAAAAAAAAAC4CAABkcnMvZTJvRG9jLnhtbFBLAQItABQABgAIAAAAIQA1PEIw&#10;2QAAAAcBAAAPAAAAAAAAAAAAAAAAAN4EAABkcnMvZG93bnJldi54bWxQSwUGAAAAAAQABADzAAAA&#10;5AUAAAAA&#10;" fillcolor="yellow" strokecolor="#70ad47 [3209]" strokeweight=".5pt">
                      <v:path arrowok="t"/>
                    </v:shape>
                  </w:pict>
                </mc:Fallback>
              </mc:AlternateContent>
            </w:r>
          </w:p>
        </w:tc>
        <w:tc>
          <w:tcPr>
            <w:tcW w:w="8604" w:type="dxa"/>
          </w:tcPr>
          <w:p w14:paraId="64A7AC08" w14:textId="4DFDEE92" w:rsidR="0040128D" w:rsidRDefault="0040128D" w:rsidP="0040128D">
            <w:pPr>
              <w:rPr>
                <w:lang w:eastAsia="en-US"/>
              </w:rPr>
            </w:pPr>
            <w:r>
              <w:rPr>
                <w:rFonts w:eastAsiaTheme="minorHAnsi"/>
                <w:b/>
                <w:lang w:eastAsia="en-US"/>
              </w:rPr>
              <w:t xml:space="preserve">Recommended: </w:t>
            </w:r>
            <w:r>
              <w:rPr>
                <w:rFonts w:eastAsiaTheme="minorHAnsi"/>
                <w:lang w:eastAsia="en-US"/>
              </w:rPr>
              <w:t xml:space="preserve"> </w:t>
            </w:r>
            <w:r>
              <w:t>Do not use Read-Only Domain Controllers as a security measure in Azure.</w:t>
            </w:r>
          </w:p>
        </w:tc>
      </w:tr>
    </w:tbl>
    <w:p w14:paraId="6C814B01" w14:textId="0956157B" w:rsidR="00E01C16" w:rsidRDefault="00E01C16" w:rsidP="005729D2">
      <w:pPr>
        <w:pStyle w:val="Heading4Numbered"/>
        <w:numPr>
          <w:ilvl w:val="3"/>
          <w:numId w:val="64"/>
        </w:numPr>
      </w:pPr>
      <w:r>
        <w:t>Windows Server Core</w:t>
      </w:r>
    </w:p>
    <w:p w14:paraId="58FF27CD" w14:textId="150E1311" w:rsidR="00275AB5" w:rsidRDefault="00275AB5" w:rsidP="00275AB5">
      <w:r>
        <w:t xml:space="preserve">The Server Core installation option of Windows Server is a reduced-attack surface implementation of Windows Server that removes the user interface and other features of Windows that may not be necessary for all applications and services. Because of the reduced footprint, Server Core provides a smaller attack vector and is less susceptible to viruses and malware than a full Windows Server installation. For more information, please see </w:t>
      </w:r>
      <w:hyperlink r:id="rId474" w:history="1">
        <w:r w:rsidRPr="004055AC">
          <w:rPr>
            <w:rStyle w:val="Hyperlink"/>
          </w:rPr>
          <w:t>Windows Server Installation Options</w:t>
        </w:r>
      </w:hyperlink>
      <w:r>
        <w:t>.</w:t>
      </w:r>
    </w:p>
    <w:p w14:paraId="169927C4" w14:textId="4FA6CBFF" w:rsidR="0040128D" w:rsidRDefault="00275AB5" w:rsidP="00275AB5">
      <w:r>
        <w:t>Although Server Core can provide better security for a virtual machine than a full Windows Server installation, it does not address any specific security concerns with regards to running domain controllers in Azure. If you are already using Server Core for domain controllers on-premises, you can continue this practice for domain controllers in Azure. However, do not go out of your way to deploy Server Core specifically for Azure-based domain controllers</w:t>
      </w:r>
      <w:r w:rsidR="00A36088">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A36088" w14:paraId="187F79AF" w14:textId="77777777" w:rsidTr="00B95516">
        <w:trPr>
          <w:trHeight w:val="423"/>
        </w:trPr>
        <w:tc>
          <w:tcPr>
            <w:tcW w:w="666" w:type="dxa"/>
          </w:tcPr>
          <w:p w14:paraId="4757EB59" w14:textId="77777777" w:rsidR="00A36088" w:rsidRDefault="00A36088" w:rsidP="00B95516">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355136" behindDoc="0" locked="0" layoutInCell="1" allowOverlap="1" wp14:anchorId="6D6BF5E7" wp14:editId="5EBF5D17">
                      <wp:simplePos x="0" y="0"/>
                      <wp:positionH relativeFrom="column">
                        <wp:posOffset>66675</wp:posOffset>
                      </wp:positionH>
                      <wp:positionV relativeFrom="paragraph">
                        <wp:posOffset>90170</wp:posOffset>
                      </wp:positionV>
                      <wp:extent cx="209550" cy="180975"/>
                      <wp:effectExtent l="57150" t="19050" r="57150" b="104775"/>
                      <wp:wrapNone/>
                      <wp:docPr id="874593630" name="Isosceles Triangle 8745936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0B2219D" id="Isosceles Triangle 874593630" o:spid="_x0000_s1026" type="#_x0000_t5" style="position:absolute;margin-left:5.25pt;margin-top:7.1pt;width:16.5pt;height:14.25pt;z-index:25135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Y2JjgIAAH8FAAAOAAAAZHJzL2Uyb0RvYy54bWysVG1r2zAQ/j7YfxD6vtpOk7YxdUpoySiE&#10;Nqwd/azIUmIm6zRJiZP9+p3kl3RdoTDmD0Lne+50L8/d9c2hVmQvrKtAFzQ7SykRmkNZ6U1Bvz8v&#10;vlxR4jzTJVOgRUGPwtGb2edP143JxQi2oEphCTrRLm9MQbfemzxJHN+KmrkzMEKjUoKtmUfRbpLS&#10;sga91yoZpelF0oAtjQUunMO/d62SzqJ/KQX3j1I64YkqKMbm42njuQ5nMrtm+cYys614Fwb7hyhq&#10;Vml8dHB1xzwjO1v95aquuAUH0p9xqBOQsuIi5oDZZOmbbJ62zIiYCxbHmaFM7v+55Q/7lSVVWdCr&#10;y/Fken5xjlXSrMZW3TtwXCjhyLOtmN4oQU4YrFtjXI7mT2ZlQ+bOLIH/cKhI/tAEwXWYg7R1wGLe&#10;5BCbcByaIA6ecPw5SqeTCQbBUZVdpdPLSWhSwvLe2FjnvwqoSbgU1HfBxfKz/dL5Ft7DYmygqnJR&#10;KRUFu1nfKkv2DDmxwC+NNMAX3AkWc2jDjgn4oxLBWOlvQmK9MNAsvhiZKgZ/jHOh/UUXckQHM4lv&#10;D4bnHxt2+GAqIosH49HHxoNFfBm0H4zrSoN9z4HyWReybPFdF12bdyjBGsojUsVCO0PO8EWFDVgy&#10;51fM4tBgz3AR+Ec8pIKmoNDdKNmC/fXe/4BHLqOWkgaHsKDu545ZQYm618jyaTYeh6mNwnhyOULB&#10;vtasX2v0rr4F7GmGK8fweA14r/qrtFC/4L6Yh1dRxTTHtwvKve2FW98uB9w4XMznEYaTaphf6ifD&#10;+64Hcj0fXpg1PQuRvg/QDyzL3xCxxYZ+aJjvPMgqsvRU167eOOWR691GCmvktRxRp705+w0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aG2NiY4CAA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12EC90E6" w14:textId="657BCE36" w:rsidR="00A36088" w:rsidRDefault="00A36088" w:rsidP="004A084C">
            <w:pPr>
              <w:rPr>
                <w:lang w:eastAsia="en-US"/>
              </w:rPr>
            </w:pPr>
            <w:r>
              <w:rPr>
                <w:rFonts w:eastAsiaTheme="minorHAnsi"/>
                <w:b/>
                <w:lang w:eastAsia="en-US"/>
              </w:rPr>
              <w:t xml:space="preserve">Recommended: </w:t>
            </w:r>
            <w:r>
              <w:rPr>
                <w:rFonts w:eastAsiaTheme="minorHAnsi"/>
                <w:lang w:eastAsia="en-US"/>
              </w:rPr>
              <w:t xml:space="preserve"> </w:t>
            </w:r>
            <w:r w:rsidR="00275AB5">
              <w:t>If you are not using Server Core on-premises to run your Azure-based domain controllers, we do not recommend switching</w:t>
            </w:r>
            <w:r>
              <w:t>.</w:t>
            </w:r>
          </w:p>
        </w:tc>
      </w:tr>
    </w:tbl>
    <w:p w14:paraId="502D8EE7" w14:textId="78EDA90A" w:rsidR="00B01283" w:rsidRPr="00B01283" w:rsidRDefault="008A6F02" w:rsidP="005729D2">
      <w:pPr>
        <w:pStyle w:val="Heading4Numbered"/>
        <w:numPr>
          <w:ilvl w:val="3"/>
          <w:numId w:val="64"/>
        </w:numPr>
      </w:pPr>
      <w:r>
        <w:t>Protecting VHDs</w:t>
      </w:r>
    </w:p>
    <w:p w14:paraId="79E658D6" w14:textId="43EB6E10" w:rsidR="00275AB5" w:rsidRDefault="004A084C" w:rsidP="00275AB5">
      <w:bookmarkStart w:id="5828" w:name="_Toc417548354"/>
      <w:r>
        <w:t>Perhaps</w:t>
      </w:r>
      <w:r w:rsidR="00275AB5">
        <w:t xml:space="preserve"> the biggest threat to domain controllers in Azure is the possibility of someone downloading the virtual hard disk (VHD). The Active Directory database is not encrypted. Therefore, if attackers got ahold of the disk, they could execute a brute force attack against the accounts, or edit the database offline to inject their data. Due to this, protecting the VHDs of the domain controllers in Azure are very important.</w:t>
      </w:r>
    </w:p>
    <w:p w14:paraId="14EB0141" w14:textId="77777777" w:rsidR="00275AB5" w:rsidRDefault="00275AB5" w:rsidP="00275AB5">
      <w:r>
        <w:t>The VHDs associated with a virtual machine are stored in Azure Blob storage. The Blob storage has an API that is accessible from the Internet. This is perhaps the biggest threat to domain controllers; the domain controller’s hard disk can be downloaded by anyone over the Internet, if they have one of the API keys. The URL for the Blob storage container hosting the VHDs is a standard URL, for example:</w:t>
      </w:r>
    </w:p>
    <w:p w14:paraId="169BE9AA" w14:textId="77777777" w:rsidR="00275AB5" w:rsidRPr="00F632B5" w:rsidRDefault="00275AB5" w:rsidP="00275AB5">
      <w:pPr>
        <w:ind w:left="720"/>
      </w:pPr>
      <w:r w:rsidRPr="00F632B5">
        <w:t>https://&lt;StorageAccountName&gt;.blob.core.windowsazure.net/vhds</w:t>
      </w:r>
    </w:p>
    <w:p w14:paraId="765FEA6F" w14:textId="77777777" w:rsidR="00275AB5" w:rsidRDefault="00275AB5" w:rsidP="00275AB5">
      <w:r>
        <w:t>This allows an attacker to potentially guess which URL the VHDs are stored in, or determine the URL by sniffing DNS queries while on the same network as a tenant administrator that accesses the API.</w:t>
      </w:r>
    </w:p>
    <w:p w14:paraId="58B18FB2" w14:textId="77777777" w:rsidR="00275AB5" w:rsidRDefault="00275AB5" w:rsidP="00275AB5">
      <w:r>
        <w:t>There are two API keys, and each key is 512 bits. The two keys exist so that they can be rotated without interruption of the services that use Azure Storage. Either key provides access to the storage container, so it’s important that the keys are not given to anyone.</w:t>
      </w:r>
    </w:p>
    <w:p w14:paraId="46E8E041" w14:textId="2EE284BE" w:rsidR="002439E3" w:rsidRDefault="00275AB5" w:rsidP="00275AB5">
      <w:r>
        <w:t>The first step for protecting the domain controller VHDs is to create a separate Azure Storage account for them. Keep this storage account separate from all other storage accounts and make sure that no one has the API keys. There is no reason for administrators to have the API keys for their day-to-day operations, so the keys should remain a secret. You’ll also want to limit access to the Azure portal, to prevent unauthorized people from obtaining the API keys</w:t>
      </w:r>
      <w:r w:rsidR="002439E3">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2439E3" w14:paraId="07F0F225" w14:textId="77777777" w:rsidTr="00EC158B">
        <w:trPr>
          <w:trHeight w:val="423"/>
        </w:trPr>
        <w:tc>
          <w:tcPr>
            <w:tcW w:w="666" w:type="dxa"/>
          </w:tcPr>
          <w:p w14:paraId="3E6786BF" w14:textId="77777777" w:rsidR="002439E3" w:rsidRDefault="002439E3" w:rsidP="00EC158B">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360256" behindDoc="0" locked="0" layoutInCell="1" allowOverlap="1" wp14:anchorId="41861B21" wp14:editId="6E63157E">
                      <wp:simplePos x="0" y="0"/>
                      <wp:positionH relativeFrom="column">
                        <wp:posOffset>66675</wp:posOffset>
                      </wp:positionH>
                      <wp:positionV relativeFrom="paragraph">
                        <wp:posOffset>90170</wp:posOffset>
                      </wp:positionV>
                      <wp:extent cx="209550" cy="180975"/>
                      <wp:effectExtent l="57150" t="19050" r="57150" b="104775"/>
                      <wp:wrapNone/>
                      <wp:docPr id="830832931" name="Isosceles Triangle 8308329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269F241A" id="Isosceles Triangle 830832931" o:spid="_x0000_s1026" type="#_x0000_t5" style="position:absolute;margin-left:5.25pt;margin-top:7.1pt;width:16.5pt;height:14.25pt;z-index:25136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vnEjAIAAH8FAAAOAAAAZHJzL2Uyb0RvYy54bWysVFtr2zAUfh/sPwi9r7aTpk1MnRJaMgqh&#10;LWtHnxVZSsxkHU1S4mS/fkfyJV1XKIz5Qej4fOf+6VxdH2pF9sK6CnRBs7OUEqE5lJXeFPT78/LL&#10;lBLnmS6ZAi0KehSOXs8/f7pqTC5GsAVVCkvQiXZ5Ywq69d7kSeL4VtTMnYERGpUSbM08inaTlJY1&#10;6L1WyShNL5IGbGkscOEc/r1tlXQe/UspuH+Q0glPVEExNx9PG891OJP5Fcs3lpltxbs02D9kUbNK&#10;Y9DB1S3zjOxs9ZeruuIWHEh/xqFOQMqKi1gDVpOlb6p52jIjYi3YHGeGNrn/55bf7x8tqcqCTsfp&#10;dDyajTNKNKtxVHcOHBdKOPJsK6Y3SpATBvvWGJej+ZN5tKFyZ1bAfzhUJH9oguA6zEHaOmCxbnKI&#10;QzgOQxAHTzj+HKWzyQRHxVGVTdPZ5SQMKWF5b2ys818F1CRcCuq75GL72X7lfAvvYTE3UFW5rJSK&#10;gt2sb5Qle4acWOKXRhpgBHeCxRratGMB/qhEMFb6m5DYL0w0ixEjU8Xgj3EutL/oUo7oYCYx9mA4&#10;/tiwwwdTEVk8GI8+Nh4sYmTQfjCuKw32PQfKZ13KssV3U3Rt3aEFayiPSBUL7Rtyhi8rHMCKOf/I&#10;LD4anBkuAv+Ah1TQFBS6GyVbsL/e+x/wyGXUUtLgIyyo+7ljVlCi7jSyfJadn4dXG4XzyeUIBfta&#10;s36t0bv6BnCmyGDMLl4D3qv+Ki3UL7gvFiEqqpjmGLug3NteuPHtcsCNw8ViEWH4Ug3zK/1keD/1&#10;QK7nwwuzpmch0vce+gfL8jdEbLFhHhoWOw+yiiw99bXrN77yyPVuI4U18lqOqNPenP8GAAD//wMA&#10;UEsDBBQABgAIAAAAIQA1PEIw2QAAAAcBAAAPAAAAZHJzL2Rvd25yZXYueG1sTI7NTsMwEITvSLyD&#10;tUhcUOuQhrYKcSqEkiOqKDyAE29+hL2OYrcNb89ygtNoNKOZrzgszooLzmH0pOBxnYBAar0ZqVfw&#10;+VGv9iBC1GS09YQKvjHAoby9KXRu/JXe8XKKveARCrlWMMQ45VKGdkCnw9pPSJx1fnY6sp17aWZ9&#10;5XFnZZokW+n0SPww6AlfB2y/TmenwDfLsdvUu/1D7Sb71lVV5o6VUvd3y8sziIhL/CvDLz6jQ8lM&#10;jT+TCcKyT564yZqlIDjPNuwb1nQHsizkf/7yBwAA//8DAFBLAQItABQABgAIAAAAIQC2gziS/gAA&#10;AOEBAAATAAAAAAAAAAAAAAAAAAAAAABbQ29udGVudF9UeXBlc10ueG1sUEsBAi0AFAAGAAgAAAAh&#10;ADj9If/WAAAAlAEAAAsAAAAAAAAAAAAAAAAALwEAAF9yZWxzLy5yZWxzUEsBAi0AFAAGAAgAAAAh&#10;AHG2+cSMAgAAfwUAAA4AAAAAAAAAAAAAAAAALgIAAGRycy9lMm9Eb2MueG1sUEsBAi0AFAAGAAgA&#10;AAAhADU8QjDZAAAABwEAAA8AAAAAAAAAAAAAAAAA5gQAAGRycy9kb3ducmV2LnhtbFBLBQYAAAAA&#10;BAAEAPMAAADsBQAAAAA=&#10;" fillcolor="yellow" strokecolor="#70ad47 [3209]" strokeweight=".5pt">
                      <v:path arrowok="t"/>
                    </v:shape>
                  </w:pict>
                </mc:Fallback>
              </mc:AlternateContent>
            </w:r>
          </w:p>
        </w:tc>
        <w:tc>
          <w:tcPr>
            <w:tcW w:w="8604" w:type="dxa"/>
          </w:tcPr>
          <w:p w14:paraId="21C0BF53" w14:textId="77777777" w:rsidR="00D00EB8" w:rsidRDefault="002439E3" w:rsidP="002439E3">
            <w:pPr>
              <w:rPr>
                <w:rFonts w:eastAsiaTheme="minorHAnsi"/>
                <w:lang w:eastAsia="en-US"/>
              </w:rPr>
            </w:pPr>
            <w:r>
              <w:rPr>
                <w:rFonts w:eastAsiaTheme="minorHAnsi"/>
                <w:b/>
                <w:lang w:eastAsia="en-US"/>
              </w:rPr>
              <w:t xml:space="preserve">Recommended: </w:t>
            </w:r>
            <w:r>
              <w:rPr>
                <w:rFonts w:eastAsiaTheme="minorHAnsi"/>
                <w:lang w:eastAsia="en-US"/>
              </w:rPr>
              <w:t xml:space="preserve"> </w:t>
            </w:r>
          </w:p>
          <w:p w14:paraId="48C5A8B2" w14:textId="77777777" w:rsidR="00275AB5" w:rsidRDefault="00275AB5" w:rsidP="005729D2">
            <w:pPr>
              <w:pStyle w:val="ListParagraph"/>
              <w:numPr>
                <w:ilvl w:val="0"/>
                <w:numId w:val="132"/>
              </w:numPr>
              <w:rPr>
                <w:lang w:eastAsia="en-US"/>
              </w:rPr>
            </w:pPr>
            <w:r>
              <w:t>Create a separate Azure Storage account for domain controller VHDs, and make sure that no one has the API keys. Only store domain controller VHDs in this storage account. All other VHDs should be in a separate storage account.</w:t>
            </w:r>
          </w:p>
          <w:p w14:paraId="24A924AE" w14:textId="61E59D30" w:rsidR="002439E3" w:rsidRDefault="00275AB5" w:rsidP="005729D2">
            <w:pPr>
              <w:pStyle w:val="ListParagraph"/>
              <w:numPr>
                <w:ilvl w:val="0"/>
                <w:numId w:val="132"/>
              </w:numPr>
              <w:rPr>
                <w:lang w:eastAsia="en-US"/>
              </w:rPr>
            </w:pPr>
            <w:r>
              <w:t>Limit access to the Azure portal to administrators who really need it to prevent unauthorized people from getting access to the API keys for the Azure Storage account that the domain controller VHDs are stored in</w:t>
            </w:r>
            <w:r w:rsidR="00D00EB8">
              <w:t>.</w:t>
            </w:r>
          </w:p>
        </w:tc>
      </w:tr>
    </w:tbl>
    <w:p w14:paraId="4FD4DCAD" w14:textId="77777777" w:rsidR="00275AB5" w:rsidRDefault="00275AB5" w:rsidP="00275AB5">
      <w:r>
        <w:t xml:space="preserve">In addition to protecting access to the API, we recommend that organizations take additional measures to encrypt the domain controller VHDs. There are various third-party solutions available for encrypting VHDs, but we recommend that the customer look at CloudLink first. </w:t>
      </w:r>
    </w:p>
    <w:p w14:paraId="4CE7D153" w14:textId="3422AB7F" w:rsidR="002439E3" w:rsidRDefault="00275AB5" w:rsidP="00275AB5">
      <w:r>
        <w:t xml:space="preserve">CloudLink SecureVM leverages native BitLocker capabilities in the virtual machine and provides a key management solution that releases BitLocker keys to virtual machines when they need to reboot via manual intervention or preauthorization. Please visit the </w:t>
      </w:r>
      <w:hyperlink r:id="rId475" w:history="1">
        <w:r w:rsidRPr="00EC158B">
          <w:rPr>
            <w:rStyle w:val="Hyperlink"/>
          </w:rPr>
          <w:t>CloudLink website</w:t>
        </w:r>
      </w:hyperlink>
      <w:r>
        <w:t xml:space="preserve"> for more information</w:t>
      </w:r>
      <w:r w:rsidR="00EC158B">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700357" w14:paraId="5D45A8DA" w14:textId="77777777" w:rsidTr="00D82A02">
        <w:trPr>
          <w:trHeight w:val="423"/>
        </w:trPr>
        <w:tc>
          <w:tcPr>
            <w:tcW w:w="666" w:type="dxa"/>
          </w:tcPr>
          <w:p w14:paraId="516A23CE" w14:textId="77777777" w:rsidR="00700357" w:rsidRDefault="00700357" w:rsidP="00D82A02">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539456" behindDoc="0" locked="0" layoutInCell="1" allowOverlap="1" wp14:anchorId="546BAB74" wp14:editId="6A3C7051">
                      <wp:simplePos x="0" y="0"/>
                      <wp:positionH relativeFrom="column">
                        <wp:posOffset>66675</wp:posOffset>
                      </wp:positionH>
                      <wp:positionV relativeFrom="paragraph">
                        <wp:posOffset>90170</wp:posOffset>
                      </wp:positionV>
                      <wp:extent cx="209550" cy="180975"/>
                      <wp:effectExtent l="57150" t="19050" r="57150" b="104775"/>
                      <wp:wrapNone/>
                      <wp:docPr id="830832934" name="Isosceles Triangle 8308329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42EAD48" id="Isosceles Triangle 830832934" o:spid="_x0000_s1026" type="#_x0000_t5" style="position:absolute;margin-left:5.25pt;margin-top:7.1pt;width:16.5pt;height:14.25pt;z-index:25153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yIPjgIAAH8FAAAOAAAAZHJzL2Uyb0RvYy54bWysVNtu2zAMfR+wfxD0vtrOpU2MOkXQIkOB&#10;oA3WDn1WZCkxJouapNz29aPkS7quQIFhfhBE85Di5ZDXN8dakb2wrgJd0OwipURoDmWlNwX9/rz4&#10;MqHEeaZLpkCLgp6Eozezz5+uDyYXA9iCKoUl6ES7/GAKuvXe5Eni+FbUzF2AERqVEmzNPIp2k5SW&#10;HdB7rZJBml4mB7ClscCFc/j3rlHSWfQvpeD+UUonPFEFxdh8PG081+FMZtcs31hmthVvw2D/EEXN&#10;Ko2P9q7umGdkZ6u/XNUVt+BA+gsOdQJSVlzEHDCbLH2TzdOWGRFzweI405fJ/T+3/GG/sqQqCzoZ&#10;ppPhYDocUaJZja26d+C4UMKRZ1sxvVGCnDFYt4NxOZo/mZUNmTuzBP7DoSL5QxME12KO0tYBi3mT&#10;Y2zCqW+COHrC8ecgnY7H2CqOqmySTq/GoUkJyztjY53/KqAm4VJQ3wYXy8/2S+cbeAeLsYGqykWl&#10;VBTsZn2rLNkz5MQCvzTSAF9wZ1jMoQk7JuBPSgRjpb8JifXCQLP4YmSq6P0xzoX2l23IER3MJL7d&#10;Gw4/NmzxwVREFvfGg4+Ne4v4MmjfG9eVBvueA+WzNmTZ4NsuuibvUII1lCekioVmhpzhiwobsGTO&#10;r5jFocGe4SLwj3hIBYeCQnujZAv213v/Ax65jFpKDjiEBXU/d8wKStS9RpZPs9EoTG0URuOrAQr2&#10;tWb9WqN39S1gTzNcOYbHa8B71V2lhfoF98U8vIoqpjm+XVDubSfc+mY54MbhYj6PMJxUw/xSPxne&#10;dT2Q6/n4wqzpWIj0fYBuYFn+hogNNvRDw3znQVaRpee6tvXGKY9cbzdSWCOv5Yg6783ZbwA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sEsiD44CAA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6FEC74B1" w14:textId="47EE7981" w:rsidR="00700357" w:rsidRDefault="00700357" w:rsidP="00D82A02">
            <w:pPr>
              <w:rPr>
                <w:lang w:eastAsia="en-US"/>
              </w:rPr>
            </w:pPr>
            <w:r>
              <w:rPr>
                <w:rFonts w:eastAsiaTheme="minorHAnsi"/>
                <w:b/>
                <w:lang w:eastAsia="en-US"/>
              </w:rPr>
              <w:t xml:space="preserve">Recommended: </w:t>
            </w:r>
            <w:r>
              <w:rPr>
                <w:rFonts w:eastAsiaTheme="minorHAnsi"/>
                <w:lang w:eastAsia="en-US"/>
              </w:rPr>
              <w:t xml:space="preserve"> </w:t>
            </w:r>
            <w:r w:rsidR="00275AB5">
              <w:t>We highly recommend that you encrypt domain controller VHDs in Azure by using a third-party partner solution, such as CloudLink SecureVM</w:t>
            </w:r>
            <w:r>
              <w:t>.</w:t>
            </w:r>
          </w:p>
        </w:tc>
      </w:tr>
    </w:tbl>
    <w:p w14:paraId="6680F266" w14:textId="7BE022B2" w:rsidR="00EC158B" w:rsidRDefault="00EC158B" w:rsidP="005729D2">
      <w:pPr>
        <w:pStyle w:val="Heading4Numbered"/>
        <w:numPr>
          <w:ilvl w:val="3"/>
          <w:numId w:val="64"/>
        </w:numPr>
      </w:pPr>
      <w:r>
        <w:t>Limiting Endpoint Exposure</w:t>
      </w:r>
    </w:p>
    <w:p w14:paraId="0FE071B1" w14:textId="08EDF7E6" w:rsidR="00272808" w:rsidRDefault="00272808" w:rsidP="00272808">
      <w:r>
        <w:t>When a virtual machine is created by using the Azure portal, two endpoints are created by default, which inherently can be accessed over the Internet by using:</w:t>
      </w:r>
    </w:p>
    <w:p w14:paraId="30765D8E" w14:textId="77777777" w:rsidR="00272808" w:rsidRPr="00FC2471" w:rsidRDefault="00272808" w:rsidP="005729D2">
      <w:pPr>
        <w:pStyle w:val="ListParagraph"/>
        <w:numPr>
          <w:ilvl w:val="0"/>
          <w:numId w:val="132"/>
        </w:numPr>
        <w:rPr>
          <w:rFonts w:cs="Arial"/>
          <w:lang w:val="en-AU" w:eastAsia="en-AU"/>
        </w:rPr>
      </w:pPr>
      <w:r w:rsidRPr="00FC2471">
        <w:rPr>
          <w:rFonts w:cs="Arial"/>
          <w:b/>
          <w:lang w:val="en-AU" w:eastAsia="en-AU"/>
        </w:rPr>
        <w:t>Remote Desktop</w:t>
      </w:r>
      <w:r w:rsidRPr="00FC2471">
        <w:rPr>
          <w:rFonts w:cs="Arial"/>
          <w:lang w:val="en-AU" w:eastAsia="en-AU"/>
        </w:rPr>
        <w:t xml:space="preserve">: Used for logging into the </w:t>
      </w:r>
      <w:r>
        <w:rPr>
          <w:rFonts w:cs="Arial"/>
          <w:lang w:val="en-AU" w:eastAsia="en-AU"/>
        </w:rPr>
        <w:t>v</w:t>
      </w:r>
      <w:r w:rsidRPr="00FC2471">
        <w:rPr>
          <w:rFonts w:cs="Arial"/>
          <w:lang w:val="en-AU" w:eastAsia="en-AU"/>
        </w:rPr>
        <w:t xml:space="preserve">irtual </w:t>
      </w:r>
      <w:r>
        <w:rPr>
          <w:rFonts w:cs="Arial"/>
          <w:lang w:val="en-AU" w:eastAsia="en-AU"/>
        </w:rPr>
        <w:t>m</w:t>
      </w:r>
      <w:r w:rsidRPr="00FC2471">
        <w:rPr>
          <w:rFonts w:cs="Arial"/>
          <w:lang w:val="en-AU" w:eastAsia="en-AU"/>
        </w:rPr>
        <w:t>achine from outside the network</w:t>
      </w:r>
    </w:p>
    <w:p w14:paraId="47EFEAA6" w14:textId="77777777" w:rsidR="00272808" w:rsidRPr="00FC2471" w:rsidRDefault="00272808" w:rsidP="005729D2">
      <w:pPr>
        <w:pStyle w:val="ListParagraph"/>
        <w:numPr>
          <w:ilvl w:val="0"/>
          <w:numId w:val="132"/>
        </w:numPr>
        <w:rPr>
          <w:rFonts w:cs="Arial"/>
          <w:lang w:val="en-AU" w:eastAsia="en-AU"/>
        </w:rPr>
      </w:pPr>
      <w:r w:rsidRPr="00FC2471">
        <w:rPr>
          <w:rFonts w:cs="Arial"/>
          <w:b/>
          <w:lang w:val="en-AU" w:eastAsia="en-AU"/>
        </w:rPr>
        <w:t>WinRM</w:t>
      </w:r>
      <w:r w:rsidRPr="00FC2471">
        <w:rPr>
          <w:rFonts w:cs="Arial"/>
          <w:lang w:val="en-AU" w:eastAsia="en-AU"/>
        </w:rPr>
        <w:t xml:space="preserve">: Used for PowerShell access to the </w:t>
      </w:r>
      <w:r>
        <w:rPr>
          <w:rFonts w:cs="Arial"/>
          <w:lang w:val="en-AU" w:eastAsia="en-AU"/>
        </w:rPr>
        <w:t>v</w:t>
      </w:r>
      <w:r w:rsidRPr="00FC2471">
        <w:rPr>
          <w:rFonts w:cs="Arial"/>
          <w:lang w:val="en-AU" w:eastAsia="en-AU"/>
        </w:rPr>
        <w:t xml:space="preserve">irtual </w:t>
      </w:r>
      <w:r>
        <w:rPr>
          <w:rFonts w:cs="Arial"/>
          <w:lang w:val="en-AU" w:eastAsia="en-AU"/>
        </w:rPr>
        <w:t>m</w:t>
      </w:r>
      <w:r w:rsidRPr="00FC2471">
        <w:rPr>
          <w:rFonts w:cs="Arial"/>
          <w:lang w:val="en-AU" w:eastAsia="en-AU"/>
        </w:rPr>
        <w:t>achine from outside the network</w:t>
      </w:r>
    </w:p>
    <w:p w14:paraId="5A09C8E1" w14:textId="77777777" w:rsidR="00272808" w:rsidRDefault="00272808" w:rsidP="00272808">
      <w:r>
        <w:t>We recommended that you remove the Remote Desktop endpoint</w:t>
      </w:r>
      <w:r w:rsidDel="00FC2471">
        <w:t xml:space="preserve"> </w:t>
      </w:r>
      <w:r>
        <w:t xml:space="preserve">and only log in to the virtual machine that hosts the domain controller role via the local network. If the VPN connection goes down, and you don’t have access to the private IP address of the domain controller, you can sign in to the Azure subscription and create the Remote Desktop endpoint temporarily to give you access to the virtual machine. </w:t>
      </w:r>
    </w:p>
    <w:p w14:paraId="446C5321" w14:textId="77777777" w:rsidR="00272808" w:rsidRDefault="00272808" w:rsidP="00272808">
      <w:r>
        <w:t>If for some reason, it’s not desirable to remove the endpoint, we recommend (at a minimum) to place an ACL on the endpoint for all of the IP addresses that will be logging in to the domain controller.</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272808" w14:paraId="02E8D0A3" w14:textId="77777777" w:rsidTr="006F6061">
        <w:trPr>
          <w:trHeight w:val="423"/>
        </w:trPr>
        <w:tc>
          <w:tcPr>
            <w:tcW w:w="666" w:type="dxa"/>
          </w:tcPr>
          <w:p w14:paraId="0ABDE857" w14:textId="77777777" w:rsidR="00272808" w:rsidRDefault="00272808" w:rsidP="006F6061">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933696" behindDoc="0" locked="0" layoutInCell="1" allowOverlap="1" wp14:anchorId="56A5121E" wp14:editId="15B4F360">
                      <wp:simplePos x="0" y="0"/>
                      <wp:positionH relativeFrom="column">
                        <wp:posOffset>66675</wp:posOffset>
                      </wp:positionH>
                      <wp:positionV relativeFrom="paragraph">
                        <wp:posOffset>90170</wp:posOffset>
                      </wp:positionV>
                      <wp:extent cx="209550" cy="180975"/>
                      <wp:effectExtent l="57150" t="19050" r="57150" b="104775"/>
                      <wp:wrapNone/>
                      <wp:docPr id="830832936" name="Isosceles Triangle 8308329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1D403373" id="Isosceles Triangle 830832936" o:spid="_x0000_s1026" type="#_x0000_t5" style="position:absolute;margin-left:5.25pt;margin-top:7.1pt;width:16.5pt;height:14.25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rYZjgIAAH8FAAAOAAAAZHJzL2Uyb0RvYy54bWysVG1r2zAQ/j7YfxD6vtpOmjYxdUpoySiE&#10;tqwd/azIUmIm6zRJiZP9+p3kl3RdoTDmD0Lne+50L8/d1fWhVmQvrKtAFzQ7SykRmkNZ6U1Bvz8v&#10;v0wpcZ7pkinQoqBH4ej1/POnq8bkYgRbUKWwBJ1olzemoFvvTZ4kjm9FzdwZGKFRKcHWzKNoN0lp&#10;WYPea5WM0vQiacCWxgIXzuHf21ZJ59G/lIL7Bymd8EQVFGPz8bTxXIczmV+xfGOZ2Va8C4P9QxQ1&#10;qzQ+Ori6ZZ6Rna3+clVX3IID6c841AlIWXERc8BssvRNNk9bZkTMBYvjzFAm9//c8vv9oyVVWdDp&#10;OJ2OR7PxBSWa1diqOweOCyUcebYV0xslyAmDdWuMy9H8yTzakLkzK+A/HCqSPzRBcB3mIG0dsJg3&#10;OcQmHIcmiIMnHH+O0tlkgq3iqMqm6exyEpqUsLw3Ntb5rwJqEi4F9V1wsfxsv3K+hfewGBuoqlxW&#10;SkXBbtY3ypI9Q04s8UsjDfAFd4LFHNqwYwL+qEQwVvqbkFgvDDSLL0amisEf41xof9GFHNHBTOLb&#10;g+H4Y8MOH0xFZPFgPPrYeLCIL4P2g3FdabDvOVA+60KWLb7romvzDiVYQ3lEqlhoZ8gZvqywASvm&#10;/COzODTYM1wE/gEPqaApKHQ3SrZgf733P+CRy6ilpMEhLKj7uWNWUKLuNLJ8lp2fh6mNwvnkcoSC&#10;fa1Zv9boXX0D2NMMV47h8RrwXvVXaaF+wX2xCK+iimmObxeUe9sLN75dDrhxuFgsIgwn1TC/0k+G&#10;910P5Ho+vDBrehYife+hH1iWvyFiiw390LDYeZBVZOmprl29ccoj17uNFNbIazmiTntz/hs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j9K2GY4CAA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328712CB" w14:textId="263C027A" w:rsidR="00272808" w:rsidRDefault="00272808" w:rsidP="006F6061">
            <w:pPr>
              <w:rPr>
                <w:lang w:eastAsia="en-US"/>
              </w:rPr>
            </w:pPr>
            <w:r>
              <w:rPr>
                <w:rFonts w:eastAsiaTheme="minorHAnsi"/>
                <w:b/>
                <w:lang w:eastAsia="en-US"/>
              </w:rPr>
              <w:t xml:space="preserve">Recommended: </w:t>
            </w:r>
            <w:r>
              <w:t>Remove the Remote Desktop endpoint from virtual machines in Azure</w:t>
            </w:r>
            <w:r w:rsidDel="00763D57">
              <w:t xml:space="preserve"> </w:t>
            </w:r>
            <w:r>
              <w:t>that host the domain controller role.</w:t>
            </w:r>
          </w:p>
        </w:tc>
      </w:tr>
    </w:tbl>
    <w:p w14:paraId="55C96BF9" w14:textId="031DF309" w:rsidR="00B2325C" w:rsidRDefault="00272808" w:rsidP="00272808">
      <w:r>
        <w:t>We also recommend that you remove the WinRM endpoint for virtual machines that host the domain controller role. If you are actually using the WinRM endpoint for remote PowerShell access to domain controllers, we recommend that you look at doing this over the private virtual network. If that’s not possible, you should place an ACL on the endpoint for the IP addresses that automation will be running from.</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700357" w14:paraId="5B8758EC" w14:textId="77777777" w:rsidTr="00D82A02">
        <w:trPr>
          <w:trHeight w:val="423"/>
        </w:trPr>
        <w:tc>
          <w:tcPr>
            <w:tcW w:w="666" w:type="dxa"/>
          </w:tcPr>
          <w:p w14:paraId="66621CEC" w14:textId="77777777" w:rsidR="00700357" w:rsidRDefault="00700357" w:rsidP="00D82A02">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544576" behindDoc="0" locked="0" layoutInCell="1" allowOverlap="1" wp14:anchorId="726B4CB8" wp14:editId="4418B621">
                      <wp:simplePos x="0" y="0"/>
                      <wp:positionH relativeFrom="column">
                        <wp:posOffset>66675</wp:posOffset>
                      </wp:positionH>
                      <wp:positionV relativeFrom="paragraph">
                        <wp:posOffset>90170</wp:posOffset>
                      </wp:positionV>
                      <wp:extent cx="209550" cy="180975"/>
                      <wp:effectExtent l="57150" t="19050" r="57150" b="104775"/>
                      <wp:wrapNone/>
                      <wp:docPr id="830832935" name="Isosceles Triangle 8308329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2C706B52" id="Isosceles Triangle 830832935" o:spid="_x0000_s1026" type="#_x0000_t5" style="position:absolute;margin-left:5.25pt;margin-top:7.1pt;width:16.5pt;height:14.25pt;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NDpjgIAAH8FAAAOAAAAZHJzL2Uyb0RvYy54bWysVG1r2zAQ/j7YfxD6vtpOmjYxdUpoySiE&#10;tqwd/azIUmIm6zRJiZP9+p3kl3RdoTDmD0Lne+50L8/d1fWhVmQvrKtAFzQ7SykRmkNZ6U1Bvz8v&#10;v0wpcZ7pkinQoqBH4ej1/POnq8bkYgRbUKWwBJ1olzemoFvvTZ4kjm9FzdwZGKFRKcHWzKNoN0lp&#10;WYPea5WM0vQiacCWxgIXzuHf21ZJ59G/lIL7Bymd8EQVFGPz8bTxXIczmV+xfGOZ2Va8C4P9QxQ1&#10;qzQ+Ori6ZZ6Rna3+clVX3IID6c841AlIWXERc8BssvRNNk9bZkTMBYvjzFAm9//c8vv9oyVVWdDp&#10;OJ2OR7PxhBLNamzVnQPHhRKOPNuK6Y0S5ITBujXG5Wj+ZB5tyNyZFfAfDhXJH5oguA5zkLYOWMyb&#10;HGITjkMTxMETjj9H6WwywVZxVGXTdHY5CU1KWN4bG+v8VwE1CZeC+i64WH62XznfwntYjA1UVS4r&#10;paJgN+sbZcmeISeW+KWRBviCO8FiDm3YMQF/VCIYK/1NSKwXBprFFyNTxeCPcS60v+hCjuhgJvHt&#10;wXD8sWGHD6YisngwHn1sPFjEl0H7wbiuNNj3HCifdSHLFt910bV5hxKsoTwiVSy0M+QMX1bYgBVz&#10;/pFZHBrsGS4C/4CHVNAUFLobJVuwv977H/DIZdRS0uAQFtT93DErKFF3Glk+y87Pw9RG4XxyOULB&#10;vtasX2v0rr4B7GmGK8fweA14r/qrtFC/4L5YhFdRxTTHtwvKve2FG98uB9w4XCwWEYaTaphf6SfD&#10;+64Hcj0fXpg1PQuRvvfQDyzL3xCxxYZ+aFjsPMgqsvRU167eOOWR691GCmvktRxRp705/w0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D4TQ6Y4CAA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5CFC70FC" w14:textId="774F45D7" w:rsidR="00700357" w:rsidRDefault="00700357" w:rsidP="00700357">
            <w:pPr>
              <w:rPr>
                <w:lang w:eastAsia="en-US"/>
              </w:rPr>
            </w:pPr>
            <w:r>
              <w:rPr>
                <w:rFonts w:eastAsiaTheme="minorHAnsi"/>
                <w:b/>
                <w:lang w:eastAsia="en-US"/>
              </w:rPr>
              <w:t xml:space="preserve">Recommended: </w:t>
            </w:r>
            <w:r>
              <w:rPr>
                <w:rFonts w:eastAsiaTheme="minorHAnsi"/>
                <w:lang w:eastAsia="en-US"/>
              </w:rPr>
              <w:t xml:space="preserve"> </w:t>
            </w:r>
            <w:r w:rsidR="00272808">
              <w:t>Remove the WinRM endpoint from virtual machines that host the domain controller role in Azure</w:t>
            </w:r>
            <w:r>
              <w:t>.</w:t>
            </w:r>
          </w:p>
        </w:tc>
      </w:tr>
    </w:tbl>
    <w:tbl>
      <w:tblPr>
        <w:tblStyle w:val="PlainTable11"/>
        <w:tblW w:w="0" w:type="auto"/>
        <w:tblLook w:val="04A0" w:firstRow="1" w:lastRow="0" w:firstColumn="1" w:lastColumn="0" w:noHBand="0" w:noVBand="1"/>
      </w:tblPr>
      <w:tblGrid>
        <w:gridCol w:w="3393"/>
        <w:gridCol w:w="5957"/>
      </w:tblGrid>
      <w:tr w:rsidR="00E01C16" w14:paraId="206A5862" w14:textId="77777777" w:rsidTr="00B048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43B20B5A" w14:textId="60439834" w:rsidR="00E01C16" w:rsidRPr="00F47607" w:rsidRDefault="00E01C16" w:rsidP="00B95516">
            <w:pPr>
              <w:spacing w:line="240" w:lineRule="auto"/>
              <w:rPr>
                <w:color w:val="FFFFFF"/>
              </w:rPr>
            </w:pPr>
            <w:r>
              <w:rPr>
                <w:color w:val="FFFFFF"/>
              </w:rPr>
              <w:t>References</w:t>
            </w:r>
          </w:p>
        </w:tc>
      </w:tr>
      <w:tr w:rsidR="00E01C16" w:rsidRPr="00B0484A" w14:paraId="7452D6FA" w14:textId="77777777" w:rsidTr="00B048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9" w:type="dxa"/>
          </w:tcPr>
          <w:p w14:paraId="2ACD7587" w14:textId="4F38D513" w:rsidR="00E01C16" w:rsidRPr="00B0484A" w:rsidRDefault="00E01C16" w:rsidP="00B95516">
            <w:pPr>
              <w:spacing w:line="240" w:lineRule="auto"/>
              <w:rPr>
                <w:sz w:val="20"/>
                <w:szCs w:val="18"/>
              </w:rPr>
            </w:pPr>
            <w:r w:rsidRPr="00B0484A">
              <w:rPr>
                <w:sz w:val="20"/>
                <w:szCs w:val="18"/>
              </w:rPr>
              <w:t>AD DS: Read-Only Domain Controllers</w:t>
            </w:r>
          </w:p>
        </w:tc>
        <w:tc>
          <w:tcPr>
            <w:tcW w:w="5961" w:type="dxa"/>
          </w:tcPr>
          <w:p w14:paraId="2722924A" w14:textId="54912BA1" w:rsidR="00E01C16" w:rsidRPr="00B0484A" w:rsidRDefault="00872E47" w:rsidP="00E01C16">
            <w:pPr>
              <w:cnfStyle w:val="000000100000" w:firstRow="0" w:lastRow="0" w:firstColumn="0" w:lastColumn="0" w:oddVBand="0" w:evenVBand="0" w:oddHBand="1" w:evenHBand="0" w:firstRowFirstColumn="0" w:firstRowLastColumn="0" w:lastRowFirstColumn="0" w:lastRowLastColumn="0"/>
              <w:rPr>
                <w:sz w:val="20"/>
                <w:szCs w:val="18"/>
              </w:rPr>
            </w:pPr>
            <w:hyperlink r:id="rId476" w:history="1">
              <w:r w:rsidR="00E01C16" w:rsidRPr="00B0484A">
                <w:rPr>
                  <w:rStyle w:val="Hyperlink"/>
                  <w:sz w:val="20"/>
                  <w:szCs w:val="18"/>
                </w:rPr>
                <w:t>https://technet.microsoft.com/en-us/library/cc732801(v=ws.10).aspx</w:t>
              </w:r>
            </w:hyperlink>
          </w:p>
        </w:tc>
      </w:tr>
      <w:tr w:rsidR="00E01C16" w:rsidRPr="00B0484A" w14:paraId="102E2013" w14:textId="77777777" w:rsidTr="00B0484A">
        <w:tc>
          <w:tcPr>
            <w:cnfStyle w:val="001000000000" w:firstRow="0" w:lastRow="0" w:firstColumn="1" w:lastColumn="0" w:oddVBand="0" w:evenVBand="0" w:oddHBand="0" w:evenHBand="0" w:firstRowFirstColumn="0" w:firstRowLastColumn="0" w:lastRowFirstColumn="0" w:lastRowLastColumn="0"/>
            <w:tcW w:w="3399" w:type="dxa"/>
          </w:tcPr>
          <w:p w14:paraId="497FCA9A" w14:textId="53E18B99" w:rsidR="00E01C16" w:rsidRPr="00B0484A" w:rsidRDefault="00E01C16" w:rsidP="00B95516">
            <w:pPr>
              <w:spacing w:line="240" w:lineRule="auto"/>
              <w:rPr>
                <w:sz w:val="20"/>
                <w:szCs w:val="18"/>
              </w:rPr>
            </w:pPr>
            <w:r w:rsidRPr="00B0484A">
              <w:rPr>
                <w:sz w:val="20"/>
                <w:szCs w:val="18"/>
              </w:rPr>
              <w:t>Microsoft Azure Trust Center</w:t>
            </w:r>
          </w:p>
        </w:tc>
        <w:tc>
          <w:tcPr>
            <w:tcW w:w="5961" w:type="dxa"/>
          </w:tcPr>
          <w:p w14:paraId="468C51E2" w14:textId="0DD8DA76" w:rsidR="00E01C16" w:rsidRPr="00B0484A" w:rsidRDefault="00872E47" w:rsidP="00E01C16">
            <w:pPr>
              <w:cnfStyle w:val="000000000000" w:firstRow="0" w:lastRow="0" w:firstColumn="0" w:lastColumn="0" w:oddVBand="0" w:evenVBand="0" w:oddHBand="0" w:evenHBand="0" w:firstRowFirstColumn="0" w:firstRowLastColumn="0" w:lastRowFirstColumn="0" w:lastRowLastColumn="0"/>
              <w:rPr>
                <w:sz w:val="20"/>
                <w:szCs w:val="18"/>
              </w:rPr>
            </w:pPr>
            <w:hyperlink r:id="rId477" w:history="1">
              <w:r w:rsidR="00E01C16" w:rsidRPr="00B0484A">
                <w:rPr>
                  <w:rStyle w:val="Hyperlink"/>
                  <w:sz w:val="20"/>
                  <w:szCs w:val="18"/>
                </w:rPr>
                <w:t>http://azure.microsoft.com/en-us/support/trust-center/security/</w:t>
              </w:r>
            </w:hyperlink>
          </w:p>
        </w:tc>
      </w:tr>
      <w:tr w:rsidR="0040128D" w:rsidRPr="00B0484A" w14:paraId="566DAF78" w14:textId="77777777" w:rsidTr="00B048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9" w:type="dxa"/>
          </w:tcPr>
          <w:p w14:paraId="0DB55E79" w14:textId="2C01BE56" w:rsidR="0040128D" w:rsidRPr="00B0484A" w:rsidRDefault="0040128D" w:rsidP="00B95516">
            <w:pPr>
              <w:spacing w:line="240" w:lineRule="auto"/>
              <w:rPr>
                <w:sz w:val="20"/>
                <w:szCs w:val="18"/>
              </w:rPr>
            </w:pPr>
            <w:r w:rsidRPr="00B0484A">
              <w:rPr>
                <w:sz w:val="20"/>
                <w:szCs w:val="18"/>
              </w:rPr>
              <w:t>Windows Server Installation Options</w:t>
            </w:r>
          </w:p>
        </w:tc>
        <w:tc>
          <w:tcPr>
            <w:tcW w:w="5961" w:type="dxa"/>
          </w:tcPr>
          <w:p w14:paraId="01F606C0" w14:textId="3FFED250" w:rsidR="0040128D" w:rsidRPr="00B0484A" w:rsidRDefault="00872E47" w:rsidP="0040128D">
            <w:pPr>
              <w:cnfStyle w:val="000000100000" w:firstRow="0" w:lastRow="0" w:firstColumn="0" w:lastColumn="0" w:oddVBand="0" w:evenVBand="0" w:oddHBand="1" w:evenHBand="0" w:firstRowFirstColumn="0" w:firstRowLastColumn="0" w:lastRowFirstColumn="0" w:lastRowLastColumn="0"/>
              <w:rPr>
                <w:sz w:val="20"/>
                <w:szCs w:val="18"/>
              </w:rPr>
            </w:pPr>
            <w:hyperlink r:id="rId478" w:history="1">
              <w:r w:rsidR="0040128D" w:rsidRPr="00B0484A">
                <w:rPr>
                  <w:rStyle w:val="Hyperlink"/>
                  <w:sz w:val="20"/>
                  <w:szCs w:val="18"/>
                </w:rPr>
                <w:t>https://technet.microsoft.com/library/hh831786</w:t>
              </w:r>
            </w:hyperlink>
          </w:p>
        </w:tc>
      </w:tr>
      <w:tr w:rsidR="00EC158B" w:rsidRPr="00B0484A" w14:paraId="07B774F3" w14:textId="77777777" w:rsidTr="00B0484A">
        <w:tc>
          <w:tcPr>
            <w:cnfStyle w:val="001000000000" w:firstRow="0" w:lastRow="0" w:firstColumn="1" w:lastColumn="0" w:oddVBand="0" w:evenVBand="0" w:oddHBand="0" w:evenHBand="0" w:firstRowFirstColumn="0" w:firstRowLastColumn="0" w:lastRowFirstColumn="0" w:lastRowLastColumn="0"/>
            <w:tcW w:w="3399" w:type="dxa"/>
          </w:tcPr>
          <w:p w14:paraId="42833D9F" w14:textId="10318897" w:rsidR="00EC158B" w:rsidRPr="00B0484A" w:rsidRDefault="00EC158B" w:rsidP="00B95516">
            <w:pPr>
              <w:spacing w:line="240" w:lineRule="auto"/>
              <w:rPr>
                <w:sz w:val="20"/>
                <w:szCs w:val="18"/>
              </w:rPr>
            </w:pPr>
            <w:r w:rsidRPr="00B0484A">
              <w:rPr>
                <w:sz w:val="20"/>
                <w:szCs w:val="18"/>
              </w:rPr>
              <w:t>Azure Virtual Machine Disk Encryption using CloudLink</w:t>
            </w:r>
          </w:p>
        </w:tc>
        <w:tc>
          <w:tcPr>
            <w:tcW w:w="5961" w:type="dxa"/>
          </w:tcPr>
          <w:p w14:paraId="3FDFCC90" w14:textId="060BE33C" w:rsidR="00EC158B" w:rsidRPr="00B0484A" w:rsidRDefault="00872E47" w:rsidP="00EC158B">
            <w:pPr>
              <w:cnfStyle w:val="000000000000" w:firstRow="0" w:lastRow="0" w:firstColumn="0" w:lastColumn="0" w:oddVBand="0" w:evenVBand="0" w:oddHBand="0" w:evenHBand="0" w:firstRowFirstColumn="0" w:firstRowLastColumn="0" w:lastRowFirstColumn="0" w:lastRowLastColumn="0"/>
              <w:rPr>
                <w:sz w:val="20"/>
              </w:rPr>
            </w:pPr>
            <w:hyperlink r:id="rId479" w:history="1">
              <w:r w:rsidR="00EC158B" w:rsidRPr="00B0484A">
                <w:rPr>
                  <w:rStyle w:val="Hyperlink"/>
                  <w:sz w:val="20"/>
                </w:rPr>
                <w:t>http://azure.microsoft.com/blog/2014/08/19/azure-virtual-machine-disk-encryption-using-cloudlink/</w:t>
              </w:r>
            </w:hyperlink>
          </w:p>
        </w:tc>
      </w:tr>
    </w:tbl>
    <w:p w14:paraId="61A18B37" w14:textId="38B9B7D9" w:rsidR="00B33BEC" w:rsidRDefault="00B33BEC" w:rsidP="005729D2">
      <w:pPr>
        <w:pStyle w:val="Heading3Numbered"/>
        <w:numPr>
          <w:ilvl w:val="2"/>
          <w:numId w:val="64"/>
        </w:numPr>
      </w:pPr>
      <w:bookmarkStart w:id="5829" w:name="_Toc417548355"/>
      <w:bookmarkStart w:id="5830" w:name="_Toc417594598"/>
      <w:bookmarkStart w:id="5831" w:name="_Toc417934726"/>
      <w:bookmarkStart w:id="5832" w:name="_Toc417936065"/>
      <w:bookmarkStart w:id="5833" w:name="_Toc417936527"/>
      <w:bookmarkStart w:id="5834" w:name="_Toc417946950"/>
      <w:bookmarkStart w:id="5835" w:name="_Toc417947419"/>
      <w:bookmarkStart w:id="5836" w:name="_Toc417982560"/>
      <w:bookmarkStart w:id="5837" w:name="_Toc417986014"/>
      <w:bookmarkStart w:id="5838" w:name="_Toc418000706"/>
      <w:bookmarkStart w:id="5839" w:name="_Toc418003878"/>
      <w:bookmarkStart w:id="5840" w:name="_Toc418012083"/>
      <w:bookmarkStart w:id="5841" w:name="_Toc418030101"/>
      <w:bookmarkStart w:id="5842" w:name="_Toc418036984"/>
      <w:bookmarkStart w:id="5843" w:name="_Toc418061457"/>
      <w:bookmarkStart w:id="5844" w:name="_Toc418081356"/>
      <w:bookmarkStart w:id="5845" w:name="_Toc418083388"/>
      <w:bookmarkStart w:id="5846" w:name="_Toc418096152"/>
      <w:bookmarkStart w:id="5847" w:name="_Toc418156754"/>
      <w:bookmarkStart w:id="5848" w:name="_Toc418167673"/>
      <w:bookmarkStart w:id="5849" w:name="_Toc418185929"/>
      <w:bookmarkStart w:id="5850" w:name="_Toc422941643"/>
      <w:bookmarkStart w:id="5851" w:name="_Toc423116849"/>
      <w:bookmarkStart w:id="5852" w:name="_Toc423117882"/>
      <w:bookmarkStart w:id="5853" w:name="_Toc423117332"/>
      <w:bookmarkStart w:id="5854" w:name="_Toc431288925"/>
      <w:bookmarkEnd w:id="5828"/>
      <w:r>
        <w:t>Deployment Considerations</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4A0DC793" w14:textId="45334BE5" w:rsidR="00345E40" w:rsidRPr="00345E40" w:rsidRDefault="00345E40" w:rsidP="00345E40">
      <w:r>
        <w:t xml:space="preserve">The following section walks through some considerations for deploying </w:t>
      </w:r>
      <w:r w:rsidR="00272808">
        <w:t>d</w:t>
      </w:r>
      <w:r>
        <w:t xml:space="preserve">omain </w:t>
      </w:r>
      <w:r w:rsidR="00272808">
        <w:t>c</w:t>
      </w:r>
      <w:r>
        <w:t>ontrollers on virtual machines in Azure.</w:t>
      </w:r>
    </w:p>
    <w:p w14:paraId="02A218E9" w14:textId="77777777" w:rsidR="00F463AE" w:rsidRDefault="00F463AE" w:rsidP="005729D2">
      <w:pPr>
        <w:pStyle w:val="Heading4Numbered"/>
        <w:numPr>
          <w:ilvl w:val="3"/>
          <w:numId w:val="64"/>
        </w:numPr>
      </w:pPr>
      <w:r>
        <w:t>Virtual Machine Sizing</w:t>
      </w:r>
    </w:p>
    <w:p w14:paraId="1B694CAD" w14:textId="66726313" w:rsidR="00272808" w:rsidRDefault="00345E40" w:rsidP="00272808">
      <w:r>
        <w:t>Active</w:t>
      </w:r>
      <w:r w:rsidR="00272808">
        <w:t xml:space="preserve"> Directory makes efficient use of the available memory in a domain controller, so one of the best ways to make sure that a domain controller is performing optimally is to provide enough memory to adequately cache the database. </w:t>
      </w:r>
    </w:p>
    <w:p w14:paraId="213583D9" w14:textId="31AF373B" w:rsidR="00345E40" w:rsidRDefault="00272808" w:rsidP="00272808">
      <w:r>
        <w:t>To support this, leverage the virtual machine profiles that have larger memory footprints. In particular, look into using the A5 virtual machine, which has a larger memory footprint, and fewer cores. A5 virtual machines tend to strike a good balance between performance and cost for domain controllers</w:t>
      </w:r>
      <w:r w:rsidR="00345E40">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345E40" w14:paraId="340D79FA" w14:textId="77777777" w:rsidTr="00D82A02">
        <w:trPr>
          <w:trHeight w:val="423"/>
        </w:trPr>
        <w:tc>
          <w:tcPr>
            <w:tcW w:w="666" w:type="dxa"/>
          </w:tcPr>
          <w:p w14:paraId="2ACA3D57" w14:textId="77777777" w:rsidR="00345E40" w:rsidRDefault="00345E40" w:rsidP="00D82A02">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554816" behindDoc="0" locked="0" layoutInCell="1" allowOverlap="1" wp14:anchorId="040D45BD" wp14:editId="030FEBC8">
                      <wp:simplePos x="0" y="0"/>
                      <wp:positionH relativeFrom="column">
                        <wp:posOffset>66675</wp:posOffset>
                      </wp:positionH>
                      <wp:positionV relativeFrom="paragraph">
                        <wp:posOffset>90170</wp:posOffset>
                      </wp:positionV>
                      <wp:extent cx="209550" cy="180975"/>
                      <wp:effectExtent l="57150" t="19050" r="57150" b="104775"/>
                      <wp:wrapNone/>
                      <wp:docPr id="830832937" name="Isosceles Triangle 8308329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715882B9" id="Isosceles Triangle 830832937" o:spid="_x0000_s1026" type="#_x0000_t5" style="position:absolute;margin-left:5.25pt;margin-top:7.1pt;width:16.5pt;height:14.25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UT/jgIAAH8FAAAOAAAAZHJzL2Uyb0RvYy54bWysVG1r2zAQ/j7YfxD6vtpOmjYxdUpoySiE&#10;tqwd/azIUmIm6zRJiZP9+p3kl3RdoTDmD0Lne+50L8/d1fWhVmQvrKtAFzQ7SykRmkNZ6U1Bvz8v&#10;v0wpcZ7pkinQoqBH4ej1/POnq8bkYgRbUKWwBJ1olzemoFvvTZ4kjm9FzdwZGKFRKcHWzKNoN0lp&#10;WYPea5WM0vQiacCWxgIXzuHf21ZJ59G/lIL7Bymd8EQVFGPz8bTxXIczmV+xfGOZ2Va8C4P9QxQ1&#10;qzQ+Ori6ZZ6Rna3+clVX3IID6c841AlIWXERc8BssvRNNk9bZkTMBYvjzFAm9//c8vv9oyVVWdDp&#10;OJ2OR7PxJSWa1diqOweOCyUcebYV0xslyAmDdWuMy9H8yTzakLkzK+A/HCqSPzRBcB3mIG0dsJg3&#10;OcQmHIcmiIMnHH+O0tlkgq3iqMqm6exyEpqUsLw3Ntb5rwJqEi4F9V1wsfxsv3K+hfewGBuoqlxW&#10;SkXBbtY3ypI9Q04s8UsjDfAFd4LFHNqwYwL+qEQwVvqbkFgvDDSLL0amisEf41xof9GFHNHBTOLb&#10;g+H4Y8MOH0xFZPFgPPrYeLCIL4P2g3FdabDvOVA+60KWLb7romvzDiVYQ3lEqlhoZ8gZvqywASvm&#10;/COzODTYM1wE/gEPqaApKHQ3SrZgf733P+CRy6ilpMEhLKj7uWNWUKLuNLJ8lp2fh6mNwvnkcoSC&#10;fa1Zv9boXX0D2NMMV47h8RrwXvVXaaF+wX2xCK+iimmObxeUe9sLN75dDrhxuFgsIgwn1TC/0k+G&#10;910P5Ho+vDBrehYife+hH1iWvyFiiw390LDYeZBVZOmprl29ccoj17uNFNbIazmiTntz/hs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MB1E/44CAA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2B9FFF2F" w14:textId="7EAEEE5B" w:rsidR="00345E40" w:rsidRDefault="00345E40" w:rsidP="001F65DC">
            <w:pPr>
              <w:rPr>
                <w:lang w:eastAsia="en-US"/>
              </w:rPr>
            </w:pPr>
            <w:r>
              <w:rPr>
                <w:rFonts w:eastAsiaTheme="minorHAnsi"/>
                <w:b/>
                <w:lang w:eastAsia="en-US"/>
              </w:rPr>
              <w:t xml:space="preserve">Recommended: </w:t>
            </w:r>
            <w:r>
              <w:rPr>
                <w:rFonts w:eastAsiaTheme="minorHAnsi"/>
                <w:lang w:eastAsia="en-US"/>
              </w:rPr>
              <w:t xml:space="preserve"> </w:t>
            </w:r>
            <w:r w:rsidR="00272808" w:rsidRPr="00272808">
              <w:t>Start out by using A5 virtual machines for domain controllers in Azure. If you need more memory in the domain controller for caching the database, consider using an A6 virtual machine</w:t>
            </w:r>
            <w:r>
              <w:t>.</w:t>
            </w:r>
          </w:p>
        </w:tc>
      </w:tr>
    </w:tbl>
    <w:p w14:paraId="1DDB7F58" w14:textId="5F6001BE" w:rsidR="001F65DC" w:rsidRDefault="001F65DC" w:rsidP="005729D2">
      <w:pPr>
        <w:pStyle w:val="Heading4Numbered"/>
        <w:numPr>
          <w:ilvl w:val="3"/>
          <w:numId w:val="64"/>
        </w:numPr>
      </w:pPr>
      <w:r>
        <w:t>Virtual Machine Roles</w:t>
      </w:r>
    </w:p>
    <w:p w14:paraId="71121FEF" w14:textId="14A2224A" w:rsidR="001F65DC" w:rsidRDefault="00272808" w:rsidP="00B33BEC">
      <w:r>
        <w:t>In addition to standard virtual machine roles, Azure provides Web and Worker roles for applications hosted on Azure PaaS. Web and Worker roles are not persistent, and they should not be used for domain controllers. Do not install domain controllers on Web or Worker roles</w:t>
      </w:r>
      <w:r w:rsidR="001F65DC">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1F65DC" w14:paraId="2527CDA3" w14:textId="77777777" w:rsidTr="00D82A02">
        <w:trPr>
          <w:trHeight w:val="423"/>
        </w:trPr>
        <w:tc>
          <w:tcPr>
            <w:tcW w:w="666" w:type="dxa"/>
          </w:tcPr>
          <w:p w14:paraId="5286CF02" w14:textId="77777777" w:rsidR="001F65DC" w:rsidRDefault="001F65DC" w:rsidP="00D82A02">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0308A11D" wp14:editId="14D4F854">
                      <wp:extent cx="200025" cy="180975"/>
                      <wp:effectExtent l="57150" t="19050" r="28575" b="104775"/>
                      <wp:docPr id="830832938" name="Octagon 830832938"/>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D6E1F5E" id="Octagon 830832938"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VCleAIAAFoFAAAOAAAAZHJzL2Uyb0RvYy54bWysVEtrGzEQvhf6H4TuzT7sNI7JOhgHl0JI&#10;QpOSs6yVbIFWo0qy1+6v70i7Xps0ECi9aGd23t88bm73jSY74bwCU9HiIqdEGA61MuuK/nxZfplQ&#10;4gMzNdNgREUPwtPb2edPN62dihI2oGvhCDoxftraim5CsNMs83wjGuYvwAqDQgmuYQFZt85qx1r0&#10;3uiszPOvWQuutg648B7/3nVCOkv+pRQ8PErpRSC6ophbSK9L7yq+2eyGTdeO2Y3ifRrsH7JomDIY&#10;dHB1xwIjW6f+ctUo7sCDDBccmgykVFykGrCaIn9TzfOGWZFqQXC8HWDy/88tf9g9OaLqik5G+WRU&#10;Xo+wYYY12KpHHtgaDDkJEKzW+inaPNsn13MeyVj5XromfrEmsk8AHwaAxT4Qjj+xY3l5SQlHUTHJ&#10;r68uYwOyk7F1PnwT0JBIVBS6FBKybHfvQ6d91IrhPGhVL5XWiXHr1UI7smPY7sUCo6UOY4AztSzW&#10;0GWdqHDQIhpr80NIhALzLFLENIRi8Mc4FyaUfcZJO5pJjD0Yjj427PWjqUgDOhiXHxsPFikymDAY&#10;N8qAe8+BDkWfsuz0EfCzuiO5gvqAU+CgWw9v+VIh/vfMhyfmcB9wc3DHwyM+UkOLjekpSjbgfr/3&#10;P+rjmKKUkhb3q6L+15Y5QYn+bnCAr4vxOC5kYsaXVyUy7lyyOpeYbbMA7GmB18TyREb9oI+kdNC8&#10;4imYx6goYoZj7Iry4I7MInR7j8eEi/k8qeESWhbuzbPlx67H4XrZvzJn+yEMOL0PcNxFNn0ziJ1u&#10;7IeB+TaAVGlKT7j2eOMCp1Hvj028EOd80jqdxNkfAA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BcFUKV4AgAAWg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18C05273" w14:textId="717BDC93" w:rsidR="001F65DC" w:rsidRDefault="001F65DC" w:rsidP="00272808">
            <w:pPr>
              <w:spacing w:after="240"/>
              <w:rPr>
                <w:lang w:eastAsia="en-US"/>
              </w:rPr>
            </w:pPr>
            <w:r w:rsidRPr="00192064">
              <w:rPr>
                <w:b/>
                <w:lang w:eastAsia="en-US"/>
              </w:rPr>
              <w:t>Mandatory</w:t>
            </w:r>
            <w:r>
              <w:rPr>
                <w:lang w:eastAsia="en-US"/>
              </w:rPr>
              <w:t xml:space="preserve">:  Do not use Web or Worker roles for </w:t>
            </w:r>
            <w:r w:rsidR="00272808">
              <w:rPr>
                <w:lang w:eastAsia="en-US"/>
              </w:rPr>
              <w:t>d</w:t>
            </w:r>
            <w:r>
              <w:rPr>
                <w:lang w:eastAsia="en-US"/>
              </w:rPr>
              <w:t xml:space="preserve">omain </w:t>
            </w:r>
            <w:r w:rsidR="00272808">
              <w:rPr>
                <w:lang w:eastAsia="en-US"/>
              </w:rPr>
              <w:t>c</w:t>
            </w:r>
            <w:r>
              <w:rPr>
                <w:lang w:eastAsia="en-US"/>
              </w:rPr>
              <w:t>ontrollers in Azure.</w:t>
            </w:r>
          </w:p>
        </w:tc>
      </w:tr>
    </w:tbl>
    <w:p w14:paraId="0D1AE748" w14:textId="27375D2F" w:rsidR="001F65DC" w:rsidRDefault="001F65DC" w:rsidP="005729D2">
      <w:pPr>
        <w:pStyle w:val="Heading4Numbered"/>
        <w:numPr>
          <w:ilvl w:val="3"/>
          <w:numId w:val="64"/>
        </w:numPr>
      </w:pPr>
      <w:r>
        <w:t>Getting Domain Controllers into Azure</w:t>
      </w:r>
    </w:p>
    <w:p w14:paraId="2B92BA0A" w14:textId="51D6B14C" w:rsidR="001F65DC" w:rsidRDefault="001F65DC" w:rsidP="00B33BEC">
      <w:r>
        <w:t>There</w:t>
      </w:r>
      <w:r w:rsidR="00272808">
        <w:t xml:space="preserve"> are multiple ways to deploy a domain controller into a given Azure subscription. The following table lists supported methods for deploying a domain controller in Azure IaaS</w:t>
      </w:r>
      <w:r>
        <w:t>:</w:t>
      </w:r>
    </w:p>
    <w:tbl>
      <w:tblPr>
        <w:tblStyle w:val="PlainTable11"/>
        <w:tblW w:w="0" w:type="auto"/>
        <w:tblLook w:val="0420" w:firstRow="1" w:lastRow="0" w:firstColumn="0" w:lastColumn="0" w:noHBand="0" w:noVBand="1"/>
      </w:tblPr>
      <w:tblGrid>
        <w:gridCol w:w="2695"/>
        <w:gridCol w:w="6570"/>
      </w:tblGrid>
      <w:tr w:rsidR="000129ED" w:rsidRPr="00B0484A" w14:paraId="12777BB7" w14:textId="77777777" w:rsidTr="00B0484A">
        <w:trPr>
          <w:cnfStyle w:val="100000000000" w:firstRow="1" w:lastRow="0" w:firstColumn="0" w:lastColumn="0" w:oddVBand="0" w:evenVBand="0" w:oddHBand="0" w:evenHBand="0" w:firstRowFirstColumn="0" w:firstRowLastColumn="0" w:lastRowFirstColumn="0" w:lastRowLastColumn="0"/>
        </w:trPr>
        <w:tc>
          <w:tcPr>
            <w:tcW w:w="2695" w:type="dxa"/>
            <w:shd w:val="clear" w:color="auto" w:fill="808080" w:themeFill="background1" w:themeFillShade="80"/>
            <w:hideMark/>
          </w:tcPr>
          <w:p w14:paraId="7E162722" w14:textId="77777777" w:rsidR="000129ED" w:rsidRPr="00B0484A" w:rsidRDefault="000129ED" w:rsidP="00EE645C">
            <w:pPr>
              <w:spacing w:line="240" w:lineRule="auto"/>
              <w:rPr>
                <w:rFonts w:eastAsia="Calibri"/>
                <w:bCs w:val="0"/>
                <w:color w:val="FFFFFF"/>
                <w:szCs w:val="20"/>
                <w:lang w:eastAsia="en-AU"/>
              </w:rPr>
            </w:pPr>
            <w:r w:rsidRPr="00B0484A">
              <w:rPr>
                <w:rFonts w:eastAsia="Calibri"/>
                <w:bCs w:val="0"/>
                <w:color w:val="FFFFFF"/>
                <w:szCs w:val="20"/>
                <w:lang w:eastAsia="en-AU"/>
              </w:rPr>
              <w:t>Method</w:t>
            </w:r>
          </w:p>
        </w:tc>
        <w:tc>
          <w:tcPr>
            <w:tcW w:w="6570" w:type="dxa"/>
            <w:shd w:val="clear" w:color="auto" w:fill="808080" w:themeFill="background1" w:themeFillShade="80"/>
            <w:hideMark/>
          </w:tcPr>
          <w:p w14:paraId="32E83CF6" w14:textId="77777777" w:rsidR="000129ED" w:rsidRPr="00B0484A" w:rsidRDefault="000129ED" w:rsidP="00EE645C">
            <w:pPr>
              <w:spacing w:line="240" w:lineRule="auto"/>
              <w:rPr>
                <w:rFonts w:eastAsia="Calibri"/>
                <w:bCs w:val="0"/>
                <w:color w:val="FFFFFF"/>
                <w:szCs w:val="20"/>
                <w:lang w:eastAsia="en-AU"/>
              </w:rPr>
            </w:pPr>
            <w:r w:rsidRPr="00B0484A">
              <w:rPr>
                <w:rFonts w:eastAsia="Calibri"/>
                <w:bCs w:val="0"/>
                <w:color w:val="FFFFFF"/>
                <w:szCs w:val="20"/>
                <w:lang w:eastAsia="en-AU"/>
              </w:rPr>
              <w:t>Description</w:t>
            </w:r>
          </w:p>
        </w:tc>
      </w:tr>
      <w:tr w:rsidR="005B5C9F" w14:paraId="67E3DF5B" w14:textId="77777777" w:rsidTr="00B0484A">
        <w:trPr>
          <w:cnfStyle w:val="000000100000" w:firstRow="0" w:lastRow="0" w:firstColumn="0" w:lastColumn="0" w:oddVBand="0" w:evenVBand="0" w:oddHBand="1" w:evenHBand="0" w:firstRowFirstColumn="0" w:firstRowLastColumn="0" w:lastRowFirstColumn="0" w:lastRowLastColumn="0"/>
        </w:trPr>
        <w:tc>
          <w:tcPr>
            <w:tcW w:w="2695" w:type="dxa"/>
          </w:tcPr>
          <w:p w14:paraId="0CD1E6DD" w14:textId="7FBC096D" w:rsidR="005B5C9F" w:rsidRPr="00570384" w:rsidRDefault="005B5C9F" w:rsidP="005B5C9F">
            <w:pPr>
              <w:rPr>
                <w:b/>
                <w:sz w:val="20"/>
                <w:szCs w:val="20"/>
              </w:rPr>
            </w:pPr>
            <w:r>
              <w:rPr>
                <w:b/>
                <w:sz w:val="20"/>
                <w:szCs w:val="20"/>
              </w:rPr>
              <w:t>Migrate from p</w:t>
            </w:r>
            <w:r w:rsidRPr="00467C1F">
              <w:rPr>
                <w:b/>
                <w:sz w:val="20"/>
                <w:szCs w:val="20"/>
              </w:rPr>
              <w:t xml:space="preserve">hysical </w:t>
            </w:r>
            <w:r>
              <w:rPr>
                <w:b/>
                <w:sz w:val="20"/>
                <w:szCs w:val="20"/>
              </w:rPr>
              <w:t xml:space="preserve">computer </w:t>
            </w:r>
            <w:r w:rsidRPr="00467C1F">
              <w:rPr>
                <w:b/>
                <w:sz w:val="20"/>
                <w:szCs w:val="20"/>
              </w:rPr>
              <w:t xml:space="preserve">to </w:t>
            </w:r>
            <w:r>
              <w:rPr>
                <w:b/>
                <w:sz w:val="20"/>
                <w:szCs w:val="20"/>
              </w:rPr>
              <w:t>v</w:t>
            </w:r>
            <w:r w:rsidRPr="00467C1F">
              <w:rPr>
                <w:b/>
                <w:sz w:val="20"/>
                <w:szCs w:val="20"/>
              </w:rPr>
              <w:t xml:space="preserve">irtual </w:t>
            </w:r>
            <w:r>
              <w:rPr>
                <w:b/>
                <w:sz w:val="20"/>
                <w:szCs w:val="20"/>
              </w:rPr>
              <w:t>machine</w:t>
            </w:r>
          </w:p>
        </w:tc>
        <w:tc>
          <w:tcPr>
            <w:tcW w:w="6570" w:type="dxa"/>
          </w:tcPr>
          <w:p w14:paraId="25770840" w14:textId="77777777" w:rsidR="005B5C9F" w:rsidRDefault="005B5C9F" w:rsidP="005B5C9F">
            <w:pPr>
              <w:rPr>
                <w:sz w:val="20"/>
                <w:szCs w:val="20"/>
              </w:rPr>
            </w:pPr>
            <w:r w:rsidRPr="00467C1F">
              <w:rPr>
                <w:sz w:val="20"/>
                <w:szCs w:val="20"/>
              </w:rPr>
              <w:t xml:space="preserve">A P2V solution, such as System Center Virtual Machine Manager, can be used to convert a physical </w:t>
            </w:r>
            <w:r>
              <w:rPr>
                <w:sz w:val="20"/>
                <w:szCs w:val="20"/>
              </w:rPr>
              <w:t>d</w:t>
            </w:r>
            <w:r w:rsidRPr="00467C1F">
              <w:rPr>
                <w:sz w:val="20"/>
                <w:szCs w:val="20"/>
              </w:rPr>
              <w:t xml:space="preserve">omain </w:t>
            </w:r>
            <w:r>
              <w:rPr>
                <w:sz w:val="20"/>
                <w:szCs w:val="20"/>
              </w:rPr>
              <w:t>c</w:t>
            </w:r>
            <w:r w:rsidRPr="00467C1F">
              <w:rPr>
                <w:sz w:val="20"/>
                <w:szCs w:val="20"/>
              </w:rPr>
              <w:t xml:space="preserve">ontroller on-premises to a virtual machine that can be imported into Azure. </w:t>
            </w:r>
          </w:p>
          <w:p w14:paraId="6B92556B" w14:textId="62844DB3" w:rsidR="005B5C9F" w:rsidRPr="008434C5" w:rsidRDefault="005B5C9F" w:rsidP="005B5C9F">
            <w:pPr>
              <w:rPr>
                <w:sz w:val="20"/>
                <w:szCs w:val="20"/>
              </w:rPr>
            </w:pPr>
            <w:r w:rsidRPr="00467C1F">
              <w:rPr>
                <w:sz w:val="20"/>
                <w:szCs w:val="20"/>
              </w:rPr>
              <w:t xml:space="preserve">When doing so, the on-premises </w:t>
            </w:r>
            <w:r>
              <w:rPr>
                <w:sz w:val="20"/>
                <w:szCs w:val="20"/>
              </w:rPr>
              <w:t>d</w:t>
            </w:r>
            <w:r w:rsidRPr="00467C1F">
              <w:rPr>
                <w:sz w:val="20"/>
                <w:szCs w:val="20"/>
              </w:rPr>
              <w:t xml:space="preserve">omain </w:t>
            </w:r>
            <w:r>
              <w:rPr>
                <w:sz w:val="20"/>
                <w:szCs w:val="20"/>
              </w:rPr>
              <w:t>c</w:t>
            </w:r>
            <w:r w:rsidRPr="00467C1F">
              <w:rPr>
                <w:sz w:val="20"/>
                <w:szCs w:val="20"/>
              </w:rPr>
              <w:t xml:space="preserve">ontroller must be shut down and not turned on prior to the virtualized </w:t>
            </w:r>
            <w:r>
              <w:rPr>
                <w:sz w:val="20"/>
                <w:szCs w:val="20"/>
              </w:rPr>
              <w:t>d</w:t>
            </w:r>
            <w:r w:rsidRPr="00467C1F">
              <w:rPr>
                <w:sz w:val="20"/>
                <w:szCs w:val="20"/>
              </w:rPr>
              <w:t xml:space="preserve">omain </w:t>
            </w:r>
            <w:r>
              <w:rPr>
                <w:sz w:val="20"/>
                <w:szCs w:val="20"/>
              </w:rPr>
              <w:t>c</w:t>
            </w:r>
            <w:r w:rsidRPr="00467C1F">
              <w:rPr>
                <w:sz w:val="20"/>
                <w:szCs w:val="20"/>
              </w:rPr>
              <w:t>ontroller being started in Azure.</w:t>
            </w:r>
          </w:p>
        </w:tc>
      </w:tr>
      <w:tr w:rsidR="005B5C9F" w14:paraId="6687D8F9" w14:textId="77777777" w:rsidTr="00B0484A">
        <w:tc>
          <w:tcPr>
            <w:tcW w:w="2695" w:type="dxa"/>
          </w:tcPr>
          <w:p w14:paraId="2BFC9F12" w14:textId="56DE9B8D" w:rsidR="005B5C9F" w:rsidRPr="00570384" w:rsidRDefault="005B5C9F" w:rsidP="005B5C9F">
            <w:pPr>
              <w:rPr>
                <w:b/>
                <w:sz w:val="20"/>
                <w:szCs w:val="20"/>
              </w:rPr>
            </w:pPr>
            <w:r w:rsidRPr="00467C1F">
              <w:rPr>
                <w:b/>
                <w:sz w:val="20"/>
                <w:szCs w:val="20"/>
              </w:rPr>
              <w:t xml:space="preserve">Move </w:t>
            </w:r>
            <w:r>
              <w:rPr>
                <w:b/>
                <w:sz w:val="20"/>
                <w:szCs w:val="20"/>
              </w:rPr>
              <w:t>an e</w:t>
            </w:r>
            <w:r w:rsidRPr="00467C1F">
              <w:rPr>
                <w:b/>
                <w:sz w:val="20"/>
                <w:szCs w:val="20"/>
              </w:rPr>
              <w:t xml:space="preserve">xisting </w:t>
            </w:r>
            <w:r>
              <w:rPr>
                <w:b/>
                <w:sz w:val="20"/>
                <w:szCs w:val="20"/>
              </w:rPr>
              <w:t>v</w:t>
            </w:r>
            <w:r w:rsidRPr="00467C1F">
              <w:rPr>
                <w:b/>
                <w:sz w:val="20"/>
                <w:szCs w:val="20"/>
              </w:rPr>
              <w:t xml:space="preserve">irtual </w:t>
            </w:r>
            <w:r>
              <w:rPr>
                <w:b/>
                <w:sz w:val="20"/>
                <w:szCs w:val="20"/>
              </w:rPr>
              <w:t>domain controller</w:t>
            </w:r>
          </w:p>
        </w:tc>
        <w:tc>
          <w:tcPr>
            <w:tcW w:w="6570" w:type="dxa"/>
          </w:tcPr>
          <w:p w14:paraId="156F366E" w14:textId="35196B64" w:rsidR="005B5C9F" w:rsidRPr="008434C5" w:rsidRDefault="005B5C9F" w:rsidP="005B5C9F">
            <w:pPr>
              <w:rPr>
                <w:sz w:val="20"/>
                <w:szCs w:val="20"/>
              </w:rPr>
            </w:pPr>
            <w:r w:rsidRPr="00467C1F">
              <w:rPr>
                <w:sz w:val="20"/>
                <w:szCs w:val="20"/>
              </w:rPr>
              <w:t xml:space="preserve">If customers have </w:t>
            </w:r>
            <w:r>
              <w:rPr>
                <w:sz w:val="20"/>
                <w:szCs w:val="20"/>
              </w:rPr>
              <w:t>d</w:t>
            </w:r>
            <w:r w:rsidRPr="00467C1F">
              <w:rPr>
                <w:sz w:val="20"/>
                <w:szCs w:val="20"/>
              </w:rPr>
              <w:t xml:space="preserve">omain </w:t>
            </w:r>
            <w:r>
              <w:rPr>
                <w:sz w:val="20"/>
                <w:szCs w:val="20"/>
              </w:rPr>
              <w:t>c</w:t>
            </w:r>
            <w:r w:rsidRPr="00467C1F">
              <w:rPr>
                <w:sz w:val="20"/>
                <w:szCs w:val="20"/>
              </w:rPr>
              <w:t xml:space="preserve">ontrollers in Hyper-V, those virtual hard disks can be moved and </w:t>
            </w:r>
            <w:r>
              <w:rPr>
                <w:sz w:val="20"/>
                <w:szCs w:val="20"/>
              </w:rPr>
              <w:t xml:space="preserve">directly </w:t>
            </w:r>
            <w:r w:rsidRPr="00467C1F">
              <w:rPr>
                <w:sz w:val="20"/>
                <w:szCs w:val="20"/>
              </w:rPr>
              <w:t>attached to an Azure virtual machine.</w:t>
            </w:r>
          </w:p>
        </w:tc>
      </w:tr>
      <w:tr w:rsidR="005B5C9F" w14:paraId="7E8BFE03" w14:textId="77777777" w:rsidTr="00B0484A">
        <w:trPr>
          <w:cnfStyle w:val="000000100000" w:firstRow="0" w:lastRow="0" w:firstColumn="0" w:lastColumn="0" w:oddVBand="0" w:evenVBand="0" w:oddHBand="1" w:evenHBand="0" w:firstRowFirstColumn="0" w:firstRowLastColumn="0" w:lastRowFirstColumn="0" w:lastRowLastColumn="0"/>
        </w:trPr>
        <w:tc>
          <w:tcPr>
            <w:tcW w:w="2695" w:type="dxa"/>
          </w:tcPr>
          <w:p w14:paraId="049BBF72" w14:textId="5BC35403" w:rsidR="005B5C9F" w:rsidRPr="00570384" w:rsidRDefault="005B5C9F" w:rsidP="005B5C9F">
            <w:pPr>
              <w:rPr>
                <w:b/>
                <w:sz w:val="20"/>
                <w:szCs w:val="20"/>
              </w:rPr>
            </w:pPr>
            <w:r w:rsidRPr="00467C1F">
              <w:rPr>
                <w:b/>
                <w:sz w:val="20"/>
                <w:szCs w:val="20"/>
              </w:rPr>
              <w:t xml:space="preserve">Build a </w:t>
            </w:r>
            <w:r>
              <w:rPr>
                <w:b/>
                <w:sz w:val="20"/>
                <w:szCs w:val="20"/>
              </w:rPr>
              <w:t>n</w:t>
            </w:r>
            <w:r w:rsidRPr="00467C1F">
              <w:rPr>
                <w:b/>
                <w:sz w:val="20"/>
                <w:szCs w:val="20"/>
              </w:rPr>
              <w:t xml:space="preserve">ew </w:t>
            </w:r>
            <w:r>
              <w:rPr>
                <w:b/>
                <w:sz w:val="20"/>
                <w:szCs w:val="20"/>
              </w:rPr>
              <w:t>domain controller</w:t>
            </w:r>
            <w:r w:rsidRPr="00467C1F">
              <w:rPr>
                <w:b/>
                <w:sz w:val="20"/>
                <w:szCs w:val="20"/>
              </w:rPr>
              <w:t xml:space="preserve"> and </w:t>
            </w:r>
            <w:r>
              <w:rPr>
                <w:b/>
                <w:sz w:val="20"/>
                <w:szCs w:val="20"/>
              </w:rPr>
              <w:t>r</w:t>
            </w:r>
            <w:r w:rsidRPr="00467C1F">
              <w:rPr>
                <w:b/>
                <w:sz w:val="20"/>
                <w:szCs w:val="20"/>
              </w:rPr>
              <w:t xml:space="preserve">eplicate from </w:t>
            </w:r>
            <w:r>
              <w:rPr>
                <w:b/>
                <w:sz w:val="20"/>
                <w:szCs w:val="20"/>
              </w:rPr>
              <w:t>o</w:t>
            </w:r>
            <w:r w:rsidRPr="00467C1F">
              <w:rPr>
                <w:b/>
                <w:sz w:val="20"/>
                <w:szCs w:val="20"/>
              </w:rPr>
              <w:t>n-</w:t>
            </w:r>
            <w:r>
              <w:rPr>
                <w:b/>
                <w:sz w:val="20"/>
                <w:szCs w:val="20"/>
              </w:rPr>
              <w:t>p</w:t>
            </w:r>
            <w:r w:rsidRPr="00467C1F">
              <w:rPr>
                <w:b/>
                <w:sz w:val="20"/>
                <w:szCs w:val="20"/>
              </w:rPr>
              <w:t>remises</w:t>
            </w:r>
          </w:p>
        </w:tc>
        <w:tc>
          <w:tcPr>
            <w:tcW w:w="6570" w:type="dxa"/>
          </w:tcPr>
          <w:p w14:paraId="5948C29E" w14:textId="77777777" w:rsidR="005B5C9F" w:rsidRDefault="005B5C9F" w:rsidP="005B5C9F">
            <w:pPr>
              <w:rPr>
                <w:sz w:val="20"/>
                <w:szCs w:val="20"/>
              </w:rPr>
            </w:pPr>
            <w:r w:rsidRPr="00467C1F">
              <w:rPr>
                <w:sz w:val="20"/>
                <w:szCs w:val="20"/>
              </w:rPr>
              <w:t>Th</w:t>
            </w:r>
            <w:r>
              <w:rPr>
                <w:sz w:val="20"/>
                <w:szCs w:val="20"/>
              </w:rPr>
              <w:t>is</w:t>
            </w:r>
            <w:r w:rsidRPr="00467C1F">
              <w:rPr>
                <w:sz w:val="20"/>
                <w:szCs w:val="20"/>
              </w:rPr>
              <w:t xml:space="preserve"> traditional approach works well for Azure, also.</w:t>
            </w:r>
            <w:r>
              <w:rPr>
                <w:sz w:val="20"/>
                <w:szCs w:val="20"/>
              </w:rPr>
              <w:t xml:space="preserve"> </w:t>
            </w:r>
            <w:r w:rsidRPr="00467C1F">
              <w:rPr>
                <w:sz w:val="20"/>
                <w:szCs w:val="20"/>
              </w:rPr>
              <w:t xml:space="preserve">A new virtual machine </w:t>
            </w:r>
            <w:r>
              <w:rPr>
                <w:sz w:val="20"/>
                <w:szCs w:val="20"/>
              </w:rPr>
              <w:t>is</w:t>
            </w:r>
            <w:r w:rsidRPr="00467C1F">
              <w:rPr>
                <w:sz w:val="20"/>
                <w:szCs w:val="20"/>
              </w:rPr>
              <w:t xml:space="preserve"> created in Azure, and then promoted to a </w:t>
            </w:r>
            <w:r>
              <w:rPr>
                <w:sz w:val="20"/>
                <w:szCs w:val="20"/>
              </w:rPr>
              <w:t>d</w:t>
            </w:r>
            <w:r w:rsidRPr="00467C1F">
              <w:rPr>
                <w:sz w:val="20"/>
                <w:szCs w:val="20"/>
              </w:rPr>
              <w:t xml:space="preserve">omain </w:t>
            </w:r>
            <w:r>
              <w:rPr>
                <w:sz w:val="20"/>
                <w:szCs w:val="20"/>
              </w:rPr>
              <w:t>c</w:t>
            </w:r>
            <w:r w:rsidRPr="00467C1F">
              <w:rPr>
                <w:sz w:val="20"/>
                <w:szCs w:val="20"/>
              </w:rPr>
              <w:t xml:space="preserve">ontroller </w:t>
            </w:r>
            <w:r>
              <w:rPr>
                <w:sz w:val="20"/>
                <w:szCs w:val="20"/>
              </w:rPr>
              <w:t>when</w:t>
            </w:r>
            <w:r w:rsidRPr="00467C1F">
              <w:rPr>
                <w:sz w:val="20"/>
                <w:szCs w:val="20"/>
              </w:rPr>
              <w:t xml:space="preserve"> connectivity to the on-premises network is established. </w:t>
            </w:r>
          </w:p>
          <w:p w14:paraId="575F14B8" w14:textId="77777777" w:rsidR="005B5C9F" w:rsidRDefault="005B5C9F" w:rsidP="005B5C9F">
            <w:pPr>
              <w:rPr>
                <w:sz w:val="20"/>
                <w:szCs w:val="20"/>
              </w:rPr>
            </w:pPr>
            <w:r w:rsidRPr="00467C1F">
              <w:rPr>
                <w:sz w:val="20"/>
                <w:szCs w:val="20"/>
              </w:rPr>
              <w:t xml:space="preserve">If this is the first </w:t>
            </w:r>
            <w:r>
              <w:rPr>
                <w:sz w:val="20"/>
                <w:szCs w:val="20"/>
              </w:rPr>
              <w:t>d</w:t>
            </w:r>
            <w:r w:rsidRPr="00467C1F">
              <w:rPr>
                <w:sz w:val="20"/>
                <w:szCs w:val="20"/>
              </w:rPr>
              <w:t xml:space="preserve">omain </w:t>
            </w:r>
            <w:r>
              <w:rPr>
                <w:sz w:val="20"/>
                <w:szCs w:val="20"/>
              </w:rPr>
              <w:t>c</w:t>
            </w:r>
            <w:r w:rsidRPr="00467C1F">
              <w:rPr>
                <w:sz w:val="20"/>
                <w:szCs w:val="20"/>
              </w:rPr>
              <w:t xml:space="preserve">ontroller in Azure, the Active Directory data will be replicated over the WAN. </w:t>
            </w:r>
            <w:r>
              <w:rPr>
                <w:sz w:val="20"/>
                <w:szCs w:val="20"/>
              </w:rPr>
              <w:t>O</w:t>
            </w:r>
            <w:r w:rsidRPr="00467C1F">
              <w:rPr>
                <w:sz w:val="20"/>
                <w:szCs w:val="20"/>
              </w:rPr>
              <w:t xml:space="preserve">nly egress traffic has a charge, </w:t>
            </w:r>
            <w:r>
              <w:rPr>
                <w:sz w:val="20"/>
                <w:szCs w:val="20"/>
              </w:rPr>
              <w:t xml:space="preserve">so </w:t>
            </w:r>
            <w:r w:rsidRPr="00467C1F">
              <w:rPr>
                <w:sz w:val="20"/>
                <w:szCs w:val="20"/>
              </w:rPr>
              <w:t xml:space="preserve">this should have minimal impact on networking cost. </w:t>
            </w:r>
          </w:p>
          <w:p w14:paraId="660C3CF9" w14:textId="75AAB134" w:rsidR="005B5C9F" w:rsidRPr="008434C5" w:rsidRDefault="005B5C9F" w:rsidP="005B5C9F">
            <w:pPr>
              <w:rPr>
                <w:sz w:val="20"/>
                <w:szCs w:val="20"/>
              </w:rPr>
            </w:pPr>
            <w:r w:rsidRPr="00467C1F">
              <w:rPr>
                <w:sz w:val="20"/>
                <w:szCs w:val="20"/>
              </w:rPr>
              <w:t>The Install from Media (IFM) option is also available as an alternative to downloading the A</w:t>
            </w:r>
            <w:r>
              <w:rPr>
                <w:sz w:val="20"/>
                <w:szCs w:val="20"/>
              </w:rPr>
              <w:t xml:space="preserve">ctive </w:t>
            </w:r>
            <w:r w:rsidRPr="00467C1F">
              <w:rPr>
                <w:sz w:val="20"/>
                <w:szCs w:val="20"/>
              </w:rPr>
              <w:t>D</w:t>
            </w:r>
            <w:r>
              <w:rPr>
                <w:sz w:val="20"/>
                <w:szCs w:val="20"/>
              </w:rPr>
              <w:t>irectory</w:t>
            </w:r>
            <w:r w:rsidRPr="00467C1F">
              <w:rPr>
                <w:sz w:val="20"/>
                <w:szCs w:val="20"/>
              </w:rPr>
              <w:t xml:space="preserve"> database over the WAN connection.</w:t>
            </w:r>
          </w:p>
        </w:tc>
      </w:tr>
      <w:tr w:rsidR="005B5C9F" w14:paraId="0BAF8FD8" w14:textId="77777777" w:rsidTr="00B0484A">
        <w:tc>
          <w:tcPr>
            <w:tcW w:w="2695" w:type="dxa"/>
          </w:tcPr>
          <w:p w14:paraId="5B9CA5F6" w14:textId="7EC85E95" w:rsidR="005B5C9F" w:rsidRPr="00570384" w:rsidRDefault="005B5C9F" w:rsidP="005B5C9F">
            <w:pPr>
              <w:rPr>
                <w:b/>
                <w:sz w:val="20"/>
                <w:szCs w:val="20"/>
              </w:rPr>
            </w:pPr>
            <w:r>
              <w:rPr>
                <w:b/>
                <w:sz w:val="20"/>
                <w:szCs w:val="20"/>
              </w:rPr>
              <w:t>Clone a d</w:t>
            </w:r>
            <w:r w:rsidRPr="00467C1F">
              <w:rPr>
                <w:b/>
                <w:sz w:val="20"/>
                <w:szCs w:val="20"/>
              </w:rPr>
              <w:t xml:space="preserve">omain </w:t>
            </w:r>
            <w:r>
              <w:rPr>
                <w:b/>
                <w:sz w:val="20"/>
                <w:szCs w:val="20"/>
              </w:rPr>
              <w:t>c</w:t>
            </w:r>
            <w:r w:rsidRPr="00467C1F">
              <w:rPr>
                <w:b/>
                <w:sz w:val="20"/>
                <w:szCs w:val="20"/>
              </w:rPr>
              <w:t>ontroller</w:t>
            </w:r>
          </w:p>
        </w:tc>
        <w:tc>
          <w:tcPr>
            <w:tcW w:w="6570" w:type="dxa"/>
          </w:tcPr>
          <w:p w14:paraId="2397A55C" w14:textId="4FD1440B" w:rsidR="005B5C9F" w:rsidRPr="008434C5" w:rsidRDefault="005B5C9F" w:rsidP="005B5C9F">
            <w:pPr>
              <w:rPr>
                <w:sz w:val="20"/>
                <w:szCs w:val="20"/>
              </w:rPr>
            </w:pPr>
            <w:r>
              <w:rPr>
                <w:sz w:val="20"/>
                <w:szCs w:val="20"/>
              </w:rPr>
              <w:t>Because</w:t>
            </w:r>
            <w:r w:rsidRPr="00467C1F">
              <w:rPr>
                <w:sz w:val="20"/>
                <w:szCs w:val="20"/>
              </w:rPr>
              <w:t xml:space="preserve"> Azure supports the VMGenerationID feature, </w:t>
            </w:r>
            <w:r>
              <w:rPr>
                <w:sz w:val="20"/>
                <w:szCs w:val="20"/>
              </w:rPr>
              <w:t>d</w:t>
            </w:r>
            <w:r w:rsidRPr="00467C1F">
              <w:rPr>
                <w:sz w:val="20"/>
                <w:szCs w:val="20"/>
              </w:rPr>
              <w:t xml:space="preserve">omain </w:t>
            </w:r>
            <w:r>
              <w:rPr>
                <w:sz w:val="20"/>
                <w:szCs w:val="20"/>
              </w:rPr>
              <w:t>c</w:t>
            </w:r>
            <w:r w:rsidRPr="00467C1F">
              <w:rPr>
                <w:sz w:val="20"/>
                <w:szCs w:val="20"/>
              </w:rPr>
              <w:t xml:space="preserve">ontrollers on-premises can be cloned and imported in Azure. This is a quick way to get a </w:t>
            </w:r>
            <w:r>
              <w:rPr>
                <w:sz w:val="20"/>
                <w:szCs w:val="20"/>
              </w:rPr>
              <w:t>d</w:t>
            </w:r>
            <w:r w:rsidRPr="00467C1F">
              <w:rPr>
                <w:sz w:val="20"/>
                <w:szCs w:val="20"/>
              </w:rPr>
              <w:t xml:space="preserve">omain </w:t>
            </w:r>
            <w:r>
              <w:rPr>
                <w:sz w:val="20"/>
                <w:szCs w:val="20"/>
              </w:rPr>
              <w:t>c</w:t>
            </w:r>
            <w:r w:rsidRPr="00467C1F">
              <w:rPr>
                <w:sz w:val="20"/>
                <w:szCs w:val="20"/>
              </w:rPr>
              <w:t>ontroller deployed in Azure.</w:t>
            </w:r>
          </w:p>
        </w:tc>
      </w:tr>
    </w:tbl>
    <w:p w14:paraId="4F540A7A" w14:textId="2309B2A5" w:rsidR="00B628CF" w:rsidRPr="00B33BEC" w:rsidRDefault="00B628CF" w:rsidP="00245B70">
      <w:pPr>
        <w:pStyle w:val="ListBullet"/>
        <w:ind w:left="0" w:firstLine="0"/>
      </w:pPr>
      <w:bookmarkStart w:id="5855" w:name="_Toc417548356"/>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B34C09" w14:paraId="6A5731AD" w14:textId="77777777" w:rsidTr="00015543">
        <w:trPr>
          <w:trHeight w:val="423"/>
        </w:trPr>
        <w:tc>
          <w:tcPr>
            <w:tcW w:w="666" w:type="dxa"/>
          </w:tcPr>
          <w:bookmarkStart w:id="5856" w:name="_Toc417594599"/>
          <w:p w14:paraId="76D44A67" w14:textId="77777777" w:rsidR="00B34C09" w:rsidRDefault="00B34C09" w:rsidP="00015543">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2E19AAB1" wp14:editId="4947697C">
                      <wp:extent cx="200025" cy="180975"/>
                      <wp:effectExtent l="57150" t="19050" r="28575" b="104775"/>
                      <wp:docPr id="1546650203" name="Octagon 1546650203"/>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03AB90B" id="Octagon 1546650203"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UqMeAIAAFwFAAAOAAAAZHJzL2Uyb0RvYy54bWysVFlrGzEQfi/0Pwi9N3vEzmG8DsYhpRCS&#10;kKTkWdZK9oKkUSXZa/fXd6Rdr00aCJS+aGd27m+O6c1OK7IVzjdgKlqc5ZQIw6FuzKqiP1/vvl1R&#10;4gMzNVNgREX3wtOb2dcv09ZORAlrULVwBJ0YP2ltRdch2EmWeb4WmvkzsMKgUILTLCDrVlntWIve&#10;tcrKPL/IWnC1dcCF9/j3thPSWfIvpeDhUUovAlEVxdxCel16l/HNZlM2WTlm1w3v02D/kIVmjcGg&#10;g6tbFhjZuOYvV7rhDjzIcMZBZyBlw0WqAasp8nfVvKyZFakWBMfbASb//9zyh+2TI02NvRuPLi7G&#10;eZmfU2KYxl498sBWYMiJBOFqrZ+g1Yt9cj3nkYy176TT8YtVkV2CeD9ALHaBcPyJPcvLMSUcRcVV&#10;fn05ji3IjsbW+fBdgCaRqCh0OSRs2fbeh077oBXDeVBNfdcolRi3Wi6UI1uGDV8sMFrqMQY4Ucti&#10;DV3WiQp7JaKxMs9CIhiYZ5EipjEUgz/GuTCh7DNO2tFMYuzB8Pxzw14/moo0ooNx+bnxYJEigwmD&#10;sW4MuI8cqFD0KctOHwE/qTuSS6j3OAcOugXxlt81iP898+GJOdwI3B3c8vCIj1TQYmN6ipI1uN8f&#10;/Y/6OKgopaTFDauo/7VhTlCifhgc4etiNIormZjR+LJExp1KlqcSs9ELwJ4WeE8sT2TUD+pASgf6&#10;DY/BPEZFETMcY1eUB3dgFqHbfDwnXMznSQ3X0LJwb14sP3Q9Dtfr7o052w9hwOl9gMM2ssm7Qex0&#10;Yz8MzDcBZJOm9IhrjzeucBr1/tzEG3HKJ63jUZz9AQ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NA9Sox4AgAAXA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49375225" w14:textId="772C239C" w:rsidR="00B34C09" w:rsidRDefault="00B34C09" w:rsidP="00B34C09">
            <w:pPr>
              <w:spacing w:after="240"/>
              <w:rPr>
                <w:lang w:eastAsia="en-US"/>
              </w:rPr>
            </w:pPr>
            <w:r w:rsidRPr="00192064">
              <w:rPr>
                <w:b/>
                <w:lang w:eastAsia="en-US"/>
              </w:rPr>
              <w:t>Mandatory</w:t>
            </w:r>
            <w:r>
              <w:rPr>
                <w:lang w:eastAsia="en-US"/>
              </w:rPr>
              <w:t xml:space="preserve">:  </w:t>
            </w:r>
            <w:r w:rsidR="005B5C9F">
              <w:rPr>
                <w:lang w:eastAsia="en-US"/>
              </w:rPr>
              <w:t>Protect all copies of domain controller VHDs by using good security practices, including backup and temporary copies</w:t>
            </w:r>
            <w:r>
              <w:rPr>
                <w:lang w:eastAsia="en-US"/>
              </w:rPr>
              <w:t xml:space="preserve">. </w:t>
            </w:r>
          </w:p>
        </w:tc>
      </w:tr>
    </w:tbl>
    <w:p w14:paraId="48B4A4ED" w14:textId="77777777" w:rsidR="00B34C09" w:rsidRPr="00B33BEC" w:rsidRDefault="00B34C09" w:rsidP="00B34C09">
      <w:pPr>
        <w:pStyle w:val="ListBullet"/>
        <w:ind w:left="0" w:firstLine="0"/>
      </w:pPr>
    </w:p>
    <w:p w14:paraId="77281E29" w14:textId="6D8DC221" w:rsidR="00B33BEC" w:rsidRDefault="00B33BEC" w:rsidP="005729D2">
      <w:pPr>
        <w:pStyle w:val="Heading3Numbered"/>
        <w:numPr>
          <w:ilvl w:val="2"/>
          <w:numId w:val="64"/>
        </w:numPr>
      </w:pPr>
      <w:bookmarkStart w:id="5857" w:name="_Toc417934727"/>
      <w:bookmarkStart w:id="5858" w:name="_Toc417936066"/>
      <w:bookmarkStart w:id="5859" w:name="_Toc417936528"/>
      <w:bookmarkStart w:id="5860" w:name="_Toc417946951"/>
      <w:bookmarkStart w:id="5861" w:name="_Toc417947420"/>
      <w:bookmarkStart w:id="5862" w:name="_Toc417982561"/>
      <w:bookmarkStart w:id="5863" w:name="_Toc417986015"/>
      <w:bookmarkStart w:id="5864" w:name="_Toc418000707"/>
      <w:bookmarkStart w:id="5865" w:name="_Toc418003879"/>
      <w:bookmarkStart w:id="5866" w:name="_Toc418012084"/>
      <w:bookmarkStart w:id="5867" w:name="_Toc418014497"/>
      <w:bookmarkStart w:id="5868" w:name="_Toc418030102"/>
      <w:bookmarkStart w:id="5869" w:name="_Toc418036985"/>
      <w:bookmarkStart w:id="5870" w:name="_Toc418061458"/>
      <w:bookmarkStart w:id="5871" w:name="_Toc418081357"/>
      <w:bookmarkStart w:id="5872" w:name="_Toc418083389"/>
      <w:bookmarkStart w:id="5873" w:name="_Toc418096153"/>
      <w:bookmarkStart w:id="5874" w:name="_Toc418156755"/>
      <w:bookmarkStart w:id="5875" w:name="_Toc418167674"/>
      <w:bookmarkStart w:id="5876" w:name="_Toc418185930"/>
      <w:bookmarkStart w:id="5877" w:name="_Toc422941644"/>
      <w:bookmarkStart w:id="5878" w:name="_Toc423116850"/>
      <w:bookmarkStart w:id="5879" w:name="_Toc423117883"/>
      <w:bookmarkStart w:id="5880" w:name="_Toc423117333"/>
      <w:bookmarkStart w:id="5881" w:name="_Toc431288926"/>
      <w:r>
        <w:t>Administrative Considerations</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62240079" w14:textId="64AD74AF" w:rsidR="00145099" w:rsidRPr="00145099" w:rsidRDefault="00145099" w:rsidP="00145099">
      <w:r>
        <w:t>For</w:t>
      </w:r>
      <w:r w:rsidR="005B5C9F">
        <w:t xml:space="preserve"> the most part, managing domain controllers in Azure is similar to managing domain controllers on-premises. However, there are some specific things that Active Directory administrators need to be aware of. This section outlines those considerations and recommendations for Active Directory administrators</w:t>
      </w:r>
      <w:r>
        <w:t>.</w:t>
      </w:r>
    </w:p>
    <w:p w14:paraId="3C2891F0" w14:textId="77777777" w:rsidR="00F463AE" w:rsidRDefault="00F463AE" w:rsidP="005729D2">
      <w:pPr>
        <w:pStyle w:val="Heading4Numbered"/>
        <w:numPr>
          <w:ilvl w:val="3"/>
          <w:numId w:val="64"/>
        </w:numPr>
      </w:pPr>
      <w:r>
        <w:t>Virtualization Safe Domain Controllers</w:t>
      </w:r>
    </w:p>
    <w:p w14:paraId="7C3D24A5" w14:textId="187F8DF0" w:rsidR="005B5C9F" w:rsidRDefault="00F463AE" w:rsidP="005B5C9F">
      <w:r>
        <w:t>Active</w:t>
      </w:r>
      <w:r w:rsidR="005B5C9F">
        <w:t xml:space="preserve"> Directory leverages time stamps for replication, and it expects that time will only move forward. There is a particular issue that occurs when an old snapshot of a domain controller is introduced—this is called USN rollback. A USN rollback occurs when there is a divergence in domain controller data. </w:t>
      </w:r>
    </w:p>
    <w:p w14:paraId="50B3C41A" w14:textId="77777777" w:rsidR="005B5C9F" w:rsidRDefault="005B5C9F" w:rsidP="005B5C9F">
      <w:r>
        <w:t xml:space="preserve">The issue is that a change that occurs on a rolled-back domain controller is made successfully on the domain controller, but the change never replicates to other domain controllers, because the other domain controllers believe that they are already up-to-date. For more information about USN rollback, please see </w:t>
      </w:r>
      <w:hyperlink r:id="rId480" w:history="1">
        <w:r w:rsidRPr="0046327B">
          <w:rPr>
            <w:rStyle w:val="Hyperlink"/>
          </w:rPr>
          <w:t>KB875495</w:t>
        </w:r>
      </w:hyperlink>
      <w:r>
        <w:t>.</w:t>
      </w:r>
    </w:p>
    <w:p w14:paraId="1B770485" w14:textId="77777777" w:rsidR="005B5C9F" w:rsidRDefault="005B5C9F" w:rsidP="005B5C9F">
      <w:r>
        <w:t xml:space="preserve">USN rollback most commonly occurs on virtualized domain controllers, because it’s so easy to take a snapshot of a virtual machine that is hosting a domain controller and restore the snapshot later. When the snapshot is restored, the domain controller becomes “rolled back.” </w:t>
      </w:r>
    </w:p>
    <w:p w14:paraId="3FF52B72" w14:textId="77777777" w:rsidR="005B5C9F" w:rsidRDefault="005B5C9F" w:rsidP="005B5C9F">
      <w:r>
        <w:t xml:space="preserve">To mitigate the effects of USN rollback in virtual domain controllers, a feature was introduced in Windows 2012 called </w:t>
      </w:r>
      <w:r w:rsidRPr="00E065BA">
        <w:rPr>
          <w:b/>
        </w:rPr>
        <w:t>VMGenerationID</w:t>
      </w:r>
      <w:r>
        <w:t>. When a virtual machine is restored from a snapshot, restarted after being deprovisioned, or restored through a "service healing" event, the VMGenerationID of the virtual machine changes. This has the following effect on domain controllers:</w:t>
      </w:r>
    </w:p>
    <w:p w14:paraId="3B90990B" w14:textId="77777777" w:rsidR="005B5C9F" w:rsidRDefault="005B5C9F" w:rsidP="005729D2">
      <w:pPr>
        <w:pStyle w:val="ListBullet"/>
        <w:numPr>
          <w:ilvl w:val="0"/>
          <w:numId w:val="133"/>
        </w:numPr>
      </w:pPr>
      <w:r w:rsidRPr="00B528BE">
        <w:rPr>
          <w:b/>
        </w:rPr>
        <w:t>Changes the InvocationI</w:t>
      </w:r>
      <w:r>
        <w:rPr>
          <w:b/>
        </w:rPr>
        <w:t>d</w:t>
      </w:r>
      <w:r>
        <w:t xml:space="preserve">: A change in VMGenerationID also causes the InvocationId to be reset. Active Directory is resilient to changes in the InvocationId, but if the change occurs on multiple domain controllers, there is a large processor spike while the domain controllers figure out how up-to-date they are with respect to other domain controllers. This potentially causes a denial-of-service to Active Directory. For more information on the InvocationId, please see </w:t>
      </w:r>
      <w:hyperlink r:id="rId481" w:history="1">
        <w:r w:rsidRPr="00E065BA">
          <w:rPr>
            <w:rStyle w:val="Hyperlink"/>
          </w:rPr>
          <w:t>How the Active Directory Replication Model Works</w:t>
        </w:r>
      </w:hyperlink>
      <w:r>
        <w:t>.</w:t>
      </w:r>
    </w:p>
    <w:p w14:paraId="354C12AA" w14:textId="0C5B2AA0" w:rsidR="005B5C9F" w:rsidRDefault="005B5C9F" w:rsidP="005729D2">
      <w:pPr>
        <w:pStyle w:val="ListBullet"/>
        <w:numPr>
          <w:ilvl w:val="0"/>
          <w:numId w:val="133"/>
        </w:numPr>
      </w:pPr>
      <w:r w:rsidRPr="005D1C24">
        <w:rPr>
          <w:b/>
        </w:rPr>
        <w:t>Invalidates the RID Pool</w:t>
      </w:r>
      <w:r>
        <w:t xml:space="preserve">: A relative identifier (RID) is a unique identifier that domain controllers generate, to ensure that security principals have unique security identifiers (SID) when they are created. Each domain controller maintains a “pool” of RIDs, and each domain controller’s pool is unique from other domain controller's. This enables security principals to be created at any domain controller without fear of a duplicate SID being assigned. </w:t>
      </w:r>
      <w:r>
        <w:br/>
        <w:t>When the VMGenerationID changes, the domain controller’s current RID pool is discarded. This poses no immediate threat, but the upper-limit of RIDs is around two billion. So if the RID pool is large, and many domain controllers are deprovisioned and re-hydrated over and over again, it is possible to exhaust the available RIDs in the domain.</w:t>
      </w:r>
    </w:p>
    <w:p w14:paraId="1D8384E6" w14:textId="1F46F3F5" w:rsidR="00172458" w:rsidRDefault="005B5C9F" w:rsidP="005729D2">
      <w:pPr>
        <w:pStyle w:val="ListBullet"/>
        <w:numPr>
          <w:ilvl w:val="0"/>
          <w:numId w:val="133"/>
        </w:numPr>
      </w:pPr>
      <w:r w:rsidRPr="005B5C9F">
        <w:rPr>
          <w:b/>
        </w:rPr>
        <w:t>SYSVOL replication is set to Non-Authoritative mode</w:t>
      </w:r>
      <w:r>
        <w:t xml:space="preserve">: SYSVOL is used to hold scripts and security policies that are applied throughout the domain. When the VMGenerationID changes, SYSVOL replication is set to non-authoritative mode, which means that it will accept replication from other domain controllers, but it will not replicate any changes that it made. </w:t>
      </w:r>
      <w:r>
        <w:br/>
        <w:t>If you shut down and deprovision all of your domain controllers, when they come up, the VMGenerationID will change on all of them. The result is that all the domain controllers have non-authoritative copies of SYSVOL, and replication will stop working, even though everything appears to be working fine</w:t>
      </w:r>
      <w:r w:rsidR="00F463AE">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F463AE" w14:paraId="753B2812" w14:textId="77777777" w:rsidTr="00D82A02">
        <w:trPr>
          <w:trHeight w:val="423"/>
        </w:trPr>
        <w:tc>
          <w:tcPr>
            <w:tcW w:w="666" w:type="dxa"/>
          </w:tcPr>
          <w:p w14:paraId="7F6C020E" w14:textId="77777777" w:rsidR="00F463AE" w:rsidRDefault="00F463AE" w:rsidP="00D82A02">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549696" behindDoc="0" locked="0" layoutInCell="1" allowOverlap="1" wp14:anchorId="797D3B56" wp14:editId="53A6A904">
                      <wp:simplePos x="0" y="0"/>
                      <wp:positionH relativeFrom="column">
                        <wp:posOffset>66675</wp:posOffset>
                      </wp:positionH>
                      <wp:positionV relativeFrom="paragraph">
                        <wp:posOffset>90170</wp:posOffset>
                      </wp:positionV>
                      <wp:extent cx="209550" cy="180975"/>
                      <wp:effectExtent l="57150" t="19050" r="57150" b="104775"/>
                      <wp:wrapNone/>
                      <wp:docPr id="7" name="Isosceles Tri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0FB2DB85" id="Isosceles Triangle 7" o:spid="_x0000_s1026" type="#_x0000_t5" style="position:absolute;margin-left:5.25pt;margin-top:7.1pt;width:16.5pt;height:14.25pt;z-index:25154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izihAIAAG8FAAAOAAAAZHJzL2Uyb0RvYy54bWysVFtP2zAUfp+0/2D5fSTpKIWIFFWgTkgV&#10;Q4OJZ9exW2uOj2e7Tbtfv2PnAmNISNPyYNk537l/51xeHRpN9sJ5BaaixUlOiTAcamU2Ff3+uPx0&#10;TokPzNRMgxEVPQpPr+YfP1y2thQT2IKuhSNoxPiytRXdhmDLLPN8KxrmT8AKg0IJrmEBn26T1Y61&#10;aL3R2STPz7IWXG0dcOE9/r3phHSe7EspePgqpReB6IpibCGdLp3reGbzS1ZuHLNbxfsw2D9E0TBl&#10;0Olo6oYFRnZO/WWqUdyBBxlOODQZSKm4SDlgNkX+KpuHLbMi5YLF8XYsk/9/Zvnd/t4RVVd0Rolh&#10;Dbbo1oPnQgtPHp1iZqMFmcU6tdaXCH+w9y5m6u0K+A+PguwPSXz4HnOQrolYzJMcUtGPY9HFIRCO&#10;Pyf5xXSKreEoKs7zi9k0OstYOShb58MXAQ2Jl4qGPqhUbrZf+dDBB1iKDbSql0rr9HCb9bV2ZM+Q&#10;A0v88tR29OCfYSmHLuyUQDhqEZW1+SYk1gcDLZLHxEwx2mOcCxPO+pATOqpJ9D0qfn5fscdHVZFY&#10;OypP3lceNZJnMGFUbpQB95YBHYo+ZNnh+y76Lu9YgjXUR6SGg25mvOVLhQ1YMR/umcMhwZ7h4Iev&#10;eEgNbUWhv1GyBffrrf8Rj9xFKSUtDl1F/c8dc4ISfWuQ1RfF6Wmc0vQ4nc4m+HAvJeuXErNrrgF7&#10;WuCKsTxdIz7o4SodNE+4HxbRK4qY4ei7ojy44XEdumWAG4aLxSLBcDItCyvzYPnQ9Uiux8MTc3Zg&#10;IdL3DoYBZeUrInbY2A8Di10AqRJLn+va1xunOnG930Bxbbx8J9Tznpz/BgAA//8DAFBLAwQUAAYA&#10;CAAAACEANTxCMNkAAAAHAQAADwAAAGRycy9kb3ducmV2LnhtbEyOzU7DMBCE70i8g7VIXFDrkIa2&#10;CnEqhJIjqig8gBNvfoS9jmK3DW/PcoLTaDSjma84LM6KC85h9KTgcZ2AQGq9GalX8PlRr/YgQtRk&#10;tPWECr4xwKG8vSl0bvyV3vFyir3gEQq5VjDEOOVShnZAp8PaT0icdX52OrKde2lmfeVxZ2WaJFvp&#10;9Ej8MOgJXwdsv05np8A3y7Hb1Lv9Q+0m+9ZVVeaOlVL3d8vLM4iIS/wrwy8+o0PJTI0/kwnCsk+e&#10;uMmapSA4zzbsG9Z0B7Is5H/+8gcAAP//AwBQSwECLQAUAAYACAAAACEAtoM4kv4AAADhAQAAEwAA&#10;AAAAAAAAAAAAAAAAAAAAW0NvbnRlbnRfVHlwZXNdLnhtbFBLAQItABQABgAIAAAAIQA4/SH/1gAA&#10;AJQBAAALAAAAAAAAAAAAAAAAAC8BAABfcmVscy8ucmVsc1BLAQItABQABgAIAAAAIQD31izihAIA&#10;AG8FAAAOAAAAAAAAAAAAAAAAAC4CAABkcnMvZTJvRG9jLnhtbFBLAQItABQABgAIAAAAIQA1PEIw&#10;2QAAAAcBAAAPAAAAAAAAAAAAAAAAAN4EAABkcnMvZG93bnJldi54bWxQSwUGAAAAAAQABADzAAAA&#10;5AUAAAAA&#10;" fillcolor="yellow" strokecolor="#70ad47 [3209]" strokeweight=".5pt">
                      <v:path arrowok="t"/>
                    </v:shape>
                  </w:pict>
                </mc:Fallback>
              </mc:AlternateContent>
            </w:r>
          </w:p>
        </w:tc>
        <w:tc>
          <w:tcPr>
            <w:tcW w:w="8604" w:type="dxa"/>
          </w:tcPr>
          <w:p w14:paraId="6D97D7B5" w14:textId="77777777" w:rsidR="00F463AE" w:rsidRDefault="00F463AE" w:rsidP="00D82A02">
            <w:pPr>
              <w:rPr>
                <w:lang w:eastAsia="en-US"/>
              </w:rPr>
            </w:pPr>
            <w:r>
              <w:rPr>
                <w:rFonts w:eastAsiaTheme="minorHAnsi"/>
                <w:b/>
                <w:lang w:eastAsia="en-US"/>
              </w:rPr>
              <w:t xml:space="preserve">Recommended: </w:t>
            </w:r>
            <w:r>
              <w:rPr>
                <w:rFonts w:eastAsiaTheme="minorHAnsi"/>
                <w:lang w:eastAsia="en-US"/>
              </w:rPr>
              <w:t xml:space="preserve"> </w:t>
            </w:r>
            <w:r>
              <w:t>If all DCs are hosted in Azure, do not shut down all of the DCs at the same time from the Azure console. This is will de-provision the DCs and cause the VMGenerationID to change upon starting the VM back up, ultimately causing SYSVOL replication to break.</w:t>
            </w:r>
          </w:p>
        </w:tc>
      </w:tr>
    </w:tbl>
    <w:p w14:paraId="70F5CADC" w14:textId="60650D7D" w:rsidR="00E94775" w:rsidRDefault="00245B70" w:rsidP="005729D2">
      <w:pPr>
        <w:pStyle w:val="Heading4Numbered"/>
        <w:numPr>
          <w:ilvl w:val="3"/>
          <w:numId w:val="64"/>
        </w:numPr>
      </w:pPr>
      <w:r>
        <w:t>Virtual Machine</w:t>
      </w:r>
      <w:r w:rsidR="00E94775">
        <w:t xml:space="preserve"> De-Provisioning</w:t>
      </w:r>
    </w:p>
    <w:p w14:paraId="4351523F" w14:textId="1627AD3D" w:rsidR="005B5C9F" w:rsidRDefault="005B5C9F" w:rsidP="005B5C9F">
      <w:r>
        <w:t xml:space="preserve">In the past, when a virtual machine in Azure was shut down, Microsoft would continue to charge for the virtual machine, even though it’s not running. The reason is that the resources were still committed to the virtual machine, so the resources couldn’t be used for other customers. </w:t>
      </w:r>
    </w:p>
    <w:p w14:paraId="21CD18D9" w14:textId="77777777" w:rsidR="005B5C9F" w:rsidRDefault="005B5C9F" w:rsidP="005B5C9F">
      <w:r>
        <w:t>To address this, a new shutdown option was added to Azure, called “Stop and De-allocated”. Now, when a virtual machine is stopped via the Azure portal, the hard disk remains intact, but several of the resources are deprovisioned. The result is that when the virtual machine is turned on, several things change, including the IP address, the CPU ID, and most importantly, the VMGenerationID.</w:t>
      </w:r>
    </w:p>
    <w:p w14:paraId="63DB4EF4" w14:textId="543F0E21" w:rsidR="00E75539" w:rsidRDefault="005B5C9F" w:rsidP="005B5C9F">
      <w:r>
        <w:t>As discussed earlier, a change of the VMGenerationID can greatly impact Active Directory. Therefore, we strongly recommend virtual machines that host domain controllers are only shut down from within the virtual machine’s operating system. Shutting it down in this manner ensures that the resources are not deprovisioned, and the VMGenerationID will not change on the domain controller when it boots up</w:t>
      </w:r>
      <w:r w:rsidR="00E75539">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E75539" w14:paraId="60EF22CC" w14:textId="77777777" w:rsidTr="00D82A02">
        <w:trPr>
          <w:trHeight w:val="423"/>
        </w:trPr>
        <w:tc>
          <w:tcPr>
            <w:tcW w:w="666" w:type="dxa"/>
          </w:tcPr>
          <w:p w14:paraId="242ED2DA" w14:textId="77777777" w:rsidR="00E75539" w:rsidRDefault="00E75539" w:rsidP="00D82A02">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5116DD1A" wp14:editId="3BAED8AB">
                      <wp:extent cx="200025" cy="180975"/>
                      <wp:effectExtent l="57150" t="19050" r="28575" b="104775"/>
                      <wp:docPr id="830832939" name="Octagon 830832939"/>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2D8D840" id="Octagon 830832939"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qLjeAIAAFoFAAAOAAAAZHJzL2Uyb0RvYy54bWysVEtrGzEQvhf6H4TuzT6cNLbJOhiHlEJI&#10;TJOSs6yVbIFWo0qy1+6v70i7Xps0ECi9aGd23t88bm73jSY74bwCU9HiIqdEGA61MuuK/ny5/zKm&#10;xAdmaqbBiIoehKe3s8+fblo7FSVsQNfCEXRi/LS1Fd2EYKdZ5vlGNMxfgBUGhRJcwwKybp3VjrXo&#10;vdFZmedfsxZcbR1w4T3+veuEdJb8Syl4eJLSi0B0RTG3kF6X3lV8s9kNm64dsxvF+zTYP2TRMGUw&#10;6ODqjgVGtk795apR3IEHGS44NBlIqbhINWA1Rf6mmucNsyLVguB4O8Dk/59b/rhbOqLqio5H+XhU&#10;TkYTSgxrsFVPPLA1GHISIFit9VO0ebZL13MeyVj5XromfrEmsk8AHwaAxT4Qjj+xY3l5RQlHUTHO&#10;J9dXsQHZydg6H74JaEgkKgpdCglZtnvwodM+asVwHrSq75XWiXHr1UI7smPY7sUCo6UOY4AztSzW&#10;0GWdqHDQIhpr80NIhALzLFLENIRi8Mc4FyaUfcZJO5pJjD0Yjj427PWjqUgDOhiXHxsPFikymDAY&#10;N8qAe8+BDkWfsuz0EfCzuiO5gvqAU+CgWw9v+b1C/B+YD0vmcB9wc3DHwxM+UkOLjekpSjbgfr/3&#10;P+rjmKKUkhb3q6L+15Y5QYn+bnCAJ8XlZVzIxFxeXZfIuHPJ6lxits0CsKcFXhPLExn1gz6S0kHz&#10;iqdgHqOiiBmOsSvKgzsyi9DtPR4TLubzpIZLaFl4MM+WH7seh+tl/8qc7Ycw4PQ+wnEX2fTNIHa6&#10;sR8G5tsAUqUpPeHa440LnEa9PzbxQpzzSet0Emd/AA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AE2ouN4AgAAWg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335BB9AE" w14:textId="253091A2" w:rsidR="00E75539" w:rsidRDefault="00E75539" w:rsidP="00E75539">
            <w:pPr>
              <w:spacing w:after="240"/>
              <w:rPr>
                <w:lang w:eastAsia="en-US"/>
              </w:rPr>
            </w:pPr>
            <w:r w:rsidRPr="00192064">
              <w:rPr>
                <w:b/>
                <w:lang w:eastAsia="en-US"/>
              </w:rPr>
              <w:t>Mandatory</w:t>
            </w:r>
            <w:r>
              <w:rPr>
                <w:lang w:eastAsia="en-US"/>
              </w:rPr>
              <w:t xml:space="preserve">:  </w:t>
            </w:r>
            <w:r w:rsidR="005B5C9F">
              <w:rPr>
                <w:lang w:eastAsia="en-US"/>
              </w:rPr>
              <w:t>Never stop a domain controller through the Azure portal. Always shut down the domain controller from the operating system inside the virtual machine</w:t>
            </w:r>
            <w:r>
              <w:rPr>
                <w:lang w:eastAsia="en-US"/>
              </w:rPr>
              <w:t>.</w:t>
            </w:r>
          </w:p>
        </w:tc>
      </w:tr>
    </w:tbl>
    <w:tbl>
      <w:tblPr>
        <w:tblStyle w:val="PlainTable11"/>
        <w:tblW w:w="0" w:type="auto"/>
        <w:tblLook w:val="04A0" w:firstRow="1" w:lastRow="0" w:firstColumn="1" w:lastColumn="0" w:noHBand="0" w:noVBand="1"/>
      </w:tblPr>
      <w:tblGrid>
        <w:gridCol w:w="3392"/>
        <w:gridCol w:w="5958"/>
      </w:tblGrid>
      <w:tr w:rsidR="00E94775" w14:paraId="0F46B383" w14:textId="77777777" w:rsidTr="00B048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47C5EDF5" w14:textId="77777777" w:rsidR="00E94775" w:rsidRPr="00F47607" w:rsidRDefault="00E94775" w:rsidP="00DF369F">
            <w:pPr>
              <w:spacing w:line="240" w:lineRule="auto"/>
              <w:rPr>
                <w:color w:val="FFFFFF"/>
              </w:rPr>
            </w:pPr>
            <w:r>
              <w:rPr>
                <w:color w:val="FFFFFF"/>
              </w:rPr>
              <w:t>References</w:t>
            </w:r>
          </w:p>
        </w:tc>
      </w:tr>
      <w:tr w:rsidR="00E94775" w:rsidRPr="00B0484A" w14:paraId="1DBBB6FA" w14:textId="77777777" w:rsidTr="00B048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9" w:type="dxa"/>
          </w:tcPr>
          <w:p w14:paraId="26616476" w14:textId="664ECF61" w:rsidR="00E94775" w:rsidRPr="00B0484A" w:rsidRDefault="00E94775" w:rsidP="00E94775">
            <w:pPr>
              <w:spacing w:line="240" w:lineRule="auto"/>
              <w:rPr>
                <w:sz w:val="20"/>
                <w:szCs w:val="18"/>
              </w:rPr>
            </w:pPr>
            <w:r w:rsidRPr="00B0484A">
              <w:rPr>
                <w:sz w:val="20"/>
                <w:szCs w:val="18"/>
              </w:rPr>
              <w:t>Service Healing – Auto-recovery of Virtual Machines</w:t>
            </w:r>
          </w:p>
        </w:tc>
        <w:tc>
          <w:tcPr>
            <w:tcW w:w="5961" w:type="dxa"/>
          </w:tcPr>
          <w:p w14:paraId="0157BB5E" w14:textId="65486AD3" w:rsidR="00E94775" w:rsidRPr="00B0484A" w:rsidRDefault="00872E47" w:rsidP="00E94775">
            <w:pPr>
              <w:cnfStyle w:val="000000100000" w:firstRow="0" w:lastRow="0" w:firstColumn="0" w:lastColumn="0" w:oddVBand="0" w:evenVBand="0" w:oddHBand="1" w:evenHBand="0" w:firstRowFirstColumn="0" w:firstRowLastColumn="0" w:lastRowFirstColumn="0" w:lastRowLastColumn="0"/>
              <w:rPr>
                <w:sz w:val="20"/>
                <w:szCs w:val="18"/>
              </w:rPr>
            </w:pPr>
            <w:hyperlink r:id="rId482" w:history="1">
              <w:r w:rsidR="00E94775" w:rsidRPr="00B0484A">
                <w:rPr>
                  <w:rStyle w:val="Hyperlink"/>
                  <w:sz w:val="20"/>
                </w:rPr>
                <w:t>http://azure.microsoft.com/blog/2015/04/07/service-healing-auto-recovery-of-virtual-machines/</w:t>
              </w:r>
            </w:hyperlink>
          </w:p>
        </w:tc>
      </w:tr>
      <w:tr w:rsidR="00F463AE" w:rsidRPr="00B0484A" w14:paraId="27E613DC" w14:textId="77777777" w:rsidTr="00B0484A">
        <w:tc>
          <w:tcPr>
            <w:cnfStyle w:val="001000000000" w:firstRow="0" w:lastRow="0" w:firstColumn="1" w:lastColumn="0" w:oddVBand="0" w:evenVBand="0" w:oddHBand="0" w:evenHBand="0" w:firstRowFirstColumn="0" w:firstRowLastColumn="0" w:lastRowFirstColumn="0" w:lastRowLastColumn="0"/>
            <w:tcW w:w="3399" w:type="dxa"/>
          </w:tcPr>
          <w:p w14:paraId="4D6E486A" w14:textId="792CDA99" w:rsidR="00F463AE" w:rsidRPr="00B0484A" w:rsidRDefault="00F463AE" w:rsidP="00F463AE">
            <w:pPr>
              <w:spacing w:line="240" w:lineRule="auto"/>
              <w:rPr>
                <w:sz w:val="20"/>
                <w:szCs w:val="18"/>
              </w:rPr>
            </w:pPr>
            <w:r w:rsidRPr="00B0484A">
              <w:rPr>
                <w:sz w:val="20"/>
                <w:szCs w:val="18"/>
              </w:rPr>
              <w:t>KB875495 – How to Detect and Recover From a USN Rollback in WS2003, WS2008, and WS2008 R2</w:t>
            </w:r>
          </w:p>
        </w:tc>
        <w:tc>
          <w:tcPr>
            <w:tcW w:w="5961" w:type="dxa"/>
          </w:tcPr>
          <w:p w14:paraId="1ADCE912" w14:textId="3FA35CD3" w:rsidR="00F463AE" w:rsidRPr="00B0484A" w:rsidRDefault="00872E47" w:rsidP="00F463AE">
            <w:pPr>
              <w:cnfStyle w:val="000000000000" w:firstRow="0" w:lastRow="0" w:firstColumn="0" w:lastColumn="0" w:oddVBand="0" w:evenVBand="0" w:oddHBand="0" w:evenHBand="0" w:firstRowFirstColumn="0" w:firstRowLastColumn="0" w:lastRowFirstColumn="0" w:lastRowLastColumn="0"/>
              <w:rPr>
                <w:sz w:val="20"/>
              </w:rPr>
            </w:pPr>
            <w:hyperlink r:id="rId483" w:history="1">
              <w:r w:rsidR="00F463AE" w:rsidRPr="00B0484A">
                <w:rPr>
                  <w:rStyle w:val="Hyperlink"/>
                  <w:sz w:val="20"/>
                </w:rPr>
                <w:t>https://support.microsoft.com/en-us/kb/875495</w:t>
              </w:r>
            </w:hyperlink>
          </w:p>
        </w:tc>
      </w:tr>
      <w:tr w:rsidR="00F463AE" w:rsidRPr="00B0484A" w14:paraId="0AF2327C" w14:textId="77777777" w:rsidTr="00B048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9" w:type="dxa"/>
          </w:tcPr>
          <w:p w14:paraId="46CEDCBD" w14:textId="08877C91" w:rsidR="00F463AE" w:rsidRPr="00B0484A" w:rsidRDefault="00F463AE" w:rsidP="00F463AE">
            <w:pPr>
              <w:spacing w:line="240" w:lineRule="auto"/>
              <w:rPr>
                <w:sz w:val="20"/>
                <w:szCs w:val="18"/>
              </w:rPr>
            </w:pPr>
            <w:r w:rsidRPr="00B0484A">
              <w:rPr>
                <w:sz w:val="20"/>
                <w:szCs w:val="18"/>
              </w:rPr>
              <w:t>How the Active Directory Replication Model Works</w:t>
            </w:r>
          </w:p>
        </w:tc>
        <w:tc>
          <w:tcPr>
            <w:tcW w:w="5961" w:type="dxa"/>
          </w:tcPr>
          <w:p w14:paraId="08F71BCD" w14:textId="50C27F05" w:rsidR="00F463AE" w:rsidRPr="00B0484A" w:rsidRDefault="00872E47" w:rsidP="00F463AE">
            <w:pPr>
              <w:cnfStyle w:val="000000100000" w:firstRow="0" w:lastRow="0" w:firstColumn="0" w:lastColumn="0" w:oddVBand="0" w:evenVBand="0" w:oddHBand="1" w:evenHBand="0" w:firstRowFirstColumn="0" w:firstRowLastColumn="0" w:lastRowFirstColumn="0" w:lastRowLastColumn="0"/>
              <w:rPr>
                <w:sz w:val="20"/>
              </w:rPr>
            </w:pPr>
            <w:hyperlink r:id="rId484" w:history="1">
              <w:r w:rsidR="00F463AE" w:rsidRPr="00B0484A">
                <w:rPr>
                  <w:rStyle w:val="Hyperlink"/>
                  <w:sz w:val="20"/>
                </w:rPr>
                <w:t>https://technet.microsoft.com/en-us/library/cc772726(v=ws.10).aspx</w:t>
              </w:r>
            </w:hyperlink>
          </w:p>
        </w:tc>
      </w:tr>
    </w:tbl>
    <w:p w14:paraId="438D3D1F" w14:textId="04580A99" w:rsidR="008A6F02" w:rsidRDefault="008A6F02" w:rsidP="005729D2">
      <w:pPr>
        <w:pStyle w:val="Heading3Numbered"/>
        <w:numPr>
          <w:ilvl w:val="2"/>
          <w:numId w:val="64"/>
        </w:numPr>
      </w:pPr>
      <w:bookmarkStart w:id="5882" w:name="_Toc417548357"/>
      <w:bookmarkStart w:id="5883" w:name="_Toc417594600"/>
      <w:bookmarkStart w:id="5884" w:name="_Toc417934728"/>
      <w:bookmarkStart w:id="5885" w:name="_Toc417936067"/>
      <w:bookmarkStart w:id="5886" w:name="_Toc417936529"/>
      <w:bookmarkStart w:id="5887" w:name="_Toc417946952"/>
      <w:bookmarkStart w:id="5888" w:name="_Toc417947421"/>
      <w:bookmarkStart w:id="5889" w:name="_Toc417982562"/>
      <w:bookmarkStart w:id="5890" w:name="_Toc417986016"/>
      <w:bookmarkStart w:id="5891" w:name="_Toc418000708"/>
      <w:bookmarkStart w:id="5892" w:name="_Toc418003880"/>
      <w:bookmarkStart w:id="5893" w:name="_Toc418012085"/>
      <w:bookmarkStart w:id="5894" w:name="_Toc418014498"/>
      <w:bookmarkStart w:id="5895" w:name="_Toc418030103"/>
      <w:bookmarkStart w:id="5896" w:name="_Toc418036986"/>
      <w:bookmarkStart w:id="5897" w:name="_Toc418061459"/>
      <w:bookmarkStart w:id="5898" w:name="_Toc418081358"/>
      <w:bookmarkStart w:id="5899" w:name="_Toc418083390"/>
      <w:bookmarkStart w:id="5900" w:name="_Toc418096154"/>
      <w:bookmarkStart w:id="5901" w:name="_Toc418156756"/>
      <w:bookmarkStart w:id="5902" w:name="_Toc418167675"/>
      <w:bookmarkStart w:id="5903" w:name="_Toc418185931"/>
      <w:bookmarkStart w:id="5904" w:name="_Toc422941645"/>
      <w:bookmarkStart w:id="5905" w:name="_Toc423116851"/>
      <w:bookmarkStart w:id="5906" w:name="_Toc423117884"/>
      <w:bookmarkStart w:id="5907" w:name="_Toc423117334"/>
      <w:bookmarkStart w:id="5908" w:name="_Ref423191268"/>
      <w:bookmarkStart w:id="5909" w:name="_Ref423191275"/>
      <w:bookmarkStart w:id="5910" w:name="_Toc431288927"/>
      <w:r>
        <w:t>AD Design Considerations</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59DD481D" w14:textId="1F9D31C8" w:rsidR="001C3841" w:rsidRPr="001C3841" w:rsidRDefault="001C3841" w:rsidP="001C3841">
      <w:r>
        <w:t>When</w:t>
      </w:r>
      <w:r w:rsidR="005B5C9F">
        <w:t xml:space="preserve"> deploying domain controllers in Azure, there are some specific things to consider for your Active Directory design. This section outlines these considerations</w:t>
      </w:r>
      <w:r>
        <w:t>.</w:t>
      </w:r>
    </w:p>
    <w:p w14:paraId="6C2F1771" w14:textId="77777777" w:rsidR="00165CBC" w:rsidRDefault="00165CBC" w:rsidP="005729D2">
      <w:pPr>
        <w:pStyle w:val="Heading4Numbered"/>
        <w:numPr>
          <w:ilvl w:val="3"/>
          <w:numId w:val="64"/>
        </w:numPr>
      </w:pPr>
      <w:r>
        <w:t>Active Directory Sites and Subnets</w:t>
      </w:r>
    </w:p>
    <w:p w14:paraId="35060EE4" w14:textId="6480AFD8" w:rsidR="00CA18B1" w:rsidRDefault="00CA18B1" w:rsidP="00CA18B1">
      <w:r>
        <w:t xml:space="preserve">It is generally recommended to consider the Azure datacenter as a separate Active Directory site, because it will have its own IP address space and routing considerations. For many applications and services, it is preferable to have a domain controller available within the site, and it’s typically preferable to have a local connection instead of traversing the WAN. </w:t>
      </w:r>
    </w:p>
    <w:p w14:paraId="447623A9" w14:textId="77777777" w:rsidR="00CA18B1" w:rsidRDefault="00CA18B1" w:rsidP="00CA18B1">
      <w:r>
        <w:t xml:space="preserve">More importantly, the customer needs to consider what happens to a virtual machine in Azure if it can’t reach a domain controller. The standard recommendation is to place two domain controllers in each Azure region where virtual machines reside. </w:t>
      </w:r>
    </w:p>
    <w:p w14:paraId="22461A87" w14:textId="0342D447" w:rsidR="008A6F02" w:rsidRDefault="00CA18B1" w:rsidP="00CA18B1">
      <w:r>
        <w:t>It is important to note that a resource domain or forest is not recommended given the additional overhead, and these do not represent an effective security boundary</w:t>
      </w:r>
      <w:r w:rsidR="00560421">
        <w:t xml:space="preserve">. </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1C3841" w14:paraId="4CABF1EB" w14:textId="77777777" w:rsidTr="00D82A02">
        <w:trPr>
          <w:trHeight w:val="423"/>
        </w:trPr>
        <w:tc>
          <w:tcPr>
            <w:tcW w:w="666" w:type="dxa"/>
          </w:tcPr>
          <w:p w14:paraId="724A676C" w14:textId="77777777" w:rsidR="001C3841" w:rsidRDefault="001C3841" w:rsidP="00D82A02">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559936" behindDoc="0" locked="0" layoutInCell="1" allowOverlap="1" wp14:anchorId="7B6CB582" wp14:editId="3DBAE646">
                      <wp:simplePos x="0" y="0"/>
                      <wp:positionH relativeFrom="column">
                        <wp:posOffset>66675</wp:posOffset>
                      </wp:positionH>
                      <wp:positionV relativeFrom="paragraph">
                        <wp:posOffset>90170</wp:posOffset>
                      </wp:positionV>
                      <wp:extent cx="209550" cy="180975"/>
                      <wp:effectExtent l="57150" t="19050" r="57150" b="104775"/>
                      <wp:wrapNone/>
                      <wp:docPr id="830832940" name="Isosceles Triangle 8308329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23680126" id="Isosceles Triangle 830832940" o:spid="_x0000_s1026" type="#_x0000_t5" style="position:absolute;margin-left:5.25pt;margin-top:7.1pt;width:16.5pt;height:14.25pt;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dN4jAIAAH8FAAAOAAAAZHJzL2Uyb0RvYy54bWysVFtr2zAUfh/sPwi9r7bTpk1MnRJaMgqh&#10;DWtHnxVZSsxkHU1S4mS/fkfyJV1XKIz5Qej4fOf+6VzfHGpF9sK6CnRBs7OUEqE5lJXeFPT78+LL&#10;hBLnmS6ZAi0KehSO3sw+f7puTC5GsAVVCkvQiXZ5Ywq69d7kSeL4VtTMnYERGpUSbM08inaTlJY1&#10;6L1WyShNL5MGbGkscOEc/r1rlXQW/UspuH+U0glPVEExNx9PG891OJPZNcs3lpltxbs02D9kUbNK&#10;Y9DB1R3zjOxs9ZeruuIWHEh/xqFOQMqKi1gDVpOlb6p52jIjYi3YHGeGNrn/55Y/7FeWVGVBJ+fp&#10;5Hw0vcAuaVbjqO4dOC6UcOTZVkxvlCAnDPatMS5H8yezsqFyZ5bAfzhUJH9oguA6zEHaOmCxbnKI&#10;QzgOQxAHTzj+HKXT8RiT4KjKJun0ahyGlLC8NzbW+a8CahIuBfVdcrH9bL90voX3sJgbqKpcVEpF&#10;wW7Wt8qSPUNOLPBLIw0wgjvBYg1t2rEAf1QiGCv9TUjsFyaaxYiRqWLwxzgX2l92KUd0MJMYezA8&#10;/9iwwwdTEVk8GI8+Nh4sYmTQfjCuKw32PQfKZ13KssV3U3Rt3aEFayiPSBUL7Rtyhi8qHMCSOb9i&#10;Fh8NzgwXgX/EQypoCgrdjZIt2F/v/Q945DJqKWnwERbU/dwxKyhR9xpZPs0uAh99FC7GVyMU7GvN&#10;+rVG7+pbwJlmuHIMj9eA96q/Sgv1C+6LeYiKKqY5xi4o97YXbn27HHDjcDGfRxi+VMP8Uj8Z3k89&#10;kOv58MKs6VmI9H2A/sGy/A0RW2yYh4b5zoOsIktPfe36ja88cr3bSGGNvJYj6rQ3Z78BAAD//wMA&#10;UEsDBBQABgAIAAAAIQA1PEIw2QAAAAcBAAAPAAAAZHJzL2Rvd25yZXYueG1sTI7NTsMwEITvSLyD&#10;tUhcUOuQhrYKcSqEkiOqKDyAE29+hL2OYrcNb89ygtNoNKOZrzgszooLzmH0pOBxnYBAar0ZqVfw&#10;+VGv9iBC1GS09YQKvjHAoby9KXRu/JXe8XKKveARCrlWMMQ45VKGdkCnw9pPSJx1fnY6sp17aWZ9&#10;5XFnZZokW+n0SPww6AlfB2y/TmenwDfLsdvUu/1D7Sb71lVV5o6VUvd3y8sziIhL/CvDLz6jQ8lM&#10;jT+TCcKyT564yZqlIDjPNuwb1nQHsizkf/7yBwAA//8DAFBLAQItABQABgAIAAAAIQC2gziS/gAA&#10;AOEBAAATAAAAAAAAAAAAAAAAAAAAAABbQ29udGVudF9UeXBlc10ueG1sUEsBAi0AFAAGAAgAAAAh&#10;ADj9If/WAAAAlAEAAAsAAAAAAAAAAAAAAAAALwEAAF9yZWxzLy5yZWxzUEsBAi0AFAAGAAgAAAAh&#10;ALHp03iMAgAAfwUAAA4AAAAAAAAAAAAAAAAALgIAAGRycy9lMm9Eb2MueG1sUEsBAi0AFAAGAAgA&#10;AAAhADU8QjDZAAAABwEAAA8AAAAAAAAAAAAAAAAA5gQAAGRycy9kb3ducmV2LnhtbFBLBQYAAAAA&#10;BAAEAPMAAADsBQAAAAA=&#10;" fillcolor="yellow" strokecolor="#70ad47 [3209]" strokeweight=".5pt">
                      <v:path arrowok="t"/>
                    </v:shape>
                  </w:pict>
                </mc:Fallback>
              </mc:AlternateContent>
            </w:r>
          </w:p>
        </w:tc>
        <w:tc>
          <w:tcPr>
            <w:tcW w:w="8604" w:type="dxa"/>
          </w:tcPr>
          <w:p w14:paraId="2B6E9737" w14:textId="6E501DA5" w:rsidR="001C3841" w:rsidRDefault="001C3841" w:rsidP="001C3841">
            <w:pPr>
              <w:rPr>
                <w:lang w:eastAsia="en-US"/>
              </w:rPr>
            </w:pPr>
            <w:r>
              <w:rPr>
                <w:rFonts w:eastAsiaTheme="minorHAnsi"/>
                <w:b/>
                <w:lang w:eastAsia="en-US"/>
              </w:rPr>
              <w:t xml:space="preserve">Recommended: </w:t>
            </w:r>
            <w:r>
              <w:rPr>
                <w:rFonts w:eastAsiaTheme="minorHAnsi"/>
                <w:lang w:eastAsia="en-US"/>
              </w:rPr>
              <w:t xml:space="preserve"> </w:t>
            </w:r>
            <w:r w:rsidR="00CA18B1">
              <w:t>Place two domain controllers within an availability set in all Azure regions where virtual machines reside</w:t>
            </w:r>
            <w:r>
              <w:t>.</w:t>
            </w:r>
          </w:p>
        </w:tc>
      </w:tr>
    </w:tbl>
    <w:p w14:paraId="4AB6ACE5" w14:textId="21B0F4F9" w:rsidR="001C3841" w:rsidRDefault="00CA18B1" w:rsidP="008A6F02">
      <w:r>
        <w:t>In addition, there should be an Active Directory site created for each Azure region, and all of the virtual networks in that region should be associated with that site. Standard guidance applies for the definition of Active Directory site links, that is, create the appropriate site links so replication and DCLocator functionality works correctly</w:t>
      </w:r>
      <w:r w:rsidR="001C3841">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1C3841" w14:paraId="786AE3BB" w14:textId="77777777" w:rsidTr="00D82A02">
        <w:trPr>
          <w:trHeight w:val="423"/>
        </w:trPr>
        <w:tc>
          <w:tcPr>
            <w:tcW w:w="666" w:type="dxa"/>
          </w:tcPr>
          <w:p w14:paraId="288843BC" w14:textId="77777777" w:rsidR="001C3841" w:rsidRDefault="001C3841" w:rsidP="00D82A02">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565056" behindDoc="0" locked="0" layoutInCell="1" allowOverlap="1" wp14:anchorId="37AF6D1A" wp14:editId="4620D037">
                      <wp:simplePos x="0" y="0"/>
                      <wp:positionH relativeFrom="column">
                        <wp:posOffset>66675</wp:posOffset>
                      </wp:positionH>
                      <wp:positionV relativeFrom="paragraph">
                        <wp:posOffset>90170</wp:posOffset>
                      </wp:positionV>
                      <wp:extent cx="209550" cy="180975"/>
                      <wp:effectExtent l="57150" t="19050" r="57150" b="104775"/>
                      <wp:wrapNone/>
                      <wp:docPr id="830832943" name="Isosceles Triangle 8308329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8B0938B" id="Isosceles Triangle 830832943" o:spid="_x0000_s1026" type="#_x0000_t5" style="position:absolute;margin-left:5.25pt;margin-top:7.1pt;width:16.5pt;height:14.25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7WIjgIAAH8FAAAOAAAAZHJzL2Uyb0RvYy54bWysVNtu2zAMfR+wfxD0vtrOpU2MOkXQIkOB&#10;oA3WDn1WZCkxJouapNz29aPkS7quQIFhfhBE85Di5ZDXN8dakb2wrgJd0OwipURoDmWlNwX9/rz4&#10;MqHEeaZLpkCLgp6Eozezz5+uDyYXA9iCKoUl6ES7/GAKuvXe5Eni+FbUzF2AERqVEmzNPIp2k5SW&#10;HdB7rZJBml4mB7ClscCFc/j3rlHSWfQvpeD+UUonPFEFxdh8PG081+FMZtcs31hmthVvw2D/EEXN&#10;Ko2P9q7umGdkZ6u/XNUVt+BA+gsOdQJSVlzEHDCbLH2TzdOWGRFzweI405fJ/T+3/GG/sqQqCzoZ&#10;ppPhYDoaUqJZja26d+C4UMKRZ1sxvVGCnDFYt4NxOZo/mZUNmTuzBP7DoSL5QxME12KO0tYBi3mT&#10;Y2zCqW+COHrC8ecgnY7H2CqOqmySTq/GoUkJyztjY53/KqAm4VJQ3wYXy8/2S+cbeAeLsYGqykWl&#10;VBTsZn2rLNkz5MQCvzTSAF9wZ1jMoQk7JuBPSgRjpb8JifXCQLP4YmSq6P0xzoX2l23IER3MJL7d&#10;Gw4/NmzxwVREFvfGg4+Ne4v4MmjfG9eVBvueA+WzNmTZ4NsuuibvUII1lCekioVmhpzhiwobsGTO&#10;r5jFocGe4SLwj3hIBYeCQnujZAv213v/Ax65jFpKDjiEBXU/d8wKStS9RpZPs9EoTG0URuOrAQr2&#10;tWb9WqN39S1gTzNcOYbHa8B71V2lhfoF98U8vIoqpjm+XVDubSfc+mY54MbhYj6PMJxUw/xSPxne&#10;dT2Q6/n4wqzpWIj0fYBuYFn+hogNNvRDw3znQVaRpee6tvXGKY9cbzdSWCOv5Yg6783ZbwA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Mb+1iI4CAA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0E9B5725" w14:textId="15619B48" w:rsidR="001C3841" w:rsidRDefault="001C3841" w:rsidP="001C3841">
            <w:pPr>
              <w:rPr>
                <w:lang w:eastAsia="en-US"/>
              </w:rPr>
            </w:pPr>
            <w:r>
              <w:rPr>
                <w:rFonts w:eastAsiaTheme="minorHAnsi"/>
                <w:b/>
                <w:lang w:eastAsia="en-US"/>
              </w:rPr>
              <w:t xml:space="preserve">Recommended: </w:t>
            </w:r>
            <w:r>
              <w:rPr>
                <w:rFonts w:eastAsiaTheme="minorHAnsi"/>
                <w:lang w:eastAsia="en-US"/>
              </w:rPr>
              <w:t xml:space="preserve"> </w:t>
            </w:r>
            <w:r w:rsidR="00CA18B1">
              <w:t>Create a unique Active Directory site object for each Azure region where virtual machines reside, and associate all of the virtual networks in that region with the Active Directory site</w:t>
            </w:r>
            <w:r>
              <w:t>.</w:t>
            </w:r>
          </w:p>
        </w:tc>
      </w:tr>
    </w:tbl>
    <w:p w14:paraId="256876ED" w14:textId="73021539" w:rsidR="00B33BEC" w:rsidRDefault="00B33BEC" w:rsidP="005729D2">
      <w:pPr>
        <w:pStyle w:val="Heading4Numbered"/>
        <w:numPr>
          <w:ilvl w:val="3"/>
          <w:numId w:val="64"/>
        </w:numPr>
      </w:pPr>
      <w:r>
        <w:t>Global Catalog</w:t>
      </w:r>
    </w:p>
    <w:p w14:paraId="49790743" w14:textId="14504219" w:rsidR="009E2FAA" w:rsidRDefault="00CA18B1" w:rsidP="00B628CF">
      <w:bookmarkStart w:id="5911" w:name="_Toc415040046"/>
      <w:bookmarkStart w:id="5912" w:name="_Toc415572403"/>
      <w:bookmarkStart w:id="5913" w:name="_Toc415735573"/>
      <w:bookmarkStart w:id="5914" w:name="_Toc415814154"/>
      <w:bookmarkStart w:id="5915" w:name="_Toc416343889"/>
      <w:bookmarkStart w:id="5916" w:name="_Toc416863161"/>
      <w:bookmarkStart w:id="5917" w:name="_Toc417314776"/>
      <w:bookmarkStart w:id="5918" w:name="_Toc417323793"/>
      <w:bookmarkStart w:id="5919" w:name="_Toc417326883"/>
      <w:bookmarkStart w:id="5920" w:name="_Toc417330431"/>
      <w:bookmarkStart w:id="5921" w:name="_Toc417395037"/>
      <w:bookmarkStart w:id="5922" w:name="_Toc417399254"/>
      <w:bookmarkStart w:id="5923" w:name="_Toc417399413"/>
      <w:bookmarkStart w:id="5924" w:name="_Toc417400460"/>
      <w:bookmarkStart w:id="5925" w:name="_Toc417401308"/>
      <w:bookmarkStart w:id="5926" w:name="_Toc417419623"/>
      <w:bookmarkStart w:id="5927" w:name="_Toc417457395"/>
      <w:bookmarkStart w:id="5928" w:name="_Toc417481973"/>
      <w:bookmarkStart w:id="5929" w:name="_Toc417482231"/>
      <w:bookmarkStart w:id="5930" w:name="_Toc417499950"/>
      <w:bookmarkStart w:id="5931" w:name="_Toc417502771"/>
      <w:bookmarkStart w:id="5932" w:name="_Toc417548358"/>
      <w:bookmarkStart w:id="5933" w:name="_Toc414892137"/>
      <w:bookmarkStart w:id="5934" w:name="_Toc414960160"/>
      <w:bookmarkStart w:id="5935" w:name="_Toc414969131"/>
      <w:bookmarkStart w:id="5936" w:name="_Toc415011355"/>
      <w:bookmarkStart w:id="5937" w:name="_Toc414892139"/>
      <w:bookmarkStart w:id="5938" w:name="_Toc414960162"/>
      <w:bookmarkStart w:id="5939" w:name="_Toc414969133"/>
      <w:bookmarkStart w:id="5940" w:name="_Toc415011357"/>
      <w:r>
        <w:t>In modern Active Directory deployment there’s little reason to not make every domain controller a Global Catalog server. The standard guidance for Global Catalogs also applies to domain controllers in Azure. As a recommended practice, make all of the domain controllers in Azure Global Catalog servers</w:t>
      </w:r>
      <w:r w:rsidR="009E2FAA">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9E2FAA" w14:paraId="458CA1A8" w14:textId="77777777" w:rsidTr="00D82A02">
        <w:trPr>
          <w:trHeight w:val="423"/>
        </w:trPr>
        <w:tc>
          <w:tcPr>
            <w:tcW w:w="666" w:type="dxa"/>
          </w:tcPr>
          <w:p w14:paraId="6CEB2F62" w14:textId="77777777" w:rsidR="009E2FAA" w:rsidRDefault="009E2FAA" w:rsidP="00D82A02">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570176" behindDoc="0" locked="0" layoutInCell="1" allowOverlap="1" wp14:anchorId="3F228C30" wp14:editId="73E09E13">
                      <wp:simplePos x="0" y="0"/>
                      <wp:positionH relativeFrom="column">
                        <wp:posOffset>66675</wp:posOffset>
                      </wp:positionH>
                      <wp:positionV relativeFrom="paragraph">
                        <wp:posOffset>90170</wp:posOffset>
                      </wp:positionV>
                      <wp:extent cx="209550" cy="180975"/>
                      <wp:effectExtent l="57150" t="19050" r="57150" b="104775"/>
                      <wp:wrapNone/>
                      <wp:docPr id="830832946" name="Isosceles Triangle 8308329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2396BDA8" id="Isosceles Triangle 830832946" o:spid="_x0000_s1026" type="#_x0000_t5" style="position:absolute;margin-left:5.25pt;margin-top:7.1pt;width:16.5pt;height:14.25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m5DjgIAAH8FAAAOAAAAZHJzL2Uyb0RvYy54bWysVG1r2zAQ/j7YfxD6vtpOkzYxdUpoySiE&#10;tqwd/azIUmIm6zRJiZP9+p3kl3RdoTDmD0Lne+50L8/d1fWhVmQvrKtAFzQ7SykRmkNZ6U1Bvz8v&#10;v0wpcZ7pkinQoqBH4ej1/POnq8bkYgRbUKWwBJ1olzemoFvvTZ4kjm9FzdwZGKFRKcHWzKNoN0lp&#10;WYPea5WM0vQiacCWxgIXzuHf21ZJ59G/lIL7Bymd8EQVFGPz8bTxXIczmV+xfGOZ2Va8C4P9QxQ1&#10;qzQ+Ori6ZZ6Rna3+clVX3IID6c841AlIWXERc8BssvRNNk9bZkTMBYvjzFAm9//c8vv9oyVVWdDp&#10;eTo9H83GF5RoVmOr7hw4LpRw5NlWTG+UICcM1q0xLkfzJ/NoQ+bOrID/cKhI/tAEwXWYg7R1wGLe&#10;5BCbcByaIA6ecPw5SmeTCbaKoyqbprPLSWhSwvLe2FjnvwqoSbgU1HfBxfKz/cr5Ft7DYmygqnJZ&#10;KRUFu1nfKEv2DDmxxC+NNMAX3AkWc2jDjgn4oxLBWOlvQmK9MNAsvhiZKgZ/jHOh/UUXckQHM4lv&#10;D4bnHxt2+GAqIosH49HHxoNFfBm0H4zrSoN9z4HyWReybPFdF12bdyjBGsojUsVCO0PO8GWFDVgx&#10;5x+ZxaHBnuEi8A94SAVNQaG7UbIF++u9/wGPXEYtJQ0OYUHdzx2zghJ1p5Hls2w8DlMbhfHkcoSC&#10;fa1Zv9boXX0D2NMMV47h8RrwXvVXaaF+wX2xCK+iimmObxeUe9sLN75dDrhxuFgsIgwn1TC/0k+G&#10;910P5Ho+vDBrehYife+hH1iWvyFiiw390LDYeZBVZOmprl29ccoj17uNFNbIazmiTntz/hs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8EJuQ44CAA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1585B565" w14:textId="78A8CCC9" w:rsidR="009E2FAA" w:rsidRDefault="009E2FAA" w:rsidP="00CA18B1">
            <w:pPr>
              <w:rPr>
                <w:lang w:eastAsia="en-US"/>
              </w:rPr>
            </w:pPr>
            <w:r>
              <w:rPr>
                <w:rFonts w:eastAsiaTheme="minorHAnsi"/>
                <w:b/>
                <w:lang w:eastAsia="en-US"/>
              </w:rPr>
              <w:t xml:space="preserve">Recommended: </w:t>
            </w:r>
            <w:r>
              <w:rPr>
                <w:rFonts w:eastAsiaTheme="minorHAnsi"/>
                <w:lang w:eastAsia="en-US"/>
              </w:rPr>
              <w:t xml:space="preserve"> </w:t>
            </w:r>
            <w:r>
              <w:t xml:space="preserve">Make all </w:t>
            </w:r>
            <w:r w:rsidR="00CA18B1">
              <w:t>d</w:t>
            </w:r>
            <w:r>
              <w:t xml:space="preserve">omain </w:t>
            </w:r>
            <w:r w:rsidR="00CA18B1">
              <w:t>c</w:t>
            </w:r>
            <w:r>
              <w:t>ontrollers in Azure Global Catalog servers.</w:t>
            </w:r>
          </w:p>
        </w:tc>
      </w:tr>
    </w:tbl>
    <w:p w14:paraId="15B6CB29" w14:textId="5CC949FE" w:rsidR="00B628CF" w:rsidRDefault="00B628CF" w:rsidP="005729D2">
      <w:pPr>
        <w:pStyle w:val="Heading4Numbered"/>
        <w:numPr>
          <w:ilvl w:val="3"/>
          <w:numId w:val="64"/>
        </w:numPr>
      </w:pPr>
      <w:r>
        <w:t>DNS</w:t>
      </w:r>
    </w:p>
    <w:p w14:paraId="37C65577" w14:textId="70AE687E" w:rsidR="00CA18B1" w:rsidRDefault="009E2FAA" w:rsidP="00CA18B1">
      <w:r>
        <w:t>DNS</w:t>
      </w:r>
      <w:r w:rsidR="00CA18B1">
        <w:t xml:space="preserve"> is instrumental to the operation of Active Directory. There should always be DNS servers located alongside the domain controllers, and most of the time we recommend that DNS be Active Directory-integrated. This does not change with Azure. </w:t>
      </w:r>
    </w:p>
    <w:p w14:paraId="083CEBEE" w14:textId="4EC97DA3" w:rsidR="00B628CF" w:rsidRDefault="00CA18B1" w:rsidP="00CA18B1">
      <w:r>
        <w:t>The domain controllers in Azure should run the DNS Server service, if possible. If you are not using DNS</w:t>
      </w:r>
      <w:r w:rsidRPr="007E54B8">
        <w:t xml:space="preserve"> </w:t>
      </w:r>
      <w:r>
        <w:t>in Windows, there should be a DNS appliance in Azure for the domain controllers to use. Otherwise, a VPN outage will render DNS unavailable and prevent the domain controllers in Azure from operating correctly</w:t>
      </w:r>
      <w:r w:rsidR="009E2FAA">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567B9F" w14:paraId="4920864B" w14:textId="77777777" w:rsidTr="00D82A02">
        <w:trPr>
          <w:trHeight w:val="423"/>
        </w:trPr>
        <w:tc>
          <w:tcPr>
            <w:tcW w:w="666" w:type="dxa"/>
          </w:tcPr>
          <w:p w14:paraId="2A7C2752" w14:textId="77777777" w:rsidR="00567B9F" w:rsidRDefault="00567B9F" w:rsidP="00D82A02">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575296" behindDoc="0" locked="0" layoutInCell="1" allowOverlap="1" wp14:anchorId="7FCCC5D5" wp14:editId="0B1D45C7">
                      <wp:simplePos x="0" y="0"/>
                      <wp:positionH relativeFrom="column">
                        <wp:posOffset>66675</wp:posOffset>
                      </wp:positionH>
                      <wp:positionV relativeFrom="paragraph">
                        <wp:posOffset>90170</wp:posOffset>
                      </wp:positionV>
                      <wp:extent cx="209550" cy="180975"/>
                      <wp:effectExtent l="57150" t="19050" r="57150" b="104775"/>
                      <wp:wrapNone/>
                      <wp:docPr id="830832954" name="Isosceles Triangle 8308329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46DD8BFC" id="Isosceles Triangle 830832954" o:spid="_x0000_s1026" type="#_x0000_t5" style="position:absolute;margin-left:5.25pt;margin-top:7.1pt;width:16.5pt;height:14.25pt;z-index:2515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8IOjgIAAH8FAAAOAAAAZHJzL2Uyb0RvYy54bWysVG1r2zAQ/j7YfxD6vtpOkzYxdUpoySiE&#10;tqwd/azIUmIm6zRJiZP9+p3kl3RdoTDmD0Lne+50L8/d1fWhVmQvrKtAFzQ7SykRmkNZ6U1Bvz8v&#10;v0wpcZ7pkinQoqBH4ej1/POnq8bkYgRbUKWwBJ1olzemoFvvTZ4kjm9FzdwZGKFRKcHWzKNoN0lp&#10;WYPea5WM0vQiacCWxgIXzuHf21ZJ59G/lIL7Bymd8EQVFGPz8bTxXIczmV+xfGOZ2Va8C4P9QxQ1&#10;qzQ+Ori6ZZ6Rna3+clVX3IID6c841AlIWXERc8BssvRNNk9bZkTMBYvjzFAm9//c8vv9oyVVWdDp&#10;eTo9H80mY0o0q7FVdw4cF0o48mwrpjdKkBMG69YYl6P5k3m0IXNnVsB/OFQkf2iC4DrMQdo6YDFv&#10;cohNOA5NEAdPOP4cpbPJBFvFUZVN09nlJDQpYXlvbKzzXwXUJFwK6rvgYvnZfuV8C+9hMTZQVbms&#10;lIqC3axvlCV7hpxY4pdGGuAL7gSLObRhxwT8UYlgrPQ3IbFeGGgWX4xMFYM/xrnQ/qILOaKDmcS3&#10;B8Pzjw07fDAVkcWD8ehj48EivgzaD8Z1pcG+50D5rAtZtviui67NO5RgDeURqWKhnSFn+LLCBqyY&#10;84/M4tBgz3AR+Ac8pIKmoNDdKNmC/fXe/4BHLqOWkgaHsKDu545ZQYm608jyWTYeh6mNwnhyOULB&#10;vtasX2v0rr4B7GmGK8fweA14r/qrtFC/4L5YhFdRxTTHtwvKve2FG98uB9w4XCwWEYaTaphf6SfD&#10;+64Hcj0fXpg1PQuRvvfQDyzL3xCxxYZ+aFjsPMgqsvRU167eOOWR691GCmvktRxRp705/w0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HYfCDo4CAA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77FD3D2B" w14:textId="00644BE9" w:rsidR="00567B9F" w:rsidRDefault="00567B9F" w:rsidP="00567B9F">
            <w:pPr>
              <w:rPr>
                <w:lang w:eastAsia="en-US"/>
              </w:rPr>
            </w:pPr>
            <w:r>
              <w:rPr>
                <w:rFonts w:eastAsiaTheme="minorHAnsi"/>
                <w:b/>
                <w:lang w:eastAsia="en-US"/>
              </w:rPr>
              <w:t xml:space="preserve">Recommended: </w:t>
            </w:r>
            <w:r>
              <w:rPr>
                <w:rFonts w:eastAsiaTheme="minorHAnsi"/>
                <w:lang w:eastAsia="en-US"/>
              </w:rPr>
              <w:t xml:space="preserve"> </w:t>
            </w:r>
            <w:r w:rsidR="00CA18B1">
              <w:rPr>
                <w:rFonts w:eastAsiaTheme="minorHAnsi"/>
                <w:lang w:eastAsia="en-US"/>
              </w:rPr>
              <w:t>Domain controllers in Azure should be also be DNS servers, if it’s in line with your existing Active Directory architecture</w:t>
            </w:r>
            <w:r w:rsidR="00CA18B1">
              <w:t>. If using third-party DNS appliances, there should be a virtual appliance available in the Azure tenant</w:t>
            </w:r>
            <w:r>
              <w:t>.</w:t>
            </w:r>
          </w:p>
        </w:tc>
      </w:tr>
    </w:tbl>
    <w:p w14:paraId="6291016C" w14:textId="72D6B89B" w:rsidR="00567B9F" w:rsidRDefault="00CA18B1" w:rsidP="00B628CF">
      <w:r>
        <w:t>Azure provides a default DNS service to virtual machines if you don’t specify a DNS server. The Azure name resolution services do not support the complex name resolution needs of Active Directory, so do not attempt to use Azure DNS servers on domain controllers</w:t>
      </w:r>
      <w:r w:rsidR="00567B9F">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567B9F" w14:paraId="45F6D613" w14:textId="77777777" w:rsidTr="00D82A02">
        <w:trPr>
          <w:trHeight w:val="423"/>
        </w:trPr>
        <w:tc>
          <w:tcPr>
            <w:tcW w:w="666" w:type="dxa"/>
          </w:tcPr>
          <w:p w14:paraId="675D5F83" w14:textId="77777777" w:rsidR="00567B9F" w:rsidRDefault="00567B9F" w:rsidP="00D82A02">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297F6B33" wp14:editId="7D0A94F8">
                      <wp:extent cx="200025" cy="180975"/>
                      <wp:effectExtent l="57150" t="19050" r="28575" b="104775"/>
                      <wp:docPr id="830832955" name="Octagon 830832955"/>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4F911A9" id="Octagon 830832955"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cvdwIAAFoFAAAOAAAAZHJzL2Uyb0RvYy54bWysVEtrGzEQvhf6H4TuzT5sN47JOhiHlEJI&#10;QpOSs6yVbIFWo0qy1+6v70i7Xps0ECi9aGd23t88rm/2jSY74bwCU9HiIqdEGA61MuuK/ny5+zKl&#10;xAdmaqbBiIoehKc388+frls7EyVsQNfCEXRi/Ky1Fd2EYGdZ5vlGNMxfgBUGhRJcwwKybp3VjrXo&#10;vdFZmedfsxZcbR1w4T3+ve2EdJ78Syl4eJTSi0B0RTG3kF6X3lV8s/k1m60dsxvF+zTYP2TRMGUw&#10;6ODqlgVGtk795apR3IEHGS44NBlIqbhINWA1Rf6mmucNsyLVguB4O8Dk/59b/rB7ckTVFZ2O8umo&#10;vJpMKDGswVY98sDWYMhJgGC11s/Q5tk+uZ7zSMbK99I18Ys1kX0C+DAALPaBcPyJHctLDMBRVEzz&#10;q8tJbEB2MrbOh28CGhKJikKXQkKW7e596LSPWjGcB63qO6V1Ytx6tdSO7Bi2e7nEaKnDGOBMLYs1&#10;dFknKhy0iMba/BASocA8ixQxDaEY/DHOhQlln3HSjmYSYw+Go48Ne/1oKtKADsblx8aDRYoMJgzG&#10;jTLg3nOgQ9GnLDt9BPys7kiuoD7gFDjo1sNbfqcQ/3vmwxNzuA+4Objj4REfqaHFxvQUJRtwv9/7&#10;H/VxTFFKSYv7VVH/a8ucoER/NzjAV8V4HBcyMePJZYmMO5esziVm2ywBe1rgNbE8kVE/6CMpHTSv&#10;eAoWMSqKmOEYu6I8uCOzDN3e4zHhYrFIariEloV782z5setxuF72r8zZfggDTu8DHHeRzd4MYqcb&#10;+2FgsQ0gVZrSE6493rjAadT7YxMvxDmftE4ncf4HAAD//wMAUEsDBBQABgAIAAAAIQCft0Tx2wAA&#10;AAMBAAAPAAAAZHJzL2Rvd25yZXYueG1sTI9BS8NAEIXvgv9hGcGb3aTSEtNsiggFD9JgtXjdZqdJ&#10;aHY27G6b+O8dvdjLwOM93vumWE+2Fxf0oXOkIJ0lIJBqZzpqFHx+bB4yECFqMrp3hAq+McC6vL0p&#10;dG7cSO942cVGcAmFXCtoYxxyKUPdotVh5gYk9o7OWx1Z+kYar0cut72cJ8lSWt0RL7R6wJcW69Pu&#10;bBVUp7F6zarq6ctvlts3b/ep3+6Vur+bnlcgIk7xPwy/+IwOJTMd3JlMEL0CfiT+XfYe0wWIg4J5&#10;tgBZFvKavfwBAAD//wMAUEsBAi0AFAAGAAgAAAAhALaDOJL+AAAA4QEAABMAAAAAAAAAAAAAAAAA&#10;AAAAAFtDb250ZW50X1R5cGVzXS54bWxQSwECLQAUAAYACAAAACEAOP0h/9YAAACUAQAACwAAAAAA&#10;AAAAAAAAAAAvAQAAX3JlbHMvLnJlbHNQSwECLQAUAAYACAAAACEA5PfnL3cCAABaBQAADgAAAAAA&#10;AAAAAAAAAAAuAgAAZHJzL2Uyb0RvYy54bWxQSwECLQAUAAYACAAAACEAn7dE8dsAAAADAQAADwAA&#10;AAAAAAAAAAAAAADRBAAAZHJzL2Rvd25yZXYueG1sUEsFBgAAAAAEAAQA8wAAANkFAAAAAA==&#10;" fillcolor="#c00" strokecolor="#ed7d31 [3205]" strokeweight=".5pt">
                      <w10:anchorlock/>
                    </v:shape>
                  </w:pict>
                </mc:Fallback>
              </mc:AlternateContent>
            </w:r>
          </w:p>
        </w:tc>
        <w:tc>
          <w:tcPr>
            <w:tcW w:w="8604" w:type="dxa"/>
          </w:tcPr>
          <w:p w14:paraId="04262219" w14:textId="511A8AD3" w:rsidR="0097539B" w:rsidRDefault="00567B9F" w:rsidP="00567B9F">
            <w:pPr>
              <w:spacing w:after="240"/>
              <w:rPr>
                <w:lang w:eastAsia="en-US"/>
              </w:rPr>
            </w:pPr>
            <w:r w:rsidRPr="00192064">
              <w:rPr>
                <w:b/>
                <w:lang w:eastAsia="en-US"/>
              </w:rPr>
              <w:t>Mandatory</w:t>
            </w:r>
            <w:r>
              <w:rPr>
                <w:lang w:eastAsia="en-US"/>
              </w:rPr>
              <w:t xml:space="preserve">:  </w:t>
            </w:r>
            <w:r w:rsidR="00CA18B1">
              <w:rPr>
                <w:lang w:eastAsia="en-US"/>
              </w:rPr>
              <w:t>Make sure that domain controllers are pointing to a DNS server in Windows that hosts the Active Directory zones, rather than the default DNS servers in Azure</w:t>
            </w:r>
            <w:r>
              <w:rPr>
                <w:lang w:eastAsia="en-US"/>
              </w:rPr>
              <w:t>.</w:t>
            </w:r>
          </w:p>
        </w:tc>
      </w:tr>
    </w:tbl>
    <w:p w14:paraId="4641F850" w14:textId="311E4B43" w:rsidR="0097539B" w:rsidRDefault="0097539B" w:rsidP="0097539B">
      <w:pPr>
        <w:pStyle w:val="Style2"/>
      </w:pPr>
      <w:bookmarkStart w:id="5941" w:name="_Toc417594601"/>
      <w:bookmarkStart w:id="5942" w:name="_Toc417934729"/>
      <w:bookmarkStart w:id="5943" w:name="_Toc417936068"/>
      <w:bookmarkStart w:id="5944" w:name="_Toc417936530"/>
      <w:bookmarkStart w:id="5945" w:name="_Toc417946953"/>
      <w:bookmarkStart w:id="5946" w:name="_Toc417947422"/>
      <w:bookmarkStart w:id="5947" w:name="_Toc417982563"/>
      <w:bookmarkStart w:id="5948" w:name="_Toc417986017"/>
      <w:bookmarkStart w:id="5949" w:name="_Ref417982630"/>
      <w:bookmarkStart w:id="5950" w:name="_Toc418000709"/>
      <w:bookmarkStart w:id="5951" w:name="_Toc418003881"/>
      <w:bookmarkStart w:id="5952" w:name="_Toc418012086"/>
      <w:bookmarkStart w:id="5953" w:name="_Toc418014499"/>
      <w:bookmarkStart w:id="5954" w:name="_Toc418030104"/>
      <w:bookmarkStart w:id="5955" w:name="_Toc418036987"/>
      <w:bookmarkStart w:id="5956" w:name="_Toc418061460"/>
      <w:bookmarkStart w:id="5957" w:name="_Toc418081359"/>
      <w:bookmarkStart w:id="5958" w:name="_Toc418083391"/>
      <w:bookmarkStart w:id="5959" w:name="_Toc418096155"/>
      <w:bookmarkStart w:id="5960" w:name="_Toc418156757"/>
      <w:bookmarkStart w:id="5961" w:name="_Toc418167676"/>
      <w:bookmarkStart w:id="5962" w:name="_Toc418185932"/>
      <w:bookmarkStart w:id="5963" w:name="_Toc422941646"/>
      <w:bookmarkStart w:id="5964" w:name="_Toc423116852"/>
      <w:bookmarkStart w:id="5965" w:name="_Toc423117885"/>
      <w:bookmarkStart w:id="5966" w:name="_Toc423117335"/>
      <w:r>
        <w:t>Organizational Units</w:t>
      </w:r>
    </w:p>
    <w:p w14:paraId="292422E7" w14:textId="1A53935A" w:rsidR="00A91D13" w:rsidRPr="0097539B" w:rsidRDefault="0097539B" w:rsidP="00CA18B1">
      <w:r>
        <w:t>Organizational</w:t>
      </w:r>
      <w:r w:rsidR="00CA18B1" w:rsidRPr="00CA18B1">
        <w:t xml:space="preserve"> units (OUs) in an Active Directory design are important for operational and security management of Azure assets, especially when extending existing on-premises forests into the Azure cloud. OUs, security groups, and Group Policy Objects (GPOs) provide key administrative controls that can provide containment boundaries within a security zone</w:t>
      </w:r>
      <w:r w:rsidR="00944E60">
        <w:t>.</w:t>
      </w:r>
    </w:p>
    <w:p w14:paraId="4C0323A3" w14:textId="77777777" w:rsidR="0078672A" w:rsidRDefault="00676C44" w:rsidP="005729D2">
      <w:pPr>
        <w:pStyle w:val="Heading2Numbered"/>
        <w:numPr>
          <w:ilvl w:val="1"/>
          <w:numId w:val="64"/>
        </w:numPr>
      </w:pPr>
      <w:bookmarkStart w:id="5967" w:name="_Toc431288928"/>
      <w:r>
        <w:t>Integrating Applications</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41"/>
      <w:r w:rsidR="0078672A">
        <w:t xml:space="preserve"> with Azure Identity Solutions</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bookmarkEnd w:id="5933"/>
    <w:bookmarkEnd w:id="5934"/>
    <w:bookmarkEnd w:id="5935"/>
    <w:bookmarkEnd w:id="5936"/>
    <w:p w14:paraId="4E2DD926" w14:textId="07293709" w:rsidR="00CA18B1" w:rsidRDefault="004C75FF" w:rsidP="00CA18B1">
      <w:r>
        <w:t>One</w:t>
      </w:r>
      <w:r w:rsidR="00CA18B1">
        <w:t xml:space="preserve"> of the primary challenges of integrating applications into Azure is getting the applications to work with an identity system. The most obvious case is when an application is moved from an on-premises web server to the cloud as a PaaS application. </w:t>
      </w:r>
    </w:p>
    <w:p w14:paraId="4FF05A46" w14:textId="77777777" w:rsidR="00CA18B1" w:rsidRDefault="00CA18B1" w:rsidP="00CA18B1">
      <w:r>
        <w:t xml:space="preserve">When on-premises, the application could leverage Active Directory for authentication, group memberships for authorization, and other on-premises identity repositories for accessing identity data. But when that application is moved to a PaaS application, those on-premises systems are no longer accessible. </w:t>
      </w:r>
    </w:p>
    <w:p w14:paraId="52C4169B" w14:textId="77777777" w:rsidR="00CA18B1" w:rsidRDefault="00CA18B1" w:rsidP="00CA18B1">
      <w:r>
        <w:t xml:space="preserve">Even if Active Directory is extended to an IaaS application as discussed in the previous section, Active Directory is still contained in a virtual network that is isolated from PaaS applications. This makes it difficult to migrate applications to Azure, and it is one of the biggest blockers to moving those workloads to the cloud. </w:t>
      </w:r>
    </w:p>
    <w:p w14:paraId="47A416B8" w14:textId="77777777" w:rsidR="00CA18B1" w:rsidRDefault="00CA18B1" w:rsidP="00CA18B1">
      <w:r>
        <w:t>The majority of applications can’t function without an identity layer. Commonly, applications rely on an identity system for:</w:t>
      </w:r>
    </w:p>
    <w:p w14:paraId="7D086596" w14:textId="77777777" w:rsidR="00CA18B1" w:rsidRDefault="00CA18B1" w:rsidP="005729D2">
      <w:pPr>
        <w:pStyle w:val="ListBullet"/>
        <w:numPr>
          <w:ilvl w:val="0"/>
          <w:numId w:val="100"/>
        </w:numPr>
      </w:pPr>
      <w:r w:rsidRPr="0078672A">
        <w:rPr>
          <w:b/>
        </w:rPr>
        <w:t>Authentication</w:t>
      </w:r>
      <w:r>
        <w:t xml:space="preserve"> – Proving that the user sitting at the keyboard is the same person each time an application is used.</w:t>
      </w:r>
    </w:p>
    <w:p w14:paraId="462E160A" w14:textId="77777777" w:rsidR="00CA18B1" w:rsidRDefault="00CA18B1" w:rsidP="005729D2">
      <w:pPr>
        <w:pStyle w:val="ListBullet"/>
        <w:numPr>
          <w:ilvl w:val="0"/>
          <w:numId w:val="100"/>
        </w:numPr>
      </w:pPr>
      <w:r w:rsidRPr="0078672A">
        <w:rPr>
          <w:b/>
        </w:rPr>
        <w:t>Authorization</w:t>
      </w:r>
      <w:r>
        <w:t xml:space="preserve"> – Ensuring that the user can only gain access to the services and components that they are authorized for.</w:t>
      </w:r>
    </w:p>
    <w:p w14:paraId="711062DC" w14:textId="77777777" w:rsidR="00CA18B1" w:rsidRDefault="00CA18B1" w:rsidP="005729D2">
      <w:pPr>
        <w:pStyle w:val="ListBullet"/>
        <w:numPr>
          <w:ilvl w:val="0"/>
          <w:numId w:val="100"/>
        </w:numPr>
      </w:pPr>
      <w:r w:rsidRPr="0078672A">
        <w:rPr>
          <w:b/>
        </w:rPr>
        <w:t>Personalization</w:t>
      </w:r>
      <w:r>
        <w:t xml:space="preserve"> – Applications often store information about the end user for personalizing the user’s experience in the application, such as a user’s avatar.</w:t>
      </w:r>
    </w:p>
    <w:p w14:paraId="1CAD7AF9" w14:textId="77777777" w:rsidR="00CA18B1" w:rsidRDefault="00CA18B1" w:rsidP="005729D2">
      <w:pPr>
        <w:pStyle w:val="ListBullet"/>
        <w:numPr>
          <w:ilvl w:val="0"/>
          <w:numId w:val="100"/>
        </w:numPr>
      </w:pPr>
      <w:r w:rsidRPr="0078672A">
        <w:rPr>
          <w:b/>
        </w:rPr>
        <w:t>Background Processing</w:t>
      </w:r>
      <w:r>
        <w:t xml:space="preserve"> – Many applications store data about the user that is not available during the user’s session, so that an out-of-band background process can leverage the identity data. An example of this is an application that stores user email addresses so that email notifications can be sent throughout the week.</w:t>
      </w:r>
    </w:p>
    <w:p w14:paraId="46536F69" w14:textId="77777777" w:rsidR="00CA18B1" w:rsidRDefault="00CA18B1" w:rsidP="00CA18B1">
      <w:r>
        <w:t xml:space="preserve">Applications have two options with their identity layer. The first option is to create the necessary identity functionality within the application. This adds a considerable amount of complexity to an application because the application now has to deal with the storage of identity data, security of the data, and user interfaces for interacting with it. </w:t>
      </w:r>
    </w:p>
    <w:p w14:paraId="09E5D787" w14:textId="77777777" w:rsidR="00CA18B1" w:rsidRDefault="00CA18B1" w:rsidP="00CA18B1">
      <w:r>
        <w:t>Applications that take on the identity layer need to do the following, at minimum:</w:t>
      </w:r>
    </w:p>
    <w:p w14:paraId="518A1B5A" w14:textId="77777777" w:rsidR="00CA18B1" w:rsidRDefault="00CA18B1" w:rsidP="005729D2">
      <w:pPr>
        <w:pStyle w:val="ListBullet"/>
        <w:numPr>
          <w:ilvl w:val="0"/>
          <w:numId w:val="134"/>
        </w:numPr>
      </w:pPr>
      <w:r>
        <w:t>Build and manage a secure user repository</w:t>
      </w:r>
    </w:p>
    <w:p w14:paraId="3A482636" w14:textId="77777777" w:rsidR="00CA18B1" w:rsidRDefault="00CA18B1" w:rsidP="005729D2">
      <w:pPr>
        <w:pStyle w:val="ListBullet"/>
        <w:numPr>
          <w:ilvl w:val="0"/>
          <w:numId w:val="134"/>
        </w:numPr>
      </w:pPr>
      <w:r>
        <w:t>Obtain expertise in enterprise-grade cryptographic algorithms for storing and validating passwords or other user secrets</w:t>
      </w:r>
    </w:p>
    <w:p w14:paraId="7CEEA946" w14:textId="77777777" w:rsidR="00CA18B1" w:rsidRDefault="00CA18B1" w:rsidP="005729D2">
      <w:pPr>
        <w:pStyle w:val="ListBullet"/>
        <w:numPr>
          <w:ilvl w:val="0"/>
          <w:numId w:val="134"/>
        </w:numPr>
      </w:pPr>
      <w:r>
        <w:t xml:space="preserve">Develop user interfaces for signing a user in and managing profile data </w:t>
      </w:r>
    </w:p>
    <w:p w14:paraId="6AE0E374" w14:textId="77777777" w:rsidR="00CA18B1" w:rsidRDefault="00CA18B1" w:rsidP="005729D2">
      <w:pPr>
        <w:pStyle w:val="ListBullet"/>
        <w:numPr>
          <w:ilvl w:val="0"/>
          <w:numId w:val="134"/>
        </w:numPr>
      </w:pPr>
      <w:r>
        <w:t>Develop processes and services for resetting a user’s forgotten password</w:t>
      </w:r>
    </w:p>
    <w:p w14:paraId="5082D140" w14:textId="77777777" w:rsidR="00CA18B1" w:rsidRDefault="00CA18B1" w:rsidP="005729D2">
      <w:pPr>
        <w:pStyle w:val="ListBullet"/>
        <w:numPr>
          <w:ilvl w:val="0"/>
          <w:numId w:val="134"/>
        </w:numPr>
      </w:pPr>
      <w:r>
        <w:t>Develop a process to ensure that the data stored about the user is kept up-to-date</w:t>
      </w:r>
    </w:p>
    <w:p w14:paraId="45A264AF" w14:textId="77777777" w:rsidR="00CA18B1" w:rsidRDefault="00CA18B1" w:rsidP="005729D2">
      <w:pPr>
        <w:pStyle w:val="ListBullet"/>
        <w:numPr>
          <w:ilvl w:val="0"/>
          <w:numId w:val="134"/>
        </w:numPr>
      </w:pPr>
      <w:r>
        <w:t>Provide Help Desk functionality when users have issues with their accounts, such as forgetting passwords</w:t>
      </w:r>
    </w:p>
    <w:p w14:paraId="11F5A274" w14:textId="01FD5EA7" w:rsidR="000B48DE" w:rsidRDefault="00CA18B1" w:rsidP="00CA18B1">
      <w:r>
        <w:t>When considering the amount of work that an application developer has to undertake to manage the identities, it’s obvious why most developers are integrating with trusted cloud identity solutions instead. This section focuses on primary scenarios for integrating applications with Azure-based identity solutions</w:t>
      </w:r>
      <w:r w:rsidR="004C75FF">
        <w:t>.</w:t>
      </w:r>
    </w:p>
    <w:p w14:paraId="7EBA8720" w14:textId="0BB746E2" w:rsidR="001629B4" w:rsidRDefault="001629B4" w:rsidP="005729D2">
      <w:pPr>
        <w:pStyle w:val="Heading3Numbered"/>
        <w:numPr>
          <w:ilvl w:val="2"/>
          <w:numId w:val="64"/>
        </w:numPr>
      </w:pPr>
      <w:bookmarkStart w:id="5968" w:name="_Toc417934730"/>
      <w:bookmarkStart w:id="5969" w:name="_Toc417936069"/>
      <w:bookmarkStart w:id="5970" w:name="_Toc417936531"/>
      <w:bookmarkStart w:id="5971" w:name="_Toc417946954"/>
      <w:bookmarkStart w:id="5972" w:name="_Toc417947423"/>
      <w:bookmarkStart w:id="5973" w:name="_Toc417982564"/>
      <w:bookmarkStart w:id="5974" w:name="_Toc417986018"/>
      <w:bookmarkStart w:id="5975" w:name="_Toc418000710"/>
      <w:bookmarkStart w:id="5976" w:name="_Toc418003882"/>
      <w:bookmarkStart w:id="5977" w:name="_Toc418012087"/>
      <w:bookmarkStart w:id="5978" w:name="_Toc418030105"/>
      <w:bookmarkStart w:id="5979" w:name="_Toc418036988"/>
      <w:bookmarkStart w:id="5980" w:name="_Toc418061461"/>
      <w:bookmarkStart w:id="5981" w:name="_Toc418081360"/>
      <w:bookmarkStart w:id="5982" w:name="_Toc418083392"/>
      <w:bookmarkStart w:id="5983" w:name="_Toc418096156"/>
      <w:bookmarkStart w:id="5984" w:name="_Toc418156758"/>
      <w:bookmarkStart w:id="5985" w:name="_Toc418167677"/>
      <w:bookmarkStart w:id="5986" w:name="_Toc418185933"/>
      <w:bookmarkStart w:id="5987" w:name="_Toc422941647"/>
      <w:bookmarkStart w:id="5988" w:name="_Toc423116853"/>
      <w:bookmarkStart w:id="5989" w:name="_Toc423117886"/>
      <w:bookmarkStart w:id="5990" w:name="_Toc423117336"/>
      <w:bookmarkStart w:id="5991" w:name="_Toc431288929"/>
      <w:bookmarkStart w:id="5992" w:name="_Toc415040047"/>
      <w:bookmarkStart w:id="5993" w:name="_Toc415572404"/>
      <w:bookmarkStart w:id="5994" w:name="_Toc415735574"/>
      <w:bookmarkStart w:id="5995" w:name="_Toc415814155"/>
      <w:bookmarkStart w:id="5996" w:name="_Toc416343890"/>
      <w:bookmarkStart w:id="5997" w:name="_Toc416863162"/>
      <w:bookmarkStart w:id="5998" w:name="_Toc417314777"/>
      <w:bookmarkStart w:id="5999" w:name="_Toc417323794"/>
      <w:bookmarkStart w:id="6000" w:name="_Toc417326884"/>
      <w:bookmarkStart w:id="6001" w:name="_Toc417330432"/>
      <w:bookmarkStart w:id="6002" w:name="_Toc417395038"/>
      <w:bookmarkStart w:id="6003" w:name="_Toc417399255"/>
      <w:bookmarkStart w:id="6004" w:name="_Toc417399414"/>
      <w:bookmarkStart w:id="6005" w:name="_Toc417400461"/>
      <w:bookmarkStart w:id="6006" w:name="_Toc417401309"/>
      <w:bookmarkStart w:id="6007" w:name="_Toc417419624"/>
      <w:bookmarkStart w:id="6008" w:name="_Toc417457396"/>
      <w:bookmarkStart w:id="6009" w:name="_Toc417481974"/>
      <w:bookmarkStart w:id="6010" w:name="_Toc417482232"/>
      <w:bookmarkStart w:id="6011" w:name="_Toc417499951"/>
      <w:bookmarkStart w:id="6012" w:name="_Toc417502772"/>
      <w:bookmarkStart w:id="6013" w:name="_Toc417548359"/>
      <w:bookmarkStart w:id="6014" w:name="_Toc417594602"/>
      <w:r>
        <w:t>Application Integration Methodologies</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3CE2795E" w14:textId="4E2D1DA7" w:rsidR="006F6061" w:rsidRDefault="004C75FF" w:rsidP="006F6061">
      <w:r>
        <w:t>Before</w:t>
      </w:r>
      <w:r w:rsidR="006F6061">
        <w:t xml:space="preserve"> digging in to the various scenarios, there are some baseline concepts that need to be covered. There are several ways to integrate an application with an Azure-based identity solution, so before going into the specific recommendations, it’s important to understand these approaches. The concepts that are discussed in this section are:</w:t>
      </w:r>
    </w:p>
    <w:p w14:paraId="5756D66A" w14:textId="77777777" w:rsidR="006F6061" w:rsidRDefault="006F6061" w:rsidP="005729D2">
      <w:pPr>
        <w:pStyle w:val="ListBullet"/>
        <w:numPr>
          <w:ilvl w:val="0"/>
          <w:numId w:val="93"/>
        </w:numPr>
      </w:pPr>
      <w:r>
        <w:t>Federating the application</w:t>
      </w:r>
    </w:p>
    <w:p w14:paraId="396C78C6" w14:textId="11111B46" w:rsidR="006F6061" w:rsidRDefault="006F6061" w:rsidP="005729D2">
      <w:pPr>
        <w:pStyle w:val="ListBullet"/>
        <w:numPr>
          <w:ilvl w:val="0"/>
          <w:numId w:val="93"/>
        </w:numPr>
      </w:pPr>
      <w:r>
        <w:t>Proxying the application</w:t>
      </w:r>
    </w:p>
    <w:p w14:paraId="61718BF4" w14:textId="525D8957" w:rsidR="004C75FF" w:rsidRDefault="006F6061" w:rsidP="005729D2">
      <w:pPr>
        <w:pStyle w:val="ListBullet"/>
        <w:numPr>
          <w:ilvl w:val="0"/>
          <w:numId w:val="93"/>
        </w:numPr>
      </w:pPr>
      <w:r>
        <w:t>Vaulting the user’s credentials for the application</w:t>
      </w:r>
    </w:p>
    <w:p w14:paraId="5C12FED5" w14:textId="77777777" w:rsidR="004C75FF" w:rsidRDefault="004C75FF" w:rsidP="005729D2">
      <w:pPr>
        <w:pStyle w:val="Heading4Numbered"/>
        <w:numPr>
          <w:ilvl w:val="3"/>
          <w:numId w:val="64"/>
        </w:numPr>
      </w:pPr>
      <w:bookmarkStart w:id="6015" w:name="_Ref417915250"/>
      <w:r>
        <w:t>Federating the Application</w:t>
      </w:r>
      <w:bookmarkEnd w:id="6015"/>
    </w:p>
    <w:p w14:paraId="417DC7E0" w14:textId="5833965E" w:rsidR="006F6061" w:rsidRDefault="004C75FF" w:rsidP="006F6061">
      <w:r>
        <w:t>Identity</w:t>
      </w:r>
      <w:r w:rsidR="006F6061">
        <w:t xml:space="preserve"> federation gives an application the ability to defer authentication (and some types of authorization) to a source that is, in theory, more authoritative for authenticating users. </w:t>
      </w:r>
    </w:p>
    <w:p w14:paraId="5FC7207F" w14:textId="1169A6A2" w:rsidR="004C75FF" w:rsidRDefault="006F6061" w:rsidP="006F6061">
      <w:r>
        <w:t>For example, if you have an application that you want to share with a partner, the application can be federated with that partner. The partner then becomes the entity that authenticates the users. The application simply receives proof that the user was successfully authenticated by the partner. The following diagram depicts what a federated relationship looks like between an organization and one of its partners</w:t>
      </w:r>
      <w:r w:rsidR="004C75FF">
        <w:t>.</w:t>
      </w:r>
    </w:p>
    <w:p w14:paraId="75369049" w14:textId="77777777" w:rsidR="004C75FF" w:rsidRDefault="004C75FF" w:rsidP="004C75FF">
      <w:pPr>
        <w:jc w:val="center"/>
      </w:pPr>
      <w:r w:rsidRPr="00D84611">
        <w:rPr>
          <w:noProof/>
        </w:rPr>
        <w:drawing>
          <wp:inline distT="0" distB="0" distL="0" distR="0" wp14:anchorId="04C9CC16" wp14:editId="1A01D858">
            <wp:extent cx="4381877" cy="3050140"/>
            <wp:effectExtent l="0" t="0" r="0" b="0"/>
            <wp:docPr id="41180" name="Picture 4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4426152" cy="3080959"/>
                    </a:xfrm>
                    <a:prstGeom prst="rect">
                      <a:avLst/>
                    </a:prstGeom>
                    <a:noFill/>
                    <a:ln>
                      <a:noFill/>
                    </a:ln>
                  </pic:spPr>
                </pic:pic>
              </a:graphicData>
            </a:graphic>
          </wp:inline>
        </w:drawing>
      </w:r>
    </w:p>
    <w:p w14:paraId="5482B332" w14:textId="77777777" w:rsidR="006F6061" w:rsidRDefault="006F6061" w:rsidP="006F6061">
      <w:r>
        <w:t xml:space="preserve">Notice in the diagram that both organizations have an Identity Federation Service deployed. The federation service in the Resource Org (the organization hosting the application) trusts authentications that occur at the federation service in the Partner Org (where the users authenticate). Also, the web application trusts the federation service inside of its own organization. </w:t>
      </w:r>
    </w:p>
    <w:p w14:paraId="35215C88" w14:textId="77777777" w:rsidR="006F6061" w:rsidRDefault="006F6061" w:rsidP="006F6061">
      <w:r>
        <w:t xml:space="preserve">There are several reasons for this architecture. The biggest benefit to the application is that the federation service in the Resource Org acts as a buffer between the Partner Org and application. Because of this, the Resource Org has better control over who is authorized to access the application. </w:t>
      </w:r>
    </w:p>
    <w:p w14:paraId="5BE79F4D" w14:textId="77777777" w:rsidR="006F6061" w:rsidRDefault="006F6061" w:rsidP="006F6061">
      <w:r>
        <w:t xml:space="preserve">If there was more than one partner (as is usually the case), the Identity Federation Service in the Resource Org manages those relationships, so the application doesn’t have to. The application has to only manage the relationship between itself and the federation service in its own organization. </w:t>
      </w:r>
    </w:p>
    <w:p w14:paraId="5FD73B44" w14:textId="77777777" w:rsidR="006F6061" w:rsidRDefault="006F6061" w:rsidP="006F6061">
      <w:r>
        <w:t xml:space="preserve">Identity federation is a big subject, and there’s been a lot of content written about it. One of the best sources for understanding identity federation is a free eBook called </w:t>
      </w:r>
      <w:hyperlink r:id="rId486" w:history="1">
        <w:r w:rsidRPr="004D274C">
          <w:rPr>
            <w:rStyle w:val="Hyperlink"/>
          </w:rPr>
          <w:t>A Guide to Claims-Based Identity and Access Control (2</w:t>
        </w:r>
        <w:r w:rsidRPr="004D274C">
          <w:rPr>
            <w:rStyle w:val="Hyperlink"/>
            <w:vertAlign w:val="superscript"/>
          </w:rPr>
          <w:t>nd</w:t>
        </w:r>
        <w:r w:rsidRPr="004D274C">
          <w:rPr>
            <w:rStyle w:val="Hyperlink"/>
          </w:rPr>
          <w:t xml:space="preserve"> Edition)</w:t>
        </w:r>
      </w:hyperlink>
      <w:r>
        <w:t>.</w:t>
      </w:r>
    </w:p>
    <w:p w14:paraId="5F0987ED" w14:textId="77777777" w:rsidR="006F6061" w:rsidRPr="00594082" w:rsidRDefault="006F6061" w:rsidP="006F6061">
      <w:pPr>
        <w:rPr>
          <w:b/>
        </w:rPr>
      </w:pPr>
      <w:r w:rsidRPr="00594082">
        <w:rPr>
          <w:b/>
        </w:rPr>
        <w:t>Common Identity Federation Protocols</w:t>
      </w:r>
    </w:p>
    <w:p w14:paraId="0BB08257" w14:textId="77777777" w:rsidR="006F6061" w:rsidRDefault="006F6061" w:rsidP="006F6061">
      <w:r>
        <w:t xml:space="preserve">When it comes to actually implementing identity federation, a variety of protocols exist. The job of the protocol is to lay out the process that an application needs to go through to obtain a security token. The security token serves as proof that a user has successfully authenticated to a trusted identity system. </w:t>
      </w:r>
    </w:p>
    <w:p w14:paraId="0D850505" w14:textId="77777777" w:rsidR="006F6061" w:rsidRDefault="006F6061" w:rsidP="006F6061">
      <w:r>
        <w:t>Most of the protocols that are available were written for web-based applications, and therefore, they use common web methods (such as HTTP redirects and HTTP POST methods) for carrying out the protocol exchange. There are also protocols available for non-web-based applications that need identities for calling SOAP-based or RESTful web services. The following protocols are common today:</w:t>
      </w:r>
    </w:p>
    <w:p w14:paraId="431E5A3F" w14:textId="77777777" w:rsidR="006F6061" w:rsidRDefault="006F6061" w:rsidP="005729D2">
      <w:pPr>
        <w:pStyle w:val="ListBullet"/>
        <w:numPr>
          <w:ilvl w:val="0"/>
          <w:numId w:val="135"/>
        </w:numPr>
      </w:pPr>
      <w:r>
        <w:t>WS-Federation Passive Requestor Profile (PRP) – Browser-based apps</w:t>
      </w:r>
    </w:p>
    <w:p w14:paraId="7E78FD06" w14:textId="77777777" w:rsidR="006F6061" w:rsidRDefault="006F6061" w:rsidP="005729D2">
      <w:pPr>
        <w:pStyle w:val="ListBullet"/>
        <w:numPr>
          <w:ilvl w:val="0"/>
          <w:numId w:val="135"/>
        </w:numPr>
      </w:pPr>
      <w:r>
        <w:t>SAML 2.0 Web SSO Profile – Browser-based apps</w:t>
      </w:r>
    </w:p>
    <w:p w14:paraId="028FBCBB" w14:textId="77777777" w:rsidR="006F6061" w:rsidRDefault="006F6061" w:rsidP="005729D2">
      <w:pPr>
        <w:pStyle w:val="ListBullet"/>
        <w:numPr>
          <w:ilvl w:val="0"/>
          <w:numId w:val="135"/>
        </w:numPr>
      </w:pPr>
      <w:r>
        <w:t>OpenID Connect – Browser-based apps</w:t>
      </w:r>
    </w:p>
    <w:p w14:paraId="5F47F4A0" w14:textId="77777777" w:rsidR="006F6061" w:rsidRDefault="006F6061" w:rsidP="005729D2">
      <w:pPr>
        <w:pStyle w:val="ListBullet"/>
        <w:numPr>
          <w:ilvl w:val="0"/>
          <w:numId w:val="135"/>
        </w:numPr>
      </w:pPr>
      <w:r>
        <w:t>WS-Trust 1.3 – Client and service apps</w:t>
      </w:r>
    </w:p>
    <w:p w14:paraId="67DED495" w14:textId="66807BC9" w:rsidR="00594082" w:rsidRDefault="006F6061" w:rsidP="005729D2">
      <w:pPr>
        <w:pStyle w:val="ListBullet"/>
        <w:numPr>
          <w:ilvl w:val="0"/>
          <w:numId w:val="135"/>
        </w:numPr>
      </w:pPr>
      <w:r>
        <w:t>OAuth 2.0 – Client and service apps</w:t>
      </w:r>
    </w:p>
    <w:p w14:paraId="17F27B2C" w14:textId="09820B38" w:rsidR="00594082" w:rsidRPr="006F6061" w:rsidRDefault="00594082" w:rsidP="001629B4">
      <w:pPr>
        <w:rPr>
          <w:b/>
        </w:rPr>
      </w:pPr>
      <w:r w:rsidRPr="006F6061">
        <w:rPr>
          <w:b/>
        </w:rPr>
        <w:t>WS-Federation</w:t>
      </w:r>
      <w:r w:rsidR="00F806CE" w:rsidRPr="006F6061">
        <w:rPr>
          <w:b/>
        </w:rPr>
        <w:t xml:space="preserve"> </w:t>
      </w:r>
      <w:r w:rsidR="00136F63" w:rsidRPr="006F6061">
        <w:rPr>
          <w:b/>
        </w:rPr>
        <w:t>PRP and SAML 2.0 Web SSO Profile</w:t>
      </w:r>
    </w:p>
    <w:p w14:paraId="11EF24D0" w14:textId="77777777" w:rsidR="006F6061" w:rsidRDefault="006F6061" w:rsidP="006F6061">
      <w:r>
        <w:t xml:space="preserve">The WS-Federation Passive Requestor Profile (WS-Federation) and the SAML 2.0 Web SSO Profile (SAML 2.0) protocols use the same general process for providing an application with a security token. Therefore, the following description applies to both protocols. </w:t>
      </w:r>
    </w:p>
    <w:p w14:paraId="1E63F776" w14:textId="77777777" w:rsidR="006F6061" w:rsidRDefault="006F6061" w:rsidP="006F6061">
      <w:r>
        <w:t xml:space="preserve">However, these protocols are not compatible. That is, an application that only understands WS-Federation cannot request a security token from a federation service that only understands SAML 2.0. </w:t>
      </w:r>
    </w:p>
    <w:p w14:paraId="7C193C2C" w14:textId="77777777" w:rsidR="006F6061" w:rsidRDefault="006F6061" w:rsidP="006F6061">
      <w:r>
        <w:t>Although the protocol flow is the same, the difference between the two is the messaging. For example, in WS-Federation, the parameters are given to the federation service via individual query string elements in the URL. In SAML 2.0, there is an XML message that is encoded and placed in a single query string element to the federation service. Therefore, a SAML 2.0-based federation service wouldn’t know what to do with a WS-Federation request.</w:t>
      </w:r>
    </w:p>
    <w:p w14:paraId="6F26656C" w14:textId="77777777" w:rsidR="006F6061" w:rsidRDefault="006F6061" w:rsidP="006F6061">
      <w:r>
        <w:t xml:space="preserve">WS-Federation and SAML 2.0 are web sign-in protocols that enable web applications to authenticate users over a web browser. The first step of this process is to establish a relationship between the application and the federation service. This relationship is called a </w:t>
      </w:r>
      <w:r w:rsidRPr="00EA2F22">
        <w:rPr>
          <w:i/>
        </w:rPr>
        <w:t>federation trust</w:t>
      </w:r>
      <w:r>
        <w:t xml:space="preserve">. </w:t>
      </w:r>
    </w:p>
    <w:p w14:paraId="2F0DC504" w14:textId="77777777" w:rsidR="006F6061" w:rsidRDefault="006F6061" w:rsidP="006F6061">
      <w:pPr>
        <w:spacing w:before="0" w:after="160" w:line="259" w:lineRule="auto"/>
      </w:pPr>
      <w:r>
        <w:br w:type="page"/>
      </w:r>
    </w:p>
    <w:p w14:paraId="53FB050A" w14:textId="3E4BE9C5" w:rsidR="00594082" w:rsidRDefault="006F6061" w:rsidP="006F6061">
      <w:r>
        <w:t>This is depicted in the following diagram, where the web application on the right trusts authentications performed by the Identity Federation Service on the left</w:t>
      </w:r>
      <w:r w:rsidR="00BF1FDB">
        <w:t>.</w:t>
      </w:r>
    </w:p>
    <w:p w14:paraId="59A5D969" w14:textId="48FFF355" w:rsidR="00594082" w:rsidRDefault="00594082" w:rsidP="00BF1FDB">
      <w:pPr>
        <w:jc w:val="center"/>
      </w:pPr>
      <w:r>
        <w:t xml:space="preserve"> </w:t>
      </w:r>
      <w:r w:rsidR="00BF1FDB" w:rsidRPr="00BF1FDB">
        <w:rPr>
          <w:noProof/>
        </w:rPr>
        <w:drawing>
          <wp:inline distT="0" distB="0" distL="0" distR="0" wp14:anchorId="0CCCC462" wp14:editId="53D57153">
            <wp:extent cx="3874883" cy="1289359"/>
            <wp:effectExtent l="0" t="0" r="0" b="0"/>
            <wp:docPr id="41038" name="Picture 4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3887872" cy="1293681"/>
                    </a:xfrm>
                    <a:prstGeom prst="rect">
                      <a:avLst/>
                    </a:prstGeom>
                    <a:noFill/>
                    <a:ln>
                      <a:noFill/>
                    </a:ln>
                  </pic:spPr>
                </pic:pic>
              </a:graphicData>
            </a:graphic>
          </wp:inline>
        </w:drawing>
      </w:r>
    </w:p>
    <w:p w14:paraId="1DDECCE2" w14:textId="6D3A2432" w:rsidR="00BF1FDB" w:rsidRDefault="006F6061" w:rsidP="00BF1FDB">
      <w:r>
        <w:t>After a trust is established, users can sign in to the web application. To initiate the log-on process, the application redirects the user’s web browser to the log-on URL in the trusted Identity Federation Service. This is done via an HTTP 302 Redirect, so the user’s web browser automatically browses to the log-on page after clicking the sign-in button</w:t>
      </w:r>
      <w:r w:rsidR="00BF1FDB">
        <w:t>.</w:t>
      </w:r>
    </w:p>
    <w:p w14:paraId="5EA3B267" w14:textId="3D25B59F" w:rsidR="00BF1FDB" w:rsidRDefault="00BF1FDB" w:rsidP="00BF1FDB">
      <w:pPr>
        <w:jc w:val="center"/>
      </w:pPr>
      <w:r w:rsidRPr="00BF1FDB">
        <w:rPr>
          <w:noProof/>
        </w:rPr>
        <w:drawing>
          <wp:inline distT="0" distB="0" distL="0" distR="0" wp14:anchorId="4A10B3ED" wp14:editId="3E695053">
            <wp:extent cx="4109122" cy="2489703"/>
            <wp:effectExtent l="0" t="0" r="0" b="0"/>
            <wp:docPr id="41040" name="Picture 4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4119245" cy="2495836"/>
                    </a:xfrm>
                    <a:prstGeom prst="rect">
                      <a:avLst/>
                    </a:prstGeom>
                    <a:noFill/>
                    <a:ln>
                      <a:noFill/>
                    </a:ln>
                  </pic:spPr>
                </pic:pic>
              </a:graphicData>
            </a:graphic>
          </wp:inline>
        </w:drawing>
      </w:r>
    </w:p>
    <w:p w14:paraId="3ED2EEF3" w14:textId="0C99A3F8" w:rsidR="00BF1FDB" w:rsidRDefault="006F6061" w:rsidP="00BF1FDB">
      <w:r>
        <w:t>After the user is redirected to the log-on page on the Identity Federation Service, users authenticate by using their credentials. These credentials can take any form that the Identity Federation Service supports, such as user name/password, Kerberos protocol, or even X509 certificate authentication</w:t>
      </w:r>
      <w:r w:rsidR="00BF1FDB">
        <w:t>.</w:t>
      </w:r>
    </w:p>
    <w:p w14:paraId="06290A94" w14:textId="31977FEC" w:rsidR="00BF1FDB" w:rsidRDefault="00BF1FDB" w:rsidP="00BF1FDB">
      <w:pPr>
        <w:jc w:val="center"/>
      </w:pPr>
      <w:r w:rsidRPr="00BF1FDB">
        <w:rPr>
          <w:noProof/>
        </w:rPr>
        <w:drawing>
          <wp:inline distT="0" distB="0" distL="0" distR="0" wp14:anchorId="65F665D2" wp14:editId="693B4B74">
            <wp:extent cx="3395748" cy="1231272"/>
            <wp:effectExtent l="0" t="0" r="0" b="0"/>
            <wp:docPr id="41091" name="Picture 4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3420549" cy="1240265"/>
                    </a:xfrm>
                    <a:prstGeom prst="rect">
                      <a:avLst/>
                    </a:prstGeom>
                    <a:noFill/>
                    <a:ln>
                      <a:noFill/>
                    </a:ln>
                  </pic:spPr>
                </pic:pic>
              </a:graphicData>
            </a:graphic>
          </wp:inline>
        </w:drawing>
      </w:r>
    </w:p>
    <w:p w14:paraId="10A430F7" w14:textId="77777777" w:rsidR="006F6061" w:rsidRDefault="006F6061" w:rsidP="006F6061">
      <w:r>
        <w:t xml:space="preserve">After the user is authenticated, the Identity Federation Service creates a security token that proves the user successfully authenticated. This security token also contains some additional information about the user (called claims), so that the application has some idea of who the user is. </w:t>
      </w:r>
    </w:p>
    <w:p w14:paraId="05F72FE7" w14:textId="77777777" w:rsidR="006F6061" w:rsidRDefault="006F6061" w:rsidP="006F6061">
      <w:r>
        <w:t>This security token is signed by using an X509 certificate to prevent a malicious user from tampering with its contents. The security token can exist in a variety of formats, but the most common formats are:</w:t>
      </w:r>
    </w:p>
    <w:p w14:paraId="76F55EEC" w14:textId="77777777" w:rsidR="006F6061" w:rsidRDefault="006F6061" w:rsidP="005729D2">
      <w:pPr>
        <w:pStyle w:val="ListParagraph"/>
        <w:numPr>
          <w:ilvl w:val="0"/>
          <w:numId w:val="279"/>
        </w:numPr>
      </w:pPr>
      <w:r>
        <w:t>An XML-based format called SAML (not to be confused with the SAML protocol)</w:t>
      </w:r>
    </w:p>
    <w:p w14:paraId="3E4771CE" w14:textId="77777777" w:rsidR="006F6061" w:rsidRDefault="006F6061" w:rsidP="005729D2">
      <w:pPr>
        <w:pStyle w:val="ListParagraph"/>
        <w:numPr>
          <w:ilvl w:val="0"/>
          <w:numId w:val="279"/>
        </w:numPr>
      </w:pPr>
      <w:r>
        <w:t>A JSON-based format called a JSON Web Token (JWT)</w:t>
      </w:r>
    </w:p>
    <w:p w14:paraId="55E5BF3B" w14:textId="77777777" w:rsidR="006F6061" w:rsidRDefault="006F6061" w:rsidP="006F6061">
      <w:r>
        <w:t xml:space="preserve">The Identity Federation Service then provides this security token to the application by returning it to the user’s web browser in a web form. The user does not have to click the </w:t>
      </w:r>
      <w:r w:rsidRPr="00C5392B">
        <w:rPr>
          <w:b/>
        </w:rPr>
        <w:t>Submit</w:t>
      </w:r>
      <w:r>
        <w:t xml:space="preserve"> button in the web form because it’s hidden. </w:t>
      </w:r>
    </w:p>
    <w:p w14:paraId="3CF9754F" w14:textId="69E61AA4" w:rsidR="00444827" w:rsidRDefault="006F6061" w:rsidP="006F6061">
      <w:r>
        <w:t xml:space="preserve">Instead, the Identity Federation Service loads some JavaScript into the browser that automatically clicks the </w:t>
      </w:r>
      <w:r w:rsidRPr="00C5392B">
        <w:rPr>
          <w:b/>
        </w:rPr>
        <w:t>Submit</w:t>
      </w:r>
      <w:r>
        <w:t xml:space="preserve"> button for the user, which initiates an HTTP POST event to the application. The data that is POSTed to the application is the security token that the Identity Federation Service created</w:t>
      </w:r>
      <w:r w:rsidR="00444827">
        <w:t>.</w:t>
      </w:r>
    </w:p>
    <w:p w14:paraId="27BC5BF7" w14:textId="14E8C916" w:rsidR="00444827" w:rsidRDefault="00444827" w:rsidP="00444827">
      <w:pPr>
        <w:jc w:val="center"/>
      </w:pPr>
      <w:r w:rsidRPr="00444827">
        <w:rPr>
          <w:noProof/>
        </w:rPr>
        <w:drawing>
          <wp:inline distT="0" distB="0" distL="0" distR="0" wp14:anchorId="51065784" wp14:editId="22CA9009">
            <wp:extent cx="3614880" cy="2272420"/>
            <wp:effectExtent l="0" t="0" r="0" b="0"/>
            <wp:docPr id="41119" name="Picture 4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3625532" cy="2279116"/>
                    </a:xfrm>
                    <a:prstGeom prst="rect">
                      <a:avLst/>
                    </a:prstGeom>
                    <a:noFill/>
                    <a:ln>
                      <a:noFill/>
                    </a:ln>
                  </pic:spPr>
                </pic:pic>
              </a:graphicData>
            </a:graphic>
          </wp:inline>
        </w:drawing>
      </w:r>
    </w:p>
    <w:p w14:paraId="2B2711F6" w14:textId="66EDF54F" w:rsidR="00444827" w:rsidRPr="00594082" w:rsidRDefault="006F6061" w:rsidP="00444827">
      <w:r>
        <w:t>Now that the web application has the security token, it can inspect it and check the certificate to make sure it was created by the same Identity Federation Service that it has a trust relationship with. The application can then extract the identity information from the security token and use it</w:t>
      </w:r>
      <w:r w:rsidR="00444827">
        <w:t>.</w:t>
      </w:r>
    </w:p>
    <w:p w14:paraId="0E76034B" w14:textId="60ECED3C" w:rsidR="00594082" w:rsidRPr="006F6061" w:rsidRDefault="00594082" w:rsidP="001629B4">
      <w:pPr>
        <w:rPr>
          <w:b/>
        </w:rPr>
      </w:pPr>
      <w:r w:rsidRPr="006F6061">
        <w:rPr>
          <w:b/>
        </w:rPr>
        <w:t>OpenID Connect</w:t>
      </w:r>
    </w:p>
    <w:p w14:paraId="350E0CD5" w14:textId="77777777" w:rsidR="001B3EA1" w:rsidRPr="00594082" w:rsidRDefault="001B3EA1" w:rsidP="001B3EA1">
      <w:r>
        <w:t>OpenID Connect (OIDC) is another web sign-in protocol that was ratified in February 2014. Its purpose was to take the basic OAuth 2.0 flows and add an identity layer to make it suitable for authenticating users to web applications. OIDC is a more modern web sign-in protocol, and it has distinct advantages over WS-Federation and SAML 2.0.</w:t>
      </w:r>
    </w:p>
    <w:p w14:paraId="770F154D" w14:textId="77777777" w:rsidR="001B3EA1" w:rsidRDefault="001B3EA1" w:rsidP="001B3EA1">
      <w:r>
        <w:t xml:space="preserve">Similar to WS-Federation and SAML 2.0, the first step in OIDC is to establish a relationship between the application and the Identity Federation Service, which is also referred to as the OpenID Connect Provider. </w:t>
      </w:r>
    </w:p>
    <w:p w14:paraId="568B689F" w14:textId="18B12795" w:rsidR="00DD0794" w:rsidRDefault="001B3EA1" w:rsidP="001B3EA1">
      <w:r>
        <w:t>During this process, the application registers with the OpenID Connect Provider. Unlike WS-Federation and SAML 2.0, however, the web application registers a credential with the OpenID Connect Provider, which will allow the web application to authenticate itself later during the token exchange</w:t>
      </w:r>
      <w:r w:rsidR="00FE292C">
        <w:t>.</w:t>
      </w:r>
    </w:p>
    <w:p w14:paraId="29DEF02C" w14:textId="707DCDD4" w:rsidR="003F4A0C" w:rsidRPr="00594082" w:rsidRDefault="003F4A0C" w:rsidP="00C90964">
      <w:pPr>
        <w:jc w:val="center"/>
      </w:pPr>
      <w:r w:rsidRPr="003F4A0C">
        <w:rPr>
          <w:noProof/>
        </w:rPr>
        <w:drawing>
          <wp:inline distT="0" distB="0" distL="0" distR="0" wp14:anchorId="2363563D" wp14:editId="50047C84">
            <wp:extent cx="4183811" cy="1413998"/>
            <wp:effectExtent l="0" t="0" r="0" b="0"/>
            <wp:docPr id="41182" name="Picture 4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4200061" cy="1419490"/>
                    </a:xfrm>
                    <a:prstGeom prst="rect">
                      <a:avLst/>
                    </a:prstGeom>
                    <a:noFill/>
                    <a:ln>
                      <a:noFill/>
                    </a:ln>
                  </pic:spPr>
                </pic:pic>
              </a:graphicData>
            </a:graphic>
          </wp:inline>
        </w:drawing>
      </w:r>
    </w:p>
    <w:p w14:paraId="3FA030E4" w14:textId="77777777" w:rsidR="001B3EA1" w:rsidRDefault="001B3EA1" w:rsidP="001B3EA1">
      <w:r>
        <w:t xml:space="preserve">Now that the application is registered, the user can sign in. When the user browses to the web application and clicks the </w:t>
      </w:r>
      <w:r w:rsidRPr="002A443A">
        <w:rPr>
          <w:b/>
        </w:rPr>
        <w:t>Sign in</w:t>
      </w:r>
      <w:r>
        <w:t xml:space="preserve"> link, the web application redirects the user to the OpenID Connect Provider. </w:t>
      </w:r>
    </w:p>
    <w:p w14:paraId="551CA9E5" w14:textId="7F806AFF" w:rsidR="003F4A0C" w:rsidRDefault="001B3EA1" w:rsidP="001B3EA1">
      <w:r>
        <w:t>To accomplish this, the web application uses a standard HTTP 302 Redirect message. All of the data that the OpenID Connect Provider needs to do the job of authenticating the user is included by the application in the query string elements of the URL in the redirect</w:t>
      </w:r>
      <w:r w:rsidR="003F4A0C">
        <w:t>.</w:t>
      </w:r>
    </w:p>
    <w:p w14:paraId="5CA47C1B" w14:textId="26D65B05" w:rsidR="003F4A0C" w:rsidRDefault="003F4A0C" w:rsidP="00C90964">
      <w:pPr>
        <w:jc w:val="center"/>
      </w:pPr>
      <w:r w:rsidRPr="003F4A0C">
        <w:rPr>
          <w:noProof/>
        </w:rPr>
        <w:drawing>
          <wp:inline distT="0" distB="0" distL="0" distR="0" wp14:anchorId="6DD7F533" wp14:editId="5729A639">
            <wp:extent cx="4195373" cy="2587924"/>
            <wp:effectExtent l="0" t="0" r="0" b="0"/>
            <wp:docPr id="41184" name="Picture 4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4206185" cy="2594594"/>
                    </a:xfrm>
                    <a:prstGeom prst="rect">
                      <a:avLst/>
                    </a:prstGeom>
                    <a:noFill/>
                    <a:ln>
                      <a:noFill/>
                    </a:ln>
                  </pic:spPr>
                </pic:pic>
              </a:graphicData>
            </a:graphic>
          </wp:inline>
        </w:drawing>
      </w:r>
    </w:p>
    <w:p w14:paraId="40AFB8AF" w14:textId="77777777" w:rsidR="001B3EA1" w:rsidRDefault="001B3EA1" w:rsidP="001B3EA1">
      <w:r>
        <w:t xml:space="preserve">In the next step, the OpenID Connect Provider prompts the user for authentication. This authentication challenge can take any form that the OpenID Connect Provider supports, including user name/password, Kerberos protocol, or X509 certificate authentication. </w:t>
      </w:r>
    </w:p>
    <w:p w14:paraId="1E75478F" w14:textId="304CE113" w:rsidR="009B162A" w:rsidRDefault="001B3EA1" w:rsidP="001B3EA1">
      <w:r>
        <w:t>After authentication is successfully, OIDC prompts the user for consent to release some of the user’s identity data to the application. This is one of the main differences between OIDC and other web sign-in protocols</w:t>
      </w:r>
      <w:r w:rsidR="009B162A">
        <w:t>.</w:t>
      </w:r>
    </w:p>
    <w:p w14:paraId="66F02C0A" w14:textId="36E8532B" w:rsidR="003F4A0C" w:rsidRDefault="009B162A" w:rsidP="00C90964">
      <w:pPr>
        <w:jc w:val="center"/>
      </w:pPr>
      <w:r w:rsidRPr="009B162A">
        <w:rPr>
          <w:noProof/>
        </w:rPr>
        <w:drawing>
          <wp:inline distT="0" distB="0" distL="0" distR="0" wp14:anchorId="0E20E446" wp14:editId="73DAC37A">
            <wp:extent cx="3886200" cy="1433036"/>
            <wp:effectExtent l="0" t="0" r="0" b="0"/>
            <wp:docPr id="41185" name="Picture 4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3896332" cy="1436772"/>
                    </a:xfrm>
                    <a:prstGeom prst="rect">
                      <a:avLst/>
                    </a:prstGeom>
                    <a:noFill/>
                    <a:ln>
                      <a:noFill/>
                    </a:ln>
                  </pic:spPr>
                </pic:pic>
              </a:graphicData>
            </a:graphic>
          </wp:inline>
        </w:drawing>
      </w:r>
    </w:p>
    <w:p w14:paraId="3F899323" w14:textId="77777777" w:rsidR="001B3EA1" w:rsidRDefault="001B3EA1" w:rsidP="001B3EA1">
      <w:r>
        <w:t xml:space="preserve">After authentication, the OpenID Connect Provider creates an authorization code for the application. This authorization code is not the security token. Instead, the application can use this authorization code to retrieve the security token from the OpenID Connect Provider. </w:t>
      </w:r>
    </w:p>
    <w:p w14:paraId="6BE7CE75" w14:textId="1BDE7657" w:rsidR="009B162A" w:rsidRDefault="001B3EA1" w:rsidP="001B3EA1">
      <w:r>
        <w:t>After the authorization code is created, the OpenID Connect Provider redirects the user to the web application with the authorization code in a query string parameter, so that the application can receive it</w:t>
      </w:r>
      <w:r w:rsidR="009B162A">
        <w:t>.</w:t>
      </w:r>
    </w:p>
    <w:p w14:paraId="06FA189A" w14:textId="38AD6CFF" w:rsidR="009B162A" w:rsidRDefault="00FE292C" w:rsidP="00C90964">
      <w:pPr>
        <w:jc w:val="center"/>
      </w:pPr>
      <w:r w:rsidRPr="00FE292C">
        <w:rPr>
          <w:noProof/>
        </w:rPr>
        <w:drawing>
          <wp:inline distT="0" distB="0" distL="0" distR="0" wp14:anchorId="76B9598B" wp14:editId="2A8A194E">
            <wp:extent cx="4495800" cy="2778214"/>
            <wp:effectExtent l="0" t="0" r="0" b="0"/>
            <wp:docPr id="41187" name="Picture 4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4507414" cy="2785391"/>
                    </a:xfrm>
                    <a:prstGeom prst="rect">
                      <a:avLst/>
                    </a:prstGeom>
                    <a:noFill/>
                    <a:ln>
                      <a:noFill/>
                    </a:ln>
                  </pic:spPr>
                </pic:pic>
              </a:graphicData>
            </a:graphic>
          </wp:inline>
        </w:drawing>
      </w:r>
    </w:p>
    <w:p w14:paraId="2F28E3B1" w14:textId="77777777" w:rsidR="001B3EA1" w:rsidRDefault="001B3EA1" w:rsidP="001B3EA1">
      <w:r>
        <w:t xml:space="preserve">Now that the web application has the authorization code, the user’s browser is finished with its job. The application goes back to the OpenID Connect Provider and redeems the authorization code for an identity token. It does this by calling a RESTful web service on the OpenID Connect Provider and sending an HTTP POST method to the OpenID Connect Provider with the authorization code. </w:t>
      </w:r>
    </w:p>
    <w:p w14:paraId="2AA2F174" w14:textId="4EB3BCB1" w:rsidR="009B162A" w:rsidRDefault="001B3EA1" w:rsidP="001B3EA1">
      <w:r>
        <w:t>The web application authenticates to the OpenID Connect Provider by using the credential that it established during registration</w:t>
      </w:r>
      <w:r w:rsidR="009B162A">
        <w:t>.</w:t>
      </w:r>
    </w:p>
    <w:p w14:paraId="131FB02B" w14:textId="18FD42FA" w:rsidR="00FE292C" w:rsidRDefault="00FE292C" w:rsidP="00C90964">
      <w:pPr>
        <w:jc w:val="center"/>
      </w:pPr>
      <w:r w:rsidRPr="00FE292C">
        <w:rPr>
          <w:noProof/>
        </w:rPr>
        <w:drawing>
          <wp:inline distT="0" distB="0" distL="0" distR="0" wp14:anchorId="70FD1A7C" wp14:editId="0EF99417">
            <wp:extent cx="4229100" cy="1431263"/>
            <wp:effectExtent l="0" t="0" r="0" b="0"/>
            <wp:docPr id="41188" name="Picture 4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4255675" cy="1440257"/>
                    </a:xfrm>
                    <a:prstGeom prst="rect">
                      <a:avLst/>
                    </a:prstGeom>
                    <a:noFill/>
                    <a:ln>
                      <a:noFill/>
                    </a:ln>
                  </pic:spPr>
                </pic:pic>
              </a:graphicData>
            </a:graphic>
          </wp:inline>
        </w:drawing>
      </w:r>
    </w:p>
    <w:p w14:paraId="6695B994" w14:textId="28AAA99F" w:rsidR="00FE292C" w:rsidRDefault="001B3EA1">
      <w:r>
        <w:t>As a final step, to prevent a man-in-the-middle attack, the web application verifies that the identity token was indeed created by the OpenID Connect Provider by checking the signature. The web application can then extract the identity data from the token and use it for the session</w:t>
      </w:r>
      <w:r w:rsidR="00FE292C">
        <w:t>.</w:t>
      </w:r>
    </w:p>
    <w:p w14:paraId="7489AE34" w14:textId="143DE0E1" w:rsidR="00594082" w:rsidRPr="001B3EA1" w:rsidRDefault="00594082" w:rsidP="001629B4">
      <w:pPr>
        <w:rPr>
          <w:b/>
        </w:rPr>
      </w:pPr>
      <w:r w:rsidRPr="001B3EA1">
        <w:rPr>
          <w:b/>
        </w:rPr>
        <w:t>WS-Trust</w:t>
      </w:r>
    </w:p>
    <w:p w14:paraId="60553296" w14:textId="77777777" w:rsidR="00877082" w:rsidRDefault="00877082" w:rsidP="00877082">
      <w:r>
        <w:t xml:space="preserve">WS-Trust is a protocol that is used for authenticating to SOAP-based web services. This has traditionally been used in client/server applications that run on the desktop. The client application must collect the credentials from the user, and call the Identity Federation Service to exchange those credentials for a security token that the web service will accept. </w:t>
      </w:r>
    </w:p>
    <w:p w14:paraId="09E0CC3B" w14:textId="3F828B5E" w:rsidR="009B147F" w:rsidRDefault="00877082" w:rsidP="00877082">
      <w:r>
        <w:t>Similar to the other protocols, the first step is for the web service to establish a trust with the Identity Federation Service. The client does not have a trust because the client is not receiving the security token. It’s akin to the web browser in the previously discussed flows</w:t>
      </w:r>
      <w:r w:rsidR="00BC2356">
        <w:t>.</w:t>
      </w:r>
    </w:p>
    <w:p w14:paraId="7654247E" w14:textId="245842AA" w:rsidR="00BC2356" w:rsidRDefault="00BC2356" w:rsidP="00C90964">
      <w:pPr>
        <w:jc w:val="center"/>
      </w:pPr>
      <w:r w:rsidRPr="00BC2356">
        <w:rPr>
          <w:noProof/>
        </w:rPr>
        <w:drawing>
          <wp:inline distT="0" distB="0" distL="0" distR="0" wp14:anchorId="451DFF56" wp14:editId="17B2E62A">
            <wp:extent cx="3771900" cy="1286371"/>
            <wp:effectExtent l="0" t="0" r="0" b="0"/>
            <wp:docPr id="41189" name="Picture 4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3786361" cy="1291303"/>
                    </a:xfrm>
                    <a:prstGeom prst="rect">
                      <a:avLst/>
                    </a:prstGeom>
                    <a:noFill/>
                    <a:ln>
                      <a:noFill/>
                    </a:ln>
                  </pic:spPr>
                </pic:pic>
              </a:graphicData>
            </a:graphic>
          </wp:inline>
        </w:drawing>
      </w:r>
    </w:p>
    <w:p w14:paraId="41864449" w14:textId="4A96CE2A" w:rsidR="00173DB1" w:rsidRDefault="00877082">
      <w:r>
        <w:t>WS-Trust generally assumes that the client running on the user’s device is a trusted entity. Therefore, the first step in the process is for the client to prompt the user for credentials. Like the other protocols, these credentials can take any form that the Identity Federation Service accepts, such as a user name/password or a Kerberos ticket. The client then sends a request to the Identity Federation Service called a Request for Security Token (RST)</w:t>
      </w:r>
      <w:r w:rsidR="00173DB1">
        <w:t>.</w:t>
      </w:r>
    </w:p>
    <w:p w14:paraId="323E8A9C" w14:textId="6A2585DB" w:rsidR="00BC2356" w:rsidRDefault="00173DB1" w:rsidP="00C90964">
      <w:pPr>
        <w:jc w:val="center"/>
      </w:pPr>
      <w:r w:rsidRPr="00173DB1">
        <w:rPr>
          <w:noProof/>
        </w:rPr>
        <w:drawing>
          <wp:inline distT="0" distB="0" distL="0" distR="0" wp14:anchorId="697D831A" wp14:editId="45348863">
            <wp:extent cx="4124325" cy="2089554"/>
            <wp:effectExtent l="0" t="0" r="0" b="0"/>
            <wp:docPr id="41190" name="Picture 4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4137609" cy="2096284"/>
                    </a:xfrm>
                    <a:prstGeom prst="rect">
                      <a:avLst/>
                    </a:prstGeom>
                    <a:noFill/>
                    <a:ln>
                      <a:noFill/>
                    </a:ln>
                  </pic:spPr>
                </pic:pic>
              </a:graphicData>
            </a:graphic>
          </wp:inline>
        </w:drawing>
      </w:r>
    </w:p>
    <w:p w14:paraId="3845D5BD" w14:textId="2E156186" w:rsidR="00173DB1" w:rsidRDefault="00877082">
      <w:r>
        <w:t>The Identity Federation Service verifies the credentials, and sends a response back to the client called a Request for Security Token Response (RSTR). The RSTR contains the security token that the client will present to the web service</w:t>
      </w:r>
      <w:r w:rsidR="00966239">
        <w:t>.</w:t>
      </w:r>
    </w:p>
    <w:p w14:paraId="5D7D9B95" w14:textId="06FA8017" w:rsidR="00966239" w:rsidRDefault="00966239" w:rsidP="00C90964">
      <w:pPr>
        <w:jc w:val="center"/>
      </w:pPr>
      <w:r w:rsidRPr="00966239">
        <w:rPr>
          <w:noProof/>
        </w:rPr>
        <w:drawing>
          <wp:inline distT="0" distB="0" distL="0" distR="0" wp14:anchorId="0DCFBB16" wp14:editId="0B612179">
            <wp:extent cx="4229100" cy="1420400"/>
            <wp:effectExtent l="0" t="0" r="0" b="0"/>
            <wp:docPr id="41192" name="Picture 4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4236972" cy="1423044"/>
                    </a:xfrm>
                    <a:prstGeom prst="rect">
                      <a:avLst/>
                    </a:prstGeom>
                    <a:noFill/>
                    <a:ln>
                      <a:noFill/>
                    </a:ln>
                  </pic:spPr>
                </pic:pic>
              </a:graphicData>
            </a:graphic>
          </wp:inline>
        </w:drawing>
      </w:r>
    </w:p>
    <w:p w14:paraId="76E105CF" w14:textId="26883353" w:rsidR="00966239" w:rsidRDefault="00877082">
      <w:r>
        <w:t>The client then calls the web service, including the security token as an authenticator in the SOAP message. When the web service receives the message, it extracts the security token and verifies that it was issued by the Identity Federation Service that it trusts</w:t>
      </w:r>
      <w:r w:rsidR="00966239">
        <w:t>.</w:t>
      </w:r>
    </w:p>
    <w:p w14:paraId="7C9E32D5" w14:textId="20CC6B12" w:rsidR="00966239" w:rsidRPr="00594082" w:rsidRDefault="00966239" w:rsidP="00C90964">
      <w:pPr>
        <w:jc w:val="center"/>
      </w:pPr>
      <w:r w:rsidRPr="00966239">
        <w:rPr>
          <w:noProof/>
        </w:rPr>
        <w:drawing>
          <wp:inline distT="0" distB="0" distL="0" distR="0" wp14:anchorId="5C2AF232" wp14:editId="284DDAD4">
            <wp:extent cx="4476750" cy="1047750"/>
            <wp:effectExtent l="0" t="0" r="0" b="0"/>
            <wp:docPr id="41193" name="Picture 4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4488416" cy="1050480"/>
                    </a:xfrm>
                    <a:prstGeom prst="rect">
                      <a:avLst/>
                    </a:prstGeom>
                    <a:noFill/>
                    <a:ln>
                      <a:noFill/>
                    </a:ln>
                  </pic:spPr>
                </pic:pic>
              </a:graphicData>
            </a:graphic>
          </wp:inline>
        </w:drawing>
      </w:r>
    </w:p>
    <w:p w14:paraId="73D6D888" w14:textId="6794D776" w:rsidR="00594082" w:rsidRPr="00877082" w:rsidRDefault="00594082" w:rsidP="001629B4">
      <w:pPr>
        <w:rPr>
          <w:b/>
        </w:rPr>
      </w:pPr>
      <w:r w:rsidRPr="00877082">
        <w:rPr>
          <w:b/>
        </w:rPr>
        <w:t>OAuth 2.0</w:t>
      </w:r>
    </w:p>
    <w:p w14:paraId="6C4DBEA9" w14:textId="77777777" w:rsidR="00877082" w:rsidRDefault="00877082" w:rsidP="00877082">
      <w:r>
        <w:t xml:space="preserve">OAuth 2.0 is a client/server protocol. Unlike WS-Trust, OAuth 2.0 is a RESTful protocol which is most suitable for tablet or phone applications that need to access RESTful web services. Most modern applications leverage RESTful web services, so this protocol has gained a lot of popularity. </w:t>
      </w:r>
    </w:p>
    <w:p w14:paraId="7D985CAA" w14:textId="77777777" w:rsidR="00877082" w:rsidRDefault="00877082" w:rsidP="00877082">
      <w:r>
        <w:t xml:space="preserve">One thing to note about OAuth 2.0 is that its original purpose was not to be an identity protocol. Rather, it was authored with the intention of providing delegated access to web services for applications running on a user’s device. </w:t>
      </w:r>
    </w:p>
    <w:p w14:paraId="68FBFCEE" w14:textId="5927EEF3" w:rsidR="00F27E53" w:rsidRDefault="00877082" w:rsidP="00877082">
      <w:r>
        <w:t>The following table describes the four main flows in OAuth 2.0, which can provide access tokens for a variety of application types</w:t>
      </w:r>
      <w:r w:rsidR="00F27E53">
        <w:t>:</w:t>
      </w:r>
    </w:p>
    <w:tbl>
      <w:tblPr>
        <w:tblStyle w:val="PlainTable11"/>
        <w:tblW w:w="0" w:type="auto"/>
        <w:tblLook w:val="0420" w:firstRow="1" w:lastRow="0" w:firstColumn="0" w:lastColumn="0" w:noHBand="0" w:noVBand="1"/>
      </w:tblPr>
      <w:tblGrid>
        <w:gridCol w:w="2695"/>
        <w:gridCol w:w="6570"/>
      </w:tblGrid>
      <w:tr w:rsidR="007A25FB" w:rsidRPr="00B0484A" w14:paraId="3CD94902" w14:textId="77777777" w:rsidTr="00B0484A">
        <w:trPr>
          <w:cnfStyle w:val="100000000000" w:firstRow="1" w:lastRow="0" w:firstColumn="0" w:lastColumn="0" w:oddVBand="0" w:evenVBand="0" w:oddHBand="0" w:evenHBand="0" w:firstRowFirstColumn="0" w:firstRowLastColumn="0" w:lastRowFirstColumn="0" w:lastRowLastColumn="0"/>
        </w:trPr>
        <w:tc>
          <w:tcPr>
            <w:tcW w:w="2695" w:type="dxa"/>
            <w:shd w:val="clear" w:color="auto" w:fill="808080" w:themeFill="background1" w:themeFillShade="80"/>
            <w:hideMark/>
          </w:tcPr>
          <w:p w14:paraId="3BA0AAB8" w14:textId="77777777" w:rsidR="007A25FB" w:rsidRPr="00B0484A" w:rsidRDefault="007A25FB" w:rsidP="00EE645C">
            <w:pPr>
              <w:spacing w:line="240" w:lineRule="auto"/>
              <w:rPr>
                <w:rFonts w:eastAsia="Calibri"/>
                <w:bCs w:val="0"/>
                <w:color w:val="FFFFFF"/>
                <w:szCs w:val="20"/>
                <w:lang w:eastAsia="en-AU"/>
              </w:rPr>
            </w:pPr>
            <w:r w:rsidRPr="00B0484A">
              <w:rPr>
                <w:rFonts w:eastAsia="Calibri"/>
                <w:bCs w:val="0"/>
                <w:color w:val="FFFFFF"/>
                <w:szCs w:val="20"/>
                <w:lang w:eastAsia="en-AU"/>
              </w:rPr>
              <w:t>OAuth Flow Type</w:t>
            </w:r>
          </w:p>
        </w:tc>
        <w:tc>
          <w:tcPr>
            <w:tcW w:w="6570" w:type="dxa"/>
            <w:shd w:val="clear" w:color="auto" w:fill="808080" w:themeFill="background1" w:themeFillShade="80"/>
            <w:hideMark/>
          </w:tcPr>
          <w:p w14:paraId="1DC22A31" w14:textId="77777777" w:rsidR="007A25FB" w:rsidRPr="00B0484A" w:rsidRDefault="007A25FB" w:rsidP="00EE645C">
            <w:pPr>
              <w:spacing w:line="240" w:lineRule="auto"/>
              <w:rPr>
                <w:rFonts w:eastAsia="Calibri"/>
                <w:bCs w:val="0"/>
                <w:color w:val="FFFFFF"/>
                <w:szCs w:val="20"/>
                <w:lang w:eastAsia="en-AU"/>
              </w:rPr>
            </w:pPr>
            <w:r w:rsidRPr="00B0484A">
              <w:rPr>
                <w:rFonts w:eastAsia="Calibri"/>
                <w:bCs w:val="0"/>
                <w:color w:val="FFFFFF"/>
                <w:szCs w:val="20"/>
                <w:lang w:eastAsia="en-AU"/>
              </w:rPr>
              <w:t>Description</w:t>
            </w:r>
          </w:p>
        </w:tc>
      </w:tr>
      <w:tr w:rsidR="00877082" w14:paraId="14525A6F" w14:textId="77777777" w:rsidTr="00B0484A">
        <w:trPr>
          <w:cnfStyle w:val="000000100000" w:firstRow="0" w:lastRow="0" w:firstColumn="0" w:lastColumn="0" w:oddVBand="0" w:evenVBand="0" w:oddHBand="1" w:evenHBand="0" w:firstRowFirstColumn="0" w:firstRowLastColumn="0" w:lastRowFirstColumn="0" w:lastRowLastColumn="0"/>
        </w:trPr>
        <w:tc>
          <w:tcPr>
            <w:tcW w:w="2695" w:type="dxa"/>
          </w:tcPr>
          <w:p w14:paraId="76D295D5" w14:textId="2575BD0F" w:rsidR="00877082" w:rsidRPr="00570384" w:rsidRDefault="00877082" w:rsidP="00877082">
            <w:pPr>
              <w:rPr>
                <w:b/>
                <w:sz w:val="20"/>
                <w:szCs w:val="20"/>
              </w:rPr>
            </w:pPr>
            <w:r w:rsidRPr="009031D0">
              <w:rPr>
                <w:b/>
                <w:sz w:val="20"/>
                <w:szCs w:val="20"/>
              </w:rPr>
              <w:t xml:space="preserve">Authorization </w:t>
            </w:r>
            <w:r>
              <w:rPr>
                <w:b/>
                <w:sz w:val="20"/>
                <w:szCs w:val="20"/>
              </w:rPr>
              <w:t>c</w:t>
            </w:r>
            <w:r w:rsidRPr="009031D0">
              <w:rPr>
                <w:b/>
                <w:sz w:val="20"/>
                <w:szCs w:val="20"/>
              </w:rPr>
              <w:t xml:space="preserve">ode </w:t>
            </w:r>
            <w:r>
              <w:rPr>
                <w:b/>
                <w:sz w:val="20"/>
                <w:szCs w:val="20"/>
              </w:rPr>
              <w:t>f</w:t>
            </w:r>
            <w:r w:rsidRPr="009031D0">
              <w:rPr>
                <w:b/>
                <w:sz w:val="20"/>
                <w:szCs w:val="20"/>
              </w:rPr>
              <w:t>low</w:t>
            </w:r>
          </w:p>
        </w:tc>
        <w:tc>
          <w:tcPr>
            <w:tcW w:w="6570" w:type="dxa"/>
          </w:tcPr>
          <w:p w14:paraId="07CB10DB" w14:textId="00FA7F79" w:rsidR="00877082" w:rsidRPr="008434C5" w:rsidRDefault="00877082" w:rsidP="00877082">
            <w:pPr>
              <w:rPr>
                <w:sz w:val="20"/>
                <w:szCs w:val="20"/>
              </w:rPr>
            </w:pPr>
            <w:r w:rsidRPr="009031D0">
              <w:rPr>
                <w:sz w:val="20"/>
                <w:szCs w:val="20"/>
              </w:rPr>
              <w:t>Perhaps the flow most often used by clients, this flow allows applications installed on a device to use RESTful web services. The password is not given to the application</w:t>
            </w:r>
            <w:r>
              <w:rPr>
                <w:sz w:val="20"/>
                <w:szCs w:val="20"/>
              </w:rPr>
              <w:t>;</w:t>
            </w:r>
            <w:r w:rsidRPr="009031D0">
              <w:rPr>
                <w:sz w:val="20"/>
                <w:szCs w:val="20"/>
              </w:rPr>
              <w:t xml:space="preserve"> rather</w:t>
            </w:r>
            <w:r>
              <w:rPr>
                <w:sz w:val="20"/>
                <w:szCs w:val="20"/>
              </w:rPr>
              <w:t>,</w:t>
            </w:r>
            <w:r w:rsidRPr="009031D0">
              <w:rPr>
                <w:sz w:val="20"/>
                <w:szCs w:val="20"/>
              </w:rPr>
              <w:t xml:space="preserve"> it’s given to the OAuth server, which means that the application is not able to store the password.</w:t>
            </w:r>
          </w:p>
        </w:tc>
      </w:tr>
      <w:tr w:rsidR="00877082" w14:paraId="7E197B5F" w14:textId="77777777" w:rsidTr="00B0484A">
        <w:tc>
          <w:tcPr>
            <w:tcW w:w="2695" w:type="dxa"/>
          </w:tcPr>
          <w:p w14:paraId="366402A1" w14:textId="7BFB478A" w:rsidR="00877082" w:rsidRPr="00570384" w:rsidRDefault="00877082" w:rsidP="00877082">
            <w:pPr>
              <w:rPr>
                <w:b/>
                <w:sz w:val="20"/>
                <w:szCs w:val="20"/>
              </w:rPr>
            </w:pPr>
            <w:r w:rsidRPr="009031D0">
              <w:rPr>
                <w:b/>
                <w:sz w:val="20"/>
                <w:szCs w:val="20"/>
              </w:rPr>
              <w:t xml:space="preserve">Client </w:t>
            </w:r>
            <w:r>
              <w:rPr>
                <w:b/>
                <w:sz w:val="20"/>
                <w:szCs w:val="20"/>
              </w:rPr>
              <w:t>c</w:t>
            </w:r>
            <w:r w:rsidRPr="009031D0">
              <w:rPr>
                <w:b/>
                <w:sz w:val="20"/>
                <w:szCs w:val="20"/>
              </w:rPr>
              <w:t xml:space="preserve">redentials </w:t>
            </w:r>
            <w:r>
              <w:rPr>
                <w:b/>
                <w:sz w:val="20"/>
                <w:szCs w:val="20"/>
              </w:rPr>
              <w:t>f</w:t>
            </w:r>
            <w:r w:rsidRPr="009031D0">
              <w:rPr>
                <w:b/>
                <w:sz w:val="20"/>
                <w:szCs w:val="20"/>
              </w:rPr>
              <w:t>low</w:t>
            </w:r>
          </w:p>
        </w:tc>
        <w:tc>
          <w:tcPr>
            <w:tcW w:w="6570" w:type="dxa"/>
          </w:tcPr>
          <w:p w14:paraId="35C5BE12" w14:textId="4BD84EC4" w:rsidR="00877082" w:rsidRPr="008434C5" w:rsidRDefault="00877082" w:rsidP="00877082">
            <w:pPr>
              <w:rPr>
                <w:sz w:val="20"/>
                <w:szCs w:val="20"/>
              </w:rPr>
            </w:pPr>
            <w:r w:rsidRPr="009031D0">
              <w:rPr>
                <w:sz w:val="20"/>
                <w:szCs w:val="20"/>
              </w:rPr>
              <w:t>This flow is typically used by a web application or web service that needs to access another web service. The user is not involved in this flow</w:t>
            </w:r>
            <w:r>
              <w:rPr>
                <w:sz w:val="20"/>
                <w:szCs w:val="20"/>
              </w:rPr>
              <w:t>;</w:t>
            </w:r>
            <w:r w:rsidRPr="009031D0">
              <w:rPr>
                <w:sz w:val="20"/>
                <w:szCs w:val="20"/>
              </w:rPr>
              <w:t xml:space="preserve"> rather</w:t>
            </w:r>
            <w:r>
              <w:rPr>
                <w:sz w:val="20"/>
                <w:szCs w:val="20"/>
              </w:rPr>
              <w:t>,</w:t>
            </w:r>
            <w:r w:rsidRPr="009031D0">
              <w:rPr>
                <w:sz w:val="20"/>
                <w:szCs w:val="20"/>
              </w:rPr>
              <w:t xml:space="preserve"> it’s for one application authenticating to another.</w:t>
            </w:r>
          </w:p>
        </w:tc>
      </w:tr>
      <w:tr w:rsidR="00877082" w14:paraId="047A911F" w14:textId="77777777" w:rsidTr="00B0484A">
        <w:trPr>
          <w:cnfStyle w:val="000000100000" w:firstRow="0" w:lastRow="0" w:firstColumn="0" w:lastColumn="0" w:oddVBand="0" w:evenVBand="0" w:oddHBand="1" w:evenHBand="0" w:firstRowFirstColumn="0" w:firstRowLastColumn="0" w:lastRowFirstColumn="0" w:lastRowLastColumn="0"/>
        </w:trPr>
        <w:tc>
          <w:tcPr>
            <w:tcW w:w="2695" w:type="dxa"/>
          </w:tcPr>
          <w:p w14:paraId="329EEC9D" w14:textId="2D0FF8A3" w:rsidR="00877082" w:rsidRPr="00570384" w:rsidRDefault="00877082" w:rsidP="00877082">
            <w:pPr>
              <w:rPr>
                <w:b/>
                <w:sz w:val="20"/>
                <w:szCs w:val="20"/>
              </w:rPr>
            </w:pPr>
            <w:r w:rsidRPr="009031D0">
              <w:rPr>
                <w:b/>
                <w:sz w:val="20"/>
                <w:szCs w:val="20"/>
              </w:rPr>
              <w:t xml:space="preserve">Resource </w:t>
            </w:r>
            <w:r>
              <w:rPr>
                <w:b/>
                <w:sz w:val="20"/>
                <w:szCs w:val="20"/>
              </w:rPr>
              <w:t>o</w:t>
            </w:r>
            <w:r w:rsidRPr="009031D0">
              <w:rPr>
                <w:b/>
                <w:sz w:val="20"/>
                <w:szCs w:val="20"/>
              </w:rPr>
              <w:t xml:space="preserve">wner </w:t>
            </w:r>
            <w:r>
              <w:rPr>
                <w:b/>
                <w:sz w:val="20"/>
                <w:szCs w:val="20"/>
              </w:rPr>
              <w:t>p</w:t>
            </w:r>
            <w:r w:rsidRPr="009031D0">
              <w:rPr>
                <w:b/>
                <w:sz w:val="20"/>
                <w:szCs w:val="20"/>
              </w:rPr>
              <w:t xml:space="preserve">assword </w:t>
            </w:r>
            <w:r>
              <w:rPr>
                <w:b/>
                <w:sz w:val="20"/>
                <w:szCs w:val="20"/>
              </w:rPr>
              <w:t>f</w:t>
            </w:r>
            <w:r w:rsidRPr="009031D0">
              <w:rPr>
                <w:b/>
                <w:sz w:val="20"/>
                <w:szCs w:val="20"/>
              </w:rPr>
              <w:t>low</w:t>
            </w:r>
          </w:p>
        </w:tc>
        <w:tc>
          <w:tcPr>
            <w:tcW w:w="6570" w:type="dxa"/>
          </w:tcPr>
          <w:p w14:paraId="15E81BAE" w14:textId="3169C8EB" w:rsidR="00877082" w:rsidRPr="008434C5" w:rsidRDefault="00877082" w:rsidP="00877082">
            <w:pPr>
              <w:rPr>
                <w:sz w:val="20"/>
                <w:szCs w:val="20"/>
              </w:rPr>
            </w:pPr>
            <w:r w:rsidRPr="009031D0">
              <w:rPr>
                <w:sz w:val="20"/>
                <w:szCs w:val="20"/>
              </w:rPr>
              <w:t xml:space="preserve">This flow allows an application installed on the device to collect credentials from the user and exchange </w:t>
            </w:r>
            <w:r>
              <w:rPr>
                <w:sz w:val="20"/>
                <w:szCs w:val="20"/>
              </w:rPr>
              <w:t>them</w:t>
            </w:r>
            <w:r w:rsidRPr="009031D0">
              <w:rPr>
                <w:sz w:val="20"/>
                <w:szCs w:val="20"/>
              </w:rPr>
              <w:t xml:space="preserve"> for an access token that can be used to access the web service. This should only be used with first party applications, because the user is trusting the application with a user</w:t>
            </w:r>
            <w:r>
              <w:rPr>
                <w:sz w:val="20"/>
                <w:szCs w:val="20"/>
              </w:rPr>
              <w:t xml:space="preserve"> </w:t>
            </w:r>
            <w:r w:rsidRPr="009031D0">
              <w:rPr>
                <w:sz w:val="20"/>
                <w:szCs w:val="20"/>
              </w:rPr>
              <w:t>name and password in most cases.</w:t>
            </w:r>
          </w:p>
        </w:tc>
      </w:tr>
      <w:tr w:rsidR="00877082" w14:paraId="08648BAC" w14:textId="77777777" w:rsidTr="00B0484A">
        <w:tc>
          <w:tcPr>
            <w:tcW w:w="2695" w:type="dxa"/>
          </w:tcPr>
          <w:p w14:paraId="6D1DFA7F" w14:textId="382C3C4B" w:rsidR="00877082" w:rsidRPr="009031D0" w:rsidRDefault="00877082" w:rsidP="00877082">
            <w:pPr>
              <w:rPr>
                <w:b/>
                <w:sz w:val="20"/>
                <w:szCs w:val="20"/>
              </w:rPr>
            </w:pPr>
            <w:r w:rsidRPr="009031D0">
              <w:rPr>
                <w:b/>
                <w:sz w:val="20"/>
                <w:szCs w:val="20"/>
              </w:rPr>
              <w:t xml:space="preserve">Implicit </w:t>
            </w:r>
            <w:r>
              <w:rPr>
                <w:b/>
                <w:sz w:val="20"/>
                <w:szCs w:val="20"/>
              </w:rPr>
              <w:t>f</w:t>
            </w:r>
            <w:r w:rsidRPr="009031D0">
              <w:rPr>
                <w:b/>
                <w:sz w:val="20"/>
                <w:szCs w:val="20"/>
              </w:rPr>
              <w:t>low</w:t>
            </w:r>
          </w:p>
        </w:tc>
        <w:tc>
          <w:tcPr>
            <w:tcW w:w="6570" w:type="dxa"/>
          </w:tcPr>
          <w:p w14:paraId="321FC8BB" w14:textId="0CBD5A9E" w:rsidR="00877082" w:rsidRPr="009031D0" w:rsidRDefault="00877082" w:rsidP="00877082">
            <w:pPr>
              <w:rPr>
                <w:sz w:val="20"/>
                <w:szCs w:val="20"/>
              </w:rPr>
            </w:pPr>
            <w:r w:rsidRPr="009031D0">
              <w:rPr>
                <w:sz w:val="20"/>
                <w:szCs w:val="20"/>
              </w:rPr>
              <w:t>This flow is used for applications that are not installed on a device</w:t>
            </w:r>
            <w:r>
              <w:rPr>
                <w:sz w:val="20"/>
                <w:szCs w:val="20"/>
              </w:rPr>
              <w:t>,</w:t>
            </w:r>
            <w:r w:rsidRPr="009031D0">
              <w:rPr>
                <w:sz w:val="20"/>
                <w:szCs w:val="20"/>
              </w:rPr>
              <w:t xml:space="preserve"> </w:t>
            </w:r>
            <w:r>
              <w:rPr>
                <w:sz w:val="20"/>
                <w:szCs w:val="20"/>
              </w:rPr>
              <w:t>f</w:t>
            </w:r>
            <w:r w:rsidRPr="009031D0">
              <w:rPr>
                <w:sz w:val="20"/>
                <w:szCs w:val="20"/>
              </w:rPr>
              <w:t>or example, a JavaScript client that needs to access a web service.</w:t>
            </w:r>
          </w:p>
        </w:tc>
      </w:tr>
    </w:tbl>
    <w:p w14:paraId="2B3EFFA3" w14:textId="77777777" w:rsidR="007A25FB" w:rsidRDefault="007A25FB" w:rsidP="00F27E53"/>
    <w:p w14:paraId="1BA63A0E" w14:textId="77777777" w:rsidR="00877082" w:rsidRDefault="00877082" w:rsidP="00877082">
      <w:r>
        <w:t xml:space="preserve">For more details on the flows, please see the </w:t>
      </w:r>
      <w:hyperlink r:id="rId500" w:history="1">
        <w:r w:rsidRPr="00220E92">
          <w:rPr>
            <w:rStyle w:val="Hyperlink"/>
          </w:rPr>
          <w:t>OAuth</w:t>
        </w:r>
        <w:r>
          <w:rPr>
            <w:rStyle w:val="Hyperlink"/>
          </w:rPr>
          <w:t> 2</w:t>
        </w:r>
        <w:r w:rsidRPr="00220E92">
          <w:rPr>
            <w:rStyle w:val="Hyperlink"/>
          </w:rPr>
          <w:t>.0 specification, RFC6749</w:t>
        </w:r>
      </w:hyperlink>
      <w:r>
        <w:t>. Rather than diving into each of these flows, the remainder of this section details the Authorization Code flow, which is the flow that most customers will likely be using.</w:t>
      </w:r>
    </w:p>
    <w:p w14:paraId="530DE7A1" w14:textId="77777777" w:rsidR="00877082" w:rsidRDefault="00877082" w:rsidP="00877082">
      <w:r>
        <w:t xml:space="preserve">Like the other protocols, the first step in an OAuth 2.0 flow is to establish a relationship with the Identity Federation Server (the OAuth server). This process is similar to the OpenID Connect registration process, where the application registers an authentication secret. In addition to the web service, the client registers with the OAuth server. </w:t>
      </w:r>
    </w:p>
    <w:p w14:paraId="0782996D" w14:textId="577BDC56" w:rsidR="00220E92" w:rsidRDefault="00877082" w:rsidP="00877082">
      <w:r>
        <w:t>These registrations are performed by the developers of the respective applications</w:t>
      </w:r>
      <w:r w:rsidR="00EE16ED">
        <w:t>.</w:t>
      </w:r>
    </w:p>
    <w:p w14:paraId="17D5EC01" w14:textId="40F96872" w:rsidR="00EE16ED" w:rsidRDefault="00EE16ED" w:rsidP="00EE16ED">
      <w:pPr>
        <w:jc w:val="center"/>
      </w:pPr>
      <w:r w:rsidRPr="00EE16ED">
        <w:rPr>
          <w:noProof/>
        </w:rPr>
        <w:drawing>
          <wp:inline distT="0" distB="0" distL="0" distR="0" wp14:anchorId="60ED5A7B" wp14:editId="4DD0AF83">
            <wp:extent cx="3928275" cy="2705100"/>
            <wp:effectExtent l="0" t="0" r="0" b="0"/>
            <wp:docPr id="41195" name="Picture 4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3933277" cy="2708545"/>
                    </a:xfrm>
                    <a:prstGeom prst="rect">
                      <a:avLst/>
                    </a:prstGeom>
                    <a:noFill/>
                    <a:ln>
                      <a:noFill/>
                    </a:ln>
                  </pic:spPr>
                </pic:pic>
              </a:graphicData>
            </a:graphic>
          </wp:inline>
        </w:drawing>
      </w:r>
    </w:p>
    <w:p w14:paraId="5930D21C" w14:textId="0D5D840F" w:rsidR="00EE16ED" w:rsidRDefault="00877082" w:rsidP="00EE16ED">
      <w:r>
        <w:t>When the user launches the application on their device and attempts the sign-in process, the client opens a web browser control and directs the user to the log-on page on the OAuth server. The user is also presented with the log-on page, as well as the consent page, which allows the client to use the web service on their behalf</w:t>
      </w:r>
      <w:r w:rsidR="001A55B4">
        <w:t>.</w:t>
      </w:r>
    </w:p>
    <w:p w14:paraId="2EBF7BD5" w14:textId="666C30A0" w:rsidR="001A55B4" w:rsidRDefault="001A55B4" w:rsidP="001A55B4">
      <w:pPr>
        <w:jc w:val="center"/>
      </w:pPr>
      <w:r w:rsidRPr="001A55B4">
        <w:rPr>
          <w:noProof/>
        </w:rPr>
        <w:drawing>
          <wp:inline distT="0" distB="0" distL="0" distR="0" wp14:anchorId="6CAFD959" wp14:editId="59EA0CC7">
            <wp:extent cx="4191000" cy="2985796"/>
            <wp:effectExtent l="0" t="0" r="0" b="0"/>
            <wp:docPr id="41196" name="Picture 4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4194480" cy="2988275"/>
                    </a:xfrm>
                    <a:prstGeom prst="rect">
                      <a:avLst/>
                    </a:prstGeom>
                    <a:noFill/>
                    <a:ln>
                      <a:noFill/>
                    </a:ln>
                  </pic:spPr>
                </pic:pic>
              </a:graphicData>
            </a:graphic>
          </wp:inline>
        </w:drawing>
      </w:r>
    </w:p>
    <w:p w14:paraId="134E38DE" w14:textId="77777777" w:rsidR="00877082" w:rsidRDefault="00877082" w:rsidP="00877082">
      <w:r>
        <w:t xml:space="preserve">After the user authenticates and consents to the OAuth server, the OAuth server creates an authorization code and returns it to the client. To get the Authorization Code to the client, the OAuth Server returns it as a query string parameter in an HTTP redirect. However, because the client is not a web browser, it pulls the authorization code out of the URL and does not follow through on the redirect. </w:t>
      </w:r>
    </w:p>
    <w:p w14:paraId="296A19CA" w14:textId="3AE86A93" w:rsidR="001A55B4" w:rsidRDefault="00877082" w:rsidP="00877082">
      <w:r>
        <w:t>For modern Windows applications, this is a special URL that begins with ms-app://, but it could be a standard https:// URL pointing to a server that doesn’t exist. Because the application does not follow through on the redirect, it does not matter if the URL is real</w:t>
      </w:r>
      <w:r w:rsidR="001A55B4">
        <w:t>.</w:t>
      </w:r>
    </w:p>
    <w:p w14:paraId="0A8D74C6" w14:textId="2EF6FBBE" w:rsidR="007B666C" w:rsidRDefault="007B666C" w:rsidP="007B666C">
      <w:pPr>
        <w:jc w:val="center"/>
      </w:pPr>
      <w:r w:rsidRPr="007B666C">
        <w:rPr>
          <w:noProof/>
        </w:rPr>
        <w:drawing>
          <wp:inline distT="0" distB="0" distL="0" distR="0" wp14:anchorId="44E47227" wp14:editId="02F9267B">
            <wp:extent cx="3895725" cy="1478498"/>
            <wp:effectExtent l="0" t="0" r="0" b="0"/>
            <wp:docPr id="41197" name="Picture 4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3904103" cy="1481677"/>
                    </a:xfrm>
                    <a:prstGeom prst="rect">
                      <a:avLst/>
                    </a:prstGeom>
                    <a:noFill/>
                    <a:ln>
                      <a:noFill/>
                    </a:ln>
                  </pic:spPr>
                </pic:pic>
              </a:graphicData>
            </a:graphic>
          </wp:inline>
        </w:drawing>
      </w:r>
    </w:p>
    <w:p w14:paraId="086893B3" w14:textId="20B1AFE3" w:rsidR="007B666C" w:rsidRDefault="00877082" w:rsidP="007B666C">
      <w:r>
        <w:t>After receiving the authorization code, the client returns it to the OAuth server and redeems it for an access token</w:t>
      </w:r>
      <w:r w:rsidR="007B666C">
        <w:t>.</w:t>
      </w:r>
    </w:p>
    <w:p w14:paraId="296B0892" w14:textId="389C23C3" w:rsidR="007B666C" w:rsidRDefault="007B666C" w:rsidP="007B666C">
      <w:pPr>
        <w:jc w:val="center"/>
      </w:pPr>
      <w:r w:rsidRPr="007B666C">
        <w:rPr>
          <w:noProof/>
        </w:rPr>
        <w:drawing>
          <wp:inline distT="0" distB="0" distL="0" distR="0" wp14:anchorId="21D4E466" wp14:editId="2B45FDA6">
            <wp:extent cx="3467100" cy="1311223"/>
            <wp:effectExtent l="0" t="0" r="0" b="0"/>
            <wp:docPr id="41198" name="Picture 4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3474793" cy="1314132"/>
                    </a:xfrm>
                    <a:prstGeom prst="rect">
                      <a:avLst/>
                    </a:prstGeom>
                    <a:noFill/>
                    <a:ln>
                      <a:noFill/>
                    </a:ln>
                  </pic:spPr>
                </pic:pic>
              </a:graphicData>
            </a:graphic>
          </wp:inline>
        </w:drawing>
      </w:r>
    </w:p>
    <w:p w14:paraId="6CE72AFE" w14:textId="7FA4E896" w:rsidR="007B666C" w:rsidRDefault="00877082" w:rsidP="007B666C">
      <w:r>
        <w:t>Now that the client is in possession of the access token, the client can call the web service, using the access token as an authenticator. Note that this authenticator does not authenticate the user. Instead, it authenticates the fact that the client has access to the web service on the user’s behalf</w:t>
      </w:r>
      <w:r w:rsidR="007B666C">
        <w:t>.</w:t>
      </w:r>
    </w:p>
    <w:p w14:paraId="304C6808" w14:textId="2EB379D5" w:rsidR="007B666C" w:rsidRPr="00594082" w:rsidRDefault="007B666C" w:rsidP="007B666C">
      <w:pPr>
        <w:jc w:val="center"/>
      </w:pPr>
      <w:r w:rsidRPr="007B666C">
        <w:rPr>
          <w:noProof/>
        </w:rPr>
        <w:drawing>
          <wp:inline distT="0" distB="0" distL="0" distR="0" wp14:anchorId="241D6491" wp14:editId="37208F4A">
            <wp:extent cx="3790950" cy="1079751"/>
            <wp:effectExtent l="0" t="0" r="0" b="0"/>
            <wp:docPr id="41199" name="Picture 4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3799779" cy="1082266"/>
                    </a:xfrm>
                    <a:prstGeom prst="rect">
                      <a:avLst/>
                    </a:prstGeom>
                    <a:noFill/>
                    <a:ln>
                      <a:noFill/>
                    </a:ln>
                  </pic:spPr>
                </pic:pic>
              </a:graphicData>
            </a:graphic>
          </wp:inline>
        </w:drawing>
      </w:r>
    </w:p>
    <w:p w14:paraId="6DBEFA7A" w14:textId="4C4C12C4" w:rsidR="007A25FB" w:rsidRDefault="007A25FB">
      <w:pPr>
        <w:spacing w:before="0" w:after="160" w:line="259" w:lineRule="auto"/>
        <w:rPr>
          <w:b/>
        </w:rPr>
      </w:pPr>
    </w:p>
    <w:p w14:paraId="73C13106" w14:textId="54CD944C" w:rsidR="001629B4" w:rsidRPr="007B25B9" w:rsidRDefault="001629B4" w:rsidP="001629B4">
      <w:pPr>
        <w:rPr>
          <w:b/>
        </w:rPr>
      </w:pPr>
      <w:r w:rsidRPr="007B25B9">
        <w:rPr>
          <w:b/>
        </w:rPr>
        <w:t>Identity Federation Support in Azure AD</w:t>
      </w:r>
    </w:p>
    <w:p w14:paraId="10601532" w14:textId="20050775" w:rsidR="00877082" w:rsidRDefault="001629B4" w:rsidP="00877082">
      <w:r>
        <w:t>Azure</w:t>
      </w:r>
      <w:r w:rsidR="00877082">
        <w:t xml:space="preserve"> Active Directory natively supports the following identity protocols and security token formats in Azure AD:</w:t>
      </w:r>
    </w:p>
    <w:p w14:paraId="5119E885" w14:textId="77777777" w:rsidR="00877082" w:rsidRDefault="00877082" w:rsidP="005729D2">
      <w:pPr>
        <w:pStyle w:val="ListBullet"/>
        <w:numPr>
          <w:ilvl w:val="0"/>
          <w:numId w:val="94"/>
        </w:numPr>
      </w:pPr>
      <w:r>
        <w:t>WS-Federation</w:t>
      </w:r>
    </w:p>
    <w:p w14:paraId="69FA097C" w14:textId="77777777" w:rsidR="00877082" w:rsidRDefault="00877082" w:rsidP="005729D2">
      <w:pPr>
        <w:pStyle w:val="ListBullet"/>
        <w:numPr>
          <w:ilvl w:val="0"/>
          <w:numId w:val="94"/>
        </w:numPr>
      </w:pPr>
      <w:r>
        <w:t>SAML 2.0</w:t>
      </w:r>
    </w:p>
    <w:p w14:paraId="384ACBB7" w14:textId="77777777" w:rsidR="00877082" w:rsidRDefault="00877082" w:rsidP="005729D2">
      <w:pPr>
        <w:pStyle w:val="ListBullet"/>
        <w:numPr>
          <w:ilvl w:val="0"/>
          <w:numId w:val="94"/>
        </w:numPr>
      </w:pPr>
      <w:r>
        <w:t>OpenID Connect</w:t>
      </w:r>
    </w:p>
    <w:p w14:paraId="2875F403" w14:textId="77777777" w:rsidR="00877082" w:rsidRDefault="00877082" w:rsidP="005729D2">
      <w:pPr>
        <w:pStyle w:val="ListBullet"/>
        <w:numPr>
          <w:ilvl w:val="0"/>
          <w:numId w:val="94"/>
        </w:numPr>
      </w:pPr>
      <w:r>
        <w:t>OAuth 2.0</w:t>
      </w:r>
    </w:p>
    <w:p w14:paraId="501EEA56" w14:textId="77777777" w:rsidR="00877082" w:rsidRDefault="00877082" w:rsidP="00877082">
      <w:r>
        <w:t xml:space="preserve">What this means is that there are a variety of protocols to choose from for integrating an application with Azure AD. This also means that for custom applications, it is likely that some portions of the application need to be rewritten to support one of these protocols. </w:t>
      </w:r>
    </w:p>
    <w:p w14:paraId="69652DE9" w14:textId="4D10B783" w:rsidR="00267015" w:rsidRDefault="00877082" w:rsidP="00877082">
      <w:r>
        <w:t>If it’s a COTS application, and the application doesn’t support any of these identity federation protocols, then you’ll need to use one of the other approaches outlined in this section. The following diagram provides the general approach for integrating applications into Azure AD</w:t>
      </w:r>
      <w:r w:rsidR="00267015">
        <w:t>:</w:t>
      </w:r>
    </w:p>
    <w:p w14:paraId="0FC16407" w14:textId="77777777" w:rsidR="001629B4" w:rsidRDefault="001629B4" w:rsidP="001629B4">
      <w:r w:rsidRPr="007B25B9">
        <w:rPr>
          <w:noProof/>
        </w:rPr>
        <w:drawing>
          <wp:inline distT="0" distB="0" distL="0" distR="0" wp14:anchorId="6EA44931" wp14:editId="7725ED62">
            <wp:extent cx="5857875" cy="1548130"/>
            <wp:effectExtent l="0" t="0" r="9525" b="0"/>
            <wp:docPr id="830832932" name="Picture 83083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5857875" cy="1548130"/>
                    </a:xfrm>
                    <a:prstGeom prst="rect">
                      <a:avLst/>
                    </a:prstGeom>
                    <a:noFill/>
                    <a:ln>
                      <a:noFill/>
                    </a:ln>
                  </pic:spPr>
                </pic:pic>
              </a:graphicData>
            </a:graphic>
          </wp:inline>
        </w:drawing>
      </w:r>
    </w:p>
    <w:p w14:paraId="77D277DA" w14:textId="55E42982" w:rsidR="001629B4" w:rsidRPr="00620DCE" w:rsidRDefault="00620DCE" w:rsidP="001629B4">
      <w:pPr>
        <w:rPr>
          <w:b/>
        </w:rPr>
      </w:pPr>
      <w:r w:rsidRPr="00620DCE">
        <w:rPr>
          <w:b/>
        </w:rPr>
        <w:t>Identity Federation Support in AD FS</w:t>
      </w:r>
    </w:p>
    <w:p w14:paraId="2D195065" w14:textId="716C31D3" w:rsidR="00620DCE" w:rsidRDefault="00877082" w:rsidP="001629B4">
      <w:r>
        <w:t>Active Directory Federation Services is Microsoft’s on-premises identity federation service product. Similar to Azure AD, AD FS supports WS-Federation, SAML 2.0, and a limited subset of the OAuth 2.0 protocol flows. The following diagram illustrates the protocol support built-in to AD FS in Windows Server 2012 R2</w:t>
      </w:r>
      <w:r w:rsidR="00620DCE">
        <w:t>.</w:t>
      </w:r>
    </w:p>
    <w:p w14:paraId="355B596C" w14:textId="28D1BA86" w:rsidR="00620DCE" w:rsidRDefault="00267015" w:rsidP="001629B4">
      <w:r w:rsidRPr="00267015">
        <w:rPr>
          <w:noProof/>
        </w:rPr>
        <w:drawing>
          <wp:inline distT="0" distB="0" distL="0" distR="0" wp14:anchorId="673ACBED" wp14:editId="0510D133">
            <wp:extent cx="5857875" cy="1400175"/>
            <wp:effectExtent l="0" t="0" r="9525" b="9525"/>
            <wp:docPr id="41201" name="Picture 4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5857875" cy="1400175"/>
                    </a:xfrm>
                    <a:prstGeom prst="rect">
                      <a:avLst/>
                    </a:prstGeom>
                    <a:noFill/>
                    <a:ln>
                      <a:noFill/>
                    </a:ln>
                  </pic:spPr>
                </pic:pic>
              </a:graphicData>
            </a:graphic>
          </wp:inline>
        </w:drawing>
      </w:r>
    </w:p>
    <w:p w14:paraId="256168A7" w14:textId="51D63CDD" w:rsidR="00620DCE" w:rsidRDefault="00877082" w:rsidP="001629B4">
      <w:r>
        <w:t>Not</w:t>
      </w:r>
      <w:r w:rsidR="00F66EA5">
        <w:t>e</w:t>
      </w:r>
      <w:r>
        <w:t xml:space="preserve"> that unlike Azure AD, AD FS in Windows Server 2012 R2 does not provide support for OpenID Connect</w:t>
      </w:r>
      <w:r w:rsidR="00F66EA5">
        <w:t xml:space="preserve">, </w:t>
      </w:r>
      <w:r>
        <w:t xml:space="preserve">however, </w:t>
      </w:r>
      <w:r w:rsidR="00F66EA5">
        <w:t xml:space="preserve">this </w:t>
      </w:r>
      <w:r>
        <w:t>is present in AD FS for Windows 10</w:t>
      </w:r>
      <w:r w:rsidR="00620DCE">
        <w:t>.</w:t>
      </w:r>
    </w:p>
    <w:p w14:paraId="4BB3567F" w14:textId="073C6F0B" w:rsidR="00620DCE" w:rsidRPr="00620DCE" w:rsidRDefault="00267015" w:rsidP="001629B4">
      <w:r>
        <w:object w:dxaOrig="9361" w:dyaOrig="2446" w14:anchorId="29B121D1">
          <v:shape id="_x0000_i1038" type="#_x0000_t75" style="width:468.75pt;height:122.25pt" o:ole="">
            <v:imagedata r:id="rId508" o:title=""/>
          </v:shape>
          <o:OLEObject Type="Embed" ProgID="Visio.Drawing.15" ShapeID="_x0000_i1038" DrawAspect="Content" ObjectID="_1508841466" r:id="rId509"/>
        </w:object>
      </w:r>
    </w:p>
    <w:p w14:paraId="3C20AB03" w14:textId="1FE436EF" w:rsidR="001629B4" w:rsidRPr="007B25B9" w:rsidRDefault="001629B4" w:rsidP="001629B4">
      <w:pPr>
        <w:rPr>
          <w:b/>
        </w:rPr>
      </w:pPr>
      <w:r w:rsidRPr="007B25B9">
        <w:rPr>
          <w:b/>
        </w:rPr>
        <w:t>Identity Federation APIs</w:t>
      </w:r>
    </w:p>
    <w:p w14:paraId="06D6A689" w14:textId="77777777" w:rsidR="00877082" w:rsidRDefault="00877082" w:rsidP="00877082">
      <w:r>
        <w:t xml:space="preserve">In theory, if application developers read the identity protocol specification documents, they can write the application to support each protocol natively. This, however, is a very large undertaking because these specifications aren’t simple, and there are several cases that divert from the protocol specifications. </w:t>
      </w:r>
    </w:p>
    <w:p w14:paraId="4C4D76F1" w14:textId="73BF8A71" w:rsidR="001629B4" w:rsidRDefault="00877082" w:rsidP="00877082">
      <w:r>
        <w:t>The better approach for an application developer is to leverage an existing application programming interface (API), which takes on all of the complexity associated with following the protocol specification. These APIs typically come in the form of a library that the developers can use</w:t>
      </w:r>
      <w:r w:rsidR="001629B4">
        <w:t>.</w:t>
      </w:r>
    </w:p>
    <w:p w14:paraId="05B0CB1F" w14:textId="52960EFB" w:rsidR="00620DCE" w:rsidRDefault="00620DCE" w:rsidP="001629B4">
      <w:r w:rsidRPr="00620DCE">
        <w:rPr>
          <w:noProof/>
        </w:rPr>
        <w:drawing>
          <wp:inline distT="0" distB="0" distL="0" distR="0" wp14:anchorId="49B0BBBD" wp14:editId="71364A18">
            <wp:extent cx="5930265" cy="1403350"/>
            <wp:effectExtent l="0" t="0" r="0" b="6350"/>
            <wp:docPr id="830832959" name="Picture 83083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5930265" cy="1403350"/>
                    </a:xfrm>
                    <a:prstGeom prst="rect">
                      <a:avLst/>
                    </a:prstGeom>
                    <a:noFill/>
                    <a:ln>
                      <a:noFill/>
                    </a:ln>
                  </pic:spPr>
                </pic:pic>
              </a:graphicData>
            </a:graphic>
          </wp:inline>
        </w:drawing>
      </w:r>
    </w:p>
    <w:p w14:paraId="69CB87B4" w14:textId="77777777" w:rsidR="00877082" w:rsidRDefault="00877082" w:rsidP="00877082">
      <w:r>
        <w:t>When AD FS 2.0 was released, we also released one of these APIs for .NET applications. This API was called the Windows Identity Foundation (WIF). WIF came with a variety of .NET libraries that made it simple for developers to interact with the WS-Federation and WS-Trust protocols. The problem with including all of the protocol support in a single monolithic library is that it’s difficult to update the library to support newer and emerging protocols.</w:t>
      </w:r>
    </w:p>
    <w:p w14:paraId="4021F35C" w14:textId="77777777" w:rsidR="00877082" w:rsidRDefault="00877082" w:rsidP="00877082">
      <w:r>
        <w:t xml:space="preserve">Also, in recent years, there’s been an effort to decouple the .NET Framework from the Microsoft IIS server. As a result, newer interface methodologies for .NET have come forth. In particular, Open Web Server Interface for .NET (OWIN) is now the preferred way to provide federation protocol support to .NET applications. </w:t>
      </w:r>
    </w:p>
    <w:p w14:paraId="664DCEAB" w14:textId="7181EAA2" w:rsidR="001629B4" w:rsidRDefault="00877082" w:rsidP="00877082">
      <w:r>
        <w:t>OWIN provides a modular platform, and Microsoft has started building modules to support each of the identity federation protocols. Developers can integrate these modules into their applications without a fee, and they can enable identity federation support for the application very quickly</w:t>
      </w:r>
      <w:r w:rsidR="001629B4">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1629B4" w14:paraId="38C81397" w14:textId="77777777" w:rsidTr="00010804">
        <w:trPr>
          <w:trHeight w:val="423"/>
        </w:trPr>
        <w:tc>
          <w:tcPr>
            <w:tcW w:w="666" w:type="dxa"/>
          </w:tcPr>
          <w:p w14:paraId="51FE550E" w14:textId="77777777" w:rsidR="001629B4" w:rsidRDefault="001629B4" w:rsidP="00010804">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595776" behindDoc="0" locked="0" layoutInCell="1" allowOverlap="1" wp14:anchorId="12E26976" wp14:editId="4AC5803E">
                      <wp:simplePos x="0" y="0"/>
                      <wp:positionH relativeFrom="column">
                        <wp:posOffset>66675</wp:posOffset>
                      </wp:positionH>
                      <wp:positionV relativeFrom="paragraph">
                        <wp:posOffset>90170</wp:posOffset>
                      </wp:positionV>
                      <wp:extent cx="209550" cy="180975"/>
                      <wp:effectExtent l="57150" t="19050" r="57150" b="104775"/>
                      <wp:wrapNone/>
                      <wp:docPr id="830832956" name="Isosceles Triangle 8308329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12F1D153" id="Isosceles Triangle 830832956" o:spid="_x0000_s1026" type="#_x0000_t5" style="position:absolute;margin-left:5.25pt;margin-top:7.1pt;width:16.5pt;height:14.2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lYYjgIAAH8FAAAOAAAAZHJzL2Uyb0RvYy54bWysVG1r2zAQ/j7YfxD6vtpOmzYxdUpoySiE&#10;Nqwd/azIUmIm6zRJiZP9+p3kl3RdoTDmD0Lne+50L8/d9c2hVmQvrKtAFzQ7SykRmkNZ6U1Bvz8v&#10;vkwocZ7pkinQoqBH4ejN7POn68bkYgRbUKWwBJ1olzemoFvvTZ4kjm9FzdwZGKFRKcHWzKNoN0lp&#10;WYPea5WM0vQyacCWxgIXzuHfu1ZJZ9G/lIL7Rymd8EQVFGPz8bTxXIczmV2zfGOZ2Va8C4P9QxQ1&#10;qzQ+Ori6Y56Rna3+clVX3IID6c841AlIWXERc8BssvRNNk9bZkTMBYvjzFAm9//c8of9ypKqLOjk&#10;PJ2cj6bjS0o0q7FV9w4cF0o48mwrpjdKkBMG69YYl6P5k1nZkLkzS+A/HCqSPzRBcB3mIG0dsJg3&#10;OcQmHIcmiIMnHH+O0ul4jK3iqMom6fRqHJqUsLw3Ntb5rwJqEi4F9V1wsfxsv3S+hfewGBuoqlxU&#10;SkXBbta3ypI9Q04s8EsjDfAFd4LFHNqwYwL+qEQwVvqbkFgvDDSLL0amisEf41xof9mFHNHBTOLb&#10;g+H5x4YdPpiKyOLBePSx8WARXwbtB+O60mDfc6B81oUsW3zXRdfmHUqwhvKIVLHQzpAzfFFhA5bM&#10;+RWzODTYM1wE/hEPqaApKHQ3SrZgf733P+CRy6ilpMEhLKj7uWNWUKLuNbJ8ml1chKmNwsX4aoSC&#10;fa1Zv9boXX0L2NMMV47h8RrwXvVXaaF+wX0xD6+iimmObxeUe9sLt75dDrhxuJjPIwwn1TC/1E+G&#10;910P5Ho+vDBrehYifR+gH1iWvyFiiw390DDfeZBVZOmprl29ccoj17uNFNbIazmiTntz9hs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Ih5WGI4CAA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2511D93F" w14:textId="6B78B3E3" w:rsidR="001629B4" w:rsidRDefault="001629B4" w:rsidP="00010804">
            <w:pPr>
              <w:rPr>
                <w:lang w:eastAsia="en-US"/>
              </w:rPr>
            </w:pPr>
            <w:r>
              <w:rPr>
                <w:rFonts w:eastAsiaTheme="minorHAnsi"/>
                <w:b/>
                <w:lang w:eastAsia="en-US"/>
              </w:rPr>
              <w:t xml:space="preserve">Recommended: </w:t>
            </w:r>
            <w:r>
              <w:rPr>
                <w:rFonts w:eastAsiaTheme="minorHAnsi"/>
                <w:lang w:eastAsia="en-US"/>
              </w:rPr>
              <w:t xml:space="preserve"> </w:t>
            </w:r>
            <w:r w:rsidR="008F2061">
              <w:rPr>
                <w:rFonts w:eastAsiaTheme="minorHAnsi"/>
                <w:lang w:eastAsia="en-US"/>
              </w:rPr>
              <w:t>Use OWIN modules instead of the Windows Identity Foundation SDK for adding identity federation protocol support to .NET applications</w:t>
            </w:r>
            <w:r>
              <w:t>.</w:t>
            </w:r>
          </w:p>
        </w:tc>
      </w:tr>
    </w:tbl>
    <w:p w14:paraId="1A724789" w14:textId="2F4D011F" w:rsidR="001629B4" w:rsidRDefault="001629B4" w:rsidP="005729D2">
      <w:pPr>
        <w:pStyle w:val="Heading4Numbered"/>
        <w:numPr>
          <w:ilvl w:val="3"/>
          <w:numId w:val="64"/>
        </w:numPr>
      </w:pPr>
      <w:r>
        <w:t>Azure AD Application Proxy</w:t>
      </w:r>
    </w:p>
    <w:p w14:paraId="5CD6D06F" w14:textId="0C0A4512" w:rsidR="008F2061" w:rsidRDefault="00A4261B" w:rsidP="008F2061">
      <w:r>
        <w:t>The</w:t>
      </w:r>
      <w:r w:rsidR="008F2061">
        <w:t xml:space="preserve"> Azure AD Application Proxy enables external access for on-premises applications. When a user connects to an on-premises application from outside the network, the connection is made directly with Azure and </w:t>
      </w:r>
      <w:r w:rsidR="00F66EA5">
        <w:t>conveyed via proxy</w:t>
      </w:r>
      <w:r w:rsidR="008F2061">
        <w:t xml:space="preserve"> into the private network via an application proxy agent. </w:t>
      </w:r>
    </w:p>
    <w:p w14:paraId="2000DF2D" w14:textId="380727AA" w:rsidR="00A4261B" w:rsidRDefault="008F2061" w:rsidP="008F2061">
      <w:r>
        <w:t xml:space="preserve">This allows a customer to externalize their on-premises applications through Azure AD and provide pre-authentication and single sign-on. For more information about Azure AD Application Proxy, please see </w:t>
      </w:r>
      <w:hyperlink r:id="rId511" w:history="1">
        <w:r w:rsidRPr="009F46CE">
          <w:rPr>
            <w:rStyle w:val="Hyperlink"/>
          </w:rPr>
          <w:t>Using Application Proxy to Publish Applications for Secure Remote Access</w:t>
        </w:r>
      </w:hyperlink>
      <w:r w:rsidR="00A4261B">
        <w:t>.</w:t>
      </w:r>
    </w:p>
    <w:p w14:paraId="21222981" w14:textId="652D20F3" w:rsidR="00A4261B" w:rsidRDefault="00A4261B" w:rsidP="00A4261B">
      <w:pPr>
        <w:jc w:val="center"/>
      </w:pPr>
      <w:r w:rsidRPr="00A4261B">
        <w:rPr>
          <w:noProof/>
        </w:rPr>
        <w:drawing>
          <wp:inline distT="0" distB="0" distL="0" distR="0" wp14:anchorId="26D8A5F1" wp14:editId="15D59860">
            <wp:extent cx="5715000" cy="2658965"/>
            <wp:effectExtent l="0" t="0" r="0" b="0"/>
            <wp:docPr id="41202" name="Picture 4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5719430" cy="2661026"/>
                    </a:xfrm>
                    <a:prstGeom prst="rect">
                      <a:avLst/>
                    </a:prstGeom>
                    <a:noFill/>
                    <a:ln>
                      <a:noFill/>
                    </a:ln>
                  </pic:spPr>
                </pic:pic>
              </a:graphicData>
            </a:graphic>
          </wp:inline>
        </w:drawing>
      </w:r>
    </w:p>
    <w:p w14:paraId="53D8C6A9" w14:textId="09B90ABF" w:rsidR="00A4261B" w:rsidRDefault="008F2061" w:rsidP="00A4261B">
      <w:r>
        <w:t>The Azure AD Application Proxy is a good solution for applications that are on-premises and rely on Windows authentication. Because it can provide Kerberos delegation, users who are outside the network can authenticate their credentials in Azure AD before the connection with the application is established. By doing this, you can establish policies for the application, such as a requirement for Multi-Factor Authentication</w:t>
      </w:r>
      <w:r w:rsidR="00A4261B">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F13744" w14:paraId="0CA1AF20" w14:textId="77777777" w:rsidTr="004368EA">
        <w:trPr>
          <w:trHeight w:val="423"/>
        </w:trPr>
        <w:tc>
          <w:tcPr>
            <w:tcW w:w="666" w:type="dxa"/>
          </w:tcPr>
          <w:p w14:paraId="477A9EA4" w14:textId="77777777" w:rsidR="00F13744" w:rsidRDefault="00F13744" w:rsidP="004368EA">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600896" behindDoc="0" locked="0" layoutInCell="1" allowOverlap="1" wp14:anchorId="31C81C5E" wp14:editId="3E436A26">
                      <wp:simplePos x="0" y="0"/>
                      <wp:positionH relativeFrom="column">
                        <wp:posOffset>66675</wp:posOffset>
                      </wp:positionH>
                      <wp:positionV relativeFrom="paragraph">
                        <wp:posOffset>90170</wp:posOffset>
                      </wp:positionV>
                      <wp:extent cx="209550" cy="180975"/>
                      <wp:effectExtent l="57150" t="19050" r="57150" b="104775"/>
                      <wp:wrapNone/>
                      <wp:docPr id="41203" name="Isosceles Triangle 412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64CED938" id="Isosceles Triangle 41203" o:spid="_x0000_s1026" type="#_x0000_t5" style="position:absolute;margin-left:5.25pt;margin-top:7.1pt;width:16.5pt;height:14.25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hoeigIAAHcFAAAOAAAAZHJzL2Uyb0RvYy54bWysVG1r2zAQ/j7YfxD6vtpOk76YOiW0ZBRC&#10;G9aOflZkKRGTdZqkxMl+/U6y43ZdoTDmD0Lne+50L8/d1fW+0WQnnFdgKlqc5JQIw6FWZl3R70/z&#10;LxeU+MBMzTQYUdGD8PR6+vnTVWtLMYIN6Fo4gk6ML1tb0U0ItswyzzeiYf4ErDColOAaFlB066x2&#10;rEXvjc5GeX6WteBq64AL7/Hvbaek0+RfSsHDg5ReBKIrirGFdLp0ruKZTa9YuXbMbhTvw2D/EEXD&#10;lMFHB1e3LDCydeovV43iDjzIcMKhyUBKxUXKAbMp8jfZPG6YFSkXLI63Q5n8/3PL73dLR1Rd0XEx&#10;yk8pMazBNt158Fxo4cmTU8ystSCdHuvVWl+i2aNdupixtwvgPzwqsj80UfA9Zi9dE7GYL9mn4h+G&#10;4ot9IBx/jvLLyQRbxFFVXOSX55PYnIyVR2PrfPgqoCHxUtHQB5bKznYLHzr4EZZiA63qudI6CW69&#10;utGO7BhyYY5fntqPL/gXWMqhCzslEA5aRGNtvgmJdcJAi/RiYqgY/DHOhQlnfcgJHc0kvj0Ynn5s&#10;2OOjqUjsHYxHHxsPFullMGEwbpQB954DHYo+ZNnh+y76Lu9YghXUB6SIg252vOVzhQ1YMB+WzOGw&#10;YM9wAYQHPKSGtqLQ3yjZgPv13v+IRw6jlpIWh6+i/ueWOUGJvjPI7stiPI7TmoTx5HyEgnutWb3W&#10;mG1zA9jTAleN5eka8UEfr9JB84x7YhZfRRUzHN+uKA/uKNyEbingpuFiNkswnFDLwsI8Wn7seiTX&#10;0/6ZOXtkIdL3Ho6Dyso3ROywsR8GZtsAUiWWvtS1rzdOd+J6v4ni+ngtJ9TLvpz+BgAA//8DAFBL&#10;AwQUAAYACAAAACEANTxCMNkAAAAHAQAADwAAAGRycy9kb3ducmV2LnhtbEyOzU7DMBCE70i8g7VI&#10;XFDrkIa2CnEqhJIjqig8gBNvfoS9jmK3DW/PcoLTaDSjma84LM6KC85h9KTgcZ2AQGq9GalX8PlR&#10;r/YgQtRktPWECr4xwKG8vSl0bvyV3vFyir3gEQq5VjDEOOVShnZAp8PaT0icdX52OrKde2lmfeVx&#10;Z2WaJFvp9Ej8MOgJXwdsv05np8A3y7Hb1Lv9Q+0m+9ZVVeaOlVL3d8vLM4iIS/wrwy8+o0PJTI0/&#10;kwnCsk+euMmapSA4zzbsG9Z0B7Is5H/+8gcAAP//AwBQSwECLQAUAAYACAAAACEAtoM4kv4AAADh&#10;AQAAEwAAAAAAAAAAAAAAAAAAAAAAW0NvbnRlbnRfVHlwZXNdLnhtbFBLAQItABQABgAIAAAAIQA4&#10;/SH/1gAAAJQBAAALAAAAAAAAAAAAAAAAAC8BAABfcmVscy8ucmVsc1BLAQItABQABgAIAAAAIQBa&#10;9hoeigIAAHcFAAAOAAAAAAAAAAAAAAAAAC4CAABkcnMvZTJvRG9jLnhtbFBLAQItABQABgAIAAAA&#10;IQA1PEIw2QAAAAcBAAAPAAAAAAAAAAAAAAAAAOQEAABkcnMvZG93bnJldi54bWxQSwUGAAAAAAQA&#10;BADzAAAA6gUAAAAA&#10;" fillcolor="yellow" strokecolor="#70ad47 [3209]" strokeweight=".5pt">
                      <v:path arrowok="t"/>
                    </v:shape>
                  </w:pict>
                </mc:Fallback>
              </mc:AlternateContent>
            </w:r>
          </w:p>
        </w:tc>
        <w:tc>
          <w:tcPr>
            <w:tcW w:w="8604" w:type="dxa"/>
          </w:tcPr>
          <w:p w14:paraId="4624CB8D" w14:textId="3D8F1F02" w:rsidR="00F13744" w:rsidRDefault="00F13744" w:rsidP="00F13744">
            <w:pPr>
              <w:rPr>
                <w:lang w:eastAsia="en-US"/>
              </w:rPr>
            </w:pPr>
            <w:r>
              <w:rPr>
                <w:rFonts w:eastAsiaTheme="minorHAnsi"/>
                <w:b/>
                <w:lang w:eastAsia="en-US"/>
              </w:rPr>
              <w:t xml:space="preserve">Recommended: </w:t>
            </w:r>
            <w:r>
              <w:rPr>
                <w:rFonts w:eastAsiaTheme="minorHAnsi"/>
                <w:lang w:eastAsia="en-US"/>
              </w:rPr>
              <w:t xml:space="preserve"> </w:t>
            </w:r>
            <w:r w:rsidR="008F2061">
              <w:rPr>
                <w:rFonts w:eastAsiaTheme="minorHAnsi"/>
                <w:lang w:eastAsia="en-US"/>
              </w:rPr>
              <w:t>Do not use the Azure AD Application Proxy for users who are external to a customer’s organization</w:t>
            </w:r>
            <w:r w:rsidR="008F2061">
              <w:t>. For Kerberos constrained delegation to work, a shadow account needs to be provisioned and managed in the on-premises Active Directory forest.</w:t>
            </w:r>
            <w:r>
              <w:t>.</w:t>
            </w:r>
          </w:p>
        </w:tc>
      </w:tr>
      <w:tr w:rsidR="00F13744" w14:paraId="4224FE2A" w14:textId="77777777" w:rsidTr="004368EA">
        <w:trPr>
          <w:trHeight w:val="423"/>
        </w:trPr>
        <w:tc>
          <w:tcPr>
            <w:tcW w:w="666" w:type="dxa"/>
          </w:tcPr>
          <w:p w14:paraId="06CF0039" w14:textId="77777777" w:rsidR="00F13744" w:rsidRDefault="00F13744" w:rsidP="004368EA">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203761F5" wp14:editId="3B4C1463">
                      <wp:extent cx="200025" cy="180975"/>
                      <wp:effectExtent l="57150" t="19050" r="28575" b="104775"/>
                      <wp:docPr id="41206" name="Octagon 41206"/>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519B959" id="Octagon 41206"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Z2qcwIAAFIFAAAOAAAAZHJzL2Uyb0RvYy54bWysVFlrGzEQfi/0Pwi9N3vUuUzWwTikFEIS&#10;mpQ8y1rJFkgaVZK9dn99R9r1xqSBQOnL7ozmm/u4ut4ZTbbCBwW2odVJSYmwHFplVw39+Xz75YKS&#10;EJltmQYrGroXgV7PPn+66txU1LAG3QpP0IgN0841dB2jmxZF4GthWDgBJywKJXjDIrJ+VbSedWjd&#10;6KIuy7OiA986D1yEgK83vZDOsn0pBY8PUgYRiW4oxhbz1+fvMn2L2RWbrjxza8WHMNg/RGGYsuh0&#10;NHXDIiMbr/4yZRT3EEDGEw6mACkVFzkHzKYq32TztGZO5FywOMGNZQr/zyy/3z56otqGTqq6PKPE&#10;MoNteuCRrcCS/hGL1LkwReyTe/QDF5BMGe+kN+mPuZBdLux+LKzYRcLxETtV1qeUcBRVF+Xl+Wkq&#10;fPGq7HyI3wQYkoiGQu8+V5Rt70Ls0QdUchdAq/ZWaZ0Zv1outCdbhm1eLNBb7iw6OIIVKYc+6kzF&#10;vRZJWdsfQmIJMM4qe8zDJ0Z7jHNhYz1EnNFJTaLvUfHrx4oDPqmKPJijcv2x8qiRPYONo7JRFvx7&#10;BnSshpBlj8eCH+WdyCW0e+y+h34tguO3Cut/x0J8ZB73ADcGdzs+4Edq6LAxA0XJGvzv994THscT&#10;pZR0uFcNDb82zAtK9HeLg3tZTSZpETMzOT2vkfHHkuWxxG7MArCnFV4RxzOZ8FEfSOnBvOAJmCev&#10;KGKWo++G8ugPzCL2+45HhIv5PMNw+RyLd/bJ8UPX03A9716Yd8MQRpzeezjsIJu+GcQem/phYb6J&#10;IFWe0te6DvXGxc2jPhyZdBmO+Yx6PYWzPwA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CbhZ2q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4E482E4C" w14:textId="63427F60" w:rsidR="00F13744" w:rsidRDefault="00F13744" w:rsidP="00F13744">
            <w:pPr>
              <w:spacing w:after="240"/>
              <w:rPr>
                <w:lang w:eastAsia="en-US"/>
              </w:rPr>
            </w:pPr>
            <w:r w:rsidRPr="00192064">
              <w:rPr>
                <w:b/>
                <w:lang w:eastAsia="en-US"/>
              </w:rPr>
              <w:t>Mandatory</w:t>
            </w:r>
            <w:r>
              <w:rPr>
                <w:lang w:eastAsia="en-US"/>
              </w:rPr>
              <w:t xml:space="preserve">:  </w:t>
            </w:r>
            <w:r w:rsidR="008F2061">
              <w:rPr>
                <w:lang w:eastAsia="en-US"/>
              </w:rPr>
              <w:t>Azure AD Application Proxy requires an Azure AD Basic or an Azure AD Premium subscription</w:t>
            </w:r>
            <w:r>
              <w:rPr>
                <w:lang w:eastAsia="en-US"/>
              </w:rPr>
              <w:t>.</w:t>
            </w:r>
          </w:p>
        </w:tc>
      </w:tr>
    </w:tbl>
    <w:p w14:paraId="5B1427F0" w14:textId="78679664" w:rsidR="001629B4" w:rsidRDefault="001629B4" w:rsidP="005729D2">
      <w:pPr>
        <w:pStyle w:val="Heading4Numbered"/>
        <w:numPr>
          <w:ilvl w:val="3"/>
          <w:numId w:val="64"/>
        </w:numPr>
      </w:pPr>
      <w:bookmarkStart w:id="6016" w:name="_Ref417979994"/>
      <w:r>
        <w:t>Password Vaulting</w:t>
      </w:r>
      <w:bookmarkEnd w:id="6016"/>
    </w:p>
    <w:p w14:paraId="0E4CE72C" w14:textId="77777777" w:rsidR="00A04F2B" w:rsidRDefault="00F13744" w:rsidP="00F13744">
      <w:r>
        <w:t>Password Vaulting</w:t>
      </w:r>
      <w:r w:rsidR="009B1A70">
        <w:t xml:space="preserve"> solves a very specific problem of integrating with web applications that don’t support any type of Single Sign-On (SSO) solution. With password vaulting, users store their passwords for applications in Azure AD.  The application is integrated with the Azure AD Access Panel, which is an application launcher in Azure AD. </w:t>
      </w:r>
    </w:p>
    <w:p w14:paraId="2B204829" w14:textId="050BB558" w:rsidR="00A04F2B" w:rsidRDefault="00A04F2B" w:rsidP="00F13744">
      <w:r>
        <w:rPr>
          <w:noProof/>
        </w:rPr>
        <w:drawing>
          <wp:inline distT="0" distB="0" distL="0" distR="0" wp14:anchorId="493898AD" wp14:editId="70B6F8F9">
            <wp:extent cx="5943600" cy="2925123"/>
            <wp:effectExtent l="0" t="0" r="0" b="8890"/>
            <wp:docPr id="41213" name="Picture 41213" descr="Access 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dee5d36-7daa-4d0b-89ff-cb33692d5560" descr="Access Panel"/>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5943600" cy="2925123"/>
                    </a:xfrm>
                    <a:prstGeom prst="rect">
                      <a:avLst/>
                    </a:prstGeom>
                    <a:noFill/>
                    <a:ln>
                      <a:noFill/>
                    </a:ln>
                  </pic:spPr>
                </pic:pic>
              </a:graphicData>
            </a:graphic>
          </wp:inline>
        </w:drawing>
      </w:r>
    </w:p>
    <w:p w14:paraId="2D552C65" w14:textId="186357C1" w:rsidR="00F13744" w:rsidRDefault="00FE44F8" w:rsidP="00F13744">
      <w:r>
        <w:t xml:space="preserve">When the user launches the application from the Access Panel, a web browser plug-in is launched. The plug-in retrieves the password from Azure AD, enters it into the sign-in form, and clicks the </w:t>
      </w:r>
      <w:r w:rsidRPr="007F2511">
        <w:rPr>
          <w:b/>
        </w:rPr>
        <w:t>Sign In</w:t>
      </w:r>
      <w:r>
        <w:t xml:space="preserve"> button for the user. By using this technique, users don’t have to enter credentials in the web applications. For more information on password vaulting, please see </w:t>
      </w:r>
      <w:hyperlink r:id="rId514" w:anchor="bkmk_passwordsso" w:history="1">
        <w:r w:rsidRPr="007F2511">
          <w:rPr>
            <w:rStyle w:val="Hyperlink"/>
          </w:rPr>
          <w:t xml:space="preserve">Application Access </w:t>
        </w:r>
        <w:r>
          <w:rPr>
            <w:rStyle w:val="Hyperlink"/>
          </w:rPr>
          <w:t>Capabilities</w:t>
        </w:r>
        <w:r w:rsidRPr="007F2511">
          <w:rPr>
            <w:rStyle w:val="Hyperlink"/>
          </w:rPr>
          <w:t xml:space="preserve"> for Azure Active Directory</w:t>
        </w:r>
      </w:hyperlink>
      <w:r w:rsidR="009B1A70">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F13744" w14:paraId="2CBC9564" w14:textId="77777777" w:rsidTr="004368EA">
        <w:trPr>
          <w:trHeight w:val="423"/>
        </w:trPr>
        <w:tc>
          <w:tcPr>
            <w:tcW w:w="666" w:type="dxa"/>
          </w:tcPr>
          <w:p w14:paraId="3834BCC9" w14:textId="77777777" w:rsidR="00F13744" w:rsidRDefault="00F13744" w:rsidP="004368EA">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59BBEDBA" wp14:editId="367A4E96">
                      <wp:extent cx="200025" cy="180975"/>
                      <wp:effectExtent l="57150" t="19050" r="28575" b="104775"/>
                      <wp:docPr id="41212" name="Octagon 41212"/>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C28DF74" id="Octagon 41212"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O5AcwIAAFIFAAAOAAAAZHJzL2Uyb0RvYy54bWysVN1r2zAQfx/sfxB6Xx176dqGOCWkZAxK&#10;W9qOPiuylAgknSYpcbK/fifZcUNXKIy92He6331/TK/3RpOd8EGBrWl5NqJEWA6Nsuua/nxefrmk&#10;JERmG6bBipoeRKDXs8+fpq2biAo2oBvhCRqxYdK6mm5idJOiCHwjDAtn4IRFoQRvWETWr4vGsxat&#10;G11Uo9G3ogXfOA9chICvN52QzrJ9KQWP91IGEYmuKcYW89fn7yp9i9mUTdaeuY3ifRjsH6IwTFl0&#10;Opi6YZGRrVd/mTKKewgg4xkHU4CUioucA2ZTjt5k87RhTuRcsDjBDWUK/88sv9s9eKKamo7Lqqwo&#10;scxgm+55ZGuwpHvEIrUuTBD75B58zwUkU8Z76U36Yy5knwt7GAor9pFwfMROjapzSjiKysvR1cV5&#10;Knzxqux8iN8FGJKImkLnPleU7W5D7NBHVHIXQKtmqbTOjF+vFtqTHcM2LxboLXcWHZzAipRDF3Wm&#10;4kGLpKzto5BYAoyzzB7z8InBHuNc2Fj1EWd0UpPoe1D8+rFij0+qIg/moFx9rDxoZM9g46BslAX/&#10;ngEdyz5k2eGx4Cd5J3IFzQG776Fbi+D4UmH9b1mID8zjHuDG4G7He/xIDS02pqco2YD//d57wuN4&#10;opSSFveqpuHXlnlBif5hcXCvyvE4LWJmxucXFTL+VLI6lditWQD2tMQr4ngmEz7qIyk9mBc8AfPk&#10;FUXMcvRdUx79kVnEbt/xiHAxn2cYLp9j8dY+OX7sehqu5/0L864fwojTewfHHWSTN4PYYVM/LMy3&#10;EaTKU/pa177euLh51Psjky7DKZ9Rr6dw9gc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BUPO5A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5A3B3712" w14:textId="345CBB89" w:rsidR="00F13744" w:rsidRDefault="00F13744" w:rsidP="00F13744">
            <w:pPr>
              <w:spacing w:after="240"/>
              <w:rPr>
                <w:lang w:eastAsia="en-US"/>
              </w:rPr>
            </w:pPr>
            <w:r w:rsidRPr="00192064">
              <w:rPr>
                <w:b/>
                <w:lang w:eastAsia="en-US"/>
              </w:rPr>
              <w:t>Mandatory</w:t>
            </w:r>
            <w:r>
              <w:rPr>
                <w:lang w:eastAsia="en-US"/>
              </w:rPr>
              <w:t xml:space="preserve">:  </w:t>
            </w:r>
            <w:r w:rsidR="00FE44F8">
              <w:rPr>
                <w:lang w:eastAsia="en-US"/>
              </w:rPr>
              <w:t>When using password vaulted applications, a browser plug-in is used. Therefore, a user cannot run their web browser in “private” mode</w:t>
            </w:r>
            <w:r>
              <w:rPr>
                <w:lang w:eastAsia="en-US"/>
              </w:rPr>
              <w:t>.</w:t>
            </w:r>
          </w:p>
        </w:tc>
      </w:tr>
      <w:tr w:rsidR="00F13744" w14:paraId="35554B89" w14:textId="77777777" w:rsidTr="004368EA">
        <w:trPr>
          <w:trHeight w:val="423"/>
        </w:trPr>
        <w:tc>
          <w:tcPr>
            <w:tcW w:w="666" w:type="dxa"/>
          </w:tcPr>
          <w:p w14:paraId="77106755" w14:textId="77777777" w:rsidR="00F13744" w:rsidRDefault="00F13744" w:rsidP="004368EA">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606016" behindDoc="0" locked="0" layoutInCell="1" allowOverlap="1" wp14:anchorId="243F8483" wp14:editId="0D259A26">
                      <wp:simplePos x="0" y="0"/>
                      <wp:positionH relativeFrom="column">
                        <wp:posOffset>66675</wp:posOffset>
                      </wp:positionH>
                      <wp:positionV relativeFrom="paragraph">
                        <wp:posOffset>90170</wp:posOffset>
                      </wp:positionV>
                      <wp:extent cx="209550" cy="180975"/>
                      <wp:effectExtent l="57150" t="19050" r="57150" b="104775"/>
                      <wp:wrapNone/>
                      <wp:docPr id="41211" name="Isosceles Triangle 412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EC7D474" id="Isosceles Triangle 41211" o:spid="_x0000_s1026" type="#_x0000_t5" style="position:absolute;margin-left:5.25pt;margin-top:7.1pt;width:16.5pt;height:14.2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B2NiAIAAHcFAAAOAAAAZHJzL2Uyb0RvYy54bWysVFtr2zAUfh/sPwi9r7azpBdTp4SWjELo&#10;ytrRZ0WWEjFZR5OUONmv35F8adcVCmN+EDo+37l/OpdXh0aTvXBegalocZJTIgyHWplNRb8/Lj+d&#10;U+IDMzXTYERFj8LTq/nHD5etLcUEtqBr4Qg6Mb5sbUW3Idgyyzzfiob5E7DCoFKCa1hA0W2y2rEW&#10;vTc6m+T5adaCq60DLrzHvzedks6TfykFD1+l9CIQXVHMLaTTpXMdz2x+ycqNY3areJ8G+4csGqYM&#10;Bh1d3bDAyM6pv1w1ijvwIMMJhyYDKRUXqQaspshfVfOwZVakWrA53o5t8v/PLb/b3zui6opOi0lR&#10;UGJYg2O69eC50MKTR6eY2WhBOj32q7W+RLMHe+9ixd6ugP/wqMj+0ETB95iDdE3EYr3kkJp/HJsv&#10;DoFw/DnJL2YzHBFHVXGeX5zN4nAyVg7G1vnwRUBD4qWioU8stZ3tVz508AGWcgOt6qXSOglus77W&#10;juwZcmGJX57GjxH8MyzV0KWdCghHLaKxNt+ExD5hokWKmBgqRn+Mc2HCaZ9yQkczibFHw8/vG/b4&#10;aCoSe0fjyfvGo0WKDCaMxo0y4N5yoEPRpyw7fD9F39UdW7CG+ogUcdC9HW/5UuEAVsyHe+bwseDM&#10;cAGEr3hIDW1Fob9RsgX3663/EY8cRi0lLT6+ivqfO+YEJfrWILsviuk0vtYkTGdnExTcS836pcbs&#10;mmvAmSJ7Mbt0jfigh6t00DzhnljEqKhihmPsivLgBuE6dEsBNw0Xi0WC4Qu1LKzMg+XD1CO5Hg9P&#10;zNmBhUjfOxgeKitfEbHDxnkYWOwCSJVY+tzXvt/4uhPX+00U18dLOaGe9+X8NwAAAP//AwBQSwME&#10;FAAGAAgAAAAhADU8QjDZAAAABwEAAA8AAABkcnMvZG93bnJldi54bWxMjs1OwzAQhO9IvIO1SFxQ&#10;65CGtgpxKoSSI6ooPIATb36EvY5itw1vz3KC02g0o5mvOCzOigvOYfSk4HGdgEBqvRmpV/D5Ua/2&#10;IELUZLT1hAq+McChvL0pdG78ld7xcoq94BEKuVYwxDjlUoZ2QKfD2k9InHV+djqynXtpZn3lcWdl&#10;miRb6fRI/DDoCV8HbL9OZ6fAN8ux29S7/UPtJvvWVVXmjpVS93fLyzOIiEv8K8MvPqNDyUyNP5MJ&#10;wrJPnrjJmqUgOM827BvWdAeyLOR//vIHAAD//wMAUEsBAi0AFAAGAAgAAAAhALaDOJL+AAAA4QEA&#10;ABMAAAAAAAAAAAAAAAAAAAAAAFtDb250ZW50X1R5cGVzXS54bWxQSwECLQAUAAYACAAAACEAOP0h&#10;/9YAAACUAQAACwAAAAAAAAAAAAAAAAAvAQAAX3JlbHMvLnJlbHNQSwECLQAUAAYACAAAACEAYQgd&#10;jYgCAAB3BQAADgAAAAAAAAAAAAAAAAAuAgAAZHJzL2Uyb0RvYy54bWxQSwECLQAUAAYACAAAACEA&#10;NTxCMNkAAAAHAQAADwAAAAAAAAAAAAAAAADiBAAAZHJzL2Rvd25yZXYueG1sUEsFBgAAAAAEAAQA&#10;8wAAAOgFAAAAAA==&#10;" fillcolor="yellow" strokecolor="#70ad47 [3209]" strokeweight=".5pt">
                      <v:path arrowok="t"/>
                    </v:shape>
                  </w:pict>
                </mc:Fallback>
              </mc:AlternateContent>
            </w:r>
          </w:p>
        </w:tc>
        <w:tc>
          <w:tcPr>
            <w:tcW w:w="8604" w:type="dxa"/>
          </w:tcPr>
          <w:p w14:paraId="4B59210A" w14:textId="30952DBC" w:rsidR="00F13744" w:rsidRDefault="00F13744" w:rsidP="00F13744">
            <w:pPr>
              <w:rPr>
                <w:lang w:eastAsia="en-US"/>
              </w:rPr>
            </w:pPr>
            <w:r>
              <w:rPr>
                <w:rFonts w:eastAsiaTheme="minorHAnsi"/>
                <w:b/>
                <w:lang w:eastAsia="en-US"/>
              </w:rPr>
              <w:t xml:space="preserve">Recommended: </w:t>
            </w:r>
            <w:r>
              <w:rPr>
                <w:rFonts w:eastAsiaTheme="minorHAnsi"/>
                <w:lang w:eastAsia="en-US"/>
              </w:rPr>
              <w:t xml:space="preserve"> </w:t>
            </w:r>
            <w:r w:rsidR="00FE44F8">
              <w:rPr>
                <w:rFonts w:eastAsiaTheme="minorHAnsi"/>
                <w:lang w:eastAsia="en-US"/>
              </w:rPr>
              <w:t>Use password vaulting for integrating applications that use forms-based authentication with Azure AD</w:t>
            </w:r>
            <w:r w:rsidR="00FE44F8">
              <w:t>. These applications are typically difficult to integrate with SSO solutions because they do not accept standard SSO protocols</w:t>
            </w:r>
            <w:r w:rsidR="00A04F2B">
              <w:t>.</w:t>
            </w:r>
          </w:p>
        </w:tc>
      </w:tr>
    </w:tbl>
    <w:p w14:paraId="7FAF0C4C" w14:textId="77777777" w:rsidR="00FE44F8" w:rsidRDefault="00FE44F8" w:rsidP="00FE44F8">
      <w:r>
        <w:t>One of the main benefits of password vaulting is that it can integrate with almost any application that has a sign-in page, even if it’s not an application that is integrated into the Application Gallery in Azure AD. So when a customer wants to integrate every application with Azure AD, password vaulting is an integral piece of the solution.</w:t>
      </w:r>
    </w:p>
    <w:p w14:paraId="7977B791" w14:textId="77777777" w:rsidR="00FE44F8" w:rsidRDefault="00FE44F8" w:rsidP="00FE44F8">
      <w:r>
        <w:t>Password vaulting is not a perfect solution without its challenges, though. When working with customers that want to use password vaulting, ensure that they understand the following key points:</w:t>
      </w:r>
    </w:p>
    <w:p w14:paraId="00CA2E8A" w14:textId="77777777" w:rsidR="00FE44F8" w:rsidRDefault="00FE44F8" w:rsidP="005729D2">
      <w:pPr>
        <w:pStyle w:val="ListBullet"/>
        <w:numPr>
          <w:ilvl w:val="0"/>
          <w:numId w:val="95"/>
        </w:numPr>
      </w:pPr>
      <w:r>
        <w:t>Password vaulting requires a browser plug-in that must be installed on the clients.</w:t>
      </w:r>
    </w:p>
    <w:p w14:paraId="67681728" w14:textId="77777777" w:rsidR="00FE44F8" w:rsidRDefault="00FE44F8" w:rsidP="005729D2">
      <w:pPr>
        <w:pStyle w:val="ListBullet"/>
        <w:numPr>
          <w:ilvl w:val="0"/>
          <w:numId w:val="95"/>
        </w:numPr>
      </w:pPr>
      <w:r>
        <w:t>Users must still manage their password for the application. If the password in the application is changed, the user must also change it in the password vault.</w:t>
      </w:r>
    </w:p>
    <w:p w14:paraId="271FAE2A" w14:textId="1F4D4E20" w:rsidR="004368EA" w:rsidRPr="00F13744" w:rsidRDefault="00FE44F8" w:rsidP="005729D2">
      <w:pPr>
        <w:pStyle w:val="ListBullet"/>
        <w:numPr>
          <w:ilvl w:val="0"/>
          <w:numId w:val="95"/>
        </w:numPr>
      </w:pPr>
      <w:r>
        <w:t xml:space="preserve">The entry point for the application must be through either the Azure AD Access Panel or a predefined link. The user cannot browse to the application and click the </w:t>
      </w:r>
      <w:r w:rsidRPr="007F2511">
        <w:rPr>
          <w:b/>
        </w:rPr>
        <w:t>Sign In</w:t>
      </w:r>
      <w:r>
        <w:t xml:space="preserve"> button from within the app</w:t>
      </w:r>
      <w:r w:rsidR="004368EA">
        <w:t>.</w:t>
      </w:r>
    </w:p>
    <w:tbl>
      <w:tblPr>
        <w:tblStyle w:val="PlainTable11"/>
        <w:tblW w:w="0" w:type="auto"/>
        <w:tblLook w:val="04A0" w:firstRow="1" w:lastRow="0" w:firstColumn="1" w:lastColumn="0" w:noHBand="0" w:noVBand="1"/>
      </w:tblPr>
      <w:tblGrid>
        <w:gridCol w:w="3393"/>
        <w:gridCol w:w="5957"/>
      </w:tblGrid>
      <w:tr w:rsidR="00010804" w14:paraId="048B8774" w14:textId="77777777" w:rsidTr="00B048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062996D1" w14:textId="77777777" w:rsidR="00010804" w:rsidRPr="00F47607" w:rsidRDefault="00010804" w:rsidP="00010804">
            <w:pPr>
              <w:spacing w:line="240" w:lineRule="auto"/>
              <w:rPr>
                <w:color w:val="FFFFFF"/>
              </w:rPr>
            </w:pPr>
            <w:r>
              <w:rPr>
                <w:color w:val="FFFFFF"/>
              </w:rPr>
              <w:t>References</w:t>
            </w:r>
          </w:p>
        </w:tc>
      </w:tr>
      <w:tr w:rsidR="00010804" w:rsidRPr="00B0484A" w14:paraId="3F8D2FA3" w14:textId="77777777" w:rsidTr="00B048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9" w:type="dxa"/>
          </w:tcPr>
          <w:p w14:paraId="77D8111A" w14:textId="77777777" w:rsidR="00010804" w:rsidRPr="00B0484A" w:rsidRDefault="00010804" w:rsidP="00010804">
            <w:pPr>
              <w:spacing w:line="240" w:lineRule="auto"/>
              <w:rPr>
                <w:sz w:val="20"/>
                <w:szCs w:val="18"/>
              </w:rPr>
            </w:pPr>
            <w:r w:rsidRPr="00B0484A">
              <w:rPr>
                <w:sz w:val="20"/>
                <w:szCs w:val="18"/>
              </w:rPr>
              <w:t>A Guide to Claims-Based Identity and Access Control (2</w:t>
            </w:r>
            <w:r w:rsidRPr="00B0484A">
              <w:rPr>
                <w:sz w:val="20"/>
                <w:szCs w:val="18"/>
                <w:vertAlign w:val="superscript"/>
              </w:rPr>
              <w:t>nd</w:t>
            </w:r>
            <w:r w:rsidRPr="00B0484A">
              <w:rPr>
                <w:sz w:val="20"/>
                <w:szCs w:val="18"/>
              </w:rPr>
              <w:t xml:space="preserve"> Edition)</w:t>
            </w:r>
          </w:p>
        </w:tc>
        <w:tc>
          <w:tcPr>
            <w:tcW w:w="5961" w:type="dxa"/>
          </w:tcPr>
          <w:p w14:paraId="371519D7" w14:textId="71B018E0" w:rsidR="00010804" w:rsidRPr="00B0484A" w:rsidRDefault="00872E47" w:rsidP="00010804">
            <w:pPr>
              <w:cnfStyle w:val="000000100000" w:firstRow="0" w:lastRow="0" w:firstColumn="0" w:lastColumn="0" w:oddVBand="0" w:evenVBand="0" w:oddHBand="1" w:evenHBand="0" w:firstRowFirstColumn="0" w:firstRowLastColumn="0" w:lastRowFirstColumn="0" w:lastRowLastColumn="0"/>
              <w:rPr>
                <w:sz w:val="20"/>
                <w:szCs w:val="18"/>
              </w:rPr>
            </w:pPr>
            <w:hyperlink r:id="rId515" w:history="1">
              <w:r w:rsidR="00010804" w:rsidRPr="00B0484A">
                <w:rPr>
                  <w:rStyle w:val="Hyperlink"/>
                  <w:sz w:val="20"/>
                  <w:szCs w:val="18"/>
                </w:rPr>
                <w:t>https://msdn.microsoft.com/en-us/library/ff423674.aspx</w:t>
              </w:r>
            </w:hyperlink>
          </w:p>
        </w:tc>
      </w:tr>
      <w:tr w:rsidR="00010804" w:rsidRPr="00B0484A" w14:paraId="0466AAB8" w14:textId="77777777" w:rsidTr="00B0484A">
        <w:tc>
          <w:tcPr>
            <w:cnfStyle w:val="001000000000" w:firstRow="0" w:lastRow="0" w:firstColumn="1" w:lastColumn="0" w:oddVBand="0" w:evenVBand="0" w:oddHBand="0" w:evenHBand="0" w:firstRowFirstColumn="0" w:firstRowLastColumn="0" w:lastRowFirstColumn="0" w:lastRowLastColumn="0"/>
            <w:tcW w:w="3399" w:type="dxa"/>
          </w:tcPr>
          <w:p w14:paraId="31A01448" w14:textId="422B3CCB" w:rsidR="00010804" w:rsidRPr="00B0484A" w:rsidRDefault="00010804" w:rsidP="00010804">
            <w:pPr>
              <w:spacing w:line="240" w:lineRule="auto"/>
              <w:rPr>
                <w:sz w:val="20"/>
                <w:szCs w:val="18"/>
              </w:rPr>
            </w:pPr>
            <w:r w:rsidRPr="00B0484A">
              <w:rPr>
                <w:sz w:val="20"/>
                <w:szCs w:val="18"/>
              </w:rPr>
              <w:t>OpenID Connect Website</w:t>
            </w:r>
          </w:p>
        </w:tc>
        <w:tc>
          <w:tcPr>
            <w:tcW w:w="5961" w:type="dxa"/>
          </w:tcPr>
          <w:p w14:paraId="6536DA6E" w14:textId="196CAC3F" w:rsidR="00010804" w:rsidRPr="00B0484A" w:rsidRDefault="00872E47" w:rsidP="00010804">
            <w:pPr>
              <w:cnfStyle w:val="000000000000" w:firstRow="0" w:lastRow="0" w:firstColumn="0" w:lastColumn="0" w:oddVBand="0" w:evenVBand="0" w:oddHBand="0" w:evenHBand="0" w:firstRowFirstColumn="0" w:firstRowLastColumn="0" w:lastRowFirstColumn="0" w:lastRowLastColumn="0"/>
              <w:rPr>
                <w:sz w:val="20"/>
                <w:szCs w:val="18"/>
              </w:rPr>
            </w:pPr>
            <w:hyperlink r:id="rId516" w:history="1">
              <w:r w:rsidR="00010804" w:rsidRPr="00B0484A">
                <w:rPr>
                  <w:rStyle w:val="Hyperlink"/>
                  <w:sz w:val="20"/>
                  <w:szCs w:val="18"/>
                </w:rPr>
                <w:t>http://openid.net/connect/</w:t>
              </w:r>
            </w:hyperlink>
          </w:p>
        </w:tc>
      </w:tr>
      <w:tr w:rsidR="00A4261B" w:rsidRPr="00B0484A" w14:paraId="20E32B23" w14:textId="77777777" w:rsidTr="00B048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9" w:type="dxa"/>
          </w:tcPr>
          <w:p w14:paraId="0F557D97" w14:textId="187BD785" w:rsidR="00A4261B" w:rsidRPr="00B0484A" w:rsidRDefault="00A4261B" w:rsidP="00010804">
            <w:pPr>
              <w:spacing w:line="240" w:lineRule="auto"/>
              <w:rPr>
                <w:sz w:val="20"/>
                <w:szCs w:val="18"/>
              </w:rPr>
            </w:pPr>
            <w:r w:rsidRPr="00B0484A">
              <w:rPr>
                <w:sz w:val="20"/>
                <w:szCs w:val="18"/>
              </w:rPr>
              <w:t>Using Application Proxy to Publish Applications for Secure Remote Access</w:t>
            </w:r>
          </w:p>
        </w:tc>
        <w:tc>
          <w:tcPr>
            <w:tcW w:w="5961" w:type="dxa"/>
          </w:tcPr>
          <w:p w14:paraId="5DBFC486" w14:textId="2564E828" w:rsidR="00A4261B" w:rsidRPr="00B0484A" w:rsidRDefault="00872E47" w:rsidP="00A4261B">
            <w:pPr>
              <w:cnfStyle w:val="000000100000" w:firstRow="0" w:lastRow="0" w:firstColumn="0" w:lastColumn="0" w:oddVBand="0" w:evenVBand="0" w:oddHBand="1" w:evenHBand="0" w:firstRowFirstColumn="0" w:firstRowLastColumn="0" w:lastRowFirstColumn="0" w:lastRowLastColumn="0"/>
              <w:rPr>
                <w:sz w:val="20"/>
              </w:rPr>
            </w:pPr>
            <w:hyperlink r:id="rId517" w:history="1">
              <w:r w:rsidR="00A4261B" w:rsidRPr="00B0484A">
                <w:rPr>
                  <w:rStyle w:val="Hyperlink"/>
                  <w:sz w:val="20"/>
                </w:rPr>
                <w:t>https://msdn.microsoft.com/en-us/library/azure/dn768219.aspx</w:t>
              </w:r>
            </w:hyperlink>
          </w:p>
        </w:tc>
      </w:tr>
      <w:tr w:rsidR="00A04F2B" w:rsidRPr="00B0484A" w14:paraId="3D60403D" w14:textId="77777777" w:rsidTr="00B0484A">
        <w:tc>
          <w:tcPr>
            <w:cnfStyle w:val="001000000000" w:firstRow="0" w:lastRow="0" w:firstColumn="1" w:lastColumn="0" w:oddVBand="0" w:evenVBand="0" w:oddHBand="0" w:evenHBand="0" w:firstRowFirstColumn="0" w:firstRowLastColumn="0" w:lastRowFirstColumn="0" w:lastRowLastColumn="0"/>
            <w:tcW w:w="3399" w:type="dxa"/>
          </w:tcPr>
          <w:p w14:paraId="75FE90AC" w14:textId="5439455B" w:rsidR="00A04F2B" w:rsidRPr="00B0484A" w:rsidRDefault="00A04F2B" w:rsidP="00010804">
            <w:pPr>
              <w:spacing w:line="240" w:lineRule="auto"/>
              <w:rPr>
                <w:sz w:val="20"/>
                <w:szCs w:val="18"/>
              </w:rPr>
            </w:pPr>
            <w:r w:rsidRPr="00B0484A">
              <w:rPr>
                <w:sz w:val="20"/>
                <w:szCs w:val="18"/>
              </w:rPr>
              <w:t>Application Access Enhancements for Azure Active Directory</w:t>
            </w:r>
          </w:p>
        </w:tc>
        <w:tc>
          <w:tcPr>
            <w:tcW w:w="5961" w:type="dxa"/>
          </w:tcPr>
          <w:p w14:paraId="42010D19" w14:textId="0D453CFF" w:rsidR="00A04F2B" w:rsidRPr="00B0484A" w:rsidRDefault="00872E47" w:rsidP="00A04F2B">
            <w:pPr>
              <w:cnfStyle w:val="000000000000" w:firstRow="0" w:lastRow="0" w:firstColumn="0" w:lastColumn="0" w:oddVBand="0" w:evenVBand="0" w:oddHBand="0" w:evenHBand="0" w:firstRowFirstColumn="0" w:firstRowLastColumn="0" w:lastRowFirstColumn="0" w:lastRowLastColumn="0"/>
              <w:rPr>
                <w:sz w:val="20"/>
              </w:rPr>
            </w:pPr>
            <w:hyperlink r:id="rId518" w:anchor="bkmk_passwordsso" w:history="1">
              <w:r w:rsidR="00A04F2B" w:rsidRPr="00B0484A">
                <w:rPr>
                  <w:rStyle w:val="Hyperlink"/>
                  <w:sz w:val="20"/>
                </w:rPr>
                <w:t>https://msdn.microsoft.com/en-us/library/azure/dn308588.aspx#bkmk_passwordsso</w:t>
              </w:r>
            </w:hyperlink>
          </w:p>
        </w:tc>
      </w:tr>
    </w:tbl>
    <w:p w14:paraId="6E59322F" w14:textId="77777777" w:rsidR="00676C44" w:rsidRDefault="00676C44" w:rsidP="005729D2">
      <w:pPr>
        <w:pStyle w:val="Heading3Numbered"/>
        <w:numPr>
          <w:ilvl w:val="2"/>
          <w:numId w:val="64"/>
        </w:numPr>
      </w:pPr>
      <w:bookmarkStart w:id="6017" w:name="_Toc417934731"/>
      <w:bookmarkStart w:id="6018" w:name="_Toc417936070"/>
      <w:bookmarkStart w:id="6019" w:name="_Toc417936532"/>
      <w:bookmarkStart w:id="6020" w:name="_Toc417946955"/>
      <w:bookmarkStart w:id="6021" w:name="_Toc417947424"/>
      <w:bookmarkStart w:id="6022" w:name="_Toc417982565"/>
      <w:bookmarkStart w:id="6023" w:name="_Toc417986019"/>
      <w:bookmarkStart w:id="6024" w:name="_Ref417976281"/>
      <w:bookmarkStart w:id="6025" w:name="_Toc418000711"/>
      <w:bookmarkStart w:id="6026" w:name="_Toc418003883"/>
      <w:bookmarkStart w:id="6027" w:name="_Toc418012088"/>
      <w:bookmarkStart w:id="6028" w:name="_Toc418014501"/>
      <w:bookmarkStart w:id="6029" w:name="_Toc418030106"/>
      <w:bookmarkStart w:id="6030" w:name="_Toc418036989"/>
      <w:bookmarkStart w:id="6031" w:name="_Toc418061462"/>
      <w:bookmarkStart w:id="6032" w:name="_Toc418081361"/>
      <w:bookmarkStart w:id="6033" w:name="_Toc418083393"/>
      <w:bookmarkStart w:id="6034" w:name="_Toc418096157"/>
      <w:bookmarkStart w:id="6035" w:name="_Toc418156759"/>
      <w:bookmarkStart w:id="6036" w:name="_Toc418167678"/>
      <w:bookmarkStart w:id="6037" w:name="_Toc418185934"/>
      <w:bookmarkStart w:id="6038" w:name="_Toc422941648"/>
      <w:bookmarkStart w:id="6039" w:name="_Toc423116854"/>
      <w:bookmarkStart w:id="6040" w:name="_Toc423117887"/>
      <w:bookmarkStart w:id="6041" w:name="_Toc423117337"/>
      <w:bookmarkStart w:id="6042" w:name="_Toc431288930"/>
      <w:r>
        <w:t>On-Premises Applications</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1B75FC85" w14:textId="338469EB" w:rsidR="00FE44F8" w:rsidRDefault="00FE44F8" w:rsidP="00FE44F8">
      <w:r>
        <w:t>Traditionally, on-premises applications integrate with a customer’s Active Directory implementation, or some other well-known directory in the environment. Although customers don’t have 100% of their applications integrated with Active Directory, they usually prefer to do it if the application supports it.</w:t>
      </w:r>
    </w:p>
    <w:p w14:paraId="18654612" w14:textId="77777777" w:rsidR="00FE44F8" w:rsidRDefault="00FE44F8" w:rsidP="00FE44F8">
      <w:r>
        <w:t>Some of the key reasons a customer might decide to integrate an on-premises application with an Azure identity solution are to:</w:t>
      </w:r>
    </w:p>
    <w:p w14:paraId="003DEC85" w14:textId="77777777" w:rsidR="00FE44F8" w:rsidRDefault="00FE44F8" w:rsidP="005729D2">
      <w:pPr>
        <w:pStyle w:val="ListBullet"/>
        <w:numPr>
          <w:ilvl w:val="0"/>
          <w:numId w:val="92"/>
        </w:numPr>
      </w:pPr>
      <w:r>
        <w:t>Make the application available to employees from outside of the network</w:t>
      </w:r>
    </w:p>
    <w:p w14:paraId="62A764D5" w14:textId="77777777" w:rsidR="00FE44F8" w:rsidRDefault="00FE44F8" w:rsidP="005729D2">
      <w:pPr>
        <w:pStyle w:val="ListBullet"/>
        <w:numPr>
          <w:ilvl w:val="0"/>
          <w:numId w:val="92"/>
        </w:numPr>
      </w:pPr>
      <w:r>
        <w:t>Align heterogeneous applications under a single authentication framework, typically for single sign-on</w:t>
      </w:r>
    </w:p>
    <w:p w14:paraId="4AD43A43" w14:textId="77777777" w:rsidR="00FE44F8" w:rsidRDefault="00FE44F8" w:rsidP="005729D2">
      <w:pPr>
        <w:pStyle w:val="ListBullet"/>
        <w:numPr>
          <w:ilvl w:val="0"/>
          <w:numId w:val="92"/>
        </w:numPr>
      </w:pPr>
      <w:r>
        <w:t>Integrate applications with a cloud-based authorization model</w:t>
      </w:r>
    </w:p>
    <w:p w14:paraId="4ACC005E" w14:textId="77777777" w:rsidR="00FE44F8" w:rsidRDefault="00FE44F8" w:rsidP="005729D2">
      <w:pPr>
        <w:pStyle w:val="ListBullet"/>
        <w:numPr>
          <w:ilvl w:val="0"/>
          <w:numId w:val="92"/>
        </w:numPr>
      </w:pPr>
      <w:r>
        <w:t>Share applications with other organizations</w:t>
      </w:r>
    </w:p>
    <w:p w14:paraId="0F3702CC" w14:textId="77777777" w:rsidR="00FE44F8" w:rsidRDefault="00FE44F8" w:rsidP="00FE44F8">
      <w:r>
        <w:t>Regardless of the reason, there are two ways to integrate an on-premises application with Azure Active Directory:</w:t>
      </w:r>
    </w:p>
    <w:p w14:paraId="3A3730F6" w14:textId="77777777" w:rsidR="00FE44F8" w:rsidRDefault="00FE44F8" w:rsidP="005729D2">
      <w:pPr>
        <w:pStyle w:val="ListParagraph"/>
        <w:numPr>
          <w:ilvl w:val="0"/>
          <w:numId w:val="280"/>
        </w:numPr>
      </w:pPr>
      <w:r>
        <w:t>Through identity federation</w:t>
      </w:r>
    </w:p>
    <w:p w14:paraId="46BA704B" w14:textId="20AFE519" w:rsidR="009D5BC7" w:rsidRDefault="00FE44F8" w:rsidP="005729D2">
      <w:pPr>
        <w:pStyle w:val="ListParagraph"/>
        <w:numPr>
          <w:ilvl w:val="0"/>
          <w:numId w:val="280"/>
        </w:numPr>
      </w:pPr>
      <w:r>
        <w:t>Through the application proxy</w:t>
      </w:r>
      <w:r w:rsidR="009D5BC7">
        <w:t>.</w:t>
      </w:r>
    </w:p>
    <w:p w14:paraId="2887A9DF" w14:textId="77777777" w:rsidR="006D5DE5" w:rsidRDefault="006D5DE5" w:rsidP="005729D2">
      <w:pPr>
        <w:pStyle w:val="Heading4Numbered"/>
        <w:numPr>
          <w:ilvl w:val="3"/>
          <w:numId w:val="64"/>
        </w:numPr>
      </w:pPr>
      <w:r>
        <w:t>Identity Federation</w:t>
      </w:r>
    </w:p>
    <w:p w14:paraId="6C011D93" w14:textId="5D53FB00" w:rsidR="00FE44F8" w:rsidRDefault="006D5DE5" w:rsidP="00FE44F8">
      <w:r>
        <w:t>Most</w:t>
      </w:r>
      <w:r w:rsidR="00FE44F8">
        <w:t xml:space="preserve"> of the time, when federating an on-premises application, the sign-in and sign-out portion of the application will have to be rewritten to handle one of the identity federation protocols discussed in the Microsoft Azure Networking section</w:t>
      </w:r>
      <w:r w:rsidR="000A7EF0">
        <w:t xml:space="preserve"> in this document</w:t>
      </w:r>
      <w:r w:rsidR="00FE44F8">
        <w:t xml:space="preserve">. </w:t>
      </w:r>
    </w:p>
    <w:p w14:paraId="01D87EA0" w14:textId="77777777" w:rsidR="00FE44F8" w:rsidRDefault="00FE44F8" w:rsidP="00FE44F8">
      <w:r>
        <w:t xml:space="preserve">To accomplish this, the developer needs a library that implements the protocol. Federated identity libraries won’t be available for every application platform, but most of the platforms have them available. </w:t>
      </w:r>
    </w:p>
    <w:p w14:paraId="54E589D3" w14:textId="697E7B17" w:rsidR="00CC3403" w:rsidRDefault="00FE44F8" w:rsidP="00FE44F8">
      <w:r>
        <w:t xml:space="preserve">For .NET 3.5 and .NET 4.0, we recommend you use the WS-Federation protocol support that is available in Windows Identity Foundation (WIF). For more information about WIF, please see </w:t>
      </w:r>
      <w:hyperlink r:id="rId519" w:history="1">
        <w:r w:rsidRPr="00186DB8">
          <w:rPr>
            <w:rStyle w:val="Hyperlink"/>
          </w:rPr>
          <w:t>7 Hours of Recordings from the WIF Workshops</w:t>
        </w:r>
      </w:hyperlink>
      <w:r>
        <w: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FE44F8" w14:paraId="601DDA34" w14:textId="77777777" w:rsidTr="00400CB6">
        <w:trPr>
          <w:trHeight w:val="423"/>
        </w:trPr>
        <w:tc>
          <w:tcPr>
            <w:tcW w:w="666" w:type="dxa"/>
          </w:tcPr>
          <w:p w14:paraId="69592D28" w14:textId="77777777" w:rsidR="00FE44F8" w:rsidRDefault="00FE44F8" w:rsidP="00400CB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938816" behindDoc="0" locked="0" layoutInCell="1" allowOverlap="1" wp14:anchorId="316AF2F8" wp14:editId="6EF7DBCC">
                      <wp:simplePos x="0" y="0"/>
                      <wp:positionH relativeFrom="column">
                        <wp:posOffset>66675</wp:posOffset>
                      </wp:positionH>
                      <wp:positionV relativeFrom="paragraph">
                        <wp:posOffset>90170</wp:posOffset>
                      </wp:positionV>
                      <wp:extent cx="209550" cy="180975"/>
                      <wp:effectExtent l="57150" t="19050" r="57150" b="104775"/>
                      <wp:wrapNone/>
                      <wp:docPr id="10" name="Isosceles Tri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4B862E4C" id="Isosceles Triangle 10" o:spid="_x0000_s1026" type="#_x0000_t5" style="position:absolute;margin-left:5.25pt;margin-top:7.1pt;width:16.5pt;height:14.25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iTthAIAAHEFAAAOAAAAZHJzL2Uyb0RvYy54bWysVFtP2zAUfp+0/2D5fSTpKJeIFFWgTkgV&#10;IGDi2XXs1prj49lu0+7X79i5wBgS0rQ8WHbOd+7fOReX+0aTnXBegalocZRTIgyHWpl1Rb8/Lb6c&#10;UeIDMzXTYERFD8LTy9nnTxetLcUENqBr4QgaMb5sbUU3IdgyyzzfiIb5I7DCoFCCa1jAp1tntWMt&#10;Wm90Nsnzk6wFV1sHXHiPf687IZ0l+1IKHu6k9CIQXVGMLaTTpXMVz2x2wcq1Y3ajeB8G+4coGqYM&#10;Oh1NXbPAyNapv0w1ijvwIMMRhyYDKRUXKQfMpsjfZPO4YVakXLA43o5l8v/PLL/d3Tuiauwdlsew&#10;Bnt048FzoYUnT04xs9aCoBAr1VpfosKjvXcxV2+XwH94FGR/SOLD95i9dE3EYqZkn8p+GMsu9oFw&#10;/DnJz6dT9M5RVJzl56fT6Cxj5aBsnQ/fBDQkXioa+qhSwdlu6UMHH2ApNtCqXiit08OtV1fakR1D&#10;Fizwy1M66MG/wFIOXdgpgXDQIipr8yAkVggDLZLHxE0x2mOcCxNO+pATOqpJ9D0qfv1YscdHVZF4&#10;OypPPlYeNZJnMGFUbpQB954BHYo+ZNnh+y76Lu9YghXUBySHg25qvOULhQ1YMh/umcMxwZ7h6Ic7&#10;PKSGtqLQ3yjZgPv13v+IR/ailJIWx66i/ueWOUGJvjHI6/Pi+DjOaXocT08n+HCvJavXErNtrgB7&#10;WuCSsTxdIz7o4SodNM+4IebRK4qY4ei7ojy44XEVunWAO4aL+TzBcDYtC0vzaPnQ9Uiup/0zc3Zg&#10;IdL3FoYRZeUbInbY2A8D820AqRJLX+ra1xvnOnG930Fxcbx+J9TLppz9BgAA//8DAFBLAwQUAAYA&#10;CAAAACEANTxCMNkAAAAHAQAADwAAAGRycy9kb3ducmV2LnhtbEyOzU7DMBCE70i8g7VIXFDrkIa2&#10;CnEqhJIjqig8gBNvfoS9jmK3DW/PcoLTaDSjma84LM6KC85h9KTgcZ2AQGq9GalX8PlRr/YgQtRk&#10;tPWECr4xwKG8vSl0bvyV3vFyir3gEQq5VjDEOOVShnZAp8PaT0icdX52OrKde2lmfeVxZ2WaJFvp&#10;9Ej8MOgJXwdsv05np8A3y7Hb1Lv9Q+0m+9ZVVeaOlVL3d8vLM4iIS/wrwy8+o0PJTI0/kwnCsk+e&#10;uMmapSA4zzbsG9Z0B7Is5H/+8gcAAP//AwBQSwECLQAUAAYACAAAACEAtoM4kv4AAADhAQAAEwAA&#10;AAAAAAAAAAAAAAAAAAAAW0NvbnRlbnRfVHlwZXNdLnhtbFBLAQItABQABgAIAAAAIQA4/SH/1gAA&#10;AJQBAAALAAAAAAAAAAAAAAAAAC8BAABfcmVscy8ucmVsc1BLAQItABQABgAIAAAAIQCi0iTthAIA&#10;AHEFAAAOAAAAAAAAAAAAAAAAAC4CAABkcnMvZTJvRG9jLnhtbFBLAQItABQABgAIAAAAIQA1PEIw&#10;2QAAAAcBAAAPAAAAAAAAAAAAAAAAAN4EAABkcnMvZG93bnJldi54bWxQSwUGAAAAAAQABADzAAAA&#10;5AUAAAAA&#10;" fillcolor="yellow" strokecolor="#70ad47 [3209]" strokeweight=".5pt">
                      <v:path arrowok="t"/>
                    </v:shape>
                  </w:pict>
                </mc:Fallback>
              </mc:AlternateContent>
            </w:r>
          </w:p>
        </w:tc>
        <w:tc>
          <w:tcPr>
            <w:tcW w:w="8604" w:type="dxa"/>
          </w:tcPr>
          <w:p w14:paraId="1D26447B" w14:textId="77777777" w:rsidR="00FE44F8" w:rsidRDefault="00FE44F8" w:rsidP="00400CB6">
            <w:pPr>
              <w:rPr>
                <w:lang w:eastAsia="en-US"/>
              </w:rPr>
            </w:pPr>
            <w:r>
              <w:rPr>
                <w:rFonts w:eastAsiaTheme="minorHAnsi"/>
                <w:b/>
                <w:lang w:eastAsia="en-US"/>
              </w:rPr>
              <w:t xml:space="preserve">Recommended: </w:t>
            </w:r>
            <w:r>
              <w:rPr>
                <w:rFonts w:eastAsiaTheme="minorHAnsi"/>
                <w:lang w:eastAsia="en-US"/>
              </w:rPr>
              <w:t>For .NET 4.0 and .NET 3.5 applications, use Windows Identity Foundation with the WS-Federation protocol</w:t>
            </w:r>
            <w:r>
              <w:t>.</w:t>
            </w:r>
          </w:p>
        </w:tc>
      </w:tr>
      <w:tr w:rsidR="00FE44F8" w14:paraId="27F65D6D" w14:textId="77777777" w:rsidTr="00400CB6">
        <w:trPr>
          <w:trHeight w:val="423"/>
        </w:trPr>
        <w:tc>
          <w:tcPr>
            <w:tcW w:w="666" w:type="dxa"/>
          </w:tcPr>
          <w:p w14:paraId="7448ED94" w14:textId="77777777" w:rsidR="00FE44F8" w:rsidRDefault="00FE44F8" w:rsidP="00400CB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35B81ACB" wp14:editId="72E8B6FC">
                      <wp:extent cx="200025" cy="180975"/>
                      <wp:effectExtent l="57150" t="19050" r="28575" b="104775"/>
                      <wp:docPr id="19" name="Octagon 19"/>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0C9F888" id="Octagon 19"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4n2cQIAAEwFAAAOAAAAZHJzL2Uyb0RvYy54bWysVF9P2zAQf5+072D5faTpYEBFiqoipkkI&#10;KmDi2XXs1pLj885u0+7T7+ykoWJISNNe7Dvf7/7f+ep611i2VRgMuIqXJyPOlJNQG7eq+M/n2y8X&#10;nIUoXC0sOFXxvQr8evr501XrJ2oMa7C1QkZGXJi0vuLrGP2kKIJcq0aEE/DKkVADNiISi6uiRtGS&#10;9cYW49HoW9EC1h5BqhDo9aYT8mm2r7WS8UHroCKzFafYYj4xn8t0FtMrMVmh8Gsj+zDEP0TRCOPI&#10;6WDqRkTBNmj+MtUYiRBAxxMJTQFaG6lyDpRNOXqTzdNaeJVzoeIEP5Qp/D+z8n67QGZq6t0lZ040&#10;1KMHGcUKHKMXKk/rw4RQT36BPReITLnuNDbppizYLpd0P5RU7SKT9Eg9Go3POJMkKi9Gl+dnyWbx&#10;quwxxO8KGpaIikPnO9dSbO9C7NAHVHIXwJr61libGVwt5xbZVlCD53PylntKDo5gRcqhizpTcW9V&#10;UrbuUWlKnuIss8c8dmqwJ6RULo77iDM6qWnyPSh+/VixxydVlUdyUB5/rDxoZM/g4qDcGAf4ngEb&#10;yz5k3eGp4Ed5J3IJ9Z76jtAtRPDy1lD970SIC4G0AbQrtNXxgQ5toaXG9BRna8Df770nPA0mSTlr&#10;aaMqHn5tBCrO7A9HI3tZnp6mFczM6dn5mBg8liyPJW7TzIF6WtL/4WUmEz7aA6kRmhda/lnySiLh&#10;JPmuuIx4YOax23T6PqSazTKM1s6LeOeevDx0PQ3X8+5FoO+HMNL03sNh+8TkzSB22NQPB7NNBG3y&#10;lL7Wta83rWwe9f57SX/CMZ9Rr5/g9A8AAAD//wMAUEsDBBQABgAIAAAAIQCft0Tx2wAAAAMBAAAP&#10;AAAAZHJzL2Rvd25yZXYueG1sTI9BS8NAEIXvgv9hGcGb3aTSEtNsiggFD9JgtXjdZqdJaHY27G6b&#10;+O8dvdjLwOM93vumWE+2Fxf0oXOkIJ0lIJBqZzpqFHx+bB4yECFqMrp3hAq+McC6vL0pdG7cSO94&#10;2cVGcAmFXCtoYxxyKUPdotVh5gYk9o7OWx1Z+kYar0cut72cJ8lSWt0RL7R6wJcW69PubBVUp7F6&#10;zarq6ctvlts3b/ep3+6Vur+bnlcgIk7xPwy/+IwOJTMd3JlMEL0CfiT+XfYe0wWIg4J5tgBZFvKa&#10;vfwBAAD//wMAUEsBAi0AFAAGAAgAAAAhALaDOJL+AAAA4QEAABMAAAAAAAAAAAAAAAAAAAAAAFtD&#10;b250ZW50X1R5cGVzXS54bWxQSwECLQAUAAYACAAAACEAOP0h/9YAAACUAQAACwAAAAAAAAAAAAAA&#10;AAAvAQAAX3JlbHMvLnJlbHNQSwECLQAUAAYACAAAACEA8zeJ9nECAABMBQAADgAAAAAAAAAAAAAA&#10;AAAuAgAAZHJzL2Uyb0RvYy54bWxQSwECLQAUAAYACAAAACEAn7dE8dsAAAADAQAADwAAAAAAAAAA&#10;AAAAAADLBAAAZHJzL2Rvd25yZXYueG1sUEsFBgAAAAAEAAQA8wAAANMFAAAAAA==&#10;" fillcolor="#c00" strokecolor="#ed7d31 [3205]" strokeweight=".5pt">
                      <w10:anchorlock/>
                    </v:shape>
                  </w:pict>
                </mc:Fallback>
              </mc:AlternateContent>
            </w:r>
          </w:p>
        </w:tc>
        <w:tc>
          <w:tcPr>
            <w:tcW w:w="8604" w:type="dxa"/>
          </w:tcPr>
          <w:p w14:paraId="2CCF4E2A" w14:textId="77777777" w:rsidR="00FE44F8" w:rsidRDefault="00FE44F8" w:rsidP="00400CB6">
            <w:pPr>
              <w:spacing w:after="240"/>
              <w:rPr>
                <w:lang w:eastAsia="en-US"/>
              </w:rPr>
            </w:pPr>
            <w:r w:rsidRPr="00192064">
              <w:rPr>
                <w:b/>
                <w:lang w:eastAsia="en-US"/>
              </w:rPr>
              <w:t>Mandatory</w:t>
            </w:r>
            <w:r>
              <w:rPr>
                <w:lang w:eastAsia="en-US"/>
              </w:rPr>
              <w:t>: We do not have any native WS-Federation libraries available for .NET 3.0 or earlier. Customers must update their applications to .NET 3.5 at a minimum to use the WIF API.</w:t>
            </w:r>
          </w:p>
        </w:tc>
      </w:tr>
    </w:tbl>
    <w:p w14:paraId="534B19E7" w14:textId="77777777" w:rsidR="00FE44F8" w:rsidRDefault="00FE44F8" w:rsidP="00FE44F8">
      <w:r>
        <w:t xml:space="preserve">For applications that use .NET 4.5, we recommend using the OWIN libraries for WS-Federation or OpenID Connect. For more information, please see: </w:t>
      </w:r>
    </w:p>
    <w:p w14:paraId="032D9DFF" w14:textId="77777777" w:rsidR="00FE44F8" w:rsidRDefault="00872E47" w:rsidP="005729D2">
      <w:pPr>
        <w:pStyle w:val="ListParagraph"/>
        <w:numPr>
          <w:ilvl w:val="0"/>
          <w:numId w:val="281"/>
        </w:numPr>
      </w:pPr>
      <w:hyperlink r:id="rId520" w:history="1">
        <w:r w:rsidR="00FE44F8" w:rsidRPr="00186DB8">
          <w:rPr>
            <w:rStyle w:val="Hyperlink"/>
          </w:rPr>
          <w:t>WS-Federation in Microsoft OWIN Components – A Quick Start</w:t>
        </w:r>
      </w:hyperlink>
      <w:r w:rsidR="00FE44F8" w:rsidRPr="00186DB8">
        <w:t xml:space="preserve"> </w:t>
      </w:r>
    </w:p>
    <w:p w14:paraId="0812E268" w14:textId="77777777" w:rsidR="00FE44F8" w:rsidRDefault="00872E47" w:rsidP="005729D2">
      <w:pPr>
        <w:pStyle w:val="ListParagraph"/>
        <w:numPr>
          <w:ilvl w:val="0"/>
          <w:numId w:val="281"/>
        </w:numPr>
      </w:pPr>
      <w:hyperlink r:id="rId521" w:history="1">
        <w:r w:rsidR="00FE44F8" w:rsidRPr="00186DB8">
          <w:rPr>
            <w:rStyle w:val="Hyperlink"/>
          </w:rPr>
          <w:t>OWIN Security Components in ASP.NET: OpenID Connect!</w:t>
        </w:r>
      </w:hyperlink>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FE44F8" w14:paraId="2D59E23C" w14:textId="77777777" w:rsidTr="00400CB6">
        <w:trPr>
          <w:trHeight w:val="423"/>
        </w:trPr>
        <w:tc>
          <w:tcPr>
            <w:tcW w:w="666" w:type="dxa"/>
          </w:tcPr>
          <w:p w14:paraId="57846E0C" w14:textId="77777777" w:rsidR="00FE44F8" w:rsidRDefault="00FE44F8" w:rsidP="00400CB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943936" behindDoc="0" locked="0" layoutInCell="1" allowOverlap="1" wp14:anchorId="031B65F3" wp14:editId="4D22C576">
                      <wp:simplePos x="0" y="0"/>
                      <wp:positionH relativeFrom="column">
                        <wp:posOffset>66675</wp:posOffset>
                      </wp:positionH>
                      <wp:positionV relativeFrom="paragraph">
                        <wp:posOffset>90170</wp:posOffset>
                      </wp:positionV>
                      <wp:extent cx="209550" cy="180975"/>
                      <wp:effectExtent l="57150" t="19050" r="57150" b="104775"/>
                      <wp:wrapNone/>
                      <wp:docPr id="17" name="Isosceles Tri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3AC58A2" id="Isosceles Triangle 17" o:spid="_x0000_s1026" type="#_x0000_t5" style="position:absolute;margin-left:5.25pt;margin-top:7.1pt;width:16.5pt;height:14.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boUhQIAAHEFAAAOAAAAZHJzL2Uyb0RvYy54bWysVFtP2zAUfp+0/2D5fSTpKJeIFFWgTkgV&#10;IGDi2XXs1prj49lu0+7X79i5wBgS0rQ8WHbOd+7fOReX+0aTnXBegalocZRTIgyHWpl1Rb8/Lb6c&#10;UeIDMzXTYERFD8LTy9nnTxetLcUENqBr4QgaMb5sbUU3IdgyyzzfiIb5I7DCoFCCa1jAp1tntWMt&#10;Wm90Nsnzk6wFV1sHXHiPf687IZ0l+1IKHu6k9CIQXVGMLaTTpXMVz2x2wcq1Y3ajeB8G+4coGqYM&#10;Oh1NXbPAyNapv0w1ijvwIMMRhyYDKRUXKQfMpsjfZPO4YVakXLA43o5l8v/PLL/d3TuiauzdKSWG&#10;NdijGw+eCy08eXKKmbUWBIVYqdb6EhUe7b2LuXq7BP7DoyD7QxIfvsfspWsiFjMl+1T2w1h2sQ+E&#10;489Jfj6dYnM4ioqz/Px0Gp1lrByUrfPhm4CGxEtFQx9VKjjbLX3o4AMsxQZa1QuldXq49epKO7Jj&#10;yIIFfnlqPHrwL7CUQxd2SiActIjK2jwIiRXCQIvkMXFTjPYY58KEkz7khI5qEn2Pil8/VuzxUVUk&#10;3o7Kk4+VR43kGUwYlRtlwL1nQIeiD1l2+L6Lvss7lmAF9QHJ4aCbGm/5QmEDlsyHe+ZwTLBnOPrh&#10;Dg+poa0o9DdKNuB+vfc/4pG9KKWkxbGrqP+5ZU5Qom8M8vq8OD6Oc5oex9PTCT7ca8nqtcRsmyvA&#10;nha4ZCxP14gPerhKB80zboh59IoiZjj6rigPbnhchW4d4I7hYj5PMJxNy8LSPFo+dD2S62n/zJwd&#10;WIj0vYVhRFn5hogdNvbDwHwbQKrE0pe69vXGuU5c73dQXByv3wn1silnvwEAAP//AwBQSwMEFAAG&#10;AAgAAAAhADU8QjDZAAAABwEAAA8AAABkcnMvZG93bnJldi54bWxMjs1OwzAQhO9IvIO1SFxQ65CG&#10;tgpxKoSSI6ooPIATb36EvY5itw1vz3KC02g0o5mvOCzOigvOYfSk4HGdgEBqvRmpV/D5Ua/2IELU&#10;ZLT1hAq+McChvL0pdG78ld7xcoq94BEKuVYwxDjlUoZ2QKfD2k9InHV+djqynXtpZn3lcWdlmiRb&#10;6fRI/DDoCV8HbL9OZ6fAN8ux29S7/UPtJvvWVVXmjpVS93fLyzOIiEv8K8MvPqNDyUyNP5MJwrJP&#10;nrjJmqUgOM827BvWdAeyLOR//vIHAAD//wMAUEsBAi0AFAAGAAgAAAAhALaDOJL+AAAA4QEAABMA&#10;AAAAAAAAAAAAAAAAAAAAAFtDb250ZW50X1R5cGVzXS54bWxQSwECLQAUAAYACAAAACEAOP0h/9YA&#10;AACUAQAACwAAAAAAAAAAAAAAAAAvAQAAX3JlbHMvLnJlbHNQSwECLQAUAAYACAAAACEAFLW6FIUC&#10;AABxBQAADgAAAAAAAAAAAAAAAAAuAgAAZHJzL2Uyb0RvYy54bWxQSwECLQAUAAYACAAAACEANTxC&#10;MNkAAAAHAQAADwAAAAAAAAAAAAAAAADfBAAAZHJzL2Rvd25yZXYueG1sUEsFBgAAAAAEAAQA8wAA&#10;AOUFAAAAAA==&#10;" fillcolor="yellow" strokecolor="#70ad47 [3209]" strokeweight=".5pt">
                      <v:path arrowok="t"/>
                    </v:shape>
                  </w:pict>
                </mc:Fallback>
              </mc:AlternateContent>
            </w:r>
          </w:p>
        </w:tc>
        <w:tc>
          <w:tcPr>
            <w:tcW w:w="8604" w:type="dxa"/>
          </w:tcPr>
          <w:p w14:paraId="0E7EB106" w14:textId="77777777" w:rsidR="00FE44F8" w:rsidRDefault="00FE44F8" w:rsidP="00400CB6">
            <w:pPr>
              <w:rPr>
                <w:lang w:eastAsia="en-US"/>
              </w:rPr>
            </w:pPr>
            <w:r>
              <w:rPr>
                <w:rFonts w:eastAsiaTheme="minorHAnsi"/>
                <w:b/>
                <w:lang w:eastAsia="en-US"/>
              </w:rPr>
              <w:t xml:space="preserve">Recommended: </w:t>
            </w:r>
            <w:r>
              <w:rPr>
                <w:rFonts w:eastAsiaTheme="minorHAnsi"/>
                <w:lang w:eastAsia="en-US"/>
              </w:rPr>
              <w:t>For .NET 4.5 applications, use the OWIN OpenID Connect module, if possible.</w:t>
            </w:r>
          </w:p>
        </w:tc>
      </w:tr>
    </w:tbl>
    <w:p w14:paraId="6C48F455" w14:textId="77777777" w:rsidR="00FE44F8" w:rsidRDefault="00FE44F8" w:rsidP="00FE44F8">
      <w:r>
        <w:t xml:space="preserve">For Java applications, there are two approaches. First, if the Java application is running on a J2EE server, such as Oracle WebLogic, it’s possible that the J2EE server natively supports one or more identity federation protocols. </w:t>
      </w:r>
    </w:p>
    <w:p w14:paraId="45D2473B" w14:textId="77777777" w:rsidR="00FE44F8" w:rsidRDefault="00FE44F8" w:rsidP="00FE44F8">
      <w:r>
        <w:t>If that’s the case, we recommend that you use the native support of the web platform. We’ve found that most J2EE platforms support SAML 2.0, and usually, a few additional protocols. If the Java application is running on Apache, the protocol integration can be done with a servlet, such as the Oracle OpenSSO Fedlet.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FE44F8" w14:paraId="7A2546D5" w14:textId="77777777" w:rsidTr="00400CB6">
        <w:trPr>
          <w:trHeight w:val="423"/>
        </w:trPr>
        <w:tc>
          <w:tcPr>
            <w:tcW w:w="666" w:type="dxa"/>
          </w:tcPr>
          <w:p w14:paraId="2F038112" w14:textId="77777777" w:rsidR="00FE44F8" w:rsidRDefault="00FE44F8" w:rsidP="00400CB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949056" behindDoc="0" locked="0" layoutInCell="1" allowOverlap="1" wp14:anchorId="49FE23D3" wp14:editId="35B12BF8">
                      <wp:simplePos x="0" y="0"/>
                      <wp:positionH relativeFrom="column">
                        <wp:posOffset>66675</wp:posOffset>
                      </wp:positionH>
                      <wp:positionV relativeFrom="paragraph">
                        <wp:posOffset>90170</wp:posOffset>
                      </wp:positionV>
                      <wp:extent cx="209550" cy="180975"/>
                      <wp:effectExtent l="57150" t="19050" r="57150" b="104775"/>
                      <wp:wrapNone/>
                      <wp:docPr id="18" name="Isosceles Tri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2881C5DB" id="Isosceles Triangle 18" o:spid="_x0000_s1026" type="#_x0000_t5" style="position:absolute;margin-left:5.25pt;margin-top:7.1pt;width:16.5pt;height:14.2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g5chQIAAHEFAAAOAAAAZHJzL2Uyb0RvYy54bWysVFtP2zAUfp+0/2D5fSTpKJeIFFWgTkgV&#10;IGDi2XXs1prj49lu0+7X79i5wBgS0rQ8WHbOd+7fOReX+0aTnXBegalocZRTIgyHWpl1Rb8/Lb6c&#10;UeIDMzXTYERFD8LTy9nnTxetLcUENqBr4QgaMb5sbUU3IdgyyzzfiIb5I7DCoFCCa1jAp1tntWMt&#10;Wm90Nsnzk6wFV1sHXHiPf687IZ0l+1IKHu6k9CIQXVGMLaTTpXMVz2x2wcq1Y3ajeB8G+4coGqYM&#10;Oh1NXbPAyNapv0w1ijvwIMMRhyYDKRUXKQfMpsjfZPO4YVakXLA43o5l8v/PLL/d3Tuiauwddsqw&#10;Bnt048FzoYUnT04xs9aCoBAr1VpfosKjvXcxV2+XwH94FGR/SOLD95i9dE3EYqZkn8p+GMsu9oFw&#10;/DnJz6dTbA5HUXGWn59Oo7OMlYOydT58E9CQeKlo6KNKBWe7pQ8dfICl2ECreqG0Tg+3Xl1pR3YM&#10;WbDAL0+NRw/+BZZy6MJOCYSDFlFZmwchsUIYaJE8Jm6K0R7jXJhw0oec0FFNou9R8evHij0+qorE&#10;21F58rHyqJE8gwmjcqMMuPcM6FD0IcsO33fRd3nHEqygPiA5HHRT4y1fKGzAkvlwzxyOCfYMRz/c&#10;4SE1tBWF/kbJBtyv9/5HPLIXpZS0OHYV9T+3zAlK9I1BXp8Xx8dxTtPjeHo6wYd7LVm9lphtcwXY&#10;0wKXjOXpGvFBD1fpoHnGDTGPXlHEDEffFeXBDY+r0K0D3DFczOcJhrNpWViaR8uHrkdyPe2fmbMD&#10;C5G+tzCMKCvfELHDxn4YmG8DSJVY+lLXvt4414nr/Q6Ki+P1O6FeNuXsNwAAAP//AwBQSwMEFAAG&#10;AAgAAAAhADU8QjDZAAAABwEAAA8AAABkcnMvZG93bnJldi54bWxMjs1OwzAQhO9IvIO1SFxQ65CG&#10;tgpxKoSSI6ooPIATb36EvY5itw1vz3KC02g0o5mvOCzOigvOYfSk4HGdgEBqvRmpV/D5Ua/2IELU&#10;ZLT1hAq+McChvL0pdG78ld7xcoq94BEKuVYwxDjlUoZ2QKfD2k9InHV+djqynXtpZn3lcWdlmiRb&#10;6fRI/DDoCV8HbL9OZ6fAN8ux29S7/UPtJvvWVVXmjpVS93fLyzOIiEv8K8MvPqNDyUyNP5MJwrJP&#10;nrjJmqUgOM827BvWdAeyLOR//vIHAAD//wMAUEsBAi0AFAAGAAgAAAAhALaDOJL+AAAA4QEAABMA&#10;AAAAAAAAAAAAAAAAAAAAAFtDb250ZW50X1R5cGVzXS54bWxQSwECLQAUAAYACAAAACEAOP0h/9YA&#10;AACUAQAACwAAAAAAAAAAAAAAAAAvAQAAX3JlbHMvLnJlbHNQSwECLQAUAAYACAAAACEAqGoOXIUC&#10;AABxBQAADgAAAAAAAAAAAAAAAAAuAgAAZHJzL2Uyb0RvYy54bWxQSwECLQAUAAYACAAAACEANTxC&#10;MNkAAAAHAQAADwAAAAAAAAAAAAAAAADfBAAAZHJzL2Rvd25yZXYueG1sUEsFBgAAAAAEAAQA8wAA&#10;AOUFAAAAAA==&#10;" fillcolor="yellow" strokecolor="#70ad47 [3209]" strokeweight=".5pt">
                      <v:path arrowok="t"/>
                    </v:shape>
                  </w:pict>
                </mc:Fallback>
              </mc:AlternateContent>
            </w:r>
          </w:p>
        </w:tc>
        <w:tc>
          <w:tcPr>
            <w:tcW w:w="8604" w:type="dxa"/>
          </w:tcPr>
          <w:p w14:paraId="347B52D3" w14:textId="77777777" w:rsidR="00FE44F8" w:rsidRDefault="00FE44F8" w:rsidP="00400CB6">
            <w:pPr>
              <w:rPr>
                <w:lang w:eastAsia="en-US"/>
              </w:rPr>
            </w:pPr>
            <w:r>
              <w:rPr>
                <w:rFonts w:eastAsiaTheme="minorHAnsi"/>
                <w:b/>
                <w:lang w:eastAsia="en-US"/>
              </w:rPr>
              <w:t xml:space="preserve">Recommended: </w:t>
            </w:r>
            <w:r>
              <w:rPr>
                <w:rFonts w:eastAsiaTheme="minorHAnsi"/>
                <w:lang w:eastAsia="en-US"/>
              </w:rPr>
              <w:t>For Java applications running on a J2EE server, use the native SAML 2.0 support that most platforms have</w:t>
            </w:r>
            <w:r>
              <w:t>. If the application is running on Apache Tomcat, use the Oracle OpenSSO Fedlet, or use a suitable servlet alternative with SAML 2.0 support.</w:t>
            </w:r>
          </w:p>
        </w:tc>
      </w:tr>
    </w:tbl>
    <w:p w14:paraId="7737E2B3" w14:textId="77777777" w:rsidR="00CC3403" w:rsidRDefault="006D5DE5" w:rsidP="005729D2">
      <w:pPr>
        <w:pStyle w:val="Heading4Numbered"/>
        <w:numPr>
          <w:ilvl w:val="3"/>
          <w:numId w:val="64"/>
        </w:numPr>
      </w:pPr>
      <w:r>
        <w:t>Azure AD Application Proxy</w:t>
      </w:r>
    </w:p>
    <w:p w14:paraId="384BFBFB" w14:textId="54FC3479" w:rsidR="006A41AA" w:rsidRDefault="00FD0558" w:rsidP="006A41AA">
      <w:r>
        <w:t>If</w:t>
      </w:r>
      <w:r w:rsidR="006A41AA">
        <w:t xml:space="preserve"> re-writing the application to support an identity federation protocol is not possible, the Azure AD Application Proxy is an alternative that you can use for on-premises applications. When integrating with the Azure AD Application Proxy, the application gets the following benefits:</w:t>
      </w:r>
    </w:p>
    <w:p w14:paraId="560EAA5E" w14:textId="77777777" w:rsidR="006A41AA" w:rsidRDefault="006A41AA" w:rsidP="005729D2">
      <w:pPr>
        <w:pStyle w:val="ListBullet"/>
        <w:numPr>
          <w:ilvl w:val="0"/>
          <w:numId w:val="96"/>
        </w:numPr>
      </w:pPr>
      <w:r>
        <w:t>The Application Proxy makes the app accessible over the Internet.</w:t>
      </w:r>
    </w:p>
    <w:p w14:paraId="0BAABE5B" w14:textId="77777777" w:rsidR="006A41AA" w:rsidRDefault="006A41AA" w:rsidP="005729D2">
      <w:pPr>
        <w:pStyle w:val="ListBullet"/>
        <w:numPr>
          <w:ilvl w:val="0"/>
          <w:numId w:val="96"/>
        </w:numPr>
      </w:pPr>
      <w:r>
        <w:t>Application Proxy can pre-authenticate users against Azure AD.</w:t>
      </w:r>
    </w:p>
    <w:p w14:paraId="3055533F" w14:textId="77777777" w:rsidR="006A41AA" w:rsidRDefault="006A41AA" w:rsidP="005729D2">
      <w:pPr>
        <w:pStyle w:val="ListBullet"/>
        <w:numPr>
          <w:ilvl w:val="0"/>
          <w:numId w:val="96"/>
        </w:numPr>
      </w:pPr>
      <w:r>
        <w:t>Application Proxy can enforce Azure AD-based Multi-Factor Authentication for the application.</w:t>
      </w:r>
    </w:p>
    <w:p w14:paraId="5467557A" w14:textId="77777777" w:rsidR="006A41AA" w:rsidRDefault="006A41AA" w:rsidP="005729D2">
      <w:pPr>
        <w:pStyle w:val="ListBullet"/>
        <w:numPr>
          <w:ilvl w:val="0"/>
          <w:numId w:val="96"/>
        </w:numPr>
      </w:pPr>
      <w:r>
        <w:t>If integrating multiple applications with Azure AD, the Application Proxy can facilitate SSO to Azure AD for on-premises applications.</w:t>
      </w:r>
    </w:p>
    <w:p w14:paraId="1B470F00" w14:textId="77777777" w:rsidR="006A41AA" w:rsidRDefault="006A41AA" w:rsidP="006A41AA">
      <w:r>
        <w:t xml:space="preserve">When using the Azure AD Application Proxy, the application is still authenticating against the on-premises Active Directory—the application proxy does not change that. However, the application proxy is able to pre-authenticate users with Azure AD, and then facilitate SSO to the on-premises Active Directory by using a protocol transition technology called Kerberos constrained delegation. </w:t>
      </w:r>
    </w:p>
    <w:p w14:paraId="3B0E5C62" w14:textId="10173923" w:rsidR="00FD0558" w:rsidRPr="00FD0558" w:rsidRDefault="006A41AA" w:rsidP="006A41AA">
      <w:r>
        <w:t>Because there is still a dependency on Active Directory, all users of the application must have an active Active Directory account in the customer’s forest. Because of this, Azure AD Application Proxy is most suitable for internal users who access on-premises applications over the Internet</w:t>
      </w:r>
      <w:r w:rsidR="00FD0558">
        <w:t>.</w:t>
      </w:r>
    </w:p>
    <w:tbl>
      <w:tblPr>
        <w:tblStyle w:val="PlainTable11"/>
        <w:tblW w:w="0" w:type="auto"/>
        <w:tblLook w:val="04A0" w:firstRow="1" w:lastRow="0" w:firstColumn="1" w:lastColumn="0" w:noHBand="0" w:noVBand="1"/>
      </w:tblPr>
      <w:tblGrid>
        <w:gridCol w:w="3391"/>
        <w:gridCol w:w="5959"/>
      </w:tblGrid>
      <w:tr w:rsidR="00CC3403" w14:paraId="11BB3F12" w14:textId="77777777" w:rsidTr="00B048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5C99C22E" w14:textId="77777777" w:rsidR="00CC3403" w:rsidRPr="00F47607" w:rsidRDefault="00CC3403" w:rsidP="00CC3403">
            <w:pPr>
              <w:spacing w:line="240" w:lineRule="auto"/>
              <w:rPr>
                <w:color w:val="FFFFFF"/>
              </w:rPr>
            </w:pPr>
            <w:r>
              <w:rPr>
                <w:color w:val="FFFFFF"/>
              </w:rPr>
              <w:t>References</w:t>
            </w:r>
          </w:p>
        </w:tc>
      </w:tr>
      <w:tr w:rsidR="00CC3403" w:rsidRPr="00B0484A" w14:paraId="4A29BFFF" w14:textId="77777777" w:rsidTr="00B048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9" w:type="dxa"/>
          </w:tcPr>
          <w:p w14:paraId="576F5FA4" w14:textId="47C98DE0" w:rsidR="00CC3403" w:rsidRPr="00B0484A" w:rsidRDefault="00CC3403" w:rsidP="00CC3403">
            <w:pPr>
              <w:spacing w:line="240" w:lineRule="auto"/>
              <w:rPr>
                <w:sz w:val="20"/>
                <w:szCs w:val="18"/>
              </w:rPr>
            </w:pPr>
            <w:r w:rsidRPr="00B0484A">
              <w:rPr>
                <w:sz w:val="20"/>
                <w:szCs w:val="18"/>
              </w:rPr>
              <w:t>7 Hours of Recordings from the WIF Workshops</w:t>
            </w:r>
          </w:p>
        </w:tc>
        <w:tc>
          <w:tcPr>
            <w:tcW w:w="5961" w:type="dxa"/>
          </w:tcPr>
          <w:p w14:paraId="66B50911" w14:textId="465BCAAA" w:rsidR="00CC3403" w:rsidRPr="00B0484A" w:rsidRDefault="00872E47">
            <w:pPr>
              <w:cnfStyle w:val="000000100000" w:firstRow="0" w:lastRow="0" w:firstColumn="0" w:lastColumn="0" w:oddVBand="0" w:evenVBand="0" w:oddHBand="1" w:evenHBand="0" w:firstRowFirstColumn="0" w:firstRowLastColumn="0" w:lastRowFirstColumn="0" w:lastRowLastColumn="0"/>
              <w:rPr>
                <w:sz w:val="20"/>
                <w:szCs w:val="18"/>
              </w:rPr>
            </w:pPr>
            <w:hyperlink r:id="rId522" w:history="1">
              <w:r w:rsidR="00CC3403" w:rsidRPr="00B0484A">
                <w:rPr>
                  <w:rStyle w:val="Hyperlink"/>
                  <w:sz w:val="20"/>
                  <w:szCs w:val="18"/>
                </w:rPr>
                <w:t>http://www.cloudidentity.com/blog/2010/06/23/ALL-WILL-BE-REVEALED-7-HOURS-RECORDINGS-FROM-THE-WIF-WORKSHOPS/</w:t>
              </w:r>
            </w:hyperlink>
          </w:p>
        </w:tc>
      </w:tr>
      <w:tr w:rsidR="00CC3403" w:rsidRPr="00B0484A" w14:paraId="34882073" w14:textId="77777777" w:rsidTr="00B0484A">
        <w:tc>
          <w:tcPr>
            <w:cnfStyle w:val="001000000000" w:firstRow="0" w:lastRow="0" w:firstColumn="1" w:lastColumn="0" w:oddVBand="0" w:evenVBand="0" w:oddHBand="0" w:evenHBand="0" w:firstRowFirstColumn="0" w:firstRowLastColumn="0" w:lastRowFirstColumn="0" w:lastRowLastColumn="0"/>
            <w:tcW w:w="3399" w:type="dxa"/>
          </w:tcPr>
          <w:p w14:paraId="65A19626" w14:textId="5CD97E33" w:rsidR="00CC3403" w:rsidRPr="00B0484A" w:rsidRDefault="00CC3403" w:rsidP="00CC3403">
            <w:pPr>
              <w:spacing w:line="240" w:lineRule="auto"/>
              <w:rPr>
                <w:sz w:val="20"/>
                <w:szCs w:val="18"/>
              </w:rPr>
            </w:pPr>
            <w:r w:rsidRPr="00B0484A">
              <w:rPr>
                <w:sz w:val="20"/>
                <w:szCs w:val="18"/>
              </w:rPr>
              <w:t>WS-Federation in Microsoft OWIN Components – A Quick Start</w:t>
            </w:r>
          </w:p>
        </w:tc>
        <w:tc>
          <w:tcPr>
            <w:tcW w:w="5961" w:type="dxa"/>
          </w:tcPr>
          <w:p w14:paraId="030A1304" w14:textId="5A4490AF" w:rsidR="00CC3403" w:rsidRPr="00B0484A" w:rsidRDefault="00872E47">
            <w:pPr>
              <w:cnfStyle w:val="000000000000" w:firstRow="0" w:lastRow="0" w:firstColumn="0" w:lastColumn="0" w:oddVBand="0" w:evenVBand="0" w:oddHBand="0" w:evenHBand="0" w:firstRowFirstColumn="0" w:firstRowLastColumn="0" w:lastRowFirstColumn="0" w:lastRowLastColumn="0"/>
              <w:rPr>
                <w:sz w:val="20"/>
                <w:szCs w:val="18"/>
              </w:rPr>
            </w:pPr>
            <w:hyperlink r:id="rId523" w:history="1">
              <w:r w:rsidR="00CC3403" w:rsidRPr="00B0484A">
                <w:rPr>
                  <w:rStyle w:val="Hyperlink"/>
                  <w:sz w:val="20"/>
                  <w:szCs w:val="18"/>
                </w:rPr>
                <w:t>http://www.cloudidentity.com/blog/2014/02/20/ws-federation-in-microsoft-owin-componentsa-quick-start/</w:t>
              </w:r>
            </w:hyperlink>
          </w:p>
        </w:tc>
      </w:tr>
      <w:tr w:rsidR="00CC3403" w:rsidRPr="00B0484A" w14:paraId="48064CA9" w14:textId="77777777" w:rsidTr="00B048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9" w:type="dxa"/>
          </w:tcPr>
          <w:p w14:paraId="6C910111" w14:textId="34B7BD9F" w:rsidR="00CC3403" w:rsidRPr="00B0484A" w:rsidRDefault="00CC3403" w:rsidP="00CC3403">
            <w:pPr>
              <w:spacing w:line="240" w:lineRule="auto"/>
              <w:rPr>
                <w:sz w:val="20"/>
                <w:szCs w:val="18"/>
              </w:rPr>
            </w:pPr>
            <w:r w:rsidRPr="00B0484A">
              <w:rPr>
                <w:sz w:val="20"/>
                <w:szCs w:val="18"/>
              </w:rPr>
              <w:t>OWIN Security Components in ASP.NET: OpenID Connect</w:t>
            </w:r>
          </w:p>
        </w:tc>
        <w:tc>
          <w:tcPr>
            <w:tcW w:w="5961" w:type="dxa"/>
          </w:tcPr>
          <w:p w14:paraId="11E2E20A" w14:textId="7265749B" w:rsidR="00CC3403" w:rsidRPr="00B0484A" w:rsidRDefault="00872E47">
            <w:pPr>
              <w:cnfStyle w:val="000000100000" w:firstRow="0" w:lastRow="0" w:firstColumn="0" w:lastColumn="0" w:oddVBand="0" w:evenVBand="0" w:oddHBand="1" w:evenHBand="0" w:firstRowFirstColumn="0" w:firstRowLastColumn="0" w:lastRowFirstColumn="0" w:lastRowLastColumn="0"/>
              <w:rPr>
                <w:sz w:val="20"/>
                <w:szCs w:val="18"/>
              </w:rPr>
            </w:pPr>
            <w:hyperlink r:id="rId524" w:history="1">
              <w:r w:rsidR="00CC3403" w:rsidRPr="00B0484A">
                <w:rPr>
                  <w:rStyle w:val="Hyperlink"/>
                  <w:sz w:val="20"/>
                  <w:szCs w:val="18"/>
                </w:rPr>
                <w:t>http://blogs.msdn.com/b/webdev/archive/2014/03/28/owin-security-components-in-asp-net-openid-connect.aspx</w:t>
              </w:r>
            </w:hyperlink>
          </w:p>
        </w:tc>
      </w:tr>
    </w:tbl>
    <w:p w14:paraId="426BEB6E" w14:textId="1FC35AEA" w:rsidR="001629B4" w:rsidRPr="009D5BC7" w:rsidRDefault="001629B4" w:rsidP="009D5BC7"/>
    <w:p w14:paraId="50875FC8" w14:textId="3640B51E" w:rsidR="00676C44" w:rsidRDefault="00676C44" w:rsidP="005729D2">
      <w:pPr>
        <w:pStyle w:val="Heading3Numbered"/>
        <w:numPr>
          <w:ilvl w:val="2"/>
          <w:numId w:val="64"/>
        </w:numPr>
      </w:pPr>
      <w:bookmarkStart w:id="6043" w:name="_Toc417927137"/>
      <w:bookmarkStart w:id="6044" w:name="_Toc417928037"/>
      <w:bookmarkStart w:id="6045" w:name="_Toc417929315"/>
      <w:bookmarkStart w:id="6046" w:name="_Toc417929781"/>
      <w:bookmarkStart w:id="6047" w:name="_Toc417930049"/>
      <w:bookmarkStart w:id="6048" w:name="_Toc417931618"/>
      <w:bookmarkStart w:id="6049" w:name="_Toc417930764"/>
      <w:bookmarkStart w:id="6050" w:name="_Toc417931188"/>
      <w:bookmarkStart w:id="6051" w:name="_Toc417932661"/>
      <w:bookmarkStart w:id="6052" w:name="_Toc417933144"/>
      <w:bookmarkStart w:id="6053" w:name="_Toc417932285"/>
      <w:bookmarkStart w:id="6054" w:name="_Toc417934268"/>
      <w:bookmarkStart w:id="6055" w:name="_Toc417933402"/>
      <w:bookmarkStart w:id="6056" w:name="_Toc417934732"/>
      <w:bookmarkStart w:id="6057" w:name="_Toc417934908"/>
      <w:bookmarkStart w:id="6058" w:name="_Toc417935389"/>
      <w:bookmarkStart w:id="6059" w:name="_Toc417936071"/>
      <w:bookmarkStart w:id="6060" w:name="_Toc417936533"/>
      <w:bookmarkStart w:id="6061" w:name="_Toc417942613"/>
      <w:bookmarkStart w:id="6062" w:name="_Toc417943092"/>
      <w:bookmarkStart w:id="6063" w:name="_Toc417945436"/>
      <w:bookmarkStart w:id="6064" w:name="_Toc417946764"/>
      <w:bookmarkStart w:id="6065" w:name="_Toc417947426"/>
      <w:bookmarkStart w:id="6066" w:name="_Toc417948127"/>
      <w:bookmarkStart w:id="6067" w:name="_Toc417951176"/>
      <w:bookmarkStart w:id="6068" w:name="_Toc417975228"/>
      <w:bookmarkStart w:id="6069" w:name="_Toc417975945"/>
      <w:bookmarkStart w:id="6070" w:name="_Toc417977008"/>
      <w:bookmarkStart w:id="6071" w:name="_Toc417978096"/>
      <w:bookmarkStart w:id="6072" w:name="_Toc417979286"/>
      <w:bookmarkStart w:id="6073" w:name="_Toc417981388"/>
      <w:bookmarkStart w:id="6074" w:name="_Toc417981659"/>
      <w:bookmarkStart w:id="6075" w:name="_Toc417983186"/>
      <w:bookmarkStart w:id="6076" w:name="_Toc417984455"/>
      <w:bookmarkStart w:id="6077" w:name="_Toc417986020"/>
      <w:bookmarkStart w:id="6078" w:name="_Toc417987456"/>
      <w:bookmarkStart w:id="6079" w:name="_Toc417993152"/>
      <w:bookmarkStart w:id="6080" w:name="_Toc418003884"/>
      <w:bookmarkStart w:id="6081" w:name="_Toc418005624"/>
      <w:bookmarkStart w:id="6082" w:name="_Toc418006626"/>
      <w:bookmarkStart w:id="6083" w:name="_Toc418010865"/>
      <w:bookmarkStart w:id="6084" w:name="_Toc418012089"/>
      <w:bookmarkStart w:id="6085" w:name="_Toc418012357"/>
      <w:bookmarkStart w:id="6086" w:name="_Toc418012801"/>
      <w:bookmarkStart w:id="6087" w:name="_Toc418014357"/>
      <w:bookmarkStart w:id="6088" w:name="_Toc418014737"/>
      <w:bookmarkStart w:id="6089" w:name="_Toc418016106"/>
      <w:bookmarkStart w:id="6090" w:name="_Toc418017345"/>
      <w:bookmarkStart w:id="6091" w:name="_Toc418013674"/>
      <w:bookmarkStart w:id="6092" w:name="_Toc418017620"/>
      <w:bookmarkStart w:id="6093" w:name="_Toc418021109"/>
      <w:bookmarkStart w:id="6094" w:name="_Toc418022157"/>
      <w:bookmarkStart w:id="6095" w:name="_Toc418023130"/>
      <w:bookmarkStart w:id="6096" w:name="_Toc418025526"/>
      <w:bookmarkStart w:id="6097" w:name="_Toc418026094"/>
      <w:bookmarkStart w:id="6098" w:name="_Toc418027776"/>
      <w:bookmarkStart w:id="6099" w:name="_Toc418028198"/>
      <w:bookmarkStart w:id="6100" w:name="_Toc418030107"/>
      <w:bookmarkStart w:id="6101" w:name="_Toc418030858"/>
      <w:bookmarkStart w:id="6102" w:name="_Toc418040610"/>
      <w:bookmarkStart w:id="6103" w:name="_Toc418077683"/>
      <w:bookmarkStart w:id="6104" w:name="_Toc418067150"/>
      <w:bookmarkStart w:id="6105" w:name="_Toc418079761"/>
      <w:bookmarkStart w:id="6106" w:name="_Toc418081362"/>
      <w:bookmarkStart w:id="6107" w:name="_Toc418069275"/>
      <w:bookmarkStart w:id="6108" w:name="_Toc418072111"/>
      <w:bookmarkStart w:id="6109" w:name="_Toc418095384"/>
      <w:bookmarkStart w:id="6110" w:name="_Toc418096158"/>
      <w:bookmarkStart w:id="6111" w:name="_Toc418123967"/>
      <w:bookmarkStart w:id="6112" w:name="_Toc418124169"/>
      <w:bookmarkStart w:id="6113" w:name="_Toc418124371"/>
      <w:bookmarkStart w:id="6114" w:name="_Toc418078735"/>
      <w:bookmarkStart w:id="6115" w:name="_Toc418080086"/>
      <w:bookmarkStart w:id="6116" w:name="_Toc418151080"/>
      <w:bookmarkStart w:id="6117" w:name="_Toc418156760"/>
      <w:bookmarkStart w:id="6118" w:name="_Toc418187053"/>
      <w:bookmarkStart w:id="6119" w:name="_Toc415040048"/>
      <w:bookmarkStart w:id="6120" w:name="_Toc415572405"/>
      <w:bookmarkStart w:id="6121" w:name="_Toc415735575"/>
      <w:bookmarkStart w:id="6122" w:name="_Toc415814156"/>
      <w:bookmarkStart w:id="6123" w:name="_Toc416343891"/>
      <w:bookmarkStart w:id="6124" w:name="_Toc416863163"/>
      <w:bookmarkStart w:id="6125" w:name="_Toc417314778"/>
      <w:bookmarkStart w:id="6126" w:name="_Toc417323795"/>
      <w:bookmarkStart w:id="6127" w:name="_Toc417326885"/>
      <w:bookmarkStart w:id="6128" w:name="_Toc417330433"/>
      <w:bookmarkStart w:id="6129" w:name="_Toc417395039"/>
      <w:bookmarkStart w:id="6130" w:name="_Toc417399256"/>
      <w:bookmarkStart w:id="6131" w:name="_Toc417399415"/>
      <w:bookmarkStart w:id="6132" w:name="_Toc417400462"/>
      <w:bookmarkStart w:id="6133" w:name="_Toc417401310"/>
      <w:bookmarkStart w:id="6134" w:name="_Toc417419625"/>
      <w:bookmarkStart w:id="6135" w:name="_Toc417457397"/>
      <w:bookmarkStart w:id="6136" w:name="_Toc417481975"/>
      <w:bookmarkStart w:id="6137" w:name="_Toc417482233"/>
      <w:bookmarkStart w:id="6138" w:name="_Toc417499952"/>
      <w:bookmarkStart w:id="6139" w:name="_Toc417502773"/>
      <w:bookmarkStart w:id="6140" w:name="_Toc417548360"/>
      <w:bookmarkStart w:id="6141" w:name="_Toc417594603"/>
      <w:bookmarkStart w:id="6142" w:name="_Toc417934733"/>
      <w:bookmarkStart w:id="6143" w:name="_Toc417936072"/>
      <w:bookmarkStart w:id="6144" w:name="_Toc417936534"/>
      <w:bookmarkStart w:id="6145" w:name="_Toc417946956"/>
      <w:bookmarkStart w:id="6146" w:name="_Toc417947425"/>
      <w:bookmarkStart w:id="6147" w:name="_Toc417982566"/>
      <w:bookmarkStart w:id="6148" w:name="_Toc417986021"/>
      <w:bookmarkStart w:id="6149" w:name="_Toc418000712"/>
      <w:bookmarkStart w:id="6150" w:name="_Toc418003885"/>
      <w:bookmarkStart w:id="6151" w:name="_Toc418012090"/>
      <w:bookmarkStart w:id="6152" w:name="_Toc418014502"/>
      <w:bookmarkStart w:id="6153" w:name="_Toc418030108"/>
      <w:bookmarkStart w:id="6154" w:name="_Toc418036990"/>
      <w:bookmarkStart w:id="6155" w:name="_Toc418061463"/>
      <w:bookmarkStart w:id="6156" w:name="_Toc418081363"/>
      <w:bookmarkStart w:id="6157" w:name="_Toc418081991"/>
      <w:bookmarkStart w:id="6158" w:name="_Toc418083394"/>
      <w:bookmarkStart w:id="6159" w:name="_Toc418096159"/>
      <w:bookmarkStart w:id="6160" w:name="_Toc418156761"/>
      <w:bookmarkStart w:id="6161" w:name="_Toc418167679"/>
      <w:bookmarkStart w:id="6162" w:name="_Toc418185935"/>
      <w:bookmarkStart w:id="6163" w:name="_Toc422941649"/>
      <w:bookmarkStart w:id="6164" w:name="_Toc423116855"/>
      <w:bookmarkStart w:id="6165" w:name="_Toc423117888"/>
      <w:bookmarkStart w:id="6166" w:name="_Toc423117338"/>
      <w:bookmarkStart w:id="6167" w:name="_Toc431288931"/>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r>
        <w:t>IaaS Applications</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04C49CF3" w14:textId="394B85D8" w:rsidR="009C1803" w:rsidRDefault="00A02B26" w:rsidP="009C1803">
      <w:r>
        <w:t>When</w:t>
      </w:r>
      <w:r w:rsidR="009C1803">
        <w:t xml:space="preserve"> applications are running in IaaS, they are actually running on standard web servers (such as IIS) on virtual machines in Azure. If you consider Azure IaaS as a second datacenter that extends a customer’s on-premises network, applications running in Azure IaaS are going to have similar options to applications running on-premises. Therefore, the options outlined in previous sections should be considered. </w:t>
      </w:r>
    </w:p>
    <w:p w14:paraId="271347BB" w14:textId="05C5DBF7" w:rsidR="00A02B26" w:rsidRDefault="009C1803" w:rsidP="009C1803">
      <w:r>
        <w:t>When deciding which integration approach to take, it’s first important to understand the customer’s motivation for wanting to move the application to IaaS</w:t>
      </w:r>
      <w:r w:rsidR="00A02B26">
        <w:t>.</w:t>
      </w:r>
    </w:p>
    <w:p w14:paraId="6769FC20" w14:textId="3B89AC46" w:rsidR="00A02B26" w:rsidRPr="0087598C" w:rsidRDefault="00FB2CFA" w:rsidP="005729D2">
      <w:pPr>
        <w:pStyle w:val="Heading4Numbered"/>
        <w:numPr>
          <w:ilvl w:val="3"/>
          <w:numId w:val="64"/>
        </w:numPr>
      </w:pPr>
      <w:r w:rsidRPr="0087598C">
        <w:t>Implementing in IaaS for Physical Reasons</w:t>
      </w:r>
    </w:p>
    <w:p w14:paraId="7658C5DE" w14:textId="02BBB41C" w:rsidR="009C1803" w:rsidRDefault="00FB2CFA" w:rsidP="009C1803">
      <w:r>
        <w:t>If</w:t>
      </w:r>
      <w:r w:rsidR="009C1803">
        <w:t xml:space="preserve"> the customer is moving the application to IaaS for physical reasons, the application will likely behave similarly to if it was hosted on-premises. Some examples of physical reasons are:</w:t>
      </w:r>
    </w:p>
    <w:p w14:paraId="46ABD0C1" w14:textId="77777777" w:rsidR="009C1803" w:rsidRDefault="009C1803" w:rsidP="005729D2">
      <w:pPr>
        <w:pStyle w:val="ListBullet"/>
        <w:numPr>
          <w:ilvl w:val="0"/>
          <w:numId w:val="99"/>
        </w:numPr>
      </w:pPr>
      <w:r>
        <w:t>On-premises datacenter is out of space</w:t>
      </w:r>
    </w:p>
    <w:p w14:paraId="487466BC" w14:textId="77777777" w:rsidR="009C1803" w:rsidRDefault="009C1803" w:rsidP="005729D2">
      <w:pPr>
        <w:pStyle w:val="ListBullet"/>
        <w:numPr>
          <w:ilvl w:val="0"/>
          <w:numId w:val="99"/>
        </w:numPr>
      </w:pPr>
      <w:r>
        <w:t>Desire to cut hardware costs</w:t>
      </w:r>
    </w:p>
    <w:p w14:paraId="34962658" w14:textId="77777777" w:rsidR="009C1803" w:rsidRDefault="009C1803" w:rsidP="005729D2">
      <w:pPr>
        <w:pStyle w:val="ListBullet"/>
        <w:numPr>
          <w:ilvl w:val="0"/>
          <w:numId w:val="99"/>
        </w:numPr>
      </w:pPr>
      <w:r>
        <w:t>Datacenter modernization efforts under way</w:t>
      </w:r>
    </w:p>
    <w:p w14:paraId="7F49D4F5" w14:textId="77777777" w:rsidR="009C1803" w:rsidRDefault="009C1803" w:rsidP="005729D2">
      <w:pPr>
        <w:pStyle w:val="ListBullet"/>
        <w:numPr>
          <w:ilvl w:val="0"/>
          <w:numId w:val="99"/>
        </w:numPr>
      </w:pPr>
      <w:r>
        <w:t>Provide better geographic redundancy to an existing application</w:t>
      </w:r>
    </w:p>
    <w:p w14:paraId="4E7BB6C9" w14:textId="77777777" w:rsidR="009C1803" w:rsidRDefault="009C1803" w:rsidP="005729D2">
      <w:pPr>
        <w:pStyle w:val="ListBullet"/>
        <w:numPr>
          <w:ilvl w:val="0"/>
          <w:numId w:val="99"/>
        </w:numPr>
      </w:pPr>
      <w:r>
        <w:t>Make the application available in a business continuity or disaster recovery scenario</w:t>
      </w:r>
    </w:p>
    <w:p w14:paraId="7B20198D" w14:textId="77777777" w:rsidR="009C1803" w:rsidRDefault="009C1803" w:rsidP="009C1803">
      <w:r>
        <w:t>If any of these scenarios are the motivation for the customer to move the application to IaaS, the best approach likely would be to also extend the on-premises Active Directory forest into IaaS. This allows the application to leverage Active Directory without any modifications to the application or the identity management processes for the customer.</w:t>
      </w:r>
    </w:p>
    <w:p w14:paraId="346B15DC" w14:textId="198142F1" w:rsidR="00FB2CFA" w:rsidRDefault="009C1803" w:rsidP="009C1803">
      <w:r>
        <w:t>There is, however, some additional engineering required for planning to extend Active Directory to Azure IaaS, in addition to some administrative burden. Please see the previous section for more guidance about how to extend Active Directory into IaaS</w:t>
      </w:r>
      <w:r w:rsidR="00FB2CFA">
        <w:t>.</w:t>
      </w:r>
    </w:p>
    <w:p w14:paraId="79EED225" w14:textId="2B90916C" w:rsidR="00FB2CFA" w:rsidRDefault="00FB2CFA" w:rsidP="005729D2">
      <w:pPr>
        <w:pStyle w:val="Heading4Numbered"/>
        <w:numPr>
          <w:ilvl w:val="3"/>
          <w:numId w:val="64"/>
        </w:numPr>
      </w:pPr>
      <w:r>
        <w:t>Making the Application Available to Employees over the Internet</w:t>
      </w:r>
    </w:p>
    <w:p w14:paraId="66F998B0" w14:textId="40FB707A" w:rsidR="009C1803" w:rsidRPr="0087598C" w:rsidRDefault="00FB2CFA" w:rsidP="009C1803">
      <w:r>
        <w:t>Another</w:t>
      </w:r>
      <w:r w:rsidR="009C1803">
        <w:t xml:space="preserve"> potential motivation for customers is to move the application to the cloud so that they can provide access to the application for employees without VPN access. As the workforce becomes increasingly mobile, the motivation for employees to access internal applications from their personal devices is growing. To accomplish this goal, there are three potential solutions.</w:t>
      </w:r>
    </w:p>
    <w:p w14:paraId="10638B68" w14:textId="77777777" w:rsidR="009C1803" w:rsidRDefault="009C1803" w:rsidP="009C1803">
      <w:r w:rsidRPr="0087598C">
        <w:rPr>
          <w:b/>
        </w:rPr>
        <w:t>Proxy an A</w:t>
      </w:r>
      <w:r>
        <w:rPr>
          <w:b/>
        </w:rPr>
        <w:t xml:space="preserve">ctive </w:t>
      </w:r>
      <w:r w:rsidRPr="0087598C">
        <w:rPr>
          <w:b/>
        </w:rPr>
        <w:t>D</w:t>
      </w:r>
      <w:r>
        <w:rPr>
          <w:b/>
        </w:rPr>
        <w:t>irectory</w:t>
      </w:r>
      <w:r w:rsidRPr="0087598C">
        <w:rPr>
          <w:b/>
        </w:rPr>
        <w:t>-Integrated</w:t>
      </w:r>
      <w:r w:rsidRPr="00C90964">
        <w:rPr>
          <w:b/>
        </w:rPr>
        <w:t xml:space="preserve"> Application</w:t>
      </w:r>
    </w:p>
    <w:p w14:paraId="55E7C4BC" w14:textId="77777777" w:rsidR="009C1803" w:rsidRDefault="009C1803" w:rsidP="009C1803">
      <w:r>
        <w:t xml:space="preserve">The Azure AD Application Proxy can be used to make an application on a private network accessible over the Internet. If the application is integrated with Active Directory, the customer should use Azure AD pre-authentication. Otherwise, a user on the Internet will have a poor sign-in experience. </w:t>
      </w:r>
    </w:p>
    <w:p w14:paraId="377343BA" w14:textId="77777777" w:rsidR="009C1803" w:rsidRDefault="009C1803" w:rsidP="009C1803">
      <w:r>
        <w:t>They will see the uninformative HTTP 401 credential dialog from the web browser, instead of a web-based sign-in page. This may also prevent the user from getting a SSO experience, and could cause the user’s credentials to be stored in the Windows Credential Manager on their personal computers.</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9C1803" w14:paraId="25D9D03D" w14:textId="77777777" w:rsidTr="00400CB6">
        <w:trPr>
          <w:trHeight w:val="423"/>
        </w:trPr>
        <w:tc>
          <w:tcPr>
            <w:tcW w:w="666" w:type="dxa"/>
          </w:tcPr>
          <w:p w14:paraId="5BFA11D5" w14:textId="77777777" w:rsidR="009C1803" w:rsidRDefault="009C1803" w:rsidP="00400CB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954176" behindDoc="0" locked="0" layoutInCell="1" allowOverlap="1" wp14:anchorId="30168981" wp14:editId="6BA5EF6E">
                      <wp:simplePos x="0" y="0"/>
                      <wp:positionH relativeFrom="column">
                        <wp:posOffset>66675</wp:posOffset>
                      </wp:positionH>
                      <wp:positionV relativeFrom="paragraph">
                        <wp:posOffset>90170</wp:posOffset>
                      </wp:positionV>
                      <wp:extent cx="209550" cy="180975"/>
                      <wp:effectExtent l="57150" t="19050" r="57150" b="104775"/>
                      <wp:wrapNone/>
                      <wp:docPr id="30" name="Isosceles Tri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6667EF2A" id="Isosceles Triangle 30" o:spid="_x0000_s1026" type="#_x0000_t5" style="position:absolute;margin-left:5.25pt;margin-top:7.1pt;width:16.5pt;height:14.2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YU4hQIAAHEFAAAOAAAAZHJzL2Uyb0RvYy54bWysVNtqGzEQfS/0H4Tem9114lyWrINJcAmY&#10;JDQpeZa1ki2q1aiS7LX79R1pL0nTQKB0H4Rm58xVZ+byat9oshPOKzAVLY5ySoThUCuzruj3p8WX&#10;c0p8YKZmGoyo6EF4ejX7/OmytaWYwAZ0LRxBJ8aXra3oJgRbZpnnG9EwfwRWGFRKcA0LKLp1VjvW&#10;ovdGZ5M8P81acLV1wIX3+PemU9JZ8i+l4OFeSi8C0RXF3EI6XTpX8cxml6xcO2Y3ivdpsH/IomHK&#10;YNDR1Q0LjGyd+stVo7gDDzIccWgykFJxkWrAaor8TTWPG2ZFqgWb4+3YJv//3PK73YMjqq7oMbbH&#10;sAbf6NaD50ILT56cYmatBUEldqq1vkSDR/vgYq3eLoH/8KjI/tBEwfeYvXRNxGKlZJ/afhjbLvaB&#10;cPw5yS+mU4zOUVWc5xdn0xgsY+VgbJ0PXwU0JF4qGvqsUsPZbulDBx9gKTfQql4orZPg1qtr7ciO&#10;IQsW+OWpHIzgX2Cphi7tVEA4aBGNtfkmJHYIEy1SxMRNMfpjnAsTTvuUEzqaSYw9Gh5/bNjjo6lI&#10;vB2NJx8bjxYpMpgwGjfKgHvPgQ5Fn7Ls8P0r+q7u2IIV1Ackh4NuarzlC4UPsGQ+PDCHY4JvhqMf&#10;7vGQGtqKQn+jZAPu13v/Ix7Zi1pKWhy7ivqfW+YEJfrWIK8vipOTOKdJOJmeTVBwrzWr1xqzba4B&#10;37TAJWN5ukZ80MNVOmiecUPMY1RUMcMxdkV5cINwHbp1gDuGi/k8wXA2LQtL82j58OqRXE/7Z+bs&#10;wEKk7x0MI8rKN0TssPE9DMy3AaRKLH3pa99vnOvE9X4HxcXxWk6ol005+w0AAP//AwBQSwMEFAAG&#10;AAgAAAAhADU8QjDZAAAABwEAAA8AAABkcnMvZG93bnJldi54bWxMjs1OwzAQhO9IvIO1SFxQ65CG&#10;tgpxKoSSI6ooPIATb36EvY5itw1vz3KC02g0o5mvOCzOigvOYfSk4HGdgEBqvRmpV/D5Ua/2IELU&#10;ZLT1hAq+McChvL0pdG78ld7xcoq94BEKuVYwxDjlUoZ2QKfD2k9InHV+djqynXtpZn3lcWdlmiRb&#10;6fRI/DDoCV8HbL9OZ6fAN8ux29S7/UPtJvvWVVXmjpVS93fLyzOIiEv8K8MvPqNDyUyNP5MJwrJP&#10;nrjJmqUgOM827BvWdAeyLOR//vIHAAD//wMAUEsBAi0AFAAGAAgAAAAhALaDOJL+AAAA4QEAABMA&#10;AAAAAAAAAAAAAAAAAAAAAFtDb250ZW50X1R5cGVzXS54bWxQSwECLQAUAAYACAAAACEAOP0h/9YA&#10;AACUAQAACwAAAAAAAAAAAAAAAAAvAQAAX3JlbHMvLnJlbHNQSwECLQAUAAYACAAAACEAa2GFOIUC&#10;AABxBQAADgAAAAAAAAAAAAAAAAAuAgAAZHJzL2Uyb0RvYy54bWxQSwECLQAUAAYACAAAACEANTxC&#10;MNkAAAAHAQAADwAAAAAAAAAAAAAAAADfBAAAZHJzL2Rvd25yZXYueG1sUEsFBgAAAAAEAAQA8wAA&#10;AOUFAAAAAA==&#10;" fillcolor="yellow" strokecolor="#70ad47 [3209]" strokeweight=".5pt">
                      <v:path arrowok="t"/>
                    </v:shape>
                  </w:pict>
                </mc:Fallback>
              </mc:AlternateContent>
            </w:r>
          </w:p>
        </w:tc>
        <w:tc>
          <w:tcPr>
            <w:tcW w:w="8604" w:type="dxa"/>
          </w:tcPr>
          <w:p w14:paraId="238AFB5C" w14:textId="77777777" w:rsidR="009C1803" w:rsidRDefault="009C1803" w:rsidP="00400CB6">
            <w:pPr>
              <w:rPr>
                <w:lang w:eastAsia="en-US"/>
              </w:rPr>
            </w:pPr>
            <w:r>
              <w:rPr>
                <w:rFonts w:eastAsiaTheme="minorHAnsi"/>
                <w:b/>
                <w:lang w:eastAsia="en-US"/>
              </w:rPr>
              <w:t xml:space="preserve">Recommended: </w:t>
            </w:r>
            <w:r>
              <w:rPr>
                <w:rFonts w:eastAsiaTheme="minorHAnsi"/>
                <w:lang w:eastAsia="en-US"/>
              </w:rPr>
              <w:t>If the application is Active Directory-integrated, enable pre-authentication at the Azure AD Application Proxy.</w:t>
            </w:r>
          </w:p>
        </w:tc>
      </w:tr>
    </w:tbl>
    <w:p w14:paraId="60902932" w14:textId="77777777" w:rsidR="009C1803" w:rsidRDefault="009C1803" w:rsidP="009C1803">
      <w:r>
        <w:t>In addition, the customer should deploy Active Directory into the Azure IaaS tenant with the application, as discussed in the previous section. Unless this happens, the application will not be able to authenticate users if the network link to the on-premises environment is down.</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9C1803" w14:paraId="22FFC116" w14:textId="77777777" w:rsidTr="00400CB6">
        <w:trPr>
          <w:trHeight w:val="423"/>
        </w:trPr>
        <w:tc>
          <w:tcPr>
            <w:tcW w:w="666" w:type="dxa"/>
          </w:tcPr>
          <w:p w14:paraId="1589459F" w14:textId="77777777" w:rsidR="009C1803" w:rsidRDefault="009C1803" w:rsidP="00400CB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959296" behindDoc="0" locked="0" layoutInCell="1" allowOverlap="1" wp14:anchorId="2D69FDA4" wp14:editId="56343A3E">
                      <wp:simplePos x="0" y="0"/>
                      <wp:positionH relativeFrom="column">
                        <wp:posOffset>66675</wp:posOffset>
                      </wp:positionH>
                      <wp:positionV relativeFrom="paragraph">
                        <wp:posOffset>90170</wp:posOffset>
                      </wp:positionV>
                      <wp:extent cx="209550" cy="180975"/>
                      <wp:effectExtent l="57150" t="19050" r="57150" b="104775"/>
                      <wp:wrapNone/>
                      <wp:docPr id="41062" name="Isosceles Triangle 410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75A6B3DF" id="Isosceles Triangle 41062" o:spid="_x0000_s1026" type="#_x0000_t5" style="position:absolute;margin-left:5.25pt;margin-top:7.1pt;width:16.5pt;height:14.2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5vZig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Mi&#10;P51QYliDbbr14LnQwpNHp5jZaEE6Pdartb5Eswd772LG3q6A//CoyP7QRMH3mIN0TcRivuSQin8c&#10;iy8OgXD8OckvZjNsEUdVcZ5fnM1iczJWDsbW+fBFQEPipaKhDyyVne1XPnTwAZZiA63qpdI6CW6z&#10;vtaO7BlyYYlfntqPL/hnWMqhCzslEI5aRGNtvgmJdcJAi/RiYqgY/THOhQmnfcgJHc0kvj0afn7f&#10;sMdHU5HYOxpP3jceLdLLYMJo3CgD7i0HOhR9yLLD9130Xd6xBGuoj0gRB93seMuXChuwYj7cM4fD&#10;gj3DBRC+4iE1tBWF/kbJFtyvt/5HPHIYtZS0OHwV9T93zAlK9K1Bdl8U02mc1iRMZ2cTFNxLzfql&#10;xuyaa8CeFrhqLE/XiA96uEoHzRPuiUV8FVXMcHy7ojy4QbgO3VLATcPFYpFgOKGWhZV5sHzoeiTX&#10;4+GJOTuwEOl7B8OgsvIVETts7IeBxS6AVImlz3Xt643Tnbjeb6K4Pl7KCfW8L+e/AQAA//8DAFBL&#10;AwQUAAYACAAAACEANTxCMNkAAAAHAQAADwAAAGRycy9kb3ducmV2LnhtbEyOzU7DMBCE70i8g7VI&#10;XFDrkIa2CnEqhJIjqig8gBNvfoS9jmK3DW/PcoLTaDSjma84LM6KC85h9KTgcZ2AQGq9GalX8PlR&#10;r/YgQtRktPWECr4xwKG8vSl0bvyV3vFyir3gEQq5VjDEOOVShnZAp8PaT0icdX52OrKde2lmfeVx&#10;Z2WaJFvp9Ej8MOgJXwdsv05np8A3y7Hb1Lv9Q+0m+9ZVVeaOlVL3d8vLM4iIS/wrwy8+o0PJTI0/&#10;kwnCsk+euMmapSA4zzbsG9Z0B7Is5H/+8gcAAP//AwBQSwECLQAUAAYACAAAACEAtoM4kv4AAADh&#10;AQAAEwAAAAAAAAAAAAAAAAAAAAAAW0NvbnRlbnRfVHlwZXNdLnhtbFBLAQItABQABgAIAAAAIQA4&#10;/SH/1gAAAJQBAAALAAAAAAAAAAAAAAAAAC8BAABfcmVscy8ucmVsc1BLAQItABQABgAIAAAAIQDM&#10;x5vZigIAAHcFAAAOAAAAAAAAAAAAAAAAAC4CAABkcnMvZTJvRG9jLnhtbFBLAQItABQABgAIAAAA&#10;IQA1PEIw2QAAAAcBAAAPAAAAAAAAAAAAAAAAAOQEAABkcnMvZG93bnJldi54bWxQSwUGAAAAAAQA&#10;BADzAAAA6gUAAAAA&#10;" fillcolor="yellow" strokecolor="#70ad47 [3209]" strokeweight=".5pt">
                      <v:path arrowok="t"/>
                    </v:shape>
                  </w:pict>
                </mc:Fallback>
              </mc:AlternateContent>
            </w:r>
          </w:p>
        </w:tc>
        <w:tc>
          <w:tcPr>
            <w:tcW w:w="8604" w:type="dxa"/>
          </w:tcPr>
          <w:p w14:paraId="4E40B229" w14:textId="77777777" w:rsidR="009C1803" w:rsidRDefault="009C1803" w:rsidP="00400CB6">
            <w:pPr>
              <w:rPr>
                <w:lang w:eastAsia="en-US"/>
              </w:rPr>
            </w:pPr>
            <w:r>
              <w:rPr>
                <w:rFonts w:eastAsiaTheme="minorHAnsi"/>
                <w:b/>
                <w:lang w:eastAsia="en-US"/>
              </w:rPr>
              <w:t xml:space="preserve">Recommended: </w:t>
            </w:r>
            <w:r>
              <w:rPr>
                <w:rFonts w:eastAsiaTheme="minorHAnsi"/>
                <w:lang w:eastAsia="en-US"/>
              </w:rPr>
              <w:t>If the application is Active Directory-integrated, extend the Active Directory forest to the IaaS tenant. This ensures that the application can authenticate users over the Internet in the event that the S2S VPN connection is down</w:t>
            </w:r>
            <w:r>
              <w:t>.</w:t>
            </w:r>
          </w:p>
        </w:tc>
      </w:tr>
    </w:tbl>
    <w:p w14:paraId="489F3BF0" w14:textId="77777777" w:rsidR="009C1803" w:rsidRDefault="009C1803" w:rsidP="009C1803">
      <w:pPr>
        <w:rPr>
          <w:b/>
        </w:rPr>
      </w:pPr>
      <w:r w:rsidRPr="0087598C">
        <w:rPr>
          <w:b/>
        </w:rPr>
        <w:t>Prox</w:t>
      </w:r>
      <w:r>
        <w:rPr>
          <w:b/>
        </w:rPr>
        <w:t>y</w:t>
      </w:r>
      <w:r w:rsidRPr="0087598C">
        <w:rPr>
          <w:b/>
        </w:rPr>
        <w:t xml:space="preserve"> a Forms-Based Application</w:t>
      </w:r>
    </w:p>
    <w:p w14:paraId="1FCB42F3" w14:textId="77777777" w:rsidR="009C1803" w:rsidRDefault="009C1803" w:rsidP="009C1803">
      <w:r>
        <w:t xml:space="preserve">The Azure AD Application Proxy can also proxy applications that do not integrate with Active Directory. It is expected that these applications have their own sign-in page, which authenticates users against some other type of credential store. </w:t>
      </w:r>
    </w:p>
    <w:p w14:paraId="53D4392C" w14:textId="77777777" w:rsidR="009C1803" w:rsidRDefault="009C1803" w:rsidP="009C1803">
      <w:r>
        <w:t>If this is the case, the customer will likely want to integrate the application in pass-through mode (without pre-authentication). Otherwise, the user will get two password prompts—one for Azure AD and another for the application.</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9C1803" w14:paraId="0AE734CF" w14:textId="77777777" w:rsidTr="00400CB6">
        <w:trPr>
          <w:trHeight w:val="423"/>
        </w:trPr>
        <w:tc>
          <w:tcPr>
            <w:tcW w:w="666" w:type="dxa"/>
          </w:tcPr>
          <w:p w14:paraId="0FA21F1C" w14:textId="77777777" w:rsidR="009C1803" w:rsidRDefault="009C1803" w:rsidP="00400CB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964416" behindDoc="0" locked="0" layoutInCell="1" allowOverlap="1" wp14:anchorId="2CAB492C" wp14:editId="4222DEFF">
                      <wp:simplePos x="0" y="0"/>
                      <wp:positionH relativeFrom="column">
                        <wp:posOffset>66675</wp:posOffset>
                      </wp:positionH>
                      <wp:positionV relativeFrom="paragraph">
                        <wp:posOffset>90170</wp:posOffset>
                      </wp:positionV>
                      <wp:extent cx="209550" cy="180975"/>
                      <wp:effectExtent l="57150" t="19050" r="57150" b="104775"/>
                      <wp:wrapNone/>
                      <wp:docPr id="41194" name="Isosceles Triangle 411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66EEB6D1" id="Isosceles Triangle 41194" o:spid="_x0000_s1026" type="#_x0000_t5" style="position:absolute;margin-left:5.25pt;margin-top:7.1pt;width:16.5pt;height:14.25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A0ZiQIAAHcFAAAOAAAAZHJzL2Uyb0RvYy54bWysVNtOGzEQfa/Uf7D8XnY3TYCs2KAIlAop&#10;AgRUPDteO7Hq9bi2c+vXd+y9QCkSUtV9sDw7Z8ZzOTMXl4dGk51wXoGpaHGSUyIMh1qZdUW/Py2+&#10;nFPiAzM102BERY/C08vZ508Xe1uKEWxA18IRdGJ8ubcV3YRgyyzzfCMa5k/ACoNKCa5hAUW3zmrH&#10;9ui90dkoz0+zPbjaOuDCe/x73SrpLPmXUvBwJ6UXgeiKYmwhnS6dq3hmswtWrh2zG8W7MNg/RNEw&#10;ZfDRwdU1C4xsnfrLVaO4Aw8ynHBoMpBScZFywGyK/E02jxtmRcoFi+PtUCb//9zy2929I6qu6Lgo&#10;pmNKDGuwTTcePBdaePLkFDNrLUirx3rtrS/R7NHeu5ixt0vgPzwqsj80UfAd5iBdE7GYLzmk4h+H&#10;4otDIBx/jvLpZIIt4qgqzvPp2SQ2J2Nlb2ydD98ENCReKhq6wFLZ2W7pQwvvYSk20KpeKK2T4Nar&#10;K+3IjiEXFvjlqf34gn+BpRzasFMC4ahFNNbmQUisEwZapBcTQ8Xgj3EuTDjtQk7oaCbx7cHw68eG&#10;HT6aisTewXj0sfFgkV4GEwbjRhlw7znQoehCli2+66Jv844lWEF9RIo4aGfHW75Q2IAl8+GeORwW&#10;7BkugHCHh9Swryh0N0o24H699z/ikcOopWSPw1dR/3PLnKBE3xhk97QYj+O0JmE8ORuh4F5rVq81&#10;ZttcAfa0wFVjebpGfND9VTponnFPzOOrqGKG49sV5cH1wlVolwJuGi7m8wTDCbUsLM2j5X3XI7me&#10;Ds/M2Z6FSN9b6AeVlW+I2GJjPwzMtwGkSix9qWtXb5zuxPVuE8X18VpOqJd9OfsNAAD//wMAUEsD&#10;BBQABgAIAAAAIQA1PEIw2QAAAAcBAAAPAAAAZHJzL2Rvd25yZXYueG1sTI7NTsMwEITvSLyDtUhc&#10;UOuQhrYKcSqEkiOqKDyAE29+hL2OYrcNb89ygtNoNKOZrzgszooLzmH0pOBxnYBAar0ZqVfw+VGv&#10;9iBC1GS09YQKvjHAoby9KXRu/JXe8XKKveARCrlWMMQ45VKGdkCnw9pPSJx1fnY6sp17aWZ95XFn&#10;ZZokW+n0SPww6AlfB2y/TmenwDfLsdvUu/1D7Sb71lVV5o6VUvd3y8sziIhL/CvDLz6jQ8lMjT+T&#10;CcKyT564yZqlIDjPNuwb1nQHsizkf/7yBwAA//8DAFBLAQItABQABgAIAAAAIQC2gziS/gAAAOEB&#10;AAATAAAAAAAAAAAAAAAAAAAAAABbQ29udGVudF9UeXBlc10ueG1sUEsBAi0AFAAGAAgAAAAhADj9&#10;If/WAAAAlAEAAAsAAAAAAAAAAAAAAAAALwEAAF9yZWxzLy5yZWxzUEsBAi0AFAAGAAgAAAAhALtY&#10;DRmJAgAAdwUAAA4AAAAAAAAAAAAAAAAALgIAAGRycy9lMm9Eb2MueG1sUEsBAi0AFAAGAAgAAAAh&#10;ADU8QjDZAAAABwEAAA8AAAAAAAAAAAAAAAAA4wQAAGRycy9kb3ducmV2LnhtbFBLBQYAAAAABAAE&#10;APMAAADpBQAAAAA=&#10;" fillcolor="yellow" strokecolor="#70ad47 [3209]" strokeweight=".5pt">
                      <v:path arrowok="t"/>
                    </v:shape>
                  </w:pict>
                </mc:Fallback>
              </mc:AlternateContent>
            </w:r>
          </w:p>
        </w:tc>
        <w:tc>
          <w:tcPr>
            <w:tcW w:w="8604" w:type="dxa"/>
          </w:tcPr>
          <w:p w14:paraId="59902BA5" w14:textId="77777777" w:rsidR="009C1803" w:rsidRDefault="009C1803" w:rsidP="00400CB6">
            <w:pPr>
              <w:rPr>
                <w:lang w:eastAsia="en-US"/>
              </w:rPr>
            </w:pPr>
            <w:r>
              <w:rPr>
                <w:rFonts w:eastAsiaTheme="minorHAnsi"/>
                <w:b/>
                <w:lang w:eastAsia="en-US"/>
              </w:rPr>
              <w:t xml:space="preserve">Recommended: </w:t>
            </w:r>
            <w:r>
              <w:rPr>
                <w:rFonts w:eastAsiaTheme="minorHAnsi"/>
                <w:lang w:eastAsia="en-US"/>
              </w:rPr>
              <w:t>If the application uses forms-based authentication, proxy it in pass-through mode</w:t>
            </w:r>
            <w:r>
              <w:t>.</w:t>
            </w:r>
          </w:p>
        </w:tc>
      </w:tr>
    </w:tbl>
    <w:p w14:paraId="62E190D6" w14:textId="77777777" w:rsidR="009C1803" w:rsidRDefault="009C1803" w:rsidP="009C1803">
      <w:r>
        <w:t>If the customer wants to also achieve SSO for these applications, they can use the password vaulting technique discussed in previous sections.</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9C1803" w14:paraId="3C79F2F2" w14:textId="77777777" w:rsidTr="00400CB6">
        <w:trPr>
          <w:trHeight w:val="423"/>
        </w:trPr>
        <w:tc>
          <w:tcPr>
            <w:tcW w:w="666" w:type="dxa"/>
          </w:tcPr>
          <w:p w14:paraId="027E3EF5" w14:textId="77777777" w:rsidR="009C1803" w:rsidRDefault="009C1803" w:rsidP="00400CB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969536" behindDoc="0" locked="0" layoutInCell="1" allowOverlap="1" wp14:anchorId="4ED1B773" wp14:editId="5E77964F">
                      <wp:simplePos x="0" y="0"/>
                      <wp:positionH relativeFrom="column">
                        <wp:posOffset>66675</wp:posOffset>
                      </wp:positionH>
                      <wp:positionV relativeFrom="paragraph">
                        <wp:posOffset>90170</wp:posOffset>
                      </wp:positionV>
                      <wp:extent cx="209550" cy="180975"/>
                      <wp:effectExtent l="57150" t="19050" r="57150" b="104775"/>
                      <wp:wrapNone/>
                      <wp:docPr id="41205" name="Isosceles Triangle 412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75BCA9D" id="Isosceles Triangle 41205" o:spid="_x0000_s1026" type="#_x0000_t5" style="position:absolute;margin-left:5.25pt;margin-top:7.1pt;width:16.5pt;height:14.25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6x9Uig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Ni&#10;ks8oMazBNt168Fxo4cmjU8xstCCdHuvVWl+i2YO9dzFjb1fAf3hUZH9oouB7zEG6JmIxX3JIxT+O&#10;xReHQDj+nOQXsxm2iKOqOM8vzmaxORkrB2PrfPgioCHxUtHQB5bKzvYrHzr4AEuxgVb1UmmdBLdZ&#10;X2tH9gy5sMQvT+3HF/wzLOXQhZ0SCEctorE234TEOmGgRXoxMVSM/hjnwoTTPuSEjmYS3x4NP79v&#10;2OOjqUjsHY0n7xuPFullMGE0bpQB95YDHYo+ZNnh+y76Lu9YgjXUR6SIg252vOVLhQ1YMR/umcNh&#10;wZ7hAghf8ZAa2opCf6NkC+7XW/8jHjmMWkpaHL6K+p875gQl+tYguy+K6TROaxKms7MJCu6lZv1S&#10;Y3bNNWBPC1w1lqdrxAc9XKWD5gn3xCK+iipmOL5dUR7cIFyHbingpuFisUgwnFDLwso8WD50PZLr&#10;8fDEnB1YiPS9g2FQWfmKiB029sPAYhdAqsTS57r29cbpTlzvN1FcHy/lhHrel/PfAAAA//8DAFBL&#10;AwQUAAYACAAAACEANTxCMNkAAAAHAQAADwAAAGRycy9kb3ducmV2LnhtbEyOzU7DMBCE70i8g7VI&#10;XFDrkIa2CnEqhJIjqig8gBNvfoS9jmK3DW/PcoLTaDSjma84LM6KC85h9KTgcZ2AQGq9GalX8PlR&#10;r/YgQtRktPWECr4xwKG8vSl0bvyV3vFyir3gEQq5VjDEOOVShnZAp8PaT0icdX52OrKde2lmfeVx&#10;Z2WaJFvp9Ej8MOgJXwdsv05np8A3y7Hb1Lv9Q+0m+9ZVVeaOlVL3d8vLM4iIS/wrwy8+o0PJTI0/&#10;kwnCsk+euMmapSA4zzbsG9Z0B7Is5H/+8gcAAP//AwBQSwECLQAUAAYACAAAACEAtoM4kv4AAADh&#10;AQAAEwAAAAAAAAAAAAAAAAAAAAAAW0NvbnRlbnRfVHlwZXNdLnhtbFBLAQItABQABgAIAAAAIQA4&#10;/SH/1gAAAJQBAAALAAAAAAAAAAAAAAAAAC8BAABfcmVscy8ucmVsc1BLAQItABQABgAIAAAAIQD9&#10;6x9UigIAAHcFAAAOAAAAAAAAAAAAAAAAAC4CAABkcnMvZTJvRG9jLnhtbFBLAQItABQABgAIAAAA&#10;IQA1PEIw2QAAAAcBAAAPAAAAAAAAAAAAAAAAAOQEAABkcnMvZG93bnJldi54bWxQSwUGAAAAAAQA&#10;BADzAAAA6gUAAAAA&#10;" fillcolor="yellow" strokecolor="#70ad47 [3209]" strokeweight=".5pt">
                      <v:path arrowok="t"/>
                    </v:shape>
                  </w:pict>
                </mc:Fallback>
              </mc:AlternateContent>
            </w:r>
          </w:p>
        </w:tc>
        <w:tc>
          <w:tcPr>
            <w:tcW w:w="8604" w:type="dxa"/>
          </w:tcPr>
          <w:p w14:paraId="4041EEFB" w14:textId="77777777" w:rsidR="009C1803" w:rsidRDefault="009C1803" w:rsidP="00400CB6">
            <w:pPr>
              <w:rPr>
                <w:lang w:eastAsia="en-US"/>
              </w:rPr>
            </w:pPr>
            <w:r>
              <w:rPr>
                <w:rFonts w:eastAsiaTheme="minorHAnsi"/>
                <w:b/>
                <w:lang w:eastAsia="en-US"/>
              </w:rPr>
              <w:t xml:space="preserve">Recommended: </w:t>
            </w:r>
            <w:r>
              <w:rPr>
                <w:rFonts w:eastAsiaTheme="minorHAnsi"/>
                <w:lang w:eastAsia="en-US"/>
              </w:rPr>
              <w:t>To achieve SSO for forms-based applications</w:t>
            </w:r>
            <w:r>
              <w:t>, use password vaulting.</w:t>
            </w:r>
          </w:p>
        </w:tc>
      </w:tr>
    </w:tbl>
    <w:p w14:paraId="74320E3C" w14:textId="77777777" w:rsidR="00581288" w:rsidRDefault="00581288" w:rsidP="0087598C">
      <w:pPr>
        <w:rPr>
          <w:b/>
        </w:rPr>
      </w:pPr>
    </w:p>
    <w:p w14:paraId="4FD93591" w14:textId="246890F4" w:rsidR="00546C50" w:rsidRDefault="00546C50" w:rsidP="0087598C">
      <w:r w:rsidRPr="0087598C">
        <w:rPr>
          <w:b/>
        </w:rPr>
        <w:t>Proxy</w:t>
      </w:r>
      <w:r w:rsidR="007D44BC" w:rsidRPr="0087598C">
        <w:rPr>
          <w:b/>
        </w:rPr>
        <w:t xml:space="preserve"> a Claims-</w:t>
      </w:r>
      <w:r w:rsidR="007D44BC" w:rsidRPr="00C90964">
        <w:rPr>
          <w:b/>
        </w:rPr>
        <w:t>Based Application</w:t>
      </w:r>
    </w:p>
    <w:p w14:paraId="436F5959" w14:textId="32718C84" w:rsidR="009C1803" w:rsidRDefault="007D44BC" w:rsidP="009C1803">
      <w:r>
        <w:t>If</w:t>
      </w:r>
      <w:r w:rsidR="009C1803">
        <w:t xml:space="preserve"> the application already understands one of the identity federation protocols discussed in previous sections, Azure AD Application Proxy can proxy the application either with pre-authentication or in pass-through mode. </w:t>
      </w:r>
    </w:p>
    <w:p w14:paraId="21C3938F" w14:textId="77777777" w:rsidR="009C1803" w:rsidRDefault="009C1803" w:rsidP="009C1803">
      <w:r>
        <w:t xml:space="preserve">If the application is published in pass-through mode, Azure AD will not interfere with the authentication process. Instead, the application walks the user through the process of performing federated authentication. Customers would likely want to use this option if the application is claims-based, but is not federated with Azure AD. </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9C1803" w14:paraId="0B895C65" w14:textId="77777777" w:rsidTr="00400CB6">
        <w:trPr>
          <w:trHeight w:val="423"/>
        </w:trPr>
        <w:tc>
          <w:tcPr>
            <w:tcW w:w="666" w:type="dxa"/>
          </w:tcPr>
          <w:p w14:paraId="6700A1D3" w14:textId="77777777" w:rsidR="009C1803" w:rsidRDefault="009C1803" w:rsidP="00400CB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974656" behindDoc="0" locked="0" layoutInCell="1" allowOverlap="1" wp14:anchorId="0856FE48" wp14:editId="0C65D671">
                      <wp:simplePos x="0" y="0"/>
                      <wp:positionH relativeFrom="column">
                        <wp:posOffset>66675</wp:posOffset>
                      </wp:positionH>
                      <wp:positionV relativeFrom="paragraph">
                        <wp:posOffset>90170</wp:posOffset>
                      </wp:positionV>
                      <wp:extent cx="209550" cy="180975"/>
                      <wp:effectExtent l="57150" t="19050" r="57150" b="104775"/>
                      <wp:wrapNone/>
                      <wp:docPr id="1546650199" name="Isosceles Triangle 15466501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780BB6DC" id="Isosceles Triangle 1546650199" o:spid="_x0000_s1026" type="#_x0000_t5" style="position:absolute;margin-left:5.25pt;margin-top:7.1pt;width:16.5pt;height:14.25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IzKjgIAAIEFAAAOAAAAZHJzL2Uyb0RvYy54bWysVG1r2zAQ/j7YfxD6vtrOkrQxdUpoySiE&#10;trQd/azIUmIm6zRJiZP9+p3kl2ZdoTDmD0Lne+5Nz91dXh1qRfbCugp0QbOzlBKhOZSV3hT0+/Py&#10;ywUlzjNdMgVaFPQoHL2af/502ZhcjGALqhSWoBPt8sYUdOu9yZPE8a2omTsDIzQqJdiaeRTtJikt&#10;a9B7rZJRmk6TBmxpLHDhHP69aZV0Hv1LKbi/l9IJT1RBMTcfTxvPdTiT+SXLN5aZbcW7NNg/ZFGz&#10;SmPQwdUN84zsbPWXq7riFhxIf8ahTkDKiotYA1aTpW+qedoyI2It+DjODM/k/p9bfrd/sKQqkbvJ&#10;eDqdpNlsRolmNXJ168BxoYQjz7ZieqMEOQHhyzXG5ejgyTzYULszK+A/HCqSPzRBcB3mIG0dsFg5&#10;OUQajgMN4uAJx5+jdDaZIFkcVdlFOjufBJoSlvfGxjr/TUBNwqWgvssuEsD2K+dbeA+LuYGqymWl&#10;VBTsZn2tLNkz7IolfmlsBIzgXmGxhjbtWIA/KhGMlX4UEl8ME81ixNirYvDHOBfaT7uUIzqYSYw9&#10;GH792LDDB1MR+3gwHn1sPFjEyKD9YFxXGux7DpTPupRli+9YdG3d4QnWUB6xWSy0U+QMX1ZIwIo5&#10;/8Asjg1yhqvA3+MhFTQFhe5GyRbsr/f+Bzx2M2opaXAMC+p+7pgVlKhbjX0+y8bjMLdRGE/ORyjY&#10;U836VKN39TUgpxkuHcPjNeC96q/SQv2CG2MRoqKKaY6xC8q97YVr364H3DlcLBYRhrNqmF/pJ8N7&#10;1kNzPR9emDV9F2L73kE/six/04gtNvChYbHzIKvYpa/v2r03znns9W4nhUVyKkfU6+ac/wY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NgSMyo4CAAC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1E4D036E" w14:textId="77777777" w:rsidR="009C1803" w:rsidRDefault="009C1803" w:rsidP="00400CB6">
            <w:pPr>
              <w:rPr>
                <w:lang w:eastAsia="en-US"/>
              </w:rPr>
            </w:pPr>
            <w:r>
              <w:rPr>
                <w:rFonts w:eastAsiaTheme="minorHAnsi"/>
                <w:b/>
                <w:lang w:eastAsia="en-US"/>
              </w:rPr>
              <w:t xml:space="preserve">Recommended: </w:t>
            </w:r>
            <w:r>
              <w:rPr>
                <w:rFonts w:eastAsiaTheme="minorHAnsi"/>
                <w:lang w:eastAsia="en-US"/>
              </w:rPr>
              <w:t>For claims-based applications that are federated with something other than Azure AD</w:t>
            </w:r>
            <w:r>
              <w:t>, proxy them in pass-through mode.</w:t>
            </w:r>
          </w:p>
        </w:tc>
      </w:tr>
    </w:tbl>
    <w:p w14:paraId="2FAA4278" w14:textId="77777777" w:rsidR="009C1803" w:rsidRDefault="009C1803" w:rsidP="009C1803">
      <w:r>
        <w:t>If the application is federated with Azure AD, the customer should enable pre-authentication. Pre-authentication provides an additional layer of protection for the application, and in this case, the user experience would not be compromised as a result.</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9C1803" w14:paraId="62D45F40" w14:textId="77777777" w:rsidTr="00400CB6">
        <w:trPr>
          <w:trHeight w:val="423"/>
        </w:trPr>
        <w:tc>
          <w:tcPr>
            <w:tcW w:w="666" w:type="dxa"/>
          </w:tcPr>
          <w:p w14:paraId="31C4BCC7" w14:textId="77777777" w:rsidR="009C1803" w:rsidRDefault="009C1803" w:rsidP="00400CB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979776" behindDoc="0" locked="0" layoutInCell="1" allowOverlap="1" wp14:anchorId="39E06F10" wp14:editId="7211939F">
                      <wp:simplePos x="0" y="0"/>
                      <wp:positionH relativeFrom="column">
                        <wp:posOffset>66675</wp:posOffset>
                      </wp:positionH>
                      <wp:positionV relativeFrom="paragraph">
                        <wp:posOffset>90170</wp:posOffset>
                      </wp:positionV>
                      <wp:extent cx="209550" cy="180975"/>
                      <wp:effectExtent l="57150" t="19050" r="57150" b="104775"/>
                      <wp:wrapNone/>
                      <wp:docPr id="288" name="Isosceles Triangle 2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07C14121" id="Isosceles Triangle 288" o:spid="_x0000_s1026" type="#_x0000_t5" style="position:absolute;margin-left:5.25pt;margin-top:7.1pt;width:16.5pt;height:14.25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bGfhgIAAHMFAAAOAAAAZHJzL2Uyb0RvYy54bWysVFtP2zAUfp+0/2D5fSTpKJeIFFWgTkgV&#10;IGDi2XXs1prj49lu0+7X79i5wBgS0rQ8WHbOd+7fOReX+0aTnXBegalocZRTIgyHWpl1Rb8/Lb6c&#10;UeIDMzXTYERFD8LTy9nnTxetLcUENqBr4QgaMb5sbUU3IdgyyzzfiIb5I7DCoFCCa1jAp1tntWMt&#10;Wm90Nsnzk6wFV1sHXHiPf687IZ0l+1IKHu6k9CIQXVGMLaTTpXMVz2x2wcq1Y3ajeB8G+4coGqYM&#10;Oh1NXbPAyNapv0w1ijvwIMMRhyYDKRUXKQfMpsjfZPO4YVakXLA43o5l8v/PLL/d3Tui6opOzrBV&#10;hjXYpBsPngstPHlyipm1FiRKsVat9SWqPNp7F7P1dgn8h0dB9ockPnyP2UvXRCzmSvap8Iex8GIf&#10;CMefk/x8OsX2cBQVZ/n56TQ6y1g5KFvnwzcBDYmXioY+rFRytlv60MEHWIoNtKoXSuv0cOvVlXZk&#10;x5AHC/zy1Hr04F9gKYcu7JRAOGgRlbV5EBJrhIEWyWNipxjtMc6FCSd9yAkd1ST6HhW/fqzY46Oq&#10;SMwdlScfK48ayTOYMCo3yoB7z4AORR+y7PB9F32XdyzBCuoD0sNBNzfe8oXCBiyZD/fM4aBgz3D4&#10;wx0eUkNbUehvlGzA/Xrvf8Qjf1FKSYuDV1H/c8ucoETfGGT2eXF8HCc1PY6npxN8uNeS1WuJ2TZX&#10;gD0tcM1Ynq4RH/RwlQ6aZ9wR8+gVRcxw9F1RHtzwuArdQsAtw8V8nmA4nZaFpXm0fOh6JNfT/pk5&#10;O7AQ6XsLw5Cy8g0RO2zsh4H5NoBUiaUvde3rjZOduN5vobg6Xr8T6mVXzn4DAAD//wMAUEsDBBQA&#10;BgAIAAAAIQA1PEIw2QAAAAcBAAAPAAAAZHJzL2Rvd25yZXYueG1sTI7NTsMwEITvSLyDtUhcUOuQ&#10;hrYKcSqEkiOqKDyAE29+hL2OYrcNb89ygtNoNKOZrzgszooLzmH0pOBxnYBAar0ZqVfw+VGv9iBC&#10;1GS09YQKvjHAoby9KXRu/JXe8XKKveARCrlWMMQ45VKGdkCnw9pPSJx1fnY6sp17aWZ95XFnZZok&#10;W+n0SPww6AlfB2y/TmenwDfLsdvUu/1D7Sb71lVV5o6VUvd3y8sziIhL/CvDLz6jQ8lMjT+TCcKy&#10;T564yZqlIDjPNuwb1nQHsizkf/7yBwAA//8DAFBLAQItABQABgAIAAAAIQC2gziS/gAAAOEBAAAT&#10;AAAAAAAAAAAAAAAAAAAAAABbQ29udGVudF9UeXBlc10ueG1sUEsBAi0AFAAGAAgAAAAhADj9If/W&#10;AAAAlAEAAAsAAAAAAAAAAAAAAAAALwEAAF9yZWxzLy5yZWxzUEsBAi0AFAAGAAgAAAAhALA9sZ+G&#10;AgAAcwUAAA4AAAAAAAAAAAAAAAAALgIAAGRycy9lMm9Eb2MueG1sUEsBAi0AFAAGAAgAAAAhADU8&#10;QjDZAAAABwEAAA8AAAAAAAAAAAAAAAAA4AQAAGRycy9kb3ducmV2LnhtbFBLBQYAAAAABAAEAPMA&#10;AADmBQAAAAA=&#10;" fillcolor="yellow" strokecolor="#70ad47 [3209]" strokeweight=".5pt">
                      <v:path arrowok="t"/>
                    </v:shape>
                  </w:pict>
                </mc:Fallback>
              </mc:AlternateContent>
            </w:r>
          </w:p>
        </w:tc>
        <w:tc>
          <w:tcPr>
            <w:tcW w:w="8604" w:type="dxa"/>
          </w:tcPr>
          <w:p w14:paraId="638AE732" w14:textId="77777777" w:rsidR="009C1803" w:rsidRDefault="009C1803" w:rsidP="00400CB6">
            <w:pPr>
              <w:rPr>
                <w:lang w:eastAsia="en-US"/>
              </w:rPr>
            </w:pPr>
            <w:r>
              <w:rPr>
                <w:rFonts w:eastAsiaTheme="minorHAnsi"/>
                <w:b/>
                <w:lang w:eastAsia="en-US"/>
              </w:rPr>
              <w:t xml:space="preserve">Recommended: </w:t>
            </w:r>
            <w:r>
              <w:rPr>
                <w:rFonts w:eastAsiaTheme="minorHAnsi"/>
                <w:lang w:eastAsia="en-US"/>
              </w:rPr>
              <w:t>For claims-based applications that are federated with Azure AD, use pre-authentication</w:t>
            </w:r>
            <w:r>
              <w:t>.</w:t>
            </w:r>
          </w:p>
        </w:tc>
      </w:tr>
    </w:tbl>
    <w:p w14:paraId="1C35EF9E" w14:textId="7795A888" w:rsidR="007D44BC" w:rsidRDefault="007D44BC" w:rsidP="009C1803"/>
    <w:p w14:paraId="085630B1" w14:textId="32F29B53" w:rsidR="00546C50" w:rsidRDefault="00546C50" w:rsidP="005729D2">
      <w:pPr>
        <w:pStyle w:val="Heading4Numbered"/>
        <w:numPr>
          <w:ilvl w:val="3"/>
          <w:numId w:val="64"/>
        </w:numPr>
      </w:pPr>
      <w:r>
        <w:t>Making the Application Available to Partners</w:t>
      </w:r>
    </w:p>
    <w:p w14:paraId="5C178A21" w14:textId="3B04234F" w:rsidR="00546C50" w:rsidRDefault="00546C50" w:rsidP="00C90964">
      <w:r>
        <w:t xml:space="preserve">If the customer wants to move an application to IaaS and make it available for partners to use, the solution becomes a bit more difficult. </w:t>
      </w:r>
    </w:p>
    <w:p w14:paraId="28CB5DE0" w14:textId="1CDD1B7D" w:rsidR="00546C50" w:rsidRPr="00C90964" w:rsidRDefault="00546C50" w:rsidP="00C90964">
      <w:pPr>
        <w:rPr>
          <w:b/>
        </w:rPr>
      </w:pPr>
      <w:r w:rsidRPr="00C90964">
        <w:rPr>
          <w:b/>
        </w:rPr>
        <w:t>The Application Already Manages Partner Identities</w:t>
      </w:r>
    </w:p>
    <w:p w14:paraId="3A5CB432" w14:textId="77777777" w:rsidR="009C1803" w:rsidRDefault="009C1803" w:rsidP="009C1803">
      <w:r>
        <w:t>If the application already manages partner identities, it would already have an existing identity repository and authentication mechanism for partner users. In this case, the customer should simply publish the application with the Azure AD Application Proxy in pass-through mode. In this case, the application performs the authentication process end-to-end, and the application proxy is there to make the application accessible from outside the intranet.</w:t>
      </w:r>
    </w:p>
    <w:p w14:paraId="1179AF58" w14:textId="77777777" w:rsidR="009C1803" w:rsidRPr="00C90964" w:rsidRDefault="009C1803" w:rsidP="009C1803">
      <w:pPr>
        <w:rPr>
          <w:b/>
        </w:rPr>
      </w:pPr>
      <w:r w:rsidRPr="00C90964">
        <w:rPr>
          <w:b/>
        </w:rPr>
        <w:t>The Application Does Not Already Consume Partner Identities</w:t>
      </w:r>
    </w:p>
    <w:p w14:paraId="1A59EE0D" w14:textId="044879E5" w:rsidR="00546C50" w:rsidRPr="0087598C" w:rsidRDefault="009C1803" w:rsidP="009C1803">
      <w:r>
        <w:t>If the application only allows employee access, and the customer wants to now open it up to partners, the difficulty of the solution increases. In general, the application needs to be updated to support an identity federation protocol, which is previously discussed. Depending on the complexity of the application, this may not be a minor undertaking</w:t>
      </w:r>
      <w:r w:rsidR="00707B07">
        <w:t xml:space="preserve">. </w:t>
      </w:r>
    </w:p>
    <w:p w14:paraId="62019267" w14:textId="77777777" w:rsidR="00676C44" w:rsidRDefault="00676C44" w:rsidP="005729D2">
      <w:pPr>
        <w:pStyle w:val="Heading3Numbered"/>
        <w:numPr>
          <w:ilvl w:val="2"/>
          <w:numId w:val="64"/>
        </w:numPr>
      </w:pPr>
      <w:bookmarkStart w:id="6168" w:name="_Toc417987458"/>
      <w:bookmarkStart w:id="6169" w:name="_Toc417993154"/>
      <w:bookmarkStart w:id="6170" w:name="_Toc418003886"/>
      <w:bookmarkStart w:id="6171" w:name="_Toc418005626"/>
      <w:bookmarkStart w:id="6172" w:name="_Toc418006628"/>
      <w:bookmarkStart w:id="6173" w:name="_Toc418010867"/>
      <w:bookmarkStart w:id="6174" w:name="_Toc418012091"/>
      <w:bookmarkStart w:id="6175" w:name="_Toc418012359"/>
      <w:bookmarkStart w:id="6176" w:name="_Toc418012803"/>
      <w:bookmarkStart w:id="6177" w:name="_Toc418014359"/>
      <w:bookmarkStart w:id="6178" w:name="_Toc418014739"/>
      <w:bookmarkStart w:id="6179" w:name="_Toc418016108"/>
      <w:bookmarkStart w:id="6180" w:name="_Toc418017347"/>
      <w:bookmarkStart w:id="6181" w:name="_Toc418013676"/>
      <w:bookmarkStart w:id="6182" w:name="_Toc418017622"/>
      <w:bookmarkStart w:id="6183" w:name="_Toc418021111"/>
      <w:bookmarkStart w:id="6184" w:name="_Toc418022159"/>
      <w:bookmarkStart w:id="6185" w:name="_Toc418023132"/>
      <w:bookmarkStart w:id="6186" w:name="_Toc418025528"/>
      <w:bookmarkStart w:id="6187" w:name="_Toc418026096"/>
      <w:bookmarkStart w:id="6188" w:name="_Toc418027778"/>
      <w:bookmarkStart w:id="6189" w:name="_Toc418028200"/>
      <w:bookmarkStart w:id="6190" w:name="_Toc418030109"/>
      <w:bookmarkStart w:id="6191" w:name="_Toc418030860"/>
      <w:bookmarkStart w:id="6192" w:name="_Toc418040612"/>
      <w:bookmarkStart w:id="6193" w:name="_Toc418077685"/>
      <w:bookmarkStart w:id="6194" w:name="_Toc418067152"/>
      <w:bookmarkStart w:id="6195" w:name="_Toc418079763"/>
      <w:bookmarkStart w:id="6196" w:name="_Toc418081364"/>
      <w:bookmarkStart w:id="6197" w:name="_Toc418069277"/>
      <w:bookmarkStart w:id="6198" w:name="_Toc418072113"/>
      <w:bookmarkStart w:id="6199" w:name="_Toc418095386"/>
      <w:bookmarkStart w:id="6200" w:name="_Toc418096160"/>
      <w:bookmarkStart w:id="6201" w:name="_Toc418123969"/>
      <w:bookmarkStart w:id="6202" w:name="_Toc418124171"/>
      <w:bookmarkStart w:id="6203" w:name="_Toc418124373"/>
      <w:bookmarkStart w:id="6204" w:name="_Toc418078737"/>
      <w:bookmarkStart w:id="6205" w:name="_Toc418080088"/>
      <w:bookmarkStart w:id="6206" w:name="_Toc418151082"/>
      <w:bookmarkStart w:id="6207" w:name="_Toc418156762"/>
      <w:bookmarkStart w:id="6208" w:name="_Toc418187055"/>
      <w:bookmarkStart w:id="6209" w:name="_Toc415040049"/>
      <w:bookmarkStart w:id="6210" w:name="_Toc415572406"/>
      <w:bookmarkStart w:id="6211" w:name="_Toc415735576"/>
      <w:bookmarkStart w:id="6212" w:name="_Toc415814157"/>
      <w:bookmarkStart w:id="6213" w:name="_Toc416343892"/>
      <w:bookmarkStart w:id="6214" w:name="_Toc416863164"/>
      <w:bookmarkStart w:id="6215" w:name="_Toc417314779"/>
      <w:bookmarkStart w:id="6216" w:name="_Toc417323796"/>
      <w:bookmarkStart w:id="6217" w:name="_Toc417326886"/>
      <w:bookmarkStart w:id="6218" w:name="_Toc417330434"/>
      <w:bookmarkStart w:id="6219" w:name="_Toc417395040"/>
      <w:bookmarkStart w:id="6220" w:name="_Toc417399257"/>
      <w:bookmarkStart w:id="6221" w:name="_Toc417399416"/>
      <w:bookmarkStart w:id="6222" w:name="_Toc417400463"/>
      <w:bookmarkStart w:id="6223" w:name="_Toc417401311"/>
      <w:bookmarkStart w:id="6224" w:name="_Toc417419626"/>
      <w:bookmarkStart w:id="6225" w:name="_Toc417457398"/>
      <w:bookmarkStart w:id="6226" w:name="_Toc417481976"/>
      <w:bookmarkStart w:id="6227" w:name="_Toc417482234"/>
      <w:bookmarkStart w:id="6228" w:name="_Toc417499953"/>
      <w:bookmarkStart w:id="6229" w:name="_Toc417502774"/>
      <w:bookmarkStart w:id="6230" w:name="_Toc417548361"/>
      <w:bookmarkStart w:id="6231" w:name="_Toc417594604"/>
      <w:bookmarkStart w:id="6232" w:name="_Toc417934734"/>
      <w:bookmarkStart w:id="6233" w:name="_Toc417936073"/>
      <w:bookmarkStart w:id="6234" w:name="_Toc417936535"/>
      <w:bookmarkStart w:id="6235" w:name="_Toc417946957"/>
      <w:bookmarkStart w:id="6236" w:name="_Toc417947427"/>
      <w:bookmarkStart w:id="6237" w:name="_Toc417982567"/>
      <w:bookmarkStart w:id="6238" w:name="_Toc417986022"/>
      <w:bookmarkStart w:id="6239" w:name="_Toc418000713"/>
      <w:bookmarkStart w:id="6240" w:name="_Toc418003887"/>
      <w:bookmarkStart w:id="6241" w:name="_Toc418012092"/>
      <w:bookmarkStart w:id="6242" w:name="_Toc418014503"/>
      <w:bookmarkStart w:id="6243" w:name="_Toc418030110"/>
      <w:bookmarkStart w:id="6244" w:name="_Toc418036991"/>
      <w:bookmarkStart w:id="6245" w:name="_Toc418061464"/>
      <w:bookmarkStart w:id="6246" w:name="_Toc418081365"/>
      <w:bookmarkStart w:id="6247" w:name="_Toc418081992"/>
      <w:bookmarkStart w:id="6248" w:name="_Toc418083395"/>
      <w:bookmarkStart w:id="6249" w:name="_Toc418096161"/>
      <w:bookmarkStart w:id="6250" w:name="_Toc418156763"/>
      <w:bookmarkStart w:id="6251" w:name="_Toc418167680"/>
      <w:bookmarkStart w:id="6252" w:name="_Toc418185936"/>
      <w:bookmarkStart w:id="6253" w:name="_Toc422941650"/>
      <w:bookmarkStart w:id="6254" w:name="_Toc423116856"/>
      <w:bookmarkStart w:id="6255" w:name="_Toc423117889"/>
      <w:bookmarkStart w:id="6256" w:name="_Toc423117339"/>
      <w:bookmarkStart w:id="6257" w:name="_Toc431288932"/>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r>
        <w:t>PaaS Applications</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4D17CB8C" w14:textId="5E6251FC" w:rsidR="00707B07" w:rsidRDefault="009C1803" w:rsidP="00C90964">
      <w:r>
        <w:t>In general, applications that are deployed in Azure PaaS do not have access to Active Directory. The PaaS platform does not support Integrated Windows Authentication, so integrating these applications is not possible. There are two ways to support this application</w:t>
      </w:r>
      <w:r w:rsidR="00707B07">
        <w:t>.</w:t>
      </w:r>
    </w:p>
    <w:p w14:paraId="156B95D6" w14:textId="78050310" w:rsidR="00707B07" w:rsidRDefault="00AE52FC" w:rsidP="005729D2">
      <w:pPr>
        <w:pStyle w:val="Heading4Numbered"/>
        <w:numPr>
          <w:ilvl w:val="3"/>
          <w:numId w:val="64"/>
        </w:numPr>
      </w:pPr>
      <w:r>
        <w:t>Application Handles Identity</w:t>
      </w:r>
    </w:p>
    <w:p w14:paraId="4E35C0BF" w14:textId="451274CF" w:rsidR="009C1803" w:rsidRDefault="00AE52FC" w:rsidP="009C1803">
      <w:r>
        <w:t>The</w:t>
      </w:r>
      <w:r w:rsidR="009C1803">
        <w:t xml:space="preserve"> first approach is that the application entirely handles the identity layer</w:t>
      </w:r>
      <w:r w:rsidR="000A7EF0">
        <w:t xml:space="preserve">, however </w:t>
      </w:r>
      <w:r w:rsidR="009C1803">
        <w:t>this is typically not desired. As a result, there are a lot of consequences for the developers and application support team. This approach is not recommended as the first option.</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9C1803" w14:paraId="371C031F" w14:textId="77777777" w:rsidTr="00400CB6">
        <w:trPr>
          <w:trHeight w:val="423"/>
        </w:trPr>
        <w:tc>
          <w:tcPr>
            <w:tcW w:w="666" w:type="dxa"/>
          </w:tcPr>
          <w:p w14:paraId="7F302FEE" w14:textId="77777777" w:rsidR="009C1803" w:rsidRDefault="009C1803" w:rsidP="00400CB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984896" behindDoc="0" locked="0" layoutInCell="1" allowOverlap="1" wp14:anchorId="3D172D75" wp14:editId="3D37C203">
                      <wp:simplePos x="0" y="0"/>
                      <wp:positionH relativeFrom="column">
                        <wp:posOffset>66675</wp:posOffset>
                      </wp:positionH>
                      <wp:positionV relativeFrom="paragraph">
                        <wp:posOffset>90170</wp:posOffset>
                      </wp:positionV>
                      <wp:extent cx="209550" cy="180975"/>
                      <wp:effectExtent l="57150" t="19050" r="57150" b="104775"/>
                      <wp:wrapNone/>
                      <wp:docPr id="1546650201" name="Isosceles Triangle 1546650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EBD3930" id="Isosceles Triangle 1546650201" o:spid="_x0000_s1026" type="#_x0000_t5" style="position:absolute;margin-left:5.25pt;margin-top:7.1pt;width:16.5pt;height:14.25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f1ijQIAAIEFAAAOAAAAZHJzL2Uyb0RvYy54bWysVNtqGzEQfS/0H4Tem127tpMsWQeT4BIw&#10;aWhS8ixrJVtUq1El2Wv36zvSXuKmgUDpPgjNzpmb5sxcXR9qTfbCeQWmpKOznBJhOFTKbEr6/Wn5&#10;6YISH5ipmAYjSnoUnl7PP364amwhxrAFXQlH0InxRWNLug3BFlnm+VbUzJ+BFQaVElzNAopuk1WO&#10;Nei91tk4z2dZA66yDrjwHv/etko6T/6lFDx8ldKLQHRJMbeQTpfOdTyz+RUrNo7ZreJdGuwfsqiZ&#10;Mhh0cHXLAiM7p/5yVSvuwIMMZxzqDKRUXKQasJpR/qqaxy2zItWCj+Pt8Ez+/7nl9/sHR1SFvZtO&#10;ZrNpjmlQYliNvbrz4LnQwpMnp5jZaEFOQPhyjfUFOni0Dy7W7u0K+A+PiuwPTRR8hzlIV0csVk4O&#10;qQ3HoQ3iEAjHn+P8cjrFZnFUjS7yy/NpbFPGit7YOh++CKhJvJQ0dNmlBrD9yocW3sNSbqBVtVRa&#10;J8Ft1jfakT1DVizxyxMRMIJ/gaUa2rRTAeGoRTTW5puQ+GKY6ChFTFwVgz/GuTBh1qWc0NFMYuzB&#10;8PP7hh0+morE48F4/L7xYJEigwmDca0MuLcc6DDqUpYtvuuib+uOT7CG6ohkcdBOkbd8qbABK+bD&#10;A3M4NtgzXAXhKx5SQ1NS6G6UbMH9eut/xCObUUtJg2NYUv9zx5ygRN8Z5PnlaDKJc5uEyfR8jII7&#10;1axPNWZX3wD2FCmM2aVrxAfdX6WD+hk3xiJGRRUzHGOXlAfXCzehXQ+4c7hYLBIMZ9WysDKPlvdd&#10;j+R6OjwzZ3sWIn3voR9ZVrwiYouN/TCw2AWQKrH05V2798Y5T1zvdlJcJKdyQr1szvlvAAAA//8D&#10;AFBLAwQUAAYACAAAACEANTxCMNkAAAAHAQAADwAAAGRycy9kb3ducmV2LnhtbEyOzU7DMBCE70i8&#10;g7VIXFDrkIa2CnEqhJIjqig8gBNvfoS9jmK3DW/PcoLTaDSjma84LM6KC85h9KTgcZ2AQGq9GalX&#10;8PlRr/YgQtRktPWECr4xwKG8vSl0bvyV3vFyir3gEQq5VjDEOOVShnZAp8PaT0icdX52OrKde2lm&#10;feVxZ2WaJFvp9Ej8MOgJXwdsv05np8A3y7Hb1Lv9Q+0m+9ZVVeaOlVL3d8vLM4iIS/wrwy8+o0PJ&#10;TI0/kwnCsk+euMmapSA4zzbsG9Z0B7Is5H/+8gcAAP//AwBQSwECLQAUAAYACAAAACEAtoM4kv4A&#10;AADhAQAAEwAAAAAAAAAAAAAAAAAAAAAAW0NvbnRlbnRfVHlwZXNdLnhtbFBLAQItABQABgAIAAAA&#10;IQA4/SH/1gAAAJQBAAALAAAAAAAAAAAAAAAAAC8BAABfcmVscy8ucmVsc1BLAQItABQABgAIAAAA&#10;IQCeQf1ijQIAAIEFAAAOAAAAAAAAAAAAAAAAAC4CAABkcnMvZTJvRG9jLnhtbFBLAQItABQABgAI&#10;AAAAIQA1PEIw2QAAAAcBAAAPAAAAAAAAAAAAAAAAAOcEAABkcnMvZG93bnJldi54bWxQSwUGAAAA&#10;AAQABADzAAAA7QUAAAAA&#10;" fillcolor="yellow" strokecolor="#70ad47 [3209]" strokeweight=".5pt">
                      <v:path arrowok="t"/>
                    </v:shape>
                  </w:pict>
                </mc:Fallback>
              </mc:AlternateContent>
            </w:r>
          </w:p>
        </w:tc>
        <w:tc>
          <w:tcPr>
            <w:tcW w:w="8604" w:type="dxa"/>
          </w:tcPr>
          <w:p w14:paraId="76ABC7C7" w14:textId="77777777" w:rsidR="009C1803" w:rsidRDefault="009C1803" w:rsidP="00400CB6">
            <w:pPr>
              <w:rPr>
                <w:lang w:eastAsia="en-US"/>
              </w:rPr>
            </w:pPr>
            <w:r>
              <w:rPr>
                <w:rFonts w:eastAsiaTheme="minorHAnsi"/>
                <w:b/>
                <w:lang w:eastAsia="en-US"/>
              </w:rPr>
              <w:t xml:space="preserve">Recommended: </w:t>
            </w:r>
            <w:r>
              <w:rPr>
                <w:rFonts w:eastAsiaTheme="minorHAnsi"/>
                <w:lang w:eastAsia="en-US"/>
              </w:rPr>
              <w:t>We do not recommend that the developer write the identity layer into a PaaS application</w:t>
            </w:r>
            <w:r>
              <w:t>.</w:t>
            </w:r>
          </w:p>
        </w:tc>
      </w:tr>
    </w:tbl>
    <w:p w14:paraId="48B09068" w14:textId="2146AB06" w:rsidR="009C1803" w:rsidRDefault="009C1803" w:rsidP="009C1803">
      <w:r>
        <w:t>If a customer chooses to use this approach, password vaulting can be used to provide users with a SSO experience for these applications. The one requirement is that the application must use a sign-in form with a user name and password field.</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9C1803" w14:paraId="2BAAAAB3" w14:textId="77777777" w:rsidTr="00400CB6">
        <w:trPr>
          <w:trHeight w:val="423"/>
        </w:trPr>
        <w:tc>
          <w:tcPr>
            <w:tcW w:w="666" w:type="dxa"/>
          </w:tcPr>
          <w:p w14:paraId="38A0BEF2" w14:textId="77777777" w:rsidR="009C1803" w:rsidRDefault="009C1803" w:rsidP="00400CB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990016" behindDoc="0" locked="0" layoutInCell="1" allowOverlap="1" wp14:anchorId="1F1AC522" wp14:editId="61096D3C">
                      <wp:simplePos x="0" y="0"/>
                      <wp:positionH relativeFrom="column">
                        <wp:posOffset>66675</wp:posOffset>
                      </wp:positionH>
                      <wp:positionV relativeFrom="paragraph">
                        <wp:posOffset>90170</wp:posOffset>
                      </wp:positionV>
                      <wp:extent cx="209550" cy="180975"/>
                      <wp:effectExtent l="57150" t="19050" r="57150" b="104775"/>
                      <wp:wrapNone/>
                      <wp:docPr id="289" name="Isosceles Triangle 2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49B34E63" id="Isosceles Triangle 289" o:spid="_x0000_s1026" type="#_x0000_t5" style="position:absolute;margin-left:5.25pt;margin-top:7.1pt;width:16.5pt;height:14.25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j7MhwIAAHMFAAAOAAAAZHJzL2Uyb0RvYy54bWysVFtP2zAUfp+0/2D5fSTpKNCIFFWgTkgV&#10;Q4OJZ9exW2uOj2e7Tbtfv2PnAmNISNPyYNk537l/51xeHRpN9sJ5BaaixUlOiTAcamU2Ff3+uPx0&#10;QYkPzNRMgxEVPQpPr+YfP1y2thQT2IKuhSNoxPiytRXdhmDLLPN8KxrmT8AKg0IJrmEBn26T1Y61&#10;aL3R2STPz7IWXG0dcOE9/r3phHSe7EspePgqpReB6IpibCGdLp3reGbzS1ZuHLNbxfsw2D9E0TBl&#10;0Olo6oYFRnZO/WWqUdyBBxlOODQZSKm4SDlgNkX+KpuHLbMi5YLF8XYsk/9/Zvnd/t4RVVd0cjGj&#10;xLAGm3TrwXOhhSePTjGz0YJEKdaqtb5ElQd772K23q6A//AoyP6QxIfvMQfpmojFXMkhFf44Fl4c&#10;AuH4c5LPplNsD0dRcZHPzqfRWcbKQdk6H74IaEi8VDT0YaWSs/3Khw4+wFJsoFW9VFqnh9usr7Uj&#10;e4Y8WOKXp9ajB/8MSzl0YacEwlGLqKzNNyGxRhhokTwmdorRHuNcmHDWh5zQUU2i71Hx8/uKPT6q&#10;isTcUXnyvvKokTyDCaNyowy4twzoUPQhyw7fd9F3eccSrKE+Ij0cdHPjLV8qbMCK+XDPHA4K9gyH&#10;P3zFQ2poKwr9jZItuF9v/Y945C9KKWlx8Crqf+6YE5ToW4PMnhWnp3FS0+N0ej7Bh3spWb+UmF1z&#10;DdjTAteM5eka8UEPV+mgecIdsYheUcQMR98V5cENj+vQLQTcMlwsFgmG02lZWJkHy4euR3I9Hp6Y&#10;swMLkb53MAwpK18RscPGfhhY7AJIlVj6XNe+3jjZiev9Foqr4+U7oZ535fw3AAAA//8DAFBLAwQU&#10;AAYACAAAACEANTxCMNkAAAAHAQAADwAAAGRycy9kb3ducmV2LnhtbEyOzU7DMBCE70i8g7VIXFDr&#10;kIa2CnEqhJIjqig8gBNvfoS9jmK3DW/PcoLTaDSjma84LM6KC85h9KTgcZ2AQGq9GalX8PlRr/Yg&#10;QtRktPWECr4xwKG8vSl0bvyV3vFyir3gEQq5VjDEOOVShnZAp8PaT0icdX52OrKde2lmfeVxZ2Wa&#10;JFvp9Ej8MOgJXwdsv05np8A3y7Hb1Lv9Q+0m+9ZVVeaOlVL3d8vLM4iIS/wrwy8+o0PJTI0/kwnC&#10;sk+euMmapSA4zzbsG9Z0B7Is5H/+8gcAAP//AwBQSwECLQAUAAYACAAAACEAtoM4kv4AAADhAQAA&#10;EwAAAAAAAAAAAAAAAAAAAAAAW0NvbnRlbnRfVHlwZXNdLnhtbFBLAQItABQABgAIAAAAIQA4/SH/&#10;1gAAAJQBAAALAAAAAAAAAAAAAAAAAC8BAABfcmVscy8ucmVsc1BLAQItABQABgAIAAAAIQCkIj7M&#10;hwIAAHMFAAAOAAAAAAAAAAAAAAAAAC4CAABkcnMvZTJvRG9jLnhtbFBLAQItABQABgAIAAAAIQA1&#10;PEIw2QAAAAcBAAAPAAAAAAAAAAAAAAAAAOEEAABkcnMvZG93bnJldi54bWxQSwUGAAAAAAQABADz&#10;AAAA5wUAAAAA&#10;" fillcolor="yellow" strokecolor="#70ad47 [3209]" strokeweight=".5pt">
                      <v:path arrowok="t"/>
                    </v:shape>
                  </w:pict>
                </mc:Fallback>
              </mc:AlternateContent>
            </w:r>
          </w:p>
        </w:tc>
        <w:tc>
          <w:tcPr>
            <w:tcW w:w="8604" w:type="dxa"/>
          </w:tcPr>
          <w:p w14:paraId="09CA299A" w14:textId="77777777" w:rsidR="009C1803" w:rsidRDefault="009C1803" w:rsidP="00400CB6">
            <w:pPr>
              <w:rPr>
                <w:lang w:eastAsia="en-US"/>
              </w:rPr>
            </w:pPr>
            <w:r>
              <w:rPr>
                <w:rFonts w:eastAsiaTheme="minorHAnsi"/>
                <w:b/>
                <w:lang w:eastAsia="en-US"/>
              </w:rPr>
              <w:t xml:space="preserve">Recommended: </w:t>
            </w:r>
            <w:r>
              <w:rPr>
                <w:rFonts w:eastAsiaTheme="minorHAnsi"/>
                <w:lang w:eastAsia="en-US"/>
              </w:rPr>
              <w:t>If a customer builds the identity layer to the application, use password vaulting to provide users with a SSO experience</w:t>
            </w:r>
            <w:r>
              <w:t>.</w:t>
            </w:r>
          </w:p>
        </w:tc>
      </w:tr>
      <w:tr w:rsidR="009C1803" w14:paraId="685FC50B" w14:textId="77777777" w:rsidTr="00400CB6">
        <w:trPr>
          <w:trHeight w:val="423"/>
        </w:trPr>
        <w:tc>
          <w:tcPr>
            <w:tcW w:w="666" w:type="dxa"/>
          </w:tcPr>
          <w:p w14:paraId="4D635FE1" w14:textId="77777777" w:rsidR="009C1803" w:rsidRDefault="009C1803" w:rsidP="00400CB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41B0865E" wp14:editId="2C1F8962">
                      <wp:extent cx="200025" cy="180975"/>
                      <wp:effectExtent l="57150" t="19050" r="28575" b="104775"/>
                      <wp:docPr id="290" name="Octagon 290"/>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EF06D90" id="Octagon 290"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vqzcQIAAE4FAAAOAAAAZHJzL2Uyb0RvYy54bWysVF9r2zAQfx/sOwi9r469dmtDnRJSOgal&#10;LWtHnxVZSgSyTjspcbJPv5PsuKErFMZepDvd7/7f6fJq11q2VRgMuJqXJxPOlJPQGLeq+c+nm0/n&#10;nIUoXCMsOFXzvQr8avbxw2Xnp6qCNdhGISMjLkw7X/N1jH5aFEGuVSvCCXjlSKgBWxGJxVXRoOjI&#10;emuLajL5UnSAjUeQKgR6ve6FfJbta61kvNc6qMhszSm2mE/M5zKdxexSTFco/NrIIQzxD1G0wjhy&#10;Opq6FlGwDZq/TLVGIgTQ8URCW4DWRqqcA2VTTl5l87gWXuVcqDjBj2UK/8+svNs+IDNNzasLqo8T&#10;LTXpXkaxAsfSExWo82FKuEf/gAMXiEzZ7jS26aY82C4XdT8WVe0ik/RIXZpUZ5xJEpXnk4uvZ8lm&#10;8aLsMcRvClqWiJpD7zxXU2xvQ+zRB1RyF8Ca5sZYmxlcLRcW2VZQixcL8paDJgdHsCLl0Eedqbi3&#10;Kilb90NpSp/iLLPHPHhqtCekVC5WQ8QZndQ0+R4VP7+vOOCTqspDOSpX7yuPGtkzuDgqt8YBvmXA&#10;xnIIWfd4KvhR3olcQrOnziP0KxG8vDFU/1sR4oNA2gGaBtrreE+HttBRYwaKszXg77feE55Gk6Sc&#10;dbRTNQ+/NgIVZ/a7o6G9KE9P0xJm5vTsa0UMHkuWxxK3aRdAPS3pB/Eykwkf7YHUCO0zrf88eSWR&#10;cJJ811xGPDCL2O86fSBSzecZRovnRbx1j14eup6G62n3LNAPQxhpeu/gsH9i+moQe2zqh4P5JoI2&#10;eUpf6jrUm5Y2j/rwwaRf4ZjPqJdvcPYHAAD//wMAUEsDBBQABgAIAAAAIQCft0Tx2wAAAAMBAAAP&#10;AAAAZHJzL2Rvd25yZXYueG1sTI9BS8NAEIXvgv9hGcGb3aTSEtNsiggFD9JgtXjdZqdJaHY27G6b&#10;+O8dvdjLwOM93vumWE+2Fxf0oXOkIJ0lIJBqZzpqFHx+bB4yECFqMrp3hAq+McC6vL0pdG7cSO94&#10;2cVGcAmFXCtoYxxyKUPdotVh5gYk9o7OWx1Z+kYar0cut72cJ8lSWt0RL7R6wJcW69PubBVUp7F6&#10;zarq6ctvlts3b/ep3+6Vur+bnlcgIk7xPwy/+IwOJTMd3JlMEL0CfiT+XfYe0wWIg4J5tgBZFvKa&#10;vfwBAAD//wMAUEsBAi0AFAAGAAgAAAAhALaDOJL+AAAA4QEAABMAAAAAAAAAAAAAAAAAAAAAAFtD&#10;b250ZW50X1R5cGVzXS54bWxQSwECLQAUAAYACAAAACEAOP0h/9YAAACUAQAACwAAAAAAAAAAAAAA&#10;AAAvAQAAX3JlbHMvLnJlbHNQSwECLQAUAAYACAAAACEAeyL6s3ECAABOBQAADgAAAAAAAAAAAAAA&#10;AAAuAgAAZHJzL2Uyb0RvYy54bWxQSwECLQAUAAYACAAAACEAn7dE8dsAAAADAQAADwAAAAAAAAAA&#10;AAAAAADLBAAAZHJzL2Rvd25yZXYueG1sUEsFBgAAAAAEAAQA8wAAANMFAAAAAA==&#10;" fillcolor="#c00" strokecolor="#ed7d31 [3205]" strokeweight=".5pt">
                      <w10:anchorlock/>
                    </v:shape>
                  </w:pict>
                </mc:Fallback>
              </mc:AlternateContent>
            </w:r>
          </w:p>
        </w:tc>
        <w:tc>
          <w:tcPr>
            <w:tcW w:w="8604" w:type="dxa"/>
          </w:tcPr>
          <w:p w14:paraId="7862262F" w14:textId="77777777" w:rsidR="009C1803" w:rsidRDefault="009C1803" w:rsidP="00400CB6">
            <w:pPr>
              <w:spacing w:after="240"/>
              <w:rPr>
                <w:lang w:eastAsia="en-US"/>
              </w:rPr>
            </w:pPr>
            <w:r w:rsidRPr="00192064">
              <w:rPr>
                <w:b/>
                <w:lang w:eastAsia="en-US"/>
              </w:rPr>
              <w:t>Mandatory</w:t>
            </w:r>
            <w:r>
              <w:rPr>
                <w:lang w:eastAsia="en-US"/>
              </w:rPr>
              <w:t>: To integrate a PaaS application with password vaulting, the application must have a sign-in form with a user name and password field.</w:t>
            </w:r>
          </w:p>
        </w:tc>
      </w:tr>
    </w:tbl>
    <w:p w14:paraId="715A538E" w14:textId="77777777" w:rsidR="00676C44" w:rsidRDefault="00676C44" w:rsidP="005729D2">
      <w:pPr>
        <w:pStyle w:val="Heading4Numbered"/>
        <w:numPr>
          <w:ilvl w:val="3"/>
          <w:numId w:val="64"/>
        </w:numPr>
      </w:pPr>
      <w:r>
        <w:t>Federation with AD FS</w:t>
      </w:r>
    </w:p>
    <w:p w14:paraId="48032296" w14:textId="0F9FB6FE" w:rsidR="00400CB6" w:rsidRDefault="0087598C" w:rsidP="00400CB6">
      <w:r>
        <w:t>The</w:t>
      </w:r>
      <w:r w:rsidR="00400CB6">
        <w:t xml:space="preserve"> third approach for the PaaS application is to directly integrate it with Azure AD. To perform this integration, the application needs to support federated identity and must integrate over one of the protocols that are discussed earlier in this document. </w:t>
      </w:r>
    </w:p>
    <w:p w14:paraId="3B52B633" w14:textId="77777777" w:rsidR="00400CB6" w:rsidRDefault="00400CB6" w:rsidP="00400CB6">
      <w:r>
        <w:t>By integrating with Azure AD, the PaaS application can leverage some of the identity service capabilities that Azure AD provides for developers.</w:t>
      </w:r>
    </w:p>
    <w:p w14:paraId="6F2496F8" w14:textId="77777777" w:rsidR="00400CB6" w:rsidRDefault="00400CB6" w:rsidP="00400CB6">
      <w:pPr>
        <w:rPr>
          <w:b/>
        </w:rPr>
      </w:pPr>
      <w:r w:rsidRPr="00C90964">
        <w:rPr>
          <w:b/>
        </w:rPr>
        <w:t>Authentication</w:t>
      </w:r>
    </w:p>
    <w:p w14:paraId="69C09D21" w14:textId="77777777" w:rsidR="00400CB6" w:rsidRDefault="00400CB6" w:rsidP="00400CB6">
      <w:r>
        <w:t xml:space="preserve">When a PaaS application is federated with Azure AD, the user is taken to the Azure AD sign-in page to authenticate. Azure AD can choose to sign in the user, or if the customer has integrated Azure AD with another identity provider (such as AD FS), the user can authenticate to an on-premises Identity Federation Service. </w:t>
      </w:r>
    </w:p>
    <w:p w14:paraId="7816EA93" w14:textId="40D655D0" w:rsidR="00400CB6" w:rsidRDefault="00400CB6" w:rsidP="00400CB6">
      <w:r>
        <w:t>The benefit to the application is that the developer doesn’t have to be concerned with how the authentication process happens.</w:t>
      </w:r>
      <w:r w:rsidR="005B30C3">
        <w:t xml:space="preserve"> A</w:t>
      </w:r>
      <w:r>
        <w:t xml:space="preserve">dditionally, if the customer is using the Azure AD version of Azure Multi-Factor Authentication, Azure AD can perform MFA on behalf of the application. </w:t>
      </w:r>
    </w:p>
    <w:p w14:paraId="22320AA8" w14:textId="77777777" w:rsidR="00400CB6" w:rsidRPr="00C90964" w:rsidRDefault="00400CB6" w:rsidP="00400CB6">
      <w:pPr>
        <w:rPr>
          <w:b/>
        </w:rPr>
      </w:pPr>
      <w:r w:rsidRPr="00C90964">
        <w:rPr>
          <w:b/>
        </w:rPr>
        <w:t>Authorization</w:t>
      </w:r>
    </w:p>
    <w:p w14:paraId="74CF8F3E" w14:textId="77777777" w:rsidR="00400CB6" w:rsidRDefault="00400CB6" w:rsidP="00400CB6">
      <w:r>
        <w:t>Another benefit for integrating PaaS applications with Azure AD is that user and group-based authorization can be performed. If a customer is synchronizing group memberships into Azure AD, those group memberships can be used to grant users access to the PaaS application. Otherwise, customers can manage the group memberships in Azure AD directly.</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400CB6" w14:paraId="16039A9D" w14:textId="77777777" w:rsidTr="00400CB6">
        <w:trPr>
          <w:trHeight w:val="423"/>
        </w:trPr>
        <w:tc>
          <w:tcPr>
            <w:tcW w:w="666" w:type="dxa"/>
          </w:tcPr>
          <w:p w14:paraId="59B730E9" w14:textId="77777777" w:rsidR="00400CB6" w:rsidRDefault="00400CB6" w:rsidP="00400CB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2BFA06F9" wp14:editId="31EA5334">
                      <wp:extent cx="200025" cy="180975"/>
                      <wp:effectExtent l="57150" t="19050" r="28575" b="104775"/>
                      <wp:docPr id="1252047298" name="Octagon 1252047298"/>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4DEC4C4" id="Octagon 1252047298"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FLNeAIAAFwFAAAOAAAAZHJzL2Uyb0RvYy54bWysVEtrGzEQvhf6H4TuzT5qN4nJOhiHlEJo&#10;QpOSs6yVbIGkUSXZa/fXd6Rdb0waCJRetDM7728eV9d7o8lO+KDANrQ6KykRlkOr7LqhP59uP11Q&#10;EiKzLdNgRUMPItDr+ccPV52biRo2oFvhCTqxYda5hm5idLOiCHwjDAtn4IRFoQRvWETWr4vWsw69&#10;G13UZfml6MC3zgMXIeDfm15I59m/lILHeymDiEQ3FHOL+fX5XaW3mF+x2dozt1F8SIP9QxaGKYtB&#10;R1c3LDKy9eovV0ZxDwFkPONgCpBScZFrwGqq8lU1jxvmRK4FwQluhCn8P7f8++7BE9Vi7+ppXU7O&#10;60vsmGUGe3XPI1uDJScShKtzYYZWj+7BD1xAMtW+l96kL1ZF9hniwwix2EfC8Sf2rKynlHAUVRfl&#10;5fk0taB4MXY+xK8CDElEQ6HPIWPLdnch9tpHrRQugFbtrdI6M369WmpPdgwbvlxitNxjDHCiVqQa&#10;+qwzFQ9aJGNtfwiJYGCeVY6Yx1CM/hjnwsZ6yDhrJzOJsUfDz+8bDvrJVOQRHY3r941HixwZbByN&#10;jbLg33KgYzWkLHt9BPyk7kSuoD3gHHjoFyQ4fqsQ/zsW4gPzuBG4O7jl8R4fqaHDxgwUJRvwv9/6&#10;n/RxUFFKSYcb1tDwa8u8oER/szjCl9VkklYyM5PpeY2MP5WsTiV2a5aAPa3wnjieyaQf9ZGUHswz&#10;HoNFiooiZjnGbiiP/sgsY7/5eE64WCyyGq6hY/HOPjp+7Hoarqf9M/NuGMKI0/sdjtvIZq8GsddN&#10;/bCw2EaQKk/pC64D3rjCedSHc5NuxCmftV6O4vwPAA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Jl4Us14AgAAXA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63DC505B" w14:textId="77777777" w:rsidR="00400CB6" w:rsidRDefault="00400CB6" w:rsidP="00400CB6">
            <w:pPr>
              <w:spacing w:after="240"/>
              <w:rPr>
                <w:lang w:eastAsia="en-US"/>
              </w:rPr>
            </w:pPr>
            <w:r w:rsidRPr="00192064">
              <w:rPr>
                <w:b/>
                <w:lang w:eastAsia="en-US"/>
              </w:rPr>
              <w:t>Mandatory</w:t>
            </w:r>
            <w:r>
              <w:rPr>
                <w:lang w:eastAsia="en-US"/>
              </w:rPr>
              <w:t>: The customer must have an Azure AD Basic or an Azure AD Premium license to use group-based access control.</w:t>
            </w:r>
          </w:p>
        </w:tc>
      </w:tr>
    </w:tbl>
    <w:p w14:paraId="234F2D90" w14:textId="77777777" w:rsidR="00400CB6" w:rsidRDefault="00400CB6" w:rsidP="00400CB6">
      <w:pPr>
        <w:rPr>
          <w:b/>
        </w:rPr>
      </w:pPr>
      <w:r>
        <w:rPr>
          <w:b/>
        </w:rPr>
        <w:t>Identity Data</w:t>
      </w:r>
    </w:p>
    <w:p w14:paraId="2F93AD74" w14:textId="77777777" w:rsidR="00400CB6" w:rsidRDefault="00400CB6" w:rsidP="00400CB6">
      <w:r>
        <w:t>One benefit that a PaaS application gets from Azure AD that it does not get from AD FS is access to the identity data repository. Applications can store identity data in Azure AD by using a RESTful interface called the Graph API. If an application needs to store data about users for out-of-band use, it can use Azure AD instead of having its own identity data store.</w:t>
      </w:r>
    </w:p>
    <w:p w14:paraId="4F720133" w14:textId="77777777" w:rsidR="00400CB6" w:rsidRDefault="00400CB6" w:rsidP="00400CB6">
      <w:pPr>
        <w:spacing w:before="0" w:after="160" w:line="259" w:lineRule="auto"/>
        <w:rPr>
          <w:b/>
        </w:rPr>
      </w:pPr>
    </w:p>
    <w:p w14:paraId="63A4D4FF" w14:textId="77777777" w:rsidR="00400CB6" w:rsidRPr="00C90964" w:rsidRDefault="00400CB6" w:rsidP="00400CB6">
      <w:pPr>
        <w:rPr>
          <w:b/>
        </w:rPr>
      </w:pPr>
      <w:r w:rsidRPr="00C90964">
        <w:rPr>
          <w:b/>
        </w:rPr>
        <w:t>Access Panel</w:t>
      </w:r>
    </w:p>
    <w:p w14:paraId="31445C22" w14:textId="458C21D0" w:rsidR="00676C44" w:rsidRPr="00C90964" w:rsidRDefault="00400CB6" w:rsidP="00400CB6">
      <w:pPr>
        <w:rPr>
          <w:b/>
        </w:rPr>
      </w:pPr>
      <w:r>
        <w:t>When the PaaS application is directly integrated with Azure AD, it can be displayed in the Azure AD Access Panel. The Access Panel is an application dashboard that serves as a single portal for all of the user’s applications and self-service identity management capabilities</w:t>
      </w:r>
      <w:r w:rsidR="00855675">
        <w:t>.</w:t>
      </w:r>
    </w:p>
    <w:p w14:paraId="268F4D69" w14:textId="6B0216AE" w:rsidR="00676C44" w:rsidRDefault="00676C44" w:rsidP="005729D2">
      <w:pPr>
        <w:pStyle w:val="Heading3Numbered"/>
        <w:numPr>
          <w:ilvl w:val="2"/>
          <w:numId w:val="64"/>
        </w:numPr>
      </w:pPr>
      <w:bookmarkStart w:id="6258" w:name="_Toc415040050"/>
      <w:bookmarkStart w:id="6259" w:name="_Toc415572407"/>
      <w:bookmarkStart w:id="6260" w:name="_Toc415735577"/>
      <w:bookmarkStart w:id="6261" w:name="_Toc415814158"/>
      <w:bookmarkStart w:id="6262" w:name="_Toc416343893"/>
      <w:bookmarkStart w:id="6263" w:name="_Toc416863165"/>
      <w:bookmarkStart w:id="6264" w:name="_Toc417314780"/>
      <w:bookmarkStart w:id="6265" w:name="_Toc417323797"/>
      <w:bookmarkStart w:id="6266" w:name="_Toc417326887"/>
      <w:bookmarkStart w:id="6267" w:name="_Toc417330435"/>
      <w:bookmarkStart w:id="6268" w:name="_Toc417395041"/>
      <w:bookmarkStart w:id="6269" w:name="_Toc417399258"/>
      <w:bookmarkStart w:id="6270" w:name="_Toc417399417"/>
      <w:bookmarkStart w:id="6271" w:name="_Toc417400464"/>
      <w:bookmarkStart w:id="6272" w:name="_Toc417401312"/>
      <w:bookmarkStart w:id="6273" w:name="_Toc417419627"/>
      <w:bookmarkStart w:id="6274" w:name="_Toc417457399"/>
      <w:bookmarkStart w:id="6275" w:name="_Toc417481977"/>
      <w:bookmarkStart w:id="6276" w:name="_Toc417482235"/>
      <w:bookmarkStart w:id="6277" w:name="_Toc417499954"/>
      <w:bookmarkStart w:id="6278" w:name="_Toc417502775"/>
      <w:bookmarkStart w:id="6279" w:name="_Toc417548362"/>
      <w:bookmarkStart w:id="6280" w:name="_Toc417594605"/>
      <w:bookmarkStart w:id="6281" w:name="_Toc417934735"/>
      <w:bookmarkStart w:id="6282" w:name="_Toc417936074"/>
      <w:bookmarkStart w:id="6283" w:name="_Toc417936536"/>
      <w:bookmarkStart w:id="6284" w:name="_Toc417946958"/>
      <w:bookmarkStart w:id="6285" w:name="_Toc417947428"/>
      <w:bookmarkStart w:id="6286" w:name="_Toc417982568"/>
      <w:bookmarkStart w:id="6287" w:name="_Toc417986023"/>
      <w:bookmarkStart w:id="6288" w:name="_Toc418000714"/>
      <w:bookmarkStart w:id="6289" w:name="_Toc418003888"/>
      <w:bookmarkStart w:id="6290" w:name="_Toc418012093"/>
      <w:bookmarkStart w:id="6291" w:name="_Toc418014504"/>
      <w:bookmarkStart w:id="6292" w:name="_Toc418030111"/>
      <w:bookmarkStart w:id="6293" w:name="_Toc418036992"/>
      <w:bookmarkStart w:id="6294" w:name="_Toc418061465"/>
      <w:bookmarkStart w:id="6295" w:name="_Toc418081366"/>
      <w:bookmarkStart w:id="6296" w:name="_Toc418083396"/>
      <w:bookmarkStart w:id="6297" w:name="_Toc418096162"/>
      <w:bookmarkStart w:id="6298" w:name="_Toc418156764"/>
      <w:bookmarkStart w:id="6299" w:name="_Toc418167681"/>
      <w:bookmarkStart w:id="6300" w:name="_Toc418185937"/>
      <w:bookmarkStart w:id="6301" w:name="_Toc422941651"/>
      <w:bookmarkStart w:id="6302" w:name="_Toc423116857"/>
      <w:bookmarkStart w:id="6303" w:name="_Toc423117890"/>
      <w:bookmarkStart w:id="6304" w:name="_Toc423117340"/>
      <w:bookmarkStart w:id="6305" w:name="_Toc431288933"/>
      <w:r>
        <w:t>SaaS Applications</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6B579F11" w14:textId="77777777" w:rsidR="00400CB6" w:rsidRDefault="00400CB6" w:rsidP="00400CB6">
      <w:r>
        <w:t>There are two primary identity functions that are common to most SaaS applications:</w:t>
      </w:r>
    </w:p>
    <w:p w14:paraId="1B7E4C62" w14:textId="08CAB830" w:rsidR="00400CB6" w:rsidRDefault="00400CB6" w:rsidP="005729D2">
      <w:pPr>
        <w:pStyle w:val="ListParagraph"/>
        <w:numPr>
          <w:ilvl w:val="0"/>
          <w:numId w:val="282"/>
        </w:numPr>
      </w:pPr>
      <w:r>
        <w:t>Authenticating users</w:t>
      </w:r>
    </w:p>
    <w:p w14:paraId="2AEB3E24" w14:textId="4A1E0EF0" w:rsidR="00D536DA" w:rsidRDefault="00400CB6" w:rsidP="005729D2">
      <w:pPr>
        <w:pStyle w:val="ListParagraph"/>
        <w:numPr>
          <w:ilvl w:val="0"/>
          <w:numId w:val="282"/>
        </w:numPr>
      </w:pPr>
      <w:r>
        <w:t>Provisioning user accounts into the application</w:t>
      </w:r>
      <w:r w:rsidR="00D536DA">
        <w:t>.</w:t>
      </w:r>
    </w:p>
    <w:p w14:paraId="03AB718F" w14:textId="6C40E85C" w:rsidR="00D536DA" w:rsidRDefault="00D536DA" w:rsidP="005729D2">
      <w:pPr>
        <w:pStyle w:val="Heading4Numbered"/>
        <w:numPr>
          <w:ilvl w:val="3"/>
          <w:numId w:val="64"/>
        </w:numPr>
      </w:pPr>
      <w:r>
        <w:t>Authenticating to SaaS Applications</w:t>
      </w:r>
    </w:p>
    <w:p w14:paraId="0DD705AA" w14:textId="77777777" w:rsidR="00400CB6" w:rsidRDefault="00400CB6" w:rsidP="00400CB6">
      <w:r>
        <w:t xml:space="preserve">When integrating SaaS applications with an Azure-based identity solution, the options are going to vary greatly, depending on what the SaaS provider supports. Because a SaaS application isn’t owned by the organization that is using it, there isn’t much flexibility in changing the application to support a particular integration approach. </w:t>
      </w:r>
    </w:p>
    <w:p w14:paraId="0D00FFF6" w14:textId="77777777" w:rsidR="00400CB6" w:rsidRDefault="00400CB6" w:rsidP="00400CB6">
      <w:r>
        <w:t xml:space="preserve">Therefore, a comprehensive enterprise approach for integrating SaaS applications is going to require a variety of integration techniques. There are two authentication methods, in particular, that Azure AD offers to get SaaS applications integrated with the enterprise: </w:t>
      </w:r>
    </w:p>
    <w:p w14:paraId="7A68327E" w14:textId="77777777" w:rsidR="00400CB6" w:rsidRDefault="00400CB6" w:rsidP="005729D2">
      <w:pPr>
        <w:pStyle w:val="ListParagraph"/>
        <w:numPr>
          <w:ilvl w:val="0"/>
          <w:numId w:val="283"/>
        </w:numPr>
      </w:pPr>
      <w:r>
        <w:t xml:space="preserve">Federation </w:t>
      </w:r>
    </w:p>
    <w:p w14:paraId="0A65F979" w14:textId="77777777" w:rsidR="00400CB6" w:rsidRDefault="00400CB6" w:rsidP="005729D2">
      <w:pPr>
        <w:pStyle w:val="ListParagraph"/>
        <w:numPr>
          <w:ilvl w:val="0"/>
          <w:numId w:val="283"/>
        </w:numPr>
      </w:pPr>
      <w:r>
        <w:t xml:space="preserve">Password vaulting </w:t>
      </w:r>
    </w:p>
    <w:p w14:paraId="05204771" w14:textId="77777777" w:rsidR="00400CB6" w:rsidRDefault="00400CB6" w:rsidP="00400CB6">
      <w:r>
        <w:t xml:space="preserve">Azure AD offers a catalog full of applications that are pre-integrated. </w:t>
      </w:r>
    </w:p>
    <w:p w14:paraId="42615B2B" w14:textId="77777777" w:rsidR="00400CB6" w:rsidRPr="00C90964" w:rsidRDefault="00400CB6" w:rsidP="00400CB6">
      <w:pPr>
        <w:rPr>
          <w:b/>
        </w:rPr>
      </w:pPr>
      <w:r w:rsidRPr="00C90964">
        <w:rPr>
          <w:b/>
        </w:rPr>
        <w:t xml:space="preserve">Federation </w:t>
      </w:r>
      <w:r>
        <w:rPr>
          <w:b/>
        </w:rPr>
        <w:t>t</w:t>
      </w:r>
      <w:r w:rsidRPr="00C90964">
        <w:rPr>
          <w:b/>
        </w:rPr>
        <w:t xml:space="preserve">hrough </w:t>
      </w:r>
      <w:r>
        <w:rPr>
          <w:b/>
        </w:rPr>
        <w:t>Azure AD</w:t>
      </w:r>
    </w:p>
    <w:p w14:paraId="2BF36567" w14:textId="77777777" w:rsidR="00400CB6" w:rsidRDefault="00400CB6" w:rsidP="00400CB6">
      <w:r>
        <w:t xml:space="preserve">An increasing number of SaaS applications are supporting identity federation standards and SAML 2.0, in particular. The main benefit of integrating a SaaS application with Azure AD is that Azure AD can become the hub of application integration. </w:t>
      </w:r>
    </w:p>
    <w:p w14:paraId="3385DFA9" w14:textId="77777777" w:rsidR="00400CB6" w:rsidRDefault="00400CB6" w:rsidP="00400CB6">
      <w:r>
        <w:t xml:space="preserve">Customers who use 100 applications would normally have to integrate each application individually with their on-premises identity system. However, Azure AD can integrate with the 100 applications so that the on-premises systems don’t have to. There only needs to be a single integration between the on-premises systems and Azure AD, which many customers already have in place through Office 365. </w:t>
      </w:r>
    </w:p>
    <w:p w14:paraId="31E2158F" w14:textId="77777777" w:rsidR="00400CB6" w:rsidRDefault="00400CB6" w:rsidP="00400CB6">
      <w:r>
        <w:t xml:space="preserve">A federated identity trust also provides users with a first class experience when signing in to SaaS applications. If the customer uses AD FS with Azure AD, the user gets a seamless desktop SSO experience to the application when accessing the application from the intranet. </w:t>
      </w:r>
    </w:p>
    <w:p w14:paraId="4961ED82" w14:textId="77777777" w:rsidR="00400CB6" w:rsidRDefault="00400CB6" w:rsidP="00400CB6">
      <w:r>
        <w:t>The experience for a user who is signed in to the AD domain on the intranet would resemble the following:</w:t>
      </w:r>
    </w:p>
    <w:p w14:paraId="4CE176E8" w14:textId="31EF5F04" w:rsidR="00400CB6" w:rsidRDefault="00400CB6" w:rsidP="005729D2">
      <w:pPr>
        <w:pStyle w:val="ListParagraph"/>
        <w:numPr>
          <w:ilvl w:val="0"/>
          <w:numId w:val="179"/>
        </w:numPr>
      </w:pPr>
      <w:r>
        <w:t xml:space="preserve">The user </w:t>
      </w:r>
      <w:r w:rsidR="00F66EA5">
        <w:t>browses to the web application.</w:t>
      </w:r>
    </w:p>
    <w:p w14:paraId="009B8497" w14:textId="77777777" w:rsidR="00400CB6" w:rsidRDefault="00400CB6" w:rsidP="005729D2">
      <w:pPr>
        <w:pStyle w:val="ListParagraph"/>
        <w:numPr>
          <w:ilvl w:val="0"/>
          <w:numId w:val="179"/>
        </w:numPr>
      </w:pPr>
      <w:r>
        <w:t>The user clicks the sign-in button at the application to initiate sign in.</w:t>
      </w:r>
    </w:p>
    <w:p w14:paraId="693A5451" w14:textId="77777777" w:rsidR="00400CB6" w:rsidRDefault="00400CB6" w:rsidP="005729D2">
      <w:pPr>
        <w:pStyle w:val="ListParagraph"/>
        <w:numPr>
          <w:ilvl w:val="0"/>
          <w:numId w:val="179"/>
        </w:numPr>
      </w:pPr>
      <w:r>
        <w:t>The user enters her email address in user name field of the application.</w:t>
      </w:r>
    </w:p>
    <w:p w14:paraId="7DC1A1DB" w14:textId="77777777" w:rsidR="00400CB6" w:rsidRDefault="00400CB6" w:rsidP="005729D2">
      <w:pPr>
        <w:pStyle w:val="ListParagraph"/>
        <w:numPr>
          <w:ilvl w:val="0"/>
          <w:numId w:val="179"/>
        </w:numPr>
      </w:pPr>
      <w:r>
        <w:t>The user is redirected to Azure AD.</w:t>
      </w:r>
    </w:p>
    <w:p w14:paraId="086B5296" w14:textId="77777777" w:rsidR="00400CB6" w:rsidRDefault="00400CB6" w:rsidP="005729D2">
      <w:pPr>
        <w:pStyle w:val="ListParagraph"/>
        <w:numPr>
          <w:ilvl w:val="0"/>
          <w:numId w:val="179"/>
        </w:numPr>
      </w:pPr>
      <w:r>
        <w:t>Azure AD redirects the user to AD FS on-premises.</w:t>
      </w:r>
    </w:p>
    <w:p w14:paraId="184BFA12" w14:textId="77777777" w:rsidR="00400CB6" w:rsidRDefault="00400CB6" w:rsidP="005729D2">
      <w:pPr>
        <w:pStyle w:val="ListParagraph"/>
        <w:numPr>
          <w:ilvl w:val="0"/>
          <w:numId w:val="179"/>
        </w:numPr>
      </w:pPr>
      <w:r>
        <w:t>AD FS automatically signs in the user via Kerberos protocol.</w:t>
      </w:r>
    </w:p>
    <w:p w14:paraId="35C53325" w14:textId="77777777" w:rsidR="00400CB6" w:rsidRDefault="00400CB6" w:rsidP="005729D2">
      <w:pPr>
        <w:pStyle w:val="ListParagraph"/>
        <w:numPr>
          <w:ilvl w:val="0"/>
          <w:numId w:val="179"/>
        </w:numPr>
      </w:pPr>
      <w:r>
        <w:t>AD FS provides a security token to Azure AD.</w:t>
      </w:r>
    </w:p>
    <w:p w14:paraId="6947EB87" w14:textId="77777777" w:rsidR="00400CB6" w:rsidRDefault="00400CB6" w:rsidP="005729D2">
      <w:pPr>
        <w:pStyle w:val="ListParagraph"/>
        <w:numPr>
          <w:ilvl w:val="0"/>
          <w:numId w:val="179"/>
        </w:numPr>
      </w:pPr>
      <w:r>
        <w:t>Azure AD provides a security token to the application.</w:t>
      </w:r>
    </w:p>
    <w:p w14:paraId="07239920" w14:textId="77777777" w:rsidR="00400CB6" w:rsidRDefault="00400CB6" w:rsidP="005729D2">
      <w:pPr>
        <w:pStyle w:val="ListParagraph"/>
        <w:numPr>
          <w:ilvl w:val="0"/>
          <w:numId w:val="179"/>
        </w:numPr>
      </w:pPr>
      <w:r>
        <w:t>The user is successfully signed in without having entered a credential.</w:t>
      </w:r>
    </w:p>
    <w:p w14:paraId="7BB6167F" w14:textId="77777777" w:rsidR="00400CB6" w:rsidRDefault="00400CB6" w:rsidP="00400CB6">
      <w:r>
        <w:t xml:space="preserve">It’s important to note that not every SaaS application offers an option to perform a federated identity trust. Therefore, only a subset of the SaaS applications that are pre-integrated with Azure AD use this approach. </w:t>
      </w:r>
    </w:p>
    <w:p w14:paraId="1389F6FB" w14:textId="77777777" w:rsidR="00400CB6" w:rsidRDefault="00400CB6" w:rsidP="00400CB6">
      <w:r>
        <w:t>When integrating SaaS applications with Azure AD, it’s important to understand if the application is one that Azure AD uses identity federation with. If it’s not, it’s using the password vaulting approach described in the Microsoft Azure Identity section, which has a very different user experience.</w:t>
      </w:r>
    </w:p>
    <w:p w14:paraId="2ED4C3F1" w14:textId="77777777" w:rsidR="00400CB6" w:rsidRDefault="00400CB6" w:rsidP="00400CB6">
      <w:pPr>
        <w:rPr>
          <w:b/>
        </w:rPr>
      </w:pPr>
      <w:r w:rsidRPr="00C90964">
        <w:rPr>
          <w:b/>
        </w:rPr>
        <w:t>Password Vaulting</w:t>
      </w:r>
    </w:p>
    <w:p w14:paraId="336DB657" w14:textId="77777777" w:rsidR="00400CB6" w:rsidRDefault="00400CB6" w:rsidP="00400CB6">
      <w:r>
        <w:t xml:space="preserve">Password vaulting is an alternative approach for SaaS applications that don’t support identity federation. Almost every application has a sign-in form, where the users enter their credential and click the </w:t>
      </w:r>
      <w:r w:rsidRPr="00431CB5">
        <w:rPr>
          <w:b/>
        </w:rPr>
        <w:t>Sign In</w:t>
      </w:r>
      <w:r>
        <w:t xml:space="preserve"> button. </w:t>
      </w:r>
    </w:p>
    <w:p w14:paraId="12F8ED84" w14:textId="0CDAA50D" w:rsidR="00400CB6" w:rsidRDefault="00400CB6" w:rsidP="00400CB6">
      <w:r>
        <w:t>Azure AD is able to securely store the password that users have for these applications. When the user launches the applicat</w:t>
      </w:r>
      <w:r w:rsidR="005B30C3">
        <w:t>ion from the Azure Access Panel</w:t>
      </w:r>
      <w:r>
        <w:t xml:space="preserve">, a browser plug-in securely retrieves the password from Azure AD, fills in the sign-in form, and clicks the </w:t>
      </w:r>
      <w:r w:rsidRPr="00431CB5">
        <w:rPr>
          <w:b/>
        </w:rPr>
        <w:t>Sign In</w:t>
      </w:r>
      <w:r>
        <w:t xml:space="preserve"> button for the user. The experience resembles the following:</w:t>
      </w:r>
    </w:p>
    <w:p w14:paraId="72BCA67C" w14:textId="77777777" w:rsidR="00400CB6" w:rsidRPr="00431CB5" w:rsidRDefault="00400CB6" w:rsidP="005729D2">
      <w:pPr>
        <w:pStyle w:val="ListParagraph"/>
        <w:numPr>
          <w:ilvl w:val="0"/>
          <w:numId w:val="180"/>
        </w:numPr>
        <w:rPr>
          <w:b/>
        </w:rPr>
      </w:pPr>
      <w:r>
        <w:t>The user browses to the Azure Access Panel (</w:t>
      </w:r>
      <w:hyperlink r:id="rId525" w:history="1">
        <w:r w:rsidRPr="0003234E">
          <w:rPr>
            <w:rStyle w:val="Hyperlink"/>
          </w:rPr>
          <w:t>https://myapps.microsoft.com</w:t>
        </w:r>
      </w:hyperlink>
      <w:r w:rsidRPr="00431CB5">
        <w:t>)</w:t>
      </w:r>
      <w:r>
        <w:t>.</w:t>
      </w:r>
    </w:p>
    <w:p w14:paraId="4A4BD277" w14:textId="77777777" w:rsidR="00400CB6" w:rsidRPr="00FC4938" w:rsidRDefault="00400CB6" w:rsidP="005729D2">
      <w:pPr>
        <w:pStyle w:val="ListParagraph"/>
        <w:numPr>
          <w:ilvl w:val="0"/>
          <w:numId w:val="180"/>
        </w:numPr>
        <w:rPr>
          <w:b/>
        </w:rPr>
      </w:pPr>
      <w:r>
        <w:t>The user signs in with an Azure AD account or an AD FS account (desktop SSO is possible).</w:t>
      </w:r>
    </w:p>
    <w:p w14:paraId="59D5FCF7" w14:textId="77777777" w:rsidR="00400CB6" w:rsidRPr="00A2611C" w:rsidRDefault="00400CB6" w:rsidP="005729D2">
      <w:pPr>
        <w:pStyle w:val="ListParagraph"/>
        <w:numPr>
          <w:ilvl w:val="0"/>
          <w:numId w:val="180"/>
        </w:numPr>
        <w:rPr>
          <w:b/>
        </w:rPr>
      </w:pPr>
      <w:r>
        <w:t>The user selects the application to use in the Access Panel.</w:t>
      </w:r>
    </w:p>
    <w:p w14:paraId="0156727D" w14:textId="77777777" w:rsidR="00400CB6" w:rsidRPr="00A2611C" w:rsidRDefault="00400CB6" w:rsidP="005729D2">
      <w:pPr>
        <w:pStyle w:val="ListParagraph"/>
        <w:numPr>
          <w:ilvl w:val="0"/>
          <w:numId w:val="180"/>
        </w:numPr>
        <w:rPr>
          <w:b/>
        </w:rPr>
      </w:pPr>
      <w:r>
        <w:t>The application opens in a separate browser tab.</w:t>
      </w:r>
    </w:p>
    <w:p w14:paraId="6C72E852" w14:textId="77777777" w:rsidR="00400CB6" w:rsidRPr="00A2611C" w:rsidRDefault="00400CB6" w:rsidP="005729D2">
      <w:pPr>
        <w:pStyle w:val="ListParagraph"/>
        <w:numPr>
          <w:ilvl w:val="0"/>
          <w:numId w:val="180"/>
        </w:numPr>
        <w:rPr>
          <w:b/>
        </w:rPr>
      </w:pPr>
      <w:r>
        <w:t>The user momentarily sees the sign-in page, while the browser plug-in populates the credentials and signs in the user.</w:t>
      </w:r>
    </w:p>
    <w:p w14:paraId="0F477380" w14:textId="77777777" w:rsidR="00400CB6" w:rsidRPr="00A2611C" w:rsidRDefault="00400CB6" w:rsidP="005729D2">
      <w:pPr>
        <w:pStyle w:val="ListParagraph"/>
        <w:numPr>
          <w:ilvl w:val="0"/>
          <w:numId w:val="180"/>
        </w:numPr>
        <w:rPr>
          <w:b/>
        </w:rPr>
      </w:pPr>
      <w:r>
        <w:t>The user is signed in to the application.</w:t>
      </w:r>
    </w:p>
    <w:p w14:paraId="72DE8B27" w14:textId="4326AF1F" w:rsidR="00A2611C" w:rsidRPr="00A2611C" w:rsidRDefault="00400CB6" w:rsidP="00400CB6">
      <w:pPr>
        <w:rPr>
          <w:b/>
        </w:rPr>
      </w:pPr>
      <w:r>
        <w:t xml:space="preserve">One main limitation of this approach that customers should be aware of is that the application must be launched from the Access Panel. If the user browses to the application first, and clicks the </w:t>
      </w:r>
      <w:r w:rsidRPr="00A67F0C">
        <w:rPr>
          <w:b/>
        </w:rPr>
        <w:t>Sign In</w:t>
      </w:r>
      <w:r>
        <w:t xml:space="preserve"> button at the application, the browser plug-in will not interfere to sign in the user</w:t>
      </w:r>
      <w:r w:rsidR="00A2611C">
        <w:t xml:space="preserve">. </w:t>
      </w:r>
    </w:p>
    <w:p w14:paraId="163B276E" w14:textId="7FADCB01" w:rsidR="00D536DA" w:rsidRDefault="00D536DA" w:rsidP="005729D2">
      <w:pPr>
        <w:pStyle w:val="Heading4Numbered"/>
        <w:numPr>
          <w:ilvl w:val="3"/>
          <w:numId w:val="64"/>
        </w:numPr>
      </w:pPr>
      <w:r>
        <w:t>Provisioning Identities to SaaS Applications</w:t>
      </w:r>
    </w:p>
    <w:p w14:paraId="0B161C62" w14:textId="49C1DBC3" w:rsidR="00400CB6" w:rsidRDefault="00A2611C" w:rsidP="00400CB6">
      <w:r>
        <w:t xml:space="preserve">In </w:t>
      </w:r>
      <w:r w:rsidR="00400CB6">
        <w:t xml:space="preserve">addition to authentication, most SaaS applications require that each user has an account in their identity repository. Even if the application is fully federated, there is often a requirement for an account so that a subscription can be associated with an individual user. </w:t>
      </w:r>
    </w:p>
    <w:p w14:paraId="6A4B8BA1" w14:textId="77777777" w:rsidR="00400CB6" w:rsidRDefault="00400CB6" w:rsidP="00400CB6">
      <w:r>
        <w:t>Any customer integrating with a SaaS application should be prepared to populate the SaaS provider with user accounts for the people using the application. There are two ways to approach this:</w:t>
      </w:r>
    </w:p>
    <w:p w14:paraId="6F3889E2" w14:textId="77777777" w:rsidR="00400CB6" w:rsidRDefault="00400CB6" w:rsidP="005729D2">
      <w:pPr>
        <w:pStyle w:val="ListParagraph"/>
        <w:numPr>
          <w:ilvl w:val="0"/>
          <w:numId w:val="284"/>
        </w:numPr>
      </w:pPr>
      <w:r>
        <w:t xml:space="preserve">Manually </w:t>
      </w:r>
    </w:p>
    <w:p w14:paraId="670EA09B" w14:textId="77777777" w:rsidR="00400CB6" w:rsidRDefault="00400CB6" w:rsidP="005729D2">
      <w:pPr>
        <w:pStyle w:val="ListParagraph"/>
        <w:numPr>
          <w:ilvl w:val="0"/>
          <w:numId w:val="284"/>
        </w:numPr>
      </w:pPr>
      <w:r>
        <w:t>Automated synchronization</w:t>
      </w:r>
    </w:p>
    <w:p w14:paraId="6A3156EC" w14:textId="77777777" w:rsidR="00400CB6" w:rsidRDefault="00400CB6" w:rsidP="00400CB6">
      <w:pPr>
        <w:rPr>
          <w:b/>
        </w:rPr>
      </w:pPr>
      <w:r w:rsidRPr="00A2611C">
        <w:rPr>
          <w:b/>
        </w:rPr>
        <w:t>Manual Account Provisioning</w:t>
      </w:r>
    </w:p>
    <w:p w14:paraId="01E07EB8" w14:textId="77777777" w:rsidR="00400CB6" w:rsidRDefault="00400CB6" w:rsidP="00400CB6">
      <w:r>
        <w:t>Most SaaS providers provide a web interface that can be used for creating user accounts and assigning them roles, subscriptions, and attributes. This can be a time-consuming process, but smaller customer organizations might not be averse to using this approach.</w:t>
      </w:r>
    </w:p>
    <w:p w14:paraId="1C6A0A4D" w14:textId="77777777" w:rsidR="00400CB6" w:rsidRPr="00A2611C" w:rsidRDefault="00400CB6" w:rsidP="00400CB6">
      <w:r>
        <w:t>One drawback with the manual method is that many organizations don’t off-board employees or contractors from all of their applications as employees leave the organization. There’s a lot of room for mistakes when manually managing accounts in the SaaS provider, because it’s not likely that administrators will remember to delete the accounts for former contractors and employees in the SaaS applications. This not only costs more money in terms of subscription fees, but it is also a big security problem.</w:t>
      </w:r>
    </w:p>
    <w:p w14:paraId="2B19DAF5" w14:textId="77777777" w:rsidR="00400CB6" w:rsidRDefault="00400CB6" w:rsidP="00400CB6">
      <w:r w:rsidRPr="00A2611C">
        <w:rPr>
          <w:b/>
        </w:rPr>
        <w:t>Account Synchronization</w:t>
      </w:r>
    </w:p>
    <w:p w14:paraId="19F1AF37" w14:textId="77777777" w:rsidR="00400CB6" w:rsidRDefault="00400CB6" w:rsidP="00400CB6">
      <w:r>
        <w:t>With account synchronization, there is an automated process that copies the identities on-premises into the SaaS provider’s system. Sometimes, SaaS providers give their customers their own synchronization tool (such as that provided by Azure AD). Other times, SaaS providers simply provide an API for their customers, and ask that they use their own synchronization tool (such as Microsoft Identity Manager) to interface with the API.</w:t>
      </w:r>
    </w:p>
    <w:p w14:paraId="67DB8C06" w14:textId="77777777" w:rsidR="00400CB6" w:rsidRDefault="00400CB6" w:rsidP="00400CB6">
      <w:r>
        <w:t>When a customer uses Azure AD to integrate with SaaS providers, this process can be greatly simplified. Because Azure AD already has a copy of all the user accounts for a customer, it can synchronize those accounts into the SaaS app on behalf of the customer. In this way, Azure AD becomes not only the hub of identity federation, but also the hub of application provisioning.</w:t>
      </w:r>
    </w:p>
    <w:p w14:paraId="6C97A11D" w14:textId="77777777" w:rsidR="00400CB6" w:rsidRDefault="00400CB6" w:rsidP="00400CB6"/>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400CB6" w14:paraId="1B713D3B" w14:textId="77777777" w:rsidTr="00400CB6">
        <w:trPr>
          <w:trHeight w:val="423"/>
        </w:trPr>
        <w:tc>
          <w:tcPr>
            <w:tcW w:w="666" w:type="dxa"/>
          </w:tcPr>
          <w:p w14:paraId="100CB4B3" w14:textId="77777777" w:rsidR="00400CB6" w:rsidRDefault="00400CB6" w:rsidP="00400CB6">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995136" behindDoc="0" locked="0" layoutInCell="1" allowOverlap="1" wp14:anchorId="4E7377AD" wp14:editId="3EC30DFA">
                      <wp:simplePos x="0" y="0"/>
                      <wp:positionH relativeFrom="column">
                        <wp:posOffset>66675</wp:posOffset>
                      </wp:positionH>
                      <wp:positionV relativeFrom="paragraph">
                        <wp:posOffset>90170</wp:posOffset>
                      </wp:positionV>
                      <wp:extent cx="209550" cy="180975"/>
                      <wp:effectExtent l="57150" t="19050" r="57150" b="104775"/>
                      <wp:wrapNone/>
                      <wp:docPr id="20" name="Isosceles Tri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7428411C" id="Isosceles Triangle 20" o:spid="_x0000_s1026" type="#_x0000_t5" style="position:absolute;margin-left:5.25pt;margin-top:7.1pt;width:16.5pt;height:14.2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2/hAIAAHEFAAAOAAAAZHJzL2Uyb0RvYy54bWysVFtP2zAUfp+0/2D5fSTpKJeIFFWgTkgV&#10;IGDi2XXs1prj49lu0+7X79i5wBgS0rQ8WHbOd+7fOReX+0aTnXBegalocZRTIgyHWpl1Rb8/Lb6c&#10;UeIDMzXTYERFD8LTy9nnTxetLcUENqBr4QgaMb5sbUU3IdgyyzzfiIb5I7DCoFCCa1jAp1tntWMt&#10;Wm90Nsnzk6wFV1sHXHiPf687IZ0l+1IKHu6k9CIQXVGMLaTTpXMVz2x2wcq1Y3ajeB8G+4coGqYM&#10;Oh1NXbPAyNapv0w1ijvwIMMRhyYDKRUXKQfMpsjfZPO4YVakXLA43o5l8v/PLL/d3Tui6opOsDyG&#10;NdijGw+eCy08eXKKmbUWBIVYqdb6EhUe7b2LuXq7BP7DoyD7QxIfvsfspWsiFjMl+1T2w1h2sQ+E&#10;489Jfj6doneOouIsPz+dRmcZKwdl63z4JqAh8VLR0EeVCs52Sx86+ABLsYFW9UJpnR5uvbrSjuwY&#10;smCBX57SQQ/+BZZy6MJOCYSDFlFZmwchsUIYaJE8Jm6K0R7jXJhw0oec0FFNou9R8evHij0+qorE&#10;21F58rHyqJE8gwmjcqMMuPcM6FD0IcsO33fRd3nHEqygPiA5HHRT4y1fKGzAkvlwzxyOCfYMRz/c&#10;4SE1tBWF/kbJBtyv9/5HPLIXpZS0OHYV9T+3zAlK9I1BXp8Xx8dxTtPjeHoaWeleS1avJWbbXAH2&#10;tMAlY3m6RnzQw1U6aJ5xQ8yjVxQxw9F3RXlww+MqdOsAdwwX83mC4WxaFpbm0fKh65FcT/tn5uzA&#10;QqTvLQwjyso3ROywsR8G5tsAUiWWvtS1rzfOdeJ6v4Pi4nj9TqiXTTn7DQAA//8DAFBLAwQUAAYA&#10;CAAAACEANTxCMNkAAAAHAQAADwAAAGRycy9kb3ducmV2LnhtbEyOzU7DMBCE70i8g7VIXFDrkIa2&#10;CnEqhJIjqig8gBNvfoS9jmK3DW/PcoLTaDSjma84LM6KC85h9KTgcZ2AQGq9GalX8PlRr/YgQtRk&#10;tPWECr4xwKG8vSl0bvyV3vFyir3gEQq5VjDEOOVShnZAp8PaT0icdX52OrKde2lmfeVxZ2WaJFvp&#10;9Ej8MOgJXwdsv05np8A3y7Hb1Lv9Q+0m+9ZVVeaOlVL3d8vLM4iIS/wrwy8+o0PJTI0/kwnCsk+e&#10;uMmapSA4zzbsG9Z0B7Is5H/+8gcAAP//AwBQSwECLQAUAAYACAAAACEAtoM4kv4AAADhAQAAEwAA&#10;AAAAAAAAAAAAAAAAAAAAW0NvbnRlbnRfVHlwZXNdLnhtbFBLAQItABQABgAIAAAAIQA4/SH/1gAA&#10;AJQBAAALAAAAAAAAAAAAAAAAAC8BAABfcmVscy8ucmVsc1BLAQItABQABgAIAAAAIQCvO+2/hAIA&#10;AHEFAAAOAAAAAAAAAAAAAAAAAC4CAABkcnMvZTJvRG9jLnhtbFBLAQItABQABgAIAAAAIQA1PEIw&#10;2QAAAAcBAAAPAAAAAAAAAAAAAAAAAN4EAABkcnMvZG93bnJldi54bWxQSwUGAAAAAAQABADzAAAA&#10;5AUAAAAA&#10;" fillcolor="yellow" strokecolor="#70ad47 [3209]" strokeweight=".5pt">
                      <v:path arrowok="t"/>
                    </v:shape>
                  </w:pict>
                </mc:Fallback>
              </mc:AlternateContent>
            </w:r>
          </w:p>
        </w:tc>
        <w:tc>
          <w:tcPr>
            <w:tcW w:w="8604" w:type="dxa"/>
          </w:tcPr>
          <w:p w14:paraId="527CDE84" w14:textId="77777777" w:rsidR="00400CB6" w:rsidRDefault="00400CB6" w:rsidP="00400CB6">
            <w:pPr>
              <w:rPr>
                <w:lang w:eastAsia="en-US"/>
              </w:rPr>
            </w:pPr>
            <w:r>
              <w:rPr>
                <w:rFonts w:eastAsiaTheme="minorHAnsi"/>
                <w:b/>
                <w:lang w:eastAsia="en-US"/>
              </w:rPr>
              <w:t xml:space="preserve">Recommended: </w:t>
            </w:r>
            <w:r>
              <w:t>The provisioning capability is only present for a small subset of the SaaS applications that integrate with Azure AD. When discussing this with customers, it’s prudent to check the Azure AD Application Gallery to determine if the application supports provisioning from Azure AD.</w:t>
            </w:r>
          </w:p>
        </w:tc>
      </w:tr>
    </w:tbl>
    <w:p w14:paraId="2309838D" w14:textId="6246BAA7" w:rsidR="00E41108" w:rsidRPr="00A2611C" w:rsidRDefault="00400CB6" w:rsidP="00400CB6">
      <w:r>
        <w:t>If account provisioning through Azure AD isn’t available for a SaaS application that a customer wants to integrate with, the customer needs to provision those accounts in an out-of-band process on their own</w:t>
      </w:r>
      <w:r w:rsidR="00C44212">
        <w:t>.</w:t>
      </w:r>
    </w:p>
    <w:p w14:paraId="53CE0BD0" w14:textId="041ADAAD" w:rsidR="00F067BF" w:rsidRDefault="00F067BF" w:rsidP="00676C44"/>
    <w:p w14:paraId="25E70059" w14:textId="77777777" w:rsidR="00E07AF7" w:rsidRPr="0001406B" w:rsidRDefault="00E07AF7" w:rsidP="005729D2">
      <w:pPr>
        <w:pStyle w:val="Heading2Numbered"/>
        <w:numPr>
          <w:ilvl w:val="1"/>
          <w:numId w:val="64"/>
        </w:numPr>
      </w:pPr>
      <w:bookmarkStart w:id="6306" w:name="_Toc431288934"/>
      <w:r w:rsidRPr="0001406B">
        <w:t>Azure Hybrid Identity for CSPs</w:t>
      </w:r>
      <w:bookmarkEnd w:id="6306"/>
    </w:p>
    <w:p w14:paraId="2A0517AC" w14:textId="60E14E99" w:rsidR="00E07AF7" w:rsidRDefault="00E07AF7" w:rsidP="00E07AF7">
      <w:r>
        <w:t>Azure AD plays a critical role for CSPs, providing the identity control plane for access to Azure management portals and APIs. This allows authorized CSP agents to provision, manage, and support tenant Azure subscriptions.</w:t>
      </w:r>
    </w:p>
    <w:p w14:paraId="2069E3F3" w14:textId="77777777" w:rsidR="00E07AF7" w:rsidRDefault="00E07AF7" w:rsidP="00E07AF7"/>
    <w:p w14:paraId="195A992D" w14:textId="5CFBD353" w:rsidR="00E07AF7" w:rsidRPr="000C2031" w:rsidRDefault="00E07AF7" w:rsidP="005729D2">
      <w:pPr>
        <w:pStyle w:val="Heading3Numbered"/>
        <w:numPr>
          <w:ilvl w:val="2"/>
          <w:numId w:val="64"/>
        </w:numPr>
      </w:pPr>
      <w:bookmarkStart w:id="6307" w:name="_Toc431288935"/>
      <w:r>
        <w:t>Provider Azure Active Directory</w:t>
      </w:r>
      <w:r w:rsidR="001656EC">
        <w:t xml:space="preserve"> Tenant</w:t>
      </w:r>
      <w:bookmarkEnd w:id="6307"/>
    </w:p>
    <w:p w14:paraId="43B31A28" w14:textId="6FB066F6" w:rsidR="00E07AF7" w:rsidRDefault="00E07AF7" w:rsidP="00E07AF7">
      <w:r>
        <w:t xml:space="preserve">Each CSP has a provider-specific Azure AD tenant </w:t>
      </w:r>
      <w:r w:rsidR="001656EC">
        <w:t>(</w:t>
      </w:r>
      <w:r>
        <w:t>Provider Tenant</w:t>
      </w:r>
      <w:r w:rsidR="001656EC">
        <w:t>)</w:t>
      </w:r>
      <w:r>
        <w:t xml:space="preserve"> created </w:t>
      </w:r>
      <w:r w:rsidR="001656EC">
        <w:t xml:space="preserve">automatically </w:t>
      </w:r>
      <w:r>
        <w:t>upon registration in the Microsoft Partner Center Portal. The Provider Tenant uses the standard Azure AD domain naming convention of &lt;tenantname&gt;.onmicrosoft.com as the default domain name</w:t>
      </w:r>
      <w:r w:rsidR="001656EC">
        <w:t>.  A</w:t>
      </w:r>
      <w:r>
        <w:t>dditional custom domains may be added to the tenant to improve user sign-on experiences. The Provider Tenant can be managed through the Partner Center Portal as shown below or through standard Azure AD administration interfaces.</w:t>
      </w:r>
    </w:p>
    <w:p w14:paraId="48FF3CF5" w14:textId="77777777" w:rsidR="00E07AF7" w:rsidRDefault="00E07AF7" w:rsidP="00E07AF7"/>
    <w:p w14:paraId="02D26756" w14:textId="77777777" w:rsidR="00E07AF7" w:rsidRDefault="00E07AF7" w:rsidP="00E07AF7">
      <w:r w:rsidRPr="001559C5">
        <w:rPr>
          <w:noProof/>
        </w:rPr>
        <w:drawing>
          <wp:inline distT="0" distB="0" distL="0" distR="0" wp14:anchorId="3E9413DA" wp14:editId="20603531">
            <wp:extent cx="5943600" cy="3072130"/>
            <wp:effectExtent l="0" t="0" r="0" b="0"/>
            <wp:docPr id="171" name="Picture 1"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1" descr="image001"/>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5943600" cy="3072130"/>
                    </a:xfrm>
                    <a:prstGeom prst="rect">
                      <a:avLst/>
                    </a:prstGeom>
                    <a:noFill/>
                    <a:ln>
                      <a:noFill/>
                    </a:ln>
                    <a:extLst/>
                  </pic:spPr>
                </pic:pic>
              </a:graphicData>
            </a:graphic>
          </wp:inline>
        </w:drawing>
      </w:r>
    </w:p>
    <w:p w14:paraId="5CD30A09" w14:textId="44DEFE10" w:rsidR="00E07AF7" w:rsidRDefault="00E07AF7" w:rsidP="00E07AF7">
      <w:r>
        <w:t>The Provider Tenant store</w:t>
      </w:r>
      <w:r w:rsidR="001656EC">
        <w:t>s</w:t>
      </w:r>
      <w:r>
        <w:t xml:space="preserve"> user identities for CSP staff and is not intended to store customer user identities. CSP users authenticate against the Provider Tenant to perform administrative functions through management tools and APIs.</w:t>
      </w:r>
    </w:p>
    <w:p w14:paraId="2734D32A" w14:textId="2AC7518C" w:rsidR="00E07AF7" w:rsidRPr="00002839" w:rsidRDefault="00E07AF7" w:rsidP="00E07AF7">
      <w:pPr>
        <w:rPr>
          <w:b/>
        </w:rPr>
      </w:pPr>
      <w:r w:rsidRPr="00002839">
        <w:rPr>
          <w:b/>
        </w:rPr>
        <w:t>Provider Directory Integration</w:t>
      </w:r>
    </w:p>
    <w:p w14:paraId="3095BF36" w14:textId="41638E68" w:rsidR="00E07AF7" w:rsidRDefault="00E07AF7" w:rsidP="00E07AF7">
      <w:r w:rsidRPr="00261449">
        <w:t xml:space="preserve">The Provider Tenant </w:t>
      </w:r>
      <w:r w:rsidR="001656EC">
        <w:t>can</w:t>
      </w:r>
      <w:r w:rsidRPr="00261449">
        <w:t xml:space="preserve"> be integrated with a provider’s on-premises Active Directory to enable single sign-on or simplified sign-on, self-service password reset with on-premises write-back, and other Azure hybrid identity capabilities for provider users. Directory integration for the Provider Tenant may include a combination of directory synchronization, identity federation, and password synchronization</w:t>
      </w:r>
      <w:r w:rsidR="001656EC">
        <w:t xml:space="preserve">.  This is </w:t>
      </w:r>
      <w:r w:rsidRPr="00261449">
        <w:t>achieved using Azure AD Connect</w:t>
      </w:r>
      <w:r>
        <w:t xml:space="preserve"> between the provider’s on-premises Active Directory and the Provider Tenant</w:t>
      </w:r>
      <w:r w:rsidRPr="00261449">
        <w:t>.</w:t>
      </w:r>
    </w:p>
    <w:p w14:paraId="7BD542FF" w14:textId="77777777" w:rsidR="00E07AF7" w:rsidRPr="00002839" w:rsidRDefault="00E07AF7" w:rsidP="00E07AF7">
      <w:pPr>
        <w:rPr>
          <w:b/>
        </w:rPr>
      </w:pPr>
      <w:r w:rsidRPr="00002839">
        <w:rPr>
          <w:b/>
        </w:rPr>
        <w:t>Additional Considerations</w:t>
      </w:r>
    </w:p>
    <w:p w14:paraId="3F781C4F" w14:textId="71EBC279" w:rsidR="00E07AF7" w:rsidRDefault="00E07AF7" w:rsidP="00E07AF7">
      <w:r>
        <w:t xml:space="preserve">The Provider Tenant has the same capabilities as a standard Azure AD tenant. As such, the identity principles described throughout this document apply to the Provider Tenant. This includes integration of an on-premises CSP Active Directory with the Provider Tenant, multi-factor authentication, reporting, monitoring, and more. </w:t>
      </w:r>
    </w:p>
    <w:p w14:paraId="7DE2DD49" w14:textId="77777777" w:rsidR="00E07AF7" w:rsidRDefault="00E07AF7" w:rsidP="00E07AF7"/>
    <w:p w14:paraId="03502A84" w14:textId="77777777" w:rsidR="00E07AF7" w:rsidRPr="000C2031" w:rsidRDefault="00E07AF7" w:rsidP="005729D2">
      <w:pPr>
        <w:pStyle w:val="Heading3Numbered"/>
        <w:numPr>
          <w:ilvl w:val="2"/>
          <w:numId w:val="64"/>
        </w:numPr>
      </w:pPr>
      <w:bookmarkStart w:id="6308" w:name="_Toc431288936"/>
      <w:r>
        <w:t>Provider Agent and Admin Roles</w:t>
      </w:r>
      <w:bookmarkEnd w:id="6308"/>
    </w:p>
    <w:p w14:paraId="357BBA22" w14:textId="6AE999E1" w:rsidR="00E07AF7" w:rsidRDefault="00E07AF7" w:rsidP="00E07AF7">
      <w:r>
        <w:t>A role-based security model permits degrees of access and control over CSP customers and over the Provider Tenant itself. A CSP user’s role can fall into one of the following general categories:</w:t>
      </w:r>
    </w:p>
    <w:p w14:paraId="66A07C53" w14:textId="77777777" w:rsidR="00E07AF7" w:rsidRDefault="00E07AF7" w:rsidP="005729D2">
      <w:pPr>
        <w:pStyle w:val="ListBullet"/>
        <w:numPr>
          <w:ilvl w:val="0"/>
          <w:numId w:val="169"/>
        </w:numPr>
      </w:pPr>
      <w:r>
        <w:t>Agent (supporting customers)</w:t>
      </w:r>
    </w:p>
    <w:p w14:paraId="35CE620E" w14:textId="77777777" w:rsidR="00E07AF7" w:rsidRDefault="00E07AF7" w:rsidP="005729D2">
      <w:pPr>
        <w:pStyle w:val="ListBullet"/>
        <w:numPr>
          <w:ilvl w:val="0"/>
          <w:numId w:val="169"/>
        </w:numPr>
      </w:pPr>
      <w:r>
        <w:t>Admin (supporting the provider)</w:t>
      </w:r>
    </w:p>
    <w:p w14:paraId="49948E20" w14:textId="77777777" w:rsidR="00E07AF7" w:rsidRDefault="00E07AF7" w:rsidP="00E07AF7">
      <w:r>
        <w:t>A CSP user can also be both an agent and an admin, but this role assignment is not recommended for security reasons.</w:t>
      </w:r>
    </w:p>
    <w:p w14:paraId="71BBCA34" w14:textId="77777777" w:rsidR="00E07AF7" w:rsidRPr="00E85E8A" w:rsidRDefault="00E07AF7" w:rsidP="00E07AF7">
      <w:pPr>
        <w:rPr>
          <w:b/>
        </w:rPr>
      </w:pPr>
      <w:r w:rsidRPr="00E85E8A">
        <w:rPr>
          <w:b/>
        </w:rPr>
        <w:t>Provider Agent Roles</w:t>
      </w:r>
    </w:p>
    <w:p w14:paraId="4C492779" w14:textId="77777777" w:rsidR="00E07AF7" w:rsidRDefault="00E07AF7" w:rsidP="00E07AF7">
      <w:r>
        <w:t>Agent roles are intended for CSP staff who need to perform management functions over a customer’s Azure subscription. Management functions include technical capabilities such as delegated administration as well as non-technical capabilities such as billing and subscription management.</w:t>
      </w:r>
    </w:p>
    <w:tbl>
      <w:tblPr>
        <w:tblStyle w:val="TableGrid"/>
        <w:tblW w:w="0" w:type="auto"/>
        <w:tblLook w:val="04A0" w:firstRow="1" w:lastRow="0" w:firstColumn="1" w:lastColumn="0" w:noHBand="0" w:noVBand="1"/>
      </w:tblPr>
      <w:tblGrid>
        <w:gridCol w:w="3104"/>
        <w:gridCol w:w="3128"/>
        <w:gridCol w:w="3128"/>
      </w:tblGrid>
      <w:tr w:rsidR="00E07AF7" w14:paraId="4292BA3E" w14:textId="77777777" w:rsidTr="001656EC">
        <w:trPr>
          <w:cnfStyle w:val="100000000000" w:firstRow="1" w:lastRow="0" w:firstColumn="0" w:lastColumn="0" w:oddVBand="0" w:evenVBand="0" w:oddHBand="0" w:evenHBand="0" w:firstRowFirstColumn="0" w:firstRowLastColumn="0" w:lastRowFirstColumn="0" w:lastRowLastColumn="0"/>
        </w:trPr>
        <w:tc>
          <w:tcPr>
            <w:tcW w:w="3104" w:type="dxa"/>
          </w:tcPr>
          <w:p w14:paraId="0FDAA6EC" w14:textId="77777777" w:rsidR="00E07AF7" w:rsidRPr="00723A25" w:rsidRDefault="00E07AF7" w:rsidP="00BE2D2A">
            <w:pPr>
              <w:rPr>
                <w:b/>
              </w:rPr>
            </w:pPr>
            <w:r w:rsidRPr="00723A25">
              <w:rPr>
                <w:b/>
              </w:rPr>
              <w:t>Role in Partner Center</w:t>
            </w:r>
          </w:p>
        </w:tc>
        <w:tc>
          <w:tcPr>
            <w:tcW w:w="3128" w:type="dxa"/>
          </w:tcPr>
          <w:p w14:paraId="52425DDC" w14:textId="77777777" w:rsidR="00E07AF7" w:rsidRPr="00723A25" w:rsidRDefault="00E07AF7" w:rsidP="00BE2D2A">
            <w:pPr>
              <w:rPr>
                <w:b/>
              </w:rPr>
            </w:pPr>
            <w:r w:rsidRPr="00723A25">
              <w:rPr>
                <w:b/>
              </w:rPr>
              <w:t>What they can do</w:t>
            </w:r>
          </w:p>
        </w:tc>
        <w:tc>
          <w:tcPr>
            <w:tcW w:w="3128" w:type="dxa"/>
          </w:tcPr>
          <w:p w14:paraId="5717AE9E" w14:textId="77777777" w:rsidR="00E07AF7" w:rsidRPr="00723A25" w:rsidRDefault="00E07AF7" w:rsidP="00BE2D2A">
            <w:pPr>
              <w:rPr>
                <w:b/>
              </w:rPr>
            </w:pPr>
            <w:r w:rsidRPr="00723A25">
              <w:rPr>
                <w:b/>
              </w:rPr>
              <w:t>What they can’t do</w:t>
            </w:r>
          </w:p>
        </w:tc>
      </w:tr>
      <w:tr w:rsidR="00E07AF7" w14:paraId="095AB360" w14:textId="77777777" w:rsidTr="001656EC">
        <w:tc>
          <w:tcPr>
            <w:tcW w:w="3104" w:type="dxa"/>
          </w:tcPr>
          <w:p w14:paraId="11FFA402" w14:textId="77777777" w:rsidR="00E07AF7" w:rsidRPr="00723A25" w:rsidRDefault="00E07AF7" w:rsidP="00BE2D2A">
            <w:pPr>
              <w:rPr>
                <w:b/>
              </w:rPr>
            </w:pPr>
            <w:r w:rsidRPr="00723A25">
              <w:rPr>
                <w:b/>
              </w:rPr>
              <w:t>Admin agent</w:t>
            </w:r>
          </w:p>
        </w:tc>
        <w:tc>
          <w:tcPr>
            <w:tcW w:w="3128" w:type="dxa"/>
          </w:tcPr>
          <w:p w14:paraId="17439F25" w14:textId="77777777" w:rsidR="00E07AF7" w:rsidRPr="00E85E8A" w:rsidRDefault="00E07AF7" w:rsidP="005729D2">
            <w:pPr>
              <w:pStyle w:val="ListParagraph"/>
              <w:numPr>
                <w:ilvl w:val="0"/>
                <w:numId w:val="247"/>
              </w:numPr>
            </w:pPr>
            <w:r w:rsidRPr="00E85E8A">
              <w:t xml:space="preserve">Customer management </w:t>
            </w:r>
          </w:p>
          <w:p w14:paraId="183D0DAF" w14:textId="77777777" w:rsidR="00E07AF7" w:rsidRPr="00E85E8A" w:rsidRDefault="00E07AF7" w:rsidP="005729D2">
            <w:pPr>
              <w:pStyle w:val="ListParagraph"/>
              <w:numPr>
                <w:ilvl w:val="0"/>
                <w:numId w:val="247"/>
              </w:numPr>
            </w:pPr>
            <w:r w:rsidRPr="00E85E8A">
              <w:t xml:space="preserve">Subscription management </w:t>
            </w:r>
          </w:p>
          <w:p w14:paraId="7942B1BC" w14:textId="77777777" w:rsidR="00E07AF7" w:rsidRPr="00E85E8A" w:rsidRDefault="00E07AF7" w:rsidP="005729D2">
            <w:pPr>
              <w:pStyle w:val="ListParagraph"/>
              <w:numPr>
                <w:ilvl w:val="0"/>
                <w:numId w:val="247"/>
              </w:numPr>
            </w:pPr>
            <w:r w:rsidRPr="00E85E8A">
              <w:t>Service health and service requests for customers</w:t>
            </w:r>
          </w:p>
          <w:p w14:paraId="0EA97E39" w14:textId="77777777" w:rsidR="00E07AF7" w:rsidRPr="00E85E8A" w:rsidRDefault="00E07AF7" w:rsidP="005729D2">
            <w:pPr>
              <w:pStyle w:val="ListParagraph"/>
              <w:numPr>
                <w:ilvl w:val="0"/>
                <w:numId w:val="247"/>
              </w:numPr>
            </w:pPr>
            <w:r w:rsidRPr="00E85E8A">
              <w:t>Request delegated admin privileges</w:t>
            </w:r>
          </w:p>
          <w:p w14:paraId="175C0D2D" w14:textId="77777777" w:rsidR="00E07AF7" w:rsidRPr="00E85E8A" w:rsidRDefault="00E07AF7" w:rsidP="005729D2">
            <w:pPr>
              <w:pStyle w:val="ListParagraph"/>
              <w:numPr>
                <w:ilvl w:val="0"/>
                <w:numId w:val="247"/>
              </w:numPr>
            </w:pPr>
            <w:r w:rsidRPr="00E85E8A">
              <w:t xml:space="preserve">View pricing and offers </w:t>
            </w:r>
          </w:p>
          <w:p w14:paraId="4172413A" w14:textId="77777777" w:rsidR="00E07AF7" w:rsidRPr="00E85E8A" w:rsidRDefault="00E07AF7" w:rsidP="005729D2">
            <w:pPr>
              <w:pStyle w:val="ListParagraph"/>
              <w:numPr>
                <w:ilvl w:val="0"/>
                <w:numId w:val="247"/>
              </w:numPr>
            </w:pPr>
            <w:r w:rsidRPr="00E85E8A">
              <w:t xml:space="preserve">Billing </w:t>
            </w:r>
          </w:p>
          <w:p w14:paraId="573D2BA8" w14:textId="77777777" w:rsidR="00E07AF7" w:rsidRPr="00E85E8A" w:rsidRDefault="00E07AF7" w:rsidP="005729D2">
            <w:pPr>
              <w:pStyle w:val="ListParagraph"/>
              <w:numPr>
                <w:ilvl w:val="0"/>
                <w:numId w:val="247"/>
              </w:numPr>
            </w:pPr>
            <w:r w:rsidRPr="00E85E8A">
              <w:t xml:space="preserve">Admin on behalf of </w:t>
            </w:r>
          </w:p>
          <w:p w14:paraId="60C0A0D9" w14:textId="77777777" w:rsidR="00E07AF7" w:rsidRPr="00E85E8A" w:rsidRDefault="00E07AF7" w:rsidP="005729D2">
            <w:pPr>
              <w:pStyle w:val="ListParagraph"/>
              <w:numPr>
                <w:ilvl w:val="0"/>
                <w:numId w:val="247"/>
              </w:numPr>
            </w:pPr>
            <w:r w:rsidRPr="00E85E8A">
              <w:t>Register a value added reseller</w:t>
            </w:r>
          </w:p>
        </w:tc>
        <w:tc>
          <w:tcPr>
            <w:tcW w:w="3128" w:type="dxa"/>
          </w:tcPr>
          <w:p w14:paraId="58E79659" w14:textId="77777777" w:rsidR="00E07AF7" w:rsidRPr="00E85E8A" w:rsidRDefault="00E07AF7" w:rsidP="005729D2">
            <w:pPr>
              <w:pStyle w:val="ListParagraph"/>
              <w:numPr>
                <w:ilvl w:val="0"/>
                <w:numId w:val="247"/>
              </w:numPr>
            </w:pPr>
            <w:r w:rsidRPr="00E85E8A">
              <w:t xml:space="preserve">User management </w:t>
            </w:r>
          </w:p>
          <w:p w14:paraId="477FB54A" w14:textId="77777777" w:rsidR="00E07AF7" w:rsidRDefault="00E07AF7" w:rsidP="005729D2">
            <w:pPr>
              <w:pStyle w:val="ListParagraph"/>
              <w:numPr>
                <w:ilvl w:val="0"/>
                <w:numId w:val="247"/>
              </w:numPr>
            </w:pPr>
            <w:r w:rsidRPr="00E85E8A">
              <w:t>Service requests for Partner Center</w:t>
            </w:r>
          </w:p>
        </w:tc>
      </w:tr>
      <w:tr w:rsidR="00E07AF7" w14:paraId="4ECE2EDC" w14:textId="77777777" w:rsidTr="001656EC">
        <w:tc>
          <w:tcPr>
            <w:tcW w:w="3104" w:type="dxa"/>
          </w:tcPr>
          <w:p w14:paraId="77A01508" w14:textId="77777777" w:rsidR="00E07AF7" w:rsidRPr="00723A25" w:rsidRDefault="00E07AF7" w:rsidP="00BE2D2A">
            <w:pPr>
              <w:rPr>
                <w:b/>
              </w:rPr>
            </w:pPr>
            <w:r w:rsidRPr="00723A25">
              <w:rPr>
                <w:b/>
              </w:rPr>
              <w:t>Sales agent</w:t>
            </w:r>
          </w:p>
        </w:tc>
        <w:tc>
          <w:tcPr>
            <w:tcW w:w="3128" w:type="dxa"/>
          </w:tcPr>
          <w:p w14:paraId="5353C5B9" w14:textId="77777777" w:rsidR="00E07AF7" w:rsidRPr="00723A25" w:rsidRDefault="00E07AF7" w:rsidP="005729D2">
            <w:pPr>
              <w:pStyle w:val="ListParagraph"/>
              <w:numPr>
                <w:ilvl w:val="0"/>
                <w:numId w:val="247"/>
              </w:numPr>
            </w:pPr>
            <w:r w:rsidRPr="00723A25">
              <w:t xml:space="preserve">Customer management </w:t>
            </w:r>
          </w:p>
          <w:p w14:paraId="4FD520C0" w14:textId="77777777" w:rsidR="00E07AF7" w:rsidRPr="00723A25" w:rsidRDefault="00E07AF7" w:rsidP="005729D2">
            <w:pPr>
              <w:pStyle w:val="ListParagraph"/>
              <w:numPr>
                <w:ilvl w:val="0"/>
                <w:numId w:val="247"/>
              </w:numPr>
            </w:pPr>
            <w:r w:rsidRPr="00723A25">
              <w:t xml:space="preserve">Subscription management </w:t>
            </w:r>
          </w:p>
          <w:p w14:paraId="3E5637B9" w14:textId="77777777" w:rsidR="00E07AF7" w:rsidRPr="00723A25" w:rsidRDefault="00E07AF7" w:rsidP="005729D2">
            <w:pPr>
              <w:pStyle w:val="ListParagraph"/>
              <w:numPr>
                <w:ilvl w:val="0"/>
                <w:numId w:val="247"/>
              </w:numPr>
            </w:pPr>
            <w:r w:rsidRPr="00723A25">
              <w:t xml:space="preserve">View support tickets </w:t>
            </w:r>
          </w:p>
          <w:p w14:paraId="0CA4831C" w14:textId="77777777" w:rsidR="00E07AF7" w:rsidRPr="00723A25" w:rsidRDefault="00E07AF7" w:rsidP="005729D2">
            <w:pPr>
              <w:pStyle w:val="ListParagraph"/>
              <w:numPr>
                <w:ilvl w:val="0"/>
                <w:numId w:val="247"/>
              </w:numPr>
            </w:pPr>
            <w:r w:rsidRPr="00723A25">
              <w:t xml:space="preserve">Request a relationship </w:t>
            </w:r>
          </w:p>
          <w:p w14:paraId="1E4686EA" w14:textId="77777777" w:rsidR="00E07AF7" w:rsidRPr="00723A25" w:rsidRDefault="00E07AF7" w:rsidP="005729D2">
            <w:pPr>
              <w:pStyle w:val="ListParagraph"/>
              <w:numPr>
                <w:ilvl w:val="0"/>
                <w:numId w:val="247"/>
              </w:numPr>
            </w:pPr>
            <w:r w:rsidRPr="00723A25">
              <w:t xml:space="preserve">Manage customer leads </w:t>
            </w:r>
          </w:p>
          <w:p w14:paraId="12B28C43" w14:textId="77777777" w:rsidR="00E07AF7" w:rsidRPr="00723A25" w:rsidRDefault="00E07AF7" w:rsidP="005729D2">
            <w:pPr>
              <w:pStyle w:val="ListParagraph"/>
              <w:numPr>
                <w:ilvl w:val="0"/>
                <w:numId w:val="247"/>
              </w:numPr>
            </w:pPr>
            <w:r w:rsidRPr="00723A25">
              <w:t>View the customer agreement</w:t>
            </w:r>
          </w:p>
          <w:p w14:paraId="66BBA43B" w14:textId="77777777" w:rsidR="00E07AF7" w:rsidRPr="00723A25" w:rsidRDefault="00E07AF7" w:rsidP="005729D2">
            <w:pPr>
              <w:pStyle w:val="ListParagraph"/>
              <w:numPr>
                <w:ilvl w:val="0"/>
                <w:numId w:val="247"/>
              </w:numPr>
            </w:pPr>
            <w:r w:rsidRPr="00723A25">
              <w:t>Register a value added reseller</w:t>
            </w:r>
          </w:p>
        </w:tc>
        <w:tc>
          <w:tcPr>
            <w:tcW w:w="3128" w:type="dxa"/>
          </w:tcPr>
          <w:p w14:paraId="4798469F" w14:textId="77777777" w:rsidR="00E07AF7" w:rsidRPr="00723A25" w:rsidRDefault="00E07AF7" w:rsidP="005729D2">
            <w:pPr>
              <w:pStyle w:val="ListParagraph"/>
              <w:numPr>
                <w:ilvl w:val="0"/>
                <w:numId w:val="247"/>
              </w:numPr>
            </w:pPr>
            <w:r w:rsidRPr="00723A25">
              <w:t xml:space="preserve">Create support tickets for services or Partner Center </w:t>
            </w:r>
          </w:p>
          <w:p w14:paraId="37DA1DC6" w14:textId="77777777" w:rsidR="00E07AF7" w:rsidRPr="00723A25" w:rsidRDefault="00E07AF7" w:rsidP="005729D2">
            <w:pPr>
              <w:pStyle w:val="ListParagraph"/>
              <w:numPr>
                <w:ilvl w:val="0"/>
                <w:numId w:val="247"/>
              </w:numPr>
            </w:pPr>
            <w:r w:rsidRPr="00723A25">
              <w:t xml:space="preserve">Resolve support tickets </w:t>
            </w:r>
          </w:p>
          <w:p w14:paraId="45B510DE" w14:textId="77777777" w:rsidR="00E07AF7" w:rsidRPr="00723A25" w:rsidRDefault="00E07AF7" w:rsidP="005729D2">
            <w:pPr>
              <w:pStyle w:val="ListParagraph"/>
              <w:numPr>
                <w:ilvl w:val="0"/>
                <w:numId w:val="247"/>
              </w:numPr>
            </w:pPr>
            <w:r w:rsidRPr="00723A25">
              <w:t xml:space="preserve">View service health </w:t>
            </w:r>
          </w:p>
          <w:p w14:paraId="4E54E99E" w14:textId="77777777" w:rsidR="00E07AF7" w:rsidRPr="00723A25" w:rsidRDefault="00E07AF7" w:rsidP="005729D2">
            <w:pPr>
              <w:pStyle w:val="ListParagraph"/>
              <w:numPr>
                <w:ilvl w:val="0"/>
                <w:numId w:val="247"/>
              </w:numPr>
            </w:pPr>
            <w:r w:rsidRPr="00723A25">
              <w:t xml:space="preserve">View pricing and offers </w:t>
            </w:r>
          </w:p>
          <w:p w14:paraId="2A932B7D" w14:textId="77777777" w:rsidR="00E07AF7" w:rsidRPr="00723A25" w:rsidRDefault="00E07AF7" w:rsidP="005729D2">
            <w:pPr>
              <w:pStyle w:val="ListParagraph"/>
              <w:numPr>
                <w:ilvl w:val="0"/>
                <w:numId w:val="247"/>
              </w:numPr>
            </w:pPr>
            <w:r w:rsidRPr="00723A25">
              <w:t xml:space="preserve">Billing </w:t>
            </w:r>
          </w:p>
          <w:p w14:paraId="6AF8331F" w14:textId="77777777" w:rsidR="00E07AF7" w:rsidRPr="00723A25" w:rsidRDefault="00E07AF7" w:rsidP="005729D2">
            <w:pPr>
              <w:pStyle w:val="ListParagraph"/>
              <w:numPr>
                <w:ilvl w:val="0"/>
                <w:numId w:val="247"/>
              </w:numPr>
            </w:pPr>
            <w:r w:rsidRPr="00723A25">
              <w:t xml:space="preserve">Admin on behalf of </w:t>
            </w:r>
          </w:p>
        </w:tc>
      </w:tr>
      <w:tr w:rsidR="00E07AF7" w14:paraId="1847DDA8" w14:textId="77777777" w:rsidTr="001656EC">
        <w:tc>
          <w:tcPr>
            <w:tcW w:w="3104" w:type="dxa"/>
          </w:tcPr>
          <w:p w14:paraId="56E89ED6" w14:textId="77777777" w:rsidR="00E07AF7" w:rsidRPr="00723A25" w:rsidRDefault="00E07AF7" w:rsidP="00BE2D2A">
            <w:pPr>
              <w:rPr>
                <w:b/>
              </w:rPr>
            </w:pPr>
            <w:r w:rsidRPr="00723A25">
              <w:rPr>
                <w:b/>
              </w:rPr>
              <w:t>Helpdesk agent</w:t>
            </w:r>
          </w:p>
        </w:tc>
        <w:tc>
          <w:tcPr>
            <w:tcW w:w="3128" w:type="dxa"/>
          </w:tcPr>
          <w:p w14:paraId="35226DAE" w14:textId="77777777" w:rsidR="00E07AF7" w:rsidRPr="00723A25" w:rsidRDefault="00E07AF7" w:rsidP="005729D2">
            <w:pPr>
              <w:pStyle w:val="ListParagraph"/>
              <w:numPr>
                <w:ilvl w:val="0"/>
                <w:numId w:val="247"/>
              </w:numPr>
            </w:pPr>
            <w:r w:rsidRPr="00723A25">
              <w:t xml:space="preserve">Search for and view a customer </w:t>
            </w:r>
          </w:p>
          <w:p w14:paraId="04D6824F" w14:textId="77777777" w:rsidR="00E07AF7" w:rsidRPr="00723A25" w:rsidRDefault="00E07AF7" w:rsidP="005729D2">
            <w:pPr>
              <w:pStyle w:val="ListParagraph"/>
              <w:numPr>
                <w:ilvl w:val="0"/>
                <w:numId w:val="247"/>
              </w:numPr>
            </w:pPr>
            <w:r w:rsidRPr="00723A25">
              <w:t xml:space="preserve">Edit customer details </w:t>
            </w:r>
          </w:p>
          <w:p w14:paraId="3451B8DD" w14:textId="77777777" w:rsidR="00E07AF7" w:rsidRPr="00723A25" w:rsidRDefault="00E07AF7" w:rsidP="005729D2">
            <w:pPr>
              <w:pStyle w:val="ListParagraph"/>
              <w:numPr>
                <w:ilvl w:val="0"/>
                <w:numId w:val="247"/>
              </w:numPr>
            </w:pPr>
            <w:r w:rsidRPr="00723A25">
              <w:t xml:space="preserve">Service health and service requests </w:t>
            </w:r>
          </w:p>
          <w:p w14:paraId="3E2DB78C" w14:textId="77777777" w:rsidR="00E07AF7" w:rsidRPr="00723A25" w:rsidRDefault="00E07AF7" w:rsidP="005729D2">
            <w:pPr>
              <w:pStyle w:val="ListParagraph"/>
              <w:numPr>
                <w:ilvl w:val="0"/>
                <w:numId w:val="247"/>
              </w:numPr>
            </w:pPr>
            <w:r w:rsidRPr="00723A25">
              <w:t>Admin on behalf of</w:t>
            </w:r>
          </w:p>
        </w:tc>
        <w:tc>
          <w:tcPr>
            <w:tcW w:w="3128" w:type="dxa"/>
          </w:tcPr>
          <w:p w14:paraId="7AE757B6" w14:textId="77777777" w:rsidR="00E07AF7" w:rsidRPr="00723A25" w:rsidRDefault="00E07AF7" w:rsidP="005729D2">
            <w:pPr>
              <w:pStyle w:val="ListParagraph"/>
              <w:numPr>
                <w:ilvl w:val="0"/>
                <w:numId w:val="247"/>
              </w:numPr>
            </w:pPr>
            <w:r w:rsidRPr="00723A25">
              <w:t xml:space="preserve">View partner profiles </w:t>
            </w:r>
          </w:p>
          <w:p w14:paraId="181CE9DD" w14:textId="77777777" w:rsidR="00E07AF7" w:rsidRPr="00723A25" w:rsidRDefault="00E07AF7" w:rsidP="005729D2">
            <w:pPr>
              <w:pStyle w:val="ListParagraph"/>
              <w:numPr>
                <w:ilvl w:val="0"/>
                <w:numId w:val="247"/>
              </w:numPr>
            </w:pPr>
            <w:r w:rsidRPr="00723A25">
              <w:t xml:space="preserve">Create a new customer listing </w:t>
            </w:r>
          </w:p>
          <w:p w14:paraId="284489CB" w14:textId="77777777" w:rsidR="00E07AF7" w:rsidRPr="00723A25" w:rsidRDefault="00E07AF7" w:rsidP="005729D2">
            <w:pPr>
              <w:pStyle w:val="ListParagraph"/>
              <w:numPr>
                <w:ilvl w:val="0"/>
                <w:numId w:val="247"/>
              </w:numPr>
            </w:pPr>
            <w:r w:rsidRPr="00723A25">
              <w:t xml:space="preserve">Edit customer billing info </w:t>
            </w:r>
          </w:p>
          <w:p w14:paraId="686707A9" w14:textId="77777777" w:rsidR="00E07AF7" w:rsidRPr="00723A25" w:rsidRDefault="00E07AF7" w:rsidP="005729D2">
            <w:pPr>
              <w:pStyle w:val="ListParagraph"/>
              <w:numPr>
                <w:ilvl w:val="0"/>
                <w:numId w:val="247"/>
              </w:numPr>
            </w:pPr>
            <w:r w:rsidRPr="00723A25">
              <w:t xml:space="preserve">Subscription management </w:t>
            </w:r>
          </w:p>
          <w:p w14:paraId="539DD335" w14:textId="77777777" w:rsidR="00E07AF7" w:rsidRPr="00723A25" w:rsidRDefault="00E07AF7" w:rsidP="005729D2">
            <w:pPr>
              <w:pStyle w:val="ListParagraph"/>
              <w:numPr>
                <w:ilvl w:val="0"/>
                <w:numId w:val="247"/>
              </w:numPr>
            </w:pPr>
            <w:r w:rsidRPr="00723A25">
              <w:t xml:space="preserve">Request a relationship </w:t>
            </w:r>
          </w:p>
          <w:p w14:paraId="68BC78E9" w14:textId="77777777" w:rsidR="00E07AF7" w:rsidRPr="00723A25" w:rsidRDefault="00E07AF7" w:rsidP="005729D2">
            <w:pPr>
              <w:pStyle w:val="ListParagraph"/>
              <w:numPr>
                <w:ilvl w:val="0"/>
                <w:numId w:val="247"/>
              </w:numPr>
            </w:pPr>
            <w:r w:rsidRPr="00723A25">
              <w:t xml:space="preserve">Manage customer leads </w:t>
            </w:r>
          </w:p>
          <w:p w14:paraId="217768A0" w14:textId="77777777" w:rsidR="00E07AF7" w:rsidRPr="00723A25" w:rsidRDefault="00E07AF7" w:rsidP="005729D2">
            <w:pPr>
              <w:pStyle w:val="ListParagraph"/>
              <w:numPr>
                <w:ilvl w:val="0"/>
                <w:numId w:val="247"/>
              </w:numPr>
            </w:pPr>
            <w:r w:rsidRPr="00723A25">
              <w:t xml:space="preserve">View pricing and offers </w:t>
            </w:r>
          </w:p>
          <w:p w14:paraId="7CF57DC4" w14:textId="77777777" w:rsidR="00E07AF7" w:rsidRPr="00723A25" w:rsidRDefault="00E07AF7" w:rsidP="005729D2">
            <w:pPr>
              <w:pStyle w:val="ListParagraph"/>
              <w:numPr>
                <w:ilvl w:val="0"/>
                <w:numId w:val="247"/>
              </w:numPr>
            </w:pPr>
            <w:r w:rsidRPr="00723A25">
              <w:t xml:space="preserve">View the customer agreement </w:t>
            </w:r>
          </w:p>
          <w:p w14:paraId="70E6B885" w14:textId="77777777" w:rsidR="00E07AF7" w:rsidRPr="00723A25" w:rsidRDefault="00E07AF7" w:rsidP="005729D2">
            <w:pPr>
              <w:pStyle w:val="ListParagraph"/>
              <w:numPr>
                <w:ilvl w:val="0"/>
                <w:numId w:val="247"/>
              </w:numPr>
            </w:pPr>
            <w:r w:rsidRPr="00723A25">
              <w:t xml:space="preserve">Billing </w:t>
            </w:r>
          </w:p>
          <w:p w14:paraId="5E41AAF2" w14:textId="77777777" w:rsidR="00E07AF7" w:rsidRPr="00723A25" w:rsidRDefault="00E07AF7" w:rsidP="005729D2">
            <w:pPr>
              <w:pStyle w:val="ListParagraph"/>
              <w:numPr>
                <w:ilvl w:val="0"/>
                <w:numId w:val="247"/>
              </w:numPr>
            </w:pPr>
            <w:r w:rsidRPr="00723A25">
              <w:t>Register a value added reseller</w:t>
            </w:r>
          </w:p>
        </w:tc>
      </w:tr>
    </w:tbl>
    <w:p w14:paraId="180F4469" w14:textId="77777777" w:rsidR="00E07AF7" w:rsidRDefault="00E07AF7" w:rsidP="00E07AF7"/>
    <w:p w14:paraId="1CC02379" w14:textId="77777777" w:rsidR="00E07AF7" w:rsidRDefault="00E07AF7" w:rsidP="00E07AF7"/>
    <w:p w14:paraId="121D9CB2" w14:textId="77777777" w:rsidR="00E07AF7" w:rsidRPr="00E85E8A" w:rsidRDefault="00E07AF7" w:rsidP="00E07AF7">
      <w:pPr>
        <w:rPr>
          <w:b/>
        </w:rPr>
      </w:pPr>
      <w:r w:rsidRPr="00E85E8A">
        <w:rPr>
          <w:b/>
        </w:rPr>
        <w:t>Provider Admin Roles</w:t>
      </w:r>
    </w:p>
    <w:p w14:paraId="151113EF" w14:textId="77777777" w:rsidR="00E07AF7" w:rsidRDefault="00E07AF7" w:rsidP="00E07AF7">
      <w:r>
        <w:t>Admin roles are intended for CSP staff who perform management functions over the CSP’s Provider Tenant. These roles mirror the standard Azure subscription administration roles.</w:t>
      </w:r>
    </w:p>
    <w:tbl>
      <w:tblPr>
        <w:tblStyle w:val="TableGrid"/>
        <w:tblW w:w="0" w:type="auto"/>
        <w:tblLook w:val="04A0" w:firstRow="1" w:lastRow="0" w:firstColumn="1" w:lastColumn="0" w:noHBand="0" w:noVBand="1"/>
      </w:tblPr>
      <w:tblGrid>
        <w:gridCol w:w="3191"/>
        <w:gridCol w:w="6169"/>
      </w:tblGrid>
      <w:tr w:rsidR="00E07AF7" w14:paraId="19AB2D65" w14:textId="77777777" w:rsidTr="00BE2D2A">
        <w:trPr>
          <w:cnfStyle w:val="100000000000" w:firstRow="1" w:lastRow="0" w:firstColumn="0" w:lastColumn="0" w:oddVBand="0" w:evenVBand="0" w:oddHBand="0" w:evenHBand="0" w:firstRowFirstColumn="0" w:firstRowLastColumn="0" w:lastRowFirstColumn="0" w:lastRowLastColumn="0"/>
        </w:trPr>
        <w:tc>
          <w:tcPr>
            <w:tcW w:w="3258" w:type="dxa"/>
          </w:tcPr>
          <w:p w14:paraId="4B36854D" w14:textId="77777777" w:rsidR="00E07AF7" w:rsidRPr="00496FD7" w:rsidRDefault="00E07AF7" w:rsidP="00BE2D2A">
            <w:pPr>
              <w:rPr>
                <w:b/>
              </w:rPr>
            </w:pPr>
            <w:r w:rsidRPr="00496FD7">
              <w:rPr>
                <w:b/>
              </w:rPr>
              <w:t>Role in Partner Center</w:t>
            </w:r>
          </w:p>
        </w:tc>
        <w:tc>
          <w:tcPr>
            <w:tcW w:w="6318" w:type="dxa"/>
          </w:tcPr>
          <w:p w14:paraId="05A4ADC6" w14:textId="77777777" w:rsidR="00E07AF7" w:rsidRPr="00496FD7" w:rsidRDefault="00E07AF7" w:rsidP="00BE2D2A">
            <w:pPr>
              <w:rPr>
                <w:b/>
              </w:rPr>
            </w:pPr>
            <w:r w:rsidRPr="00496FD7">
              <w:rPr>
                <w:b/>
              </w:rPr>
              <w:t>What they can do</w:t>
            </w:r>
          </w:p>
        </w:tc>
      </w:tr>
      <w:tr w:rsidR="00E07AF7" w14:paraId="0D639A3F" w14:textId="77777777" w:rsidTr="00BE2D2A">
        <w:tc>
          <w:tcPr>
            <w:tcW w:w="3258" w:type="dxa"/>
          </w:tcPr>
          <w:p w14:paraId="56F93277" w14:textId="77777777" w:rsidR="00E07AF7" w:rsidRPr="00496FD7" w:rsidRDefault="00E07AF7" w:rsidP="00BE2D2A">
            <w:pPr>
              <w:rPr>
                <w:b/>
              </w:rPr>
            </w:pPr>
            <w:r w:rsidRPr="00496FD7">
              <w:rPr>
                <w:b/>
              </w:rPr>
              <w:t>Global admin</w:t>
            </w:r>
          </w:p>
        </w:tc>
        <w:tc>
          <w:tcPr>
            <w:tcW w:w="6318" w:type="dxa"/>
          </w:tcPr>
          <w:p w14:paraId="3111D09B" w14:textId="77777777" w:rsidR="00E07AF7" w:rsidRPr="00496FD7" w:rsidRDefault="00E07AF7" w:rsidP="005729D2">
            <w:pPr>
              <w:pStyle w:val="ListParagraph"/>
              <w:numPr>
                <w:ilvl w:val="0"/>
                <w:numId w:val="247"/>
              </w:numPr>
            </w:pPr>
            <w:r w:rsidRPr="00496FD7">
              <w:t xml:space="preserve">Can access all Microsoft account/services with full privileges </w:t>
            </w:r>
          </w:p>
          <w:p w14:paraId="137C87D4" w14:textId="77777777" w:rsidR="00E07AF7" w:rsidRPr="00496FD7" w:rsidRDefault="00E07AF7" w:rsidP="005729D2">
            <w:pPr>
              <w:pStyle w:val="ListParagraph"/>
              <w:numPr>
                <w:ilvl w:val="0"/>
                <w:numId w:val="247"/>
              </w:numPr>
            </w:pPr>
            <w:r w:rsidRPr="00496FD7">
              <w:t xml:space="preserve">Create support tickets for Partner Center </w:t>
            </w:r>
          </w:p>
          <w:p w14:paraId="2B73885D" w14:textId="77777777" w:rsidR="00E07AF7" w:rsidRPr="00496FD7" w:rsidRDefault="00E07AF7" w:rsidP="005729D2">
            <w:pPr>
              <w:pStyle w:val="ListParagraph"/>
              <w:numPr>
                <w:ilvl w:val="0"/>
                <w:numId w:val="247"/>
              </w:numPr>
            </w:pPr>
            <w:r w:rsidRPr="00496FD7">
              <w:t xml:space="preserve">View agreements, price lists, and offers </w:t>
            </w:r>
          </w:p>
          <w:p w14:paraId="0A43220B" w14:textId="77777777" w:rsidR="00E07AF7" w:rsidRPr="00496FD7" w:rsidRDefault="00E07AF7" w:rsidP="005729D2">
            <w:pPr>
              <w:pStyle w:val="ListParagraph"/>
              <w:numPr>
                <w:ilvl w:val="0"/>
                <w:numId w:val="247"/>
              </w:numPr>
            </w:pPr>
            <w:r w:rsidRPr="00496FD7">
              <w:t xml:space="preserve">Billing </w:t>
            </w:r>
          </w:p>
          <w:p w14:paraId="4C7DB3B2" w14:textId="77777777" w:rsidR="00E07AF7" w:rsidRDefault="00E07AF7" w:rsidP="005729D2">
            <w:pPr>
              <w:pStyle w:val="ListParagraph"/>
              <w:numPr>
                <w:ilvl w:val="0"/>
                <w:numId w:val="247"/>
              </w:numPr>
            </w:pPr>
            <w:r w:rsidRPr="00496FD7">
              <w:t>View, create, and manage partner users</w:t>
            </w:r>
          </w:p>
        </w:tc>
      </w:tr>
      <w:tr w:rsidR="00E07AF7" w14:paraId="61071F86" w14:textId="77777777" w:rsidTr="00BE2D2A">
        <w:tc>
          <w:tcPr>
            <w:tcW w:w="3258" w:type="dxa"/>
          </w:tcPr>
          <w:p w14:paraId="4121098D" w14:textId="77777777" w:rsidR="00E07AF7" w:rsidRPr="00496FD7" w:rsidRDefault="00E07AF7" w:rsidP="00BE2D2A">
            <w:pPr>
              <w:rPr>
                <w:b/>
              </w:rPr>
            </w:pPr>
            <w:r w:rsidRPr="00496FD7">
              <w:rPr>
                <w:b/>
              </w:rPr>
              <w:t>Billing admin</w:t>
            </w:r>
          </w:p>
        </w:tc>
        <w:tc>
          <w:tcPr>
            <w:tcW w:w="6318" w:type="dxa"/>
          </w:tcPr>
          <w:p w14:paraId="2B783593" w14:textId="77777777" w:rsidR="00E07AF7" w:rsidRPr="00496FD7" w:rsidRDefault="00E07AF7" w:rsidP="005729D2">
            <w:pPr>
              <w:pStyle w:val="ListParagraph"/>
              <w:numPr>
                <w:ilvl w:val="0"/>
                <w:numId w:val="247"/>
              </w:numPr>
            </w:pPr>
            <w:r w:rsidRPr="00496FD7">
              <w:t xml:space="preserve">Can access all bills from Microsoft with full privileges </w:t>
            </w:r>
          </w:p>
          <w:p w14:paraId="3DAC0997" w14:textId="77777777" w:rsidR="00E07AF7" w:rsidRPr="00496FD7" w:rsidRDefault="00E07AF7" w:rsidP="005729D2">
            <w:pPr>
              <w:pStyle w:val="ListParagraph"/>
              <w:numPr>
                <w:ilvl w:val="0"/>
                <w:numId w:val="247"/>
              </w:numPr>
            </w:pPr>
            <w:r w:rsidRPr="00496FD7">
              <w:t xml:space="preserve">View agreements, price lists, and offers </w:t>
            </w:r>
          </w:p>
          <w:p w14:paraId="0BF8C0BF" w14:textId="77777777" w:rsidR="00E07AF7" w:rsidRPr="00496FD7" w:rsidRDefault="00E07AF7" w:rsidP="005729D2">
            <w:pPr>
              <w:pStyle w:val="ListParagraph"/>
              <w:numPr>
                <w:ilvl w:val="0"/>
                <w:numId w:val="247"/>
              </w:numPr>
            </w:pPr>
            <w:r w:rsidRPr="00496FD7">
              <w:t xml:space="preserve">Billing </w:t>
            </w:r>
          </w:p>
        </w:tc>
      </w:tr>
      <w:tr w:rsidR="00E07AF7" w14:paraId="11FFCD90" w14:textId="77777777" w:rsidTr="00BE2D2A">
        <w:tc>
          <w:tcPr>
            <w:tcW w:w="3258" w:type="dxa"/>
          </w:tcPr>
          <w:p w14:paraId="69514419" w14:textId="77777777" w:rsidR="00E07AF7" w:rsidRPr="00496FD7" w:rsidRDefault="00E07AF7" w:rsidP="00BE2D2A">
            <w:pPr>
              <w:rPr>
                <w:b/>
              </w:rPr>
            </w:pPr>
            <w:r w:rsidRPr="00496FD7">
              <w:rPr>
                <w:b/>
              </w:rPr>
              <w:t>User management admin</w:t>
            </w:r>
          </w:p>
        </w:tc>
        <w:tc>
          <w:tcPr>
            <w:tcW w:w="6318" w:type="dxa"/>
          </w:tcPr>
          <w:p w14:paraId="6DAE6CEA" w14:textId="77777777" w:rsidR="00E07AF7" w:rsidRPr="00496FD7" w:rsidRDefault="00E07AF7" w:rsidP="005729D2">
            <w:pPr>
              <w:pStyle w:val="ListParagraph"/>
              <w:numPr>
                <w:ilvl w:val="0"/>
                <w:numId w:val="247"/>
              </w:numPr>
            </w:pPr>
            <w:r w:rsidRPr="00496FD7">
              <w:t xml:space="preserve">View, create, and manage users </w:t>
            </w:r>
          </w:p>
          <w:p w14:paraId="5795342F" w14:textId="77777777" w:rsidR="00E07AF7" w:rsidRPr="00496FD7" w:rsidRDefault="00E07AF7" w:rsidP="005729D2">
            <w:pPr>
              <w:pStyle w:val="ListParagraph"/>
              <w:numPr>
                <w:ilvl w:val="0"/>
                <w:numId w:val="247"/>
              </w:numPr>
            </w:pPr>
            <w:r w:rsidRPr="00496FD7">
              <w:t xml:space="preserve">View all partner profiles </w:t>
            </w:r>
          </w:p>
        </w:tc>
      </w:tr>
    </w:tbl>
    <w:p w14:paraId="1D7DC2AA" w14:textId="77777777" w:rsidR="00E07AF7" w:rsidRDefault="00E07AF7" w:rsidP="00E07AF7"/>
    <w:p w14:paraId="7CA1B3D1" w14:textId="1041BDBA" w:rsidR="00E07AF7" w:rsidRPr="00320A8B" w:rsidRDefault="00E07AF7" w:rsidP="00E07AF7">
      <w:pPr>
        <w:rPr>
          <w:b/>
        </w:rPr>
      </w:pPr>
      <w:r w:rsidRPr="00320A8B">
        <w:rPr>
          <w:b/>
        </w:rPr>
        <w:t>Customer Azure Active Directory</w:t>
      </w:r>
    </w:p>
    <w:p w14:paraId="627C64BD" w14:textId="2295F8B5" w:rsidR="00E07AF7" w:rsidRDefault="00E07AF7" w:rsidP="00E07AF7">
      <w:r>
        <w:t xml:space="preserve">A customer Azure AD tenant </w:t>
      </w:r>
      <w:r w:rsidR="001656EC">
        <w:t>(</w:t>
      </w:r>
      <w:r>
        <w:t>Customer Tenant</w:t>
      </w:r>
      <w:r w:rsidR="001656EC">
        <w:t>)</w:t>
      </w:r>
      <w:r>
        <w:t xml:space="preserve"> is created when the customer is provisioned through the Partner Center or through the CREST API. When a new Azure CSP subscription is ordered for the customer, the provider’s AdminAgent Group is configured as the owner of the subscription. The customer has no rights to manage the CSP subscription unless specifically granted by the provider.</w:t>
      </w:r>
    </w:p>
    <w:p w14:paraId="5931A4C3" w14:textId="77777777" w:rsidR="00E07AF7" w:rsidRDefault="00E07AF7" w:rsidP="00E07AF7"/>
    <w:p w14:paraId="608AC194" w14:textId="77777777" w:rsidR="00E07AF7" w:rsidRDefault="00E07AF7" w:rsidP="00E07AF7">
      <w:pPr>
        <w:jc w:val="center"/>
      </w:pPr>
      <w:r>
        <w:rPr>
          <w:noProof/>
        </w:rPr>
        <w:drawing>
          <wp:inline distT="0" distB="0" distL="0" distR="0" wp14:anchorId="5A3E2DDE" wp14:editId="25E56B99">
            <wp:extent cx="5076825" cy="4305300"/>
            <wp:effectExtent l="0" t="0" r="9525"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7"/>
                    <a:stretch>
                      <a:fillRect/>
                    </a:stretch>
                  </pic:blipFill>
                  <pic:spPr>
                    <a:xfrm>
                      <a:off x="0" y="0"/>
                      <a:ext cx="5076825" cy="4305300"/>
                    </a:xfrm>
                    <a:prstGeom prst="rect">
                      <a:avLst/>
                    </a:prstGeom>
                  </pic:spPr>
                </pic:pic>
              </a:graphicData>
            </a:graphic>
          </wp:inline>
        </w:drawing>
      </w:r>
    </w:p>
    <w:p w14:paraId="3488E5CB" w14:textId="77777777" w:rsidR="00E07AF7" w:rsidRPr="006E45B5" w:rsidRDefault="00E07AF7" w:rsidP="00E07AF7"/>
    <w:p w14:paraId="02E46A3A" w14:textId="6B3EC842" w:rsidR="00E07AF7" w:rsidRPr="006E45B5" w:rsidRDefault="00E07AF7" w:rsidP="005729D2">
      <w:pPr>
        <w:pStyle w:val="Heading3Numbered"/>
        <w:numPr>
          <w:ilvl w:val="2"/>
          <w:numId w:val="64"/>
        </w:numPr>
      </w:pPr>
      <w:bookmarkStart w:id="6309" w:name="_Toc431288937"/>
      <w:r w:rsidRPr="006E45B5">
        <w:t xml:space="preserve">Administered On Behalf </w:t>
      </w:r>
      <w:r w:rsidR="001656EC" w:rsidRPr="006E45B5">
        <w:t>of</w:t>
      </w:r>
      <w:r w:rsidRPr="006E45B5">
        <w:t xml:space="preserve"> (AOBO) and Tenant Management</w:t>
      </w:r>
      <w:bookmarkEnd w:id="6309"/>
    </w:p>
    <w:p w14:paraId="0FCBDF82" w14:textId="32EEB908" w:rsidR="00E07AF7" w:rsidRPr="006E45B5" w:rsidRDefault="00E07AF7" w:rsidP="00E07AF7">
      <w:r w:rsidRPr="006E45B5">
        <w:t xml:space="preserve">Administered On Behalf </w:t>
      </w:r>
      <w:r w:rsidR="001656EC" w:rsidRPr="006E45B5">
        <w:t>of</w:t>
      </w:r>
      <w:r w:rsidRPr="006E45B5">
        <w:t xml:space="preserve"> </w:t>
      </w:r>
      <w:r w:rsidR="00113980">
        <w:t xml:space="preserve">(AOBO) </w:t>
      </w:r>
      <w:r w:rsidRPr="006E45B5">
        <w:t>is an administrative construct to allow delegation of administration to internal or external entities. Office 365 and Intune honor the Azure AD Tenant Admin role. The AdminAgents group in the Provider Tenant is made a member of the Tenant Admin role in the Customer Tenant. This allows members of the AdminAgents group in the provider’s Azure AD tenant to perform administrative functions in a customer’s Office 365 and Intune instances.</w:t>
      </w:r>
    </w:p>
    <w:p w14:paraId="1B4A26B1" w14:textId="77777777" w:rsidR="00E07AF7" w:rsidRPr="006E45B5" w:rsidRDefault="00E07AF7" w:rsidP="00E07AF7"/>
    <w:p w14:paraId="06BB2215" w14:textId="77777777" w:rsidR="00E07AF7" w:rsidRPr="006E45B5" w:rsidRDefault="00E07AF7" w:rsidP="00E07AF7">
      <w:r w:rsidRPr="006E45B5">
        <w:rPr>
          <w:noProof/>
        </w:rPr>
        <w:drawing>
          <wp:inline distT="0" distB="0" distL="0" distR="0" wp14:anchorId="2A3912BF" wp14:editId="6D5D9B67">
            <wp:extent cx="5943600" cy="2168525"/>
            <wp:effectExtent l="0" t="0" r="0" b="317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8"/>
                    <a:stretch>
                      <a:fillRect/>
                    </a:stretch>
                  </pic:blipFill>
                  <pic:spPr>
                    <a:xfrm>
                      <a:off x="0" y="0"/>
                      <a:ext cx="5943600" cy="2168525"/>
                    </a:xfrm>
                    <a:prstGeom prst="rect">
                      <a:avLst/>
                    </a:prstGeom>
                  </pic:spPr>
                </pic:pic>
              </a:graphicData>
            </a:graphic>
          </wp:inline>
        </w:drawing>
      </w:r>
    </w:p>
    <w:p w14:paraId="54172192" w14:textId="77777777" w:rsidR="00E07AF7" w:rsidRPr="006E45B5" w:rsidRDefault="00E07AF7" w:rsidP="00E07AF7"/>
    <w:p w14:paraId="166FC2BF" w14:textId="77777777" w:rsidR="00E07AF7" w:rsidRPr="006E45B5" w:rsidRDefault="00E07AF7" w:rsidP="00E07AF7">
      <w:r w:rsidRPr="006E45B5">
        <w:t>In a similar fashion to Office 365, the Azure CSP subscription is provisioned into the Customer Tenant. However, Azure subscriptions have “subscription-scoped” boundaries and are not managed by Tenant Admins. Instead, the provider AdminAgents group is directly granted the Owner role in Azure CSP subscriptions. This allows members of the AdminAgents group in the Provider Tenant to perform administrative functions in a customer’s Azure CSP subscription.</w:t>
      </w:r>
    </w:p>
    <w:p w14:paraId="588ED1A8" w14:textId="77777777" w:rsidR="00E07AF7" w:rsidRPr="006E45B5" w:rsidRDefault="00E07AF7" w:rsidP="00E07AF7"/>
    <w:p w14:paraId="7A0E03AD" w14:textId="77777777" w:rsidR="00E07AF7" w:rsidRPr="006E45B5" w:rsidRDefault="00E07AF7" w:rsidP="00E07AF7">
      <w:r w:rsidRPr="006E45B5">
        <w:rPr>
          <w:noProof/>
        </w:rPr>
        <w:drawing>
          <wp:inline distT="0" distB="0" distL="0" distR="0" wp14:anchorId="53F9EA7F" wp14:editId="3B1FC1EB">
            <wp:extent cx="5943600" cy="2219325"/>
            <wp:effectExtent l="0" t="0" r="0" b="952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9"/>
                    <a:stretch>
                      <a:fillRect/>
                    </a:stretch>
                  </pic:blipFill>
                  <pic:spPr>
                    <a:xfrm>
                      <a:off x="0" y="0"/>
                      <a:ext cx="5943600" cy="2219325"/>
                    </a:xfrm>
                    <a:prstGeom prst="rect">
                      <a:avLst/>
                    </a:prstGeom>
                  </pic:spPr>
                </pic:pic>
              </a:graphicData>
            </a:graphic>
          </wp:inline>
        </w:drawing>
      </w:r>
    </w:p>
    <w:p w14:paraId="1582B2A8" w14:textId="0C70723E" w:rsidR="009C49F8" w:rsidRPr="006E45B5" w:rsidRDefault="009C49F8" w:rsidP="00E07AF7"/>
    <w:p w14:paraId="666A05E1" w14:textId="4CEF7687" w:rsidR="009C49F8" w:rsidRPr="006E45B5" w:rsidRDefault="009C49F8" w:rsidP="00E07AF7">
      <w:r w:rsidRPr="006E45B5">
        <w:t>Management tools vary depending on the service being managed. A link to management tools for each customer can be accessed from the Partner Center</w:t>
      </w:r>
      <w:r w:rsidR="006E45B5" w:rsidRPr="006E45B5">
        <w:t xml:space="preserve"> on the main customer page and in the Service Management section for each customer.</w:t>
      </w:r>
    </w:p>
    <w:p w14:paraId="2414EC7A" w14:textId="2FA1CB66" w:rsidR="009C49F8" w:rsidRPr="006E45B5" w:rsidRDefault="009C49F8" w:rsidP="00E07AF7">
      <w:r w:rsidRPr="006E45B5">
        <w:rPr>
          <w:noProof/>
        </w:rPr>
        <mc:AlternateContent>
          <mc:Choice Requires="wps">
            <w:drawing>
              <wp:anchor distT="0" distB="0" distL="114300" distR="114300" simplePos="0" relativeHeight="251498496" behindDoc="0" locked="0" layoutInCell="1" allowOverlap="1" wp14:anchorId="43E90404" wp14:editId="4C5F25D1">
                <wp:simplePos x="0" y="0"/>
                <wp:positionH relativeFrom="column">
                  <wp:posOffset>2895601</wp:posOffset>
                </wp:positionH>
                <wp:positionV relativeFrom="paragraph">
                  <wp:posOffset>1072515</wp:posOffset>
                </wp:positionV>
                <wp:extent cx="1760220" cy="419100"/>
                <wp:effectExtent l="0" t="0" r="11430" b="19050"/>
                <wp:wrapNone/>
                <wp:docPr id="246" name="Oval 246"/>
                <wp:cNvGraphicFramePr/>
                <a:graphic xmlns:a="http://schemas.openxmlformats.org/drawingml/2006/main">
                  <a:graphicData uri="http://schemas.microsoft.com/office/word/2010/wordprocessingShape">
                    <wps:wsp>
                      <wps:cNvSpPr/>
                      <wps:spPr>
                        <a:xfrm>
                          <a:off x="0" y="0"/>
                          <a:ext cx="1760220" cy="4191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cx="http://schemas.microsoft.com/office/drawing/2014/chartex">
            <w:pict>
              <v:oval w14:anchorId="6D346F66" id="Oval 246" o:spid="_x0000_s1026" style="position:absolute;margin-left:228pt;margin-top:84.45pt;width:138.6pt;height:33pt;z-index:251498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PAFlgIAAIcFAAAOAAAAZHJzL2Uyb0RvYy54bWysVE1v2zAMvQ/YfxB0X20HabcGdYqgRYYB&#10;RVusHXpWZCk2IIuapMTJfv1I+aPBWuwwLAdHFMlH8onk1fWhNWyvfGjAlrw4yzlTVkLV2G3Jfzyv&#10;P33hLERhK2HAqpIfVeDXy48frjq3UDOowVTKMwSxYdG5ktcxukWWBVmrVoQzcMqiUoNvRUTRb7PK&#10;iw7RW5PN8vwi68BXzoNUIeDtba/ky4SvtZLxQeugIjMlx9xi+vr03dA3W16JxdYLVzdySEP8Qxat&#10;aCwGnaBuRRRs55s3UG0jPQTQ8UxCm4HWjVSpBqymyP+o5qkWTqVakJzgJprC/4OV9/tHz5qq5LP5&#10;BWdWtPhID3thGMnITufCAo2e3KMfpIBHKvWgfUv/WAQ7JEaPE6PqEJnEy+LzRT6bIfESdfPissgT&#10;5dmrt/MhflXQMjqUXBnTuEBFi4XY34WIQdF6tKJrC+vGmPRwxtJFANNUdJcEv93cGM+whJKv1zn+&#10;qAzEODFDiVwzKq4vJ53i0SjCMPa70kgKFjBLmaR2VBOskFLZWPSqWlSqj3Z+GowamDxS6ARIyBqz&#10;nLAHgNGyBxmx+5wHe3JVqZsn5/xvifXOk0eKDDZOzm1jwb8HYLCqIXJvP5LUU0MsbaA6Yst46Gcp&#10;OLlu8OnuRIiPwuPw4GvjQogP+NEGupLDcOKsBv/rvXuyx55GLWcdDmPJw8+d8Ioz881it18W8zlN&#10;bxLm55+po/ypZnOqsbv2BvD1C1w9TqYj2UczHrWH9gX3xoqiokpYibFLLqMfhZvYLwncPFKtVskM&#10;J9aJeGefnCRwYpX68vnwIrwb+jdi59/DOLhveri3JU8Lq10E3aQGf+V14BunPTXOsJlonZzKyep1&#10;fy5/AwAA//8DAFBLAwQUAAYACAAAACEAxoHKyt4AAAALAQAADwAAAGRycy9kb3ducmV2LnhtbEyP&#10;wU7DMBBE70j8g7VIXBB1SItJQpyqQuqBY1skrm5skgh7HcXbNv17lhMcRzOaeVOv5+DF2U1piKjh&#10;aZGBcNhGO2Cn4eOwfSxAJDJojY/oNFxdgnVze1ObysYL7tx5T53gEkyV0dATjZWUqe1dMGkRR4fs&#10;fcUpGGI5ddJO5sLlwcs8y5QMZkBe6M3o3nrXfu9PQcPmKsnvUrl9sAqVos/0bnyh9f3dvHkFQW6m&#10;vzD84jM6NMx0jCe0SXgNq2fFX4gNVZQgOPGyXOYgjhry5aoE2dTy/4fmBwAA//8DAFBLAQItABQA&#10;BgAIAAAAIQC2gziS/gAAAOEBAAATAAAAAAAAAAAAAAAAAAAAAABbQ29udGVudF9UeXBlc10ueG1s&#10;UEsBAi0AFAAGAAgAAAAhADj9If/WAAAAlAEAAAsAAAAAAAAAAAAAAAAALwEAAF9yZWxzLy5yZWxz&#10;UEsBAi0AFAAGAAgAAAAhAKDU8AWWAgAAhwUAAA4AAAAAAAAAAAAAAAAALgIAAGRycy9lMm9Eb2Mu&#10;eG1sUEsBAi0AFAAGAAgAAAAhAMaBysreAAAACwEAAA8AAAAAAAAAAAAAAAAA8AQAAGRycy9kb3du&#10;cmV2LnhtbFBLBQYAAAAABAAEAPMAAAD7BQAAAAA=&#10;" filled="f" strokecolor="red" strokeweight="1pt">
                <v:stroke joinstyle="miter"/>
              </v:oval>
            </w:pict>
          </mc:Fallback>
        </mc:AlternateContent>
      </w:r>
      <w:r w:rsidRPr="006E45B5">
        <w:rPr>
          <w:noProof/>
        </w:rPr>
        <w:drawing>
          <wp:inline distT="0" distB="0" distL="0" distR="0" wp14:anchorId="5C72B488" wp14:editId="793AADC5">
            <wp:extent cx="5943600" cy="217424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0"/>
                    <a:stretch>
                      <a:fillRect/>
                    </a:stretch>
                  </pic:blipFill>
                  <pic:spPr>
                    <a:xfrm>
                      <a:off x="0" y="0"/>
                      <a:ext cx="5943600" cy="2174240"/>
                    </a:xfrm>
                    <a:prstGeom prst="rect">
                      <a:avLst/>
                    </a:prstGeom>
                  </pic:spPr>
                </pic:pic>
              </a:graphicData>
            </a:graphic>
          </wp:inline>
        </w:drawing>
      </w:r>
    </w:p>
    <w:p w14:paraId="059B893D" w14:textId="5B493DDA" w:rsidR="006E45B5" w:rsidRPr="006E45B5" w:rsidRDefault="006E45B5" w:rsidP="00E07AF7"/>
    <w:p w14:paraId="21A6B1DF" w14:textId="004B4E60" w:rsidR="006E45B5" w:rsidRPr="006E45B5" w:rsidRDefault="006E45B5" w:rsidP="00E07AF7">
      <w:r w:rsidRPr="006E45B5">
        <w:rPr>
          <w:noProof/>
        </w:rPr>
        <mc:AlternateContent>
          <mc:Choice Requires="wps">
            <w:drawing>
              <wp:anchor distT="0" distB="0" distL="114300" distR="114300" simplePos="0" relativeHeight="251529216" behindDoc="0" locked="0" layoutInCell="1" allowOverlap="1" wp14:anchorId="3255B512" wp14:editId="5B295F84">
                <wp:simplePos x="0" y="0"/>
                <wp:positionH relativeFrom="column">
                  <wp:posOffset>0</wp:posOffset>
                </wp:positionH>
                <wp:positionV relativeFrom="paragraph">
                  <wp:posOffset>2979420</wp:posOffset>
                </wp:positionV>
                <wp:extent cx="2057400" cy="419100"/>
                <wp:effectExtent l="0" t="0" r="19050" b="19050"/>
                <wp:wrapNone/>
                <wp:docPr id="272" name="Oval 272"/>
                <wp:cNvGraphicFramePr/>
                <a:graphic xmlns:a="http://schemas.openxmlformats.org/drawingml/2006/main">
                  <a:graphicData uri="http://schemas.microsoft.com/office/word/2010/wordprocessingShape">
                    <wps:wsp>
                      <wps:cNvSpPr/>
                      <wps:spPr>
                        <a:xfrm>
                          <a:off x="0" y="0"/>
                          <a:ext cx="2057400" cy="4191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cx="http://schemas.microsoft.com/office/drawing/2014/chartex">
            <w:pict>
              <v:oval w14:anchorId="583CA67D" id="Oval 272" o:spid="_x0000_s1026" style="position:absolute;margin-left:0;margin-top:234.6pt;width:162pt;height:33pt;z-index:251529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4RxkwIAAIcFAAAOAAAAZHJzL2Uyb0RvYy54bWysVMFu2zAMvQ/YPwi6r7aDdF2NOkXQIsOA&#10;oi3WDj0rspQIkEVNUuJkXz9Kst1gLXYYloNCiuSjHk3y6vrQabIXziswDa3OSkqE4dAqs2noj+fV&#10;py+U+MBMyzQY0dCj8PR68fHDVW9rMYMt6FY4giDG171t6DYEWxeF51vRMX8GVhg0SnAdC6i6TdE6&#10;1iN6p4tZWX4uenCtdcCF93h7m410kfClFDw8SOlFILqh+LaQTpfOdTyLxRWrN47ZreLDM9g/vKJj&#10;ymDSCeqWBUZ2Tr2B6hR34EGGMw5dAVIqLhIHZFOVf7B52jIrEhcsjrdTmfz/g+X3+0dHVNvQ2cWM&#10;EsM6/EgPe6ZJ1LE6vfU1Oj3ZRzdoHsVI9SBdF/+RBDmkih6niopDIBwvZ+X5xbzEwnO0zavLCmWE&#10;KV6jrfPhq4CORKGhQmtlfSTNara/8yF7j17x2sBKaY33rNYmnh60auNdUtxmfaMdQQoNXa1K/A0Z&#10;T9wwfwwtIrlMJ0nhqEWG/S4kFiUSSC9J7SgmWMa5MKHKpi1rRc52fposNnCMSGS1QcCILPGVE/YA&#10;MHpmkBE78x78Y6hI3TwFl397WA6eIlJmMGEK7pQB9x6ARlZD5uw/FimXJlZpDe0RW8ZBniVv+Urh&#10;p7tjPjwyh8ODXxsXQnjAQ2roGwqDRMkW3K/37qM/9jRaKelxGBvqf+6YE5Tobwa7/bKaz+P0JmV+&#10;fjFDxZ1a1qcWs+tuAL9+havH8iRG/6BHUTroXnBvLGNWNDHDMXdDeXCjchPyksDNw8VymdxwYi0L&#10;d+bJ8ggeqxr78vnwwpwd+jdg59/DOLhvejj7xkgDy10AqVKDv9Z1qDdOe2qcYTPFdXKqJ6/X/bn4&#10;DQAA//8DAFBLAwQUAAYACAAAACEANpGe4twAAAAIAQAADwAAAGRycy9kb3ducmV2LnhtbEyPwU7D&#10;MBBE70j8g7VIXBB1SNuoDdlUFVIPHNsicXXjJYmw11Hstunfs5zgODurmTfVZvJOXWiMfWCEl1kG&#10;irgJtucW4eO4e16BismwNS4wIdwowqa+v6tMacOV93Q5pFZJCMfSIHQpDaXWsenImzgLA7F4X2H0&#10;JokcW21Hc5Vw73SeZYX2pmdp6MxAbx0134ezR9jedHL7uN492YKLIn3Gd+NWiI8P0/YVVKIp/T3D&#10;L76gQy1Mp3BmG5VDkCEJYVGsc1Biz/OFXE4Iy/kyB11X+v+A+gcAAP//AwBQSwECLQAUAAYACAAA&#10;ACEAtoM4kv4AAADhAQAAEwAAAAAAAAAAAAAAAAAAAAAAW0NvbnRlbnRfVHlwZXNdLnhtbFBLAQIt&#10;ABQABgAIAAAAIQA4/SH/1gAAAJQBAAALAAAAAAAAAAAAAAAAAC8BAABfcmVscy8ucmVsc1BLAQIt&#10;ABQABgAIAAAAIQDCg4RxkwIAAIcFAAAOAAAAAAAAAAAAAAAAAC4CAABkcnMvZTJvRG9jLnhtbFBL&#10;AQItABQABgAIAAAAIQA2kZ7i3AAAAAgBAAAPAAAAAAAAAAAAAAAAAO0EAABkcnMvZG93bnJldi54&#10;bWxQSwUGAAAAAAQABADzAAAA9gUAAAAA&#10;" filled="f" strokecolor="red" strokeweight="1pt">
                <v:stroke joinstyle="miter"/>
              </v:oval>
            </w:pict>
          </mc:Fallback>
        </mc:AlternateContent>
      </w:r>
      <w:r w:rsidRPr="006E45B5">
        <w:rPr>
          <w:noProof/>
        </w:rPr>
        <w:drawing>
          <wp:inline distT="0" distB="0" distL="0" distR="0" wp14:anchorId="3CA1469E" wp14:editId="5D423C05">
            <wp:extent cx="5935980" cy="3345180"/>
            <wp:effectExtent l="0" t="0" r="7620" b="762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5935980" cy="3345180"/>
                    </a:xfrm>
                    <a:prstGeom prst="rect">
                      <a:avLst/>
                    </a:prstGeom>
                    <a:noFill/>
                    <a:ln>
                      <a:noFill/>
                    </a:ln>
                  </pic:spPr>
                </pic:pic>
              </a:graphicData>
            </a:graphic>
          </wp:inline>
        </w:drawing>
      </w:r>
    </w:p>
    <w:p w14:paraId="2327B142" w14:textId="77777777" w:rsidR="006E45B5" w:rsidRPr="006E45B5" w:rsidRDefault="006E45B5" w:rsidP="00E07AF7"/>
    <w:p w14:paraId="44DFC56C" w14:textId="2FD23964" w:rsidR="006E45B5" w:rsidRDefault="006E45B5" w:rsidP="00E07AF7">
      <w:r>
        <w:t xml:space="preserve">At the time of this writing, management of a customer’s Azure AD was not supported directly through the Partner Center portal and links. The URL </w:t>
      </w:r>
      <w:r w:rsidR="00452DEF">
        <w:t xml:space="preserve">below </w:t>
      </w:r>
      <w:r>
        <w:t xml:space="preserve">can be used as a workaround for Azure AD management until the Partner Center Azure Active Directory management tool </w:t>
      </w:r>
      <w:r w:rsidR="00452DEF">
        <w:t>links are operational.</w:t>
      </w:r>
    </w:p>
    <w:p w14:paraId="2D2DFBC3" w14:textId="74FD4355" w:rsidR="00452DEF" w:rsidRPr="00452DEF" w:rsidRDefault="00452DEF" w:rsidP="00E07AF7">
      <w:pPr>
        <w:rPr>
          <w:b/>
        </w:rPr>
      </w:pPr>
      <w:r w:rsidRPr="00452DEF">
        <w:rPr>
          <w:b/>
        </w:rPr>
        <w:t>Azure AD Management URL Format:</w:t>
      </w:r>
    </w:p>
    <w:p w14:paraId="57A58E4F" w14:textId="12645600" w:rsidR="006E45B5" w:rsidRDefault="006E45B5" w:rsidP="00113980">
      <w:pPr>
        <w:ind w:left="720"/>
      </w:pPr>
      <w:r w:rsidRPr="006E45B5">
        <w:t>https://manage.windowsazure.com/</w:t>
      </w:r>
      <w:r w:rsidRPr="006E45B5">
        <w:rPr>
          <w:b/>
        </w:rPr>
        <w:t>[provider tenant</w:t>
      </w:r>
      <w:r>
        <w:rPr>
          <w:b/>
        </w:rPr>
        <w:t xml:space="preserve"> name</w:t>
      </w:r>
      <w:r w:rsidRPr="006E45B5">
        <w:rPr>
          <w:b/>
        </w:rPr>
        <w:t>]</w:t>
      </w:r>
      <w:r w:rsidRPr="006E45B5">
        <w:t>#Workspaces/</w:t>
      </w:r>
      <w:r>
        <w:br/>
      </w:r>
      <w:r w:rsidRPr="006E45B5">
        <w:t>ActiveDirectoryExtension/Directory/</w:t>
      </w:r>
      <w:r w:rsidRPr="006E45B5">
        <w:rPr>
          <w:b/>
        </w:rPr>
        <w:t>[tenant ID]</w:t>
      </w:r>
      <w:r w:rsidRPr="006E45B5">
        <w:t>/directoryQuickStart</w:t>
      </w:r>
    </w:p>
    <w:p w14:paraId="525DA2EF" w14:textId="330D0732" w:rsidR="006E45B5" w:rsidRPr="00452DEF" w:rsidRDefault="00452DEF" w:rsidP="00E07AF7">
      <w:pPr>
        <w:rPr>
          <w:b/>
        </w:rPr>
      </w:pPr>
      <w:r>
        <w:rPr>
          <w:b/>
        </w:rPr>
        <w:t xml:space="preserve">Azure AD Management URL </w:t>
      </w:r>
      <w:r w:rsidR="006E45B5" w:rsidRPr="00452DEF">
        <w:rPr>
          <w:b/>
        </w:rPr>
        <w:t>Example:</w:t>
      </w:r>
    </w:p>
    <w:p w14:paraId="34551C8F" w14:textId="24AE0390" w:rsidR="006E45B5" w:rsidRDefault="006E45B5" w:rsidP="00113980">
      <w:pPr>
        <w:ind w:left="720"/>
      </w:pPr>
      <w:r w:rsidRPr="006E45B5">
        <w:t>https://manage.windowsazure.com/</w:t>
      </w:r>
      <w:r>
        <w:rPr>
          <w:b/>
        </w:rPr>
        <w:t>FabrikamCSP.onmicrosoft.com</w:t>
      </w:r>
      <w:r w:rsidRPr="006E45B5">
        <w:t>#Workspaces/</w:t>
      </w:r>
      <w:r>
        <w:br/>
      </w:r>
      <w:r w:rsidRPr="006E45B5">
        <w:t>ActiveDirectoryExtension/Directory/</w:t>
      </w:r>
      <w:r w:rsidRPr="006E45B5">
        <w:rPr>
          <w:b/>
        </w:rPr>
        <w:t>3477e0d3-fecd-4586-9917-d34807715a6f</w:t>
      </w:r>
      <w:r w:rsidRPr="006E45B5">
        <w:t>/</w:t>
      </w:r>
      <w:r w:rsidR="00452DEF">
        <w:br/>
      </w:r>
      <w:r w:rsidRPr="006E45B5">
        <w:t>directoryQuickStart</w:t>
      </w:r>
    </w:p>
    <w:p w14:paraId="01DA137E" w14:textId="57A47C5E" w:rsidR="00452DEF" w:rsidRDefault="00452DEF" w:rsidP="00E07AF7">
      <w:r>
        <w:t xml:space="preserve">The Customer Tenant ID can be found in the Partner Center as the customer’s Microsoft ID. </w:t>
      </w:r>
    </w:p>
    <w:p w14:paraId="4CEB40FB" w14:textId="326B186F" w:rsidR="00E07AF7" w:rsidRDefault="00E07AF7" w:rsidP="005729D2">
      <w:pPr>
        <w:pStyle w:val="Heading3Numbered"/>
        <w:numPr>
          <w:ilvl w:val="2"/>
          <w:numId w:val="64"/>
        </w:numPr>
      </w:pPr>
      <w:bookmarkStart w:id="6310" w:name="_Toc431288938"/>
      <w:r>
        <w:t xml:space="preserve">Customer Azure Active Directory </w:t>
      </w:r>
      <w:r w:rsidR="001656EC">
        <w:t>Tenant</w:t>
      </w:r>
      <w:bookmarkEnd w:id="6310"/>
    </w:p>
    <w:p w14:paraId="7828C960" w14:textId="60ACD7F9" w:rsidR="00E07AF7" w:rsidRDefault="00E07AF7" w:rsidP="00E07AF7">
      <w:r>
        <w:t xml:space="preserve">Each CSP customer has a customer-specific Azure AD tenant </w:t>
      </w:r>
      <w:r w:rsidR="001656EC">
        <w:t>(</w:t>
      </w:r>
      <w:r>
        <w:t>Customer Tenant</w:t>
      </w:r>
      <w:r w:rsidR="001656EC">
        <w:t>)</w:t>
      </w:r>
      <w:r>
        <w:t xml:space="preserve"> </w:t>
      </w:r>
      <w:r w:rsidR="001656EC">
        <w:t xml:space="preserve">created </w:t>
      </w:r>
      <w:r>
        <w:t>automatically when the CSP provisions the customer in the Microsoft Partner Center Portal or through the CREST API. The Customer Tenant uses the standard Azure AD domain naming convention of &lt;tenantname&gt;.onmicrosoft.com as the default domain name, and additional custom domains may be added to the tenant to improve user sign-on experiences.</w:t>
      </w:r>
    </w:p>
    <w:p w14:paraId="4FC2732B" w14:textId="77777777" w:rsidR="00E07AF7" w:rsidRDefault="00E07AF7" w:rsidP="00E07AF7">
      <w:r>
        <w:t xml:space="preserve">The Customer Tenant contains identities used by the customer to manage CSP subscription resources (if authorized by the CSP) and to authenticate to services and applications within the CSP subscription. The Customer Tenant is an Azure Active Directory tenant and all guidance found earlier in this document applies to the Customer Tenant. </w:t>
      </w:r>
    </w:p>
    <w:p w14:paraId="71C905DF" w14:textId="77777777" w:rsidR="00E07AF7" w:rsidRDefault="00E07AF7" w:rsidP="00E07AF7">
      <w:r>
        <w:t xml:space="preserve">Service Providers connect their customers to their CSP Azure subscriptions in one of two ways – </w:t>
      </w:r>
      <w:r w:rsidRPr="001656EC">
        <w:rPr>
          <w:b/>
        </w:rPr>
        <w:t>Connect To</w:t>
      </w:r>
      <w:r>
        <w:t xml:space="preserve"> and </w:t>
      </w:r>
      <w:r w:rsidRPr="001656EC">
        <w:rPr>
          <w:b/>
        </w:rPr>
        <w:t>Connect Through</w:t>
      </w:r>
      <w:r>
        <w:t>. In both models, customers may use their Customer Tenant to store independent identities with separate credentials. They may also desire identity integration between the Customer Tenant and an Active Directory identity store. The identity integration approach differs slightly between the two models.</w:t>
      </w:r>
    </w:p>
    <w:p w14:paraId="47F32044" w14:textId="77777777" w:rsidR="00E07AF7" w:rsidRPr="00A53EDD" w:rsidRDefault="00E07AF7" w:rsidP="00E07AF7"/>
    <w:p w14:paraId="5529AC0A" w14:textId="77777777" w:rsidR="00E07AF7" w:rsidRPr="00946DD4" w:rsidRDefault="00E07AF7" w:rsidP="00E07AF7">
      <w:pPr>
        <w:rPr>
          <w:b/>
        </w:rPr>
      </w:pPr>
      <w:r>
        <w:rPr>
          <w:b/>
        </w:rPr>
        <w:t>“</w:t>
      </w:r>
      <w:r w:rsidRPr="00946DD4">
        <w:rPr>
          <w:b/>
        </w:rPr>
        <w:t>Connect Through</w:t>
      </w:r>
      <w:r>
        <w:rPr>
          <w:b/>
        </w:rPr>
        <w:t>” Identity Integration</w:t>
      </w:r>
    </w:p>
    <w:p w14:paraId="3AB9E595" w14:textId="77777777" w:rsidR="00E07AF7" w:rsidRPr="00946DD4" w:rsidRDefault="00E07AF7" w:rsidP="00E07AF7">
      <w:r>
        <w:t xml:space="preserve">In the Connect Through model, the </w:t>
      </w:r>
      <w:r w:rsidRPr="00946DD4">
        <w:t xml:space="preserve">Provider creates a direct connection between </w:t>
      </w:r>
      <w:r>
        <w:t xml:space="preserve">the provider </w:t>
      </w:r>
      <w:r w:rsidRPr="00946DD4">
        <w:t>datacenter and the provisioned customer Azure s</w:t>
      </w:r>
      <w:r>
        <w:t xml:space="preserve">ubscription using Site-to-Site VPN over the provider’s network. </w:t>
      </w:r>
      <w:r w:rsidRPr="00946DD4">
        <w:t xml:space="preserve">This connectivity scenario requires that the customer </w:t>
      </w:r>
      <w:r>
        <w:t xml:space="preserve">pass </w:t>
      </w:r>
      <w:r w:rsidRPr="00946DD4">
        <w:t>through a provider network to access CSP provisioned Azure subscription services, using a network co</w:t>
      </w:r>
      <w:r>
        <w:t xml:space="preserve">nnection that is created, owned, </w:t>
      </w:r>
      <w:r w:rsidRPr="00946DD4">
        <w:t>and managed by the service provider.</w:t>
      </w:r>
    </w:p>
    <w:p w14:paraId="08A958D4" w14:textId="77777777" w:rsidR="00E07AF7" w:rsidRPr="00946DD4" w:rsidRDefault="00E07AF7" w:rsidP="00E07AF7">
      <w:r w:rsidRPr="00946DD4">
        <w:rPr>
          <w:noProof/>
        </w:rPr>
        <w:drawing>
          <wp:inline distT="0" distB="0" distL="0" distR="0" wp14:anchorId="3AF37F4A" wp14:editId="51056954">
            <wp:extent cx="5943600" cy="3104515"/>
            <wp:effectExtent l="0" t="0" r="0" b="0"/>
            <wp:docPr id="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532"/>
                    <a:stretch>
                      <a:fillRect/>
                    </a:stretch>
                  </pic:blipFill>
                  <pic:spPr>
                    <a:xfrm>
                      <a:off x="0" y="0"/>
                      <a:ext cx="5943600" cy="3104515"/>
                    </a:xfrm>
                    <a:prstGeom prst="rect">
                      <a:avLst/>
                    </a:prstGeom>
                  </pic:spPr>
                </pic:pic>
              </a:graphicData>
            </a:graphic>
          </wp:inline>
        </w:drawing>
      </w:r>
    </w:p>
    <w:p w14:paraId="63C16C5E" w14:textId="3ACCC1F3" w:rsidR="00E07AF7" w:rsidRDefault="00E07AF7" w:rsidP="00E07AF7">
      <w:r w:rsidRPr="00946DD4">
        <w:t xml:space="preserve">For </w:t>
      </w:r>
      <w:r>
        <w:t xml:space="preserve">Connect Through customers, </w:t>
      </w:r>
      <w:r w:rsidRPr="00946DD4">
        <w:t>it is assumed tha</w:t>
      </w:r>
      <w:r>
        <w:t>t the provider has a previously-</w:t>
      </w:r>
      <w:r w:rsidRPr="00946DD4">
        <w:t>es</w:t>
      </w:r>
      <w:r>
        <w:t>tablished Active Directory tenant identity store for each tenant. This identity store should be integrated with the Customer Tenant using Azure AD Connect. Guidance on integrating on-premises Active Directory with Azure Active Directory can be found earlier in this document. This guidance should be consulted to determine if directory integration is desirable for the Connect Through customer, and if so, how best to implement the integration. For the purposes of integration, the provider-hosted tenant identity store for a Connect Through customer should be considered the customer’s on-premises Active Directory.</w:t>
      </w:r>
    </w:p>
    <w:p w14:paraId="0E674A90" w14:textId="77777777" w:rsidR="00E07AF7" w:rsidRDefault="00E07AF7" w:rsidP="00E07AF7"/>
    <w:p w14:paraId="2BA425D2" w14:textId="77777777" w:rsidR="00E07AF7" w:rsidRPr="00200566" w:rsidRDefault="00E07AF7" w:rsidP="00E07AF7">
      <w:pPr>
        <w:rPr>
          <w:b/>
        </w:rPr>
      </w:pPr>
      <w:r>
        <w:rPr>
          <w:b/>
        </w:rPr>
        <w:t>“</w:t>
      </w:r>
      <w:r w:rsidRPr="00200566">
        <w:rPr>
          <w:b/>
        </w:rPr>
        <w:t>Connect To</w:t>
      </w:r>
      <w:r>
        <w:rPr>
          <w:b/>
        </w:rPr>
        <w:t>” Identity Integration</w:t>
      </w:r>
    </w:p>
    <w:p w14:paraId="534BA2E8" w14:textId="77777777" w:rsidR="00E07AF7" w:rsidRPr="00946DD4" w:rsidRDefault="00E07AF7" w:rsidP="00E07AF7">
      <w:r>
        <w:t>In the Connect To model, the p</w:t>
      </w:r>
      <w:r w:rsidRPr="00200566">
        <w:t xml:space="preserve">rovider creates a direct connection between </w:t>
      </w:r>
      <w:r>
        <w:t xml:space="preserve">the customer </w:t>
      </w:r>
      <w:r w:rsidRPr="00200566">
        <w:t xml:space="preserve">datacenter and the provisioned customer Azure subscription using Site-to-Site VPN (or in the future over an Express Route connection) using the customer’s network. This connectivity scenario requires that the customer </w:t>
      </w:r>
      <w:r>
        <w:t>connect</w:t>
      </w:r>
      <w:r w:rsidRPr="00200566">
        <w:t xml:space="preserve"> directly through a customer network to access CSP provisioned Azure subscription services, using a direct network connection that is created, owned and managed either whol</w:t>
      </w:r>
      <w:r>
        <w:t xml:space="preserve">ly or in part by the customer. </w:t>
      </w:r>
    </w:p>
    <w:p w14:paraId="17B59246" w14:textId="77777777" w:rsidR="00E07AF7" w:rsidRPr="00946DD4" w:rsidRDefault="00E07AF7" w:rsidP="00E07AF7">
      <w:r w:rsidRPr="00946DD4">
        <w:rPr>
          <w:noProof/>
        </w:rPr>
        <w:drawing>
          <wp:inline distT="0" distB="0" distL="0" distR="0" wp14:anchorId="50CE01F9" wp14:editId="57A6895D">
            <wp:extent cx="5943600" cy="2379980"/>
            <wp:effectExtent l="0" t="0" r="0" b="0"/>
            <wp:docPr id="1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533"/>
                    <a:stretch>
                      <a:fillRect/>
                    </a:stretch>
                  </pic:blipFill>
                  <pic:spPr>
                    <a:xfrm>
                      <a:off x="0" y="0"/>
                      <a:ext cx="5943600" cy="2379980"/>
                    </a:xfrm>
                    <a:prstGeom prst="rect">
                      <a:avLst/>
                    </a:prstGeom>
                  </pic:spPr>
                </pic:pic>
              </a:graphicData>
            </a:graphic>
          </wp:inline>
        </w:drawing>
      </w:r>
    </w:p>
    <w:p w14:paraId="2BB941CD" w14:textId="77777777" w:rsidR="00E07AF7" w:rsidRPr="00946DD4" w:rsidRDefault="00E07AF7" w:rsidP="00E07AF7">
      <w:r w:rsidRPr="00946DD4">
        <w:t xml:space="preserve">For </w:t>
      </w:r>
      <w:r>
        <w:t xml:space="preserve">Connect To customers, </w:t>
      </w:r>
      <w:r w:rsidRPr="00946DD4">
        <w:t>it is assumed tha</w:t>
      </w:r>
      <w:r>
        <w:t>t the provider does not currently have an Active Directory tenant identity store established for the customer. If the customer has an existing Active Directory, the provider may consider integrating the customer’s Active Directory environment with the Customer Tenant for management of the customer’s CSP subscription or for user authentication to CSP-provided services. Some customers may choose not to implement this integration and will instead use the Customer Tenant to store independent identities with separate credentials. Guidance on integrating on-premises Active Directory with Azure Active Directory can be found earlier in this document. This guidance should be consulted to determine if directory integration is desirable for the Connect To customer, and if so, how best to implement the integration.</w:t>
      </w:r>
    </w:p>
    <w:p w14:paraId="11229BD2" w14:textId="77777777" w:rsidR="00EF7E3D" w:rsidRDefault="00EF7E3D" w:rsidP="005729D2">
      <w:pPr>
        <w:pStyle w:val="Heading3Numbered"/>
        <w:numPr>
          <w:ilvl w:val="2"/>
          <w:numId w:val="64"/>
        </w:numPr>
      </w:pPr>
      <w:bookmarkStart w:id="6311" w:name="_Toc431288939"/>
      <w:r>
        <w:t>Integration using Graph API</w:t>
      </w:r>
      <w:bookmarkEnd w:id="6311"/>
    </w:p>
    <w:p w14:paraId="77C08840" w14:textId="3EFCA0C9" w:rsidR="00EF7E3D" w:rsidRDefault="00EF7E3D" w:rsidP="00EF7E3D">
      <w:r>
        <w:rPr>
          <w:lang w:val="en"/>
        </w:rPr>
        <w:t xml:space="preserve">The Azure Active Directory Graph API provides programmatic access to Azure AD through REST API endpoints. Applications can use the Graph API to perform create, read, update, and delete (CRUD) operations on directory data and objects. This </w:t>
      </w:r>
      <w:r w:rsidRPr="00212BBF">
        <w:t xml:space="preserve">enables CSP partners to programmatically access Azure Active Directory to automate many end-user </w:t>
      </w:r>
      <w:r>
        <w:t>management functions, including user license assignment, user role assignment, and managing domains. Programmatic access using Graph and other APIs allows for comprehensive automation of management activities and the ability for CSPs to integrate Partner Center functionality into custom applications and management tools for use by CSP agents or customers.</w:t>
      </w:r>
    </w:p>
    <w:p w14:paraId="3037EB99" w14:textId="77777777" w:rsidR="00EF7E3D" w:rsidRDefault="00EF7E3D" w:rsidP="00EF7E3D"/>
    <w:tbl>
      <w:tblPr>
        <w:tblStyle w:val="TableGrid"/>
        <w:tblW w:w="0" w:type="auto"/>
        <w:tblLayout w:type="fixed"/>
        <w:tblLook w:val="04A0" w:firstRow="1" w:lastRow="0" w:firstColumn="1" w:lastColumn="0" w:noHBand="0" w:noVBand="1"/>
      </w:tblPr>
      <w:tblGrid>
        <w:gridCol w:w="2880"/>
        <w:gridCol w:w="1152"/>
        <w:gridCol w:w="1152"/>
        <w:gridCol w:w="1152"/>
        <w:gridCol w:w="1152"/>
        <w:gridCol w:w="1152"/>
      </w:tblGrid>
      <w:tr w:rsidR="00EF7E3D" w14:paraId="111AF021" w14:textId="77777777" w:rsidTr="00BE2D2A">
        <w:trPr>
          <w:cnfStyle w:val="100000000000" w:firstRow="1" w:lastRow="0" w:firstColumn="0" w:lastColumn="0" w:oddVBand="0" w:evenVBand="0" w:oddHBand="0" w:evenHBand="0" w:firstRowFirstColumn="0" w:firstRowLastColumn="0" w:lastRowFirstColumn="0" w:lastRowLastColumn="0"/>
        </w:trPr>
        <w:tc>
          <w:tcPr>
            <w:tcW w:w="2880" w:type="dxa"/>
          </w:tcPr>
          <w:p w14:paraId="6C56193B" w14:textId="77777777" w:rsidR="00EF7E3D" w:rsidRPr="00791FB7" w:rsidRDefault="00EF7E3D" w:rsidP="00BE2D2A">
            <w:pPr>
              <w:rPr>
                <w:b/>
              </w:rPr>
            </w:pPr>
            <w:r w:rsidRPr="00791FB7">
              <w:rPr>
                <w:b/>
              </w:rPr>
              <w:t>Activity</w:t>
            </w:r>
          </w:p>
        </w:tc>
        <w:tc>
          <w:tcPr>
            <w:tcW w:w="1152" w:type="dxa"/>
          </w:tcPr>
          <w:p w14:paraId="3E12E5AB" w14:textId="77777777" w:rsidR="00EF7E3D" w:rsidRPr="00791FB7" w:rsidRDefault="00EF7E3D" w:rsidP="00BE2D2A">
            <w:pPr>
              <w:jc w:val="center"/>
              <w:rPr>
                <w:b/>
              </w:rPr>
            </w:pPr>
            <w:r w:rsidRPr="00791FB7">
              <w:rPr>
                <w:b/>
              </w:rPr>
              <w:t>Partner Center</w:t>
            </w:r>
          </w:p>
        </w:tc>
        <w:tc>
          <w:tcPr>
            <w:tcW w:w="1152" w:type="dxa"/>
          </w:tcPr>
          <w:p w14:paraId="7601A710" w14:textId="77777777" w:rsidR="00EF7E3D" w:rsidRPr="00791FB7" w:rsidRDefault="00EF7E3D" w:rsidP="00BE2D2A">
            <w:pPr>
              <w:jc w:val="center"/>
              <w:rPr>
                <w:b/>
              </w:rPr>
            </w:pPr>
            <w:r w:rsidRPr="00791FB7">
              <w:rPr>
                <w:b/>
              </w:rPr>
              <w:t>Azure Portal</w:t>
            </w:r>
          </w:p>
        </w:tc>
        <w:tc>
          <w:tcPr>
            <w:tcW w:w="1152" w:type="dxa"/>
          </w:tcPr>
          <w:p w14:paraId="3872F7C4" w14:textId="77777777" w:rsidR="00EF7E3D" w:rsidRPr="00791FB7" w:rsidRDefault="00EF7E3D" w:rsidP="00BE2D2A">
            <w:pPr>
              <w:jc w:val="center"/>
              <w:rPr>
                <w:b/>
              </w:rPr>
            </w:pPr>
            <w:r w:rsidRPr="00791FB7">
              <w:rPr>
                <w:b/>
              </w:rPr>
              <w:t>CREST API</w:t>
            </w:r>
          </w:p>
        </w:tc>
        <w:tc>
          <w:tcPr>
            <w:tcW w:w="1152" w:type="dxa"/>
          </w:tcPr>
          <w:p w14:paraId="2D97E3DC" w14:textId="77777777" w:rsidR="00EF7E3D" w:rsidRPr="00791FB7" w:rsidRDefault="00EF7E3D" w:rsidP="00BE2D2A">
            <w:pPr>
              <w:jc w:val="center"/>
              <w:rPr>
                <w:b/>
              </w:rPr>
            </w:pPr>
            <w:r w:rsidRPr="00791FB7">
              <w:rPr>
                <w:b/>
              </w:rPr>
              <w:t>Graph API</w:t>
            </w:r>
          </w:p>
        </w:tc>
        <w:tc>
          <w:tcPr>
            <w:tcW w:w="1152" w:type="dxa"/>
          </w:tcPr>
          <w:p w14:paraId="370D379A" w14:textId="77777777" w:rsidR="00EF7E3D" w:rsidRPr="00791FB7" w:rsidRDefault="00EF7E3D" w:rsidP="00BE2D2A">
            <w:pPr>
              <w:jc w:val="center"/>
              <w:rPr>
                <w:b/>
              </w:rPr>
            </w:pPr>
            <w:r w:rsidRPr="00791FB7">
              <w:rPr>
                <w:b/>
              </w:rPr>
              <w:t>Windows PowerShell</w:t>
            </w:r>
          </w:p>
        </w:tc>
      </w:tr>
      <w:tr w:rsidR="00EF7E3D" w:rsidRPr="00791FB7" w14:paraId="67141FD6" w14:textId="77777777" w:rsidTr="00BE2D2A">
        <w:tc>
          <w:tcPr>
            <w:tcW w:w="2880" w:type="dxa"/>
            <w:hideMark/>
          </w:tcPr>
          <w:p w14:paraId="517AEC04" w14:textId="77777777" w:rsidR="00EF7E3D" w:rsidRPr="00791FB7" w:rsidRDefault="00EF7E3D" w:rsidP="00BE2D2A">
            <w:pPr>
              <w:rPr>
                <w:b/>
              </w:rPr>
            </w:pPr>
            <w:r w:rsidRPr="00791FB7">
              <w:rPr>
                <w:b/>
              </w:rPr>
              <w:t>Manage Reseller Users</w:t>
            </w:r>
          </w:p>
        </w:tc>
        <w:tc>
          <w:tcPr>
            <w:tcW w:w="1152" w:type="dxa"/>
            <w:hideMark/>
          </w:tcPr>
          <w:p w14:paraId="73BD40F9" w14:textId="77777777" w:rsidR="00EF7E3D" w:rsidRPr="00791FB7" w:rsidRDefault="00EF7E3D" w:rsidP="00BE2D2A">
            <w:pPr>
              <w:jc w:val="center"/>
            </w:pPr>
            <w:r w:rsidRPr="00791FB7">
              <w:rPr>
                <w:rFonts w:ascii="Segoe UI Symbol" w:hAnsi="Segoe UI Symbol" w:cs="Segoe UI Symbol"/>
                <w:bCs/>
              </w:rPr>
              <w:t>✔</w:t>
            </w:r>
          </w:p>
        </w:tc>
        <w:tc>
          <w:tcPr>
            <w:tcW w:w="1152" w:type="dxa"/>
            <w:hideMark/>
          </w:tcPr>
          <w:p w14:paraId="3E728366" w14:textId="77777777" w:rsidR="00EF7E3D" w:rsidRPr="00791FB7" w:rsidRDefault="00EF7E3D" w:rsidP="00BE2D2A">
            <w:pPr>
              <w:jc w:val="center"/>
            </w:pPr>
            <w:r w:rsidRPr="00791FB7">
              <w:rPr>
                <w:rFonts w:ascii="Segoe UI Symbol" w:hAnsi="Segoe UI Symbol" w:cs="Segoe UI Symbol"/>
                <w:bCs/>
              </w:rPr>
              <w:t>✔</w:t>
            </w:r>
            <w:r w:rsidRPr="00791FB7">
              <w:rPr>
                <w:bCs/>
              </w:rPr>
              <w:t>(e)</w:t>
            </w:r>
          </w:p>
        </w:tc>
        <w:tc>
          <w:tcPr>
            <w:tcW w:w="1152" w:type="dxa"/>
            <w:hideMark/>
          </w:tcPr>
          <w:p w14:paraId="4A27AC1B" w14:textId="77777777" w:rsidR="00EF7E3D" w:rsidRPr="00791FB7" w:rsidRDefault="00EF7E3D" w:rsidP="00BE2D2A">
            <w:pPr>
              <w:jc w:val="center"/>
            </w:pPr>
          </w:p>
        </w:tc>
        <w:tc>
          <w:tcPr>
            <w:tcW w:w="1152" w:type="dxa"/>
            <w:hideMark/>
          </w:tcPr>
          <w:p w14:paraId="6F026FA8" w14:textId="77777777" w:rsidR="00EF7E3D" w:rsidRPr="00791FB7" w:rsidRDefault="00EF7E3D" w:rsidP="00BE2D2A">
            <w:pPr>
              <w:jc w:val="center"/>
            </w:pPr>
            <w:r w:rsidRPr="00791FB7">
              <w:rPr>
                <w:rFonts w:ascii="Segoe UI Symbol" w:hAnsi="Segoe UI Symbol" w:cs="Segoe UI Symbol"/>
                <w:bCs/>
              </w:rPr>
              <w:t>✔</w:t>
            </w:r>
          </w:p>
        </w:tc>
        <w:tc>
          <w:tcPr>
            <w:tcW w:w="1152" w:type="dxa"/>
            <w:hideMark/>
          </w:tcPr>
          <w:p w14:paraId="4B8276CB" w14:textId="77777777" w:rsidR="00EF7E3D" w:rsidRPr="00791FB7" w:rsidRDefault="00EF7E3D" w:rsidP="00BE2D2A">
            <w:pPr>
              <w:jc w:val="center"/>
            </w:pPr>
            <w:r w:rsidRPr="00791FB7">
              <w:rPr>
                <w:rFonts w:ascii="Segoe UI Symbol" w:hAnsi="Segoe UI Symbol" w:cs="Segoe UI Symbol"/>
                <w:bCs/>
              </w:rPr>
              <w:t>✔</w:t>
            </w:r>
          </w:p>
        </w:tc>
      </w:tr>
      <w:tr w:rsidR="00EF7E3D" w:rsidRPr="00791FB7" w14:paraId="2D829C8F" w14:textId="77777777" w:rsidTr="00BE2D2A">
        <w:tc>
          <w:tcPr>
            <w:tcW w:w="2880" w:type="dxa"/>
            <w:hideMark/>
          </w:tcPr>
          <w:p w14:paraId="0A1649A2" w14:textId="77777777" w:rsidR="00EF7E3D" w:rsidRPr="00791FB7" w:rsidRDefault="00EF7E3D" w:rsidP="00BE2D2A">
            <w:pPr>
              <w:rPr>
                <w:b/>
              </w:rPr>
            </w:pPr>
            <w:r w:rsidRPr="00791FB7">
              <w:rPr>
                <w:b/>
              </w:rPr>
              <w:t>Manage Customer Users</w:t>
            </w:r>
          </w:p>
        </w:tc>
        <w:tc>
          <w:tcPr>
            <w:tcW w:w="1152" w:type="dxa"/>
            <w:hideMark/>
          </w:tcPr>
          <w:p w14:paraId="14138D1E" w14:textId="77777777" w:rsidR="00EF7E3D" w:rsidRPr="00791FB7" w:rsidRDefault="00EF7E3D" w:rsidP="00BE2D2A">
            <w:pPr>
              <w:jc w:val="center"/>
            </w:pPr>
          </w:p>
        </w:tc>
        <w:tc>
          <w:tcPr>
            <w:tcW w:w="1152" w:type="dxa"/>
            <w:hideMark/>
          </w:tcPr>
          <w:p w14:paraId="4D197364" w14:textId="77777777" w:rsidR="00EF7E3D" w:rsidRPr="00791FB7" w:rsidRDefault="00EF7E3D" w:rsidP="00BE2D2A">
            <w:pPr>
              <w:jc w:val="center"/>
            </w:pPr>
            <w:r w:rsidRPr="00791FB7">
              <w:rPr>
                <w:rFonts w:ascii="Segoe UI Symbol" w:hAnsi="Segoe UI Symbol" w:cs="Segoe UI Symbol"/>
              </w:rPr>
              <w:t>✔</w:t>
            </w:r>
            <w:r w:rsidRPr="00791FB7">
              <w:t>(e)</w:t>
            </w:r>
          </w:p>
        </w:tc>
        <w:tc>
          <w:tcPr>
            <w:tcW w:w="1152" w:type="dxa"/>
            <w:hideMark/>
          </w:tcPr>
          <w:p w14:paraId="646CA5B5" w14:textId="77777777" w:rsidR="00EF7E3D" w:rsidRPr="00791FB7" w:rsidRDefault="00EF7E3D" w:rsidP="00BE2D2A">
            <w:pPr>
              <w:jc w:val="center"/>
            </w:pPr>
          </w:p>
        </w:tc>
        <w:tc>
          <w:tcPr>
            <w:tcW w:w="1152" w:type="dxa"/>
            <w:hideMark/>
          </w:tcPr>
          <w:p w14:paraId="371DFD8D" w14:textId="77777777" w:rsidR="00EF7E3D" w:rsidRPr="00791FB7" w:rsidRDefault="00EF7E3D" w:rsidP="00BE2D2A">
            <w:pPr>
              <w:jc w:val="center"/>
            </w:pPr>
            <w:r w:rsidRPr="00791FB7">
              <w:rPr>
                <w:rFonts w:ascii="Segoe UI Symbol" w:hAnsi="Segoe UI Symbol" w:cs="Segoe UI Symbol"/>
              </w:rPr>
              <w:t>✔</w:t>
            </w:r>
          </w:p>
        </w:tc>
        <w:tc>
          <w:tcPr>
            <w:tcW w:w="1152" w:type="dxa"/>
            <w:hideMark/>
          </w:tcPr>
          <w:p w14:paraId="1494DA2D" w14:textId="77777777" w:rsidR="00EF7E3D" w:rsidRPr="00791FB7" w:rsidRDefault="00EF7E3D" w:rsidP="00BE2D2A">
            <w:pPr>
              <w:jc w:val="center"/>
            </w:pPr>
          </w:p>
        </w:tc>
      </w:tr>
      <w:tr w:rsidR="00EF7E3D" w:rsidRPr="00791FB7" w14:paraId="0652147F" w14:textId="77777777" w:rsidTr="00BE2D2A">
        <w:tc>
          <w:tcPr>
            <w:tcW w:w="2880" w:type="dxa"/>
            <w:hideMark/>
          </w:tcPr>
          <w:p w14:paraId="06BCD3DF" w14:textId="77777777" w:rsidR="00EF7E3D" w:rsidRPr="00791FB7" w:rsidRDefault="00EF7E3D" w:rsidP="00BE2D2A">
            <w:pPr>
              <w:rPr>
                <w:b/>
              </w:rPr>
            </w:pPr>
            <w:r w:rsidRPr="00791FB7">
              <w:rPr>
                <w:b/>
              </w:rPr>
              <w:t>Manage Customers</w:t>
            </w:r>
          </w:p>
        </w:tc>
        <w:tc>
          <w:tcPr>
            <w:tcW w:w="1152" w:type="dxa"/>
            <w:hideMark/>
          </w:tcPr>
          <w:p w14:paraId="1518D527" w14:textId="77777777" w:rsidR="00EF7E3D" w:rsidRPr="00791FB7" w:rsidRDefault="00EF7E3D" w:rsidP="00BE2D2A">
            <w:pPr>
              <w:jc w:val="center"/>
            </w:pPr>
            <w:r w:rsidRPr="00791FB7">
              <w:rPr>
                <w:rFonts w:ascii="Segoe UI Symbol" w:hAnsi="Segoe UI Symbol" w:cs="Segoe UI Symbol"/>
              </w:rPr>
              <w:t>✔</w:t>
            </w:r>
          </w:p>
        </w:tc>
        <w:tc>
          <w:tcPr>
            <w:tcW w:w="1152" w:type="dxa"/>
            <w:hideMark/>
          </w:tcPr>
          <w:p w14:paraId="74B5E30D" w14:textId="77777777" w:rsidR="00EF7E3D" w:rsidRPr="00791FB7" w:rsidRDefault="00EF7E3D" w:rsidP="00BE2D2A">
            <w:pPr>
              <w:jc w:val="center"/>
            </w:pPr>
          </w:p>
        </w:tc>
        <w:tc>
          <w:tcPr>
            <w:tcW w:w="1152" w:type="dxa"/>
            <w:hideMark/>
          </w:tcPr>
          <w:p w14:paraId="00D4582C" w14:textId="77777777" w:rsidR="00EF7E3D" w:rsidRPr="00791FB7" w:rsidRDefault="00EF7E3D" w:rsidP="00BE2D2A">
            <w:pPr>
              <w:jc w:val="center"/>
            </w:pPr>
            <w:r w:rsidRPr="00791FB7">
              <w:rPr>
                <w:rFonts w:ascii="Segoe UI Symbol" w:hAnsi="Segoe UI Symbol" w:cs="Segoe UI Symbol"/>
              </w:rPr>
              <w:t>✔</w:t>
            </w:r>
          </w:p>
        </w:tc>
        <w:tc>
          <w:tcPr>
            <w:tcW w:w="1152" w:type="dxa"/>
            <w:hideMark/>
          </w:tcPr>
          <w:p w14:paraId="6D473991" w14:textId="77777777" w:rsidR="00EF7E3D" w:rsidRPr="00791FB7" w:rsidRDefault="00EF7E3D" w:rsidP="00BE2D2A">
            <w:pPr>
              <w:jc w:val="center"/>
            </w:pPr>
          </w:p>
        </w:tc>
        <w:tc>
          <w:tcPr>
            <w:tcW w:w="1152" w:type="dxa"/>
            <w:hideMark/>
          </w:tcPr>
          <w:p w14:paraId="6078689C" w14:textId="77777777" w:rsidR="00EF7E3D" w:rsidRPr="00791FB7" w:rsidRDefault="00EF7E3D" w:rsidP="00BE2D2A">
            <w:pPr>
              <w:jc w:val="center"/>
            </w:pPr>
          </w:p>
        </w:tc>
      </w:tr>
      <w:tr w:rsidR="00EF7E3D" w:rsidRPr="00791FB7" w14:paraId="48A2ECB2" w14:textId="77777777" w:rsidTr="00BE2D2A">
        <w:tc>
          <w:tcPr>
            <w:tcW w:w="2880" w:type="dxa"/>
            <w:hideMark/>
          </w:tcPr>
          <w:p w14:paraId="15E90E3A" w14:textId="77777777" w:rsidR="00EF7E3D" w:rsidRPr="00791FB7" w:rsidRDefault="00EF7E3D" w:rsidP="00BE2D2A">
            <w:pPr>
              <w:rPr>
                <w:b/>
              </w:rPr>
            </w:pPr>
            <w:r w:rsidRPr="00791FB7">
              <w:rPr>
                <w:b/>
              </w:rPr>
              <w:t>Manage Customer Profiles</w:t>
            </w:r>
          </w:p>
        </w:tc>
        <w:tc>
          <w:tcPr>
            <w:tcW w:w="1152" w:type="dxa"/>
            <w:hideMark/>
          </w:tcPr>
          <w:p w14:paraId="28D3827D" w14:textId="77777777" w:rsidR="00EF7E3D" w:rsidRPr="00791FB7" w:rsidRDefault="00EF7E3D" w:rsidP="00BE2D2A">
            <w:pPr>
              <w:jc w:val="center"/>
            </w:pPr>
            <w:r w:rsidRPr="00791FB7">
              <w:rPr>
                <w:rFonts w:ascii="Segoe UI Symbol" w:hAnsi="Segoe UI Symbol" w:cs="Segoe UI Symbol"/>
              </w:rPr>
              <w:t>✔</w:t>
            </w:r>
          </w:p>
        </w:tc>
        <w:tc>
          <w:tcPr>
            <w:tcW w:w="1152" w:type="dxa"/>
            <w:hideMark/>
          </w:tcPr>
          <w:p w14:paraId="5541D0D2" w14:textId="77777777" w:rsidR="00EF7E3D" w:rsidRPr="00791FB7" w:rsidRDefault="00EF7E3D" w:rsidP="00BE2D2A">
            <w:pPr>
              <w:jc w:val="center"/>
            </w:pPr>
          </w:p>
        </w:tc>
        <w:tc>
          <w:tcPr>
            <w:tcW w:w="1152" w:type="dxa"/>
            <w:hideMark/>
          </w:tcPr>
          <w:p w14:paraId="58F4F934" w14:textId="77777777" w:rsidR="00EF7E3D" w:rsidRPr="00791FB7" w:rsidRDefault="00EF7E3D" w:rsidP="00BE2D2A">
            <w:pPr>
              <w:jc w:val="center"/>
            </w:pPr>
            <w:r w:rsidRPr="00791FB7">
              <w:rPr>
                <w:rFonts w:ascii="Segoe UI Symbol" w:hAnsi="Segoe UI Symbol" w:cs="Segoe UI Symbol"/>
              </w:rPr>
              <w:t>✔</w:t>
            </w:r>
          </w:p>
        </w:tc>
        <w:tc>
          <w:tcPr>
            <w:tcW w:w="1152" w:type="dxa"/>
            <w:hideMark/>
          </w:tcPr>
          <w:p w14:paraId="490935D4" w14:textId="77777777" w:rsidR="00EF7E3D" w:rsidRPr="00791FB7" w:rsidRDefault="00EF7E3D" w:rsidP="00BE2D2A">
            <w:pPr>
              <w:jc w:val="center"/>
            </w:pPr>
          </w:p>
        </w:tc>
        <w:tc>
          <w:tcPr>
            <w:tcW w:w="1152" w:type="dxa"/>
            <w:hideMark/>
          </w:tcPr>
          <w:p w14:paraId="0162DC1D" w14:textId="77777777" w:rsidR="00EF7E3D" w:rsidRPr="00791FB7" w:rsidRDefault="00EF7E3D" w:rsidP="00BE2D2A">
            <w:pPr>
              <w:jc w:val="center"/>
            </w:pPr>
          </w:p>
        </w:tc>
      </w:tr>
      <w:tr w:rsidR="00EF7E3D" w:rsidRPr="00791FB7" w14:paraId="15366FF4" w14:textId="77777777" w:rsidTr="00BE2D2A">
        <w:tc>
          <w:tcPr>
            <w:tcW w:w="2880" w:type="dxa"/>
            <w:hideMark/>
          </w:tcPr>
          <w:p w14:paraId="2D5F504B" w14:textId="77777777" w:rsidR="00EF7E3D" w:rsidRPr="00791FB7" w:rsidRDefault="00EF7E3D" w:rsidP="00BE2D2A">
            <w:pPr>
              <w:rPr>
                <w:b/>
              </w:rPr>
            </w:pPr>
            <w:r w:rsidRPr="00791FB7">
              <w:rPr>
                <w:b/>
              </w:rPr>
              <w:t>Manage Orders</w:t>
            </w:r>
          </w:p>
        </w:tc>
        <w:tc>
          <w:tcPr>
            <w:tcW w:w="1152" w:type="dxa"/>
            <w:hideMark/>
          </w:tcPr>
          <w:p w14:paraId="3C981434" w14:textId="77777777" w:rsidR="00EF7E3D" w:rsidRPr="00791FB7" w:rsidRDefault="00EF7E3D" w:rsidP="00BE2D2A">
            <w:pPr>
              <w:jc w:val="center"/>
            </w:pPr>
            <w:r w:rsidRPr="00791FB7">
              <w:rPr>
                <w:rFonts w:ascii="Segoe UI Symbol" w:hAnsi="Segoe UI Symbol" w:cs="Segoe UI Symbol"/>
              </w:rPr>
              <w:t>✔</w:t>
            </w:r>
          </w:p>
        </w:tc>
        <w:tc>
          <w:tcPr>
            <w:tcW w:w="1152" w:type="dxa"/>
            <w:hideMark/>
          </w:tcPr>
          <w:p w14:paraId="314BE941" w14:textId="77777777" w:rsidR="00EF7E3D" w:rsidRPr="00791FB7" w:rsidRDefault="00EF7E3D" w:rsidP="00BE2D2A">
            <w:pPr>
              <w:jc w:val="center"/>
            </w:pPr>
          </w:p>
        </w:tc>
        <w:tc>
          <w:tcPr>
            <w:tcW w:w="1152" w:type="dxa"/>
            <w:hideMark/>
          </w:tcPr>
          <w:p w14:paraId="48403EB3" w14:textId="77777777" w:rsidR="00EF7E3D" w:rsidRPr="00791FB7" w:rsidRDefault="00EF7E3D" w:rsidP="00BE2D2A">
            <w:pPr>
              <w:jc w:val="center"/>
            </w:pPr>
            <w:r w:rsidRPr="00791FB7">
              <w:rPr>
                <w:rFonts w:ascii="Segoe UI Symbol" w:hAnsi="Segoe UI Symbol" w:cs="Segoe UI Symbol"/>
              </w:rPr>
              <w:t>✔</w:t>
            </w:r>
          </w:p>
        </w:tc>
        <w:tc>
          <w:tcPr>
            <w:tcW w:w="1152" w:type="dxa"/>
            <w:hideMark/>
          </w:tcPr>
          <w:p w14:paraId="63B23BEE" w14:textId="77777777" w:rsidR="00EF7E3D" w:rsidRPr="00791FB7" w:rsidRDefault="00EF7E3D" w:rsidP="00BE2D2A">
            <w:pPr>
              <w:jc w:val="center"/>
            </w:pPr>
          </w:p>
        </w:tc>
        <w:tc>
          <w:tcPr>
            <w:tcW w:w="1152" w:type="dxa"/>
            <w:hideMark/>
          </w:tcPr>
          <w:p w14:paraId="47B210AC" w14:textId="77777777" w:rsidR="00EF7E3D" w:rsidRPr="00791FB7" w:rsidRDefault="00EF7E3D" w:rsidP="00BE2D2A">
            <w:pPr>
              <w:jc w:val="center"/>
            </w:pPr>
          </w:p>
        </w:tc>
      </w:tr>
      <w:tr w:rsidR="00EF7E3D" w:rsidRPr="00791FB7" w14:paraId="648EF0E0" w14:textId="77777777" w:rsidTr="00BE2D2A">
        <w:tc>
          <w:tcPr>
            <w:tcW w:w="2880" w:type="dxa"/>
            <w:hideMark/>
          </w:tcPr>
          <w:p w14:paraId="64719278" w14:textId="77777777" w:rsidR="00EF7E3D" w:rsidRPr="00791FB7" w:rsidRDefault="00EF7E3D" w:rsidP="00BE2D2A">
            <w:pPr>
              <w:rPr>
                <w:b/>
              </w:rPr>
            </w:pPr>
            <w:r w:rsidRPr="00791FB7">
              <w:rPr>
                <w:b/>
              </w:rPr>
              <w:t>Manage Subscriptions</w:t>
            </w:r>
          </w:p>
        </w:tc>
        <w:tc>
          <w:tcPr>
            <w:tcW w:w="1152" w:type="dxa"/>
            <w:hideMark/>
          </w:tcPr>
          <w:p w14:paraId="740CF396" w14:textId="77777777" w:rsidR="00EF7E3D" w:rsidRPr="00791FB7" w:rsidRDefault="00EF7E3D" w:rsidP="00BE2D2A">
            <w:pPr>
              <w:jc w:val="center"/>
            </w:pPr>
            <w:r w:rsidRPr="00791FB7">
              <w:rPr>
                <w:rFonts w:ascii="Segoe UI Symbol" w:hAnsi="Segoe UI Symbol" w:cs="Segoe UI Symbol"/>
              </w:rPr>
              <w:t>✔</w:t>
            </w:r>
          </w:p>
        </w:tc>
        <w:tc>
          <w:tcPr>
            <w:tcW w:w="1152" w:type="dxa"/>
            <w:hideMark/>
          </w:tcPr>
          <w:p w14:paraId="2FE9B435" w14:textId="77777777" w:rsidR="00EF7E3D" w:rsidRPr="00791FB7" w:rsidRDefault="00EF7E3D" w:rsidP="00BE2D2A">
            <w:pPr>
              <w:jc w:val="center"/>
            </w:pPr>
          </w:p>
        </w:tc>
        <w:tc>
          <w:tcPr>
            <w:tcW w:w="1152" w:type="dxa"/>
            <w:hideMark/>
          </w:tcPr>
          <w:p w14:paraId="33B332B1" w14:textId="77777777" w:rsidR="00EF7E3D" w:rsidRPr="00791FB7" w:rsidRDefault="00EF7E3D" w:rsidP="00BE2D2A">
            <w:pPr>
              <w:jc w:val="center"/>
            </w:pPr>
            <w:r w:rsidRPr="00791FB7">
              <w:rPr>
                <w:rFonts w:ascii="Segoe UI Symbol" w:hAnsi="Segoe UI Symbol" w:cs="Segoe UI Symbol"/>
              </w:rPr>
              <w:t>✔</w:t>
            </w:r>
          </w:p>
        </w:tc>
        <w:tc>
          <w:tcPr>
            <w:tcW w:w="1152" w:type="dxa"/>
            <w:hideMark/>
          </w:tcPr>
          <w:p w14:paraId="7CAC772E" w14:textId="77777777" w:rsidR="00EF7E3D" w:rsidRPr="00791FB7" w:rsidRDefault="00EF7E3D" w:rsidP="00BE2D2A">
            <w:pPr>
              <w:jc w:val="center"/>
            </w:pPr>
          </w:p>
        </w:tc>
        <w:tc>
          <w:tcPr>
            <w:tcW w:w="1152" w:type="dxa"/>
            <w:hideMark/>
          </w:tcPr>
          <w:p w14:paraId="7F651977" w14:textId="77777777" w:rsidR="00EF7E3D" w:rsidRPr="00791FB7" w:rsidRDefault="00EF7E3D" w:rsidP="00BE2D2A">
            <w:pPr>
              <w:jc w:val="center"/>
            </w:pPr>
          </w:p>
        </w:tc>
      </w:tr>
      <w:tr w:rsidR="00EF7E3D" w:rsidRPr="00791FB7" w14:paraId="566D3B25" w14:textId="77777777" w:rsidTr="00BE2D2A">
        <w:tc>
          <w:tcPr>
            <w:tcW w:w="2880" w:type="dxa"/>
            <w:hideMark/>
          </w:tcPr>
          <w:p w14:paraId="5ABBAAF3" w14:textId="77777777" w:rsidR="00EF7E3D" w:rsidRPr="00791FB7" w:rsidRDefault="00EF7E3D" w:rsidP="00BE2D2A">
            <w:pPr>
              <w:rPr>
                <w:b/>
              </w:rPr>
            </w:pPr>
            <w:r w:rsidRPr="00791FB7">
              <w:rPr>
                <w:b/>
              </w:rPr>
              <w:t>Manage Entitlements</w:t>
            </w:r>
          </w:p>
        </w:tc>
        <w:tc>
          <w:tcPr>
            <w:tcW w:w="1152" w:type="dxa"/>
            <w:hideMark/>
          </w:tcPr>
          <w:p w14:paraId="6C9A037E" w14:textId="77777777" w:rsidR="00EF7E3D" w:rsidRPr="00791FB7" w:rsidRDefault="00EF7E3D" w:rsidP="00BE2D2A">
            <w:pPr>
              <w:jc w:val="center"/>
            </w:pPr>
            <w:r w:rsidRPr="00791FB7">
              <w:rPr>
                <w:rFonts w:ascii="Segoe UI Symbol" w:hAnsi="Segoe UI Symbol" w:cs="Segoe UI Symbol"/>
              </w:rPr>
              <w:t>✔</w:t>
            </w:r>
          </w:p>
        </w:tc>
        <w:tc>
          <w:tcPr>
            <w:tcW w:w="1152" w:type="dxa"/>
            <w:hideMark/>
          </w:tcPr>
          <w:p w14:paraId="6B84E318" w14:textId="77777777" w:rsidR="00EF7E3D" w:rsidRPr="00791FB7" w:rsidRDefault="00EF7E3D" w:rsidP="00BE2D2A">
            <w:pPr>
              <w:jc w:val="center"/>
            </w:pPr>
          </w:p>
        </w:tc>
        <w:tc>
          <w:tcPr>
            <w:tcW w:w="1152" w:type="dxa"/>
            <w:hideMark/>
          </w:tcPr>
          <w:p w14:paraId="64090654" w14:textId="77777777" w:rsidR="00EF7E3D" w:rsidRPr="00791FB7" w:rsidRDefault="00EF7E3D" w:rsidP="00BE2D2A">
            <w:pPr>
              <w:jc w:val="center"/>
            </w:pPr>
            <w:r w:rsidRPr="00791FB7">
              <w:rPr>
                <w:rFonts w:ascii="Segoe UI Symbol" w:hAnsi="Segoe UI Symbol" w:cs="Segoe UI Symbol"/>
              </w:rPr>
              <w:t>✔</w:t>
            </w:r>
          </w:p>
        </w:tc>
        <w:tc>
          <w:tcPr>
            <w:tcW w:w="1152" w:type="dxa"/>
            <w:hideMark/>
          </w:tcPr>
          <w:p w14:paraId="4944B309" w14:textId="77777777" w:rsidR="00EF7E3D" w:rsidRPr="00791FB7" w:rsidRDefault="00EF7E3D" w:rsidP="00BE2D2A">
            <w:pPr>
              <w:jc w:val="center"/>
            </w:pPr>
          </w:p>
        </w:tc>
        <w:tc>
          <w:tcPr>
            <w:tcW w:w="1152" w:type="dxa"/>
            <w:hideMark/>
          </w:tcPr>
          <w:p w14:paraId="6B953709" w14:textId="77777777" w:rsidR="00EF7E3D" w:rsidRPr="00791FB7" w:rsidRDefault="00EF7E3D" w:rsidP="00BE2D2A">
            <w:pPr>
              <w:jc w:val="center"/>
            </w:pPr>
          </w:p>
        </w:tc>
      </w:tr>
      <w:tr w:rsidR="00EF7E3D" w:rsidRPr="00791FB7" w14:paraId="2BDBE27B" w14:textId="77777777" w:rsidTr="00BE2D2A">
        <w:tc>
          <w:tcPr>
            <w:tcW w:w="2880" w:type="dxa"/>
            <w:hideMark/>
          </w:tcPr>
          <w:p w14:paraId="3782E36B" w14:textId="77777777" w:rsidR="00EF7E3D" w:rsidRPr="00791FB7" w:rsidRDefault="00EF7E3D" w:rsidP="00BE2D2A">
            <w:pPr>
              <w:rPr>
                <w:b/>
              </w:rPr>
            </w:pPr>
            <w:r w:rsidRPr="00791FB7">
              <w:rPr>
                <w:b/>
              </w:rPr>
              <w:t>Manage Event Streams</w:t>
            </w:r>
          </w:p>
        </w:tc>
        <w:tc>
          <w:tcPr>
            <w:tcW w:w="1152" w:type="dxa"/>
            <w:hideMark/>
          </w:tcPr>
          <w:p w14:paraId="335B45B5" w14:textId="77777777" w:rsidR="00EF7E3D" w:rsidRPr="00791FB7" w:rsidRDefault="00EF7E3D" w:rsidP="00BE2D2A">
            <w:pPr>
              <w:jc w:val="center"/>
            </w:pPr>
          </w:p>
        </w:tc>
        <w:tc>
          <w:tcPr>
            <w:tcW w:w="1152" w:type="dxa"/>
            <w:hideMark/>
          </w:tcPr>
          <w:p w14:paraId="4F8DEF52" w14:textId="77777777" w:rsidR="00EF7E3D" w:rsidRPr="00791FB7" w:rsidRDefault="00EF7E3D" w:rsidP="00BE2D2A">
            <w:pPr>
              <w:jc w:val="center"/>
            </w:pPr>
          </w:p>
        </w:tc>
        <w:tc>
          <w:tcPr>
            <w:tcW w:w="1152" w:type="dxa"/>
            <w:hideMark/>
          </w:tcPr>
          <w:p w14:paraId="1322E9F8" w14:textId="77777777" w:rsidR="00EF7E3D" w:rsidRPr="00791FB7" w:rsidRDefault="00EF7E3D" w:rsidP="00BE2D2A">
            <w:pPr>
              <w:jc w:val="center"/>
            </w:pPr>
            <w:r w:rsidRPr="00791FB7">
              <w:rPr>
                <w:rFonts w:ascii="Segoe UI Symbol" w:hAnsi="Segoe UI Symbol" w:cs="Segoe UI Symbol"/>
              </w:rPr>
              <w:t>✔</w:t>
            </w:r>
          </w:p>
        </w:tc>
        <w:tc>
          <w:tcPr>
            <w:tcW w:w="1152" w:type="dxa"/>
            <w:hideMark/>
          </w:tcPr>
          <w:p w14:paraId="3D768604" w14:textId="77777777" w:rsidR="00EF7E3D" w:rsidRPr="00791FB7" w:rsidRDefault="00EF7E3D" w:rsidP="00BE2D2A">
            <w:pPr>
              <w:jc w:val="center"/>
            </w:pPr>
          </w:p>
        </w:tc>
        <w:tc>
          <w:tcPr>
            <w:tcW w:w="1152" w:type="dxa"/>
            <w:hideMark/>
          </w:tcPr>
          <w:p w14:paraId="070026C4" w14:textId="77777777" w:rsidR="00EF7E3D" w:rsidRPr="00791FB7" w:rsidRDefault="00EF7E3D" w:rsidP="00BE2D2A">
            <w:pPr>
              <w:jc w:val="center"/>
            </w:pPr>
          </w:p>
        </w:tc>
      </w:tr>
      <w:tr w:rsidR="00EF7E3D" w:rsidRPr="00791FB7" w14:paraId="0BC783D6" w14:textId="77777777" w:rsidTr="00BE2D2A">
        <w:tc>
          <w:tcPr>
            <w:tcW w:w="2880" w:type="dxa"/>
            <w:hideMark/>
          </w:tcPr>
          <w:p w14:paraId="2D8C41C8" w14:textId="77777777" w:rsidR="00EF7E3D" w:rsidRPr="00791FB7" w:rsidRDefault="00EF7E3D" w:rsidP="00BE2D2A">
            <w:pPr>
              <w:rPr>
                <w:b/>
              </w:rPr>
            </w:pPr>
            <w:r w:rsidRPr="00791FB7">
              <w:rPr>
                <w:b/>
              </w:rPr>
              <w:t>Perform Admin Tasks</w:t>
            </w:r>
          </w:p>
        </w:tc>
        <w:tc>
          <w:tcPr>
            <w:tcW w:w="1152" w:type="dxa"/>
            <w:hideMark/>
          </w:tcPr>
          <w:p w14:paraId="78C458DD" w14:textId="77777777" w:rsidR="00EF7E3D" w:rsidRPr="00791FB7" w:rsidRDefault="00EF7E3D" w:rsidP="00BE2D2A">
            <w:pPr>
              <w:jc w:val="center"/>
            </w:pPr>
          </w:p>
        </w:tc>
        <w:tc>
          <w:tcPr>
            <w:tcW w:w="1152" w:type="dxa"/>
            <w:hideMark/>
          </w:tcPr>
          <w:p w14:paraId="1F9213DE" w14:textId="77777777" w:rsidR="00EF7E3D" w:rsidRPr="00791FB7" w:rsidRDefault="00EF7E3D" w:rsidP="00BE2D2A">
            <w:pPr>
              <w:jc w:val="center"/>
            </w:pPr>
            <w:r w:rsidRPr="00791FB7">
              <w:rPr>
                <w:rFonts w:ascii="Segoe UI Symbol" w:hAnsi="Segoe UI Symbol" w:cs="Segoe UI Symbol"/>
              </w:rPr>
              <w:t>✔</w:t>
            </w:r>
            <w:r w:rsidRPr="00791FB7">
              <w:t>(n)</w:t>
            </w:r>
          </w:p>
        </w:tc>
        <w:tc>
          <w:tcPr>
            <w:tcW w:w="1152" w:type="dxa"/>
            <w:hideMark/>
          </w:tcPr>
          <w:p w14:paraId="4210EF9C" w14:textId="77777777" w:rsidR="00EF7E3D" w:rsidRPr="00791FB7" w:rsidRDefault="00EF7E3D" w:rsidP="00BE2D2A">
            <w:pPr>
              <w:jc w:val="center"/>
            </w:pPr>
          </w:p>
        </w:tc>
        <w:tc>
          <w:tcPr>
            <w:tcW w:w="1152" w:type="dxa"/>
            <w:hideMark/>
          </w:tcPr>
          <w:p w14:paraId="1EC503D9" w14:textId="77777777" w:rsidR="00EF7E3D" w:rsidRPr="00791FB7" w:rsidRDefault="00EF7E3D" w:rsidP="00BE2D2A">
            <w:pPr>
              <w:jc w:val="center"/>
            </w:pPr>
          </w:p>
        </w:tc>
        <w:tc>
          <w:tcPr>
            <w:tcW w:w="1152" w:type="dxa"/>
            <w:hideMark/>
          </w:tcPr>
          <w:p w14:paraId="07315CF3" w14:textId="77777777" w:rsidR="00EF7E3D" w:rsidRPr="00791FB7" w:rsidRDefault="00EF7E3D" w:rsidP="00BE2D2A">
            <w:pPr>
              <w:jc w:val="center"/>
            </w:pPr>
            <w:r w:rsidRPr="00791FB7">
              <w:rPr>
                <w:rFonts w:ascii="Segoe UI Symbol" w:hAnsi="Segoe UI Symbol" w:cs="Segoe UI Symbol"/>
              </w:rPr>
              <w:t>✔</w:t>
            </w:r>
            <w:r w:rsidRPr="00791FB7">
              <w:t>*</w:t>
            </w:r>
          </w:p>
        </w:tc>
      </w:tr>
      <w:tr w:rsidR="00EF7E3D" w:rsidRPr="00791FB7" w14:paraId="5CBBB137" w14:textId="77777777" w:rsidTr="00BE2D2A">
        <w:tc>
          <w:tcPr>
            <w:tcW w:w="2880" w:type="dxa"/>
            <w:hideMark/>
          </w:tcPr>
          <w:p w14:paraId="00196D02" w14:textId="77777777" w:rsidR="00EF7E3D" w:rsidRPr="00791FB7" w:rsidRDefault="00EF7E3D" w:rsidP="00BE2D2A">
            <w:pPr>
              <w:rPr>
                <w:b/>
              </w:rPr>
            </w:pPr>
            <w:r w:rsidRPr="00791FB7">
              <w:rPr>
                <w:b/>
              </w:rPr>
              <w:t>View Service Health</w:t>
            </w:r>
          </w:p>
        </w:tc>
        <w:tc>
          <w:tcPr>
            <w:tcW w:w="1152" w:type="dxa"/>
            <w:hideMark/>
          </w:tcPr>
          <w:p w14:paraId="6A77850B" w14:textId="77777777" w:rsidR="00EF7E3D" w:rsidRPr="00791FB7" w:rsidRDefault="00EF7E3D" w:rsidP="00BE2D2A">
            <w:pPr>
              <w:jc w:val="center"/>
            </w:pPr>
          </w:p>
        </w:tc>
        <w:tc>
          <w:tcPr>
            <w:tcW w:w="1152" w:type="dxa"/>
            <w:hideMark/>
          </w:tcPr>
          <w:p w14:paraId="0637F45B" w14:textId="77777777" w:rsidR="00EF7E3D" w:rsidRPr="00791FB7" w:rsidRDefault="00EF7E3D" w:rsidP="00BE2D2A">
            <w:pPr>
              <w:jc w:val="center"/>
            </w:pPr>
            <w:r w:rsidRPr="00791FB7">
              <w:rPr>
                <w:rFonts w:ascii="Segoe UI Symbol" w:hAnsi="Segoe UI Symbol" w:cs="Segoe UI Symbol"/>
              </w:rPr>
              <w:t>✔</w:t>
            </w:r>
            <w:r w:rsidRPr="00791FB7">
              <w:t>(n)</w:t>
            </w:r>
          </w:p>
        </w:tc>
        <w:tc>
          <w:tcPr>
            <w:tcW w:w="1152" w:type="dxa"/>
            <w:hideMark/>
          </w:tcPr>
          <w:p w14:paraId="2BA603C1" w14:textId="77777777" w:rsidR="00EF7E3D" w:rsidRPr="00791FB7" w:rsidRDefault="00EF7E3D" w:rsidP="00BE2D2A">
            <w:pPr>
              <w:jc w:val="center"/>
            </w:pPr>
          </w:p>
        </w:tc>
        <w:tc>
          <w:tcPr>
            <w:tcW w:w="1152" w:type="dxa"/>
            <w:hideMark/>
          </w:tcPr>
          <w:p w14:paraId="1AEABB89" w14:textId="77777777" w:rsidR="00EF7E3D" w:rsidRPr="00791FB7" w:rsidRDefault="00EF7E3D" w:rsidP="00BE2D2A">
            <w:pPr>
              <w:jc w:val="center"/>
            </w:pPr>
          </w:p>
        </w:tc>
        <w:tc>
          <w:tcPr>
            <w:tcW w:w="1152" w:type="dxa"/>
            <w:hideMark/>
          </w:tcPr>
          <w:p w14:paraId="3A2947FE" w14:textId="77777777" w:rsidR="00EF7E3D" w:rsidRPr="00791FB7" w:rsidRDefault="00EF7E3D" w:rsidP="00BE2D2A">
            <w:pPr>
              <w:jc w:val="center"/>
            </w:pPr>
          </w:p>
        </w:tc>
      </w:tr>
      <w:tr w:rsidR="00EF7E3D" w:rsidRPr="00791FB7" w14:paraId="56909B86" w14:textId="77777777" w:rsidTr="00BE2D2A">
        <w:tc>
          <w:tcPr>
            <w:tcW w:w="2880" w:type="dxa"/>
            <w:hideMark/>
          </w:tcPr>
          <w:p w14:paraId="278A71EF" w14:textId="77777777" w:rsidR="00EF7E3D" w:rsidRPr="00791FB7" w:rsidRDefault="00EF7E3D" w:rsidP="00BE2D2A">
            <w:pPr>
              <w:rPr>
                <w:b/>
              </w:rPr>
            </w:pPr>
            <w:r w:rsidRPr="00791FB7">
              <w:rPr>
                <w:b/>
              </w:rPr>
              <w:t>View Service Requests</w:t>
            </w:r>
          </w:p>
        </w:tc>
        <w:tc>
          <w:tcPr>
            <w:tcW w:w="1152" w:type="dxa"/>
            <w:hideMark/>
          </w:tcPr>
          <w:p w14:paraId="0541A755" w14:textId="77777777" w:rsidR="00EF7E3D" w:rsidRPr="00791FB7" w:rsidRDefault="00EF7E3D" w:rsidP="00BE2D2A">
            <w:pPr>
              <w:jc w:val="center"/>
            </w:pPr>
          </w:p>
        </w:tc>
        <w:tc>
          <w:tcPr>
            <w:tcW w:w="1152" w:type="dxa"/>
            <w:hideMark/>
          </w:tcPr>
          <w:p w14:paraId="42BD229F" w14:textId="77777777" w:rsidR="00EF7E3D" w:rsidRPr="00791FB7" w:rsidRDefault="00EF7E3D" w:rsidP="00BE2D2A">
            <w:pPr>
              <w:jc w:val="center"/>
            </w:pPr>
            <w:r w:rsidRPr="00791FB7">
              <w:rPr>
                <w:rFonts w:ascii="Segoe UI Symbol" w:hAnsi="Segoe UI Symbol" w:cs="Segoe UI Symbol"/>
              </w:rPr>
              <w:t>✔</w:t>
            </w:r>
            <w:r w:rsidRPr="00791FB7">
              <w:t>(n)</w:t>
            </w:r>
          </w:p>
        </w:tc>
        <w:tc>
          <w:tcPr>
            <w:tcW w:w="1152" w:type="dxa"/>
            <w:hideMark/>
          </w:tcPr>
          <w:p w14:paraId="6CE6172F" w14:textId="77777777" w:rsidR="00EF7E3D" w:rsidRPr="00791FB7" w:rsidRDefault="00EF7E3D" w:rsidP="00BE2D2A">
            <w:pPr>
              <w:jc w:val="center"/>
            </w:pPr>
          </w:p>
        </w:tc>
        <w:tc>
          <w:tcPr>
            <w:tcW w:w="1152" w:type="dxa"/>
            <w:hideMark/>
          </w:tcPr>
          <w:p w14:paraId="521455B7" w14:textId="77777777" w:rsidR="00EF7E3D" w:rsidRPr="00791FB7" w:rsidRDefault="00EF7E3D" w:rsidP="00BE2D2A">
            <w:pPr>
              <w:jc w:val="center"/>
            </w:pPr>
          </w:p>
        </w:tc>
        <w:tc>
          <w:tcPr>
            <w:tcW w:w="1152" w:type="dxa"/>
            <w:hideMark/>
          </w:tcPr>
          <w:p w14:paraId="71294031" w14:textId="77777777" w:rsidR="00EF7E3D" w:rsidRPr="00791FB7" w:rsidRDefault="00EF7E3D" w:rsidP="00BE2D2A">
            <w:pPr>
              <w:jc w:val="center"/>
            </w:pPr>
          </w:p>
        </w:tc>
      </w:tr>
    </w:tbl>
    <w:p w14:paraId="04AB4A1C" w14:textId="77777777" w:rsidR="00EF7E3D" w:rsidRPr="00791FB7" w:rsidRDefault="00EF7E3D" w:rsidP="00EF7E3D">
      <w:pPr>
        <w:rPr>
          <w:sz w:val="16"/>
        </w:rPr>
      </w:pPr>
      <w:r w:rsidRPr="00791FB7">
        <w:rPr>
          <w:sz w:val="16"/>
        </w:rPr>
        <w:t xml:space="preserve">(e) Denotes the existing Azure portal, i.e. </w:t>
      </w:r>
      <w:hyperlink r:id="rId534" w:history="1">
        <w:r w:rsidRPr="00791FB7">
          <w:rPr>
            <w:rStyle w:val="Hyperlink"/>
            <w:sz w:val="16"/>
          </w:rPr>
          <w:t>https://manage.windowsazure.com</w:t>
        </w:r>
      </w:hyperlink>
      <w:r w:rsidRPr="00791FB7">
        <w:rPr>
          <w:sz w:val="16"/>
        </w:rPr>
        <w:br/>
        <w:t xml:space="preserve">(n) Denotes the new preview Azure portal i.e. </w:t>
      </w:r>
      <w:hyperlink r:id="rId535" w:history="1">
        <w:r w:rsidRPr="00791FB7">
          <w:rPr>
            <w:rStyle w:val="Hyperlink"/>
            <w:sz w:val="16"/>
          </w:rPr>
          <w:t>https://portal.azure.com</w:t>
        </w:r>
      </w:hyperlink>
      <w:r w:rsidRPr="00791FB7">
        <w:rPr>
          <w:sz w:val="16"/>
        </w:rPr>
        <w:br/>
        <w:t>* Includes other Azure management interfaces like the Azure CLI and Azure REST API</w:t>
      </w:r>
    </w:p>
    <w:p w14:paraId="3A46D343" w14:textId="77777777" w:rsidR="00EF7E3D" w:rsidRPr="00212BBF" w:rsidRDefault="00EF7E3D" w:rsidP="00EF7E3D"/>
    <w:p w14:paraId="1A8F6146" w14:textId="7FA4AABB" w:rsidR="00EF7E3D" w:rsidRPr="00F66EA5" w:rsidRDefault="00EF7E3D" w:rsidP="00F66EA5">
      <w:r w:rsidRPr="00212BBF">
        <w:t xml:space="preserve">The release of the </w:t>
      </w:r>
      <w:r>
        <w:t xml:space="preserve">Graph </w:t>
      </w:r>
      <w:r w:rsidRPr="00212BBF">
        <w:t xml:space="preserve">API for CSP Partners </w:t>
      </w:r>
      <w:r w:rsidR="00F66EA5">
        <w:t>is provided to allow for the automation of</w:t>
      </w:r>
      <w:r w:rsidRPr="00212BBF">
        <w:t xml:space="preserve"> end-user management functions. </w:t>
      </w:r>
      <w:r w:rsidR="00F66EA5">
        <w:t xml:space="preserve">Note that the </w:t>
      </w:r>
      <w:r w:rsidR="00F66EA5" w:rsidRPr="00F66EA5">
        <w:t>GRAPH API for CSP Partners is similar to the existing Azure Active Directory (AD) GRAPH API, but includes the ability to be used by Partners who have a delegated admin relationship with its customers.</w:t>
      </w:r>
    </w:p>
    <w:p w14:paraId="09937D6B" w14:textId="77777777" w:rsidR="00EF7E3D" w:rsidRPr="009171D5" w:rsidRDefault="00EF7E3D" w:rsidP="00EF7E3D">
      <w:pPr>
        <w:rPr>
          <w:b/>
        </w:rPr>
      </w:pPr>
      <w:r w:rsidRPr="009171D5">
        <w:rPr>
          <w:b/>
        </w:rPr>
        <w:t>Application Registration</w:t>
      </w:r>
    </w:p>
    <w:p w14:paraId="7A3F342E" w14:textId="4EA50784" w:rsidR="00EF7E3D" w:rsidRDefault="00EF7E3D" w:rsidP="00EF7E3D">
      <w:r>
        <w:t xml:space="preserve">Before </w:t>
      </w:r>
      <w:r w:rsidR="00D61FCC">
        <w:t>you</w:t>
      </w:r>
      <w:r>
        <w:t xml:space="preserve"> can call Graph API from an application, </w:t>
      </w:r>
      <w:r w:rsidR="00113980">
        <w:t>the a</w:t>
      </w:r>
      <w:r>
        <w:t>pplication must be registered with Azure AD. Registration generates a security key for the application to use when accessing the Graph API and allows you to grant specify permissions to the application. Application registration can be done from the Azure portal</w:t>
      </w:r>
      <w:r w:rsidR="00F36F7A">
        <w:t>. For more d</w:t>
      </w:r>
      <w:r>
        <w:t>etails on application registration</w:t>
      </w:r>
      <w:r w:rsidR="00F36F7A">
        <w:t xml:space="preserve">, please see </w:t>
      </w:r>
      <w:hyperlink r:id="rId536" w:history="1">
        <w:r w:rsidR="00D61FCC" w:rsidRPr="00D61FCC">
          <w:rPr>
            <w:rStyle w:val="Hyperlink"/>
            <w:lang w:val="en"/>
          </w:rPr>
          <w:t>Integrating Applications with Azure Active Directory</w:t>
        </w:r>
      </w:hyperlink>
      <w:r w:rsidR="00D61FCC">
        <w:rPr>
          <w:lang w:val="en"/>
        </w:rPr>
        <w:t>.</w:t>
      </w:r>
      <w:r w:rsidR="00D61FCC">
        <w:t xml:space="preserve"> </w:t>
      </w:r>
    </w:p>
    <w:p w14:paraId="65C1BF65" w14:textId="77777777" w:rsidR="00EF7E3D" w:rsidRDefault="00EF7E3D" w:rsidP="00EF7E3D"/>
    <w:p w14:paraId="54D87B1A" w14:textId="77777777" w:rsidR="00EF7E3D" w:rsidRPr="0079104A" w:rsidRDefault="00EF7E3D" w:rsidP="00EF7E3D">
      <w:pPr>
        <w:rPr>
          <w:b/>
        </w:rPr>
      </w:pPr>
      <w:r w:rsidRPr="0079104A">
        <w:rPr>
          <w:b/>
        </w:rPr>
        <w:t>Multi-Tenant Access</w:t>
      </w:r>
    </w:p>
    <w:p w14:paraId="0FF7867D" w14:textId="0A10807A" w:rsidR="00EF7E3D" w:rsidRDefault="00EF7E3D" w:rsidP="00EF7E3D">
      <w:r>
        <w:t xml:space="preserve">Within the Azure AD application configuration, you may decide whether to allow your application to allow sign-in </w:t>
      </w:r>
      <w:r w:rsidRPr="0079104A">
        <w:t xml:space="preserve">from other </w:t>
      </w:r>
      <w:r>
        <w:t xml:space="preserve">Azure AD tenants by selecting the multi-tenant option. </w:t>
      </w:r>
      <w:r w:rsidRPr="0079104A">
        <w:t xml:space="preserve">In contrast to a </w:t>
      </w:r>
      <w:r>
        <w:t xml:space="preserve">single-tenant application, </w:t>
      </w:r>
      <w:r w:rsidRPr="0079104A">
        <w:t>external users will need to consent to your application before you have access to query their directory with the Graph API</w:t>
      </w:r>
      <w:r w:rsidR="00113980">
        <w:t>.</w:t>
      </w:r>
    </w:p>
    <w:p w14:paraId="25EF2E6C" w14:textId="77777777" w:rsidR="00EF7E3D" w:rsidRDefault="00EF7E3D" w:rsidP="00EF7E3D">
      <w:r w:rsidRPr="0079104A">
        <w:rPr>
          <w:noProof/>
        </w:rPr>
        <w:drawing>
          <wp:inline distT="0" distB="0" distL="0" distR="0" wp14:anchorId="5C1831EE" wp14:editId="2AF0AA6D">
            <wp:extent cx="5943600" cy="643255"/>
            <wp:effectExtent l="0" t="0" r="0" b="4445"/>
            <wp:docPr id="178"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537" cstate="print">
                      <a:extLst>
                        <a:ext uri="{28A0092B-C50C-407E-A947-70E740481C1C}">
                          <a14:useLocalDpi xmlns:a14="http://schemas.microsoft.com/office/drawing/2010/main" val="0"/>
                        </a:ext>
                      </a:extLst>
                    </a:blip>
                    <a:srcRect b="73782"/>
                    <a:stretch/>
                  </pic:blipFill>
                  <pic:spPr bwMode="auto">
                    <a:xfrm>
                      <a:off x="0" y="0"/>
                      <a:ext cx="5943600" cy="643255"/>
                    </a:xfrm>
                    <a:prstGeom prst="rect">
                      <a:avLst/>
                    </a:prstGeom>
                    <a:ln>
                      <a:noFill/>
                    </a:ln>
                    <a:extLst>
                      <a:ext uri="{53640926-AAD7-44D8-BBD7-CCE9431645EC}">
                        <a14:shadowObscured xmlns:a14="http://schemas.microsoft.com/office/drawing/2010/main"/>
                      </a:ext>
                    </a:extLst>
                  </pic:spPr>
                </pic:pic>
              </a:graphicData>
            </a:graphic>
          </wp:inline>
        </w:drawing>
      </w:r>
    </w:p>
    <w:p w14:paraId="63D4A3DF" w14:textId="77777777" w:rsidR="00EF7E3D" w:rsidRDefault="00EF7E3D" w:rsidP="00EF7E3D"/>
    <w:p w14:paraId="6F9F9C84" w14:textId="77777777" w:rsidR="00EF7E3D" w:rsidRPr="0079104A" w:rsidRDefault="00EF7E3D" w:rsidP="00EF7E3D">
      <w:pPr>
        <w:rPr>
          <w:b/>
        </w:rPr>
      </w:pPr>
      <w:r w:rsidRPr="0079104A">
        <w:rPr>
          <w:b/>
        </w:rPr>
        <w:t>Application Permissions</w:t>
      </w:r>
    </w:p>
    <w:p w14:paraId="5944737B" w14:textId="77777777" w:rsidR="00EF7E3D" w:rsidRDefault="00EF7E3D" w:rsidP="00EF7E3D">
      <w:r>
        <w:t>By default, applications have access to authenticate users in the Provider Tenant and read the authenticated user’s profile. This does not permit access to Graph API for reading or writing other directory objects. To enable access to Graph API, you must grant the appropriate permissions (Read directory data, Read and write directory data) for Windows Azure Active Directory.</w:t>
      </w:r>
    </w:p>
    <w:p w14:paraId="320F1585" w14:textId="77777777" w:rsidR="00EF7E3D" w:rsidRPr="00E42B4E" w:rsidRDefault="00EF7E3D" w:rsidP="00EF7E3D">
      <w:r w:rsidRPr="0079104A">
        <w:rPr>
          <w:noProof/>
        </w:rPr>
        <w:drawing>
          <wp:inline distT="0" distB="0" distL="0" distR="0" wp14:anchorId="6A75DD64" wp14:editId="6DC6D1D1">
            <wp:extent cx="5943600" cy="1443355"/>
            <wp:effectExtent l="0" t="0" r="0" b="4445"/>
            <wp:docPr id="1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rotWithShape="1">
                    <a:blip r:embed="rId538">
                      <a:extLst>
                        <a:ext uri="{28A0092B-C50C-407E-A947-70E740481C1C}">
                          <a14:useLocalDpi xmlns:a14="http://schemas.microsoft.com/office/drawing/2010/main" val="0"/>
                        </a:ext>
                      </a:extLst>
                    </a:blip>
                    <a:srcRect l="823" r="1321"/>
                    <a:stretch/>
                  </pic:blipFill>
                  <pic:spPr>
                    <a:xfrm>
                      <a:off x="0" y="0"/>
                      <a:ext cx="5943600" cy="1443355"/>
                    </a:xfrm>
                    <a:prstGeom prst="rect">
                      <a:avLst/>
                    </a:prstGeom>
                  </pic:spPr>
                </pic:pic>
              </a:graphicData>
            </a:graphic>
          </wp:inline>
        </w:drawing>
      </w:r>
    </w:p>
    <w:p w14:paraId="07B94F02" w14:textId="70333DA7" w:rsidR="00EF7E3D" w:rsidRDefault="00113980" w:rsidP="00EF7E3D">
      <w:pPr>
        <w:rPr>
          <w:b/>
        </w:rPr>
      </w:pPr>
      <w:r>
        <w:rPr>
          <w:b/>
        </w:rPr>
        <w:t>Acquiring a Security T</w:t>
      </w:r>
      <w:r w:rsidR="00EF7E3D">
        <w:rPr>
          <w:b/>
        </w:rPr>
        <w:t>oken</w:t>
      </w:r>
    </w:p>
    <w:p w14:paraId="34EF7B58" w14:textId="6A60DA46" w:rsidR="00BE2D2A" w:rsidRDefault="00BE2D2A" w:rsidP="00EF7E3D">
      <w:r>
        <w:t>Acquiring a security token from Azure Active Directory is the first step an application takes before making calls into Graph API. The security token is acquired once at the start of a session and can be used in multiple subsequent calls to Graph API.</w:t>
      </w:r>
    </w:p>
    <w:p w14:paraId="24F425BC" w14:textId="77777777" w:rsidR="00F36F7A" w:rsidRDefault="00BE2D2A" w:rsidP="00EF7E3D">
      <w:r>
        <w:t>Two pieces of information are needed for an application to obtain a security token</w:t>
      </w:r>
      <w:r w:rsidR="00F36F7A">
        <w:t>:</w:t>
      </w:r>
    </w:p>
    <w:p w14:paraId="75B725BE" w14:textId="77777777" w:rsidR="00F36F7A" w:rsidRDefault="00F36F7A" w:rsidP="005729D2">
      <w:pPr>
        <w:pStyle w:val="ListParagraph"/>
        <w:numPr>
          <w:ilvl w:val="0"/>
          <w:numId w:val="169"/>
        </w:numPr>
      </w:pPr>
      <w:r>
        <w:t>C</w:t>
      </w:r>
      <w:r w:rsidR="00BE2D2A">
        <w:t xml:space="preserve">lient ID </w:t>
      </w:r>
    </w:p>
    <w:p w14:paraId="499E96A9" w14:textId="77777777" w:rsidR="00F36F7A" w:rsidRDefault="00BE2D2A" w:rsidP="005729D2">
      <w:pPr>
        <w:pStyle w:val="ListParagraph"/>
        <w:numPr>
          <w:ilvl w:val="0"/>
          <w:numId w:val="169"/>
        </w:numPr>
      </w:pPr>
      <w:r>
        <w:t xml:space="preserve">API key </w:t>
      </w:r>
    </w:p>
    <w:p w14:paraId="5D824A14" w14:textId="2C1BE6FC" w:rsidR="00BE2D2A" w:rsidRDefault="00BE2D2A" w:rsidP="00F36F7A">
      <w:r>
        <w:t>Both values are obtained from the application’s configuration page within the Azure AD management portal. The client ID can be read at all times, and keys can be generated and viewed a single time. After viewing, the keys remain active but cannot be seen.</w:t>
      </w:r>
    </w:p>
    <w:p w14:paraId="73141955" w14:textId="6928C9A7" w:rsidR="00BE2D2A" w:rsidRDefault="00C22E15" w:rsidP="00EF7E3D">
      <w:r>
        <w:rPr>
          <w:noProof/>
        </w:rPr>
        <mc:AlternateContent>
          <mc:Choice Requires="wps">
            <w:drawing>
              <wp:anchor distT="0" distB="0" distL="114300" distR="114300" simplePos="0" relativeHeight="251478016" behindDoc="0" locked="0" layoutInCell="1" allowOverlap="1" wp14:anchorId="5CCCF697" wp14:editId="7F6C1DEE">
                <wp:simplePos x="0" y="0"/>
                <wp:positionH relativeFrom="column">
                  <wp:posOffset>2495550</wp:posOffset>
                </wp:positionH>
                <wp:positionV relativeFrom="paragraph">
                  <wp:posOffset>1895475</wp:posOffset>
                </wp:positionV>
                <wp:extent cx="1076325" cy="419100"/>
                <wp:effectExtent l="0" t="0" r="28575" b="19050"/>
                <wp:wrapNone/>
                <wp:docPr id="196" name="Oval 196"/>
                <wp:cNvGraphicFramePr/>
                <a:graphic xmlns:a="http://schemas.openxmlformats.org/drawingml/2006/main">
                  <a:graphicData uri="http://schemas.microsoft.com/office/word/2010/wordprocessingShape">
                    <wps:wsp>
                      <wps:cNvSpPr/>
                      <wps:spPr>
                        <a:xfrm>
                          <a:off x="0" y="0"/>
                          <a:ext cx="1076325" cy="4191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cx="http://schemas.microsoft.com/office/drawing/2014/chartex">
            <w:pict>
              <v:oval w14:anchorId="237E0806" id="Oval 196" o:spid="_x0000_s1026" style="position:absolute;margin-left:196.5pt;margin-top:149.25pt;width:84.75pt;height:33pt;z-index:251478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WCClwIAAIcFAAAOAAAAZHJzL2Uyb0RvYy54bWysVE1v2zAMvQ/YfxB0X2xnabsGdYogRYYB&#10;RRusHXpWZCkWIIuapMTJfv0o+aPBWuwwLAdHFMlHPorkze2x0eQgnFdgSlpMckqE4VApsyvpj+f1&#10;py+U+MBMxTQYUdKT8PR28fHDTWvnYgo16Eo4giDGz1tb0joEO88yz2vRMD8BKwwqJbiGBRTdLqsc&#10;axG90dk0zy+zFlxlHXDhPd7edUq6SPhSCh4epfQiEF1SzC2kr0vfbfxmixs23zlma8X7NNg/ZNEw&#10;ZTDoCHXHAiN7p95ANYo78CDDhEOTgZSKi8QB2RT5H2yeamZF4oLF8XYsk/9/sPzhsHFEVfh215eU&#10;GNbgIz0emCZRxuq01s/R6MluXC95PEaqR+ma+I8kyDFV9DRWVBwD4XhZ5FeXn6cXlHDUzYrrIk8l&#10;z169rfPhq4CGxENJhdbK+kiazdnh3gcMitaDVbw2sFZap4fTJl540KqKd0lwu+1KO4IUSrpe5/iL&#10;NBDjzAyl6JpFch2ddAonLSKGNt+FxKIggWnKJLWjGGEZ58KEolPVrBJdtIvzYLGBo0cKnQAjssQs&#10;R+weYLDsQAbsLufePrqK1M2jc/63xDrn0SNFBhNG50YZcO8BaGTVR+7shyJ1pYlV2kJ1wpZx0M2S&#10;t3yt8OnumQ8b5nB4cMxwIYRH/EgNbUmhP1FSg/v13n20x55GLSUtDmNJ/c89c4IS/c1gt18Xs1mc&#10;3iTMLq6mKLhzzfZcY/bNCvD1C1w9lqdjtA96OEoHzQvujWWMiipmOMYuKQ9uEFahWxK4ebhYLpMZ&#10;Tqxl4d48WR7BY1VjXz4fX5izff8G7PwHGAb3TQ93ttHTwHIfQKrU4K917euN054ap99McZ2cy8nq&#10;dX8ufgMAAP//AwBQSwMEFAAGAAgAAAAhAP/8yXneAAAACwEAAA8AAABkcnMvZG93bnJldi54bWxM&#10;j8FOwzAQRO9I/IO1SFwQdUiJlYQ4VYXUA8cWJK5uvCQR9jqK3Tb9e5YT3HY0o9k3zWbxTpxxjmMg&#10;DU+rDARSF+xIvYaP991jCSImQ9a4QKjhihE27e1NY2obLrTH8yH1gkso1kbDkNJUSxm7Ab2JqzAh&#10;sfcVZm8Sy7mXdjYXLvdO5lmmpDcj8YfBTPg6YPd9OHkN26tMbh+r3YNVpFT6jG/GlVrf3y3bFxAJ&#10;l/QXhl98RoeWmY7hRDYKp2FdrXlL0pBXZQGCE4XK+TiypZ4LkG0j/29ofwAAAP//AwBQSwECLQAU&#10;AAYACAAAACEAtoM4kv4AAADhAQAAEwAAAAAAAAAAAAAAAAAAAAAAW0NvbnRlbnRfVHlwZXNdLnht&#10;bFBLAQItABQABgAIAAAAIQA4/SH/1gAAAJQBAAALAAAAAAAAAAAAAAAAAC8BAABfcmVscy8ucmVs&#10;c1BLAQItABQABgAIAAAAIQBSSWCClwIAAIcFAAAOAAAAAAAAAAAAAAAAAC4CAABkcnMvZTJvRG9j&#10;LnhtbFBLAQItABQABgAIAAAAIQD//Ml53gAAAAsBAAAPAAAAAAAAAAAAAAAAAPEEAABkcnMvZG93&#10;bnJldi54bWxQSwUGAAAAAAQABADzAAAA/AUAAAAA&#10;" filled="f" strokecolor="red" strokeweight="1pt">
                <v:stroke joinstyle="miter"/>
              </v:oval>
            </w:pict>
          </mc:Fallback>
        </mc:AlternateContent>
      </w:r>
      <w:r>
        <w:rPr>
          <w:noProof/>
        </w:rPr>
        <mc:AlternateContent>
          <mc:Choice Requires="wps">
            <w:drawing>
              <wp:anchor distT="0" distB="0" distL="114300" distR="114300" simplePos="0" relativeHeight="251452416" behindDoc="0" locked="0" layoutInCell="1" allowOverlap="1" wp14:anchorId="53B4A4DA" wp14:editId="71C53FF3">
                <wp:simplePos x="0" y="0"/>
                <wp:positionH relativeFrom="column">
                  <wp:posOffset>1619250</wp:posOffset>
                </wp:positionH>
                <wp:positionV relativeFrom="paragraph">
                  <wp:posOffset>9525</wp:posOffset>
                </wp:positionV>
                <wp:extent cx="2447925" cy="419100"/>
                <wp:effectExtent l="0" t="0" r="28575" b="19050"/>
                <wp:wrapNone/>
                <wp:docPr id="187" name="Oval 187"/>
                <wp:cNvGraphicFramePr/>
                <a:graphic xmlns:a="http://schemas.openxmlformats.org/drawingml/2006/main">
                  <a:graphicData uri="http://schemas.microsoft.com/office/word/2010/wordprocessingShape">
                    <wps:wsp>
                      <wps:cNvSpPr/>
                      <wps:spPr>
                        <a:xfrm>
                          <a:off x="0" y="0"/>
                          <a:ext cx="2447925" cy="4191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cx="http://schemas.microsoft.com/office/drawing/2014/chartex">
            <w:pict>
              <v:oval w14:anchorId="2C29F9EB" id="Oval 187" o:spid="_x0000_s1026" style="position:absolute;margin-left:127.5pt;margin-top:.75pt;width:192.75pt;height:33pt;z-index:251452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ZmBlgIAAIcFAAAOAAAAZHJzL2Uyb0RvYy54bWysVE1v2zAMvQ/YfxB0X20H6boGdYqgRYYB&#10;RVusHXpWZCk2IIuapMTJfv1I+aPBWuwwLAdHFMlHPork1fWhNWyvfGjAlrw4yzlTVkLV2G3Jfzyv&#10;P33hLERhK2HAqpIfVeDXy48frjq3UDOowVTKMwSxYdG5ktcxukWWBVmrVoQzcMqiUoNvRUTRb7PK&#10;iw7RW5PN8vxz1oGvnAepQsDb217JlwlfayXjg9ZBRWZKjrnF9PXpu6FvtrwSi60Xrm7kkIb4hyxa&#10;0VgMOkHdiijYzjdvoNpGegig45mENgOtG6kSB2RT5H+weaqFU4kLFie4qUzh/8HK+/2jZ02Fb/fl&#10;gjMrWnykh70wjGSsTufCAo2e3KMfpIBHonrQvqV/JMEOqaLHqaLqEJnEy9l8fnE5O+dMom5eXBZ5&#10;Knn26u18iF8VtIwOJVfGNC4QabEQ+7sQMShaj1Z0bWHdGJMezli6CGCaiu6S4LebG+MZUij5ep3j&#10;j2ggxokZSuSaEbmeTjrFo1GEYex3pbEoRCBlktpRTbBCSmVj0atqUak+2vlpMGpg8kihEyAha8xy&#10;wh4ARsseZMTucx7syVWlbp6c878l1jtPHiky2Dg5t40F/x6AQVZD5N5+LFJfGqrSBqojtoyHfpaC&#10;k+sGn+5OhPgoPA4PjhkuhPiAH22gKzkMJ85q8L/euyd77GnUctbhMJY8/NwJrzgz3yx2+2Uxn9P0&#10;JmF+fjFDwZ9qNqcau2tvAF+/wNXjZDqSfTTjUXtoX3BvrCgqqoSVGLvkMvpRuIn9ksDNI9Vqlcxw&#10;Yp2Id/bJSQKnqlJfPh9ehHdD/0bs/HsYB/dND/e25GlhtYugm9Tgr3Ud6o3Tnhpn2Ey0Tk7lZPW6&#10;P5e/AQAA//8DAFBLAwQUAAYACAAAACEA+Y8nGtoAAAAIAQAADwAAAGRycy9kb3ducmV2LnhtbEyP&#10;wU7DMBBE70j8g7VIXBB1qIgpIU5VIfXAsQWJ6zZekgh7HcVum/49ywlus3qj2Zl6PQevTjSlIbKF&#10;h0UBiriNbuDOwsf79n4FKmVkhz4yWbhQgnVzfVVj5eKZd3Ta505JCKcKLfQ5j5XWqe0pYFrEkVjY&#10;V5wCZjmnTrsJzxIevF4WhdEBB5YPPY702lP7vT8GC5uLzn6Xnrd3zrAx+TO9oV9Ze3szb15AZZrz&#10;nxl+60t1aKTTIR7ZJeUtLMtStmQBJSjh5rEQcRDxVIJuav1/QPMDAAD//wMAUEsBAi0AFAAGAAgA&#10;AAAhALaDOJL+AAAA4QEAABMAAAAAAAAAAAAAAAAAAAAAAFtDb250ZW50X1R5cGVzXS54bWxQSwEC&#10;LQAUAAYACAAAACEAOP0h/9YAAACUAQAACwAAAAAAAAAAAAAAAAAvAQAAX3JlbHMvLnJlbHNQSwEC&#10;LQAUAAYACAAAACEAaCGZgZYCAACHBQAADgAAAAAAAAAAAAAAAAAuAgAAZHJzL2Uyb0RvYy54bWxQ&#10;SwECLQAUAAYACAAAACEA+Y8nGtoAAAAIAQAADwAAAAAAAAAAAAAAAADwBAAAZHJzL2Rvd25yZXYu&#10;eG1sUEsFBgAAAAAEAAQA8wAAAPcFAAAAAA==&#10;" filled="f" strokecolor="red" strokeweight="1pt">
                <v:stroke joinstyle="miter"/>
              </v:oval>
            </w:pict>
          </mc:Fallback>
        </mc:AlternateContent>
      </w:r>
      <w:r w:rsidR="00BE2D2A">
        <w:rPr>
          <w:noProof/>
        </w:rPr>
        <w:drawing>
          <wp:inline distT="0" distB="0" distL="0" distR="0" wp14:anchorId="2AC1192C" wp14:editId="37333D4C">
            <wp:extent cx="5943600" cy="2600960"/>
            <wp:effectExtent l="0" t="0" r="0" b="889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9"/>
                    <a:stretch>
                      <a:fillRect/>
                    </a:stretch>
                  </pic:blipFill>
                  <pic:spPr>
                    <a:xfrm>
                      <a:off x="0" y="0"/>
                      <a:ext cx="5943600" cy="2600960"/>
                    </a:xfrm>
                    <a:prstGeom prst="rect">
                      <a:avLst/>
                    </a:prstGeom>
                  </pic:spPr>
                </pic:pic>
              </a:graphicData>
            </a:graphic>
          </wp:inline>
        </w:drawing>
      </w:r>
    </w:p>
    <w:p w14:paraId="312AA50D" w14:textId="77777777" w:rsidR="00BE2D2A" w:rsidRDefault="00BE2D2A" w:rsidP="00EF7E3D">
      <w:pPr>
        <w:rPr>
          <w:b/>
        </w:rPr>
      </w:pPr>
    </w:p>
    <w:p w14:paraId="6EE10640" w14:textId="49340B28" w:rsidR="00BE2D2A" w:rsidRPr="00BE2D2A" w:rsidRDefault="00C22E15" w:rsidP="00EF7E3D">
      <w:r>
        <w:t>The following example shows how to obtain a security token from Azure Active Directory. Replace the client</w:t>
      </w:r>
      <w:r w:rsidR="00F36F7A">
        <w:t xml:space="preserve"> ID</w:t>
      </w:r>
      <w:r>
        <w:t xml:space="preserve"> value with your application’s client ID and replace the client</w:t>
      </w:r>
      <w:r w:rsidR="00F36F7A">
        <w:t xml:space="preserve"> </w:t>
      </w:r>
      <w:r>
        <w:t>secret value with a valid API key generated for your application.</w:t>
      </w:r>
    </w:p>
    <w:p w14:paraId="6B18C256" w14:textId="77777777" w:rsidR="00EF7E3D" w:rsidRDefault="00EF7E3D" w:rsidP="00113980">
      <w:r w:rsidRPr="008E1A50">
        <w:rPr>
          <w:b/>
        </w:rPr>
        <w:t>POST</w:t>
      </w:r>
      <w:r>
        <w:br/>
        <w:t>https://login.windows.net/contoso.com/oauth2/token?api-version=1.0</w:t>
      </w:r>
    </w:p>
    <w:p w14:paraId="2FE44971" w14:textId="77777777" w:rsidR="00EF7E3D" w:rsidRDefault="00EF7E3D" w:rsidP="00EF7E3D">
      <w:r w:rsidRPr="008E1A50">
        <w:rPr>
          <w:b/>
        </w:rPr>
        <w:t>HEADERS</w:t>
      </w:r>
      <w:r>
        <w:br/>
        <w:t>Content-Type: application/x-www-form-urlencoded</w:t>
      </w:r>
    </w:p>
    <w:p w14:paraId="63E2329D" w14:textId="77777777" w:rsidR="00EF7E3D" w:rsidRDefault="00EF7E3D" w:rsidP="00EF7E3D">
      <w:r w:rsidRPr="008E1A50">
        <w:rPr>
          <w:b/>
        </w:rPr>
        <w:t>BODY</w:t>
      </w:r>
      <w:r>
        <w:br/>
        <w:t>grant_type=client_credentials&amp;resource=https%3a%2f%2fgraph.windows.net&amp;client_id=</w:t>
      </w:r>
      <w:r w:rsidRPr="00BE2D2A">
        <w:rPr>
          <w:b/>
        </w:rPr>
        <w:t>52752c8e-d73c-4f9a-a0f9-2d75607ecb8e</w:t>
      </w:r>
      <w:r>
        <w:t>&amp;client_secret=</w:t>
      </w:r>
      <w:r w:rsidRPr="00BE2D2A">
        <w:rPr>
          <w:b/>
        </w:rPr>
        <w:t>qKDjII5%2FK8WyKj6sRo5a5vD6%2Bm74uk1A%2BpIlM%3D</w:t>
      </w:r>
    </w:p>
    <w:p w14:paraId="77BCA492" w14:textId="77777777" w:rsidR="00EF7E3D" w:rsidRDefault="00EF7E3D" w:rsidP="00EF7E3D">
      <w:r w:rsidRPr="00C22E15">
        <w:rPr>
          <w:b/>
        </w:rPr>
        <w:t>RESPONSE</w:t>
      </w:r>
      <w:r>
        <w:t>:  200 OK</w:t>
      </w:r>
    </w:p>
    <w:p w14:paraId="1B0278B1" w14:textId="7103DFAD" w:rsidR="00EF7E3D" w:rsidRDefault="00C22E15" w:rsidP="00EF7E3D">
      <w:r>
        <w:t>The security t</w:t>
      </w:r>
      <w:r w:rsidR="00EF7E3D">
        <w:t>oken will be returned to the calling application if all values are valid</w:t>
      </w:r>
      <w:r>
        <w:t>.</w:t>
      </w:r>
    </w:p>
    <w:p w14:paraId="5B3D4765" w14:textId="77777777" w:rsidR="00EF7E3D" w:rsidRDefault="00EF7E3D" w:rsidP="00EF7E3D"/>
    <w:p w14:paraId="58E8C907" w14:textId="77777777" w:rsidR="00EF7E3D" w:rsidRPr="009171D5" w:rsidRDefault="00EF7E3D" w:rsidP="00EF7E3D">
      <w:pPr>
        <w:rPr>
          <w:b/>
        </w:rPr>
      </w:pPr>
      <w:r>
        <w:rPr>
          <w:b/>
        </w:rPr>
        <w:t>Getting user information</w:t>
      </w:r>
    </w:p>
    <w:p w14:paraId="7574FB7D" w14:textId="5B2D5C05" w:rsidR="00EF7E3D" w:rsidRDefault="00C22E15" w:rsidP="00EF7E3D">
      <w:r>
        <w:t>After obtaining an Azure AD security token, the Graph API can be called to read and write information from Azure AD.</w:t>
      </w:r>
    </w:p>
    <w:p w14:paraId="1D24E053" w14:textId="4857B76E" w:rsidR="00C22E15" w:rsidRDefault="00C22E15" w:rsidP="00EF7E3D">
      <w:r>
        <w:t>The following example shows how to get user objects through the Graph API. Replace the Authorization: Bearer value with the security token returned from the prior call to the Azure AD.</w:t>
      </w:r>
    </w:p>
    <w:p w14:paraId="05DF32B6" w14:textId="77777777" w:rsidR="00C22E15" w:rsidRDefault="00C22E15" w:rsidP="00EF7E3D"/>
    <w:p w14:paraId="3098B93F" w14:textId="7F58ED12" w:rsidR="00C22E15" w:rsidRDefault="00C22E15" w:rsidP="00C22E15">
      <w:r w:rsidRPr="00C22E15">
        <w:rPr>
          <w:b/>
        </w:rPr>
        <w:t>GET</w:t>
      </w:r>
      <w:r>
        <w:br/>
        <w:t>https://graph.windows.net/contoso.com/users?api-version=2013-11-08</w:t>
      </w:r>
    </w:p>
    <w:p w14:paraId="75AA7F40" w14:textId="66FA616D" w:rsidR="00C22E15" w:rsidRDefault="00C22E15" w:rsidP="00C22E15">
      <w:r w:rsidRPr="00C22E15">
        <w:rPr>
          <w:b/>
        </w:rPr>
        <w:t>HEADERS</w:t>
      </w:r>
      <w:r>
        <w:br/>
        <w:t xml:space="preserve">Authorization: Bearer </w:t>
      </w:r>
      <w:r w:rsidRPr="00C22E15">
        <w:rPr>
          <w:b/>
        </w:rPr>
        <w:t>eyJ0eXAiOiJKV1QiLCJhbGciOiJSUzI1NiIsIng1dCI6Ik5HVEZ2ZEstZnl0aEV1T….</w:t>
      </w:r>
      <w:r>
        <w:br/>
        <w:t xml:space="preserve">Content-type: Application/JSON;odata=minimalmetadata </w:t>
      </w:r>
    </w:p>
    <w:p w14:paraId="08CC7D76" w14:textId="328F929B" w:rsidR="00C22E15" w:rsidRDefault="00C22E15" w:rsidP="00C22E15">
      <w:r w:rsidRPr="00C22E15">
        <w:rPr>
          <w:b/>
        </w:rPr>
        <w:t>RESPONSE:</w:t>
      </w:r>
      <w:r>
        <w:t xml:space="preserve">  200 OK</w:t>
      </w:r>
    </w:p>
    <w:p w14:paraId="23E0E478" w14:textId="74861CEE" w:rsidR="00EF7E3D" w:rsidRDefault="00C22E15" w:rsidP="00EF7E3D">
      <w:r>
        <w:t>User o</w:t>
      </w:r>
      <w:r w:rsidRPr="00C22E15">
        <w:t>bjects in JSON</w:t>
      </w:r>
      <w:r>
        <w:t xml:space="preserve"> format will be returned if the request is successful.</w:t>
      </w:r>
    </w:p>
    <w:p w14:paraId="48F81A53" w14:textId="77777777" w:rsidR="00C22E15" w:rsidRDefault="00C22E15" w:rsidP="00EF7E3D"/>
    <w:p w14:paraId="05A9A564" w14:textId="13A3FF38" w:rsidR="00EF7E3D" w:rsidRPr="00BE2D2A" w:rsidRDefault="00EF7E3D" w:rsidP="005729D2">
      <w:pPr>
        <w:pStyle w:val="Heading3Numbered"/>
        <w:numPr>
          <w:ilvl w:val="2"/>
          <w:numId w:val="64"/>
        </w:numPr>
      </w:pPr>
      <w:bookmarkStart w:id="6312" w:name="_Toc431288940"/>
      <w:r w:rsidRPr="00BE2D2A">
        <w:t>Azure AD PowerShell</w:t>
      </w:r>
      <w:r w:rsidR="009C49F8">
        <w:t xml:space="preserve"> for Tenant Management</w:t>
      </w:r>
      <w:bookmarkEnd w:id="6312"/>
    </w:p>
    <w:p w14:paraId="583A9FFA" w14:textId="4AA6596B" w:rsidR="00EF7E3D" w:rsidRDefault="00F36F7A" w:rsidP="00EF7E3D">
      <w:r>
        <w:t xml:space="preserve">Azure AD </w:t>
      </w:r>
      <w:r w:rsidR="00C22E15">
        <w:t xml:space="preserve">PowerShell can be used to manage objects in Azure AD, including objects in both the Provider Tenant and Customer Tenants. When managing objects in </w:t>
      </w:r>
      <w:r w:rsidR="00FA0945">
        <w:t xml:space="preserve">the </w:t>
      </w:r>
      <w:r w:rsidR="00C22E15">
        <w:t>Customer</w:t>
      </w:r>
      <w:r w:rsidR="00FA0945">
        <w:t xml:space="preserve"> Tenant using an Azure Active Directory account from the Provider Tenant, you must provide some additional information to set the proper context for commands. By default, Azure AD PowerShell commands will operate against the Azure AD tenant of the authenticated user.</w:t>
      </w:r>
    </w:p>
    <w:p w14:paraId="3D79A8C1" w14:textId="15B1B3B4" w:rsidR="00FA0945" w:rsidRDefault="00FA0945" w:rsidP="00676C44">
      <w:r>
        <w:t xml:space="preserve">Before managing a Customer Tenant from PowerShell, first obtain the Customer Tenant ID. This can be found in the Partner Center as the customer’s Microsoft ID. </w:t>
      </w:r>
    </w:p>
    <w:p w14:paraId="0389DCEA" w14:textId="6169243D" w:rsidR="00FA0945" w:rsidRDefault="00FA0945" w:rsidP="005367E5">
      <w:r>
        <w:rPr>
          <w:noProof/>
        </w:rPr>
        <w:drawing>
          <wp:inline distT="0" distB="0" distL="0" distR="0" wp14:anchorId="1B71A56F" wp14:editId="3D0F7FB8">
            <wp:extent cx="5943600" cy="217424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0"/>
                    <a:stretch>
                      <a:fillRect/>
                    </a:stretch>
                  </pic:blipFill>
                  <pic:spPr>
                    <a:xfrm>
                      <a:off x="0" y="0"/>
                      <a:ext cx="5943600" cy="2174240"/>
                    </a:xfrm>
                    <a:prstGeom prst="rect">
                      <a:avLst/>
                    </a:prstGeom>
                  </pic:spPr>
                </pic:pic>
              </a:graphicData>
            </a:graphic>
          </wp:inline>
        </w:drawing>
      </w:r>
    </w:p>
    <w:p w14:paraId="2E6865FA" w14:textId="408C21A2" w:rsidR="00E548BD" w:rsidRDefault="00E548BD" w:rsidP="005367E5">
      <w:r>
        <w:t>The Tenant ID is then used to target PowerShell operations to the appropriate Azure AD tenant instead of the default tenant for the authenticated user.</w:t>
      </w:r>
      <w:r w:rsidR="00334F55">
        <w:t xml:space="preserve"> The Tenant ID can be provided as a parameter to most Azure AD PowerShell commands.</w:t>
      </w:r>
      <w:r w:rsidR="00F36F7A">
        <w:t xml:space="preserve">  For example:</w:t>
      </w:r>
    </w:p>
    <w:p w14:paraId="5569F7A6" w14:textId="77777777" w:rsidR="00E548BD" w:rsidRDefault="00E548BD" w:rsidP="005367E5"/>
    <w:p w14:paraId="645EBC11" w14:textId="0500BEE5" w:rsidR="00FA0945" w:rsidRDefault="00F36F7A" w:rsidP="005729D2">
      <w:pPr>
        <w:pStyle w:val="ListParagraph"/>
        <w:numPr>
          <w:ilvl w:val="0"/>
          <w:numId w:val="248"/>
        </w:numPr>
      </w:pPr>
      <w:r>
        <w:t>To r</w:t>
      </w:r>
      <w:r w:rsidR="00FA0945">
        <w:t>ead a credential interactively:</w:t>
      </w:r>
    </w:p>
    <w:p w14:paraId="24FF59FE" w14:textId="019CFCC5" w:rsidR="00FA0945" w:rsidRPr="00113980" w:rsidRDefault="00FA0945" w:rsidP="00113980">
      <w:pPr>
        <w:pStyle w:val="ListParagraph"/>
        <w:tabs>
          <w:tab w:val="clear" w:pos="720"/>
        </w:tabs>
        <w:ind w:firstLine="0"/>
        <w:rPr>
          <w:rFonts w:ascii="Lucida Console" w:hAnsi="Lucida Console"/>
        </w:rPr>
      </w:pPr>
      <w:r w:rsidRPr="00113980">
        <w:rPr>
          <w:rFonts w:ascii="Lucida Console" w:hAnsi="Lucida Console"/>
        </w:rPr>
        <w:t>$msolcred = get-credential</w:t>
      </w:r>
    </w:p>
    <w:p w14:paraId="63D992C8" w14:textId="6BB28DDA" w:rsidR="00FA0945" w:rsidRPr="00FA0945" w:rsidRDefault="00F36F7A" w:rsidP="005729D2">
      <w:pPr>
        <w:pStyle w:val="ListParagraph"/>
        <w:numPr>
          <w:ilvl w:val="0"/>
          <w:numId w:val="248"/>
        </w:numPr>
      </w:pPr>
      <w:r>
        <w:t>To c</w:t>
      </w:r>
      <w:r w:rsidR="00FA0945">
        <w:t>onnect to Azure AD with the specified credential:</w:t>
      </w:r>
    </w:p>
    <w:p w14:paraId="732C3CB6" w14:textId="4DADF9C8" w:rsidR="00FA0945" w:rsidRPr="00113980" w:rsidRDefault="00FA0945" w:rsidP="00113980">
      <w:pPr>
        <w:pStyle w:val="ListParagraph"/>
        <w:tabs>
          <w:tab w:val="clear" w:pos="720"/>
        </w:tabs>
        <w:ind w:firstLine="0"/>
        <w:rPr>
          <w:rFonts w:ascii="Lucida Console" w:hAnsi="Lucida Console"/>
        </w:rPr>
      </w:pPr>
      <w:r w:rsidRPr="00113980">
        <w:rPr>
          <w:rFonts w:ascii="Lucida Console" w:hAnsi="Lucida Console"/>
        </w:rPr>
        <w:t>connect-msolservice -credential $msolcred</w:t>
      </w:r>
    </w:p>
    <w:p w14:paraId="01650F25" w14:textId="3D4F6F14" w:rsidR="00FA0945" w:rsidRPr="00FA0945" w:rsidRDefault="00F36F7A" w:rsidP="005729D2">
      <w:pPr>
        <w:pStyle w:val="ListParagraph"/>
        <w:numPr>
          <w:ilvl w:val="0"/>
          <w:numId w:val="248"/>
        </w:numPr>
      </w:pPr>
      <w:r>
        <w:t>To r</w:t>
      </w:r>
      <w:r w:rsidR="00FA0945">
        <w:t xml:space="preserve">ead all users in Azure AD, specifying the Customer Tenant ID to target the operation to </w:t>
      </w:r>
      <w:r w:rsidR="00E548BD">
        <w:t xml:space="preserve">the </w:t>
      </w:r>
      <w:r w:rsidR="00FA0945">
        <w:t>Customer Tenant:</w:t>
      </w:r>
    </w:p>
    <w:p w14:paraId="408B9D0C" w14:textId="77777777" w:rsidR="00334F55" w:rsidRPr="00113980" w:rsidRDefault="00FA0945" w:rsidP="00113980">
      <w:pPr>
        <w:pStyle w:val="ListParagraph"/>
        <w:tabs>
          <w:tab w:val="clear" w:pos="720"/>
        </w:tabs>
        <w:ind w:firstLine="0"/>
        <w:rPr>
          <w:rFonts w:ascii="Lucida Console" w:hAnsi="Lucida Console"/>
        </w:rPr>
      </w:pPr>
      <w:r w:rsidRPr="00113980">
        <w:rPr>
          <w:rFonts w:ascii="Lucida Console" w:hAnsi="Lucida Console"/>
        </w:rPr>
        <w:t>get-msoluser -All -TenantId 120355bc-ba8c-4207-b2db-80b2</w:t>
      </w:r>
      <w:r w:rsidR="00E548BD" w:rsidRPr="00113980">
        <w:rPr>
          <w:rFonts w:ascii="Lucida Console" w:hAnsi="Lucida Console"/>
        </w:rPr>
        <w:t>cb893a54</w:t>
      </w:r>
    </w:p>
    <w:p w14:paraId="7FF3C4CC" w14:textId="77777777" w:rsidR="00334F55" w:rsidRPr="00334F55" w:rsidRDefault="00334F55" w:rsidP="00676C44"/>
    <w:p w14:paraId="1F915E3B" w14:textId="28FD7109" w:rsidR="00334F55" w:rsidRPr="00334F55" w:rsidRDefault="00F36F7A" w:rsidP="00676C44">
      <w:pPr>
        <w:rPr>
          <w:rFonts w:eastAsiaTheme="minorHAnsi" w:cs="Segoe UI"/>
          <w:color w:val="000000"/>
          <w:sz w:val="20"/>
          <w:szCs w:val="20"/>
        </w:rPr>
      </w:pPr>
      <w:r>
        <w:t xml:space="preserve">For more </w:t>
      </w:r>
      <w:r w:rsidR="00334F55" w:rsidRPr="00334F55">
        <w:t xml:space="preserve">information on Azure AD </w:t>
      </w:r>
      <w:r w:rsidR="00334F55">
        <w:t xml:space="preserve">PowerShell, </w:t>
      </w:r>
      <w:r>
        <w:t xml:space="preserve">please see </w:t>
      </w:r>
      <w:hyperlink r:id="rId540" w:history="1">
        <w:r w:rsidRPr="00F36F7A">
          <w:rPr>
            <w:rStyle w:val="Hyperlink"/>
            <w:lang w:val="en"/>
          </w:rPr>
          <w:t>Manage Azure AD using Windows PowerShell</w:t>
        </w:r>
      </w:hyperlink>
      <w:r>
        <w:rPr>
          <w:lang w:val="en"/>
        </w:rPr>
        <w:t>.</w:t>
      </w:r>
    </w:p>
    <w:p w14:paraId="3A6EAEC5" w14:textId="77777777" w:rsidR="005367E5" w:rsidRPr="00E42B4E" w:rsidRDefault="005367E5" w:rsidP="00676C44"/>
    <w:p w14:paraId="6C2F17B6" w14:textId="77777777" w:rsidR="009065A3" w:rsidRDefault="0023514D" w:rsidP="005729D2">
      <w:pPr>
        <w:pStyle w:val="Heading1Numbered"/>
        <w:numPr>
          <w:ilvl w:val="0"/>
          <w:numId w:val="64"/>
        </w:numPr>
      </w:pPr>
      <w:bookmarkStart w:id="6313" w:name="_Toc414892142"/>
      <w:bookmarkStart w:id="6314" w:name="_Toc414960165"/>
      <w:bookmarkStart w:id="6315" w:name="_Toc414969136"/>
      <w:bookmarkStart w:id="6316" w:name="_Toc415011360"/>
      <w:bookmarkStart w:id="6317" w:name="_Toc415040054"/>
      <w:bookmarkStart w:id="6318" w:name="_Toc415572411"/>
      <w:bookmarkStart w:id="6319" w:name="_Toc415735581"/>
      <w:bookmarkStart w:id="6320" w:name="_Toc415814162"/>
      <w:bookmarkStart w:id="6321" w:name="_Toc416343897"/>
      <w:bookmarkStart w:id="6322" w:name="_Toc416863169"/>
      <w:bookmarkStart w:id="6323" w:name="_Toc417314784"/>
      <w:bookmarkStart w:id="6324" w:name="_Toc417323801"/>
      <w:bookmarkStart w:id="6325" w:name="_Toc417326891"/>
      <w:bookmarkStart w:id="6326" w:name="_Toc417330439"/>
      <w:bookmarkStart w:id="6327" w:name="_Toc417395045"/>
      <w:bookmarkStart w:id="6328" w:name="_Toc417399262"/>
      <w:bookmarkStart w:id="6329" w:name="_Toc417399421"/>
      <w:bookmarkStart w:id="6330" w:name="_Toc417400468"/>
      <w:bookmarkStart w:id="6331" w:name="_Toc417401316"/>
      <w:bookmarkStart w:id="6332" w:name="_Toc417419631"/>
      <w:bookmarkStart w:id="6333" w:name="_Toc417457403"/>
      <w:bookmarkStart w:id="6334" w:name="_Toc417481981"/>
      <w:bookmarkStart w:id="6335" w:name="_Toc417482239"/>
      <w:bookmarkStart w:id="6336" w:name="_Toc417499958"/>
      <w:bookmarkStart w:id="6337" w:name="_Toc417502779"/>
      <w:bookmarkStart w:id="6338" w:name="_Toc417548365"/>
      <w:bookmarkStart w:id="6339" w:name="_Toc417594608"/>
      <w:bookmarkStart w:id="6340" w:name="_Toc417934738"/>
      <w:bookmarkStart w:id="6341" w:name="_Toc417936077"/>
      <w:bookmarkStart w:id="6342" w:name="_Toc417936539"/>
      <w:bookmarkStart w:id="6343" w:name="_Toc417946959"/>
      <w:bookmarkStart w:id="6344" w:name="_Toc417947429"/>
      <w:bookmarkStart w:id="6345" w:name="_Toc417982569"/>
      <w:bookmarkStart w:id="6346" w:name="_Toc417986024"/>
      <w:bookmarkStart w:id="6347" w:name="_Toc418000715"/>
      <w:bookmarkStart w:id="6348" w:name="_Toc418003889"/>
      <w:bookmarkStart w:id="6349" w:name="_Toc418012094"/>
      <w:bookmarkStart w:id="6350" w:name="_Toc418030112"/>
      <w:bookmarkStart w:id="6351" w:name="_Toc418036993"/>
      <w:bookmarkStart w:id="6352" w:name="_Toc418061466"/>
      <w:bookmarkStart w:id="6353" w:name="_Toc418081367"/>
      <w:bookmarkStart w:id="6354" w:name="_Toc418083397"/>
      <w:bookmarkStart w:id="6355" w:name="_Toc418096163"/>
      <w:bookmarkStart w:id="6356" w:name="_Toc418156765"/>
      <w:bookmarkStart w:id="6357" w:name="_Toc418167682"/>
      <w:bookmarkStart w:id="6358" w:name="_Toc418185938"/>
      <w:bookmarkStart w:id="6359" w:name="_Toc422941652"/>
      <w:bookmarkStart w:id="6360" w:name="_Toc423116858"/>
      <w:bookmarkStart w:id="6361" w:name="_Toc423117891"/>
      <w:bookmarkStart w:id="6362" w:name="_Toc423117341"/>
      <w:bookmarkStart w:id="6363" w:name="_Toc431288941"/>
      <w:bookmarkStart w:id="6364" w:name="microsoftazuresecurity"/>
      <w:bookmarkEnd w:id="5937"/>
      <w:bookmarkEnd w:id="5938"/>
      <w:bookmarkEnd w:id="5939"/>
      <w:bookmarkEnd w:id="5940"/>
      <w:r>
        <w:t>Microsoft Azure Security</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6C2F17B8" w14:textId="7F0CB31C" w:rsidR="0023514D" w:rsidRDefault="0023514D" w:rsidP="005729D2">
      <w:pPr>
        <w:pStyle w:val="Heading2Numbered"/>
        <w:numPr>
          <w:ilvl w:val="1"/>
          <w:numId w:val="64"/>
        </w:numPr>
      </w:pPr>
      <w:bookmarkStart w:id="6365" w:name="_Toc414892143"/>
      <w:bookmarkStart w:id="6366" w:name="_Toc414960166"/>
      <w:bookmarkStart w:id="6367" w:name="_Toc414969137"/>
      <w:bookmarkStart w:id="6368" w:name="_Toc415011361"/>
      <w:bookmarkStart w:id="6369" w:name="_Toc415040055"/>
      <w:bookmarkStart w:id="6370" w:name="_Toc415572412"/>
      <w:bookmarkStart w:id="6371" w:name="_Toc415735582"/>
      <w:bookmarkStart w:id="6372" w:name="_Toc415814163"/>
      <w:bookmarkStart w:id="6373" w:name="_Toc416343898"/>
      <w:bookmarkStart w:id="6374" w:name="_Toc416863170"/>
      <w:bookmarkStart w:id="6375" w:name="_Toc417314785"/>
      <w:bookmarkStart w:id="6376" w:name="_Toc417323802"/>
      <w:bookmarkStart w:id="6377" w:name="_Toc417326892"/>
      <w:bookmarkStart w:id="6378" w:name="_Toc417330440"/>
      <w:bookmarkStart w:id="6379" w:name="_Toc417395046"/>
      <w:bookmarkStart w:id="6380" w:name="_Toc417399263"/>
      <w:bookmarkStart w:id="6381" w:name="_Toc417399422"/>
      <w:bookmarkStart w:id="6382" w:name="_Toc417400469"/>
      <w:bookmarkStart w:id="6383" w:name="_Toc417401317"/>
      <w:bookmarkStart w:id="6384" w:name="_Toc417419632"/>
      <w:bookmarkStart w:id="6385" w:name="_Toc417457404"/>
      <w:bookmarkStart w:id="6386" w:name="_Toc417481982"/>
      <w:bookmarkStart w:id="6387" w:name="_Toc417482240"/>
      <w:bookmarkStart w:id="6388" w:name="_Toc417499959"/>
      <w:bookmarkStart w:id="6389" w:name="_Toc417502780"/>
      <w:bookmarkStart w:id="6390" w:name="_Toc417548366"/>
      <w:bookmarkStart w:id="6391" w:name="_Toc417594609"/>
      <w:bookmarkStart w:id="6392" w:name="_Toc417934739"/>
      <w:bookmarkStart w:id="6393" w:name="_Toc417936078"/>
      <w:bookmarkStart w:id="6394" w:name="_Toc417936540"/>
      <w:bookmarkStart w:id="6395" w:name="_Toc417946960"/>
      <w:bookmarkStart w:id="6396" w:name="_Toc417947430"/>
      <w:bookmarkStart w:id="6397" w:name="_Toc417982570"/>
      <w:bookmarkStart w:id="6398" w:name="_Toc417986025"/>
      <w:bookmarkStart w:id="6399" w:name="_Toc418000716"/>
      <w:bookmarkStart w:id="6400" w:name="_Toc418003890"/>
      <w:bookmarkStart w:id="6401" w:name="_Toc418012095"/>
      <w:bookmarkStart w:id="6402" w:name="_Toc418030113"/>
      <w:bookmarkStart w:id="6403" w:name="_Toc418036994"/>
      <w:bookmarkStart w:id="6404" w:name="_Toc418061467"/>
      <w:bookmarkStart w:id="6405" w:name="_Toc418081368"/>
      <w:bookmarkStart w:id="6406" w:name="_Toc418083398"/>
      <w:bookmarkStart w:id="6407" w:name="_Toc418096164"/>
      <w:bookmarkStart w:id="6408" w:name="_Toc418156766"/>
      <w:bookmarkStart w:id="6409" w:name="_Toc418167683"/>
      <w:bookmarkStart w:id="6410" w:name="_Toc418185939"/>
      <w:bookmarkStart w:id="6411" w:name="_Toc422941653"/>
      <w:bookmarkStart w:id="6412" w:name="_Toc423116859"/>
      <w:bookmarkStart w:id="6413" w:name="_Toc423117892"/>
      <w:bookmarkStart w:id="6414" w:name="_Toc423117342"/>
      <w:bookmarkStart w:id="6415" w:name="_Toc431288942"/>
      <w:bookmarkEnd w:id="6364"/>
      <w:r>
        <w:t>Microsoft Azure Fabric and Datacenter Security</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5D05C705" w14:textId="64544191" w:rsidR="00732DEA" w:rsidRDefault="008F0050" w:rsidP="00732DEA">
      <w:pPr>
        <w:pStyle w:val="NormalWeb"/>
        <w:spacing w:before="0"/>
        <w:rPr>
          <w:rFonts w:ascii="Segoe UI" w:eastAsiaTheme="minorEastAsia" w:hAnsi="Segoe UI" w:cstheme="minorBidi"/>
          <w:sz w:val="22"/>
          <w:szCs w:val="22"/>
        </w:rPr>
      </w:pPr>
      <w:r w:rsidRPr="008179FE">
        <w:rPr>
          <w:rFonts w:ascii="Segoe UI" w:hAnsi="Segoe UI" w:cs="Segoe UI"/>
          <w:sz w:val="22"/>
          <w:szCs w:val="22"/>
        </w:rPr>
        <w:t xml:space="preserve">Security in the cloud-enabled world is full of determined adversaries who are constantly conducting targeted cyber-attacks. This threat environment is captured in a Microsoft whitepaper entitled </w:t>
      </w:r>
      <w:hyperlink r:id="rId541" w:history="1">
        <w:r w:rsidRPr="008179FE">
          <w:rPr>
            <w:rStyle w:val="Hyperlink"/>
            <w:rFonts w:cs="Segoe UI"/>
            <w:szCs w:val="22"/>
          </w:rPr>
          <w:t>Determined Adversaries and Targeted Attacks</w:t>
        </w:r>
      </w:hyperlink>
      <w:r w:rsidRPr="008179FE">
        <w:rPr>
          <w:rFonts w:ascii="Segoe UI" w:hAnsi="Segoe UI" w:cs="Segoe UI"/>
          <w:sz w:val="22"/>
          <w:szCs w:val="22"/>
        </w:rPr>
        <w:t>. These cybersecurity threats make securing a workload more challenging because these adversaries are adept at exploiting vulnerabilities in any layer</w:t>
      </w:r>
      <w:r w:rsidR="005D51DC">
        <w:rPr>
          <w:rFonts w:ascii="Segoe UI" w:eastAsiaTheme="minorEastAsia" w:hAnsi="Segoe UI" w:cstheme="minorBidi"/>
          <w:sz w:val="22"/>
          <w:szCs w:val="22"/>
        </w:rPr>
        <w:t xml:space="preserve">. </w:t>
      </w:r>
    </w:p>
    <w:p w14:paraId="7DBC8FC5" w14:textId="0A1A5D81" w:rsidR="005D51DC" w:rsidRDefault="005D51DC" w:rsidP="005D51DC">
      <w:pPr>
        <w:pStyle w:val="NormalWeb"/>
        <w:spacing w:before="0"/>
        <w:jc w:val="center"/>
        <w:rPr>
          <w:rFonts w:ascii="Segoe UI" w:eastAsiaTheme="minorEastAsia" w:hAnsi="Segoe UI" w:cstheme="minorBidi"/>
          <w:sz w:val="22"/>
          <w:szCs w:val="22"/>
        </w:rPr>
      </w:pPr>
    </w:p>
    <w:p w14:paraId="5F942156" w14:textId="3367EE2F" w:rsidR="000B629D" w:rsidRDefault="000B629D" w:rsidP="00732DEA">
      <w:pPr>
        <w:pStyle w:val="NormalWeb"/>
        <w:spacing w:before="0"/>
        <w:rPr>
          <w:rFonts w:ascii="Segoe UI" w:eastAsiaTheme="minorEastAsia" w:hAnsi="Segoe UI" w:cstheme="minorBidi"/>
          <w:sz w:val="22"/>
          <w:szCs w:val="22"/>
        </w:rPr>
      </w:pPr>
    </w:p>
    <w:p w14:paraId="41354369" w14:textId="6F1AF6AE" w:rsidR="000B629D" w:rsidRDefault="000B629D" w:rsidP="000B629D">
      <w:pPr>
        <w:pStyle w:val="NormalWeb"/>
        <w:spacing w:before="0"/>
        <w:jc w:val="center"/>
        <w:rPr>
          <w:rFonts w:ascii="Segoe UI" w:eastAsiaTheme="minorEastAsia" w:hAnsi="Segoe UI" w:cstheme="minorBidi"/>
          <w:sz w:val="22"/>
          <w:szCs w:val="22"/>
        </w:rPr>
      </w:pPr>
      <w:r>
        <w:object w:dxaOrig="5685" w:dyaOrig="7456" w14:anchorId="677E3097">
          <v:shape id="_x0000_i1039" type="#_x0000_t75" style="width:284.25pt;height:376.5pt" o:ole="">
            <v:imagedata r:id="rId542" o:title=""/>
          </v:shape>
          <o:OLEObject Type="Embed" ProgID="Visio.Drawing.15" ShapeID="_x0000_i1039" DrawAspect="Content" ObjectID="_1508841467" r:id="rId543"/>
        </w:object>
      </w:r>
    </w:p>
    <w:p w14:paraId="1013A257" w14:textId="77777777" w:rsidR="000B629D" w:rsidRDefault="000B629D" w:rsidP="00732DEA">
      <w:pPr>
        <w:pStyle w:val="NormalWeb"/>
        <w:spacing w:before="0"/>
        <w:rPr>
          <w:rFonts w:ascii="Segoe UI" w:eastAsiaTheme="minorEastAsia" w:hAnsi="Segoe UI" w:cstheme="minorBidi"/>
          <w:sz w:val="22"/>
          <w:szCs w:val="22"/>
        </w:rPr>
      </w:pPr>
    </w:p>
    <w:p w14:paraId="541EACC1" w14:textId="77777777" w:rsidR="008F0050" w:rsidRPr="000B629D" w:rsidRDefault="008F0050" w:rsidP="008F0050">
      <w:r>
        <w:t xml:space="preserve">An </w:t>
      </w:r>
      <w:r w:rsidRPr="000B629D">
        <w:t>organization can leverage a trustworthy public cloud provider</w:t>
      </w:r>
      <w:r>
        <w:t>,</w:t>
      </w:r>
      <w:r w:rsidRPr="000B629D">
        <w:t xml:space="preserve"> such as Microsoft</w:t>
      </w:r>
      <w:r>
        <w:t>,</w:t>
      </w:r>
      <w:r w:rsidRPr="000B629D">
        <w:t xml:space="preserve"> to shift some security burden for lower-level components to the provider</w:t>
      </w:r>
      <w:r>
        <w:t>, so that they can</w:t>
      </w:r>
      <w:r w:rsidRPr="000B629D">
        <w:t xml:space="preserve"> focus their security resources on higher-layer and higher</w:t>
      </w:r>
      <w:r>
        <w:t>-</w:t>
      </w:r>
      <w:r w:rsidRPr="000B629D">
        <w:t>value security operations.</w:t>
      </w:r>
      <w:r>
        <w:t xml:space="preserve"> </w:t>
      </w:r>
      <w:r w:rsidRPr="000B629D">
        <w:t xml:space="preserve">To help illustrate the challenges faced by most organizations in this space, Microsoft has published a </w:t>
      </w:r>
      <w:hyperlink r:id="rId544" w:history="1">
        <w:r w:rsidRPr="000B629D">
          <w:rPr>
            <w:rStyle w:val="Hyperlink"/>
            <w:rFonts w:cs="Segoe UI"/>
          </w:rPr>
          <w:t>Cloud Security Framework</w:t>
        </w:r>
      </w:hyperlink>
      <w:r w:rsidRPr="000B629D">
        <w:t xml:space="preserve"> that maps customer responsibilities for se</w:t>
      </w:r>
      <w:r>
        <w:t>curity in a cloud enabled world.</w:t>
      </w:r>
    </w:p>
    <w:p w14:paraId="37D64FE4" w14:textId="77777777" w:rsidR="008F0050" w:rsidRDefault="008F0050" w:rsidP="008F0050">
      <w:r w:rsidRPr="000B629D">
        <w:t xml:space="preserve">Moving the first enterprise workload to a </w:t>
      </w:r>
      <w:r>
        <w:t xml:space="preserve">public </w:t>
      </w:r>
      <w:r w:rsidRPr="000B629D">
        <w:t>cloud service</w:t>
      </w:r>
      <w:r>
        <w:t>,</w:t>
      </w:r>
      <w:r w:rsidRPr="000B629D">
        <w:t xml:space="preserve"> </w:t>
      </w:r>
      <w:r>
        <w:t xml:space="preserve">such as Microsoft Azure, </w:t>
      </w:r>
      <w:r w:rsidRPr="000B629D">
        <w:t xml:space="preserve">represents a significant change </w:t>
      </w:r>
      <w:r>
        <w:t>for</w:t>
      </w:r>
      <w:r w:rsidRPr="000B629D">
        <w:t xml:space="preserve"> several aspects of how IT service</w:t>
      </w:r>
      <w:r>
        <w:t>s</w:t>
      </w:r>
      <w:r w:rsidRPr="000B629D">
        <w:t xml:space="preserve"> will be provided and secured by the organization. </w:t>
      </w:r>
    </w:p>
    <w:p w14:paraId="5410A7F1" w14:textId="33C3A742" w:rsidR="004728FE" w:rsidRPr="002246E8" w:rsidRDefault="008F0050" w:rsidP="008F0050">
      <w:r w:rsidRPr="000B629D">
        <w:t>The most significant change for the security organization</w:t>
      </w:r>
      <w:r w:rsidRPr="002246E8">
        <w:t xml:space="preserve"> </w:t>
      </w:r>
      <w:r>
        <w:t>is</w:t>
      </w:r>
      <w:r w:rsidRPr="002246E8">
        <w:t xml:space="preserve"> likely learning how to establish, validate, and maintain trust for the cloud platform provider.</w:t>
      </w:r>
      <w:r>
        <w:t xml:space="preserve"> Although this document covers security topics for storage, network, compute, and identity throughout each topic area, this section will attempt to summarize the security strategies and approaches most customers can take when planning to adopt Microsoft Azure</w:t>
      </w:r>
      <w:r w:rsidR="000B629D">
        <w:t xml:space="preserve">. </w:t>
      </w:r>
    </w:p>
    <w:p w14:paraId="2B0BD20E" w14:textId="259DEC79" w:rsidR="004728FE" w:rsidRDefault="004728FE" w:rsidP="005729D2">
      <w:pPr>
        <w:pStyle w:val="Heading2Numbered"/>
        <w:numPr>
          <w:ilvl w:val="1"/>
          <w:numId w:val="64"/>
        </w:numPr>
      </w:pPr>
      <w:bookmarkStart w:id="6416" w:name="_Toc417395047"/>
      <w:bookmarkStart w:id="6417" w:name="_Toc417399264"/>
      <w:bookmarkStart w:id="6418" w:name="_Toc417399423"/>
      <w:bookmarkStart w:id="6419" w:name="_Toc417400470"/>
      <w:bookmarkStart w:id="6420" w:name="_Toc417401318"/>
      <w:bookmarkStart w:id="6421" w:name="_Toc417419633"/>
      <w:bookmarkStart w:id="6422" w:name="_Toc417457405"/>
      <w:bookmarkStart w:id="6423" w:name="_Toc417481983"/>
      <w:bookmarkStart w:id="6424" w:name="_Toc417482241"/>
      <w:bookmarkStart w:id="6425" w:name="_Toc417499960"/>
      <w:bookmarkStart w:id="6426" w:name="_Toc417502781"/>
      <w:bookmarkStart w:id="6427" w:name="_Toc417548367"/>
      <w:bookmarkStart w:id="6428" w:name="_Toc417594610"/>
      <w:bookmarkStart w:id="6429" w:name="_Ref417933461"/>
      <w:bookmarkStart w:id="6430" w:name="_Toc417934740"/>
      <w:bookmarkStart w:id="6431" w:name="_Toc417936079"/>
      <w:bookmarkStart w:id="6432" w:name="_Toc417936541"/>
      <w:bookmarkStart w:id="6433" w:name="_Toc417946961"/>
      <w:bookmarkStart w:id="6434" w:name="_Toc417947431"/>
      <w:bookmarkStart w:id="6435" w:name="_Toc417982571"/>
      <w:bookmarkStart w:id="6436" w:name="_Toc417986026"/>
      <w:bookmarkStart w:id="6437" w:name="_Toc418000717"/>
      <w:bookmarkStart w:id="6438" w:name="_Toc418003891"/>
      <w:bookmarkStart w:id="6439" w:name="_Toc418012096"/>
      <w:bookmarkStart w:id="6440" w:name="_Toc418030114"/>
      <w:bookmarkStart w:id="6441" w:name="_Toc418036995"/>
      <w:bookmarkStart w:id="6442" w:name="_Toc418061468"/>
      <w:bookmarkStart w:id="6443" w:name="_Toc418081369"/>
      <w:bookmarkStart w:id="6444" w:name="_Toc418083399"/>
      <w:bookmarkStart w:id="6445" w:name="_Toc418096165"/>
      <w:bookmarkStart w:id="6446" w:name="_Toc418156767"/>
      <w:bookmarkStart w:id="6447" w:name="_Toc418167684"/>
      <w:bookmarkStart w:id="6448" w:name="_Toc418185940"/>
      <w:bookmarkStart w:id="6449" w:name="_Toc422941654"/>
      <w:bookmarkStart w:id="6450" w:name="_Toc423116860"/>
      <w:bookmarkStart w:id="6451" w:name="_Toc423117893"/>
      <w:bookmarkStart w:id="6452" w:name="_Toc423117343"/>
      <w:bookmarkStart w:id="6453" w:name="_Toc431288943"/>
      <w:r>
        <w:t>Azure Security Strategies</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1CBE9040" w14:textId="58F2B47D" w:rsidR="008F0050" w:rsidRDefault="00732DEA" w:rsidP="008F0050">
      <w:r>
        <w:t>To</w:t>
      </w:r>
      <w:bookmarkStart w:id="6454" w:name="_Toc414892144"/>
      <w:bookmarkStart w:id="6455" w:name="_Toc414960167"/>
      <w:bookmarkStart w:id="6456" w:name="_Toc414969138"/>
      <w:bookmarkStart w:id="6457" w:name="_Toc415011362"/>
      <w:bookmarkStart w:id="6458" w:name="_Toc415040056"/>
      <w:bookmarkStart w:id="6459" w:name="_Toc415572413"/>
      <w:bookmarkStart w:id="6460" w:name="_Toc415735583"/>
      <w:bookmarkStart w:id="6461" w:name="_Toc415814164"/>
      <w:bookmarkStart w:id="6462" w:name="_Toc414892145"/>
      <w:bookmarkStart w:id="6463" w:name="_Toc414960168"/>
      <w:bookmarkStart w:id="6464" w:name="_Toc414969139"/>
      <w:bookmarkStart w:id="6465" w:name="_Toc415011363"/>
      <w:bookmarkStart w:id="6466" w:name="_Toc415040057"/>
      <w:bookmarkStart w:id="6467" w:name="_Toc415572414"/>
      <w:bookmarkStart w:id="6468" w:name="_Toc415735584"/>
      <w:bookmarkStart w:id="6469" w:name="_Toc415814165"/>
      <w:r w:rsidR="008F0050">
        <w:t xml:space="preserve"> facilitate rapid onboarding and the realization of security benefits that come from hosting workloads in the cloud, the security strategy in this reference architecture includes two target security levels:</w:t>
      </w:r>
    </w:p>
    <w:p w14:paraId="55B0B22D" w14:textId="77777777" w:rsidR="008F0050" w:rsidRDefault="008F0050" w:rsidP="005729D2">
      <w:pPr>
        <w:pStyle w:val="ListParagraph"/>
        <w:numPr>
          <w:ilvl w:val="0"/>
          <w:numId w:val="38"/>
        </w:numPr>
      </w:pPr>
      <w:r>
        <w:t>Rapid</w:t>
      </w:r>
      <w:r w:rsidRPr="000473FA">
        <w:t xml:space="preserve"> Azure onboarding </w:t>
      </w:r>
      <w:r>
        <w:t>security</w:t>
      </w:r>
      <w:r w:rsidRPr="000473FA">
        <w:t xml:space="preserve"> </w:t>
      </w:r>
      <w:r>
        <w:t>(</w:t>
      </w:r>
      <w:r w:rsidRPr="000473FA">
        <w:t xml:space="preserve">start with </w:t>
      </w:r>
      <w:r>
        <w:t>"</w:t>
      </w:r>
      <w:r w:rsidRPr="000473FA">
        <w:t>Do No Harm</w:t>
      </w:r>
      <w:r>
        <w:t>")</w:t>
      </w:r>
    </w:p>
    <w:p w14:paraId="76B05AC3" w14:textId="77777777" w:rsidR="008F0050" w:rsidRDefault="008F0050" w:rsidP="005729D2">
      <w:pPr>
        <w:pStyle w:val="ListParagraph"/>
        <w:numPr>
          <w:ilvl w:val="0"/>
          <w:numId w:val="38"/>
        </w:numPr>
      </w:pPr>
      <w:r>
        <w:t>Advanced security strategy for Azure</w:t>
      </w:r>
    </w:p>
    <w:p w14:paraId="6696D2B0" w14:textId="77777777" w:rsidR="008F0050" w:rsidRDefault="008F0050" w:rsidP="008F0050">
      <w:r>
        <w:t>Some key</w:t>
      </w:r>
      <w:r w:rsidRPr="002246E8">
        <w:t xml:space="preserve"> technical</w:t>
      </w:r>
      <w:r>
        <w:t xml:space="preserve"> security and risk changes faced by organizations that transition from a traditional on-premises workload hosted on physical or virtual hardware to a hosted public cloud model include:</w:t>
      </w:r>
    </w:p>
    <w:p w14:paraId="431DA0D9" w14:textId="77777777" w:rsidR="008F0050" w:rsidRDefault="008F0050" w:rsidP="005729D2">
      <w:pPr>
        <w:pStyle w:val="ListParagraph"/>
        <w:numPr>
          <w:ilvl w:val="0"/>
          <w:numId w:val="37"/>
        </w:numPr>
      </w:pPr>
      <w:r>
        <w:t>Availability of administrative interfaces to the public Internet</w:t>
      </w:r>
    </w:p>
    <w:p w14:paraId="62B088C9" w14:textId="77777777" w:rsidR="008F0050" w:rsidRDefault="008F0050" w:rsidP="005729D2">
      <w:pPr>
        <w:pStyle w:val="ListParagraph"/>
        <w:numPr>
          <w:ilvl w:val="0"/>
          <w:numId w:val="37"/>
        </w:numPr>
      </w:pPr>
      <w:r>
        <w:t>Potential inadvertent exposure of intranet services to the public Internet</w:t>
      </w:r>
    </w:p>
    <w:p w14:paraId="297C6CB3" w14:textId="77777777" w:rsidR="008F0050" w:rsidRDefault="008F0050" w:rsidP="005729D2">
      <w:pPr>
        <w:pStyle w:val="ListParagraph"/>
        <w:numPr>
          <w:ilvl w:val="0"/>
          <w:numId w:val="37"/>
        </w:numPr>
      </w:pPr>
      <w:r>
        <w:t>Different capabilities for detective and protective controls</w:t>
      </w:r>
    </w:p>
    <w:p w14:paraId="2562D52A" w14:textId="77777777" w:rsidR="008F0050" w:rsidRDefault="008F0050" w:rsidP="008F0050">
      <w:r>
        <w:t xml:space="preserve">As organizations evaluate their security posture in the face of these changes, they need to decide what risks must be addressed as part of the Azure onboarding planning, which risks should be addressed independently, and which can be addressed after onboarding. </w:t>
      </w:r>
    </w:p>
    <w:p w14:paraId="5B986055" w14:textId="77777777" w:rsidR="008F0050" w:rsidRDefault="008F0050" w:rsidP="008F0050">
      <w:r>
        <w:t>The primary sources for new or increased risk when moving a workload to the cloud are:</w:t>
      </w:r>
    </w:p>
    <w:p w14:paraId="7FB47FEE" w14:textId="77777777" w:rsidR="008F0050" w:rsidRPr="00E9279A" w:rsidRDefault="008F0050" w:rsidP="005729D2">
      <w:pPr>
        <w:pStyle w:val="ListParagraph"/>
        <w:numPr>
          <w:ilvl w:val="0"/>
          <w:numId w:val="285"/>
        </w:numPr>
      </w:pPr>
      <w:r w:rsidRPr="00E9279A">
        <w:t>Availability of administrative interfaces to the public Internet</w:t>
      </w:r>
    </w:p>
    <w:p w14:paraId="4A9CD29C" w14:textId="77777777" w:rsidR="008F0050" w:rsidRPr="00E9279A" w:rsidRDefault="008F0050" w:rsidP="005729D2">
      <w:pPr>
        <w:pStyle w:val="ListParagraph"/>
        <w:numPr>
          <w:ilvl w:val="0"/>
          <w:numId w:val="285"/>
        </w:numPr>
      </w:pPr>
      <w:r w:rsidRPr="00E9279A">
        <w:t>Potential inadvertent exposure of intranet services to the public Internet (IaaS workloads)</w:t>
      </w:r>
    </w:p>
    <w:p w14:paraId="2F17BD98" w14:textId="7D487BF7" w:rsidR="004E1751" w:rsidRDefault="008F0050" w:rsidP="008F0050">
      <w:r>
        <w:t>The following sections provide an overview of these risks, their considerations, and potential mitigations</w:t>
      </w:r>
      <w:r w:rsidR="004E1751">
        <w:t xml:space="preserve">. </w:t>
      </w:r>
    </w:p>
    <w:p w14:paraId="4C6F1648" w14:textId="78031A6B" w:rsidR="004728FE" w:rsidRDefault="004728FE" w:rsidP="005729D2">
      <w:pPr>
        <w:pStyle w:val="Heading3Numbered"/>
        <w:numPr>
          <w:ilvl w:val="2"/>
          <w:numId w:val="64"/>
        </w:numPr>
      </w:pPr>
      <w:bookmarkStart w:id="6470" w:name="_Toc417548368"/>
      <w:bookmarkStart w:id="6471" w:name="_Toc417594611"/>
      <w:bookmarkStart w:id="6472" w:name="_Toc417934741"/>
      <w:bookmarkStart w:id="6473" w:name="_Toc417936080"/>
      <w:bookmarkStart w:id="6474" w:name="_Toc417936542"/>
      <w:bookmarkStart w:id="6475" w:name="_Toc417946962"/>
      <w:bookmarkStart w:id="6476" w:name="_Toc417947432"/>
      <w:bookmarkStart w:id="6477" w:name="_Toc417982572"/>
      <w:bookmarkStart w:id="6478" w:name="_Toc417986027"/>
      <w:bookmarkStart w:id="6479" w:name="_Toc418000718"/>
      <w:bookmarkStart w:id="6480" w:name="_Toc418003892"/>
      <w:bookmarkStart w:id="6481" w:name="_Toc418012097"/>
      <w:bookmarkStart w:id="6482" w:name="_Toc418014508"/>
      <w:bookmarkStart w:id="6483" w:name="_Toc418030115"/>
      <w:bookmarkStart w:id="6484" w:name="_Toc418036996"/>
      <w:bookmarkStart w:id="6485" w:name="_Toc418061469"/>
      <w:bookmarkStart w:id="6486" w:name="_Toc418081370"/>
      <w:bookmarkStart w:id="6487" w:name="_Toc418083400"/>
      <w:bookmarkStart w:id="6488" w:name="_Toc418096166"/>
      <w:bookmarkStart w:id="6489" w:name="_Toc418156768"/>
      <w:bookmarkStart w:id="6490" w:name="_Toc418167685"/>
      <w:bookmarkStart w:id="6491" w:name="_Toc418185941"/>
      <w:bookmarkStart w:id="6492" w:name="_Toc422941655"/>
      <w:bookmarkStart w:id="6493" w:name="_Toc423116861"/>
      <w:bookmarkStart w:id="6494" w:name="_Toc423117894"/>
      <w:bookmarkStart w:id="6495" w:name="_Toc423117344"/>
      <w:bookmarkStart w:id="6496" w:name="_Toc431288944"/>
      <w:r>
        <w:t>Risk</w:t>
      </w:r>
      <w:r w:rsidR="00F15B18">
        <w:t xml:space="preserve"> 1</w:t>
      </w:r>
      <w:r w:rsidR="004E1751">
        <w:t xml:space="preserve">: </w:t>
      </w:r>
      <w:r>
        <w:t xml:space="preserve">Availability of </w:t>
      </w:r>
      <w:r w:rsidR="004E1751">
        <w:t>A</w:t>
      </w:r>
      <w:r>
        <w:t xml:space="preserve">dministrative </w:t>
      </w:r>
      <w:r w:rsidR="004E1751">
        <w:t>I</w:t>
      </w:r>
      <w:r>
        <w:t xml:space="preserve">nterfaces to the </w:t>
      </w:r>
      <w:r w:rsidR="004E1751">
        <w:t>P</w:t>
      </w:r>
      <w:r>
        <w:t>ublic Internet</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38D07BA2" w14:textId="30A7F838" w:rsidR="008F0050" w:rsidRPr="0094179D" w:rsidRDefault="004E1751" w:rsidP="008F0050">
      <w:pPr>
        <w:ind w:left="360"/>
      </w:pPr>
      <w:r>
        <w:t>Microsoft</w:t>
      </w:r>
      <w:r w:rsidR="008F0050">
        <w:t xml:space="preserve"> Azure </w:t>
      </w:r>
      <w:r w:rsidR="008F0050" w:rsidRPr="0094179D">
        <w:t>Infrastructure</w:t>
      </w:r>
      <w:r w:rsidR="008F0050">
        <w:t>-as-a-</w:t>
      </w:r>
      <w:r w:rsidR="008F0050" w:rsidRPr="0094179D">
        <w:t xml:space="preserve">Service (IaaS) is analogous to an on-premises virtualization solution in many ways. </w:t>
      </w:r>
      <w:r w:rsidR="008F0050">
        <w:t xml:space="preserve">On-premises and public cloud IaaS solutions </w:t>
      </w:r>
      <w:r w:rsidR="008F0050" w:rsidRPr="0094179D">
        <w:t>provide similar services</w:t>
      </w:r>
      <w:r w:rsidR="008F0050">
        <w:t>.</w:t>
      </w:r>
      <w:r w:rsidR="008F0050" w:rsidRPr="0094179D">
        <w:t xml:space="preserve"> </w:t>
      </w:r>
      <w:r w:rsidR="008F0050">
        <w:t xml:space="preserve">At the platform level, they </w:t>
      </w:r>
      <w:r w:rsidR="008F0050" w:rsidRPr="0094179D">
        <w:t>effectively have full technical control of all hosted workloads including data, applications, operating systems</w:t>
      </w:r>
      <w:r w:rsidR="008F0050">
        <w:t>,</w:t>
      </w:r>
      <w:r w:rsidR="008F0050" w:rsidRPr="0094179D">
        <w:t xml:space="preserve"> and associated secrets, and virtual devices. </w:t>
      </w:r>
    </w:p>
    <w:p w14:paraId="3123CA39" w14:textId="77777777" w:rsidR="008F0050" w:rsidRDefault="008F0050" w:rsidP="008F0050">
      <w:pPr>
        <w:ind w:left="360"/>
      </w:pPr>
      <w:r w:rsidRPr="0094179D">
        <w:t xml:space="preserve">The key security difference of an IaaS solution </w:t>
      </w:r>
      <w:r>
        <w:t>hosted in Azure</w:t>
      </w:r>
      <w:r w:rsidRPr="0094179D">
        <w:t xml:space="preserve"> is that the administrative interfaces are </w:t>
      </w:r>
      <w:r>
        <w:t>potentially accessible through</w:t>
      </w:r>
      <w:r w:rsidRPr="0094179D">
        <w:t xml:space="preserve"> public Internet </w:t>
      </w:r>
      <w:r>
        <w:t xml:space="preserve">interfaces. A </w:t>
      </w:r>
      <w:r w:rsidRPr="0094179D">
        <w:t xml:space="preserve">typical </w:t>
      </w:r>
      <w:r>
        <w:t xml:space="preserve">on-premises </w:t>
      </w:r>
      <w:r w:rsidRPr="0094179D">
        <w:t xml:space="preserve">virtualization deployment </w:t>
      </w:r>
      <w:r>
        <w:t xml:space="preserve">may be restricted to only </w:t>
      </w:r>
      <w:r w:rsidRPr="0094179D">
        <w:t xml:space="preserve">a corporate </w:t>
      </w:r>
      <w:r>
        <w:t>I</w:t>
      </w:r>
      <w:r w:rsidRPr="0094179D">
        <w:t>ntranet or to a dedicated management VLAN.</w:t>
      </w:r>
      <w:r>
        <w:t xml:space="preserve"> </w:t>
      </w:r>
    </w:p>
    <w:p w14:paraId="4511B46A" w14:textId="77777777" w:rsidR="008F0050" w:rsidRDefault="008F0050" w:rsidP="008F0050">
      <w:pPr>
        <w:ind w:left="360"/>
      </w:pPr>
      <w:r>
        <w:t xml:space="preserve">This change of scope potentially results in a greater availability to attack a given system, therefore resulting in a greater likelihood of attack on the system. This risk exposure is always present for Azure IaaS and PaaS solutions, but it may or may not be present given the current state of a workload. </w:t>
      </w:r>
    </w:p>
    <w:p w14:paraId="60899D9C" w14:textId="534319D4" w:rsidR="004728FE" w:rsidRDefault="008F0050" w:rsidP="008F0050">
      <w:pPr>
        <w:ind w:left="360"/>
      </w:pPr>
      <w:r>
        <w:t>Due to this consideration, additional measures must be taken to reduce this risk and protect the potential for accidental exposure of administrative controls to external services</w:t>
      </w:r>
      <w:r w:rsidR="004E1751">
        <w:t xml:space="preserve">. </w:t>
      </w:r>
    </w:p>
    <w:p w14:paraId="6A44D8AD" w14:textId="79A0642F" w:rsidR="004728FE" w:rsidRDefault="004E1751" w:rsidP="005729D2">
      <w:pPr>
        <w:pStyle w:val="Heading3Numbered"/>
        <w:numPr>
          <w:ilvl w:val="2"/>
          <w:numId w:val="64"/>
        </w:numPr>
      </w:pPr>
      <w:bookmarkStart w:id="6497" w:name="_Toc417548369"/>
      <w:bookmarkStart w:id="6498" w:name="_Toc417594612"/>
      <w:bookmarkStart w:id="6499" w:name="_Toc417934742"/>
      <w:bookmarkStart w:id="6500" w:name="_Toc417936081"/>
      <w:bookmarkStart w:id="6501" w:name="_Toc417936543"/>
      <w:bookmarkStart w:id="6502" w:name="_Toc417946963"/>
      <w:bookmarkStart w:id="6503" w:name="_Toc417947433"/>
      <w:bookmarkStart w:id="6504" w:name="_Toc417982573"/>
      <w:bookmarkStart w:id="6505" w:name="_Toc417986028"/>
      <w:bookmarkStart w:id="6506" w:name="_Toc418000719"/>
      <w:bookmarkStart w:id="6507" w:name="_Toc418003893"/>
      <w:bookmarkStart w:id="6508" w:name="_Toc418012098"/>
      <w:bookmarkStart w:id="6509" w:name="_Toc418030116"/>
      <w:bookmarkStart w:id="6510" w:name="_Toc418036997"/>
      <w:bookmarkStart w:id="6511" w:name="_Toc418061470"/>
      <w:bookmarkStart w:id="6512" w:name="_Toc418081371"/>
      <w:bookmarkStart w:id="6513" w:name="_Toc418083401"/>
      <w:bookmarkStart w:id="6514" w:name="_Toc418096167"/>
      <w:bookmarkStart w:id="6515" w:name="_Toc418156769"/>
      <w:bookmarkStart w:id="6516" w:name="_Toc418167686"/>
      <w:bookmarkStart w:id="6517" w:name="_Toc418185942"/>
      <w:bookmarkStart w:id="6518" w:name="_Toc422941656"/>
      <w:bookmarkStart w:id="6519" w:name="_Toc423116862"/>
      <w:bookmarkStart w:id="6520" w:name="_Toc423117895"/>
      <w:bookmarkStart w:id="6521" w:name="_Toc423117345"/>
      <w:bookmarkStart w:id="6522" w:name="_Toc431288945"/>
      <w:r>
        <w:t>Risk</w:t>
      </w:r>
      <w:r w:rsidR="00F15B18">
        <w:t xml:space="preserve"> 2</w:t>
      </w:r>
      <w:r>
        <w:t xml:space="preserve">: </w:t>
      </w:r>
      <w:r w:rsidR="004728FE">
        <w:t xml:space="preserve">Potential </w:t>
      </w:r>
      <w:r>
        <w:t>I</w:t>
      </w:r>
      <w:r w:rsidR="004728FE">
        <w:t xml:space="preserve">nadvertent </w:t>
      </w:r>
      <w:r>
        <w:t>E</w:t>
      </w:r>
      <w:r w:rsidR="004728FE">
        <w:t xml:space="preserve">xposure of </w:t>
      </w:r>
      <w:r>
        <w:t>I</w:t>
      </w:r>
      <w:r w:rsidR="004728FE">
        <w:t xml:space="preserve">ntranet </w:t>
      </w:r>
      <w:r>
        <w:t>S</w:t>
      </w:r>
      <w:r w:rsidR="004728FE">
        <w:t xml:space="preserve">ervices to </w:t>
      </w:r>
      <w:r>
        <w:t>P</w:t>
      </w:r>
      <w:r w:rsidR="004728FE">
        <w:t>ublic Internet</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083B4570" w14:textId="603BCE5E" w:rsidR="008F0050" w:rsidRDefault="008F0050" w:rsidP="008F0050">
      <w:pPr>
        <w:ind w:left="360"/>
      </w:pPr>
      <w:r>
        <w:t xml:space="preserve">This </w:t>
      </w:r>
      <w:r w:rsidRPr="004728FE">
        <w:t xml:space="preserve">risk is specific </w:t>
      </w:r>
      <w:r>
        <w:t xml:space="preserve">to publicly hosted IaaS </w:t>
      </w:r>
      <w:r w:rsidRPr="004728FE">
        <w:t xml:space="preserve">workloads that are </w:t>
      </w:r>
      <w:r>
        <w:t>transitioned to Azure by using a</w:t>
      </w:r>
      <w:r w:rsidRPr="004728FE">
        <w:t xml:space="preserve"> “lif</w:t>
      </w:r>
      <w:r>
        <w:t>t</w:t>
      </w:r>
      <w:r w:rsidRPr="004728FE">
        <w:t xml:space="preserve"> and shift” </w:t>
      </w:r>
      <w:r>
        <w:t xml:space="preserve">migration </w:t>
      </w:r>
      <w:r w:rsidRPr="004728FE">
        <w:t xml:space="preserve">approach. </w:t>
      </w:r>
      <w:r>
        <w:t xml:space="preserve">Typically, these systems have internal controls which are tuned for external threats and potentially ease-of-use and ease-of-management, given their previous security posture. </w:t>
      </w:r>
    </w:p>
    <w:p w14:paraId="64E39AA6" w14:textId="77777777" w:rsidR="008F0050" w:rsidRDefault="008F0050" w:rsidP="008F0050">
      <w:pPr>
        <w:ind w:left="360"/>
      </w:pPr>
      <w:r>
        <w:t xml:space="preserve">If not configured correctly during post-migration, a virtual machine may accept traffic from the Internet for remote management, including Remote Desktop (TCP 3389) and Windows PowerShell (TCP 5986). This potentially allows attackers to attempt to connect and authenticate to these resources, enabling them to abuse or test stolen credentials and attempt dictionary attacks or brute force attacks on the virtual machine passwords. </w:t>
      </w:r>
    </w:p>
    <w:p w14:paraId="0AB0BEA8" w14:textId="77777777" w:rsidR="008F0050" w:rsidRDefault="008F0050" w:rsidP="008F0050">
      <w:pPr>
        <w:ind w:left="360"/>
      </w:pPr>
      <w:r>
        <w:t xml:space="preserve">This is a “net new” risk to the workload when migrating to Azure because most on-premises virtual machines and physical servers are protected from unsolicited network traffic by Internet firewalls and other security appliances. </w:t>
      </w:r>
    </w:p>
    <w:p w14:paraId="60446AF7" w14:textId="398ED92C" w:rsidR="009E76F7" w:rsidRPr="004728FE" w:rsidRDefault="008F0050" w:rsidP="008F0050">
      <w:pPr>
        <w:ind w:left="360"/>
      </w:pPr>
      <w:r>
        <w:t>Mitigating threats such as these are critical to any migration activity and should be included in any post-migration tasks when transitioning workloads from on-premises to an Azure subscription</w:t>
      </w:r>
      <w:r w:rsidR="00C74E7F">
        <w:t>.</w:t>
      </w:r>
    </w:p>
    <w:p w14:paraId="1F5715F9" w14:textId="4A9CB961" w:rsidR="00F70911" w:rsidRDefault="00F70911" w:rsidP="005D51DC">
      <w:pPr>
        <w:pStyle w:val="NormalWeb"/>
        <w:spacing w:before="0"/>
      </w:pPr>
    </w:p>
    <w:p w14:paraId="51C445D6" w14:textId="37E6C082" w:rsidR="00DF517C" w:rsidRDefault="004728FE" w:rsidP="005729D2">
      <w:pPr>
        <w:pStyle w:val="Heading3Numbered"/>
        <w:numPr>
          <w:ilvl w:val="2"/>
          <w:numId w:val="64"/>
        </w:numPr>
      </w:pPr>
      <w:bookmarkStart w:id="6523" w:name="_Toc416343899"/>
      <w:bookmarkStart w:id="6524" w:name="_Toc416863171"/>
      <w:bookmarkStart w:id="6525" w:name="_Toc417314786"/>
      <w:bookmarkStart w:id="6526" w:name="_Toc417323803"/>
      <w:bookmarkStart w:id="6527" w:name="_Toc417326893"/>
      <w:bookmarkStart w:id="6528" w:name="_Toc417330441"/>
      <w:bookmarkStart w:id="6529" w:name="_Toc417395048"/>
      <w:bookmarkStart w:id="6530" w:name="_Toc417399265"/>
      <w:bookmarkStart w:id="6531" w:name="_Toc417399424"/>
      <w:bookmarkStart w:id="6532" w:name="_Toc417400471"/>
      <w:bookmarkStart w:id="6533" w:name="_Toc417401319"/>
      <w:bookmarkStart w:id="6534" w:name="_Toc417419634"/>
      <w:bookmarkStart w:id="6535" w:name="_Toc417457406"/>
      <w:bookmarkStart w:id="6536" w:name="_Toc417481984"/>
      <w:bookmarkStart w:id="6537" w:name="_Toc417482242"/>
      <w:bookmarkStart w:id="6538" w:name="_Toc417499961"/>
      <w:bookmarkStart w:id="6539" w:name="_Toc417502782"/>
      <w:bookmarkStart w:id="6540" w:name="_Toc417548370"/>
      <w:bookmarkStart w:id="6541" w:name="_Toc417594613"/>
      <w:bookmarkStart w:id="6542" w:name="_Toc417934743"/>
      <w:bookmarkStart w:id="6543" w:name="_Toc417936082"/>
      <w:bookmarkStart w:id="6544" w:name="_Toc417936544"/>
      <w:bookmarkStart w:id="6545" w:name="_Toc417946964"/>
      <w:bookmarkStart w:id="6546" w:name="_Toc417947434"/>
      <w:bookmarkStart w:id="6547" w:name="_Toc417982574"/>
      <w:bookmarkStart w:id="6548" w:name="_Toc417986029"/>
      <w:bookmarkStart w:id="6549" w:name="_Toc418000720"/>
      <w:bookmarkStart w:id="6550" w:name="_Toc418003894"/>
      <w:bookmarkStart w:id="6551" w:name="_Toc418012099"/>
      <w:bookmarkStart w:id="6552" w:name="_Toc418030117"/>
      <w:bookmarkStart w:id="6553" w:name="_Toc418036998"/>
      <w:bookmarkStart w:id="6554" w:name="_Toc418061471"/>
      <w:bookmarkStart w:id="6555" w:name="_Toc418081372"/>
      <w:bookmarkStart w:id="6556" w:name="_Toc418081999"/>
      <w:bookmarkStart w:id="6557" w:name="_Toc418083402"/>
      <w:bookmarkStart w:id="6558" w:name="_Toc418096168"/>
      <w:bookmarkStart w:id="6559" w:name="_Toc418156770"/>
      <w:bookmarkStart w:id="6560" w:name="_Toc418167687"/>
      <w:bookmarkStart w:id="6561" w:name="_Toc418185943"/>
      <w:bookmarkStart w:id="6562" w:name="_Toc422941657"/>
      <w:bookmarkStart w:id="6563" w:name="_Toc423116863"/>
      <w:bookmarkStart w:id="6564" w:name="_Toc423117896"/>
      <w:bookmarkStart w:id="6565" w:name="_Toc423117346"/>
      <w:bookmarkStart w:id="6566" w:name="_Toc431288946"/>
      <w:r>
        <w:t>Rapid</w:t>
      </w:r>
      <w:r w:rsidR="00C74E7F">
        <w:t xml:space="preserve"> Azure O</w:t>
      </w:r>
      <w:r w:rsidR="00BA6EA3">
        <w:t xml:space="preserve">nboarding </w:t>
      </w:r>
      <w:r w:rsidR="00C74E7F">
        <w:t>S</w:t>
      </w:r>
      <w:r>
        <w:t>ecurity</w:t>
      </w:r>
      <w:r w:rsidR="008F0050">
        <w:t xml:space="preserve">:  </w:t>
      </w:r>
      <w:r w:rsidR="00C74E7F">
        <w:t>S</w:t>
      </w:r>
      <w:r w:rsidR="00BA6EA3">
        <w:t xml:space="preserve">tart with </w:t>
      </w:r>
      <w:r w:rsidR="008F0050">
        <w:t>“</w:t>
      </w:r>
      <w:r w:rsidR="00DF517C">
        <w:t>Do No Harm</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r w:rsidR="008F0050">
        <w:t>”</w:t>
      </w:r>
      <w:bookmarkEnd w:id="6566"/>
    </w:p>
    <w:p w14:paraId="6F278345" w14:textId="17A103B1" w:rsidR="008F0050" w:rsidRDefault="0024134D" w:rsidP="008F0050">
      <w:r>
        <w:t>O</w:t>
      </w:r>
      <w:r w:rsidR="004728FE">
        <w:t>rganizations</w:t>
      </w:r>
      <w:r w:rsidR="008F0050">
        <w:t xml:space="preserve"> may need to rapidly adopt Azure services because of business priorities, budgetary reasons, security incidents, project schedules, or other reasons specific to the organization. When planning security for rapidly onboarding to Azure, organizations should take a “do no harm” approach to ensure that security risks are not increased when compared to the current on-premises posture for the organization. </w:t>
      </w:r>
    </w:p>
    <w:p w14:paraId="59E3EDAB" w14:textId="77777777" w:rsidR="008F0050" w:rsidRDefault="008F0050" w:rsidP="008F0050">
      <w:r>
        <w:t xml:space="preserve">These “do no harm” measures should be implemented during or prior to the onboarding process. They include the implementation of compensating controls for all new or increased risks created by moving a workload to the public cloud. </w:t>
      </w:r>
    </w:p>
    <w:p w14:paraId="502F1BEF" w14:textId="18219FDA" w:rsidR="0024134D" w:rsidRDefault="008F0050" w:rsidP="008F0050">
      <w:r>
        <w:t>This approach is commonly used when moving Active Directory Domain Services (AD DS) domain controllers to Azure, given the sensitivity of the data, secrets, and password hashes stored there</w:t>
      </w:r>
      <w:r w:rsidR="0024134D">
        <w:t xml:space="preserve">. </w:t>
      </w:r>
    </w:p>
    <w:p w14:paraId="5A118E28" w14:textId="6C659F56" w:rsidR="00A8588B" w:rsidRPr="00F15B18" w:rsidRDefault="004728FE" w:rsidP="005729D2">
      <w:pPr>
        <w:pStyle w:val="Heading4Numbered"/>
        <w:numPr>
          <w:ilvl w:val="3"/>
          <w:numId w:val="64"/>
        </w:numPr>
      </w:pPr>
      <w:r w:rsidRPr="00F15B18">
        <w:t xml:space="preserve">Rapid </w:t>
      </w:r>
      <w:r w:rsidR="00A8588B" w:rsidRPr="00F15B18">
        <w:t>Mitigation Strategy</w:t>
      </w:r>
      <w:r w:rsidR="00F15B18">
        <w:t xml:space="preserve"> for Risk 1</w:t>
      </w:r>
    </w:p>
    <w:p w14:paraId="02A05F37" w14:textId="5FD8BF5C" w:rsidR="00CE136D" w:rsidRDefault="00F15B18" w:rsidP="00CE136D">
      <w:r>
        <w:t>The</w:t>
      </w:r>
      <w:r w:rsidR="008F0050">
        <w:t xml:space="preserve"> risk created by the availability of administrative interfaces to the public Internet should be mitigated through the combination of protections for the authorized administrative accounts and the configurable tenant administrative interfaces. The following table describes these protections</w:t>
      </w:r>
      <w:r w:rsidR="005978CA">
        <w:t>:</w:t>
      </w:r>
    </w:p>
    <w:tbl>
      <w:tblPr>
        <w:tblStyle w:val="PlainTable11"/>
        <w:tblW w:w="9355" w:type="dxa"/>
        <w:tblLayout w:type="fixed"/>
        <w:tblLook w:val="0420" w:firstRow="1" w:lastRow="0" w:firstColumn="0" w:lastColumn="0" w:noHBand="0" w:noVBand="1"/>
      </w:tblPr>
      <w:tblGrid>
        <w:gridCol w:w="2335"/>
        <w:gridCol w:w="7020"/>
      </w:tblGrid>
      <w:tr w:rsidR="005978CA" w:rsidRPr="00E9279A" w14:paraId="15656431" w14:textId="77777777" w:rsidTr="008F0050">
        <w:trPr>
          <w:cnfStyle w:val="100000000000" w:firstRow="1" w:lastRow="0" w:firstColumn="0" w:lastColumn="0" w:oddVBand="0" w:evenVBand="0" w:oddHBand="0" w:evenHBand="0" w:firstRowFirstColumn="0" w:firstRowLastColumn="0" w:lastRowFirstColumn="0" w:lastRowLastColumn="0"/>
        </w:trPr>
        <w:tc>
          <w:tcPr>
            <w:tcW w:w="2335" w:type="dxa"/>
            <w:shd w:val="clear" w:color="auto" w:fill="808080" w:themeFill="background1" w:themeFillShade="80"/>
            <w:hideMark/>
          </w:tcPr>
          <w:p w14:paraId="5912B783" w14:textId="6C94C5DF" w:rsidR="005978CA" w:rsidRPr="00E9279A" w:rsidRDefault="005978CA">
            <w:pPr>
              <w:spacing w:line="240" w:lineRule="auto"/>
              <w:rPr>
                <w:rFonts w:eastAsia="Calibri"/>
                <w:bCs w:val="0"/>
                <w:color w:val="FFFFFF"/>
                <w:szCs w:val="20"/>
                <w:lang w:eastAsia="en-AU"/>
              </w:rPr>
            </w:pPr>
            <w:r w:rsidRPr="00E9279A">
              <w:rPr>
                <w:rFonts w:eastAsia="Calibri"/>
                <w:bCs w:val="0"/>
                <w:color w:val="FFFFFF"/>
                <w:szCs w:val="20"/>
                <w:lang w:eastAsia="en-AU"/>
              </w:rPr>
              <w:t>Mitigation Approach</w:t>
            </w:r>
          </w:p>
        </w:tc>
        <w:tc>
          <w:tcPr>
            <w:tcW w:w="7020" w:type="dxa"/>
            <w:shd w:val="clear" w:color="auto" w:fill="808080" w:themeFill="background1" w:themeFillShade="80"/>
            <w:hideMark/>
          </w:tcPr>
          <w:p w14:paraId="3E170D48" w14:textId="20CB1DA5" w:rsidR="005978CA" w:rsidRPr="00E9279A" w:rsidRDefault="005978CA">
            <w:pPr>
              <w:spacing w:line="240" w:lineRule="auto"/>
              <w:rPr>
                <w:rFonts w:eastAsia="Calibri"/>
                <w:bCs w:val="0"/>
                <w:color w:val="FFFFFF"/>
                <w:szCs w:val="20"/>
                <w:lang w:eastAsia="en-AU"/>
              </w:rPr>
            </w:pPr>
            <w:r w:rsidRPr="00E9279A">
              <w:rPr>
                <w:rFonts w:eastAsia="Calibri"/>
                <w:bCs w:val="0"/>
                <w:color w:val="FFFFFF"/>
                <w:szCs w:val="20"/>
                <w:lang w:eastAsia="en-AU"/>
              </w:rPr>
              <w:t>Mitigation Strategy</w:t>
            </w:r>
          </w:p>
        </w:tc>
      </w:tr>
      <w:tr w:rsidR="005978CA" w14:paraId="489A581F" w14:textId="77777777" w:rsidTr="008F0050">
        <w:trPr>
          <w:cnfStyle w:val="000000100000" w:firstRow="0" w:lastRow="0" w:firstColumn="0" w:lastColumn="0" w:oddVBand="0" w:evenVBand="0" w:oddHBand="1" w:evenHBand="0" w:firstRowFirstColumn="0" w:firstRowLastColumn="0" w:lastRowFirstColumn="0" w:lastRowLastColumn="0"/>
        </w:trPr>
        <w:tc>
          <w:tcPr>
            <w:tcW w:w="2335" w:type="dxa"/>
            <w:hideMark/>
          </w:tcPr>
          <w:p w14:paraId="6DC167E4" w14:textId="77777777" w:rsidR="005978CA" w:rsidRDefault="005978CA">
            <w:pPr>
              <w:rPr>
                <w:rFonts w:cs="Segoe UI"/>
                <w:sz w:val="20"/>
                <w:szCs w:val="20"/>
              </w:rPr>
            </w:pPr>
            <w:r>
              <w:rPr>
                <w:rFonts w:cs="Segoe UI"/>
                <w:b/>
                <w:sz w:val="20"/>
                <w:szCs w:val="20"/>
              </w:rPr>
              <w:t>Administrative standards and practices</w:t>
            </w:r>
          </w:p>
        </w:tc>
        <w:tc>
          <w:tcPr>
            <w:tcW w:w="7020" w:type="dxa"/>
            <w:hideMark/>
          </w:tcPr>
          <w:p w14:paraId="2FBB8998" w14:textId="77777777" w:rsidR="005978CA" w:rsidRDefault="005978CA">
            <w:pPr>
              <w:rPr>
                <w:rFonts w:cs="Segoe UI"/>
                <w:sz w:val="20"/>
                <w:szCs w:val="20"/>
              </w:rPr>
            </w:pPr>
            <w:r>
              <w:rPr>
                <w:rFonts w:cs="Segoe UI"/>
                <w:sz w:val="20"/>
                <w:szCs w:val="20"/>
              </w:rPr>
              <w:t>Establish standards for administration that are compliant with the rules in this section of this document.</w:t>
            </w:r>
          </w:p>
        </w:tc>
      </w:tr>
      <w:tr w:rsidR="005978CA" w14:paraId="4DD7AC2E" w14:textId="77777777" w:rsidTr="008F0050">
        <w:tc>
          <w:tcPr>
            <w:tcW w:w="2335" w:type="dxa"/>
            <w:hideMark/>
          </w:tcPr>
          <w:p w14:paraId="6433772C" w14:textId="77777777" w:rsidR="005978CA" w:rsidRDefault="005978CA">
            <w:pPr>
              <w:pStyle w:val="NormalWeb"/>
              <w:spacing w:line="254" w:lineRule="auto"/>
              <w:rPr>
                <w:rFonts w:ascii="Segoe UI" w:hAnsi="Segoe UI" w:cs="Segoe UI"/>
                <w:b/>
                <w:sz w:val="20"/>
                <w:szCs w:val="20"/>
                <w:lang w:val="en-AU" w:eastAsia="en-AU"/>
              </w:rPr>
            </w:pPr>
            <w:r>
              <w:rPr>
                <w:rFonts w:ascii="Segoe UI" w:hAnsi="Segoe UI" w:cs="Segoe UI"/>
                <w:b/>
                <w:sz w:val="20"/>
                <w:szCs w:val="20"/>
                <w:lang w:val="en-AU" w:eastAsia="en-AU"/>
              </w:rPr>
              <w:t>Multi-factor authentication</w:t>
            </w:r>
          </w:p>
        </w:tc>
        <w:tc>
          <w:tcPr>
            <w:tcW w:w="7020" w:type="dxa"/>
            <w:hideMark/>
          </w:tcPr>
          <w:p w14:paraId="256FD1FD" w14:textId="77777777" w:rsidR="005978CA" w:rsidRDefault="005978CA">
            <w:pPr>
              <w:rPr>
                <w:rFonts w:cs="Segoe UI"/>
                <w:sz w:val="20"/>
                <w:szCs w:val="20"/>
              </w:rPr>
            </w:pPr>
            <w:r>
              <w:rPr>
                <w:rFonts w:cs="Segoe UI"/>
                <w:sz w:val="20"/>
                <w:szCs w:val="20"/>
              </w:rPr>
              <w:t>Ensure all administrative tenants leverage multi-factor authentication when accessing Azure subscriptions.</w:t>
            </w:r>
          </w:p>
        </w:tc>
      </w:tr>
      <w:tr w:rsidR="005978CA" w14:paraId="75F9A575" w14:textId="77777777" w:rsidTr="008F0050">
        <w:trPr>
          <w:cnfStyle w:val="000000100000" w:firstRow="0" w:lastRow="0" w:firstColumn="0" w:lastColumn="0" w:oddVBand="0" w:evenVBand="0" w:oddHBand="1" w:evenHBand="0" w:firstRowFirstColumn="0" w:firstRowLastColumn="0" w:lastRowFirstColumn="0" w:lastRowLastColumn="0"/>
        </w:trPr>
        <w:tc>
          <w:tcPr>
            <w:tcW w:w="2335" w:type="dxa"/>
            <w:hideMark/>
          </w:tcPr>
          <w:p w14:paraId="65F52F4F" w14:textId="77777777" w:rsidR="005978CA" w:rsidRDefault="005978CA">
            <w:pPr>
              <w:pStyle w:val="NormalWeb"/>
              <w:spacing w:line="254" w:lineRule="auto"/>
              <w:rPr>
                <w:rFonts w:ascii="Segoe UI" w:hAnsi="Segoe UI" w:cs="Segoe UI"/>
                <w:b/>
                <w:sz w:val="20"/>
                <w:szCs w:val="20"/>
                <w:lang w:val="en-AU" w:eastAsia="en-AU"/>
              </w:rPr>
            </w:pPr>
            <w:r>
              <w:rPr>
                <w:rFonts w:ascii="Segoe UI" w:hAnsi="Segoe UI" w:cs="Segoe UI"/>
                <w:b/>
                <w:sz w:val="20"/>
                <w:szCs w:val="20"/>
              </w:rPr>
              <w:t>Hardened administrative workstations</w:t>
            </w:r>
          </w:p>
        </w:tc>
        <w:tc>
          <w:tcPr>
            <w:tcW w:w="7020" w:type="dxa"/>
            <w:hideMark/>
          </w:tcPr>
          <w:p w14:paraId="0A24D84C" w14:textId="77777777" w:rsidR="005978CA" w:rsidRDefault="005978CA">
            <w:pPr>
              <w:rPr>
                <w:rFonts w:cs="Segoe UI"/>
                <w:sz w:val="20"/>
                <w:szCs w:val="20"/>
              </w:rPr>
            </w:pPr>
            <w:r>
              <w:rPr>
                <w:rFonts w:cs="Segoe UI"/>
                <w:sz w:val="20"/>
                <w:szCs w:val="20"/>
              </w:rPr>
              <w:t>Ensure all subscription administrators with privileges over “Tier 0” assets are using hardened administrative workstations. Guidance for building hardened workstations can be found in the following documents:</w:t>
            </w:r>
          </w:p>
          <w:p w14:paraId="428A92FB" w14:textId="77777777" w:rsidR="005978CA" w:rsidRDefault="00872E47" w:rsidP="005729D2">
            <w:pPr>
              <w:pStyle w:val="ListParagraph"/>
              <w:numPr>
                <w:ilvl w:val="0"/>
                <w:numId w:val="90"/>
              </w:numPr>
              <w:tabs>
                <w:tab w:val="left" w:pos="720"/>
              </w:tabs>
              <w:ind w:left="360"/>
              <w:rPr>
                <w:rFonts w:cs="Segoe UI"/>
                <w:sz w:val="20"/>
                <w:szCs w:val="20"/>
              </w:rPr>
            </w:pPr>
            <w:hyperlink r:id="rId545" w:history="1">
              <w:r w:rsidR="005978CA">
                <w:rPr>
                  <w:rStyle w:val="Hyperlink"/>
                  <w:sz w:val="20"/>
                  <w:szCs w:val="20"/>
                  <w:lang w:val="x-none"/>
                </w:rPr>
                <w:t>Security Management in Microsoft Azure</w:t>
              </w:r>
            </w:hyperlink>
            <w:r w:rsidR="005978CA">
              <w:rPr>
                <w:sz w:val="20"/>
                <w:szCs w:val="20"/>
                <w:lang w:val="x-none"/>
              </w:rPr>
              <w:t xml:space="preserve"> </w:t>
            </w:r>
          </w:p>
          <w:p w14:paraId="593589F0" w14:textId="77777777" w:rsidR="005978CA" w:rsidRDefault="00872E47" w:rsidP="005729D2">
            <w:pPr>
              <w:pStyle w:val="ListParagraph"/>
              <w:numPr>
                <w:ilvl w:val="0"/>
                <w:numId w:val="90"/>
              </w:numPr>
              <w:tabs>
                <w:tab w:val="left" w:pos="720"/>
              </w:tabs>
              <w:ind w:left="360"/>
              <w:rPr>
                <w:sz w:val="20"/>
                <w:szCs w:val="20"/>
              </w:rPr>
            </w:pPr>
            <w:hyperlink r:id="rId546" w:history="1">
              <w:r w:rsidR="005978CA">
                <w:rPr>
                  <w:rStyle w:val="Hyperlink"/>
                  <w:sz w:val="20"/>
                  <w:szCs w:val="20"/>
                </w:rPr>
                <w:t>Pass the Hash v2 whitepaper</w:t>
              </w:r>
            </w:hyperlink>
          </w:p>
        </w:tc>
      </w:tr>
      <w:tr w:rsidR="008F0050" w14:paraId="15D2CB24" w14:textId="77777777" w:rsidTr="008F0050">
        <w:tc>
          <w:tcPr>
            <w:tcW w:w="2335" w:type="dxa"/>
            <w:hideMark/>
          </w:tcPr>
          <w:p w14:paraId="054D8194" w14:textId="1109634C" w:rsidR="008F0050" w:rsidRDefault="008F0050" w:rsidP="008F0050">
            <w:pPr>
              <w:pStyle w:val="NormalWeb"/>
              <w:spacing w:line="254" w:lineRule="auto"/>
              <w:rPr>
                <w:rFonts w:ascii="Segoe UI" w:hAnsi="Segoe UI" w:cs="Segoe UI"/>
                <w:b/>
                <w:sz w:val="20"/>
                <w:szCs w:val="20"/>
                <w:lang w:val="en-AU" w:eastAsia="en-AU"/>
              </w:rPr>
            </w:pPr>
            <w:r>
              <w:rPr>
                <w:rFonts w:ascii="Segoe UI" w:hAnsi="Segoe UI" w:cs="Segoe UI"/>
                <w:b/>
                <w:sz w:val="20"/>
                <w:szCs w:val="20"/>
              </w:rPr>
              <w:t>Administrative model</w:t>
            </w:r>
          </w:p>
        </w:tc>
        <w:tc>
          <w:tcPr>
            <w:tcW w:w="7020" w:type="dxa"/>
            <w:hideMark/>
          </w:tcPr>
          <w:p w14:paraId="34289737" w14:textId="77777777" w:rsidR="008F0050" w:rsidRDefault="008F0050" w:rsidP="008F0050">
            <w:pPr>
              <w:rPr>
                <w:rFonts w:cs="Segoe UI"/>
                <w:sz w:val="20"/>
                <w:szCs w:val="20"/>
              </w:rPr>
            </w:pPr>
            <w:r>
              <w:rPr>
                <w:rFonts w:cs="Segoe UI"/>
                <w:sz w:val="20"/>
                <w:szCs w:val="20"/>
              </w:rPr>
              <w:t>Document and validate the organization’s intended Azure AD Administrative model including:</w:t>
            </w:r>
          </w:p>
          <w:p w14:paraId="143DDA19" w14:textId="77777777" w:rsidR="008F0050" w:rsidRDefault="008F0050" w:rsidP="005729D2">
            <w:pPr>
              <w:numPr>
                <w:ilvl w:val="0"/>
                <w:numId w:val="84"/>
              </w:numPr>
              <w:ind w:left="360"/>
              <w:rPr>
                <w:rFonts w:cs="Segoe UI"/>
                <w:sz w:val="20"/>
                <w:szCs w:val="20"/>
              </w:rPr>
            </w:pPr>
            <w:r>
              <w:rPr>
                <w:rFonts w:cs="Segoe UI"/>
                <w:sz w:val="20"/>
                <w:szCs w:val="20"/>
              </w:rPr>
              <w:t>Administrative roles (including Tier 0 roles at a minimum)</w:t>
            </w:r>
          </w:p>
          <w:p w14:paraId="23E49EA4" w14:textId="77777777" w:rsidR="008F0050" w:rsidRDefault="008F0050" w:rsidP="005729D2">
            <w:pPr>
              <w:numPr>
                <w:ilvl w:val="0"/>
                <w:numId w:val="84"/>
              </w:numPr>
              <w:ind w:left="360"/>
              <w:rPr>
                <w:rFonts w:cs="Segoe UI"/>
                <w:sz w:val="20"/>
                <w:szCs w:val="20"/>
              </w:rPr>
            </w:pPr>
            <w:r>
              <w:rPr>
                <w:rFonts w:cs="Segoe UI"/>
                <w:sz w:val="20"/>
                <w:szCs w:val="20"/>
              </w:rPr>
              <w:t>Determining which roles will have Tier 0 rights (explicitly and through control of Azure assets, such as domain controllers, through subscription administration)</w:t>
            </w:r>
          </w:p>
          <w:p w14:paraId="14A6BDD7" w14:textId="77777777" w:rsidR="008F0050" w:rsidRDefault="008F0050" w:rsidP="005729D2">
            <w:pPr>
              <w:numPr>
                <w:ilvl w:val="0"/>
                <w:numId w:val="84"/>
              </w:numPr>
              <w:ind w:left="360"/>
              <w:rPr>
                <w:rFonts w:cs="Segoe UI"/>
                <w:sz w:val="20"/>
                <w:szCs w:val="20"/>
              </w:rPr>
            </w:pPr>
            <w:r>
              <w:rPr>
                <w:rFonts w:cs="Segoe UI"/>
                <w:sz w:val="20"/>
                <w:szCs w:val="20"/>
              </w:rPr>
              <w:t>Criteria of who can fulfill and manage those roles</w:t>
            </w:r>
          </w:p>
          <w:p w14:paraId="0B6DFEC0" w14:textId="5BCDA6CA" w:rsidR="008F0050" w:rsidRDefault="008F0050" w:rsidP="005729D2">
            <w:pPr>
              <w:numPr>
                <w:ilvl w:val="0"/>
                <w:numId w:val="84"/>
              </w:numPr>
              <w:ind w:left="360"/>
              <w:rPr>
                <w:rFonts w:cs="Segoe UI"/>
                <w:sz w:val="20"/>
                <w:szCs w:val="20"/>
              </w:rPr>
            </w:pPr>
            <w:r>
              <w:rPr>
                <w:rFonts w:cs="Segoe UI"/>
                <w:sz w:val="20"/>
                <w:szCs w:val="20"/>
              </w:rPr>
              <w:t>Determining which standards and practices the roles will follow</w:t>
            </w:r>
          </w:p>
        </w:tc>
      </w:tr>
      <w:tr w:rsidR="008F0050" w14:paraId="49E417F9" w14:textId="77777777" w:rsidTr="008F0050">
        <w:trPr>
          <w:cnfStyle w:val="000000100000" w:firstRow="0" w:lastRow="0" w:firstColumn="0" w:lastColumn="0" w:oddVBand="0" w:evenVBand="0" w:oddHBand="1" w:evenHBand="0" w:firstRowFirstColumn="0" w:firstRowLastColumn="0" w:lastRowFirstColumn="0" w:lastRowLastColumn="0"/>
        </w:trPr>
        <w:tc>
          <w:tcPr>
            <w:tcW w:w="2335" w:type="dxa"/>
            <w:hideMark/>
          </w:tcPr>
          <w:p w14:paraId="52C7F12E" w14:textId="21F1BA4C" w:rsidR="008F0050" w:rsidRDefault="008F0050" w:rsidP="008F0050">
            <w:pPr>
              <w:pStyle w:val="NormalWeb"/>
              <w:spacing w:line="254" w:lineRule="auto"/>
              <w:rPr>
                <w:rFonts w:ascii="Segoe UI" w:hAnsi="Segoe UI" w:cs="Segoe UI"/>
                <w:b/>
                <w:sz w:val="20"/>
                <w:szCs w:val="20"/>
                <w:lang w:val="en-AU" w:eastAsia="en-AU"/>
              </w:rPr>
            </w:pPr>
            <w:r>
              <w:rPr>
                <w:rFonts w:ascii="Segoe UI" w:hAnsi="Segoe UI" w:cs="Segoe UI"/>
                <w:b/>
                <w:sz w:val="20"/>
                <w:szCs w:val="20"/>
              </w:rPr>
              <w:t>Logon restrictions</w:t>
            </w:r>
          </w:p>
        </w:tc>
        <w:tc>
          <w:tcPr>
            <w:tcW w:w="7020" w:type="dxa"/>
            <w:hideMark/>
          </w:tcPr>
          <w:p w14:paraId="5B7C4807" w14:textId="69BEFE02" w:rsidR="008F0050" w:rsidRDefault="008F0050" w:rsidP="008F0050">
            <w:pPr>
              <w:rPr>
                <w:rFonts w:cs="Segoe UI"/>
                <w:sz w:val="20"/>
                <w:szCs w:val="20"/>
              </w:rPr>
            </w:pPr>
            <w:r>
              <w:rPr>
                <w:rFonts w:cs="Segoe UI"/>
                <w:sz w:val="20"/>
                <w:szCs w:val="20"/>
              </w:rPr>
              <w:t>Restrict administrative activity to only authorized administrative workstations</w:t>
            </w:r>
          </w:p>
        </w:tc>
      </w:tr>
      <w:tr w:rsidR="008F0050" w14:paraId="5A558860" w14:textId="77777777" w:rsidTr="008F0050">
        <w:tc>
          <w:tcPr>
            <w:tcW w:w="2335" w:type="dxa"/>
            <w:hideMark/>
          </w:tcPr>
          <w:p w14:paraId="4E7886B8" w14:textId="6DBB0054" w:rsidR="008F0050" w:rsidRDefault="008F0050" w:rsidP="008F0050">
            <w:pPr>
              <w:pStyle w:val="NormalWeb"/>
              <w:spacing w:line="254" w:lineRule="auto"/>
              <w:rPr>
                <w:rFonts w:ascii="Segoe UI" w:hAnsi="Segoe UI" w:cs="Segoe UI"/>
                <w:b/>
                <w:sz w:val="20"/>
                <w:szCs w:val="20"/>
                <w:lang w:val="en-AU" w:eastAsia="en-AU"/>
              </w:rPr>
            </w:pPr>
            <w:r>
              <w:rPr>
                <w:rFonts w:ascii="Segoe UI" w:hAnsi="Segoe UI" w:cs="Segoe UI"/>
                <w:b/>
                <w:sz w:val="20"/>
                <w:szCs w:val="20"/>
              </w:rPr>
              <w:t>Administrator education</w:t>
            </w:r>
          </w:p>
        </w:tc>
        <w:tc>
          <w:tcPr>
            <w:tcW w:w="7020" w:type="dxa"/>
          </w:tcPr>
          <w:p w14:paraId="72AE0F13" w14:textId="77777777" w:rsidR="008F0050" w:rsidRDefault="008F0050" w:rsidP="008F0050">
            <w:pPr>
              <w:rPr>
                <w:rFonts w:cs="Segoe UI"/>
                <w:sz w:val="20"/>
                <w:szCs w:val="20"/>
              </w:rPr>
            </w:pPr>
            <w:r>
              <w:rPr>
                <w:rFonts w:cs="Segoe UI"/>
                <w:sz w:val="20"/>
                <w:szCs w:val="20"/>
              </w:rPr>
              <w:t xml:space="preserve">Educate administrators with subscription administration privileges on the </w:t>
            </w:r>
          </w:p>
          <w:p w14:paraId="1A8550D4" w14:textId="77777777" w:rsidR="008F0050" w:rsidRDefault="008F0050" w:rsidP="005729D2">
            <w:pPr>
              <w:numPr>
                <w:ilvl w:val="1"/>
                <w:numId w:val="91"/>
              </w:numPr>
              <w:ind w:left="360"/>
              <w:rPr>
                <w:rFonts w:cs="Segoe UI"/>
                <w:sz w:val="20"/>
                <w:szCs w:val="20"/>
              </w:rPr>
            </w:pPr>
            <w:r>
              <w:rPr>
                <w:rFonts w:cs="Segoe UI"/>
                <w:b/>
                <w:sz w:val="20"/>
                <w:szCs w:val="20"/>
              </w:rPr>
              <w:t xml:space="preserve">Current threat environment </w:t>
            </w:r>
            <w:r w:rsidRPr="00E34329">
              <w:rPr>
                <w:rFonts w:cs="Segoe UI"/>
                <w:sz w:val="20"/>
                <w:szCs w:val="20"/>
              </w:rPr>
              <w:t>-</w:t>
            </w:r>
            <w:r>
              <w:rPr>
                <w:rFonts w:cs="Segoe UI"/>
                <w:b/>
                <w:sz w:val="20"/>
                <w:szCs w:val="20"/>
              </w:rPr>
              <w:t xml:space="preserve"> </w:t>
            </w:r>
            <w:r>
              <w:rPr>
                <w:rFonts w:cs="Segoe UI"/>
                <w:sz w:val="20"/>
                <w:szCs w:val="20"/>
              </w:rPr>
              <w:t>Organizations can use the following resources published by Microsoft to help create this content, but they should tailor it to their needs:</w:t>
            </w:r>
          </w:p>
          <w:p w14:paraId="077A917D" w14:textId="77777777" w:rsidR="008F0050" w:rsidRDefault="00872E47" w:rsidP="005729D2">
            <w:pPr>
              <w:numPr>
                <w:ilvl w:val="0"/>
                <w:numId w:val="84"/>
              </w:numPr>
              <w:rPr>
                <w:rFonts w:cs="Segoe UI"/>
                <w:sz w:val="20"/>
                <w:szCs w:val="20"/>
              </w:rPr>
            </w:pPr>
            <w:hyperlink r:id="rId547" w:history="1">
              <w:r w:rsidR="008F0050" w:rsidRPr="00E34329">
                <w:rPr>
                  <w:rStyle w:val="Hyperlink"/>
                  <w:rFonts w:cs="Segoe UI"/>
                  <w:sz w:val="20"/>
                  <w:szCs w:val="20"/>
                </w:rPr>
                <w:t>Determined Adversaries and Targeted Attacks</w:t>
              </w:r>
            </w:hyperlink>
            <w:r w:rsidR="008F0050">
              <w:rPr>
                <w:rFonts w:cs="Segoe UI"/>
                <w:sz w:val="20"/>
                <w:szCs w:val="20"/>
              </w:rPr>
              <w:t xml:space="preserve"> </w:t>
            </w:r>
          </w:p>
          <w:p w14:paraId="042C0BEE" w14:textId="77777777" w:rsidR="008F0050" w:rsidRDefault="008F0050" w:rsidP="005729D2">
            <w:pPr>
              <w:numPr>
                <w:ilvl w:val="0"/>
                <w:numId w:val="84"/>
              </w:numPr>
              <w:rPr>
                <w:rFonts w:cs="Segoe UI"/>
                <w:sz w:val="20"/>
                <w:szCs w:val="20"/>
              </w:rPr>
            </w:pPr>
            <w:r>
              <w:rPr>
                <w:rFonts w:cs="Segoe UI"/>
                <w:sz w:val="20"/>
                <w:szCs w:val="20"/>
              </w:rPr>
              <w:t xml:space="preserve">Slides and video: </w:t>
            </w:r>
            <w:hyperlink r:id="rId548" w:anchor="fbid" w:history="1">
              <w:r>
                <w:rPr>
                  <w:rStyle w:val="Hyperlink"/>
                  <w:sz w:val="20"/>
                  <w:szCs w:val="20"/>
                </w:rPr>
                <w:t>TWC: Pass-the-Hash and Credential Theft Mitigation Architectures</w:t>
              </w:r>
            </w:hyperlink>
            <w:r>
              <w:rPr>
                <w:rFonts w:cs="Segoe UI"/>
                <w:sz w:val="20"/>
                <w:szCs w:val="20"/>
              </w:rPr>
              <w:t xml:space="preserve"> </w:t>
            </w:r>
          </w:p>
          <w:p w14:paraId="28D260AF" w14:textId="77777777" w:rsidR="008F0050" w:rsidRDefault="008F0050" w:rsidP="005729D2">
            <w:pPr>
              <w:pStyle w:val="ListParagraph"/>
              <w:numPr>
                <w:ilvl w:val="1"/>
                <w:numId w:val="91"/>
              </w:numPr>
              <w:tabs>
                <w:tab w:val="left" w:pos="720"/>
              </w:tabs>
              <w:ind w:left="360"/>
              <w:rPr>
                <w:rFonts w:cs="Segoe UI"/>
                <w:b/>
                <w:sz w:val="20"/>
                <w:szCs w:val="20"/>
              </w:rPr>
            </w:pPr>
            <w:r>
              <w:rPr>
                <w:b/>
                <w:sz w:val="20"/>
                <w:szCs w:val="20"/>
              </w:rPr>
              <w:t>Administrative Practices and Standards</w:t>
            </w:r>
          </w:p>
          <w:p w14:paraId="29D3EE65" w14:textId="77777777" w:rsidR="008F0050" w:rsidRDefault="008F0050" w:rsidP="005729D2">
            <w:pPr>
              <w:pStyle w:val="ListParagraph"/>
              <w:numPr>
                <w:ilvl w:val="1"/>
                <w:numId w:val="91"/>
              </w:numPr>
              <w:tabs>
                <w:tab w:val="left" w:pos="720"/>
              </w:tabs>
              <w:ind w:left="360"/>
              <w:rPr>
                <w:b/>
                <w:sz w:val="20"/>
                <w:szCs w:val="20"/>
              </w:rPr>
            </w:pPr>
            <w:r>
              <w:rPr>
                <w:b/>
                <w:sz w:val="20"/>
                <w:szCs w:val="20"/>
              </w:rPr>
              <w:t>Log-on practices and administrative workstations</w:t>
            </w:r>
            <w:r>
              <w:rPr>
                <w:sz w:val="20"/>
                <w:szCs w:val="20"/>
              </w:rPr>
              <w:t xml:space="preserve"> </w:t>
            </w:r>
          </w:p>
          <w:p w14:paraId="426D63D8" w14:textId="77777777" w:rsidR="008F0050" w:rsidRDefault="008F0050" w:rsidP="005729D2">
            <w:pPr>
              <w:pStyle w:val="ListParagraph"/>
              <w:numPr>
                <w:ilvl w:val="0"/>
                <w:numId w:val="91"/>
              </w:numPr>
              <w:tabs>
                <w:tab w:val="left" w:pos="720"/>
              </w:tabs>
              <w:rPr>
                <w:sz w:val="20"/>
                <w:szCs w:val="20"/>
              </w:rPr>
            </w:pPr>
            <w:r>
              <w:rPr>
                <w:sz w:val="20"/>
                <w:szCs w:val="20"/>
              </w:rPr>
              <w:t>Know what tasks to perform on an admin workstation vs. a standard user desktop</w:t>
            </w:r>
          </w:p>
          <w:p w14:paraId="799C366C" w14:textId="77777777" w:rsidR="008F0050" w:rsidRDefault="008F0050" w:rsidP="005729D2">
            <w:pPr>
              <w:pStyle w:val="ListParagraph"/>
              <w:numPr>
                <w:ilvl w:val="0"/>
                <w:numId w:val="91"/>
              </w:numPr>
              <w:tabs>
                <w:tab w:val="left" w:pos="720"/>
              </w:tabs>
              <w:rPr>
                <w:sz w:val="20"/>
                <w:szCs w:val="20"/>
              </w:rPr>
            </w:pPr>
            <w:r>
              <w:rPr>
                <w:sz w:val="20"/>
                <w:szCs w:val="20"/>
              </w:rPr>
              <w:t xml:space="preserve">Never logon to a user's desktop with administrative credentials </w:t>
            </w:r>
          </w:p>
          <w:p w14:paraId="5FD3C5BB" w14:textId="78E0CF15" w:rsidR="008F0050" w:rsidRPr="005978CA" w:rsidRDefault="008F0050" w:rsidP="005729D2">
            <w:pPr>
              <w:pStyle w:val="ListParagraph"/>
              <w:numPr>
                <w:ilvl w:val="0"/>
                <w:numId w:val="91"/>
              </w:numPr>
              <w:tabs>
                <w:tab w:val="left" w:pos="720"/>
              </w:tabs>
              <w:rPr>
                <w:sz w:val="20"/>
                <w:szCs w:val="20"/>
              </w:rPr>
            </w:pPr>
            <w:r>
              <w:rPr>
                <w:sz w:val="20"/>
                <w:szCs w:val="20"/>
              </w:rPr>
              <w:t>Know what logs to check every day for anomalous activity</w:t>
            </w:r>
          </w:p>
        </w:tc>
      </w:tr>
      <w:tr w:rsidR="008F0050" w14:paraId="240BCF57" w14:textId="77777777" w:rsidTr="008F0050">
        <w:trPr>
          <w:cnfStyle w:val="000000100000" w:firstRow="0" w:lastRow="0" w:firstColumn="0" w:lastColumn="0" w:oddVBand="0" w:evenVBand="0" w:oddHBand="1" w:evenHBand="0" w:firstRowFirstColumn="0" w:firstRowLastColumn="0" w:lastRowFirstColumn="0" w:lastRowLastColumn="0"/>
        </w:trPr>
        <w:tc>
          <w:tcPr>
            <w:tcW w:w="2335" w:type="dxa"/>
            <w:hideMark/>
          </w:tcPr>
          <w:p w14:paraId="1E5DA4DE" w14:textId="26A1835A" w:rsidR="008F0050" w:rsidRDefault="008F0050" w:rsidP="008F0050">
            <w:pPr>
              <w:pStyle w:val="NormalWeb"/>
              <w:spacing w:line="254" w:lineRule="auto"/>
              <w:rPr>
                <w:rFonts w:ascii="Segoe UI" w:hAnsi="Segoe UI" w:cs="Segoe UI"/>
                <w:b/>
                <w:sz w:val="20"/>
                <w:szCs w:val="20"/>
                <w:lang w:val="en-AU" w:eastAsia="en-AU"/>
              </w:rPr>
            </w:pPr>
            <w:r>
              <w:rPr>
                <w:rFonts w:ascii="Segoe UI" w:hAnsi="Segoe UI" w:cs="Segoe UI"/>
                <w:b/>
                <w:sz w:val="20"/>
                <w:szCs w:val="20"/>
              </w:rPr>
              <w:t>Logging</w:t>
            </w:r>
          </w:p>
        </w:tc>
        <w:tc>
          <w:tcPr>
            <w:tcW w:w="7020" w:type="dxa"/>
            <w:hideMark/>
          </w:tcPr>
          <w:p w14:paraId="098A91E6" w14:textId="2BE95359" w:rsidR="008F0050" w:rsidRDefault="008F0050" w:rsidP="008F0050">
            <w:pPr>
              <w:rPr>
                <w:rFonts w:cs="Segoe UI"/>
                <w:sz w:val="20"/>
                <w:szCs w:val="20"/>
              </w:rPr>
            </w:pPr>
            <w:r>
              <w:rPr>
                <w:rFonts w:cs="Segoe UI"/>
                <w:sz w:val="20"/>
                <w:szCs w:val="20"/>
              </w:rPr>
              <w:t>Ensure security personnel are monitoring Azure AD administrative activity</w:t>
            </w:r>
          </w:p>
        </w:tc>
      </w:tr>
      <w:tr w:rsidR="008F0050" w14:paraId="3B325C50" w14:textId="77777777" w:rsidTr="008F0050">
        <w:tc>
          <w:tcPr>
            <w:tcW w:w="2335" w:type="dxa"/>
            <w:hideMark/>
          </w:tcPr>
          <w:p w14:paraId="741E0B94" w14:textId="7EB1B5DA" w:rsidR="008F0050" w:rsidRDefault="008F0050" w:rsidP="008F0050">
            <w:pPr>
              <w:pStyle w:val="NormalWeb"/>
              <w:spacing w:line="254" w:lineRule="auto"/>
              <w:rPr>
                <w:rFonts w:ascii="Segoe UI" w:hAnsi="Segoe UI" w:cs="Segoe UI"/>
                <w:b/>
                <w:sz w:val="20"/>
                <w:szCs w:val="20"/>
                <w:lang w:val="en-AU" w:eastAsia="en-AU"/>
              </w:rPr>
            </w:pPr>
            <w:r>
              <w:rPr>
                <w:rFonts w:ascii="Segoe UI" w:hAnsi="Segoe UI" w:cs="Segoe UI"/>
                <w:b/>
                <w:sz w:val="20"/>
                <w:szCs w:val="20"/>
              </w:rPr>
              <w:t>Response and recovery processes</w:t>
            </w:r>
          </w:p>
        </w:tc>
        <w:tc>
          <w:tcPr>
            <w:tcW w:w="7020" w:type="dxa"/>
            <w:hideMark/>
          </w:tcPr>
          <w:p w14:paraId="3FAF17D7" w14:textId="7AD2A47D" w:rsidR="008F0050" w:rsidRDefault="008F0050" w:rsidP="008F0050">
            <w:pPr>
              <w:rPr>
                <w:rFonts w:cs="Segoe UI"/>
                <w:sz w:val="20"/>
                <w:szCs w:val="20"/>
              </w:rPr>
            </w:pPr>
            <w:r>
              <w:rPr>
                <w:rFonts w:cs="Segoe UI"/>
                <w:sz w:val="20"/>
                <w:szCs w:val="20"/>
              </w:rPr>
              <w:t>Add guidance for the Azure portal and resources to existing response and recovery framework. If a framework or processes don’t exist, create some that include Azure guidance.</w:t>
            </w:r>
          </w:p>
        </w:tc>
      </w:tr>
    </w:tbl>
    <w:p w14:paraId="104A2454" w14:textId="77777777" w:rsidR="005978CA" w:rsidRDefault="005978CA" w:rsidP="00CE136D"/>
    <w:p w14:paraId="2C03D2B7" w14:textId="77777777" w:rsidR="005978CA" w:rsidRDefault="005978CA" w:rsidP="00CE136D"/>
    <w:p w14:paraId="23760AEF" w14:textId="09B590F5" w:rsidR="004728FE" w:rsidRPr="00F15B18" w:rsidRDefault="004728FE" w:rsidP="005729D2">
      <w:pPr>
        <w:pStyle w:val="Heading4Numbered"/>
        <w:numPr>
          <w:ilvl w:val="3"/>
          <w:numId w:val="64"/>
        </w:numPr>
      </w:pPr>
      <w:r w:rsidRPr="00F15B18">
        <w:t>Rapid Mitigation Strategy</w:t>
      </w:r>
      <w:r w:rsidR="00F15B18">
        <w:t xml:space="preserve"> for Risk 2</w:t>
      </w:r>
    </w:p>
    <w:p w14:paraId="091C724F" w14:textId="784A1757" w:rsidR="00CE136D" w:rsidRDefault="008F0050" w:rsidP="00086ED7">
      <w:r w:rsidRPr="00F15B18">
        <w:t>Th</w:t>
      </w:r>
      <w:r>
        <w:t>e</w:t>
      </w:r>
      <w:r w:rsidRPr="00F15B18">
        <w:t xml:space="preserve"> risk </w:t>
      </w:r>
      <w:r>
        <w:t>created by the potential in</w:t>
      </w:r>
      <w:r w:rsidRPr="005978CA">
        <w:t xml:space="preserve">advertent </w:t>
      </w:r>
      <w:r>
        <w:t>exposure of intranet services to p</w:t>
      </w:r>
      <w:r w:rsidRPr="005978CA">
        <w:t xml:space="preserve">ublic Internet </w:t>
      </w:r>
      <w:r w:rsidRPr="00F15B18">
        <w:t xml:space="preserve">should be mitigated by </w:t>
      </w:r>
      <w:r>
        <w:t>configuring the</w:t>
      </w:r>
      <w:r w:rsidRPr="00F15B18">
        <w:t xml:space="preserve"> network security </w:t>
      </w:r>
      <w:r>
        <w:t>protections and</w:t>
      </w:r>
      <w:r w:rsidRPr="00F15B18">
        <w:t xml:space="preserve"> guidance </w:t>
      </w:r>
      <w:r>
        <w:t xml:space="preserve">found within </w:t>
      </w:r>
      <w:r w:rsidRPr="00F15B18">
        <w:t>in this document</w:t>
      </w:r>
      <w:r w:rsidR="00173A55" w:rsidRPr="00F15B18">
        <w:t xml:space="preserve">. </w:t>
      </w:r>
    </w:p>
    <w:p w14:paraId="4F0A9A8E" w14:textId="5F38FDC9" w:rsidR="00DF517C" w:rsidRDefault="00DF517C" w:rsidP="005729D2">
      <w:pPr>
        <w:pStyle w:val="Heading3Numbered"/>
        <w:numPr>
          <w:ilvl w:val="2"/>
          <w:numId w:val="64"/>
        </w:numPr>
      </w:pPr>
      <w:bookmarkStart w:id="6567" w:name="_Toc416343900"/>
      <w:bookmarkStart w:id="6568" w:name="_Toc416863172"/>
      <w:bookmarkStart w:id="6569" w:name="_Toc417314787"/>
      <w:bookmarkStart w:id="6570" w:name="_Toc417323804"/>
      <w:bookmarkStart w:id="6571" w:name="_Toc417326894"/>
      <w:bookmarkStart w:id="6572" w:name="_Toc417330442"/>
      <w:bookmarkStart w:id="6573" w:name="_Toc417395049"/>
      <w:bookmarkStart w:id="6574" w:name="_Toc417399266"/>
      <w:bookmarkStart w:id="6575" w:name="_Toc417399425"/>
      <w:bookmarkStart w:id="6576" w:name="_Toc417400472"/>
      <w:bookmarkStart w:id="6577" w:name="_Toc417401320"/>
      <w:bookmarkStart w:id="6578" w:name="_Toc417419635"/>
      <w:bookmarkStart w:id="6579" w:name="_Toc417457407"/>
      <w:bookmarkStart w:id="6580" w:name="_Toc417481985"/>
      <w:bookmarkStart w:id="6581" w:name="_Toc417482243"/>
      <w:bookmarkStart w:id="6582" w:name="_Toc417499962"/>
      <w:bookmarkStart w:id="6583" w:name="_Toc417502783"/>
      <w:bookmarkStart w:id="6584" w:name="_Toc417548371"/>
      <w:bookmarkStart w:id="6585" w:name="_Toc417594614"/>
      <w:bookmarkStart w:id="6586" w:name="_Toc417934744"/>
      <w:bookmarkStart w:id="6587" w:name="_Toc417936083"/>
      <w:bookmarkStart w:id="6588" w:name="_Toc417936545"/>
      <w:bookmarkStart w:id="6589" w:name="_Toc417946965"/>
      <w:bookmarkStart w:id="6590" w:name="_Toc417947435"/>
      <w:bookmarkStart w:id="6591" w:name="_Toc417982575"/>
      <w:bookmarkStart w:id="6592" w:name="_Toc417986030"/>
      <w:bookmarkStart w:id="6593" w:name="_Toc418000721"/>
      <w:bookmarkStart w:id="6594" w:name="_Toc418003895"/>
      <w:bookmarkStart w:id="6595" w:name="_Toc418012100"/>
      <w:bookmarkStart w:id="6596" w:name="_Toc418014511"/>
      <w:bookmarkStart w:id="6597" w:name="_Toc418030118"/>
      <w:bookmarkStart w:id="6598" w:name="_Toc418036999"/>
      <w:bookmarkStart w:id="6599" w:name="_Toc418061472"/>
      <w:bookmarkStart w:id="6600" w:name="_Toc418081373"/>
      <w:bookmarkStart w:id="6601" w:name="_Toc418083403"/>
      <w:bookmarkStart w:id="6602" w:name="_Toc418096169"/>
      <w:bookmarkStart w:id="6603" w:name="_Toc418156771"/>
      <w:bookmarkStart w:id="6604" w:name="_Toc418167688"/>
      <w:bookmarkStart w:id="6605" w:name="_Toc418185944"/>
      <w:bookmarkStart w:id="6606" w:name="_Toc422941658"/>
      <w:bookmarkStart w:id="6607" w:name="_Toc423116864"/>
      <w:bookmarkStart w:id="6608" w:name="_Toc423117897"/>
      <w:bookmarkStart w:id="6609" w:name="_Toc423117347"/>
      <w:bookmarkStart w:id="6610" w:name="_Toc431288947"/>
      <w:r>
        <w:t>Security Compliance and Accreditation</w:t>
      </w:r>
      <w:bookmarkEnd w:id="6454"/>
      <w:bookmarkEnd w:id="6455"/>
      <w:bookmarkEnd w:id="6456"/>
      <w:bookmarkEnd w:id="6457"/>
      <w:bookmarkEnd w:id="6458"/>
      <w:bookmarkEnd w:id="6459"/>
      <w:bookmarkEnd w:id="6460"/>
      <w:bookmarkEnd w:id="6461"/>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3AA39394" w14:textId="6577C251" w:rsidR="008F0050" w:rsidRDefault="00C60494" w:rsidP="008F0050">
      <w:r>
        <w:t>Microsoft</w:t>
      </w:r>
      <w:bookmarkEnd w:id="6462"/>
      <w:bookmarkEnd w:id="6463"/>
      <w:bookmarkEnd w:id="6464"/>
      <w:bookmarkEnd w:id="6465"/>
      <w:bookmarkEnd w:id="6466"/>
      <w:bookmarkEnd w:id="6467"/>
      <w:bookmarkEnd w:id="6468"/>
      <w:bookmarkEnd w:id="6469"/>
      <w:r w:rsidR="008F0050">
        <w:t xml:space="preserve"> Azure has a strong commitment to security and compliance. Several</w:t>
      </w:r>
      <w:r w:rsidR="008F0050" w:rsidRPr="00DF517C">
        <w:t xml:space="preserve"> international, industry, and regional organizations </w:t>
      </w:r>
      <w:r w:rsidR="008F0050">
        <w:t xml:space="preserve">have </w:t>
      </w:r>
      <w:r w:rsidR="008F0050" w:rsidRPr="00DF517C">
        <w:t>indep</w:t>
      </w:r>
      <w:r w:rsidR="008F0050">
        <w:t xml:space="preserve">endently certified that Microsoft </w:t>
      </w:r>
      <w:r w:rsidR="008F0050" w:rsidRPr="00DF517C">
        <w:t>cloud services</w:t>
      </w:r>
      <w:r w:rsidR="008F0050">
        <w:t>,</w:t>
      </w:r>
      <w:r w:rsidR="008F0050" w:rsidRPr="00DF517C">
        <w:t xml:space="preserve"> </w:t>
      </w:r>
      <w:r w:rsidR="008F0050">
        <w:t xml:space="preserve">including the Microsoft Azure platform, </w:t>
      </w:r>
      <w:r w:rsidR="008F0050" w:rsidRPr="00DF517C">
        <w:t>meet rigorous security standards and are trustworthy.</w:t>
      </w:r>
      <w:r w:rsidR="008F0050">
        <w:t xml:space="preserve"> </w:t>
      </w:r>
    </w:p>
    <w:p w14:paraId="3061579A" w14:textId="77777777" w:rsidR="008F0050" w:rsidRDefault="008F0050" w:rsidP="008F0050">
      <w:r w:rsidRPr="00DF517C">
        <w:t xml:space="preserve">By providing customers with compliant, independently verified cloud services, Microsoft also makes it easier for </w:t>
      </w:r>
      <w:r>
        <w:t xml:space="preserve">organizations </w:t>
      </w:r>
      <w:r w:rsidRPr="00DF517C">
        <w:t>to achieve compliance for infrastructure and applications</w:t>
      </w:r>
      <w:r>
        <w:t xml:space="preserve"> deployed within the service</w:t>
      </w:r>
      <w:r w:rsidRPr="00DF517C">
        <w:t>.</w:t>
      </w:r>
      <w:r>
        <w:t xml:space="preserve"> Organizations that use the Azure platform for workloads that require compliance validation or certification should:</w:t>
      </w:r>
    </w:p>
    <w:p w14:paraId="216A89B0" w14:textId="77777777" w:rsidR="008F0050" w:rsidRDefault="008F0050" w:rsidP="005729D2">
      <w:pPr>
        <w:pStyle w:val="ListParagraph"/>
        <w:numPr>
          <w:ilvl w:val="0"/>
          <w:numId w:val="85"/>
        </w:numPr>
      </w:pPr>
      <w:r>
        <w:t xml:space="preserve">Validate the components controlled by their organization per any regulatory requirements. </w:t>
      </w:r>
    </w:p>
    <w:p w14:paraId="0F30D725" w14:textId="77777777" w:rsidR="008F0050" w:rsidRDefault="008F0050" w:rsidP="005729D2">
      <w:pPr>
        <w:pStyle w:val="ListParagraph"/>
        <w:numPr>
          <w:ilvl w:val="0"/>
          <w:numId w:val="85"/>
        </w:numPr>
      </w:pPr>
      <w:r>
        <w:t xml:space="preserve">Reference the current compliance state of the Azure platform and components. </w:t>
      </w:r>
    </w:p>
    <w:p w14:paraId="774E3823" w14:textId="5FBA4E60" w:rsidR="00DF517C" w:rsidRDefault="008F0050" w:rsidP="008F0050">
      <w:r>
        <w:t xml:space="preserve">Because certification status can be updated frequently, it is crucial that organizations regularly review </w:t>
      </w:r>
      <w:r w:rsidRPr="00DF517C">
        <w:t>the Office</w:t>
      </w:r>
      <w:r>
        <w:t> 3</w:t>
      </w:r>
      <w:r w:rsidRPr="00DF517C">
        <w:t xml:space="preserve">65 and Microsoft Azure </w:t>
      </w:r>
      <w:r>
        <w:t>T</w:t>
      </w:r>
      <w:r w:rsidRPr="00DF517C">
        <w:t xml:space="preserve">rust </w:t>
      </w:r>
      <w:r>
        <w:t>C</w:t>
      </w:r>
      <w:r w:rsidRPr="00DF517C">
        <w:t>enters</w:t>
      </w:r>
      <w:r>
        <w:t xml:space="preserve"> for </w:t>
      </w:r>
      <w:r w:rsidRPr="00DF517C">
        <w:t>a complete list of security certifications and more information</w:t>
      </w:r>
      <w:r w:rsidR="00C60494">
        <w:t>.</w:t>
      </w:r>
    </w:p>
    <w:p w14:paraId="6B369A5C" w14:textId="77777777" w:rsidR="00C60494" w:rsidRDefault="00C60494" w:rsidP="00DF517C"/>
    <w:tbl>
      <w:tblPr>
        <w:tblStyle w:val="PlainTable11"/>
        <w:tblW w:w="0" w:type="auto"/>
        <w:tblLook w:val="04A0" w:firstRow="1" w:lastRow="0" w:firstColumn="1" w:lastColumn="0" w:noHBand="0" w:noVBand="1"/>
      </w:tblPr>
      <w:tblGrid>
        <w:gridCol w:w="3664"/>
        <w:gridCol w:w="5686"/>
      </w:tblGrid>
      <w:tr w:rsidR="00C60494" w14:paraId="61A56AD0" w14:textId="77777777" w:rsidTr="00A320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hideMark/>
          </w:tcPr>
          <w:p w14:paraId="393281AC" w14:textId="77777777" w:rsidR="00C60494" w:rsidRDefault="00C60494">
            <w:pPr>
              <w:spacing w:line="240" w:lineRule="auto"/>
              <w:rPr>
                <w:color w:val="FFFFFF"/>
              </w:rPr>
            </w:pPr>
            <w:r>
              <w:rPr>
                <w:color w:val="FFFFFF"/>
              </w:rPr>
              <w:t>Feature References</w:t>
            </w:r>
          </w:p>
        </w:tc>
      </w:tr>
      <w:tr w:rsidR="00C60494" w:rsidRPr="00A32012" w14:paraId="09192424" w14:textId="77777777" w:rsidTr="00A320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69" w:type="dxa"/>
            <w:hideMark/>
          </w:tcPr>
          <w:p w14:paraId="21FFAAC5" w14:textId="004D7E1B" w:rsidR="00C60494" w:rsidRPr="00A32012" w:rsidRDefault="00C60494">
            <w:pPr>
              <w:spacing w:line="240" w:lineRule="auto"/>
              <w:rPr>
                <w:sz w:val="20"/>
                <w:szCs w:val="18"/>
              </w:rPr>
            </w:pPr>
            <w:r w:rsidRPr="00A32012">
              <w:rPr>
                <w:sz w:val="20"/>
                <w:szCs w:val="18"/>
              </w:rPr>
              <w:t>Office 365 Trust Center</w:t>
            </w:r>
          </w:p>
        </w:tc>
        <w:tc>
          <w:tcPr>
            <w:tcW w:w="5691" w:type="dxa"/>
            <w:hideMark/>
          </w:tcPr>
          <w:p w14:paraId="68470F0C" w14:textId="72C7D62D" w:rsidR="00C60494" w:rsidRPr="00A32012" w:rsidRDefault="00872E47">
            <w:pPr>
              <w:cnfStyle w:val="000000100000" w:firstRow="0" w:lastRow="0" w:firstColumn="0" w:lastColumn="0" w:oddVBand="0" w:evenVBand="0" w:oddHBand="1" w:evenHBand="0" w:firstRowFirstColumn="0" w:firstRowLastColumn="0" w:lastRowFirstColumn="0" w:lastRowLastColumn="0"/>
              <w:rPr>
                <w:sz w:val="20"/>
                <w:szCs w:val="18"/>
              </w:rPr>
            </w:pPr>
            <w:hyperlink r:id="rId549" w:anchor="welcome" w:history="1">
              <w:r w:rsidR="00C60494" w:rsidRPr="00A32012">
                <w:rPr>
                  <w:rStyle w:val="Hyperlink"/>
                  <w:sz w:val="20"/>
                  <w:szCs w:val="18"/>
                </w:rPr>
                <w:t>http://products.office.com/en-us/business/office-365-trust-center-cloud-computing-security#welcome</w:t>
              </w:r>
            </w:hyperlink>
            <w:r w:rsidR="00C60494" w:rsidRPr="00A32012">
              <w:rPr>
                <w:sz w:val="20"/>
                <w:szCs w:val="18"/>
              </w:rPr>
              <w:t xml:space="preserve"> </w:t>
            </w:r>
          </w:p>
        </w:tc>
      </w:tr>
      <w:tr w:rsidR="00C60494" w:rsidRPr="00A32012" w14:paraId="29E94F34" w14:textId="77777777" w:rsidTr="00A32012">
        <w:tc>
          <w:tcPr>
            <w:cnfStyle w:val="001000000000" w:firstRow="0" w:lastRow="0" w:firstColumn="1" w:lastColumn="0" w:oddVBand="0" w:evenVBand="0" w:oddHBand="0" w:evenHBand="0" w:firstRowFirstColumn="0" w:firstRowLastColumn="0" w:lastRowFirstColumn="0" w:lastRowLastColumn="0"/>
            <w:tcW w:w="3669" w:type="dxa"/>
            <w:hideMark/>
          </w:tcPr>
          <w:p w14:paraId="248C3852" w14:textId="3C6154ED" w:rsidR="00C60494" w:rsidRPr="00A32012" w:rsidRDefault="00C60494">
            <w:pPr>
              <w:spacing w:line="240" w:lineRule="auto"/>
              <w:rPr>
                <w:sz w:val="20"/>
              </w:rPr>
            </w:pPr>
            <w:r w:rsidRPr="00A32012">
              <w:rPr>
                <w:sz w:val="20"/>
                <w:szCs w:val="18"/>
              </w:rPr>
              <w:t>Azure Trust Center</w:t>
            </w:r>
          </w:p>
        </w:tc>
        <w:tc>
          <w:tcPr>
            <w:tcW w:w="5691" w:type="dxa"/>
            <w:hideMark/>
          </w:tcPr>
          <w:p w14:paraId="325960F4" w14:textId="1852B1C1" w:rsidR="00C60494" w:rsidRPr="00A32012" w:rsidRDefault="00872E47">
            <w:pPr>
              <w:cnfStyle w:val="000000000000" w:firstRow="0" w:lastRow="0" w:firstColumn="0" w:lastColumn="0" w:oddVBand="0" w:evenVBand="0" w:oddHBand="0" w:evenHBand="0" w:firstRowFirstColumn="0" w:firstRowLastColumn="0" w:lastRowFirstColumn="0" w:lastRowLastColumn="0"/>
              <w:rPr>
                <w:sz w:val="20"/>
              </w:rPr>
            </w:pPr>
            <w:hyperlink r:id="rId550" w:history="1">
              <w:r w:rsidR="00C60494" w:rsidRPr="00A32012">
                <w:rPr>
                  <w:rStyle w:val="Hyperlink"/>
                  <w:sz w:val="20"/>
                  <w:szCs w:val="18"/>
                </w:rPr>
                <w:t>http://azure.microsoft.com/en-us/support/trust-center/</w:t>
              </w:r>
            </w:hyperlink>
            <w:r w:rsidR="00C60494" w:rsidRPr="00A32012">
              <w:rPr>
                <w:sz w:val="20"/>
                <w:szCs w:val="18"/>
              </w:rPr>
              <w:t xml:space="preserve"> </w:t>
            </w:r>
          </w:p>
        </w:tc>
      </w:tr>
    </w:tbl>
    <w:p w14:paraId="28AE4604" w14:textId="3F0D1184" w:rsidR="00F622AF" w:rsidRDefault="00F622AF">
      <w:pPr>
        <w:spacing w:before="0" w:after="160" w:line="259" w:lineRule="auto"/>
      </w:pPr>
    </w:p>
    <w:p w14:paraId="315BB2CA" w14:textId="77777777" w:rsidR="008F0050" w:rsidRPr="00BA6EA3" w:rsidRDefault="008F0050" w:rsidP="008F0050">
      <w:bookmarkStart w:id="6611" w:name="_Toc414892147"/>
      <w:bookmarkStart w:id="6612" w:name="_Toc414960170"/>
      <w:bookmarkStart w:id="6613" w:name="_Toc414969141"/>
      <w:bookmarkStart w:id="6614" w:name="_Toc415011365"/>
      <w:bookmarkStart w:id="6615" w:name="_Toc415040059"/>
      <w:bookmarkStart w:id="6616" w:name="_Toc415572416"/>
      <w:bookmarkStart w:id="6617" w:name="_Toc415735586"/>
      <w:bookmarkStart w:id="6618" w:name="_Toc415814167"/>
      <w:bookmarkStart w:id="6619" w:name="_Toc416343903"/>
      <w:bookmarkStart w:id="6620" w:name="_Toc416863175"/>
      <w:r>
        <w:t>To establish a full security strategy when implementing solutions in or consuming services from Microsoft Azure, the following considerations should apply:</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8F0050" w14:paraId="7B9431AE" w14:textId="77777777" w:rsidTr="001F1B05">
        <w:trPr>
          <w:trHeight w:val="423"/>
        </w:trPr>
        <w:tc>
          <w:tcPr>
            <w:tcW w:w="666" w:type="dxa"/>
          </w:tcPr>
          <w:p w14:paraId="25E6C2DB" w14:textId="77777777" w:rsidR="008F0050" w:rsidRPr="00540146" w:rsidRDefault="008F0050" w:rsidP="001F1B05">
            <w:pPr>
              <w:spacing w:after="200"/>
              <w:rPr>
                <w:rFonts w:asciiTheme="minorHAnsi" w:eastAsiaTheme="minorHAnsi" w:hAnsiTheme="minorHAnsi" w:cstheme="minorBidi"/>
                <w:b/>
                <w:bCs/>
                <w:sz w:val="20"/>
                <w:szCs w:val="18"/>
                <w:lang w:eastAsia="en-US"/>
              </w:rPr>
            </w:pPr>
            <w:r w:rsidRPr="00540146">
              <w:rPr>
                <w:rFonts w:eastAsia="Arial" w:cs="Segoe UI"/>
                <w:noProof/>
                <w:sz w:val="20"/>
                <w:szCs w:val="20"/>
              </w:rPr>
              <mc:AlternateContent>
                <mc:Choice Requires="wps">
                  <w:drawing>
                    <wp:inline distT="0" distB="0" distL="0" distR="0" wp14:anchorId="1C61AA75" wp14:editId="69D50DB6">
                      <wp:extent cx="200025" cy="180975"/>
                      <wp:effectExtent l="57150" t="19050" r="28575" b="104775"/>
                      <wp:docPr id="1252047314" name="Octagon 1252047314"/>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A2B875C" id="Octagon 1252047314"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uCOeAIAAFwFAAAOAAAAZHJzL2Uyb0RvYy54bWysVEtrGzEQvhf6H4Tu9T5iN4nJOhgHl0JI&#10;TJOSs6yVbIFWo0qy1+6v70i73pg0ECi9aGd23t88bm4PjSZ74bwCU9FilFMiDIdamU1Ffz4vv1xR&#10;4gMzNdNgREWPwtPb2edPN62dihK2oGvhCDoxftraim5DsNMs83wrGuZHYIVBoQTXsICs22S1Yy16&#10;b3RW5vnXrAVXWwdceI9/7zohnSX/UgoeHqX0IhBdUcwtpNeldx3fbHbDphvH7FbxPg32D1k0TBkM&#10;Ori6Y4GRnVN/uWoUd+BBhhGHJgMpFRepBqymyN9U87RlVqRaEBxvB5j8/3PLH/YrR1SNvSsnZT6+&#10;vCjGlBjWYK8eeWAbMORMgnC11k/R6smuXM95JGPtB+ma+MWqyCFBfBwgFodAOP7EnuXlhBKOouIq&#10;v76cxBZkr8bW+fBNQEMiUVHockjYsv29D532SSuG86BVvVRaJ8Zt1gvtyJ5hwxcLjJZ6jAHO1LJY&#10;Q5d1osJRi2iszQ8hEQzMs0gR0xiKwR/jXJhQ9hkn7WgmMfZgePGxYa8fTUUa0cG4/Nh4sEiRwYTB&#10;uFEG3HsOdCj6lGWnj4Cf1R3JNdRHnAMH3YJ4y5cK8b9nPqyYw43A3cEtD4/4SA0tNqanKNmC+/3e&#10;/6iPg4pSSlrcsIr6XzvmBCX6u8ERvi7G47iSiRlPLktk3LlkfS4xu2YB2NMC74nliYz6QZ9I6aB5&#10;wWMwj1FRxAzH2BXlwZ2YReg2H88JF/N5UsM1tCzcmyfLT12Pw/V8eGHO9kMYcHof4LSNbPpmEDvd&#10;2A8D810AqdKUvuLa440rnEa9PzfxRpzzSev1KM7+AA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JbC4I54AgAAXA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20CE0C60" w14:textId="77777777" w:rsidR="008F0050" w:rsidRDefault="008F0050" w:rsidP="001F1B05">
            <w:pPr>
              <w:rPr>
                <w:lang w:eastAsia="en-US"/>
              </w:rPr>
            </w:pPr>
            <w:r w:rsidRPr="00540146">
              <w:rPr>
                <w:b/>
                <w:lang w:eastAsia="en-US"/>
              </w:rPr>
              <w:t>Mandatory</w:t>
            </w:r>
            <w:r w:rsidRPr="00540146">
              <w:rPr>
                <w:lang w:eastAsia="en-US"/>
              </w:rPr>
              <w:t>:</w:t>
            </w:r>
            <w:r>
              <w:rPr>
                <w:lang w:eastAsia="en-US"/>
              </w:rPr>
              <w:t xml:space="preserve"> </w:t>
            </w:r>
          </w:p>
          <w:p w14:paraId="1BBD76ED" w14:textId="77777777" w:rsidR="008F0050" w:rsidRDefault="008F0050" w:rsidP="005729D2">
            <w:pPr>
              <w:pStyle w:val="ListParagraph"/>
              <w:numPr>
                <w:ilvl w:val="0"/>
                <w:numId w:val="86"/>
              </w:numPr>
              <w:rPr>
                <w:lang w:eastAsia="en-US"/>
              </w:rPr>
            </w:pPr>
            <w:r w:rsidRPr="00540146">
              <w:rPr>
                <w:lang w:eastAsia="en-US"/>
              </w:rPr>
              <w:t xml:space="preserve">Establish the </w:t>
            </w:r>
            <w:r>
              <w:rPr>
                <w:lang w:eastAsia="en-US"/>
              </w:rPr>
              <w:t>“D</w:t>
            </w:r>
            <w:r w:rsidRPr="00540146">
              <w:rPr>
                <w:lang w:eastAsia="en-US"/>
              </w:rPr>
              <w:t xml:space="preserve">o </w:t>
            </w:r>
            <w:r>
              <w:rPr>
                <w:lang w:eastAsia="en-US"/>
              </w:rPr>
              <w:t>N</w:t>
            </w:r>
            <w:r w:rsidRPr="00540146">
              <w:rPr>
                <w:lang w:eastAsia="en-US"/>
              </w:rPr>
              <w:t xml:space="preserve">o </w:t>
            </w:r>
            <w:r>
              <w:rPr>
                <w:lang w:eastAsia="en-US"/>
              </w:rPr>
              <w:t>H</w:t>
            </w:r>
            <w:r w:rsidRPr="00540146">
              <w:rPr>
                <w:lang w:eastAsia="en-US"/>
              </w:rPr>
              <w:t>arm</w:t>
            </w:r>
            <w:r>
              <w:rPr>
                <w:lang w:eastAsia="en-US"/>
              </w:rPr>
              <w:t>”</w:t>
            </w:r>
            <w:r w:rsidRPr="00540146">
              <w:rPr>
                <w:lang w:eastAsia="en-US"/>
              </w:rPr>
              <w:t xml:space="preserve"> controls</w:t>
            </w:r>
            <w:r>
              <w:rPr>
                <w:lang w:eastAsia="en-US"/>
              </w:rPr>
              <w:t xml:space="preserve"> outlined in the preceding section</w:t>
            </w:r>
            <w:r>
              <w:t>.</w:t>
            </w:r>
          </w:p>
          <w:p w14:paraId="4E88107A" w14:textId="77777777" w:rsidR="008F0050" w:rsidRPr="008B691C" w:rsidRDefault="008F0050" w:rsidP="005729D2">
            <w:pPr>
              <w:pStyle w:val="ListParagraph"/>
              <w:numPr>
                <w:ilvl w:val="0"/>
                <w:numId w:val="86"/>
              </w:numPr>
              <w:rPr>
                <w:rFonts w:cs="Segoe UI"/>
                <w:lang w:eastAsia="en-US"/>
              </w:rPr>
            </w:pPr>
            <w:r>
              <w:t>F</w:t>
            </w:r>
            <w:r w:rsidRPr="00C60494">
              <w:t>ollow each of the customer responsibilities for security in a cloud</w:t>
            </w:r>
            <w:r>
              <w:t>-</w:t>
            </w:r>
            <w:r w:rsidRPr="00C60494">
              <w:t xml:space="preserve">enabled world outlined here: </w:t>
            </w:r>
            <w:hyperlink r:id="rId551" w:history="1">
              <w:r w:rsidRPr="008B691C">
                <w:rPr>
                  <w:rStyle w:val="Hyperlink"/>
                  <w:rFonts w:cs="Segoe UI"/>
                </w:rPr>
                <w:t>Microsoft cloud IT architecture resources</w:t>
              </w:r>
            </w:hyperlink>
            <w:r w:rsidRPr="008B691C">
              <w:rPr>
                <w:rFonts w:cs="Segoe UI"/>
                <w:color w:val="1F497D"/>
              </w:rPr>
              <w:t>.</w:t>
            </w:r>
          </w:p>
          <w:p w14:paraId="54ED02DE" w14:textId="77777777" w:rsidR="008F0050" w:rsidRDefault="008F0050" w:rsidP="005729D2">
            <w:pPr>
              <w:pStyle w:val="ListParagraph"/>
              <w:numPr>
                <w:ilvl w:val="0"/>
                <w:numId w:val="86"/>
              </w:numPr>
              <w:rPr>
                <w:lang w:eastAsia="en-US"/>
              </w:rPr>
            </w:pPr>
            <w:r w:rsidRPr="00540146">
              <w:rPr>
                <w:lang w:eastAsia="en-US"/>
              </w:rPr>
              <w:t>Integrate</w:t>
            </w:r>
            <w:r>
              <w:rPr>
                <w:lang w:eastAsia="en-US"/>
              </w:rPr>
              <w:t xml:space="preserve"> the</w:t>
            </w:r>
            <w:r w:rsidRPr="00540146">
              <w:rPr>
                <w:lang w:eastAsia="en-US"/>
              </w:rPr>
              <w:t xml:space="preserve"> security guidance</w:t>
            </w:r>
            <w:r>
              <w:rPr>
                <w:lang w:eastAsia="en-US"/>
              </w:rPr>
              <w:t xml:space="preserve"> provided</w:t>
            </w:r>
            <w:r w:rsidRPr="00540146">
              <w:rPr>
                <w:lang w:eastAsia="en-US"/>
              </w:rPr>
              <w:t xml:space="preserve"> throughout this document into your organization’s </w:t>
            </w:r>
            <w:r>
              <w:rPr>
                <w:lang w:eastAsia="en-US"/>
              </w:rPr>
              <w:t xml:space="preserve">Microsoft Azure </w:t>
            </w:r>
            <w:r w:rsidRPr="00540146">
              <w:rPr>
                <w:lang w:eastAsia="en-US"/>
              </w:rPr>
              <w:t>security strategy.</w:t>
            </w:r>
          </w:p>
          <w:p w14:paraId="2393E3BB" w14:textId="77777777" w:rsidR="008F0050" w:rsidRPr="00C60494" w:rsidRDefault="008F0050" w:rsidP="005729D2">
            <w:pPr>
              <w:pStyle w:val="ListParagraph"/>
              <w:numPr>
                <w:ilvl w:val="0"/>
                <w:numId w:val="86"/>
              </w:numPr>
              <w:rPr>
                <w:lang w:eastAsia="en-US"/>
              </w:rPr>
            </w:pPr>
            <w:r>
              <w:rPr>
                <w:lang w:eastAsia="en-US"/>
              </w:rPr>
              <w:t xml:space="preserve">Educate the organization’s security staff with </w:t>
            </w:r>
            <w:r w:rsidRPr="00540146">
              <w:rPr>
                <w:lang w:eastAsia="en-US"/>
              </w:rPr>
              <w:t xml:space="preserve">knowledge </w:t>
            </w:r>
            <w:r>
              <w:rPr>
                <w:lang w:eastAsia="en-US"/>
              </w:rPr>
              <w:t xml:space="preserve">of Azure capabilities </w:t>
            </w:r>
            <w:r w:rsidRPr="00540146">
              <w:rPr>
                <w:lang w:eastAsia="en-US"/>
              </w:rPr>
              <w:t>and security features</w:t>
            </w:r>
            <w:r>
              <w:rPr>
                <w:lang w:eastAsia="en-US"/>
              </w:rPr>
              <w:t>.</w:t>
            </w:r>
          </w:p>
        </w:tc>
      </w:tr>
      <w:tr w:rsidR="008F0050" w14:paraId="1083690C" w14:textId="77777777" w:rsidTr="001F1B05">
        <w:trPr>
          <w:trHeight w:val="423"/>
        </w:trPr>
        <w:tc>
          <w:tcPr>
            <w:tcW w:w="666" w:type="dxa"/>
          </w:tcPr>
          <w:p w14:paraId="7F42DB9D" w14:textId="77777777" w:rsidR="008F0050" w:rsidRDefault="008F0050" w:rsidP="001F1B05">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2000256" behindDoc="0" locked="0" layoutInCell="1" allowOverlap="1" wp14:anchorId="2D7BFCB3" wp14:editId="089A22FE">
                      <wp:simplePos x="0" y="0"/>
                      <wp:positionH relativeFrom="column">
                        <wp:posOffset>66675</wp:posOffset>
                      </wp:positionH>
                      <wp:positionV relativeFrom="paragraph">
                        <wp:posOffset>90170</wp:posOffset>
                      </wp:positionV>
                      <wp:extent cx="209550" cy="180975"/>
                      <wp:effectExtent l="57150" t="19050" r="57150" b="104775"/>
                      <wp:wrapNone/>
                      <wp:docPr id="1252047316" name="Isosceles Triangle 12520473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197FDF57" id="Isosceles Triangle 1252047316" o:spid="_x0000_s1026" type="#_x0000_t5" style="position:absolute;margin-left:5.25pt;margin-top:7.1pt;width:16.5pt;height:14.25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F3jjgIAAIEFAAAOAAAAZHJzL2Uyb0RvYy54bWysVNtqGzEQfS/0H4Tem73EzmXJOpgEl4BJ&#10;QpOSZ1kr2Uu1GlWSvXa/viPtJW4aCJTug9DsnLnpzMzV9b5RZCesq0GXNDtJKRGaQ1XrdUm/Py++&#10;XFDiPNMVU6BFSQ/C0evZ509XrSlEDhtQlbAEnWhXtKakG+9NkSSOb0TD3AkYoVEpwTbMo2jXSWVZ&#10;i94bleRpepa0YCtjgQvn8O9tp6Sz6F9Kwf2DlE54okqKufl42niuwpnMrlixtsxsat6nwf4hi4bV&#10;GoOOrm6ZZ2Rr679cNTW34ED6Ew5NAlLWXMQasJosfVPN04YZEWvBx3FmfCb3/9zy+92jJXWF3OXT&#10;PJ2cn2ZnlGjWIFd3DhwXSjjybGum10qQIxC+XGtcgQ6ezKMNtTuzBP7DoSL5QxME12P20jYBi5WT&#10;faThMNIg9p5w/Jmnl9MpksVRlV2kl+fTQFPCisHYWOe/CmhIuJTU99lFAthu6XwHH2AxN1B1taiV&#10;ioJdr26UJTuGXbHAL42NgBHcKyzW0KUdC/AHJYKx0t+ExBfDRLMYMfaqGP0xzoX2Z33KER3MJMYe&#10;DU8/NuzxwVTEPh6N84+NR4sYGbQfjZtag33PgfJZn7Ls8D2Lrqs7PMEKqgM2i4VuipzhixoJWDLn&#10;H5nFsUHOcBX4Bzykgrak0N8o2YD99d7/gMduRi0lLY5hSd3PLbOCEnWnsc8vs8kkzG0UJtPzHAV7&#10;rFkda/S2uQHkNMOlY3i8BrxXw1VaaF5wY8xDVFQxzTF2Sbm3g3Dju/WAO4eL+TzCcFYN80v9ZPjA&#10;emiu5/0Ls2boQmzfexhGlhVvGrHDBj40zLceZB279PVd+/fGOY+93u+ksEiO5Yh63Zyz3wA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alRd444CAAC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42F01C88" w14:textId="4F37492B" w:rsidR="008F0050" w:rsidRDefault="008F0050" w:rsidP="008F0050">
            <w:pPr>
              <w:rPr>
                <w:lang w:eastAsia="en-US"/>
              </w:rPr>
            </w:pPr>
            <w:r>
              <w:rPr>
                <w:rFonts w:eastAsiaTheme="minorHAnsi"/>
                <w:b/>
                <w:lang w:eastAsia="en-US"/>
              </w:rPr>
              <w:t xml:space="preserve">Recommended: </w:t>
            </w:r>
            <w:r>
              <w:rPr>
                <w:lang w:eastAsia="en-US"/>
              </w:rPr>
              <w:t xml:space="preserve">Integrate Azure logs </w:t>
            </w:r>
            <w:r w:rsidRPr="00540146">
              <w:rPr>
                <w:lang w:eastAsia="en-US"/>
              </w:rPr>
              <w:t>with current security tools</w:t>
            </w:r>
            <w:r>
              <w:rPr>
                <w:lang w:eastAsia="en-US"/>
              </w:rPr>
              <w:t>,</w:t>
            </w:r>
            <w:r w:rsidRPr="00540146">
              <w:rPr>
                <w:lang w:eastAsia="en-US"/>
              </w:rPr>
              <w:t xml:space="preserve"> such as </w:t>
            </w:r>
            <w:r>
              <w:rPr>
                <w:lang w:eastAsia="en-US"/>
              </w:rPr>
              <w:t>Security Information and Event Management (SIEM).</w:t>
            </w:r>
          </w:p>
        </w:tc>
      </w:tr>
    </w:tbl>
    <w:p w14:paraId="5D257A0D" w14:textId="77777777" w:rsidR="008F0050" w:rsidRPr="00BA6EA3" w:rsidRDefault="008F0050" w:rsidP="008F0050">
      <w:bookmarkStart w:id="6621" w:name="_Ref423027248"/>
      <w:bookmarkStart w:id="6622" w:name="_Toc423116865"/>
      <w:bookmarkStart w:id="6623" w:name="_Toc423117898"/>
      <w:bookmarkStart w:id="6624" w:name="_Toc423117348"/>
      <w:bookmarkStart w:id="6625" w:name="_Toc414892149"/>
      <w:bookmarkStart w:id="6626" w:name="_Toc414960172"/>
      <w:bookmarkStart w:id="6627" w:name="_Toc414969143"/>
      <w:bookmarkStart w:id="6628" w:name="_Toc415011367"/>
      <w:bookmarkStart w:id="6629" w:name="_Toc415040061"/>
      <w:bookmarkStart w:id="6630" w:name="_Toc415572418"/>
      <w:bookmarkStart w:id="6631" w:name="_Toc415735588"/>
      <w:bookmarkStart w:id="6632" w:name="_Toc415814169"/>
      <w:bookmarkStart w:id="6633" w:name="_Toc416343905"/>
      <w:bookmarkStart w:id="6634" w:name="_Toc416863177"/>
      <w:bookmarkStart w:id="6635" w:name="_Toc417314792"/>
      <w:bookmarkStart w:id="6636" w:name="_Toc417323809"/>
      <w:bookmarkStart w:id="6637" w:name="_Toc417326899"/>
      <w:bookmarkStart w:id="6638" w:name="_Toc417330447"/>
      <w:bookmarkStart w:id="6639" w:name="_Toc417395054"/>
      <w:bookmarkStart w:id="6640" w:name="_Toc417399273"/>
      <w:bookmarkStart w:id="6641" w:name="_Toc417399432"/>
      <w:bookmarkStart w:id="6642" w:name="_Toc417400479"/>
      <w:bookmarkStart w:id="6643" w:name="_Toc417401327"/>
      <w:bookmarkStart w:id="6644" w:name="_Toc417419642"/>
      <w:bookmarkStart w:id="6645" w:name="_Toc417457414"/>
      <w:bookmarkStart w:id="6646" w:name="_Toc417481992"/>
      <w:bookmarkStart w:id="6647" w:name="_Toc417482250"/>
      <w:bookmarkStart w:id="6648" w:name="_Toc417499969"/>
      <w:bookmarkStart w:id="6649" w:name="_Toc417502790"/>
      <w:bookmarkStart w:id="6650" w:name="_Toc417548378"/>
      <w:bookmarkStart w:id="6651" w:name="_Toc417594621"/>
      <w:bookmarkStart w:id="6652" w:name="_Toc417934751"/>
      <w:bookmarkStart w:id="6653" w:name="_Toc417936088"/>
      <w:bookmarkStart w:id="6654" w:name="_Toc417936550"/>
      <w:bookmarkStart w:id="6655" w:name="_Toc417946966"/>
      <w:bookmarkStart w:id="6656" w:name="_Toc417947436"/>
      <w:bookmarkStart w:id="6657" w:name="_Toc417982576"/>
      <w:bookmarkStart w:id="6658" w:name="_Toc417986031"/>
      <w:bookmarkStart w:id="6659" w:name="_Toc418000722"/>
      <w:bookmarkStart w:id="6660" w:name="_Toc418003896"/>
      <w:bookmarkStart w:id="6661" w:name="_Toc418012101"/>
      <w:bookmarkStart w:id="6662" w:name="_Toc418014512"/>
      <w:bookmarkStart w:id="6663" w:name="_Toc418030119"/>
      <w:bookmarkStart w:id="6664" w:name="_Toc418037000"/>
      <w:bookmarkStart w:id="6665" w:name="_Toc418061473"/>
      <w:bookmarkStart w:id="6666" w:name="_Toc418081374"/>
      <w:bookmarkStart w:id="6667" w:name="_Toc418083404"/>
      <w:bookmarkStart w:id="6668" w:name="_Toc418096170"/>
      <w:bookmarkStart w:id="6669" w:name="_Toc418156772"/>
      <w:bookmarkStart w:id="6670" w:name="_Toc418167689"/>
      <w:bookmarkStart w:id="6671" w:name="_Toc418185945"/>
      <w:bookmarkStart w:id="6672" w:name="_Toc422941659"/>
      <w:bookmarkEnd w:id="6611"/>
      <w:bookmarkEnd w:id="6612"/>
      <w:bookmarkEnd w:id="6613"/>
      <w:bookmarkEnd w:id="6614"/>
      <w:bookmarkEnd w:id="6615"/>
      <w:bookmarkEnd w:id="6616"/>
      <w:bookmarkEnd w:id="6617"/>
      <w:bookmarkEnd w:id="6618"/>
      <w:bookmarkEnd w:id="6619"/>
      <w:bookmarkEnd w:id="6620"/>
      <w:r>
        <w:t>To establish security operations for Microsoft Azure through administrative controls, practices, and procedures, the following considerations apply:</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8F0050" w14:paraId="7081A9A3" w14:textId="77777777" w:rsidTr="001F1B05">
        <w:trPr>
          <w:trHeight w:val="423"/>
        </w:trPr>
        <w:tc>
          <w:tcPr>
            <w:tcW w:w="666" w:type="dxa"/>
          </w:tcPr>
          <w:p w14:paraId="01C82D40" w14:textId="77777777" w:rsidR="008F0050" w:rsidRPr="00540146" w:rsidRDefault="008F0050" w:rsidP="001F1B05">
            <w:pPr>
              <w:spacing w:after="200"/>
              <w:rPr>
                <w:rFonts w:asciiTheme="minorHAnsi" w:eastAsiaTheme="minorHAnsi" w:hAnsiTheme="minorHAnsi" w:cstheme="minorBidi"/>
                <w:b/>
                <w:bCs/>
                <w:sz w:val="20"/>
                <w:szCs w:val="18"/>
                <w:lang w:eastAsia="en-US"/>
              </w:rPr>
            </w:pPr>
            <w:r w:rsidRPr="00540146">
              <w:rPr>
                <w:rFonts w:eastAsia="Arial" w:cs="Segoe UI"/>
                <w:noProof/>
                <w:sz w:val="20"/>
                <w:szCs w:val="20"/>
              </w:rPr>
              <mc:AlternateContent>
                <mc:Choice Requires="wps">
                  <w:drawing>
                    <wp:inline distT="0" distB="0" distL="0" distR="0" wp14:anchorId="0FA48572" wp14:editId="35A01CAA">
                      <wp:extent cx="200025" cy="180975"/>
                      <wp:effectExtent l="57150" t="19050" r="28575" b="104775"/>
                      <wp:docPr id="1252047303" name="Octagon 1252047303"/>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A327082" id="Octagon 1252047303"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gDreAIAAFwFAAAOAAAAZHJzL2Uyb0RvYy54bWysVEtrGzEQvhf6H4TuzT5sN4nJOhgHl0JI&#10;TJOSs6yVbIFWo0qy1+6v70i73pg0ECi9aGd23t88bm4PjSZ74bwCU9HiIqdEGA61MpuK/nxefrmi&#10;xAdmaqbBiIoehae3s8+fblo7FSVsQdfCEXRi/LS1Fd2GYKdZ5vlWNMxfgBUGhRJcwwKybpPVjrXo&#10;vdFZmedfsxZcbR1w4T3+veuEdJb8Syl4eJTSi0B0RTG3kF6X3nV8s9kNm24cs1vF+zTYP2TRMGUw&#10;6ODqjgVGdk795apR3IEHGS44NBlIqbhINWA1Rf6mmqctsyLVguB4O8Dk/59b/rBfOaJq7F05KfPx&#10;5SgfUWJYg7165IFtwJAzCcLVWj9Fqye7cj3nkYy1H6Rr4herIocE8XGAWBwC4fgTe5aXE0o4ioqr&#10;/PpyEluQvRpb58M3AQ2JREWhyyFhy/b3PnTaJ60YzoNW9VJpnRi3WS+0I3uGDV8sMFrqMQY4U8ti&#10;DV3WiQpHLaKxNj+ERDAwzyJFTGMoBn+Mc2FC2WectKOZxNiD4ehjw14/moo0ooNx+bHxYJEigwmD&#10;caMMuPcc6FD0KctOHwE/qzuSa6iPOAcOugXxli8V4n/PfFgxhxuBu4NbHh7xkRpabExPUbIF9/u9&#10;/1EfBxWllLS4YRX1v3bMCUr0d4MjfF2Mx3ElEzOeXJbIuHPJ+lxids0CsKcF3hPLExn1gz6R0kHz&#10;gsdgHqOiiBmOsSvKgzsxi9BtPp4TLubzpIZraFm4N0+Wn7oeh+v58MKc7Ycw4PQ+wGkb2fTNIHa6&#10;sR8G5rsAUqUpfcW1xxtXOI16f27ijTjnk9brUZz9AQ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G/GAOt4AgAAXA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777CB2A2" w14:textId="77777777" w:rsidR="008F0050" w:rsidRDefault="008F0050" w:rsidP="001F1B05">
            <w:pPr>
              <w:rPr>
                <w:lang w:eastAsia="en-US"/>
              </w:rPr>
            </w:pPr>
            <w:r w:rsidRPr="00540146">
              <w:rPr>
                <w:b/>
                <w:lang w:eastAsia="en-US"/>
              </w:rPr>
              <w:t>Mandatory</w:t>
            </w:r>
            <w:r w:rsidRPr="00540146">
              <w:rPr>
                <w:lang w:eastAsia="en-US"/>
              </w:rPr>
              <w:t>:</w:t>
            </w:r>
            <w:r>
              <w:rPr>
                <w:lang w:eastAsia="en-US"/>
              </w:rPr>
              <w:t xml:space="preserve"> </w:t>
            </w:r>
          </w:p>
          <w:p w14:paraId="05DDEE83" w14:textId="77777777" w:rsidR="008F0050" w:rsidRDefault="008F0050" w:rsidP="005729D2">
            <w:pPr>
              <w:pStyle w:val="ListParagraph"/>
              <w:numPr>
                <w:ilvl w:val="0"/>
                <w:numId w:val="87"/>
              </w:numPr>
              <w:rPr>
                <w:lang w:eastAsia="en-US"/>
              </w:rPr>
            </w:pPr>
            <w:r w:rsidRPr="00C60494">
              <w:t>All personnel with subscription admin accounts have separate</w:t>
            </w:r>
            <w:r>
              <w:t>,</w:t>
            </w:r>
            <w:r w:rsidRPr="00C60494">
              <w:t xml:space="preserve"> dedicated administrative account workstations. This account </w:t>
            </w:r>
            <w:r>
              <w:t>is</w:t>
            </w:r>
            <w:r w:rsidRPr="00C60494">
              <w:t xml:space="preserve"> used only for administrative tasks and the standard user account </w:t>
            </w:r>
            <w:r>
              <w:t>has</w:t>
            </w:r>
            <w:r w:rsidRPr="00C60494">
              <w:t xml:space="preserve"> no administrative privileges. </w:t>
            </w:r>
          </w:p>
          <w:p w14:paraId="2E13D329" w14:textId="77777777" w:rsidR="008F0050" w:rsidRDefault="008F0050" w:rsidP="005729D2">
            <w:pPr>
              <w:pStyle w:val="ListParagraph"/>
              <w:numPr>
                <w:ilvl w:val="0"/>
                <w:numId w:val="87"/>
              </w:numPr>
            </w:pPr>
            <w:r w:rsidRPr="00540146">
              <w:t xml:space="preserve">All </w:t>
            </w:r>
            <w:r>
              <w:t>s</w:t>
            </w:r>
            <w:r w:rsidRPr="00540146">
              <w:t xml:space="preserve">ubscription admins utilize Azure </w:t>
            </w:r>
            <w:r>
              <w:t>Multi-Factor Authentication</w:t>
            </w:r>
            <w:r w:rsidRPr="00540146">
              <w:t xml:space="preserve"> </w:t>
            </w:r>
            <w:r>
              <w:t>except for one emergency access account, if used.</w:t>
            </w:r>
          </w:p>
          <w:p w14:paraId="49988EE1" w14:textId="77777777" w:rsidR="008F0050" w:rsidRDefault="008F0050" w:rsidP="005729D2">
            <w:pPr>
              <w:pStyle w:val="ListParagraph"/>
              <w:numPr>
                <w:ilvl w:val="0"/>
                <w:numId w:val="87"/>
              </w:numPr>
            </w:pPr>
            <w:r w:rsidRPr="00540146">
              <w:t xml:space="preserve">All </w:t>
            </w:r>
            <w:r>
              <w:t xml:space="preserve">subscription admin accounts </w:t>
            </w:r>
            <w:r w:rsidRPr="00540146">
              <w:t xml:space="preserve">will </w:t>
            </w:r>
            <w:r>
              <w:t>logon to only authorized administrative workstations with those admin accounts. Subscription admin accounts are never used on any other workstation.</w:t>
            </w:r>
          </w:p>
          <w:p w14:paraId="7CAE3669" w14:textId="77777777" w:rsidR="008F0050" w:rsidRDefault="008F0050" w:rsidP="005729D2">
            <w:pPr>
              <w:pStyle w:val="ListParagraph"/>
              <w:numPr>
                <w:ilvl w:val="0"/>
                <w:numId w:val="87"/>
              </w:numPr>
              <w:rPr>
                <w:lang w:eastAsia="en-US"/>
              </w:rPr>
            </w:pPr>
            <w:r w:rsidRPr="004B7B3B">
              <w:t>Standard</w:t>
            </w:r>
            <w:r>
              <w:t xml:space="preserve"> user accounts associated with administrative personnel may be used anywhere standard user accounts are permitted to logon.</w:t>
            </w:r>
          </w:p>
          <w:p w14:paraId="426A50D5" w14:textId="77777777" w:rsidR="008F0050" w:rsidRDefault="008F0050" w:rsidP="005729D2">
            <w:pPr>
              <w:pStyle w:val="ListParagraph"/>
              <w:numPr>
                <w:ilvl w:val="0"/>
                <w:numId w:val="87"/>
              </w:numPr>
              <w:rPr>
                <w:lang w:eastAsia="en-US"/>
              </w:rPr>
            </w:pPr>
            <w:r>
              <w:t xml:space="preserve">Administrative workstations are not used for email or general web browsing, rather, only for administration of Azure and other on premises resources as appropriate. Administrative personnel can use virtualization (such as Hyper-V) or Remote Desktop to access an alternate operating system to perform standard user tasks such as web browsing and email. </w:t>
            </w:r>
          </w:p>
          <w:p w14:paraId="03ABCA6F" w14:textId="77777777" w:rsidR="008F0050" w:rsidRPr="00C60494" w:rsidRDefault="008F0050" w:rsidP="005729D2">
            <w:pPr>
              <w:pStyle w:val="ListParagraph"/>
              <w:numPr>
                <w:ilvl w:val="0"/>
                <w:numId w:val="87"/>
              </w:numPr>
              <w:rPr>
                <w:lang w:eastAsia="en-US"/>
              </w:rPr>
            </w:pPr>
            <w:r w:rsidRPr="00540146">
              <w:t xml:space="preserve">Subscription admins </w:t>
            </w:r>
            <w:r>
              <w:t>should</w:t>
            </w:r>
            <w:r w:rsidRPr="00540146">
              <w:t xml:space="preserve"> check administrative logs for anomalies each day at a minimum, ideally every time they logon.</w:t>
            </w:r>
          </w:p>
        </w:tc>
      </w:tr>
      <w:tr w:rsidR="008F0050" w14:paraId="529094AD" w14:textId="77777777" w:rsidTr="001F1B05">
        <w:trPr>
          <w:trHeight w:val="423"/>
        </w:trPr>
        <w:tc>
          <w:tcPr>
            <w:tcW w:w="666" w:type="dxa"/>
          </w:tcPr>
          <w:p w14:paraId="3955BD96" w14:textId="77777777" w:rsidR="008F0050" w:rsidRDefault="008F0050" w:rsidP="001F1B05">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2005376" behindDoc="0" locked="0" layoutInCell="1" allowOverlap="1" wp14:anchorId="5A786CB7" wp14:editId="58EF82D8">
                      <wp:simplePos x="0" y="0"/>
                      <wp:positionH relativeFrom="column">
                        <wp:posOffset>66675</wp:posOffset>
                      </wp:positionH>
                      <wp:positionV relativeFrom="paragraph">
                        <wp:posOffset>90170</wp:posOffset>
                      </wp:positionV>
                      <wp:extent cx="209550" cy="180975"/>
                      <wp:effectExtent l="57150" t="19050" r="57150" b="104775"/>
                      <wp:wrapNone/>
                      <wp:docPr id="1252047301" name="Isosceles Triangle 12520473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6C2DF1E9" id="Isosceles Triangle 1252047301" o:spid="_x0000_s1026" type="#_x0000_t5" style="position:absolute;margin-left:5.25pt;margin-top:7.1pt;width:16.5pt;height:14.25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SMUjQIAAIEFAAAOAAAAZHJzL2Uyb0RvYy54bWysVNtqGzEQfS/0H4Tem73EzmXJOpgEl4BJ&#10;QpOSZ1kr2Uu1GlWSvXa/viPtJW4aCJTug9DsnLlpzszV9b5RZCesq0GXNDtJKRGaQ1XrdUm/Py++&#10;XFDiPNMVU6BFSQ/C0evZ509XrSlEDhtQlbAEnWhXtKakG+9NkSSOb0TD3AkYoVEpwTbMo2jXSWVZ&#10;i94bleRpepa0YCtjgQvn8O9tp6Sz6F9Kwf2DlE54okqKufl42niuwpnMrlixtsxsat6nwf4hi4bV&#10;GoOOrm6ZZ2Rr679cNTW34ED6Ew5NAlLWXMQasJosfVPN04YZEWvBx3FmfCb3/9zy+92jJXWFvcun&#10;eTo5P00zSjRrsFd3DhwXSjjybGum10qQIxC+XGtcgQ6ezKMNtTuzBP7DoSL5QxME12P20jYBi5WT&#10;fWzDYWyD2HvC8WeeXk6n2CyOquwivTyfhjYlrBiMjXX+q4CGhEtJfZ9dbADbLZ3v4AMs5gaqrha1&#10;UlGw69WNsmTHkBUL/NJIBIzgXmGxhi7tWIA/KBGMlf4mJL4YJprFiJGrYvTHOBfan/UpR3Qwkxh7&#10;NDz92LDHB1MReTwa5x8bjxYxMmg/Gje1BvueA+WzPmXZ4fsuuq7u8AQrqA5IFgvdFDnDFzU2YMmc&#10;f2QWxwZ7hqvAP+AhFbQlhf5GyQbsr/f+BzyyGbWUtDiGJXU/t8wKStSdRp5fZpNJmNsoTKbnOQr2&#10;WLM61uhtcwPYU6QwZhevAe/VcJUWmhfcGPMQFVVMc4xdUu7tINz4bj3gzuFiPo8wnFXD/FI/GT50&#10;PZDref/CrBlYiPS9h2FkWfGGiB029EPDfOtB1pGlr+/avzfOeeR6v5PCIjmWI+p1c85+AwAA//8D&#10;AFBLAwQUAAYACAAAACEANTxCMNkAAAAHAQAADwAAAGRycy9kb3ducmV2LnhtbEyOzU7DMBCE70i8&#10;g7VIXFDrkIa2CnEqhJIjqig8gBNvfoS9jmK3DW/PcoLTaDSjma84LM6KC85h9KTgcZ2AQGq9GalX&#10;8PlRr/YgQtRktPWECr4xwKG8vSl0bvyV3vFyir3gEQq5VjDEOOVShnZAp8PaT0icdX52OrKde2lm&#10;feVxZ2WaJFvp9Ej8MOgJXwdsv05np8A3y7Hb1Lv9Q+0m+9ZVVeaOlVL3d8vLM4iIS/wrwy8+o0PJ&#10;TI0/kwnCsk+euMmapSA4zzbsG9Z0B7Is5H/+8gcAAP//AwBQSwECLQAUAAYACAAAACEAtoM4kv4A&#10;AADhAQAAEwAAAAAAAAAAAAAAAAAAAAAAW0NvbnRlbnRfVHlwZXNdLnhtbFBLAQItABQABgAIAAAA&#10;IQA4/SH/1gAAAJQBAAALAAAAAAAAAAAAAAAAAC8BAABfcmVscy8ucmVsc1BLAQItABQABgAIAAAA&#10;IQDTqSMUjQIAAIEFAAAOAAAAAAAAAAAAAAAAAC4CAABkcnMvZTJvRG9jLnhtbFBLAQItABQABgAI&#10;AAAAIQA1PEIw2QAAAAcBAAAPAAAAAAAAAAAAAAAAAOcEAABkcnMvZG93bnJldi54bWxQSwUGAAAA&#10;AAQABADzAAAA7QUAAAAA&#10;" fillcolor="yellow" strokecolor="#70ad47 [3209]" strokeweight=".5pt">
                      <v:path arrowok="t"/>
                    </v:shape>
                  </w:pict>
                </mc:Fallback>
              </mc:AlternateContent>
            </w:r>
          </w:p>
        </w:tc>
        <w:tc>
          <w:tcPr>
            <w:tcW w:w="8604" w:type="dxa"/>
          </w:tcPr>
          <w:p w14:paraId="29570892" w14:textId="77777777" w:rsidR="008F0050" w:rsidRDefault="008F0050" w:rsidP="001F1B05">
            <w:pPr>
              <w:rPr>
                <w:rFonts w:eastAsiaTheme="minorHAnsi"/>
                <w:lang w:eastAsia="en-US"/>
              </w:rPr>
            </w:pPr>
            <w:r>
              <w:rPr>
                <w:rFonts w:eastAsiaTheme="minorHAnsi"/>
                <w:b/>
                <w:lang w:eastAsia="en-US"/>
              </w:rPr>
              <w:t xml:space="preserve">Recommended: </w:t>
            </w:r>
          </w:p>
          <w:p w14:paraId="0AF0A428" w14:textId="77777777" w:rsidR="008F0050" w:rsidRPr="006D3BD9" w:rsidRDefault="008F0050" w:rsidP="005729D2">
            <w:pPr>
              <w:pStyle w:val="ListParagraph"/>
              <w:numPr>
                <w:ilvl w:val="0"/>
                <w:numId w:val="88"/>
              </w:numPr>
              <w:rPr>
                <w:lang w:eastAsia="en-US"/>
              </w:rPr>
            </w:pPr>
            <w:r w:rsidRPr="006D3BD9">
              <w:rPr>
                <w:rFonts w:eastAsiaTheme="minorHAnsi"/>
                <w:lang w:eastAsia="en-US"/>
              </w:rPr>
              <w:t>All subscription admin accounts should be restricted by AD</w:t>
            </w:r>
            <w:r>
              <w:rPr>
                <w:rFonts w:eastAsiaTheme="minorHAnsi"/>
                <w:lang w:eastAsia="en-US"/>
              </w:rPr>
              <w:t> </w:t>
            </w:r>
            <w:r w:rsidRPr="006D3BD9">
              <w:rPr>
                <w:rFonts w:eastAsiaTheme="minorHAnsi"/>
                <w:lang w:eastAsia="en-US"/>
              </w:rPr>
              <w:t xml:space="preserve">FS policy to be authenticated only from authorized administrative workstations. </w:t>
            </w:r>
          </w:p>
          <w:p w14:paraId="4CD64136" w14:textId="77777777" w:rsidR="008F0050" w:rsidRPr="006D3BD9" w:rsidRDefault="008F0050" w:rsidP="005729D2">
            <w:pPr>
              <w:pStyle w:val="ListParagraph"/>
              <w:numPr>
                <w:ilvl w:val="0"/>
                <w:numId w:val="88"/>
              </w:numPr>
              <w:rPr>
                <w:lang w:eastAsia="en-US"/>
              </w:rPr>
            </w:pPr>
            <w:r w:rsidRPr="006D3BD9">
              <w:rPr>
                <w:rFonts w:eastAsiaTheme="minorHAnsi"/>
                <w:lang w:eastAsia="en-US"/>
              </w:rPr>
              <w:t>An e</w:t>
            </w:r>
            <w:r w:rsidRPr="00173A55">
              <w:rPr>
                <w:lang w:eastAsia="en-US"/>
              </w:rPr>
              <w:t xml:space="preserve">mergency access account </w:t>
            </w:r>
            <w:r>
              <w:rPr>
                <w:lang w:eastAsia="en-US"/>
              </w:rPr>
              <w:t>must</w:t>
            </w:r>
            <w:r w:rsidRPr="00173A55">
              <w:rPr>
                <w:lang w:eastAsia="en-US"/>
              </w:rPr>
              <w:t xml:space="preserve"> be created and the password for the account </w:t>
            </w:r>
            <w:r>
              <w:rPr>
                <w:lang w:eastAsia="en-US"/>
              </w:rPr>
              <w:t>must</w:t>
            </w:r>
            <w:r w:rsidRPr="00173A55">
              <w:rPr>
                <w:lang w:eastAsia="en-US"/>
              </w:rPr>
              <w:t xml:space="preserve"> be physically secured. The password will be changed on each use and the account should be configured for Azure </w:t>
            </w:r>
            <w:r>
              <w:rPr>
                <w:lang w:eastAsia="en-US"/>
              </w:rPr>
              <w:t>Multi-Factor Authentication</w:t>
            </w:r>
            <w:r w:rsidRPr="00173A55">
              <w:rPr>
                <w:lang w:eastAsia="en-US"/>
              </w:rPr>
              <w:t>.</w:t>
            </w:r>
            <w:r>
              <w:rPr>
                <w:lang w:eastAsia="en-US"/>
              </w:rPr>
              <w:t xml:space="preserve"> If this is not created, emergency access will be provided through Azure support processes.</w:t>
            </w:r>
          </w:p>
        </w:tc>
      </w:tr>
    </w:tbl>
    <w:p w14:paraId="7137E470" w14:textId="099D7C9D" w:rsidR="00D85E20" w:rsidRDefault="00D85E20" w:rsidP="005729D2">
      <w:pPr>
        <w:pStyle w:val="Heading3Numbered"/>
        <w:numPr>
          <w:ilvl w:val="2"/>
          <w:numId w:val="64"/>
        </w:numPr>
      </w:pPr>
      <w:bookmarkStart w:id="6673" w:name="_Toc431288948"/>
      <w:r w:rsidRPr="00D85E20">
        <w:t>Containment and Segmentation</w:t>
      </w:r>
      <w:r>
        <w:t xml:space="preserve"> Strategy</w:t>
      </w:r>
      <w:bookmarkEnd w:id="6621"/>
      <w:bookmarkEnd w:id="6622"/>
      <w:bookmarkEnd w:id="6623"/>
      <w:bookmarkEnd w:id="6624"/>
      <w:bookmarkEnd w:id="6673"/>
    </w:p>
    <w:p w14:paraId="506E5F27" w14:textId="69B83ED9" w:rsidR="008F0050" w:rsidRDefault="00D85E20" w:rsidP="008F0050">
      <w:r>
        <w:t>With</w:t>
      </w:r>
      <w:r w:rsidR="008F0050">
        <w:t xml:space="preserve"> the advent of cloud computing and capabilities like Microsoft Azure, many organizations are fundamentally reinventing how they acquire, use, and manage IT services. This shift presents an opportunity to take a fresh look at how core security elements are provided and how to improve those in the new designs for this age. </w:t>
      </w:r>
    </w:p>
    <w:p w14:paraId="35452F8A" w14:textId="77777777" w:rsidR="008F0050" w:rsidRDefault="008F0050" w:rsidP="008F0050">
      <w:pPr>
        <w:rPr>
          <w:rFonts w:asciiTheme="minorHAnsi" w:eastAsiaTheme="minorHAnsi" w:hAnsiTheme="minorHAnsi"/>
        </w:rPr>
      </w:pPr>
      <w:r>
        <w:t xml:space="preserve">The strategies in this section apply to all enterprise resources, including those hosted on Azure and on-premises. It is critical to include the recommendations in this section early in the planning and </w:t>
      </w:r>
      <w:r w:rsidRPr="00E66DB6">
        <w:t>implementation for Azure</w:t>
      </w:r>
      <w:r>
        <w:t xml:space="preserve"> to prevent the cost of retrofitting them later. </w:t>
      </w:r>
    </w:p>
    <w:p w14:paraId="3A3D88D7" w14:textId="77777777" w:rsidR="008F0050" w:rsidRDefault="008F0050" w:rsidP="008F0050">
      <w:r>
        <w:t>This section describes considerations for designing security containment and segmentation strategies in an enterprise IT environment. They are shaped by:</w:t>
      </w:r>
    </w:p>
    <w:p w14:paraId="65B7736C" w14:textId="77777777" w:rsidR="008F0050" w:rsidRDefault="008F0050" w:rsidP="005729D2">
      <w:pPr>
        <w:pStyle w:val="ListParagraph"/>
        <w:numPr>
          <w:ilvl w:val="0"/>
          <w:numId w:val="186"/>
        </w:numPr>
        <w:spacing w:before="0" w:after="160" w:line="256" w:lineRule="auto"/>
      </w:pPr>
      <w:r>
        <w:t>The availability of new cloud services and capabilities spanning basic Infrastructure as a Service (IaaS) to advanced machine-learning technologies</w:t>
      </w:r>
    </w:p>
    <w:p w14:paraId="49D3F5D6" w14:textId="77777777" w:rsidR="008F0050" w:rsidRDefault="008F0050" w:rsidP="005729D2">
      <w:pPr>
        <w:pStyle w:val="ListParagraph"/>
        <w:numPr>
          <w:ilvl w:val="0"/>
          <w:numId w:val="186"/>
        </w:numPr>
        <w:spacing w:before="0" w:after="160" w:line="256" w:lineRule="auto"/>
      </w:pPr>
      <w:r>
        <w:t>A threat environment where attackers have proven adept at exploiting any type of weakness (functional, configuration, operations) at any layer of the enterprise IT stack (strategy, data, identity, application, middleware, operating system, network, physical).</w:t>
      </w:r>
    </w:p>
    <w:p w14:paraId="638AF964" w14:textId="77777777" w:rsidR="008F0050" w:rsidRDefault="008F0050" w:rsidP="008F0050">
      <w:r>
        <w:t xml:space="preserve">As organizations move workloads to the cloud, they must address threats in new ways and shed legacy security practices that often have proven to be ineffective and burdensome. </w:t>
      </w:r>
      <w:r w:rsidRPr="0093211C">
        <w:t>In some cases</w:t>
      </w:r>
      <w:r>
        <w:t>,</w:t>
      </w:r>
      <w:r w:rsidRPr="0093211C">
        <w:t xml:space="preserve"> extending to the cloud provides an opportunity </w:t>
      </w:r>
      <w:r>
        <w:t>to implement</w:t>
      </w:r>
      <w:r w:rsidRPr="0093211C">
        <w:t xml:space="preserve"> security controls </w:t>
      </w:r>
      <w:r>
        <w:t xml:space="preserve">and </w:t>
      </w:r>
      <w:r w:rsidRPr="0093211C">
        <w:t xml:space="preserve">contain adversaries in ways that </w:t>
      </w:r>
      <w:r>
        <w:t xml:space="preserve">are more challenging </w:t>
      </w:r>
      <w:r w:rsidRPr="0093211C">
        <w:t xml:space="preserve">to </w:t>
      </w:r>
      <w:r>
        <w:t>accomplish</w:t>
      </w:r>
      <w:r w:rsidRPr="0093211C">
        <w:t xml:space="preserve"> in existing on-premise</w:t>
      </w:r>
      <w:r>
        <w:t>s</w:t>
      </w:r>
      <w:r w:rsidRPr="0093211C">
        <w:t xml:space="preserve"> environments.</w:t>
      </w:r>
      <w:r>
        <w:t xml:space="preserve"> Although containment strategies are not new, the traditional network-centric approach has failed in several ways and needs to be updated.</w:t>
      </w:r>
    </w:p>
    <w:p w14:paraId="658E6BAF" w14:textId="77777777" w:rsidR="008F0050" w:rsidRDefault="008F0050" w:rsidP="008F0050">
      <w:r>
        <w:t xml:space="preserve">This section defines the following terminology: </w:t>
      </w:r>
    </w:p>
    <w:p w14:paraId="23C60A2B" w14:textId="77777777" w:rsidR="008F0050" w:rsidRDefault="008F0050" w:rsidP="005729D2">
      <w:pPr>
        <w:pStyle w:val="ListParagraph"/>
        <w:numPr>
          <w:ilvl w:val="0"/>
          <w:numId w:val="187"/>
        </w:numPr>
        <w:spacing w:before="0" w:after="160" w:line="256" w:lineRule="auto"/>
      </w:pPr>
      <w:r>
        <w:rPr>
          <w:b/>
        </w:rPr>
        <w:t>Containment strategy</w:t>
      </w:r>
      <w:r>
        <w:t xml:space="preserve"> - High-level strategic approach designed to limit the risk and scope of any given compromise</w:t>
      </w:r>
    </w:p>
    <w:p w14:paraId="7F80D52E" w14:textId="77777777" w:rsidR="008F0050" w:rsidRDefault="008F0050" w:rsidP="005729D2">
      <w:pPr>
        <w:pStyle w:val="ListParagraph"/>
        <w:numPr>
          <w:ilvl w:val="0"/>
          <w:numId w:val="187"/>
        </w:numPr>
        <w:spacing w:before="0" w:after="160" w:line="256" w:lineRule="auto"/>
      </w:pPr>
      <w:r>
        <w:rPr>
          <w:b/>
        </w:rPr>
        <w:t xml:space="preserve">Segmentation strategy </w:t>
      </w:r>
      <w:r>
        <w:t>- Component of the containment strategy that separates computing assets into security zones that reflect significantly different asset valuation, trust levels, and/or risk exposure profiles</w:t>
      </w:r>
    </w:p>
    <w:p w14:paraId="0C7F4372" w14:textId="77777777" w:rsidR="008F0050" w:rsidRDefault="008F0050" w:rsidP="005729D2">
      <w:pPr>
        <w:pStyle w:val="ListParagraph"/>
        <w:numPr>
          <w:ilvl w:val="0"/>
          <w:numId w:val="187"/>
        </w:numPr>
        <w:spacing w:before="0" w:after="160" w:line="256" w:lineRule="auto"/>
      </w:pPr>
      <w:r>
        <w:rPr>
          <w:b/>
        </w:rPr>
        <w:t xml:space="preserve">Security zone </w:t>
      </w:r>
      <w:r>
        <w:t>- Set of computing assets with a common asset valuation, trust level, and/or risk exposure profile.</w:t>
      </w:r>
    </w:p>
    <w:p w14:paraId="094B181A" w14:textId="77777777" w:rsidR="008F0050" w:rsidRDefault="008F0050" w:rsidP="008F0050">
      <w:pPr>
        <w:spacing w:after="0" w:line="240" w:lineRule="auto"/>
      </w:pPr>
      <w:r>
        <w:t xml:space="preserve">The notions of containment and segmentation have been around for a long time in IT security, though the interpretations of how to implement them have varied in practice. This document starts with an </w:t>
      </w:r>
      <w:hyperlink r:id="rId552" w:history="1">
        <w:r w:rsidRPr="00055ADF">
          <w:rPr>
            <w:rStyle w:val="Hyperlink"/>
          </w:rPr>
          <w:t>assume breach</w:t>
        </w:r>
      </w:hyperlink>
      <w:r>
        <w:t xml:space="preserve"> mindset and calls for designing security controls to prevent propagation of breaches among enterprise assets. </w:t>
      </w:r>
    </w:p>
    <w:p w14:paraId="20E84CF4" w14:textId="77777777" w:rsidR="008F0050" w:rsidRDefault="008F0050" w:rsidP="008F0050">
      <w:pPr>
        <w:spacing w:after="0" w:line="240" w:lineRule="auto"/>
      </w:pPr>
      <w:r>
        <w:t xml:space="preserve">This requires architects and system designers to look at what a breached system or compromised account means to the environment so as to limit the impact of that breach, to make it detectable, and to enable the organization to respond. </w:t>
      </w:r>
    </w:p>
    <w:p w14:paraId="6F3649BE" w14:textId="0ADCE644" w:rsidR="00D85E20" w:rsidRDefault="008F0050" w:rsidP="008F0050">
      <w:pPr>
        <w:rPr>
          <w:rFonts w:ascii="Calibri" w:eastAsia="Times New Roman" w:hAnsi="Calibri" w:cs="Times New Roman"/>
          <w:color w:val="000000"/>
        </w:rPr>
      </w:pPr>
      <w:r>
        <w:t>This assume breach approach complements the traditional perimeter approach focused on preventing breaches for a combined approach that results in a more resilient strategy</w:t>
      </w:r>
      <w:r w:rsidR="00D85E20">
        <w:t xml:space="preserve">. </w:t>
      </w:r>
    </w:p>
    <w:p w14:paraId="5515CAC8" w14:textId="77777777" w:rsidR="001F1B05" w:rsidRDefault="001F1B05" w:rsidP="00B50EEC">
      <w:pPr>
        <w:pStyle w:val="Heading4"/>
        <w:rPr>
          <w:rFonts w:ascii="Segoe UI" w:eastAsia="Times New Roman" w:hAnsi="Segoe UI" w:cs="Segoe UI"/>
          <w:b/>
          <w:i w:val="0"/>
          <w:color w:val="auto"/>
          <w:sz w:val="22"/>
        </w:rPr>
      </w:pPr>
    </w:p>
    <w:p w14:paraId="10B7FBFB" w14:textId="5902A236" w:rsidR="00D85E20" w:rsidRPr="001F1B05" w:rsidRDefault="00D85E20" w:rsidP="00B50EEC">
      <w:pPr>
        <w:pStyle w:val="Heading4"/>
        <w:rPr>
          <w:rFonts w:ascii="Segoe UI" w:eastAsia="Times New Roman" w:hAnsi="Segoe UI" w:cs="Segoe UI"/>
          <w:b/>
          <w:i w:val="0"/>
          <w:color w:val="auto"/>
          <w:sz w:val="22"/>
        </w:rPr>
      </w:pPr>
      <w:r w:rsidRPr="001F1B05">
        <w:rPr>
          <w:rFonts w:ascii="Segoe UI" w:eastAsia="Times New Roman" w:hAnsi="Segoe UI" w:cs="Segoe UI"/>
          <w:b/>
          <w:i w:val="0"/>
          <w:color w:val="auto"/>
          <w:sz w:val="22"/>
        </w:rPr>
        <w:t xml:space="preserve">Traditional </w:t>
      </w:r>
      <w:r w:rsidR="001F1B05">
        <w:rPr>
          <w:rFonts w:ascii="Segoe UI" w:eastAsia="Times New Roman" w:hAnsi="Segoe UI" w:cs="Segoe UI"/>
          <w:b/>
          <w:i w:val="0"/>
          <w:color w:val="auto"/>
          <w:sz w:val="22"/>
        </w:rPr>
        <w:t>A</w:t>
      </w:r>
      <w:r w:rsidRPr="001F1B05">
        <w:rPr>
          <w:rFonts w:ascii="Segoe UI" w:eastAsia="Times New Roman" w:hAnsi="Segoe UI" w:cs="Segoe UI"/>
          <w:b/>
          <w:i w:val="0"/>
          <w:color w:val="auto"/>
          <w:sz w:val="22"/>
        </w:rPr>
        <w:t xml:space="preserve">pproaches and </w:t>
      </w:r>
      <w:r w:rsidR="001F1B05">
        <w:rPr>
          <w:rFonts w:ascii="Segoe UI" w:eastAsia="Times New Roman" w:hAnsi="Segoe UI" w:cs="Segoe UI"/>
          <w:b/>
          <w:i w:val="0"/>
          <w:color w:val="auto"/>
          <w:sz w:val="22"/>
        </w:rPr>
        <w:t>C</w:t>
      </w:r>
      <w:r w:rsidRPr="001F1B05">
        <w:rPr>
          <w:rFonts w:ascii="Segoe UI" w:eastAsia="Times New Roman" w:hAnsi="Segoe UI" w:cs="Segoe UI"/>
          <w:b/>
          <w:i w:val="0"/>
          <w:color w:val="auto"/>
          <w:sz w:val="22"/>
        </w:rPr>
        <w:t>hallenges</w:t>
      </w:r>
    </w:p>
    <w:p w14:paraId="4E823D0C" w14:textId="77777777" w:rsidR="001F1B05" w:rsidRDefault="001F1B05" w:rsidP="001F1B05">
      <w:pPr>
        <w:rPr>
          <w:rFonts w:eastAsiaTheme="minorHAnsi"/>
        </w:rPr>
      </w:pPr>
      <w:r>
        <w:t xml:space="preserve">Traditionally, many IT security organizations have built segmentation and containment strategies primarily by using firewalls that filter IP traffic by protocol and port rules. These designs typically include a production intranet, an extranet (sometimes called a demilitarized zone (or DMZ), and sometimes additional segment isolation within or outside of production using firewalls. </w:t>
      </w:r>
    </w:p>
    <w:p w14:paraId="756CD1D1" w14:textId="77777777" w:rsidR="001F1B05" w:rsidRDefault="001F1B05" w:rsidP="001F1B05">
      <w:r>
        <w:t>Although many elements of these designs are valid, there are fundamental shortcomings with this approach that have led to failure of these strategies in the industry:</w:t>
      </w:r>
    </w:p>
    <w:p w14:paraId="6ABA44AC" w14:textId="77777777" w:rsidR="001F1B05" w:rsidRDefault="001F1B05" w:rsidP="005729D2">
      <w:pPr>
        <w:pStyle w:val="ListParagraph"/>
        <w:numPr>
          <w:ilvl w:val="0"/>
          <w:numId w:val="188"/>
        </w:numPr>
        <w:spacing w:before="0" w:after="160" w:line="256" w:lineRule="auto"/>
      </w:pPr>
      <w:r>
        <w:t xml:space="preserve">The trust level of a network segment is defined by the lowest trust device connected to it. The effective trust level of the production network and security value of the perimeter around it has been significantly diminished by: </w:t>
      </w:r>
    </w:p>
    <w:p w14:paraId="06E95D2B" w14:textId="77777777" w:rsidR="001F1B05" w:rsidRDefault="001F1B05" w:rsidP="005729D2">
      <w:pPr>
        <w:pStyle w:val="ListParagraph"/>
        <w:numPr>
          <w:ilvl w:val="1"/>
          <w:numId w:val="188"/>
        </w:numPr>
        <w:spacing w:before="0" w:after="160" w:line="256" w:lineRule="auto"/>
      </w:pPr>
      <w:r>
        <w:t>The ability of attackers to easily compromise standard user workstations with targeted malware.</w:t>
      </w:r>
    </w:p>
    <w:p w14:paraId="41A7F690" w14:textId="77777777" w:rsidR="001F1B05" w:rsidRDefault="001F1B05" w:rsidP="005729D2">
      <w:pPr>
        <w:pStyle w:val="ListParagraph"/>
        <w:numPr>
          <w:ilvl w:val="1"/>
          <w:numId w:val="188"/>
        </w:numPr>
        <w:spacing w:before="0" w:after="160" w:line="256" w:lineRule="auto"/>
      </w:pPr>
      <w:r>
        <w:t>The increased business need to make internal systems available to third parties.</w:t>
      </w:r>
    </w:p>
    <w:p w14:paraId="63AAD823" w14:textId="77777777" w:rsidR="001F1B05" w:rsidRDefault="001F1B05" w:rsidP="005729D2">
      <w:pPr>
        <w:pStyle w:val="ListParagraph"/>
        <w:numPr>
          <w:ilvl w:val="1"/>
          <w:numId w:val="188"/>
        </w:numPr>
        <w:spacing w:before="0" w:after="160" w:line="256" w:lineRule="auto"/>
      </w:pPr>
      <w:r>
        <w:t xml:space="preserve">The proliferation of unmanaged and partially managed devices on production through an increasingly mobile workforce. </w:t>
      </w:r>
    </w:p>
    <w:p w14:paraId="2C32B126" w14:textId="77777777" w:rsidR="001F1B05" w:rsidRDefault="001F1B05" w:rsidP="005729D2">
      <w:pPr>
        <w:pStyle w:val="ListParagraph"/>
        <w:numPr>
          <w:ilvl w:val="0"/>
          <w:numId w:val="188"/>
        </w:numPr>
        <w:spacing w:before="0" w:after="160" w:line="256" w:lineRule="auto"/>
      </w:pPr>
      <w:r>
        <w:t xml:space="preserve">Network layer security relies on the IP address as a proxy for identity and a TCP/UDP port as a proxy for applications. These properties are not reliable in a cloud-enabled world that heavily leverages dynamic IP addresses. Attackers and application/device makers alike have been successful at using whatever ports happen to be available to transport traffic for many different applications and protocols. </w:t>
      </w:r>
    </w:p>
    <w:p w14:paraId="2FC2D101" w14:textId="77777777" w:rsidR="001F1B05" w:rsidRDefault="001F1B05" w:rsidP="005729D2">
      <w:pPr>
        <w:pStyle w:val="ListParagraph"/>
        <w:numPr>
          <w:ilvl w:val="1"/>
          <w:numId w:val="188"/>
        </w:numPr>
        <w:spacing w:before="0" w:after="160" w:line="256" w:lineRule="auto"/>
      </w:pPr>
      <w:r>
        <w:t xml:space="preserve">Note that this document refers to security controls and devices as operating at the layer that they defend. For example, detonation chamber solutions like Microsoft's Exchange Online Advanced Threat Protection or FireEye Email Security products are considered application protections because they protect email applications from malicious data payloads, even though they are connected to “the network.” </w:t>
      </w:r>
    </w:p>
    <w:p w14:paraId="5FD8D0CE" w14:textId="77777777" w:rsidR="001F1B05" w:rsidRDefault="001F1B05" w:rsidP="005729D2">
      <w:pPr>
        <w:pStyle w:val="ListParagraph"/>
        <w:numPr>
          <w:ilvl w:val="0"/>
          <w:numId w:val="188"/>
        </w:numPr>
        <w:spacing w:before="0" w:after="160" w:line="256" w:lineRule="auto"/>
      </w:pPr>
      <w:r>
        <w:t xml:space="preserve">The rules and exceptions in the Firewall and IP Filter policy settings are typically high volume and highly complex, making it difficult to assess risk. Network traffic filtering devices are commonly placed at unnatural points in the network such as within a production forest with a </w:t>
      </w:r>
      <w:r w:rsidRPr="001B2E35">
        <w:rPr>
          <w:b/>
        </w:rPr>
        <w:t>Deny by default</w:t>
      </w:r>
      <w:r>
        <w:t xml:space="preserve"> rule. This creates a requirement for a substantial number of exceptions as the security personnel attempt to retain some semblance of least privilege, but it results in: </w:t>
      </w:r>
    </w:p>
    <w:p w14:paraId="1BCF4694" w14:textId="77777777" w:rsidR="001F1B05" w:rsidRDefault="001F1B05" w:rsidP="005729D2">
      <w:pPr>
        <w:pStyle w:val="ListParagraph"/>
        <w:numPr>
          <w:ilvl w:val="1"/>
          <w:numId w:val="188"/>
        </w:numPr>
        <w:spacing w:before="0" w:after="160" w:line="256" w:lineRule="auto"/>
      </w:pPr>
      <w:r>
        <w:t xml:space="preserve">A set of firewall exceptions that are: </w:t>
      </w:r>
    </w:p>
    <w:p w14:paraId="79D36A23" w14:textId="77777777" w:rsidR="001F1B05" w:rsidRDefault="001F1B05" w:rsidP="005729D2">
      <w:pPr>
        <w:pStyle w:val="ListParagraph"/>
        <w:numPr>
          <w:ilvl w:val="2"/>
          <w:numId w:val="188"/>
        </w:numPr>
        <w:spacing w:before="0" w:after="160" w:line="256" w:lineRule="auto"/>
      </w:pPr>
      <w:r>
        <w:t>Extremely permissive, undermining the original goal.</w:t>
      </w:r>
    </w:p>
    <w:p w14:paraId="3E9BC0C5" w14:textId="77777777" w:rsidR="001F1B05" w:rsidRDefault="001F1B05" w:rsidP="005729D2">
      <w:pPr>
        <w:pStyle w:val="ListParagraph"/>
        <w:numPr>
          <w:ilvl w:val="2"/>
          <w:numId w:val="188"/>
        </w:numPr>
        <w:spacing w:before="0" w:after="160" w:line="256" w:lineRule="auto"/>
      </w:pPr>
      <w:r>
        <w:t>Generally incomprehensible and difficult to understand and assess from a risk perspective.</w:t>
      </w:r>
    </w:p>
    <w:p w14:paraId="783F0960" w14:textId="77777777" w:rsidR="001F1B05" w:rsidRDefault="001F1B05" w:rsidP="005729D2">
      <w:pPr>
        <w:pStyle w:val="ListParagraph"/>
        <w:numPr>
          <w:ilvl w:val="1"/>
          <w:numId w:val="188"/>
        </w:numPr>
        <w:spacing w:before="0" w:after="160" w:line="256" w:lineRule="auto"/>
      </w:pPr>
      <w:r>
        <w:t>Additional IT operational overhead.</w:t>
      </w:r>
    </w:p>
    <w:p w14:paraId="2557907A" w14:textId="77777777" w:rsidR="001F1B05" w:rsidRDefault="001F1B05" w:rsidP="005729D2">
      <w:pPr>
        <w:pStyle w:val="ListParagraph"/>
        <w:numPr>
          <w:ilvl w:val="1"/>
          <w:numId w:val="188"/>
        </w:numPr>
        <w:spacing w:before="0" w:after="160" w:line="256" w:lineRule="auto"/>
      </w:pPr>
      <w:r>
        <w:t>A constant point of friction between IT operations and security personnel, damaging collaboration and security effectiveness.</w:t>
      </w:r>
    </w:p>
    <w:p w14:paraId="2B4E61AD" w14:textId="77777777" w:rsidR="001F1B05" w:rsidRDefault="001F1B05" w:rsidP="001F1B05">
      <w:r>
        <w:t xml:space="preserve">The net result of most of these designs is a failed strategy that is difficult to implement, costly to the organization, and </w:t>
      </w:r>
      <w:r w:rsidRPr="00D84AF9">
        <w:t xml:space="preserve">repeatedly proven </w:t>
      </w:r>
      <w:r>
        <w:t xml:space="preserve">to be easily evaded by attackers and penetration testers. </w:t>
      </w:r>
    </w:p>
    <w:p w14:paraId="019A5891" w14:textId="7905FD04" w:rsidR="00D85E20" w:rsidRPr="00E75B23" w:rsidRDefault="001F1B05" w:rsidP="001F1B05">
      <w:r>
        <w:t xml:space="preserve">The recommendations in this document intend to </w:t>
      </w:r>
      <w:r w:rsidRPr="00E75B23">
        <w:t xml:space="preserve">overcome these challenges by setting forth guidelines that allow effective segmentation </w:t>
      </w:r>
      <w:r>
        <w:t>to</w:t>
      </w:r>
      <w:r w:rsidRPr="00E75B23">
        <w:t xml:space="preserve"> bring the greatest security value (blocking and detecting attackers) </w:t>
      </w:r>
      <w:r>
        <w:t>and</w:t>
      </w:r>
      <w:r w:rsidRPr="00E75B23">
        <w:t xml:space="preserve"> minimiz</w:t>
      </w:r>
      <w:r>
        <w:t>e</w:t>
      </w:r>
      <w:r w:rsidRPr="00E75B23">
        <w:t xml:space="preserve"> the operational overhead</w:t>
      </w:r>
      <w:r w:rsidR="00D85E20" w:rsidRPr="00E75B23">
        <w:t xml:space="preserve">. </w:t>
      </w:r>
    </w:p>
    <w:p w14:paraId="5F88193C" w14:textId="77777777" w:rsidR="00D85E20" w:rsidRDefault="00D85E20" w:rsidP="00D85E20"/>
    <w:p w14:paraId="3ED39019" w14:textId="77777777" w:rsidR="001F1B05" w:rsidRPr="00B26131" w:rsidRDefault="001F1B05" w:rsidP="001F1B05">
      <w:pPr>
        <w:pStyle w:val="Heading4"/>
        <w:rPr>
          <w:rFonts w:ascii="Segoe UI" w:eastAsia="Times New Roman" w:hAnsi="Segoe UI" w:cs="Segoe UI"/>
          <w:b/>
          <w:i w:val="0"/>
          <w:color w:val="auto"/>
          <w:sz w:val="22"/>
        </w:rPr>
      </w:pPr>
      <w:r w:rsidRPr="00B26131">
        <w:rPr>
          <w:rFonts w:ascii="Segoe UI" w:eastAsia="Times New Roman" w:hAnsi="Segoe UI" w:cs="Segoe UI"/>
          <w:b/>
          <w:i w:val="0"/>
          <w:color w:val="auto"/>
          <w:sz w:val="22"/>
        </w:rPr>
        <w:t>Building a Containment Strategy</w:t>
      </w:r>
    </w:p>
    <w:p w14:paraId="3BF20D9C" w14:textId="77777777" w:rsidR="001F1B05" w:rsidRDefault="001F1B05" w:rsidP="001F1B05">
      <w:pPr>
        <w:spacing w:after="0" w:line="240" w:lineRule="auto"/>
        <w:rPr>
          <w:rFonts w:eastAsia="Times New Roman" w:cs="Segoe UI"/>
          <w:color w:val="000000"/>
        </w:rPr>
      </w:pPr>
      <w:r w:rsidRPr="0048306B">
        <w:rPr>
          <w:rFonts w:eastAsia="Times New Roman" w:cs="Segoe UI"/>
          <w:color w:val="000000"/>
        </w:rPr>
        <w:t>A containment strategy should focus on</w:t>
      </w:r>
      <w:r>
        <w:rPr>
          <w:rFonts w:eastAsia="Times New Roman" w:cs="Segoe UI"/>
          <w:color w:val="000000"/>
        </w:rPr>
        <w:t>:</w:t>
      </w:r>
    </w:p>
    <w:p w14:paraId="5000DB15" w14:textId="77777777" w:rsidR="001F1B05" w:rsidRPr="0053300A" w:rsidRDefault="001F1B05" w:rsidP="005729D2">
      <w:pPr>
        <w:pStyle w:val="ListParagraph"/>
        <w:numPr>
          <w:ilvl w:val="0"/>
          <w:numId w:val="286"/>
        </w:numPr>
        <w:spacing w:after="0" w:line="240" w:lineRule="auto"/>
        <w:rPr>
          <w:rFonts w:eastAsia="Times New Roman" w:cs="Segoe UI"/>
          <w:color w:val="000000"/>
        </w:rPr>
      </w:pPr>
      <w:r>
        <w:rPr>
          <w:rFonts w:eastAsia="Times New Roman" w:cs="Segoe UI"/>
          <w:color w:val="000000"/>
        </w:rPr>
        <w:t>C</w:t>
      </w:r>
      <w:r w:rsidRPr="0053300A">
        <w:rPr>
          <w:rFonts w:eastAsia="Times New Roman" w:cs="Segoe UI"/>
          <w:color w:val="000000"/>
        </w:rPr>
        <w:t xml:space="preserve">ontaining the propagation of risk at all feasible levels  </w:t>
      </w:r>
    </w:p>
    <w:p w14:paraId="4BE1A46C" w14:textId="77777777" w:rsidR="001F1B05" w:rsidRPr="0053300A" w:rsidRDefault="001F1B05" w:rsidP="005729D2">
      <w:pPr>
        <w:pStyle w:val="ListParagraph"/>
        <w:numPr>
          <w:ilvl w:val="0"/>
          <w:numId w:val="286"/>
        </w:numPr>
        <w:spacing w:after="0" w:line="240" w:lineRule="auto"/>
        <w:rPr>
          <w:rFonts w:eastAsia="Times New Roman" w:cs="Segoe UI"/>
          <w:color w:val="000000"/>
        </w:rPr>
      </w:pPr>
      <w:r>
        <w:rPr>
          <w:rFonts w:eastAsia="Times New Roman" w:cs="Segoe UI"/>
          <w:color w:val="000000"/>
        </w:rPr>
        <w:t>P</w:t>
      </w:r>
      <w:r w:rsidRPr="0053300A">
        <w:rPr>
          <w:rFonts w:eastAsia="Times New Roman" w:cs="Segoe UI"/>
          <w:color w:val="000000"/>
        </w:rPr>
        <w:t xml:space="preserve">rioritizing operational effectiveness and protection of assets by business impact </w:t>
      </w:r>
    </w:p>
    <w:p w14:paraId="2A6D9D60" w14:textId="77777777" w:rsidR="001F1B05" w:rsidRPr="0048306B" w:rsidRDefault="001F1B05" w:rsidP="001F1B05">
      <w:pPr>
        <w:spacing w:after="0" w:line="240" w:lineRule="auto"/>
        <w:rPr>
          <w:rFonts w:eastAsia="Times New Roman" w:cs="Segoe UI"/>
          <w:color w:val="000000"/>
        </w:rPr>
      </w:pPr>
      <w:r w:rsidRPr="0048306B">
        <w:rPr>
          <w:rFonts w:eastAsia="Times New Roman" w:cs="Segoe UI"/>
          <w:color w:val="000000"/>
        </w:rPr>
        <w:t>The strategy should also consider the lifecycle of the asset</w:t>
      </w:r>
      <w:r>
        <w:rPr>
          <w:rFonts w:eastAsia="Times New Roman" w:cs="Segoe UI"/>
          <w:color w:val="000000"/>
        </w:rPr>
        <w:t>.</w:t>
      </w:r>
      <w:r w:rsidRPr="0048306B">
        <w:rPr>
          <w:rFonts w:eastAsia="Times New Roman" w:cs="Segoe UI"/>
          <w:color w:val="000000"/>
        </w:rPr>
        <w:t xml:space="preserve"> </w:t>
      </w:r>
      <w:r>
        <w:rPr>
          <w:rFonts w:eastAsia="Times New Roman" w:cs="Segoe UI"/>
          <w:color w:val="000000"/>
        </w:rPr>
        <w:t>M</w:t>
      </w:r>
      <w:r w:rsidRPr="0048306B">
        <w:rPr>
          <w:rFonts w:eastAsia="Times New Roman" w:cs="Segoe UI"/>
          <w:color w:val="000000"/>
        </w:rPr>
        <w:t xml:space="preserve">any organizations will develop, test, train within </w:t>
      </w:r>
      <w:r>
        <w:rPr>
          <w:rFonts w:eastAsia="Times New Roman" w:cs="Segoe UI"/>
          <w:color w:val="000000"/>
        </w:rPr>
        <w:t xml:space="preserve">the </w:t>
      </w:r>
      <w:r w:rsidRPr="0048306B">
        <w:rPr>
          <w:rFonts w:eastAsia="Times New Roman" w:cs="Segoe UI"/>
          <w:color w:val="000000"/>
        </w:rPr>
        <w:t>Azure environment</w:t>
      </w:r>
      <w:r>
        <w:rPr>
          <w:rFonts w:eastAsia="Times New Roman" w:cs="Segoe UI"/>
          <w:color w:val="000000"/>
        </w:rPr>
        <w:t>. E</w:t>
      </w:r>
      <w:r w:rsidRPr="0048306B">
        <w:rPr>
          <w:rFonts w:eastAsia="Times New Roman" w:cs="Segoe UI"/>
          <w:color w:val="000000"/>
        </w:rPr>
        <w:t>ach of th</w:t>
      </w:r>
      <w:r>
        <w:rPr>
          <w:rFonts w:eastAsia="Times New Roman" w:cs="Segoe UI"/>
          <w:color w:val="000000"/>
        </w:rPr>
        <w:t>e</w:t>
      </w:r>
      <w:r w:rsidRPr="0048306B">
        <w:rPr>
          <w:rFonts w:eastAsia="Times New Roman" w:cs="Segoe UI"/>
          <w:color w:val="000000"/>
        </w:rPr>
        <w:t>se lifecycle stages potentially has different risk levels, asset valuations, and personnel responsible to administer the assets.</w:t>
      </w:r>
      <w:r>
        <w:rPr>
          <w:rFonts w:eastAsia="Times New Roman" w:cs="Segoe UI"/>
          <w:color w:val="000000"/>
        </w:rPr>
        <w:t xml:space="preserve"> </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1F1B05" w14:paraId="71C2341B" w14:textId="77777777" w:rsidTr="001F1B05">
        <w:trPr>
          <w:trHeight w:val="423"/>
        </w:trPr>
        <w:tc>
          <w:tcPr>
            <w:tcW w:w="666" w:type="dxa"/>
            <w:hideMark/>
          </w:tcPr>
          <w:p w14:paraId="4A3B330E" w14:textId="77777777" w:rsidR="001F1B05" w:rsidRDefault="001F1B05" w:rsidP="001F1B05">
            <w:pPr>
              <w:spacing w:after="200" w:line="240" w:lineRule="auto"/>
              <w:rPr>
                <w:rFonts w:asciiTheme="minorHAnsi" w:eastAsiaTheme="minorHAnsi" w:hAnsiTheme="minorHAnsi" w:cstheme="minorBidi"/>
                <w:b/>
                <w:bCs/>
                <w:sz w:val="20"/>
                <w:szCs w:val="18"/>
              </w:rPr>
            </w:pPr>
            <w:r>
              <w:rPr>
                <w:rFonts w:ascii="Calibri" w:eastAsia="MS Mincho" w:hAnsi="Calibri"/>
                <w:noProof/>
              </w:rPr>
              <mc:AlternateContent>
                <mc:Choice Requires="wps">
                  <w:drawing>
                    <wp:inline distT="0" distB="0" distL="0" distR="0" wp14:anchorId="06B61DCF" wp14:editId="13A24978">
                      <wp:extent cx="200025" cy="180975"/>
                      <wp:effectExtent l="9525" t="9525" r="9525" b="9525"/>
                      <wp:docPr id="830832944" name="Octagon 8308329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 cy="180975"/>
                              </a:xfrm>
                              <a:prstGeom prst="octagon">
                                <a:avLst>
                                  <a:gd name="adj" fmla="val 29287"/>
                                </a:avLst>
                              </a:prstGeom>
                              <a:solidFill>
                                <a:srgbClr val="CC0000"/>
                              </a:solidFill>
                              <a:ln w="6350">
                                <a:solidFill>
                                  <a:schemeClr val="accent2">
                                    <a:lumMod val="10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xmlns:w16se="http://schemas.microsoft.com/office/word/2015/wordml/symex" xmlns:cx="http://schemas.microsoft.com/office/drawing/2014/chartex">
                  <w:pict>
                    <v:shape w14:anchorId="292AB68B" id="Octagon 830832944"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XAWwIAALUEAAAOAAAAZHJzL2Uyb0RvYy54bWysVMlu2zAQvRfoPxC8N1piJ7YQOQicpiiQ&#10;NgHSfsCYpCS2XFSStpx+fYeU7DjprehF4HA4b5Y3T1fXe63ITjgvralpcZZTIgyzXJq2pt+/3X1Y&#10;UOIDGA7KGlHTZ+Hp9er9u6uhr0RpO6u4cARBjK+GvqZdCH2VZZ51QoM/s70w6Gys0xDQdG3GHQyI&#10;rlVW5vlFNljHe2eZ8B5vb0cnXSX8phEsPDSNF4GommJtIX1d+m7iN1tdQdU66DvJpjLgH6rQIA0m&#10;PULdQgCydfIvKC2Zs9424YxZndmmkUykHrCbIn/TzVMHvUi94HB8fxyT/3+w7Ovu0RHJa7o4zxfn&#10;5XI2o8SARqoeWIDWGvLiwGENva8w5ql/dLFd399b9tMTY9cdmFbcOGeHTgDHEos43OxVQDQ8hpLN&#10;8MVyzAHbYNPc9o3TERAnQvaJnucjPWIfCMNL5Dsv55QwdBWLfHk5TxmgOgT3zodPwmoSDzW1YwMJ&#10;H3b3PiSC+NQe8B+UNFoh3TtQpFyWi8sJb3qcQXVATL1aJfmdVCoZrt2slSMYWtP1GitLu4Qh/vSZ&#10;MmSo6cX5PE9VvPKlHRdHEGBMmFCmd2qrcT4jeBGxp0XFe1zn8f6YL0olwuCw32TXMqC4lNTI7glK&#10;5Oej4Wn1A0g1njFYmYmwyNHI9cbyZ+TL2VE5qHQ8dNb9pmRA1dTU/9qCE5SozwY5XxazWZRZMmbz&#10;yxINd+rZnHrAMISqKQuOktFYh1Gc297JtsNcRRqIsTe4KY0Mh5Ua65rKRW2k5icdR/Gd2unVy99m&#10;9QcAAP//AwBQSwMEFAAGAAgAAAAhAJ+3RPHbAAAAAwEAAA8AAABkcnMvZG93bnJldi54bWxMj0FL&#10;w0AQhe+C/2EZwZvdpNIS02yKCAUP0mC1eN1mp0lodjbsbpv47x292MvA4z3e+6ZYT7YXF/Shc6Qg&#10;nSUgkGpnOmoUfH5sHjIQIWoyuneECr4xwLq8vSl0btxI73jZxUZwCYVcK2hjHHIpQ92i1WHmBiT2&#10;js5bHVn6RhqvRy63vZwnyVJa3REvtHrAlxbr0+5sFVSnsXrNqurpy2+W2zdv96nf7pW6v5ueVyAi&#10;TvE/DL/4jA4lMx3cmUwQvQJ+JP5d9h7TBYiDgnm2AFkW8pq9/AEAAP//AwBQSwECLQAUAAYACAAA&#10;ACEAtoM4kv4AAADhAQAAEwAAAAAAAAAAAAAAAAAAAAAAW0NvbnRlbnRfVHlwZXNdLnhtbFBLAQIt&#10;ABQABgAIAAAAIQA4/SH/1gAAAJQBAAALAAAAAAAAAAAAAAAAAC8BAABfcmVscy8ucmVsc1BLAQIt&#10;ABQABgAIAAAAIQBP+TXAWwIAALUEAAAOAAAAAAAAAAAAAAAAAC4CAABkcnMvZTJvRG9jLnhtbFBL&#10;AQItABQABgAIAAAAIQCft0Tx2wAAAAMBAAAPAAAAAAAAAAAAAAAAALUEAABkcnMvZG93bnJldi54&#10;bWxQSwUGAAAAAAQABADzAAAAvQUAAAAA&#10;" fillcolor="#c00" strokecolor="#ed7d31 [3205]" strokeweight=".5pt">
                      <w10:anchorlock/>
                    </v:shape>
                  </w:pict>
                </mc:Fallback>
              </mc:AlternateContent>
            </w:r>
          </w:p>
        </w:tc>
        <w:tc>
          <w:tcPr>
            <w:tcW w:w="8604" w:type="dxa"/>
            <w:hideMark/>
          </w:tcPr>
          <w:p w14:paraId="5C228F5A" w14:textId="77777777" w:rsidR="001F1B05" w:rsidRDefault="001F1B05" w:rsidP="001F1B05">
            <w:pPr>
              <w:spacing w:after="0" w:line="240" w:lineRule="auto"/>
            </w:pPr>
            <w:r>
              <w:rPr>
                <w:b/>
              </w:rPr>
              <w:t>Mandatory</w:t>
            </w:r>
            <w:r>
              <w:t xml:space="preserve">: </w:t>
            </w:r>
          </w:p>
          <w:p w14:paraId="34E265C9" w14:textId="77777777" w:rsidR="001F1B05" w:rsidRDefault="001F1B05" w:rsidP="005729D2">
            <w:pPr>
              <w:pStyle w:val="ListParagraph"/>
              <w:numPr>
                <w:ilvl w:val="0"/>
                <w:numId w:val="87"/>
              </w:numPr>
              <w:tabs>
                <w:tab w:val="left" w:pos="720"/>
              </w:tabs>
              <w:rPr>
                <w:rFonts w:ascii="Calibri" w:eastAsia="MS Mincho" w:hAnsi="Calibri"/>
              </w:rPr>
            </w:pPr>
            <w:r>
              <w:t>A containment strategy should include the following elements</w:t>
            </w:r>
          </w:p>
          <w:p w14:paraId="6C678DAF" w14:textId="77777777" w:rsidR="001F1B05" w:rsidRDefault="001F1B05" w:rsidP="005729D2">
            <w:pPr>
              <w:pStyle w:val="ListParagraph"/>
              <w:numPr>
                <w:ilvl w:val="1"/>
                <w:numId w:val="87"/>
              </w:numPr>
              <w:tabs>
                <w:tab w:val="left" w:pos="720"/>
              </w:tabs>
            </w:pPr>
            <w:r>
              <w:t xml:space="preserve">Security zones </w:t>
            </w:r>
          </w:p>
          <w:p w14:paraId="5BB35F38" w14:textId="77777777" w:rsidR="001F1B05" w:rsidRDefault="001F1B05" w:rsidP="005729D2">
            <w:pPr>
              <w:pStyle w:val="ListParagraph"/>
              <w:numPr>
                <w:ilvl w:val="1"/>
                <w:numId w:val="87"/>
              </w:numPr>
              <w:tabs>
                <w:tab w:val="left" w:pos="720"/>
              </w:tabs>
            </w:pPr>
            <w:r>
              <w:t>Isolation between security zones</w:t>
            </w:r>
          </w:p>
          <w:p w14:paraId="0B58CFDF" w14:textId="77777777" w:rsidR="001F1B05" w:rsidRDefault="001F1B05" w:rsidP="005729D2">
            <w:pPr>
              <w:pStyle w:val="ListParagraph"/>
              <w:numPr>
                <w:ilvl w:val="1"/>
                <w:numId w:val="87"/>
              </w:numPr>
              <w:tabs>
                <w:tab w:val="left" w:pos="720"/>
              </w:tabs>
            </w:pPr>
            <w:r>
              <w:t>Containment within a security zone</w:t>
            </w:r>
          </w:p>
          <w:p w14:paraId="692B6065" w14:textId="77777777" w:rsidR="001F1B05" w:rsidRDefault="001F1B05" w:rsidP="005729D2">
            <w:pPr>
              <w:pStyle w:val="ListParagraph"/>
              <w:numPr>
                <w:ilvl w:val="1"/>
                <w:numId w:val="87"/>
              </w:numPr>
              <w:tabs>
                <w:tab w:val="left" w:pos="720"/>
              </w:tabs>
            </w:pPr>
            <w:r>
              <w:t>Containment within a host (between users and administrators)</w:t>
            </w:r>
          </w:p>
          <w:p w14:paraId="401E0059" w14:textId="77777777" w:rsidR="001F1B05" w:rsidRDefault="001F1B05" w:rsidP="005729D2">
            <w:pPr>
              <w:pStyle w:val="ListParagraph"/>
              <w:numPr>
                <w:ilvl w:val="1"/>
                <w:numId w:val="87"/>
              </w:numPr>
              <w:tabs>
                <w:tab w:val="left" w:pos="720"/>
              </w:tabs>
            </w:pPr>
            <w:r>
              <w:t>Containment within an application (as applicable)</w:t>
            </w:r>
          </w:p>
          <w:p w14:paraId="5A002142" w14:textId="77777777" w:rsidR="001F1B05" w:rsidRDefault="001F1B05" w:rsidP="005729D2">
            <w:pPr>
              <w:pStyle w:val="ListParagraph"/>
              <w:numPr>
                <w:ilvl w:val="0"/>
                <w:numId w:val="87"/>
              </w:numPr>
              <w:tabs>
                <w:tab w:val="left" w:pos="720"/>
              </w:tabs>
            </w:pPr>
            <w:r>
              <w:t xml:space="preserve">A containment strategy should minimize the number of zones. It is taxing on the organization to set up a security zone correctly because each additional zone requires: </w:t>
            </w:r>
          </w:p>
          <w:p w14:paraId="5208D364" w14:textId="77777777" w:rsidR="001F1B05" w:rsidRDefault="001F1B05" w:rsidP="005729D2">
            <w:pPr>
              <w:pStyle w:val="ListParagraph"/>
              <w:numPr>
                <w:ilvl w:val="1"/>
                <w:numId w:val="87"/>
              </w:numPr>
              <w:tabs>
                <w:tab w:val="left" w:pos="720"/>
              </w:tabs>
            </w:pPr>
            <w:r>
              <w:t>Establishing a zone infrastructure (identity systems and so on) and associated bounded roles</w:t>
            </w:r>
          </w:p>
          <w:p w14:paraId="37A28B2E" w14:textId="77777777" w:rsidR="001F1B05" w:rsidRDefault="001F1B05" w:rsidP="005729D2">
            <w:pPr>
              <w:pStyle w:val="ListParagraph"/>
              <w:numPr>
                <w:ilvl w:val="1"/>
                <w:numId w:val="87"/>
              </w:numPr>
              <w:tabs>
                <w:tab w:val="left" w:pos="720"/>
              </w:tabs>
            </w:pPr>
            <w:r>
              <w:t>Securing the inter-zone trust boundary including the network and security infrastructure. This also includes threat modelling any application or data flows across that trust boundary.</w:t>
            </w:r>
          </w:p>
        </w:tc>
      </w:tr>
    </w:tbl>
    <w:p w14:paraId="4255EC31" w14:textId="77777777" w:rsidR="001F1B05" w:rsidRDefault="001F1B05" w:rsidP="001F1B05">
      <w:pPr>
        <w:spacing w:after="0" w:line="240" w:lineRule="auto"/>
        <w:rPr>
          <w:rFonts w:ascii="Calibri" w:eastAsia="Times New Roman" w:hAnsi="Calibri" w:cs="Times New Roman"/>
          <w:color w:val="000000"/>
        </w:rPr>
      </w:pPr>
    </w:p>
    <w:p w14:paraId="3CE3B00D" w14:textId="4F1F52B8" w:rsidR="004A0929" w:rsidRDefault="001F1B05" w:rsidP="001D6C2B">
      <w:pPr>
        <w:pStyle w:val="ListParagraph"/>
        <w:tabs>
          <w:tab w:val="left" w:pos="720"/>
        </w:tabs>
        <w:ind w:left="0"/>
      </w:pPr>
      <w:r>
        <w:tab/>
      </w:r>
      <w:r w:rsidRPr="0031330A">
        <w:t xml:space="preserve">Organizations should </w:t>
      </w:r>
      <w:r>
        <w:t xml:space="preserve">consider the following list of examples as the maximum types of zones that should </w:t>
      </w:r>
      <w:r w:rsidRPr="0080144E">
        <w:t>be created</w:t>
      </w:r>
      <w:r>
        <w:t xml:space="preserve"> (note that some are not applicable to infrastructures hosted in Azure).</w:t>
      </w:r>
    </w:p>
    <w:tbl>
      <w:tblPr>
        <w:tblStyle w:val="PlainTable11"/>
        <w:tblW w:w="5000" w:type="pct"/>
        <w:tblLayout w:type="fixed"/>
        <w:tblLook w:val="04A0" w:firstRow="1" w:lastRow="0" w:firstColumn="1" w:lastColumn="0" w:noHBand="0" w:noVBand="1"/>
      </w:tblPr>
      <w:tblGrid>
        <w:gridCol w:w="2154"/>
        <w:gridCol w:w="7196"/>
      </w:tblGrid>
      <w:tr w:rsidR="004A0929" w:rsidRPr="00B553A6" w14:paraId="7DAEBC82" w14:textId="77777777" w:rsidTr="00FC1F6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52" w:type="pct"/>
            <w:shd w:val="clear" w:color="auto" w:fill="808080" w:themeFill="background1" w:themeFillShade="80"/>
            <w:noWrap/>
            <w:hideMark/>
          </w:tcPr>
          <w:p w14:paraId="3BFE7A17" w14:textId="1D8225C7" w:rsidR="004A0929" w:rsidRPr="00B553A6" w:rsidRDefault="004A0929" w:rsidP="00915020">
            <w:pPr>
              <w:spacing w:line="240" w:lineRule="auto"/>
              <w:rPr>
                <w:color w:val="FFFFFF"/>
              </w:rPr>
            </w:pPr>
            <w:r>
              <w:rPr>
                <w:color w:val="FFFFFF"/>
              </w:rPr>
              <w:t>Zone</w:t>
            </w:r>
          </w:p>
        </w:tc>
        <w:tc>
          <w:tcPr>
            <w:tcW w:w="3848" w:type="pct"/>
            <w:shd w:val="clear" w:color="auto" w:fill="808080" w:themeFill="background1" w:themeFillShade="80"/>
            <w:noWrap/>
            <w:hideMark/>
          </w:tcPr>
          <w:p w14:paraId="15F1F0C7" w14:textId="2547F053" w:rsidR="004A0929" w:rsidRPr="00B553A6" w:rsidRDefault="004A0929" w:rsidP="00915020">
            <w:pPr>
              <w:spacing w:line="240" w:lineRule="auto"/>
              <w:cnfStyle w:val="100000000000" w:firstRow="1" w:lastRow="0" w:firstColumn="0" w:lastColumn="0" w:oddVBand="0" w:evenVBand="0" w:oddHBand="0" w:evenHBand="0" w:firstRowFirstColumn="0" w:firstRowLastColumn="0" w:lastRowFirstColumn="0" w:lastRowLastColumn="0"/>
              <w:rPr>
                <w:color w:val="FFFFFF"/>
              </w:rPr>
            </w:pPr>
            <w:r>
              <w:rPr>
                <w:color w:val="FFFFFF"/>
              </w:rPr>
              <w:t>Description</w:t>
            </w:r>
          </w:p>
        </w:tc>
      </w:tr>
      <w:tr w:rsidR="001F1B05" w:rsidRPr="00B553A6" w14:paraId="0A706E0B" w14:textId="77777777" w:rsidTr="00FC1F6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52" w:type="pct"/>
            <w:noWrap/>
          </w:tcPr>
          <w:p w14:paraId="3382CC9A" w14:textId="20E5AD7A" w:rsidR="001F1B05" w:rsidRPr="00B553A6" w:rsidRDefault="001F1B05" w:rsidP="001F1B05">
            <w:pPr>
              <w:rPr>
                <w:sz w:val="20"/>
              </w:rPr>
            </w:pPr>
            <w:r w:rsidRPr="004A0929">
              <w:rPr>
                <w:sz w:val="20"/>
              </w:rPr>
              <w:t>Production</w:t>
            </w:r>
          </w:p>
        </w:tc>
        <w:tc>
          <w:tcPr>
            <w:tcW w:w="3848" w:type="pct"/>
            <w:noWrap/>
          </w:tcPr>
          <w:p w14:paraId="6EC4AEBD" w14:textId="0B039683" w:rsidR="001F1B05" w:rsidRPr="00B553A6" w:rsidRDefault="001F1B05" w:rsidP="001F1B05">
            <w:pPr>
              <w:cnfStyle w:val="000000100000" w:firstRow="0" w:lastRow="0" w:firstColumn="0" w:lastColumn="0" w:oddVBand="0" w:evenVBand="0" w:oddHBand="1" w:evenHBand="0" w:firstRowFirstColumn="0" w:firstRowLastColumn="0" w:lastRowFirstColumn="0" w:lastRowLastColumn="0"/>
              <w:rPr>
                <w:sz w:val="20"/>
              </w:rPr>
            </w:pPr>
            <w:r>
              <w:rPr>
                <w:sz w:val="20"/>
              </w:rPr>
              <w:t>En</w:t>
            </w:r>
            <w:r w:rsidRPr="004A0929">
              <w:rPr>
                <w:sz w:val="20"/>
              </w:rPr>
              <w:t>vironment to host collaboration, office automation, and line</w:t>
            </w:r>
            <w:r>
              <w:rPr>
                <w:sz w:val="20"/>
              </w:rPr>
              <w:t>-</w:t>
            </w:r>
            <w:r w:rsidRPr="004A0929">
              <w:rPr>
                <w:sz w:val="20"/>
              </w:rPr>
              <w:t>of</w:t>
            </w:r>
            <w:r>
              <w:rPr>
                <w:sz w:val="20"/>
              </w:rPr>
              <w:t>-</w:t>
            </w:r>
            <w:r w:rsidRPr="004A0929">
              <w:rPr>
                <w:sz w:val="20"/>
              </w:rPr>
              <w:t>business applications</w:t>
            </w:r>
          </w:p>
        </w:tc>
      </w:tr>
      <w:tr w:rsidR="001F1B05" w:rsidRPr="00B553A6" w14:paraId="16E23C9E" w14:textId="77777777" w:rsidTr="00FC1F60">
        <w:trPr>
          <w:trHeight w:val="300"/>
        </w:trPr>
        <w:tc>
          <w:tcPr>
            <w:cnfStyle w:val="001000000000" w:firstRow="0" w:lastRow="0" w:firstColumn="1" w:lastColumn="0" w:oddVBand="0" w:evenVBand="0" w:oddHBand="0" w:evenHBand="0" w:firstRowFirstColumn="0" w:firstRowLastColumn="0" w:lastRowFirstColumn="0" w:lastRowLastColumn="0"/>
            <w:tcW w:w="1152" w:type="pct"/>
            <w:noWrap/>
          </w:tcPr>
          <w:p w14:paraId="163A4655" w14:textId="785420D6" w:rsidR="001F1B05" w:rsidRPr="00B553A6" w:rsidRDefault="001F1B05" w:rsidP="001F1B05">
            <w:pPr>
              <w:rPr>
                <w:sz w:val="20"/>
              </w:rPr>
            </w:pPr>
            <w:r w:rsidRPr="004A0929">
              <w:rPr>
                <w:sz w:val="20"/>
              </w:rPr>
              <w:t>Extranet</w:t>
            </w:r>
          </w:p>
        </w:tc>
        <w:tc>
          <w:tcPr>
            <w:tcW w:w="3848" w:type="pct"/>
            <w:noWrap/>
          </w:tcPr>
          <w:p w14:paraId="6DC41839" w14:textId="1ECC5938" w:rsidR="001F1B05" w:rsidRPr="00B553A6" w:rsidRDefault="001F1B05" w:rsidP="001F1B05">
            <w:pPr>
              <w:cnfStyle w:val="000000000000" w:firstRow="0" w:lastRow="0" w:firstColumn="0" w:lastColumn="0" w:oddVBand="0" w:evenVBand="0" w:oddHBand="0" w:evenHBand="0" w:firstRowFirstColumn="0" w:firstRowLastColumn="0" w:lastRowFirstColumn="0" w:lastRowLastColumn="0"/>
              <w:rPr>
                <w:sz w:val="20"/>
              </w:rPr>
            </w:pPr>
            <w:r>
              <w:rPr>
                <w:sz w:val="20"/>
              </w:rPr>
              <w:t xml:space="preserve">Environment </w:t>
            </w:r>
            <w:r w:rsidRPr="004A0929">
              <w:rPr>
                <w:sz w:val="20"/>
              </w:rPr>
              <w:t xml:space="preserve">to host applications interacting directly with </w:t>
            </w:r>
            <w:r>
              <w:rPr>
                <w:sz w:val="20"/>
              </w:rPr>
              <w:t>Internet</w:t>
            </w:r>
            <w:r w:rsidRPr="004A0929">
              <w:rPr>
                <w:sz w:val="20"/>
              </w:rPr>
              <w:t xml:space="preserve"> endpoints</w:t>
            </w:r>
          </w:p>
        </w:tc>
      </w:tr>
      <w:tr w:rsidR="001F1B05" w:rsidRPr="00B553A6" w14:paraId="208FCD1C" w14:textId="77777777" w:rsidTr="00FC1F6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52" w:type="pct"/>
            <w:noWrap/>
          </w:tcPr>
          <w:p w14:paraId="003C4142" w14:textId="0AECF1D9" w:rsidR="001F1B05" w:rsidRPr="00B553A6" w:rsidRDefault="001F1B05" w:rsidP="001F1B05">
            <w:pPr>
              <w:rPr>
                <w:sz w:val="20"/>
              </w:rPr>
            </w:pPr>
            <w:r w:rsidRPr="004A0929">
              <w:rPr>
                <w:sz w:val="20"/>
              </w:rPr>
              <w:t>Non-production</w:t>
            </w:r>
          </w:p>
        </w:tc>
        <w:tc>
          <w:tcPr>
            <w:tcW w:w="3848" w:type="pct"/>
            <w:noWrap/>
          </w:tcPr>
          <w:p w14:paraId="581E6183" w14:textId="000EAD6C" w:rsidR="001F1B05" w:rsidRPr="00B553A6" w:rsidRDefault="001F1B05" w:rsidP="001F1B05">
            <w:pPr>
              <w:cnfStyle w:val="000000100000" w:firstRow="0" w:lastRow="0" w:firstColumn="0" w:lastColumn="0" w:oddVBand="0" w:evenVBand="0" w:oddHBand="1" w:evenHBand="0" w:firstRowFirstColumn="0" w:firstRowLastColumn="0" w:lastRowFirstColumn="0" w:lastRowLastColumn="0"/>
              <w:rPr>
                <w:sz w:val="20"/>
              </w:rPr>
            </w:pPr>
            <w:r>
              <w:rPr>
                <w:sz w:val="20"/>
              </w:rPr>
              <w:t>L</w:t>
            </w:r>
            <w:r w:rsidRPr="004A0929">
              <w:rPr>
                <w:sz w:val="20"/>
              </w:rPr>
              <w:t>ab environment for development and validation testing</w:t>
            </w:r>
          </w:p>
        </w:tc>
      </w:tr>
      <w:tr w:rsidR="001F1B05" w:rsidRPr="00B553A6" w14:paraId="64DE9D17" w14:textId="77777777" w:rsidTr="00FC1F60">
        <w:trPr>
          <w:trHeight w:val="300"/>
        </w:trPr>
        <w:tc>
          <w:tcPr>
            <w:cnfStyle w:val="001000000000" w:firstRow="0" w:lastRow="0" w:firstColumn="1" w:lastColumn="0" w:oddVBand="0" w:evenVBand="0" w:oddHBand="0" w:evenHBand="0" w:firstRowFirstColumn="0" w:firstRowLastColumn="0" w:lastRowFirstColumn="0" w:lastRowLastColumn="0"/>
            <w:tcW w:w="1152" w:type="pct"/>
            <w:noWrap/>
          </w:tcPr>
          <w:p w14:paraId="47BC81F0" w14:textId="305D3EB8" w:rsidR="001F1B05" w:rsidRPr="00B553A6" w:rsidRDefault="001F1B05" w:rsidP="001F1B05">
            <w:pPr>
              <w:rPr>
                <w:sz w:val="20"/>
              </w:rPr>
            </w:pPr>
            <w:r w:rsidRPr="004A0929">
              <w:rPr>
                <w:sz w:val="20"/>
              </w:rPr>
              <w:t xml:space="preserve">Fabric </w:t>
            </w:r>
            <w:r>
              <w:rPr>
                <w:sz w:val="20"/>
              </w:rPr>
              <w:t>e</w:t>
            </w:r>
            <w:r w:rsidRPr="004A0929">
              <w:rPr>
                <w:sz w:val="20"/>
              </w:rPr>
              <w:t>nvironment</w:t>
            </w:r>
          </w:p>
        </w:tc>
        <w:tc>
          <w:tcPr>
            <w:tcW w:w="3848" w:type="pct"/>
            <w:noWrap/>
          </w:tcPr>
          <w:p w14:paraId="43065458" w14:textId="0659491C" w:rsidR="001F1B05" w:rsidRPr="004A0929" w:rsidRDefault="001F1B05" w:rsidP="001F1B05">
            <w:pPr>
              <w:tabs>
                <w:tab w:val="left" w:pos="720"/>
              </w:tabs>
              <w:cnfStyle w:val="000000000000" w:firstRow="0" w:lastRow="0" w:firstColumn="0" w:lastColumn="0" w:oddVBand="0" w:evenVBand="0" w:oddHBand="0" w:evenHBand="0" w:firstRowFirstColumn="0" w:firstRowLastColumn="0" w:lastRowFirstColumn="0" w:lastRowLastColumn="0"/>
              <w:rPr>
                <w:sz w:val="20"/>
              </w:rPr>
            </w:pPr>
            <w:r>
              <w:rPr>
                <w:sz w:val="20"/>
              </w:rPr>
              <w:t>Environment f</w:t>
            </w:r>
            <w:r w:rsidRPr="004A0929">
              <w:rPr>
                <w:sz w:val="20"/>
              </w:rPr>
              <w:t>or private clouds and out</w:t>
            </w:r>
            <w:r>
              <w:rPr>
                <w:sz w:val="20"/>
              </w:rPr>
              <w:t>-</w:t>
            </w:r>
            <w:r w:rsidRPr="004A0929">
              <w:rPr>
                <w:sz w:val="20"/>
              </w:rPr>
              <w:t>of</w:t>
            </w:r>
            <w:r>
              <w:rPr>
                <w:sz w:val="20"/>
              </w:rPr>
              <w:t>-</w:t>
            </w:r>
            <w:r w:rsidRPr="004A0929">
              <w:rPr>
                <w:sz w:val="20"/>
              </w:rPr>
              <w:t>band infrastructure management</w:t>
            </w:r>
          </w:p>
        </w:tc>
      </w:tr>
      <w:tr w:rsidR="001F1B05" w:rsidRPr="00B553A6" w14:paraId="1E6AF2DA" w14:textId="77777777" w:rsidTr="00FC1F6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52" w:type="pct"/>
            <w:noWrap/>
          </w:tcPr>
          <w:p w14:paraId="7A999209" w14:textId="50A50FB5" w:rsidR="001F1B05" w:rsidRPr="00B553A6" w:rsidRDefault="001F1B05" w:rsidP="001F1B05">
            <w:pPr>
              <w:rPr>
                <w:sz w:val="20"/>
              </w:rPr>
            </w:pPr>
            <w:r w:rsidRPr="004A0929">
              <w:rPr>
                <w:sz w:val="20"/>
              </w:rPr>
              <w:t xml:space="preserve">Legacy </w:t>
            </w:r>
            <w:r>
              <w:rPr>
                <w:sz w:val="20"/>
              </w:rPr>
              <w:t>i</w:t>
            </w:r>
            <w:r w:rsidRPr="004A0929">
              <w:rPr>
                <w:sz w:val="20"/>
              </w:rPr>
              <w:t>solation</w:t>
            </w:r>
          </w:p>
        </w:tc>
        <w:tc>
          <w:tcPr>
            <w:tcW w:w="3848" w:type="pct"/>
            <w:noWrap/>
          </w:tcPr>
          <w:p w14:paraId="70844C2B" w14:textId="48D75789" w:rsidR="001F1B05" w:rsidRPr="00B553A6" w:rsidRDefault="001F1B05" w:rsidP="001F1B05">
            <w:pPr>
              <w:cnfStyle w:val="000000100000" w:firstRow="0" w:lastRow="0" w:firstColumn="0" w:lastColumn="0" w:oddVBand="0" w:evenVBand="0" w:oddHBand="1" w:evenHBand="0" w:firstRowFirstColumn="0" w:firstRowLastColumn="0" w:lastRowFirstColumn="0" w:lastRowLastColumn="0"/>
              <w:rPr>
                <w:sz w:val="20"/>
              </w:rPr>
            </w:pPr>
            <w:r>
              <w:rPr>
                <w:sz w:val="20"/>
              </w:rPr>
              <w:t xml:space="preserve">Environment </w:t>
            </w:r>
            <w:r w:rsidRPr="004A0929">
              <w:rPr>
                <w:sz w:val="20"/>
              </w:rPr>
              <w:t>for assets that cannot be secured or updated</w:t>
            </w:r>
            <w:r>
              <w:rPr>
                <w:sz w:val="20"/>
              </w:rPr>
              <w:t>,</w:t>
            </w:r>
            <w:r w:rsidRPr="004A0929">
              <w:rPr>
                <w:sz w:val="20"/>
              </w:rPr>
              <w:t xml:space="preserve"> such as mission</w:t>
            </w:r>
            <w:r>
              <w:rPr>
                <w:sz w:val="20"/>
              </w:rPr>
              <w:t>-</w:t>
            </w:r>
            <w:r w:rsidRPr="004A0929">
              <w:rPr>
                <w:sz w:val="20"/>
              </w:rPr>
              <w:t>critical computers running Windows XP, Windows</w:t>
            </w:r>
            <w:r>
              <w:rPr>
                <w:sz w:val="20"/>
              </w:rPr>
              <w:t> 2</w:t>
            </w:r>
            <w:r w:rsidRPr="004A0929">
              <w:rPr>
                <w:sz w:val="20"/>
              </w:rPr>
              <w:t>003, and earlier operating systems</w:t>
            </w:r>
          </w:p>
        </w:tc>
      </w:tr>
      <w:tr w:rsidR="001F1B05" w:rsidRPr="00B553A6" w14:paraId="4DF52AE8" w14:textId="77777777" w:rsidTr="00FC1F60">
        <w:trPr>
          <w:trHeight w:val="300"/>
        </w:trPr>
        <w:tc>
          <w:tcPr>
            <w:cnfStyle w:val="001000000000" w:firstRow="0" w:lastRow="0" w:firstColumn="1" w:lastColumn="0" w:oddVBand="0" w:evenVBand="0" w:oddHBand="0" w:evenHBand="0" w:firstRowFirstColumn="0" w:firstRowLastColumn="0" w:lastRowFirstColumn="0" w:lastRowLastColumn="0"/>
            <w:tcW w:w="1152" w:type="pct"/>
            <w:noWrap/>
          </w:tcPr>
          <w:p w14:paraId="2D853BD8" w14:textId="7DB13898" w:rsidR="001F1B05" w:rsidRPr="00B553A6" w:rsidRDefault="001F1B05" w:rsidP="001F1B05">
            <w:pPr>
              <w:rPr>
                <w:sz w:val="20"/>
              </w:rPr>
            </w:pPr>
            <w:r w:rsidRPr="00FC1F60">
              <w:rPr>
                <w:sz w:val="20"/>
              </w:rPr>
              <w:t>High</w:t>
            </w:r>
            <w:r>
              <w:rPr>
                <w:sz w:val="20"/>
              </w:rPr>
              <w:t>-v</w:t>
            </w:r>
            <w:r w:rsidRPr="00FC1F60">
              <w:rPr>
                <w:sz w:val="20"/>
              </w:rPr>
              <w:t xml:space="preserve">alue </w:t>
            </w:r>
            <w:r>
              <w:rPr>
                <w:sz w:val="20"/>
              </w:rPr>
              <w:t>a</w:t>
            </w:r>
            <w:r w:rsidRPr="00FC1F60">
              <w:rPr>
                <w:sz w:val="20"/>
              </w:rPr>
              <w:t>sset</w:t>
            </w:r>
          </w:p>
        </w:tc>
        <w:tc>
          <w:tcPr>
            <w:tcW w:w="3848" w:type="pct"/>
            <w:noWrap/>
          </w:tcPr>
          <w:p w14:paraId="6B5599AB" w14:textId="0D18383D" w:rsidR="001F1B05" w:rsidRPr="00B553A6" w:rsidRDefault="001F1B05" w:rsidP="001F1B05">
            <w:pPr>
              <w:cnfStyle w:val="000000000000" w:firstRow="0" w:lastRow="0" w:firstColumn="0" w:lastColumn="0" w:oddVBand="0" w:evenVBand="0" w:oddHBand="0" w:evenHBand="0" w:firstRowFirstColumn="0" w:firstRowLastColumn="0" w:lastRowFirstColumn="0" w:lastRowLastColumn="0"/>
              <w:rPr>
                <w:sz w:val="20"/>
              </w:rPr>
            </w:pPr>
            <w:r w:rsidRPr="00FC1F60">
              <w:rPr>
                <w:sz w:val="20"/>
              </w:rPr>
              <w:t xml:space="preserve">Environment such as </w:t>
            </w:r>
            <w:r>
              <w:rPr>
                <w:sz w:val="20"/>
              </w:rPr>
              <w:t>s</w:t>
            </w:r>
            <w:r w:rsidRPr="00FC1F60">
              <w:rPr>
                <w:sz w:val="20"/>
              </w:rPr>
              <w:t>pecialized research</w:t>
            </w:r>
            <w:r>
              <w:rPr>
                <w:sz w:val="20"/>
              </w:rPr>
              <w:t xml:space="preserve"> and </w:t>
            </w:r>
            <w:r w:rsidRPr="00FC1F60">
              <w:rPr>
                <w:sz w:val="20"/>
              </w:rPr>
              <w:t>collaboration systems</w:t>
            </w:r>
            <w:r>
              <w:rPr>
                <w:sz w:val="20"/>
              </w:rPr>
              <w:t xml:space="preserve"> or V</w:t>
            </w:r>
            <w:r w:rsidRPr="00FC1F60">
              <w:rPr>
                <w:sz w:val="20"/>
              </w:rPr>
              <w:t xml:space="preserve">ery </w:t>
            </w:r>
            <w:r>
              <w:rPr>
                <w:sz w:val="20"/>
              </w:rPr>
              <w:t>I</w:t>
            </w:r>
            <w:r w:rsidRPr="00FC1F60">
              <w:rPr>
                <w:sz w:val="20"/>
              </w:rPr>
              <w:t xml:space="preserve">mportant </w:t>
            </w:r>
            <w:r>
              <w:rPr>
                <w:sz w:val="20"/>
              </w:rPr>
              <w:t>P</w:t>
            </w:r>
            <w:r w:rsidRPr="00FC1F60">
              <w:rPr>
                <w:sz w:val="20"/>
              </w:rPr>
              <w:t xml:space="preserve">ersonnel (VIP) </w:t>
            </w:r>
            <w:r>
              <w:rPr>
                <w:sz w:val="20"/>
              </w:rPr>
              <w:t>or</w:t>
            </w:r>
            <w:r w:rsidRPr="00FC1F60">
              <w:rPr>
                <w:sz w:val="20"/>
              </w:rPr>
              <w:t xml:space="preserve"> </w:t>
            </w:r>
            <w:r>
              <w:rPr>
                <w:sz w:val="20"/>
              </w:rPr>
              <w:t>e</w:t>
            </w:r>
            <w:r w:rsidRPr="00FC1F60">
              <w:rPr>
                <w:sz w:val="20"/>
              </w:rPr>
              <w:t>xecutive collaboration</w:t>
            </w:r>
          </w:p>
        </w:tc>
      </w:tr>
      <w:tr w:rsidR="001F1B05" w:rsidRPr="00B553A6" w14:paraId="634524C1" w14:textId="77777777" w:rsidTr="00FC1F6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52" w:type="pct"/>
            <w:noWrap/>
          </w:tcPr>
          <w:p w14:paraId="7707198E" w14:textId="2D272734" w:rsidR="001F1B05" w:rsidRPr="00B553A6" w:rsidRDefault="001F1B05" w:rsidP="001F1B05">
            <w:pPr>
              <w:rPr>
                <w:sz w:val="20"/>
              </w:rPr>
            </w:pPr>
            <w:r w:rsidRPr="00FC1F60">
              <w:rPr>
                <w:sz w:val="20"/>
              </w:rPr>
              <w:t xml:space="preserve">Regulated </w:t>
            </w:r>
            <w:r>
              <w:rPr>
                <w:sz w:val="20"/>
              </w:rPr>
              <w:t>f</w:t>
            </w:r>
            <w:r w:rsidRPr="00FC1F60">
              <w:rPr>
                <w:sz w:val="20"/>
              </w:rPr>
              <w:t>unctions</w:t>
            </w:r>
          </w:p>
        </w:tc>
        <w:tc>
          <w:tcPr>
            <w:tcW w:w="3848" w:type="pct"/>
            <w:noWrap/>
          </w:tcPr>
          <w:p w14:paraId="666C494E" w14:textId="242051F2" w:rsidR="001F1B05" w:rsidRPr="00B553A6" w:rsidRDefault="001F1B05" w:rsidP="001F1B05">
            <w:pPr>
              <w:cnfStyle w:val="000000100000" w:firstRow="0" w:lastRow="0" w:firstColumn="0" w:lastColumn="0" w:oddVBand="0" w:evenVBand="0" w:oddHBand="1" w:evenHBand="0" w:firstRowFirstColumn="0" w:firstRowLastColumn="0" w:lastRowFirstColumn="0" w:lastRowLastColumn="0"/>
              <w:rPr>
                <w:sz w:val="20"/>
              </w:rPr>
            </w:pPr>
            <w:r>
              <w:rPr>
                <w:sz w:val="20"/>
              </w:rPr>
              <w:t>Environment for</w:t>
            </w:r>
            <w:r w:rsidRPr="00FC1F60">
              <w:rPr>
                <w:sz w:val="20"/>
              </w:rPr>
              <w:t xml:space="preserve"> </w:t>
            </w:r>
            <w:r>
              <w:rPr>
                <w:sz w:val="20"/>
              </w:rPr>
              <w:t>f</w:t>
            </w:r>
            <w:r w:rsidRPr="00FC1F60">
              <w:rPr>
                <w:sz w:val="20"/>
              </w:rPr>
              <w:t>inancial (</w:t>
            </w:r>
            <w:r>
              <w:rPr>
                <w:sz w:val="20"/>
              </w:rPr>
              <w:t xml:space="preserve">such as </w:t>
            </w:r>
            <w:r w:rsidRPr="00FC1F60">
              <w:rPr>
                <w:sz w:val="20"/>
              </w:rPr>
              <w:t>PCI</w:t>
            </w:r>
            <w:r>
              <w:rPr>
                <w:sz w:val="20"/>
              </w:rPr>
              <w:t xml:space="preserve"> or </w:t>
            </w:r>
            <w:r w:rsidRPr="00FC1F60">
              <w:rPr>
                <w:sz w:val="20"/>
              </w:rPr>
              <w:t xml:space="preserve">ATM) or </w:t>
            </w:r>
            <w:r>
              <w:rPr>
                <w:sz w:val="20"/>
              </w:rPr>
              <w:t>m</w:t>
            </w:r>
            <w:r w:rsidRPr="00FC1F60">
              <w:rPr>
                <w:sz w:val="20"/>
              </w:rPr>
              <w:t>edical/</w:t>
            </w:r>
            <w:r>
              <w:rPr>
                <w:sz w:val="20"/>
              </w:rPr>
              <w:t>h</w:t>
            </w:r>
            <w:r w:rsidRPr="00FC1F60">
              <w:rPr>
                <w:sz w:val="20"/>
              </w:rPr>
              <w:t>ealth/</w:t>
            </w:r>
            <w:r>
              <w:rPr>
                <w:sz w:val="20"/>
              </w:rPr>
              <w:t>p</w:t>
            </w:r>
            <w:r w:rsidRPr="00FC1F60">
              <w:rPr>
                <w:sz w:val="20"/>
              </w:rPr>
              <w:t>rivacy (</w:t>
            </w:r>
            <w:r>
              <w:rPr>
                <w:sz w:val="20"/>
              </w:rPr>
              <w:t xml:space="preserve">such as </w:t>
            </w:r>
            <w:r w:rsidRPr="00FC1F60">
              <w:rPr>
                <w:sz w:val="20"/>
              </w:rPr>
              <w:t>HIPAA) assets</w:t>
            </w:r>
          </w:p>
        </w:tc>
      </w:tr>
      <w:tr w:rsidR="001F1B05" w:rsidRPr="00B553A6" w14:paraId="52B8928E" w14:textId="77777777" w:rsidTr="00FC1F60">
        <w:trPr>
          <w:trHeight w:val="300"/>
        </w:trPr>
        <w:tc>
          <w:tcPr>
            <w:cnfStyle w:val="001000000000" w:firstRow="0" w:lastRow="0" w:firstColumn="1" w:lastColumn="0" w:oddVBand="0" w:evenVBand="0" w:oddHBand="0" w:evenHBand="0" w:firstRowFirstColumn="0" w:firstRowLastColumn="0" w:lastRowFirstColumn="0" w:lastRowLastColumn="0"/>
            <w:tcW w:w="1152" w:type="pct"/>
            <w:noWrap/>
          </w:tcPr>
          <w:p w14:paraId="4B3D757D" w14:textId="58D9A8CC" w:rsidR="001F1B05" w:rsidRPr="00B553A6" w:rsidRDefault="001F1B05" w:rsidP="001F1B05">
            <w:pPr>
              <w:rPr>
                <w:sz w:val="20"/>
              </w:rPr>
            </w:pPr>
            <w:r w:rsidRPr="00FC1F60">
              <w:rPr>
                <w:sz w:val="20"/>
              </w:rPr>
              <w:t xml:space="preserve">Physical </w:t>
            </w:r>
            <w:r>
              <w:rPr>
                <w:sz w:val="20"/>
              </w:rPr>
              <w:t>c</w:t>
            </w:r>
            <w:r w:rsidRPr="00FC1F60">
              <w:rPr>
                <w:sz w:val="20"/>
              </w:rPr>
              <w:t xml:space="preserve">ontrol and </w:t>
            </w:r>
            <w:r>
              <w:rPr>
                <w:sz w:val="20"/>
              </w:rPr>
              <w:t>m</w:t>
            </w:r>
            <w:r w:rsidRPr="00FC1F60">
              <w:rPr>
                <w:sz w:val="20"/>
              </w:rPr>
              <w:t xml:space="preserve">achinery </w:t>
            </w:r>
            <w:r>
              <w:rPr>
                <w:sz w:val="20"/>
              </w:rPr>
              <w:t>z</w:t>
            </w:r>
            <w:r w:rsidRPr="00FC1F60">
              <w:rPr>
                <w:sz w:val="20"/>
              </w:rPr>
              <w:t>ones</w:t>
            </w:r>
          </w:p>
        </w:tc>
        <w:tc>
          <w:tcPr>
            <w:tcW w:w="3848" w:type="pct"/>
            <w:noWrap/>
          </w:tcPr>
          <w:p w14:paraId="569FFCF8" w14:textId="6B5CC3BC" w:rsidR="001F1B05" w:rsidRPr="00B553A6" w:rsidRDefault="001F1B05" w:rsidP="001F1B05">
            <w:pPr>
              <w:cnfStyle w:val="000000000000" w:firstRow="0" w:lastRow="0" w:firstColumn="0" w:lastColumn="0" w:oddVBand="0" w:evenVBand="0" w:oddHBand="0" w:evenHBand="0" w:firstRowFirstColumn="0" w:firstRowLastColumn="0" w:lastRowFirstColumn="0" w:lastRowLastColumn="0"/>
              <w:rPr>
                <w:sz w:val="20"/>
              </w:rPr>
            </w:pPr>
            <w:r>
              <w:rPr>
                <w:sz w:val="20"/>
              </w:rPr>
              <w:t>Environment for</w:t>
            </w:r>
            <w:r w:rsidRPr="00FC1F60">
              <w:rPr>
                <w:sz w:val="20"/>
              </w:rPr>
              <w:t xml:space="preserve"> </w:t>
            </w:r>
            <w:r>
              <w:rPr>
                <w:sz w:val="20"/>
              </w:rPr>
              <w:t>P</w:t>
            </w:r>
            <w:r w:rsidRPr="00FC1F60">
              <w:rPr>
                <w:sz w:val="20"/>
              </w:rPr>
              <w:t xml:space="preserve">rocess </w:t>
            </w:r>
            <w:r>
              <w:rPr>
                <w:sz w:val="20"/>
              </w:rPr>
              <w:t>C</w:t>
            </w:r>
            <w:r w:rsidRPr="00FC1F60">
              <w:rPr>
                <w:sz w:val="20"/>
              </w:rPr>
              <w:t xml:space="preserve">ontrol </w:t>
            </w:r>
            <w:r>
              <w:rPr>
                <w:sz w:val="20"/>
              </w:rPr>
              <w:t>N</w:t>
            </w:r>
            <w:r w:rsidRPr="00FC1F60">
              <w:rPr>
                <w:sz w:val="20"/>
              </w:rPr>
              <w:t xml:space="preserve">etworks (PCN) or </w:t>
            </w:r>
            <w:r>
              <w:rPr>
                <w:sz w:val="20"/>
              </w:rPr>
              <w:t>S</w:t>
            </w:r>
            <w:r w:rsidRPr="00FC1F60">
              <w:rPr>
                <w:sz w:val="20"/>
              </w:rPr>
              <w:t xml:space="preserve">upervisory </w:t>
            </w:r>
            <w:r>
              <w:rPr>
                <w:sz w:val="20"/>
              </w:rPr>
              <w:t>C</w:t>
            </w:r>
            <w:r w:rsidRPr="00FC1F60">
              <w:rPr>
                <w:sz w:val="20"/>
              </w:rPr>
              <w:t xml:space="preserve">ontrol </w:t>
            </w:r>
            <w:r>
              <w:rPr>
                <w:sz w:val="20"/>
              </w:rPr>
              <w:t>A</w:t>
            </w:r>
            <w:r w:rsidRPr="00FC1F60">
              <w:rPr>
                <w:sz w:val="20"/>
              </w:rPr>
              <w:t xml:space="preserve">nd </w:t>
            </w:r>
            <w:r>
              <w:rPr>
                <w:sz w:val="20"/>
              </w:rPr>
              <w:t>D</w:t>
            </w:r>
            <w:r w:rsidRPr="00FC1F60">
              <w:rPr>
                <w:sz w:val="20"/>
              </w:rPr>
              <w:t xml:space="preserve">ata </w:t>
            </w:r>
            <w:r>
              <w:rPr>
                <w:sz w:val="20"/>
              </w:rPr>
              <w:t>A</w:t>
            </w:r>
            <w:r w:rsidRPr="00FC1F60">
              <w:rPr>
                <w:sz w:val="20"/>
              </w:rPr>
              <w:t>cquisition (SCADA) devices</w:t>
            </w:r>
          </w:p>
        </w:tc>
      </w:tr>
    </w:tbl>
    <w:p w14:paraId="6AB850BE" w14:textId="77777777" w:rsidR="004A0929" w:rsidRDefault="004A0929" w:rsidP="001D6C2B">
      <w:pPr>
        <w:pStyle w:val="ListParagraph"/>
        <w:tabs>
          <w:tab w:val="left" w:pos="720"/>
        </w:tabs>
        <w:ind w:left="0"/>
      </w:pPr>
    </w:p>
    <w:p w14:paraId="595EB92D" w14:textId="77777777" w:rsidR="001F1B05" w:rsidRPr="00B26131" w:rsidRDefault="001F1B05" w:rsidP="001F1B05">
      <w:pPr>
        <w:pStyle w:val="Heading4"/>
        <w:rPr>
          <w:rFonts w:ascii="Segoe UI" w:eastAsiaTheme="minorHAnsi" w:hAnsi="Segoe UI" w:cs="Segoe UI"/>
          <w:b/>
          <w:i w:val="0"/>
          <w:color w:val="auto"/>
          <w:sz w:val="22"/>
        </w:rPr>
      </w:pPr>
      <w:r w:rsidRPr="00B26131">
        <w:rPr>
          <w:rFonts w:ascii="Segoe UI" w:eastAsiaTheme="minorHAnsi" w:hAnsi="Segoe UI" w:cs="Segoe UI"/>
          <w:b/>
          <w:i w:val="0"/>
          <w:color w:val="auto"/>
          <w:sz w:val="22"/>
        </w:rPr>
        <w:t>Isolation Between Security Zones: Security, Complexity, and Cost Tradeoffs</w:t>
      </w:r>
    </w:p>
    <w:p w14:paraId="6A926DC8" w14:textId="77777777" w:rsidR="00114D77" w:rsidRDefault="00114D77" w:rsidP="00114D77">
      <w:r>
        <w:t xml:space="preserve">Containment between security zones needs to isolate groups of assets that have significantly different business and mission values, risk exposure, and/or trust level. The containment measures must be aggressive, and exception management should always include deep analysis and consideration of risks and mitigations. </w:t>
      </w:r>
    </w:p>
    <w:p w14:paraId="0E8A8ECA" w14:textId="77777777" w:rsidR="00114D77" w:rsidRDefault="00114D77" w:rsidP="00114D77">
      <w:r>
        <w:t xml:space="preserve">Every exception and mitigation should consider controls at </w:t>
      </w:r>
      <w:r>
        <w:rPr>
          <w:i/>
        </w:rPr>
        <w:t>all</w:t>
      </w:r>
      <w:r>
        <w:t xml:space="preserve"> layers (such as identity, application, data, and network)—not only network ports and protocols. The design of containment between zones should be holistic and include controls at all layers to provide:</w:t>
      </w:r>
    </w:p>
    <w:p w14:paraId="74949BE5" w14:textId="77777777" w:rsidR="00114D77" w:rsidRDefault="00114D77" w:rsidP="005729D2">
      <w:pPr>
        <w:pStyle w:val="ListParagraph"/>
        <w:numPr>
          <w:ilvl w:val="0"/>
          <w:numId w:val="236"/>
        </w:numPr>
      </w:pPr>
      <w:r>
        <w:t xml:space="preserve">Preventive controls </w:t>
      </w:r>
    </w:p>
    <w:p w14:paraId="042D8918" w14:textId="77777777" w:rsidR="00114D77" w:rsidRDefault="00114D77" w:rsidP="005729D2">
      <w:pPr>
        <w:pStyle w:val="ListParagraph"/>
        <w:numPr>
          <w:ilvl w:val="0"/>
          <w:numId w:val="236"/>
        </w:numPr>
      </w:pPr>
      <w:r>
        <w:t>Alerts for known bad and anomalous events</w:t>
      </w:r>
    </w:p>
    <w:p w14:paraId="61F11C95" w14:textId="77777777" w:rsidR="00114D77" w:rsidRDefault="00114D77" w:rsidP="005729D2">
      <w:pPr>
        <w:pStyle w:val="ListParagraph"/>
        <w:numPr>
          <w:ilvl w:val="0"/>
          <w:numId w:val="236"/>
        </w:numPr>
      </w:pPr>
      <w:r>
        <w:t xml:space="preserve">Logging to enable investigations and pattern matching </w:t>
      </w:r>
    </w:p>
    <w:p w14:paraId="79E2692D" w14:textId="77777777" w:rsidR="00114D77" w:rsidRDefault="00114D77" w:rsidP="005729D2">
      <w:pPr>
        <w:pStyle w:val="ListParagraph"/>
        <w:numPr>
          <w:ilvl w:val="0"/>
          <w:numId w:val="236"/>
        </w:numPr>
      </w:pPr>
      <w:r>
        <w:t>Response processes (and recovery plans) that reflect the context and priority of the security/trust boundary</w:t>
      </w:r>
    </w:p>
    <w:p w14:paraId="7DE9D682" w14:textId="77777777" w:rsidR="00114D77" w:rsidRDefault="00114D77" w:rsidP="00114D77">
      <w:r>
        <w:t xml:space="preserve">In its simplest form, a security zone is a fully separate IT environment with an independent infrastructure of services, including identity, management, and monitoring. Although the same personnel may manage multiple zones, each shared service that interacts with multiple zones creates a technical means of control and a security risk. </w:t>
      </w:r>
    </w:p>
    <w:p w14:paraId="0ED7407A" w14:textId="77777777" w:rsidR="00114D77" w:rsidRDefault="00114D77" w:rsidP="00114D77">
      <w:pPr>
        <w:rPr>
          <w:rFonts w:eastAsiaTheme="minorHAnsi"/>
        </w:rPr>
      </w:pPr>
      <w:r>
        <w:t>Isolation between zones provides excellent security benefits by making it very difficult for an attacker to cross the trust boundary. However,</w:t>
      </w:r>
      <w:r w:rsidRPr="005352AA">
        <w:rPr>
          <w:rFonts w:eastAsiaTheme="minorHAnsi"/>
        </w:rPr>
        <w:t xml:space="preserve"> </w:t>
      </w:r>
      <w:r>
        <w:rPr>
          <w:rFonts w:eastAsiaTheme="minorHAnsi"/>
        </w:rPr>
        <w:t>each additional zone also adds overhead for implementation, maintenance, and daily operation that may create cost and security assurance degradation</w:t>
      </w:r>
      <w:r w:rsidRPr="005352AA">
        <w:rPr>
          <w:rFonts w:eastAsiaTheme="minorHAnsi"/>
        </w:rPr>
        <w:t xml:space="preserve">. </w:t>
      </w:r>
    </w:p>
    <w:p w14:paraId="72D1368C" w14:textId="77777777" w:rsidR="00114D77" w:rsidRDefault="00114D77" w:rsidP="00114D77">
      <w:pPr>
        <w:rPr>
          <w:rFonts w:eastAsiaTheme="minorHAnsi"/>
        </w:rPr>
      </w:pPr>
      <w:r w:rsidRPr="005352AA">
        <w:rPr>
          <w:rFonts w:eastAsiaTheme="minorHAnsi"/>
        </w:rPr>
        <w:t xml:space="preserve">Each security zone has to be </w:t>
      </w:r>
      <w:r>
        <w:rPr>
          <w:rFonts w:eastAsiaTheme="minorHAnsi"/>
        </w:rPr>
        <w:t xml:space="preserve">defended and monitored, so each additional zone brings equipment and configuration to </w:t>
      </w:r>
      <w:r w:rsidRPr="005352AA">
        <w:rPr>
          <w:rFonts w:eastAsiaTheme="minorHAnsi"/>
        </w:rPr>
        <w:t>maintain</w:t>
      </w:r>
      <w:r>
        <w:rPr>
          <w:rFonts w:eastAsiaTheme="minorHAnsi"/>
        </w:rPr>
        <w:t>, each zone may add additional steps to perform regular tasks across the boundary, and each adds complexity that is hard to sustain because personnel inevitably changes</w:t>
      </w:r>
      <w:r w:rsidRPr="005352AA">
        <w:rPr>
          <w:rFonts w:eastAsiaTheme="minorHAnsi"/>
        </w:rPr>
        <w:t xml:space="preserve">. </w:t>
      </w:r>
      <w:r>
        <w:rPr>
          <w:rFonts w:eastAsiaTheme="minorHAnsi"/>
        </w:rPr>
        <w:t>Additionally, complexity creates challenges with m</w:t>
      </w:r>
      <w:r w:rsidRPr="005352AA">
        <w:rPr>
          <w:rFonts w:eastAsiaTheme="minorHAnsi"/>
        </w:rPr>
        <w:t>easuring compliance</w:t>
      </w:r>
      <w:r>
        <w:rPr>
          <w:rFonts w:eastAsiaTheme="minorHAnsi"/>
        </w:rPr>
        <w:t xml:space="preserve">, making it difficult to be confident that the security assurances are working as expected. </w:t>
      </w:r>
    </w:p>
    <w:p w14:paraId="5F269BD5" w14:textId="77777777" w:rsidR="00114D77" w:rsidRDefault="00114D77" w:rsidP="00114D77">
      <w:pPr>
        <w:rPr>
          <w:rFonts w:eastAsiaTheme="minorHAnsi"/>
        </w:rPr>
      </w:pPr>
      <w:r w:rsidRPr="005352AA">
        <w:rPr>
          <w:rFonts w:eastAsiaTheme="minorHAnsi"/>
        </w:rPr>
        <w:t xml:space="preserve">For </w:t>
      </w:r>
      <w:r>
        <w:rPr>
          <w:rFonts w:eastAsiaTheme="minorHAnsi"/>
        </w:rPr>
        <w:t xml:space="preserve">these </w:t>
      </w:r>
      <w:r w:rsidRPr="005352AA">
        <w:rPr>
          <w:rFonts w:eastAsiaTheme="minorHAnsi"/>
        </w:rPr>
        <w:t>reason</w:t>
      </w:r>
      <w:r>
        <w:rPr>
          <w:rFonts w:eastAsiaTheme="minorHAnsi"/>
        </w:rPr>
        <w:t>s</w:t>
      </w:r>
      <w:r w:rsidRPr="005352AA">
        <w:rPr>
          <w:rFonts w:eastAsiaTheme="minorHAnsi"/>
        </w:rPr>
        <w:t xml:space="preserve">, it is important to </w:t>
      </w:r>
      <w:r>
        <w:rPr>
          <w:rFonts w:eastAsiaTheme="minorHAnsi"/>
        </w:rPr>
        <w:t xml:space="preserve">choose the simplest strategy that meets your business and mission protection goals. This </w:t>
      </w:r>
      <w:r w:rsidRPr="005352AA">
        <w:rPr>
          <w:rFonts w:eastAsiaTheme="minorHAnsi"/>
        </w:rPr>
        <w:t xml:space="preserve">security </w:t>
      </w:r>
      <w:r>
        <w:rPr>
          <w:rFonts w:eastAsiaTheme="minorHAnsi"/>
        </w:rPr>
        <w:t xml:space="preserve">zones and containment strategy should ultimately span </w:t>
      </w:r>
      <w:r w:rsidRPr="005352AA">
        <w:rPr>
          <w:rFonts w:eastAsiaTheme="minorHAnsi"/>
        </w:rPr>
        <w:t xml:space="preserve">across </w:t>
      </w:r>
      <w:r>
        <w:rPr>
          <w:rFonts w:eastAsiaTheme="minorHAnsi"/>
        </w:rPr>
        <w:t>the on-premises and the Azure-hosted assets</w:t>
      </w:r>
      <w:r w:rsidRPr="005352AA">
        <w:rPr>
          <w:rFonts w:eastAsiaTheme="minorHAnsi"/>
        </w:rPr>
        <w:t>.</w:t>
      </w:r>
      <w:r>
        <w:rPr>
          <w:rFonts w:eastAsiaTheme="minorHAnsi"/>
        </w:rPr>
        <w:t xml:space="preserve"> </w:t>
      </w:r>
    </w:p>
    <w:p w14:paraId="673527B2" w14:textId="77777777" w:rsidR="00114D77" w:rsidRDefault="00114D77" w:rsidP="00114D77">
      <w:pPr>
        <w:rPr>
          <w:rFonts w:eastAsiaTheme="minorHAnsi"/>
        </w:rPr>
      </w:pPr>
      <w:r>
        <w:rPr>
          <w:rFonts w:eastAsiaTheme="minorHAnsi"/>
        </w:rPr>
        <w:t xml:space="preserve">Most environments will require at least two security zones, </w:t>
      </w:r>
      <w:r>
        <w:rPr>
          <w:rFonts w:eastAsiaTheme="minorHAnsi"/>
          <w:i/>
        </w:rPr>
        <w:t>production</w:t>
      </w:r>
      <w:r>
        <w:rPr>
          <w:rFonts w:eastAsiaTheme="minorHAnsi"/>
        </w:rPr>
        <w:t xml:space="preserve"> and </w:t>
      </w:r>
      <w:r>
        <w:rPr>
          <w:rFonts w:eastAsiaTheme="minorHAnsi"/>
          <w:i/>
        </w:rPr>
        <w:t>extranet</w:t>
      </w:r>
      <w:r w:rsidRPr="000A71C1">
        <w:rPr>
          <w:rFonts w:eastAsiaTheme="minorHAnsi"/>
        </w:rPr>
        <w:t xml:space="preserve">, </w:t>
      </w:r>
      <w:r w:rsidRPr="004878A4">
        <w:rPr>
          <w:rFonts w:eastAsiaTheme="minorHAnsi"/>
        </w:rPr>
        <w:t>to host assets for internal corporate and public</w:t>
      </w:r>
      <w:r>
        <w:rPr>
          <w:rFonts w:eastAsiaTheme="minorHAnsi"/>
        </w:rPr>
        <w:t>-</w:t>
      </w:r>
      <w:r w:rsidRPr="004878A4">
        <w:rPr>
          <w:rFonts w:eastAsiaTheme="minorHAnsi"/>
        </w:rPr>
        <w:t>facing assets</w:t>
      </w:r>
      <w:r>
        <w:rPr>
          <w:rFonts w:eastAsiaTheme="minorHAnsi"/>
        </w:rPr>
        <w:t>, as illustrated in the following image</w:t>
      </w:r>
      <w:r w:rsidRPr="004878A4">
        <w:rPr>
          <w:rFonts w:eastAsiaTheme="minorHAnsi"/>
        </w:rPr>
        <w:t>. Any</w:t>
      </w:r>
      <w:r>
        <w:rPr>
          <w:rFonts w:eastAsiaTheme="minorHAnsi"/>
        </w:rPr>
        <w:t xml:space="preserve"> additional security zone considerations should take into account the increased cost-over-time to maintain the environment. As the zone count and complexity increases, the cost and likelihood of security degradation over time also increases. </w:t>
      </w:r>
    </w:p>
    <w:p w14:paraId="52C45104" w14:textId="7D40D863" w:rsidR="004878A4" w:rsidRDefault="00114D77" w:rsidP="00114D77">
      <w:pPr>
        <w:rPr>
          <w:rFonts w:eastAsiaTheme="minorHAnsi"/>
        </w:rPr>
      </w:pPr>
      <w:r>
        <w:rPr>
          <w:rFonts w:eastAsiaTheme="minorHAnsi"/>
        </w:rPr>
        <w:t>You should only create a security zone if you are prepared to maintain and defend that trust boundary with the same rigor that you would expect a software vendor to create a security update for a vulnerability—working constantly until the risk is mitigated</w:t>
      </w:r>
      <w:r w:rsidR="00796141">
        <w:rPr>
          <w:rFonts w:eastAsiaTheme="minorHAnsi"/>
        </w:rPr>
        <w:t xml:space="preserve">. </w:t>
      </w:r>
      <w:r w:rsidR="004878A4">
        <w:rPr>
          <w:rFonts w:eastAsiaTheme="minorHAnsi"/>
        </w:rPr>
        <w:t xml:space="preserve"> </w:t>
      </w:r>
    </w:p>
    <w:p w14:paraId="54F1AE58" w14:textId="411C7573" w:rsidR="00775DB1" w:rsidRDefault="001D6C2B" w:rsidP="00775DB1">
      <w:pPr>
        <w:keepNext/>
        <w:spacing w:after="0" w:line="240" w:lineRule="auto"/>
      </w:pPr>
      <w:r>
        <w:rPr>
          <w:rFonts w:ascii="Calibri" w:eastAsia="Times New Roman" w:hAnsi="Calibri" w:cs="Times New Roman"/>
          <w:noProof/>
          <w:color w:val="000000"/>
        </w:rPr>
        <w:drawing>
          <wp:inline distT="0" distB="0" distL="0" distR="0" wp14:anchorId="0B639E7F" wp14:editId="0721D2FD">
            <wp:extent cx="5947407" cy="191011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3" cstate="print">
                      <a:extLst>
                        <a:ext uri="{28A0092B-C50C-407E-A947-70E740481C1C}">
                          <a14:useLocalDpi xmlns:a14="http://schemas.microsoft.com/office/drawing/2010/main" val="0"/>
                        </a:ext>
                      </a:extLst>
                    </a:blip>
                    <a:stretch>
                      <a:fillRect/>
                    </a:stretch>
                  </pic:blipFill>
                  <pic:spPr bwMode="auto">
                    <a:xfrm>
                      <a:off x="0" y="0"/>
                      <a:ext cx="5947407" cy="1910115"/>
                    </a:xfrm>
                    <a:prstGeom prst="rect">
                      <a:avLst/>
                    </a:prstGeom>
                    <a:noFill/>
                    <a:ln>
                      <a:noFill/>
                    </a:ln>
                  </pic:spPr>
                </pic:pic>
              </a:graphicData>
            </a:graphic>
          </wp:inline>
        </w:drawing>
      </w:r>
    </w:p>
    <w:p w14:paraId="33D981D8" w14:textId="6C3DA990" w:rsidR="001D6C2B" w:rsidRPr="007A39CB" w:rsidRDefault="00775DB1" w:rsidP="007A39CB">
      <w:pPr>
        <w:pStyle w:val="Caption"/>
      </w:pPr>
      <w:r>
        <w:t xml:space="preserve">Figure </w:t>
      </w:r>
      <w:r w:rsidR="00872E47">
        <w:fldChar w:fldCharType="begin"/>
      </w:r>
      <w:r w:rsidR="00872E47">
        <w:instrText xml:space="preserve"> SEQ Figure \* ARABIC </w:instrText>
      </w:r>
      <w:r w:rsidR="00872E47">
        <w:fldChar w:fldCharType="separate"/>
      </w:r>
      <w:r w:rsidR="00F15092">
        <w:rPr>
          <w:noProof/>
        </w:rPr>
        <w:t>5</w:t>
      </w:r>
      <w:r w:rsidR="00872E47">
        <w:rPr>
          <w:noProof/>
        </w:rPr>
        <w:fldChar w:fldCharType="end"/>
      </w:r>
      <w:r>
        <w:t xml:space="preserve"> - Examples of Security Zone</w:t>
      </w:r>
    </w:p>
    <w:p w14:paraId="3D4713AB" w14:textId="77777777" w:rsidR="00114D77" w:rsidRPr="00CE4AE1" w:rsidRDefault="00114D77" w:rsidP="00114D77">
      <w:pPr>
        <w:spacing w:before="0" w:after="0" w:line="240" w:lineRule="auto"/>
      </w:pPr>
      <w:r>
        <w:t xml:space="preserve">Some asset types almost always warrant a dedicated separate zone. If the organization owns and manages the following types of assets, </w:t>
      </w:r>
      <w:r w:rsidRPr="00CE4AE1">
        <w:t xml:space="preserve">it is strongly recommended to create a separate security zone to separate </w:t>
      </w:r>
      <w:r>
        <w:t xml:space="preserve">them </w:t>
      </w:r>
      <w:r w:rsidRPr="00CE4AE1">
        <w:t xml:space="preserve">from </w:t>
      </w:r>
      <w:r>
        <w:t xml:space="preserve">a </w:t>
      </w:r>
      <w:r w:rsidRPr="00CE4AE1">
        <w:t xml:space="preserve">risk of attack from a compromised production or </w:t>
      </w:r>
      <w:r>
        <w:t xml:space="preserve">an </w:t>
      </w:r>
      <w:r w:rsidRPr="00CE4AE1">
        <w:t>extranet asset.</w:t>
      </w:r>
    </w:p>
    <w:p w14:paraId="6ACA5C2A" w14:textId="77777777" w:rsidR="00114D77" w:rsidRPr="00CE4AE1" w:rsidRDefault="00114D77" w:rsidP="005729D2">
      <w:pPr>
        <w:pStyle w:val="ListParagraph"/>
        <w:numPr>
          <w:ilvl w:val="0"/>
          <w:numId w:val="234"/>
        </w:numPr>
        <w:spacing w:after="0" w:line="240" w:lineRule="auto"/>
        <w:rPr>
          <w:rFonts w:eastAsia="Times New Roman" w:cs="Segoe UI"/>
          <w:color w:val="000000"/>
        </w:rPr>
      </w:pPr>
      <w:r w:rsidRPr="00CE4AE1">
        <w:rPr>
          <w:rFonts w:eastAsia="Times New Roman" w:cs="Segoe UI"/>
          <w:color w:val="000000"/>
        </w:rPr>
        <w:t>Payment Card Industry (PCI)</w:t>
      </w:r>
      <w:r>
        <w:rPr>
          <w:rFonts w:eastAsia="Times New Roman" w:cs="Segoe UI"/>
          <w:color w:val="000000"/>
        </w:rPr>
        <w:t>-</w:t>
      </w:r>
      <w:r w:rsidRPr="00CE4AE1">
        <w:rPr>
          <w:rFonts w:eastAsia="Times New Roman" w:cs="Segoe UI"/>
          <w:color w:val="000000"/>
        </w:rPr>
        <w:t>regulated data and assets such automated teller machines (ATMs) and Point of Sale (POS) devices</w:t>
      </w:r>
    </w:p>
    <w:p w14:paraId="703E9750" w14:textId="77777777" w:rsidR="00114D77" w:rsidRPr="00CE4AE1" w:rsidRDefault="00114D77" w:rsidP="005729D2">
      <w:pPr>
        <w:pStyle w:val="ListParagraph"/>
        <w:numPr>
          <w:ilvl w:val="0"/>
          <w:numId w:val="234"/>
        </w:numPr>
        <w:spacing w:after="0" w:line="240" w:lineRule="auto"/>
        <w:rPr>
          <w:rFonts w:eastAsia="Times New Roman" w:cs="Segoe UI"/>
          <w:color w:val="000000"/>
        </w:rPr>
      </w:pPr>
      <w:r w:rsidRPr="00CE4AE1">
        <w:rPr>
          <w:rFonts w:eastAsia="Times New Roman" w:cs="Segoe UI"/>
          <w:color w:val="000000"/>
        </w:rPr>
        <w:t xml:space="preserve">Process Control Networks (PCN) or Supervisory Control and Data Acquisition (SCADA) devices that provide control of physical devices </w:t>
      </w:r>
      <w:r>
        <w:rPr>
          <w:rFonts w:eastAsia="Times New Roman" w:cs="Segoe UI"/>
          <w:color w:val="000000"/>
        </w:rPr>
        <w:t>that</w:t>
      </w:r>
      <w:r w:rsidRPr="00CE4AE1">
        <w:rPr>
          <w:rFonts w:eastAsia="Times New Roman" w:cs="Segoe UI"/>
          <w:color w:val="000000"/>
        </w:rPr>
        <w:t xml:space="preserve"> could cause loss of life or major financial damage </w:t>
      </w:r>
      <w:r>
        <w:rPr>
          <w:rFonts w:eastAsia="Times New Roman" w:cs="Segoe UI"/>
          <w:color w:val="000000"/>
        </w:rPr>
        <w:t>(</w:t>
      </w:r>
      <w:r w:rsidRPr="00CE4AE1">
        <w:rPr>
          <w:rFonts w:eastAsia="Times New Roman" w:cs="Segoe UI"/>
          <w:color w:val="000000"/>
        </w:rPr>
        <w:t xml:space="preserve">such as manufacturing equipment, power generation and distribution, </w:t>
      </w:r>
      <w:r>
        <w:rPr>
          <w:rFonts w:eastAsia="Times New Roman" w:cs="Segoe UI"/>
          <w:color w:val="000000"/>
        </w:rPr>
        <w:t xml:space="preserve">and </w:t>
      </w:r>
      <w:r w:rsidRPr="00CE4AE1">
        <w:rPr>
          <w:rFonts w:eastAsia="Times New Roman" w:cs="Segoe UI"/>
          <w:color w:val="000000"/>
        </w:rPr>
        <w:t>medical devices</w:t>
      </w:r>
      <w:r>
        <w:rPr>
          <w:rFonts w:eastAsia="Times New Roman" w:cs="Segoe UI"/>
          <w:color w:val="000000"/>
        </w:rPr>
        <w:t>)</w:t>
      </w:r>
      <w:r w:rsidRPr="00CE4AE1">
        <w:rPr>
          <w:rFonts w:eastAsia="Times New Roman" w:cs="Segoe UI"/>
          <w:color w:val="000000"/>
        </w:rPr>
        <w:t xml:space="preserve">. </w:t>
      </w:r>
    </w:p>
    <w:p w14:paraId="2C3FD32C" w14:textId="77777777" w:rsidR="00114D77" w:rsidRDefault="00114D77" w:rsidP="00114D77">
      <w:pPr>
        <w:spacing w:before="0" w:after="0" w:line="240" w:lineRule="auto"/>
      </w:pPr>
    </w:p>
    <w:p w14:paraId="2795033F" w14:textId="77777777" w:rsidR="00114D77" w:rsidRPr="00CE4AE1" w:rsidRDefault="00114D77" w:rsidP="00114D77">
      <w:pPr>
        <w:spacing w:before="0" w:after="0" w:line="240" w:lineRule="auto"/>
      </w:pPr>
      <w:r w:rsidRPr="00A443CD">
        <w:t>Some asset types may warrant a separate security zone depending on the asset valuation, trust levels, and/or risk exposure profiles</w:t>
      </w:r>
      <w:r>
        <w:t xml:space="preserve"> in the context of the organization. </w:t>
      </w:r>
      <w:r w:rsidRPr="00CE4AE1">
        <w:t xml:space="preserve">These are some examples of when organizations </w:t>
      </w:r>
      <w:r>
        <w:t>might</w:t>
      </w:r>
      <w:r w:rsidRPr="00CE4AE1">
        <w:t xml:space="preserve"> choose or circumstances </w:t>
      </w:r>
      <w:r>
        <w:t>might dictate</w:t>
      </w:r>
      <w:r w:rsidRPr="00CE4AE1">
        <w:t xml:space="preserve"> a different strategy for the same type of asset:</w:t>
      </w:r>
    </w:p>
    <w:p w14:paraId="1AAA4D93" w14:textId="77777777" w:rsidR="00114D77" w:rsidRPr="00CE4AE1" w:rsidRDefault="00114D77" w:rsidP="005729D2">
      <w:pPr>
        <w:pStyle w:val="ListParagraph"/>
        <w:numPr>
          <w:ilvl w:val="0"/>
          <w:numId w:val="233"/>
        </w:numPr>
        <w:spacing w:after="0" w:line="240" w:lineRule="auto"/>
        <w:rPr>
          <w:rFonts w:eastAsia="Times New Roman" w:cs="Segoe UI"/>
          <w:color w:val="000000"/>
        </w:rPr>
      </w:pPr>
      <w:r w:rsidRPr="00CE4AE1">
        <w:rPr>
          <w:rFonts w:eastAsia="Times New Roman" w:cs="Segoe UI"/>
          <w:b/>
          <w:color w:val="000000"/>
        </w:rPr>
        <w:t>Non-</w:t>
      </w:r>
      <w:r>
        <w:rPr>
          <w:rFonts w:eastAsia="Times New Roman" w:cs="Segoe UI"/>
          <w:b/>
          <w:color w:val="000000"/>
        </w:rPr>
        <w:t>p</w:t>
      </w:r>
      <w:r w:rsidRPr="00CE4AE1">
        <w:rPr>
          <w:rFonts w:eastAsia="Times New Roman" w:cs="Segoe UI"/>
          <w:b/>
          <w:color w:val="000000"/>
        </w:rPr>
        <w:t>roduction</w:t>
      </w:r>
      <w:r w:rsidRPr="00CE4AE1">
        <w:rPr>
          <w:rFonts w:eastAsia="Times New Roman" w:cs="Segoe UI"/>
          <w:color w:val="000000"/>
        </w:rPr>
        <w:t xml:space="preserve"> </w:t>
      </w:r>
      <w:r w:rsidRPr="00180A10">
        <w:rPr>
          <w:rFonts w:eastAsia="Times New Roman" w:cs="Segoe UI"/>
          <w:b/>
          <w:color w:val="000000"/>
        </w:rPr>
        <w:t>lab environment for development and testing</w:t>
      </w:r>
      <w:r>
        <w:rPr>
          <w:rFonts w:eastAsia="Times New Roman" w:cs="Segoe UI"/>
          <w:color w:val="000000"/>
        </w:rPr>
        <w:t>:</w:t>
      </w:r>
      <w:r w:rsidRPr="00CE4AE1">
        <w:rPr>
          <w:rFonts w:eastAsia="Times New Roman" w:cs="Segoe UI"/>
          <w:color w:val="000000"/>
        </w:rPr>
        <w:t xml:space="preserve"> </w:t>
      </w:r>
      <w:r>
        <w:rPr>
          <w:rFonts w:eastAsia="Times New Roman" w:cs="Segoe UI"/>
          <w:color w:val="000000"/>
        </w:rPr>
        <w:t xml:space="preserve">This lab </w:t>
      </w:r>
      <w:r w:rsidRPr="00CE4AE1">
        <w:rPr>
          <w:rFonts w:eastAsia="Times New Roman" w:cs="Segoe UI"/>
          <w:color w:val="000000"/>
        </w:rPr>
        <w:t xml:space="preserve">can be placed within a production zone or in a separate zone, depending on the relative value and trust of the assets. </w:t>
      </w:r>
      <w:r>
        <w:rPr>
          <w:rFonts w:eastAsia="Times New Roman" w:cs="Segoe UI"/>
          <w:color w:val="000000"/>
        </w:rPr>
        <w:t xml:space="preserve">For example, a </w:t>
      </w:r>
      <w:r w:rsidRPr="00CE4AE1">
        <w:rPr>
          <w:rFonts w:eastAsia="Times New Roman" w:cs="Segoe UI"/>
          <w:color w:val="000000"/>
        </w:rPr>
        <w:t xml:space="preserve">financial institution </w:t>
      </w:r>
      <w:r>
        <w:rPr>
          <w:rFonts w:eastAsia="Times New Roman" w:cs="Segoe UI"/>
          <w:color w:val="000000"/>
        </w:rPr>
        <w:t xml:space="preserve">may </w:t>
      </w:r>
      <w:r w:rsidRPr="00CE4AE1">
        <w:rPr>
          <w:rFonts w:eastAsia="Times New Roman" w:cs="Segoe UI"/>
          <w:color w:val="000000"/>
        </w:rPr>
        <w:t>have a website that handles sensitive financial information.</w:t>
      </w:r>
      <w:r>
        <w:rPr>
          <w:rFonts w:eastAsia="Times New Roman" w:cs="Segoe UI"/>
          <w:color w:val="000000"/>
        </w:rPr>
        <w:t xml:space="preserve"> Consider the following scenarios when making your decisions:</w:t>
      </w:r>
    </w:p>
    <w:p w14:paraId="126EB109" w14:textId="77777777" w:rsidR="00114D77" w:rsidRPr="00CE4AE1" w:rsidRDefault="00114D77" w:rsidP="005729D2">
      <w:pPr>
        <w:pStyle w:val="ListParagraph"/>
        <w:numPr>
          <w:ilvl w:val="1"/>
          <w:numId w:val="233"/>
        </w:numPr>
        <w:spacing w:after="0" w:line="240" w:lineRule="auto"/>
        <w:rPr>
          <w:rFonts w:eastAsia="Times New Roman" w:cs="Segoe UI"/>
          <w:color w:val="000000"/>
        </w:rPr>
      </w:pPr>
      <w:r w:rsidRPr="00180A10">
        <w:rPr>
          <w:rFonts w:eastAsia="Times New Roman" w:cs="Segoe UI"/>
          <w:b/>
          <w:color w:val="000000"/>
        </w:rPr>
        <w:t>Separate Zone</w:t>
      </w:r>
      <w:r>
        <w:rPr>
          <w:rFonts w:eastAsia="Times New Roman" w:cs="Segoe UI"/>
          <w:color w:val="000000"/>
        </w:rPr>
        <w:t xml:space="preserve"> </w:t>
      </w:r>
      <w:r w:rsidRPr="00CE4AE1">
        <w:rPr>
          <w:rFonts w:eastAsia="Times New Roman" w:cs="Segoe UI"/>
          <w:i/>
          <w:color w:val="000000"/>
        </w:rPr>
        <w:t xml:space="preserve">– </w:t>
      </w:r>
      <w:r w:rsidRPr="00CE4AE1">
        <w:rPr>
          <w:rFonts w:eastAsia="Times New Roman" w:cs="Segoe UI"/>
          <w:color w:val="000000"/>
        </w:rPr>
        <w:t>The organization has chosen to outsource general website development, but maintain a regimented security validation and quality control process in</w:t>
      </w:r>
      <w:r>
        <w:rPr>
          <w:rFonts w:eastAsia="Times New Roman" w:cs="Segoe UI"/>
          <w:color w:val="000000"/>
        </w:rPr>
        <w:t>-</w:t>
      </w:r>
      <w:r w:rsidRPr="00CE4AE1">
        <w:rPr>
          <w:rFonts w:eastAsia="Times New Roman" w:cs="Segoe UI"/>
          <w:color w:val="000000"/>
        </w:rPr>
        <w:t xml:space="preserve">house. The developers are not trusted or authorized to access live sites, so this organization would likely place these development and validation assets on a dedicated zone </w:t>
      </w:r>
      <w:r>
        <w:rPr>
          <w:rFonts w:eastAsia="Times New Roman" w:cs="Segoe UI"/>
          <w:color w:val="000000"/>
        </w:rPr>
        <w:t xml:space="preserve">that is </w:t>
      </w:r>
      <w:r w:rsidRPr="00CE4AE1">
        <w:rPr>
          <w:rFonts w:eastAsia="Times New Roman" w:cs="Segoe UI"/>
          <w:color w:val="000000"/>
        </w:rPr>
        <w:t xml:space="preserve">separate from production or extranet. </w:t>
      </w:r>
    </w:p>
    <w:p w14:paraId="3B8A5553" w14:textId="77777777" w:rsidR="00114D77" w:rsidRPr="00CE4AE1" w:rsidRDefault="00114D77" w:rsidP="005729D2">
      <w:pPr>
        <w:pStyle w:val="ListParagraph"/>
        <w:numPr>
          <w:ilvl w:val="1"/>
          <w:numId w:val="233"/>
        </w:numPr>
        <w:spacing w:after="0" w:line="240" w:lineRule="auto"/>
        <w:rPr>
          <w:rFonts w:eastAsia="Times New Roman" w:cs="Segoe UI"/>
          <w:color w:val="000000"/>
        </w:rPr>
      </w:pPr>
      <w:r w:rsidRPr="00180A10">
        <w:rPr>
          <w:rFonts w:eastAsia="Times New Roman" w:cs="Segoe UI"/>
          <w:b/>
          <w:color w:val="000000"/>
        </w:rPr>
        <w:t>Within Existing Zone</w:t>
      </w:r>
      <w:r w:rsidRPr="00CE4AE1">
        <w:rPr>
          <w:rFonts w:eastAsia="Times New Roman" w:cs="Segoe UI"/>
          <w:i/>
          <w:color w:val="000000"/>
        </w:rPr>
        <w:t xml:space="preserve"> – </w:t>
      </w:r>
      <w:r w:rsidRPr="00CE4AE1">
        <w:rPr>
          <w:rFonts w:eastAsia="Times New Roman" w:cs="Segoe UI"/>
          <w:color w:val="000000"/>
        </w:rPr>
        <w:t xml:space="preserve">The organization has found that development of analysis components must use highly regulated customer data to be effective. In this case, the security controls and trust of the employees doing </w:t>
      </w:r>
      <w:r>
        <w:rPr>
          <w:rFonts w:eastAsia="Times New Roman" w:cs="Segoe UI"/>
          <w:color w:val="000000"/>
        </w:rPr>
        <w:t xml:space="preserve">the </w:t>
      </w:r>
      <w:r w:rsidRPr="00CE4AE1">
        <w:rPr>
          <w:rFonts w:eastAsia="Times New Roman" w:cs="Segoe UI"/>
          <w:color w:val="000000"/>
        </w:rPr>
        <w:t>development are similar to the production instance</w:t>
      </w:r>
      <w:r>
        <w:rPr>
          <w:rFonts w:eastAsia="Times New Roman" w:cs="Segoe UI"/>
          <w:color w:val="000000"/>
        </w:rPr>
        <w:t>,</w:t>
      </w:r>
      <w:r w:rsidRPr="00CE4AE1">
        <w:rPr>
          <w:rFonts w:eastAsia="Times New Roman" w:cs="Segoe UI"/>
          <w:color w:val="000000"/>
        </w:rPr>
        <w:t xml:space="preserve"> and the components can reside within the same security zone, protected by administrative controls. </w:t>
      </w:r>
    </w:p>
    <w:p w14:paraId="44F82DB0" w14:textId="77777777" w:rsidR="00114D77" w:rsidRPr="00180A10" w:rsidRDefault="00114D77" w:rsidP="005729D2">
      <w:pPr>
        <w:pStyle w:val="ListParagraph"/>
        <w:numPr>
          <w:ilvl w:val="0"/>
          <w:numId w:val="233"/>
        </w:numPr>
        <w:spacing w:after="0" w:line="240" w:lineRule="auto"/>
        <w:rPr>
          <w:rFonts w:eastAsia="Times New Roman" w:cs="Segoe UI"/>
          <w:color w:val="000000"/>
        </w:rPr>
      </w:pPr>
      <w:r w:rsidRPr="00CE4AE1">
        <w:rPr>
          <w:rFonts w:eastAsia="Times New Roman" w:cs="Segoe UI"/>
          <w:b/>
          <w:color w:val="000000"/>
        </w:rPr>
        <w:t>Personal Health Information</w:t>
      </w:r>
      <w:r w:rsidRPr="00A13329">
        <w:rPr>
          <w:rFonts w:eastAsia="Times New Roman" w:cs="Segoe UI"/>
          <w:color w:val="000000"/>
        </w:rPr>
        <w:t>:</w:t>
      </w:r>
      <w:r w:rsidRPr="00CE4AE1">
        <w:rPr>
          <w:rFonts w:eastAsia="Times New Roman" w:cs="Segoe UI"/>
          <w:b/>
          <w:color w:val="000000"/>
        </w:rPr>
        <w:t xml:space="preserve"> </w:t>
      </w:r>
      <w:r w:rsidRPr="00A13329">
        <w:rPr>
          <w:rFonts w:eastAsia="Times New Roman" w:cs="Segoe UI"/>
          <w:color w:val="000000"/>
        </w:rPr>
        <w:t>This i</w:t>
      </w:r>
      <w:r w:rsidRPr="00CE4AE1">
        <w:rPr>
          <w:rFonts w:eastAsia="Times New Roman" w:cs="Segoe UI"/>
          <w:color w:val="000000"/>
        </w:rPr>
        <w:t xml:space="preserve">s highly regulated information that must be protected at a high level to maintain privacy. </w:t>
      </w:r>
      <w:r>
        <w:rPr>
          <w:rFonts w:eastAsia="Times New Roman" w:cs="Segoe UI"/>
          <w:color w:val="000000"/>
        </w:rPr>
        <w:t>Consider the following scenarios when making your decisions:</w:t>
      </w:r>
    </w:p>
    <w:p w14:paraId="7FFD9F49" w14:textId="77777777" w:rsidR="00114D77" w:rsidRPr="00CE4AE1" w:rsidRDefault="00114D77" w:rsidP="005729D2">
      <w:pPr>
        <w:pStyle w:val="ListParagraph"/>
        <w:numPr>
          <w:ilvl w:val="1"/>
          <w:numId w:val="233"/>
        </w:numPr>
        <w:spacing w:after="0" w:line="240" w:lineRule="auto"/>
        <w:rPr>
          <w:rFonts w:eastAsia="Times New Roman" w:cs="Segoe UI"/>
          <w:color w:val="000000"/>
        </w:rPr>
      </w:pPr>
      <w:r w:rsidRPr="00180A10">
        <w:rPr>
          <w:rFonts w:eastAsia="Times New Roman" w:cs="Segoe UI"/>
          <w:b/>
          <w:color w:val="000000"/>
        </w:rPr>
        <w:t>Separate Zone</w:t>
      </w:r>
      <w:r w:rsidRPr="00CE4AE1">
        <w:rPr>
          <w:rFonts w:eastAsia="Times New Roman" w:cs="Segoe UI"/>
          <w:i/>
          <w:color w:val="000000"/>
        </w:rPr>
        <w:t xml:space="preserve"> – </w:t>
      </w:r>
      <w:r w:rsidRPr="00CE4AE1">
        <w:rPr>
          <w:rFonts w:eastAsia="Times New Roman" w:cs="Segoe UI"/>
          <w:color w:val="000000"/>
        </w:rPr>
        <w:t>A retail organization maintains a pharmacy with fixed function terminals in each store to handle th</w:t>
      </w:r>
      <w:r>
        <w:rPr>
          <w:rFonts w:eastAsia="Times New Roman" w:cs="Segoe UI"/>
          <w:color w:val="000000"/>
        </w:rPr>
        <w:t>e pharmacy</w:t>
      </w:r>
      <w:r w:rsidRPr="00CE4AE1">
        <w:rPr>
          <w:rFonts w:eastAsia="Times New Roman" w:cs="Segoe UI"/>
          <w:color w:val="000000"/>
        </w:rPr>
        <w:t xml:space="preserve"> data. There is no need for non-pharmacy employees to access the PHI data</w:t>
      </w:r>
      <w:r>
        <w:rPr>
          <w:rFonts w:eastAsia="Times New Roman" w:cs="Segoe UI"/>
          <w:color w:val="000000"/>
        </w:rPr>
        <w:t>—they need access</w:t>
      </w:r>
      <w:r w:rsidRPr="00CE4AE1">
        <w:rPr>
          <w:rFonts w:eastAsia="Times New Roman" w:cs="Segoe UI"/>
          <w:color w:val="000000"/>
        </w:rPr>
        <w:t xml:space="preserve"> only </w:t>
      </w:r>
      <w:r>
        <w:rPr>
          <w:rFonts w:eastAsia="Times New Roman" w:cs="Segoe UI"/>
          <w:color w:val="000000"/>
        </w:rPr>
        <w:t xml:space="preserve">to </w:t>
      </w:r>
      <w:r w:rsidRPr="00CE4AE1">
        <w:rPr>
          <w:rFonts w:eastAsia="Times New Roman" w:cs="Segoe UI"/>
          <w:color w:val="000000"/>
        </w:rPr>
        <w:t>financial and retail reporting</w:t>
      </w:r>
      <w:r>
        <w:rPr>
          <w:rFonts w:eastAsia="Times New Roman" w:cs="Segoe UI"/>
          <w:color w:val="000000"/>
        </w:rPr>
        <w:t xml:space="preserve"> data</w:t>
      </w:r>
      <w:r w:rsidRPr="00CE4AE1">
        <w:rPr>
          <w:rFonts w:eastAsia="Times New Roman" w:cs="Segoe UI"/>
          <w:color w:val="000000"/>
        </w:rPr>
        <w:t xml:space="preserve"> for the business. </w:t>
      </w:r>
      <w:r>
        <w:rPr>
          <w:rFonts w:eastAsia="Times New Roman" w:cs="Segoe UI"/>
          <w:color w:val="000000"/>
        </w:rPr>
        <w:br/>
      </w:r>
      <w:r w:rsidRPr="00CE4AE1">
        <w:rPr>
          <w:rFonts w:eastAsia="Times New Roman" w:cs="Segoe UI"/>
          <w:color w:val="000000"/>
        </w:rPr>
        <w:t xml:space="preserve">This organization </w:t>
      </w:r>
      <w:r>
        <w:rPr>
          <w:rFonts w:eastAsia="Times New Roman" w:cs="Segoe UI"/>
          <w:color w:val="000000"/>
        </w:rPr>
        <w:t xml:space="preserve">creates </w:t>
      </w:r>
      <w:r w:rsidRPr="00CE4AE1">
        <w:rPr>
          <w:rFonts w:eastAsia="Times New Roman" w:cs="Segoe UI"/>
          <w:color w:val="000000"/>
        </w:rPr>
        <w:t>separate</w:t>
      </w:r>
      <w:r>
        <w:rPr>
          <w:rFonts w:eastAsia="Times New Roman" w:cs="Segoe UI"/>
          <w:color w:val="000000"/>
        </w:rPr>
        <w:t>s</w:t>
      </w:r>
      <w:r w:rsidRPr="00CE4AE1">
        <w:rPr>
          <w:rFonts w:eastAsia="Times New Roman" w:cs="Segoe UI"/>
          <w:color w:val="000000"/>
        </w:rPr>
        <w:t xml:space="preserve"> </w:t>
      </w:r>
      <w:r>
        <w:rPr>
          <w:rFonts w:eastAsia="Times New Roman" w:cs="Segoe UI"/>
          <w:color w:val="000000"/>
        </w:rPr>
        <w:t xml:space="preserve">zones for </w:t>
      </w:r>
      <w:r w:rsidRPr="00CE4AE1">
        <w:rPr>
          <w:rFonts w:eastAsia="Times New Roman" w:cs="Segoe UI"/>
          <w:color w:val="000000"/>
        </w:rPr>
        <w:t>these systems. Th</w:t>
      </w:r>
      <w:r>
        <w:rPr>
          <w:rFonts w:eastAsia="Times New Roman" w:cs="Segoe UI"/>
          <w:color w:val="000000"/>
        </w:rPr>
        <w:t>ey might create</w:t>
      </w:r>
      <w:r w:rsidRPr="00CE4AE1">
        <w:rPr>
          <w:rFonts w:eastAsia="Times New Roman" w:cs="Segoe UI"/>
          <w:color w:val="000000"/>
        </w:rPr>
        <w:t xml:space="preserve"> a dedicated zone for the PHI or </w:t>
      </w:r>
      <w:r>
        <w:rPr>
          <w:rFonts w:eastAsia="Times New Roman" w:cs="Segoe UI"/>
          <w:color w:val="000000"/>
        </w:rPr>
        <w:t>this zone</w:t>
      </w:r>
      <w:r w:rsidRPr="00CE4AE1">
        <w:rPr>
          <w:rFonts w:eastAsia="Times New Roman" w:cs="Segoe UI"/>
          <w:color w:val="000000"/>
        </w:rPr>
        <w:t xml:space="preserve"> could be combined with the existing PCI security zone </w:t>
      </w:r>
      <w:r>
        <w:rPr>
          <w:rFonts w:eastAsia="Times New Roman" w:cs="Segoe UI"/>
          <w:color w:val="000000"/>
        </w:rPr>
        <w:t xml:space="preserve">that </w:t>
      </w:r>
      <w:r w:rsidRPr="00CE4AE1">
        <w:rPr>
          <w:rFonts w:eastAsia="Times New Roman" w:cs="Segoe UI"/>
          <w:color w:val="000000"/>
        </w:rPr>
        <w:t>host</w:t>
      </w:r>
      <w:r>
        <w:rPr>
          <w:rFonts w:eastAsia="Times New Roman" w:cs="Segoe UI"/>
          <w:color w:val="000000"/>
        </w:rPr>
        <w:t>s</w:t>
      </w:r>
      <w:r w:rsidRPr="00CE4AE1">
        <w:rPr>
          <w:rFonts w:eastAsia="Times New Roman" w:cs="Segoe UI"/>
          <w:color w:val="000000"/>
        </w:rPr>
        <w:t xml:space="preserve"> the point</w:t>
      </w:r>
      <w:r>
        <w:rPr>
          <w:rFonts w:eastAsia="Times New Roman" w:cs="Segoe UI"/>
          <w:color w:val="000000"/>
        </w:rPr>
        <w:t>-</w:t>
      </w:r>
      <w:r w:rsidRPr="00CE4AE1">
        <w:rPr>
          <w:rFonts w:eastAsia="Times New Roman" w:cs="Segoe UI"/>
          <w:color w:val="000000"/>
        </w:rPr>
        <w:t>of</w:t>
      </w:r>
      <w:r>
        <w:rPr>
          <w:rFonts w:eastAsia="Times New Roman" w:cs="Segoe UI"/>
          <w:color w:val="000000"/>
        </w:rPr>
        <w:t>-</w:t>
      </w:r>
      <w:r w:rsidRPr="00CE4AE1">
        <w:rPr>
          <w:rFonts w:eastAsia="Times New Roman" w:cs="Segoe UI"/>
          <w:color w:val="000000"/>
        </w:rPr>
        <w:t>sale (POS) systems</w:t>
      </w:r>
      <w:r>
        <w:rPr>
          <w:rFonts w:eastAsia="Times New Roman" w:cs="Segoe UI"/>
          <w:color w:val="000000"/>
        </w:rPr>
        <w:t>, which</w:t>
      </w:r>
      <w:r w:rsidRPr="00CE4AE1">
        <w:rPr>
          <w:rFonts w:eastAsia="Times New Roman" w:cs="Segoe UI"/>
          <w:color w:val="000000"/>
        </w:rPr>
        <w:t xml:space="preserve"> is already isolated. </w:t>
      </w:r>
    </w:p>
    <w:p w14:paraId="02D01E90" w14:textId="3FD4B85E" w:rsidR="00C840BA" w:rsidRPr="00CE4AE1" w:rsidRDefault="00114D77" w:rsidP="005729D2">
      <w:pPr>
        <w:pStyle w:val="ListParagraph"/>
        <w:numPr>
          <w:ilvl w:val="1"/>
          <w:numId w:val="233"/>
        </w:numPr>
        <w:spacing w:after="0" w:line="240" w:lineRule="auto"/>
        <w:rPr>
          <w:rFonts w:eastAsia="Times New Roman" w:cs="Segoe UI"/>
          <w:color w:val="000000"/>
        </w:rPr>
      </w:pPr>
      <w:r w:rsidRPr="00180A10">
        <w:rPr>
          <w:rFonts w:eastAsia="Times New Roman" w:cs="Segoe UI"/>
          <w:b/>
          <w:color w:val="000000"/>
        </w:rPr>
        <w:t>Within Existing Zone</w:t>
      </w:r>
      <w:r>
        <w:rPr>
          <w:rFonts w:eastAsia="Times New Roman" w:cs="Segoe UI"/>
          <w:i/>
          <w:color w:val="000000"/>
        </w:rPr>
        <w:t xml:space="preserve"> </w:t>
      </w:r>
      <w:r w:rsidRPr="00CE4AE1">
        <w:rPr>
          <w:rFonts w:eastAsia="Times New Roman" w:cs="Segoe UI"/>
          <w:i/>
          <w:color w:val="000000"/>
        </w:rPr>
        <w:t xml:space="preserve">– </w:t>
      </w:r>
      <w:r w:rsidRPr="00CE4AE1">
        <w:rPr>
          <w:rFonts w:eastAsia="Times New Roman" w:cs="Segoe UI"/>
          <w:color w:val="000000"/>
        </w:rPr>
        <w:t>A health insurance organization must have most employees handle PHI data as part of their work to process claims and provide customer support. In this case, there is very little need or ability to provide a separate zone for PHI data. The organization should focus security efforts within the production zone on maintaining and monitoring the administrative model, particularly roles with access to large amounts of PHI</w:t>
      </w:r>
      <w:r w:rsidR="00CE4AE1" w:rsidRPr="00CE4AE1">
        <w:rPr>
          <w:rFonts w:eastAsia="Times New Roman" w:cs="Segoe UI"/>
          <w:color w:val="000000"/>
        </w:rPr>
        <w:t xml:space="preserve">. </w:t>
      </w:r>
    </w:p>
    <w:p w14:paraId="081FD899" w14:textId="77777777" w:rsidR="00C840BA" w:rsidRDefault="00C840BA" w:rsidP="001D6C2B">
      <w:pPr>
        <w:spacing w:after="0" w:line="240" w:lineRule="auto"/>
        <w:rPr>
          <w:rFonts w:ascii="Calibri" w:eastAsia="Times New Roman" w:hAnsi="Calibri" w:cs="Times New Roman"/>
          <w:color w:val="000000"/>
        </w:rPr>
      </w:pP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114D77" w14:paraId="7D3DE59C" w14:textId="77777777" w:rsidTr="00686798">
        <w:trPr>
          <w:trHeight w:val="423"/>
        </w:trPr>
        <w:tc>
          <w:tcPr>
            <w:tcW w:w="666" w:type="dxa"/>
            <w:hideMark/>
          </w:tcPr>
          <w:p w14:paraId="550D289E" w14:textId="77777777" w:rsidR="00114D77" w:rsidRDefault="00114D77" w:rsidP="00686798">
            <w:pPr>
              <w:spacing w:after="200" w:line="240" w:lineRule="auto"/>
              <w:rPr>
                <w:rFonts w:asciiTheme="minorHAnsi" w:eastAsiaTheme="minorHAnsi" w:hAnsiTheme="minorHAnsi" w:cstheme="minorBidi"/>
                <w:b/>
                <w:bCs/>
                <w:sz w:val="20"/>
                <w:szCs w:val="18"/>
              </w:rPr>
            </w:pPr>
            <w:r>
              <w:rPr>
                <w:rFonts w:ascii="Calibri" w:eastAsia="MS Mincho" w:hAnsi="Calibri"/>
                <w:noProof/>
              </w:rPr>
              <mc:AlternateContent>
                <mc:Choice Requires="wps">
                  <w:drawing>
                    <wp:inline distT="0" distB="0" distL="0" distR="0" wp14:anchorId="75728898" wp14:editId="45EF387D">
                      <wp:extent cx="209550" cy="180975"/>
                      <wp:effectExtent l="19050" t="19050" r="19050" b="9525"/>
                      <wp:docPr id="1252047326" name="Isosceles Triangle 1252047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9550" cy="180975"/>
                              </a:xfrm>
                              <a:prstGeom prst="triangle">
                                <a:avLst>
                                  <a:gd name="adj" fmla="val 50000"/>
                                </a:avLst>
                              </a:prstGeom>
                              <a:solidFill>
                                <a:srgbClr val="FFFF00"/>
                              </a:solidFill>
                              <a:ln w="6350">
                                <a:solidFill>
                                  <a:schemeClr val="accent6">
                                    <a:lumMod val="10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xmlns:w16se="http://schemas.microsoft.com/office/word/2015/wordml/symex" xmlns:cx="http://schemas.microsoft.com/office/drawing/2014/chartex">
                  <w:pict>
                    <v:shape w14:anchorId="2E707BC3" id="Isosceles Triangle 1252047326"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SjoUQIAAKwEAAAOAAAAZHJzL2Uyb0RvYy54bWysVNtu2zAMfR+wfxD0vvjSOE2MOMXQLkOB&#10;bivQ7gMUSba16TZJiZN9fWnZydz1bZgfBFGkjkgeHq9vjkqiA3deGF3hbJZixDU1TOimwt+ftx+W&#10;GPlANCPSaF7hE/f4ZvP+3bqzJc9NayTjDgGI9mVnK9yGYMsk8bTliviZsVyDszZOkQCmaxLmSAfo&#10;SiZ5mi6SzjhmnaHcezi9G5x4E/HrmtPwra49D0hWGHILcXVx3fVrslmTsnHEtoKOaZB/yEIRoeHR&#10;C9QdCQTtnXgDpQR1xps6zKhRialrQXmsAarJ0r+qeWqJ5bEWaI63lzb5/wdLvx4eHRIMuMuLPJ1f&#10;X+ULjDRRwNW9N55yyT16doLoRnI0CYLOddaXAPBkH11fu7cPhv704EheeXrDQwzadV8MA2CyDyZ2&#10;61g71d+EPqBjJOV0IYUfA6JwmKerogDqKLiyZbq6LnrSElKeL1vnw2duFOo3FQ5jrvEBcnjwIfLC&#10;xqII+4FRrSSwfCASFSl8I+AYDNBnyFiVkYJthZTRcM3uVjoEVyu8he9y2U/DpEZdhRdXkPdbiH60&#10;+QWEUMp1WMQ4uVfQoAE86xMb5xPOYYqH83OyUSE9TOzFq9eVCKApKVSFlxOUlhP2SbM48YEIOeyh&#10;WqlHxnqSBlZ3hp2AMGcGwYDAYdMa9xujDsRSYf9rTxzHSN5rmMZVNp/36orGvLjOwXBTz27qIZoC&#10;VIVpcBgNxm0YNLm3TjQtvJXFhmjzEUalFuE8U0NeY7ogiVj8KN9ec1M7Rv35yWxeAAAA//8DAFBL&#10;AwQUAAYACAAAACEAcgIrKdkAAAADAQAADwAAAGRycy9kb3ducmV2LnhtbEyPzU7DMBCE70i8g7VI&#10;XFDr0ACNQpwKoeSIqhYewIk3P8JeR7Hbhrdn4QKXkUazmvm22C3OijPOYfSk4H6dgEBqvRmpV/Dx&#10;Xq8yECFqMtp6QgVfGGBXXl8VOjf+Qgc8H2MvuIRCrhUMMU65lKEd0Omw9hMSZ52fnY5s516aWV+4&#10;3Fm5SZIn6fRIvDDoCV8HbD+PJ6fAN8u+S+ttdle7yb51VfXg9pVStzfLyzOIiEv8O4YffEaHkpka&#10;fyIThFXAj8Rf5SxN2TUKNtkjyLKQ/9nLbwAAAP//AwBQSwECLQAUAAYACAAAACEAtoM4kv4AAADh&#10;AQAAEwAAAAAAAAAAAAAAAAAAAAAAW0NvbnRlbnRfVHlwZXNdLnhtbFBLAQItABQABgAIAAAAIQA4&#10;/SH/1gAAAJQBAAALAAAAAAAAAAAAAAAAAC8BAABfcmVscy8ucmVsc1BLAQItABQABgAIAAAAIQAh&#10;FSjoUQIAAKwEAAAOAAAAAAAAAAAAAAAAAC4CAABkcnMvZTJvRG9jLnhtbFBLAQItABQABgAIAAAA&#10;IQByAisp2QAAAAMBAAAPAAAAAAAAAAAAAAAAAKsEAABkcnMvZG93bnJldi54bWxQSwUGAAAAAAQA&#10;BADzAAAAsQUAAAAA&#10;" fillcolor="yellow" strokecolor="#70ad47 [3209]" strokeweight=".5pt">
                      <v:path arrowok="t"/>
                      <w10:anchorlock/>
                    </v:shape>
                  </w:pict>
                </mc:Fallback>
              </mc:AlternateContent>
            </w:r>
          </w:p>
        </w:tc>
        <w:tc>
          <w:tcPr>
            <w:tcW w:w="8604" w:type="dxa"/>
            <w:hideMark/>
          </w:tcPr>
          <w:p w14:paraId="74DC1933" w14:textId="77777777" w:rsidR="00114D77" w:rsidRDefault="00114D77" w:rsidP="00686798">
            <w:pPr>
              <w:spacing w:after="0" w:line="240" w:lineRule="auto"/>
              <w:rPr>
                <w:rFonts w:eastAsiaTheme="minorHAnsi"/>
              </w:rPr>
            </w:pPr>
            <w:r>
              <w:rPr>
                <w:rFonts w:eastAsiaTheme="minorHAnsi"/>
                <w:b/>
              </w:rPr>
              <w:t xml:space="preserve">Recommended: </w:t>
            </w:r>
          </w:p>
          <w:p w14:paraId="3ABFB7A2" w14:textId="77777777" w:rsidR="00114D77" w:rsidRDefault="00114D77" w:rsidP="005729D2">
            <w:pPr>
              <w:pStyle w:val="ListParagraph"/>
              <w:numPr>
                <w:ilvl w:val="0"/>
                <w:numId w:val="88"/>
              </w:numPr>
              <w:spacing w:before="0" w:after="0" w:line="240" w:lineRule="auto"/>
              <w:rPr>
                <w:rFonts w:ascii="Calibri" w:eastAsia="MS Mincho" w:hAnsi="Calibri"/>
              </w:rPr>
            </w:pPr>
            <w:r>
              <w:t>Design security zones to minimize the number of application data flows across the trust boundaries between zones. Every inter-zone trust boundary must be secured and defended, and each application that crosses the boundary incurs security overhead to analyze, protect, and monitor the data. Minimizing the application data flows can be accomplished through a number of means such as:</w:t>
            </w:r>
          </w:p>
          <w:p w14:paraId="67F4904D" w14:textId="77777777" w:rsidR="00114D77" w:rsidRDefault="00114D77" w:rsidP="005729D2">
            <w:pPr>
              <w:pStyle w:val="ListParagraph"/>
              <w:numPr>
                <w:ilvl w:val="1"/>
                <w:numId w:val="88"/>
              </w:numPr>
              <w:spacing w:before="0" w:after="0" w:line="240" w:lineRule="auto"/>
            </w:pPr>
            <w:r>
              <w:t xml:space="preserve">Blocking data flow and accepting impact to application functionality </w:t>
            </w:r>
          </w:p>
          <w:p w14:paraId="2C50BAA2" w14:textId="77777777" w:rsidR="00114D77" w:rsidRDefault="00114D77" w:rsidP="005729D2">
            <w:pPr>
              <w:pStyle w:val="ListParagraph"/>
              <w:numPr>
                <w:ilvl w:val="1"/>
                <w:numId w:val="88"/>
              </w:numPr>
              <w:spacing w:before="0" w:after="0" w:line="240" w:lineRule="auto"/>
            </w:pPr>
            <w:r>
              <w:t>Changing the application deployment architecture (for example, move monitoring and reporting assets for SCADA systems to a different security zone)</w:t>
            </w:r>
          </w:p>
          <w:p w14:paraId="30149878" w14:textId="77777777" w:rsidR="00114D77" w:rsidRDefault="00114D77" w:rsidP="005729D2">
            <w:pPr>
              <w:pStyle w:val="ListParagraph"/>
              <w:numPr>
                <w:ilvl w:val="1"/>
                <w:numId w:val="88"/>
              </w:numPr>
              <w:spacing w:before="0" w:after="0" w:line="240" w:lineRule="auto"/>
            </w:pPr>
            <w:r>
              <w:t>Changing the zone design to combine zones (for example, host PCI and HIPAA data for a retail store's point-of-sales in a single zone)</w:t>
            </w:r>
          </w:p>
          <w:p w14:paraId="2129EF3D" w14:textId="77777777" w:rsidR="00114D77" w:rsidRDefault="00114D77" w:rsidP="005729D2">
            <w:pPr>
              <w:pStyle w:val="ListParagraph"/>
              <w:numPr>
                <w:ilvl w:val="1"/>
                <w:numId w:val="88"/>
              </w:numPr>
              <w:spacing w:before="0" w:after="0" w:line="240" w:lineRule="auto"/>
            </w:pPr>
            <w:r>
              <w:t>Changing the application or system design</w:t>
            </w:r>
          </w:p>
          <w:p w14:paraId="60CBC11D" w14:textId="77777777" w:rsidR="00114D77" w:rsidRDefault="00114D77" w:rsidP="005729D2">
            <w:pPr>
              <w:pStyle w:val="ListParagraph"/>
              <w:numPr>
                <w:ilvl w:val="0"/>
                <w:numId w:val="88"/>
              </w:numPr>
              <w:spacing w:before="0" w:after="0" w:line="240" w:lineRule="auto"/>
              <w:rPr>
                <w:rFonts w:ascii="Calibri" w:eastAsia="MS Mincho" w:hAnsi="Calibri"/>
              </w:rPr>
            </w:pPr>
            <w:r>
              <w:t xml:space="preserve">Perform a threat modelling exercise for every system and application data flow that crosses the trust boundary between zones, particularly focusing on: </w:t>
            </w:r>
          </w:p>
          <w:p w14:paraId="03BC5A18" w14:textId="77777777" w:rsidR="00114D77" w:rsidRDefault="00114D77" w:rsidP="005729D2">
            <w:pPr>
              <w:pStyle w:val="ListParagraph"/>
              <w:numPr>
                <w:ilvl w:val="1"/>
                <w:numId w:val="88"/>
              </w:numPr>
              <w:spacing w:before="0" w:after="0" w:line="240" w:lineRule="auto"/>
            </w:pPr>
            <w:r>
              <w:t xml:space="preserve">Data flows that cross the boundary </w:t>
            </w:r>
          </w:p>
          <w:p w14:paraId="6BD8F50D" w14:textId="77777777" w:rsidR="00114D77" w:rsidRPr="005840A5" w:rsidRDefault="00114D77" w:rsidP="005729D2">
            <w:pPr>
              <w:pStyle w:val="ListParagraph"/>
              <w:numPr>
                <w:ilvl w:val="1"/>
                <w:numId w:val="88"/>
              </w:numPr>
              <w:spacing w:before="0" w:after="0" w:line="240" w:lineRule="auto"/>
            </w:pPr>
            <w:r>
              <w:t>Processes and external entities on either side of the data flow crossing the trust boundary</w:t>
            </w:r>
          </w:p>
        </w:tc>
      </w:tr>
    </w:tbl>
    <w:p w14:paraId="4A9E9578" w14:textId="77777777" w:rsidR="00114D77" w:rsidRPr="0048306B" w:rsidRDefault="00114D77" w:rsidP="00114D77">
      <w:pPr>
        <w:spacing w:after="0" w:line="240" w:lineRule="auto"/>
        <w:rPr>
          <w:rFonts w:eastAsia="Times New Roman" w:cs="Segoe UI"/>
          <w:color w:val="000000"/>
        </w:rPr>
      </w:pPr>
      <w:r w:rsidRPr="0048306B">
        <w:rPr>
          <w:rFonts w:eastAsia="Times New Roman" w:cs="Segoe UI"/>
          <w:color w:val="000000"/>
        </w:rPr>
        <w:t xml:space="preserve">For more information </w:t>
      </w:r>
      <w:r>
        <w:rPr>
          <w:rFonts w:eastAsia="Times New Roman" w:cs="Segoe UI"/>
          <w:color w:val="000000"/>
        </w:rPr>
        <w:t>about</w:t>
      </w:r>
      <w:r w:rsidRPr="0048306B">
        <w:rPr>
          <w:rFonts w:eastAsia="Times New Roman" w:cs="Segoe UI"/>
          <w:color w:val="000000"/>
        </w:rPr>
        <w:t xml:space="preserve"> the </w:t>
      </w:r>
      <w:r>
        <w:rPr>
          <w:rFonts w:eastAsia="Times New Roman" w:cs="Segoe UI"/>
          <w:color w:val="000000"/>
        </w:rPr>
        <w:t>t</w:t>
      </w:r>
      <w:r w:rsidRPr="0048306B">
        <w:rPr>
          <w:rFonts w:eastAsia="Times New Roman" w:cs="Segoe UI"/>
          <w:color w:val="000000"/>
        </w:rPr>
        <w:t>hreat modelling, see</w:t>
      </w:r>
      <w:r>
        <w:rPr>
          <w:rFonts w:eastAsia="Times New Roman" w:cs="Segoe UI"/>
          <w:color w:val="000000"/>
        </w:rPr>
        <w:t>:</w:t>
      </w:r>
      <w:r w:rsidRPr="0048306B">
        <w:rPr>
          <w:rFonts w:eastAsia="Times New Roman" w:cs="Segoe UI"/>
          <w:color w:val="000000"/>
        </w:rPr>
        <w:t xml:space="preserve"> </w:t>
      </w:r>
    </w:p>
    <w:p w14:paraId="40D909EA" w14:textId="6E3353A3" w:rsidR="00114D77" w:rsidRDefault="00114D77" w:rsidP="005729D2">
      <w:pPr>
        <w:pStyle w:val="ListParagraph"/>
        <w:numPr>
          <w:ilvl w:val="0"/>
          <w:numId w:val="287"/>
        </w:numPr>
        <w:spacing w:after="0" w:line="240" w:lineRule="auto"/>
        <w:rPr>
          <w:rFonts w:eastAsia="Times New Roman" w:cs="Segoe UI"/>
          <w:color w:val="000000"/>
        </w:rPr>
      </w:pPr>
      <w:r w:rsidRPr="00660990">
        <w:rPr>
          <w:rFonts w:eastAsia="Times New Roman" w:cs="Segoe UI"/>
          <w:color w:val="000000"/>
        </w:rPr>
        <w:t xml:space="preserve">Video - </w:t>
      </w:r>
      <w:hyperlink r:id="rId554" w:history="1">
        <w:r>
          <w:rPr>
            <w:rStyle w:val="Hyperlink"/>
            <w:rFonts w:eastAsia="Times New Roman" w:cs="Segoe UI"/>
          </w:rPr>
          <w:t>SDL Threat Modeling Tool</w:t>
        </w:r>
      </w:hyperlink>
      <w:r w:rsidRPr="00660990">
        <w:rPr>
          <w:rFonts w:eastAsia="Times New Roman" w:cs="Segoe UI"/>
          <w:color w:val="000000"/>
        </w:rPr>
        <w:t xml:space="preserve"> </w:t>
      </w:r>
    </w:p>
    <w:p w14:paraId="7581F666" w14:textId="08ACBF9A" w:rsidR="0048306B" w:rsidRPr="00114D77" w:rsidRDefault="00114D77" w:rsidP="005729D2">
      <w:pPr>
        <w:pStyle w:val="ListParagraph"/>
        <w:numPr>
          <w:ilvl w:val="0"/>
          <w:numId w:val="287"/>
        </w:numPr>
        <w:spacing w:after="0" w:line="240" w:lineRule="auto"/>
        <w:rPr>
          <w:rFonts w:eastAsia="Times New Roman" w:cs="Segoe UI"/>
          <w:color w:val="000000"/>
        </w:rPr>
      </w:pPr>
      <w:r w:rsidRPr="00114D77">
        <w:rPr>
          <w:rFonts w:eastAsia="Times New Roman" w:cs="Segoe UI"/>
          <w:color w:val="000000"/>
        </w:rPr>
        <w:t xml:space="preserve">Tool - </w:t>
      </w:r>
      <w:hyperlink r:id="rId555" w:history="1">
        <w:r w:rsidRPr="00114D77">
          <w:rPr>
            <w:rStyle w:val="Hyperlink"/>
            <w:rFonts w:eastAsia="Times New Roman" w:cs="Segoe UI"/>
          </w:rPr>
          <w:t>SDL Threat Modeling Tool 3.1.8 Download</w:t>
        </w:r>
      </w:hyperlink>
      <w:r w:rsidR="0048306B" w:rsidRPr="00114D77">
        <w:rPr>
          <w:rFonts w:eastAsia="Times New Roman" w:cs="Segoe UI"/>
          <w:color w:val="000000"/>
        </w:rPr>
        <w:t xml:space="preserve"> </w:t>
      </w:r>
    </w:p>
    <w:p w14:paraId="3A54E3D0" w14:textId="77777777" w:rsidR="001D6C2B" w:rsidRDefault="001D6C2B" w:rsidP="001D6C2B">
      <w:pPr>
        <w:spacing w:after="0" w:line="240" w:lineRule="auto"/>
        <w:rPr>
          <w:rFonts w:ascii="Calibri" w:eastAsia="Times New Roman" w:hAnsi="Calibri" w:cs="Times New Roman"/>
          <w:color w:val="000000"/>
        </w:rPr>
      </w:pPr>
    </w:p>
    <w:p w14:paraId="6E8832C8" w14:textId="6B72AA54" w:rsidR="005840A5" w:rsidRDefault="005840A5" w:rsidP="001D6C2B">
      <w:pPr>
        <w:spacing w:after="0" w:line="240" w:lineRule="auto"/>
        <w:rPr>
          <w:rFonts w:ascii="Calibri" w:eastAsia="Times New Roman" w:hAnsi="Calibri" w:cs="Times New Roman"/>
          <w:color w:val="000000"/>
        </w:rPr>
      </w:pPr>
    </w:p>
    <w:p w14:paraId="1CBC6DB8" w14:textId="77777777" w:rsidR="00114D77" w:rsidRPr="0012363D" w:rsidRDefault="00114D77" w:rsidP="00114D77">
      <w:pPr>
        <w:pStyle w:val="Heading4"/>
        <w:rPr>
          <w:rFonts w:ascii="Segoe UI" w:eastAsiaTheme="minorHAnsi" w:hAnsi="Segoe UI" w:cs="Segoe UI"/>
          <w:b/>
          <w:i w:val="0"/>
          <w:color w:val="auto"/>
          <w:sz w:val="22"/>
        </w:rPr>
      </w:pPr>
      <w:r w:rsidRPr="0012363D">
        <w:rPr>
          <w:rFonts w:ascii="Segoe UI" w:eastAsiaTheme="minorHAnsi" w:hAnsi="Segoe UI" w:cs="Segoe UI"/>
          <w:b/>
          <w:i w:val="0"/>
          <w:color w:val="auto"/>
          <w:sz w:val="22"/>
        </w:rPr>
        <w:t>Containment within Security Zones</w:t>
      </w:r>
    </w:p>
    <w:p w14:paraId="1455ED99" w14:textId="77777777" w:rsidR="00114D77" w:rsidRDefault="00114D77" w:rsidP="00114D77">
      <w:pPr>
        <w:spacing w:before="0" w:after="0" w:line="240" w:lineRule="auto"/>
      </w:pPr>
      <w:r>
        <w:t xml:space="preserve">Because of the need for fluid interactions between similarly valued and trusted assets, the goal of containment within a security zone focuses on defending the integrity of a common administrative model and the resulting control relationships and permissions. This is similar to how you would put armed guards at a building entrance, but place electronic door locks with badge readers on rooms in a building. </w:t>
      </w:r>
    </w:p>
    <w:p w14:paraId="3F88B3D7" w14:textId="77777777" w:rsidR="00114D77" w:rsidRDefault="00114D77" w:rsidP="00114D77">
      <w:pPr>
        <w:spacing w:before="0" w:after="0" w:line="240" w:lineRule="auto"/>
      </w:pPr>
    </w:p>
    <w:p w14:paraId="7A680DDA" w14:textId="77777777" w:rsidR="00114D77" w:rsidRDefault="00114D77" w:rsidP="00114D77">
      <w:pPr>
        <w:spacing w:before="0" w:after="0" w:line="240" w:lineRule="auto"/>
      </w:pPr>
      <w:r>
        <w:t>Containment within the zone should focus on:</w:t>
      </w:r>
    </w:p>
    <w:p w14:paraId="04E860BB" w14:textId="77777777" w:rsidR="00114D77" w:rsidRDefault="00114D77" w:rsidP="005729D2">
      <w:pPr>
        <w:pStyle w:val="ListParagraph"/>
        <w:numPr>
          <w:ilvl w:val="0"/>
          <w:numId w:val="288"/>
        </w:numPr>
        <w:spacing w:before="0" w:after="0" w:line="240" w:lineRule="auto"/>
      </w:pPr>
      <w:r>
        <w:t xml:space="preserve">Protecting administrative control of assets in the security zone </w:t>
      </w:r>
    </w:p>
    <w:p w14:paraId="61D39536" w14:textId="77777777" w:rsidR="00114D77" w:rsidRDefault="00114D77" w:rsidP="005729D2">
      <w:pPr>
        <w:pStyle w:val="ListParagraph"/>
        <w:numPr>
          <w:ilvl w:val="0"/>
          <w:numId w:val="288"/>
        </w:numPr>
        <w:spacing w:before="0" w:after="0" w:line="240" w:lineRule="auto"/>
      </w:pPr>
      <w:r>
        <w:t xml:space="preserve">Ensuring that least privilege is applied to the access of business sensitive assets </w:t>
      </w:r>
    </w:p>
    <w:p w14:paraId="0D102A10" w14:textId="77777777" w:rsidR="00114D77" w:rsidRDefault="00114D77" w:rsidP="00114D77">
      <w:pPr>
        <w:spacing w:before="0" w:after="0" w:line="240" w:lineRule="auto"/>
      </w:pPr>
    </w:p>
    <w:p w14:paraId="402A5B70" w14:textId="77777777" w:rsidR="00114D77" w:rsidRDefault="00114D77" w:rsidP="00114D77">
      <w:pPr>
        <w:spacing w:before="0" w:after="0" w:line="240" w:lineRule="auto"/>
      </w:pPr>
      <w:r w:rsidRPr="0048306B">
        <w:t>Containment strategies within a zone should start with credential theft log</w:t>
      </w:r>
      <w:r>
        <w:t>-</w:t>
      </w:r>
      <w:r w:rsidRPr="0048306B">
        <w:t xml:space="preserve">on restrictions </w:t>
      </w:r>
      <w:r>
        <w:t xml:space="preserve">because these attacks are widely available and used prevalently. </w:t>
      </w:r>
      <w:r w:rsidRPr="0048306B">
        <w:t xml:space="preserve">These </w:t>
      </w:r>
      <w:r>
        <w:t xml:space="preserve">defenses </w:t>
      </w:r>
      <w:r w:rsidRPr="0048306B">
        <w:t xml:space="preserve">should follow the Tier model described in </w:t>
      </w:r>
      <w:hyperlink r:id="rId556" w:history="1">
        <w:r>
          <w:rPr>
            <w:rStyle w:val="Hyperlink"/>
          </w:rPr>
          <w:t>Mitigating Pass-the-Hash and Other Credential Theft, Version 2</w:t>
        </w:r>
      </w:hyperlink>
      <w:r>
        <w:t>.</w:t>
      </w:r>
    </w:p>
    <w:p w14:paraId="3402B74C" w14:textId="77777777" w:rsidR="00114D77" w:rsidRDefault="00114D77" w:rsidP="00114D77">
      <w:pPr>
        <w:spacing w:line="252" w:lineRule="auto"/>
        <w:rPr>
          <w:bCs/>
        </w:rPr>
      </w:pPr>
      <w:r w:rsidRPr="00A52234">
        <w:rPr>
          <w:bCs/>
        </w:rPr>
        <w:t xml:space="preserve">The primary means of maintaining the integrity of the common administrative model within a zone </w:t>
      </w:r>
      <w:r>
        <w:rPr>
          <w:bCs/>
        </w:rPr>
        <w:t xml:space="preserve">should </w:t>
      </w:r>
      <w:r w:rsidRPr="00A52234">
        <w:rPr>
          <w:bCs/>
        </w:rPr>
        <w:t xml:space="preserve">focus </w:t>
      </w:r>
      <w:r>
        <w:rPr>
          <w:bCs/>
        </w:rPr>
        <w:t>on</w:t>
      </w:r>
      <w:r w:rsidRPr="00EC75CC">
        <w:rPr>
          <w:bCs/>
        </w:rPr>
        <w:t xml:space="preserve"> </w:t>
      </w:r>
      <w:r>
        <w:rPr>
          <w:bCs/>
        </w:rPr>
        <w:t xml:space="preserve">the following standards: </w:t>
      </w:r>
    </w:p>
    <w:p w14:paraId="673EAFC1" w14:textId="77777777" w:rsidR="00114D77" w:rsidRPr="00EC75CC" w:rsidRDefault="00114D77" w:rsidP="005729D2">
      <w:pPr>
        <w:pStyle w:val="ListParagraph"/>
        <w:numPr>
          <w:ilvl w:val="0"/>
          <w:numId w:val="235"/>
        </w:numPr>
        <w:spacing w:line="252" w:lineRule="auto"/>
        <w:rPr>
          <w:bCs/>
        </w:rPr>
      </w:pPr>
      <w:r w:rsidRPr="00EC75CC">
        <w:rPr>
          <w:bCs/>
        </w:rPr>
        <w:t xml:space="preserve">Administrator </w:t>
      </w:r>
      <w:r>
        <w:rPr>
          <w:bCs/>
        </w:rPr>
        <w:t>o</w:t>
      </w:r>
      <w:r w:rsidRPr="00EC75CC">
        <w:rPr>
          <w:bCs/>
        </w:rPr>
        <w:t xml:space="preserve">perational </w:t>
      </w:r>
      <w:r>
        <w:rPr>
          <w:bCs/>
        </w:rPr>
        <w:t>p</w:t>
      </w:r>
      <w:r w:rsidRPr="00EC75CC">
        <w:rPr>
          <w:bCs/>
        </w:rPr>
        <w:t xml:space="preserve">ractices </w:t>
      </w:r>
    </w:p>
    <w:p w14:paraId="6AE97473" w14:textId="77777777" w:rsidR="00114D77" w:rsidRDefault="00114D77" w:rsidP="005729D2">
      <w:pPr>
        <w:pStyle w:val="ListParagraph"/>
        <w:numPr>
          <w:ilvl w:val="0"/>
          <w:numId w:val="235"/>
        </w:numPr>
        <w:spacing w:line="252" w:lineRule="auto"/>
      </w:pPr>
      <w:r>
        <w:t>Administrative model elements, including o</w:t>
      </w:r>
      <w:r w:rsidRPr="00A52234">
        <w:t>rganizational</w:t>
      </w:r>
      <w:r w:rsidRPr="00DE7056">
        <w:t xml:space="preserve"> </w:t>
      </w:r>
      <w:r>
        <w:t>u</w:t>
      </w:r>
      <w:r w:rsidRPr="00DE7056">
        <w:t>nits (OUs)</w:t>
      </w:r>
      <w:r>
        <w:t>, s</w:t>
      </w:r>
      <w:r w:rsidRPr="00DE7056">
        <w:t xml:space="preserve">ecurity </w:t>
      </w:r>
      <w:r>
        <w:t>g</w:t>
      </w:r>
      <w:r w:rsidRPr="00DE7056">
        <w:t>roups</w:t>
      </w:r>
      <w:r>
        <w:t xml:space="preserve">, and </w:t>
      </w:r>
      <w:r w:rsidRPr="00DE7056">
        <w:t>delegat</w:t>
      </w:r>
      <w:r>
        <w:t xml:space="preserve">ed </w:t>
      </w:r>
      <w:r w:rsidRPr="00DE7056">
        <w:t xml:space="preserve">permissions </w:t>
      </w:r>
      <w:r>
        <w:t xml:space="preserve">in </w:t>
      </w:r>
      <w:r w:rsidRPr="00DE7056">
        <w:t>Active Directory</w:t>
      </w:r>
    </w:p>
    <w:p w14:paraId="19254ADA" w14:textId="77777777" w:rsidR="00114D77" w:rsidRPr="00DE7056" w:rsidRDefault="00114D77" w:rsidP="005729D2">
      <w:pPr>
        <w:pStyle w:val="ListParagraph"/>
        <w:numPr>
          <w:ilvl w:val="0"/>
          <w:numId w:val="235"/>
        </w:numPr>
        <w:spacing w:line="252" w:lineRule="auto"/>
      </w:pPr>
      <w:r>
        <w:t xml:space="preserve">Means of violating the administrative model by using management tools, unpatched vulnerabilities, and configuration errors </w:t>
      </w:r>
    </w:p>
    <w:p w14:paraId="46B55666" w14:textId="2C2502A2" w:rsidR="00114D77" w:rsidRDefault="00114D77" w:rsidP="00114D77">
      <w:pPr>
        <w:spacing w:before="0" w:after="0" w:line="240" w:lineRule="auto"/>
        <w:rPr>
          <w:bCs/>
        </w:rPr>
      </w:pPr>
      <w:r>
        <w:rPr>
          <w:bCs/>
        </w:rPr>
        <w:t xml:space="preserve">Additional information can be found about these standards </w:t>
      </w:r>
      <w:r w:rsidRPr="00EC75CC">
        <w:rPr>
          <w:bCs/>
        </w:rPr>
        <w:t xml:space="preserve">in </w:t>
      </w:r>
      <w:r>
        <w:rPr>
          <w:bCs/>
        </w:rPr>
        <w:t>the Microsoft Azure Security</w:t>
      </w:r>
      <w:r w:rsidR="005B30C3">
        <w:rPr>
          <w:bCs/>
        </w:rPr>
        <w:t xml:space="preserve"> section in this document.</w:t>
      </w:r>
    </w:p>
    <w:p w14:paraId="35C072A7" w14:textId="77777777" w:rsidR="00114D77" w:rsidRPr="00CE4AE1" w:rsidRDefault="00114D77" w:rsidP="00114D77">
      <w:pPr>
        <w:spacing w:before="0" w:after="0" w:line="240" w:lineRule="auto"/>
      </w:pPr>
    </w:p>
    <w:p w14:paraId="114F388C" w14:textId="6A8E552F" w:rsidR="001D6C2B" w:rsidRDefault="00114D77" w:rsidP="00114D77">
      <w:pPr>
        <w:spacing w:after="0" w:line="240" w:lineRule="auto"/>
        <w:rPr>
          <w:rFonts w:ascii="Calibri" w:eastAsia="Times New Roman" w:hAnsi="Calibri" w:cs="Times New Roman"/>
          <w:color w:val="000000"/>
        </w:rPr>
      </w:pPr>
      <w:r w:rsidRPr="0071557C">
        <w:rPr>
          <w:rFonts w:cs="Segoe UI"/>
          <w:b/>
        </w:rPr>
        <w:t>Note:</w:t>
      </w:r>
      <w:r w:rsidRPr="0071557C">
        <w:rPr>
          <w:rFonts w:cs="Segoe UI"/>
        </w:rPr>
        <w:t xml:space="preserve"> </w:t>
      </w:r>
      <w:r>
        <w:rPr>
          <w:rFonts w:cs="Segoe UI"/>
        </w:rPr>
        <w:t>Because</w:t>
      </w:r>
      <w:r w:rsidRPr="0071557C">
        <w:rPr>
          <w:rFonts w:cs="Segoe UI"/>
        </w:rPr>
        <w:t xml:space="preserve"> Active Directory domains are not security boundaries within a forest and they add management overhead, you should avoid using them for security containment within a zone</w:t>
      </w:r>
      <w:r>
        <w:rPr>
          <w:rFonts w:cs="Segoe UI"/>
        </w:rPr>
        <w:t>.</w:t>
      </w:r>
    </w:p>
    <w:p w14:paraId="3E0B9D59" w14:textId="77777777" w:rsidR="005840A5" w:rsidRDefault="005840A5" w:rsidP="005840A5">
      <w:pPr>
        <w:keepNext/>
        <w:spacing w:after="0" w:line="240" w:lineRule="auto"/>
      </w:pPr>
      <w:r>
        <w:rPr>
          <w:rFonts w:ascii="Calibri" w:eastAsia="Times New Roman" w:hAnsi="Calibri" w:cs="Times New Roman"/>
          <w:noProof/>
          <w:color w:val="000000"/>
        </w:rPr>
        <w:drawing>
          <wp:inline distT="0" distB="0" distL="0" distR="0" wp14:anchorId="2C925C1D" wp14:editId="41A098E7">
            <wp:extent cx="5943340" cy="1908809"/>
            <wp:effectExtent l="0" t="0" r="635" b="0"/>
            <wp:docPr id="41026" name="Picture 4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26" name="Zones and Tiers.png"/>
                    <pic:cNvPicPr/>
                  </pic:nvPicPr>
                  <pic:blipFill>
                    <a:blip r:embed="rId557" cstate="print">
                      <a:extLst>
                        <a:ext uri="{28A0092B-C50C-407E-A947-70E740481C1C}">
                          <a14:useLocalDpi xmlns:a14="http://schemas.microsoft.com/office/drawing/2010/main" val="0"/>
                        </a:ext>
                      </a:extLst>
                    </a:blip>
                    <a:stretch>
                      <a:fillRect/>
                    </a:stretch>
                  </pic:blipFill>
                  <pic:spPr>
                    <a:xfrm>
                      <a:off x="0" y="0"/>
                      <a:ext cx="5943340" cy="1908809"/>
                    </a:xfrm>
                    <a:prstGeom prst="rect">
                      <a:avLst/>
                    </a:prstGeom>
                  </pic:spPr>
                </pic:pic>
              </a:graphicData>
            </a:graphic>
          </wp:inline>
        </w:drawing>
      </w:r>
    </w:p>
    <w:p w14:paraId="5EA03EDD" w14:textId="77777777" w:rsidR="005840A5" w:rsidRDefault="005840A5" w:rsidP="005840A5">
      <w:pPr>
        <w:pStyle w:val="Caption"/>
        <w:rPr>
          <w:rFonts w:ascii="Calibri" w:eastAsia="Times New Roman" w:hAnsi="Calibri" w:cs="Times New Roman"/>
          <w:color w:val="000000"/>
          <w:sz w:val="22"/>
          <w:szCs w:val="22"/>
        </w:rPr>
      </w:pPr>
      <w:r>
        <w:t xml:space="preserve">Figure </w:t>
      </w:r>
      <w:r w:rsidR="00872E47">
        <w:fldChar w:fldCharType="begin"/>
      </w:r>
      <w:r w:rsidR="00872E47">
        <w:instrText xml:space="preserve"> SEQ Figure \* ARABIC </w:instrText>
      </w:r>
      <w:r w:rsidR="00872E47">
        <w:fldChar w:fldCharType="separate"/>
      </w:r>
      <w:r>
        <w:rPr>
          <w:noProof/>
        </w:rPr>
        <w:t>6</w:t>
      </w:r>
      <w:r w:rsidR="00872E47">
        <w:rPr>
          <w:noProof/>
        </w:rPr>
        <w:fldChar w:fldCharType="end"/>
      </w:r>
      <w:r>
        <w:t xml:space="preserve"> - </w:t>
      </w:r>
      <w:r w:rsidRPr="00B744B6">
        <w:t xml:space="preserve">Examples of Security Zones </w:t>
      </w:r>
      <w:r>
        <w:t>with Tiers</w:t>
      </w:r>
    </w:p>
    <w:p w14:paraId="449894D4" w14:textId="77777777" w:rsidR="005840A5" w:rsidRDefault="005840A5" w:rsidP="005840A5">
      <w:pPr>
        <w:spacing w:after="0" w:line="240" w:lineRule="auto"/>
        <w:rPr>
          <w:rFonts w:ascii="Calibri" w:eastAsia="Times New Roman" w:hAnsi="Calibri" w:cs="Times New Roman"/>
          <w:color w:val="000000"/>
        </w:rPr>
      </w:pPr>
    </w:p>
    <w:p w14:paraId="2A3F7E35" w14:textId="77777777" w:rsidR="001D6C2B" w:rsidRDefault="001D6C2B" w:rsidP="001D6C2B">
      <w:pPr>
        <w:spacing w:after="0" w:line="240" w:lineRule="auto"/>
        <w:rPr>
          <w:rFonts w:ascii="Calibri" w:eastAsia="Times New Roman" w:hAnsi="Calibri" w:cs="Times New Roman"/>
          <w:color w:val="000000"/>
        </w:rPr>
      </w:pP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1D6C2B" w14:paraId="1285889B" w14:textId="77777777" w:rsidTr="001D6C2B">
        <w:trPr>
          <w:trHeight w:val="423"/>
        </w:trPr>
        <w:tc>
          <w:tcPr>
            <w:tcW w:w="666" w:type="dxa"/>
            <w:hideMark/>
          </w:tcPr>
          <w:p w14:paraId="60D98660" w14:textId="40726E6D" w:rsidR="001D6C2B" w:rsidRDefault="001D6C2B">
            <w:pPr>
              <w:spacing w:after="200" w:line="240" w:lineRule="auto"/>
              <w:jc w:val="center"/>
              <w:rPr>
                <w:rFonts w:asciiTheme="minorHAnsi" w:eastAsiaTheme="minorHAnsi" w:hAnsiTheme="minorHAnsi" w:cstheme="minorBidi"/>
                <w:b/>
                <w:bCs/>
                <w:sz w:val="20"/>
                <w:szCs w:val="18"/>
              </w:rPr>
            </w:pPr>
            <w:r>
              <w:rPr>
                <w:rFonts w:ascii="Calibri" w:eastAsia="MS Mincho" w:hAnsi="Calibri"/>
                <w:noProof/>
              </w:rPr>
              <mc:AlternateContent>
                <mc:Choice Requires="wps">
                  <w:drawing>
                    <wp:inline distT="0" distB="0" distL="0" distR="0" wp14:anchorId="221A3FEE" wp14:editId="4916A0D9">
                      <wp:extent cx="200025" cy="180975"/>
                      <wp:effectExtent l="9525" t="9525" r="9525" b="9525"/>
                      <wp:docPr id="55" name="Octagon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 cy="180975"/>
                              </a:xfrm>
                              <a:prstGeom prst="octagon">
                                <a:avLst>
                                  <a:gd name="adj" fmla="val 29287"/>
                                </a:avLst>
                              </a:prstGeom>
                              <a:solidFill>
                                <a:srgbClr val="CC0000"/>
                              </a:solidFill>
                              <a:ln w="6350">
                                <a:solidFill>
                                  <a:schemeClr val="accent2">
                                    <a:lumMod val="100000"/>
                                    <a:lumOff val="0"/>
                                  </a:schemeClr>
                                </a:solidFill>
                                <a:miter lim="800000"/>
                                <a:headEnd/>
                                <a:tailEnd/>
                              </a:ln>
                            </wps:spPr>
                            <wps:bodyPr rot="0" vert="horz" wrap="square" lIns="91440" tIns="45720" rIns="91440" bIns="45720" anchor="ctr" anchorCtr="0" upright="1">
                              <a:noAutofit/>
                            </wps:bodyPr>
                          </wps:wsp>
                        </a:graphicData>
                      </a:graphic>
                    </wp:inline>
                  </w:drawing>
                </mc:Choice>
                <mc:Fallback xmlns:w16se="http://schemas.microsoft.com/office/word/2015/wordml/symex" xmlns:cx="http://schemas.microsoft.com/office/drawing/2014/chartex">
                  <w:pict>
                    <v:shape w14:anchorId="1B1579D7" id="Octagon 55"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CVGVQIAAKcEAAAOAAAAZHJzL2Uyb0RvYy54bWysVNtu2zAMfR+wfxD0vvqypk2NOkWRrsOA&#10;bi3Q7QMYSba16TZJidN9/SjZzdLubdiLIYrk0SEP6curvVZkJ3yQ1rS0OikpEYZZLk3f0m9fb98t&#10;KQkRDAdljWjpkwj0avX2zeXoGlHbwSouPEEQE5rRtXSI0TVFEdggNIQT64RBZ2e9hoim7wvuYUR0&#10;rYq6LM+K0XruvGUiBLy9mZx0lfG7TrB433VBRKJaitxi/vr83aRvsbqEpvfgBslmGvAPLDRIg48e&#10;oG4gAtl6+ReUlszbYLt4wqwubNdJJnINWE1VvqrmcQAnci3YnOAObQr/D5Z92T14InlLFwtKDGjU&#10;6J5F6K0heIPtGV1oMOrRPfhUYHB3lv0IxNj1AKYX197bcRDAkVSV4osXCckImEo242fLERy20eZO&#10;7TuvEyD2gOyzIE8HQcQ+EoaXqHBZIy+GrmpZXpxnRgU0z8nOh/hRWE3SoaV2Yp7xYXcXYpaEz3UB&#10;/05JpxUKvANF6ot6eZ4ZQzMHI/IzYq7VKslvpVLZ8P1mrTzB1Jau18gsTw+mhOMwZcjY0rP3izKz&#10;eOHLUy0OIMCYMLHOcWqrsT8TeJWw59HEexzg6f7wXlqOBIPNfvW6lhHXSUnd0uURStLng+F52CNI&#10;NZ0xWZlZsKTRpPXG8ifUy9tpV3C38TBY/4uSEfekpeHnFrygRH0yqPlFdXqaFisbp4vzGg1/7Nkc&#10;e8AwhGopi56SyVjHaR23zst+wLeq3BBjr3FSOhmfR2riNdPFbcjFz5ub1u3YzlF//i+r3wAAAP//&#10;AwBQSwMEFAAGAAgAAAAhAJ+3RPHbAAAAAwEAAA8AAABkcnMvZG93bnJldi54bWxMj0FLw0AQhe+C&#10;/2EZwZvdpNIS02yKCAUP0mC1eN1mp0lodjbsbpv47x292MvA4z3e+6ZYT7YXF/Shc6QgnSUgkGpn&#10;OmoUfH5sHjIQIWoyuneECr4xwLq8vSl0btxI73jZxUZwCYVcK2hjHHIpQ92i1WHmBiT2js5bHVn6&#10;RhqvRy63vZwnyVJa3REvtHrAlxbr0+5sFVSnsXrNqurpy2+W2zdv96nf7pW6v5ueVyAiTvE/DL/4&#10;jA4lMx3cmUwQvQJ+JP5d9h7TBYiDgnm2AFkW8pq9/AEAAP//AwBQSwECLQAUAAYACAAAACEAtoM4&#10;kv4AAADhAQAAEwAAAAAAAAAAAAAAAAAAAAAAW0NvbnRlbnRfVHlwZXNdLnhtbFBLAQItABQABgAI&#10;AAAAIQA4/SH/1gAAAJQBAAALAAAAAAAAAAAAAAAAAC8BAABfcmVscy8ucmVsc1BLAQItABQABgAI&#10;AAAAIQDZDCVGVQIAAKcEAAAOAAAAAAAAAAAAAAAAAC4CAABkcnMvZTJvRG9jLnhtbFBLAQItABQA&#10;BgAIAAAAIQCft0Tx2wAAAAMBAAAPAAAAAAAAAAAAAAAAAK8EAABkcnMvZG93bnJldi54bWxQSwUG&#10;AAAAAAQABADzAAAAtwUAAAAA&#10;" fillcolor="#c00" strokecolor="#ed7d31 [3205]" strokeweight=".5pt">
                      <w10:anchorlock/>
                    </v:shape>
                  </w:pict>
                </mc:Fallback>
              </mc:AlternateContent>
            </w:r>
          </w:p>
        </w:tc>
        <w:tc>
          <w:tcPr>
            <w:tcW w:w="8604" w:type="dxa"/>
            <w:hideMark/>
          </w:tcPr>
          <w:p w14:paraId="140509E3" w14:textId="77777777" w:rsidR="001D6C2B" w:rsidRDefault="001D6C2B">
            <w:pPr>
              <w:spacing w:after="0" w:line="240" w:lineRule="auto"/>
            </w:pPr>
            <w:r>
              <w:rPr>
                <w:b/>
              </w:rPr>
              <w:t>Mandatory</w:t>
            </w:r>
            <w:r>
              <w:t xml:space="preserve">:  </w:t>
            </w:r>
          </w:p>
          <w:p w14:paraId="5A5D5B71" w14:textId="77777777" w:rsidR="00114D77" w:rsidRDefault="00114D77" w:rsidP="005729D2">
            <w:pPr>
              <w:pStyle w:val="ListParagraph"/>
              <w:numPr>
                <w:ilvl w:val="0"/>
                <w:numId w:val="189"/>
              </w:numPr>
              <w:spacing w:before="0" w:after="0" w:line="240" w:lineRule="auto"/>
              <w:rPr>
                <w:rFonts w:ascii="Calibri" w:eastAsia="MS Mincho" w:hAnsi="Calibri"/>
              </w:rPr>
            </w:pPr>
            <w:r>
              <w:rPr>
                <w:rFonts w:eastAsiaTheme="minorHAnsi"/>
              </w:rPr>
              <w:t>Containment within a zone should</w:t>
            </w:r>
            <w:r>
              <w:t xml:space="preserve"> not interfere with application functionality or business operations (unless those operations natively present a specific security risk).</w:t>
            </w:r>
          </w:p>
          <w:p w14:paraId="4A89ECB8" w14:textId="77777777" w:rsidR="00114D77" w:rsidRPr="009C3D01" w:rsidRDefault="00114D77" w:rsidP="005729D2">
            <w:pPr>
              <w:pStyle w:val="ListParagraph"/>
              <w:numPr>
                <w:ilvl w:val="0"/>
                <w:numId w:val="189"/>
              </w:numPr>
              <w:tabs>
                <w:tab w:val="left" w:pos="720"/>
              </w:tabs>
            </w:pPr>
            <w:r>
              <w:rPr>
                <w:rFonts w:eastAsiaTheme="minorHAnsi"/>
              </w:rPr>
              <w:t xml:space="preserve">Apply escalation of privilege mitigations within a zone by using the </w:t>
            </w:r>
            <w:r>
              <w:t xml:space="preserve">Tier model described in </w:t>
            </w:r>
            <w:hyperlink r:id="rId558" w:history="1">
              <w:r>
                <w:rPr>
                  <w:rStyle w:val="Hyperlink"/>
                </w:rPr>
                <w:t>Mitigating Pass-the-Hash and Other Credential Theft, Version 2</w:t>
              </w:r>
            </w:hyperlink>
            <w:r w:rsidRPr="009C3D01">
              <w:t>.</w:t>
            </w:r>
          </w:p>
          <w:p w14:paraId="284B338D" w14:textId="77777777" w:rsidR="00114D77" w:rsidRDefault="00114D77" w:rsidP="005729D2">
            <w:pPr>
              <w:pStyle w:val="ListParagraph"/>
              <w:numPr>
                <w:ilvl w:val="0"/>
                <w:numId w:val="189"/>
              </w:numPr>
              <w:tabs>
                <w:tab w:val="left" w:pos="720"/>
              </w:tabs>
            </w:pPr>
            <w:r>
              <w:t xml:space="preserve">No firewalls or other IP filtering technology should be used to block traffic between domain controllers within the same forest or security zone. </w:t>
            </w:r>
          </w:p>
          <w:p w14:paraId="767C1D86" w14:textId="6805607E" w:rsidR="00993069" w:rsidRDefault="00114D77" w:rsidP="005729D2">
            <w:pPr>
              <w:pStyle w:val="ListParagraph"/>
              <w:numPr>
                <w:ilvl w:val="0"/>
                <w:numId w:val="189"/>
              </w:numPr>
              <w:tabs>
                <w:tab w:val="left" w:pos="720"/>
              </w:tabs>
            </w:pPr>
            <w:r>
              <w:t>No firewalls or other IP filtering technology should be used to block traffic between domain controllers and any other hosts within the same forest or security zone</w:t>
            </w:r>
            <w:r w:rsidR="00993069">
              <w:t xml:space="preserve">. </w:t>
            </w:r>
          </w:p>
        </w:tc>
      </w:tr>
      <w:tr w:rsidR="001D6C2B" w14:paraId="734FC8EF" w14:textId="77777777" w:rsidTr="001D6C2B">
        <w:trPr>
          <w:trHeight w:val="423"/>
        </w:trPr>
        <w:tc>
          <w:tcPr>
            <w:tcW w:w="666" w:type="dxa"/>
            <w:hideMark/>
          </w:tcPr>
          <w:p w14:paraId="15055152" w14:textId="5C87B853" w:rsidR="001D6C2B" w:rsidRDefault="001D6C2B">
            <w:pPr>
              <w:spacing w:after="200" w:line="240" w:lineRule="auto"/>
              <w:jc w:val="center"/>
              <w:rPr>
                <w:rFonts w:asciiTheme="minorHAnsi" w:eastAsiaTheme="minorHAnsi" w:hAnsiTheme="minorHAnsi" w:cstheme="minorBidi"/>
                <w:b/>
                <w:bCs/>
                <w:sz w:val="20"/>
                <w:szCs w:val="18"/>
              </w:rPr>
            </w:pPr>
            <w:r>
              <w:rPr>
                <w:rFonts w:asciiTheme="minorHAnsi" w:eastAsiaTheme="minorHAnsi" w:hAnsiTheme="minorHAnsi"/>
                <w:noProof/>
              </w:rPr>
              <mc:AlternateContent>
                <mc:Choice Requires="wps">
                  <w:drawing>
                    <wp:anchor distT="0" distB="0" distL="114300" distR="114300" simplePos="0" relativeHeight="251636736" behindDoc="0" locked="0" layoutInCell="1" allowOverlap="1" wp14:anchorId="641351F2" wp14:editId="042570E3">
                      <wp:simplePos x="0" y="0"/>
                      <wp:positionH relativeFrom="column">
                        <wp:posOffset>66675</wp:posOffset>
                      </wp:positionH>
                      <wp:positionV relativeFrom="paragraph">
                        <wp:posOffset>90170</wp:posOffset>
                      </wp:positionV>
                      <wp:extent cx="209550" cy="180975"/>
                      <wp:effectExtent l="19050" t="19050" r="38100" b="28575"/>
                      <wp:wrapNone/>
                      <wp:docPr id="53" name="Isosceles Tri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F7160C9" id="Isosceles Triangle 53" o:spid="_x0000_s1026" type="#_x0000_t5" style="position:absolute;margin-left:5.25pt;margin-top:7.1pt;width:16.5pt;height:14.2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B08hQIAAHEFAAAOAAAAZHJzL2Uyb0RvYy54bWysVFtP2zAUfp+0/2D5fSQplEtEiipQJ6QK&#10;0GDi2XXs1prj49lu0+7X79i5wBgS0rQ8WHbOd+7fOZdX+0aTnXBegalocZRTIgyHWpl1Rb8/Lb6c&#10;U+IDMzXTYERFD8LTq9nnT5etLcUENqBr4QgaMb5sbUU3IdgyyzzfiIb5I7DCoFCCa1jAp1tntWMt&#10;Wm90Nsnz06wFV1sHXHiPf286IZ0l+1IKHu6l9CIQXVGMLaTTpXMVz2x2ycq1Y3ajeB8G+4coGqYM&#10;Oh1N3bDAyNapv0w1ijvwIMMRhyYDKRUXKQfMpsjfZPO4YVakXLA43o5l8v/PLL/bPTii6opOjykx&#10;rMEe3XrwXGjhyZNTzKy1ICjESrXWl6jwaB9czNXbJfAfHgXZH5L48D1mL10TsZgp2aeyH8ayi30g&#10;HH9O8ovpFJvDUVSc5xdn0+gsY+WgbJ0PXwU0JF4qGvqoUsHZbulDBx9gKTbQql4ordPDrVfX2pEd&#10;QxYs8MtT49GDf4GlHLqwUwLhoEVU1uabkFghDLRIHhM3xWiPcS5MOO1DTuioJtH3qHj8sWKPj6oi&#10;8XZUnnysPGokz2DCqNwoA+49AzoUfciyw/dd9F3esQQrqA9IDgfd1HjLFwobsGQ+PDCHY4I9w9EP&#10;93hIDW1Fob9RsgH3673/EY/sRSklLY5dRf3PLXOCEn1rkNcXxclJnNP0OJmeTfDhXktWryVm21wD&#10;9rTAJWN5ukZ80MNVOmiecUPMo1cUMcPRd0V5cMPjOnTrAHcMF/N5guFsWhaW5tHyoeuRXE/7Z+bs&#10;wEKk7x0MI8rKN0TssLEfBubbAFIllr7Uta83znXier+D4uJ4/U6ol005+w0AAP//AwBQSwMEFAAG&#10;AAgAAAAhADU8QjDZAAAABwEAAA8AAABkcnMvZG93bnJldi54bWxMjs1OwzAQhO9IvIO1SFxQ65CG&#10;tgpxKoSSI6ooPIATb36EvY5itw1vz3KC02g0o5mvOCzOigvOYfSk4HGdgEBqvRmpV/D5Ua/2IELU&#10;ZLT1hAq+McChvL0pdG78ld7xcoq94BEKuVYwxDjlUoZ2QKfD2k9InHV+djqynXtpZn3lcWdlmiRb&#10;6fRI/DDoCV8HbL9OZ6fAN8ux29S7/UPtJvvWVVXmjpVS93fLyzOIiEv8K8MvPqNDyUyNP5MJwrJP&#10;nrjJmqUgOM827BvWdAeyLOR//vIHAAD//wMAUEsBAi0AFAAGAAgAAAAhALaDOJL+AAAA4QEAABMA&#10;AAAAAAAAAAAAAAAAAAAAAFtDb250ZW50X1R5cGVzXS54bWxQSwECLQAUAAYACAAAACEAOP0h/9YA&#10;AACUAQAACwAAAAAAAAAAAAAAAAAvAQAAX3JlbHMvLnJlbHNQSwECLQAUAAYACAAAACEAwogdPIUC&#10;AABxBQAADgAAAAAAAAAAAAAAAAAuAgAAZHJzL2Uyb0RvYy54bWxQSwECLQAUAAYACAAAACEANTxC&#10;MNkAAAAHAQAADwAAAAAAAAAAAAAAAADfBAAAZHJzL2Rvd25yZXYueG1sUEsFBgAAAAAEAAQA8wAA&#10;AOUFAAAAAA==&#10;" fillcolor="yellow" strokecolor="#70ad47 [3209]" strokeweight=".5pt">
                      <v:path arrowok="t"/>
                    </v:shape>
                  </w:pict>
                </mc:Fallback>
              </mc:AlternateContent>
            </w:r>
          </w:p>
        </w:tc>
        <w:tc>
          <w:tcPr>
            <w:tcW w:w="8604" w:type="dxa"/>
            <w:hideMark/>
          </w:tcPr>
          <w:p w14:paraId="080D859E" w14:textId="77777777" w:rsidR="001D6C2B" w:rsidRDefault="001D6C2B">
            <w:pPr>
              <w:spacing w:after="0" w:line="240" w:lineRule="auto"/>
              <w:rPr>
                <w:rFonts w:eastAsiaTheme="minorHAnsi"/>
              </w:rPr>
            </w:pPr>
            <w:r>
              <w:rPr>
                <w:rFonts w:eastAsiaTheme="minorHAnsi"/>
                <w:b/>
              </w:rPr>
              <w:t xml:space="preserve">Recommended: </w:t>
            </w:r>
            <w:r>
              <w:rPr>
                <w:rFonts w:eastAsiaTheme="minorHAnsi"/>
              </w:rPr>
              <w:t xml:space="preserve"> </w:t>
            </w:r>
          </w:p>
          <w:p w14:paraId="5F08929A" w14:textId="77777777" w:rsidR="00114D77" w:rsidRDefault="00114D77" w:rsidP="005729D2">
            <w:pPr>
              <w:pStyle w:val="ListParagraph"/>
              <w:numPr>
                <w:ilvl w:val="0"/>
                <w:numId w:val="190"/>
              </w:numPr>
              <w:tabs>
                <w:tab w:val="left" w:pos="720"/>
              </w:tabs>
              <w:rPr>
                <w:rFonts w:ascii="Calibri" w:eastAsia="MS Mincho" w:hAnsi="Calibri"/>
              </w:rPr>
            </w:pPr>
            <w:r>
              <w:t xml:space="preserve">Detective controls within a security zone should favor machine learning technologies that automatically learn normal traffic patterns. These are generally more successful at identifying anomalous behavior with a much lower investment of time by skilled human personnel. </w:t>
            </w:r>
            <w:r>
              <w:br/>
              <w:t xml:space="preserve">For an example of this approach, see </w:t>
            </w:r>
            <w:hyperlink r:id="rId559" w:history="1">
              <w:r>
                <w:rPr>
                  <w:rStyle w:val="Hyperlink"/>
                </w:rPr>
                <w:t>Microsoft Advanced Threat Analytics</w:t>
              </w:r>
            </w:hyperlink>
            <w:r>
              <w:t>.</w:t>
            </w:r>
          </w:p>
          <w:p w14:paraId="66ED154E" w14:textId="77777777" w:rsidR="00114D77" w:rsidRDefault="00114D77" w:rsidP="005729D2">
            <w:pPr>
              <w:pStyle w:val="ListParagraph"/>
              <w:numPr>
                <w:ilvl w:val="0"/>
                <w:numId w:val="190"/>
              </w:numPr>
              <w:tabs>
                <w:tab w:val="left" w:pos="720"/>
              </w:tabs>
            </w:pPr>
            <w:r>
              <w:t xml:space="preserve">All preventive controls for network traffic within a zone should be accompanied by a detective control to identify unexpected or anomalous behavior. This ensures that security operations personnel have visibility into anomalous events and operational issues that are reported by IT operations personnel. </w:t>
            </w:r>
          </w:p>
          <w:p w14:paraId="66F22A5B" w14:textId="305738BD" w:rsidR="005840A5" w:rsidRDefault="00114D77" w:rsidP="005729D2">
            <w:pPr>
              <w:pStyle w:val="ListParagraph"/>
              <w:numPr>
                <w:ilvl w:val="0"/>
                <w:numId w:val="190"/>
              </w:numPr>
              <w:tabs>
                <w:tab w:val="left" w:pos="720"/>
              </w:tabs>
            </w:pPr>
            <w:r>
              <w:rPr>
                <w:rFonts w:eastAsiaTheme="minorHAnsi"/>
              </w:rPr>
              <w:t>Use a single Active Directory forest for identity in any given zone if you are using Active Directory in Windows Server for identity</w:t>
            </w:r>
            <w:r w:rsidR="005840A5">
              <w:rPr>
                <w:rFonts w:eastAsiaTheme="minorHAnsi"/>
              </w:rPr>
              <w:t>.</w:t>
            </w:r>
          </w:p>
        </w:tc>
      </w:tr>
    </w:tbl>
    <w:p w14:paraId="4D43FE57" w14:textId="54C30732" w:rsidR="005840A5" w:rsidRPr="001706E0" w:rsidRDefault="005840A5" w:rsidP="001706E0">
      <w:pPr>
        <w:spacing w:after="0" w:line="240" w:lineRule="auto"/>
        <w:rPr>
          <w:rFonts w:ascii="Calibri" w:eastAsia="Times New Roman" w:hAnsi="Calibri" w:cs="Times New Roman"/>
          <w:color w:val="000000"/>
        </w:rPr>
      </w:pPr>
    </w:p>
    <w:p w14:paraId="0F355B4E" w14:textId="6B1F16A5" w:rsidR="00B50EEC" w:rsidRDefault="00B50EEC" w:rsidP="005729D2">
      <w:pPr>
        <w:pStyle w:val="Heading3Numbered"/>
        <w:numPr>
          <w:ilvl w:val="2"/>
          <w:numId w:val="64"/>
        </w:numPr>
      </w:pPr>
      <w:bookmarkStart w:id="6674" w:name="_Toc423116866"/>
      <w:bookmarkStart w:id="6675" w:name="_Toc423117899"/>
      <w:bookmarkStart w:id="6676" w:name="_Toc423117349"/>
      <w:bookmarkStart w:id="6677" w:name="_Ref423340606"/>
      <w:bookmarkStart w:id="6678" w:name="_Toc431288949"/>
      <w:r>
        <w:t>Security Standardization</w:t>
      </w:r>
      <w:r w:rsidR="002B3EFE">
        <w:t xml:space="preserve"> for Administrative Control</w:t>
      </w:r>
      <w:bookmarkEnd w:id="6674"/>
      <w:bookmarkEnd w:id="6675"/>
      <w:bookmarkEnd w:id="6676"/>
      <w:bookmarkEnd w:id="6677"/>
      <w:bookmarkEnd w:id="6678"/>
    </w:p>
    <w:p w14:paraId="09CE851A" w14:textId="4EDA7BFD" w:rsidR="00052CD7" w:rsidRDefault="00B50EEC" w:rsidP="00052CD7">
      <w:r>
        <w:t>Most</w:t>
      </w:r>
      <w:r w:rsidR="00052CD7">
        <w:t xml:space="preserve"> enterprise organizations that adopt Azure will continue to operate a production identity system that includes Windows Server Active Directory (AD) on-premises, hosted on Azure IaaS, or both. </w:t>
      </w:r>
    </w:p>
    <w:p w14:paraId="52D4DF48" w14:textId="77777777" w:rsidR="00052CD7" w:rsidRDefault="00052CD7" w:rsidP="00052CD7">
      <w:r>
        <w:t>Because of the importance of identity systems to the overall security posture of the organization, including assets</w:t>
      </w:r>
      <w:r w:rsidRPr="00327476">
        <w:t xml:space="preserve"> </w:t>
      </w:r>
      <w:r>
        <w:t xml:space="preserve">hosted on Azure, this document includes a set of security standards for Active Directory and related assets. </w:t>
      </w:r>
    </w:p>
    <w:p w14:paraId="4B86A6C5" w14:textId="77777777" w:rsidR="00052CD7" w:rsidRDefault="00052CD7" w:rsidP="00052CD7">
      <w:r>
        <w:t xml:space="preserve">This section describes the standards and expectations for securing administrative control of all an organization’s information technology systems. These standards will have to be adapted to the requirements and risk appetite of the organization, but the defaults are constructed to recommended practices so they can be used as a benchmark or end state for planning. </w:t>
      </w:r>
    </w:p>
    <w:p w14:paraId="07B8B6B3" w14:textId="77777777" w:rsidR="00052CD7" w:rsidRDefault="00052CD7" w:rsidP="00052CD7">
      <w:r>
        <w:t xml:space="preserve">The standards in this section assume that the organization has the following attributes: </w:t>
      </w:r>
    </w:p>
    <w:p w14:paraId="5445B06A" w14:textId="77777777" w:rsidR="00052CD7" w:rsidRDefault="00052CD7" w:rsidP="005729D2">
      <w:pPr>
        <w:pStyle w:val="ListParagraph"/>
        <w:numPr>
          <w:ilvl w:val="0"/>
          <w:numId w:val="220"/>
        </w:numPr>
      </w:pPr>
      <w:r>
        <w:t>Most or all servers and workstations are joined to Active Directory.</w:t>
      </w:r>
    </w:p>
    <w:p w14:paraId="108DC5FA" w14:textId="77777777" w:rsidR="00052CD7" w:rsidRDefault="00052CD7" w:rsidP="005729D2">
      <w:pPr>
        <w:pStyle w:val="ListParagraph"/>
        <w:numPr>
          <w:ilvl w:val="0"/>
          <w:numId w:val="220"/>
        </w:numPr>
      </w:pPr>
      <w:r>
        <w:t>Smart cards can be used for all authentication of administrative accounts.</w:t>
      </w:r>
    </w:p>
    <w:p w14:paraId="29F0B7C7" w14:textId="77777777" w:rsidR="00052CD7" w:rsidRDefault="00052CD7" w:rsidP="005729D2">
      <w:pPr>
        <w:pStyle w:val="ListParagraph"/>
        <w:numPr>
          <w:ilvl w:val="0"/>
          <w:numId w:val="220"/>
        </w:numPr>
      </w:pPr>
      <w:r>
        <w:t>An enterprise identity management solution is deployed.</w:t>
      </w:r>
    </w:p>
    <w:p w14:paraId="12C70A5D" w14:textId="77777777" w:rsidR="00052CD7" w:rsidRDefault="00052CD7" w:rsidP="005729D2">
      <w:pPr>
        <w:pStyle w:val="ListParagraph"/>
        <w:numPr>
          <w:ilvl w:val="0"/>
          <w:numId w:val="220"/>
        </w:numPr>
      </w:pPr>
      <w:r>
        <w:t>There is a p</w:t>
      </w:r>
      <w:r w:rsidRPr="00882F6F">
        <w:t xml:space="preserve">rivileged </w:t>
      </w:r>
      <w:r>
        <w:t>a</w:t>
      </w:r>
      <w:r w:rsidRPr="00882F6F">
        <w:t xml:space="preserve">ccess </w:t>
      </w:r>
      <w:r>
        <w:t>m</w:t>
      </w:r>
      <w:r w:rsidRPr="00882F6F">
        <w:t>anagement</w:t>
      </w:r>
      <w:r>
        <w:t xml:space="preserve"> solution, such as Microsoft Identity Manager, in place, or there is a plan to adopt one.</w:t>
      </w:r>
    </w:p>
    <w:p w14:paraId="78E546AE" w14:textId="77777777" w:rsidR="00052CD7" w:rsidRDefault="00052CD7" w:rsidP="005729D2">
      <w:pPr>
        <w:pStyle w:val="ListParagraph"/>
        <w:numPr>
          <w:ilvl w:val="0"/>
          <w:numId w:val="220"/>
        </w:numPr>
      </w:pPr>
      <w:r>
        <w:t>Personnel are assigned to monitor security alerts and respond to them.</w:t>
      </w:r>
    </w:p>
    <w:p w14:paraId="0ED58A8F" w14:textId="77777777" w:rsidR="00052CD7" w:rsidRDefault="00052CD7" w:rsidP="005729D2">
      <w:pPr>
        <w:pStyle w:val="ListParagraph"/>
        <w:numPr>
          <w:ilvl w:val="0"/>
          <w:numId w:val="220"/>
        </w:numPr>
      </w:pPr>
      <w:r>
        <w:t>The technical capability to rapidly apply Microsoft security updates is available.</w:t>
      </w:r>
    </w:p>
    <w:p w14:paraId="3131417A" w14:textId="77777777" w:rsidR="00052CD7" w:rsidRPr="00210E3A" w:rsidRDefault="00052CD7" w:rsidP="005729D2">
      <w:pPr>
        <w:pStyle w:val="ListParagraph"/>
        <w:numPr>
          <w:ilvl w:val="0"/>
          <w:numId w:val="220"/>
        </w:numPr>
        <w:rPr>
          <w:rFonts w:eastAsiaTheme="minorHAnsi"/>
        </w:rPr>
      </w:pPr>
      <w:r w:rsidRPr="00210E3A">
        <w:rPr>
          <w:rFonts w:eastAsia="Times New Roman"/>
        </w:rPr>
        <w:t>Baseboard management controllers on servers will not be used</w:t>
      </w:r>
      <w:r>
        <w:rPr>
          <w:rFonts w:eastAsia="Times New Roman"/>
        </w:rPr>
        <w:t>, or will adhere to strict security controls.</w:t>
      </w:r>
    </w:p>
    <w:p w14:paraId="49A9C1A2" w14:textId="54FDA8B5" w:rsidR="00052CD7" w:rsidRDefault="00052CD7" w:rsidP="005729D2">
      <w:pPr>
        <w:pStyle w:val="ListParagraph"/>
        <w:numPr>
          <w:ilvl w:val="0"/>
          <w:numId w:val="220"/>
        </w:numPr>
      </w:pPr>
      <w:r>
        <w:t>Administrator accounts and groups for servers (Tier 1 admins) and workstations (Tier 2 admins) will be managed by domain admins (Tier 0).</w:t>
      </w:r>
    </w:p>
    <w:p w14:paraId="34F668B9" w14:textId="600A9EC4" w:rsidR="00245066" w:rsidRDefault="00052CD7" w:rsidP="005729D2">
      <w:pPr>
        <w:pStyle w:val="ListParagraph"/>
        <w:numPr>
          <w:ilvl w:val="0"/>
          <w:numId w:val="220"/>
        </w:numPr>
      </w:pPr>
      <w:r>
        <w:t xml:space="preserve">There is a </w:t>
      </w:r>
      <w:r w:rsidRPr="002B0537">
        <w:t xml:space="preserve">Change </w:t>
      </w:r>
      <w:r>
        <w:t>Advisory</w:t>
      </w:r>
      <w:r w:rsidRPr="002B0537">
        <w:t xml:space="preserve"> Board</w:t>
      </w:r>
      <w:r>
        <w:t xml:space="preserve"> (CAB) or another designated authority in place for Active Directory changes.</w:t>
      </w:r>
    </w:p>
    <w:p w14:paraId="1EE6AFF3" w14:textId="0DBD0E95" w:rsidR="001F6ABB" w:rsidRDefault="006330ED" w:rsidP="006C541E">
      <w:pPr>
        <w:pStyle w:val="Style2"/>
      </w:pPr>
      <w:r>
        <w:t>Administrative Control</w:t>
      </w:r>
    </w:p>
    <w:p w14:paraId="0D2ACF20" w14:textId="683F2BC8" w:rsidR="00B50EEC" w:rsidRDefault="00B50EEC" w:rsidP="00B50EEC">
      <w:r>
        <w:t xml:space="preserve">Administrative control represents the ability to exert full technical control of all system functions. This ability to “control” the system is separate and distinct from “security controls” that prevent or detect activity within the system. </w:t>
      </w:r>
    </w:p>
    <w:p w14:paraId="3E58A61D" w14:textId="77777777" w:rsidR="00B50EEC" w:rsidRDefault="00B50EEC" w:rsidP="00B50EEC">
      <w:pPr>
        <w:rPr>
          <w:color w:val="212121"/>
        </w:rPr>
      </w:pPr>
      <w:r>
        <w:rPr>
          <w:color w:val="212121"/>
        </w:rPr>
        <w:t xml:space="preserve">By commonly targeting administrative control of identity systems, cybersecurity attackers can control most or all identities and computing assets in an organization. This makes the </w:t>
      </w:r>
      <w:r w:rsidRPr="0050642B">
        <w:rPr>
          <w:color w:val="212121"/>
        </w:rPr>
        <w:t xml:space="preserve">security assurances </w:t>
      </w:r>
      <w:r>
        <w:rPr>
          <w:color w:val="212121"/>
        </w:rPr>
        <w:t>for</w:t>
      </w:r>
      <w:r w:rsidRPr="0050642B">
        <w:rPr>
          <w:color w:val="212121"/>
        </w:rPr>
        <w:t xml:space="preserve"> </w:t>
      </w:r>
      <w:r>
        <w:rPr>
          <w:color w:val="212121"/>
        </w:rPr>
        <w:t>all</w:t>
      </w:r>
      <w:r w:rsidRPr="0050642B">
        <w:rPr>
          <w:color w:val="212121"/>
        </w:rPr>
        <w:t xml:space="preserve"> identity </w:t>
      </w:r>
      <w:r>
        <w:rPr>
          <w:color w:val="212121"/>
        </w:rPr>
        <w:t xml:space="preserve">systems including Active Directory a critical mission imperative. </w:t>
      </w:r>
    </w:p>
    <w:p w14:paraId="69E975CF" w14:textId="77777777" w:rsidR="00B50EEC" w:rsidRDefault="00B50EEC" w:rsidP="00B50EEC">
      <w:pPr>
        <w:jc w:val="center"/>
        <w:rPr>
          <w:color w:val="212121"/>
        </w:rPr>
      </w:pPr>
      <w:r w:rsidRPr="00F53936">
        <w:rPr>
          <w:noProof/>
          <w:color w:val="212121"/>
        </w:rPr>
        <w:drawing>
          <wp:inline distT="0" distB="0" distL="0" distR="0" wp14:anchorId="2360BBD8" wp14:editId="2B6875F4">
            <wp:extent cx="5899166" cy="3340100"/>
            <wp:effectExtent l="38100" t="38100" r="44450" b="31750"/>
            <wp:docPr id="41029" name="Picture 4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0" cstate="print">
                      <a:extLst>
                        <a:ext uri="{28A0092B-C50C-407E-A947-70E740481C1C}">
                          <a14:useLocalDpi xmlns:a14="http://schemas.microsoft.com/office/drawing/2010/main" val="0"/>
                        </a:ext>
                      </a:extLst>
                    </a:blip>
                    <a:stretch>
                      <a:fillRect/>
                    </a:stretch>
                  </pic:blipFill>
                  <pic:spPr>
                    <a:xfrm>
                      <a:off x="0" y="0"/>
                      <a:ext cx="5899166" cy="3340100"/>
                    </a:xfrm>
                    <a:prstGeom prst="rect">
                      <a:avLst/>
                    </a:prstGeom>
                    <a:ln w="28575">
                      <a:solidFill>
                        <a:schemeClr val="tx1"/>
                      </a:solidFill>
                    </a:ln>
                  </pic:spPr>
                </pic:pic>
              </a:graphicData>
            </a:graphic>
          </wp:inline>
        </w:drawing>
      </w:r>
    </w:p>
    <w:p w14:paraId="2EA836D0" w14:textId="77777777" w:rsidR="00052CD7" w:rsidRDefault="00052CD7" w:rsidP="00052CD7">
      <w:pPr>
        <w:rPr>
          <w:color w:val="212121"/>
        </w:rPr>
      </w:pPr>
      <w:r>
        <w:rPr>
          <w:color w:val="212121"/>
        </w:rPr>
        <w:t xml:space="preserve">Maintaining the </w:t>
      </w:r>
      <w:r w:rsidRPr="0050642B">
        <w:rPr>
          <w:color w:val="212121"/>
        </w:rPr>
        <w:t xml:space="preserve">security standards </w:t>
      </w:r>
      <w:r>
        <w:rPr>
          <w:color w:val="212121"/>
        </w:rPr>
        <w:t xml:space="preserve">of a system is a critical to maintaining positive administrative control of that system. </w:t>
      </w:r>
      <w:r w:rsidRPr="0050642B">
        <w:rPr>
          <w:color w:val="212121"/>
        </w:rPr>
        <w:t xml:space="preserve">If </w:t>
      </w:r>
      <w:r>
        <w:rPr>
          <w:color w:val="212121"/>
        </w:rPr>
        <w:t xml:space="preserve">administrative </w:t>
      </w:r>
      <w:r w:rsidRPr="0050642B">
        <w:rPr>
          <w:color w:val="212121"/>
        </w:rPr>
        <w:t xml:space="preserve">privileges </w:t>
      </w:r>
      <w:r>
        <w:rPr>
          <w:color w:val="212121"/>
        </w:rPr>
        <w:t>are poorly defined or not followed, the entire enterprise is at high risk of compromise by hostile actors</w:t>
      </w:r>
      <w:r w:rsidRPr="0050642B">
        <w:rPr>
          <w:color w:val="212121"/>
        </w:rPr>
        <w:t xml:space="preserve">. </w:t>
      </w:r>
    </w:p>
    <w:p w14:paraId="064B9ADD" w14:textId="77777777" w:rsidR="00052CD7" w:rsidRDefault="00052CD7" w:rsidP="00052CD7">
      <w:r>
        <w:t>Getting positive enterprise control requires restricting all means of administrative control—much like controlling access into a city requires restricting all means of transportation, such as road, rail, and air. This document categorizes the means of controlling the identity store into three types:</w:t>
      </w:r>
    </w:p>
    <w:p w14:paraId="1D80C6D6" w14:textId="77777777" w:rsidR="00052CD7" w:rsidRDefault="00052CD7" w:rsidP="005729D2">
      <w:pPr>
        <w:pStyle w:val="ListParagraph"/>
        <w:numPr>
          <w:ilvl w:val="0"/>
          <w:numId w:val="192"/>
        </w:numPr>
        <w:spacing w:before="0" w:after="160" w:line="259" w:lineRule="auto"/>
      </w:pPr>
      <w:r w:rsidRPr="00826CEC">
        <w:rPr>
          <w:b/>
        </w:rPr>
        <w:t xml:space="preserve">Operating </w:t>
      </w:r>
      <w:r>
        <w:rPr>
          <w:b/>
        </w:rPr>
        <w:t>s</w:t>
      </w:r>
      <w:r w:rsidRPr="00826CEC">
        <w:rPr>
          <w:b/>
        </w:rPr>
        <w:t>ystem</w:t>
      </w:r>
      <w:r>
        <w:t xml:space="preserve"> – Technical control of any operating system through means such as management agents, local administrative group membership, and local configurations. </w:t>
      </w:r>
    </w:p>
    <w:p w14:paraId="7058BC35" w14:textId="6CEDA37A" w:rsidR="00052CD7" w:rsidRDefault="00052CD7" w:rsidP="005729D2">
      <w:pPr>
        <w:pStyle w:val="ListParagraph"/>
        <w:numPr>
          <w:ilvl w:val="0"/>
          <w:numId w:val="192"/>
        </w:numPr>
        <w:spacing w:before="0" w:after="160" w:line="259" w:lineRule="auto"/>
      </w:pPr>
      <w:r w:rsidRPr="00AD0F17">
        <w:rPr>
          <w:b/>
        </w:rPr>
        <w:t xml:space="preserve">Active Directory and </w:t>
      </w:r>
      <w:r>
        <w:rPr>
          <w:b/>
        </w:rPr>
        <w:t>i</w:t>
      </w:r>
      <w:r w:rsidRPr="00AD0F17">
        <w:rPr>
          <w:b/>
        </w:rPr>
        <w:t xml:space="preserve">dentity </w:t>
      </w:r>
      <w:r>
        <w:rPr>
          <w:b/>
        </w:rPr>
        <w:t>d</w:t>
      </w:r>
      <w:r w:rsidRPr="00AD0F17">
        <w:rPr>
          <w:b/>
        </w:rPr>
        <w:t xml:space="preserve">ata </w:t>
      </w:r>
      <w:r>
        <w:t>– Technical control of any data in Active Directory</w:t>
      </w:r>
      <w:r w:rsidR="00250DAC">
        <w:t xml:space="preserve">, </w:t>
      </w:r>
      <w:r>
        <w:t xml:space="preserve">other identity systems or other entities. Means of control include permission to reset passwords, Active Directory group membership, Active Directory and identity system object permissions, Group Policy permissions, or permissions on log-on or start-up scripts called by Group Policy. </w:t>
      </w:r>
    </w:p>
    <w:p w14:paraId="25BB7413" w14:textId="17392D80" w:rsidR="00B50EEC" w:rsidRDefault="00052CD7" w:rsidP="005729D2">
      <w:pPr>
        <w:pStyle w:val="ListParagraph"/>
        <w:numPr>
          <w:ilvl w:val="0"/>
          <w:numId w:val="192"/>
        </w:numPr>
        <w:spacing w:before="0" w:after="160" w:line="259" w:lineRule="auto"/>
      </w:pPr>
      <w:r w:rsidRPr="00AD0F17">
        <w:rPr>
          <w:b/>
        </w:rPr>
        <w:t>Operational</w:t>
      </w:r>
      <w:r w:rsidRPr="00E85E5F">
        <w:rPr>
          <w:b/>
        </w:rPr>
        <w:t xml:space="preserve"> </w:t>
      </w:r>
      <w:r>
        <w:rPr>
          <w:b/>
        </w:rPr>
        <w:t>p</w:t>
      </w:r>
      <w:r w:rsidRPr="00E85E5F">
        <w:rPr>
          <w:b/>
        </w:rPr>
        <w:t>ractices</w:t>
      </w:r>
      <w:r>
        <w:t xml:space="preserve"> – Operational practices or actions can provide technical control of assets, such as password and credential handling practices (where administrative credentials are used to logon and the physical security of computing assets</w:t>
      </w:r>
      <w:r w:rsidR="00B50EEC">
        <w:t xml:space="preserve">. </w:t>
      </w:r>
    </w:p>
    <w:p w14:paraId="0653242F" w14:textId="05D9CBAB" w:rsidR="00715CB0" w:rsidRDefault="00715CB0" w:rsidP="00220903">
      <w:pPr>
        <w:pStyle w:val="Style2"/>
      </w:pPr>
      <w:r>
        <w:t xml:space="preserve">Securing </w:t>
      </w:r>
      <w:r w:rsidR="009E5F03">
        <w:t>Cus</w:t>
      </w:r>
      <w:r w:rsidR="00807B8E">
        <w:t>tom</w:t>
      </w:r>
      <w:r w:rsidR="009E5F03">
        <w:t xml:space="preserve"> Developed S</w:t>
      </w:r>
      <w:r>
        <w:t>oftware</w:t>
      </w:r>
    </w:p>
    <w:p w14:paraId="4CD0E0E0" w14:textId="03B2F7B2" w:rsidR="00052CD7" w:rsidRDefault="00AD2487" w:rsidP="00052CD7">
      <w:r w:rsidRPr="00A85323">
        <w:t>The</w:t>
      </w:r>
      <w:r w:rsidR="00052CD7" w:rsidRPr="00A85323">
        <w:t xml:space="preserve"> security of software </w:t>
      </w:r>
      <w:r w:rsidR="00052CD7">
        <w:t xml:space="preserve">that is developed in-house relies on using the security practices during the development cycle in addition to the maintenance and response processes. </w:t>
      </w: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052CD7" w:rsidRPr="00807B8E" w14:paraId="7BF1C8AE" w14:textId="77777777" w:rsidTr="00686798">
        <w:trPr>
          <w:trHeight w:val="423"/>
        </w:trPr>
        <w:tc>
          <w:tcPr>
            <w:tcW w:w="666" w:type="dxa"/>
          </w:tcPr>
          <w:p w14:paraId="044FC96B" w14:textId="77777777" w:rsidR="00052CD7" w:rsidRPr="00807B8E" w:rsidRDefault="00052CD7" w:rsidP="00686798">
            <w:pPr>
              <w:spacing w:after="200"/>
              <w:rPr>
                <w:rFonts w:asciiTheme="minorHAnsi" w:eastAsiaTheme="minorHAnsi" w:hAnsiTheme="minorHAnsi" w:cstheme="minorBidi"/>
                <w:b/>
                <w:bCs/>
                <w:sz w:val="20"/>
                <w:szCs w:val="18"/>
                <w:lang w:eastAsia="en-US"/>
              </w:rPr>
            </w:pPr>
            <w:r w:rsidRPr="00807B8E">
              <w:rPr>
                <w:rFonts w:eastAsia="Arial" w:cs="Segoe UI"/>
                <w:noProof/>
                <w:sz w:val="20"/>
                <w:szCs w:val="20"/>
              </w:rPr>
              <mc:AlternateContent>
                <mc:Choice Requires="wps">
                  <w:drawing>
                    <wp:anchor distT="0" distB="0" distL="114300" distR="114300" simplePos="0" relativeHeight="252010496" behindDoc="0" locked="0" layoutInCell="1" allowOverlap="1" wp14:anchorId="2C1A8166" wp14:editId="0FE2F76E">
                      <wp:simplePos x="0" y="0"/>
                      <wp:positionH relativeFrom="column">
                        <wp:posOffset>66675</wp:posOffset>
                      </wp:positionH>
                      <wp:positionV relativeFrom="paragraph">
                        <wp:posOffset>90170</wp:posOffset>
                      </wp:positionV>
                      <wp:extent cx="209550" cy="180975"/>
                      <wp:effectExtent l="57150" t="19050" r="57150" b="104775"/>
                      <wp:wrapNone/>
                      <wp:docPr id="1252047305" name="Isosceles Triangle 12520473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004710D2" id="Isosceles Triangle 1252047305" o:spid="_x0000_s1026" type="#_x0000_t5" style="position:absolute;margin-left:5.25pt;margin-top:7.1pt;width:16.5pt;height:14.25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8xGjgIAAIEFAAAOAAAAZHJzL2Uyb0RvYy54bWysVNtqGzEQfS/0H4Tem73EzmXJOpgEl4BJ&#10;QpOSZ1kr2Uu1GlWSvXa/viPtJW4aCJTug9DsnLnpzMzV9b5RZCesq0GXNDtJKRGaQ1XrdUm/Py++&#10;XFDiPNMVU6BFSQ/C0evZ509XrSlEDhtQlbAEnWhXtKakG+9NkSSOb0TD3AkYoVEpwTbMo2jXSWVZ&#10;i94bleRpepa0YCtjgQvn8O9tp6Sz6F9Kwf2DlE54okqKufl42niuwpnMrlixtsxsat6nwf4hi4bV&#10;GoOOrm6ZZ2Rr679cNTW34ED6Ew5NAlLWXMQasJosfVPN04YZEWvBx3FmfCb3/9zy+92jJXWF3OXT&#10;PJ2cn6ZTSjRrkKs7B44LJRx5tjXTayXIEQhfrjWuQAdP5tGG2p1ZAv/hUJH8oQmC6zF7aZuAxcrJ&#10;PtJwGGkQe084/szTy+kUyeKoyi7Sy/NpoClhxWBsrPNfBTQkXErq++wiAWy3dL6DD7CYG6i6WtRK&#10;RcGuVzfKkh3Drljgl8ZGwAjuFRZr6NKOBfiDEsFY6W9C4otholmMGHtVjP4Y50L7sz7liA5mEmOP&#10;hqcfG/b4YCpiH4/G+cfGo0WMDNqPxk2twb7nQPmsT1l2+J5F19UdnmAF1QGbxUI3Rc7wRY0ELJnz&#10;j8zi2CBnuAr8Ax5SQVtS6G+UbMD+eu9/wGM3o5aSFsewpO7nlllBibrT2OeX2WQS5jYKk+l5joI9&#10;1qyONXrb3ABymuHSMTxeA96r4SotNC+4MeYhKqqY5hi7pNzbQbjx3XrAncPFfB5hOKuG+aV+Mnxg&#10;PTTX8/6FWTN0IbbvPQwjy4o3jdhhAx8a5lsPso5d+vqu/XvjnMde73dSWCTHckS9bs7ZbwA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GMfMRo4CAAC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03EED1C3" w14:textId="77777777" w:rsidR="00052CD7" w:rsidRPr="00807B8E" w:rsidRDefault="00052CD7" w:rsidP="00686798">
            <w:pPr>
              <w:rPr>
                <w:lang w:eastAsia="en-US"/>
              </w:rPr>
            </w:pPr>
            <w:r w:rsidRPr="00807B8E">
              <w:rPr>
                <w:rFonts w:eastAsiaTheme="minorHAnsi"/>
                <w:b/>
                <w:lang w:eastAsia="en-US"/>
              </w:rPr>
              <w:t>Recommended:</w:t>
            </w:r>
            <w:r>
              <w:rPr>
                <w:rFonts w:eastAsiaTheme="minorHAnsi"/>
                <w:b/>
                <w:lang w:eastAsia="en-US"/>
              </w:rPr>
              <w:t xml:space="preserve"> </w:t>
            </w:r>
            <w:r w:rsidRPr="00807B8E">
              <w:rPr>
                <w:lang w:eastAsia="en-US"/>
              </w:rPr>
              <w:t>All custom developed applications should be developed with a full security development lifecycle to minimize risk.</w:t>
            </w:r>
          </w:p>
        </w:tc>
      </w:tr>
      <w:tr w:rsidR="00052CD7" w:rsidRPr="00807B8E" w14:paraId="4143352B" w14:textId="77777777" w:rsidTr="00686798">
        <w:trPr>
          <w:trHeight w:val="423"/>
        </w:trPr>
        <w:tc>
          <w:tcPr>
            <w:tcW w:w="666" w:type="dxa"/>
          </w:tcPr>
          <w:p w14:paraId="05ACA6D0" w14:textId="77777777" w:rsidR="00052CD7" w:rsidRPr="00807B8E" w:rsidRDefault="00052CD7" w:rsidP="00686798">
            <w:pPr>
              <w:spacing w:after="200"/>
              <w:rPr>
                <w:rFonts w:asciiTheme="minorHAnsi" w:eastAsiaTheme="minorHAnsi" w:hAnsiTheme="minorHAnsi" w:cstheme="minorBidi"/>
                <w:b/>
                <w:bCs/>
                <w:sz w:val="20"/>
                <w:szCs w:val="18"/>
                <w:lang w:eastAsia="en-US"/>
              </w:rPr>
            </w:pPr>
            <w:r w:rsidRPr="00807B8E">
              <w:rPr>
                <w:rFonts w:eastAsia="Arial" w:cs="Segoe UI"/>
                <w:noProof/>
                <w:sz w:val="20"/>
                <w:szCs w:val="20"/>
              </w:rPr>
              <mc:AlternateContent>
                <mc:Choice Requires="wps">
                  <w:drawing>
                    <wp:inline distT="0" distB="0" distL="0" distR="0" wp14:anchorId="113AF47B" wp14:editId="1DC1CB08">
                      <wp:extent cx="200025" cy="180975"/>
                      <wp:effectExtent l="57150" t="19050" r="28575" b="104775"/>
                      <wp:docPr id="1252047306" name="Octagon 1252047306"/>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0094788" id="Octagon 1252047306"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pubeAIAAFwFAAAOAAAAZHJzL2Uyb0RvYy54bWysVFlrGzEQfi/0Pwi9N3vEzmG8DsYhpRCS&#10;kKTkWdZKtkCrUSXZa/fXd6Rdr00aCJS+aGd27m+O6c2u0WQrnFdgKlqc5ZQIw6FWZlXRn693364o&#10;8YGZmmkwoqJ74enN7OuXaWsnooQ16Fo4gk6Mn7S2ousQ7CTLPF+LhvkzsMKgUIJrWEDWrbLasRa9&#10;Nzor8/wia8HV1gEX3uPf205IZ8m/lIKHRym9CERXFHML6XXpXcY3m03ZZOWYXSvep8H+IYuGKYNB&#10;B1e3LDCyceovV43iDjzIcMahyUBKxUWqAasp8nfVvKyZFakWBMfbASb//9zyh+2TI6rG3pXjMh9d&#10;nucXlBjWYK8eeWArMOREgnC11k/Q6sU+uZ7zSMbad9I18YtVkV2CeD9ALHaBcPyJPcvLMSUcRcVV&#10;fn05ji3IjsbW+fBdQEMiUVHockjYsu29D532QSuG86BVfae0ToxbLRfakS3Dhi8WGC31GAOcqGWx&#10;hi7rRIW9FtFYm2chEQzMs0gR0xiKwR/jXJhQ9hkn7WgmMfZgeP65Ya8fTUUa0cG4/Nx4sEiRwYTB&#10;uFEG3EcOdCj6lGWnj4Cf1B3JJdR7nAMH3YJ4y+8U4n/PfHhiDjcCdwe3PDziIzW02JieomQN7vdH&#10;/6M+DipKKWlxwyrqf22YE5ToHwZH+LoYjeJKJmY0viyRcaeS5anEbJoFYE8LvCeWJzLqB30gpYPm&#10;DY/BPEZFETMcY1eUB3dgFqHbfDwnXMznSQ3X0LJwb14sP3Q9Dtfr7o052w9hwOl9gMM2ssm7Qex0&#10;Yz8MzDcBpEpTesS1xxtXOI16f27ijTjlk9bxKM7+AA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M7Cm5t4AgAAXA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4B8826BE" w14:textId="77777777" w:rsidR="00052CD7" w:rsidRPr="00807B8E" w:rsidRDefault="00052CD7" w:rsidP="00686798">
            <w:pPr>
              <w:rPr>
                <w:lang w:eastAsia="en-US"/>
              </w:rPr>
            </w:pPr>
            <w:r w:rsidRPr="00807B8E">
              <w:rPr>
                <w:b/>
                <w:lang w:eastAsia="en-US"/>
              </w:rPr>
              <w:t>Mandatory</w:t>
            </w:r>
            <w:r w:rsidRPr="00807B8E">
              <w:rPr>
                <w:lang w:eastAsia="en-US"/>
              </w:rPr>
              <w:t xml:space="preserve">: </w:t>
            </w:r>
            <w:r w:rsidRPr="00807B8E">
              <w:t xml:space="preserve">All </w:t>
            </w:r>
            <w:r>
              <w:t>custom</w:t>
            </w:r>
            <w:r w:rsidRPr="00807B8E">
              <w:t xml:space="preserve"> applications should </w:t>
            </w:r>
            <w:r>
              <w:t>go through a</w:t>
            </w:r>
            <w:r w:rsidRPr="00807B8E">
              <w:t xml:space="preserve"> threat modell</w:t>
            </w:r>
            <w:r>
              <w:t>ing exercise</w:t>
            </w:r>
            <w:r w:rsidRPr="00807B8E">
              <w:t xml:space="preserve"> to systematically identify risk and mitigations to the application</w:t>
            </w:r>
            <w:r>
              <w:t>'</w:t>
            </w:r>
            <w:r w:rsidRPr="00807B8E">
              <w:t>s design and configuration.</w:t>
            </w:r>
            <w:r>
              <w:t xml:space="preserve"> </w:t>
            </w:r>
          </w:p>
        </w:tc>
      </w:tr>
    </w:tbl>
    <w:p w14:paraId="4A5B8CE9" w14:textId="77777777" w:rsidR="00052CD7" w:rsidRPr="00807B8E" w:rsidRDefault="00052CD7" w:rsidP="00052CD7">
      <w:r w:rsidRPr="00807B8E">
        <w:t xml:space="preserve">For information </w:t>
      </w:r>
      <w:r>
        <w:t>about these topics,</w:t>
      </w:r>
      <w:r w:rsidRPr="00807B8E">
        <w:t xml:space="preserve"> see</w:t>
      </w:r>
      <w:r>
        <w:t>:</w:t>
      </w:r>
      <w:r w:rsidRPr="00807B8E">
        <w:tab/>
      </w:r>
    </w:p>
    <w:p w14:paraId="35399BC4" w14:textId="77777777" w:rsidR="00052CD7" w:rsidRPr="00807B8E" w:rsidRDefault="00872E47" w:rsidP="005729D2">
      <w:pPr>
        <w:pStyle w:val="ListParagraph"/>
        <w:numPr>
          <w:ilvl w:val="0"/>
          <w:numId w:val="228"/>
        </w:numPr>
      </w:pPr>
      <w:hyperlink r:id="rId561" w:history="1">
        <w:r w:rsidR="00052CD7" w:rsidRPr="0091009B">
          <w:rPr>
            <w:rStyle w:val="Hyperlink"/>
          </w:rPr>
          <w:t>Microsoft Security Development Lifecycle</w:t>
        </w:r>
      </w:hyperlink>
    </w:p>
    <w:p w14:paraId="7E196EDD" w14:textId="6C147770" w:rsidR="00052CD7" w:rsidRDefault="00872E47" w:rsidP="005729D2">
      <w:pPr>
        <w:pStyle w:val="ListParagraph"/>
        <w:numPr>
          <w:ilvl w:val="0"/>
          <w:numId w:val="228"/>
        </w:numPr>
      </w:pPr>
      <w:hyperlink r:id="rId562" w:history="1">
        <w:r w:rsidR="00052CD7" w:rsidRPr="0091009B">
          <w:rPr>
            <w:rStyle w:val="Hyperlink"/>
          </w:rPr>
          <w:t>Threat Modelling Tool</w:t>
        </w:r>
      </w:hyperlink>
    </w:p>
    <w:p w14:paraId="0AC28733" w14:textId="7591C1D6" w:rsidR="00AD2487" w:rsidRPr="00807B8E" w:rsidRDefault="00872E47" w:rsidP="005729D2">
      <w:pPr>
        <w:pStyle w:val="ListParagraph"/>
        <w:numPr>
          <w:ilvl w:val="0"/>
          <w:numId w:val="228"/>
        </w:numPr>
      </w:pPr>
      <w:hyperlink r:id="rId563" w:history="1">
        <w:r w:rsidR="00052CD7" w:rsidRPr="003434B0">
          <w:rPr>
            <w:rStyle w:val="Hyperlink"/>
          </w:rPr>
          <w:t>Threat Modelling a Retail Environment</w:t>
        </w:r>
      </w:hyperlink>
      <w:r w:rsidR="00807B8E">
        <w:t xml:space="preserve"> </w:t>
      </w:r>
      <w:r w:rsidR="00AD2487" w:rsidRPr="00807B8E">
        <w:cr/>
      </w:r>
    </w:p>
    <w:p w14:paraId="151B329D" w14:textId="45B17CC2" w:rsidR="00220903" w:rsidRDefault="00AD2487" w:rsidP="00AD2487">
      <w:pPr>
        <w:rPr>
          <w:highlight w:val="yellow"/>
        </w:rPr>
      </w:pPr>
      <w:r w:rsidRPr="00AD2487">
        <w:cr/>
      </w:r>
    </w:p>
    <w:p w14:paraId="6C2F17F5" w14:textId="06956D4E" w:rsidR="00F76CAF" w:rsidRPr="0083179D" w:rsidRDefault="00F76CAF" w:rsidP="005729D2">
      <w:pPr>
        <w:pStyle w:val="Heading1Numbered"/>
        <w:numPr>
          <w:ilvl w:val="0"/>
          <w:numId w:val="64"/>
        </w:numPr>
      </w:pPr>
      <w:bookmarkStart w:id="6679" w:name="_Toc423116870"/>
      <w:bookmarkStart w:id="6680" w:name="_Toc423113510"/>
      <w:bookmarkStart w:id="6681" w:name="_Toc423114226"/>
      <w:bookmarkStart w:id="6682" w:name="_Toc423117903"/>
      <w:bookmarkStart w:id="6683" w:name="_Toc423122560"/>
      <w:bookmarkStart w:id="6684" w:name="_Toc423116871"/>
      <w:bookmarkStart w:id="6685" w:name="_Toc423117904"/>
      <w:bookmarkStart w:id="6686" w:name="_Toc423117351"/>
      <w:bookmarkStart w:id="6687" w:name="_Toc431288950"/>
      <w:bookmarkEnd w:id="6679"/>
      <w:bookmarkEnd w:id="6680"/>
      <w:bookmarkEnd w:id="6681"/>
      <w:bookmarkEnd w:id="6682"/>
      <w:bookmarkEnd w:id="6683"/>
      <w:r>
        <w:t>L</w:t>
      </w:r>
      <w:r w:rsidRPr="0083179D">
        <w:t>everaging the Cloud Platform Integration Framework in Azure</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84"/>
      <w:bookmarkEnd w:id="6685"/>
      <w:bookmarkEnd w:id="6686"/>
      <w:bookmarkEnd w:id="6687"/>
      <w:r w:rsidRPr="0083179D">
        <w:t xml:space="preserve"> </w:t>
      </w:r>
    </w:p>
    <w:p w14:paraId="13967B1C" w14:textId="77777777" w:rsidR="00664829" w:rsidRDefault="00664829" w:rsidP="0045741C">
      <w:pPr>
        <w:jc w:val="center"/>
      </w:pPr>
      <w:r w:rsidRPr="00204D3A">
        <w:rPr>
          <w:noProof/>
        </w:rPr>
        <w:drawing>
          <wp:inline distT="0" distB="0" distL="0" distR="0" wp14:anchorId="351389C0" wp14:editId="20CD213A">
            <wp:extent cx="5943600" cy="3309620"/>
            <wp:effectExtent l="0" t="0" r="0" b="5080"/>
            <wp:docPr id="8308329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564"/>
                    <a:stretch>
                      <a:fillRect/>
                    </a:stretch>
                  </pic:blipFill>
                  <pic:spPr>
                    <a:xfrm>
                      <a:off x="0" y="0"/>
                      <a:ext cx="5943600" cy="3309620"/>
                    </a:xfrm>
                    <a:prstGeom prst="rect">
                      <a:avLst/>
                    </a:prstGeom>
                  </pic:spPr>
                </pic:pic>
              </a:graphicData>
            </a:graphic>
          </wp:inline>
        </w:drawing>
      </w:r>
    </w:p>
    <w:p w14:paraId="0DEB5390" w14:textId="2CF232BE" w:rsidR="004C78F1" w:rsidRDefault="00664829" w:rsidP="004C78F1">
      <w:bookmarkStart w:id="6688" w:name="_Toc414892150"/>
      <w:bookmarkStart w:id="6689" w:name="_Toc414960173"/>
      <w:bookmarkStart w:id="6690" w:name="_Toc414969144"/>
      <w:bookmarkStart w:id="6691" w:name="_Toc415011368"/>
      <w:bookmarkStart w:id="6692" w:name="_Toc415040062"/>
      <w:bookmarkStart w:id="6693" w:name="_Toc415572419"/>
      <w:bookmarkStart w:id="6694" w:name="_Toc415735589"/>
      <w:bookmarkStart w:id="6695" w:name="_Toc415814170"/>
      <w:bookmarkStart w:id="6696" w:name="_Toc416343906"/>
      <w:bookmarkStart w:id="6697" w:name="_Toc416863178"/>
      <w:bookmarkStart w:id="6698" w:name="_Toc417314793"/>
      <w:bookmarkStart w:id="6699" w:name="_Toc417323810"/>
      <w:bookmarkStart w:id="6700" w:name="_Toc417326900"/>
      <w:bookmarkStart w:id="6701" w:name="_Toc417330448"/>
      <w:bookmarkStart w:id="6702" w:name="_Toc417395055"/>
      <w:bookmarkStart w:id="6703" w:name="_Toc417399274"/>
      <w:bookmarkStart w:id="6704" w:name="_Toc417399433"/>
      <w:bookmarkStart w:id="6705" w:name="_Toc417400480"/>
      <w:bookmarkStart w:id="6706" w:name="_Toc417401328"/>
      <w:bookmarkStart w:id="6707" w:name="_Toc417419643"/>
      <w:bookmarkStart w:id="6708" w:name="_Toc417457415"/>
      <w:bookmarkStart w:id="6709" w:name="_Toc417481993"/>
      <w:bookmarkStart w:id="6710" w:name="_Toc417482251"/>
      <w:bookmarkStart w:id="6711" w:name="_Toc417499970"/>
      <w:bookmarkStart w:id="6712" w:name="_Toc417502791"/>
      <w:bookmarkStart w:id="6713" w:name="_Toc417548379"/>
      <w:bookmarkStart w:id="6714" w:name="_Toc417594622"/>
      <w:bookmarkStart w:id="6715" w:name="_Toc417934752"/>
      <w:bookmarkStart w:id="6716" w:name="_Toc417936089"/>
      <w:r>
        <w:t>The</w:t>
      </w:r>
      <w:r w:rsidR="004C78F1">
        <w:t xml:space="preserve"> Cloud Platform Integration Framework (CPIF) is an extension of the IaaS Product Line Architecture (PLA) previously developed and released by Microsoft. This extension incorporates additional information about implementing workloads in public and hybrid cloud environments. </w:t>
      </w:r>
    </w:p>
    <w:p w14:paraId="17F17D07" w14:textId="77777777" w:rsidR="004C78F1" w:rsidRDefault="004C78F1" w:rsidP="004C78F1">
      <w:r>
        <w:t xml:space="preserve">These scenarios can be deployed by using the principles of the framework, rather than being implemented against a rigid architecture. The CPIF architectural pillars group areas of Azure architecture together and define consumption methodologies within the pattern guides. </w:t>
      </w:r>
    </w:p>
    <w:p w14:paraId="0EFDAE47" w14:textId="2656347C" w:rsidR="00664829" w:rsidRDefault="004C78F1" w:rsidP="004C78F1">
      <w:pPr>
        <w:jc w:val="both"/>
      </w:pPr>
      <w:r>
        <w:t>The Architectural Pattern Guides provide guidance about the services, construction, and deployment of the services within a larger solution. This section covers the various discipline areas within each pillar as they pertain to deploying solutions in a target Microsoft Azure subscription</w:t>
      </w:r>
      <w:r w:rsidR="00AA0E6C">
        <w:t xml:space="preserve">.  </w:t>
      </w:r>
    </w:p>
    <w:p w14:paraId="6C2F17F7" w14:textId="77777777" w:rsidR="00682E4A" w:rsidRDefault="00682E4A" w:rsidP="005729D2">
      <w:pPr>
        <w:pStyle w:val="Heading2Numbered"/>
        <w:numPr>
          <w:ilvl w:val="1"/>
          <w:numId w:val="64"/>
        </w:numPr>
      </w:pPr>
      <w:bookmarkStart w:id="6717" w:name="_Toc417936551"/>
      <w:bookmarkStart w:id="6718" w:name="_Toc417946967"/>
      <w:bookmarkStart w:id="6719" w:name="_Toc417947437"/>
      <w:bookmarkStart w:id="6720" w:name="_Toc417982577"/>
      <w:bookmarkStart w:id="6721" w:name="_Toc417986032"/>
      <w:bookmarkStart w:id="6722" w:name="_Toc418000723"/>
      <w:bookmarkStart w:id="6723" w:name="_Toc418003897"/>
      <w:bookmarkStart w:id="6724" w:name="_Toc418012102"/>
      <w:bookmarkStart w:id="6725" w:name="_Toc418014513"/>
      <w:bookmarkStart w:id="6726" w:name="_Toc418030120"/>
      <w:bookmarkStart w:id="6727" w:name="_Toc418037001"/>
      <w:bookmarkStart w:id="6728" w:name="_Toc418061474"/>
      <w:bookmarkStart w:id="6729" w:name="_Toc418081375"/>
      <w:bookmarkStart w:id="6730" w:name="_Toc418083405"/>
      <w:bookmarkStart w:id="6731" w:name="_Toc418096171"/>
      <w:bookmarkStart w:id="6732" w:name="_Toc418156773"/>
      <w:bookmarkStart w:id="6733" w:name="_Toc418167690"/>
      <w:bookmarkStart w:id="6734" w:name="_Toc418185946"/>
      <w:bookmarkStart w:id="6735" w:name="_Toc422941660"/>
      <w:bookmarkStart w:id="6736" w:name="_Toc423116872"/>
      <w:bookmarkStart w:id="6737" w:name="_Toc423117905"/>
      <w:bookmarkStart w:id="6738" w:name="_Toc423117352"/>
      <w:bookmarkStart w:id="6739" w:name="_Toc431288951"/>
      <w:r>
        <w:t>Deployment</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4B246847" w14:textId="3F6713CA" w:rsidR="004C78F1" w:rsidRDefault="00B35FB9" w:rsidP="004C78F1">
      <w:r>
        <w:t>Deployment</w:t>
      </w:r>
      <w:r w:rsidR="004C78F1">
        <w:t xml:space="preserve"> is a key facet of Azure implementations, and it is usually one of the first steps in following an Azure subscription design. Customers new to Azure commonly have their first experiences with Azure during a deployment of Azure resources. </w:t>
      </w:r>
    </w:p>
    <w:p w14:paraId="4EC13F0A" w14:textId="77777777" w:rsidR="004C78F1" w:rsidRDefault="004C78F1" w:rsidP="004C78F1">
      <w:r>
        <w:t xml:space="preserve">Deployment of Azure constructs can involve many layers – subscriptions, accounts, virtual networks, virtual machines, Azure websites, and other services. Although various mechanisms exist to provision Azure resources, to scale beyond simple deployments, many customers must incorporate automation solutions to effectively scale their deployments. </w:t>
      </w:r>
    </w:p>
    <w:p w14:paraId="6411C291" w14:textId="669C34E7" w:rsidR="006339D1" w:rsidRDefault="004C78F1" w:rsidP="004C78F1">
      <w:pPr>
        <w:jc w:val="both"/>
      </w:pPr>
      <w:r>
        <w:t>Additionally, automation solutions can provide standardization (such as naming conventions and configuration standards), which surpass the built-in capabilities and range of choices provided by the Azure portal</w:t>
      </w:r>
      <w:r w:rsidR="009C01BA">
        <w:t>.</w:t>
      </w:r>
      <w:r w:rsidR="003133BC">
        <w:t xml:space="preserve"> </w:t>
      </w:r>
    </w:p>
    <w:p w14:paraId="6C2F17F9" w14:textId="77777777" w:rsidR="00727F02" w:rsidRDefault="00727F02" w:rsidP="005729D2">
      <w:pPr>
        <w:pStyle w:val="Heading3Numbered"/>
        <w:numPr>
          <w:ilvl w:val="2"/>
          <w:numId w:val="64"/>
        </w:numPr>
      </w:pPr>
      <w:bookmarkStart w:id="6740" w:name="_Toc414892151"/>
      <w:bookmarkStart w:id="6741" w:name="_Toc414960174"/>
      <w:bookmarkStart w:id="6742" w:name="_Toc414969145"/>
      <w:bookmarkStart w:id="6743" w:name="_Toc415011369"/>
      <w:bookmarkStart w:id="6744" w:name="_Toc415040063"/>
      <w:bookmarkStart w:id="6745" w:name="_Toc415572420"/>
      <w:bookmarkStart w:id="6746" w:name="_Toc415735590"/>
      <w:bookmarkStart w:id="6747" w:name="_Toc415814171"/>
      <w:bookmarkStart w:id="6748" w:name="_Toc416343907"/>
      <w:bookmarkStart w:id="6749" w:name="_Toc416863179"/>
      <w:bookmarkStart w:id="6750" w:name="_Toc417314794"/>
      <w:bookmarkStart w:id="6751" w:name="_Toc417323811"/>
      <w:bookmarkStart w:id="6752" w:name="_Toc417326901"/>
      <w:bookmarkStart w:id="6753" w:name="_Toc417330449"/>
      <w:bookmarkStart w:id="6754" w:name="_Toc417395056"/>
      <w:bookmarkStart w:id="6755" w:name="_Toc417399275"/>
      <w:bookmarkStart w:id="6756" w:name="_Toc417399434"/>
      <w:bookmarkStart w:id="6757" w:name="_Toc417400481"/>
      <w:bookmarkStart w:id="6758" w:name="_Toc417401329"/>
      <w:bookmarkStart w:id="6759" w:name="_Toc417419644"/>
      <w:bookmarkStart w:id="6760" w:name="_Toc417457416"/>
      <w:bookmarkStart w:id="6761" w:name="_Toc417481994"/>
      <w:bookmarkStart w:id="6762" w:name="_Toc417482252"/>
      <w:bookmarkStart w:id="6763" w:name="_Toc417499971"/>
      <w:bookmarkStart w:id="6764" w:name="_Toc417502792"/>
      <w:bookmarkStart w:id="6765" w:name="_Toc417548380"/>
      <w:bookmarkStart w:id="6766" w:name="_Toc417594623"/>
      <w:bookmarkStart w:id="6767" w:name="_Toc417934753"/>
      <w:bookmarkStart w:id="6768" w:name="_Toc417936090"/>
      <w:bookmarkStart w:id="6769" w:name="_Toc417936552"/>
      <w:bookmarkStart w:id="6770" w:name="_Toc417946968"/>
      <w:bookmarkStart w:id="6771" w:name="_Toc417947438"/>
      <w:bookmarkStart w:id="6772" w:name="_Toc417982578"/>
      <w:bookmarkStart w:id="6773" w:name="_Toc417986033"/>
      <w:bookmarkStart w:id="6774" w:name="_Toc418000724"/>
      <w:bookmarkStart w:id="6775" w:name="_Toc418003898"/>
      <w:bookmarkStart w:id="6776" w:name="_Toc418012103"/>
      <w:bookmarkStart w:id="6777" w:name="_Toc418030121"/>
      <w:bookmarkStart w:id="6778" w:name="_Toc418037002"/>
      <w:bookmarkStart w:id="6779" w:name="_Toc418061475"/>
      <w:bookmarkStart w:id="6780" w:name="_Toc418081376"/>
      <w:bookmarkStart w:id="6781" w:name="_Toc418083406"/>
      <w:bookmarkStart w:id="6782" w:name="_Toc418096172"/>
      <w:bookmarkStart w:id="6783" w:name="_Toc418156774"/>
      <w:bookmarkStart w:id="6784" w:name="_Toc418167691"/>
      <w:bookmarkStart w:id="6785" w:name="_Toc418185947"/>
      <w:bookmarkStart w:id="6786" w:name="_Toc422941661"/>
      <w:bookmarkStart w:id="6787" w:name="_Toc423116873"/>
      <w:bookmarkStart w:id="6788" w:name="_Toc423117906"/>
      <w:bookmarkStart w:id="6789" w:name="_Toc423117353"/>
      <w:bookmarkStart w:id="6790" w:name="_Toc431288952"/>
      <w:r>
        <w:t>Automation</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7DBDA976" w14:textId="7E982C15" w:rsidR="004C78F1" w:rsidRDefault="009C01BA" w:rsidP="004C78F1">
      <w:r>
        <w:t>Azure</w:t>
      </w:r>
      <w:r w:rsidR="004C78F1">
        <w:t xml:space="preserve"> is a unique implementation of cloud services in that it provides each and every service at hyper-scale, over a global infrastructure, over a common API and accessible through a common UI (often referred to by customers as a “single pane of glass”). This API layer is accessible through several programming languages and supports rich automation scenarios. Automation within the Azure infrastructure can be accomplished using a variety of toolsets. Usually, an automation architecture will follow shortly after the Azure networking, storage, subscriptions and other key architectural decisions are made. These prerequisites will be inputs required for the automation toolsets which instantiate different parts of the environment or solution within Azure. Note that depending on the Azure region(s) to be used, certain toolsets may not be available.</w:t>
      </w:r>
    </w:p>
    <w:p w14:paraId="361ED915" w14:textId="701B1CC2" w:rsidR="00664829" w:rsidRDefault="004C78F1" w:rsidP="004C78F1">
      <w:pPr>
        <w:jc w:val="both"/>
      </w:pPr>
      <w:r>
        <w:t>Each customer environment should also be evaluated for existing toolsets used for on-premises or public cloud automation. Customers may wish to leverage existing expertise and investments in existing toolsets and extend the on-premises functionality to support the automation of Azure constructs. However, other organizations may wish to have the automation supporting Azure handled separately, without dependencies on legacy or existing platforms. This discovery of each organization’s environment and automation strategy should serve as an input into the overall automation architecture</w:t>
      </w:r>
      <w:r w:rsidR="00664829">
        <w:t>.</w:t>
      </w:r>
    </w:p>
    <w:p w14:paraId="6C2F17FB" w14:textId="77777777" w:rsidR="00727F02" w:rsidRDefault="00727F02" w:rsidP="005729D2">
      <w:pPr>
        <w:pStyle w:val="Heading4Numbered"/>
        <w:numPr>
          <w:ilvl w:val="3"/>
          <w:numId w:val="64"/>
        </w:numPr>
      </w:pPr>
      <w:r>
        <w:t>Microsoft Azure PowerShell</w:t>
      </w:r>
    </w:p>
    <w:p w14:paraId="2F346599" w14:textId="65BC176B" w:rsidR="004C78F1" w:rsidRDefault="009C01BA" w:rsidP="004C78F1">
      <w:r>
        <w:t>The</w:t>
      </w:r>
      <w:r w:rsidR="004C78F1">
        <w:t xml:space="preserve"> Azure APIs mentioned earlier in this document are complemented through a comprehensive library of PowerShell cmdlets. PowerShell scripting can provide a wide variety of automation solutions, and the Azure PowerShell cmdlet library can support native and third-party automation capabilities. </w:t>
      </w:r>
    </w:p>
    <w:p w14:paraId="082A57E8" w14:textId="77777777" w:rsidR="004C78F1" w:rsidRDefault="004C78F1" w:rsidP="004C78F1">
      <w:r>
        <w:t xml:space="preserve">Although third-party tools are not directly highlighted in this document, customers with extensive third-party automation toolsets already deployed and that support PowerShell may consider extending the functionality by using Azure PowerShell scripts within the existing tools. </w:t>
      </w:r>
    </w:p>
    <w:p w14:paraId="375036B9" w14:textId="5B7B1108" w:rsidR="009228AA" w:rsidRDefault="004C78F1" w:rsidP="004C78F1">
      <w:r>
        <w:t>Standard PowerShell scripts are commonly the first iteration of automation that customers explore when they are new to Azure. Generally, this automation is later incorporated into new or existing toolsets to standardize automation within Azure across the organization</w:t>
      </w:r>
      <w:r w:rsidR="00664829">
        <w:t xml:space="preserve">. </w:t>
      </w:r>
    </w:p>
    <w:p w14:paraId="3E22C191" w14:textId="603A92CC" w:rsidR="00664829" w:rsidRDefault="00664829" w:rsidP="00664829"/>
    <w:tbl>
      <w:tblPr>
        <w:tblStyle w:val="PlainTable11"/>
        <w:tblW w:w="0" w:type="auto"/>
        <w:tblLook w:val="04A0" w:firstRow="1" w:lastRow="0" w:firstColumn="1" w:lastColumn="0" w:noHBand="0" w:noVBand="1"/>
      </w:tblPr>
      <w:tblGrid>
        <w:gridCol w:w="2528"/>
        <w:gridCol w:w="6822"/>
      </w:tblGrid>
      <w:tr w:rsidR="009E23AE" w14:paraId="2173DF29" w14:textId="77777777" w:rsidTr="00A320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57C7A78E" w14:textId="77777777" w:rsidR="009E23AE" w:rsidRPr="00F47607" w:rsidRDefault="009E23AE" w:rsidP="00CB49C9">
            <w:pPr>
              <w:spacing w:line="240" w:lineRule="auto"/>
              <w:rPr>
                <w:color w:val="FFFFFF"/>
              </w:rPr>
            </w:pPr>
            <w:r>
              <w:rPr>
                <w:color w:val="FFFFFF"/>
              </w:rPr>
              <w:t>Feature References</w:t>
            </w:r>
          </w:p>
        </w:tc>
      </w:tr>
      <w:tr w:rsidR="009E23AE" w:rsidRPr="00A32012" w14:paraId="4782B47F" w14:textId="77777777" w:rsidTr="00A320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7544E2EF" w14:textId="31A840DF" w:rsidR="009E23AE" w:rsidRPr="00A32012" w:rsidRDefault="00664829" w:rsidP="00CB49C9">
            <w:pPr>
              <w:spacing w:line="240" w:lineRule="auto"/>
              <w:rPr>
                <w:sz w:val="20"/>
                <w:szCs w:val="18"/>
              </w:rPr>
            </w:pPr>
            <w:r w:rsidRPr="00A32012">
              <w:rPr>
                <w:sz w:val="20"/>
                <w:szCs w:val="18"/>
              </w:rPr>
              <w:t>Install Azure PowerShell cmdlets</w:t>
            </w:r>
          </w:p>
        </w:tc>
        <w:tc>
          <w:tcPr>
            <w:tcW w:w="5940" w:type="dxa"/>
          </w:tcPr>
          <w:p w14:paraId="6EC2F01E" w14:textId="3B7A685E" w:rsidR="009E23AE" w:rsidRPr="00A32012" w:rsidRDefault="00872E47" w:rsidP="00CB49C9">
            <w:pPr>
              <w:cnfStyle w:val="000000100000" w:firstRow="0" w:lastRow="0" w:firstColumn="0" w:lastColumn="0" w:oddVBand="0" w:evenVBand="0" w:oddHBand="1" w:evenHBand="0" w:firstRowFirstColumn="0" w:firstRowLastColumn="0" w:lastRowFirstColumn="0" w:lastRowLastColumn="0"/>
              <w:rPr>
                <w:sz w:val="20"/>
                <w:szCs w:val="18"/>
              </w:rPr>
            </w:pPr>
            <w:hyperlink r:id="rId565" w:history="1">
              <w:r w:rsidR="00857CD3" w:rsidRPr="00A32012">
                <w:rPr>
                  <w:rStyle w:val="Hyperlink"/>
                  <w:sz w:val="20"/>
                  <w:szCs w:val="18"/>
                </w:rPr>
                <w:t>http://azure.microsoft.com/en-us/documentation/articles/powershell-install-configure/</w:t>
              </w:r>
            </w:hyperlink>
          </w:p>
        </w:tc>
      </w:tr>
      <w:tr w:rsidR="009E23AE" w:rsidRPr="00A32012" w14:paraId="3AB1EFC0" w14:textId="77777777" w:rsidTr="00A32012">
        <w:tc>
          <w:tcPr>
            <w:cnfStyle w:val="001000000000" w:firstRow="0" w:lastRow="0" w:firstColumn="1" w:lastColumn="0" w:oddVBand="0" w:evenVBand="0" w:oddHBand="0" w:evenHBand="0" w:firstRowFirstColumn="0" w:firstRowLastColumn="0" w:lastRowFirstColumn="0" w:lastRowLastColumn="0"/>
            <w:tcW w:w="3420" w:type="dxa"/>
          </w:tcPr>
          <w:p w14:paraId="7C5340E1" w14:textId="3A2C75C2" w:rsidR="009E23AE" w:rsidRPr="00A32012" w:rsidRDefault="00664829" w:rsidP="00CB49C9">
            <w:pPr>
              <w:spacing w:line="240" w:lineRule="auto"/>
              <w:rPr>
                <w:sz w:val="20"/>
              </w:rPr>
            </w:pPr>
            <w:r w:rsidRPr="00A32012">
              <w:rPr>
                <w:sz w:val="20"/>
                <w:szCs w:val="18"/>
              </w:rPr>
              <w:t>Azure Cmdlet Reference (TechNet)</w:t>
            </w:r>
          </w:p>
        </w:tc>
        <w:tc>
          <w:tcPr>
            <w:tcW w:w="5940" w:type="dxa"/>
          </w:tcPr>
          <w:p w14:paraId="20ECE24A" w14:textId="6AC431E5" w:rsidR="009E23AE" w:rsidRPr="00A32012" w:rsidRDefault="00872E47" w:rsidP="00CB49C9">
            <w:pPr>
              <w:cnfStyle w:val="000000000000" w:firstRow="0" w:lastRow="0" w:firstColumn="0" w:lastColumn="0" w:oddVBand="0" w:evenVBand="0" w:oddHBand="0" w:evenHBand="0" w:firstRowFirstColumn="0" w:firstRowLastColumn="0" w:lastRowFirstColumn="0" w:lastRowLastColumn="0"/>
              <w:rPr>
                <w:sz w:val="20"/>
              </w:rPr>
            </w:pPr>
            <w:hyperlink r:id="rId566" w:history="1">
              <w:r w:rsidR="00857CD3" w:rsidRPr="00A32012">
                <w:rPr>
                  <w:rStyle w:val="Hyperlink"/>
                  <w:sz w:val="20"/>
                  <w:szCs w:val="18"/>
                </w:rPr>
                <w:t>https://msdn.microsoft.com/en-us/library/azure/jj554330.aspx</w:t>
              </w:r>
            </w:hyperlink>
          </w:p>
        </w:tc>
      </w:tr>
      <w:tr w:rsidR="009E23AE" w:rsidRPr="00A32012" w14:paraId="73323037" w14:textId="77777777" w:rsidTr="00A320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57475B6F" w14:textId="10DBD2E9" w:rsidR="009E23AE" w:rsidRPr="00A32012" w:rsidRDefault="00664829" w:rsidP="00CB49C9">
            <w:pPr>
              <w:spacing w:line="240" w:lineRule="auto"/>
              <w:rPr>
                <w:sz w:val="20"/>
              </w:rPr>
            </w:pPr>
            <w:r w:rsidRPr="00A32012">
              <w:rPr>
                <w:sz w:val="20"/>
                <w:szCs w:val="18"/>
              </w:rPr>
              <w:t xml:space="preserve">Getting started with Azure </w:t>
            </w:r>
            <w:r w:rsidR="004C78F1" w:rsidRPr="00A32012">
              <w:rPr>
                <w:sz w:val="20"/>
                <w:szCs w:val="18"/>
              </w:rPr>
              <w:t>PowerShell</w:t>
            </w:r>
            <w:r w:rsidRPr="00A32012">
              <w:rPr>
                <w:sz w:val="20"/>
                <w:szCs w:val="18"/>
              </w:rPr>
              <w:t xml:space="preserve"> (Ed Wilson)</w:t>
            </w:r>
          </w:p>
        </w:tc>
        <w:tc>
          <w:tcPr>
            <w:tcW w:w="5940" w:type="dxa"/>
          </w:tcPr>
          <w:p w14:paraId="06E153D2" w14:textId="4D2DD2A2" w:rsidR="009E23AE" w:rsidRPr="00A32012" w:rsidRDefault="00872E47" w:rsidP="00CB49C9">
            <w:pPr>
              <w:cnfStyle w:val="000000100000" w:firstRow="0" w:lastRow="0" w:firstColumn="0" w:lastColumn="0" w:oddVBand="0" w:evenVBand="0" w:oddHBand="1" w:evenHBand="0" w:firstRowFirstColumn="0" w:firstRowLastColumn="0" w:lastRowFirstColumn="0" w:lastRowLastColumn="0"/>
              <w:rPr>
                <w:sz w:val="20"/>
                <w:szCs w:val="18"/>
              </w:rPr>
            </w:pPr>
            <w:hyperlink r:id="rId567" w:history="1">
              <w:r w:rsidR="00CE227D" w:rsidRPr="00A32012">
                <w:rPr>
                  <w:rStyle w:val="Hyperlink"/>
                  <w:sz w:val="20"/>
                  <w:szCs w:val="18"/>
                </w:rPr>
                <w:t>http://blogs.technet.com/b/heyscriptingguy/archive/2013/06/22/weekend-scripter-getting-started-with-windows-azure-and-powershell.aspx</w:t>
              </w:r>
            </w:hyperlink>
          </w:p>
          <w:p w14:paraId="678BA47D" w14:textId="0F00A629" w:rsidR="00CE227D" w:rsidRPr="00A32012" w:rsidRDefault="00CE227D" w:rsidP="00CB49C9">
            <w:pPr>
              <w:cnfStyle w:val="000000100000" w:firstRow="0" w:lastRow="0" w:firstColumn="0" w:lastColumn="0" w:oddVBand="0" w:evenVBand="0" w:oddHBand="1" w:evenHBand="0" w:firstRowFirstColumn="0" w:firstRowLastColumn="0" w:lastRowFirstColumn="0" w:lastRowLastColumn="0"/>
              <w:rPr>
                <w:sz w:val="20"/>
              </w:rPr>
            </w:pPr>
          </w:p>
        </w:tc>
      </w:tr>
    </w:tbl>
    <w:p w14:paraId="6770A1E4" w14:textId="77777777" w:rsidR="009E23AE" w:rsidRDefault="009E23AE" w:rsidP="009E23AE"/>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4C78F1" w14:paraId="23E21E21" w14:textId="77777777" w:rsidTr="00686798">
        <w:trPr>
          <w:trHeight w:val="423"/>
        </w:trPr>
        <w:tc>
          <w:tcPr>
            <w:tcW w:w="666" w:type="dxa"/>
          </w:tcPr>
          <w:p w14:paraId="7BCFA334" w14:textId="77777777" w:rsidR="004C78F1" w:rsidRDefault="004C78F1" w:rsidP="00686798">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12C6B3C1" wp14:editId="6BEAA7C9">
                      <wp:extent cx="200025" cy="180975"/>
                      <wp:effectExtent l="57150" t="19050" r="28575" b="104775"/>
                      <wp:docPr id="41135" name="Octagon 41135"/>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CFC1B7A" id="Octagon 41135"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DG7cwIAAFIFAAAOAAAAZHJzL2Uyb0RvYy54bWysVN1P2zAQf5+0/8Hy+0hTyoCKFFVFTJMQ&#10;oMHEs+vYrSXH553dpt1fv7OThoohIU17Se58v/v+uLreNZZtFQYDruLlyYgz5STUxq0q/vP59ssF&#10;ZyEKVwsLTlV8rwK/nn3+dNX6qRrDGmytkJERF6atr/g6Rj8tiiDXqhHhBLxyJNSAjYjE4qqoUbRk&#10;vbHFeDT6WrSAtUeQKgR6vemEfJbta61kfNA6qMhsxSm2mL+Yv8v0LWZXYrpC4ddG9mGIf4iiEcaR&#10;08HUjYiCbdD8ZaoxEiGAjicSmgK0NlLlHCibcvQmm6e18CrnQsUJfihT+H9m5f32EZmpKz4py9Mz&#10;zpxoqE0PMooVONY9UpFaH6aEffKP2HOByJTxTmOT/pQL2+XC7ofCql1kkh6pU6MxGZckKi9Gl+dn&#10;qfDFq7LHEL8paFgiKg6d+1xRsb0LsUMfUMldAGvqW2NtZnC1XFhkW0FtXizIW+4sOTiCFSmHLupM&#10;xb1VSdm6H0pTCSjOMnvMw6cGe0JK5eK4jzijk5om34Pi6ceKPT6pqjyYg/L4Y+VBI3sGFwflxjjA&#10;9wzYWPYh6w5PBT/KO5FLqPfUfYRuLYKXt4bqfydCfBRIe0AbQ7sdH+ijLbTUmJ7ibA34+733hKfx&#10;JClnLe1VxcOvjUDFmf3uaHAvy8kkLWJmJmfnY2LwWLI8lrhNswDqaUlXxMtMJny0B1IjNC90AubJ&#10;K4mEk+S74jLigVnEbt/piEg1n2cYLZ8X8c49eXnoehqu592LQN8PYaTpvYfDDorpm0HssKkfDuab&#10;CNrkKX2ta19vWtw86v2RSZfhmM+o11M4+wM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BBsDG7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67B4F32E" w14:textId="77777777" w:rsidR="004C78F1" w:rsidRDefault="004C78F1" w:rsidP="00686798">
            <w:pPr>
              <w:rPr>
                <w:lang w:eastAsia="en-US"/>
              </w:rPr>
            </w:pPr>
            <w:r w:rsidRPr="00192064">
              <w:rPr>
                <w:b/>
                <w:lang w:eastAsia="en-US"/>
              </w:rPr>
              <w:t>Mandatory</w:t>
            </w:r>
            <w:r>
              <w:rPr>
                <w:lang w:eastAsia="en-US"/>
              </w:rPr>
              <w:t xml:space="preserve">: Download and install the most current edition of the Azure PowerShell cmdlets through the </w:t>
            </w:r>
            <w:hyperlink r:id="rId568" w:history="1">
              <w:r w:rsidRPr="009228AA">
                <w:rPr>
                  <w:rStyle w:val="Hyperlink"/>
                  <w:lang w:eastAsia="en-US"/>
                </w:rPr>
                <w:t>web platform installer</w:t>
              </w:r>
            </w:hyperlink>
            <w:r>
              <w:rPr>
                <w:rStyle w:val="Hyperlink"/>
              </w:rPr>
              <w:t>.</w:t>
            </w:r>
          </w:p>
        </w:tc>
      </w:tr>
      <w:tr w:rsidR="004C78F1" w14:paraId="06EB41DE" w14:textId="77777777" w:rsidTr="00686798">
        <w:trPr>
          <w:trHeight w:val="423"/>
        </w:trPr>
        <w:tc>
          <w:tcPr>
            <w:tcW w:w="666" w:type="dxa"/>
          </w:tcPr>
          <w:p w14:paraId="34AA997A" w14:textId="77777777" w:rsidR="004C78F1" w:rsidRDefault="004C78F1" w:rsidP="00686798">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2015616" behindDoc="0" locked="0" layoutInCell="1" allowOverlap="1" wp14:anchorId="2433BE76" wp14:editId="701E72D5">
                      <wp:simplePos x="0" y="0"/>
                      <wp:positionH relativeFrom="column">
                        <wp:posOffset>66675</wp:posOffset>
                      </wp:positionH>
                      <wp:positionV relativeFrom="paragraph">
                        <wp:posOffset>90170</wp:posOffset>
                      </wp:positionV>
                      <wp:extent cx="209550" cy="180975"/>
                      <wp:effectExtent l="57150" t="19050" r="57150" b="104775"/>
                      <wp:wrapNone/>
                      <wp:docPr id="41136" name="Isosceles Triangle 411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669CD886" id="Isosceles Triangle 41136" o:spid="_x0000_s1026" type="#_x0000_t5" style="position:absolute;margin-left:5.25pt;margin-top:7.1pt;width:16.5pt;height:14.25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n5iQIAAHcFAAAOAAAAZHJzL2Uyb0RvYy54bWysVNtqGzEQfS/0H4Tem9117FyWrINJcAmY&#10;xDQpeZa1ki2q1aiSfOvXd6S9JE0DgdJ9EJqdM6O5nJmr60OjyU44r8BUtDjJKRGGQ63MuqLfn+Zf&#10;LijxgZmaaTCiokfh6fX086ervS3FCDaga+EIOjG+3NuKbkKwZZZ5vhEN8ydghUGlBNewgKJbZ7Vj&#10;e/Te6GyU52fZHlxtHXDhPf69bZV0mvxLKXh4kNKLQHRFMbaQTpfOVTyz6RUr147ZjeJdGOwfomiY&#10;Mvjo4OqWBUa2Tv3lqlHcgQcZTjg0GUipuEg5YDZF/iabxw2zIuWCxfF2KJP/f275/W7piKorOi6K&#10;0zNKDGuwTXcePBdaePLkFDNrLUirx3rtrS/R7NEuXczY2wXwHx4V2R+aKPgOc5CuiVjMlxxS8Y9D&#10;8cUhEI4/R/nlZIIt4qgqLvLL80lsTsbK3tg6H74KaEi8VDR0gaWys93Chxbew1JsoFU9V1onwa1X&#10;N9qRHUMuzPHLU/vxBf8CSzm0YacEwlGLaKzNNyGxThhokV5MDBWDP8a5MOGsCzmho5nEtwfD048N&#10;O3w0FYm9g/HoY+PBIr0MJgzGjTLg3nOgQ9GFLFt810Xf5h1LsIL6iBRx0M6Ot3yusAEL5sOSORwW&#10;7BkugPCAh9Swryh0N0o24H699z/ikcOopWSPw1dR/3PLnKBE3xlk92UxHsdpTcJ4cj5Cwb3WrF5r&#10;zLa5AexpgavG8nSN+KD7q3TQPOOemMVXUcUMx7cryoPrhZvQLgXcNFzMZgmGE2pZWJhHy/uuR3I9&#10;HZ6Zsz0Lkb730A8qK98QscXGfhiYbQNIlVj6Uteu3jjdievdJorr47WcUC/7cvobAAD//wMAUEsD&#10;BBQABgAIAAAAIQA1PEIw2QAAAAcBAAAPAAAAZHJzL2Rvd25yZXYueG1sTI7NTsMwEITvSLyDtUhc&#10;UOuQhrYKcSqEkiOqKDyAE29+hL2OYrcNb89ygtNoNKOZrzgszooLzmH0pOBxnYBAar0ZqVfw+VGv&#10;9iBC1GS09YQKvjHAoby9KXRu/JXe8XKKveARCrlWMMQ45VKGdkCnw9pPSJx1fnY6sp17aWZ95XFn&#10;ZZokW+n0SPww6AlfB2y/TmenwDfLsdvUu/1D7Sb71lVV5o6VUvd3y8sziIhL/CvDLz6jQ8lMjT+T&#10;CcKyT564yZqlIDjPNuwb1nQHsizkf/7yBwAA//8DAFBLAQItABQABgAIAAAAIQC2gziS/gAAAOEB&#10;AAATAAAAAAAAAAAAAAAAAAAAAABbQ29udGVudF9UeXBlc10ueG1sUEsBAi0AFAAGAAgAAAAhADj9&#10;If/WAAAAlAEAAAsAAAAAAAAAAAAAAAAALwEAAF9yZWxzLy5yZWxzUEsBAi0AFAAGAAgAAAAhANz5&#10;+fmJAgAAdwUAAA4AAAAAAAAAAAAAAAAALgIAAGRycy9lMm9Eb2MueG1sUEsBAi0AFAAGAAgAAAAh&#10;ADU8QjDZAAAABwEAAA8AAAAAAAAAAAAAAAAA4wQAAGRycy9kb3ducmV2LnhtbFBLBQYAAAAABAAE&#10;APMAAADpBQAAAAA=&#10;" fillcolor="yellow" strokecolor="#70ad47 [3209]" strokeweight=".5pt">
                      <v:path arrowok="t"/>
                    </v:shape>
                  </w:pict>
                </mc:Fallback>
              </mc:AlternateContent>
            </w:r>
          </w:p>
        </w:tc>
        <w:tc>
          <w:tcPr>
            <w:tcW w:w="8604" w:type="dxa"/>
          </w:tcPr>
          <w:p w14:paraId="0FCEADB9" w14:textId="77777777" w:rsidR="004C78F1" w:rsidRDefault="004C78F1" w:rsidP="00686798">
            <w:pPr>
              <w:rPr>
                <w:lang w:eastAsia="en-US"/>
              </w:rPr>
            </w:pPr>
            <w:r>
              <w:rPr>
                <w:rFonts w:eastAsiaTheme="minorHAnsi"/>
                <w:b/>
                <w:lang w:eastAsia="en-US"/>
              </w:rPr>
              <w:t xml:space="preserve">Recommended: </w:t>
            </w:r>
            <w:r>
              <w:rPr>
                <w:rFonts w:eastAsiaTheme="minorHAnsi"/>
                <w:lang w:eastAsia="en-US"/>
              </w:rPr>
              <w:t>Azure Automation solutions that use PowerShell cmdlets should be designed using PowerShell scripting best practices. Additionally, PowerShell scripts should be designed by incorporating PowerShell workflow processes into the initial design, or the scripts can be refactored in the future to use PowerShell workflows.</w:t>
            </w:r>
          </w:p>
        </w:tc>
      </w:tr>
      <w:tr w:rsidR="004C78F1" w14:paraId="423F55AD" w14:textId="77777777" w:rsidTr="00686798">
        <w:trPr>
          <w:trHeight w:val="423"/>
        </w:trPr>
        <w:tc>
          <w:tcPr>
            <w:tcW w:w="666" w:type="dxa"/>
          </w:tcPr>
          <w:p w14:paraId="0A4A82D8" w14:textId="77777777" w:rsidR="004C78F1" w:rsidRDefault="004C78F1" w:rsidP="00686798">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2020736" behindDoc="0" locked="0" layoutInCell="1" allowOverlap="1" wp14:anchorId="5B283789" wp14:editId="30E75AD0">
                      <wp:simplePos x="0" y="0"/>
                      <wp:positionH relativeFrom="column">
                        <wp:posOffset>66675</wp:posOffset>
                      </wp:positionH>
                      <wp:positionV relativeFrom="paragraph">
                        <wp:posOffset>90170</wp:posOffset>
                      </wp:positionV>
                      <wp:extent cx="180975" cy="180975"/>
                      <wp:effectExtent l="57150" t="19050" r="9525" b="104775"/>
                      <wp:wrapNone/>
                      <wp:docPr id="41137" name="Oval 41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2024AF15" id="Oval 41137" o:spid="_x0000_s1026" style="position:absolute;margin-left:5.25pt;margin-top:7.1pt;width:14.25pt;height:14.25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ExQfgIAAGgFAAAOAAAAZHJzL2Uyb0RvYy54bWysVN9P2zAQfp+0/8Hy+0hSyoCIFHUgpkkV&#10;oMHEs+vYrTXb59lu0+6v39lJAxuTkKa9WD7fdz/93V1c7owmW+GDAtvQ6qikRFgOrbKrhn57vPlw&#10;RkmIzLZMgxUN3YtAL2fv3110rhYTWINuhSfoxIa6cw1dx+jqogh8LQwLR+CERaUEb1hE0a+K1rMO&#10;vRtdTMryY9GBb50HLkLA1+teSWfZv5SCxzspg4hENxRzi/n0+Vyms5hdsHrlmVsrPqTB/iELw5TF&#10;oKOraxYZ2Xj1ypVR3EMAGY84mAKkVFzkGrCaqvyjmoc1cyLXgs0JbmxT+H9u+e323hPVNnRaVcen&#10;lFhm8JvutkyT/gU71LlQI/DB3ftUY3AL4N8DKorfNEkIA2YnvUlYrJDscrv3Y7vFLhKOj9VZeX56&#10;QglH1XBPPll9MHY+xM8CDEmXhgqtlQupIaxm20WIPfqAyqmBVu2N0joLfrW80p5gLRi7/FSe5P/G&#10;AOEZlkvos875x70WyVjbr0JiY1KeOWKmpBj9Mc6FjceJQOgwo5OZxNij4fHbhgM+mYpM19F48rbx&#10;aJEjg42jsVEW/N8c6FgNKcseP3xi6OtOLVhCu0dOeOiHJTh+o7D/CxbiPfM4HThHOPHxDg+poWso&#10;DDdK1uB//u094ZG0qKWkw2lraPixYV5Qor9YpPN5NZ2m8czC9OR0goJ/qVm+1NiNuQL80wp3i+P5&#10;mvBRH67Sg3nCxTBPUVHFLMfYDeXRH4Sr2G8BXC1czOcZhiPpWFzYB8cPv57I9bh7Yt4NJIzI3ls4&#10;TOYrIvbY9B8W5psIUmWWPvd16DeOcybOsHrSvngpZ9Tzgpz9AgAA//8DAFBLAwQUAAYACAAAACEA&#10;whqfIt4AAAAHAQAADwAAAGRycy9kb3ducmV2LnhtbEyPQUvDQBCF74L/YRnBi9hNYqs2ZlNEEBS9&#10;mFbU2zQ7JsHsbMhu2/jvHU96Gh7v8eZ7xWpyvdrTGDrPBtJZAoq49rbjxsBmfX9+DSpEZIu9ZzLw&#10;TQFW5fFRgbn1B36hfRUbJSUccjTQxjjkWoe6JYdh5gdi8T796DCKHBttRzxIuet1liSX2mHH8qHF&#10;ge5aqr+qnTPwUW2e3Tp9cm+P6cOCzt77JdpXY05PptsbUJGm+BeGX3xBh1KYtn7HNqhedLKQpNx5&#10;Bkr8i6VM2xqYZ1egy0L/5y9/AAAA//8DAFBLAQItABQABgAIAAAAIQC2gziS/gAAAOEBAAATAAAA&#10;AAAAAAAAAAAAAAAAAABbQ29udGVudF9UeXBlc10ueG1sUEsBAi0AFAAGAAgAAAAhADj9If/WAAAA&#10;lAEAAAsAAAAAAAAAAAAAAAAALwEAAF9yZWxzLy5yZWxzUEsBAi0AFAAGAAgAAAAhANAwTFB+AgAA&#10;aAUAAA4AAAAAAAAAAAAAAAAALgIAAGRycy9lMm9Eb2MueG1sUEsBAi0AFAAGAAgAAAAhAMIanyLe&#10;AAAABwEAAA8AAAAAAAAAAAAAAAAA2AQAAGRycy9kb3ducmV2LnhtbFBLBQYAAAAABAAEAPMAAADj&#10;BQAAAAA=&#10;" fillcolor="#00b050" strokecolor="#a5a5a5 [3206]" strokeweight=".5pt">
                      <v:stroke joinstyle="miter"/>
                      <v:path arrowok="t"/>
                    </v:oval>
                  </w:pict>
                </mc:Fallback>
              </mc:AlternateContent>
            </w:r>
          </w:p>
        </w:tc>
        <w:tc>
          <w:tcPr>
            <w:tcW w:w="8604" w:type="dxa"/>
          </w:tcPr>
          <w:p w14:paraId="678A5DDA" w14:textId="77777777" w:rsidR="004C78F1" w:rsidRDefault="004C78F1" w:rsidP="00686798">
            <w:pPr>
              <w:rPr>
                <w:lang w:eastAsia="en-US"/>
              </w:rPr>
            </w:pPr>
            <w:r>
              <w:rPr>
                <w:rFonts w:eastAsiaTheme="minorHAnsi"/>
                <w:b/>
                <w:lang w:eastAsia="en-US"/>
              </w:rPr>
              <w:t xml:space="preserve">Optional: </w:t>
            </w:r>
            <w:r>
              <w:rPr>
                <w:rFonts w:eastAsiaTheme="minorHAnsi"/>
                <w:lang w:eastAsia="en-US"/>
              </w:rPr>
              <w:t>Consider using the Azure PowerShell cmdlets to build automation solutions on your existing platform if your Azure Automation solutions leverage third-party automation platforms.</w:t>
            </w:r>
          </w:p>
        </w:tc>
      </w:tr>
    </w:tbl>
    <w:p w14:paraId="7D97E0D7" w14:textId="77777777" w:rsidR="004C78F1" w:rsidRDefault="004C78F1" w:rsidP="009E23AE"/>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9E23AE" w14:paraId="197F5BDF" w14:textId="77777777" w:rsidTr="00CB49C9">
        <w:tc>
          <w:tcPr>
            <w:tcW w:w="9360" w:type="dxa"/>
            <w:shd w:val="clear" w:color="auto" w:fill="008AC8"/>
          </w:tcPr>
          <w:p w14:paraId="1C2A2FFA" w14:textId="77777777" w:rsidR="009E23AE" w:rsidRPr="00F47607" w:rsidRDefault="009E23AE" w:rsidP="00CB49C9">
            <w:pPr>
              <w:spacing w:line="240" w:lineRule="auto"/>
              <w:rPr>
                <w:color w:val="FFFFFF"/>
              </w:rPr>
            </w:pPr>
            <w:r>
              <w:rPr>
                <w:color w:val="FFFFFF"/>
              </w:rPr>
              <w:t>Design Guidance</w:t>
            </w:r>
          </w:p>
        </w:tc>
      </w:tr>
    </w:tbl>
    <w:p w14:paraId="35BC249F" w14:textId="77777777" w:rsidR="004C78F1" w:rsidRDefault="004C78F1" w:rsidP="004C78F1">
      <w:pPr>
        <w:shd w:val="clear" w:color="auto" w:fill="FFFFFF"/>
        <w:autoSpaceDE w:val="0"/>
        <w:autoSpaceDN w:val="0"/>
        <w:adjustRightInd w:val="0"/>
        <w:spacing w:before="0" w:after="0" w:line="240" w:lineRule="auto"/>
      </w:pPr>
      <w:r>
        <w:t>Azure PowerShell scripts should follow a number of design recommendations. This section covers some of the following design considerations:</w:t>
      </w:r>
    </w:p>
    <w:p w14:paraId="0DD5AEF2" w14:textId="77777777" w:rsidR="004C78F1" w:rsidRDefault="004C78F1" w:rsidP="004C78F1">
      <w:pPr>
        <w:shd w:val="clear" w:color="auto" w:fill="FFFFFF"/>
        <w:autoSpaceDE w:val="0"/>
        <w:autoSpaceDN w:val="0"/>
        <w:adjustRightInd w:val="0"/>
        <w:spacing w:before="0" w:after="0" w:line="240" w:lineRule="auto"/>
      </w:pPr>
    </w:p>
    <w:p w14:paraId="59A542D1" w14:textId="77777777" w:rsidR="004C78F1" w:rsidRDefault="004C78F1" w:rsidP="004C78F1">
      <w:pPr>
        <w:shd w:val="clear" w:color="auto" w:fill="FFFFFF"/>
        <w:autoSpaceDE w:val="0"/>
        <w:autoSpaceDN w:val="0"/>
        <w:adjustRightInd w:val="0"/>
        <w:spacing w:before="0" w:after="0" w:line="240" w:lineRule="auto"/>
      </w:pPr>
      <w:r w:rsidRPr="00256000">
        <w:rPr>
          <w:b/>
        </w:rPr>
        <w:t xml:space="preserve">Credential </w:t>
      </w:r>
      <w:r>
        <w:rPr>
          <w:b/>
        </w:rPr>
        <w:t>p</w:t>
      </w:r>
      <w:r w:rsidRPr="00256000">
        <w:rPr>
          <w:b/>
        </w:rPr>
        <w:t>rotection</w:t>
      </w:r>
      <w:r>
        <w:t xml:space="preserve"> - We recommend that authors create a dedicated Azure authentication function. These functions should leverage </w:t>
      </w:r>
      <w:r>
        <w:rPr>
          <w:rFonts w:ascii="Lucida Console" w:eastAsiaTheme="minorHAnsi" w:hAnsi="Lucida Console" w:cs="Lucida Console"/>
          <w:color w:val="A9A9A9"/>
          <w:sz w:val="18"/>
          <w:szCs w:val="18"/>
        </w:rPr>
        <w:t>[</w:t>
      </w:r>
      <w:r>
        <w:rPr>
          <w:rFonts w:ascii="Lucida Console" w:eastAsiaTheme="minorHAnsi" w:hAnsi="Lucida Console" w:cs="Lucida Console"/>
          <w:color w:val="008080"/>
          <w:sz w:val="18"/>
          <w:szCs w:val="18"/>
        </w:rPr>
        <w:t>System.Security.SecureString</w:t>
      </w:r>
      <w:r w:rsidRPr="00752907">
        <w:rPr>
          <w:rFonts w:ascii="Lucida Console" w:eastAsiaTheme="minorHAnsi" w:hAnsi="Lucida Console" w:cs="Lucida Console"/>
          <w:color w:val="A9A9A9"/>
          <w:sz w:val="18"/>
          <w:szCs w:val="18"/>
        </w:rPr>
        <w:t>]</w:t>
      </w:r>
      <w:r>
        <w:rPr>
          <w:rFonts w:ascii="Lucida Console" w:eastAsiaTheme="minorHAnsi" w:hAnsi="Lucida Console" w:cs="Lucida Console"/>
          <w:color w:val="A9A9A9"/>
          <w:sz w:val="18"/>
          <w:szCs w:val="18"/>
        </w:rPr>
        <w:t xml:space="preserve"> </w:t>
      </w:r>
      <w:r w:rsidRPr="00752907">
        <w:t>t</w:t>
      </w:r>
      <w:r>
        <w:t>o secure the user passwords during runtime. Following is a code snippet example of an authentication function:</w:t>
      </w:r>
    </w:p>
    <w:p w14:paraId="34014204" w14:textId="77777777" w:rsidR="004C78F1" w:rsidRDefault="004C78F1" w:rsidP="004C78F1">
      <w:pPr>
        <w:shd w:val="clear" w:color="auto" w:fill="FFFFFF"/>
        <w:autoSpaceDE w:val="0"/>
        <w:autoSpaceDN w:val="0"/>
        <w:adjustRightInd w:val="0"/>
        <w:spacing w:before="0" w:after="0" w:line="240" w:lineRule="auto"/>
      </w:pPr>
    </w:p>
    <w:p w14:paraId="2F4E511F"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color w:val="00008B"/>
          <w:sz w:val="18"/>
          <w:szCs w:val="18"/>
        </w:rPr>
        <w:t>Param</w:t>
      </w:r>
      <w:r>
        <w:rPr>
          <w:rFonts w:ascii="Lucida Console" w:eastAsiaTheme="minorHAnsi" w:hAnsi="Lucida Console" w:cs="Lucida Console"/>
          <w:sz w:val="18"/>
          <w:szCs w:val="18"/>
        </w:rPr>
        <w:t>(</w:t>
      </w:r>
    </w:p>
    <w:p w14:paraId="6A8AD88B"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color w:val="A9A9A9"/>
          <w:sz w:val="18"/>
          <w:szCs w:val="18"/>
        </w:rPr>
        <w:t>[</w:t>
      </w:r>
      <w:r>
        <w:rPr>
          <w:rFonts w:ascii="Lucida Console" w:eastAsiaTheme="minorHAnsi" w:hAnsi="Lucida Console" w:cs="Lucida Console"/>
          <w:color w:val="00BFFF"/>
          <w:sz w:val="18"/>
          <w:szCs w:val="18"/>
        </w:rPr>
        <w:t>Parameter</w:t>
      </w:r>
      <w:r>
        <w:rPr>
          <w:rFonts w:ascii="Lucida Console" w:eastAsiaTheme="minorHAnsi" w:hAnsi="Lucida Console" w:cs="Lucida Console"/>
          <w:sz w:val="18"/>
          <w:szCs w:val="18"/>
        </w:rPr>
        <w:t>(Mandatory</w:t>
      </w:r>
      <w:r>
        <w:rPr>
          <w:rFonts w:ascii="Lucida Console" w:eastAsiaTheme="minorHAnsi" w:hAnsi="Lucida Console" w:cs="Lucida Console"/>
          <w:color w:val="A9A9A9"/>
          <w:sz w:val="18"/>
          <w:szCs w:val="18"/>
        </w:rPr>
        <w:t>=</w:t>
      </w:r>
      <w:r>
        <w:rPr>
          <w:rFonts w:ascii="Lucida Console" w:eastAsiaTheme="minorHAnsi" w:hAnsi="Lucida Console" w:cs="Lucida Console"/>
          <w:color w:val="FF4500"/>
          <w:sz w:val="18"/>
          <w:szCs w:val="18"/>
        </w:rPr>
        <w:t>$true</w:t>
      </w:r>
      <w:r>
        <w:rPr>
          <w:rFonts w:ascii="Lucida Console" w:eastAsiaTheme="minorHAnsi" w:hAnsi="Lucida Console" w:cs="Lucida Console"/>
          <w:sz w:val="18"/>
          <w:szCs w:val="18"/>
        </w:rPr>
        <w:t>)</w:t>
      </w:r>
      <w:r>
        <w:rPr>
          <w:rFonts w:ascii="Lucida Console" w:eastAsiaTheme="minorHAnsi" w:hAnsi="Lucida Console" w:cs="Lucida Console"/>
          <w:color w:val="A9A9A9"/>
          <w:sz w:val="18"/>
          <w:szCs w:val="18"/>
        </w:rPr>
        <w:t>][</w:t>
      </w:r>
      <w:r>
        <w:rPr>
          <w:rFonts w:ascii="Lucida Console" w:eastAsiaTheme="minorHAnsi" w:hAnsi="Lucida Console" w:cs="Lucida Console"/>
          <w:color w:val="008080"/>
          <w:sz w:val="18"/>
          <w:szCs w:val="18"/>
        </w:rPr>
        <w:t>string</w:t>
      </w:r>
      <w:r>
        <w:rPr>
          <w:rFonts w:ascii="Lucida Console" w:eastAsiaTheme="minorHAnsi" w:hAnsi="Lucida Console" w:cs="Lucida Console"/>
          <w:color w:val="A9A9A9"/>
          <w:sz w:val="18"/>
          <w:szCs w:val="18"/>
        </w:rPr>
        <w:t>]</w:t>
      </w:r>
      <w:r>
        <w:rPr>
          <w:rFonts w:ascii="Lucida Console" w:eastAsiaTheme="minorHAnsi" w:hAnsi="Lucida Console" w:cs="Lucida Console"/>
          <w:sz w:val="18"/>
          <w:szCs w:val="18"/>
        </w:rPr>
        <w:t xml:space="preserve"> </w:t>
      </w:r>
      <w:r>
        <w:rPr>
          <w:rFonts w:ascii="Lucida Console" w:eastAsiaTheme="minorHAnsi" w:hAnsi="Lucida Console" w:cs="Lucida Console"/>
          <w:color w:val="FF4500"/>
          <w:sz w:val="18"/>
          <w:szCs w:val="18"/>
        </w:rPr>
        <w:t>$AzureUserName</w:t>
      </w:r>
      <w:r>
        <w:rPr>
          <w:rFonts w:ascii="Lucida Console" w:eastAsiaTheme="minorHAnsi" w:hAnsi="Lucida Console" w:cs="Lucida Console"/>
          <w:color w:val="A9A9A9"/>
          <w:sz w:val="18"/>
          <w:szCs w:val="18"/>
        </w:rPr>
        <w:t>,</w:t>
      </w:r>
    </w:p>
    <w:p w14:paraId="6BA234DE"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color w:val="A9A9A9"/>
          <w:sz w:val="18"/>
          <w:szCs w:val="18"/>
        </w:rPr>
        <w:t>[</w:t>
      </w:r>
      <w:r>
        <w:rPr>
          <w:rFonts w:ascii="Lucida Console" w:eastAsiaTheme="minorHAnsi" w:hAnsi="Lucida Console" w:cs="Lucida Console"/>
          <w:color w:val="00BFFF"/>
          <w:sz w:val="18"/>
          <w:szCs w:val="18"/>
        </w:rPr>
        <w:t>Parameter</w:t>
      </w:r>
      <w:r>
        <w:rPr>
          <w:rFonts w:ascii="Lucida Console" w:eastAsiaTheme="minorHAnsi" w:hAnsi="Lucida Console" w:cs="Lucida Console"/>
          <w:sz w:val="18"/>
          <w:szCs w:val="18"/>
        </w:rPr>
        <w:t>(Mandatory</w:t>
      </w:r>
      <w:r>
        <w:rPr>
          <w:rFonts w:ascii="Lucida Console" w:eastAsiaTheme="minorHAnsi" w:hAnsi="Lucida Console" w:cs="Lucida Console"/>
          <w:color w:val="A9A9A9"/>
          <w:sz w:val="18"/>
          <w:szCs w:val="18"/>
        </w:rPr>
        <w:t>=</w:t>
      </w:r>
      <w:r>
        <w:rPr>
          <w:rFonts w:ascii="Lucida Console" w:eastAsiaTheme="minorHAnsi" w:hAnsi="Lucida Console" w:cs="Lucida Console"/>
          <w:color w:val="FF4500"/>
          <w:sz w:val="18"/>
          <w:szCs w:val="18"/>
        </w:rPr>
        <w:t>$true</w:t>
      </w:r>
      <w:r>
        <w:rPr>
          <w:rFonts w:ascii="Lucida Console" w:eastAsiaTheme="minorHAnsi" w:hAnsi="Lucida Console" w:cs="Lucida Console"/>
          <w:sz w:val="18"/>
          <w:szCs w:val="18"/>
        </w:rPr>
        <w:t>)</w:t>
      </w:r>
      <w:r>
        <w:rPr>
          <w:rFonts w:ascii="Lucida Console" w:eastAsiaTheme="minorHAnsi" w:hAnsi="Lucida Console" w:cs="Lucida Console"/>
          <w:color w:val="A9A9A9"/>
          <w:sz w:val="18"/>
          <w:szCs w:val="18"/>
        </w:rPr>
        <w:t>][</w:t>
      </w:r>
      <w:r>
        <w:rPr>
          <w:rFonts w:ascii="Lucida Console" w:eastAsiaTheme="minorHAnsi" w:hAnsi="Lucida Console" w:cs="Lucida Console"/>
          <w:color w:val="008080"/>
          <w:sz w:val="18"/>
          <w:szCs w:val="18"/>
        </w:rPr>
        <w:t>System.Security.SecureString</w:t>
      </w:r>
      <w:r>
        <w:rPr>
          <w:rFonts w:ascii="Lucida Console" w:eastAsiaTheme="minorHAnsi" w:hAnsi="Lucida Console" w:cs="Lucida Console"/>
          <w:color w:val="A9A9A9"/>
          <w:sz w:val="18"/>
          <w:szCs w:val="18"/>
        </w:rPr>
        <w:t>]</w:t>
      </w:r>
      <w:r>
        <w:rPr>
          <w:rFonts w:ascii="Lucida Console" w:eastAsiaTheme="minorHAnsi" w:hAnsi="Lucida Console" w:cs="Lucida Console"/>
          <w:color w:val="FF4500"/>
          <w:sz w:val="18"/>
          <w:szCs w:val="18"/>
        </w:rPr>
        <w:t>$AzurePassword</w:t>
      </w:r>
    </w:p>
    <w:p w14:paraId="48D329D3"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w:t>
      </w:r>
    </w:p>
    <w:p w14:paraId="67F8632F"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color w:val="0000FF"/>
          <w:sz w:val="18"/>
          <w:szCs w:val="18"/>
        </w:rPr>
        <w:t>Import-Module</w:t>
      </w:r>
      <w:r>
        <w:rPr>
          <w:rFonts w:ascii="Lucida Console" w:eastAsiaTheme="minorHAnsi" w:hAnsi="Lucida Console" w:cs="Lucida Console"/>
          <w:sz w:val="18"/>
          <w:szCs w:val="18"/>
        </w:rPr>
        <w:t xml:space="preserve"> </w:t>
      </w:r>
      <w:r>
        <w:rPr>
          <w:rFonts w:ascii="Lucida Console" w:eastAsiaTheme="minorHAnsi" w:hAnsi="Lucida Console" w:cs="Lucida Console"/>
          <w:color w:val="8A2BE2"/>
          <w:sz w:val="18"/>
          <w:szCs w:val="18"/>
        </w:rPr>
        <w:t>Azure</w:t>
      </w:r>
    </w:p>
    <w:p w14:paraId="3F01F29E"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p>
    <w:p w14:paraId="48C56A7E"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color w:val="FF4500"/>
          <w:sz w:val="18"/>
          <w:szCs w:val="18"/>
        </w:rPr>
        <w:t>$azureCred</w:t>
      </w:r>
      <w:r>
        <w:rPr>
          <w:rFonts w:ascii="Lucida Console" w:eastAsiaTheme="minorHAnsi" w:hAnsi="Lucida Console" w:cs="Lucida Console"/>
          <w:sz w:val="18"/>
          <w:szCs w:val="18"/>
        </w:rPr>
        <w:t xml:space="preserve"> </w:t>
      </w:r>
      <w:r>
        <w:rPr>
          <w:rFonts w:ascii="Lucida Console" w:eastAsiaTheme="minorHAnsi" w:hAnsi="Lucida Console" w:cs="Lucida Console"/>
          <w:color w:val="A9A9A9"/>
          <w:sz w:val="18"/>
          <w:szCs w:val="18"/>
        </w:rPr>
        <w:t>=</w:t>
      </w:r>
      <w:r>
        <w:rPr>
          <w:rFonts w:ascii="Lucida Console" w:eastAsiaTheme="minorHAnsi" w:hAnsi="Lucida Console" w:cs="Lucida Console"/>
          <w:sz w:val="18"/>
          <w:szCs w:val="18"/>
        </w:rPr>
        <w:t xml:space="preserve"> </w:t>
      </w:r>
      <w:r>
        <w:rPr>
          <w:rFonts w:ascii="Lucida Console" w:eastAsiaTheme="minorHAnsi" w:hAnsi="Lucida Console" w:cs="Lucida Console"/>
          <w:color w:val="0000FF"/>
          <w:sz w:val="18"/>
          <w:szCs w:val="18"/>
        </w:rPr>
        <w:t>New-Object</w:t>
      </w:r>
      <w:r>
        <w:rPr>
          <w:rFonts w:ascii="Lucida Console" w:eastAsiaTheme="minorHAnsi" w:hAnsi="Lucida Console" w:cs="Lucida Console"/>
          <w:sz w:val="18"/>
          <w:szCs w:val="18"/>
        </w:rPr>
        <w:t xml:space="preserve"> </w:t>
      </w:r>
      <w:r>
        <w:rPr>
          <w:rFonts w:ascii="Lucida Console" w:eastAsiaTheme="minorHAnsi" w:hAnsi="Lucida Console" w:cs="Lucida Console"/>
          <w:color w:val="8A2BE2"/>
          <w:sz w:val="18"/>
          <w:szCs w:val="18"/>
        </w:rPr>
        <w:t>System.Management.Automation.PSCredential</w:t>
      </w:r>
      <w:r>
        <w:rPr>
          <w:rFonts w:ascii="Lucida Console" w:eastAsiaTheme="minorHAnsi" w:hAnsi="Lucida Console" w:cs="Lucida Console"/>
          <w:sz w:val="18"/>
          <w:szCs w:val="18"/>
        </w:rPr>
        <w:t>(</w:t>
      </w:r>
      <w:r>
        <w:rPr>
          <w:rFonts w:ascii="Lucida Console" w:eastAsiaTheme="minorHAnsi" w:hAnsi="Lucida Console" w:cs="Lucida Console"/>
          <w:color w:val="FF4500"/>
          <w:sz w:val="18"/>
          <w:szCs w:val="18"/>
        </w:rPr>
        <w:t>$AzureUserName</w:t>
      </w:r>
      <w:r>
        <w:rPr>
          <w:rFonts w:ascii="Lucida Console" w:eastAsiaTheme="minorHAnsi" w:hAnsi="Lucida Console" w:cs="Lucida Console"/>
          <w:color w:val="A9A9A9"/>
          <w:sz w:val="18"/>
          <w:szCs w:val="18"/>
        </w:rPr>
        <w:t>,</w:t>
      </w:r>
      <w:r>
        <w:rPr>
          <w:rFonts w:ascii="Lucida Console" w:eastAsiaTheme="minorHAnsi" w:hAnsi="Lucida Console" w:cs="Lucida Console"/>
          <w:color w:val="FF4500"/>
          <w:sz w:val="18"/>
          <w:szCs w:val="18"/>
        </w:rPr>
        <w:t>$AzurePassword</w:t>
      </w:r>
      <w:r>
        <w:rPr>
          <w:rFonts w:ascii="Lucida Console" w:eastAsiaTheme="minorHAnsi" w:hAnsi="Lucida Console" w:cs="Lucida Console"/>
          <w:sz w:val="18"/>
          <w:szCs w:val="18"/>
        </w:rPr>
        <w:t xml:space="preserve">) </w:t>
      </w:r>
    </w:p>
    <w:p w14:paraId="58934E78" w14:textId="77777777" w:rsidR="004C78F1" w:rsidRDefault="004C78F1" w:rsidP="004C78F1">
      <w:pPr>
        <w:shd w:val="clear" w:color="auto" w:fill="FFFFFF"/>
        <w:autoSpaceDE w:val="0"/>
        <w:autoSpaceDN w:val="0"/>
        <w:adjustRightInd w:val="0"/>
        <w:spacing w:before="0" w:after="0" w:line="240" w:lineRule="auto"/>
      </w:pPr>
      <w:r>
        <w:t xml:space="preserve"> </w:t>
      </w:r>
    </w:p>
    <w:p w14:paraId="2636449C" w14:textId="77777777" w:rsidR="004C78F1" w:rsidRDefault="004C78F1" w:rsidP="004C78F1">
      <w:pPr>
        <w:shd w:val="clear" w:color="auto" w:fill="FFFFFF"/>
        <w:autoSpaceDE w:val="0"/>
        <w:autoSpaceDN w:val="0"/>
        <w:adjustRightInd w:val="0"/>
        <w:spacing w:before="0" w:after="0" w:line="240" w:lineRule="auto"/>
      </w:pPr>
      <w:r w:rsidRPr="00256000">
        <w:rPr>
          <w:b/>
        </w:rPr>
        <w:t xml:space="preserve">Subscription </w:t>
      </w:r>
      <w:r>
        <w:rPr>
          <w:b/>
        </w:rPr>
        <w:t>d</w:t>
      </w:r>
      <w:r w:rsidRPr="00256000">
        <w:rPr>
          <w:b/>
        </w:rPr>
        <w:t xml:space="preserve">etails </w:t>
      </w:r>
      <w:r w:rsidRPr="000738D0">
        <w:t>-</w:t>
      </w:r>
      <w:r>
        <w:t xml:space="preserve"> After authenticating to Azure, it is advisable to display the subscriptions the user has access to. Generally, administrators in Azure will have access to multiple subscriptions, and they should choose which subscription to leverage at run time. </w:t>
      </w:r>
    </w:p>
    <w:p w14:paraId="0AF2E78C" w14:textId="77777777" w:rsidR="004C78F1" w:rsidRDefault="004C78F1" w:rsidP="004C78F1">
      <w:pPr>
        <w:shd w:val="clear" w:color="auto" w:fill="FFFFFF"/>
        <w:autoSpaceDE w:val="0"/>
        <w:autoSpaceDN w:val="0"/>
        <w:adjustRightInd w:val="0"/>
        <w:spacing w:before="0" w:after="0" w:line="240" w:lineRule="auto"/>
      </w:pPr>
    </w:p>
    <w:p w14:paraId="23A9954B" w14:textId="77777777" w:rsidR="004C78F1" w:rsidRDefault="004C78F1" w:rsidP="004C78F1">
      <w:pPr>
        <w:shd w:val="clear" w:color="auto" w:fill="FFFFFF"/>
        <w:autoSpaceDE w:val="0"/>
        <w:autoSpaceDN w:val="0"/>
        <w:adjustRightInd w:val="0"/>
        <w:spacing w:before="0" w:after="0" w:line="240" w:lineRule="auto"/>
      </w:pPr>
      <w:r>
        <w:t>This approach is generally more flexible than static configuration, file-based subscription assignment of the script actions. To simplify the subscription choice for the user, append an automatically generated number for the user to input, and reference this read-host selection back to the object of available subscriptions:</w:t>
      </w:r>
    </w:p>
    <w:p w14:paraId="3BD110E6" w14:textId="77777777" w:rsidR="004C78F1" w:rsidRDefault="004C78F1" w:rsidP="004C78F1">
      <w:pPr>
        <w:shd w:val="clear" w:color="auto" w:fill="FFFFFF"/>
        <w:autoSpaceDE w:val="0"/>
        <w:autoSpaceDN w:val="0"/>
        <w:adjustRightInd w:val="0"/>
        <w:spacing w:before="0" w:after="0" w:line="240" w:lineRule="auto"/>
      </w:pPr>
    </w:p>
    <w:p w14:paraId="5E82194D"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color w:val="FF4500"/>
          <w:sz w:val="18"/>
          <w:szCs w:val="18"/>
        </w:rPr>
        <w:t>$subscriptionList</w:t>
      </w:r>
      <w:r>
        <w:rPr>
          <w:rFonts w:ascii="Lucida Console" w:eastAsiaTheme="minorHAnsi" w:hAnsi="Lucida Console" w:cs="Lucida Console"/>
          <w:sz w:val="18"/>
          <w:szCs w:val="18"/>
        </w:rPr>
        <w:t xml:space="preserve"> </w:t>
      </w:r>
      <w:r>
        <w:rPr>
          <w:rFonts w:ascii="Lucida Console" w:eastAsiaTheme="minorHAnsi" w:hAnsi="Lucida Console" w:cs="Lucida Console"/>
          <w:color w:val="A9A9A9"/>
          <w:sz w:val="18"/>
          <w:szCs w:val="18"/>
        </w:rPr>
        <w:t>=</w:t>
      </w:r>
      <w:r>
        <w:rPr>
          <w:rFonts w:ascii="Lucida Console" w:eastAsiaTheme="minorHAnsi" w:hAnsi="Lucida Console" w:cs="Lucida Console"/>
          <w:sz w:val="18"/>
          <w:szCs w:val="18"/>
        </w:rPr>
        <w:t xml:space="preserve"> </w:t>
      </w:r>
      <w:r>
        <w:rPr>
          <w:rFonts w:ascii="Lucida Console" w:eastAsiaTheme="minorHAnsi" w:hAnsi="Lucida Console" w:cs="Lucida Console"/>
          <w:color w:val="0000FF"/>
          <w:sz w:val="18"/>
          <w:szCs w:val="18"/>
        </w:rPr>
        <w:t>Get-AzureSubscription</w:t>
      </w:r>
    </w:p>
    <w:p w14:paraId="40117F55"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p>
    <w:p w14:paraId="7A4EA9FB"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color w:val="00008B"/>
          <w:sz w:val="18"/>
          <w:szCs w:val="18"/>
        </w:rPr>
        <w:t>ForEach</w:t>
      </w:r>
      <w:r>
        <w:rPr>
          <w:rFonts w:ascii="Lucida Console" w:eastAsiaTheme="minorHAnsi" w:hAnsi="Lucida Console" w:cs="Lucida Console"/>
          <w:sz w:val="18"/>
          <w:szCs w:val="18"/>
        </w:rPr>
        <w:t xml:space="preserve"> (</w:t>
      </w:r>
      <w:r>
        <w:rPr>
          <w:rFonts w:ascii="Lucida Console" w:eastAsiaTheme="minorHAnsi" w:hAnsi="Lucida Console" w:cs="Lucida Console"/>
          <w:color w:val="FF4500"/>
          <w:sz w:val="18"/>
          <w:szCs w:val="18"/>
        </w:rPr>
        <w:t>$subscription</w:t>
      </w:r>
      <w:r>
        <w:rPr>
          <w:rFonts w:ascii="Lucida Console" w:eastAsiaTheme="minorHAnsi" w:hAnsi="Lucida Console" w:cs="Lucida Console"/>
          <w:sz w:val="18"/>
          <w:szCs w:val="18"/>
        </w:rPr>
        <w:t xml:space="preserve"> </w:t>
      </w:r>
      <w:r>
        <w:rPr>
          <w:rFonts w:ascii="Lucida Console" w:eastAsiaTheme="minorHAnsi" w:hAnsi="Lucida Console" w:cs="Lucida Console"/>
          <w:color w:val="00008B"/>
          <w:sz w:val="18"/>
          <w:szCs w:val="18"/>
        </w:rPr>
        <w:t>in</w:t>
      </w:r>
      <w:r>
        <w:rPr>
          <w:rFonts w:ascii="Lucida Console" w:eastAsiaTheme="minorHAnsi" w:hAnsi="Lucida Console" w:cs="Lucida Console"/>
          <w:sz w:val="18"/>
          <w:szCs w:val="18"/>
        </w:rPr>
        <w:t xml:space="preserve"> </w:t>
      </w:r>
      <w:r>
        <w:rPr>
          <w:rFonts w:ascii="Lucida Console" w:eastAsiaTheme="minorHAnsi" w:hAnsi="Lucida Console" w:cs="Lucida Console"/>
          <w:color w:val="FF4500"/>
          <w:sz w:val="18"/>
          <w:szCs w:val="18"/>
        </w:rPr>
        <w:t>$subscriptionList</w:t>
      </w:r>
      <w:r>
        <w:rPr>
          <w:rFonts w:ascii="Lucida Console" w:eastAsiaTheme="minorHAnsi" w:hAnsi="Lucida Console" w:cs="Lucida Console"/>
          <w:sz w:val="18"/>
          <w:szCs w:val="18"/>
        </w:rPr>
        <w:t>) {</w:t>
      </w:r>
    </w:p>
    <w:p w14:paraId="36DBF4AD"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r>
        <w:rPr>
          <w:rFonts w:ascii="Lucida Console" w:eastAsiaTheme="minorHAnsi" w:hAnsi="Lucida Console" w:cs="Lucida Console"/>
          <w:color w:val="FF4500"/>
          <w:sz w:val="18"/>
          <w:szCs w:val="18"/>
        </w:rPr>
        <w:t>$subscriptionNumber</w:t>
      </w:r>
      <w:r>
        <w:rPr>
          <w:rFonts w:ascii="Lucida Console" w:eastAsiaTheme="minorHAnsi" w:hAnsi="Lucida Console" w:cs="Lucida Console"/>
          <w:sz w:val="18"/>
          <w:szCs w:val="18"/>
        </w:rPr>
        <w:t xml:space="preserve"> </w:t>
      </w:r>
      <w:r>
        <w:rPr>
          <w:rFonts w:ascii="Lucida Console" w:eastAsiaTheme="minorHAnsi" w:hAnsi="Lucida Console" w:cs="Lucida Console"/>
          <w:color w:val="A9A9A9"/>
          <w:sz w:val="18"/>
          <w:szCs w:val="18"/>
        </w:rPr>
        <w:t>++</w:t>
      </w:r>
    </w:p>
    <w:p w14:paraId="2F46594E"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p>
    <w:p w14:paraId="38DCD19D"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r>
        <w:rPr>
          <w:rFonts w:ascii="Lucida Console" w:eastAsiaTheme="minorHAnsi" w:hAnsi="Lucida Console" w:cs="Lucida Console"/>
          <w:color w:val="FF4500"/>
          <w:sz w:val="18"/>
          <w:szCs w:val="18"/>
        </w:rPr>
        <w:t>$properties</w:t>
      </w:r>
      <w:r>
        <w:rPr>
          <w:rFonts w:ascii="Lucida Console" w:eastAsiaTheme="minorHAnsi" w:hAnsi="Lucida Console" w:cs="Lucida Console"/>
          <w:sz w:val="18"/>
          <w:szCs w:val="18"/>
        </w:rPr>
        <w:t xml:space="preserve"> </w:t>
      </w:r>
      <w:r>
        <w:rPr>
          <w:rFonts w:ascii="Lucida Console" w:eastAsiaTheme="minorHAnsi" w:hAnsi="Lucida Console" w:cs="Lucida Console"/>
          <w:color w:val="A9A9A9"/>
          <w:sz w:val="18"/>
          <w:szCs w:val="18"/>
        </w:rPr>
        <w:t>=</w:t>
      </w:r>
      <w:r>
        <w:rPr>
          <w:rFonts w:ascii="Lucida Console" w:eastAsiaTheme="minorHAnsi" w:hAnsi="Lucida Console" w:cs="Lucida Console"/>
          <w:sz w:val="18"/>
          <w:szCs w:val="18"/>
        </w:rPr>
        <w:t xml:space="preserve"> @{</w:t>
      </w:r>
      <w:r>
        <w:rPr>
          <w:rFonts w:ascii="Lucida Console" w:eastAsiaTheme="minorHAnsi" w:hAnsi="Lucida Console" w:cs="Lucida Console"/>
          <w:color w:val="8B0000"/>
          <w:sz w:val="18"/>
          <w:szCs w:val="18"/>
        </w:rPr>
        <w:t>'SubscriptionNumber'</w:t>
      </w:r>
      <w:r>
        <w:rPr>
          <w:rFonts w:ascii="Lucida Console" w:eastAsiaTheme="minorHAnsi" w:hAnsi="Lucida Console" w:cs="Lucida Console"/>
          <w:color w:val="A9A9A9"/>
          <w:sz w:val="18"/>
          <w:szCs w:val="18"/>
        </w:rPr>
        <w:t>=</w:t>
      </w:r>
      <w:r>
        <w:rPr>
          <w:rFonts w:ascii="Lucida Console" w:eastAsiaTheme="minorHAnsi" w:hAnsi="Lucida Console" w:cs="Lucida Console"/>
          <w:color w:val="FF4500"/>
          <w:sz w:val="18"/>
          <w:szCs w:val="18"/>
        </w:rPr>
        <w:t>$subscriptionNumber</w:t>
      </w:r>
      <w:r>
        <w:rPr>
          <w:rFonts w:ascii="Lucida Console" w:eastAsiaTheme="minorHAnsi" w:hAnsi="Lucida Console" w:cs="Lucida Console"/>
          <w:sz w:val="18"/>
          <w:szCs w:val="18"/>
        </w:rPr>
        <w:t>;</w:t>
      </w:r>
    </w:p>
    <w:p w14:paraId="0A624A6E"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r>
        <w:rPr>
          <w:rFonts w:ascii="Lucida Console" w:eastAsiaTheme="minorHAnsi" w:hAnsi="Lucida Console" w:cs="Lucida Console"/>
          <w:color w:val="8B0000"/>
          <w:sz w:val="18"/>
          <w:szCs w:val="18"/>
        </w:rPr>
        <w:t>'SubscriptionName'</w:t>
      </w:r>
      <w:r>
        <w:rPr>
          <w:rFonts w:ascii="Lucida Console" w:eastAsiaTheme="minorHAnsi" w:hAnsi="Lucida Console" w:cs="Lucida Console"/>
          <w:color w:val="A9A9A9"/>
          <w:sz w:val="18"/>
          <w:szCs w:val="18"/>
        </w:rPr>
        <w:t>=</w:t>
      </w:r>
      <w:r>
        <w:rPr>
          <w:rFonts w:ascii="Lucida Console" w:eastAsiaTheme="minorHAnsi" w:hAnsi="Lucida Console" w:cs="Lucida Console"/>
          <w:color w:val="FF4500"/>
          <w:sz w:val="18"/>
          <w:szCs w:val="18"/>
        </w:rPr>
        <w:t>$subscription</w:t>
      </w:r>
      <w:r>
        <w:rPr>
          <w:rFonts w:ascii="Lucida Console" w:eastAsiaTheme="minorHAnsi" w:hAnsi="Lucida Console" w:cs="Lucida Console"/>
          <w:color w:val="A9A9A9"/>
          <w:sz w:val="18"/>
          <w:szCs w:val="18"/>
        </w:rPr>
        <w:t>.</w:t>
      </w:r>
      <w:r>
        <w:rPr>
          <w:rFonts w:ascii="Lucida Console" w:eastAsiaTheme="minorHAnsi" w:hAnsi="Lucida Console" w:cs="Lucida Console"/>
          <w:sz w:val="18"/>
          <w:szCs w:val="18"/>
        </w:rPr>
        <w:t>SubscriptionName</w:t>
      </w:r>
    </w:p>
    <w:p w14:paraId="77CE21FE"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r>
        <w:rPr>
          <w:rFonts w:ascii="Lucida Console" w:eastAsiaTheme="minorHAnsi" w:hAnsi="Lucida Console" w:cs="Lucida Console"/>
          <w:color w:val="8B0000"/>
          <w:sz w:val="18"/>
          <w:szCs w:val="18"/>
        </w:rPr>
        <w:t>'SubscriptionID'</w:t>
      </w:r>
      <w:r>
        <w:rPr>
          <w:rFonts w:ascii="Lucida Console" w:eastAsiaTheme="minorHAnsi" w:hAnsi="Lucida Console" w:cs="Lucida Console"/>
          <w:color w:val="A9A9A9"/>
          <w:sz w:val="18"/>
          <w:szCs w:val="18"/>
        </w:rPr>
        <w:t>=</w:t>
      </w:r>
      <w:r>
        <w:rPr>
          <w:rFonts w:ascii="Lucida Console" w:eastAsiaTheme="minorHAnsi" w:hAnsi="Lucida Console" w:cs="Lucida Console"/>
          <w:color w:val="FF4500"/>
          <w:sz w:val="18"/>
          <w:szCs w:val="18"/>
        </w:rPr>
        <w:t>$subscription</w:t>
      </w:r>
      <w:r>
        <w:rPr>
          <w:rFonts w:ascii="Lucida Console" w:eastAsiaTheme="minorHAnsi" w:hAnsi="Lucida Console" w:cs="Lucida Console"/>
          <w:color w:val="A9A9A9"/>
          <w:sz w:val="18"/>
          <w:szCs w:val="18"/>
        </w:rPr>
        <w:t>.</w:t>
      </w:r>
      <w:r>
        <w:rPr>
          <w:rFonts w:ascii="Lucida Console" w:eastAsiaTheme="minorHAnsi" w:hAnsi="Lucida Console" w:cs="Lucida Console"/>
          <w:sz w:val="18"/>
          <w:szCs w:val="18"/>
        </w:rPr>
        <w:t>SubscriptionId</w:t>
      </w:r>
    </w:p>
    <w:p w14:paraId="39FB0AC7"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p>
    <w:p w14:paraId="6ED957B8"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r>
        <w:rPr>
          <w:rFonts w:ascii="Lucida Console" w:eastAsiaTheme="minorHAnsi" w:hAnsi="Lucida Console" w:cs="Lucida Console"/>
          <w:color w:val="FF4500"/>
          <w:sz w:val="18"/>
          <w:szCs w:val="18"/>
        </w:rPr>
        <w:t>$PSObject</w:t>
      </w:r>
      <w:r>
        <w:rPr>
          <w:rFonts w:ascii="Lucida Console" w:eastAsiaTheme="minorHAnsi" w:hAnsi="Lucida Console" w:cs="Lucida Console"/>
          <w:sz w:val="18"/>
          <w:szCs w:val="18"/>
        </w:rPr>
        <w:t xml:space="preserve"> </w:t>
      </w:r>
      <w:r>
        <w:rPr>
          <w:rFonts w:ascii="Lucida Console" w:eastAsiaTheme="minorHAnsi" w:hAnsi="Lucida Console" w:cs="Lucida Console"/>
          <w:color w:val="A9A9A9"/>
          <w:sz w:val="18"/>
          <w:szCs w:val="18"/>
        </w:rPr>
        <w:t>=</w:t>
      </w:r>
      <w:r>
        <w:rPr>
          <w:rFonts w:ascii="Lucida Console" w:eastAsiaTheme="minorHAnsi" w:hAnsi="Lucida Console" w:cs="Lucida Console"/>
          <w:sz w:val="18"/>
          <w:szCs w:val="18"/>
        </w:rPr>
        <w:t xml:space="preserve"> </w:t>
      </w:r>
      <w:r>
        <w:rPr>
          <w:rFonts w:ascii="Lucida Console" w:eastAsiaTheme="minorHAnsi" w:hAnsi="Lucida Console" w:cs="Lucida Console"/>
          <w:color w:val="0000FF"/>
          <w:sz w:val="18"/>
          <w:szCs w:val="18"/>
        </w:rPr>
        <w:t>New-Object</w:t>
      </w:r>
      <w:r>
        <w:rPr>
          <w:rFonts w:ascii="Lucida Console" w:eastAsiaTheme="minorHAnsi" w:hAnsi="Lucida Console" w:cs="Lucida Console"/>
          <w:sz w:val="18"/>
          <w:szCs w:val="18"/>
        </w:rPr>
        <w:t xml:space="preserve"> </w:t>
      </w:r>
      <w:r>
        <w:rPr>
          <w:rFonts w:ascii="Lucida Console" w:eastAsiaTheme="minorHAnsi" w:hAnsi="Lucida Console" w:cs="Lucida Console"/>
          <w:color w:val="000080"/>
          <w:sz w:val="18"/>
          <w:szCs w:val="18"/>
        </w:rPr>
        <w:t>-TypeName</w:t>
      </w:r>
      <w:r>
        <w:rPr>
          <w:rFonts w:ascii="Lucida Console" w:eastAsiaTheme="minorHAnsi" w:hAnsi="Lucida Console" w:cs="Lucida Console"/>
          <w:sz w:val="18"/>
          <w:szCs w:val="18"/>
        </w:rPr>
        <w:t xml:space="preserve"> </w:t>
      </w:r>
      <w:r>
        <w:rPr>
          <w:rFonts w:ascii="Lucida Console" w:eastAsiaTheme="minorHAnsi" w:hAnsi="Lucida Console" w:cs="Lucida Console"/>
          <w:color w:val="8A2BE2"/>
          <w:sz w:val="18"/>
          <w:szCs w:val="18"/>
        </w:rPr>
        <w:t>PSObject</w:t>
      </w:r>
      <w:r>
        <w:rPr>
          <w:rFonts w:ascii="Lucida Console" w:eastAsiaTheme="minorHAnsi" w:hAnsi="Lucida Console" w:cs="Lucida Console"/>
          <w:sz w:val="18"/>
          <w:szCs w:val="18"/>
        </w:rPr>
        <w:t xml:space="preserve"> </w:t>
      </w:r>
      <w:r>
        <w:rPr>
          <w:rFonts w:ascii="Lucida Console" w:eastAsiaTheme="minorHAnsi" w:hAnsi="Lucida Console" w:cs="Lucida Console"/>
          <w:color w:val="000080"/>
          <w:sz w:val="18"/>
          <w:szCs w:val="18"/>
        </w:rPr>
        <w:t>-Property</w:t>
      </w:r>
      <w:r>
        <w:rPr>
          <w:rFonts w:ascii="Lucida Console" w:eastAsiaTheme="minorHAnsi" w:hAnsi="Lucida Console" w:cs="Lucida Console"/>
          <w:sz w:val="18"/>
          <w:szCs w:val="18"/>
        </w:rPr>
        <w:t xml:space="preserve"> </w:t>
      </w:r>
      <w:r>
        <w:rPr>
          <w:rFonts w:ascii="Lucida Console" w:eastAsiaTheme="minorHAnsi" w:hAnsi="Lucida Console" w:cs="Lucida Console"/>
          <w:color w:val="FF4500"/>
          <w:sz w:val="18"/>
          <w:szCs w:val="18"/>
        </w:rPr>
        <w:t>$properties</w:t>
      </w:r>
    </w:p>
    <w:p w14:paraId="23072F79"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r>
        <w:rPr>
          <w:rFonts w:ascii="Lucida Console" w:eastAsiaTheme="minorHAnsi" w:hAnsi="Lucida Console" w:cs="Lucida Console"/>
          <w:color w:val="FF4500"/>
          <w:sz w:val="18"/>
          <w:szCs w:val="18"/>
        </w:rPr>
        <w:t>$subscriptionResults</w:t>
      </w:r>
      <w:r>
        <w:rPr>
          <w:rFonts w:ascii="Lucida Console" w:eastAsiaTheme="minorHAnsi" w:hAnsi="Lucida Console" w:cs="Lucida Console"/>
          <w:sz w:val="18"/>
          <w:szCs w:val="18"/>
        </w:rPr>
        <w:t xml:space="preserve"> </w:t>
      </w:r>
      <w:r>
        <w:rPr>
          <w:rFonts w:ascii="Lucida Console" w:eastAsiaTheme="minorHAnsi" w:hAnsi="Lucida Console" w:cs="Lucida Console"/>
          <w:color w:val="A9A9A9"/>
          <w:sz w:val="18"/>
          <w:szCs w:val="18"/>
        </w:rPr>
        <w:t>+=</w:t>
      </w:r>
      <w:r>
        <w:rPr>
          <w:rFonts w:ascii="Lucida Console" w:eastAsiaTheme="minorHAnsi" w:hAnsi="Lucida Console" w:cs="Lucida Console"/>
          <w:sz w:val="18"/>
          <w:szCs w:val="18"/>
        </w:rPr>
        <w:t xml:space="preserve"> @(</w:t>
      </w:r>
      <w:r>
        <w:rPr>
          <w:rFonts w:ascii="Lucida Console" w:eastAsiaTheme="minorHAnsi" w:hAnsi="Lucida Console" w:cs="Lucida Console"/>
          <w:color w:val="FF4500"/>
          <w:sz w:val="18"/>
          <w:szCs w:val="18"/>
        </w:rPr>
        <w:t>$PSObject</w:t>
      </w:r>
      <w:r>
        <w:rPr>
          <w:rFonts w:ascii="Lucida Console" w:eastAsiaTheme="minorHAnsi" w:hAnsi="Lucida Console" w:cs="Lucida Console"/>
          <w:sz w:val="18"/>
          <w:szCs w:val="18"/>
        </w:rPr>
        <w:t>)</w:t>
      </w:r>
    </w:p>
    <w:p w14:paraId="65B4F1B9"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p>
    <w:p w14:paraId="69AA2BF5"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p>
    <w:p w14:paraId="40654978"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color w:val="00008B"/>
          <w:sz w:val="18"/>
          <w:szCs w:val="18"/>
        </w:rPr>
        <w:t>return</w:t>
      </w:r>
      <w:r>
        <w:rPr>
          <w:rFonts w:ascii="Lucida Console" w:eastAsiaTheme="minorHAnsi" w:hAnsi="Lucida Console" w:cs="Lucida Console"/>
          <w:sz w:val="18"/>
          <w:szCs w:val="18"/>
        </w:rPr>
        <w:t xml:space="preserve"> </w:t>
      </w:r>
      <w:r>
        <w:rPr>
          <w:rFonts w:ascii="Lucida Console" w:eastAsiaTheme="minorHAnsi" w:hAnsi="Lucida Console" w:cs="Lucida Console"/>
          <w:color w:val="FF4500"/>
          <w:sz w:val="18"/>
          <w:szCs w:val="18"/>
        </w:rPr>
        <w:t>$subscriptionResults</w:t>
      </w:r>
    </w:p>
    <w:p w14:paraId="08C056EA"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p>
    <w:p w14:paraId="55D30C13"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p>
    <w:p w14:paraId="1C83102B" w14:textId="77777777" w:rsidR="004C78F1" w:rsidRDefault="004C78F1" w:rsidP="004C78F1">
      <w:pPr>
        <w:shd w:val="clear" w:color="auto" w:fill="FFFFFF"/>
        <w:autoSpaceDE w:val="0"/>
        <w:autoSpaceDN w:val="0"/>
        <w:adjustRightInd w:val="0"/>
        <w:spacing w:before="0" w:after="0" w:line="240" w:lineRule="auto"/>
      </w:pPr>
    </w:p>
    <w:p w14:paraId="6B0FFE3C" w14:textId="77777777" w:rsidR="004C78F1" w:rsidRDefault="004C78F1" w:rsidP="004C78F1">
      <w:pPr>
        <w:shd w:val="clear" w:color="auto" w:fill="FFFFFF"/>
        <w:autoSpaceDE w:val="0"/>
        <w:autoSpaceDN w:val="0"/>
        <w:adjustRightInd w:val="0"/>
        <w:spacing w:before="0" w:after="0" w:line="240" w:lineRule="auto"/>
      </w:pPr>
      <w:r w:rsidRPr="00256000">
        <w:rPr>
          <w:b/>
        </w:rPr>
        <w:t xml:space="preserve">Object </w:t>
      </w:r>
      <w:r>
        <w:rPr>
          <w:b/>
        </w:rPr>
        <w:t>n</w:t>
      </w:r>
      <w:r w:rsidRPr="00256000">
        <w:rPr>
          <w:b/>
        </w:rPr>
        <w:t xml:space="preserve">aming </w:t>
      </w:r>
      <w:r>
        <w:rPr>
          <w:b/>
        </w:rPr>
        <w:t>d</w:t>
      </w:r>
      <w:r w:rsidRPr="00256000">
        <w:rPr>
          <w:b/>
        </w:rPr>
        <w:t>econfliction</w:t>
      </w:r>
      <w:r>
        <w:t xml:space="preserve"> - For provisioning scripts, we recommend that you test the name of the object you intend to provision. Azure objects have requirements to be globally unique. For example, the name of a storage account must be unique across all of Azure. </w:t>
      </w:r>
    </w:p>
    <w:p w14:paraId="5F9941F9" w14:textId="77777777" w:rsidR="004C78F1" w:rsidRDefault="004C78F1" w:rsidP="004C78F1">
      <w:pPr>
        <w:shd w:val="clear" w:color="auto" w:fill="FFFFFF"/>
        <w:autoSpaceDE w:val="0"/>
        <w:autoSpaceDN w:val="0"/>
        <w:adjustRightInd w:val="0"/>
        <w:spacing w:before="0" w:after="0" w:line="240" w:lineRule="auto"/>
      </w:pPr>
    </w:p>
    <w:p w14:paraId="1584E92B" w14:textId="77777777" w:rsidR="004C78F1" w:rsidRDefault="004C78F1" w:rsidP="004C78F1">
      <w:pPr>
        <w:shd w:val="clear" w:color="auto" w:fill="FFFFFF"/>
        <w:autoSpaceDE w:val="0"/>
        <w:autoSpaceDN w:val="0"/>
        <w:adjustRightInd w:val="0"/>
        <w:spacing w:before="0" w:after="0" w:line="240" w:lineRule="auto"/>
      </w:pPr>
      <w:r>
        <w:t xml:space="preserve">Other objects must be unique within an individual subscription, for example virtual machine names. Authors should test the name prior to attempting a provisioning action. Generally, test within the current subscription first to see if the object already exists. If the name is not already used in the subscription, use the following script to leverage the </w:t>
      </w:r>
      <w:r w:rsidRPr="00786CC2">
        <w:rPr>
          <w:b/>
        </w:rPr>
        <w:t>Test-AzureName</w:t>
      </w:r>
      <w:r>
        <w:t xml:space="preserve"> cmdlet to test if the name is taken in Azure.</w:t>
      </w:r>
    </w:p>
    <w:p w14:paraId="26F1C5D4" w14:textId="77777777" w:rsidR="004C78F1" w:rsidRDefault="004C78F1" w:rsidP="004C78F1">
      <w:pPr>
        <w:shd w:val="clear" w:color="auto" w:fill="FFFFFF"/>
        <w:autoSpaceDE w:val="0"/>
        <w:autoSpaceDN w:val="0"/>
        <w:adjustRightInd w:val="0"/>
        <w:spacing w:before="0" w:after="0" w:line="240" w:lineRule="auto"/>
      </w:pPr>
    </w:p>
    <w:p w14:paraId="243F1A21"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color w:val="FF4500"/>
          <w:sz w:val="18"/>
          <w:szCs w:val="18"/>
        </w:rPr>
        <w:t>$testAzureServiceName</w:t>
      </w:r>
      <w:r>
        <w:rPr>
          <w:rFonts w:ascii="Lucida Console" w:eastAsiaTheme="minorHAnsi" w:hAnsi="Lucida Console" w:cs="Lucida Console"/>
          <w:sz w:val="18"/>
          <w:szCs w:val="18"/>
        </w:rPr>
        <w:t xml:space="preserve"> </w:t>
      </w:r>
      <w:r>
        <w:rPr>
          <w:rFonts w:ascii="Lucida Console" w:eastAsiaTheme="minorHAnsi" w:hAnsi="Lucida Console" w:cs="Lucida Console"/>
          <w:color w:val="A9A9A9"/>
          <w:sz w:val="18"/>
          <w:szCs w:val="18"/>
        </w:rPr>
        <w:t>=</w:t>
      </w:r>
      <w:r>
        <w:rPr>
          <w:rFonts w:ascii="Lucida Console" w:eastAsiaTheme="minorHAnsi" w:hAnsi="Lucida Console" w:cs="Lucida Console"/>
          <w:sz w:val="18"/>
          <w:szCs w:val="18"/>
        </w:rPr>
        <w:t xml:space="preserve"> </w:t>
      </w:r>
      <w:r>
        <w:rPr>
          <w:rFonts w:ascii="Lucida Console" w:eastAsiaTheme="minorHAnsi" w:hAnsi="Lucida Console" w:cs="Lucida Console"/>
          <w:color w:val="0000FF"/>
          <w:sz w:val="18"/>
          <w:szCs w:val="18"/>
        </w:rPr>
        <w:t>Test-AzureName</w:t>
      </w:r>
      <w:r>
        <w:rPr>
          <w:rFonts w:ascii="Lucida Console" w:eastAsiaTheme="minorHAnsi" w:hAnsi="Lucida Console" w:cs="Lucida Console"/>
          <w:sz w:val="18"/>
          <w:szCs w:val="18"/>
        </w:rPr>
        <w:t xml:space="preserve"> </w:t>
      </w:r>
      <w:r>
        <w:rPr>
          <w:rFonts w:ascii="Lucida Console" w:eastAsiaTheme="minorHAnsi" w:hAnsi="Lucida Console" w:cs="Lucida Console"/>
          <w:color w:val="000080"/>
          <w:sz w:val="18"/>
          <w:szCs w:val="18"/>
        </w:rPr>
        <w:t>-Service</w:t>
      </w:r>
      <w:r>
        <w:rPr>
          <w:rFonts w:ascii="Lucida Console" w:eastAsiaTheme="minorHAnsi" w:hAnsi="Lucida Console" w:cs="Lucida Console"/>
          <w:sz w:val="18"/>
          <w:szCs w:val="18"/>
        </w:rPr>
        <w:t xml:space="preserve"> </w:t>
      </w:r>
      <w:r>
        <w:rPr>
          <w:rFonts w:ascii="Lucida Console" w:eastAsiaTheme="minorHAnsi" w:hAnsi="Lucida Console" w:cs="Lucida Console"/>
          <w:color w:val="FF4500"/>
          <w:sz w:val="18"/>
          <w:szCs w:val="18"/>
        </w:rPr>
        <w:t>$cloudServiceName</w:t>
      </w:r>
    </w:p>
    <w:p w14:paraId="23DA1BBD"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p>
    <w:p w14:paraId="0166DA89"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r>
        <w:rPr>
          <w:rFonts w:ascii="Lucida Console" w:eastAsiaTheme="minorHAnsi" w:hAnsi="Lucida Console" w:cs="Lucida Console"/>
          <w:color w:val="00008B"/>
          <w:sz w:val="18"/>
          <w:szCs w:val="18"/>
        </w:rPr>
        <w:t>If</w:t>
      </w:r>
      <w:r>
        <w:rPr>
          <w:rFonts w:ascii="Lucida Console" w:eastAsiaTheme="minorHAnsi" w:hAnsi="Lucida Console" w:cs="Lucida Console"/>
          <w:sz w:val="18"/>
          <w:szCs w:val="18"/>
        </w:rPr>
        <w:t xml:space="preserve"> (</w:t>
      </w:r>
      <w:r>
        <w:rPr>
          <w:rFonts w:ascii="Lucida Console" w:eastAsiaTheme="minorHAnsi" w:hAnsi="Lucida Console" w:cs="Lucida Console"/>
          <w:color w:val="FF4500"/>
          <w:sz w:val="18"/>
          <w:szCs w:val="18"/>
        </w:rPr>
        <w:t>$testAzureServiceName</w:t>
      </w:r>
      <w:r>
        <w:rPr>
          <w:rFonts w:ascii="Lucida Console" w:eastAsiaTheme="minorHAnsi" w:hAnsi="Lucida Console" w:cs="Lucida Console"/>
          <w:sz w:val="18"/>
          <w:szCs w:val="18"/>
        </w:rPr>
        <w:t>) {</w:t>
      </w:r>
    </w:p>
    <w:p w14:paraId="61DA6813"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p>
    <w:p w14:paraId="12D7847C"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r>
        <w:rPr>
          <w:rFonts w:ascii="Lucida Console" w:eastAsiaTheme="minorHAnsi" w:hAnsi="Lucida Console" w:cs="Lucida Console"/>
          <w:color w:val="0000FF"/>
          <w:sz w:val="18"/>
          <w:szCs w:val="18"/>
        </w:rPr>
        <w:t>Write-Host</w:t>
      </w:r>
      <w:r>
        <w:rPr>
          <w:rFonts w:ascii="Lucida Console" w:eastAsiaTheme="minorHAnsi" w:hAnsi="Lucida Console" w:cs="Lucida Console"/>
          <w:sz w:val="18"/>
          <w:szCs w:val="18"/>
        </w:rPr>
        <w:t xml:space="preserve"> </w:t>
      </w:r>
      <w:r>
        <w:rPr>
          <w:rFonts w:ascii="Lucida Console" w:eastAsiaTheme="minorHAnsi" w:hAnsi="Lucida Console" w:cs="Lucida Console"/>
          <w:color w:val="8B0000"/>
          <w:sz w:val="18"/>
          <w:szCs w:val="18"/>
        </w:rPr>
        <w:t>'Cloud Service Name already taken, choose another name and run script again'</w:t>
      </w:r>
    </w:p>
    <w:p w14:paraId="71025758"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r>
        <w:rPr>
          <w:rFonts w:ascii="Lucida Console" w:eastAsiaTheme="minorHAnsi" w:hAnsi="Lucida Console" w:cs="Lucida Console"/>
          <w:color w:val="00008B"/>
          <w:sz w:val="18"/>
          <w:szCs w:val="18"/>
        </w:rPr>
        <w:t>Return</w:t>
      </w:r>
      <w:r>
        <w:rPr>
          <w:rFonts w:ascii="Lucida Console" w:eastAsiaTheme="minorHAnsi" w:hAnsi="Lucida Console" w:cs="Lucida Console"/>
          <w:sz w:val="18"/>
          <w:szCs w:val="18"/>
        </w:rPr>
        <w:t xml:space="preserve"> </w:t>
      </w:r>
      <w:r>
        <w:rPr>
          <w:rFonts w:ascii="Lucida Console" w:eastAsiaTheme="minorHAnsi" w:hAnsi="Lucida Console" w:cs="Lucida Console"/>
          <w:color w:val="FF4500"/>
          <w:sz w:val="18"/>
          <w:szCs w:val="18"/>
        </w:rPr>
        <w:t>$null</w:t>
      </w:r>
      <w:r>
        <w:rPr>
          <w:rFonts w:ascii="Lucida Console" w:eastAsiaTheme="minorHAnsi" w:hAnsi="Lucida Console" w:cs="Lucida Console"/>
          <w:color w:val="A9A9A9"/>
          <w:sz w:val="18"/>
          <w:szCs w:val="18"/>
        </w:rPr>
        <w:t>,</w:t>
      </w:r>
      <w:r>
        <w:rPr>
          <w:rFonts w:ascii="Lucida Console" w:eastAsiaTheme="minorHAnsi" w:hAnsi="Lucida Console" w:cs="Lucida Console"/>
          <w:sz w:val="18"/>
          <w:szCs w:val="18"/>
        </w:rPr>
        <w:t xml:space="preserve"> </w:t>
      </w:r>
      <w:r>
        <w:rPr>
          <w:rFonts w:ascii="Lucida Console" w:eastAsiaTheme="minorHAnsi" w:hAnsi="Lucida Console" w:cs="Lucida Console"/>
          <w:color w:val="FF4500"/>
          <w:sz w:val="18"/>
          <w:szCs w:val="18"/>
        </w:rPr>
        <w:t>$false</w:t>
      </w:r>
    </w:p>
    <w:p w14:paraId="01DDC40F"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p>
    <w:p w14:paraId="33B714F1"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r>
        <w:rPr>
          <w:rFonts w:ascii="Lucida Console" w:eastAsiaTheme="minorHAnsi" w:hAnsi="Lucida Console" w:cs="Lucida Console"/>
          <w:color w:val="00008B"/>
          <w:sz w:val="18"/>
          <w:szCs w:val="18"/>
        </w:rPr>
        <w:t>Else</w:t>
      </w:r>
      <w:r>
        <w:rPr>
          <w:rFonts w:ascii="Lucida Console" w:eastAsiaTheme="minorHAnsi" w:hAnsi="Lucida Console" w:cs="Lucida Console"/>
          <w:sz w:val="18"/>
          <w:szCs w:val="18"/>
        </w:rPr>
        <w:t xml:space="preserve"> {</w:t>
      </w:r>
    </w:p>
    <w:p w14:paraId="11AB42D0"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p>
    <w:p w14:paraId="722EE732"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r>
        <w:rPr>
          <w:rFonts w:ascii="Lucida Console" w:eastAsiaTheme="minorHAnsi" w:hAnsi="Lucida Console" w:cs="Lucida Console"/>
          <w:color w:val="0000FF"/>
          <w:sz w:val="18"/>
          <w:szCs w:val="18"/>
        </w:rPr>
        <w:t>Write-Host</w:t>
      </w:r>
      <w:r>
        <w:rPr>
          <w:rFonts w:ascii="Lucida Console" w:eastAsiaTheme="minorHAnsi" w:hAnsi="Lucida Console" w:cs="Lucida Console"/>
          <w:sz w:val="18"/>
          <w:szCs w:val="18"/>
        </w:rPr>
        <w:t xml:space="preserve"> </w:t>
      </w:r>
      <w:r>
        <w:rPr>
          <w:rFonts w:ascii="Lucida Console" w:eastAsiaTheme="minorHAnsi" w:hAnsi="Lucida Console" w:cs="Lucida Console"/>
          <w:color w:val="8B0000"/>
          <w:sz w:val="18"/>
          <w:szCs w:val="18"/>
        </w:rPr>
        <w:t>'Cloud Service Name Available - creating cloud service...'</w:t>
      </w:r>
    </w:p>
    <w:p w14:paraId="0C686DDE"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r>
        <w:rPr>
          <w:rFonts w:ascii="Lucida Console" w:eastAsiaTheme="minorHAnsi" w:hAnsi="Lucida Console" w:cs="Lucida Console"/>
          <w:color w:val="0000FF"/>
          <w:sz w:val="18"/>
          <w:szCs w:val="18"/>
        </w:rPr>
        <w:t>New-AzureService</w:t>
      </w:r>
      <w:r>
        <w:rPr>
          <w:rFonts w:ascii="Lucida Console" w:eastAsiaTheme="minorHAnsi" w:hAnsi="Lucida Console" w:cs="Lucida Console"/>
          <w:sz w:val="18"/>
          <w:szCs w:val="18"/>
        </w:rPr>
        <w:t xml:space="preserve"> </w:t>
      </w:r>
      <w:r>
        <w:rPr>
          <w:rFonts w:ascii="Lucida Console" w:eastAsiaTheme="minorHAnsi" w:hAnsi="Lucida Console" w:cs="Lucida Console"/>
          <w:color w:val="000080"/>
          <w:sz w:val="18"/>
          <w:szCs w:val="18"/>
        </w:rPr>
        <w:t>-ServiceName</w:t>
      </w:r>
      <w:r>
        <w:rPr>
          <w:rFonts w:ascii="Lucida Console" w:eastAsiaTheme="minorHAnsi" w:hAnsi="Lucida Console" w:cs="Lucida Console"/>
          <w:sz w:val="18"/>
          <w:szCs w:val="18"/>
        </w:rPr>
        <w:t xml:space="preserve"> </w:t>
      </w:r>
      <w:r>
        <w:rPr>
          <w:rFonts w:ascii="Lucida Console" w:eastAsiaTheme="minorHAnsi" w:hAnsi="Lucida Console" w:cs="Lucida Console"/>
          <w:color w:val="FF4500"/>
          <w:sz w:val="18"/>
          <w:szCs w:val="18"/>
        </w:rPr>
        <w:t>$cloudServiceName</w:t>
      </w:r>
      <w:r>
        <w:rPr>
          <w:rFonts w:ascii="Lucida Console" w:eastAsiaTheme="minorHAnsi" w:hAnsi="Lucida Console" w:cs="Lucida Console"/>
          <w:sz w:val="18"/>
          <w:szCs w:val="18"/>
        </w:rPr>
        <w:t xml:space="preserve"> </w:t>
      </w:r>
      <w:r>
        <w:rPr>
          <w:rFonts w:ascii="Lucida Console" w:eastAsiaTheme="minorHAnsi" w:hAnsi="Lucida Console" w:cs="Lucida Console"/>
          <w:color w:val="000080"/>
          <w:sz w:val="18"/>
          <w:szCs w:val="18"/>
        </w:rPr>
        <w:t>-Location</w:t>
      </w:r>
      <w:r>
        <w:rPr>
          <w:rFonts w:ascii="Lucida Console" w:eastAsiaTheme="minorHAnsi" w:hAnsi="Lucida Console" w:cs="Lucida Console"/>
          <w:sz w:val="18"/>
          <w:szCs w:val="18"/>
        </w:rPr>
        <w:t xml:space="preserve"> </w:t>
      </w:r>
      <w:r>
        <w:rPr>
          <w:rFonts w:ascii="Lucida Console" w:eastAsiaTheme="minorHAnsi" w:hAnsi="Lucida Console" w:cs="Lucida Console"/>
          <w:color w:val="FF4500"/>
          <w:sz w:val="18"/>
          <w:szCs w:val="18"/>
        </w:rPr>
        <w:t>$azureRegion</w:t>
      </w:r>
      <w:r>
        <w:rPr>
          <w:rFonts w:ascii="Lucida Console" w:eastAsiaTheme="minorHAnsi" w:hAnsi="Lucida Console" w:cs="Lucida Console"/>
          <w:sz w:val="18"/>
          <w:szCs w:val="18"/>
        </w:rPr>
        <w:t xml:space="preserve"> </w:t>
      </w:r>
      <w:r>
        <w:rPr>
          <w:rFonts w:ascii="Lucida Console" w:eastAsiaTheme="minorHAnsi" w:hAnsi="Lucida Console" w:cs="Lucida Console"/>
          <w:color w:val="A9A9A9"/>
          <w:sz w:val="18"/>
          <w:szCs w:val="18"/>
        </w:rPr>
        <w:t>|</w:t>
      </w:r>
      <w:r>
        <w:rPr>
          <w:rFonts w:ascii="Lucida Console" w:eastAsiaTheme="minorHAnsi" w:hAnsi="Lucida Console" w:cs="Lucida Console"/>
          <w:sz w:val="18"/>
          <w:szCs w:val="18"/>
        </w:rPr>
        <w:t xml:space="preserve"> </w:t>
      </w:r>
      <w:r>
        <w:rPr>
          <w:rFonts w:ascii="Lucida Console" w:eastAsiaTheme="minorHAnsi" w:hAnsi="Lucida Console" w:cs="Lucida Console"/>
          <w:color w:val="0000FF"/>
          <w:sz w:val="18"/>
          <w:szCs w:val="18"/>
        </w:rPr>
        <w:t>Out-Null</w:t>
      </w:r>
    </w:p>
    <w:p w14:paraId="1D4B8523"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color w:val="8B0000"/>
          <w:sz w:val="18"/>
          <w:szCs w:val="18"/>
        </w:rPr>
      </w:pPr>
      <w:r>
        <w:rPr>
          <w:rFonts w:ascii="Lucida Console" w:eastAsiaTheme="minorHAnsi" w:hAnsi="Lucida Console" w:cs="Lucida Console"/>
          <w:sz w:val="18"/>
          <w:szCs w:val="18"/>
        </w:rPr>
        <w:t xml:space="preserve">  </w:t>
      </w:r>
      <w:r>
        <w:rPr>
          <w:rFonts w:ascii="Lucida Console" w:eastAsiaTheme="minorHAnsi" w:hAnsi="Lucida Console" w:cs="Lucida Console"/>
          <w:color w:val="0000FF"/>
          <w:sz w:val="18"/>
          <w:szCs w:val="18"/>
        </w:rPr>
        <w:t>Write-Host</w:t>
      </w:r>
      <w:r>
        <w:rPr>
          <w:rFonts w:ascii="Lucida Console" w:eastAsiaTheme="minorHAnsi" w:hAnsi="Lucida Console" w:cs="Lucida Console"/>
          <w:sz w:val="18"/>
          <w:szCs w:val="18"/>
        </w:rPr>
        <w:t xml:space="preserve"> </w:t>
      </w:r>
      <w:r>
        <w:rPr>
          <w:rFonts w:ascii="Lucida Console" w:eastAsiaTheme="minorHAnsi" w:hAnsi="Lucida Console" w:cs="Lucida Console"/>
          <w:color w:val="8B0000"/>
          <w:sz w:val="18"/>
          <w:szCs w:val="18"/>
        </w:rPr>
        <w:t xml:space="preserve">"Cloud Service </w:t>
      </w:r>
      <w:r>
        <w:rPr>
          <w:rFonts w:ascii="Lucida Console" w:eastAsiaTheme="minorHAnsi" w:hAnsi="Lucida Console" w:cs="Lucida Console"/>
          <w:color w:val="FF4500"/>
          <w:sz w:val="18"/>
          <w:szCs w:val="18"/>
        </w:rPr>
        <w:t>$cloudServiceName</w:t>
      </w:r>
      <w:r>
        <w:rPr>
          <w:rFonts w:ascii="Lucida Console" w:eastAsiaTheme="minorHAnsi" w:hAnsi="Lucida Console" w:cs="Lucida Console"/>
          <w:color w:val="8B0000"/>
          <w:sz w:val="18"/>
          <w:szCs w:val="18"/>
        </w:rPr>
        <w:t xml:space="preserve"> created" }</w:t>
      </w:r>
    </w:p>
    <w:p w14:paraId="753F5EFC" w14:textId="77777777" w:rsidR="004C78F1" w:rsidRDefault="004C78F1" w:rsidP="004C78F1">
      <w:pPr>
        <w:shd w:val="clear" w:color="auto" w:fill="FFFFFF"/>
        <w:autoSpaceDE w:val="0"/>
        <w:autoSpaceDN w:val="0"/>
        <w:adjustRightInd w:val="0"/>
        <w:spacing w:before="0" w:after="0" w:line="240" w:lineRule="auto"/>
      </w:pPr>
    </w:p>
    <w:p w14:paraId="1B2BF07F" w14:textId="77777777" w:rsidR="004C78F1" w:rsidRDefault="004C78F1" w:rsidP="004C78F1">
      <w:pPr>
        <w:shd w:val="clear" w:color="auto" w:fill="FFFFFF"/>
        <w:autoSpaceDE w:val="0"/>
        <w:autoSpaceDN w:val="0"/>
        <w:adjustRightInd w:val="0"/>
        <w:spacing w:before="0" w:after="0" w:line="240" w:lineRule="auto"/>
      </w:pPr>
      <w:r w:rsidRPr="00256000">
        <w:rPr>
          <w:b/>
        </w:rPr>
        <w:t xml:space="preserve">Object </w:t>
      </w:r>
      <w:r>
        <w:rPr>
          <w:b/>
        </w:rPr>
        <w:t>p</w:t>
      </w:r>
      <w:r w:rsidRPr="00256000">
        <w:rPr>
          <w:b/>
        </w:rPr>
        <w:t xml:space="preserve">re-existence </w:t>
      </w:r>
      <w:r>
        <w:rPr>
          <w:b/>
        </w:rPr>
        <w:t>v</w:t>
      </w:r>
      <w:r w:rsidRPr="00256000">
        <w:rPr>
          <w:b/>
        </w:rPr>
        <w:t>erification</w:t>
      </w:r>
      <w:r>
        <w:t xml:space="preserve"> - While performing a provisioning action in a series of actions (for example, provisioning a storage account, then provisioning a storage container within the account), we recommend that you check the status of the newly provisioned object prior to moving to the next provisioning action. The following script example uses a </w:t>
      </w:r>
      <w:r w:rsidRPr="00786CC2">
        <w:rPr>
          <w:b/>
        </w:rPr>
        <w:t>Do While</w:t>
      </w:r>
      <w:r>
        <w:t xml:space="preserve"> loop that incorporates a </w:t>
      </w:r>
      <w:r w:rsidRPr="00786CC2">
        <w:rPr>
          <w:b/>
        </w:rPr>
        <w:t>Get-AzureService</w:t>
      </w:r>
      <w:r>
        <w:t xml:space="preserve"> request on the new object:</w:t>
      </w:r>
    </w:p>
    <w:p w14:paraId="7FB5F0DB" w14:textId="77777777" w:rsidR="004C78F1" w:rsidRDefault="004C78F1" w:rsidP="004C78F1">
      <w:pPr>
        <w:shd w:val="clear" w:color="auto" w:fill="FFFFFF"/>
        <w:autoSpaceDE w:val="0"/>
        <w:autoSpaceDN w:val="0"/>
        <w:adjustRightInd w:val="0"/>
        <w:spacing w:before="0" w:after="0" w:line="240" w:lineRule="auto"/>
      </w:pPr>
    </w:p>
    <w:p w14:paraId="01E5EEA9"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color w:val="00008B"/>
          <w:sz w:val="18"/>
          <w:szCs w:val="18"/>
        </w:rPr>
        <w:t>Do</w:t>
      </w:r>
      <w:r>
        <w:rPr>
          <w:rFonts w:ascii="Lucida Console" w:eastAsiaTheme="minorHAnsi" w:hAnsi="Lucida Console" w:cs="Lucida Console"/>
          <w:sz w:val="18"/>
          <w:szCs w:val="18"/>
        </w:rPr>
        <w:t xml:space="preserve"> {</w:t>
      </w:r>
    </w:p>
    <w:p w14:paraId="6D01687D"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r>
        <w:rPr>
          <w:rFonts w:ascii="Lucida Console" w:eastAsiaTheme="minorHAnsi" w:hAnsi="Lucida Console" w:cs="Lucida Console"/>
          <w:color w:val="0000FF"/>
          <w:sz w:val="18"/>
          <w:szCs w:val="18"/>
        </w:rPr>
        <w:t>Write-Host</w:t>
      </w:r>
      <w:r>
        <w:rPr>
          <w:rFonts w:ascii="Lucida Console" w:eastAsiaTheme="minorHAnsi" w:hAnsi="Lucida Console" w:cs="Lucida Console"/>
          <w:sz w:val="18"/>
          <w:szCs w:val="18"/>
        </w:rPr>
        <w:t xml:space="preserve"> </w:t>
      </w:r>
      <w:r>
        <w:rPr>
          <w:rFonts w:ascii="Lucida Console" w:eastAsiaTheme="minorHAnsi" w:hAnsi="Lucida Console" w:cs="Lucida Console"/>
          <w:color w:val="8B0000"/>
          <w:sz w:val="18"/>
          <w:szCs w:val="18"/>
        </w:rPr>
        <w:t xml:space="preserve">"Finding status of cloud service </w:t>
      </w:r>
      <w:r>
        <w:rPr>
          <w:rFonts w:ascii="Lucida Console" w:eastAsiaTheme="minorHAnsi" w:hAnsi="Lucida Console" w:cs="Lucida Console"/>
          <w:color w:val="FF4500"/>
          <w:sz w:val="18"/>
          <w:szCs w:val="18"/>
        </w:rPr>
        <w:t>$cloudServiceName</w:t>
      </w:r>
      <w:r>
        <w:rPr>
          <w:rFonts w:ascii="Lucida Console" w:eastAsiaTheme="minorHAnsi" w:hAnsi="Lucida Console" w:cs="Lucida Console"/>
          <w:color w:val="8B0000"/>
          <w:sz w:val="18"/>
          <w:szCs w:val="18"/>
        </w:rPr>
        <w:t xml:space="preserve"> ..."</w:t>
      </w:r>
    </w:p>
    <w:p w14:paraId="6A126BDC"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r>
        <w:rPr>
          <w:rFonts w:ascii="Lucida Console" w:eastAsiaTheme="minorHAnsi" w:hAnsi="Lucida Console" w:cs="Lucida Console"/>
          <w:color w:val="FF4500"/>
          <w:sz w:val="18"/>
          <w:szCs w:val="18"/>
        </w:rPr>
        <w:t>$selectedCloudService</w:t>
      </w:r>
      <w:r>
        <w:rPr>
          <w:rFonts w:ascii="Lucida Console" w:eastAsiaTheme="minorHAnsi" w:hAnsi="Lucida Console" w:cs="Lucida Console"/>
          <w:sz w:val="18"/>
          <w:szCs w:val="18"/>
        </w:rPr>
        <w:t xml:space="preserve"> </w:t>
      </w:r>
      <w:r>
        <w:rPr>
          <w:rFonts w:ascii="Lucida Console" w:eastAsiaTheme="minorHAnsi" w:hAnsi="Lucida Console" w:cs="Lucida Console"/>
          <w:color w:val="A9A9A9"/>
          <w:sz w:val="18"/>
          <w:szCs w:val="18"/>
        </w:rPr>
        <w:t>=</w:t>
      </w:r>
      <w:r>
        <w:rPr>
          <w:rFonts w:ascii="Lucida Console" w:eastAsiaTheme="minorHAnsi" w:hAnsi="Lucida Console" w:cs="Lucida Console"/>
          <w:sz w:val="18"/>
          <w:szCs w:val="18"/>
        </w:rPr>
        <w:t xml:space="preserve"> </w:t>
      </w:r>
      <w:r>
        <w:rPr>
          <w:rFonts w:ascii="Lucida Console" w:eastAsiaTheme="minorHAnsi" w:hAnsi="Lucida Console" w:cs="Lucida Console"/>
          <w:color w:val="0000FF"/>
          <w:sz w:val="18"/>
          <w:szCs w:val="18"/>
        </w:rPr>
        <w:t>Get-AzureService</w:t>
      </w:r>
      <w:r>
        <w:rPr>
          <w:rFonts w:ascii="Lucida Console" w:eastAsiaTheme="minorHAnsi" w:hAnsi="Lucida Console" w:cs="Lucida Console"/>
          <w:sz w:val="18"/>
          <w:szCs w:val="18"/>
        </w:rPr>
        <w:t xml:space="preserve"> </w:t>
      </w:r>
      <w:r>
        <w:rPr>
          <w:rFonts w:ascii="Lucida Console" w:eastAsiaTheme="minorHAnsi" w:hAnsi="Lucida Console" w:cs="Lucida Console"/>
          <w:color w:val="000080"/>
          <w:sz w:val="18"/>
          <w:szCs w:val="18"/>
        </w:rPr>
        <w:t>-ServiceName</w:t>
      </w:r>
      <w:r>
        <w:rPr>
          <w:rFonts w:ascii="Lucida Console" w:eastAsiaTheme="minorHAnsi" w:hAnsi="Lucida Console" w:cs="Lucida Console"/>
          <w:sz w:val="18"/>
          <w:szCs w:val="18"/>
        </w:rPr>
        <w:t xml:space="preserve"> </w:t>
      </w:r>
      <w:r>
        <w:rPr>
          <w:rFonts w:ascii="Lucida Console" w:eastAsiaTheme="minorHAnsi" w:hAnsi="Lucida Console" w:cs="Lucida Console"/>
          <w:color w:val="FF4500"/>
          <w:sz w:val="18"/>
          <w:szCs w:val="18"/>
        </w:rPr>
        <w:t>$cloudServiceName</w:t>
      </w:r>
      <w:r>
        <w:rPr>
          <w:rFonts w:ascii="Lucida Console" w:eastAsiaTheme="minorHAnsi" w:hAnsi="Lucida Console" w:cs="Lucida Console"/>
          <w:sz w:val="18"/>
          <w:szCs w:val="18"/>
        </w:rPr>
        <w:t xml:space="preserve"> </w:t>
      </w:r>
      <w:r>
        <w:rPr>
          <w:rFonts w:ascii="Lucida Console" w:eastAsiaTheme="minorHAnsi" w:hAnsi="Lucida Console" w:cs="Lucida Console"/>
          <w:color w:val="000080"/>
          <w:sz w:val="18"/>
          <w:szCs w:val="18"/>
        </w:rPr>
        <w:t>-ErrorAction</w:t>
      </w:r>
      <w:r>
        <w:rPr>
          <w:rFonts w:ascii="Lucida Console" w:eastAsiaTheme="minorHAnsi" w:hAnsi="Lucida Console" w:cs="Lucida Console"/>
          <w:sz w:val="18"/>
          <w:szCs w:val="18"/>
        </w:rPr>
        <w:t xml:space="preserve"> </w:t>
      </w:r>
      <w:r>
        <w:rPr>
          <w:rFonts w:ascii="Lucida Console" w:eastAsiaTheme="minorHAnsi" w:hAnsi="Lucida Console" w:cs="Lucida Console"/>
          <w:color w:val="8A2BE2"/>
          <w:sz w:val="18"/>
          <w:szCs w:val="18"/>
        </w:rPr>
        <w:t>SilentlyContinue</w:t>
      </w:r>
      <w:r>
        <w:rPr>
          <w:rFonts w:ascii="Lucida Console" w:eastAsiaTheme="minorHAnsi" w:hAnsi="Lucida Console" w:cs="Lucida Console"/>
          <w:sz w:val="18"/>
          <w:szCs w:val="18"/>
        </w:rPr>
        <w:t xml:space="preserve"> </w:t>
      </w:r>
      <w:r>
        <w:rPr>
          <w:rFonts w:ascii="Lucida Console" w:eastAsiaTheme="minorHAnsi" w:hAnsi="Lucida Console" w:cs="Lucida Console"/>
          <w:color w:val="000080"/>
          <w:sz w:val="18"/>
          <w:szCs w:val="18"/>
        </w:rPr>
        <w:t>-WarningAction</w:t>
      </w:r>
      <w:r>
        <w:rPr>
          <w:rFonts w:ascii="Lucida Console" w:eastAsiaTheme="minorHAnsi" w:hAnsi="Lucida Console" w:cs="Lucida Console"/>
          <w:sz w:val="18"/>
          <w:szCs w:val="18"/>
        </w:rPr>
        <w:t xml:space="preserve"> </w:t>
      </w:r>
      <w:r>
        <w:rPr>
          <w:rFonts w:ascii="Lucida Console" w:eastAsiaTheme="minorHAnsi" w:hAnsi="Lucida Console" w:cs="Lucida Console"/>
          <w:color w:val="8A2BE2"/>
          <w:sz w:val="18"/>
          <w:szCs w:val="18"/>
        </w:rPr>
        <w:t>SilentlyContinue</w:t>
      </w:r>
    </w:p>
    <w:p w14:paraId="5FC0CFC8"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r>
        <w:rPr>
          <w:rFonts w:ascii="Lucida Console" w:eastAsiaTheme="minorHAnsi" w:hAnsi="Lucida Console" w:cs="Lucida Console"/>
          <w:color w:val="00008B"/>
          <w:sz w:val="18"/>
          <w:szCs w:val="18"/>
        </w:rPr>
        <w:t>If</w:t>
      </w:r>
      <w:r>
        <w:rPr>
          <w:rFonts w:ascii="Lucida Console" w:eastAsiaTheme="minorHAnsi" w:hAnsi="Lucida Console" w:cs="Lucida Console"/>
          <w:sz w:val="18"/>
          <w:szCs w:val="18"/>
        </w:rPr>
        <w:t xml:space="preserve"> (</w:t>
      </w:r>
      <w:r>
        <w:rPr>
          <w:rFonts w:ascii="Lucida Console" w:eastAsiaTheme="minorHAnsi" w:hAnsi="Lucida Console" w:cs="Lucida Console"/>
          <w:color w:val="FF4500"/>
          <w:sz w:val="18"/>
          <w:szCs w:val="18"/>
        </w:rPr>
        <w:t>$selectedCloudService</w:t>
      </w:r>
      <w:r>
        <w:rPr>
          <w:rFonts w:ascii="Lucida Console" w:eastAsiaTheme="minorHAnsi" w:hAnsi="Lucida Console" w:cs="Lucida Console"/>
          <w:color w:val="A9A9A9"/>
          <w:sz w:val="18"/>
          <w:szCs w:val="18"/>
        </w:rPr>
        <w:t>.</w:t>
      </w:r>
      <w:r>
        <w:rPr>
          <w:rFonts w:ascii="Lucida Console" w:eastAsiaTheme="minorHAnsi" w:hAnsi="Lucida Console" w:cs="Lucida Console"/>
          <w:sz w:val="18"/>
          <w:szCs w:val="18"/>
        </w:rPr>
        <w:t xml:space="preserve">Status </w:t>
      </w:r>
      <w:r>
        <w:rPr>
          <w:rFonts w:ascii="Lucida Console" w:eastAsiaTheme="minorHAnsi" w:hAnsi="Lucida Console" w:cs="Lucida Console"/>
          <w:color w:val="A9A9A9"/>
          <w:sz w:val="18"/>
          <w:szCs w:val="18"/>
        </w:rPr>
        <w:t>-eq</w:t>
      </w:r>
      <w:r>
        <w:rPr>
          <w:rFonts w:ascii="Lucida Console" w:eastAsiaTheme="minorHAnsi" w:hAnsi="Lucida Console" w:cs="Lucida Console"/>
          <w:sz w:val="18"/>
          <w:szCs w:val="18"/>
        </w:rPr>
        <w:t xml:space="preserve"> </w:t>
      </w:r>
      <w:r>
        <w:rPr>
          <w:rFonts w:ascii="Lucida Console" w:eastAsiaTheme="minorHAnsi" w:hAnsi="Lucida Console" w:cs="Lucida Console"/>
          <w:color w:val="8B0000"/>
          <w:sz w:val="18"/>
          <w:szCs w:val="18"/>
        </w:rPr>
        <w:t>'Created'</w:t>
      </w:r>
      <w:r>
        <w:rPr>
          <w:rFonts w:ascii="Lucida Console" w:eastAsiaTheme="minorHAnsi" w:hAnsi="Lucida Console" w:cs="Lucida Console"/>
          <w:sz w:val="18"/>
          <w:szCs w:val="18"/>
        </w:rPr>
        <w:t>) {</w:t>
      </w:r>
    </w:p>
    <w:p w14:paraId="02F004FA"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r>
        <w:rPr>
          <w:rFonts w:ascii="Lucida Console" w:eastAsiaTheme="minorHAnsi" w:hAnsi="Lucida Console" w:cs="Lucida Console"/>
          <w:color w:val="0000FF"/>
          <w:sz w:val="18"/>
          <w:szCs w:val="18"/>
        </w:rPr>
        <w:t>Write-Host</w:t>
      </w:r>
      <w:r>
        <w:rPr>
          <w:rFonts w:ascii="Lucida Console" w:eastAsiaTheme="minorHAnsi" w:hAnsi="Lucida Console" w:cs="Lucida Console"/>
          <w:sz w:val="18"/>
          <w:szCs w:val="18"/>
        </w:rPr>
        <w:t xml:space="preserve"> </w:t>
      </w:r>
      <w:r>
        <w:rPr>
          <w:rFonts w:ascii="Lucida Console" w:eastAsiaTheme="minorHAnsi" w:hAnsi="Lucida Console" w:cs="Lucida Console"/>
          <w:color w:val="8B0000"/>
          <w:sz w:val="18"/>
          <w:szCs w:val="18"/>
        </w:rPr>
        <w:t xml:space="preserve">"Found cloud service </w:t>
      </w:r>
      <w:r>
        <w:rPr>
          <w:rFonts w:ascii="Lucida Console" w:eastAsiaTheme="minorHAnsi" w:hAnsi="Lucida Console" w:cs="Lucida Console"/>
          <w:color w:val="FF4500"/>
          <w:sz w:val="18"/>
          <w:szCs w:val="18"/>
        </w:rPr>
        <w:t>$cloudServiceName</w:t>
      </w:r>
      <w:r>
        <w:rPr>
          <w:rFonts w:ascii="Lucida Console" w:eastAsiaTheme="minorHAnsi" w:hAnsi="Lucida Console" w:cs="Lucida Console"/>
          <w:color w:val="8B0000"/>
          <w:sz w:val="18"/>
          <w:szCs w:val="18"/>
        </w:rPr>
        <w:t xml:space="preserve"> - Cloud Service Status: </w:t>
      </w:r>
      <w:r>
        <w:rPr>
          <w:rFonts w:ascii="Lucida Console" w:eastAsiaTheme="minorHAnsi" w:hAnsi="Lucida Console" w:cs="Lucida Console"/>
          <w:sz w:val="18"/>
          <w:szCs w:val="18"/>
        </w:rPr>
        <w:t>$(</w:t>
      </w:r>
      <w:r>
        <w:rPr>
          <w:rFonts w:ascii="Lucida Console" w:eastAsiaTheme="minorHAnsi" w:hAnsi="Lucida Console" w:cs="Lucida Console"/>
          <w:color w:val="FF4500"/>
          <w:sz w:val="18"/>
          <w:szCs w:val="18"/>
        </w:rPr>
        <w:t>$selectedCloudService</w:t>
      </w:r>
      <w:r>
        <w:rPr>
          <w:rFonts w:ascii="Lucida Console" w:eastAsiaTheme="minorHAnsi" w:hAnsi="Lucida Console" w:cs="Lucida Console"/>
          <w:color w:val="A9A9A9"/>
          <w:sz w:val="18"/>
          <w:szCs w:val="18"/>
        </w:rPr>
        <w:t>.</w:t>
      </w:r>
      <w:r>
        <w:rPr>
          <w:rFonts w:ascii="Lucida Console" w:eastAsiaTheme="minorHAnsi" w:hAnsi="Lucida Console" w:cs="Lucida Console"/>
          <w:sz w:val="18"/>
          <w:szCs w:val="18"/>
        </w:rPr>
        <w:t>Status)</w:t>
      </w:r>
      <w:r>
        <w:rPr>
          <w:rFonts w:ascii="Lucida Console" w:eastAsiaTheme="minorHAnsi" w:hAnsi="Lucida Console" w:cs="Lucida Console"/>
          <w:color w:val="8B0000"/>
          <w:sz w:val="18"/>
          <w:szCs w:val="18"/>
        </w:rPr>
        <w:t>"</w:t>
      </w:r>
    </w:p>
    <w:p w14:paraId="4CFB8BB7"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  </w:t>
      </w:r>
    </w:p>
    <w:p w14:paraId="692BBB5B"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p>
    <w:p w14:paraId="4DBF74AA"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r>
        <w:rPr>
          <w:rFonts w:ascii="Lucida Console" w:eastAsiaTheme="minorHAnsi" w:hAnsi="Lucida Console" w:cs="Lucida Console"/>
          <w:color w:val="0000FF"/>
          <w:sz w:val="18"/>
          <w:szCs w:val="18"/>
        </w:rPr>
        <w:t>Start-Sleep</w:t>
      </w:r>
      <w:r>
        <w:rPr>
          <w:rFonts w:ascii="Lucida Console" w:eastAsiaTheme="minorHAnsi" w:hAnsi="Lucida Console" w:cs="Lucida Console"/>
          <w:sz w:val="18"/>
          <w:szCs w:val="18"/>
        </w:rPr>
        <w:t xml:space="preserve"> </w:t>
      </w:r>
      <w:r>
        <w:rPr>
          <w:rFonts w:ascii="Lucida Console" w:eastAsiaTheme="minorHAnsi" w:hAnsi="Lucida Console" w:cs="Lucida Console"/>
          <w:color w:val="000080"/>
          <w:sz w:val="18"/>
          <w:szCs w:val="18"/>
        </w:rPr>
        <w:t>-Seconds</w:t>
      </w:r>
      <w:r>
        <w:rPr>
          <w:rFonts w:ascii="Lucida Console" w:eastAsiaTheme="minorHAnsi" w:hAnsi="Lucida Console" w:cs="Lucida Console"/>
          <w:sz w:val="18"/>
          <w:szCs w:val="18"/>
        </w:rPr>
        <w:t> 1</w:t>
      </w:r>
    </w:p>
    <w:p w14:paraId="44EB7918"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p>
    <w:p w14:paraId="189177AC" w14:textId="77777777" w:rsidR="004C78F1" w:rsidRDefault="004C78F1" w:rsidP="004C78F1">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r>
        <w:rPr>
          <w:rFonts w:ascii="Lucida Console" w:eastAsiaTheme="minorHAnsi" w:hAnsi="Lucida Console" w:cs="Lucida Console"/>
          <w:sz w:val="18"/>
          <w:szCs w:val="18"/>
        </w:rPr>
        <w:t xml:space="preserve">  </w:t>
      </w:r>
      <w:r>
        <w:rPr>
          <w:rFonts w:ascii="Lucida Console" w:eastAsiaTheme="minorHAnsi" w:hAnsi="Lucida Console" w:cs="Lucida Console"/>
          <w:color w:val="00008B"/>
          <w:sz w:val="18"/>
          <w:szCs w:val="18"/>
        </w:rPr>
        <w:t>While</w:t>
      </w:r>
      <w:r>
        <w:rPr>
          <w:rFonts w:ascii="Lucida Console" w:eastAsiaTheme="minorHAnsi" w:hAnsi="Lucida Console" w:cs="Lucida Console"/>
          <w:sz w:val="18"/>
          <w:szCs w:val="18"/>
        </w:rPr>
        <w:t xml:space="preserve"> (</w:t>
      </w:r>
      <w:r>
        <w:rPr>
          <w:rFonts w:ascii="Lucida Console" w:eastAsiaTheme="minorHAnsi" w:hAnsi="Lucida Console" w:cs="Lucida Console"/>
          <w:color w:val="FF4500"/>
          <w:sz w:val="18"/>
          <w:szCs w:val="18"/>
        </w:rPr>
        <w:t>$selectedCloudService</w:t>
      </w:r>
      <w:r>
        <w:rPr>
          <w:rFonts w:ascii="Lucida Console" w:eastAsiaTheme="minorHAnsi" w:hAnsi="Lucida Console" w:cs="Lucida Console"/>
          <w:color w:val="A9A9A9"/>
          <w:sz w:val="18"/>
          <w:szCs w:val="18"/>
        </w:rPr>
        <w:t>.</w:t>
      </w:r>
      <w:r>
        <w:rPr>
          <w:rFonts w:ascii="Lucida Console" w:eastAsiaTheme="minorHAnsi" w:hAnsi="Lucida Console" w:cs="Lucida Console"/>
          <w:sz w:val="18"/>
          <w:szCs w:val="18"/>
        </w:rPr>
        <w:t xml:space="preserve">OperationStatus </w:t>
      </w:r>
      <w:r>
        <w:rPr>
          <w:rFonts w:ascii="Lucida Console" w:eastAsiaTheme="minorHAnsi" w:hAnsi="Lucida Console" w:cs="Lucida Console"/>
          <w:color w:val="A9A9A9"/>
          <w:sz w:val="18"/>
          <w:szCs w:val="18"/>
        </w:rPr>
        <w:t>-eq</w:t>
      </w:r>
      <w:r>
        <w:rPr>
          <w:rFonts w:ascii="Lucida Console" w:eastAsiaTheme="minorHAnsi" w:hAnsi="Lucida Console" w:cs="Lucida Console"/>
          <w:sz w:val="18"/>
          <w:szCs w:val="18"/>
        </w:rPr>
        <w:t xml:space="preserve"> </w:t>
      </w:r>
      <w:r>
        <w:rPr>
          <w:rFonts w:ascii="Lucida Console" w:eastAsiaTheme="minorHAnsi" w:hAnsi="Lucida Console" w:cs="Lucida Console"/>
          <w:color w:val="8B0000"/>
          <w:sz w:val="18"/>
          <w:szCs w:val="18"/>
        </w:rPr>
        <w:t>'InProcess'</w:t>
      </w:r>
      <w:r>
        <w:rPr>
          <w:rFonts w:ascii="Lucida Console" w:eastAsiaTheme="minorHAnsi" w:hAnsi="Lucida Console" w:cs="Lucida Console"/>
          <w:sz w:val="18"/>
          <w:szCs w:val="18"/>
        </w:rPr>
        <w:t xml:space="preserve">) </w:t>
      </w:r>
    </w:p>
    <w:p w14:paraId="1909951C" w14:textId="342976B7" w:rsidR="00664829" w:rsidRDefault="00664829" w:rsidP="00A32012">
      <w:pPr>
        <w:shd w:val="clear" w:color="auto" w:fill="FFFFFF"/>
        <w:autoSpaceDE w:val="0"/>
        <w:autoSpaceDN w:val="0"/>
        <w:adjustRightInd w:val="0"/>
        <w:spacing w:before="0" w:after="0" w:line="240" w:lineRule="auto"/>
        <w:ind w:left="720"/>
        <w:rPr>
          <w:rFonts w:ascii="Lucida Console" w:eastAsiaTheme="minorHAnsi" w:hAnsi="Lucida Console" w:cs="Lucida Console"/>
          <w:sz w:val="18"/>
          <w:szCs w:val="18"/>
        </w:rPr>
      </w:pPr>
    </w:p>
    <w:p w14:paraId="2A42AEBD" w14:textId="77777777" w:rsidR="009E23AE" w:rsidRDefault="009E23AE" w:rsidP="009E23AE"/>
    <w:p w14:paraId="6C2F17FD" w14:textId="77777777" w:rsidR="00682E4A" w:rsidRDefault="00682E4A" w:rsidP="005729D2">
      <w:pPr>
        <w:pStyle w:val="Heading4Numbered"/>
        <w:numPr>
          <w:ilvl w:val="3"/>
          <w:numId w:val="64"/>
        </w:numPr>
      </w:pPr>
      <w:r>
        <w:t>Desired State Configuration</w:t>
      </w:r>
    </w:p>
    <w:p w14:paraId="012FC5F0" w14:textId="7146E0C4" w:rsidR="004C78F1" w:rsidRPr="00140490" w:rsidRDefault="003A237A" w:rsidP="004C78F1">
      <w:r>
        <w:t>Desired</w:t>
      </w:r>
      <w:r w:rsidR="004C78F1">
        <w:t xml:space="preserve"> state configuration (DSC) within Azure allows for virtual machine configuration by using a configuration file (PowerShell script) and a virtual machine extension.</w:t>
      </w:r>
      <w:r w:rsidR="004C78F1">
        <w:rPr>
          <w:rFonts w:eastAsia="Times New Roman" w:cs="Times New Roman"/>
          <w:i/>
        </w:rPr>
        <w:t xml:space="preserve"> </w:t>
      </w:r>
      <w:r w:rsidR="004C78F1">
        <w:rPr>
          <w:rFonts w:eastAsia="Times New Roman" w:cs="Times New Roman"/>
        </w:rPr>
        <w:t xml:space="preserve">This configuration file is uploaded to Azure blob storage and is applied to the virtual machine that is enabled with the PowerShell DSC extension. </w:t>
      </w:r>
      <w:r w:rsidR="004C78F1">
        <w:t xml:space="preserve">Some </w:t>
      </w:r>
      <w:r w:rsidR="004C78F1" w:rsidRPr="00140490">
        <w:t xml:space="preserve">examples what DSC enables </w:t>
      </w:r>
      <w:r w:rsidR="004C78F1">
        <w:t>a</w:t>
      </w:r>
      <w:r w:rsidR="004C78F1" w:rsidRPr="00140490">
        <w:t>re:</w:t>
      </w:r>
    </w:p>
    <w:p w14:paraId="20C939B8" w14:textId="77777777" w:rsidR="004C78F1" w:rsidRDefault="004C78F1" w:rsidP="004C78F1">
      <w:r w:rsidRPr="00140490">
        <w:t>•</w:t>
      </w:r>
      <w:r>
        <w:t xml:space="preserve"> </w:t>
      </w:r>
      <w:r w:rsidRPr="00140490">
        <w:t>Install or remov</w:t>
      </w:r>
      <w:r>
        <w:t>e</w:t>
      </w:r>
      <w:r w:rsidRPr="00140490">
        <w:t xml:space="preserve"> server roles and features </w:t>
      </w:r>
      <w:r w:rsidRPr="00140490">
        <w:br/>
        <w:t>•</w:t>
      </w:r>
      <w:r>
        <w:t xml:space="preserve"> Manage</w:t>
      </w:r>
      <w:r w:rsidRPr="00140490">
        <w:t xml:space="preserve"> registry settings </w:t>
      </w:r>
      <w:r w:rsidRPr="00140490">
        <w:br/>
        <w:t>•</w:t>
      </w:r>
      <w:r>
        <w:t xml:space="preserve"> Manage</w:t>
      </w:r>
      <w:r w:rsidRPr="00140490">
        <w:t xml:space="preserve"> files and directories </w:t>
      </w:r>
      <w:r w:rsidRPr="00140490">
        <w:br/>
        <w:t>•</w:t>
      </w:r>
      <w:r>
        <w:t xml:space="preserve"> </w:t>
      </w:r>
      <w:r w:rsidRPr="00140490">
        <w:t xml:space="preserve">Start, stop, and </w:t>
      </w:r>
      <w:r>
        <w:t>manage</w:t>
      </w:r>
      <w:r w:rsidRPr="00140490">
        <w:t xml:space="preserve"> processes and services </w:t>
      </w:r>
      <w:r w:rsidRPr="00140490">
        <w:br/>
        <w:t>•</w:t>
      </w:r>
      <w:r>
        <w:t xml:space="preserve"> Manage</w:t>
      </w:r>
      <w:r w:rsidRPr="00140490">
        <w:t xml:space="preserve"> local groups and user accounts </w:t>
      </w:r>
      <w:r w:rsidRPr="00140490">
        <w:br/>
        <w:t>•</w:t>
      </w:r>
      <w:r>
        <w:t xml:space="preserve"> </w:t>
      </w:r>
      <w:r w:rsidRPr="00140490">
        <w:t xml:space="preserve">Install and </w:t>
      </w:r>
      <w:r>
        <w:t>manage</w:t>
      </w:r>
      <w:r w:rsidRPr="00140490">
        <w:t xml:space="preserve"> packages</w:t>
      </w:r>
      <w:r>
        <w:t>,</w:t>
      </w:r>
      <w:r w:rsidRPr="00140490">
        <w:t xml:space="preserve"> such as .msi and .exe </w:t>
      </w:r>
      <w:r w:rsidRPr="00140490">
        <w:br/>
        <w:t>•</w:t>
      </w:r>
      <w:r>
        <w:t xml:space="preserve"> </w:t>
      </w:r>
      <w:r w:rsidRPr="00140490">
        <w:t>Manag</w:t>
      </w:r>
      <w:r>
        <w:t>e</w:t>
      </w:r>
      <w:r w:rsidRPr="00140490">
        <w:t xml:space="preserve"> environment variables </w:t>
      </w:r>
      <w:r w:rsidRPr="00140490">
        <w:br/>
        <w:t>•</w:t>
      </w:r>
      <w:r>
        <w:t xml:space="preserve"> </w:t>
      </w:r>
      <w:r w:rsidRPr="00140490">
        <w:t>Run Windows PowerShell scripts </w:t>
      </w:r>
      <w:r w:rsidRPr="00140490">
        <w:br/>
        <w:t>•</w:t>
      </w:r>
      <w:r>
        <w:t xml:space="preserve"> </w:t>
      </w:r>
      <w:r w:rsidRPr="00140490">
        <w:t>Fix a configuration that has drifted away from the desired state </w:t>
      </w:r>
      <w:r w:rsidRPr="00140490">
        <w:br/>
        <w:t>•</w:t>
      </w:r>
      <w:r>
        <w:t xml:space="preserve"> </w:t>
      </w:r>
      <w:r w:rsidRPr="00140490">
        <w:t>Discover the actual configuration state on a given node</w:t>
      </w:r>
    </w:p>
    <w:p w14:paraId="62B7FDCB" w14:textId="77777777" w:rsidR="004C78F1" w:rsidRDefault="004C78F1" w:rsidP="004C78F1"/>
    <w:p w14:paraId="479031B2" w14:textId="77777777" w:rsidR="004C78F1" w:rsidRPr="00140490" w:rsidRDefault="004C78F1" w:rsidP="004C78F1">
      <w:r w:rsidRPr="00140490" w:rsidDel="00F037BD">
        <w:t xml:space="preserve">The following </w:t>
      </w:r>
      <w:r>
        <w:t>illustration provides insight into the</w:t>
      </w:r>
      <w:r w:rsidRPr="00140490">
        <w:t xml:space="preserve"> DSC flow phases and the Push and Pull</w:t>
      </w:r>
      <w:r>
        <w:t xml:space="preserve"> models</w:t>
      </w:r>
      <w:r w:rsidRPr="00140490">
        <w:t xml:space="preserve">. </w:t>
      </w:r>
    </w:p>
    <w:p w14:paraId="01CF4CD7" w14:textId="77777777" w:rsidR="004C78F1" w:rsidRPr="00140490" w:rsidRDefault="004C78F1" w:rsidP="004C78F1">
      <w:r w:rsidRPr="00140490">
        <w:rPr>
          <w:noProof/>
        </w:rPr>
        <w:drawing>
          <wp:inline distT="0" distB="0" distL="0" distR="0" wp14:anchorId="08C3790C" wp14:editId="4E0789E4">
            <wp:extent cx="5181600" cy="2495550"/>
            <wp:effectExtent l="0" t="0" r="0" b="0"/>
            <wp:docPr id="1252047300" name="Picture 1252047300" descr="image">
              <a:hlinkClick xmlns:a="http://schemas.openxmlformats.org/drawingml/2006/main" r:id="rId5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mage">
                      <a:hlinkClick r:id="rId569"/>
                    </pic:cNvPr>
                    <pic:cNvPicPr>
                      <a:picLocks noChangeAspect="1" noChangeArrowheads="1"/>
                    </pic:cNvPicPr>
                  </pic:nvPicPr>
                  <pic:blipFill rotWithShape="1">
                    <a:blip r:embed="rId570">
                      <a:extLst>
                        <a:ext uri="{28A0092B-C50C-407E-A947-70E740481C1C}">
                          <a14:useLocalDpi xmlns:a14="http://schemas.microsoft.com/office/drawing/2010/main" val="0"/>
                        </a:ext>
                      </a:extLst>
                    </a:blip>
                    <a:srcRect t="14935"/>
                    <a:stretch/>
                  </pic:blipFill>
                  <pic:spPr bwMode="auto">
                    <a:xfrm>
                      <a:off x="0" y="0"/>
                      <a:ext cx="5181600" cy="2495550"/>
                    </a:xfrm>
                    <a:prstGeom prst="rect">
                      <a:avLst/>
                    </a:prstGeom>
                    <a:noFill/>
                    <a:ln>
                      <a:noFill/>
                    </a:ln>
                    <a:extLst>
                      <a:ext uri="{53640926-AAD7-44D8-BBD7-CCE9431645EC}">
                        <a14:shadowObscured xmlns:a14="http://schemas.microsoft.com/office/drawing/2010/main"/>
                      </a:ext>
                    </a:extLst>
                  </pic:spPr>
                </pic:pic>
              </a:graphicData>
            </a:graphic>
          </wp:inline>
        </w:drawing>
      </w:r>
    </w:p>
    <w:p w14:paraId="46D2048E" w14:textId="065C8892" w:rsidR="002C1BA9" w:rsidRPr="00140490" w:rsidRDefault="00686798" w:rsidP="004C78F1">
      <w:r>
        <w:t>These phases are outlined in the following table</w:t>
      </w:r>
      <w:r w:rsidR="00F037BD">
        <w:t xml:space="preserve">. </w:t>
      </w:r>
    </w:p>
    <w:tbl>
      <w:tblPr>
        <w:tblStyle w:val="PlainTable11"/>
        <w:tblW w:w="9445" w:type="dxa"/>
        <w:tblLook w:val="04A0" w:firstRow="1" w:lastRow="0" w:firstColumn="1" w:lastColumn="0" w:noHBand="0" w:noVBand="1"/>
      </w:tblPr>
      <w:tblGrid>
        <w:gridCol w:w="1302"/>
        <w:gridCol w:w="8143"/>
      </w:tblGrid>
      <w:tr w:rsidR="00822D1F" w:rsidRPr="00A32012" w14:paraId="0E45F75B" w14:textId="77777777" w:rsidTr="00A320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808080" w:themeFill="background1" w:themeFillShade="80"/>
            <w:hideMark/>
          </w:tcPr>
          <w:p w14:paraId="06A7D283" w14:textId="77777777" w:rsidR="00822D1F" w:rsidRPr="00A32012" w:rsidRDefault="00822D1F">
            <w:pPr>
              <w:spacing w:line="240" w:lineRule="auto"/>
              <w:rPr>
                <w:rFonts w:eastAsia="Calibri"/>
                <w:bCs w:val="0"/>
                <w:color w:val="FFFFFF"/>
                <w:szCs w:val="20"/>
                <w:lang w:eastAsia="en-AU"/>
              </w:rPr>
            </w:pPr>
            <w:r w:rsidRPr="00A32012">
              <w:rPr>
                <w:rFonts w:eastAsia="Calibri"/>
                <w:bCs w:val="0"/>
                <w:color w:val="FFFFFF"/>
                <w:szCs w:val="20"/>
                <w:lang w:eastAsia="en-AU"/>
              </w:rPr>
              <w:t>Phase</w:t>
            </w:r>
          </w:p>
        </w:tc>
        <w:tc>
          <w:tcPr>
            <w:tcW w:w="8143" w:type="dxa"/>
            <w:shd w:val="clear" w:color="auto" w:fill="808080" w:themeFill="background1" w:themeFillShade="80"/>
            <w:hideMark/>
          </w:tcPr>
          <w:p w14:paraId="6F439207" w14:textId="77777777" w:rsidR="00822D1F" w:rsidRPr="00A32012" w:rsidRDefault="00822D1F">
            <w:pPr>
              <w:spacing w:line="240" w:lineRule="auto"/>
              <w:cnfStyle w:val="100000000000" w:firstRow="1" w:lastRow="0" w:firstColumn="0" w:lastColumn="0" w:oddVBand="0" w:evenVBand="0" w:oddHBand="0" w:evenHBand="0" w:firstRowFirstColumn="0" w:firstRowLastColumn="0" w:lastRowFirstColumn="0" w:lastRowLastColumn="0"/>
              <w:rPr>
                <w:rFonts w:eastAsia="Calibri"/>
                <w:bCs w:val="0"/>
                <w:color w:val="FFFFFF"/>
                <w:szCs w:val="20"/>
                <w:lang w:eastAsia="en-AU"/>
              </w:rPr>
            </w:pPr>
            <w:r w:rsidRPr="00A32012">
              <w:rPr>
                <w:rFonts w:eastAsia="Calibri"/>
                <w:bCs w:val="0"/>
                <w:color w:val="FFFFFF"/>
                <w:szCs w:val="20"/>
                <w:lang w:eastAsia="en-AU"/>
              </w:rPr>
              <w:t>Definition</w:t>
            </w:r>
          </w:p>
        </w:tc>
      </w:tr>
      <w:tr w:rsidR="00686798" w14:paraId="2CD6A05F" w14:textId="77777777" w:rsidTr="00A320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D2F053F" w14:textId="34A894F9" w:rsidR="00686798" w:rsidRDefault="00686798" w:rsidP="00686798">
            <w:pPr>
              <w:rPr>
                <w:rFonts w:cs="Segoe UI"/>
                <w:sz w:val="20"/>
                <w:szCs w:val="20"/>
              </w:rPr>
            </w:pPr>
            <w:r>
              <w:rPr>
                <w:rFonts w:cs="Segoe UI"/>
                <w:sz w:val="20"/>
                <w:szCs w:val="20"/>
              </w:rPr>
              <w:t>Authoring</w:t>
            </w:r>
          </w:p>
        </w:tc>
        <w:tc>
          <w:tcPr>
            <w:tcW w:w="8143" w:type="dxa"/>
            <w:hideMark/>
          </w:tcPr>
          <w:p w14:paraId="7FE91BA6" w14:textId="2922004A" w:rsidR="00686798" w:rsidRDefault="00686798" w:rsidP="00686798">
            <w:pPr>
              <w:cnfStyle w:val="000000100000" w:firstRow="0" w:lastRow="0" w:firstColumn="0" w:lastColumn="0" w:oddVBand="0" w:evenVBand="0" w:oddHBand="1" w:evenHBand="0" w:firstRowFirstColumn="0" w:firstRowLastColumn="0" w:lastRowFirstColumn="0" w:lastRowLastColumn="0"/>
              <w:rPr>
                <w:rFonts w:cs="Segoe UI"/>
                <w:sz w:val="20"/>
                <w:szCs w:val="20"/>
              </w:rPr>
            </w:pPr>
            <w:r>
              <w:rPr>
                <w:sz w:val="20"/>
                <w:szCs w:val="20"/>
              </w:rPr>
              <w:t>A DSC configuration is created through PowerShell or by third-party languages and tools. The output from the Authoring phase is one or more Management Object Format (MOF) files, which is the format that is consumable by DSC.</w:t>
            </w:r>
          </w:p>
        </w:tc>
      </w:tr>
      <w:tr w:rsidR="00686798" w14:paraId="03B15A13" w14:textId="77777777" w:rsidTr="00A32012">
        <w:tc>
          <w:tcPr>
            <w:cnfStyle w:val="001000000000" w:firstRow="0" w:lastRow="0" w:firstColumn="1" w:lastColumn="0" w:oddVBand="0" w:evenVBand="0" w:oddHBand="0" w:evenHBand="0" w:firstRowFirstColumn="0" w:firstRowLastColumn="0" w:lastRowFirstColumn="0" w:lastRowLastColumn="0"/>
            <w:tcW w:w="0" w:type="auto"/>
            <w:hideMark/>
          </w:tcPr>
          <w:p w14:paraId="40D33A19" w14:textId="655AE451" w:rsidR="00686798" w:rsidRDefault="00686798" w:rsidP="00686798">
            <w:pPr>
              <w:pStyle w:val="NormalWeb"/>
              <w:spacing w:line="254" w:lineRule="auto"/>
              <w:rPr>
                <w:rFonts w:ascii="Segoe UI" w:hAnsi="Segoe UI" w:cs="Segoe UI"/>
                <w:sz w:val="20"/>
                <w:szCs w:val="20"/>
                <w:lang w:val="en-AU" w:eastAsia="en-AU"/>
              </w:rPr>
            </w:pPr>
            <w:r>
              <w:rPr>
                <w:rFonts w:ascii="Segoe UI" w:hAnsi="Segoe UI" w:cs="Segoe UI"/>
                <w:sz w:val="20"/>
                <w:szCs w:val="20"/>
                <w:lang w:val="en-AU" w:eastAsia="en-AU"/>
              </w:rPr>
              <w:t xml:space="preserve">Staging </w:t>
            </w:r>
          </w:p>
        </w:tc>
        <w:tc>
          <w:tcPr>
            <w:tcW w:w="8143" w:type="dxa"/>
            <w:hideMark/>
          </w:tcPr>
          <w:p w14:paraId="782F9869" w14:textId="77777777" w:rsidR="00686798" w:rsidRDefault="00686798" w:rsidP="0068679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DSC data (MOF files) are staged. </w:t>
            </w:r>
          </w:p>
          <w:p w14:paraId="54F6DADF" w14:textId="77777777" w:rsidR="00686798" w:rsidRDefault="00686798" w:rsidP="0068679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When using the Pull model, DSC data and custom providers are kept on the Pull server (an IIS server with an OData interface) and the target system contacts the Pull server by passing a URI and a unique identifier to retrieve its configuration. </w:t>
            </w:r>
          </w:p>
          <w:p w14:paraId="0268A5E8" w14:textId="1D37780D" w:rsidR="00686798" w:rsidRDefault="00686798" w:rsidP="00686798">
            <w:pPr>
              <w:cnfStyle w:val="000000000000" w:firstRow="0" w:lastRow="0" w:firstColumn="0" w:lastColumn="0" w:oddVBand="0" w:evenVBand="0" w:oddHBand="0" w:evenHBand="0" w:firstRowFirstColumn="0" w:firstRowLastColumn="0" w:lastRowFirstColumn="0" w:lastRowLastColumn="0"/>
              <w:rPr>
                <w:rFonts w:cs="Segoe UI"/>
                <w:sz w:val="20"/>
                <w:szCs w:val="20"/>
              </w:rPr>
            </w:pPr>
            <w:r>
              <w:rPr>
                <w:sz w:val="20"/>
                <w:szCs w:val="20"/>
              </w:rPr>
              <w:t>When using the Push model, DSC data is being pushed to the target system directly.</w:t>
            </w:r>
          </w:p>
        </w:tc>
      </w:tr>
      <w:tr w:rsidR="00686798" w14:paraId="6F668BEE" w14:textId="77777777" w:rsidTr="00A320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5D94580" w14:textId="0C2C6E4B" w:rsidR="00686798" w:rsidRDefault="00686798" w:rsidP="00686798">
            <w:pPr>
              <w:pStyle w:val="NormalWeb"/>
              <w:spacing w:line="254" w:lineRule="auto"/>
              <w:rPr>
                <w:rFonts w:ascii="Segoe UI" w:hAnsi="Segoe UI" w:cs="Segoe UI"/>
                <w:sz w:val="20"/>
                <w:szCs w:val="20"/>
                <w:lang w:val="en-AU" w:eastAsia="en-AU"/>
              </w:rPr>
            </w:pPr>
            <w:r>
              <w:rPr>
                <w:rFonts w:ascii="Segoe UI" w:hAnsi="Segoe UI" w:cs="Segoe UI"/>
                <w:sz w:val="20"/>
                <w:szCs w:val="20"/>
                <w:lang w:val="en-AU" w:eastAsia="en-AU"/>
              </w:rPr>
              <w:t>“Make it so”</w:t>
            </w:r>
          </w:p>
        </w:tc>
        <w:tc>
          <w:tcPr>
            <w:tcW w:w="8143" w:type="dxa"/>
            <w:hideMark/>
          </w:tcPr>
          <w:p w14:paraId="3B4C0B9E" w14:textId="6DBE6272" w:rsidR="00686798" w:rsidRDefault="00686798" w:rsidP="0068679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The final phase is to apply the configuration. DSC data is pulled or pushed to the local configuration store, which contains the current, previous, and desired state configurations. The configuration gets parsed, and the relevant WMI provider implements the change.</w:t>
            </w:r>
          </w:p>
        </w:tc>
      </w:tr>
    </w:tbl>
    <w:p w14:paraId="5AB24604" w14:textId="77777777" w:rsidR="00D90173" w:rsidRPr="00140490" w:rsidRDefault="00D90173" w:rsidP="002C1BA9"/>
    <w:p w14:paraId="05AEE822" w14:textId="34C145E8" w:rsidR="002C1BA9" w:rsidRPr="00140490" w:rsidRDefault="00686798" w:rsidP="002C1BA9">
      <w:r w:rsidRPr="00822D1F">
        <w:t>Azure DSC Extensions</w:t>
      </w:r>
      <w:r w:rsidRPr="00140490">
        <w:t xml:space="preserve"> </w:t>
      </w:r>
      <w:r>
        <w:t xml:space="preserve">allow </w:t>
      </w:r>
      <w:r w:rsidRPr="00140490">
        <w:t>Power</w:t>
      </w:r>
      <w:r>
        <w:t>S</w:t>
      </w:r>
      <w:r w:rsidRPr="00140490">
        <w:t xml:space="preserve">hell </w:t>
      </w:r>
      <w:r>
        <w:t>d</w:t>
      </w:r>
      <w:r w:rsidRPr="00140490">
        <w:t xml:space="preserve">esired </w:t>
      </w:r>
      <w:r>
        <w:t>s</w:t>
      </w:r>
      <w:r w:rsidRPr="00140490">
        <w:t xml:space="preserve">tate </w:t>
      </w:r>
      <w:r>
        <w:t>c</w:t>
      </w:r>
      <w:r w:rsidRPr="00140490">
        <w:t xml:space="preserve">onfiguration to configure your Azure </w:t>
      </w:r>
      <w:r>
        <w:t>virtual machines</w:t>
      </w:r>
      <w:r w:rsidRPr="00140490">
        <w:t>.</w:t>
      </w:r>
      <w:r>
        <w:t xml:space="preserve"> </w:t>
      </w:r>
      <w:r w:rsidRPr="00140490">
        <w:t xml:space="preserve">The DSC </w:t>
      </w:r>
      <w:r>
        <w:t>E</w:t>
      </w:r>
      <w:r w:rsidRPr="00140490">
        <w:t>xtension handler has a dependency on Windows Management Framework 5</w:t>
      </w:r>
      <w:r>
        <w:t>.0</w:t>
      </w:r>
      <w:r w:rsidRPr="00140490">
        <w:t xml:space="preserve">. This is automatically installed by the extension handler. </w:t>
      </w:r>
      <w:r>
        <w:t>C</w:t>
      </w:r>
      <w:r w:rsidRPr="00140490">
        <w:t>urrently</w:t>
      </w:r>
      <w:r>
        <w:t>,</w:t>
      </w:r>
      <w:r w:rsidRPr="00140490">
        <w:t xml:space="preserve"> the only Windows Server </w:t>
      </w:r>
      <w:r>
        <w:t>virtual machine</w:t>
      </w:r>
      <w:r w:rsidRPr="00140490">
        <w:t xml:space="preserve"> images that support the DSC extension handler </w:t>
      </w:r>
      <w:r>
        <w:t>are</w:t>
      </w:r>
      <w:r w:rsidRPr="00140490">
        <w:t xml:space="preserve"> Windows</w:t>
      </w:r>
      <w:r>
        <w:t xml:space="preserve"> Server 2</w:t>
      </w:r>
      <w:r w:rsidRPr="00140490">
        <w:t>012 R2 images</w:t>
      </w:r>
      <w:r>
        <w:t xml:space="preserve"> due to a dependency on </w:t>
      </w:r>
      <w:r w:rsidRPr="00140490">
        <w:t>Windows Management Framework 5</w:t>
      </w:r>
      <w:r>
        <w:t>.0</w:t>
      </w:r>
      <w:r w:rsidR="002C1BA9" w:rsidRPr="00140490">
        <w:t>.</w:t>
      </w:r>
      <w:r w:rsidR="002C1BA9">
        <w:t xml:space="preserve"> </w:t>
      </w:r>
    </w:p>
    <w:p w14:paraId="696A0426" w14:textId="77777777" w:rsidR="009228AA" w:rsidRPr="00E1146C" w:rsidRDefault="009228AA" w:rsidP="009E23AE"/>
    <w:tbl>
      <w:tblPr>
        <w:tblStyle w:val="PlainTable11"/>
        <w:tblW w:w="0" w:type="auto"/>
        <w:tblLook w:val="04A0" w:firstRow="1" w:lastRow="0" w:firstColumn="1" w:lastColumn="0" w:noHBand="0" w:noVBand="1"/>
      </w:tblPr>
      <w:tblGrid>
        <w:gridCol w:w="2922"/>
        <w:gridCol w:w="6428"/>
      </w:tblGrid>
      <w:tr w:rsidR="009E23AE" w14:paraId="0CE096A3" w14:textId="77777777" w:rsidTr="0068679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808080" w:themeFill="background1" w:themeFillShade="80"/>
          </w:tcPr>
          <w:p w14:paraId="125974C0" w14:textId="77777777" w:rsidR="009E23AE" w:rsidRPr="00F47607" w:rsidRDefault="009E23AE" w:rsidP="00CB49C9">
            <w:pPr>
              <w:spacing w:line="240" w:lineRule="auto"/>
              <w:rPr>
                <w:color w:val="FFFFFF"/>
              </w:rPr>
            </w:pPr>
            <w:r>
              <w:rPr>
                <w:color w:val="FFFFFF"/>
              </w:rPr>
              <w:t>Feature References</w:t>
            </w:r>
          </w:p>
        </w:tc>
      </w:tr>
      <w:tr w:rsidR="00686798" w:rsidRPr="00A32012" w14:paraId="3DF80BE4" w14:textId="77777777" w:rsidTr="00A320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1EFF9720" w14:textId="388BB463" w:rsidR="00686798" w:rsidRPr="00A32012" w:rsidRDefault="00686798" w:rsidP="00686798">
            <w:pPr>
              <w:spacing w:line="240" w:lineRule="auto"/>
              <w:rPr>
                <w:sz w:val="20"/>
                <w:szCs w:val="18"/>
              </w:rPr>
            </w:pPr>
            <w:r w:rsidRPr="00A32012">
              <w:rPr>
                <w:sz w:val="20"/>
                <w:szCs w:val="18"/>
              </w:rPr>
              <w:t>Introduction to Azure Power</w:t>
            </w:r>
            <w:r>
              <w:rPr>
                <w:sz w:val="20"/>
                <w:szCs w:val="18"/>
              </w:rPr>
              <w:t>S</w:t>
            </w:r>
            <w:r w:rsidRPr="00A32012">
              <w:rPr>
                <w:sz w:val="20"/>
                <w:szCs w:val="18"/>
              </w:rPr>
              <w:t>hell DSC</w:t>
            </w:r>
          </w:p>
        </w:tc>
        <w:tc>
          <w:tcPr>
            <w:tcW w:w="5940" w:type="dxa"/>
          </w:tcPr>
          <w:p w14:paraId="4E556B09" w14:textId="6591AF4A" w:rsidR="00686798" w:rsidRPr="00A32012" w:rsidRDefault="00872E47" w:rsidP="00686798">
            <w:pPr>
              <w:cnfStyle w:val="000000100000" w:firstRow="0" w:lastRow="0" w:firstColumn="0" w:lastColumn="0" w:oddVBand="0" w:evenVBand="0" w:oddHBand="1" w:evenHBand="0" w:firstRowFirstColumn="0" w:firstRowLastColumn="0" w:lastRowFirstColumn="0" w:lastRowLastColumn="0"/>
              <w:rPr>
                <w:sz w:val="20"/>
                <w:szCs w:val="18"/>
              </w:rPr>
            </w:pPr>
            <w:hyperlink r:id="rId571" w:history="1">
              <w:r w:rsidR="00686798" w:rsidRPr="00A32012">
                <w:rPr>
                  <w:rStyle w:val="Hyperlink"/>
                  <w:sz w:val="20"/>
                  <w:szCs w:val="18"/>
                </w:rPr>
                <w:t>http://blogs.msdn.com/b/powershell/archive/2014/08/07/introducing-the-azure-powershell-dsc-desired-state-configuration-extension.aspx</w:t>
              </w:r>
            </w:hyperlink>
            <w:r w:rsidR="00686798" w:rsidRPr="00A32012">
              <w:rPr>
                <w:sz w:val="20"/>
                <w:szCs w:val="18"/>
              </w:rPr>
              <w:t xml:space="preserve"> </w:t>
            </w:r>
          </w:p>
        </w:tc>
      </w:tr>
      <w:tr w:rsidR="00686798" w:rsidRPr="00A32012" w14:paraId="05817579" w14:textId="77777777" w:rsidTr="00686798">
        <w:tc>
          <w:tcPr>
            <w:cnfStyle w:val="001000000000" w:firstRow="0" w:lastRow="0" w:firstColumn="1" w:lastColumn="0" w:oddVBand="0" w:evenVBand="0" w:oddHBand="0" w:evenHBand="0" w:firstRowFirstColumn="0" w:firstRowLastColumn="0" w:lastRowFirstColumn="0" w:lastRowLastColumn="0"/>
            <w:tcW w:w="2922" w:type="dxa"/>
          </w:tcPr>
          <w:p w14:paraId="6FECF893" w14:textId="62C07A6D" w:rsidR="00686798" w:rsidRPr="00A32012" w:rsidRDefault="00686798" w:rsidP="00686798">
            <w:pPr>
              <w:spacing w:line="240" w:lineRule="auto"/>
              <w:rPr>
                <w:sz w:val="20"/>
              </w:rPr>
            </w:pPr>
            <w:r w:rsidRPr="00A32012">
              <w:rPr>
                <w:sz w:val="20"/>
                <w:szCs w:val="18"/>
              </w:rPr>
              <w:t xml:space="preserve">Configuring a </w:t>
            </w:r>
            <w:r>
              <w:rPr>
                <w:sz w:val="20"/>
                <w:szCs w:val="18"/>
              </w:rPr>
              <w:t>virtual machine</w:t>
            </w:r>
            <w:r w:rsidRPr="00A32012">
              <w:rPr>
                <w:sz w:val="20"/>
                <w:szCs w:val="18"/>
              </w:rPr>
              <w:t xml:space="preserve"> via Power</w:t>
            </w:r>
            <w:r>
              <w:rPr>
                <w:sz w:val="20"/>
                <w:szCs w:val="18"/>
              </w:rPr>
              <w:t>S</w:t>
            </w:r>
            <w:r w:rsidRPr="00A32012">
              <w:rPr>
                <w:sz w:val="20"/>
                <w:szCs w:val="18"/>
              </w:rPr>
              <w:t>hell DSC</w:t>
            </w:r>
          </w:p>
        </w:tc>
        <w:tc>
          <w:tcPr>
            <w:tcW w:w="6428" w:type="dxa"/>
          </w:tcPr>
          <w:p w14:paraId="71091BEE" w14:textId="7B06B44A" w:rsidR="00686798" w:rsidRPr="00A32012" w:rsidRDefault="00872E47" w:rsidP="00686798">
            <w:pPr>
              <w:cnfStyle w:val="000000000000" w:firstRow="0" w:lastRow="0" w:firstColumn="0" w:lastColumn="0" w:oddVBand="0" w:evenVBand="0" w:oddHBand="0" w:evenHBand="0" w:firstRowFirstColumn="0" w:firstRowLastColumn="0" w:lastRowFirstColumn="0" w:lastRowLastColumn="0"/>
              <w:rPr>
                <w:sz w:val="20"/>
              </w:rPr>
            </w:pPr>
            <w:hyperlink r:id="rId572" w:history="1">
              <w:r w:rsidR="00686798" w:rsidRPr="00A32012">
                <w:rPr>
                  <w:rStyle w:val="Hyperlink"/>
                  <w:sz w:val="20"/>
                  <w:szCs w:val="18"/>
                </w:rPr>
                <w:t>http://blogs.msdn.com/b/powershell/archive/2014/04/03/configuring-an-azure-vm-using-powershell-dsc.aspx</w:t>
              </w:r>
            </w:hyperlink>
            <w:r w:rsidR="00686798" w:rsidRPr="00A32012">
              <w:rPr>
                <w:sz w:val="20"/>
                <w:szCs w:val="18"/>
              </w:rPr>
              <w:t xml:space="preserve"> </w:t>
            </w:r>
          </w:p>
        </w:tc>
      </w:tr>
      <w:tr w:rsidR="00686798" w:rsidRPr="00A32012" w14:paraId="26B7D244" w14:textId="77777777" w:rsidTr="00686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2" w:type="dxa"/>
          </w:tcPr>
          <w:p w14:paraId="0C45635E" w14:textId="72D7F7E0" w:rsidR="00686798" w:rsidRPr="00A32012" w:rsidRDefault="00686798" w:rsidP="00686798">
            <w:pPr>
              <w:spacing w:line="240" w:lineRule="auto"/>
              <w:rPr>
                <w:sz w:val="20"/>
                <w:szCs w:val="18"/>
              </w:rPr>
            </w:pPr>
            <w:r w:rsidRPr="00A32012">
              <w:rPr>
                <w:sz w:val="20"/>
                <w:szCs w:val="18"/>
              </w:rPr>
              <w:t>Built-In Windows PowerShell Desired State Configuration Resources</w:t>
            </w:r>
          </w:p>
        </w:tc>
        <w:tc>
          <w:tcPr>
            <w:tcW w:w="6428" w:type="dxa"/>
          </w:tcPr>
          <w:p w14:paraId="5D01BCE0" w14:textId="7DAD0032" w:rsidR="00686798" w:rsidRPr="00A32012" w:rsidRDefault="00872E47" w:rsidP="00686798">
            <w:pPr>
              <w:cnfStyle w:val="000000100000" w:firstRow="0" w:lastRow="0" w:firstColumn="0" w:lastColumn="0" w:oddVBand="0" w:evenVBand="0" w:oddHBand="1" w:evenHBand="0" w:firstRowFirstColumn="0" w:firstRowLastColumn="0" w:lastRowFirstColumn="0" w:lastRowLastColumn="0"/>
              <w:rPr>
                <w:sz w:val="20"/>
                <w:szCs w:val="18"/>
              </w:rPr>
            </w:pPr>
            <w:hyperlink r:id="rId573" w:history="1">
              <w:r w:rsidR="00686798" w:rsidRPr="00A32012">
                <w:rPr>
                  <w:rStyle w:val="Hyperlink"/>
                  <w:sz w:val="20"/>
                  <w:szCs w:val="18"/>
                </w:rPr>
                <w:t>https://technet.microsoft.com/en-us/library/dn249921.aspx</w:t>
              </w:r>
            </w:hyperlink>
            <w:r w:rsidR="00686798" w:rsidRPr="00A32012">
              <w:rPr>
                <w:sz w:val="20"/>
                <w:szCs w:val="18"/>
              </w:rPr>
              <w:t xml:space="preserve"> </w:t>
            </w:r>
          </w:p>
        </w:tc>
      </w:tr>
      <w:tr w:rsidR="00686798" w:rsidRPr="00A32012" w14:paraId="1357681E" w14:textId="77777777" w:rsidTr="00686798">
        <w:tc>
          <w:tcPr>
            <w:cnfStyle w:val="001000000000" w:firstRow="0" w:lastRow="0" w:firstColumn="1" w:lastColumn="0" w:oddVBand="0" w:evenVBand="0" w:oddHBand="0" w:evenHBand="0" w:firstRowFirstColumn="0" w:firstRowLastColumn="0" w:lastRowFirstColumn="0" w:lastRowLastColumn="0"/>
            <w:tcW w:w="2922" w:type="dxa"/>
          </w:tcPr>
          <w:p w14:paraId="79FD1D99" w14:textId="4727020D" w:rsidR="00686798" w:rsidRPr="00A32012" w:rsidRDefault="00686798" w:rsidP="00686798">
            <w:pPr>
              <w:spacing w:line="240" w:lineRule="auto"/>
              <w:rPr>
                <w:sz w:val="20"/>
                <w:szCs w:val="18"/>
              </w:rPr>
            </w:pPr>
            <w:r w:rsidRPr="00A32012">
              <w:rPr>
                <w:sz w:val="20"/>
                <w:szCs w:val="18"/>
              </w:rPr>
              <w:t>Build Custom Windows PowerShell Desired State Configuration Resources</w:t>
            </w:r>
          </w:p>
        </w:tc>
        <w:tc>
          <w:tcPr>
            <w:tcW w:w="6428" w:type="dxa"/>
          </w:tcPr>
          <w:p w14:paraId="7E656818" w14:textId="6E13E09F" w:rsidR="00686798" w:rsidRPr="00A32012" w:rsidRDefault="00872E47" w:rsidP="00686798">
            <w:pPr>
              <w:cnfStyle w:val="000000000000" w:firstRow="0" w:lastRow="0" w:firstColumn="0" w:lastColumn="0" w:oddVBand="0" w:evenVBand="0" w:oddHBand="0" w:evenHBand="0" w:firstRowFirstColumn="0" w:firstRowLastColumn="0" w:lastRowFirstColumn="0" w:lastRowLastColumn="0"/>
              <w:rPr>
                <w:sz w:val="20"/>
                <w:szCs w:val="18"/>
              </w:rPr>
            </w:pPr>
            <w:hyperlink r:id="rId574" w:history="1">
              <w:r w:rsidR="00686798" w:rsidRPr="00A32012">
                <w:rPr>
                  <w:rStyle w:val="Hyperlink"/>
                  <w:sz w:val="20"/>
                  <w:szCs w:val="18"/>
                </w:rPr>
                <w:t>https://technet.microsoft.com/en-us/library/dn249927.aspx</w:t>
              </w:r>
            </w:hyperlink>
            <w:r w:rsidR="00686798" w:rsidRPr="00A32012">
              <w:rPr>
                <w:sz w:val="20"/>
                <w:szCs w:val="18"/>
              </w:rPr>
              <w:t xml:space="preserve"> </w:t>
            </w:r>
          </w:p>
        </w:tc>
      </w:tr>
      <w:tr w:rsidR="00686798" w:rsidRPr="00A32012" w14:paraId="132023EF" w14:textId="77777777" w:rsidTr="006867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22" w:type="dxa"/>
          </w:tcPr>
          <w:p w14:paraId="5BD8E106" w14:textId="4AF067F5" w:rsidR="00686798" w:rsidRPr="00A32012" w:rsidRDefault="00686798" w:rsidP="00686798">
            <w:pPr>
              <w:spacing w:line="240" w:lineRule="auto"/>
              <w:rPr>
                <w:sz w:val="20"/>
                <w:szCs w:val="18"/>
              </w:rPr>
            </w:pPr>
            <w:r w:rsidRPr="00A32012">
              <w:rPr>
                <w:sz w:val="20"/>
                <w:szCs w:val="18"/>
              </w:rPr>
              <w:t>Windows PowerShell Desired State Configuration for Azure</w:t>
            </w:r>
          </w:p>
        </w:tc>
        <w:tc>
          <w:tcPr>
            <w:tcW w:w="6428" w:type="dxa"/>
          </w:tcPr>
          <w:p w14:paraId="2A3D778D" w14:textId="46461FE9" w:rsidR="00686798" w:rsidRPr="00A32012" w:rsidRDefault="00872E47" w:rsidP="00686798">
            <w:pPr>
              <w:cnfStyle w:val="000000100000" w:firstRow="0" w:lastRow="0" w:firstColumn="0" w:lastColumn="0" w:oddVBand="0" w:evenVBand="0" w:oddHBand="1" w:evenHBand="0" w:firstRowFirstColumn="0" w:firstRowLastColumn="0" w:lastRowFirstColumn="0" w:lastRowLastColumn="0"/>
              <w:rPr>
                <w:sz w:val="20"/>
                <w:szCs w:val="18"/>
              </w:rPr>
            </w:pPr>
            <w:hyperlink r:id="rId575" w:history="1">
              <w:r w:rsidR="00686798" w:rsidRPr="00A32012">
                <w:rPr>
                  <w:rStyle w:val="Hyperlink"/>
                  <w:sz w:val="20"/>
                  <w:szCs w:val="18"/>
                </w:rPr>
                <w:t>https://msdn.microsoft.com/en-us/library/azure/dn877980.aspx</w:t>
              </w:r>
            </w:hyperlink>
            <w:r w:rsidR="00686798" w:rsidRPr="00A32012">
              <w:rPr>
                <w:sz w:val="20"/>
                <w:szCs w:val="18"/>
              </w:rPr>
              <w:t xml:space="preserve"> </w:t>
            </w:r>
          </w:p>
        </w:tc>
      </w:tr>
    </w:tbl>
    <w:p w14:paraId="41593C07" w14:textId="77777777" w:rsidR="009E23AE" w:rsidRDefault="009E23AE" w:rsidP="009E23AE"/>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9E23AE" w14:paraId="07A2D0AC" w14:textId="77777777" w:rsidTr="00CB49C9">
        <w:trPr>
          <w:trHeight w:val="423"/>
        </w:trPr>
        <w:tc>
          <w:tcPr>
            <w:tcW w:w="666" w:type="dxa"/>
          </w:tcPr>
          <w:p w14:paraId="1D298DDC" w14:textId="77777777" w:rsidR="009E23AE" w:rsidRDefault="009E23AE" w:rsidP="00CB49C9">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611136" behindDoc="0" locked="0" layoutInCell="1" allowOverlap="1" wp14:anchorId="093AE366" wp14:editId="5E55A0F2">
                      <wp:simplePos x="0" y="0"/>
                      <wp:positionH relativeFrom="column">
                        <wp:posOffset>66675</wp:posOffset>
                      </wp:positionH>
                      <wp:positionV relativeFrom="paragraph">
                        <wp:posOffset>90170</wp:posOffset>
                      </wp:positionV>
                      <wp:extent cx="180975" cy="180975"/>
                      <wp:effectExtent l="57150" t="19050" r="9525" b="104775"/>
                      <wp:wrapNone/>
                      <wp:docPr id="41134" name="Oval 411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2A0EBA92" id="Oval 41134" o:spid="_x0000_s1026" style="position:absolute;margin-left:5.25pt;margin-top:7.1pt;width:14.25pt;height:14.2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XsvfgIAAGgFAAAOAAAAZHJzL2Uyb0RvYy54bWysVN9P2zAQfp+0/8Hy+0hSyoCIFHUgpkkV&#10;oMHEs+vYrTXb59lu0+6v39lJAxuTkKa9WD7fdz/93V1c7owmW+GDAtvQ6qikRFgOrbKrhn57vPlw&#10;RkmIzLZMgxUN3YtAL2fv3110rhYTWINuhSfoxIa6cw1dx+jqogh8LQwLR+CERaUEb1hE0a+K1rMO&#10;vRtdTMryY9GBb50HLkLA1+teSWfZv5SCxzspg4hENxRzi/n0+Vyms5hdsHrlmVsrPqTB/iELw5TF&#10;oKOraxYZ2Xj1ypVR3EMAGY84mAKkVFzkGrCaqvyjmoc1cyLXgs0JbmxT+H9u+e323hPVNnRaVcdT&#10;Siwz+E13W6ZJ/4Id6lyoEfjg7n2qMbgF8O8BFcVvmiSEAbOT3iQsVkh2ud37sd1iFwnHx+qsPD89&#10;oYSjargnn6w+GDsf4mcBhqRLQ4XWyoXUEFaz7SLEHn1A5dRAq/ZGaZ0Fv1peaU+wFoxdfipP8n9j&#10;gPAMyyX0Wef8416LZKztVyGxMSnPHDFTUoz+GOfCxuNEIHSY0clMYuzR8PhtwwGfTEWm62g8edt4&#10;tMiRwcbR2CgL/m8OdKyGlGWPHz4x9HWnFiyh3SMnPPTDEhy/Udj/BQvxnnmcDpwjnPh4h4fU0DUU&#10;hhsla/A///ae8Eha1FLS4bQ1NPzYMC8o0V8s0vm8mk7TeGZhenI6QcG/1CxfauzGXAH+aYW7xfF8&#10;TfioD1fpwTzhYpinqKhilmPshvLoD8JV7LcArhYu5vMMw5F0LC7sg+OHX0/ketw9Me8GEkZk7y0c&#10;JvMVEXts+g8L800EqTJLn/s69BvHORNnWD1pX7yUM+p5Qc5+AQAA//8DAFBLAwQUAAYACAAAACEA&#10;whqfIt4AAAAHAQAADwAAAGRycy9kb3ducmV2LnhtbEyPQUvDQBCF74L/YRnBi9hNYqs2ZlNEEBS9&#10;mFbU2zQ7JsHsbMhu2/jvHU96Gh7v8eZ7xWpyvdrTGDrPBtJZAoq49rbjxsBmfX9+DSpEZIu9ZzLw&#10;TQFW5fFRgbn1B36hfRUbJSUccjTQxjjkWoe6JYdh5gdi8T796DCKHBttRzxIuet1liSX2mHH8qHF&#10;ge5aqr+qnTPwUW2e3Tp9cm+P6cOCzt77JdpXY05PptsbUJGm+BeGX3xBh1KYtn7HNqhedLKQpNx5&#10;Bkr8i6VM2xqYZ1egy0L/5y9/AAAA//8DAFBLAQItABQABgAIAAAAIQC2gziS/gAAAOEBAAATAAAA&#10;AAAAAAAAAAAAAAAAAABbQ29udGVudF9UeXBlc10ueG1sUEsBAi0AFAAGAAgAAAAhADj9If/WAAAA&#10;lAEAAAsAAAAAAAAAAAAAAAAALwEAAF9yZWxzLy5yZWxzUEsBAi0AFAAGAAgAAAAhALe1ey9+AgAA&#10;aAUAAA4AAAAAAAAAAAAAAAAALgIAAGRycy9lMm9Eb2MueG1sUEsBAi0AFAAGAAgAAAAhAMIanyLe&#10;AAAABwEAAA8AAAAAAAAAAAAAAAAA2AQAAGRycy9kb3ducmV2LnhtbFBLBQYAAAAABAAEAPMAAADj&#10;BQAAAAA=&#10;" fillcolor="#00b050" strokecolor="#a5a5a5 [3206]" strokeweight=".5pt">
                      <v:stroke joinstyle="miter"/>
                      <v:path arrowok="t"/>
                    </v:oval>
                  </w:pict>
                </mc:Fallback>
              </mc:AlternateContent>
            </w:r>
          </w:p>
        </w:tc>
        <w:tc>
          <w:tcPr>
            <w:tcW w:w="8604" w:type="dxa"/>
          </w:tcPr>
          <w:p w14:paraId="5E33E346" w14:textId="6D55BDFA" w:rsidR="009E23AE" w:rsidRDefault="009E23AE" w:rsidP="00CB49C9">
            <w:pPr>
              <w:rPr>
                <w:lang w:eastAsia="en-US"/>
              </w:rPr>
            </w:pPr>
            <w:r>
              <w:rPr>
                <w:rFonts w:eastAsiaTheme="minorHAnsi"/>
                <w:b/>
                <w:lang w:eastAsia="en-US"/>
              </w:rPr>
              <w:t xml:space="preserve">Optional: </w:t>
            </w:r>
            <w:r>
              <w:rPr>
                <w:rFonts w:eastAsiaTheme="minorHAnsi"/>
                <w:lang w:eastAsia="en-US"/>
              </w:rPr>
              <w:t xml:space="preserve"> </w:t>
            </w:r>
            <w:r w:rsidR="00686798">
              <w:rPr>
                <w:rFonts w:eastAsiaTheme="minorHAnsi"/>
                <w:lang w:eastAsia="en-US"/>
              </w:rPr>
              <w:t>Solutions that leverage provisioning automation can consider the use of DSC, in combination with other automation, to deliver a final product that is configured to the desired specifications. Because there are limitations on what DSC can deliver, organizations may find that they need to augment DSC with additional automation capabilities</w:t>
            </w:r>
            <w:r w:rsidR="00664829">
              <w:rPr>
                <w:rFonts w:eastAsiaTheme="minorHAnsi"/>
                <w:lang w:eastAsia="en-US"/>
              </w:rPr>
              <w:t>.</w:t>
            </w:r>
          </w:p>
        </w:tc>
      </w:tr>
    </w:tbl>
    <w:p w14:paraId="21337CD8" w14:textId="7E665A95" w:rsidR="00664829" w:rsidRPr="00664829" w:rsidRDefault="00664829" w:rsidP="00664829"/>
    <w:p w14:paraId="6C2F17FF" w14:textId="1EB2FB27" w:rsidR="00727F02" w:rsidRDefault="177D13D5" w:rsidP="005729D2">
      <w:pPr>
        <w:pStyle w:val="Heading4Numbered"/>
        <w:numPr>
          <w:ilvl w:val="3"/>
          <w:numId w:val="64"/>
        </w:numPr>
      </w:pPr>
      <w:r>
        <w:t>Service Management Automation</w:t>
      </w:r>
    </w:p>
    <w:p w14:paraId="6A6BA519" w14:textId="06B606AD" w:rsidR="00236412" w:rsidRDefault="007B4E6F" w:rsidP="00236412">
      <w:r>
        <w:t>Service</w:t>
      </w:r>
      <w:r w:rsidR="00236412">
        <w:t xml:space="preserve"> Management Automation (SMA) is primarily an engine that allows running .NET Framework Windows Workflow Foundation activities. SMA is typically accessed through the Azure portal; however, solutions can also leverage the SMA OData-based web service to call SMA directly. </w:t>
      </w:r>
    </w:p>
    <w:p w14:paraId="68F7BB0B" w14:textId="3EA9A80B" w:rsidR="007B4E6F" w:rsidRDefault="00236412" w:rsidP="00236412">
      <w:pPr>
        <w:jc w:val="both"/>
      </w:pPr>
      <w:r>
        <w:t>The SMA environment leverages the .NET Framework, so 64-bit functions can be utilized. This is a key difference when compared to solutions such as System Center Orchestrator, which leverages the 32-bit Windows PowerShell 2.0 engine, regardless of the underlying operating system capabilities</w:t>
      </w:r>
      <w:r w:rsidR="007B4E6F">
        <w:t>.</w:t>
      </w:r>
    </w:p>
    <w:p w14:paraId="60F6447D" w14:textId="77777777" w:rsidR="007F222C" w:rsidRDefault="007F222C" w:rsidP="007B4E6F">
      <w:pPr>
        <w:jc w:val="both"/>
      </w:pPr>
    </w:p>
    <w:tbl>
      <w:tblPr>
        <w:tblStyle w:val="PlainTable11"/>
        <w:tblW w:w="0" w:type="auto"/>
        <w:tblLook w:val="04A0" w:firstRow="1" w:lastRow="0" w:firstColumn="1" w:lastColumn="0" w:noHBand="0" w:noVBand="1"/>
      </w:tblPr>
      <w:tblGrid>
        <w:gridCol w:w="2604"/>
        <w:gridCol w:w="6746"/>
      </w:tblGrid>
      <w:tr w:rsidR="007B4E6F" w14:paraId="30C101F7" w14:textId="77777777" w:rsidTr="00A320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638642E4" w14:textId="77777777" w:rsidR="007B4E6F" w:rsidRPr="00F47607" w:rsidRDefault="007B4E6F" w:rsidP="000E6A47">
            <w:pPr>
              <w:spacing w:line="240" w:lineRule="auto"/>
              <w:rPr>
                <w:color w:val="FFFFFF"/>
              </w:rPr>
            </w:pPr>
            <w:r>
              <w:rPr>
                <w:color w:val="FFFFFF"/>
              </w:rPr>
              <w:t>Feature References</w:t>
            </w:r>
          </w:p>
        </w:tc>
      </w:tr>
      <w:tr w:rsidR="007B4E6F" w:rsidRPr="00A32012" w14:paraId="0CF695F1" w14:textId="77777777" w:rsidTr="00A320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7" w:type="dxa"/>
          </w:tcPr>
          <w:p w14:paraId="77753219" w14:textId="77777777" w:rsidR="007B4E6F" w:rsidRPr="00A32012" w:rsidRDefault="007B4E6F" w:rsidP="000E6A47">
            <w:pPr>
              <w:spacing w:line="240" w:lineRule="auto"/>
              <w:rPr>
                <w:sz w:val="20"/>
                <w:szCs w:val="18"/>
              </w:rPr>
            </w:pPr>
            <w:r w:rsidRPr="00A32012">
              <w:rPr>
                <w:sz w:val="20"/>
                <w:szCs w:val="18"/>
              </w:rPr>
              <w:t>Service Management Automation overview</w:t>
            </w:r>
          </w:p>
        </w:tc>
        <w:tc>
          <w:tcPr>
            <w:tcW w:w="6093" w:type="dxa"/>
          </w:tcPr>
          <w:p w14:paraId="660FF353" w14:textId="77777777" w:rsidR="007B4E6F" w:rsidRPr="00A32012" w:rsidRDefault="00872E47" w:rsidP="000E6A47">
            <w:pPr>
              <w:cnfStyle w:val="000000100000" w:firstRow="0" w:lastRow="0" w:firstColumn="0" w:lastColumn="0" w:oddVBand="0" w:evenVBand="0" w:oddHBand="1" w:evenHBand="0" w:firstRowFirstColumn="0" w:firstRowLastColumn="0" w:lastRowFirstColumn="0" w:lastRowLastColumn="0"/>
              <w:rPr>
                <w:sz w:val="20"/>
                <w:szCs w:val="18"/>
              </w:rPr>
            </w:pPr>
            <w:hyperlink r:id="rId576" w:history="1">
              <w:r w:rsidR="007B4E6F" w:rsidRPr="00A32012">
                <w:rPr>
                  <w:rStyle w:val="Hyperlink"/>
                  <w:sz w:val="20"/>
                  <w:szCs w:val="18"/>
                </w:rPr>
                <w:t>http://blogs.technet.com/b/privatecloud/archive/2013/08/09/automation-an-introduction-to-service-management-automation.aspx</w:t>
              </w:r>
            </w:hyperlink>
          </w:p>
        </w:tc>
      </w:tr>
      <w:tr w:rsidR="007B4E6F" w:rsidRPr="00A32012" w14:paraId="7B4B2E04" w14:textId="77777777" w:rsidTr="00A32012">
        <w:tc>
          <w:tcPr>
            <w:cnfStyle w:val="001000000000" w:firstRow="0" w:lastRow="0" w:firstColumn="1" w:lastColumn="0" w:oddVBand="0" w:evenVBand="0" w:oddHBand="0" w:evenHBand="0" w:firstRowFirstColumn="0" w:firstRowLastColumn="0" w:lastRowFirstColumn="0" w:lastRowLastColumn="0"/>
            <w:tcW w:w="3267" w:type="dxa"/>
          </w:tcPr>
          <w:p w14:paraId="6AE2E968" w14:textId="77777777" w:rsidR="007B4E6F" w:rsidRPr="00A32012" w:rsidRDefault="007B4E6F" w:rsidP="000E6A47">
            <w:pPr>
              <w:spacing w:line="240" w:lineRule="auto"/>
              <w:rPr>
                <w:sz w:val="20"/>
              </w:rPr>
            </w:pPr>
            <w:r w:rsidRPr="00A32012">
              <w:rPr>
                <w:sz w:val="20"/>
                <w:szCs w:val="18"/>
              </w:rPr>
              <w:t>Service Management Automation comparison to other tools</w:t>
            </w:r>
          </w:p>
        </w:tc>
        <w:tc>
          <w:tcPr>
            <w:tcW w:w="6093" w:type="dxa"/>
          </w:tcPr>
          <w:p w14:paraId="1E213717" w14:textId="77777777" w:rsidR="007B4E6F" w:rsidRPr="00A32012" w:rsidRDefault="00872E47" w:rsidP="000E6A47">
            <w:pPr>
              <w:cnfStyle w:val="000000000000" w:firstRow="0" w:lastRow="0" w:firstColumn="0" w:lastColumn="0" w:oddVBand="0" w:evenVBand="0" w:oddHBand="0" w:evenHBand="0" w:firstRowFirstColumn="0" w:firstRowLastColumn="0" w:lastRowFirstColumn="0" w:lastRowLastColumn="0"/>
              <w:rPr>
                <w:sz w:val="20"/>
              </w:rPr>
            </w:pPr>
            <w:hyperlink r:id="rId577" w:history="1">
              <w:r w:rsidR="007B4E6F" w:rsidRPr="00A32012">
                <w:rPr>
                  <w:rStyle w:val="Hyperlink"/>
                  <w:sz w:val="20"/>
                  <w:szCs w:val="18"/>
                </w:rPr>
                <w:t>https://technet.microsoft.com/en-us/library/dn469260.aspx</w:t>
              </w:r>
            </w:hyperlink>
          </w:p>
        </w:tc>
      </w:tr>
      <w:tr w:rsidR="00796F4E" w:rsidRPr="00A32012" w14:paraId="362E4B02" w14:textId="77777777" w:rsidTr="00A320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7" w:type="dxa"/>
          </w:tcPr>
          <w:p w14:paraId="4BD10E5C" w14:textId="512C6A3A" w:rsidR="00796F4E" w:rsidRPr="00A32012" w:rsidRDefault="00796F4E" w:rsidP="000E6A47">
            <w:pPr>
              <w:spacing w:line="240" w:lineRule="auto"/>
              <w:rPr>
                <w:sz w:val="20"/>
                <w:szCs w:val="18"/>
              </w:rPr>
            </w:pPr>
            <w:r>
              <w:rPr>
                <w:sz w:val="20"/>
                <w:szCs w:val="18"/>
              </w:rPr>
              <w:t>Getting Started with PowerShell Workflow</w:t>
            </w:r>
          </w:p>
        </w:tc>
        <w:tc>
          <w:tcPr>
            <w:tcW w:w="6093" w:type="dxa"/>
          </w:tcPr>
          <w:p w14:paraId="2E20AA34" w14:textId="3217E073" w:rsidR="00796F4E" w:rsidRDefault="00872E47" w:rsidP="000E6A47">
            <w:pPr>
              <w:cnfStyle w:val="000000100000" w:firstRow="0" w:lastRow="0" w:firstColumn="0" w:lastColumn="0" w:oddVBand="0" w:evenVBand="0" w:oddHBand="1" w:evenHBand="0" w:firstRowFirstColumn="0" w:firstRowLastColumn="0" w:lastRowFirstColumn="0" w:lastRowLastColumn="0"/>
            </w:pPr>
            <w:hyperlink r:id="rId578" w:history="1">
              <w:r w:rsidR="00236412" w:rsidRPr="0039126D">
                <w:rPr>
                  <w:rStyle w:val="Hyperlink"/>
                  <w:rFonts w:eastAsiaTheme="minorHAnsi" w:cs="Segoe UI"/>
                  <w:sz w:val="20"/>
                  <w:szCs w:val="20"/>
                </w:rPr>
                <w:t>https://technet.microsoft.com/en-us/library/jj134242.aspx</w:t>
              </w:r>
            </w:hyperlink>
            <w:r w:rsidR="00236412">
              <w:rPr>
                <w:rFonts w:eastAsiaTheme="minorHAnsi" w:cs="Segoe UI"/>
                <w:color w:val="000000"/>
                <w:sz w:val="20"/>
                <w:szCs w:val="20"/>
              </w:rPr>
              <w:t xml:space="preserve">  </w:t>
            </w:r>
          </w:p>
        </w:tc>
      </w:tr>
      <w:tr w:rsidR="00796F4E" w:rsidRPr="00A32012" w14:paraId="7560FE28" w14:textId="77777777" w:rsidTr="00A32012">
        <w:tc>
          <w:tcPr>
            <w:cnfStyle w:val="001000000000" w:firstRow="0" w:lastRow="0" w:firstColumn="1" w:lastColumn="0" w:oddVBand="0" w:evenVBand="0" w:oddHBand="0" w:evenHBand="0" w:firstRowFirstColumn="0" w:firstRowLastColumn="0" w:lastRowFirstColumn="0" w:lastRowLastColumn="0"/>
            <w:tcW w:w="3267" w:type="dxa"/>
          </w:tcPr>
          <w:p w14:paraId="714A6232" w14:textId="51641A5D" w:rsidR="00796F4E" w:rsidRDefault="00796F4E" w:rsidP="00236412">
            <w:pPr>
              <w:spacing w:line="240" w:lineRule="auto"/>
              <w:rPr>
                <w:sz w:val="20"/>
                <w:szCs w:val="18"/>
              </w:rPr>
            </w:pPr>
            <w:r>
              <w:rPr>
                <w:sz w:val="20"/>
                <w:szCs w:val="18"/>
              </w:rPr>
              <w:t>Running PowerShell commands in a Workflow</w:t>
            </w:r>
          </w:p>
        </w:tc>
        <w:tc>
          <w:tcPr>
            <w:tcW w:w="6093" w:type="dxa"/>
          </w:tcPr>
          <w:p w14:paraId="4DA606D5" w14:textId="6CD4D06A" w:rsidR="00796F4E" w:rsidRDefault="00872E47" w:rsidP="000E6A47">
            <w:pPr>
              <w:cnfStyle w:val="000000000000" w:firstRow="0" w:lastRow="0" w:firstColumn="0" w:lastColumn="0" w:oddVBand="0" w:evenVBand="0" w:oddHBand="0" w:evenHBand="0" w:firstRowFirstColumn="0" w:firstRowLastColumn="0" w:lastRowFirstColumn="0" w:lastRowLastColumn="0"/>
              <w:rPr>
                <w:rFonts w:eastAsiaTheme="minorHAnsi" w:cs="Segoe UI"/>
                <w:color w:val="000000"/>
                <w:sz w:val="20"/>
                <w:szCs w:val="20"/>
              </w:rPr>
            </w:pPr>
            <w:hyperlink r:id="rId579" w:history="1">
              <w:r w:rsidR="00236412" w:rsidRPr="0039126D">
                <w:rPr>
                  <w:rStyle w:val="Hyperlink"/>
                  <w:rFonts w:eastAsiaTheme="minorHAnsi" w:cs="Segoe UI"/>
                  <w:sz w:val="20"/>
                  <w:szCs w:val="20"/>
                </w:rPr>
                <w:t>https://technet.microsoft.com/en-us/library/jj574197.aspx</w:t>
              </w:r>
            </w:hyperlink>
            <w:r w:rsidR="00236412">
              <w:rPr>
                <w:rFonts w:eastAsiaTheme="minorHAnsi" w:cs="Segoe UI"/>
                <w:color w:val="000000"/>
                <w:sz w:val="20"/>
                <w:szCs w:val="20"/>
              </w:rPr>
              <w:t xml:space="preserve"> </w:t>
            </w:r>
          </w:p>
        </w:tc>
      </w:tr>
    </w:tbl>
    <w:p w14:paraId="13626206" w14:textId="77777777" w:rsidR="007B4E6F" w:rsidRDefault="007B4E6F" w:rsidP="007B4E6F">
      <w:pPr>
        <w:jc w:val="both"/>
      </w:pP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7B4E6F" w14:paraId="60B26622" w14:textId="77777777" w:rsidTr="000E6A47">
        <w:trPr>
          <w:trHeight w:val="423"/>
        </w:trPr>
        <w:tc>
          <w:tcPr>
            <w:tcW w:w="666" w:type="dxa"/>
          </w:tcPr>
          <w:p w14:paraId="40572B30" w14:textId="77777777" w:rsidR="007B4E6F" w:rsidRDefault="007B4E6F" w:rsidP="000E6A47">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293696" behindDoc="0" locked="0" layoutInCell="1" allowOverlap="1" wp14:anchorId="4EB26F63" wp14:editId="160C445A">
                      <wp:simplePos x="0" y="0"/>
                      <wp:positionH relativeFrom="column">
                        <wp:posOffset>66675</wp:posOffset>
                      </wp:positionH>
                      <wp:positionV relativeFrom="paragraph">
                        <wp:posOffset>90170</wp:posOffset>
                      </wp:positionV>
                      <wp:extent cx="209550" cy="180975"/>
                      <wp:effectExtent l="57150" t="19050" r="57150" b="104775"/>
                      <wp:wrapNone/>
                      <wp:docPr id="33" name="Isosceles Tri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73364F40" id="Isosceles Triangle 33" o:spid="_x0000_s1026" type="#_x0000_t5" style="position:absolute;margin-left:5.25pt;margin-top:7.1pt;width:16.5pt;height:14.25pt;z-index:25129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o6ZhQIAAHEFAAAOAAAAZHJzL2Uyb0RvYy54bWysVFtP2zAUfp+0/2D5fSQplEtEiipQJ6QK&#10;0GDi2XXs1prj49lu0+7X79i5wBgS0rQ8WHbOd+7fOZdX+0aTnXBegalocZRTIgyHWpl1Rb8/Lb6c&#10;U+IDMzXTYERFD8LTq9nnT5etLcUENqBr4QgaMb5sbUU3IdgyyzzfiIb5I7DCoFCCa1jAp1tntWMt&#10;Wm90Nsnz06wFV1sHXHiPf286IZ0l+1IKHu6l9CIQXVGMLaTTpXMVz2x2ycq1Y3ajeB8G+4coGqYM&#10;Oh1N3bDAyNapv0w1ijvwIMMRhyYDKRUXKQfMpsjfZPO4YVakXLA43o5l8v/PLL/bPTii6ooeH1Ni&#10;WIM9uvXgudDCkyenmFlrQVCIlWqtL1Hh0T64mKu3S+A/PAqyPyTx4XvMXromYjFTsk9lP4xlF/tA&#10;OP6c5BfTKTaHo6g4zy/OptFZxspB2TofvgpoSLxUNPRRpYKz3dKHDj7AUmygVb1QWqeHW6+utSM7&#10;hixY4JenxqMH/wJLOXRhpwTCQYuorM03IbFCGGiRPCZuitEe41yYcNqHnNBRTaLvUfH4Y8UeH1VF&#10;4u2oPPlYedRInsGEUblRBtx7BnQo+pBlh++76Lu8YwlWUB+QHA66qfGWLxQ2YMl8eGAOxwR7hqMf&#10;7vGQGtqKQn+jZAPu13v/Ix7Zi1JKWhy7ivqfW+YEJfrWIK8vipOTOKfpcTI9m+DDvZasXkvMtrkG&#10;7GmBS8bydI34oIerdNA844aYR68oYoaj74ry4IbHdejWAe4YLubzBMPZtCwszaPlQ9cjuZ72z8zZ&#10;gYVI3zsYRpSVb4jYYWM/DMy3AaRKLH2pa19vnOvE9X4HxcXx+p1QL5ty9hsAAP//AwBQSwMEFAAG&#10;AAgAAAAhADU8QjDZAAAABwEAAA8AAABkcnMvZG93bnJldi54bWxMjs1OwzAQhO9IvIO1SFxQ65CG&#10;tgpxKoSSI6ooPIATb36EvY5itw1vz3KC02g0o5mvOCzOigvOYfSk4HGdgEBqvRmpV/D5Ua/2IELU&#10;ZLT1hAq+McChvL0pdG78ld7xcoq94BEKuVYwxDjlUoZ2QKfD2k9InHV+djqynXtpZn3lcWdlmiRb&#10;6fRI/DDoCV8HbL9OZ6fAN8ux29S7/UPtJvvWVVXmjpVS93fLyzOIiEv8K8MvPqNDyUyNP5MJwrJP&#10;nrjJmqUgOM827BvWdAeyLOR//vIHAAD//wMAUEsBAi0AFAAGAAgAAAAhALaDOJL+AAAA4QEAABMA&#10;AAAAAAAAAAAAAAAAAAAAAFtDb250ZW50X1R5cGVzXS54bWxQSwECLQAUAAYACAAAACEAOP0h/9YA&#10;AACUAQAACwAAAAAAAAAAAAAAAAAvAQAAX3JlbHMvLnJlbHNQSwECLQAUAAYACAAAACEA2FqOmYUC&#10;AABxBQAADgAAAAAAAAAAAAAAAAAuAgAAZHJzL2Uyb0RvYy54bWxQSwECLQAUAAYACAAAACEANTxC&#10;MNkAAAAHAQAADwAAAAAAAAAAAAAAAADfBAAAZHJzL2Rvd25yZXYueG1sUEsFBgAAAAAEAAQA8wAA&#10;AOUFAAAAAA==&#10;" fillcolor="yellow" strokecolor="#70ad47 [3209]" strokeweight=".5pt">
                      <v:path arrowok="t"/>
                    </v:shape>
                  </w:pict>
                </mc:Fallback>
              </mc:AlternateContent>
            </w:r>
          </w:p>
        </w:tc>
        <w:tc>
          <w:tcPr>
            <w:tcW w:w="8604" w:type="dxa"/>
          </w:tcPr>
          <w:p w14:paraId="6B20B451" w14:textId="03362542" w:rsidR="007B4E6F" w:rsidRDefault="007B4E6F" w:rsidP="000E6A47">
            <w:pPr>
              <w:rPr>
                <w:lang w:eastAsia="en-US"/>
              </w:rPr>
            </w:pPr>
            <w:r>
              <w:rPr>
                <w:rFonts w:eastAsiaTheme="minorHAnsi"/>
                <w:b/>
                <w:lang w:eastAsia="en-US"/>
              </w:rPr>
              <w:t xml:space="preserve">Recommended: </w:t>
            </w:r>
            <w:r>
              <w:rPr>
                <w:rFonts w:eastAsiaTheme="minorHAnsi"/>
                <w:lang w:eastAsia="en-US"/>
              </w:rPr>
              <w:t xml:space="preserve"> </w:t>
            </w:r>
            <w:r w:rsidR="00236412">
              <w:rPr>
                <w:rFonts w:eastAsiaTheme="minorHAnsi"/>
                <w:lang w:eastAsia="en-US"/>
              </w:rPr>
              <w:t>Azure solutions should leverage SMA if parallel or long running activities are required. Additionally, SMA should be part of solutions looking to automate Azure resources and on-premises resources</w:t>
            </w:r>
            <w:r>
              <w:rPr>
                <w:rFonts w:eastAsiaTheme="minorHAnsi"/>
                <w:lang w:eastAsia="en-US"/>
              </w:rPr>
              <w:t>.</w:t>
            </w:r>
          </w:p>
        </w:tc>
      </w:tr>
      <w:tr w:rsidR="007B4E6F" w14:paraId="47129F1C" w14:textId="77777777" w:rsidTr="000E6A47">
        <w:trPr>
          <w:trHeight w:val="423"/>
        </w:trPr>
        <w:tc>
          <w:tcPr>
            <w:tcW w:w="666" w:type="dxa"/>
          </w:tcPr>
          <w:p w14:paraId="370516F8" w14:textId="77777777" w:rsidR="007B4E6F" w:rsidRDefault="007B4E6F" w:rsidP="000E6A47">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298816" behindDoc="0" locked="0" layoutInCell="1" allowOverlap="1" wp14:anchorId="65D92623" wp14:editId="6FA6DB67">
                      <wp:simplePos x="0" y="0"/>
                      <wp:positionH relativeFrom="column">
                        <wp:posOffset>66675</wp:posOffset>
                      </wp:positionH>
                      <wp:positionV relativeFrom="paragraph">
                        <wp:posOffset>90170</wp:posOffset>
                      </wp:positionV>
                      <wp:extent cx="180975" cy="180975"/>
                      <wp:effectExtent l="57150" t="19050" r="9525" b="104775"/>
                      <wp:wrapNone/>
                      <wp:docPr id="34" name="Oval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2CA7A491" id="Oval 34" o:spid="_x0000_s1026" style="position:absolute;margin-left:5.25pt;margin-top:7.1pt;width:14.25pt;height:14.25pt;z-index:25129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r/fewIAAGIFAAAOAAAAZHJzL2Uyb0RvYy54bWysVE1PGzEQvVfqf7B8L7sJocCKDUpBVJUi&#10;ggoVZ8drJ1Ztj2s72aS/nrF3s9CChFT1Ynk8b76eZ+bicmc02QofFNiajo5KSoTl0Ci7qumPh5tP&#10;Z5SEyGzDNFhR070I9HL68cNF6yoxhjXoRniCTmyoWlfTdYyuKorA18KwcAROWFRK8IZFFP2qaDxr&#10;0bvRxbgsPxct+MZ54CIEfL3ulHSa/UspeFxIGUQkuqaYW8ynz+cyncX0glUrz9xa8T4N9g9ZGKYs&#10;Bh1cXbPIyMarV66M4h4CyHjEwRQgpeIi14DVjMq/qrlfMydyLUhOcANN4f+55bfbO09UU9PjCSWW&#10;GfyjxZZpgiJy07pQIeTe3flUXXBz4D8DKoo/NEkIPWYnvUlYrI3sMtH7gWixi4Tj4+isPD89oYSj&#10;qr8nn6w6GDsf4lcBhqRLTYXWyoVEBavYdh5ihz6gcmqgVXOjtM6CXy2vtCdYCMYuv5Qn+acxQHiG&#10;5RK6rHP+ca9FMtb2u5BIScozR8zNKAZ/jHNh43GiBx1mdDKTGHswPH7fsMcnU5EbdTAev288WOTI&#10;YONgbJQF/5YDHUd9yrLD958YuroTBUto9tgNHroxCY7fKOR/zkK8Yx7nAicIZz0u8JAa2ppCf6Nk&#10;Df73W+8Jj+2KWkpanLOahl8b5gUl+pvFRj4fTSZpMLMwOTkdo+BfapYvNXZjrgD/dIRbxfF8Tfio&#10;D1fpwTziSpilqKhilmPsmvLoD8JV7OYflwoXs1mG4TA6Fuf23vHDr6fmetg9Mu/6JozYvbdwmMlX&#10;jdhh039YmG0iSJW79JnXnm8c5Nw4/dJJm+KlnFHPq3H6BAAA//8DAFBLAwQUAAYACAAAACEAwhqf&#10;It4AAAAHAQAADwAAAGRycy9kb3ducmV2LnhtbEyPQUvDQBCF74L/YRnBi9hNYqs2ZlNEEBS9mFbU&#10;2zQ7JsHsbMhu2/jvHU96Gh7v8eZ7xWpyvdrTGDrPBtJZAoq49rbjxsBmfX9+DSpEZIu9ZzLwTQFW&#10;5fFRgbn1B36hfRUbJSUccjTQxjjkWoe6JYdh5gdi8T796DCKHBttRzxIuet1liSX2mHH8qHFge5a&#10;qr+qnTPwUW2e3Tp9cm+P6cOCzt77JdpXY05PptsbUJGm+BeGX3xBh1KYtn7HNqhedLKQpNx5Bkr8&#10;i6VM2xqYZ1egy0L/5y9/AAAA//8DAFBLAQItABQABgAIAAAAIQC2gziS/gAAAOEBAAATAAAAAAAA&#10;AAAAAAAAAAAAAABbQ29udGVudF9UeXBlc10ueG1sUEsBAi0AFAAGAAgAAAAhADj9If/WAAAAlAEA&#10;AAsAAAAAAAAAAAAAAAAALwEAAF9yZWxzLy5yZWxzUEsBAi0AFAAGAAgAAAAhAAfmv997AgAAYgUA&#10;AA4AAAAAAAAAAAAAAAAALgIAAGRycy9lMm9Eb2MueG1sUEsBAi0AFAAGAAgAAAAhAMIanyLeAAAA&#10;BwEAAA8AAAAAAAAAAAAAAAAA1QQAAGRycy9kb3ducmV2LnhtbFBLBQYAAAAABAAEAPMAAADgBQAA&#10;AAA=&#10;" fillcolor="#00b050" strokecolor="#a5a5a5 [3206]" strokeweight=".5pt">
                      <v:stroke joinstyle="miter"/>
                      <v:path arrowok="t"/>
                    </v:oval>
                  </w:pict>
                </mc:Fallback>
              </mc:AlternateContent>
            </w:r>
          </w:p>
        </w:tc>
        <w:tc>
          <w:tcPr>
            <w:tcW w:w="8604" w:type="dxa"/>
          </w:tcPr>
          <w:p w14:paraId="594F0228" w14:textId="3DA5A38D" w:rsidR="007B4E6F" w:rsidRDefault="007B4E6F" w:rsidP="000E6A47">
            <w:pPr>
              <w:rPr>
                <w:lang w:eastAsia="en-US"/>
              </w:rPr>
            </w:pPr>
            <w:r>
              <w:rPr>
                <w:rFonts w:eastAsiaTheme="minorHAnsi"/>
                <w:b/>
                <w:lang w:eastAsia="en-US"/>
              </w:rPr>
              <w:t xml:space="preserve">Optional: </w:t>
            </w:r>
            <w:r>
              <w:rPr>
                <w:rFonts w:eastAsiaTheme="minorHAnsi"/>
                <w:lang w:eastAsia="en-US"/>
              </w:rPr>
              <w:t xml:space="preserve"> </w:t>
            </w:r>
            <w:r w:rsidR="00236412">
              <w:rPr>
                <w:rFonts w:eastAsiaTheme="minorHAnsi"/>
                <w:lang w:eastAsia="en-US"/>
              </w:rPr>
              <w:t>Solutions that leverage SMA can optionally integrate with Orchestrator runbooks via a third-party integration pack or by calling the Orchestrator/SMA APIs.</w:t>
            </w:r>
          </w:p>
        </w:tc>
      </w:tr>
    </w:tbl>
    <w:p w14:paraId="306EC233" w14:textId="77777777" w:rsidR="007B4E6F" w:rsidRDefault="007B4E6F" w:rsidP="007B4E6F"/>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7B4E6F" w14:paraId="04DE91EE" w14:textId="77777777" w:rsidTr="000E6A47">
        <w:tc>
          <w:tcPr>
            <w:tcW w:w="9360" w:type="dxa"/>
            <w:shd w:val="clear" w:color="auto" w:fill="008AC8"/>
          </w:tcPr>
          <w:p w14:paraId="241CEDE1" w14:textId="77777777" w:rsidR="007B4E6F" w:rsidRPr="00F47607" w:rsidRDefault="007B4E6F" w:rsidP="000E6A47">
            <w:pPr>
              <w:spacing w:line="240" w:lineRule="auto"/>
              <w:rPr>
                <w:color w:val="FFFFFF"/>
              </w:rPr>
            </w:pPr>
            <w:r>
              <w:rPr>
                <w:color w:val="FFFFFF"/>
              </w:rPr>
              <w:t>Design Guidance</w:t>
            </w:r>
          </w:p>
        </w:tc>
      </w:tr>
    </w:tbl>
    <w:p w14:paraId="0EEBDA56" w14:textId="77777777" w:rsidR="00236412" w:rsidRDefault="00236412" w:rsidP="00236412">
      <w:r>
        <w:t xml:space="preserve">SMA automation runbooks are based on PowerShell workflows, rather than traditional PowerShell scripts. PowerShell workflows provide additional benefits over traditional PowerShell scripts, specifically around activity parallelism and long-running activities. </w:t>
      </w:r>
    </w:p>
    <w:p w14:paraId="0923D9B1" w14:textId="77777777" w:rsidR="00236412" w:rsidRDefault="00236412" w:rsidP="00236412">
      <w:r>
        <w:t xml:space="preserve">Typically, long-running activities are seen as riskier in traditional PowerShell scripts due to the stateless nature of the execution environment. However, PowerShell workflows can accommodate interruptible activities, such as stop, restart, and reboot. </w:t>
      </w:r>
    </w:p>
    <w:p w14:paraId="580F2AF6" w14:textId="18C40BB2" w:rsidR="00A32012" w:rsidRDefault="00236412" w:rsidP="00664829">
      <w:pPr>
        <w:jc w:val="both"/>
      </w:pPr>
      <w:r>
        <w:t>Traditional PowerShell scripts are generally not designed for parallelism, whether this is within one machine or across multiple machines. PowerShell workflows have parallelism as a built-in feature that can be leveraged (depending on the design of your workflows). The following considerations apply</w:t>
      </w:r>
      <w:r w:rsidR="00CD5733">
        <w:t>:</w:t>
      </w:r>
    </w:p>
    <w:tbl>
      <w:tblPr>
        <w:tblStyle w:val="PlainTable11"/>
        <w:tblW w:w="9355" w:type="dxa"/>
        <w:tblLook w:val="0420" w:firstRow="1" w:lastRow="0" w:firstColumn="0" w:lastColumn="0" w:noHBand="0" w:noVBand="1"/>
      </w:tblPr>
      <w:tblGrid>
        <w:gridCol w:w="2965"/>
        <w:gridCol w:w="2787"/>
        <w:gridCol w:w="3603"/>
      </w:tblGrid>
      <w:tr w:rsidR="007B4E6F" w:rsidRPr="00A32012" w14:paraId="5C0051A0" w14:textId="77777777" w:rsidTr="00A32012">
        <w:trPr>
          <w:cnfStyle w:val="100000000000" w:firstRow="1" w:lastRow="0" w:firstColumn="0" w:lastColumn="0" w:oddVBand="0" w:evenVBand="0" w:oddHBand="0" w:evenHBand="0" w:firstRowFirstColumn="0" w:firstRowLastColumn="0" w:lastRowFirstColumn="0" w:lastRowLastColumn="0"/>
        </w:trPr>
        <w:tc>
          <w:tcPr>
            <w:tcW w:w="2965" w:type="dxa"/>
            <w:shd w:val="clear" w:color="auto" w:fill="808080" w:themeFill="background1" w:themeFillShade="80"/>
            <w:hideMark/>
          </w:tcPr>
          <w:p w14:paraId="7E974FA4" w14:textId="77777777" w:rsidR="007B4E6F" w:rsidRPr="00A32012" w:rsidRDefault="007B4E6F" w:rsidP="000E6A47">
            <w:pPr>
              <w:spacing w:line="240" w:lineRule="auto"/>
              <w:rPr>
                <w:rFonts w:ascii="Times New Roman" w:hAnsi="Times New Roman"/>
                <w:bCs w:val="0"/>
                <w:color w:val="FFFFFF"/>
                <w:lang w:val="en-AU" w:eastAsia="en-AU"/>
              </w:rPr>
            </w:pPr>
            <w:r w:rsidRPr="00A32012">
              <w:rPr>
                <w:rFonts w:eastAsia="Calibri"/>
                <w:bCs w:val="0"/>
                <w:color w:val="FFFFFF"/>
                <w:lang w:val="en-AU" w:eastAsia="en-AU"/>
              </w:rPr>
              <w:t>Scenario</w:t>
            </w:r>
          </w:p>
        </w:tc>
        <w:tc>
          <w:tcPr>
            <w:tcW w:w="2787" w:type="dxa"/>
            <w:shd w:val="clear" w:color="auto" w:fill="808080" w:themeFill="background1" w:themeFillShade="80"/>
            <w:hideMark/>
          </w:tcPr>
          <w:p w14:paraId="0DD75339" w14:textId="77777777" w:rsidR="007B4E6F" w:rsidRPr="00A32012" w:rsidRDefault="007B4E6F" w:rsidP="000E6A47">
            <w:pPr>
              <w:spacing w:line="240" w:lineRule="auto"/>
              <w:rPr>
                <w:rFonts w:eastAsia="Calibri"/>
                <w:color w:val="FFFFFF"/>
                <w:lang w:val="en-AU" w:eastAsia="en-AU"/>
              </w:rPr>
            </w:pPr>
            <w:r w:rsidRPr="00A32012">
              <w:rPr>
                <w:rFonts w:eastAsia="Calibri"/>
                <w:bCs w:val="0"/>
                <w:color w:val="FFFFFF"/>
                <w:lang w:val="en-AU" w:eastAsia="en-AU"/>
              </w:rPr>
              <w:t>Model</w:t>
            </w:r>
          </w:p>
        </w:tc>
        <w:tc>
          <w:tcPr>
            <w:tcW w:w="3603" w:type="dxa"/>
            <w:shd w:val="clear" w:color="auto" w:fill="808080" w:themeFill="background1" w:themeFillShade="80"/>
            <w:hideMark/>
          </w:tcPr>
          <w:p w14:paraId="18A062F0" w14:textId="77777777" w:rsidR="007B4E6F" w:rsidRPr="00A32012" w:rsidRDefault="007B4E6F" w:rsidP="000E6A47">
            <w:pPr>
              <w:spacing w:line="240" w:lineRule="auto"/>
              <w:rPr>
                <w:rFonts w:eastAsia="Calibri"/>
                <w:color w:val="FFFFFF"/>
                <w:lang w:val="en-AU" w:eastAsia="en-AU"/>
              </w:rPr>
            </w:pPr>
            <w:r w:rsidRPr="00A32012">
              <w:rPr>
                <w:rFonts w:eastAsia="Calibri"/>
                <w:bCs w:val="0"/>
                <w:color w:val="FFFFFF"/>
                <w:lang w:val="en-AU" w:eastAsia="en-AU"/>
              </w:rPr>
              <w:t>Points to Consider</w:t>
            </w:r>
          </w:p>
        </w:tc>
      </w:tr>
      <w:tr w:rsidR="00236412" w14:paraId="7EAF9533" w14:textId="77777777" w:rsidTr="00A32012">
        <w:trPr>
          <w:cnfStyle w:val="000000100000" w:firstRow="0" w:lastRow="0" w:firstColumn="0" w:lastColumn="0" w:oddVBand="0" w:evenVBand="0" w:oddHBand="1" w:evenHBand="0" w:firstRowFirstColumn="0" w:firstRowLastColumn="0" w:lastRowFirstColumn="0" w:lastRowLastColumn="0"/>
        </w:trPr>
        <w:tc>
          <w:tcPr>
            <w:tcW w:w="2965" w:type="dxa"/>
            <w:hideMark/>
          </w:tcPr>
          <w:p w14:paraId="1348490F" w14:textId="63951860" w:rsidR="00236412" w:rsidRPr="00F47607" w:rsidRDefault="00236412" w:rsidP="00236412">
            <w:pPr>
              <w:pStyle w:val="NormalWeb"/>
              <w:rPr>
                <w:rFonts w:ascii="Segoe UI" w:hAnsi="Segoe UI" w:cs="Segoe UI"/>
                <w:sz w:val="20"/>
                <w:szCs w:val="20"/>
                <w:lang w:val="en-AU" w:eastAsia="en-AU"/>
              </w:rPr>
            </w:pPr>
            <w:r>
              <w:rPr>
                <w:rFonts w:ascii="Segoe UI" w:hAnsi="Segoe UI" w:cs="Segoe UI"/>
                <w:b/>
                <w:bCs/>
                <w:sz w:val="20"/>
                <w:szCs w:val="20"/>
                <w:lang w:val="en-AU" w:eastAsia="en-AU"/>
              </w:rPr>
              <w:t>SMA-based automation</w:t>
            </w:r>
          </w:p>
        </w:tc>
        <w:tc>
          <w:tcPr>
            <w:tcW w:w="2787" w:type="dxa"/>
            <w:hideMark/>
          </w:tcPr>
          <w:p w14:paraId="5727876F" w14:textId="2CF8BCE8" w:rsidR="00236412" w:rsidRPr="00F47607" w:rsidRDefault="00236412" w:rsidP="00236412">
            <w:pPr>
              <w:pStyle w:val="NormalWeb"/>
              <w:rPr>
                <w:rFonts w:ascii="Segoe UI" w:hAnsi="Segoe UI" w:cs="Segoe UI"/>
                <w:sz w:val="20"/>
                <w:szCs w:val="20"/>
                <w:lang w:val="en-AU" w:eastAsia="en-AU"/>
              </w:rPr>
            </w:pPr>
            <w:r>
              <w:rPr>
                <w:rFonts w:ascii="Segoe UI" w:hAnsi="Segoe UI" w:cs="Segoe UI"/>
                <w:sz w:val="20"/>
                <w:szCs w:val="20"/>
                <w:lang w:val="en-AU" w:eastAsia="en-AU"/>
              </w:rPr>
              <w:t>Green-field or existing SMA automation for hybrid scenarios</w:t>
            </w:r>
          </w:p>
        </w:tc>
        <w:tc>
          <w:tcPr>
            <w:tcW w:w="3603" w:type="dxa"/>
            <w:hideMark/>
          </w:tcPr>
          <w:p w14:paraId="43343592" w14:textId="77777777" w:rsidR="00236412" w:rsidRPr="00392839" w:rsidRDefault="00236412" w:rsidP="00236412">
            <w:pPr>
              <w:pStyle w:val="NormalWeb"/>
              <w:numPr>
                <w:ilvl w:val="0"/>
                <w:numId w:val="8"/>
              </w:numPr>
              <w:rPr>
                <w:rFonts w:ascii="Segoe UI" w:hAnsi="Segoe UI" w:cs="Segoe UI"/>
                <w:sz w:val="20"/>
                <w:szCs w:val="20"/>
                <w:lang w:val="en-AU" w:eastAsia="en-AU"/>
              </w:rPr>
            </w:pPr>
            <w:r>
              <w:rPr>
                <w:rFonts w:ascii="Segoe UI" w:hAnsi="Segoe UI" w:cs="Segoe UI"/>
                <w:sz w:val="20"/>
                <w:szCs w:val="20"/>
                <w:lang w:val="en-AU" w:eastAsia="en-AU"/>
              </w:rPr>
              <w:t>Complexity and limitations in hybrid scenarios</w:t>
            </w:r>
          </w:p>
          <w:p w14:paraId="2D1E4E53" w14:textId="44F8035F" w:rsidR="00236412" w:rsidRPr="00B814EA" w:rsidRDefault="00236412" w:rsidP="00236412">
            <w:pPr>
              <w:pStyle w:val="NormalWeb"/>
              <w:numPr>
                <w:ilvl w:val="0"/>
                <w:numId w:val="8"/>
              </w:numPr>
              <w:rPr>
                <w:rFonts w:ascii="Segoe UI" w:hAnsi="Segoe UI" w:cs="Segoe UI"/>
                <w:sz w:val="20"/>
                <w:szCs w:val="20"/>
                <w:lang w:val="en-AU" w:eastAsia="en-AU"/>
              </w:rPr>
            </w:pPr>
            <w:r>
              <w:rPr>
                <w:rFonts w:ascii="Segoe UI" w:hAnsi="Segoe UI" w:cs="Segoe UI"/>
                <w:sz w:val="20"/>
                <w:szCs w:val="20"/>
                <w:lang w:val="en-AU" w:eastAsia="en-AU"/>
              </w:rPr>
              <w:t>Customer familiarity with PowerShell Workflows</w:t>
            </w:r>
          </w:p>
        </w:tc>
      </w:tr>
      <w:tr w:rsidR="00236412" w14:paraId="2928991C" w14:textId="77777777" w:rsidTr="00A32012">
        <w:tc>
          <w:tcPr>
            <w:tcW w:w="2965" w:type="dxa"/>
            <w:hideMark/>
          </w:tcPr>
          <w:p w14:paraId="30FBB792" w14:textId="76DECA99" w:rsidR="00236412" w:rsidRPr="00F47607" w:rsidRDefault="00236412" w:rsidP="00236412">
            <w:pPr>
              <w:pStyle w:val="NormalWeb"/>
              <w:rPr>
                <w:rFonts w:ascii="Segoe UI" w:hAnsi="Segoe UI" w:cs="Segoe UI"/>
                <w:bCs/>
                <w:sz w:val="20"/>
                <w:szCs w:val="20"/>
                <w:lang w:val="en-AU" w:eastAsia="en-AU"/>
              </w:rPr>
            </w:pPr>
            <w:r>
              <w:rPr>
                <w:rFonts w:ascii="Segoe UI" w:hAnsi="Segoe UI" w:cs="Segoe UI"/>
                <w:b/>
                <w:bCs/>
                <w:sz w:val="20"/>
                <w:szCs w:val="20"/>
                <w:lang w:val="en-AU" w:eastAsia="en-AU"/>
              </w:rPr>
              <w:t>SMA combined with other automation platforms</w:t>
            </w:r>
          </w:p>
        </w:tc>
        <w:tc>
          <w:tcPr>
            <w:tcW w:w="2787" w:type="dxa"/>
            <w:hideMark/>
          </w:tcPr>
          <w:p w14:paraId="43BE2133" w14:textId="5097793C" w:rsidR="00236412" w:rsidRPr="00F47607" w:rsidRDefault="00236412" w:rsidP="00236412">
            <w:pPr>
              <w:pStyle w:val="NormalWeb"/>
              <w:rPr>
                <w:rFonts w:ascii="Segoe UI" w:hAnsi="Segoe UI" w:cs="Segoe UI"/>
                <w:sz w:val="20"/>
                <w:szCs w:val="20"/>
                <w:lang w:val="en-AU" w:eastAsia="en-AU"/>
              </w:rPr>
            </w:pPr>
            <w:r>
              <w:rPr>
                <w:rFonts w:ascii="Segoe UI" w:hAnsi="Segoe UI" w:cs="Segoe UI"/>
                <w:sz w:val="20"/>
                <w:szCs w:val="20"/>
                <w:lang w:val="en-AU" w:eastAsia="en-AU"/>
              </w:rPr>
              <w:t>Leverage existing customer investment in other automation platforms</w:t>
            </w:r>
          </w:p>
        </w:tc>
        <w:tc>
          <w:tcPr>
            <w:tcW w:w="3603" w:type="dxa"/>
            <w:hideMark/>
          </w:tcPr>
          <w:p w14:paraId="12443AC3" w14:textId="77777777" w:rsidR="00236412" w:rsidRPr="00392839" w:rsidRDefault="00236412" w:rsidP="00236412">
            <w:pPr>
              <w:pStyle w:val="NormalWeb"/>
              <w:numPr>
                <w:ilvl w:val="0"/>
                <w:numId w:val="8"/>
              </w:numPr>
              <w:rPr>
                <w:rFonts w:ascii="Segoe UI" w:hAnsi="Segoe UI" w:cs="Segoe UI"/>
                <w:sz w:val="20"/>
                <w:szCs w:val="20"/>
                <w:lang w:val="en-AU" w:eastAsia="en-AU"/>
              </w:rPr>
            </w:pPr>
            <w:r>
              <w:rPr>
                <w:rFonts w:ascii="Segoe UI" w:hAnsi="Segoe UI" w:cs="Segoe UI"/>
                <w:sz w:val="20"/>
                <w:szCs w:val="20"/>
                <w:lang w:val="en-AU" w:eastAsia="en-AU"/>
              </w:rPr>
              <w:t>Existing customer investment in other platforms</w:t>
            </w:r>
          </w:p>
          <w:p w14:paraId="27E8CDB6" w14:textId="5E8EF9BE" w:rsidR="00236412" w:rsidRPr="00392839" w:rsidRDefault="00236412" w:rsidP="00236412">
            <w:pPr>
              <w:pStyle w:val="NormalWeb"/>
              <w:numPr>
                <w:ilvl w:val="0"/>
                <w:numId w:val="8"/>
              </w:numPr>
              <w:rPr>
                <w:rFonts w:ascii="Segoe UI" w:hAnsi="Segoe UI" w:cs="Segoe UI"/>
                <w:sz w:val="20"/>
                <w:szCs w:val="20"/>
                <w:lang w:val="en-AU" w:eastAsia="en-AU"/>
              </w:rPr>
            </w:pPr>
            <w:r>
              <w:rPr>
                <w:rFonts w:ascii="Segoe UI" w:hAnsi="Segoe UI" w:cs="Segoe UI"/>
                <w:sz w:val="20"/>
                <w:szCs w:val="20"/>
                <w:lang w:val="en-AU" w:eastAsia="en-AU"/>
              </w:rPr>
              <w:t>Integration points and complexity</w:t>
            </w:r>
          </w:p>
        </w:tc>
      </w:tr>
      <w:tr w:rsidR="00796F4E" w14:paraId="4886B8A9" w14:textId="77777777" w:rsidTr="00A32012">
        <w:trPr>
          <w:cnfStyle w:val="000000100000" w:firstRow="0" w:lastRow="0" w:firstColumn="0" w:lastColumn="0" w:oddVBand="0" w:evenVBand="0" w:oddHBand="1" w:evenHBand="0" w:firstRowFirstColumn="0" w:firstRowLastColumn="0" w:lastRowFirstColumn="0" w:lastRowLastColumn="0"/>
        </w:trPr>
        <w:tc>
          <w:tcPr>
            <w:tcW w:w="2965" w:type="dxa"/>
          </w:tcPr>
          <w:p w14:paraId="5943B3BE" w14:textId="163A7C7C" w:rsidR="00796F4E" w:rsidRDefault="00796F4E" w:rsidP="000E6A47">
            <w:pPr>
              <w:pStyle w:val="NormalWeb"/>
              <w:rPr>
                <w:rFonts w:ascii="Segoe UI" w:hAnsi="Segoe UI" w:cs="Segoe UI"/>
                <w:b/>
                <w:bCs/>
                <w:sz w:val="20"/>
                <w:szCs w:val="20"/>
                <w:lang w:val="en-AU" w:eastAsia="en-AU"/>
              </w:rPr>
            </w:pPr>
            <w:r>
              <w:rPr>
                <w:rFonts w:ascii="Segoe UI" w:hAnsi="Segoe UI" w:cs="Segoe UI"/>
                <w:b/>
                <w:bCs/>
                <w:sz w:val="20"/>
                <w:szCs w:val="20"/>
                <w:lang w:val="en-AU" w:eastAsia="en-AU"/>
              </w:rPr>
              <w:t>Standard PowerShell in a PowerShell Workflow</w:t>
            </w:r>
          </w:p>
        </w:tc>
        <w:tc>
          <w:tcPr>
            <w:tcW w:w="2787" w:type="dxa"/>
          </w:tcPr>
          <w:p w14:paraId="155377D6" w14:textId="5CC65AAA" w:rsidR="00796F4E" w:rsidRDefault="00796F4E" w:rsidP="000E6A47">
            <w:pPr>
              <w:pStyle w:val="NormalWeb"/>
              <w:rPr>
                <w:rFonts w:ascii="Segoe UI" w:hAnsi="Segoe UI" w:cs="Segoe UI"/>
                <w:sz w:val="20"/>
                <w:szCs w:val="20"/>
                <w:lang w:val="en-AU" w:eastAsia="en-AU"/>
              </w:rPr>
            </w:pPr>
            <w:r>
              <w:rPr>
                <w:rFonts w:ascii="Segoe UI" w:hAnsi="Segoe UI" w:cs="Segoe UI"/>
                <w:sz w:val="20"/>
                <w:szCs w:val="20"/>
                <w:lang w:val="en-AU" w:eastAsia="en-AU"/>
              </w:rPr>
              <w:t>Attempting to run existing PowerShell code or functions that are not supported in a PowerShell Workflow natively</w:t>
            </w:r>
          </w:p>
        </w:tc>
        <w:tc>
          <w:tcPr>
            <w:tcW w:w="3603" w:type="dxa"/>
          </w:tcPr>
          <w:p w14:paraId="3E29113A" w14:textId="1DDA1995" w:rsidR="00796F4E" w:rsidRDefault="00236412" w:rsidP="00796F4E">
            <w:pPr>
              <w:pStyle w:val="NormalWeb"/>
              <w:numPr>
                <w:ilvl w:val="0"/>
                <w:numId w:val="8"/>
              </w:numPr>
              <w:rPr>
                <w:rFonts w:ascii="Segoe UI" w:hAnsi="Segoe UI" w:cs="Segoe UI"/>
                <w:sz w:val="20"/>
                <w:szCs w:val="20"/>
                <w:lang w:val="en-AU" w:eastAsia="en-AU"/>
              </w:rPr>
            </w:pPr>
            <w:r>
              <w:rPr>
                <w:rFonts w:ascii="Segoe UI" w:hAnsi="Segoe UI" w:cs="Segoe UI"/>
                <w:sz w:val="20"/>
                <w:szCs w:val="20"/>
                <w:lang w:val="en-AU" w:eastAsia="en-AU"/>
              </w:rPr>
              <w:t>Leverage the i</w:t>
            </w:r>
            <w:r w:rsidR="00796F4E">
              <w:rPr>
                <w:rFonts w:ascii="Segoe UI" w:hAnsi="Segoe UI" w:cs="Segoe UI"/>
                <w:sz w:val="20"/>
                <w:szCs w:val="20"/>
                <w:lang w:val="en-AU" w:eastAsia="en-AU"/>
              </w:rPr>
              <w:t>nline</w:t>
            </w:r>
            <w:r>
              <w:rPr>
                <w:rFonts w:ascii="Segoe UI" w:hAnsi="Segoe UI" w:cs="Segoe UI"/>
                <w:sz w:val="20"/>
                <w:szCs w:val="20"/>
                <w:lang w:val="en-AU" w:eastAsia="en-AU"/>
              </w:rPr>
              <w:t xml:space="preserve"> </w:t>
            </w:r>
            <w:r w:rsidR="00796F4E">
              <w:rPr>
                <w:rFonts w:ascii="Segoe UI" w:hAnsi="Segoe UI" w:cs="Segoe UI"/>
                <w:sz w:val="20"/>
                <w:szCs w:val="20"/>
                <w:lang w:val="en-AU" w:eastAsia="en-AU"/>
              </w:rPr>
              <w:t>script capability to enable this scenario.</w:t>
            </w:r>
          </w:p>
        </w:tc>
      </w:tr>
    </w:tbl>
    <w:p w14:paraId="4FA45D4C" w14:textId="32C94882" w:rsidR="00164C50" w:rsidRPr="002B19E2" w:rsidRDefault="00164C50" w:rsidP="005729D2">
      <w:pPr>
        <w:pStyle w:val="Heading4Numbered"/>
        <w:numPr>
          <w:ilvl w:val="3"/>
          <w:numId w:val="64"/>
        </w:numPr>
      </w:pPr>
      <w:r w:rsidRPr="002B19E2">
        <w:t xml:space="preserve">System Center </w:t>
      </w:r>
      <w:r w:rsidR="00CD5733">
        <w:t xml:space="preserve">2012 R2 </w:t>
      </w:r>
      <w:r w:rsidRPr="002B19E2">
        <w:t>Orchestrator</w:t>
      </w:r>
    </w:p>
    <w:p w14:paraId="784A4A7E" w14:textId="58E4AF2F" w:rsidR="00236412" w:rsidRDefault="00164C50" w:rsidP="00236412">
      <w:pPr>
        <w:rPr>
          <w:rFonts w:eastAsia="Times New Roman" w:cs="Times New Roman"/>
        </w:rPr>
      </w:pPr>
      <w:r w:rsidRPr="00164C50">
        <w:rPr>
          <w:rFonts w:eastAsia="Times New Roman" w:cs="Times New Roman"/>
        </w:rPr>
        <w:t>System</w:t>
      </w:r>
      <w:r w:rsidR="00236412" w:rsidRPr="00164C50">
        <w:rPr>
          <w:rFonts w:eastAsia="Times New Roman" w:cs="Times New Roman"/>
        </w:rPr>
        <w:t xml:space="preserve"> Center</w:t>
      </w:r>
      <w:r w:rsidR="00236412">
        <w:rPr>
          <w:rFonts w:eastAsia="Times New Roman" w:cs="Times New Roman"/>
        </w:rPr>
        <w:t xml:space="preserve"> 2012 R2 </w:t>
      </w:r>
      <w:r w:rsidR="00236412" w:rsidRPr="00164C50">
        <w:rPr>
          <w:rFonts w:eastAsia="Times New Roman" w:cs="Times New Roman"/>
        </w:rPr>
        <w:t xml:space="preserve">Orchestrator </w:t>
      </w:r>
      <w:r w:rsidR="00236412">
        <w:rPr>
          <w:rFonts w:eastAsia="Times New Roman" w:cs="Times New Roman"/>
        </w:rPr>
        <w:t xml:space="preserve">is a 32-bit automation platform that helps you automate the creation, monitoring, and deployment of resources in your environment. Many organizations have adopted Orchestrator based on the GUI designer, third-party ecosystem of integration packs and the relatively low investment in creation of initial or simple automation solutions. </w:t>
      </w:r>
    </w:p>
    <w:p w14:paraId="4EC1A62F" w14:textId="5518C8EC" w:rsidR="00164C50" w:rsidRPr="00164C50" w:rsidRDefault="00236412" w:rsidP="00236412">
      <w:pPr>
        <w:jc w:val="both"/>
        <w:rPr>
          <w:rFonts w:eastAsia="Times New Roman" w:cs="Times New Roman"/>
        </w:rPr>
      </w:pPr>
      <w:r>
        <w:rPr>
          <w:rFonts w:eastAsia="Times New Roman" w:cs="Times New Roman"/>
        </w:rPr>
        <w:t>However, there are a number of considerations when using Orchestrator to automate Azure solutions. The primary consideration is that the 32-bit engine can potentially limit performance (currently limited to 50 concurrent runbooks). PowerShell execution and capabilities are limited to Windows PowerShell 2.0 32-bit (unless more complex external calls are used), and automation capabilities are enabled by (and limited to) the Orchestrator Integration Pack framework</w:t>
      </w:r>
      <w:r w:rsidR="009E23AE">
        <w:rPr>
          <w:rFonts w:eastAsia="Times New Roman" w:cs="Times New Roman"/>
        </w:rPr>
        <w:t>.</w:t>
      </w:r>
    </w:p>
    <w:tbl>
      <w:tblPr>
        <w:tblStyle w:val="PlainTable11"/>
        <w:tblW w:w="0" w:type="auto"/>
        <w:tblLook w:val="04A0" w:firstRow="1" w:lastRow="0" w:firstColumn="1" w:lastColumn="0" w:noHBand="0" w:noVBand="1"/>
      </w:tblPr>
      <w:tblGrid>
        <w:gridCol w:w="3416"/>
        <w:gridCol w:w="5934"/>
      </w:tblGrid>
      <w:tr w:rsidR="00204FDB" w14:paraId="6F8F01AB" w14:textId="77777777" w:rsidTr="00A320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58487A77" w14:textId="62A31026" w:rsidR="00204FDB" w:rsidRPr="00F47607" w:rsidRDefault="00204FDB" w:rsidP="00204FDB">
            <w:pPr>
              <w:spacing w:line="240" w:lineRule="auto"/>
              <w:rPr>
                <w:color w:val="FFFFFF"/>
              </w:rPr>
            </w:pPr>
            <w:r>
              <w:rPr>
                <w:color w:val="FFFFFF"/>
              </w:rPr>
              <w:t>Feature References</w:t>
            </w:r>
          </w:p>
        </w:tc>
      </w:tr>
      <w:tr w:rsidR="00204FDB" w:rsidRPr="00A32012" w14:paraId="110C9252" w14:textId="77777777" w:rsidTr="00A320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5C3FE02D" w14:textId="6A6C9543" w:rsidR="00204FDB" w:rsidRPr="00A32012" w:rsidRDefault="00204FDB" w:rsidP="00204FDB">
            <w:pPr>
              <w:spacing w:line="240" w:lineRule="auto"/>
              <w:rPr>
                <w:sz w:val="20"/>
                <w:szCs w:val="18"/>
              </w:rPr>
            </w:pPr>
            <w:r w:rsidRPr="00A32012">
              <w:rPr>
                <w:sz w:val="20"/>
                <w:szCs w:val="18"/>
              </w:rPr>
              <w:t>Orchestrator Azure Integration Pack</w:t>
            </w:r>
          </w:p>
        </w:tc>
        <w:tc>
          <w:tcPr>
            <w:tcW w:w="5940" w:type="dxa"/>
          </w:tcPr>
          <w:p w14:paraId="1987FD49" w14:textId="54599D44" w:rsidR="00DF175C" w:rsidRPr="00A32012" w:rsidRDefault="00872E47" w:rsidP="00DF175C">
            <w:pPr>
              <w:cnfStyle w:val="000000100000" w:firstRow="0" w:lastRow="0" w:firstColumn="0" w:lastColumn="0" w:oddVBand="0" w:evenVBand="0" w:oddHBand="1" w:evenHBand="0" w:firstRowFirstColumn="0" w:firstRowLastColumn="0" w:lastRowFirstColumn="0" w:lastRowLastColumn="0"/>
              <w:rPr>
                <w:sz w:val="20"/>
                <w:szCs w:val="18"/>
              </w:rPr>
            </w:pPr>
            <w:hyperlink r:id="rId580" w:history="1">
              <w:r w:rsidR="00DF175C" w:rsidRPr="00A32012">
                <w:rPr>
                  <w:rStyle w:val="Hyperlink"/>
                  <w:sz w:val="20"/>
                  <w:szCs w:val="18"/>
                </w:rPr>
                <w:t>https://technet.microsoft.com/en-us/library/jj721956.aspx</w:t>
              </w:r>
            </w:hyperlink>
          </w:p>
        </w:tc>
      </w:tr>
      <w:tr w:rsidR="00204FDB" w:rsidRPr="00A32012" w14:paraId="0DEA72FB" w14:textId="77777777" w:rsidTr="00A32012">
        <w:tc>
          <w:tcPr>
            <w:cnfStyle w:val="001000000000" w:firstRow="0" w:lastRow="0" w:firstColumn="1" w:lastColumn="0" w:oddVBand="0" w:evenVBand="0" w:oddHBand="0" w:evenHBand="0" w:firstRowFirstColumn="0" w:firstRowLastColumn="0" w:lastRowFirstColumn="0" w:lastRowLastColumn="0"/>
            <w:tcW w:w="3420" w:type="dxa"/>
          </w:tcPr>
          <w:p w14:paraId="2A55FB21" w14:textId="0FA87DE6" w:rsidR="00204FDB" w:rsidRPr="00A32012" w:rsidRDefault="00204FDB" w:rsidP="00204FDB">
            <w:pPr>
              <w:spacing w:line="240" w:lineRule="auto"/>
              <w:rPr>
                <w:sz w:val="20"/>
              </w:rPr>
            </w:pPr>
            <w:r w:rsidRPr="00A32012">
              <w:rPr>
                <w:sz w:val="20"/>
                <w:szCs w:val="18"/>
              </w:rPr>
              <w:t>Kelverion Integration Pack</w:t>
            </w:r>
          </w:p>
        </w:tc>
        <w:tc>
          <w:tcPr>
            <w:tcW w:w="5940" w:type="dxa"/>
          </w:tcPr>
          <w:p w14:paraId="3F8FE253" w14:textId="3899B62F" w:rsidR="00DF175C" w:rsidRPr="00A32012" w:rsidRDefault="00872E47" w:rsidP="00DF175C">
            <w:pPr>
              <w:cnfStyle w:val="000000000000" w:firstRow="0" w:lastRow="0" w:firstColumn="0" w:lastColumn="0" w:oddVBand="0" w:evenVBand="0" w:oddHBand="0" w:evenHBand="0" w:firstRowFirstColumn="0" w:firstRowLastColumn="0" w:lastRowFirstColumn="0" w:lastRowLastColumn="0"/>
              <w:rPr>
                <w:sz w:val="20"/>
              </w:rPr>
            </w:pPr>
            <w:hyperlink r:id="rId581" w:history="1">
              <w:r w:rsidR="00DF175C" w:rsidRPr="00A32012">
                <w:rPr>
                  <w:rStyle w:val="Hyperlink"/>
                  <w:sz w:val="20"/>
                  <w:szCs w:val="18"/>
                </w:rPr>
                <w:t>http://kelverion.com/integration-packs/ip-microsoft-system-center/</w:t>
              </w:r>
            </w:hyperlink>
          </w:p>
        </w:tc>
      </w:tr>
      <w:tr w:rsidR="00204FDB" w:rsidRPr="00A32012" w14:paraId="1FD84831" w14:textId="77777777" w:rsidTr="00A320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7649BF14" w14:textId="09C2FB01" w:rsidR="00204FDB" w:rsidRPr="00A32012" w:rsidRDefault="00204FDB" w:rsidP="00204FDB">
            <w:pPr>
              <w:spacing w:line="240" w:lineRule="auto"/>
              <w:rPr>
                <w:sz w:val="20"/>
                <w:szCs w:val="18"/>
              </w:rPr>
            </w:pPr>
            <w:r w:rsidRPr="00A32012">
              <w:rPr>
                <w:sz w:val="20"/>
                <w:szCs w:val="18"/>
              </w:rPr>
              <w:t>Orchestrator TechNet page</w:t>
            </w:r>
          </w:p>
        </w:tc>
        <w:tc>
          <w:tcPr>
            <w:tcW w:w="5940" w:type="dxa"/>
          </w:tcPr>
          <w:p w14:paraId="06344F71" w14:textId="616C663A" w:rsidR="00DF175C" w:rsidRPr="00A32012" w:rsidRDefault="00872E47" w:rsidP="00DF175C">
            <w:pPr>
              <w:cnfStyle w:val="000000100000" w:firstRow="0" w:lastRow="0" w:firstColumn="0" w:lastColumn="0" w:oddVBand="0" w:evenVBand="0" w:oddHBand="1" w:evenHBand="0" w:firstRowFirstColumn="0" w:firstRowLastColumn="0" w:lastRowFirstColumn="0" w:lastRowLastColumn="0"/>
              <w:rPr>
                <w:sz w:val="20"/>
                <w:szCs w:val="18"/>
              </w:rPr>
            </w:pPr>
            <w:hyperlink r:id="rId582" w:history="1">
              <w:r w:rsidR="00DF175C" w:rsidRPr="00A32012">
                <w:rPr>
                  <w:rStyle w:val="Hyperlink"/>
                  <w:sz w:val="20"/>
                  <w:szCs w:val="18"/>
                </w:rPr>
                <w:t>https://technet.microsoft.com/en-us/library/hh237242.aspx</w:t>
              </w:r>
            </w:hyperlink>
          </w:p>
        </w:tc>
      </w:tr>
    </w:tbl>
    <w:p w14:paraId="475644BC" w14:textId="77777777" w:rsidR="00204FDB" w:rsidRDefault="00204FDB" w:rsidP="00204FDB"/>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236412" w14:paraId="4DB51493" w14:textId="77777777" w:rsidTr="00F92F5D">
        <w:trPr>
          <w:trHeight w:val="423"/>
        </w:trPr>
        <w:tc>
          <w:tcPr>
            <w:tcW w:w="666" w:type="dxa"/>
          </w:tcPr>
          <w:p w14:paraId="562E5DE6" w14:textId="77777777" w:rsidR="00236412" w:rsidRDefault="00236412" w:rsidP="00F92F5D">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79282E1B" wp14:editId="157DB307">
                      <wp:extent cx="200025" cy="180975"/>
                      <wp:effectExtent l="57150" t="19050" r="28575" b="104775"/>
                      <wp:docPr id="41124" name="Octagon 41124"/>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C6A5707" id="Octagon 41124"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bm7dAIAAFIFAAAOAAAAZHJzL2Uyb0RvYy54bWysVN1r2zAQfx/sfxB6Xx176dqGOCWkZAxK&#10;W9qOPiuylAgknSYpcbK/fifZcUNXKIy92He6331/TK/3RpOd8EGBrWl5NqJEWA6Nsuua/nxefrmk&#10;JERmG6bBipoeRKDXs8+fpq2biAo2oBvhCRqxYdK6mm5idJOiCHwjDAtn4IRFoQRvWETWr4vGsxat&#10;G11Uo9G3ogXfOA9chICvN52QzrJ9KQWP91IGEYmuKcYW89fn7yp9i9mUTdaeuY3ifRjsH6IwTFl0&#10;Opi6YZGRrVd/mTKKewgg4xkHU4CUioucA2ZTjt5k87RhTuRcsDjBDWUK/88sv9s9eKKamo7LshpT&#10;YpnBNt3zyNZgSfeIRWpdmCD2yT34ngtIpoz30pv0x1zIPhf2MBRW7CPh+IidGlXnlHAUlZejq4vz&#10;VPjiVdn5EL8LMCQRNYXOfa4o292G2KGPqOQugFbNUmmdGb9eLbQnO4ZtXizQW+4sOjiBFSmHLupM&#10;xYMWSVnbRyGxBBhnmT3m4RODPca5sLHqI87opCbR96D49WPFHp9URR7MQbn6WHnQyJ7BxkHZKAv+&#10;PQM6ln3IssNjwU/yTuQKmgN230O3FsHxpcL637IQH5jHPcCNwd2O9/iRGlpsTE9RsgH/+733hMfx&#10;RCklLe5VTcOvLfOCEv3D4uBeleNxWsTMjM8vKmT8qWR1KrFbswDsaYlXxPFMJnzUR1J6MC94AubJ&#10;K4qY5ei7pjz6I7OI3b7jEeFiPs8wXD7H4q19cvzY9TRcz/sX5l0/hBGn9w6OO8gmbwaxw6Z+WJhv&#10;I0iVp/S1rn29cXHzqPdHJl2GUz6jXk/h7A8AAAD//wMAUEsDBBQABgAIAAAAIQCft0Tx2wAAAAMB&#10;AAAPAAAAZHJzL2Rvd25yZXYueG1sTI9BS8NAEIXvgv9hGcGb3aTSEtNsiggFD9JgtXjdZqdJaHY2&#10;7G6b+O8dvdjLwOM93vumWE+2Fxf0oXOkIJ0lIJBqZzpqFHx+bB4yECFqMrp3hAq+McC6vL0pdG7c&#10;SO942cVGcAmFXCtoYxxyKUPdotVh5gYk9o7OWx1Z+kYar0cut72cJ8lSWt0RL7R6wJcW69PubBVU&#10;p7F6zarq6ctvlts3b/ep3+6Vur+bnlcgIk7xPwy/+IwOJTMd3JlMEL0CfiT+XfYe0wWIg4J5tgBZ&#10;FvKavfwBAAD//wMAUEsBAi0AFAAGAAgAAAAhALaDOJL+AAAA4QEAABMAAAAAAAAAAAAAAAAAAAAA&#10;AFtDb250ZW50X1R5cGVzXS54bWxQSwECLQAUAAYACAAAACEAOP0h/9YAAACUAQAACwAAAAAAAAAA&#10;AAAAAAAvAQAAX3JlbHMvLnJlbHNQSwECLQAUAAYACAAAACEAydW5u3QCAABSBQAADgAAAAAAAAAA&#10;AAAAAAAuAgAAZHJzL2Uyb0RvYy54bWxQSwECLQAUAAYACAAAACEAn7dE8dsAAAADAQAADwAAAAAA&#10;AAAAAAAAAADOBAAAZHJzL2Rvd25yZXYueG1sUEsFBgAAAAAEAAQA8wAAANYFAAAAAA==&#10;" fillcolor="#c00" strokecolor="#ed7d31 [3205]" strokeweight=".5pt">
                      <w10:anchorlock/>
                    </v:shape>
                  </w:pict>
                </mc:Fallback>
              </mc:AlternateContent>
            </w:r>
          </w:p>
        </w:tc>
        <w:tc>
          <w:tcPr>
            <w:tcW w:w="8604" w:type="dxa"/>
          </w:tcPr>
          <w:p w14:paraId="4BD5373E" w14:textId="77777777" w:rsidR="00236412" w:rsidRDefault="00236412" w:rsidP="00F92F5D">
            <w:pPr>
              <w:rPr>
                <w:lang w:eastAsia="en-US"/>
              </w:rPr>
            </w:pPr>
            <w:r w:rsidRPr="00192064">
              <w:rPr>
                <w:b/>
                <w:lang w:eastAsia="en-US"/>
              </w:rPr>
              <w:t>Mandatory</w:t>
            </w:r>
            <w:r>
              <w:rPr>
                <w:lang w:eastAsia="en-US"/>
              </w:rPr>
              <w:t>: Azure Automation using Orchestrator should be deployed in an architecture with high availability. Orchestrator may require a separate, high-availability architecture, and it is generally complex (requiring high availability for Management server and SQL Database).</w:t>
            </w:r>
          </w:p>
        </w:tc>
      </w:tr>
      <w:tr w:rsidR="00236412" w14:paraId="35F16338" w14:textId="77777777" w:rsidTr="00F92F5D">
        <w:trPr>
          <w:trHeight w:val="423"/>
        </w:trPr>
        <w:tc>
          <w:tcPr>
            <w:tcW w:w="666" w:type="dxa"/>
          </w:tcPr>
          <w:p w14:paraId="36E31715" w14:textId="77777777" w:rsidR="00236412" w:rsidRDefault="00236412" w:rsidP="00F92F5D">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2025856" behindDoc="0" locked="0" layoutInCell="1" allowOverlap="1" wp14:anchorId="1249D8B4" wp14:editId="360B3DF8">
                      <wp:simplePos x="0" y="0"/>
                      <wp:positionH relativeFrom="column">
                        <wp:posOffset>66675</wp:posOffset>
                      </wp:positionH>
                      <wp:positionV relativeFrom="paragraph">
                        <wp:posOffset>90170</wp:posOffset>
                      </wp:positionV>
                      <wp:extent cx="209550" cy="180975"/>
                      <wp:effectExtent l="57150" t="19050" r="57150" b="104775"/>
                      <wp:wrapNone/>
                      <wp:docPr id="41125" name="Isosceles Triangle 411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60B5AA8A" id="Isosceles Triangle 41125" o:spid="_x0000_s1026" type="#_x0000_t5" style="position:absolute;margin-left:5.25pt;margin-top:7.1pt;width:16.5pt;height:14.2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ibig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Oi&#10;mMwoMazBNt168Fxo4cmjU8xstCCdHuvVWl+i2YO9dzFjb1fAf3hUZH9oouB7zEG6JmIxX3JIxT+O&#10;xReHQDj+nOQXsxm2iKOqOM8vzmaxORkrB2PrfPgioCHxUtHQB5bKzvYrHzr4AEuxgVb1UmmdBLdZ&#10;X2tH9gy5sMQvT+3HF/wzLOXQhZ0SCEctorE234TEOmGgRXoxMVSM/hjnwoTTPuSEjmYS3x4NP79v&#10;2OOjqUjsHY0n7xuPFullMGE0bpQB95YDHYo+ZNnh+y76Lu9YgjXUR6SIg252vOVLhQ1YMR/umcNh&#10;wZ7hAghf8ZAa2opCf6NkC+7XW/8jHjmMWkpaHL6K+p875gQl+tYguy+K6TROaxKms7MJCu6lZv1S&#10;Y3bNNWBPC1w1lqdrxAc9XKWD5gn3xCK+iipmOL5dUR7cIFyHbingpuFisUgwnFDLwso8WD50PZLr&#10;8fDEnB1YiPS9g2FQWfmKiB029sPAYhdAqsTS57r29cbpTlzvN1FcHy/lhHrel/PfAAAA//8DAFBL&#10;AwQUAAYACAAAACEANTxCMNkAAAAHAQAADwAAAGRycy9kb3ducmV2LnhtbEyOzU7DMBCE70i8g7VI&#10;XFDrkIa2CnEqhJIjqig8gBNvfoS9jmK3DW/PcoLTaDSjma84LM6KC85h9KTgcZ2AQGq9GalX8PlR&#10;r/YgQtRktPWECr4xwKG8vSl0bvyV3vFyir3gEQq5VjDEOOVShnZAp8PaT0icdX52OrKde2lmfeVx&#10;Z2WaJFvp9Ej8MOgJXwdsv05np8A3y7Hb1Lv9Q+0m+9ZVVeaOlVL3d8vLM4iIS/wrwy8+o0PJTI0/&#10;kwnCsk+euMmapSA4zzbsG9Z0B7Is5H/+8gcAAP//AwBQSwECLQAUAAYACAAAACEAtoM4kv4AAADh&#10;AQAAEwAAAAAAAAAAAAAAAAAAAAAAW0NvbnRlbnRfVHlwZXNdLnhtbFBLAQItABQABgAIAAAAIQA4&#10;/SH/1gAAAJQBAAALAAAAAAAAAAAAAAAAAC8BAABfcmVscy8ucmVsc1BLAQItABQABgAIAAAAIQCJ&#10;/ribigIAAHcFAAAOAAAAAAAAAAAAAAAAAC4CAABkcnMvZTJvRG9jLnhtbFBLAQItABQABgAIAAAA&#10;IQA1PEIw2QAAAAcBAAAPAAAAAAAAAAAAAAAAAOQEAABkcnMvZG93bnJldi54bWxQSwUGAAAAAAQA&#10;BADzAAAA6gUAAAAA&#10;" fillcolor="yellow" strokecolor="#70ad47 [3209]" strokeweight=".5pt">
                      <v:path arrowok="t"/>
                    </v:shape>
                  </w:pict>
                </mc:Fallback>
              </mc:AlternateContent>
            </w:r>
            <w:r>
              <w:rPr>
                <w:rFonts w:asciiTheme="minorHAnsi" w:eastAsiaTheme="minorHAnsi" w:hAnsiTheme="minorHAnsi" w:cstheme="minorBidi"/>
                <w:b/>
                <w:bCs/>
                <w:sz w:val="20"/>
                <w:szCs w:val="18"/>
                <w:lang w:eastAsia="en-US"/>
              </w:rPr>
              <w:t xml:space="preserve"> </w:t>
            </w:r>
          </w:p>
        </w:tc>
        <w:tc>
          <w:tcPr>
            <w:tcW w:w="8604" w:type="dxa"/>
          </w:tcPr>
          <w:p w14:paraId="40F945A3" w14:textId="77777777" w:rsidR="00236412" w:rsidRDefault="00236412" w:rsidP="00F92F5D">
            <w:pPr>
              <w:rPr>
                <w:lang w:eastAsia="en-US"/>
              </w:rPr>
            </w:pPr>
            <w:r>
              <w:rPr>
                <w:rFonts w:eastAsiaTheme="minorHAnsi"/>
                <w:b/>
                <w:lang w:eastAsia="en-US"/>
              </w:rPr>
              <w:t xml:space="preserve">Recommended: </w:t>
            </w:r>
            <w:r>
              <w:rPr>
                <w:rFonts w:eastAsiaTheme="minorHAnsi"/>
                <w:lang w:eastAsia="en-US"/>
              </w:rPr>
              <w:t>Orchestrator solutions that automate Azure should consider using Azure Integration Packs (Microsoft or third-party) to speed the creation of the Orchestrator runbooks.</w:t>
            </w:r>
          </w:p>
        </w:tc>
      </w:tr>
      <w:tr w:rsidR="00236412" w14:paraId="17A39217" w14:textId="77777777" w:rsidTr="00F92F5D">
        <w:trPr>
          <w:trHeight w:val="423"/>
        </w:trPr>
        <w:tc>
          <w:tcPr>
            <w:tcW w:w="666" w:type="dxa"/>
          </w:tcPr>
          <w:p w14:paraId="08782F7E" w14:textId="77777777" w:rsidR="00236412" w:rsidRDefault="00236412" w:rsidP="00F92F5D">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2030976" behindDoc="0" locked="0" layoutInCell="1" allowOverlap="1" wp14:anchorId="68551EFE" wp14:editId="2492F68D">
                      <wp:simplePos x="0" y="0"/>
                      <wp:positionH relativeFrom="column">
                        <wp:posOffset>66675</wp:posOffset>
                      </wp:positionH>
                      <wp:positionV relativeFrom="paragraph">
                        <wp:posOffset>90170</wp:posOffset>
                      </wp:positionV>
                      <wp:extent cx="180975" cy="180975"/>
                      <wp:effectExtent l="57150" t="19050" r="9525" b="104775"/>
                      <wp:wrapNone/>
                      <wp:docPr id="41126" name="Oval 411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75B689B1" id="Oval 41126" o:spid="_x0000_s1026" style="position:absolute;margin-left:5.25pt;margin-top:7.1pt;width:14.25pt;height:14.25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mCfgIAAGgFAAAOAAAAZHJzL2Uyb0RvYy54bWysVG1r2zAQ/j7YfxD6vthO0zdTp2QpHYPQ&#10;lLWjnxVZSsRknSYpcbJfv5PsuN1aKIx9ETrdc6967q6u940mO+G8AlPRYpRTIgyHWpl1Rb8/3n66&#10;oMQHZmqmwYiKHoSn19OPH65aW4oxbEDXwhF0YnzZ2opuQrBllnm+EQ3zI7DCoFKCa1hA0a2z2rEW&#10;vTc6G+f5WdaCq60DLrzH15tOSafJv5SCh6WUXgSiK4q5hXS6dK7imU2vWLl2zG4U79Ng/5BFw5TB&#10;oIOrGxYY2Tr1ylWjuAMPMow4NBlIqbhINWA1Rf5XNQ8bZkWqBZvj7dAm///c8rvdvSOqruikKMZn&#10;lBjW4Dctd0yT7gU71FpfIvDB3rtYo7cL4D88KrI/NFHwPWYvXROxWCHZp3YfhnaLfSAcH4uL/PL8&#10;lBKOqv4efbLyaGydD18ENCReKiq0VtbHhrCS7RY+dOgjKqUGWtW3SuskuPVqrh3BWjB2/jk/Tf+N&#10;AfwzLJXQZZ3yDwctorE234TExsQ8U8RESTH4Y5wLE04igdBhQkczibEHw5P3DXt8NBWJroPx+H3j&#10;wSJFBhMG40YZcG850KHoU5Ydvv9E39UdW7CC+oCccNANi7f8VmH/F8yHe+ZwOnCOcOLDEg+poa0o&#10;9DdKNuB+vfUe8Uha1FLS4rRV1P/cMico0V8N0vmymEzieCZhcno+RsG91Kxeasy2mQP+aYG7xfJ0&#10;jfigj1fpoHnCxTCLUVHFDMfYFeXBHYV56LYArhYuZrMEw5G0LCzMg+XHX4/ketw/MWd7EgZk7x0c&#10;J/MVETts/A8Ds20AqRJLn/va9xvHORGnXz1xX7yUE+p5QU5/AwAA//8DAFBLAwQUAAYACAAAACEA&#10;whqfIt4AAAAHAQAADwAAAGRycy9kb3ducmV2LnhtbEyPQUvDQBCF74L/YRnBi9hNYqs2ZlNEEBS9&#10;mFbU2zQ7JsHsbMhu2/jvHU96Gh7v8eZ7xWpyvdrTGDrPBtJZAoq49rbjxsBmfX9+DSpEZIu9ZzLw&#10;TQFW5fFRgbn1B36hfRUbJSUccjTQxjjkWoe6JYdh5gdi8T796DCKHBttRzxIuet1liSX2mHH8qHF&#10;ge5aqr+qnTPwUW2e3Tp9cm+P6cOCzt77JdpXY05PptsbUJGm+BeGX3xBh1KYtn7HNqhedLKQpNx5&#10;Bkr8i6VM2xqYZ1egy0L/5y9/AAAA//8DAFBLAQItABQABgAIAAAAIQC2gziS/gAAAOEBAAATAAAA&#10;AAAAAAAAAAAAAAAAAABbQ29udGVudF9UeXBlc10ueG1sUEsBAi0AFAAGAAgAAAAhADj9If/WAAAA&#10;lAEAAAsAAAAAAAAAAAAAAAAALwEAAF9yZWxzLy5yZWxzUEsBAi0AFAAGAAgAAAAhABgP6YJ+AgAA&#10;aAUAAA4AAAAAAAAAAAAAAAAALgIAAGRycy9lMm9Eb2MueG1sUEsBAi0AFAAGAAgAAAAhAMIanyLe&#10;AAAABwEAAA8AAAAAAAAAAAAAAAAA2AQAAGRycy9kb3ducmV2LnhtbFBLBQYAAAAABAAEAPMAAADj&#10;BQAAAAA=&#10;" fillcolor="#00b050" strokecolor="#a5a5a5 [3206]" strokeweight=".5pt">
                      <v:stroke joinstyle="miter"/>
                      <v:path arrowok="t"/>
                    </v:oval>
                  </w:pict>
                </mc:Fallback>
              </mc:AlternateContent>
            </w:r>
          </w:p>
        </w:tc>
        <w:tc>
          <w:tcPr>
            <w:tcW w:w="8604" w:type="dxa"/>
          </w:tcPr>
          <w:p w14:paraId="05C2A794" w14:textId="77777777" w:rsidR="00236412" w:rsidRDefault="00236412" w:rsidP="00F92F5D">
            <w:pPr>
              <w:rPr>
                <w:lang w:eastAsia="en-US"/>
              </w:rPr>
            </w:pPr>
            <w:r>
              <w:rPr>
                <w:rFonts w:eastAsiaTheme="minorHAnsi"/>
                <w:b/>
                <w:lang w:eastAsia="en-US"/>
              </w:rPr>
              <w:t xml:space="preserve">Optional: </w:t>
            </w:r>
            <w:r>
              <w:rPr>
                <w:rFonts w:eastAsiaTheme="minorHAnsi"/>
                <w:lang w:eastAsia="en-US"/>
              </w:rPr>
              <w:t>Azure can be automated by using System Center Orchestrator. However, if you do not currently have Orchestrator deployed, other automation platforms, such as SMA or Azure Automation may be a better choice.</w:t>
            </w:r>
          </w:p>
        </w:tc>
      </w:tr>
    </w:tbl>
    <w:p w14:paraId="20F7135C" w14:textId="6843AD82" w:rsidR="007F222C" w:rsidRDefault="007F222C">
      <w:pPr>
        <w:spacing w:before="0" w:after="160" w:line="259" w:lineRule="auto"/>
      </w:pPr>
    </w:p>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204FDB" w14:paraId="4BFFCD52" w14:textId="77777777" w:rsidTr="00204FDB">
        <w:tc>
          <w:tcPr>
            <w:tcW w:w="9360" w:type="dxa"/>
            <w:shd w:val="clear" w:color="auto" w:fill="008AC8"/>
          </w:tcPr>
          <w:p w14:paraId="7BDC42E9" w14:textId="77777777" w:rsidR="00204FDB" w:rsidRPr="00F47607" w:rsidRDefault="00204FDB" w:rsidP="00204FDB">
            <w:pPr>
              <w:spacing w:line="240" w:lineRule="auto"/>
              <w:rPr>
                <w:color w:val="FFFFFF"/>
              </w:rPr>
            </w:pPr>
            <w:r>
              <w:rPr>
                <w:color w:val="FFFFFF"/>
              </w:rPr>
              <w:t>Design Guidance</w:t>
            </w:r>
          </w:p>
        </w:tc>
      </w:tr>
    </w:tbl>
    <w:p w14:paraId="7A46421B" w14:textId="77777777" w:rsidR="00236412" w:rsidRDefault="00236412" w:rsidP="00236412">
      <w:pPr>
        <w:rPr>
          <w:rFonts w:eastAsia="Times New Roman" w:cs="Times New Roman"/>
        </w:rPr>
      </w:pPr>
      <w:r w:rsidRPr="00164C50">
        <w:rPr>
          <w:rFonts w:eastAsia="Times New Roman" w:cs="Times New Roman"/>
        </w:rPr>
        <w:t>System Center</w:t>
      </w:r>
      <w:r>
        <w:rPr>
          <w:rFonts w:eastAsia="Times New Roman" w:cs="Times New Roman"/>
        </w:rPr>
        <w:t> 2012 R2</w:t>
      </w:r>
      <w:r w:rsidRPr="00164C50">
        <w:rPr>
          <w:rFonts w:eastAsia="Times New Roman" w:cs="Times New Roman"/>
        </w:rPr>
        <w:t xml:space="preserve"> Orchestrator can be leveraged as an automation solution for Azure environments. One of the key drivers that may support the use of Orchestrator is</w:t>
      </w:r>
      <w:r>
        <w:rPr>
          <w:rFonts w:eastAsia="Times New Roman" w:cs="Times New Roman"/>
        </w:rPr>
        <w:t xml:space="preserve"> the</w:t>
      </w:r>
      <w:r w:rsidRPr="00164C50">
        <w:rPr>
          <w:rFonts w:eastAsia="Times New Roman" w:cs="Times New Roman"/>
        </w:rPr>
        <w:t xml:space="preserve"> existing automation </w:t>
      </w:r>
      <w:r>
        <w:rPr>
          <w:rFonts w:eastAsia="Times New Roman" w:cs="Times New Roman"/>
        </w:rPr>
        <w:t xml:space="preserve">that is </w:t>
      </w:r>
      <w:r w:rsidRPr="00164C50">
        <w:rPr>
          <w:rFonts w:eastAsia="Times New Roman" w:cs="Times New Roman"/>
        </w:rPr>
        <w:t xml:space="preserve">housed within Orchestrator runbooks. Additionally, if </w:t>
      </w:r>
      <w:r>
        <w:rPr>
          <w:rFonts w:eastAsia="Times New Roman" w:cs="Times New Roman"/>
        </w:rPr>
        <w:t>you</w:t>
      </w:r>
      <w:r w:rsidRPr="00164C50">
        <w:rPr>
          <w:rFonts w:eastAsia="Times New Roman" w:cs="Times New Roman"/>
        </w:rPr>
        <w:t xml:space="preserve"> ha</w:t>
      </w:r>
      <w:r>
        <w:rPr>
          <w:rFonts w:eastAsia="Times New Roman" w:cs="Times New Roman"/>
        </w:rPr>
        <w:t>ve</w:t>
      </w:r>
      <w:r w:rsidRPr="00164C50">
        <w:rPr>
          <w:rFonts w:eastAsia="Times New Roman" w:cs="Times New Roman"/>
        </w:rPr>
        <w:t xml:space="preserve"> experience with Orchestrator automation for other projects or applications, the choice to </w:t>
      </w:r>
      <w:r>
        <w:rPr>
          <w:rFonts w:eastAsia="Times New Roman" w:cs="Times New Roman"/>
        </w:rPr>
        <w:t>leverage</w:t>
      </w:r>
      <w:r w:rsidRPr="00164C50">
        <w:rPr>
          <w:rFonts w:eastAsia="Times New Roman" w:cs="Times New Roman"/>
        </w:rPr>
        <w:t xml:space="preserve"> that existing investment in administrator abilities may </w:t>
      </w:r>
      <w:r>
        <w:rPr>
          <w:rFonts w:eastAsia="Times New Roman" w:cs="Times New Roman"/>
        </w:rPr>
        <w:t>be right for some organizations</w:t>
      </w:r>
      <w:r w:rsidRPr="00164C50">
        <w:rPr>
          <w:rFonts w:eastAsia="Times New Roman" w:cs="Times New Roman"/>
        </w:rPr>
        <w:t xml:space="preserve">. </w:t>
      </w:r>
    </w:p>
    <w:p w14:paraId="7463040F" w14:textId="77777777" w:rsidR="00236412" w:rsidRDefault="00236412" w:rsidP="00236412">
      <w:pPr>
        <w:rPr>
          <w:rFonts w:eastAsia="Times New Roman" w:cs="Times New Roman"/>
        </w:rPr>
      </w:pPr>
      <w:r w:rsidRPr="00164C50">
        <w:rPr>
          <w:rFonts w:eastAsia="Times New Roman" w:cs="Times New Roman"/>
        </w:rPr>
        <w:t xml:space="preserve">One of the key considerations of an automation design </w:t>
      </w:r>
      <w:r>
        <w:rPr>
          <w:rFonts w:eastAsia="Times New Roman" w:cs="Times New Roman"/>
        </w:rPr>
        <w:t>that uses</w:t>
      </w:r>
      <w:r w:rsidRPr="00164C50">
        <w:rPr>
          <w:rFonts w:eastAsia="Times New Roman" w:cs="Times New Roman"/>
        </w:rPr>
        <w:t xml:space="preserve"> Orchestrator should </w:t>
      </w:r>
      <w:r>
        <w:rPr>
          <w:rFonts w:eastAsia="Times New Roman" w:cs="Times New Roman"/>
        </w:rPr>
        <w:t>include</w:t>
      </w:r>
      <w:r w:rsidRPr="00164C50">
        <w:rPr>
          <w:rFonts w:eastAsia="Times New Roman" w:cs="Times New Roman"/>
        </w:rPr>
        <w:t xml:space="preserve"> the selection of Integration Packs. Microsoft provides an Azure Integration pack</w:t>
      </w:r>
      <w:r>
        <w:rPr>
          <w:rFonts w:eastAsia="Times New Roman" w:cs="Times New Roman"/>
        </w:rPr>
        <w:t xml:space="preserve"> for Orchestrator</w:t>
      </w:r>
      <w:r w:rsidRPr="00164C50">
        <w:rPr>
          <w:rFonts w:eastAsia="Times New Roman" w:cs="Times New Roman"/>
        </w:rPr>
        <w:t xml:space="preserve"> that provides pre-built activities that can be leveraged in a runbook. </w:t>
      </w:r>
    </w:p>
    <w:p w14:paraId="159FB634" w14:textId="77777777" w:rsidR="00236412" w:rsidRPr="00164C50" w:rsidRDefault="00236412" w:rsidP="00236412">
      <w:pPr>
        <w:rPr>
          <w:rFonts w:eastAsia="Times New Roman" w:cs="Times New Roman"/>
        </w:rPr>
      </w:pPr>
      <w:r w:rsidRPr="00164C50">
        <w:rPr>
          <w:rFonts w:eastAsia="Times New Roman" w:cs="Times New Roman"/>
        </w:rPr>
        <w:t xml:space="preserve">Additionally, third parties have developed </w:t>
      </w:r>
      <w:r>
        <w:rPr>
          <w:rFonts w:eastAsia="Times New Roman" w:cs="Times New Roman"/>
        </w:rPr>
        <w:t>Orchestrator integration packs</w:t>
      </w:r>
      <w:r w:rsidRPr="00164C50">
        <w:rPr>
          <w:rFonts w:eastAsia="Times New Roman" w:cs="Times New Roman"/>
        </w:rPr>
        <w:t xml:space="preserve"> that can be evaluated </w:t>
      </w:r>
      <w:r>
        <w:rPr>
          <w:rFonts w:eastAsia="Times New Roman" w:cs="Times New Roman"/>
        </w:rPr>
        <w:t>for</w:t>
      </w:r>
      <w:r w:rsidRPr="00164C50">
        <w:rPr>
          <w:rFonts w:eastAsia="Times New Roman" w:cs="Times New Roman"/>
        </w:rPr>
        <w:t xml:space="preserve"> enhance</w:t>
      </w:r>
      <w:r>
        <w:rPr>
          <w:rFonts w:eastAsia="Times New Roman" w:cs="Times New Roman"/>
        </w:rPr>
        <w:t>d</w:t>
      </w:r>
      <w:r w:rsidRPr="00164C50">
        <w:rPr>
          <w:rFonts w:eastAsia="Times New Roman" w:cs="Times New Roman"/>
        </w:rPr>
        <w:t xml:space="preserve"> functionality. Microsoft System Center</w:t>
      </w:r>
      <w:r>
        <w:rPr>
          <w:rFonts w:eastAsia="Times New Roman" w:cs="Times New Roman"/>
        </w:rPr>
        <w:t> 2</w:t>
      </w:r>
      <w:r w:rsidRPr="00164C50">
        <w:rPr>
          <w:rFonts w:eastAsia="Times New Roman" w:cs="Times New Roman"/>
        </w:rPr>
        <w:t xml:space="preserve">012 integration pack </w:t>
      </w:r>
      <w:r>
        <w:rPr>
          <w:rFonts w:eastAsia="Times New Roman" w:cs="Times New Roman"/>
        </w:rPr>
        <w:t xml:space="preserve">by Kelverion </w:t>
      </w:r>
      <w:r w:rsidRPr="00164C50">
        <w:rPr>
          <w:rFonts w:eastAsia="Times New Roman" w:cs="Times New Roman"/>
        </w:rPr>
        <w:t xml:space="preserve">provides </w:t>
      </w:r>
      <w:r>
        <w:rPr>
          <w:rFonts w:eastAsia="Times New Roman" w:cs="Times New Roman"/>
        </w:rPr>
        <w:t>automation activities beyond the default product functionality.</w:t>
      </w:r>
    </w:p>
    <w:p w14:paraId="2B1D9B05" w14:textId="77777777" w:rsidR="00236412" w:rsidRDefault="00236412" w:rsidP="00236412">
      <w:pPr>
        <w:rPr>
          <w:rFonts w:eastAsia="Times New Roman" w:cs="Times New Roman"/>
        </w:rPr>
      </w:pPr>
      <w:r w:rsidRPr="00164C50">
        <w:rPr>
          <w:rFonts w:eastAsia="Times New Roman" w:cs="Times New Roman"/>
        </w:rPr>
        <w:t xml:space="preserve">Orchestrator </w:t>
      </w:r>
      <w:r>
        <w:rPr>
          <w:rFonts w:eastAsia="Times New Roman" w:cs="Times New Roman"/>
        </w:rPr>
        <w:t>can</w:t>
      </w:r>
      <w:r w:rsidRPr="00164C50">
        <w:rPr>
          <w:rFonts w:eastAsia="Times New Roman" w:cs="Times New Roman"/>
        </w:rPr>
        <w:t xml:space="preserve"> also be used as a component of an automation solution by leveraging connections to Service Management Automation </w:t>
      </w:r>
      <w:r>
        <w:rPr>
          <w:rFonts w:eastAsia="Times New Roman" w:cs="Times New Roman"/>
        </w:rPr>
        <w:t>through</w:t>
      </w:r>
      <w:r w:rsidRPr="00164C50">
        <w:rPr>
          <w:rFonts w:eastAsia="Times New Roman" w:cs="Times New Roman"/>
        </w:rPr>
        <w:t xml:space="preserve"> API calls or </w:t>
      </w:r>
      <w:r>
        <w:rPr>
          <w:rFonts w:eastAsia="Times New Roman" w:cs="Times New Roman"/>
        </w:rPr>
        <w:t xml:space="preserve">by using </w:t>
      </w:r>
      <w:r w:rsidRPr="00164C50">
        <w:rPr>
          <w:rFonts w:eastAsia="Times New Roman" w:cs="Times New Roman"/>
        </w:rPr>
        <w:t xml:space="preserve">an Orchestrator activity in the Kelverion </w:t>
      </w:r>
      <w:r>
        <w:rPr>
          <w:rFonts w:eastAsia="Times New Roman" w:cs="Times New Roman"/>
        </w:rPr>
        <w:t>Orchestrator integration pack</w:t>
      </w:r>
      <w:r w:rsidRPr="00164C50">
        <w:rPr>
          <w:rFonts w:eastAsia="Times New Roman" w:cs="Times New Roman"/>
        </w:rPr>
        <w:t xml:space="preserve">. </w:t>
      </w:r>
    </w:p>
    <w:p w14:paraId="5CBC6DB4" w14:textId="29D0D626" w:rsidR="00165CF7" w:rsidRDefault="00236412" w:rsidP="00236412">
      <w:pPr>
        <w:jc w:val="both"/>
        <w:rPr>
          <w:rFonts w:eastAsia="Times New Roman" w:cs="Times New Roman"/>
        </w:rPr>
      </w:pPr>
      <w:r w:rsidRPr="00164C50">
        <w:rPr>
          <w:rFonts w:eastAsia="Times New Roman" w:cs="Times New Roman"/>
        </w:rPr>
        <w:t>This is particularly useful in a hybrid scenario where Orchestrator is used to provision and configure on-</w:t>
      </w:r>
      <w:r>
        <w:rPr>
          <w:rFonts w:eastAsia="Times New Roman" w:cs="Times New Roman"/>
        </w:rPr>
        <w:t>premises</w:t>
      </w:r>
      <w:r w:rsidRPr="00164C50">
        <w:rPr>
          <w:rFonts w:eastAsia="Times New Roman" w:cs="Times New Roman"/>
        </w:rPr>
        <w:t xml:space="preserve"> </w:t>
      </w:r>
      <w:r>
        <w:rPr>
          <w:rFonts w:eastAsia="Times New Roman" w:cs="Times New Roman"/>
        </w:rPr>
        <w:t>virtual machines</w:t>
      </w:r>
      <w:r w:rsidRPr="00164C50">
        <w:rPr>
          <w:rFonts w:eastAsia="Times New Roman" w:cs="Times New Roman"/>
        </w:rPr>
        <w:t xml:space="preserve"> and do post-provision</w:t>
      </w:r>
      <w:r>
        <w:rPr>
          <w:rFonts w:eastAsia="Times New Roman" w:cs="Times New Roman"/>
        </w:rPr>
        <w:t>ing</w:t>
      </w:r>
      <w:r w:rsidRPr="00164C50">
        <w:rPr>
          <w:rFonts w:eastAsia="Times New Roman" w:cs="Times New Roman"/>
        </w:rPr>
        <w:t xml:space="preserve"> activities. These same runbooks may be leveraged to do the same post-provision</w:t>
      </w:r>
      <w:r>
        <w:rPr>
          <w:rFonts w:eastAsia="Times New Roman" w:cs="Times New Roman"/>
        </w:rPr>
        <w:t>ing</w:t>
      </w:r>
      <w:r w:rsidRPr="00164C50">
        <w:rPr>
          <w:rFonts w:eastAsia="Times New Roman" w:cs="Times New Roman"/>
        </w:rPr>
        <w:t xml:space="preserve"> activities on Azure </w:t>
      </w:r>
      <w:r>
        <w:rPr>
          <w:rFonts w:eastAsia="Times New Roman" w:cs="Times New Roman"/>
        </w:rPr>
        <w:t>virtual machine</w:t>
      </w:r>
      <w:r w:rsidRPr="00164C50">
        <w:rPr>
          <w:rFonts w:eastAsia="Times New Roman" w:cs="Times New Roman"/>
        </w:rPr>
        <w:t>s with minimal changes</w:t>
      </w:r>
      <w:r w:rsidR="00165CF7" w:rsidRPr="00164C50">
        <w:rPr>
          <w:rFonts w:eastAsia="Times New Roman" w:cs="Times New Roman"/>
        </w:rPr>
        <w:t>.</w:t>
      </w:r>
    </w:p>
    <w:tbl>
      <w:tblPr>
        <w:tblW w:w="9355"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29" w:type="dxa"/>
          <w:bottom w:w="29" w:type="dxa"/>
        </w:tblCellMar>
        <w:tblLook w:val="04A0" w:firstRow="1" w:lastRow="0" w:firstColumn="1" w:lastColumn="0" w:noHBand="0" w:noVBand="1"/>
      </w:tblPr>
      <w:tblGrid>
        <w:gridCol w:w="2965"/>
        <w:gridCol w:w="2787"/>
        <w:gridCol w:w="3603"/>
      </w:tblGrid>
      <w:tr w:rsidR="00664829" w14:paraId="7D419E98" w14:textId="77777777" w:rsidTr="00A32012">
        <w:tc>
          <w:tcPr>
            <w:tcW w:w="2965" w:type="dxa"/>
            <w:tcBorders>
              <w:top w:val="single" w:sz="4" w:space="0" w:color="A5A5A5"/>
              <w:left w:val="single" w:sz="4" w:space="0" w:color="A5A5A5"/>
              <w:bottom w:val="single" w:sz="4" w:space="0" w:color="A5A5A5"/>
              <w:right w:val="nil"/>
            </w:tcBorders>
            <w:shd w:val="clear" w:color="auto" w:fill="808080" w:themeFill="background1" w:themeFillShade="80"/>
            <w:hideMark/>
          </w:tcPr>
          <w:p w14:paraId="3DC468C9" w14:textId="77777777" w:rsidR="00664829" w:rsidRPr="00F47607" w:rsidRDefault="00664829" w:rsidP="006B0DFF">
            <w:pPr>
              <w:spacing w:line="240" w:lineRule="auto"/>
              <w:rPr>
                <w:rFonts w:ascii="Times New Roman" w:hAnsi="Times New Roman"/>
                <w:b/>
                <w:bCs/>
                <w:color w:val="FFFFFF"/>
                <w:lang w:val="en-AU" w:eastAsia="en-AU"/>
              </w:rPr>
            </w:pPr>
            <w:r w:rsidRPr="00F47607">
              <w:rPr>
                <w:rFonts w:eastAsia="Calibri"/>
                <w:b/>
                <w:bCs/>
                <w:color w:val="FFFFFF"/>
                <w:lang w:val="en-AU" w:eastAsia="en-AU"/>
              </w:rPr>
              <w:t>Scenario</w:t>
            </w:r>
          </w:p>
        </w:tc>
        <w:tc>
          <w:tcPr>
            <w:tcW w:w="2787" w:type="dxa"/>
            <w:tcBorders>
              <w:top w:val="single" w:sz="4" w:space="0" w:color="A5A5A5"/>
              <w:left w:val="nil"/>
              <w:bottom w:val="single" w:sz="4" w:space="0" w:color="A5A5A5"/>
              <w:right w:val="nil"/>
            </w:tcBorders>
            <w:shd w:val="clear" w:color="auto" w:fill="808080" w:themeFill="background1" w:themeFillShade="80"/>
            <w:hideMark/>
          </w:tcPr>
          <w:p w14:paraId="32F4C9C7" w14:textId="77777777" w:rsidR="00664829" w:rsidRPr="00F47607" w:rsidRDefault="00664829" w:rsidP="006B0DFF">
            <w:pPr>
              <w:spacing w:line="240" w:lineRule="auto"/>
              <w:rPr>
                <w:rFonts w:eastAsia="Calibri"/>
                <w:b/>
                <w:color w:val="FFFFFF"/>
                <w:lang w:val="en-AU" w:eastAsia="en-AU"/>
              </w:rPr>
            </w:pPr>
            <w:r>
              <w:rPr>
                <w:rFonts w:eastAsia="Calibri"/>
                <w:b/>
                <w:bCs/>
                <w:color w:val="FFFFFF"/>
                <w:lang w:val="en-AU" w:eastAsia="en-AU"/>
              </w:rPr>
              <w:t>Model</w:t>
            </w:r>
          </w:p>
        </w:tc>
        <w:tc>
          <w:tcPr>
            <w:tcW w:w="3603" w:type="dxa"/>
            <w:tcBorders>
              <w:top w:val="single" w:sz="4" w:space="0" w:color="A5A5A5"/>
              <w:left w:val="nil"/>
              <w:bottom w:val="single" w:sz="4" w:space="0" w:color="A5A5A5"/>
              <w:right w:val="single" w:sz="4" w:space="0" w:color="A5A5A5"/>
            </w:tcBorders>
            <w:shd w:val="clear" w:color="auto" w:fill="808080" w:themeFill="background1" w:themeFillShade="80"/>
            <w:hideMark/>
          </w:tcPr>
          <w:p w14:paraId="73ED9A33" w14:textId="77777777" w:rsidR="00664829" w:rsidRPr="00F47607" w:rsidRDefault="00664829" w:rsidP="006B0DFF">
            <w:pPr>
              <w:spacing w:line="240" w:lineRule="auto"/>
              <w:rPr>
                <w:rFonts w:eastAsia="Calibri"/>
                <w:b/>
                <w:color w:val="FFFFFF"/>
                <w:lang w:val="en-AU" w:eastAsia="en-AU"/>
              </w:rPr>
            </w:pPr>
            <w:r w:rsidRPr="00F47607">
              <w:rPr>
                <w:rFonts w:eastAsia="Calibri"/>
                <w:b/>
                <w:bCs/>
                <w:color w:val="FFFFFF"/>
                <w:lang w:val="en-AU" w:eastAsia="en-AU"/>
              </w:rPr>
              <w:t>Points to Consider</w:t>
            </w:r>
          </w:p>
        </w:tc>
      </w:tr>
      <w:tr w:rsidR="00236412" w14:paraId="21235540" w14:textId="77777777" w:rsidTr="006B0DFF">
        <w:tc>
          <w:tcPr>
            <w:tcW w:w="2965" w:type="dxa"/>
            <w:shd w:val="clear" w:color="auto" w:fill="EDEDED"/>
            <w:hideMark/>
          </w:tcPr>
          <w:p w14:paraId="596E2806" w14:textId="5BFFF131" w:rsidR="00236412" w:rsidRPr="00F47607" w:rsidRDefault="00236412" w:rsidP="00236412">
            <w:pPr>
              <w:pStyle w:val="NormalWeb"/>
              <w:rPr>
                <w:rFonts w:ascii="Segoe UI" w:hAnsi="Segoe UI" w:cs="Segoe UI"/>
                <w:sz w:val="20"/>
                <w:szCs w:val="20"/>
                <w:lang w:val="en-AU" w:eastAsia="en-AU"/>
              </w:rPr>
            </w:pPr>
            <w:r>
              <w:rPr>
                <w:rFonts w:ascii="Segoe UI" w:hAnsi="Segoe UI" w:cs="Segoe UI"/>
                <w:b/>
                <w:bCs/>
                <w:sz w:val="20"/>
                <w:szCs w:val="20"/>
                <w:lang w:val="en-AU" w:eastAsia="en-AU"/>
              </w:rPr>
              <w:t>Orchestrator-based automation</w:t>
            </w:r>
          </w:p>
        </w:tc>
        <w:tc>
          <w:tcPr>
            <w:tcW w:w="2787" w:type="dxa"/>
            <w:shd w:val="clear" w:color="auto" w:fill="EDEDED"/>
            <w:hideMark/>
          </w:tcPr>
          <w:p w14:paraId="7202634A" w14:textId="71B37EF6" w:rsidR="00236412" w:rsidRPr="00F47607" w:rsidRDefault="00236412" w:rsidP="00236412">
            <w:pPr>
              <w:pStyle w:val="NormalWeb"/>
              <w:rPr>
                <w:rFonts w:ascii="Segoe UI" w:hAnsi="Segoe UI" w:cs="Segoe UI"/>
                <w:sz w:val="20"/>
                <w:szCs w:val="20"/>
                <w:lang w:val="en-AU" w:eastAsia="en-AU"/>
              </w:rPr>
            </w:pPr>
            <w:r>
              <w:rPr>
                <w:rFonts w:ascii="Segoe UI" w:hAnsi="Segoe UI" w:cs="Segoe UI"/>
                <w:sz w:val="20"/>
                <w:szCs w:val="20"/>
                <w:lang w:val="en-AU" w:eastAsia="en-AU"/>
              </w:rPr>
              <w:t>GUI driven automation</w:t>
            </w:r>
          </w:p>
        </w:tc>
        <w:tc>
          <w:tcPr>
            <w:tcW w:w="3603" w:type="dxa"/>
            <w:shd w:val="clear" w:color="auto" w:fill="EDEDED"/>
            <w:hideMark/>
          </w:tcPr>
          <w:p w14:paraId="2DC2D811" w14:textId="77777777" w:rsidR="00236412" w:rsidRDefault="00236412" w:rsidP="00236412">
            <w:pPr>
              <w:pStyle w:val="NormalWeb"/>
              <w:numPr>
                <w:ilvl w:val="0"/>
                <w:numId w:val="8"/>
              </w:numPr>
              <w:rPr>
                <w:rFonts w:ascii="Segoe UI" w:hAnsi="Segoe UI" w:cs="Segoe UI"/>
                <w:sz w:val="20"/>
                <w:szCs w:val="20"/>
                <w:lang w:val="en-AU" w:eastAsia="en-AU"/>
              </w:rPr>
            </w:pPr>
            <w:r>
              <w:rPr>
                <w:rFonts w:ascii="Segoe UI" w:hAnsi="Segoe UI" w:cs="Segoe UI"/>
                <w:sz w:val="20"/>
                <w:szCs w:val="20"/>
                <w:lang w:val="en-AU" w:eastAsia="en-AU"/>
              </w:rPr>
              <w:t>Leverage existing Orchestrator infrastructure</w:t>
            </w:r>
          </w:p>
          <w:p w14:paraId="29A45A27" w14:textId="26E7DAA5" w:rsidR="00236412" w:rsidRPr="00B814EA" w:rsidRDefault="00236412" w:rsidP="00236412">
            <w:pPr>
              <w:pStyle w:val="NormalWeb"/>
              <w:numPr>
                <w:ilvl w:val="0"/>
                <w:numId w:val="8"/>
              </w:numPr>
              <w:rPr>
                <w:rFonts w:ascii="Segoe UI" w:hAnsi="Segoe UI" w:cs="Segoe UI"/>
                <w:sz w:val="20"/>
                <w:szCs w:val="20"/>
                <w:lang w:val="en-AU" w:eastAsia="en-AU"/>
              </w:rPr>
            </w:pPr>
            <w:r>
              <w:rPr>
                <w:rFonts w:ascii="Segoe UI" w:hAnsi="Segoe UI" w:cs="Segoe UI"/>
                <w:sz w:val="20"/>
                <w:szCs w:val="20"/>
                <w:lang w:val="en-AU" w:eastAsia="en-AU"/>
              </w:rPr>
              <w:t>Limitations of 32-bit application</w:t>
            </w:r>
          </w:p>
        </w:tc>
      </w:tr>
      <w:tr w:rsidR="00236412" w14:paraId="4D3B8649" w14:textId="77777777" w:rsidTr="006B0DFF">
        <w:tc>
          <w:tcPr>
            <w:tcW w:w="2965" w:type="dxa"/>
            <w:shd w:val="clear" w:color="auto" w:fill="auto"/>
            <w:hideMark/>
          </w:tcPr>
          <w:p w14:paraId="638A2BE0" w14:textId="676634EF" w:rsidR="00236412" w:rsidRPr="00F47607" w:rsidRDefault="00236412" w:rsidP="00236412">
            <w:pPr>
              <w:pStyle w:val="NormalWeb"/>
              <w:rPr>
                <w:rFonts w:ascii="Segoe UI" w:hAnsi="Segoe UI" w:cs="Segoe UI"/>
                <w:bCs/>
                <w:sz w:val="20"/>
                <w:szCs w:val="20"/>
                <w:lang w:val="en-AU" w:eastAsia="en-AU"/>
              </w:rPr>
            </w:pPr>
            <w:r>
              <w:rPr>
                <w:rFonts w:ascii="Segoe UI" w:hAnsi="Segoe UI" w:cs="Segoe UI"/>
                <w:b/>
                <w:bCs/>
                <w:sz w:val="20"/>
                <w:szCs w:val="20"/>
                <w:lang w:val="en-AU" w:eastAsia="en-AU"/>
              </w:rPr>
              <w:t>Orchestrator-integrated automation</w:t>
            </w:r>
          </w:p>
        </w:tc>
        <w:tc>
          <w:tcPr>
            <w:tcW w:w="2787" w:type="dxa"/>
            <w:shd w:val="clear" w:color="auto" w:fill="auto"/>
            <w:hideMark/>
          </w:tcPr>
          <w:p w14:paraId="46C20FFC" w14:textId="262E505C" w:rsidR="00236412" w:rsidRPr="00F47607" w:rsidRDefault="00236412" w:rsidP="00236412">
            <w:pPr>
              <w:pStyle w:val="NormalWeb"/>
              <w:rPr>
                <w:rFonts w:ascii="Segoe UI" w:hAnsi="Segoe UI" w:cs="Segoe UI"/>
                <w:sz w:val="20"/>
                <w:szCs w:val="20"/>
                <w:lang w:val="en-AU" w:eastAsia="en-AU"/>
              </w:rPr>
            </w:pPr>
            <w:r>
              <w:rPr>
                <w:rFonts w:ascii="Segoe UI" w:hAnsi="Segoe UI" w:cs="Segoe UI"/>
                <w:sz w:val="20"/>
                <w:szCs w:val="20"/>
                <w:lang w:val="en-AU" w:eastAsia="en-AU"/>
              </w:rPr>
              <w:t>Orchestrator added to other automation tools</w:t>
            </w:r>
          </w:p>
        </w:tc>
        <w:tc>
          <w:tcPr>
            <w:tcW w:w="3603" w:type="dxa"/>
            <w:shd w:val="clear" w:color="auto" w:fill="auto"/>
            <w:hideMark/>
          </w:tcPr>
          <w:p w14:paraId="42492FB0" w14:textId="77777777" w:rsidR="00236412" w:rsidRPr="00392839" w:rsidRDefault="00236412" w:rsidP="00236412">
            <w:pPr>
              <w:pStyle w:val="NormalWeb"/>
              <w:numPr>
                <w:ilvl w:val="0"/>
                <w:numId w:val="8"/>
              </w:numPr>
              <w:rPr>
                <w:rFonts w:ascii="Segoe UI" w:hAnsi="Segoe UI" w:cs="Segoe UI"/>
                <w:sz w:val="20"/>
                <w:szCs w:val="20"/>
                <w:lang w:val="en-AU" w:eastAsia="en-AU"/>
              </w:rPr>
            </w:pPr>
            <w:r>
              <w:rPr>
                <w:rFonts w:ascii="Segoe UI" w:hAnsi="Segoe UI" w:cs="Segoe UI"/>
                <w:sz w:val="20"/>
                <w:szCs w:val="20"/>
                <w:lang w:val="en-AU" w:eastAsia="en-AU"/>
              </w:rPr>
              <w:t>Complexity of entire solution</w:t>
            </w:r>
          </w:p>
          <w:p w14:paraId="02F006A4" w14:textId="0CB73A33" w:rsidR="00236412" w:rsidRPr="00392839" w:rsidRDefault="00236412" w:rsidP="00236412">
            <w:pPr>
              <w:pStyle w:val="NormalWeb"/>
              <w:numPr>
                <w:ilvl w:val="0"/>
                <w:numId w:val="8"/>
              </w:numPr>
              <w:rPr>
                <w:rFonts w:ascii="Segoe UI" w:hAnsi="Segoe UI" w:cs="Segoe UI"/>
                <w:sz w:val="20"/>
                <w:szCs w:val="20"/>
                <w:lang w:val="en-AU" w:eastAsia="en-AU"/>
              </w:rPr>
            </w:pPr>
            <w:r>
              <w:rPr>
                <w:rFonts w:ascii="Segoe UI" w:hAnsi="Segoe UI" w:cs="Segoe UI"/>
                <w:sz w:val="20"/>
                <w:szCs w:val="20"/>
                <w:lang w:val="en-AU" w:eastAsia="en-AU"/>
              </w:rPr>
              <w:t>Where to run which pieces of automation</w:t>
            </w:r>
          </w:p>
        </w:tc>
      </w:tr>
    </w:tbl>
    <w:p w14:paraId="3F571B67" w14:textId="77777777" w:rsidR="00225C52" w:rsidRPr="00164C50" w:rsidRDefault="00225C52" w:rsidP="00164C50">
      <w:pPr>
        <w:jc w:val="both"/>
        <w:rPr>
          <w:rFonts w:eastAsia="Times New Roman" w:cs="Times New Roman"/>
        </w:rPr>
      </w:pPr>
    </w:p>
    <w:p w14:paraId="6C2F1801" w14:textId="77777777" w:rsidR="00727F02" w:rsidRDefault="00727F02" w:rsidP="005729D2">
      <w:pPr>
        <w:pStyle w:val="Heading4Numbered"/>
        <w:numPr>
          <w:ilvl w:val="3"/>
          <w:numId w:val="64"/>
        </w:numPr>
      </w:pPr>
      <w:r>
        <w:t>Azure Automation</w:t>
      </w:r>
    </w:p>
    <w:p w14:paraId="18AD3C85" w14:textId="108E5883" w:rsidR="005A385F" w:rsidRDefault="005A385F" w:rsidP="00225C52">
      <w:pPr>
        <w:rPr>
          <w:rFonts w:eastAsia="Times New Roman" w:cs="Times New Roman"/>
        </w:rPr>
      </w:pPr>
      <w:r>
        <w:rPr>
          <w:rFonts w:eastAsia="Times New Roman" w:cs="Times New Roman"/>
        </w:rPr>
        <w:t>Azure</w:t>
      </w:r>
      <w:r w:rsidR="00236412">
        <w:rPr>
          <w:rFonts w:eastAsia="Times New Roman" w:cs="Times New Roman"/>
        </w:rPr>
        <w:t xml:space="preserve"> Automation is a PowerShell workflow-based environment hosted in Azure. This environment is similar to on-premises implementations of Service Management Automation. These PowerShell workflows can be started manually or at a particular time</w:t>
      </w:r>
      <w:r>
        <w:rPr>
          <w:rFonts w:eastAsia="Times New Roman" w:cs="Times New Roman"/>
        </w:rPr>
        <w:t xml:space="preserve">. </w:t>
      </w:r>
    </w:p>
    <w:p w14:paraId="081EC319" w14:textId="77777777" w:rsidR="007F222C" w:rsidRDefault="007F222C" w:rsidP="00225C52">
      <w:pPr>
        <w:rPr>
          <w:rFonts w:eastAsia="Times New Roman" w:cs="Times New Roman"/>
        </w:rPr>
      </w:pPr>
      <w:bookmarkStart w:id="6791" w:name="_Toc414892152"/>
      <w:bookmarkStart w:id="6792" w:name="_Toc414960175"/>
      <w:bookmarkStart w:id="6793" w:name="_Toc414969146"/>
      <w:bookmarkStart w:id="6794" w:name="_Toc415011370"/>
      <w:bookmarkStart w:id="6795" w:name="_Toc415040064"/>
      <w:bookmarkStart w:id="6796" w:name="_Toc415572421"/>
      <w:bookmarkStart w:id="6797" w:name="_Toc415735591"/>
      <w:bookmarkStart w:id="6798" w:name="_Toc415814172"/>
      <w:bookmarkStart w:id="6799" w:name="_Toc416343908"/>
      <w:bookmarkStart w:id="6800" w:name="_Toc416863180"/>
      <w:bookmarkStart w:id="6801" w:name="_Toc417314795"/>
      <w:bookmarkStart w:id="6802" w:name="_Toc417323812"/>
      <w:bookmarkStart w:id="6803" w:name="_Toc417326902"/>
      <w:bookmarkStart w:id="6804" w:name="_Toc417330450"/>
      <w:bookmarkStart w:id="6805" w:name="_Toc417395057"/>
      <w:bookmarkStart w:id="6806" w:name="_Toc417399276"/>
      <w:bookmarkStart w:id="6807" w:name="_Toc417399435"/>
      <w:bookmarkStart w:id="6808" w:name="_Toc417400482"/>
      <w:bookmarkStart w:id="6809" w:name="_Toc417401330"/>
      <w:bookmarkStart w:id="6810" w:name="_Toc417419645"/>
      <w:bookmarkStart w:id="6811" w:name="_Toc417457417"/>
      <w:bookmarkStart w:id="6812" w:name="_Toc417481995"/>
      <w:bookmarkStart w:id="6813" w:name="_Toc417482253"/>
      <w:bookmarkStart w:id="6814" w:name="_Toc417499972"/>
      <w:bookmarkStart w:id="6815" w:name="_Toc417502793"/>
      <w:bookmarkStart w:id="6816" w:name="_Toc417548381"/>
      <w:bookmarkStart w:id="6817" w:name="_Toc417594624"/>
    </w:p>
    <w:tbl>
      <w:tblPr>
        <w:tblStyle w:val="PlainTable11"/>
        <w:tblW w:w="0" w:type="auto"/>
        <w:tblLook w:val="04A0" w:firstRow="1" w:lastRow="0" w:firstColumn="1" w:lastColumn="0" w:noHBand="0" w:noVBand="1"/>
      </w:tblPr>
      <w:tblGrid>
        <w:gridCol w:w="3176"/>
        <w:gridCol w:w="6174"/>
      </w:tblGrid>
      <w:tr w:rsidR="00225C52" w14:paraId="5B94B68D" w14:textId="77777777" w:rsidTr="00BF7F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06A0A2DD" w14:textId="77777777" w:rsidR="00225C52" w:rsidRPr="00F47607" w:rsidRDefault="00225C52" w:rsidP="004858A8">
            <w:pPr>
              <w:spacing w:line="240" w:lineRule="auto"/>
              <w:rPr>
                <w:color w:val="FFFFFF"/>
              </w:rPr>
            </w:pPr>
            <w:r>
              <w:rPr>
                <w:color w:val="FFFFFF"/>
              </w:rPr>
              <w:t>Feature References</w:t>
            </w:r>
          </w:p>
        </w:tc>
      </w:tr>
      <w:tr w:rsidR="00225C52" w:rsidRPr="00BF7F28" w14:paraId="56EB0BAE"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732C16E3" w14:textId="33397166" w:rsidR="00225C52" w:rsidRPr="00BF7F28" w:rsidRDefault="00236412" w:rsidP="004858A8">
            <w:pPr>
              <w:spacing w:line="240" w:lineRule="auto"/>
              <w:rPr>
                <w:sz w:val="20"/>
                <w:szCs w:val="18"/>
              </w:rPr>
            </w:pPr>
            <w:r>
              <w:rPr>
                <w:sz w:val="20"/>
                <w:szCs w:val="18"/>
              </w:rPr>
              <w:t xml:space="preserve">Azure </w:t>
            </w:r>
            <w:r w:rsidRPr="00BF7F28">
              <w:rPr>
                <w:sz w:val="20"/>
                <w:szCs w:val="18"/>
              </w:rPr>
              <w:t>Automation platform comparison and reference</w:t>
            </w:r>
          </w:p>
        </w:tc>
        <w:tc>
          <w:tcPr>
            <w:tcW w:w="5940" w:type="dxa"/>
          </w:tcPr>
          <w:p w14:paraId="7D76F03B" w14:textId="02D88DBE" w:rsidR="00576A32" w:rsidRPr="00236412" w:rsidRDefault="00872E47" w:rsidP="00576A32">
            <w:pPr>
              <w:cnfStyle w:val="000000100000" w:firstRow="0" w:lastRow="0" w:firstColumn="0" w:lastColumn="0" w:oddVBand="0" w:evenVBand="0" w:oddHBand="1" w:evenHBand="0" w:firstRowFirstColumn="0" w:firstRowLastColumn="0" w:lastRowFirstColumn="0" w:lastRowLastColumn="0"/>
              <w:rPr>
                <w:sz w:val="20"/>
                <w:szCs w:val="18"/>
              </w:rPr>
            </w:pPr>
            <w:hyperlink r:id="rId583" w:history="1">
              <w:r w:rsidR="00576A32" w:rsidRPr="00236412">
                <w:rPr>
                  <w:rStyle w:val="Hyperlink"/>
                  <w:sz w:val="20"/>
                  <w:szCs w:val="18"/>
                </w:rPr>
                <w:t>https://msdn.microsoft.com/en-us/library/azure/dn643629.aspx</w:t>
              </w:r>
            </w:hyperlink>
          </w:p>
        </w:tc>
      </w:tr>
      <w:tr w:rsidR="00796F4E" w:rsidRPr="00BF7F28" w14:paraId="7CF2BE85" w14:textId="77777777" w:rsidTr="00BF7F28">
        <w:tc>
          <w:tcPr>
            <w:cnfStyle w:val="001000000000" w:firstRow="0" w:lastRow="0" w:firstColumn="1" w:lastColumn="0" w:oddVBand="0" w:evenVBand="0" w:oddHBand="0" w:evenHBand="0" w:firstRowFirstColumn="0" w:firstRowLastColumn="0" w:lastRowFirstColumn="0" w:lastRowLastColumn="0"/>
            <w:tcW w:w="3420" w:type="dxa"/>
          </w:tcPr>
          <w:p w14:paraId="5AE1C053" w14:textId="73CA512E" w:rsidR="00796F4E" w:rsidRPr="00BF7F28" w:rsidRDefault="00796F4E" w:rsidP="004858A8">
            <w:pPr>
              <w:spacing w:line="240" w:lineRule="auto"/>
              <w:rPr>
                <w:sz w:val="20"/>
                <w:szCs w:val="18"/>
              </w:rPr>
            </w:pPr>
            <w:r>
              <w:rPr>
                <w:sz w:val="20"/>
                <w:szCs w:val="18"/>
              </w:rPr>
              <w:t>Azure Automation Overview</w:t>
            </w:r>
          </w:p>
        </w:tc>
        <w:tc>
          <w:tcPr>
            <w:tcW w:w="5940" w:type="dxa"/>
          </w:tcPr>
          <w:p w14:paraId="219C1C34" w14:textId="1C507C1A" w:rsidR="00796F4E" w:rsidRPr="00236412" w:rsidRDefault="00872E47" w:rsidP="00576A32">
            <w:pPr>
              <w:cnfStyle w:val="000000000000" w:firstRow="0" w:lastRow="0" w:firstColumn="0" w:lastColumn="0" w:oddVBand="0" w:evenVBand="0" w:oddHBand="0" w:evenHBand="0" w:firstRowFirstColumn="0" w:firstRowLastColumn="0" w:lastRowFirstColumn="0" w:lastRowLastColumn="0"/>
              <w:rPr>
                <w:sz w:val="20"/>
              </w:rPr>
            </w:pPr>
            <w:hyperlink r:id="rId584" w:history="1">
              <w:r w:rsidR="00236412" w:rsidRPr="00236412">
                <w:rPr>
                  <w:rStyle w:val="Hyperlink"/>
                  <w:rFonts w:eastAsiaTheme="minorHAnsi" w:cs="Segoe UI"/>
                  <w:sz w:val="20"/>
                  <w:szCs w:val="20"/>
                </w:rPr>
                <w:t>https://azure.microsoft.com/en-us/documentation/articles/automation-intro/</w:t>
              </w:r>
            </w:hyperlink>
            <w:r w:rsidR="00236412" w:rsidRPr="00236412">
              <w:rPr>
                <w:rFonts w:eastAsiaTheme="minorHAnsi" w:cs="Segoe UI"/>
                <w:color w:val="000000"/>
                <w:sz w:val="20"/>
                <w:szCs w:val="20"/>
              </w:rPr>
              <w:t xml:space="preserve"> </w:t>
            </w:r>
          </w:p>
        </w:tc>
      </w:tr>
      <w:tr w:rsidR="00225C52" w:rsidRPr="00BF7F28" w14:paraId="36740EA0"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122C02FB" w14:textId="3C76FAC3" w:rsidR="00225C52" w:rsidRPr="00BF7F28" w:rsidRDefault="005A385F" w:rsidP="004858A8">
            <w:pPr>
              <w:spacing w:line="240" w:lineRule="auto"/>
              <w:rPr>
                <w:sz w:val="20"/>
              </w:rPr>
            </w:pPr>
            <w:r w:rsidRPr="00BF7F28">
              <w:rPr>
                <w:sz w:val="20"/>
                <w:szCs w:val="18"/>
              </w:rPr>
              <w:t>Azure Automation E-book</w:t>
            </w:r>
          </w:p>
        </w:tc>
        <w:tc>
          <w:tcPr>
            <w:tcW w:w="5940" w:type="dxa"/>
          </w:tcPr>
          <w:p w14:paraId="3D7B18D2" w14:textId="4086415F" w:rsidR="00576A32" w:rsidRPr="00236412" w:rsidRDefault="00872E47" w:rsidP="00576A32">
            <w:pPr>
              <w:cnfStyle w:val="000000100000" w:firstRow="0" w:lastRow="0" w:firstColumn="0" w:lastColumn="0" w:oddVBand="0" w:evenVBand="0" w:oddHBand="1" w:evenHBand="0" w:firstRowFirstColumn="0" w:firstRowLastColumn="0" w:lastRowFirstColumn="0" w:lastRowLastColumn="0"/>
              <w:rPr>
                <w:sz w:val="20"/>
              </w:rPr>
            </w:pPr>
            <w:hyperlink r:id="rId585" w:history="1">
              <w:r w:rsidR="00576A32" w:rsidRPr="00236412">
                <w:rPr>
                  <w:rStyle w:val="Hyperlink"/>
                  <w:sz w:val="20"/>
                  <w:szCs w:val="18"/>
                </w:rPr>
                <w:t>http://blogs.msdn.com/b/microsoft_press/archive/2015/03/11/free-ebook-microsoft-azure-essentials-azure-automation.aspx</w:t>
              </w:r>
            </w:hyperlink>
          </w:p>
        </w:tc>
      </w:tr>
      <w:tr w:rsidR="00796F4E" w:rsidRPr="00BF7F28" w14:paraId="5676EE38" w14:textId="77777777" w:rsidTr="00BF7F28">
        <w:tc>
          <w:tcPr>
            <w:cnfStyle w:val="001000000000" w:firstRow="0" w:lastRow="0" w:firstColumn="1" w:lastColumn="0" w:oddVBand="0" w:evenVBand="0" w:oddHBand="0" w:evenHBand="0" w:firstRowFirstColumn="0" w:firstRowLastColumn="0" w:lastRowFirstColumn="0" w:lastRowLastColumn="0"/>
            <w:tcW w:w="3420" w:type="dxa"/>
          </w:tcPr>
          <w:p w14:paraId="51CFD512" w14:textId="159A2621" w:rsidR="00796F4E" w:rsidRPr="00BF7F28" w:rsidRDefault="00796F4E" w:rsidP="004858A8">
            <w:pPr>
              <w:spacing w:line="240" w:lineRule="auto"/>
              <w:rPr>
                <w:sz w:val="20"/>
                <w:szCs w:val="18"/>
              </w:rPr>
            </w:pPr>
            <w:r>
              <w:rPr>
                <w:sz w:val="20"/>
                <w:szCs w:val="18"/>
              </w:rPr>
              <w:t>Azure Automation Training</w:t>
            </w:r>
          </w:p>
        </w:tc>
        <w:tc>
          <w:tcPr>
            <w:tcW w:w="5940" w:type="dxa"/>
          </w:tcPr>
          <w:p w14:paraId="2D2DF0AD" w14:textId="3B8BEC60" w:rsidR="00796F4E" w:rsidRPr="00236412" w:rsidRDefault="00872E47" w:rsidP="00576A32">
            <w:pPr>
              <w:cnfStyle w:val="000000000000" w:firstRow="0" w:lastRow="0" w:firstColumn="0" w:lastColumn="0" w:oddVBand="0" w:evenVBand="0" w:oddHBand="0" w:evenHBand="0" w:firstRowFirstColumn="0" w:firstRowLastColumn="0" w:lastRowFirstColumn="0" w:lastRowLastColumn="0"/>
              <w:rPr>
                <w:sz w:val="20"/>
              </w:rPr>
            </w:pPr>
            <w:hyperlink r:id="rId586" w:history="1">
              <w:r w:rsidR="00236412" w:rsidRPr="00236412">
                <w:rPr>
                  <w:rStyle w:val="Hyperlink"/>
                  <w:sz w:val="20"/>
                </w:rPr>
                <w:t>https://www.microsoftvirtualacademy.com/en-US/training-courses/automating-the-cloud-with-azure-automation-8323</w:t>
              </w:r>
            </w:hyperlink>
            <w:r w:rsidR="00236412" w:rsidRPr="00236412">
              <w:rPr>
                <w:sz w:val="20"/>
              </w:rPr>
              <w:t xml:space="preserve"> </w:t>
            </w:r>
          </w:p>
        </w:tc>
      </w:tr>
      <w:tr w:rsidR="00796F4E" w:rsidRPr="00BF7F28" w14:paraId="3A6D3F55"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012EF9F6" w14:textId="01299A10" w:rsidR="00796F4E" w:rsidRDefault="00BB381A" w:rsidP="004858A8">
            <w:pPr>
              <w:spacing w:line="240" w:lineRule="auto"/>
              <w:rPr>
                <w:sz w:val="20"/>
                <w:szCs w:val="18"/>
              </w:rPr>
            </w:pPr>
            <w:r>
              <w:rPr>
                <w:sz w:val="20"/>
                <w:szCs w:val="18"/>
              </w:rPr>
              <w:t>Hybrid Runbook Workers</w:t>
            </w:r>
          </w:p>
        </w:tc>
        <w:tc>
          <w:tcPr>
            <w:tcW w:w="5940" w:type="dxa"/>
          </w:tcPr>
          <w:p w14:paraId="023806E5" w14:textId="75561D88" w:rsidR="00796F4E" w:rsidRPr="00236412" w:rsidRDefault="00872E47" w:rsidP="00576A32">
            <w:pPr>
              <w:cnfStyle w:val="000000100000" w:firstRow="0" w:lastRow="0" w:firstColumn="0" w:lastColumn="0" w:oddVBand="0" w:evenVBand="0" w:oddHBand="1" w:evenHBand="0" w:firstRowFirstColumn="0" w:firstRowLastColumn="0" w:lastRowFirstColumn="0" w:lastRowLastColumn="0"/>
              <w:rPr>
                <w:sz w:val="20"/>
              </w:rPr>
            </w:pPr>
            <w:hyperlink r:id="rId587" w:history="1">
              <w:r w:rsidR="00236412" w:rsidRPr="00236412">
                <w:rPr>
                  <w:rStyle w:val="Hyperlink"/>
                  <w:rFonts w:eastAsiaTheme="minorHAnsi" w:cs="Segoe UI"/>
                  <w:sz w:val="20"/>
                  <w:szCs w:val="20"/>
                </w:rPr>
                <w:t>https://azure.microsoft.com/en-us/documentation/articles/automation-hybrid-runbook-worker/</w:t>
              </w:r>
            </w:hyperlink>
            <w:r w:rsidR="00236412" w:rsidRPr="00236412">
              <w:rPr>
                <w:rFonts w:eastAsiaTheme="minorHAnsi" w:cs="Segoe UI"/>
                <w:color w:val="000000"/>
                <w:sz w:val="20"/>
                <w:szCs w:val="20"/>
              </w:rPr>
              <w:t xml:space="preserve"> </w:t>
            </w:r>
          </w:p>
        </w:tc>
      </w:tr>
    </w:tbl>
    <w:p w14:paraId="3F7654C8" w14:textId="77777777" w:rsidR="00225C52" w:rsidRDefault="00225C52" w:rsidP="00225C52"/>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225C52" w14:paraId="11C1B881" w14:textId="77777777" w:rsidTr="004858A8">
        <w:trPr>
          <w:trHeight w:val="423"/>
        </w:trPr>
        <w:tc>
          <w:tcPr>
            <w:tcW w:w="666" w:type="dxa"/>
          </w:tcPr>
          <w:p w14:paraId="399F3FF1" w14:textId="77777777" w:rsidR="00225C52" w:rsidRDefault="00225C52" w:rsidP="004858A8">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2907D32F" wp14:editId="0FA92636">
                      <wp:extent cx="200025" cy="180975"/>
                      <wp:effectExtent l="57150" t="19050" r="28575" b="104775"/>
                      <wp:docPr id="41030" name="Octagon 41030"/>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BBD777E" id="Octagon 41030"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bocwIAAFIFAAAOAAAAZHJzL2Uyb0RvYy54bWysVN1r2zAQfx/sfxB6X22n6dqGOCWkdAxK&#10;W9aOPiuylAgknSYpcbK/fifZcUJXKIy92He67999TG92RpOt8EGBrWl1VlIiLIdG2VVNf77cfbmi&#10;JERmG6bBipruRaA3s8+fpq2biBGsQTfCE3Riw6R1NV3H6CZFEfhaGBbOwAmLQgnesIisXxWNZy16&#10;N7oYleXXogXfOA9chICvt52QzrJ/KQWPj1IGEYmuKeYW89fn7zJ9i9mUTVaeubXifRrsH7IwTFkM&#10;Ori6ZZGRjVd/uTKKewgg4xkHU4CUiotcA1ZTlW+qeV4zJ3ItCE5wA0zh/7nlD9snT1RT03FVniNC&#10;lhls0yOPbAWWdI8IUuvCBHWf3ZPvuYBkqngnvUl/rIXsMrD7AVixi4TjI3aqHF1QwlFUXZXXlxcJ&#10;+OJo7HyI3wQYkoiaQhc+I8q29yF22getFC6AVs2d0jozfrVcaE+2DNu8WGC03FkMcKJWpBq6rDMV&#10;91okY21/CIkQYJ5VjpiHTwz+GOfCxlGfcdZOZhJjD4bnHxv2+slU5MEcjEcfGw8WOTLYOBgbZcG/&#10;50DHqk9ZdvoI+EndiVxCs8fue+jWIjh+pxD/exbiE/O4BzgPuNvxET9SQ4uN6SlK1uB/v/ee9HE8&#10;UUpJi3tV0/Brw7ygRH+3OLjX1XicFjEz44vLETL+VLI8ldiNWQD2tMIr4ngmk37UB1J6MK94AuYp&#10;KoqY5Ri7pjz6A7OI3b7jEeFiPs9quHyOxXv77Pih62m4XnavzLt+CCNO7wMcdpBN3gxip5v6YWG+&#10;iSBVntIjrj3euLh51Psjky7DKZ+1jqdw9gc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AH5/bo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2D64DEBD" w14:textId="50EA3985" w:rsidR="00225C52" w:rsidRDefault="00225C52" w:rsidP="00357281">
            <w:pPr>
              <w:rPr>
                <w:lang w:eastAsia="en-US"/>
              </w:rPr>
            </w:pPr>
            <w:r w:rsidRPr="00192064">
              <w:rPr>
                <w:b/>
                <w:lang w:eastAsia="en-US"/>
              </w:rPr>
              <w:t>Mandatory</w:t>
            </w:r>
            <w:r>
              <w:rPr>
                <w:lang w:eastAsia="en-US"/>
              </w:rPr>
              <w:t xml:space="preserve">:  </w:t>
            </w:r>
            <w:r w:rsidR="00236412">
              <w:rPr>
                <w:lang w:eastAsia="en-US"/>
              </w:rPr>
              <w:t>Azure Automation solutions cannot leverage on-premises resources that are not exposed publicly</w:t>
            </w:r>
            <w:r w:rsidR="00357281">
              <w:rPr>
                <w:lang w:eastAsia="en-US"/>
              </w:rPr>
              <w:t>.</w:t>
            </w:r>
          </w:p>
        </w:tc>
      </w:tr>
      <w:tr w:rsidR="00225C52" w14:paraId="2F3EBC3C" w14:textId="77777777" w:rsidTr="004858A8">
        <w:trPr>
          <w:trHeight w:val="423"/>
        </w:trPr>
        <w:tc>
          <w:tcPr>
            <w:tcW w:w="666" w:type="dxa"/>
          </w:tcPr>
          <w:p w14:paraId="7379CB50" w14:textId="77777777" w:rsidR="00225C52" w:rsidRDefault="00225C52" w:rsidP="004858A8">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616256" behindDoc="0" locked="0" layoutInCell="1" allowOverlap="1" wp14:anchorId="4D590245" wp14:editId="672BA7C7">
                      <wp:simplePos x="0" y="0"/>
                      <wp:positionH relativeFrom="column">
                        <wp:posOffset>66675</wp:posOffset>
                      </wp:positionH>
                      <wp:positionV relativeFrom="paragraph">
                        <wp:posOffset>90170</wp:posOffset>
                      </wp:positionV>
                      <wp:extent cx="209550" cy="180975"/>
                      <wp:effectExtent l="57150" t="19050" r="57150" b="104775"/>
                      <wp:wrapNone/>
                      <wp:docPr id="41120" name="Isosceles Triangle 41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72DE4A6B" id="Isosceles Triangle 41120" o:spid="_x0000_s1026" type="#_x0000_t5" style="position:absolute;margin-left:5.25pt;margin-top:7.1pt;width:16.5pt;height:14.2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gcZiAIAAHcFAAAOAAAAZHJzL2Uyb0RvYy54bWysVFtr2zAUfh/sPwi9r7azpBdTp4SWjELo&#10;ytrRZ0WWEjFZR5OUONmv35F8adcVCmN+EJLPd+7fOZdXh0aTvXBegalocZJTIgyHWplNRb8/Lj+d&#10;U+IDMzXTYERFj8LTq/nHD5etLcUEtqBr4QgaMb5sbUW3Idgyyzzfiob5E7DCoFCCa1jAp9tktWMt&#10;Wm90Nsnz06wFV1sHXHiPf286IZ0n+1IKHr5K6UUguqIYW0inS+c6ntn8kpUbx+xW8T4M9g9RNEwZ&#10;dDqaumGBkZ1Tf5lqFHfgQYYTDk0GUiouUg6YTZG/yuZhy6xIuWBxvB3L5P+fWX63v3dE1RWdFsUE&#10;K2RYg2269eC50MKTR6eY2WhBOjnWq7W+RLUHe+9ixt6ugP/wKMj+kMSH7zEH6ZqIxXzJIRX/OBZf&#10;HALh+HOSX8xmGABHUXGeX5zNYnMyVg7K1vnwRUBD4qWioQ8slZ3tVz508AGWYgOt6qXSOj3cZn2t&#10;Hdkz5MISvzy1Hz34Z1jKoQs7JRCOWkRlbb4JiXXCQIvkMTFUjPYY58KE0z7khI5qEn2Pip/fV+zx&#10;UVUk9o7Kk/eVR43kGUwYlRtlwL1lQIeiD1l2+L6Lvss7lmAN9REp4qCbHW/5UmEDVsyHe+ZwWLBn&#10;uADCVzykhrai0N8o2YL79db/iEcOo5SSFoevov7njjlBib41yO6LYjqN05oe09lZJKZ7KVm/lJhd&#10;cw3Y0wJXjeXpGvFBD1fpoHnCPbGIXlHEDEffFeXBDY/r0C0F3DRcLBYJhhNqWViZB8uHrkdyPR6e&#10;mLMDC5G+dzAMKitfEbHDxn4YWOwCSJVY+lzXvt443Ynr/SaK6+PlO6Ge9+X8NwAAAP//AwBQSwME&#10;FAAGAAgAAAAhADU8QjDZAAAABwEAAA8AAABkcnMvZG93bnJldi54bWxMjs1OwzAQhO9IvIO1SFxQ&#10;65CGtgpxKoSSI6ooPIATb36EvY5itw1vz3KC02g0o5mvOCzOigvOYfSk4HGdgEBqvRmpV/D5Ua/2&#10;IELUZLT1hAq+McChvL0pdG78ld7xcoq94BEKuVYwxDjlUoZ2QKfD2k9InHV+djqynXtpZn3lcWdl&#10;miRb6fRI/DDoCV8HbL9OZ6fAN8ux29S7/UPtJvvWVVXmjpVS93fLyzOIiEv8K8MvPqNDyUyNP5MJ&#10;wrJPnrjJmqUgOM827BvWdAeyLOR//vIHAAD//wMAUEsBAi0AFAAGAAgAAAAhALaDOJL+AAAA4QEA&#10;ABMAAAAAAAAAAAAAAAAAAAAAAFtDb250ZW50X1R5cGVzXS54bWxQSwECLQAUAAYACAAAACEAOP0h&#10;/9YAAACUAQAACwAAAAAAAAAAAAAAAAAvAQAAX3JlbHMvLnJlbHNQSwECLQAUAAYACAAAACEA3e4H&#10;GYgCAAB3BQAADgAAAAAAAAAAAAAAAAAuAgAAZHJzL2Uyb0RvYy54bWxQSwECLQAUAAYACAAAACEA&#10;NTxCMNkAAAAHAQAADwAAAAAAAAAAAAAAAADiBAAAZHJzL2Rvd25yZXYueG1sUEsFBgAAAAAEAAQA&#10;8wAAAOgFAAAAAA==&#10;" fillcolor="yellow" strokecolor="#70ad47 [3209]" strokeweight=".5pt">
                      <v:path arrowok="t"/>
                    </v:shape>
                  </w:pict>
                </mc:Fallback>
              </mc:AlternateContent>
            </w:r>
          </w:p>
        </w:tc>
        <w:tc>
          <w:tcPr>
            <w:tcW w:w="8604" w:type="dxa"/>
          </w:tcPr>
          <w:p w14:paraId="2279A1BE" w14:textId="7C1A426E" w:rsidR="00225C52" w:rsidRDefault="00225C52" w:rsidP="00357281">
            <w:pPr>
              <w:rPr>
                <w:lang w:eastAsia="en-US"/>
              </w:rPr>
            </w:pPr>
            <w:r>
              <w:rPr>
                <w:rFonts w:eastAsiaTheme="minorHAnsi"/>
                <w:b/>
                <w:lang w:eastAsia="en-US"/>
              </w:rPr>
              <w:t xml:space="preserve">Recommended: </w:t>
            </w:r>
            <w:r>
              <w:rPr>
                <w:rFonts w:eastAsiaTheme="minorHAnsi"/>
                <w:lang w:eastAsia="en-US"/>
              </w:rPr>
              <w:t xml:space="preserve"> </w:t>
            </w:r>
            <w:r w:rsidR="00236412">
              <w:rPr>
                <w:rFonts w:eastAsiaTheme="minorHAnsi"/>
                <w:lang w:eastAsia="en-US"/>
              </w:rPr>
              <w:t>Azure Automation based solutions should contain checkpoints for long-running runbooks and workflows. This allows for more intelligent recovery should a runbook fail.</w:t>
            </w:r>
          </w:p>
        </w:tc>
      </w:tr>
      <w:tr w:rsidR="00225C52" w14:paraId="51C18272" w14:textId="77777777" w:rsidTr="004858A8">
        <w:trPr>
          <w:trHeight w:val="423"/>
        </w:trPr>
        <w:tc>
          <w:tcPr>
            <w:tcW w:w="666" w:type="dxa"/>
          </w:tcPr>
          <w:p w14:paraId="586E8B0A" w14:textId="77777777" w:rsidR="00225C52" w:rsidRDefault="00225C52" w:rsidP="004858A8">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621376" behindDoc="0" locked="0" layoutInCell="1" allowOverlap="1" wp14:anchorId="536ED413" wp14:editId="10D0660C">
                      <wp:simplePos x="0" y="0"/>
                      <wp:positionH relativeFrom="column">
                        <wp:posOffset>66675</wp:posOffset>
                      </wp:positionH>
                      <wp:positionV relativeFrom="paragraph">
                        <wp:posOffset>90170</wp:posOffset>
                      </wp:positionV>
                      <wp:extent cx="180975" cy="180975"/>
                      <wp:effectExtent l="57150" t="19050" r="9525" b="104775"/>
                      <wp:wrapNone/>
                      <wp:docPr id="41123" name="Oval 411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38D81AAB" id="Oval 41123" o:spid="_x0000_s1026" style="position:absolute;margin-left:5.25pt;margin-top:7.1pt;width:14.25pt;height:14.2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LEDfgIAAGgFAAAOAAAAZHJzL2Uyb0RvYy54bWysVN9P2zAQfp+0/8Hy+0hSyoCIFHUgpkkV&#10;oMHEs+vYrTXb59lu0+6v39lJAxuTkKa9WD7fdz/93V1c7owmW+GDAtvQ6qikRFgOrbKrhn57vPlw&#10;RkmIzLZMgxUN3YtAL2fv3110rhYTWINuhSfoxIa6cw1dx+jqogh8LQwLR+CERaUEb1hE0a+K1rMO&#10;vRtdTMryY9GBb50HLkLA1+teSWfZv5SCxzspg4hENxRzi/n0+Vyms5hdsHrlmVsrPqTB/iELw5TF&#10;oKOraxYZ2Xj1ypVR3EMAGY84mAKkVFzkGrCaqvyjmoc1cyLXgs0JbmxT+H9u+e323hPVNnRaVZNj&#10;Siwz+E13W6ZJ/4Id6lyoEfjg7n2qMbgF8O8BFcVvmiSEAbOT3iQsVkh2ud37sd1iFwnHx+qsPD89&#10;oYSjargnn6w+GDsf4mcBhqRLQ4XWyoXUEFaz7SLEHn1A5dRAq/ZGaZ0Fv1peaU+wFoxdfipP8n9j&#10;gPAMyyX0Wef8416LZKztVyGxMSnPHDFTUoz+GOfCxuNEIHSY0clMYuzR8PhtwwGfTEWm62g8edt4&#10;tMiRwcbR2CgL/m8OdKyGlGWPHz4x9HWnFiyh3SMnPPTDEhy/Udj/BQvxnnmcDpwjnPh4h4fU0DUU&#10;hhsla/A///ae8Eha1FLS4bQ1NPzYMC8o0V8s0vm8mk7TeGZhenI6QcG/1CxfauzGXAH+aYW7xfF8&#10;TfioD1fpwTzhYpinqKhilmPshvLoD8JV7LcArhYu5vMMw5F0LC7sg+OHX0/ketw9Me8GEkZk7y0c&#10;JvMVEXts+g8L800EqTJLn/s69BvHORNnWD1pX7yUM+p5Qc5+AQAA//8DAFBLAwQUAAYACAAAACEA&#10;whqfIt4AAAAHAQAADwAAAGRycy9kb3ducmV2LnhtbEyPQUvDQBCF74L/YRnBi9hNYqs2ZlNEEBS9&#10;mFbU2zQ7JsHsbMhu2/jvHU96Gh7v8eZ7xWpyvdrTGDrPBtJZAoq49rbjxsBmfX9+DSpEZIu9ZzLw&#10;TQFW5fFRgbn1B36hfRUbJSUccjTQxjjkWoe6JYdh5gdi8T796DCKHBttRzxIuet1liSX2mHH8qHF&#10;ge5aqr+qnTPwUW2e3Tp9cm+P6cOCzt77JdpXY05PptsbUJGm+BeGX3xBh1KYtn7HNqhedLKQpNx5&#10;Bkr8i6VM2xqYZ1egy0L/5y9/AAAA//8DAFBLAQItABQABgAIAAAAIQC2gziS/gAAAOEBAAATAAAA&#10;AAAAAAAAAAAAAAAAAABbQ29udGVudF9UeXBlc10ueG1sUEsBAi0AFAAGAAgAAAAhADj9If/WAAAA&#10;lAEAAAsAAAAAAAAAAAAAAAAALwEAAF9yZWxzLy5yZWxzUEsBAi0AFAAGAAgAAAAhALGAsQN+AgAA&#10;aAUAAA4AAAAAAAAAAAAAAAAALgIAAGRycy9lMm9Eb2MueG1sUEsBAi0AFAAGAAgAAAAhAMIanyLe&#10;AAAABwEAAA8AAAAAAAAAAAAAAAAA2AQAAGRycy9kb3ducmV2LnhtbFBLBQYAAAAABAAEAPMAAADj&#10;BQAAAAA=&#10;" fillcolor="#00b050" strokecolor="#a5a5a5 [3206]" strokeweight=".5pt">
                      <v:stroke joinstyle="miter"/>
                      <v:path arrowok="t"/>
                    </v:oval>
                  </w:pict>
                </mc:Fallback>
              </mc:AlternateContent>
            </w:r>
          </w:p>
        </w:tc>
        <w:tc>
          <w:tcPr>
            <w:tcW w:w="8604" w:type="dxa"/>
          </w:tcPr>
          <w:p w14:paraId="23D8DDCB" w14:textId="3E071DD9" w:rsidR="00225C52" w:rsidRDefault="00225C52" w:rsidP="00BB381A">
            <w:pPr>
              <w:rPr>
                <w:lang w:eastAsia="en-US"/>
              </w:rPr>
            </w:pPr>
            <w:r>
              <w:rPr>
                <w:rFonts w:eastAsiaTheme="minorHAnsi"/>
                <w:b/>
                <w:lang w:eastAsia="en-US"/>
              </w:rPr>
              <w:t xml:space="preserve">Optional: </w:t>
            </w:r>
            <w:r>
              <w:rPr>
                <w:rFonts w:eastAsiaTheme="minorHAnsi"/>
                <w:lang w:eastAsia="en-US"/>
              </w:rPr>
              <w:t xml:space="preserve"> </w:t>
            </w:r>
            <w:r w:rsidR="00236412" w:rsidRPr="00A50DDD">
              <w:rPr>
                <w:rFonts w:eastAsiaTheme="minorHAnsi"/>
                <w:lang w:eastAsia="en-US"/>
              </w:rPr>
              <w:t>An A</w:t>
            </w:r>
            <w:r w:rsidR="00236412">
              <w:rPr>
                <w:rFonts w:eastAsiaTheme="minorHAnsi"/>
                <w:lang w:eastAsia="en-US"/>
              </w:rPr>
              <w:t>zure Automation based solution can be developed locally with the PowerShell ISE because it follows the same design patterns as PowerShell workflows</w:t>
            </w:r>
            <w:r w:rsidR="00BB381A">
              <w:rPr>
                <w:rFonts w:eastAsiaTheme="minorHAnsi"/>
                <w:lang w:eastAsia="en-US"/>
              </w:rPr>
              <w:t>.</w:t>
            </w:r>
          </w:p>
        </w:tc>
      </w:tr>
    </w:tbl>
    <w:p w14:paraId="07B6371E" w14:textId="77777777" w:rsidR="00225C52" w:rsidRDefault="00225C52" w:rsidP="00225C52"/>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225C52" w14:paraId="1DB173AF" w14:textId="77777777" w:rsidTr="004858A8">
        <w:tc>
          <w:tcPr>
            <w:tcW w:w="9360" w:type="dxa"/>
            <w:shd w:val="clear" w:color="auto" w:fill="008AC8"/>
          </w:tcPr>
          <w:p w14:paraId="746D3C5B" w14:textId="77777777" w:rsidR="00225C52" w:rsidRPr="00F47607" w:rsidRDefault="00225C52" w:rsidP="004858A8">
            <w:pPr>
              <w:spacing w:line="240" w:lineRule="auto"/>
              <w:rPr>
                <w:color w:val="FFFFFF"/>
              </w:rPr>
            </w:pPr>
            <w:r>
              <w:rPr>
                <w:color w:val="FFFFFF"/>
              </w:rPr>
              <w:t>Design Guidance</w:t>
            </w:r>
          </w:p>
        </w:tc>
      </w:tr>
    </w:tbl>
    <w:p w14:paraId="24AF490F" w14:textId="77777777" w:rsidR="00236412" w:rsidRDefault="00236412" w:rsidP="00236412">
      <w:r>
        <w:t xml:space="preserve">Azure Automation is a platform to create, manage, and execute automation for various Azure components. There are a number of design considerations, particularly for solutions that will span on-premises resources and Azure. </w:t>
      </w:r>
    </w:p>
    <w:p w14:paraId="739288DB" w14:textId="77777777" w:rsidR="00236412" w:rsidRDefault="00236412" w:rsidP="00236412">
      <w:r>
        <w:t xml:space="preserve">One challenge is that Azure Automation cannot leverage on-premises resources that are not accessible over the Internet. This can be a significant limitation for hybrid deployments, or deployments that are fully cloud-based, but use existing on-premises management tools (such as antivirus and monitoring tools). </w:t>
      </w:r>
    </w:p>
    <w:p w14:paraId="5799338A" w14:textId="77777777" w:rsidR="00236412" w:rsidRDefault="00236412" w:rsidP="00236412">
      <w:r>
        <w:t xml:space="preserve">Note that Azure Automation cannot access Orchestrator or SMA runbooks. This can be a significant design consideration if an existing investment in automation platforms is required. </w:t>
      </w:r>
    </w:p>
    <w:p w14:paraId="618686C5" w14:textId="2B5B2A3F" w:rsidR="00225C52" w:rsidRDefault="00236412" w:rsidP="00236412">
      <w:r>
        <w:t>Whether it is self-hosted in Azure or on-premises, these platforms cannot be leveraged for a hybrid automation solution. Typically, Azure Automation would be used in a scenario to deploy or manipulate Azure resources, while additional automation could be used for post-provisioning automation actions when existing automation runbooks already exist for an on-premises resource configuration. Solution designs that require both automation environments should consider the tradeoffs associated with complex or multiple automation solutions</w:t>
      </w:r>
      <w:r w:rsidR="00BB381A">
        <w:t>.</w:t>
      </w:r>
      <w:r w:rsidR="00A047B6">
        <w:t xml:space="preserve"> </w:t>
      </w:r>
    </w:p>
    <w:p w14:paraId="6E8E13BB" w14:textId="77777777" w:rsidR="00225C52" w:rsidRDefault="00225C52" w:rsidP="00225C52"/>
    <w:tbl>
      <w:tblPr>
        <w:tblW w:w="9355"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29" w:type="dxa"/>
          <w:bottom w:w="29" w:type="dxa"/>
        </w:tblCellMar>
        <w:tblLook w:val="04A0" w:firstRow="1" w:lastRow="0" w:firstColumn="1" w:lastColumn="0" w:noHBand="0" w:noVBand="1"/>
      </w:tblPr>
      <w:tblGrid>
        <w:gridCol w:w="2965"/>
        <w:gridCol w:w="2787"/>
        <w:gridCol w:w="3603"/>
      </w:tblGrid>
      <w:tr w:rsidR="00225C52" w14:paraId="1D95A402" w14:textId="77777777" w:rsidTr="00BF7F28">
        <w:tc>
          <w:tcPr>
            <w:tcW w:w="2965" w:type="dxa"/>
            <w:tcBorders>
              <w:top w:val="single" w:sz="4" w:space="0" w:color="A5A5A5"/>
              <w:left w:val="single" w:sz="4" w:space="0" w:color="A5A5A5"/>
              <w:bottom w:val="single" w:sz="4" w:space="0" w:color="A5A5A5"/>
              <w:right w:val="nil"/>
            </w:tcBorders>
            <w:shd w:val="clear" w:color="auto" w:fill="808080" w:themeFill="background1" w:themeFillShade="80"/>
            <w:hideMark/>
          </w:tcPr>
          <w:p w14:paraId="5B97E318" w14:textId="77777777" w:rsidR="00225C52" w:rsidRPr="00F47607" w:rsidRDefault="00225C52" w:rsidP="004858A8">
            <w:pPr>
              <w:spacing w:line="240" w:lineRule="auto"/>
              <w:rPr>
                <w:rFonts w:ascii="Times New Roman" w:hAnsi="Times New Roman"/>
                <w:b/>
                <w:bCs/>
                <w:color w:val="FFFFFF"/>
                <w:lang w:val="en-AU" w:eastAsia="en-AU"/>
              </w:rPr>
            </w:pPr>
            <w:r w:rsidRPr="00F47607">
              <w:rPr>
                <w:rFonts w:eastAsia="Calibri"/>
                <w:b/>
                <w:bCs/>
                <w:color w:val="FFFFFF"/>
                <w:lang w:val="en-AU" w:eastAsia="en-AU"/>
              </w:rPr>
              <w:t>Scenario</w:t>
            </w:r>
          </w:p>
        </w:tc>
        <w:tc>
          <w:tcPr>
            <w:tcW w:w="2787" w:type="dxa"/>
            <w:tcBorders>
              <w:top w:val="single" w:sz="4" w:space="0" w:color="A5A5A5"/>
              <w:left w:val="nil"/>
              <w:bottom w:val="single" w:sz="4" w:space="0" w:color="A5A5A5"/>
              <w:right w:val="nil"/>
            </w:tcBorders>
            <w:shd w:val="clear" w:color="auto" w:fill="808080" w:themeFill="background1" w:themeFillShade="80"/>
            <w:hideMark/>
          </w:tcPr>
          <w:p w14:paraId="6CEFFACA" w14:textId="77777777" w:rsidR="00225C52" w:rsidRPr="00F47607" w:rsidRDefault="00225C52" w:rsidP="004858A8">
            <w:pPr>
              <w:spacing w:line="240" w:lineRule="auto"/>
              <w:rPr>
                <w:rFonts w:eastAsia="Calibri"/>
                <w:b/>
                <w:color w:val="FFFFFF"/>
                <w:lang w:val="en-AU" w:eastAsia="en-AU"/>
              </w:rPr>
            </w:pPr>
            <w:r>
              <w:rPr>
                <w:rFonts w:eastAsia="Calibri"/>
                <w:b/>
                <w:bCs/>
                <w:color w:val="FFFFFF"/>
                <w:lang w:val="en-AU" w:eastAsia="en-AU"/>
              </w:rPr>
              <w:t>Model</w:t>
            </w:r>
          </w:p>
        </w:tc>
        <w:tc>
          <w:tcPr>
            <w:tcW w:w="3603" w:type="dxa"/>
            <w:tcBorders>
              <w:top w:val="single" w:sz="4" w:space="0" w:color="A5A5A5"/>
              <w:left w:val="nil"/>
              <w:bottom w:val="single" w:sz="4" w:space="0" w:color="A5A5A5"/>
              <w:right w:val="single" w:sz="4" w:space="0" w:color="A5A5A5"/>
            </w:tcBorders>
            <w:shd w:val="clear" w:color="auto" w:fill="808080" w:themeFill="background1" w:themeFillShade="80"/>
            <w:hideMark/>
          </w:tcPr>
          <w:p w14:paraId="4D7506E0" w14:textId="77777777" w:rsidR="00225C52" w:rsidRPr="00F47607" w:rsidRDefault="00225C52" w:rsidP="004858A8">
            <w:pPr>
              <w:spacing w:line="240" w:lineRule="auto"/>
              <w:rPr>
                <w:rFonts w:eastAsia="Calibri"/>
                <w:b/>
                <w:color w:val="FFFFFF"/>
                <w:lang w:val="en-AU" w:eastAsia="en-AU"/>
              </w:rPr>
            </w:pPr>
            <w:r w:rsidRPr="00F47607">
              <w:rPr>
                <w:rFonts w:eastAsia="Calibri"/>
                <w:b/>
                <w:bCs/>
                <w:color w:val="FFFFFF"/>
                <w:lang w:val="en-AU" w:eastAsia="en-AU"/>
              </w:rPr>
              <w:t>Points to Consider</w:t>
            </w:r>
          </w:p>
        </w:tc>
      </w:tr>
      <w:tr w:rsidR="00236412" w14:paraId="7146D373" w14:textId="77777777" w:rsidTr="004858A8">
        <w:tc>
          <w:tcPr>
            <w:tcW w:w="2965" w:type="dxa"/>
            <w:shd w:val="clear" w:color="auto" w:fill="EDEDED"/>
            <w:hideMark/>
          </w:tcPr>
          <w:p w14:paraId="10C19208" w14:textId="2BF02E65" w:rsidR="00236412" w:rsidRPr="00F47607" w:rsidRDefault="00236412" w:rsidP="00236412">
            <w:pPr>
              <w:pStyle w:val="NormalWeb"/>
              <w:rPr>
                <w:rFonts w:ascii="Segoe UI" w:hAnsi="Segoe UI" w:cs="Segoe UI"/>
                <w:sz w:val="20"/>
                <w:szCs w:val="20"/>
                <w:lang w:val="en-AU" w:eastAsia="en-AU"/>
              </w:rPr>
            </w:pPr>
            <w:r>
              <w:rPr>
                <w:rFonts w:ascii="Segoe UI" w:hAnsi="Segoe UI" w:cs="Segoe UI"/>
                <w:b/>
                <w:bCs/>
                <w:sz w:val="20"/>
                <w:szCs w:val="20"/>
                <w:lang w:val="en-AU" w:eastAsia="en-AU"/>
              </w:rPr>
              <w:t>Exclusively using Azure Automation</w:t>
            </w:r>
          </w:p>
        </w:tc>
        <w:tc>
          <w:tcPr>
            <w:tcW w:w="2787" w:type="dxa"/>
            <w:shd w:val="clear" w:color="auto" w:fill="EDEDED"/>
            <w:hideMark/>
          </w:tcPr>
          <w:p w14:paraId="6D0C044F" w14:textId="3B7DC846" w:rsidR="00236412" w:rsidRPr="00F47607" w:rsidRDefault="00236412" w:rsidP="00236412">
            <w:pPr>
              <w:pStyle w:val="NormalWeb"/>
              <w:rPr>
                <w:rFonts w:ascii="Segoe UI" w:hAnsi="Segoe UI" w:cs="Segoe UI"/>
                <w:sz w:val="20"/>
                <w:szCs w:val="20"/>
                <w:lang w:val="en-AU" w:eastAsia="en-AU"/>
              </w:rPr>
            </w:pPr>
            <w:r>
              <w:rPr>
                <w:rFonts w:ascii="Segoe UI" w:hAnsi="Segoe UI" w:cs="Segoe UI"/>
                <w:sz w:val="20"/>
                <w:szCs w:val="20"/>
                <w:lang w:val="en-AU" w:eastAsia="en-AU"/>
              </w:rPr>
              <w:t>Automation environment as a service</w:t>
            </w:r>
          </w:p>
        </w:tc>
        <w:tc>
          <w:tcPr>
            <w:tcW w:w="3603" w:type="dxa"/>
            <w:shd w:val="clear" w:color="auto" w:fill="EDEDED"/>
            <w:hideMark/>
          </w:tcPr>
          <w:p w14:paraId="33225489" w14:textId="77777777" w:rsidR="00236412" w:rsidRPr="00392839" w:rsidRDefault="00236412" w:rsidP="00236412">
            <w:pPr>
              <w:pStyle w:val="NormalWeb"/>
              <w:numPr>
                <w:ilvl w:val="0"/>
                <w:numId w:val="8"/>
              </w:numPr>
              <w:rPr>
                <w:rFonts w:ascii="Segoe UI" w:hAnsi="Segoe UI" w:cs="Segoe UI"/>
                <w:sz w:val="20"/>
                <w:szCs w:val="20"/>
                <w:lang w:val="en-AU" w:eastAsia="en-AU"/>
              </w:rPr>
            </w:pPr>
            <w:r>
              <w:rPr>
                <w:rFonts w:ascii="Segoe UI" w:hAnsi="Segoe UI" w:cs="Segoe UI"/>
                <w:sz w:val="20"/>
                <w:szCs w:val="20"/>
                <w:lang w:val="en-AU" w:eastAsia="en-AU"/>
              </w:rPr>
              <w:t>On-premises resources</w:t>
            </w:r>
          </w:p>
          <w:p w14:paraId="1CF4AABD" w14:textId="4711CA7C" w:rsidR="00236412" w:rsidRPr="00B814EA" w:rsidRDefault="00236412" w:rsidP="00236412">
            <w:pPr>
              <w:pStyle w:val="NormalWeb"/>
              <w:numPr>
                <w:ilvl w:val="0"/>
                <w:numId w:val="8"/>
              </w:numPr>
              <w:rPr>
                <w:rFonts w:ascii="Segoe UI" w:hAnsi="Segoe UI" w:cs="Segoe UI"/>
                <w:sz w:val="20"/>
                <w:szCs w:val="20"/>
                <w:lang w:val="en-AU" w:eastAsia="en-AU"/>
              </w:rPr>
            </w:pPr>
            <w:r>
              <w:rPr>
                <w:rFonts w:ascii="Segoe UI" w:hAnsi="Segoe UI" w:cs="Segoe UI"/>
                <w:sz w:val="20"/>
                <w:szCs w:val="20"/>
                <w:lang w:val="en-AU" w:eastAsia="en-AU"/>
              </w:rPr>
              <w:t>Automation limitations</w:t>
            </w:r>
          </w:p>
        </w:tc>
      </w:tr>
      <w:tr w:rsidR="00236412" w14:paraId="145C03BB" w14:textId="77777777" w:rsidTr="004858A8">
        <w:tc>
          <w:tcPr>
            <w:tcW w:w="2965" w:type="dxa"/>
            <w:shd w:val="clear" w:color="auto" w:fill="auto"/>
            <w:hideMark/>
          </w:tcPr>
          <w:p w14:paraId="452AD05C" w14:textId="453843F0" w:rsidR="00236412" w:rsidRPr="00F47607" w:rsidRDefault="00236412" w:rsidP="00236412">
            <w:pPr>
              <w:pStyle w:val="NormalWeb"/>
              <w:rPr>
                <w:rFonts w:ascii="Segoe UI" w:hAnsi="Segoe UI" w:cs="Segoe UI"/>
                <w:bCs/>
                <w:sz w:val="20"/>
                <w:szCs w:val="20"/>
                <w:lang w:val="en-AU" w:eastAsia="en-AU"/>
              </w:rPr>
            </w:pPr>
            <w:r>
              <w:rPr>
                <w:rFonts w:ascii="Segoe UI" w:hAnsi="Segoe UI" w:cs="Segoe UI"/>
                <w:b/>
                <w:bCs/>
                <w:sz w:val="20"/>
                <w:szCs w:val="20"/>
                <w:lang w:val="en-AU" w:eastAsia="en-AU"/>
              </w:rPr>
              <w:t>Multi-platform environment:  leverage Azure Automation with other platforms</w:t>
            </w:r>
          </w:p>
        </w:tc>
        <w:tc>
          <w:tcPr>
            <w:tcW w:w="2787" w:type="dxa"/>
            <w:shd w:val="clear" w:color="auto" w:fill="auto"/>
            <w:hideMark/>
          </w:tcPr>
          <w:p w14:paraId="1688391C" w14:textId="1B61FB7C" w:rsidR="00236412" w:rsidRPr="00F47607" w:rsidRDefault="00236412" w:rsidP="00236412">
            <w:pPr>
              <w:pStyle w:val="NormalWeb"/>
              <w:rPr>
                <w:rFonts w:ascii="Segoe UI" w:hAnsi="Segoe UI" w:cs="Segoe UI"/>
                <w:sz w:val="20"/>
                <w:szCs w:val="20"/>
                <w:lang w:val="en-AU" w:eastAsia="en-AU"/>
              </w:rPr>
            </w:pPr>
            <w:r>
              <w:rPr>
                <w:rFonts w:ascii="Segoe UI" w:hAnsi="Segoe UI" w:cs="Segoe UI"/>
                <w:sz w:val="20"/>
                <w:szCs w:val="20"/>
                <w:lang w:val="en-AU" w:eastAsia="en-AU"/>
              </w:rPr>
              <w:t>Azure Automation plus additional functionality</w:t>
            </w:r>
          </w:p>
        </w:tc>
        <w:tc>
          <w:tcPr>
            <w:tcW w:w="3603" w:type="dxa"/>
            <w:shd w:val="clear" w:color="auto" w:fill="auto"/>
            <w:hideMark/>
          </w:tcPr>
          <w:p w14:paraId="35D57C91" w14:textId="77777777" w:rsidR="00236412" w:rsidRDefault="00236412" w:rsidP="00236412">
            <w:pPr>
              <w:pStyle w:val="NormalWeb"/>
              <w:numPr>
                <w:ilvl w:val="0"/>
                <w:numId w:val="8"/>
              </w:numPr>
              <w:rPr>
                <w:rFonts w:ascii="Segoe UI" w:hAnsi="Segoe UI" w:cs="Segoe UI"/>
                <w:sz w:val="20"/>
                <w:szCs w:val="20"/>
                <w:lang w:val="en-AU" w:eastAsia="en-AU"/>
              </w:rPr>
            </w:pPr>
            <w:r>
              <w:rPr>
                <w:rFonts w:ascii="Segoe UI" w:hAnsi="Segoe UI" w:cs="Segoe UI"/>
                <w:sz w:val="20"/>
                <w:szCs w:val="20"/>
                <w:lang w:val="en-AU" w:eastAsia="en-AU"/>
              </w:rPr>
              <w:t>Complexity</w:t>
            </w:r>
          </w:p>
          <w:p w14:paraId="3C0E86F4" w14:textId="5A18A10A" w:rsidR="00236412" w:rsidRPr="00392839" w:rsidRDefault="00236412" w:rsidP="00236412">
            <w:pPr>
              <w:pStyle w:val="NormalWeb"/>
              <w:numPr>
                <w:ilvl w:val="0"/>
                <w:numId w:val="8"/>
              </w:numPr>
              <w:rPr>
                <w:rFonts w:ascii="Segoe UI" w:hAnsi="Segoe UI" w:cs="Segoe UI"/>
                <w:sz w:val="20"/>
                <w:szCs w:val="20"/>
                <w:lang w:val="en-AU" w:eastAsia="en-AU"/>
              </w:rPr>
            </w:pPr>
            <w:r>
              <w:rPr>
                <w:rFonts w:ascii="Segoe UI" w:hAnsi="Segoe UI" w:cs="Segoe UI"/>
                <w:sz w:val="20"/>
                <w:szCs w:val="20"/>
                <w:lang w:val="en-AU" w:eastAsia="en-AU"/>
              </w:rPr>
              <w:t>Leverage existing automation investment</w:t>
            </w:r>
          </w:p>
        </w:tc>
      </w:tr>
    </w:tbl>
    <w:p w14:paraId="6C2F1803" w14:textId="77777777" w:rsidR="00727F02" w:rsidRDefault="00727F02" w:rsidP="005729D2">
      <w:pPr>
        <w:pStyle w:val="Heading3Numbered"/>
        <w:numPr>
          <w:ilvl w:val="2"/>
          <w:numId w:val="64"/>
        </w:numPr>
      </w:pPr>
      <w:bookmarkStart w:id="6818" w:name="_Toc417934754"/>
      <w:bookmarkStart w:id="6819" w:name="_Toc417936091"/>
      <w:bookmarkStart w:id="6820" w:name="_Toc417936553"/>
      <w:bookmarkStart w:id="6821" w:name="_Toc417946969"/>
      <w:bookmarkStart w:id="6822" w:name="_Toc417947439"/>
      <w:bookmarkStart w:id="6823" w:name="_Toc417982579"/>
      <w:bookmarkStart w:id="6824" w:name="_Toc417986034"/>
      <w:bookmarkStart w:id="6825" w:name="_Toc418000725"/>
      <w:bookmarkStart w:id="6826" w:name="_Toc418003899"/>
      <w:bookmarkStart w:id="6827" w:name="_Toc418012104"/>
      <w:bookmarkStart w:id="6828" w:name="_Toc418030122"/>
      <w:bookmarkStart w:id="6829" w:name="_Toc418037003"/>
      <w:bookmarkStart w:id="6830" w:name="_Toc418061476"/>
      <w:bookmarkStart w:id="6831" w:name="_Toc418081377"/>
      <w:bookmarkStart w:id="6832" w:name="_Toc418083407"/>
      <w:bookmarkStart w:id="6833" w:name="_Toc418096173"/>
      <w:bookmarkStart w:id="6834" w:name="_Toc418156775"/>
      <w:bookmarkStart w:id="6835" w:name="_Toc418167692"/>
      <w:bookmarkStart w:id="6836" w:name="_Toc418185948"/>
      <w:bookmarkStart w:id="6837" w:name="_Toc422941662"/>
      <w:bookmarkStart w:id="6838" w:name="_Toc423116874"/>
      <w:bookmarkStart w:id="6839" w:name="_Toc423117907"/>
      <w:bookmarkStart w:id="6840" w:name="_Toc423117354"/>
      <w:bookmarkStart w:id="6841" w:name="_Toc431288953"/>
      <w:r>
        <w:t>Azure Resource Groups</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5F4F5819" w14:textId="4B39D18B" w:rsidR="00AC3DDD" w:rsidRPr="00AC3DDD" w:rsidRDefault="009728AF" w:rsidP="00190851">
      <w:pPr>
        <w:jc w:val="both"/>
      </w:pPr>
      <w:r>
        <w:t>Azure Resource</w:t>
      </w:r>
      <w:r w:rsidDel="00AE5ECF">
        <w:t xml:space="preserve"> </w:t>
      </w:r>
      <w:r>
        <w:t>Groups</w:t>
      </w:r>
      <w:r>
        <w:rPr>
          <w:rStyle w:val="FootnoteReference"/>
        </w:rPr>
        <w:footnoteReference w:id="11"/>
      </w:r>
      <w:r>
        <w:t xml:space="preserve"> allows you to group all related components of your application as a logical unit. This allows you to simplify the lifecycle of applications from creation to deletion</w:t>
      </w:r>
      <w:r w:rsidR="00AC3DDD">
        <w:t xml:space="preserve">. </w:t>
      </w:r>
      <w:r w:rsidR="009364F1">
        <w:t xml:space="preserve"> </w:t>
      </w:r>
    </w:p>
    <w:tbl>
      <w:tblPr>
        <w:tblStyle w:val="PlainTable11"/>
        <w:tblW w:w="9450" w:type="dxa"/>
        <w:tblLook w:val="04A0" w:firstRow="1" w:lastRow="0" w:firstColumn="1" w:lastColumn="0" w:noHBand="0" w:noVBand="1"/>
      </w:tblPr>
      <w:tblGrid>
        <w:gridCol w:w="2700"/>
        <w:gridCol w:w="6750"/>
      </w:tblGrid>
      <w:tr w:rsidR="0086669E" w:rsidRPr="00F47607" w14:paraId="065D8D7A" w14:textId="77777777" w:rsidTr="00BF7F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50" w:type="dxa"/>
            <w:gridSpan w:val="2"/>
            <w:shd w:val="clear" w:color="auto" w:fill="808080" w:themeFill="background1" w:themeFillShade="80"/>
          </w:tcPr>
          <w:p w14:paraId="37530116" w14:textId="2798F31B" w:rsidR="0086669E" w:rsidRPr="00F47607" w:rsidRDefault="0086669E" w:rsidP="005B5AAD">
            <w:pPr>
              <w:spacing w:line="240" w:lineRule="auto"/>
              <w:rPr>
                <w:color w:val="FFFFFF"/>
              </w:rPr>
            </w:pPr>
            <w:r>
              <w:rPr>
                <w:color w:val="FFFFFF"/>
              </w:rPr>
              <w:t>Feature References</w:t>
            </w:r>
          </w:p>
        </w:tc>
      </w:tr>
      <w:tr w:rsidR="009728AF" w:rsidRPr="00927F75" w14:paraId="2A1AAE8E"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4E0924B0" w14:textId="4092195A" w:rsidR="009728AF" w:rsidRPr="00927F75" w:rsidRDefault="009728AF" w:rsidP="009728AF">
            <w:pPr>
              <w:spacing w:line="240" w:lineRule="auto"/>
              <w:rPr>
                <w:sz w:val="20"/>
                <w:szCs w:val="18"/>
              </w:rPr>
            </w:pPr>
            <w:r>
              <w:rPr>
                <w:sz w:val="20"/>
                <w:szCs w:val="18"/>
              </w:rPr>
              <w:t>Azure Resource Groups</w:t>
            </w:r>
          </w:p>
        </w:tc>
        <w:tc>
          <w:tcPr>
            <w:tcW w:w="6750" w:type="dxa"/>
          </w:tcPr>
          <w:p w14:paraId="4FD14396" w14:textId="3BFB026D" w:rsidR="009728AF" w:rsidRPr="00927F75" w:rsidRDefault="00872E47" w:rsidP="009728AF">
            <w:pPr>
              <w:cnfStyle w:val="000000100000" w:firstRow="0" w:lastRow="0" w:firstColumn="0" w:lastColumn="0" w:oddVBand="0" w:evenVBand="0" w:oddHBand="1" w:evenHBand="0" w:firstRowFirstColumn="0" w:firstRowLastColumn="0" w:lastRowFirstColumn="0" w:lastRowLastColumn="0"/>
              <w:rPr>
                <w:sz w:val="20"/>
                <w:szCs w:val="18"/>
              </w:rPr>
            </w:pPr>
            <w:hyperlink r:id="rId588" w:history="1">
              <w:r w:rsidR="009728AF" w:rsidRPr="005E7F62">
                <w:rPr>
                  <w:rStyle w:val="Hyperlink"/>
                  <w:sz w:val="20"/>
                  <w:szCs w:val="18"/>
                </w:rPr>
                <w:t>http://azure.microsoft.com/en-us/documentation/articles/azure-preview-portal-using-resource-groups/</w:t>
              </w:r>
            </w:hyperlink>
            <w:r w:rsidR="009728AF">
              <w:rPr>
                <w:sz w:val="20"/>
                <w:szCs w:val="18"/>
              </w:rPr>
              <w:t xml:space="preserve"> </w:t>
            </w:r>
          </w:p>
        </w:tc>
      </w:tr>
      <w:tr w:rsidR="009728AF" w:rsidRPr="00927F75" w14:paraId="51737B50" w14:textId="77777777" w:rsidTr="00BF7F28">
        <w:tc>
          <w:tcPr>
            <w:cnfStyle w:val="001000000000" w:firstRow="0" w:lastRow="0" w:firstColumn="1" w:lastColumn="0" w:oddVBand="0" w:evenVBand="0" w:oddHBand="0" w:evenHBand="0" w:firstRowFirstColumn="0" w:firstRowLastColumn="0" w:lastRowFirstColumn="0" w:lastRowLastColumn="0"/>
            <w:tcW w:w="2700" w:type="dxa"/>
          </w:tcPr>
          <w:p w14:paraId="38BAE295" w14:textId="112B8942" w:rsidR="009728AF" w:rsidRDefault="009728AF" w:rsidP="009728AF">
            <w:pPr>
              <w:spacing w:line="240" w:lineRule="auto"/>
              <w:rPr>
                <w:sz w:val="20"/>
                <w:szCs w:val="18"/>
              </w:rPr>
            </w:pPr>
            <w:r>
              <w:rPr>
                <w:sz w:val="20"/>
                <w:szCs w:val="18"/>
              </w:rPr>
              <w:t>Azure Resource Manager Template Language</w:t>
            </w:r>
          </w:p>
        </w:tc>
        <w:tc>
          <w:tcPr>
            <w:tcW w:w="6750" w:type="dxa"/>
          </w:tcPr>
          <w:p w14:paraId="74934964" w14:textId="0187286E" w:rsidR="009728AF" w:rsidRDefault="00872E47" w:rsidP="009728AF">
            <w:pPr>
              <w:cnfStyle w:val="000000000000" w:firstRow="0" w:lastRow="0" w:firstColumn="0" w:lastColumn="0" w:oddVBand="0" w:evenVBand="0" w:oddHBand="0" w:evenHBand="0" w:firstRowFirstColumn="0" w:firstRowLastColumn="0" w:lastRowFirstColumn="0" w:lastRowLastColumn="0"/>
              <w:rPr>
                <w:sz w:val="20"/>
                <w:szCs w:val="18"/>
              </w:rPr>
            </w:pPr>
            <w:hyperlink r:id="rId589" w:history="1">
              <w:r w:rsidR="009728AF" w:rsidRPr="00C240C7">
                <w:rPr>
                  <w:rStyle w:val="Hyperlink"/>
                  <w:sz w:val="20"/>
                  <w:szCs w:val="18"/>
                </w:rPr>
                <w:t>https://msdn.microsoft.com/en-us/library/azure/dn835138.aspx</w:t>
              </w:r>
            </w:hyperlink>
            <w:r w:rsidR="009728AF">
              <w:rPr>
                <w:sz w:val="20"/>
                <w:szCs w:val="18"/>
              </w:rPr>
              <w:t xml:space="preserve"> </w:t>
            </w:r>
          </w:p>
        </w:tc>
      </w:tr>
    </w:tbl>
    <w:p w14:paraId="0655BCA1" w14:textId="77777777" w:rsidR="0086669E" w:rsidRDefault="0086669E" w:rsidP="0086669E">
      <w:bookmarkStart w:id="6842" w:name="_Toc414892153"/>
      <w:bookmarkStart w:id="6843" w:name="_Toc414960176"/>
      <w:bookmarkStart w:id="6844" w:name="_Toc414969147"/>
      <w:bookmarkStart w:id="6845" w:name="_Toc415011371"/>
      <w:bookmarkStart w:id="6846" w:name="_Toc415040065"/>
    </w:p>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86669E" w14:paraId="777FBE38" w14:textId="77777777" w:rsidTr="005B5AAD">
        <w:tc>
          <w:tcPr>
            <w:tcW w:w="9360" w:type="dxa"/>
            <w:shd w:val="clear" w:color="auto" w:fill="008AC8"/>
          </w:tcPr>
          <w:p w14:paraId="22321C98" w14:textId="77777777" w:rsidR="0086669E" w:rsidRPr="00F47607" w:rsidRDefault="0086669E" w:rsidP="005B5AAD">
            <w:pPr>
              <w:spacing w:line="240" w:lineRule="auto"/>
              <w:rPr>
                <w:color w:val="FFFFFF"/>
              </w:rPr>
            </w:pPr>
            <w:r>
              <w:rPr>
                <w:color w:val="FFFFFF"/>
              </w:rPr>
              <w:t>Design Guidance</w:t>
            </w:r>
          </w:p>
        </w:tc>
      </w:tr>
    </w:tbl>
    <w:p w14:paraId="173563A8" w14:textId="77777777" w:rsidR="009728AF" w:rsidRDefault="009728AF" w:rsidP="009728AF">
      <w:r>
        <w:t>When you design solutions by using Azure Resource Groups, consider the following scenarios.</w:t>
      </w:r>
    </w:p>
    <w:p w14:paraId="0FB37470" w14:textId="763CDA20" w:rsidR="0024179A" w:rsidRDefault="009728AF" w:rsidP="009728AF">
      <w:pPr>
        <w:jc w:val="both"/>
      </w:pPr>
      <w:r>
        <w:t>When deciding between one large resource group or multiple smaller resource groups, it is best to model the structure based on your organizational structure and ultimately what you feel works well for your company</w:t>
      </w:r>
      <w:r w:rsidR="003D1FE5">
        <w:t xml:space="preserve">. </w:t>
      </w:r>
    </w:p>
    <w:tbl>
      <w:tblPr>
        <w:tblW w:w="9355"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29" w:type="dxa"/>
          <w:bottom w:w="29" w:type="dxa"/>
        </w:tblCellMar>
        <w:tblLook w:val="04A0" w:firstRow="1" w:lastRow="0" w:firstColumn="1" w:lastColumn="0" w:noHBand="0" w:noVBand="1"/>
      </w:tblPr>
      <w:tblGrid>
        <w:gridCol w:w="2965"/>
        <w:gridCol w:w="2787"/>
        <w:gridCol w:w="3603"/>
      </w:tblGrid>
      <w:tr w:rsidR="00D00294" w:rsidRPr="00F47607" w14:paraId="612156DC" w14:textId="77777777" w:rsidTr="00BF7F28">
        <w:tc>
          <w:tcPr>
            <w:tcW w:w="2965" w:type="dxa"/>
            <w:tcBorders>
              <w:top w:val="single" w:sz="4" w:space="0" w:color="A5A5A5"/>
              <w:left w:val="single" w:sz="4" w:space="0" w:color="A5A5A5"/>
              <w:bottom w:val="single" w:sz="4" w:space="0" w:color="A5A5A5"/>
              <w:right w:val="nil"/>
            </w:tcBorders>
            <w:shd w:val="clear" w:color="auto" w:fill="808080" w:themeFill="background1" w:themeFillShade="80"/>
            <w:hideMark/>
          </w:tcPr>
          <w:p w14:paraId="2F7BFA64" w14:textId="77777777" w:rsidR="00D00294" w:rsidRPr="00F47607" w:rsidRDefault="00D00294" w:rsidP="00FE356A">
            <w:pPr>
              <w:spacing w:line="240" w:lineRule="auto"/>
              <w:rPr>
                <w:rFonts w:ascii="Times New Roman" w:hAnsi="Times New Roman"/>
                <w:b/>
                <w:bCs/>
                <w:color w:val="FFFFFF"/>
                <w:lang w:val="en-AU" w:eastAsia="en-AU"/>
              </w:rPr>
            </w:pPr>
            <w:r w:rsidRPr="00F47607">
              <w:rPr>
                <w:rFonts w:eastAsia="Calibri"/>
                <w:b/>
                <w:bCs/>
                <w:color w:val="FFFFFF"/>
                <w:lang w:val="en-AU" w:eastAsia="en-AU"/>
              </w:rPr>
              <w:t>Scenario</w:t>
            </w:r>
          </w:p>
        </w:tc>
        <w:tc>
          <w:tcPr>
            <w:tcW w:w="2787" w:type="dxa"/>
            <w:tcBorders>
              <w:top w:val="single" w:sz="4" w:space="0" w:color="A5A5A5"/>
              <w:left w:val="nil"/>
              <w:bottom w:val="single" w:sz="4" w:space="0" w:color="A5A5A5"/>
              <w:right w:val="nil"/>
            </w:tcBorders>
            <w:shd w:val="clear" w:color="auto" w:fill="808080" w:themeFill="background1" w:themeFillShade="80"/>
            <w:hideMark/>
          </w:tcPr>
          <w:p w14:paraId="42419583" w14:textId="77777777" w:rsidR="00D00294" w:rsidRPr="00F47607" w:rsidRDefault="00D00294" w:rsidP="00FE356A">
            <w:pPr>
              <w:spacing w:line="240" w:lineRule="auto"/>
              <w:rPr>
                <w:rFonts w:eastAsia="Calibri"/>
                <w:b/>
                <w:color w:val="FFFFFF"/>
                <w:lang w:val="en-AU" w:eastAsia="en-AU"/>
              </w:rPr>
            </w:pPr>
            <w:r>
              <w:rPr>
                <w:rFonts w:eastAsia="Calibri"/>
                <w:b/>
                <w:bCs/>
                <w:color w:val="FFFFFF"/>
                <w:lang w:val="en-AU" w:eastAsia="en-AU"/>
              </w:rPr>
              <w:t>Model</w:t>
            </w:r>
          </w:p>
        </w:tc>
        <w:tc>
          <w:tcPr>
            <w:tcW w:w="3603" w:type="dxa"/>
            <w:tcBorders>
              <w:top w:val="single" w:sz="4" w:space="0" w:color="A5A5A5"/>
              <w:left w:val="nil"/>
              <w:bottom w:val="single" w:sz="4" w:space="0" w:color="A5A5A5"/>
              <w:right w:val="single" w:sz="4" w:space="0" w:color="A5A5A5"/>
            </w:tcBorders>
            <w:shd w:val="clear" w:color="auto" w:fill="808080" w:themeFill="background1" w:themeFillShade="80"/>
            <w:hideMark/>
          </w:tcPr>
          <w:p w14:paraId="69118B7E" w14:textId="77777777" w:rsidR="00D00294" w:rsidRPr="00F47607" w:rsidRDefault="00D00294" w:rsidP="00FE356A">
            <w:pPr>
              <w:spacing w:line="240" w:lineRule="auto"/>
              <w:rPr>
                <w:rFonts w:eastAsia="Calibri"/>
                <w:b/>
                <w:color w:val="FFFFFF"/>
                <w:lang w:val="en-AU" w:eastAsia="en-AU"/>
              </w:rPr>
            </w:pPr>
            <w:r w:rsidRPr="00F47607">
              <w:rPr>
                <w:rFonts w:eastAsia="Calibri"/>
                <w:b/>
                <w:bCs/>
                <w:color w:val="FFFFFF"/>
                <w:lang w:val="en-AU" w:eastAsia="en-AU"/>
              </w:rPr>
              <w:t>Points to Consider</w:t>
            </w:r>
          </w:p>
        </w:tc>
      </w:tr>
      <w:tr w:rsidR="009728AF" w:rsidRPr="00392839" w14:paraId="5199F0DE" w14:textId="77777777" w:rsidTr="00305E18">
        <w:tc>
          <w:tcPr>
            <w:tcW w:w="2965" w:type="dxa"/>
            <w:shd w:val="clear" w:color="auto" w:fill="E7E6E6" w:themeFill="background2"/>
            <w:hideMark/>
          </w:tcPr>
          <w:p w14:paraId="23785BF6" w14:textId="406F03A1" w:rsidR="009728AF" w:rsidRPr="00F47607" w:rsidRDefault="009728AF" w:rsidP="009728AF">
            <w:pPr>
              <w:pStyle w:val="NormalWeb"/>
              <w:rPr>
                <w:rFonts w:ascii="Segoe UI" w:hAnsi="Segoe UI" w:cs="Segoe UI"/>
                <w:bCs/>
                <w:sz w:val="20"/>
                <w:szCs w:val="20"/>
                <w:lang w:val="en-AU" w:eastAsia="en-AU"/>
              </w:rPr>
            </w:pPr>
            <w:r>
              <w:rPr>
                <w:rFonts w:ascii="Segoe UI" w:hAnsi="Segoe UI" w:cs="Segoe UI"/>
                <w:b/>
                <w:bCs/>
                <w:sz w:val="20"/>
                <w:szCs w:val="20"/>
                <w:lang w:val="en-AU" w:eastAsia="en-AU"/>
              </w:rPr>
              <w:t xml:space="preserve">Complex </w:t>
            </w:r>
            <w:r w:rsidRPr="00AE5ECF">
              <w:rPr>
                <w:rFonts w:ascii="Segoe UI" w:hAnsi="Segoe UI" w:cs="Segoe UI"/>
                <w:b/>
                <w:bCs/>
                <w:sz w:val="20"/>
                <w:szCs w:val="20"/>
                <w:lang w:val="en-AU" w:eastAsia="en-AU"/>
              </w:rPr>
              <w:t>structure</w:t>
            </w:r>
            <w:r>
              <w:rPr>
                <w:rFonts w:ascii="Segoe UI" w:hAnsi="Segoe UI" w:cs="Segoe UI"/>
                <w:b/>
                <w:bCs/>
                <w:sz w:val="20"/>
                <w:szCs w:val="20"/>
                <w:lang w:val="en-AU" w:eastAsia="en-AU"/>
              </w:rPr>
              <w:t>s</w:t>
            </w:r>
            <w:r w:rsidRPr="00AE5ECF">
              <w:rPr>
                <w:rFonts w:ascii="Segoe UI" w:hAnsi="Segoe UI" w:cs="Segoe UI"/>
                <w:b/>
                <w:bCs/>
                <w:sz w:val="20"/>
                <w:szCs w:val="20"/>
                <w:lang w:val="en-AU" w:eastAsia="en-AU"/>
              </w:rPr>
              <w:t xml:space="preserve"> </w:t>
            </w:r>
            <w:r>
              <w:rPr>
                <w:rFonts w:ascii="Segoe UI" w:hAnsi="Segoe UI" w:cs="Segoe UI"/>
                <w:b/>
                <w:bCs/>
                <w:sz w:val="20"/>
                <w:szCs w:val="20"/>
                <w:lang w:val="en-AU" w:eastAsia="en-AU"/>
              </w:rPr>
              <w:t>(involving a website, SQL Database, Redis Cache, and so on)</w:t>
            </w:r>
          </w:p>
        </w:tc>
        <w:tc>
          <w:tcPr>
            <w:tcW w:w="2787" w:type="dxa"/>
            <w:shd w:val="clear" w:color="auto" w:fill="E7E6E6" w:themeFill="background2"/>
            <w:hideMark/>
          </w:tcPr>
          <w:p w14:paraId="5B6CBF9C" w14:textId="3B7532AD" w:rsidR="009728AF" w:rsidRPr="00F47607" w:rsidRDefault="009728AF" w:rsidP="009728AF">
            <w:pPr>
              <w:pStyle w:val="NormalWeb"/>
              <w:rPr>
                <w:rFonts w:ascii="Segoe UI" w:hAnsi="Segoe UI" w:cs="Segoe UI"/>
                <w:sz w:val="20"/>
                <w:szCs w:val="20"/>
                <w:lang w:val="en-AU" w:eastAsia="en-AU"/>
              </w:rPr>
            </w:pPr>
            <w:r>
              <w:rPr>
                <w:rFonts w:ascii="Segoe UI" w:hAnsi="Segoe UI" w:cs="Segoe UI"/>
                <w:sz w:val="20"/>
                <w:szCs w:val="20"/>
                <w:lang w:val="en-AU" w:eastAsia="en-AU"/>
              </w:rPr>
              <w:t>Pattern or model for implementation</w:t>
            </w:r>
          </w:p>
        </w:tc>
        <w:tc>
          <w:tcPr>
            <w:tcW w:w="3603" w:type="dxa"/>
            <w:shd w:val="clear" w:color="auto" w:fill="E7E6E6" w:themeFill="background2"/>
            <w:hideMark/>
          </w:tcPr>
          <w:p w14:paraId="399883C1" w14:textId="77777777" w:rsidR="009728AF" w:rsidRDefault="009728AF" w:rsidP="009728AF">
            <w:pPr>
              <w:pStyle w:val="NormalWeb"/>
              <w:numPr>
                <w:ilvl w:val="0"/>
                <w:numId w:val="8"/>
              </w:numPr>
              <w:rPr>
                <w:rFonts w:ascii="Segoe UI" w:hAnsi="Segoe UI" w:cs="Segoe UI"/>
                <w:sz w:val="20"/>
                <w:szCs w:val="20"/>
                <w:lang w:val="en-AU" w:eastAsia="en-AU"/>
              </w:rPr>
            </w:pPr>
            <w:r w:rsidRPr="00256000">
              <w:rPr>
                <w:rFonts w:ascii="Segoe UI" w:hAnsi="Segoe UI" w:cs="Segoe UI"/>
                <w:sz w:val="20"/>
                <w:szCs w:val="20"/>
              </w:rPr>
              <w:t>Create resource groups that contain objects t</w:t>
            </w:r>
            <w:r>
              <w:rPr>
                <w:rFonts w:ascii="Segoe UI" w:hAnsi="Segoe UI" w:cs="Segoe UI"/>
                <w:sz w:val="20"/>
                <w:szCs w:val="20"/>
              </w:rPr>
              <w:t>hat have very similar lifecycles</w:t>
            </w:r>
            <w:r w:rsidRPr="00256000">
              <w:rPr>
                <w:rFonts w:ascii="Segoe UI" w:hAnsi="Segoe UI" w:cs="Segoe UI"/>
                <w:sz w:val="20"/>
                <w:szCs w:val="20"/>
              </w:rPr>
              <w:t xml:space="preserve"> and are generally manage</w:t>
            </w:r>
            <w:r>
              <w:rPr>
                <w:rFonts w:ascii="Segoe UI" w:hAnsi="Segoe UI" w:cs="Segoe UI"/>
                <w:sz w:val="20"/>
                <w:szCs w:val="20"/>
              </w:rPr>
              <w:t>d</w:t>
            </w:r>
            <w:r w:rsidRPr="00256000">
              <w:rPr>
                <w:rFonts w:ascii="Segoe UI" w:hAnsi="Segoe UI" w:cs="Segoe UI"/>
                <w:sz w:val="20"/>
                <w:szCs w:val="20"/>
              </w:rPr>
              <w:t xml:space="preserve"> by the same organizational group</w:t>
            </w:r>
            <w:r>
              <w:rPr>
                <w:rFonts w:ascii="Segoe UI" w:hAnsi="Segoe UI" w:cs="Segoe UI"/>
                <w:sz w:val="20"/>
                <w:szCs w:val="20"/>
                <w:lang w:val="en-AU" w:eastAsia="en-AU"/>
              </w:rPr>
              <w:t xml:space="preserve"> </w:t>
            </w:r>
          </w:p>
          <w:p w14:paraId="6EE7E71B" w14:textId="2B0343EE" w:rsidR="009728AF" w:rsidRPr="00392839" w:rsidRDefault="009728AF" w:rsidP="009728AF">
            <w:pPr>
              <w:pStyle w:val="NormalWeb"/>
              <w:numPr>
                <w:ilvl w:val="0"/>
                <w:numId w:val="8"/>
              </w:numPr>
              <w:rPr>
                <w:rFonts w:ascii="Segoe UI" w:hAnsi="Segoe UI" w:cs="Segoe UI"/>
                <w:sz w:val="20"/>
                <w:szCs w:val="20"/>
                <w:lang w:val="en-AU" w:eastAsia="en-AU"/>
              </w:rPr>
            </w:pPr>
            <w:r>
              <w:rPr>
                <w:rFonts w:ascii="Segoe UI" w:hAnsi="Segoe UI" w:cs="Segoe UI"/>
                <w:sz w:val="20"/>
                <w:szCs w:val="20"/>
                <w:lang w:val="en-AU" w:eastAsia="en-AU"/>
              </w:rPr>
              <w:t xml:space="preserve">If the SQL Server instances are operated by a dedicated group that manage the lifecycle of those servers, it might be best to create a dedicated group for the servers and reference it in your primary resource group as a dependency. </w:t>
            </w:r>
          </w:p>
        </w:tc>
      </w:tr>
    </w:tbl>
    <w:p w14:paraId="1B64DF76" w14:textId="77777777" w:rsidR="00D00294" w:rsidRPr="0024179A" w:rsidRDefault="00D00294" w:rsidP="003D1FE5">
      <w:pPr>
        <w:jc w:val="both"/>
      </w:pPr>
    </w:p>
    <w:p w14:paraId="3718D32E" w14:textId="77777777" w:rsidR="009728AF" w:rsidRDefault="009728AF" w:rsidP="009728AF">
      <w:r>
        <w:t>When designing Azure Resource Groups by using JSON templates, we recommend that you adhere to the following guidance:</w:t>
      </w:r>
    </w:p>
    <w:p w14:paraId="4E6A500C" w14:textId="77777777" w:rsidR="009728AF" w:rsidRDefault="009728AF" w:rsidP="005729D2">
      <w:pPr>
        <w:pStyle w:val="ListParagraph"/>
        <w:numPr>
          <w:ilvl w:val="6"/>
          <w:numId w:val="29"/>
        </w:numPr>
        <w:ind w:left="720"/>
      </w:pPr>
      <w:r>
        <w:t xml:space="preserve">Use consistent ordering of JSON elements. These include elements such as </w:t>
      </w:r>
      <w:r w:rsidRPr="00660DC4">
        <w:rPr>
          <w:i/>
        </w:rPr>
        <w:t>name, type, api6version, location, tags, dependson, properties, resources (child)</w:t>
      </w:r>
      <w:r>
        <w:rPr>
          <w:i/>
        </w:rPr>
        <w:t>.</w:t>
      </w:r>
    </w:p>
    <w:p w14:paraId="5F8DA902" w14:textId="77777777" w:rsidR="009728AF" w:rsidRDefault="009728AF" w:rsidP="005729D2">
      <w:pPr>
        <w:pStyle w:val="ListParagraph"/>
        <w:numPr>
          <w:ilvl w:val="6"/>
          <w:numId w:val="29"/>
        </w:numPr>
        <w:ind w:left="720"/>
      </w:pPr>
      <w:r>
        <w:t>Use parameters for template reusability. Avoid hardcoding to increase reusability of your template.</w:t>
      </w:r>
    </w:p>
    <w:p w14:paraId="5899AAF6" w14:textId="77777777" w:rsidR="009728AF" w:rsidRDefault="009728AF" w:rsidP="005729D2">
      <w:pPr>
        <w:pStyle w:val="ListParagraph"/>
        <w:numPr>
          <w:ilvl w:val="0"/>
          <w:numId w:val="29"/>
        </w:numPr>
      </w:pPr>
      <w:r>
        <w:t xml:space="preserve">If credential capture is required, use secure string as parameter type. </w:t>
      </w:r>
    </w:p>
    <w:p w14:paraId="11F08EAB" w14:textId="1A40752A" w:rsidR="00D3136E" w:rsidRDefault="009728AF" w:rsidP="005729D2">
      <w:pPr>
        <w:pStyle w:val="ListParagraph"/>
        <w:numPr>
          <w:ilvl w:val="6"/>
          <w:numId w:val="29"/>
        </w:numPr>
        <w:ind w:left="720"/>
      </w:pPr>
      <w:r>
        <w:t>Use variables from commonly used constants</w:t>
      </w:r>
      <w:r w:rsidR="00D3136E">
        <w:t>.</w:t>
      </w:r>
    </w:p>
    <w:tbl>
      <w:tblPr>
        <w:tblW w:w="9355"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29" w:type="dxa"/>
          <w:bottom w:w="29" w:type="dxa"/>
        </w:tblCellMar>
        <w:tblLook w:val="04A0" w:firstRow="1" w:lastRow="0" w:firstColumn="1" w:lastColumn="0" w:noHBand="0" w:noVBand="1"/>
      </w:tblPr>
      <w:tblGrid>
        <w:gridCol w:w="2965"/>
        <w:gridCol w:w="2787"/>
        <w:gridCol w:w="3603"/>
      </w:tblGrid>
      <w:tr w:rsidR="0086669E" w14:paraId="20A65BBB" w14:textId="77777777" w:rsidTr="00BF7F28">
        <w:tc>
          <w:tcPr>
            <w:tcW w:w="2965" w:type="dxa"/>
            <w:tcBorders>
              <w:top w:val="single" w:sz="4" w:space="0" w:color="A5A5A5"/>
              <w:left w:val="single" w:sz="4" w:space="0" w:color="A5A5A5"/>
              <w:bottom w:val="single" w:sz="4" w:space="0" w:color="A5A5A5"/>
              <w:right w:val="nil"/>
            </w:tcBorders>
            <w:shd w:val="clear" w:color="auto" w:fill="808080" w:themeFill="background1" w:themeFillShade="80"/>
            <w:hideMark/>
          </w:tcPr>
          <w:p w14:paraId="7B6B8710" w14:textId="77777777" w:rsidR="0086669E" w:rsidRPr="00F47607" w:rsidRDefault="0086669E" w:rsidP="005B5AAD">
            <w:pPr>
              <w:spacing w:line="240" w:lineRule="auto"/>
              <w:rPr>
                <w:rFonts w:ascii="Times New Roman" w:hAnsi="Times New Roman"/>
                <w:b/>
                <w:bCs/>
                <w:color w:val="FFFFFF"/>
                <w:lang w:val="en-AU" w:eastAsia="en-AU"/>
              </w:rPr>
            </w:pPr>
            <w:r w:rsidRPr="00F47607">
              <w:rPr>
                <w:rFonts w:eastAsia="Calibri"/>
                <w:b/>
                <w:bCs/>
                <w:color w:val="FFFFFF"/>
                <w:lang w:val="en-AU" w:eastAsia="en-AU"/>
              </w:rPr>
              <w:t>Scenario</w:t>
            </w:r>
          </w:p>
        </w:tc>
        <w:tc>
          <w:tcPr>
            <w:tcW w:w="2787" w:type="dxa"/>
            <w:tcBorders>
              <w:top w:val="single" w:sz="4" w:space="0" w:color="A5A5A5"/>
              <w:left w:val="nil"/>
              <w:bottom w:val="single" w:sz="4" w:space="0" w:color="A5A5A5"/>
              <w:right w:val="nil"/>
            </w:tcBorders>
            <w:shd w:val="clear" w:color="auto" w:fill="808080" w:themeFill="background1" w:themeFillShade="80"/>
            <w:hideMark/>
          </w:tcPr>
          <w:p w14:paraId="67296F11" w14:textId="77777777" w:rsidR="0086669E" w:rsidRPr="00F47607" w:rsidRDefault="0086669E" w:rsidP="005B5AAD">
            <w:pPr>
              <w:spacing w:line="240" w:lineRule="auto"/>
              <w:rPr>
                <w:rFonts w:eastAsia="Calibri"/>
                <w:b/>
                <w:color w:val="FFFFFF"/>
                <w:lang w:val="en-AU" w:eastAsia="en-AU"/>
              </w:rPr>
            </w:pPr>
            <w:r>
              <w:rPr>
                <w:rFonts w:eastAsia="Calibri"/>
                <w:b/>
                <w:bCs/>
                <w:color w:val="FFFFFF"/>
                <w:lang w:val="en-AU" w:eastAsia="en-AU"/>
              </w:rPr>
              <w:t>Model</w:t>
            </w:r>
          </w:p>
        </w:tc>
        <w:tc>
          <w:tcPr>
            <w:tcW w:w="3603" w:type="dxa"/>
            <w:tcBorders>
              <w:top w:val="single" w:sz="4" w:space="0" w:color="A5A5A5"/>
              <w:left w:val="nil"/>
              <w:bottom w:val="single" w:sz="4" w:space="0" w:color="A5A5A5"/>
              <w:right w:val="single" w:sz="4" w:space="0" w:color="A5A5A5"/>
            </w:tcBorders>
            <w:shd w:val="clear" w:color="auto" w:fill="808080" w:themeFill="background1" w:themeFillShade="80"/>
            <w:hideMark/>
          </w:tcPr>
          <w:p w14:paraId="3B96BB90" w14:textId="77777777" w:rsidR="0086669E" w:rsidRPr="00F47607" w:rsidRDefault="0086669E" w:rsidP="005B5AAD">
            <w:pPr>
              <w:spacing w:line="240" w:lineRule="auto"/>
              <w:rPr>
                <w:rFonts w:eastAsia="Calibri"/>
                <w:b/>
                <w:color w:val="FFFFFF"/>
                <w:lang w:val="en-AU" w:eastAsia="en-AU"/>
              </w:rPr>
            </w:pPr>
            <w:r w:rsidRPr="00F47607">
              <w:rPr>
                <w:rFonts w:eastAsia="Calibri"/>
                <w:b/>
                <w:bCs/>
                <w:color w:val="FFFFFF"/>
                <w:lang w:val="en-AU" w:eastAsia="en-AU"/>
              </w:rPr>
              <w:t>Points to Consider</w:t>
            </w:r>
          </w:p>
        </w:tc>
      </w:tr>
      <w:tr w:rsidR="009728AF" w14:paraId="1BB3DEE4" w14:textId="77777777" w:rsidTr="005B5AAD">
        <w:tc>
          <w:tcPr>
            <w:tcW w:w="2965" w:type="dxa"/>
            <w:shd w:val="clear" w:color="auto" w:fill="EDEDED"/>
            <w:hideMark/>
          </w:tcPr>
          <w:p w14:paraId="2919D54C" w14:textId="5FAE5937" w:rsidR="009728AF" w:rsidRPr="00F47607" w:rsidRDefault="009728AF" w:rsidP="009728AF">
            <w:pPr>
              <w:pStyle w:val="NormalWeb"/>
              <w:rPr>
                <w:rFonts w:ascii="Segoe UI" w:hAnsi="Segoe UI" w:cs="Segoe UI"/>
                <w:sz w:val="20"/>
                <w:szCs w:val="20"/>
                <w:lang w:val="en-AU" w:eastAsia="en-AU"/>
              </w:rPr>
            </w:pPr>
            <w:r>
              <w:rPr>
                <w:rFonts w:ascii="Segoe UI" w:hAnsi="Segoe UI" w:cs="Segoe UI"/>
                <w:b/>
                <w:bCs/>
                <w:sz w:val="20"/>
                <w:szCs w:val="20"/>
                <w:lang w:val="en-AU" w:eastAsia="en-AU"/>
              </w:rPr>
              <w:t xml:space="preserve">Standard website deployment </w:t>
            </w:r>
          </w:p>
        </w:tc>
        <w:tc>
          <w:tcPr>
            <w:tcW w:w="2787" w:type="dxa"/>
            <w:shd w:val="clear" w:color="auto" w:fill="EDEDED"/>
            <w:hideMark/>
          </w:tcPr>
          <w:p w14:paraId="5F189F92" w14:textId="5179AA3A" w:rsidR="009728AF" w:rsidRPr="00F47607" w:rsidRDefault="009728AF" w:rsidP="009728AF">
            <w:pPr>
              <w:pStyle w:val="NormalWeb"/>
              <w:rPr>
                <w:rFonts w:ascii="Segoe UI" w:hAnsi="Segoe UI" w:cs="Segoe UI"/>
                <w:sz w:val="20"/>
                <w:szCs w:val="20"/>
                <w:lang w:val="en-AU" w:eastAsia="en-AU"/>
              </w:rPr>
            </w:pPr>
            <w:r>
              <w:rPr>
                <w:rFonts w:ascii="Segoe UI" w:hAnsi="Segoe UI" w:cs="Segoe UI"/>
                <w:sz w:val="20"/>
                <w:szCs w:val="20"/>
                <w:lang w:val="en-AU" w:eastAsia="en-AU"/>
              </w:rPr>
              <w:t xml:space="preserve">Continuous deployment with </w:t>
            </w:r>
            <w:r w:rsidRPr="00C66E65">
              <w:rPr>
                <w:rFonts w:ascii="Segoe UI" w:hAnsi="Segoe UI" w:cs="Segoe UI"/>
                <w:b/>
                <w:sz w:val="20"/>
                <w:szCs w:val="20"/>
                <w:lang w:val="en-AU" w:eastAsia="en-AU"/>
              </w:rPr>
              <w:t>MSDeploy</w:t>
            </w:r>
          </w:p>
        </w:tc>
        <w:tc>
          <w:tcPr>
            <w:tcW w:w="3603" w:type="dxa"/>
            <w:shd w:val="clear" w:color="auto" w:fill="EDEDED"/>
            <w:hideMark/>
          </w:tcPr>
          <w:p w14:paraId="1A111088" w14:textId="48981503" w:rsidR="009728AF" w:rsidRPr="00C066F6" w:rsidRDefault="009728AF" w:rsidP="009728AF">
            <w:pPr>
              <w:pStyle w:val="NormalWeb"/>
              <w:numPr>
                <w:ilvl w:val="0"/>
                <w:numId w:val="8"/>
              </w:numPr>
              <w:rPr>
                <w:rFonts w:ascii="Segoe UI" w:hAnsi="Segoe UI" w:cs="Segoe UI"/>
                <w:sz w:val="20"/>
                <w:szCs w:val="20"/>
                <w:lang w:val="en-AU" w:eastAsia="en-AU"/>
              </w:rPr>
            </w:pPr>
            <w:r>
              <w:rPr>
                <w:rFonts w:ascii="Segoe UI" w:hAnsi="Segoe UI" w:cs="Segoe UI"/>
                <w:sz w:val="20"/>
                <w:szCs w:val="20"/>
                <w:lang w:val="en-AU" w:eastAsia="en-AU"/>
              </w:rPr>
              <w:t xml:space="preserve">Leverage tagging to label the build version </w:t>
            </w:r>
          </w:p>
        </w:tc>
      </w:tr>
    </w:tbl>
    <w:p w14:paraId="6C2F1805" w14:textId="77777777" w:rsidR="00682E4A" w:rsidRDefault="00682E4A" w:rsidP="005729D2">
      <w:pPr>
        <w:pStyle w:val="Heading2Numbered"/>
        <w:numPr>
          <w:ilvl w:val="1"/>
          <w:numId w:val="64"/>
        </w:numPr>
      </w:pPr>
      <w:bookmarkStart w:id="6847" w:name="_Toc415572422"/>
      <w:bookmarkStart w:id="6848" w:name="_Toc415735592"/>
      <w:bookmarkStart w:id="6849" w:name="_Toc415814173"/>
      <w:bookmarkStart w:id="6850" w:name="_Toc416343909"/>
      <w:bookmarkStart w:id="6851" w:name="_Toc416863181"/>
      <w:bookmarkStart w:id="6852" w:name="_Toc417314796"/>
      <w:bookmarkStart w:id="6853" w:name="_Toc417323813"/>
      <w:bookmarkStart w:id="6854" w:name="_Toc417326903"/>
      <w:bookmarkStart w:id="6855" w:name="_Toc417330451"/>
      <w:bookmarkStart w:id="6856" w:name="_Toc417395058"/>
      <w:bookmarkStart w:id="6857" w:name="_Toc417399277"/>
      <w:bookmarkStart w:id="6858" w:name="_Toc417399436"/>
      <w:bookmarkStart w:id="6859" w:name="_Toc417400483"/>
      <w:bookmarkStart w:id="6860" w:name="_Toc417401331"/>
      <w:bookmarkStart w:id="6861" w:name="_Toc417419646"/>
      <w:bookmarkStart w:id="6862" w:name="_Toc417457418"/>
      <w:bookmarkStart w:id="6863" w:name="_Toc417481996"/>
      <w:bookmarkStart w:id="6864" w:name="_Toc417482254"/>
      <w:bookmarkStart w:id="6865" w:name="_Toc417499973"/>
      <w:bookmarkStart w:id="6866" w:name="_Toc417502794"/>
      <w:bookmarkStart w:id="6867" w:name="_Toc417548382"/>
      <w:bookmarkStart w:id="6868" w:name="_Toc417594625"/>
      <w:bookmarkStart w:id="6869" w:name="_Toc417934755"/>
      <w:bookmarkStart w:id="6870" w:name="_Toc417936092"/>
      <w:bookmarkStart w:id="6871" w:name="_Toc417936554"/>
      <w:bookmarkStart w:id="6872" w:name="_Toc417946970"/>
      <w:bookmarkStart w:id="6873" w:name="_Toc417947440"/>
      <w:bookmarkStart w:id="6874" w:name="_Toc417982580"/>
      <w:bookmarkStart w:id="6875" w:name="_Toc417986035"/>
      <w:bookmarkStart w:id="6876" w:name="_Toc418000726"/>
      <w:bookmarkStart w:id="6877" w:name="_Toc418003900"/>
      <w:bookmarkStart w:id="6878" w:name="_Toc418012105"/>
      <w:bookmarkStart w:id="6879" w:name="_Toc418030123"/>
      <w:bookmarkStart w:id="6880" w:name="_Toc418037004"/>
      <w:bookmarkStart w:id="6881" w:name="_Toc418061477"/>
      <w:bookmarkStart w:id="6882" w:name="_Toc418081378"/>
      <w:bookmarkStart w:id="6883" w:name="_Toc418083408"/>
      <w:bookmarkStart w:id="6884" w:name="_Toc418096174"/>
      <w:bookmarkStart w:id="6885" w:name="_Toc418156776"/>
      <w:bookmarkStart w:id="6886" w:name="_Toc418167693"/>
      <w:bookmarkStart w:id="6887" w:name="_Toc418185949"/>
      <w:bookmarkStart w:id="6888" w:name="_Toc422941663"/>
      <w:bookmarkStart w:id="6889" w:name="_Toc423116875"/>
      <w:bookmarkStart w:id="6890" w:name="_Toc423117908"/>
      <w:bookmarkStart w:id="6891" w:name="_Toc423117355"/>
      <w:bookmarkStart w:id="6892" w:name="_Toc431288954"/>
      <w:r>
        <w:t>Backup and Disaster Recovery</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26803680" w14:textId="6BFB5925" w:rsidR="009728AF" w:rsidRDefault="002308B3" w:rsidP="009728AF">
      <w:r w:rsidRPr="002308B3">
        <w:t>Azure</w:t>
      </w:r>
      <w:r w:rsidR="009728AF" w:rsidRPr="002308B3">
        <w:t xml:space="preserve"> provides scalable, durable cloud storage, backup, and recovery solutions for any data</w:t>
      </w:r>
      <w:r w:rsidR="009728AF">
        <w:t>—</w:t>
      </w:r>
      <w:r w:rsidR="009728AF" w:rsidRPr="002308B3">
        <w:t xml:space="preserve"> big and small. </w:t>
      </w:r>
      <w:r w:rsidR="009728AF">
        <w:t>You can use Azure backup capabilities</w:t>
      </w:r>
      <w:r w:rsidR="009728AF" w:rsidRPr="002308B3">
        <w:t xml:space="preserve"> with your existing infrastructure </w:t>
      </w:r>
      <w:r w:rsidR="009728AF">
        <w:t xml:space="preserve">and backup investments </w:t>
      </w:r>
      <w:r w:rsidR="009728AF" w:rsidRPr="002308B3">
        <w:t>to</w:t>
      </w:r>
      <w:r w:rsidR="009728AF">
        <w:t>:</w:t>
      </w:r>
    </w:p>
    <w:p w14:paraId="1FB79D6D" w14:textId="77777777" w:rsidR="009728AF" w:rsidRDefault="009728AF" w:rsidP="009728AF">
      <w:pPr>
        <w:pStyle w:val="ListParagraph"/>
        <w:numPr>
          <w:ilvl w:val="0"/>
          <w:numId w:val="8"/>
        </w:numPr>
      </w:pPr>
      <w:r>
        <w:t>C</w:t>
      </w:r>
      <w:r w:rsidRPr="002308B3">
        <w:t xml:space="preserve">ost-effectively enhance your business continuity strategy </w:t>
      </w:r>
    </w:p>
    <w:p w14:paraId="621F18AA" w14:textId="77777777" w:rsidR="009728AF" w:rsidRDefault="009728AF" w:rsidP="009728AF">
      <w:pPr>
        <w:pStyle w:val="ListParagraph"/>
        <w:numPr>
          <w:ilvl w:val="0"/>
          <w:numId w:val="8"/>
        </w:numPr>
      </w:pPr>
      <w:r>
        <w:t>P</w:t>
      </w:r>
      <w:r w:rsidRPr="002308B3">
        <w:t xml:space="preserve">rovide </w:t>
      </w:r>
      <w:r>
        <w:t xml:space="preserve">the </w:t>
      </w:r>
      <w:r w:rsidRPr="002308B3">
        <w:t>storage required by your cloud applications</w:t>
      </w:r>
    </w:p>
    <w:p w14:paraId="346B3950" w14:textId="5E022931" w:rsidR="002308B3" w:rsidRDefault="009728AF" w:rsidP="009728AF">
      <w:pPr>
        <w:jc w:val="both"/>
      </w:pPr>
      <w:r>
        <w:t>This section provides an overview of the backup and disaster recovery capabilities provided by Azure</w:t>
      </w:r>
      <w:r w:rsidR="0026328A">
        <w:t>.</w:t>
      </w:r>
    </w:p>
    <w:p w14:paraId="6C2F1807" w14:textId="77777777" w:rsidR="00682E4A" w:rsidRDefault="00682E4A" w:rsidP="005729D2">
      <w:pPr>
        <w:pStyle w:val="Heading3Numbered"/>
        <w:numPr>
          <w:ilvl w:val="2"/>
          <w:numId w:val="64"/>
        </w:numPr>
      </w:pPr>
      <w:bookmarkStart w:id="6893" w:name="_Toc414892154"/>
      <w:bookmarkStart w:id="6894" w:name="_Toc414960177"/>
      <w:bookmarkStart w:id="6895" w:name="_Toc414969148"/>
      <w:bookmarkStart w:id="6896" w:name="_Toc415011372"/>
      <w:bookmarkStart w:id="6897" w:name="_Toc415040066"/>
      <w:bookmarkStart w:id="6898" w:name="_Toc415572423"/>
      <w:bookmarkStart w:id="6899" w:name="_Toc415735593"/>
      <w:bookmarkStart w:id="6900" w:name="_Toc415814174"/>
      <w:bookmarkStart w:id="6901" w:name="_Toc416343910"/>
      <w:bookmarkStart w:id="6902" w:name="_Toc416863182"/>
      <w:bookmarkStart w:id="6903" w:name="_Toc417314797"/>
      <w:bookmarkStart w:id="6904" w:name="_Toc417323814"/>
      <w:bookmarkStart w:id="6905" w:name="_Toc417326904"/>
      <w:bookmarkStart w:id="6906" w:name="_Toc417330452"/>
      <w:bookmarkStart w:id="6907" w:name="_Toc417395059"/>
      <w:bookmarkStart w:id="6908" w:name="_Toc417399278"/>
      <w:bookmarkStart w:id="6909" w:name="_Toc417399437"/>
      <w:bookmarkStart w:id="6910" w:name="_Toc417400484"/>
      <w:bookmarkStart w:id="6911" w:name="_Toc417401332"/>
      <w:bookmarkStart w:id="6912" w:name="_Toc417419647"/>
      <w:bookmarkStart w:id="6913" w:name="_Toc417457419"/>
      <w:bookmarkStart w:id="6914" w:name="_Toc417481997"/>
      <w:bookmarkStart w:id="6915" w:name="_Toc417482255"/>
      <w:bookmarkStart w:id="6916" w:name="_Toc417499974"/>
      <w:bookmarkStart w:id="6917" w:name="_Toc417502795"/>
      <w:bookmarkStart w:id="6918" w:name="_Toc417548383"/>
      <w:bookmarkStart w:id="6919" w:name="_Toc417594626"/>
      <w:bookmarkStart w:id="6920" w:name="_Toc417934756"/>
      <w:bookmarkStart w:id="6921" w:name="_Toc417936093"/>
      <w:bookmarkStart w:id="6922" w:name="_Toc417936555"/>
      <w:bookmarkStart w:id="6923" w:name="_Toc417946971"/>
      <w:bookmarkStart w:id="6924" w:name="_Toc417947441"/>
      <w:bookmarkStart w:id="6925" w:name="_Toc417982581"/>
      <w:bookmarkStart w:id="6926" w:name="_Toc417986036"/>
      <w:bookmarkStart w:id="6927" w:name="_Toc418000727"/>
      <w:bookmarkStart w:id="6928" w:name="_Toc418003901"/>
      <w:bookmarkStart w:id="6929" w:name="_Toc418012106"/>
      <w:bookmarkStart w:id="6930" w:name="_Toc418030124"/>
      <w:bookmarkStart w:id="6931" w:name="_Toc418037005"/>
      <w:bookmarkStart w:id="6932" w:name="_Toc418061478"/>
      <w:bookmarkStart w:id="6933" w:name="_Toc418081379"/>
      <w:bookmarkStart w:id="6934" w:name="_Toc418083409"/>
      <w:bookmarkStart w:id="6935" w:name="_Toc418096175"/>
      <w:bookmarkStart w:id="6936" w:name="_Toc418156777"/>
      <w:bookmarkStart w:id="6937" w:name="_Toc418167694"/>
      <w:bookmarkStart w:id="6938" w:name="_Toc418185950"/>
      <w:bookmarkStart w:id="6939" w:name="_Toc422941664"/>
      <w:bookmarkStart w:id="6940" w:name="_Toc423116876"/>
      <w:bookmarkStart w:id="6941" w:name="_Toc423117909"/>
      <w:bookmarkStart w:id="6942" w:name="_Toc423117356"/>
      <w:bookmarkStart w:id="6943" w:name="_Toc431288955"/>
      <w:r>
        <w:t>Microsoft Azure Backup</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2C5D98BF" w14:textId="7826C8EB" w:rsidR="009728AF" w:rsidRPr="00A13704" w:rsidRDefault="00914EA0" w:rsidP="009728AF">
      <w:pPr>
        <w:rPr>
          <w:rFonts w:eastAsia="Times New Roman" w:cs="Times New Roman"/>
        </w:rPr>
      </w:pPr>
      <w:bookmarkStart w:id="6944" w:name="_Toc414892155"/>
      <w:bookmarkStart w:id="6945" w:name="_Toc414960178"/>
      <w:bookmarkStart w:id="6946" w:name="_Toc414969149"/>
      <w:bookmarkStart w:id="6947" w:name="_Toc415011373"/>
      <w:bookmarkStart w:id="6948" w:name="_Toc415040067"/>
      <w:bookmarkStart w:id="6949" w:name="_Toc415572424"/>
      <w:r w:rsidRPr="00A13704">
        <w:rPr>
          <w:rFonts w:eastAsia="Times New Roman" w:cs="Times New Roman"/>
        </w:rPr>
        <w:t>Microsoft</w:t>
      </w:r>
      <w:r w:rsidR="009728AF" w:rsidRPr="00A13704">
        <w:rPr>
          <w:rFonts w:eastAsia="Times New Roman" w:cs="Times New Roman"/>
        </w:rPr>
        <w:t xml:space="preserve"> Azure Backup is a feature </w:t>
      </w:r>
      <w:r w:rsidR="009728AF">
        <w:rPr>
          <w:rFonts w:eastAsia="Times New Roman" w:cs="Times New Roman"/>
        </w:rPr>
        <w:t>with</w:t>
      </w:r>
      <w:r w:rsidR="009728AF" w:rsidRPr="00A13704">
        <w:rPr>
          <w:rFonts w:eastAsia="Times New Roman" w:cs="Times New Roman"/>
        </w:rPr>
        <w:t xml:space="preserve">in Azure that enables off-site file and folder backups from the on-premises Windows Server or System Center Data Protection Manager </w:t>
      </w:r>
      <w:r w:rsidR="009728AF">
        <w:rPr>
          <w:rFonts w:eastAsia="Times New Roman" w:cs="Times New Roman"/>
        </w:rPr>
        <w:t xml:space="preserve">Server </w:t>
      </w:r>
      <w:r w:rsidR="009728AF" w:rsidRPr="00A13704">
        <w:rPr>
          <w:rFonts w:eastAsia="Times New Roman" w:cs="Times New Roman"/>
        </w:rPr>
        <w:t>to Azure</w:t>
      </w:r>
      <w:r w:rsidR="009728AF">
        <w:rPr>
          <w:rFonts w:eastAsia="Times New Roman" w:cs="Times New Roman"/>
        </w:rPr>
        <w:t xml:space="preserve"> Storage</w:t>
      </w:r>
      <w:r w:rsidR="009728AF" w:rsidRPr="00A13704">
        <w:rPr>
          <w:rFonts w:eastAsia="Times New Roman" w:cs="Times New Roman"/>
        </w:rPr>
        <w:t>.</w:t>
      </w:r>
    </w:p>
    <w:p w14:paraId="1DB99A13" w14:textId="77777777" w:rsidR="009728AF" w:rsidRDefault="009728AF" w:rsidP="009728AF">
      <w:pPr>
        <w:rPr>
          <w:rFonts w:eastAsia="Times New Roman" w:cs="Times New Roman"/>
        </w:rPr>
      </w:pPr>
      <w:r>
        <w:rPr>
          <w:rFonts w:eastAsia="Times New Roman" w:cs="Times New Roman"/>
        </w:rPr>
        <w:t>By u</w:t>
      </w:r>
      <w:r w:rsidRPr="00A13704">
        <w:rPr>
          <w:rFonts w:eastAsia="Times New Roman" w:cs="Times New Roman"/>
        </w:rPr>
        <w:t xml:space="preserve">sing incremental backups, only changes to files are transferred to the cloud. This helps </w:t>
      </w:r>
      <w:r>
        <w:rPr>
          <w:rFonts w:eastAsia="Times New Roman" w:cs="Times New Roman"/>
        </w:rPr>
        <w:t>en</w:t>
      </w:r>
      <w:r w:rsidRPr="00A13704">
        <w:rPr>
          <w:rFonts w:eastAsia="Times New Roman" w:cs="Times New Roman"/>
        </w:rPr>
        <w:t xml:space="preserve">sure efficient use of storage, reduced bandwidth consumption, and point-in-time recovery of multiple versions of data. </w:t>
      </w:r>
    </w:p>
    <w:p w14:paraId="745897B3" w14:textId="77777777" w:rsidR="009728AF" w:rsidRPr="00A13704" w:rsidRDefault="009728AF" w:rsidP="009728AF">
      <w:pPr>
        <w:rPr>
          <w:rFonts w:eastAsia="Times New Roman" w:cs="Times New Roman"/>
        </w:rPr>
      </w:pPr>
      <w:r w:rsidRPr="00A13704">
        <w:rPr>
          <w:rFonts w:eastAsia="Times New Roman" w:cs="Times New Roman"/>
        </w:rPr>
        <w:t>Configurable data-retention policies, data compression, and data-transfer throttling also offer added flexibility and help boost efficiency. Backups are stored</w:t>
      </w:r>
      <w:r>
        <w:rPr>
          <w:rFonts w:eastAsia="Times New Roman" w:cs="Times New Roman"/>
        </w:rPr>
        <w:t xml:space="preserve"> offsite</w:t>
      </w:r>
      <w:r w:rsidRPr="00A13704">
        <w:rPr>
          <w:rFonts w:eastAsia="Times New Roman" w:cs="Times New Roman"/>
        </w:rPr>
        <w:t xml:space="preserve"> in Azure</w:t>
      </w:r>
      <w:r>
        <w:rPr>
          <w:rFonts w:eastAsia="Times New Roman" w:cs="Times New Roman"/>
        </w:rPr>
        <w:t xml:space="preserve">, which </w:t>
      </w:r>
      <w:r w:rsidRPr="00A13704">
        <w:rPr>
          <w:rFonts w:eastAsia="Times New Roman" w:cs="Times New Roman"/>
        </w:rPr>
        <w:t>reduc</w:t>
      </w:r>
      <w:r>
        <w:rPr>
          <w:rFonts w:eastAsia="Times New Roman" w:cs="Times New Roman"/>
        </w:rPr>
        <w:t>es</w:t>
      </w:r>
      <w:r w:rsidRPr="00A13704">
        <w:rPr>
          <w:rFonts w:eastAsia="Times New Roman" w:cs="Times New Roman"/>
        </w:rPr>
        <w:t xml:space="preserve"> the need to secure and protect on-site backup media.</w:t>
      </w:r>
    </w:p>
    <w:p w14:paraId="05C0B534" w14:textId="77777777" w:rsidR="009728AF" w:rsidRPr="00A13704" w:rsidRDefault="009728AF" w:rsidP="009728AF">
      <w:pPr>
        <w:rPr>
          <w:rFonts w:eastAsia="Times New Roman" w:cs="Times New Roman"/>
        </w:rPr>
      </w:pPr>
      <w:r>
        <w:rPr>
          <w:rFonts w:eastAsia="Times New Roman" w:cs="Times New Roman"/>
        </w:rPr>
        <w:t>S</w:t>
      </w:r>
      <w:r w:rsidRPr="00A13704">
        <w:rPr>
          <w:rFonts w:eastAsia="Times New Roman" w:cs="Times New Roman"/>
        </w:rPr>
        <w:t>cenarios</w:t>
      </w:r>
      <w:r>
        <w:rPr>
          <w:rFonts w:eastAsia="Times New Roman" w:cs="Times New Roman"/>
        </w:rPr>
        <w:t xml:space="preserve"> include</w:t>
      </w:r>
      <w:r w:rsidRPr="00A13704">
        <w:rPr>
          <w:rFonts w:eastAsia="Times New Roman" w:cs="Times New Roman"/>
        </w:rPr>
        <w:t>:</w:t>
      </w:r>
    </w:p>
    <w:p w14:paraId="4CF43314" w14:textId="77777777" w:rsidR="009728AF" w:rsidRPr="00A13704" w:rsidRDefault="009728AF" w:rsidP="009728AF">
      <w:pPr>
        <w:pStyle w:val="ListBullet"/>
        <w:numPr>
          <w:ilvl w:val="0"/>
          <w:numId w:val="8"/>
        </w:numPr>
        <w:rPr>
          <w:rFonts w:eastAsia="Times New Roman"/>
        </w:rPr>
      </w:pPr>
      <w:r w:rsidRPr="00A13704">
        <w:rPr>
          <w:rFonts w:eastAsia="Times New Roman"/>
          <w:b/>
        </w:rPr>
        <w:t xml:space="preserve">Small </w:t>
      </w:r>
      <w:r>
        <w:rPr>
          <w:rFonts w:eastAsia="Times New Roman"/>
          <w:b/>
        </w:rPr>
        <w:t>b</w:t>
      </w:r>
      <w:r w:rsidRPr="00A13704">
        <w:rPr>
          <w:rFonts w:eastAsia="Times New Roman"/>
          <w:b/>
        </w:rPr>
        <w:t>usiness</w:t>
      </w:r>
      <w:r>
        <w:rPr>
          <w:rFonts w:eastAsia="Times New Roman"/>
          <w:b/>
        </w:rPr>
        <w:t>es</w:t>
      </w:r>
      <w:r w:rsidRPr="00A13704">
        <w:rPr>
          <w:rFonts w:eastAsia="Times New Roman"/>
          <w:b/>
        </w:rPr>
        <w:t>:</w:t>
      </w:r>
      <w:r w:rsidRPr="00A13704">
        <w:rPr>
          <w:rFonts w:eastAsia="Times New Roman"/>
        </w:rPr>
        <w:t xml:space="preserve"> Low-cost backup and recovery </w:t>
      </w:r>
      <w:r>
        <w:rPr>
          <w:rFonts w:eastAsia="Times New Roman"/>
        </w:rPr>
        <w:t>s</w:t>
      </w:r>
      <w:r w:rsidRPr="00A13704">
        <w:rPr>
          <w:rFonts w:eastAsia="Times New Roman"/>
        </w:rPr>
        <w:t>olution for single-server backups</w:t>
      </w:r>
    </w:p>
    <w:p w14:paraId="4F586007" w14:textId="77777777" w:rsidR="009728AF" w:rsidRPr="00A13704" w:rsidRDefault="009728AF" w:rsidP="009728AF">
      <w:pPr>
        <w:pStyle w:val="ListBullet"/>
        <w:numPr>
          <w:ilvl w:val="0"/>
          <w:numId w:val="8"/>
        </w:numPr>
        <w:rPr>
          <w:rFonts w:eastAsia="Times New Roman"/>
        </w:rPr>
      </w:pPr>
      <w:r w:rsidRPr="00A13704">
        <w:rPr>
          <w:rFonts w:eastAsia="Times New Roman"/>
          <w:b/>
        </w:rPr>
        <w:t xml:space="preserve">Departmental </w:t>
      </w:r>
      <w:r>
        <w:rPr>
          <w:rFonts w:eastAsia="Times New Roman"/>
          <w:b/>
        </w:rPr>
        <w:t>b</w:t>
      </w:r>
      <w:r w:rsidRPr="00A13704">
        <w:rPr>
          <w:rFonts w:eastAsia="Times New Roman"/>
          <w:b/>
        </w:rPr>
        <w:t>ackups:</w:t>
      </w:r>
      <w:r w:rsidRPr="00A13704">
        <w:rPr>
          <w:rFonts w:eastAsia="Times New Roman"/>
        </w:rPr>
        <w:t xml:space="preserve"> Low-cost backup alternative for departments in mid- to large-size organizations</w:t>
      </w:r>
    </w:p>
    <w:p w14:paraId="0C68DD9D" w14:textId="5308B283" w:rsidR="009728AF" w:rsidRDefault="009728AF" w:rsidP="009728AF">
      <w:pPr>
        <w:pStyle w:val="ListBullet"/>
        <w:numPr>
          <w:ilvl w:val="0"/>
          <w:numId w:val="8"/>
        </w:numPr>
        <w:rPr>
          <w:rFonts w:eastAsia="Times New Roman"/>
        </w:rPr>
      </w:pPr>
      <w:r w:rsidRPr="00256000">
        <w:rPr>
          <w:rFonts w:eastAsia="Times New Roman"/>
          <w:b/>
        </w:rPr>
        <w:t>Remote office backup and recovery consolidation</w:t>
      </w:r>
      <w:r w:rsidRPr="00A13704">
        <w:rPr>
          <w:rFonts w:eastAsia="Times New Roman"/>
        </w:rPr>
        <w:t>: Consolidate backups of remote offices</w:t>
      </w:r>
    </w:p>
    <w:p w14:paraId="7AD4D117" w14:textId="4DBFE6B9" w:rsidR="00914EA0" w:rsidRPr="009728AF" w:rsidRDefault="009728AF" w:rsidP="009728AF">
      <w:pPr>
        <w:pStyle w:val="ListBullet"/>
        <w:numPr>
          <w:ilvl w:val="0"/>
          <w:numId w:val="8"/>
        </w:numPr>
        <w:rPr>
          <w:rFonts w:eastAsia="Times New Roman"/>
        </w:rPr>
      </w:pPr>
      <w:r w:rsidRPr="009728AF">
        <w:rPr>
          <w:rFonts w:eastAsia="Times New Roman"/>
          <w:b/>
        </w:rPr>
        <w:t>Enterprises:</w:t>
      </w:r>
      <w:r w:rsidRPr="009728AF">
        <w:rPr>
          <w:rFonts w:eastAsia="Times New Roman"/>
        </w:rPr>
        <w:t xml:space="preserve"> Off-site protection of data, databases, and virtual machines from System Center Data Protection Manager</w:t>
      </w:r>
    </w:p>
    <w:tbl>
      <w:tblPr>
        <w:tblStyle w:val="PlainTable11"/>
        <w:tblW w:w="9450" w:type="dxa"/>
        <w:tblLook w:val="04A0" w:firstRow="1" w:lastRow="0" w:firstColumn="1" w:lastColumn="0" w:noHBand="0" w:noVBand="1"/>
      </w:tblPr>
      <w:tblGrid>
        <w:gridCol w:w="2700"/>
        <w:gridCol w:w="6750"/>
      </w:tblGrid>
      <w:tr w:rsidR="00A7245A" w:rsidRPr="00F47607" w14:paraId="5A37C707" w14:textId="77777777" w:rsidTr="00BF7F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50" w:type="dxa"/>
            <w:gridSpan w:val="2"/>
            <w:shd w:val="clear" w:color="auto" w:fill="808080" w:themeFill="background1" w:themeFillShade="80"/>
          </w:tcPr>
          <w:p w14:paraId="41FB2142" w14:textId="77777777" w:rsidR="00A7245A" w:rsidRPr="00F47607" w:rsidRDefault="00A7245A" w:rsidP="004247F3">
            <w:pPr>
              <w:spacing w:line="240" w:lineRule="auto"/>
              <w:rPr>
                <w:color w:val="FFFFFF"/>
              </w:rPr>
            </w:pPr>
            <w:r>
              <w:rPr>
                <w:color w:val="FFFFFF"/>
              </w:rPr>
              <w:t>Feature References</w:t>
            </w:r>
          </w:p>
        </w:tc>
      </w:tr>
      <w:tr w:rsidR="00914EA0" w:rsidRPr="00BF7F28" w14:paraId="66711D95"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24B9A103" w14:textId="36E39F72" w:rsidR="00914EA0" w:rsidRPr="00BF7F28" w:rsidRDefault="00914EA0" w:rsidP="00914EA0">
            <w:pPr>
              <w:spacing w:line="240" w:lineRule="auto"/>
              <w:rPr>
                <w:sz w:val="20"/>
                <w:szCs w:val="20"/>
              </w:rPr>
            </w:pPr>
            <w:r w:rsidRPr="00BF7F28">
              <w:rPr>
                <w:sz w:val="20"/>
                <w:szCs w:val="20"/>
              </w:rPr>
              <w:t>Azure Backup Overview</w:t>
            </w:r>
          </w:p>
        </w:tc>
        <w:tc>
          <w:tcPr>
            <w:tcW w:w="6750" w:type="dxa"/>
          </w:tcPr>
          <w:p w14:paraId="0062B973" w14:textId="7890AF85" w:rsidR="00914EA0" w:rsidRPr="00FA11FE" w:rsidRDefault="00872E47" w:rsidP="00914EA0">
            <w:pPr>
              <w:cnfStyle w:val="000000100000" w:firstRow="0" w:lastRow="0" w:firstColumn="0" w:lastColumn="0" w:oddVBand="0" w:evenVBand="0" w:oddHBand="1" w:evenHBand="0" w:firstRowFirstColumn="0" w:firstRowLastColumn="0" w:lastRowFirstColumn="0" w:lastRowLastColumn="0"/>
              <w:rPr>
                <w:sz w:val="20"/>
                <w:szCs w:val="20"/>
              </w:rPr>
            </w:pPr>
            <w:hyperlink r:id="rId590" w:history="1">
              <w:r w:rsidR="00FA11FE" w:rsidRPr="00FA11FE">
                <w:rPr>
                  <w:rStyle w:val="Hyperlink"/>
                  <w:sz w:val="20"/>
                  <w:szCs w:val="20"/>
                </w:rPr>
                <w:t>https://azure.microsoft.com/documentation/articles/backup-introduction-to-azure-backup/</w:t>
              </w:r>
            </w:hyperlink>
            <w:r w:rsidR="00FA11FE" w:rsidRPr="00FA11FE">
              <w:rPr>
                <w:sz w:val="20"/>
                <w:szCs w:val="20"/>
              </w:rPr>
              <w:t xml:space="preserve"> </w:t>
            </w:r>
            <w:r w:rsidR="00914EA0" w:rsidRPr="00FA11FE">
              <w:rPr>
                <w:sz w:val="20"/>
                <w:szCs w:val="20"/>
              </w:rPr>
              <w:t xml:space="preserve"> </w:t>
            </w:r>
          </w:p>
        </w:tc>
      </w:tr>
      <w:tr w:rsidR="00A7245A" w:rsidRPr="00BF7F28" w14:paraId="03113ABD" w14:textId="77777777" w:rsidTr="00BF7F28">
        <w:tc>
          <w:tcPr>
            <w:cnfStyle w:val="001000000000" w:firstRow="0" w:lastRow="0" w:firstColumn="1" w:lastColumn="0" w:oddVBand="0" w:evenVBand="0" w:oddHBand="0" w:evenHBand="0" w:firstRowFirstColumn="0" w:firstRowLastColumn="0" w:lastRowFirstColumn="0" w:lastRowLastColumn="0"/>
            <w:tcW w:w="2700" w:type="dxa"/>
          </w:tcPr>
          <w:p w14:paraId="28DB4085" w14:textId="77777777" w:rsidR="00A7245A" w:rsidRPr="00BF7F28" w:rsidRDefault="00A7245A" w:rsidP="004247F3">
            <w:pPr>
              <w:spacing w:line="240" w:lineRule="auto"/>
              <w:rPr>
                <w:sz w:val="20"/>
                <w:szCs w:val="20"/>
              </w:rPr>
            </w:pPr>
            <w:r w:rsidRPr="00BF7F28">
              <w:rPr>
                <w:sz w:val="20"/>
                <w:szCs w:val="20"/>
              </w:rPr>
              <w:t>Configure Azure Backup</w:t>
            </w:r>
          </w:p>
        </w:tc>
        <w:tc>
          <w:tcPr>
            <w:tcW w:w="6750" w:type="dxa"/>
          </w:tcPr>
          <w:p w14:paraId="7E46F425" w14:textId="77777777" w:rsidR="00A7245A" w:rsidRPr="00BF7F28" w:rsidRDefault="00872E47" w:rsidP="004247F3">
            <w:pPr>
              <w:cnfStyle w:val="000000000000" w:firstRow="0" w:lastRow="0" w:firstColumn="0" w:lastColumn="0" w:oddVBand="0" w:evenVBand="0" w:oddHBand="0" w:evenHBand="0" w:firstRowFirstColumn="0" w:firstRowLastColumn="0" w:lastRowFirstColumn="0" w:lastRowLastColumn="0"/>
              <w:rPr>
                <w:sz w:val="20"/>
                <w:szCs w:val="20"/>
              </w:rPr>
            </w:pPr>
            <w:hyperlink r:id="rId591" w:history="1">
              <w:r w:rsidR="00A7245A" w:rsidRPr="00BF7F28">
                <w:rPr>
                  <w:rStyle w:val="Hyperlink"/>
                  <w:sz w:val="20"/>
                  <w:szCs w:val="20"/>
                </w:rPr>
                <w:t>http://azure.microsoft.com/en-us/documentation/articles/backup-configure-vault/</w:t>
              </w:r>
            </w:hyperlink>
          </w:p>
        </w:tc>
      </w:tr>
      <w:tr w:rsidR="00A7245A" w:rsidRPr="00BF7F28" w14:paraId="2A1FF0BA"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47070B8C" w14:textId="7E222419" w:rsidR="00A7245A" w:rsidRPr="00BF7F28" w:rsidRDefault="00190C38" w:rsidP="004247F3">
            <w:pPr>
              <w:spacing w:line="240" w:lineRule="auto"/>
              <w:rPr>
                <w:sz w:val="20"/>
                <w:szCs w:val="20"/>
              </w:rPr>
            </w:pPr>
            <w:r w:rsidRPr="00BF7F28">
              <w:rPr>
                <w:sz w:val="20"/>
                <w:szCs w:val="20"/>
                <w:lang w:val="en"/>
              </w:rPr>
              <w:t>Administer Azure Backup with Windows PowerShell</w:t>
            </w:r>
          </w:p>
        </w:tc>
        <w:tc>
          <w:tcPr>
            <w:tcW w:w="6750" w:type="dxa"/>
          </w:tcPr>
          <w:p w14:paraId="7452DE1D" w14:textId="77777777" w:rsidR="00A7245A" w:rsidRPr="00BF7F28" w:rsidRDefault="00872E47" w:rsidP="004247F3">
            <w:pPr>
              <w:cnfStyle w:val="000000100000" w:firstRow="0" w:lastRow="0" w:firstColumn="0" w:lastColumn="0" w:oddVBand="0" w:evenVBand="0" w:oddHBand="1" w:evenHBand="0" w:firstRowFirstColumn="0" w:firstRowLastColumn="0" w:lastRowFirstColumn="0" w:lastRowLastColumn="0"/>
              <w:rPr>
                <w:sz w:val="20"/>
                <w:szCs w:val="20"/>
              </w:rPr>
            </w:pPr>
            <w:hyperlink r:id="rId592" w:history="1">
              <w:r w:rsidR="00A7245A" w:rsidRPr="00BF7F28">
                <w:rPr>
                  <w:rStyle w:val="Hyperlink"/>
                  <w:sz w:val="20"/>
                  <w:szCs w:val="20"/>
                </w:rPr>
                <w:t>https://msdn.microsoft.com/en-us/library/azure/hh831765.aspx</w:t>
              </w:r>
            </w:hyperlink>
            <w:r w:rsidR="00A7245A" w:rsidRPr="00BF7F28">
              <w:rPr>
                <w:sz w:val="20"/>
                <w:szCs w:val="20"/>
              </w:rPr>
              <w:t xml:space="preserve"> </w:t>
            </w:r>
          </w:p>
        </w:tc>
      </w:tr>
      <w:tr w:rsidR="00A7245A" w:rsidRPr="00BF7F28" w14:paraId="10D94761" w14:textId="77777777" w:rsidTr="00BF7F28">
        <w:tc>
          <w:tcPr>
            <w:cnfStyle w:val="001000000000" w:firstRow="0" w:lastRow="0" w:firstColumn="1" w:lastColumn="0" w:oddVBand="0" w:evenVBand="0" w:oddHBand="0" w:evenHBand="0" w:firstRowFirstColumn="0" w:firstRowLastColumn="0" w:lastRowFirstColumn="0" w:lastRowLastColumn="0"/>
            <w:tcW w:w="2700" w:type="dxa"/>
          </w:tcPr>
          <w:p w14:paraId="2662E285" w14:textId="344BF1E7" w:rsidR="00A7245A" w:rsidRPr="00BF7F28" w:rsidRDefault="00FA11FE" w:rsidP="00FA11FE">
            <w:pPr>
              <w:spacing w:line="240" w:lineRule="auto"/>
              <w:rPr>
                <w:sz w:val="20"/>
                <w:szCs w:val="20"/>
              </w:rPr>
            </w:pPr>
            <w:r>
              <w:rPr>
                <w:sz w:val="20"/>
                <w:szCs w:val="20"/>
                <w:lang w:val="en"/>
              </w:rPr>
              <w:t>Azure Backup in 10 minutes</w:t>
            </w:r>
          </w:p>
        </w:tc>
        <w:tc>
          <w:tcPr>
            <w:tcW w:w="6750" w:type="dxa"/>
          </w:tcPr>
          <w:p w14:paraId="3A98BEB7" w14:textId="69455021" w:rsidR="00A7245A" w:rsidRPr="00BF7F28" w:rsidRDefault="00872E47" w:rsidP="00FA11FE">
            <w:pPr>
              <w:cnfStyle w:val="000000000000" w:firstRow="0" w:lastRow="0" w:firstColumn="0" w:lastColumn="0" w:oddVBand="0" w:evenVBand="0" w:oddHBand="0" w:evenHBand="0" w:firstRowFirstColumn="0" w:firstRowLastColumn="0" w:lastRowFirstColumn="0" w:lastRowLastColumn="0"/>
              <w:rPr>
                <w:sz w:val="20"/>
                <w:szCs w:val="20"/>
              </w:rPr>
            </w:pPr>
            <w:hyperlink r:id="rId593" w:history="1">
              <w:r w:rsidR="00FA11FE" w:rsidRPr="00737874">
                <w:rPr>
                  <w:rStyle w:val="Hyperlink"/>
                  <w:sz w:val="20"/>
                  <w:szCs w:val="20"/>
                </w:rPr>
                <w:t>https://azure.microsoft.com/en-us/documentation/articles/backup-try-azure-backup-in-10-mins/</w:t>
              </w:r>
            </w:hyperlink>
            <w:r w:rsidR="00FA11FE">
              <w:rPr>
                <w:sz w:val="20"/>
                <w:szCs w:val="20"/>
              </w:rPr>
              <w:t xml:space="preserve"> </w:t>
            </w:r>
            <w:r w:rsidR="00914EA0" w:rsidRPr="00BF7F28">
              <w:rPr>
                <w:sz w:val="20"/>
                <w:szCs w:val="20"/>
              </w:rPr>
              <w:t xml:space="preserve"> </w:t>
            </w:r>
          </w:p>
        </w:tc>
      </w:tr>
      <w:tr w:rsidR="00C44C89" w:rsidRPr="00BF7F28" w14:paraId="2BEBCF1B"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19197772" w14:textId="1074FF2D" w:rsidR="00C44C89" w:rsidRPr="00BF7F28" w:rsidRDefault="00C44C89" w:rsidP="004247F3">
            <w:pPr>
              <w:spacing w:line="240" w:lineRule="auto"/>
              <w:rPr>
                <w:sz w:val="20"/>
                <w:szCs w:val="20"/>
              </w:rPr>
            </w:pPr>
            <w:r w:rsidRPr="00BF7F28">
              <w:rPr>
                <w:sz w:val="20"/>
                <w:szCs w:val="20"/>
              </w:rPr>
              <w:t xml:space="preserve">Azure Import/Export Service </w:t>
            </w:r>
          </w:p>
        </w:tc>
        <w:tc>
          <w:tcPr>
            <w:tcW w:w="6750" w:type="dxa"/>
          </w:tcPr>
          <w:p w14:paraId="01080671" w14:textId="0C60B6CD" w:rsidR="00C44C89" w:rsidRPr="00BF7F28" w:rsidRDefault="00872E47" w:rsidP="004247F3">
            <w:pPr>
              <w:cnfStyle w:val="000000100000" w:firstRow="0" w:lastRow="0" w:firstColumn="0" w:lastColumn="0" w:oddVBand="0" w:evenVBand="0" w:oddHBand="1" w:evenHBand="0" w:firstRowFirstColumn="0" w:firstRowLastColumn="0" w:lastRowFirstColumn="0" w:lastRowLastColumn="0"/>
              <w:rPr>
                <w:sz w:val="20"/>
                <w:szCs w:val="20"/>
              </w:rPr>
            </w:pPr>
            <w:hyperlink r:id="rId594" w:history="1">
              <w:r w:rsidR="00C44C89" w:rsidRPr="00BF7F28">
                <w:rPr>
                  <w:rStyle w:val="Hyperlink"/>
                  <w:sz w:val="20"/>
                  <w:szCs w:val="20"/>
                </w:rPr>
                <w:t>http://azure.microsoft.com/en-us/documentation/articles/storage-import-export-service/</w:t>
              </w:r>
            </w:hyperlink>
            <w:r w:rsidR="00C44C89" w:rsidRPr="00BF7F28">
              <w:rPr>
                <w:sz w:val="20"/>
                <w:szCs w:val="20"/>
              </w:rPr>
              <w:t xml:space="preserve"> </w:t>
            </w:r>
          </w:p>
        </w:tc>
      </w:tr>
      <w:tr w:rsidR="0017548F" w:rsidRPr="00BF7F28" w14:paraId="53D3080D" w14:textId="77777777" w:rsidTr="00BF7F28">
        <w:tc>
          <w:tcPr>
            <w:cnfStyle w:val="001000000000" w:firstRow="0" w:lastRow="0" w:firstColumn="1" w:lastColumn="0" w:oddVBand="0" w:evenVBand="0" w:oddHBand="0" w:evenHBand="0" w:firstRowFirstColumn="0" w:firstRowLastColumn="0" w:lastRowFirstColumn="0" w:lastRowLastColumn="0"/>
            <w:tcW w:w="2700" w:type="dxa"/>
          </w:tcPr>
          <w:p w14:paraId="2ACB265C" w14:textId="057D8CA9" w:rsidR="0017548F" w:rsidRPr="00BF7F28" w:rsidRDefault="0017548F" w:rsidP="004247F3">
            <w:pPr>
              <w:spacing w:line="240" w:lineRule="auto"/>
              <w:rPr>
                <w:sz w:val="20"/>
                <w:szCs w:val="20"/>
              </w:rPr>
            </w:pPr>
            <w:r w:rsidRPr="00BF7F28">
              <w:rPr>
                <w:sz w:val="20"/>
                <w:szCs w:val="20"/>
              </w:rPr>
              <w:t>Azure Backup for IaaS</w:t>
            </w:r>
            <w:r w:rsidR="00FA11FE">
              <w:rPr>
                <w:sz w:val="20"/>
                <w:szCs w:val="20"/>
              </w:rPr>
              <w:t xml:space="preserve"> (Preview)</w:t>
            </w:r>
          </w:p>
        </w:tc>
        <w:tc>
          <w:tcPr>
            <w:tcW w:w="6750" w:type="dxa"/>
          </w:tcPr>
          <w:p w14:paraId="4E8B5F47" w14:textId="6D01A76D" w:rsidR="0017548F" w:rsidRPr="00BF7F28" w:rsidRDefault="00872E47" w:rsidP="0017548F">
            <w:pPr>
              <w:cnfStyle w:val="000000000000" w:firstRow="0" w:lastRow="0" w:firstColumn="0" w:lastColumn="0" w:oddVBand="0" w:evenVBand="0" w:oddHBand="0" w:evenHBand="0" w:firstRowFirstColumn="0" w:firstRowLastColumn="0" w:lastRowFirstColumn="0" w:lastRowLastColumn="0"/>
              <w:rPr>
                <w:sz w:val="20"/>
                <w:szCs w:val="20"/>
              </w:rPr>
            </w:pPr>
            <w:hyperlink r:id="rId595" w:history="1">
              <w:r w:rsidR="0017548F" w:rsidRPr="00BF7F28">
                <w:rPr>
                  <w:rStyle w:val="Hyperlink"/>
                  <w:sz w:val="20"/>
                  <w:szCs w:val="20"/>
                </w:rPr>
                <w:t>http://azure.microsoft.com/blog/2015/03/26/azure-backup-announcing-support-for-backup-of-azure-iaas-vms</w:t>
              </w:r>
            </w:hyperlink>
            <w:r w:rsidR="0017548F" w:rsidRPr="00BF7F28">
              <w:rPr>
                <w:sz w:val="20"/>
                <w:szCs w:val="20"/>
              </w:rPr>
              <w:t xml:space="preserve"> </w:t>
            </w:r>
          </w:p>
        </w:tc>
      </w:tr>
      <w:tr w:rsidR="00914EA0" w:rsidRPr="00BF7F28" w14:paraId="5BCAB32A"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14A805B4" w14:textId="22D432FA" w:rsidR="00914EA0" w:rsidRPr="00BF7F28" w:rsidRDefault="00914EA0" w:rsidP="00914EA0">
            <w:pPr>
              <w:spacing w:line="240" w:lineRule="auto"/>
              <w:rPr>
                <w:sz w:val="20"/>
                <w:szCs w:val="20"/>
              </w:rPr>
            </w:pPr>
            <w:r w:rsidRPr="00BF7F28">
              <w:rPr>
                <w:sz w:val="20"/>
                <w:szCs w:val="20"/>
                <w:lang w:val="en"/>
              </w:rPr>
              <w:t>Configure Azure Backup to quickly and easily back up Windows Server</w:t>
            </w:r>
          </w:p>
        </w:tc>
        <w:tc>
          <w:tcPr>
            <w:tcW w:w="6750" w:type="dxa"/>
          </w:tcPr>
          <w:p w14:paraId="50EF9FFE" w14:textId="77777777" w:rsidR="00914EA0" w:rsidRPr="00BF7F28" w:rsidRDefault="00872E47" w:rsidP="00914EA0">
            <w:pPr>
              <w:cnfStyle w:val="000000100000" w:firstRow="0" w:lastRow="0" w:firstColumn="0" w:lastColumn="0" w:oddVBand="0" w:evenVBand="0" w:oddHBand="1" w:evenHBand="0" w:firstRowFirstColumn="0" w:firstRowLastColumn="0" w:lastRowFirstColumn="0" w:lastRowLastColumn="0"/>
              <w:rPr>
                <w:sz w:val="20"/>
                <w:szCs w:val="20"/>
              </w:rPr>
            </w:pPr>
            <w:hyperlink r:id="rId596" w:history="1">
              <w:r w:rsidR="00914EA0" w:rsidRPr="00BF7F28">
                <w:rPr>
                  <w:rStyle w:val="Hyperlink"/>
                  <w:sz w:val="20"/>
                  <w:szCs w:val="20"/>
                </w:rPr>
                <w:t>http://azure.microsoft.com/en-us/documentation/articles/backup-configure-vault/</w:t>
              </w:r>
            </w:hyperlink>
          </w:p>
          <w:p w14:paraId="0CEF84EA" w14:textId="22D00ECA" w:rsidR="00914EA0" w:rsidRPr="00BF7F28" w:rsidRDefault="00914EA0" w:rsidP="00914EA0">
            <w:pPr>
              <w:cnfStyle w:val="000000100000" w:firstRow="0" w:lastRow="0" w:firstColumn="0" w:lastColumn="0" w:oddVBand="0" w:evenVBand="0" w:oddHBand="1" w:evenHBand="0" w:firstRowFirstColumn="0" w:firstRowLastColumn="0" w:lastRowFirstColumn="0" w:lastRowLastColumn="0"/>
              <w:rPr>
                <w:sz w:val="20"/>
                <w:szCs w:val="20"/>
              </w:rPr>
            </w:pPr>
          </w:p>
        </w:tc>
      </w:tr>
      <w:tr w:rsidR="00914EA0" w:rsidRPr="00BF7F28" w14:paraId="1AF43566" w14:textId="77777777" w:rsidTr="00BF7F28">
        <w:tc>
          <w:tcPr>
            <w:cnfStyle w:val="001000000000" w:firstRow="0" w:lastRow="0" w:firstColumn="1" w:lastColumn="0" w:oddVBand="0" w:evenVBand="0" w:oddHBand="0" w:evenHBand="0" w:firstRowFirstColumn="0" w:firstRowLastColumn="0" w:lastRowFirstColumn="0" w:lastRowLastColumn="0"/>
            <w:tcW w:w="2700" w:type="dxa"/>
          </w:tcPr>
          <w:p w14:paraId="25A8560C" w14:textId="5BE648CA" w:rsidR="00914EA0" w:rsidRPr="00BF7F28" w:rsidRDefault="00914EA0" w:rsidP="00190C38">
            <w:pPr>
              <w:spacing w:line="240" w:lineRule="auto"/>
              <w:rPr>
                <w:sz w:val="20"/>
                <w:szCs w:val="20"/>
              </w:rPr>
            </w:pPr>
            <w:r w:rsidRPr="00BF7F28">
              <w:rPr>
                <w:sz w:val="20"/>
                <w:szCs w:val="20"/>
                <w:lang w:val="en"/>
              </w:rPr>
              <w:t>Backup</w:t>
            </w:r>
            <w:r w:rsidR="00190C38">
              <w:rPr>
                <w:sz w:val="20"/>
                <w:szCs w:val="20"/>
                <w:lang w:val="en"/>
              </w:rPr>
              <w:t xml:space="preserve"> and Recover Using </w:t>
            </w:r>
            <w:r w:rsidRPr="00BF7F28">
              <w:rPr>
                <w:sz w:val="20"/>
                <w:szCs w:val="20"/>
                <w:lang w:val="en"/>
              </w:rPr>
              <w:t>the Azure Backup Agent</w:t>
            </w:r>
          </w:p>
        </w:tc>
        <w:tc>
          <w:tcPr>
            <w:tcW w:w="6750" w:type="dxa"/>
          </w:tcPr>
          <w:p w14:paraId="45F9CB2C" w14:textId="1B08AA5A" w:rsidR="00914EA0" w:rsidRPr="00BF7F28" w:rsidRDefault="00872E47" w:rsidP="00190C38">
            <w:pPr>
              <w:cnfStyle w:val="000000000000" w:firstRow="0" w:lastRow="0" w:firstColumn="0" w:lastColumn="0" w:oddVBand="0" w:evenVBand="0" w:oddHBand="0" w:evenHBand="0" w:firstRowFirstColumn="0" w:firstRowLastColumn="0" w:lastRowFirstColumn="0" w:lastRowLastColumn="0"/>
              <w:rPr>
                <w:sz w:val="20"/>
                <w:szCs w:val="20"/>
              </w:rPr>
            </w:pPr>
            <w:hyperlink r:id="rId597" w:history="1">
              <w:r w:rsidR="00190C38" w:rsidRPr="00737874">
                <w:rPr>
                  <w:rStyle w:val="Hyperlink"/>
                  <w:sz w:val="20"/>
                  <w:szCs w:val="20"/>
                </w:rPr>
                <w:t>https://azure.microsoft.com/documentation/articles/backup-azure-backup-and-recover/</w:t>
              </w:r>
            </w:hyperlink>
            <w:r w:rsidR="00190C38">
              <w:rPr>
                <w:sz w:val="20"/>
                <w:szCs w:val="20"/>
              </w:rPr>
              <w:t xml:space="preserve"> </w:t>
            </w:r>
          </w:p>
        </w:tc>
      </w:tr>
    </w:tbl>
    <w:p w14:paraId="5EE57686" w14:textId="162AF8B7" w:rsidR="00A7245A" w:rsidRDefault="00A7245A" w:rsidP="00D3136E">
      <w:pPr>
        <w:jc w:val="both"/>
      </w:pP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9728AF" w14:paraId="12875754" w14:textId="77777777" w:rsidTr="00F92F5D">
        <w:trPr>
          <w:trHeight w:val="423"/>
        </w:trPr>
        <w:tc>
          <w:tcPr>
            <w:tcW w:w="666" w:type="dxa"/>
          </w:tcPr>
          <w:p w14:paraId="543E2818" w14:textId="77777777" w:rsidR="009728AF" w:rsidRDefault="009728AF" w:rsidP="00F92F5D">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564D0B33" wp14:editId="64B38FF2">
                      <wp:extent cx="200025" cy="180975"/>
                      <wp:effectExtent l="57150" t="19050" r="28575" b="104775"/>
                      <wp:docPr id="35" name="Octagon 35"/>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B876D60" id="Octagon 35"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ZhRcgIAAEwFAAAOAAAAZHJzL2Uyb0RvYy54bWysVF9P2zAQf5+072D5faQpMKAiRVUR0yQE&#10;1WDi2XXs1pLj885u0+7T7+ykoWJISNNe7Dvf7/7f+fpm11i2VRgMuIqXJyPOlJNQG7eq+M/nuy+X&#10;nIUoXC0sOFXxvQr8Zvr503XrJ2oMa7C1QkZGXJi0vuLrGP2kKIJcq0aEE/DKkVADNiISi6uiRtGS&#10;9cYW49Hoa9EC1h5BqhDo9bYT8mm2r7WS8VHroCKzFafYYj4xn8t0FtNrMVmh8Gsj+zDEP0TRCOPI&#10;6WDqVkTBNmj+MtUYiRBAxxMJTQFaG6lyDpRNOXqTzdNaeJVzoeIEP5Qp/D+z8mG7QGbqip+ec+ZE&#10;Qz16lFGswDF6ofK0PkwI9eQX2HOByJTrTmOTbsqC7XJJ90NJ1S4ySY/Uo9GYLEsSlZejq4tss3hV&#10;9hjiNwUNS0TFofOdaym29yGST0IfUMldAGvqO2NtZnC1nFtkW0ENns/JW+4pqRzBipRDF3Wm4t6q&#10;pGzdD6UpeYqzzB7z2KnBnpBSuThOVSCDGZ3UNPkeFE8/VuzxSVXlkRyUxx8rDxrZM7g4KDfGAb5n&#10;wMayD1l3eAr/KO9ELqHeU98RuoUIXt4Zqv+9CHEhkDaAdoW2Oj7SoS201Jie4mwN+Pu994SnwSQp&#10;Zy1tVMXDr41AxZn97mhkr8qzs7SCmTk7vxgTg8eS5bHEbZo5UE9L+j+8zGTCR3sgNULzQss/S15J&#10;JJwk3xWXEQ/MPHabTt+HVLNZhtHaeRHv3ZOXh66n4XrevQj0/RBGmt4HOGyfmLwZxA6b+uFgtomg&#10;TZ7S17r29aaVzYPTfy/pTzjmM+r1E5z+AQAA//8DAFBLAwQUAAYACAAAACEAn7dE8dsAAAADAQAA&#10;DwAAAGRycy9kb3ducmV2LnhtbEyPQUvDQBCF74L/YRnBm92k0hLTbIoIBQ/SYLV43WanSWh2Nuxu&#10;m/jvHb3Yy8DjPd77plhPthcX9KFzpCCdJSCQamc6ahR8fmweMhAhajK6d4QKvjHAury9KXRu3Ejv&#10;eNnFRnAJhVwraGMccilD3aLVYeYGJPaOzlsdWfpGGq9HLre9nCfJUlrdES+0esCXFuvT7mwVVKex&#10;es2q6unLb5bbN2/3qd/ulbq/m55XICJO8T8Mv/iMDiUzHdyZTBC9An4k/l32HtMFiIOCebYAWRby&#10;mr38AQAA//8DAFBLAQItABQABgAIAAAAIQC2gziS/gAAAOEBAAATAAAAAAAAAAAAAAAAAAAAAABb&#10;Q29udGVudF9UeXBlc10ueG1sUEsBAi0AFAAGAAgAAAAhADj9If/WAAAAlAEAAAsAAAAAAAAAAAAA&#10;AAAALwEAAF9yZWxzLy5yZWxzUEsBAi0AFAAGAAgAAAAhAAhdmFFyAgAATAUAAA4AAAAAAAAAAAAA&#10;AAAALgIAAGRycy9lMm9Eb2MueG1sUEsBAi0AFAAGAAgAAAAhAJ+3RPHbAAAAAwEAAA8AAAAAAAAA&#10;AAAAAAAAzAQAAGRycy9kb3ducmV2LnhtbFBLBQYAAAAABAAEAPMAAADUBQAAAAA=&#10;" fillcolor="#c00" strokecolor="#ed7d31 [3205]" strokeweight=".5pt">
                      <w10:anchorlock/>
                    </v:shape>
                  </w:pict>
                </mc:Fallback>
              </mc:AlternateContent>
            </w:r>
          </w:p>
        </w:tc>
        <w:tc>
          <w:tcPr>
            <w:tcW w:w="8604" w:type="dxa"/>
          </w:tcPr>
          <w:p w14:paraId="6F94FA41" w14:textId="77777777" w:rsidR="009728AF" w:rsidRDefault="009728AF" w:rsidP="00F92F5D">
            <w:pPr>
              <w:rPr>
                <w:lang w:eastAsia="en-US"/>
              </w:rPr>
            </w:pPr>
            <w:r w:rsidRPr="00192064">
              <w:rPr>
                <w:b/>
                <w:lang w:eastAsia="en-US"/>
              </w:rPr>
              <w:t>Mandatory</w:t>
            </w:r>
            <w:r>
              <w:rPr>
                <w:lang w:eastAsia="en-US"/>
              </w:rPr>
              <w:t xml:space="preserve">: </w:t>
            </w:r>
          </w:p>
          <w:p w14:paraId="41519223" w14:textId="77777777" w:rsidR="009728AF" w:rsidRDefault="009728AF" w:rsidP="005729D2">
            <w:pPr>
              <w:pStyle w:val="ListParagraph"/>
              <w:numPr>
                <w:ilvl w:val="0"/>
                <w:numId w:val="97"/>
              </w:numPr>
              <w:rPr>
                <w:lang w:eastAsia="en-US"/>
              </w:rPr>
            </w:pPr>
            <w:r>
              <w:rPr>
                <w:lang w:eastAsia="en-US"/>
              </w:rPr>
              <w:t>Azure Backup requires creating a backup vault and schedule</w:t>
            </w:r>
          </w:p>
          <w:p w14:paraId="716032BC" w14:textId="77777777" w:rsidR="009728AF" w:rsidRDefault="009728AF" w:rsidP="005729D2">
            <w:pPr>
              <w:pStyle w:val="ListParagraph"/>
              <w:numPr>
                <w:ilvl w:val="0"/>
                <w:numId w:val="97"/>
              </w:numPr>
              <w:rPr>
                <w:lang w:eastAsia="en-US"/>
              </w:rPr>
            </w:pPr>
            <w:r w:rsidRPr="00E77D86">
              <w:rPr>
                <w:rFonts w:eastAsiaTheme="minorHAnsi"/>
                <w:lang w:eastAsia="en-US"/>
              </w:rPr>
              <w:t>The backup data is encrypted prior to being stored in Azure. The customer is responsible for managing encryption keys and back</w:t>
            </w:r>
            <w:r>
              <w:rPr>
                <w:rFonts w:eastAsiaTheme="minorHAnsi"/>
                <w:lang w:eastAsia="en-US"/>
              </w:rPr>
              <w:t xml:space="preserve">ing </w:t>
            </w:r>
            <w:r w:rsidRPr="00E77D86">
              <w:rPr>
                <w:rFonts w:eastAsiaTheme="minorHAnsi"/>
                <w:lang w:eastAsia="en-US"/>
              </w:rPr>
              <w:t>up those keys. Customer data is never decrypted in Azure</w:t>
            </w:r>
            <w:r>
              <w:rPr>
                <w:rFonts w:eastAsiaTheme="minorHAnsi"/>
                <w:lang w:eastAsia="en-US"/>
              </w:rPr>
              <w:t>.</w:t>
            </w:r>
            <w:r w:rsidRPr="00E77D86">
              <w:rPr>
                <w:rFonts w:eastAsiaTheme="minorHAnsi"/>
                <w:lang w:eastAsia="en-US"/>
              </w:rPr>
              <w:t xml:space="preserve"> </w:t>
            </w:r>
            <w:r>
              <w:rPr>
                <w:rFonts w:eastAsiaTheme="minorHAnsi"/>
                <w:lang w:eastAsia="en-US"/>
              </w:rPr>
              <w:t>To</w:t>
            </w:r>
            <w:r w:rsidRPr="00E77D86">
              <w:rPr>
                <w:rFonts w:eastAsiaTheme="minorHAnsi"/>
                <w:lang w:eastAsia="en-US"/>
              </w:rPr>
              <w:t xml:space="preserve"> restore the data</w:t>
            </w:r>
            <w:r>
              <w:rPr>
                <w:rFonts w:eastAsiaTheme="minorHAnsi"/>
                <w:lang w:eastAsia="en-US"/>
              </w:rPr>
              <w:t>, it</w:t>
            </w:r>
            <w:r w:rsidRPr="00E77D86">
              <w:rPr>
                <w:rFonts w:eastAsiaTheme="minorHAnsi"/>
                <w:lang w:eastAsia="en-US"/>
              </w:rPr>
              <w:t xml:space="preserve"> is decrypted on the on-premises client</w:t>
            </w:r>
            <w:r>
              <w:rPr>
                <w:rFonts w:eastAsiaTheme="minorHAnsi"/>
                <w:lang w:eastAsia="en-US"/>
              </w:rPr>
              <w:t>-</w:t>
            </w:r>
            <w:r w:rsidRPr="00E77D86">
              <w:rPr>
                <w:rFonts w:eastAsiaTheme="minorHAnsi"/>
                <w:lang w:eastAsia="en-US"/>
              </w:rPr>
              <w:t>side by the customer.</w:t>
            </w:r>
          </w:p>
        </w:tc>
      </w:tr>
      <w:tr w:rsidR="009728AF" w14:paraId="3ABA3243" w14:textId="77777777" w:rsidTr="00F92F5D">
        <w:trPr>
          <w:trHeight w:val="423"/>
        </w:trPr>
        <w:tc>
          <w:tcPr>
            <w:tcW w:w="666" w:type="dxa"/>
          </w:tcPr>
          <w:p w14:paraId="6D2DDCE6" w14:textId="77777777" w:rsidR="009728AF" w:rsidRDefault="009728AF" w:rsidP="00F92F5D">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2036096" behindDoc="0" locked="0" layoutInCell="1" allowOverlap="1" wp14:anchorId="57A630BF" wp14:editId="1DA8F691">
                      <wp:simplePos x="0" y="0"/>
                      <wp:positionH relativeFrom="column">
                        <wp:posOffset>66675</wp:posOffset>
                      </wp:positionH>
                      <wp:positionV relativeFrom="paragraph">
                        <wp:posOffset>90170</wp:posOffset>
                      </wp:positionV>
                      <wp:extent cx="209550" cy="180975"/>
                      <wp:effectExtent l="57150" t="19050" r="57150" b="104775"/>
                      <wp:wrapNone/>
                      <wp:docPr id="43" name="Isosceles Tri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14776313" id="Isosceles Triangle 43" o:spid="_x0000_s1026" type="#_x0000_t5" style="position:absolute;margin-left:5.25pt;margin-top:7.1pt;width:16.5pt;height:14.25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nW7hQIAAHEFAAAOAAAAZHJzL2Uyb0RvYy54bWysVNtqGzEQfS/0H4Tem107di5L1sEkuARM&#10;YpqUPMtayRbValRJ9tr9+o60l6RpIFC6D0LaOXM/M1fXh1qTvXBegSnp6CSnRBgOlTKbkn5/Wny5&#10;oMQHZiqmwYiSHoWn17PPn64aW4gxbEFXwhE0YnzR2JJuQ7BFlnm+FTXzJ2CFQaEEV7OAT7fJKsca&#10;tF7rbJznZ1kDrrIOuPAe/962QjpL9qUUPDxI6UUguqQYW0inS+c6ntnsihUbx+xW8S4M9g9R1EwZ&#10;dDqYumWBkZ1Tf5mqFXfgQYYTDnUGUiouUg6YzSh/k83jllmRcsHieDuUyf8/s/x+v3JEVSWdnFJi&#10;WI09uvPgudDCkyenmNloQVCIlWqsL1Dh0a5czNXbJfAfHgXZH5L48B3mIF0dsZgpOaSyH4eyi0Mg&#10;HH+O88vpFJvDUTS6yC/Pp9FZxope2TofvgqoSbyUNHRRpYKz/dKHFt7DUmygVbVQWqeH26xvtCN7&#10;hixY4JenxqMH/wJLObRhpwTCUYuorM03IbFCGOgoeUzcFIM9xrkw4awLOaGjmkTfg+Lpx4odPqqK&#10;xNtBefyx8qCRPIMJg3KtDLj3DOgw6kKWLb7rom/zjiVYQ3VEcjhop8ZbvlDYgCXzYcUcjgn2DEc/&#10;POAhNTQlhe5GyRbcr/f+RzyyF6WUNDh2JfU/d8wJSvSdQV5fjiaTOKfpMZmej/HhXkvWryVmV98A&#10;9nSES8bydI34oPurdFA/44aYR68oYoaj75Ly4PrHTWjXAe4YLubzBMPZtCwszaPlfdcjuZ4Oz8zZ&#10;noVI33voR5QVb4jYYmM/DMx3AaRKLH2pa1dvnOvE9W4HxcXx+p1QL5ty9hsAAP//AwBQSwMEFAAG&#10;AAgAAAAhADU8QjDZAAAABwEAAA8AAABkcnMvZG93bnJldi54bWxMjs1OwzAQhO9IvIO1SFxQ65CG&#10;tgpxKoSSI6ooPIATb36EvY5itw1vz3KC02g0o5mvOCzOigvOYfSk4HGdgEBqvRmpV/D5Ua/2IELU&#10;ZLT1hAq+McChvL0pdG78ld7xcoq94BEKuVYwxDjlUoZ2QKfD2k9InHV+djqynXtpZn3lcWdlmiRb&#10;6fRI/DDoCV8HbL9OZ6fAN8ux29S7/UPtJvvWVVXmjpVS93fLyzOIiEv8K8MvPqNDyUyNP5MJwrJP&#10;nrjJmqUgOM827BvWdAeyLOR//vIHAAD//wMAUEsBAi0AFAAGAAgAAAAhALaDOJL+AAAA4QEAABMA&#10;AAAAAAAAAAAAAAAAAAAAAFtDb250ZW50X1R5cGVzXS54bWxQSwECLQAUAAYACAAAACEAOP0h/9YA&#10;AACUAQAACwAAAAAAAAAAAAAAAAAvAQAAX3JlbHMvLnJlbHNQSwECLQAUAAYACAAAACEABtJ1u4UC&#10;AABxBQAADgAAAAAAAAAAAAAAAAAuAgAAZHJzL2Uyb0RvYy54bWxQSwECLQAUAAYACAAAACEANTxC&#10;MNkAAAAHAQAADwAAAAAAAAAAAAAAAADfBAAAZHJzL2Rvd25yZXYueG1sUEsFBgAAAAAEAAQA8wAA&#10;AOUFAAAAAA==&#10;" fillcolor="yellow" strokecolor="#70ad47 [3209]" strokeweight=".5pt">
                      <v:path arrowok="t"/>
                    </v:shape>
                  </w:pict>
                </mc:Fallback>
              </mc:AlternateContent>
            </w:r>
          </w:p>
        </w:tc>
        <w:tc>
          <w:tcPr>
            <w:tcW w:w="8604" w:type="dxa"/>
          </w:tcPr>
          <w:p w14:paraId="138043EA" w14:textId="77777777" w:rsidR="009728AF" w:rsidRDefault="009728AF" w:rsidP="00F92F5D">
            <w:pPr>
              <w:rPr>
                <w:lang w:eastAsia="en-US"/>
              </w:rPr>
            </w:pPr>
            <w:r>
              <w:rPr>
                <w:rFonts w:eastAsiaTheme="minorHAnsi"/>
                <w:b/>
                <w:lang w:eastAsia="en-US"/>
              </w:rPr>
              <w:t xml:space="preserve">Recommended: </w:t>
            </w:r>
            <w:r>
              <w:rPr>
                <w:rFonts w:eastAsiaTheme="minorHAnsi"/>
                <w:lang w:eastAsia="en-US"/>
              </w:rPr>
              <w:t xml:space="preserve">If you are facing network constraints or need to accelerate the initial back up of your data, you can ship your data through a disk to the nearest Azure datacenter through the Azure Import/Export service. </w:t>
            </w:r>
          </w:p>
        </w:tc>
      </w:tr>
      <w:tr w:rsidR="009728AF" w14:paraId="5E64A64F" w14:textId="77777777" w:rsidTr="00F92F5D">
        <w:trPr>
          <w:trHeight w:val="423"/>
        </w:trPr>
        <w:tc>
          <w:tcPr>
            <w:tcW w:w="666" w:type="dxa"/>
          </w:tcPr>
          <w:p w14:paraId="14270E68" w14:textId="77777777" w:rsidR="009728AF" w:rsidRDefault="009728AF" w:rsidP="00F92F5D">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2041216" behindDoc="0" locked="0" layoutInCell="1" allowOverlap="1" wp14:anchorId="7607D0B8" wp14:editId="24DF1DF4">
                      <wp:simplePos x="0" y="0"/>
                      <wp:positionH relativeFrom="column">
                        <wp:posOffset>66675</wp:posOffset>
                      </wp:positionH>
                      <wp:positionV relativeFrom="paragraph">
                        <wp:posOffset>90170</wp:posOffset>
                      </wp:positionV>
                      <wp:extent cx="180975" cy="180975"/>
                      <wp:effectExtent l="57150" t="19050" r="9525" b="104775"/>
                      <wp:wrapNone/>
                      <wp:docPr id="44" name="Oval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2C8CD230" id="Oval 44" o:spid="_x0000_s1026" style="position:absolute;margin-left:5.25pt;margin-top:7.1pt;width:14.25pt;height:14.25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5aeewIAAGIFAAAOAAAAZHJzL2Uyb0RvYy54bWysVE1PGzEQvVfqf7B8L7sJocCKDUpBVJUi&#10;ggoVZ8drJ1Ztj2s72aS/nrF3s9CChFT1Ynk8b76eZ+bicmc02QofFNiajo5KSoTl0Ci7qumPh5tP&#10;Z5SEyGzDNFhR070I9HL68cNF6yoxhjXoRniCTmyoWlfTdYyuKorA18KwcAROWFRK8IZFFP2qaDxr&#10;0bvRxbgsPxct+MZ54CIEfL3ulHSa/UspeFxIGUQkuqaYW8ynz+cyncX0glUrz9xa8T4N9g9ZGKYs&#10;Bh1cXbPIyMarV66M4h4CyHjEwRQgpeIi14DVjMq/qrlfMydyLUhOcANN4f+55bfbO09UU9PJhBLL&#10;DP7RYss0QRG5aV2oEHLv7nyqLrg58J8BFcUfmiSEHrOT3iQs1kZ2mej9QLTYRcLxcXRWnp+eUMJR&#10;1d+TT1YdjJ0P8asAQ9KlpkJr5UKiglVsOw+xQx9QOTXQqrlRWmfBr5ZX2hMsBGOXX8qT/NMYIDzD&#10;cgld1jn/uNciGWv7XUikJOWZI+ZmFIM/xrmw8TjRgw4zOplJjD0YHr9v2OOTqciNOhiP3zceLHJk&#10;sHEwNsqCf8uBjqM+Zdnh+08MXd2JgiU0e+wGD92YBMdvFPI/ZyHeMY9zgROEsx4XeEgNbU2hv1Gy&#10;Bv/7rfeEx3ZFLSUtzllNw68N84IS/c1iI5+PJpM0mFmYnJyOUfAvNcuXGrsxV4B/OsKt4ni+JnzU&#10;h6v0YB5xJcxSVFQxyzF2TXn0B+EqdvOPS4WL2SzDcBgdi3N77/jh11NzPewemXd9E0bs3ls4zOSr&#10;Ruyw6T8szDYRpMpd+sxrzzcOcm6cfumkTfFSzqjn1Th9AgAA//8DAFBLAwQUAAYACAAAACEAwhqf&#10;It4AAAAHAQAADwAAAGRycy9kb3ducmV2LnhtbEyPQUvDQBCF74L/YRnBi9hNYqs2ZlNEEBS9mFbU&#10;2zQ7JsHsbMhu2/jvHU96Gh7v8eZ7xWpyvdrTGDrPBtJZAoq49rbjxsBmfX9+DSpEZIu9ZzLwTQFW&#10;5fFRgbn1B36hfRUbJSUccjTQxjjkWoe6JYdh5gdi8T796DCKHBttRzxIuet1liSX2mHH8qHFge5a&#10;qr+qnTPwUW2e3Tp9cm+P6cOCzt77JdpXY05PptsbUJGm+BeGX3xBh1KYtn7HNqhedLKQpNx5Bkr8&#10;i6VM2xqYZ1egy0L/5y9/AAAA//8DAFBLAQItABQABgAIAAAAIQC2gziS/gAAAOEBAAATAAAAAAAA&#10;AAAAAAAAAAAAAABbQ29udGVudF9UeXBlc10ueG1sUEsBAi0AFAAGAAgAAAAhADj9If/WAAAAlAEA&#10;AAsAAAAAAAAAAAAAAAAALwEAAF9yZWxzLy5yZWxzUEsBAi0AFAAGAAgAAAAhAInblp57AgAAYgUA&#10;AA4AAAAAAAAAAAAAAAAALgIAAGRycy9lMm9Eb2MueG1sUEsBAi0AFAAGAAgAAAAhAMIanyLeAAAA&#10;BwEAAA8AAAAAAAAAAAAAAAAA1QQAAGRycy9kb3ducmV2LnhtbFBLBQYAAAAABAAEAPMAAADgBQAA&#10;AAA=&#10;" fillcolor="#00b050" strokecolor="#a5a5a5 [3206]" strokeweight=".5pt">
                      <v:stroke joinstyle="miter"/>
                      <v:path arrowok="t"/>
                    </v:oval>
                  </w:pict>
                </mc:Fallback>
              </mc:AlternateContent>
            </w:r>
          </w:p>
        </w:tc>
        <w:tc>
          <w:tcPr>
            <w:tcW w:w="8604" w:type="dxa"/>
          </w:tcPr>
          <w:p w14:paraId="39606BFF" w14:textId="77777777" w:rsidR="009728AF" w:rsidRDefault="009728AF" w:rsidP="00F92F5D">
            <w:pPr>
              <w:rPr>
                <w:rFonts w:eastAsiaTheme="minorHAnsi"/>
                <w:lang w:eastAsia="en-US"/>
              </w:rPr>
            </w:pPr>
            <w:r>
              <w:rPr>
                <w:rFonts w:eastAsiaTheme="minorHAnsi"/>
                <w:b/>
                <w:lang w:eastAsia="en-US"/>
              </w:rPr>
              <w:t xml:space="preserve">Optional: </w:t>
            </w:r>
          </w:p>
          <w:p w14:paraId="431BE2AA" w14:textId="77777777" w:rsidR="009728AF" w:rsidRPr="00256000" w:rsidRDefault="009728AF" w:rsidP="005729D2">
            <w:pPr>
              <w:pStyle w:val="ListParagraph"/>
              <w:numPr>
                <w:ilvl w:val="0"/>
                <w:numId w:val="98"/>
              </w:numPr>
              <w:rPr>
                <w:lang w:eastAsia="en-US"/>
              </w:rPr>
            </w:pPr>
            <w:r>
              <w:rPr>
                <w:rFonts w:eastAsiaTheme="minorHAnsi"/>
                <w:lang w:eastAsia="en-US"/>
              </w:rPr>
              <w:t>Azure Backup can work with your existing Data Protection Manager</w:t>
            </w:r>
            <w:r w:rsidRPr="00914EA0">
              <w:rPr>
                <w:rFonts w:eastAsiaTheme="minorHAnsi"/>
                <w:lang w:eastAsia="en-US"/>
              </w:rPr>
              <w:t xml:space="preserve"> </w:t>
            </w:r>
            <w:r>
              <w:rPr>
                <w:rFonts w:eastAsiaTheme="minorHAnsi"/>
                <w:lang w:eastAsia="en-US"/>
              </w:rPr>
              <w:t xml:space="preserve">investments. </w:t>
            </w:r>
          </w:p>
          <w:p w14:paraId="1FD3631C" w14:textId="77777777" w:rsidR="009728AF" w:rsidRPr="00256000" w:rsidRDefault="009728AF" w:rsidP="005729D2">
            <w:pPr>
              <w:pStyle w:val="ListParagraph"/>
              <w:numPr>
                <w:ilvl w:val="0"/>
                <w:numId w:val="98"/>
              </w:numPr>
              <w:rPr>
                <w:lang w:eastAsia="en-US"/>
              </w:rPr>
            </w:pPr>
            <w:r w:rsidRPr="006F1C6C">
              <w:rPr>
                <w:rFonts w:eastAsiaTheme="minorHAnsi"/>
                <w:lang w:eastAsia="en-US"/>
              </w:rPr>
              <w:t>Using Azure Backup does not require that you install Windows Server Backup. However, the two backup methods complement each other. Windows Server Backup can perform tasks such as bare</w:t>
            </w:r>
            <w:r>
              <w:rPr>
                <w:rFonts w:eastAsiaTheme="minorHAnsi"/>
                <w:lang w:eastAsia="en-US"/>
              </w:rPr>
              <w:t>-</w:t>
            </w:r>
            <w:r w:rsidRPr="006F1C6C">
              <w:rPr>
                <w:rFonts w:eastAsiaTheme="minorHAnsi"/>
                <w:lang w:eastAsia="en-US"/>
              </w:rPr>
              <w:t>metal and system</w:t>
            </w:r>
            <w:r>
              <w:rPr>
                <w:rFonts w:eastAsiaTheme="minorHAnsi"/>
                <w:lang w:eastAsia="en-US"/>
              </w:rPr>
              <w:t>-</w:t>
            </w:r>
            <w:r w:rsidRPr="006F1C6C">
              <w:rPr>
                <w:rFonts w:eastAsiaTheme="minorHAnsi"/>
                <w:lang w:eastAsia="en-US"/>
              </w:rPr>
              <w:t>state restores, which are not available by using Azure Backup.</w:t>
            </w:r>
          </w:p>
          <w:p w14:paraId="0B8DEA5D" w14:textId="77777777" w:rsidR="009728AF" w:rsidRDefault="009728AF" w:rsidP="005729D2">
            <w:pPr>
              <w:pStyle w:val="ListParagraph"/>
              <w:numPr>
                <w:ilvl w:val="0"/>
                <w:numId w:val="98"/>
              </w:numPr>
              <w:rPr>
                <w:lang w:eastAsia="en-US"/>
              </w:rPr>
            </w:pPr>
            <w:r w:rsidRPr="00F47FAC">
              <w:rPr>
                <w:rFonts w:eastAsiaTheme="minorHAnsi"/>
                <w:lang w:eastAsia="en-US"/>
              </w:rPr>
              <w:t>If you are using Azure Backup to back</w:t>
            </w:r>
            <w:r>
              <w:rPr>
                <w:rFonts w:eastAsiaTheme="minorHAnsi"/>
                <w:lang w:eastAsia="en-US"/>
              </w:rPr>
              <w:t xml:space="preserve"> </w:t>
            </w:r>
            <w:r w:rsidRPr="00F47FAC">
              <w:rPr>
                <w:rFonts w:eastAsiaTheme="minorHAnsi"/>
                <w:lang w:eastAsia="en-US"/>
              </w:rPr>
              <w:t>up or recover data, additional backup operations cannot be started for that computer. This means that when a backup operation is in progress, recovery cannot be started. If you need to cancel a backup operation to perform an unexpected recovery operation, the completed portion of the backup is not deleted. Instead, an incremental backup is performed the next time the backup is run to pick up any changes and to finish the backup.</w:t>
            </w:r>
          </w:p>
        </w:tc>
      </w:tr>
    </w:tbl>
    <w:p w14:paraId="6991DCF0" w14:textId="3F0654CA" w:rsidR="00914EA0" w:rsidRPr="001A7447" w:rsidRDefault="00914EA0" w:rsidP="005729D2">
      <w:pPr>
        <w:pStyle w:val="Heading4Numbered"/>
        <w:numPr>
          <w:ilvl w:val="3"/>
          <w:numId w:val="64"/>
        </w:numPr>
      </w:pPr>
      <w:bookmarkStart w:id="6950" w:name="_Toc415735594"/>
      <w:bookmarkStart w:id="6951" w:name="_Toc415814175"/>
      <w:bookmarkStart w:id="6952" w:name="_Toc416343911"/>
      <w:bookmarkStart w:id="6953" w:name="_Toc416863183"/>
      <w:bookmarkStart w:id="6954" w:name="_Toc417314798"/>
      <w:bookmarkStart w:id="6955" w:name="_Toc417323815"/>
      <w:bookmarkStart w:id="6956" w:name="_Toc417326905"/>
      <w:bookmarkStart w:id="6957" w:name="_Toc417330453"/>
      <w:bookmarkStart w:id="6958" w:name="_Toc417395060"/>
      <w:bookmarkStart w:id="6959" w:name="_Toc417399279"/>
      <w:bookmarkStart w:id="6960" w:name="_Toc417399438"/>
      <w:bookmarkStart w:id="6961" w:name="_Toc417400485"/>
      <w:bookmarkStart w:id="6962" w:name="_Toc417401333"/>
      <w:bookmarkStart w:id="6963" w:name="_Toc417419648"/>
      <w:bookmarkStart w:id="6964" w:name="_Toc417457420"/>
      <w:bookmarkStart w:id="6965" w:name="_Toc417481998"/>
      <w:bookmarkStart w:id="6966" w:name="_Toc417482256"/>
      <w:bookmarkStart w:id="6967" w:name="_Toc417499975"/>
      <w:bookmarkStart w:id="6968" w:name="_Toc417502796"/>
      <w:bookmarkStart w:id="6969" w:name="_Toc417548384"/>
      <w:bookmarkStart w:id="6970" w:name="_Toc417594627"/>
      <w:bookmarkStart w:id="6971" w:name="_Toc417934757"/>
      <w:bookmarkStart w:id="6972" w:name="_Toc417936094"/>
      <w:bookmarkStart w:id="6973" w:name="_Toc417936556"/>
      <w:bookmarkStart w:id="6974" w:name="_Toc417946972"/>
      <w:bookmarkStart w:id="6975" w:name="_Toc417947442"/>
      <w:r>
        <w:t>Azure Backup for IaaS</w:t>
      </w:r>
    </w:p>
    <w:p w14:paraId="5ABD5C0A" w14:textId="0FE2C7E3" w:rsidR="009811FB" w:rsidRDefault="00914EA0" w:rsidP="009811FB">
      <w:r>
        <w:t>Azure</w:t>
      </w:r>
      <w:r w:rsidR="009811FB">
        <w:t xml:space="preserve"> Backup support for backing up an Azure IaaS virtual machines with Azure Backup is now generally available. With this support, customers can back up their virtual machines in Azure like they back up their on-premises virtual machines and physical servers by using System Center 2012 R2 Data Protection Manager (DPM) or any third-party backup tool.</w:t>
      </w:r>
    </w:p>
    <w:p w14:paraId="74EF029D" w14:textId="2D80E28C" w:rsidR="00914EA0" w:rsidRDefault="009811FB" w:rsidP="009811FB">
      <w:r>
        <w:t>When you back up from an on-premises environment to Azure, you first need create a backup vault. If you currently have an existing backup vault created in the region where your virtual machines reside, you can use it for backing up your IaaS virtual machines. You manage your Azure Backup for IaaS virtual machines from the same portal as you do for backing up on-premises workloads</w:t>
      </w:r>
      <w:r w:rsidR="00914EA0">
        <w:t>.</w:t>
      </w:r>
    </w:p>
    <w:p w14:paraId="7261DC33" w14:textId="77777777" w:rsidR="003C4EDF" w:rsidRDefault="003C4EDF" w:rsidP="00914EA0"/>
    <w:p w14:paraId="1044316E" w14:textId="77777777" w:rsidR="00914EA0" w:rsidRDefault="00914EA0" w:rsidP="00914EA0">
      <w:pPr>
        <w:jc w:val="center"/>
      </w:pPr>
      <w:r>
        <w:rPr>
          <w:noProof/>
        </w:rPr>
        <w:drawing>
          <wp:inline distT="0" distB="0" distL="0" distR="0" wp14:anchorId="7C33AE7E" wp14:editId="79C189E2">
            <wp:extent cx="4380706" cy="3980815"/>
            <wp:effectExtent l="0" t="0" r="1270" b="635"/>
            <wp:docPr id="41179" name="Picture 4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8"/>
                    <a:stretch>
                      <a:fillRect/>
                    </a:stretch>
                  </pic:blipFill>
                  <pic:spPr>
                    <a:xfrm>
                      <a:off x="0" y="0"/>
                      <a:ext cx="4381756" cy="3981769"/>
                    </a:xfrm>
                    <a:prstGeom prst="rect">
                      <a:avLst/>
                    </a:prstGeom>
                  </pic:spPr>
                </pic:pic>
              </a:graphicData>
            </a:graphic>
          </wp:inline>
        </w:drawing>
      </w:r>
    </w:p>
    <w:p w14:paraId="23290E1F" w14:textId="77777777" w:rsidR="00914EA0" w:rsidRDefault="00914EA0" w:rsidP="00914EA0"/>
    <w:p w14:paraId="52E8ABDF" w14:textId="77777777" w:rsidR="009811FB" w:rsidRDefault="009811FB" w:rsidP="009811FB">
      <w:r>
        <w:t xml:space="preserve">With Azure Backup, you get the expected features from a backup solution, such as a backup schedule to determine when to back up your virtual machines and a retention policy to determine how long you will keep your backup. </w:t>
      </w:r>
    </w:p>
    <w:p w14:paraId="431672B0" w14:textId="77777777" w:rsidR="009811FB" w:rsidRDefault="009811FB" w:rsidP="009811FB">
      <w:r>
        <w:t>You do not need to shut down your virtual machine to do a backup. Azure Backup currently supports application-level consistency for virtual machines running Windows operating systems, and file-system-level consistency for virtual machines running Linux operating systems.</w:t>
      </w:r>
    </w:p>
    <w:p w14:paraId="4F3A9A43" w14:textId="77777777" w:rsidR="009811FB" w:rsidRDefault="009811FB" w:rsidP="009811FB">
      <w:r>
        <w:t>T</w:t>
      </w:r>
      <w:r w:rsidRPr="00AE4D4E">
        <w:t>o back</w:t>
      </w:r>
      <w:r>
        <w:t xml:space="preserve"> </w:t>
      </w:r>
      <w:r w:rsidRPr="00AE4D4E">
        <w:t xml:space="preserve">up IaaS </w:t>
      </w:r>
      <w:r>
        <w:t>virtual machines</w:t>
      </w:r>
      <w:r w:rsidRPr="00AE4D4E">
        <w:t xml:space="preserve">, </w:t>
      </w:r>
      <w:r>
        <w:t>you</w:t>
      </w:r>
      <w:r w:rsidRPr="00AE4D4E">
        <w:t xml:space="preserve"> need to deploy absolutely nothing. The storage and compute infrastructure requirements are automatically handled by the Azure Backup service. </w:t>
      </w:r>
    </w:p>
    <w:p w14:paraId="63DB0F02" w14:textId="531609F0" w:rsidR="00914EA0" w:rsidRDefault="009811FB" w:rsidP="009811FB">
      <w:r>
        <w:t>You</w:t>
      </w:r>
      <w:r w:rsidRPr="00AE4D4E">
        <w:t xml:space="preserve"> need not worry about scaling up either</w:t>
      </w:r>
      <w:r>
        <w:t>. You can</w:t>
      </w:r>
      <w:r w:rsidRPr="00AE4D4E">
        <w:t xml:space="preserve"> protect as many </w:t>
      </w:r>
      <w:r>
        <w:t>virtual machines</w:t>
      </w:r>
      <w:r w:rsidRPr="00AE4D4E">
        <w:t xml:space="preserve"> as needed, at any time. Azure Backup also reduces the overhead of maintenance by automatically handling the </w:t>
      </w:r>
      <w:r>
        <w:t>virtual machine</w:t>
      </w:r>
      <w:r w:rsidRPr="00AE4D4E">
        <w:t xml:space="preserve"> extension upgrade, without user intervention.</w:t>
      </w:r>
    </w:p>
    <w:p w14:paraId="65DB99B7" w14:textId="77777777" w:rsidR="00914EA0" w:rsidRDefault="00914EA0" w:rsidP="00914EA0"/>
    <w:p w14:paraId="3AA7CEEB" w14:textId="77777777" w:rsidR="00BF7F28" w:rsidRDefault="00BF7F28" w:rsidP="00914EA0"/>
    <w:tbl>
      <w:tblPr>
        <w:tblStyle w:val="PlainTable11"/>
        <w:tblW w:w="5000" w:type="pct"/>
        <w:tblLook w:val="04A0" w:firstRow="1" w:lastRow="0" w:firstColumn="1" w:lastColumn="0" w:noHBand="0" w:noVBand="1"/>
      </w:tblPr>
      <w:tblGrid>
        <w:gridCol w:w="3416"/>
        <w:gridCol w:w="5934"/>
      </w:tblGrid>
      <w:tr w:rsidR="00914EA0" w:rsidRPr="00F47607" w14:paraId="345C0081" w14:textId="77777777" w:rsidTr="00BF7F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808080" w:themeFill="background1" w:themeFillShade="80"/>
          </w:tcPr>
          <w:p w14:paraId="34A4E117" w14:textId="77777777" w:rsidR="00914EA0" w:rsidRPr="00F47607" w:rsidRDefault="00914EA0" w:rsidP="00F16D38">
            <w:pPr>
              <w:spacing w:line="240" w:lineRule="auto"/>
              <w:rPr>
                <w:color w:val="FFFFFF"/>
              </w:rPr>
            </w:pPr>
            <w:r>
              <w:rPr>
                <w:color w:val="FFFFFF"/>
              </w:rPr>
              <w:t>Feature References</w:t>
            </w:r>
          </w:p>
        </w:tc>
      </w:tr>
      <w:tr w:rsidR="009811FB" w:rsidRPr="00927F75" w14:paraId="558957B7"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7" w:type="pct"/>
          </w:tcPr>
          <w:p w14:paraId="488C23D6" w14:textId="4A5BA9C2" w:rsidR="009811FB" w:rsidRPr="00927F75" w:rsidRDefault="009811FB" w:rsidP="009811FB">
            <w:pPr>
              <w:spacing w:line="240" w:lineRule="auto"/>
              <w:rPr>
                <w:sz w:val="20"/>
                <w:szCs w:val="18"/>
              </w:rPr>
            </w:pPr>
            <w:r w:rsidRPr="006F1C6C">
              <w:rPr>
                <w:sz w:val="20"/>
                <w:lang w:val="en"/>
              </w:rPr>
              <w:t>Back up Azure virtual machines with Azure Backup</w:t>
            </w:r>
          </w:p>
        </w:tc>
        <w:tc>
          <w:tcPr>
            <w:tcW w:w="3173" w:type="pct"/>
          </w:tcPr>
          <w:p w14:paraId="398C5BBB" w14:textId="77777777" w:rsidR="009811FB" w:rsidRPr="006F1C6C" w:rsidRDefault="00872E47" w:rsidP="009811FB">
            <w:pPr>
              <w:cnfStyle w:val="000000100000" w:firstRow="0" w:lastRow="0" w:firstColumn="0" w:lastColumn="0" w:oddVBand="0" w:evenVBand="0" w:oddHBand="1" w:evenHBand="0" w:firstRowFirstColumn="0" w:firstRowLastColumn="0" w:lastRowFirstColumn="0" w:lastRowLastColumn="0"/>
              <w:rPr>
                <w:sz w:val="20"/>
              </w:rPr>
            </w:pPr>
            <w:hyperlink r:id="rId599" w:history="1">
              <w:r w:rsidR="009811FB" w:rsidRPr="006F1C6C">
                <w:rPr>
                  <w:rStyle w:val="Hyperlink"/>
                  <w:sz w:val="20"/>
                </w:rPr>
                <w:t>https://azure.microsoft.com/en-us/documentation/articles/backup-azure-vms/</w:t>
              </w:r>
            </w:hyperlink>
          </w:p>
          <w:p w14:paraId="30CA220F" w14:textId="77777777" w:rsidR="009811FB" w:rsidRPr="00927F75" w:rsidRDefault="009811FB" w:rsidP="009811FB">
            <w:pPr>
              <w:cnfStyle w:val="000000100000" w:firstRow="0" w:lastRow="0" w:firstColumn="0" w:lastColumn="0" w:oddVBand="0" w:evenVBand="0" w:oddHBand="1" w:evenHBand="0" w:firstRowFirstColumn="0" w:firstRowLastColumn="0" w:lastRowFirstColumn="0" w:lastRowLastColumn="0"/>
              <w:rPr>
                <w:sz w:val="20"/>
                <w:szCs w:val="18"/>
              </w:rPr>
            </w:pPr>
          </w:p>
        </w:tc>
      </w:tr>
      <w:tr w:rsidR="009811FB" w:rsidRPr="00927F75" w14:paraId="39F89C52" w14:textId="77777777" w:rsidTr="00BF7F28">
        <w:tc>
          <w:tcPr>
            <w:cnfStyle w:val="001000000000" w:firstRow="0" w:lastRow="0" w:firstColumn="1" w:lastColumn="0" w:oddVBand="0" w:evenVBand="0" w:oddHBand="0" w:evenHBand="0" w:firstRowFirstColumn="0" w:firstRowLastColumn="0" w:lastRowFirstColumn="0" w:lastRowLastColumn="0"/>
            <w:tcW w:w="1827" w:type="pct"/>
          </w:tcPr>
          <w:p w14:paraId="10F6DF26" w14:textId="3DB3B146" w:rsidR="009811FB" w:rsidRPr="00927F75" w:rsidRDefault="009811FB" w:rsidP="009811FB">
            <w:pPr>
              <w:spacing w:line="240" w:lineRule="auto"/>
              <w:rPr>
                <w:sz w:val="20"/>
              </w:rPr>
            </w:pPr>
            <w:r w:rsidRPr="00B33EA3">
              <w:rPr>
                <w:sz w:val="20"/>
              </w:rPr>
              <w:t>Azure Backup - Announcing general availability of backup for Azure IaaS VMs</w:t>
            </w:r>
          </w:p>
        </w:tc>
        <w:tc>
          <w:tcPr>
            <w:tcW w:w="3173" w:type="pct"/>
          </w:tcPr>
          <w:p w14:paraId="2439016E" w14:textId="148F391F" w:rsidR="009811FB" w:rsidRPr="00927F75" w:rsidRDefault="00872E47" w:rsidP="009811FB">
            <w:pPr>
              <w:cnfStyle w:val="000000000000" w:firstRow="0" w:lastRow="0" w:firstColumn="0" w:lastColumn="0" w:oddVBand="0" w:evenVBand="0" w:oddHBand="0" w:evenHBand="0" w:firstRowFirstColumn="0" w:firstRowLastColumn="0" w:lastRowFirstColumn="0" w:lastRowLastColumn="0"/>
              <w:rPr>
                <w:sz w:val="20"/>
              </w:rPr>
            </w:pPr>
            <w:hyperlink r:id="rId600" w:history="1">
              <w:r w:rsidR="009811FB" w:rsidRPr="0039126D">
                <w:rPr>
                  <w:rStyle w:val="Hyperlink"/>
                  <w:sz w:val="20"/>
                  <w:szCs w:val="20"/>
                </w:rPr>
                <w:t>https://azure.microsoft.com/en-us/blog/general-availability-of-backup-for-azure-iaas-vms/</w:t>
              </w:r>
            </w:hyperlink>
            <w:r w:rsidR="009811FB">
              <w:rPr>
                <w:sz w:val="20"/>
                <w:szCs w:val="20"/>
              </w:rPr>
              <w:t xml:space="preserve"> </w:t>
            </w:r>
            <w:r w:rsidR="009811FB" w:rsidRPr="00B33EA3">
              <w:rPr>
                <w:sz w:val="20"/>
                <w:szCs w:val="20"/>
              </w:rPr>
              <w:t xml:space="preserve">  </w:t>
            </w:r>
          </w:p>
        </w:tc>
      </w:tr>
      <w:tr w:rsidR="009811FB" w:rsidRPr="00927F75" w14:paraId="37F2605D"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7" w:type="pct"/>
          </w:tcPr>
          <w:p w14:paraId="1191DAF2" w14:textId="6BF21E9F" w:rsidR="009811FB" w:rsidRPr="006F1C6C" w:rsidRDefault="009811FB" w:rsidP="009811FB">
            <w:pPr>
              <w:spacing w:line="240" w:lineRule="auto"/>
              <w:rPr>
                <w:sz w:val="20"/>
              </w:rPr>
            </w:pPr>
            <w:r w:rsidRPr="006F1C6C">
              <w:rPr>
                <w:sz w:val="20"/>
              </w:rPr>
              <w:t>Announcing pricing model for TCO reduction</w:t>
            </w:r>
          </w:p>
        </w:tc>
        <w:tc>
          <w:tcPr>
            <w:tcW w:w="3173" w:type="pct"/>
          </w:tcPr>
          <w:p w14:paraId="428DBC5D" w14:textId="77777777" w:rsidR="009811FB" w:rsidRPr="006F1C6C" w:rsidRDefault="00872E47" w:rsidP="009811FB">
            <w:pPr>
              <w:cnfStyle w:val="000000100000" w:firstRow="0" w:lastRow="0" w:firstColumn="0" w:lastColumn="0" w:oddVBand="0" w:evenVBand="0" w:oddHBand="1" w:evenHBand="0" w:firstRowFirstColumn="0" w:firstRowLastColumn="0" w:lastRowFirstColumn="0" w:lastRowLastColumn="0"/>
              <w:rPr>
                <w:sz w:val="20"/>
              </w:rPr>
            </w:pPr>
            <w:hyperlink r:id="rId601" w:history="1">
              <w:r w:rsidR="009811FB" w:rsidRPr="006F1C6C">
                <w:rPr>
                  <w:rStyle w:val="Hyperlink"/>
                  <w:sz w:val="20"/>
                </w:rPr>
                <w:t>http://azure.microsoft.com/blog/2015/03/31/azure-backup-announcing-new-pricing-model-for-tco-reduction/</w:t>
              </w:r>
            </w:hyperlink>
          </w:p>
          <w:p w14:paraId="6141E4C6" w14:textId="77777777" w:rsidR="009811FB" w:rsidRPr="006F1C6C" w:rsidRDefault="009811FB" w:rsidP="009811FB">
            <w:pPr>
              <w:cnfStyle w:val="000000100000" w:firstRow="0" w:lastRow="0" w:firstColumn="0" w:lastColumn="0" w:oddVBand="0" w:evenVBand="0" w:oddHBand="1" w:evenHBand="0" w:firstRowFirstColumn="0" w:firstRowLastColumn="0" w:lastRowFirstColumn="0" w:lastRowLastColumn="0"/>
              <w:rPr>
                <w:sz w:val="20"/>
              </w:rPr>
            </w:pPr>
          </w:p>
        </w:tc>
      </w:tr>
      <w:tr w:rsidR="009811FB" w:rsidRPr="00927F75" w14:paraId="1FA5764B" w14:textId="77777777" w:rsidTr="00BF7F28">
        <w:tc>
          <w:tcPr>
            <w:cnfStyle w:val="001000000000" w:firstRow="0" w:lastRow="0" w:firstColumn="1" w:lastColumn="0" w:oddVBand="0" w:evenVBand="0" w:oddHBand="0" w:evenHBand="0" w:firstRowFirstColumn="0" w:firstRowLastColumn="0" w:lastRowFirstColumn="0" w:lastRowLastColumn="0"/>
            <w:tcW w:w="1827" w:type="pct"/>
          </w:tcPr>
          <w:p w14:paraId="6867A0DB" w14:textId="1480072F" w:rsidR="009811FB" w:rsidRPr="006F1C6C" w:rsidRDefault="009811FB" w:rsidP="009811FB">
            <w:pPr>
              <w:spacing w:line="240" w:lineRule="auto"/>
              <w:rPr>
                <w:sz w:val="20"/>
              </w:rPr>
            </w:pPr>
            <w:r w:rsidRPr="00AE4D4E">
              <w:rPr>
                <w:sz w:val="20"/>
              </w:rPr>
              <w:t>Estimating Azure Backup billing usage for DPM data sources</w:t>
            </w:r>
          </w:p>
        </w:tc>
        <w:tc>
          <w:tcPr>
            <w:tcW w:w="3173" w:type="pct"/>
          </w:tcPr>
          <w:p w14:paraId="6A92DFED" w14:textId="35A2BE5D" w:rsidR="009811FB" w:rsidRPr="006F1C6C" w:rsidRDefault="00872E47" w:rsidP="009811FB">
            <w:pPr>
              <w:cnfStyle w:val="000000000000" w:firstRow="0" w:lastRow="0" w:firstColumn="0" w:lastColumn="0" w:oddVBand="0" w:evenVBand="0" w:oddHBand="0" w:evenHBand="0" w:firstRowFirstColumn="0" w:firstRowLastColumn="0" w:lastRowFirstColumn="0" w:lastRowLastColumn="0"/>
              <w:rPr>
                <w:sz w:val="20"/>
              </w:rPr>
            </w:pPr>
            <w:hyperlink r:id="rId602" w:history="1">
              <w:r w:rsidR="009811FB" w:rsidRPr="00E45036">
                <w:rPr>
                  <w:rStyle w:val="Hyperlink"/>
                  <w:sz w:val="20"/>
                </w:rPr>
                <w:t>https://gallery.technet.microsoft.com/Estimating-Azure-Backup-e0d4abbc</w:t>
              </w:r>
            </w:hyperlink>
            <w:r w:rsidR="009811FB">
              <w:rPr>
                <w:sz w:val="20"/>
              </w:rPr>
              <w:t xml:space="preserve"> </w:t>
            </w:r>
          </w:p>
        </w:tc>
      </w:tr>
      <w:tr w:rsidR="009811FB" w:rsidRPr="00927F75" w14:paraId="79E8EA13"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7" w:type="pct"/>
          </w:tcPr>
          <w:p w14:paraId="29B7E401" w14:textId="6F142937" w:rsidR="009811FB" w:rsidRPr="00AE4D4E" w:rsidRDefault="009811FB" w:rsidP="009811FB">
            <w:pPr>
              <w:spacing w:line="240" w:lineRule="auto"/>
              <w:rPr>
                <w:sz w:val="20"/>
              </w:rPr>
            </w:pPr>
            <w:r>
              <w:rPr>
                <w:sz w:val="20"/>
              </w:rPr>
              <w:t>Azure Backup Cost Calculator</w:t>
            </w:r>
          </w:p>
        </w:tc>
        <w:tc>
          <w:tcPr>
            <w:tcW w:w="3173" w:type="pct"/>
          </w:tcPr>
          <w:p w14:paraId="0EB2BC27" w14:textId="44A0874B" w:rsidR="009811FB" w:rsidRDefault="00872E47" w:rsidP="009811FB">
            <w:pPr>
              <w:cnfStyle w:val="000000100000" w:firstRow="0" w:lastRow="0" w:firstColumn="0" w:lastColumn="0" w:oddVBand="0" w:evenVBand="0" w:oddHBand="1" w:evenHBand="0" w:firstRowFirstColumn="0" w:firstRowLastColumn="0" w:lastRowFirstColumn="0" w:lastRowLastColumn="0"/>
              <w:rPr>
                <w:sz w:val="20"/>
              </w:rPr>
            </w:pPr>
            <w:hyperlink r:id="rId603" w:history="1">
              <w:r w:rsidR="009811FB" w:rsidRPr="00E45036">
                <w:rPr>
                  <w:rStyle w:val="Hyperlink"/>
                  <w:sz w:val="20"/>
                </w:rPr>
                <w:t>https://azure.microsoft.com/en-us/pricing/calculator/?scenario=data-management</w:t>
              </w:r>
            </w:hyperlink>
            <w:r w:rsidR="009811FB">
              <w:rPr>
                <w:sz w:val="20"/>
              </w:rPr>
              <w:t xml:space="preserve"> </w:t>
            </w:r>
          </w:p>
        </w:tc>
      </w:tr>
      <w:tr w:rsidR="009811FB" w:rsidRPr="00927F75" w14:paraId="44866BC7" w14:textId="77777777" w:rsidTr="00BF7F28">
        <w:tc>
          <w:tcPr>
            <w:cnfStyle w:val="001000000000" w:firstRow="0" w:lastRow="0" w:firstColumn="1" w:lastColumn="0" w:oddVBand="0" w:evenVBand="0" w:oddHBand="0" w:evenHBand="0" w:firstRowFirstColumn="0" w:firstRowLastColumn="0" w:lastRowFirstColumn="0" w:lastRowLastColumn="0"/>
            <w:tcW w:w="1827" w:type="pct"/>
          </w:tcPr>
          <w:p w14:paraId="7768C6CC" w14:textId="24823C95" w:rsidR="009811FB" w:rsidRDefault="009811FB" w:rsidP="009811FB">
            <w:pPr>
              <w:spacing w:line="240" w:lineRule="auto"/>
              <w:rPr>
                <w:sz w:val="20"/>
              </w:rPr>
            </w:pPr>
            <w:r w:rsidRPr="00AE4D4E">
              <w:rPr>
                <w:sz w:val="20"/>
              </w:rPr>
              <w:t>Azure Backup - Monthly bill estimate and TCO calculator</w:t>
            </w:r>
          </w:p>
        </w:tc>
        <w:tc>
          <w:tcPr>
            <w:tcW w:w="3173" w:type="pct"/>
          </w:tcPr>
          <w:p w14:paraId="099F6F88" w14:textId="3EDC2E53" w:rsidR="009811FB" w:rsidRDefault="00872E47" w:rsidP="009811FB">
            <w:pPr>
              <w:cnfStyle w:val="000000000000" w:firstRow="0" w:lastRow="0" w:firstColumn="0" w:lastColumn="0" w:oddVBand="0" w:evenVBand="0" w:oddHBand="0" w:evenHBand="0" w:firstRowFirstColumn="0" w:firstRowLastColumn="0" w:lastRowFirstColumn="0" w:lastRowLastColumn="0"/>
              <w:rPr>
                <w:sz w:val="20"/>
              </w:rPr>
            </w:pPr>
            <w:hyperlink r:id="rId604" w:history="1">
              <w:r w:rsidR="009811FB" w:rsidRPr="00E45036">
                <w:rPr>
                  <w:rStyle w:val="Hyperlink"/>
                  <w:sz w:val="20"/>
                </w:rPr>
                <w:t>https://gallery.technet.microsoft.com/Azure-Backup-Monthly-bill-093fd095</w:t>
              </w:r>
            </w:hyperlink>
            <w:r w:rsidR="009811FB">
              <w:rPr>
                <w:sz w:val="20"/>
              </w:rPr>
              <w:t xml:space="preserve"> </w:t>
            </w:r>
          </w:p>
        </w:tc>
      </w:tr>
    </w:tbl>
    <w:p w14:paraId="73E1940C" w14:textId="77777777" w:rsidR="00914EA0" w:rsidRDefault="00914EA0" w:rsidP="00914EA0"/>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914EA0" w14:paraId="1BC9AB44" w14:textId="77777777" w:rsidTr="00F16D38">
        <w:trPr>
          <w:trHeight w:val="423"/>
        </w:trPr>
        <w:tc>
          <w:tcPr>
            <w:tcW w:w="666" w:type="dxa"/>
          </w:tcPr>
          <w:p w14:paraId="2FF979A3" w14:textId="77777777" w:rsidR="00914EA0" w:rsidRDefault="00914EA0" w:rsidP="00F16D38">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2DBB34A4" wp14:editId="10D399DE">
                      <wp:extent cx="200025" cy="180975"/>
                      <wp:effectExtent l="57150" t="19050" r="28575" b="104775"/>
                      <wp:docPr id="31" name="Octagon 31"/>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64CED2E" id="Octagon 31"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nCocQIAAPIEAAAOAAAAZHJzL2Uyb0RvYy54bWysVE1v2zAMvQ/YfxB0X52kTT+COkWQrMOA&#10;oinQDj0zsmwLkERNUuJ0v36U7LRpt9Owi0KKNMn39Jjrm73RbCd9UGhLPj4ZcSatwErZpuQ/nm6/&#10;XHIWItgKNFpZ8hcZ+M3886frzs3kBFvUlfSMitgw61zJ2xjdrCiCaKWBcIJOWgrW6A1Ecn1TVB46&#10;qm50MRmNzosOfeU8ChkC3a76IJ/n+nUtRVzXdZCR6ZLTbDGfPp+bdBbza5g1HlyrxDAG/MMUBpSl&#10;pq+lVhCBbb36o5RRwmPAOp4INAXWtRIyYyA049EHNI8tOJmxEDnBvdIU/l9Zcb978ExVJT8dc2bB&#10;0ButRYQGLaMboqdzYUZZj+7BD14gM2Hd196kX0LB9pnSl1dK5T4yQZf0RqPJlDNBofHl6OpimmoW&#10;bx87H+I3iYYlo+TY985cwu4uxD77kJXaBdSqulVaZ8c3m6X2bAf0wMsldctvSg3epWnLupKfn05J&#10;AwJIZ7WGSKZxhDzYhjPQDQlYRJ9bv/s4HPf4urpY9cR87JFmXEFo+1lyhV5eRkXSuFam5JdpwMOE&#10;2iYEMqt0QJrI7ulN1garF3odj71sgxO3iprcQYgP4EmnhIZ2L67pqDUSQhwszlr0v/52n/JJPhTl&#10;rCPdE/yfW/CSM/3dkrCuxmdnaVGycza9mJDjjyOb44jdmiUS86Qdmi6bKT/qg1l7NM+0oovUlUJg&#10;BfXuiR6cZez3kZZcyMUip9FyOIh39tGJVDzxlOh92j+Dd4NUImnsHg87ArMPculz05cWF9uItcpa&#10;euOVZJgcWqwsyOFPIG3usZ+z3v6q5r8BAAD//wMAUEsDBBQABgAIAAAAIQBKbmSp2gAAAAMBAAAP&#10;AAAAZHJzL2Rvd25yZXYueG1sTI/NbsIwEITvlfoO1lbiVhxCQSiNg/ojjkgttPdNvE3SxuvINiTw&#10;9HV7gctKoxnNfJuvR9OJIznfWlYwmyYgiCurW64VfOw39ysQPiBr7CyTghN5WBe3Nzlm2g78Tsdd&#10;qEUsYZ+hgiaEPpPSVw0Z9FPbE0fvyzqDIUpXS+1wiOWmk2mSLKXBluNCgz29NFT97A5GwXK7Kbff&#10;bv5J6fDw9vxqzqYfz0pN7sanRxCBxnAJwx9+RIciMpX2wNqLTkF8JPzf6M1nCxClgnS1AFnk8pq9&#10;+AUAAP//AwBQSwECLQAUAAYACAAAACEAtoM4kv4AAADhAQAAEwAAAAAAAAAAAAAAAAAAAAAAW0Nv&#10;bnRlbnRfVHlwZXNdLnhtbFBLAQItABQABgAIAAAAIQA4/SH/1gAAAJQBAAALAAAAAAAAAAAAAAAA&#10;AC8BAABfcmVscy8ucmVsc1BLAQItABQABgAIAAAAIQCmlnCocQIAAPIEAAAOAAAAAAAAAAAAAAAA&#10;AC4CAABkcnMvZTJvRG9jLnhtbFBLAQItABQABgAIAAAAIQBKbmSp2gAAAAMBAAAPAAAAAAAAAAAA&#10;AAAAAMsEAABkcnMvZG93bnJldi54bWxQSwUGAAAAAAQABADzAAAA0gUAAAAA&#10;" fillcolor="#c00" strokecolor="#ed7d31" strokeweight=".5pt">
                      <w10:anchorlock/>
                    </v:shape>
                  </w:pict>
                </mc:Fallback>
              </mc:AlternateContent>
            </w:r>
          </w:p>
        </w:tc>
        <w:tc>
          <w:tcPr>
            <w:tcW w:w="8604" w:type="dxa"/>
          </w:tcPr>
          <w:p w14:paraId="10BC1DA3" w14:textId="066C9204" w:rsidR="00914EA0" w:rsidRDefault="00914EA0" w:rsidP="009811FB">
            <w:pPr>
              <w:rPr>
                <w:lang w:eastAsia="en-US"/>
              </w:rPr>
            </w:pPr>
            <w:r w:rsidRPr="00192064">
              <w:rPr>
                <w:b/>
                <w:lang w:eastAsia="en-US"/>
              </w:rPr>
              <w:t>Mandatory</w:t>
            </w:r>
            <w:r>
              <w:rPr>
                <w:lang w:eastAsia="en-US"/>
              </w:rPr>
              <w:t xml:space="preserve">:  </w:t>
            </w:r>
            <w:r w:rsidR="009811FB">
              <w:rPr>
                <w:lang w:eastAsia="en-US"/>
              </w:rPr>
              <w:t xml:space="preserve">The </w:t>
            </w:r>
            <w:r w:rsidR="009811FB">
              <w:rPr>
                <w:rFonts w:eastAsiaTheme="minorHAnsi"/>
                <w:lang w:eastAsia="en-US"/>
              </w:rPr>
              <w:t>b</w:t>
            </w:r>
            <w:r w:rsidR="009811FB" w:rsidRPr="00DC7102">
              <w:rPr>
                <w:rFonts w:eastAsiaTheme="minorHAnsi"/>
                <w:lang w:eastAsia="en-US"/>
              </w:rPr>
              <w:t xml:space="preserve">ackup </w:t>
            </w:r>
            <w:r w:rsidR="009811FB">
              <w:rPr>
                <w:rFonts w:eastAsiaTheme="minorHAnsi"/>
                <w:lang w:eastAsia="en-US"/>
              </w:rPr>
              <w:t>is</w:t>
            </w:r>
            <w:r w:rsidR="009811FB" w:rsidRPr="00DC7102">
              <w:rPr>
                <w:rFonts w:eastAsiaTheme="minorHAnsi"/>
                <w:lang w:eastAsia="en-US"/>
              </w:rPr>
              <w:t xml:space="preserve"> stored in the </w:t>
            </w:r>
            <w:r w:rsidR="009811FB" w:rsidRPr="006228E0">
              <w:rPr>
                <w:rFonts w:eastAsiaTheme="minorHAnsi"/>
                <w:lang w:eastAsia="en-US"/>
              </w:rPr>
              <w:t>same</w:t>
            </w:r>
            <w:r w:rsidR="009811FB" w:rsidRPr="00DC7102">
              <w:rPr>
                <w:rFonts w:eastAsiaTheme="minorHAnsi"/>
                <w:lang w:eastAsia="en-US"/>
              </w:rPr>
              <w:t xml:space="preserve"> backup vault </w:t>
            </w:r>
            <w:r w:rsidR="009811FB">
              <w:rPr>
                <w:rFonts w:eastAsiaTheme="minorHAnsi"/>
                <w:lang w:eastAsia="en-US"/>
              </w:rPr>
              <w:t>that</w:t>
            </w:r>
            <w:r w:rsidR="009811FB" w:rsidRPr="00DC7102">
              <w:rPr>
                <w:rFonts w:eastAsiaTheme="minorHAnsi"/>
                <w:lang w:eastAsia="en-US"/>
              </w:rPr>
              <w:t xml:space="preserve"> you used to register the </w:t>
            </w:r>
            <w:r w:rsidR="009811FB">
              <w:rPr>
                <w:rFonts w:eastAsiaTheme="minorHAnsi"/>
                <w:lang w:eastAsia="en-US"/>
              </w:rPr>
              <w:t>virtual machine</w:t>
            </w:r>
            <w:r w:rsidR="009811FB" w:rsidRPr="00DC7102">
              <w:rPr>
                <w:rFonts w:eastAsiaTheme="minorHAnsi"/>
                <w:lang w:eastAsia="en-US"/>
              </w:rPr>
              <w:t>. To access those backups for restore purpose</w:t>
            </w:r>
            <w:r w:rsidR="009811FB">
              <w:rPr>
                <w:rFonts w:eastAsiaTheme="minorHAnsi"/>
                <w:lang w:eastAsia="en-US"/>
              </w:rPr>
              <w:t>s</w:t>
            </w:r>
            <w:r w:rsidR="009811FB" w:rsidRPr="00DC7102">
              <w:rPr>
                <w:rFonts w:eastAsiaTheme="minorHAnsi"/>
                <w:lang w:eastAsia="en-US"/>
              </w:rPr>
              <w:t xml:space="preserve">, </w:t>
            </w:r>
            <w:r w:rsidR="009811FB">
              <w:rPr>
                <w:rFonts w:eastAsiaTheme="minorHAnsi"/>
                <w:lang w:eastAsia="en-US"/>
              </w:rPr>
              <w:t>click the</w:t>
            </w:r>
            <w:r w:rsidR="009811FB" w:rsidRPr="00DC7102">
              <w:rPr>
                <w:rFonts w:eastAsiaTheme="minorHAnsi"/>
                <w:lang w:eastAsia="en-US"/>
              </w:rPr>
              <w:t xml:space="preserve"> </w:t>
            </w:r>
            <w:r w:rsidR="009811FB" w:rsidRPr="006228E0">
              <w:rPr>
                <w:rFonts w:eastAsiaTheme="minorHAnsi"/>
                <w:b/>
                <w:lang w:eastAsia="en-US"/>
              </w:rPr>
              <w:t>Protected Items</w:t>
            </w:r>
            <w:r w:rsidR="009811FB" w:rsidRPr="00DC7102">
              <w:rPr>
                <w:rFonts w:eastAsiaTheme="minorHAnsi"/>
                <w:lang w:eastAsia="en-US"/>
              </w:rPr>
              <w:t xml:space="preserve"> tab.</w:t>
            </w:r>
          </w:p>
        </w:tc>
      </w:tr>
      <w:tr w:rsidR="00914EA0" w14:paraId="5BD56850" w14:textId="77777777" w:rsidTr="00F16D38">
        <w:trPr>
          <w:trHeight w:val="423"/>
        </w:trPr>
        <w:tc>
          <w:tcPr>
            <w:tcW w:w="666" w:type="dxa"/>
          </w:tcPr>
          <w:p w14:paraId="22BC1A42" w14:textId="156F8D9E" w:rsidR="00914EA0" w:rsidRDefault="00914EA0" w:rsidP="00F16D38">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626496" behindDoc="0" locked="0" layoutInCell="1" allowOverlap="1" wp14:anchorId="6B86129B" wp14:editId="20C28961">
                      <wp:simplePos x="0" y="0"/>
                      <wp:positionH relativeFrom="column">
                        <wp:posOffset>66675</wp:posOffset>
                      </wp:positionH>
                      <wp:positionV relativeFrom="paragraph">
                        <wp:posOffset>90170</wp:posOffset>
                      </wp:positionV>
                      <wp:extent cx="180975" cy="180975"/>
                      <wp:effectExtent l="57150" t="19050" r="9525" b="104775"/>
                      <wp:wrapNone/>
                      <wp:docPr id="874593607" name="Oval 8745936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09DE7ACB" id="Oval 874593607" o:spid="_x0000_s1026" style="position:absolute;margin-left:5.25pt;margin-top:7.1pt;width:14.25pt;height:14.2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mNZgwIAAHAFAAAOAAAAZHJzL2Uyb0RvYy54bWysVN9v2yAQfp+0/wHxvthJk6a16lRZq0yT&#10;orZaO/WZYEjQMMeAxMn++h3Ycbq1UqVpL4jjvvvJd3d1va812QnnFZiSDgc5JcJwqJRZl/T70+LT&#10;BSU+MFMxDUaU9CA8vZ59/HDV2EKMYAO6Eo6gE+OLxpZ0E4ItsszzjaiZH4AVBpUSXM0Cim6dVY41&#10;6L3W2SjPz7MGXGUdcOE9vt62SjpL/qUUPNxL6UUguqSYW0inS+cqntnsihVrx+xG8S4N9g9Z1EwZ&#10;DNq7umWBka1Tr1zVijvwIMOAQ52BlIqLVANWM8z/quZxw6xItWBzvO3b5P+fW363e3BEVSW9mI4n&#10;l2fn+ZQSw2r8qvsd0+T0ip1qrC/Q4NE+uFirt0vgPzwqsj80UfAdZi9dHbFYKdmnth/6tot9IBwf&#10;hxf55XRCCUdVd48+WXE0ts6HLwJqEi8lFVor62NjWMF2Sx9a9BGVUgOtqoXSOgluvbrRjmA9GDv/&#10;nE/Sv2MAf4KlEtqsU/7hoEU01uabkNigmGeKmKgpen+Mc2HCWSQSOkzoaCYxdm949r5hh4+mItG2&#10;Nx69b9xbpMhgQm9cKwPuLQc6DLuUZYvvPtG3dccWrKA6IDcctEPjLV8o7P+S+fDAHE4JzhNOfrjH&#10;Q2poSgrdjZINuF9vvUc8khe1lDQ4dSX1P7fMCUr0V4O0vhyOx3FMkzCeTEcouJea1UuN2dY3gH86&#10;xB1jebpGfNDHq3RQP+OCmMeoqGKGY+yS8uCOwk1otwGuGC7m8wTD0bQsLM2j5cdfj+R62j8zZzsS&#10;BmTvHRwn9BURW2z8DwPzbQCpEktPfe36jWOdiNOtoLg3XsoJdVqUs98AAAD//wMAUEsDBBQABgAI&#10;AAAAIQDCGp8i3gAAAAcBAAAPAAAAZHJzL2Rvd25yZXYueG1sTI9BS8NAEIXvgv9hGcGL2E1iqzZm&#10;U0QQFL2YVtTbNDsmwexsyG7b+O8dT3oaHu/x5nvFanK92tMYOs8G0lkCirj2tuPGwGZ9f34NKkRk&#10;i71nMvBNAVbl8VGBufUHfqF9FRslJRxyNNDGOORah7olh2HmB2LxPv3oMIocG21HPEi563WWJJfa&#10;YcfyocWB7lqqv6qdM/BRbZ7dOn1yb4/pw4LO3vsl2ldjTk+m2xtQkab4F4ZffEGHUpi2fsc2qF50&#10;spCk3HkGSvyLpUzbGphnV6DLQv/nL38AAAD//wMAUEsBAi0AFAAGAAgAAAAhALaDOJL+AAAA4QEA&#10;ABMAAAAAAAAAAAAAAAAAAAAAAFtDb250ZW50X1R5cGVzXS54bWxQSwECLQAUAAYACAAAACEAOP0h&#10;/9YAAACUAQAACwAAAAAAAAAAAAAAAAAvAQAAX3JlbHMvLnJlbHNQSwECLQAUAAYACAAAACEAJFpj&#10;WYMCAABwBQAADgAAAAAAAAAAAAAAAAAuAgAAZHJzL2Uyb0RvYy54bWxQSwECLQAUAAYACAAAACEA&#10;whqfIt4AAAAHAQAADwAAAAAAAAAAAAAAAADdBAAAZHJzL2Rvd25yZXYueG1sUEsFBgAAAAAEAAQA&#10;8wAAAOgFAAAAAA==&#10;" fillcolor="#00b050" strokecolor="#a5a5a5 [3206]" strokeweight=".5pt">
                      <v:stroke joinstyle="miter"/>
                      <v:path arrowok="t"/>
                    </v:oval>
                  </w:pict>
                </mc:Fallback>
              </mc:AlternateContent>
            </w:r>
          </w:p>
        </w:tc>
        <w:tc>
          <w:tcPr>
            <w:tcW w:w="8604" w:type="dxa"/>
          </w:tcPr>
          <w:p w14:paraId="2548258D" w14:textId="73B9B3F2" w:rsidR="00914EA0" w:rsidRDefault="00914EA0" w:rsidP="00F16D38">
            <w:pPr>
              <w:rPr>
                <w:lang w:eastAsia="en-US"/>
              </w:rPr>
            </w:pPr>
            <w:r>
              <w:rPr>
                <w:rFonts w:eastAsiaTheme="minorHAnsi"/>
                <w:b/>
                <w:lang w:eastAsia="en-US"/>
              </w:rPr>
              <w:t xml:space="preserve">Optional: </w:t>
            </w:r>
            <w:r>
              <w:rPr>
                <w:rFonts w:eastAsiaTheme="minorHAnsi"/>
                <w:lang w:eastAsia="en-US"/>
              </w:rPr>
              <w:t xml:space="preserve"> </w:t>
            </w:r>
            <w:r w:rsidR="009811FB">
              <w:rPr>
                <w:rFonts w:eastAsiaTheme="minorHAnsi"/>
                <w:lang w:eastAsia="en-US"/>
              </w:rPr>
              <w:t>You have the option of choosing l</w:t>
            </w:r>
            <w:r w:rsidR="009811FB" w:rsidRPr="00AE4D4E">
              <w:rPr>
                <w:rFonts w:eastAsiaTheme="minorHAnsi"/>
                <w:lang w:eastAsia="en-US"/>
              </w:rPr>
              <w:t xml:space="preserve">ocally </w:t>
            </w:r>
            <w:r w:rsidR="009811FB">
              <w:rPr>
                <w:rFonts w:eastAsiaTheme="minorHAnsi"/>
                <w:lang w:eastAsia="en-US"/>
              </w:rPr>
              <w:t>r</w:t>
            </w:r>
            <w:r w:rsidR="009811FB" w:rsidRPr="00AE4D4E">
              <w:rPr>
                <w:rFonts w:eastAsiaTheme="minorHAnsi"/>
                <w:lang w:eastAsia="en-US"/>
              </w:rPr>
              <w:t xml:space="preserve">edundant </w:t>
            </w:r>
            <w:r w:rsidR="009811FB">
              <w:rPr>
                <w:rFonts w:eastAsiaTheme="minorHAnsi"/>
                <w:lang w:eastAsia="en-US"/>
              </w:rPr>
              <w:t>s</w:t>
            </w:r>
            <w:r w:rsidR="009811FB" w:rsidRPr="00AE4D4E">
              <w:rPr>
                <w:rFonts w:eastAsiaTheme="minorHAnsi"/>
                <w:lang w:eastAsia="en-US"/>
              </w:rPr>
              <w:t xml:space="preserve">torage (LRS) or </w:t>
            </w:r>
            <w:r w:rsidR="009811FB">
              <w:rPr>
                <w:rFonts w:eastAsiaTheme="minorHAnsi"/>
                <w:lang w:eastAsia="en-US"/>
              </w:rPr>
              <w:t>g</w:t>
            </w:r>
            <w:r w:rsidR="009811FB" w:rsidRPr="00AE4D4E">
              <w:rPr>
                <w:rFonts w:eastAsiaTheme="minorHAnsi"/>
                <w:lang w:eastAsia="en-US"/>
              </w:rPr>
              <w:t>eo-</w:t>
            </w:r>
            <w:r w:rsidR="009811FB">
              <w:rPr>
                <w:rFonts w:eastAsiaTheme="minorHAnsi"/>
                <w:lang w:eastAsia="en-US"/>
              </w:rPr>
              <w:t>r</w:t>
            </w:r>
            <w:r w:rsidR="009811FB" w:rsidRPr="00AE4D4E">
              <w:rPr>
                <w:rFonts w:eastAsiaTheme="minorHAnsi"/>
                <w:lang w:eastAsia="en-US"/>
              </w:rPr>
              <w:t xml:space="preserve">edundant </w:t>
            </w:r>
            <w:r w:rsidR="009811FB">
              <w:rPr>
                <w:rFonts w:eastAsiaTheme="minorHAnsi"/>
                <w:lang w:eastAsia="en-US"/>
              </w:rPr>
              <w:t>s</w:t>
            </w:r>
            <w:r w:rsidR="009811FB" w:rsidRPr="00AE4D4E">
              <w:rPr>
                <w:rFonts w:eastAsiaTheme="minorHAnsi"/>
                <w:lang w:eastAsia="en-US"/>
              </w:rPr>
              <w:t>torage (GRS) for the backup data</w:t>
            </w:r>
            <w:r w:rsidR="009811FB">
              <w:rPr>
                <w:rFonts w:eastAsiaTheme="minorHAnsi"/>
                <w:lang w:eastAsia="en-US"/>
              </w:rPr>
              <w:t>, independent of other non-backup-related storage accounts. You can</w:t>
            </w:r>
            <w:r w:rsidR="009811FB" w:rsidRPr="00AE4D4E">
              <w:rPr>
                <w:rFonts w:eastAsiaTheme="minorHAnsi"/>
                <w:lang w:eastAsia="en-US"/>
              </w:rPr>
              <w:t xml:space="preserve"> lower </w:t>
            </w:r>
            <w:r w:rsidR="009811FB">
              <w:rPr>
                <w:rFonts w:eastAsiaTheme="minorHAnsi"/>
                <w:lang w:eastAsia="en-US"/>
              </w:rPr>
              <w:t>your</w:t>
            </w:r>
            <w:r w:rsidR="009811FB" w:rsidRPr="00AE4D4E">
              <w:rPr>
                <w:rFonts w:eastAsiaTheme="minorHAnsi"/>
                <w:lang w:eastAsia="en-US"/>
              </w:rPr>
              <w:t xml:space="preserve"> storage costs </w:t>
            </w:r>
            <w:r w:rsidR="009811FB">
              <w:rPr>
                <w:rFonts w:eastAsiaTheme="minorHAnsi"/>
                <w:lang w:eastAsia="en-US"/>
              </w:rPr>
              <w:t>by</w:t>
            </w:r>
            <w:r w:rsidR="009811FB" w:rsidRPr="00AE4D4E">
              <w:rPr>
                <w:rFonts w:eastAsiaTheme="minorHAnsi"/>
                <w:lang w:eastAsia="en-US"/>
              </w:rPr>
              <w:t xml:space="preserve"> choos</w:t>
            </w:r>
            <w:r w:rsidR="009811FB">
              <w:rPr>
                <w:rFonts w:eastAsiaTheme="minorHAnsi"/>
                <w:lang w:eastAsia="en-US"/>
              </w:rPr>
              <w:t>ing</w:t>
            </w:r>
            <w:r w:rsidR="009811FB" w:rsidRPr="00AE4D4E">
              <w:rPr>
                <w:rFonts w:eastAsiaTheme="minorHAnsi"/>
                <w:lang w:eastAsia="en-US"/>
              </w:rPr>
              <w:t xml:space="preserve"> LRS instead of the default GRS. </w:t>
            </w:r>
            <w:r w:rsidR="009811FB">
              <w:rPr>
                <w:rFonts w:eastAsiaTheme="minorHAnsi"/>
                <w:lang w:eastAsia="en-US"/>
              </w:rPr>
              <w:t>For example, you could benefit from choosing LRS if you want</w:t>
            </w:r>
            <w:r w:rsidR="009811FB" w:rsidRPr="00AE4D4E">
              <w:rPr>
                <w:rFonts w:eastAsiaTheme="minorHAnsi"/>
                <w:lang w:eastAsia="en-US"/>
              </w:rPr>
              <w:t xml:space="preserve"> to replace data on tapes with one copy in Azure</w:t>
            </w:r>
            <w:r w:rsidRPr="00AE4D4E">
              <w:rPr>
                <w:rFonts w:eastAsiaTheme="minorHAnsi"/>
                <w:lang w:eastAsia="en-US"/>
              </w:rPr>
              <w:t>.</w:t>
            </w:r>
          </w:p>
        </w:tc>
      </w:tr>
    </w:tbl>
    <w:p w14:paraId="662739B3" w14:textId="77777777" w:rsidR="003C4EDF" w:rsidRDefault="003C4EDF" w:rsidP="003C4EDF"/>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3C4EDF" w14:paraId="11A65DC8" w14:textId="77777777" w:rsidTr="003C4EDF">
        <w:tc>
          <w:tcPr>
            <w:tcW w:w="9360" w:type="dxa"/>
            <w:shd w:val="clear" w:color="auto" w:fill="008AC8"/>
          </w:tcPr>
          <w:p w14:paraId="09DD80E4" w14:textId="77777777" w:rsidR="003C4EDF" w:rsidRPr="00F47607" w:rsidRDefault="003C4EDF" w:rsidP="003C4EDF">
            <w:pPr>
              <w:spacing w:line="240" w:lineRule="auto"/>
              <w:rPr>
                <w:color w:val="FFFFFF"/>
              </w:rPr>
            </w:pPr>
            <w:r>
              <w:rPr>
                <w:color w:val="FFFFFF"/>
              </w:rPr>
              <w:t>Design Guidance</w:t>
            </w:r>
          </w:p>
        </w:tc>
      </w:tr>
    </w:tbl>
    <w:p w14:paraId="760033D5" w14:textId="77777777" w:rsidR="009811FB" w:rsidRDefault="009811FB" w:rsidP="009811FB">
      <w:r>
        <w:t xml:space="preserve">Azure Backup works with your existing data protection software, whether it’s Windows Server Backup or System Center Data Protection Manager (DPM). If you do not have an existing investment in Windows Server Backup or DPM then you can leverage Azure Backup as a standalone data retention and protection solution. </w:t>
      </w:r>
    </w:p>
    <w:p w14:paraId="734DD1B4" w14:textId="00D174AF" w:rsidR="003C4EDF" w:rsidRDefault="009811FB" w:rsidP="009811FB">
      <w:pPr>
        <w:jc w:val="both"/>
      </w:pPr>
      <w:r w:rsidRPr="005034D5">
        <w:t>Azure Backup implements an optimized blob copy that ensures constant, predictable I</w:t>
      </w:r>
      <w:r>
        <w:t>/</w:t>
      </w:r>
      <w:r w:rsidRPr="005034D5">
        <w:t>O and backup times.</w:t>
      </w:r>
      <w:r>
        <w:t xml:space="preserve"> Consider the following scenarios</w:t>
      </w:r>
      <w:r w:rsidR="00250BF7">
        <w:t>:</w:t>
      </w:r>
    </w:p>
    <w:tbl>
      <w:tblPr>
        <w:tblStyle w:val="PlainTable11"/>
        <w:tblW w:w="9355" w:type="dxa"/>
        <w:tblLook w:val="0420" w:firstRow="1" w:lastRow="0" w:firstColumn="0" w:lastColumn="0" w:noHBand="0" w:noVBand="1"/>
      </w:tblPr>
      <w:tblGrid>
        <w:gridCol w:w="2965"/>
        <w:gridCol w:w="2787"/>
        <w:gridCol w:w="3603"/>
      </w:tblGrid>
      <w:tr w:rsidR="003C4EDF" w:rsidRPr="00BF7F28" w14:paraId="3B424158" w14:textId="77777777" w:rsidTr="00BF7F28">
        <w:trPr>
          <w:cnfStyle w:val="100000000000" w:firstRow="1" w:lastRow="0" w:firstColumn="0" w:lastColumn="0" w:oddVBand="0" w:evenVBand="0" w:oddHBand="0" w:evenHBand="0" w:firstRowFirstColumn="0" w:firstRowLastColumn="0" w:lastRowFirstColumn="0" w:lastRowLastColumn="0"/>
        </w:trPr>
        <w:tc>
          <w:tcPr>
            <w:tcW w:w="2965" w:type="dxa"/>
            <w:shd w:val="clear" w:color="auto" w:fill="808080" w:themeFill="background1" w:themeFillShade="80"/>
            <w:hideMark/>
          </w:tcPr>
          <w:p w14:paraId="0B72CACC" w14:textId="77777777" w:rsidR="003C4EDF" w:rsidRPr="00BF7F28" w:rsidRDefault="003C4EDF" w:rsidP="003C4EDF">
            <w:pPr>
              <w:spacing w:line="240" w:lineRule="auto"/>
              <w:rPr>
                <w:rFonts w:ascii="Times New Roman" w:hAnsi="Times New Roman"/>
                <w:bCs w:val="0"/>
                <w:color w:val="FFFFFF"/>
                <w:lang w:val="en-AU" w:eastAsia="en-AU"/>
              </w:rPr>
            </w:pPr>
            <w:r w:rsidRPr="00BF7F28">
              <w:rPr>
                <w:rFonts w:eastAsia="Calibri"/>
                <w:bCs w:val="0"/>
                <w:color w:val="FFFFFF"/>
                <w:lang w:val="en-AU" w:eastAsia="en-AU"/>
              </w:rPr>
              <w:t>Scenario</w:t>
            </w:r>
          </w:p>
        </w:tc>
        <w:tc>
          <w:tcPr>
            <w:tcW w:w="2787" w:type="dxa"/>
            <w:shd w:val="clear" w:color="auto" w:fill="808080" w:themeFill="background1" w:themeFillShade="80"/>
            <w:hideMark/>
          </w:tcPr>
          <w:p w14:paraId="4DDAB6DF" w14:textId="77777777" w:rsidR="003C4EDF" w:rsidRPr="00BF7F28" w:rsidRDefault="003C4EDF" w:rsidP="003C4EDF">
            <w:pPr>
              <w:spacing w:line="240" w:lineRule="auto"/>
              <w:rPr>
                <w:rFonts w:eastAsia="Calibri"/>
                <w:color w:val="FFFFFF"/>
                <w:lang w:val="en-AU" w:eastAsia="en-AU"/>
              </w:rPr>
            </w:pPr>
            <w:r w:rsidRPr="00BF7F28">
              <w:rPr>
                <w:rFonts w:eastAsia="Calibri"/>
                <w:bCs w:val="0"/>
                <w:color w:val="FFFFFF"/>
                <w:lang w:val="en-AU" w:eastAsia="en-AU"/>
              </w:rPr>
              <w:t>Model</w:t>
            </w:r>
          </w:p>
        </w:tc>
        <w:tc>
          <w:tcPr>
            <w:tcW w:w="3603" w:type="dxa"/>
            <w:shd w:val="clear" w:color="auto" w:fill="808080" w:themeFill="background1" w:themeFillShade="80"/>
            <w:hideMark/>
          </w:tcPr>
          <w:p w14:paraId="5AA65CC8" w14:textId="77777777" w:rsidR="003C4EDF" w:rsidRPr="00BF7F28" w:rsidRDefault="003C4EDF" w:rsidP="003C4EDF">
            <w:pPr>
              <w:spacing w:line="240" w:lineRule="auto"/>
              <w:rPr>
                <w:rFonts w:eastAsia="Calibri"/>
                <w:color w:val="FFFFFF"/>
                <w:lang w:val="en-AU" w:eastAsia="en-AU"/>
              </w:rPr>
            </w:pPr>
            <w:r w:rsidRPr="00BF7F28">
              <w:rPr>
                <w:rFonts w:eastAsia="Calibri"/>
                <w:bCs w:val="0"/>
                <w:color w:val="FFFFFF"/>
                <w:lang w:val="en-AU" w:eastAsia="en-AU"/>
              </w:rPr>
              <w:t>Points to Consider</w:t>
            </w:r>
          </w:p>
        </w:tc>
      </w:tr>
      <w:tr w:rsidR="009811FB" w14:paraId="691D0145" w14:textId="77777777" w:rsidTr="00BF7F28">
        <w:trPr>
          <w:cnfStyle w:val="000000100000" w:firstRow="0" w:lastRow="0" w:firstColumn="0" w:lastColumn="0" w:oddVBand="0" w:evenVBand="0" w:oddHBand="1" w:evenHBand="0" w:firstRowFirstColumn="0" w:firstRowLastColumn="0" w:lastRowFirstColumn="0" w:lastRowLastColumn="0"/>
        </w:trPr>
        <w:tc>
          <w:tcPr>
            <w:tcW w:w="2965" w:type="dxa"/>
            <w:hideMark/>
          </w:tcPr>
          <w:p w14:paraId="77D19AE4" w14:textId="6A850B16" w:rsidR="009811FB" w:rsidRPr="003C4EDF" w:rsidRDefault="009811FB" w:rsidP="009811FB">
            <w:pPr>
              <w:pStyle w:val="NormalWeb"/>
              <w:rPr>
                <w:rFonts w:ascii="Segoe UI" w:hAnsi="Segoe UI" w:cs="Segoe UI"/>
                <w:sz w:val="20"/>
                <w:szCs w:val="20"/>
                <w:lang w:val="en-AU" w:eastAsia="en-AU"/>
              </w:rPr>
            </w:pPr>
            <w:r w:rsidRPr="003C4EDF">
              <w:rPr>
                <w:rFonts w:ascii="Segoe UI" w:hAnsi="Segoe UI" w:cs="Segoe UI"/>
                <w:b/>
                <w:sz w:val="20"/>
                <w:szCs w:val="20"/>
                <w:lang w:val="en-AU" w:eastAsia="en-AU"/>
              </w:rPr>
              <w:t>Azure Backup (IaaS)</w:t>
            </w:r>
          </w:p>
        </w:tc>
        <w:tc>
          <w:tcPr>
            <w:tcW w:w="2787" w:type="dxa"/>
            <w:hideMark/>
          </w:tcPr>
          <w:p w14:paraId="3F30196F" w14:textId="6B893296" w:rsidR="009811FB" w:rsidRPr="00250BF7" w:rsidRDefault="009811FB" w:rsidP="009811FB">
            <w:pPr>
              <w:rPr>
                <w:rFonts w:cs="Segoe UI"/>
                <w:sz w:val="20"/>
                <w:szCs w:val="20"/>
                <w:lang w:val="en-AU" w:eastAsia="en-AU"/>
              </w:rPr>
            </w:pPr>
            <w:r w:rsidRPr="00256000">
              <w:rPr>
                <w:sz w:val="20"/>
              </w:rPr>
              <w:t>Application-consistent back</w:t>
            </w:r>
            <w:r>
              <w:rPr>
                <w:sz w:val="20"/>
              </w:rPr>
              <w:t xml:space="preserve"> </w:t>
            </w:r>
            <w:r w:rsidRPr="00256000">
              <w:rPr>
                <w:sz w:val="20"/>
              </w:rPr>
              <w:t>up of IaaS virtual machines</w:t>
            </w:r>
          </w:p>
        </w:tc>
        <w:tc>
          <w:tcPr>
            <w:tcW w:w="3603" w:type="dxa"/>
            <w:hideMark/>
          </w:tcPr>
          <w:p w14:paraId="3CA1ADB2" w14:textId="77777777" w:rsidR="009811FB" w:rsidRPr="00256000" w:rsidRDefault="009811FB" w:rsidP="009811FB">
            <w:pPr>
              <w:pStyle w:val="ListParagraph"/>
              <w:numPr>
                <w:ilvl w:val="0"/>
                <w:numId w:val="8"/>
              </w:numPr>
              <w:rPr>
                <w:sz w:val="20"/>
              </w:rPr>
            </w:pPr>
            <w:r w:rsidRPr="00256000">
              <w:rPr>
                <w:sz w:val="20"/>
              </w:rPr>
              <w:t>Back</w:t>
            </w:r>
            <w:r>
              <w:rPr>
                <w:sz w:val="20"/>
              </w:rPr>
              <w:t xml:space="preserve"> </w:t>
            </w:r>
            <w:r w:rsidRPr="00256000">
              <w:rPr>
                <w:sz w:val="20"/>
              </w:rPr>
              <w:t>up with no impact to production workloads</w:t>
            </w:r>
          </w:p>
          <w:p w14:paraId="21916AD2" w14:textId="77777777" w:rsidR="009811FB" w:rsidRPr="00256000" w:rsidRDefault="009811FB" w:rsidP="009811FB">
            <w:pPr>
              <w:pStyle w:val="ListParagraph"/>
              <w:numPr>
                <w:ilvl w:val="0"/>
                <w:numId w:val="8"/>
              </w:numPr>
              <w:rPr>
                <w:sz w:val="20"/>
              </w:rPr>
            </w:pPr>
            <w:r w:rsidRPr="00256000">
              <w:rPr>
                <w:sz w:val="20"/>
              </w:rPr>
              <w:t xml:space="preserve">No shut down of </w:t>
            </w:r>
            <w:r>
              <w:rPr>
                <w:sz w:val="20"/>
              </w:rPr>
              <w:t>virtual machine</w:t>
            </w:r>
            <w:r w:rsidRPr="00256000">
              <w:rPr>
                <w:sz w:val="20"/>
              </w:rPr>
              <w:t xml:space="preserve"> required</w:t>
            </w:r>
          </w:p>
          <w:p w14:paraId="62BBB601" w14:textId="77777777" w:rsidR="009811FB" w:rsidRPr="00256000" w:rsidRDefault="009811FB" w:rsidP="009811FB">
            <w:pPr>
              <w:pStyle w:val="ListParagraph"/>
              <w:numPr>
                <w:ilvl w:val="0"/>
                <w:numId w:val="8"/>
              </w:numPr>
              <w:rPr>
                <w:sz w:val="20"/>
              </w:rPr>
            </w:pPr>
            <w:r w:rsidRPr="00256000">
              <w:rPr>
                <w:sz w:val="20"/>
              </w:rPr>
              <w:t>Application</w:t>
            </w:r>
            <w:r>
              <w:rPr>
                <w:sz w:val="20"/>
              </w:rPr>
              <w:t>-</w:t>
            </w:r>
            <w:r w:rsidRPr="00256000">
              <w:rPr>
                <w:sz w:val="20"/>
              </w:rPr>
              <w:t xml:space="preserve">level consistency for Windows </w:t>
            </w:r>
            <w:r>
              <w:rPr>
                <w:sz w:val="20"/>
              </w:rPr>
              <w:t>operating systems</w:t>
            </w:r>
          </w:p>
          <w:p w14:paraId="3C6E28B8" w14:textId="56423BA6" w:rsidR="009811FB" w:rsidRPr="003C4EDF" w:rsidRDefault="009811FB" w:rsidP="009811FB">
            <w:pPr>
              <w:pStyle w:val="ListParagraph"/>
              <w:numPr>
                <w:ilvl w:val="0"/>
                <w:numId w:val="8"/>
              </w:numPr>
              <w:rPr>
                <w:rFonts w:cs="Segoe UI"/>
                <w:sz w:val="20"/>
                <w:szCs w:val="20"/>
                <w:lang w:val="en-AU" w:eastAsia="en-AU"/>
              </w:rPr>
            </w:pPr>
            <w:r w:rsidRPr="00256000">
              <w:rPr>
                <w:sz w:val="20"/>
              </w:rPr>
              <w:t>File</w:t>
            </w:r>
            <w:r>
              <w:rPr>
                <w:sz w:val="20"/>
              </w:rPr>
              <w:t>-</w:t>
            </w:r>
            <w:r w:rsidRPr="00256000">
              <w:rPr>
                <w:sz w:val="20"/>
              </w:rPr>
              <w:t>system</w:t>
            </w:r>
            <w:r>
              <w:rPr>
                <w:sz w:val="20"/>
              </w:rPr>
              <w:t>-</w:t>
            </w:r>
            <w:r w:rsidRPr="00256000">
              <w:rPr>
                <w:sz w:val="20"/>
              </w:rPr>
              <w:t xml:space="preserve">level consistency for Linux </w:t>
            </w:r>
            <w:r>
              <w:rPr>
                <w:sz w:val="20"/>
              </w:rPr>
              <w:t>operating systems</w:t>
            </w:r>
          </w:p>
        </w:tc>
      </w:tr>
      <w:tr w:rsidR="009811FB" w14:paraId="10602CA6" w14:textId="77777777" w:rsidTr="00BF7F28">
        <w:tc>
          <w:tcPr>
            <w:tcW w:w="2965" w:type="dxa"/>
            <w:hideMark/>
          </w:tcPr>
          <w:p w14:paraId="18C69986" w14:textId="36EF36BC" w:rsidR="009811FB" w:rsidRPr="003C4EDF" w:rsidRDefault="009811FB" w:rsidP="009811FB">
            <w:pPr>
              <w:pStyle w:val="NormalWeb"/>
              <w:rPr>
                <w:rFonts w:ascii="Segoe UI" w:hAnsi="Segoe UI" w:cs="Segoe UI"/>
                <w:sz w:val="20"/>
                <w:szCs w:val="20"/>
                <w:lang w:val="en-AU" w:eastAsia="en-AU"/>
              </w:rPr>
            </w:pPr>
            <w:r w:rsidRPr="003C4EDF">
              <w:rPr>
                <w:rFonts w:ascii="Segoe UI" w:hAnsi="Segoe UI" w:cs="Segoe UI"/>
                <w:b/>
                <w:sz w:val="20"/>
                <w:szCs w:val="20"/>
                <w:lang w:val="en-AU" w:eastAsia="en-AU"/>
              </w:rPr>
              <w:t xml:space="preserve">Azure </w:t>
            </w:r>
            <w:r>
              <w:rPr>
                <w:rFonts w:ascii="Segoe UI" w:hAnsi="Segoe UI" w:cs="Segoe UI"/>
                <w:b/>
                <w:sz w:val="20"/>
                <w:szCs w:val="20"/>
                <w:lang w:val="en-AU" w:eastAsia="en-AU"/>
              </w:rPr>
              <w:t>B</w:t>
            </w:r>
            <w:r w:rsidRPr="003C4EDF">
              <w:rPr>
                <w:rFonts w:ascii="Segoe UI" w:hAnsi="Segoe UI" w:cs="Segoe UI"/>
                <w:b/>
                <w:sz w:val="20"/>
                <w:szCs w:val="20"/>
                <w:lang w:val="en-AU" w:eastAsia="en-AU"/>
              </w:rPr>
              <w:t>ackup (IaaS)</w:t>
            </w:r>
          </w:p>
        </w:tc>
        <w:tc>
          <w:tcPr>
            <w:tcW w:w="2787" w:type="dxa"/>
            <w:hideMark/>
          </w:tcPr>
          <w:p w14:paraId="1213924E" w14:textId="77777777" w:rsidR="009811FB" w:rsidRPr="00250BF7" w:rsidRDefault="009811FB" w:rsidP="009811FB">
            <w:pPr>
              <w:rPr>
                <w:rFonts w:cs="Segoe UI"/>
                <w:sz w:val="20"/>
                <w:szCs w:val="20"/>
                <w:lang w:val="en-AU" w:eastAsia="en-AU"/>
              </w:rPr>
            </w:pPr>
            <w:r w:rsidRPr="00256000">
              <w:rPr>
                <w:sz w:val="20"/>
              </w:rPr>
              <w:t>Fabric</w:t>
            </w:r>
            <w:r>
              <w:rPr>
                <w:sz w:val="20"/>
              </w:rPr>
              <w:t>-</w:t>
            </w:r>
            <w:r w:rsidRPr="00256000">
              <w:rPr>
                <w:sz w:val="20"/>
              </w:rPr>
              <w:t>level backup</w:t>
            </w:r>
          </w:p>
          <w:p w14:paraId="13E0832B" w14:textId="77777777" w:rsidR="009811FB" w:rsidRPr="00250BF7" w:rsidRDefault="009811FB" w:rsidP="009811FB">
            <w:pPr>
              <w:rPr>
                <w:rFonts w:cs="Segoe UI"/>
                <w:sz w:val="20"/>
                <w:szCs w:val="20"/>
                <w:lang w:val="en-AU" w:eastAsia="en-AU"/>
              </w:rPr>
            </w:pPr>
          </w:p>
          <w:p w14:paraId="2714D161" w14:textId="77777777" w:rsidR="009811FB" w:rsidRPr="00250BF7" w:rsidRDefault="009811FB" w:rsidP="009811FB">
            <w:pPr>
              <w:rPr>
                <w:rFonts w:cs="Segoe UI"/>
                <w:sz w:val="20"/>
                <w:szCs w:val="20"/>
                <w:lang w:val="en-AU" w:eastAsia="en-AU"/>
              </w:rPr>
            </w:pPr>
          </w:p>
          <w:p w14:paraId="31E8E74D" w14:textId="77777777" w:rsidR="009811FB" w:rsidRPr="00250BF7" w:rsidRDefault="009811FB" w:rsidP="009811FB">
            <w:pPr>
              <w:ind w:firstLine="720"/>
              <w:rPr>
                <w:rFonts w:cs="Segoe UI"/>
                <w:sz w:val="20"/>
                <w:szCs w:val="20"/>
                <w:lang w:val="en-AU" w:eastAsia="en-AU"/>
              </w:rPr>
            </w:pPr>
          </w:p>
        </w:tc>
        <w:tc>
          <w:tcPr>
            <w:tcW w:w="3603" w:type="dxa"/>
            <w:hideMark/>
          </w:tcPr>
          <w:p w14:paraId="7DBF2A73" w14:textId="77777777" w:rsidR="009811FB" w:rsidRPr="00256000" w:rsidRDefault="009811FB" w:rsidP="009811FB">
            <w:pPr>
              <w:pStyle w:val="ListParagraph"/>
              <w:numPr>
                <w:ilvl w:val="0"/>
                <w:numId w:val="8"/>
              </w:numPr>
              <w:rPr>
                <w:sz w:val="20"/>
              </w:rPr>
            </w:pPr>
            <w:r w:rsidRPr="00256000">
              <w:rPr>
                <w:sz w:val="20"/>
              </w:rPr>
              <w:t xml:space="preserve">Unlimited scalability with no customer resources required for </w:t>
            </w:r>
            <w:r>
              <w:rPr>
                <w:sz w:val="20"/>
              </w:rPr>
              <w:t xml:space="preserve">the </w:t>
            </w:r>
            <w:r w:rsidRPr="00256000">
              <w:rPr>
                <w:sz w:val="20"/>
              </w:rPr>
              <w:t>backup</w:t>
            </w:r>
          </w:p>
          <w:p w14:paraId="29CC69AD" w14:textId="77777777" w:rsidR="009811FB" w:rsidRPr="00256000" w:rsidRDefault="009811FB" w:rsidP="009811FB">
            <w:pPr>
              <w:pStyle w:val="ListParagraph"/>
              <w:numPr>
                <w:ilvl w:val="0"/>
                <w:numId w:val="8"/>
              </w:numPr>
              <w:rPr>
                <w:sz w:val="20"/>
              </w:rPr>
            </w:pPr>
            <w:r w:rsidRPr="00256000">
              <w:rPr>
                <w:sz w:val="20"/>
              </w:rPr>
              <w:t>Agentless back</w:t>
            </w:r>
            <w:r>
              <w:rPr>
                <w:sz w:val="20"/>
              </w:rPr>
              <w:t xml:space="preserve"> </w:t>
            </w:r>
            <w:r w:rsidRPr="00256000">
              <w:rPr>
                <w:sz w:val="20"/>
              </w:rPr>
              <w:t xml:space="preserve">up of multiple </w:t>
            </w:r>
            <w:r>
              <w:rPr>
                <w:sz w:val="20"/>
              </w:rPr>
              <w:t>virtual machines</w:t>
            </w:r>
            <w:r w:rsidRPr="00256000">
              <w:rPr>
                <w:sz w:val="20"/>
              </w:rPr>
              <w:t xml:space="preserve"> at the same time</w:t>
            </w:r>
          </w:p>
          <w:p w14:paraId="21FEDAE8" w14:textId="77777777" w:rsidR="009811FB" w:rsidRPr="00256000" w:rsidRDefault="009811FB" w:rsidP="009811FB">
            <w:pPr>
              <w:pStyle w:val="ListParagraph"/>
              <w:numPr>
                <w:ilvl w:val="0"/>
                <w:numId w:val="8"/>
              </w:numPr>
              <w:rPr>
                <w:sz w:val="20"/>
              </w:rPr>
            </w:pPr>
            <w:r w:rsidRPr="00256000">
              <w:rPr>
                <w:sz w:val="20"/>
              </w:rPr>
              <w:t>Single, central management interface through the Azure portal</w:t>
            </w:r>
          </w:p>
          <w:p w14:paraId="388CE5FF" w14:textId="4920AD94" w:rsidR="009811FB" w:rsidRPr="003C4EDF" w:rsidRDefault="009811FB" w:rsidP="009811FB">
            <w:pPr>
              <w:pStyle w:val="ListParagraph"/>
              <w:numPr>
                <w:ilvl w:val="0"/>
                <w:numId w:val="8"/>
              </w:numPr>
              <w:rPr>
                <w:rFonts w:cs="Segoe UI"/>
                <w:sz w:val="20"/>
                <w:szCs w:val="20"/>
                <w:lang w:val="en-AU" w:eastAsia="en-AU"/>
              </w:rPr>
            </w:pPr>
            <w:r w:rsidRPr="00256000">
              <w:rPr>
                <w:sz w:val="20"/>
              </w:rPr>
              <w:t xml:space="preserve">Detailed </w:t>
            </w:r>
            <w:r w:rsidRPr="005C7BA2">
              <w:rPr>
                <w:b/>
                <w:sz w:val="20"/>
              </w:rPr>
              <w:t>Jobs</w:t>
            </w:r>
            <w:r w:rsidRPr="00256000">
              <w:rPr>
                <w:sz w:val="20"/>
              </w:rPr>
              <w:t xml:space="preserve"> view for tracking progress and success</w:t>
            </w:r>
            <w:r>
              <w:rPr>
                <w:sz w:val="20"/>
              </w:rPr>
              <w:t xml:space="preserve"> or </w:t>
            </w:r>
            <w:r w:rsidRPr="00256000">
              <w:rPr>
                <w:sz w:val="20"/>
              </w:rPr>
              <w:t>failure</w:t>
            </w:r>
          </w:p>
        </w:tc>
      </w:tr>
      <w:tr w:rsidR="009811FB" w14:paraId="09A7A690" w14:textId="77777777" w:rsidTr="00BF7F28">
        <w:trPr>
          <w:cnfStyle w:val="000000100000" w:firstRow="0" w:lastRow="0" w:firstColumn="0" w:lastColumn="0" w:oddVBand="0" w:evenVBand="0" w:oddHBand="1" w:evenHBand="0" w:firstRowFirstColumn="0" w:firstRowLastColumn="0" w:lastRowFirstColumn="0" w:lastRowLastColumn="0"/>
        </w:trPr>
        <w:tc>
          <w:tcPr>
            <w:tcW w:w="2965" w:type="dxa"/>
          </w:tcPr>
          <w:p w14:paraId="549D9AF2" w14:textId="4793289E" w:rsidR="009811FB" w:rsidRPr="003C4EDF" w:rsidRDefault="009811FB" w:rsidP="009811FB">
            <w:pPr>
              <w:pStyle w:val="NormalWeb"/>
              <w:rPr>
                <w:rFonts w:ascii="Segoe UI" w:hAnsi="Segoe UI" w:cs="Segoe UI"/>
                <w:b/>
                <w:sz w:val="20"/>
                <w:szCs w:val="20"/>
                <w:lang w:val="en-AU" w:eastAsia="en-AU"/>
              </w:rPr>
            </w:pPr>
            <w:r w:rsidRPr="003C4EDF">
              <w:rPr>
                <w:rFonts w:ascii="Segoe UI" w:hAnsi="Segoe UI" w:cs="Segoe UI"/>
                <w:b/>
                <w:sz w:val="20"/>
                <w:szCs w:val="20"/>
                <w:lang w:val="en-AU" w:eastAsia="en-AU"/>
              </w:rPr>
              <w:t xml:space="preserve">Azure </w:t>
            </w:r>
            <w:r>
              <w:rPr>
                <w:rFonts w:ascii="Segoe UI" w:hAnsi="Segoe UI" w:cs="Segoe UI"/>
                <w:b/>
                <w:sz w:val="20"/>
                <w:szCs w:val="20"/>
                <w:lang w:val="en-AU" w:eastAsia="en-AU"/>
              </w:rPr>
              <w:t>B</w:t>
            </w:r>
            <w:r w:rsidRPr="003C4EDF">
              <w:rPr>
                <w:rFonts w:ascii="Segoe UI" w:hAnsi="Segoe UI" w:cs="Segoe UI"/>
                <w:b/>
                <w:sz w:val="20"/>
                <w:szCs w:val="20"/>
                <w:lang w:val="en-AU" w:eastAsia="en-AU"/>
              </w:rPr>
              <w:t>ackup (IaaS)</w:t>
            </w:r>
          </w:p>
        </w:tc>
        <w:tc>
          <w:tcPr>
            <w:tcW w:w="2787" w:type="dxa"/>
          </w:tcPr>
          <w:p w14:paraId="738A16BA" w14:textId="77777777" w:rsidR="009811FB" w:rsidRPr="00256000" w:rsidRDefault="009811FB" w:rsidP="009811FB">
            <w:pPr>
              <w:rPr>
                <w:sz w:val="20"/>
              </w:rPr>
            </w:pPr>
            <w:r w:rsidRPr="00256000">
              <w:rPr>
                <w:sz w:val="20"/>
              </w:rPr>
              <w:t>Policy-driven backup and retention</w:t>
            </w:r>
          </w:p>
          <w:p w14:paraId="75E4BA9C" w14:textId="77777777" w:rsidR="009811FB" w:rsidRPr="00256000" w:rsidRDefault="009811FB" w:rsidP="009811FB">
            <w:pPr>
              <w:rPr>
                <w:sz w:val="20"/>
              </w:rPr>
            </w:pPr>
          </w:p>
        </w:tc>
        <w:tc>
          <w:tcPr>
            <w:tcW w:w="3603" w:type="dxa"/>
          </w:tcPr>
          <w:p w14:paraId="1D7EE9FD" w14:textId="77777777" w:rsidR="009811FB" w:rsidRPr="00256000" w:rsidRDefault="009811FB" w:rsidP="009811FB">
            <w:pPr>
              <w:pStyle w:val="ListParagraph"/>
              <w:numPr>
                <w:ilvl w:val="0"/>
                <w:numId w:val="8"/>
              </w:numPr>
              <w:rPr>
                <w:sz w:val="20"/>
              </w:rPr>
            </w:pPr>
            <w:r w:rsidRPr="00256000">
              <w:rPr>
                <w:sz w:val="20"/>
              </w:rPr>
              <w:t>Configuration of scheduled backup</w:t>
            </w:r>
            <w:r>
              <w:rPr>
                <w:sz w:val="20"/>
              </w:rPr>
              <w:t>s</w:t>
            </w:r>
          </w:p>
          <w:p w14:paraId="28E343D0" w14:textId="77777777" w:rsidR="009811FB" w:rsidRPr="00256000" w:rsidRDefault="009811FB" w:rsidP="009811FB">
            <w:pPr>
              <w:pStyle w:val="ListParagraph"/>
              <w:numPr>
                <w:ilvl w:val="0"/>
                <w:numId w:val="8"/>
              </w:numPr>
              <w:rPr>
                <w:sz w:val="20"/>
              </w:rPr>
            </w:pPr>
            <w:r w:rsidRPr="00256000">
              <w:rPr>
                <w:sz w:val="20"/>
              </w:rPr>
              <w:t>On-demand backup</w:t>
            </w:r>
            <w:r>
              <w:rPr>
                <w:sz w:val="20"/>
              </w:rPr>
              <w:t>s</w:t>
            </w:r>
          </w:p>
          <w:p w14:paraId="31AD3F2E" w14:textId="77777777" w:rsidR="009811FB" w:rsidRPr="00256000" w:rsidRDefault="009811FB" w:rsidP="009811FB">
            <w:pPr>
              <w:pStyle w:val="ListParagraph"/>
              <w:numPr>
                <w:ilvl w:val="0"/>
                <w:numId w:val="8"/>
              </w:numPr>
              <w:rPr>
                <w:sz w:val="20"/>
              </w:rPr>
            </w:pPr>
            <w:r w:rsidRPr="00256000">
              <w:rPr>
                <w:sz w:val="20"/>
              </w:rPr>
              <w:t xml:space="preserve">Automatic management of recovery points within </w:t>
            </w:r>
            <w:r>
              <w:rPr>
                <w:sz w:val="20"/>
              </w:rPr>
              <w:t xml:space="preserve">an </w:t>
            </w:r>
            <w:r w:rsidRPr="00256000">
              <w:rPr>
                <w:sz w:val="20"/>
              </w:rPr>
              <w:t xml:space="preserve">Azure </w:t>
            </w:r>
            <w:r>
              <w:rPr>
                <w:sz w:val="20"/>
              </w:rPr>
              <w:t>b</w:t>
            </w:r>
            <w:r w:rsidRPr="00256000">
              <w:rPr>
                <w:sz w:val="20"/>
              </w:rPr>
              <w:t>ackup vault</w:t>
            </w:r>
          </w:p>
          <w:p w14:paraId="184AD3AF" w14:textId="5E5D9F86" w:rsidR="009811FB" w:rsidRPr="00256000" w:rsidRDefault="009811FB" w:rsidP="009811FB">
            <w:pPr>
              <w:pStyle w:val="ListParagraph"/>
              <w:numPr>
                <w:ilvl w:val="0"/>
                <w:numId w:val="8"/>
              </w:numPr>
              <w:rPr>
                <w:sz w:val="20"/>
              </w:rPr>
            </w:pPr>
            <w:r w:rsidRPr="00256000">
              <w:rPr>
                <w:sz w:val="20"/>
              </w:rPr>
              <w:t xml:space="preserve">Retain backup data in </w:t>
            </w:r>
            <w:r>
              <w:rPr>
                <w:sz w:val="20"/>
              </w:rPr>
              <w:t xml:space="preserve">an </w:t>
            </w:r>
            <w:r w:rsidRPr="00256000">
              <w:rPr>
                <w:sz w:val="20"/>
              </w:rPr>
              <w:t xml:space="preserve">Azure </w:t>
            </w:r>
            <w:r>
              <w:rPr>
                <w:sz w:val="20"/>
              </w:rPr>
              <w:t>b</w:t>
            </w:r>
            <w:r w:rsidRPr="00256000">
              <w:rPr>
                <w:sz w:val="20"/>
              </w:rPr>
              <w:t xml:space="preserve">ackup vault even if the original </w:t>
            </w:r>
            <w:r>
              <w:rPr>
                <w:sz w:val="20"/>
              </w:rPr>
              <w:t>virtual machine</w:t>
            </w:r>
            <w:r w:rsidRPr="00256000">
              <w:rPr>
                <w:sz w:val="20"/>
              </w:rPr>
              <w:t xml:space="preserve"> is deleted</w:t>
            </w:r>
          </w:p>
        </w:tc>
      </w:tr>
      <w:tr w:rsidR="009811FB" w14:paraId="62FF2D7A" w14:textId="77777777" w:rsidTr="00BF7F28">
        <w:tc>
          <w:tcPr>
            <w:tcW w:w="2965" w:type="dxa"/>
          </w:tcPr>
          <w:p w14:paraId="7FAD8873" w14:textId="35635289" w:rsidR="009811FB" w:rsidRPr="003C4EDF" w:rsidRDefault="009811FB" w:rsidP="009811FB">
            <w:pPr>
              <w:pStyle w:val="NormalWeb"/>
              <w:rPr>
                <w:rFonts w:ascii="Segoe UI" w:hAnsi="Segoe UI" w:cs="Segoe UI"/>
                <w:b/>
                <w:sz w:val="20"/>
                <w:szCs w:val="20"/>
                <w:lang w:val="en-AU" w:eastAsia="en-AU"/>
              </w:rPr>
            </w:pPr>
            <w:r w:rsidRPr="003C4EDF">
              <w:rPr>
                <w:rFonts w:ascii="Segoe UI" w:hAnsi="Segoe UI" w:cs="Segoe UI"/>
                <w:b/>
                <w:sz w:val="20"/>
                <w:szCs w:val="20"/>
                <w:lang w:val="en-AU" w:eastAsia="en-AU"/>
              </w:rPr>
              <w:t xml:space="preserve">Azure backup (SQL Server </w:t>
            </w:r>
            <w:r>
              <w:rPr>
                <w:rFonts w:ascii="Segoe UI" w:hAnsi="Segoe UI" w:cs="Segoe UI"/>
                <w:b/>
                <w:sz w:val="20"/>
                <w:szCs w:val="20"/>
                <w:lang w:val="en-AU" w:eastAsia="en-AU"/>
              </w:rPr>
              <w:t xml:space="preserve">in </w:t>
            </w:r>
            <w:r w:rsidRPr="003C4EDF">
              <w:rPr>
                <w:rFonts w:ascii="Segoe UI" w:hAnsi="Segoe UI" w:cs="Segoe UI"/>
                <w:b/>
                <w:sz w:val="20"/>
                <w:szCs w:val="20"/>
                <w:lang w:val="en-AU" w:eastAsia="en-AU"/>
              </w:rPr>
              <w:t>IaaS)</w:t>
            </w:r>
          </w:p>
        </w:tc>
        <w:tc>
          <w:tcPr>
            <w:tcW w:w="2787" w:type="dxa"/>
          </w:tcPr>
          <w:p w14:paraId="3F588F13" w14:textId="53EE36D9" w:rsidR="009811FB" w:rsidRPr="00256000" w:rsidRDefault="009811FB" w:rsidP="009811FB">
            <w:pPr>
              <w:rPr>
                <w:sz w:val="20"/>
              </w:rPr>
            </w:pPr>
            <w:r>
              <w:rPr>
                <w:sz w:val="20"/>
              </w:rPr>
              <w:t>SQL Server instance backups</w:t>
            </w:r>
          </w:p>
        </w:tc>
        <w:tc>
          <w:tcPr>
            <w:tcW w:w="3603" w:type="dxa"/>
          </w:tcPr>
          <w:p w14:paraId="454B1AD8" w14:textId="77777777" w:rsidR="009811FB" w:rsidRPr="00256000" w:rsidRDefault="009811FB" w:rsidP="009811FB">
            <w:pPr>
              <w:pStyle w:val="ListParagraph"/>
              <w:numPr>
                <w:ilvl w:val="0"/>
                <w:numId w:val="8"/>
              </w:numPr>
              <w:rPr>
                <w:sz w:val="20"/>
              </w:rPr>
            </w:pPr>
            <w:r w:rsidRPr="00256000">
              <w:rPr>
                <w:sz w:val="20"/>
              </w:rPr>
              <w:t>Enable backup compression to reduce costs</w:t>
            </w:r>
          </w:p>
          <w:p w14:paraId="6D51B432" w14:textId="77777777" w:rsidR="009811FB" w:rsidRPr="00256000" w:rsidRDefault="009811FB" w:rsidP="009811FB">
            <w:pPr>
              <w:pStyle w:val="ListParagraph"/>
              <w:numPr>
                <w:ilvl w:val="0"/>
                <w:numId w:val="8"/>
              </w:numPr>
              <w:rPr>
                <w:sz w:val="20"/>
              </w:rPr>
            </w:pPr>
            <w:r w:rsidRPr="00256000">
              <w:rPr>
                <w:sz w:val="20"/>
              </w:rPr>
              <w:t>Monitor and delete failed backups</w:t>
            </w:r>
          </w:p>
          <w:p w14:paraId="727AD94C" w14:textId="77777777" w:rsidR="009811FB" w:rsidRPr="00256000" w:rsidRDefault="009811FB" w:rsidP="009811FB">
            <w:pPr>
              <w:pStyle w:val="ListParagraph"/>
              <w:numPr>
                <w:ilvl w:val="0"/>
                <w:numId w:val="8"/>
              </w:numPr>
              <w:rPr>
                <w:sz w:val="20"/>
              </w:rPr>
            </w:pPr>
            <w:r w:rsidRPr="00256000">
              <w:rPr>
                <w:sz w:val="20"/>
              </w:rPr>
              <w:t>Set container</w:t>
            </w:r>
            <w:r>
              <w:rPr>
                <w:sz w:val="20"/>
              </w:rPr>
              <w:t>-</w:t>
            </w:r>
            <w:r w:rsidRPr="00256000">
              <w:rPr>
                <w:sz w:val="20"/>
              </w:rPr>
              <w:t xml:space="preserve">level access to </w:t>
            </w:r>
            <w:r w:rsidRPr="005C7BA2">
              <w:rPr>
                <w:b/>
                <w:sz w:val="20"/>
              </w:rPr>
              <w:t>Private</w:t>
            </w:r>
          </w:p>
          <w:p w14:paraId="4D4173AA" w14:textId="6DEF319E" w:rsidR="009811FB" w:rsidRPr="00256000" w:rsidRDefault="009811FB" w:rsidP="009811FB">
            <w:pPr>
              <w:pStyle w:val="ListParagraph"/>
              <w:numPr>
                <w:ilvl w:val="0"/>
                <w:numId w:val="8"/>
              </w:numPr>
              <w:rPr>
                <w:sz w:val="20"/>
              </w:rPr>
            </w:pPr>
            <w:r w:rsidRPr="00256000">
              <w:rPr>
                <w:sz w:val="20"/>
              </w:rPr>
              <w:t xml:space="preserve">Ensure your backup location is in the same region as your IaaS SQL </w:t>
            </w:r>
            <w:r>
              <w:rPr>
                <w:sz w:val="20"/>
              </w:rPr>
              <w:t>S</w:t>
            </w:r>
            <w:r w:rsidRPr="00256000">
              <w:rPr>
                <w:sz w:val="20"/>
              </w:rPr>
              <w:t>erver</w:t>
            </w:r>
            <w:r>
              <w:rPr>
                <w:sz w:val="20"/>
              </w:rPr>
              <w:t xml:space="preserve"> instance</w:t>
            </w:r>
            <w:r w:rsidRPr="00256000">
              <w:rPr>
                <w:sz w:val="20"/>
              </w:rPr>
              <w:t xml:space="preserve">. </w:t>
            </w:r>
          </w:p>
        </w:tc>
      </w:tr>
    </w:tbl>
    <w:p w14:paraId="728090A9" w14:textId="77777777" w:rsidR="003C4EDF" w:rsidRDefault="003C4EDF" w:rsidP="003C4EDF"/>
    <w:p w14:paraId="467B1E42" w14:textId="77777777" w:rsidR="00914EA0" w:rsidRDefault="00914EA0" w:rsidP="005729D2">
      <w:pPr>
        <w:pStyle w:val="Heading3Numbered"/>
        <w:numPr>
          <w:ilvl w:val="2"/>
          <w:numId w:val="64"/>
        </w:numPr>
      </w:pPr>
      <w:bookmarkStart w:id="6976" w:name="_Toc417983203"/>
      <w:bookmarkStart w:id="6977" w:name="_Toc417984472"/>
      <w:bookmarkStart w:id="6978" w:name="_Toc417986037"/>
      <w:bookmarkStart w:id="6979" w:name="_Toc417987474"/>
      <w:bookmarkStart w:id="6980" w:name="_Toc417993170"/>
      <w:bookmarkStart w:id="6981" w:name="_Toc418003902"/>
      <w:bookmarkStart w:id="6982" w:name="_Toc418005642"/>
      <w:bookmarkStart w:id="6983" w:name="_Toc418006644"/>
      <w:bookmarkStart w:id="6984" w:name="_Toc418010883"/>
      <w:bookmarkStart w:id="6985" w:name="_Toc418012107"/>
      <w:bookmarkStart w:id="6986" w:name="_Toc418012375"/>
      <w:bookmarkStart w:id="6987" w:name="_Toc418012819"/>
      <w:bookmarkStart w:id="6988" w:name="_Toc418014375"/>
      <w:bookmarkStart w:id="6989" w:name="_Toc418014755"/>
      <w:bookmarkStart w:id="6990" w:name="_Toc418016124"/>
      <w:bookmarkStart w:id="6991" w:name="_Toc418017363"/>
      <w:bookmarkStart w:id="6992" w:name="_Toc418013692"/>
      <w:bookmarkStart w:id="6993" w:name="_Toc418017638"/>
      <w:bookmarkStart w:id="6994" w:name="_Toc418021127"/>
      <w:bookmarkStart w:id="6995" w:name="_Toc418022175"/>
      <w:bookmarkStart w:id="6996" w:name="_Toc418023148"/>
      <w:bookmarkStart w:id="6997" w:name="_Toc418025544"/>
      <w:bookmarkStart w:id="6998" w:name="_Toc418025819"/>
      <w:bookmarkStart w:id="6999" w:name="_Toc418026112"/>
      <w:bookmarkStart w:id="7000" w:name="_Toc418027794"/>
      <w:bookmarkStart w:id="7001" w:name="_Toc418028216"/>
      <w:bookmarkStart w:id="7002" w:name="_Toc418030125"/>
      <w:bookmarkStart w:id="7003" w:name="_Toc418030876"/>
      <w:bookmarkStart w:id="7004" w:name="_Toc418040628"/>
      <w:bookmarkStart w:id="7005" w:name="_Toc417982582"/>
      <w:bookmarkStart w:id="7006" w:name="_Toc417986038"/>
      <w:bookmarkStart w:id="7007" w:name="_Toc418000728"/>
      <w:bookmarkStart w:id="7008" w:name="_Toc418003903"/>
      <w:bookmarkStart w:id="7009" w:name="_Toc418012108"/>
      <w:bookmarkStart w:id="7010" w:name="_Toc418030126"/>
      <w:bookmarkStart w:id="7011" w:name="_Toc418037006"/>
      <w:bookmarkStart w:id="7012" w:name="_Toc418061479"/>
      <w:bookmarkStart w:id="7013" w:name="_Toc418081380"/>
      <w:bookmarkStart w:id="7014" w:name="_Toc418082007"/>
      <w:bookmarkStart w:id="7015" w:name="_Toc418083410"/>
      <w:bookmarkStart w:id="7016" w:name="_Toc418096176"/>
      <w:bookmarkStart w:id="7017" w:name="_Toc418156778"/>
      <w:bookmarkStart w:id="7018" w:name="_Toc418167695"/>
      <w:bookmarkStart w:id="7019" w:name="_Toc418185951"/>
      <w:bookmarkStart w:id="7020" w:name="_Toc422941665"/>
      <w:bookmarkStart w:id="7021" w:name="_Toc423116877"/>
      <w:bookmarkStart w:id="7022" w:name="_Toc423117910"/>
      <w:bookmarkStart w:id="7023" w:name="_Toc423117357"/>
      <w:bookmarkStart w:id="7024" w:name="_Toc431288956"/>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r>
        <w:t>System Center Data Protection Manager</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526211C3" w14:textId="16772B41" w:rsidR="00F92F5D" w:rsidRDefault="00914EA0" w:rsidP="00F92F5D">
      <w:r w:rsidRPr="008A4148">
        <w:t>System</w:t>
      </w:r>
      <w:r w:rsidR="00F92F5D" w:rsidRPr="008A4148">
        <w:t xml:space="preserve"> Center</w:t>
      </w:r>
      <w:r w:rsidR="00F92F5D">
        <w:t> 2</w:t>
      </w:r>
      <w:r w:rsidR="00F92F5D" w:rsidRPr="008A4148">
        <w:t xml:space="preserve">012 </w:t>
      </w:r>
      <w:r w:rsidR="00F92F5D">
        <w:t>R2</w:t>
      </w:r>
      <w:r w:rsidR="00F92F5D" w:rsidRPr="008A4148">
        <w:t xml:space="preserve"> Data Protection Manager (DPM) is an enterprise backup system. </w:t>
      </w:r>
      <w:r w:rsidR="00F92F5D">
        <w:t>By u</w:t>
      </w:r>
      <w:r w:rsidR="00F92F5D" w:rsidRPr="008A4148">
        <w:t>sing DPM</w:t>
      </w:r>
      <w:r w:rsidR="00F92F5D">
        <w:t>,</w:t>
      </w:r>
      <w:r w:rsidR="00F92F5D" w:rsidRPr="008A4148">
        <w:t xml:space="preserve"> you can back</w:t>
      </w:r>
      <w:r w:rsidR="00F92F5D">
        <w:t xml:space="preserve"> </w:t>
      </w:r>
      <w:r w:rsidR="00F92F5D" w:rsidRPr="008A4148">
        <w:t xml:space="preserve">up (copy) data from a source location to a target secondary location. If original data is unavailable because of planned or unexpected issues, you can restore data from the secondary location. </w:t>
      </w:r>
    </w:p>
    <w:p w14:paraId="7C44A529" w14:textId="17503C29" w:rsidR="00914EA0" w:rsidRDefault="00F92F5D" w:rsidP="00F92F5D">
      <w:pPr>
        <w:jc w:val="both"/>
      </w:pPr>
      <w:r>
        <w:t>By u</w:t>
      </w:r>
      <w:r w:rsidRPr="008A4148">
        <w:t>sing DPM</w:t>
      </w:r>
      <w:r>
        <w:t>,</w:t>
      </w:r>
      <w:r w:rsidRPr="008A4148">
        <w:t xml:space="preserve"> you can back up application data from Microsoft servers and workloads, and file data from servers and client computers. You can create full backups, incremental backups, differential backups, and bare-metal backups to completely restore a system</w:t>
      </w:r>
      <w:r w:rsidR="00914EA0" w:rsidRPr="008A4148">
        <w:t>.</w:t>
      </w:r>
    </w:p>
    <w:tbl>
      <w:tblPr>
        <w:tblStyle w:val="PlainTable11"/>
        <w:tblW w:w="9450" w:type="dxa"/>
        <w:tblLook w:val="04A0" w:firstRow="1" w:lastRow="0" w:firstColumn="1" w:lastColumn="0" w:noHBand="0" w:noVBand="1"/>
      </w:tblPr>
      <w:tblGrid>
        <w:gridCol w:w="2700"/>
        <w:gridCol w:w="6750"/>
      </w:tblGrid>
      <w:tr w:rsidR="00250BF7" w:rsidRPr="00F47607" w14:paraId="12A295E3" w14:textId="77777777" w:rsidTr="00BF7F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50" w:type="dxa"/>
            <w:gridSpan w:val="2"/>
            <w:shd w:val="clear" w:color="auto" w:fill="808080" w:themeFill="background1" w:themeFillShade="80"/>
          </w:tcPr>
          <w:p w14:paraId="40302906" w14:textId="77777777" w:rsidR="00250BF7" w:rsidRPr="00F47607" w:rsidRDefault="00250BF7" w:rsidP="00531DA4">
            <w:pPr>
              <w:spacing w:line="240" w:lineRule="auto"/>
              <w:rPr>
                <w:color w:val="FFFFFF"/>
              </w:rPr>
            </w:pPr>
            <w:r>
              <w:rPr>
                <w:color w:val="FFFFFF"/>
              </w:rPr>
              <w:t>Feature References</w:t>
            </w:r>
          </w:p>
        </w:tc>
      </w:tr>
      <w:tr w:rsidR="00250BF7" w:rsidRPr="00927F75" w14:paraId="692E13BD"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025CDC9E" w14:textId="77777777" w:rsidR="00250BF7" w:rsidRPr="00927F75" w:rsidRDefault="00250BF7" w:rsidP="00531DA4">
            <w:pPr>
              <w:spacing w:line="240" w:lineRule="auto"/>
              <w:rPr>
                <w:sz w:val="20"/>
                <w:szCs w:val="18"/>
              </w:rPr>
            </w:pPr>
            <w:r>
              <w:rPr>
                <w:sz w:val="20"/>
                <w:szCs w:val="18"/>
              </w:rPr>
              <w:t>DPM and Azure Backup</w:t>
            </w:r>
          </w:p>
        </w:tc>
        <w:tc>
          <w:tcPr>
            <w:tcW w:w="6750" w:type="dxa"/>
          </w:tcPr>
          <w:p w14:paraId="3F8840E3" w14:textId="77777777" w:rsidR="00250BF7" w:rsidRPr="00927F75" w:rsidRDefault="00872E47" w:rsidP="00531DA4">
            <w:pPr>
              <w:cnfStyle w:val="000000100000" w:firstRow="0" w:lastRow="0" w:firstColumn="0" w:lastColumn="0" w:oddVBand="0" w:evenVBand="0" w:oddHBand="1" w:evenHBand="0" w:firstRowFirstColumn="0" w:firstRowLastColumn="0" w:lastRowFirstColumn="0" w:lastRowLastColumn="0"/>
              <w:rPr>
                <w:sz w:val="20"/>
                <w:szCs w:val="18"/>
              </w:rPr>
            </w:pPr>
            <w:hyperlink r:id="rId605" w:history="1">
              <w:r w:rsidR="00250BF7" w:rsidRPr="004639F2">
                <w:rPr>
                  <w:rStyle w:val="Hyperlink"/>
                  <w:sz w:val="20"/>
                  <w:szCs w:val="18"/>
                </w:rPr>
                <w:t>https://msdn.microsoft.com/en-us/library/azure/dn337332.aspx</w:t>
              </w:r>
            </w:hyperlink>
            <w:r w:rsidR="00250BF7">
              <w:rPr>
                <w:sz w:val="20"/>
                <w:szCs w:val="18"/>
              </w:rPr>
              <w:t xml:space="preserve"> </w:t>
            </w:r>
          </w:p>
        </w:tc>
      </w:tr>
    </w:tbl>
    <w:p w14:paraId="5A96339E" w14:textId="0EF0E6A1" w:rsidR="00305E18" w:rsidRDefault="00305E18">
      <w:pPr>
        <w:spacing w:before="0" w:after="160" w:line="259" w:lineRule="auto"/>
      </w:pP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F92F5D" w14:paraId="2BE7B76E" w14:textId="77777777" w:rsidTr="00F92F5D">
        <w:trPr>
          <w:trHeight w:val="423"/>
        </w:trPr>
        <w:tc>
          <w:tcPr>
            <w:tcW w:w="666" w:type="dxa"/>
          </w:tcPr>
          <w:p w14:paraId="647CF6FB" w14:textId="77777777" w:rsidR="00F92F5D" w:rsidRDefault="00F92F5D" w:rsidP="00F92F5D">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2046336" behindDoc="0" locked="0" layoutInCell="1" allowOverlap="1" wp14:anchorId="490C5367" wp14:editId="78E8616B">
                      <wp:simplePos x="0" y="0"/>
                      <wp:positionH relativeFrom="column">
                        <wp:posOffset>66675</wp:posOffset>
                      </wp:positionH>
                      <wp:positionV relativeFrom="paragraph">
                        <wp:posOffset>90170</wp:posOffset>
                      </wp:positionV>
                      <wp:extent cx="209550" cy="180975"/>
                      <wp:effectExtent l="57150" t="19050" r="57150" b="104775"/>
                      <wp:wrapNone/>
                      <wp:docPr id="874593609" name="Isosceles Triangle 8745936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1429657C" id="Isosceles Triangle 874593609" o:spid="_x0000_s1026" type="#_x0000_t5" style="position:absolute;margin-left:5.25pt;margin-top:7.1pt;width:16.5pt;height:14.25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2XYjgIAAH8FAAAOAAAAZHJzL2Uyb0RvYy54bWysVG1r2zAQ/j7YfxD6vtpOk7YxdUpoySiE&#10;Nqwd/azIUmIm6zRJiZP9+p3kl3RdoTDmD0Lne+50L8/d9c2hVmQvrKtAFzQ7SykRmkNZ6U1Bvz8v&#10;vlxR4jzTJVOgRUGPwtGb2edP143JxQi2oEphCTrRLm9MQbfemzxJHN+KmrkzMEKjUoKtmUfRbpLS&#10;sga91yoZpelF0oAtjQUunMO/d62SzqJ/KQX3j1I64YkqKMbm42njuQ5nMrtm+cYys614Fwb7hyhq&#10;Vml8dHB1xzwjO1v95aquuAUH0p9xqBOQsuIi5oDZZOmbbJ62zIiYCxbHmaFM7v+55Q/7lSVVWdCr&#10;y/Fken6RTinRrMZW3TtwXCjhyLOtmN4oQU4YrFtjXI7mT2ZlQ+bOLIH/cKhI/tAEwXWYg7R1wGLe&#10;5BCbcByaIA6ecPw5SqeTCbaKoyq7SqeXk9CkhOW9sbHOfxVQk3ApqO+Ci+Vn+6XzLbyHxdhAVeWi&#10;UioKdrO+VZbsGXJigV8aaYAvuBMs5tCGHRPwRyWCsdLfhMR6YaBZfDEyVQz+GOdC+4su5IgOZhLf&#10;HgzPPzbs8MFURBYPxqOPjQeL+DJoPxjXlQb7ngPlsy5k2eK7Lro271CCNZRHpIqFdoac4YsKG7Bk&#10;zq+YxaHBnuEi8I94SAVNQaG7UbIF++u9/wGPXEYtJQ0OYUHdzx2zghJ1r5Hl02w8DlMbhfHkcoSC&#10;fa1Zv9boXX0L2NMMV47h8RrwXvVXaaF+wX0xD6+iimmObxeUe9sLt75dDrhxuJjPIwwn1TC/1E+G&#10;910P5Ho+vDBrehYifR+gH1iWvyFiiw390DDfeZBVZOmprl29ccoj17uNFNbIazmiTntz9hs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XSNl2I4CAA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291BD5D9" w14:textId="77777777" w:rsidR="00F92F5D" w:rsidRDefault="00F92F5D" w:rsidP="00F92F5D">
            <w:pPr>
              <w:rPr>
                <w:lang w:eastAsia="en-US"/>
              </w:rPr>
            </w:pPr>
            <w:r>
              <w:rPr>
                <w:rFonts w:eastAsiaTheme="minorHAnsi"/>
                <w:b/>
                <w:lang w:eastAsia="en-US"/>
              </w:rPr>
              <w:t xml:space="preserve">Recommended: </w:t>
            </w:r>
            <w:r w:rsidRPr="009105D0">
              <w:rPr>
                <w:rFonts w:eastAsiaTheme="minorHAnsi"/>
                <w:lang w:eastAsia="en-US"/>
              </w:rPr>
              <w:t>Find and</w:t>
            </w:r>
            <w:r>
              <w:rPr>
                <w:rFonts w:eastAsiaTheme="minorHAnsi"/>
                <w:b/>
                <w:lang w:eastAsia="en-US"/>
              </w:rPr>
              <w:t xml:space="preserve"> </w:t>
            </w:r>
            <w:r>
              <w:rPr>
                <w:rFonts w:eastAsiaTheme="minorHAnsi"/>
                <w:lang w:eastAsia="en-US"/>
              </w:rPr>
              <w:t>d</w:t>
            </w:r>
            <w:r w:rsidRPr="00183889">
              <w:rPr>
                <w:rFonts w:eastAsiaTheme="minorHAnsi"/>
                <w:lang w:eastAsia="en-US"/>
              </w:rPr>
              <w:t>ownload</w:t>
            </w:r>
            <w:r>
              <w:rPr>
                <w:rFonts w:eastAsiaTheme="minorHAnsi"/>
                <w:lang w:eastAsia="en-US"/>
              </w:rPr>
              <w:t xml:space="preserve"> the latest rollup update from </w:t>
            </w:r>
            <w:hyperlink r:id="rId606" w:history="1">
              <w:r w:rsidRPr="009105D0">
                <w:rPr>
                  <w:rStyle w:val="Hyperlink"/>
                  <w:lang w:val="en"/>
                </w:rPr>
                <w:t>Update rollups for System Center 2012 R2 - DPM</w:t>
              </w:r>
            </w:hyperlink>
            <w:r>
              <w:rPr>
                <w:lang w:val="en"/>
              </w:rPr>
              <w:t xml:space="preserve"> and</w:t>
            </w:r>
            <w:r>
              <w:rPr>
                <w:rFonts w:eastAsiaTheme="minorHAnsi"/>
                <w:lang w:eastAsia="en-US"/>
              </w:rPr>
              <w:t xml:space="preserve"> the </w:t>
            </w:r>
            <w:hyperlink r:id="rId607" w:anchor="download-install-and-register-the-azure-backup-agent" w:history="1">
              <w:r w:rsidRPr="009105D0">
                <w:rPr>
                  <w:rStyle w:val="Hyperlink"/>
                  <w:rFonts w:eastAsiaTheme="minorHAnsi"/>
                  <w:lang w:eastAsia="en-US"/>
                </w:rPr>
                <w:t>Azure backup agent</w:t>
              </w:r>
            </w:hyperlink>
            <w:r>
              <w:rPr>
                <w:rFonts w:eastAsiaTheme="minorHAnsi"/>
                <w:lang w:eastAsia="en-US"/>
              </w:rPr>
              <w:t xml:space="preserve"> to leverage the latest features. </w:t>
            </w:r>
          </w:p>
        </w:tc>
      </w:tr>
      <w:tr w:rsidR="00F92F5D" w14:paraId="5F6BE3BB" w14:textId="77777777" w:rsidTr="00F92F5D">
        <w:trPr>
          <w:trHeight w:val="423"/>
        </w:trPr>
        <w:tc>
          <w:tcPr>
            <w:tcW w:w="666" w:type="dxa"/>
          </w:tcPr>
          <w:p w14:paraId="7374C961" w14:textId="77777777" w:rsidR="00F92F5D" w:rsidRDefault="00F92F5D" w:rsidP="00F92F5D">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2051456" behindDoc="0" locked="0" layoutInCell="1" allowOverlap="1" wp14:anchorId="05EE3F42" wp14:editId="1FFD8458">
                      <wp:simplePos x="0" y="0"/>
                      <wp:positionH relativeFrom="column">
                        <wp:posOffset>66675</wp:posOffset>
                      </wp:positionH>
                      <wp:positionV relativeFrom="paragraph">
                        <wp:posOffset>90170</wp:posOffset>
                      </wp:positionV>
                      <wp:extent cx="180975" cy="180975"/>
                      <wp:effectExtent l="57150" t="19050" r="9525" b="104775"/>
                      <wp:wrapNone/>
                      <wp:docPr id="874593612" name="Oval 8745936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7A4EE1B8" id="Oval 874593612" o:spid="_x0000_s1026" style="position:absolute;margin-left:5.25pt;margin-top:7.1pt;width:14.25pt;height:14.25pt;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QnegwIAAHAFAAAOAAAAZHJzL2Uyb0RvYy54bWysVN9P2zAQfp+0/8Hy+0hSWigRKepATJMq&#10;QIOJZ9exW2uOz7Pdpt1fv7OTpmwgIU17sXy+7376u7u82jWabIXzCkxFi5OcEmE41MqsKvr96fbT&#10;lBIfmKmZBiMquheeXs0+frhsbSlGsAZdC0fQifFlayu6DsGWWeb5WjTMn4AVBpUSXMMCim6V1Y61&#10;6L3R2SjPz7IWXG0dcOE9vt50SjpL/qUUPNxL6UUguqKYW0inS+cyntnskpUrx+xa8T4N9g9ZNEwZ&#10;DDq4umGBkY1Tr1w1ijvwIMMJhyYDKRUXqQaspsj/quZxzaxItWBzvB3a5P+fW363fXBE1RWdno8n&#10;F6dnxYgSwxr8qvst0+T4ip1qrS/R4NE+uFirtwvgPzwqsj80UfA9ZiddE7FYKdmltu+HtotdIBwf&#10;i2l+cT6hhKOqv0efrDwYW+fDFwENiZeKCq2V9bExrGTbhQ8d+oBKqYFW9a3SOglutbzWjmA9GDv/&#10;nE/Sv2MAf4SlErqsU/5hr0U01uabkNigmGeKmKgpBn+Mc2HCaSQSOkzoaCYx9mB4+r5hj4+mItF2&#10;MB69bzxYpMhgwmDcKAPuLQc6FH3KssP3n+i7umMLllDvkRsOuqHxlt8q7P+C+fDAHE4JzhNOfrjH&#10;Q2poKwr9jZI1uF9vvUc8khe1lLQ4dRX1PzfMCUr0V4O0vijG4zimSRhPzkcouJea5UuN2TTXgH9a&#10;4I6xPF0jPujDVTponnFBzGNUVDHDMXZFeXAH4Tp02wBXDBfzeYLhaFoWFubR8sOvR3I97Z6Zsz0J&#10;A7L3Dg4T+oqIHTb+h4H5JoBUiaXHvvb9xrFOxOlXUNwbL+WEOi7K2W8AAAD//wMAUEsDBBQABgAI&#10;AAAAIQDCGp8i3gAAAAcBAAAPAAAAZHJzL2Rvd25yZXYueG1sTI9BS8NAEIXvgv9hGcGL2E1iqzZm&#10;U0QQFL2YVtTbNDsmwexsyG7b+O8dT3oaHu/x5nvFanK92tMYOs8G0lkCirj2tuPGwGZ9f34NKkRk&#10;i71nMvBNAVbl8VGBufUHfqF9FRslJRxyNNDGOORah7olh2HmB2LxPv3oMIocG21HPEi563WWJJfa&#10;YcfyocWB7lqqv6qdM/BRbZ7dOn1yb4/pw4LO3vsl2ldjTk+m2xtQkab4F4ZffEGHUpi2fsc2qF50&#10;spCk3HkGSvyLpUzbGphnV6DLQv/nL38AAAD//wMAUEsBAi0AFAAGAAgAAAAhALaDOJL+AAAA4QEA&#10;ABMAAAAAAAAAAAAAAAAAAAAAAFtDb250ZW50X1R5cGVzXS54bWxQSwECLQAUAAYACAAAACEAOP0h&#10;/9YAAACUAQAACwAAAAAAAAAAAAAAAAAvAQAAX3JlbHMvLnJlbHNQSwECLQAUAAYACAAAACEAIEUJ&#10;3oMCAABwBQAADgAAAAAAAAAAAAAAAAAuAgAAZHJzL2Uyb0RvYy54bWxQSwECLQAUAAYACAAAACEA&#10;whqfIt4AAAAHAQAADwAAAAAAAAAAAAAAAADdBAAAZHJzL2Rvd25yZXYueG1sUEsFBgAAAAAEAAQA&#10;8wAAAOgFAAAAAA==&#10;" fillcolor="#00b050" strokecolor="#a5a5a5 [3206]" strokeweight=".5pt">
                      <v:stroke joinstyle="miter"/>
                      <v:path arrowok="t"/>
                    </v:oval>
                  </w:pict>
                </mc:Fallback>
              </mc:AlternateContent>
            </w:r>
          </w:p>
        </w:tc>
        <w:tc>
          <w:tcPr>
            <w:tcW w:w="8604" w:type="dxa"/>
          </w:tcPr>
          <w:p w14:paraId="625E86F2" w14:textId="77777777" w:rsidR="00F92F5D" w:rsidRDefault="00F92F5D" w:rsidP="00F92F5D">
            <w:pPr>
              <w:rPr>
                <w:lang w:eastAsia="en-US"/>
              </w:rPr>
            </w:pPr>
            <w:r>
              <w:rPr>
                <w:rFonts w:eastAsiaTheme="minorHAnsi"/>
                <w:b/>
                <w:lang w:eastAsia="en-US"/>
              </w:rPr>
              <w:t xml:space="preserve">Optional: </w:t>
            </w:r>
            <w:r>
              <w:rPr>
                <w:rFonts w:eastAsiaTheme="minorHAnsi"/>
                <w:lang w:eastAsia="en-US"/>
              </w:rPr>
              <w:t xml:space="preserve">If you leverage Operations Manager you can download the DPM management pack to extend monitoring coverage of your Azure backup process for Data Protection Manager. </w:t>
            </w:r>
          </w:p>
        </w:tc>
      </w:tr>
    </w:tbl>
    <w:p w14:paraId="61C96649" w14:textId="77777777" w:rsidR="00914EA0" w:rsidRPr="001A7447" w:rsidRDefault="00914EA0" w:rsidP="005729D2">
      <w:pPr>
        <w:pStyle w:val="Heading4Numbered"/>
        <w:numPr>
          <w:ilvl w:val="3"/>
          <w:numId w:val="64"/>
        </w:numPr>
      </w:pPr>
      <w:r>
        <w:t>Azure Backup with System Center Data Protection Manager</w:t>
      </w:r>
    </w:p>
    <w:p w14:paraId="0E7EE164" w14:textId="3E65A071" w:rsidR="006700E7" w:rsidRDefault="007D22DE" w:rsidP="006700E7">
      <w:r>
        <w:t>Starting</w:t>
      </w:r>
      <w:r w:rsidR="006700E7">
        <w:t xml:space="preserve"> with</w:t>
      </w:r>
      <w:r w:rsidR="006700E7" w:rsidRPr="006F1C6C">
        <w:t xml:space="preserve"> Microsoft System Center</w:t>
      </w:r>
      <w:r w:rsidR="006700E7">
        <w:t> 2012</w:t>
      </w:r>
      <w:r w:rsidR="006700E7" w:rsidRPr="006F1C6C">
        <w:t xml:space="preserve"> SP1</w:t>
      </w:r>
      <w:r w:rsidR="006700E7">
        <w:t>,</w:t>
      </w:r>
      <w:r w:rsidR="006700E7" w:rsidRPr="006F1C6C">
        <w:t xml:space="preserve"> Data Protection Manager (DPM) </w:t>
      </w:r>
      <w:r w:rsidR="006700E7">
        <w:t>can</w:t>
      </w:r>
      <w:r w:rsidR="006700E7" w:rsidRPr="006F1C6C">
        <w:t xml:space="preserve"> back up production workload</w:t>
      </w:r>
      <w:r w:rsidR="006700E7">
        <w:t>s</w:t>
      </w:r>
      <w:r w:rsidR="006700E7" w:rsidRPr="006F1C6C">
        <w:t xml:space="preserve"> </w:t>
      </w:r>
      <w:r w:rsidR="006700E7">
        <w:t>directly</w:t>
      </w:r>
      <w:r w:rsidR="006700E7" w:rsidRPr="006F1C6C">
        <w:t xml:space="preserve"> to Microsoft Azure</w:t>
      </w:r>
      <w:r w:rsidR="006700E7">
        <w:t xml:space="preserve"> by using integration with the Azure Backup service</w:t>
      </w:r>
      <w:r w:rsidR="006700E7" w:rsidRPr="006F1C6C">
        <w:t>.</w:t>
      </w:r>
      <w:r w:rsidR="006700E7">
        <w:t xml:space="preserve"> This integration provides organizations with an </w:t>
      </w:r>
      <w:r w:rsidR="006700E7" w:rsidRPr="006F1C6C">
        <w:t xml:space="preserve">option </w:t>
      </w:r>
      <w:r w:rsidR="006700E7">
        <w:t>for an offsite back</w:t>
      </w:r>
      <w:r w:rsidR="006700E7" w:rsidRPr="006F1C6C">
        <w:t xml:space="preserve">up location without having to </w:t>
      </w:r>
      <w:r w:rsidR="006700E7">
        <w:t>manage</w:t>
      </w:r>
      <w:r w:rsidR="006700E7" w:rsidRPr="006F1C6C">
        <w:t xml:space="preserve"> tape </w:t>
      </w:r>
      <w:r w:rsidR="006700E7">
        <w:t xml:space="preserve">libraries </w:t>
      </w:r>
      <w:r w:rsidR="006700E7" w:rsidRPr="006F1C6C">
        <w:t>or disk backup then shipping them to an offsite location.</w:t>
      </w:r>
      <w:r w:rsidR="006700E7">
        <w:t xml:space="preserve"> </w:t>
      </w:r>
    </w:p>
    <w:p w14:paraId="34996E27" w14:textId="77777777" w:rsidR="006700E7" w:rsidRDefault="006700E7" w:rsidP="006700E7">
      <w:r>
        <w:t>T</w:t>
      </w:r>
      <w:r w:rsidRPr="006F1C6C">
        <w:t xml:space="preserve">o </w:t>
      </w:r>
      <w:r>
        <w:t xml:space="preserve">leverage </w:t>
      </w:r>
      <w:r w:rsidRPr="006F1C6C">
        <w:t xml:space="preserve">DPM </w:t>
      </w:r>
      <w:r>
        <w:t>integration with</w:t>
      </w:r>
      <w:r w:rsidRPr="006F1C6C">
        <w:t xml:space="preserve"> Azure</w:t>
      </w:r>
      <w:r>
        <w:t>,</w:t>
      </w:r>
      <w:r w:rsidRPr="006F1C6C">
        <w:t xml:space="preserve"> you need to create a </w:t>
      </w:r>
      <w:r>
        <w:t>s</w:t>
      </w:r>
      <w:r w:rsidRPr="006F1C6C">
        <w:t xml:space="preserve">torage </w:t>
      </w:r>
      <w:r>
        <w:t>v</w:t>
      </w:r>
      <w:r w:rsidRPr="006F1C6C">
        <w:t xml:space="preserve">ault in the Azure </w:t>
      </w:r>
      <w:r>
        <w:t>p</w:t>
      </w:r>
      <w:r w:rsidRPr="006F1C6C">
        <w:t xml:space="preserve">ortal. The data that is backed up in the </w:t>
      </w:r>
      <w:r>
        <w:t>s</w:t>
      </w:r>
      <w:r w:rsidRPr="006F1C6C">
        <w:t xml:space="preserve">torage </w:t>
      </w:r>
      <w:r>
        <w:t>v</w:t>
      </w:r>
      <w:r w:rsidRPr="006F1C6C">
        <w:t>ault is secured by using SSL certificates and strong passphrases.</w:t>
      </w:r>
      <w:r>
        <w:t xml:space="preserve"> </w:t>
      </w:r>
    </w:p>
    <w:p w14:paraId="61555128" w14:textId="7D23AA2D" w:rsidR="00914EA0" w:rsidRDefault="006700E7" w:rsidP="006700E7">
      <w:r>
        <w:t xml:space="preserve">After </w:t>
      </w:r>
      <w:r w:rsidRPr="006F1C6C">
        <w:t xml:space="preserve">the </w:t>
      </w:r>
      <w:r>
        <w:t>s</w:t>
      </w:r>
      <w:r w:rsidRPr="006F1C6C">
        <w:t xml:space="preserve">torage </w:t>
      </w:r>
      <w:r>
        <w:t>v</w:t>
      </w:r>
      <w:r w:rsidRPr="006F1C6C">
        <w:t>ault is configured</w:t>
      </w:r>
      <w:r>
        <w:t>,</w:t>
      </w:r>
      <w:r w:rsidRPr="006F1C6C">
        <w:t xml:space="preserve"> you need to install a Windows Backup Agent on your DPM server and register the DPM server with Azure.</w:t>
      </w:r>
      <w:r>
        <w:t xml:space="preserve"> System Center Data Protection Manager provides rich reporting capabilities as illustrated in the following graphics</w:t>
      </w:r>
      <w:r w:rsidR="00E823A7">
        <w:t>.</w:t>
      </w:r>
      <w:r w:rsidR="00914EA0">
        <w:rPr>
          <w:noProof/>
        </w:rPr>
        <w:drawing>
          <wp:inline distT="0" distB="0" distL="0" distR="0" wp14:anchorId="27427057" wp14:editId="24B35317">
            <wp:extent cx="5607050" cy="3873395"/>
            <wp:effectExtent l="0" t="0" r="0" b="0"/>
            <wp:docPr id="41037" name="Picture 4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650176" name="3505509.tmp"/>
                    <pic:cNvPicPr/>
                  </pic:nvPicPr>
                  <pic:blipFill>
                    <a:blip r:embed="rId608">
                      <a:extLst>
                        <a:ext uri="{28A0092B-C50C-407E-A947-70E740481C1C}">
                          <a14:useLocalDpi xmlns:a14="http://schemas.microsoft.com/office/drawing/2010/main" val="0"/>
                        </a:ext>
                      </a:extLst>
                    </a:blip>
                    <a:stretch>
                      <a:fillRect/>
                    </a:stretch>
                  </pic:blipFill>
                  <pic:spPr>
                    <a:xfrm>
                      <a:off x="0" y="0"/>
                      <a:ext cx="5617283" cy="3880464"/>
                    </a:xfrm>
                    <a:prstGeom prst="rect">
                      <a:avLst/>
                    </a:prstGeom>
                  </pic:spPr>
                </pic:pic>
              </a:graphicData>
            </a:graphic>
          </wp:inline>
        </w:drawing>
      </w:r>
    </w:p>
    <w:p w14:paraId="739E8F60" w14:textId="7DF8BF70" w:rsidR="00914EA0" w:rsidRDefault="00E823A7" w:rsidP="00914EA0">
      <w:r>
        <w:t>The Data Protection Manager</w:t>
      </w:r>
      <w:r w:rsidR="00914EA0">
        <w:t xml:space="preserve"> reporting framework </w:t>
      </w:r>
      <w:r>
        <w:t>includes</w:t>
      </w:r>
      <w:r w:rsidR="00914EA0">
        <w:t xml:space="preserve"> the following feature set</w:t>
      </w:r>
      <w:r>
        <w:t>:</w:t>
      </w:r>
    </w:p>
    <w:tbl>
      <w:tblPr>
        <w:tblStyle w:val="PlainTable11"/>
        <w:tblW w:w="9445" w:type="dxa"/>
        <w:tblLook w:val="0420" w:firstRow="1" w:lastRow="0" w:firstColumn="0" w:lastColumn="0" w:noHBand="0" w:noVBand="1"/>
      </w:tblPr>
      <w:tblGrid>
        <w:gridCol w:w="2605"/>
        <w:gridCol w:w="6840"/>
      </w:tblGrid>
      <w:tr w:rsidR="00A37508" w:rsidRPr="00BF7F28" w14:paraId="5AD4243E" w14:textId="77777777" w:rsidTr="00BF7F28">
        <w:trPr>
          <w:cnfStyle w:val="100000000000" w:firstRow="1" w:lastRow="0" w:firstColumn="0" w:lastColumn="0" w:oddVBand="0" w:evenVBand="0" w:oddHBand="0" w:evenHBand="0" w:firstRowFirstColumn="0" w:firstRowLastColumn="0" w:lastRowFirstColumn="0" w:lastRowLastColumn="0"/>
        </w:trPr>
        <w:tc>
          <w:tcPr>
            <w:tcW w:w="2605" w:type="dxa"/>
            <w:shd w:val="clear" w:color="auto" w:fill="808080" w:themeFill="background1" w:themeFillShade="80"/>
            <w:hideMark/>
          </w:tcPr>
          <w:p w14:paraId="03B934E2" w14:textId="77777777" w:rsidR="00A37508" w:rsidRPr="00BF7F28" w:rsidRDefault="00A37508" w:rsidP="00A37508">
            <w:pPr>
              <w:spacing w:line="240" w:lineRule="auto"/>
              <w:rPr>
                <w:rFonts w:eastAsia="Calibri"/>
                <w:bCs w:val="0"/>
                <w:color w:val="FFFFFF"/>
                <w:szCs w:val="20"/>
                <w:lang w:eastAsia="en-AU"/>
              </w:rPr>
            </w:pPr>
            <w:r w:rsidRPr="00BF7F28">
              <w:rPr>
                <w:rFonts w:eastAsia="Calibri"/>
                <w:bCs w:val="0"/>
                <w:color w:val="FFFFFF"/>
                <w:szCs w:val="20"/>
                <w:lang w:eastAsia="en-AU"/>
              </w:rPr>
              <w:t>Feature Area</w:t>
            </w:r>
          </w:p>
        </w:tc>
        <w:tc>
          <w:tcPr>
            <w:tcW w:w="6840" w:type="dxa"/>
            <w:shd w:val="clear" w:color="auto" w:fill="808080" w:themeFill="background1" w:themeFillShade="80"/>
            <w:hideMark/>
          </w:tcPr>
          <w:p w14:paraId="732E85E9" w14:textId="77777777" w:rsidR="00A37508" w:rsidRPr="00BF7F28" w:rsidRDefault="00A37508" w:rsidP="00A37508">
            <w:pPr>
              <w:spacing w:line="240" w:lineRule="auto"/>
              <w:rPr>
                <w:rFonts w:eastAsia="Calibri"/>
                <w:bCs w:val="0"/>
                <w:color w:val="FFFFFF"/>
                <w:szCs w:val="20"/>
                <w:lang w:eastAsia="en-AU"/>
              </w:rPr>
            </w:pPr>
            <w:r w:rsidRPr="00BF7F28">
              <w:rPr>
                <w:rFonts w:eastAsia="Calibri"/>
                <w:bCs w:val="0"/>
                <w:color w:val="FFFFFF"/>
                <w:szCs w:val="20"/>
                <w:lang w:eastAsia="en-AU"/>
              </w:rPr>
              <w:t>Capabilities</w:t>
            </w:r>
          </w:p>
        </w:tc>
      </w:tr>
      <w:tr w:rsidR="006700E7" w14:paraId="00746560" w14:textId="77777777" w:rsidTr="00BF7F28">
        <w:trPr>
          <w:cnfStyle w:val="000000100000" w:firstRow="0" w:lastRow="0" w:firstColumn="0" w:lastColumn="0" w:oddVBand="0" w:evenVBand="0" w:oddHBand="1" w:evenHBand="0" w:firstRowFirstColumn="0" w:firstRowLastColumn="0" w:lastRowFirstColumn="0" w:lastRowLastColumn="0"/>
        </w:trPr>
        <w:tc>
          <w:tcPr>
            <w:tcW w:w="2605" w:type="dxa"/>
          </w:tcPr>
          <w:p w14:paraId="177F4E3F" w14:textId="5A4AA7B2" w:rsidR="006700E7" w:rsidRPr="00305E18" w:rsidRDefault="006700E7" w:rsidP="006700E7">
            <w:pPr>
              <w:rPr>
                <w:rFonts w:cs="Segoe UI"/>
                <w:b/>
                <w:sz w:val="20"/>
                <w:szCs w:val="20"/>
              </w:rPr>
            </w:pPr>
            <w:r w:rsidRPr="00305E18">
              <w:rPr>
                <w:rFonts w:cs="Segoe UI"/>
                <w:b/>
                <w:sz w:val="20"/>
                <w:szCs w:val="20"/>
              </w:rPr>
              <w:t>Customization</w:t>
            </w:r>
          </w:p>
        </w:tc>
        <w:tc>
          <w:tcPr>
            <w:tcW w:w="6840" w:type="dxa"/>
          </w:tcPr>
          <w:p w14:paraId="70AFA5DA" w14:textId="77777777" w:rsidR="006700E7" w:rsidRPr="008C1B76" w:rsidRDefault="006700E7" w:rsidP="006700E7">
            <w:pPr>
              <w:rPr>
                <w:rFonts w:cs="Segoe UI"/>
                <w:sz w:val="20"/>
                <w:szCs w:val="20"/>
              </w:rPr>
            </w:pPr>
            <w:r w:rsidRPr="008C1B76">
              <w:rPr>
                <w:rFonts w:cs="Segoe UI"/>
                <w:sz w:val="20"/>
                <w:szCs w:val="20"/>
              </w:rPr>
              <w:t>Custom scripts</w:t>
            </w:r>
          </w:p>
          <w:p w14:paraId="1D7A8852" w14:textId="77777777" w:rsidR="006700E7" w:rsidRPr="008C1B76" w:rsidRDefault="006700E7" w:rsidP="006700E7">
            <w:pPr>
              <w:rPr>
                <w:rFonts w:cs="Segoe UI"/>
                <w:sz w:val="20"/>
                <w:szCs w:val="20"/>
              </w:rPr>
            </w:pPr>
            <w:r w:rsidRPr="008C1B76">
              <w:rPr>
                <w:rFonts w:cs="Segoe UI"/>
                <w:sz w:val="20"/>
                <w:szCs w:val="20"/>
              </w:rPr>
              <w:t>Documented views</w:t>
            </w:r>
          </w:p>
          <w:p w14:paraId="436478A0" w14:textId="00CC6977" w:rsidR="006700E7" w:rsidRPr="00243827" w:rsidRDefault="006700E7" w:rsidP="006700E7">
            <w:pPr>
              <w:rPr>
                <w:rFonts w:cs="Segoe UI"/>
                <w:sz w:val="20"/>
                <w:szCs w:val="20"/>
              </w:rPr>
            </w:pPr>
            <w:r w:rsidRPr="008C1B76">
              <w:rPr>
                <w:rFonts w:cs="Segoe UI"/>
                <w:sz w:val="20"/>
                <w:szCs w:val="20"/>
              </w:rPr>
              <w:t xml:space="preserve">Customized </w:t>
            </w:r>
            <w:r>
              <w:rPr>
                <w:rFonts w:cs="Segoe UI"/>
                <w:sz w:val="20"/>
                <w:szCs w:val="20"/>
              </w:rPr>
              <w:t>u</w:t>
            </w:r>
            <w:r w:rsidRPr="008C1B76">
              <w:rPr>
                <w:rFonts w:cs="Segoe UI"/>
                <w:sz w:val="20"/>
                <w:szCs w:val="20"/>
              </w:rPr>
              <w:t xml:space="preserve">ser </w:t>
            </w:r>
            <w:r>
              <w:rPr>
                <w:rFonts w:cs="Segoe UI"/>
                <w:sz w:val="20"/>
                <w:szCs w:val="20"/>
              </w:rPr>
              <w:t>i</w:t>
            </w:r>
            <w:r w:rsidRPr="008C1B76">
              <w:rPr>
                <w:rFonts w:cs="Segoe UI"/>
                <w:sz w:val="20"/>
                <w:szCs w:val="20"/>
              </w:rPr>
              <w:t>nterface</w:t>
            </w:r>
          </w:p>
        </w:tc>
      </w:tr>
      <w:tr w:rsidR="006700E7" w14:paraId="33A00807" w14:textId="77777777" w:rsidTr="00BF7F28">
        <w:tc>
          <w:tcPr>
            <w:tcW w:w="2605" w:type="dxa"/>
          </w:tcPr>
          <w:p w14:paraId="0C61BFC9" w14:textId="5E366D24" w:rsidR="006700E7" w:rsidRPr="00305E18" w:rsidRDefault="006700E7" w:rsidP="006700E7">
            <w:pPr>
              <w:pStyle w:val="NormalWeb"/>
              <w:spacing w:line="256" w:lineRule="auto"/>
              <w:rPr>
                <w:rFonts w:ascii="Segoe UI" w:hAnsi="Segoe UI" w:cs="Segoe UI"/>
                <w:b/>
                <w:sz w:val="20"/>
                <w:szCs w:val="20"/>
                <w:lang w:val="en-AU" w:eastAsia="en-AU"/>
              </w:rPr>
            </w:pPr>
            <w:r w:rsidRPr="00305E18">
              <w:rPr>
                <w:rFonts w:ascii="Segoe UI" w:hAnsi="Segoe UI" w:cs="Segoe UI"/>
                <w:b/>
                <w:sz w:val="20"/>
                <w:szCs w:val="20"/>
                <w:lang w:val="en-AU" w:eastAsia="en-AU"/>
              </w:rPr>
              <w:t>Aggregation</w:t>
            </w:r>
          </w:p>
        </w:tc>
        <w:tc>
          <w:tcPr>
            <w:tcW w:w="6840" w:type="dxa"/>
          </w:tcPr>
          <w:p w14:paraId="23584018" w14:textId="77777777" w:rsidR="006700E7" w:rsidRPr="008C1B76" w:rsidRDefault="006700E7" w:rsidP="006700E7">
            <w:pPr>
              <w:rPr>
                <w:rFonts w:cs="Segoe UI"/>
                <w:sz w:val="20"/>
                <w:szCs w:val="20"/>
              </w:rPr>
            </w:pPr>
            <w:r w:rsidRPr="008C1B76">
              <w:rPr>
                <w:rFonts w:cs="Segoe UI"/>
                <w:sz w:val="20"/>
                <w:szCs w:val="20"/>
              </w:rPr>
              <w:t xml:space="preserve">All your DPM data in </w:t>
            </w:r>
            <w:r w:rsidRPr="00044487">
              <w:rPr>
                <w:rFonts w:cs="Segoe UI"/>
                <w:sz w:val="20"/>
                <w:szCs w:val="20"/>
              </w:rPr>
              <w:t>System Center Operations Manager</w:t>
            </w:r>
            <w:r w:rsidRPr="008C1B76">
              <w:rPr>
                <w:rFonts w:cs="Segoe UI"/>
                <w:sz w:val="20"/>
                <w:szCs w:val="20"/>
              </w:rPr>
              <w:t xml:space="preserve"> </w:t>
            </w:r>
            <w:r>
              <w:rPr>
                <w:rFonts w:cs="Segoe UI"/>
                <w:sz w:val="20"/>
                <w:szCs w:val="20"/>
              </w:rPr>
              <w:t>data warehouse</w:t>
            </w:r>
          </w:p>
          <w:p w14:paraId="3B25C915" w14:textId="0B9F90FE" w:rsidR="006700E7" w:rsidRPr="00243827" w:rsidRDefault="006700E7" w:rsidP="006700E7">
            <w:pPr>
              <w:rPr>
                <w:rFonts w:cs="Segoe UI"/>
                <w:sz w:val="20"/>
                <w:szCs w:val="20"/>
              </w:rPr>
            </w:pPr>
            <w:r w:rsidRPr="008C1B76">
              <w:rPr>
                <w:rFonts w:cs="Segoe UI"/>
                <w:sz w:val="20"/>
                <w:szCs w:val="20"/>
              </w:rPr>
              <w:t xml:space="preserve">Scalable to any number of DPM </w:t>
            </w:r>
            <w:r>
              <w:rPr>
                <w:rFonts w:cs="Segoe UI"/>
                <w:sz w:val="20"/>
                <w:szCs w:val="20"/>
              </w:rPr>
              <w:t>s</w:t>
            </w:r>
            <w:r w:rsidRPr="008C1B76">
              <w:rPr>
                <w:rFonts w:cs="Segoe UI"/>
                <w:sz w:val="20"/>
                <w:szCs w:val="20"/>
              </w:rPr>
              <w:t>ervers</w:t>
            </w:r>
          </w:p>
        </w:tc>
      </w:tr>
      <w:tr w:rsidR="006700E7" w14:paraId="1FA20DD7" w14:textId="77777777" w:rsidTr="00BF7F28">
        <w:trPr>
          <w:cnfStyle w:val="000000100000" w:firstRow="0" w:lastRow="0" w:firstColumn="0" w:lastColumn="0" w:oddVBand="0" w:evenVBand="0" w:oddHBand="1" w:evenHBand="0" w:firstRowFirstColumn="0" w:firstRowLastColumn="0" w:lastRowFirstColumn="0" w:lastRowLastColumn="0"/>
        </w:trPr>
        <w:tc>
          <w:tcPr>
            <w:tcW w:w="2605" w:type="dxa"/>
          </w:tcPr>
          <w:p w14:paraId="1D60CB2A" w14:textId="65830322" w:rsidR="006700E7" w:rsidRPr="00305E18" w:rsidRDefault="006700E7" w:rsidP="006700E7">
            <w:pPr>
              <w:pStyle w:val="NormalWeb"/>
              <w:spacing w:line="256" w:lineRule="auto"/>
              <w:rPr>
                <w:rFonts w:ascii="Segoe UI" w:hAnsi="Segoe UI" w:cs="Segoe UI"/>
                <w:b/>
                <w:sz w:val="20"/>
                <w:szCs w:val="20"/>
                <w:lang w:val="en-AU" w:eastAsia="en-AU"/>
              </w:rPr>
            </w:pPr>
            <w:r w:rsidRPr="00305E18">
              <w:rPr>
                <w:rFonts w:ascii="Segoe UI" w:hAnsi="Segoe UI" w:cs="Segoe UI"/>
                <w:b/>
                <w:sz w:val="20"/>
                <w:szCs w:val="20"/>
                <w:lang w:val="en-AU" w:eastAsia="en-AU"/>
              </w:rPr>
              <w:t>Flexibility</w:t>
            </w:r>
          </w:p>
        </w:tc>
        <w:tc>
          <w:tcPr>
            <w:tcW w:w="6840" w:type="dxa"/>
          </w:tcPr>
          <w:p w14:paraId="4673B922" w14:textId="77777777" w:rsidR="006700E7" w:rsidRPr="008C1B76" w:rsidRDefault="006700E7" w:rsidP="006700E7">
            <w:pPr>
              <w:rPr>
                <w:sz w:val="20"/>
                <w:szCs w:val="20"/>
              </w:rPr>
            </w:pPr>
            <w:r w:rsidRPr="008C1B76">
              <w:rPr>
                <w:sz w:val="20"/>
                <w:szCs w:val="20"/>
              </w:rPr>
              <w:t>Rich UI</w:t>
            </w:r>
          </w:p>
          <w:p w14:paraId="60923161" w14:textId="77777777" w:rsidR="006700E7" w:rsidRPr="008C1B76" w:rsidRDefault="006700E7" w:rsidP="006700E7">
            <w:pPr>
              <w:rPr>
                <w:sz w:val="20"/>
                <w:szCs w:val="20"/>
              </w:rPr>
            </w:pPr>
            <w:r w:rsidRPr="008C1B76">
              <w:rPr>
                <w:sz w:val="20"/>
                <w:szCs w:val="20"/>
              </w:rPr>
              <w:t>No coding restriction</w:t>
            </w:r>
          </w:p>
          <w:p w14:paraId="2F425ACC" w14:textId="637D42E2" w:rsidR="006700E7" w:rsidRPr="00243827" w:rsidRDefault="006700E7" w:rsidP="006700E7">
            <w:pPr>
              <w:rPr>
                <w:sz w:val="20"/>
                <w:szCs w:val="20"/>
              </w:rPr>
            </w:pPr>
            <w:r w:rsidRPr="008C1B76">
              <w:rPr>
                <w:sz w:val="20"/>
                <w:szCs w:val="20"/>
              </w:rPr>
              <w:t>Edit SQL</w:t>
            </w:r>
            <w:r>
              <w:rPr>
                <w:sz w:val="20"/>
                <w:szCs w:val="20"/>
              </w:rPr>
              <w:t xml:space="preserve"> Server</w:t>
            </w:r>
            <w:r w:rsidRPr="008C1B76">
              <w:rPr>
                <w:sz w:val="20"/>
                <w:szCs w:val="20"/>
              </w:rPr>
              <w:t xml:space="preserve"> queries</w:t>
            </w:r>
          </w:p>
        </w:tc>
      </w:tr>
    </w:tbl>
    <w:p w14:paraId="02BBE97B" w14:textId="77777777" w:rsidR="00E823A7" w:rsidRDefault="00E823A7" w:rsidP="00914EA0"/>
    <w:p w14:paraId="30889641" w14:textId="77777777" w:rsidR="00914EA0" w:rsidRPr="006F1C6C" w:rsidRDefault="00914EA0" w:rsidP="00914EA0"/>
    <w:tbl>
      <w:tblPr>
        <w:tblStyle w:val="PlainTable11"/>
        <w:tblW w:w="0" w:type="auto"/>
        <w:tblLook w:val="04A0" w:firstRow="1" w:lastRow="0" w:firstColumn="1" w:lastColumn="0" w:noHBand="0" w:noVBand="1"/>
      </w:tblPr>
      <w:tblGrid>
        <w:gridCol w:w="3416"/>
        <w:gridCol w:w="5934"/>
      </w:tblGrid>
      <w:tr w:rsidR="00914EA0" w14:paraId="2765A413" w14:textId="77777777" w:rsidTr="00BF7F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02F90C9D" w14:textId="77777777" w:rsidR="00914EA0" w:rsidRPr="00F47607" w:rsidRDefault="00914EA0" w:rsidP="00F16D38">
            <w:pPr>
              <w:spacing w:line="240" w:lineRule="auto"/>
              <w:rPr>
                <w:color w:val="FFFFFF"/>
              </w:rPr>
            </w:pPr>
            <w:r>
              <w:rPr>
                <w:color w:val="FFFFFF"/>
              </w:rPr>
              <w:t>Feature References</w:t>
            </w:r>
          </w:p>
        </w:tc>
      </w:tr>
      <w:tr w:rsidR="00914EA0" w14:paraId="71DC325E"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015439DC" w14:textId="77777777" w:rsidR="00914EA0" w:rsidRPr="00927F75" w:rsidRDefault="00914EA0" w:rsidP="00F16D38">
            <w:pPr>
              <w:spacing w:line="240" w:lineRule="auto"/>
              <w:rPr>
                <w:sz w:val="20"/>
                <w:szCs w:val="18"/>
              </w:rPr>
            </w:pPr>
            <w:r w:rsidRPr="004F1453">
              <w:rPr>
                <w:sz w:val="20"/>
                <w:szCs w:val="18"/>
                <w:lang w:val="en"/>
              </w:rPr>
              <w:t>Configure the Azure Backup vault and register the DPM server</w:t>
            </w:r>
          </w:p>
        </w:tc>
        <w:tc>
          <w:tcPr>
            <w:tcW w:w="5940" w:type="dxa"/>
          </w:tcPr>
          <w:p w14:paraId="173C65F2" w14:textId="77777777" w:rsidR="00914EA0" w:rsidRDefault="00872E47" w:rsidP="00F16D38">
            <w:pPr>
              <w:cnfStyle w:val="000000100000" w:firstRow="0" w:lastRow="0" w:firstColumn="0" w:lastColumn="0" w:oddVBand="0" w:evenVBand="0" w:oddHBand="1" w:evenHBand="0" w:firstRowFirstColumn="0" w:firstRowLastColumn="0" w:lastRowFirstColumn="0" w:lastRowLastColumn="0"/>
              <w:rPr>
                <w:sz w:val="20"/>
                <w:szCs w:val="18"/>
              </w:rPr>
            </w:pPr>
            <w:hyperlink r:id="rId609" w:history="1">
              <w:r w:rsidR="00914EA0" w:rsidRPr="00C51670">
                <w:rPr>
                  <w:rStyle w:val="Hyperlink"/>
                  <w:sz w:val="20"/>
                  <w:szCs w:val="18"/>
                </w:rPr>
                <w:t>https://msdn.microsoft.com/en-us/library/azure/dn337336.aspx</w:t>
              </w:r>
            </w:hyperlink>
          </w:p>
          <w:p w14:paraId="031FB129" w14:textId="77777777" w:rsidR="00914EA0" w:rsidRPr="00927F75" w:rsidRDefault="00914EA0" w:rsidP="00F16D38">
            <w:pPr>
              <w:cnfStyle w:val="000000100000" w:firstRow="0" w:lastRow="0" w:firstColumn="0" w:lastColumn="0" w:oddVBand="0" w:evenVBand="0" w:oddHBand="1" w:evenHBand="0" w:firstRowFirstColumn="0" w:firstRowLastColumn="0" w:lastRowFirstColumn="0" w:lastRowLastColumn="0"/>
              <w:rPr>
                <w:sz w:val="20"/>
                <w:szCs w:val="18"/>
              </w:rPr>
            </w:pPr>
          </w:p>
        </w:tc>
      </w:tr>
      <w:tr w:rsidR="00914EA0" w14:paraId="4D549C0C" w14:textId="77777777" w:rsidTr="00BF7F28">
        <w:tc>
          <w:tcPr>
            <w:cnfStyle w:val="001000000000" w:firstRow="0" w:lastRow="0" w:firstColumn="1" w:lastColumn="0" w:oddVBand="0" w:evenVBand="0" w:oddHBand="0" w:evenHBand="0" w:firstRowFirstColumn="0" w:firstRowLastColumn="0" w:lastRowFirstColumn="0" w:lastRowLastColumn="0"/>
            <w:tcW w:w="3420" w:type="dxa"/>
          </w:tcPr>
          <w:p w14:paraId="278538C0" w14:textId="77777777" w:rsidR="00914EA0" w:rsidRPr="00927F75" w:rsidRDefault="00914EA0" w:rsidP="00F16D38">
            <w:pPr>
              <w:spacing w:line="240" w:lineRule="auto"/>
              <w:rPr>
                <w:sz w:val="20"/>
              </w:rPr>
            </w:pPr>
            <w:r w:rsidRPr="004F1453">
              <w:rPr>
                <w:sz w:val="20"/>
                <w:szCs w:val="18"/>
                <w:lang w:val="en"/>
              </w:rPr>
              <w:t>Set up DPM to back up to Azure</w:t>
            </w:r>
          </w:p>
        </w:tc>
        <w:tc>
          <w:tcPr>
            <w:tcW w:w="5940" w:type="dxa"/>
          </w:tcPr>
          <w:p w14:paraId="3CDEE29C" w14:textId="77777777" w:rsidR="00914EA0" w:rsidRDefault="00872E47" w:rsidP="00F16D38">
            <w:pPr>
              <w:cnfStyle w:val="000000000000" w:firstRow="0" w:lastRow="0" w:firstColumn="0" w:lastColumn="0" w:oddVBand="0" w:evenVBand="0" w:oddHBand="0" w:evenHBand="0" w:firstRowFirstColumn="0" w:firstRowLastColumn="0" w:lastRowFirstColumn="0" w:lastRowLastColumn="0"/>
              <w:rPr>
                <w:sz w:val="20"/>
                <w:szCs w:val="18"/>
              </w:rPr>
            </w:pPr>
            <w:hyperlink r:id="rId610" w:history="1">
              <w:r w:rsidR="00914EA0" w:rsidRPr="00C51670">
                <w:rPr>
                  <w:rStyle w:val="Hyperlink"/>
                  <w:sz w:val="20"/>
                  <w:szCs w:val="18"/>
                </w:rPr>
                <w:t>https://msdn.microsoft.com/en-us/library/azure/dn337341.aspx</w:t>
              </w:r>
            </w:hyperlink>
          </w:p>
          <w:p w14:paraId="4DA851BD" w14:textId="77777777" w:rsidR="00914EA0" w:rsidRPr="00927F75" w:rsidRDefault="00914EA0" w:rsidP="00F16D38">
            <w:pPr>
              <w:cnfStyle w:val="000000000000" w:firstRow="0" w:lastRow="0" w:firstColumn="0" w:lastColumn="0" w:oddVBand="0" w:evenVBand="0" w:oddHBand="0" w:evenHBand="0" w:firstRowFirstColumn="0" w:firstRowLastColumn="0" w:lastRowFirstColumn="0" w:lastRowLastColumn="0"/>
              <w:rPr>
                <w:sz w:val="20"/>
              </w:rPr>
            </w:pPr>
            <w:r>
              <w:rPr>
                <w:sz w:val="20"/>
                <w:szCs w:val="18"/>
              </w:rPr>
              <w:t xml:space="preserve"> </w:t>
            </w:r>
          </w:p>
        </w:tc>
      </w:tr>
      <w:tr w:rsidR="00914EA0" w14:paraId="1D84BABF"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41F350C6" w14:textId="77777777" w:rsidR="00914EA0" w:rsidRPr="00927F75" w:rsidRDefault="00914EA0" w:rsidP="00F16D38">
            <w:pPr>
              <w:spacing w:line="240" w:lineRule="auto"/>
              <w:rPr>
                <w:sz w:val="20"/>
              </w:rPr>
            </w:pPr>
            <w:r w:rsidRPr="004F1453">
              <w:rPr>
                <w:sz w:val="20"/>
                <w:lang w:val="en"/>
              </w:rPr>
              <w:t>Recover DPM data from Azure</w:t>
            </w:r>
          </w:p>
        </w:tc>
        <w:tc>
          <w:tcPr>
            <w:tcW w:w="5940" w:type="dxa"/>
          </w:tcPr>
          <w:p w14:paraId="2E6EA2A8" w14:textId="77777777" w:rsidR="00914EA0" w:rsidRDefault="00872E47" w:rsidP="00F16D38">
            <w:pPr>
              <w:cnfStyle w:val="000000100000" w:firstRow="0" w:lastRow="0" w:firstColumn="0" w:lastColumn="0" w:oddVBand="0" w:evenVBand="0" w:oddHBand="1" w:evenHBand="0" w:firstRowFirstColumn="0" w:firstRowLastColumn="0" w:lastRowFirstColumn="0" w:lastRowLastColumn="0"/>
              <w:rPr>
                <w:sz w:val="20"/>
              </w:rPr>
            </w:pPr>
            <w:hyperlink r:id="rId611" w:history="1">
              <w:r w:rsidR="00914EA0" w:rsidRPr="00C51670">
                <w:rPr>
                  <w:rStyle w:val="Hyperlink"/>
                  <w:sz w:val="20"/>
                </w:rPr>
                <w:t>https://msdn.microsoft.com/en-us/library/azure/dn337334.aspx</w:t>
              </w:r>
            </w:hyperlink>
          </w:p>
          <w:p w14:paraId="6562E1FE" w14:textId="77777777" w:rsidR="00914EA0" w:rsidRPr="00927F75" w:rsidRDefault="00914EA0" w:rsidP="00F16D38">
            <w:pPr>
              <w:cnfStyle w:val="000000100000" w:firstRow="0" w:lastRow="0" w:firstColumn="0" w:lastColumn="0" w:oddVBand="0" w:evenVBand="0" w:oddHBand="1" w:evenHBand="0" w:firstRowFirstColumn="0" w:firstRowLastColumn="0" w:lastRowFirstColumn="0" w:lastRowLastColumn="0"/>
              <w:rPr>
                <w:sz w:val="20"/>
              </w:rPr>
            </w:pPr>
          </w:p>
        </w:tc>
      </w:tr>
    </w:tbl>
    <w:p w14:paraId="07FCF354" w14:textId="77777777" w:rsidR="00914EA0" w:rsidRPr="00745BF5" w:rsidRDefault="00914EA0" w:rsidP="00914EA0"/>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914EA0" w14:paraId="0B99D30E" w14:textId="77777777" w:rsidTr="00F16D38">
        <w:trPr>
          <w:trHeight w:val="423"/>
        </w:trPr>
        <w:tc>
          <w:tcPr>
            <w:tcW w:w="666" w:type="dxa"/>
          </w:tcPr>
          <w:p w14:paraId="0E0F8B00" w14:textId="77777777" w:rsidR="00914EA0" w:rsidRDefault="00914EA0" w:rsidP="00F16D38">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631616" behindDoc="0" locked="0" layoutInCell="1" allowOverlap="1" wp14:anchorId="3AEECFA3" wp14:editId="0E875560">
                      <wp:simplePos x="0" y="0"/>
                      <wp:positionH relativeFrom="column">
                        <wp:posOffset>66675</wp:posOffset>
                      </wp:positionH>
                      <wp:positionV relativeFrom="paragraph">
                        <wp:posOffset>90170</wp:posOffset>
                      </wp:positionV>
                      <wp:extent cx="209550" cy="180975"/>
                      <wp:effectExtent l="57150" t="19050" r="57150" b="104775"/>
                      <wp:wrapNone/>
                      <wp:docPr id="874593613" name="Isosceles Triangle 8745936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4FEE1741" id="Isosceles Triangle 874593613" o:spid="_x0000_s1026" type="#_x0000_t5" style="position:absolute;margin-left:5.25pt;margin-top:7.1pt;width:16.5pt;height:14.2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pvPjwIAAH8FAAAOAAAAZHJzL2Uyb0RvYy54bWysVG1r2zAQ/j7YfxD6vtpOk7YxdUpoySiE&#10;Nqwd/azIUmIm6zRJiZP9+p3kl3RdoTDmD0Lne+50L8/d9c2hVmQvrKtAFzQ7SykRmkNZ6U1Bvz8v&#10;vlxR4jzTJVOgRUGPwtGb2edP143JxQi2oEphCTrRLm9MQbfemzxJHN+KmrkzMEKjUoKtmUfRbpLS&#10;sga91yoZpelF0oAtjQUunMO/d62SzqJ/KQX3j1I64YkqKMbm42njuQ5nMrtm+cYys614Fwb7hyhq&#10;Vml8dHB1xzwjO1v95aquuAUH0p9xqBOQsuIi5oDZZOmbbJ62zIiYCxbHmaFM7v+55Q/7lSVVWdCr&#10;y/Fken6RnVOiWY2tunfguFDCkWdbMb1RgpwwWLfGuBzNn8zKhsydWQL/4VCR/KEJguswB2nrgMW8&#10;ySE24Tg0QRw84fhzlE4nE2wVR1V2lU4vJ6FJCct7Y2Od/yqgJuFSUN8FF8vP9kvnW3gPi7GBqspF&#10;pVQU7GZ9qyzZM+TEAr800gBfcCdYzKENOybgj0oEY6W/CYn1wkCz+GJkqhj8Mc6F9hddyBEdzCS+&#10;PRief2zY4YOpiCwejEcfGw8W8WXQfjCuKw32PQfKZ13IssV3XXRt3qEEayiPSBUL7Qw5wxcVNmDJ&#10;nF8xi0ODPcNF4B/xkAqagkJ3o2QL9td7/wMeuYxaShocwoK6nztmBSXqXiPLp9l4HKY2CuPJ5QgF&#10;+1qzfq3Ru/oWsKcZrhzD4zXgveqv0kL9gvtiHl5FFdMc3y4o97YXbn27HHDjcDGfRxhOqmF+qZ8M&#10;77seyPV8eGHW9CxE+j5AP7Asf0PEFhv6oWG+8yCryNJTXbt645RHrncbKayR13JEnfbm7DcAAAD/&#10;/wMAUEsDBBQABgAIAAAAIQA1PEIw2QAAAAcBAAAPAAAAZHJzL2Rvd25yZXYueG1sTI7NTsMwEITv&#10;SLyDtUhcUOuQhrYKcSqEkiOqKDyAE29+hL2OYrcNb89ygtNoNKOZrzgszooLzmH0pOBxnYBAar0Z&#10;qVfw+VGv9iBC1GS09YQKvjHAoby9KXRu/JXe8XKKveARCrlWMMQ45VKGdkCnw9pPSJx1fnY6sp17&#10;aWZ95XFnZZokW+n0SPww6AlfB2y/TmenwDfLsdvUu/1D7Sb71lVV5o6VUvd3y8sziIhL/CvDLz6j&#10;Q8lMjT+TCcKyT564yZqlIDjPNuwb1nQHsizkf/7yBwAA//8DAFBLAQItABQABgAIAAAAIQC2gziS&#10;/gAAAOEBAAATAAAAAAAAAAAAAAAAAAAAAABbQ29udGVudF9UeXBlc10ueG1sUEsBAi0AFAAGAAgA&#10;AAAhADj9If/WAAAAlAEAAAsAAAAAAAAAAAAAAAAALwEAAF9yZWxzLy5yZWxzUEsBAi0AFAAGAAgA&#10;AAAhAEyCm8+PAgAAfwUAAA4AAAAAAAAAAAAAAAAALgIAAGRycy9lMm9Eb2MueG1sUEsBAi0AFAAG&#10;AAgAAAAhADU8QjDZAAAABwEAAA8AAAAAAAAAAAAAAAAA6QQAAGRycy9kb3ducmV2LnhtbFBLBQYA&#10;AAAABAAEAPMAAADvBQAAAAA=&#10;" fillcolor="yellow" strokecolor="#70ad47 [3209]" strokeweight=".5pt">
                      <v:path arrowok="t"/>
                    </v:shape>
                  </w:pict>
                </mc:Fallback>
              </mc:AlternateContent>
            </w:r>
          </w:p>
        </w:tc>
        <w:tc>
          <w:tcPr>
            <w:tcW w:w="8604" w:type="dxa"/>
          </w:tcPr>
          <w:p w14:paraId="05543C4C" w14:textId="2754B802" w:rsidR="00914EA0" w:rsidRDefault="00914EA0" w:rsidP="00F16D38">
            <w:pPr>
              <w:rPr>
                <w:lang w:eastAsia="en-US"/>
              </w:rPr>
            </w:pPr>
            <w:r>
              <w:rPr>
                <w:rFonts w:eastAsiaTheme="minorHAnsi"/>
                <w:b/>
                <w:lang w:eastAsia="en-US"/>
              </w:rPr>
              <w:t xml:space="preserve">Recommended: </w:t>
            </w:r>
            <w:r>
              <w:rPr>
                <w:rFonts w:eastAsiaTheme="minorHAnsi"/>
                <w:lang w:eastAsia="en-US"/>
              </w:rPr>
              <w:t xml:space="preserve"> </w:t>
            </w:r>
            <w:r w:rsidR="006700E7">
              <w:rPr>
                <w:lang w:val="en"/>
              </w:rPr>
              <w:t xml:space="preserve">To leverage the full functionality of DPM integration with Azure Backup and Storage, please ensure you are running a minimum configuration of </w:t>
            </w:r>
            <w:hyperlink r:id="rId612" w:anchor="BKMK_Update5" w:history="1">
              <w:r w:rsidR="006700E7" w:rsidRPr="00044487">
                <w:rPr>
                  <w:rStyle w:val="Hyperlink"/>
                  <w:lang w:val="en"/>
                </w:rPr>
                <w:t>System Center</w:t>
              </w:r>
              <w:r w:rsidR="006700E7">
                <w:rPr>
                  <w:rStyle w:val="Hyperlink"/>
                  <w:lang w:val="en"/>
                </w:rPr>
                <w:t> 2</w:t>
              </w:r>
              <w:r w:rsidR="006700E7" w:rsidRPr="00044487">
                <w:rPr>
                  <w:rStyle w:val="Hyperlink"/>
                  <w:lang w:val="en"/>
                </w:rPr>
                <w:t>012 R2 with Update Rollup</w:t>
              </w:r>
              <w:r w:rsidR="006700E7">
                <w:rPr>
                  <w:rStyle w:val="Hyperlink"/>
                  <w:lang w:val="en"/>
                </w:rPr>
                <w:t> 5</w:t>
              </w:r>
            </w:hyperlink>
            <w:r w:rsidR="006700E7">
              <w:rPr>
                <w:lang w:val="en"/>
              </w:rPr>
              <w:t>.</w:t>
            </w:r>
            <w:r w:rsidR="00E823A7">
              <w:rPr>
                <w:lang w:val="en"/>
              </w:rPr>
              <w:t xml:space="preserve"> </w:t>
            </w:r>
          </w:p>
        </w:tc>
      </w:tr>
    </w:tbl>
    <w:p w14:paraId="6F3CCDF9" w14:textId="77777777" w:rsidR="00914EA0" w:rsidRDefault="00914EA0"/>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E823A7" w14:paraId="1A768104" w14:textId="77777777" w:rsidTr="00E823A7">
        <w:tc>
          <w:tcPr>
            <w:tcW w:w="9360" w:type="dxa"/>
            <w:shd w:val="clear" w:color="auto" w:fill="008AC8"/>
          </w:tcPr>
          <w:p w14:paraId="50F32245" w14:textId="77777777" w:rsidR="00E823A7" w:rsidRPr="00F47607" w:rsidRDefault="00E823A7" w:rsidP="00E823A7">
            <w:pPr>
              <w:spacing w:line="240" w:lineRule="auto"/>
              <w:rPr>
                <w:color w:val="FFFFFF"/>
              </w:rPr>
            </w:pPr>
            <w:r>
              <w:rPr>
                <w:color w:val="FFFFFF"/>
              </w:rPr>
              <w:t>Design Guidance</w:t>
            </w:r>
          </w:p>
        </w:tc>
      </w:tr>
    </w:tbl>
    <w:p w14:paraId="737ABAC6" w14:textId="02720097" w:rsidR="00E823A7" w:rsidRDefault="00E823A7" w:rsidP="00E823A7">
      <w:r>
        <w:t>When integrating DPM and Azure Backup, consider the following:</w:t>
      </w:r>
    </w:p>
    <w:tbl>
      <w:tblPr>
        <w:tblStyle w:val="PlainTable11"/>
        <w:tblW w:w="0" w:type="auto"/>
        <w:tblLook w:val="0420" w:firstRow="1" w:lastRow="0" w:firstColumn="0" w:lastColumn="0" w:noHBand="0" w:noVBand="1"/>
      </w:tblPr>
      <w:tblGrid>
        <w:gridCol w:w="2609"/>
        <w:gridCol w:w="6741"/>
      </w:tblGrid>
      <w:tr w:rsidR="00A37508" w:rsidRPr="00BF7F28" w14:paraId="352B76A6" w14:textId="77777777" w:rsidTr="00BF7F28">
        <w:trPr>
          <w:cnfStyle w:val="100000000000" w:firstRow="1" w:lastRow="0" w:firstColumn="0" w:lastColumn="0" w:oddVBand="0" w:evenVBand="0" w:oddHBand="0" w:evenHBand="0" w:firstRowFirstColumn="0" w:firstRowLastColumn="0" w:lastRowFirstColumn="0" w:lastRowLastColumn="0"/>
        </w:trPr>
        <w:tc>
          <w:tcPr>
            <w:tcW w:w="0" w:type="auto"/>
            <w:shd w:val="clear" w:color="auto" w:fill="808080" w:themeFill="background1" w:themeFillShade="80"/>
            <w:hideMark/>
          </w:tcPr>
          <w:p w14:paraId="4D15FD7F" w14:textId="77777777" w:rsidR="00A37508" w:rsidRPr="00BF7F28" w:rsidRDefault="00A37508" w:rsidP="00A37508">
            <w:pPr>
              <w:spacing w:line="240" w:lineRule="auto"/>
              <w:rPr>
                <w:rFonts w:eastAsia="Calibri"/>
                <w:bCs w:val="0"/>
                <w:color w:val="FFFFFF"/>
                <w:szCs w:val="20"/>
                <w:lang w:eastAsia="en-AU"/>
              </w:rPr>
            </w:pPr>
            <w:r w:rsidRPr="00BF7F28">
              <w:rPr>
                <w:rFonts w:eastAsia="Calibri"/>
                <w:bCs w:val="0"/>
                <w:color w:val="FFFFFF"/>
                <w:szCs w:val="20"/>
                <w:lang w:eastAsia="en-AU"/>
              </w:rPr>
              <w:t>Capability Considerations</w:t>
            </w:r>
          </w:p>
        </w:tc>
        <w:tc>
          <w:tcPr>
            <w:tcW w:w="6741" w:type="dxa"/>
            <w:shd w:val="clear" w:color="auto" w:fill="808080" w:themeFill="background1" w:themeFillShade="80"/>
            <w:hideMark/>
          </w:tcPr>
          <w:p w14:paraId="5FAAC3EE" w14:textId="77777777" w:rsidR="00A37508" w:rsidRPr="00BF7F28" w:rsidRDefault="00A37508" w:rsidP="00A37508">
            <w:pPr>
              <w:spacing w:line="240" w:lineRule="auto"/>
              <w:rPr>
                <w:rFonts w:eastAsia="Calibri"/>
                <w:bCs w:val="0"/>
                <w:color w:val="FFFFFF"/>
                <w:szCs w:val="20"/>
                <w:lang w:eastAsia="en-AU"/>
              </w:rPr>
            </w:pPr>
            <w:r w:rsidRPr="00BF7F28">
              <w:rPr>
                <w:rFonts w:eastAsia="Calibri"/>
                <w:bCs w:val="0"/>
                <w:color w:val="FFFFFF"/>
                <w:szCs w:val="20"/>
                <w:lang w:eastAsia="en-AU"/>
              </w:rPr>
              <w:t>Capability Decision Points</w:t>
            </w:r>
          </w:p>
        </w:tc>
      </w:tr>
      <w:tr w:rsidR="006700E7" w14:paraId="4F9F861D" w14:textId="77777777" w:rsidTr="00BF7F28">
        <w:trPr>
          <w:cnfStyle w:val="000000100000" w:firstRow="0" w:lastRow="0" w:firstColumn="0" w:lastColumn="0" w:oddVBand="0" w:evenVBand="0" w:oddHBand="1" w:evenHBand="0" w:firstRowFirstColumn="0" w:firstRowLastColumn="0" w:lastRowFirstColumn="0" w:lastRowLastColumn="0"/>
        </w:trPr>
        <w:tc>
          <w:tcPr>
            <w:tcW w:w="0" w:type="auto"/>
          </w:tcPr>
          <w:p w14:paraId="5F739B70" w14:textId="35FD5655" w:rsidR="006700E7" w:rsidRPr="00305E18" w:rsidRDefault="006700E7" w:rsidP="006700E7">
            <w:pPr>
              <w:rPr>
                <w:b/>
                <w:sz w:val="20"/>
                <w:szCs w:val="20"/>
              </w:rPr>
            </w:pPr>
            <w:r w:rsidRPr="00305E18">
              <w:rPr>
                <w:b/>
                <w:sz w:val="20"/>
                <w:szCs w:val="20"/>
              </w:rPr>
              <w:t>Cost</w:t>
            </w:r>
          </w:p>
        </w:tc>
        <w:tc>
          <w:tcPr>
            <w:tcW w:w="6741" w:type="dxa"/>
          </w:tcPr>
          <w:p w14:paraId="711F0F6C" w14:textId="554F71D3" w:rsidR="006700E7" w:rsidRDefault="006700E7" w:rsidP="006700E7">
            <w:pPr>
              <w:rPr>
                <w:sz w:val="20"/>
                <w:szCs w:val="20"/>
              </w:rPr>
            </w:pPr>
            <w:r w:rsidRPr="008C1B76">
              <w:rPr>
                <w:sz w:val="20"/>
                <w:szCs w:val="20"/>
              </w:rPr>
              <w:t xml:space="preserve">Azure </w:t>
            </w:r>
            <w:r>
              <w:rPr>
                <w:sz w:val="20"/>
                <w:szCs w:val="20"/>
              </w:rPr>
              <w:t>b</w:t>
            </w:r>
            <w:r w:rsidRPr="008C1B76">
              <w:rPr>
                <w:sz w:val="20"/>
                <w:szCs w:val="20"/>
              </w:rPr>
              <w:t xml:space="preserve">ackup </w:t>
            </w:r>
            <w:r>
              <w:rPr>
                <w:sz w:val="20"/>
                <w:szCs w:val="20"/>
              </w:rPr>
              <w:t>v</w:t>
            </w:r>
            <w:r w:rsidRPr="008C1B76">
              <w:rPr>
                <w:sz w:val="20"/>
                <w:szCs w:val="20"/>
              </w:rPr>
              <w:t xml:space="preserve">ault and DPM offer a potentially </w:t>
            </w:r>
            <w:r>
              <w:rPr>
                <w:sz w:val="20"/>
                <w:szCs w:val="20"/>
              </w:rPr>
              <w:t>less expensive</w:t>
            </w:r>
            <w:r w:rsidRPr="008C1B76">
              <w:rPr>
                <w:sz w:val="20"/>
                <w:szCs w:val="20"/>
              </w:rPr>
              <w:t xml:space="preserve"> replacement to traditional tape backup</w:t>
            </w:r>
            <w:r>
              <w:rPr>
                <w:sz w:val="20"/>
                <w:szCs w:val="20"/>
              </w:rPr>
              <w:t>s</w:t>
            </w:r>
            <w:r w:rsidRPr="008C1B76">
              <w:rPr>
                <w:sz w:val="20"/>
                <w:szCs w:val="20"/>
              </w:rPr>
              <w:t>.</w:t>
            </w:r>
          </w:p>
        </w:tc>
      </w:tr>
      <w:tr w:rsidR="006700E7" w14:paraId="1BD14ADC" w14:textId="77777777" w:rsidTr="00BF7F28">
        <w:tc>
          <w:tcPr>
            <w:tcW w:w="0" w:type="auto"/>
          </w:tcPr>
          <w:p w14:paraId="35E8E552" w14:textId="090B9499" w:rsidR="006700E7" w:rsidRPr="00305E18" w:rsidRDefault="006700E7" w:rsidP="006700E7">
            <w:pPr>
              <w:rPr>
                <w:b/>
                <w:sz w:val="20"/>
                <w:szCs w:val="20"/>
              </w:rPr>
            </w:pPr>
            <w:r w:rsidRPr="00305E18">
              <w:rPr>
                <w:b/>
                <w:sz w:val="20"/>
                <w:szCs w:val="20"/>
              </w:rPr>
              <w:t xml:space="preserve">Compute </w:t>
            </w:r>
            <w:r>
              <w:rPr>
                <w:b/>
                <w:sz w:val="20"/>
                <w:szCs w:val="20"/>
              </w:rPr>
              <w:t>i</w:t>
            </w:r>
            <w:r w:rsidRPr="00305E18">
              <w:rPr>
                <w:b/>
                <w:sz w:val="20"/>
                <w:szCs w:val="20"/>
              </w:rPr>
              <w:t xml:space="preserve">nstance </w:t>
            </w:r>
            <w:r>
              <w:rPr>
                <w:b/>
                <w:sz w:val="20"/>
                <w:szCs w:val="20"/>
              </w:rPr>
              <w:t>p</w:t>
            </w:r>
            <w:r w:rsidRPr="00305E18">
              <w:rPr>
                <w:b/>
                <w:sz w:val="20"/>
                <w:szCs w:val="20"/>
              </w:rPr>
              <w:t>lanning</w:t>
            </w:r>
          </w:p>
        </w:tc>
        <w:tc>
          <w:tcPr>
            <w:tcW w:w="6741" w:type="dxa"/>
          </w:tcPr>
          <w:p w14:paraId="54A63215" w14:textId="77777777" w:rsidR="006700E7" w:rsidRDefault="006700E7" w:rsidP="006700E7">
            <w:pPr>
              <w:rPr>
                <w:sz w:val="20"/>
                <w:szCs w:val="20"/>
              </w:rPr>
            </w:pPr>
            <w:r w:rsidRPr="008C1B76">
              <w:rPr>
                <w:sz w:val="20"/>
                <w:szCs w:val="20"/>
              </w:rPr>
              <w:t>DPM is supported on any Azure IaaS virtual machine that is size A2 or higher</w:t>
            </w:r>
            <w:r>
              <w:rPr>
                <w:sz w:val="20"/>
                <w:szCs w:val="20"/>
              </w:rPr>
              <w:t>.</w:t>
            </w:r>
          </w:p>
          <w:p w14:paraId="4D1AE508" w14:textId="06DC4319" w:rsidR="006700E7" w:rsidRDefault="006700E7" w:rsidP="006700E7">
            <w:pPr>
              <w:rPr>
                <w:sz w:val="20"/>
                <w:szCs w:val="20"/>
              </w:rPr>
            </w:pPr>
            <w:r w:rsidRPr="008C1B76">
              <w:rPr>
                <w:sz w:val="20"/>
                <w:szCs w:val="20"/>
              </w:rPr>
              <w:t>Create an instance in the Standard compute tier because the maximum IOPS per attached disk is higher in the Standard tier than in the Basic tier.</w:t>
            </w:r>
          </w:p>
        </w:tc>
      </w:tr>
      <w:tr w:rsidR="006700E7" w14:paraId="73187BD0" w14:textId="77777777" w:rsidTr="00BF7F28">
        <w:trPr>
          <w:cnfStyle w:val="000000100000" w:firstRow="0" w:lastRow="0" w:firstColumn="0" w:lastColumn="0" w:oddVBand="0" w:evenVBand="0" w:oddHBand="1" w:evenHBand="0" w:firstRowFirstColumn="0" w:firstRowLastColumn="0" w:lastRowFirstColumn="0" w:lastRowLastColumn="0"/>
        </w:trPr>
        <w:tc>
          <w:tcPr>
            <w:tcW w:w="0" w:type="auto"/>
          </w:tcPr>
          <w:p w14:paraId="4731A36D" w14:textId="5DE82AB3" w:rsidR="006700E7" w:rsidRPr="00305E18" w:rsidRDefault="006700E7" w:rsidP="006700E7">
            <w:pPr>
              <w:rPr>
                <w:b/>
                <w:sz w:val="20"/>
                <w:szCs w:val="20"/>
              </w:rPr>
            </w:pPr>
            <w:r w:rsidRPr="00305E18">
              <w:rPr>
                <w:b/>
                <w:sz w:val="20"/>
                <w:szCs w:val="20"/>
              </w:rPr>
              <w:t xml:space="preserve">Storage </w:t>
            </w:r>
            <w:r>
              <w:rPr>
                <w:b/>
                <w:sz w:val="20"/>
                <w:szCs w:val="20"/>
              </w:rPr>
              <w:t>a</w:t>
            </w:r>
            <w:r w:rsidRPr="00305E18">
              <w:rPr>
                <w:b/>
                <w:sz w:val="20"/>
                <w:szCs w:val="20"/>
              </w:rPr>
              <w:t xml:space="preserve">ccount </w:t>
            </w:r>
            <w:r>
              <w:rPr>
                <w:b/>
                <w:sz w:val="20"/>
                <w:szCs w:val="20"/>
              </w:rPr>
              <w:t>p</w:t>
            </w:r>
            <w:r w:rsidRPr="00305E18">
              <w:rPr>
                <w:b/>
                <w:sz w:val="20"/>
                <w:szCs w:val="20"/>
              </w:rPr>
              <w:t>lanning</w:t>
            </w:r>
          </w:p>
        </w:tc>
        <w:tc>
          <w:tcPr>
            <w:tcW w:w="6741" w:type="dxa"/>
          </w:tcPr>
          <w:p w14:paraId="56576DB4" w14:textId="54A129DD" w:rsidR="006700E7" w:rsidRDefault="006700E7" w:rsidP="006700E7">
            <w:pPr>
              <w:rPr>
                <w:sz w:val="20"/>
                <w:szCs w:val="20"/>
              </w:rPr>
            </w:pPr>
            <w:r w:rsidRPr="008C1B76">
              <w:rPr>
                <w:sz w:val="20"/>
                <w:szCs w:val="20"/>
              </w:rPr>
              <w:t xml:space="preserve">Use a separate storage account for the DPM virtual machine, because there are size and IOPS limits on a storage account that might impact the performance of the DPM virtual machine if </w:t>
            </w:r>
            <w:r>
              <w:rPr>
                <w:sz w:val="20"/>
                <w:szCs w:val="20"/>
              </w:rPr>
              <w:t xml:space="preserve">it is </w:t>
            </w:r>
            <w:r w:rsidRPr="008C1B76">
              <w:rPr>
                <w:sz w:val="20"/>
                <w:szCs w:val="20"/>
              </w:rPr>
              <w:t>shared with other running virtual machines.</w:t>
            </w:r>
          </w:p>
        </w:tc>
      </w:tr>
      <w:tr w:rsidR="006700E7" w14:paraId="50DD5AAB" w14:textId="77777777" w:rsidTr="00BF7F28">
        <w:tc>
          <w:tcPr>
            <w:tcW w:w="0" w:type="auto"/>
          </w:tcPr>
          <w:p w14:paraId="0D52CA36" w14:textId="521549CA" w:rsidR="006700E7" w:rsidRPr="00305E18" w:rsidRDefault="006700E7" w:rsidP="006700E7">
            <w:pPr>
              <w:rPr>
                <w:b/>
                <w:sz w:val="20"/>
                <w:szCs w:val="20"/>
              </w:rPr>
            </w:pPr>
            <w:r w:rsidRPr="00305E18">
              <w:rPr>
                <w:b/>
                <w:sz w:val="20"/>
                <w:szCs w:val="20"/>
              </w:rPr>
              <w:t xml:space="preserve">Virtual </w:t>
            </w:r>
            <w:r>
              <w:rPr>
                <w:b/>
                <w:sz w:val="20"/>
                <w:szCs w:val="20"/>
              </w:rPr>
              <w:t>n</w:t>
            </w:r>
            <w:r w:rsidRPr="00305E18">
              <w:rPr>
                <w:b/>
                <w:sz w:val="20"/>
                <w:szCs w:val="20"/>
              </w:rPr>
              <w:t xml:space="preserve">etwork </w:t>
            </w:r>
            <w:r>
              <w:rPr>
                <w:b/>
                <w:sz w:val="20"/>
                <w:szCs w:val="20"/>
              </w:rPr>
              <w:t>p</w:t>
            </w:r>
            <w:r w:rsidRPr="00305E18">
              <w:rPr>
                <w:b/>
                <w:sz w:val="20"/>
                <w:szCs w:val="20"/>
              </w:rPr>
              <w:t>lanning</w:t>
            </w:r>
          </w:p>
        </w:tc>
        <w:tc>
          <w:tcPr>
            <w:tcW w:w="6741" w:type="dxa"/>
          </w:tcPr>
          <w:p w14:paraId="3C241F9B" w14:textId="005117C1" w:rsidR="006700E7" w:rsidRDefault="006700E7" w:rsidP="006700E7">
            <w:pPr>
              <w:rPr>
                <w:sz w:val="20"/>
                <w:szCs w:val="20"/>
              </w:rPr>
            </w:pPr>
            <w:r w:rsidRPr="008C1B76">
              <w:rPr>
                <w:sz w:val="20"/>
                <w:szCs w:val="20"/>
              </w:rPr>
              <w:t>The DPM virtual machine and the protected workloads should be part of the same Azure virtual network</w:t>
            </w:r>
            <w:r>
              <w:rPr>
                <w:sz w:val="20"/>
                <w:szCs w:val="20"/>
              </w:rPr>
              <w:t>.</w:t>
            </w:r>
          </w:p>
        </w:tc>
      </w:tr>
      <w:tr w:rsidR="006700E7" w14:paraId="0DEA58E0" w14:textId="77777777" w:rsidTr="00BF7F28">
        <w:trPr>
          <w:cnfStyle w:val="000000100000" w:firstRow="0" w:lastRow="0" w:firstColumn="0" w:lastColumn="0" w:oddVBand="0" w:evenVBand="0" w:oddHBand="1" w:evenHBand="0" w:firstRowFirstColumn="0" w:firstRowLastColumn="0" w:lastRowFirstColumn="0" w:lastRowLastColumn="0"/>
        </w:trPr>
        <w:tc>
          <w:tcPr>
            <w:tcW w:w="0" w:type="auto"/>
          </w:tcPr>
          <w:p w14:paraId="56EC3866" w14:textId="6E261D28" w:rsidR="006700E7" w:rsidRPr="00305E18" w:rsidRDefault="006700E7" w:rsidP="006700E7">
            <w:pPr>
              <w:rPr>
                <w:b/>
                <w:sz w:val="20"/>
                <w:szCs w:val="20"/>
              </w:rPr>
            </w:pPr>
            <w:r w:rsidRPr="00305E18">
              <w:rPr>
                <w:b/>
                <w:sz w:val="20"/>
                <w:szCs w:val="20"/>
              </w:rPr>
              <w:t xml:space="preserve">Data </w:t>
            </w:r>
            <w:r>
              <w:rPr>
                <w:b/>
                <w:sz w:val="20"/>
                <w:szCs w:val="20"/>
              </w:rPr>
              <w:t>r</w:t>
            </w:r>
            <w:r w:rsidRPr="00305E18">
              <w:rPr>
                <w:b/>
                <w:sz w:val="20"/>
                <w:szCs w:val="20"/>
              </w:rPr>
              <w:t>etention</w:t>
            </w:r>
          </w:p>
        </w:tc>
        <w:tc>
          <w:tcPr>
            <w:tcW w:w="6741" w:type="dxa"/>
          </w:tcPr>
          <w:p w14:paraId="00BADB6E" w14:textId="77777777" w:rsidR="006700E7" w:rsidRDefault="006700E7" w:rsidP="006700E7">
            <w:pPr>
              <w:rPr>
                <w:sz w:val="20"/>
                <w:szCs w:val="20"/>
              </w:rPr>
            </w:pPr>
            <w:r w:rsidRPr="008C1B76">
              <w:rPr>
                <w:sz w:val="20"/>
                <w:szCs w:val="20"/>
              </w:rPr>
              <w:t xml:space="preserve">Retain data for one day on DPM-attached storage, and store data older than one day in the Azure Backup service. The goal is to protect a larger amount of data or have a longer retention range. </w:t>
            </w:r>
          </w:p>
          <w:p w14:paraId="3F3C7892" w14:textId="1B80C3C2" w:rsidR="006700E7" w:rsidRDefault="006700E7" w:rsidP="006700E7">
            <w:pPr>
              <w:rPr>
                <w:sz w:val="20"/>
                <w:szCs w:val="20"/>
              </w:rPr>
            </w:pPr>
            <w:r w:rsidRPr="008C1B76">
              <w:rPr>
                <w:sz w:val="20"/>
                <w:szCs w:val="20"/>
              </w:rPr>
              <w:t xml:space="preserve">Offloading backup data from DPM to Azure Backup provides retention flexibility without the need to scale the storage </w:t>
            </w:r>
            <w:r>
              <w:rPr>
                <w:sz w:val="20"/>
                <w:szCs w:val="20"/>
              </w:rPr>
              <w:t xml:space="preserve">that is </w:t>
            </w:r>
            <w:r w:rsidRPr="008C1B76">
              <w:rPr>
                <w:sz w:val="20"/>
                <w:szCs w:val="20"/>
              </w:rPr>
              <w:t>attached to the DPM server</w:t>
            </w:r>
            <w:r>
              <w:rPr>
                <w:sz w:val="20"/>
                <w:szCs w:val="20"/>
              </w:rPr>
              <w:t>.</w:t>
            </w:r>
          </w:p>
        </w:tc>
      </w:tr>
    </w:tbl>
    <w:p w14:paraId="3730D4A5" w14:textId="36E453AF" w:rsidR="00305E18" w:rsidRDefault="00305E18">
      <w:pPr>
        <w:spacing w:before="0" w:after="160" w:line="259" w:lineRule="auto"/>
      </w:pPr>
      <w:bookmarkStart w:id="7025" w:name="_Toc417982583"/>
      <w:bookmarkStart w:id="7026" w:name="_Toc417986039"/>
      <w:bookmarkStart w:id="7027" w:name="_Toc418000729"/>
      <w:bookmarkStart w:id="7028" w:name="_Toc418003904"/>
      <w:bookmarkStart w:id="7029" w:name="_Toc418012109"/>
      <w:bookmarkStart w:id="7030" w:name="_Toc418030127"/>
      <w:bookmarkStart w:id="7031" w:name="_Toc418037007"/>
      <w:bookmarkStart w:id="7032" w:name="_Toc418061480"/>
      <w:bookmarkStart w:id="7033" w:name="_Toc418081381"/>
      <w:bookmarkStart w:id="7034" w:name="_Toc418083411"/>
      <w:bookmarkStart w:id="7035" w:name="_Toc418096177"/>
    </w:p>
    <w:p w14:paraId="6C2F1809" w14:textId="52C8BB1D" w:rsidR="00682E4A" w:rsidRDefault="00682E4A" w:rsidP="005729D2">
      <w:pPr>
        <w:pStyle w:val="Heading3Numbered"/>
        <w:numPr>
          <w:ilvl w:val="2"/>
          <w:numId w:val="64"/>
        </w:numPr>
      </w:pPr>
      <w:bookmarkStart w:id="7036" w:name="_Toc418156779"/>
      <w:bookmarkStart w:id="7037" w:name="_Toc418167696"/>
      <w:bookmarkStart w:id="7038" w:name="_Toc418185952"/>
      <w:bookmarkStart w:id="7039" w:name="_Toc422941666"/>
      <w:bookmarkStart w:id="7040" w:name="_Toc423116878"/>
      <w:bookmarkStart w:id="7041" w:name="_Toc423117911"/>
      <w:bookmarkStart w:id="7042" w:name="_Toc423117358"/>
      <w:bookmarkStart w:id="7043" w:name="_Toc431288957"/>
      <w:r>
        <w:t>Azure Site Recovery</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3FFADCC0" w14:textId="1C933AC3" w:rsidR="004247F3" w:rsidRDefault="004247F3" w:rsidP="004247F3">
      <w:r>
        <w:t xml:space="preserve">Azure </w:t>
      </w:r>
      <w:r w:rsidR="006B033A">
        <w:t>S</w:t>
      </w:r>
      <w:r>
        <w:t xml:space="preserve">ite </w:t>
      </w:r>
      <w:r w:rsidR="006B033A">
        <w:t>R</w:t>
      </w:r>
      <w:r>
        <w:t xml:space="preserve">ecovery orchestrates replication and failover of </w:t>
      </w:r>
      <w:r w:rsidR="00F720D4">
        <w:t xml:space="preserve">physical servers and </w:t>
      </w:r>
      <w:r>
        <w:t xml:space="preserve">virtual machines. The following scenarios are supported by Azure </w:t>
      </w:r>
      <w:r w:rsidR="006B033A">
        <w:t>S</w:t>
      </w:r>
      <w:r>
        <w:t xml:space="preserve">ite </w:t>
      </w:r>
      <w:r w:rsidR="006B033A">
        <w:t>R</w:t>
      </w:r>
      <w:r>
        <w:t>ecovery:</w:t>
      </w:r>
    </w:p>
    <w:p w14:paraId="13478DA2" w14:textId="77777777" w:rsidR="006700E7" w:rsidRDefault="006700E7" w:rsidP="005729D2">
      <w:pPr>
        <w:pStyle w:val="ListParagraph"/>
        <w:numPr>
          <w:ilvl w:val="0"/>
          <w:numId w:val="30"/>
        </w:numPr>
      </w:pPr>
      <w:bookmarkStart w:id="7044" w:name="_Toc414892156"/>
      <w:bookmarkStart w:id="7045" w:name="_Toc414960179"/>
      <w:bookmarkStart w:id="7046" w:name="_Toc414969150"/>
      <w:bookmarkStart w:id="7047" w:name="_Toc415011374"/>
      <w:bookmarkStart w:id="7048" w:name="_Toc415040068"/>
      <w:bookmarkStart w:id="7049" w:name="_Toc415572425"/>
      <w:r w:rsidRPr="004247F3">
        <w:t>On-premises Hyper-V site to Azure protection with Hyper-V replication</w:t>
      </w:r>
    </w:p>
    <w:p w14:paraId="3B113F64" w14:textId="77777777" w:rsidR="006700E7" w:rsidRDefault="006700E7" w:rsidP="005729D2">
      <w:pPr>
        <w:pStyle w:val="ListParagraph"/>
        <w:numPr>
          <w:ilvl w:val="0"/>
          <w:numId w:val="30"/>
        </w:numPr>
      </w:pPr>
      <w:r w:rsidRPr="004247F3">
        <w:t xml:space="preserve">On-premises </w:t>
      </w:r>
      <w:r>
        <w:t>Virtual Machine Manager (</w:t>
      </w:r>
      <w:r w:rsidRPr="004247F3">
        <w:t>VMM</w:t>
      </w:r>
      <w:r>
        <w:t>)</w:t>
      </w:r>
      <w:r w:rsidRPr="004247F3">
        <w:t xml:space="preserve"> site to on-premises VMM site protection with Hyper-V replication</w:t>
      </w:r>
    </w:p>
    <w:p w14:paraId="1FB9BA5E" w14:textId="77777777" w:rsidR="006700E7" w:rsidRDefault="006700E7" w:rsidP="005729D2">
      <w:pPr>
        <w:pStyle w:val="ListParagraph"/>
        <w:numPr>
          <w:ilvl w:val="0"/>
          <w:numId w:val="30"/>
        </w:numPr>
      </w:pPr>
      <w:r w:rsidRPr="004247F3">
        <w:t>On-premises VMM site to on-premises VMM site protection with SAN replication</w:t>
      </w:r>
    </w:p>
    <w:p w14:paraId="332F763A" w14:textId="77777777" w:rsidR="006700E7" w:rsidRDefault="006700E7" w:rsidP="005729D2">
      <w:pPr>
        <w:pStyle w:val="ListParagraph"/>
        <w:numPr>
          <w:ilvl w:val="0"/>
          <w:numId w:val="30"/>
        </w:numPr>
      </w:pPr>
      <w:r w:rsidRPr="004247F3">
        <w:t>On-premises VMM site to Azure protection</w:t>
      </w:r>
    </w:p>
    <w:p w14:paraId="3ED74CE3" w14:textId="77777777" w:rsidR="006700E7" w:rsidRPr="004247F3" w:rsidRDefault="006700E7" w:rsidP="005729D2">
      <w:pPr>
        <w:pStyle w:val="ListParagraph"/>
        <w:numPr>
          <w:ilvl w:val="0"/>
          <w:numId w:val="30"/>
        </w:numPr>
      </w:pPr>
      <w:r w:rsidRPr="004247F3">
        <w:t>On-premises VM</w:t>
      </w:r>
      <w:r>
        <w:t>w</w:t>
      </w:r>
      <w:r w:rsidRPr="004247F3">
        <w:t>are site to on-premises VM</w:t>
      </w:r>
      <w:r>
        <w:t>w</w:t>
      </w:r>
      <w:r w:rsidRPr="004247F3">
        <w:t>are site</w:t>
      </w:r>
    </w:p>
    <w:p w14:paraId="64AD74AF" w14:textId="77777777" w:rsidR="006700E7" w:rsidRDefault="006700E7" w:rsidP="005729D2">
      <w:pPr>
        <w:pStyle w:val="ListParagraph"/>
        <w:numPr>
          <w:ilvl w:val="0"/>
          <w:numId w:val="30"/>
        </w:numPr>
      </w:pPr>
      <w:r>
        <w:t>On-premises VMware site to Azure protection</w:t>
      </w:r>
    </w:p>
    <w:p w14:paraId="6D623DB4" w14:textId="77777777" w:rsidR="006700E7" w:rsidRPr="004247F3" w:rsidRDefault="006700E7" w:rsidP="005729D2">
      <w:pPr>
        <w:pStyle w:val="ListParagraph"/>
        <w:numPr>
          <w:ilvl w:val="0"/>
          <w:numId w:val="30"/>
        </w:numPr>
      </w:pPr>
      <w:r>
        <w:t>On-premises physical Windows Server or Linux server to Azure protection</w:t>
      </w:r>
    </w:p>
    <w:tbl>
      <w:tblPr>
        <w:tblStyle w:val="PlainTable11"/>
        <w:tblW w:w="9450" w:type="dxa"/>
        <w:tblLook w:val="04A0" w:firstRow="1" w:lastRow="0" w:firstColumn="1" w:lastColumn="0" w:noHBand="0" w:noVBand="1"/>
      </w:tblPr>
      <w:tblGrid>
        <w:gridCol w:w="2700"/>
        <w:gridCol w:w="6750"/>
      </w:tblGrid>
      <w:tr w:rsidR="00D74AB2" w:rsidRPr="00F47607" w14:paraId="0B962A95" w14:textId="77777777" w:rsidTr="00BF7F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50" w:type="dxa"/>
            <w:gridSpan w:val="2"/>
            <w:shd w:val="clear" w:color="auto" w:fill="808080" w:themeFill="background1" w:themeFillShade="80"/>
          </w:tcPr>
          <w:p w14:paraId="29826CD7" w14:textId="043B960C" w:rsidR="00D74AB2" w:rsidRPr="00F47607" w:rsidRDefault="00D74AB2" w:rsidP="004247F3">
            <w:pPr>
              <w:spacing w:line="240" w:lineRule="auto"/>
              <w:rPr>
                <w:color w:val="FFFFFF"/>
              </w:rPr>
            </w:pPr>
            <w:r>
              <w:rPr>
                <w:color w:val="FFFFFF"/>
              </w:rPr>
              <w:t>Feature References</w:t>
            </w:r>
          </w:p>
        </w:tc>
      </w:tr>
      <w:tr w:rsidR="00D74AB2" w:rsidRPr="00BF7F28" w14:paraId="7EC3F19E"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1AEC4BA1" w14:textId="2F0FEAD1" w:rsidR="00D74AB2" w:rsidRPr="00BF7F28" w:rsidRDefault="00D74AB2" w:rsidP="004247F3">
            <w:pPr>
              <w:spacing w:line="240" w:lineRule="auto"/>
              <w:rPr>
                <w:sz w:val="20"/>
                <w:szCs w:val="20"/>
              </w:rPr>
            </w:pPr>
            <w:r w:rsidRPr="00BF7F28">
              <w:rPr>
                <w:sz w:val="20"/>
                <w:szCs w:val="20"/>
              </w:rPr>
              <w:t>Azure Site Recovery Overview</w:t>
            </w:r>
          </w:p>
        </w:tc>
        <w:tc>
          <w:tcPr>
            <w:tcW w:w="6750" w:type="dxa"/>
          </w:tcPr>
          <w:p w14:paraId="761E2D7C" w14:textId="13E1F980" w:rsidR="00D74AB2" w:rsidRPr="00BF7F28" w:rsidRDefault="00872E47" w:rsidP="00D74AB2">
            <w:pPr>
              <w:cnfStyle w:val="000000100000" w:firstRow="0" w:lastRow="0" w:firstColumn="0" w:lastColumn="0" w:oddVBand="0" w:evenVBand="0" w:oddHBand="1" w:evenHBand="0" w:firstRowFirstColumn="0" w:firstRowLastColumn="0" w:lastRowFirstColumn="0" w:lastRowLastColumn="0"/>
              <w:rPr>
                <w:sz w:val="20"/>
                <w:szCs w:val="20"/>
              </w:rPr>
            </w:pPr>
            <w:hyperlink r:id="rId613" w:history="1">
              <w:r w:rsidR="00F720D4" w:rsidRPr="00737874">
                <w:rPr>
                  <w:rStyle w:val="Hyperlink"/>
                  <w:sz w:val="20"/>
                  <w:szCs w:val="20"/>
                </w:rPr>
                <w:t>https://azure.microsoft.com/en-in/documentation/articles/site-recovery-overview/</w:t>
              </w:r>
            </w:hyperlink>
            <w:r w:rsidR="00F720D4">
              <w:rPr>
                <w:sz w:val="20"/>
                <w:szCs w:val="20"/>
              </w:rPr>
              <w:t xml:space="preserve"> </w:t>
            </w:r>
          </w:p>
        </w:tc>
      </w:tr>
      <w:tr w:rsidR="00F720D4" w:rsidRPr="00BF7F28" w14:paraId="56CA821D" w14:textId="77777777" w:rsidTr="00BF7F28">
        <w:tc>
          <w:tcPr>
            <w:cnfStyle w:val="001000000000" w:firstRow="0" w:lastRow="0" w:firstColumn="1" w:lastColumn="0" w:oddVBand="0" w:evenVBand="0" w:oddHBand="0" w:evenHBand="0" w:firstRowFirstColumn="0" w:firstRowLastColumn="0" w:lastRowFirstColumn="0" w:lastRowLastColumn="0"/>
            <w:tcW w:w="2700" w:type="dxa"/>
          </w:tcPr>
          <w:p w14:paraId="0905D684" w14:textId="1823BBDC" w:rsidR="00F720D4" w:rsidRPr="00BF7F28" w:rsidRDefault="00F720D4" w:rsidP="004247F3">
            <w:pPr>
              <w:spacing w:line="240" w:lineRule="auto"/>
              <w:rPr>
                <w:sz w:val="20"/>
                <w:szCs w:val="20"/>
              </w:rPr>
            </w:pPr>
            <w:r>
              <w:rPr>
                <w:sz w:val="20"/>
                <w:szCs w:val="20"/>
              </w:rPr>
              <w:t>Best Practices for Site Recovery Deployment</w:t>
            </w:r>
          </w:p>
        </w:tc>
        <w:tc>
          <w:tcPr>
            <w:tcW w:w="6750" w:type="dxa"/>
          </w:tcPr>
          <w:p w14:paraId="400339BB" w14:textId="2FACED98" w:rsidR="00F720D4" w:rsidRDefault="00872E47" w:rsidP="00D74AB2">
            <w:pPr>
              <w:cnfStyle w:val="000000000000" w:firstRow="0" w:lastRow="0" w:firstColumn="0" w:lastColumn="0" w:oddVBand="0" w:evenVBand="0" w:oddHBand="0" w:evenHBand="0" w:firstRowFirstColumn="0" w:firstRowLastColumn="0" w:lastRowFirstColumn="0" w:lastRowLastColumn="0"/>
              <w:rPr>
                <w:sz w:val="20"/>
                <w:szCs w:val="20"/>
              </w:rPr>
            </w:pPr>
            <w:hyperlink r:id="rId614" w:history="1">
              <w:r w:rsidR="00F720D4" w:rsidRPr="00737874">
                <w:rPr>
                  <w:rStyle w:val="Hyperlink"/>
                  <w:sz w:val="20"/>
                  <w:szCs w:val="20"/>
                </w:rPr>
                <w:t>https://azure.microsoft.com/en-in/documentation/articles/site-recovery-best-practices/</w:t>
              </w:r>
            </w:hyperlink>
            <w:r w:rsidR="00F720D4">
              <w:rPr>
                <w:sz w:val="20"/>
                <w:szCs w:val="20"/>
              </w:rPr>
              <w:t xml:space="preserve"> </w:t>
            </w:r>
          </w:p>
        </w:tc>
      </w:tr>
    </w:tbl>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C51933" w14:paraId="03EF3BF3" w14:textId="77777777" w:rsidTr="004247F3">
        <w:trPr>
          <w:trHeight w:val="423"/>
        </w:trPr>
        <w:tc>
          <w:tcPr>
            <w:tcW w:w="666" w:type="dxa"/>
          </w:tcPr>
          <w:p w14:paraId="2B2A2D1A" w14:textId="5D9EEE62" w:rsidR="00C51933" w:rsidRDefault="00C51933" w:rsidP="004247F3">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022A6763" wp14:editId="78E30A4E">
                      <wp:extent cx="200025" cy="180975"/>
                      <wp:effectExtent l="57150" t="19050" r="28575" b="104775"/>
                      <wp:docPr id="45" name="Octagon 45"/>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7BF5148" id="Octagon 45"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42McgIAAEwFAAAOAAAAZHJzL2Uyb0RvYy54bWysVF9P2zAQf5+072D5faTpyoCKFFVFTJMQ&#10;IGDi2XXs1pLj885u0+7T7+ykoWJISNNe7Dvf7/7f+fJq11i2VRgMuIqXJyPOlJNQG7eq+M/nmy/n&#10;nIUoXC0sOFXxvQr8avb502Xrp2oMa7C1QkZGXJi2vuLrGP20KIJcq0aEE/DKkVADNiISi6uiRtGS&#10;9cYW49HoW9EC1h5BqhDo9boT8lm2r7WS8V7roCKzFafYYj4xn8t0FrNLMV2h8Gsj+zDEP0TRCOPI&#10;6WDqWkTBNmj+MtUYiRBAxxMJTQFaG6lyDpRNOXqTzdNaeJVzoeIEP5Qp/D+z8m77gMzUFZ+ccuZE&#10;Qz26l1GswDF6ofK0PkwJ9eQfsOcCkSnXncYm3ZQF2+WS7oeSql1kkh6pR6MxWZYkKs9HF2fZZvGq&#10;7DHE7woaloiKQ+c711Jsb0Mkn4Q+oJK7ANbUN8bazOBqubDItoIavFiQt9xTUjmCFSmHLupMxb1V&#10;Sdm6R6UpeYqzzB7z2KnBnpBSuThOVSCDGZ3UNPkeFL9+rNjjk6rKIzkojz9WHjSyZ3BxUG6MA3zP&#10;gI1lH7Lu8BT+Ud6JXEK9p74jdAsRvLwxVP9bEeKDQNoA2hXa6nhPh7bQUmN6irM14O/33hOeBpOk&#10;nLW0URUPvzYCFWf2h6ORvSgnk7SCmZmcno2JwWPJ8ljiNs0CqKcl/R9eZjLhoz2QGqF5oeWfJ68k&#10;Ek6S74rLiAdmEbtNp+9Dqvk8w2jtvIi37snLQ9fTcD3vXgT6fggjTe8dHLZPTN8MYodN/XAw30TQ&#10;Jk/pa137etPK5sHpv5f0JxzzGfX6Cc7+AAAA//8DAFBLAwQUAAYACAAAACEAn7dE8dsAAAADAQAA&#10;DwAAAGRycy9kb3ducmV2LnhtbEyPQUvDQBCF74L/YRnBm92k0hLTbIoIBQ/SYLV43WanSWh2Nuxu&#10;m/jvHb3Yy8DjPd77plhPthcX9KFzpCCdJSCQamc6ahR8fmweMhAhajK6d4QKvjHAury9KXRu3Ejv&#10;eNnFRnAJhVwraGMccilD3aLVYeYGJPaOzlsdWfpGGq9HLre9nCfJUlrdES+0esCXFuvT7mwVVKex&#10;es2q6unLb5bbN2/3qd/ulbq/m55XICJO8T8Mv/iMDiUzHdyZTBC9An4k/l32HtMFiIOCebYAWRby&#10;mr38AQAA//8DAFBLAQItABQABgAIAAAAIQC2gziS/gAAAOEBAAATAAAAAAAAAAAAAAAAAAAAAABb&#10;Q29udGVudF9UeXBlc10ueG1sUEsBAi0AFAAGAAgAAAAhADj9If/WAAAAlAEAAAsAAAAAAAAAAAAA&#10;AAAALwEAAF9yZWxzLy5yZWxzUEsBAi0AFAAGAAgAAAAhAHtPjYxyAgAATAUAAA4AAAAAAAAAAAAA&#10;AAAALgIAAGRycy9lMm9Eb2MueG1sUEsBAi0AFAAGAAgAAAAhAJ+3RPHbAAAAAwEAAA8AAAAAAAAA&#10;AAAAAAAAzAQAAGRycy9kb3ducmV2LnhtbFBLBQYAAAAABAAEAPMAAADUBQAAAAA=&#10;" fillcolor="#c00" strokecolor="#ed7d31 [3205]" strokeweight=".5pt">
                      <w10:anchorlock/>
                    </v:shape>
                  </w:pict>
                </mc:Fallback>
              </mc:AlternateContent>
            </w:r>
          </w:p>
        </w:tc>
        <w:tc>
          <w:tcPr>
            <w:tcW w:w="8604" w:type="dxa"/>
          </w:tcPr>
          <w:p w14:paraId="0C1104BB" w14:textId="293AD342" w:rsidR="00C51933" w:rsidRDefault="00C51933" w:rsidP="004247F3">
            <w:pPr>
              <w:rPr>
                <w:lang w:eastAsia="en-US"/>
              </w:rPr>
            </w:pPr>
            <w:r w:rsidRPr="00192064">
              <w:rPr>
                <w:b/>
                <w:lang w:eastAsia="en-US"/>
              </w:rPr>
              <w:t>Mandatory</w:t>
            </w:r>
            <w:r>
              <w:rPr>
                <w:lang w:eastAsia="en-US"/>
              </w:rPr>
              <w:t xml:space="preserve">:  </w:t>
            </w:r>
            <w:r w:rsidR="006700E7">
              <w:rPr>
                <w:lang w:eastAsia="en-US"/>
              </w:rPr>
              <w:t>Azure Site Recovery requires creating a recovery vault and setting up a core infrastructure to support the level of protection desired (for example, integration with VMM and deployment of agents or an InMage infrastructure within the subscription).</w:t>
            </w:r>
          </w:p>
        </w:tc>
      </w:tr>
      <w:tr w:rsidR="00C51933" w14:paraId="1EB2EDFD" w14:textId="77777777" w:rsidTr="004247F3">
        <w:trPr>
          <w:trHeight w:val="423"/>
        </w:trPr>
        <w:tc>
          <w:tcPr>
            <w:tcW w:w="666" w:type="dxa"/>
          </w:tcPr>
          <w:p w14:paraId="0BDB8DBB" w14:textId="77777777" w:rsidR="00C51933" w:rsidRDefault="00C51933" w:rsidP="004247F3">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303936" behindDoc="0" locked="0" layoutInCell="1" allowOverlap="1" wp14:anchorId="647FA816" wp14:editId="390F48A6">
                      <wp:simplePos x="0" y="0"/>
                      <wp:positionH relativeFrom="column">
                        <wp:posOffset>66675</wp:posOffset>
                      </wp:positionH>
                      <wp:positionV relativeFrom="paragraph">
                        <wp:posOffset>90170</wp:posOffset>
                      </wp:positionV>
                      <wp:extent cx="209550" cy="180975"/>
                      <wp:effectExtent l="57150" t="19050" r="57150" b="104775"/>
                      <wp:wrapNone/>
                      <wp:docPr id="46" name="Isosceles Tri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04BB02AF" id="Isosceles Triangle 46" o:spid="_x0000_s1026" type="#_x0000_t5" style="position:absolute;margin-left:5.25pt;margin-top:7.1pt;width:16.5pt;height:14.25pt;z-index:25130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BmDiAIAAHEFAAAOAAAAZHJzL2Uyb0RvYy54bWysVNtu2zAMfR+wfxD0vtrOkl6MOkXQIkOB&#10;oCvWDn1WZCkRJouapMTJvn6UfGnXFSgwzA+CaB6SInnIy6tDo8leOK/AVLQ4ySkRhkOtzKai3x+X&#10;n84p8YGZmmkwoqJH4enV/OOHy9aWYgJb0LVwBJ0YX7a2otsQbJllnm9Fw/wJWGFQKcE1LKDoNlnt&#10;WIveG51N8vw0a8HV1gEX3uPfm05J58m/lIKHr1J6EYiuKL4tpNOlcx3PbH7Jyo1jdqt4/wz2D69o&#10;mDIYdHR1wwIjO6f+ctUo7sCDDCccmgykVFykHDCbIn+VzcOWWZFyweJ4O5bJ/z+3/G5/74iqKzo9&#10;pcSwBnt068FzoYUnj04xs9GCoBIr1VpfosGDvXcxV29XwH94VGR/aKLge8xBuiZiMVNySGU/jmUX&#10;h0A4/pzkF7MZNoejqjjPL85mMVjGysHYOh++CGhIvFQ09K9KBWf7lQ8dfIClt4FW9VJpnQS3WV9r&#10;R/YMWbDEL0+Nxwj+GZZy6J6dEghHLaKxNt+ExArhQ4sUMXFTjP4Y58KEVB90mNDRTGLs0fDz+4Y9&#10;PpqKxNvRePK+8WiRIoMJo3GjDLi3HOhQ9FWWHb7vou/yjiVYQ31EcjjopsZbvlTYgBXz4Z45HBPs&#10;GY5++IqH1NBWFPobJVtwv976H/HIXtRS0uLYVdT/3DEnKNG3Bnl9UUyncU6TMJ2dTVBwLzXrlxqz&#10;a64Be1rgkrE8XSM+6OEqHTRPuCEWMSqqmOEYu6I8uEG4Dt06wB3DxWKRYDibloWVebB86Hok1+Ph&#10;iTk7sBDpewfDiLLyFRE7bOyHgcUugFSJpc917euNc5243u+guDheygn1vCnnvwEAAP//AwBQSwME&#10;FAAGAAgAAAAhADU8QjDZAAAABwEAAA8AAABkcnMvZG93bnJldi54bWxMjs1OwzAQhO9IvIO1SFxQ&#10;65CGtgpxKoSSI6ooPIATb36EvY5itw1vz3KC02g0o5mvOCzOigvOYfSk4HGdgEBqvRmpV/D5Ua/2&#10;IELUZLT1hAq+McChvL0pdG78ld7xcoq94BEKuVYwxDjlUoZ2QKfD2k9InHV+djqynXtpZn3lcWdl&#10;miRb6fRI/DDoCV8HbL9OZ6fAN8ux29S7/UPtJvvWVVXmjpVS93fLyzOIiEv8K8MvPqNDyUyNP5MJ&#10;wrJPnrjJmqUgOM827BvWdAeyLOR//vIHAAD//wMAUEsBAi0AFAAGAAgAAAAhALaDOJL+AAAA4QEA&#10;ABMAAAAAAAAAAAAAAAAAAAAAAFtDb250ZW50X1R5cGVzXS54bWxQSwECLQAUAAYACAAAACEAOP0h&#10;/9YAAACUAQAACwAAAAAAAAAAAAAAAAAvAQAAX3JlbHMvLnJlbHNQSwECLQAUAAYACAAAACEAkpgZ&#10;g4gCAABxBQAADgAAAAAAAAAAAAAAAAAuAgAAZHJzL2Uyb0RvYy54bWxQSwECLQAUAAYACAAAACEA&#10;NTxCMNkAAAAHAQAADwAAAAAAAAAAAAAAAADiBAAAZHJzL2Rvd25yZXYueG1sUEsFBgAAAAAEAAQA&#10;8wAAAOgFAAAAAA==&#10;" fillcolor="yellow" strokecolor="#70ad47 [3209]" strokeweight=".5pt">
                      <v:path arrowok="t"/>
                    </v:shape>
                  </w:pict>
                </mc:Fallback>
              </mc:AlternateContent>
            </w:r>
          </w:p>
        </w:tc>
        <w:tc>
          <w:tcPr>
            <w:tcW w:w="8604" w:type="dxa"/>
          </w:tcPr>
          <w:p w14:paraId="00D8F81C" w14:textId="520E3AD2" w:rsidR="00C51933" w:rsidRDefault="00C51933" w:rsidP="004247F3">
            <w:pPr>
              <w:rPr>
                <w:lang w:eastAsia="en-US"/>
              </w:rPr>
            </w:pPr>
            <w:r>
              <w:rPr>
                <w:rFonts w:eastAsiaTheme="minorHAnsi"/>
                <w:b/>
                <w:lang w:eastAsia="en-US"/>
              </w:rPr>
              <w:t xml:space="preserve">Recommended: </w:t>
            </w:r>
            <w:r w:rsidR="006700E7">
              <w:rPr>
                <w:rFonts w:eastAsiaTheme="minorHAnsi"/>
                <w:lang w:eastAsia="en-US"/>
              </w:rPr>
              <w:t>If you are facing network constraints or need to accelerate your initial backup of your data, you can ship your data through a disk to the nearest Azure datacenter through the Azure Import/Export service</w:t>
            </w:r>
            <w:r>
              <w:rPr>
                <w:rFonts w:eastAsiaTheme="minorHAnsi"/>
                <w:lang w:eastAsia="en-US"/>
              </w:rPr>
              <w:t xml:space="preserve">. </w:t>
            </w:r>
          </w:p>
        </w:tc>
      </w:tr>
    </w:tbl>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7260CA" w14:paraId="539DE490" w14:textId="77777777" w:rsidTr="007260CA">
        <w:tc>
          <w:tcPr>
            <w:tcW w:w="9360" w:type="dxa"/>
            <w:shd w:val="clear" w:color="auto" w:fill="008AC8"/>
          </w:tcPr>
          <w:p w14:paraId="1D39F5F8" w14:textId="77777777" w:rsidR="007260CA" w:rsidRPr="00F47607" w:rsidRDefault="007260CA" w:rsidP="007260CA">
            <w:pPr>
              <w:spacing w:line="240" w:lineRule="auto"/>
              <w:rPr>
                <w:color w:val="FFFFFF"/>
              </w:rPr>
            </w:pPr>
            <w:r>
              <w:rPr>
                <w:color w:val="FFFFFF"/>
              </w:rPr>
              <w:t>Design Guidance</w:t>
            </w:r>
          </w:p>
        </w:tc>
      </w:tr>
    </w:tbl>
    <w:p w14:paraId="65A08E13" w14:textId="7C208D89" w:rsidR="00C51933" w:rsidRPr="00256000" w:rsidRDefault="006700E7" w:rsidP="000C3977">
      <w:pPr>
        <w:jc w:val="both"/>
      </w:pPr>
      <w:r w:rsidRPr="00256000">
        <w:t xml:space="preserve">Azure </w:t>
      </w:r>
      <w:r>
        <w:t>S</w:t>
      </w:r>
      <w:r w:rsidRPr="00256000">
        <w:t>ite</w:t>
      </w:r>
      <w:r w:rsidRPr="00256000" w:rsidDel="00234A28">
        <w:t xml:space="preserve"> </w:t>
      </w:r>
      <w:r>
        <w:t>R</w:t>
      </w:r>
      <w:r w:rsidRPr="00256000">
        <w:t xml:space="preserve">ecovery </w:t>
      </w:r>
      <w:r>
        <w:t xml:space="preserve">(ASR) </w:t>
      </w:r>
      <w:r w:rsidRPr="00256000">
        <w:t>can be an effective backup solution for small business</w:t>
      </w:r>
      <w:r>
        <w:t>es</w:t>
      </w:r>
      <w:r w:rsidRPr="00256000">
        <w:t xml:space="preserve"> that don’t necessar</w:t>
      </w:r>
      <w:r>
        <w:t>il</w:t>
      </w:r>
      <w:r w:rsidRPr="00256000">
        <w:t>y have the resources to set</w:t>
      </w:r>
      <w:r>
        <w:t xml:space="preserve"> </w:t>
      </w:r>
      <w:r w:rsidRPr="00256000">
        <w:t xml:space="preserve">up a secondary failover datacenter. </w:t>
      </w:r>
      <w:r>
        <w:t>ASR</w:t>
      </w:r>
      <w:r w:rsidRPr="00256000">
        <w:t xml:space="preserve"> can </w:t>
      </w:r>
      <w:r>
        <w:t xml:space="preserve">seamlessly </w:t>
      </w:r>
      <w:r w:rsidRPr="00256000">
        <w:t xml:space="preserve">back up your virtual machines to </w:t>
      </w:r>
      <w:r>
        <w:t>A</w:t>
      </w:r>
      <w:r w:rsidRPr="00256000">
        <w:t xml:space="preserve">zure. Here </w:t>
      </w:r>
      <w:r>
        <w:t>is</w:t>
      </w:r>
      <w:r w:rsidRPr="00256000">
        <w:t xml:space="preserve"> some design guidance</w:t>
      </w:r>
      <w:r w:rsidR="008727C6" w:rsidRPr="00256000">
        <w:t>:</w:t>
      </w:r>
    </w:p>
    <w:p w14:paraId="39B3D194" w14:textId="78754C14" w:rsidR="00E72B79" w:rsidRPr="00256000" w:rsidRDefault="00E72B79" w:rsidP="005729D2">
      <w:pPr>
        <w:pStyle w:val="ListParagraph"/>
        <w:numPr>
          <w:ilvl w:val="0"/>
          <w:numId w:val="42"/>
        </w:numPr>
      </w:pPr>
      <w:r w:rsidRPr="00256000">
        <w:t>Currently</w:t>
      </w:r>
      <w:r>
        <w:t>,</w:t>
      </w:r>
      <w:r w:rsidRPr="00256000">
        <w:t xml:space="preserve"> </w:t>
      </w:r>
      <w:r>
        <w:t>ASR</w:t>
      </w:r>
      <w:r w:rsidRPr="00256000">
        <w:t xml:space="preserve"> only supports </w:t>
      </w:r>
      <w:r>
        <w:t>Hyper-V g</w:t>
      </w:r>
      <w:r w:rsidRPr="00256000">
        <w:t>en</w:t>
      </w:r>
      <w:r>
        <w:t>eration 1</w:t>
      </w:r>
      <w:r w:rsidRPr="00256000">
        <w:t xml:space="preserve"> </w:t>
      </w:r>
      <w:r>
        <w:t>virtual machines</w:t>
      </w:r>
      <w:r w:rsidRPr="00256000">
        <w:t>. In a failover event</w:t>
      </w:r>
      <w:r>
        <w:t>,</w:t>
      </w:r>
      <w:r w:rsidRPr="00256000">
        <w:t xml:space="preserve"> your </w:t>
      </w:r>
      <w:r>
        <w:t>G</w:t>
      </w:r>
      <w:r w:rsidRPr="00256000">
        <w:t>en</w:t>
      </w:r>
      <w:r>
        <w:t>eration 2</w:t>
      </w:r>
      <w:r w:rsidRPr="00256000">
        <w:t xml:space="preserve"> virtual machines will be converted to </w:t>
      </w:r>
      <w:r>
        <w:t>g</w:t>
      </w:r>
      <w:r w:rsidRPr="00256000">
        <w:t>en</w:t>
      </w:r>
      <w:r>
        <w:t>eration 1</w:t>
      </w:r>
      <w:r w:rsidRPr="00256000">
        <w:t xml:space="preserve"> </w:t>
      </w:r>
      <w:r>
        <w:t>i</w:t>
      </w:r>
      <w:r w:rsidRPr="00256000">
        <w:t xml:space="preserve">n </w:t>
      </w:r>
      <w:r>
        <w:t>A</w:t>
      </w:r>
      <w:r w:rsidRPr="00256000">
        <w:t>zure</w:t>
      </w:r>
      <w:r>
        <w:t>,</w:t>
      </w:r>
      <w:r w:rsidRPr="00256000">
        <w:t xml:space="preserve"> and </w:t>
      </w:r>
      <w:r>
        <w:t xml:space="preserve">they </w:t>
      </w:r>
      <w:r w:rsidRPr="00256000">
        <w:t xml:space="preserve">will convert back to </w:t>
      </w:r>
      <w:r>
        <w:t>G</w:t>
      </w:r>
      <w:r w:rsidRPr="00256000">
        <w:t>en</w:t>
      </w:r>
      <w:r>
        <w:t>eration 2</w:t>
      </w:r>
      <w:r w:rsidRPr="00256000">
        <w:t xml:space="preserve"> </w:t>
      </w:r>
      <w:r>
        <w:t>with</w:t>
      </w:r>
      <w:r w:rsidRPr="00256000">
        <w:t xml:space="preserve"> failover to the on-premises site. </w:t>
      </w:r>
    </w:p>
    <w:p w14:paraId="427BE1DF" w14:textId="77777777" w:rsidR="00E72B79" w:rsidRPr="00256000" w:rsidRDefault="00E72B79" w:rsidP="005729D2">
      <w:pPr>
        <w:pStyle w:val="ListParagraph"/>
        <w:numPr>
          <w:ilvl w:val="0"/>
          <w:numId w:val="42"/>
        </w:numPr>
      </w:pPr>
      <w:r w:rsidRPr="00256000">
        <w:t xml:space="preserve">With the </w:t>
      </w:r>
      <w:r>
        <w:t>support for a larger</w:t>
      </w:r>
      <w:r w:rsidRPr="00256000">
        <w:t xml:space="preserve"> operating system drive size, ASR removes restrictions on operating system drives that are larger than</w:t>
      </w:r>
      <w:r>
        <w:t> 1</w:t>
      </w:r>
      <w:r w:rsidRPr="00256000">
        <w:t xml:space="preserve">27 GB. </w:t>
      </w:r>
    </w:p>
    <w:p w14:paraId="27980125" w14:textId="25951050" w:rsidR="004B27F5" w:rsidRPr="00256000" w:rsidRDefault="00E72B79" w:rsidP="005729D2">
      <w:pPr>
        <w:pStyle w:val="ListParagraph"/>
        <w:numPr>
          <w:ilvl w:val="0"/>
          <w:numId w:val="42"/>
        </w:numPr>
        <w:jc w:val="both"/>
      </w:pPr>
      <w:r w:rsidRPr="00256000">
        <w:t>ASR add</w:t>
      </w:r>
      <w:r>
        <w:t>s</w:t>
      </w:r>
      <w:r w:rsidRPr="00256000">
        <w:t xml:space="preserve"> support for subnet mapping and for multiple network adapters on </w:t>
      </w:r>
      <w:r>
        <w:t>virtual machines</w:t>
      </w:r>
      <w:r w:rsidRPr="00256000">
        <w:t xml:space="preserve"> that fail over to Azure, </w:t>
      </w:r>
      <w:r>
        <w:t xml:space="preserve">and </w:t>
      </w:r>
      <w:r w:rsidRPr="00256000">
        <w:t>retain</w:t>
      </w:r>
      <w:r>
        <w:t>s</w:t>
      </w:r>
      <w:r w:rsidRPr="00256000">
        <w:t xml:space="preserve"> the </w:t>
      </w:r>
      <w:r>
        <w:t>virtual machine</w:t>
      </w:r>
      <w:r w:rsidRPr="00256000">
        <w:t xml:space="preserve">’s </w:t>
      </w:r>
      <w:r>
        <w:t>IP</w:t>
      </w:r>
      <w:r w:rsidRPr="00256000">
        <w:t xml:space="preserve"> address </w:t>
      </w:r>
      <w:r>
        <w:t>after</w:t>
      </w:r>
      <w:r w:rsidRPr="00256000">
        <w:t xml:space="preserve"> failover to Azure</w:t>
      </w:r>
      <w:r w:rsidR="004B27F5" w:rsidRPr="00256000">
        <w:t>.</w:t>
      </w:r>
    </w:p>
    <w:tbl>
      <w:tblPr>
        <w:tblW w:w="9360" w:type="dxa"/>
        <w:tblInd w:w="175"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29" w:type="dxa"/>
          <w:bottom w:w="29" w:type="dxa"/>
        </w:tblCellMar>
        <w:tblLook w:val="04A0" w:firstRow="1" w:lastRow="0" w:firstColumn="1" w:lastColumn="0" w:noHBand="0" w:noVBand="1"/>
      </w:tblPr>
      <w:tblGrid>
        <w:gridCol w:w="2155"/>
        <w:gridCol w:w="2160"/>
        <w:gridCol w:w="5045"/>
      </w:tblGrid>
      <w:tr w:rsidR="004B27F5" w14:paraId="4C9F4FB5" w14:textId="77777777" w:rsidTr="00BF7F28">
        <w:tc>
          <w:tcPr>
            <w:tcW w:w="2155" w:type="dxa"/>
            <w:tcBorders>
              <w:top w:val="single" w:sz="4" w:space="0" w:color="A5A5A5"/>
              <w:left w:val="single" w:sz="4" w:space="0" w:color="A5A5A5"/>
              <w:bottom w:val="single" w:sz="4" w:space="0" w:color="A5A5A5"/>
              <w:right w:val="nil"/>
            </w:tcBorders>
            <w:shd w:val="clear" w:color="auto" w:fill="808080" w:themeFill="background1" w:themeFillShade="80"/>
            <w:hideMark/>
          </w:tcPr>
          <w:p w14:paraId="00CCF11E" w14:textId="77777777" w:rsidR="004B27F5" w:rsidRPr="00F47607" w:rsidRDefault="004B27F5" w:rsidP="00094389">
            <w:pPr>
              <w:spacing w:line="240" w:lineRule="auto"/>
              <w:rPr>
                <w:rFonts w:ascii="Times New Roman" w:hAnsi="Times New Roman"/>
                <w:b/>
                <w:bCs/>
                <w:color w:val="FFFFFF"/>
                <w:lang w:val="en-AU" w:eastAsia="en-AU"/>
              </w:rPr>
            </w:pPr>
            <w:r w:rsidRPr="00F47607">
              <w:rPr>
                <w:rFonts w:eastAsia="Calibri"/>
                <w:b/>
                <w:bCs/>
                <w:color w:val="FFFFFF"/>
                <w:lang w:val="en-AU" w:eastAsia="en-AU"/>
              </w:rPr>
              <w:t>Scenario</w:t>
            </w:r>
          </w:p>
        </w:tc>
        <w:tc>
          <w:tcPr>
            <w:tcW w:w="2160" w:type="dxa"/>
            <w:tcBorders>
              <w:top w:val="single" w:sz="4" w:space="0" w:color="A5A5A5"/>
              <w:left w:val="nil"/>
              <w:bottom w:val="single" w:sz="4" w:space="0" w:color="A5A5A5"/>
              <w:right w:val="nil"/>
            </w:tcBorders>
            <w:shd w:val="clear" w:color="auto" w:fill="808080" w:themeFill="background1" w:themeFillShade="80"/>
            <w:hideMark/>
          </w:tcPr>
          <w:p w14:paraId="514AB0FD" w14:textId="77777777" w:rsidR="004B27F5" w:rsidRPr="00F47607" w:rsidRDefault="004B27F5" w:rsidP="00094389">
            <w:pPr>
              <w:spacing w:line="240" w:lineRule="auto"/>
              <w:rPr>
                <w:rFonts w:eastAsia="Calibri"/>
                <w:b/>
                <w:color w:val="FFFFFF"/>
                <w:lang w:val="en-AU" w:eastAsia="en-AU"/>
              </w:rPr>
            </w:pPr>
            <w:r>
              <w:rPr>
                <w:rFonts w:eastAsia="Calibri"/>
                <w:b/>
                <w:bCs/>
                <w:color w:val="FFFFFF"/>
                <w:lang w:val="en-AU" w:eastAsia="en-AU"/>
              </w:rPr>
              <w:t>Model</w:t>
            </w:r>
          </w:p>
        </w:tc>
        <w:tc>
          <w:tcPr>
            <w:tcW w:w="5045" w:type="dxa"/>
            <w:tcBorders>
              <w:top w:val="single" w:sz="4" w:space="0" w:color="A5A5A5"/>
              <w:left w:val="nil"/>
              <w:bottom w:val="single" w:sz="4" w:space="0" w:color="A5A5A5"/>
              <w:right w:val="single" w:sz="4" w:space="0" w:color="A5A5A5"/>
            </w:tcBorders>
            <w:shd w:val="clear" w:color="auto" w:fill="808080" w:themeFill="background1" w:themeFillShade="80"/>
            <w:hideMark/>
          </w:tcPr>
          <w:p w14:paraId="3974B061" w14:textId="77777777" w:rsidR="004B27F5" w:rsidRPr="00F47607" w:rsidRDefault="004B27F5" w:rsidP="00094389">
            <w:pPr>
              <w:spacing w:line="240" w:lineRule="auto"/>
              <w:rPr>
                <w:rFonts w:eastAsia="Calibri"/>
                <w:b/>
                <w:color w:val="FFFFFF"/>
                <w:lang w:val="en-AU" w:eastAsia="en-AU"/>
              </w:rPr>
            </w:pPr>
            <w:r w:rsidRPr="00F47607">
              <w:rPr>
                <w:rFonts w:eastAsia="Calibri"/>
                <w:b/>
                <w:bCs/>
                <w:color w:val="FFFFFF"/>
                <w:lang w:val="en-AU" w:eastAsia="en-AU"/>
              </w:rPr>
              <w:t>Points to Consider</w:t>
            </w:r>
          </w:p>
        </w:tc>
      </w:tr>
      <w:tr w:rsidR="00E72B79" w14:paraId="1F7CCBBC" w14:textId="77777777" w:rsidTr="00CF4D40">
        <w:tc>
          <w:tcPr>
            <w:tcW w:w="2155" w:type="dxa"/>
            <w:shd w:val="clear" w:color="auto" w:fill="EDEDED"/>
            <w:hideMark/>
          </w:tcPr>
          <w:p w14:paraId="16C19DC3" w14:textId="6A6BE16F" w:rsidR="00E72B79" w:rsidRPr="00F47607" w:rsidRDefault="00E72B79" w:rsidP="00E72B79">
            <w:pPr>
              <w:pStyle w:val="NormalWeb"/>
              <w:rPr>
                <w:rFonts w:ascii="Segoe UI" w:hAnsi="Segoe UI" w:cs="Segoe UI"/>
                <w:sz w:val="20"/>
                <w:szCs w:val="20"/>
                <w:lang w:val="en-AU" w:eastAsia="en-AU"/>
              </w:rPr>
            </w:pPr>
            <w:r>
              <w:rPr>
                <w:rFonts w:ascii="Segoe UI" w:hAnsi="Segoe UI" w:cs="Segoe UI"/>
                <w:b/>
                <w:bCs/>
                <w:sz w:val="20"/>
                <w:szCs w:val="20"/>
                <w:lang w:val="en-AU" w:eastAsia="en-AU"/>
              </w:rPr>
              <w:t xml:space="preserve">Azure Site Recovery </w:t>
            </w:r>
          </w:p>
        </w:tc>
        <w:tc>
          <w:tcPr>
            <w:tcW w:w="2160" w:type="dxa"/>
            <w:shd w:val="clear" w:color="auto" w:fill="EDEDED"/>
            <w:hideMark/>
          </w:tcPr>
          <w:p w14:paraId="1CCDEE80" w14:textId="6E17CBD5" w:rsidR="00E72B79" w:rsidRPr="00F47607" w:rsidRDefault="00E72B79" w:rsidP="00E72B79">
            <w:pPr>
              <w:pStyle w:val="NormalWeb"/>
              <w:rPr>
                <w:rFonts w:ascii="Segoe UI" w:hAnsi="Segoe UI" w:cs="Segoe UI"/>
                <w:sz w:val="20"/>
                <w:szCs w:val="20"/>
                <w:lang w:val="en-AU" w:eastAsia="en-AU"/>
              </w:rPr>
            </w:pPr>
            <w:r>
              <w:rPr>
                <w:rFonts w:ascii="Segoe UI" w:hAnsi="Segoe UI" w:cs="Segoe UI"/>
                <w:sz w:val="20"/>
                <w:szCs w:val="20"/>
                <w:lang w:val="en-AU" w:eastAsia="en-AU"/>
              </w:rPr>
              <w:t xml:space="preserve">Small business model </w:t>
            </w:r>
          </w:p>
        </w:tc>
        <w:tc>
          <w:tcPr>
            <w:tcW w:w="5045" w:type="dxa"/>
            <w:shd w:val="clear" w:color="auto" w:fill="EDEDED"/>
            <w:hideMark/>
          </w:tcPr>
          <w:p w14:paraId="1A8AF766" w14:textId="77777777" w:rsidR="00E72B79" w:rsidRPr="00256000" w:rsidRDefault="00E72B79" w:rsidP="00E72B79">
            <w:pPr>
              <w:pStyle w:val="ListParagraph"/>
              <w:numPr>
                <w:ilvl w:val="0"/>
                <w:numId w:val="8"/>
              </w:numPr>
              <w:rPr>
                <w:sz w:val="20"/>
                <w:szCs w:val="20"/>
              </w:rPr>
            </w:pPr>
            <w:r w:rsidRPr="00256000">
              <w:rPr>
                <w:sz w:val="20"/>
                <w:szCs w:val="20"/>
              </w:rPr>
              <w:t xml:space="preserve">Compute costs are incurred when you trigger a failover. Virtual machines in normal mode would not exist in Azure. </w:t>
            </w:r>
          </w:p>
          <w:p w14:paraId="6041B9DA" w14:textId="77777777" w:rsidR="00E72B79" w:rsidRPr="004B27F5" w:rsidRDefault="00E72B79" w:rsidP="00E72B79">
            <w:pPr>
              <w:pStyle w:val="ListParagraph"/>
              <w:numPr>
                <w:ilvl w:val="0"/>
                <w:numId w:val="8"/>
              </w:numPr>
              <w:rPr>
                <w:rFonts w:cs="Segoe UI"/>
                <w:sz w:val="20"/>
                <w:szCs w:val="20"/>
                <w:lang w:val="en-AU" w:eastAsia="en-AU"/>
              </w:rPr>
            </w:pPr>
            <w:r w:rsidRPr="00256000">
              <w:rPr>
                <w:sz w:val="20"/>
                <w:szCs w:val="20"/>
              </w:rPr>
              <w:t>When configuring frequency of replication</w:t>
            </w:r>
            <w:r>
              <w:rPr>
                <w:sz w:val="20"/>
                <w:szCs w:val="20"/>
              </w:rPr>
              <w:t>,</w:t>
            </w:r>
            <w:r w:rsidRPr="00256000">
              <w:rPr>
                <w:sz w:val="20"/>
                <w:szCs w:val="20"/>
              </w:rPr>
              <w:t xml:space="preserve"> you might want to a</w:t>
            </w:r>
            <w:r>
              <w:rPr>
                <w:sz w:val="20"/>
                <w:szCs w:val="20"/>
              </w:rPr>
              <w:t>ss</w:t>
            </w:r>
            <w:r w:rsidRPr="00256000">
              <w:rPr>
                <w:sz w:val="20"/>
                <w:szCs w:val="20"/>
              </w:rPr>
              <w:t xml:space="preserve">ess the bandwidth impact of each setting through the calculator. </w:t>
            </w:r>
          </w:p>
          <w:p w14:paraId="6B0E526B" w14:textId="5483CA11" w:rsidR="00E72B79" w:rsidRPr="00B814EA" w:rsidRDefault="00E72B79" w:rsidP="00E72B79">
            <w:pPr>
              <w:pStyle w:val="ListParagraph"/>
              <w:numPr>
                <w:ilvl w:val="0"/>
                <w:numId w:val="8"/>
              </w:numPr>
              <w:jc w:val="both"/>
              <w:rPr>
                <w:rFonts w:cs="Segoe UI"/>
                <w:sz w:val="20"/>
                <w:szCs w:val="20"/>
                <w:lang w:val="en-AU" w:eastAsia="en-AU"/>
              </w:rPr>
            </w:pPr>
            <w:r w:rsidRPr="00256000">
              <w:rPr>
                <w:sz w:val="20"/>
                <w:szCs w:val="20"/>
              </w:rPr>
              <w:t xml:space="preserve">Leverage </w:t>
            </w:r>
            <w:r>
              <w:rPr>
                <w:sz w:val="20"/>
                <w:szCs w:val="20"/>
              </w:rPr>
              <w:t xml:space="preserve">a </w:t>
            </w:r>
            <w:r w:rsidRPr="00256000">
              <w:rPr>
                <w:sz w:val="20"/>
                <w:szCs w:val="20"/>
              </w:rPr>
              <w:t xml:space="preserve">hybrid network between </w:t>
            </w:r>
            <w:r>
              <w:rPr>
                <w:sz w:val="20"/>
                <w:szCs w:val="20"/>
              </w:rPr>
              <w:t xml:space="preserve">the </w:t>
            </w:r>
            <w:r w:rsidRPr="00256000">
              <w:rPr>
                <w:sz w:val="20"/>
                <w:szCs w:val="20"/>
              </w:rPr>
              <w:t xml:space="preserve">on-premises </w:t>
            </w:r>
            <w:r>
              <w:rPr>
                <w:sz w:val="20"/>
                <w:szCs w:val="20"/>
              </w:rPr>
              <w:t xml:space="preserve">site </w:t>
            </w:r>
            <w:r w:rsidRPr="00256000">
              <w:rPr>
                <w:sz w:val="20"/>
                <w:szCs w:val="20"/>
              </w:rPr>
              <w:t xml:space="preserve">and </w:t>
            </w:r>
            <w:r>
              <w:rPr>
                <w:sz w:val="20"/>
                <w:szCs w:val="20"/>
              </w:rPr>
              <w:t>A</w:t>
            </w:r>
            <w:r w:rsidRPr="00256000">
              <w:rPr>
                <w:sz w:val="20"/>
                <w:szCs w:val="20"/>
              </w:rPr>
              <w:t xml:space="preserve">zure to ensure clients resume communication to the failover </w:t>
            </w:r>
            <w:r>
              <w:rPr>
                <w:sz w:val="20"/>
                <w:szCs w:val="20"/>
              </w:rPr>
              <w:t>A</w:t>
            </w:r>
            <w:r w:rsidRPr="00256000">
              <w:rPr>
                <w:sz w:val="20"/>
                <w:szCs w:val="20"/>
              </w:rPr>
              <w:t xml:space="preserve">zure </w:t>
            </w:r>
            <w:r>
              <w:rPr>
                <w:sz w:val="20"/>
                <w:szCs w:val="20"/>
              </w:rPr>
              <w:t>virtual machines.</w:t>
            </w:r>
          </w:p>
        </w:tc>
      </w:tr>
    </w:tbl>
    <w:p w14:paraId="5214E237" w14:textId="77777777" w:rsidR="004B27F5" w:rsidRPr="004B27F5" w:rsidRDefault="004B27F5" w:rsidP="004B27F5">
      <w:pPr>
        <w:jc w:val="both"/>
        <w:rPr>
          <w:i/>
        </w:rPr>
      </w:pPr>
    </w:p>
    <w:p w14:paraId="59B19B4A" w14:textId="6678B87D" w:rsidR="001F6594" w:rsidRDefault="001F6594" w:rsidP="005729D2">
      <w:pPr>
        <w:pStyle w:val="Heading3Numbered"/>
        <w:numPr>
          <w:ilvl w:val="2"/>
          <w:numId w:val="64"/>
        </w:numPr>
      </w:pPr>
      <w:bookmarkStart w:id="7050" w:name="_Toc414892157"/>
      <w:bookmarkStart w:id="7051" w:name="_Toc414960180"/>
      <w:bookmarkStart w:id="7052" w:name="_Toc414969151"/>
      <w:bookmarkStart w:id="7053" w:name="_Toc415011375"/>
      <w:bookmarkStart w:id="7054" w:name="_Toc415040069"/>
      <w:bookmarkStart w:id="7055" w:name="_Toc415572426"/>
      <w:bookmarkStart w:id="7056" w:name="_Toc415735596"/>
      <w:bookmarkStart w:id="7057" w:name="_Toc415814177"/>
      <w:bookmarkStart w:id="7058" w:name="_Toc416343913"/>
      <w:bookmarkStart w:id="7059" w:name="_Toc416863185"/>
      <w:bookmarkStart w:id="7060" w:name="_Toc417314800"/>
      <w:bookmarkStart w:id="7061" w:name="_Toc417323817"/>
      <w:bookmarkStart w:id="7062" w:name="_Toc417326907"/>
      <w:bookmarkStart w:id="7063" w:name="_Toc417330455"/>
      <w:bookmarkStart w:id="7064" w:name="_Toc417395062"/>
      <w:bookmarkStart w:id="7065" w:name="_Toc417399281"/>
      <w:bookmarkStart w:id="7066" w:name="_Toc417399440"/>
      <w:bookmarkStart w:id="7067" w:name="_Toc417400487"/>
      <w:bookmarkStart w:id="7068" w:name="_Toc417401335"/>
      <w:bookmarkStart w:id="7069" w:name="_Toc417419650"/>
      <w:bookmarkStart w:id="7070" w:name="_Toc417457422"/>
      <w:bookmarkStart w:id="7071" w:name="_Toc417482000"/>
      <w:bookmarkStart w:id="7072" w:name="_Toc417482258"/>
      <w:bookmarkStart w:id="7073" w:name="_Toc417499977"/>
      <w:bookmarkStart w:id="7074" w:name="_Toc417502798"/>
      <w:bookmarkStart w:id="7075" w:name="_Toc417548386"/>
      <w:bookmarkStart w:id="7076" w:name="_Toc417594629"/>
      <w:bookmarkStart w:id="7077" w:name="_Toc417934759"/>
      <w:bookmarkStart w:id="7078" w:name="_Toc417936096"/>
      <w:bookmarkStart w:id="7079" w:name="_Toc417936558"/>
      <w:bookmarkStart w:id="7080" w:name="_Toc417946974"/>
      <w:bookmarkStart w:id="7081" w:name="_Toc417947444"/>
      <w:bookmarkStart w:id="7082" w:name="_Toc417982585"/>
      <w:bookmarkStart w:id="7083" w:name="_Toc417986066"/>
      <w:bookmarkStart w:id="7084" w:name="_Toc418000731"/>
      <w:bookmarkStart w:id="7085" w:name="_Toc418003931"/>
      <w:bookmarkStart w:id="7086" w:name="_Toc418012136"/>
      <w:bookmarkStart w:id="7087" w:name="_Toc418030154"/>
      <w:bookmarkStart w:id="7088" w:name="_Toc418037009"/>
      <w:bookmarkStart w:id="7089" w:name="_Toc418061481"/>
      <w:bookmarkStart w:id="7090" w:name="_Toc418081382"/>
      <w:bookmarkStart w:id="7091" w:name="_Toc418083412"/>
      <w:bookmarkStart w:id="7092" w:name="_Toc418096178"/>
      <w:bookmarkStart w:id="7093" w:name="_Toc418156780"/>
      <w:bookmarkStart w:id="7094" w:name="_Toc418167697"/>
      <w:bookmarkStart w:id="7095" w:name="_Toc418185953"/>
      <w:bookmarkStart w:id="7096" w:name="_Toc422941667"/>
      <w:bookmarkStart w:id="7097" w:name="_Toc423116879"/>
      <w:bookmarkStart w:id="7098" w:name="_Toc423117912"/>
      <w:bookmarkStart w:id="7099" w:name="_Toc423117359"/>
      <w:bookmarkStart w:id="7100" w:name="_Toc431288958"/>
      <w:bookmarkEnd w:id="7044"/>
      <w:bookmarkEnd w:id="7045"/>
      <w:bookmarkEnd w:id="7046"/>
      <w:bookmarkEnd w:id="7047"/>
      <w:bookmarkEnd w:id="7048"/>
      <w:bookmarkEnd w:id="7049"/>
      <w:r>
        <w:t>Native Service Backup (PaaS)</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6D7393B3" w14:textId="49ABA1BA" w:rsidR="00183889" w:rsidRDefault="00E72B79" w:rsidP="00183889">
      <w:r>
        <w:t xml:space="preserve">The Microsoft Azure Platform-as-a-Service (PaaS) solutions, such as Azure App Service and </w:t>
      </w:r>
      <w:r w:rsidRPr="00183889">
        <w:t>Azure SQL Database ha</w:t>
      </w:r>
      <w:r>
        <w:t xml:space="preserve">ve </w:t>
      </w:r>
      <w:r w:rsidRPr="00183889">
        <w:t>built-in backups to support self-service</w:t>
      </w:r>
      <w:r>
        <w:t>,</w:t>
      </w:r>
      <w:r w:rsidRPr="00183889">
        <w:t xml:space="preserve"> </w:t>
      </w:r>
      <w:r>
        <w:t>point-in-time</w:t>
      </w:r>
      <w:r w:rsidRPr="00183889">
        <w:t xml:space="preserve"> </w:t>
      </w:r>
      <w:r>
        <w:t>r</w:t>
      </w:r>
      <w:r w:rsidRPr="00183889">
        <w:t>estore</w:t>
      </w:r>
      <w:r>
        <w:t xml:space="preserve"> options</w:t>
      </w:r>
      <w:r w:rsidRPr="00183889">
        <w:t xml:space="preserve"> and </w:t>
      </w:r>
      <w:r>
        <w:t>geographic r</w:t>
      </w:r>
      <w:r w:rsidRPr="00183889">
        <w:t>estore for Azure SQL Database Basic, Standard, and Premium service tiers.</w:t>
      </w:r>
      <w:r>
        <w:t xml:space="preserve"> This is a key consideration when deploying solutions that leverage Azure PaaS tiers</w:t>
      </w:r>
      <w:r w:rsidR="009511A9">
        <w:t xml:space="preserve">.  </w:t>
      </w:r>
    </w:p>
    <w:p w14:paraId="34889F10" w14:textId="77777777" w:rsidR="00183889" w:rsidRDefault="00183889" w:rsidP="00183889"/>
    <w:tbl>
      <w:tblPr>
        <w:tblStyle w:val="PlainTable11"/>
        <w:tblW w:w="9450" w:type="dxa"/>
        <w:tblLook w:val="04A0" w:firstRow="1" w:lastRow="0" w:firstColumn="1" w:lastColumn="0" w:noHBand="0" w:noVBand="1"/>
      </w:tblPr>
      <w:tblGrid>
        <w:gridCol w:w="2700"/>
        <w:gridCol w:w="6750"/>
      </w:tblGrid>
      <w:tr w:rsidR="00183889" w:rsidRPr="00F47607" w14:paraId="5FAF4E6B" w14:textId="77777777" w:rsidTr="00BF7F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50" w:type="dxa"/>
            <w:gridSpan w:val="2"/>
            <w:shd w:val="clear" w:color="auto" w:fill="808080" w:themeFill="background1" w:themeFillShade="80"/>
          </w:tcPr>
          <w:p w14:paraId="12A1AE7B" w14:textId="77777777" w:rsidR="00183889" w:rsidRPr="00F47607" w:rsidRDefault="00183889" w:rsidP="00FE356A">
            <w:pPr>
              <w:spacing w:line="240" w:lineRule="auto"/>
              <w:rPr>
                <w:color w:val="FFFFFF"/>
              </w:rPr>
            </w:pPr>
            <w:r>
              <w:rPr>
                <w:color w:val="FFFFFF"/>
              </w:rPr>
              <w:t>Feature References</w:t>
            </w:r>
          </w:p>
        </w:tc>
      </w:tr>
      <w:tr w:rsidR="00183889" w:rsidRPr="00927F75" w14:paraId="1A84420B"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63603F60" w14:textId="4ECD29A7" w:rsidR="00183889" w:rsidRPr="00227107" w:rsidRDefault="00183889" w:rsidP="00183889">
            <w:pPr>
              <w:spacing w:line="240" w:lineRule="auto"/>
              <w:rPr>
                <w:sz w:val="20"/>
                <w:szCs w:val="20"/>
              </w:rPr>
            </w:pPr>
            <w:r w:rsidRPr="00227107">
              <w:rPr>
                <w:sz w:val="20"/>
                <w:szCs w:val="20"/>
              </w:rPr>
              <w:t>Built-in Automatic Backup in Azure SQL Database</w:t>
            </w:r>
          </w:p>
        </w:tc>
        <w:tc>
          <w:tcPr>
            <w:tcW w:w="6750" w:type="dxa"/>
          </w:tcPr>
          <w:p w14:paraId="7E6C4447" w14:textId="05139FAA" w:rsidR="00183889" w:rsidRPr="00256000" w:rsidRDefault="00872E47" w:rsidP="00FE356A">
            <w:pPr>
              <w:cnfStyle w:val="000000100000" w:firstRow="0" w:lastRow="0" w:firstColumn="0" w:lastColumn="0" w:oddVBand="0" w:evenVBand="0" w:oddHBand="1" w:evenHBand="0" w:firstRowFirstColumn="0" w:firstRowLastColumn="0" w:lastRowFirstColumn="0" w:lastRowLastColumn="0"/>
              <w:rPr>
                <w:sz w:val="20"/>
                <w:szCs w:val="20"/>
              </w:rPr>
            </w:pPr>
            <w:hyperlink r:id="rId615" w:history="1">
              <w:r w:rsidR="00925177">
                <w:rPr>
                  <w:rStyle w:val="Hyperlink"/>
                  <w:sz w:val="20"/>
                  <w:szCs w:val="20"/>
                </w:rPr>
                <w:t>https://msdn.microsoft.com/en-us/library/azure/jj650016.aspx</w:t>
              </w:r>
            </w:hyperlink>
            <w:r w:rsidR="00183889" w:rsidRPr="00256000">
              <w:rPr>
                <w:sz w:val="20"/>
                <w:szCs w:val="20"/>
              </w:rPr>
              <w:t xml:space="preserve"> </w:t>
            </w:r>
          </w:p>
        </w:tc>
      </w:tr>
      <w:tr w:rsidR="00183889" w:rsidRPr="00927F75" w14:paraId="6CDD4DBE" w14:textId="77777777" w:rsidTr="00BF7F28">
        <w:tc>
          <w:tcPr>
            <w:cnfStyle w:val="001000000000" w:firstRow="0" w:lastRow="0" w:firstColumn="1" w:lastColumn="0" w:oddVBand="0" w:evenVBand="0" w:oddHBand="0" w:evenHBand="0" w:firstRowFirstColumn="0" w:firstRowLastColumn="0" w:lastRowFirstColumn="0" w:lastRowLastColumn="0"/>
            <w:tcW w:w="2700" w:type="dxa"/>
          </w:tcPr>
          <w:p w14:paraId="58FA141E" w14:textId="13B1AADF" w:rsidR="00183889" w:rsidRPr="00227107" w:rsidRDefault="00183889" w:rsidP="00183889">
            <w:pPr>
              <w:spacing w:line="240" w:lineRule="auto"/>
              <w:rPr>
                <w:sz w:val="20"/>
                <w:szCs w:val="20"/>
              </w:rPr>
            </w:pPr>
            <w:r w:rsidRPr="00227107">
              <w:rPr>
                <w:sz w:val="20"/>
                <w:szCs w:val="20"/>
              </w:rPr>
              <w:t>Point in Time Restore for Azure SQL Database</w:t>
            </w:r>
          </w:p>
        </w:tc>
        <w:tc>
          <w:tcPr>
            <w:tcW w:w="6750" w:type="dxa"/>
          </w:tcPr>
          <w:p w14:paraId="0CE29E3D" w14:textId="0B4EF58D" w:rsidR="00183889" w:rsidRPr="00256000" w:rsidRDefault="00872E47" w:rsidP="00FE356A">
            <w:pPr>
              <w:cnfStyle w:val="000000000000" w:firstRow="0" w:lastRow="0" w:firstColumn="0" w:lastColumn="0" w:oddVBand="0" w:evenVBand="0" w:oddHBand="0" w:evenHBand="0" w:firstRowFirstColumn="0" w:firstRowLastColumn="0" w:lastRowFirstColumn="0" w:lastRowLastColumn="0"/>
              <w:rPr>
                <w:sz w:val="20"/>
                <w:szCs w:val="20"/>
              </w:rPr>
            </w:pPr>
            <w:hyperlink r:id="rId616" w:history="1">
              <w:r w:rsidR="00183889" w:rsidRPr="00256000">
                <w:rPr>
                  <w:rStyle w:val="Hyperlink"/>
                  <w:sz w:val="20"/>
                  <w:szCs w:val="20"/>
                </w:rPr>
                <w:t>https://msdn.microsoft.com/en-us/library/azure/jj650016.aspx</w:t>
              </w:r>
            </w:hyperlink>
            <w:r w:rsidR="00183889" w:rsidRPr="00256000">
              <w:rPr>
                <w:sz w:val="20"/>
                <w:szCs w:val="20"/>
              </w:rPr>
              <w:t xml:space="preserve"> </w:t>
            </w:r>
          </w:p>
        </w:tc>
      </w:tr>
      <w:tr w:rsidR="00183889" w:rsidRPr="00927F75" w14:paraId="54502908"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38FEFC15" w14:textId="353B70F5" w:rsidR="00183889" w:rsidRPr="00227107" w:rsidRDefault="00183889" w:rsidP="00183889">
            <w:pPr>
              <w:spacing w:line="240" w:lineRule="auto"/>
              <w:rPr>
                <w:sz w:val="20"/>
                <w:szCs w:val="20"/>
              </w:rPr>
            </w:pPr>
            <w:r w:rsidRPr="00227107">
              <w:rPr>
                <w:sz w:val="20"/>
                <w:szCs w:val="20"/>
              </w:rPr>
              <w:t>Restoring an Active Database to a Point in Time</w:t>
            </w:r>
          </w:p>
        </w:tc>
        <w:tc>
          <w:tcPr>
            <w:tcW w:w="6750" w:type="dxa"/>
          </w:tcPr>
          <w:p w14:paraId="29198D58" w14:textId="5572DA24" w:rsidR="00183889" w:rsidRPr="00256000" w:rsidRDefault="00872E47" w:rsidP="00FE356A">
            <w:pPr>
              <w:cnfStyle w:val="000000100000" w:firstRow="0" w:lastRow="0" w:firstColumn="0" w:lastColumn="0" w:oddVBand="0" w:evenVBand="0" w:oddHBand="1" w:evenHBand="0" w:firstRowFirstColumn="0" w:firstRowLastColumn="0" w:lastRowFirstColumn="0" w:lastRowLastColumn="0"/>
              <w:rPr>
                <w:sz w:val="20"/>
                <w:szCs w:val="20"/>
              </w:rPr>
            </w:pPr>
            <w:hyperlink r:id="rId617" w:history="1">
              <w:r w:rsidR="00183889" w:rsidRPr="00256000">
                <w:rPr>
                  <w:rStyle w:val="Hyperlink"/>
                  <w:sz w:val="20"/>
                  <w:szCs w:val="20"/>
                </w:rPr>
                <w:t>https://msdn.microsoft.com/en-us/library/azure/jj650016.aspx</w:t>
              </w:r>
            </w:hyperlink>
            <w:r w:rsidR="00183889" w:rsidRPr="00256000">
              <w:rPr>
                <w:sz w:val="20"/>
                <w:szCs w:val="20"/>
              </w:rPr>
              <w:t xml:space="preserve"> </w:t>
            </w:r>
          </w:p>
        </w:tc>
      </w:tr>
      <w:tr w:rsidR="00183889" w:rsidRPr="00927F75" w14:paraId="504178CC" w14:textId="77777777" w:rsidTr="00BF7F28">
        <w:tc>
          <w:tcPr>
            <w:cnfStyle w:val="001000000000" w:firstRow="0" w:lastRow="0" w:firstColumn="1" w:lastColumn="0" w:oddVBand="0" w:evenVBand="0" w:oddHBand="0" w:evenHBand="0" w:firstRowFirstColumn="0" w:firstRowLastColumn="0" w:lastRowFirstColumn="0" w:lastRowLastColumn="0"/>
            <w:tcW w:w="2700" w:type="dxa"/>
          </w:tcPr>
          <w:p w14:paraId="449B38E9" w14:textId="0DC0D7E1" w:rsidR="00183889" w:rsidRPr="00227107" w:rsidRDefault="00183889" w:rsidP="00183889">
            <w:pPr>
              <w:spacing w:line="240" w:lineRule="auto"/>
              <w:rPr>
                <w:sz w:val="20"/>
                <w:szCs w:val="20"/>
              </w:rPr>
            </w:pPr>
            <w:r w:rsidRPr="00227107">
              <w:rPr>
                <w:sz w:val="20"/>
                <w:szCs w:val="20"/>
              </w:rPr>
              <w:t>Geo-Restore</w:t>
            </w:r>
          </w:p>
        </w:tc>
        <w:tc>
          <w:tcPr>
            <w:tcW w:w="6750" w:type="dxa"/>
          </w:tcPr>
          <w:p w14:paraId="11E318F7" w14:textId="56D68511" w:rsidR="00183889" w:rsidRPr="00256000" w:rsidRDefault="00872E47" w:rsidP="00FE356A">
            <w:pPr>
              <w:cnfStyle w:val="000000000000" w:firstRow="0" w:lastRow="0" w:firstColumn="0" w:lastColumn="0" w:oddVBand="0" w:evenVBand="0" w:oddHBand="0" w:evenHBand="0" w:firstRowFirstColumn="0" w:firstRowLastColumn="0" w:lastRowFirstColumn="0" w:lastRowLastColumn="0"/>
              <w:rPr>
                <w:sz w:val="20"/>
                <w:szCs w:val="20"/>
              </w:rPr>
            </w:pPr>
            <w:hyperlink r:id="rId618" w:history="1">
              <w:r w:rsidR="00183889" w:rsidRPr="00256000">
                <w:rPr>
                  <w:rStyle w:val="Hyperlink"/>
                  <w:sz w:val="20"/>
                  <w:szCs w:val="20"/>
                </w:rPr>
                <w:t>https://msdn.microsoft.com/en-us/library/azure/jj650016.aspx</w:t>
              </w:r>
            </w:hyperlink>
            <w:r w:rsidR="00183889" w:rsidRPr="00256000">
              <w:rPr>
                <w:sz w:val="20"/>
                <w:szCs w:val="20"/>
              </w:rPr>
              <w:t xml:space="preserve"> </w:t>
            </w:r>
          </w:p>
        </w:tc>
      </w:tr>
      <w:tr w:rsidR="00183889" w:rsidRPr="00927F75" w14:paraId="0CE5F62C"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15BE2E56" w14:textId="5E7A13F8" w:rsidR="00183889" w:rsidRPr="00227107" w:rsidRDefault="00183889" w:rsidP="00183889">
            <w:pPr>
              <w:spacing w:line="240" w:lineRule="auto"/>
              <w:rPr>
                <w:sz w:val="20"/>
                <w:szCs w:val="20"/>
              </w:rPr>
            </w:pPr>
            <w:r w:rsidRPr="00227107">
              <w:rPr>
                <w:sz w:val="20"/>
                <w:szCs w:val="20"/>
              </w:rPr>
              <w:t>Azure SQL Database Business Continuity</w:t>
            </w:r>
          </w:p>
        </w:tc>
        <w:tc>
          <w:tcPr>
            <w:tcW w:w="6750" w:type="dxa"/>
          </w:tcPr>
          <w:p w14:paraId="3C0452B6" w14:textId="74A61D86" w:rsidR="00183889" w:rsidRPr="00256000" w:rsidRDefault="00872E47" w:rsidP="00FE356A">
            <w:pPr>
              <w:cnfStyle w:val="000000100000" w:firstRow="0" w:lastRow="0" w:firstColumn="0" w:lastColumn="0" w:oddVBand="0" w:evenVBand="0" w:oddHBand="1" w:evenHBand="0" w:firstRowFirstColumn="0" w:firstRowLastColumn="0" w:lastRowFirstColumn="0" w:lastRowLastColumn="0"/>
              <w:rPr>
                <w:sz w:val="20"/>
                <w:szCs w:val="20"/>
              </w:rPr>
            </w:pPr>
            <w:hyperlink r:id="rId619" w:history="1">
              <w:r w:rsidR="00183889" w:rsidRPr="00256000">
                <w:rPr>
                  <w:rStyle w:val="Hyperlink"/>
                  <w:sz w:val="20"/>
                  <w:szCs w:val="20"/>
                </w:rPr>
                <w:t>https://msdn.microsoft.com/en-us/library/azure/hh852669.aspx</w:t>
              </w:r>
            </w:hyperlink>
            <w:r w:rsidR="00183889" w:rsidRPr="00256000">
              <w:rPr>
                <w:sz w:val="20"/>
                <w:szCs w:val="20"/>
              </w:rPr>
              <w:t xml:space="preserve"> </w:t>
            </w:r>
          </w:p>
        </w:tc>
      </w:tr>
      <w:tr w:rsidR="00824431" w:rsidRPr="00927F75" w14:paraId="19454393" w14:textId="77777777" w:rsidTr="00BF7F28">
        <w:tc>
          <w:tcPr>
            <w:cnfStyle w:val="001000000000" w:firstRow="0" w:lastRow="0" w:firstColumn="1" w:lastColumn="0" w:oddVBand="0" w:evenVBand="0" w:oddHBand="0" w:evenHBand="0" w:firstRowFirstColumn="0" w:firstRowLastColumn="0" w:lastRowFirstColumn="0" w:lastRowLastColumn="0"/>
            <w:tcW w:w="2700" w:type="dxa"/>
          </w:tcPr>
          <w:p w14:paraId="2FE27056" w14:textId="113E11A8" w:rsidR="00824431" w:rsidRPr="00227107" w:rsidRDefault="00824431" w:rsidP="00183889">
            <w:pPr>
              <w:spacing w:line="240" w:lineRule="auto"/>
              <w:rPr>
                <w:sz w:val="20"/>
                <w:szCs w:val="20"/>
              </w:rPr>
            </w:pPr>
            <w:r w:rsidRPr="00227107">
              <w:rPr>
                <w:sz w:val="20"/>
                <w:szCs w:val="20"/>
              </w:rPr>
              <w:t xml:space="preserve">Geo Replication </w:t>
            </w:r>
          </w:p>
        </w:tc>
        <w:tc>
          <w:tcPr>
            <w:tcW w:w="6750" w:type="dxa"/>
          </w:tcPr>
          <w:p w14:paraId="1CFC61EB" w14:textId="2A895123" w:rsidR="00824431" w:rsidRPr="00256000" w:rsidRDefault="00872E47" w:rsidP="00FE356A">
            <w:pPr>
              <w:cnfStyle w:val="000000000000" w:firstRow="0" w:lastRow="0" w:firstColumn="0" w:lastColumn="0" w:oddVBand="0" w:evenVBand="0" w:oddHBand="0" w:evenHBand="0" w:firstRowFirstColumn="0" w:firstRowLastColumn="0" w:lastRowFirstColumn="0" w:lastRowLastColumn="0"/>
              <w:rPr>
                <w:sz w:val="20"/>
                <w:szCs w:val="20"/>
              </w:rPr>
            </w:pPr>
            <w:hyperlink r:id="rId620" w:history="1">
              <w:r w:rsidR="00824431" w:rsidRPr="00256000">
                <w:rPr>
                  <w:rStyle w:val="Hyperlink"/>
                  <w:sz w:val="20"/>
                  <w:szCs w:val="20"/>
                </w:rPr>
                <w:t>https://msdn.microsoft.com/en-us/library/azure/dn783447.aspx</w:t>
              </w:r>
            </w:hyperlink>
            <w:r w:rsidR="00824431" w:rsidRPr="00256000">
              <w:rPr>
                <w:sz w:val="20"/>
                <w:szCs w:val="20"/>
              </w:rPr>
              <w:t xml:space="preserve"> </w:t>
            </w:r>
          </w:p>
        </w:tc>
      </w:tr>
      <w:tr w:rsidR="00DF2D0D" w:rsidRPr="00927F75" w14:paraId="21B6C7FD"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58183CDD" w14:textId="636CDF63" w:rsidR="00DF2D0D" w:rsidRPr="00227107" w:rsidRDefault="00DF2D0D" w:rsidP="00183889">
            <w:pPr>
              <w:spacing w:line="240" w:lineRule="auto"/>
              <w:rPr>
                <w:sz w:val="20"/>
                <w:szCs w:val="20"/>
              </w:rPr>
            </w:pPr>
            <w:r w:rsidRPr="00227107">
              <w:rPr>
                <w:sz w:val="20"/>
                <w:szCs w:val="20"/>
              </w:rPr>
              <w:t>SQL Data Sync</w:t>
            </w:r>
          </w:p>
        </w:tc>
        <w:tc>
          <w:tcPr>
            <w:tcW w:w="6750" w:type="dxa"/>
          </w:tcPr>
          <w:p w14:paraId="34E3C985" w14:textId="3D4EA8C0" w:rsidR="00DF2D0D" w:rsidRPr="00256000" w:rsidRDefault="00872E47" w:rsidP="00FE356A">
            <w:pPr>
              <w:cnfStyle w:val="000000100000" w:firstRow="0" w:lastRow="0" w:firstColumn="0" w:lastColumn="0" w:oddVBand="0" w:evenVBand="0" w:oddHBand="1" w:evenHBand="0" w:firstRowFirstColumn="0" w:firstRowLastColumn="0" w:lastRowFirstColumn="0" w:lastRowLastColumn="0"/>
              <w:rPr>
                <w:sz w:val="20"/>
                <w:szCs w:val="20"/>
              </w:rPr>
            </w:pPr>
            <w:hyperlink r:id="rId621" w:history="1">
              <w:r w:rsidR="00DF2D0D" w:rsidRPr="00256000">
                <w:rPr>
                  <w:rStyle w:val="Hyperlink"/>
                  <w:sz w:val="20"/>
                  <w:szCs w:val="20"/>
                </w:rPr>
                <w:t>http://azure.microsoft.com/en-us/documentation/articles/sql-database-get-started-sql-data-sync/</w:t>
              </w:r>
            </w:hyperlink>
            <w:r w:rsidR="00DF2D0D" w:rsidRPr="00256000">
              <w:rPr>
                <w:sz w:val="20"/>
                <w:szCs w:val="20"/>
              </w:rPr>
              <w:t xml:space="preserve"> </w:t>
            </w:r>
          </w:p>
        </w:tc>
      </w:tr>
      <w:tr w:rsidR="00DF2D0D" w:rsidRPr="00927F75" w14:paraId="76728D37" w14:textId="77777777" w:rsidTr="00BF7F28">
        <w:tc>
          <w:tcPr>
            <w:cnfStyle w:val="001000000000" w:firstRow="0" w:lastRow="0" w:firstColumn="1" w:lastColumn="0" w:oddVBand="0" w:evenVBand="0" w:oddHBand="0" w:evenHBand="0" w:firstRowFirstColumn="0" w:firstRowLastColumn="0" w:lastRowFirstColumn="0" w:lastRowLastColumn="0"/>
            <w:tcW w:w="2700" w:type="dxa"/>
          </w:tcPr>
          <w:p w14:paraId="59366B5C" w14:textId="5554B15C" w:rsidR="00DF2D0D" w:rsidRPr="00227107" w:rsidRDefault="00DF2D0D" w:rsidP="00183889">
            <w:pPr>
              <w:spacing w:line="240" w:lineRule="auto"/>
              <w:rPr>
                <w:sz w:val="20"/>
                <w:szCs w:val="20"/>
              </w:rPr>
            </w:pPr>
            <w:r w:rsidRPr="00227107">
              <w:rPr>
                <w:sz w:val="20"/>
                <w:szCs w:val="20"/>
              </w:rPr>
              <w:t>Business Continuity</w:t>
            </w:r>
          </w:p>
        </w:tc>
        <w:tc>
          <w:tcPr>
            <w:tcW w:w="6750" w:type="dxa"/>
          </w:tcPr>
          <w:p w14:paraId="17C1875C" w14:textId="5034C75E" w:rsidR="00DF2D0D" w:rsidRPr="00256000" w:rsidRDefault="00872E47" w:rsidP="00FE356A">
            <w:pPr>
              <w:cnfStyle w:val="000000000000" w:firstRow="0" w:lastRow="0" w:firstColumn="0" w:lastColumn="0" w:oddVBand="0" w:evenVBand="0" w:oddHBand="0" w:evenHBand="0" w:firstRowFirstColumn="0" w:firstRowLastColumn="0" w:lastRowFirstColumn="0" w:lastRowLastColumn="0"/>
              <w:rPr>
                <w:sz w:val="20"/>
                <w:szCs w:val="20"/>
              </w:rPr>
            </w:pPr>
            <w:hyperlink r:id="rId622" w:history="1">
              <w:r w:rsidR="00DF2D0D" w:rsidRPr="00256000">
                <w:rPr>
                  <w:rStyle w:val="Hyperlink"/>
                  <w:sz w:val="20"/>
                  <w:szCs w:val="20"/>
                </w:rPr>
                <w:t>http://azure.microsoft.com/en-us/documentation/articles/sql-database-business-continuity/</w:t>
              </w:r>
            </w:hyperlink>
            <w:r w:rsidR="00DF2D0D" w:rsidRPr="00256000">
              <w:rPr>
                <w:sz w:val="20"/>
                <w:szCs w:val="20"/>
              </w:rPr>
              <w:t xml:space="preserve"> </w:t>
            </w:r>
          </w:p>
        </w:tc>
      </w:tr>
    </w:tbl>
    <w:p w14:paraId="7BB34485" w14:textId="77777777" w:rsidR="00824431" w:rsidRPr="00183889" w:rsidRDefault="00824431" w:rsidP="00183889"/>
    <w:p w14:paraId="77608C33" w14:textId="2E5DDE45" w:rsidR="00824431" w:rsidRDefault="00E72B79" w:rsidP="00824431">
      <w:bookmarkStart w:id="7101" w:name="_Toc414892158"/>
      <w:bookmarkStart w:id="7102" w:name="_Toc414960181"/>
      <w:bookmarkStart w:id="7103" w:name="_Toc414969152"/>
      <w:bookmarkStart w:id="7104" w:name="_Toc415011376"/>
      <w:bookmarkStart w:id="7105" w:name="_Toc415040070"/>
      <w:bookmarkStart w:id="7106" w:name="_Toc415572427"/>
      <w:bookmarkStart w:id="7107" w:name="_Toc415735597"/>
      <w:bookmarkStart w:id="7108" w:name="_Toc415814178"/>
      <w:bookmarkStart w:id="7109" w:name="_Toc416343914"/>
      <w:bookmarkStart w:id="7110" w:name="_Toc416863186"/>
      <w:r>
        <w:t xml:space="preserve">The </w:t>
      </w:r>
      <w:r w:rsidR="00EA72AB">
        <w:t xml:space="preserve">Azure App Service backup strategy centers </w:t>
      </w:r>
      <w:r w:rsidR="0065635D">
        <w:t>on</w:t>
      </w:r>
      <w:r w:rsidR="00EA72AB">
        <w:t xml:space="preserve"> the backup strategy of your cloud package and configuration files. </w:t>
      </w:r>
      <w:r w:rsidR="009511A9">
        <w:t>The following guidance is provided:</w:t>
      </w:r>
    </w:p>
    <w:p w14:paraId="5228CC9E" w14:textId="77777777" w:rsidR="00B555F4" w:rsidRDefault="00B555F4" w:rsidP="00824431"/>
    <w:tbl>
      <w:tblPr>
        <w:tblStyle w:val="PlainTable11"/>
        <w:tblW w:w="9450" w:type="dxa"/>
        <w:tblLook w:val="04A0" w:firstRow="1" w:lastRow="0" w:firstColumn="1" w:lastColumn="0" w:noHBand="0" w:noVBand="1"/>
      </w:tblPr>
      <w:tblGrid>
        <w:gridCol w:w="2700"/>
        <w:gridCol w:w="6750"/>
      </w:tblGrid>
      <w:tr w:rsidR="00B555F4" w:rsidRPr="00F47607" w14:paraId="2B485A98" w14:textId="77777777" w:rsidTr="00BF7F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50" w:type="dxa"/>
            <w:gridSpan w:val="2"/>
            <w:shd w:val="clear" w:color="auto" w:fill="808080" w:themeFill="background1" w:themeFillShade="80"/>
          </w:tcPr>
          <w:p w14:paraId="6757B85B" w14:textId="77777777" w:rsidR="00B555F4" w:rsidRPr="00F47607" w:rsidRDefault="00B555F4" w:rsidP="00FE356A">
            <w:pPr>
              <w:spacing w:line="240" w:lineRule="auto"/>
              <w:rPr>
                <w:color w:val="FFFFFF"/>
              </w:rPr>
            </w:pPr>
            <w:r>
              <w:rPr>
                <w:color w:val="FFFFFF"/>
              </w:rPr>
              <w:t>Feature References</w:t>
            </w:r>
          </w:p>
        </w:tc>
      </w:tr>
      <w:tr w:rsidR="00B555F4" w:rsidRPr="00927F75" w14:paraId="6D246380"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11C84367" w14:textId="18881E52" w:rsidR="00B555F4" w:rsidRPr="00927F75" w:rsidRDefault="00B555F4" w:rsidP="00FE356A">
            <w:pPr>
              <w:spacing w:line="240" w:lineRule="auto"/>
              <w:rPr>
                <w:sz w:val="20"/>
                <w:szCs w:val="18"/>
              </w:rPr>
            </w:pPr>
            <w:r>
              <w:rPr>
                <w:sz w:val="20"/>
                <w:szCs w:val="18"/>
              </w:rPr>
              <w:t>Azure App Service Overview</w:t>
            </w:r>
          </w:p>
        </w:tc>
        <w:tc>
          <w:tcPr>
            <w:tcW w:w="6750" w:type="dxa"/>
          </w:tcPr>
          <w:p w14:paraId="4ACE7326" w14:textId="41112D6D" w:rsidR="00B555F4" w:rsidRPr="00927F75" w:rsidRDefault="00872E47" w:rsidP="00FE356A">
            <w:pPr>
              <w:cnfStyle w:val="000000100000" w:firstRow="0" w:lastRow="0" w:firstColumn="0" w:lastColumn="0" w:oddVBand="0" w:evenVBand="0" w:oddHBand="1" w:evenHBand="0" w:firstRowFirstColumn="0" w:firstRowLastColumn="0" w:lastRowFirstColumn="0" w:lastRowLastColumn="0"/>
              <w:rPr>
                <w:sz w:val="20"/>
                <w:szCs w:val="18"/>
              </w:rPr>
            </w:pPr>
            <w:hyperlink r:id="rId623" w:history="1">
              <w:r w:rsidR="00B555F4" w:rsidRPr="005565E3">
                <w:rPr>
                  <w:rStyle w:val="Hyperlink"/>
                </w:rPr>
                <w:t>http://azure.microsoft.com/en-us/documentation/articles/app-service-changes-existing-services/</w:t>
              </w:r>
            </w:hyperlink>
            <w:r w:rsidR="00B555F4">
              <w:t xml:space="preserve"> </w:t>
            </w:r>
          </w:p>
        </w:tc>
      </w:tr>
    </w:tbl>
    <w:p w14:paraId="6D120506" w14:textId="77777777" w:rsidR="00B555F4" w:rsidRDefault="00B555F4" w:rsidP="00824431"/>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824431" w14:paraId="43B37D14" w14:textId="77777777" w:rsidTr="00FE356A">
        <w:trPr>
          <w:trHeight w:val="423"/>
        </w:trPr>
        <w:tc>
          <w:tcPr>
            <w:tcW w:w="666" w:type="dxa"/>
          </w:tcPr>
          <w:p w14:paraId="1C5DDABC" w14:textId="77777777" w:rsidR="00824431" w:rsidRDefault="00824431" w:rsidP="00FE356A">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324416" behindDoc="0" locked="0" layoutInCell="1" allowOverlap="1" wp14:anchorId="534F4073" wp14:editId="1A62DAF4">
                      <wp:simplePos x="0" y="0"/>
                      <wp:positionH relativeFrom="column">
                        <wp:posOffset>66675</wp:posOffset>
                      </wp:positionH>
                      <wp:positionV relativeFrom="paragraph">
                        <wp:posOffset>90170</wp:posOffset>
                      </wp:positionV>
                      <wp:extent cx="209550" cy="180975"/>
                      <wp:effectExtent l="57150" t="19050" r="57150" b="104775"/>
                      <wp:wrapNone/>
                      <wp:docPr id="1546650191" name="Isosceles Triangle 15466501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5175EBD9" id="Isosceles Triangle 1546650191" o:spid="_x0000_s1026" type="#_x0000_t5" style="position:absolute;margin-left:5.25pt;margin-top:7.1pt;width:16.5pt;height:14.25pt;z-index:25132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VJvjgIAAIEFAAAOAAAAZHJzL2Uyb0RvYy54bWysVG1r2zAQ/j7YfxD6vtrOkrQxdUpoySiE&#10;trQd/azIUmIm6zRJiZP9+p3kl2ZdoTDmD0Lne+5N99xdXh1qRfbCugp0QbOzlBKhOZSV3hT0+/Py&#10;ywUlzjNdMgVaFPQoHL2af/502ZhcjGALqhSWoBPt8sYUdOu9yZPE8a2omTsDIzQqJdiaeRTtJikt&#10;a9B7rZJRmk6TBmxpLHDhHP69aZV0Hv1LKbi/l9IJT1RBMTcfTxvPdTiT+SXLN5aZbcW7NNg/ZFGz&#10;SmPQwdUN84zsbPWXq7riFhxIf8ahTkDKiotYA1aTpW+qedoyI2It+DjODM/k/p9bfrd/sKQqsXeT&#10;8XQ6SbNZRolmNfbq1oHjQglHnm3F9EYJcgLCl2uMy9HBk3mwoXZnVsB/OFQkf2iC4DrMQdo6YLFy&#10;cohtOA5tEAdPOP4cpbPJBJvFUZVdpLPzSWhTwvLe2FjnvwmoSbgU1HfZxQaw/cr5Ft7DYm6gqnJZ&#10;KRUFu1lfK0v2DFmxxC+NRMAI7hUWa2jTjgX4oxLBWOlHIfHFMNEsRoxcFYM/xrnQftqlHNHBTGLs&#10;wfDrx4YdPpiKyOPBePSx8WARI4P2g3FdabDvOVA+61KWLb7romvrDk+whvKIZLHQTpEzfFlhA1bM&#10;+QdmcWywZ7gK/D0eUkFTUOhulGzB/nrvf8Ajm1FLSYNjWFD3c8esoETdauT5LBuPw9xGYTw5H6Fg&#10;TzXrU43e1deAPUUKY3bxGvBe9VdpoX7BjbEIUVHFNMfYBeXe9sK1b9cD7hwuFosIw1k1zK/0k+F9&#10;1wO5ng8vzJqehUjfO+hHluVviNhiQz80LHYeZBVZ+vqu3XvjnEeudzspLJJTOaJeN+f8NwA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oNlSb44CAAC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579D2C25" w14:textId="194BF104" w:rsidR="00824431" w:rsidRDefault="00824431" w:rsidP="00E72B79">
            <w:pPr>
              <w:rPr>
                <w:lang w:eastAsia="en-US"/>
              </w:rPr>
            </w:pPr>
            <w:r>
              <w:rPr>
                <w:rFonts w:eastAsiaTheme="minorHAnsi"/>
                <w:b/>
                <w:lang w:eastAsia="en-US"/>
              </w:rPr>
              <w:t xml:space="preserve">Recommended: </w:t>
            </w:r>
            <w:r w:rsidR="001D59C7">
              <w:rPr>
                <w:rFonts w:eastAsiaTheme="minorHAnsi"/>
                <w:b/>
                <w:lang w:eastAsia="en-US"/>
              </w:rPr>
              <w:t xml:space="preserve"> </w:t>
            </w:r>
            <w:r w:rsidR="001D59C7" w:rsidRPr="00305E18">
              <w:rPr>
                <w:rFonts w:eastAsiaTheme="minorHAnsi"/>
                <w:lang w:eastAsia="en-US"/>
              </w:rPr>
              <w:t xml:space="preserve">Leverage Azure blob storage to retain and restore your </w:t>
            </w:r>
            <w:r w:rsidR="00E72B79">
              <w:rPr>
                <w:rFonts w:eastAsiaTheme="minorHAnsi"/>
                <w:lang w:eastAsia="en-US"/>
              </w:rPr>
              <w:t>a</w:t>
            </w:r>
            <w:r w:rsidR="001D59C7" w:rsidRPr="00305E18">
              <w:rPr>
                <w:rFonts w:eastAsiaTheme="minorHAnsi"/>
                <w:lang w:eastAsia="en-US"/>
              </w:rPr>
              <w:t>pplication</w:t>
            </w:r>
            <w:r w:rsidR="00E72B79">
              <w:rPr>
                <w:rFonts w:eastAsiaTheme="minorHAnsi"/>
                <w:lang w:eastAsia="en-US"/>
              </w:rPr>
              <w:t>’s</w:t>
            </w:r>
            <w:r w:rsidR="001D59C7" w:rsidRPr="00305E18">
              <w:rPr>
                <w:rFonts w:eastAsiaTheme="minorHAnsi"/>
                <w:lang w:eastAsia="en-US"/>
              </w:rPr>
              <w:t xml:space="preserve"> cloud snapshot files.</w:t>
            </w:r>
            <w:r w:rsidR="001D59C7">
              <w:rPr>
                <w:rFonts w:eastAsiaTheme="minorHAnsi"/>
                <w:b/>
                <w:lang w:eastAsia="en-US"/>
              </w:rPr>
              <w:t xml:space="preserve"> </w:t>
            </w:r>
          </w:p>
        </w:tc>
      </w:tr>
    </w:tbl>
    <w:p w14:paraId="3A02D061" w14:textId="77777777" w:rsidR="00824431" w:rsidRDefault="00824431" w:rsidP="00824431"/>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1D59C7" w14:paraId="7762A213" w14:textId="77777777" w:rsidTr="00FE356A">
        <w:tc>
          <w:tcPr>
            <w:tcW w:w="9360" w:type="dxa"/>
            <w:shd w:val="clear" w:color="auto" w:fill="008AC8"/>
          </w:tcPr>
          <w:p w14:paraId="00C096B7" w14:textId="77777777" w:rsidR="001D59C7" w:rsidRPr="00F47607" w:rsidRDefault="001D59C7" w:rsidP="00FE356A">
            <w:pPr>
              <w:spacing w:line="240" w:lineRule="auto"/>
              <w:rPr>
                <w:color w:val="FFFFFF"/>
              </w:rPr>
            </w:pPr>
            <w:r>
              <w:rPr>
                <w:color w:val="FFFFFF"/>
              </w:rPr>
              <w:t>Design Guidance</w:t>
            </w:r>
          </w:p>
        </w:tc>
      </w:tr>
    </w:tbl>
    <w:p w14:paraId="1DF0AA91" w14:textId="3FB99A71" w:rsidR="001D59C7" w:rsidRPr="00256000" w:rsidRDefault="003553A7" w:rsidP="001D59C7">
      <w:r>
        <w:t>The following guidance is provided for designing backup for c</w:t>
      </w:r>
      <w:r w:rsidR="001D59C7" w:rsidRPr="00256000">
        <w:t xml:space="preserve">loud </w:t>
      </w:r>
      <w:r>
        <w:t xml:space="preserve">packages and </w:t>
      </w:r>
      <w:r w:rsidR="001D59C7" w:rsidRPr="00256000">
        <w:t>configuration using Azure Storage:</w:t>
      </w:r>
    </w:p>
    <w:tbl>
      <w:tblPr>
        <w:tblStyle w:val="PlainTable11"/>
        <w:tblW w:w="0" w:type="auto"/>
        <w:tblLook w:val="0420" w:firstRow="1" w:lastRow="0" w:firstColumn="0" w:lastColumn="0" w:noHBand="0" w:noVBand="1"/>
      </w:tblPr>
      <w:tblGrid>
        <w:gridCol w:w="2609"/>
        <w:gridCol w:w="6741"/>
      </w:tblGrid>
      <w:tr w:rsidR="003553A7" w:rsidRPr="00BF7F28" w14:paraId="17FB62DB" w14:textId="77777777" w:rsidTr="00BF7F28">
        <w:trPr>
          <w:cnfStyle w:val="100000000000" w:firstRow="1" w:lastRow="0" w:firstColumn="0" w:lastColumn="0" w:oddVBand="0" w:evenVBand="0" w:oddHBand="0" w:evenHBand="0" w:firstRowFirstColumn="0" w:firstRowLastColumn="0" w:lastRowFirstColumn="0" w:lastRowLastColumn="0"/>
        </w:trPr>
        <w:tc>
          <w:tcPr>
            <w:tcW w:w="0" w:type="auto"/>
            <w:shd w:val="clear" w:color="auto" w:fill="808080" w:themeFill="background1" w:themeFillShade="80"/>
            <w:hideMark/>
          </w:tcPr>
          <w:p w14:paraId="112C1A7E" w14:textId="77777777" w:rsidR="003553A7" w:rsidRPr="00BF7F28" w:rsidRDefault="003553A7" w:rsidP="00A37E0E">
            <w:pPr>
              <w:spacing w:line="240" w:lineRule="auto"/>
              <w:rPr>
                <w:rFonts w:eastAsia="Calibri"/>
                <w:bCs w:val="0"/>
                <w:color w:val="FFFFFF"/>
                <w:szCs w:val="20"/>
                <w:lang w:eastAsia="en-AU"/>
              </w:rPr>
            </w:pPr>
            <w:r w:rsidRPr="00BF7F28">
              <w:rPr>
                <w:rFonts w:eastAsia="Calibri"/>
                <w:bCs w:val="0"/>
                <w:color w:val="FFFFFF"/>
                <w:szCs w:val="20"/>
                <w:lang w:eastAsia="en-AU"/>
              </w:rPr>
              <w:t>Capability Considerations</w:t>
            </w:r>
          </w:p>
        </w:tc>
        <w:tc>
          <w:tcPr>
            <w:tcW w:w="6741" w:type="dxa"/>
            <w:shd w:val="clear" w:color="auto" w:fill="808080" w:themeFill="background1" w:themeFillShade="80"/>
            <w:hideMark/>
          </w:tcPr>
          <w:p w14:paraId="64011123" w14:textId="77777777" w:rsidR="003553A7" w:rsidRPr="00BF7F28" w:rsidRDefault="003553A7" w:rsidP="00A37E0E">
            <w:pPr>
              <w:spacing w:line="240" w:lineRule="auto"/>
              <w:rPr>
                <w:rFonts w:eastAsia="Calibri"/>
                <w:bCs w:val="0"/>
                <w:color w:val="FFFFFF"/>
                <w:szCs w:val="20"/>
                <w:lang w:eastAsia="en-AU"/>
              </w:rPr>
            </w:pPr>
            <w:r w:rsidRPr="00BF7F28">
              <w:rPr>
                <w:rFonts w:eastAsia="Calibri"/>
                <w:bCs w:val="0"/>
                <w:color w:val="FFFFFF"/>
                <w:szCs w:val="20"/>
                <w:lang w:eastAsia="en-AU"/>
              </w:rPr>
              <w:t>Capability Decision Points</w:t>
            </w:r>
          </w:p>
        </w:tc>
      </w:tr>
      <w:tr w:rsidR="00E72B79" w14:paraId="35DD2AE8" w14:textId="77777777" w:rsidTr="00BF7F28">
        <w:trPr>
          <w:cnfStyle w:val="000000100000" w:firstRow="0" w:lastRow="0" w:firstColumn="0" w:lastColumn="0" w:oddVBand="0" w:evenVBand="0" w:oddHBand="1" w:evenHBand="0" w:firstRowFirstColumn="0" w:firstRowLastColumn="0" w:lastRowFirstColumn="0" w:lastRowLastColumn="0"/>
        </w:trPr>
        <w:tc>
          <w:tcPr>
            <w:tcW w:w="0" w:type="auto"/>
          </w:tcPr>
          <w:p w14:paraId="220C17B2" w14:textId="5CC8CF9D" w:rsidR="00E72B79" w:rsidRPr="008434C5" w:rsidRDefault="00E72B79" w:rsidP="00E72B79">
            <w:pPr>
              <w:rPr>
                <w:rFonts w:cs="Segoe UI"/>
                <w:b/>
                <w:sz w:val="20"/>
                <w:szCs w:val="20"/>
              </w:rPr>
            </w:pPr>
            <w:r w:rsidRPr="008434C5">
              <w:rPr>
                <w:rFonts w:cs="Segoe UI"/>
                <w:b/>
                <w:sz w:val="20"/>
                <w:szCs w:val="20"/>
              </w:rPr>
              <w:t>Containers</w:t>
            </w:r>
          </w:p>
        </w:tc>
        <w:tc>
          <w:tcPr>
            <w:tcW w:w="6741" w:type="dxa"/>
          </w:tcPr>
          <w:p w14:paraId="1ED197EC" w14:textId="77777777" w:rsidR="00E72B79" w:rsidRPr="008434C5" w:rsidRDefault="00E72B79" w:rsidP="00E72B79">
            <w:pPr>
              <w:rPr>
                <w:sz w:val="20"/>
                <w:szCs w:val="20"/>
              </w:rPr>
            </w:pPr>
            <w:r w:rsidRPr="008434C5">
              <w:rPr>
                <w:sz w:val="20"/>
                <w:szCs w:val="20"/>
              </w:rPr>
              <w:t xml:space="preserve">Create containers </w:t>
            </w:r>
            <w:r>
              <w:rPr>
                <w:sz w:val="20"/>
                <w:szCs w:val="20"/>
              </w:rPr>
              <w:t xml:space="preserve">that </w:t>
            </w:r>
            <w:r w:rsidRPr="008434C5">
              <w:rPr>
                <w:sz w:val="20"/>
                <w:szCs w:val="20"/>
              </w:rPr>
              <w:t>represent each of your environment’s deployment stor</w:t>
            </w:r>
            <w:r>
              <w:rPr>
                <w:sz w:val="20"/>
                <w:szCs w:val="20"/>
              </w:rPr>
              <w:t>ies</w:t>
            </w:r>
            <w:r w:rsidRPr="008434C5">
              <w:rPr>
                <w:sz w:val="20"/>
                <w:szCs w:val="20"/>
              </w:rPr>
              <w:t xml:space="preserve"> (</w:t>
            </w:r>
            <w:r>
              <w:rPr>
                <w:sz w:val="20"/>
                <w:szCs w:val="20"/>
              </w:rPr>
              <w:t>for example,</w:t>
            </w:r>
            <w:r w:rsidRPr="008434C5">
              <w:rPr>
                <w:sz w:val="20"/>
                <w:szCs w:val="20"/>
              </w:rPr>
              <w:t xml:space="preserve"> </w:t>
            </w:r>
            <w:r>
              <w:rPr>
                <w:sz w:val="20"/>
                <w:szCs w:val="20"/>
              </w:rPr>
              <w:t>d</w:t>
            </w:r>
            <w:r w:rsidRPr="008434C5">
              <w:rPr>
                <w:sz w:val="20"/>
                <w:szCs w:val="20"/>
              </w:rPr>
              <w:t xml:space="preserve">aily </w:t>
            </w:r>
            <w:r>
              <w:rPr>
                <w:sz w:val="20"/>
                <w:szCs w:val="20"/>
              </w:rPr>
              <w:t>b</w:t>
            </w:r>
            <w:r w:rsidRPr="008434C5">
              <w:rPr>
                <w:sz w:val="20"/>
                <w:szCs w:val="20"/>
              </w:rPr>
              <w:t xml:space="preserve">uilds, </w:t>
            </w:r>
            <w:r>
              <w:rPr>
                <w:sz w:val="20"/>
                <w:szCs w:val="20"/>
              </w:rPr>
              <w:t>m</w:t>
            </w:r>
            <w:r w:rsidRPr="008434C5">
              <w:rPr>
                <w:sz w:val="20"/>
                <w:szCs w:val="20"/>
              </w:rPr>
              <w:t xml:space="preserve">anual builds, </w:t>
            </w:r>
            <w:r>
              <w:rPr>
                <w:sz w:val="20"/>
                <w:szCs w:val="20"/>
              </w:rPr>
              <w:t>and d</w:t>
            </w:r>
            <w:r w:rsidRPr="008434C5">
              <w:rPr>
                <w:sz w:val="20"/>
                <w:szCs w:val="20"/>
              </w:rPr>
              <w:t xml:space="preserve">ynamic </w:t>
            </w:r>
            <w:r>
              <w:rPr>
                <w:sz w:val="20"/>
                <w:szCs w:val="20"/>
              </w:rPr>
              <w:t>b</w:t>
            </w:r>
            <w:r w:rsidRPr="008434C5">
              <w:rPr>
                <w:sz w:val="20"/>
                <w:szCs w:val="20"/>
              </w:rPr>
              <w:t>uilds)</w:t>
            </w:r>
          </w:p>
          <w:p w14:paraId="220506A8" w14:textId="77777777" w:rsidR="00E72B79" w:rsidRPr="008434C5" w:rsidRDefault="00E72B79" w:rsidP="00E72B79">
            <w:pPr>
              <w:rPr>
                <w:rFonts w:cs="Segoe UI"/>
                <w:sz w:val="20"/>
                <w:szCs w:val="20"/>
              </w:rPr>
            </w:pPr>
          </w:p>
        </w:tc>
      </w:tr>
      <w:tr w:rsidR="00E72B79" w14:paraId="1C02594C" w14:textId="77777777" w:rsidTr="00BF7F28">
        <w:tc>
          <w:tcPr>
            <w:tcW w:w="0" w:type="auto"/>
          </w:tcPr>
          <w:p w14:paraId="00C3D1E3" w14:textId="39885DD8" w:rsidR="00E72B79" w:rsidRPr="008434C5" w:rsidRDefault="00E72B79" w:rsidP="00E72B79">
            <w:pPr>
              <w:pStyle w:val="NormalWeb"/>
              <w:spacing w:line="256" w:lineRule="auto"/>
              <w:rPr>
                <w:rFonts w:ascii="Segoe UI" w:hAnsi="Segoe UI" w:cs="Segoe UI"/>
                <w:b/>
                <w:sz w:val="20"/>
                <w:szCs w:val="20"/>
                <w:lang w:val="en-AU" w:eastAsia="en-AU"/>
              </w:rPr>
            </w:pPr>
            <w:r w:rsidRPr="008434C5">
              <w:rPr>
                <w:rFonts w:ascii="Segoe UI" w:hAnsi="Segoe UI" w:cs="Segoe UI"/>
                <w:b/>
                <w:sz w:val="20"/>
                <w:szCs w:val="20"/>
                <w:lang w:val="en-AU" w:eastAsia="en-AU"/>
              </w:rPr>
              <w:t xml:space="preserve">Naming </w:t>
            </w:r>
            <w:r>
              <w:rPr>
                <w:rFonts w:ascii="Segoe UI" w:hAnsi="Segoe UI" w:cs="Segoe UI"/>
                <w:b/>
                <w:sz w:val="20"/>
                <w:szCs w:val="20"/>
                <w:lang w:val="en-AU" w:eastAsia="en-AU"/>
              </w:rPr>
              <w:t>c</w:t>
            </w:r>
            <w:r w:rsidRPr="008434C5">
              <w:rPr>
                <w:rFonts w:ascii="Segoe UI" w:hAnsi="Segoe UI" w:cs="Segoe UI"/>
                <w:b/>
                <w:sz w:val="20"/>
                <w:szCs w:val="20"/>
                <w:lang w:val="en-AU" w:eastAsia="en-AU"/>
              </w:rPr>
              <w:t>onventions</w:t>
            </w:r>
          </w:p>
        </w:tc>
        <w:tc>
          <w:tcPr>
            <w:tcW w:w="6741" w:type="dxa"/>
          </w:tcPr>
          <w:p w14:paraId="3F8509ED" w14:textId="7564FB98" w:rsidR="00E72B79" w:rsidRPr="008434C5" w:rsidRDefault="00E72B79" w:rsidP="00E72B79">
            <w:pPr>
              <w:rPr>
                <w:rFonts w:cs="Segoe UI"/>
                <w:sz w:val="20"/>
                <w:szCs w:val="20"/>
              </w:rPr>
            </w:pPr>
            <w:r w:rsidRPr="008434C5">
              <w:rPr>
                <w:rFonts w:cs="Segoe UI"/>
                <w:sz w:val="20"/>
                <w:szCs w:val="20"/>
              </w:rPr>
              <w:t xml:space="preserve">Have a solid naming convention for each binary file </w:t>
            </w:r>
            <w:r>
              <w:rPr>
                <w:rFonts w:cs="Segoe UI"/>
                <w:sz w:val="20"/>
                <w:szCs w:val="20"/>
              </w:rPr>
              <w:t>and for your</w:t>
            </w:r>
            <w:r w:rsidRPr="008434C5">
              <w:rPr>
                <w:rFonts w:cs="Segoe UI"/>
                <w:sz w:val="20"/>
                <w:szCs w:val="20"/>
              </w:rPr>
              <w:t xml:space="preserve"> overall build structure (</w:t>
            </w:r>
            <w:r>
              <w:rPr>
                <w:rFonts w:cs="Segoe UI"/>
                <w:sz w:val="20"/>
                <w:szCs w:val="20"/>
              </w:rPr>
              <w:t>for example,</w:t>
            </w:r>
            <w:r w:rsidRPr="008434C5">
              <w:rPr>
                <w:rFonts w:cs="Segoe UI"/>
                <w:sz w:val="20"/>
                <w:szCs w:val="20"/>
              </w:rPr>
              <w:t xml:space="preserve"> Build2015.418.2338</w:t>
            </w:r>
            <w:r>
              <w:rPr>
                <w:rFonts w:cs="Segoe UI"/>
                <w:sz w:val="20"/>
                <w:szCs w:val="20"/>
              </w:rPr>
              <w:t xml:space="preserve"> and</w:t>
            </w:r>
            <w:r w:rsidRPr="008434C5">
              <w:rPr>
                <w:rFonts w:cs="Segoe UI"/>
                <w:sz w:val="20"/>
                <w:szCs w:val="20"/>
              </w:rPr>
              <w:t xml:space="preserve"> ContosoClientGatewayPaas.csfg) </w:t>
            </w:r>
          </w:p>
          <w:p w14:paraId="05F4D0FE" w14:textId="77777777" w:rsidR="00E72B79" w:rsidRPr="008434C5" w:rsidRDefault="00E72B79" w:rsidP="00E72B79">
            <w:pPr>
              <w:rPr>
                <w:rFonts w:cs="Segoe UI"/>
                <w:sz w:val="20"/>
                <w:szCs w:val="20"/>
              </w:rPr>
            </w:pPr>
          </w:p>
        </w:tc>
      </w:tr>
      <w:tr w:rsidR="00E72B79" w14:paraId="306B2FC1" w14:textId="77777777" w:rsidTr="00BF7F28">
        <w:trPr>
          <w:cnfStyle w:val="000000100000" w:firstRow="0" w:lastRow="0" w:firstColumn="0" w:lastColumn="0" w:oddVBand="0" w:evenVBand="0" w:oddHBand="1" w:evenHBand="0" w:firstRowFirstColumn="0" w:firstRowLastColumn="0" w:lastRowFirstColumn="0" w:lastRowLastColumn="0"/>
        </w:trPr>
        <w:tc>
          <w:tcPr>
            <w:tcW w:w="0" w:type="auto"/>
          </w:tcPr>
          <w:p w14:paraId="212874DB" w14:textId="75CC7853" w:rsidR="00E72B79" w:rsidRPr="008434C5" w:rsidRDefault="00E72B79" w:rsidP="00E72B79">
            <w:pPr>
              <w:pStyle w:val="NormalWeb"/>
              <w:spacing w:line="256" w:lineRule="auto"/>
              <w:rPr>
                <w:rFonts w:ascii="Segoe UI" w:hAnsi="Segoe UI" w:cs="Segoe UI"/>
                <w:b/>
                <w:sz w:val="20"/>
                <w:szCs w:val="20"/>
                <w:lang w:val="en-AU" w:eastAsia="en-AU"/>
              </w:rPr>
            </w:pPr>
            <w:r>
              <w:rPr>
                <w:rFonts w:ascii="Segoe UI" w:hAnsi="Segoe UI" w:cs="Segoe UI"/>
                <w:b/>
                <w:sz w:val="20"/>
                <w:szCs w:val="20"/>
                <w:lang w:val="en-AU" w:eastAsia="en-AU"/>
              </w:rPr>
              <w:t>C</w:t>
            </w:r>
            <w:r w:rsidRPr="008434C5">
              <w:rPr>
                <w:rFonts w:ascii="Segoe UI" w:hAnsi="Segoe UI" w:cs="Segoe UI"/>
                <w:b/>
                <w:sz w:val="20"/>
                <w:szCs w:val="20"/>
                <w:lang w:val="en-AU" w:eastAsia="en-AU"/>
              </w:rPr>
              <w:t xml:space="preserve">ontinuous </w:t>
            </w:r>
            <w:r>
              <w:rPr>
                <w:rFonts w:ascii="Segoe UI" w:hAnsi="Segoe UI" w:cs="Segoe UI"/>
                <w:b/>
                <w:sz w:val="20"/>
                <w:szCs w:val="20"/>
                <w:lang w:val="en-AU" w:eastAsia="en-AU"/>
              </w:rPr>
              <w:t>r</w:t>
            </w:r>
            <w:r w:rsidRPr="008434C5">
              <w:rPr>
                <w:rFonts w:ascii="Segoe UI" w:hAnsi="Segoe UI" w:cs="Segoe UI"/>
                <w:b/>
                <w:sz w:val="20"/>
                <w:szCs w:val="20"/>
                <w:lang w:val="en-AU" w:eastAsia="en-AU"/>
              </w:rPr>
              <w:t>elease management</w:t>
            </w:r>
          </w:p>
        </w:tc>
        <w:tc>
          <w:tcPr>
            <w:tcW w:w="6741" w:type="dxa"/>
          </w:tcPr>
          <w:p w14:paraId="3311E8B4" w14:textId="77777777" w:rsidR="00E72B79" w:rsidRPr="008434C5" w:rsidRDefault="00E72B79" w:rsidP="00E72B79">
            <w:pPr>
              <w:pStyle w:val="ListParagraph"/>
              <w:numPr>
                <w:ilvl w:val="0"/>
                <w:numId w:val="8"/>
              </w:numPr>
              <w:rPr>
                <w:rFonts w:cs="Segoe UI"/>
                <w:sz w:val="20"/>
                <w:szCs w:val="20"/>
                <w:lang w:val="en-AU" w:eastAsia="en-AU"/>
              </w:rPr>
            </w:pPr>
            <w:r w:rsidRPr="008434C5">
              <w:rPr>
                <w:rFonts w:cs="Segoe UI"/>
                <w:sz w:val="20"/>
                <w:szCs w:val="20"/>
                <w:lang w:val="en-AU" w:eastAsia="en-AU"/>
              </w:rPr>
              <w:t xml:space="preserve">Consider using </w:t>
            </w:r>
            <w:r w:rsidRPr="008434C5">
              <w:rPr>
                <w:sz w:val="20"/>
                <w:szCs w:val="20"/>
                <w:lang w:val="en-AU" w:eastAsia="en-AU"/>
              </w:rPr>
              <w:t>A</w:t>
            </w:r>
            <w:r w:rsidRPr="008434C5">
              <w:rPr>
                <w:rFonts w:cs="Segoe UI"/>
                <w:sz w:val="20"/>
                <w:szCs w:val="20"/>
                <w:lang w:val="en-AU" w:eastAsia="en-AU"/>
              </w:rPr>
              <w:t xml:space="preserve">zure </w:t>
            </w:r>
            <w:r>
              <w:rPr>
                <w:rFonts w:cs="Segoe UI"/>
                <w:sz w:val="20"/>
                <w:szCs w:val="20"/>
                <w:lang w:val="en-AU" w:eastAsia="en-AU"/>
              </w:rPr>
              <w:t>S</w:t>
            </w:r>
            <w:r w:rsidRPr="008434C5">
              <w:rPr>
                <w:rFonts w:cs="Segoe UI"/>
                <w:sz w:val="20"/>
                <w:szCs w:val="20"/>
                <w:lang w:val="en-AU" w:eastAsia="en-AU"/>
              </w:rPr>
              <w:t xml:space="preserve">torage to stage the deployments to your </w:t>
            </w:r>
            <w:r>
              <w:rPr>
                <w:rFonts w:cs="Segoe UI"/>
                <w:sz w:val="20"/>
                <w:szCs w:val="20"/>
                <w:lang w:val="en-AU" w:eastAsia="en-AU"/>
              </w:rPr>
              <w:t>A</w:t>
            </w:r>
            <w:r w:rsidRPr="008434C5">
              <w:rPr>
                <w:rFonts w:cs="Segoe UI"/>
                <w:sz w:val="20"/>
                <w:szCs w:val="20"/>
                <w:lang w:val="en-AU" w:eastAsia="en-AU"/>
              </w:rPr>
              <w:t xml:space="preserve">zure application </w:t>
            </w:r>
            <w:r>
              <w:rPr>
                <w:rFonts w:cs="Segoe UI"/>
                <w:sz w:val="20"/>
                <w:szCs w:val="20"/>
                <w:lang w:val="en-AU" w:eastAsia="en-AU"/>
              </w:rPr>
              <w:t>and</w:t>
            </w:r>
            <w:r w:rsidRPr="008434C5">
              <w:rPr>
                <w:rFonts w:cs="Segoe UI"/>
                <w:sz w:val="20"/>
                <w:szCs w:val="20"/>
                <w:lang w:val="en-AU" w:eastAsia="en-AU"/>
              </w:rPr>
              <w:t xml:space="preserve"> also as a short term repository of versions.</w:t>
            </w:r>
          </w:p>
          <w:p w14:paraId="2EF60D5B" w14:textId="51191D41" w:rsidR="00E72B79" w:rsidRPr="008434C5" w:rsidRDefault="00E72B79" w:rsidP="00E72B79">
            <w:pPr>
              <w:pStyle w:val="ListParagraph"/>
              <w:numPr>
                <w:ilvl w:val="0"/>
                <w:numId w:val="8"/>
              </w:numPr>
              <w:rPr>
                <w:sz w:val="20"/>
                <w:szCs w:val="20"/>
              </w:rPr>
            </w:pPr>
            <w:r w:rsidRPr="008434C5">
              <w:rPr>
                <w:rFonts w:cs="Segoe UI"/>
                <w:sz w:val="20"/>
                <w:szCs w:val="20"/>
                <w:lang w:val="en-AU" w:eastAsia="en-AU"/>
              </w:rPr>
              <w:t xml:space="preserve">Ensure you have a proper naming convention when saving your files to </w:t>
            </w:r>
            <w:r>
              <w:rPr>
                <w:rFonts w:cs="Segoe UI"/>
                <w:sz w:val="20"/>
                <w:szCs w:val="20"/>
                <w:lang w:val="en-AU" w:eastAsia="en-AU"/>
              </w:rPr>
              <w:t>A</w:t>
            </w:r>
            <w:r w:rsidRPr="008434C5">
              <w:rPr>
                <w:rFonts w:cs="Segoe UI"/>
                <w:sz w:val="20"/>
                <w:szCs w:val="20"/>
                <w:lang w:val="en-AU" w:eastAsia="en-AU"/>
              </w:rPr>
              <w:t xml:space="preserve">zure </w:t>
            </w:r>
            <w:r>
              <w:rPr>
                <w:rFonts w:cs="Segoe UI"/>
                <w:sz w:val="20"/>
                <w:szCs w:val="20"/>
                <w:lang w:val="en-AU" w:eastAsia="en-AU"/>
              </w:rPr>
              <w:t>S</w:t>
            </w:r>
            <w:r w:rsidRPr="008434C5">
              <w:rPr>
                <w:rFonts w:cs="Segoe UI"/>
                <w:sz w:val="20"/>
                <w:szCs w:val="20"/>
                <w:lang w:val="en-AU" w:eastAsia="en-AU"/>
              </w:rPr>
              <w:t>torage.</w:t>
            </w:r>
          </w:p>
        </w:tc>
      </w:tr>
    </w:tbl>
    <w:p w14:paraId="52ED9D83" w14:textId="77777777" w:rsidR="001D59C7" w:rsidRDefault="001D59C7" w:rsidP="00824431"/>
    <w:p w14:paraId="6C2F180D" w14:textId="18A6F693" w:rsidR="00682E4A" w:rsidRDefault="00E72B79" w:rsidP="005729D2">
      <w:pPr>
        <w:pStyle w:val="Heading3Numbered"/>
        <w:numPr>
          <w:ilvl w:val="2"/>
          <w:numId w:val="64"/>
        </w:numPr>
      </w:pPr>
      <w:bookmarkStart w:id="7111" w:name="_Toc418003941"/>
      <w:bookmarkStart w:id="7112" w:name="_Toc418012146"/>
      <w:bookmarkStart w:id="7113" w:name="_Toc418014675"/>
      <w:bookmarkStart w:id="7114" w:name="_Toc418030164"/>
      <w:bookmarkStart w:id="7115" w:name="_Toc417314801"/>
      <w:bookmarkStart w:id="7116" w:name="_Toc417323818"/>
      <w:bookmarkStart w:id="7117" w:name="_Toc417326908"/>
      <w:bookmarkStart w:id="7118" w:name="_Toc417330456"/>
      <w:bookmarkStart w:id="7119" w:name="_Toc417395063"/>
      <w:bookmarkStart w:id="7120" w:name="_Toc417419651"/>
      <w:bookmarkStart w:id="7121" w:name="_Toc417457423"/>
      <w:bookmarkStart w:id="7122" w:name="_Toc417482001"/>
      <w:bookmarkStart w:id="7123" w:name="_Toc417482259"/>
      <w:bookmarkStart w:id="7124" w:name="_Toc417499978"/>
      <w:bookmarkStart w:id="7125" w:name="_Toc417502799"/>
      <w:bookmarkStart w:id="7126" w:name="_Toc417548387"/>
      <w:bookmarkStart w:id="7127" w:name="_Toc417594630"/>
      <w:bookmarkStart w:id="7128" w:name="_Toc417934760"/>
      <w:bookmarkStart w:id="7129" w:name="_Toc417936097"/>
      <w:bookmarkStart w:id="7130" w:name="_Toc417936559"/>
      <w:bookmarkStart w:id="7131" w:name="_Toc417946975"/>
      <w:bookmarkStart w:id="7132" w:name="_Toc417947445"/>
      <w:bookmarkStart w:id="7133" w:name="_Toc417982586"/>
      <w:bookmarkStart w:id="7134" w:name="_Toc417986067"/>
      <w:bookmarkStart w:id="7135" w:name="_Toc418000732"/>
      <w:bookmarkStart w:id="7136" w:name="_Toc418037010"/>
      <w:bookmarkStart w:id="7137" w:name="_Toc418061482"/>
      <w:bookmarkStart w:id="7138" w:name="_Toc418081383"/>
      <w:bookmarkStart w:id="7139" w:name="_Toc418083413"/>
      <w:bookmarkStart w:id="7140" w:name="_Toc418096179"/>
      <w:bookmarkStart w:id="7141" w:name="_Toc418156781"/>
      <w:bookmarkStart w:id="7142" w:name="_Toc418167698"/>
      <w:bookmarkStart w:id="7143" w:name="_Toc418185954"/>
      <w:bookmarkStart w:id="7144" w:name="_Toc422941668"/>
      <w:bookmarkStart w:id="7145" w:name="_Toc423116880"/>
      <w:bookmarkStart w:id="7146" w:name="_Toc423117913"/>
      <w:bookmarkStart w:id="7147" w:name="_Toc423117360"/>
      <w:bookmarkStart w:id="7148" w:name="_Toc423464715"/>
      <w:bookmarkStart w:id="7149" w:name="_Toc431288959"/>
      <w:bookmarkStart w:id="7150" w:name="_Toc417401336"/>
      <w:bookmarkStart w:id="7151" w:name="_Toc417399282"/>
      <w:bookmarkStart w:id="7152" w:name="_Toc417399441"/>
      <w:bookmarkStart w:id="7153" w:name="_Toc417400488"/>
      <w:bookmarkEnd w:id="7101"/>
      <w:bookmarkEnd w:id="7102"/>
      <w:bookmarkEnd w:id="7103"/>
      <w:bookmarkEnd w:id="7104"/>
      <w:bookmarkEnd w:id="7105"/>
      <w:bookmarkEnd w:id="7106"/>
      <w:bookmarkEnd w:id="7107"/>
      <w:bookmarkEnd w:id="7108"/>
      <w:bookmarkEnd w:id="7109"/>
      <w:bookmarkEnd w:id="7110"/>
      <w:r>
        <w:t>Third-Party Backup Using Azure Storage</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bookmarkEnd w:id="7150"/>
    <w:bookmarkEnd w:id="7151"/>
    <w:bookmarkEnd w:id="7152"/>
    <w:bookmarkEnd w:id="7153"/>
    <w:p w14:paraId="075702DA" w14:textId="5AF1DA44" w:rsidR="003553A7" w:rsidRDefault="00E72B79" w:rsidP="003553A7">
      <w:r>
        <w:t>There are multiple third-party backup applications that are used to back up an organization’s data to Azure Storage. The following table describes a few</w:t>
      </w:r>
      <w:r w:rsidR="003553A7">
        <w:t>:</w:t>
      </w:r>
    </w:p>
    <w:tbl>
      <w:tblPr>
        <w:tblStyle w:val="PlainTable11"/>
        <w:tblW w:w="0" w:type="auto"/>
        <w:tblLook w:val="04A0" w:firstRow="1" w:lastRow="0" w:firstColumn="1" w:lastColumn="0" w:noHBand="0" w:noVBand="1"/>
      </w:tblPr>
      <w:tblGrid>
        <w:gridCol w:w="2605"/>
        <w:gridCol w:w="6660"/>
      </w:tblGrid>
      <w:tr w:rsidR="003553A7" w:rsidRPr="00BF7F28" w14:paraId="131958F0" w14:textId="77777777" w:rsidTr="00BF7F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5" w:type="dxa"/>
            <w:shd w:val="clear" w:color="auto" w:fill="808080" w:themeFill="background1" w:themeFillShade="80"/>
            <w:hideMark/>
          </w:tcPr>
          <w:p w14:paraId="168AA773" w14:textId="77777777" w:rsidR="003553A7" w:rsidRPr="00BF7F28" w:rsidRDefault="003553A7" w:rsidP="00A37E0E">
            <w:pPr>
              <w:spacing w:line="240" w:lineRule="auto"/>
              <w:rPr>
                <w:rFonts w:eastAsia="Calibri"/>
                <w:bCs w:val="0"/>
                <w:color w:val="FFFFFF"/>
                <w:szCs w:val="20"/>
                <w:lang w:eastAsia="en-AU"/>
              </w:rPr>
            </w:pPr>
            <w:r w:rsidRPr="00BF7F28">
              <w:rPr>
                <w:rFonts w:eastAsia="Calibri"/>
                <w:bCs w:val="0"/>
                <w:color w:val="FFFFFF"/>
                <w:szCs w:val="20"/>
                <w:lang w:eastAsia="en-AU"/>
              </w:rPr>
              <w:t xml:space="preserve">Solution </w:t>
            </w:r>
          </w:p>
        </w:tc>
        <w:tc>
          <w:tcPr>
            <w:tcW w:w="6660" w:type="dxa"/>
            <w:shd w:val="clear" w:color="auto" w:fill="808080" w:themeFill="background1" w:themeFillShade="80"/>
            <w:hideMark/>
          </w:tcPr>
          <w:p w14:paraId="6046B1A1" w14:textId="77777777" w:rsidR="003553A7" w:rsidRPr="00BF7F28" w:rsidRDefault="003553A7" w:rsidP="00A37E0E">
            <w:pPr>
              <w:spacing w:line="240" w:lineRule="auto"/>
              <w:cnfStyle w:val="100000000000" w:firstRow="1" w:lastRow="0" w:firstColumn="0" w:lastColumn="0" w:oddVBand="0" w:evenVBand="0" w:oddHBand="0" w:evenHBand="0" w:firstRowFirstColumn="0" w:firstRowLastColumn="0" w:lastRowFirstColumn="0" w:lastRowLastColumn="0"/>
              <w:rPr>
                <w:rFonts w:eastAsia="Calibri"/>
                <w:bCs w:val="0"/>
                <w:color w:val="FFFFFF"/>
                <w:szCs w:val="20"/>
                <w:lang w:eastAsia="en-AU"/>
              </w:rPr>
            </w:pPr>
            <w:r w:rsidRPr="00BF7F28">
              <w:rPr>
                <w:rFonts w:eastAsia="Calibri"/>
                <w:bCs w:val="0"/>
                <w:color w:val="FFFFFF"/>
                <w:szCs w:val="20"/>
                <w:lang w:eastAsia="en-AU"/>
              </w:rPr>
              <w:t>Summary</w:t>
            </w:r>
          </w:p>
        </w:tc>
      </w:tr>
      <w:tr w:rsidR="00A54EDA" w14:paraId="6DD009FD"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5" w:type="dxa"/>
          </w:tcPr>
          <w:p w14:paraId="6659D2D6" w14:textId="77777777" w:rsidR="00A54EDA" w:rsidRPr="008B691C" w:rsidRDefault="00872E47" w:rsidP="00A54EDA">
            <w:pPr>
              <w:rPr>
                <w:b w:val="0"/>
                <w:sz w:val="20"/>
                <w:szCs w:val="20"/>
              </w:rPr>
            </w:pPr>
            <w:hyperlink r:id="rId624" w:history="1">
              <w:r w:rsidR="00A54EDA" w:rsidRPr="008B691C">
                <w:rPr>
                  <w:rStyle w:val="Hyperlink"/>
                  <w:b w:val="0"/>
                  <w:sz w:val="20"/>
                  <w:szCs w:val="20"/>
                </w:rPr>
                <w:t>CloudBerry Backup</w:t>
              </w:r>
            </w:hyperlink>
          </w:p>
          <w:p w14:paraId="14A5C623" w14:textId="77777777" w:rsidR="00A54EDA" w:rsidRPr="008434C5" w:rsidRDefault="00A54EDA" w:rsidP="00A54EDA">
            <w:pPr>
              <w:rPr>
                <w:sz w:val="20"/>
                <w:szCs w:val="20"/>
              </w:rPr>
            </w:pPr>
          </w:p>
        </w:tc>
        <w:tc>
          <w:tcPr>
            <w:tcW w:w="6660" w:type="dxa"/>
          </w:tcPr>
          <w:p w14:paraId="36AEDFE4" w14:textId="00482268" w:rsidR="00A54EDA" w:rsidRPr="008434C5" w:rsidRDefault="00A54EDA" w:rsidP="00A54EDA">
            <w:pPr>
              <w:cnfStyle w:val="000000100000" w:firstRow="0" w:lastRow="0" w:firstColumn="0" w:lastColumn="0" w:oddVBand="0" w:evenVBand="0" w:oddHBand="1" w:evenHBand="0" w:firstRowFirstColumn="0" w:firstRowLastColumn="0" w:lastRowFirstColumn="0" w:lastRowLastColumn="0"/>
              <w:rPr>
                <w:sz w:val="20"/>
                <w:szCs w:val="20"/>
              </w:rPr>
            </w:pPr>
            <w:r w:rsidRPr="008434C5">
              <w:rPr>
                <w:sz w:val="20"/>
                <w:szCs w:val="20"/>
              </w:rPr>
              <w:t xml:space="preserve">CloudBerry Backup </w:t>
            </w:r>
            <w:r w:rsidRPr="008434C5">
              <w:rPr>
                <w:bCs/>
                <w:sz w:val="20"/>
                <w:szCs w:val="20"/>
              </w:rPr>
              <w:t xml:space="preserve">uploads files and folders from your </w:t>
            </w:r>
            <w:r>
              <w:rPr>
                <w:bCs/>
                <w:sz w:val="20"/>
                <w:szCs w:val="20"/>
              </w:rPr>
              <w:t xml:space="preserve">computer running </w:t>
            </w:r>
            <w:r w:rsidRPr="008434C5">
              <w:rPr>
                <w:bCs/>
                <w:sz w:val="20"/>
                <w:szCs w:val="20"/>
              </w:rPr>
              <w:t>Windows Server to Azure</w:t>
            </w:r>
            <w:r w:rsidRPr="008434C5">
              <w:rPr>
                <w:sz w:val="20"/>
                <w:szCs w:val="20"/>
              </w:rPr>
              <w:t xml:space="preserve"> and restores them in minutes. The software connects directly to</w:t>
            </w:r>
            <w:r>
              <w:rPr>
                <w:sz w:val="20"/>
                <w:szCs w:val="20"/>
              </w:rPr>
              <w:t xml:space="preserve"> an</w:t>
            </w:r>
            <w:r w:rsidRPr="008434C5">
              <w:rPr>
                <w:sz w:val="20"/>
                <w:szCs w:val="20"/>
              </w:rPr>
              <w:t xml:space="preserve"> Azure account and securely transfers backup files and folders to the cloud, serving as a transport between your </w:t>
            </w:r>
            <w:r>
              <w:rPr>
                <w:sz w:val="20"/>
                <w:szCs w:val="20"/>
              </w:rPr>
              <w:t xml:space="preserve">computer running </w:t>
            </w:r>
            <w:r w:rsidRPr="008434C5">
              <w:rPr>
                <w:sz w:val="20"/>
                <w:szCs w:val="20"/>
              </w:rPr>
              <w:t>Windows Server and Azure cloud storage</w:t>
            </w:r>
            <w:r>
              <w:rPr>
                <w:sz w:val="20"/>
                <w:szCs w:val="20"/>
              </w:rPr>
              <w:t>.</w:t>
            </w:r>
          </w:p>
        </w:tc>
      </w:tr>
      <w:tr w:rsidR="00A54EDA" w14:paraId="3D6C9019" w14:textId="77777777" w:rsidTr="00BF7F28">
        <w:tc>
          <w:tcPr>
            <w:cnfStyle w:val="001000000000" w:firstRow="0" w:lastRow="0" w:firstColumn="1" w:lastColumn="0" w:oddVBand="0" w:evenVBand="0" w:oddHBand="0" w:evenHBand="0" w:firstRowFirstColumn="0" w:firstRowLastColumn="0" w:lastRowFirstColumn="0" w:lastRowLastColumn="0"/>
            <w:tcW w:w="2605" w:type="dxa"/>
          </w:tcPr>
          <w:p w14:paraId="611C18C8" w14:textId="00DE5669" w:rsidR="00A54EDA" w:rsidRPr="008434C5" w:rsidRDefault="00872E47" w:rsidP="00A54EDA">
            <w:pPr>
              <w:rPr>
                <w:sz w:val="20"/>
                <w:szCs w:val="20"/>
              </w:rPr>
            </w:pPr>
            <w:hyperlink r:id="rId625" w:history="1">
              <w:r w:rsidR="00A54EDA" w:rsidRPr="008B691C">
                <w:rPr>
                  <w:rStyle w:val="Hyperlink"/>
                  <w:b w:val="0"/>
                  <w:sz w:val="20"/>
                  <w:szCs w:val="20"/>
                </w:rPr>
                <w:t xml:space="preserve">Seagate EVault Backup Services for </w:t>
              </w:r>
              <w:r w:rsidR="00A54EDA" w:rsidRPr="008B691C">
                <w:rPr>
                  <w:rStyle w:val="Hyperlink"/>
                  <w:b w:val="0"/>
                  <w:bCs w:val="0"/>
                  <w:sz w:val="20"/>
                  <w:szCs w:val="20"/>
                </w:rPr>
                <w:t>Microsoft Azure</w:t>
              </w:r>
            </w:hyperlink>
          </w:p>
        </w:tc>
        <w:tc>
          <w:tcPr>
            <w:tcW w:w="6660" w:type="dxa"/>
          </w:tcPr>
          <w:p w14:paraId="0DEFA3D3" w14:textId="2A5BC5F0" w:rsidR="00A54EDA" w:rsidRPr="008434C5" w:rsidRDefault="00A54EDA" w:rsidP="00A54EDA">
            <w:pPr>
              <w:cnfStyle w:val="000000000000" w:firstRow="0" w:lastRow="0" w:firstColumn="0" w:lastColumn="0" w:oddVBand="0" w:evenVBand="0" w:oddHBand="0" w:evenHBand="0" w:firstRowFirstColumn="0" w:firstRowLastColumn="0" w:lastRowFirstColumn="0" w:lastRowLastColumn="0"/>
              <w:rPr>
                <w:sz w:val="20"/>
                <w:szCs w:val="20"/>
              </w:rPr>
            </w:pPr>
            <w:r w:rsidRPr="008434C5">
              <w:rPr>
                <w:sz w:val="20"/>
                <w:szCs w:val="20"/>
              </w:rPr>
              <w:t>Cloud-based EVault Backup Services for Microsoft Azure gives you the flexibility, scalability, economy, and offsite protection of the cloud without any up</w:t>
            </w:r>
            <w:r>
              <w:rPr>
                <w:sz w:val="20"/>
                <w:szCs w:val="20"/>
              </w:rPr>
              <w:t>-</w:t>
            </w:r>
            <w:r w:rsidRPr="008434C5">
              <w:rPr>
                <w:sz w:val="20"/>
                <w:szCs w:val="20"/>
              </w:rPr>
              <w:t>front capital expenses</w:t>
            </w:r>
            <w:r>
              <w:rPr>
                <w:sz w:val="20"/>
                <w:szCs w:val="20"/>
              </w:rPr>
              <w:t>.</w:t>
            </w:r>
          </w:p>
        </w:tc>
      </w:tr>
      <w:tr w:rsidR="00A54EDA" w14:paraId="521F72DB"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5" w:type="dxa"/>
          </w:tcPr>
          <w:p w14:paraId="1DC54F99" w14:textId="77777777" w:rsidR="00A54EDA" w:rsidRPr="008B691C" w:rsidRDefault="00872E47" w:rsidP="00A54EDA">
            <w:pPr>
              <w:rPr>
                <w:b w:val="0"/>
                <w:sz w:val="20"/>
                <w:szCs w:val="20"/>
              </w:rPr>
            </w:pPr>
            <w:hyperlink r:id="rId626" w:history="1">
              <w:r w:rsidR="00A54EDA" w:rsidRPr="008B691C">
                <w:rPr>
                  <w:rStyle w:val="Hyperlink"/>
                  <w:b w:val="0"/>
                  <w:sz w:val="20"/>
                  <w:szCs w:val="20"/>
                </w:rPr>
                <w:t>Uranium Backup</w:t>
              </w:r>
            </w:hyperlink>
          </w:p>
          <w:p w14:paraId="357D0C9E" w14:textId="77777777" w:rsidR="00A54EDA" w:rsidRPr="008434C5" w:rsidRDefault="00A54EDA" w:rsidP="00A54EDA">
            <w:pPr>
              <w:pStyle w:val="NormalWeb"/>
              <w:spacing w:line="256" w:lineRule="auto"/>
              <w:rPr>
                <w:rFonts w:ascii="Segoe UI" w:hAnsi="Segoe UI" w:cs="Segoe UI"/>
                <w:sz w:val="20"/>
                <w:szCs w:val="20"/>
                <w:lang w:val="en-AU" w:eastAsia="en-AU"/>
              </w:rPr>
            </w:pPr>
          </w:p>
        </w:tc>
        <w:tc>
          <w:tcPr>
            <w:tcW w:w="6660" w:type="dxa"/>
          </w:tcPr>
          <w:p w14:paraId="262AC6F5" w14:textId="3DBCEE44" w:rsidR="00A54EDA" w:rsidRPr="008434C5" w:rsidRDefault="00A54EDA" w:rsidP="00A54EDA">
            <w:pPr>
              <w:cnfStyle w:val="000000100000" w:firstRow="0" w:lastRow="0" w:firstColumn="0" w:lastColumn="0" w:oddVBand="0" w:evenVBand="0" w:oddHBand="1" w:evenHBand="0" w:firstRowFirstColumn="0" w:firstRowLastColumn="0" w:lastRowFirstColumn="0" w:lastRowLastColumn="0"/>
              <w:rPr>
                <w:sz w:val="20"/>
                <w:szCs w:val="20"/>
              </w:rPr>
            </w:pPr>
            <w:r w:rsidRPr="008434C5">
              <w:rPr>
                <w:sz w:val="20"/>
                <w:szCs w:val="20"/>
              </w:rPr>
              <w:t xml:space="preserve">Azure </w:t>
            </w:r>
            <w:r>
              <w:rPr>
                <w:sz w:val="20"/>
                <w:szCs w:val="20"/>
              </w:rPr>
              <w:t>B</w:t>
            </w:r>
            <w:r w:rsidRPr="008434C5">
              <w:rPr>
                <w:sz w:val="20"/>
                <w:szCs w:val="20"/>
              </w:rPr>
              <w:t xml:space="preserve">ackup is supported by all the </w:t>
            </w:r>
            <w:r>
              <w:rPr>
                <w:sz w:val="20"/>
                <w:szCs w:val="20"/>
              </w:rPr>
              <w:t xml:space="preserve">Uranium Backup </w:t>
            </w:r>
            <w:r w:rsidRPr="008434C5">
              <w:rPr>
                <w:sz w:val="20"/>
                <w:szCs w:val="20"/>
              </w:rPr>
              <w:t>Pro editions</w:t>
            </w:r>
            <w:r>
              <w:rPr>
                <w:sz w:val="20"/>
                <w:szCs w:val="20"/>
              </w:rPr>
              <w:t>, including</w:t>
            </w:r>
            <w:r w:rsidRPr="008434C5">
              <w:rPr>
                <w:sz w:val="20"/>
                <w:szCs w:val="20"/>
              </w:rPr>
              <w:t xml:space="preserve"> Pro Tape, Pro DB, Pro Shadow, Pro Virtual</w:t>
            </w:r>
            <w:r>
              <w:rPr>
                <w:sz w:val="20"/>
                <w:szCs w:val="20"/>
              </w:rPr>
              <w:t>.</w:t>
            </w:r>
          </w:p>
        </w:tc>
      </w:tr>
    </w:tbl>
    <w:p w14:paraId="7126D987" w14:textId="77777777" w:rsidR="003553A7" w:rsidRPr="00256000" w:rsidRDefault="003553A7" w:rsidP="003553A7">
      <w:pPr>
        <w:rPr>
          <w:b/>
        </w:rPr>
      </w:pPr>
    </w:p>
    <w:p w14:paraId="77770296" w14:textId="77777777" w:rsidR="00B54555" w:rsidRDefault="00B54555" w:rsidP="005729D2">
      <w:pPr>
        <w:pStyle w:val="Heading3Numbered"/>
        <w:numPr>
          <w:ilvl w:val="2"/>
          <w:numId w:val="64"/>
        </w:numPr>
      </w:pPr>
      <w:bookmarkStart w:id="7154" w:name="_Toc418000733"/>
      <w:bookmarkStart w:id="7155" w:name="_Toc418003942"/>
      <w:bookmarkStart w:id="7156" w:name="_Toc418012147"/>
      <w:bookmarkStart w:id="7157" w:name="_Toc418014679"/>
      <w:bookmarkStart w:id="7158" w:name="_Toc418030165"/>
      <w:bookmarkStart w:id="7159" w:name="_Toc418037011"/>
      <w:bookmarkStart w:id="7160" w:name="_Toc418061483"/>
      <w:bookmarkStart w:id="7161" w:name="_Toc418081384"/>
      <w:bookmarkStart w:id="7162" w:name="_Toc418083414"/>
      <w:bookmarkStart w:id="7163" w:name="_Toc418096180"/>
      <w:bookmarkStart w:id="7164" w:name="_Toc418156782"/>
      <w:bookmarkStart w:id="7165" w:name="_Toc418167699"/>
      <w:bookmarkStart w:id="7166" w:name="_Toc418185955"/>
      <w:bookmarkStart w:id="7167" w:name="_Toc422941669"/>
      <w:bookmarkStart w:id="7168" w:name="_Toc423116881"/>
      <w:bookmarkStart w:id="7169" w:name="_Toc423117914"/>
      <w:bookmarkStart w:id="7170" w:name="_Toc423117361"/>
      <w:bookmarkStart w:id="7171" w:name="_Toc431288960"/>
      <w:r w:rsidRPr="000F49CC">
        <w:t>Backup Security</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44562B05" w14:textId="0D5E5BD6" w:rsidR="00A54EDA" w:rsidRDefault="003553A7" w:rsidP="00A54EDA">
      <w:pPr>
        <w:rPr>
          <w:rFonts w:eastAsia="Times New Roman" w:cs="Segoe UI"/>
          <w:bCs/>
        </w:rPr>
      </w:pPr>
      <w:r>
        <w:rPr>
          <w:rFonts w:eastAsia="Times New Roman" w:cs="Segoe UI"/>
          <w:bCs/>
        </w:rPr>
        <w:t>B</w:t>
      </w:r>
      <w:r w:rsidRPr="00665411">
        <w:rPr>
          <w:rFonts w:eastAsia="Times New Roman" w:cs="Segoe UI"/>
          <w:bCs/>
        </w:rPr>
        <w:t>ackup</w:t>
      </w:r>
      <w:r w:rsidR="00A54EDA" w:rsidRPr="00665411">
        <w:rPr>
          <w:rFonts w:eastAsia="Times New Roman" w:cs="Segoe UI"/>
          <w:bCs/>
        </w:rPr>
        <w:t xml:space="preserve"> data is always encrypted prior to being stored in Microsoft Azure</w:t>
      </w:r>
      <w:r w:rsidR="00A54EDA">
        <w:rPr>
          <w:rFonts w:eastAsia="Times New Roman" w:cs="Segoe UI"/>
          <w:bCs/>
        </w:rPr>
        <w:t>.</w:t>
      </w:r>
      <w:r w:rsidR="00A54EDA" w:rsidRPr="00665411">
        <w:rPr>
          <w:rFonts w:eastAsia="Times New Roman" w:cs="Segoe UI"/>
          <w:bCs/>
        </w:rPr>
        <w:t xml:space="preserve"> </w:t>
      </w:r>
      <w:r w:rsidR="00A54EDA">
        <w:rPr>
          <w:rFonts w:eastAsia="Times New Roman" w:cs="Segoe UI"/>
          <w:bCs/>
        </w:rPr>
        <w:t>T</w:t>
      </w:r>
      <w:r w:rsidR="00A54EDA" w:rsidRPr="00665411">
        <w:rPr>
          <w:rFonts w:eastAsia="Times New Roman" w:cs="Segoe UI"/>
          <w:bCs/>
        </w:rPr>
        <w:t xml:space="preserve">he customer is responsible for managing their encryption keys </w:t>
      </w:r>
      <w:r w:rsidR="00A54EDA">
        <w:rPr>
          <w:rFonts w:eastAsia="Times New Roman" w:cs="Segoe UI"/>
          <w:bCs/>
        </w:rPr>
        <w:t>(</w:t>
      </w:r>
      <w:r w:rsidR="00A54EDA" w:rsidRPr="00665411">
        <w:rPr>
          <w:rFonts w:eastAsia="Times New Roman" w:cs="Segoe UI"/>
          <w:bCs/>
        </w:rPr>
        <w:t xml:space="preserve">and </w:t>
      </w:r>
      <w:r w:rsidR="00A54EDA">
        <w:rPr>
          <w:rFonts w:eastAsia="Times New Roman" w:cs="Segoe UI"/>
          <w:bCs/>
        </w:rPr>
        <w:t>the subsequent back up of those keys). Customer</w:t>
      </w:r>
      <w:r w:rsidR="00A54EDA" w:rsidRPr="00665411">
        <w:rPr>
          <w:rFonts w:eastAsia="Times New Roman" w:cs="Segoe UI"/>
          <w:bCs/>
        </w:rPr>
        <w:t xml:space="preserve"> data is never decrypted in Azure</w:t>
      </w:r>
      <w:r w:rsidR="00A54EDA">
        <w:rPr>
          <w:rFonts w:eastAsia="Times New Roman" w:cs="Segoe UI"/>
          <w:bCs/>
        </w:rPr>
        <w:t>.</w:t>
      </w:r>
      <w:r w:rsidR="00A54EDA" w:rsidRPr="00665411">
        <w:rPr>
          <w:rFonts w:eastAsia="Times New Roman" w:cs="Segoe UI"/>
          <w:bCs/>
        </w:rPr>
        <w:t xml:space="preserve"> </w:t>
      </w:r>
      <w:r w:rsidR="00A54EDA">
        <w:rPr>
          <w:rFonts w:eastAsia="Times New Roman" w:cs="Segoe UI"/>
          <w:bCs/>
        </w:rPr>
        <w:t>To</w:t>
      </w:r>
      <w:r w:rsidR="00A54EDA" w:rsidRPr="00665411">
        <w:rPr>
          <w:rFonts w:eastAsia="Times New Roman" w:cs="Segoe UI"/>
          <w:bCs/>
        </w:rPr>
        <w:t xml:space="preserve"> restore the data</w:t>
      </w:r>
      <w:r w:rsidR="00A54EDA">
        <w:rPr>
          <w:rFonts w:eastAsia="Times New Roman" w:cs="Segoe UI"/>
          <w:bCs/>
        </w:rPr>
        <w:t>, it</w:t>
      </w:r>
      <w:r w:rsidR="00A54EDA" w:rsidRPr="00665411">
        <w:rPr>
          <w:rFonts w:eastAsia="Times New Roman" w:cs="Segoe UI"/>
          <w:bCs/>
        </w:rPr>
        <w:t xml:space="preserve"> is decrypted on the on-premises client side by the customer.</w:t>
      </w:r>
      <w:r w:rsidR="00A54EDA">
        <w:rPr>
          <w:rFonts w:eastAsia="Times New Roman" w:cs="Segoe UI"/>
          <w:bCs/>
        </w:rPr>
        <w:t xml:space="preserve"> </w:t>
      </w:r>
    </w:p>
    <w:p w14:paraId="5FD27C46" w14:textId="17BEDA44" w:rsidR="003553A7" w:rsidRDefault="00A54EDA" w:rsidP="003553A7">
      <w:pPr>
        <w:rPr>
          <w:rFonts w:eastAsia="Times New Roman" w:cs="Segoe UI"/>
          <w:bCs/>
        </w:rPr>
      </w:pPr>
      <w:r>
        <w:rPr>
          <w:rFonts w:eastAsia="Times New Roman" w:cs="Segoe UI"/>
          <w:bCs/>
        </w:rPr>
        <w:t>If a customer loses their encryption keys, Microsoft cannot recover those keys. Customers can additionally use hardware security modules or key management software to securely safeguard their encryption keys. There is also an option from Microsoft called “</w:t>
      </w:r>
      <w:r w:rsidRPr="001F30FB">
        <w:rPr>
          <w:rFonts w:eastAsia="Times New Roman" w:cs="Segoe UI"/>
          <w:bCs/>
        </w:rPr>
        <w:t>Azure Key Vault</w:t>
      </w:r>
      <w:r>
        <w:rPr>
          <w:rFonts w:eastAsia="Times New Roman" w:cs="Segoe UI"/>
          <w:bCs/>
        </w:rPr>
        <w:t>,” which is described in the following section.</w:t>
      </w:r>
    </w:p>
    <w:p w14:paraId="28F67C5F" w14:textId="77777777" w:rsidR="003553A7" w:rsidRDefault="003553A7" w:rsidP="003553A7">
      <w:pPr>
        <w:rPr>
          <w:rFonts w:eastAsia="Times New Roman" w:cs="Segoe UI"/>
          <w:bCs/>
        </w:rPr>
      </w:pP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3553A7" w14:paraId="7F4707DF" w14:textId="77777777" w:rsidTr="00A37E0E">
        <w:trPr>
          <w:trHeight w:val="423"/>
        </w:trPr>
        <w:tc>
          <w:tcPr>
            <w:tcW w:w="666" w:type="dxa"/>
          </w:tcPr>
          <w:p w14:paraId="130E146B" w14:textId="77777777" w:rsidR="003553A7" w:rsidRDefault="003553A7" w:rsidP="00A37E0E">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1D381F18" wp14:editId="5D768387">
                      <wp:extent cx="200025" cy="180975"/>
                      <wp:effectExtent l="57150" t="19050" r="28575" b="104775"/>
                      <wp:docPr id="1252047304" name="Octagon 1252047304"/>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531FBD3" id="Octagon 1252047304"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mzegIAAAIFAAAOAAAAZHJzL2Uyb0RvYy54bWysVE1v2zAMvQ/YfxB0X+2kSdMGdYogWYcB&#10;RVOgHXpWZMkWIImapMTpfv0o2WnTbqdhF5kUKX48Pvr65mA02QsfFNiKjs5KSoTlUCvbVPTH0+2X&#10;S0pCZLZmGqyo6IsI9Gbx+dN15+ZiDC3oWniCQWyYd66ibYxuXhSBt8KwcAZOWDRK8IZFVH1T1J51&#10;GN3oYlyWF0UHvnYeuAgBb9e9kS5yfCkFjxspg4hEVxRri/n0+dyms1hcs3njmWsVH8pg/1CFYcpi&#10;0tdQaxYZ2Xn1RyijuIcAMp5xMAVIqbjIPWA3o/JDN48tcyL3guAE9wpT+H9h+f3+wRNV4+zG03E5&#10;mZ2XE0osMzirDY+sAUtOLAhX58IcXz26Bz9oAcXU+0F6k77YFTlkiF9eIRaHSDhe4szK8ZQSjqbR&#10;ZXk1m6YRFG+PnQ/xmwBDklBR6GvI2LL9XYi999ErpQugVX2rtM6Kb7Yr7cme4cBXK8yWZ4wJ3rlp&#10;S7qKXpxPkROcIe+kZhFF4xCJYBtKmG6Q0Dz6nPrd43Ca4+t6tj4fDU28c0s1rllo+1qyqaebURE5&#10;r5Wp6GUq8FihtqkDkVk7dJrA7uFN0hbqF5yWh57GwfFbhUnuWIgPzCNvsRvcxbjBQ2rADmGQKGnB&#10;//rbffJHOqGVkg73ANv/uWNeUKK/WyTa1WgySYuTlcl0NkbFn1q2pxa7MytA5Ee49Y5nMflHfRSl&#10;B/OMK7tMWdHELMfcPdCDsor9fuLSc7FcZjdcFsfinX10PAVPOCV4nw7PzLuBKhE5dg/HnWHzD3Tp&#10;fdNLC8tdBKkyl95wRRomBRctE3L4KaRNPtWz19uva/EbAAD//wMAUEsDBBQABgAIAAAAIQBKbmSp&#10;2gAAAAMBAAAPAAAAZHJzL2Rvd25yZXYueG1sTI/NbsIwEITvlfoO1lbiVhxCQSiNg/ojjkgttPdN&#10;vE3SxuvINiTw9HV7gctKoxnNfJuvR9OJIznfWlYwmyYgiCurW64VfOw39ysQPiBr7CyTghN5WBe3&#10;Nzlm2g78TsddqEUsYZ+hgiaEPpPSVw0Z9FPbE0fvyzqDIUpXS+1wiOWmk2mSLKXBluNCgz29NFT9&#10;7A5GwXK7Kbffbv5J6fDw9vxqzqYfz0pN7sanRxCBxnAJwx9+RIciMpX2wNqLTkF8JPzf6M1nCxCl&#10;gnS1AFnk8pq9+AUAAP//AwBQSwECLQAUAAYACAAAACEAtoM4kv4AAADhAQAAEwAAAAAAAAAAAAAA&#10;AAAAAAAAW0NvbnRlbnRfVHlwZXNdLnhtbFBLAQItABQABgAIAAAAIQA4/SH/1gAAAJQBAAALAAAA&#10;AAAAAAAAAAAAAC8BAABfcmVscy8ucmVsc1BLAQItABQABgAIAAAAIQB3/1mzegIAAAIFAAAOAAAA&#10;AAAAAAAAAAAAAC4CAABkcnMvZTJvRG9jLnhtbFBLAQItABQABgAIAAAAIQBKbmSp2gAAAAMBAAAP&#10;AAAAAAAAAAAAAAAAANQEAABkcnMvZG93bnJldi54bWxQSwUGAAAAAAQABADzAAAA2wUAAAAA&#10;" fillcolor="#c00" strokecolor="#ed7d31" strokeweight=".5pt">
                      <w10:anchorlock/>
                    </v:shape>
                  </w:pict>
                </mc:Fallback>
              </mc:AlternateContent>
            </w:r>
          </w:p>
        </w:tc>
        <w:tc>
          <w:tcPr>
            <w:tcW w:w="8604" w:type="dxa"/>
          </w:tcPr>
          <w:p w14:paraId="1E32006D" w14:textId="3F5AA2E0" w:rsidR="003553A7" w:rsidRDefault="003553A7" w:rsidP="00A54EDA">
            <w:pPr>
              <w:rPr>
                <w:lang w:eastAsia="en-US"/>
              </w:rPr>
            </w:pPr>
            <w:r w:rsidRPr="00192064">
              <w:rPr>
                <w:b/>
                <w:lang w:eastAsia="en-US"/>
              </w:rPr>
              <w:t>Mandatory</w:t>
            </w:r>
            <w:r>
              <w:rPr>
                <w:lang w:eastAsia="en-US"/>
              </w:rPr>
              <w:t xml:space="preserve">:  </w:t>
            </w:r>
            <w:r w:rsidR="00A54EDA" w:rsidRPr="00E77D86">
              <w:rPr>
                <w:rFonts w:eastAsiaTheme="minorHAnsi"/>
                <w:lang w:eastAsia="en-US"/>
              </w:rPr>
              <w:t xml:space="preserve">The customer is responsible for managing </w:t>
            </w:r>
            <w:r w:rsidR="00A54EDA">
              <w:rPr>
                <w:rFonts w:eastAsiaTheme="minorHAnsi"/>
                <w:lang w:eastAsia="en-US"/>
              </w:rPr>
              <w:t xml:space="preserve">the </w:t>
            </w:r>
            <w:r w:rsidR="00A54EDA" w:rsidRPr="00E77D86">
              <w:rPr>
                <w:rFonts w:eastAsiaTheme="minorHAnsi"/>
                <w:lang w:eastAsia="en-US"/>
              </w:rPr>
              <w:t xml:space="preserve">encryption keys and </w:t>
            </w:r>
            <w:r w:rsidR="00A54EDA">
              <w:rPr>
                <w:rFonts w:eastAsiaTheme="minorHAnsi"/>
                <w:lang w:eastAsia="en-US"/>
              </w:rPr>
              <w:t xml:space="preserve">the </w:t>
            </w:r>
            <w:r w:rsidR="00A54EDA" w:rsidRPr="00E77D86">
              <w:rPr>
                <w:rFonts w:eastAsiaTheme="minorHAnsi"/>
                <w:lang w:eastAsia="en-US"/>
              </w:rPr>
              <w:t>backup of those keys. Customer data is never decrypted in Azure</w:t>
            </w:r>
            <w:r w:rsidR="00A54EDA">
              <w:rPr>
                <w:rFonts w:eastAsiaTheme="minorHAnsi"/>
                <w:lang w:eastAsia="en-US"/>
              </w:rPr>
              <w:t>.</w:t>
            </w:r>
            <w:r w:rsidR="00A54EDA" w:rsidRPr="00E77D86">
              <w:rPr>
                <w:rFonts w:eastAsiaTheme="minorHAnsi"/>
                <w:lang w:eastAsia="en-US"/>
              </w:rPr>
              <w:t xml:space="preserve"> </w:t>
            </w:r>
            <w:r w:rsidR="00A54EDA">
              <w:rPr>
                <w:rFonts w:eastAsiaTheme="minorHAnsi"/>
                <w:lang w:eastAsia="en-US"/>
              </w:rPr>
              <w:t>To</w:t>
            </w:r>
            <w:r w:rsidR="00A54EDA" w:rsidRPr="00E77D86">
              <w:rPr>
                <w:rFonts w:eastAsiaTheme="minorHAnsi"/>
                <w:lang w:eastAsia="en-US"/>
              </w:rPr>
              <w:t xml:space="preserve"> restore the data</w:t>
            </w:r>
            <w:r w:rsidR="00A54EDA">
              <w:rPr>
                <w:rFonts w:eastAsiaTheme="minorHAnsi"/>
                <w:lang w:eastAsia="en-US"/>
              </w:rPr>
              <w:t>, it</w:t>
            </w:r>
            <w:r w:rsidR="00A54EDA" w:rsidRPr="00E77D86">
              <w:rPr>
                <w:rFonts w:eastAsiaTheme="minorHAnsi"/>
                <w:lang w:eastAsia="en-US"/>
              </w:rPr>
              <w:t xml:space="preserve"> is decrypted on the on-premises client by the customer</w:t>
            </w:r>
            <w:r w:rsidRPr="00E77D86">
              <w:rPr>
                <w:rFonts w:eastAsiaTheme="minorHAnsi"/>
                <w:lang w:eastAsia="en-US"/>
              </w:rPr>
              <w:t>.</w:t>
            </w:r>
          </w:p>
        </w:tc>
      </w:tr>
    </w:tbl>
    <w:p w14:paraId="15A909B1" w14:textId="77777777" w:rsidR="00B54555" w:rsidRPr="000F49CC" w:rsidRDefault="00B54555" w:rsidP="00B54555">
      <w:pPr>
        <w:rPr>
          <w:b/>
        </w:rPr>
      </w:pPr>
    </w:p>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B54555" w14:paraId="4DF2D8D6" w14:textId="77777777" w:rsidTr="00653755">
        <w:tc>
          <w:tcPr>
            <w:tcW w:w="9360" w:type="dxa"/>
            <w:shd w:val="clear" w:color="auto" w:fill="008AC8"/>
          </w:tcPr>
          <w:p w14:paraId="10E5762A" w14:textId="77777777" w:rsidR="00B54555" w:rsidRPr="00F47607" w:rsidRDefault="00B54555" w:rsidP="00653755">
            <w:pPr>
              <w:spacing w:line="240" w:lineRule="auto"/>
              <w:rPr>
                <w:color w:val="FFFFFF"/>
              </w:rPr>
            </w:pPr>
            <w:r>
              <w:rPr>
                <w:color w:val="FFFFFF"/>
              </w:rPr>
              <w:t>Design Guidance</w:t>
            </w:r>
          </w:p>
        </w:tc>
      </w:tr>
    </w:tbl>
    <w:p w14:paraId="787570B1" w14:textId="77777777" w:rsidR="00B54555" w:rsidRDefault="00B54555" w:rsidP="00B54555">
      <w:r>
        <w:t>When you design s</w:t>
      </w:r>
      <w:r w:rsidRPr="00EA2F0D">
        <w:t xml:space="preserve">torage </w:t>
      </w:r>
      <w:r>
        <w:t>for backups, consider the following:</w:t>
      </w:r>
    </w:p>
    <w:tbl>
      <w:tblPr>
        <w:tblStyle w:val="PlainTable11"/>
        <w:tblW w:w="0" w:type="auto"/>
        <w:tblLook w:val="0420" w:firstRow="1" w:lastRow="0" w:firstColumn="0" w:lastColumn="0" w:noHBand="0" w:noVBand="1"/>
      </w:tblPr>
      <w:tblGrid>
        <w:gridCol w:w="2518"/>
        <w:gridCol w:w="3527"/>
        <w:gridCol w:w="3305"/>
      </w:tblGrid>
      <w:tr w:rsidR="00B54555" w:rsidRPr="00BF7F28" w14:paraId="34E9CC14" w14:textId="77777777" w:rsidTr="00BF7F28">
        <w:trPr>
          <w:cnfStyle w:val="100000000000" w:firstRow="1" w:lastRow="0" w:firstColumn="0" w:lastColumn="0" w:oddVBand="0" w:evenVBand="0" w:oddHBand="0" w:evenHBand="0" w:firstRowFirstColumn="0" w:firstRowLastColumn="0" w:lastRowFirstColumn="0" w:lastRowLastColumn="0"/>
        </w:trPr>
        <w:tc>
          <w:tcPr>
            <w:tcW w:w="0" w:type="auto"/>
            <w:shd w:val="clear" w:color="auto" w:fill="808080" w:themeFill="background1" w:themeFillShade="80"/>
            <w:hideMark/>
          </w:tcPr>
          <w:p w14:paraId="4C71262B" w14:textId="77777777" w:rsidR="00B54555" w:rsidRPr="00BF7F28" w:rsidRDefault="00B54555" w:rsidP="00653755">
            <w:pPr>
              <w:spacing w:line="240" w:lineRule="auto"/>
              <w:rPr>
                <w:rFonts w:eastAsia="Calibri"/>
                <w:color w:val="FFFFFF"/>
                <w:lang w:eastAsia="en-AU"/>
              </w:rPr>
            </w:pPr>
            <w:r w:rsidRPr="00BF7F28">
              <w:rPr>
                <w:rFonts w:eastAsia="Calibri"/>
                <w:color w:val="FFFFFF"/>
                <w:lang w:eastAsia="en-AU"/>
              </w:rPr>
              <w:t>Capability Considerations</w:t>
            </w:r>
          </w:p>
          <w:p w14:paraId="2BD220CE" w14:textId="77777777" w:rsidR="00B54555" w:rsidRPr="00BF7F28" w:rsidRDefault="00B54555" w:rsidP="00653755">
            <w:pPr>
              <w:spacing w:line="240" w:lineRule="auto"/>
              <w:rPr>
                <w:rFonts w:ascii="Times New Roman" w:hAnsi="Times New Roman"/>
                <w:bCs w:val="0"/>
                <w:color w:val="FFFFFF"/>
                <w:lang w:val="en-AU" w:eastAsia="en-AU"/>
              </w:rPr>
            </w:pPr>
          </w:p>
        </w:tc>
        <w:tc>
          <w:tcPr>
            <w:tcW w:w="0" w:type="auto"/>
            <w:shd w:val="clear" w:color="auto" w:fill="808080" w:themeFill="background1" w:themeFillShade="80"/>
            <w:hideMark/>
          </w:tcPr>
          <w:p w14:paraId="374148DE" w14:textId="77777777" w:rsidR="00B54555" w:rsidRPr="00BF7F28" w:rsidRDefault="00B54555" w:rsidP="00653755">
            <w:pPr>
              <w:spacing w:line="240" w:lineRule="auto"/>
              <w:rPr>
                <w:rFonts w:eastAsia="Calibri"/>
                <w:color w:val="FFFFFF"/>
                <w:lang w:eastAsia="en-AU"/>
              </w:rPr>
            </w:pPr>
            <w:r w:rsidRPr="00BF7F28">
              <w:rPr>
                <w:rFonts w:eastAsia="Calibri"/>
                <w:color w:val="FFFFFF"/>
                <w:lang w:eastAsia="en-AU"/>
              </w:rPr>
              <w:t>Capability Decision Points</w:t>
            </w:r>
          </w:p>
          <w:p w14:paraId="5E9531CE" w14:textId="77777777" w:rsidR="00B54555" w:rsidRPr="00BF7F28" w:rsidRDefault="00B54555" w:rsidP="00653755">
            <w:pPr>
              <w:spacing w:line="240" w:lineRule="auto"/>
              <w:rPr>
                <w:rFonts w:eastAsia="Calibri"/>
                <w:color w:val="FFFFFF"/>
                <w:lang w:val="en-AU" w:eastAsia="en-AU"/>
              </w:rPr>
            </w:pPr>
          </w:p>
        </w:tc>
        <w:tc>
          <w:tcPr>
            <w:tcW w:w="0" w:type="auto"/>
            <w:shd w:val="clear" w:color="auto" w:fill="808080" w:themeFill="background1" w:themeFillShade="80"/>
            <w:hideMark/>
          </w:tcPr>
          <w:p w14:paraId="1CA49EC7" w14:textId="77777777" w:rsidR="00B54555" w:rsidRPr="00BF7F28" w:rsidRDefault="00B54555" w:rsidP="00653755">
            <w:pPr>
              <w:spacing w:line="240" w:lineRule="auto"/>
              <w:rPr>
                <w:rFonts w:eastAsia="Calibri"/>
                <w:color w:val="FFFFFF"/>
                <w:lang w:eastAsia="en-AU"/>
              </w:rPr>
            </w:pPr>
            <w:r w:rsidRPr="00BF7F28">
              <w:rPr>
                <w:rFonts w:eastAsia="Calibri"/>
                <w:color w:val="FFFFFF"/>
                <w:lang w:eastAsia="en-AU"/>
              </w:rPr>
              <w:t>Capability Models in use today</w:t>
            </w:r>
          </w:p>
          <w:p w14:paraId="726C0431" w14:textId="77777777" w:rsidR="00B54555" w:rsidRPr="00BF7F28" w:rsidRDefault="00B54555" w:rsidP="00653755">
            <w:pPr>
              <w:spacing w:line="240" w:lineRule="auto"/>
              <w:rPr>
                <w:rFonts w:eastAsia="Calibri"/>
                <w:color w:val="FFFFFF"/>
                <w:lang w:val="en-AU" w:eastAsia="en-AU"/>
              </w:rPr>
            </w:pPr>
          </w:p>
        </w:tc>
      </w:tr>
      <w:tr w:rsidR="00A54EDA" w14:paraId="038919E3" w14:textId="77777777" w:rsidTr="00BF7F28">
        <w:trPr>
          <w:cnfStyle w:val="000000100000" w:firstRow="0" w:lastRow="0" w:firstColumn="0" w:lastColumn="0" w:oddVBand="0" w:evenVBand="0" w:oddHBand="1" w:evenHBand="0" w:firstRowFirstColumn="0" w:firstRowLastColumn="0" w:lastRowFirstColumn="0" w:lastRowLastColumn="0"/>
        </w:trPr>
        <w:tc>
          <w:tcPr>
            <w:tcW w:w="0" w:type="auto"/>
          </w:tcPr>
          <w:p w14:paraId="0846F3E9" w14:textId="1292926B" w:rsidR="00A54EDA" w:rsidRPr="007D32D2" w:rsidRDefault="00A54EDA" w:rsidP="00A54EDA">
            <w:pPr>
              <w:pStyle w:val="NormalWeb"/>
              <w:rPr>
                <w:rFonts w:ascii="Segoe UI" w:hAnsi="Segoe UI" w:cs="Segoe UI"/>
                <w:sz w:val="20"/>
                <w:szCs w:val="20"/>
                <w:lang w:val="en-AU" w:eastAsia="en-AU"/>
              </w:rPr>
            </w:pPr>
            <w:r w:rsidRPr="00C215F6">
              <w:rPr>
                <w:rFonts w:ascii="Segoe UI" w:hAnsi="Segoe UI" w:cs="Segoe UI"/>
                <w:sz w:val="20"/>
                <w:szCs w:val="20"/>
                <w:lang w:val="en-AU" w:eastAsia="en-AU"/>
              </w:rPr>
              <w:t xml:space="preserve">Any servers that are registered using the same vault </w:t>
            </w:r>
            <w:r>
              <w:rPr>
                <w:rFonts w:ascii="Segoe UI" w:hAnsi="Segoe UI" w:cs="Segoe UI"/>
                <w:sz w:val="20"/>
                <w:szCs w:val="20"/>
                <w:lang w:val="en-AU" w:eastAsia="en-AU"/>
              </w:rPr>
              <w:t>can</w:t>
            </w:r>
            <w:r w:rsidRPr="00C215F6">
              <w:rPr>
                <w:rFonts w:ascii="Segoe UI" w:hAnsi="Segoe UI" w:cs="Segoe UI"/>
                <w:sz w:val="20"/>
                <w:szCs w:val="20"/>
                <w:lang w:val="en-AU" w:eastAsia="en-AU"/>
              </w:rPr>
              <w:t xml:space="preserve"> recover the data backed up by other servers that use that certificate.</w:t>
            </w:r>
          </w:p>
        </w:tc>
        <w:tc>
          <w:tcPr>
            <w:tcW w:w="0" w:type="auto"/>
          </w:tcPr>
          <w:p w14:paraId="6FE1268E" w14:textId="77777777" w:rsidR="00A54EDA" w:rsidRDefault="00A54EDA" w:rsidP="00A54EDA">
            <w:pPr>
              <w:rPr>
                <w:sz w:val="20"/>
                <w:szCs w:val="20"/>
              </w:rPr>
            </w:pPr>
            <w:r w:rsidRPr="007475DF">
              <w:rPr>
                <w:sz w:val="20"/>
                <w:szCs w:val="20"/>
              </w:rPr>
              <w:t xml:space="preserve">If you want to ensure </w:t>
            </w:r>
            <w:r>
              <w:rPr>
                <w:sz w:val="20"/>
                <w:szCs w:val="20"/>
              </w:rPr>
              <w:t xml:space="preserve">that </w:t>
            </w:r>
            <w:r w:rsidRPr="007475DF">
              <w:rPr>
                <w:sz w:val="20"/>
                <w:szCs w:val="20"/>
              </w:rPr>
              <w:t xml:space="preserve">recovery only occurs to specific servers in your organization, you should use a separate certificate designated for those servers. </w:t>
            </w:r>
          </w:p>
          <w:p w14:paraId="2B910BC0" w14:textId="77777777" w:rsidR="00A54EDA" w:rsidRDefault="00A54EDA" w:rsidP="00A54EDA">
            <w:pPr>
              <w:rPr>
                <w:sz w:val="20"/>
                <w:szCs w:val="20"/>
              </w:rPr>
            </w:pPr>
            <w:r w:rsidRPr="007475DF">
              <w:rPr>
                <w:sz w:val="20"/>
                <w:szCs w:val="20"/>
              </w:rPr>
              <w:t xml:space="preserve">For example, human resources servers could use one certificate, accounting servers another, and storage servers a third. </w:t>
            </w:r>
          </w:p>
          <w:p w14:paraId="2507E08D" w14:textId="767C8975" w:rsidR="00A54EDA" w:rsidRPr="007D32D2" w:rsidRDefault="00A54EDA" w:rsidP="00A54EDA">
            <w:pPr>
              <w:rPr>
                <w:sz w:val="20"/>
                <w:szCs w:val="20"/>
              </w:rPr>
            </w:pPr>
            <w:r w:rsidRPr="007475DF">
              <w:rPr>
                <w:sz w:val="20"/>
                <w:szCs w:val="20"/>
              </w:rPr>
              <w:t>Th</w:t>
            </w:r>
            <w:r>
              <w:rPr>
                <w:sz w:val="20"/>
                <w:szCs w:val="20"/>
              </w:rPr>
              <w:t>is provides</w:t>
            </w:r>
            <w:r w:rsidRPr="007475DF">
              <w:rPr>
                <w:sz w:val="20"/>
                <w:szCs w:val="20"/>
              </w:rPr>
              <w:t xml:space="preserve"> a way to control recovery by installing the appropriate certificates on the recovery servers.</w:t>
            </w:r>
          </w:p>
        </w:tc>
        <w:tc>
          <w:tcPr>
            <w:tcW w:w="0" w:type="auto"/>
          </w:tcPr>
          <w:p w14:paraId="2ADAE744" w14:textId="77777777" w:rsidR="00A54EDA" w:rsidRDefault="00A54EDA" w:rsidP="00A54EDA">
            <w:pPr>
              <w:rPr>
                <w:sz w:val="20"/>
                <w:szCs w:val="20"/>
              </w:rPr>
            </w:pPr>
            <w:r>
              <w:rPr>
                <w:sz w:val="20"/>
                <w:szCs w:val="20"/>
              </w:rPr>
              <w:t xml:space="preserve">When data is backed up to an Azure backup vault, it is important to understand who has access to it, and who has the privilege to restore that data to what servers. </w:t>
            </w:r>
          </w:p>
          <w:p w14:paraId="3A3E4FD3" w14:textId="2AE6F35F" w:rsidR="00A54EDA" w:rsidRPr="007D32D2" w:rsidRDefault="00A54EDA" w:rsidP="00A54EDA">
            <w:pPr>
              <w:rPr>
                <w:sz w:val="20"/>
                <w:szCs w:val="20"/>
              </w:rPr>
            </w:pPr>
            <w:r>
              <w:rPr>
                <w:sz w:val="20"/>
                <w:szCs w:val="20"/>
              </w:rPr>
              <w:t>Be sure to review this security before establishing the backup vaults and backup certificates.</w:t>
            </w:r>
          </w:p>
        </w:tc>
      </w:tr>
      <w:tr w:rsidR="00A54EDA" w14:paraId="770E55A3" w14:textId="77777777" w:rsidTr="00BF7F28">
        <w:tc>
          <w:tcPr>
            <w:tcW w:w="0" w:type="auto"/>
          </w:tcPr>
          <w:p w14:paraId="3DB2D0D6" w14:textId="742DF72E" w:rsidR="00A54EDA" w:rsidRPr="007D32D2" w:rsidRDefault="00A54EDA" w:rsidP="00A54EDA">
            <w:pPr>
              <w:pStyle w:val="NormalWeb"/>
              <w:rPr>
                <w:rFonts w:ascii="Segoe UI" w:hAnsi="Segoe UI" w:cs="Segoe UI"/>
                <w:sz w:val="20"/>
                <w:szCs w:val="20"/>
                <w:lang w:val="en-AU" w:eastAsia="en-AU"/>
              </w:rPr>
            </w:pPr>
            <w:r>
              <w:rPr>
                <w:rFonts w:ascii="Segoe UI" w:hAnsi="Segoe UI" w:cs="Segoe UI"/>
                <w:sz w:val="20"/>
                <w:szCs w:val="20"/>
                <w:lang w:val="en-AU" w:eastAsia="en-AU"/>
              </w:rPr>
              <w:t>There is a distinction between using Azure for backup and using Azure for disaster recovery</w:t>
            </w:r>
          </w:p>
        </w:tc>
        <w:tc>
          <w:tcPr>
            <w:tcW w:w="0" w:type="auto"/>
          </w:tcPr>
          <w:p w14:paraId="52554C8D" w14:textId="77777777" w:rsidR="00A54EDA" w:rsidRDefault="00A54EDA" w:rsidP="00A54EDA">
            <w:pPr>
              <w:rPr>
                <w:sz w:val="20"/>
                <w:szCs w:val="20"/>
              </w:rPr>
            </w:pPr>
            <w:r>
              <w:rPr>
                <w:sz w:val="20"/>
                <w:szCs w:val="20"/>
              </w:rPr>
              <w:t>Azure Backup is a classic backup solution that involves copying the data of the virtual machine to a backup vault in a storage account and making it available for a restore at a later point.</w:t>
            </w:r>
          </w:p>
          <w:p w14:paraId="2D66A646" w14:textId="77777777" w:rsidR="00A54EDA" w:rsidRDefault="00A54EDA" w:rsidP="00A54EDA">
            <w:pPr>
              <w:rPr>
                <w:sz w:val="20"/>
                <w:szCs w:val="20"/>
              </w:rPr>
            </w:pPr>
            <w:r>
              <w:rPr>
                <w:sz w:val="20"/>
                <w:szCs w:val="20"/>
              </w:rPr>
              <w:t xml:space="preserve">Azure Site Recovery </w:t>
            </w:r>
            <w:r w:rsidRPr="00A10489">
              <w:rPr>
                <w:sz w:val="20"/>
                <w:szCs w:val="20"/>
              </w:rPr>
              <w:t xml:space="preserve">is for </w:t>
            </w:r>
            <w:r>
              <w:rPr>
                <w:sz w:val="20"/>
                <w:szCs w:val="20"/>
              </w:rPr>
              <w:t xml:space="preserve">disaster recovery </w:t>
            </w:r>
            <w:r w:rsidRPr="00A10489">
              <w:rPr>
                <w:sz w:val="20"/>
                <w:szCs w:val="20"/>
              </w:rPr>
              <w:t>scenarios</w:t>
            </w:r>
            <w:r>
              <w:rPr>
                <w:sz w:val="20"/>
                <w:szCs w:val="20"/>
              </w:rPr>
              <w:t>—</w:t>
            </w:r>
            <w:r w:rsidRPr="00A10489">
              <w:rPr>
                <w:sz w:val="20"/>
                <w:szCs w:val="20"/>
              </w:rPr>
              <w:t xml:space="preserve">specifically for </w:t>
            </w:r>
            <w:r>
              <w:rPr>
                <w:sz w:val="20"/>
                <w:szCs w:val="20"/>
              </w:rPr>
              <w:t>virtual machines.</w:t>
            </w:r>
            <w:r w:rsidRPr="00A10489">
              <w:rPr>
                <w:sz w:val="20"/>
                <w:szCs w:val="20"/>
              </w:rPr>
              <w:t xml:space="preserve"> </w:t>
            </w:r>
            <w:r>
              <w:rPr>
                <w:sz w:val="20"/>
                <w:szCs w:val="20"/>
              </w:rPr>
              <w:t>T</w:t>
            </w:r>
            <w:r w:rsidRPr="00A10489">
              <w:rPr>
                <w:sz w:val="20"/>
                <w:szCs w:val="20"/>
              </w:rPr>
              <w:t xml:space="preserve">he typical scenario for </w:t>
            </w:r>
            <w:r>
              <w:rPr>
                <w:sz w:val="20"/>
                <w:szCs w:val="20"/>
              </w:rPr>
              <w:t>disaster recovery</w:t>
            </w:r>
            <w:r w:rsidRPr="00A10489">
              <w:rPr>
                <w:sz w:val="20"/>
                <w:szCs w:val="20"/>
              </w:rPr>
              <w:t xml:space="preserve"> is when you want application availability </w:t>
            </w:r>
            <w:r>
              <w:rPr>
                <w:sz w:val="20"/>
                <w:szCs w:val="20"/>
              </w:rPr>
              <w:t>if there is</w:t>
            </w:r>
            <w:r w:rsidRPr="00A10489">
              <w:rPr>
                <w:sz w:val="20"/>
                <w:szCs w:val="20"/>
              </w:rPr>
              <w:t xml:space="preserve"> a disaster </w:t>
            </w:r>
            <w:r>
              <w:rPr>
                <w:sz w:val="20"/>
                <w:szCs w:val="20"/>
              </w:rPr>
              <w:t>i</w:t>
            </w:r>
            <w:r w:rsidRPr="00A10489">
              <w:rPr>
                <w:sz w:val="20"/>
                <w:szCs w:val="20"/>
              </w:rPr>
              <w:t xml:space="preserve">n your production environment. You also want to minimize data loss </w:t>
            </w:r>
            <w:r>
              <w:rPr>
                <w:sz w:val="20"/>
                <w:szCs w:val="20"/>
              </w:rPr>
              <w:t>and the</w:t>
            </w:r>
            <w:r w:rsidRPr="00A10489">
              <w:rPr>
                <w:sz w:val="20"/>
                <w:szCs w:val="20"/>
              </w:rPr>
              <w:t xml:space="preserve"> time it takes to bring your business back online.</w:t>
            </w:r>
            <w:r>
              <w:rPr>
                <w:sz w:val="20"/>
                <w:szCs w:val="20"/>
              </w:rPr>
              <w:t xml:space="preserve"> </w:t>
            </w:r>
          </w:p>
          <w:p w14:paraId="4BA1E569" w14:textId="5605983B" w:rsidR="00A54EDA" w:rsidRPr="007475DF" w:rsidRDefault="00A54EDA" w:rsidP="00A54EDA">
            <w:pPr>
              <w:rPr>
                <w:sz w:val="20"/>
                <w:szCs w:val="20"/>
              </w:rPr>
            </w:pPr>
            <w:r>
              <w:rPr>
                <w:sz w:val="20"/>
                <w:szCs w:val="20"/>
              </w:rPr>
              <w:t>ASR is more of a “live” solution, whereas Azure Backup is more of an offline solution.</w:t>
            </w:r>
          </w:p>
        </w:tc>
        <w:tc>
          <w:tcPr>
            <w:tcW w:w="0" w:type="auto"/>
          </w:tcPr>
          <w:p w14:paraId="3EE64813" w14:textId="77777777" w:rsidR="00A54EDA" w:rsidRDefault="00A54EDA" w:rsidP="00A54EDA">
            <w:pPr>
              <w:rPr>
                <w:sz w:val="20"/>
                <w:szCs w:val="20"/>
              </w:rPr>
            </w:pPr>
            <w:r>
              <w:rPr>
                <w:sz w:val="20"/>
                <w:szCs w:val="20"/>
              </w:rPr>
              <w:t xml:space="preserve">Any organization should understand the difference between backup and disaster recovery. </w:t>
            </w:r>
          </w:p>
          <w:p w14:paraId="1CEACEDA" w14:textId="2367DAAB" w:rsidR="00A54EDA" w:rsidRPr="007D32D2" w:rsidRDefault="00A54EDA" w:rsidP="00A54EDA">
            <w:pPr>
              <w:rPr>
                <w:sz w:val="20"/>
                <w:szCs w:val="20"/>
              </w:rPr>
            </w:pPr>
            <w:r w:rsidRPr="00A10489">
              <w:rPr>
                <w:sz w:val="20"/>
                <w:szCs w:val="20"/>
              </w:rPr>
              <w:t xml:space="preserve">Sometimes, </w:t>
            </w:r>
            <w:r>
              <w:rPr>
                <w:sz w:val="20"/>
                <w:szCs w:val="20"/>
              </w:rPr>
              <w:t>organizations</w:t>
            </w:r>
            <w:r w:rsidRPr="00A10489">
              <w:rPr>
                <w:sz w:val="20"/>
                <w:szCs w:val="20"/>
              </w:rPr>
              <w:t xml:space="preserve"> use </w:t>
            </w:r>
            <w:r>
              <w:rPr>
                <w:sz w:val="20"/>
                <w:szCs w:val="20"/>
              </w:rPr>
              <w:t xml:space="preserve">a </w:t>
            </w:r>
            <w:r w:rsidRPr="00A10489">
              <w:rPr>
                <w:sz w:val="20"/>
                <w:szCs w:val="20"/>
              </w:rPr>
              <w:t xml:space="preserve">backup copy for </w:t>
            </w:r>
            <w:r>
              <w:rPr>
                <w:sz w:val="20"/>
                <w:szCs w:val="20"/>
              </w:rPr>
              <w:t>disaster recovery</w:t>
            </w:r>
            <w:r w:rsidRPr="00A10489">
              <w:rPr>
                <w:sz w:val="20"/>
                <w:szCs w:val="20"/>
              </w:rPr>
              <w:t xml:space="preserve"> scenarios </w:t>
            </w:r>
            <w:r>
              <w:rPr>
                <w:sz w:val="20"/>
                <w:szCs w:val="20"/>
              </w:rPr>
              <w:t>when</w:t>
            </w:r>
            <w:r w:rsidRPr="00A10489">
              <w:rPr>
                <w:sz w:val="20"/>
                <w:szCs w:val="20"/>
              </w:rPr>
              <w:t xml:space="preserve"> they are willing to tolerate the time it takes to bring up their applications </w:t>
            </w:r>
            <w:r>
              <w:rPr>
                <w:sz w:val="20"/>
                <w:szCs w:val="20"/>
              </w:rPr>
              <w:t>after</w:t>
            </w:r>
            <w:r w:rsidRPr="00A10489">
              <w:rPr>
                <w:sz w:val="20"/>
                <w:szCs w:val="20"/>
              </w:rPr>
              <w:t xml:space="preserve"> they restore the data from backup</w:t>
            </w:r>
            <w:r>
              <w:rPr>
                <w:sz w:val="20"/>
                <w:szCs w:val="20"/>
              </w:rPr>
              <w:t xml:space="preserve"> copie</w:t>
            </w:r>
            <w:r w:rsidRPr="00A10489">
              <w:rPr>
                <w:sz w:val="20"/>
                <w:szCs w:val="20"/>
              </w:rPr>
              <w:t>s.</w:t>
            </w:r>
            <w:r>
              <w:rPr>
                <w:sz w:val="20"/>
                <w:szCs w:val="20"/>
              </w:rPr>
              <w:t xml:space="preserve"> </w:t>
            </w:r>
            <w:r w:rsidRPr="00A10489">
              <w:rPr>
                <w:sz w:val="20"/>
                <w:szCs w:val="20"/>
              </w:rPr>
              <w:t xml:space="preserve">This is when the difference between </w:t>
            </w:r>
            <w:r>
              <w:rPr>
                <w:sz w:val="20"/>
                <w:szCs w:val="20"/>
              </w:rPr>
              <w:t>disaster recovery</w:t>
            </w:r>
            <w:r w:rsidRPr="00A10489">
              <w:rPr>
                <w:sz w:val="20"/>
                <w:szCs w:val="20"/>
              </w:rPr>
              <w:t xml:space="preserve"> and backup blurs a bit</w:t>
            </w:r>
            <w:r>
              <w:rPr>
                <w:sz w:val="20"/>
                <w:szCs w:val="20"/>
              </w:rPr>
              <w:t>.</w:t>
            </w:r>
          </w:p>
        </w:tc>
      </w:tr>
    </w:tbl>
    <w:p w14:paraId="7BF84340" w14:textId="77777777" w:rsidR="00B54555" w:rsidRDefault="00B54555" w:rsidP="00B54555"/>
    <w:p w14:paraId="6305F1A4" w14:textId="77777777" w:rsidR="003553A7" w:rsidRDefault="003553A7" w:rsidP="003553A7">
      <w:pPr>
        <w:rPr>
          <w:rFonts w:eastAsia="Times New Roman" w:cs="Segoe UI"/>
          <w:bCs/>
        </w:rPr>
      </w:pPr>
    </w:p>
    <w:p w14:paraId="761415B0" w14:textId="77777777" w:rsidR="003553A7" w:rsidRPr="00A77A99" w:rsidRDefault="003553A7" w:rsidP="005729D2">
      <w:pPr>
        <w:pStyle w:val="Heading4Numbered"/>
        <w:numPr>
          <w:ilvl w:val="3"/>
          <w:numId w:val="64"/>
        </w:numPr>
      </w:pPr>
      <w:r>
        <w:t xml:space="preserve">Azure </w:t>
      </w:r>
      <w:r w:rsidRPr="00A77A99">
        <w:t>Key Vault</w:t>
      </w:r>
    </w:p>
    <w:p w14:paraId="7D922A2D" w14:textId="4AF0AFFD" w:rsidR="00A54EDA" w:rsidRDefault="003553A7" w:rsidP="00A54EDA">
      <w:pPr>
        <w:rPr>
          <w:lang w:val="en"/>
        </w:rPr>
      </w:pPr>
      <w:r>
        <w:rPr>
          <w:lang w:val="en"/>
        </w:rPr>
        <w:t>Azure</w:t>
      </w:r>
      <w:r w:rsidR="00A54EDA">
        <w:rPr>
          <w:lang w:val="en"/>
        </w:rPr>
        <w:t xml:space="preserve"> Key Vault helps customers safeguard cryptographic keys and secrets used by cloud applications and services. By using Azure Key Vault, you can encrypt keys and secrets (such as authentication keys, storage account keys, data encryption keys, .pfx files, and passwords) by using keys that are protected by hardware security modules. </w:t>
      </w:r>
    </w:p>
    <w:p w14:paraId="6B6900C6" w14:textId="77777777" w:rsidR="00A54EDA" w:rsidRDefault="00A54EDA" w:rsidP="00A54EDA">
      <w:pPr>
        <w:rPr>
          <w:lang w:val="en"/>
        </w:rPr>
      </w:pPr>
      <w:r>
        <w:rPr>
          <w:lang w:val="en"/>
        </w:rPr>
        <w:t>For added assurance, you can import or generate keys in hardware security modules. Keys never leave the hardware security module boundary. Hardware security modules are certified to FIPS 140-2 level 2.</w:t>
      </w:r>
    </w:p>
    <w:p w14:paraId="364F92A8" w14:textId="77777777" w:rsidR="00A54EDA" w:rsidRDefault="00A54EDA" w:rsidP="00A54EDA">
      <w:pPr>
        <w:rPr>
          <w:rFonts w:eastAsia="Times New Roman" w:cs="Segoe UI"/>
          <w:bCs/>
        </w:rPr>
      </w:pPr>
      <w:r w:rsidRPr="000841EB">
        <w:rPr>
          <w:rFonts w:eastAsia="Times New Roman" w:cs="Segoe UI"/>
          <w:bCs/>
        </w:rPr>
        <w:t>Azure Key Vault streamlines the key management process and enables you to maintain control of keys that access and encrypt your data. Developers can create keys for development and testing in minutes, and then seamlessly migrate them to production keys. Security administrators can grant and revoke permission to keys, as needed.</w:t>
      </w:r>
    </w:p>
    <w:p w14:paraId="25BA1212" w14:textId="77777777" w:rsidR="00A54EDA" w:rsidRDefault="00A54EDA" w:rsidP="00A54EDA">
      <w:pPr>
        <w:rPr>
          <w:rFonts w:eastAsia="Times New Roman" w:cs="Segoe UI"/>
          <w:bCs/>
        </w:rPr>
      </w:pPr>
      <w:r w:rsidRPr="000841EB">
        <w:rPr>
          <w:rFonts w:eastAsia="Times New Roman" w:cs="Segoe UI"/>
          <w:bCs/>
        </w:rPr>
        <w:t xml:space="preserve">Anybody with an Azure subscription can create and use key vaults. Although Azure Key Vault benefits developers and security administrators, it could be implemented and managed by an administrator who manages other Azure services for an organization. </w:t>
      </w:r>
    </w:p>
    <w:p w14:paraId="6E540A9D" w14:textId="77777777" w:rsidR="00A54EDA" w:rsidRPr="000841EB" w:rsidRDefault="00A54EDA" w:rsidP="00A54EDA">
      <w:pPr>
        <w:rPr>
          <w:rFonts w:eastAsia="Times New Roman" w:cs="Segoe UI"/>
          <w:bCs/>
        </w:rPr>
      </w:pPr>
      <w:r w:rsidRPr="000841EB">
        <w:rPr>
          <w:rFonts w:eastAsia="Times New Roman" w:cs="Segoe UI"/>
          <w:bCs/>
        </w:rPr>
        <w:t>For example, this administrator would sign in with an Azure subscription, create a vault for the organization in which to store keys, and then be responsible for operational tasks, such as:</w:t>
      </w:r>
    </w:p>
    <w:p w14:paraId="29280D37" w14:textId="77777777" w:rsidR="00A54EDA" w:rsidRPr="000841EB" w:rsidRDefault="00A54EDA" w:rsidP="005729D2">
      <w:pPr>
        <w:pStyle w:val="ListBullet"/>
        <w:numPr>
          <w:ilvl w:val="0"/>
          <w:numId w:val="104"/>
        </w:numPr>
        <w:rPr>
          <w:rFonts w:eastAsia="Times New Roman"/>
        </w:rPr>
      </w:pPr>
      <w:r w:rsidRPr="000841EB">
        <w:rPr>
          <w:rFonts w:eastAsia="Times New Roman"/>
        </w:rPr>
        <w:t xml:space="preserve">Create or import a key or secret </w:t>
      </w:r>
    </w:p>
    <w:p w14:paraId="008FCB47" w14:textId="77777777" w:rsidR="00A54EDA" w:rsidRPr="000841EB" w:rsidRDefault="00A54EDA" w:rsidP="005729D2">
      <w:pPr>
        <w:pStyle w:val="ListBullet"/>
        <w:numPr>
          <w:ilvl w:val="0"/>
          <w:numId w:val="104"/>
        </w:numPr>
        <w:rPr>
          <w:rFonts w:eastAsia="Times New Roman"/>
        </w:rPr>
      </w:pPr>
      <w:r w:rsidRPr="000841EB">
        <w:rPr>
          <w:rFonts w:eastAsia="Times New Roman"/>
        </w:rPr>
        <w:t>Revoke or delete a key or secret</w:t>
      </w:r>
    </w:p>
    <w:p w14:paraId="27762388" w14:textId="77777777" w:rsidR="00A54EDA" w:rsidRPr="000841EB" w:rsidRDefault="00A54EDA" w:rsidP="005729D2">
      <w:pPr>
        <w:pStyle w:val="ListBullet"/>
        <w:numPr>
          <w:ilvl w:val="0"/>
          <w:numId w:val="104"/>
        </w:numPr>
        <w:rPr>
          <w:rFonts w:eastAsia="Times New Roman"/>
        </w:rPr>
      </w:pPr>
      <w:r w:rsidRPr="000841EB">
        <w:rPr>
          <w:rFonts w:eastAsia="Times New Roman"/>
        </w:rPr>
        <w:t>Authorize users or applications to manage or use keys and secrets</w:t>
      </w:r>
    </w:p>
    <w:p w14:paraId="7A3DEFD8" w14:textId="77777777" w:rsidR="00A54EDA" w:rsidRPr="000841EB" w:rsidRDefault="00A54EDA" w:rsidP="005729D2">
      <w:pPr>
        <w:pStyle w:val="ListBullet"/>
        <w:numPr>
          <w:ilvl w:val="0"/>
          <w:numId w:val="104"/>
        </w:numPr>
        <w:rPr>
          <w:rFonts w:eastAsia="Times New Roman"/>
        </w:rPr>
      </w:pPr>
      <w:r w:rsidRPr="000841EB">
        <w:rPr>
          <w:rFonts w:eastAsia="Times New Roman"/>
        </w:rPr>
        <w:t>Configure key usage (for example, sign or encrypt)</w:t>
      </w:r>
    </w:p>
    <w:p w14:paraId="35273C33" w14:textId="77777777" w:rsidR="00A54EDA" w:rsidRDefault="00A54EDA" w:rsidP="005729D2">
      <w:pPr>
        <w:pStyle w:val="ListBullet"/>
        <w:numPr>
          <w:ilvl w:val="0"/>
          <w:numId w:val="104"/>
        </w:numPr>
        <w:rPr>
          <w:rFonts w:eastAsia="Times New Roman"/>
        </w:rPr>
      </w:pPr>
      <w:r w:rsidRPr="000841EB">
        <w:rPr>
          <w:rFonts w:eastAsia="Times New Roman"/>
        </w:rPr>
        <w:t>Monitor key usage</w:t>
      </w:r>
    </w:p>
    <w:p w14:paraId="2622F9F9" w14:textId="77777777" w:rsidR="003553A7" w:rsidRDefault="003553A7" w:rsidP="003553A7">
      <w:pPr>
        <w:rPr>
          <w:rFonts w:eastAsia="Times New Roman" w:cs="Segoe UI"/>
          <w:bCs/>
        </w:rPr>
      </w:pPr>
    </w:p>
    <w:tbl>
      <w:tblPr>
        <w:tblStyle w:val="PlainTable11"/>
        <w:tblW w:w="0" w:type="auto"/>
        <w:tblLook w:val="04A0" w:firstRow="1" w:lastRow="0" w:firstColumn="1" w:lastColumn="0" w:noHBand="0" w:noVBand="1"/>
      </w:tblPr>
      <w:tblGrid>
        <w:gridCol w:w="3413"/>
        <w:gridCol w:w="5937"/>
      </w:tblGrid>
      <w:tr w:rsidR="003553A7" w:rsidRPr="00F47607" w14:paraId="77D543EB" w14:textId="77777777" w:rsidTr="00BF7F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26DC988E" w14:textId="77777777" w:rsidR="003553A7" w:rsidRPr="00F47607" w:rsidRDefault="003553A7" w:rsidP="00A37E0E">
            <w:pPr>
              <w:spacing w:line="240" w:lineRule="auto"/>
              <w:rPr>
                <w:color w:val="FFFFFF"/>
              </w:rPr>
            </w:pPr>
            <w:r>
              <w:rPr>
                <w:color w:val="FFFFFF"/>
              </w:rPr>
              <w:t>Feature References</w:t>
            </w:r>
          </w:p>
        </w:tc>
      </w:tr>
      <w:tr w:rsidR="003553A7" w:rsidRPr="00927F75" w14:paraId="689222AC"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4B9B8163" w14:textId="08091EE3" w:rsidR="003553A7" w:rsidRPr="00927F75" w:rsidRDefault="003553A7" w:rsidP="00A37E0E">
            <w:pPr>
              <w:spacing w:line="240" w:lineRule="auto"/>
              <w:rPr>
                <w:sz w:val="20"/>
                <w:szCs w:val="18"/>
              </w:rPr>
            </w:pPr>
            <w:r w:rsidRPr="006F1C6C">
              <w:rPr>
                <w:sz w:val="20"/>
                <w:lang w:val="en"/>
              </w:rPr>
              <w:t xml:space="preserve">Azure Key Vault </w:t>
            </w:r>
          </w:p>
        </w:tc>
        <w:tc>
          <w:tcPr>
            <w:tcW w:w="5940" w:type="dxa"/>
          </w:tcPr>
          <w:p w14:paraId="79811867" w14:textId="448A6FF8" w:rsidR="003553A7" w:rsidRPr="00C87C4C" w:rsidRDefault="00872E47" w:rsidP="00A37E0E">
            <w:pPr>
              <w:cnfStyle w:val="000000100000" w:firstRow="0" w:lastRow="0" w:firstColumn="0" w:lastColumn="0" w:oddVBand="0" w:evenVBand="0" w:oddHBand="1" w:evenHBand="0" w:firstRowFirstColumn="0" w:firstRowLastColumn="0" w:lastRowFirstColumn="0" w:lastRowLastColumn="0"/>
              <w:rPr>
                <w:sz w:val="20"/>
              </w:rPr>
            </w:pPr>
            <w:hyperlink r:id="rId627" w:history="1">
              <w:r w:rsidR="003553A7" w:rsidRPr="006F1C6C">
                <w:rPr>
                  <w:rStyle w:val="Hyperlink"/>
                  <w:sz w:val="20"/>
                </w:rPr>
                <w:t>http://azure.microsoft.com/en-us/services/key-vault/</w:t>
              </w:r>
            </w:hyperlink>
            <w:r w:rsidR="00087F18">
              <w:rPr>
                <w:sz w:val="20"/>
              </w:rPr>
              <w:t xml:space="preserve"> </w:t>
            </w:r>
          </w:p>
        </w:tc>
      </w:tr>
      <w:tr w:rsidR="003553A7" w:rsidRPr="00927F75" w14:paraId="46CC6A5B" w14:textId="77777777" w:rsidTr="00BF7F28">
        <w:tc>
          <w:tcPr>
            <w:cnfStyle w:val="001000000000" w:firstRow="0" w:lastRow="0" w:firstColumn="1" w:lastColumn="0" w:oddVBand="0" w:evenVBand="0" w:oddHBand="0" w:evenHBand="0" w:firstRowFirstColumn="0" w:firstRowLastColumn="0" w:lastRowFirstColumn="0" w:lastRowLastColumn="0"/>
            <w:tcW w:w="3420" w:type="dxa"/>
          </w:tcPr>
          <w:p w14:paraId="4949190B" w14:textId="77777777" w:rsidR="003553A7" w:rsidRPr="00927F75" w:rsidRDefault="003553A7" w:rsidP="00A37E0E">
            <w:pPr>
              <w:spacing w:line="240" w:lineRule="auto"/>
              <w:rPr>
                <w:sz w:val="20"/>
              </w:rPr>
            </w:pPr>
            <w:r w:rsidRPr="006F1C6C">
              <w:rPr>
                <w:sz w:val="20"/>
                <w:lang w:val="en"/>
              </w:rPr>
              <w:t>What is Azure Key Vault</w:t>
            </w:r>
          </w:p>
        </w:tc>
        <w:tc>
          <w:tcPr>
            <w:tcW w:w="5940" w:type="dxa"/>
          </w:tcPr>
          <w:p w14:paraId="40A2F637" w14:textId="2BD4A82A" w:rsidR="003553A7" w:rsidRPr="00927F75" w:rsidRDefault="00872E47" w:rsidP="00A37E0E">
            <w:pPr>
              <w:cnfStyle w:val="000000000000" w:firstRow="0" w:lastRow="0" w:firstColumn="0" w:lastColumn="0" w:oddVBand="0" w:evenVBand="0" w:oddHBand="0" w:evenHBand="0" w:firstRowFirstColumn="0" w:firstRowLastColumn="0" w:lastRowFirstColumn="0" w:lastRowLastColumn="0"/>
              <w:rPr>
                <w:sz w:val="20"/>
              </w:rPr>
            </w:pPr>
            <w:hyperlink r:id="rId628" w:history="1">
              <w:r w:rsidR="003553A7" w:rsidRPr="006F1C6C">
                <w:rPr>
                  <w:rStyle w:val="Hyperlink"/>
                  <w:sz w:val="20"/>
                </w:rPr>
                <w:t>http://azure.microsoft.com/en-us/documentation/articles/key-vault-whatis/</w:t>
              </w:r>
            </w:hyperlink>
          </w:p>
        </w:tc>
      </w:tr>
      <w:tr w:rsidR="003553A7" w:rsidRPr="00927F75" w14:paraId="30CC23AE"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2B18FEC0" w14:textId="77777777" w:rsidR="003553A7" w:rsidRPr="006F1C6C" w:rsidRDefault="003553A7" w:rsidP="00A37E0E">
            <w:pPr>
              <w:rPr>
                <w:rFonts w:cs="Segoe UI"/>
                <w:sz w:val="20"/>
              </w:rPr>
            </w:pPr>
            <w:r w:rsidRPr="006F1C6C">
              <w:rPr>
                <w:sz w:val="20"/>
                <w:lang w:val="en"/>
              </w:rPr>
              <w:t>Get Started with Azure Key Vault</w:t>
            </w:r>
          </w:p>
          <w:p w14:paraId="78F1CF7B" w14:textId="77777777" w:rsidR="003553A7" w:rsidRPr="006F1C6C" w:rsidRDefault="003553A7" w:rsidP="00A37E0E">
            <w:pPr>
              <w:spacing w:line="240" w:lineRule="auto"/>
              <w:rPr>
                <w:sz w:val="20"/>
                <w:lang w:val="en"/>
              </w:rPr>
            </w:pPr>
          </w:p>
        </w:tc>
        <w:tc>
          <w:tcPr>
            <w:tcW w:w="5940" w:type="dxa"/>
          </w:tcPr>
          <w:p w14:paraId="0DC745C4" w14:textId="56AC2B70" w:rsidR="003553A7" w:rsidRPr="006F1C6C" w:rsidRDefault="00872E47" w:rsidP="00A37E0E">
            <w:pPr>
              <w:cnfStyle w:val="000000100000" w:firstRow="0" w:lastRow="0" w:firstColumn="0" w:lastColumn="0" w:oddVBand="0" w:evenVBand="0" w:oddHBand="1" w:evenHBand="0" w:firstRowFirstColumn="0" w:firstRowLastColumn="0" w:lastRowFirstColumn="0" w:lastRowLastColumn="0"/>
              <w:rPr>
                <w:sz w:val="20"/>
              </w:rPr>
            </w:pPr>
            <w:hyperlink r:id="rId629" w:history="1">
              <w:r w:rsidR="003553A7" w:rsidRPr="006F1C6C">
                <w:rPr>
                  <w:rStyle w:val="Hyperlink"/>
                  <w:sz w:val="20"/>
                </w:rPr>
                <w:t>http://azure.microsoft.com/en-us/documentation/articles/key-vault-get-started/</w:t>
              </w:r>
            </w:hyperlink>
          </w:p>
        </w:tc>
      </w:tr>
      <w:tr w:rsidR="003553A7" w:rsidRPr="00927F75" w14:paraId="5673DDFF" w14:textId="77777777" w:rsidTr="00BF7F28">
        <w:tc>
          <w:tcPr>
            <w:cnfStyle w:val="001000000000" w:firstRow="0" w:lastRow="0" w:firstColumn="1" w:lastColumn="0" w:oddVBand="0" w:evenVBand="0" w:oddHBand="0" w:evenHBand="0" w:firstRowFirstColumn="0" w:firstRowLastColumn="0" w:lastRowFirstColumn="0" w:lastRowLastColumn="0"/>
            <w:tcW w:w="3420" w:type="dxa"/>
          </w:tcPr>
          <w:p w14:paraId="22819BE3" w14:textId="77777777" w:rsidR="003553A7" w:rsidRPr="006F1C6C" w:rsidRDefault="003553A7" w:rsidP="00A37E0E">
            <w:pPr>
              <w:rPr>
                <w:sz w:val="20"/>
                <w:lang w:val="en"/>
              </w:rPr>
            </w:pPr>
            <w:r w:rsidRPr="00A647A5">
              <w:rPr>
                <w:sz w:val="20"/>
                <w:lang w:val="en"/>
              </w:rPr>
              <w:t xml:space="preserve">Azure Key Vault </w:t>
            </w:r>
            <w:r>
              <w:rPr>
                <w:sz w:val="20"/>
                <w:lang w:val="en"/>
              </w:rPr>
              <w:t xml:space="preserve">PowerShell </w:t>
            </w:r>
            <w:r w:rsidRPr="00A647A5">
              <w:rPr>
                <w:sz w:val="20"/>
                <w:lang w:val="en"/>
              </w:rPr>
              <w:t>Cmdlets</w:t>
            </w:r>
          </w:p>
        </w:tc>
        <w:tc>
          <w:tcPr>
            <w:tcW w:w="5940" w:type="dxa"/>
          </w:tcPr>
          <w:p w14:paraId="6146067D" w14:textId="77777777" w:rsidR="003553A7" w:rsidRPr="006F1C6C" w:rsidRDefault="00872E47" w:rsidP="00A37E0E">
            <w:pPr>
              <w:cnfStyle w:val="000000000000" w:firstRow="0" w:lastRow="0" w:firstColumn="0" w:lastColumn="0" w:oddVBand="0" w:evenVBand="0" w:oddHBand="0" w:evenHBand="0" w:firstRowFirstColumn="0" w:firstRowLastColumn="0" w:lastRowFirstColumn="0" w:lastRowLastColumn="0"/>
              <w:rPr>
                <w:sz w:val="20"/>
              </w:rPr>
            </w:pPr>
            <w:hyperlink r:id="rId630" w:history="1">
              <w:r w:rsidR="003553A7" w:rsidRPr="00E45036">
                <w:rPr>
                  <w:rStyle w:val="Hyperlink"/>
                  <w:sz w:val="20"/>
                </w:rPr>
                <w:t>https://msdn.microsoft.com/library/azure/dn868052</w:t>
              </w:r>
            </w:hyperlink>
            <w:r w:rsidR="003553A7">
              <w:rPr>
                <w:sz w:val="20"/>
              </w:rPr>
              <w:t xml:space="preserve"> </w:t>
            </w:r>
          </w:p>
        </w:tc>
      </w:tr>
    </w:tbl>
    <w:p w14:paraId="361871C1" w14:textId="77777777" w:rsidR="003553A7" w:rsidRPr="000F49CC" w:rsidRDefault="003553A7" w:rsidP="003553A7">
      <w:pPr>
        <w:rPr>
          <w:b/>
        </w:rPr>
      </w:pP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3553A7" w14:paraId="0EB1CCAF" w14:textId="77777777" w:rsidTr="00A37E0E">
        <w:trPr>
          <w:trHeight w:val="423"/>
        </w:trPr>
        <w:tc>
          <w:tcPr>
            <w:tcW w:w="666" w:type="dxa"/>
          </w:tcPr>
          <w:p w14:paraId="62D0C517" w14:textId="77777777" w:rsidR="003553A7" w:rsidRDefault="003553A7" w:rsidP="00A37E0E">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5B8ECA98" wp14:editId="26A0B76C">
                      <wp:extent cx="200025" cy="180975"/>
                      <wp:effectExtent l="57150" t="19050" r="28575" b="104775"/>
                      <wp:docPr id="1252047308" name="Octagon 1252047308"/>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EA20385" id="Octagon 1252047308"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rEQeAIAAFwFAAAOAAAAZHJzL2Uyb0RvYy54bWysVEtrGzEQvhf6H4Tu9T5iN4nJOhgHl0JI&#10;TJOSs6yVbIFWo0qy1+6v70i73pg0ECi9aGd23t88bm4PjSZ74bwCU9FilFMiDIdamU1Ffz4vv1xR&#10;4gMzNdNgREWPwtPb2edPN62dihK2oGvhCDoxftraim5DsNMs83wrGuZHYIVBoQTXsICs22S1Yy16&#10;b3RW5vnXrAVXWwdceI9/7zohnSX/UgoeHqX0IhBdUcwtpNeldx3fbHbDphvH7FbxPg32D1k0TBkM&#10;Ori6Y4GRnVN/uWoUd+BBhhGHJgMpFRepBqymyN9U87RlVqRaEBxvB5j8/3PLH/YrR1SNvSsnZT6+&#10;vMixY4Y12KtHHtgGDDmTIFyt9VO0erIr13MeyVj7QbomfrEqckgQHweIxSEQjj+xZ3k5oYSjqLjK&#10;ry8nsQXZq7F1PnwT0JBIVBS6HBK2bH/vQ6d90orhPGhVL5XWiXGb9UI7smfY8MUCo6UeY4AztSzW&#10;0GWdqHDUIhpr80NIBAPzLFLENIZi8Mc4FyaUfcZJO5pJjD0YXnxs2OtHU5FGdDAuPzYeLFJkMGEw&#10;bpQB954DHYo+ZdnpI+BndUdyDfUR58BBtyDe8qVC/O+ZDyvmcCNwd3DLwyM+UkOLjekpSrbgfr/3&#10;P+rjoKKUkhY3rKL+1445QYn+bnCEr4vxOK5kYsaTyxIZdy5Zn0vMrlkA9rTAe2J5IqN+0CdSOmhe&#10;8BjMY1QUMcMxdkV5cCdmEbrNx3PCxXye1HANLQv35snyU9fjcD0fXpiz/RAGnN4HOG0jm74ZxE43&#10;9sPAfBdAqjSlr7j2eOMKp1Hvz028Eed80no9irM/AAAA//8DAFBLAwQUAAYACAAAACEAn7dE8dsA&#10;AAADAQAADwAAAGRycy9kb3ducmV2LnhtbEyPQUvDQBCF74L/YRnBm92k0hLTbIoIBQ/SYLV43Wan&#10;SWh2Nuxum/jvHb3Yy8DjPd77plhPthcX9KFzpCCdJSCQamc6ahR8fmweMhAhajK6d4QKvjHAury9&#10;KXRu3EjveNnFRnAJhVwraGMccilD3aLVYeYGJPaOzlsdWfpGGq9HLre9nCfJUlrdES+0esCXFuvT&#10;7mwVVKexes2q6unLb5bbN2/3qd/ulbq/m55XICJO8T8Mv/iMDiUzHdyZTBC9An4k/l32HtMFiIOC&#10;ebYAWRbymr38AQAA//8DAFBLAQItABQABgAIAAAAIQC2gziS/gAAAOEBAAATAAAAAAAAAAAAAAAA&#10;AAAAAABbQ29udGVudF9UeXBlc10ueG1sUEsBAi0AFAAGAAgAAAAhADj9If/WAAAAlAEAAAsAAAAA&#10;AAAAAAAAAAAALwEAAF9yZWxzLy5yZWxzUEsBAi0AFAAGAAgAAAAhAFjOsRB4AgAAXAUAAA4AAAAA&#10;AAAAAAAAAAAALgIAAGRycy9lMm9Eb2MueG1sUEsBAi0AFAAGAAgAAAAhAJ+3RPHbAAAAAwEAAA8A&#10;AAAAAAAAAAAAAAAA0gQAAGRycy9kb3ducmV2LnhtbFBLBQYAAAAABAAEAPMAAADaBQAAAAA=&#10;" fillcolor="#c00" strokecolor="#ed7d31 [3205]" strokeweight=".5pt">
                      <w10:anchorlock/>
                    </v:shape>
                  </w:pict>
                </mc:Fallback>
              </mc:AlternateContent>
            </w:r>
          </w:p>
        </w:tc>
        <w:tc>
          <w:tcPr>
            <w:tcW w:w="8604" w:type="dxa"/>
          </w:tcPr>
          <w:p w14:paraId="7784FD6B" w14:textId="77777777" w:rsidR="00305E18" w:rsidRDefault="003553A7" w:rsidP="00A37E0E">
            <w:pPr>
              <w:rPr>
                <w:lang w:eastAsia="en-US"/>
              </w:rPr>
            </w:pPr>
            <w:r w:rsidRPr="00192064">
              <w:rPr>
                <w:b/>
                <w:lang w:eastAsia="en-US"/>
              </w:rPr>
              <w:t>Mandatory</w:t>
            </w:r>
            <w:r>
              <w:rPr>
                <w:lang w:eastAsia="en-US"/>
              </w:rPr>
              <w:t xml:space="preserve">:  </w:t>
            </w:r>
          </w:p>
          <w:p w14:paraId="58E2601D" w14:textId="77777777" w:rsidR="00A54EDA" w:rsidRPr="00305E18" w:rsidRDefault="00A54EDA" w:rsidP="005729D2">
            <w:pPr>
              <w:pStyle w:val="ListParagraph"/>
              <w:numPr>
                <w:ilvl w:val="0"/>
                <w:numId w:val="178"/>
              </w:numPr>
              <w:rPr>
                <w:rFonts w:eastAsiaTheme="minorHAnsi"/>
                <w:lang w:eastAsia="en-US"/>
              </w:rPr>
            </w:pPr>
            <w:r w:rsidRPr="000841EB">
              <w:rPr>
                <w:rFonts w:eastAsiaTheme="minorHAnsi"/>
                <w:lang w:eastAsia="en-US"/>
              </w:rPr>
              <w:t xml:space="preserve">Azure Key Vault </w:t>
            </w:r>
            <w:r>
              <w:rPr>
                <w:rFonts w:eastAsiaTheme="minorHAnsi"/>
                <w:lang w:eastAsia="en-US"/>
              </w:rPr>
              <w:t>is only configurable using Azure PowerShell at this time.</w:t>
            </w:r>
            <w:r w:rsidRPr="000841EB">
              <w:rPr>
                <w:rFonts w:eastAsiaTheme="minorHAnsi"/>
                <w:lang w:eastAsia="en-US"/>
              </w:rPr>
              <w:t xml:space="preserve"> </w:t>
            </w:r>
          </w:p>
          <w:p w14:paraId="7E25E43C" w14:textId="7F8E1511" w:rsidR="003553A7" w:rsidRDefault="00A54EDA" w:rsidP="005729D2">
            <w:pPr>
              <w:pStyle w:val="ListParagraph"/>
              <w:numPr>
                <w:ilvl w:val="0"/>
                <w:numId w:val="178"/>
              </w:numPr>
              <w:rPr>
                <w:lang w:eastAsia="en-US"/>
              </w:rPr>
            </w:pPr>
            <w:r w:rsidRPr="00305E18">
              <w:rPr>
                <w:rFonts w:eastAsiaTheme="minorHAnsi"/>
                <w:lang w:eastAsia="en-US"/>
              </w:rPr>
              <w:t>Key usage logging information is not currently available</w:t>
            </w:r>
            <w:r w:rsidR="005531A8">
              <w:rPr>
                <w:rFonts w:eastAsiaTheme="minorHAnsi"/>
                <w:lang w:eastAsia="en-US"/>
              </w:rPr>
              <w:t>.</w:t>
            </w:r>
          </w:p>
        </w:tc>
      </w:tr>
    </w:tbl>
    <w:p w14:paraId="3CDD9A12" w14:textId="26DE80EE" w:rsidR="001F6594" w:rsidRDefault="004367D6" w:rsidP="005729D2">
      <w:pPr>
        <w:pStyle w:val="Heading2Numbered"/>
        <w:numPr>
          <w:ilvl w:val="1"/>
          <w:numId w:val="64"/>
        </w:numPr>
      </w:pPr>
      <w:bookmarkStart w:id="7172" w:name="_Toc418003943"/>
      <w:bookmarkStart w:id="7173" w:name="_Toc418005683"/>
      <w:bookmarkStart w:id="7174" w:name="_Toc418006685"/>
      <w:bookmarkStart w:id="7175" w:name="_Toc418010924"/>
      <w:bookmarkStart w:id="7176" w:name="_Toc418012148"/>
      <w:bookmarkStart w:id="7177" w:name="_Toc418012416"/>
      <w:bookmarkStart w:id="7178" w:name="_Toc418012860"/>
      <w:bookmarkStart w:id="7179" w:name="_Toc418014416"/>
      <w:bookmarkStart w:id="7180" w:name="_Toc418014796"/>
      <w:bookmarkStart w:id="7181" w:name="_Toc418016165"/>
      <w:bookmarkStart w:id="7182" w:name="_Toc418017404"/>
      <w:bookmarkStart w:id="7183" w:name="_Toc418013733"/>
      <w:bookmarkStart w:id="7184" w:name="_Toc418017679"/>
      <w:bookmarkStart w:id="7185" w:name="_Toc418014683"/>
      <w:bookmarkStart w:id="7186" w:name="_Toc418021168"/>
      <w:bookmarkStart w:id="7187" w:name="_Toc418022216"/>
      <w:bookmarkStart w:id="7188" w:name="_Toc418023189"/>
      <w:bookmarkStart w:id="7189" w:name="_Toc418025585"/>
      <w:bookmarkStart w:id="7190" w:name="_Toc418026153"/>
      <w:bookmarkStart w:id="7191" w:name="_Toc418027835"/>
      <w:bookmarkStart w:id="7192" w:name="_Toc418028257"/>
      <w:bookmarkStart w:id="7193" w:name="_Toc418030166"/>
      <w:bookmarkStart w:id="7194" w:name="_Toc418030917"/>
      <w:bookmarkStart w:id="7195" w:name="_Toc418000736"/>
      <w:bookmarkStart w:id="7196" w:name="_Toc418003946"/>
      <w:bookmarkStart w:id="7197" w:name="_Toc418012151"/>
      <w:bookmarkStart w:id="7198" w:name="_Toc418040669"/>
      <w:bookmarkStart w:id="7199" w:name="_Toc418014695"/>
      <w:bookmarkStart w:id="7200" w:name="_Toc418030169"/>
      <w:bookmarkStart w:id="7201" w:name="_Toc418037014"/>
      <w:bookmarkStart w:id="7202" w:name="_Toc418061484"/>
      <w:bookmarkStart w:id="7203" w:name="_Toc418081385"/>
      <w:bookmarkStart w:id="7204" w:name="_Toc418083415"/>
      <w:bookmarkStart w:id="7205" w:name="_Toc418096181"/>
      <w:bookmarkStart w:id="7206" w:name="_Toc418156783"/>
      <w:bookmarkStart w:id="7207" w:name="_Toc418167700"/>
      <w:bookmarkStart w:id="7208" w:name="_Toc418185956"/>
      <w:bookmarkStart w:id="7209" w:name="_Toc422941670"/>
      <w:bookmarkStart w:id="7210" w:name="_Toc423116882"/>
      <w:bookmarkStart w:id="7211" w:name="_Toc423117915"/>
      <w:bookmarkStart w:id="7212" w:name="_Toc423117362"/>
      <w:bookmarkStart w:id="7213" w:name="_Toc43128896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r>
        <w:t>Monitoring</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p>
    <w:p w14:paraId="6C2F1811" w14:textId="6C7A99A5" w:rsidR="00682E4A" w:rsidRDefault="00682E4A" w:rsidP="005729D2">
      <w:pPr>
        <w:pStyle w:val="Heading3Numbered"/>
        <w:numPr>
          <w:ilvl w:val="2"/>
          <w:numId w:val="64"/>
        </w:numPr>
      </w:pPr>
      <w:bookmarkStart w:id="7214" w:name="_Toc414892160"/>
      <w:bookmarkStart w:id="7215" w:name="_Toc414960183"/>
      <w:bookmarkStart w:id="7216" w:name="_Toc414969154"/>
      <w:bookmarkStart w:id="7217" w:name="_Toc415011378"/>
      <w:bookmarkStart w:id="7218" w:name="_Toc415040072"/>
      <w:bookmarkStart w:id="7219" w:name="_Toc415572429"/>
      <w:bookmarkStart w:id="7220" w:name="_Toc415735599"/>
      <w:bookmarkStart w:id="7221" w:name="_Toc415814180"/>
      <w:bookmarkStart w:id="7222" w:name="_Toc416343916"/>
      <w:bookmarkStart w:id="7223" w:name="_Toc416863188"/>
      <w:bookmarkStart w:id="7224" w:name="_Toc417314803"/>
      <w:bookmarkStart w:id="7225" w:name="_Toc417323820"/>
      <w:bookmarkStart w:id="7226" w:name="_Toc417326910"/>
      <w:bookmarkStart w:id="7227" w:name="_Toc417330458"/>
      <w:bookmarkStart w:id="7228" w:name="_Toc417395065"/>
      <w:bookmarkStart w:id="7229" w:name="_Toc417399284"/>
      <w:bookmarkStart w:id="7230" w:name="_Toc417399443"/>
      <w:bookmarkStart w:id="7231" w:name="_Toc417400490"/>
      <w:bookmarkStart w:id="7232" w:name="_Toc417401338"/>
      <w:bookmarkStart w:id="7233" w:name="_Toc417419653"/>
      <w:bookmarkStart w:id="7234" w:name="_Toc417457425"/>
      <w:bookmarkStart w:id="7235" w:name="_Toc417482003"/>
      <w:bookmarkStart w:id="7236" w:name="_Toc417482261"/>
      <w:bookmarkStart w:id="7237" w:name="_Toc417499980"/>
      <w:bookmarkStart w:id="7238" w:name="_Toc417502801"/>
      <w:bookmarkStart w:id="7239" w:name="_Toc417548389"/>
      <w:bookmarkStart w:id="7240" w:name="_Toc417594632"/>
      <w:bookmarkStart w:id="7241" w:name="_Toc417934769"/>
      <w:bookmarkStart w:id="7242" w:name="_Toc417936106"/>
      <w:bookmarkStart w:id="7243" w:name="_Toc417936568"/>
      <w:bookmarkStart w:id="7244" w:name="_Toc417946984"/>
      <w:bookmarkStart w:id="7245" w:name="_Toc417947454"/>
      <w:bookmarkStart w:id="7246" w:name="_Toc417982592"/>
      <w:bookmarkStart w:id="7247" w:name="_Toc417986073"/>
      <w:bookmarkStart w:id="7248" w:name="_Toc418000737"/>
      <w:bookmarkStart w:id="7249" w:name="_Toc418003947"/>
      <w:bookmarkStart w:id="7250" w:name="_Toc418012152"/>
      <w:bookmarkStart w:id="7251" w:name="_Toc418030170"/>
      <w:bookmarkStart w:id="7252" w:name="_Toc418037015"/>
      <w:bookmarkStart w:id="7253" w:name="_Toc418061485"/>
      <w:bookmarkStart w:id="7254" w:name="_Toc418081386"/>
      <w:bookmarkStart w:id="7255" w:name="_Toc418083416"/>
      <w:bookmarkStart w:id="7256" w:name="_Toc418096182"/>
      <w:bookmarkStart w:id="7257" w:name="_Toc418156784"/>
      <w:bookmarkStart w:id="7258" w:name="_Toc418167701"/>
      <w:bookmarkStart w:id="7259" w:name="_Toc418185957"/>
      <w:bookmarkStart w:id="7260" w:name="_Toc422941671"/>
      <w:bookmarkStart w:id="7261" w:name="_Toc423116883"/>
      <w:bookmarkStart w:id="7262" w:name="_Toc423117916"/>
      <w:bookmarkStart w:id="7263" w:name="_Toc423117363"/>
      <w:bookmarkStart w:id="7264" w:name="_Toc431288962"/>
      <w:r>
        <w:t>Azure Management Services</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0185FB90" w14:textId="36D88966" w:rsidR="007B5BBD" w:rsidRPr="007B5BBD" w:rsidRDefault="00A54EDA" w:rsidP="00256000">
      <w:pPr>
        <w:rPr>
          <w:rFonts w:eastAsia="Times New Roman"/>
          <w:lang w:val="en"/>
        </w:rPr>
      </w:pPr>
      <w:r>
        <w:t xml:space="preserve">The </w:t>
      </w:r>
      <w:r w:rsidRPr="00256000">
        <w:t xml:space="preserve">Azure </w:t>
      </w:r>
      <w:r>
        <w:t>p</w:t>
      </w:r>
      <w:r w:rsidRPr="00256000">
        <w:t xml:space="preserve">ortal provides </w:t>
      </w:r>
      <w:r>
        <w:t>a default</w:t>
      </w:r>
      <w:r w:rsidRPr="00256000">
        <w:t xml:space="preserve"> monitoring</w:t>
      </w:r>
      <w:r>
        <w:rPr>
          <w:rFonts w:eastAsia="Times New Roman"/>
          <w:lang w:val="en"/>
        </w:rPr>
        <w:t xml:space="preserve"> capability for your cloud assets without any additional investments in monitoring software. A summary of the monitoring services available within Azure are outlined in the following table</w:t>
      </w:r>
      <w:r w:rsidR="00087F18">
        <w:rPr>
          <w:rFonts w:eastAsia="Times New Roman"/>
          <w:lang w:val="en"/>
        </w:rPr>
        <w:t>:</w:t>
      </w:r>
    </w:p>
    <w:tbl>
      <w:tblPr>
        <w:tblStyle w:val="PlainTable11"/>
        <w:tblW w:w="9450" w:type="dxa"/>
        <w:tblLook w:val="04A0" w:firstRow="1" w:lastRow="0" w:firstColumn="1" w:lastColumn="0" w:noHBand="0" w:noVBand="1"/>
      </w:tblPr>
      <w:tblGrid>
        <w:gridCol w:w="2700"/>
        <w:gridCol w:w="6750"/>
      </w:tblGrid>
      <w:tr w:rsidR="007B5BBD" w:rsidRPr="00F47607" w14:paraId="6FD7C779" w14:textId="77777777" w:rsidTr="00BF7F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50" w:type="dxa"/>
            <w:gridSpan w:val="2"/>
            <w:shd w:val="clear" w:color="auto" w:fill="808080" w:themeFill="background1" w:themeFillShade="80"/>
          </w:tcPr>
          <w:p w14:paraId="0C107EA9" w14:textId="77777777" w:rsidR="007B5BBD" w:rsidRPr="00F47607" w:rsidRDefault="007B5BBD" w:rsidP="00FE356A">
            <w:pPr>
              <w:spacing w:line="240" w:lineRule="auto"/>
              <w:rPr>
                <w:color w:val="FFFFFF"/>
              </w:rPr>
            </w:pPr>
            <w:r>
              <w:rPr>
                <w:color w:val="FFFFFF"/>
              </w:rPr>
              <w:t>Feature References</w:t>
            </w:r>
          </w:p>
        </w:tc>
      </w:tr>
      <w:tr w:rsidR="007B5BBD" w:rsidRPr="00BF7F28" w14:paraId="1F02D383"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440C6D7F" w14:textId="10CFD0F1" w:rsidR="007B5BBD" w:rsidRPr="00BF7F28" w:rsidRDefault="007B5BBD" w:rsidP="00FE356A">
            <w:pPr>
              <w:spacing w:line="240" w:lineRule="auto"/>
              <w:rPr>
                <w:sz w:val="20"/>
                <w:szCs w:val="20"/>
              </w:rPr>
            </w:pPr>
            <w:r w:rsidRPr="00BF7F28">
              <w:rPr>
                <w:sz w:val="20"/>
                <w:szCs w:val="20"/>
              </w:rPr>
              <w:t>Portal Cloud Service Monitoring</w:t>
            </w:r>
          </w:p>
        </w:tc>
        <w:tc>
          <w:tcPr>
            <w:tcW w:w="6750" w:type="dxa"/>
          </w:tcPr>
          <w:p w14:paraId="2BD17F06" w14:textId="73CF9120" w:rsidR="007B5BBD" w:rsidRPr="00BF7F28" w:rsidRDefault="00872E47" w:rsidP="00FE356A">
            <w:pPr>
              <w:cnfStyle w:val="000000100000" w:firstRow="0" w:lastRow="0" w:firstColumn="0" w:lastColumn="0" w:oddVBand="0" w:evenVBand="0" w:oddHBand="1" w:evenHBand="0" w:firstRowFirstColumn="0" w:firstRowLastColumn="0" w:lastRowFirstColumn="0" w:lastRowLastColumn="0"/>
              <w:rPr>
                <w:sz w:val="20"/>
                <w:szCs w:val="20"/>
              </w:rPr>
            </w:pPr>
            <w:hyperlink r:id="rId631" w:history="1">
              <w:r w:rsidR="007B5BBD" w:rsidRPr="00BF7F28">
                <w:rPr>
                  <w:rStyle w:val="Hyperlink"/>
                  <w:sz w:val="20"/>
                  <w:szCs w:val="20"/>
                </w:rPr>
                <w:t>http://azure.microsoft.com/en-us/documentation/articles/cloud-services-how-to-monitor/</w:t>
              </w:r>
            </w:hyperlink>
            <w:r w:rsidR="007B5BBD" w:rsidRPr="00BF7F28">
              <w:rPr>
                <w:sz w:val="20"/>
                <w:szCs w:val="20"/>
              </w:rPr>
              <w:t xml:space="preserve"> </w:t>
            </w:r>
          </w:p>
        </w:tc>
      </w:tr>
      <w:tr w:rsidR="007B5BBD" w:rsidRPr="00BF7F28" w14:paraId="05AC0208" w14:textId="77777777" w:rsidTr="00BF7F28">
        <w:tc>
          <w:tcPr>
            <w:cnfStyle w:val="001000000000" w:firstRow="0" w:lastRow="0" w:firstColumn="1" w:lastColumn="0" w:oddVBand="0" w:evenVBand="0" w:oddHBand="0" w:evenHBand="0" w:firstRowFirstColumn="0" w:firstRowLastColumn="0" w:lastRowFirstColumn="0" w:lastRowLastColumn="0"/>
            <w:tcW w:w="2700" w:type="dxa"/>
          </w:tcPr>
          <w:p w14:paraId="51F5F7C6" w14:textId="32D6AE9F" w:rsidR="007B5BBD" w:rsidRPr="00BF7F28" w:rsidRDefault="007B5BBD" w:rsidP="00FE356A">
            <w:pPr>
              <w:spacing w:line="240" w:lineRule="auto"/>
              <w:rPr>
                <w:sz w:val="20"/>
                <w:szCs w:val="20"/>
              </w:rPr>
            </w:pPr>
            <w:r w:rsidRPr="00BF7F28">
              <w:rPr>
                <w:sz w:val="20"/>
                <w:szCs w:val="20"/>
              </w:rPr>
              <w:t>Portal Storage Account Monitoring</w:t>
            </w:r>
          </w:p>
        </w:tc>
        <w:tc>
          <w:tcPr>
            <w:tcW w:w="6750" w:type="dxa"/>
          </w:tcPr>
          <w:p w14:paraId="642F4D0E" w14:textId="6E669E85" w:rsidR="007B5BBD" w:rsidRPr="00BF7F28" w:rsidRDefault="00872E47" w:rsidP="00FE356A">
            <w:pPr>
              <w:cnfStyle w:val="000000000000" w:firstRow="0" w:lastRow="0" w:firstColumn="0" w:lastColumn="0" w:oddVBand="0" w:evenVBand="0" w:oddHBand="0" w:evenHBand="0" w:firstRowFirstColumn="0" w:firstRowLastColumn="0" w:lastRowFirstColumn="0" w:lastRowLastColumn="0"/>
              <w:rPr>
                <w:sz w:val="20"/>
                <w:szCs w:val="20"/>
              </w:rPr>
            </w:pPr>
            <w:hyperlink r:id="rId632" w:history="1">
              <w:r w:rsidR="007B5BBD" w:rsidRPr="00BF7F28">
                <w:rPr>
                  <w:rStyle w:val="Hyperlink"/>
                  <w:sz w:val="20"/>
                  <w:szCs w:val="20"/>
                </w:rPr>
                <w:t>http://azure.microsoft.com/en-us/documentation/articles/storage-monitor-storage-account/</w:t>
              </w:r>
            </w:hyperlink>
            <w:r w:rsidR="007B5BBD" w:rsidRPr="00BF7F28">
              <w:rPr>
                <w:sz w:val="20"/>
                <w:szCs w:val="20"/>
              </w:rPr>
              <w:t xml:space="preserve"> </w:t>
            </w:r>
          </w:p>
        </w:tc>
      </w:tr>
      <w:tr w:rsidR="007B5BBD" w:rsidRPr="00BF7F28" w14:paraId="72718ABD"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789E5530" w14:textId="768B2171" w:rsidR="007B5BBD" w:rsidRPr="00BF7F28" w:rsidRDefault="0032686A" w:rsidP="00FE356A">
            <w:pPr>
              <w:spacing w:line="240" w:lineRule="auto"/>
              <w:rPr>
                <w:sz w:val="20"/>
                <w:szCs w:val="20"/>
              </w:rPr>
            </w:pPr>
            <w:r w:rsidRPr="00BF7F28">
              <w:rPr>
                <w:sz w:val="20"/>
                <w:szCs w:val="20"/>
              </w:rPr>
              <w:t>Customizing Monitoring with Azure Portal</w:t>
            </w:r>
          </w:p>
        </w:tc>
        <w:tc>
          <w:tcPr>
            <w:tcW w:w="6750" w:type="dxa"/>
          </w:tcPr>
          <w:p w14:paraId="6D3702C1" w14:textId="1D285054" w:rsidR="007B5BBD" w:rsidRPr="00BF7F28" w:rsidRDefault="00872E47" w:rsidP="00FE356A">
            <w:pPr>
              <w:cnfStyle w:val="000000100000" w:firstRow="0" w:lastRow="0" w:firstColumn="0" w:lastColumn="0" w:oddVBand="0" w:evenVBand="0" w:oddHBand="1" w:evenHBand="0" w:firstRowFirstColumn="0" w:firstRowLastColumn="0" w:lastRowFirstColumn="0" w:lastRowLastColumn="0"/>
              <w:rPr>
                <w:sz w:val="20"/>
                <w:szCs w:val="20"/>
              </w:rPr>
            </w:pPr>
            <w:hyperlink r:id="rId633" w:history="1">
              <w:r w:rsidR="0032686A" w:rsidRPr="00BF7F28">
                <w:rPr>
                  <w:rStyle w:val="Hyperlink"/>
                  <w:sz w:val="20"/>
                  <w:szCs w:val="20"/>
                </w:rPr>
                <w:t>http://azure.microsoft.com/en-us/documentation/articles/insights-how-to-customize-monitoring/</w:t>
              </w:r>
            </w:hyperlink>
            <w:r w:rsidR="0032686A" w:rsidRPr="00BF7F28">
              <w:rPr>
                <w:sz w:val="20"/>
                <w:szCs w:val="20"/>
              </w:rPr>
              <w:t xml:space="preserve"> </w:t>
            </w:r>
          </w:p>
        </w:tc>
      </w:tr>
      <w:tr w:rsidR="0032686A" w:rsidRPr="00BF7F28" w14:paraId="47FEE7D5" w14:textId="77777777" w:rsidTr="00BF7F28">
        <w:tc>
          <w:tcPr>
            <w:cnfStyle w:val="001000000000" w:firstRow="0" w:lastRow="0" w:firstColumn="1" w:lastColumn="0" w:oddVBand="0" w:evenVBand="0" w:oddHBand="0" w:evenHBand="0" w:firstRowFirstColumn="0" w:firstRowLastColumn="0" w:lastRowFirstColumn="0" w:lastRowLastColumn="0"/>
            <w:tcW w:w="2700" w:type="dxa"/>
          </w:tcPr>
          <w:p w14:paraId="08DCA143" w14:textId="1910B564" w:rsidR="0032686A" w:rsidRPr="00BF7F28" w:rsidRDefault="0032686A" w:rsidP="00FE356A">
            <w:pPr>
              <w:spacing w:line="240" w:lineRule="auto"/>
              <w:rPr>
                <w:sz w:val="20"/>
                <w:szCs w:val="20"/>
              </w:rPr>
            </w:pPr>
            <w:r w:rsidRPr="00BF7F28">
              <w:rPr>
                <w:sz w:val="20"/>
                <w:szCs w:val="20"/>
              </w:rPr>
              <w:t>Azure Traffic Manager Monitoring</w:t>
            </w:r>
          </w:p>
        </w:tc>
        <w:tc>
          <w:tcPr>
            <w:tcW w:w="6750" w:type="dxa"/>
          </w:tcPr>
          <w:p w14:paraId="13233041" w14:textId="44EE070A" w:rsidR="0032686A" w:rsidRPr="00BF7F28" w:rsidRDefault="00872E47" w:rsidP="00FE356A">
            <w:pPr>
              <w:cnfStyle w:val="000000000000" w:firstRow="0" w:lastRow="0" w:firstColumn="0" w:lastColumn="0" w:oddVBand="0" w:evenVBand="0" w:oddHBand="0" w:evenHBand="0" w:firstRowFirstColumn="0" w:firstRowLastColumn="0" w:lastRowFirstColumn="0" w:lastRowLastColumn="0"/>
              <w:rPr>
                <w:sz w:val="20"/>
                <w:szCs w:val="20"/>
              </w:rPr>
            </w:pPr>
            <w:hyperlink r:id="rId634" w:history="1">
              <w:r w:rsidR="0032686A" w:rsidRPr="00BF7F28">
                <w:rPr>
                  <w:rStyle w:val="Hyperlink"/>
                  <w:sz w:val="20"/>
                  <w:szCs w:val="20"/>
                </w:rPr>
                <w:t>http://azure.microsoft.com/en-us/documentation/articles/traffic-manager-monitoring/</w:t>
              </w:r>
            </w:hyperlink>
            <w:r w:rsidR="0032686A" w:rsidRPr="00BF7F28">
              <w:rPr>
                <w:sz w:val="20"/>
                <w:szCs w:val="20"/>
              </w:rPr>
              <w:t xml:space="preserve"> </w:t>
            </w:r>
          </w:p>
        </w:tc>
      </w:tr>
    </w:tbl>
    <w:p w14:paraId="118992B8" w14:textId="77777777" w:rsidR="007B5BBD" w:rsidRDefault="007B5BBD" w:rsidP="007B5BBD">
      <w:pPr>
        <w:jc w:val="both"/>
      </w:pPr>
    </w:p>
    <w:p w14:paraId="6C2F1813" w14:textId="77777777" w:rsidR="00682E4A" w:rsidRDefault="00682E4A" w:rsidP="005729D2">
      <w:pPr>
        <w:pStyle w:val="Heading3Numbered"/>
        <w:numPr>
          <w:ilvl w:val="2"/>
          <w:numId w:val="64"/>
        </w:numPr>
      </w:pPr>
      <w:bookmarkStart w:id="7265" w:name="_Toc414892161"/>
      <w:bookmarkStart w:id="7266" w:name="_Toc414960184"/>
      <w:bookmarkStart w:id="7267" w:name="_Toc414969155"/>
      <w:bookmarkStart w:id="7268" w:name="_Toc415011379"/>
      <w:bookmarkStart w:id="7269" w:name="_Toc415040073"/>
      <w:bookmarkStart w:id="7270" w:name="_Toc415572430"/>
      <w:bookmarkStart w:id="7271" w:name="_Toc415735600"/>
      <w:bookmarkStart w:id="7272" w:name="_Toc415814181"/>
      <w:bookmarkStart w:id="7273" w:name="_Toc416343917"/>
      <w:bookmarkStart w:id="7274" w:name="_Toc416863189"/>
      <w:bookmarkStart w:id="7275" w:name="_Toc417314804"/>
      <w:bookmarkStart w:id="7276" w:name="_Toc417323821"/>
      <w:bookmarkStart w:id="7277" w:name="_Toc417326911"/>
      <w:bookmarkStart w:id="7278" w:name="_Toc417330459"/>
      <w:bookmarkStart w:id="7279" w:name="_Toc417395066"/>
      <w:bookmarkStart w:id="7280" w:name="_Toc417399285"/>
      <w:bookmarkStart w:id="7281" w:name="_Toc417399444"/>
      <w:bookmarkStart w:id="7282" w:name="_Toc417400491"/>
      <w:bookmarkStart w:id="7283" w:name="_Toc417401339"/>
      <w:bookmarkStart w:id="7284" w:name="_Toc417419654"/>
      <w:bookmarkStart w:id="7285" w:name="_Toc417457426"/>
      <w:bookmarkStart w:id="7286" w:name="_Toc417482004"/>
      <w:bookmarkStart w:id="7287" w:name="_Toc417482262"/>
      <w:bookmarkStart w:id="7288" w:name="_Toc417499981"/>
      <w:bookmarkStart w:id="7289" w:name="_Toc417502802"/>
      <w:bookmarkStart w:id="7290" w:name="_Toc417548390"/>
      <w:bookmarkStart w:id="7291" w:name="_Toc417594633"/>
      <w:bookmarkStart w:id="7292" w:name="_Toc417934770"/>
      <w:bookmarkStart w:id="7293" w:name="_Toc417936107"/>
      <w:bookmarkStart w:id="7294" w:name="_Toc417936569"/>
      <w:bookmarkStart w:id="7295" w:name="_Toc417946985"/>
      <w:bookmarkStart w:id="7296" w:name="_Toc417947455"/>
      <w:bookmarkStart w:id="7297" w:name="_Toc417982593"/>
      <w:bookmarkStart w:id="7298" w:name="_Toc417986074"/>
      <w:bookmarkStart w:id="7299" w:name="_Toc418000738"/>
      <w:bookmarkStart w:id="7300" w:name="_Toc418003948"/>
      <w:bookmarkStart w:id="7301" w:name="_Toc418012153"/>
      <w:bookmarkStart w:id="7302" w:name="_Toc418030171"/>
      <w:bookmarkStart w:id="7303" w:name="_Toc418037016"/>
      <w:bookmarkStart w:id="7304" w:name="_Toc418061486"/>
      <w:bookmarkStart w:id="7305" w:name="_Toc418081387"/>
      <w:bookmarkStart w:id="7306" w:name="_Toc418083417"/>
      <w:bookmarkStart w:id="7307" w:name="_Toc418096183"/>
      <w:bookmarkStart w:id="7308" w:name="_Toc418156785"/>
      <w:bookmarkStart w:id="7309" w:name="_Toc418167702"/>
      <w:bookmarkStart w:id="7310" w:name="_Toc418185958"/>
      <w:bookmarkStart w:id="7311" w:name="_Toc422941672"/>
      <w:bookmarkStart w:id="7312" w:name="_Toc423116884"/>
      <w:bookmarkStart w:id="7313" w:name="_Toc423117917"/>
      <w:bookmarkStart w:id="7314" w:name="_Toc423117364"/>
      <w:bookmarkStart w:id="7315" w:name="_Toc431288963"/>
      <w:r>
        <w:t>System Center Operations Manager</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6C2F1815" w14:textId="71D513B8" w:rsidR="00682E4A" w:rsidRDefault="00682E4A" w:rsidP="005729D2">
      <w:pPr>
        <w:pStyle w:val="Heading4Numbered"/>
        <w:numPr>
          <w:ilvl w:val="3"/>
          <w:numId w:val="64"/>
        </w:numPr>
      </w:pPr>
      <w:r>
        <w:t>System Center Management Pack for Microsoft Azure Fabric</w:t>
      </w:r>
    </w:p>
    <w:p w14:paraId="4AFA940B" w14:textId="6DA7DF9A" w:rsidR="00F13E5C" w:rsidRDefault="00087F18" w:rsidP="00F13E5C">
      <w:pPr>
        <w:rPr>
          <w:rFonts w:eastAsia="Times New Roman"/>
          <w:lang w:val="en"/>
        </w:rPr>
      </w:pPr>
      <w:bookmarkStart w:id="7316" w:name="_Toc414892162"/>
      <w:bookmarkStart w:id="7317" w:name="_Toc414960185"/>
      <w:bookmarkStart w:id="7318" w:name="_Toc414969156"/>
      <w:bookmarkStart w:id="7319" w:name="_Toc415011380"/>
      <w:bookmarkStart w:id="7320" w:name="_Toc415040074"/>
      <w:bookmarkStart w:id="7321" w:name="_Toc415572431"/>
      <w:bookmarkStart w:id="7322" w:name="_Toc415735601"/>
      <w:bookmarkStart w:id="7323" w:name="_Toc415814182"/>
      <w:bookmarkStart w:id="7324" w:name="_Toc416343918"/>
      <w:r w:rsidRPr="00087F18">
        <w:rPr>
          <w:rFonts w:eastAsia="Times New Roman"/>
          <w:lang w:val="en"/>
        </w:rPr>
        <w:t>Organizations</w:t>
      </w:r>
      <w:r w:rsidR="00F13E5C" w:rsidRPr="00087F18">
        <w:rPr>
          <w:rFonts w:eastAsia="Times New Roman"/>
          <w:lang w:val="en"/>
        </w:rPr>
        <w:t xml:space="preserve"> that have existing investments with</w:t>
      </w:r>
      <w:r w:rsidR="00F13E5C">
        <w:rPr>
          <w:rFonts w:eastAsia="Times New Roman"/>
          <w:lang w:val="en"/>
        </w:rPr>
        <w:t xml:space="preserve"> System Center Operations Manager can leverage this infrastructure to monitor their A</w:t>
      </w:r>
      <w:r w:rsidR="00F13E5C" w:rsidRPr="00087F18">
        <w:rPr>
          <w:rFonts w:eastAsia="Times New Roman"/>
          <w:lang w:val="en"/>
        </w:rPr>
        <w:t>zure</w:t>
      </w:r>
      <w:r w:rsidR="00F13E5C">
        <w:rPr>
          <w:rFonts w:eastAsia="Times New Roman"/>
          <w:lang w:val="en"/>
        </w:rPr>
        <w:t>-based</w:t>
      </w:r>
      <w:r w:rsidR="00F13E5C" w:rsidRPr="00087F18">
        <w:rPr>
          <w:rFonts w:eastAsia="Times New Roman"/>
          <w:lang w:val="en"/>
        </w:rPr>
        <w:t xml:space="preserve"> assets through th</w:t>
      </w:r>
      <w:r w:rsidR="00F13E5C">
        <w:rPr>
          <w:rFonts w:eastAsia="Times New Roman"/>
          <w:lang w:val="en"/>
        </w:rPr>
        <w:t>e System Center Management Pack for Azure</w:t>
      </w:r>
      <w:r w:rsidR="00F13E5C" w:rsidRPr="00087F18">
        <w:rPr>
          <w:rFonts w:eastAsia="Times New Roman"/>
          <w:lang w:val="en"/>
        </w:rPr>
        <w:t xml:space="preserve">. </w:t>
      </w:r>
      <w:r w:rsidR="00F13E5C">
        <w:rPr>
          <w:rFonts w:eastAsia="Times New Roman"/>
          <w:lang w:val="en"/>
        </w:rPr>
        <w:t>This Management Pack extends monitoring of Azure resources by exposing them to Operations Manager. The following references are provided:</w:t>
      </w:r>
    </w:p>
    <w:tbl>
      <w:tblPr>
        <w:tblStyle w:val="PlainTable11"/>
        <w:tblW w:w="9450" w:type="dxa"/>
        <w:tblLook w:val="04A0" w:firstRow="1" w:lastRow="0" w:firstColumn="1" w:lastColumn="0" w:noHBand="0" w:noVBand="1"/>
      </w:tblPr>
      <w:tblGrid>
        <w:gridCol w:w="2700"/>
        <w:gridCol w:w="6750"/>
      </w:tblGrid>
      <w:tr w:rsidR="00F13E5C" w:rsidRPr="00F47607" w14:paraId="61E5680C" w14:textId="77777777" w:rsidTr="00210E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50" w:type="dxa"/>
            <w:gridSpan w:val="2"/>
            <w:shd w:val="clear" w:color="auto" w:fill="808080" w:themeFill="background1" w:themeFillShade="80"/>
          </w:tcPr>
          <w:p w14:paraId="0A0E4E7B" w14:textId="77777777" w:rsidR="00F13E5C" w:rsidRPr="00F47607" w:rsidRDefault="00F13E5C" w:rsidP="00210EDF">
            <w:pPr>
              <w:spacing w:line="240" w:lineRule="auto"/>
              <w:rPr>
                <w:color w:val="FFFFFF"/>
              </w:rPr>
            </w:pPr>
            <w:r>
              <w:rPr>
                <w:color w:val="FFFFFF"/>
              </w:rPr>
              <w:t>Feature References</w:t>
            </w:r>
          </w:p>
        </w:tc>
      </w:tr>
      <w:tr w:rsidR="00F13E5C" w:rsidRPr="00BF7F28" w14:paraId="363C40CF" w14:textId="77777777" w:rsidTr="00210E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38D58A5F" w14:textId="77777777" w:rsidR="00F13E5C" w:rsidRPr="00BF7F28" w:rsidRDefault="00F13E5C" w:rsidP="00210EDF">
            <w:pPr>
              <w:spacing w:line="240" w:lineRule="auto"/>
              <w:rPr>
                <w:sz w:val="20"/>
                <w:szCs w:val="20"/>
              </w:rPr>
            </w:pPr>
            <w:r w:rsidRPr="00BF7F28">
              <w:rPr>
                <w:sz w:val="20"/>
                <w:szCs w:val="20"/>
              </w:rPr>
              <w:t>Azure Management Pack Documentation download</w:t>
            </w:r>
          </w:p>
        </w:tc>
        <w:tc>
          <w:tcPr>
            <w:tcW w:w="6750" w:type="dxa"/>
          </w:tcPr>
          <w:p w14:paraId="732A3B92" w14:textId="77777777" w:rsidR="00F13E5C" w:rsidRPr="00BF7F28" w:rsidRDefault="00872E47" w:rsidP="00210EDF">
            <w:pPr>
              <w:cnfStyle w:val="000000100000" w:firstRow="0" w:lastRow="0" w:firstColumn="0" w:lastColumn="0" w:oddVBand="0" w:evenVBand="0" w:oddHBand="1" w:evenHBand="0" w:firstRowFirstColumn="0" w:firstRowLastColumn="0" w:lastRowFirstColumn="0" w:lastRowLastColumn="0"/>
              <w:rPr>
                <w:sz w:val="20"/>
                <w:szCs w:val="20"/>
              </w:rPr>
            </w:pPr>
            <w:hyperlink r:id="rId635" w:history="1">
              <w:r w:rsidR="00F13E5C" w:rsidRPr="00BF7F28">
                <w:rPr>
                  <w:rStyle w:val="Hyperlink"/>
                  <w:sz w:val="20"/>
                  <w:szCs w:val="20"/>
                </w:rPr>
                <w:t>http://www.microsoft.com/en-us/download/details.aspx?id=38414</w:t>
              </w:r>
            </w:hyperlink>
            <w:r w:rsidR="00F13E5C" w:rsidRPr="00BF7F28">
              <w:rPr>
                <w:sz w:val="20"/>
                <w:szCs w:val="20"/>
              </w:rPr>
              <w:t xml:space="preserve"> </w:t>
            </w:r>
          </w:p>
        </w:tc>
      </w:tr>
      <w:tr w:rsidR="00F13E5C" w:rsidRPr="00BF7F28" w14:paraId="56031CEE" w14:textId="77777777" w:rsidTr="00210EDF">
        <w:tc>
          <w:tcPr>
            <w:cnfStyle w:val="001000000000" w:firstRow="0" w:lastRow="0" w:firstColumn="1" w:lastColumn="0" w:oddVBand="0" w:evenVBand="0" w:oddHBand="0" w:evenHBand="0" w:firstRowFirstColumn="0" w:firstRowLastColumn="0" w:lastRowFirstColumn="0" w:lastRowLastColumn="0"/>
            <w:tcW w:w="2700" w:type="dxa"/>
          </w:tcPr>
          <w:p w14:paraId="408F06E9" w14:textId="77777777" w:rsidR="00F13E5C" w:rsidRPr="00BF7F28" w:rsidRDefault="00F13E5C" w:rsidP="00210EDF">
            <w:pPr>
              <w:spacing w:line="240" w:lineRule="auto"/>
              <w:rPr>
                <w:sz w:val="20"/>
                <w:szCs w:val="20"/>
              </w:rPr>
            </w:pPr>
            <w:r w:rsidRPr="00BF7F28">
              <w:rPr>
                <w:sz w:val="20"/>
                <w:szCs w:val="20"/>
              </w:rPr>
              <w:t>Azure Management Pack Monitoring scenarios</w:t>
            </w:r>
          </w:p>
        </w:tc>
        <w:tc>
          <w:tcPr>
            <w:tcW w:w="6750" w:type="dxa"/>
          </w:tcPr>
          <w:p w14:paraId="4A08FDF3" w14:textId="77777777" w:rsidR="00F13E5C" w:rsidRPr="00BF7F28" w:rsidRDefault="00872E47" w:rsidP="00210EDF">
            <w:pPr>
              <w:cnfStyle w:val="000000000000" w:firstRow="0" w:lastRow="0" w:firstColumn="0" w:lastColumn="0" w:oddVBand="0" w:evenVBand="0" w:oddHBand="0" w:evenHBand="0" w:firstRowFirstColumn="0" w:firstRowLastColumn="0" w:lastRowFirstColumn="0" w:lastRowLastColumn="0"/>
              <w:rPr>
                <w:sz w:val="20"/>
                <w:szCs w:val="20"/>
              </w:rPr>
            </w:pPr>
            <w:hyperlink r:id="rId636" w:history="1">
              <w:r w:rsidR="00F13E5C" w:rsidRPr="00BF7F28">
                <w:rPr>
                  <w:rStyle w:val="Hyperlink"/>
                  <w:sz w:val="20"/>
                  <w:szCs w:val="20"/>
                </w:rPr>
                <w:t>http://blogs.technet.com/b/momteam/archive/2013/04/11/pre-release-of-the-management-pack-for-windows-azure-fabric-now-available.aspx</w:t>
              </w:r>
            </w:hyperlink>
            <w:r w:rsidR="00F13E5C" w:rsidRPr="00BF7F28">
              <w:rPr>
                <w:sz w:val="20"/>
                <w:szCs w:val="20"/>
              </w:rPr>
              <w:t xml:space="preserve"> </w:t>
            </w:r>
          </w:p>
        </w:tc>
      </w:tr>
    </w:tbl>
    <w:p w14:paraId="5079C581" w14:textId="77777777" w:rsidR="00F13E5C" w:rsidRDefault="00F13E5C" w:rsidP="00F13E5C">
      <w:pPr>
        <w:spacing w:before="100" w:beforeAutospacing="1" w:after="100" w:afterAutospacing="1" w:line="240" w:lineRule="auto"/>
        <w:rPr>
          <w:rFonts w:ascii="Times New Roman" w:eastAsia="Times New Roman" w:hAnsi="Times New Roman" w:cs="Times New Roman"/>
          <w:sz w:val="24"/>
          <w:szCs w:val="24"/>
          <w:lang w:val="en"/>
        </w:rPr>
      </w:pP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F13E5C" w14:paraId="0B1D7E7E" w14:textId="77777777" w:rsidTr="00210EDF">
        <w:trPr>
          <w:trHeight w:val="423"/>
        </w:trPr>
        <w:tc>
          <w:tcPr>
            <w:tcW w:w="666" w:type="dxa"/>
          </w:tcPr>
          <w:p w14:paraId="6A9AC70B" w14:textId="77777777" w:rsidR="00F13E5C" w:rsidRDefault="00F13E5C" w:rsidP="00210EDF">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3CD358CF" wp14:editId="1302E1D5">
                      <wp:extent cx="200025" cy="180975"/>
                      <wp:effectExtent l="57150" t="19050" r="28575" b="104775"/>
                      <wp:docPr id="60" name="Octagon 60"/>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C9D30E7" id="Octagon 60"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y8DcAIAAEwFAAAOAAAAZHJzL2Uyb0RvYy54bWysVEtrGzEQvhf6H4TuzXrdPE3WwTikFEJi&#10;mpScZa1kC7QadSR77f76jrTrjUkDgdKLNKP55j2j65tdY9lWYTDgKl6ejDhTTkJt3KriP5/vvlxy&#10;FqJwtbDgVMX3KvCb6edP162fqDGswdYKGRlxYdL6iq9j9JOiCHKtGhFOwCtHQg3YiEgsrooaRUvW&#10;G1uMR6PzogWsPYJUIdDrbSfk02xfayXjo9ZBRWYrTrHFfGI+l+ksptdiskLh10b2YYh/iKIRxpHT&#10;wdStiIJt0PxlqjESIYCOJxKaArQ2UuUcKJty9Cabp7XwKudCxQl+KFP4f2blw3aBzNQVP6fyONFQ&#10;jx5lFCtwjF6oPK0PE0I9+QX2XCAy5brT2KSbsmC7XNL9UFK1i0zSI/VoND7jTJKovBxdXZwlm8Wr&#10;sscQvyloWCIqDp3vXEuxvQ+xQx9QyV0Aa+o7Y21mcLWcW2RbQQ2ez8lbDpocHMGKlEMXdabi3qqk&#10;bN0PpSl5irPMHvPYqcGekFK5OO4jzuikpsn3oPj1Y8Uen1RVHslBefyx8qCRPYOLg3JjHOB7Bmws&#10;+5B1h6eCH+WdyCXUe+o7QrcQwcs7Q/W/FyEuBNIG0DDQVsdHOrSFlhrTU5ytAX+/957wNJgk5ayl&#10;jap4+LURqDiz3x2N7FV5eppWMDOnZxdjYvBYsjyWuE0zB+ppSf+Hl5lM+GgPpEZoXmj5Z8kriYST&#10;5LviMuKBmcdu0+n7kGo2yzBaOy/ivXvy8tD1NFzPuxeBvh/CSNP7AIftE5M3g9hhUz8czDYRtMlT&#10;+lrXvt60snnU++8l/QnHfEa9foLTPwAAAP//AwBQSwMEFAAGAAgAAAAhAJ+3RPHbAAAAAwEAAA8A&#10;AABkcnMvZG93bnJldi54bWxMj0FLw0AQhe+C/2EZwZvdpNIS02yKCAUP0mC1eN1mp0lodjbsbpv4&#10;7x292MvA4z3e+6ZYT7YXF/Shc6QgnSUgkGpnOmoUfH5sHjIQIWoyuneECr4xwLq8vSl0btxI73jZ&#10;xUZwCYVcK2hjHHIpQ92i1WHmBiT2js5bHVn6RhqvRy63vZwnyVJa3REvtHrAlxbr0+5sFVSnsXrN&#10;qurpy2+W2zdv96nf7pW6v5ueVyAiTvE/DL/4jA4lMx3cmUwQvQJ+JP5d9h7TBYiDgnm2AFkW8pq9&#10;/AEAAP//AwBQSwECLQAUAAYACAAAACEAtoM4kv4AAADhAQAAEwAAAAAAAAAAAAAAAAAAAAAAW0Nv&#10;bnRlbnRfVHlwZXNdLnhtbFBLAQItABQABgAIAAAAIQA4/SH/1gAAAJQBAAALAAAAAAAAAAAAAAAA&#10;AC8BAABfcmVscy8ucmVsc1BLAQItABQABgAIAAAAIQAx6y8DcAIAAEwFAAAOAAAAAAAAAAAAAAAA&#10;AC4CAABkcnMvZTJvRG9jLnhtbFBLAQItABQABgAIAAAAIQCft0Tx2wAAAAMBAAAPAAAAAAAAAAAA&#10;AAAAAMoEAABkcnMvZG93bnJldi54bWxQSwUGAAAAAAQABADzAAAA0gUAAAAA&#10;" fillcolor="#c00" strokecolor="#ed7d31 [3205]" strokeweight=".5pt">
                      <w10:anchorlock/>
                    </v:shape>
                  </w:pict>
                </mc:Fallback>
              </mc:AlternateContent>
            </w:r>
          </w:p>
        </w:tc>
        <w:tc>
          <w:tcPr>
            <w:tcW w:w="8604" w:type="dxa"/>
          </w:tcPr>
          <w:p w14:paraId="4ED2E163" w14:textId="77777777" w:rsidR="00F13E5C" w:rsidRDefault="00F13E5C" w:rsidP="00210EDF">
            <w:pPr>
              <w:rPr>
                <w:lang w:eastAsia="en-US"/>
              </w:rPr>
            </w:pPr>
            <w:r w:rsidRPr="00192064">
              <w:rPr>
                <w:b/>
                <w:lang w:eastAsia="en-US"/>
              </w:rPr>
              <w:t>Mandatory</w:t>
            </w:r>
            <w:r>
              <w:rPr>
                <w:lang w:eastAsia="en-US"/>
              </w:rPr>
              <w:t xml:space="preserve">: You need the management certificate from your subscription before you can configure Operations Manager to discover your Azure resources. </w:t>
            </w:r>
          </w:p>
        </w:tc>
      </w:tr>
    </w:tbl>
    <w:p w14:paraId="058A4DFE" w14:textId="77777777" w:rsidR="00F13E5C" w:rsidRDefault="00F13E5C" w:rsidP="00F13E5C">
      <w:pPr>
        <w:spacing w:before="100" w:beforeAutospacing="1" w:after="100" w:afterAutospacing="1" w:line="240" w:lineRule="auto"/>
        <w:rPr>
          <w:rFonts w:ascii="Times New Roman" w:eastAsia="Times New Roman" w:hAnsi="Times New Roman" w:cs="Times New Roman"/>
          <w:sz w:val="24"/>
          <w:szCs w:val="24"/>
          <w:lang w:val="en"/>
        </w:rPr>
      </w:pPr>
    </w:p>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F13E5C" w14:paraId="6AE53B79" w14:textId="77777777" w:rsidTr="00210EDF">
        <w:tc>
          <w:tcPr>
            <w:tcW w:w="9360" w:type="dxa"/>
            <w:shd w:val="clear" w:color="auto" w:fill="008AC8"/>
          </w:tcPr>
          <w:p w14:paraId="25DEAED0" w14:textId="77777777" w:rsidR="00F13E5C" w:rsidRPr="00F47607" w:rsidRDefault="00F13E5C" w:rsidP="00210EDF">
            <w:pPr>
              <w:spacing w:line="240" w:lineRule="auto"/>
              <w:rPr>
                <w:color w:val="FFFFFF"/>
              </w:rPr>
            </w:pPr>
            <w:r>
              <w:rPr>
                <w:color w:val="FFFFFF"/>
              </w:rPr>
              <w:t>Design Guidance</w:t>
            </w:r>
          </w:p>
        </w:tc>
      </w:tr>
    </w:tbl>
    <w:p w14:paraId="77278FF5" w14:textId="77777777" w:rsidR="00F13E5C" w:rsidRDefault="00F13E5C" w:rsidP="00F13E5C">
      <w:r>
        <w:t>The following considerations apply when e</w:t>
      </w:r>
      <w:r w:rsidRPr="00256000">
        <w:t>xtending Azure monitoring through Operation</w:t>
      </w:r>
      <w:r>
        <w:t xml:space="preserve">s </w:t>
      </w:r>
      <w:r w:rsidRPr="00256000">
        <w:t>Manager PowerShell</w:t>
      </w:r>
      <w:r>
        <w:t xml:space="preserve">: </w:t>
      </w:r>
    </w:p>
    <w:p w14:paraId="43CAA5B6" w14:textId="77777777" w:rsidR="00F13E5C" w:rsidRDefault="00F13E5C" w:rsidP="00F13E5C">
      <w:r w:rsidRPr="00256000">
        <w:t xml:space="preserve">With ability to execute PowerShell scripts </w:t>
      </w:r>
      <w:r>
        <w:t xml:space="preserve">through </w:t>
      </w:r>
      <w:r w:rsidRPr="00256000">
        <w:t>Operation</w:t>
      </w:r>
      <w:r>
        <w:t>s</w:t>
      </w:r>
      <w:r w:rsidRPr="00256000">
        <w:t xml:space="preserve"> Manager</w:t>
      </w:r>
      <w:r>
        <w:t>,</w:t>
      </w:r>
      <w:r w:rsidRPr="00256000">
        <w:t xml:space="preserve"> you can</w:t>
      </w:r>
      <w:r>
        <w:t>:</w:t>
      </w:r>
    </w:p>
    <w:p w14:paraId="50440CC2" w14:textId="77777777" w:rsidR="00F13E5C" w:rsidRDefault="00F13E5C" w:rsidP="005729D2">
      <w:pPr>
        <w:pStyle w:val="ListParagraph"/>
        <w:numPr>
          <w:ilvl w:val="0"/>
          <w:numId w:val="289"/>
        </w:numPr>
      </w:pPr>
      <w:r>
        <w:t>E</w:t>
      </w:r>
      <w:r w:rsidRPr="00256000">
        <w:t xml:space="preserve">xtend existing management packs to retrieve additional data that is not provided by the management pack </w:t>
      </w:r>
      <w:r>
        <w:t>for Azure</w:t>
      </w:r>
    </w:p>
    <w:p w14:paraId="5DAA5FEB" w14:textId="77777777" w:rsidR="00F13E5C" w:rsidRDefault="00F13E5C" w:rsidP="005729D2">
      <w:pPr>
        <w:pStyle w:val="ListParagraph"/>
        <w:numPr>
          <w:ilvl w:val="0"/>
          <w:numId w:val="289"/>
        </w:numPr>
      </w:pPr>
      <w:r>
        <w:t>E</w:t>
      </w:r>
      <w:r w:rsidRPr="00256000">
        <w:t xml:space="preserve">xpose functionality present in </w:t>
      </w:r>
      <w:r>
        <w:t>the A</w:t>
      </w:r>
      <w:r w:rsidRPr="00256000">
        <w:t>zure portal to Operation</w:t>
      </w:r>
      <w:r>
        <w:t>s</w:t>
      </w:r>
      <w:r w:rsidRPr="00256000">
        <w:t xml:space="preserve"> Manager</w:t>
      </w:r>
    </w:p>
    <w:p w14:paraId="6C2E945C" w14:textId="77777777" w:rsidR="00F13E5C" w:rsidRPr="00256000" w:rsidRDefault="00F13E5C" w:rsidP="00F13E5C">
      <w:r w:rsidRPr="00256000">
        <w:t xml:space="preserve">There are two methods that you can leverage to extend </w:t>
      </w:r>
      <w:r>
        <w:t>A</w:t>
      </w:r>
      <w:r w:rsidRPr="00256000">
        <w:t>zure monitoring to Operation</w:t>
      </w:r>
      <w:r>
        <w:t>s</w:t>
      </w:r>
      <w:r w:rsidRPr="00256000">
        <w:t xml:space="preserve"> Manager:</w:t>
      </w:r>
    </w:p>
    <w:p w14:paraId="51FE6D08" w14:textId="77777777" w:rsidR="00F13E5C" w:rsidRPr="00256000" w:rsidRDefault="00F13E5C" w:rsidP="005729D2">
      <w:pPr>
        <w:pStyle w:val="ListParagraph"/>
        <w:numPr>
          <w:ilvl w:val="0"/>
          <w:numId w:val="51"/>
        </w:numPr>
      </w:pPr>
      <w:r w:rsidRPr="00491887">
        <w:t xml:space="preserve">Use </w:t>
      </w:r>
      <w:r w:rsidRPr="00491887">
        <w:rPr>
          <w:b/>
        </w:rPr>
        <w:t>Invoke-RestMethod</w:t>
      </w:r>
      <w:r w:rsidRPr="00256000">
        <w:t xml:space="preserve"> against</w:t>
      </w:r>
      <w:r>
        <w:t xml:space="preserve"> the</w:t>
      </w:r>
      <w:r w:rsidRPr="00256000">
        <w:t xml:space="preserve"> </w:t>
      </w:r>
      <w:r w:rsidRPr="00941B7E">
        <w:t>Azure REST API</w:t>
      </w:r>
      <w:r>
        <w:t>s</w:t>
      </w:r>
      <w:r>
        <w:rPr>
          <w:rStyle w:val="Hyperlink"/>
        </w:rPr>
        <w:t>.</w:t>
      </w:r>
    </w:p>
    <w:p w14:paraId="28A99D0E" w14:textId="77777777" w:rsidR="00F13E5C" w:rsidRDefault="00F13E5C" w:rsidP="005729D2">
      <w:pPr>
        <w:pStyle w:val="ListParagraph"/>
        <w:numPr>
          <w:ilvl w:val="0"/>
          <w:numId w:val="51"/>
        </w:numPr>
      </w:pPr>
      <w:r w:rsidRPr="00256000">
        <w:t xml:space="preserve">Load </w:t>
      </w:r>
      <w:r>
        <w:t xml:space="preserve">the </w:t>
      </w:r>
      <w:r w:rsidRPr="00256000">
        <w:t xml:space="preserve">Azure module as part of your monitoring solution and use native </w:t>
      </w:r>
      <w:r>
        <w:t xml:space="preserve">Windows </w:t>
      </w:r>
      <w:r w:rsidRPr="00087F18">
        <w:t>PowerShell</w:t>
      </w:r>
      <w:r w:rsidRPr="00256000">
        <w:t xml:space="preserve"> commands.</w:t>
      </w:r>
    </w:p>
    <w:p w14:paraId="0DFAF110" w14:textId="77777777" w:rsidR="00F13E5C" w:rsidRDefault="00F13E5C" w:rsidP="00F13E5C">
      <w:r w:rsidRPr="00256000">
        <w:rPr>
          <w:b/>
        </w:rPr>
        <w:t>Method</w:t>
      </w:r>
      <w:r>
        <w:rPr>
          <w:b/>
        </w:rPr>
        <w:t> 1</w:t>
      </w:r>
      <w:r w:rsidRPr="00256000">
        <w:rPr>
          <w:b/>
        </w:rPr>
        <w:t xml:space="preserve"> </w:t>
      </w:r>
      <w:r>
        <w:t xml:space="preserve">is </w:t>
      </w:r>
      <w:r w:rsidRPr="00256000">
        <w:t xml:space="preserve">best used when you are unable to find a corresponding </w:t>
      </w:r>
      <w:r w:rsidRPr="00087F18">
        <w:t>PowerShell</w:t>
      </w:r>
      <w:r w:rsidRPr="00256000">
        <w:t xml:space="preserve"> cmdlet.</w:t>
      </w:r>
      <w:r>
        <w:t xml:space="preserve"> </w:t>
      </w:r>
    </w:p>
    <w:p w14:paraId="108BEFFB" w14:textId="6EFEB785" w:rsidR="00437C05" w:rsidRPr="00256000" w:rsidRDefault="00F13E5C" w:rsidP="00F13E5C">
      <w:r w:rsidRPr="00256000">
        <w:rPr>
          <w:b/>
        </w:rPr>
        <w:t>Method</w:t>
      </w:r>
      <w:r>
        <w:rPr>
          <w:b/>
        </w:rPr>
        <w:t> 2</w:t>
      </w:r>
      <w:r w:rsidRPr="00256000">
        <w:t xml:space="preserve"> should be your first choice for designing your custom </w:t>
      </w:r>
      <w:r>
        <w:t>A</w:t>
      </w:r>
      <w:r w:rsidRPr="00256000">
        <w:t xml:space="preserve">zure </w:t>
      </w:r>
      <w:r>
        <w:t>P</w:t>
      </w:r>
      <w:r w:rsidRPr="00256000">
        <w:t>ower</w:t>
      </w:r>
      <w:r>
        <w:t>S</w:t>
      </w:r>
      <w:r w:rsidRPr="00256000">
        <w:t>hell solution. Using cmdlets is preferable due to the abstraction factor. With R</w:t>
      </w:r>
      <w:r>
        <w:t>EST</w:t>
      </w:r>
      <w:r w:rsidRPr="00256000">
        <w:t xml:space="preserve"> API</w:t>
      </w:r>
      <w:r>
        <w:t>s,</w:t>
      </w:r>
      <w:r w:rsidRPr="00256000">
        <w:t xml:space="preserve"> the interface can change</w:t>
      </w:r>
      <w:r>
        <w:t>,</w:t>
      </w:r>
      <w:r w:rsidRPr="00256000">
        <w:t xml:space="preserve"> which could potentially force you to revise your solution</w:t>
      </w:r>
      <w:r w:rsidR="00261823" w:rsidRPr="00256000">
        <w:t xml:space="preserve">. </w:t>
      </w:r>
    </w:p>
    <w:p w14:paraId="6C2F1817" w14:textId="6FC0B165" w:rsidR="00682E4A" w:rsidRDefault="00682E4A" w:rsidP="005729D2">
      <w:pPr>
        <w:pStyle w:val="Heading3Numbered"/>
        <w:numPr>
          <w:ilvl w:val="2"/>
          <w:numId w:val="64"/>
        </w:numPr>
      </w:pPr>
      <w:bookmarkStart w:id="7325" w:name="_Toc416863190"/>
      <w:bookmarkStart w:id="7326" w:name="_Toc417314805"/>
      <w:bookmarkStart w:id="7327" w:name="_Toc417323822"/>
      <w:bookmarkStart w:id="7328" w:name="_Toc417326912"/>
      <w:bookmarkStart w:id="7329" w:name="_Toc417330460"/>
      <w:bookmarkStart w:id="7330" w:name="_Toc417395067"/>
      <w:bookmarkStart w:id="7331" w:name="_Toc417399286"/>
      <w:bookmarkStart w:id="7332" w:name="_Toc417399445"/>
      <w:bookmarkStart w:id="7333" w:name="_Toc417400492"/>
      <w:bookmarkStart w:id="7334" w:name="_Toc417401340"/>
      <w:bookmarkStart w:id="7335" w:name="_Toc417419655"/>
      <w:bookmarkStart w:id="7336" w:name="_Toc417457427"/>
      <w:bookmarkStart w:id="7337" w:name="_Toc417482005"/>
      <w:bookmarkStart w:id="7338" w:name="_Toc417482263"/>
      <w:bookmarkStart w:id="7339" w:name="_Toc417499982"/>
      <w:bookmarkStart w:id="7340" w:name="_Toc417502803"/>
      <w:bookmarkStart w:id="7341" w:name="_Toc417548391"/>
      <w:bookmarkStart w:id="7342" w:name="_Toc417594634"/>
      <w:bookmarkStart w:id="7343" w:name="_Toc417934771"/>
      <w:bookmarkStart w:id="7344" w:name="_Toc417936108"/>
      <w:bookmarkStart w:id="7345" w:name="_Toc417936570"/>
      <w:bookmarkStart w:id="7346" w:name="_Toc417946986"/>
      <w:bookmarkStart w:id="7347" w:name="_Toc417947456"/>
      <w:bookmarkStart w:id="7348" w:name="_Toc417982594"/>
      <w:bookmarkStart w:id="7349" w:name="_Toc417986075"/>
      <w:bookmarkStart w:id="7350" w:name="_Toc418000739"/>
      <w:bookmarkStart w:id="7351" w:name="_Toc418003949"/>
      <w:bookmarkStart w:id="7352" w:name="_Toc418012154"/>
      <w:bookmarkStart w:id="7353" w:name="_Toc418030172"/>
      <w:bookmarkStart w:id="7354" w:name="_Toc418037017"/>
      <w:bookmarkStart w:id="7355" w:name="_Toc418061487"/>
      <w:bookmarkStart w:id="7356" w:name="_Toc418081388"/>
      <w:bookmarkStart w:id="7357" w:name="_Toc418082015"/>
      <w:bookmarkStart w:id="7358" w:name="_Toc418083418"/>
      <w:bookmarkStart w:id="7359" w:name="_Toc418096184"/>
      <w:bookmarkStart w:id="7360" w:name="_Toc418156786"/>
      <w:bookmarkStart w:id="7361" w:name="_Toc418167703"/>
      <w:bookmarkStart w:id="7362" w:name="_Toc418185959"/>
      <w:bookmarkStart w:id="7363" w:name="_Toc422941673"/>
      <w:bookmarkStart w:id="7364" w:name="_Toc423116885"/>
      <w:bookmarkStart w:id="7365" w:name="_Toc423117918"/>
      <w:bookmarkStart w:id="7366" w:name="_Toc423117365"/>
      <w:bookmarkStart w:id="7367" w:name="_Toc431288964"/>
      <w:r>
        <w:t>Application Insights</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6C2F1818" w14:textId="1994D63E" w:rsidR="00682E4A" w:rsidRDefault="0026669C" w:rsidP="00682E4A">
      <w:pPr>
        <w:jc w:val="both"/>
      </w:pPr>
      <w:r w:rsidRPr="0026669C">
        <w:t>Application Insights is a set of services that provide actionable insight into a production application. This data is then integrated into the development tools and process</w:t>
      </w:r>
      <w:r w:rsidR="0095755D">
        <w:t xml:space="preserve">. The following references are provided when implementing this capability within Azure to monitor applications: </w:t>
      </w:r>
    </w:p>
    <w:tbl>
      <w:tblPr>
        <w:tblStyle w:val="PlainTable11"/>
        <w:tblW w:w="0" w:type="auto"/>
        <w:tblLook w:val="04A0" w:firstRow="1" w:lastRow="0" w:firstColumn="1" w:lastColumn="0" w:noHBand="0" w:noVBand="1"/>
      </w:tblPr>
      <w:tblGrid>
        <w:gridCol w:w="3416"/>
        <w:gridCol w:w="5934"/>
      </w:tblGrid>
      <w:tr w:rsidR="0026669C" w:rsidRPr="00F47607" w14:paraId="5D0EE460" w14:textId="77777777" w:rsidTr="00BF7F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71F848D4" w14:textId="77777777" w:rsidR="0026669C" w:rsidRPr="00F47607" w:rsidRDefault="0026669C" w:rsidP="006E0E63">
            <w:pPr>
              <w:spacing w:line="240" w:lineRule="auto"/>
              <w:rPr>
                <w:color w:val="FFFFFF"/>
              </w:rPr>
            </w:pPr>
            <w:r>
              <w:rPr>
                <w:color w:val="FFFFFF"/>
              </w:rPr>
              <w:t>Feature References</w:t>
            </w:r>
          </w:p>
        </w:tc>
      </w:tr>
      <w:tr w:rsidR="0026669C" w:rsidRPr="00BF7F28" w14:paraId="5F0D0FA8"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1F5C1E5A" w14:textId="56A8EE89" w:rsidR="0026669C" w:rsidRPr="00BF7F28" w:rsidRDefault="0026669C" w:rsidP="006E0E63">
            <w:pPr>
              <w:spacing w:line="240" w:lineRule="auto"/>
              <w:rPr>
                <w:sz w:val="20"/>
                <w:szCs w:val="18"/>
              </w:rPr>
            </w:pPr>
            <w:r w:rsidRPr="00BF7F28">
              <w:rPr>
                <w:sz w:val="20"/>
                <w:szCs w:val="18"/>
              </w:rPr>
              <w:t>Availability Monitoring</w:t>
            </w:r>
          </w:p>
        </w:tc>
        <w:tc>
          <w:tcPr>
            <w:tcW w:w="5940" w:type="dxa"/>
          </w:tcPr>
          <w:p w14:paraId="2C05369E" w14:textId="3BA0581E" w:rsidR="0026669C" w:rsidRPr="00BF7F28" w:rsidRDefault="00872E47" w:rsidP="006E0E63">
            <w:pPr>
              <w:cnfStyle w:val="000000100000" w:firstRow="0" w:lastRow="0" w:firstColumn="0" w:lastColumn="0" w:oddVBand="0" w:evenVBand="0" w:oddHBand="1" w:evenHBand="0" w:firstRowFirstColumn="0" w:firstRowLastColumn="0" w:lastRowFirstColumn="0" w:lastRowLastColumn="0"/>
              <w:rPr>
                <w:sz w:val="20"/>
                <w:szCs w:val="18"/>
              </w:rPr>
            </w:pPr>
            <w:hyperlink r:id="rId637" w:history="1">
              <w:r w:rsidR="0026669C" w:rsidRPr="00BF7F28">
                <w:rPr>
                  <w:rStyle w:val="Hyperlink"/>
                  <w:sz w:val="20"/>
                  <w:szCs w:val="18"/>
                </w:rPr>
                <w:t>http://azure.microsoft.com/en-us/documentation/articles/app-insights-monitor-web-app-availability/</w:t>
              </w:r>
            </w:hyperlink>
            <w:r w:rsidR="0026669C" w:rsidRPr="00BF7F28">
              <w:rPr>
                <w:sz w:val="20"/>
                <w:szCs w:val="18"/>
              </w:rPr>
              <w:t xml:space="preserve"> </w:t>
            </w:r>
          </w:p>
        </w:tc>
      </w:tr>
      <w:tr w:rsidR="0026669C" w:rsidRPr="00BF7F28" w14:paraId="3F943F45" w14:textId="77777777" w:rsidTr="00BF7F28">
        <w:tc>
          <w:tcPr>
            <w:cnfStyle w:val="001000000000" w:firstRow="0" w:lastRow="0" w:firstColumn="1" w:lastColumn="0" w:oddVBand="0" w:evenVBand="0" w:oddHBand="0" w:evenHBand="0" w:firstRowFirstColumn="0" w:firstRowLastColumn="0" w:lastRowFirstColumn="0" w:lastRowLastColumn="0"/>
            <w:tcW w:w="3420" w:type="dxa"/>
          </w:tcPr>
          <w:p w14:paraId="071928DC" w14:textId="100DE3EB" w:rsidR="0026669C" w:rsidRPr="00BF7F28" w:rsidRDefault="0026669C" w:rsidP="006E0E63">
            <w:pPr>
              <w:spacing w:line="240" w:lineRule="auto"/>
              <w:rPr>
                <w:sz w:val="20"/>
                <w:szCs w:val="18"/>
              </w:rPr>
            </w:pPr>
            <w:r w:rsidRPr="00BF7F28">
              <w:rPr>
                <w:sz w:val="20"/>
                <w:szCs w:val="18"/>
              </w:rPr>
              <w:t>Diagnostics and Performance</w:t>
            </w:r>
          </w:p>
        </w:tc>
        <w:tc>
          <w:tcPr>
            <w:tcW w:w="5940" w:type="dxa"/>
          </w:tcPr>
          <w:p w14:paraId="6B4134D2" w14:textId="306E4406" w:rsidR="0026669C" w:rsidRPr="00BF7F28" w:rsidRDefault="00872E47" w:rsidP="006E0E63">
            <w:pPr>
              <w:cnfStyle w:val="000000000000" w:firstRow="0" w:lastRow="0" w:firstColumn="0" w:lastColumn="0" w:oddVBand="0" w:evenVBand="0" w:oddHBand="0" w:evenHBand="0" w:firstRowFirstColumn="0" w:firstRowLastColumn="0" w:lastRowFirstColumn="0" w:lastRowLastColumn="0"/>
              <w:rPr>
                <w:sz w:val="20"/>
                <w:szCs w:val="18"/>
              </w:rPr>
            </w:pPr>
            <w:hyperlink r:id="rId638" w:history="1">
              <w:r w:rsidR="0026669C" w:rsidRPr="00BF7F28">
                <w:rPr>
                  <w:rStyle w:val="Hyperlink"/>
                  <w:sz w:val="20"/>
                  <w:szCs w:val="18"/>
                </w:rPr>
                <w:t>http://azure.microsoft.com/en-us/documentation/articles/app-insights-detect-triage-diagnose/</w:t>
              </w:r>
            </w:hyperlink>
            <w:r w:rsidR="0026669C" w:rsidRPr="00BF7F28">
              <w:rPr>
                <w:sz w:val="20"/>
                <w:szCs w:val="18"/>
              </w:rPr>
              <w:t xml:space="preserve"> </w:t>
            </w:r>
          </w:p>
        </w:tc>
      </w:tr>
      <w:tr w:rsidR="0026669C" w:rsidRPr="00BF7F28" w14:paraId="33142275"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09075B9A" w14:textId="653B8982" w:rsidR="0026669C" w:rsidRPr="00BF7F28" w:rsidRDefault="0026669C" w:rsidP="006E0E63">
            <w:pPr>
              <w:spacing w:line="240" w:lineRule="auto"/>
              <w:rPr>
                <w:sz w:val="20"/>
                <w:szCs w:val="18"/>
              </w:rPr>
            </w:pPr>
            <w:r w:rsidRPr="00BF7F28">
              <w:rPr>
                <w:sz w:val="20"/>
                <w:szCs w:val="18"/>
              </w:rPr>
              <w:t>Usage</w:t>
            </w:r>
          </w:p>
        </w:tc>
        <w:tc>
          <w:tcPr>
            <w:tcW w:w="5940" w:type="dxa"/>
          </w:tcPr>
          <w:p w14:paraId="7A51E6E7" w14:textId="24CB0BEC" w:rsidR="0026669C" w:rsidRPr="00BF7F28" w:rsidRDefault="00872E47" w:rsidP="006E0E63">
            <w:pPr>
              <w:cnfStyle w:val="000000100000" w:firstRow="0" w:lastRow="0" w:firstColumn="0" w:lastColumn="0" w:oddVBand="0" w:evenVBand="0" w:oddHBand="1" w:evenHBand="0" w:firstRowFirstColumn="0" w:firstRowLastColumn="0" w:lastRowFirstColumn="0" w:lastRowLastColumn="0"/>
              <w:rPr>
                <w:sz w:val="20"/>
                <w:szCs w:val="18"/>
              </w:rPr>
            </w:pPr>
            <w:hyperlink r:id="rId639" w:history="1">
              <w:r w:rsidR="0026669C" w:rsidRPr="00BF7F28">
                <w:rPr>
                  <w:rStyle w:val="Hyperlink"/>
                  <w:sz w:val="20"/>
                  <w:szCs w:val="18"/>
                </w:rPr>
                <w:t>http://azure.microsoft.com/en-us/documentation/articles/app-insights-overview-usage/</w:t>
              </w:r>
            </w:hyperlink>
            <w:r w:rsidR="0026669C" w:rsidRPr="00BF7F28">
              <w:rPr>
                <w:sz w:val="20"/>
                <w:szCs w:val="18"/>
              </w:rPr>
              <w:t xml:space="preserve"> </w:t>
            </w:r>
          </w:p>
        </w:tc>
      </w:tr>
      <w:tr w:rsidR="007B5BBD" w:rsidRPr="00BF7F28" w14:paraId="45D40D5A" w14:textId="77777777" w:rsidTr="00BF7F28">
        <w:tc>
          <w:tcPr>
            <w:cnfStyle w:val="001000000000" w:firstRow="0" w:lastRow="0" w:firstColumn="1" w:lastColumn="0" w:oddVBand="0" w:evenVBand="0" w:oddHBand="0" w:evenHBand="0" w:firstRowFirstColumn="0" w:firstRowLastColumn="0" w:lastRowFirstColumn="0" w:lastRowLastColumn="0"/>
            <w:tcW w:w="3420" w:type="dxa"/>
          </w:tcPr>
          <w:p w14:paraId="5789952A" w14:textId="5196E1AC" w:rsidR="007B5BBD" w:rsidRPr="00BF7F28" w:rsidRDefault="007B5BBD" w:rsidP="006E0E63">
            <w:pPr>
              <w:spacing w:line="240" w:lineRule="auto"/>
              <w:rPr>
                <w:sz w:val="20"/>
                <w:szCs w:val="18"/>
              </w:rPr>
            </w:pPr>
            <w:r w:rsidRPr="00BF7F28">
              <w:rPr>
                <w:sz w:val="20"/>
                <w:szCs w:val="18"/>
              </w:rPr>
              <w:t>SharePoint Monitoring with Application Insights</w:t>
            </w:r>
          </w:p>
        </w:tc>
        <w:tc>
          <w:tcPr>
            <w:tcW w:w="5940" w:type="dxa"/>
          </w:tcPr>
          <w:p w14:paraId="542C62B8" w14:textId="4CD28781" w:rsidR="007B5BBD" w:rsidRPr="00BF7F28" w:rsidRDefault="00872E47" w:rsidP="006E0E63">
            <w:pPr>
              <w:cnfStyle w:val="000000000000" w:firstRow="0" w:lastRow="0" w:firstColumn="0" w:lastColumn="0" w:oddVBand="0" w:evenVBand="0" w:oddHBand="0" w:evenHBand="0" w:firstRowFirstColumn="0" w:firstRowLastColumn="0" w:lastRowFirstColumn="0" w:lastRowLastColumn="0"/>
              <w:rPr>
                <w:sz w:val="20"/>
                <w:szCs w:val="18"/>
              </w:rPr>
            </w:pPr>
            <w:hyperlink r:id="rId640" w:history="1">
              <w:r w:rsidR="007B5BBD" w:rsidRPr="00BF7F28">
                <w:rPr>
                  <w:rStyle w:val="Hyperlink"/>
                  <w:sz w:val="20"/>
                  <w:szCs w:val="18"/>
                </w:rPr>
                <w:t>http://azure.microsoft.com/en-us/documentation/articles/app-insights-sharepoint/</w:t>
              </w:r>
            </w:hyperlink>
            <w:r w:rsidR="007B5BBD" w:rsidRPr="00BF7F28">
              <w:rPr>
                <w:sz w:val="20"/>
                <w:szCs w:val="18"/>
              </w:rPr>
              <w:t xml:space="preserve"> </w:t>
            </w:r>
          </w:p>
        </w:tc>
      </w:tr>
    </w:tbl>
    <w:p w14:paraId="2A216D3C" w14:textId="77777777" w:rsidR="0026669C" w:rsidRDefault="0026669C" w:rsidP="00682E4A">
      <w:pPr>
        <w:jc w:val="both"/>
      </w:pP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592CD0" w14:paraId="6FCB134C" w14:textId="77777777" w:rsidTr="00FE356A">
        <w:trPr>
          <w:trHeight w:val="423"/>
        </w:trPr>
        <w:tc>
          <w:tcPr>
            <w:tcW w:w="666" w:type="dxa"/>
          </w:tcPr>
          <w:p w14:paraId="404B5730" w14:textId="77777777" w:rsidR="00592CD0" w:rsidRDefault="00592CD0" w:rsidP="00FE356A">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1E20B3D2" wp14:editId="46DB0E7B">
                      <wp:extent cx="200025" cy="180975"/>
                      <wp:effectExtent l="57150" t="19050" r="28575" b="104775"/>
                      <wp:docPr id="1546650193" name="Octagon 1546650193"/>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44DB22D" id="Octagon 1546650193"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DYbeQIAAFwFAAAOAAAAZHJzL2Uyb0RvYy54bWysVFtr2zAUfh/sPwi9r7bTpJdQp4SUjkFp&#10;S9vRZ0WWEoGko0lKnOzX70h23NAVCmMv8jk+9+9crq53RpOt8EGBrWl1UlIiLIdG2VVNf77cfrug&#10;JERmG6bBipruRaDXs69frlo3FSNYg26EJ+jEhmnrarqO0U2LIvC1MCycgBMWhRK8YRFZvyoaz1r0&#10;bnQxKsuzogXfOA9chIB/bzohnWX/UgoeH6QMIhJdU8wt5tfnd5neYnbFpivP3FrxPg32D1kYpiwG&#10;HVzdsMjIxqu/XBnFPQSQ8YSDKUBKxUWuAaupynfVPK+ZE7kWBCe4Aabw/9zy++2jJ6rB3k3GZ2eT&#10;sro8pcQyg7164JGtwJIjCcLVujBFq2f36HsuIJlq30lv0herIrsM8X6AWOwi4fgTe1aOJpRwFFUX&#10;5eX5JLWgeDN2PsTvAgxJRE2hyyFjy7Z3IXbaB60ULoBWza3SOjN+tVxoT7YMG75YYLTcYwxwpFak&#10;GrqsMxX3WiRjbZ+ERDAwzypHzGMoBn+Mc2HjqM84ayczibEHw9PPDXv9ZCryiA7Go8+NB4scGWwc&#10;jI2y4D9yoGPVpyw7fQT8qO5ELqHZ4xx46BYkOH6rEP87FuIj87gRuDu45fEBH6mhxcb0FCVr8L8/&#10;+p/0cVBRSkmLG1bT8GvDvKBE/7A4wpfVeJxWMjPjyfkIGX8sWR5L7MYsAHta4T1xPJNJP+oDKT2Y&#10;VzwG8xQVRcxyjF1THv2BWcRu8/GccDGfZzVcQ8finX12/ND1NFwvu1fmXT+EEaf3Hg7byKbvBrHT&#10;Tf2wMN9EkCpP6RuuPd64wnnU+3OTbsQxn7XejuLsDwAAAP//AwBQSwMEFAAGAAgAAAAhAJ+3RPHb&#10;AAAAAwEAAA8AAABkcnMvZG93bnJldi54bWxMj0FLw0AQhe+C/2EZwZvdpNIS02yKCAUP0mC1eN1m&#10;p0lodjbsbpv47x292MvA4z3e+6ZYT7YXF/Shc6QgnSUgkGpnOmoUfH5sHjIQIWoyuneECr4xwLq8&#10;vSl0btxI73jZxUZwCYVcK2hjHHIpQ92i1WHmBiT2js5bHVn6RhqvRy63vZwnyVJa3REvtHrAlxbr&#10;0+5sFVSnsXrNqurpy2+W2zdv96nf7pW6v5ueVyAiTvE/DL/4jA4lMx3cmUwQvQJ+JP5d9h7TBYiD&#10;gnm2AFkW8pq9/AEAAP//AwBQSwECLQAUAAYACAAAACEAtoM4kv4AAADhAQAAEwAAAAAAAAAAAAAA&#10;AAAAAAAAW0NvbnRlbnRfVHlwZXNdLnhtbFBLAQItABQABgAIAAAAIQA4/SH/1gAAAJQBAAALAAAA&#10;AAAAAAAAAAAAAC8BAABfcmVscy8ucmVsc1BLAQItABQABgAIAAAAIQBVxDYbeQIAAFwFAAAOAAAA&#10;AAAAAAAAAAAAAC4CAABkcnMvZTJvRG9jLnhtbFBLAQItABQABgAIAAAAIQCft0Tx2wAAAAMBAAAP&#10;AAAAAAAAAAAAAAAAANMEAABkcnMvZG93bnJldi54bWxQSwUGAAAAAAQABADzAAAA2wUAAAAA&#10;" fillcolor="#c00" strokecolor="#ed7d31 [3205]" strokeweight=".5pt">
                      <w10:anchorlock/>
                    </v:shape>
                  </w:pict>
                </mc:Fallback>
              </mc:AlternateContent>
            </w:r>
          </w:p>
        </w:tc>
        <w:tc>
          <w:tcPr>
            <w:tcW w:w="8604" w:type="dxa"/>
          </w:tcPr>
          <w:p w14:paraId="44EF6056" w14:textId="77777777" w:rsidR="008C3C99" w:rsidRDefault="00592CD0" w:rsidP="00592CD0">
            <w:pPr>
              <w:rPr>
                <w:lang w:eastAsia="en-US"/>
              </w:rPr>
            </w:pPr>
            <w:r w:rsidRPr="00192064">
              <w:rPr>
                <w:b/>
                <w:lang w:eastAsia="en-US"/>
              </w:rPr>
              <w:t>Mandatory</w:t>
            </w:r>
            <w:r>
              <w:rPr>
                <w:lang w:eastAsia="en-US"/>
              </w:rPr>
              <w:t xml:space="preserve">:  </w:t>
            </w:r>
          </w:p>
          <w:p w14:paraId="7A804F32" w14:textId="77777777" w:rsidR="00F13E5C" w:rsidRDefault="00F13E5C" w:rsidP="005729D2">
            <w:pPr>
              <w:pStyle w:val="ListParagraph"/>
              <w:numPr>
                <w:ilvl w:val="0"/>
                <w:numId w:val="52"/>
              </w:numPr>
              <w:rPr>
                <w:lang w:eastAsia="en-US"/>
              </w:rPr>
            </w:pPr>
            <w:r>
              <w:rPr>
                <w:lang w:eastAsia="en-US"/>
              </w:rPr>
              <w:t>You are r</w:t>
            </w:r>
            <w:r w:rsidRPr="008C3C99">
              <w:rPr>
                <w:lang w:eastAsia="en-US"/>
              </w:rPr>
              <w:t>equire</w:t>
            </w:r>
            <w:r>
              <w:rPr>
                <w:lang w:eastAsia="en-US"/>
              </w:rPr>
              <w:t>d</w:t>
            </w:r>
            <w:r w:rsidRPr="008C3C99">
              <w:rPr>
                <w:lang w:eastAsia="en-US"/>
              </w:rPr>
              <w:t xml:space="preserve"> to integrate the SDK to your existing application.</w:t>
            </w:r>
            <w:r>
              <w:rPr>
                <w:lang w:eastAsia="en-US"/>
              </w:rPr>
              <w:t xml:space="preserve"> </w:t>
            </w:r>
          </w:p>
          <w:p w14:paraId="276B1EA3" w14:textId="77777777" w:rsidR="00F13E5C" w:rsidRDefault="00F13E5C" w:rsidP="005729D2">
            <w:pPr>
              <w:pStyle w:val="ListParagraph"/>
              <w:numPr>
                <w:ilvl w:val="0"/>
                <w:numId w:val="52"/>
              </w:numPr>
              <w:rPr>
                <w:lang w:eastAsia="en-US"/>
              </w:rPr>
            </w:pPr>
            <w:r>
              <w:rPr>
                <w:lang w:eastAsia="en-US"/>
              </w:rPr>
              <w:t>You are required to tie your Application Insights integration to a subscription.</w:t>
            </w:r>
          </w:p>
          <w:p w14:paraId="255CAFA5" w14:textId="30E84DB0" w:rsidR="008C3C99" w:rsidRPr="008C3C99" w:rsidRDefault="00F13E5C" w:rsidP="005729D2">
            <w:pPr>
              <w:pStyle w:val="ListParagraph"/>
              <w:numPr>
                <w:ilvl w:val="0"/>
                <w:numId w:val="52"/>
              </w:numPr>
              <w:rPr>
                <w:lang w:eastAsia="en-US"/>
              </w:rPr>
            </w:pPr>
            <w:r>
              <w:rPr>
                <w:lang w:eastAsia="en-US"/>
              </w:rPr>
              <w:t xml:space="preserve">For organizations with existing applications, you must manually add the </w:t>
            </w:r>
            <w:hyperlink r:id="rId641" w:history="1">
              <w:r w:rsidRPr="00250DAC">
                <w:rPr>
                  <w:rStyle w:val="Hyperlink"/>
                  <w:lang w:eastAsia="en-US"/>
                </w:rPr>
                <w:t>Application Insights NuGet package</w:t>
              </w:r>
            </w:hyperlink>
            <w:r>
              <w:rPr>
                <w:lang w:eastAsia="en-US"/>
              </w:rPr>
              <w:t xml:space="preserve"> to integrate with Application Insights</w:t>
            </w:r>
            <w:r w:rsidR="008C3C99">
              <w:rPr>
                <w:lang w:eastAsia="en-US"/>
              </w:rPr>
              <w:t xml:space="preserve">. </w:t>
            </w:r>
          </w:p>
        </w:tc>
      </w:tr>
      <w:tr w:rsidR="00592CD0" w:rsidRPr="00F5625A" w14:paraId="3FFB87F9" w14:textId="77777777" w:rsidTr="00FE356A">
        <w:trPr>
          <w:trHeight w:val="423"/>
        </w:trPr>
        <w:tc>
          <w:tcPr>
            <w:tcW w:w="666" w:type="dxa"/>
          </w:tcPr>
          <w:p w14:paraId="5CB039F4" w14:textId="77777777" w:rsidR="00592CD0" w:rsidRDefault="00592CD0" w:rsidP="00FE356A">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329536" behindDoc="0" locked="0" layoutInCell="1" allowOverlap="1" wp14:anchorId="6245D10B" wp14:editId="5CC76650">
                      <wp:simplePos x="0" y="0"/>
                      <wp:positionH relativeFrom="column">
                        <wp:posOffset>66675</wp:posOffset>
                      </wp:positionH>
                      <wp:positionV relativeFrom="paragraph">
                        <wp:posOffset>90170</wp:posOffset>
                      </wp:positionV>
                      <wp:extent cx="209550" cy="180975"/>
                      <wp:effectExtent l="57150" t="19050" r="57150" b="104775"/>
                      <wp:wrapNone/>
                      <wp:docPr id="1546650194" name="Isosceles Triangle 15466501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0FB2EBF7" id="Isosceles Triangle 1546650194" o:spid="_x0000_s1026" type="#_x0000_t5" style="position:absolute;margin-left:5.25pt;margin-top:7.1pt;width:16.5pt;height:14.25pt;z-index:25132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mKyjgIAAIEFAAAOAAAAZHJzL2Uyb0RvYy54bWysVG1r2zAQ/j7YfxD6vtrOkrQxdUpoySiE&#10;trQd/azIUmIm6zRJiZP9+p3kl2ZdoTDmD0Lne+5Nz91dXh1qRfbCugp0QbOzlBKhOZSV3hT0+/Py&#10;ywUlzjNdMgVaFPQoHL2af/502ZhcjGALqhSWoBPt8sYUdOu9yZPE8a2omTsDIzQqJdiaeRTtJikt&#10;a9B7rZJRmk6TBmxpLHDhHP69aZV0Hv1LKbi/l9IJT1RBMTcfTxvPdTiT+SXLN5aZbcW7NNg/ZFGz&#10;SmPQwdUN84zsbPWXq7riFhxIf8ahTkDKiotYA1aTpW+qedoyI2It+DjODM/k/p9bfrd/sKQqkbvJ&#10;eDqdpNlsTIlmNXJ168BxoYQjz7ZieqMEOQHhyzXG5ejgyTzYULszK+A/HCqSPzRBcB3mIG0dsFg5&#10;OUQajgMN4uAJx5+jdDaZIFkcVdlFOjufBJoSlvfGxjr/TUBNwqWgvssuEsD2K+dbeA+LuYGqymWl&#10;VBTsZn2tLNkz7IolfmlsBIzgXmGxhjbtWIA/KhGMlX4UEl8ME81ixNirYvDHOBfaT7uUIzqYSYw9&#10;GH792LDDB1MR+3gwHn1sPFjEyKD9YFxXGux7DpTPupRli+9YdG3d4QnWUB6xWSy0U+QMX1ZIwIo5&#10;/8Asjg1yhqvA3+MhFTQFhe5GyRbsr/f+Bzx2M2opaXAMC+p+7pgVlKhbjX0+y8bjMLdRGE/ORyjY&#10;U836VKN39TUgpxkuHcPjNeC96q/SQv2CG2MRoqKKaY6xC8q97YVr364H3DlcLBYRhrNqmF/pJ8N7&#10;1kNzPR9emDV9F2L73kE/six/04gtNvChYbHzIKvYpa/v2r03znns9W4nhUVyKkfU6+ac/wY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aa5iso4CAAC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6FAC1C7B" w14:textId="77777777" w:rsidR="00592CD0" w:rsidRDefault="00592CD0" w:rsidP="00FE356A">
            <w:pPr>
              <w:rPr>
                <w:rFonts w:eastAsiaTheme="minorHAnsi"/>
                <w:lang w:eastAsia="en-US"/>
              </w:rPr>
            </w:pPr>
            <w:r>
              <w:rPr>
                <w:rFonts w:eastAsiaTheme="minorHAnsi"/>
                <w:b/>
                <w:lang w:eastAsia="en-US"/>
              </w:rPr>
              <w:t xml:space="preserve">Recommended: </w:t>
            </w:r>
            <w:r>
              <w:rPr>
                <w:rFonts w:eastAsiaTheme="minorHAnsi"/>
                <w:lang w:eastAsia="en-US"/>
              </w:rPr>
              <w:t xml:space="preserve"> </w:t>
            </w:r>
          </w:p>
          <w:p w14:paraId="5502A5E6" w14:textId="77777777" w:rsidR="00F13E5C" w:rsidRPr="008C3C99" w:rsidRDefault="00F13E5C" w:rsidP="005729D2">
            <w:pPr>
              <w:pStyle w:val="ListParagraph"/>
              <w:numPr>
                <w:ilvl w:val="0"/>
                <w:numId w:val="43"/>
              </w:numPr>
              <w:rPr>
                <w:lang w:eastAsia="en-US"/>
              </w:rPr>
            </w:pPr>
            <w:r>
              <w:rPr>
                <w:rFonts w:eastAsiaTheme="minorHAnsi"/>
                <w:lang w:eastAsia="en-US"/>
              </w:rPr>
              <w:t xml:space="preserve">When you integrate Application Insights with your application, it is advised you update Visual Studio 2013 to latest update package. </w:t>
            </w:r>
          </w:p>
          <w:p w14:paraId="61A35367" w14:textId="77777777" w:rsidR="00F13E5C" w:rsidRPr="008C3C99" w:rsidRDefault="00F13E5C" w:rsidP="005729D2">
            <w:pPr>
              <w:pStyle w:val="ListParagraph"/>
              <w:numPr>
                <w:ilvl w:val="0"/>
                <w:numId w:val="43"/>
              </w:numPr>
              <w:rPr>
                <w:lang w:eastAsia="en-US"/>
              </w:rPr>
            </w:pPr>
            <w:r>
              <w:rPr>
                <w:rFonts w:eastAsiaTheme="minorHAnsi"/>
                <w:lang w:eastAsia="en-US"/>
              </w:rPr>
              <w:t xml:space="preserve">When you design an application for the first time and you want to integrate it to Application Insights from the beginning, you might want to set up your subscription and storage account first. </w:t>
            </w:r>
          </w:p>
          <w:p w14:paraId="38CD8887" w14:textId="51C37101" w:rsidR="0099398E" w:rsidRPr="00F5625A" w:rsidRDefault="00F13E5C" w:rsidP="005729D2">
            <w:pPr>
              <w:pStyle w:val="ListParagraph"/>
              <w:numPr>
                <w:ilvl w:val="0"/>
                <w:numId w:val="43"/>
              </w:numPr>
              <w:rPr>
                <w:lang w:eastAsia="en-US"/>
              </w:rPr>
            </w:pPr>
            <w:r>
              <w:rPr>
                <w:rFonts w:eastAsiaTheme="minorHAnsi"/>
                <w:lang w:eastAsia="en-US"/>
              </w:rPr>
              <w:t>If you have a choice between integrating the SDK into your application or leveraging the wizard to drop specific DLLs for Application Insights into your website bin folder, choose to integrate the SDK through Visual Studio, and redeploy the application</w:t>
            </w:r>
            <w:r w:rsidR="008C3C99">
              <w:rPr>
                <w:rFonts w:eastAsiaTheme="minorHAnsi"/>
                <w:lang w:eastAsia="en-US"/>
              </w:rPr>
              <w:t xml:space="preserve">. </w:t>
            </w:r>
          </w:p>
        </w:tc>
      </w:tr>
    </w:tbl>
    <w:p w14:paraId="73C97C36" w14:textId="2108C86C" w:rsidR="00305E18" w:rsidRDefault="00305E18">
      <w:pPr>
        <w:spacing w:before="0" w:after="160" w:line="259" w:lineRule="auto"/>
      </w:pPr>
    </w:p>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95755D" w14:paraId="73E5C9C2" w14:textId="77777777" w:rsidTr="0053616A">
        <w:tc>
          <w:tcPr>
            <w:tcW w:w="9360" w:type="dxa"/>
            <w:shd w:val="clear" w:color="auto" w:fill="008AC8"/>
          </w:tcPr>
          <w:p w14:paraId="420FD186" w14:textId="77777777" w:rsidR="0095755D" w:rsidRPr="00F47607" w:rsidRDefault="0095755D" w:rsidP="0053616A">
            <w:pPr>
              <w:spacing w:line="240" w:lineRule="auto"/>
              <w:rPr>
                <w:color w:val="FFFFFF"/>
              </w:rPr>
            </w:pPr>
            <w:r>
              <w:rPr>
                <w:color w:val="FFFFFF"/>
              </w:rPr>
              <w:t>Design Guidance</w:t>
            </w:r>
          </w:p>
        </w:tc>
      </w:tr>
    </w:tbl>
    <w:p w14:paraId="259272A7" w14:textId="0B3B2249" w:rsidR="0095755D" w:rsidRDefault="0095755D" w:rsidP="00256000">
      <w:r>
        <w:t>The following considerations apply when e</w:t>
      </w:r>
      <w:r w:rsidRPr="00B04A16">
        <w:t>xte</w:t>
      </w:r>
      <w:r>
        <w:t>nding Azure monitoring through Application Insights:</w:t>
      </w:r>
    </w:p>
    <w:tbl>
      <w:tblPr>
        <w:tblStyle w:val="PlainTable11"/>
        <w:tblW w:w="9355" w:type="dxa"/>
        <w:tblLook w:val="04A0" w:firstRow="1" w:lastRow="0" w:firstColumn="1" w:lastColumn="0" w:noHBand="0" w:noVBand="1"/>
      </w:tblPr>
      <w:tblGrid>
        <w:gridCol w:w="2965"/>
        <w:gridCol w:w="6390"/>
      </w:tblGrid>
      <w:tr w:rsidR="00707DC7" w:rsidRPr="00BF7F28" w14:paraId="7BD19D5F" w14:textId="77777777" w:rsidTr="00BF7F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shd w:val="clear" w:color="auto" w:fill="808080" w:themeFill="background1" w:themeFillShade="80"/>
            <w:hideMark/>
          </w:tcPr>
          <w:p w14:paraId="11F62B1A" w14:textId="5F685E7B" w:rsidR="00707DC7" w:rsidRPr="00BF7F28" w:rsidRDefault="0095755D" w:rsidP="00FE356A">
            <w:pPr>
              <w:spacing w:line="240" w:lineRule="auto"/>
              <w:rPr>
                <w:rFonts w:ascii="Times New Roman" w:hAnsi="Times New Roman"/>
                <w:bCs w:val="0"/>
                <w:color w:val="FFFFFF"/>
                <w:lang w:val="en-AU" w:eastAsia="en-AU"/>
              </w:rPr>
            </w:pPr>
            <w:r w:rsidRPr="00BF7F28">
              <w:rPr>
                <w:rFonts w:eastAsia="Calibri"/>
                <w:bCs w:val="0"/>
                <w:color w:val="FFFFFF"/>
                <w:szCs w:val="20"/>
                <w:lang w:eastAsia="en-AU"/>
              </w:rPr>
              <w:t>Capability Considerations</w:t>
            </w:r>
          </w:p>
        </w:tc>
        <w:tc>
          <w:tcPr>
            <w:tcW w:w="6390" w:type="dxa"/>
            <w:shd w:val="clear" w:color="auto" w:fill="808080" w:themeFill="background1" w:themeFillShade="80"/>
            <w:hideMark/>
          </w:tcPr>
          <w:p w14:paraId="5466838D" w14:textId="41FD7005" w:rsidR="00707DC7" w:rsidRPr="00BF7F28" w:rsidRDefault="0095755D" w:rsidP="00FE356A">
            <w:pPr>
              <w:spacing w:line="240" w:lineRule="auto"/>
              <w:cnfStyle w:val="100000000000" w:firstRow="1" w:lastRow="0" w:firstColumn="0" w:lastColumn="0" w:oddVBand="0" w:evenVBand="0" w:oddHBand="0" w:evenHBand="0" w:firstRowFirstColumn="0" w:firstRowLastColumn="0" w:lastRowFirstColumn="0" w:lastRowLastColumn="0"/>
              <w:rPr>
                <w:rFonts w:eastAsia="Calibri"/>
                <w:color w:val="FFFFFF"/>
                <w:lang w:val="en-AU" w:eastAsia="en-AU"/>
              </w:rPr>
            </w:pPr>
            <w:r w:rsidRPr="00BF7F28">
              <w:rPr>
                <w:rFonts w:eastAsia="Calibri"/>
                <w:bCs w:val="0"/>
                <w:color w:val="FFFFFF"/>
                <w:szCs w:val="20"/>
                <w:lang w:eastAsia="en-AU"/>
              </w:rPr>
              <w:t>Capability Decision Points</w:t>
            </w:r>
          </w:p>
        </w:tc>
      </w:tr>
      <w:tr w:rsidR="00F13E5C" w:rsidRPr="00B814EA" w14:paraId="7421B4E4"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5" w:type="dxa"/>
            <w:hideMark/>
          </w:tcPr>
          <w:p w14:paraId="338F4DF5" w14:textId="4C52FC00" w:rsidR="00F13E5C" w:rsidRPr="00F47607" w:rsidRDefault="00F13E5C" w:rsidP="00F13E5C">
            <w:pPr>
              <w:pStyle w:val="NormalWeb"/>
              <w:rPr>
                <w:rFonts w:ascii="Segoe UI" w:hAnsi="Segoe UI" w:cs="Segoe UI"/>
                <w:sz w:val="20"/>
                <w:szCs w:val="20"/>
                <w:lang w:val="en-AU" w:eastAsia="en-AU"/>
              </w:rPr>
            </w:pPr>
            <w:r>
              <w:rPr>
                <w:rFonts w:ascii="Segoe UI" w:hAnsi="Segoe UI" w:cs="Segoe UI"/>
                <w:b w:val="0"/>
                <w:bCs w:val="0"/>
                <w:sz w:val="20"/>
                <w:szCs w:val="20"/>
                <w:lang w:val="en-AU" w:eastAsia="en-AU"/>
              </w:rPr>
              <w:t>Application code development integration</w:t>
            </w:r>
          </w:p>
        </w:tc>
        <w:tc>
          <w:tcPr>
            <w:tcW w:w="6390" w:type="dxa"/>
            <w:hideMark/>
          </w:tcPr>
          <w:p w14:paraId="042B562A" w14:textId="77777777" w:rsidR="00F13E5C" w:rsidRDefault="00F13E5C" w:rsidP="00F13E5C">
            <w:pPr>
              <w:pStyle w:val="NormalWeb"/>
              <w:numPr>
                <w:ilvl w:val="0"/>
                <w:numId w:val="8"/>
              </w:numPr>
              <w:cnfStyle w:val="000000100000" w:firstRow="0" w:lastRow="0" w:firstColumn="0" w:lastColumn="0" w:oddVBand="0" w:evenVBand="0" w:oddHBand="1" w:evenHBand="0" w:firstRowFirstColumn="0" w:firstRowLastColumn="0" w:lastRowFirstColumn="0" w:lastRowLastColumn="0"/>
            </w:pPr>
            <w:r>
              <w:rPr>
                <w:rFonts w:ascii="Segoe UI" w:hAnsi="Segoe UI" w:cs="Segoe UI"/>
                <w:sz w:val="20"/>
                <w:szCs w:val="20"/>
                <w:lang w:val="en-AU" w:eastAsia="en-AU"/>
              </w:rPr>
              <w:t xml:space="preserve">Always consider server-side event logging first over client-side (JavaScript). </w:t>
            </w:r>
          </w:p>
          <w:p w14:paraId="2956705F" w14:textId="318CC6DE" w:rsidR="00F13E5C" w:rsidRPr="00B814EA" w:rsidRDefault="00F13E5C" w:rsidP="00F13E5C">
            <w:pPr>
              <w:pStyle w:val="NormalWeb"/>
              <w:numPr>
                <w:ilvl w:val="0"/>
                <w:numId w:val="8"/>
              </w:numPr>
              <w:cnfStyle w:val="000000100000" w:firstRow="0" w:lastRow="0" w:firstColumn="0" w:lastColumn="0" w:oddVBand="0" w:evenVBand="0" w:oddHBand="1"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 xml:space="preserve">Application Insights will capture exceptions that you would normally have to explicitly catch. </w:t>
            </w:r>
          </w:p>
        </w:tc>
      </w:tr>
      <w:tr w:rsidR="00F13E5C" w:rsidRPr="00B814EA" w14:paraId="05E6C15F" w14:textId="77777777" w:rsidTr="00BF7F28">
        <w:tc>
          <w:tcPr>
            <w:cnfStyle w:val="001000000000" w:firstRow="0" w:lastRow="0" w:firstColumn="1" w:lastColumn="0" w:oddVBand="0" w:evenVBand="0" w:oddHBand="0" w:evenHBand="0" w:firstRowFirstColumn="0" w:firstRowLastColumn="0" w:lastRowFirstColumn="0" w:lastRowLastColumn="0"/>
            <w:tcW w:w="2965" w:type="dxa"/>
          </w:tcPr>
          <w:p w14:paraId="5B2CD32B" w14:textId="772EB909" w:rsidR="00F13E5C" w:rsidRDefault="00F13E5C" w:rsidP="00F13E5C">
            <w:pPr>
              <w:pStyle w:val="NormalWeb"/>
              <w:rPr>
                <w:rFonts w:ascii="Segoe UI" w:hAnsi="Segoe UI" w:cs="Segoe UI"/>
                <w:b w:val="0"/>
                <w:bCs w:val="0"/>
                <w:sz w:val="20"/>
                <w:szCs w:val="20"/>
                <w:lang w:val="en-AU" w:eastAsia="en-AU"/>
              </w:rPr>
            </w:pPr>
            <w:r>
              <w:rPr>
                <w:rFonts w:ascii="Segoe UI" w:hAnsi="Segoe UI" w:cs="Segoe UI"/>
                <w:b w:val="0"/>
                <w:bCs w:val="0"/>
                <w:sz w:val="20"/>
                <w:szCs w:val="20"/>
                <w:lang w:val="en-AU" w:eastAsia="en-AU"/>
              </w:rPr>
              <w:t>Application logging</w:t>
            </w:r>
          </w:p>
        </w:tc>
        <w:tc>
          <w:tcPr>
            <w:tcW w:w="6390" w:type="dxa"/>
          </w:tcPr>
          <w:p w14:paraId="2A14869A" w14:textId="77777777" w:rsidR="00F13E5C" w:rsidRDefault="00F13E5C" w:rsidP="00F13E5C">
            <w:pPr>
              <w:pStyle w:val="NormalWeb"/>
              <w:numPr>
                <w:ilvl w:val="0"/>
                <w:numId w:val="8"/>
              </w:numPr>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Avoid using multiple trace listeners because they execute sequentially.</w:t>
            </w:r>
          </w:p>
          <w:p w14:paraId="69A8A59F" w14:textId="707C8C1F" w:rsidR="00F13E5C" w:rsidRDefault="00F13E5C" w:rsidP="00F13E5C">
            <w:pPr>
              <w:pStyle w:val="NormalWeb"/>
              <w:numPr>
                <w:ilvl w:val="0"/>
                <w:numId w:val="8"/>
              </w:numPr>
              <w:cnfStyle w:val="000000000000" w:firstRow="0" w:lastRow="0" w:firstColumn="0" w:lastColumn="0" w:oddVBand="0" w:evenVBand="0" w:oddHBand="0" w:evenHBand="0" w:firstRowFirstColumn="0" w:firstRowLastColumn="0" w:lastRowFirstColumn="0" w:lastRowLastColumn="0"/>
              <w:rPr>
                <w:rFonts w:ascii="Segoe UI" w:hAnsi="Segoe UI" w:cs="Segoe UI"/>
                <w:sz w:val="20"/>
                <w:szCs w:val="20"/>
                <w:lang w:val="en-AU" w:eastAsia="en-AU"/>
              </w:rPr>
            </w:pPr>
            <w:r>
              <w:rPr>
                <w:rFonts w:ascii="Segoe UI" w:hAnsi="Segoe UI" w:cs="Segoe UI"/>
                <w:sz w:val="20"/>
                <w:szCs w:val="20"/>
                <w:lang w:val="en-AU" w:eastAsia="en-AU"/>
              </w:rPr>
              <w:t>Avoid using the default wadlogstable to store all events because after some time (depending on the volume of transactions recorded), the wadlogstables becomes so large that you would be unable to filter the data. Depending on your application needs, use other frameworks like NLog, Log4Net, or Slab.</w:t>
            </w:r>
          </w:p>
        </w:tc>
      </w:tr>
    </w:tbl>
    <w:p w14:paraId="0DB1DEAD" w14:textId="2A2FA01E" w:rsidR="00592CD0" w:rsidRDefault="00592CD0" w:rsidP="00682E4A">
      <w:pPr>
        <w:jc w:val="both"/>
      </w:pPr>
    </w:p>
    <w:p w14:paraId="6C2F1819" w14:textId="77777777" w:rsidR="00682E4A" w:rsidRDefault="00682E4A" w:rsidP="005729D2">
      <w:pPr>
        <w:pStyle w:val="Heading3Numbered"/>
        <w:numPr>
          <w:ilvl w:val="2"/>
          <w:numId w:val="64"/>
        </w:numPr>
      </w:pPr>
      <w:bookmarkStart w:id="7368" w:name="_Toc414892163"/>
      <w:bookmarkStart w:id="7369" w:name="_Toc414960186"/>
      <w:bookmarkStart w:id="7370" w:name="_Toc414969157"/>
      <w:bookmarkStart w:id="7371" w:name="_Toc415011381"/>
      <w:bookmarkStart w:id="7372" w:name="_Toc415040075"/>
      <w:bookmarkStart w:id="7373" w:name="_Toc415572432"/>
      <w:bookmarkStart w:id="7374" w:name="_Toc415735602"/>
      <w:bookmarkStart w:id="7375" w:name="_Toc415814183"/>
      <w:bookmarkStart w:id="7376" w:name="_Toc416343919"/>
      <w:bookmarkStart w:id="7377" w:name="_Toc416863191"/>
      <w:bookmarkStart w:id="7378" w:name="_Toc417314806"/>
      <w:bookmarkStart w:id="7379" w:name="_Toc417323823"/>
      <w:bookmarkStart w:id="7380" w:name="_Toc417326913"/>
      <w:bookmarkStart w:id="7381" w:name="_Toc417330461"/>
      <w:bookmarkStart w:id="7382" w:name="_Toc417395068"/>
      <w:bookmarkStart w:id="7383" w:name="_Toc417399287"/>
      <w:bookmarkStart w:id="7384" w:name="_Toc417399446"/>
      <w:bookmarkStart w:id="7385" w:name="_Toc417400493"/>
      <w:bookmarkStart w:id="7386" w:name="_Toc417401341"/>
      <w:bookmarkStart w:id="7387" w:name="_Toc417419656"/>
      <w:bookmarkStart w:id="7388" w:name="_Toc417457428"/>
      <w:bookmarkStart w:id="7389" w:name="_Toc417482006"/>
      <w:bookmarkStart w:id="7390" w:name="_Toc417482264"/>
      <w:bookmarkStart w:id="7391" w:name="_Toc417499983"/>
      <w:bookmarkStart w:id="7392" w:name="_Toc417502804"/>
      <w:bookmarkStart w:id="7393" w:name="_Toc417548392"/>
      <w:bookmarkStart w:id="7394" w:name="_Toc417594635"/>
      <w:bookmarkStart w:id="7395" w:name="_Toc417934772"/>
      <w:bookmarkStart w:id="7396" w:name="_Toc417936109"/>
      <w:bookmarkStart w:id="7397" w:name="_Toc417936571"/>
      <w:bookmarkStart w:id="7398" w:name="_Toc417946987"/>
      <w:bookmarkStart w:id="7399" w:name="_Toc417947457"/>
      <w:bookmarkStart w:id="7400" w:name="_Toc417982595"/>
      <w:bookmarkStart w:id="7401" w:name="_Toc417986076"/>
      <w:bookmarkStart w:id="7402" w:name="_Toc418000740"/>
      <w:bookmarkStart w:id="7403" w:name="_Toc418003950"/>
      <w:bookmarkStart w:id="7404" w:name="_Toc418012155"/>
      <w:bookmarkStart w:id="7405" w:name="_Toc418014530"/>
      <w:bookmarkStart w:id="7406" w:name="_Toc418030173"/>
      <w:bookmarkStart w:id="7407" w:name="_Toc418037018"/>
      <w:bookmarkStart w:id="7408" w:name="_Toc418061488"/>
      <w:bookmarkStart w:id="7409" w:name="_Toc418081389"/>
      <w:bookmarkStart w:id="7410" w:name="_Toc418083419"/>
      <w:bookmarkStart w:id="7411" w:name="_Toc418096185"/>
      <w:bookmarkStart w:id="7412" w:name="_Toc418156787"/>
      <w:bookmarkStart w:id="7413" w:name="_Toc418167704"/>
      <w:bookmarkStart w:id="7414" w:name="_Toc418185960"/>
      <w:bookmarkStart w:id="7415" w:name="_Toc422941674"/>
      <w:bookmarkStart w:id="7416" w:name="_Toc423116886"/>
      <w:bookmarkStart w:id="7417" w:name="_Toc423117919"/>
      <w:bookmarkStart w:id="7418" w:name="_Toc423117366"/>
      <w:bookmarkStart w:id="7419" w:name="_Toc431288965"/>
      <w:r>
        <w:t>Operational Insights</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2F35A02B" w14:textId="68989F5F" w:rsidR="006C7395" w:rsidRDefault="006C7395" w:rsidP="006C7395">
      <w:pPr>
        <w:jc w:val="both"/>
      </w:pPr>
      <w:bookmarkStart w:id="7420" w:name="_Toc414892164"/>
      <w:bookmarkStart w:id="7421" w:name="_Toc414960187"/>
      <w:bookmarkStart w:id="7422" w:name="_Toc414969158"/>
      <w:bookmarkStart w:id="7423" w:name="_Toc415011382"/>
      <w:bookmarkStart w:id="7424" w:name="_Toc415040076"/>
      <w:bookmarkStart w:id="7425" w:name="_Toc415572433"/>
      <w:bookmarkStart w:id="7426" w:name="_Toc415735603"/>
      <w:bookmarkStart w:id="7427" w:name="_Toc415814184"/>
      <w:bookmarkStart w:id="7428" w:name="_Toc416343920"/>
      <w:r w:rsidRPr="006C7395">
        <w:t xml:space="preserve">Operational Insights is an analysis service that enables IT administrators to gain deep insight across on-premises and cloud environments. It enables you to interact with real-time and historical machine data to rapidly develop custom insights, and </w:t>
      </w:r>
      <w:r w:rsidR="00F13E5C">
        <w:t xml:space="preserve">it </w:t>
      </w:r>
      <w:r w:rsidRPr="006C7395">
        <w:t>provides Microsoft and community-developed patterns for analyzing data.</w:t>
      </w:r>
    </w:p>
    <w:tbl>
      <w:tblPr>
        <w:tblStyle w:val="PlainTable11"/>
        <w:tblW w:w="0" w:type="auto"/>
        <w:tblLook w:val="04A0" w:firstRow="1" w:lastRow="0" w:firstColumn="1" w:lastColumn="0" w:noHBand="0" w:noVBand="1"/>
      </w:tblPr>
      <w:tblGrid>
        <w:gridCol w:w="3415"/>
        <w:gridCol w:w="5935"/>
      </w:tblGrid>
      <w:tr w:rsidR="006C7395" w14:paraId="11758434" w14:textId="77777777" w:rsidTr="00BF7F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00F9FD42" w14:textId="77777777" w:rsidR="006C7395" w:rsidRPr="00F47607" w:rsidRDefault="006C7395" w:rsidP="006E0E63">
            <w:pPr>
              <w:spacing w:line="240" w:lineRule="auto"/>
              <w:rPr>
                <w:color w:val="FFFFFF"/>
              </w:rPr>
            </w:pPr>
            <w:r>
              <w:rPr>
                <w:color w:val="FFFFFF"/>
              </w:rPr>
              <w:t>Feature References</w:t>
            </w:r>
          </w:p>
        </w:tc>
      </w:tr>
      <w:tr w:rsidR="006C7395" w14:paraId="70104430"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645D6D58" w14:textId="33D8648F" w:rsidR="006C7395" w:rsidRPr="00BF7F28" w:rsidRDefault="006C7395" w:rsidP="006E0E63">
            <w:pPr>
              <w:spacing w:line="240" w:lineRule="auto"/>
              <w:rPr>
                <w:sz w:val="20"/>
                <w:szCs w:val="20"/>
              </w:rPr>
            </w:pPr>
            <w:r w:rsidRPr="00BF7F28">
              <w:rPr>
                <w:sz w:val="20"/>
                <w:szCs w:val="20"/>
              </w:rPr>
              <w:t>Capacity Planning</w:t>
            </w:r>
          </w:p>
        </w:tc>
        <w:tc>
          <w:tcPr>
            <w:tcW w:w="5940" w:type="dxa"/>
          </w:tcPr>
          <w:p w14:paraId="6F38C5FC" w14:textId="2FCB6F44" w:rsidR="006C7395" w:rsidRPr="00BF7F28" w:rsidRDefault="00872E47" w:rsidP="006C7395">
            <w:pPr>
              <w:cnfStyle w:val="000000100000" w:firstRow="0" w:lastRow="0" w:firstColumn="0" w:lastColumn="0" w:oddVBand="0" w:evenVBand="0" w:oddHBand="1" w:evenHBand="0" w:firstRowFirstColumn="0" w:firstRowLastColumn="0" w:lastRowFirstColumn="0" w:lastRowLastColumn="0"/>
              <w:rPr>
                <w:sz w:val="20"/>
                <w:szCs w:val="20"/>
              </w:rPr>
            </w:pPr>
            <w:hyperlink r:id="rId642" w:history="1">
              <w:r w:rsidR="006C7395" w:rsidRPr="00BF7F28">
                <w:rPr>
                  <w:rStyle w:val="Hyperlink"/>
                  <w:sz w:val="20"/>
                  <w:szCs w:val="20"/>
                </w:rPr>
                <w:t>http://azure.microsoft.com/en-us/documentation/articles/operational-insights-capacity/</w:t>
              </w:r>
            </w:hyperlink>
            <w:r w:rsidR="006C7395" w:rsidRPr="00BF7F28">
              <w:rPr>
                <w:sz w:val="20"/>
                <w:szCs w:val="20"/>
              </w:rPr>
              <w:t xml:space="preserve"> </w:t>
            </w:r>
          </w:p>
        </w:tc>
      </w:tr>
      <w:tr w:rsidR="006C7395" w14:paraId="26A35A31" w14:textId="77777777" w:rsidTr="00BF7F28">
        <w:tc>
          <w:tcPr>
            <w:cnfStyle w:val="001000000000" w:firstRow="0" w:lastRow="0" w:firstColumn="1" w:lastColumn="0" w:oddVBand="0" w:evenVBand="0" w:oddHBand="0" w:evenHBand="0" w:firstRowFirstColumn="0" w:firstRowLastColumn="0" w:lastRowFirstColumn="0" w:lastRowLastColumn="0"/>
            <w:tcW w:w="3420" w:type="dxa"/>
          </w:tcPr>
          <w:p w14:paraId="3B14D827" w14:textId="2B16C12A" w:rsidR="006C7395" w:rsidRPr="00BF7F28" w:rsidRDefault="006C7395" w:rsidP="006E0E63">
            <w:pPr>
              <w:spacing w:line="240" w:lineRule="auto"/>
              <w:rPr>
                <w:sz w:val="20"/>
                <w:szCs w:val="20"/>
              </w:rPr>
            </w:pPr>
            <w:r w:rsidRPr="00BF7F28">
              <w:rPr>
                <w:sz w:val="20"/>
                <w:szCs w:val="20"/>
              </w:rPr>
              <w:t>System Updates</w:t>
            </w:r>
          </w:p>
        </w:tc>
        <w:tc>
          <w:tcPr>
            <w:tcW w:w="5940" w:type="dxa"/>
          </w:tcPr>
          <w:p w14:paraId="29B52D9B" w14:textId="34922880" w:rsidR="006C7395" w:rsidRPr="00BF7F28" w:rsidRDefault="00872E47" w:rsidP="006E0E63">
            <w:pPr>
              <w:cnfStyle w:val="000000000000" w:firstRow="0" w:lastRow="0" w:firstColumn="0" w:lastColumn="0" w:oddVBand="0" w:evenVBand="0" w:oddHBand="0" w:evenHBand="0" w:firstRowFirstColumn="0" w:firstRowLastColumn="0" w:lastRowFirstColumn="0" w:lastRowLastColumn="0"/>
              <w:rPr>
                <w:sz w:val="20"/>
                <w:szCs w:val="20"/>
              </w:rPr>
            </w:pPr>
            <w:hyperlink r:id="rId643" w:history="1">
              <w:r w:rsidR="006C7395" w:rsidRPr="00BF7F28">
                <w:rPr>
                  <w:rStyle w:val="Hyperlink"/>
                  <w:sz w:val="20"/>
                  <w:szCs w:val="20"/>
                </w:rPr>
                <w:t>http://azure.microsoft.com/en-us/documentation/articles/operational-insights-updates/</w:t>
              </w:r>
            </w:hyperlink>
            <w:r w:rsidR="006C7395" w:rsidRPr="00BF7F28">
              <w:rPr>
                <w:sz w:val="20"/>
                <w:szCs w:val="20"/>
              </w:rPr>
              <w:t xml:space="preserve"> </w:t>
            </w:r>
          </w:p>
        </w:tc>
      </w:tr>
      <w:tr w:rsidR="006C7395" w14:paraId="408ACA0B"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63C7DD32" w14:textId="3B5403C1" w:rsidR="006C7395" w:rsidRPr="00BF7F28" w:rsidRDefault="006C7395" w:rsidP="006E0E63">
            <w:pPr>
              <w:spacing w:line="240" w:lineRule="auto"/>
              <w:rPr>
                <w:sz w:val="20"/>
                <w:szCs w:val="20"/>
              </w:rPr>
            </w:pPr>
            <w:r w:rsidRPr="00BF7F28">
              <w:rPr>
                <w:sz w:val="20"/>
                <w:szCs w:val="20"/>
              </w:rPr>
              <w:t>Log Management</w:t>
            </w:r>
          </w:p>
        </w:tc>
        <w:tc>
          <w:tcPr>
            <w:tcW w:w="5940" w:type="dxa"/>
          </w:tcPr>
          <w:p w14:paraId="057DA760" w14:textId="661678BA" w:rsidR="006C7395" w:rsidRPr="00BF7F28" w:rsidRDefault="00872E47" w:rsidP="006E0E63">
            <w:pPr>
              <w:cnfStyle w:val="000000100000" w:firstRow="0" w:lastRow="0" w:firstColumn="0" w:lastColumn="0" w:oddVBand="0" w:evenVBand="0" w:oddHBand="1" w:evenHBand="0" w:firstRowFirstColumn="0" w:firstRowLastColumn="0" w:lastRowFirstColumn="0" w:lastRowLastColumn="0"/>
              <w:rPr>
                <w:sz w:val="20"/>
                <w:szCs w:val="20"/>
              </w:rPr>
            </w:pPr>
            <w:hyperlink r:id="rId644" w:history="1">
              <w:r w:rsidR="006C7395" w:rsidRPr="00BF7F28">
                <w:rPr>
                  <w:rStyle w:val="Hyperlink"/>
                  <w:sz w:val="20"/>
                  <w:szCs w:val="20"/>
                </w:rPr>
                <w:t>http://azure.microsoft.com/en-us/documentation/articles/operational-insights-search/</w:t>
              </w:r>
            </w:hyperlink>
            <w:r w:rsidR="006C7395" w:rsidRPr="00BF7F28">
              <w:rPr>
                <w:sz w:val="20"/>
                <w:szCs w:val="20"/>
              </w:rPr>
              <w:t xml:space="preserve"> </w:t>
            </w:r>
          </w:p>
        </w:tc>
      </w:tr>
      <w:tr w:rsidR="006C7395" w14:paraId="59FED231" w14:textId="77777777" w:rsidTr="00BF7F28">
        <w:tc>
          <w:tcPr>
            <w:cnfStyle w:val="001000000000" w:firstRow="0" w:lastRow="0" w:firstColumn="1" w:lastColumn="0" w:oddVBand="0" w:evenVBand="0" w:oddHBand="0" w:evenHBand="0" w:firstRowFirstColumn="0" w:firstRowLastColumn="0" w:lastRowFirstColumn="0" w:lastRowLastColumn="0"/>
            <w:tcW w:w="3420" w:type="dxa"/>
          </w:tcPr>
          <w:p w14:paraId="171AE66C" w14:textId="6A165EA1" w:rsidR="006C7395" w:rsidRPr="00BF7F28" w:rsidRDefault="006C7395" w:rsidP="006E0E63">
            <w:pPr>
              <w:spacing w:line="240" w:lineRule="auto"/>
              <w:rPr>
                <w:sz w:val="20"/>
                <w:szCs w:val="20"/>
              </w:rPr>
            </w:pPr>
            <w:r w:rsidRPr="00BF7F28">
              <w:rPr>
                <w:sz w:val="20"/>
                <w:szCs w:val="20"/>
              </w:rPr>
              <w:t>Malware Assessment</w:t>
            </w:r>
          </w:p>
        </w:tc>
        <w:tc>
          <w:tcPr>
            <w:tcW w:w="5940" w:type="dxa"/>
          </w:tcPr>
          <w:p w14:paraId="7E067D38" w14:textId="126DFCC2" w:rsidR="006C7395" w:rsidRPr="00BF7F28" w:rsidRDefault="00872E47" w:rsidP="006E0E63">
            <w:pPr>
              <w:cnfStyle w:val="000000000000" w:firstRow="0" w:lastRow="0" w:firstColumn="0" w:lastColumn="0" w:oddVBand="0" w:evenVBand="0" w:oddHBand="0" w:evenHBand="0" w:firstRowFirstColumn="0" w:firstRowLastColumn="0" w:lastRowFirstColumn="0" w:lastRowLastColumn="0"/>
              <w:rPr>
                <w:sz w:val="20"/>
                <w:szCs w:val="20"/>
              </w:rPr>
            </w:pPr>
            <w:hyperlink r:id="rId645" w:history="1">
              <w:r w:rsidR="006C7395" w:rsidRPr="00BF7F28">
                <w:rPr>
                  <w:rStyle w:val="Hyperlink"/>
                  <w:sz w:val="20"/>
                  <w:szCs w:val="20"/>
                </w:rPr>
                <w:t>http://azure.microsoft.com/en-us/documentation/articles/operational-insights-antimalware/</w:t>
              </w:r>
            </w:hyperlink>
            <w:r w:rsidR="006C7395" w:rsidRPr="00BF7F28">
              <w:rPr>
                <w:sz w:val="20"/>
                <w:szCs w:val="20"/>
              </w:rPr>
              <w:t xml:space="preserve"> </w:t>
            </w:r>
          </w:p>
        </w:tc>
      </w:tr>
      <w:tr w:rsidR="006C7395" w14:paraId="59BEAACE"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60400A1F" w14:textId="2F1E4BEF" w:rsidR="006C7395" w:rsidRPr="00BF7F28" w:rsidRDefault="006C7395" w:rsidP="006E0E63">
            <w:pPr>
              <w:spacing w:line="240" w:lineRule="auto"/>
              <w:rPr>
                <w:sz w:val="20"/>
                <w:szCs w:val="20"/>
              </w:rPr>
            </w:pPr>
            <w:r w:rsidRPr="00BF7F28">
              <w:rPr>
                <w:sz w:val="20"/>
                <w:szCs w:val="20"/>
              </w:rPr>
              <w:t>Security and Audit</w:t>
            </w:r>
          </w:p>
        </w:tc>
        <w:tc>
          <w:tcPr>
            <w:tcW w:w="5940" w:type="dxa"/>
          </w:tcPr>
          <w:p w14:paraId="13D12680" w14:textId="62DAFC95" w:rsidR="006C7395" w:rsidRPr="00BF7F28" w:rsidRDefault="00872E47" w:rsidP="006E0E63">
            <w:pPr>
              <w:cnfStyle w:val="000000100000" w:firstRow="0" w:lastRow="0" w:firstColumn="0" w:lastColumn="0" w:oddVBand="0" w:evenVBand="0" w:oddHBand="1" w:evenHBand="0" w:firstRowFirstColumn="0" w:firstRowLastColumn="0" w:lastRowFirstColumn="0" w:lastRowLastColumn="0"/>
              <w:rPr>
                <w:sz w:val="20"/>
                <w:szCs w:val="20"/>
              </w:rPr>
            </w:pPr>
            <w:hyperlink r:id="rId646" w:history="1">
              <w:r w:rsidR="006C7395" w:rsidRPr="00BF7F28">
                <w:rPr>
                  <w:rStyle w:val="Hyperlink"/>
                  <w:sz w:val="20"/>
                  <w:szCs w:val="20"/>
                </w:rPr>
                <w:t>http://azure.microsoft.com/en-us/documentation/articles/operational-insights-security-audit/</w:t>
              </w:r>
            </w:hyperlink>
            <w:r w:rsidR="006C7395" w:rsidRPr="00BF7F28">
              <w:rPr>
                <w:sz w:val="20"/>
                <w:szCs w:val="20"/>
              </w:rPr>
              <w:t xml:space="preserve"> </w:t>
            </w:r>
          </w:p>
        </w:tc>
      </w:tr>
      <w:tr w:rsidR="006C7395" w14:paraId="2302B98C" w14:textId="77777777" w:rsidTr="00BF7F28">
        <w:tc>
          <w:tcPr>
            <w:cnfStyle w:val="001000000000" w:firstRow="0" w:lastRow="0" w:firstColumn="1" w:lastColumn="0" w:oddVBand="0" w:evenVBand="0" w:oddHBand="0" w:evenHBand="0" w:firstRowFirstColumn="0" w:firstRowLastColumn="0" w:lastRowFirstColumn="0" w:lastRowLastColumn="0"/>
            <w:tcW w:w="3420" w:type="dxa"/>
          </w:tcPr>
          <w:p w14:paraId="68161225" w14:textId="06D9A132" w:rsidR="006C7395" w:rsidRPr="00BF7F28" w:rsidRDefault="006C7395" w:rsidP="006E0E63">
            <w:pPr>
              <w:spacing w:line="240" w:lineRule="auto"/>
              <w:rPr>
                <w:sz w:val="20"/>
                <w:szCs w:val="20"/>
              </w:rPr>
            </w:pPr>
            <w:r w:rsidRPr="00BF7F28">
              <w:rPr>
                <w:sz w:val="20"/>
                <w:szCs w:val="20"/>
              </w:rPr>
              <w:t>AD and SQL Assessment</w:t>
            </w:r>
          </w:p>
        </w:tc>
        <w:tc>
          <w:tcPr>
            <w:tcW w:w="5940" w:type="dxa"/>
          </w:tcPr>
          <w:p w14:paraId="31C30E27" w14:textId="762FE9C3" w:rsidR="006C7395" w:rsidRPr="00BF7F28" w:rsidRDefault="00872E47" w:rsidP="006E0E63">
            <w:pPr>
              <w:cnfStyle w:val="000000000000" w:firstRow="0" w:lastRow="0" w:firstColumn="0" w:lastColumn="0" w:oddVBand="0" w:evenVBand="0" w:oddHBand="0" w:evenHBand="0" w:firstRowFirstColumn="0" w:firstRowLastColumn="0" w:lastRowFirstColumn="0" w:lastRowLastColumn="0"/>
              <w:rPr>
                <w:sz w:val="20"/>
                <w:szCs w:val="20"/>
              </w:rPr>
            </w:pPr>
            <w:hyperlink r:id="rId647" w:history="1">
              <w:r w:rsidR="006C7395" w:rsidRPr="00BF7F28">
                <w:rPr>
                  <w:rStyle w:val="Hyperlink"/>
                  <w:sz w:val="20"/>
                  <w:szCs w:val="20"/>
                </w:rPr>
                <w:t>http://azure.microsoft.com/en-us/documentation/articles/operational-insights-assessment/</w:t>
              </w:r>
            </w:hyperlink>
            <w:r w:rsidR="006C7395" w:rsidRPr="00BF7F28">
              <w:rPr>
                <w:sz w:val="20"/>
                <w:szCs w:val="20"/>
              </w:rPr>
              <w:t xml:space="preserve"> </w:t>
            </w:r>
          </w:p>
        </w:tc>
      </w:tr>
      <w:tr w:rsidR="006C7395" w14:paraId="1306B857"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3EEDD219" w14:textId="2C7273EE" w:rsidR="006C7395" w:rsidRPr="00BF7F28" w:rsidRDefault="006C7395" w:rsidP="006E0E63">
            <w:pPr>
              <w:spacing w:line="240" w:lineRule="auto"/>
              <w:rPr>
                <w:sz w:val="20"/>
                <w:szCs w:val="20"/>
              </w:rPr>
            </w:pPr>
            <w:r w:rsidRPr="00BF7F28">
              <w:rPr>
                <w:sz w:val="20"/>
                <w:szCs w:val="20"/>
              </w:rPr>
              <w:t>Alert Management</w:t>
            </w:r>
          </w:p>
        </w:tc>
        <w:tc>
          <w:tcPr>
            <w:tcW w:w="5940" w:type="dxa"/>
          </w:tcPr>
          <w:p w14:paraId="44A1ECD0" w14:textId="1977A930" w:rsidR="006C7395" w:rsidRPr="00BF7F28" w:rsidRDefault="00872E47" w:rsidP="006E0E63">
            <w:pPr>
              <w:cnfStyle w:val="000000100000" w:firstRow="0" w:lastRow="0" w:firstColumn="0" w:lastColumn="0" w:oddVBand="0" w:evenVBand="0" w:oddHBand="1" w:evenHBand="0" w:firstRowFirstColumn="0" w:firstRowLastColumn="0" w:lastRowFirstColumn="0" w:lastRowLastColumn="0"/>
              <w:rPr>
                <w:sz w:val="20"/>
                <w:szCs w:val="20"/>
              </w:rPr>
            </w:pPr>
            <w:hyperlink r:id="rId648" w:history="1">
              <w:r w:rsidR="006C7395" w:rsidRPr="00BF7F28">
                <w:rPr>
                  <w:rStyle w:val="Hyperlink"/>
                  <w:sz w:val="20"/>
                  <w:szCs w:val="20"/>
                </w:rPr>
                <w:t>http://azure.microsoft.com/en-us/documentation/articles/operational-insights-alerts/</w:t>
              </w:r>
            </w:hyperlink>
            <w:r w:rsidR="006C7395" w:rsidRPr="00BF7F28">
              <w:rPr>
                <w:sz w:val="20"/>
                <w:szCs w:val="20"/>
              </w:rPr>
              <w:t xml:space="preserve"> </w:t>
            </w:r>
          </w:p>
        </w:tc>
      </w:tr>
    </w:tbl>
    <w:p w14:paraId="19F5A199" w14:textId="77777777" w:rsidR="006C7395" w:rsidRDefault="006C7395" w:rsidP="006C7395">
      <w:pPr>
        <w:jc w:val="both"/>
      </w:pP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973FDF" w14:paraId="155135DC" w14:textId="77777777" w:rsidTr="00973FDF">
        <w:trPr>
          <w:trHeight w:val="423"/>
        </w:trPr>
        <w:tc>
          <w:tcPr>
            <w:tcW w:w="666" w:type="dxa"/>
          </w:tcPr>
          <w:p w14:paraId="0CA1DFB0" w14:textId="77777777" w:rsidR="00973FDF" w:rsidRDefault="00973FDF" w:rsidP="00973FDF">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057D1193" wp14:editId="68ACFEE6">
                      <wp:extent cx="200025" cy="180975"/>
                      <wp:effectExtent l="57150" t="19050" r="28575" b="104775"/>
                      <wp:docPr id="41121" name="Octagon 41121"/>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CF683B3" id="Octagon 41121"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UJRcwIAAFIFAAAOAAAAZHJzL2Uyb0RvYy54bWysVF9r2zAQfx/sOwi9r469dG1DnBJSMgal&#10;LW1HnxVZSgSSTpOUONmn30l23NAVCmMv0p3u/+/uNL3eG012wgcFtqbl2YgSYTk0yq5r+vN5+eWS&#10;khCZbZgGK2p6EIFezz5/mrZuIirYgG6EJ+jEhknrarqJ0U2KIvCNMCycgRMWhRK8YRFZvy4az1r0&#10;bnRRjUbfihZ84zxwEQK+3nRCOsv+pRQ83ksZRCS6pphbzKfP5yqdxWzKJmvP3EbxPg32D1kYpiwG&#10;HVzdsMjI1qu/XBnFPQSQ8YyDKUBKxUWuAaspR2+qedowJ3ItCE5wA0zh/7nld7sHT1RT03FZViUl&#10;lhls0z2PbA2WdI8IUuvCBHWf3IPvuYBkqngvvUk31kL2GdjDAKzYR8LxETs1qs4p4SgqL0dXF+cJ&#10;+OLV2PkQvwswJBE1hS58RpTtbkPstI9aKVwArZql0jozfr1aaE92DNu8WGC03FkMcKJWpBq6rDMV&#10;D1okY20fhUQIMM8yR8zDJwZ/jHNhY9VnnLWTmcTYg+HXjw17/WQq8mAOxtXHxoNFjgw2DsZGWfDv&#10;OdCx7FOWnT4CflJ3IlfQHLD7Hrq1CI4vFeJ/y0J8YB73ADcGdzve4yE1tNiYnqJkA/73e+9JH8cT&#10;pZS0uFc1Db+2zAtK9A+Lg3tVjsdpETMzPr+okPGnktWpxG7NArCnOJiYXSaTftRHUnowL/gFzFNU&#10;FDHLMXZNefRHZhG7fcdPhIv5PKvh8jkWb+2T48eup+F63r8w7/ohjDi9d3DcQTZ5M4idbuqHhfk2&#10;glR5Sl9x7fHGxc2j3n8y6Wc45bPW61c4+wM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COCUJR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390F26D3" w14:textId="32BF59C4" w:rsidR="00973FDF" w:rsidRDefault="00973FDF" w:rsidP="00973FDF">
            <w:pPr>
              <w:rPr>
                <w:lang w:eastAsia="en-US"/>
              </w:rPr>
            </w:pPr>
            <w:r w:rsidRPr="00192064">
              <w:rPr>
                <w:b/>
                <w:lang w:eastAsia="en-US"/>
              </w:rPr>
              <w:t>Mandatory</w:t>
            </w:r>
            <w:r>
              <w:rPr>
                <w:lang w:eastAsia="en-US"/>
              </w:rPr>
              <w:t xml:space="preserve">:  </w:t>
            </w:r>
            <w:r w:rsidR="0095755D">
              <w:rPr>
                <w:lang w:eastAsia="en-US"/>
              </w:rPr>
              <w:t>This feature r</w:t>
            </w:r>
            <w:r>
              <w:rPr>
                <w:lang w:eastAsia="en-US"/>
              </w:rPr>
              <w:t xml:space="preserve">equires a Microsoft or Organizational Account to perform initial setup. </w:t>
            </w:r>
          </w:p>
        </w:tc>
      </w:tr>
      <w:tr w:rsidR="00973FDF" w14:paraId="5A50C9A6" w14:textId="77777777" w:rsidTr="00973FDF">
        <w:trPr>
          <w:trHeight w:val="423"/>
        </w:trPr>
        <w:tc>
          <w:tcPr>
            <w:tcW w:w="666" w:type="dxa"/>
          </w:tcPr>
          <w:p w14:paraId="678BFE27" w14:textId="77777777" w:rsidR="00973FDF" w:rsidRDefault="00973FDF" w:rsidP="00973FDF">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334656" behindDoc="0" locked="0" layoutInCell="1" allowOverlap="1" wp14:anchorId="744F5B94" wp14:editId="4FBBB6B7">
                      <wp:simplePos x="0" y="0"/>
                      <wp:positionH relativeFrom="column">
                        <wp:posOffset>66675</wp:posOffset>
                      </wp:positionH>
                      <wp:positionV relativeFrom="paragraph">
                        <wp:posOffset>90170</wp:posOffset>
                      </wp:positionV>
                      <wp:extent cx="209550" cy="180975"/>
                      <wp:effectExtent l="57150" t="19050" r="57150" b="104775"/>
                      <wp:wrapNone/>
                      <wp:docPr id="41122" name="Isosceles Triangle 411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565D2D0C" id="Isosceles Triangle 41122" o:spid="_x0000_s1026" type="#_x0000_t5" style="position:absolute;margin-left:5.25pt;margin-top:7.1pt;width:16.5pt;height:14.25pt;z-index:25133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vsgig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Oi&#10;mEwoMazBNt168Fxo4cmjU8xstCCdHuvVWl+i2YO9dzFjb1fAf3hUZH9oouB7zEG6JmIxX3JIxT+O&#10;xReHQDj+nOQXsxm2iKOqOM8vzmaxORkrB2PrfPgioCHxUtHQB5bKzvYrHzr4AEuxgVb1UmmdBLdZ&#10;X2tH9gy5sMQvT+3HF/wzLOXQhZ0SCEctorE234TEOmGgRXoxMVSM/hjnwoTTPuSEjmYS3x4NP79v&#10;2OOjqUjsHY0n7xuPFullMGE0bpQB95YDHYo+ZNnh+y76Lu9YgjXUR6SIg252vOVLhQ1YMR/umcNh&#10;wZ7hAghf8ZAa2opCf6NkC+7XW/8jHjmMWkpaHL6K+p875gQl+tYguy+K6TROaxKms7MJCu6lZv1S&#10;Y3bNNWBPC1w1lqdrxAc9XKWD5gn3xCK+iipmOL5dUR7cIFyHbingpuFisUgwnFDLwso8WD50PZLr&#10;8fDEnB1YiPS9g2FQWfmKiB029sPAYhdAqsTS57r29cbpTlzvN1FcHy/lhHrel/PfAAAA//8DAFBL&#10;AwQUAAYACAAAACEANTxCMNkAAAAHAQAADwAAAGRycy9kb3ducmV2LnhtbEyOzU7DMBCE70i8g7VI&#10;XFDrkIa2CnEqhJIjqig8gBNvfoS9jmK3DW/PcoLTaDSjma84LM6KC85h9KTgcZ2AQGq9GalX8PlR&#10;r/YgQtRktPWECr4xwKG8vSl0bvyV3vFyir3gEQq5VjDEOOVShnZAp8PaT0icdX52OrKde2lmfeVx&#10;Z2WaJFvp9Ej8MOgJXwdsv05np8A3y7Hb1Lv9Q+0m+9ZVVeaOlVL3d8vLM4iIS/wrwy8+o0PJTI0/&#10;kwnCsk+euMmapSA4zzbsG9Z0B7Is5H/+8gcAAP//AwBQSwECLQAUAAYACAAAACEAtoM4kv4AAADh&#10;AQAAEwAAAAAAAAAAAAAAAAAAAAAAW0NvbnRlbnRfVHlwZXNdLnhtbFBLAQItABQABgAIAAAAIQA4&#10;/SH/1gAAAJQBAAALAAAAAAAAAAAAAAAAAC8BAABfcmVscy8ucmVsc1BLAQItABQABgAIAAAAIQBA&#10;GvsgigIAAHcFAAAOAAAAAAAAAAAAAAAAAC4CAABkcnMvZTJvRG9jLnhtbFBLAQItABQABgAIAAAA&#10;IQA1PEIw2QAAAAcBAAAPAAAAAAAAAAAAAAAAAOQEAABkcnMvZG93bnJldi54bWxQSwUGAAAAAAQA&#10;BADzAAAA6gUAAAAA&#10;" fillcolor="yellow" strokecolor="#70ad47 [3209]" strokeweight=".5pt">
                      <v:path arrowok="t"/>
                    </v:shape>
                  </w:pict>
                </mc:Fallback>
              </mc:AlternateContent>
            </w:r>
          </w:p>
        </w:tc>
        <w:tc>
          <w:tcPr>
            <w:tcW w:w="8604" w:type="dxa"/>
          </w:tcPr>
          <w:p w14:paraId="65827F0C" w14:textId="2AD307DE" w:rsidR="00973FDF" w:rsidRPr="00F5625A" w:rsidRDefault="00973FDF" w:rsidP="00256000">
            <w:pPr>
              <w:rPr>
                <w:lang w:eastAsia="en-US"/>
              </w:rPr>
            </w:pPr>
            <w:r>
              <w:rPr>
                <w:rFonts w:eastAsiaTheme="minorHAnsi"/>
                <w:b/>
                <w:lang w:eastAsia="en-US"/>
              </w:rPr>
              <w:t xml:space="preserve">Recommended: </w:t>
            </w:r>
            <w:r>
              <w:rPr>
                <w:rFonts w:eastAsiaTheme="minorHAnsi"/>
                <w:lang w:eastAsia="en-US"/>
              </w:rPr>
              <w:t xml:space="preserve"> </w:t>
            </w:r>
            <w:r w:rsidR="00210EDF" w:rsidRPr="00F5625A">
              <w:rPr>
                <w:rFonts w:eastAsiaTheme="minorHAnsi"/>
                <w:lang w:eastAsia="en-US"/>
              </w:rPr>
              <w:t xml:space="preserve">If </w:t>
            </w:r>
            <w:r w:rsidR="00210EDF">
              <w:rPr>
                <w:rFonts w:eastAsiaTheme="minorHAnsi"/>
                <w:lang w:eastAsia="en-US"/>
              </w:rPr>
              <w:t>you are using</w:t>
            </w:r>
            <w:r w:rsidR="00210EDF" w:rsidRPr="00F5625A">
              <w:rPr>
                <w:rFonts w:eastAsiaTheme="minorHAnsi"/>
                <w:lang w:eastAsia="en-US"/>
              </w:rPr>
              <w:t xml:space="preserve"> </w:t>
            </w:r>
            <w:r w:rsidR="00210EDF">
              <w:rPr>
                <w:rFonts w:eastAsiaTheme="minorHAnsi"/>
                <w:lang w:eastAsia="en-US"/>
              </w:rPr>
              <w:t xml:space="preserve">Operational Insights </w:t>
            </w:r>
            <w:r w:rsidR="00210EDF" w:rsidRPr="00F5625A">
              <w:rPr>
                <w:rFonts w:eastAsiaTheme="minorHAnsi"/>
                <w:lang w:eastAsia="en-US"/>
              </w:rPr>
              <w:t>with Operations Manager</w:t>
            </w:r>
            <w:r w:rsidR="00210EDF">
              <w:rPr>
                <w:rFonts w:eastAsiaTheme="minorHAnsi"/>
                <w:lang w:eastAsia="en-US"/>
              </w:rPr>
              <w:t>,</w:t>
            </w:r>
            <w:r w:rsidR="00210EDF" w:rsidRPr="00F5625A">
              <w:rPr>
                <w:rFonts w:eastAsiaTheme="minorHAnsi"/>
                <w:lang w:eastAsia="en-US"/>
              </w:rPr>
              <w:t xml:space="preserve"> it is recommended to download the latest </w:t>
            </w:r>
            <w:r w:rsidR="00210EDF">
              <w:rPr>
                <w:rFonts w:eastAsiaTheme="minorHAnsi"/>
                <w:lang w:eastAsia="en-US"/>
              </w:rPr>
              <w:t>u</w:t>
            </w:r>
            <w:r w:rsidR="00210EDF" w:rsidRPr="00F5625A">
              <w:rPr>
                <w:rFonts w:eastAsiaTheme="minorHAnsi"/>
                <w:lang w:eastAsia="en-US"/>
              </w:rPr>
              <w:t>pdates to ensure you take advantage of new features and functionalities</w:t>
            </w:r>
            <w:r w:rsidRPr="00F5625A">
              <w:rPr>
                <w:rFonts w:eastAsiaTheme="minorHAnsi"/>
                <w:lang w:eastAsia="en-US"/>
              </w:rPr>
              <w:t>.</w:t>
            </w:r>
          </w:p>
        </w:tc>
      </w:tr>
    </w:tbl>
    <w:p w14:paraId="2839B453" w14:textId="77777777" w:rsidR="00973FDF" w:rsidRDefault="00973FDF" w:rsidP="006C7395">
      <w:pPr>
        <w:jc w:val="both"/>
      </w:pPr>
    </w:p>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F5625A" w14:paraId="5F833379" w14:textId="77777777" w:rsidTr="006E0E63">
        <w:tc>
          <w:tcPr>
            <w:tcW w:w="9360" w:type="dxa"/>
            <w:shd w:val="clear" w:color="auto" w:fill="008AC8"/>
          </w:tcPr>
          <w:p w14:paraId="7DC090E2" w14:textId="77777777" w:rsidR="00F5625A" w:rsidRPr="00F47607" w:rsidRDefault="00F5625A" w:rsidP="006E0E63">
            <w:pPr>
              <w:spacing w:line="240" w:lineRule="auto"/>
              <w:rPr>
                <w:color w:val="FFFFFF"/>
              </w:rPr>
            </w:pPr>
            <w:r>
              <w:rPr>
                <w:color w:val="FFFFFF"/>
              </w:rPr>
              <w:t>Design Guidance</w:t>
            </w:r>
          </w:p>
        </w:tc>
      </w:tr>
    </w:tbl>
    <w:p w14:paraId="5808C461" w14:textId="7ADFD6A7" w:rsidR="0095755D" w:rsidRDefault="0095755D" w:rsidP="0095755D">
      <w:r>
        <w:t>The following considerations apply when e</w:t>
      </w:r>
      <w:r w:rsidRPr="00B04A16">
        <w:t>xte</w:t>
      </w:r>
      <w:r>
        <w:t>nding Azure monitoring through Operational Insights:</w:t>
      </w:r>
    </w:p>
    <w:tbl>
      <w:tblPr>
        <w:tblW w:w="9355"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29" w:type="dxa"/>
          <w:bottom w:w="29" w:type="dxa"/>
        </w:tblCellMar>
        <w:tblLook w:val="04A0" w:firstRow="1" w:lastRow="0" w:firstColumn="1" w:lastColumn="0" w:noHBand="0" w:noVBand="1"/>
      </w:tblPr>
      <w:tblGrid>
        <w:gridCol w:w="2965"/>
        <w:gridCol w:w="6390"/>
      </w:tblGrid>
      <w:tr w:rsidR="00F5625A" w:rsidRPr="00BF7F28" w14:paraId="2F3E1CAB" w14:textId="77777777" w:rsidTr="00BF7F28">
        <w:tc>
          <w:tcPr>
            <w:tcW w:w="2965" w:type="dxa"/>
            <w:tcBorders>
              <w:top w:val="single" w:sz="4" w:space="0" w:color="A5A5A5"/>
              <w:left w:val="single" w:sz="4" w:space="0" w:color="A5A5A5"/>
              <w:bottom w:val="single" w:sz="4" w:space="0" w:color="A5A5A5"/>
              <w:right w:val="nil"/>
            </w:tcBorders>
            <w:shd w:val="clear" w:color="auto" w:fill="808080" w:themeFill="background1" w:themeFillShade="80"/>
            <w:hideMark/>
          </w:tcPr>
          <w:p w14:paraId="3D28A079" w14:textId="77777777" w:rsidR="00F5625A" w:rsidRPr="00BF7F28" w:rsidRDefault="00F5625A" w:rsidP="006E0E63">
            <w:pPr>
              <w:spacing w:line="240" w:lineRule="auto"/>
              <w:rPr>
                <w:rFonts w:ascii="Times New Roman" w:hAnsi="Times New Roman"/>
                <w:b/>
                <w:color w:val="FFFFFF"/>
                <w:lang w:val="en-AU" w:eastAsia="en-AU"/>
              </w:rPr>
            </w:pPr>
            <w:r w:rsidRPr="00BF7F28">
              <w:rPr>
                <w:rFonts w:eastAsia="Calibri"/>
                <w:b/>
                <w:color w:val="FFFFFF"/>
                <w:lang w:val="en-AU" w:eastAsia="en-AU"/>
              </w:rPr>
              <w:t>Scenario</w:t>
            </w:r>
          </w:p>
        </w:tc>
        <w:tc>
          <w:tcPr>
            <w:tcW w:w="6390" w:type="dxa"/>
            <w:tcBorders>
              <w:top w:val="single" w:sz="4" w:space="0" w:color="A5A5A5"/>
              <w:left w:val="nil"/>
              <w:bottom w:val="single" w:sz="4" w:space="0" w:color="A5A5A5"/>
              <w:right w:val="single" w:sz="4" w:space="0" w:color="A5A5A5"/>
            </w:tcBorders>
            <w:shd w:val="clear" w:color="auto" w:fill="808080" w:themeFill="background1" w:themeFillShade="80"/>
            <w:hideMark/>
          </w:tcPr>
          <w:p w14:paraId="6FFF4670" w14:textId="77777777" w:rsidR="00F5625A" w:rsidRPr="00BF7F28" w:rsidRDefault="00F5625A" w:rsidP="006E0E63">
            <w:pPr>
              <w:spacing w:line="240" w:lineRule="auto"/>
              <w:rPr>
                <w:rFonts w:eastAsia="Calibri"/>
                <w:b/>
                <w:color w:val="FFFFFF"/>
                <w:lang w:val="en-AU" w:eastAsia="en-AU"/>
              </w:rPr>
            </w:pPr>
            <w:r w:rsidRPr="00BF7F28">
              <w:rPr>
                <w:rFonts w:eastAsia="Calibri"/>
                <w:b/>
                <w:color w:val="FFFFFF"/>
                <w:lang w:val="en-AU" w:eastAsia="en-AU"/>
              </w:rPr>
              <w:t>Points to Consider</w:t>
            </w:r>
          </w:p>
        </w:tc>
      </w:tr>
      <w:tr w:rsidR="00210EDF" w14:paraId="080DA1D7" w14:textId="77777777" w:rsidTr="00256000">
        <w:tc>
          <w:tcPr>
            <w:tcW w:w="2965" w:type="dxa"/>
            <w:shd w:val="clear" w:color="auto" w:fill="EDEDED"/>
            <w:hideMark/>
          </w:tcPr>
          <w:p w14:paraId="7CDE87D6" w14:textId="4C89FA27" w:rsidR="00210EDF" w:rsidRPr="00F47607" w:rsidRDefault="00210EDF" w:rsidP="00210EDF">
            <w:pPr>
              <w:pStyle w:val="NormalWeb"/>
              <w:rPr>
                <w:rFonts w:ascii="Segoe UI" w:hAnsi="Segoe UI" w:cs="Segoe UI"/>
                <w:sz w:val="20"/>
                <w:szCs w:val="20"/>
                <w:lang w:val="en-AU" w:eastAsia="en-AU"/>
              </w:rPr>
            </w:pPr>
            <w:r>
              <w:rPr>
                <w:rFonts w:ascii="Segoe UI" w:hAnsi="Segoe UI" w:cs="Segoe UI"/>
                <w:b/>
                <w:bCs/>
                <w:sz w:val="20"/>
                <w:szCs w:val="20"/>
                <w:lang w:val="en-AU" w:eastAsia="en-AU"/>
              </w:rPr>
              <w:t>Threat analysis</w:t>
            </w:r>
          </w:p>
        </w:tc>
        <w:tc>
          <w:tcPr>
            <w:tcW w:w="6390" w:type="dxa"/>
            <w:shd w:val="clear" w:color="auto" w:fill="EDEDED"/>
            <w:hideMark/>
          </w:tcPr>
          <w:p w14:paraId="361C3084" w14:textId="77777777" w:rsidR="00210EDF" w:rsidRPr="00392839" w:rsidRDefault="00210EDF" w:rsidP="00210EDF">
            <w:pPr>
              <w:pStyle w:val="NormalWeb"/>
              <w:numPr>
                <w:ilvl w:val="0"/>
                <w:numId w:val="8"/>
              </w:numPr>
              <w:rPr>
                <w:rFonts w:ascii="Segoe UI" w:hAnsi="Segoe UI" w:cs="Segoe UI"/>
                <w:sz w:val="20"/>
                <w:szCs w:val="20"/>
                <w:lang w:val="en-AU" w:eastAsia="en-AU"/>
              </w:rPr>
            </w:pPr>
            <w:r>
              <w:rPr>
                <w:rFonts w:ascii="Segoe UI" w:hAnsi="Segoe UI" w:cs="Segoe UI"/>
                <w:sz w:val="20"/>
                <w:szCs w:val="20"/>
                <w:lang w:val="en-AU" w:eastAsia="en-AU"/>
              </w:rPr>
              <w:t xml:space="preserve">When investigating an active threat, always first look at the security panel to quickly assess your security situation. </w:t>
            </w:r>
          </w:p>
          <w:p w14:paraId="5C1AB7E5" w14:textId="727E0BCC" w:rsidR="00210EDF" w:rsidRPr="00B814EA" w:rsidRDefault="00210EDF" w:rsidP="00210EDF">
            <w:pPr>
              <w:pStyle w:val="NormalWeb"/>
              <w:numPr>
                <w:ilvl w:val="0"/>
                <w:numId w:val="8"/>
              </w:numPr>
              <w:rPr>
                <w:rFonts w:ascii="Segoe UI" w:hAnsi="Segoe UI" w:cs="Segoe UI"/>
                <w:sz w:val="20"/>
                <w:szCs w:val="20"/>
                <w:lang w:val="en-AU" w:eastAsia="en-AU"/>
              </w:rPr>
            </w:pPr>
            <w:r>
              <w:rPr>
                <w:rFonts w:ascii="Segoe UI" w:hAnsi="Segoe UI" w:cs="Segoe UI"/>
                <w:sz w:val="20"/>
                <w:szCs w:val="20"/>
                <w:lang w:val="en-AU" w:eastAsia="en-AU"/>
              </w:rPr>
              <w:t xml:space="preserve">If you suspect an executable might be potentially malicious, you can use event filtering to find all the servers in your environment that are detected running the same executable to see if a pattern emerges. </w:t>
            </w:r>
          </w:p>
        </w:tc>
      </w:tr>
    </w:tbl>
    <w:p w14:paraId="58F893E5" w14:textId="77777777" w:rsidR="00F5625A" w:rsidRDefault="00F5625A" w:rsidP="006C7395">
      <w:pPr>
        <w:jc w:val="both"/>
      </w:pPr>
    </w:p>
    <w:p w14:paraId="6C2F181B" w14:textId="25BA1BF3" w:rsidR="00682E4A" w:rsidRDefault="00682E4A" w:rsidP="005729D2">
      <w:pPr>
        <w:pStyle w:val="Heading3Numbered"/>
        <w:numPr>
          <w:ilvl w:val="2"/>
          <w:numId w:val="64"/>
        </w:numPr>
      </w:pPr>
      <w:bookmarkStart w:id="7429" w:name="_Toc416863192"/>
      <w:bookmarkStart w:id="7430" w:name="_Toc417314807"/>
      <w:bookmarkStart w:id="7431" w:name="_Toc417323824"/>
      <w:bookmarkStart w:id="7432" w:name="_Toc417326914"/>
      <w:bookmarkStart w:id="7433" w:name="_Toc417330462"/>
      <w:bookmarkStart w:id="7434" w:name="_Toc417395069"/>
      <w:bookmarkStart w:id="7435" w:name="_Toc417399288"/>
      <w:bookmarkStart w:id="7436" w:name="_Toc417399447"/>
      <w:bookmarkStart w:id="7437" w:name="_Toc417400494"/>
      <w:bookmarkStart w:id="7438" w:name="_Toc417401342"/>
      <w:bookmarkStart w:id="7439" w:name="_Toc417419657"/>
      <w:bookmarkStart w:id="7440" w:name="_Toc417457429"/>
      <w:bookmarkStart w:id="7441" w:name="_Toc417482007"/>
      <w:bookmarkStart w:id="7442" w:name="_Toc417482265"/>
      <w:bookmarkStart w:id="7443" w:name="_Toc417499984"/>
      <w:bookmarkStart w:id="7444" w:name="_Toc417502805"/>
      <w:bookmarkStart w:id="7445" w:name="_Toc417548393"/>
      <w:bookmarkStart w:id="7446" w:name="_Toc417594636"/>
      <w:bookmarkStart w:id="7447" w:name="_Toc417934773"/>
      <w:bookmarkStart w:id="7448" w:name="_Toc417936110"/>
      <w:bookmarkStart w:id="7449" w:name="_Toc417936572"/>
      <w:bookmarkStart w:id="7450" w:name="_Toc417946988"/>
      <w:bookmarkStart w:id="7451" w:name="_Toc417947458"/>
      <w:bookmarkStart w:id="7452" w:name="_Toc417982596"/>
      <w:bookmarkStart w:id="7453" w:name="_Toc417986077"/>
      <w:bookmarkStart w:id="7454" w:name="_Toc418000741"/>
      <w:bookmarkStart w:id="7455" w:name="_Toc418003951"/>
      <w:bookmarkStart w:id="7456" w:name="_Toc418012156"/>
      <w:bookmarkStart w:id="7457" w:name="_Toc418014531"/>
      <w:bookmarkStart w:id="7458" w:name="_Toc418030174"/>
      <w:bookmarkStart w:id="7459" w:name="_Toc418037019"/>
      <w:bookmarkStart w:id="7460" w:name="_Toc418061489"/>
      <w:bookmarkStart w:id="7461" w:name="_Toc418081390"/>
      <w:bookmarkStart w:id="7462" w:name="_Toc418083420"/>
      <w:bookmarkStart w:id="7463" w:name="_Toc418096186"/>
      <w:bookmarkStart w:id="7464" w:name="_Toc418156788"/>
      <w:bookmarkStart w:id="7465" w:name="_Toc418167705"/>
      <w:bookmarkStart w:id="7466" w:name="_Toc418185961"/>
      <w:bookmarkStart w:id="7467" w:name="_Toc422941675"/>
      <w:bookmarkStart w:id="7468" w:name="_Toc423116887"/>
      <w:bookmarkStart w:id="7469" w:name="_Toc423117920"/>
      <w:bookmarkStart w:id="7470" w:name="_Toc423117367"/>
      <w:bookmarkStart w:id="7471" w:name="_Toc431288966"/>
      <w:r>
        <w:t>Global Service Monitor</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5EC41CCA" w14:textId="006C5572" w:rsidR="00210EDF" w:rsidRDefault="00E51B95" w:rsidP="00210EDF">
      <w:bookmarkStart w:id="7472" w:name="_Toc414892165"/>
      <w:bookmarkStart w:id="7473" w:name="_Toc414960188"/>
      <w:bookmarkStart w:id="7474" w:name="_Toc414969159"/>
      <w:bookmarkStart w:id="7475" w:name="_Toc415011383"/>
      <w:bookmarkStart w:id="7476" w:name="_Toc415040077"/>
      <w:bookmarkStart w:id="7477" w:name="_Toc415572434"/>
      <w:bookmarkStart w:id="7478" w:name="_Toc415735604"/>
      <w:bookmarkStart w:id="7479" w:name="_Toc415814185"/>
      <w:bookmarkStart w:id="7480" w:name="_Toc416343921"/>
      <w:r>
        <w:t>Global</w:t>
      </w:r>
      <w:r w:rsidR="00210EDF">
        <w:t xml:space="preserve"> Service Monitor is a cloud service that provides a simplified way to monitor the availability of external web-based applications from multiple locations around the world. Importantly, Global Service Monitor monitors applications from the perspective of the customers who use them. </w:t>
      </w:r>
    </w:p>
    <w:p w14:paraId="24915A36" w14:textId="77777777" w:rsidR="00210EDF" w:rsidRDefault="00210EDF" w:rsidP="00210EDF">
      <w:r>
        <w:t xml:space="preserve">Because Global Service Monitor monitors from locations that are correlated to customer geographies, application owners can gain insight into customer experiences in addition to the separate issues related to external factors, such as Internet or network issues from application or service issues. </w:t>
      </w:r>
    </w:p>
    <w:p w14:paraId="773E8183" w14:textId="77777777" w:rsidR="00210EDF" w:rsidRDefault="00210EDF" w:rsidP="00210EDF">
      <w:r>
        <w:t xml:space="preserve">The monitoring experience with Global Service Monitor focuses on the application instead of the infrastructure or individual URL. Global Service Monitor extends the monitoring capabilities of the System Center Operations Manager console so that you can monitor external- and internal-facing web applications in the same place you monitor other applications. </w:t>
      </w:r>
    </w:p>
    <w:p w14:paraId="7C263153" w14:textId="33FB6BC3" w:rsidR="00E51B95" w:rsidRDefault="00210EDF" w:rsidP="00210EDF">
      <w:pPr>
        <w:jc w:val="both"/>
      </w:pPr>
      <w:r>
        <w:rPr>
          <w:rFonts w:cs="Segoe UI"/>
        </w:rPr>
        <w:t>Global Service Monitor uses points-of-presence in Microsoft Azure to monitor and identify external factors to help give you a true reflection of an end-user's experience of a web application</w:t>
      </w:r>
      <w:r w:rsidR="00E51B95">
        <w:rPr>
          <w:rFonts w:cs="Segoe UI"/>
        </w:rPr>
        <w:t>.</w:t>
      </w:r>
    </w:p>
    <w:p w14:paraId="554F928F" w14:textId="1BACC570" w:rsidR="00971E02" w:rsidRDefault="00971E02" w:rsidP="00971E02">
      <w:pPr>
        <w:jc w:val="both"/>
      </w:pPr>
    </w:p>
    <w:tbl>
      <w:tblPr>
        <w:tblStyle w:val="PlainTable11"/>
        <w:tblW w:w="0" w:type="auto"/>
        <w:tblLook w:val="04A0" w:firstRow="1" w:lastRow="0" w:firstColumn="1" w:lastColumn="0" w:noHBand="0" w:noVBand="1"/>
      </w:tblPr>
      <w:tblGrid>
        <w:gridCol w:w="3414"/>
        <w:gridCol w:w="5936"/>
      </w:tblGrid>
      <w:tr w:rsidR="00971E02" w14:paraId="3452D0BB" w14:textId="77777777" w:rsidTr="00BF7F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68B64A71" w14:textId="77777777" w:rsidR="00971E02" w:rsidRPr="00F47607" w:rsidRDefault="00971E02" w:rsidP="008E3FEC">
            <w:pPr>
              <w:spacing w:line="240" w:lineRule="auto"/>
              <w:rPr>
                <w:color w:val="FFFFFF"/>
              </w:rPr>
            </w:pPr>
            <w:r>
              <w:rPr>
                <w:color w:val="FFFFFF"/>
              </w:rPr>
              <w:t>Feature References</w:t>
            </w:r>
          </w:p>
        </w:tc>
      </w:tr>
      <w:tr w:rsidR="00E51B95" w:rsidRPr="00BF7F28" w14:paraId="16DACB5C"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2B8A4EBE" w14:textId="5EB08061" w:rsidR="00E51B95" w:rsidRPr="00BF7F28" w:rsidRDefault="00E51B95" w:rsidP="008E3FEC">
            <w:pPr>
              <w:spacing w:line="240" w:lineRule="auto"/>
              <w:rPr>
                <w:sz w:val="20"/>
                <w:szCs w:val="20"/>
              </w:rPr>
            </w:pPr>
            <w:r>
              <w:rPr>
                <w:sz w:val="20"/>
                <w:szCs w:val="20"/>
              </w:rPr>
              <w:t>Features</w:t>
            </w:r>
          </w:p>
        </w:tc>
        <w:tc>
          <w:tcPr>
            <w:tcW w:w="5940" w:type="dxa"/>
          </w:tcPr>
          <w:p w14:paraId="73FB9D9F" w14:textId="55FFDB4A" w:rsidR="00E51B95" w:rsidRPr="00E51B95" w:rsidRDefault="00872E47" w:rsidP="008E3FEC">
            <w:pPr>
              <w:cnfStyle w:val="000000100000" w:firstRow="0" w:lastRow="0" w:firstColumn="0" w:lastColumn="0" w:oddVBand="0" w:evenVBand="0" w:oddHBand="1" w:evenHBand="0" w:firstRowFirstColumn="0" w:firstRowLastColumn="0" w:lastRowFirstColumn="0" w:lastRowLastColumn="0"/>
              <w:rPr>
                <w:sz w:val="20"/>
                <w:szCs w:val="20"/>
              </w:rPr>
            </w:pPr>
            <w:hyperlink r:id="rId649" w:history="1">
              <w:r w:rsidR="00E51B95" w:rsidRPr="00E51B95">
                <w:rPr>
                  <w:rStyle w:val="Hyperlink"/>
                  <w:sz w:val="20"/>
                  <w:szCs w:val="20"/>
                </w:rPr>
                <w:t>https://technet.microsoft.com/library/jj860368.aspx</w:t>
              </w:r>
            </w:hyperlink>
            <w:r w:rsidR="00E51B95" w:rsidRPr="00E51B95">
              <w:rPr>
                <w:sz w:val="20"/>
                <w:szCs w:val="20"/>
              </w:rPr>
              <w:t xml:space="preserve"> </w:t>
            </w:r>
          </w:p>
        </w:tc>
      </w:tr>
      <w:tr w:rsidR="00971E02" w:rsidRPr="00BF7F28" w14:paraId="7CC2E872" w14:textId="77777777" w:rsidTr="00BF7F28">
        <w:tc>
          <w:tcPr>
            <w:cnfStyle w:val="001000000000" w:firstRow="0" w:lastRow="0" w:firstColumn="1" w:lastColumn="0" w:oddVBand="0" w:evenVBand="0" w:oddHBand="0" w:evenHBand="0" w:firstRowFirstColumn="0" w:firstRowLastColumn="0" w:lastRowFirstColumn="0" w:lastRowLastColumn="0"/>
            <w:tcW w:w="3420" w:type="dxa"/>
          </w:tcPr>
          <w:p w14:paraId="681E5D30" w14:textId="0A37AA08" w:rsidR="00971E02" w:rsidRPr="00BF7F28" w:rsidRDefault="00940422" w:rsidP="008E3FEC">
            <w:pPr>
              <w:spacing w:line="240" w:lineRule="auto"/>
              <w:rPr>
                <w:sz w:val="20"/>
                <w:szCs w:val="20"/>
              </w:rPr>
            </w:pPr>
            <w:r w:rsidRPr="00BF7F28">
              <w:rPr>
                <w:sz w:val="20"/>
                <w:szCs w:val="20"/>
              </w:rPr>
              <w:t>Web Application Availability Monitoring</w:t>
            </w:r>
          </w:p>
        </w:tc>
        <w:tc>
          <w:tcPr>
            <w:tcW w:w="5940" w:type="dxa"/>
          </w:tcPr>
          <w:p w14:paraId="6FE9F0AC" w14:textId="10A118B2" w:rsidR="00971E02" w:rsidRPr="00BF7F28" w:rsidRDefault="00872E47" w:rsidP="008E3FEC">
            <w:pPr>
              <w:cnfStyle w:val="000000000000" w:firstRow="0" w:lastRow="0" w:firstColumn="0" w:lastColumn="0" w:oddVBand="0" w:evenVBand="0" w:oddHBand="0" w:evenHBand="0" w:firstRowFirstColumn="0" w:firstRowLastColumn="0" w:lastRowFirstColumn="0" w:lastRowLastColumn="0"/>
              <w:rPr>
                <w:sz w:val="20"/>
                <w:szCs w:val="20"/>
              </w:rPr>
            </w:pPr>
            <w:hyperlink r:id="rId650" w:history="1">
              <w:r w:rsidR="008E3FEC" w:rsidRPr="00BF7F28">
                <w:rPr>
                  <w:rStyle w:val="Hyperlink"/>
                  <w:sz w:val="20"/>
                  <w:szCs w:val="20"/>
                </w:rPr>
                <w:t>https://technet.microsoft.com/en-us/library/jj860370.aspx</w:t>
              </w:r>
            </w:hyperlink>
            <w:r w:rsidR="008E3FEC" w:rsidRPr="00BF7F28">
              <w:rPr>
                <w:sz w:val="20"/>
                <w:szCs w:val="20"/>
              </w:rPr>
              <w:t xml:space="preserve"> </w:t>
            </w:r>
          </w:p>
        </w:tc>
      </w:tr>
      <w:tr w:rsidR="00971E02" w:rsidRPr="00BF7F28" w14:paraId="256B5046"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5C5C6841" w14:textId="0E14C680" w:rsidR="00971E02" w:rsidRPr="00BF7F28" w:rsidRDefault="008E3FEC" w:rsidP="008E3FEC">
            <w:pPr>
              <w:spacing w:line="240" w:lineRule="auto"/>
              <w:rPr>
                <w:sz w:val="20"/>
                <w:szCs w:val="20"/>
              </w:rPr>
            </w:pPr>
            <w:r w:rsidRPr="00BF7F28">
              <w:rPr>
                <w:sz w:val="20"/>
                <w:szCs w:val="20"/>
              </w:rPr>
              <w:t>Visual Studio Web Tests</w:t>
            </w:r>
          </w:p>
        </w:tc>
        <w:tc>
          <w:tcPr>
            <w:tcW w:w="5940" w:type="dxa"/>
          </w:tcPr>
          <w:p w14:paraId="601875C8" w14:textId="785F587A" w:rsidR="00971E02" w:rsidRPr="00BF7F28" w:rsidRDefault="00872E47" w:rsidP="008E3FEC">
            <w:pPr>
              <w:cnfStyle w:val="000000100000" w:firstRow="0" w:lastRow="0" w:firstColumn="0" w:lastColumn="0" w:oddVBand="0" w:evenVBand="0" w:oddHBand="1" w:evenHBand="0" w:firstRowFirstColumn="0" w:firstRowLastColumn="0" w:lastRowFirstColumn="0" w:lastRowLastColumn="0"/>
              <w:rPr>
                <w:sz w:val="20"/>
                <w:szCs w:val="20"/>
              </w:rPr>
            </w:pPr>
            <w:hyperlink r:id="rId651" w:history="1">
              <w:r w:rsidR="00940422" w:rsidRPr="00BF7F28">
                <w:rPr>
                  <w:rStyle w:val="Hyperlink"/>
                  <w:sz w:val="20"/>
                  <w:szCs w:val="20"/>
                </w:rPr>
                <w:t>https://technet.microsoft.com/en-us/library/jj860376.aspx</w:t>
              </w:r>
            </w:hyperlink>
            <w:r w:rsidR="00940422" w:rsidRPr="00BF7F28">
              <w:rPr>
                <w:sz w:val="20"/>
                <w:szCs w:val="20"/>
              </w:rPr>
              <w:t xml:space="preserve"> </w:t>
            </w:r>
          </w:p>
        </w:tc>
      </w:tr>
    </w:tbl>
    <w:p w14:paraId="4D879B3B" w14:textId="77777777" w:rsidR="00971E02" w:rsidRDefault="00971E02" w:rsidP="00971E02">
      <w:pPr>
        <w:jc w:val="both"/>
      </w:pPr>
    </w:p>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971E02" w14:paraId="666CFB9A" w14:textId="77777777" w:rsidTr="008E3FEC">
        <w:trPr>
          <w:trHeight w:val="423"/>
        </w:trPr>
        <w:tc>
          <w:tcPr>
            <w:tcW w:w="666" w:type="dxa"/>
          </w:tcPr>
          <w:p w14:paraId="665B1181" w14:textId="77777777" w:rsidR="00971E02" w:rsidRDefault="00971E02" w:rsidP="008E3FEC">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314176" behindDoc="0" locked="0" layoutInCell="1" allowOverlap="1" wp14:anchorId="434CAEFD" wp14:editId="6F5D594D">
                      <wp:simplePos x="0" y="0"/>
                      <wp:positionH relativeFrom="column">
                        <wp:posOffset>66675</wp:posOffset>
                      </wp:positionH>
                      <wp:positionV relativeFrom="paragraph">
                        <wp:posOffset>90170</wp:posOffset>
                      </wp:positionV>
                      <wp:extent cx="209550" cy="180975"/>
                      <wp:effectExtent l="57150" t="19050" r="57150" b="104775"/>
                      <wp:wrapNone/>
                      <wp:docPr id="41128" name="Isosceles Triangle 411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6BDA20FF" id="Isosceles Triangle 41128" o:spid="_x0000_s1026" type="#_x0000_t5" style="position:absolute;margin-left:5.25pt;margin-top:7.1pt;width:16.5pt;height:14.25pt;z-index:25131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PT+ig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Oi&#10;mGCzDGuwTbcePBdaePLoFDMbLUinx3q11pdo9mDvXczY2xXwHx4V2R+aKPgec5CuiVjMlxxS8Y9j&#10;8cUhEI4/J/nFbIYt4qgqzvOLs1lsTsbKwdg6H74IaEi8VDT0gaWys/3Khw4+wFJsoFW9VFonwW3W&#10;19qRPUMuLPHLU/vxBf8MSzl0YacEwlGLaKzNNyGxThhokV5MDBWjP8a5MOG0Dzmho5nEt0fDz+8b&#10;9vhoKhJ7R+PJ+8ajRXoZTBiNG2XAveVAh6IPWXb4vou+yzuWYA31ESnioJsdb/lSYQNWzId75nBY&#10;sGe4AMJXPKSGtqLQ3yjZgvv11v+IRw6jlpIWh6+i/ueOOUGJvjXI7otiOo3TmoTp7GyCgnupWb/U&#10;mF1zDdjTAleN5eka8UEPV+mgecI9sYivoooZjm9XlAc3CNehWwq4abhYLBIMJ9SysDIPlg9dj+R6&#10;PDwxZwcWIn3vYBhUVr4iYoeN/TCw2AWQKrH0ua59vXG6E9f7TRTXx0s5oZ735fw3AAAA//8DAFBL&#10;AwQUAAYACAAAACEANTxCMNkAAAAHAQAADwAAAGRycy9kb3ducmV2LnhtbEyOzU7DMBCE70i8g7VI&#10;XFDrkIa2CnEqhJIjqig8gBNvfoS9jmK3DW/PcoLTaDSjma84LM6KC85h9KTgcZ2AQGq9GalX8PlR&#10;r/YgQtRktPWECr4xwKG8vSl0bvyV3vFyir3gEQq5VjDEOOVShnZAp8PaT0icdX52OrKde2lmfeVx&#10;Z2WaJFvp9Ej8MOgJXwdsv05np8A3y7Hb1Lv9Q+0m+9ZVVeaOlVL3d8vLM4iIS/wrwy8+o0PJTI0/&#10;kwnCsk+euMmapSA4zzbsG9Z0B7Is5H/+8gcAAP//AwBQSwECLQAUAAYACAAAACEAtoM4kv4AAADh&#10;AQAAEwAAAAAAAAAAAAAAAAAAAAAAW0NvbnRlbnRfVHlwZXNdLnhtbFBLAQItABQABgAIAAAAIQA4&#10;/SH/1gAAAJQBAAALAAAAAAAAAAAAAAAAAC8BAABfcmVscy8ucmVsc1BLAQItABQABgAIAAAAIQCp&#10;PPT+igIAAHcFAAAOAAAAAAAAAAAAAAAAAC4CAABkcnMvZTJvRG9jLnhtbFBLAQItABQABgAIAAAA&#10;IQA1PEIw2QAAAAcBAAAPAAAAAAAAAAAAAAAAAOQEAABkcnMvZG93bnJldi54bWxQSwUGAAAAAAQA&#10;BADzAAAA6gUAAAAA&#10;" fillcolor="yellow" strokecolor="#70ad47 [3209]" strokeweight=".5pt">
                      <v:path arrowok="t"/>
                    </v:shape>
                  </w:pict>
                </mc:Fallback>
              </mc:AlternateContent>
            </w:r>
          </w:p>
        </w:tc>
        <w:tc>
          <w:tcPr>
            <w:tcW w:w="8604" w:type="dxa"/>
          </w:tcPr>
          <w:p w14:paraId="4EBB715B" w14:textId="77777777" w:rsidR="00971E02" w:rsidRDefault="00971E02" w:rsidP="008E3FEC">
            <w:pPr>
              <w:rPr>
                <w:rFonts w:eastAsiaTheme="minorHAnsi"/>
                <w:lang w:eastAsia="en-US"/>
              </w:rPr>
            </w:pPr>
            <w:r>
              <w:rPr>
                <w:rFonts w:eastAsiaTheme="minorHAnsi"/>
                <w:b/>
                <w:lang w:eastAsia="en-US"/>
              </w:rPr>
              <w:t xml:space="preserve">Recommended: </w:t>
            </w:r>
            <w:r>
              <w:rPr>
                <w:rFonts w:eastAsiaTheme="minorHAnsi"/>
                <w:lang w:eastAsia="en-US"/>
              </w:rPr>
              <w:t xml:space="preserve"> </w:t>
            </w:r>
          </w:p>
          <w:p w14:paraId="210021B6" w14:textId="77777777" w:rsidR="00971E02" w:rsidRDefault="00DD34D7" w:rsidP="005729D2">
            <w:pPr>
              <w:pStyle w:val="ListParagraph"/>
              <w:numPr>
                <w:ilvl w:val="0"/>
                <w:numId w:val="43"/>
              </w:numPr>
              <w:rPr>
                <w:lang w:eastAsia="en-US"/>
              </w:rPr>
            </w:pPr>
            <w:r>
              <w:rPr>
                <w:lang w:eastAsia="en-US"/>
              </w:rPr>
              <w:t xml:space="preserve">When configuring the Global Service Monitor to leverage global locations it is advisable to use an internal location for internal and external perspectives. </w:t>
            </w:r>
          </w:p>
          <w:p w14:paraId="07F894B1" w14:textId="2DA07138" w:rsidR="009A1E9E" w:rsidRPr="00F5625A" w:rsidRDefault="009A1E9E" w:rsidP="005729D2">
            <w:pPr>
              <w:pStyle w:val="ListParagraph"/>
              <w:numPr>
                <w:ilvl w:val="0"/>
                <w:numId w:val="43"/>
              </w:numPr>
              <w:rPr>
                <w:lang w:eastAsia="en-US"/>
              </w:rPr>
            </w:pPr>
            <w:r>
              <w:rPr>
                <w:lang w:eastAsia="en-US"/>
              </w:rPr>
              <w:t xml:space="preserve">When monitoring on a large scale </w:t>
            </w:r>
            <w:r w:rsidR="00210EDF">
              <w:rPr>
                <w:lang w:eastAsia="en-US"/>
              </w:rPr>
              <w:t>(</w:t>
            </w:r>
            <w:r>
              <w:rPr>
                <w:lang w:eastAsia="en-US"/>
              </w:rPr>
              <w:t>in the thousands of links</w:t>
            </w:r>
            <w:r w:rsidR="00210EDF">
              <w:rPr>
                <w:lang w:eastAsia="en-US"/>
              </w:rPr>
              <w:t>),</w:t>
            </w:r>
            <w:r>
              <w:rPr>
                <w:lang w:eastAsia="en-US"/>
              </w:rPr>
              <w:t xml:space="preserve"> it is best to create custom scope views to target specific sets of URLS for Web Application Availability Monitoring. </w:t>
            </w:r>
          </w:p>
        </w:tc>
      </w:tr>
    </w:tbl>
    <w:p w14:paraId="6C2F181D" w14:textId="2104400F" w:rsidR="00682E4A" w:rsidRDefault="00682E4A" w:rsidP="005729D2">
      <w:pPr>
        <w:pStyle w:val="Heading3Numbered"/>
        <w:numPr>
          <w:ilvl w:val="2"/>
          <w:numId w:val="64"/>
        </w:numPr>
      </w:pPr>
      <w:bookmarkStart w:id="7481" w:name="_Toc416863193"/>
      <w:bookmarkStart w:id="7482" w:name="_Toc417314808"/>
      <w:bookmarkStart w:id="7483" w:name="_Toc417323825"/>
      <w:bookmarkStart w:id="7484" w:name="_Toc417326915"/>
      <w:bookmarkStart w:id="7485" w:name="_Toc417330463"/>
      <w:bookmarkStart w:id="7486" w:name="_Toc417395070"/>
      <w:bookmarkStart w:id="7487" w:name="_Toc417399289"/>
      <w:bookmarkStart w:id="7488" w:name="_Toc417399448"/>
      <w:bookmarkStart w:id="7489" w:name="_Toc417400495"/>
      <w:bookmarkStart w:id="7490" w:name="_Toc417401343"/>
      <w:bookmarkStart w:id="7491" w:name="_Toc417419658"/>
      <w:bookmarkStart w:id="7492" w:name="_Toc417457430"/>
      <w:bookmarkStart w:id="7493" w:name="_Toc417482008"/>
      <w:bookmarkStart w:id="7494" w:name="_Toc417482266"/>
      <w:bookmarkStart w:id="7495" w:name="_Toc417499985"/>
      <w:bookmarkStart w:id="7496" w:name="_Toc417502806"/>
      <w:bookmarkStart w:id="7497" w:name="_Toc417548394"/>
      <w:bookmarkStart w:id="7498" w:name="_Toc417594637"/>
      <w:bookmarkStart w:id="7499" w:name="_Toc417934774"/>
      <w:bookmarkStart w:id="7500" w:name="_Toc417936111"/>
      <w:bookmarkStart w:id="7501" w:name="_Toc417936573"/>
      <w:bookmarkStart w:id="7502" w:name="_Toc417946989"/>
      <w:bookmarkStart w:id="7503" w:name="_Toc417947459"/>
      <w:bookmarkStart w:id="7504" w:name="_Toc417982597"/>
      <w:bookmarkStart w:id="7505" w:name="_Toc417986078"/>
      <w:bookmarkStart w:id="7506" w:name="_Toc418000742"/>
      <w:bookmarkStart w:id="7507" w:name="_Toc418003954"/>
      <w:bookmarkStart w:id="7508" w:name="_Toc418012159"/>
      <w:bookmarkStart w:id="7509" w:name="_Toc418014532"/>
      <w:bookmarkStart w:id="7510" w:name="_Toc418030177"/>
      <w:bookmarkStart w:id="7511" w:name="_Toc418037020"/>
      <w:bookmarkStart w:id="7512" w:name="_Toc418061490"/>
      <w:bookmarkStart w:id="7513" w:name="_Toc418081391"/>
      <w:bookmarkStart w:id="7514" w:name="_Toc418083421"/>
      <w:bookmarkStart w:id="7515" w:name="_Toc418096187"/>
      <w:bookmarkStart w:id="7516" w:name="_Toc418156789"/>
      <w:bookmarkStart w:id="7517" w:name="_Toc418167706"/>
      <w:bookmarkStart w:id="7518" w:name="_Toc418185962"/>
      <w:bookmarkStart w:id="7519" w:name="_Toc422941676"/>
      <w:bookmarkStart w:id="7520" w:name="_Toc423116888"/>
      <w:bookmarkStart w:id="7521" w:name="_Toc423117921"/>
      <w:bookmarkStart w:id="7522" w:name="_Toc423117368"/>
      <w:bookmarkStart w:id="7523" w:name="_Toc431288967"/>
      <w:r>
        <w:t>Microsoft Azure Diagnostics</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08B465D4" w14:textId="3AD88C41" w:rsidR="00201006" w:rsidRDefault="00201006" w:rsidP="00682E4A">
      <w:pPr>
        <w:jc w:val="both"/>
      </w:pPr>
      <w:r w:rsidRPr="00201006">
        <w:t>Azure</w:t>
      </w:r>
      <w:r w:rsidR="00210EDF" w:rsidRPr="00201006">
        <w:t xml:space="preserve"> Diagnostics</w:t>
      </w:r>
      <w:r w:rsidR="00210EDF">
        <w:t> 1</w:t>
      </w:r>
      <w:r w:rsidR="00210EDF" w:rsidRPr="00201006">
        <w:t>.</w:t>
      </w:r>
      <w:r w:rsidR="00210EDF">
        <w:t>3</w:t>
      </w:r>
      <w:r w:rsidR="00210EDF" w:rsidRPr="00201006">
        <w:t xml:space="preserve"> and</w:t>
      </w:r>
      <w:r w:rsidR="00210EDF">
        <w:t> 1</w:t>
      </w:r>
      <w:r w:rsidR="00210EDF" w:rsidRPr="00201006">
        <w:t>.</w:t>
      </w:r>
      <w:r w:rsidR="00210EDF">
        <w:t>2</w:t>
      </w:r>
      <w:r w:rsidR="00210EDF" w:rsidRPr="00201006">
        <w:t xml:space="preserve"> are Azure extensions that enable you to collect diagnostic telemetry data from a worker role, web role, or virtual machine running in Azure. The telemetry data is stored in an Azure </w:t>
      </w:r>
      <w:r w:rsidR="00210EDF">
        <w:t>S</w:t>
      </w:r>
      <w:r w:rsidR="00210EDF" w:rsidRPr="00201006">
        <w:t>torage account</w:t>
      </w:r>
      <w:r w:rsidR="00210EDF">
        <w:t>,</w:t>
      </w:r>
      <w:r w:rsidR="00210EDF" w:rsidRPr="00201006">
        <w:t xml:space="preserve"> and </w:t>
      </w:r>
      <w:r w:rsidR="00210EDF">
        <w:t xml:space="preserve">it </w:t>
      </w:r>
      <w:r w:rsidR="00210EDF" w:rsidRPr="00201006">
        <w:t>can be used for debugging and troubleshooting, measuring performance, monitoring resource usage, traffic analysis and capacity planning, and auditing</w:t>
      </w:r>
      <w:r w:rsidRPr="00201006">
        <w:t>.</w:t>
      </w:r>
    </w:p>
    <w:tbl>
      <w:tblPr>
        <w:tblStyle w:val="PlainTable11"/>
        <w:tblW w:w="0" w:type="auto"/>
        <w:tblLook w:val="04A0" w:firstRow="1" w:lastRow="0" w:firstColumn="1" w:lastColumn="0" w:noHBand="0" w:noVBand="1"/>
      </w:tblPr>
      <w:tblGrid>
        <w:gridCol w:w="3417"/>
        <w:gridCol w:w="5933"/>
      </w:tblGrid>
      <w:tr w:rsidR="00201006" w14:paraId="71713D39" w14:textId="77777777" w:rsidTr="00BF7F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537959A7" w14:textId="77777777" w:rsidR="00201006" w:rsidRPr="00F47607" w:rsidRDefault="00201006" w:rsidP="00161D57">
            <w:pPr>
              <w:spacing w:line="240" w:lineRule="auto"/>
              <w:rPr>
                <w:color w:val="FFFFFF"/>
              </w:rPr>
            </w:pPr>
            <w:r>
              <w:rPr>
                <w:color w:val="FFFFFF"/>
              </w:rPr>
              <w:t>Feature References</w:t>
            </w:r>
          </w:p>
        </w:tc>
      </w:tr>
      <w:tr w:rsidR="00201006" w:rsidRPr="00BF7F28" w14:paraId="050DFBE6" w14:textId="77777777" w:rsidTr="00BF7F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2046A095" w14:textId="5458D952" w:rsidR="00201006" w:rsidRPr="00BF7F28" w:rsidRDefault="00201006" w:rsidP="00161D57">
            <w:pPr>
              <w:spacing w:line="240" w:lineRule="auto"/>
              <w:rPr>
                <w:sz w:val="20"/>
                <w:szCs w:val="20"/>
              </w:rPr>
            </w:pPr>
            <w:r w:rsidRPr="00BF7F28">
              <w:rPr>
                <w:sz w:val="20"/>
                <w:szCs w:val="20"/>
              </w:rPr>
              <w:t xml:space="preserve">Overview/Configuring </w:t>
            </w:r>
          </w:p>
        </w:tc>
        <w:tc>
          <w:tcPr>
            <w:tcW w:w="5940" w:type="dxa"/>
          </w:tcPr>
          <w:p w14:paraId="508B24C2" w14:textId="68A81034" w:rsidR="00201006" w:rsidRPr="00BF7F28" w:rsidRDefault="00872E47" w:rsidP="00161D57">
            <w:pPr>
              <w:cnfStyle w:val="000000100000" w:firstRow="0" w:lastRow="0" w:firstColumn="0" w:lastColumn="0" w:oddVBand="0" w:evenVBand="0" w:oddHBand="1" w:evenHBand="0" w:firstRowFirstColumn="0" w:firstRowLastColumn="0" w:lastRowFirstColumn="0" w:lastRowLastColumn="0"/>
              <w:rPr>
                <w:sz w:val="20"/>
                <w:szCs w:val="20"/>
              </w:rPr>
            </w:pPr>
            <w:hyperlink r:id="rId652" w:history="1">
              <w:r w:rsidR="00201006" w:rsidRPr="00BF7F28">
                <w:rPr>
                  <w:rStyle w:val="Hyperlink"/>
                  <w:sz w:val="20"/>
                  <w:szCs w:val="20"/>
                </w:rPr>
                <w:t>http://azure.microsoft.com/en-us/documentation/articles/cloud-services-dotnet-diagnostics/</w:t>
              </w:r>
            </w:hyperlink>
            <w:r w:rsidR="00201006" w:rsidRPr="00BF7F28">
              <w:rPr>
                <w:sz w:val="20"/>
                <w:szCs w:val="20"/>
              </w:rPr>
              <w:t xml:space="preserve"> </w:t>
            </w:r>
          </w:p>
        </w:tc>
      </w:tr>
    </w:tbl>
    <w:p w14:paraId="40F4D841" w14:textId="44BF42DB" w:rsidR="00305E18" w:rsidRDefault="00305E18">
      <w:pPr>
        <w:spacing w:before="0" w:after="160" w:line="259" w:lineRule="auto"/>
      </w:pPr>
    </w:p>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FF037E" w14:paraId="2F02553C" w14:textId="77777777" w:rsidTr="00227107">
        <w:tc>
          <w:tcPr>
            <w:tcW w:w="9360" w:type="dxa"/>
            <w:shd w:val="clear" w:color="auto" w:fill="008AC8"/>
          </w:tcPr>
          <w:p w14:paraId="44F96772" w14:textId="77777777" w:rsidR="00FF037E" w:rsidRPr="00F47607" w:rsidRDefault="00FF037E" w:rsidP="00227107">
            <w:pPr>
              <w:spacing w:line="240" w:lineRule="auto"/>
              <w:rPr>
                <w:color w:val="FFFFFF"/>
              </w:rPr>
            </w:pPr>
            <w:r>
              <w:rPr>
                <w:color w:val="FFFFFF"/>
              </w:rPr>
              <w:t>Design Guidance</w:t>
            </w:r>
          </w:p>
        </w:tc>
      </w:tr>
    </w:tbl>
    <w:p w14:paraId="0CE14691" w14:textId="50162122" w:rsidR="0099398E" w:rsidRDefault="00FF037E" w:rsidP="00256000">
      <w:r>
        <w:t>The following considerations apply when e</w:t>
      </w:r>
      <w:r w:rsidRPr="00B04A16">
        <w:t>xte</w:t>
      </w:r>
      <w:r>
        <w:t>nding Azure monitoring through Azure Diagnostics:</w:t>
      </w:r>
    </w:p>
    <w:tbl>
      <w:tblPr>
        <w:tblW w:w="9355"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29" w:type="dxa"/>
          <w:bottom w:w="29" w:type="dxa"/>
        </w:tblCellMar>
        <w:tblLook w:val="04A0" w:firstRow="1" w:lastRow="0" w:firstColumn="1" w:lastColumn="0" w:noHBand="0" w:noVBand="1"/>
      </w:tblPr>
      <w:tblGrid>
        <w:gridCol w:w="2965"/>
        <w:gridCol w:w="6390"/>
      </w:tblGrid>
      <w:tr w:rsidR="00242751" w14:paraId="6B146C5A" w14:textId="77777777" w:rsidTr="00BF7F28">
        <w:tc>
          <w:tcPr>
            <w:tcW w:w="2965" w:type="dxa"/>
            <w:tcBorders>
              <w:top w:val="single" w:sz="4" w:space="0" w:color="A5A5A5"/>
              <w:left w:val="single" w:sz="4" w:space="0" w:color="A5A5A5"/>
              <w:bottom w:val="single" w:sz="4" w:space="0" w:color="A5A5A5"/>
              <w:right w:val="nil"/>
            </w:tcBorders>
            <w:shd w:val="clear" w:color="auto" w:fill="808080" w:themeFill="background1" w:themeFillShade="80"/>
            <w:hideMark/>
          </w:tcPr>
          <w:p w14:paraId="3147778F" w14:textId="77777777" w:rsidR="00242751" w:rsidRPr="00F47607" w:rsidRDefault="00242751" w:rsidP="00161D57">
            <w:pPr>
              <w:spacing w:line="240" w:lineRule="auto"/>
              <w:rPr>
                <w:rFonts w:ascii="Times New Roman" w:hAnsi="Times New Roman"/>
                <w:b/>
                <w:bCs/>
                <w:color w:val="FFFFFF"/>
                <w:lang w:val="en-AU" w:eastAsia="en-AU"/>
              </w:rPr>
            </w:pPr>
            <w:r w:rsidRPr="00F47607">
              <w:rPr>
                <w:rFonts w:eastAsia="Calibri"/>
                <w:b/>
                <w:bCs/>
                <w:color w:val="FFFFFF"/>
                <w:lang w:val="en-AU" w:eastAsia="en-AU"/>
              </w:rPr>
              <w:t>Scenario</w:t>
            </w:r>
          </w:p>
        </w:tc>
        <w:tc>
          <w:tcPr>
            <w:tcW w:w="6390" w:type="dxa"/>
            <w:tcBorders>
              <w:top w:val="single" w:sz="4" w:space="0" w:color="A5A5A5"/>
              <w:left w:val="nil"/>
              <w:bottom w:val="single" w:sz="4" w:space="0" w:color="A5A5A5"/>
              <w:right w:val="single" w:sz="4" w:space="0" w:color="A5A5A5"/>
            </w:tcBorders>
            <w:shd w:val="clear" w:color="auto" w:fill="808080" w:themeFill="background1" w:themeFillShade="80"/>
            <w:hideMark/>
          </w:tcPr>
          <w:p w14:paraId="468B5A4F" w14:textId="77777777" w:rsidR="00242751" w:rsidRPr="00F47607" w:rsidRDefault="00242751" w:rsidP="00161D57">
            <w:pPr>
              <w:spacing w:line="240" w:lineRule="auto"/>
              <w:rPr>
                <w:rFonts w:eastAsia="Calibri"/>
                <w:b/>
                <w:color w:val="FFFFFF"/>
                <w:lang w:val="en-AU" w:eastAsia="en-AU"/>
              </w:rPr>
            </w:pPr>
            <w:r w:rsidRPr="00F47607">
              <w:rPr>
                <w:rFonts w:eastAsia="Calibri"/>
                <w:b/>
                <w:bCs/>
                <w:color w:val="FFFFFF"/>
                <w:lang w:val="en-AU" w:eastAsia="en-AU"/>
              </w:rPr>
              <w:t>Points to Consider</w:t>
            </w:r>
          </w:p>
        </w:tc>
      </w:tr>
      <w:tr w:rsidR="00210EDF" w14:paraId="0B0513B6" w14:textId="77777777" w:rsidTr="00256000">
        <w:tc>
          <w:tcPr>
            <w:tcW w:w="2965" w:type="dxa"/>
            <w:shd w:val="clear" w:color="auto" w:fill="EDEDED"/>
            <w:hideMark/>
          </w:tcPr>
          <w:p w14:paraId="098DA8DE" w14:textId="3D296079" w:rsidR="00210EDF" w:rsidRPr="00F47607" w:rsidRDefault="00210EDF" w:rsidP="00210EDF">
            <w:pPr>
              <w:pStyle w:val="NormalWeb"/>
              <w:rPr>
                <w:rFonts w:ascii="Segoe UI" w:hAnsi="Segoe UI" w:cs="Segoe UI"/>
                <w:sz w:val="20"/>
                <w:szCs w:val="20"/>
                <w:lang w:val="en-AU" w:eastAsia="en-AU"/>
              </w:rPr>
            </w:pPr>
            <w:r>
              <w:rPr>
                <w:rFonts w:ascii="Segoe UI" w:hAnsi="Segoe UI" w:cs="Segoe UI"/>
                <w:b/>
                <w:bCs/>
                <w:sz w:val="20"/>
                <w:szCs w:val="20"/>
                <w:lang w:val="en-AU" w:eastAsia="en-AU"/>
              </w:rPr>
              <w:t>Multi-role/tier application</w:t>
            </w:r>
          </w:p>
        </w:tc>
        <w:tc>
          <w:tcPr>
            <w:tcW w:w="6390" w:type="dxa"/>
            <w:shd w:val="clear" w:color="auto" w:fill="EDEDED"/>
            <w:hideMark/>
          </w:tcPr>
          <w:p w14:paraId="1872E698" w14:textId="41BFDF20" w:rsidR="00210EDF" w:rsidRPr="0099398E" w:rsidRDefault="00210EDF" w:rsidP="00210EDF">
            <w:pPr>
              <w:pStyle w:val="NormalWeb"/>
              <w:numPr>
                <w:ilvl w:val="0"/>
                <w:numId w:val="8"/>
              </w:numPr>
              <w:rPr>
                <w:rFonts w:ascii="Segoe UI" w:hAnsi="Segoe UI" w:cs="Segoe UI"/>
                <w:sz w:val="20"/>
                <w:szCs w:val="20"/>
                <w:lang w:val="en-AU" w:eastAsia="en-AU"/>
              </w:rPr>
            </w:pPr>
            <w:r>
              <w:rPr>
                <w:rFonts w:ascii="Segoe UI" w:hAnsi="Segoe UI" w:cs="Segoe UI"/>
                <w:sz w:val="20"/>
                <w:szCs w:val="20"/>
                <w:lang w:val="en-AU" w:eastAsia="en-AU"/>
              </w:rPr>
              <w:t>When your application consists of multiple tiers, with each tier containing multiple roles, you might want to have a single storage account for each tier to pool your events to facilitate quick troubleshooting in the event of an issue.</w:t>
            </w:r>
          </w:p>
        </w:tc>
      </w:tr>
    </w:tbl>
    <w:p w14:paraId="6C2F181F" w14:textId="77777777" w:rsidR="00727F02" w:rsidRDefault="00727F02" w:rsidP="005729D2">
      <w:pPr>
        <w:pStyle w:val="Heading2Numbered"/>
        <w:numPr>
          <w:ilvl w:val="1"/>
          <w:numId w:val="64"/>
        </w:numPr>
      </w:pPr>
      <w:bookmarkStart w:id="7524" w:name="_Toc414892166"/>
      <w:bookmarkStart w:id="7525" w:name="_Toc414960189"/>
      <w:bookmarkStart w:id="7526" w:name="_Toc414969160"/>
      <w:bookmarkStart w:id="7527" w:name="_Toc415011384"/>
      <w:bookmarkStart w:id="7528" w:name="_Toc415040078"/>
      <w:bookmarkStart w:id="7529" w:name="_Toc415572435"/>
      <w:bookmarkStart w:id="7530" w:name="_Toc415735605"/>
      <w:bookmarkStart w:id="7531" w:name="_Toc415814186"/>
      <w:bookmarkStart w:id="7532" w:name="_Toc416343922"/>
      <w:bookmarkStart w:id="7533" w:name="_Toc416863194"/>
      <w:bookmarkStart w:id="7534" w:name="_Toc417314809"/>
      <w:bookmarkStart w:id="7535" w:name="_Toc417323826"/>
      <w:bookmarkStart w:id="7536" w:name="_Toc417326916"/>
      <w:bookmarkStart w:id="7537" w:name="_Toc417330464"/>
      <w:bookmarkStart w:id="7538" w:name="_Toc417395071"/>
      <w:bookmarkStart w:id="7539" w:name="_Toc417399290"/>
      <w:bookmarkStart w:id="7540" w:name="_Toc417399449"/>
      <w:bookmarkStart w:id="7541" w:name="_Toc417400496"/>
      <w:bookmarkStart w:id="7542" w:name="_Toc417401344"/>
      <w:bookmarkStart w:id="7543" w:name="_Toc417419659"/>
      <w:bookmarkStart w:id="7544" w:name="_Toc417457431"/>
      <w:bookmarkStart w:id="7545" w:name="_Toc417482009"/>
      <w:bookmarkStart w:id="7546" w:name="_Toc417482267"/>
      <w:bookmarkStart w:id="7547" w:name="_Toc417499986"/>
      <w:bookmarkStart w:id="7548" w:name="_Toc417502807"/>
      <w:bookmarkStart w:id="7549" w:name="_Toc417548395"/>
      <w:bookmarkStart w:id="7550" w:name="_Toc417594638"/>
      <w:bookmarkStart w:id="7551" w:name="_Toc417934775"/>
      <w:bookmarkStart w:id="7552" w:name="_Toc417936112"/>
      <w:bookmarkStart w:id="7553" w:name="_Toc417936574"/>
      <w:bookmarkStart w:id="7554" w:name="_Toc417946990"/>
      <w:bookmarkStart w:id="7555" w:name="_Toc417947460"/>
      <w:bookmarkStart w:id="7556" w:name="_Toc417982598"/>
      <w:bookmarkStart w:id="7557" w:name="_Toc417986079"/>
      <w:bookmarkStart w:id="7558" w:name="_Toc418000743"/>
      <w:bookmarkStart w:id="7559" w:name="_Toc418003955"/>
      <w:bookmarkStart w:id="7560" w:name="_Toc418012160"/>
      <w:bookmarkStart w:id="7561" w:name="_Toc418014533"/>
      <w:bookmarkStart w:id="7562" w:name="_Toc418030178"/>
      <w:bookmarkStart w:id="7563" w:name="_Toc418037021"/>
      <w:bookmarkStart w:id="7564" w:name="_Toc418061491"/>
      <w:bookmarkStart w:id="7565" w:name="_Toc418081392"/>
      <w:bookmarkStart w:id="7566" w:name="_Toc418083422"/>
      <w:bookmarkStart w:id="7567" w:name="_Toc418096188"/>
      <w:bookmarkStart w:id="7568" w:name="_Toc418156790"/>
      <w:bookmarkStart w:id="7569" w:name="_Toc418167707"/>
      <w:bookmarkStart w:id="7570" w:name="_Toc418185963"/>
      <w:bookmarkStart w:id="7571" w:name="_Toc422941677"/>
      <w:bookmarkStart w:id="7572" w:name="_Toc423116889"/>
      <w:bookmarkStart w:id="7573" w:name="_Toc423117922"/>
      <w:bookmarkStart w:id="7574" w:name="_Toc423117369"/>
      <w:bookmarkStart w:id="7575" w:name="_Toc431288968"/>
      <w:r>
        <w:t>Maintenance</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r>
        <w:t xml:space="preserve"> </w:t>
      </w:r>
    </w:p>
    <w:p w14:paraId="7BF80132" w14:textId="50A83C8E" w:rsidR="00210EDF" w:rsidRDefault="003C45E2" w:rsidP="00210EDF">
      <w:r>
        <w:t>Traditional</w:t>
      </w:r>
      <w:bookmarkStart w:id="7576" w:name="_Toc414892167"/>
      <w:bookmarkStart w:id="7577" w:name="_Toc414960190"/>
      <w:bookmarkStart w:id="7578" w:name="_Toc414969161"/>
      <w:bookmarkStart w:id="7579" w:name="_Toc415011385"/>
      <w:r w:rsidR="00210EDF">
        <w:t xml:space="preserve"> maintenance of solutions in Microsoft Azure is largely dependent on the services that are consumed within Azure (PaaS or IaaS). Customers have a </w:t>
      </w:r>
      <w:r w:rsidR="00210EDF" w:rsidRPr="00CD3470">
        <w:t>shared</w:t>
      </w:r>
      <w:r w:rsidR="00210EDF" w:rsidRPr="00BF5698">
        <w:rPr>
          <w:i/>
        </w:rPr>
        <w:t xml:space="preserve"> </w:t>
      </w:r>
      <w:r w:rsidR="00210EDF">
        <w:t xml:space="preserve">responsibility for solutions deployed using Azure services, and the amount of shared responsibility is dependent on the services consumed. </w:t>
      </w:r>
    </w:p>
    <w:p w14:paraId="7452CDF4" w14:textId="77777777" w:rsidR="00210EDF" w:rsidRDefault="00210EDF" w:rsidP="00210EDF">
      <w:r>
        <w:t>As a practical example of this, Azure IaaS virtual machines have the requirement to be maintained by the customer, and there is not an existing automated update service provided for the guest operating system. The underlying fabric hardware, virtualization, and service layers are managed by Azure. Using this example, decision points that should drive the maintenance strategy of the architecture include:</w:t>
      </w:r>
    </w:p>
    <w:p w14:paraId="27B3EDF9" w14:textId="77777777" w:rsidR="00210EDF" w:rsidRDefault="00210EDF" w:rsidP="005729D2">
      <w:pPr>
        <w:pStyle w:val="ListParagraph"/>
        <w:numPr>
          <w:ilvl w:val="0"/>
          <w:numId w:val="17"/>
        </w:numPr>
      </w:pPr>
      <w:r w:rsidRPr="00BF5698">
        <w:rPr>
          <w:b/>
        </w:rPr>
        <w:t>Existing toolsets</w:t>
      </w:r>
      <w:r>
        <w:t xml:space="preserve"> – Does the customer have an existing investment in maintenance systems (such as SCCM, third parties, or maintenance scripting)? Is there a desire to continue to use these toolsets to maintain the Azure environment?</w:t>
      </w:r>
    </w:p>
    <w:p w14:paraId="3CBD2553" w14:textId="77777777" w:rsidR="00210EDF" w:rsidRDefault="00210EDF" w:rsidP="005729D2">
      <w:pPr>
        <w:pStyle w:val="ListParagraph"/>
        <w:numPr>
          <w:ilvl w:val="0"/>
          <w:numId w:val="17"/>
        </w:numPr>
      </w:pPr>
      <w:r w:rsidRPr="00BF5698">
        <w:rPr>
          <w:b/>
        </w:rPr>
        <w:t>Degree of connectivity from on-premises</w:t>
      </w:r>
      <w:r w:rsidRPr="001A03CF">
        <w:rPr>
          <w:b/>
        </w:rPr>
        <w:t xml:space="preserve"> to Azure</w:t>
      </w:r>
      <w:r>
        <w:t xml:space="preserve"> – Is the Azure environment operating as a “standalone” environment, or is there connectivity (such as through ExpressRoute or VPN) to the on-premises infrastructure?</w:t>
      </w:r>
    </w:p>
    <w:p w14:paraId="56147E9D" w14:textId="3F4DC003" w:rsidR="00DB1F80" w:rsidRDefault="00210EDF" w:rsidP="00210EDF">
      <w:pPr>
        <w:jc w:val="both"/>
      </w:pPr>
      <w:r>
        <w:t>This section covers some of the available options, and it uses the Azure IaaS scenario as a common example</w:t>
      </w:r>
      <w:r w:rsidR="00E1398C">
        <w:t>.</w:t>
      </w:r>
    </w:p>
    <w:p w14:paraId="6C2F1821" w14:textId="77777777" w:rsidR="00727F02" w:rsidRDefault="00727F02" w:rsidP="005729D2">
      <w:pPr>
        <w:pStyle w:val="Heading3Numbered"/>
        <w:numPr>
          <w:ilvl w:val="2"/>
          <w:numId w:val="64"/>
        </w:numPr>
      </w:pPr>
      <w:bookmarkStart w:id="7580" w:name="_Toc415040079"/>
      <w:bookmarkStart w:id="7581" w:name="_Toc415572436"/>
      <w:bookmarkStart w:id="7582" w:name="_Toc415735606"/>
      <w:bookmarkStart w:id="7583" w:name="_Toc415814187"/>
      <w:bookmarkStart w:id="7584" w:name="_Toc416343923"/>
      <w:bookmarkStart w:id="7585" w:name="_Toc416863195"/>
      <w:bookmarkStart w:id="7586" w:name="_Toc417314810"/>
      <w:bookmarkStart w:id="7587" w:name="_Toc417323827"/>
      <w:bookmarkStart w:id="7588" w:name="_Toc417326917"/>
      <w:bookmarkStart w:id="7589" w:name="_Toc417330465"/>
      <w:bookmarkStart w:id="7590" w:name="_Toc417395072"/>
      <w:bookmarkStart w:id="7591" w:name="_Toc417399291"/>
      <w:bookmarkStart w:id="7592" w:name="_Toc417399450"/>
      <w:bookmarkStart w:id="7593" w:name="_Toc417400497"/>
      <w:bookmarkStart w:id="7594" w:name="_Toc417401345"/>
      <w:bookmarkStart w:id="7595" w:name="_Toc417419660"/>
      <w:bookmarkStart w:id="7596" w:name="_Toc417457432"/>
      <w:bookmarkStart w:id="7597" w:name="_Toc417482010"/>
      <w:bookmarkStart w:id="7598" w:name="_Toc417482268"/>
      <w:bookmarkStart w:id="7599" w:name="_Toc417499987"/>
      <w:bookmarkStart w:id="7600" w:name="_Toc417502808"/>
      <w:bookmarkStart w:id="7601" w:name="_Toc417548396"/>
      <w:bookmarkStart w:id="7602" w:name="_Toc417594639"/>
      <w:bookmarkStart w:id="7603" w:name="_Toc417934776"/>
      <w:bookmarkStart w:id="7604" w:name="_Toc417936113"/>
      <w:bookmarkStart w:id="7605" w:name="_Toc417936575"/>
      <w:bookmarkStart w:id="7606" w:name="_Toc417946991"/>
      <w:bookmarkStart w:id="7607" w:name="_Toc417947461"/>
      <w:bookmarkStart w:id="7608" w:name="_Toc417982599"/>
      <w:bookmarkStart w:id="7609" w:name="_Toc417986080"/>
      <w:bookmarkStart w:id="7610" w:name="_Toc418000744"/>
      <w:bookmarkStart w:id="7611" w:name="_Toc418003956"/>
      <w:bookmarkStart w:id="7612" w:name="_Toc418012161"/>
      <w:bookmarkStart w:id="7613" w:name="_Toc418014534"/>
      <w:bookmarkStart w:id="7614" w:name="_Toc418030179"/>
      <w:bookmarkStart w:id="7615" w:name="_Toc418037022"/>
      <w:bookmarkStart w:id="7616" w:name="_Toc418061492"/>
      <w:bookmarkStart w:id="7617" w:name="_Toc418081393"/>
      <w:bookmarkStart w:id="7618" w:name="_Toc418083423"/>
      <w:bookmarkStart w:id="7619" w:name="_Toc418096189"/>
      <w:bookmarkStart w:id="7620" w:name="_Toc418156791"/>
      <w:bookmarkStart w:id="7621" w:name="_Toc418167708"/>
      <w:bookmarkStart w:id="7622" w:name="_Toc418185964"/>
      <w:bookmarkStart w:id="7623" w:name="_Toc422941678"/>
      <w:bookmarkStart w:id="7624" w:name="_Toc423116890"/>
      <w:bookmarkStart w:id="7625" w:name="_Toc423117923"/>
      <w:bookmarkStart w:id="7626" w:name="_Toc423117370"/>
      <w:bookmarkStart w:id="7627" w:name="_Toc431288969"/>
      <w:r>
        <w:t>Microsoft Update</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478D26E2" w14:textId="114453DA" w:rsidR="00210EDF" w:rsidRDefault="00E1398C" w:rsidP="00210EDF">
      <w:r>
        <w:t>Keeping</w:t>
      </w:r>
      <w:r w:rsidR="00210EDF">
        <w:t xml:space="preserve"> up-to-date with Microsoft updates for Windows-based virtual machines is critical to ensure that a proper security posture is maintained for these systems. For these systems, Microsoft updates should be applied to Azure IaaS virtual machines in a similar way that updates are applies to the customer’s existing environment. </w:t>
      </w:r>
    </w:p>
    <w:p w14:paraId="0D198199" w14:textId="77777777" w:rsidR="00210EDF" w:rsidRDefault="00210EDF" w:rsidP="00210EDF">
      <w:r>
        <w:t xml:space="preserve">When updating from on-premises or public Microsoft update servers, the updates source location is largely driven by the Azure network design decisions and customer configurations—like any other Windows-based virtual machine. </w:t>
      </w:r>
    </w:p>
    <w:p w14:paraId="268D87BA" w14:textId="77777777" w:rsidR="00210EDF" w:rsidRDefault="00210EDF" w:rsidP="00210EDF">
      <w:r>
        <w:t xml:space="preserve">For example, if forced tunneling of all network traffic is implemented, it would be recommended to leverage on-premises content servers, such as System Center Configuration Manager Distribution Points, Windows Server Update Services (WSUS) servers, or third-party patch management solutions. </w:t>
      </w:r>
    </w:p>
    <w:p w14:paraId="15E020C4" w14:textId="1E9CA671" w:rsidR="00BA5BE4" w:rsidRDefault="00210EDF" w:rsidP="00210EDF">
      <w:r>
        <w:t>This configuration would reduce the amount of network transit. However, if the Azure virtual machines are permitted to access the public Internet by egressing through the Azure datacenters (the default configuration), we recommend that you configure the Windows Update client settings to download the updates from Microsoft Update directly</w:t>
      </w:r>
      <w:r w:rsidR="00DB1F80">
        <w:t xml:space="preserve">. </w:t>
      </w:r>
    </w:p>
    <w:p w14:paraId="6C2F1823" w14:textId="5C53A8CD" w:rsidR="00727F02" w:rsidRDefault="00727F02" w:rsidP="005729D2">
      <w:pPr>
        <w:pStyle w:val="Heading3Numbered"/>
        <w:numPr>
          <w:ilvl w:val="2"/>
          <w:numId w:val="64"/>
        </w:numPr>
      </w:pPr>
      <w:bookmarkStart w:id="7628" w:name="_Toc414892168"/>
      <w:bookmarkStart w:id="7629" w:name="_Toc414960191"/>
      <w:bookmarkStart w:id="7630" w:name="_Toc414969162"/>
      <w:bookmarkStart w:id="7631" w:name="_Toc415011386"/>
      <w:bookmarkStart w:id="7632" w:name="_Toc415040080"/>
      <w:bookmarkStart w:id="7633" w:name="_Toc415572437"/>
      <w:bookmarkStart w:id="7634" w:name="_Toc415735607"/>
      <w:bookmarkStart w:id="7635" w:name="_Toc415814188"/>
      <w:bookmarkStart w:id="7636" w:name="_Toc416343924"/>
      <w:bookmarkStart w:id="7637" w:name="_Toc416863196"/>
      <w:bookmarkStart w:id="7638" w:name="_Toc417314811"/>
      <w:bookmarkStart w:id="7639" w:name="_Toc417323828"/>
      <w:bookmarkStart w:id="7640" w:name="_Toc417326918"/>
      <w:bookmarkStart w:id="7641" w:name="_Toc417330466"/>
      <w:bookmarkStart w:id="7642" w:name="_Toc417395073"/>
      <w:bookmarkStart w:id="7643" w:name="_Toc417399292"/>
      <w:bookmarkStart w:id="7644" w:name="_Toc417399451"/>
      <w:bookmarkStart w:id="7645" w:name="_Toc417400498"/>
      <w:bookmarkStart w:id="7646" w:name="_Toc417401346"/>
      <w:bookmarkStart w:id="7647" w:name="_Toc417419661"/>
      <w:bookmarkStart w:id="7648" w:name="_Toc417457433"/>
      <w:bookmarkStart w:id="7649" w:name="_Toc417482011"/>
      <w:bookmarkStart w:id="7650" w:name="_Toc417482269"/>
      <w:bookmarkStart w:id="7651" w:name="_Toc417499988"/>
      <w:bookmarkStart w:id="7652" w:name="_Toc417502809"/>
      <w:bookmarkStart w:id="7653" w:name="_Toc417548397"/>
      <w:bookmarkStart w:id="7654" w:name="_Toc417594640"/>
      <w:bookmarkStart w:id="7655" w:name="_Toc417934777"/>
      <w:bookmarkStart w:id="7656" w:name="_Toc417936114"/>
      <w:bookmarkStart w:id="7657" w:name="_Toc417936576"/>
      <w:bookmarkStart w:id="7658" w:name="_Toc417946992"/>
      <w:bookmarkStart w:id="7659" w:name="_Toc417947462"/>
      <w:bookmarkStart w:id="7660" w:name="_Toc417982600"/>
      <w:bookmarkStart w:id="7661" w:name="_Toc417986081"/>
      <w:bookmarkStart w:id="7662" w:name="_Toc418000745"/>
      <w:bookmarkStart w:id="7663" w:name="_Toc418003957"/>
      <w:bookmarkStart w:id="7664" w:name="_Toc418012162"/>
      <w:bookmarkStart w:id="7665" w:name="_Toc418014535"/>
      <w:bookmarkStart w:id="7666" w:name="_Toc418030180"/>
      <w:bookmarkStart w:id="7667" w:name="_Toc418037023"/>
      <w:bookmarkStart w:id="7668" w:name="_Toc418061493"/>
      <w:bookmarkStart w:id="7669" w:name="_Toc418081394"/>
      <w:bookmarkStart w:id="7670" w:name="_Toc418083424"/>
      <w:bookmarkStart w:id="7671" w:name="_Toc418096190"/>
      <w:bookmarkStart w:id="7672" w:name="_Toc418156792"/>
      <w:bookmarkStart w:id="7673" w:name="_Toc418167709"/>
      <w:bookmarkStart w:id="7674" w:name="_Toc418185965"/>
      <w:bookmarkStart w:id="7675" w:name="_Toc422941679"/>
      <w:bookmarkStart w:id="7676" w:name="_Toc423116891"/>
      <w:bookmarkStart w:id="7677" w:name="_Toc423117924"/>
      <w:bookmarkStart w:id="7678" w:name="_Toc423117371"/>
      <w:bookmarkStart w:id="7679" w:name="_Toc431288970"/>
      <w:r>
        <w:t>Windows Server Update Service</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r>
        <w:t xml:space="preserve">        </w:t>
      </w:r>
    </w:p>
    <w:p w14:paraId="1F386A0A" w14:textId="22F6301C" w:rsidR="00E8578D" w:rsidRDefault="004D1EE4" w:rsidP="00E8578D">
      <w:r>
        <w:t>Like</w:t>
      </w:r>
      <w:bookmarkStart w:id="7680" w:name="_Toc414892169"/>
      <w:bookmarkStart w:id="7681" w:name="_Toc414960192"/>
      <w:bookmarkStart w:id="7682" w:name="_Toc414969163"/>
      <w:bookmarkStart w:id="7683" w:name="_Toc415011387"/>
      <w:bookmarkStart w:id="7684" w:name="_Toc415040081"/>
      <w:bookmarkStart w:id="7685" w:name="_Toc415572438"/>
      <w:bookmarkStart w:id="7686" w:name="_Toc415735608"/>
      <w:bookmarkStart w:id="7687" w:name="_Toc415814189"/>
      <w:bookmarkStart w:id="7688" w:name="_Toc416343925"/>
      <w:bookmarkStart w:id="7689" w:name="_Toc416863197"/>
      <w:bookmarkStart w:id="7690" w:name="_Toc417314812"/>
      <w:bookmarkStart w:id="7691" w:name="_Toc417323829"/>
      <w:bookmarkStart w:id="7692" w:name="_Toc417326919"/>
      <w:bookmarkStart w:id="7693" w:name="_Toc417330467"/>
      <w:bookmarkStart w:id="7694" w:name="_Toc417395074"/>
      <w:bookmarkStart w:id="7695" w:name="_Toc417399293"/>
      <w:bookmarkStart w:id="7696" w:name="_Toc417399452"/>
      <w:bookmarkStart w:id="7697" w:name="_Toc417400499"/>
      <w:bookmarkStart w:id="7698" w:name="_Toc417401347"/>
      <w:bookmarkStart w:id="7699" w:name="_Toc417419662"/>
      <w:bookmarkStart w:id="7700" w:name="_Toc417457434"/>
      <w:bookmarkStart w:id="7701" w:name="_Toc417482012"/>
      <w:bookmarkStart w:id="7702" w:name="_Toc417482270"/>
      <w:bookmarkStart w:id="7703" w:name="_Toc417499989"/>
      <w:bookmarkStart w:id="7704" w:name="_Toc417502810"/>
      <w:bookmarkStart w:id="7705" w:name="_Toc417548398"/>
      <w:bookmarkStart w:id="7706" w:name="_Toc417594641"/>
      <w:r w:rsidR="00E8578D">
        <w:t xml:space="preserve"> Windows Update, Windows Server Update Services (WSUS) can be utilized to patch Azure IaaS virtual machines for customers who wish to have a higher degree of control over patch distribution, release and reporting. </w:t>
      </w:r>
    </w:p>
    <w:p w14:paraId="5248CFDB" w14:textId="77777777" w:rsidR="00E8578D" w:rsidRDefault="00E8578D" w:rsidP="00E8578D">
      <w:r>
        <w:t>We recommend that organizations review patching and update requirements with customers, specifically requirements around Azure IaaS virtual machines. Currently, Microsoft does not provide a centralized patch management offering for IaaS virtual machines outside of currently shipping patch management solutions such as WSUS and System Center Configuration Manager. Therefore, it is important that the customer understands that their organization is responsible for patching.</w:t>
      </w:r>
    </w:p>
    <w:tbl>
      <w:tblPr>
        <w:tblStyle w:val="PlainTable11"/>
        <w:tblW w:w="0" w:type="auto"/>
        <w:tblLook w:val="04A0" w:firstRow="1" w:lastRow="0" w:firstColumn="1" w:lastColumn="0" w:noHBand="0" w:noVBand="1"/>
      </w:tblPr>
      <w:tblGrid>
        <w:gridCol w:w="3416"/>
        <w:gridCol w:w="5934"/>
      </w:tblGrid>
      <w:tr w:rsidR="00E8578D" w14:paraId="12B616D4" w14:textId="77777777" w:rsidTr="003036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4E5AF6AD" w14:textId="77777777" w:rsidR="00E8578D" w:rsidRPr="00F47607" w:rsidRDefault="00E8578D" w:rsidP="0030368C">
            <w:pPr>
              <w:spacing w:line="240" w:lineRule="auto"/>
              <w:rPr>
                <w:color w:val="FFFFFF"/>
              </w:rPr>
            </w:pPr>
            <w:r>
              <w:rPr>
                <w:color w:val="FFFFFF"/>
              </w:rPr>
              <w:t>Feature References</w:t>
            </w:r>
          </w:p>
        </w:tc>
      </w:tr>
      <w:tr w:rsidR="00E8578D" w:rsidRPr="00BF7F28" w14:paraId="538F6F1F" w14:textId="77777777" w:rsidTr="003036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6E967D88" w14:textId="77777777" w:rsidR="00E8578D" w:rsidRPr="00BF7F28" w:rsidRDefault="00E8578D" w:rsidP="0030368C">
            <w:pPr>
              <w:spacing w:line="240" w:lineRule="auto"/>
              <w:rPr>
                <w:sz w:val="20"/>
                <w:szCs w:val="20"/>
              </w:rPr>
            </w:pPr>
            <w:r w:rsidRPr="00BF7F28">
              <w:rPr>
                <w:sz w:val="20"/>
                <w:szCs w:val="20"/>
              </w:rPr>
              <w:t>WSUS TechNet site</w:t>
            </w:r>
          </w:p>
        </w:tc>
        <w:tc>
          <w:tcPr>
            <w:tcW w:w="5940" w:type="dxa"/>
          </w:tcPr>
          <w:p w14:paraId="1E5AC54B" w14:textId="77777777" w:rsidR="00E8578D" w:rsidRPr="00BF7F28" w:rsidRDefault="00872E47" w:rsidP="0030368C">
            <w:pPr>
              <w:cnfStyle w:val="000000100000" w:firstRow="0" w:lastRow="0" w:firstColumn="0" w:lastColumn="0" w:oddVBand="0" w:evenVBand="0" w:oddHBand="1" w:evenHBand="0" w:firstRowFirstColumn="0" w:firstRowLastColumn="0" w:lastRowFirstColumn="0" w:lastRowLastColumn="0"/>
              <w:rPr>
                <w:sz w:val="20"/>
                <w:szCs w:val="20"/>
              </w:rPr>
            </w:pPr>
            <w:hyperlink r:id="rId653" w:history="1">
              <w:r w:rsidR="00E8578D" w:rsidRPr="00BF7F28">
                <w:rPr>
                  <w:rStyle w:val="Hyperlink"/>
                  <w:sz w:val="20"/>
                  <w:szCs w:val="20"/>
                </w:rPr>
                <w:t>https://technet.microsoft.com/en-us/windowsserver/bb332157</w:t>
              </w:r>
            </w:hyperlink>
          </w:p>
          <w:p w14:paraId="1B4F7D87" w14:textId="77777777" w:rsidR="00E8578D" w:rsidRPr="00BF7F28" w:rsidRDefault="00E8578D" w:rsidP="0030368C">
            <w:pPr>
              <w:cnfStyle w:val="000000100000" w:firstRow="0" w:lastRow="0" w:firstColumn="0" w:lastColumn="0" w:oddVBand="0" w:evenVBand="0" w:oddHBand="1" w:evenHBand="0" w:firstRowFirstColumn="0" w:firstRowLastColumn="0" w:lastRowFirstColumn="0" w:lastRowLastColumn="0"/>
              <w:rPr>
                <w:sz w:val="20"/>
                <w:szCs w:val="20"/>
              </w:rPr>
            </w:pPr>
          </w:p>
        </w:tc>
      </w:tr>
      <w:tr w:rsidR="00E8578D" w:rsidRPr="00BF7F28" w14:paraId="579A4683" w14:textId="77777777" w:rsidTr="0030368C">
        <w:tc>
          <w:tcPr>
            <w:cnfStyle w:val="001000000000" w:firstRow="0" w:lastRow="0" w:firstColumn="1" w:lastColumn="0" w:oddVBand="0" w:evenVBand="0" w:oddHBand="0" w:evenHBand="0" w:firstRowFirstColumn="0" w:firstRowLastColumn="0" w:lastRowFirstColumn="0" w:lastRowLastColumn="0"/>
            <w:tcW w:w="3420" w:type="dxa"/>
          </w:tcPr>
          <w:p w14:paraId="40A6D240" w14:textId="77777777" w:rsidR="00E8578D" w:rsidRPr="00BF7F28" w:rsidRDefault="00E8578D" w:rsidP="0030368C">
            <w:pPr>
              <w:spacing w:line="240" w:lineRule="auto"/>
              <w:rPr>
                <w:sz w:val="20"/>
                <w:szCs w:val="20"/>
              </w:rPr>
            </w:pPr>
            <w:r w:rsidRPr="00BF7F28">
              <w:rPr>
                <w:sz w:val="20"/>
                <w:szCs w:val="20"/>
              </w:rPr>
              <w:t>WSUS Deployment Guide</w:t>
            </w:r>
          </w:p>
        </w:tc>
        <w:tc>
          <w:tcPr>
            <w:tcW w:w="5940" w:type="dxa"/>
          </w:tcPr>
          <w:p w14:paraId="5ADCC0DB" w14:textId="77777777" w:rsidR="00E8578D" w:rsidRPr="00BF7F28" w:rsidRDefault="00872E47" w:rsidP="0030368C">
            <w:pPr>
              <w:cnfStyle w:val="000000000000" w:firstRow="0" w:lastRow="0" w:firstColumn="0" w:lastColumn="0" w:oddVBand="0" w:evenVBand="0" w:oddHBand="0" w:evenHBand="0" w:firstRowFirstColumn="0" w:firstRowLastColumn="0" w:lastRowFirstColumn="0" w:lastRowLastColumn="0"/>
              <w:rPr>
                <w:sz w:val="20"/>
                <w:szCs w:val="20"/>
              </w:rPr>
            </w:pPr>
            <w:hyperlink r:id="rId654" w:history="1">
              <w:r w:rsidR="00E8578D" w:rsidRPr="00BF7F28">
                <w:rPr>
                  <w:rStyle w:val="Hyperlink"/>
                  <w:sz w:val="20"/>
                  <w:szCs w:val="20"/>
                </w:rPr>
                <w:t>https://technet.microsoft.com/en-us/library/dd939906(WS.10).aspx</w:t>
              </w:r>
            </w:hyperlink>
          </w:p>
          <w:p w14:paraId="61DF8911" w14:textId="77777777" w:rsidR="00E8578D" w:rsidRPr="00BF7F28" w:rsidRDefault="00E8578D" w:rsidP="0030368C">
            <w:pPr>
              <w:cnfStyle w:val="000000000000" w:firstRow="0" w:lastRow="0" w:firstColumn="0" w:lastColumn="0" w:oddVBand="0" w:evenVBand="0" w:oddHBand="0" w:evenHBand="0" w:firstRowFirstColumn="0" w:firstRowLastColumn="0" w:lastRowFirstColumn="0" w:lastRowLastColumn="0"/>
              <w:rPr>
                <w:sz w:val="20"/>
                <w:szCs w:val="20"/>
              </w:rPr>
            </w:pPr>
          </w:p>
        </w:tc>
      </w:tr>
    </w:tbl>
    <w:p w14:paraId="548FFAA9" w14:textId="77777777" w:rsidR="00E8578D" w:rsidRDefault="00E8578D" w:rsidP="00E8578D"/>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E8578D" w14:paraId="6F94C962" w14:textId="77777777" w:rsidTr="0030368C">
        <w:trPr>
          <w:trHeight w:val="423"/>
        </w:trPr>
        <w:tc>
          <w:tcPr>
            <w:tcW w:w="666" w:type="dxa"/>
          </w:tcPr>
          <w:p w14:paraId="329014E4" w14:textId="77777777" w:rsidR="00E8578D" w:rsidRDefault="00E8578D" w:rsidP="0030368C">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6F7EC7BB" wp14:editId="6DC14FC9">
                      <wp:extent cx="200025" cy="180975"/>
                      <wp:effectExtent l="57150" t="19050" r="28575" b="104775"/>
                      <wp:docPr id="59" name="Octagon 59"/>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6B14670" id="Octagon 59"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MiecQIAAEwFAAAOAAAAZHJzL2Uyb0RvYy54bWysVF9P2zAQf5+072D5faTp6ICKFFVFTJMQ&#10;IGDi2XXs1pLj885u0+7T7+ykoWJISNNe7Dvf7/7f+fJq11i2VRgMuIqXJyPOlJNQG7eq+M/nmy/n&#10;nIUoXC0sOFXxvQr8avb502Xrp2oMa7C1QkZGXJi2vuLrGP20KIJcq0aEE/DKkVADNiISi6uiRtGS&#10;9cYW49HoW9EC1h5BqhDo9boT8lm2r7WS8V7roCKzFafYYj4xn8t0FrNLMV2h8Gsj+zDEP0TRCOPI&#10;6WDqWkTBNmj+MtUYiRBAxxMJTQFaG6lyDpRNOXqTzdNaeJVzoeIEP5Qp/D+z8m77gMzUFZ9ccOZE&#10;Qz26l1GswDF6ofK0PkwJ9eQfsOcCkSnXncYm3ZQF2+WS7oeSql1kkh6pR6PxhDNJovJ8dHE2STaL&#10;V2WPIX5X0LBEVBw637mWYnsbYoc+oJK7ANbUN8bazOBqubDItoIavFiQt9xTcnAEK1IOXdSZinur&#10;krJ1j0pT8hRnmT3msVODPSGlcnHcR5zRSU2T70Hx68eKPT6pqjySg/L4Y+VBI3sGFwflxjjA9wzY&#10;WPYh6w5PBT/KO5FLqPfUd4RuIYKXN4bqfytCfBBIG0C7Qlsd7+nQFlpqTE9xtgb8/d57wtNgkpSz&#10;ljaq4uHXRqDizP5wNLIX5elpWsHMnE7OxsTgsWR5LHGbZgHU05L+Dy8zmfDRHkiN0LzQ8s+TVxIJ&#10;J8l3xWXEA7OI3abT9yHVfJ5htHZexFv35OWh62m4nncvAn0/hJGm9w4O2yembwaxw6Z+OJhvImiT&#10;p/S1rn29aWXzqPffS/oTjvmMev0EZ38AAAD//wMAUEsDBBQABgAIAAAAIQCft0Tx2wAAAAMBAAAP&#10;AAAAZHJzL2Rvd25yZXYueG1sTI9BS8NAEIXvgv9hGcGb3aTSEtNsiggFD9JgtXjdZqdJaHY27G6b&#10;+O8dvdjLwOM93vumWE+2Fxf0oXOkIJ0lIJBqZzpqFHx+bB4yECFqMrp3hAq+McC6vL0pdG7cSO94&#10;2cVGcAmFXCtoYxxyKUPdotVh5gYk9o7OWx1Z+kYar0cut72cJ8lSWt0RL7R6wJcW69PubBVUp7F6&#10;zarq6ctvlts3b/ep3+6Vur+bnlcgIk7xPwy/+IwOJTMd3JlMEL0CfiT+XfYe0wWIg4J5tgBZFvKa&#10;vfwBAAD//wMAUEsBAi0AFAAGAAgAAAAhALaDOJL+AAAA4QEAABMAAAAAAAAAAAAAAAAAAAAAAFtD&#10;b250ZW50X1R5cGVzXS54bWxQSwECLQAUAAYACAAAACEAOP0h/9YAAACUAQAACwAAAAAAAAAAAAAA&#10;AAAvAQAAX3JlbHMvLnJlbHNQSwECLQAUAAYACAAAACEAKizInnECAABMBQAADgAAAAAAAAAAAAAA&#10;AAAuAgAAZHJzL2Uyb0RvYy54bWxQSwECLQAUAAYACAAAACEAn7dE8dsAAAADAQAADwAAAAAAAAAA&#10;AAAAAADLBAAAZHJzL2Rvd25yZXYueG1sUEsFBgAAAAAEAAQA8wAAANMFAAAAAA==&#10;" fillcolor="#c00" strokecolor="#ed7d31 [3205]" strokeweight=".5pt">
                      <w10:anchorlock/>
                    </v:shape>
                  </w:pict>
                </mc:Fallback>
              </mc:AlternateContent>
            </w:r>
          </w:p>
        </w:tc>
        <w:tc>
          <w:tcPr>
            <w:tcW w:w="8604" w:type="dxa"/>
          </w:tcPr>
          <w:p w14:paraId="5C7E2D18" w14:textId="77777777" w:rsidR="00E8578D" w:rsidRDefault="00E8578D" w:rsidP="0030368C">
            <w:pPr>
              <w:rPr>
                <w:lang w:eastAsia="en-US"/>
              </w:rPr>
            </w:pPr>
            <w:r w:rsidRPr="00192064">
              <w:rPr>
                <w:b/>
                <w:lang w:eastAsia="en-US"/>
              </w:rPr>
              <w:t>Mandatory</w:t>
            </w:r>
            <w:r>
              <w:rPr>
                <w:lang w:eastAsia="en-US"/>
              </w:rPr>
              <w:t>: Azure solutions that deploy virtual machines must update the virtual machine operating systems. Microsoft does not provide guest operating system patching as a service.</w:t>
            </w:r>
          </w:p>
        </w:tc>
      </w:tr>
      <w:tr w:rsidR="00E8578D" w14:paraId="5E57B762" w14:textId="77777777" w:rsidTr="0030368C">
        <w:trPr>
          <w:trHeight w:val="423"/>
        </w:trPr>
        <w:tc>
          <w:tcPr>
            <w:tcW w:w="666" w:type="dxa"/>
          </w:tcPr>
          <w:p w14:paraId="39FEA25F" w14:textId="77777777" w:rsidR="00E8578D" w:rsidRDefault="00E8578D" w:rsidP="0030368C">
            <w:pPr>
              <w:spacing w:after="200"/>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2056576" behindDoc="0" locked="0" layoutInCell="1" allowOverlap="1" wp14:anchorId="2C1ECB54" wp14:editId="346B325A">
                      <wp:simplePos x="0" y="0"/>
                      <wp:positionH relativeFrom="column">
                        <wp:posOffset>66675</wp:posOffset>
                      </wp:positionH>
                      <wp:positionV relativeFrom="paragraph">
                        <wp:posOffset>90170</wp:posOffset>
                      </wp:positionV>
                      <wp:extent cx="209550" cy="180975"/>
                      <wp:effectExtent l="57150" t="19050" r="57150" b="104775"/>
                      <wp:wrapNone/>
                      <wp:docPr id="830832957" name="Isosceles Triangle 8308329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4767D96" id="Isosceles Triangle 830832957" o:spid="_x0000_s1026" type="#_x0000_t5" style="position:absolute;margin-left:5.25pt;margin-top:7.1pt;width:16.5pt;height:14.25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aT+jgIAAH8FAAAOAAAAZHJzL2Uyb0RvYy54bWysVG1r2zAQ/j7YfxD6vtpOmzYxdUpoySiE&#10;Nqwd/azIUmIm6zRJiZP9+p3kl3RdoTDmD0Lne+50L8/d9c2hVmQvrKtAFzQ7SykRmkNZ6U1Bvz8v&#10;vkwocZ7pkinQoqBH4ejN7POn68bkYgRbUKWwBJ1olzemoFvvTZ4kjm9FzdwZGKFRKcHWzKNoN0lp&#10;WYPea5WM0vQyacCWxgIXzuHfu1ZJZ9G/lIL7Rymd8EQVFGPz8bTxXIczmV2zfGOZ2Va8C4P9QxQ1&#10;qzQ+Ori6Y56Rna3+clVX3IID6c841AlIWXERc8BssvRNNk9bZkTMBYvjzFAm9//c8of9ypKqLOjk&#10;PJ2cj6bjK0o0q7FV9w4cF0o48mwrpjdKkBMG69YYl6P5k1nZkLkzS+A/HCqSPzRBcB3mIG0dsJg3&#10;OcQmHIcmiIMnHH+O0ul4jK3iqMom6fRqHJqUsLw3Ntb5rwJqEi4F9V1wsfxsv3S+hfewGBuoqlxU&#10;SkXBbta3ypI9Q04s8EsjDfAFd4LFHNqwYwL+qEQwVvqbkFgvDDSLL0amisEf41xof9mFHNHBTOLb&#10;g+H5x4YdPpiKyOLBePSx8WARXwbtB+O60mDfc6B81oUsW3zXRdfmHUqwhvKIVLHQzpAzfFFhA5bM&#10;+RWzODTYM1wE/hEPqaApKHQ3SrZgf733P+CRy6ilpMEhLKj7uWNWUKLuNbJ8ml1chKmNwsX4aoSC&#10;fa1Zv9boXX0L2NMMV47h8RrwXvVXaaF+wX0xD6+iimmObxeUe9sLt75dDrhxuJjPIwwn1TC/1E+G&#10;910P5Ho+vDBrehYifR+gH1iWvyFiiw390DDfeZBVZOmprl29ccoj17uNFNbIazmiTntz9hsAAP//&#10;AwBQSwMEFAAGAAgAAAAhADU8QjDZAAAABwEAAA8AAABkcnMvZG93bnJldi54bWxMjs1OwzAQhO9I&#10;vIO1SFxQ65CGtgpxKoSSI6ooPIATb36EvY5itw1vz3KC02g0o5mvOCzOigvOYfSk4HGdgEBqvRmp&#10;V/D5Ua/2IELUZLT1hAq+McChvL0pdG78ld7xcoq94BEKuVYwxDjlUoZ2QKfD2k9InHV+djqynXtp&#10;Zn3lcWdlmiRb6fRI/DDoCV8HbL9OZ6fAN8ux29S7/UPtJvvWVVXmjpVS93fLyzOIiEv8K8MvPqND&#10;yUyNP5MJwrJPnrjJmqUgOM827BvWdAeyLOR//vIHAAD//wMAUEsBAi0AFAAGAAgAAAAhALaDOJL+&#10;AAAA4QEAABMAAAAAAAAAAAAAAAAAAAAAAFtDb250ZW50X1R5cGVzXS54bWxQSwECLQAUAAYACAAA&#10;ACEAOP0h/9YAAACUAQAACwAAAAAAAAAAAAAAAAAvAQAAX3JlbHMvLnJlbHNQSwECLQAUAAYACAAA&#10;ACEAndGk/o4CAAB/BQAADgAAAAAAAAAAAAAAAAAuAgAAZHJzL2Uyb0RvYy54bWxQSwECLQAUAAYA&#10;CAAAACEANTxCMNkAAAAHAQAADwAAAAAAAAAAAAAAAADoBAAAZHJzL2Rvd25yZXYueG1sUEsFBgAA&#10;AAAEAAQA8wAAAO4FAAAAAA==&#10;" fillcolor="yellow" strokecolor="#70ad47 [3209]" strokeweight=".5pt">
                      <v:path arrowok="t"/>
                    </v:shape>
                  </w:pict>
                </mc:Fallback>
              </mc:AlternateContent>
            </w:r>
          </w:p>
        </w:tc>
        <w:tc>
          <w:tcPr>
            <w:tcW w:w="8604" w:type="dxa"/>
          </w:tcPr>
          <w:p w14:paraId="78A7F465" w14:textId="77777777" w:rsidR="00E8578D" w:rsidRDefault="00E8578D" w:rsidP="0030368C">
            <w:pPr>
              <w:rPr>
                <w:lang w:eastAsia="en-US"/>
              </w:rPr>
            </w:pPr>
            <w:r>
              <w:rPr>
                <w:rFonts w:eastAsiaTheme="minorHAnsi"/>
                <w:b/>
                <w:lang w:eastAsia="en-US"/>
              </w:rPr>
              <w:t xml:space="preserve">Recommended: </w:t>
            </w:r>
            <w:r>
              <w:rPr>
                <w:rFonts w:eastAsiaTheme="minorHAnsi"/>
                <w:lang w:eastAsia="en-US"/>
              </w:rPr>
              <w:t>Azure solutions should contain a patching solution that has reporting or feedback on the status of individual patches. WSUS provides this minimum level of reporting.</w:t>
            </w:r>
          </w:p>
        </w:tc>
      </w:tr>
    </w:tbl>
    <w:p w14:paraId="66230BA2" w14:textId="77777777" w:rsidR="00E8578D" w:rsidRDefault="00E8578D" w:rsidP="00E8578D"/>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E8578D" w14:paraId="41512C1A" w14:textId="77777777" w:rsidTr="0030368C">
        <w:tc>
          <w:tcPr>
            <w:tcW w:w="9360" w:type="dxa"/>
            <w:shd w:val="clear" w:color="auto" w:fill="008AC8"/>
          </w:tcPr>
          <w:p w14:paraId="6982284E" w14:textId="77777777" w:rsidR="00E8578D" w:rsidRPr="00F47607" w:rsidRDefault="00E8578D" w:rsidP="0030368C">
            <w:pPr>
              <w:spacing w:line="240" w:lineRule="auto"/>
              <w:rPr>
                <w:color w:val="FFFFFF"/>
              </w:rPr>
            </w:pPr>
            <w:r>
              <w:rPr>
                <w:color w:val="FFFFFF"/>
              </w:rPr>
              <w:t>Design Guidance</w:t>
            </w:r>
          </w:p>
        </w:tc>
      </w:tr>
    </w:tbl>
    <w:p w14:paraId="6215AD45" w14:textId="77777777" w:rsidR="00E8578D" w:rsidRDefault="00E8578D" w:rsidP="00E8578D">
      <w:r>
        <w:t xml:space="preserve">For organizations with small environments, or organizations that have not invested in a patching infrastructure (such as System Center Configuration Manager or a similar third-party tool). WSUS can provide a basic-level patch management infrastructure. However, the virtual machines need to be configured to utilize the WSUS instance like any other Windows-based system in the enterprise. </w:t>
      </w:r>
    </w:p>
    <w:p w14:paraId="74A5295F" w14:textId="77777777" w:rsidR="00E8578D" w:rsidRDefault="00E8578D" w:rsidP="00E8578D">
      <w:r>
        <w:t xml:space="preserve">Typically, the application of updates needs to be done manually on individual servers (or it can be automated). WSUS can provide an update repository for content download, in addition to the approval and release of the patches to the environment. WSUS provides simple update automation at the endpoint, and this should be taken into account in any WSUS design. More advanced update features require an infrastructure similar to that provided by System Center Configuration Manager. </w:t>
      </w:r>
    </w:p>
    <w:p w14:paraId="7F3124A2" w14:textId="77777777" w:rsidR="00E8578D" w:rsidRDefault="00E8578D" w:rsidP="00E8578D">
      <w:r>
        <w:t xml:space="preserve">If the customer has an existing WSUS topology, a recommended approach is to deploy an additional WSUS server within the organization’s Azure subscription and joined to the WSUS hierarchy. Optionally, this additional server can be configured to be a content store, such that Azure virtual machines download content from this new server. </w:t>
      </w:r>
    </w:p>
    <w:p w14:paraId="1B575643" w14:textId="77777777" w:rsidR="00E8578D" w:rsidRDefault="00E8578D" w:rsidP="00E8578D">
      <w:r>
        <w:t>Alternatively, the WSUS server can be configured to not be a content store, and virtual machines leveraging this WSUS server would download updates from Microsoft Update, while simply reporting to the new WSUS server.</w:t>
      </w:r>
    </w:p>
    <w:p w14:paraId="2DECD7D4" w14:textId="0095021D" w:rsidR="00805F1A" w:rsidRDefault="00E8578D" w:rsidP="00E8578D">
      <w:pPr>
        <w:jc w:val="both"/>
      </w:pPr>
      <w:r>
        <w:t>A key design input to the WSUS topology and design is the network configuration in Azure. If forced tunneling is used, the WSUS design leverages a content store in Azure. However, if virtual machines have Internet access from Azure directly, the virtual machines can be configured to use Microsoft Update for updates. Consider your network configuration prior to architecting your update topology</w:t>
      </w:r>
      <w:r w:rsidR="00664829">
        <w:t>.</w:t>
      </w:r>
    </w:p>
    <w:p w14:paraId="6C2F1825" w14:textId="706F720F" w:rsidR="00727F02" w:rsidRDefault="00727F02" w:rsidP="005729D2">
      <w:pPr>
        <w:pStyle w:val="Heading3Numbered"/>
        <w:numPr>
          <w:ilvl w:val="2"/>
          <w:numId w:val="64"/>
        </w:numPr>
      </w:pPr>
      <w:bookmarkStart w:id="7707" w:name="_Toc417934778"/>
      <w:bookmarkStart w:id="7708" w:name="_Toc417936115"/>
      <w:bookmarkStart w:id="7709" w:name="_Toc417936577"/>
      <w:bookmarkStart w:id="7710" w:name="_Toc417946993"/>
      <w:bookmarkStart w:id="7711" w:name="_Toc417947463"/>
      <w:bookmarkStart w:id="7712" w:name="_Toc417982601"/>
      <w:bookmarkStart w:id="7713" w:name="_Toc417986082"/>
      <w:bookmarkStart w:id="7714" w:name="_Toc418000746"/>
      <w:bookmarkStart w:id="7715" w:name="_Toc418003958"/>
      <w:bookmarkStart w:id="7716" w:name="_Toc418012163"/>
      <w:bookmarkStart w:id="7717" w:name="_Toc418014536"/>
      <w:bookmarkStart w:id="7718" w:name="_Toc418030181"/>
      <w:bookmarkStart w:id="7719" w:name="_Toc418037024"/>
      <w:bookmarkStart w:id="7720" w:name="_Toc418061494"/>
      <w:bookmarkStart w:id="7721" w:name="_Toc418081395"/>
      <w:bookmarkStart w:id="7722" w:name="_Toc418083425"/>
      <w:bookmarkStart w:id="7723" w:name="_Toc418096191"/>
      <w:bookmarkStart w:id="7724" w:name="_Toc418156793"/>
      <w:bookmarkStart w:id="7725" w:name="_Toc418167710"/>
      <w:bookmarkStart w:id="7726" w:name="_Toc418185966"/>
      <w:bookmarkStart w:id="7727" w:name="_Toc422941680"/>
      <w:bookmarkStart w:id="7728" w:name="_Toc423116892"/>
      <w:bookmarkStart w:id="7729" w:name="_Toc423117925"/>
      <w:bookmarkStart w:id="7730" w:name="_Toc423117372"/>
      <w:bookmarkStart w:id="7731" w:name="_Toc431288971"/>
      <w:r>
        <w:t xml:space="preserve">System Center </w:t>
      </w:r>
      <w:r w:rsidR="00F16D38">
        <w:t xml:space="preserve">2012 R2 </w:t>
      </w:r>
      <w:r>
        <w:t>Configuration Manager</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220BE9BD" w14:textId="3DC2B669" w:rsidR="00E8578D" w:rsidRDefault="004D1EE4" w:rsidP="00E8578D">
      <w:r>
        <w:t>System</w:t>
      </w:r>
      <w:r w:rsidR="00E8578D">
        <w:t xml:space="preserve"> Center Configuration 2012 R2 Manager can provide services including installing applications and updating management, and other system configuration tasks. This is particularly attractive in hybrid scenarios where customers may have significant existing investments in Configuration Manager packaging, software update groups, and so on. Microsoft Azure presents additional configurations that should be considered, such as updating location settings, boundaries, and client authentication. </w:t>
      </w:r>
    </w:p>
    <w:p w14:paraId="3E12B421" w14:textId="77777777" w:rsidR="00E8578D" w:rsidRDefault="00E8578D" w:rsidP="00E8578D">
      <w:r>
        <w:t xml:space="preserve">Within Configuration Manager, cloud-based distribution points can provide content hosted in Azure for IaaS virtual machines (or other computers) to consume local to their virtual network.  This minimizes egress traffic from those systems consuming update services from the organization’s infrastructure. </w:t>
      </w:r>
    </w:p>
    <w:p w14:paraId="6C2F1826" w14:textId="6E951FDD" w:rsidR="00727F02" w:rsidRDefault="00E8578D" w:rsidP="00E8578D">
      <w:pPr>
        <w:jc w:val="both"/>
      </w:pPr>
      <w:r>
        <w:t xml:space="preserve">Additional considerations and limitations include the requirement for a site server to have certificate-based authentication to Azure. Task sequences should be configured as </w:t>
      </w:r>
      <w:r w:rsidRPr="009634D0">
        <w:rPr>
          <w:b/>
        </w:rPr>
        <w:t>Download all content locally</w:t>
      </w:r>
      <w:r>
        <w:rPr>
          <w:iCs/>
        </w:rPr>
        <w:t xml:space="preserve"> as part of any deployment package</w:t>
      </w:r>
      <w:r w:rsidRPr="176EF499">
        <w:t xml:space="preserve">. </w:t>
      </w:r>
      <w:r>
        <w:t>Also, some</w:t>
      </w:r>
      <w:r w:rsidRPr="176EF499">
        <w:t xml:space="preserve"> features are not </w:t>
      </w:r>
      <w:r>
        <w:t>viable in cloud-based</w:t>
      </w:r>
      <w:r w:rsidRPr="176EF499">
        <w:t xml:space="preserve"> </w:t>
      </w:r>
      <w:r>
        <w:t>d</w:t>
      </w:r>
      <w:r w:rsidRPr="176EF499">
        <w:t xml:space="preserve">istribution </w:t>
      </w:r>
      <w:r>
        <w:t>p</w:t>
      </w:r>
      <w:r w:rsidRPr="176EF499">
        <w:t>oints</w:t>
      </w:r>
      <w:r>
        <w:t>,</w:t>
      </w:r>
      <w:r w:rsidRPr="176EF499">
        <w:t xml:space="preserve"> </w:t>
      </w:r>
      <w:r>
        <w:t>and Azure supportability and feasibility should be considered with any Azure deployment</w:t>
      </w:r>
      <w:r w:rsidR="007B7FF2">
        <w:t xml:space="preserve">. </w:t>
      </w:r>
    </w:p>
    <w:p w14:paraId="32810B78" w14:textId="629E40CA" w:rsidR="001C1DA6" w:rsidRPr="00E81F98" w:rsidRDefault="001C1DA6" w:rsidP="001C1DA6">
      <w:pPr>
        <w:rPr>
          <w:i/>
        </w:rPr>
      </w:pPr>
      <w:bookmarkStart w:id="7732" w:name="_Toc414892170"/>
      <w:bookmarkStart w:id="7733" w:name="_Toc414960193"/>
      <w:bookmarkStart w:id="7734" w:name="_Toc414969164"/>
    </w:p>
    <w:tbl>
      <w:tblPr>
        <w:tblStyle w:val="PlainTable11"/>
        <w:tblW w:w="0" w:type="auto"/>
        <w:tblLook w:val="04A0" w:firstRow="1" w:lastRow="0" w:firstColumn="1" w:lastColumn="0" w:noHBand="0" w:noVBand="1"/>
      </w:tblPr>
      <w:tblGrid>
        <w:gridCol w:w="3413"/>
        <w:gridCol w:w="5937"/>
      </w:tblGrid>
      <w:tr w:rsidR="001C1DA6" w14:paraId="26A802CE" w14:textId="77777777" w:rsidTr="00C660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shd w:val="clear" w:color="auto" w:fill="808080" w:themeFill="background1" w:themeFillShade="80"/>
          </w:tcPr>
          <w:p w14:paraId="1BA1BBA2" w14:textId="77777777" w:rsidR="001C1DA6" w:rsidRPr="00F47607" w:rsidRDefault="001C1DA6" w:rsidP="001C1DA6">
            <w:pPr>
              <w:spacing w:line="240" w:lineRule="auto"/>
              <w:rPr>
                <w:color w:val="FFFFFF"/>
              </w:rPr>
            </w:pPr>
            <w:r>
              <w:rPr>
                <w:color w:val="FFFFFF"/>
              </w:rPr>
              <w:t>Feature References</w:t>
            </w:r>
          </w:p>
        </w:tc>
      </w:tr>
      <w:tr w:rsidR="001C1DA6" w:rsidRPr="00C66023" w14:paraId="6754EF2E" w14:textId="77777777" w:rsidTr="00C660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0" w:type="dxa"/>
          </w:tcPr>
          <w:p w14:paraId="16806138" w14:textId="10211605" w:rsidR="001C1DA6" w:rsidRPr="00C66023" w:rsidRDefault="001C1DA6" w:rsidP="001C1DA6">
            <w:pPr>
              <w:spacing w:line="240" w:lineRule="auto"/>
              <w:rPr>
                <w:sz w:val="20"/>
                <w:szCs w:val="20"/>
              </w:rPr>
            </w:pPr>
            <w:r w:rsidRPr="00C66023">
              <w:rPr>
                <w:sz w:val="20"/>
                <w:szCs w:val="20"/>
              </w:rPr>
              <w:t>Cloud-based Distribution Points</w:t>
            </w:r>
          </w:p>
        </w:tc>
        <w:tc>
          <w:tcPr>
            <w:tcW w:w="5940" w:type="dxa"/>
          </w:tcPr>
          <w:p w14:paraId="561E66A7" w14:textId="38C217E1" w:rsidR="00FC7C04" w:rsidRPr="00C66023" w:rsidRDefault="00872E47" w:rsidP="001C1DA6">
            <w:pPr>
              <w:cnfStyle w:val="000000100000" w:firstRow="0" w:lastRow="0" w:firstColumn="0" w:lastColumn="0" w:oddVBand="0" w:evenVBand="0" w:oddHBand="1" w:evenHBand="0" w:firstRowFirstColumn="0" w:firstRowLastColumn="0" w:lastRowFirstColumn="0" w:lastRowLastColumn="0"/>
              <w:rPr>
                <w:sz w:val="20"/>
                <w:szCs w:val="20"/>
              </w:rPr>
            </w:pPr>
            <w:hyperlink r:id="rId655" w:anchor="BKMK_InstallCloudSiteSystems" w:history="1">
              <w:r w:rsidR="00FC7C04" w:rsidRPr="00C66023">
                <w:rPr>
                  <w:rStyle w:val="Hyperlink"/>
                  <w:sz w:val="20"/>
                  <w:szCs w:val="20"/>
                </w:rPr>
                <w:t>https://technet.microsoft.com/en-us/library/hh272770.aspx#BKMK_InstallCloudSiteSystems</w:t>
              </w:r>
            </w:hyperlink>
          </w:p>
        </w:tc>
      </w:tr>
      <w:tr w:rsidR="001C1DA6" w:rsidRPr="00C66023" w14:paraId="000045F8" w14:textId="77777777" w:rsidTr="00C66023">
        <w:tc>
          <w:tcPr>
            <w:cnfStyle w:val="001000000000" w:firstRow="0" w:lastRow="0" w:firstColumn="1" w:lastColumn="0" w:oddVBand="0" w:evenVBand="0" w:oddHBand="0" w:evenHBand="0" w:firstRowFirstColumn="0" w:firstRowLastColumn="0" w:lastRowFirstColumn="0" w:lastRowLastColumn="0"/>
            <w:tcW w:w="3420" w:type="dxa"/>
          </w:tcPr>
          <w:p w14:paraId="4068A1BC" w14:textId="307E2766" w:rsidR="001C1DA6" w:rsidRPr="00C66023" w:rsidRDefault="001C1DA6" w:rsidP="001C1DA6">
            <w:pPr>
              <w:spacing w:line="240" w:lineRule="auto"/>
              <w:rPr>
                <w:sz w:val="20"/>
                <w:szCs w:val="20"/>
              </w:rPr>
            </w:pPr>
            <w:r w:rsidRPr="00C66023">
              <w:rPr>
                <w:sz w:val="20"/>
                <w:szCs w:val="20"/>
              </w:rPr>
              <w:t xml:space="preserve">PKI Certificates for </w:t>
            </w:r>
            <w:r w:rsidR="007B7FF2" w:rsidRPr="00C66023">
              <w:rPr>
                <w:sz w:val="20"/>
                <w:szCs w:val="20"/>
              </w:rPr>
              <w:t>Configuration Manager</w:t>
            </w:r>
          </w:p>
        </w:tc>
        <w:tc>
          <w:tcPr>
            <w:tcW w:w="5940" w:type="dxa"/>
          </w:tcPr>
          <w:p w14:paraId="091183F7" w14:textId="0BCDC42E" w:rsidR="001C1DA6" w:rsidRPr="00C66023" w:rsidRDefault="00872E47" w:rsidP="001C1DA6">
            <w:pPr>
              <w:cnfStyle w:val="000000000000" w:firstRow="0" w:lastRow="0" w:firstColumn="0" w:lastColumn="0" w:oddVBand="0" w:evenVBand="0" w:oddHBand="0" w:evenHBand="0" w:firstRowFirstColumn="0" w:firstRowLastColumn="0" w:lastRowFirstColumn="0" w:lastRowLastColumn="0"/>
              <w:rPr>
                <w:sz w:val="20"/>
                <w:szCs w:val="20"/>
              </w:rPr>
            </w:pPr>
            <w:hyperlink r:id="rId656" w:anchor="BKMK_clouddp2008_cm2012" w:history="1">
              <w:r w:rsidR="001C1DA6" w:rsidRPr="00C66023">
                <w:rPr>
                  <w:rStyle w:val="Hyperlink"/>
                  <w:sz w:val="20"/>
                  <w:szCs w:val="20"/>
                </w:rPr>
                <w:t>https://technet.microsoft.com/en-us/library/230dfec0-bddb-4429-a5db-30020e881f1e#BKMK_clouddp2008_cm2012</w:t>
              </w:r>
            </w:hyperlink>
          </w:p>
        </w:tc>
      </w:tr>
    </w:tbl>
    <w:p w14:paraId="421FD895" w14:textId="77777777" w:rsidR="001C1DA6" w:rsidRDefault="001C1DA6" w:rsidP="001C1DA6"/>
    <w:tbl>
      <w:tblPr>
        <w:tblStyle w:val="TableGridLight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
        <w:gridCol w:w="8604"/>
      </w:tblGrid>
      <w:tr w:rsidR="001C1DA6" w14:paraId="0C77711C" w14:textId="77777777" w:rsidTr="001C1DA6">
        <w:trPr>
          <w:trHeight w:val="423"/>
        </w:trPr>
        <w:tc>
          <w:tcPr>
            <w:tcW w:w="666" w:type="dxa"/>
          </w:tcPr>
          <w:p w14:paraId="5AC4A43E" w14:textId="77777777" w:rsidR="001C1DA6" w:rsidRDefault="001C1DA6" w:rsidP="001C1DA6">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inline distT="0" distB="0" distL="0" distR="0" wp14:anchorId="52922208" wp14:editId="1C271358">
                      <wp:extent cx="200025" cy="180975"/>
                      <wp:effectExtent l="57150" t="19050" r="28575" b="104775"/>
                      <wp:docPr id="41069" name="Octagon 41069"/>
                      <wp:cNvGraphicFramePr/>
                      <a:graphic xmlns:a="http://schemas.openxmlformats.org/drawingml/2006/main">
                        <a:graphicData uri="http://schemas.microsoft.com/office/word/2010/wordprocessingShape">
                          <wps:wsp>
                            <wps:cNvSpPr/>
                            <wps:spPr>
                              <a:xfrm>
                                <a:off x="0" y="0"/>
                                <a:ext cx="200025" cy="180975"/>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827048F" id="Octagon 41069" o:spid="_x0000_s1026" type="#_x0000_t10" style="width:15.7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FvhcwIAAFIFAAAOAAAAZHJzL2Uyb0RvYy54bWysVFtr2zAUfh/sPwi9L7az9BbqlJCSMSht&#10;WTv6rMhSIpB0NEmJk/36HcmOG7pCYezFPkfnO/fL9c3eaLITPiiwNa1GJSXCcmiUXdf05/PyyyUl&#10;ITLbMA1W1PQgAr2Zff503bqpGMMGdCM8QSM2TFtX002MbloUgW+EYWEETlgUSvCGRWT9umg8a9G6&#10;0cW4LM+LFnzjPHARAr7edkI6y/alFDw+SBlEJLqmGFvMX5+/q/QtZtdsuvbMbRTvw2D/EIVhyqLT&#10;wdQti4xsvfrLlFHcQwAZRxxMAVIqLnIOmE1VvsnmacOcyLlgcYIbyhT+n1l+v3v0RDU1nVTl+RUl&#10;lhls0wOPbA2WdI9YpNaFKWKf3KPvuYBkyngvvUl/zIXsc2EPQ2HFPhKOj9ipcnxGCUdRdVleXZyl&#10;whevys6H+E2AIYmoKXTuc0XZ7i7EDn1EJXcBtGqWSuvM+PVqoT3ZMWzzYoHecmfRwQmsSDl0UWcq&#10;HrRIytr+EBJLgHFW2WMePjHYY5wLG8d9xBmd1CT6HhS/fqzY45OqyIM5KI8/Vh40smewcVA2yoJ/&#10;z4COVR+y7PBY8JO8E7mC5oDd99CtRXB8qbD+dyzER+ZxD3BjcLfjA36khhYb01OUbMD/fu894XE8&#10;UUpJi3tV0/Bry7ygRH+3OLhX1WSSFjEzk7OLMTL+VLI6lditWQD2tMIr4ngmEz7qIyk9mBc8AfPk&#10;FUXMcvRdUx79kVnEbt/xiHAxn2cYLp9j8c4+OX7sehqu5/0L864fwojTew/HHWTTN4PYYVM/LMy3&#10;EaTKU/pa177euLh51Psjky7DKZ9Rr6dw9gcAAP//AwBQSwMEFAAGAAgAAAAhAJ+3RPHbAAAAAwEA&#10;AA8AAABkcnMvZG93bnJldi54bWxMj0FLw0AQhe+C/2EZwZvdpNIS02yKCAUP0mC1eN1mp0lodjbs&#10;bpv47x292MvA4z3e+6ZYT7YXF/Shc6QgnSUgkGpnOmoUfH5sHjIQIWoyuneECr4xwLq8vSl0btxI&#10;73jZxUZwCYVcK2hjHHIpQ92i1WHmBiT2js5bHVn6RhqvRy63vZwnyVJa3REvtHrAlxbr0+5sFVSn&#10;sXrNqurpy2+W2zdv96nf7pW6v5ueVyAiTvE/DL/4jA4lMx3cmUwQvQJ+JP5d9h7TBYiDgnm2AFkW&#10;8pq9/AEAAP//AwBQSwECLQAUAAYACAAAACEAtoM4kv4AAADhAQAAEwAAAAAAAAAAAAAAAAAAAAAA&#10;W0NvbnRlbnRfVHlwZXNdLnhtbFBLAQItABQABgAIAAAAIQA4/SH/1gAAAJQBAAALAAAAAAAAAAAA&#10;AAAAAC8BAABfcmVscy8ucmVsc1BLAQItABQABgAIAAAAIQAlwFvhcwIAAFIFAAAOAAAAAAAAAAAA&#10;AAAAAC4CAABkcnMvZTJvRG9jLnhtbFBLAQItABQABgAIAAAAIQCft0Tx2wAAAAMBAAAPAAAAAAAA&#10;AAAAAAAAAM0EAABkcnMvZG93bnJldi54bWxQSwUGAAAAAAQABADzAAAA1QUAAAAA&#10;" fillcolor="#c00" strokecolor="#ed7d31 [3205]" strokeweight=".5pt">
                      <w10:anchorlock/>
                    </v:shape>
                  </w:pict>
                </mc:Fallback>
              </mc:AlternateContent>
            </w:r>
          </w:p>
        </w:tc>
        <w:tc>
          <w:tcPr>
            <w:tcW w:w="8604" w:type="dxa"/>
          </w:tcPr>
          <w:p w14:paraId="63742BA6" w14:textId="77777777" w:rsidR="00BF4F94" w:rsidRDefault="001C1DA6" w:rsidP="00C47719">
            <w:pPr>
              <w:rPr>
                <w:lang w:eastAsia="en-US"/>
              </w:rPr>
            </w:pPr>
            <w:r w:rsidRPr="00192064">
              <w:rPr>
                <w:b/>
                <w:lang w:eastAsia="en-US"/>
              </w:rPr>
              <w:t>Mandatory</w:t>
            </w:r>
            <w:r>
              <w:rPr>
                <w:lang w:eastAsia="en-US"/>
              </w:rPr>
              <w:t xml:space="preserve">:  </w:t>
            </w:r>
          </w:p>
          <w:p w14:paraId="3E0F670A" w14:textId="77777777" w:rsidR="00E8578D" w:rsidRDefault="00E8578D" w:rsidP="005729D2">
            <w:pPr>
              <w:pStyle w:val="ListParagraph"/>
              <w:numPr>
                <w:ilvl w:val="0"/>
                <w:numId w:val="105"/>
              </w:numPr>
              <w:rPr>
                <w:lang w:eastAsia="en-US"/>
              </w:rPr>
            </w:pPr>
            <w:r>
              <w:rPr>
                <w:lang w:eastAsia="en-US"/>
              </w:rPr>
              <w:t xml:space="preserve">If Configuration Manager cloud-based distribution points are to be used, </w:t>
            </w:r>
            <w:r>
              <w:t>Public key infrastructure (</w:t>
            </w:r>
            <w:r>
              <w:rPr>
                <w:lang w:eastAsia="en-US"/>
              </w:rPr>
              <w:t>PKI) certificates must be installed on the site server for authentication.</w:t>
            </w:r>
          </w:p>
          <w:p w14:paraId="6FF0C957" w14:textId="77777777" w:rsidR="00E8578D" w:rsidRDefault="00E8578D" w:rsidP="005729D2">
            <w:pPr>
              <w:pStyle w:val="ListParagraph"/>
              <w:numPr>
                <w:ilvl w:val="0"/>
                <w:numId w:val="105"/>
              </w:numPr>
              <w:rPr>
                <w:lang w:eastAsia="en-US"/>
              </w:rPr>
            </w:pPr>
            <w:r>
              <w:rPr>
                <w:lang w:eastAsia="en-US"/>
              </w:rPr>
              <w:t xml:space="preserve">Any task sequences deployed to Azure virtual machines configured to use SCCM must be configured as </w:t>
            </w:r>
            <w:r w:rsidRPr="009634D0">
              <w:rPr>
                <w:b/>
              </w:rPr>
              <w:t>Download all content locally</w:t>
            </w:r>
            <w:r>
              <w:t>.</w:t>
            </w:r>
          </w:p>
          <w:p w14:paraId="44DDCFBD" w14:textId="0368FF3A" w:rsidR="00C47719" w:rsidRDefault="00E8578D" w:rsidP="005729D2">
            <w:pPr>
              <w:pStyle w:val="ListParagraph"/>
              <w:numPr>
                <w:ilvl w:val="0"/>
                <w:numId w:val="105"/>
              </w:numPr>
              <w:rPr>
                <w:lang w:eastAsia="en-US"/>
              </w:rPr>
            </w:pPr>
            <w:r>
              <w:rPr>
                <w:lang w:eastAsia="en-US"/>
              </w:rPr>
              <w:t xml:space="preserve">PXE and multicast, streamed applications, Apple and Unix clients, Windows and </w:t>
            </w:r>
            <w:r>
              <w:t>t</w:t>
            </w:r>
            <w:r w:rsidRPr="00BF4F94">
              <w:t>hird</w:t>
            </w:r>
            <w:r>
              <w:t>-p</w:t>
            </w:r>
            <w:r>
              <w:rPr>
                <w:lang w:eastAsia="en-US"/>
              </w:rPr>
              <w:t>arty updates are not supported features of cloud-based distribution points</w:t>
            </w:r>
          </w:p>
        </w:tc>
      </w:tr>
      <w:tr w:rsidR="001C1DA6" w14:paraId="1ADB79EA" w14:textId="77777777" w:rsidTr="001C1DA6">
        <w:trPr>
          <w:trHeight w:val="423"/>
        </w:trPr>
        <w:tc>
          <w:tcPr>
            <w:tcW w:w="666" w:type="dxa"/>
          </w:tcPr>
          <w:p w14:paraId="3C333CAE" w14:textId="77777777" w:rsidR="001C1DA6" w:rsidRDefault="001C1DA6" w:rsidP="001C1DA6">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278336" behindDoc="0" locked="0" layoutInCell="1" allowOverlap="1" wp14:anchorId="19950E10" wp14:editId="221DD22A">
                      <wp:simplePos x="0" y="0"/>
                      <wp:positionH relativeFrom="column">
                        <wp:posOffset>66675</wp:posOffset>
                      </wp:positionH>
                      <wp:positionV relativeFrom="paragraph">
                        <wp:posOffset>90170</wp:posOffset>
                      </wp:positionV>
                      <wp:extent cx="209550" cy="180975"/>
                      <wp:effectExtent l="57150" t="19050" r="57150" b="104775"/>
                      <wp:wrapNone/>
                      <wp:docPr id="41072" name="Isosceles Triangle 410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FF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59C09634" id="Isosceles Triangle 41072" o:spid="_x0000_s1026" type="#_x0000_t5" style="position:absolute;margin-left:5.25pt;margin-top:7.1pt;width:16.5pt;height:14.25pt;z-index:25127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WBzigIAAHcFAAAOAAAAZHJzL2Uyb0RvYy54bWysVNtu2zAMfR+wfxD0vtrOkl6MOkXQIkOB&#10;oCvWDn1WZCkRJouapMTJvn6UfGnXFSgwzA+CaB5SvBzy8urQaLIXziswFS1OckqE4VArs6no98fl&#10;p3NKfGCmZhqMqOhReHo1//jhsrWlmMAWdC0cQSfGl62t6DYEW2aZ51vRMH8CVhhUSnANCyi6TVY7&#10;1qL3RmeTPD/NWnC1dcCF9/j3plPSefIvpeDhq5ReBKIrirGFdLp0ruOZzS9ZuXHMbhXvw2D/EEXD&#10;lMFHR1c3LDCyc+ovV43iDjzIcMKhyUBKxUXKAbMp8lfZPGyZFSkXLI63Y5n8/3PL7/b3jqi6otMi&#10;P5tQYliDbbr14LnQwpNHp5jZaEE6Pdartb5Eswd772LG3q6A//CoyP7QRMH3mIN0TcRivuSQin8c&#10;iy8OgXD8OckvZjNsEUdVcZ5fnM1iczJWDsbW+fBFQEPipaKhDyyVne1XPnTwAZZiA63qpdI6CW6z&#10;vtaO7BlyYYlfntqPL/hnWMqhCzslEI5aRGNtvgmJdcJAi/RiYqgY/THOhQmnfcgJHc0kvj0afn7f&#10;sMdHU5HYOxpP3jceLdLLYMJo3CgD7i0HOhR9yLLD9130Xd6xBGuoj0gRB93seMuXChuwYj7cM4fD&#10;gj3DBRC+4iE1tBWF/kbJFtyvt/5HPHIYtZS0OHwV9T93zAlK9K1Bdl8U02mc1iRMZ2cTFNxLzfql&#10;xuyaa8CeFrhqLE/XiA96uEoHzRPuiUV8FVXMcHy7ojy4QbgO3VLATcPFYpFgOKGWhZV5sHzoeiTX&#10;4+GJOTuwEOl7B8OgsvIVETts7IeBxS6AVImlz3Xt643Tnbjeb6K4Pl7KCfW8L+e/AQAA//8DAFBL&#10;AwQUAAYACAAAACEANTxCMNkAAAAHAQAADwAAAGRycy9kb3ducmV2LnhtbEyOzU7DMBCE70i8g7VI&#10;XFDrkIa2CnEqhJIjqig8gBNvfoS9jmK3DW/PcoLTaDSjma84LM6KC85h9KTgcZ2AQGq9GalX8PlR&#10;r/YgQtRktPWECr4xwKG8vSl0bvyV3vFyir3gEQq5VjDEOOVShnZAp8PaT0icdX52OrKde2lmfeVx&#10;Z2WaJFvp9Ej8MOgJXwdsv05np8A3y7Hb1Lv9Q+0m+9ZVVeaOlVL3d8vLM4iIS/wrwy8+o0PJTI0/&#10;kwnCsk+euMmapSA4zzbsG9Z0B7Is5H/+8gcAAP//AwBQSwECLQAUAAYACAAAACEAtoM4kv4AAADh&#10;AQAAEwAAAAAAAAAAAAAAAAAAAAAAW0NvbnRlbnRfVHlwZXNdLnhtbFBLAQItABQABgAIAAAAIQA4&#10;/SH/1gAAAJQBAAALAAAAAAAAAAAAAAAAAC8BAABfcmVscy8ucmVsc1BLAQItABQABgAIAAAAIQBq&#10;zWBzigIAAHcFAAAOAAAAAAAAAAAAAAAAAC4CAABkcnMvZTJvRG9jLnhtbFBLAQItABQABgAIAAAA&#10;IQA1PEIw2QAAAAcBAAAPAAAAAAAAAAAAAAAAAOQEAABkcnMvZG93bnJldi54bWxQSwUGAAAAAAQA&#10;BADzAAAA6gUAAAAA&#10;" fillcolor="yellow" strokecolor="#70ad47 [3209]" strokeweight=".5pt">
                      <v:path arrowok="t"/>
                    </v:shape>
                  </w:pict>
                </mc:Fallback>
              </mc:AlternateContent>
            </w:r>
          </w:p>
        </w:tc>
        <w:tc>
          <w:tcPr>
            <w:tcW w:w="8604" w:type="dxa"/>
          </w:tcPr>
          <w:p w14:paraId="14ABB8C1" w14:textId="05A9955A" w:rsidR="001C1DA6" w:rsidRDefault="001C1DA6" w:rsidP="00FC7C04">
            <w:pPr>
              <w:rPr>
                <w:lang w:eastAsia="en-US"/>
              </w:rPr>
            </w:pPr>
            <w:r>
              <w:rPr>
                <w:rFonts w:eastAsiaTheme="minorHAnsi"/>
                <w:b/>
                <w:lang w:eastAsia="en-US"/>
              </w:rPr>
              <w:t xml:space="preserve">Recommended: </w:t>
            </w:r>
            <w:r>
              <w:rPr>
                <w:rFonts w:eastAsiaTheme="minorHAnsi"/>
                <w:lang w:eastAsia="en-US"/>
              </w:rPr>
              <w:t xml:space="preserve"> </w:t>
            </w:r>
            <w:r w:rsidR="00E8578D">
              <w:rPr>
                <w:rFonts w:eastAsiaTheme="minorHAnsi"/>
                <w:lang w:eastAsia="en-US"/>
              </w:rPr>
              <w:t xml:space="preserve">Azure solutions that leverage </w:t>
            </w:r>
            <w:r w:rsidR="00E8578D">
              <w:t xml:space="preserve">Configuration Manager </w:t>
            </w:r>
            <w:r w:rsidR="00E8578D">
              <w:rPr>
                <w:rFonts w:eastAsiaTheme="minorHAnsi"/>
                <w:lang w:eastAsia="en-US"/>
              </w:rPr>
              <w:t xml:space="preserve">should consider the update source settings for Windows and third-party updates because these are not delivered by cloud-based distribution points. We recommend that you allow clients in Azure to connect to Windows Update to retrieve content. Client settings </w:t>
            </w:r>
            <w:r w:rsidR="00E8578D" w:rsidRPr="00FC7C04">
              <w:rPr>
                <w:rFonts w:eastAsiaTheme="minorHAnsi"/>
                <w:lang w:eastAsia="en-US"/>
              </w:rPr>
              <w:t xml:space="preserve">for </w:t>
            </w:r>
            <w:r w:rsidR="00E8578D" w:rsidRPr="00917F39">
              <w:rPr>
                <w:rFonts w:eastAsiaTheme="minorHAnsi"/>
                <w:b/>
                <w:lang w:eastAsia="en-US"/>
              </w:rPr>
              <w:t>Allow access to cloud distribution points</w:t>
            </w:r>
            <w:r w:rsidR="00E8578D" w:rsidRPr="00FC7C04">
              <w:rPr>
                <w:rFonts w:eastAsiaTheme="minorHAnsi"/>
                <w:lang w:eastAsia="en-US"/>
              </w:rPr>
              <w:t xml:space="preserve"> </w:t>
            </w:r>
            <w:r w:rsidR="00E8578D">
              <w:rPr>
                <w:rFonts w:eastAsiaTheme="minorHAnsi"/>
                <w:lang w:eastAsia="en-US"/>
              </w:rPr>
              <w:t xml:space="preserve">must be set </w:t>
            </w:r>
            <w:r w:rsidR="00E8578D" w:rsidRPr="00FC7C04">
              <w:rPr>
                <w:rFonts w:eastAsiaTheme="minorHAnsi"/>
                <w:lang w:eastAsia="en-US"/>
              </w:rPr>
              <w:t xml:space="preserve">to </w:t>
            </w:r>
            <w:r w:rsidR="00E8578D" w:rsidRPr="00917F39">
              <w:rPr>
                <w:rFonts w:eastAsiaTheme="minorHAnsi"/>
                <w:b/>
                <w:lang w:eastAsia="en-US"/>
              </w:rPr>
              <w:t>Yes</w:t>
            </w:r>
            <w:r w:rsidR="00E8578D">
              <w:rPr>
                <w:rFonts w:eastAsiaTheme="minorHAnsi"/>
                <w:lang w:eastAsia="en-US"/>
              </w:rPr>
              <w:t xml:space="preserve">. </w:t>
            </w:r>
            <w:r w:rsidR="00E8578D" w:rsidRPr="00B04A16">
              <w:rPr>
                <w:lang w:eastAsia="en-US"/>
              </w:rPr>
              <w:t>Configuration Manager</w:t>
            </w:r>
            <w:r w:rsidR="00E8578D">
              <w:rPr>
                <w:rFonts w:eastAsiaTheme="minorHAnsi"/>
                <w:lang w:eastAsia="en-US"/>
              </w:rPr>
              <w:t xml:space="preserve"> client settings can be configured in the </w:t>
            </w:r>
            <w:r w:rsidR="00E8578D" w:rsidRPr="00B04A16">
              <w:rPr>
                <w:lang w:eastAsia="en-US"/>
              </w:rPr>
              <w:t xml:space="preserve">Configuration Manager </w:t>
            </w:r>
            <w:r w:rsidR="00E8578D">
              <w:rPr>
                <w:rFonts w:eastAsiaTheme="minorHAnsi"/>
                <w:lang w:eastAsia="en-US"/>
              </w:rPr>
              <w:t>administration console</w:t>
            </w:r>
            <w:r w:rsidR="00C47719">
              <w:rPr>
                <w:rFonts w:eastAsiaTheme="minorHAnsi"/>
                <w:lang w:eastAsia="en-US"/>
              </w:rPr>
              <w:t xml:space="preserve">. </w:t>
            </w:r>
          </w:p>
        </w:tc>
      </w:tr>
      <w:tr w:rsidR="001C1DA6" w14:paraId="0E78C67E" w14:textId="77777777" w:rsidTr="001C1DA6">
        <w:trPr>
          <w:trHeight w:val="423"/>
        </w:trPr>
        <w:tc>
          <w:tcPr>
            <w:tcW w:w="666" w:type="dxa"/>
          </w:tcPr>
          <w:p w14:paraId="7A9FC00A" w14:textId="77777777" w:rsidR="001C1DA6" w:rsidRDefault="001C1DA6" w:rsidP="001C1DA6">
            <w:pPr>
              <w:spacing w:after="200"/>
              <w:jc w:val="center"/>
              <w:rPr>
                <w:rFonts w:asciiTheme="minorHAnsi" w:eastAsiaTheme="minorHAnsi" w:hAnsiTheme="minorHAnsi" w:cstheme="minorBidi"/>
                <w:b/>
                <w:bCs/>
                <w:sz w:val="20"/>
                <w:szCs w:val="18"/>
                <w:lang w:eastAsia="en-US"/>
              </w:rPr>
            </w:pPr>
            <w:r>
              <w:rPr>
                <w:rFonts w:eastAsia="Arial" w:cs="Segoe UI"/>
                <w:noProof/>
                <w:sz w:val="20"/>
                <w:szCs w:val="20"/>
              </w:rPr>
              <mc:AlternateContent>
                <mc:Choice Requires="wps">
                  <w:drawing>
                    <wp:anchor distT="0" distB="0" distL="114300" distR="114300" simplePos="0" relativeHeight="251283456" behindDoc="0" locked="0" layoutInCell="1" allowOverlap="1" wp14:anchorId="433D1DCF" wp14:editId="6D145BC3">
                      <wp:simplePos x="0" y="0"/>
                      <wp:positionH relativeFrom="column">
                        <wp:posOffset>66675</wp:posOffset>
                      </wp:positionH>
                      <wp:positionV relativeFrom="paragraph">
                        <wp:posOffset>90170</wp:posOffset>
                      </wp:positionV>
                      <wp:extent cx="180975" cy="180975"/>
                      <wp:effectExtent l="57150" t="19050" r="9525" b="104775"/>
                      <wp:wrapNone/>
                      <wp:docPr id="41104" name="Oval 411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0975" cy="180975"/>
                              </a:xfrm>
                              <a:prstGeom prst="ellipse">
                                <a:avLst/>
                              </a:prstGeom>
                              <a:solidFill>
                                <a:srgbClr val="00B050"/>
                              </a:solidFill>
                            </wps:spPr>
                            <wps:style>
                              <a:lnRef idx="1">
                                <a:schemeClr val="accent3"/>
                              </a:lnRef>
                              <a:fillRef idx="3">
                                <a:schemeClr val="accent3"/>
                              </a:fillRef>
                              <a:effectRef idx="2">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oval w14:anchorId="51F64304" id="Oval 41104" o:spid="_x0000_s1026" style="position:absolute;margin-left:5.25pt;margin-top:7.1pt;width:14.25pt;height:14.25pt;z-index:25128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tL8fgIAAGgFAAAOAAAAZHJzL2Uyb0RvYy54bWysVN9P2zAQfp+0/8Hy+0hSyoCIFHUgpkkV&#10;oMHEs+vYrTXb59lu0+6v39lJAxuTkKa9WD7fdz/93V1c7owmW+GDAtvQ6qikRFgOrbKrhn57vPlw&#10;RkmIzLZMgxUN3YtAL2fv3110rhYTWINuhSfoxIa6cw1dx+jqogh8LQwLR+CERaUEb1hE0a+K1rMO&#10;vRtdTMryY9GBb50HLkLA1+teSWfZv5SCxzspg4hENxRzi/n0+Vyms5hdsHrlmVsrPqTB/iELw5TF&#10;oKOraxYZ2Xj1ypVR3EMAGY84mAKkVFzkGrCaqvyjmoc1cyLXgs0JbmxT+H9u+e323hPVNnRaVeWU&#10;EssMftPdlmnSv2CHOhdqBD64e59qDG4B/HtARfGbJglhwOykNwmLFZJdbvd+bLfYRcLxsTorz09P&#10;KOGoGu7JJ6sPxs6H+FmAIenSUKG1ciE1hNVsuwixRx9QOTXQqr1RWmfBr5ZX2hOsBWOXn8qT/N8Y&#10;IDzDcgl91jn/uNciGWv7VUhsTMozR8yUFKM/xrmw8TgRCB1mdDKTGHs0PH7bcMAnU5HpOhpP3jYe&#10;LXJksHE0NsqC/5sDHashZdnjh08Mfd2pBUto98gJD/2wBMdvFPZ/wUK8Zx6nA+cIJz7e4SE1dA2F&#10;4UbJGvzPv70nPJIWtZR0OG0NDT82zAtK9BeLdD6vptM0nlmYnpxOUPAvNcuXGrsxV4B/WuFucTxf&#10;Ez7qw1V6ME+4GOYpKqqY5Ri7oTz6g3AV+y2Aq4WL+TzDcCQdiwv74Pjh1xO5HndPzLuBhBHZewuH&#10;yXxFxB6b/sPCfBNBqszS574O/cZxzsQZVk/aFy/ljHpekLNfAAAA//8DAFBLAwQUAAYACAAAACEA&#10;whqfIt4AAAAHAQAADwAAAGRycy9kb3ducmV2LnhtbEyPQUvDQBCF74L/YRnBi9hNYqs2ZlNEEBS9&#10;mFbU2zQ7JsHsbMhu2/jvHU96Gh7v8eZ7xWpyvdrTGDrPBtJZAoq49rbjxsBmfX9+DSpEZIu9ZzLw&#10;TQFW5fFRgbn1B36hfRUbJSUccjTQxjjkWoe6JYdh5gdi8T796DCKHBttRzxIuet1liSX2mHH8qHF&#10;ge5aqr+qnTPwUW2e3Tp9cm+P6cOCzt77JdpXY05PptsbUJGm+BeGX3xBh1KYtn7HNqhedLKQpNx5&#10;Bkr8i6VM2xqYZ1egy0L/5y9/AAAA//8DAFBLAQItABQABgAIAAAAIQC2gziS/gAAAOEBAAATAAAA&#10;AAAAAAAAAAAAAAAAAABbQ29udGVudF9UeXBlc10ueG1sUEsBAi0AFAAGAAgAAAAhADj9If/WAAAA&#10;lAEAAAsAAAAAAAAAAAAAAAAALwEAAF9yZWxzLy5yZWxzUEsBAi0AFAAGAAgAAAAhAMl20vx+AgAA&#10;aAUAAA4AAAAAAAAAAAAAAAAALgIAAGRycy9lMm9Eb2MueG1sUEsBAi0AFAAGAAgAAAAhAMIanyLe&#10;AAAABwEAAA8AAAAAAAAAAAAAAAAA2AQAAGRycy9kb3ducmV2LnhtbFBLBQYAAAAABAAEAPMAAADj&#10;BQAAAAA=&#10;" fillcolor="#00b050" strokecolor="#a5a5a5 [3206]" strokeweight=".5pt">
                      <v:stroke joinstyle="miter"/>
                      <v:path arrowok="t"/>
                    </v:oval>
                  </w:pict>
                </mc:Fallback>
              </mc:AlternateContent>
            </w:r>
          </w:p>
        </w:tc>
        <w:tc>
          <w:tcPr>
            <w:tcW w:w="8604" w:type="dxa"/>
          </w:tcPr>
          <w:p w14:paraId="5D973FD5" w14:textId="7E80AF23" w:rsidR="001C1DA6" w:rsidRDefault="001C1DA6" w:rsidP="001C1DA6">
            <w:pPr>
              <w:rPr>
                <w:lang w:eastAsia="en-US"/>
              </w:rPr>
            </w:pPr>
            <w:r>
              <w:rPr>
                <w:rFonts w:eastAsiaTheme="minorHAnsi"/>
                <w:b/>
                <w:lang w:eastAsia="en-US"/>
              </w:rPr>
              <w:t xml:space="preserve">Optional: </w:t>
            </w:r>
            <w:r>
              <w:rPr>
                <w:rFonts w:eastAsiaTheme="minorHAnsi"/>
                <w:lang w:eastAsia="en-US"/>
              </w:rPr>
              <w:t xml:space="preserve"> </w:t>
            </w:r>
            <w:r w:rsidR="00E8578D" w:rsidRPr="00B04A16">
              <w:rPr>
                <w:lang w:eastAsia="en-US"/>
              </w:rPr>
              <w:t>Configuration Manager</w:t>
            </w:r>
            <w:r w:rsidR="00E8578D">
              <w:rPr>
                <w:rFonts w:eastAsiaTheme="minorHAnsi"/>
                <w:lang w:eastAsia="en-US"/>
              </w:rPr>
              <w:t xml:space="preserve"> deployments within Azure can optionally contain a dedicated primary site. This may depend on the on-premises infrastructure, the scale of the Azure environment to be deployed, and the location of the Azure region in respect to the on-premises environments.</w:t>
            </w:r>
          </w:p>
        </w:tc>
      </w:tr>
    </w:tbl>
    <w:p w14:paraId="4A6389C5" w14:textId="77777777" w:rsidR="001C1DA6" w:rsidRDefault="001C1DA6" w:rsidP="001C1DA6"/>
    <w:tbl>
      <w:tblPr>
        <w:tblW w:w="0" w:type="auto"/>
        <w:tblBorders>
          <w:top w:val="single" w:sz="4" w:space="0" w:color="008AC8"/>
          <w:bottom w:val="single" w:sz="4" w:space="0" w:color="008AC8"/>
          <w:insideH w:val="single" w:sz="4" w:space="0" w:color="008AC8"/>
        </w:tblBorders>
        <w:tblLook w:val="04A0" w:firstRow="1" w:lastRow="0" w:firstColumn="1" w:lastColumn="0" w:noHBand="0" w:noVBand="1"/>
      </w:tblPr>
      <w:tblGrid>
        <w:gridCol w:w="9360"/>
      </w:tblGrid>
      <w:tr w:rsidR="001C1DA6" w14:paraId="5C8AD69C" w14:textId="77777777" w:rsidTr="001C1DA6">
        <w:tc>
          <w:tcPr>
            <w:tcW w:w="9360" w:type="dxa"/>
            <w:shd w:val="clear" w:color="auto" w:fill="008AC8"/>
          </w:tcPr>
          <w:p w14:paraId="67A914AB" w14:textId="77777777" w:rsidR="001C1DA6" w:rsidRPr="00F47607" w:rsidRDefault="001C1DA6" w:rsidP="001C1DA6">
            <w:pPr>
              <w:spacing w:line="240" w:lineRule="auto"/>
              <w:rPr>
                <w:color w:val="FFFFFF"/>
              </w:rPr>
            </w:pPr>
            <w:r>
              <w:rPr>
                <w:color w:val="FFFFFF"/>
              </w:rPr>
              <w:t>Design Guidance</w:t>
            </w:r>
          </w:p>
        </w:tc>
      </w:tr>
    </w:tbl>
    <w:bookmarkEnd w:id="7732"/>
    <w:bookmarkEnd w:id="7733"/>
    <w:bookmarkEnd w:id="7734"/>
    <w:p w14:paraId="0E59AF79" w14:textId="77777777" w:rsidR="00E8578D" w:rsidRDefault="00E8578D" w:rsidP="00E8578D">
      <w:r>
        <w:t xml:space="preserve">If </w:t>
      </w:r>
      <w:r w:rsidRPr="00B04A16">
        <w:t>Configuration Manager</w:t>
      </w:r>
      <w:r>
        <w:t xml:space="preserve"> is going to be used, we recommend that you leverage an existing </w:t>
      </w:r>
      <w:r w:rsidRPr="00B04A16">
        <w:t xml:space="preserve">Configuration Manager </w:t>
      </w:r>
      <w:r>
        <w:t xml:space="preserve">infrastructure, if available. The </w:t>
      </w:r>
      <w:r w:rsidRPr="00B04A16">
        <w:t xml:space="preserve">Configuration Manager </w:t>
      </w:r>
      <w:r>
        <w:t xml:space="preserve">architecture (such as primary sites and distribution points) can be an involved and generally a separate engagement beyond an Azure scope of work. </w:t>
      </w:r>
    </w:p>
    <w:p w14:paraId="21AD69DC" w14:textId="77777777" w:rsidR="00E8578D" w:rsidRDefault="00E8578D" w:rsidP="00E8578D">
      <w:r>
        <w:t>By using an existing Configuration Manager infrastructure, consider the anticipated size of the Azure deployment. If the scale is large enough, consider using a dedicated primary site to service Azure virtual machines.</w:t>
      </w:r>
    </w:p>
    <w:p w14:paraId="14C2D98B" w14:textId="77777777" w:rsidR="00E8578D" w:rsidRDefault="00E8578D" w:rsidP="00E8578D">
      <w:r>
        <w:t xml:space="preserve">A key input to the architecture of Configuration Manager is the networking topology. If Azure virtual machines are directly exposed to the Internet via Azure networking, cloud distribution points should be used to deliver content to virtual machines, and Microsoft updates can be downloaded directly from Microsoft Update. </w:t>
      </w:r>
    </w:p>
    <w:p w14:paraId="12205AF4" w14:textId="3E729F9D" w:rsidR="00E8578D" w:rsidRDefault="00E8578D" w:rsidP="00E8578D">
      <w:r>
        <w:t>Configuration Manager</w:t>
      </w:r>
      <w:r w:rsidDel="00407B62">
        <w:t xml:space="preserve"> </w:t>
      </w:r>
      <w:r>
        <w:t>client settings can be configured in the Configuration Manager</w:t>
      </w:r>
      <w:r w:rsidDel="00407B62">
        <w:t xml:space="preserve"> </w:t>
      </w:r>
      <w:r>
        <w:t xml:space="preserve">console. If forced </w:t>
      </w:r>
      <w:r w:rsidR="00250DAC">
        <w:t xml:space="preserve">tunneling </w:t>
      </w:r>
      <w:r>
        <w:t>is enabled, consider a traditional Configuration Manager</w:t>
      </w:r>
      <w:r w:rsidDel="00407B62">
        <w:t xml:space="preserve"> </w:t>
      </w:r>
      <w:r>
        <w:t xml:space="preserve">distribution point to host content and updates. </w:t>
      </w:r>
    </w:p>
    <w:p w14:paraId="258A7D73" w14:textId="7E4DF19E" w:rsidR="00162E65" w:rsidRDefault="00E8578D" w:rsidP="00E8578D">
      <w:pPr>
        <w:jc w:val="both"/>
      </w:pPr>
      <w:r>
        <w:t>A primary consideration with either architecture should be the network bandwidth between the on-premises infrastructure and Azure. Solutions should be architected to minimize the use of this limited bandwidth for patching and maintenance purposes.</w:t>
      </w:r>
    </w:p>
    <w:p w14:paraId="4BA34602" w14:textId="5D0D0294" w:rsidR="00404639" w:rsidRDefault="00404639" w:rsidP="005729D2">
      <w:pPr>
        <w:pStyle w:val="Heading1Numbered"/>
        <w:numPr>
          <w:ilvl w:val="0"/>
          <w:numId w:val="64"/>
        </w:numPr>
      </w:pPr>
      <w:bookmarkStart w:id="7735" w:name="_Toc417934780"/>
      <w:bookmarkStart w:id="7736" w:name="_Toc417936117"/>
      <w:bookmarkStart w:id="7737" w:name="_Toc417936579"/>
      <w:bookmarkStart w:id="7738" w:name="_Toc417946995"/>
      <w:bookmarkStart w:id="7739" w:name="_Toc417947465"/>
      <w:bookmarkStart w:id="7740" w:name="_Toc417982603"/>
      <w:bookmarkStart w:id="7741" w:name="_Toc417986083"/>
      <w:bookmarkStart w:id="7742" w:name="_Toc418000747"/>
      <w:bookmarkStart w:id="7743" w:name="_Toc418003959"/>
      <w:bookmarkStart w:id="7744" w:name="_Toc418012164"/>
      <w:bookmarkStart w:id="7745" w:name="_Toc418014537"/>
      <w:bookmarkStart w:id="7746" w:name="_Toc418030182"/>
      <w:bookmarkStart w:id="7747" w:name="_Toc418037025"/>
      <w:bookmarkStart w:id="7748" w:name="_Toc418061495"/>
      <w:bookmarkStart w:id="7749" w:name="_Toc418081396"/>
      <w:bookmarkStart w:id="7750" w:name="_Toc418082023"/>
      <w:bookmarkStart w:id="7751" w:name="_Toc418083426"/>
      <w:bookmarkStart w:id="7752" w:name="_Toc418096192"/>
      <w:bookmarkStart w:id="7753" w:name="_Toc418156794"/>
      <w:bookmarkStart w:id="7754" w:name="_Toc418167711"/>
      <w:bookmarkStart w:id="7755" w:name="_Toc418185967"/>
      <w:bookmarkStart w:id="7756" w:name="_Toc422941681"/>
      <w:bookmarkStart w:id="7757" w:name="_Toc423116893"/>
      <w:bookmarkStart w:id="7758" w:name="_Toc423117926"/>
      <w:bookmarkStart w:id="7759" w:name="_Toc423117373"/>
      <w:bookmarkStart w:id="7760" w:name="_Toc431288972"/>
      <w:bookmarkStart w:id="7761" w:name="_Toc374524967"/>
      <w:bookmarkStart w:id="7762" w:name="_Toc374530415"/>
      <w:bookmarkStart w:id="7763" w:name="_Toc374530420"/>
      <w:bookmarkStart w:id="7764" w:name="_Toc380157169"/>
      <w:bookmarkStart w:id="7765" w:name="_Toc417548400"/>
      <w:bookmarkStart w:id="7766" w:name="_Toc417594643"/>
      <w:r>
        <w:t>Appendix A: Designing a Virtual Network Configuration File to Support Multiple Hop Routing</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4DA6799F" w14:textId="2902DA59" w:rsidR="002240F9" w:rsidRPr="005B76FD" w:rsidRDefault="00404639" w:rsidP="002240F9">
      <w:r>
        <w:t>It</w:t>
      </w:r>
      <w:r w:rsidR="002240F9">
        <w:t xml:space="preserve"> is possible to enable the hub and spoke or the daisy-chain approach to support multiple-hop access. This requires making changes to the default network configuration file.</w:t>
      </w:r>
    </w:p>
    <w:p w14:paraId="0694A4ED" w14:textId="77777777" w:rsidR="002240F9" w:rsidRDefault="002240F9" w:rsidP="002240F9">
      <w:r>
        <w:t>The process is as follows:</w:t>
      </w:r>
    </w:p>
    <w:p w14:paraId="0F87DB9D" w14:textId="77777777" w:rsidR="002240F9" w:rsidRDefault="002240F9" w:rsidP="005729D2">
      <w:pPr>
        <w:pStyle w:val="ListParagraph"/>
        <w:numPr>
          <w:ilvl w:val="0"/>
          <w:numId w:val="46"/>
        </w:numPr>
        <w:spacing w:before="0" w:after="160" w:line="259" w:lineRule="auto"/>
      </w:pPr>
      <w:r>
        <w:t>Establish all the DNS servers for the subscription.</w:t>
      </w:r>
    </w:p>
    <w:p w14:paraId="6A00BC65" w14:textId="77777777" w:rsidR="002240F9" w:rsidRDefault="002240F9" w:rsidP="005729D2">
      <w:pPr>
        <w:pStyle w:val="ListParagraph"/>
        <w:numPr>
          <w:ilvl w:val="0"/>
          <w:numId w:val="46"/>
        </w:numPr>
        <w:spacing w:before="0" w:after="160" w:line="259" w:lineRule="auto"/>
      </w:pPr>
      <w:r>
        <w:t>Establish all the local network site definitions for multi-hop routing.</w:t>
      </w:r>
    </w:p>
    <w:p w14:paraId="39486EE5" w14:textId="77777777" w:rsidR="002240F9" w:rsidRDefault="002240F9" w:rsidP="005729D2">
      <w:pPr>
        <w:pStyle w:val="ListParagraph"/>
        <w:numPr>
          <w:ilvl w:val="0"/>
          <w:numId w:val="46"/>
        </w:numPr>
        <w:spacing w:before="0" w:after="160" w:line="259" w:lineRule="auto"/>
      </w:pPr>
      <w:r>
        <w:t>Establish all the virtual networks for the subscription:</w:t>
      </w:r>
    </w:p>
    <w:p w14:paraId="2AD318DD" w14:textId="77777777" w:rsidR="002240F9" w:rsidRDefault="002240F9" w:rsidP="005729D2">
      <w:pPr>
        <w:pStyle w:val="ListParagraph"/>
        <w:numPr>
          <w:ilvl w:val="1"/>
          <w:numId w:val="46"/>
        </w:numPr>
        <w:spacing w:before="0" w:after="160" w:line="259" w:lineRule="auto"/>
      </w:pPr>
      <w:r>
        <w:t>Enable site-to-site connectivity for all the virtual networks that you need to interconnect.</w:t>
      </w:r>
    </w:p>
    <w:p w14:paraId="7F6DAFAC" w14:textId="77777777" w:rsidR="002240F9" w:rsidRDefault="002240F9" w:rsidP="005729D2">
      <w:pPr>
        <w:pStyle w:val="ListParagraph"/>
        <w:numPr>
          <w:ilvl w:val="1"/>
          <w:numId w:val="46"/>
        </w:numPr>
        <w:spacing w:before="0" w:after="160" w:line="259" w:lineRule="auto"/>
      </w:pPr>
      <w:r>
        <w:t>Specify the local networks that you need to connect and route to.</w:t>
      </w:r>
    </w:p>
    <w:p w14:paraId="2DF94E13" w14:textId="77777777" w:rsidR="002240F9" w:rsidRDefault="002240F9" w:rsidP="005729D2">
      <w:pPr>
        <w:pStyle w:val="ListParagraph"/>
        <w:numPr>
          <w:ilvl w:val="0"/>
          <w:numId w:val="46"/>
        </w:numPr>
        <w:spacing w:before="0" w:after="160" w:line="259" w:lineRule="auto"/>
      </w:pPr>
      <w:r>
        <w:t>Create the gateways.</w:t>
      </w:r>
    </w:p>
    <w:p w14:paraId="5034FAA7" w14:textId="77777777" w:rsidR="002240F9" w:rsidRDefault="002240F9" w:rsidP="005729D2">
      <w:pPr>
        <w:pStyle w:val="ListParagraph"/>
        <w:numPr>
          <w:ilvl w:val="0"/>
          <w:numId w:val="46"/>
        </w:numPr>
        <w:spacing w:before="0" w:after="160" w:line="259" w:lineRule="auto"/>
      </w:pPr>
      <w:r>
        <w:t>Update the network configuration with the gateway addresses.</w:t>
      </w:r>
    </w:p>
    <w:p w14:paraId="1B80CB03" w14:textId="77777777" w:rsidR="002240F9" w:rsidRDefault="002240F9" w:rsidP="005729D2">
      <w:pPr>
        <w:pStyle w:val="ListParagraph"/>
        <w:numPr>
          <w:ilvl w:val="0"/>
          <w:numId w:val="46"/>
        </w:numPr>
        <w:spacing w:before="0" w:after="160" w:line="259" w:lineRule="auto"/>
      </w:pPr>
      <w:r>
        <w:t>Establish the shared keys for each side of the gateway.</w:t>
      </w:r>
    </w:p>
    <w:p w14:paraId="36F8EC9C" w14:textId="77777777" w:rsidR="002240F9" w:rsidRPr="00142FEC" w:rsidRDefault="002240F9" w:rsidP="005729D2">
      <w:pPr>
        <w:pStyle w:val="ListParagraph"/>
        <w:numPr>
          <w:ilvl w:val="0"/>
          <w:numId w:val="46"/>
        </w:numPr>
        <w:spacing w:before="0" w:after="160" w:line="259" w:lineRule="auto"/>
      </w:pPr>
      <w:r>
        <w:t>Connect the gateways.</w:t>
      </w:r>
    </w:p>
    <w:p w14:paraId="0699F132" w14:textId="77777777" w:rsidR="002240F9" w:rsidRDefault="002240F9" w:rsidP="002240F9">
      <w:r>
        <w:t xml:space="preserve">By using a network configuration file, you must define the DNS servers, the local networks, and the virtual networks. </w:t>
      </w:r>
    </w:p>
    <w:p w14:paraId="5AC6BA71" w14:textId="77777777" w:rsidR="002240F9" w:rsidRDefault="002240F9" w:rsidP="002240F9">
      <w:r>
        <w:t>When designing the DNS server requirements, you can use DNS servers that are managed by Azure, or you can use customer-managed DNS servers. The DNS servers are added at the subscription level, assigned to each virtual network, and delivered by the DHCP server that is servicing the subnet. The customer-managed DNS servers can reside in Azure or on-premises.</w:t>
      </w:r>
    </w:p>
    <w:p w14:paraId="14EB727F" w14:textId="77777777" w:rsidR="002240F9" w:rsidRDefault="002240F9" w:rsidP="002240F9">
      <w:r>
        <w:t>When designing the local network sites for the configuration file, you must define local network sites that describe the:</w:t>
      </w:r>
    </w:p>
    <w:p w14:paraId="279425C4" w14:textId="77777777" w:rsidR="002240F9" w:rsidRDefault="002240F9" w:rsidP="005729D2">
      <w:pPr>
        <w:pStyle w:val="ListParagraph"/>
        <w:numPr>
          <w:ilvl w:val="0"/>
          <w:numId w:val="290"/>
        </w:numPr>
      </w:pPr>
      <w:r>
        <w:t xml:space="preserve">Subnet addresses of the virtual networks in Azure </w:t>
      </w:r>
    </w:p>
    <w:p w14:paraId="79798972" w14:textId="77777777" w:rsidR="002240F9" w:rsidRDefault="002240F9" w:rsidP="005729D2">
      <w:pPr>
        <w:pStyle w:val="ListParagraph"/>
        <w:numPr>
          <w:ilvl w:val="0"/>
          <w:numId w:val="290"/>
        </w:numPr>
      </w:pPr>
      <w:r>
        <w:t xml:space="preserve">Set of subnets that define the on-premises environment that you want to route to </w:t>
      </w:r>
    </w:p>
    <w:p w14:paraId="469AD1ED" w14:textId="77777777" w:rsidR="002240F9" w:rsidRDefault="002240F9" w:rsidP="005729D2">
      <w:pPr>
        <w:pStyle w:val="ListParagraph"/>
        <w:numPr>
          <w:ilvl w:val="0"/>
          <w:numId w:val="290"/>
        </w:numPr>
      </w:pPr>
      <w:r>
        <w:t>Local network site definitions for multi-hop routing between virtual networks</w:t>
      </w:r>
    </w:p>
    <w:p w14:paraId="353EFA45" w14:textId="3C744026" w:rsidR="00404639" w:rsidRDefault="002240F9" w:rsidP="002240F9">
      <w:r>
        <w:t>For example, the following image shows how to create a network configuration file that connects three virtual networks together in a daisy-chain</w:t>
      </w:r>
      <w:r w:rsidR="00404639">
        <w:t>:</w:t>
      </w:r>
    </w:p>
    <w:p w14:paraId="02A72F2E" w14:textId="12BC1F8A" w:rsidR="00305E18" w:rsidRDefault="00404639" w:rsidP="00C66023">
      <w:r>
        <w:object w:dxaOrig="5065" w:dyaOrig="985" w14:anchorId="6910FC13">
          <v:shape id="_x0000_i1040" type="#_x0000_t75" style="width:250.5pt;height:50.25pt" o:ole="">
            <v:imagedata r:id="rId657" o:title=""/>
          </v:shape>
          <o:OLEObject Type="Embed" ProgID="Visio.Drawing.15" ShapeID="_x0000_i1040" DrawAspect="Content" ObjectID="_1508841468" r:id="rId658"/>
        </w:object>
      </w:r>
    </w:p>
    <w:p w14:paraId="39676136" w14:textId="77777777" w:rsidR="002240F9" w:rsidRDefault="002240F9" w:rsidP="002240F9">
      <w:r>
        <w:t>You need to define the local network sites that correspond to each virtual network:</w:t>
      </w:r>
    </w:p>
    <w:p w14:paraId="4E0919DA" w14:textId="77777777" w:rsidR="002240F9" w:rsidRDefault="002240F9" w:rsidP="002240F9">
      <w:r>
        <w:t>Lvnet1, Lvnet2, Lvnet3</w:t>
      </w:r>
    </w:p>
    <w:p w14:paraId="4E3193BD" w14:textId="77777777" w:rsidR="002240F9" w:rsidRDefault="002240F9" w:rsidP="002240F9">
      <w:r>
        <w:t>Then define the virtual networks that you want to create:</w:t>
      </w:r>
    </w:p>
    <w:p w14:paraId="5EFDA7CE" w14:textId="77777777" w:rsidR="002240F9" w:rsidRDefault="002240F9" w:rsidP="002240F9">
      <w:r>
        <w:t>vNet1, vNet2, vNet3</w:t>
      </w:r>
    </w:p>
    <w:p w14:paraId="441B6420" w14:textId="77777777" w:rsidR="002240F9" w:rsidRDefault="002240F9" w:rsidP="002240F9">
      <w:r>
        <w:t>Now you need to create the network configuration file for the scenario where you want to connect these three virtual networks, and you want traffic to route the entire length of the daisy chain. This means that you need a dynamic routing gateway on each virtual network.</w:t>
      </w:r>
    </w:p>
    <w:p w14:paraId="739393A8" w14:textId="70565115" w:rsidR="00404639" w:rsidRDefault="002240F9" w:rsidP="002240F9">
      <w:r w:rsidRPr="00990948">
        <w:rPr>
          <w:b/>
        </w:rPr>
        <w:t>Note</w:t>
      </w:r>
      <w:r>
        <w:t>: Since you do not know the actual address of the gateways because they are not created yet, so just use placeholder addresses.</w:t>
      </w:r>
    </w:p>
    <w:p w14:paraId="029D0CD3" w14:textId="57937F83" w:rsidR="00404639" w:rsidRDefault="002240F9" w:rsidP="00404639">
      <w:r>
        <w:t>First, define the DNS servers:</w:t>
      </w:r>
    </w:p>
    <w:p w14:paraId="5E019E3E" w14:textId="60A41536"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&lt;Dns&gt;</w:t>
      </w:r>
    </w:p>
    <w:p w14:paraId="7F209513"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&lt;DnsServers&gt;</w:t>
      </w:r>
    </w:p>
    <w:p w14:paraId="200407F8"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&lt;DnsServer name="DNS1" IPAddress="10.0.0.4" /&gt;</w:t>
      </w:r>
    </w:p>
    <w:p w14:paraId="55B2778E"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&lt;DnsServer name="DNS2" IPAddress="10.0.0.5" /&gt;</w:t>
      </w:r>
    </w:p>
    <w:p w14:paraId="3AA160D9"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&lt;/DnsServers&gt;</w:t>
      </w:r>
    </w:p>
    <w:p w14:paraId="5C0D2BA3"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&lt;/Dns&gt;</w:t>
      </w:r>
    </w:p>
    <w:p w14:paraId="004FFF02" w14:textId="4FF01502" w:rsidR="00404639" w:rsidRDefault="002240F9" w:rsidP="00404639">
      <w:r>
        <w:t>Then define the local networks lvnet1, lvnet2, lvnet3 with placeholder gateway addresses:</w:t>
      </w:r>
    </w:p>
    <w:p w14:paraId="17F6ADB2"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&lt;LocalNetworkSites&gt;</w:t>
      </w:r>
    </w:p>
    <w:p w14:paraId="6D724175"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&lt;LocalNetworkSite name="lvnet1"&gt;</w:t>
      </w:r>
    </w:p>
    <w:p w14:paraId="53460BC3"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&lt;AddressSpace&gt;</w:t>
      </w:r>
    </w:p>
    <w:p w14:paraId="413E1739"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&lt;AddressPrefix&gt;10.1.0.0/16&lt;/AddressPrefix&gt;</w:t>
      </w:r>
    </w:p>
    <w:p w14:paraId="060DC851"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&lt;/AddressSpace&gt;</w:t>
      </w:r>
    </w:p>
    <w:p w14:paraId="59CA8066"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&lt;VPNGatewayAddress&gt;1.1.1.1&lt;/VPNGatewayAddress&gt;</w:t>
      </w:r>
    </w:p>
    <w:p w14:paraId="48ACB301"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&lt;/LocalNetworkSite&gt;</w:t>
      </w:r>
    </w:p>
    <w:p w14:paraId="245C010F"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&lt;LocalNetworkSite name="lvnet2"&gt;</w:t>
      </w:r>
    </w:p>
    <w:p w14:paraId="78A1722A"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&lt;AddressSpace&gt;</w:t>
      </w:r>
    </w:p>
    <w:p w14:paraId="64A5ADAA"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&lt;AddressPrefix&gt;10.2.0.0/16&lt;/AddressPrefix&gt;</w:t>
      </w:r>
    </w:p>
    <w:p w14:paraId="43044F10"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&lt;/AddressSpace&gt;</w:t>
      </w:r>
    </w:p>
    <w:p w14:paraId="1759FFC4"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&lt;VPNGatewayAddress&gt;2.2.2.2&lt;/VPNGatewayAddress&gt;</w:t>
      </w:r>
    </w:p>
    <w:p w14:paraId="72B5CBB4"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&lt;/LocalNetworkSite&gt;</w:t>
      </w:r>
    </w:p>
    <w:p w14:paraId="4354BFDC"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&lt;LocalNetworkSite name="lvnet3"&gt;</w:t>
      </w:r>
    </w:p>
    <w:p w14:paraId="25514459"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&lt;AddressSpace&gt;</w:t>
      </w:r>
    </w:p>
    <w:p w14:paraId="39B7D39D"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&lt;AddressPrefix&gt;10.3.0.0/16&lt;/AddressPrefix&gt;</w:t>
      </w:r>
    </w:p>
    <w:p w14:paraId="5C3DFA3C"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&lt;/AddressSpace&gt;</w:t>
      </w:r>
    </w:p>
    <w:p w14:paraId="50B5C595"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&lt;VPNGatewayAddress&gt;3.3.3.3&lt;/VPNGatewayAddress&gt;</w:t>
      </w:r>
    </w:p>
    <w:p w14:paraId="6869D3A5"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&lt;/LocalNetworkSite&gt;</w:t>
      </w:r>
    </w:p>
    <w:p w14:paraId="3EE95E12"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xml:space="preserve">    &lt;/LocalNetworkSites&gt;</w:t>
      </w:r>
    </w:p>
    <w:p w14:paraId="19CABF6B" w14:textId="77777777" w:rsidR="00404639" w:rsidRDefault="00404639" w:rsidP="00404639"/>
    <w:p w14:paraId="6DC799F2" w14:textId="77777777" w:rsidR="002240F9" w:rsidRDefault="002240F9" w:rsidP="002240F9">
      <w:r>
        <w:t>Then define the virtual networks, vNet1, vNet2, vNet3. You need to know the following details:</w:t>
      </w:r>
    </w:p>
    <w:p w14:paraId="1D69BCDF" w14:textId="77777777" w:rsidR="002240F9" w:rsidRDefault="002240F9" w:rsidP="005729D2">
      <w:pPr>
        <w:pStyle w:val="ListParagraph"/>
        <w:numPr>
          <w:ilvl w:val="0"/>
          <w:numId w:val="47"/>
        </w:numPr>
        <w:spacing w:before="0" w:after="160" w:line="259" w:lineRule="auto"/>
      </w:pPr>
      <w:r>
        <w:t>The regional location where you want the virtual network placed</w:t>
      </w:r>
    </w:p>
    <w:p w14:paraId="7C7F81DD" w14:textId="77777777" w:rsidR="002240F9" w:rsidRDefault="002240F9" w:rsidP="005729D2">
      <w:pPr>
        <w:pStyle w:val="ListParagraph"/>
        <w:numPr>
          <w:ilvl w:val="0"/>
          <w:numId w:val="47"/>
        </w:numPr>
        <w:spacing w:before="0" w:after="160" w:line="259" w:lineRule="auto"/>
      </w:pPr>
      <w:r>
        <w:t xml:space="preserve">The available address space </w:t>
      </w:r>
    </w:p>
    <w:p w14:paraId="42A5E6BC" w14:textId="77777777" w:rsidR="002240F9" w:rsidRDefault="002240F9" w:rsidP="005729D2">
      <w:pPr>
        <w:pStyle w:val="ListParagraph"/>
        <w:numPr>
          <w:ilvl w:val="0"/>
          <w:numId w:val="47"/>
        </w:numPr>
        <w:spacing w:before="0" w:after="160" w:line="259" w:lineRule="auto"/>
      </w:pPr>
      <w:r>
        <w:t>Subnets to break down the address space (minimum of one)</w:t>
      </w:r>
    </w:p>
    <w:p w14:paraId="7191800D" w14:textId="77777777" w:rsidR="002240F9" w:rsidRDefault="002240F9" w:rsidP="005729D2">
      <w:pPr>
        <w:pStyle w:val="ListParagraph"/>
        <w:numPr>
          <w:ilvl w:val="0"/>
          <w:numId w:val="47"/>
        </w:numPr>
        <w:spacing w:before="0" w:after="160" w:line="259" w:lineRule="auto"/>
      </w:pPr>
      <w:r>
        <w:t>The subnets for the gateways to be placed</w:t>
      </w:r>
    </w:p>
    <w:p w14:paraId="75EA770B" w14:textId="77777777" w:rsidR="002240F9" w:rsidRDefault="002240F9" w:rsidP="005729D2">
      <w:pPr>
        <w:pStyle w:val="ListParagraph"/>
        <w:numPr>
          <w:ilvl w:val="0"/>
          <w:numId w:val="47"/>
        </w:numPr>
        <w:spacing w:before="0" w:after="160" w:line="259" w:lineRule="auto"/>
      </w:pPr>
      <w:r>
        <w:t>Local network names where you want to enable routing</w:t>
      </w:r>
    </w:p>
    <w:p w14:paraId="3EE5D8CF" w14:textId="77777777" w:rsidR="002240F9" w:rsidRDefault="002240F9" w:rsidP="002240F9">
      <w:r>
        <w:t xml:space="preserve">To define the local network sites that specify the routing, create a single local network site definition that traverses multiple subnets. Instead of defining lvnet1, lvnet2, lvnet3, and specifying multiple local network sites in the virtual network definition, you define “transitive” local network site definitions and specify those in the virtual network definition. </w:t>
      </w:r>
    </w:p>
    <w:p w14:paraId="3D54F8B0" w14:textId="12BB41C3" w:rsidR="00404639" w:rsidRDefault="002240F9" w:rsidP="002240F9">
      <w:r>
        <w:t xml:space="preserve">To allow routing from vNet1 to vNet3, you would define a single local network site definition called </w:t>
      </w:r>
      <w:r w:rsidRPr="00990948">
        <w:rPr>
          <w:b/>
        </w:rPr>
        <w:t>lvnet2-3</w:t>
      </w:r>
      <w:r>
        <w:t xml:space="preserve"> and place the address spaces (that you want to get to on the other side of the gateway) for vNet2 and vNet3 in the single definition, for example:</w:t>
      </w:r>
    </w:p>
    <w:p w14:paraId="7FD54602"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&lt;LocalNetworkSite name="lvnet2-3"&gt;</w:t>
      </w:r>
    </w:p>
    <w:p w14:paraId="33EBC545"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&lt;AddressSpace&gt;</w:t>
      </w:r>
    </w:p>
    <w:p w14:paraId="76FBBC5C"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&lt;AddressPrefix&gt;10.2.0.0/16&lt;/AddressPrefix&gt;</w:t>
      </w:r>
    </w:p>
    <w:p w14:paraId="3275FC86"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&lt;AddressPrefix&gt;10.3.0.0/16&lt;/AddressPrefix&gt;</w:t>
      </w:r>
    </w:p>
    <w:p w14:paraId="7365781E"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&lt;/AddressSpace&gt;</w:t>
      </w:r>
    </w:p>
    <w:p w14:paraId="16BE1621"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&lt;VPNGatewayAddress&gt;138.91.18.148&lt;/VPNGatewayAddress&gt;</w:t>
      </w:r>
    </w:p>
    <w:p w14:paraId="1563B3F3"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&lt;/LocalNetworkSite&gt;</w:t>
      </w:r>
    </w:p>
    <w:p w14:paraId="2CFB4174" w14:textId="2A11821A" w:rsidR="00404639" w:rsidRDefault="002240F9" w:rsidP="00404639">
      <w:r>
        <w:t>You would define the opposite local network site definition to allow routing from vNet3 to vNet1 and vNet2 to vNet1, and specify the additional vNet1 address space:</w:t>
      </w:r>
    </w:p>
    <w:p w14:paraId="3E0AC041"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&lt;LocalNetworkSite name="lvnet2-1"&gt;</w:t>
      </w:r>
    </w:p>
    <w:p w14:paraId="3D7E5189"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&lt;AddressSpace&gt;</w:t>
      </w:r>
    </w:p>
    <w:p w14:paraId="320AB908"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&lt;AddressPrefix&gt;10.2.0.0/16&lt;/AddressPrefix&gt;</w:t>
      </w:r>
    </w:p>
    <w:p w14:paraId="60692D97"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&lt;AddressPrefix&gt;10.1.0.0/16&lt;/AddressPrefix&gt;</w:t>
      </w:r>
    </w:p>
    <w:p w14:paraId="3E06D0D9"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&lt;/AddressSpace&gt;</w:t>
      </w:r>
    </w:p>
    <w:p w14:paraId="2686EA41"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&lt;VPNGatewayAddress&gt;138.91.18.148&lt;/VPNGatewayAddress&gt;</w:t>
      </w:r>
    </w:p>
    <w:p w14:paraId="20D575CA" w14:textId="77777777" w:rsidR="00404639" w:rsidRPr="00404639" w:rsidRDefault="00404639" w:rsidP="00404639">
      <w:pPr>
        <w:spacing w:before="0" w:after="0"/>
        <w:rPr>
          <w:rFonts w:ascii="Consolas" w:hAnsi="Consolas" w:cs="Consolas"/>
          <w:sz w:val="18"/>
          <w:szCs w:val="18"/>
        </w:rPr>
      </w:pPr>
      <w:r w:rsidRPr="00404639">
        <w:rPr>
          <w:rFonts w:ascii="Consolas" w:hAnsi="Consolas" w:cs="Consolas"/>
          <w:sz w:val="18"/>
          <w:szCs w:val="18"/>
        </w:rPr>
        <w:t>      &lt;/LocalNetworkSite&gt;</w:t>
      </w:r>
    </w:p>
    <w:p w14:paraId="3814865F" w14:textId="56DE7D81" w:rsidR="00404639" w:rsidRDefault="002240F9" w:rsidP="00404639">
      <w:r>
        <w:t>For the vNet1 virtual network definition, you would specify the local network site that allowed the routing path through the gateway that you want to traverse lvnet2-3:</w:t>
      </w:r>
    </w:p>
    <w:p w14:paraId="0673C900"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&lt;VirtualNetworkSite name="vnet1" Location="EAST US"&gt;</w:t>
      </w:r>
    </w:p>
    <w:p w14:paraId="22F2BA5A"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&lt;AddressSpace&gt;</w:t>
      </w:r>
    </w:p>
    <w:p w14:paraId="54E3CEC2"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&lt;AddressPrefix&gt;10.1.0.0/16&lt;/AddressPrefix&gt;</w:t>
      </w:r>
    </w:p>
    <w:p w14:paraId="427FCDEE"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&lt;/AddressSpace&gt;</w:t>
      </w:r>
    </w:p>
    <w:p w14:paraId="3C0BFB0D"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&lt;Subnets&gt;</w:t>
      </w:r>
    </w:p>
    <w:p w14:paraId="32AB0887"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&lt;Subnet name="Subnet-1"&gt;</w:t>
      </w:r>
    </w:p>
    <w:p w14:paraId="6672DE9C"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&lt;AddressPrefix&gt;10.1.0.0/19&lt;/AddressPrefix&gt;</w:t>
      </w:r>
    </w:p>
    <w:p w14:paraId="5FD2F005"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&lt;/Subnet&gt;</w:t>
      </w:r>
    </w:p>
    <w:p w14:paraId="3A4ED87E"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&lt;Subnet name="GatewaySubnet"&gt;</w:t>
      </w:r>
    </w:p>
    <w:p w14:paraId="7DD42A18"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&lt;AddressPrefix&gt;10.1.32.0/29&lt;/AddressPrefix&gt;</w:t>
      </w:r>
    </w:p>
    <w:p w14:paraId="4F5FD021"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&lt;/Subnet&gt;</w:t>
      </w:r>
    </w:p>
    <w:p w14:paraId="29C0741B"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&lt;/Subnets&gt;</w:t>
      </w:r>
    </w:p>
    <w:p w14:paraId="5732FBC9"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&lt;Gateway&gt;</w:t>
      </w:r>
    </w:p>
    <w:p w14:paraId="59F22EE7"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&lt;ConnectionsToLocalNetwork&gt;</w:t>
      </w:r>
    </w:p>
    <w:p w14:paraId="3AFE2870"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&lt;LocalNetworkSiteRef name="lvnet2-3"&gt;</w:t>
      </w:r>
    </w:p>
    <w:p w14:paraId="43622655"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&lt;Connection type="IPsec" /&gt;</w:t>
      </w:r>
    </w:p>
    <w:p w14:paraId="276555F5"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&lt;/LocalNetworkSiteRef&gt;</w:t>
      </w:r>
    </w:p>
    <w:p w14:paraId="759F71FD"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&lt;/ConnectionsToLocalNetwork&gt;</w:t>
      </w:r>
    </w:p>
    <w:p w14:paraId="00E4FCE3"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&lt;/Gateway&gt;</w:t>
      </w:r>
    </w:p>
    <w:p w14:paraId="6BC63B3F"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&lt;/VirtualNetworkSite&gt;</w:t>
      </w:r>
    </w:p>
    <w:p w14:paraId="209A99A8" w14:textId="77777777" w:rsidR="002240F9" w:rsidRDefault="002240F9" w:rsidP="002240F9">
      <w:r>
        <w:t>For vNet3, specify the lvnet2-1 local network site definition.</w:t>
      </w:r>
    </w:p>
    <w:p w14:paraId="428FE252" w14:textId="660581CB" w:rsidR="00404639" w:rsidRDefault="002240F9" w:rsidP="002240F9">
      <w:r>
        <w:t>For vNet2, specify the local network sites you want to route to (going both directions) as separate single-hop definitions:</w:t>
      </w:r>
    </w:p>
    <w:p w14:paraId="24EA2BDF" w14:textId="77777777" w:rsidR="00404639" w:rsidRPr="00404639" w:rsidRDefault="00404639" w:rsidP="00404639">
      <w:pPr>
        <w:spacing w:before="0" w:after="0"/>
        <w:ind w:left="720"/>
        <w:rPr>
          <w:rFonts w:ascii="Consolas" w:hAnsi="Consolas" w:cs="Consolas"/>
          <w:sz w:val="18"/>
          <w:szCs w:val="18"/>
        </w:rPr>
      </w:pPr>
      <w:r w:rsidRPr="00F36A55">
        <w:rPr>
          <w:rFonts w:ascii="Courier New" w:hAnsi="Courier New" w:cs="Courier New"/>
          <w:sz w:val="18"/>
        </w:rPr>
        <w:t xml:space="preserve">      </w:t>
      </w:r>
      <w:r w:rsidRPr="00404639">
        <w:rPr>
          <w:rFonts w:ascii="Consolas" w:hAnsi="Consolas" w:cs="Consolas"/>
          <w:sz w:val="18"/>
          <w:szCs w:val="18"/>
        </w:rPr>
        <w:t>&lt;VirtualNetworkSite name="vnet2" Location="EAST US"&gt;</w:t>
      </w:r>
    </w:p>
    <w:p w14:paraId="46A1D9CF"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&lt;AddressSpace&gt;</w:t>
      </w:r>
    </w:p>
    <w:p w14:paraId="4A2DC532"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&lt;AddressPrefix&gt;10.2.0.0/16&lt;/AddressPrefix&gt;</w:t>
      </w:r>
    </w:p>
    <w:p w14:paraId="58F2F7B0"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&lt;/AddressSpace&gt;</w:t>
      </w:r>
    </w:p>
    <w:p w14:paraId="7C1503AF"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&lt;Subnets&gt;</w:t>
      </w:r>
    </w:p>
    <w:p w14:paraId="4D3B4E3A"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 name="Subnet-1"&gt;</w:t>
      </w:r>
    </w:p>
    <w:p w14:paraId="7734F86F"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&lt;AddressPrefix&gt;10.2.0.0/19&lt;/AddressPrefix&gt;</w:t>
      </w:r>
    </w:p>
    <w:p w14:paraId="462BB3B5"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&lt;/Subnet&gt;</w:t>
      </w:r>
    </w:p>
    <w:p w14:paraId="159A0A7D"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 name="GatewaySubnet"&gt;</w:t>
      </w:r>
    </w:p>
    <w:p w14:paraId="519107D2"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&lt;AddressPrefix&gt;10.2.32.0/29&lt;/AddressPrefix&gt;</w:t>
      </w:r>
    </w:p>
    <w:p w14:paraId="43E5D5C9"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&lt;/Subnet&gt;</w:t>
      </w:r>
    </w:p>
    <w:p w14:paraId="63475955"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&lt;/Subnets&gt;</w:t>
      </w:r>
    </w:p>
    <w:p w14:paraId="433AFF80"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&lt;Gateway&gt;</w:t>
      </w:r>
    </w:p>
    <w:p w14:paraId="4968A160"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&lt;ConnectionsToLocalNetwork&gt;</w:t>
      </w:r>
    </w:p>
    <w:p w14:paraId="4E03AB7A"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&lt;LocalNetworkSiteRef name="lvnet1"&gt;</w:t>
      </w:r>
    </w:p>
    <w:p w14:paraId="7DD64BB9"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&lt;Connection type="IPsec" /&gt;</w:t>
      </w:r>
    </w:p>
    <w:p w14:paraId="2123E155"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&lt;/LocalNetworkSiteRef&gt;</w:t>
      </w:r>
    </w:p>
    <w:p w14:paraId="78884DB8"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&lt;LocalNetworkSiteRef name="lvnet3"&gt;</w:t>
      </w:r>
    </w:p>
    <w:p w14:paraId="201A95DD"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&lt;Connection type="IPsec" /&gt;</w:t>
      </w:r>
    </w:p>
    <w:p w14:paraId="36F4093E"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&lt;/LocalNetworkSiteRef&gt;</w:t>
      </w:r>
    </w:p>
    <w:p w14:paraId="4B134DB7"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&lt;/ConnectionsToLocalNetwork&gt;</w:t>
      </w:r>
    </w:p>
    <w:p w14:paraId="3E99362E" w14:textId="77777777" w:rsidR="00404639" w:rsidRPr="00404639" w:rsidRDefault="00404639" w:rsidP="00404639">
      <w:pPr>
        <w:spacing w:before="0" w:after="0"/>
        <w:ind w:left="720"/>
        <w:rPr>
          <w:rFonts w:ascii="Consolas" w:hAnsi="Consolas" w:cs="Consolas"/>
          <w:sz w:val="18"/>
          <w:szCs w:val="18"/>
        </w:rPr>
      </w:pPr>
    </w:p>
    <w:p w14:paraId="0A8D1882" w14:textId="23CE317D" w:rsidR="002240F9" w:rsidRDefault="002240F9" w:rsidP="00404639">
      <w:pPr>
        <w:spacing w:before="0" w:after="0"/>
        <w:ind w:left="720"/>
        <w:rPr>
          <w:rFonts w:ascii="Consolas" w:hAnsi="Consolas" w:cs="Consolas"/>
          <w:sz w:val="18"/>
          <w:szCs w:val="18"/>
        </w:rPr>
      </w:pPr>
      <w:r>
        <w:t>By u</w:t>
      </w:r>
      <w:r w:rsidRPr="00F17AA4">
        <w:t>sing this approach with local network site definitions that specify the routing subnets, the network configuration file for the vNet1&lt;-&gt;vNet2&lt;-&gt;vNet3 daisy chain configuration would look like</w:t>
      </w:r>
      <w:r>
        <w:t xml:space="preserve"> this:</w:t>
      </w:r>
    </w:p>
    <w:p w14:paraId="2A19436E" w14:textId="77777777" w:rsidR="002240F9" w:rsidRPr="00404639" w:rsidRDefault="002240F9" w:rsidP="00404639">
      <w:pPr>
        <w:spacing w:before="0" w:after="0"/>
        <w:ind w:left="720"/>
        <w:rPr>
          <w:rFonts w:ascii="Consolas" w:hAnsi="Consolas" w:cs="Consolas"/>
          <w:sz w:val="18"/>
          <w:szCs w:val="18"/>
        </w:rPr>
      </w:pPr>
    </w:p>
    <w:p w14:paraId="6A865798"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&lt;NetworkConfiguration xmlns:xsd="http://www.w3.org/2001/XMLSchema" xmlns:xsi="http://www.w3.org/2001/XMLSchema-instance" xmlns="http://schemas.microsoft.com/ServiceHosting/2011/07/NetworkConfiguration"&gt;</w:t>
      </w:r>
    </w:p>
    <w:p w14:paraId="3EDB4F77"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&lt;VirtualNetworkConfiguration&gt;</w:t>
      </w:r>
    </w:p>
    <w:p w14:paraId="7E845B9F"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&lt;Dns&gt;</w:t>
      </w:r>
    </w:p>
    <w:p w14:paraId="36BBE955"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&lt;DnsServers&gt;</w:t>
      </w:r>
    </w:p>
    <w:p w14:paraId="61F34468"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&lt;DnsServer name="DNS1" IPAddress="10.0.0.4" /&gt;</w:t>
      </w:r>
    </w:p>
    <w:p w14:paraId="4C944483"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&lt;DnsServer name="DNS2" IPAddress="10.0.0.5" /&gt;</w:t>
      </w:r>
    </w:p>
    <w:p w14:paraId="6F1543A8"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&lt;/DnsServers&gt;</w:t>
      </w:r>
    </w:p>
    <w:p w14:paraId="1DD17DB8"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&lt;/Dns&gt;</w:t>
      </w:r>
    </w:p>
    <w:p w14:paraId="08D0AEB9"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&lt;LocalNetworkSites&gt;</w:t>
      </w:r>
    </w:p>
    <w:p w14:paraId="48CBAF7F"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&lt;LocalNetworkSite name="lvnet1"&gt;</w:t>
      </w:r>
    </w:p>
    <w:p w14:paraId="49186F22"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&lt;AddressSpace&gt;</w:t>
      </w:r>
    </w:p>
    <w:p w14:paraId="496C3694"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&lt;AddressPrefix&gt;10.1.0.0/16&lt;/AddressPrefix&gt;</w:t>
      </w:r>
    </w:p>
    <w:p w14:paraId="5776B3B1"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&lt;/AddressSpace&gt;</w:t>
      </w:r>
    </w:p>
    <w:p w14:paraId="7FD864AA"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&lt;VPNGatewayAddress&gt;138.91.10.68&lt;/VPNGatewayAddress&gt;</w:t>
      </w:r>
    </w:p>
    <w:p w14:paraId="2B9AC605"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&lt;/LocalNetworkSite&gt;</w:t>
      </w:r>
    </w:p>
    <w:p w14:paraId="6BAB75D2"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&lt;LocalNetworkSite name="lvnet2-3"&gt;</w:t>
      </w:r>
    </w:p>
    <w:p w14:paraId="2BD3E87C"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&lt;AddressSpace&gt;</w:t>
      </w:r>
    </w:p>
    <w:p w14:paraId="7B8AA5CD"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&lt;AddressPrefix&gt;10.2.0.0/16&lt;/AddressPrefix&gt;</w:t>
      </w:r>
    </w:p>
    <w:p w14:paraId="110791A0"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&lt;AddressPrefix&gt;10.3.0.0/16&lt;/AddressPrefix&gt;</w:t>
      </w:r>
    </w:p>
    <w:p w14:paraId="6A6A6D2E"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&lt;/AddressSpace&gt;</w:t>
      </w:r>
    </w:p>
    <w:p w14:paraId="0FEB778C"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&lt;VPNGatewayAddress&gt;138.91.18.148&lt;/VPNGatewayAddress&gt;</w:t>
      </w:r>
    </w:p>
    <w:p w14:paraId="5755F6AC"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&lt;/LocalNetworkSite&gt;</w:t>
      </w:r>
    </w:p>
    <w:p w14:paraId="17E502E6"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&lt;LocalNetworkSite name="lvnet2-1"&gt;</w:t>
      </w:r>
    </w:p>
    <w:p w14:paraId="47ACDFEF"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&lt;AddressSpace&gt;</w:t>
      </w:r>
    </w:p>
    <w:p w14:paraId="4E17BE5F"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&lt;AddressPrefix&gt;10.1.0.0/16&lt;/AddressPrefix&gt;</w:t>
      </w:r>
    </w:p>
    <w:p w14:paraId="7FEF2796"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&lt;AddressPrefix&gt;10.2.0.0/16&lt;/AddressPrefix&gt;</w:t>
      </w:r>
    </w:p>
    <w:p w14:paraId="14CEA6F9"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&lt;/AddressSpace&gt;</w:t>
      </w:r>
    </w:p>
    <w:p w14:paraId="56E84D23"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&lt;VPNGatewayAddress&gt;138.91.18.148&lt;/VPNGatewayAddress&gt;</w:t>
      </w:r>
    </w:p>
    <w:p w14:paraId="28E417C6"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&lt;/LocalNetworkSite&gt;</w:t>
      </w:r>
    </w:p>
    <w:p w14:paraId="5170DB86"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&lt;LocalNetworkSite name="lvnet3"&gt;</w:t>
      </w:r>
    </w:p>
    <w:p w14:paraId="71A2804A"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&lt;AddressSpace&gt;</w:t>
      </w:r>
    </w:p>
    <w:p w14:paraId="02208435"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&lt;AddressPrefix&gt;10.3.0.0/16&lt;/AddressPrefix&gt;</w:t>
      </w:r>
    </w:p>
    <w:p w14:paraId="347C9955"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&lt;/AddressSpace&gt;</w:t>
      </w:r>
    </w:p>
    <w:p w14:paraId="2B130E93"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&lt;VPNGatewayAddress&gt;138.91.18.174&lt;/VPNGatewayAddress&gt;</w:t>
      </w:r>
    </w:p>
    <w:p w14:paraId="1522ECD4"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&lt;/LocalNetworkSite&gt;</w:t>
      </w:r>
    </w:p>
    <w:p w14:paraId="77E4492B"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&lt;/LocalNetworkSites&gt;</w:t>
      </w:r>
    </w:p>
    <w:p w14:paraId="0BD7F3C1"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&lt;VirtualNetworkSites&gt;</w:t>
      </w:r>
    </w:p>
    <w:p w14:paraId="76AEF3C6"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&lt;VirtualNetworkSite name="vnet1" Location="EAST US"&gt;</w:t>
      </w:r>
    </w:p>
    <w:p w14:paraId="30CAE9C4"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&lt;AddressSpace&gt;</w:t>
      </w:r>
    </w:p>
    <w:p w14:paraId="7376E156"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&lt;AddressPrefix&gt;10.1.0.0/16&lt;/AddressPrefix&gt;</w:t>
      </w:r>
    </w:p>
    <w:p w14:paraId="32AF97FB"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&lt;/AddressSpace&gt;</w:t>
      </w:r>
    </w:p>
    <w:p w14:paraId="156635DA"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&lt;Subnets&gt;</w:t>
      </w:r>
    </w:p>
    <w:p w14:paraId="0D2CB27B"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 name="Subnet-1"&gt;</w:t>
      </w:r>
    </w:p>
    <w:p w14:paraId="06C7DAB3"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&lt;AddressPrefix&gt;10.1.0.0/19&lt;/AddressPrefix&gt;</w:t>
      </w:r>
    </w:p>
    <w:p w14:paraId="3C1DB97A"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&lt;/Subnet&gt;</w:t>
      </w:r>
    </w:p>
    <w:p w14:paraId="5B615CDA"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 name="GatewaySubnet"&gt;</w:t>
      </w:r>
    </w:p>
    <w:p w14:paraId="413407BD"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&lt;AddressPrefix&gt;10.1.32.0/29&lt;/AddressPrefix&gt;</w:t>
      </w:r>
    </w:p>
    <w:p w14:paraId="0419B0C2"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&lt;/Subnet&gt;</w:t>
      </w:r>
    </w:p>
    <w:p w14:paraId="689EC6CF"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&lt;/Subnets&gt;</w:t>
      </w:r>
    </w:p>
    <w:p w14:paraId="2E3DE637"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&lt;Gateway&gt;</w:t>
      </w:r>
    </w:p>
    <w:p w14:paraId="17B59EDB"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&lt;ConnectionsToLocalNetwork&gt;</w:t>
      </w:r>
    </w:p>
    <w:p w14:paraId="2D9BE6FD"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&lt;LocalNetworkSiteRef name="lvnet2-3"&gt;</w:t>
      </w:r>
    </w:p>
    <w:p w14:paraId="50F950ED"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&lt;Connection type="IPsec" /&gt;</w:t>
      </w:r>
    </w:p>
    <w:p w14:paraId="07A265D9"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&lt;/LocalNetworkSiteRef&gt;</w:t>
      </w:r>
    </w:p>
    <w:p w14:paraId="7C29EFD3"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&lt;/ConnectionsToLocalNetwork&gt;</w:t>
      </w:r>
    </w:p>
    <w:p w14:paraId="6FE2621E"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&lt;/Gateway&gt;</w:t>
      </w:r>
    </w:p>
    <w:p w14:paraId="5ADB0B76"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&lt;/VirtualNetworkSite&gt;</w:t>
      </w:r>
    </w:p>
    <w:p w14:paraId="2053A3BB"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&lt;VirtualNetworkSite name="vnet2" Location="EAST US"&gt;</w:t>
      </w:r>
    </w:p>
    <w:p w14:paraId="43BD0C0F"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&lt;AddressSpace&gt;</w:t>
      </w:r>
    </w:p>
    <w:p w14:paraId="46846E18"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&lt;AddressPrefix&gt;10.2.0.0/16&lt;/AddressPrefix&gt;</w:t>
      </w:r>
    </w:p>
    <w:p w14:paraId="618075F8"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&lt;/AddressSpace&gt;</w:t>
      </w:r>
    </w:p>
    <w:p w14:paraId="183A9079"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&lt;Subnets&gt;</w:t>
      </w:r>
    </w:p>
    <w:p w14:paraId="19C54295"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 name="Subnet-1"&gt;</w:t>
      </w:r>
    </w:p>
    <w:p w14:paraId="3F9812B0"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&lt;AddressPrefix&gt;10.2.0.0/19&lt;/AddressPrefix&gt;</w:t>
      </w:r>
    </w:p>
    <w:p w14:paraId="4811CB7E"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&lt;/Subnet&gt;</w:t>
      </w:r>
    </w:p>
    <w:p w14:paraId="6DB88DA4"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 name="GatewaySubnet"&gt;</w:t>
      </w:r>
    </w:p>
    <w:p w14:paraId="5C1EC9DB"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&lt;AddressPrefix&gt;10.2.32.0/29&lt;/AddressPrefix&gt;</w:t>
      </w:r>
    </w:p>
    <w:p w14:paraId="2432CB60"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&lt;/Subnet&gt;</w:t>
      </w:r>
    </w:p>
    <w:p w14:paraId="4BB0DC2B"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&lt;/Subnets&gt;</w:t>
      </w:r>
    </w:p>
    <w:p w14:paraId="5AFB4399"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&lt;Gateway&gt;</w:t>
      </w:r>
    </w:p>
    <w:p w14:paraId="745D2696"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&lt;ConnectionsToLocalNetwork&gt;</w:t>
      </w:r>
    </w:p>
    <w:p w14:paraId="349E38D0"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&lt;LocalNetworkSiteRef name="lvnet1"&gt;</w:t>
      </w:r>
    </w:p>
    <w:p w14:paraId="34F641D4"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&lt;Connection type="IPsec" /&gt;</w:t>
      </w:r>
    </w:p>
    <w:p w14:paraId="664839AE"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&lt;/LocalNetworkSiteRef&gt;</w:t>
      </w:r>
    </w:p>
    <w:p w14:paraId="7BD9B5FA"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&lt;LocalNetworkSiteRef name="lvnet3"&gt;</w:t>
      </w:r>
    </w:p>
    <w:p w14:paraId="6A273BFE"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&lt;Connection type="IPsec" /&gt;</w:t>
      </w:r>
    </w:p>
    <w:p w14:paraId="7E3568FE"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&lt;/LocalNetworkSiteRef&gt;</w:t>
      </w:r>
    </w:p>
    <w:p w14:paraId="6209E3CA"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&lt;/ConnectionsToLocalNetwork&gt;</w:t>
      </w:r>
    </w:p>
    <w:p w14:paraId="30749E9D"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&lt;/Gateway&gt;</w:t>
      </w:r>
    </w:p>
    <w:p w14:paraId="04F5CBE6"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&lt;/VirtualNetworkSite&gt;</w:t>
      </w:r>
    </w:p>
    <w:p w14:paraId="649BE861"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&lt;VirtualNetworkSite name="vnet3" Location="EAST US"&gt;</w:t>
      </w:r>
    </w:p>
    <w:p w14:paraId="4C2EC96C"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&lt;AddressSpace&gt;</w:t>
      </w:r>
    </w:p>
    <w:p w14:paraId="39F21B90"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&lt;AddressPrefix&gt;10.3.0.0/16&lt;/AddressPrefix&gt;</w:t>
      </w:r>
    </w:p>
    <w:p w14:paraId="1818294C"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&lt;/AddressSpace&gt;</w:t>
      </w:r>
    </w:p>
    <w:p w14:paraId="71F5151C"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&lt;Subnets&gt;</w:t>
      </w:r>
    </w:p>
    <w:p w14:paraId="6237BE78"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 name="Subnet-1"&gt;</w:t>
      </w:r>
    </w:p>
    <w:p w14:paraId="0F92DFA2"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&lt;AddressPrefix&gt;10.3.0.0/19&lt;/AddressPrefix&gt;</w:t>
      </w:r>
    </w:p>
    <w:p w14:paraId="1099FBC2"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&lt;/Subnet&gt;</w:t>
      </w:r>
    </w:p>
    <w:p w14:paraId="7E5BF3E6"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 name="GatewaySubnet"&gt;</w:t>
      </w:r>
    </w:p>
    <w:p w14:paraId="28A8C820"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&lt;AddressPrefix&gt;10.3.32.0/29&lt;/AddressPrefix&gt;</w:t>
      </w:r>
    </w:p>
    <w:p w14:paraId="6E1239FB"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&lt;/Subnet&gt;</w:t>
      </w:r>
    </w:p>
    <w:p w14:paraId="4C474187"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&lt;/Subnets&gt;</w:t>
      </w:r>
    </w:p>
    <w:p w14:paraId="64A9AEE2"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&lt;Gateway&gt;</w:t>
      </w:r>
    </w:p>
    <w:p w14:paraId="5CA701F2"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&lt;ConnectionsToLocalNetwork&gt;</w:t>
      </w:r>
    </w:p>
    <w:p w14:paraId="0E0285B2"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&lt;LocalNetworkSiteRef name="lvnet2-1"&gt;</w:t>
      </w:r>
    </w:p>
    <w:p w14:paraId="11CFBCE8"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&lt;Connection type="IPsec" /&gt;</w:t>
      </w:r>
    </w:p>
    <w:p w14:paraId="698ECF72"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&lt;/LocalNetworkSiteRef&gt;</w:t>
      </w:r>
    </w:p>
    <w:p w14:paraId="26B926FA"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&lt;/ConnectionsToLocalNetwork&gt;</w:t>
      </w:r>
    </w:p>
    <w:p w14:paraId="28190124"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&lt;/Gateway&gt;</w:t>
      </w:r>
    </w:p>
    <w:p w14:paraId="624D7E05" w14:textId="77777777" w:rsidR="00404639" w:rsidRPr="00404639" w:rsidRDefault="00404639" w:rsidP="00404639">
      <w:pPr>
        <w:spacing w:before="0" w:after="0"/>
        <w:ind w:left="720"/>
        <w:rPr>
          <w:rFonts w:ascii="Consolas" w:hAnsi="Consolas" w:cs="Consolas"/>
          <w:sz w:val="18"/>
          <w:szCs w:val="18"/>
        </w:rPr>
      </w:pPr>
      <w:r w:rsidRPr="00404639">
        <w:rPr>
          <w:rFonts w:ascii="Consolas" w:hAnsi="Consolas" w:cs="Consolas"/>
          <w:sz w:val="18"/>
          <w:szCs w:val="18"/>
        </w:rPr>
        <w:t xml:space="preserve">      &lt;/VirtualNetworkSite&gt;</w:t>
      </w:r>
    </w:p>
    <w:p w14:paraId="51E86BA5" w14:textId="77777777" w:rsidR="00560B21" w:rsidRDefault="00404639" w:rsidP="00560B21">
      <w:pPr>
        <w:spacing w:before="0" w:after="0"/>
        <w:ind w:left="720"/>
        <w:rPr>
          <w:rFonts w:ascii="Consolas" w:hAnsi="Consolas" w:cs="Consolas"/>
          <w:sz w:val="18"/>
          <w:szCs w:val="18"/>
        </w:rPr>
      </w:pPr>
      <w:r w:rsidRPr="00404639">
        <w:rPr>
          <w:rFonts w:ascii="Consolas" w:hAnsi="Consolas" w:cs="Consolas"/>
          <w:sz w:val="18"/>
          <w:szCs w:val="18"/>
        </w:rPr>
        <w:t xml:space="preserve">    &lt;/VirtualNetworkSites&gt;</w:t>
      </w:r>
    </w:p>
    <w:p w14:paraId="5AD7817C" w14:textId="772090F8" w:rsidR="00560B21" w:rsidRPr="00560B21" w:rsidRDefault="00560B21" w:rsidP="00560B21">
      <w:pPr>
        <w:spacing w:before="0" w:after="0"/>
        <w:ind w:left="720"/>
        <w:rPr>
          <w:rFonts w:ascii="Consolas" w:hAnsi="Consolas" w:cs="Consolas"/>
          <w:sz w:val="18"/>
          <w:szCs w:val="18"/>
        </w:rPr>
      </w:pPr>
      <w:r w:rsidRPr="00560B21">
        <w:rPr>
          <w:rFonts w:ascii="Consolas" w:hAnsi="Consolas" w:cs="Consolas"/>
          <w:sz w:val="18"/>
          <w:szCs w:val="18"/>
        </w:rPr>
        <w:t xml:space="preserve"> &lt;/VirtualNetworkConfiguration&gt;</w:t>
      </w:r>
    </w:p>
    <w:p w14:paraId="188F51E2" w14:textId="77777777" w:rsidR="00560B21" w:rsidRPr="00560B21" w:rsidRDefault="00560B21" w:rsidP="00560B21">
      <w:pPr>
        <w:spacing w:before="0" w:after="0"/>
        <w:ind w:left="720"/>
        <w:rPr>
          <w:rFonts w:ascii="Consolas" w:hAnsi="Consolas" w:cs="Consolas"/>
          <w:sz w:val="18"/>
          <w:szCs w:val="18"/>
        </w:rPr>
      </w:pPr>
      <w:r w:rsidRPr="00560B21">
        <w:rPr>
          <w:rFonts w:ascii="Consolas" w:hAnsi="Consolas" w:cs="Consolas"/>
          <w:sz w:val="18"/>
          <w:szCs w:val="18"/>
        </w:rPr>
        <w:t>&lt;/NetworkConfiguration&gt;</w:t>
      </w:r>
    </w:p>
    <w:p w14:paraId="56CE27A8" w14:textId="77777777" w:rsidR="008F529D" w:rsidRDefault="008F529D">
      <w:pPr>
        <w:spacing w:before="0" w:after="160" w:line="259" w:lineRule="auto"/>
        <w:rPr>
          <w:rFonts w:eastAsiaTheme="minorHAnsi"/>
          <w:color w:val="008AC8"/>
          <w:spacing w:val="10"/>
          <w:sz w:val="36"/>
          <w:szCs w:val="48"/>
        </w:rPr>
      </w:pPr>
      <w:r>
        <w:br w:type="page"/>
      </w:r>
    </w:p>
    <w:p w14:paraId="15136188" w14:textId="2ABCFA51" w:rsidR="008F529D" w:rsidRDefault="008F529D" w:rsidP="005729D2">
      <w:pPr>
        <w:pStyle w:val="Heading1Numbered"/>
        <w:numPr>
          <w:ilvl w:val="0"/>
          <w:numId w:val="64"/>
        </w:numPr>
      </w:pPr>
      <w:bookmarkStart w:id="7767" w:name="_Toc417934781"/>
      <w:bookmarkStart w:id="7768" w:name="_Toc417936118"/>
      <w:bookmarkStart w:id="7769" w:name="_Toc417936580"/>
      <w:bookmarkStart w:id="7770" w:name="_Toc417946996"/>
      <w:bookmarkStart w:id="7771" w:name="_Toc417947466"/>
      <w:bookmarkStart w:id="7772" w:name="_Toc417982604"/>
      <w:bookmarkStart w:id="7773" w:name="_Toc417986084"/>
      <w:bookmarkStart w:id="7774" w:name="_Toc418000748"/>
      <w:bookmarkStart w:id="7775" w:name="_Toc418003960"/>
      <w:bookmarkStart w:id="7776" w:name="_Toc418012165"/>
      <w:bookmarkStart w:id="7777" w:name="_Toc418014538"/>
      <w:bookmarkStart w:id="7778" w:name="_Toc418030183"/>
      <w:bookmarkStart w:id="7779" w:name="_Toc418037026"/>
      <w:bookmarkStart w:id="7780" w:name="_Toc418061496"/>
      <w:bookmarkStart w:id="7781" w:name="_Toc418081397"/>
      <w:bookmarkStart w:id="7782" w:name="_Toc418083427"/>
      <w:bookmarkStart w:id="7783" w:name="_Toc418096193"/>
      <w:bookmarkStart w:id="7784" w:name="_Toc418156795"/>
      <w:bookmarkStart w:id="7785" w:name="_Toc418167712"/>
      <w:bookmarkStart w:id="7786" w:name="_Toc418185968"/>
      <w:bookmarkStart w:id="7787" w:name="_Toc422941682"/>
      <w:bookmarkStart w:id="7788" w:name="_Toc423116894"/>
      <w:bookmarkStart w:id="7789" w:name="_Toc423117927"/>
      <w:bookmarkStart w:id="7790" w:name="_Toc423117374"/>
      <w:bookmarkStart w:id="7791" w:name="_Toc431288973"/>
      <w:r>
        <w:t>Appendix B: Azure ExpressRoute Connectivity Examples</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p>
    <w:p w14:paraId="7FF1688E" w14:textId="77777777" w:rsidR="008F529D" w:rsidRDefault="008F529D" w:rsidP="005729D2">
      <w:pPr>
        <w:pStyle w:val="Heading2Numbered"/>
        <w:numPr>
          <w:ilvl w:val="1"/>
          <w:numId w:val="64"/>
        </w:numPr>
      </w:pPr>
      <w:bookmarkStart w:id="7792" w:name="_Toc417326861"/>
      <w:bookmarkStart w:id="7793" w:name="_Toc417330409"/>
      <w:bookmarkStart w:id="7794" w:name="_Toc417395015"/>
      <w:bookmarkStart w:id="7795" w:name="_Toc417399232"/>
      <w:bookmarkStart w:id="7796" w:name="_Toc417399391"/>
      <w:bookmarkStart w:id="7797" w:name="_Toc417400438"/>
      <w:bookmarkStart w:id="7798" w:name="_Toc417401286"/>
      <w:bookmarkStart w:id="7799" w:name="_Toc417419600"/>
      <w:bookmarkStart w:id="7800" w:name="_Toc417457372"/>
      <w:bookmarkStart w:id="7801" w:name="_Toc417481950"/>
      <w:bookmarkStart w:id="7802" w:name="_Toc417482208"/>
      <w:bookmarkStart w:id="7803" w:name="_Toc417499927"/>
      <w:bookmarkStart w:id="7804" w:name="_Toc417502749"/>
      <w:bookmarkStart w:id="7805" w:name="_Toc417548326"/>
      <w:bookmarkStart w:id="7806" w:name="_Toc417594566"/>
      <w:bookmarkStart w:id="7807" w:name="_Toc417934782"/>
      <w:bookmarkStart w:id="7808" w:name="_Toc417936119"/>
      <w:bookmarkStart w:id="7809" w:name="_Toc417936581"/>
      <w:bookmarkStart w:id="7810" w:name="_Toc417946997"/>
      <w:bookmarkStart w:id="7811" w:name="_Toc417947467"/>
      <w:bookmarkStart w:id="7812" w:name="_Toc417982605"/>
      <w:bookmarkStart w:id="7813" w:name="_Toc417986085"/>
      <w:bookmarkStart w:id="7814" w:name="_Toc418000749"/>
      <w:bookmarkStart w:id="7815" w:name="_Toc418003961"/>
      <w:bookmarkStart w:id="7816" w:name="_Toc418012166"/>
      <w:bookmarkStart w:id="7817" w:name="_Toc418030184"/>
      <w:bookmarkStart w:id="7818" w:name="_Toc418037027"/>
      <w:bookmarkStart w:id="7819" w:name="_Toc418061497"/>
      <w:bookmarkStart w:id="7820" w:name="_Toc418081398"/>
      <w:bookmarkStart w:id="7821" w:name="_Toc418083428"/>
      <w:bookmarkStart w:id="7822" w:name="_Toc418096194"/>
      <w:bookmarkStart w:id="7823" w:name="_Toc418156796"/>
      <w:bookmarkStart w:id="7824" w:name="_Toc418167713"/>
      <w:bookmarkStart w:id="7825" w:name="_Toc418185969"/>
      <w:bookmarkStart w:id="7826" w:name="_Toc422941683"/>
      <w:bookmarkStart w:id="7827" w:name="_Toc423116895"/>
      <w:bookmarkStart w:id="7828" w:name="_Toc423117928"/>
      <w:bookmarkStart w:id="7829" w:name="_Toc423117375"/>
      <w:bookmarkStart w:id="7830" w:name="_Toc423464730"/>
      <w:bookmarkStart w:id="7831" w:name="_Toc431288974"/>
      <w:r>
        <w:t>ExpressRoute Peering Requirements Using NSP Model</w:t>
      </w:r>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39B9FFB8" w14:textId="4D7E3E8B" w:rsidR="007C7312" w:rsidRDefault="008F529D" w:rsidP="007C7312">
      <w:r>
        <w:t>When</w:t>
      </w:r>
      <w:r w:rsidR="007C7312">
        <w:t xml:space="preserve"> designing a peering approach with an NSP model, there are a set of prerequisites that must be determined and allocated to accomplish a circuit connection. For the purposes of illustrating this behavior, AT&amp;T NetBond will be used as an example.</w:t>
      </w:r>
    </w:p>
    <w:p w14:paraId="2F940E56" w14:textId="77777777" w:rsidR="007C7312" w:rsidRDefault="007C7312" w:rsidP="007C7312">
      <w:r>
        <w:t>Prerequisites:</w:t>
      </w:r>
    </w:p>
    <w:p w14:paraId="5DF6C093" w14:textId="77777777" w:rsidR="007C7312" w:rsidRDefault="007C7312" w:rsidP="005729D2">
      <w:pPr>
        <w:pStyle w:val="ListBullet"/>
        <w:numPr>
          <w:ilvl w:val="0"/>
          <w:numId w:val="73"/>
        </w:numPr>
      </w:pPr>
      <w:r>
        <w:t>Customer must have access to the provider's self-service portal.</w:t>
      </w:r>
    </w:p>
    <w:p w14:paraId="5E469E3E" w14:textId="77777777" w:rsidR="007C7312" w:rsidRDefault="007C7312" w:rsidP="005729D2">
      <w:pPr>
        <w:pStyle w:val="ListBullet"/>
        <w:numPr>
          <w:ilvl w:val="0"/>
          <w:numId w:val="73"/>
        </w:numPr>
      </w:pPr>
      <w:r>
        <w:t>The AT&amp;T circuit must be allocated and viewable in the AT&amp;T customer self-service portal.</w:t>
      </w:r>
    </w:p>
    <w:p w14:paraId="56319E5E" w14:textId="77777777" w:rsidR="007C7312" w:rsidRDefault="007C7312" w:rsidP="005729D2">
      <w:pPr>
        <w:pStyle w:val="ListBullet"/>
        <w:numPr>
          <w:ilvl w:val="0"/>
          <w:numId w:val="73"/>
        </w:numPr>
      </w:pPr>
      <w:r>
        <w:t>A dedicated /29 CIDR address space must be allocated to create the VLANs from the AT&amp;T edge router to the Azure edge router. The CIDR cannot overlap any address space in Azure or the on-premises network. A separate /29 CIDR is required for the private peering and public peering connections.</w:t>
      </w:r>
    </w:p>
    <w:p w14:paraId="489560ED" w14:textId="77777777" w:rsidR="007C7312" w:rsidRDefault="007C7312" w:rsidP="005729D2">
      <w:pPr>
        <w:pStyle w:val="ListBullet"/>
        <w:numPr>
          <w:ilvl w:val="0"/>
          <w:numId w:val="73"/>
        </w:numPr>
      </w:pPr>
      <w:r>
        <w:t>A dedicated /28 CIDR address space must be available in the virtual network that will be connected to the ExpressRoute circuit. The CIDR cannot overlap any address space in Azure or the on-premises network.</w:t>
      </w:r>
    </w:p>
    <w:p w14:paraId="25B449B4" w14:textId="77777777" w:rsidR="007C7312" w:rsidRPr="00A8771E" w:rsidRDefault="007C7312" w:rsidP="005729D2">
      <w:pPr>
        <w:pStyle w:val="ListBullet"/>
        <w:numPr>
          <w:ilvl w:val="0"/>
          <w:numId w:val="73"/>
        </w:numPr>
      </w:pPr>
      <w:r>
        <w:t>The latest version of Azure PowerShell must be installed on the system that will be creating the peering connection. You must import the ExpressRoute cmdlet module from:</w:t>
      </w:r>
      <w:r>
        <w:br/>
      </w:r>
      <w:r w:rsidRPr="00284C52">
        <w:rPr>
          <w:sz w:val="18"/>
        </w:rPr>
        <w:t>'C:\Program Files (x86)\Microsoft SDKs\Azure\PowerShell\ServiceManagement\Azure\ExpressRoute\ExpressRoute.psd1'</w:t>
      </w:r>
    </w:p>
    <w:p w14:paraId="107C3D8F" w14:textId="77777777" w:rsidR="007C7312" w:rsidRDefault="007C7312" w:rsidP="007C7312">
      <w:r>
        <w:t xml:space="preserve">When you have all the prerequisites identified, proceed to the provisioning process within the Microsoft Azure subscription: </w:t>
      </w:r>
    </w:p>
    <w:p w14:paraId="09524F26" w14:textId="77777777" w:rsidR="007C7312" w:rsidRPr="00A7592E" w:rsidRDefault="007C7312" w:rsidP="005729D2">
      <w:pPr>
        <w:pStyle w:val="ListBullet"/>
        <w:numPr>
          <w:ilvl w:val="0"/>
          <w:numId w:val="74"/>
        </w:numPr>
        <w:rPr>
          <w:rFonts w:ascii="Consolas" w:hAnsi="Consolas" w:cs="Consolas"/>
        </w:rPr>
      </w:pPr>
      <w:r>
        <w:t>Retrieve the provider locations and connection speeds by using:</w:t>
      </w:r>
      <w:r>
        <w:br/>
      </w:r>
      <w:r w:rsidRPr="00A7592E">
        <w:rPr>
          <w:rFonts w:ascii="Consolas" w:hAnsi="Consolas" w:cs="Consolas"/>
        </w:rPr>
        <w:t>Get-AzureDedicatedCircuitServiceProvider</w:t>
      </w:r>
    </w:p>
    <w:p w14:paraId="35B3211F" w14:textId="77777777" w:rsidR="007C7312" w:rsidRDefault="007C7312" w:rsidP="005729D2">
      <w:pPr>
        <w:pStyle w:val="ListBullet"/>
        <w:numPr>
          <w:ilvl w:val="0"/>
          <w:numId w:val="74"/>
        </w:numPr>
      </w:pPr>
      <w:r>
        <w:t>Find the provider, the circuit location, and the desired speed.</w:t>
      </w:r>
    </w:p>
    <w:p w14:paraId="340A8492" w14:textId="77777777" w:rsidR="007C7312" w:rsidRDefault="007C7312" w:rsidP="005729D2">
      <w:pPr>
        <w:pStyle w:val="ListBullet"/>
        <w:numPr>
          <w:ilvl w:val="0"/>
          <w:numId w:val="74"/>
        </w:numPr>
      </w:pPr>
      <w:r>
        <w:t xml:space="preserve">Use the </w:t>
      </w:r>
      <w:r w:rsidRPr="00536FF6">
        <w:rPr>
          <w:rFonts w:cs="Segoe UI"/>
          <w:b/>
        </w:rPr>
        <w:t>New-AzureDedicatedCircuit</w:t>
      </w:r>
      <w:r>
        <w:t xml:space="preserve"> cmdlet to create the Azure side of the circuit that will be linked to up to 10 virtual networks.</w:t>
      </w:r>
    </w:p>
    <w:p w14:paraId="128C9482" w14:textId="77777777" w:rsidR="007C7312" w:rsidRDefault="007C7312" w:rsidP="005729D2">
      <w:pPr>
        <w:pStyle w:val="ListBullet"/>
        <w:numPr>
          <w:ilvl w:val="0"/>
          <w:numId w:val="74"/>
        </w:numPr>
      </w:pPr>
      <w:r>
        <w:t>Retrieve the circuit service key that will be used to establish the shared key for both sides of the circuit links.</w:t>
      </w:r>
    </w:p>
    <w:p w14:paraId="3629ECEF" w14:textId="77777777" w:rsidR="007C7312" w:rsidRPr="00A8771E" w:rsidRDefault="007C7312" w:rsidP="005729D2">
      <w:pPr>
        <w:pStyle w:val="ListBullet"/>
        <w:numPr>
          <w:ilvl w:val="0"/>
          <w:numId w:val="74"/>
        </w:numPr>
      </w:pPr>
      <w:r>
        <w:t>G</w:t>
      </w:r>
      <w:r w:rsidRPr="00A8771E">
        <w:t xml:space="preserve">o to the Azure </w:t>
      </w:r>
      <w:r>
        <w:t>p</w:t>
      </w:r>
      <w:r w:rsidRPr="00A8771E">
        <w:t xml:space="preserve">ortal and build </w:t>
      </w:r>
      <w:r>
        <w:t>the</w:t>
      </w:r>
      <w:r w:rsidRPr="00A8771E">
        <w:t xml:space="preserve"> </w:t>
      </w:r>
      <w:r>
        <w:t>virtual networks</w:t>
      </w:r>
      <w:r w:rsidRPr="00A8771E">
        <w:t xml:space="preserve"> (make sure you select </w:t>
      </w:r>
      <w:r w:rsidRPr="00536FF6">
        <w:rPr>
          <w:b/>
        </w:rPr>
        <w:t>Connect to local network</w:t>
      </w:r>
      <w:r w:rsidRPr="00A8771E">
        <w:t xml:space="preserve">), subnets, </w:t>
      </w:r>
      <w:r>
        <w:t xml:space="preserve">and </w:t>
      </w:r>
      <w:r w:rsidRPr="00A8771E">
        <w:t>gateway subnet, and then create the gateway</w:t>
      </w:r>
      <w:r>
        <w:t>.</w:t>
      </w:r>
    </w:p>
    <w:p w14:paraId="01735F06" w14:textId="77777777" w:rsidR="007C7312" w:rsidRDefault="007C7312" w:rsidP="005729D2">
      <w:pPr>
        <w:pStyle w:val="ListBullet"/>
        <w:numPr>
          <w:ilvl w:val="0"/>
          <w:numId w:val="74"/>
        </w:numPr>
      </w:pPr>
      <w:r>
        <w:t>Go to the provider’s self-service portal (AT&amp;T in this example).</w:t>
      </w:r>
    </w:p>
    <w:p w14:paraId="4211269F" w14:textId="77777777" w:rsidR="007C7312" w:rsidRDefault="007C7312" w:rsidP="005729D2">
      <w:pPr>
        <w:pStyle w:val="ListBullet"/>
        <w:numPr>
          <w:ilvl w:val="0"/>
          <w:numId w:val="74"/>
        </w:numPr>
      </w:pPr>
      <w:r>
        <w:t>Create the virtual Network Circuit by using Microsoft as the provider, the Azure datacenter location, and a name for the virtual network circuit, and then set the bandwidth.</w:t>
      </w:r>
    </w:p>
    <w:p w14:paraId="27037981" w14:textId="77777777" w:rsidR="007C7312" w:rsidRDefault="007C7312" w:rsidP="007C7312">
      <w:pPr>
        <w:pStyle w:val="ListBullet"/>
        <w:ind w:left="720" w:firstLine="0"/>
      </w:pPr>
      <w:r>
        <w:rPr>
          <w:noProof/>
        </w:rPr>
        <w:drawing>
          <wp:inline distT="0" distB="0" distL="0" distR="0" wp14:anchorId="79F0185D" wp14:editId="0AE39F4D">
            <wp:extent cx="3741744" cy="2164268"/>
            <wp:effectExtent l="0" t="0" r="0" b="7620"/>
            <wp:docPr id="874593600" name="Picture 874593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9"/>
                    <a:stretch>
                      <a:fillRect/>
                    </a:stretch>
                  </pic:blipFill>
                  <pic:spPr>
                    <a:xfrm>
                      <a:off x="0" y="0"/>
                      <a:ext cx="3741744" cy="2164268"/>
                    </a:xfrm>
                    <a:prstGeom prst="rect">
                      <a:avLst/>
                    </a:prstGeom>
                  </pic:spPr>
                </pic:pic>
              </a:graphicData>
            </a:graphic>
          </wp:inline>
        </w:drawing>
      </w:r>
    </w:p>
    <w:p w14:paraId="4B5923B4" w14:textId="77777777" w:rsidR="007C7312" w:rsidRDefault="007C7312" w:rsidP="005729D2">
      <w:pPr>
        <w:pStyle w:val="ListBullet"/>
        <w:numPr>
          <w:ilvl w:val="0"/>
          <w:numId w:val="74"/>
        </w:numPr>
      </w:pPr>
      <w:r>
        <w:t>Within the provider portal (AT&amp;T in this example), assign the VLAN by using the virtual network circuit you created. This is where you provide the /29 CIDR for the private peering, a VLAN name, and the service key that you created earlier.</w:t>
      </w:r>
    </w:p>
    <w:p w14:paraId="35BB8210" w14:textId="77777777" w:rsidR="007C7312" w:rsidRDefault="007C7312" w:rsidP="007C7312">
      <w:pPr>
        <w:pStyle w:val="ListBullet"/>
        <w:ind w:left="720" w:firstLine="0"/>
      </w:pPr>
      <w:r>
        <w:rPr>
          <w:noProof/>
        </w:rPr>
        <w:drawing>
          <wp:inline distT="0" distB="0" distL="0" distR="0" wp14:anchorId="5962F5A8" wp14:editId="44772012">
            <wp:extent cx="3596952" cy="1699407"/>
            <wp:effectExtent l="0" t="0" r="3810" b="0"/>
            <wp:docPr id="874593601" name="Picture 874593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0"/>
                    <a:stretch>
                      <a:fillRect/>
                    </a:stretch>
                  </pic:blipFill>
                  <pic:spPr>
                    <a:xfrm>
                      <a:off x="0" y="0"/>
                      <a:ext cx="3596952" cy="1699407"/>
                    </a:xfrm>
                    <a:prstGeom prst="rect">
                      <a:avLst/>
                    </a:prstGeom>
                  </pic:spPr>
                </pic:pic>
              </a:graphicData>
            </a:graphic>
          </wp:inline>
        </w:drawing>
      </w:r>
    </w:p>
    <w:p w14:paraId="75797933" w14:textId="77777777" w:rsidR="007C7312" w:rsidRDefault="007C7312" w:rsidP="007C7312">
      <w:pPr>
        <w:pStyle w:val="ListBullet"/>
      </w:pPr>
    </w:p>
    <w:p w14:paraId="502B8E1D" w14:textId="77777777" w:rsidR="007C7312" w:rsidRDefault="007C7312" w:rsidP="007C7312">
      <w:pPr>
        <w:spacing w:before="0" w:after="160" w:line="259" w:lineRule="auto"/>
      </w:pPr>
      <w:r>
        <w:br w:type="page"/>
      </w:r>
    </w:p>
    <w:p w14:paraId="31F7E0A7" w14:textId="77777777" w:rsidR="007C7312" w:rsidRDefault="007C7312" w:rsidP="005729D2">
      <w:pPr>
        <w:pStyle w:val="ListBullet"/>
        <w:numPr>
          <w:ilvl w:val="0"/>
          <w:numId w:val="74"/>
        </w:numPr>
      </w:pPr>
      <w:r>
        <w:t>The process will take a few minutes and then the portal will show success:</w:t>
      </w:r>
    </w:p>
    <w:p w14:paraId="0D7232A6" w14:textId="77777777" w:rsidR="007C7312" w:rsidRDefault="007C7312" w:rsidP="007C7312">
      <w:pPr>
        <w:pStyle w:val="ListBullet"/>
        <w:ind w:left="360" w:firstLine="0"/>
      </w:pPr>
      <w:r>
        <w:rPr>
          <w:noProof/>
        </w:rPr>
        <w:drawing>
          <wp:inline distT="0" distB="0" distL="0" distR="0" wp14:anchorId="29163DEA" wp14:editId="5551F8A6">
            <wp:extent cx="5227048" cy="3092521"/>
            <wp:effectExtent l="0" t="0" r="0" b="0"/>
            <wp:docPr id="874593603" name="Picture 87459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61">
                      <a:extLst>
                        <a:ext uri="{28A0092B-C50C-407E-A947-70E740481C1C}">
                          <a14:useLocalDpi xmlns:a14="http://schemas.microsoft.com/office/drawing/2010/main" val="0"/>
                        </a:ext>
                      </a:extLst>
                    </a:blip>
                    <a:srcRect/>
                    <a:stretch>
                      <a:fillRect/>
                    </a:stretch>
                  </pic:blipFill>
                  <pic:spPr bwMode="auto">
                    <a:xfrm>
                      <a:off x="0" y="0"/>
                      <a:ext cx="5230495" cy="3094561"/>
                    </a:xfrm>
                    <a:prstGeom prst="rect">
                      <a:avLst/>
                    </a:prstGeom>
                    <a:noFill/>
                    <a:ln>
                      <a:noFill/>
                    </a:ln>
                  </pic:spPr>
                </pic:pic>
              </a:graphicData>
            </a:graphic>
          </wp:inline>
        </w:drawing>
      </w:r>
    </w:p>
    <w:p w14:paraId="710DC4D2" w14:textId="77777777" w:rsidR="007C7312" w:rsidRPr="00FA47D4" w:rsidRDefault="007C7312" w:rsidP="005729D2">
      <w:pPr>
        <w:pStyle w:val="ListBullet"/>
        <w:numPr>
          <w:ilvl w:val="0"/>
          <w:numId w:val="74"/>
        </w:numPr>
      </w:pPr>
      <w:r>
        <w:t>Run the</w:t>
      </w:r>
      <w:r w:rsidRPr="00FA47D4">
        <w:t xml:space="preserve"> </w:t>
      </w:r>
      <w:r w:rsidRPr="00536FF6">
        <w:rPr>
          <w:b/>
        </w:rPr>
        <w:t>Get-AzureDedicatedCircuit</w:t>
      </w:r>
      <w:r w:rsidRPr="00FA47D4">
        <w:t xml:space="preserve"> </w:t>
      </w:r>
      <w:r>
        <w:t xml:space="preserve">cmdlet </w:t>
      </w:r>
      <w:r w:rsidRPr="00FA47D4">
        <w:t xml:space="preserve">and you should see the state of the circuit change to </w:t>
      </w:r>
      <w:r w:rsidRPr="00536FF6">
        <w:rPr>
          <w:b/>
        </w:rPr>
        <w:t>Provisioned</w:t>
      </w:r>
      <w:r>
        <w:t>.</w:t>
      </w:r>
    </w:p>
    <w:p w14:paraId="3844A72C" w14:textId="77777777" w:rsidR="007C7312" w:rsidRDefault="007C7312" w:rsidP="005729D2">
      <w:pPr>
        <w:pStyle w:val="ListBullet"/>
        <w:numPr>
          <w:ilvl w:val="0"/>
          <w:numId w:val="74"/>
        </w:numPr>
      </w:pPr>
      <w:r>
        <w:t xml:space="preserve">Use the </w:t>
      </w:r>
      <w:r w:rsidRPr="00536FF6">
        <w:rPr>
          <w:b/>
        </w:rPr>
        <w:t>New-AzureDedicatedCircuitLink</w:t>
      </w:r>
      <w:r>
        <w:t xml:space="preserve"> with the service key to establish connections to virtual networks in Azure.</w:t>
      </w:r>
    </w:p>
    <w:p w14:paraId="3CCE18A1" w14:textId="77777777" w:rsidR="007C7312" w:rsidRDefault="007C7312" w:rsidP="005729D2">
      <w:pPr>
        <w:pStyle w:val="ListBullet"/>
        <w:numPr>
          <w:ilvl w:val="0"/>
          <w:numId w:val="74"/>
        </w:numPr>
      </w:pPr>
      <w:r>
        <w:t>Use the virtual network dashboard to verify that the circuit has been established</w:t>
      </w:r>
    </w:p>
    <w:p w14:paraId="4993A391" w14:textId="77777777" w:rsidR="007C7312" w:rsidRDefault="007C7312" w:rsidP="005729D2">
      <w:pPr>
        <w:pStyle w:val="ListBullet"/>
        <w:numPr>
          <w:ilvl w:val="0"/>
          <w:numId w:val="74"/>
        </w:numPr>
      </w:pPr>
      <w:r>
        <w:t>To check the connectivity between the on-premises location and Azure you must use a TCP connectivity testing tool (such as</w:t>
      </w:r>
      <w:r w:rsidDel="008F529D">
        <w:t xml:space="preserve"> </w:t>
      </w:r>
      <w:r>
        <w:t>PSPing) because Internet Control Message Protocol (ICMP) connectivity testing is not possible.</w:t>
      </w:r>
    </w:p>
    <w:p w14:paraId="79936A0A" w14:textId="3FF6CBAA" w:rsidR="008F529D" w:rsidRDefault="007C7312" w:rsidP="007C7312">
      <w:r>
        <w:t xml:space="preserve">The process for creating the public peer connection is similar, starting with a VLAN creation for the existing virtual network circuit, but you need to use the second /29 CIDR address space and append </w:t>
      </w:r>
      <w:r w:rsidRPr="00F4663A">
        <w:rPr>
          <w:b/>
        </w:rPr>
        <w:t>_public</w:t>
      </w:r>
      <w:r>
        <w:t xml:space="preserve"> to the service key</w:t>
      </w:r>
      <w:r w:rsidR="008F529D">
        <w:t>.</w:t>
      </w:r>
    </w:p>
    <w:p w14:paraId="01BEC244" w14:textId="77777777" w:rsidR="008F529D" w:rsidRDefault="008F529D" w:rsidP="005729D2">
      <w:pPr>
        <w:pStyle w:val="Heading2Numbered"/>
        <w:numPr>
          <w:ilvl w:val="1"/>
          <w:numId w:val="64"/>
        </w:numPr>
      </w:pPr>
      <w:bookmarkStart w:id="7832" w:name="_Toc417934783"/>
      <w:bookmarkStart w:id="7833" w:name="_Toc417936120"/>
      <w:bookmarkStart w:id="7834" w:name="_Toc417936582"/>
      <w:bookmarkStart w:id="7835" w:name="_Toc417946998"/>
      <w:bookmarkStart w:id="7836" w:name="_Toc417947468"/>
      <w:bookmarkStart w:id="7837" w:name="_Toc417982606"/>
      <w:bookmarkStart w:id="7838" w:name="_Toc417986086"/>
      <w:bookmarkStart w:id="7839" w:name="_Toc418000750"/>
      <w:bookmarkStart w:id="7840" w:name="_Toc418003962"/>
      <w:bookmarkStart w:id="7841" w:name="_Toc418012167"/>
      <w:bookmarkStart w:id="7842" w:name="_Toc418014540"/>
      <w:bookmarkStart w:id="7843" w:name="_Toc418030185"/>
      <w:bookmarkStart w:id="7844" w:name="_Toc418037028"/>
      <w:bookmarkStart w:id="7845" w:name="_Toc418061498"/>
      <w:bookmarkStart w:id="7846" w:name="_Toc418081399"/>
      <w:bookmarkStart w:id="7847" w:name="_Toc418083429"/>
      <w:bookmarkStart w:id="7848" w:name="_Toc418096195"/>
      <w:bookmarkStart w:id="7849" w:name="_Toc418156797"/>
      <w:bookmarkStart w:id="7850" w:name="_Toc418167714"/>
      <w:bookmarkStart w:id="7851" w:name="_Toc418185970"/>
      <w:bookmarkStart w:id="7852" w:name="_Toc422941684"/>
      <w:bookmarkStart w:id="7853" w:name="_Toc423116896"/>
      <w:bookmarkStart w:id="7854" w:name="_Toc423117929"/>
      <w:bookmarkStart w:id="7855" w:name="_Toc423117376"/>
      <w:bookmarkStart w:id="7856" w:name="_Toc423464731"/>
      <w:bookmarkStart w:id="7857" w:name="_Toc431288975"/>
      <w:r>
        <w:t>ExpressRoute Peering Requirements Using IXP Model</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p>
    <w:bookmarkEnd w:id="7761"/>
    <w:bookmarkEnd w:id="7762"/>
    <w:bookmarkEnd w:id="7763"/>
    <w:bookmarkEnd w:id="7764"/>
    <w:bookmarkEnd w:id="7765"/>
    <w:bookmarkEnd w:id="7766"/>
    <w:p w14:paraId="5A8AE642" w14:textId="77777777" w:rsidR="007C7312" w:rsidRDefault="007C7312" w:rsidP="007C7312">
      <w:r>
        <w:t xml:space="preserve">When designing a peering approach with an IXP model, there are a set of prerequisites that must be determined and allocated to accomplish a circuit connection. </w:t>
      </w:r>
    </w:p>
    <w:p w14:paraId="1DB0521D" w14:textId="77777777" w:rsidR="007C7312" w:rsidRDefault="007C7312" w:rsidP="007C7312">
      <w:r>
        <w:t>Prerequisites:</w:t>
      </w:r>
    </w:p>
    <w:p w14:paraId="104AD7BD" w14:textId="77777777" w:rsidR="007C7312" w:rsidRDefault="007C7312" w:rsidP="005729D2">
      <w:pPr>
        <w:pStyle w:val="ListBullet"/>
        <w:numPr>
          <w:ilvl w:val="0"/>
          <w:numId w:val="67"/>
        </w:numPr>
      </w:pPr>
      <w:r>
        <w:t>Customer must provide redundant routers that go in the Exchange Providers datacenter.</w:t>
      </w:r>
    </w:p>
    <w:p w14:paraId="22431FCA" w14:textId="77777777" w:rsidR="007C7312" w:rsidRDefault="007C7312" w:rsidP="005729D2">
      <w:pPr>
        <w:pStyle w:val="ListBullet"/>
        <w:numPr>
          <w:ilvl w:val="0"/>
          <w:numId w:val="67"/>
        </w:numPr>
      </w:pPr>
      <w:r>
        <w:t xml:space="preserve">A dedicated /29 CIDR address space must be allocated to create the VLANs from the provider’s edge router to the Azure edge router. The CIDR cannot overlap any address space in Azure or the on-premises network. </w:t>
      </w:r>
    </w:p>
    <w:p w14:paraId="04274FB8" w14:textId="77777777" w:rsidR="007C7312" w:rsidRDefault="007C7312" w:rsidP="005729D2">
      <w:pPr>
        <w:pStyle w:val="ListBullet"/>
        <w:numPr>
          <w:ilvl w:val="0"/>
          <w:numId w:val="67"/>
        </w:numPr>
      </w:pPr>
      <w:r>
        <w:t>VLAN IDs must be allocated for the peering circuits.</w:t>
      </w:r>
    </w:p>
    <w:p w14:paraId="7329F652" w14:textId="77777777" w:rsidR="007C7312" w:rsidRDefault="007C7312" w:rsidP="005729D2">
      <w:pPr>
        <w:pStyle w:val="ListBullet"/>
        <w:numPr>
          <w:ilvl w:val="0"/>
          <w:numId w:val="67"/>
        </w:numPr>
      </w:pPr>
      <w:r>
        <w:t>A separate /29 CIDR and VLAN ID is required for the private peering and public peering connections.</w:t>
      </w:r>
    </w:p>
    <w:p w14:paraId="2BDB95A3" w14:textId="77777777" w:rsidR="007C7312" w:rsidRDefault="007C7312" w:rsidP="005729D2">
      <w:pPr>
        <w:pStyle w:val="ListBullet"/>
        <w:numPr>
          <w:ilvl w:val="0"/>
          <w:numId w:val="67"/>
        </w:numPr>
      </w:pPr>
      <w:r>
        <w:t>A dedicated /28 CIDR address space must be available in the virtual network that will be connected to the ExpressRoute circuit. The CIDR cannot overlap any address space in Azure or the on-premises network.</w:t>
      </w:r>
    </w:p>
    <w:p w14:paraId="22084CC8" w14:textId="77777777" w:rsidR="007C7312" w:rsidRDefault="007C7312" w:rsidP="005729D2">
      <w:pPr>
        <w:pStyle w:val="ListBullet"/>
        <w:numPr>
          <w:ilvl w:val="0"/>
          <w:numId w:val="67"/>
        </w:numPr>
      </w:pPr>
      <w:r>
        <w:t>An autonomous system number (ASN) must be provided to represent the customer network, either a public or private ASN can be used. If a private ASN is used, it must be greater than 65000.</w:t>
      </w:r>
    </w:p>
    <w:p w14:paraId="337661D5" w14:textId="77777777" w:rsidR="007C7312" w:rsidRDefault="007C7312" w:rsidP="005729D2">
      <w:pPr>
        <w:pStyle w:val="ListBullet"/>
        <w:numPr>
          <w:ilvl w:val="0"/>
          <w:numId w:val="67"/>
        </w:numPr>
      </w:pPr>
      <w:r>
        <w:t>MD5 hash password is required to configure the Border Gateway Protocol (BGP) routing.</w:t>
      </w:r>
    </w:p>
    <w:p w14:paraId="5F9405AA" w14:textId="77777777" w:rsidR="007C7312" w:rsidRPr="00A8771E" w:rsidRDefault="007C7312" w:rsidP="005729D2">
      <w:pPr>
        <w:pStyle w:val="ListBullet"/>
        <w:numPr>
          <w:ilvl w:val="0"/>
          <w:numId w:val="67"/>
        </w:numPr>
      </w:pPr>
      <w:r>
        <w:t>The latest version of Azure PowerShell must be installed on the system that will be creating the peer connection. You must import the ExpressRoute cmdlet module from:</w:t>
      </w:r>
      <w:r>
        <w:br/>
      </w:r>
      <w:r w:rsidRPr="00284C52">
        <w:rPr>
          <w:sz w:val="18"/>
        </w:rPr>
        <w:t>'C:\Program Files (x86)\Microsoft SDKs\Azure\PowerShell\ServiceManagement\Azure\ExpressRoute\ExpressRoute.psd1'</w:t>
      </w:r>
    </w:p>
    <w:p w14:paraId="4CAA2A11" w14:textId="77777777" w:rsidR="007C7312" w:rsidRDefault="007C7312" w:rsidP="007C7312">
      <w:r>
        <w:t>When you have all the prerequisites identified, the provisioning process can proceed:</w:t>
      </w:r>
    </w:p>
    <w:p w14:paraId="371CA9D0" w14:textId="77777777" w:rsidR="007C7312" w:rsidRPr="00DA0071" w:rsidRDefault="007C7312" w:rsidP="005729D2">
      <w:pPr>
        <w:pStyle w:val="ListBullet"/>
        <w:numPr>
          <w:ilvl w:val="0"/>
          <w:numId w:val="75"/>
        </w:numPr>
        <w:rPr>
          <w:b/>
        </w:rPr>
      </w:pPr>
      <w:r>
        <w:t xml:space="preserve">Retrieve the provider locations and connection speeds by using the </w:t>
      </w:r>
      <w:r w:rsidRPr="00DA0071">
        <w:rPr>
          <w:b/>
        </w:rPr>
        <w:t>Get-AzureDedicatedCircuitServiceProvider</w:t>
      </w:r>
      <w:r>
        <w:rPr>
          <w:b/>
        </w:rPr>
        <w:t xml:space="preserve"> </w:t>
      </w:r>
      <w:r>
        <w:t>cmdlet.</w:t>
      </w:r>
    </w:p>
    <w:p w14:paraId="61AB7005" w14:textId="77777777" w:rsidR="007C7312" w:rsidRDefault="007C7312" w:rsidP="005729D2">
      <w:pPr>
        <w:pStyle w:val="ListBullet"/>
        <w:numPr>
          <w:ilvl w:val="0"/>
          <w:numId w:val="75"/>
        </w:numPr>
      </w:pPr>
      <w:r>
        <w:t>Find the provider, the circuit location, and the desired speed.</w:t>
      </w:r>
    </w:p>
    <w:p w14:paraId="08F55965" w14:textId="77777777" w:rsidR="007C7312" w:rsidRDefault="007C7312" w:rsidP="005729D2">
      <w:pPr>
        <w:pStyle w:val="ListBullet"/>
        <w:numPr>
          <w:ilvl w:val="0"/>
          <w:numId w:val="75"/>
        </w:numPr>
      </w:pPr>
      <w:r>
        <w:t xml:space="preserve">Use the </w:t>
      </w:r>
      <w:r w:rsidRPr="00DA0071">
        <w:rPr>
          <w:b/>
        </w:rPr>
        <w:t>New-AzureDedicatedCircuit</w:t>
      </w:r>
      <w:r>
        <w:t xml:space="preserve"> cmdlet to create the Azure side of the circuit, which will be linked to up to 10 virtual networks.</w:t>
      </w:r>
    </w:p>
    <w:p w14:paraId="4773288B" w14:textId="77777777" w:rsidR="007C7312" w:rsidRDefault="007C7312" w:rsidP="005729D2">
      <w:pPr>
        <w:pStyle w:val="ListBullet"/>
        <w:numPr>
          <w:ilvl w:val="0"/>
          <w:numId w:val="75"/>
        </w:numPr>
      </w:pPr>
      <w:r>
        <w:t>Retrieve the circuit service key that will be used to establish the shared key for both sides of the circuit links.</w:t>
      </w:r>
    </w:p>
    <w:p w14:paraId="27E746D2" w14:textId="77777777" w:rsidR="007C7312" w:rsidRDefault="007C7312" w:rsidP="005729D2">
      <w:pPr>
        <w:pStyle w:val="ListBullet"/>
        <w:numPr>
          <w:ilvl w:val="0"/>
          <w:numId w:val="75"/>
        </w:numPr>
      </w:pPr>
      <w:r>
        <w:t>Within the</w:t>
      </w:r>
      <w:r w:rsidRPr="00A8771E">
        <w:t xml:space="preserve"> Azure </w:t>
      </w:r>
      <w:r>
        <w:t>p</w:t>
      </w:r>
      <w:r w:rsidRPr="00A8771E">
        <w:t>ortal</w:t>
      </w:r>
      <w:r>
        <w:t xml:space="preserve">, </w:t>
      </w:r>
      <w:r w:rsidRPr="00A8771E">
        <w:t xml:space="preserve">build </w:t>
      </w:r>
      <w:r>
        <w:t>the</w:t>
      </w:r>
      <w:r w:rsidRPr="00A8771E">
        <w:t xml:space="preserve"> </w:t>
      </w:r>
      <w:r>
        <w:t>virtual networks</w:t>
      </w:r>
      <w:r w:rsidRPr="00A8771E">
        <w:t xml:space="preserve"> (make sure you select </w:t>
      </w:r>
      <w:r w:rsidRPr="00DA0071">
        <w:rPr>
          <w:b/>
        </w:rPr>
        <w:t>Connect to local network</w:t>
      </w:r>
      <w:r w:rsidRPr="00A8771E">
        <w:t xml:space="preserve">), subnets, </w:t>
      </w:r>
      <w:r>
        <w:t xml:space="preserve">and </w:t>
      </w:r>
      <w:r w:rsidRPr="00A8771E">
        <w:t>gateway subnet, and then create the gateway</w:t>
      </w:r>
      <w:r>
        <w:t>.</w:t>
      </w:r>
    </w:p>
    <w:p w14:paraId="6E94B676" w14:textId="77777777" w:rsidR="007C7312" w:rsidRDefault="007C7312" w:rsidP="005729D2">
      <w:pPr>
        <w:pStyle w:val="ListBullet"/>
        <w:numPr>
          <w:ilvl w:val="0"/>
          <w:numId w:val="75"/>
        </w:numPr>
      </w:pPr>
      <w:r>
        <w:t>Contact the Exchange Provider (IXP) and provide the service key that was returned when you created the dedicated circuit.</w:t>
      </w:r>
    </w:p>
    <w:p w14:paraId="5A28B458" w14:textId="77777777" w:rsidR="007C7312" w:rsidRDefault="007C7312" w:rsidP="005729D2">
      <w:pPr>
        <w:pStyle w:val="ListBullet"/>
        <w:numPr>
          <w:ilvl w:val="0"/>
          <w:numId w:val="75"/>
        </w:numPr>
      </w:pPr>
      <w:r>
        <w:t>The IXP performs the cross-connection on the circuits.</w:t>
      </w:r>
    </w:p>
    <w:p w14:paraId="669B67F6" w14:textId="77777777" w:rsidR="007C7312" w:rsidRDefault="007C7312" w:rsidP="005729D2">
      <w:pPr>
        <w:pStyle w:val="ListBullet"/>
        <w:numPr>
          <w:ilvl w:val="0"/>
          <w:numId w:val="75"/>
        </w:numPr>
      </w:pPr>
      <w:r>
        <w:t xml:space="preserve">Establish BGP peering by using the </w:t>
      </w:r>
      <w:r w:rsidRPr="00DA0071">
        <w:rPr>
          <w:b/>
        </w:rPr>
        <w:t>New-AzureBGPPeering</w:t>
      </w:r>
      <w:r>
        <w:t xml:space="preserve"> cmdlet. You need to run the cmdlet twice, once for private peering and once for public peering.</w:t>
      </w:r>
    </w:p>
    <w:p w14:paraId="76F19C29" w14:textId="2CDCE120" w:rsidR="008F529D" w:rsidRDefault="007C7312" w:rsidP="005729D2">
      <w:pPr>
        <w:pStyle w:val="ListBullet"/>
        <w:numPr>
          <w:ilvl w:val="0"/>
          <w:numId w:val="75"/>
        </w:numPr>
      </w:pPr>
      <w:r>
        <w:t xml:space="preserve">Use the </w:t>
      </w:r>
      <w:r w:rsidRPr="00DA0071">
        <w:rPr>
          <w:b/>
        </w:rPr>
        <w:t>New-AzureDedicatedCircuitLink</w:t>
      </w:r>
      <w:r>
        <w:t xml:space="preserve"> cmdlet to establish circuit to virtual network links for the private peering access.</w:t>
      </w:r>
    </w:p>
    <w:p w14:paraId="3E4F2C37" w14:textId="3B87255A" w:rsidR="005A7846" w:rsidRPr="005A7846" w:rsidRDefault="005A7846" w:rsidP="005729D2">
      <w:pPr>
        <w:pStyle w:val="Heading1Numbered"/>
        <w:numPr>
          <w:ilvl w:val="0"/>
          <w:numId w:val="64"/>
        </w:numPr>
      </w:pPr>
      <w:bookmarkStart w:id="7858" w:name="AppendixC"/>
      <w:bookmarkStart w:id="7859" w:name="_Toc423091778"/>
      <w:bookmarkStart w:id="7860" w:name="_Toc423116897"/>
      <w:bookmarkStart w:id="7861" w:name="_Toc423117930"/>
      <w:bookmarkStart w:id="7862" w:name="_Toc423117377"/>
      <w:bookmarkStart w:id="7863" w:name="_Toc431288976"/>
      <w:r w:rsidRPr="005A7846">
        <w:t xml:space="preserve">Appendix </w:t>
      </w:r>
      <w:bookmarkEnd w:id="7858"/>
      <w:r>
        <w:t>C</w:t>
      </w:r>
      <w:r w:rsidRPr="005A7846">
        <w:t xml:space="preserve">: </w:t>
      </w:r>
      <w:r w:rsidR="00F97B16">
        <w:t xml:space="preserve">Active Directory Administrative </w:t>
      </w:r>
      <w:r w:rsidRPr="005A7846">
        <w:t>Tier Model</w:t>
      </w:r>
      <w:bookmarkEnd w:id="7859"/>
      <w:bookmarkEnd w:id="7860"/>
      <w:bookmarkEnd w:id="7861"/>
      <w:bookmarkEnd w:id="7862"/>
      <w:bookmarkEnd w:id="7863"/>
    </w:p>
    <w:p w14:paraId="3C30E462" w14:textId="7EC454DB" w:rsidR="007C7312" w:rsidRDefault="005A7846" w:rsidP="007C7312">
      <w:r>
        <w:t>Microsoft</w:t>
      </w:r>
      <w:r w:rsidR="007C7312">
        <w:t xml:space="preserve"> published a tiered model of administrative control in the Microsoft whitepaper </w:t>
      </w:r>
      <w:hyperlink r:id="rId662" w:history="1">
        <w:r w:rsidR="007C7312" w:rsidRPr="008C7A50">
          <w:rPr>
            <w:rStyle w:val="Hyperlink"/>
          </w:rPr>
          <w:t>Mitigating Pass-the-Hash and Other Credential Theft, version</w:t>
        </w:r>
        <w:r w:rsidR="007C7312">
          <w:rPr>
            <w:rStyle w:val="Hyperlink"/>
          </w:rPr>
          <w:t> 2</w:t>
        </w:r>
      </w:hyperlink>
      <w:r w:rsidR="007C7312">
        <w:t xml:space="preserve"> (pages 15-19). This section contains additional detail about this tier model. </w:t>
      </w:r>
    </w:p>
    <w:p w14:paraId="3AB64910" w14:textId="77777777" w:rsidR="007C7312" w:rsidRPr="001A4DA9" w:rsidRDefault="007C7312" w:rsidP="005729D2">
      <w:pPr>
        <w:pStyle w:val="ListParagraph"/>
        <w:numPr>
          <w:ilvl w:val="0"/>
          <w:numId w:val="195"/>
        </w:numPr>
        <w:spacing w:before="0" w:after="160" w:line="259" w:lineRule="auto"/>
      </w:pPr>
      <w:r w:rsidRPr="001A4DA9">
        <w:rPr>
          <w:b/>
        </w:rPr>
        <w:t>Tier</w:t>
      </w:r>
      <w:r>
        <w:rPr>
          <w:b/>
        </w:rPr>
        <w:t> 0</w:t>
      </w:r>
      <w:r w:rsidRPr="001A4DA9">
        <w:t xml:space="preserve"> –</w:t>
      </w:r>
      <w:r>
        <w:t xml:space="preserve"> </w:t>
      </w:r>
      <w:r w:rsidRPr="001A4DA9">
        <w:t>Control of most</w:t>
      </w:r>
      <w:r>
        <w:t xml:space="preserve"> or </w:t>
      </w:r>
      <w:r w:rsidRPr="001A4DA9">
        <w:t>all assets in the environment. Tier</w:t>
      </w:r>
      <w:r>
        <w:t> 0</w:t>
      </w:r>
      <w:r w:rsidRPr="001A4DA9">
        <w:t xml:space="preserve"> includes accounts, groups, and other assets that have direct or indirect administrative control of the Active Directory forest, domains, or domain controllers</w:t>
      </w:r>
      <w:r>
        <w:t>,</w:t>
      </w:r>
      <w:r w:rsidRPr="001A4DA9">
        <w:t xml:space="preserve"> and all </w:t>
      </w:r>
      <w:r>
        <w:t xml:space="preserve">the </w:t>
      </w:r>
      <w:r w:rsidRPr="001A4DA9">
        <w:t xml:space="preserve">assets in it. </w:t>
      </w:r>
      <w:r>
        <w:t xml:space="preserve">The security sensitivity of all Tier 0 assets is equivalent as they are all effectively in control of each other. </w:t>
      </w:r>
    </w:p>
    <w:p w14:paraId="7E1DACE5" w14:textId="77777777" w:rsidR="007C7312" w:rsidRPr="001A4DA9" w:rsidRDefault="007C7312" w:rsidP="005729D2">
      <w:pPr>
        <w:pStyle w:val="ListParagraph"/>
        <w:numPr>
          <w:ilvl w:val="0"/>
          <w:numId w:val="195"/>
        </w:numPr>
        <w:spacing w:before="0" w:after="160" w:line="259" w:lineRule="auto"/>
      </w:pPr>
      <w:r w:rsidRPr="001A4DA9">
        <w:rPr>
          <w:b/>
        </w:rPr>
        <w:t>Tier</w:t>
      </w:r>
      <w:r>
        <w:rPr>
          <w:b/>
        </w:rPr>
        <w:t> 1</w:t>
      </w:r>
      <w:r w:rsidRPr="001A4DA9">
        <w:t xml:space="preserve"> – </w:t>
      </w:r>
      <w:r>
        <w:t>Control of e</w:t>
      </w:r>
      <w:r w:rsidRPr="001A4DA9">
        <w:t xml:space="preserve">nterprise </w:t>
      </w:r>
      <w:r>
        <w:t>s</w:t>
      </w:r>
      <w:r w:rsidRPr="001A4DA9">
        <w:t>erver</w:t>
      </w:r>
      <w:r>
        <w:t>s</w:t>
      </w:r>
      <w:r w:rsidRPr="001A4DA9">
        <w:t xml:space="preserve"> and </w:t>
      </w:r>
      <w:r>
        <w:t>a</w:t>
      </w:r>
      <w:r w:rsidRPr="001A4DA9">
        <w:t>pplications. Tier</w:t>
      </w:r>
      <w:r>
        <w:t> 1</w:t>
      </w:r>
      <w:r w:rsidRPr="001A4DA9">
        <w:t xml:space="preserve"> assets include server operating systems, cloud services, and enterprise applications. Tier</w:t>
      </w:r>
      <w:r>
        <w:t> 1</w:t>
      </w:r>
      <w:r w:rsidRPr="001A4DA9">
        <w:t xml:space="preserve"> administrator accounts </w:t>
      </w:r>
      <w:r>
        <w:t>have</w:t>
      </w:r>
      <w:r w:rsidRPr="001A4DA9">
        <w:t xml:space="preserve"> administrative control of a significant amount of business value </w:t>
      </w:r>
      <w:r>
        <w:t xml:space="preserve">that is </w:t>
      </w:r>
      <w:r w:rsidRPr="001A4DA9">
        <w:t>hosted on these assets</w:t>
      </w:r>
      <w:r>
        <w:t>.</w:t>
      </w:r>
      <w:r w:rsidRPr="001A4DA9">
        <w:t xml:space="preserve"> </w:t>
      </w:r>
      <w:r>
        <w:t>Examples include</w:t>
      </w:r>
      <w:r w:rsidRPr="001A4DA9">
        <w:t xml:space="preserve"> server administrators </w:t>
      </w:r>
      <w:r>
        <w:t>who</w:t>
      </w:r>
      <w:r w:rsidRPr="001A4DA9">
        <w:t xml:space="preserve"> maintain these operating systems or Exchange administrators with the ability to impact all users messaging data. </w:t>
      </w:r>
    </w:p>
    <w:p w14:paraId="7B24FD8E" w14:textId="537ED556" w:rsidR="005A7846" w:rsidRPr="001A4DA9" w:rsidRDefault="007C7312" w:rsidP="007C7312">
      <w:r w:rsidRPr="001A4DA9">
        <w:rPr>
          <w:b/>
        </w:rPr>
        <w:t>Tier</w:t>
      </w:r>
      <w:r>
        <w:rPr>
          <w:b/>
        </w:rPr>
        <w:t> 2</w:t>
      </w:r>
      <w:r w:rsidRPr="001A4DA9">
        <w:t xml:space="preserve"> – </w:t>
      </w:r>
      <w:r>
        <w:t>Control of u</w:t>
      </w:r>
      <w:r w:rsidRPr="001A4DA9">
        <w:t xml:space="preserve">ser </w:t>
      </w:r>
      <w:r>
        <w:t>w</w:t>
      </w:r>
      <w:r w:rsidRPr="001A4DA9">
        <w:t xml:space="preserve">orkstations and </w:t>
      </w:r>
      <w:r>
        <w:t>d</w:t>
      </w:r>
      <w:r w:rsidRPr="001A4DA9">
        <w:t>evices. Tier</w:t>
      </w:r>
      <w:r>
        <w:t> 2</w:t>
      </w:r>
      <w:r w:rsidRPr="001A4DA9">
        <w:t xml:space="preserve"> administrator accounts </w:t>
      </w:r>
      <w:r>
        <w:t>have</w:t>
      </w:r>
      <w:r w:rsidRPr="001A4DA9">
        <w:t xml:space="preserve"> administrative control of a significant amount of business value </w:t>
      </w:r>
      <w:r>
        <w:t xml:space="preserve">that is </w:t>
      </w:r>
      <w:r w:rsidRPr="001A4DA9">
        <w:t xml:space="preserve">hosted on </w:t>
      </w:r>
      <w:r>
        <w:t>u</w:t>
      </w:r>
      <w:r w:rsidRPr="001A4DA9">
        <w:t xml:space="preserve">ser </w:t>
      </w:r>
      <w:r>
        <w:t>w</w:t>
      </w:r>
      <w:r w:rsidRPr="001A4DA9">
        <w:t xml:space="preserve">orkstations and </w:t>
      </w:r>
      <w:r>
        <w:t>d</w:t>
      </w:r>
      <w:r w:rsidRPr="001A4DA9">
        <w:t>evices</w:t>
      </w:r>
      <w:r>
        <w:t>.</w:t>
      </w:r>
      <w:r w:rsidRPr="001A4DA9">
        <w:t xml:space="preserve"> </w:t>
      </w:r>
      <w:r>
        <w:t>Examples include</w:t>
      </w:r>
      <w:r w:rsidRPr="001A4DA9">
        <w:t xml:space="preserve"> </w:t>
      </w:r>
      <w:r>
        <w:t>H</w:t>
      </w:r>
      <w:r w:rsidRPr="001A4DA9">
        <w:t xml:space="preserve">elp </w:t>
      </w:r>
      <w:r>
        <w:t>D</w:t>
      </w:r>
      <w:r w:rsidRPr="001A4DA9">
        <w:t xml:space="preserve">esk and </w:t>
      </w:r>
      <w:r>
        <w:t>computer</w:t>
      </w:r>
      <w:r w:rsidRPr="001A4DA9">
        <w:t xml:space="preserve"> support administrators </w:t>
      </w:r>
      <w:r>
        <w:t>because</w:t>
      </w:r>
      <w:r w:rsidRPr="001A4DA9">
        <w:t xml:space="preserve"> they can impact the integrity of almost any user data</w:t>
      </w:r>
      <w:r w:rsidR="005A7846" w:rsidRPr="001A4DA9">
        <w:t xml:space="preserve">. </w:t>
      </w:r>
    </w:p>
    <w:p w14:paraId="55203030" w14:textId="77777777" w:rsidR="005A7846" w:rsidRDefault="005A7846" w:rsidP="005A7846"/>
    <w:p w14:paraId="4EE5882A" w14:textId="77777777" w:rsidR="005A7846" w:rsidRDefault="005A7846" w:rsidP="005A7846">
      <w:pPr>
        <w:jc w:val="center"/>
      </w:pPr>
      <w:r>
        <w:rPr>
          <w:noProof/>
        </w:rPr>
        <w:drawing>
          <wp:inline distT="0" distB="0" distL="0" distR="0" wp14:anchorId="4FA48EB7" wp14:editId="7703F1BF">
            <wp:extent cx="4349262" cy="2377225"/>
            <wp:effectExtent l="0" t="0" r="0" b="444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ieredModelv2.png"/>
                    <pic:cNvPicPr/>
                  </pic:nvPicPr>
                  <pic:blipFill>
                    <a:blip r:embed="rId663" cstate="print">
                      <a:extLst>
                        <a:ext uri="{28A0092B-C50C-407E-A947-70E740481C1C}">
                          <a14:useLocalDpi xmlns:a14="http://schemas.microsoft.com/office/drawing/2010/main" val="0"/>
                        </a:ext>
                      </a:extLst>
                    </a:blip>
                    <a:stretch>
                      <a:fillRect/>
                    </a:stretch>
                  </pic:blipFill>
                  <pic:spPr>
                    <a:xfrm>
                      <a:off x="0" y="0"/>
                      <a:ext cx="4358124" cy="2382069"/>
                    </a:xfrm>
                    <a:prstGeom prst="rect">
                      <a:avLst/>
                    </a:prstGeom>
                  </pic:spPr>
                </pic:pic>
              </a:graphicData>
            </a:graphic>
          </wp:inline>
        </w:drawing>
      </w:r>
    </w:p>
    <w:p w14:paraId="56A58E38" w14:textId="77777777" w:rsidR="005A7846" w:rsidRDefault="005A7846" w:rsidP="005A7846"/>
    <w:p w14:paraId="284DE7D1" w14:textId="623C9F23" w:rsidR="005A7846" w:rsidRDefault="007C7312" w:rsidP="005A7846">
      <w:pPr>
        <w:rPr>
          <w:color w:val="212121"/>
        </w:rPr>
      </w:pPr>
      <w:r>
        <w:rPr>
          <w:color w:val="212121"/>
        </w:rPr>
        <w:t xml:space="preserve">The Tier model prevents escalation of privilege by restricting what administrators can control and where they can log on (because logging on to a computer grants control of those credentials and all </w:t>
      </w:r>
      <w:r w:rsidRPr="003E4068">
        <w:rPr>
          <w:color w:val="212121"/>
        </w:rPr>
        <w:t>assets managed by those credentials)</w:t>
      </w:r>
      <w:r>
        <w:rPr>
          <w:color w:val="212121"/>
        </w:rPr>
        <w:t>.</w:t>
      </w:r>
      <w:r w:rsidR="005A7846" w:rsidRPr="003E4068">
        <w:rPr>
          <w:color w:val="212121"/>
        </w:rPr>
        <w:t xml:space="preserve"> </w:t>
      </w:r>
    </w:p>
    <w:p w14:paraId="4FC2FEDD" w14:textId="77777777" w:rsidR="005A7846" w:rsidRPr="003E4068" w:rsidRDefault="005A7846" w:rsidP="005A7846">
      <w:pPr>
        <w:rPr>
          <w:color w:val="212121"/>
        </w:rPr>
      </w:pPr>
      <w:r w:rsidRPr="00A33819">
        <w:rPr>
          <w:noProof/>
          <w:color w:val="212121"/>
        </w:rPr>
        <w:drawing>
          <wp:inline distT="0" distB="0" distL="0" distR="0" wp14:anchorId="6D5E2279" wp14:editId="4F5D5FFC">
            <wp:extent cx="5943600" cy="3342691"/>
            <wp:effectExtent l="76200" t="76200" r="95250" b="10541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4"/>
                    <a:stretch>
                      <a:fillRect/>
                    </a:stretch>
                  </pic:blipFill>
                  <pic:spPr>
                    <a:xfrm>
                      <a:off x="0" y="0"/>
                      <a:ext cx="5943600" cy="3342691"/>
                    </a:xfrm>
                    <a:prstGeom prst="rect">
                      <a:avLst/>
                    </a:prstGeom>
                    <a:solidFill>
                      <a:srgbClr val="FFFFFF">
                        <a:shade val="85000"/>
                      </a:srgbClr>
                    </a:solidFill>
                    <a:ln w="12700" cap="rnd">
                      <a:solidFill>
                        <a:schemeClr val="tx1"/>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0E44C5C8" w14:textId="77777777" w:rsidR="007C7312" w:rsidRPr="00437D68" w:rsidRDefault="007C7312" w:rsidP="007C7312">
      <w:pPr>
        <w:pStyle w:val="Heading4"/>
        <w:rPr>
          <w:rFonts w:ascii="Segoe UI" w:hAnsi="Segoe UI" w:cs="Segoe UI"/>
          <w:b/>
          <w:i w:val="0"/>
          <w:color w:val="auto"/>
          <w:sz w:val="22"/>
        </w:rPr>
      </w:pPr>
      <w:r w:rsidRPr="00437D68">
        <w:rPr>
          <w:rFonts w:ascii="Segoe UI" w:hAnsi="Segoe UI" w:cs="Segoe UI"/>
          <w:b/>
          <w:i w:val="0"/>
          <w:color w:val="auto"/>
          <w:sz w:val="22"/>
        </w:rPr>
        <w:t>Primary responsibilities</w:t>
      </w:r>
    </w:p>
    <w:p w14:paraId="7F64510F" w14:textId="77777777" w:rsidR="007C7312" w:rsidRDefault="007C7312" w:rsidP="007C7312">
      <w:pPr>
        <w:rPr>
          <w:b/>
          <w:bCs/>
          <w:color w:val="212121"/>
        </w:rPr>
      </w:pPr>
      <w:r w:rsidRPr="003E4068">
        <w:rPr>
          <w:b/>
          <w:bCs/>
          <w:color w:val="212121"/>
        </w:rPr>
        <w:t>Tier</w:t>
      </w:r>
      <w:r>
        <w:rPr>
          <w:b/>
          <w:bCs/>
          <w:color w:val="212121"/>
        </w:rPr>
        <w:t> 0</w:t>
      </w:r>
      <w:r w:rsidRPr="003E4068">
        <w:rPr>
          <w:b/>
          <w:bCs/>
          <w:color w:val="212121"/>
        </w:rPr>
        <w:t xml:space="preserve"> admin</w:t>
      </w:r>
      <w:r>
        <w:rPr>
          <w:b/>
          <w:bCs/>
          <w:color w:val="212121"/>
        </w:rPr>
        <w:t>istrator:</w:t>
      </w:r>
    </w:p>
    <w:p w14:paraId="4686B09F" w14:textId="77777777" w:rsidR="007C7312" w:rsidRPr="008C7A50" w:rsidRDefault="007C7312" w:rsidP="007C7312">
      <w:pPr>
        <w:rPr>
          <w:bCs/>
          <w:color w:val="212121"/>
        </w:rPr>
      </w:pPr>
      <w:r w:rsidRPr="008C7A50">
        <w:rPr>
          <w:bCs/>
          <w:color w:val="212121"/>
        </w:rPr>
        <w:t>To manage the identity store and a small number of systems that are in effective control of it, and:</w:t>
      </w:r>
    </w:p>
    <w:p w14:paraId="3832AD7D" w14:textId="77777777" w:rsidR="007C7312" w:rsidRPr="003E4068" w:rsidRDefault="007C7312" w:rsidP="005729D2">
      <w:pPr>
        <w:pStyle w:val="ListParagraph"/>
        <w:numPr>
          <w:ilvl w:val="0"/>
          <w:numId w:val="223"/>
        </w:numPr>
        <w:spacing w:before="0" w:after="160" w:line="259" w:lineRule="auto"/>
        <w:rPr>
          <w:color w:val="212121"/>
        </w:rPr>
      </w:pPr>
      <w:r>
        <w:rPr>
          <w:bCs/>
          <w:color w:val="212121"/>
        </w:rPr>
        <w:t>Can</w:t>
      </w:r>
      <w:r w:rsidRPr="003E4068">
        <w:rPr>
          <w:bCs/>
          <w:color w:val="212121"/>
        </w:rPr>
        <w:t xml:space="preserve"> manage</w:t>
      </w:r>
      <w:r>
        <w:rPr>
          <w:bCs/>
          <w:color w:val="212121"/>
        </w:rPr>
        <w:t xml:space="preserve"> and </w:t>
      </w:r>
      <w:r w:rsidRPr="003E4068">
        <w:rPr>
          <w:bCs/>
          <w:color w:val="212121"/>
        </w:rPr>
        <w:t>control assets at any level as required</w:t>
      </w:r>
    </w:p>
    <w:p w14:paraId="0B365334" w14:textId="77777777" w:rsidR="007C7312" w:rsidRPr="003E4068" w:rsidRDefault="007C7312" w:rsidP="005729D2">
      <w:pPr>
        <w:pStyle w:val="ListParagraph"/>
        <w:numPr>
          <w:ilvl w:val="0"/>
          <w:numId w:val="223"/>
        </w:numPr>
        <w:spacing w:before="0" w:after="160" w:line="259" w:lineRule="auto"/>
        <w:rPr>
          <w:color w:val="212121"/>
        </w:rPr>
      </w:pPr>
      <w:r>
        <w:rPr>
          <w:color w:val="212121"/>
        </w:rPr>
        <w:t>Can</w:t>
      </w:r>
      <w:r w:rsidRPr="003E4068">
        <w:rPr>
          <w:color w:val="212121"/>
        </w:rPr>
        <w:t xml:space="preserve"> only log on interactively or access assets trusted at the Tier</w:t>
      </w:r>
      <w:r>
        <w:rPr>
          <w:color w:val="212121"/>
        </w:rPr>
        <w:t> 0</w:t>
      </w:r>
      <w:r w:rsidRPr="003E4068">
        <w:rPr>
          <w:color w:val="212121"/>
        </w:rPr>
        <w:t xml:space="preserve"> level</w:t>
      </w:r>
    </w:p>
    <w:p w14:paraId="3E22AD9C" w14:textId="77777777" w:rsidR="007C7312" w:rsidRDefault="007C7312" w:rsidP="007C7312">
      <w:pPr>
        <w:rPr>
          <w:b/>
          <w:bCs/>
          <w:color w:val="212121"/>
        </w:rPr>
      </w:pPr>
      <w:r w:rsidRPr="003E4068">
        <w:rPr>
          <w:b/>
          <w:bCs/>
          <w:color w:val="212121"/>
        </w:rPr>
        <w:t>Tier</w:t>
      </w:r>
      <w:r>
        <w:rPr>
          <w:b/>
          <w:bCs/>
          <w:color w:val="212121"/>
        </w:rPr>
        <w:t> 1</w:t>
      </w:r>
      <w:r w:rsidRPr="003E4068">
        <w:rPr>
          <w:b/>
          <w:bCs/>
          <w:color w:val="212121"/>
        </w:rPr>
        <w:t xml:space="preserve"> admin</w:t>
      </w:r>
      <w:r>
        <w:rPr>
          <w:b/>
          <w:bCs/>
          <w:color w:val="212121"/>
        </w:rPr>
        <w:t>istrator:</w:t>
      </w:r>
    </w:p>
    <w:p w14:paraId="536B0A98" w14:textId="77777777" w:rsidR="007C7312" w:rsidRPr="008C7A50" w:rsidRDefault="007C7312" w:rsidP="007C7312">
      <w:pPr>
        <w:rPr>
          <w:bCs/>
          <w:color w:val="212121"/>
        </w:rPr>
      </w:pPr>
      <w:r w:rsidRPr="008C7A50">
        <w:rPr>
          <w:bCs/>
          <w:color w:val="212121"/>
        </w:rPr>
        <w:t>To manage enterprise servers, services, and applications, and:</w:t>
      </w:r>
    </w:p>
    <w:p w14:paraId="4C8249A7" w14:textId="77777777" w:rsidR="007C7312" w:rsidRPr="003E4068" w:rsidRDefault="007C7312" w:rsidP="005729D2">
      <w:pPr>
        <w:pStyle w:val="ListParagraph"/>
        <w:numPr>
          <w:ilvl w:val="0"/>
          <w:numId w:val="224"/>
        </w:numPr>
        <w:spacing w:before="0" w:after="160" w:line="259" w:lineRule="auto"/>
        <w:rPr>
          <w:color w:val="212121"/>
        </w:rPr>
      </w:pPr>
      <w:r>
        <w:rPr>
          <w:bCs/>
          <w:color w:val="212121"/>
        </w:rPr>
        <w:t>Can</w:t>
      </w:r>
      <w:r w:rsidRPr="003E4068">
        <w:rPr>
          <w:bCs/>
          <w:color w:val="212121"/>
        </w:rPr>
        <w:t xml:space="preserve"> only manage</w:t>
      </w:r>
      <w:r>
        <w:rPr>
          <w:bCs/>
          <w:color w:val="212121"/>
        </w:rPr>
        <w:t xml:space="preserve"> and </w:t>
      </w:r>
      <w:r w:rsidRPr="003E4068">
        <w:rPr>
          <w:bCs/>
          <w:color w:val="212121"/>
        </w:rPr>
        <w:t>control assets at the Tier</w:t>
      </w:r>
      <w:r>
        <w:rPr>
          <w:bCs/>
          <w:color w:val="212121"/>
        </w:rPr>
        <w:t> 1</w:t>
      </w:r>
      <w:r w:rsidRPr="003E4068">
        <w:rPr>
          <w:bCs/>
          <w:color w:val="212121"/>
        </w:rPr>
        <w:t xml:space="preserve"> or Tier</w:t>
      </w:r>
      <w:r>
        <w:rPr>
          <w:bCs/>
          <w:color w:val="212121"/>
        </w:rPr>
        <w:t> 2</w:t>
      </w:r>
      <w:r w:rsidRPr="003E4068">
        <w:rPr>
          <w:bCs/>
          <w:color w:val="212121"/>
        </w:rPr>
        <w:t xml:space="preserve"> level</w:t>
      </w:r>
    </w:p>
    <w:p w14:paraId="3D505CBE" w14:textId="77777777" w:rsidR="007C7312" w:rsidRPr="003E4068" w:rsidRDefault="007C7312" w:rsidP="005729D2">
      <w:pPr>
        <w:pStyle w:val="ListParagraph"/>
        <w:numPr>
          <w:ilvl w:val="0"/>
          <w:numId w:val="224"/>
        </w:numPr>
        <w:spacing w:before="0" w:after="160" w:line="259" w:lineRule="auto"/>
        <w:rPr>
          <w:color w:val="212121"/>
        </w:rPr>
      </w:pPr>
      <w:r>
        <w:rPr>
          <w:color w:val="212121"/>
        </w:rPr>
        <w:t>Can</w:t>
      </w:r>
      <w:r w:rsidRPr="003E4068">
        <w:rPr>
          <w:color w:val="212121"/>
        </w:rPr>
        <w:t xml:space="preserve"> only access assets (via network logon type) that are trusted at the Tier</w:t>
      </w:r>
      <w:r>
        <w:rPr>
          <w:color w:val="212121"/>
        </w:rPr>
        <w:t> 1</w:t>
      </w:r>
      <w:r w:rsidRPr="003E4068">
        <w:rPr>
          <w:color w:val="212121"/>
        </w:rPr>
        <w:t xml:space="preserve"> or Tier</w:t>
      </w:r>
      <w:r>
        <w:rPr>
          <w:color w:val="212121"/>
        </w:rPr>
        <w:t> 0</w:t>
      </w:r>
      <w:r w:rsidRPr="003E4068">
        <w:rPr>
          <w:color w:val="212121"/>
        </w:rPr>
        <w:t xml:space="preserve"> level</w:t>
      </w:r>
      <w:r>
        <w:rPr>
          <w:color w:val="212121"/>
        </w:rPr>
        <w:t>s</w:t>
      </w:r>
    </w:p>
    <w:p w14:paraId="4F02AD07" w14:textId="77777777" w:rsidR="007C7312" w:rsidRPr="003E4068" w:rsidRDefault="007C7312" w:rsidP="005729D2">
      <w:pPr>
        <w:pStyle w:val="ListParagraph"/>
        <w:numPr>
          <w:ilvl w:val="0"/>
          <w:numId w:val="224"/>
        </w:numPr>
        <w:spacing w:before="0" w:after="160" w:line="259" w:lineRule="auto"/>
        <w:rPr>
          <w:color w:val="212121"/>
        </w:rPr>
      </w:pPr>
      <w:r>
        <w:rPr>
          <w:color w:val="212121"/>
        </w:rPr>
        <w:t>Can</w:t>
      </w:r>
      <w:r w:rsidRPr="003E4068">
        <w:rPr>
          <w:color w:val="212121"/>
        </w:rPr>
        <w:t xml:space="preserve"> only interactively log on to assets trusted at </w:t>
      </w:r>
      <w:r>
        <w:rPr>
          <w:color w:val="212121"/>
        </w:rPr>
        <w:t xml:space="preserve">the </w:t>
      </w:r>
      <w:r w:rsidRPr="003E4068">
        <w:rPr>
          <w:color w:val="212121"/>
        </w:rPr>
        <w:t>Tier</w:t>
      </w:r>
      <w:r>
        <w:rPr>
          <w:color w:val="212121"/>
        </w:rPr>
        <w:t> 1</w:t>
      </w:r>
      <w:r w:rsidRPr="003E4068">
        <w:rPr>
          <w:color w:val="212121"/>
        </w:rPr>
        <w:t xml:space="preserve"> level</w:t>
      </w:r>
    </w:p>
    <w:p w14:paraId="34B4D4BD" w14:textId="77777777" w:rsidR="007C7312" w:rsidRDefault="007C7312" w:rsidP="007C7312">
      <w:pPr>
        <w:rPr>
          <w:b/>
          <w:bCs/>
          <w:color w:val="212121"/>
        </w:rPr>
      </w:pPr>
      <w:r w:rsidRPr="003E4068">
        <w:rPr>
          <w:b/>
          <w:bCs/>
          <w:color w:val="212121"/>
        </w:rPr>
        <w:t>Tier</w:t>
      </w:r>
      <w:r>
        <w:rPr>
          <w:b/>
          <w:bCs/>
          <w:color w:val="212121"/>
        </w:rPr>
        <w:t> 2</w:t>
      </w:r>
      <w:r w:rsidRPr="003E4068">
        <w:rPr>
          <w:b/>
          <w:bCs/>
          <w:color w:val="212121"/>
        </w:rPr>
        <w:t xml:space="preserve"> admin</w:t>
      </w:r>
      <w:r>
        <w:rPr>
          <w:b/>
          <w:bCs/>
          <w:color w:val="212121"/>
        </w:rPr>
        <w:t>istrator:</w:t>
      </w:r>
    </w:p>
    <w:p w14:paraId="18521F6B" w14:textId="77777777" w:rsidR="007C7312" w:rsidRPr="008C7A50" w:rsidRDefault="007C7312" w:rsidP="007C7312">
      <w:pPr>
        <w:rPr>
          <w:bCs/>
          <w:color w:val="212121"/>
        </w:rPr>
      </w:pPr>
      <w:r w:rsidRPr="008C7A50">
        <w:rPr>
          <w:bCs/>
          <w:color w:val="212121"/>
        </w:rPr>
        <w:t>To manage enterprise desktops, laptops, printers, and other user devices, and:</w:t>
      </w:r>
    </w:p>
    <w:p w14:paraId="218C0DA9" w14:textId="77777777" w:rsidR="007C7312" w:rsidRPr="003E4068" w:rsidRDefault="007C7312" w:rsidP="005729D2">
      <w:pPr>
        <w:pStyle w:val="ListParagraph"/>
        <w:numPr>
          <w:ilvl w:val="0"/>
          <w:numId w:val="224"/>
        </w:numPr>
        <w:spacing w:before="0" w:after="160" w:line="259" w:lineRule="auto"/>
        <w:rPr>
          <w:color w:val="212121"/>
        </w:rPr>
      </w:pPr>
      <w:r>
        <w:rPr>
          <w:bCs/>
          <w:color w:val="212121"/>
        </w:rPr>
        <w:t>Can</w:t>
      </w:r>
      <w:r w:rsidRPr="003E4068">
        <w:rPr>
          <w:bCs/>
          <w:color w:val="212121"/>
        </w:rPr>
        <w:t xml:space="preserve"> only manage</w:t>
      </w:r>
      <w:r>
        <w:rPr>
          <w:bCs/>
          <w:color w:val="212121"/>
        </w:rPr>
        <w:t xml:space="preserve"> and </w:t>
      </w:r>
      <w:r w:rsidRPr="003E4068">
        <w:rPr>
          <w:bCs/>
          <w:color w:val="212121"/>
        </w:rPr>
        <w:t>control assets at the Tier</w:t>
      </w:r>
      <w:r>
        <w:rPr>
          <w:bCs/>
          <w:color w:val="212121"/>
        </w:rPr>
        <w:t> 2</w:t>
      </w:r>
      <w:r w:rsidRPr="003E4068">
        <w:rPr>
          <w:bCs/>
          <w:color w:val="212121"/>
        </w:rPr>
        <w:t xml:space="preserve"> level</w:t>
      </w:r>
    </w:p>
    <w:p w14:paraId="14F4D24E" w14:textId="77777777" w:rsidR="007C7312" w:rsidRPr="003E4068" w:rsidRDefault="007C7312" w:rsidP="005729D2">
      <w:pPr>
        <w:pStyle w:val="ListParagraph"/>
        <w:numPr>
          <w:ilvl w:val="0"/>
          <w:numId w:val="224"/>
        </w:numPr>
        <w:spacing w:before="0" w:after="160" w:line="259" w:lineRule="auto"/>
        <w:rPr>
          <w:color w:val="212121"/>
        </w:rPr>
      </w:pPr>
      <w:r>
        <w:rPr>
          <w:color w:val="212121"/>
        </w:rPr>
        <w:t>Can</w:t>
      </w:r>
      <w:r w:rsidRPr="003E4068">
        <w:rPr>
          <w:color w:val="212121"/>
        </w:rPr>
        <w:t xml:space="preserve"> </w:t>
      </w:r>
      <w:r>
        <w:rPr>
          <w:color w:val="212121"/>
        </w:rPr>
        <w:t xml:space="preserve">access </w:t>
      </w:r>
      <w:r w:rsidRPr="003E4068">
        <w:rPr>
          <w:color w:val="212121"/>
        </w:rPr>
        <w:t xml:space="preserve">assets (via network logon type) </w:t>
      </w:r>
      <w:r w:rsidRPr="003E4068">
        <w:rPr>
          <w:bCs/>
          <w:color w:val="212121"/>
        </w:rPr>
        <w:t>at any level as required</w:t>
      </w:r>
    </w:p>
    <w:p w14:paraId="1165E415" w14:textId="0F34BFDF" w:rsidR="005A7846" w:rsidRPr="003E4068" w:rsidRDefault="007C7312" w:rsidP="005729D2">
      <w:pPr>
        <w:pStyle w:val="ListParagraph"/>
        <w:numPr>
          <w:ilvl w:val="0"/>
          <w:numId w:val="224"/>
        </w:numPr>
        <w:spacing w:before="0" w:after="160" w:line="259" w:lineRule="auto"/>
        <w:rPr>
          <w:color w:val="212121"/>
        </w:rPr>
      </w:pPr>
      <w:r>
        <w:rPr>
          <w:color w:val="212121"/>
        </w:rPr>
        <w:t>Can</w:t>
      </w:r>
      <w:r w:rsidRPr="003E4068">
        <w:rPr>
          <w:color w:val="212121"/>
        </w:rPr>
        <w:t xml:space="preserve"> only interactively log on to assets trusted at Tier</w:t>
      </w:r>
      <w:r>
        <w:rPr>
          <w:color w:val="212121"/>
        </w:rPr>
        <w:t> 2</w:t>
      </w:r>
      <w:r w:rsidRPr="003E4068">
        <w:rPr>
          <w:color w:val="212121"/>
        </w:rPr>
        <w:t xml:space="preserve"> level</w:t>
      </w:r>
    </w:p>
    <w:p w14:paraId="0CEBB44D" w14:textId="77777777" w:rsidR="005A7846" w:rsidRDefault="005A7846" w:rsidP="005A7846">
      <w:r w:rsidRPr="002A353D">
        <w:rPr>
          <w:noProof/>
          <w:color w:val="212121"/>
        </w:rPr>
        <w:drawing>
          <wp:inline distT="0" distB="0" distL="0" distR="0" wp14:anchorId="4C383344" wp14:editId="2313A70C">
            <wp:extent cx="5943600" cy="3342640"/>
            <wp:effectExtent l="76200" t="76200" r="95250" b="10541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5"/>
                    <a:stretch>
                      <a:fillRect/>
                    </a:stretch>
                  </pic:blipFill>
                  <pic:spPr>
                    <a:xfrm>
                      <a:off x="0" y="0"/>
                      <a:ext cx="5943600" cy="3342640"/>
                    </a:xfrm>
                    <a:prstGeom prst="rect">
                      <a:avLst/>
                    </a:prstGeom>
                    <a:solidFill>
                      <a:srgbClr val="FFFFFF">
                        <a:shade val="85000"/>
                      </a:srgbClr>
                    </a:solidFill>
                    <a:ln w="12700" cap="rnd">
                      <a:solidFill>
                        <a:schemeClr val="tx1"/>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4970AA11" w14:textId="6C36B5B2" w:rsidR="005A7846" w:rsidRDefault="005A7846" w:rsidP="005A7846">
      <w:r w:rsidRPr="0050642B">
        <w:rPr>
          <w:color w:val="212121"/>
        </w:rPr>
        <w:t xml:space="preserve">The security dependencies of the </w:t>
      </w:r>
      <w:r w:rsidR="007C7312">
        <w:rPr>
          <w:color w:val="212121"/>
        </w:rPr>
        <w:t>domain controllers</w:t>
      </w:r>
      <w:r w:rsidRPr="0050642B">
        <w:rPr>
          <w:color w:val="212121"/>
        </w:rPr>
        <w:t xml:space="preserve"> include all hosts, groups, accounts, and other objects that have effective control of them</w:t>
      </w:r>
      <w:r>
        <w:rPr>
          <w:color w:val="212121"/>
        </w:rPr>
        <w:t>.</w:t>
      </w:r>
    </w:p>
    <w:p w14:paraId="02391B95" w14:textId="77777777" w:rsidR="005A7846" w:rsidRDefault="005A7846" w:rsidP="005A7846">
      <w:r w:rsidRPr="00486767">
        <w:rPr>
          <w:noProof/>
          <w:color w:val="212121"/>
        </w:rPr>
        <w:drawing>
          <wp:inline distT="0" distB="0" distL="0" distR="0" wp14:anchorId="43FC4E0D" wp14:editId="414B28A2">
            <wp:extent cx="5938947" cy="3340100"/>
            <wp:effectExtent l="38100" t="38100" r="43180" b="31750"/>
            <wp:docPr id="1252047296" name="Picture 1252047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6" cstate="print">
                      <a:extLst>
                        <a:ext uri="{28A0092B-C50C-407E-A947-70E740481C1C}">
                          <a14:useLocalDpi xmlns:a14="http://schemas.microsoft.com/office/drawing/2010/main" val="0"/>
                        </a:ext>
                      </a:extLst>
                    </a:blip>
                    <a:stretch>
                      <a:fillRect/>
                    </a:stretch>
                  </pic:blipFill>
                  <pic:spPr>
                    <a:xfrm>
                      <a:off x="0" y="0"/>
                      <a:ext cx="5938947" cy="3340100"/>
                    </a:xfrm>
                    <a:prstGeom prst="rect">
                      <a:avLst/>
                    </a:prstGeom>
                    <a:ln w="28575">
                      <a:solidFill>
                        <a:schemeClr val="tx1"/>
                      </a:solidFill>
                    </a:ln>
                  </pic:spPr>
                </pic:pic>
              </a:graphicData>
            </a:graphic>
          </wp:inline>
        </w:drawing>
      </w:r>
    </w:p>
    <w:p w14:paraId="63E3C897" w14:textId="192F1AC8" w:rsidR="005A7846" w:rsidRPr="00F54186" w:rsidRDefault="007C7312" w:rsidP="005A7846">
      <w:pPr>
        <w:rPr>
          <w:rStyle w:val="Strong"/>
          <w:rFonts w:asciiTheme="minorHAnsi" w:eastAsiaTheme="minorHAnsi" w:hAnsiTheme="minorHAnsi"/>
          <w:b w:val="0"/>
        </w:rPr>
      </w:pPr>
      <w:bookmarkStart w:id="7864" w:name="_Toc356903408"/>
      <w:bookmarkStart w:id="7865" w:name="_Toc359397647"/>
      <w:bookmarkStart w:id="7866" w:name="_Toc421201802"/>
      <w:r w:rsidRPr="00F4009E">
        <w:rPr>
          <w:rStyle w:val="Strong"/>
          <w:b w:val="0"/>
        </w:rPr>
        <w:t xml:space="preserve">Note that there are assets that can </w:t>
      </w:r>
      <w:r w:rsidRPr="00B735D7">
        <w:rPr>
          <w:rStyle w:val="Strong"/>
          <w:b w:val="0"/>
        </w:rPr>
        <w:t xml:space="preserve">have </w:t>
      </w:r>
      <w:r w:rsidRPr="00F4009E">
        <w:rPr>
          <w:rStyle w:val="Strong"/>
          <w:b w:val="0"/>
        </w:rPr>
        <w:t>Tier</w:t>
      </w:r>
      <w:r>
        <w:rPr>
          <w:rStyle w:val="Strong"/>
          <w:b w:val="0"/>
        </w:rPr>
        <w:t> 0</w:t>
      </w:r>
      <w:r w:rsidRPr="00F4009E">
        <w:rPr>
          <w:rStyle w:val="Strong"/>
          <w:b w:val="0"/>
        </w:rPr>
        <w:t xml:space="preserve"> </w:t>
      </w:r>
      <w:r w:rsidRPr="00B735D7">
        <w:rPr>
          <w:rStyle w:val="Strong"/>
          <w:b w:val="0"/>
        </w:rPr>
        <w:t xml:space="preserve">impact </w:t>
      </w:r>
      <w:r w:rsidRPr="002B0537">
        <w:rPr>
          <w:rStyle w:val="Strong"/>
          <w:b w:val="0"/>
        </w:rPr>
        <w:t xml:space="preserve">to availability of the </w:t>
      </w:r>
      <w:r w:rsidRPr="00F54186">
        <w:rPr>
          <w:rStyle w:val="Strong"/>
          <w:b w:val="0"/>
        </w:rPr>
        <w:t xml:space="preserve">environment, but do not directly impact the confidentiality or integrity of the assets. These include </w:t>
      </w:r>
      <w:r>
        <w:rPr>
          <w:rStyle w:val="Strong"/>
          <w:b w:val="0"/>
        </w:rPr>
        <w:t xml:space="preserve">the </w:t>
      </w:r>
      <w:r w:rsidRPr="00F54186">
        <w:rPr>
          <w:rStyle w:val="Strong"/>
          <w:b w:val="0"/>
        </w:rPr>
        <w:t xml:space="preserve">DNS </w:t>
      </w:r>
      <w:r>
        <w:rPr>
          <w:rStyle w:val="Strong"/>
          <w:b w:val="0"/>
        </w:rPr>
        <w:t xml:space="preserve">Server </w:t>
      </w:r>
      <w:r w:rsidRPr="00F54186">
        <w:rPr>
          <w:rStyle w:val="Strong"/>
          <w:b w:val="0"/>
        </w:rPr>
        <w:t xml:space="preserve">service and critical network devices like </w:t>
      </w:r>
      <w:r>
        <w:rPr>
          <w:rStyle w:val="Strong"/>
          <w:b w:val="0"/>
        </w:rPr>
        <w:t>Internet</w:t>
      </w:r>
      <w:r w:rsidRPr="00F54186">
        <w:rPr>
          <w:rStyle w:val="Strong"/>
          <w:b w:val="0"/>
        </w:rPr>
        <w:t xml:space="preserve"> proxies. </w:t>
      </w:r>
      <w:r w:rsidR="005A7846" w:rsidRPr="00F54186">
        <w:rPr>
          <w:rStyle w:val="Strong"/>
          <w:b w:val="0"/>
        </w:rPr>
        <w:t xml:space="preserve"> </w:t>
      </w:r>
    </w:p>
    <w:bookmarkEnd w:id="7864"/>
    <w:bookmarkEnd w:id="7865"/>
    <w:bookmarkEnd w:id="7866"/>
    <w:p w14:paraId="6C2F18EB" w14:textId="2AFDED9D" w:rsidR="008F529D" w:rsidRDefault="008F529D" w:rsidP="00F32872"/>
    <w:p w14:paraId="436B3D1A" w14:textId="06AD74A7" w:rsidR="0015729D" w:rsidRPr="0015729D" w:rsidRDefault="0015729D" w:rsidP="005729D2">
      <w:pPr>
        <w:pStyle w:val="Heading1Numbered"/>
        <w:numPr>
          <w:ilvl w:val="0"/>
          <w:numId w:val="64"/>
        </w:numPr>
      </w:pPr>
      <w:bookmarkStart w:id="7867" w:name="AppendixD"/>
      <w:bookmarkStart w:id="7868" w:name="_Toc423091783"/>
      <w:bookmarkStart w:id="7869" w:name="_Toc423116898"/>
      <w:bookmarkStart w:id="7870" w:name="_Toc423117931"/>
      <w:bookmarkStart w:id="7871" w:name="_Toc423117378"/>
      <w:bookmarkStart w:id="7872" w:name="_Toc431288977"/>
      <w:r w:rsidRPr="0015729D">
        <w:t xml:space="preserve">Appendix </w:t>
      </w:r>
      <w:r w:rsidR="0085150A">
        <w:t>D</w:t>
      </w:r>
      <w:bookmarkEnd w:id="7867"/>
      <w:r w:rsidRPr="0015729D">
        <w:t xml:space="preserve">: Removing </w:t>
      </w:r>
      <w:r w:rsidR="00F97B16">
        <w:t>S</w:t>
      </w:r>
      <w:r w:rsidRPr="0015729D">
        <w:t xml:space="preserve">ervice </w:t>
      </w:r>
      <w:r w:rsidR="00F97B16">
        <w:t>A</w:t>
      </w:r>
      <w:r w:rsidRPr="0015729D">
        <w:t>ccounts from Tier 0</w:t>
      </w:r>
      <w:bookmarkEnd w:id="7868"/>
      <w:bookmarkEnd w:id="7869"/>
      <w:bookmarkEnd w:id="7870"/>
      <w:bookmarkEnd w:id="7871"/>
      <w:bookmarkEnd w:id="7872"/>
    </w:p>
    <w:p w14:paraId="0E5F9CD2" w14:textId="59925137" w:rsidR="0030368C" w:rsidRPr="00883064" w:rsidRDefault="0015729D" w:rsidP="0030368C">
      <w:bookmarkStart w:id="7873" w:name="_Toc392059100"/>
      <w:r w:rsidRPr="00883064">
        <w:t>Service</w:t>
      </w:r>
      <w:r w:rsidR="0030368C" w:rsidRPr="00883064">
        <w:t xml:space="preserve"> or </w:t>
      </w:r>
      <w:r w:rsidR="0030368C">
        <w:t>a</w:t>
      </w:r>
      <w:r w:rsidR="0030368C" w:rsidRPr="00883064">
        <w:t>pplication accounts that are granted Tier</w:t>
      </w:r>
      <w:r w:rsidR="0030368C">
        <w:t> 0</w:t>
      </w:r>
      <w:r w:rsidR="0030368C" w:rsidRPr="00883064">
        <w:t xml:space="preserve"> privileges introduce a significant amount of risk to </w:t>
      </w:r>
      <w:r w:rsidR="0030368C">
        <w:t>an</w:t>
      </w:r>
      <w:r w:rsidR="0030368C" w:rsidRPr="00883064">
        <w:t xml:space="preserve"> organization’s mission and business. This configuration should be remediated as a top </w:t>
      </w:r>
      <w:r w:rsidR="0030368C">
        <w:t xml:space="preserve">security </w:t>
      </w:r>
      <w:r w:rsidR="0030368C" w:rsidRPr="00883064">
        <w:t xml:space="preserve">priority. </w:t>
      </w:r>
    </w:p>
    <w:p w14:paraId="050FE0D6" w14:textId="77777777" w:rsidR="0030368C" w:rsidRPr="00883064" w:rsidRDefault="0030368C" w:rsidP="0030368C">
      <w:r w:rsidRPr="00883064">
        <w:t>Organizations may have one or more service</w:t>
      </w:r>
      <w:r w:rsidRPr="00E80FE5">
        <w:t xml:space="preserve"> accounts in a group that grants tier</w:t>
      </w:r>
      <w:r>
        <w:t> 0</w:t>
      </w:r>
      <w:r w:rsidRPr="00E80FE5">
        <w:t xml:space="preserve"> access</w:t>
      </w:r>
      <w:r>
        <w:t>,</w:t>
      </w:r>
      <w:r w:rsidRPr="00E80FE5">
        <w:t xml:space="preserve"> such as domain admins, domain\administrators, </w:t>
      </w:r>
      <w:r>
        <w:t xml:space="preserve">schema admins, backup operators, </w:t>
      </w:r>
      <w:r w:rsidRPr="00E80FE5">
        <w:t>or enterprise admins</w:t>
      </w:r>
      <w:r>
        <w:t xml:space="preserve">. </w:t>
      </w:r>
      <w:r w:rsidRPr="00883064">
        <w:t>Frequently</w:t>
      </w:r>
      <w:r>
        <w:t>,</w:t>
      </w:r>
      <w:r w:rsidRPr="00883064">
        <w:t xml:space="preserve"> domains are configured such that account operators and server operators are also effective Tier</w:t>
      </w:r>
      <w:r>
        <w:t> 0</w:t>
      </w:r>
      <w:r w:rsidRPr="00883064">
        <w:t xml:space="preserve"> operators via the accounts, servers, and applications these roles can effectively control.</w:t>
      </w:r>
    </w:p>
    <w:p w14:paraId="4D311C3A" w14:textId="77777777" w:rsidR="0030368C" w:rsidRDefault="0030368C" w:rsidP="0030368C">
      <w:r w:rsidRPr="00883064">
        <w:t xml:space="preserve">The specific options to mitigate these risks depend on the application functionality that initiated the granting of these rights. </w:t>
      </w:r>
      <w:r>
        <w:t xml:space="preserve">You should consult the product documentation and vendor support to ensure all designed configurations are supported by the vendor. Always test changes before deploying to production. </w:t>
      </w:r>
    </w:p>
    <w:p w14:paraId="7014B688" w14:textId="77777777" w:rsidR="0030368C" w:rsidRPr="00791F0B" w:rsidRDefault="0030368C" w:rsidP="0030368C">
      <w:r w:rsidRPr="00883064">
        <w:t>In most cases</w:t>
      </w:r>
      <w:r>
        <w:t>,</w:t>
      </w:r>
      <w:r w:rsidRPr="00883064">
        <w:t xml:space="preserve"> these configurations have been made to support the need for an application to exercise administrative rights for one of the following scopes:</w:t>
      </w:r>
    </w:p>
    <w:p w14:paraId="65AB7AF6" w14:textId="77777777" w:rsidR="0030368C" w:rsidRPr="00791F0B" w:rsidRDefault="0030368C" w:rsidP="005729D2">
      <w:pPr>
        <w:pStyle w:val="ListParagraph"/>
        <w:numPr>
          <w:ilvl w:val="0"/>
          <w:numId w:val="291"/>
        </w:numPr>
        <w:spacing w:before="0" w:after="160" w:line="259" w:lineRule="auto"/>
      </w:pPr>
      <w:r w:rsidRPr="00791F0B">
        <w:t xml:space="preserve">All </w:t>
      </w:r>
      <w:r>
        <w:t xml:space="preserve">clients and/or servers in the </w:t>
      </w:r>
      <w:r w:rsidRPr="00791F0B">
        <w:t xml:space="preserve">domain </w:t>
      </w:r>
    </w:p>
    <w:p w14:paraId="7E991D6F" w14:textId="77777777" w:rsidR="0030368C" w:rsidRPr="00791F0B" w:rsidRDefault="0030368C" w:rsidP="005729D2">
      <w:pPr>
        <w:pStyle w:val="ListParagraph"/>
        <w:numPr>
          <w:ilvl w:val="0"/>
          <w:numId w:val="291"/>
        </w:numPr>
        <w:spacing w:before="0" w:after="160" w:line="259" w:lineRule="auto"/>
      </w:pPr>
      <w:r w:rsidRPr="00791F0B">
        <w:t>All user</w:t>
      </w:r>
      <w:r>
        <w:t xml:space="preserve"> or computer</w:t>
      </w:r>
      <w:r w:rsidRPr="00791F0B">
        <w:t xml:space="preserve"> accounts</w:t>
      </w:r>
      <w:r>
        <w:t xml:space="preserve"> in the domain</w:t>
      </w:r>
    </w:p>
    <w:p w14:paraId="530B2502" w14:textId="77777777" w:rsidR="0030368C" w:rsidRDefault="0030368C" w:rsidP="0030368C">
      <w:r>
        <w:t>No known</w:t>
      </w:r>
      <w:r w:rsidRPr="00883064">
        <w:t xml:space="preserve"> applications require both of these kinds of rights, so granting Tier</w:t>
      </w:r>
      <w:r>
        <w:t> 0</w:t>
      </w:r>
      <w:r w:rsidRPr="00883064">
        <w:t xml:space="preserve"> rights for both creates a state of</w:t>
      </w:r>
      <w:r w:rsidRPr="003C2810">
        <w:t xml:space="preserve"> </w:t>
      </w:r>
      <w:r>
        <w:t>“</w:t>
      </w:r>
      <w:r w:rsidRPr="003C2810">
        <w:t>over-permissioning</w:t>
      </w:r>
      <w:r>
        <w:t>”</w:t>
      </w:r>
      <w:r w:rsidRPr="003C2810">
        <w:t xml:space="preserve"> that only benefits an attacker or malicious insider. </w:t>
      </w:r>
    </w:p>
    <w:p w14:paraId="6D9796F7" w14:textId="77777777" w:rsidR="0030368C" w:rsidRPr="00472B10" w:rsidRDefault="0030368C" w:rsidP="0030368C">
      <w:pPr>
        <w:pStyle w:val="Note"/>
      </w:pPr>
      <w:r w:rsidRPr="00F979F0">
        <w:rPr>
          <w:b/>
        </w:rPr>
        <w:t>I</w:t>
      </w:r>
      <w:r>
        <w:rPr>
          <w:b/>
        </w:rPr>
        <w:t>mportant</w:t>
      </w:r>
      <w:r w:rsidRPr="00472B10">
        <w:rPr>
          <w:b/>
        </w:rPr>
        <w:t xml:space="preserve">: </w:t>
      </w:r>
      <w:r w:rsidRPr="00472B10">
        <w:t>Tier</w:t>
      </w:r>
      <w:r>
        <w:t> 0</w:t>
      </w:r>
      <w:r w:rsidRPr="00472B10">
        <w:t xml:space="preserve"> rights </w:t>
      </w:r>
      <w:r>
        <w:t xml:space="preserve">also </w:t>
      </w:r>
      <w:r w:rsidRPr="00472B10">
        <w:t>provide the ability to steal all password hashes in the A</w:t>
      </w:r>
      <w:r>
        <w:t xml:space="preserve">ctive </w:t>
      </w:r>
      <w:r w:rsidRPr="00472B10">
        <w:t>D</w:t>
      </w:r>
      <w:r>
        <w:t>irectory</w:t>
      </w:r>
      <w:r w:rsidRPr="00472B10">
        <w:t xml:space="preserve"> database, which is not required by any known legitimate applications</w:t>
      </w:r>
      <w:r>
        <w:t xml:space="preserve"> except for the </w:t>
      </w:r>
      <w:r w:rsidRPr="0039315E">
        <w:t>A</w:t>
      </w:r>
      <w:r>
        <w:t xml:space="preserve">ctive </w:t>
      </w:r>
      <w:r w:rsidRPr="0039315E">
        <w:t>D</w:t>
      </w:r>
      <w:r>
        <w:t xml:space="preserve">irectory </w:t>
      </w:r>
      <w:r w:rsidRPr="0039315E">
        <w:t>M</w:t>
      </w:r>
      <w:r>
        <w:t xml:space="preserve">igration </w:t>
      </w:r>
      <w:r w:rsidRPr="0039315E">
        <w:t>T</w:t>
      </w:r>
      <w:r>
        <w:t>ool</w:t>
      </w:r>
      <w:r w:rsidRPr="0039315E">
        <w:t xml:space="preserve"> (for password synch during migration)</w:t>
      </w:r>
      <w:r>
        <w:t xml:space="preserve"> and password synchronization to Azure Active Directory. </w:t>
      </w:r>
    </w:p>
    <w:p w14:paraId="6B876861" w14:textId="77777777" w:rsidR="0030368C" w:rsidRDefault="0030368C" w:rsidP="0030368C"/>
    <w:p w14:paraId="44BC4BBF" w14:textId="77777777" w:rsidR="0030368C" w:rsidRPr="00472B10" w:rsidRDefault="0030368C" w:rsidP="0030368C">
      <w:r w:rsidRPr="00472B10">
        <w:t xml:space="preserve">To remediate this risk, </w:t>
      </w:r>
      <w:r>
        <w:t>we</w:t>
      </w:r>
      <w:r w:rsidRPr="00472B10">
        <w:t xml:space="preserve"> recommend </w:t>
      </w:r>
      <w:r>
        <w:t xml:space="preserve">using </w:t>
      </w:r>
      <w:r w:rsidRPr="00472B10">
        <w:t xml:space="preserve">preventive and detective controls. </w:t>
      </w:r>
    </w:p>
    <w:p w14:paraId="06B2B7A1" w14:textId="77777777" w:rsidR="0030368C" w:rsidRPr="00472B10" w:rsidRDefault="0030368C" w:rsidP="0030368C">
      <w:pPr>
        <w:ind w:left="720"/>
      </w:pPr>
      <w:r w:rsidRPr="00472B10">
        <w:rPr>
          <w:b/>
        </w:rPr>
        <w:t>Preventive controls</w:t>
      </w:r>
      <w:r w:rsidRPr="00472B10">
        <w:t xml:space="preserve"> should always include </w:t>
      </w:r>
      <w:r>
        <w:t xml:space="preserve">a </w:t>
      </w:r>
      <w:r w:rsidRPr="00472B10">
        <w:t>least</w:t>
      </w:r>
      <w:r>
        <w:t>-</w:t>
      </w:r>
      <w:r w:rsidRPr="00472B10">
        <w:t>privilege design of permissions</w:t>
      </w:r>
      <w:r>
        <w:t>, regular password changes,</w:t>
      </w:r>
      <w:r w:rsidRPr="00472B10">
        <w:t xml:space="preserve"> </w:t>
      </w:r>
      <w:r>
        <w:t>and</w:t>
      </w:r>
      <w:r w:rsidRPr="00472B10">
        <w:t xml:space="preserve"> any applicable application-specific controls. Each role should be designed to the least privilege required for the tool and tasks required using one of the three sets of guidance in this section. </w:t>
      </w:r>
    </w:p>
    <w:p w14:paraId="113B5BC8" w14:textId="77777777" w:rsidR="0030368C" w:rsidRPr="00472B10" w:rsidRDefault="0030368C" w:rsidP="0030368C">
      <w:pPr>
        <w:ind w:left="720"/>
      </w:pPr>
      <w:r w:rsidRPr="00472B10">
        <w:rPr>
          <w:b/>
        </w:rPr>
        <w:t xml:space="preserve">Detective </w:t>
      </w:r>
      <w:r>
        <w:rPr>
          <w:b/>
        </w:rPr>
        <w:t>c</w:t>
      </w:r>
      <w:r w:rsidRPr="00472B10">
        <w:rPr>
          <w:b/>
        </w:rPr>
        <w:t>ontrols</w:t>
      </w:r>
      <w:r w:rsidRPr="00472B10">
        <w:t xml:space="preserve"> such as monitoring for anomalous behavior should be implemented. Expected behavior will vary with each application, but organizations should look for</w:t>
      </w:r>
      <w:r>
        <w:t>:</w:t>
      </w:r>
    </w:p>
    <w:p w14:paraId="2D3CB54A" w14:textId="77777777" w:rsidR="0030368C" w:rsidRPr="00472B10" w:rsidRDefault="0030368C" w:rsidP="005729D2">
      <w:pPr>
        <w:pStyle w:val="ListParagraph"/>
        <w:numPr>
          <w:ilvl w:val="0"/>
          <w:numId w:val="231"/>
        </w:numPr>
        <w:spacing w:before="0" w:after="160" w:line="256" w:lineRule="auto"/>
        <w:ind w:left="1440"/>
      </w:pPr>
      <w:r w:rsidRPr="00472B10">
        <w:t xml:space="preserve">Use of the account on an unexpected computer </w:t>
      </w:r>
    </w:p>
    <w:p w14:paraId="0D03A31D" w14:textId="77777777" w:rsidR="0030368C" w:rsidRPr="00472B10" w:rsidRDefault="0030368C" w:rsidP="005729D2">
      <w:pPr>
        <w:pStyle w:val="ListParagraph"/>
        <w:numPr>
          <w:ilvl w:val="0"/>
          <w:numId w:val="231"/>
        </w:numPr>
        <w:spacing w:before="0" w:after="160" w:line="256" w:lineRule="auto"/>
        <w:ind w:left="1440"/>
      </w:pPr>
      <w:r w:rsidRPr="00472B10">
        <w:t>Modification of the group that grants privilege</w:t>
      </w:r>
    </w:p>
    <w:p w14:paraId="5F955119" w14:textId="77777777" w:rsidR="0030368C" w:rsidRDefault="0030368C" w:rsidP="005729D2">
      <w:pPr>
        <w:pStyle w:val="ListParagraph"/>
        <w:numPr>
          <w:ilvl w:val="0"/>
          <w:numId w:val="231"/>
        </w:numPr>
        <w:spacing w:before="0" w:after="160" w:line="256" w:lineRule="auto"/>
        <w:ind w:left="1440"/>
      </w:pPr>
      <w:r w:rsidRPr="00472B10">
        <w:t>Modification of the account</w:t>
      </w:r>
    </w:p>
    <w:p w14:paraId="5EAF10E7" w14:textId="7E550372" w:rsidR="0015729D" w:rsidRPr="00472B10" w:rsidRDefault="0030368C" w:rsidP="0030368C">
      <w:r>
        <w:t>Other detective controls specific to the application (such as unused functionality)</w:t>
      </w:r>
    </w:p>
    <w:p w14:paraId="7D2866EC" w14:textId="77777777" w:rsidR="0015729D" w:rsidRDefault="0015729D" w:rsidP="0015729D"/>
    <w:p w14:paraId="1201795A" w14:textId="77777777" w:rsidR="0015729D" w:rsidRPr="00472B10" w:rsidRDefault="0015729D" w:rsidP="005729D2">
      <w:pPr>
        <w:pStyle w:val="Heading3Numbered"/>
        <w:numPr>
          <w:ilvl w:val="2"/>
          <w:numId w:val="64"/>
        </w:numPr>
      </w:pPr>
      <w:bookmarkStart w:id="7874" w:name="_Toc423091784"/>
      <w:bookmarkStart w:id="7875" w:name="_Toc423116899"/>
      <w:bookmarkStart w:id="7876" w:name="_Toc423117932"/>
      <w:bookmarkStart w:id="7877" w:name="_Toc423117379"/>
      <w:bookmarkStart w:id="7878" w:name="_Toc423464734"/>
      <w:bookmarkStart w:id="7879" w:name="_Toc431288978"/>
      <w:r>
        <w:t>Scenario</w:t>
      </w:r>
      <w:r w:rsidRPr="00472B10">
        <w:t xml:space="preserve"> I </w:t>
      </w:r>
      <w:r>
        <w:t>–</w:t>
      </w:r>
      <w:r w:rsidRPr="00472B10">
        <w:t xml:space="preserve"> </w:t>
      </w:r>
      <w:r>
        <w:t xml:space="preserve">Admin </w:t>
      </w:r>
      <w:r w:rsidRPr="00472B10">
        <w:t xml:space="preserve">access on all </w:t>
      </w:r>
      <w:r>
        <w:t>clients/servers/ domain members</w:t>
      </w:r>
      <w:bookmarkEnd w:id="7873"/>
      <w:bookmarkEnd w:id="7874"/>
      <w:bookmarkEnd w:id="7875"/>
      <w:bookmarkEnd w:id="7876"/>
      <w:bookmarkEnd w:id="7877"/>
      <w:bookmarkEnd w:id="7878"/>
      <w:bookmarkEnd w:id="7879"/>
    </w:p>
    <w:p w14:paraId="658D5219" w14:textId="45808B86" w:rsidR="0030368C" w:rsidRDefault="0030368C" w:rsidP="0030368C">
      <w:r w:rsidRPr="00472B10">
        <w:t>This access is typically required for configuration and management tools for a variety of tasks including agent installation, agent repair, troubleshooting actions for</w:t>
      </w:r>
      <w:r>
        <w:t xml:space="preserve"> the</w:t>
      </w:r>
      <w:r w:rsidRPr="00472B10">
        <w:t xml:space="preserve"> </w:t>
      </w:r>
      <w:r>
        <w:t>operating system</w:t>
      </w:r>
      <w:r w:rsidRPr="00472B10">
        <w:t xml:space="preserve"> and applications, or security compliance scanning. </w:t>
      </w:r>
    </w:p>
    <w:p w14:paraId="79937AE5" w14:textId="77777777" w:rsidR="0030368C" w:rsidRPr="00472B10" w:rsidRDefault="0030368C" w:rsidP="0030368C">
      <w:r>
        <w:t>Access</w:t>
      </w:r>
      <w:r w:rsidRPr="00472B10">
        <w:t xml:space="preserve"> is granted </w:t>
      </w:r>
      <w:r>
        <w:t>by</w:t>
      </w:r>
      <w:r w:rsidRPr="00472B10">
        <w:t xml:space="preserve"> adding an account directly or indirectly to the membership of the local </w:t>
      </w:r>
      <w:r>
        <w:t>a</w:t>
      </w:r>
      <w:r w:rsidRPr="00472B10">
        <w:t xml:space="preserve">dministrators group on each </w:t>
      </w:r>
      <w:r>
        <w:t>computer</w:t>
      </w:r>
      <w:r w:rsidRPr="00472B10">
        <w:t xml:space="preserve">. By default, Domain Admins is in this group so it is used frequently in many organizations, resulting in </w:t>
      </w:r>
      <w:r>
        <w:t>a dangerous over-permissioning state</w:t>
      </w:r>
      <w:r w:rsidRPr="00472B10">
        <w:t xml:space="preserve">. </w:t>
      </w:r>
    </w:p>
    <w:p w14:paraId="6FCC3552" w14:textId="29DEA006" w:rsidR="0015729D" w:rsidRPr="00034FB3" w:rsidRDefault="0030368C" w:rsidP="0030368C">
      <w:r>
        <w:t xml:space="preserve">Group Policy preferences can be used to centrally </w:t>
      </w:r>
      <w:r w:rsidRPr="00472B10">
        <w:t xml:space="preserve">grant </w:t>
      </w:r>
      <w:r>
        <w:t xml:space="preserve">local administrators access </w:t>
      </w:r>
      <w:r w:rsidRPr="00472B10">
        <w:t>without also granting domain administrat</w:t>
      </w:r>
      <w:r>
        <w:t>ors</w:t>
      </w:r>
      <w:r w:rsidRPr="00472B10">
        <w:t xml:space="preserve"> privileges</w:t>
      </w:r>
      <w:r>
        <w:t xml:space="preserve">. For more information, see </w:t>
      </w:r>
      <w:hyperlink r:id="rId667" w:history="1">
        <w:r>
          <w:rPr>
            <w:rStyle w:val="Hyperlink"/>
          </w:rPr>
          <w:t>Configure a Local Group Item</w:t>
        </w:r>
      </w:hyperlink>
      <w:r>
        <w:t>.</w:t>
      </w:r>
    </w:p>
    <w:p w14:paraId="08268AD8" w14:textId="2A823589" w:rsidR="0015729D" w:rsidRPr="00E131C5" w:rsidRDefault="0015729D" w:rsidP="005729D2">
      <w:pPr>
        <w:pStyle w:val="Heading3Numbered"/>
        <w:numPr>
          <w:ilvl w:val="2"/>
          <w:numId w:val="64"/>
        </w:numPr>
      </w:pPr>
      <w:bookmarkStart w:id="7880" w:name="_Toc392059101"/>
      <w:bookmarkStart w:id="7881" w:name="_Toc423091785"/>
      <w:bookmarkStart w:id="7882" w:name="_Toc423116900"/>
      <w:bookmarkStart w:id="7883" w:name="_Toc423117933"/>
      <w:bookmarkStart w:id="7884" w:name="_Toc423117380"/>
      <w:bookmarkStart w:id="7885" w:name="_Toc423464735"/>
      <w:bookmarkStart w:id="7886" w:name="_Toc431288979"/>
      <w:r>
        <w:t>Scenario</w:t>
      </w:r>
      <w:r w:rsidRPr="00472B10">
        <w:t xml:space="preserve"> </w:t>
      </w:r>
      <w:r w:rsidRPr="00E131C5">
        <w:t>I</w:t>
      </w:r>
      <w:r>
        <w:t>I</w:t>
      </w:r>
      <w:r w:rsidRPr="00E131C5">
        <w:t xml:space="preserve"> – </w:t>
      </w:r>
      <w:r w:rsidR="0030368C" w:rsidRPr="00E131C5">
        <w:t>Admin</w:t>
      </w:r>
      <w:r w:rsidR="0030368C">
        <w:t>istrator</w:t>
      </w:r>
      <w:r w:rsidRPr="00E131C5">
        <w:t xml:space="preserve"> control of Active Directory accounts</w:t>
      </w:r>
      <w:bookmarkEnd w:id="7880"/>
      <w:bookmarkEnd w:id="7881"/>
      <w:bookmarkEnd w:id="7882"/>
      <w:bookmarkEnd w:id="7883"/>
      <w:bookmarkEnd w:id="7884"/>
      <w:bookmarkEnd w:id="7885"/>
      <w:bookmarkEnd w:id="7886"/>
    </w:p>
    <w:p w14:paraId="5D7FC267" w14:textId="2CC7F55A" w:rsidR="0030368C" w:rsidRPr="00E131C5" w:rsidRDefault="0030368C" w:rsidP="0030368C">
      <w:r w:rsidRPr="00E131C5">
        <w:t xml:space="preserve">This is a configuration that is frequently required for identity management tools that perform provisioning, synchronization, and other </w:t>
      </w:r>
      <w:r>
        <w:t xml:space="preserve">similar </w:t>
      </w:r>
      <w:r w:rsidRPr="00E131C5">
        <w:t xml:space="preserve">functions. </w:t>
      </w:r>
    </w:p>
    <w:p w14:paraId="0951DC36" w14:textId="77777777" w:rsidR="0030368C" w:rsidRPr="00575A46" w:rsidRDefault="0030368C" w:rsidP="0030368C">
      <w:r w:rsidRPr="00E131C5">
        <w:t>Frequently</w:t>
      </w:r>
      <w:r>
        <w:t>,</w:t>
      </w:r>
      <w:r w:rsidRPr="00E131C5">
        <w:t xml:space="preserve"> domain admins or account operators are used for these accounts, resulting in over</w:t>
      </w:r>
      <w:r>
        <w:t>-</w:t>
      </w:r>
      <w:r w:rsidRPr="00E131C5">
        <w:t>permissioning risk. Account operators is effectively a Tier</w:t>
      </w:r>
      <w:r>
        <w:t> 0</w:t>
      </w:r>
      <w:r w:rsidRPr="00E131C5">
        <w:t xml:space="preserve"> group because </w:t>
      </w:r>
      <w:r>
        <w:t>they have</w:t>
      </w:r>
      <w:r w:rsidRPr="00E131C5">
        <w:t xml:space="preserve"> the ability to reset passwords and take contr</w:t>
      </w:r>
      <w:r w:rsidRPr="00575A46">
        <w:t>ol of any user or computer account not protected by the AdminSDHolder process, which frequently includes Tier</w:t>
      </w:r>
      <w:r>
        <w:t> 0</w:t>
      </w:r>
      <w:r w:rsidRPr="00575A46">
        <w:t xml:space="preserve"> applications and administrators. </w:t>
      </w:r>
    </w:p>
    <w:p w14:paraId="2479C196" w14:textId="77777777" w:rsidR="0030368C" w:rsidRPr="00575A46" w:rsidRDefault="0030368C" w:rsidP="0030368C">
      <w:r w:rsidRPr="00575A46">
        <w:t>This can be addressed by delegating permission</w:t>
      </w:r>
      <w:r>
        <w:t>s</w:t>
      </w:r>
      <w:r w:rsidRPr="00575A46">
        <w:t xml:space="preserve"> to manage the object</w:t>
      </w:r>
      <w:r>
        <w:t>'</w:t>
      </w:r>
      <w:r w:rsidRPr="00575A46">
        <w:t>s OUs where the target accounts reside</w:t>
      </w:r>
      <w:r>
        <w:t>:</w:t>
      </w:r>
      <w:r w:rsidRPr="00575A46">
        <w:t xml:space="preserve"> </w:t>
      </w:r>
    </w:p>
    <w:p w14:paraId="6E045348" w14:textId="77777777" w:rsidR="0030368C" w:rsidRPr="00575A46" w:rsidRDefault="0030368C" w:rsidP="005729D2">
      <w:pPr>
        <w:pStyle w:val="ListParagraph"/>
        <w:numPr>
          <w:ilvl w:val="0"/>
          <w:numId w:val="229"/>
        </w:numPr>
        <w:spacing w:before="0" w:after="160" w:line="259" w:lineRule="auto"/>
      </w:pPr>
      <w:r w:rsidRPr="00575A46">
        <w:t>Identify the objects types required (typically user accounts)</w:t>
      </w:r>
      <w:r>
        <w:t>.</w:t>
      </w:r>
    </w:p>
    <w:p w14:paraId="36FBEF69" w14:textId="77777777" w:rsidR="0030368C" w:rsidRPr="00575A46" w:rsidRDefault="0030368C" w:rsidP="005729D2">
      <w:pPr>
        <w:pStyle w:val="ListParagraph"/>
        <w:numPr>
          <w:ilvl w:val="0"/>
          <w:numId w:val="229"/>
        </w:numPr>
        <w:spacing w:before="0" w:after="160" w:line="259" w:lineRule="auto"/>
      </w:pPr>
      <w:r w:rsidRPr="00575A46">
        <w:t>Identify the permissions required on the objects (typically full control)</w:t>
      </w:r>
      <w:r>
        <w:t>.</w:t>
      </w:r>
    </w:p>
    <w:p w14:paraId="7A1C6B87" w14:textId="77777777" w:rsidR="0030368C" w:rsidRPr="00575A46" w:rsidRDefault="0030368C" w:rsidP="005729D2">
      <w:pPr>
        <w:pStyle w:val="ListParagraph"/>
        <w:numPr>
          <w:ilvl w:val="0"/>
          <w:numId w:val="229"/>
        </w:numPr>
        <w:spacing w:before="0" w:after="160" w:line="259" w:lineRule="auto"/>
      </w:pPr>
      <w:r w:rsidRPr="00575A46">
        <w:t>Identify the OUs that contain the objects that need to be required</w:t>
      </w:r>
      <w:r>
        <w:t>.</w:t>
      </w:r>
    </w:p>
    <w:p w14:paraId="2F5618D3" w14:textId="77777777" w:rsidR="0030368C" w:rsidRPr="00575A46" w:rsidRDefault="0030368C" w:rsidP="005729D2">
      <w:pPr>
        <w:pStyle w:val="ListParagraph"/>
        <w:numPr>
          <w:ilvl w:val="0"/>
          <w:numId w:val="229"/>
        </w:numPr>
        <w:spacing w:before="0" w:after="160" w:line="259" w:lineRule="auto"/>
      </w:pPr>
      <w:r w:rsidRPr="00575A46">
        <w:t xml:space="preserve">Create a group and a new service account, </w:t>
      </w:r>
      <w:r>
        <w:t xml:space="preserve">and </w:t>
      </w:r>
      <w:r w:rsidRPr="00575A46">
        <w:t>place the service account in the group</w:t>
      </w:r>
      <w:r>
        <w:t>.</w:t>
      </w:r>
    </w:p>
    <w:p w14:paraId="15031705" w14:textId="77777777" w:rsidR="0030368C" w:rsidRPr="00242794" w:rsidRDefault="0030368C" w:rsidP="005729D2">
      <w:pPr>
        <w:pStyle w:val="ListParagraph"/>
        <w:numPr>
          <w:ilvl w:val="0"/>
          <w:numId w:val="229"/>
        </w:numPr>
        <w:spacing w:before="0" w:after="160" w:line="259" w:lineRule="auto"/>
      </w:pPr>
      <w:r w:rsidRPr="00242794">
        <w:t xml:space="preserve">Grant permissions to this group to the OUs for the object type and permission required. </w:t>
      </w:r>
      <w:r w:rsidRPr="00242794">
        <w:br/>
        <w:t>For example, Forefront Identity Manager Active Directory Management Agent (ADMA</w:t>
      </w:r>
      <w:r>
        <w:t>)</w:t>
      </w:r>
      <w:r w:rsidRPr="00242794">
        <w:t xml:space="preserve"> accounts require</w:t>
      </w:r>
      <w:r>
        <w:t>:</w:t>
      </w:r>
    </w:p>
    <w:p w14:paraId="3296CF6B" w14:textId="77777777" w:rsidR="0030368C" w:rsidRPr="00242794" w:rsidRDefault="0030368C" w:rsidP="005729D2">
      <w:pPr>
        <w:pStyle w:val="ListParagraph"/>
        <w:numPr>
          <w:ilvl w:val="1"/>
          <w:numId w:val="230"/>
        </w:numPr>
        <w:spacing w:before="0" w:after="160" w:line="259" w:lineRule="auto"/>
      </w:pPr>
      <w:r w:rsidRPr="00242794">
        <w:t>Create</w:t>
      </w:r>
      <w:r>
        <w:t xml:space="preserve">, </w:t>
      </w:r>
      <w:r w:rsidRPr="00242794">
        <w:t>Delete</w:t>
      </w:r>
      <w:r>
        <w:t xml:space="preserve">, and </w:t>
      </w:r>
      <w:r w:rsidRPr="00242794">
        <w:t xml:space="preserve">Modify permissions for user objects in the OUs where Forefront Identity Manager will maintain user objects. </w:t>
      </w:r>
    </w:p>
    <w:p w14:paraId="5EA002FA" w14:textId="77777777" w:rsidR="0030368C" w:rsidRPr="00242794" w:rsidRDefault="0030368C" w:rsidP="005729D2">
      <w:pPr>
        <w:pStyle w:val="ListParagraph"/>
        <w:numPr>
          <w:ilvl w:val="1"/>
          <w:numId w:val="230"/>
        </w:numPr>
        <w:spacing w:before="0" w:after="160" w:line="259" w:lineRule="auto"/>
      </w:pPr>
      <w:r w:rsidRPr="00242794">
        <w:t>"Replicating Directory Changes" on the directory partition of the domain you're connecting Forefront Identity Manager to</w:t>
      </w:r>
      <w:r>
        <w:t xml:space="preserve">. </w:t>
      </w:r>
      <w:r w:rsidRPr="00242794">
        <w:t xml:space="preserve"> </w:t>
      </w:r>
    </w:p>
    <w:p w14:paraId="1758E0AC" w14:textId="77777777" w:rsidR="0030368C" w:rsidRDefault="0030368C" w:rsidP="0030368C">
      <w:r>
        <w:t xml:space="preserve">For more information, see </w:t>
      </w:r>
      <w:hyperlink r:id="rId668" w:history="1">
        <w:r w:rsidRPr="00915E39">
          <w:rPr>
            <w:rStyle w:val="Hyperlink"/>
          </w:rPr>
          <w:t>KB303972: How to grant the "Replicating Directory Changes" permission for the Microsoft Metadirectory Services ADMA service account</w:t>
        </w:r>
      </w:hyperlink>
      <w:r>
        <w:t xml:space="preserve">. </w:t>
      </w:r>
    </w:p>
    <w:p w14:paraId="3B9F191F" w14:textId="1E8CB718" w:rsidR="0030368C" w:rsidRPr="00915E39" w:rsidRDefault="0030368C" w:rsidP="0030368C">
      <w:pPr>
        <w:rPr>
          <w:rStyle w:val="Hyperlink"/>
        </w:rPr>
      </w:pPr>
      <w:r w:rsidRPr="00242794">
        <w:t xml:space="preserve">For more information </w:t>
      </w:r>
      <w:r>
        <w:t>about</w:t>
      </w:r>
      <w:r w:rsidRPr="00242794">
        <w:t xml:space="preserve"> Forefront Identity Manager ADMA, see </w:t>
      </w:r>
      <w:hyperlink r:id="rId669" w:history="1">
        <w:r w:rsidRPr="00915E39">
          <w:rPr>
            <w:rStyle w:val="Hyperlink"/>
          </w:rPr>
          <w:t>Management Agent Communication Ports, Rights, and Permissions</w:t>
        </w:r>
      </w:hyperlink>
      <w:r w:rsidRPr="00915E39">
        <w:rPr>
          <w:rStyle w:val="Hyperlink"/>
        </w:rPr>
        <w:t>.</w:t>
      </w:r>
    </w:p>
    <w:p w14:paraId="61938E1B" w14:textId="77777777" w:rsidR="0030368C" w:rsidRPr="00915E39" w:rsidRDefault="0030368C" w:rsidP="0030368C">
      <w:pPr>
        <w:rPr>
          <w:rStyle w:val="Hyperlink"/>
        </w:rPr>
      </w:pPr>
      <w:r w:rsidRPr="00242794">
        <w:t xml:space="preserve">Several technical approaches may be used to automate granting privileges, see </w:t>
      </w:r>
      <w:hyperlink r:id="rId670" w:anchor="SeeAlso" w:history="1">
        <w:r>
          <w:rPr>
            <w:rStyle w:val="Hyperlink"/>
          </w:rPr>
          <w:t>How to View or Delete Active Directory Delegated Permissions</w:t>
        </w:r>
      </w:hyperlink>
      <w:r>
        <w:rPr>
          <w:rStyle w:val="Hyperlink"/>
        </w:rPr>
        <w:t>.</w:t>
      </w:r>
    </w:p>
    <w:p w14:paraId="74BF8576" w14:textId="77777777" w:rsidR="0030368C" w:rsidRPr="00915E39" w:rsidRDefault="0030368C" w:rsidP="0030368C"/>
    <w:p w14:paraId="726FF008" w14:textId="77777777" w:rsidR="0030368C" w:rsidRPr="00883064" w:rsidRDefault="0030368C" w:rsidP="0030368C">
      <w:pPr>
        <w:pStyle w:val="Note"/>
      </w:pPr>
      <w:r w:rsidRPr="00915E39">
        <w:rPr>
          <w:b/>
        </w:rPr>
        <w:t>I</w:t>
      </w:r>
      <w:r>
        <w:rPr>
          <w:b/>
        </w:rPr>
        <w:t>mportant</w:t>
      </w:r>
      <w:r w:rsidRPr="00883064">
        <w:t xml:space="preserve">: These changes should be tested in a lab prior to implementing </w:t>
      </w:r>
      <w:r>
        <w:t xml:space="preserve">them </w:t>
      </w:r>
      <w:r w:rsidRPr="00883064">
        <w:t xml:space="preserve">in production. </w:t>
      </w:r>
    </w:p>
    <w:p w14:paraId="48088FEF" w14:textId="4B585FF6" w:rsidR="0015729D" w:rsidRPr="00E80FE5" w:rsidRDefault="0030368C" w:rsidP="0030368C">
      <w:r w:rsidRPr="00883064">
        <w:t xml:space="preserve">When piloting to production, create a new account with the </w:t>
      </w:r>
      <w:r>
        <w:t xml:space="preserve">previous </w:t>
      </w:r>
      <w:r w:rsidRPr="00883064">
        <w:t>reduced permissions</w:t>
      </w:r>
      <w:r>
        <w:t xml:space="preserve">, </w:t>
      </w:r>
      <w:r w:rsidRPr="00883064">
        <w:t>and reconfigure the application to use it during a maintenance window. Test all application functionality during that window</w:t>
      </w:r>
      <w:r>
        <w:t>,</w:t>
      </w:r>
      <w:r w:rsidRPr="00883064">
        <w:t xml:space="preserve"> as possible.</w:t>
      </w:r>
    </w:p>
    <w:p w14:paraId="6B989334" w14:textId="734279A3" w:rsidR="00F97B16" w:rsidRDefault="0030368C" w:rsidP="005729D2">
      <w:pPr>
        <w:pStyle w:val="Heading1Numbered"/>
        <w:numPr>
          <w:ilvl w:val="0"/>
          <w:numId w:val="64"/>
        </w:numPr>
      </w:pPr>
      <w:bookmarkStart w:id="7887" w:name="_Toc423464736"/>
      <w:bookmarkStart w:id="7888" w:name="_Toc431288980"/>
      <w:r w:rsidRPr="0015729D">
        <w:t xml:space="preserve">Appendix </w:t>
      </w:r>
      <w:r>
        <w:t>E</w:t>
      </w:r>
      <w:r w:rsidRPr="0015729D">
        <w:t xml:space="preserve">: </w:t>
      </w:r>
      <w:r w:rsidRPr="00F97B16">
        <w:t xml:space="preserve">Recommended Change </w:t>
      </w:r>
      <w:r>
        <w:t>Advisory</w:t>
      </w:r>
      <w:r w:rsidRPr="00F97B16">
        <w:t xml:space="preserve"> Board</w:t>
      </w:r>
      <w:r>
        <w:t xml:space="preserve"> </w:t>
      </w:r>
      <w:r w:rsidRPr="00F97B16">
        <w:t>Approval Process for Security Standards</w:t>
      </w:r>
      <w:bookmarkEnd w:id="7887"/>
      <w:bookmarkEnd w:id="7888"/>
    </w:p>
    <w:p w14:paraId="22848C47" w14:textId="74C9F84F" w:rsidR="0030368C" w:rsidRDefault="00F97B16" w:rsidP="0030368C">
      <w:r>
        <w:t>A</w:t>
      </w:r>
      <w:r w:rsidR="0030368C">
        <w:t xml:space="preserve"> </w:t>
      </w:r>
      <w:r w:rsidR="0030368C" w:rsidRPr="0055097B">
        <w:t xml:space="preserve">Change </w:t>
      </w:r>
      <w:r w:rsidR="0030368C">
        <w:t>Advisory</w:t>
      </w:r>
      <w:r w:rsidR="0030368C" w:rsidRPr="0055097B">
        <w:t xml:space="preserve"> Board (CAB)</w:t>
      </w:r>
      <w:r w:rsidR="0030368C">
        <w:t xml:space="preserve"> is the discussion forum and approving authority for changes that could impact the security profile of the organization. </w:t>
      </w:r>
      <w:r w:rsidR="0030368C" w:rsidRPr="00D57876">
        <w:t xml:space="preserve">Any exceptions to these standards </w:t>
      </w:r>
      <w:r w:rsidR="0030368C">
        <w:t xml:space="preserve">should </w:t>
      </w:r>
      <w:r w:rsidR="0030368C" w:rsidRPr="00D57876">
        <w:t xml:space="preserve">be submitted to the CAB with a risk assessment and justification. </w:t>
      </w:r>
    </w:p>
    <w:p w14:paraId="1B2602CE" w14:textId="28AC6B01" w:rsidR="00F97B16" w:rsidRDefault="0030368C" w:rsidP="0030368C">
      <w:r w:rsidRPr="00F777C1">
        <w:t xml:space="preserve">Each standard </w:t>
      </w:r>
      <w:r>
        <w:t xml:space="preserve">in this document </w:t>
      </w:r>
      <w:r w:rsidRPr="00F777C1">
        <w:t>is broken out by the criticality of meeting the standard for hosts trusted at a given Tier level.</w:t>
      </w:r>
    </w:p>
    <w:tbl>
      <w:tblPr>
        <w:tblStyle w:val="TableGridLight13"/>
        <w:tblW w:w="0" w:type="auto"/>
        <w:jc w:val="center"/>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666"/>
        <w:gridCol w:w="2929"/>
      </w:tblGrid>
      <w:tr w:rsidR="00F97B16" w:rsidRPr="00F777C1" w14:paraId="028EE4C2" w14:textId="77777777" w:rsidTr="00915020">
        <w:trPr>
          <w:trHeight w:val="374"/>
          <w:jc w:val="center"/>
        </w:trPr>
        <w:tc>
          <w:tcPr>
            <w:tcW w:w="666" w:type="dxa"/>
            <w:vAlign w:val="center"/>
          </w:tcPr>
          <w:p w14:paraId="1C4653CF" w14:textId="77777777" w:rsidR="00F97B16" w:rsidRPr="00F777C1" w:rsidRDefault="00F97B16" w:rsidP="00915020">
            <w:pPr>
              <w:jc w:val="center"/>
              <w:rPr>
                <w:rFonts w:eastAsia="Arial" w:cs="Segoe UI"/>
                <w:noProof/>
                <w:sz w:val="20"/>
                <w:szCs w:val="20"/>
              </w:rPr>
            </w:pPr>
            <w:r w:rsidRPr="00F777C1">
              <w:rPr>
                <w:noProof/>
              </w:rPr>
              <mc:AlternateContent>
                <mc:Choice Requires="wps">
                  <w:drawing>
                    <wp:inline distT="0" distB="0" distL="0" distR="0" wp14:anchorId="4092901B" wp14:editId="51AF30A0">
                      <wp:extent cx="210553" cy="190500"/>
                      <wp:effectExtent l="0" t="0" r="18415" b="19050"/>
                      <wp:docPr id="41033" name="Octagon 41033"/>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09DAC936" w14:textId="77777777" w:rsidR="008D2C68" w:rsidRDefault="008D2C68" w:rsidP="00F97B16">
                                  <w:pPr>
                                    <w:jc w:val="center"/>
                                  </w:pPr>
                                </w:p>
                                <w:p w14:paraId="2965D065"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092901B" id="Octagon 41033" o:spid="_x0000_s1031"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hOxfgIAAGQFAAAOAAAAZHJzL2Uyb0RvYy54bWysVF9r2zAQfx/sOwi9r7bTZFtDnRJSOgal&#10;LWtHnxVZSgSSTpOU2Nmn30l23NAVCmN+kO90v7vT/b286owme+GDAlvT6qykRFgOjbKbmv58uvn0&#10;lZIQmW2YBitqehCBXi0+frhs3VxMYAu6EZ6gERvmravpNkY3L4rAt8KwcAZOWBRK8IZFZP2maDxr&#10;0brRxaQsPxct+MZ54CIEvL3uhXSR7UspeLyXMohIdE3xbTGfPp/rdBaLSzbfeOa2ig/PYP/wCsOU&#10;RaejqWsWGdl59Zcpo7iHADKecTAFSKm4yDFgNFX5KprHLXMix4LJCW5MU/h/Zvnd/sET1dR0WpXn&#10;55RYZrBM9zyyDVjSX2KSWhfmiH10D37gApIp4k56k/4YC+lyYg9jYkUXCcfLSVXOZmico6i6KGdl&#10;Tnzxoux8iN8EGJKImkLvPmeU7W9DRJ+IPqKSuwBaNTdK68z4zXqlPdkzLPNqVeKXKosqJ7AixdC/&#10;OlPxoEVS1vaHkJgCfGeVPebmE6M9xrmwcTIYzOikJtH3qHj+vuKAT6oiN+aoPHlfedTInsHGUdko&#10;C/4tAzpWw5Nlj8d8nMSdyNitu1z7jEw3a2gO2A8e+kEJjt8orMgtC/GBeZwMnCGc9niPh9TQYqkG&#10;ipIt+N9v3Sc8NixKKWlx0moafu2YF5To7xZb+aKaTtNoZmY6+zJBxp9K1qcSuzMrwCpXuFccz2TC&#10;R30kpQfzjEthmbyiiFmOvmvKoz8yq9hvAFwrXCyXGYbj6Fi8tY+OH/sgtdtT98y8G9oyYj/fwXEq&#10;2fxVa/bYVCELy10EqXLfvuR1qACOcu7NYe2kXXHKZ9TLclz8AQAA//8DAFBLAwQUAAYACAAAACEA&#10;tdNxHNoAAAADAQAADwAAAGRycy9kb3ducmV2LnhtbEyPQWvDMAyF74P9B6NBb63dFkqXxSljUNhh&#10;NKxb2dWNtSQ0loPtNum/n7ZLd9FDPPHep3wzuk5cMMTWk4b5TIFAqrxtqdbw+bGdrkHEZMiazhNq&#10;uGKETXF/l5vM+oHe8bJPteAQipnR0KTUZ1LGqkFn4sz3SOx9++BM4jXU0gYzcLjr5EKplXSmJW5o&#10;TI8vDVan/dlpKE9D+bouy8evsF3t3oI7zMPuoPXkYXx+ApFwTLdj+MVndCiY6ejPZKPoNPAj6W+y&#10;t1wuQBxZlQJZ5PI/e/EDAAD//wMAUEsBAi0AFAAGAAgAAAAhALaDOJL+AAAA4QEAABMAAAAAAAAA&#10;AAAAAAAAAAAAAFtDb250ZW50X1R5cGVzXS54bWxQSwECLQAUAAYACAAAACEAOP0h/9YAAACUAQAA&#10;CwAAAAAAAAAAAAAAAAAvAQAAX3JlbHMvLnJlbHNQSwECLQAUAAYACAAAACEA5boTsX4CAABkBQAA&#10;DgAAAAAAAAAAAAAAAAAuAgAAZHJzL2Uyb0RvYy54bWxQSwECLQAUAAYACAAAACEAtdNxHNoAAAAD&#10;AQAADwAAAAAAAAAAAAAAAADYBAAAZHJzL2Rvd25yZXYueG1sUEsFBgAAAAAEAAQA8wAAAN8FAAAA&#10;AA==&#10;" fillcolor="#c00" strokecolor="#ed7d31 [3205]" strokeweight=".5pt">
                      <v:textbox>
                        <w:txbxContent>
                          <w:p w14:paraId="09DAC936" w14:textId="77777777" w:rsidR="008D2C68" w:rsidRDefault="008D2C68" w:rsidP="00F97B16">
                            <w:pPr>
                              <w:jc w:val="center"/>
                            </w:pPr>
                          </w:p>
                          <w:p w14:paraId="2965D065" w14:textId="77777777" w:rsidR="008D2C68" w:rsidRDefault="008D2C68" w:rsidP="00F97B16">
                            <w:pPr>
                              <w:jc w:val="center"/>
                            </w:pPr>
                          </w:p>
                        </w:txbxContent>
                      </v:textbox>
                      <w10:anchorlock/>
                    </v:shape>
                  </w:pict>
                </mc:Fallback>
              </mc:AlternateContent>
            </w:r>
          </w:p>
        </w:tc>
        <w:tc>
          <w:tcPr>
            <w:tcW w:w="2929" w:type="dxa"/>
            <w:vAlign w:val="center"/>
          </w:tcPr>
          <w:p w14:paraId="5109DDCD" w14:textId="77777777" w:rsidR="00F97B16" w:rsidRPr="00F777C1" w:rsidRDefault="00F97B16" w:rsidP="00915020">
            <w:pPr>
              <w:rPr>
                <w:b/>
                <w:szCs w:val="18"/>
              </w:rPr>
            </w:pPr>
            <w:r w:rsidRPr="00F777C1">
              <w:rPr>
                <w:b/>
                <w:szCs w:val="18"/>
              </w:rPr>
              <w:t>Mandatory</w:t>
            </w:r>
          </w:p>
        </w:tc>
      </w:tr>
      <w:tr w:rsidR="00F97B16" w:rsidRPr="00F777C1" w14:paraId="20CD94B7" w14:textId="77777777" w:rsidTr="00915020">
        <w:trPr>
          <w:trHeight w:val="374"/>
          <w:jc w:val="center"/>
        </w:trPr>
        <w:tc>
          <w:tcPr>
            <w:tcW w:w="666" w:type="dxa"/>
            <w:vAlign w:val="center"/>
          </w:tcPr>
          <w:p w14:paraId="3EEA8D71" w14:textId="77777777" w:rsidR="00F97B16" w:rsidRPr="00F777C1" w:rsidRDefault="00F97B16" w:rsidP="00915020">
            <w:pPr>
              <w:jc w:val="center"/>
              <w:rPr>
                <w:rFonts w:eastAsia="Arial" w:cs="Segoe UI"/>
                <w:noProof/>
                <w:sz w:val="20"/>
                <w:szCs w:val="20"/>
              </w:rPr>
            </w:pPr>
            <w:r w:rsidRPr="00F777C1">
              <w:rPr>
                <w:rFonts w:eastAsia="Arial" w:cs="Segoe UI"/>
                <w:noProof/>
                <w:sz w:val="20"/>
                <w:szCs w:val="20"/>
              </w:rPr>
              <mc:AlternateContent>
                <mc:Choice Requires="wps">
                  <w:drawing>
                    <wp:inline distT="0" distB="0" distL="0" distR="0" wp14:anchorId="48E95BA4" wp14:editId="3B6D8389">
                      <wp:extent cx="209550" cy="180975"/>
                      <wp:effectExtent l="19050" t="19050" r="38100" b="28575"/>
                      <wp:docPr id="41034" name="Isosceles Triangle 410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8A4A09A" id="Isosceles Triangle 41034"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kGwiAIAAHcFAAAOAAAAZHJzL2Uyb0RvYy54bWysVNtqGzEQfS/0H4Tem9117FyWrINxcAmY&#10;JDQpeZa1ki2q1aiSfOvXd6S9JE0DgdIXIWnO3M/M1fWh0WQnnFdgKlqc5JQIw6FWZl3R70+LLxeU&#10;+MBMzTQYUdGj8PR6+vnT1d6WYgQb0LVwBI0YX+5tRTch2DLLPN+IhvkTsMKgUIJrWMCnW2e1Y3u0&#10;3uhslOdn2R5cbR1w4T3+3rRCOk32pRQ83EvpRSC6ohhbSKdL5yqe2fSKlWvH7EbxLgz2D1E0TBl0&#10;Opi6YYGRrVN/mWoUd+BBhhMOTQZSKi5SDphNkb/J5nHDrEi5YHG8Hcrk/59Zfrd7cETVFR0X+emY&#10;EsMabNOtB8+FFp48OcXMWgvSyrFee+tLVHu0Dy5m7O0S+A+PguwPSXz4DnOQrolYzJccUvGPQ/HF&#10;IRCOn6P8cjLBFnEUFRf55fkkNidjZa9snQ9fBTQkXioausBS2dlu6UML72EpNtCqXiit08OtV3Pt&#10;yI4hFxaLeZ6n9qMH/wJLObRhpwTCUYuorM03IbFOGGiRPCaGisEe41yYcNaFnNBRTaLvQfH0Y8UO&#10;H1VFYu+gPPpYedBInsGEQblRBtx7BnQoupBli++66Nu8YwlWUB+RIg7a2fGWLxQ2YMl8eGAOhwV7&#10;hgsg3OMhNewrCt2Nkg24X+/9RzxyGKWU7HH4Kup/bpkTlOhbg+y+LMbjOK3pMZ6cj/DhXktWryVm&#10;28wBe1rgqrE8XSM+6P4qHTTPuCdm0SuKmOHou6I8uP4xD+1SwE3DxWyWYDihloWlebS873ok19Ph&#10;mTnbsxDpewf9oLLyDRFbbOyHgdk2gFSJpS917eqN05243m2iuD5evxPqZV9OfwMAAP//AwBQSwME&#10;FAAGAAgAAAAhAEpKkOrdAAAAAwEAAA8AAABkcnMvZG93bnJldi54bWxMj0FLw0AQhe+C/2EZwYvY&#10;jW2VNGZTVLBQD4KtaHvbZqdJcHc2ZLdN/PeOXurlweMN732TzwdnxRG70HhScDNKQCCV3jRUKXhf&#10;P1+nIELUZLT1hAq+McC8OD/LdWZ8T294XMVKcAmFTCuoY2wzKUNZo9Nh5Fskzva+czqy7SppOt1z&#10;ubNynCR30umGeKHWLT7VWH6tDk7Bsl9/Pl697jfT2dJu25d+MU1nH0pdXgwP9yAiDvF0DL/4jA4F&#10;M+38gUwQVgE/Ev+Us8mE3U7BOL0FWeTyP3vxAwAA//8DAFBLAQItABQABgAIAAAAIQC2gziS/gAA&#10;AOEBAAATAAAAAAAAAAAAAAAAAAAAAABbQ29udGVudF9UeXBlc10ueG1sUEsBAi0AFAAGAAgAAAAh&#10;ADj9If/WAAAAlAEAAAsAAAAAAAAAAAAAAAAALwEAAF9yZWxzLy5yZWxzUEsBAi0AFAAGAAgAAAAh&#10;AFC+QbCIAgAAdwUAAA4AAAAAAAAAAAAAAAAALgIAAGRycy9lMm9Eb2MueG1sUEsBAi0AFAAGAAgA&#10;AAAhAEpKkOrdAAAAAwEAAA8AAAAAAAAAAAAAAAAA4gQAAGRycy9kb3ducmV2LnhtbFBLBQYAAAAA&#10;BAAEAPMAAADsBQAAAAA=&#10;" fillcolor="#ffc000" strokecolor="#70ad47 [3209]" strokeweight=".5pt">
                      <v:path arrowok="t"/>
                      <w10:anchorlock/>
                    </v:shape>
                  </w:pict>
                </mc:Fallback>
              </mc:AlternateContent>
            </w:r>
          </w:p>
        </w:tc>
        <w:tc>
          <w:tcPr>
            <w:tcW w:w="2929" w:type="dxa"/>
            <w:vAlign w:val="center"/>
          </w:tcPr>
          <w:p w14:paraId="4740ECE9" w14:textId="77777777" w:rsidR="00F97B16" w:rsidRPr="00F777C1" w:rsidRDefault="00F97B16" w:rsidP="00915020">
            <w:pPr>
              <w:rPr>
                <w:b/>
                <w:szCs w:val="18"/>
              </w:rPr>
            </w:pPr>
            <w:r w:rsidRPr="00F777C1">
              <w:rPr>
                <w:b/>
                <w:szCs w:val="18"/>
              </w:rPr>
              <w:t>Strongly Recommended</w:t>
            </w:r>
          </w:p>
        </w:tc>
      </w:tr>
      <w:tr w:rsidR="00F97B16" w:rsidRPr="00F777C1" w14:paraId="374234C5" w14:textId="77777777" w:rsidTr="00915020">
        <w:trPr>
          <w:trHeight w:val="374"/>
          <w:jc w:val="center"/>
        </w:trPr>
        <w:tc>
          <w:tcPr>
            <w:tcW w:w="666" w:type="dxa"/>
            <w:vAlign w:val="center"/>
          </w:tcPr>
          <w:p w14:paraId="09CF03CE" w14:textId="77777777" w:rsidR="00F97B16" w:rsidRPr="00F777C1" w:rsidRDefault="00F97B16" w:rsidP="00915020">
            <w:pPr>
              <w:jc w:val="center"/>
              <w:rPr>
                <w:rFonts w:eastAsia="Arial" w:cs="Segoe UI"/>
                <w:noProof/>
                <w:sz w:val="20"/>
                <w:szCs w:val="20"/>
              </w:rPr>
            </w:pPr>
            <w:r w:rsidRPr="00F777C1">
              <w:rPr>
                <w:rFonts w:eastAsia="Arial" w:cs="Segoe UI"/>
                <w:noProof/>
                <w:sz w:val="20"/>
                <w:szCs w:val="20"/>
              </w:rPr>
              <mc:AlternateContent>
                <mc:Choice Requires="wps">
                  <w:drawing>
                    <wp:inline distT="0" distB="0" distL="0" distR="0" wp14:anchorId="735BFA41" wp14:editId="2A9C8780">
                      <wp:extent cx="190500" cy="190500"/>
                      <wp:effectExtent l="0" t="0" r="19050" b="19050"/>
                      <wp:docPr id="41035" name="Oval 41035"/>
                      <wp:cNvGraphicFramePr/>
                      <a:graphic xmlns:a="http://schemas.openxmlformats.org/drawingml/2006/main">
                        <a:graphicData uri="http://schemas.microsoft.com/office/word/2010/wordprocessingShape">
                          <wps:wsp>
                            <wps:cNvSpPr/>
                            <wps:spPr>
                              <a:xfrm>
                                <a:off x="0" y="0"/>
                                <a:ext cx="190500" cy="190500"/>
                              </a:xfrm>
                              <a:prstGeom prst="ellipse">
                                <a:avLst/>
                              </a:prstGeom>
                              <a:solidFill>
                                <a:srgbClr val="FFFF00"/>
                              </a:solidFill>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oval w14:anchorId="5D5C2B91" id="Oval 41035" o:spid="_x0000_s1026" style="width:15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1GMgQIAAHIFAAAOAAAAZHJzL2Uyb0RvYy54bWysVF9r2zAQfx/sOwi9r7aztFtDnRJaMgal&#10;LWtHnxVZigWSTpOUONmn30l2nLCWDcb8IN/p7n73R3d3db0zmmyFDwpsTauzkhJhOTTKrmv6/Xn5&#10;4TMlITLbMA1W1HQvAr2ev3931bmZmEALuhGeIIgNs87VtI3RzYoi8FYYFs7ACYtCCd6wiKxfF41n&#10;HaIbXUzK8qLowDfOAxch4O1tL6TzjC+l4PFByiAi0TXF2GI+fT5X6SzmV2y29sy1ig9hsH+IwjBl&#10;0ekIdcsiIxuvXkEZxT0EkPGMgylASsVFzgGzqcrfsnlqmRM5FyxOcGOZwv+D5ffbR09UU9NpVX48&#10;p8Qyg8/0sGWa9DdYoc6FGSo+uUc/cAHJlO5OepP+mAjZ5arux6qKXSQcL6vL8rzE2nMUDTSiFEdj&#10;50P8IsCQRNRUaK1cSHmzGdvehdhrH7TSdQCtmqXSOjN+vbrRnmDINV3ih856kxO1IuXQR52puNci&#10;GWv7TUjMH+OcZI+588SIxzgXNl70opY1oneDCR29pF5NFjmpDJiQJYY3Yld/wu6DHfSTqciNOxqX&#10;fzceLbJnsHE0NsqCfwtAx2ook+z1MfyT0iRyBc0eu8NDPzbB8aXCJ7pjIT4yj3OCr4qzHx/wkBq6&#10;msJAUdKC//nWfdLH9kUpJR3OXU3Djw3zghL91WJjX1bTaRrUzEzPP02Q8aeS1anEbswN4LNXuGUc&#10;z2TSj/pASg/mBVfEInlFEbMcfdeUR39gbmK/D3DJcLFYZDUcTsfinX1yPIGnqqb+e969MO+GPo3Y&#10;4PdwmNFXvdrrJksLi00EqXIjH+s61BsHOzfOsITS5jjls9ZxVc5/AQAA//8DAFBLAwQUAAYACAAA&#10;ACEAOsdimtgAAAADAQAADwAAAGRycy9kb3ducmV2LnhtbEyPQUvDQBCF74L/YRnBi7QbrRSN2RSx&#10;Kh5rUgRv0+yYBLOzIbttor/eUQ96meHxhjffy1aT69SBhtB6NnA+T0ARV962XBvYlg+zK1AhIlvs&#10;PJOBDwqwyo+PMkytH/mZDkWslYRwSNFAE2Ofah2qhhyGue+JxXvzg8Mocqi1HXCUcNfpiyRZaoct&#10;y4cGe7prqHov9s7AuNT3r5drosWmxPLl7HFdXD99GnN6Mt3egIo0xb9j+MYXdMiFaef3bIPqDEiR&#10;+DPFWySidr9b55n+z55/AQAA//8DAFBLAQItABQABgAIAAAAIQC2gziS/gAAAOEBAAATAAAAAAAA&#10;AAAAAAAAAAAAAABbQ29udGVudF9UeXBlc10ueG1sUEsBAi0AFAAGAAgAAAAhADj9If/WAAAAlAEA&#10;AAsAAAAAAAAAAAAAAAAALwEAAF9yZWxzLy5yZWxzUEsBAi0AFAAGAAgAAAAhAK7LUYyBAgAAcgUA&#10;AA4AAAAAAAAAAAAAAAAALgIAAGRycy9lMm9Eb2MueG1sUEsBAi0AFAAGAAgAAAAhADrHYprYAAAA&#10;AwEAAA8AAAAAAAAAAAAAAAAA2wQAAGRycy9kb3ducmV2LnhtbFBLBQYAAAAABAAEAPMAAADgBQAA&#10;AAA=&#10;" fillcolor="yellow" strokecolor="#375623 [1609]" strokeweight="1pt">
                      <v:stroke joinstyle="miter"/>
                      <w10:anchorlock/>
                    </v:oval>
                  </w:pict>
                </mc:Fallback>
              </mc:AlternateContent>
            </w:r>
          </w:p>
        </w:tc>
        <w:tc>
          <w:tcPr>
            <w:tcW w:w="2929" w:type="dxa"/>
            <w:vAlign w:val="center"/>
          </w:tcPr>
          <w:p w14:paraId="65D1A8B6" w14:textId="77777777" w:rsidR="00F97B16" w:rsidRPr="007B7091" w:rsidRDefault="00F97B16" w:rsidP="00915020">
            <w:pPr>
              <w:rPr>
                <w:b/>
                <w:sz w:val="2"/>
                <w:szCs w:val="2"/>
              </w:rPr>
            </w:pPr>
            <w:r w:rsidRPr="00F777C1">
              <w:rPr>
                <w:b/>
                <w:sz w:val="2"/>
                <w:szCs w:val="2"/>
              </w:rPr>
              <w:t>kj</w:t>
            </w:r>
            <w:r w:rsidRPr="00F777C1">
              <w:rPr>
                <w:b/>
                <w:szCs w:val="18"/>
              </w:rPr>
              <w:t>Recommended</w:t>
            </w:r>
          </w:p>
        </w:tc>
      </w:tr>
      <w:tr w:rsidR="00F97B16" w:rsidRPr="00F777C1" w14:paraId="3897FE10" w14:textId="77777777" w:rsidTr="00915020">
        <w:trPr>
          <w:trHeight w:val="368"/>
          <w:jc w:val="center"/>
        </w:trPr>
        <w:tc>
          <w:tcPr>
            <w:tcW w:w="666" w:type="dxa"/>
            <w:vAlign w:val="center"/>
          </w:tcPr>
          <w:p w14:paraId="01EF3D91" w14:textId="77777777" w:rsidR="00F97B16" w:rsidRPr="00F777C1" w:rsidRDefault="00F97B16" w:rsidP="00915020">
            <w:pPr>
              <w:jc w:val="center"/>
              <w:rPr>
                <w:rFonts w:eastAsia="Arial" w:cs="Segoe UI"/>
                <w:noProof/>
                <w:sz w:val="20"/>
                <w:szCs w:val="20"/>
              </w:rPr>
            </w:pPr>
            <w:r w:rsidRPr="005D56C9">
              <w:rPr>
                <w:rFonts w:eastAsia="Arial" w:cs="Segoe UI"/>
                <w:noProof/>
                <w:sz w:val="20"/>
                <w:szCs w:val="20"/>
              </w:rPr>
              <mc:AlternateContent>
                <mc:Choice Requires="wps">
                  <w:drawing>
                    <wp:inline distT="0" distB="0" distL="0" distR="0" wp14:anchorId="520704F4" wp14:editId="7255DB1B">
                      <wp:extent cx="189470" cy="189470"/>
                      <wp:effectExtent l="0" t="0" r="20320" b="20320"/>
                      <wp:docPr id="188" name="Rectangle 188"/>
                      <wp:cNvGraphicFramePr/>
                      <a:graphic xmlns:a="http://schemas.openxmlformats.org/drawingml/2006/main">
                        <a:graphicData uri="http://schemas.microsoft.com/office/word/2010/wordprocessingShape">
                          <wps:wsp>
                            <wps:cNvSpPr/>
                            <wps:spPr>
                              <a:xfrm>
                                <a:off x="0" y="0"/>
                                <a:ext cx="189470" cy="189470"/>
                              </a:xfrm>
                              <a:prstGeom prst="rect">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rect w14:anchorId="66ABD9B9" id="Rectangle 188" o:spid="_x0000_s1026" style="width:14.9pt;height:14.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67XiQIAAHAFAAAOAAAAZHJzL2Uyb0RvYy54bWysVF9v2jAQf5+072D5fSQguraooUJUTJOq&#10;tiqd+mwcm0RyfN7ZENin39kJKeqqPUzjwdzl7n73/25uD41he4W+Blvw8SjnTFkJZW23Bf/xsvpy&#10;xZkPwpbCgFUFPyrPb+efP920bqYmUIEpFTICsX7WuoJXIbhZlnlZqUb4EThlSagBGxGIxW1WomgJ&#10;vTHZJM+/Zi1g6RCk8p6+3nVCPk/4WisZHrX2KjBTcIotpBfTu4lvNr8Rsy0KV9WyD0P8QxSNqC05&#10;HaDuRBBsh/UfUE0tETzoMJLQZKB1LVXKgbIZ5++yWVfCqZQLFce7oUz+/8HKh/0Tsrqk3l1Rq6xo&#10;qEnPVDZht0ax+JFK1Do/I821e8Ke80TGfA8am/hPmbBDKutxKKs6BCbp4/jqenpJxZck6mlCyd6M&#10;HfrwTUHDIlFwJPepmGJ/70OnelKJvjyYulzVxiQGt5ulQbYXscP5Zb5MTSX0M7UsJtCFnKhwNCoa&#10;G/usNGVPQU6SxzR3asATUiobxp2oEqXq3Fzk9It1iV7ipEaLxCXAiKwpvAG7BzhpdiAn7A6m14+m&#10;Ko3tYJz/LbDOeLBInsGGwbipLeBHAIay6j13+hT+WWkiuYHySLOB0C2Nd3JVU3/uhQ9PAmlLqKW0&#10;+eGRHm2gLTj0FGcV4K+Pvkd9Gl6SctbS1hXc/9wJVJyZ75bG+no8ncY1Tcz04nJCDJ5LNucSu2uW&#10;QG0f041xMpFRP5gTqRGaVzoQi+iVRMJK8l1wGfDELEN3DejESLVYJDVaTSfCvV07GcFjVeP8vRxe&#10;Bbp+SANN9wOcNlTM3s1qpxstLSx2AXSdBvmtrn29aa3T4PQnKN6Ncz5pvR3K+W8AAAD//wMAUEsD&#10;BBQABgAIAAAAIQA2oVB41QAAAAMBAAAPAAAAZHJzL2Rvd25yZXYueG1sTI9BT8MwDIXvSPyHyEhc&#10;JpYyJLSVphNC4gyMcXcbrw0kTtVkXfn3GDjAxZb1np6/V23n4NVEY3KRDVwvC1DEbbSOOwP718er&#10;NaiUkS36yGTgkxJs6/OzCksbT/xC0y53SkI4lWigz3kotU5tTwHTMg7Eoh3iGDDLOXbajniS8OD1&#10;qihudUDH8qHHgR56aj92x2AA14s357v3xt3o56eF20z5kLQxlxfz/R2oTHP+M8M3vqBDLUxNPLJN&#10;yhuQIvlnirbaSIvmd+u60v/Z6y8AAAD//wMAUEsBAi0AFAAGAAgAAAAhALaDOJL+AAAA4QEAABMA&#10;AAAAAAAAAAAAAAAAAAAAAFtDb250ZW50X1R5cGVzXS54bWxQSwECLQAUAAYACAAAACEAOP0h/9YA&#10;AACUAQAACwAAAAAAAAAAAAAAAAAvAQAAX3JlbHMvLnJlbHNQSwECLQAUAAYACAAAACEAHd+u14kC&#10;AABwBQAADgAAAAAAAAAAAAAAAAAuAgAAZHJzL2Uyb0RvYy54bWxQSwECLQAUAAYACAAAACEANqFQ&#10;eNUAAAADAQAADwAAAAAAAAAAAAAAAADjBAAAZHJzL2Rvd25yZXYueG1sUEsFBgAAAAAEAAQA8wAA&#10;AOUFAAAAAA==&#10;" fillcolor="#0070c0" strokecolor="#1f4d78 [1604]" strokeweight="1pt">
                      <w10:anchorlock/>
                    </v:rect>
                  </w:pict>
                </mc:Fallback>
              </mc:AlternateContent>
            </w:r>
          </w:p>
        </w:tc>
        <w:tc>
          <w:tcPr>
            <w:tcW w:w="2929" w:type="dxa"/>
            <w:vAlign w:val="center"/>
          </w:tcPr>
          <w:p w14:paraId="5219888A" w14:textId="77777777" w:rsidR="00F97B16" w:rsidRPr="00F777C1" w:rsidRDefault="00F97B16" w:rsidP="00915020">
            <w:pPr>
              <w:rPr>
                <w:b/>
                <w:sz w:val="2"/>
                <w:szCs w:val="2"/>
              </w:rPr>
            </w:pPr>
            <w:r w:rsidRPr="00F777C1">
              <w:rPr>
                <w:b/>
                <w:sz w:val="2"/>
                <w:szCs w:val="2"/>
              </w:rPr>
              <w:t>kj</w:t>
            </w:r>
            <w:r w:rsidRPr="00F777C1">
              <w:rPr>
                <w:b/>
                <w:szCs w:val="18"/>
              </w:rPr>
              <w:t>Optional Elements</w:t>
            </w:r>
          </w:p>
        </w:tc>
      </w:tr>
    </w:tbl>
    <w:p w14:paraId="39FA73D2" w14:textId="77777777" w:rsidR="00F97B16" w:rsidRPr="00F777C1" w:rsidRDefault="00F97B16" w:rsidP="00F97B16"/>
    <w:p w14:paraId="535C30CD" w14:textId="77777777" w:rsidR="0030368C" w:rsidRPr="00735576" w:rsidRDefault="0030368C" w:rsidP="0030368C">
      <w:pPr>
        <w:rPr>
          <w:rFonts w:eastAsia="Times New Roman"/>
        </w:rPr>
      </w:pPr>
      <w:r w:rsidRPr="00735576">
        <w:rPr>
          <w:rFonts w:eastAsia="Times New Roman"/>
        </w:rPr>
        <w:t xml:space="preserve">All exceptions for Mandatory items (marked with red octagon </w:t>
      </w:r>
      <w:r w:rsidRPr="00735576">
        <w:rPr>
          <w:rFonts w:eastAsia="Times New Roman"/>
          <w:noProof/>
        </w:rPr>
        <mc:AlternateContent>
          <mc:Choice Requires="wps">
            <w:drawing>
              <wp:inline distT="0" distB="0" distL="0" distR="0" wp14:anchorId="182D1891" wp14:editId="15142A33">
                <wp:extent cx="210553" cy="190500"/>
                <wp:effectExtent l="0" t="0" r="18415" b="19050"/>
                <wp:docPr id="41041" name="Octagon 41041"/>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56F65DC5" w14:textId="77777777" w:rsidR="008D2C68" w:rsidRDefault="008D2C68" w:rsidP="0030368C">
                            <w:pPr>
                              <w:jc w:val="center"/>
                            </w:pPr>
                          </w:p>
                          <w:p w14:paraId="44783A2A" w14:textId="77777777" w:rsidR="008D2C68" w:rsidRDefault="008D2C68" w:rsidP="0030368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82D1891" id="Octagon 41041" o:spid="_x0000_s1032"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zIEfgIAAGQFAAAOAAAAZHJzL2Uyb0RvYy54bWysVF9r2zAQfx/sOwi9r7bTZFtDnRJSOgal&#10;LWtHnxVZSgSSTpOU2Nmn30l23NAVCmN+kO90/+9+p8urzmiyFz4osDWtzkpKhOXQKLup6c+nm09f&#10;KQmR2YZpsKKmBxHo1eLjh8vWzcUEtqAb4Qk6sWHeuppuY3Tzogh8KwwLZ+CERaEEb1hE1m+KxrMW&#10;vRtdTMryc9GCb5wHLkLA2+teSBfZv5SCx3spg4hE1xRzi/n0+Vyns1hcsvnGM7dVfEiD/UMWhimL&#10;QUdX1ywysvPqL1dGcQ8BZDzjYAqQUnGRa8BqqvJVNY9b5kSuBZsT3Nim8P/c8rv9gyeqqem0KqcV&#10;JZYZHNM9j2wDlvSX2KTWhTnqProHP3AByVRxJ71Jf6yFdLmxh7GxoouE4+WkKmezc0o4iqqLclbm&#10;xhcvxs6H+E2AIYmoKfThc0fZ/jZEjInaR60ULoBWzY3SOjN+s15pT/YMx7xalfilyaLJiVqRauiz&#10;zlQ8aJGMtf0hJLYA86xyxAw+MfpjnAsbJ4PDrJ3MJMYeDc/fNxz0k6nIwByNJ+8bjxY5Mtg4Ghtl&#10;wb/lQMdqSFn2+tiPk7oTGbt1l2efi0s3a2gOiAcP/aIEx28UTuSWhfjAPG4G7hBue7zHQ2pocVQD&#10;RckW/O+37pM+AhallLS4aTUNv3bMC0r0d4tQvqim07SamZnOvkyQ8aeS9anE7swKcMoIVcwuk0k/&#10;6iMpPZhnfBSWKSqKmOUYu6Y8+iOziv0LgM8KF8tlVsN1dCze2kfHjzhIcHvqnpl3Aywj4vkOjlvJ&#10;5q+g2eumCVlY7iJIlXH70tdhArjKGZvDs5PeilM+a708jos/AAAA//8DAFBLAwQUAAYACAAAACEA&#10;tdNxHNoAAAADAQAADwAAAGRycy9kb3ducmV2LnhtbEyPQWvDMAyF74P9B6NBb63dFkqXxSljUNhh&#10;NKxb2dWNtSQ0loPtNum/n7ZLd9FDPPHep3wzuk5cMMTWk4b5TIFAqrxtqdbw+bGdrkHEZMiazhNq&#10;uGKETXF/l5vM+oHe8bJPteAQipnR0KTUZ1LGqkFn4sz3SOx9++BM4jXU0gYzcLjr5EKplXSmJW5o&#10;TI8vDVan/dlpKE9D+bouy8evsF3t3oI7zMPuoPXkYXx+ApFwTLdj+MVndCiY6ejPZKPoNPAj6W+y&#10;t1wuQBxZlQJZ5PI/e/EDAAD//wMAUEsBAi0AFAAGAAgAAAAhALaDOJL+AAAA4QEAABMAAAAAAAAA&#10;AAAAAAAAAAAAAFtDb250ZW50X1R5cGVzXS54bWxQSwECLQAUAAYACAAAACEAOP0h/9YAAACUAQAA&#10;CwAAAAAAAAAAAAAAAAAvAQAAX3JlbHMvLnJlbHNQSwECLQAUAAYACAAAACEA+AcyBH4CAABkBQAA&#10;DgAAAAAAAAAAAAAAAAAuAgAAZHJzL2Uyb0RvYy54bWxQSwECLQAUAAYACAAAACEAtdNxHNoAAAAD&#10;AQAADwAAAAAAAAAAAAAAAADYBAAAZHJzL2Rvd25yZXYueG1sUEsFBgAAAAAEAAQA8wAAAN8FAAAA&#10;AA==&#10;" fillcolor="#c00" strokecolor="#ed7d31 [3205]" strokeweight=".5pt">
                <v:textbox>
                  <w:txbxContent>
                    <w:p w14:paraId="56F65DC5" w14:textId="77777777" w:rsidR="008D2C68" w:rsidRDefault="008D2C68" w:rsidP="0030368C">
                      <w:pPr>
                        <w:jc w:val="center"/>
                      </w:pPr>
                    </w:p>
                    <w:p w14:paraId="44783A2A" w14:textId="77777777" w:rsidR="008D2C68" w:rsidRDefault="008D2C68" w:rsidP="0030368C">
                      <w:pPr>
                        <w:jc w:val="center"/>
                      </w:pPr>
                    </w:p>
                  </w:txbxContent>
                </v:textbox>
                <w10:anchorlock/>
              </v:shape>
            </w:pict>
          </mc:Fallback>
        </mc:AlternateContent>
      </w:r>
      <w:r w:rsidRPr="00735576">
        <w:rPr>
          <w:rFonts w:eastAsia="Times New Roman"/>
        </w:rPr>
        <w:t xml:space="preserve"> or an orange triangle </w:t>
      </w:r>
      <w:r w:rsidRPr="00735576">
        <w:rPr>
          <w:rFonts w:eastAsia="Times New Roman"/>
          <w:noProof/>
        </w:rPr>
        <mc:AlternateContent>
          <mc:Choice Requires="wps">
            <w:drawing>
              <wp:inline distT="0" distB="0" distL="0" distR="0" wp14:anchorId="41A3B0DB" wp14:editId="3FC4A297">
                <wp:extent cx="209550" cy="180975"/>
                <wp:effectExtent l="19050" t="19050" r="38100" b="28575"/>
                <wp:docPr id="253" name="Isosceles Triangle 2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4A42CB0" id="Isosceles Triangle 253"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XZxhwIAAHMFAAAOAAAAZHJzL2Uyb0RvYy54bWysVNtqGzEQfS/0H4Tem107cS5L1sE4uARM&#10;YpqUPMtayRbValRJ9tr9+o60l6RpIFD6IiTNmfuZub451JrshfMKTElHJzklwnColNmU9PvT4ssl&#10;JT4wUzENRpT0KDy9mX7+dN3YQoxhC7oSjqAR44vGlnQbgi2yzPOtqJk/ASsMCiW4mgV8uk1WOdag&#10;9Vpn4zw/zxpwlXXAhff4e9sK6TTZl1Lw8CClF4HokmJsIZ0unet4ZtNrVmwcs1vFuzDYP0RRM2XQ&#10;6WDqlgVGdk79ZapW3IEHGU441BlIqbhIOWA2o/xNNo9bZkXKBYvj7VAm///M8vv9yhFVlXQ8OaXE&#10;sBqbdOfBc6GFJ09OMbPRgkQp1qqxvkCVR7tyMVtvl8B/eBRkf0jiw3eYg3R1xGKu5JAKfxwKLw6B&#10;cPwc51eTCbaHo2h0mV9dTKKzjBW9snU+fBVQk3gpaejCSiVn+6UPLbyHpdhAq2qhtE4Pt1nPtSN7&#10;hjxYLOZ5nlqPHvwLLOXQhp0SCEctorI234TEGmGgo+QxsVMM9hjnwoTzLuSEjmoSfQ+Kpx8rdvio&#10;KhJzB+Xxx8qDRvIMJgzKtTLg3jOgw6gLWbb4rou+zTuWYA3VEenhoJ0bb/lCYQOWzIcVczgo2DMc&#10;/vCAh9TQlBS6GyVbcL/e+4945C9KKWlw8Erqf+6YE5ToO4PMvhqdncVJTY+zycUYH+61ZP1aYnb1&#10;HLCnI1wzlqdrxAfdX6WD+hl3xCx6RREzHH2XlAfXP+ahXQi4ZbiYzRIMp9OysDSPlvddj+R6Ojwz&#10;Z3sWIn3voR9SVrwhYouN/TAw2wWQKrH0pa5dvXGyE9e7LRRXx+t3Qr3syulvAAAA//8DAFBLAwQU&#10;AAYACAAAACEASkqQ6t0AAAADAQAADwAAAGRycy9kb3ducmV2LnhtbEyPQUvDQBCF74L/YRnBi9iN&#10;bZU0ZlNUsFAPgq1oe9tmp0lwdzZkt038945e6uXB4w3vfZPPB2fFEbvQeFJwM0pAIJXeNFQpeF8/&#10;X6cgQtRktPWECr4xwLw4P8t1ZnxPb3hcxUpwCYVMK6hjbDMpQ1mj02HkWyTO9r5zOrLtKmk63XO5&#10;s3KcJHfS6YZ4odYtPtVYfq0OTsGyX38+Xr3uN9PZ0m7bl34xTWcfSl1eDA/3ICIO8XQMv/iMDgUz&#10;7fyBTBBWAT8S/5SzyYTdTsE4vQVZ5PI/e/EDAAD//wMAUEsBAi0AFAAGAAgAAAAhALaDOJL+AAAA&#10;4QEAABMAAAAAAAAAAAAAAAAAAAAAAFtDb250ZW50X1R5cGVzXS54bWxQSwECLQAUAAYACAAAACEA&#10;OP0h/9YAAACUAQAACwAAAAAAAAAAAAAAAAAvAQAAX3JlbHMvLnJlbHNQSwECLQAUAAYACAAAACEA&#10;0012cYcCAABzBQAADgAAAAAAAAAAAAAAAAAuAgAAZHJzL2Uyb0RvYy54bWxQSwECLQAUAAYACAAA&#10;ACEASkqQ6t0AAAADAQAADwAAAAAAAAAAAAAAAADhBAAAZHJzL2Rvd25yZXYueG1sUEsFBgAAAAAE&#10;AAQA8wAAAOsFAAAAAA==&#10;" fillcolor="#ffc000" strokecolor="#70ad47 [3209]" strokeweight=".5pt">
                <v:path arrowok="t"/>
                <w10:anchorlock/>
              </v:shape>
            </w:pict>
          </mc:Fallback>
        </mc:AlternateContent>
      </w:r>
      <w:r w:rsidRPr="00735576">
        <w:rPr>
          <w:rFonts w:eastAsia="Times New Roman"/>
        </w:rPr>
        <w:t xml:space="preserve"> in this document</w:t>
      </w:r>
      <w:r>
        <w:rPr>
          <w:rFonts w:eastAsia="Times New Roman"/>
        </w:rPr>
        <w:t>)</w:t>
      </w:r>
      <w:r w:rsidRPr="00735576">
        <w:rPr>
          <w:rFonts w:eastAsia="Times New Roman"/>
        </w:rPr>
        <w:t xml:space="preserve"> are considered temporary, and they need to be approved by the CAB</w:t>
      </w:r>
      <w:r>
        <w:rPr>
          <w:rFonts w:eastAsia="Times New Roman"/>
        </w:rPr>
        <w:t>. Guidelines include:</w:t>
      </w:r>
    </w:p>
    <w:p w14:paraId="12C9169F" w14:textId="77777777" w:rsidR="0030368C" w:rsidRPr="00DA51CC" w:rsidRDefault="0030368C" w:rsidP="005729D2">
      <w:pPr>
        <w:pStyle w:val="ListParagraph"/>
        <w:numPr>
          <w:ilvl w:val="0"/>
          <w:numId w:val="193"/>
        </w:numPr>
        <w:spacing w:before="0" w:after="160" w:line="259" w:lineRule="auto"/>
      </w:pPr>
      <w:r>
        <w:t>The i</w:t>
      </w:r>
      <w:r w:rsidRPr="00DA51CC">
        <w:t>nitial request require</w:t>
      </w:r>
      <w:r>
        <w:t>s</w:t>
      </w:r>
      <w:r w:rsidRPr="00DA51CC">
        <w:t xml:space="preserve"> justification risk acceptance signed by personnel’s immediate supervisor</w:t>
      </w:r>
      <w:r>
        <w:t>,</w:t>
      </w:r>
      <w:r w:rsidRPr="00DA51CC">
        <w:t xml:space="preserve"> and </w:t>
      </w:r>
      <w:r>
        <w:t xml:space="preserve">it </w:t>
      </w:r>
      <w:r w:rsidRPr="00DA51CC">
        <w:t>expire</w:t>
      </w:r>
      <w:r>
        <w:t>s</w:t>
      </w:r>
      <w:r w:rsidRPr="00DA51CC">
        <w:t xml:space="preserve"> after </w:t>
      </w:r>
      <w:r>
        <w:t>six</w:t>
      </w:r>
      <w:r w:rsidRPr="00DA51CC">
        <w:t xml:space="preserve"> months</w:t>
      </w:r>
      <w:r>
        <w:t>.</w:t>
      </w:r>
    </w:p>
    <w:p w14:paraId="477585B0" w14:textId="77777777" w:rsidR="0030368C" w:rsidRPr="00DA51CC" w:rsidRDefault="0030368C" w:rsidP="005729D2">
      <w:pPr>
        <w:pStyle w:val="ListParagraph"/>
        <w:numPr>
          <w:ilvl w:val="0"/>
          <w:numId w:val="193"/>
        </w:numPr>
        <w:spacing w:before="0" w:after="160" w:line="259" w:lineRule="auto"/>
      </w:pPr>
      <w:r w:rsidRPr="00DA51CC">
        <w:t xml:space="preserve">Renewals require justification and risk acceptance signed by </w:t>
      </w:r>
      <w:r>
        <w:t xml:space="preserve">a </w:t>
      </w:r>
      <w:r w:rsidRPr="00DA51CC">
        <w:t>business unit director</w:t>
      </w:r>
      <w:r>
        <w:t>,</w:t>
      </w:r>
      <w:r w:rsidRPr="00DA51CC">
        <w:t xml:space="preserve"> and </w:t>
      </w:r>
      <w:r>
        <w:t xml:space="preserve">they </w:t>
      </w:r>
      <w:r w:rsidRPr="00DA51CC">
        <w:t>expire after</w:t>
      </w:r>
      <w:r>
        <w:t> six</w:t>
      </w:r>
      <w:r w:rsidRPr="00DA51CC">
        <w:t xml:space="preserve"> months</w:t>
      </w:r>
      <w:r>
        <w:t>.</w:t>
      </w:r>
    </w:p>
    <w:p w14:paraId="0296860F" w14:textId="77777777" w:rsidR="0030368C" w:rsidRPr="00735576" w:rsidRDefault="0030368C" w:rsidP="0030368C">
      <w:pPr>
        <w:rPr>
          <w:rFonts w:eastAsia="Times New Roman"/>
        </w:rPr>
      </w:pPr>
      <w:r w:rsidRPr="00735576">
        <w:rPr>
          <w:rFonts w:eastAsia="Times New Roman"/>
        </w:rPr>
        <w:t xml:space="preserve">All exceptions for Recommended items </w:t>
      </w:r>
      <w:r>
        <w:rPr>
          <w:rFonts w:eastAsia="Times New Roman"/>
        </w:rPr>
        <w:t>(</w:t>
      </w:r>
      <w:r w:rsidRPr="00735576">
        <w:rPr>
          <w:rFonts w:eastAsia="Times New Roman"/>
        </w:rPr>
        <w:t xml:space="preserve">marked with a yellow circle </w:t>
      </w:r>
      <w:r w:rsidRPr="00735576">
        <w:rPr>
          <w:rFonts w:eastAsia="Times New Roman"/>
          <w:noProof/>
        </w:rPr>
        <mc:AlternateContent>
          <mc:Choice Requires="wps">
            <w:drawing>
              <wp:inline distT="0" distB="0" distL="0" distR="0" wp14:anchorId="759E5D4F" wp14:editId="576E9376">
                <wp:extent cx="190500" cy="190500"/>
                <wp:effectExtent l="0" t="0" r="19050" b="19050"/>
                <wp:docPr id="41047" name="Oval 41047"/>
                <wp:cNvGraphicFramePr/>
                <a:graphic xmlns:a="http://schemas.openxmlformats.org/drawingml/2006/main">
                  <a:graphicData uri="http://schemas.microsoft.com/office/word/2010/wordprocessingShape">
                    <wps:wsp>
                      <wps:cNvSpPr/>
                      <wps:spPr>
                        <a:xfrm>
                          <a:off x="0" y="0"/>
                          <a:ext cx="190500" cy="190500"/>
                        </a:xfrm>
                        <a:prstGeom prst="ellipse">
                          <a:avLst/>
                        </a:prstGeom>
                        <a:solidFill>
                          <a:srgbClr val="FFFF00"/>
                        </a:solidFill>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oval w14:anchorId="1E2406C4" id="Oval 41047" o:spid="_x0000_s1026" style="width:15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lfPgQIAAHIFAAAOAAAAZHJzL2Uyb0RvYy54bWysVF9r2zAQfx/sOwi9r7ZD2q6hTgktGYPS&#10;lrWjz4osxQJJp0lKnOzT7yQ7TljLBmN+kO90d7/7o7u7vtkZTbbCBwW2ptVZSYmwHBpl1zX9/rL8&#10;9JmSEJltmAYraroXgd7MP3647txMTKAF3QhPEMSGWedq2sboZkUReCsMC2fghEWhBG9YRNavi8az&#10;DtGNLiZleVF04BvngYsQ8PauF9J5xpdS8PgoZRCR6JpibDGfPp+rdBbzazZbe+ZaxYcw2D9EYZiy&#10;6HSEumORkY1Xb6CM4h4CyHjGwRQgpeIi54DZVOVv2Ty3zImcCxYnuLFM4f/B8oftkyeqqem0KqeX&#10;lFhm8Jket0yT/gYr1LkwQ8Vn9+QHLiCZ0t1Jb9IfEyG7XNX9WFWxi4TjZXVVnpdYe46igUaU4mjs&#10;fIhfBBiSiJoKrZULKW82Y9v7EHvtg1a6DqBVs1RaZ8avV7faEwy5pkv80FlvcqJWpBz6qDMV91ok&#10;Y22/CYn5Y5yT7DF3nhjxGOfCxote1LJG9G4woaOX1KvJIieVAROyxPBG7OpP2H2wg34yFblxR+Py&#10;78ajRfYMNo7GRlnw7wHoWA1lkr0+hn9SmkSuoNljd3joxyY4vlT4RPcsxCfmcU7wVXH24yMeUkNX&#10;UxgoSlrwP9+7T/rYviilpMO5q2n4sWFeUKK/Wmzsq2o6TYOamen55QQZfypZnUrsxtwCPnuFW8bx&#10;TCb9qA+k9GBecUUsklcUMcvRd0159AfmNvb7AJcMF4tFVsPhdCze22fHE3iqauq/l90r827o04gN&#10;/gCHGX3Tq71usrSw2ESQKjfysa5DvXGwc+MMSyhtjlM+ax1X5fwXAAAA//8DAFBLAwQUAAYACAAA&#10;ACEAOsdimtgAAAADAQAADwAAAGRycy9kb3ducmV2LnhtbEyPQUvDQBCF74L/YRnBi7QbrRSN2RSx&#10;Kh5rUgRv0+yYBLOzIbttor/eUQ96meHxhjffy1aT69SBhtB6NnA+T0ARV962XBvYlg+zK1AhIlvs&#10;PJOBDwqwyo+PMkytH/mZDkWslYRwSNFAE2Ofah2qhhyGue+JxXvzg8Mocqi1HXCUcNfpiyRZaoct&#10;y4cGe7prqHov9s7AuNT3r5drosWmxPLl7HFdXD99GnN6Mt3egIo0xb9j+MYXdMiFaef3bIPqDEiR&#10;+DPFWySidr9b55n+z55/AQAA//8DAFBLAQItABQABgAIAAAAIQC2gziS/gAAAOEBAAATAAAAAAAA&#10;AAAAAAAAAAAAAABbQ29udGVudF9UeXBlc10ueG1sUEsBAi0AFAAGAAgAAAAhADj9If/WAAAAlAEA&#10;AAsAAAAAAAAAAAAAAAAALwEAAF9yZWxzLy5yZWxzUEsBAi0AFAAGAAgAAAAhAGEOV8+BAgAAcgUA&#10;AA4AAAAAAAAAAAAAAAAALgIAAGRycy9lMm9Eb2MueG1sUEsBAi0AFAAGAAgAAAAhADrHYprYAAAA&#10;AwEAAA8AAAAAAAAAAAAAAAAA2wQAAGRycy9kb3ducmV2LnhtbFBLBQYAAAAABAAEAPMAAADgBQAA&#10;AAA=&#10;" fillcolor="yellow" strokecolor="#375623 [1609]" strokeweight="1pt">
                <v:stroke joinstyle="miter"/>
                <w10:anchorlock/>
              </v:oval>
            </w:pict>
          </mc:Fallback>
        </mc:AlternateContent>
      </w:r>
      <w:r w:rsidRPr="00735576">
        <w:rPr>
          <w:rFonts w:eastAsia="Times New Roman"/>
        </w:rPr>
        <w:t xml:space="preserve"> in this document</w:t>
      </w:r>
      <w:r>
        <w:rPr>
          <w:rFonts w:eastAsia="Times New Roman"/>
        </w:rPr>
        <w:t>)</w:t>
      </w:r>
      <w:r w:rsidRPr="00735576">
        <w:rPr>
          <w:rFonts w:eastAsia="Times New Roman"/>
        </w:rPr>
        <w:t xml:space="preserve"> are considered temporary</w:t>
      </w:r>
      <w:r>
        <w:rPr>
          <w:rFonts w:eastAsia="Times New Roman"/>
        </w:rPr>
        <w:t>,</w:t>
      </w:r>
      <w:r w:rsidRPr="00735576">
        <w:rPr>
          <w:rFonts w:eastAsia="Times New Roman"/>
        </w:rPr>
        <w:t xml:space="preserve"> and need to be approved by the CAB</w:t>
      </w:r>
      <w:r>
        <w:rPr>
          <w:rFonts w:eastAsia="Times New Roman"/>
        </w:rPr>
        <w:t>. Guidelines include:</w:t>
      </w:r>
    </w:p>
    <w:p w14:paraId="63A1AE1C" w14:textId="77777777" w:rsidR="0030368C" w:rsidRPr="00DA51CC" w:rsidRDefault="0030368C" w:rsidP="005729D2">
      <w:pPr>
        <w:pStyle w:val="ListParagraph"/>
        <w:numPr>
          <w:ilvl w:val="0"/>
          <w:numId w:val="193"/>
        </w:numPr>
        <w:spacing w:before="0" w:after="160" w:line="259" w:lineRule="auto"/>
      </w:pPr>
      <w:r>
        <w:t>The i</w:t>
      </w:r>
      <w:r w:rsidRPr="00DA51CC">
        <w:t>nitial request require</w:t>
      </w:r>
      <w:r>
        <w:t>s</w:t>
      </w:r>
      <w:r w:rsidRPr="00DA51CC">
        <w:t xml:space="preserve"> justification risk acceptance signed by personnel’s immediate supervisor</w:t>
      </w:r>
      <w:r>
        <w:t>,</w:t>
      </w:r>
      <w:r w:rsidRPr="00DA51CC">
        <w:t xml:space="preserve"> and </w:t>
      </w:r>
      <w:r>
        <w:t xml:space="preserve">it </w:t>
      </w:r>
      <w:r w:rsidRPr="00DA51CC">
        <w:t>expire</w:t>
      </w:r>
      <w:r>
        <w:t>s</w:t>
      </w:r>
      <w:r w:rsidRPr="00DA51CC">
        <w:t xml:space="preserve"> after</w:t>
      </w:r>
      <w:r>
        <w:t> 1</w:t>
      </w:r>
      <w:r w:rsidRPr="00DA51CC">
        <w:t>2 months</w:t>
      </w:r>
      <w:r>
        <w:t>.</w:t>
      </w:r>
    </w:p>
    <w:p w14:paraId="4CA15F03" w14:textId="77777777" w:rsidR="0030368C" w:rsidRPr="00DA51CC" w:rsidRDefault="0030368C" w:rsidP="005729D2">
      <w:pPr>
        <w:pStyle w:val="ListParagraph"/>
        <w:numPr>
          <w:ilvl w:val="0"/>
          <w:numId w:val="193"/>
        </w:numPr>
        <w:spacing w:before="0" w:after="160" w:line="259" w:lineRule="auto"/>
      </w:pPr>
      <w:r w:rsidRPr="00DA51CC">
        <w:t>Renewals require justification and risk acceptance signed by</w:t>
      </w:r>
      <w:r>
        <w:t xml:space="preserve"> a</w:t>
      </w:r>
      <w:r w:rsidRPr="00DA51CC">
        <w:t xml:space="preserve"> business unit director</w:t>
      </w:r>
      <w:r>
        <w:t>,</w:t>
      </w:r>
      <w:r w:rsidRPr="00DA51CC">
        <w:t xml:space="preserve"> and </w:t>
      </w:r>
      <w:r>
        <w:t xml:space="preserve">they </w:t>
      </w:r>
      <w:r w:rsidRPr="00DA51CC">
        <w:t>expire after</w:t>
      </w:r>
      <w:r>
        <w:t> 1</w:t>
      </w:r>
      <w:r w:rsidRPr="00DA51CC">
        <w:t>2 months</w:t>
      </w:r>
      <w:r>
        <w:t>.</w:t>
      </w:r>
    </w:p>
    <w:p w14:paraId="65C6C3B7" w14:textId="77777777" w:rsidR="0030368C" w:rsidRPr="00735576" w:rsidRDefault="0030368C" w:rsidP="0030368C">
      <w:pPr>
        <w:rPr>
          <w:rFonts w:eastAsia="Times New Roman"/>
        </w:rPr>
      </w:pPr>
      <w:r w:rsidRPr="00735576">
        <w:rPr>
          <w:rFonts w:eastAsia="Times New Roman"/>
        </w:rPr>
        <w:t xml:space="preserve">Exceptions for Recommended items </w:t>
      </w:r>
      <w:r>
        <w:rPr>
          <w:rFonts w:eastAsia="Times New Roman"/>
        </w:rPr>
        <w:t>(</w:t>
      </w:r>
      <w:r w:rsidRPr="00735576">
        <w:rPr>
          <w:rFonts w:eastAsia="Times New Roman"/>
        </w:rPr>
        <w:t xml:space="preserve">marked with a blue square </w:t>
      </w:r>
      <w:r w:rsidRPr="00735576">
        <w:rPr>
          <w:rFonts w:eastAsia="Times New Roman"/>
          <w:noProof/>
        </w:rPr>
        <mc:AlternateContent>
          <mc:Choice Requires="wps">
            <w:drawing>
              <wp:inline distT="0" distB="0" distL="0" distR="0" wp14:anchorId="481C0822" wp14:editId="7670DA43">
                <wp:extent cx="189470" cy="189470"/>
                <wp:effectExtent l="0" t="0" r="20320" b="20320"/>
                <wp:docPr id="193" name="Rectangle 193"/>
                <wp:cNvGraphicFramePr/>
                <a:graphic xmlns:a="http://schemas.openxmlformats.org/drawingml/2006/main">
                  <a:graphicData uri="http://schemas.microsoft.com/office/word/2010/wordprocessingShape">
                    <wps:wsp>
                      <wps:cNvSpPr/>
                      <wps:spPr>
                        <a:xfrm>
                          <a:off x="0" y="0"/>
                          <a:ext cx="189470" cy="189470"/>
                        </a:xfrm>
                        <a:prstGeom prst="rect">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rect w14:anchorId="0D5CE4D5" id="Rectangle 193" o:spid="_x0000_s1026" style="width:14.9pt;height:14.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JYPiQIAAHAFAAAOAAAAZHJzL2Uyb0RvYy54bWysVEtv2zAMvg/YfxB0X+1k6doGcYogRYYB&#10;RVv0gZ4VWYoNyKJGKXGyXz9KdtygK3YYloNCmuTHN2fX+8awnUJfgy346CznTFkJZW03BX95Xn25&#10;5MwHYUthwKqCH5Tn1/PPn2atm6oxVGBKhYxArJ+2ruBVCG6aZV5WqhH+DJyyJNSAjQjE4iYrUbSE&#10;3phsnOffshawdAhSeU9fbzohnyd8rZUM91p7FZgpOMUW0ovpXcc3m8/EdIPCVbXswxD/EEUjaktO&#10;B6gbEQTbYv0HVFNLBA86nEloMtC6lirlQNmM8nfZPFXCqZQLFce7oUz+/8HKu90Dsrqk3l195cyK&#10;hpr0SGUTdmMUix+pRK3zU9J8cg/Yc57ImO9eYxP/KRO2T2U9DGVV+8AkfRxdXk0uqPiSRD1NKNmb&#10;sUMfvitoWCQKjuQ+FVPsbn3oVI8q0ZcHU5er2pjE4Ga9NMh2InY4v8iXqamEfqKWxQS6kBMVDkZF&#10;Y2MflabsKchx8pjmTg14Qkplw6gTVaJUnZvznH6xLtFLnNRokbgEGJE1hTdg9wBHzQ7kiN3B9PrR&#10;VKWxHYzzvwXWGQ8WyTPYMBg3tQX8CMBQVr3nTp/CPylNJNdQHmg2ELql8U6uaurPrfDhQSBtCbWU&#10;Nj/c06MNtAWHnuKsAvz10feoT8NLUs5a2rqC+59bgYoz88PSWF+NJpO4pomZnF+MicFTyfpUYrfN&#10;EqjtI7oxTiYy6gdzJDVC80oHYhG9kkhYSb4LLgMemWXorgGdGKkWi6RGq+lEuLVPTkbwWNU4f8/7&#10;V4GuH9JA030Hxw0V03ez2ulGSwuLbQBdp0F+q2tfb1rrNDj9CYp345RPWm+Hcv4bAAD//wMAUEsD&#10;BBQABgAIAAAAIQA2oVB41QAAAAMBAAAPAAAAZHJzL2Rvd25yZXYueG1sTI9BT8MwDIXvSPyHyEhc&#10;JpYyJLSVphNC4gyMcXcbrw0kTtVkXfn3GDjAxZb1np6/V23n4NVEY3KRDVwvC1DEbbSOOwP718er&#10;NaiUkS36yGTgkxJs6/OzCksbT/xC0y53SkI4lWigz3kotU5tTwHTMg7Eoh3iGDDLOXbajniS8OD1&#10;qihudUDH8qHHgR56aj92x2AA14s357v3xt3o56eF20z5kLQxlxfz/R2oTHP+M8M3vqBDLUxNPLJN&#10;yhuQIvlnirbaSIvmd+u60v/Z6y8AAAD//wMAUEsBAi0AFAAGAAgAAAAhALaDOJL+AAAA4QEAABMA&#10;AAAAAAAAAAAAAAAAAAAAAFtDb250ZW50X1R5cGVzXS54bWxQSwECLQAUAAYACAAAACEAOP0h/9YA&#10;AACUAQAACwAAAAAAAAAAAAAAAAAvAQAAX3JlbHMvLnJlbHNQSwECLQAUAAYACAAAACEAi4yWD4kC&#10;AABwBQAADgAAAAAAAAAAAAAAAAAuAgAAZHJzL2Uyb0RvYy54bWxQSwECLQAUAAYACAAAACEANqFQ&#10;eNUAAAADAQAADwAAAAAAAAAAAAAAAADjBAAAZHJzL2Rvd25yZXYueG1sUEsFBgAAAAAEAAQA8wAA&#10;AOUFAAAAAA==&#10;" fillcolor="#0070c0" strokecolor="#1f4d78 [1604]" strokeweight="1pt">
                <w10:anchorlock/>
              </v:rect>
            </w:pict>
          </mc:Fallback>
        </mc:AlternateContent>
      </w:r>
      <w:r>
        <w:rPr>
          <w:rFonts w:eastAsia="Times New Roman"/>
        </w:rPr>
        <w:t xml:space="preserve"> in this document)</w:t>
      </w:r>
      <w:r w:rsidRPr="00735576">
        <w:rPr>
          <w:rFonts w:eastAsia="Times New Roman"/>
        </w:rPr>
        <w:t xml:space="preserve"> do not require acceptance by the CAB</w:t>
      </w:r>
      <w:r>
        <w:rPr>
          <w:rFonts w:eastAsia="Times New Roman"/>
        </w:rPr>
        <w:t>.</w:t>
      </w:r>
      <w:r w:rsidRPr="00735576">
        <w:rPr>
          <w:rFonts w:eastAsia="Times New Roman"/>
        </w:rPr>
        <w:t xml:space="preserve"> </w:t>
      </w:r>
    </w:p>
    <w:p w14:paraId="7F2AEFD4" w14:textId="154F2437" w:rsidR="00F97B16" w:rsidRDefault="0030368C" w:rsidP="0030368C">
      <w:r w:rsidRPr="00D57876">
        <w:t>Note that there are specific conditions for exceptions to some standards in this document.</w:t>
      </w:r>
    </w:p>
    <w:p w14:paraId="2D3F9BF7" w14:textId="77777777" w:rsidR="00F97B16" w:rsidRDefault="00F97B16" w:rsidP="005729D2">
      <w:pPr>
        <w:pStyle w:val="Heading2Numbered"/>
        <w:numPr>
          <w:ilvl w:val="1"/>
          <w:numId w:val="64"/>
        </w:numPr>
      </w:pPr>
      <w:bookmarkStart w:id="7889" w:name="_Toc421201734"/>
      <w:bookmarkStart w:id="7890" w:name="_Toc423091750"/>
      <w:bookmarkStart w:id="7891" w:name="_Toc423464737"/>
      <w:bookmarkStart w:id="7892" w:name="_Toc431288981"/>
      <w:r>
        <w:t>Administrative Security Standards</w:t>
      </w:r>
      <w:bookmarkEnd w:id="7889"/>
      <w:bookmarkEnd w:id="7890"/>
      <w:bookmarkEnd w:id="7891"/>
      <w:bookmarkEnd w:id="7892"/>
    </w:p>
    <w:p w14:paraId="7C4F279F" w14:textId="77777777" w:rsidR="00F97B16" w:rsidRPr="00922B1C" w:rsidRDefault="00F97B16" w:rsidP="005729D2">
      <w:pPr>
        <w:pStyle w:val="Heading3Numbered"/>
        <w:numPr>
          <w:ilvl w:val="2"/>
          <w:numId w:val="64"/>
        </w:numPr>
      </w:pPr>
      <w:bookmarkStart w:id="7893" w:name="_Toc421201735"/>
      <w:bookmarkStart w:id="7894" w:name="_Toc423091751"/>
      <w:bookmarkStart w:id="7895" w:name="_Toc423464065"/>
      <w:bookmarkStart w:id="7896" w:name="_Toc423464738"/>
      <w:bookmarkStart w:id="7897" w:name="_Toc431288982"/>
      <w:r w:rsidRPr="00922B1C">
        <w:t>Strategic Approach</w:t>
      </w:r>
      <w:bookmarkEnd w:id="7893"/>
      <w:bookmarkEnd w:id="7894"/>
      <w:bookmarkEnd w:id="7895"/>
      <w:bookmarkEnd w:id="7896"/>
      <w:bookmarkEnd w:id="7897"/>
    </w:p>
    <w:p w14:paraId="4C77C9C2" w14:textId="312C0C90" w:rsidR="004E22A4" w:rsidRDefault="00F97B16" w:rsidP="004E22A4">
      <w:pPr>
        <w:rPr>
          <w:rFonts w:eastAsia="Times New Roman"/>
        </w:rPr>
      </w:pPr>
      <w:r w:rsidRPr="00922B1C">
        <w:rPr>
          <w:rFonts w:eastAsia="Times New Roman"/>
        </w:rPr>
        <w:t>The</w:t>
      </w:r>
      <w:r w:rsidR="004E22A4" w:rsidRPr="00922B1C">
        <w:rPr>
          <w:rFonts w:eastAsia="Times New Roman"/>
        </w:rPr>
        <w:t xml:space="preserve"> security value of any given IT asset (application, server, workstation,</w:t>
      </w:r>
      <w:r w:rsidR="004E22A4">
        <w:rPr>
          <w:rFonts w:eastAsia="Times New Roman"/>
        </w:rPr>
        <w:t xml:space="preserve"> and so on</w:t>
      </w:r>
      <w:r w:rsidR="004E22A4" w:rsidRPr="00922B1C">
        <w:rPr>
          <w:rFonts w:eastAsia="Times New Roman"/>
        </w:rPr>
        <w:t xml:space="preserve">) is evaluated </w:t>
      </w:r>
      <w:r w:rsidR="004E22A4">
        <w:rPr>
          <w:rFonts w:eastAsia="Times New Roman"/>
        </w:rPr>
        <w:t xml:space="preserve">by the importance of the system and its data to the mission. A system or its data may have intrinsic value, which makes it a primary target that is inherently valuable to an attacker. </w:t>
      </w:r>
    </w:p>
    <w:p w14:paraId="2A83FE6E" w14:textId="77777777" w:rsidR="004E22A4" w:rsidRPr="00922B1C" w:rsidRDefault="004E22A4" w:rsidP="004E22A4">
      <w:pPr>
        <w:rPr>
          <w:rFonts w:eastAsia="Times New Roman"/>
        </w:rPr>
      </w:pPr>
      <w:r>
        <w:rPr>
          <w:rFonts w:eastAsia="Times New Roman"/>
        </w:rPr>
        <w:t xml:space="preserve">Systems are also frequently targeted because they allow attackers to directly or indirectly access their primary target. These intermediary targets are not inherently valuable, but they serve as a valuable stepping stone to get the attacker closer to their objective of capturing the primary target. </w:t>
      </w:r>
    </w:p>
    <w:p w14:paraId="23273557" w14:textId="77777777" w:rsidR="004E22A4" w:rsidRPr="00922B1C" w:rsidRDefault="004E22A4" w:rsidP="004E22A4">
      <w:pPr>
        <w:spacing w:before="0" w:after="160" w:line="259" w:lineRule="auto"/>
      </w:pPr>
      <w:r w:rsidRPr="008448CB">
        <w:rPr>
          <w:b/>
        </w:rPr>
        <w:t>Primary Target</w:t>
      </w:r>
      <w:r>
        <w:t xml:space="preserve"> – Intrinsically has </w:t>
      </w:r>
      <w:r w:rsidRPr="00922B1C">
        <w:t>val</w:t>
      </w:r>
      <w:r>
        <w:t xml:space="preserve">ue to an attacker (for example, a valuable piece of data or a mission-critical system). </w:t>
      </w:r>
    </w:p>
    <w:p w14:paraId="32360DAB" w14:textId="77777777" w:rsidR="004E22A4" w:rsidRPr="00922B1C" w:rsidRDefault="004E22A4" w:rsidP="004E22A4">
      <w:pPr>
        <w:spacing w:before="0" w:after="160" w:line="259" w:lineRule="auto"/>
      </w:pPr>
      <w:r w:rsidRPr="008448CB">
        <w:rPr>
          <w:b/>
        </w:rPr>
        <w:t xml:space="preserve">Intermediary Target </w:t>
      </w:r>
      <w:r w:rsidRPr="008448CB">
        <w:t>–</w:t>
      </w:r>
      <w:r>
        <w:t xml:space="preserve"> Has value</w:t>
      </w:r>
      <w:r w:rsidRPr="00922B1C">
        <w:t xml:space="preserve"> </w:t>
      </w:r>
      <w:r>
        <w:t xml:space="preserve">to the attacker as a </w:t>
      </w:r>
      <w:r w:rsidRPr="00922B1C">
        <w:t xml:space="preserve">means to reaching a </w:t>
      </w:r>
      <w:r>
        <w:t>primary t</w:t>
      </w:r>
      <w:r w:rsidRPr="00922B1C">
        <w:t>arget of interest</w:t>
      </w:r>
      <w:r>
        <w:t xml:space="preserve">. </w:t>
      </w:r>
    </w:p>
    <w:p w14:paraId="5EB72266" w14:textId="77777777" w:rsidR="004E22A4" w:rsidRDefault="004E22A4" w:rsidP="004E22A4">
      <w:r w:rsidRPr="00922B1C">
        <w:t xml:space="preserve">Because the Active Directory forest is in effective control of all </w:t>
      </w:r>
      <w:r>
        <w:t>the organization’s</w:t>
      </w:r>
      <w:r w:rsidRPr="00922B1C">
        <w:t xml:space="preserve"> business assets joined to a domain in that forest, it is a security dependency of all these business assets.</w:t>
      </w:r>
      <w:r>
        <w:t xml:space="preserve"> </w:t>
      </w:r>
    </w:p>
    <w:p w14:paraId="32AF959F" w14:textId="77777777" w:rsidR="004E22A4" w:rsidRDefault="004E22A4" w:rsidP="004E22A4">
      <w:r>
        <w:t xml:space="preserve">The Active Directory configuration and operation should adhere to the tier model published in the Microsoft whitepaper </w:t>
      </w:r>
      <w:hyperlink r:id="rId671" w:history="1">
        <w:r w:rsidRPr="008448CB">
          <w:rPr>
            <w:rStyle w:val="Hyperlink"/>
          </w:rPr>
          <w:t>Mitigating Pass-the-Hash and Other Credential Theft, version</w:t>
        </w:r>
        <w:r>
          <w:rPr>
            <w:rStyle w:val="Hyperlink"/>
          </w:rPr>
          <w:t> 2</w:t>
        </w:r>
      </w:hyperlink>
      <w:r>
        <w:t xml:space="preserve"> (pages 15-19). </w:t>
      </w:r>
    </w:p>
    <w:p w14:paraId="150BC430" w14:textId="77777777" w:rsidR="004E22A4" w:rsidRDefault="004E22A4" w:rsidP="004E22A4">
      <w:pPr>
        <w:rPr>
          <w:rStyle w:val="Hyperlink"/>
        </w:rPr>
      </w:pPr>
      <w:r>
        <w:t xml:space="preserve">A detailed description of these </w:t>
      </w:r>
      <w:r w:rsidRPr="0033450A">
        <w:t xml:space="preserve">tiers </w:t>
      </w:r>
      <w:r>
        <w:t>are described previously, they are:</w:t>
      </w:r>
    </w:p>
    <w:p w14:paraId="7F722D97" w14:textId="77777777" w:rsidR="004E22A4" w:rsidRPr="00983130" w:rsidRDefault="004E22A4" w:rsidP="005729D2">
      <w:pPr>
        <w:pStyle w:val="ListParagraph"/>
        <w:numPr>
          <w:ilvl w:val="0"/>
          <w:numId w:val="195"/>
        </w:numPr>
        <w:spacing w:before="0" w:after="160" w:line="259" w:lineRule="auto"/>
      </w:pPr>
      <w:r w:rsidRPr="00E85E5F">
        <w:rPr>
          <w:b/>
        </w:rPr>
        <w:t>Tier</w:t>
      </w:r>
      <w:r>
        <w:rPr>
          <w:b/>
        </w:rPr>
        <w:t> 0</w:t>
      </w:r>
      <w:r w:rsidRPr="00B16CC7">
        <w:t xml:space="preserve"> –</w:t>
      </w:r>
      <w:r>
        <w:t xml:space="preserve"> </w:t>
      </w:r>
      <w:r w:rsidRPr="00B16CC7">
        <w:t>Control of most</w:t>
      </w:r>
      <w:r>
        <w:t xml:space="preserve"> to </w:t>
      </w:r>
      <w:r w:rsidRPr="00B16CC7">
        <w:t>all asset</w:t>
      </w:r>
      <w:r w:rsidRPr="00983130">
        <w:t xml:space="preserve">s in the environment. </w:t>
      </w:r>
    </w:p>
    <w:p w14:paraId="5A4BF6FC" w14:textId="77777777" w:rsidR="004E22A4" w:rsidRPr="00E85E5F" w:rsidRDefault="004E22A4" w:rsidP="005729D2">
      <w:pPr>
        <w:pStyle w:val="ListParagraph"/>
        <w:numPr>
          <w:ilvl w:val="0"/>
          <w:numId w:val="195"/>
        </w:numPr>
        <w:spacing w:before="0" w:after="160" w:line="259" w:lineRule="auto"/>
      </w:pPr>
      <w:r w:rsidRPr="00E85E5F">
        <w:rPr>
          <w:b/>
        </w:rPr>
        <w:t>Tier</w:t>
      </w:r>
      <w:r>
        <w:rPr>
          <w:b/>
        </w:rPr>
        <w:t> 1</w:t>
      </w:r>
      <w:r w:rsidRPr="00B16CC7">
        <w:t xml:space="preserve"> – </w:t>
      </w:r>
      <w:r>
        <w:t>Control of e</w:t>
      </w:r>
      <w:r w:rsidRPr="00E85E5F">
        <w:t xml:space="preserve">nterprise </w:t>
      </w:r>
      <w:r>
        <w:t>s</w:t>
      </w:r>
      <w:r w:rsidRPr="00E85E5F">
        <w:t xml:space="preserve">erver and </w:t>
      </w:r>
      <w:r>
        <w:t>a</w:t>
      </w:r>
      <w:r w:rsidRPr="00E85E5F">
        <w:t xml:space="preserve">pplications. </w:t>
      </w:r>
    </w:p>
    <w:p w14:paraId="7E591096" w14:textId="2F4F0893" w:rsidR="00F97B16" w:rsidRPr="00E85E5F" w:rsidRDefault="004E22A4" w:rsidP="004E22A4">
      <w:r w:rsidRPr="00E85E5F">
        <w:rPr>
          <w:b/>
        </w:rPr>
        <w:t>Tier</w:t>
      </w:r>
      <w:r>
        <w:rPr>
          <w:b/>
        </w:rPr>
        <w:t> 2</w:t>
      </w:r>
      <w:r w:rsidRPr="00B16CC7">
        <w:t xml:space="preserve"> – </w:t>
      </w:r>
      <w:r>
        <w:t>Control of u</w:t>
      </w:r>
      <w:r w:rsidRPr="00E85E5F">
        <w:t xml:space="preserve">ser </w:t>
      </w:r>
      <w:r>
        <w:t>w</w:t>
      </w:r>
      <w:r w:rsidRPr="00B16CC7">
        <w:t>orkstation</w:t>
      </w:r>
      <w:r w:rsidRPr="00E85E5F">
        <w:t xml:space="preserve">s and </w:t>
      </w:r>
      <w:r>
        <w:t>d</w:t>
      </w:r>
      <w:r w:rsidRPr="00E85E5F">
        <w:t>evices.</w:t>
      </w:r>
      <w:r w:rsidR="00F97B16" w:rsidRPr="00E85E5F">
        <w:t xml:space="preserve"> </w:t>
      </w:r>
    </w:p>
    <w:p w14:paraId="39DE3651" w14:textId="77777777" w:rsidR="00F97B16" w:rsidRPr="0050642B" w:rsidRDefault="00F97B16" w:rsidP="005729D2">
      <w:pPr>
        <w:pStyle w:val="Heading3Numbered"/>
        <w:numPr>
          <w:ilvl w:val="2"/>
          <w:numId w:val="64"/>
        </w:numPr>
      </w:pPr>
      <w:bookmarkStart w:id="7898" w:name="_Toc421201736"/>
      <w:bookmarkStart w:id="7899" w:name="_Toc423091752"/>
      <w:bookmarkStart w:id="7900" w:name="_Toc423464066"/>
      <w:bookmarkStart w:id="7901" w:name="_Toc423464739"/>
      <w:bookmarkStart w:id="7902" w:name="_Toc431288983"/>
      <w:r w:rsidRPr="003718E7">
        <w:t>Critical Tier 0 Functions</w:t>
      </w:r>
      <w:bookmarkEnd w:id="7898"/>
      <w:bookmarkEnd w:id="7899"/>
      <w:bookmarkEnd w:id="7900"/>
      <w:bookmarkEnd w:id="7901"/>
      <w:bookmarkEnd w:id="7902"/>
    </w:p>
    <w:p w14:paraId="7FB9C691" w14:textId="5BD71126" w:rsidR="004E22A4" w:rsidRDefault="00F97B16" w:rsidP="004E22A4">
      <w:r w:rsidRPr="0050642B">
        <w:t>The</w:t>
      </w:r>
      <w:r w:rsidR="004E22A4" w:rsidRPr="0050642B">
        <w:t xml:space="preserve"> Active Directory </w:t>
      </w:r>
      <w:r w:rsidR="004E22A4">
        <w:t>f</w:t>
      </w:r>
      <w:r w:rsidR="004E22A4" w:rsidRPr="0050642B">
        <w:t xml:space="preserve">orest, </w:t>
      </w:r>
      <w:r w:rsidR="004E22A4">
        <w:t>d</w:t>
      </w:r>
      <w:r w:rsidR="004E22A4" w:rsidRPr="0050642B">
        <w:t xml:space="preserve">omain </w:t>
      </w:r>
      <w:r w:rsidR="004E22A4">
        <w:t>c</w:t>
      </w:r>
      <w:r w:rsidR="004E22A4" w:rsidRPr="0050642B">
        <w:t>ontrollers, and their security dependencies are collectively classified as Tier</w:t>
      </w:r>
      <w:r w:rsidR="004E22A4">
        <w:t> 0</w:t>
      </w:r>
      <w:r w:rsidR="004E22A4" w:rsidRPr="0050642B">
        <w:t xml:space="preserve">. The security dependencies of the </w:t>
      </w:r>
      <w:r w:rsidR="004E22A4">
        <w:t>domain controller</w:t>
      </w:r>
      <w:r w:rsidR="004E22A4" w:rsidRPr="0050642B">
        <w:t>s include all hosts, groups, accounts</w:t>
      </w:r>
      <w:r w:rsidR="004E22A4" w:rsidRPr="001F6ABB">
        <w:t>, and other objects that have effective control of them. Additional details on Tier</w:t>
      </w:r>
      <w:r w:rsidR="004E22A4">
        <w:t> 0</w:t>
      </w:r>
      <w:r w:rsidR="004E22A4" w:rsidRPr="001F6ABB">
        <w:t xml:space="preserve"> contents are </w:t>
      </w:r>
      <w:r w:rsidR="004E22A4">
        <w:t>described in a previous Appendix.</w:t>
      </w:r>
    </w:p>
    <w:p w14:paraId="6DBC9A85" w14:textId="77777777" w:rsidR="004E22A4" w:rsidRPr="0050642B" w:rsidRDefault="004E22A4" w:rsidP="004E22A4">
      <w:r w:rsidRPr="0050642B">
        <w:t>These Tier</w:t>
      </w:r>
      <w:r>
        <w:t> 0</w:t>
      </w:r>
      <w:r w:rsidRPr="0050642B">
        <w:t xml:space="preserve"> functions have been identified as required for effective management of the</w:t>
      </w:r>
      <w:r>
        <w:t xml:space="preserve"> </w:t>
      </w:r>
      <w:r w:rsidRPr="0050642B">
        <w:t>environment. Each of these assets should be fully under positive control</w:t>
      </w:r>
      <w:r>
        <w:t>,</w:t>
      </w:r>
      <w:r w:rsidRPr="0050642B">
        <w:t xml:space="preserve"> and </w:t>
      </w:r>
      <w:r>
        <w:t xml:space="preserve">they </w:t>
      </w:r>
      <w:r w:rsidRPr="0050642B">
        <w:t>should meet the Tier</w:t>
      </w:r>
      <w:r>
        <w:t> 0</w:t>
      </w:r>
      <w:r w:rsidRPr="0050642B">
        <w:t xml:space="preserve"> hardening standards:</w:t>
      </w:r>
    </w:p>
    <w:p w14:paraId="7780C1A5" w14:textId="77777777" w:rsidR="004E22A4" w:rsidRPr="0050642B" w:rsidRDefault="004E22A4" w:rsidP="005729D2">
      <w:pPr>
        <w:pStyle w:val="ListParagraph"/>
        <w:numPr>
          <w:ilvl w:val="0"/>
          <w:numId w:val="194"/>
        </w:numPr>
        <w:spacing w:before="0" w:after="160" w:line="259" w:lineRule="auto"/>
        <w:rPr>
          <w:color w:val="212121"/>
        </w:rPr>
      </w:pPr>
      <w:r>
        <w:rPr>
          <w:color w:val="212121"/>
        </w:rPr>
        <w:t>Active Directory and d</w:t>
      </w:r>
      <w:r w:rsidRPr="0050642B">
        <w:rPr>
          <w:color w:val="212121"/>
        </w:rPr>
        <w:t xml:space="preserve">omain </w:t>
      </w:r>
      <w:r>
        <w:rPr>
          <w:color w:val="212121"/>
        </w:rPr>
        <w:t>c</w:t>
      </w:r>
      <w:r w:rsidRPr="0050642B">
        <w:rPr>
          <w:color w:val="212121"/>
        </w:rPr>
        <w:t>ontrollers</w:t>
      </w:r>
    </w:p>
    <w:p w14:paraId="2191D559" w14:textId="77777777" w:rsidR="004E22A4" w:rsidRDefault="004E22A4" w:rsidP="005729D2">
      <w:pPr>
        <w:pStyle w:val="ListParagraph"/>
        <w:numPr>
          <w:ilvl w:val="0"/>
          <w:numId w:val="194"/>
        </w:numPr>
        <w:spacing w:before="0" w:after="160" w:line="259" w:lineRule="auto"/>
        <w:rPr>
          <w:color w:val="212121"/>
        </w:rPr>
      </w:pPr>
      <w:r w:rsidRPr="0050642B">
        <w:rPr>
          <w:color w:val="212121"/>
        </w:rPr>
        <w:t xml:space="preserve">Certification </w:t>
      </w:r>
      <w:r>
        <w:rPr>
          <w:color w:val="212121"/>
        </w:rPr>
        <w:t>a</w:t>
      </w:r>
      <w:r w:rsidRPr="0050642B">
        <w:rPr>
          <w:color w:val="212121"/>
        </w:rPr>
        <w:t>uthorities (CAs)</w:t>
      </w:r>
    </w:p>
    <w:p w14:paraId="72B27B4A" w14:textId="77777777" w:rsidR="004E22A4" w:rsidRDefault="004E22A4" w:rsidP="005729D2">
      <w:pPr>
        <w:pStyle w:val="ListParagraph"/>
        <w:numPr>
          <w:ilvl w:val="0"/>
          <w:numId w:val="194"/>
        </w:numPr>
        <w:spacing w:before="0" w:after="160" w:line="259" w:lineRule="auto"/>
        <w:rPr>
          <w:color w:val="212121"/>
        </w:rPr>
      </w:pPr>
      <w:r>
        <w:rPr>
          <w:color w:val="212121"/>
        </w:rPr>
        <w:t>Tier 0 identity management systems</w:t>
      </w:r>
    </w:p>
    <w:p w14:paraId="4430BC6B" w14:textId="77777777" w:rsidR="004E22A4" w:rsidRPr="0050642B" w:rsidRDefault="004E22A4" w:rsidP="005729D2">
      <w:pPr>
        <w:pStyle w:val="ListParagraph"/>
        <w:numPr>
          <w:ilvl w:val="0"/>
          <w:numId w:val="194"/>
        </w:numPr>
        <w:spacing w:before="0" w:after="160" w:line="259" w:lineRule="auto"/>
        <w:rPr>
          <w:color w:val="212121"/>
        </w:rPr>
      </w:pPr>
      <w:r>
        <w:rPr>
          <w:color w:val="212121"/>
        </w:rPr>
        <w:t>Tier 0 c</w:t>
      </w:r>
      <w:r w:rsidRPr="0050642B">
        <w:rPr>
          <w:color w:val="212121"/>
        </w:rPr>
        <w:t xml:space="preserve">onfiguration </w:t>
      </w:r>
      <w:r>
        <w:rPr>
          <w:color w:val="212121"/>
        </w:rPr>
        <w:t>m</w:t>
      </w:r>
      <w:r w:rsidRPr="0050642B">
        <w:rPr>
          <w:color w:val="212121"/>
        </w:rPr>
        <w:t>anagement</w:t>
      </w:r>
    </w:p>
    <w:p w14:paraId="1CB93C80" w14:textId="77777777" w:rsidR="004E22A4" w:rsidRDefault="004E22A4" w:rsidP="005729D2">
      <w:pPr>
        <w:pStyle w:val="ListParagraph"/>
        <w:numPr>
          <w:ilvl w:val="0"/>
          <w:numId w:val="194"/>
        </w:numPr>
        <w:spacing w:before="0" w:after="160" w:line="259" w:lineRule="auto"/>
        <w:rPr>
          <w:color w:val="212121"/>
        </w:rPr>
      </w:pPr>
      <w:r>
        <w:rPr>
          <w:color w:val="212121"/>
        </w:rPr>
        <w:t>Tier 0 o</w:t>
      </w:r>
      <w:r w:rsidRPr="0050642B">
        <w:rPr>
          <w:color w:val="212121"/>
        </w:rPr>
        <w:t xml:space="preserve">perational </w:t>
      </w:r>
      <w:r>
        <w:rPr>
          <w:color w:val="212121"/>
        </w:rPr>
        <w:t>m</w:t>
      </w:r>
      <w:r w:rsidRPr="0050642B">
        <w:rPr>
          <w:color w:val="212121"/>
        </w:rPr>
        <w:t xml:space="preserve">onitoring </w:t>
      </w:r>
    </w:p>
    <w:p w14:paraId="0952B5FF" w14:textId="77777777" w:rsidR="004E22A4" w:rsidRPr="0050642B" w:rsidRDefault="004E22A4" w:rsidP="005729D2">
      <w:pPr>
        <w:pStyle w:val="ListParagraph"/>
        <w:numPr>
          <w:ilvl w:val="0"/>
          <w:numId w:val="194"/>
        </w:numPr>
        <w:spacing w:before="0" w:after="160" w:line="259" w:lineRule="auto"/>
        <w:rPr>
          <w:color w:val="212121"/>
        </w:rPr>
      </w:pPr>
      <w:r>
        <w:rPr>
          <w:color w:val="212121"/>
        </w:rPr>
        <w:t>Tier 0 b</w:t>
      </w:r>
      <w:r w:rsidRPr="0050642B">
        <w:rPr>
          <w:color w:val="212121"/>
        </w:rPr>
        <w:t>ackup</w:t>
      </w:r>
    </w:p>
    <w:p w14:paraId="451CB3A8" w14:textId="7FD4B82D" w:rsidR="004E22A4" w:rsidRDefault="004E22A4" w:rsidP="005729D2">
      <w:pPr>
        <w:pStyle w:val="ListParagraph"/>
        <w:numPr>
          <w:ilvl w:val="0"/>
          <w:numId w:val="194"/>
        </w:numPr>
        <w:spacing w:before="0" w:after="160" w:line="259" w:lineRule="auto"/>
        <w:rPr>
          <w:color w:val="212121"/>
        </w:rPr>
      </w:pPr>
      <w:r>
        <w:rPr>
          <w:color w:val="212121"/>
        </w:rPr>
        <w:t>Tier 0 virtualization</w:t>
      </w:r>
    </w:p>
    <w:p w14:paraId="722F21B5" w14:textId="2D105A34" w:rsidR="00F97B16" w:rsidRPr="004E22A4" w:rsidRDefault="004E22A4" w:rsidP="005729D2">
      <w:pPr>
        <w:pStyle w:val="ListParagraph"/>
        <w:numPr>
          <w:ilvl w:val="0"/>
          <w:numId w:val="194"/>
        </w:numPr>
        <w:spacing w:before="0" w:after="160" w:line="259" w:lineRule="auto"/>
        <w:rPr>
          <w:color w:val="212121"/>
        </w:rPr>
      </w:pPr>
      <w:r w:rsidRPr="004E22A4">
        <w:rPr>
          <w:color w:val="212121"/>
        </w:rPr>
        <w:t>Tier 0 security tools</w:t>
      </w:r>
    </w:p>
    <w:p w14:paraId="152D14DE" w14:textId="77777777" w:rsidR="00F97B16" w:rsidRDefault="00F97B16" w:rsidP="005729D2">
      <w:pPr>
        <w:pStyle w:val="Heading2Numbered"/>
        <w:numPr>
          <w:ilvl w:val="1"/>
          <w:numId w:val="64"/>
        </w:numPr>
      </w:pPr>
      <w:bookmarkStart w:id="7903" w:name="_Toc423091753"/>
      <w:bookmarkStart w:id="7904" w:name="_Toc423464740"/>
      <w:bookmarkStart w:id="7905" w:name="_Toc431288984"/>
      <w:r>
        <w:t>Summary of Standards</w:t>
      </w:r>
      <w:bookmarkEnd w:id="7903"/>
      <w:bookmarkEnd w:id="7904"/>
      <w:bookmarkEnd w:id="7905"/>
    </w:p>
    <w:p w14:paraId="7D8642B7" w14:textId="3DE5FBD1" w:rsidR="00F97B16" w:rsidRPr="00F777C1" w:rsidRDefault="00F97B16" w:rsidP="00F97B16">
      <w:r w:rsidRPr="00F777C1">
        <w:t>This section include</w:t>
      </w:r>
      <w:r w:rsidR="004E22A4">
        <w:t>s</w:t>
      </w:r>
      <w:r w:rsidRPr="00F777C1">
        <w:t xml:space="preserve"> a summary of the standards and their applicability to hosts in each tier. </w:t>
      </w:r>
    </w:p>
    <w:p w14:paraId="22BA5DEB" w14:textId="77777777" w:rsidR="00F97B16" w:rsidRDefault="00F97B16" w:rsidP="005729D2">
      <w:pPr>
        <w:pStyle w:val="Heading3Numbered"/>
        <w:numPr>
          <w:ilvl w:val="2"/>
          <w:numId w:val="64"/>
        </w:numPr>
      </w:pPr>
      <w:bookmarkStart w:id="7906" w:name="_Toc423091754"/>
      <w:bookmarkStart w:id="7907" w:name="_Toc423464068"/>
      <w:bookmarkStart w:id="7908" w:name="_Toc423464741"/>
      <w:bookmarkStart w:id="7909" w:name="_Toc431288985"/>
      <w:r>
        <w:t>Standards Applicability</w:t>
      </w:r>
      <w:bookmarkEnd w:id="7906"/>
      <w:r>
        <w:t xml:space="preserve"> Summary</w:t>
      </w:r>
      <w:bookmarkEnd w:id="7907"/>
      <w:bookmarkEnd w:id="7908"/>
      <w:bookmarkEnd w:id="7909"/>
    </w:p>
    <w:p w14:paraId="62B1C886" w14:textId="1425E748" w:rsidR="00F97B16" w:rsidRDefault="00F97B16" w:rsidP="00F97B16">
      <w:pPr>
        <w:rPr>
          <w:color w:val="212121"/>
        </w:rPr>
      </w:pPr>
      <w:r>
        <w:rPr>
          <w:color w:val="212121"/>
        </w:rPr>
        <w:t xml:space="preserve">This </w:t>
      </w:r>
      <w:r w:rsidR="004E22A4">
        <w:rPr>
          <w:color w:val="212121"/>
        </w:rPr>
        <w:t>table describes the systems to which the standards should be applied.</w:t>
      </w:r>
    </w:p>
    <w:tbl>
      <w:tblPr>
        <w:tblStyle w:val="TableGrid"/>
        <w:tblW w:w="9895" w:type="dxa"/>
        <w:tblLayout w:type="fixed"/>
        <w:tblLook w:val="04A0" w:firstRow="1" w:lastRow="0" w:firstColumn="1" w:lastColumn="0" w:noHBand="0" w:noVBand="1"/>
      </w:tblPr>
      <w:tblGrid>
        <w:gridCol w:w="895"/>
        <w:gridCol w:w="1316"/>
        <w:gridCol w:w="900"/>
        <w:gridCol w:w="6784"/>
      </w:tblGrid>
      <w:tr w:rsidR="00F97B16" w:rsidRPr="009B5CD0" w14:paraId="20B0F314" w14:textId="77777777" w:rsidTr="00915020">
        <w:trPr>
          <w:cnfStyle w:val="100000000000" w:firstRow="1" w:lastRow="0" w:firstColumn="0" w:lastColumn="0" w:oddVBand="0" w:evenVBand="0" w:oddHBand="0" w:evenHBand="0" w:firstRowFirstColumn="0" w:firstRowLastColumn="0" w:lastRowFirstColumn="0" w:lastRowLastColumn="0"/>
        </w:trPr>
        <w:tc>
          <w:tcPr>
            <w:tcW w:w="895" w:type="dxa"/>
            <w:shd w:val="clear" w:color="auto" w:fill="000000" w:themeFill="text1"/>
          </w:tcPr>
          <w:p w14:paraId="5966B9CF" w14:textId="77777777" w:rsidR="00F97B16" w:rsidRPr="009B5CD0" w:rsidRDefault="00F97B16" w:rsidP="00915020">
            <w:pPr>
              <w:jc w:val="center"/>
              <w:rPr>
                <w:b/>
              </w:rPr>
            </w:pPr>
            <w:r w:rsidRPr="009B5CD0">
              <w:rPr>
                <w:b/>
              </w:rPr>
              <w:t xml:space="preserve">Tier 0 </w:t>
            </w:r>
          </w:p>
        </w:tc>
        <w:tc>
          <w:tcPr>
            <w:tcW w:w="1316" w:type="dxa"/>
            <w:shd w:val="clear" w:color="auto" w:fill="000000" w:themeFill="text1"/>
          </w:tcPr>
          <w:p w14:paraId="54F32113" w14:textId="77777777" w:rsidR="00F97B16" w:rsidRPr="009B5CD0" w:rsidRDefault="00F97B16" w:rsidP="00915020">
            <w:pPr>
              <w:jc w:val="center"/>
              <w:rPr>
                <w:b/>
              </w:rPr>
            </w:pPr>
            <w:r>
              <w:rPr>
                <w:b/>
              </w:rPr>
              <w:t>Tier 1</w:t>
            </w:r>
          </w:p>
        </w:tc>
        <w:tc>
          <w:tcPr>
            <w:tcW w:w="900" w:type="dxa"/>
            <w:shd w:val="clear" w:color="auto" w:fill="000000" w:themeFill="text1"/>
          </w:tcPr>
          <w:p w14:paraId="0E48BECE" w14:textId="77777777" w:rsidR="00F97B16" w:rsidRPr="009B5CD0" w:rsidRDefault="00F97B16" w:rsidP="00915020">
            <w:pPr>
              <w:jc w:val="center"/>
              <w:rPr>
                <w:b/>
              </w:rPr>
            </w:pPr>
            <w:r>
              <w:rPr>
                <w:b/>
              </w:rPr>
              <w:t xml:space="preserve">Tier 2 </w:t>
            </w:r>
          </w:p>
        </w:tc>
        <w:tc>
          <w:tcPr>
            <w:tcW w:w="6784" w:type="dxa"/>
            <w:shd w:val="clear" w:color="auto" w:fill="000000" w:themeFill="text1"/>
          </w:tcPr>
          <w:p w14:paraId="17CCA3B4" w14:textId="77777777" w:rsidR="00F97B16" w:rsidRPr="009B5CD0" w:rsidRDefault="00F97B16" w:rsidP="00915020">
            <w:pPr>
              <w:jc w:val="center"/>
              <w:rPr>
                <w:b/>
              </w:rPr>
            </w:pPr>
            <w:r w:rsidRPr="009B5CD0">
              <w:rPr>
                <w:b/>
              </w:rPr>
              <w:t>Standard</w:t>
            </w:r>
          </w:p>
        </w:tc>
      </w:tr>
      <w:tr w:rsidR="00F97B16" w:rsidRPr="009B5CD0" w14:paraId="3070FF8A" w14:textId="77777777" w:rsidTr="00915020">
        <w:tc>
          <w:tcPr>
            <w:tcW w:w="895" w:type="dxa"/>
            <w:shd w:val="clear" w:color="auto" w:fill="BFBFBF" w:themeFill="background1" w:themeFillShade="BF"/>
            <w:vAlign w:val="center"/>
          </w:tcPr>
          <w:p w14:paraId="3F6A1311" w14:textId="77777777" w:rsidR="00F97B16" w:rsidRPr="009B5CD0" w:rsidRDefault="00F97B16" w:rsidP="00915020">
            <w:pPr>
              <w:jc w:val="center"/>
              <w:rPr>
                <w:b/>
                <w:color w:val="FFFFFF" w:themeColor="background1"/>
              </w:rPr>
            </w:pPr>
          </w:p>
        </w:tc>
        <w:tc>
          <w:tcPr>
            <w:tcW w:w="1316" w:type="dxa"/>
            <w:shd w:val="clear" w:color="auto" w:fill="BFBFBF" w:themeFill="background1" w:themeFillShade="BF"/>
            <w:vAlign w:val="center"/>
          </w:tcPr>
          <w:p w14:paraId="636A53FB" w14:textId="77777777" w:rsidR="00F97B16" w:rsidRPr="009B5CD0" w:rsidRDefault="00F97B16" w:rsidP="00915020">
            <w:pPr>
              <w:jc w:val="center"/>
              <w:rPr>
                <w:b/>
                <w:color w:val="FFFFFF" w:themeColor="background1"/>
              </w:rPr>
            </w:pPr>
          </w:p>
        </w:tc>
        <w:tc>
          <w:tcPr>
            <w:tcW w:w="900" w:type="dxa"/>
            <w:shd w:val="clear" w:color="auto" w:fill="BFBFBF" w:themeFill="background1" w:themeFillShade="BF"/>
            <w:vAlign w:val="center"/>
          </w:tcPr>
          <w:p w14:paraId="0124B81A" w14:textId="77777777" w:rsidR="00F97B16" w:rsidRPr="009B5CD0" w:rsidRDefault="00F97B16" w:rsidP="00915020">
            <w:pPr>
              <w:jc w:val="center"/>
              <w:rPr>
                <w:b/>
                <w:color w:val="FFFFFF" w:themeColor="background1"/>
              </w:rPr>
            </w:pPr>
          </w:p>
        </w:tc>
        <w:tc>
          <w:tcPr>
            <w:tcW w:w="6784" w:type="dxa"/>
            <w:shd w:val="clear" w:color="auto" w:fill="BFBFBF" w:themeFill="background1" w:themeFillShade="BF"/>
          </w:tcPr>
          <w:p w14:paraId="78B770D8" w14:textId="77777777" w:rsidR="00F97B16" w:rsidRPr="009B5CD0" w:rsidRDefault="00F97B16" w:rsidP="00915020">
            <w:pPr>
              <w:rPr>
                <w:b/>
                <w:color w:val="FFFFFF" w:themeColor="background1"/>
              </w:rPr>
            </w:pPr>
            <w:r>
              <w:rPr>
                <w:b/>
                <w:color w:val="FFFFFF" w:themeColor="background1"/>
              </w:rPr>
              <w:t>Identity System Hosts</w:t>
            </w:r>
          </w:p>
        </w:tc>
      </w:tr>
      <w:tr w:rsidR="004E22A4" w14:paraId="20F34944" w14:textId="77777777" w:rsidTr="00915020">
        <w:tc>
          <w:tcPr>
            <w:tcW w:w="895" w:type="dxa"/>
            <w:vAlign w:val="center"/>
          </w:tcPr>
          <w:p w14:paraId="7A0813E4" w14:textId="77777777" w:rsidR="004E22A4" w:rsidRDefault="004E22A4" w:rsidP="004E22A4">
            <w:pPr>
              <w:jc w:val="center"/>
              <w:rPr>
                <w:color w:val="212121"/>
              </w:rPr>
            </w:pPr>
            <w:r w:rsidRPr="00840988">
              <w:rPr>
                <w:noProof/>
              </w:rPr>
              <mc:AlternateContent>
                <mc:Choice Requires="wps">
                  <w:drawing>
                    <wp:inline distT="0" distB="0" distL="0" distR="0" wp14:anchorId="406F78D8" wp14:editId="0F7BD3E8">
                      <wp:extent cx="210553" cy="190500"/>
                      <wp:effectExtent l="0" t="0" r="18415" b="19050"/>
                      <wp:docPr id="41048" name="Octagon 41048"/>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60B64CE1" w14:textId="77777777" w:rsidR="008D2C68" w:rsidRDefault="008D2C68" w:rsidP="00F97B16">
                                  <w:pPr>
                                    <w:jc w:val="center"/>
                                  </w:pPr>
                                </w:p>
                                <w:p w14:paraId="4CB037C4"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06F78D8" id="Octagon 41048" o:spid="_x0000_s1033"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JQwfwIAAGQFAAAOAAAAZHJzL2Uyb0RvYy54bWysVF9r2zAQfx/sOwi9r7bTZFtDnRJSOgal&#10;LWtHnxVZSgSSTpOU2Nmn30l23NAVCmN+kO90v7vT/b286owme+GDAlvT6qykRFgOjbKbmv58uvn0&#10;lZIQmW2YBitqehCBXi0+frhs3VxMYAu6EZ6gERvmravpNkY3L4rAt8KwcAZOWBRK8IZFZP2maDxr&#10;0brRxaQsPxct+MZ54CIEvL3uhXSR7UspeLyXMohIdE3xbTGfPp/rdBaLSzbfeOa2ig/PYP/wCsOU&#10;RaejqWsWGdl59Zcpo7iHADKecTAFSKm4yDFgNFX5KprHLXMix4LJCW5MU/h/Zvnd/sET1dR0WpVT&#10;LJZlBst0zyPbgCX9JSapdWGO2Ef34AcuIJki7qQ36Y+xkC4n9jAmVnSRcLycVOVsdk4JR1F1Uc7K&#10;nPjiRdn5EL8JMCQRNYXefc4o29+GiD4RfUQldwG0am6U1pnxm/VKe7JnWObVqsQvVRZVTmBFiqF/&#10;dabiQYukrO0PITEF+M4qe8zNJ0Z7jHNh42QwmNFJTaLvUfH8fcUBn1RFbsxRefK+8qiRPYONo7JR&#10;FvxbBnSshifLHo/5OIk7kbFbd7n25wmZbtbQHLAfPPSDEhy/UViRWxbiA/M4GThDOO3xHg+pocVS&#10;DRQlW/C/37pPeGxYlFLS4qTVNPzaMS8o0d8ttvJFNZ2m0czMdPZlgow/laxPJXZnVoBVrnCvOJ7J&#10;hI/6SEoP5hmXwjJ5RRGzHH3XlEd/ZFax3wC4VrhYLjMMx9GxeGsfHT/2QWq3p+6ZeTe0ZcR+voPj&#10;VLL5q9bssalCFpa7CFLlvn3J61ABHOXcm8PaSbvilM+ol+W4+AMAAP//AwBQSwMEFAAGAAgAAAAh&#10;ALXTcRzaAAAAAwEAAA8AAABkcnMvZG93bnJldi54bWxMj0FrwzAMhe+D/QejQW+t3RZKl8UpY1DY&#10;YTSsW9nVjbUkNJaD7Tbpv5+2S3fRQzzx3qd8M7pOXDDE1pOG+UyBQKq8banW8Pmxna5BxGTIms4T&#10;arhihE1xf5ebzPqB3vGyT7XgEIqZ0dCk1GdSxqpBZ+LM90jsffvgTOI11NIGM3C46+RCqZV0piVu&#10;aEyPLw1Wp/3ZaShPQ/m6LsvHr7Bd7d6CO8zD7qD15GF8fgKRcEy3Y/jFZ3QomOnoz2Sj6DTwI+lv&#10;srdcLkAcWZUCWeTyP3vxAwAA//8DAFBLAQItABQABgAIAAAAIQC2gziS/gAAAOEBAAATAAAAAAAA&#10;AAAAAAAAAAAAAABbQ29udGVudF9UeXBlc10ueG1sUEsBAi0AFAAGAAgAAAAhADj9If/WAAAAlAEA&#10;AAsAAAAAAAAAAAAAAAAALwEAAF9yZWxzLy5yZWxzUEsBAi0AFAAGAAgAAAAhAN0klDB/AgAAZAUA&#10;AA4AAAAAAAAAAAAAAAAALgIAAGRycy9lMm9Eb2MueG1sUEsBAi0AFAAGAAgAAAAhALXTcRzaAAAA&#10;AwEAAA8AAAAAAAAAAAAAAAAA2QQAAGRycy9kb3ducmV2LnhtbFBLBQYAAAAABAAEAPMAAADgBQAA&#10;AAA=&#10;" fillcolor="#c00" strokecolor="#ed7d31 [3205]" strokeweight=".5pt">
                      <v:textbox>
                        <w:txbxContent>
                          <w:p w14:paraId="60B64CE1" w14:textId="77777777" w:rsidR="008D2C68" w:rsidRDefault="008D2C68" w:rsidP="00F97B16">
                            <w:pPr>
                              <w:jc w:val="center"/>
                            </w:pPr>
                          </w:p>
                          <w:p w14:paraId="4CB037C4" w14:textId="77777777" w:rsidR="008D2C68" w:rsidRDefault="008D2C68" w:rsidP="00F97B16">
                            <w:pPr>
                              <w:jc w:val="center"/>
                            </w:pPr>
                          </w:p>
                        </w:txbxContent>
                      </v:textbox>
                      <w10:anchorlock/>
                    </v:shape>
                  </w:pict>
                </mc:Fallback>
              </mc:AlternateContent>
            </w:r>
          </w:p>
        </w:tc>
        <w:tc>
          <w:tcPr>
            <w:tcW w:w="1316" w:type="dxa"/>
            <w:vAlign w:val="center"/>
          </w:tcPr>
          <w:p w14:paraId="22F00BF7" w14:textId="77777777" w:rsidR="004E22A4" w:rsidRPr="002B0537" w:rsidRDefault="004E22A4" w:rsidP="004E22A4">
            <w:pPr>
              <w:jc w:val="center"/>
              <w:rPr>
                <w:color w:val="212121"/>
              </w:rPr>
            </w:pPr>
            <w:r w:rsidRPr="002B0537">
              <w:rPr>
                <w:color w:val="212121"/>
              </w:rPr>
              <w:t>N/A</w:t>
            </w:r>
          </w:p>
        </w:tc>
        <w:tc>
          <w:tcPr>
            <w:tcW w:w="900" w:type="dxa"/>
            <w:vAlign w:val="center"/>
          </w:tcPr>
          <w:p w14:paraId="6E07B933" w14:textId="77777777" w:rsidR="004E22A4" w:rsidRPr="002B0537" w:rsidRDefault="004E22A4" w:rsidP="004E22A4">
            <w:pPr>
              <w:jc w:val="center"/>
              <w:rPr>
                <w:color w:val="212121"/>
              </w:rPr>
            </w:pPr>
            <w:r w:rsidRPr="002B0537">
              <w:rPr>
                <w:color w:val="212121"/>
              </w:rPr>
              <w:t>N/A</w:t>
            </w:r>
          </w:p>
        </w:tc>
        <w:tc>
          <w:tcPr>
            <w:tcW w:w="6784" w:type="dxa"/>
          </w:tcPr>
          <w:p w14:paraId="3958DBC1" w14:textId="53915192" w:rsidR="004E22A4" w:rsidRPr="00E85E5F" w:rsidRDefault="004E22A4" w:rsidP="004E22A4">
            <w:pPr>
              <w:ind w:left="432"/>
              <w:rPr>
                <w:color w:val="212121"/>
              </w:rPr>
            </w:pPr>
            <w:r w:rsidRPr="00E85E5F">
              <w:t xml:space="preserve">Active Directory and </w:t>
            </w:r>
            <w:r>
              <w:t>d</w:t>
            </w:r>
            <w:r w:rsidRPr="00E85E5F">
              <w:t xml:space="preserve">omain </w:t>
            </w:r>
            <w:r>
              <w:t>c</w:t>
            </w:r>
            <w:r w:rsidRPr="00E85E5F">
              <w:t>ontrollers</w:t>
            </w:r>
          </w:p>
        </w:tc>
      </w:tr>
      <w:tr w:rsidR="004E22A4" w14:paraId="248C057E" w14:textId="77777777" w:rsidTr="00915020">
        <w:tc>
          <w:tcPr>
            <w:tcW w:w="895" w:type="dxa"/>
            <w:vAlign w:val="center"/>
          </w:tcPr>
          <w:p w14:paraId="304E7A7D" w14:textId="77777777" w:rsidR="004E22A4" w:rsidRDefault="004E22A4" w:rsidP="004E22A4">
            <w:pPr>
              <w:jc w:val="center"/>
              <w:rPr>
                <w:color w:val="212121"/>
              </w:rPr>
            </w:pPr>
            <w:r w:rsidRPr="00840988">
              <w:rPr>
                <w:noProof/>
              </w:rPr>
              <mc:AlternateContent>
                <mc:Choice Requires="wps">
                  <w:drawing>
                    <wp:inline distT="0" distB="0" distL="0" distR="0" wp14:anchorId="1C7D322A" wp14:editId="09FA48A8">
                      <wp:extent cx="210553" cy="190500"/>
                      <wp:effectExtent l="0" t="0" r="18415" b="19050"/>
                      <wp:docPr id="41049" name="Octagon 41049"/>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1F5846DA" w14:textId="77777777" w:rsidR="008D2C68" w:rsidRDefault="008D2C68" w:rsidP="00F97B16">
                                  <w:pPr>
                                    <w:jc w:val="center"/>
                                  </w:pPr>
                                </w:p>
                                <w:p w14:paraId="18A2DB36"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C7D322A" id="Octagon 41049" o:spid="_x0000_s1034"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LG4fwIAAGQFAAAOAAAAZHJzL2Uyb0RvYy54bWysVF9r2zAQfx/sOwi9r7bTZFtDnRJSOgal&#10;LWtHnxVZSgSSTpOU2Nmn30l23NAVCmN+kO90v7vT/b286owme+GDAlvT6qykRFgOjbKbmv58uvn0&#10;lZIQmW2YBitqehCBXi0+frhs3VxMYAu6EZ6gERvmravpNkY3L4rAt8KwcAZOWBRK8IZFZP2maDxr&#10;0brRxaQsPxct+MZ54CIEvL3uhXSR7UspeLyXMohIdE3xbTGfPp/rdBaLSzbfeOa2ig/PYP/wCsOU&#10;RaejqWsWGdl59Zcpo7iHADKecTAFSKm4yDFgNFX5KprHLXMix4LJCW5MU/h/Zvnd/sET1dR0WpXT&#10;C0osM1imex7ZBizpLzFJrQtzxD66Bz9wAckUcSe9SX+MhXQ5sYcxsaKLhOPlpCpns3NKOIqqi3JW&#10;5sQXL8rOh/hNgCGJqCn07nNG2f42RPSJ6CMquQugVXOjtM6M36xX2pM9wzKvViV+qbKocgIrUgz9&#10;qzMVD1okZW1/CIkpwHdW2WNuPjHaY5wLGyeDwYxOahJ9j4rn7ysO+KQqcmOOypP3lUeN7BlsHJWN&#10;suDfMqBjNTxZ9njMx0nciYzduutrn5DpZg3NAfvBQz8owfEbhRW5ZSE+MI+TgTOE0x7v8ZAaWizV&#10;QFGyBf/7rfuEx4ZFKSUtTlpNw68d84IS/d1iK19U02kazcxMZ18myPhTyfpUYndmBVjlCveK45lM&#10;+KiPpPRgnnEpLJNXFDHL0XdNefRHZhX7DYBrhYvlMsNwHB2Lt/bR8WMfpHZ76p6Zd0NbRuznOzhO&#10;JZu/as0emypkYbmLIFXu25e8DhXAUc69OaydtCtO+Yx6WY6LPwAAAP//AwBQSwMEFAAGAAgAAAAh&#10;ALXTcRzaAAAAAwEAAA8AAABkcnMvZG93bnJldi54bWxMj0FrwzAMhe+D/QejQW+t3RZKl8UpY1DY&#10;YTSsW9nVjbUkNJaD7Tbpv5+2S3fRQzzx3qd8M7pOXDDE1pOG+UyBQKq8banW8Pmxna5BxGTIms4T&#10;arhihE1xf5ebzPqB3vGyT7XgEIqZ0dCk1GdSxqpBZ+LM90jsffvgTOI11NIGM3C46+RCqZV0piVu&#10;aEyPLw1Wp/3ZaShPQ/m6LsvHr7Bd7d6CO8zD7qD15GF8fgKRcEy3Y/jFZ3QomOnoz2Sj6DTwI+lv&#10;srdcLkAcWZUCWeTyP3vxAwAA//8DAFBLAQItABQABgAIAAAAIQC2gziS/gAAAOEBAAATAAAAAAAA&#10;AAAAAAAAAAAAAABbQ29udGVudF9UeXBlc10ueG1sUEsBAi0AFAAGAAgAAAAhADj9If/WAAAAlAEA&#10;AAsAAAAAAAAAAAAAAAAALwEAAF9yZWxzLy5yZWxzUEsBAi0AFAAGAAgAAAAhAODUsbh/AgAAZAUA&#10;AA4AAAAAAAAAAAAAAAAALgIAAGRycy9lMm9Eb2MueG1sUEsBAi0AFAAGAAgAAAAhALXTcRzaAAAA&#10;AwEAAA8AAAAAAAAAAAAAAAAA2QQAAGRycy9kb3ducmV2LnhtbFBLBQYAAAAABAAEAPMAAADgBQAA&#10;AAA=&#10;" fillcolor="#c00" strokecolor="#ed7d31 [3205]" strokeweight=".5pt">
                      <v:textbox>
                        <w:txbxContent>
                          <w:p w14:paraId="1F5846DA" w14:textId="77777777" w:rsidR="008D2C68" w:rsidRDefault="008D2C68" w:rsidP="00F97B16">
                            <w:pPr>
                              <w:jc w:val="center"/>
                            </w:pPr>
                          </w:p>
                          <w:p w14:paraId="18A2DB36" w14:textId="77777777" w:rsidR="008D2C68" w:rsidRDefault="008D2C68" w:rsidP="00F97B16">
                            <w:pPr>
                              <w:jc w:val="center"/>
                            </w:pPr>
                          </w:p>
                        </w:txbxContent>
                      </v:textbox>
                      <w10:anchorlock/>
                    </v:shape>
                  </w:pict>
                </mc:Fallback>
              </mc:AlternateContent>
            </w:r>
          </w:p>
        </w:tc>
        <w:tc>
          <w:tcPr>
            <w:tcW w:w="1316" w:type="dxa"/>
            <w:vAlign w:val="center"/>
          </w:tcPr>
          <w:p w14:paraId="4DBDDD82" w14:textId="77777777" w:rsidR="004E22A4" w:rsidRPr="002B0537" w:rsidRDefault="004E22A4" w:rsidP="004E22A4">
            <w:pPr>
              <w:jc w:val="center"/>
              <w:rPr>
                <w:rFonts w:eastAsia="Arial" w:cs="Segoe UI"/>
                <w:noProof/>
                <w:sz w:val="20"/>
                <w:szCs w:val="20"/>
              </w:rPr>
            </w:pPr>
            <w:r w:rsidRPr="002B0537">
              <w:rPr>
                <w:color w:val="212121"/>
              </w:rPr>
              <w:t>N/A</w:t>
            </w:r>
          </w:p>
        </w:tc>
        <w:tc>
          <w:tcPr>
            <w:tcW w:w="900" w:type="dxa"/>
            <w:vAlign w:val="center"/>
          </w:tcPr>
          <w:p w14:paraId="07E7A4BD" w14:textId="77777777" w:rsidR="004E22A4" w:rsidRPr="00E85E5F" w:rsidRDefault="004E22A4" w:rsidP="004E22A4">
            <w:pPr>
              <w:jc w:val="center"/>
              <w:rPr>
                <w:rFonts w:eastAsia="Arial" w:cs="Segoe UI"/>
                <w:noProof/>
                <w:sz w:val="20"/>
                <w:szCs w:val="20"/>
              </w:rPr>
            </w:pPr>
            <w:r w:rsidRPr="00E85E5F">
              <w:rPr>
                <w:color w:val="212121"/>
              </w:rPr>
              <w:t>N/A</w:t>
            </w:r>
          </w:p>
        </w:tc>
        <w:tc>
          <w:tcPr>
            <w:tcW w:w="6784" w:type="dxa"/>
          </w:tcPr>
          <w:p w14:paraId="5CA79856" w14:textId="74282A94" w:rsidR="004E22A4" w:rsidRPr="00E85E5F" w:rsidRDefault="004E22A4" w:rsidP="004E22A4">
            <w:pPr>
              <w:ind w:left="432"/>
            </w:pPr>
            <w:r w:rsidRPr="00E85E5F">
              <w:t xml:space="preserve">Certification </w:t>
            </w:r>
            <w:r>
              <w:t>a</w:t>
            </w:r>
            <w:r w:rsidRPr="00E85E5F">
              <w:t>uthorities (CAs)</w:t>
            </w:r>
          </w:p>
        </w:tc>
      </w:tr>
      <w:tr w:rsidR="004E22A4" w:rsidRPr="00E85E5F" w14:paraId="53AD61D4" w14:textId="77777777" w:rsidTr="00915020">
        <w:tc>
          <w:tcPr>
            <w:tcW w:w="895" w:type="dxa"/>
            <w:vAlign w:val="center"/>
          </w:tcPr>
          <w:p w14:paraId="2ABB7BFB" w14:textId="77777777" w:rsidR="004E22A4" w:rsidRPr="00B735D7" w:rsidRDefault="004E22A4" w:rsidP="004E22A4">
            <w:pPr>
              <w:jc w:val="center"/>
              <w:rPr>
                <w:color w:val="212121"/>
              </w:rPr>
            </w:pPr>
            <w:r w:rsidRPr="002B0537">
              <w:rPr>
                <w:noProof/>
              </w:rPr>
              <mc:AlternateContent>
                <mc:Choice Requires="wps">
                  <w:drawing>
                    <wp:inline distT="0" distB="0" distL="0" distR="0" wp14:anchorId="61C20EE0" wp14:editId="6CC189E7">
                      <wp:extent cx="210553" cy="190500"/>
                      <wp:effectExtent l="0" t="0" r="18415" b="19050"/>
                      <wp:docPr id="281" name="Octagon 281"/>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3AC05B11" w14:textId="77777777" w:rsidR="008D2C68" w:rsidRDefault="008D2C68" w:rsidP="00F97B16">
                                  <w:pPr>
                                    <w:jc w:val="center"/>
                                  </w:pPr>
                                </w:p>
                                <w:p w14:paraId="00727AB7"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1C20EE0" id="Octagon 281" o:spid="_x0000_s1035"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C5CfgIAAGAFAAAOAAAAZHJzL2Uyb0RvYy54bWysVN1r2zAQfx/sfxB6X/3RZGtDnBJSOgal&#10;LW1HnxVZSgSyTpOU2Nlfv5PsuKErFMb8IN/pvu9+p/lV12iyF84rMBUtznJKhOFQK7Op6M/nmy8X&#10;lPjATM00GFHRg/D0avH507y1M1HCFnQtHEEnxs9aW9FtCHaWZZ5vRcP8GVhhUCjBNSwg6zZZ7ViL&#10;3hudlXn+NWvB1dYBF97j7XUvpIvkX0rBw72UXgSiK4q5hXS6dK7jmS3mbLZxzG4VH9Jg/5BFw5TB&#10;oKOraxYY2Tn1l6tGcQceZDjj0GQgpeIi1YDVFPmbap62zIpUCzbH27FN/v+55Xf7B0dUXdHyoqDE&#10;sAaHdM8D24Ah8Qob1Fo/Q70n++AGziMZq+2ka+If6yBdauphbKroAuF4WRb5dHpOCUdRcZlP89T0&#10;7NXYOh++C2hIJCoKffDUTba/9QFjovZRK4bzoFV9o7ROjNusV9qRPcMRr1Y5fjFpNDlRy2INfdaJ&#10;CgctorE2j0Ji+ZhnkSIm4InRH+NcmFAODpN2NJMYezQ8/9hw0I+mIoFyNC4/Nh4tUmQwYTRulAH3&#10;ngMd0uCwB7LXx36c1B3J0K27NPfpccRrqA+IBQf9knjLbxRO5Jb58MAcbgXuD256uMdDamhxVANF&#10;yRbc7/fuoz6CFaWUtLhlFfW/dswJSvQPgzC+LCaTuJaJmUy/lci4U8n6VGJ2zQpwyghUzC6RUT/o&#10;IykdNC/4ICxjVBQxwzF2RXlwR2YV+u3HJ4WL5TKp4SpaFm7Nk+VHHES4PXcvzNkBlgHxfAfHjWSz&#10;N9DsdeOEDCx3AaRKuI2d7vs6TADXOGFzeHLiO3HKJ63Xh3HxBwAA//8DAFBLAwQUAAYACAAAACEA&#10;tdNxHNoAAAADAQAADwAAAGRycy9kb3ducmV2LnhtbEyPQWvDMAyF74P9B6NBb63dFkqXxSljUNhh&#10;NKxb2dWNtSQ0loPtNum/n7ZLd9FDPPHep3wzuk5cMMTWk4b5TIFAqrxtqdbw+bGdrkHEZMiazhNq&#10;uGKETXF/l5vM+oHe8bJPteAQipnR0KTUZ1LGqkFn4sz3SOx9++BM4jXU0gYzcLjr5EKplXSmJW5o&#10;TI8vDVan/dlpKE9D+bouy8evsF3t3oI7zMPuoPXkYXx+ApFwTLdj+MVndCiY6ejPZKPoNPAj6W+y&#10;t1wuQBxZlQJZ5PI/e/EDAAD//wMAUEsBAi0AFAAGAAgAAAAhALaDOJL+AAAA4QEAABMAAAAAAAAA&#10;AAAAAAAAAAAAAFtDb250ZW50X1R5cGVzXS54bWxQSwECLQAUAAYACAAAACEAOP0h/9YAAACUAQAA&#10;CwAAAAAAAAAAAAAAAAAvAQAAX3JlbHMvLnJlbHNQSwECLQAUAAYACAAAACEA8AguQn4CAABgBQAA&#10;DgAAAAAAAAAAAAAAAAAuAgAAZHJzL2Uyb0RvYy54bWxQSwECLQAUAAYACAAAACEAtdNxHNoAAAAD&#10;AQAADwAAAAAAAAAAAAAAAADYBAAAZHJzL2Rvd25yZXYueG1sUEsFBgAAAAAEAAQA8wAAAN8FAAAA&#10;AA==&#10;" fillcolor="#c00" strokecolor="#ed7d31 [3205]" strokeweight=".5pt">
                      <v:textbox>
                        <w:txbxContent>
                          <w:p w14:paraId="3AC05B11" w14:textId="77777777" w:rsidR="008D2C68" w:rsidRDefault="008D2C68" w:rsidP="00F97B16">
                            <w:pPr>
                              <w:jc w:val="center"/>
                            </w:pPr>
                          </w:p>
                          <w:p w14:paraId="00727AB7" w14:textId="77777777" w:rsidR="008D2C68" w:rsidRDefault="008D2C68" w:rsidP="00F97B16">
                            <w:pPr>
                              <w:jc w:val="center"/>
                            </w:pPr>
                          </w:p>
                        </w:txbxContent>
                      </v:textbox>
                      <w10:anchorlock/>
                    </v:shape>
                  </w:pict>
                </mc:Fallback>
              </mc:AlternateContent>
            </w:r>
          </w:p>
        </w:tc>
        <w:tc>
          <w:tcPr>
            <w:tcW w:w="1316" w:type="dxa"/>
            <w:vAlign w:val="center"/>
          </w:tcPr>
          <w:p w14:paraId="7590116A" w14:textId="77777777" w:rsidR="004E22A4" w:rsidRPr="002B0537" w:rsidRDefault="004E22A4" w:rsidP="004E22A4">
            <w:pPr>
              <w:jc w:val="center"/>
              <w:rPr>
                <w:rFonts w:eastAsia="Arial" w:cs="Segoe UI"/>
                <w:noProof/>
                <w:sz w:val="20"/>
                <w:szCs w:val="20"/>
              </w:rPr>
            </w:pPr>
            <w:r w:rsidRPr="002B0537">
              <w:rPr>
                <w:color w:val="212121"/>
              </w:rPr>
              <w:t>N/A</w:t>
            </w:r>
          </w:p>
        </w:tc>
        <w:tc>
          <w:tcPr>
            <w:tcW w:w="900" w:type="dxa"/>
            <w:vAlign w:val="center"/>
          </w:tcPr>
          <w:p w14:paraId="32F9096B" w14:textId="77777777" w:rsidR="004E22A4" w:rsidRPr="00E85E5F" w:rsidRDefault="004E22A4" w:rsidP="004E22A4">
            <w:pPr>
              <w:jc w:val="center"/>
              <w:rPr>
                <w:rFonts w:eastAsia="Arial" w:cs="Segoe UI"/>
                <w:noProof/>
                <w:sz w:val="20"/>
                <w:szCs w:val="20"/>
              </w:rPr>
            </w:pPr>
            <w:r w:rsidRPr="00E85E5F">
              <w:rPr>
                <w:color w:val="212121"/>
              </w:rPr>
              <w:t>N/A</w:t>
            </w:r>
          </w:p>
        </w:tc>
        <w:tc>
          <w:tcPr>
            <w:tcW w:w="6784" w:type="dxa"/>
          </w:tcPr>
          <w:p w14:paraId="16EB15BB" w14:textId="5F2F9A7A" w:rsidR="004E22A4" w:rsidRPr="00E85E5F" w:rsidRDefault="004E22A4" w:rsidP="004E22A4">
            <w:pPr>
              <w:ind w:left="432"/>
            </w:pPr>
            <w:r w:rsidRPr="00E85E5F">
              <w:t xml:space="preserve">Privileged Identity Management (PIM) </w:t>
            </w:r>
            <w:r>
              <w:t>s</w:t>
            </w:r>
            <w:r w:rsidRPr="00E85E5F">
              <w:t>ystems</w:t>
            </w:r>
          </w:p>
        </w:tc>
      </w:tr>
      <w:tr w:rsidR="004E22A4" w14:paraId="3F27A3F3" w14:textId="77777777" w:rsidTr="00915020">
        <w:tc>
          <w:tcPr>
            <w:tcW w:w="895" w:type="dxa"/>
            <w:vAlign w:val="center"/>
          </w:tcPr>
          <w:p w14:paraId="3D8ED303" w14:textId="77777777" w:rsidR="004E22A4" w:rsidRPr="00B735D7" w:rsidRDefault="004E22A4" w:rsidP="004E22A4">
            <w:pPr>
              <w:jc w:val="center"/>
              <w:rPr>
                <w:color w:val="212121"/>
              </w:rPr>
            </w:pPr>
            <w:r w:rsidRPr="00B735D7">
              <w:rPr>
                <w:color w:val="212121"/>
              </w:rPr>
              <w:t>N/A</w:t>
            </w:r>
          </w:p>
        </w:tc>
        <w:tc>
          <w:tcPr>
            <w:tcW w:w="1316" w:type="dxa"/>
            <w:vAlign w:val="center"/>
          </w:tcPr>
          <w:p w14:paraId="2B42017E" w14:textId="77777777" w:rsidR="004E22A4" w:rsidRPr="002B0537" w:rsidRDefault="004E22A4" w:rsidP="004E22A4">
            <w:pPr>
              <w:jc w:val="center"/>
              <w:rPr>
                <w:rFonts w:eastAsia="Arial" w:cs="Segoe UI"/>
                <w:noProof/>
                <w:sz w:val="20"/>
                <w:szCs w:val="20"/>
              </w:rPr>
            </w:pPr>
            <w:r w:rsidRPr="002B0537">
              <w:rPr>
                <w:color w:val="212121"/>
              </w:rPr>
              <w:t>N/A</w:t>
            </w:r>
          </w:p>
        </w:tc>
        <w:tc>
          <w:tcPr>
            <w:tcW w:w="900" w:type="dxa"/>
            <w:vAlign w:val="center"/>
          </w:tcPr>
          <w:p w14:paraId="1E400BBA" w14:textId="77777777" w:rsidR="004E22A4" w:rsidRPr="002B0537" w:rsidRDefault="004E22A4" w:rsidP="004E22A4">
            <w:pPr>
              <w:jc w:val="center"/>
              <w:rPr>
                <w:rFonts w:eastAsia="Arial" w:cs="Segoe UI"/>
                <w:noProof/>
                <w:sz w:val="20"/>
                <w:szCs w:val="20"/>
              </w:rPr>
            </w:pPr>
            <w:r w:rsidRPr="002B0537">
              <w:rPr>
                <w:noProof/>
              </w:rPr>
              <mc:AlternateContent>
                <mc:Choice Requires="wps">
                  <w:drawing>
                    <wp:inline distT="0" distB="0" distL="0" distR="0" wp14:anchorId="57D45DA6" wp14:editId="09199787">
                      <wp:extent cx="210553" cy="190500"/>
                      <wp:effectExtent l="0" t="0" r="18415" b="19050"/>
                      <wp:docPr id="282" name="Octagon 282"/>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42DA624C" w14:textId="77777777" w:rsidR="008D2C68" w:rsidRDefault="008D2C68" w:rsidP="00F97B16">
                                  <w:pPr>
                                    <w:jc w:val="center"/>
                                  </w:pPr>
                                </w:p>
                                <w:p w14:paraId="4EF9D0B5"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7D45DA6" id="Octagon 282" o:spid="_x0000_s1036"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wr6gAIAAGAFAAAOAAAAZHJzL2Uyb0RvYy54bWysVN1r2zAQfx/sfxB6X/3RpGtDnBJSOgal&#10;LWtHnxVZSgSyTpOU2Nlfv5PsuKErFMb8IN/pvnR3v7v5dddoshfOKzAVLc5ySoThUCuzqejP59sv&#10;l5T4wEzNNBhR0YPw9Hrx+dO8tTNRwhZ0LRxBJ8bPWlvRbQh2lmWeb0XD/BlYYVAowTUsIOs2We1Y&#10;i94bnZV5fpG14GrrgAvv8famF9JF8i+l4OFBSi8C0RXFt4V0unSu45kt5my2ccxuFR+ewf7hFQ1T&#10;BoOOrm5YYGTn1F+uGsUdeJDhjEOTgZSKi5QDZlPkb7J52jIrUi5YHG/HMvn/55bf7x8dUXVFy8uS&#10;EsMabNIDD2wDhsQrLFBr/Qz1nuyjGziPZMy2k66Jf8yDdKmoh7GooguE42VZ5NPpOSUcRcVVPs1T&#10;0bNXY+t8+CagIZGoKPTBUzXZ/s4HjInaR60YzoNW9a3SOjFus15pR/YMW7xa5fjFR6PJiVoWc+hf&#10;nahw0CIaa/NDSEwf31mkiAl4YvTHOBcmpCqgw6QdzSTGHg3PPzYc9KOpSKAcjcuPjUeLFBlMGI0b&#10;ZcC950CHYqiB7PWxHid5RzJ06y71/eLY4jXUB8SCg35IvOW3Cjtyx3x4ZA6nAucHJz084CE1tNiq&#10;gaJkC+73e/dRH8GKUkpanLKK+l875gQl+rtBGF8Vk0kcy8RMpl9LZNypZH0qMbtmBdjlAneK5YmM&#10;+kEfSemgecGFsIxRUcQMx9gV5cEdmVXopx9XChfLZVLDUbQs3Jkny484iHB77l6YswMsA+L5Ho4T&#10;yWZvoNnrxg4ZWO4CSJVwGyvd13XoAI5xwuawcuKeOOWT1utiXPwBAAD//wMAUEsDBBQABgAIAAAA&#10;IQC103Ec2gAAAAMBAAAPAAAAZHJzL2Rvd25yZXYueG1sTI9Ba8MwDIXvg/0Ho0Fvrd0WSpfFKWNQ&#10;2GE0rFvZ1Y21JDSWg+026b+ftkt30UM88d6nfDO6TlwwxNaThvlMgUCqvG2p1vD5sZ2uQcRkyJrO&#10;E2q4YoRNcX+Xm8z6gd7xsk+14BCKmdHQpNRnUsaqQWfizPdI7H374EziNdTSBjNwuOvkQqmVdKYl&#10;bmhMjy8NVqf92WkoT0P5ui7Lx6+wXe3egjvMw+6g9eRhfH4CkXBMt2P4xWd0KJjp6M9ko+g08CPp&#10;b7K3XC5AHFmVAlnk8j978QMAAP//AwBQSwECLQAUAAYACAAAACEAtoM4kv4AAADhAQAAEwAAAAAA&#10;AAAAAAAAAAAAAAAAW0NvbnRlbnRfVHlwZXNdLnhtbFBLAQItABQABgAIAAAAIQA4/SH/1gAAAJQB&#10;AAALAAAAAAAAAAAAAAAAAC8BAABfcmVscy8ucmVsc1BLAQItABQABgAIAAAAIQBFgwr6gAIAAGAF&#10;AAAOAAAAAAAAAAAAAAAAAC4CAABkcnMvZTJvRG9jLnhtbFBLAQItABQABgAIAAAAIQC103Ec2gAA&#10;AAMBAAAPAAAAAAAAAAAAAAAAANoEAABkcnMvZG93bnJldi54bWxQSwUGAAAAAAQABADzAAAA4QUA&#10;AAAA&#10;" fillcolor="#c00" strokecolor="#ed7d31 [3205]" strokeweight=".5pt">
                      <v:textbox>
                        <w:txbxContent>
                          <w:p w14:paraId="42DA624C" w14:textId="77777777" w:rsidR="008D2C68" w:rsidRDefault="008D2C68" w:rsidP="00F97B16">
                            <w:pPr>
                              <w:jc w:val="center"/>
                            </w:pPr>
                          </w:p>
                          <w:p w14:paraId="4EF9D0B5" w14:textId="77777777" w:rsidR="008D2C68" w:rsidRDefault="008D2C68" w:rsidP="00F97B16">
                            <w:pPr>
                              <w:jc w:val="center"/>
                            </w:pPr>
                          </w:p>
                        </w:txbxContent>
                      </v:textbox>
                      <w10:anchorlock/>
                    </v:shape>
                  </w:pict>
                </mc:Fallback>
              </mc:AlternateContent>
            </w:r>
          </w:p>
        </w:tc>
        <w:tc>
          <w:tcPr>
            <w:tcW w:w="6784" w:type="dxa"/>
          </w:tcPr>
          <w:p w14:paraId="1A0EA6F4" w14:textId="60516315" w:rsidR="004E22A4" w:rsidRPr="002B0537" w:rsidRDefault="004E22A4" w:rsidP="004E22A4">
            <w:pPr>
              <w:ind w:left="432"/>
            </w:pPr>
            <w:r w:rsidRPr="00E85E5F">
              <w:t xml:space="preserve">Enterprise </w:t>
            </w:r>
            <w:r w:rsidRPr="002B0537">
              <w:t>Identity Management Systems</w:t>
            </w:r>
          </w:p>
        </w:tc>
      </w:tr>
      <w:tr w:rsidR="004E22A4" w14:paraId="1008E068" w14:textId="77777777" w:rsidTr="00915020">
        <w:tc>
          <w:tcPr>
            <w:tcW w:w="895" w:type="dxa"/>
            <w:vAlign w:val="center"/>
          </w:tcPr>
          <w:p w14:paraId="6EC97BCA" w14:textId="77777777" w:rsidR="004E22A4" w:rsidRDefault="004E22A4" w:rsidP="004E22A4">
            <w:pPr>
              <w:jc w:val="center"/>
              <w:rPr>
                <w:color w:val="212121"/>
              </w:rPr>
            </w:pPr>
            <w:r w:rsidRPr="00840988">
              <w:rPr>
                <w:noProof/>
              </w:rPr>
              <mc:AlternateContent>
                <mc:Choice Requires="wps">
                  <w:drawing>
                    <wp:inline distT="0" distB="0" distL="0" distR="0" wp14:anchorId="35D6D0F0" wp14:editId="0D1A5830">
                      <wp:extent cx="210553" cy="190500"/>
                      <wp:effectExtent l="0" t="0" r="18415" b="19050"/>
                      <wp:docPr id="287" name="Octagon 287"/>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60C87F8D" w14:textId="77777777" w:rsidR="008D2C68" w:rsidRDefault="008D2C68" w:rsidP="00F97B16">
                                  <w:pPr>
                                    <w:jc w:val="center"/>
                                  </w:pPr>
                                </w:p>
                                <w:p w14:paraId="06D22F39"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5D6D0F0" id="Octagon 287" o:spid="_x0000_s1037"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KSzfQIAAGAFAAAOAAAAZHJzL2Uyb0RvYy54bWysVN1r2zAQfx/sfxB6X/3RZG1DnBJSOgal&#10;LWtHnxVZSgSyTpOU2Nlfv5PsuKErFMb8IN/pvu9+p/l112iyF84rMBUtznJKhOFQK7Op6M/n2y+X&#10;lPjATM00GFHRg/D0evH507y1M1HCFnQtHEEnxs9aW9FtCHaWZZ5vRcP8GVhhUCjBNSwg6zZZ7ViL&#10;3hudlXn+NWvB1dYBF97j7U0vpIvkX0rBw4OUXgSiK4q5hXS6dK7jmS3mbLZxzG4VH9Jg/5BFw5TB&#10;oKOrGxYY2Tn1l6tGcQceZDjj0GQgpeIi1YDVFPmbap62zIpUCzbH27FN/v+55ff7R0dUXdHy8oIS&#10;wxoc0gMPbAOGxCtsUGv9DPWe7KMbOI9krLaTrol/rIN0qamHsamiC4TjZVnk0+k5JRxFxVU+zVPT&#10;s1dj63z4JqAhkago9MFTN9n+zgeMidpHrRjOg1b1rdI6MW6zXmlH9gxHvFrl+MWk0eRELYs19Fkn&#10;Khy0iMba/BASy8c8ixQxAU+M/hjnwoRycJi0o5nE2KPh+ceGg340FQmUo3H5sfFokSKDCaNxowy4&#10;9xzoUAwpy14f+3FSdyRDt+7S3McRr6E+IBYc9EviLb9VOJE75sMjc7gVuD+46eEBD6mhxVENFCVb&#10;cL/fu4/6CFaUUtLillXU/9oxJyjR3w3C+KqYTOJaJmYyvSiRcaeS9anE7JoV4JQLfFMsT2TUD/pI&#10;SgfNCz4IyxgVRcxwjF1RHtyRWYV++/FJ4WK5TGq4ipaFO/Nk+REHEW7P3QtzdoBlQDzfw3Ej2ewN&#10;NHvdOCEDy10AqRJuY6f7vg4TwDVO2ByenPhOnPJJ6/VhXPwBAAD//wMAUEsDBBQABgAIAAAAIQC1&#10;03Ec2gAAAAMBAAAPAAAAZHJzL2Rvd25yZXYueG1sTI9Ba8MwDIXvg/0Ho0Fvrd0WSpfFKWNQ2GE0&#10;rFvZ1Y21JDSWg+026b+ftkt30UM88d6nfDO6TlwwxNaThvlMgUCqvG2p1vD5sZ2uQcRkyJrOE2q4&#10;YoRNcX+Xm8z6gd7xsk+14BCKmdHQpNRnUsaqQWfizPdI7H374EziNdTSBjNwuOvkQqmVdKYlbmhM&#10;jy8NVqf92WkoT0P5ui7Lx6+wXe3egjvMw+6g9eRhfH4CkXBMt2P4xWd0KJjp6M9ko+g08CPpb7K3&#10;XC5AHFmVAlnk8j978QMAAP//AwBQSwECLQAUAAYACAAAACEAtoM4kv4AAADhAQAAEwAAAAAAAAAA&#10;AAAAAAAAAAAAW0NvbnRlbnRfVHlwZXNdLnhtbFBLAQItABQABgAIAAAAIQA4/SH/1gAAAJQBAAAL&#10;AAAAAAAAAAAAAAAAAC8BAABfcmVscy8ucmVsc1BLAQItABQABgAIAAAAIQBAmKSzfQIAAGAFAAAO&#10;AAAAAAAAAAAAAAAAAC4CAABkcnMvZTJvRG9jLnhtbFBLAQItABQABgAIAAAAIQC103Ec2gAAAAMB&#10;AAAPAAAAAAAAAAAAAAAAANcEAABkcnMvZG93bnJldi54bWxQSwUGAAAAAAQABADzAAAA3gUAAAAA&#10;" fillcolor="#c00" strokecolor="#ed7d31 [3205]" strokeweight=".5pt">
                      <v:textbox>
                        <w:txbxContent>
                          <w:p w14:paraId="60C87F8D" w14:textId="77777777" w:rsidR="008D2C68" w:rsidRDefault="008D2C68" w:rsidP="00F97B16">
                            <w:pPr>
                              <w:jc w:val="center"/>
                            </w:pPr>
                          </w:p>
                          <w:p w14:paraId="06D22F39" w14:textId="77777777" w:rsidR="008D2C68" w:rsidRDefault="008D2C68" w:rsidP="00F97B16">
                            <w:pPr>
                              <w:jc w:val="center"/>
                            </w:pPr>
                          </w:p>
                        </w:txbxContent>
                      </v:textbox>
                      <w10:anchorlock/>
                    </v:shape>
                  </w:pict>
                </mc:Fallback>
              </mc:AlternateContent>
            </w:r>
          </w:p>
        </w:tc>
        <w:tc>
          <w:tcPr>
            <w:tcW w:w="1316" w:type="dxa"/>
            <w:vAlign w:val="center"/>
          </w:tcPr>
          <w:p w14:paraId="429EDE68" w14:textId="77777777" w:rsidR="004E22A4" w:rsidRPr="002B0537" w:rsidRDefault="004E22A4" w:rsidP="004E22A4">
            <w:pPr>
              <w:jc w:val="center"/>
              <w:rPr>
                <w:color w:val="212121"/>
              </w:rPr>
            </w:pPr>
            <w:r w:rsidRPr="002B0537">
              <w:rPr>
                <w:color w:val="212121"/>
              </w:rPr>
              <w:t>N/A</w:t>
            </w:r>
          </w:p>
        </w:tc>
        <w:tc>
          <w:tcPr>
            <w:tcW w:w="900" w:type="dxa"/>
            <w:vAlign w:val="center"/>
          </w:tcPr>
          <w:p w14:paraId="63C71684" w14:textId="77777777" w:rsidR="004E22A4" w:rsidRPr="00E85E5F" w:rsidRDefault="004E22A4" w:rsidP="004E22A4">
            <w:pPr>
              <w:jc w:val="center"/>
              <w:rPr>
                <w:noProof/>
              </w:rPr>
            </w:pPr>
            <w:r w:rsidRPr="00E85E5F">
              <w:rPr>
                <w:color w:val="212121"/>
              </w:rPr>
              <w:t>N/A</w:t>
            </w:r>
          </w:p>
        </w:tc>
        <w:tc>
          <w:tcPr>
            <w:tcW w:w="6784" w:type="dxa"/>
          </w:tcPr>
          <w:p w14:paraId="67B7C4E1" w14:textId="3EBF8150" w:rsidR="004E22A4" w:rsidRPr="00E85E5F" w:rsidRDefault="004E22A4" w:rsidP="004E22A4">
            <w:pPr>
              <w:ind w:left="432"/>
            </w:pPr>
            <w:r w:rsidRPr="00E85E5F">
              <w:t xml:space="preserve">Identity </w:t>
            </w:r>
            <w:r>
              <w:t>f</w:t>
            </w:r>
            <w:r w:rsidRPr="00E85E5F">
              <w:t xml:space="preserve">ederation </w:t>
            </w:r>
            <w:r>
              <w:t>services</w:t>
            </w:r>
            <w:r w:rsidRPr="00E85E5F">
              <w:t xml:space="preserve"> (</w:t>
            </w:r>
            <w:r>
              <w:t xml:space="preserve">such as </w:t>
            </w:r>
            <w:r w:rsidRPr="00E85E5F">
              <w:t>AD</w:t>
            </w:r>
            <w:r>
              <w:t> </w:t>
            </w:r>
            <w:r w:rsidRPr="00E85E5F">
              <w:t>FS)</w:t>
            </w:r>
          </w:p>
        </w:tc>
      </w:tr>
      <w:tr w:rsidR="004E22A4" w14:paraId="442D1F87" w14:textId="77777777" w:rsidTr="00915020">
        <w:tc>
          <w:tcPr>
            <w:tcW w:w="895" w:type="dxa"/>
            <w:vAlign w:val="center"/>
          </w:tcPr>
          <w:p w14:paraId="3F95A224" w14:textId="77777777" w:rsidR="004E22A4" w:rsidRDefault="004E22A4" w:rsidP="004E22A4">
            <w:pPr>
              <w:jc w:val="center"/>
              <w:rPr>
                <w:color w:val="212121"/>
              </w:rPr>
            </w:pPr>
            <w:r w:rsidRPr="00840988">
              <w:rPr>
                <w:noProof/>
              </w:rPr>
              <mc:AlternateContent>
                <mc:Choice Requires="wps">
                  <w:drawing>
                    <wp:inline distT="0" distB="0" distL="0" distR="0" wp14:anchorId="46B5EA7A" wp14:editId="4BF11745">
                      <wp:extent cx="210553" cy="190500"/>
                      <wp:effectExtent l="0" t="0" r="18415" b="19050"/>
                      <wp:docPr id="41050" name="Octagon 41050"/>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486A5FDE" w14:textId="77777777" w:rsidR="008D2C68" w:rsidRDefault="008D2C68" w:rsidP="00F97B16">
                                  <w:pPr>
                                    <w:jc w:val="center"/>
                                  </w:pPr>
                                </w:p>
                                <w:p w14:paraId="33ECB066"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6B5EA7A" id="Octagon 41050" o:spid="_x0000_s1038"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ilgfgIAAGQFAAAOAAAAZHJzL2Uyb0RvYy54bWysVF9r2zAQfx/sOwi9r47TdGtDnBJSMgal&#10;LW1HnxVZSgSSTpOU2Nmn30l23NAVCmN+kO90v7vT/Z1dt0aTvfBBga1oeTaiRFgOtbKbiv58Xn25&#10;pCREZmumwYqKHkSg1/PPn2aNm4oxbEHXwhM0YsO0cRXdxuimRRH4VhgWzsAJi0IJ3rCIrN8UtWcN&#10;Wje6GI9GX4sGfO08cBEC3t50QjrP9qUUPN5LGUQkuqL4tphPn891Oov5jE03nrmt4v0z2D+8wjBl&#10;0elg6oZFRnZe/WXKKO4hgIxnHEwBUioucgwYTTl6E83TljmRY8HkBDekKfw/s/xu/+CJqis6KUcX&#10;mCHLDJbpnke2AUu6S0xS48IUsU/uwfdcQDJF3Epv0h9jIW1O7GFIrGgj4Xg5RtsX55RwFJVX6Ccn&#10;vnhVdj7E7wIMSURFoXOfM8r2tyGiT0QfUcldAK3qldI6M36zXmpP9gzLvFyO8EuVRZUTWJFi6F6d&#10;qXjQIilr+ygkpgDfWWaPufnEYI9xLmwc9wYzOqlJ9D0onn+s2OOTqsiNOSiPP1YeNLJnsHFQNsqC&#10;f8+AjmX/ZNnhMR8ncScytus21/4yIdPNGuoD9oOHblCC4yuFFbllIT4wj5OBHYLTHu/xkBoaLFVP&#10;UbIF//u9+4THhkUpJQ1OWkXDrx3zghL9w2IrX5WTSRrNzEwuvo2R8aeS9anE7swSsMol7hXHM5nw&#10;UR9J6cG84FJYJK8oYpaj74ry6I/MMnYbANcKF4tFhuE4OhZv7ZPjxz5I7fbcvjDv+raM2M93cJxK&#10;Nn3Tmh02VcjCYhdBqty3r3ntK4CjnHuzXztpV5zyGfW6HOd/AAAA//8DAFBLAwQUAAYACAAAACEA&#10;tdNxHNoAAAADAQAADwAAAGRycy9kb3ducmV2LnhtbEyPQWvDMAyF74P9B6NBb63dFkqXxSljUNhh&#10;NKxb2dWNtSQ0loPtNum/n7ZLd9FDPPHep3wzuk5cMMTWk4b5TIFAqrxtqdbw+bGdrkHEZMiazhNq&#10;uGKETXF/l5vM+oHe8bJPteAQipnR0KTUZ1LGqkFn4sz3SOx9++BM4jXU0gYzcLjr5EKplXSmJW5o&#10;TI8vDVan/dlpKE9D+bouy8evsF3t3oI7zMPuoPXkYXx+ApFwTLdj+MVndCiY6ejPZKPoNPAj6W+y&#10;t1wuQBxZlQJZ5PI/e/EDAAD//wMAUEsBAi0AFAAGAAgAAAAhALaDOJL+AAAA4QEAABMAAAAAAAAA&#10;AAAAAAAAAAAAAFtDb250ZW50X1R5cGVzXS54bWxQSwECLQAUAAYACAAAACEAOP0h/9YAAACUAQAA&#10;CwAAAAAAAAAAAAAAAAAvAQAAX3JlbHMvLnJlbHNQSwECLQAUAAYACAAAACEAl0YpYH4CAABkBQAA&#10;DgAAAAAAAAAAAAAAAAAuAgAAZHJzL2Uyb0RvYy54bWxQSwECLQAUAAYACAAAACEAtdNxHNoAAAAD&#10;AQAADwAAAAAAAAAAAAAAAADYBAAAZHJzL2Rvd25yZXYueG1sUEsFBgAAAAAEAAQA8wAAAN8FAAAA&#10;AA==&#10;" fillcolor="#c00" strokecolor="#ed7d31 [3205]" strokeweight=".5pt">
                      <v:textbox>
                        <w:txbxContent>
                          <w:p w14:paraId="486A5FDE" w14:textId="77777777" w:rsidR="008D2C68" w:rsidRDefault="008D2C68" w:rsidP="00F97B16">
                            <w:pPr>
                              <w:jc w:val="center"/>
                            </w:pPr>
                          </w:p>
                          <w:p w14:paraId="33ECB066" w14:textId="77777777" w:rsidR="008D2C68" w:rsidRDefault="008D2C68" w:rsidP="00F97B16">
                            <w:pPr>
                              <w:jc w:val="center"/>
                            </w:pPr>
                          </w:p>
                        </w:txbxContent>
                      </v:textbox>
                      <w10:anchorlock/>
                    </v:shape>
                  </w:pict>
                </mc:Fallback>
              </mc:AlternateContent>
            </w:r>
          </w:p>
        </w:tc>
        <w:tc>
          <w:tcPr>
            <w:tcW w:w="1316" w:type="dxa"/>
            <w:vAlign w:val="center"/>
          </w:tcPr>
          <w:p w14:paraId="6A7A06EF" w14:textId="77777777" w:rsidR="004E22A4" w:rsidRPr="002B0537" w:rsidRDefault="004E22A4" w:rsidP="004E22A4">
            <w:pPr>
              <w:jc w:val="center"/>
              <w:rPr>
                <w:rFonts w:eastAsia="Arial" w:cs="Segoe UI"/>
                <w:noProof/>
                <w:sz w:val="20"/>
                <w:szCs w:val="20"/>
              </w:rPr>
            </w:pPr>
            <w:r w:rsidRPr="002B0537">
              <w:rPr>
                <w:noProof/>
              </w:rPr>
              <mc:AlternateContent>
                <mc:Choice Requires="wps">
                  <w:drawing>
                    <wp:inline distT="0" distB="0" distL="0" distR="0" wp14:anchorId="7B16A0CF" wp14:editId="2E2410DF">
                      <wp:extent cx="210553" cy="190500"/>
                      <wp:effectExtent l="0" t="0" r="18415" b="19050"/>
                      <wp:docPr id="285" name="Octagon 285"/>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1A381059" w14:textId="77777777" w:rsidR="008D2C68" w:rsidRDefault="008D2C68" w:rsidP="00F97B16">
                                  <w:pPr>
                                    <w:jc w:val="center"/>
                                  </w:pPr>
                                </w:p>
                                <w:p w14:paraId="73D7F142"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B16A0CF" id="Octagon 285" o:spid="_x0000_s1039"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Zs6fQIAAGAFAAAOAAAAZHJzL2Uyb0RvYy54bWysVN1r2zAQfx/sfxB6X/3RZGtDnRJSMgal&#10;LW1HnxVZSgSyTpOU2Nlfv5PsuKErFMb8IN/pfvd9p6vrrtFkL5xXYCpanOWUCMOhVmZT0Z/Pqy8X&#10;lPjATM00GFHRg/D0ev7501VrZ6KELehaOIJGjJ+1tqLbEOwsyzzfiob5M7DCoFCCa1hA1m2y2rEW&#10;rTc6K/P8a9aCq60DLrzH25teSOfJvpSCh3spvQhEVxRjC+l06VzHM5tfsdnGMbtVfAiD/UMUDVMG&#10;nY6mblhgZOfUX6YaxR14kOGMQ5OBlIqLlANmU+RvsnnaMitSLlgcb8cy+f9nlt/tHxxRdUXLiykl&#10;hjXYpHse2AYMiVdYoNb6GeKe7IMbOI9kzLaTrol/zIN0qaiHsaiiC4TjZVnk0+k5JRxFxWU+zVPR&#10;s1dl63z4LqAhkago9M5TNdn+1gf0iegjKrrzoFW9Ulonxm3WS+3InmGLl8scvxg0qpzAsphDH3Wi&#10;wkGLqKzNo5CYPsZZJI9p8MRoj3EuTCgHgwkd1ST6HhXPP1Yc8FFVpKEclcuPlUeN5BlMGJUbZcC9&#10;Z0CHYghZ9nisx0nekQzdukt9v4zIeLOG+oCz4KBfEm/5SmFHbpkPD8zhVuD+4KaHezykhhZbNVCU&#10;bMH9fu8+4nFYUUpJi1tWUf9rx5ygRP8wOMaXxWQS1zIxk+m3Ehl3KlmfSsyuWQJ2ucA3xfJERnzQ&#10;R1I6aF7wQVhEryhihqPvivLgjswy9NuPTwoXi0WC4SpaFm7Nk+XHOYjj9ty9MGeHsQw4z3dw3Eg2&#10;ezOaPTZ2yMBiF0CqNLevdR06gGucZnN4cuI7ccon1OvDOP8DAAD//wMAUEsDBBQABgAIAAAAIQC1&#10;03Ec2gAAAAMBAAAPAAAAZHJzL2Rvd25yZXYueG1sTI9Ba8MwDIXvg/0Ho0Fvrd0WSpfFKWNQ2GE0&#10;rFvZ1Y21JDSWg+026b+ftkt30UM88d6nfDO6TlwwxNaThvlMgUCqvG2p1vD5sZ2uQcRkyJrOE2q4&#10;YoRNcX+Xm8z6gd7xsk+14BCKmdHQpNRnUsaqQWfizPdI7H374EziNdTSBjNwuOvkQqmVdKYlbmhM&#10;jy8NVqf92WkoT0P5ui7Lx6+wXe3egjvMw+6g9eRhfH4CkXBMt2P4xWd0KJjp6M9ko+g08CPpb7K3&#10;XC5AHFmVAlnk8j978QMAAP//AwBQSwECLQAUAAYACAAAACEAtoM4kv4AAADhAQAAEwAAAAAAAAAA&#10;AAAAAAAAAAAAW0NvbnRlbnRfVHlwZXNdLnhtbFBLAQItABQABgAIAAAAIQA4/SH/1gAAAJQBAAAL&#10;AAAAAAAAAAAAAAAAAC8BAABfcmVscy8ucmVsc1BLAQItABQABgAIAAAAIQD0FZs6fQIAAGAFAAAO&#10;AAAAAAAAAAAAAAAAAC4CAABkcnMvZTJvRG9jLnhtbFBLAQItABQABgAIAAAAIQC103Ec2gAAAAMB&#10;AAAPAAAAAAAAAAAAAAAAANcEAABkcnMvZG93bnJldi54bWxQSwUGAAAAAAQABADzAAAA3gUAAAAA&#10;" fillcolor="#c00" strokecolor="#ed7d31 [3205]" strokeweight=".5pt">
                      <v:textbox>
                        <w:txbxContent>
                          <w:p w14:paraId="1A381059" w14:textId="77777777" w:rsidR="008D2C68" w:rsidRDefault="008D2C68" w:rsidP="00F97B16">
                            <w:pPr>
                              <w:jc w:val="center"/>
                            </w:pPr>
                          </w:p>
                          <w:p w14:paraId="73D7F142" w14:textId="77777777" w:rsidR="008D2C68" w:rsidRDefault="008D2C68" w:rsidP="00F97B16">
                            <w:pPr>
                              <w:jc w:val="center"/>
                            </w:pPr>
                          </w:p>
                        </w:txbxContent>
                      </v:textbox>
                      <w10:anchorlock/>
                    </v:shape>
                  </w:pict>
                </mc:Fallback>
              </mc:AlternateContent>
            </w:r>
          </w:p>
        </w:tc>
        <w:tc>
          <w:tcPr>
            <w:tcW w:w="900" w:type="dxa"/>
            <w:vAlign w:val="center"/>
          </w:tcPr>
          <w:p w14:paraId="6668E014" w14:textId="77777777" w:rsidR="004E22A4" w:rsidRPr="002B0537" w:rsidRDefault="004E22A4" w:rsidP="004E22A4">
            <w:pPr>
              <w:jc w:val="center"/>
              <w:rPr>
                <w:rFonts w:eastAsia="Arial" w:cs="Segoe UI"/>
                <w:noProof/>
                <w:sz w:val="20"/>
                <w:szCs w:val="20"/>
              </w:rPr>
            </w:pPr>
            <w:r w:rsidRPr="002B0537">
              <w:rPr>
                <w:noProof/>
              </w:rPr>
              <mc:AlternateContent>
                <mc:Choice Requires="wps">
                  <w:drawing>
                    <wp:inline distT="0" distB="0" distL="0" distR="0" wp14:anchorId="38A8159A" wp14:editId="23517F93">
                      <wp:extent cx="210553" cy="190500"/>
                      <wp:effectExtent l="0" t="0" r="18415" b="19050"/>
                      <wp:docPr id="286" name="Octagon 286"/>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3E4F6364" w14:textId="77777777" w:rsidR="008D2C68" w:rsidRDefault="008D2C68" w:rsidP="00F97B16">
                                  <w:pPr>
                                    <w:jc w:val="center"/>
                                  </w:pPr>
                                </w:p>
                                <w:p w14:paraId="06A4DB42"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8A8159A" id="Octagon 286" o:spid="_x0000_s1040"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GBpfgIAAGEFAAAOAAAAZHJzL2Uyb0RvYy54bWysVN1r2zAQfx/sfxB6X/3RpGtDnBJSOgal&#10;LWtHnxVZSgSyTpOU2Nlfv5PsuKErFMb8IN/pfvd9p/l112iyF84rMBUtznJKhOFQK7Op6M/n2y+X&#10;lPjATM00GFHRg/D0evH507y1M1HCFnQtHEEjxs9aW9FtCHaWZZ5vRcP8GVhhUCjBNSwg6zZZ7ViL&#10;1hudlXl+kbXgauuAC+/x9qYX0kWyL6Xg4UFKLwLRFcXYQjpdOtfxzBZzNts4ZreKD2Gwf4iiYcqg&#10;09HUDQuM7Jz6y1SjuAMPMpxxaDKQUnGRcsBsivxNNk9bZkXKBYvj7Vgm///M8vv9oyOqrmh5eUGJ&#10;YQ026YEHtgFD4hUWqLV+hrgn++gGziMZs+2ka+If8yBdKuphLKroAuF4WRb5dHpOCUdRcZVP81T0&#10;7FXZOh++CWhIJCoKvfNUTba/8wF9IvqIiu48aFXfKq0T4zbrlXZkz7DFq1WOXwwaVU5gWcyhjzpR&#10;4aBFVNbmh5CYPsZZJI9p8MRoj3EuTCgHgwkd1ST6HhXPP1Yc8FFVpKEclcuPlUeN5BlMGJUbZcC9&#10;Z0CHYghZ9nisx0nekQzdukt9L1K54tUa6gMOg4N+S7zltwpbcsd8eGQO1wIXCFc9POAhNbTYq4Gi&#10;ZAvu93v3EY/TilJKWlyzivpfO+YEJfq7wTm+KiaTuJeJmUy/lsi4U8n6VGJ2zQqwzQU+KpYnMuKD&#10;PpLSQfOCL8IyekURMxx9V5QHd2RWoV9/fFO4WC4TDHfRsnBnniw/DkKct+fuhTk7zGXAgb6H40qy&#10;2ZvZ7LGxRQaWuwBSpcF9revQAtzjNJzDmxMfilM+oV5fxsUfAAAA//8DAFBLAwQUAAYACAAAACEA&#10;tdNxHNoAAAADAQAADwAAAGRycy9kb3ducmV2LnhtbEyPQWvDMAyF74P9B6NBb63dFkqXxSljUNhh&#10;NKxb2dWNtSQ0loPtNum/n7ZLd9FDPPHep3wzuk5cMMTWk4b5TIFAqrxtqdbw+bGdrkHEZMiazhNq&#10;uGKETXF/l5vM+oHe8bJPteAQipnR0KTUZ1LGqkFn4sz3SOx9++BM4jXU0gYzcLjr5EKplXSmJW5o&#10;TI8vDVan/dlpKE9D+bouy8evsF3t3oI7zMPuoPXkYXx+ApFwTLdj+MVndCiY6ejPZKPoNPAj6W+y&#10;t1wuQBxZlQJZ5PI/e/EDAAD//wMAUEsBAi0AFAAGAAgAAAAhALaDOJL+AAAA4QEAABMAAAAAAAAA&#10;AAAAAAAAAAAAAFtDb250ZW50X1R5cGVzXS54bWxQSwECLQAUAAYACAAAACEAOP0h/9YAAACUAQAA&#10;CwAAAAAAAAAAAAAAAAAvAQAAX3JlbHMvLnJlbHNQSwECLQAUAAYACAAAACEARwBgaX4CAABhBQAA&#10;DgAAAAAAAAAAAAAAAAAuAgAAZHJzL2Uyb0RvYy54bWxQSwECLQAUAAYACAAAACEAtdNxHNoAAAAD&#10;AQAADwAAAAAAAAAAAAAAAADYBAAAZHJzL2Rvd25yZXYueG1sUEsFBgAAAAAEAAQA8wAAAN8FAAAA&#10;AA==&#10;" fillcolor="#c00" strokecolor="#ed7d31 [3205]" strokeweight=".5pt">
                      <v:textbox>
                        <w:txbxContent>
                          <w:p w14:paraId="3E4F6364" w14:textId="77777777" w:rsidR="008D2C68" w:rsidRDefault="008D2C68" w:rsidP="00F97B16">
                            <w:pPr>
                              <w:jc w:val="center"/>
                            </w:pPr>
                          </w:p>
                          <w:p w14:paraId="06A4DB42" w14:textId="77777777" w:rsidR="008D2C68" w:rsidRDefault="008D2C68" w:rsidP="00F97B16">
                            <w:pPr>
                              <w:jc w:val="center"/>
                            </w:pPr>
                          </w:p>
                        </w:txbxContent>
                      </v:textbox>
                      <w10:anchorlock/>
                    </v:shape>
                  </w:pict>
                </mc:Fallback>
              </mc:AlternateContent>
            </w:r>
          </w:p>
        </w:tc>
        <w:tc>
          <w:tcPr>
            <w:tcW w:w="6784" w:type="dxa"/>
          </w:tcPr>
          <w:p w14:paraId="606956A0" w14:textId="4546D9D3" w:rsidR="004E22A4" w:rsidRPr="00E85E5F" w:rsidRDefault="004E22A4" w:rsidP="004E22A4">
            <w:pPr>
              <w:ind w:left="432"/>
            </w:pPr>
            <w:r w:rsidRPr="00E85E5F">
              <w:t xml:space="preserve">Identity </w:t>
            </w:r>
            <w:r>
              <w:t>s</w:t>
            </w:r>
            <w:r w:rsidRPr="00E85E5F">
              <w:t xml:space="preserve">ystem </w:t>
            </w:r>
            <w:r>
              <w:t>a</w:t>
            </w:r>
            <w:r w:rsidRPr="00E85E5F">
              <w:t xml:space="preserve">dministrative </w:t>
            </w:r>
            <w:r>
              <w:t>w</w:t>
            </w:r>
            <w:r w:rsidRPr="00E85E5F">
              <w:t>orkstations</w:t>
            </w:r>
          </w:p>
        </w:tc>
      </w:tr>
      <w:tr w:rsidR="004E22A4" w:rsidRPr="009B5CD0" w14:paraId="317648BD" w14:textId="77777777" w:rsidTr="00915020">
        <w:tc>
          <w:tcPr>
            <w:tcW w:w="895" w:type="dxa"/>
            <w:shd w:val="clear" w:color="auto" w:fill="BFBFBF" w:themeFill="background1" w:themeFillShade="BF"/>
            <w:vAlign w:val="center"/>
          </w:tcPr>
          <w:p w14:paraId="121F4AFF" w14:textId="77777777" w:rsidR="004E22A4" w:rsidRPr="009B5CD0" w:rsidRDefault="004E22A4" w:rsidP="004E22A4">
            <w:pPr>
              <w:jc w:val="center"/>
              <w:rPr>
                <w:b/>
                <w:color w:val="FFFFFF" w:themeColor="background1"/>
              </w:rPr>
            </w:pPr>
          </w:p>
        </w:tc>
        <w:tc>
          <w:tcPr>
            <w:tcW w:w="1316" w:type="dxa"/>
            <w:shd w:val="clear" w:color="auto" w:fill="BFBFBF" w:themeFill="background1" w:themeFillShade="BF"/>
            <w:vAlign w:val="center"/>
          </w:tcPr>
          <w:p w14:paraId="558CE104" w14:textId="77777777" w:rsidR="004E22A4" w:rsidRPr="009B5CD0" w:rsidRDefault="004E22A4" w:rsidP="004E22A4">
            <w:pPr>
              <w:jc w:val="center"/>
              <w:rPr>
                <w:b/>
                <w:color w:val="FFFFFF" w:themeColor="background1"/>
              </w:rPr>
            </w:pPr>
          </w:p>
        </w:tc>
        <w:tc>
          <w:tcPr>
            <w:tcW w:w="900" w:type="dxa"/>
            <w:shd w:val="clear" w:color="auto" w:fill="BFBFBF" w:themeFill="background1" w:themeFillShade="BF"/>
            <w:vAlign w:val="center"/>
          </w:tcPr>
          <w:p w14:paraId="18A14221" w14:textId="77777777" w:rsidR="004E22A4" w:rsidRPr="009B5CD0" w:rsidRDefault="004E22A4" w:rsidP="004E22A4">
            <w:pPr>
              <w:jc w:val="center"/>
              <w:rPr>
                <w:b/>
                <w:color w:val="FFFFFF" w:themeColor="background1"/>
              </w:rPr>
            </w:pPr>
          </w:p>
        </w:tc>
        <w:tc>
          <w:tcPr>
            <w:tcW w:w="6784" w:type="dxa"/>
            <w:shd w:val="clear" w:color="auto" w:fill="BFBFBF" w:themeFill="background1" w:themeFillShade="BF"/>
          </w:tcPr>
          <w:p w14:paraId="7D72A023" w14:textId="2EAD43C8" w:rsidR="004E22A4" w:rsidRPr="009B5CD0" w:rsidRDefault="004E22A4" w:rsidP="004E22A4">
            <w:pPr>
              <w:rPr>
                <w:b/>
                <w:color w:val="FFFFFF" w:themeColor="background1"/>
              </w:rPr>
            </w:pPr>
            <w:r w:rsidRPr="009B5CD0">
              <w:rPr>
                <w:b/>
                <w:color w:val="FFFFFF" w:themeColor="background1"/>
              </w:rPr>
              <w:t>Infrastructure Management and Security</w:t>
            </w:r>
            <w:r>
              <w:rPr>
                <w:b/>
                <w:color w:val="FFFFFF" w:themeColor="background1"/>
              </w:rPr>
              <w:t xml:space="preserve"> Hosts</w:t>
            </w:r>
          </w:p>
        </w:tc>
      </w:tr>
      <w:tr w:rsidR="004E22A4" w14:paraId="14C6C380" w14:textId="77777777" w:rsidTr="00915020">
        <w:tc>
          <w:tcPr>
            <w:tcW w:w="895" w:type="dxa"/>
            <w:vAlign w:val="center"/>
          </w:tcPr>
          <w:p w14:paraId="21D15567" w14:textId="77777777" w:rsidR="004E22A4" w:rsidRDefault="004E22A4" w:rsidP="004E22A4">
            <w:pPr>
              <w:jc w:val="center"/>
              <w:rPr>
                <w:color w:val="212121"/>
              </w:rPr>
            </w:pPr>
            <w:r w:rsidRPr="00840988">
              <w:rPr>
                <w:noProof/>
              </w:rPr>
              <mc:AlternateContent>
                <mc:Choice Requires="wps">
                  <w:drawing>
                    <wp:inline distT="0" distB="0" distL="0" distR="0" wp14:anchorId="089800F3" wp14:editId="4A6915E3">
                      <wp:extent cx="210553" cy="190500"/>
                      <wp:effectExtent l="0" t="0" r="18415" b="19050"/>
                      <wp:docPr id="41051" name="Octagon 41051"/>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7D7C23FA" w14:textId="77777777" w:rsidR="008D2C68" w:rsidRDefault="008D2C68" w:rsidP="00F97B16">
                                  <w:pPr>
                                    <w:jc w:val="center"/>
                                  </w:pPr>
                                </w:p>
                                <w:p w14:paraId="1E7D2615"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89800F3" id="Octagon 41051" o:spid="_x0000_s1041"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aDbfgIAAGUFAAAOAAAAZHJzL2Uyb0RvYy54bWysVF9r2zAQfx/sOwi9r7bTZFtDnRJSOgal&#10;LWtHnxVZSgSSTpOU2Nmn30l23NAVCmN+kO90v/t/p8urzmiyFz4osDWtzkpKhOXQKLup6c+nm09f&#10;KQmR2YZpsKKmBxHo1eLjh8vWzcUEtqAb4QkasWHeuppuY3Tzogh8KwwLZ+CERaEEb1hE1m+KxrMW&#10;rRtdTMryc9GCb5wHLkLA2+teSBfZvpSCx3spg4hE1xRji/n0+Vyns1hcsvnGM7dVfAiD/UMUhimL&#10;TkdT1ywysvPqL1NGcQ8BZDzjYAqQUnGRc8BsqvJVNo9b5kTOBYsT3Fim8P/M8rv9gyeqqem0KmcV&#10;JZYZbNM9j2wDlvSXWKTWhTliH92DH7iAZMq4k96kP+ZCulzYw1hY0UXC8XKCtmfnlHAUVRflrMyF&#10;L16UnQ/xmwBDElFT6N3nirL9bYjoE9FHVHIXQKvmRmmdGb9Zr7Qne4ZtXq1K/FJnUeUEVqQc+qgz&#10;FQ9aJGVtfwiJJcA4q+wxD58Y7THOhY2TwWBGJzWJvkfF8/cVB3xSFXkwR+XJ+8qjRvYMNo7KRlnw&#10;bxnQsRpClj0e63GSdyJjt+5y76sMTVdraA44EB76TQmO3yhsyS0L8YF5XA1cIlz3eI+H1NBirwaK&#10;ki3432/dJzxOLEopaXHVahp+7ZgXlOjvFmf5oppO025mZjr7MkHGn0rWpxK7MyvANuOsYnSZTPio&#10;j6T0YJ7xVVgmryhilqPvmvLoj8wq9k8AvitcLJcZhvvoWLy1j44fByHN21P3zLwb5jLiQN/BcS3Z&#10;/NVs9tjUIgvLXQSp8uC+1HVoAe5yHs7h3UmPxSmfUS+v4+IPAAAA//8DAFBLAwQUAAYACAAAACEA&#10;tdNxHNoAAAADAQAADwAAAGRycy9kb3ducmV2LnhtbEyPQWvDMAyF74P9B6NBb63dFkqXxSljUNhh&#10;NKxb2dWNtSQ0loPtNum/n7ZLd9FDPPHep3wzuk5cMMTWk4b5TIFAqrxtqdbw+bGdrkHEZMiazhNq&#10;uGKETXF/l5vM+oHe8bJPteAQipnR0KTUZ1LGqkFn4sz3SOx9++BM4jXU0gYzcLjr5EKplXSmJW5o&#10;TI8vDVan/dlpKE9D+bouy8evsF3t3oI7zMPuoPXkYXx+ApFwTLdj+MVndCiY6ejPZKPoNPAj6W+y&#10;t1wuQBxZlQJZ5PI/e/EDAAD//wMAUEsBAi0AFAAGAAgAAAAhALaDOJL+AAAA4QEAABMAAAAAAAAA&#10;AAAAAAAAAAAAAFtDb250ZW50X1R5cGVzXS54bWxQSwECLQAUAAYACAAAACEAOP0h/9YAAACUAQAA&#10;CwAAAAAAAAAAAAAAAAAvAQAAX3JlbHMvLnJlbHNQSwECLQAUAAYACAAAACEAh62g234CAABlBQAA&#10;DgAAAAAAAAAAAAAAAAAuAgAAZHJzL2Uyb0RvYy54bWxQSwECLQAUAAYACAAAACEAtdNxHNoAAAAD&#10;AQAADwAAAAAAAAAAAAAAAADYBAAAZHJzL2Rvd25yZXYueG1sUEsFBgAAAAAEAAQA8wAAAN8FAAAA&#10;AA==&#10;" fillcolor="#c00" strokecolor="#ed7d31 [3205]" strokeweight=".5pt">
                      <v:textbox>
                        <w:txbxContent>
                          <w:p w14:paraId="7D7C23FA" w14:textId="77777777" w:rsidR="008D2C68" w:rsidRDefault="008D2C68" w:rsidP="00F97B16">
                            <w:pPr>
                              <w:jc w:val="center"/>
                            </w:pPr>
                          </w:p>
                          <w:p w14:paraId="1E7D2615" w14:textId="77777777" w:rsidR="008D2C68" w:rsidRDefault="008D2C68" w:rsidP="00F97B16">
                            <w:pPr>
                              <w:jc w:val="center"/>
                            </w:pPr>
                          </w:p>
                        </w:txbxContent>
                      </v:textbox>
                      <w10:anchorlock/>
                    </v:shape>
                  </w:pict>
                </mc:Fallback>
              </mc:AlternateContent>
            </w:r>
          </w:p>
        </w:tc>
        <w:tc>
          <w:tcPr>
            <w:tcW w:w="1316" w:type="dxa"/>
            <w:vAlign w:val="center"/>
          </w:tcPr>
          <w:p w14:paraId="76C6029E" w14:textId="77777777" w:rsidR="004E22A4" w:rsidRDefault="004E22A4" w:rsidP="004E22A4">
            <w:pPr>
              <w:jc w:val="center"/>
              <w:rPr>
                <w:color w:val="212121"/>
              </w:rPr>
            </w:pPr>
            <w:r w:rsidRPr="0031181E">
              <w:rPr>
                <w:rFonts w:eastAsia="Arial" w:cs="Segoe UI"/>
                <w:noProof/>
                <w:sz w:val="20"/>
                <w:szCs w:val="20"/>
              </w:rPr>
              <mc:AlternateContent>
                <mc:Choice Requires="wps">
                  <w:drawing>
                    <wp:inline distT="0" distB="0" distL="0" distR="0" wp14:anchorId="3C79745D" wp14:editId="1A71F7E4">
                      <wp:extent cx="209550" cy="180975"/>
                      <wp:effectExtent l="19050" t="19050" r="38100" b="28575"/>
                      <wp:docPr id="41052" name="Isosceles Triangle 410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57A4A30" id="Isosceles Triangle 41052"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LyyiAIAAHcFAAAOAAAAZHJzL2Uyb0RvYy54bWysVNtqGzEQfS/0H4Tem9117VyWrINxcAmY&#10;JCQpeZa1ki2q1aiSfOvXd6S9JE0DgdIXIWnO3M/M5dWh0WQnnFdgKlqc5JQIw6FWZl3R70+LL+eU&#10;+MBMzTQYUdGj8PRq+vnT5d6WYgQb0LVwBI0YX+5tRTch2DLLPN+IhvkTsMKgUIJrWMCnW2e1Y3u0&#10;3uhslOen2R5cbR1w4T3+XrdCOk32pRQ83EnpRSC6ohhbSKdL5yqe2fSSlWvH7EbxLgz2D1E0TBl0&#10;Opi6ZoGRrVN/mWoUd+BBhhMOTQZSKi5SDphNkb/J5nHDrEi5YHG8Hcrk/59Zfru7d0TVFR0X+WRE&#10;iWENtunGg+dCC0+enGJmrQVp5VivvfUlqj3aexcz9nYJ/IdHQfaHJD58hzlI10Qs5ksOqfjHofji&#10;EAjHz1F+MZlgiziKivP84mwSm5Oxsle2zodvAhoSLxUNXWCp7Gy39KGF97AUG2hVL5TW6eHWq7l2&#10;ZMeQC4vFPM9T+9GDf4GlHNqwUwLhqEVU1uZBSKwTBlokj4mhYrDHOBcmnHYhJ3RUk+h7UPz6sWKH&#10;j6oisXdQHn2sPGgkz2DCoNwoA+49AzoUXciyxXdd9G3esQQrqI9IEQft7HjLFwobsGQ+3DOHw4I9&#10;wwUQ7vCQGvYVhe5GyQbcr/f+Ix45jFJK9jh8FfU/t8wJSvSNQXZfFONxnNb0GE/ORvhwryWr1xKz&#10;beaAPS1w1VierhEfdH+VDppn3BOz6BVFzHD0XVEeXP+Yh3Yp4KbhYjZLMJxQy8LSPFredz2S6+nw&#10;zJztWYj0vYV+UFn5hogtNvbDwGwbQKrE0pe6dvXG6U5c7zZRXB+v3wn1si+nvwEAAP//AwBQSwME&#10;FAAGAAgAAAAhAEpKkOrdAAAAAwEAAA8AAABkcnMvZG93bnJldi54bWxMj0FLw0AQhe+C/2EZwYvY&#10;jW2VNGZTVLBQD4KtaHvbZqdJcHc2ZLdN/PeOXurlweMN732TzwdnxRG70HhScDNKQCCV3jRUKXhf&#10;P1+nIELUZLT1hAq+McC8OD/LdWZ8T294XMVKcAmFTCuoY2wzKUNZo9Nh5Fskzva+czqy7SppOt1z&#10;ubNynCR30umGeKHWLT7VWH6tDk7Bsl9/Pl697jfT2dJu25d+MU1nH0pdXgwP9yAiDvF0DL/4jA4F&#10;M+38gUwQVgE/Ev+Us8mE3U7BOL0FWeTyP3vxAwAA//8DAFBLAQItABQABgAIAAAAIQC2gziS/gAA&#10;AOEBAAATAAAAAAAAAAAAAAAAAAAAAABbQ29udGVudF9UeXBlc10ueG1sUEsBAi0AFAAGAAgAAAAh&#10;ADj9If/WAAAAlAEAAAsAAAAAAAAAAAAAAAAALwEAAF9yZWxzLy5yZWxzUEsBAi0AFAAGAAgAAAAh&#10;AKGQvLKIAgAAdwUAAA4AAAAAAAAAAAAAAAAALgIAAGRycy9lMm9Eb2MueG1sUEsBAi0AFAAGAAgA&#10;AAAhAEpKkOrdAAAAAwEAAA8AAAAAAAAAAAAAAAAA4gQAAGRycy9kb3ducmV2LnhtbFBLBQYAAAAA&#10;BAAEAPMAAADsBQAAAAA=&#10;" fillcolor="#ffc000" strokecolor="#70ad47 [3209]" strokeweight=".5pt">
                      <v:path arrowok="t"/>
                      <w10:anchorlock/>
                    </v:shape>
                  </w:pict>
                </mc:Fallback>
              </mc:AlternateContent>
            </w:r>
          </w:p>
        </w:tc>
        <w:tc>
          <w:tcPr>
            <w:tcW w:w="900" w:type="dxa"/>
            <w:vAlign w:val="center"/>
          </w:tcPr>
          <w:p w14:paraId="255F5C10" w14:textId="77777777" w:rsidR="004E22A4" w:rsidRDefault="004E22A4" w:rsidP="004E22A4">
            <w:pPr>
              <w:jc w:val="center"/>
              <w:rPr>
                <w:color w:val="212121"/>
              </w:rPr>
            </w:pPr>
            <w:r w:rsidRPr="0031181E">
              <w:rPr>
                <w:rFonts w:eastAsia="Arial" w:cs="Segoe UI"/>
                <w:noProof/>
                <w:sz w:val="20"/>
                <w:szCs w:val="20"/>
              </w:rPr>
              <mc:AlternateContent>
                <mc:Choice Requires="wps">
                  <w:drawing>
                    <wp:inline distT="0" distB="0" distL="0" distR="0" wp14:anchorId="213FB315" wp14:editId="23C5EA86">
                      <wp:extent cx="209550" cy="180975"/>
                      <wp:effectExtent l="19050" t="19050" r="38100" b="28575"/>
                      <wp:docPr id="225" name="Isosceles Triangle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813286E" id="Isosceles Triangle 225"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ZsGiQIAAHMFAAAOAAAAZHJzL2Uyb0RvYy54bWysVNtqGzEQfS/0H4Tem11v41yWrINxcAmY&#10;NDQpeZa1ki2q1aiS7LX79R1pL0nTQKD0RUiaM/czc3V9aDTZC+cVmIpOTnJKhOFQK7Op6PfH5acL&#10;SnxgpmYajKjoUXh6Pfv44aq1pShgC7oWjqAR48vWVnQbgi2zzPOtaJg/ASsMCiW4hgV8uk1WO9ai&#10;9UZnRZ6fZS242jrgwnv8vemEdJbsSyl4+CqlF4HoimJsIZ0unet4ZrMrVm4cs1vF+zDYP0TRMGXQ&#10;6WjqhgVGdk79ZapR3IEHGU44NBlIqbhIOWA2k/xVNg9bZkXKBYvj7Vgm///M8rv9vSOqrmhRTCkx&#10;rMEm3XrwXGjhyaNTzGy0IFGKtWqtL1Hlwd67mK23K+A/PAqyPyTx4XvMQbomYjFXckiFP46FF4dA&#10;OH4W+eV0iu3hKJpc5JfnyVnGykHZOh++CGhIvFQ09GGlkrP9yocYAisHWIoNtKqXSuv0cJv1Qjuy&#10;Z8iD5XKR56n1qOKfYSmHLuyUQDhqEZW1+SYk1ggDnSSPiZ1itMc4FyacxfqgwYSOahJ9j4qf31fs&#10;8VFVJOaOysX7yqNG8gwmjMqNMuDeMqDDpA9Zdvi+i77LO5ZgDfUR6eGgmxtv+VJhA1bMh3vmcFCw&#10;Zzj84SseUkNbUehvlGzB/XrrP+KRvyilpMXBq6j/uWNOUKJvDTL7cnJ6Gic1PU6n5wU+3EvJ+qXE&#10;7JoFYE8nuGYsT9eID3q4SgfNE+6IefSKImY4+q4oD254LEK3EHDLcDGfJxhOp2VhZR4sH7oeyfV4&#10;eGLODixE+t7BMKSsfEXEDhv7YWC+CyBVYulzXft642Qn4vRbKK6Ol++Eet6Vs98AAAD//wMAUEsD&#10;BBQABgAIAAAAIQBKSpDq3QAAAAMBAAAPAAAAZHJzL2Rvd25yZXYueG1sTI9BS8NAEIXvgv9hGcGL&#10;2I1tlTRmU1SwUA+CrWh722anSXB3NmS3Tfz3jl7q5cHjDe99k88HZ8URu9B4UnAzSkAgld40VCl4&#10;Xz9fpyBC1GS09YQKvjHAvDg/y3VmfE9veFzFSnAJhUwrqGNsMylDWaPTYeRbJM72vnM6su0qaTrd&#10;c7mzcpwkd9Lphnih1i0+1Vh+rQ5OwbJffz5eve4309nSbtuXfjFNZx9KXV4MD/cgIg7xdAy/+IwO&#10;BTPt/IFMEFYBPxL/lLPJhN1OwTi9BVnk8j978QMAAP//AwBQSwECLQAUAAYACAAAACEAtoM4kv4A&#10;AADhAQAAEwAAAAAAAAAAAAAAAAAAAAAAW0NvbnRlbnRfVHlwZXNdLnhtbFBLAQItABQABgAIAAAA&#10;IQA4/SH/1gAAAJQBAAALAAAAAAAAAAAAAAAAAC8BAABfcmVscy8ucmVsc1BLAQItABQABgAIAAAA&#10;IQDEiZsGiQIAAHMFAAAOAAAAAAAAAAAAAAAAAC4CAABkcnMvZTJvRG9jLnhtbFBLAQItABQABgAI&#10;AAAAIQBKSpDq3QAAAAMBAAAPAAAAAAAAAAAAAAAAAOMEAABkcnMvZG93bnJldi54bWxQSwUGAAAA&#10;AAQABADzAAAA7QUAAAAA&#10;" fillcolor="#ffc000" strokecolor="#70ad47 [3209]" strokeweight=".5pt">
                      <v:path arrowok="t"/>
                      <w10:anchorlock/>
                    </v:shape>
                  </w:pict>
                </mc:Fallback>
              </mc:AlternateContent>
            </w:r>
          </w:p>
        </w:tc>
        <w:tc>
          <w:tcPr>
            <w:tcW w:w="6784" w:type="dxa"/>
          </w:tcPr>
          <w:p w14:paraId="565BA49B" w14:textId="61272CA5" w:rsidR="004E22A4" w:rsidRDefault="004E22A4" w:rsidP="004E22A4">
            <w:pPr>
              <w:ind w:left="432"/>
              <w:rPr>
                <w:color w:val="212121"/>
              </w:rPr>
            </w:pPr>
            <w:r w:rsidRPr="00D44E8C">
              <w:t xml:space="preserve">Configuration </w:t>
            </w:r>
            <w:r>
              <w:t>m</w:t>
            </w:r>
            <w:r w:rsidRPr="00D44E8C">
              <w:t>anagement</w:t>
            </w:r>
          </w:p>
        </w:tc>
      </w:tr>
      <w:tr w:rsidR="004E22A4" w14:paraId="2662ED09" w14:textId="77777777" w:rsidTr="00915020">
        <w:tc>
          <w:tcPr>
            <w:tcW w:w="895" w:type="dxa"/>
            <w:vAlign w:val="center"/>
          </w:tcPr>
          <w:p w14:paraId="2846BC46" w14:textId="77777777" w:rsidR="004E22A4" w:rsidRDefault="004E22A4" w:rsidP="004E22A4">
            <w:pPr>
              <w:jc w:val="center"/>
              <w:rPr>
                <w:color w:val="212121"/>
              </w:rPr>
            </w:pPr>
            <w:r w:rsidRPr="00840988">
              <w:rPr>
                <w:noProof/>
              </w:rPr>
              <mc:AlternateContent>
                <mc:Choice Requires="wps">
                  <w:drawing>
                    <wp:inline distT="0" distB="0" distL="0" distR="0" wp14:anchorId="7AC2CB80" wp14:editId="1E05EFE1">
                      <wp:extent cx="210553" cy="190500"/>
                      <wp:effectExtent l="0" t="0" r="18415" b="19050"/>
                      <wp:docPr id="227" name="Octagon 227"/>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422ABBA3" w14:textId="77777777" w:rsidR="008D2C68" w:rsidRDefault="008D2C68" w:rsidP="00F97B16">
                                  <w:pPr>
                                    <w:jc w:val="center"/>
                                  </w:pPr>
                                </w:p>
                                <w:p w14:paraId="7C6D250B"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AC2CB80" id="Octagon 227" o:spid="_x0000_s1042"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rFfQIAAGEFAAAOAAAAZHJzL2Uyb0RvYy54bWysVN1r2zAQfx/sfxB6X/3RZF1DnBJSOgal&#10;LW1HnxVZSgySTpOU2Nlfv5PsuKErFMb8IN/pfvd9p/lVpxXZC+cbMBUtznJKhOFQN2ZT0Z/PN1++&#10;UeIDMzVTYERFD8LTq8XnT/PWzkQJW1C1cASNGD9rbUW3IdhZlnm+FZr5M7DCoFCC0ywg6zZZ7ViL&#10;1rXKyjz/mrXgauuAC+/x9roX0kWyL6Xg4V5KLwJRFcXYQjpdOtfxzBZzNts4ZrcNH8Jg/xCFZo1B&#10;p6OpaxYY2bnmL1O64Q48yHDGQWcgZcNFygGzKfI32TxtmRUpFyyOt2OZ/P8zy+/2D440dUXL8oIS&#10;wzQ26Z4HtgFD4hUWqLV+hrgn++AGziMZs+2k0/GPeZAuFfUwFlV0gXC8LIt8Oj2nhKOouMyneSp6&#10;9qpsnQ/fBWgSiYpC7zxVk+1vfUCfiD6iojsPqqlvGqUS4zbrlXJkz7DFq1WOXwwaVU5gWcyhjzpR&#10;4aBEVFbmUUhMH+Msksc0eGK0xzgXJpSDwYSOahJ9j4rnHysO+Kgq0lCOyuXHyqNG8gwmjMq6MeDe&#10;M6BCMYQsezzW4yTvSIZu3aW+Fym7eLWG+oDD4KDfEm/5TYMtuWU+PDCHa4ELhKse7vGQClrs1UBR&#10;sgX3+737iMdpRSklLa5ZRf2vHXOCEvXD4BxfFpNJ3MvETKYXJTLuVLI+lZidXgG2ucBHxfJERnxQ&#10;R1I60C/4IiyjVxQxw9F3RXlwR2YV+vXHN4WL5TLBcBctC7fmyfLjIMR5e+5emLPDXAYc6Ds4riSb&#10;vZnNHhtbZGC5CyCbNLivdR1agHuchnN4c+JDccon1OvLuPgDAAD//wMAUEsDBBQABgAIAAAAIQC1&#10;03Ec2gAAAAMBAAAPAAAAZHJzL2Rvd25yZXYueG1sTI9Ba8MwDIXvg/0Ho0Fvrd0WSpfFKWNQ2GE0&#10;rFvZ1Y21JDSWg+026b+ftkt30UM88d6nfDO6TlwwxNaThvlMgUCqvG2p1vD5sZ2uQcRkyJrOE2q4&#10;YoRNcX+Xm8z6gd7xsk+14BCKmdHQpNRnUsaqQWfizPdI7H374EziNdTSBjNwuOvkQqmVdKYlbmhM&#10;jy8NVqf92WkoT0P5ui7Lx6+wXe3egjvMw+6g9eRhfH4CkXBMt2P4xWd0KJjp6M9ko+g08CPpb7K3&#10;XC5AHFmVAlnk8j978QMAAP//AwBQSwECLQAUAAYACAAAACEAtoM4kv4AAADhAQAAEwAAAAAAAAAA&#10;AAAAAAAAAAAAW0NvbnRlbnRfVHlwZXNdLnhtbFBLAQItABQABgAIAAAAIQA4/SH/1gAAAJQBAAAL&#10;AAAAAAAAAAAAAAAAAC8BAABfcmVscy8ucmVsc1BLAQItABQABgAIAAAAIQBrb+rFfQIAAGEFAAAO&#10;AAAAAAAAAAAAAAAAAC4CAABkcnMvZTJvRG9jLnhtbFBLAQItABQABgAIAAAAIQC103Ec2gAAAAMB&#10;AAAPAAAAAAAAAAAAAAAAANcEAABkcnMvZG93bnJldi54bWxQSwUGAAAAAAQABADzAAAA3gUAAAAA&#10;" fillcolor="#c00" strokecolor="#ed7d31 [3205]" strokeweight=".5pt">
                      <v:textbox>
                        <w:txbxContent>
                          <w:p w14:paraId="422ABBA3" w14:textId="77777777" w:rsidR="008D2C68" w:rsidRDefault="008D2C68" w:rsidP="00F97B16">
                            <w:pPr>
                              <w:jc w:val="center"/>
                            </w:pPr>
                          </w:p>
                          <w:p w14:paraId="7C6D250B" w14:textId="77777777" w:rsidR="008D2C68" w:rsidRDefault="008D2C68" w:rsidP="00F97B16">
                            <w:pPr>
                              <w:jc w:val="center"/>
                            </w:pPr>
                          </w:p>
                        </w:txbxContent>
                      </v:textbox>
                      <w10:anchorlock/>
                    </v:shape>
                  </w:pict>
                </mc:Fallback>
              </mc:AlternateContent>
            </w:r>
          </w:p>
        </w:tc>
        <w:tc>
          <w:tcPr>
            <w:tcW w:w="1316" w:type="dxa"/>
            <w:vAlign w:val="center"/>
          </w:tcPr>
          <w:p w14:paraId="3CB19ACD" w14:textId="77777777" w:rsidR="004E22A4" w:rsidRDefault="004E22A4" w:rsidP="004E22A4">
            <w:pPr>
              <w:jc w:val="center"/>
              <w:rPr>
                <w:color w:val="212121"/>
              </w:rPr>
            </w:pPr>
            <w:r w:rsidRPr="0031181E">
              <w:rPr>
                <w:rFonts w:eastAsia="Arial" w:cs="Segoe UI"/>
                <w:noProof/>
                <w:sz w:val="20"/>
                <w:szCs w:val="20"/>
              </w:rPr>
              <mc:AlternateContent>
                <mc:Choice Requires="wps">
                  <w:drawing>
                    <wp:inline distT="0" distB="0" distL="0" distR="0" wp14:anchorId="64D0404F" wp14:editId="24401208">
                      <wp:extent cx="209550" cy="180975"/>
                      <wp:effectExtent l="19050" t="19050" r="38100" b="28575"/>
                      <wp:docPr id="228" name="Isosceles Triangle 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3D17183" id="Isosceles Triangle 228"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rIxhgIAAHMFAAAOAAAAZHJzL2Uyb0RvYy54bWysVNtqGzEQfS/0H4Tem11v41yWrINxcAmY&#10;NDQpeZa1ki2q1aiS7LX79R1pL0nTQKD0RUiaM/czc3V9aDTZC+cVmIpOTnJKhOFQK7Op6PfH5acL&#10;SnxgpmYajKjoUXh6Pfv44aq1pShgC7oWjqAR48vWVnQbgi2zzPOtaJg/ASsMCiW4hgV8uk1WO9ai&#10;9UZnRZ6fZS242jrgwnv8vemEdJbsSyl4+CqlF4HoimJsIZ0unet4ZrMrVm4cs1vF+zDYP0TRMGXQ&#10;6WjqhgVGdk79ZapR3IEHGU44NBlIqbhIOWA2k/xVNg9bZkXKBYvj7Vgm///M8rv9vSOqrmhRYKsM&#10;a7BJtx48F1p48ugUMxstSJRirVrrS1R5sPcuZuvtCvgPj4LsD0l8+B5zkK6JWMyVHFLhj2PhxSEQ&#10;jp9FfjmdYns4iiYX+eX5NDrLWDkoW+fDFwENiZeKhj6sVHK2X/nQwQdYig20qpdK6/Rwm/VCO7Jn&#10;yIPlcpHnqfXowT/DUg5d2CmBcNQiKmvzTUisEQY6SR4TO8Voj3EuTDjrQ07oqCbR96j4+X3FHh9V&#10;RWLuqFy8rzxqJM9gwqjcKAPuLQM6TPqQZYfvu+i7vGMJ1lAfkR4Ournxli8VNmDFfLhnDgcFe4bD&#10;H77iITW0FYX+RskW3K+3/iMe+YtSSlocvIr6nzvmBCX61iCzLyenp3FS0+N0el7gw72UrF9KzK5Z&#10;APZ0gmvG8nSN+KCHq3TQPOGOmEevKGKGo++K8uCGxyJ0CwG3DBfzeYLhdFoWVubB8qHrkVyPhyfm&#10;7MBCpO8dDEPKyldE7LCxHwbmuwBSJZY+17WvN0524nq/heLqePlOqOddOfsN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Ci&#10;HrIxhgIAAHM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900" w:type="dxa"/>
            <w:vAlign w:val="center"/>
          </w:tcPr>
          <w:p w14:paraId="048C8E5B" w14:textId="77777777" w:rsidR="004E22A4" w:rsidRDefault="004E22A4" w:rsidP="004E22A4">
            <w:pPr>
              <w:jc w:val="center"/>
              <w:rPr>
                <w:color w:val="212121"/>
              </w:rPr>
            </w:pPr>
            <w:r w:rsidRPr="0031181E">
              <w:rPr>
                <w:rFonts w:eastAsia="Arial" w:cs="Segoe UI"/>
                <w:noProof/>
                <w:sz w:val="20"/>
                <w:szCs w:val="20"/>
              </w:rPr>
              <mc:AlternateContent>
                <mc:Choice Requires="wps">
                  <w:drawing>
                    <wp:inline distT="0" distB="0" distL="0" distR="0" wp14:anchorId="490095FF" wp14:editId="3687305A">
                      <wp:extent cx="209550" cy="180975"/>
                      <wp:effectExtent l="19050" t="19050" r="38100" b="28575"/>
                      <wp:docPr id="229" name="Isosceles Triangle 2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79E8B87" id="Isosceles Triangle 229"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T1ihgIAAHMFAAAOAAAAZHJzL2Uyb0RvYy54bWysVNtOGzEQfa/Uf7D8XvZSAmTFBkVBqZAi&#10;QEDFs+O1k1W9Htd2skm/vmPvBUqRkKq+WLbnzP3MXF4dGkX2wroadEmzk5QSoTlUtd6U9PvT8ssF&#10;Jc4zXTEFWpT0KBy9mn3+dNmaQuSwBVUJS9CIdkVrSrr13hRJ4vhWNMydgBEahRJswzw+7SapLGvR&#10;eqOSPE3PkhZsZSxw4Rz+XndCOov2pRTc30nphCeqpBibj6eN5zqcyeySFRvLzLbmfRjsH6JoWK3R&#10;6WjqmnlGdrb+y1RTcwsOpD/h0CQgZc1FzAGzydI32TxumRExFyyOM2OZ3P8zy2/395bUVUnzfEqJ&#10;Zg026caB40IJR55szfRGCRKkWKvWuAJVHs29Ddk6swL+w6Eg+UMSHq7HHKRtAhZzJYdY+ONYeHHw&#10;hONnnk4nE2wPR1F2kU7PJ8FZwopB2VjnvwloSLiU1PdhxZKz/cr5Dj7AYmyg6mpZKxUfdrNeKEv2&#10;DHmwXC7SNLYePbgXWMyhCzsm4I9KBGWlH4TEGmGgWfQY2SlGe4xzof1ZH3JEBzWJvkfFrx8r9vig&#10;KiJzR+X8Y+VRI3oG7UflptZg3zOgfNaHLDt830XX5R1KsIbqiPSw0M2NM3xZYwNWzPl7ZnFQsGc4&#10;/P4OD6mgLSn0N0q2YH+99x/wyF+UUtLi4JXU/dwxKyhRNxqZPc1OT8Okxsfp5DzHh30tWb+W6F2z&#10;AOxphmvG8HgNeK+Gq7TQPOOOmAevKGKao++Scm+Hx8J3CwG3DBfzeYThdBrmV/rR8KHrgVxPh2dm&#10;zcBCpO8tDEPKijdE7LChHxrmOw+yjix9qWtfb5zsyPV+C4XV8fodUS+7cvYb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C2&#10;AT1ihgIAAHM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6784" w:type="dxa"/>
          </w:tcPr>
          <w:p w14:paraId="1F3DF168" w14:textId="15A6BD63" w:rsidR="004E22A4" w:rsidRDefault="004E22A4" w:rsidP="004E22A4">
            <w:pPr>
              <w:ind w:left="432"/>
              <w:rPr>
                <w:color w:val="212121"/>
              </w:rPr>
            </w:pPr>
            <w:r w:rsidRPr="00D44E8C">
              <w:t xml:space="preserve">Operational </w:t>
            </w:r>
            <w:r>
              <w:t>m</w:t>
            </w:r>
            <w:r w:rsidRPr="00D44E8C">
              <w:t xml:space="preserve">onitoring </w:t>
            </w:r>
          </w:p>
        </w:tc>
      </w:tr>
      <w:tr w:rsidR="004E22A4" w14:paraId="58803BAA" w14:textId="77777777" w:rsidTr="00915020">
        <w:tc>
          <w:tcPr>
            <w:tcW w:w="895" w:type="dxa"/>
            <w:vAlign w:val="center"/>
          </w:tcPr>
          <w:p w14:paraId="3C2C4C55" w14:textId="77777777" w:rsidR="004E22A4" w:rsidRDefault="004E22A4" w:rsidP="004E22A4">
            <w:pPr>
              <w:jc w:val="center"/>
              <w:rPr>
                <w:color w:val="212121"/>
              </w:rPr>
            </w:pPr>
            <w:r w:rsidRPr="00840988">
              <w:rPr>
                <w:noProof/>
              </w:rPr>
              <mc:AlternateContent>
                <mc:Choice Requires="wps">
                  <w:drawing>
                    <wp:inline distT="0" distB="0" distL="0" distR="0" wp14:anchorId="7B56C8EE" wp14:editId="4B67434D">
                      <wp:extent cx="210553" cy="190500"/>
                      <wp:effectExtent l="0" t="0" r="18415" b="19050"/>
                      <wp:docPr id="237" name="Octagon 237"/>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0233061E" w14:textId="77777777" w:rsidR="008D2C68" w:rsidRDefault="008D2C68" w:rsidP="00F97B16">
                                  <w:pPr>
                                    <w:jc w:val="center"/>
                                  </w:pPr>
                                </w:p>
                                <w:p w14:paraId="7A7E6EC2"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B56C8EE" id="Octagon 237" o:spid="_x0000_s1043"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JvUfgIAAGEFAAAOAAAAZHJzL2Uyb0RvYy54bWysVN1r2zAQfx/sfxB6X/2RZl1DnRJSOgal&#10;DW1HnxVZSgSyTpOU2Nlfv5PsuKErFMb8IN/pfvd9p6vrrtFkL5xXYCpanOWUCMOhVmZT0Z/Pt1++&#10;UeIDMzXTYERFD8LT6/nnT1etnYkStqBr4QgaMX7W2opuQ7CzLPN8Kxrmz8AKg0IJrmEBWbfJasda&#10;tN7orMzzr1kLrrYOuPAeb296IZ0n+1IKHh6k9CIQXVGMLaTTpXMdz2x+xWYbx+xW8SEM9g9RNEwZ&#10;dDqaumGBkZ1Tf5lqFHfgQYYzDk0GUiouUg6YTZG/yeZpy6xIuWBxvB3L5P+fWX6/Xzmi6oqWkwtK&#10;DGuwSQ88sA0YEq+wQK31M8Q92ZUbOI9kzLaTrol/zIN0qaiHsaiiC4TjZVnk0+mEEo6i4jKf5qno&#10;2auydT58F9CQSFQUeuepmmx/5wP6RPQRFd150Kq+VVonxm3WS+3InmGLl8scvxg0qpzAsphDH3Wi&#10;wkGLqKzNo5CYPsZZJI9p8MRoj3EuTCgHgwkd1ST6HhUnHysO+Kgq0lCOyuXHyqNG8gwmjMqNMuDe&#10;M6BDMYQsezzW4yTvSIZu3aW+F5MIjVdrqA84DA76LfGW3ypsyR3zYcUcrgUuEK56eMBDamixVwNF&#10;yRbc7/fuIx6nFaWUtLhmFfW/dswJSvQPg3N8WZyfx71MzPn0okTGnUrWpxKza5aAbS7wUbE8kREf&#10;9JGUDpoXfBEW0SuKmOHou6I8uCOzDP3645vCxWKRYLiLloU782T5cRDivD13L8zZYS4DDvQ9HFeS&#10;zd7MZo+NLTKw2AWQKg3ua12HFuAep+Ec3pz4UJzyCfX6Ms7/AAAA//8DAFBLAwQUAAYACAAAACEA&#10;tdNxHNoAAAADAQAADwAAAGRycy9kb3ducmV2LnhtbEyPQWvDMAyF74P9B6NBb63dFkqXxSljUNhh&#10;NKxb2dWNtSQ0loPtNum/n7ZLd9FDPPHep3wzuk5cMMTWk4b5TIFAqrxtqdbw+bGdrkHEZMiazhNq&#10;uGKETXF/l5vM+oHe8bJPteAQipnR0KTUZ1LGqkFn4sz3SOx9++BM4jXU0gYzcLjr5EKplXSmJW5o&#10;TI8vDVan/dlpKE9D+bouy8evsF3t3oI7zMPuoPXkYXx+ApFwTLdj+MVndCiY6ejPZKPoNPAj6W+y&#10;t1wuQBxZlQJZ5PI/e/EDAAD//wMAUEsBAi0AFAAGAAgAAAAhALaDOJL+AAAA4QEAABMAAAAAAAAA&#10;AAAAAAAAAAAAAFtDb250ZW50X1R5cGVzXS54bWxQSwECLQAUAAYACAAAACEAOP0h/9YAAACUAQAA&#10;CwAAAAAAAAAAAAAAAAAvAQAAX3JlbHMvLnJlbHNQSwECLQAUAAYACAAAACEAiIib1H4CAABhBQAA&#10;DgAAAAAAAAAAAAAAAAAuAgAAZHJzL2Uyb0RvYy54bWxQSwECLQAUAAYACAAAACEAtdNxHNoAAAAD&#10;AQAADwAAAAAAAAAAAAAAAADYBAAAZHJzL2Rvd25yZXYueG1sUEsFBgAAAAAEAAQA8wAAAN8FAAAA&#10;AA==&#10;" fillcolor="#c00" strokecolor="#ed7d31 [3205]" strokeweight=".5pt">
                      <v:textbox>
                        <w:txbxContent>
                          <w:p w14:paraId="0233061E" w14:textId="77777777" w:rsidR="008D2C68" w:rsidRDefault="008D2C68" w:rsidP="00F97B16">
                            <w:pPr>
                              <w:jc w:val="center"/>
                            </w:pPr>
                          </w:p>
                          <w:p w14:paraId="7A7E6EC2" w14:textId="77777777" w:rsidR="008D2C68" w:rsidRDefault="008D2C68" w:rsidP="00F97B16">
                            <w:pPr>
                              <w:jc w:val="center"/>
                            </w:pPr>
                          </w:p>
                        </w:txbxContent>
                      </v:textbox>
                      <w10:anchorlock/>
                    </v:shape>
                  </w:pict>
                </mc:Fallback>
              </mc:AlternateContent>
            </w:r>
          </w:p>
        </w:tc>
        <w:tc>
          <w:tcPr>
            <w:tcW w:w="1316" w:type="dxa"/>
            <w:vAlign w:val="center"/>
          </w:tcPr>
          <w:p w14:paraId="0A793F76" w14:textId="77777777" w:rsidR="004E22A4" w:rsidRDefault="004E22A4" w:rsidP="004E22A4">
            <w:pPr>
              <w:jc w:val="center"/>
              <w:rPr>
                <w:color w:val="212121"/>
              </w:rPr>
            </w:pPr>
            <w:r w:rsidRPr="0031181E">
              <w:rPr>
                <w:rFonts w:eastAsia="Arial" w:cs="Segoe UI"/>
                <w:noProof/>
                <w:sz w:val="20"/>
                <w:szCs w:val="20"/>
              </w:rPr>
              <mc:AlternateContent>
                <mc:Choice Requires="wps">
                  <w:drawing>
                    <wp:inline distT="0" distB="0" distL="0" distR="0" wp14:anchorId="538DD017" wp14:editId="0274EA83">
                      <wp:extent cx="209550" cy="180975"/>
                      <wp:effectExtent l="19050" t="19050" r="38100" b="28575"/>
                      <wp:docPr id="238" name="Isosceles Triangle 2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F21E3A2" id="Isosceles Triangle 238"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TsrhgIAAHMFAAAOAAAAZHJzL2Uyb0RvYy54bWysVNtqGzEQfS/0H4Tem107cS5L1sE4uARM&#10;YpqUPMtayRbValRJ9tr9+o60l6RpIFD6IiTNmfuZub451JrshfMKTElHJzklwnColNmU9PvT4ssl&#10;JT4wUzENRpT0KDy9mX7+dN3YQoxhC7oSjqAR44vGlnQbgi2yzPOtqJk/ASsMCiW4mgV8uk1WOdag&#10;9Vpn4zw/zxpwlXXAhff4e9sK6TTZl1Lw8CClF4HokmJsIZ0unet4ZtNrVmwcs1vFuzDYP0RRM2XQ&#10;6WDqlgVGdk79ZapW3IEHGU441BlIqbhIOWA2o/xNNo9bZkXKBYvj7VAm///M8vv9yhFVlXR8iq0y&#10;rMYm3XnwXGjhyZNTzGy0IFGKtWqsL1Dl0a5czNbbJfAfHgXZH5L48B3mIF0dsZgrOaTCH4fCi0Mg&#10;HD/H+dVkgu3hKBpd5lcXk+gsY0WvbJ0PXwXUJF5KGrqwUsnZfulDC+9hKTbQqloordPDbdZz7cie&#10;IQ8Wi3mep9ajB/8CSzm0YacEwlGLqKzNNyGxRhjoKHlM7BSDPca5MOG8Czmho5pE34Pi6ceKHT6q&#10;isTcQXn8sfKgkTyDCYNyrQy49wzoMOpCli2+66Jv844lWEN1RHo4aOfGW75Q2IAl82HFHA4K9gyH&#10;PzzgITU0JYXuRskW3K/3/iMe+YtSShocvJL6nzvmBCX6ziCzr0ZnZ3FS0+NscjHGh3stWb+WmF09&#10;B+zpCNeM5eka8UH3V+mgfsYdMYteUcQMR98l5cH1j3loFwJuGS5mswTD6bQsLM2j5X3XI7meDs/M&#10;2Z6FSN976IeUFW+I2GJjPwzMdgGkSix9qWtXb5zsxPVuC8XV8fqdUC+7cvob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DA&#10;RTsrhgIAAHM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900" w:type="dxa"/>
            <w:vAlign w:val="center"/>
          </w:tcPr>
          <w:p w14:paraId="68843887" w14:textId="77777777" w:rsidR="004E22A4" w:rsidRDefault="004E22A4" w:rsidP="004E22A4">
            <w:pPr>
              <w:jc w:val="center"/>
              <w:rPr>
                <w:color w:val="212121"/>
              </w:rPr>
            </w:pPr>
            <w:r w:rsidRPr="0031181E">
              <w:rPr>
                <w:rFonts w:eastAsia="Arial" w:cs="Segoe UI"/>
                <w:noProof/>
                <w:sz w:val="20"/>
                <w:szCs w:val="20"/>
              </w:rPr>
              <mc:AlternateContent>
                <mc:Choice Requires="wps">
                  <w:drawing>
                    <wp:inline distT="0" distB="0" distL="0" distR="0" wp14:anchorId="5A554322" wp14:editId="13FD5B41">
                      <wp:extent cx="209550" cy="180975"/>
                      <wp:effectExtent l="19050" t="19050" r="38100" b="28575"/>
                      <wp:docPr id="239" name="Isosceles Triangle 2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F102736" id="Isosceles Triangle 239"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rR4hwIAAHMFAAAOAAAAZHJzL2Uyb0RvYy54bWysVNtOGzEQfa/Uf7D8XnYTCJAVGxQFpUKK&#10;ABUqnh2vnVj1elzbySb9+o69FyhFQqr6YtmeM/czc3V9qDXZC+cVmJKOTnJKhOFQKbMp6fen5ZdL&#10;SnxgpmIajCjpUXh6Pfv86aqxhRjDFnQlHEEjxheNLek2BFtkmedbUTN/AlYYFEpwNQv4dJuscqxB&#10;67XOxnl+njXgKuuAC+/x96YV0lmyL6Xg4V5KLwLRJcXYQjpdOtfxzGZXrNg4ZreKd2Gwf4iiZsqg&#10;08HUDQuM7Jz6y1StuAMPMpxwqDOQUnGRcsBsRvmbbB63zIqUCxbH26FM/v+Z5Xf7B0dUVdLx6ZQS&#10;w2ps0q0Hz4UWnjw5xcxGCxKlWKvG+gJVHu2Di9l6uwL+w6Mg+0MSH77DHKSrIxZzJYdU+ONQeHEI&#10;hOPnOJ9OJtgejqLRZT69mERnGSt6Zet8+CqgJvFS0tCFlUrO9isfWngPS7GBVtVSaZ0ebrNeaEf2&#10;DHmwXC7yPLUePfgXWMqhDTslEI5aRGVtvgmJNcJAR8ljYqcY7DHOhQnnXcgJHdUk+h4UTz9W7PBR&#10;VSTmDsrjj5UHjeQZTBiUa2XAvWdAh1EXsmzxXRd9m3cswRqqI9LDQTs33vKlwgasmA8PzOGgYM9w&#10;+MM9HlJDU1LobpRswf167z/ikb8opaTBwSup/7ljTlCibw0yezo6O4uTmh5nk4sxPtxryfq1xOzq&#10;BWBPR7hmLE/XiA+6v0oH9TPuiHn0iiJmOPouKQ+ufyxCuxBwy3AxnycYTqdlYWUeLe+7Hsn1dHhm&#10;zvYsRPreQT+krHhDxBYb+2FgvgsgVWLpS127euNkJ653WyiujtfvhHrZlbPfAAAA//8DAFBLAwQU&#10;AAYACAAAACEASkqQ6t0AAAADAQAADwAAAGRycy9kb3ducmV2LnhtbEyPQUvDQBCF74L/YRnBi9iN&#10;bZU0ZlNUsFAPgq1oe9tmp0lwdzZkt038945e6uXB4w3vfZPPB2fFEbvQeFJwM0pAIJXeNFQpeF8/&#10;X6cgQtRktPWECr4xwLw4P8t1ZnxPb3hcxUpwCYVMK6hjbDMpQ1mj02HkWyTO9r5zOrLtKmk63XO5&#10;s3KcJHfS6YZ4odYtPtVYfq0OTsGyX38+Xr3uN9PZ0m7bl34xTWcfSl1eDA/3ICIO8XQMv/iMDgUz&#10;7fyBTBBWAT8S/5SzyYTdTsE4vQVZ5PI/e/EDAAD//wMAUEsBAi0AFAAGAAgAAAAhALaDOJL+AAAA&#10;4QEAABMAAAAAAAAAAAAAAAAAAAAAAFtDb250ZW50X1R5cGVzXS54bWxQSwECLQAUAAYACAAAACEA&#10;OP0h/9YAAACUAQAACwAAAAAAAAAAAAAAAAAvAQAAX3JlbHMvLnJlbHNQSwECLQAUAAYACAAAACEA&#10;1Fq0eIcCAABzBQAADgAAAAAAAAAAAAAAAAAuAgAAZHJzL2Uyb0RvYy54bWxQSwECLQAUAAYACAAA&#10;ACEASkqQ6t0AAAADAQAADwAAAAAAAAAAAAAAAADhBAAAZHJzL2Rvd25yZXYueG1sUEsFBgAAAAAE&#10;AAQA8wAAAOsFAAAAAA==&#10;" fillcolor="#ffc000" strokecolor="#70ad47 [3209]" strokeweight=".5pt">
                      <v:path arrowok="t"/>
                      <w10:anchorlock/>
                    </v:shape>
                  </w:pict>
                </mc:Fallback>
              </mc:AlternateContent>
            </w:r>
          </w:p>
        </w:tc>
        <w:tc>
          <w:tcPr>
            <w:tcW w:w="6784" w:type="dxa"/>
          </w:tcPr>
          <w:p w14:paraId="337988C2" w14:textId="2985AC97" w:rsidR="004E22A4" w:rsidRDefault="004E22A4" w:rsidP="004E22A4">
            <w:pPr>
              <w:ind w:left="432"/>
              <w:rPr>
                <w:color w:val="212121"/>
              </w:rPr>
            </w:pPr>
            <w:r w:rsidRPr="00D44E8C">
              <w:t>Backup</w:t>
            </w:r>
          </w:p>
        </w:tc>
      </w:tr>
      <w:tr w:rsidR="004E22A4" w14:paraId="5EB783C6" w14:textId="77777777" w:rsidTr="00915020">
        <w:tc>
          <w:tcPr>
            <w:tcW w:w="895" w:type="dxa"/>
            <w:vAlign w:val="center"/>
          </w:tcPr>
          <w:p w14:paraId="4A7DC3A5" w14:textId="77777777" w:rsidR="004E22A4" w:rsidRDefault="004E22A4" w:rsidP="004E22A4">
            <w:pPr>
              <w:jc w:val="center"/>
              <w:rPr>
                <w:color w:val="212121"/>
              </w:rPr>
            </w:pPr>
            <w:r w:rsidRPr="00840988">
              <w:rPr>
                <w:noProof/>
              </w:rPr>
              <mc:AlternateContent>
                <mc:Choice Requires="wps">
                  <w:drawing>
                    <wp:inline distT="0" distB="0" distL="0" distR="0" wp14:anchorId="79A2864E" wp14:editId="6B07594A">
                      <wp:extent cx="210553" cy="190500"/>
                      <wp:effectExtent l="0" t="0" r="18415" b="19050"/>
                      <wp:docPr id="240" name="Octagon 240"/>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5F6BFBB8" w14:textId="77777777" w:rsidR="008D2C68" w:rsidRDefault="008D2C68" w:rsidP="00F97B16">
                                  <w:pPr>
                                    <w:jc w:val="center"/>
                                  </w:pPr>
                                </w:p>
                                <w:p w14:paraId="4CA49A55"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9A2864E" id="Octagon 240" o:spid="_x0000_s1044"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YHfQIAAGEFAAAOAAAAZHJzL2Uyb0RvYy54bWysVN1r2zAQfx/sfxB6X/3RZFtDnRJSOgal&#10;LWtHnxVZSgyyTpMucbK/fifZcUNXKIz5Qb7Tfd/9TpdX+9awnfKhAVvx4iznTFkJdWPXFf/5dPPp&#10;K2cBha2FAasqflCBX80/frjs3EyVsAFTK8/IiQ2zzlV8g+hmWRbkRrUinIFTloQafCuQWL/Oai86&#10;8t6arMzzz1kHvnYepAqBbq97IZ8n/1orifdaB4XMVJxyw3T6dK7imc0vxWzthds0ckhD/EMWrWgs&#10;BR1dXQsUbOubv1y1jfQQQOOZhDYDrRupUg1UTZG/quZxI5xKtVBzghvbFP6fW3m3e/CsqSteTqg/&#10;VrQ0pHuJYg2WxStqUOfCjPQe3YMfuEBkrHavfRv/VAfbp6YexqaqPTJJl2WRT6fnnEkSFRf5NE8+&#10;sxdj5wN+U9CySFQc+uCpm2J3G5BikvZRK4YLYJr6pjEmMX69WhrPdoJGvFzm9MWkyeRELYs19Fkn&#10;Cg9GRWNjfyhN5VOeRYqYgKdGf0JKZbEcHCbtaKYp9mh4/r7hoB9NVQLlaFy+bzxapMhgcTRuGwv+&#10;LQcGiyFl3etTP07qjiTuV/s092ISVePVCuoDgcFDvyXByZuGRnIrAj4IT2tBAKFVx3s6tIGOZjVQ&#10;nG3A/37rPuoTWknKWUdrVvHwayu84sx8t4Tji2IScYeJmUy/lMT4U8nqVGK37RJozAU9Kk4mMuqj&#10;OZLaQ/tML8IiRiWRsJJiV1yiPzJL7Nef3hSpFoukRrvoBN7aRyePQIh4e9o/C+8GXCIB+g6OKylm&#10;r7DZ68YRWVhsEXSTgPvS12EEtMcJnMObEx+KUz5pvbyM8z8AAAD//wMAUEsDBBQABgAIAAAAIQC1&#10;03Ec2gAAAAMBAAAPAAAAZHJzL2Rvd25yZXYueG1sTI9Ba8MwDIXvg/0Ho0Fvrd0WSpfFKWNQ2GE0&#10;rFvZ1Y21JDSWg+026b+ftkt30UM88d6nfDO6TlwwxNaThvlMgUCqvG2p1vD5sZ2uQcRkyJrOE2q4&#10;YoRNcX+Xm8z6gd7xsk+14BCKmdHQpNRnUsaqQWfizPdI7H374EziNdTSBjNwuOvkQqmVdKYlbmhM&#10;jy8NVqf92WkoT0P5ui7Lx6+wXe3egjvMw+6g9eRhfH4CkXBMt2P4xWd0KJjp6M9ko+g08CPpb7K3&#10;XC5AHFmVAlnk8j978QMAAP//AwBQSwECLQAUAAYACAAAACEAtoM4kv4AAADhAQAAEwAAAAAAAAAA&#10;AAAAAAAAAAAAW0NvbnRlbnRfVHlwZXNdLnhtbFBLAQItABQABgAIAAAAIQA4/SH/1gAAAJQBAAAL&#10;AAAAAAAAAAAAAAAAAC8BAABfcmVscy8ucmVsc1BLAQItABQABgAIAAAAIQD/5aYHfQIAAGEFAAAO&#10;AAAAAAAAAAAAAAAAAC4CAABkcnMvZTJvRG9jLnhtbFBLAQItABQABgAIAAAAIQC103Ec2gAAAAMB&#10;AAAPAAAAAAAAAAAAAAAAANcEAABkcnMvZG93bnJldi54bWxQSwUGAAAAAAQABADzAAAA3gUAAAAA&#10;" fillcolor="#c00" strokecolor="#ed7d31 [3205]" strokeweight=".5pt">
                      <v:textbox>
                        <w:txbxContent>
                          <w:p w14:paraId="5F6BFBB8" w14:textId="77777777" w:rsidR="008D2C68" w:rsidRDefault="008D2C68" w:rsidP="00F97B16">
                            <w:pPr>
                              <w:jc w:val="center"/>
                            </w:pPr>
                          </w:p>
                          <w:p w14:paraId="4CA49A55" w14:textId="77777777" w:rsidR="008D2C68" w:rsidRDefault="008D2C68" w:rsidP="00F97B16">
                            <w:pPr>
                              <w:jc w:val="center"/>
                            </w:pPr>
                          </w:p>
                        </w:txbxContent>
                      </v:textbox>
                      <w10:anchorlock/>
                    </v:shape>
                  </w:pict>
                </mc:Fallback>
              </mc:AlternateContent>
            </w:r>
          </w:p>
        </w:tc>
        <w:tc>
          <w:tcPr>
            <w:tcW w:w="1316" w:type="dxa"/>
            <w:vAlign w:val="center"/>
          </w:tcPr>
          <w:p w14:paraId="55C77771" w14:textId="77777777" w:rsidR="004E22A4" w:rsidRDefault="004E22A4" w:rsidP="004E22A4">
            <w:pPr>
              <w:jc w:val="center"/>
              <w:rPr>
                <w:color w:val="212121"/>
              </w:rPr>
            </w:pPr>
            <w:r w:rsidRPr="0031181E">
              <w:rPr>
                <w:rFonts w:eastAsia="Arial" w:cs="Segoe UI"/>
                <w:noProof/>
                <w:sz w:val="20"/>
                <w:szCs w:val="20"/>
              </w:rPr>
              <mc:AlternateContent>
                <mc:Choice Requires="wps">
                  <w:drawing>
                    <wp:inline distT="0" distB="0" distL="0" distR="0" wp14:anchorId="13F96EEF" wp14:editId="632194D3">
                      <wp:extent cx="209550" cy="180975"/>
                      <wp:effectExtent l="19050" t="19050" r="38100" b="28575"/>
                      <wp:docPr id="241" name="Isosceles Triangle 2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BCF380F" id="Isosceles Triangle 241"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OHMhwIAAHMFAAAOAAAAZHJzL2Uyb0RvYy54bWysVNtqGzEQfS/0H4Tem127di5L1sE4uARM&#10;EpKUPMtayRbValRJ9tr9+o60l6RpIFD6IjSaM/czurw61JrshfMKTElHJzklwnColNmU9PvT8ss5&#10;JT4wUzENRpT0KDy9mn3+dNnYQoxhC7oSjqAT44vGlnQbgi2yzPOtqJk/ASsMKiW4mgUU3SarHGvQ&#10;e62zcZ6fZg24yjrgwnt8vW6VdJb8Syl4uJPSi0B0STG3kE6XznU8s9klKzaO2a3iXRrsH7KomTIY&#10;dHB1zQIjO6f+clUr7sCDDCcc6gykVFykGrCaUf6mmsctsyLVgs3xdmiT/39u+e3+3hFVlXQ8GVFi&#10;WI1DuvHgudDCkyenmNloQaIWe9VYX6DJo713sVpvV8B/eFRkf2ii4DvMQbo6YrFWckiNPw6NF4dA&#10;OD6O84vpFMfDUTU6zy/OpjFYxore2DofvgmoSbyUNHRppZaz/cqHFt7DUm6gVbVUWifBbdYL7cie&#10;IQ+Wy0Wep9FjBP8CSzW0aacCwlGLaKzNg5DYI0x0lCImdorBH+NcmHDapZzQ0Uxi7MHw68eGHT6a&#10;isTcwXj8sfFgkSKDCYNxrQy49xzokEaKPZAtvpuib+uOLVhDdUR6OGj3xlu+VDiAFfPhnjlcFJwZ&#10;Ln+4w0NqaEoK3Y2SLbhf771HPPIXtZQ0uHgl9T93zAlK9I1BZl+MJpO4qUmYTM/GKLjXmvVrjdnV&#10;C8CZIncxu3SN+KD7q3RQP+MfMY9RUcUMx9gl5cH1wiK0HwL+MlzM5wmG22lZWJlHy/upR3I9HZ6Z&#10;sz0Lkb630C8pK94QscXGeRiY7wJIlVj60teu37jZievdLxS/jtdyQr38lbPfAAAA//8DAFBLAwQU&#10;AAYACAAAACEASkqQ6t0AAAADAQAADwAAAGRycy9kb3ducmV2LnhtbEyPQUvDQBCF74L/YRnBi9iN&#10;bZU0ZlNUsFAPgq1oe9tmp0lwdzZkt038945e6uXB4w3vfZPPB2fFEbvQeFJwM0pAIJXeNFQpeF8/&#10;X6cgQtRktPWECr4xwLw4P8t1ZnxPb3hcxUpwCYVMK6hjbDMpQ1mj02HkWyTO9r5zOrLtKmk63XO5&#10;s3KcJHfS6YZ4odYtPtVYfq0OTsGyX38+Xr3uN9PZ0m7bl34xTWcfSl1eDA/3ICIO8XQMv/iMDgUz&#10;7fyBTBBWAT8S/5SzyYTdTsE4vQVZ5PI/e/EDAAD//wMAUEsBAi0AFAAGAAgAAAAhALaDOJL+AAAA&#10;4QEAABMAAAAAAAAAAAAAAAAAAAAAAFtDb250ZW50X1R5cGVzXS54bWxQSwECLQAUAAYACAAAACEA&#10;OP0h/9YAAACUAQAACwAAAAAAAAAAAAAAAAAvAQAAX3JlbHMvLnJlbHNQSwECLQAUAAYACAAAACEA&#10;mSjhzIcCAABzBQAADgAAAAAAAAAAAAAAAAAuAgAAZHJzL2Uyb0RvYy54bWxQSwECLQAUAAYACAAA&#10;ACEASkqQ6t0AAAADAQAADwAAAAAAAAAAAAAAAADhBAAAZHJzL2Rvd25yZXYueG1sUEsFBgAAAAAE&#10;AAQA8wAAAOsFAAAAAA==&#10;" fillcolor="#ffc000" strokecolor="#70ad47 [3209]" strokeweight=".5pt">
                      <v:path arrowok="t"/>
                      <w10:anchorlock/>
                    </v:shape>
                  </w:pict>
                </mc:Fallback>
              </mc:AlternateContent>
            </w:r>
          </w:p>
        </w:tc>
        <w:tc>
          <w:tcPr>
            <w:tcW w:w="900" w:type="dxa"/>
            <w:vAlign w:val="center"/>
          </w:tcPr>
          <w:p w14:paraId="603E1678" w14:textId="77777777" w:rsidR="004E22A4" w:rsidRDefault="004E22A4" w:rsidP="004E22A4">
            <w:pPr>
              <w:jc w:val="center"/>
              <w:rPr>
                <w:color w:val="212121"/>
              </w:rPr>
            </w:pPr>
            <w:r w:rsidRPr="0031181E">
              <w:rPr>
                <w:rFonts w:eastAsia="Arial" w:cs="Segoe UI"/>
                <w:noProof/>
                <w:sz w:val="20"/>
                <w:szCs w:val="20"/>
              </w:rPr>
              <mc:AlternateContent>
                <mc:Choice Requires="wps">
                  <w:drawing>
                    <wp:inline distT="0" distB="0" distL="0" distR="0" wp14:anchorId="1A573FDE" wp14:editId="2039D9A1">
                      <wp:extent cx="209550" cy="180975"/>
                      <wp:effectExtent l="19050" t="19050" r="38100" b="28575"/>
                      <wp:docPr id="242" name="Isosceles Triangle 2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D86991B" id="Isosceles Triangle 242"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XA4hgIAAHMFAAAOAAAAZHJzL2Uyb0RvYy54bWysVNtqGzEQfS/0H4Tem73UzmXJOhgHl4BJ&#10;QpKSZ1kr2Uu1GlWSvXa/viPtJWkaCJS+CElz5n5mLq8OjSJ7YV0NuqTZSUqJ0ByqWm9K+v1p+eWc&#10;EueZrpgCLUp6FI5ezT5/umxNIXLYgqqEJWhEu6I1Jd16b4okcXwrGuZOwAiNQgm2YR6fdpNUlrVo&#10;vVFJnqanSQu2Mha4cA5/rzshnUX7Ugru76R0whNVUozNx9PGcx3OZHbJio1lZlvzPgz2D1E0rNbo&#10;dDR1zTwjO1v/ZaqpuQUH0p9waBKQsuYi5oDZZOmbbB63zIiYCxbHmbFM7v+Z5bf7e0vqqqT5JKdE&#10;swabdOPAcaGEI0+2ZnqjBAlSrFVrXIEqj+behmydWQH/4VCQ/CEJD9djDtI2AYu5kkMs/HEsvDh4&#10;wvEzTy+mU2wPR1F2nl6cTYOzhBWDsrHOfxPQkHApqe/DiiVn+5XzHXyAxdhA1dWyVio+7Ga9UJbs&#10;GfJguVykaWw9enAvsJhDF3ZMwB+VCMpKPwiJNcJAs+gxslOM9hjnQvvTPuSIDmoSfY+KXz9W7PFB&#10;VUTmjsr5x8qjRvQM2o/KTa3BvmdA+awPWXb4vouuyzuUYA3VEelhoZsbZ/iyxgasmPP3zOKgYM9w&#10;+P0dHlJBW1Lob5Rswf567z/gkb8opaTFwSup+7ljVlCibjQy+yKbTMKkxsdkepbjw76WrF9L9K5Z&#10;APY0wzVjeLwGvFfDVVponnFHzINXFDHN0XdJubfDY+G7hYBbhov5PMJwOg3zK/1o+ND1QK6nwzOz&#10;ZmAh0vcWhiFlxRsidtjQDw3znQdZR5a+1LWvN0525Hq/hcLqeP2OqJddOfsN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Cl&#10;CXA4hgIAAHM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6784" w:type="dxa"/>
          </w:tcPr>
          <w:p w14:paraId="48F0F36D" w14:textId="58DA7F0D" w:rsidR="004E22A4" w:rsidRDefault="004E22A4" w:rsidP="004E22A4">
            <w:pPr>
              <w:ind w:left="432"/>
              <w:rPr>
                <w:color w:val="212121"/>
              </w:rPr>
            </w:pPr>
            <w:r w:rsidRPr="00D44E8C">
              <w:t xml:space="preserve">Virtualization </w:t>
            </w:r>
          </w:p>
        </w:tc>
      </w:tr>
      <w:tr w:rsidR="004E22A4" w14:paraId="0F69600B" w14:textId="77777777" w:rsidTr="00915020">
        <w:tc>
          <w:tcPr>
            <w:tcW w:w="895" w:type="dxa"/>
            <w:vAlign w:val="center"/>
          </w:tcPr>
          <w:p w14:paraId="41472157" w14:textId="77777777" w:rsidR="004E22A4" w:rsidRDefault="004E22A4" w:rsidP="004E22A4">
            <w:pPr>
              <w:jc w:val="center"/>
              <w:rPr>
                <w:color w:val="212121"/>
              </w:rPr>
            </w:pPr>
            <w:r w:rsidRPr="00840988">
              <w:rPr>
                <w:noProof/>
              </w:rPr>
              <mc:AlternateContent>
                <mc:Choice Requires="wps">
                  <w:drawing>
                    <wp:inline distT="0" distB="0" distL="0" distR="0" wp14:anchorId="665EAEE2" wp14:editId="5967F32F">
                      <wp:extent cx="210553" cy="190500"/>
                      <wp:effectExtent l="0" t="0" r="18415" b="19050"/>
                      <wp:docPr id="243" name="Octagon 243"/>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61C19C92" w14:textId="77777777" w:rsidR="008D2C68" w:rsidRDefault="008D2C68" w:rsidP="00F97B16">
                                  <w:pPr>
                                    <w:jc w:val="center"/>
                                  </w:pPr>
                                </w:p>
                                <w:p w14:paraId="5BA08A3E"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65EAEE2" id="Octagon 243" o:spid="_x0000_s1045"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JuAfQIAAGEFAAAOAAAAZHJzL2Uyb0RvYy54bWysVN1r2zAQfx/sfxB6X/zRZFtDnRJSMgal&#10;LWtHnxVZSgSyTpOU2Nlfv5PsuKErFMb8IN/pfvd9p6vrrtHkIJxXYCpaTHJKhOFQK7Ot6M+n9aev&#10;lPjATM00GFHRo/D0evHxw1Vr56KEHehaOIJGjJ+3tqK7EOw8yzzfiYb5CVhhUCjBNSwg67ZZ7ViL&#10;1hudlXn+OWvB1dYBF97j7U0vpItkX0rBw72UXgSiK4qxhXS6dG7imS2u2HzrmN0pPoTB/iGKhimD&#10;TkdTNywwsnfqL1ON4g48yDDh0GQgpeIi5YDZFPmrbB53zIqUCxbH27FM/v+Z5XeHB0dUXdFyekGJ&#10;YQ026Z4HtgVD4hUWqLV+jrhH++AGziMZs+2ka+If8yBdKupxLKroAuF4WRb5bIamOYqKy3yWp6Jn&#10;L8rW+fBNQEMiUVHonadqssOtD+gT0SdUdOdBq3qttE6M225W2pEDwxavVjl+MWhUOYNlMYc+6kSF&#10;oxZRWZsfQmL6GGeRPKbBE6M9xrkwoRwMJnRUk+h7VLx4X3HAR1WRhnJULt9XHjWSZzBhVG6UAfeW&#10;AR2KIWTZ47EeZ3lHMnSbLvW9mEVovNpAfcRhcNBvibd8rbAlt8yHB+ZwLXCBcNXDPR5SQ4u9GihK&#10;duB+v3Uf8TitKKWkxTWrqP+1Z05Qor8bnOPLYjqNe5mY6exLiYw7l2zOJWbfrADbXOCjYnkiIz7o&#10;EykdNM/4IiyjVxQxw9F3RXlwJ2YV+vXHN4WL5TLBcBctC7fm0fLTIMR5e+qembPDXAYc6Ds4rSSb&#10;v5rNHhtbZGC5DyBVGtyXug4twD1Owzm8OfGhOOcT6uVlXPwBAAD//wMAUEsDBBQABgAIAAAAIQC1&#10;03Ec2gAAAAMBAAAPAAAAZHJzL2Rvd25yZXYueG1sTI9Ba8MwDIXvg/0Ho0Fvrd0WSpfFKWNQ2GE0&#10;rFvZ1Y21JDSWg+026b+ftkt30UM88d6nfDO6TlwwxNaThvlMgUCqvG2p1vD5sZ2uQcRkyJrOE2q4&#10;YoRNcX+Xm8z6gd7xsk+14BCKmdHQpNRnUsaqQWfizPdI7H374EziNdTSBjNwuOvkQqmVdKYlbmhM&#10;jy8NVqf92WkoT0P5ui7Lx6+wXe3egjvMw+6g9eRhfH4CkXBMt2P4xWd0KJjp6M9ko+g08CPpb7K3&#10;XC5AHFmVAlnk8j978QMAAP//AwBQSwECLQAUAAYACAAAACEAtoM4kv4AAADhAQAAEwAAAAAAAAAA&#10;AAAAAAAAAAAAW0NvbnRlbnRfVHlwZXNdLnhtbFBLAQItABQABgAIAAAAIQA4/SH/1gAAAJQBAAAL&#10;AAAAAAAAAAAAAAAAAC8BAABfcmVscy8ucmVsc1BLAQItABQABgAIAAAAIQAkJJuAfQIAAGEFAAAO&#10;AAAAAAAAAAAAAAAAAC4CAABkcnMvZTJvRG9jLnhtbFBLAQItABQABgAIAAAAIQC103Ec2gAAAAMB&#10;AAAPAAAAAAAAAAAAAAAAANcEAABkcnMvZG93bnJldi54bWxQSwUGAAAAAAQABADzAAAA3gUAAAAA&#10;" fillcolor="#c00" strokecolor="#ed7d31 [3205]" strokeweight=".5pt">
                      <v:textbox>
                        <w:txbxContent>
                          <w:p w14:paraId="61C19C92" w14:textId="77777777" w:rsidR="008D2C68" w:rsidRDefault="008D2C68" w:rsidP="00F97B16">
                            <w:pPr>
                              <w:jc w:val="center"/>
                            </w:pPr>
                          </w:p>
                          <w:p w14:paraId="5BA08A3E" w14:textId="77777777" w:rsidR="008D2C68" w:rsidRDefault="008D2C68" w:rsidP="00F97B16">
                            <w:pPr>
                              <w:jc w:val="center"/>
                            </w:pPr>
                          </w:p>
                        </w:txbxContent>
                      </v:textbox>
                      <w10:anchorlock/>
                    </v:shape>
                  </w:pict>
                </mc:Fallback>
              </mc:AlternateContent>
            </w:r>
          </w:p>
        </w:tc>
        <w:tc>
          <w:tcPr>
            <w:tcW w:w="1316" w:type="dxa"/>
            <w:vAlign w:val="center"/>
          </w:tcPr>
          <w:p w14:paraId="60D6DB59" w14:textId="77777777" w:rsidR="004E22A4" w:rsidRDefault="004E22A4" w:rsidP="004E22A4">
            <w:pPr>
              <w:jc w:val="center"/>
              <w:rPr>
                <w:color w:val="212121"/>
              </w:rPr>
            </w:pPr>
            <w:r w:rsidRPr="0031181E">
              <w:rPr>
                <w:rFonts w:eastAsia="Arial" w:cs="Segoe UI"/>
                <w:noProof/>
                <w:sz w:val="20"/>
                <w:szCs w:val="20"/>
              </w:rPr>
              <mc:AlternateContent>
                <mc:Choice Requires="wps">
                  <w:drawing>
                    <wp:inline distT="0" distB="0" distL="0" distR="0" wp14:anchorId="03E93F2C" wp14:editId="26294072">
                      <wp:extent cx="209550" cy="180975"/>
                      <wp:effectExtent l="19050" t="19050" r="38100" b="28575"/>
                      <wp:docPr id="244" name="Isosceles Triangle 2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65BBC76" id="Isosceles Triangle 244"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SMKhwIAAHMFAAAOAAAAZHJzL2Uyb0RvYy54bWysVNtqGzEQfS/0H4Tem127di5L1sE4uARM&#10;EpKUPMtayRbValRJ9tr9+o60l6RpIFD6IiTNmfuZubw61JrshfMKTElHJzklwnColNmU9PvT8ss5&#10;JT4wUzENRpT0KDy9mn3+dNnYQoxhC7oSjqAR44vGlnQbgi2yzPOtqJk/ASsMCiW4mgV8uk1WOdag&#10;9Vpn4zw/zRpwlXXAhff4e90K6SzZl1LwcCelF4HokmJsIZ0unet4ZrNLVmwcs1vFuzDYP0RRM2XQ&#10;6WDqmgVGdk79ZapW3IEHGU441BlIqbhIOWA2o/xNNo9bZkXKBYvj7VAm///M8tv9vSOqKul4MqHE&#10;sBqbdOPBc6GFJ09OMbPRgkQp1qqxvkCVR3vvYrberoD/8CjI/pDEh+8wB+nqiMVcySEV/jgUXhwC&#10;4fg5zi+mU2wPR9HoPL84m0ZnGSt6Zet8+CagJvFS0tCFlUrO9isfWngPS7GBVtVSaZ0ebrNeaEf2&#10;DHmwXC7yPLUePfgXWMqhDTslEI5aRGVtHoTEGmGgo+QxsVMM9hjnwoTTLuSEjmoSfQ+KXz9W7PBR&#10;VSTmDsrjj5UHjeQZTBiUa2XAvWdAh1EXsmzxXRd9m3cswRqqI9LDQTs33vKlwgasmA/3zOGgYM9w&#10;+MMdHlJDU1LobpRswf167z/ikb8opaTBwSup/7ljTlCibwwy+2I0mcRJTY/J9GyMD/dasn4tMbt6&#10;AdjTEa4Zy9M14oPur9JB/Yw7Yh69oogZjr5LyoPrH4vQLgTcMlzM5wmG02lZWJlHy/uuR3I9HZ6Z&#10;sz0Lkb630A8pK94QscXGfhiY7wJIlVj6Uteu3jjZievdFoqr4/U7oV525ew3AAAA//8DAFBLAwQU&#10;AAYACAAAACEASkqQ6t0AAAADAQAADwAAAGRycy9kb3ducmV2LnhtbEyPQUvDQBCF74L/YRnBi9iN&#10;bZU0ZlNUsFAPgq1oe9tmp0lwdzZkt038945e6uXB4w3vfZPPB2fFEbvQeFJwM0pAIJXeNFQpeF8/&#10;X6cgQtRktPWECr4xwLw4P8t1ZnxPb3hcxUpwCYVMK6hjbDMpQ1mj02HkWyTO9r5zOrLtKmk63XO5&#10;s3KcJHfS6YZ4odYtPtVYfq0OTsGyX38+Xr3uN9PZ0m7bl34xTWcfSl1eDA/3ICIO8XQMv/iMDgUz&#10;7fyBTBBWAT8S/5SzyYTdTsE4vQVZ5PI/e/EDAAD//wMAUEsBAi0AFAAGAAgAAAAhALaDOJL+AAAA&#10;4QEAABMAAAAAAAAAAAAAAAAAAAAAAFtDb250ZW50X1R5cGVzXS54bWxQSwECLQAUAAYACAAAACEA&#10;OP0h/9YAAACUAQAACwAAAAAAAAAAAAAAAAAvAQAAX3JlbHMvLnJlbHNQSwECLQAUAAYACAAAACEA&#10;nE0jCocCAABzBQAADgAAAAAAAAAAAAAAAAAuAgAAZHJzL2Uyb0RvYy54bWxQSwECLQAUAAYACAAA&#10;ACEASkqQ6t0AAAADAQAADwAAAAAAAAAAAAAAAADhBAAAZHJzL2Rvd25yZXYueG1sUEsFBgAAAAAE&#10;AAQA8wAAAOsFAAAAAA==&#10;" fillcolor="#ffc000" strokecolor="#70ad47 [3209]" strokeweight=".5pt">
                      <v:path arrowok="t"/>
                      <w10:anchorlock/>
                    </v:shape>
                  </w:pict>
                </mc:Fallback>
              </mc:AlternateContent>
            </w:r>
          </w:p>
        </w:tc>
        <w:tc>
          <w:tcPr>
            <w:tcW w:w="900" w:type="dxa"/>
            <w:vAlign w:val="center"/>
          </w:tcPr>
          <w:p w14:paraId="2DA9CFE2" w14:textId="77777777" w:rsidR="004E22A4" w:rsidRDefault="004E22A4" w:rsidP="004E22A4">
            <w:pPr>
              <w:jc w:val="center"/>
              <w:rPr>
                <w:color w:val="212121"/>
              </w:rPr>
            </w:pPr>
            <w:r w:rsidRPr="0031181E">
              <w:rPr>
                <w:rFonts w:eastAsia="Arial" w:cs="Segoe UI"/>
                <w:noProof/>
                <w:sz w:val="20"/>
                <w:szCs w:val="20"/>
              </w:rPr>
              <mc:AlternateContent>
                <mc:Choice Requires="wps">
                  <w:drawing>
                    <wp:inline distT="0" distB="0" distL="0" distR="0" wp14:anchorId="179A1781" wp14:editId="0D846B49">
                      <wp:extent cx="209550" cy="180975"/>
                      <wp:effectExtent l="19050" t="19050" r="38100" b="28575"/>
                      <wp:docPr id="245" name="Isosceles Triangle 2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E97F9CB" id="Isosceles Triangle 245"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qxZiQIAAHMFAAAOAAAAZHJzL2Uyb0RvYy54bWysVNtqGzEQfS/0H4Tem127di5L1sE4uARM&#10;EpKUPMtayRbValRJ9tr9+o60l6RpIFD6IiTNmfuZubw61JrshfMKTElHJzklwnColNmU9PvT8ss5&#10;JT4wUzENRpT0KDy9mn3+dNnYQoxhC7oSjqAR44vGlnQbgi2yzPOtqJk/ASsMCiW4mgV8uk1WOdag&#10;9Vpn4zw/zRpwlXXAhff4e90K6SzZl1LwcCelF4HokmJsIZ0unet4ZrNLVmwcs1vFuzDYP0RRM2XQ&#10;6WDqmgVGdk79ZapW3IEHGU441BlIqbhIOWA2o/xNNo9bZkXKBYvj7VAm///M8tv9vSOqKul4MqXE&#10;sBqbdOPBc6GFJ09OMbPRgkQp1qqxvkCVR3vvYrberoD/8CjI/pDEh+8wB+nqiMVcySEV/jgUXhwC&#10;4fg5zi+mU2wPR9HoPL84S84yVvTK1vnwTUBN4qWkoQsrlZztVz7EEFjRw1JsoFW1VFqnh9usF9qR&#10;PUMeLJeLPE+tRxX/Aks5tGGnBMJRi6iszYOQWCMMdJQ8JnaKwR7jXJhwGuuDBhM6qkn0PSh+/Vix&#10;w0dVkZg7KI8/Vh40kmcwYVCulQH3ngEdRl3IssV3XfRt3rEEa6iOSA8H7dx4y5cKG7BiPtwzh4OC&#10;PcPhD3d4SA1NSaG7UbIF9+u9/4hH/qKUkgYHr6T+5445QYm+Mcjsi9FkEic1PSbTszE+3GvJ+rXE&#10;7OoFYE9HuGYsT9eID7q/Sgf1M+6IefSKImY4+i4pD65/LEK7EHDLcDGfJxhOp2VhZR4t77seyfV0&#10;eGbO9ixE+t5CP6SseEPEFhv7YWC+CyBVYulLXbt642Qn4nRbKK6O1++EetmVs98AAAD//wMAUEsD&#10;BBQABgAIAAAAIQBKSpDq3QAAAAMBAAAPAAAAZHJzL2Rvd25yZXYueG1sTI9BS8NAEIXvgv9hGcGL&#10;2I1tlTRmU1SwUA+CrWh722anSXB3NmS3Tfz3jl7q5cHjDe99k88HZ8URu9B4UnAzSkAgld40VCl4&#10;Xz9fpyBC1GS09YQKvjHAvDg/y3VmfE9veFzFSnAJhUwrqGNsMylDWaPTYeRbJM72vnM6su0qaTrd&#10;c7mzcpwkd9Lphnih1i0+1Vh+rQ5OwbJffz5eve4309nSbtuXfjFNZx9KXV4MD/cgIg7xdAy/+IwO&#10;BTPt/IFMEFYBPxL/lLPJhN1OwTi9BVnk8j978QMAAP//AwBQSwECLQAUAAYACAAAACEAtoM4kv4A&#10;AADhAQAAEwAAAAAAAAAAAAAAAAAAAAAAW0NvbnRlbnRfVHlwZXNdLnhtbFBLAQItABQABgAIAAAA&#10;IQA4/SH/1gAAAJQBAAALAAAAAAAAAAAAAAAAAC8BAABfcmVscy8ucmVsc1BLAQItABQABgAIAAAA&#10;IQCIUqxZiQIAAHMFAAAOAAAAAAAAAAAAAAAAAC4CAABkcnMvZTJvRG9jLnhtbFBLAQItABQABgAI&#10;AAAAIQBKSpDq3QAAAAMBAAAPAAAAAAAAAAAAAAAAAOMEAABkcnMvZG93bnJldi54bWxQSwUGAAAA&#10;AAQABADzAAAA7QUAAAAA&#10;" fillcolor="#ffc000" strokecolor="#70ad47 [3209]" strokeweight=".5pt">
                      <v:path arrowok="t"/>
                      <w10:anchorlock/>
                    </v:shape>
                  </w:pict>
                </mc:Fallback>
              </mc:AlternateContent>
            </w:r>
          </w:p>
        </w:tc>
        <w:tc>
          <w:tcPr>
            <w:tcW w:w="6784" w:type="dxa"/>
          </w:tcPr>
          <w:p w14:paraId="6698CFD1" w14:textId="778288D1" w:rsidR="004E22A4" w:rsidRDefault="004E22A4" w:rsidP="004E22A4">
            <w:pPr>
              <w:ind w:left="432"/>
              <w:rPr>
                <w:color w:val="212121"/>
              </w:rPr>
            </w:pPr>
            <w:r w:rsidRPr="00D44E8C">
              <w:t xml:space="preserve">Security </w:t>
            </w:r>
            <w:r>
              <w:t>tools</w:t>
            </w:r>
          </w:p>
        </w:tc>
      </w:tr>
      <w:tr w:rsidR="004E22A4" w14:paraId="7F8311DD" w14:textId="77777777" w:rsidTr="00915020">
        <w:tc>
          <w:tcPr>
            <w:tcW w:w="895" w:type="dxa"/>
            <w:vAlign w:val="center"/>
          </w:tcPr>
          <w:p w14:paraId="589634AD" w14:textId="77777777" w:rsidR="004E22A4" w:rsidRDefault="004E22A4" w:rsidP="004E22A4">
            <w:pPr>
              <w:jc w:val="center"/>
              <w:rPr>
                <w:color w:val="212121"/>
              </w:rPr>
            </w:pPr>
            <w:r w:rsidRPr="00840988">
              <w:rPr>
                <w:noProof/>
              </w:rPr>
              <mc:AlternateContent>
                <mc:Choice Requires="wps">
                  <w:drawing>
                    <wp:inline distT="0" distB="0" distL="0" distR="0" wp14:anchorId="2C148492" wp14:editId="2A2E9F98">
                      <wp:extent cx="210553" cy="190500"/>
                      <wp:effectExtent l="0" t="0" r="18415" b="19050"/>
                      <wp:docPr id="247" name="Octagon 247"/>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38E45A5E" w14:textId="77777777" w:rsidR="008D2C68" w:rsidRDefault="008D2C68" w:rsidP="00F97B16">
                                  <w:pPr>
                                    <w:jc w:val="center"/>
                                  </w:pPr>
                                </w:p>
                                <w:p w14:paraId="2B6BACEE"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C148492" id="Octagon 247" o:spid="_x0000_s1046"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9ifgIAAGEFAAAOAAAAZHJzL2Uyb0RvYy54bWysVN1r2zAQfx/sfxB6X/3RpF1DnRJSOgal&#10;DWtHnxVZSgSyTpOU2Nlfv5PsuKErFMb8IN/pfvd9p+ubrtFkL5xXYCpanOWUCMOhVmZT0Z/Pd1++&#10;UuIDMzXTYERFD8LTm/nnT9etnYkStqBr4QgaMX7W2opuQ7CzLPN8Kxrmz8AKg0IJrmEBWbfJasda&#10;tN7orMzzi6wFV1sHXHiPt7e9kM6TfSkFD49SehGIrijGFtLp0rmOZza/ZrONY3ar+BAG+4coGqYM&#10;Oh1N3bLAyM6pv0w1ijvwIMMZhyYDKRUXKQfMpsjfZPO0ZVakXLA43o5l8v/PLH/YrxxRdUXLySUl&#10;hjXYpEce2AYMiVdYoNb6GeKe7MoNnEcyZttJ18Q/5kG6VNTDWFTRBcLxsizy6fScEo6i4iqf5qno&#10;2auydT58E9CQSFQUeuepmmx/7wP6RPQRFd150Kq+U1onxm3WS+3InmGLl8scvxg0qpzAsphDH3Wi&#10;wkGLqKzNDyExfYyzSB7T4InRHuNcmFAOBhM6qkn0PSqef6w44KOqSEM5KpcfK48ayTOYMCo3yoB7&#10;z4AOxRCy7PFYj5O8Ixm6dZf6XlxEaLxaQ33AYXDQb4m3/E5hS+6ZDyvmcC1wgXDVwyMeUkOLvRoo&#10;Srbgfr93H/E4rSilpMU1q6j/tWNOUKK/G5zjq2IyiXuZmMn0skTGnUrWpxKza5aAbS7wUbE8kREf&#10;9JGUDpoXfBEW0SuKmOHou6I8uCOzDP3645vCxWKRYLiLloV782T5cRDivD13L8zZYS4DDvQDHFeS&#10;zd7MZo+NLTKw2AWQKg3ua12HFuAep+Ec3pz4UJzyCfX6Ms7/AAAA//8DAFBLAwQUAAYACAAAACEA&#10;tdNxHNoAAAADAQAADwAAAGRycy9kb3ducmV2LnhtbEyPQWvDMAyF74P9B6NBb63dFkqXxSljUNhh&#10;NKxb2dWNtSQ0loPtNum/n7ZLd9FDPPHep3wzuk5cMMTWk4b5TIFAqrxtqdbw+bGdrkHEZMiazhNq&#10;uGKETXF/l5vM+oHe8bJPteAQipnR0KTUZ1LGqkFn4sz3SOx9++BM4jXU0gYzcLjr5EKplXSmJW5o&#10;TI8vDVan/dlpKE9D+bouy8evsF3t3oI7zMPuoPXkYXx+ApFwTLdj+MVndCiY6ejPZKPoNPAj6W+y&#10;t1wuQBxZlQJZ5PI/e/EDAAD//wMAUEsBAi0AFAAGAAgAAAAhALaDOJL+AAAA4QEAABMAAAAAAAAA&#10;AAAAAAAAAAAAAFtDb250ZW50X1R5cGVzXS54bWxQSwECLQAUAAYACAAAACEAOP0h/9YAAACUAQAA&#10;CwAAAAAAAAAAAAAAAAAvAQAAX3JlbHMvLnJlbHNQSwECLQAUAAYACAAAACEAzPwvYn4CAABhBQAA&#10;DgAAAAAAAAAAAAAAAAAuAgAAZHJzL2Uyb0RvYy54bWxQSwECLQAUAAYACAAAACEAtdNxHNoAAAAD&#10;AQAADwAAAAAAAAAAAAAAAADYBAAAZHJzL2Rvd25yZXYueG1sUEsFBgAAAAAEAAQA8wAAAN8FAAAA&#10;AA==&#10;" fillcolor="#c00" strokecolor="#ed7d31 [3205]" strokeweight=".5pt">
                      <v:textbox>
                        <w:txbxContent>
                          <w:p w14:paraId="38E45A5E" w14:textId="77777777" w:rsidR="008D2C68" w:rsidRDefault="008D2C68" w:rsidP="00F97B16">
                            <w:pPr>
                              <w:jc w:val="center"/>
                            </w:pPr>
                          </w:p>
                          <w:p w14:paraId="2B6BACEE" w14:textId="77777777" w:rsidR="008D2C68" w:rsidRDefault="008D2C68" w:rsidP="00F97B16">
                            <w:pPr>
                              <w:jc w:val="center"/>
                            </w:pPr>
                          </w:p>
                        </w:txbxContent>
                      </v:textbox>
                      <w10:anchorlock/>
                    </v:shape>
                  </w:pict>
                </mc:Fallback>
              </mc:AlternateContent>
            </w:r>
          </w:p>
        </w:tc>
        <w:tc>
          <w:tcPr>
            <w:tcW w:w="1316" w:type="dxa"/>
            <w:vAlign w:val="center"/>
          </w:tcPr>
          <w:p w14:paraId="156FB0E9" w14:textId="77777777" w:rsidR="004E22A4" w:rsidRPr="0031181E" w:rsidRDefault="004E22A4" w:rsidP="004E22A4">
            <w:pPr>
              <w:jc w:val="center"/>
              <w:rPr>
                <w:rFonts w:eastAsia="Arial" w:cs="Segoe UI"/>
                <w:noProof/>
                <w:sz w:val="20"/>
                <w:szCs w:val="20"/>
              </w:rPr>
            </w:pPr>
            <w:r w:rsidRPr="0031181E">
              <w:rPr>
                <w:rFonts w:eastAsia="Arial" w:cs="Segoe UI"/>
                <w:noProof/>
                <w:sz w:val="20"/>
                <w:szCs w:val="20"/>
              </w:rPr>
              <mc:AlternateContent>
                <mc:Choice Requires="wps">
                  <w:drawing>
                    <wp:inline distT="0" distB="0" distL="0" distR="0" wp14:anchorId="59AD59CB" wp14:editId="6A5A96D6">
                      <wp:extent cx="209550" cy="180975"/>
                      <wp:effectExtent l="19050" t="19050" r="38100" b="28575"/>
                      <wp:docPr id="248" name="Isosceles Triangle 2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B90E1AA" id="Isosceles Triangle 248"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YVuhgIAAHMFAAAOAAAAZHJzL2Uyb0RvYy54bWysVNtqGzEQfS/0H4Tem127di5L1sE4uARM&#10;EpKUPMtayRbValRJ9tr9+o60l6RpIFD6IiTNmfuZubw61JrshfMKTElHJzklwnColNmU9PvT8ss5&#10;JT4wUzENRpT0KDy9mn3+dNnYQoxhC7oSjqAR44vGlnQbgi2yzPOtqJk/ASsMCiW4mgV8uk1WOdag&#10;9Vpn4zw/zRpwlXXAhff4e90K6SzZl1LwcCelF4HokmJsIZ0unet4ZrNLVmwcs1vFuzDYP0RRM2XQ&#10;6WDqmgVGdk79ZapW3IEHGU441BlIqbhIOWA2o/xNNo9bZkXKBYvj7VAm///M8tv9vSOqKul4gq0y&#10;rMYm3XjwXGjhyZNTzGy0IFGKtWqsL1Dl0d67mK23K+A/PAqyPyTx4TvMQbo6YjFXckiFPw6FF4dA&#10;OH6O84vpFNvDUTQ6zy/OptFZxope2TofvgmoSbyUNHRhpZKz/cqHFt7DUmygVbVUWqeH26wX2pE9&#10;Qx4sl4s8T61HD/4FlnJow04JhKMWUVmbByGxRhjoKHlM7BSDPca5MOG0Czmho5pE34Pi148VO3xU&#10;FYm5g/L4Y+VBI3kGEwblWhlw7xnQYdSFLFt810Xf5h1LsIbqiPRw0M6Nt3ypsAEr5sM9czgo2DMc&#10;/nCHh9TQlBS6GyVbcL/e+4945C9KKWlw8Erqf+6YE5ToG4PMvhhNJnFS02MyPRvjw72WrF9LzK5e&#10;APZ0hGvG8nSN+KD7q3RQP+OOmEevKGKGo++S8uD6xyK0CwG3DBfzeYLhdFoWVubR8r7rkVxPh2fm&#10;bM9CpO8t9EPKijdEbLGxHwbmuwBSJZa+1LWrN0524nq3heLqeP1OqJddOfsN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Du&#10;xYVuhgIAAHM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900" w:type="dxa"/>
            <w:vAlign w:val="center"/>
          </w:tcPr>
          <w:p w14:paraId="78E288DF" w14:textId="77777777" w:rsidR="004E22A4" w:rsidRPr="0031181E" w:rsidRDefault="004E22A4" w:rsidP="004E22A4">
            <w:pPr>
              <w:jc w:val="center"/>
              <w:rPr>
                <w:rFonts w:eastAsia="Arial" w:cs="Segoe UI"/>
                <w:noProof/>
                <w:sz w:val="20"/>
                <w:szCs w:val="20"/>
              </w:rPr>
            </w:pPr>
            <w:r w:rsidRPr="0031181E">
              <w:rPr>
                <w:rFonts w:eastAsia="Arial" w:cs="Segoe UI"/>
                <w:noProof/>
                <w:sz w:val="20"/>
                <w:szCs w:val="20"/>
              </w:rPr>
              <mc:AlternateContent>
                <mc:Choice Requires="wps">
                  <w:drawing>
                    <wp:inline distT="0" distB="0" distL="0" distR="0" wp14:anchorId="305984A2" wp14:editId="7541FC1C">
                      <wp:extent cx="209550" cy="180975"/>
                      <wp:effectExtent l="19050" t="19050" r="38100" b="28575"/>
                      <wp:docPr id="249" name="Isosceles Triangle 2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BBC79B0" id="Isosceles Triangle 249"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2go9hgIAAHMFAAAOAAAAZHJzL2Uyb0RvYy54bWysVNtqGzEQfS/0H4Tem9117SResg7GwSVg&#10;0tCk5FnWSraoVqNK8q1f35H2kjQNBEpfhKQ5cz8zV9fHRpO9cF6BqWhxllMiDIdamU1Fvz8uP11S&#10;4gMzNdNgREVPwtPr2ccPVwdbihFsQdfCETRifHmwFd2GYMss83wrGubPwAqDQgmuYQGfbpPVjh3Q&#10;eqOzUZ6fZwdwtXXAhff4e9MK6SzZl1Lw8FVKLwLRFcXYQjpdOtfxzGZXrNw4ZreKd2Gwf4iiYcqg&#10;08HUDQuM7Jz6y1SjuAMPMpxxaDKQUnGRcsBsivxVNg9bZkXKBYvj7VAm///M8rv9vSOqruhoPKXE&#10;sAabdOvBc6GFJ49OMbPRgkQp1upgfYkqD/bexWy9XQH/4VGQ/SGJD99hjtI1EYu5kmMq/GkovDgG&#10;wvFzlE8nE2wPR1FxmU8vJtFZxspe2TofvghoSLxUNHRhpZKz/cqHFt7DUmygVb1UWqeH26wX2pE9&#10;Qx4sl4s8T61HD/4ZlnJow04JhJMWUVmbb0JijTDQInlM7BSDPca5MOG8Czmho5pE34Pi5/cVO3xU&#10;FYm5g/LofeVBI3kGEwblRhlwbxnQoehCli2+66Jv844lWEN9Qno4aOfGW75U2IAV8+GeORwU7BkO&#10;f/iKh9RwqCh0N0q24H699R/xyF+UUnLAwauo/7ljTlCibw0ye1qMx3FS02M8uRjhw72UrF9KzK5Z&#10;APa0wDVjebpGfND9VTponnBHzKNXFDHD0XdFeXD9YxHahYBbhov5PMFwOi0LK/Nged/1SK7H4xNz&#10;tmch0vcO+iFl5SsittjYDwPzXQCpEkuf69rVGyc7cb3bQnF1vHwn1POunP0G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D6&#10;2go9hgIAAHM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6784" w:type="dxa"/>
          </w:tcPr>
          <w:p w14:paraId="25A9D5FD" w14:textId="37B592E9" w:rsidR="004E22A4" w:rsidRPr="00D44E8C" w:rsidRDefault="004E22A4" w:rsidP="004E22A4">
            <w:pPr>
              <w:ind w:left="432"/>
            </w:pPr>
            <w:r>
              <w:t>Infrastructure system administrative workstations</w:t>
            </w:r>
          </w:p>
        </w:tc>
      </w:tr>
      <w:tr w:rsidR="004E22A4" w:rsidRPr="009B5CD0" w14:paraId="3530BEBD" w14:textId="77777777" w:rsidTr="00915020">
        <w:tc>
          <w:tcPr>
            <w:tcW w:w="895" w:type="dxa"/>
            <w:shd w:val="clear" w:color="auto" w:fill="BFBFBF" w:themeFill="background1" w:themeFillShade="BF"/>
            <w:vAlign w:val="center"/>
          </w:tcPr>
          <w:p w14:paraId="62514C03" w14:textId="77777777" w:rsidR="004E22A4" w:rsidRPr="009B5CD0" w:rsidRDefault="004E22A4" w:rsidP="004E22A4">
            <w:pPr>
              <w:jc w:val="center"/>
              <w:rPr>
                <w:b/>
                <w:color w:val="FFFFFF" w:themeColor="background1"/>
              </w:rPr>
            </w:pPr>
          </w:p>
        </w:tc>
        <w:tc>
          <w:tcPr>
            <w:tcW w:w="1316" w:type="dxa"/>
            <w:shd w:val="clear" w:color="auto" w:fill="BFBFBF" w:themeFill="background1" w:themeFillShade="BF"/>
            <w:vAlign w:val="center"/>
          </w:tcPr>
          <w:p w14:paraId="63DDEB53" w14:textId="77777777" w:rsidR="004E22A4" w:rsidRPr="009B5CD0" w:rsidRDefault="004E22A4" w:rsidP="004E22A4">
            <w:pPr>
              <w:jc w:val="center"/>
              <w:rPr>
                <w:b/>
                <w:color w:val="FFFFFF" w:themeColor="background1"/>
              </w:rPr>
            </w:pPr>
          </w:p>
        </w:tc>
        <w:tc>
          <w:tcPr>
            <w:tcW w:w="900" w:type="dxa"/>
            <w:shd w:val="clear" w:color="auto" w:fill="BFBFBF" w:themeFill="background1" w:themeFillShade="BF"/>
            <w:vAlign w:val="center"/>
          </w:tcPr>
          <w:p w14:paraId="5399BFFE" w14:textId="77777777" w:rsidR="004E22A4" w:rsidRPr="009B5CD0" w:rsidRDefault="004E22A4" w:rsidP="004E22A4">
            <w:pPr>
              <w:jc w:val="center"/>
              <w:rPr>
                <w:b/>
                <w:color w:val="FFFFFF" w:themeColor="background1"/>
              </w:rPr>
            </w:pPr>
          </w:p>
        </w:tc>
        <w:tc>
          <w:tcPr>
            <w:tcW w:w="6784" w:type="dxa"/>
            <w:shd w:val="clear" w:color="auto" w:fill="BFBFBF" w:themeFill="background1" w:themeFillShade="BF"/>
          </w:tcPr>
          <w:p w14:paraId="4C67623E" w14:textId="482AFC67" w:rsidR="004E22A4" w:rsidRPr="009B5CD0" w:rsidRDefault="004E22A4" w:rsidP="004E22A4">
            <w:pPr>
              <w:rPr>
                <w:b/>
                <w:color w:val="FFFFFF" w:themeColor="background1"/>
              </w:rPr>
            </w:pPr>
            <w:r>
              <w:rPr>
                <w:b/>
                <w:color w:val="FFFFFF" w:themeColor="background1"/>
              </w:rPr>
              <w:t>Cloud Services</w:t>
            </w:r>
          </w:p>
        </w:tc>
      </w:tr>
      <w:tr w:rsidR="004E22A4" w14:paraId="517DCBA2" w14:textId="77777777" w:rsidTr="00915020">
        <w:tc>
          <w:tcPr>
            <w:tcW w:w="895" w:type="dxa"/>
            <w:vAlign w:val="center"/>
          </w:tcPr>
          <w:p w14:paraId="2A1226D0" w14:textId="77777777" w:rsidR="004E22A4" w:rsidRPr="002B0537" w:rsidRDefault="004E22A4" w:rsidP="004E22A4">
            <w:pPr>
              <w:jc w:val="center"/>
              <w:rPr>
                <w:noProof/>
              </w:rPr>
            </w:pPr>
            <w:r w:rsidRPr="002B0537">
              <w:rPr>
                <w:noProof/>
              </w:rPr>
              <mc:AlternateContent>
                <mc:Choice Requires="wps">
                  <w:drawing>
                    <wp:inline distT="0" distB="0" distL="0" distR="0" wp14:anchorId="7F71C663" wp14:editId="4AD4CCDC">
                      <wp:extent cx="210553" cy="190500"/>
                      <wp:effectExtent l="0" t="0" r="18415" b="19050"/>
                      <wp:docPr id="265" name="Octagon 265"/>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5CD5E5B3" w14:textId="77777777" w:rsidR="008D2C68" w:rsidRDefault="008D2C68" w:rsidP="00F97B16">
                                  <w:pPr>
                                    <w:jc w:val="center"/>
                                  </w:pPr>
                                </w:p>
                                <w:p w14:paraId="14D9E98F"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F71C663" id="Octagon 265" o:spid="_x0000_s1047"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ZO3fgIAAGEFAAAOAAAAZHJzL2Uyb0RvYy54bWysVN1r2zAQfx/sfxB6X/3RpF1DnRJSMgal&#10;LWtHnxVZSgSyTpOU2Nlfv5PsuKErFMb8IN/pfvd9p+ubrtFkL5xXYCpanOWUCMOhVmZT0Z/Pqy9f&#10;KfGBmZppMKKiB+Hpzfzzp+vWzkQJW9C1cASNGD9rbUW3IdhZlnm+FQ3zZ2CFQaEE17CArNtktWMt&#10;Wm90Vub5RdaCq60DLrzH29teSOfJvpSChwcpvQhEVxRjC+l06VzHM5tfs9nGMbtVfAiD/UMUDVMG&#10;nY6mbllgZOfUX6YaxR14kOGMQ5OBlIqLlANmU+RvsnnaMitSLlgcb8cy+f9nlt/vHx1RdUXLiykl&#10;hjXYpAce2AYMiVdYoNb6GeKe7KMbOI9kzLaTrol/zIN0qaiHsaiiC4TjZVnk0+k5JRxFxVU+zVPR&#10;s1dl63z4JqAhkago9M5TNdn+zgf0iegjKrrzoFW9Ulonxm3WS+3InmGLl8scvxg0qpzAsphDH3Wi&#10;wkGLqKzNDyExfYyzSB7T4InRHuNcmFAOBhM6qkn0PSqef6w44KOqSEM5KpcfK48ayTOYMCo3yoB7&#10;z4AOxRCy7PFYj5O8Ixm6dZf6XlxGaLxaQ33AYXDQb4m3fKWwJXfMh0fmcC1wgXDVwwMeUkOLvRoo&#10;Srbgfr93H/E4rSilpMU1q6j/tWNOUKK/G5zjq2IyiXuZmMn0skTGnUrWpxKza5aAbS7wUbE8kREf&#10;9JGUDpoXfBEW0SuKmOHou6I8uCOzDP3645vCxWKRYLiLloU782T5cRDivD13L8zZYS4DDvQ9HFeS&#10;zd7MZo+NLTKw2AWQKg3ua12HFuAep+Ec3pz4UJzyCfX6Ms7/AAAA//8DAFBLAwQUAAYACAAAACEA&#10;tdNxHNoAAAADAQAADwAAAGRycy9kb3ducmV2LnhtbEyPQWvDMAyF74P9B6NBb63dFkqXxSljUNhh&#10;NKxb2dWNtSQ0loPtNum/n7ZLd9FDPPHep3wzuk5cMMTWk4b5TIFAqrxtqdbw+bGdrkHEZMiazhNq&#10;uGKETXF/l5vM+oHe8bJPteAQipnR0KTUZ1LGqkFn4sz3SOx9++BM4jXU0gYzcLjr5EKplXSmJW5o&#10;TI8vDVan/dlpKE9D+bouy8evsF3t3oI7zMPuoPXkYXx+ApFwTLdj+MVndCiY6ejPZKPoNPAj6W+y&#10;t1wuQBxZlQJZ5PI/e/EDAAD//wMAUEsBAi0AFAAGAAgAAAAhALaDOJL+AAAA4QEAABMAAAAAAAAA&#10;AAAAAAAAAAAAAFtDb250ZW50X1R5cGVzXS54bWxQSwECLQAUAAYACAAAACEAOP0h/9YAAACUAQAA&#10;CwAAAAAAAAAAAAAAAAAvAQAAX3JlbHMvLnJlbHNQSwECLQAUAAYACAAAACEA+K2Tt34CAABhBQAA&#10;DgAAAAAAAAAAAAAAAAAuAgAAZHJzL2Uyb0RvYy54bWxQSwECLQAUAAYACAAAACEAtdNxHNoAAAAD&#10;AQAADwAAAAAAAAAAAAAAAADYBAAAZHJzL2Rvd25yZXYueG1sUEsFBgAAAAAEAAQA8wAAAN8FAAAA&#10;AA==&#10;" fillcolor="#c00" strokecolor="#ed7d31 [3205]" strokeweight=".5pt">
                      <v:textbox>
                        <w:txbxContent>
                          <w:p w14:paraId="5CD5E5B3" w14:textId="77777777" w:rsidR="008D2C68" w:rsidRDefault="008D2C68" w:rsidP="00F97B16">
                            <w:pPr>
                              <w:jc w:val="center"/>
                            </w:pPr>
                          </w:p>
                          <w:p w14:paraId="14D9E98F" w14:textId="77777777" w:rsidR="008D2C68" w:rsidRDefault="008D2C68" w:rsidP="00F97B16">
                            <w:pPr>
                              <w:jc w:val="center"/>
                            </w:pPr>
                          </w:p>
                        </w:txbxContent>
                      </v:textbox>
                      <w10:anchorlock/>
                    </v:shape>
                  </w:pict>
                </mc:Fallback>
              </mc:AlternateContent>
            </w:r>
          </w:p>
        </w:tc>
        <w:tc>
          <w:tcPr>
            <w:tcW w:w="1316" w:type="dxa"/>
            <w:vAlign w:val="center"/>
          </w:tcPr>
          <w:p w14:paraId="1567BE59" w14:textId="77777777" w:rsidR="004E22A4" w:rsidRPr="002B0537" w:rsidRDefault="004E22A4" w:rsidP="004E22A4">
            <w:pPr>
              <w:jc w:val="center"/>
              <w:rPr>
                <w:rFonts w:eastAsia="Arial" w:cs="Segoe UI"/>
                <w:noProof/>
                <w:sz w:val="20"/>
                <w:szCs w:val="20"/>
              </w:rPr>
            </w:pPr>
            <w:r w:rsidRPr="002B0537">
              <w:rPr>
                <w:rFonts w:eastAsia="Arial" w:cs="Segoe UI"/>
                <w:noProof/>
                <w:sz w:val="20"/>
                <w:szCs w:val="20"/>
              </w:rPr>
              <mc:AlternateContent>
                <mc:Choice Requires="wps">
                  <w:drawing>
                    <wp:inline distT="0" distB="0" distL="0" distR="0" wp14:anchorId="60C3E85D" wp14:editId="56B62CD2">
                      <wp:extent cx="209550" cy="180975"/>
                      <wp:effectExtent l="19050" t="19050" r="38100" b="28575"/>
                      <wp:docPr id="266" name="Isosceles Triangle 2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019A46D" id="Isosceles Triangle 266"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S+YiAIAAHMFAAAOAAAAZHJzL2Uyb0RvYy54bWysVNtqGzEQfS/0H4Tem91141yWrINxcAmY&#10;NDQpeZa1ki2q1aiS7LX79R1pL0nTQKD0RUiaM/czc3V9aDTZC+cVmIoWJzklwnColdlU9Pvj8tMF&#10;JT4wUzMNRlT0KDy9nn38cNXaUkxgC7oWjqAR48vWVnQbgi2zzPOtaJg/ASsMCiW4hgV8uk1WO9ai&#10;9UZnkzw/y1pwtXXAhff4e9MJ6SzZl1Lw8FVKLwLRFcXYQjpdOtfxzGZXrNw4ZreK92Gwf4iiYcqg&#10;09HUDQuM7Jz6y1SjuAMPMpxwaDKQUnGRcsBsivxVNg9bZkXKBYvj7Vgm///M8rv9vSOqrujk7IwS&#10;wxps0q0Hz4UWnjw6xcxGCxKlWKvW+hJVHuy9i9l6uwL+w6Mg+0MSH77HHKRrIhZzJYdU+ONYeHEI&#10;hOPnJL+cTrE9HEXFRX55Po3OMlYOytb58EVAQ+KloqEPK5Wc7Vc+dPABlmIDreql0jo93Ga90I7s&#10;GfJguVzkeWo9evDPsJRDF3ZKIBy1iMrafBMSa4SBFsljYqcY7THOhQmpPmgwoaOaRN+j4uf3FXt8&#10;VBWJuaPy5H3lUSN5BhNG5UYZcG8Z0KHoqyw7fN9F3+UdS7CG+oj0cNDNjbd8qbABK+bDPXM4KNgz&#10;HP7wFQ+poa0o9DdKtuB+vfUf8chflFLS4uBV1P/cMSco0bcGmX1ZnJ7GSU2P0+n5BB/upWT9UmJ2&#10;zQKwpwWuGcvTNeKDHq7SQfOEO2IevaKIGY6+K8qDGx6L0C0E3DJczOcJhtNpWViZB8uHrkdyPR6e&#10;mLMDC5G+dzAMKStfEbHDxn4YmO8CSJVY+lzXvt442Ynr/RaKq+PlO6Ged+XsNwAAAP//AwBQSwME&#10;FAAGAAgAAAAhAEpKkOrdAAAAAwEAAA8AAABkcnMvZG93bnJldi54bWxMj0FLw0AQhe+C/2EZwYvY&#10;jW2VNGZTVLBQD4KtaHvbZqdJcHc2ZLdN/PeOXurlweMN732TzwdnxRG70HhScDNKQCCV3jRUKXhf&#10;P1+nIELUZLT1hAq+McC8OD/LdWZ8T294XMVKcAmFTCuoY2wzKUNZo9Nh5Fskzva+czqy7SppOt1z&#10;ubNynCR30umGeKHWLT7VWH6tDk7Bsl9/Pl697jfT2dJu25d+MU1nH0pdXgwP9yAiDvF0DL/4jA4F&#10;M+38gUwQVgE/Ev+Us8mE3U7BOL0FWeTyP3vxAwAA//8DAFBLAQItABQABgAIAAAAIQC2gziS/gAA&#10;AOEBAAATAAAAAAAAAAAAAAAAAAAAAABbQ29udGVudF9UeXBlc10ueG1sUEsBAi0AFAAGAAgAAAAh&#10;ADj9If/WAAAAlAEAAAsAAAAAAAAAAAAAAAAALwEAAF9yZWxzLy5yZWxzUEsBAi0AFAAGAAgAAAAh&#10;AHDFL5iIAgAAcwUAAA4AAAAAAAAAAAAAAAAALgIAAGRycy9lMm9Eb2MueG1sUEsBAi0AFAAGAAgA&#10;AAAhAEpKkOrdAAAAAwEAAA8AAAAAAAAAAAAAAAAA4gQAAGRycy9kb3ducmV2LnhtbFBLBQYAAAAA&#10;BAAEAPMAAADsBQAAAAA=&#10;" fillcolor="#ffc000" strokecolor="#70ad47 [3209]" strokeweight=".5pt">
                      <v:path arrowok="t"/>
                      <w10:anchorlock/>
                    </v:shape>
                  </w:pict>
                </mc:Fallback>
              </mc:AlternateContent>
            </w:r>
          </w:p>
        </w:tc>
        <w:tc>
          <w:tcPr>
            <w:tcW w:w="900" w:type="dxa"/>
            <w:vAlign w:val="center"/>
          </w:tcPr>
          <w:p w14:paraId="47FE2C6E" w14:textId="77777777" w:rsidR="004E22A4" w:rsidRPr="002B0537" w:rsidRDefault="004E22A4" w:rsidP="004E22A4">
            <w:pPr>
              <w:jc w:val="center"/>
              <w:rPr>
                <w:rFonts w:eastAsia="Arial" w:cs="Segoe UI"/>
                <w:noProof/>
                <w:sz w:val="20"/>
                <w:szCs w:val="20"/>
              </w:rPr>
            </w:pPr>
            <w:r w:rsidRPr="002B0537">
              <w:rPr>
                <w:rFonts w:eastAsia="Arial" w:cs="Segoe UI"/>
                <w:noProof/>
                <w:sz w:val="20"/>
                <w:szCs w:val="20"/>
              </w:rPr>
              <mc:AlternateContent>
                <mc:Choice Requires="wps">
                  <w:drawing>
                    <wp:inline distT="0" distB="0" distL="0" distR="0" wp14:anchorId="25E269DA" wp14:editId="7A03A9CE">
                      <wp:extent cx="209550" cy="180975"/>
                      <wp:effectExtent l="19050" t="19050" r="38100" b="28575"/>
                      <wp:docPr id="267" name="Isosceles Triangle 2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3D125ED" id="Isosceles Triangle 267"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qDLhwIAAHMFAAAOAAAAZHJzL2Uyb0RvYy54bWysVNtqGzEQfS/0H4Tem91141yWrINxcAmY&#10;NDQpeZa1ki2q1aiS7LX79R1pL0nTQKD0RUiaM/czc3V9aDTZC+cVmIoWJzklwnColdlU9Pvj8tMF&#10;JT4wUzMNRlT0KDy9nn38cNXaUkxgC7oWjqAR48vWVnQbgi2zzPOtaJg/ASsMCiW4hgV8uk1WO9ai&#10;9UZnkzw/y1pwtXXAhff4e9MJ6SzZl1Lw8FVKLwLRFcXYQjpdOtfxzGZXrNw4ZreK92Gwf4iiYcqg&#10;09HUDQuM7Jz6y1SjuAMPMpxwaDKQUnGRcsBsivxVNg9bZkXKBYvj7Vgm///M8rv9vSOqrujk7JwS&#10;wxps0q0Hz4UWnjw6xcxGCxKlWKvW+hJVHuy9i9l6uwL+w6Mg+0MSH77HHKRrIhZzJYdU+ONYeHEI&#10;hOPnJL+cTrE9HEXFRX55Po3OMlYOytb58EVAQ+KloqEPK5Wc7Vc+dPABlmIDreql0jo93Ga90I7s&#10;GfJguVzkeWo9evDPsJRDF3ZKIBy1iMrafBMSa4SBFsljYqcY7THOhQlnfcgJHdUk+h4VP7+v2OOj&#10;qkjMHZUn7yuPGskzmDAqN8qAe8uADkUfsuzwfRd9l3cswRrqI9LDQTc33vKlwgasmA/3zOGgYM9w&#10;+MNXPKSGtqLQ3yjZgvv11n/EI39RSkmLg1dR/3PHnKBE3xpk9mVxehonNT1Op+cTfLiXkvVLidk1&#10;C8CeFrhmLE/XiA96uEoHzRPuiHn0iiJmOPquKA9ueCxCtxBwy3AxnycYTqdlYWUeLB+6Hsn1eHhi&#10;zg4sRPrewTCkrHxFxA4b+2FgvgsgVWLpc137euNkJ673WyiujpfvhHrelbPfAAAA//8DAFBLAwQU&#10;AAYACAAAACEASkqQ6t0AAAADAQAADwAAAGRycy9kb3ducmV2LnhtbEyPQUvDQBCF74L/YRnBi9iN&#10;bZU0ZlNUsFAPgq1oe9tmp0lwdzZkt038945e6uXB4w3vfZPPB2fFEbvQeFJwM0pAIJXeNFQpeF8/&#10;X6cgQtRktPWECr4xwLw4P8t1ZnxPb3hcxUpwCYVMK6hjbDMpQ1mj02HkWyTO9r5zOrLtKmk63XO5&#10;s3KcJHfS6YZ4odYtPtVYfq0OTsGyX38+Xr3uN9PZ0m7bl34xTWcfSl1eDA/3ICIO8XQMv/iMDgUz&#10;7fyBTBBWAT8S/5SzyYTdTsE4vQVZ5PI/e/EDAAD//wMAUEsBAi0AFAAGAAgAAAAhALaDOJL+AAAA&#10;4QEAABMAAAAAAAAAAAAAAAAAAAAAAFtDb250ZW50X1R5cGVzXS54bWxQSwECLQAUAAYACAAAACEA&#10;OP0h/9YAAACUAQAACwAAAAAAAAAAAAAAAAAvAQAAX3JlbHMvLnJlbHNQSwECLQAUAAYACAAAACEA&#10;ZNqgy4cCAABzBQAADgAAAAAAAAAAAAAAAAAuAgAAZHJzL2Uyb0RvYy54bWxQSwECLQAUAAYACAAA&#10;ACEASkqQ6t0AAAADAQAADwAAAAAAAAAAAAAAAADhBAAAZHJzL2Rvd25yZXYueG1sUEsFBgAAAAAE&#10;AAQA8wAAAOsFAAAAAA==&#10;" fillcolor="#ffc000" strokecolor="#70ad47 [3209]" strokeweight=".5pt">
                      <v:path arrowok="t"/>
                      <w10:anchorlock/>
                    </v:shape>
                  </w:pict>
                </mc:Fallback>
              </mc:AlternateContent>
            </w:r>
          </w:p>
        </w:tc>
        <w:tc>
          <w:tcPr>
            <w:tcW w:w="6784" w:type="dxa"/>
          </w:tcPr>
          <w:p w14:paraId="7CFB5877" w14:textId="12C26259" w:rsidR="004E22A4" w:rsidRPr="00E85E5F" w:rsidRDefault="004E22A4" w:rsidP="004E22A4">
            <w:pPr>
              <w:ind w:left="432"/>
            </w:pPr>
            <w:r w:rsidRPr="002B0537">
              <w:t>Microsoft Azure Infrastructure as a Service (IaaS)</w:t>
            </w:r>
          </w:p>
        </w:tc>
      </w:tr>
    </w:tbl>
    <w:p w14:paraId="61F9F02C" w14:textId="77777777" w:rsidR="00F97B16" w:rsidRDefault="00F97B16" w:rsidP="00F97B16">
      <w:pPr>
        <w:pStyle w:val="Caption"/>
        <w:rPr>
          <w:color w:val="212121"/>
        </w:rPr>
      </w:pPr>
      <w:r>
        <w:t xml:space="preserve">Table </w:t>
      </w:r>
      <w:r w:rsidR="00872E47">
        <w:fldChar w:fldCharType="begin"/>
      </w:r>
      <w:r w:rsidR="00872E47">
        <w:instrText xml:space="preserve"> SEQ Table \* ARABIC </w:instrText>
      </w:r>
      <w:r w:rsidR="00872E47">
        <w:fldChar w:fldCharType="separate"/>
      </w:r>
      <w:r>
        <w:rPr>
          <w:noProof/>
        </w:rPr>
        <w:t>2</w:t>
      </w:r>
      <w:r w:rsidR="00872E47">
        <w:rPr>
          <w:noProof/>
        </w:rPr>
        <w:fldChar w:fldCharType="end"/>
      </w:r>
      <w:r>
        <w:t xml:space="preserve"> - Standards Applicability</w:t>
      </w:r>
    </w:p>
    <w:p w14:paraId="4C7FBE85" w14:textId="77777777" w:rsidR="00F97B16" w:rsidRDefault="00F97B16" w:rsidP="00F97B16"/>
    <w:p w14:paraId="5BBCDBCA" w14:textId="77777777" w:rsidR="00F97B16" w:rsidRDefault="00F97B16" w:rsidP="005729D2">
      <w:pPr>
        <w:pStyle w:val="Heading3Numbered"/>
        <w:numPr>
          <w:ilvl w:val="2"/>
          <w:numId w:val="64"/>
        </w:numPr>
      </w:pPr>
      <w:bookmarkStart w:id="7910" w:name="_Toc423091755"/>
      <w:bookmarkStart w:id="7911" w:name="_Toc423464069"/>
      <w:bookmarkStart w:id="7912" w:name="_Toc423464742"/>
      <w:bookmarkStart w:id="7913" w:name="_Toc431288986"/>
      <w:r>
        <w:t>Operating System Standards Summary</w:t>
      </w:r>
      <w:bookmarkEnd w:id="7910"/>
      <w:bookmarkEnd w:id="7911"/>
      <w:bookmarkEnd w:id="7912"/>
      <w:bookmarkEnd w:id="7913"/>
    </w:p>
    <w:p w14:paraId="7748CEAA" w14:textId="51E30FBE" w:rsidR="00F97B16" w:rsidRDefault="00F97B16" w:rsidP="00F97B16">
      <w:pPr>
        <w:rPr>
          <w:color w:val="212121"/>
        </w:rPr>
      </w:pPr>
      <w:r w:rsidRPr="00383264">
        <w:rPr>
          <w:color w:val="212121"/>
        </w:rPr>
        <w:t>The</w:t>
      </w:r>
      <w:r w:rsidR="004E22A4" w:rsidRPr="00383264">
        <w:rPr>
          <w:color w:val="212121"/>
        </w:rPr>
        <w:t xml:space="preserve"> Tier columns </w:t>
      </w:r>
      <w:r w:rsidR="004E22A4">
        <w:rPr>
          <w:color w:val="212121"/>
        </w:rPr>
        <w:t xml:space="preserve">in this table </w:t>
      </w:r>
      <w:r w:rsidR="004E22A4" w:rsidRPr="00383264">
        <w:rPr>
          <w:color w:val="212121"/>
        </w:rPr>
        <w:t xml:space="preserve">refer to the </w:t>
      </w:r>
      <w:r w:rsidR="004E22A4">
        <w:rPr>
          <w:color w:val="212121"/>
        </w:rPr>
        <w:t xml:space="preserve">trust </w:t>
      </w:r>
      <w:r w:rsidR="004E22A4" w:rsidRPr="00383264">
        <w:rPr>
          <w:color w:val="212121"/>
        </w:rPr>
        <w:t xml:space="preserve">level </w:t>
      </w:r>
      <w:r w:rsidR="004E22A4">
        <w:rPr>
          <w:color w:val="212121"/>
        </w:rPr>
        <w:t xml:space="preserve">that must be met for </w:t>
      </w:r>
      <w:r w:rsidR="004E22A4" w:rsidRPr="00383264">
        <w:rPr>
          <w:color w:val="212121"/>
        </w:rPr>
        <w:t>assets (workstations, server</w:t>
      </w:r>
      <w:r w:rsidR="004E22A4">
        <w:rPr>
          <w:color w:val="212121"/>
        </w:rPr>
        <w:t>s</w:t>
      </w:r>
      <w:r w:rsidR="004E22A4" w:rsidRPr="00383264">
        <w:rPr>
          <w:color w:val="212121"/>
        </w:rPr>
        <w:t xml:space="preserve">, domain controller, </w:t>
      </w:r>
      <w:r w:rsidR="004E22A4">
        <w:rPr>
          <w:color w:val="212121"/>
        </w:rPr>
        <w:t>admin workstation, and so on</w:t>
      </w:r>
      <w:r w:rsidR="004E22A4" w:rsidRPr="00383264">
        <w:rPr>
          <w:color w:val="212121"/>
        </w:rPr>
        <w:t xml:space="preserve">) to be used by </w:t>
      </w:r>
      <w:r w:rsidR="004E22A4">
        <w:rPr>
          <w:color w:val="212121"/>
        </w:rPr>
        <w:t>that Tier of administration.</w:t>
      </w:r>
    </w:p>
    <w:tbl>
      <w:tblPr>
        <w:tblStyle w:val="TableGrid"/>
        <w:tblW w:w="9895" w:type="dxa"/>
        <w:tblLayout w:type="fixed"/>
        <w:tblLook w:val="04A0" w:firstRow="1" w:lastRow="0" w:firstColumn="1" w:lastColumn="0" w:noHBand="0" w:noVBand="1"/>
      </w:tblPr>
      <w:tblGrid>
        <w:gridCol w:w="895"/>
        <w:gridCol w:w="1316"/>
        <w:gridCol w:w="900"/>
        <w:gridCol w:w="6784"/>
      </w:tblGrid>
      <w:tr w:rsidR="00F97B16" w:rsidRPr="009B5CD0" w14:paraId="07989678" w14:textId="77777777" w:rsidTr="00915020">
        <w:trPr>
          <w:cnfStyle w:val="100000000000" w:firstRow="1" w:lastRow="0" w:firstColumn="0" w:lastColumn="0" w:oddVBand="0" w:evenVBand="0" w:oddHBand="0" w:evenHBand="0" w:firstRowFirstColumn="0" w:firstRowLastColumn="0" w:lastRowFirstColumn="0" w:lastRowLastColumn="0"/>
        </w:trPr>
        <w:tc>
          <w:tcPr>
            <w:tcW w:w="895" w:type="dxa"/>
            <w:shd w:val="clear" w:color="auto" w:fill="000000" w:themeFill="text1"/>
          </w:tcPr>
          <w:p w14:paraId="3F2D3A62" w14:textId="77777777" w:rsidR="00F97B16" w:rsidRPr="009B5CD0" w:rsidRDefault="00F97B16" w:rsidP="00915020">
            <w:pPr>
              <w:jc w:val="center"/>
              <w:rPr>
                <w:b/>
              </w:rPr>
            </w:pPr>
            <w:r w:rsidRPr="009B5CD0">
              <w:rPr>
                <w:b/>
              </w:rPr>
              <w:t xml:space="preserve">Tier 0 </w:t>
            </w:r>
          </w:p>
        </w:tc>
        <w:tc>
          <w:tcPr>
            <w:tcW w:w="1316" w:type="dxa"/>
            <w:shd w:val="clear" w:color="auto" w:fill="000000" w:themeFill="text1"/>
          </w:tcPr>
          <w:p w14:paraId="4525875C" w14:textId="77777777" w:rsidR="00F97B16" w:rsidRPr="009B5CD0" w:rsidRDefault="00F97B16" w:rsidP="00915020">
            <w:pPr>
              <w:jc w:val="center"/>
              <w:rPr>
                <w:b/>
              </w:rPr>
            </w:pPr>
            <w:r>
              <w:rPr>
                <w:b/>
              </w:rPr>
              <w:t>Tier 1</w:t>
            </w:r>
          </w:p>
        </w:tc>
        <w:tc>
          <w:tcPr>
            <w:tcW w:w="900" w:type="dxa"/>
            <w:shd w:val="clear" w:color="auto" w:fill="000000" w:themeFill="text1"/>
          </w:tcPr>
          <w:p w14:paraId="4BC6B262" w14:textId="77777777" w:rsidR="00F97B16" w:rsidRPr="009B5CD0" w:rsidRDefault="00F97B16" w:rsidP="00915020">
            <w:pPr>
              <w:jc w:val="center"/>
              <w:rPr>
                <w:b/>
              </w:rPr>
            </w:pPr>
            <w:r>
              <w:rPr>
                <w:b/>
              </w:rPr>
              <w:t xml:space="preserve">Tier 2 </w:t>
            </w:r>
          </w:p>
        </w:tc>
        <w:tc>
          <w:tcPr>
            <w:tcW w:w="6784" w:type="dxa"/>
            <w:shd w:val="clear" w:color="auto" w:fill="000000" w:themeFill="text1"/>
          </w:tcPr>
          <w:p w14:paraId="20B62AE7" w14:textId="77777777" w:rsidR="00F97B16" w:rsidRPr="009B5CD0" w:rsidRDefault="00F97B16" w:rsidP="00915020">
            <w:pPr>
              <w:jc w:val="center"/>
              <w:rPr>
                <w:b/>
              </w:rPr>
            </w:pPr>
            <w:r w:rsidRPr="009B5CD0">
              <w:rPr>
                <w:b/>
              </w:rPr>
              <w:t>Standard</w:t>
            </w:r>
          </w:p>
        </w:tc>
      </w:tr>
      <w:tr w:rsidR="00F97B16" w:rsidRPr="009B5CD0" w14:paraId="5DE14CAC" w14:textId="77777777" w:rsidTr="00915020">
        <w:tc>
          <w:tcPr>
            <w:tcW w:w="895" w:type="dxa"/>
            <w:shd w:val="clear" w:color="auto" w:fill="BFBFBF" w:themeFill="background1" w:themeFillShade="BF"/>
            <w:vAlign w:val="center"/>
          </w:tcPr>
          <w:p w14:paraId="03D13611" w14:textId="77777777" w:rsidR="00F97B16" w:rsidRPr="009B5CD0" w:rsidRDefault="00F97B16" w:rsidP="00915020">
            <w:pPr>
              <w:jc w:val="center"/>
              <w:rPr>
                <w:b/>
                <w:color w:val="FFFFFF" w:themeColor="background1"/>
              </w:rPr>
            </w:pPr>
          </w:p>
        </w:tc>
        <w:tc>
          <w:tcPr>
            <w:tcW w:w="1316" w:type="dxa"/>
            <w:shd w:val="clear" w:color="auto" w:fill="BFBFBF" w:themeFill="background1" w:themeFillShade="BF"/>
            <w:vAlign w:val="center"/>
          </w:tcPr>
          <w:p w14:paraId="0C13CDB2" w14:textId="77777777" w:rsidR="00F97B16" w:rsidRPr="009B5CD0" w:rsidRDefault="00F97B16" w:rsidP="00915020">
            <w:pPr>
              <w:jc w:val="center"/>
              <w:rPr>
                <w:b/>
                <w:color w:val="FFFFFF" w:themeColor="background1"/>
              </w:rPr>
            </w:pPr>
          </w:p>
        </w:tc>
        <w:tc>
          <w:tcPr>
            <w:tcW w:w="900" w:type="dxa"/>
            <w:shd w:val="clear" w:color="auto" w:fill="BFBFBF" w:themeFill="background1" w:themeFillShade="BF"/>
            <w:vAlign w:val="center"/>
          </w:tcPr>
          <w:p w14:paraId="6EC6DCE2" w14:textId="77777777" w:rsidR="00F97B16" w:rsidRPr="009B5CD0" w:rsidRDefault="00F97B16" w:rsidP="00915020">
            <w:pPr>
              <w:jc w:val="center"/>
              <w:rPr>
                <w:b/>
                <w:color w:val="FFFFFF" w:themeColor="background1"/>
              </w:rPr>
            </w:pPr>
          </w:p>
        </w:tc>
        <w:tc>
          <w:tcPr>
            <w:tcW w:w="6784" w:type="dxa"/>
            <w:shd w:val="clear" w:color="auto" w:fill="BFBFBF" w:themeFill="background1" w:themeFillShade="BF"/>
          </w:tcPr>
          <w:p w14:paraId="5E14C548" w14:textId="77777777" w:rsidR="00F97B16" w:rsidRPr="009B5CD0" w:rsidRDefault="00F97B16" w:rsidP="00915020">
            <w:pPr>
              <w:rPr>
                <w:b/>
                <w:color w:val="FFFFFF" w:themeColor="background1"/>
              </w:rPr>
            </w:pPr>
            <w:r w:rsidRPr="009B5CD0">
              <w:rPr>
                <w:b/>
                <w:color w:val="FFFFFF" w:themeColor="background1"/>
              </w:rPr>
              <w:t>Host Security</w:t>
            </w:r>
          </w:p>
        </w:tc>
      </w:tr>
      <w:tr w:rsidR="00F97B16" w14:paraId="4C51DF84" w14:textId="77777777" w:rsidTr="00915020">
        <w:tc>
          <w:tcPr>
            <w:tcW w:w="895" w:type="dxa"/>
            <w:vAlign w:val="center"/>
          </w:tcPr>
          <w:p w14:paraId="27474372" w14:textId="77777777" w:rsidR="00F97B16" w:rsidRDefault="00F97B16" w:rsidP="00915020">
            <w:pPr>
              <w:jc w:val="center"/>
              <w:rPr>
                <w:color w:val="212121"/>
              </w:rPr>
            </w:pPr>
            <w:r w:rsidRPr="00840988">
              <w:rPr>
                <w:noProof/>
              </w:rPr>
              <mc:AlternateContent>
                <mc:Choice Requires="wps">
                  <w:drawing>
                    <wp:inline distT="0" distB="0" distL="0" distR="0" wp14:anchorId="79964D53" wp14:editId="16217559">
                      <wp:extent cx="210553" cy="190500"/>
                      <wp:effectExtent l="0" t="0" r="18415" b="19050"/>
                      <wp:docPr id="1546650179" name="Octagon 1546650179"/>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06E1CB26" w14:textId="77777777" w:rsidR="008D2C68" w:rsidRDefault="008D2C68" w:rsidP="00F97B16">
                                  <w:pPr>
                                    <w:jc w:val="center"/>
                                  </w:pPr>
                                </w:p>
                                <w:p w14:paraId="1F3B2D20"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9964D53" id="Octagon 1546650179" o:spid="_x0000_s1048"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sTRhQIAAG8FAAAOAAAAZHJzL2Uyb0RvYy54bWysVN1r2zAQfx/sfxB6X22nST9CnRJSMgal&#10;LW1HnxVZSgSyTpOU2Nlfv5PsOKErFMbyoNz5vu9+dze3ba3JTjivwJS0OMspEYZDpcy6pD9fl9+u&#10;KPGBmYppMKKke+Hp7ezrl5vGTsUINqAr4Qg6MX7a2JJuQrDTLPN8I2rmz8AKg0IJrmYBWbfOKsca&#10;9F7rbJTnF1kDrrIOuPAev951QjpL/qUUPDxK6UUguqSYW0ivS+8qvtnshk3XjtmN4n0a7B+yqJky&#10;GHRwdccCI1un/nJVK+7AgwxnHOoMpFRcpBqwmiJ/V83LhlmRasHmeDu0yf8/t/xh9+SIqnB2k/HF&#10;xSQvLq8pMazGWT3ywNZgyIkE29VYP0WrF/vkes4jGWtvpavjP1ZF2tTi/dBi0QbC8eOoyCeTc0o4&#10;iorrfJKnEWRHY+t8+C6gJpEoKXQ5pN6y3b0PGBO1D1oxnAetqqXSOjFuvVpoR3YMB75Y5PiLM0aT&#10;E7Us1tBlnaiw1yIaa/MsJDYD8yxSxARDMfhjnAsTRr3DpB3NJMYeDM8/N+z1o6lIEB2MR58bDxYp&#10;MpgwGNfKgPvIgQ5Fn7Ls9LEfJ3VHMrSrtkPBVVSNn1ZQ7REaDrqd8ZYvFY7knvnwxBwuCa4TLn54&#10;xEdqaHBWPUXJBtzvj75HfcQuSilpcOlK6n9tmROU6B8GUX1djMdxSxMznlyOkHGnktWpxGzrBeCY&#10;Czwxlicy6gd9IKWD+g3vwzxGRREzHGOXlAd3YBahOwZ4YbiYz5MabqZl4d68WH4AQsTba/vGnO1x&#10;GRDQD3BYUDZ9h81ON47IwHwbQKoE3GNf+xHgVidw9hcono1TPmkd7+TsDwAAAP//AwBQSwMEFAAG&#10;AAgAAAAhALXTcRzaAAAAAwEAAA8AAABkcnMvZG93bnJldi54bWxMj0FrwzAMhe+D/QejQW+t3RZK&#10;l8UpY1DYYTSsW9nVjbUkNJaD7Tbpv5+2S3fRQzzx3qd8M7pOXDDE1pOG+UyBQKq8banW8Pmxna5B&#10;xGTIms4TarhihE1xf5ebzPqB3vGyT7XgEIqZ0dCk1GdSxqpBZ+LM90jsffvgTOI11NIGM3C46+RC&#10;qZV0piVuaEyPLw1Wp/3ZaShPQ/m6LsvHr7Bd7d6CO8zD7qD15GF8fgKRcEy3Y/jFZ3QomOnoz2Sj&#10;6DTwI+lvsrdcLkAcWZUCWeTyP3vxAwAA//8DAFBLAQItABQABgAIAAAAIQC2gziS/gAAAOEBAAAT&#10;AAAAAAAAAAAAAAAAAAAAAABbQ29udGVudF9UeXBlc10ueG1sUEsBAi0AFAAGAAgAAAAhADj9If/W&#10;AAAAlAEAAAsAAAAAAAAAAAAAAAAALwEAAF9yZWxzLy5yZWxzUEsBAi0AFAAGAAgAAAAhAKwmxNGF&#10;AgAAbwUAAA4AAAAAAAAAAAAAAAAALgIAAGRycy9lMm9Eb2MueG1sUEsBAi0AFAAGAAgAAAAhALXT&#10;cRzaAAAAAwEAAA8AAAAAAAAAAAAAAAAA3wQAAGRycy9kb3ducmV2LnhtbFBLBQYAAAAABAAEAPMA&#10;AADmBQAAAAA=&#10;" fillcolor="#c00" strokecolor="#ed7d31 [3205]" strokeweight=".5pt">
                      <v:textbox>
                        <w:txbxContent>
                          <w:p w14:paraId="06E1CB26" w14:textId="77777777" w:rsidR="008D2C68" w:rsidRDefault="008D2C68" w:rsidP="00F97B16">
                            <w:pPr>
                              <w:jc w:val="center"/>
                            </w:pPr>
                          </w:p>
                          <w:p w14:paraId="1F3B2D20" w14:textId="77777777" w:rsidR="008D2C68" w:rsidRDefault="008D2C68" w:rsidP="00F97B16">
                            <w:pPr>
                              <w:jc w:val="center"/>
                            </w:pPr>
                          </w:p>
                        </w:txbxContent>
                      </v:textbox>
                      <w10:anchorlock/>
                    </v:shape>
                  </w:pict>
                </mc:Fallback>
              </mc:AlternateContent>
            </w:r>
          </w:p>
        </w:tc>
        <w:tc>
          <w:tcPr>
            <w:tcW w:w="1316" w:type="dxa"/>
            <w:vAlign w:val="center"/>
          </w:tcPr>
          <w:p w14:paraId="73F32189" w14:textId="77777777" w:rsidR="00F97B16" w:rsidRDefault="00F97B16" w:rsidP="00915020">
            <w:pPr>
              <w:jc w:val="center"/>
              <w:rPr>
                <w:color w:val="212121"/>
              </w:rPr>
            </w:pPr>
            <w:r w:rsidRPr="0031181E">
              <w:rPr>
                <w:rFonts w:eastAsia="Arial" w:cs="Segoe UI"/>
                <w:noProof/>
                <w:sz w:val="20"/>
                <w:szCs w:val="20"/>
              </w:rPr>
              <mc:AlternateContent>
                <mc:Choice Requires="wps">
                  <w:drawing>
                    <wp:inline distT="0" distB="0" distL="0" distR="0" wp14:anchorId="1C9F851E" wp14:editId="2EC282B4">
                      <wp:extent cx="209550" cy="180975"/>
                      <wp:effectExtent l="19050" t="19050" r="38100" b="28575"/>
                      <wp:docPr id="1546650180" name="Isosceles Triangle 1546650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75368A7" id="Isosceles Triangle 1546650180"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FdBjQIAAIEFAAAOAAAAZHJzL2Uyb0RvYy54bWysVNtqGzEQfS/0H4Tem911bSdZsg7GwSVg&#10;kpCk5FnWSvZSrUaVZK/dr+9Ie4mbBgKlL0LSnLmfmavrQ63IXlhXgS5odpZSIjSHstKbgn5/Xn65&#10;oMR5pkumQIuCHoWj17PPn64ak4sRbEGVwhI0ol3emIJuvTd5kji+FTVzZ2CERqEEWzOPT7tJSssa&#10;tF6rZJSm06QBWxoLXDiHvzetkM6ifSkF9/dSOuGJKijG5uNp47kOZzK7YvnGMrOteBcG+4coalZp&#10;dDqYumGekZ2t/jJVV9yCA+nPONQJSFlxEXPAbLL0TTZPW2ZEzAWL48xQJvf/zPK7/YMlVYm9m4yn&#10;00maXWCZNKuxV7cOHBdKOPJsK6Y3SpATEFauMS5HA0/mwYbcnVkB/+FQkPwhCQ/XYQ7S1gGLmZND&#10;bMNxaIM4eMLxc5ReTiYYBUcRhnN5PgltSljeKxvr/DcBNQmXgvouutgAtl8538J7WIwNVFUuK6Xi&#10;w27WC2XJniErlstFmkYioAf3Cos5tGHHBPxRiaCs9KOQWDEMNIseI1fFYI9xLrSfdiFHdFCT6HtQ&#10;/PqxYocPqiLyeFAefaw8aETPoP2gXFca7HsGlM+6kGWL77ro2rxDCdZQHpEsFtopcoYvK2zAijn/&#10;wCyODfYMV4G/x0MqaAoK3Y2SLdhf7/0HPLIZpZQ0OIYFdT93zApK1K1Gnl9m43GY2/gYT85H+LCn&#10;kvWpRO/qBWBPM1w6hsdrwHvVX6WF+gU3xjx4RRHTHH0XlHvbPxa+XQ+4c7iYzyMMZ9Uwv9JPhvdd&#10;D+R6Prwwa3oWIn3voB9Zlr8hYosN/dAw33mQVWTpa127euOcR653OyksktN3RL1uztlvAAAA//8D&#10;AFBLAwQUAAYACAAAACEASkqQ6t0AAAADAQAADwAAAGRycy9kb3ducmV2LnhtbEyPQUvDQBCF74L/&#10;YRnBi9iNbZU0ZlNUsFAPgq1oe9tmp0lwdzZkt038945e6uXB4w3vfZPPB2fFEbvQeFJwM0pAIJXe&#10;NFQpeF8/X6cgQtRktPWECr4xwLw4P8t1ZnxPb3hcxUpwCYVMK6hjbDMpQ1mj02HkWyTO9r5zOrLt&#10;Kmk63XO5s3KcJHfS6YZ4odYtPtVYfq0OTsGyX38+Xr3uN9PZ0m7bl34xTWcfSl1eDA/3ICIO8XQM&#10;v/iMDgUz7fyBTBBWAT8S/5SzyYTdTsE4vQVZ5PI/e/EDAAD//wMAUEsBAi0AFAAGAAgAAAAhALaD&#10;OJL+AAAA4QEAABMAAAAAAAAAAAAAAAAAAAAAAFtDb250ZW50X1R5cGVzXS54bWxQSwECLQAUAAYA&#10;CAAAACEAOP0h/9YAAACUAQAACwAAAAAAAAAAAAAAAAAvAQAAX3JlbHMvLnJlbHNQSwECLQAUAAYA&#10;CAAAACEAUTBXQY0CAACBBQAADgAAAAAAAAAAAAAAAAAuAgAAZHJzL2Uyb0RvYy54bWxQSwECLQAU&#10;AAYACAAAACEASkqQ6t0AAAADAQAADwAAAAAAAAAAAAAAAADnBAAAZHJzL2Rvd25yZXYueG1sUEsF&#10;BgAAAAAEAAQA8wAAAPEFAAAAAA==&#10;" fillcolor="#ffc000" strokecolor="#70ad47 [3209]" strokeweight=".5pt">
                      <v:path arrowok="t"/>
                      <w10:anchorlock/>
                    </v:shape>
                  </w:pict>
                </mc:Fallback>
              </mc:AlternateContent>
            </w:r>
          </w:p>
        </w:tc>
        <w:tc>
          <w:tcPr>
            <w:tcW w:w="900" w:type="dxa"/>
            <w:vAlign w:val="center"/>
          </w:tcPr>
          <w:p w14:paraId="515A7CA7" w14:textId="77777777" w:rsidR="00F97B16" w:rsidRDefault="00F97B16" w:rsidP="00915020">
            <w:pPr>
              <w:jc w:val="center"/>
              <w:rPr>
                <w:color w:val="212121"/>
              </w:rPr>
            </w:pPr>
            <w:r w:rsidRPr="00840988">
              <w:rPr>
                <w:rFonts w:eastAsia="Arial" w:cs="Segoe UI"/>
                <w:noProof/>
                <w:sz w:val="20"/>
                <w:szCs w:val="20"/>
              </w:rPr>
              <mc:AlternateContent>
                <mc:Choice Requires="wps">
                  <w:drawing>
                    <wp:inline distT="0" distB="0" distL="0" distR="0" wp14:anchorId="771CECB5" wp14:editId="2BB1DA3C">
                      <wp:extent cx="190500" cy="190500"/>
                      <wp:effectExtent l="0" t="0" r="19050" b="19050"/>
                      <wp:docPr id="1546650183" name="Oval 1546650183"/>
                      <wp:cNvGraphicFramePr/>
                      <a:graphic xmlns:a="http://schemas.openxmlformats.org/drawingml/2006/main">
                        <a:graphicData uri="http://schemas.microsoft.com/office/word/2010/wordprocessingShape">
                          <wps:wsp>
                            <wps:cNvSpPr/>
                            <wps:spPr>
                              <a:xfrm>
                                <a:off x="0" y="0"/>
                                <a:ext cx="190500" cy="190500"/>
                              </a:xfrm>
                              <a:prstGeom prst="ellipse">
                                <a:avLst/>
                              </a:prstGeom>
                              <a:solidFill>
                                <a:srgbClr val="FFFF00"/>
                              </a:solidFill>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oval w14:anchorId="25FDE0D3" id="Oval 1546650183" o:spid="_x0000_s1026" style="width:15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PhihgIAAHwFAAAOAAAAZHJzL2Uyb0RvYy54bWysVF9r2zAQfx/sOwi9r7azJGtDnRJaMgal&#10;DW1HnxVZigWyTpOUONmn30l2nLCWDcb8IN/p7n73R3d3fbNvNNkJ5xWYkhYXOSXCcKiU2ZT0+8vy&#10;0yUlPjBTMQ1GlPQgPL2Zf/xw3dqZGEENuhKOIIjxs9aWtA7BzrLM81o0zF+AFQaFElzDArJuk1WO&#10;tYje6GyU59OsBVdZB1x4j7d3nZDOE76UgodHKb0IRJcUYwvpdOlcxzObX7PZxjFbK96Hwf4hioYp&#10;g04HqDsWGNk69QaqUdyBBxkuODQZSKm4SDlgNkX+WzbPNbMi5YLF8XYok/9/sPxht3JEVfh2k/F0&#10;OsmLy8+UGNbgWz3umCZn11ir1voZmjzbles5j2RMfC9dE/+YEtmn+h6G+op9IBwvi6t8kuMrcBT1&#10;NKJkJ2PrfPgqoCGRKKnQWlkfK8BmbHfvQ6d91IrXHrSqlkrrxLjN+lY7gnGXdIkfOutMztSymEMX&#10;daLCQYtorM2TkFgJjHOUPKYeFAMe41yYMO1ENatE5wYTOnmJXRstUlIJMCJLDG/ALv6E3QXb60dT&#10;kVp4MM7/bjxYJM9gwmDcKAPuPQAdir5MstPH8M9KE8k1VAfsEwfdAHnLlwqf6J75sGIOJwZfFbdA&#10;eMRDamhLCj1FSQ3u53v3UR8bGaWUtDiBJfU/tswJSvQ3gy1+VYzHcWQTM558GSHjziXrc4nZNreA&#10;z17gvrE8kVE/6CMpHTSvuCwW0SuKmOHou6Q8uCNzG7rNgOuGi8UiqeGYWhbuzbPlETxWNfbfy/6V&#10;Odv3acAGf4DjtL7p1U43WhpYbANIlRr5VNe+3jjiqXH6dRR3yDmftE5Lc/4LAAD//wMAUEsDBBQA&#10;BgAIAAAAIQA6x2Ka2AAAAAMBAAAPAAAAZHJzL2Rvd25yZXYueG1sTI9BS8NAEIXvgv9hGcGLtBut&#10;FI3ZFLEqHmtSBG/T7JgEs7Mhu22iv95RD3qZ4fGGN9/LVpPr1IGG0Ho2cD5PQBFX3rZcG9iWD7Mr&#10;UCEiW+w8k4EPCrDKj48yTK0f+ZkORayVhHBI0UATY59qHaqGHIa574nFe/ODwyhyqLUdcJRw1+mL&#10;JFlqhy3LhwZ7umuoei/2zsC41Pevl2uixabE8uXscV1cP30ac3oy3d6AijTFv2P4xhd0yIVp5/ds&#10;g+oMSJH4M8VbJKJ2v1vnmf7Pnn8BAAD//wMAUEsBAi0AFAAGAAgAAAAhALaDOJL+AAAA4QEAABMA&#10;AAAAAAAAAAAAAAAAAAAAAFtDb250ZW50X1R5cGVzXS54bWxQSwECLQAUAAYACAAAACEAOP0h/9YA&#10;AACUAQAACwAAAAAAAAAAAAAAAAAvAQAAX3JlbHMvLnJlbHNQSwECLQAUAAYACAAAACEAAVz4YoYC&#10;AAB8BQAADgAAAAAAAAAAAAAAAAAuAgAAZHJzL2Uyb0RvYy54bWxQSwECLQAUAAYACAAAACEAOsdi&#10;mtgAAAADAQAADwAAAAAAAAAAAAAAAADgBAAAZHJzL2Rvd25yZXYueG1sUEsFBgAAAAAEAAQA8wAA&#10;AOUFAAAAAA==&#10;" fillcolor="yellow" strokecolor="#375623 [1609]" strokeweight="1pt">
                      <v:stroke joinstyle="miter"/>
                      <w10:anchorlock/>
                    </v:oval>
                  </w:pict>
                </mc:Fallback>
              </mc:AlternateContent>
            </w:r>
          </w:p>
        </w:tc>
        <w:tc>
          <w:tcPr>
            <w:tcW w:w="6784" w:type="dxa"/>
          </w:tcPr>
          <w:p w14:paraId="176D047D" w14:textId="77777777" w:rsidR="00F97B16" w:rsidRDefault="00F97B16" w:rsidP="00915020">
            <w:pPr>
              <w:ind w:left="432"/>
              <w:rPr>
                <w:color w:val="212121"/>
              </w:rPr>
            </w:pPr>
            <w:r>
              <w:rPr>
                <w:color w:val="212121"/>
              </w:rPr>
              <w:t>Current</w:t>
            </w:r>
            <w:r w:rsidRPr="0080251F">
              <w:rPr>
                <w:color w:val="212121"/>
              </w:rPr>
              <w:t xml:space="preserve"> Operating System Version</w:t>
            </w:r>
          </w:p>
        </w:tc>
      </w:tr>
      <w:tr w:rsidR="00F97B16" w14:paraId="4719F25E" w14:textId="77777777" w:rsidTr="00915020">
        <w:tc>
          <w:tcPr>
            <w:tcW w:w="895" w:type="dxa"/>
            <w:vAlign w:val="center"/>
          </w:tcPr>
          <w:p w14:paraId="7BF895F4" w14:textId="77777777" w:rsidR="00F97B16" w:rsidRPr="00672CD5" w:rsidRDefault="00F97B16" w:rsidP="00915020">
            <w:pPr>
              <w:jc w:val="center"/>
              <w:rPr>
                <w:noProof/>
              </w:rPr>
            </w:pPr>
            <w:r w:rsidRPr="00672CD5">
              <w:rPr>
                <w:noProof/>
              </w:rPr>
              <mc:AlternateContent>
                <mc:Choice Requires="wps">
                  <w:drawing>
                    <wp:inline distT="0" distB="0" distL="0" distR="0" wp14:anchorId="610DFAA6" wp14:editId="70559DC0">
                      <wp:extent cx="210553" cy="190500"/>
                      <wp:effectExtent l="0" t="0" r="18415" b="19050"/>
                      <wp:docPr id="201" name="Octagon 201"/>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3C3EE091" w14:textId="77777777" w:rsidR="008D2C68" w:rsidRDefault="008D2C68" w:rsidP="00F97B16">
                                  <w:pPr>
                                    <w:jc w:val="center"/>
                                  </w:pPr>
                                </w:p>
                                <w:p w14:paraId="533A0081"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10DFAA6" id="Octagon 201" o:spid="_x0000_s1049"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0/KfgIAAGEFAAAOAAAAZHJzL2Uyb0RvYy54bWysVF9r2zAQfx/sOwi9r7bTZltDnRJSOgal&#10;DWtHnxVZSgSSTpOU2Nmn30l23NAVCmN+kO90/+9+p6vrzmiyFz4osDWtzkpKhOXQKLup6c+n209f&#10;KQmR2YZpsKKmBxHo9fzjh6vWzcQEtqAb4Qk6sWHWuppuY3Szogh8KwwLZ+CERaEEb1hE1m+KxrMW&#10;vRtdTMryc9GCb5wHLkLA25teSOfZv5SCxwcpg4hE1xRzi/n0+Vyns5hfsdnGM7dVfEiD/UMWhimL&#10;QUdXNywysvPqL1dGcQ8BZDzjYAqQUnGRa8BqqvJVNY9b5kSuBZsT3Nim8P/c8vv9yhPV1BTjU2KZ&#10;wSE98Mg2YEm6wga1LsxQ79Gt/MAFJFO1nfQm/bEO0uWmHsamii4SjpeTqpxOzynhKKouy2mZm168&#10;GDsf4jcBhiSiptAHz91k+7sQMSZqH7VSuABaNbdK68z4zXqpPdkzHPFyWeKXkkaTE7Ui1dBnnal4&#10;0CIZa/tDSCwf86xyxAw8MfpjnAsbJ4PDrJ3MJMYeDc/fNxz0k6nIoByNJ+8bjxY5Mtg4Ghtlwb/l&#10;QMc8OOyB7PWxHyd1JzJ26y7Pvbo8zngNzQHB4KHfkuD4rcKR3LEQV8zjWuAC4arHBzykhhZnNVCU&#10;bMH/fus+6SNaUUpJi2tW0/Brx7ygRH+3iOPL6uIi7WVmLqZfJsj4U8n6VGJ3Zgk4ZkQqZpfJpB/1&#10;kZQezDO+CIsUFUXMcoxdUx79kVnGfv3xTeFischquIuOxTv76PgRCAlvT90z827AZURA38NxJdns&#10;FTZ73TQiC4tdBKkycFOr+74OI8A9zuAc3pz0UJzyWevlZZz/AQAA//8DAFBLAwQUAAYACAAAACEA&#10;tdNxHNoAAAADAQAADwAAAGRycy9kb3ducmV2LnhtbEyPQWvDMAyF74P9B6NBb63dFkqXxSljUNhh&#10;NKxb2dWNtSQ0loPtNum/n7ZLd9FDPPHep3wzuk5cMMTWk4b5TIFAqrxtqdbw+bGdrkHEZMiazhNq&#10;uGKETXF/l5vM+oHe8bJPteAQipnR0KTUZ1LGqkFn4sz3SOx9++BM4jXU0gYzcLjr5EKplXSmJW5o&#10;TI8vDVan/dlpKE9D+bouy8evsF3t3oI7zMPuoPXkYXx+ApFwTLdj+MVndCiY6ejPZKPoNPAj6W+y&#10;t1wuQBxZlQJZ5PI/e/EDAAD//wMAUEsBAi0AFAAGAAgAAAAhALaDOJL+AAAA4QEAABMAAAAAAAAA&#10;AAAAAAAAAAAAAFtDb250ZW50X1R5cGVzXS54bWxQSwECLQAUAAYACAAAACEAOP0h/9YAAACUAQAA&#10;CwAAAAAAAAAAAAAAAAAvAQAAX3JlbHMvLnJlbHNQSwECLQAUAAYACAAAACEAV4dPyn4CAABhBQAA&#10;DgAAAAAAAAAAAAAAAAAuAgAAZHJzL2Uyb0RvYy54bWxQSwECLQAUAAYACAAAACEAtdNxHNoAAAAD&#10;AQAADwAAAAAAAAAAAAAAAADYBAAAZHJzL2Rvd25yZXYueG1sUEsFBgAAAAAEAAQA8wAAAN8FAAAA&#10;AA==&#10;" fillcolor="#c00" strokecolor="#ed7d31 [3205]" strokeweight=".5pt">
                      <v:textbox>
                        <w:txbxContent>
                          <w:p w14:paraId="3C3EE091" w14:textId="77777777" w:rsidR="008D2C68" w:rsidRDefault="008D2C68" w:rsidP="00F97B16">
                            <w:pPr>
                              <w:jc w:val="center"/>
                            </w:pPr>
                          </w:p>
                          <w:p w14:paraId="533A0081" w14:textId="77777777" w:rsidR="008D2C68" w:rsidRDefault="008D2C68" w:rsidP="00F97B16">
                            <w:pPr>
                              <w:jc w:val="center"/>
                            </w:pPr>
                          </w:p>
                        </w:txbxContent>
                      </v:textbox>
                      <w10:anchorlock/>
                    </v:shape>
                  </w:pict>
                </mc:Fallback>
              </mc:AlternateContent>
            </w:r>
          </w:p>
        </w:tc>
        <w:tc>
          <w:tcPr>
            <w:tcW w:w="1316" w:type="dxa"/>
            <w:vAlign w:val="center"/>
          </w:tcPr>
          <w:p w14:paraId="0A9DAB07" w14:textId="77777777" w:rsidR="00F97B16" w:rsidRPr="00672CD5" w:rsidRDefault="00F97B16" w:rsidP="00915020">
            <w:pPr>
              <w:jc w:val="center"/>
              <w:rPr>
                <w:rFonts w:eastAsia="Arial" w:cs="Segoe UI"/>
                <w:noProof/>
                <w:sz w:val="20"/>
                <w:szCs w:val="20"/>
              </w:rPr>
            </w:pPr>
            <w:r w:rsidRPr="00672CD5">
              <w:rPr>
                <w:noProof/>
              </w:rPr>
              <mc:AlternateContent>
                <mc:Choice Requires="wps">
                  <w:drawing>
                    <wp:inline distT="0" distB="0" distL="0" distR="0" wp14:anchorId="1F91BAB9" wp14:editId="34B51B4E">
                      <wp:extent cx="210553" cy="190500"/>
                      <wp:effectExtent l="0" t="0" r="18415" b="19050"/>
                      <wp:docPr id="202" name="Octagon 202"/>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733228EE" w14:textId="77777777" w:rsidR="008D2C68" w:rsidRDefault="008D2C68" w:rsidP="00F97B16">
                                  <w:pPr>
                                    <w:jc w:val="center"/>
                                  </w:pPr>
                                </w:p>
                                <w:p w14:paraId="66592B05"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F91BAB9" id="Octagon 202" o:spid="_x0000_s1050"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FJfwIAAGEFAAAOAAAAZHJzL2Uyb0RvYy54bWysVN1r2zAQfx/sfxB6X/3RZFtDnRJSMgal&#10;DWtHnxVZSgSyTpOU2Nlfv5PsuKErFMb8IN/pvnR3v7vrm67R5CCcV2AqWlzklAjDoVZmW9GfT6tP&#10;XynxgZmaaTCiokfh6c3844fr1s5ECTvQtXAEnRg/a21FdyHYWZZ5vhMN8xdghUGhBNewgKzbZrVj&#10;LXpvdFbm+eesBVdbB1x4j7e3vZDOk38pBQ8PUnoRiK4ovi2k06VzE89sfs1mW8fsTvHhGewfXtEw&#10;ZTDo6OqWBUb2Tv3lqlHcgQcZLjg0GUipuEg5YDZF/iqbxx2zIuWCxfF2LJP/f275/WHtiKorWuYl&#10;JYY12KQHHtgWDIlXWKDW+hnqPdq1GziPZMy2k66Jf8yDdKmox7GooguE42VZ5NPpJSUcRcVVPs1T&#10;0bMXY+t8+CagIZGoKPTBUzXZ4c4HjInaJ60YzoNW9UppnRi33Sy1IweGLV4uc/zio9HkTC2LOfSv&#10;TlQ4ahGNtfkhJKaP7yxSxAQ8MfpjnAsTUhXQYdKOZhJjj4aX7xsO+tFUJFCOxuX7xqNFigwmjMaN&#10;MuDecqBDMdRA9vpYj7O8Ixm6TTf0/dTjDdRHBIODfkq85SuFLbljPqyZw7HAAcJRDw94SA0t9mqg&#10;KNmB+/3WfdRHtKKUkhbHrKL+1545QYn+bhDHV8VkEucyMZPplxIZdy7ZnEvMvlkCtrnApWJ5IqN+&#10;0CdSOmiecSMsYlQUMcMxdkV5cCdmGfrxx53CxWKR1HAWLQt35tHyExAi3p66Z+bsgMuAgL6H00iy&#10;2Sts9rqxRQYW+wBSJeDGUvd1HVqAc5zAOeycuCjO+aT1shnnfwAAAP//AwBQSwMEFAAGAAgAAAAh&#10;ALXTcRzaAAAAAwEAAA8AAABkcnMvZG93bnJldi54bWxMj0FrwzAMhe+D/QejQW+t3RZKl8UpY1DY&#10;YTSsW9nVjbUkNJaD7Tbpv5+2S3fRQzzx3qd8M7pOXDDE1pOG+UyBQKq8banW8Pmxna5BxGTIms4T&#10;arhihE1xf5ebzPqB3vGyT7XgEIqZ0dCk1GdSxqpBZ+LM90jsffvgTOI11NIGM3C46+RCqZV0piVu&#10;aEyPLw1Wp/3ZaShPQ/m6LsvHr7Bd7d6CO8zD7qD15GF8fgKRcEy3Y/jFZ3QomOnoz2Sj6DTwI+lv&#10;srdcLkAcWZUCWeTyP3vxAwAA//8DAFBLAQItABQABgAIAAAAIQC2gziS/gAAAOEBAAATAAAAAAAA&#10;AAAAAAAAAAAAAABbQ29udGVudF9UeXBlc10ueG1sUEsBAi0AFAAGAAgAAAAhADj9If/WAAAAlAEA&#10;AAsAAAAAAAAAAAAAAAAALwEAAF9yZWxzLy5yZWxzUEsBAi0AFAAGAAgAAAAhAD+FUUl/AgAAYQUA&#10;AA4AAAAAAAAAAAAAAAAALgIAAGRycy9lMm9Eb2MueG1sUEsBAi0AFAAGAAgAAAAhALXTcRzaAAAA&#10;AwEAAA8AAAAAAAAAAAAAAAAA2QQAAGRycy9kb3ducmV2LnhtbFBLBQYAAAAABAAEAPMAAADgBQAA&#10;AAA=&#10;" fillcolor="#c00" strokecolor="#ed7d31 [3205]" strokeweight=".5pt">
                      <v:textbox>
                        <w:txbxContent>
                          <w:p w14:paraId="733228EE" w14:textId="77777777" w:rsidR="008D2C68" w:rsidRDefault="008D2C68" w:rsidP="00F97B16">
                            <w:pPr>
                              <w:jc w:val="center"/>
                            </w:pPr>
                          </w:p>
                          <w:p w14:paraId="66592B05" w14:textId="77777777" w:rsidR="008D2C68" w:rsidRDefault="008D2C68" w:rsidP="00F97B16">
                            <w:pPr>
                              <w:jc w:val="center"/>
                            </w:pPr>
                          </w:p>
                        </w:txbxContent>
                      </v:textbox>
                      <w10:anchorlock/>
                    </v:shape>
                  </w:pict>
                </mc:Fallback>
              </mc:AlternateContent>
            </w:r>
          </w:p>
        </w:tc>
        <w:tc>
          <w:tcPr>
            <w:tcW w:w="900" w:type="dxa"/>
            <w:vAlign w:val="center"/>
          </w:tcPr>
          <w:p w14:paraId="5DB6E8E8" w14:textId="77777777" w:rsidR="00F97B16" w:rsidRPr="00672CD5" w:rsidRDefault="00F97B16" w:rsidP="00915020">
            <w:pPr>
              <w:jc w:val="center"/>
              <w:rPr>
                <w:rFonts w:eastAsia="Arial" w:cs="Segoe UI"/>
                <w:noProof/>
                <w:sz w:val="20"/>
                <w:szCs w:val="20"/>
              </w:rPr>
            </w:pPr>
            <w:r w:rsidRPr="00672CD5">
              <w:rPr>
                <w:rFonts w:eastAsia="Arial" w:cs="Segoe UI"/>
                <w:noProof/>
                <w:sz w:val="20"/>
                <w:szCs w:val="20"/>
              </w:rPr>
              <mc:AlternateContent>
                <mc:Choice Requires="wps">
                  <w:drawing>
                    <wp:inline distT="0" distB="0" distL="0" distR="0" wp14:anchorId="22E55FD8" wp14:editId="549AB982">
                      <wp:extent cx="209550" cy="180975"/>
                      <wp:effectExtent l="19050" t="19050" r="38100" b="28575"/>
                      <wp:docPr id="203" name="Isosceles Triangle 2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88BF771" id="Isosceles Triangle 203"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9oBhwIAAHMFAAAOAAAAZHJzL2Uyb0RvYy54bWysVNtqGzEQfS/0H4Tem107cS5L1sE4uARM&#10;YpqUPMtayRbValRJ9tr9+o60l6RpIFD6IiTNmfuZub451JrshfMKTElHJzklwnColNmU9PvT4ssl&#10;JT4wUzENRpT0KDy9mX7+dN3YQoxhC7oSjqAR44vGlnQbgi2yzPOtqJk/ASsMCiW4mgV8uk1WOdag&#10;9Vpn4zw/zxpwlXXAhff4e9sK6TTZl1Lw8CClF4HokmJsIZ0unet4ZtNrVmwcs1vFuzDYP0RRM2XQ&#10;6WDqlgVGdk79ZapW3IEHGU441BlIqbhIOWA2o/xNNo9bZkXKBYvj7VAm///M8vv9yhFVlXScn1Ji&#10;WI1NuvPgudDCkyenmNloQaIUa9VYX6DKo125mK23S+A/PAqyPyTx4TvMQbo6YjFXckiFPw6FF4dA&#10;OH6O86vJBNvDUTS6zK8uJtFZxope2TofvgqoSbyUNHRhpZKz/dKHFt7DUmygVbVQWqeH26zn2pE9&#10;Qx4sFvM8T61HD/4FlnJow04JhKMWUVmbb0JijTDQUfKY2CkGe4xzYcJ5F3JCRzWJvgfF048VO3xU&#10;FYm5g/L4Y+VBI3kGEwblWhlw7xnQYdSFLFt810Xf5h1LsIbqiPRw0M6Nt3yhsAFL5sOKORwU7BkO&#10;f3jAQ2poSgrdjZItuF/v/Uc88hellDQ4eCX1P3fMCUr0nUFmX43OzuKkpsfZ5GKMD/dasn4tMbt6&#10;DtjTEa4Zy9M14oPur9JB/Yw7Yha9oogZjr5LyoPrH/PQLgTcMlzMZgmG02lZWJpHy/uuR3I9HZ6Z&#10;sz0Lkb730A8pK94QscXGfhiY7QJIlVj6Uteu3jjZievdFoqr4/U7oV525fQ3AAAA//8DAFBLAwQU&#10;AAYACAAAACEASkqQ6t0AAAADAQAADwAAAGRycy9kb3ducmV2LnhtbEyPQUvDQBCF74L/YRnBi9iN&#10;bZU0ZlNUsFAPgq1oe9tmp0lwdzZkt038945e6uXB4w3vfZPPB2fFEbvQeFJwM0pAIJXeNFQpeF8/&#10;X6cgQtRktPWECr4xwLw4P8t1ZnxPb3hcxUpwCYVMK6hjbDMpQ1mj02HkWyTO9r5zOrLtKmk63XO5&#10;s3KcJHfS6YZ4odYtPtVYfq0OTsGyX38+Xr3uN9PZ0m7bl34xTWcfSl1eDA/3ICIO8XQMv/iMDgUz&#10;7fyBTBBWAT8S/5SzyYTdTsE4vQVZ5PI/e/EDAAD//wMAUEsBAi0AFAAGAAgAAAAhALaDOJL+AAAA&#10;4QEAABMAAAAAAAAAAAAAAAAAAAAAAFtDb250ZW50X1R5cGVzXS54bWxQSwECLQAUAAYACAAAACEA&#10;OP0h/9YAAACUAQAACwAAAAAAAAAAAAAAAAAvAQAAX3JlbHMvLnJlbHNQSwECLQAUAAYACAAAACEA&#10;OXvaAYcCAABzBQAADgAAAAAAAAAAAAAAAAAuAgAAZHJzL2Uyb0RvYy54bWxQSwECLQAUAAYACAAA&#10;ACEASkqQ6t0AAAADAQAADwAAAAAAAAAAAAAAAADhBAAAZHJzL2Rvd25yZXYueG1sUEsFBgAAAAAE&#10;AAQA8wAAAOsFAAAAAA==&#10;" fillcolor="#ffc000" strokecolor="#70ad47 [3209]" strokeweight=".5pt">
                      <v:path arrowok="t"/>
                      <w10:anchorlock/>
                    </v:shape>
                  </w:pict>
                </mc:Fallback>
              </mc:AlternateContent>
            </w:r>
            <w:r w:rsidRPr="00672CD5">
              <w:rPr>
                <w:rStyle w:val="FootnoteReference"/>
                <w:rFonts w:eastAsia="Arial" w:cs="Segoe UI"/>
                <w:noProof/>
                <w:sz w:val="20"/>
                <w:szCs w:val="20"/>
              </w:rPr>
              <w:footnoteReference w:id="12"/>
            </w:r>
          </w:p>
        </w:tc>
        <w:tc>
          <w:tcPr>
            <w:tcW w:w="6784" w:type="dxa"/>
          </w:tcPr>
          <w:p w14:paraId="4D12036B" w14:textId="77777777" w:rsidR="00F97B16" w:rsidRPr="00672CD5" w:rsidRDefault="00F97B16" w:rsidP="00915020">
            <w:pPr>
              <w:ind w:left="432"/>
            </w:pPr>
            <w:r w:rsidRPr="00672CD5">
              <w:t xml:space="preserve">Block access to </w:t>
            </w:r>
            <w:r>
              <w:t>public internet</w:t>
            </w:r>
            <w:r w:rsidRPr="00672CD5">
              <w:t xml:space="preserve"> and email</w:t>
            </w:r>
          </w:p>
        </w:tc>
      </w:tr>
      <w:tr w:rsidR="00F97B16" w14:paraId="7C5DED67" w14:textId="77777777" w:rsidTr="00915020">
        <w:tc>
          <w:tcPr>
            <w:tcW w:w="895" w:type="dxa"/>
            <w:vAlign w:val="center"/>
          </w:tcPr>
          <w:p w14:paraId="4973D976" w14:textId="77777777" w:rsidR="00F97B16" w:rsidRDefault="00F97B16" w:rsidP="00915020">
            <w:pPr>
              <w:jc w:val="center"/>
              <w:rPr>
                <w:color w:val="212121"/>
              </w:rPr>
            </w:pPr>
            <w:r w:rsidRPr="00840988">
              <w:rPr>
                <w:noProof/>
              </w:rPr>
              <mc:AlternateContent>
                <mc:Choice Requires="wps">
                  <w:drawing>
                    <wp:inline distT="0" distB="0" distL="0" distR="0" wp14:anchorId="4ECB9A79" wp14:editId="73F20386">
                      <wp:extent cx="210553" cy="190500"/>
                      <wp:effectExtent l="0" t="0" r="18415" b="19050"/>
                      <wp:docPr id="1546650184" name="Octagon 1546650184"/>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05D442B3" w14:textId="77777777" w:rsidR="008D2C68" w:rsidRDefault="008D2C68" w:rsidP="00F97B16">
                                  <w:pPr>
                                    <w:jc w:val="center"/>
                                  </w:pPr>
                                </w:p>
                                <w:p w14:paraId="3B0F8560"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ECB9A79" id="Octagon 1546650184" o:spid="_x0000_s1051"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9/ehAIAAG8FAAAOAAAAZHJzL2Uyb0RvYy54bWysVN1r2zAQfx/sfxB6X/3RpGtDnRJSOgal&#10;DWtHnxVZSgSyTpOU2Nlfv5PsuKErFMbyoNz5vu9+d9c3XaPJXjivwFS0OMspEYZDrcymoj+f775c&#10;UuIDMzXTYERFD8LTm/nnT9etnYkStqBr4Qg6MX7W2opuQ7CzLPN8Kxrmz8AKg0IJrmEBWbfJasda&#10;9N7orMzzi6wFV1sHXHiPX297IZ0n/1IKHh6l9CIQXVHMLaTXpXcd32x+zWYbx+xW8SEN9g9ZNEwZ&#10;DDq6umWBkZ1Tf7lqFHfgQYYzDk0GUiouUg1YTZG/qeZpy6xItWBzvB3b5P+fW/6wXzmiapzddHJx&#10;Mc2LywklhjU4q0ce2AYMOZFgu1rrZ2j1ZFdu4DySsfZOuib+Y1WkSy0+jC0WXSAcP5ZFPp2eU8JR&#10;VFzl0zyNIHs1ts6HbwIaEomKQp9D6i3b3/uAMVH7qBXDedCqvlNaJ8Zt1kvtyJ7hwJfLHH9xxmhy&#10;opbFGvqsExUOWkRjbX4Iic3APIsUMcFQjP4Y58KEcnCYtKOZxNij4fnHhoN+NBUJoqNx+bHxaJEi&#10;gwmjcaMMuPcc6FAMKcteH/txUnckQ7fuEgrKpBo/raE+IDQc9DvjLb9TOJJ75sOKOVwSXCdc/PCI&#10;j9TQ4qwGipItuN/vfY/6iF2UUtLi0lXU/9oxJyjR3w2i+qqYTOKWJmYy/Voi404l61OJ2TVLwDEX&#10;eGIsT2TUD/pISgfNC96HRYyKImY4xq4oD+7ILEN/DPDCcLFYJDXcTMvCvXmy/AiEiLfn7oU5O+Ay&#10;IKAf4LigbPYGm71uHJGBxS6AVAm4r30dRoBbncA5XKB4Nk75pPV6J+d/AAAA//8DAFBLAwQUAAYA&#10;CAAAACEAtdNxHNoAAAADAQAADwAAAGRycy9kb3ducmV2LnhtbEyPQWvDMAyF74P9B6NBb63dFkqX&#10;xSljUNhhNKxb2dWNtSQ0loPtNum/n7ZLd9FDPPHep3wzuk5cMMTWk4b5TIFAqrxtqdbw+bGdrkHE&#10;ZMiazhNquGKETXF/l5vM+oHe8bJPteAQipnR0KTUZ1LGqkFn4sz3SOx9++BM4jXU0gYzcLjr5EKp&#10;lXSmJW5oTI8vDVan/dlpKE9D+bouy8evsF3t3oI7zMPuoPXkYXx+ApFwTLdj+MVndCiY6ejPZKPo&#10;NPAj6W+yt1wuQBxZlQJZ5PI/e/EDAAD//wMAUEsBAi0AFAAGAAgAAAAhALaDOJL+AAAA4QEAABMA&#10;AAAAAAAAAAAAAAAAAAAAAFtDb250ZW50X1R5cGVzXS54bWxQSwECLQAUAAYACAAAACEAOP0h/9YA&#10;AACUAQAACwAAAAAAAAAAAAAAAAAvAQAAX3JlbHMvLnJlbHNQSwECLQAUAAYACAAAACEArKPf3oQC&#10;AABvBQAADgAAAAAAAAAAAAAAAAAuAgAAZHJzL2Uyb0RvYy54bWxQSwECLQAUAAYACAAAACEAtdNx&#10;HNoAAAADAQAADwAAAAAAAAAAAAAAAADeBAAAZHJzL2Rvd25yZXYueG1sUEsFBgAAAAAEAAQA8wAA&#10;AOUFAAAAAA==&#10;" fillcolor="#c00" strokecolor="#ed7d31 [3205]" strokeweight=".5pt">
                      <v:textbox>
                        <w:txbxContent>
                          <w:p w14:paraId="05D442B3" w14:textId="77777777" w:rsidR="008D2C68" w:rsidRDefault="008D2C68" w:rsidP="00F97B16">
                            <w:pPr>
                              <w:jc w:val="center"/>
                            </w:pPr>
                          </w:p>
                          <w:p w14:paraId="3B0F8560" w14:textId="77777777" w:rsidR="008D2C68" w:rsidRDefault="008D2C68" w:rsidP="00F97B16">
                            <w:pPr>
                              <w:jc w:val="center"/>
                            </w:pPr>
                          </w:p>
                        </w:txbxContent>
                      </v:textbox>
                      <w10:anchorlock/>
                    </v:shape>
                  </w:pict>
                </mc:Fallback>
              </mc:AlternateContent>
            </w:r>
          </w:p>
        </w:tc>
        <w:tc>
          <w:tcPr>
            <w:tcW w:w="1316" w:type="dxa"/>
            <w:vAlign w:val="center"/>
          </w:tcPr>
          <w:p w14:paraId="7C6A717C" w14:textId="77777777" w:rsidR="00F97B16" w:rsidRDefault="00F97B16" w:rsidP="00915020">
            <w:pPr>
              <w:jc w:val="center"/>
              <w:rPr>
                <w:color w:val="212121"/>
              </w:rPr>
            </w:pPr>
            <w:r w:rsidRPr="0031181E">
              <w:rPr>
                <w:rFonts w:eastAsia="Arial" w:cs="Segoe UI"/>
                <w:noProof/>
                <w:sz w:val="20"/>
                <w:szCs w:val="20"/>
              </w:rPr>
              <mc:AlternateContent>
                <mc:Choice Requires="wps">
                  <w:drawing>
                    <wp:inline distT="0" distB="0" distL="0" distR="0" wp14:anchorId="267E1747" wp14:editId="4E4FD256">
                      <wp:extent cx="209550" cy="180975"/>
                      <wp:effectExtent l="19050" t="19050" r="38100" b="28575"/>
                      <wp:docPr id="71" name="Isosceles Tri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F74284D" id="Isosceles Triangle 71"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BVnhgIAAHEFAAAOAAAAZHJzL2Uyb0RvYy54bWysVNtqGzEQfS/0H4Tem127cS5L1sE4uARM&#10;YpKUPMtayRbValRJ9tr9+o60l6RpIFD6IjSaM/czuro+1JrshfMKTElHJzklwnColNmU9PvT4ssF&#10;JT4wUzENRpT0KDy9nn7+dNXYQoxhC7oSjqAT44vGlnQbgi2yzPOtqJk/ASsMKiW4mgUU3SarHGvQ&#10;e62zcZ6fZQ24yjrgwnt8vWmVdJr8Syl4uJfSi0B0STG3kE6XznU8s+kVKzaO2a3iXRrsH7KomTIY&#10;dHB1wwIjO6f+clUr7sCDDCcc6gykVFykGrCaUf6mmsctsyLVgs3xdmiT/39u+d1+5YiqSno+osSw&#10;Gmd068FzoYUnT04xs9GCoBI71VhfoMGjXblYq7dL4D88KrI/NFHwHeYgXR2xWCk5pLYfh7aLQyAc&#10;H8f55WSCw+GoGl3kl+eTGCxjRW9snQ/fBNQkXkoauqxSw9l+6UML72EpN9CqWiitk+A267l2ZM+Q&#10;BYvFPM/T4DGCf4GlGtq0UwHhqEU01uZBSOwQJjpKERM3xeCPcS5MOOtSTuhoJjH2YPj1Y8MOH01F&#10;4u1gPP7YeLBIkcGEwbhWBtx7DnRII8UeyBbfTdG3dccWrKE6IjkctFvjLV8oHMCS+bBiDtcEZ4ar&#10;H+7xkBqakkJ3o2QL7td77xGP7EUtJQ2uXUn9zx1zghJ9a5DXl6PT07inSTidnI9RcK8169cas6vn&#10;gDNF6mJ26RrxQfdX6aB+xh9iFqOiihmOsUvKg+uFeWi/A/xjuJjNEgx307KwNI+W91OP5Ho6PDNn&#10;exYife+gX1FWvCFii43zMDDbBZAqsfSlr12/ca8T17s/KH4cr+WEevkpp78B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Dv&#10;WBVnhgIAAHE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900" w:type="dxa"/>
            <w:vAlign w:val="center"/>
          </w:tcPr>
          <w:p w14:paraId="1A909849" w14:textId="77777777" w:rsidR="00F97B16" w:rsidRDefault="00F97B16" w:rsidP="00915020">
            <w:pPr>
              <w:jc w:val="center"/>
              <w:rPr>
                <w:color w:val="212121"/>
              </w:rPr>
            </w:pPr>
            <w:r w:rsidRPr="0031181E">
              <w:rPr>
                <w:rFonts w:eastAsia="Arial" w:cs="Segoe UI"/>
                <w:noProof/>
                <w:sz w:val="20"/>
                <w:szCs w:val="20"/>
              </w:rPr>
              <mc:AlternateContent>
                <mc:Choice Requires="wps">
                  <w:drawing>
                    <wp:inline distT="0" distB="0" distL="0" distR="0" wp14:anchorId="67451B62" wp14:editId="61387F40">
                      <wp:extent cx="209550" cy="180975"/>
                      <wp:effectExtent l="19050" t="19050" r="38100" b="28575"/>
                      <wp:docPr id="72" name="Isosceles Tri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995D273" id="Isosceles Triangle 72"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x7GhgIAAHEFAAAOAAAAZHJzL2Uyb0RvYy54bWysVNtqGzEQfS/0H4Tem91141yWrINxcAmY&#10;NDQpeZa1ki2q1aiS7LX79R1pL0nTQKD0RUiaM/czc3V9aDTZC+cVmIoWJzklwnColdlU9Pvj8tMF&#10;JT4wUzMNRlT0KDy9nn38cNXaUkxgC7oWjqAR48vWVnQbgi2zzPOtaJg/ASsMCiW4hgV8uk1WO9ai&#10;9UZnkzw/y1pwtXXAhff4e9MJ6SzZl1Lw8FVKLwLRFcXYQjpdOtfxzGZXrNw4ZreK92Gwf4iiYcqg&#10;09HUDQuM7Jz6y1SjuAMPMpxwaDKQUnGRcsBsivxVNg9bZkXKBYvj7Vgm///M8rv9vSOqruj5hBLD&#10;GuzRrQfPhRaePDrFzEYLgkKsVGt9iQoP9t7FXL1dAf/hUZD9IYkP32MO0jURi5mSQyr7cSy7OATC&#10;8XOSX06n2ByOouIivzyfRmcZKwdl63z4IqAh8VLR0EeVCs72Kx86+ABLsYFW9VJpnR5us15oR/YM&#10;WbBcLvI8NR49+GdYyqELOyUQjlpEZW2+CYkVwkCL5DFxU4z2GOfChLM+5ISOahJ9j4qf31fs8VFV&#10;JN6OypP3lUeN5BlMGJUbZcC9ZUCHog9Zdvi+i77LO5ZgDfURyeGgmxpv+VJhA1bMh3vmcEywZzj6&#10;4SseUkNbUehvlGzB/XrrP+KRvSilpMWxq6j/uWNOUKJvDfL6sjg9jXOaHqfT8wk+3EvJ+qXE7JoF&#10;YE8LXDKWp2vEBz1cpYPmCTfEPHpFETMcfVeUBzc8FqFbB7hjuJjPEwxn07KwMg+WD12P5Ho8PDFn&#10;BxYife9gGFFWviJih439MDDfBZAqsfS5rn29ca4T1/sdFBfHy3dCPW/K2W8A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Bc&#10;Yx7GhgIAAHE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6784" w:type="dxa"/>
          </w:tcPr>
          <w:p w14:paraId="382EF446" w14:textId="77777777" w:rsidR="00F97B16" w:rsidRDefault="00F97B16" w:rsidP="00915020">
            <w:pPr>
              <w:ind w:left="432"/>
              <w:rPr>
                <w:color w:val="212121"/>
              </w:rPr>
            </w:pPr>
            <w:r w:rsidRPr="00A377C5">
              <w:t>Verification of all media in build as clean</w:t>
            </w:r>
          </w:p>
        </w:tc>
      </w:tr>
      <w:tr w:rsidR="00F97B16" w14:paraId="04303666" w14:textId="77777777" w:rsidTr="00915020">
        <w:tc>
          <w:tcPr>
            <w:tcW w:w="895" w:type="dxa"/>
            <w:vAlign w:val="center"/>
          </w:tcPr>
          <w:p w14:paraId="3A698FAA" w14:textId="77777777" w:rsidR="00F97B16" w:rsidRDefault="00F97B16" w:rsidP="00915020">
            <w:pPr>
              <w:jc w:val="center"/>
              <w:rPr>
                <w:color w:val="212121"/>
              </w:rPr>
            </w:pPr>
            <w:r w:rsidRPr="00840988">
              <w:rPr>
                <w:noProof/>
              </w:rPr>
              <mc:AlternateContent>
                <mc:Choice Requires="wps">
                  <w:drawing>
                    <wp:inline distT="0" distB="0" distL="0" distR="0" wp14:anchorId="4F76B5BB" wp14:editId="1826ADF6">
                      <wp:extent cx="210553" cy="190500"/>
                      <wp:effectExtent l="0" t="0" r="18415" b="19050"/>
                      <wp:docPr id="1546650197" name="Octagon 1546650197"/>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5D7C7E21" w14:textId="77777777" w:rsidR="008D2C68" w:rsidRDefault="008D2C68" w:rsidP="00F97B16">
                                  <w:pPr>
                                    <w:jc w:val="center"/>
                                  </w:pPr>
                                </w:p>
                                <w:p w14:paraId="0BFF920E"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F76B5BB" id="Octagon 1546650197" o:spid="_x0000_s1052"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MGohAIAAG8FAAAOAAAAZHJzL2Uyb0RvYy54bWysVN1r2zAQfx/sfxB6X/3RpF1DnRJSOgal&#10;DWtHnxVZSgSyTpOU2Nlfv5PsuKErFMbyoNz5vu9+d9c3XaPJXjivwFS0OMspEYZDrcymoj+f7758&#10;pcQHZmqmwYiKHoSnN/PPn65bOxMlbEHXwhF0YvystRXdhmBnWeb5VjTMn4EVBoUSXMMCsm6T1Y61&#10;6L3RWZnnF1kLrrYOuPAev972QjpP/qUUPDxK6UUguqKYW0ivS+86vtn8ms02jtmt4kMa7B+yaJgy&#10;GHR0dcsCIzun/nLVKO7AgwxnHJoMpFRcpBqwmiJ/U83TllmRasHmeDu2yf8/t/xhv3JE1Ti76eTi&#10;YpoXV5eUGNbgrB55YBsw5ESC7Wqtn6HVk125gfNIxto76Zr4j1WRLrX4MLZYdIFw/FgW+XR6TglH&#10;UXGVT/M0guzV2DofvgloSCQqCn0Oqbdsf+8DxkTto1YM50Gr+k5pnRi3WS+1I3uGA18uc/zFGaPJ&#10;iVoWa+izTlQ4aBGNtfkhJDYD8yxSxARDMfpjnAsTysFh0o5mEmOPhucfGw760VQkiI7G5cfGo0WK&#10;DCaMxo0y4N5zoEMxpCx7fezHSd2RDN26SygoU3Xx0xrqA0LDQb8z3vI7hSO5Zz6smMMlwXXCxQ+P&#10;+EgNLc5qoCjZgvv93veoj9hFKSUtLl1F/a8dc4IS/d0gqq+KySRuaWIm08sSGXcqWZ9KzK5ZAo65&#10;wBNjeSKjftBHUjpoXvA+LGJUFDHDMXZFeXBHZhn6Y4AXhovFIqnhZloW7s2T5UcgRLw9dy/M2QGX&#10;AQH9AMcFZbM32Ox144gMLHYBpErAfe3rMALc6gTO4QLFs3HKJ63XOzn/AwAA//8DAFBLAwQUAAYA&#10;CAAAACEAtdNxHNoAAAADAQAADwAAAGRycy9kb3ducmV2LnhtbEyPQWvDMAyF74P9B6NBb63dFkqX&#10;xSljUNhhNKxb2dWNtSQ0loPtNum/n7ZLd9FDPPHep3wzuk5cMMTWk4b5TIFAqrxtqdbw+bGdrkHE&#10;ZMiazhNquGKETXF/l5vM+oHe8bJPteAQipnR0KTUZ1LGqkFn4sz3SOx9++BM4jXU0gYzcLjr5EKp&#10;lXSmJW5oTI8vDVan/dlpKE9D+bouy8evsF3t3oI7zMPuoPXkYXx+ApFwTLdj+MVndCiY6ejPZKPo&#10;NPAj6W+yt1wuQBxZlQJZ5PI/e/EDAAD//wMAUEsBAi0AFAAGAAgAAAAhALaDOJL+AAAA4QEAABMA&#10;AAAAAAAAAAAAAAAAAAAAAFtDb250ZW50X1R5cGVzXS54bWxQSwECLQAUAAYACAAAACEAOP0h/9YA&#10;AACUAQAACwAAAAAAAAAAAAAAAAAvAQAAX3JlbHMvLnJlbHNQSwECLQAUAAYACAAAACEArVjBqIQC&#10;AABvBQAADgAAAAAAAAAAAAAAAAAuAgAAZHJzL2Uyb0RvYy54bWxQSwECLQAUAAYACAAAACEAtdNx&#10;HNoAAAADAQAADwAAAAAAAAAAAAAAAADeBAAAZHJzL2Rvd25yZXYueG1sUEsFBgAAAAAEAAQA8wAA&#10;AOUFAAAAAA==&#10;" fillcolor="#c00" strokecolor="#ed7d31 [3205]" strokeweight=".5pt">
                      <v:textbox>
                        <w:txbxContent>
                          <w:p w14:paraId="5D7C7E21" w14:textId="77777777" w:rsidR="008D2C68" w:rsidRDefault="008D2C68" w:rsidP="00F97B16">
                            <w:pPr>
                              <w:jc w:val="center"/>
                            </w:pPr>
                          </w:p>
                          <w:p w14:paraId="0BFF920E" w14:textId="77777777" w:rsidR="008D2C68" w:rsidRDefault="008D2C68" w:rsidP="00F97B16">
                            <w:pPr>
                              <w:jc w:val="center"/>
                            </w:pPr>
                          </w:p>
                        </w:txbxContent>
                      </v:textbox>
                      <w10:anchorlock/>
                    </v:shape>
                  </w:pict>
                </mc:Fallback>
              </mc:AlternateContent>
            </w:r>
          </w:p>
        </w:tc>
        <w:tc>
          <w:tcPr>
            <w:tcW w:w="1316" w:type="dxa"/>
            <w:vAlign w:val="center"/>
          </w:tcPr>
          <w:p w14:paraId="7EB94159" w14:textId="77777777" w:rsidR="00F97B16" w:rsidRDefault="00F97B16" w:rsidP="00915020">
            <w:pPr>
              <w:jc w:val="center"/>
              <w:rPr>
                <w:color w:val="212121"/>
              </w:rPr>
            </w:pPr>
            <w:r w:rsidRPr="00840988">
              <w:rPr>
                <w:noProof/>
              </w:rPr>
              <mc:AlternateContent>
                <mc:Choice Requires="wps">
                  <w:drawing>
                    <wp:inline distT="0" distB="0" distL="0" distR="0" wp14:anchorId="1EEC86D8" wp14:editId="72FDC317">
                      <wp:extent cx="210553" cy="190500"/>
                      <wp:effectExtent l="0" t="0" r="18415" b="19050"/>
                      <wp:docPr id="89" name="Octagon 89"/>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6692E34C" w14:textId="77777777" w:rsidR="008D2C68" w:rsidRDefault="008D2C68" w:rsidP="00F97B16">
                                  <w:pPr>
                                    <w:jc w:val="center"/>
                                  </w:pPr>
                                </w:p>
                                <w:p w14:paraId="2C26CE00"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EEC86D8" id="Octagon 89" o:spid="_x0000_s1053"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M5ufQIAAF8FAAAOAAAAZHJzL2Uyb0RvYy54bWysVN1r2zAQfx/sfxB6X/2RZGtDnRJSOgal&#10;LW1HnxVZSgSyTpOU2Nlfv5PsuKErFMb8IN/pfvd9p8urrtFkL5xXYCpanOWUCMOhVmZT0Z/PN1/O&#10;KfGBmZppMKKiB+Hp1eLzp8vWzkUJW9C1cASNGD9vbUW3Idh5lnm+FQ3zZ2CFQaEE17CArNtktWMt&#10;Wm90Vub516wFV1sHXHiPt9e9kC6SfSkFD/dSehGIrijGFtLp0rmOZ7a4ZPONY3ar+BAG+4coGqYM&#10;Oh1NXbPAyM6pv0w1ijvwIMMZhyYDKRUXKQfMpsjfZPO0ZVakXLA43o5l8v/PLL/bPzii6oqeX1Bi&#10;WIM9uueBbcAQvMHytNbPEfVkH9zAeSRjrp10TfxjFqRLJT2MJRVdIBwvyyKfzSaUcBQVF/ksTyXP&#10;XpWt8+G7gIZEoqLQ+061ZPtbH9Anoo+o6M6DVvWN0joxbrNeaUf2DBu8WuX4xaBR5QSWxRz6qBMV&#10;DlpEZW0ehcTkMc4ieUxjJ0Z7jHNhQjkYTOioJtH3qDj5WHHAR1WRRnJULj9WHjWSZzBhVG6UAfee&#10;AR2KIWTZ47EeJ3lHMnTrLnW9nERovFpDfcBRcNDviLf8RmFLbpkPD8zhUuD64KKHezykhhZ7NVCU&#10;bMH9fu8+4nFWUUpJi0tWUf9rx5ygRP8wOMUXxXQatzIx09m3Ehl3KlmfSsyuWQG2ucAnxfJERnzQ&#10;R1I6aF7wPVhGryhihqPvivLgjswq9MuPLwoXy2WC4SZaFm7Nk+XHQYjz9ty9MGeHuQw40HdwXEg2&#10;fzObPTa2yMByF0CqNLivdR1agFuchnN4ceIzccon1Ou7uPgDAAD//wMAUEsDBBQABgAIAAAAIQC1&#10;03Ec2gAAAAMBAAAPAAAAZHJzL2Rvd25yZXYueG1sTI9Ba8MwDIXvg/0Ho0Fvrd0WSpfFKWNQ2GE0&#10;rFvZ1Y21JDSWg+026b+ftkt30UM88d6nfDO6TlwwxNaThvlMgUCqvG2p1vD5sZ2uQcRkyJrOE2q4&#10;YoRNcX+Xm8z6gd7xsk+14BCKmdHQpNRnUsaqQWfizPdI7H374EziNdTSBjNwuOvkQqmVdKYlbmhM&#10;jy8NVqf92WkoT0P5ui7Lx6+wXe3egjvMw+6g9eRhfH4CkXBMt2P4xWd0KJjp6M9ko+g08CPpb7K3&#10;XC5AHFmVAlnk8j978QMAAP//AwBQSwECLQAUAAYACAAAACEAtoM4kv4AAADhAQAAEwAAAAAAAAAA&#10;AAAAAAAAAAAAW0NvbnRlbnRfVHlwZXNdLnhtbFBLAQItABQABgAIAAAAIQA4/SH/1gAAAJQBAAAL&#10;AAAAAAAAAAAAAAAAAC8BAABfcmVscy8ucmVsc1BLAQItABQABgAIAAAAIQDi5M5ufQIAAF8FAAAO&#10;AAAAAAAAAAAAAAAAAC4CAABkcnMvZTJvRG9jLnhtbFBLAQItABQABgAIAAAAIQC103Ec2gAAAAMB&#10;AAAPAAAAAAAAAAAAAAAAANcEAABkcnMvZG93bnJldi54bWxQSwUGAAAAAAQABADzAAAA3gUAAAAA&#10;" fillcolor="#c00" strokecolor="#ed7d31 [3205]" strokeweight=".5pt">
                      <v:textbox>
                        <w:txbxContent>
                          <w:p w14:paraId="6692E34C" w14:textId="77777777" w:rsidR="008D2C68" w:rsidRDefault="008D2C68" w:rsidP="00F97B16">
                            <w:pPr>
                              <w:jc w:val="center"/>
                            </w:pPr>
                          </w:p>
                          <w:p w14:paraId="2C26CE00" w14:textId="77777777" w:rsidR="008D2C68" w:rsidRDefault="008D2C68" w:rsidP="00F97B16">
                            <w:pPr>
                              <w:jc w:val="center"/>
                            </w:pPr>
                          </w:p>
                        </w:txbxContent>
                      </v:textbox>
                      <w10:anchorlock/>
                    </v:shape>
                  </w:pict>
                </mc:Fallback>
              </mc:AlternateContent>
            </w:r>
          </w:p>
        </w:tc>
        <w:tc>
          <w:tcPr>
            <w:tcW w:w="900" w:type="dxa"/>
            <w:vAlign w:val="center"/>
          </w:tcPr>
          <w:p w14:paraId="240CF64F" w14:textId="77777777" w:rsidR="00F97B16" w:rsidRDefault="00F97B16" w:rsidP="00915020">
            <w:pPr>
              <w:jc w:val="center"/>
              <w:rPr>
                <w:color w:val="212121"/>
              </w:rPr>
            </w:pPr>
            <w:r w:rsidRPr="0031181E">
              <w:rPr>
                <w:rFonts w:eastAsia="Arial" w:cs="Segoe UI"/>
                <w:noProof/>
                <w:sz w:val="20"/>
                <w:szCs w:val="20"/>
              </w:rPr>
              <mc:AlternateContent>
                <mc:Choice Requires="wps">
                  <w:drawing>
                    <wp:inline distT="0" distB="0" distL="0" distR="0" wp14:anchorId="0C323328" wp14:editId="7CE14B49">
                      <wp:extent cx="209550" cy="180975"/>
                      <wp:effectExtent l="19050" t="19050" r="38100" b="28575"/>
                      <wp:docPr id="121" name="Isosceles Triangle 1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2B7ECAB" id="Isosceles Triangle 121"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kyshgIAAHMFAAAOAAAAZHJzL2Uyb0RvYy54bWysVNtqGzEQfS/0H4Tem127cS5L1sE4uARM&#10;YpKUPMtayRbValRJ9tr9+o60l6RpIFD6IjSaM/czuro+1JrshfMKTElHJzklwnColNmU9PvT4ssF&#10;JT4wUzENRpT0KDy9nn7+dNXYQoxhC7oSjqAT44vGlnQbgi2yzPOtqJk/ASsMKiW4mgUU3SarHGvQ&#10;e62zcZ6fZQ24yjrgwnt8vWmVdJr8Syl4uJfSi0B0STG3kE6XznU8s+kVKzaO2a3iXRrsH7KomTIY&#10;dHB1wwIjO6f+clUr7sCDDCcc6gykVFykGrCaUf6mmsctsyLVgs3xdmiT/39u+d1+5YiqcHbjESWG&#10;1TikWw+eCy08eXKKmY0WJGqxV431BZo82pWL1Xq7BP7DoyL7QxMF32EO0tURi7WSQ2r8cWi8OATC&#10;8XGcX04mOB6OqtFFfnk+icEyVvTG1vnwTUBN4qWkoUsrtZztlz608B6WcgOtqoXSOglus55rR/YM&#10;ebBYzPM8jR4j+BdYqqFNOxUQjlpEY20ehMQeYaKjFDGxUwz+GOfChLMu5YSOZhJjD4ZfPzbs8NFU&#10;JOYOxuOPjQeLFBlMGIxrZcC950CHNFLsgWzx3RR9W3dswRqqI9LDQbs33vKFwgEsmQ8r5nBRcGa4&#10;/OEeD6mhKSl0N0q24H699x7xyF/UUtLg4pXU/9wxJyjRtwaZfTk6PY2bmoTTyfkYBfdas36tMbt6&#10;DjhT5C5ml64RH3R/lQ7qZ/wjZjEqqpjhGLukPLhemIf2Q8BfhovZLMFwOy0LS/NoeT/1SK6nwzNz&#10;tmch0vcO+iVlxRsittg4DwOzXQCpEktf+tr1Gzc7cb37heLX8VpOqJe/cvob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Dl&#10;bkyshgIAAHM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6784" w:type="dxa"/>
          </w:tcPr>
          <w:p w14:paraId="2051FBA9" w14:textId="77777777" w:rsidR="00F97B16" w:rsidRDefault="00F97B16" w:rsidP="00915020">
            <w:pPr>
              <w:ind w:left="432"/>
              <w:rPr>
                <w:color w:val="212121"/>
              </w:rPr>
            </w:pPr>
            <w:r w:rsidRPr="00A377C5">
              <w:t>Rapid or automated patching</w:t>
            </w:r>
          </w:p>
        </w:tc>
      </w:tr>
      <w:tr w:rsidR="004E22A4" w14:paraId="5CEB6CCC" w14:textId="77777777" w:rsidTr="00915020">
        <w:tc>
          <w:tcPr>
            <w:tcW w:w="895" w:type="dxa"/>
            <w:vAlign w:val="center"/>
          </w:tcPr>
          <w:p w14:paraId="48A39CC7" w14:textId="77777777" w:rsidR="004E22A4" w:rsidRDefault="004E22A4" w:rsidP="004E22A4">
            <w:pPr>
              <w:jc w:val="center"/>
              <w:rPr>
                <w:color w:val="212121"/>
              </w:rPr>
            </w:pPr>
            <w:r w:rsidRPr="00840988">
              <w:rPr>
                <w:noProof/>
              </w:rPr>
              <mc:AlternateContent>
                <mc:Choice Requires="wps">
                  <w:drawing>
                    <wp:inline distT="0" distB="0" distL="0" distR="0" wp14:anchorId="6A1233D7" wp14:editId="575BB6EA">
                      <wp:extent cx="210553" cy="190500"/>
                      <wp:effectExtent l="0" t="0" r="18415" b="19050"/>
                      <wp:docPr id="1546650198" name="Octagon 1546650198"/>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67B9A559" w14:textId="77777777" w:rsidR="008D2C68" w:rsidRDefault="008D2C68" w:rsidP="00F97B16">
                                  <w:pPr>
                                    <w:jc w:val="center"/>
                                  </w:pPr>
                                </w:p>
                                <w:p w14:paraId="58092EE2"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A1233D7" id="Octagon 1546650198" o:spid="_x0000_s1054"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dEBhQIAAG8FAAAOAAAAZHJzL2Uyb0RvYy54bWysVN1r2zAQfx/sfxB6X/3RpFtDnRJSOgal&#10;DW1HnxVZSgSyTpOU2Nlfv5PsuKErFMbyoNz5vu9+d1fXXaPJXjivwFS0OMspEYZDrcymoj+fb798&#10;o8QHZmqmwYiKHoSn1/PPn65aOxMlbEHXwhF0YvystRXdhmBnWeb5VjTMn4EVBoUSXMMCsm6T1Y61&#10;6L3RWZnnF1kLrrYOuPAev970QjpP/qUUPDxI6UUguqKYW0ivS+86vtn8is02jtmt4kMa7B+yaJgy&#10;GHR0dcMCIzun/nLVKO7AgwxnHJoMpFRcpBqwmiJ/U83TllmRasHmeDu2yf8/t/x+v3JE1Ti76eTi&#10;YpoXlzgxwxqc1QMPbAOGnEiwXa31M7R6sis3cB7JWHsnXRP/sSrSpRYfxhaLLhCOH8sin07PKeEo&#10;Ki7zaZ5GkL0aW+fDdwENiURFoc8h9Zbt73zAmKh91IrhPGhV3yqtE+M266V2ZM9w4Mtljr84YzQ5&#10;UctiDX3WiQoHLaKxNo9CYjMwzyJFTDAUoz/GuTChHBwm7WgmMfZoeP6x4aAfTUWC6Ghcfmw8WqTI&#10;YMJo3CgD7j0HOhRDyrLXx36c1B3J0K27hIJyElXjpzXUB4SGg35nvOW3Ckdyx3xYMYdLguuEix8e&#10;8JEaWpzVQFGyBff7ve9RH7GLUkpaXLqK+l875gQl+odBVF8Wk0nc0sRMpl9LZNypZH0qMbtmCTjm&#10;Ak+M5YmM+kEfSemgecH7sIhRUcQMx9gV5cEdmWXojwFeGC4Wi6SGm2lZuDNPlh+BEPH23L0wZwdc&#10;BgT0PRwXlM3eYLPXjSMysNgFkCoB97WvwwhwqxM4hwsUz8Ypn7Re7+T8DwAAAP//AwBQSwMEFAAG&#10;AAgAAAAhALXTcRzaAAAAAwEAAA8AAABkcnMvZG93bnJldi54bWxMj0FrwzAMhe+D/QejQW+t3RZK&#10;l8UpY1DYYTSsW9nVjbUkNJaD7Tbpv5+2S3fRQzzx3qd8M7pOXDDE1pOG+UyBQKq8banW8Pmxna5B&#10;xGTIms4TarhihE1xf5ebzPqB3vGyT7XgEIqZ0dCk1GdSxqpBZ+LM90jsffvgTOI11NIGM3C46+RC&#10;qZV0piVuaEyPLw1Wp/3ZaShPQ/m6LsvHr7Bd7d6CO8zD7qD15GF8fgKRcEy3Y/jFZ3QomOnoz2Sj&#10;6DTwI+lvsrdcLkAcWZUCWeTyP3vxAwAA//8DAFBLAQItABQABgAIAAAAIQC2gziS/gAAAOEBAAAT&#10;AAAAAAAAAAAAAAAAAAAAAABbQ29udGVudF9UeXBlc10ueG1sUEsBAi0AFAAGAAgAAAAhADj9If/W&#10;AAAAlAEAAAsAAAAAAAAAAAAAAAAALwEAAF9yZWxzLy5yZWxzUEsBAi0AFAAGAAgAAAAhAA4J0QGF&#10;AgAAbwUAAA4AAAAAAAAAAAAAAAAALgIAAGRycy9lMm9Eb2MueG1sUEsBAi0AFAAGAAgAAAAhALXT&#10;cRzaAAAAAwEAAA8AAAAAAAAAAAAAAAAA3wQAAGRycy9kb3ducmV2LnhtbFBLBQYAAAAABAAEAPMA&#10;AADmBQAAAAA=&#10;" fillcolor="#c00" strokecolor="#ed7d31 [3205]" strokeweight=".5pt">
                      <v:textbox>
                        <w:txbxContent>
                          <w:p w14:paraId="67B9A559" w14:textId="77777777" w:rsidR="008D2C68" w:rsidRDefault="008D2C68" w:rsidP="00F97B16">
                            <w:pPr>
                              <w:jc w:val="center"/>
                            </w:pPr>
                          </w:p>
                          <w:p w14:paraId="58092EE2" w14:textId="77777777" w:rsidR="008D2C68" w:rsidRDefault="008D2C68" w:rsidP="00F97B16">
                            <w:pPr>
                              <w:jc w:val="center"/>
                            </w:pPr>
                          </w:p>
                        </w:txbxContent>
                      </v:textbox>
                      <w10:anchorlock/>
                    </v:shape>
                  </w:pict>
                </mc:Fallback>
              </mc:AlternateContent>
            </w:r>
          </w:p>
        </w:tc>
        <w:tc>
          <w:tcPr>
            <w:tcW w:w="1316" w:type="dxa"/>
            <w:vAlign w:val="center"/>
          </w:tcPr>
          <w:p w14:paraId="47C26133" w14:textId="77777777" w:rsidR="004E22A4" w:rsidRDefault="004E22A4" w:rsidP="004E22A4">
            <w:pPr>
              <w:jc w:val="center"/>
              <w:rPr>
                <w:color w:val="212121"/>
              </w:rPr>
            </w:pPr>
            <w:r w:rsidRPr="00840988">
              <w:rPr>
                <w:noProof/>
              </w:rPr>
              <mc:AlternateContent>
                <mc:Choice Requires="wps">
                  <w:drawing>
                    <wp:inline distT="0" distB="0" distL="0" distR="0" wp14:anchorId="748519DA" wp14:editId="313DC126">
                      <wp:extent cx="210553" cy="190500"/>
                      <wp:effectExtent l="0" t="0" r="18415" b="19050"/>
                      <wp:docPr id="103" name="Octagon 103"/>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73586EFD" w14:textId="77777777" w:rsidR="008D2C68" w:rsidRDefault="008D2C68" w:rsidP="00F97B16">
                                  <w:pPr>
                                    <w:jc w:val="center"/>
                                  </w:pPr>
                                </w:p>
                                <w:p w14:paraId="22A6C66A"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48519DA" id="Octagon 103" o:spid="_x0000_s1055"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NnUfQIAAGEFAAAOAAAAZHJzL2Uyb0RvYy54bWysVN1r2zAQfx/sfxB6X/3RZFtDnBJSOgal&#10;DWtHnxVZSgSyTpOU2Nlfv5PsuKErFMb8IN/pfvd9p/l112hyEM4rMBUtLnJKhOFQK7Ot6M+n209f&#10;KfGBmZppMKKiR+Hp9eLjh3lrZ6KEHehaOIJGjJ+1tqK7EOwsyzzfiYb5C7DCoFCCa1hA1m2z2rEW&#10;rTc6K/P8c9aCq60DLrzH25teSBfJvpSChwcpvQhEVxRjC+l06dzEM1vM2WzrmN0pPoTB/iGKhimD&#10;TkdTNywwsnfqL1ON4g48yHDBoclASsVFygGzKfJX2TzumBUpFyyOt2OZ/P8zy+8Pa0dUjb3LLykx&#10;rMEmPfDAtmBIvMICtdbPEPdo127gPJIx2066Jv4xD9Kloh7HooouEI6XZZFPp2iao6i4yqd5Knr2&#10;omydD98ENCQSFYXeeaomO9z5gD4RfUJFdx60qm+V1olx281KO3Jg2OLVKscvBo0qZ7As5tBHnahw&#10;1CIqa/NDSEwf4yySxzR4YrTHOBcmlIPBhI5qEn2PipfvKw74qCrSUI7K5fvKo0byDCaMyo0y4N4y&#10;oEMxhCx7PNbjLO9Ihm7Tpb6X0wiNVxuojzgMDvot8ZbfKmzJHfNhzRyuBS4Qrnp4wENqaLFXA0XJ&#10;Dtzvt+4jHqcVpZS0uGYV9b/2zAlK9HeDc3xVTCZxLxMzmX4pkXHnks25xOybFWCbC3xULE9kxAd9&#10;IqWD5hlfhGX0iiJmOPquKA/uxKxCv/74pnCxXCYY7qJl4c48Wn4ahDhvT90zc3aYy4ADfQ+nlWSz&#10;V7PZY2OLDCz3AaRKg/tS16EFuMdpOIc3Jz4U53xCvbyMiz8AAAD//wMAUEsDBBQABgAIAAAAIQC1&#10;03Ec2gAAAAMBAAAPAAAAZHJzL2Rvd25yZXYueG1sTI9Ba8MwDIXvg/0Ho0Fvrd0WSpfFKWNQ2GE0&#10;rFvZ1Y21JDSWg+026b+ftkt30UM88d6nfDO6TlwwxNaThvlMgUCqvG2p1vD5sZ2uQcRkyJrOE2q4&#10;YoRNcX+Xm8z6gd7xsk+14BCKmdHQpNRnUsaqQWfizPdI7H374EziNdTSBjNwuOvkQqmVdKYlbmhM&#10;jy8NVqf92WkoT0P5ui7Lx6+wXe3egjvMw+6g9eRhfH4CkXBMt2P4xWd0KJjp6M9ko+g08CPpb7K3&#10;XC5AHFmVAlnk8j978QMAAP//AwBQSwECLQAUAAYACAAAACEAtoM4kv4AAADhAQAAEwAAAAAAAAAA&#10;AAAAAAAAAAAAW0NvbnRlbnRfVHlwZXNdLnhtbFBLAQItABQABgAIAAAAIQA4/SH/1gAAAJQBAAAL&#10;AAAAAAAAAAAAAAAAAC8BAABfcmVscy8ucmVsc1BLAQItABQABgAIAAAAIQBcfNnUfQIAAGEFAAAO&#10;AAAAAAAAAAAAAAAAAC4CAABkcnMvZTJvRG9jLnhtbFBLAQItABQABgAIAAAAIQC103Ec2gAAAAMB&#10;AAAPAAAAAAAAAAAAAAAAANcEAABkcnMvZG93bnJldi54bWxQSwUGAAAAAAQABADzAAAA3gUAAAAA&#10;" fillcolor="#c00" strokecolor="#ed7d31 [3205]" strokeweight=".5pt">
                      <v:textbox>
                        <w:txbxContent>
                          <w:p w14:paraId="73586EFD" w14:textId="77777777" w:rsidR="008D2C68" w:rsidRDefault="008D2C68" w:rsidP="00F97B16">
                            <w:pPr>
                              <w:jc w:val="center"/>
                            </w:pPr>
                          </w:p>
                          <w:p w14:paraId="22A6C66A" w14:textId="77777777" w:rsidR="008D2C68" w:rsidRDefault="008D2C68" w:rsidP="00F97B16">
                            <w:pPr>
                              <w:jc w:val="center"/>
                            </w:pPr>
                          </w:p>
                        </w:txbxContent>
                      </v:textbox>
                      <w10:anchorlock/>
                    </v:shape>
                  </w:pict>
                </mc:Fallback>
              </mc:AlternateContent>
            </w:r>
          </w:p>
        </w:tc>
        <w:tc>
          <w:tcPr>
            <w:tcW w:w="900" w:type="dxa"/>
            <w:vAlign w:val="center"/>
          </w:tcPr>
          <w:p w14:paraId="0717B261" w14:textId="77777777" w:rsidR="004E22A4" w:rsidRDefault="004E22A4" w:rsidP="004E22A4">
            <w:pPr>
              <w:jc w:val="center"/>
              <w:rPr>
                <w:color w:val="212121"/>
              </w:rPr>
            </w:pPr>
            <w:r w:rsidRPr="0031181E">
              <w:rPr>
                <w:rFonts w:eastAsia="Arial" w:cs="Segoe UI"/>
                <w:noProof/>
                <w:sz w:val="20"/>
                <w:szCs w:val="20"/>
              </w:rPr>
              <mc:AlternateContent>
                <mc:Choice Requires="wps">
                  <w:drawing>
                    <wp:inline distT="0" distB="0" distL="0" distR="0" wp14:anchorId="29279983" wp14:editId="6F38EDBC">
                      <wp:extent cx="209550" cy="180975"/>
                      <wp:effectExtent l="19050" t="19050" r="38100" b="28575"/>
                      <wp:docPr id="104" name="Isosceles Tri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A379234" id="Isosceles Triangle 104"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ZxfhgIAAHMFAAAOAAAAZHJzL2Uyb0RvYy54bWysVNtqGzEQfS/0H4Tem127di5L1sE4uARM&#10;EpKUPMtayRbValRJ9tr9+o60l6RpIFD6IiTNmfuZubw61JrshfMKTElHJzklwnColNmU9PvT8ss5&#10;JT4wUzENRpT0KDy9mn3+dNnYQoxhC7oSjqAR44vGlnQbgi2yzPOtqJk/ASsMCiW4mgV8uk1WOdag&#10;9Vpn4zw/zRpwlXXAhff4e90K6SzZl1LwcCelF4HokmJsIZ0unet4ZrNLVmwcs1vFuzDYP0RRM2XQ&#10;6WDqmgVGdk79ZapW3IEHGU441BlIqbhIOWA2o/xNNo9bZkXKBYvj7VAm///M8tv9vSOqwt7lE0oM&#10;q7FJNx48F1p48uQUMxstSJRirRrrC1R5tPcuZuvtCvgPj4LsD0l8+A5zkK6OWMyVHFLhj0PhxSEQ&#10;jp/j/GI6xfZwFI3O84uzaXSWsaJXts6HbwJqEi8lDV1YqeRsv/KhhfewFBtoVS2V1unhNuuFdmTP&#10;kAfL5SLPU+vRg3+BpRzasFMC4ahFVNbmQUisEQY6Sh4TO8Vgj3EuTDjtQk7oqCbR96D49WPFDh9V&#10;RWLuoDz+WHnQSJ7BhEG5VgbcewZ0GHUhyxbfddG3eccSrKE6Ij0ctHPjLV8qbMCK+XDPHA4K9gyH&#10;P9zhITU0JYXuRskW3K/3/iMe+YtSShocvJL6nzvmBCX6xiCzL0aTSZzU9JhMz8b4cK8l69cSs6sX&#10;gD0d4ZqxPF0jPuj+Kh3Uz7gj5tEripjh6LukPLj+sQjtQsAtw8V8nmA4nZaFlXm0vO96JNfT4Zk5&#10;27MQ6XsL/ZCy4g0RW2zsh4H5LoBUiaUvde3qjZOduN5tobg6Xr8T6mVXzn4D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Ak&#10;vZxfhgIAAHM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6784" w:type="dxa"/>
          </w:tcPr>
          <w:p w14:paraId="3322E657" w14:textId="2D91A9E5" w:rsidR="004E22A4" w:rsidRPr="00570769" w:rsidRDefault="004E22A4" w:rsidP="004E22A4">
            <w:pPr>
              <w:ind w:left="432"/>
            </w:pPr>
            <w:r w:rsidRPr="00A377C5">
              <w:t>Stringent restrictions for applications, middleware, management agents</w:t>
            </w:r>
          </w:p>
        </w:tc>
      </w:tr>
      <w:tr w:rsidR="004E22A4" w14:paraId="4F5B7F58" w14:textId="77777777" w:rsidTr="00915020">
        <w:tc>
          <w:tcPr>
            <w:tcW w:w="895" w:type="dxa"/>
            <w:vAlign w:val="center"/>
          </w:tcPr>
          <w:p w14:paraId="4EB9BC1B" w14:textId="77777777" w:rsidR="004E22A4" w:rsidRDefault="004E22A4" w:rsidP="004E22A4">
            <w:pPr>
              <w:jc w:val="center"/>
              <w:rPr>
                <w:color w:val="212121"/>
              </w:rPr>
            </w:pPr>
            <w:r w:rsidRPr="00840988">
              <w:rPr>
                <w:noProof/>
              </w:rPr>
              <mc:AlternateContent>
                <mc:Choice Requires="wps">
                  <w:drawing>
                    <wp:inline distT="0" distB="0" distL="0" distR="0" wp14:anchorId="76053982" wp14:editId="417C25F0">
                      <wp:extent cx="210553" cy="190500"/>
                      <wp:effectExtent l="0" t="0" r="18415" b="19050"/>
                      <wp:docPr id="122" name="Octagon 122"/>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73169690" w14:textId="77777777" w:rsidR="008D2C68" w:rsidRDefault="008D2C68" w:rsidP="00F97B16">
                                  <w:pPr>
                                    <w:jc w:val="center"/>
                                  </w:pPr>
                                </w:p>
                                <w:p w14:paraId="449B0C25"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6053982" id="Octagon 122" o:spid="_x0000_s1056"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XHLgAIAAGEFAAAOAAAAZHJzL2Uyb0RvYy54bWysVN1r2zAQfx/sfxB6X/3RpFtDnBJSOgal&#10;LW1HnxVZSgSyTpOU2Nlfv5PsuKErFMb8IN/pvnS/+5hfdY0me+G8AlPR4iynRBgOtTKbiv58vvny&#10;jRIfmKmZBiMqehCeXi0+f5q3diZK2IKuhSPoxPhZayu6DcHOsszzrWiYPwMrDAoluIYFZN0mqx1r&#10;0XujszLPL7IWXG0dcOE93l73QrpI/qUUPNxL6UUguqL4tpBOl851PLPFnM02jtmt4sMz2D+8omHK&#10;YNDR1TULjOyc+stVo7gDDzKccWgykFJxkXLAbIr8TTZPW2ZFygXB8XaEyf8/t/xu/+CIqrF2ZUmJ&#10;YQ0W6Z4HtgFD4hUC1Fo/Q70n++AGziMZs+2ka+If8yBdAvUwgiq6QDhelkU+nZ5TwlFUXObTPIGe&#10;vRpb58N3AQ2JREWhD57QZPtbHzAmah+1YjgPWtU3SuvEuM16pR3ZMyzxapXjFx+NJidqWcyhf3Wi&#10;wkGLaKzNo5CYPr6zSBFT44nRH+NcmJBQQIdJO5pJjD0ann9sOOhHU5GacjQuPzYeLVJkMGE0bpQB&#10;954DHYoBA9nrIx4neUcydOsu1b28ONZ4DfUBm8FBPyXe8huFJbllPjwwh2OBA4SjHu7xkBparNVA&#10;UbIF9/u9+6iP3YpSSlocs4r6XzvmBCX6h8E+viwmkziXiZlMv5bIuFPJ+lRids0KsMwFLhXLExn1&#10;gz6S0kHzghthGaOiiBmOsSvKgzsyq9CPP+4ULpbLpIazaFm4NU+WHxsh9ttz98KcHfoyYEPfwXEk&#10;2exNb/a6sUQGlrsAUqXGjVD3uA4lwDlOzTnsnLgoTvmk9boZF38AAAD//wMAUEsDBBQABgAIAAAA&#10;IQC103Ec2gAAAAMBAAAPAAAAZHJzL2Rvd25yZXYueG1sTI9Ba8MwDIXvg/0Ho0Fvrd0WSpfFKWNQ&#10;2GE0rFvZ1Y21JDSWg+026b+ftkt30UM88d6nfDO6TlwwxNaThvlMgUCqvG2p1vD5sZ2uQcRkyJrO&#10;E2q4YoRNcX+Xm8z6gd7xsk+14BCKmdHQpNRnUsaqQWfizPdI7H374EziNdTSBjNwuOvkQqmVdKYl&#10;bmhMjy8NVqf92WkoT0P5ui7Lx6+wXe3egjvMw+6g9eRhfH4CkXBMt2P4xWd0KJjp6M9ko+g08CPp&#10;b7K3XC5AHFmVAlnk8j978QMAAP//AwBQSwECLQAUAAYACAAAACEAtoM4kv4AAADhAQAAEwAAAAAA&#10;AAAAAAAAAAAAAAAAW0NvbnRlbnRfVHlwZXNdLnhtbFBLAQItABQABgAIAAAAIQA4/SH/1gAAAJQB&#10;AAALAAAAAAAAAAAAAAAAAC8BAABfcmVscy8ucmVsc1BLAQItABQABgAIAAAAIQCITXHLgAIAAGEF&#10;AAAOAAAAAAAAAAAAAAAAAC4CAABkcnMvZTJvRG9jLnhtbFBLAQItABQABgAIAAAAIQC103Ec2gAA&#10;AAMBAAAPAAAAAAAAAAAAAAAAANoEAABkcnMvZG93bnJldi54bWxQSwUGAAAAAAQABADzAAAA4QUA&#10;AAAA&#10;" fillcolor="#c00" strokecolor="#ed7d31 [3205]" strokeweight=".5pt">
                      <v:textbox>
                        <w:txbxContent>
                          <w:p w14:paraId="73169690" w14:textId="77777777" w:rsidR="008D2C68" w:rsidRDefault="008D2C68" w:rsidP="00F97B16">
                            <w:pPr>
                              <w:jc w:val="center"/>
                            </w:pPr>
                          </w:p>
                          <w:p w14:paraId="449B0C25" w14:textId="77777777" w:rsidR="008D2C68" w:rsidRDefault="008D2C68" w:rsidP="00F97B16">
                            <w:pPr>
                              <w:jc w:val="center"/>
                            </w:pPr>
                          </w:p>
                        </w:txbxContent>
                      </v:textbox>
                      <w10:anchorlock/>
                    </v:shape>
                  </w:pict>
                </mc:Fallback>
              </mc:AlternateContent>
            </w:r>
          </w:p>
        </w:tc>
        <w:tc>
          <w:tcPr>
            <w:tcW w:w="1316" w:type="dxa"/>
            <w:vAlign w:val="center"/>
          </w:tcPr>
          <w:p w14:paraId="46722429" w14:textId="77777777" w:rsidR="004E22A4" w:rsidRDefault="004E22A4" w:rsidP="004E22A4">
            <w:pPr>
              <w:jc w:val="center"/>
              <w:rPr>
                <w:color w:val="212121"/>
              </w:rPr>
            </w:pPr>
            <w:r w:rsidRPr="00840988">
              <w:rPr>
                <w:noProof/>
              </w:rPr>
              <mc:AlternateContent>
                <mc:Choice Requires="wps">
                  <w:drawing>
                    <wp:inline distT="0" distB="0" distL="0" distR="0" wp14:anchorId="52C84FD0" wp14:editId="69AAC06B">
                      <wp:extent cx="210553" cy="190500"/>
                      <wp:effectExtent l="0" t="0" r="18415" b="19050"/>
                      <wp:docPr id="95" name="Octagon 95"/>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0B2DCEC5" w14:textId="77777777" w:rsidR="008D2C68" w:rsidRDefault="008D2C68" w:rsidP="00F97B16">
                                  <w:pPr>
                                    <w:jc w:val="center"/>
                                  </w:pPr>
                                </w:p>
                                <w:p w14:paraId="7762218C"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2C84FD0" id="Octagon 95" o:spid="_x0000_s1057"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fZ4fQIAAF8FAAAOAAAAZHJzL2Uyb0RvYy54bWysVN1r2zAQfx/sfxB6X/3RZF1DnRJSMgal&#10;LW1HnxVZSgSyTpOU2Nlfv5PsuKErFMb8IN/pfvd9p6vrrtFkL5xXYCpanOWUCMOhVmZT0Z/Pqy/f&#10;KPGBmZppMKKiB+Hp9fzzp6vWzkQJW9C1cASNGD9rbUW3IdhZlnm+FQ3zZ2CFQaEE17CArNtktWMt&#10;Wm90Vub516wFV1sHXHiPtze9kM6TfSkFD/dSehGIrijGFtLp0rmOZza/YrONY3ar+BAG+4coGqYM&#10;Oh1N3bDAyM6pv0w1ijvwIMMZhyYDKRUXKQfMpsjfZPO0ZVakXLA43o5l8v/PLL/bPzii6opeTikx&#10;rMEe3fPANmAI3mB5WutniHqyD27gPJIx1066Jv4xC9Klkh7GkoouEI6XZZFPp+eUcBQVl/k0TyXP&#10;XpWt8+G7gIZEoqLQ+061ZPtbH9Anoo+o6M6DVvVKaZ0Yt1kvtSN7hg1eLnP8YtCocgLLYg591IkK&#10;By2isjaPQmLyGGeRPKaxE6M9xrkwoRwMJnRUk+h7VDz/WHHAR1WRRnJULj9WHjWSZzBhVG6UAfee&#10;AR2KIWTZ47EeJ3lHMnTrLnW9vIjQeLWG+oCj4KDfEW/5SmFLbpkPD8zhUuD64KKHezykhhZ7NVCU&#10;bMH9fu8+4nFWUUpJi0tWUf9rx5ygRP8wOMWXxWQStzIxk+lFiYw7laxPJWbXLAHbXOCTYnkiIz7o&#10;IykdNC/4HiyiVxQxw9F3RXlwR2YZ+uXHF4WLxSLBcBMtC7fmyfLjIMR5e+5emLPDXAYc6Ds4LiSb&#10;vZnNHhtbZGCxCyBVGtzXug4twC1Owzm8OPGZOOUT6vVdnP8BAAD//wMAUEsDBBQABgAIAAAAIQC1&#10;03Ec2gAAAAMBAAAPAAAAZHJzL2Rvd25yZXYueG1sTI9Ba8MwDIXvg/0Ho0Fvrd0WSpfFKWNQ2GE0&#10;rFvZ1Y21JDSWg+026b+ftkt30UM88d6nfDO6TlwwxNaThvlMgUCqvG2p1vD5sZ2uQcRkyJrOE2q4&#10;YoRNcX+Xm8z6gd7xsk+14BCKmdHQpNRnUsaqQWfizPdI7H374EziNdTSBjNwuOvkQqmVdKYlbmhM&#10;jy8NVqf92WkoT0P5ui7Lx6+wXe3egjvMw+6g9eRhfH4CkXBMt2P4xWd0KJjp6M9ko+g08CPpb7K3&#10;XC5AHFmVAlnk8j978QMAAP//AwBQSwECLQAUAAYACAAAACEAtoM4kv4AAADhAQAAEwAAAAAAAAAA&#10;AAAAAAAAAAAAW0NvbnRlbnRfVHlwZXNdLnhtbFBLAQItABQABgAIAAAAIQA4/SH/1gAAAJQBAAAL&#10;AAAAAAAAAAAAAAAAAC8BAABfcmVscy8ucmVsc1BLAQItABQABgAIAAAAIQC0tfZ4fQIAAF8FAAAO&#10;AAAAAAAAAAAAAAAAAC4CAABkcnMvZTJvRG9jLnhtbFBLAQItABQABgAIAAAAIQC103Ec2gAAAAMB&#10;AAAPAAAAAAAAAAAAAAAAANcEAABkcnMvZG93bnJldi54bWxQSwUGAAAAAAQABADzAAAA3gUAAAAA&#10;" fillcolor="#c00" strokecolor="#ed7d31 [3205]" strokeweight=".5pt">
                      <v:textbox>
                        <w:txbxContent>
                          <w:p w14:paraId="0B2DCEC5" w14:textId="77777777" w:rsidR="008D2C68" w:rsidRDefault="008D2C68" w:rsidP="00F97B16">
                            <w:pPr>
                              <w:jc w:val="center"/>
                            </w:pPr>
                          </w:p>
                          <w:p w14:paraId="7762218C" w14:textId="77777777" w:rsidR="008D2C68" w:rsidRDefault="008D2C68" w:rsidP="00F97B16">
                            <w:pPr>
                              <w:jc w:val="center"/>
                            </w:pPr>
                          </w:p>
                        </w:txbxContent>
                      </v:textbox>
                      <w10:anchorlock/>
                    </v:shape>
                  </w:pict>
                </mc:Fallback>
              </mc:AlternateContent>
            </w:r>
          </w:p>
        </w:tc>
        <w:tc>
          <w:tcPr>
            <w:tcW w:w="900" w:type="dxa"/>
            <w:vAlign w:val="center"/>
          </w:tcPr>
          <w:p w14:paraId="23E21642" w14:textId="77777777" w:rsidR="004E22A4" w:rsidRDefault="004E22A4" w:rsidP="004E22A4">
            <w:pPr>
              <w:jc w:val="center"/>
              <w:rPr>
                <w:color w:val="212121"/>
              </w:rPr>
            </w:pPr>
            <w:r w:rsidRPr="00840988">
              <w:rPr>
                <w:noProof/>
              </w:rPr>
              <mc:AlternateContent>
                <mc:Choice Requires="wps">
                  <w:drawing>
                    <wp:inline distT="0" distB="0" distL="0" distR="0" wp14:anchorId="56A4AB40" wp14:editId="064AA30D">
                      <wp:extent cx="210553" cy="190500"/>
                      <wp:effectExtent l="0" t="0" r="18415" b="19050"/>
                      <wp:docPr id="96" name="Octagon 96"/>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0AADEABA" w14:textId="77777777" w:rsidR="008D2C68" w:rsidRDefault="008D2C68" w:rsidP="00F97B16">
                                  <w:pPr>
                                    <w:jc w:val="center"/>
                                  </w:pPr>
                                </w:p>
                                <w:p w14:paraId="4D12A694"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6A4AB40" id="Octagon 96" o:spid="_x0000_s1058"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4tn3fQIAAF8FAAAOAAAAZHJzL2Uyb0RvYy54bWysVN1r2zAQfx/sfxB6X/3RpGtDnRJSOgal&#10;LWtHnxVZSgSyTpOU2Nlfv5PsOKErFMb8IN/pfvd9p+ubrtFkJ5xXYCpanOWUCMOhVmZd0Z8vd18u&#10;KfGBmZppMKKie+Hpzfzzp+vWzkQJG9C1cASNGD9rbUU3IdhZlnm+EQ3zZ2CFQaEE17CArFtntWMt&#10;Wm90Vub5RdaCq60DLrzH29teSOfJvpSCh0cpvQhEVxRjC+l06VzFM5tfs9naMbtRfAiD/UMUDVMG&#10;nY6mbllgZOvUX6YaxR14kOGMQ5OBlIqLlANmU+RvsnneMCtSLlgcb8cy+f9nlj/snhxRdUWvLigx&#10;rMEePfLA1mAI3mB5WutniHq2T27gPJIx1066Jv4xC9Klku7HkoouEI6XZZFPp+eUcBQVV/k0TyXP&#10;jsrW+fBNQEMiUVHofadast29D+gT0QdUdOdBq/pOaZ0Yt14ttSM7hg1eLnP8YtCocgLLYg591IkK&#10;ey2isjY/hMTkMc4ieUxjJ0Z7jHNhQjkYTOioJtH3qHj+seKAj6oijeSoXH6sPGokz2DCqNwoA+49&#10;AzoUQ8iyx2M9TvKOZOhWXep6eRmh8WoF9R5HwUG/I97yO4UtuWc+PDGHS4Hrg4seHvGQGlrs1UBR&#10;sgH3+737iMdZRSklLS5ZRf2vLXOCEv3d4BRfFZNJ3MrETKZfS2TcqWR1KjHbZgnY5gKfFMsTGfFB&#10;H0jpoHnF92ARvaKIGY6+K8qDOzDL0C8/vihcLBYJhptoWbg3z5YfBiHO20v3ypwd5jLgQD/AYSHZ&#10;7M1s9tjYIgOLbQCp0uAe6zq0ALc4Defw4sRn4pRPqOO7OP8DAAD//wMAUEsDBBQABgAIAAAAIQC1&#10;03Ec2gAAAAMBAAAPAAAAZHJzL2Rvd25yZXYueG1sTI9Ba8MwDIXvg/0Ho0Fvrd0WSpfFKWNQ2GE0&#10;rFvZ1Y21JDSWg+026b+ftkt30UM88d6nfDO6TlwwxNaThvlMgUCqvG2p1vD5sZ2uQcRkyJrOE2q4&#10;YoRNcX+Xm8z6gd7xsk+14BCKmdHQpNRnUsaqQWfizPdI7H374EziNdTSBjNwuOvkQqmVdKYlbmhM&#10;jy8NVqf92WkoT0P5ui7Lx6+wXe3egjvMw+6g9eRhfH4CkXBMt2P4xWd0KJjp6M9ko+g08CPpb7K3&#10;XC5AHFmVAlnk8j978QMAAP//AwBQSwECLQAUAAYACAAAACEAtoM4kv4AAADhAQAAEwAAAAAAAAAA&#10;AAAAAAAAAAAAW0NvbnRlbnRfVHlwZXNdLnhtbFBLAQItABQABgAIAAAAIQA4/SH/1gAAAJQBAAAL&#10;AAAAAAAAAAAAAAAAAC8BAABfcmVscy8ucmVsc1BLAQItABQABgAIAAAAIQDD4tn3fQIAAF8FAAAO&#10;AAAAAAAAAAAAAAAAAC4CAABkcnMvZTJvRG9jLnhtbFBLAQItABQABgAIAAAAIQC103Ec2gAAAAMB&#10;AAAPAAAAAAAAAAAAAAAAANcEAABkcnMvZG93bnJldi54bWxQSwUGAAAAAAQABADzAAAA3gUAAAAA&#10;" fillcolor="#c00" strokecolor="#ed7d31 [3205]" strokeweight=".5pt">
                      <v:textbox>
                        <w:txbxContent>
                          <w:p w14:paraId="0AADEABA" w14:textId="77777777" w:rsidR="008D2C68" w:rsidRDefault="008D2C68" w:rsidP="00F97B16">
                            <w:pPr>
                              <w:jc w:val="center"/>
                            </w:pPr>
                          </w:p>
                          <w:p w14:paraId="4D12A694" w14:textId="77777777" w:rsidR="008D2C68" w:rsidRDefault="008D2C68" w:rsidP="00F97B16">
                            <w:pPr>
                              <w:jc w:val="center"/>
                            </w:pPr>
                          </w:p>
                        </w:txbxContent>
                      </v:textbox>
                      <w10:anchorlock/>
                    </v:shape>
                  </w:pict>
                </mc:Fallback>
              </mc:AlternateContent>
            </w:r>
          </w:p>
        </w:tc>
        <w:tc>
          <w:tcPr>
            <w:tcW w:w="6784" w:type="dxa"/>
          </w:tcPr>
          <w:p w14:paraId="337CA1E4" w14:textId="64398EA1" w:rsidR="004E22A4" w:rsidRDefault="004E22A4" w:rsidP="004E22A4">
            <w:pPr>
              <w:ind w:left="432"/>
              <w:rPr>
                <w:color w:val="212121"/>
              </w:rPr>
            </w:pPr>
            <w:r w:rsidRPr="00A377C5">
              <w:t>Restricted local administrators membership</w:t>
            </w:r>
          </w:p>
        </w:tc>
      </w:tr>
      <w:tr w:rsidR="004E22A4" w14:paraId="51275A15" w14:textId="77777777" w:rsidTr="00915020">
        <w:tc>
          <w:tcPr>
            <w:tcW w:w="895" w:type="dxa"/>
            <w:vAlign w:val="center"/>
          </w:tcPr>
          <w:p w14:paraId="043132CE" w14:textId="77777777" w:rsidR="004E22A4" w:rsidRDefault="004E22A4" w:rsidP="004E22A4">
            <w:pPr>
              <w:jc w:val="center"/>
              <w:rPr>
                <w:color w:val="212121"/>
              </w:rPr>
            </w:pPr>
            <w:r w:rsidRPr="00840988">
              <w:rPr>
                <w:noProof/>
              </w:rPr>
              <mc:AlternateContent>
                <mc:Choice Requires="wps">
                  <w:drawing>
                    <wp:inline distT="0" distB="0" distL="0" distR="0" wp14:anchorId="785DD34E" wp14:editId="42805045">
                      <wp:extent cx="210553" cy="190500"/>
                      <wp:effectExtent l="0" t="0" r="18415" b="19050"/>
                      <wp:docPr id="1546650205" name="Octagon 1546650205"/>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5F8D60C4" w14:textId="77777777" w:rsidR="008D2C68" w:rsidRDefault="008D2C68" w:rsidP="00F97B16">
                                  <w:pPr>
                                    <w:jc w:val="center"/>
                                  </w:pPr>
                                </w:p>
                                <w:p w14:paraId="4DC639B6"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85DD34E" id="Octagon 1546650205" o:spid="_x0000_s1059"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qCehQIAAG8FAAAOAAAAZHJzL2Uyb0RvYy54bWysVN1r2zAQfx/sfxB6X/3RuFtDnRJSOgZl&#10;LWtHnxVZSgySTpOU2Nlfv5PsuKErFMbyoNz5vu9+d1fXvVZkL5xvwdS0OMspEYZD05pNTX8+3X76&#10;QokPzDRMgRE1PQhPrxcfP1x1di5K2IJqhCPoxPh5Z2u6DcHOs8zzrdDMn4EVBoUSnGYBWbfJGsc6&#10;9K5VVub5RdaBa6wDLrzHrzeDkC6SfykFD/dSehGIqinmFtLr0ruOb7a4YvONY3bb8jEN9g9ZaNYa&#10;DDq5umGBkZ1r/3KlW+7AgwxnHHQGUrZcpBqwmiJ/Vc3jllmRasHmeDu1yf8/t/z7/sGRtsHZVbOL&#10;iyov84oSwzTO6p4HtgFDTiTYrs76OVo92gc3ch7JWHsvnY7/WBXpU4sPU4tFHwjHj2WRV9U5JRxF&#10;xWVe5WkE2YuxdT58FaBJJGoKQw6pt2x/5wPGRO2jVgznQbXNbatUYtxmvVKO7BkOfLXK8RdnjCYn&#10;almsYcg6UeGgRDRW5oeQ2AzMs0gREwzF5I9xLkwoR4dJO5pJjD0Znr9vOOpHU5EgOhmX7xtPFiky&#10;mDAZ69aAe8uBCsWYshz0sR8ndUcy9Os+oaC8jKrx0xqaA0LDwbAz3vLbFkdyx3x4YA6XBNcJFz/c&#10;4yMVdDirkaJkC+73W9+jPmIXpZR0uHQ19b92zAlK1DeDqL4sZrO4pYmZVZ9LZNypZH0qMTu9Ahxz&#10;gSfG8kRG/aCOpHSgn/E+LGNUFDHDMXZNeXBHZhWGY4AXhovlMqnhZloW7syj5UcgRLw99c/M2RGX&#10;AQH9HY4LyuavsDnoxhEZWO4CyDYB96Wv4whwqxM4xwsUz8Ypn7Re7uTiDwAAAP//AwBQSwMEFAAG&#10;AAgAAAAhALXTcRzaAAAAAwEAAA8AAABkcnMvZG93bnJldi54bWxMj0FrwzAMhe+D/QejQW+t3RZK&#10;l8UpY1DYYTSsW9nVjbUkNJaD7Tbpv5+2S3fRQzzx3qd8M7pOXDDE1pOG+UyBQKq8banW8Pmxna5B&#10;xGTIms4TarhihE1xf5ebzPqB3vGyT7XgEIqZ0dCk1GdSxqpBZ+LM90jsffvgTOI11NIGM3C46+RC&#10;qZV0piVuaEyPLw1Wp/3ZaShPQ/m6LsvHr7Bd7d6CO8zD7qD15GF8fgKRcEy3Y/jFZ3QomOnoz2Sj&#10;6DTwI+lvsrdcLkAcWZUCWeTyP3vxAwAA//8DAFBLAQItABQABgAIAAAAIQC2gziS/gAAAOEBAAAT&#10;AAAAAAAAAAAAAAAAAAAAAABbQ29udGVudF9UeXBlc10ueG1sUEsBAi0AFAAGAAgAAAAhADj9If/W&#10;AAAAlAEAAAsAAAAAAAAAAAAAAAAALwEAAF9yZWxzLy5yZWxzUEsBAi0AFAAGAAgAAAAhAKsaoJ6F&#10;AgAAbwUAAA4AAAAAAAAAAAAAAAAALgIAAGRycy9lMm9Eb2MueG1sUEsBAi0AFAAGAAgAAAAhALXT&#10;cRzaAAAAAwEAAA8AAAAAAAAAAAAAAAAA3wQAAGRycy9kb3ducmV2LnhtbFBLBQYAAAAABAAEAPMA&#10;AADmBQAAAAA=&#10;" fillcolor="#c00" strokecolor="#ed7d31 [3205]" strokeweight=".5pt">
                      <v:textbox>
                        <w:txbxContent>
                          <w:p w14:paraId="5F8D60C4" w14:textId="77777777" w:rsidR="008D2C68" w:rsidRDefault="008D2C68" w:rsidP="00F97B16">
                            <w:pPr>
                              <w:jc w:val="center"/>
                            </w:pPr>
                          </w:p>
                          <w:p w14:paraId="4DC639B6" w14:textId="77777777" w:rsidR="008D2C68" w:rsidRDefault="008D2C68" w:rsidP="00F97B16">
                            <w:pPr>
                              <w:jc w:val="center"/>
                            </w:pPr>
                          </w:p>
                        </w:txbxContent>
                      </v:textbox>
                      <w10:anchorlock/>
                    </v:shape>
                  </w:pict>
                </mc:Fallback>
              </mc:AlternateContent>
            </w:r>
          </w:p>
        </w:tc>
        <w:tc>
          <w:tcPr>
            <w:tcW w:w="1316" w:type="dxa"/>
            <w:vAlign w:val="center"/>
          </w:tcPr>
          <w:p w14:paraId="6E76C886" w14:textId="77777777" w:rsidR="004E22A4" w:rsidRDefault="004E22A4" w:rsidP="004E22A4">
            <w:pPr>
              <w:jc w:val="center"/>
              <w:rPr>
                <w:color w:val="212121"/>
              </w:rPr>
            </w:pPr>
            <w:r w:rsidRPr="00840988">
              <w:rPr>
                <w:noProof/>
              </w:rPr>
              <mc:AlternateContent>
                <mc:Choice Requires="wps">
                  <w:drawing>
                    <wp:inline distT="0" distB="0" distL="0" distR="0" wp14:anchorId="4F944780" wp14:editId="0687CA94">
                      <wp:extent cx="210553" cy="190500"/>
                      <wp:effectExtent l="0" t="0" r="18415" b="19050"/>
                      <wp:docPr id="99" name="Octagon 99"/>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48A0D448" w14:textId="77777777" w:rsidR="008D2C68" w:rsidRDefault="008D2C68" w:rsidP="00F97B16">
                                  <w:pPr>
                                    <w:jc w:val="center"/>
                                  </w:pPr>
                                </w:p>
                                <w:p w14:paraId="5CFCADD7"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F944780" id="Octagon 99" o:spid="_x0000_s1060"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W3fQIAAF8FAAAOAAAAZHJzL2Uyb0RvYy54bWysVF9r2zAQfx/sOwi9r7bTZltCnRJSOgal&#10;LWtHnxVZSgSSTpOU2Nmn30l23NAVCmN+kO90v/t/p8urzmiyFz4osDWtzkpKhOXQKLup6c+nm09f&#10;KQmR2YZpsKKmBxHo1eLjh8vWzcUEtqAb4QkasWHeuppuY3Tzogh8KwwLZ+CERaEEb1hE1m+KxrMW&#10;rRtdTMryc9GCb5wHLkLA2+teSBfZvpSCx3spg4hE1xRji/n0+Vyns1hcsvnGM7dVfAiD/UMUhimL&#10;TkdT1ywysvPqL1NGcQ8BZDzjYAqQUnGRc8BsqvJVNo9b5kTOBYsT3Fim8P/M8rv9gyeqqelsRoll&#10;Bnt0zyPbgCV4g+VpXZgj6tE9+IELSKZcO+lN+mMWpMslPYwlFV0kHC8nVTmdnlPCUVTNymmZS168&#10;KDsf4jcBhiSiptD7zrVk+9sQ0Seij6jkLoBWzY3SOjN+s15pT/YMG7xalfiloFHlBFakHPqoMxUP&#10;WiRlbX8IicljnFX2mMdOjPYY58LGyWAwo5OaRN+j4vn7igM+qYo8kqPy5H3lUSN7BhtHZaMs+LcM&#10;6FgNIcsej/U4yTuRsVt3uevnuVzpag3NAUfBQ78jwfEbhS25ZSE+MI9LgeuDix7v8ZAaWuzVQFGy&#10;Bf/7rfuEx1lFKSUtLllNw68d84IS/d3iFM+qi4u0lZm5mH6ZIONPJetTid2ZFWCbK3xSHM9kwkd9&#10;JKUH84zvwTJ5RRGzHH3XlEd/ZFaxX358UbhYLjMMN9GxeGsfHT8OQpq3p+6ZeTfMZcSBvoPjQrL5&#10;q9nssalFFpa7CFLlwX2p69AC3OI8nMOLk56JUz6jXt7FxR8AAAD//wMAUEsDBBQABgAIAAAAIQC1&#10;03Ec2gAAAAMBAAAPAAAAZHJzL2Rvd25yZXYueG1sTI9Ba8MwDIXvg/0Ho0Fvrd0WSpfFKWNQ2GE0&#10;rFvZ1Y21JDSWg+026b+ftkt30UM88d6nfDO6TlwwxNaThvlMgUCqvG2p1vD5sZ2uQcRkyJrOE2q4&#10;YoRNcX+Xm8z6gd7xsk+14BCKmdHQpNRnUsaqQWfizPdI7H374EziNdTSBjNwuOvkQqmVdKYlbmhM&#10;jy8NVqf92WkoT0P5ui7Lx6+wXe3egjvMw+6g9eRhfH4CkXBMt2P4xWd0KJjp6M9ko+g08CPpb7K3&#10;XC5AHFmVAlnk8j978QMAAP//AwBQSwECLQAUAAYACAAAACEAtoM4kv4AAADhAQAAEwAAAAAAAAAA&#10;AAAAAAAAAAAAW0NvbnRlbnRfVHlwZXNdLnhtbFBLAQItABQABgAIAAAAIQA4/SH/1gAAAJQBAAAL&#10;AAAAAAAAAAAAAAAAAC8BAABfcmVscy8ucmVsc1BLAQItABQABgAIAAAAIQAT+RW3fQIAAF8FAAAO&#10;AAAAAAAAAAAAAAAAAC4CAABkcnMvZTJvRG9jLnhtbFBLAQItABQABgAIAAAAIQC103Ec2gAAAAMB&#10;AAAPAAAAAAAAAAAAAAAAANcEAABkcnMvZG93bnJldi54bWxQSwUGAAAAAAQABADzAAAA3gUAAAAA&#10;" fillcolor="#c00" strokecolor="#ed7d31 [3205]" strokeweight=".5pt">
                      <v:textbox>
                        <w:txbxContent>
                          <w:p w14:paraId="48A0D448" w14:textId="77777777" w:rsidR="008D2C68" w:rsidRDefault="008D2C68" w:rsidP="00F97B16">
                            <w:pPr>
                              <w:jc w:val="center"/>
                            </w:pPr>
                          </w:p>
                          <w:p w14:paraId="5CFCADD7" w14:textId="77777777" w:rsidR="008D2C68" w:rsidRDefault="008D2C68" w:rsidP="00F97B16">
                            <w:pPr>
                              <w:jc w:val="center"/>
                            </w:pPr>
                          </w:p>
                        </w:txbxContent>
                      </v:textbox>
                      <w10:anchorlock/>
                    </v:shape>
                  </w:pict>
                </mc:Fallback>
              </mc:AlternateContent>
            </w:r>
          </w:p>
        </w:tc>
        <w:tc>
          <w:tcPr>
            <w:tcW w:w="900" w:type="dxa"/>
            <w:vAlign w:val="center"/>
          </w:tcPr>
          <w:p w14:paraId="5DF7A5A7" w14:textId="77777777" w:rsidR="004E22A4" w:rsidRDefault="004E22A4" w:rsidP="004E22A4">
            <w:pPr>
              <w:jc w:val="center"/>
              <w:rPr>
                <w:color w:val="212121"/>
              </w:rPr>
            </w:pPr>
            <w:r w:rsidRPr="00840988">
              <w:rPr>
                <w:noProof/>
              </w:rPr>
              <mc:AlternateContent>
                <mc:Choice Requires="wps">
                  <w:drawing>
                    <wp:inline distT="0" distB="0" distL="0" distR="0" wp14:anchorId="22733169" wp14:editId="383B51FA">
                      <wp:extent cx="210553" cy="190500"/>
                      <wp:effectExtent l="0" t="0" r="18415" b="19050"/>
                      <wp:docPr id="100" name="Octagon 100"/>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64A5E938" w14:textId="77777777" w:rsidR="008D2C68" w:rsidRDefault="008D2C68" w:rsidP="00F97B16">
                                  <w:pPr>
                                    <w:jc w:val="center"/>
                                  </w:pPr>
                                </w:p>
                                <w:p w14:paraId="4BF0FA8F"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2733169" id="Octagon 100" o:spid="_x0000_s1061"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aPrewIAAGEFAAAOAAAAZHJzL2Uyb0RvYy54bWysVF9r2zAQfx/sOwi9r7bTZltDnRJSOgal&#10;DWtHnxVZSgSSTpOU2Nmn30l23NAVCmN+kO90v/t/p6vrzmiyFz4osDWtzkpKhOXQKLup6c+n209f&#10;KQmR2YZpsKKmBxHo9fzjh6vWzcQEtqAb4QkasWHWuppuY3Szogh8KwwLZ+CERaEEb1hE1m+KxrMW&#10;rRtdTMryc9GCb5wHLkLA25teSOfZvpSCxwcpg4hE1xRji/n0+Vyns5hfsdnGM7dVfAiD/UMUhimL&#10;TkdTNywysvPqL1NGcQ8BZDzjYAqQUnGRc8BsqvJVNo9b5kTOBYsT3Fim8P/M8vv9yhPVYO9KrI9l&#10;Bpv0wCPbgCXpCgvUujBD3KNb+YELSKZsO+lN+mMepMtFPYxFFV0kHC8nVTmdnlPCUVRdltPeZvGi&#10;7HyI3wQYkoiaQu88V5Pt70JEn4g+opK7AFo1t0rrzPjNeqk92TNs8XJZ4peCRpUTWJFy6KPOVDxo&#10;kZS1/SEkpo9xVtljHjwx2mOcCxsng8GMTmoSfY+K5+8rDvikKvJQjsqT95VHjewZbByVjbLg3zKg&#10;YzWELHs81uMk70TGbt3lvp9naLpaQ3PAYfDQb0lw/FZhS+5YiCvmcS1wQHDV4wMeUkOLvRooSrbg&#10;f791n/A4rSilpMU1q2n4tWNeUKK/W5zjy+riIu1lZi6mXybI+FPJ+lRid2YJ2OYKHxXHM5nwUR9J&#10;6cE844uwSF5RxCxH3zXl0R+ZZezXH98ULhaLDMNddCze2UfHj4OQ5u2pe2beDXMZcaDv4biSbPZq&#10;NntsapGFxS6CVHlwX+o6tAD3OA/n8Oakh+KUz6iXl3H+BwAA//8DAFBLAwQUAAYACAAAACEAtdNx&#10;HNoAAAADAQAADwAAAGRycy9kb3ducmV2LnhtbEyPQWvDMAyF74P9B6NBb63dFkqXxSljUNhhNKxb&#10;2dWNtSQ0loPtNum/n7ZLd9FDPPHep3wzuk5cMMTWk4b5TIFAqrxtqdbw+bGdrkHEZMiazhNquGKE&#10;TXF/l5vM+oHe8bJPteAQipnR0KTUZ1LGqkFn4sz3SOx9++BM4jXU0gYzcLjr5EKplXSmJW5oTI8v&#10;DVan/dlpKE9D+bouy8evsF3t3oI7zMPuoPXkYXx+ApFwTLdj+MVndCiY6ejPZKPoNPAj6W+yt1wu&#10;QBxZlQJZ5PI/e/EDAAD//wMAUEsBAi0AFAAGAAgAAAAhALaDOJL+AAAA4QEAABMAAAAAAAAAAAAA&#10;AAAAAAAAAFtDb250ZW50X1R5cGVzXS54bWxQSwECLQAUAAYACAAAACEAOP0h/9YAAACUAQAACwAA&#10;AAAAAAAAAAAAAAAvAQAAX3JlbHMvLnJlbHNQSwECLQAUAAYACAAAACEASeGj63sCAABhBQAADgAA&#10;AAAAAAAAAAAAAAAuAgAAZHJzL2Uyb0RvYy54bWxQSwECLQAUAAYACAAAACEAtdNxHNoAAAADAQAA&#10;DwAAAAAAAAAAAAAAAADVBAAAZHJzL2Rvd25yZXYueG1sUEsFBgAAAAAEAAQA8wAAANwFAAAAAA==&#10;" fillcolor="#c00" strokecolor="#ed7d31 [3205]" strokeweight=".5pt">
                      <v:textbox>
                        <w:txbxContent>
                          <w:p w14:paraId="64A5E938" w14:textId="77777777" w:rsidR="008D2C68" w:rsidRDefault="008D2C68" w:rsidP="00F97B16">
                            <w:pPr>
                              <w:jc w:val="center"/>
                            </w:pPr>
                          </w:p>
                          <w:p w14:paraId="4BF0FA8F" w14:textId="77777777" w:rsidR="008D2C68" w:rsidRDefault="008D2C68" w:rsidP="00F97B16">
                            <w:pPr>
                              <w:jc w:val="center"/>
                            </w:pPr>
                          </w:p>
                        </w:txbxContent>
                      </v:textbox>
                      <w10:anchorlock/>
                    </v:shape>
                  </w:pict>
                </mc:Fallback>
              </mc:AlternateContent>
            </w:r>
          </w:p>
        </w:tc>
        <w:tc>
          <w:tcPr>
            <w:tcW w:w="6784" w:type="dxa"/>
          </w:tcPr>
          <w:p w14:paraId="009AE3F2" w14:textId="15EFB516" w:rsidR="004E22A4" w:rsidRDefault="004E22A4" w:rsidP="004E22A4">
            <w:pPr>
              <w:ind w:left="432"/>
              <w:rPr>
                <w:color w:val="212121"/>
              </w:rPr>
            </w:pPr>
            <w:r w:rsidRPr="00744BCC">
              <w:t xml:space="preserve">Compliance with Microsoft Security </w:t>
            </w:r>
            <w:r>
              <w:t>b</w:t>
            </w:r>
            <w:r w:rsidRPr="00744BCC">
              <w:t>aselines</w:t>
            </w:r>
          </w:p>
        </w:tc>
      </w:tr>
      <w:tr w:rsidR="004E22A4" w14:paraId="22881CDA" w14:textId="77777777" w:rsidTr="00915020">
        <w:tc>
          <w:tcPr>
            <w:tcW w:w="895" w:type="dxa"/>
            <w:vAlign w:val="center"/>
          </w:tcPr>
          <w:p w14:paraId="6DB7C70C" w14:textId="77777777" w:rsidR="004E22A4" w:rsidRDefault="004E22A4" w:rsidP="004E22A4">
            <w:pPr>
              <w:jc w:val="center"/>
              <w:rPr>
                <w:color w:val="212121"/>
              </w:rPr>
            </w:pPr>
            <w:r w:rsidRPr="00840988">
              <w:rPr>
                <w:noProof/>
              </w:rPr>
              <mc:AlternateContent>
                <mc:Choice Requires="wps">
                  <w:drawing>
                    <wp:inline distT="0" distB="0" distL="0" distR="0" wp14:anchorId="56C4AC93" wp14:editId="521D6B8D">
                      <wp:extent cx="210553" cy="190500"/>
                      <wp:effectExtent l="0" t="0" r="18415" b="19050"/>
                      <wp:docPr id="1546650206" name="Octagon 1546650206"/>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76C92B65" w14:textId="77777777" w:rsidR="008D2C68" w:rsidRDefault="008D2C68" w:rsidP="00F97B16">
                                  <w:pPr>
                                    <w:jc w:val="center"/>
                                  </w:pPr>
                                </w:p>
                                <w:p w14:paraId="1E92ADAA"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6C4AC93" id="Octagon 1546650206" o:spid="_x0000_s1062"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RrhAIAAG8FAAAOAAAAZHJzL2Uyb0RvYy54bWysVN1r2zAQfx/sfxB6X/3RJFtDnRJSOgal&#10;LW1HnxVZSgSyTpOU2Nlfv5PsuKErFMbyoNz5vu9+d5dXXaPJXjivwFS0OMspEYZDrcymoj+fb758&#10;o8QHZmqmwYiKHoSnV4vPny5bOxclbEHXwhF0Yvy8tRXdhmDnWeb5VjTMn4EVBoUSXMMCsm6T1Y61&#10;6L3RWZnns6wFV1sHXHiPX697IV0k/1IKHu6l9CIQXVHMLaTXpXcd32xxyeYbx+xW8SEN9g9ZNEwZ&#10;DDq6umaBkZ1Tf7lqFHfgQYYzDk0GUiouUg1YTZG/qeZpy6xItWBzvB3b5P+fW363f3BE1Ti76WQ2&#10;m+ZlPqPEsAZndc8D24AhJxJsV2v9HK2e7IMbOI9krL2Tron/WBXpUosPY4tFFwjHj2WRT6fnlHAU&#10;FRf5NE8jyF6NrfPhu4CGRKKi0OeQesv2tz5gTNQ+asVwHrSqb5TWiXGb9Uo7smc48NUqx1+cMZqc&#10;qGWxhj7rRIWDFtFYm0chsRmYZ5EiJhiK0R/jXJhQDg6TdjSTGHs0PP/YcNCPpiJBdDQuPzYeLVJk&#10;MGE0bpQB954DHYohZdnrYz9O6o5k6NZdQsF5qi5+WkN9QGg46HfGW36jcCS3zIcH5nBJcJ1w8cM9&#10;PlJDi7MaKEq24H6/9z3qI3ZRSkmLS1dR/2vHnKBE/zCI6otiMolbmpjJ9GuJjDuVrE8lZtesAMdc&#10;4ImxPJFRP+gjKR00L3gfljEqipjhGLuiPLgjswr9McALw8VymdRwMy0Lt+bJ8iMQIt6euxfm7IDL&#10;gIC+g+OCsvkbbPa6cUQGlrsAUiXgvvZ1GAFudQLncIHi2Tjlk9brnVz8AQAA//8DAFBLAwQUAAYA&#10;CAAAACEAtdNxHNoAAAADAQAADwAAAGRycy9kb3ducmV2LnhtbEyPQWvDMAyF74P9B6NBb63dFkqX&#10;xSljUNhhNKxb2dWNtSQ0loPtNum/n7ZLd9FDPPHep3wzuk5cMMTWk4b5TIFAqrxtqdbw+bGdrkHE&#10;ZMiazhNquGKETXF/l5vM+oHe8bJPteAQipnR0KTUZ1LGqkFn4sz3SOx9++BM4jXU0gYzcLjr5EKp&#10;lXSmJW5oTI8vDVan/dlpKE9D+bouy8evsF3t3oI7zMPuoPXkYXx+ApFwTLdj+MVndCiY6ejPZKPo&#10;NPAj6W+yt1wuQBxZlQJZ5PI/e/EDAAD//wMAUEsBAi0AFAAGAAgAAAAhALaDOJL+AAAA4QEAABMA&#10;AAAAAAAAAAAAAAAAAAAAAFtDb250ZW50X1R5cGVzXS54bWxQSwECLQAUAAYACAAAACEAOP0h/9YA&#10;AACUAQAACwAAAAAAAAAAAAAAAAAvAQAAX3JlbHMvLnJlbHNQSwECLQAUAAYACAAAACEAofx0a4QC&#10;AABvBQAADgAAAAAAAAAAAAAAAAAuAgAAZHJzL2Uyb0RvYy54bWxQSwECLQAUAAYACAAAACEAtdNx&#10;HNoAAAADAQAADwAAAAAAAAAAAAAAAADeBAAAZHJzL2Rvd25yZXYueG1sUEsFBgAAAAAEAAQA8wAA&#10;AOUFAAAAAA==&#10;" fillcolor="#c00" strokecolor="#ed7d31 [3205]" strokeweight=".5pt">
                      <v:textbox>
                        <w:txbxContent>
                          <w:p w14:paraId="76C92B65" w14:textId="77777777" w:rsidR="008D2C68" w:rsidRDefault="008D2C68" w:rsidP="00F97B16">
                            <w:pPr>
                              <w:jc w:val="center"/>
                            </w:pPr>
                          </w:p>
                          <w:p w14:paraId="1E92ADAA" w14:textId="77777777" w:rsidR="008D2C68" w:rsidRDefault="008D2C68" w:rsidP="00F97B16">
                            <w:pPr>
                              <w:jc w:val="center"/>
                            </w:pPr>
                          </w:p>
                        </w:txbxContent>
                      </v:textbox>
                      <w10:anchorlock/>
                    </v:shape>
                  </w:pict>
                </mc:Fallback>
              </mc:AlternateContent>
            </w:r>
          </w:p>
        </w:tc>
        <w:tc>
          <w:tcPr>
            <w:tcW w:w="1316" w:type="dxa"/>
            <w:vAlign w:val="center"/>
          </w:tcPr>
          <w:p w14:paraId="3E5C007C" w14:textId="77777777" w:rsidR="004E22A4" w:rsidRDefault="004E22A4" w:rsidP="004E22A4">
            <w:pPr>
              <w:jc w:val="center"/>
              <w:rPr>
                <w:color w:val="212121"/>
              </w:rPr>
            </w:pPr>
            <w:r w:rsidRPr="00840988">
              <w:rPr>
                <w:noProof/>
              </w:rPr>
              <mc:AlternateContent>
                <mc:Choice Requires="wps">
                  <w:drawing>
                    <wp:inline distT="0" distB="0" distL="0" distR="0" wp14:anchorId="4DB3EC7E" wp14:editId="0A8489AC">
                      <wp:extent cx="210553" cy="190500"/>
                      <wp:effectExtent l="0" t="0" r="18415" b="19050"/>
                      <wp:docPr id="93" name="Octagon 93"/>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7C1D22DA" w14:textId="77777777" w:rsidR="008D2C68" w:rsidRDefault="008D2C68" w:rsidP="00F97B16">
                                  <w:pPr>
                                    <w:jc w:val="center"/>
                                  </w:pPr>
                                </w:p>
                                <w:p w14:paraId="04CF0C12"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DB3EC7E" id="Octagon 93" o:spid="_x0000_s1063"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tsWfAIAAF8FAAAOAAAAZHJzL2Uyb0RvYy54bWysVF9r2zAQfx/sOwi9r7bTZltDnRJSOgal&#10;DWtHnxVZSgSSTpOU2Nmn30l23NAVCmN+kO90/+9+p6vrzmiyFz4osDWtzkpKhOXQKLup6c+n209f&#10;KQmR2YZpsKKmBxHo9fzjh6vWzcQEtqAb4Qk6sWHWuppuY3Szogh8KwwLZ+CERaEEb1hE1m+KxrMW&#10;vRtdTMryc9GCb5wHLkLA25teSOfZv5SCxwcpg4hE1xRzi/n0+Vyns5hfsdnGM7dVfEiD/UMWhimL&#10;QUdXNywysvPqL1dGcQ8BZDzjYAqQUnGRa8BqqvJVNY9b5kSuBZsT3Nim8P/c8vv9yhPV1PTynBLL&#10;DM7ogUe2AUvwBtvTujBDrUe38gMXkEy1dtKb9McqSJdbehhbKrpIOF5OqnI6Rc8cRdVlOS1zy4sX&#10;Y+dD/CbAkETUFPrYuZdsfxcixkTto1YKF0Cr5lZpnRm/WS+1J3uGA14uS/xS0mhyolakGvqsMxUP&#10;WiRjbX8IicVjnlWOmGEnRn+Mc2HjZHCYtZOZxNij4fn7hoN+MhUZkqPx5H3j0SJHBhtHY6Ms+Lcc&#10;6FgNKcteH/txUnciY7fu8tTPxxmvoTkgFDz0OxIcv1U4kjsW4op5XApcH1z0+ICH1NDirAaKki34&#10;32/dJ33EKkopaXHJahp+7ZgXlOjvFlF8WV1cpK3MzMX0ywQZfypZn0rsziwBx1zhk+J4JpN+1EdS&#10;ejDP+B4sUlQUMcsxdk159EdmGfvlxxeFi8Uiq+EmOhbv7KPjRyAkvD11z8y7AZcRAX0Px4Vks1fY&#10;7HXTiCwsdhGkysBNre77OowAtziDc3hx0jNxymetl3dx/gcAAP//AwBQSwMEFAAGAAgAAAAhALXT&#10;cRzaAAAAAwEAAA8AAABkcnMvZG93bnJldi54bWxMj0FrwzAMhe+D/QejQW+t3RZKl8UpY1DYYTSs&#10;W9nVjbUkNJaD7Tbpv5+2S3fRQzzx3qd8M7pOXDDE1pOG+UyBQKq8banW8Pmxna5BxGTIms4Tarhi&#10;hE1xf5ebzPqB3vGyT7XgEIqZ0dCk1GdSxqpBZ+LM90jsffvgTOI11NIGM3C46+RCqZV0piVuaEyP&#10;Lw1Wp/3ZaShPQ/m6LsvHr7Bd7d6CO8zD7qD15GF8fgKRcEy3Y/jFZ3QomOnoz2Sj6DTwI+lvsrdc&#10;LkAcWZUCWeTyP3vxAwAA//8DAFBLAQItABQABgAIAAAAIQC2gziS/gAAAOEBAAATAAAAAAAAAAAA&#10;AAAAAAAAAABbQ29udGVudF9UeXBlc10ueG1sUEsBAi0AFAAGAAgAAAAhADj9If/WAAAAlAEAAAsA&#10;AAAAAAAAAAAAAAAALwEAAF9yZWxzLy5yZWxzUEsBAi0AFAAGAAgAAAAhAG5i2xZ8AgAAXwUAAA4A&#10;AAAAAAAAAAAAAAAALgIAAGRycy9lMm9Eb2MueG1sUEsBAi0AFAAGAAgAAAAhALXTcRzaAAAAAwEA&#10;AA8AAAAAAAAAAAAAAAAA1gQAAGRycy9kb3ducmV2LnhtbFBLBQYAAAAABAAEAPMAAADdBQAAAAA=&#10;" fillcolor="#c00" strokecolor="#ed7d31 [3205]" strokeweight=".5pt">
                      <v:textbox>
                        <w:txbxContent>
                          <w:p w14:paraId="7C1D22DA" w14:textId="77777777" w:rsidR="008D2C68" w:rsidRDefault="008D2C68" w:rsidP="00F97B16">
                            <w:pPr>
                              <w:jc w:val="center"/>
                            </w:pPr>
                          </w:p>
                          <w:p w14:paraId="04CF0C12" w14:textId="77777777" w:rsidR="008D2C68" w:rsidRDefault="008D2C68" w:rsidP="00F97B16">
                            <w:pPr>
                              <w:jc w:val="center"/>
                            </w:pPr>
                          </w:p>
                        </w:txbxContent>
                      </v:textbox>
                      <w10:anchorlock/>
                    </v:shape>
                  </w:pict>
                </mc:Fallback>
              </mc:AlternateContent>
            </w:r>
          </w:p>
        </w:tc>
        <w:tc>
          <w:tcPr>
            <w:tcW w:w="900" w:type="dxa"/>
            <w:vAlign w:val="center"/>
          </w:tcPr>
          <w:p w14:paraId="6A8B68E4" w14:textId="77777777" w:rsidR="004E22A4" w:rsidRDefault="004E22A4" w:rsidP="004E22A4">
            <w:pPr>
              <w:jc w:val="center"/>
              <w:rPr>
                <w:color w:val="212121"/>
              </w:rPr>
            </w:pPr>
            <w:r w:rsidRPr="00840988">
              <w:rPr>
                <w:noProof/>
              </w:rPr>
              <mc:AlternateContent>
                <mc:Choice Requires="wps">
                  <w:drawing>
                    <wp:inline distT="0" distB="0" distL="0" distR="0" wp14:anchorId="19A2548B" wp14:editId="03920FCC">
                      <wp:extent cx="210553" cy="190500"/>
                      <wp:effectExtent l="0" t="0" r="18415" b="19050"/>
                      <wp:docPr id="94" name="Octagon 94"/>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160EC038" w14:textId="77777777" w:rsidR="008D2C68" w:rsidRDefault="008D2C68" w:rsidP="00F97B16">
                                  <w:pPr>
                                    <w:jc w:val="center"/>
                                  </w:pPr>
                                </w:p>
                                <w:p w14:paraId="4EF0E83A"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9A2548B" id="Octagon 94" o:spid="_x0000_s1064"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61BfQIAAF8FAAAOAAAAZHJzL2Uyb0RvYy54bWysVF9r2zAQfx/sOwi9r7bTZFtDnRJSOgal&#10;LWtHnxVZSgSSTpOU2Nmn30l23NAVCmN+kO90/+9+p8urzmiyFz4osDWtzkpKhOXQKLup6c+nm09f&#10;KQmR2YZpsKKmBxHo1eLjh8vWzcUEtqAb4Qk6sWHeuppuY3Tzogh8KwwLZ+CERaEEb1hE1m+KxrMW&#10;vRtdTMryc9GCb5wHLkLA2+teSBfZv5SCx3spg4hE1xRzi/n0+Vyns1hcsvnGM7dVfEiD/UMWhimL&#10;QUdX1ywysvPqL1dGcQ8BZDzjYAqQUnGRa8BqqvJVNY9b5kSuBZsT3Nim8P/c8rv9gyeqqenFlBLL&#10;DM7onke2AUvwBtvTujBHrUf34AcuIJlq7aQ36Y9VkC639DC2VHSRcLycVOVsdk4JR1F1Uc7K3PLi&#10;xdj5EL8JMCQRNYU+du4l29+GiDFR+6iVwgXQqrlRWmfGb9Yr7cme4YBXqxK/lDSanKgVqYY+60zF&#10;gxbJWNsfQmLxmGeVI2bYidEf41zYOBkcZu1kJjH2aHj+vuGgn0xFhuRoPHnfeLTIkcHG0dgoC/4t&#10;BzpWQ8qy18d+nNSdyNituzz183HGa2gOCAUP/Y4Ex28UjuSWhfjAPC4Frg8uerzHQ2pocVYDRckW&#10;/O+37pM+YhWllLS4ZDUNv3bMC0r0d4sovqim07SVmZnOvkyQ8aeS9anE7swKcMwVPimOZzLpR30k&#10;pQfzjO/BMkVFEbMcY9eUR39kVrFffnxRuFgusxpuomPx1j46fgRCwttT98y8G3AZEdB3cFxINn+F&#10;zV43jcjCchdBqgzc1Oq+r8MIcIszOIcXJz0Tp3zWenkXF38AAAD//wMAUEsDBBQABgAIAAAAIQC1&#10;03Ec2gAAAAMBAAAPAAAAZHJzL2Rvd25yZXYueG1sTI9Ba8MwDIXvg/0Ho0Fvrd0WSpfFKWNQ2GE0&#10;rFvZ1Y21JDSWg+026b+ftkt30UM88d6nfDO6TlwwxNaThvlMgUCqvG2p1vD5sZ2uQcRkyJrOE2q4&#10;YoRNcX+Xm8z6gd7xsk+14BCKmdHQpNRnUsaqQWfizPdI7H374EziNdTSBjNwuOvkQqmVdKYlbmhM&#10;jy8NVqf92WkoT0P5ui7Lx6+wXe3egjvMw+6g9eRhfH4CkXBMt2P4xWd0KJjp6M9ko+g08CPpb7K3&#10;XC5AHFmVAlnk8j978QMAAP//AwBQSwECLQAUAAYACAAAACEAtoM4kv4AAADhAQAAEwAAAAAAAAAA&#10;AAAAAAAAAAAAW0NvbnRlbnRfVHlwZXNdLnhtbFBLAQItABQABgAIAAAAIQA4/SH/1gAAAJQBAAAL&#10;AAAAAAAAAAAAAAAAAC8BAABfcmVscy8ucmVsc1BLAQItABQABgAIAAAAIQBTh61BfQIAAF8FAAAO&#10;AAAAAAAAAAAAAAAAAC4CAABkcnMvZTJvRG9jLnhtbFBLAQItABQABgAIAAAAIQC103Ec2gAAAAMB&#10;AAAPAAAAAAAAAAAAAAAAANcEAABkcnMvZG93bnJldi54bWxQSwUGAAAAAAQABADzAAAA3gUAAAAA&#10;" fillcolor="#c00" strokecolor="#ed7d31 [3205]" strokeweight=".5pt">
                      <v:textbox>
                        <w:txbxContent>
                          <w:p w14:paraId="160EC038" w14:textId="77777777" w:rsidR="008D2C68" w:rsidRDefault="008D2C68" w:rsidP="00F97B16">
                            <w:pPr>
                              <w:jc w:val="center"/>
                            </w:pPr>
                          </w:p>
                          <w:p w14:paraId="4EF0E83A" w14:textId="77777777" w:rsidR="008D2C68" w:rsidRDefault="008D2C68" w:rsidP="00F97B16">
                            <w:pPr>
                              <w:jc w:val="center"/>
                            </w:pPr>
                          </w:p>
                        </w:txbxContent>
                      </v:textbox>
                      <w10:anchorlock/>
                    </v:shape>
                  </w:pict>
                </mc:Fallback>
              </mc:AlternateContent>
            </w:r>
          </w:p>
        </w:tc>
        <w:tc>
          <w:tcPr>
            <w:tcW w:w="6784" w:type="dxa"/>
          </w:tcPr>
          <w:p w14:paraId="0143D67D" w14:textId="0EFA321C" w:rsidR="004E22A4" w:rsidRDefault="004E22A4" w:rsidP="004E22A4">
            <w:pPr>
              <w:ind w:left="432"/>
              <w:rPr>
                <w:color w:val="212121"/>
              </w:rPr>
            </w:pPr>
            <w:r w:rsidRPr="00A377C5">
              <w:t>Up</w:t>
            </w:r>
            <w:r>
              <w:t>-</w:t>
            </w:r>
            <w:r w:rsidRPr="00A377C5">
              <w:t>to</w:t>
            </w:r>
            <w:r>
              <w:t>-d</w:t>
            </w:r>
            <w:r w:rsidRPr="00A377C5">
              <w:t xml:space="preserve">ate </w:t>
            </w:r>
            <w:r>
              <w:t>a</w:t>
            </w:r>
            <w:r w:rsidRPr="00A377C5">
              <w:t>nti-malware</w:t>
            </w:r>
          </w:p>
        </w:tc>
      </w:tr>
      <w:tr w:rsidR="004E22A4" w14:paraId="6797953F" w14:textId="77777777" w:rsidTr="00915020">
        <w:tc>
          <w:tcPr>
            <w:tcW w:w="895" w:type="dxa"/>
            <w:vAlign w:val="center"/>
          </w:tcPr>
          <w:p w14:paraId="5AC7ADD0" w14:textId="77777777" w:rsidR="004E22A4" w:rsidRPr="00A97FE6" w:rsidRDefault="004E22A4" w:rsidP="004E22A4">
            <w:pPr>
              <w:jc w:val="center"/>
              <w:rPr>
                <w:noProof/>
              </w:rPr>
            </w:pPr>
            <w:r w:rsidRPr="00A97FE6">
              <w:rPr>
                <w:noProof/>
              </w:rPr>
              <mc:AlternateContent>
                <mc:Choice Requires="wps">
                  <w:drawing>
                    <wp:inline distT="0" distB="0" distL="0" distR="0" wp14:anchorId="1574BA89" wp14:editId="3A24E0CD">
                      <wp:extent cx="210553" cy="190500"/>
                      <wp:effectExtent l="0" t="0" r="18415" b="19050"/>
                      <wp:docPr id="250" name="Octagon 250"/>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0B09E8A4" w14:textId="77777777" w:rsidR="008D2C68" w:rsidRDefault="008D2C68" w:rsidP="00F97B16">
                                  <w:pPr>
                                    <w:jc w:val="center"/>
                                  </w:pPr>
                                </w:p>
                                <w:p w14:paraId="162EA0D1"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574BA89" id="Octagon 250" o:spid="_x0000_s1065"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azIfQIAAGEFAAAOAAAAZHJzL2Uyb0RvYy54bWysVN1r2zAQfx/sfxB6X/2RZltDnBJSOgal&#10;DWtHnxVZSgSyTpOU2Nlfv5PsuKErFMb8IN/pfvd9p/l112hyEM4rMBUtLnJKhOFQK7Ot6M+n209f&#10;KfGBmZppMKKiR+Hp9eLjh3lrZ6KEHehaOIJGjJ+1tqK7EOwsyzzfiYb5C7DCoFCCa1hA1m2z2rEW&#10;rTc6K/P8c9aCq60DLrzH25teSBfJvpSChwcpvQhEVxRjC+l06dzEM1vM2WzrmN0pPoTB/iGKhimD&#10;TkdTNywwsnfqL1ON4g48yHDBoclASsVFygGzKfJX2TzumBUpFyyOt2OZ/P8zy+8Pa0dUXdFyivUx&#10;rMEmPfDAtmBIvMICtdbPEPdo127gPJIx2066Jv4xD9Kloh7HooouEI6XZZFPpxNKOIqKq3yaJ5vZ&#10;i7J1PnwT0JBIVBR656ma7HDnA/pE9AkV3XnQqr5VWifGbTcr7ciBYYtXqxy/GDSqnMGymEMfdaLC&#10;UYuorM0PITF9jLNIHtPgidEe41yYUA4GEzqqSfQ9Kk7eVxzwUVWkoRyVy/eVR43kGUwYlRtlwL1l&#10;QIdiCFn2eKzHWd6RDN2mS32fTCM0Xm2gPuIwOOi3xFt+q7Ald8yHNXO4FjgguOrhAQ+pocVeDRQl&#10;O3C/37qPeJxWlFLS4ppV1P/aMyco0d8NzvFVcXkZ9zIxl9MvJTLuXLI5l5h9swJsc4GPiuWJjPig&#10;T6R00Dzji7CMXlHEDEffFeXBnZhV6Ncf3xQulssEw120LNyZR8tPgxDn7al7Zs4OcxlwoO/htJJs&#10;9mo2e2xskYHlPoBUaXBf6jq0APc4Defw5sSH4pxPqJeXcfEHAAD//wMAUEsDBBQABgAIAAAAIQC1&#10;03Ec2gAAAAMBAAAPAAAAZHJzL2Rvd25yZXYueG1sTI9Ba8MwDIXvg/0Ho0Fvrd0WSpfFKWNQ2GE0&#10;rFvZ1Y21JDSWg+026b+ftkt30UM88d6nfDO6TlwwxNaThvlMgUCqvG2p1vD5sZ2uQcRkyJrOE2q4&#10;YoRNcX+Xm8z6gd7xsk+14BCKmdHQpNRnUsaqQWfizPdI7H374EziNdTSBjNwuOvkQqmVdKYlbmhM&#10;jy8NVqf92WkoT0P5ui7Lx6+wXe3egjvMw+6g9eRhfH4CkXBMt2P4xWd0KJjp6M9ko+g08CPpb7K3&#10;XC5AHFmVAlnk8j978QMAAP//AwBQSwECLQAUAAYACAAAACEAtoM4kv4AAADhAQAAEwAAAAAAAAAA&#10;AAAAAAAAAAAAW0NvbnRlbnRfVHlwZXNdLnhtbFBLAQItABQABgAIAAAAIQA4/SH/1gAAAJQBAAAL&#10;AAAAAAAAAAAAAAAAAC8BAABfcmVscy8ucmVsc1BLAQItABQABgAIAAAAIQAafazIfQIAAGEFAAAO&#10;AAAAAAAAAAAAAAAAAC4CAABkcnMvZTJvRG9jLnhtbFBLAQItABQABgAIAAAAIQC103Ec2gAAAAMB&#10;AAAPAAAAAAAAAAAAAAAAANcEAABkcnMvZG93bnJldi54bWxQSwUGAAAAAAQABADzAAAA3gUAAAAA&#10;" fillcolor="#c00" strokecolor="#ed7d31 [3205]" strokeweight=".5pt">
                      <v:textbox>
                        <w:txbxContent>
                          <w:p w14:paraId="0B09E8A4" w14:textId="77777777" w:rsidR="008D2C68" w:rsidRDefault="008D2C68" w:rsidP="00F97B16">
                            <w:pPr>
                              <w:jc w:val="center"/>
                            </w:pPr>
                          </w:p>
                          <w:p w14:paraId="162EA0D1" w14:textId="77777777" w:rsidR="008D2C68" w:rsidRDefault="008D2C68" w:rsidP="00F97B16">
                            <w:pPr>
                              <w:jc w:val="center"/>
                            </w:pPr>
                          </w:p>
                        </w:txbxContent>
                      </v:textbox>
                      <w10:anchorlock/>
                    </v:shape>
                  </w:pict>
                </mc:Fallback>
              </mc:AlternateContent>
            </w:r>
          </w:p>
        </w:tc>
        <w:tc>
          <w:tcPr>
            <w:tcW w:w="1316" w:type="dxa"/>
            <w:vAlign w:val="center"/>
          </w:tcPr>
          <w:p w14:paraId="3963E901" w14:textId="77777777" w:rsidR="004E22A4" w:rsidRPr="00A97FE6" w:rsidRDefault="004E22A4" w:rsidP="004E22A4">
            <w:pPr>
              <w:jc w:val="center"/>
              <w:rPr>
                <w:noProof/>
              </w:rPr>
            </w:pPr>
            <w:r w:rsidRPr="00A97FE6">
              <w:rPr>
                <w:rFonts w:eastAsia="Arial" w:cs="Segoe UI"/>
                <w:noProof/>
                <w:sz w:val="20"/>
                <w:szCs w:val="20"/>
              </w:rPr>
              <mc:AlternateContent>
                <mc:Choice Requires="wps">
                  <w:drawing>
                    <wp:inline distT="0" distB="0" distL="0" distR="0" wp14:anchorId="33D0F9CE" wp14:editId="730C2BCD">
                      <wp:extent cx="209550" cy="180975"/>
                      <wp:effectExtent l="19050" t="19050" r="38100" b="28575"/>
                      <wp:docPr id="251" name="Isosceles Triangle 2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99DA0AA" id="Isosceles Triangle 251"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2jWhwIAAHMFAAAOAAAAZHJzL2Uyb0RvYy54bWysVNtqGzEQfS/0H4Tem127cS5L1sE4uARM&#10;YpKUPMtayRbValRJ9tr9+o60l6RpIFD6IjSaM/czuro+1JrshfMKTElHJzklwnColNmU9PvT4ssF&#10;JT4wUzENRpT0KDy9nn7+dNXYQoxhC7oSjqAT44vGlnQbgi2yzPOtqJk/ASsMKiW4mgUU3SarHGvQ&#10;e62zcZ6fZQ24yjrgwnt8vWmVdJr8Syl4uJfSi0B0STG3kE6XznU8s+kVKzaO2a3iXRrsH7KomTIY&#10;dHB1wwIjO6f+clUr7sCDDCcc6gykVFykGrCaUf6mmsctsyLVgs3xdmiT/39u+d1+5YiqSjqejCgx&#10;rMYh3XrwXGjhyZNTzGy0IFGLvWqsL9Dk0a5crNbbJfAfHhXZH5oo+A5zkK6OWKyVHFLjj0PjxSEQ&#10;jo/j/HIywfFwVI0u8svzSQyWsaI3ts6HbwJqEi8lDV1aqeVsv/ShhfewlBtoVS2U1klwm/VcO7Jn&#10;yIPFYp7nafQYwb/AUg1t2qmAcNQiGmvzICT2CBMdpYiJnWLwxzgXJpx1KSd0NJMYezD8+rFhh4+m&#10;IjF3MB5/bDxYpMhgwmBcKwPuPQc6pJFiD2SL76bo27pjC9ZQHZEeDtq98ZYvFA5gyXxYMYeLgjPD&#10;5Q/3eEgNTUmhu1GyBffrvfeIR/6ilpIGF6+k/ueOOUGJvjXI7MvR6Wnc1CScTs7HKLjXmvVrjdnV&#10;c8CZIncxu3SN+KD7q3RQP+MfMYtRUcUMx9gl5cH1wjy0HwL+MlzMZgmG22lZWJpHy/upR3I9HZ6Z&#10;sz0Lkb530C8pK94QscXGeRiY7QJIlVj60teu37jZievdLxS/jtdyQr38ldPfAAAA//8DAFBLAwQU&#10;AAYACAAAACEASkqQ6t0AAAADAQAADwAAAGRycy9kb3ducmV2LnhtbEyPQUvDQBCF74L/YRnBi9iN&#10;bZU0ZlNUsFAPgq1oe9tmp0lwdzZkt038945e6uXB4w3vfZPPB2fFEbvQeFJwM0pAIJXeNFQpeF8/&#10;X6cgQtRktPWECr4xwLw4P8t1ZnxPb3hcxUpwCYVMK6hjbDMpQ1mj02HkWyTO9r5zOrLtKmk63XO5&#10;s3KcJHfS6YZ4odYtPtVYfq0OTsGyX38+Xr3uN9PZ0m7bl34xTWcfSl1eDA/3ICIO8XQMv/iMDgUz&#10;7fyBTBBWAT8S/5SzyYTdTsE4vQVZ5PI/e/EDAAD//wMAUEsBAi0AFAAGAAgAAAAhALaDOJL+AAAA&#10;4QEAABMAAAAAAAAAAAAAAAAAAAAAAFtDb250ZW50X1R5cGVzXS54bWxQSwECLQAUAAYACAAAACEA&#10;OP0h/9YAAACUAQAACwAAAAAAAAAAAAAAAAAvAQAAX3JlbHMvLnJlbHNQSwECLQAUAAYACAAAACEA&#10;+3No1ocCAABzBQAADgAAAAAAAAAAAAAAAAAuAgAAZHJzL2Uyb0RvYy54bWxQSwECLQAUAAYACAAA&#10;ACEASkqQ6t0AAAADAQAADwAAAAAAAAAAAAAAAADhBAAAZHJzL2Rvd25yZXYueG1sUEsFBgAAAAAE&#10;AAQA8wAAAOsFAAAAAA==&#10;" fillcolor="#ffc000" strokecolor="#70ad47 [3209]" strokeweight=".5pt">
                      <v:path arrowok="t"/>
                      <w10:anchorlock/>
                    </v:shape>
                  </w:pict>
                </mc:Fallback>
              </mc:AlternateContent>
            </w:r>
          </w:p>
        </w:tc>
        <w:tc>
          <w:tcPr>
            <w:tcW w:w="900" w:type="dxa"/>
            <w:vAlign w:val="center"/>
          </w:tcPr>
          <w:p w14:paraId="48EEA4D4" w14:textId="77777777" w:rsidR="004E22A4" w:rsidRPr="00A97FE6" w:rsidRDefault="004E22A4" w:rsidP="004E22A4">
            <w:pPr>
              <w:jc w:val="center"/>
              <w:rPr>
                <w:noProof/>
              </w:rPr>
            </w:pPr>
            <w:r w:rsidRPr="00A97FE6">
              <w:rPr>
                <w:rFonts w:eastAsia="Arial" w:cs="Segoe UI"/>
                <w:noProof/>
                <w:sz w:val="20"/>
                <w:szCs w:val="20"/>
              </w:rPr>
              <mc:AlternateContent>
                <mc:Choice Requires="wps">
                  <w:drawing>
                    <wp:inline distT="0" distB="0" distL="0" distR="0" wp14:anchorId="34F93AC1" wp14:editId="584FCB83">
                      <wp:extent cx="209550" cy="180975"/>
                      <wp:effectExtent l="19050" t="19050" r="38100" b="28575"/>
                      <wp:docPr id="252" name="Isosceles Triangle 2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B28DBF0" id="Isosceles Triangle 252"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vkihwIAAHMFAAAOAAAAZHJzL2Uyb0RvYy54bWysVNtqGzEQfS/0H4Tem11v41yWrINxcAmY&#10;NDQpeZa1ki2q1aiS7LX79R1pL0nTQKD0RUiaM/czc3V9aDTZC+cVmIpOTnJKhOFQK7Op6PfH5acL&#10;SnxgpmYajKjoUXh6Pfv44aq1pShgC7oWjqAR48vWVnQbgi2zzPOtaJg/ASsMCiW4hgV8uk1WO9ai&#10;9UZnRZ6fZS242jrgwnv8vemEdJbsSyl4+CqlF4HoimJsIZ0unet4ZrMrVm4cs1vF+zDYP0TRMGXQ&#10;6WjqhgVGdk79ZapR3IEHGU44NBlIqbhIOWA2k/xVNg9bZkXKBYvj7Vgm///M8rv9vSOqrmgxLSgx&#10;rMEm3XrwXGjhyaNTzGy0IFGKtWqtL1Hlwd67mK23K+A/PAqyPyTx4XvMQbomYjFXckiFP46FF4dA&#10;OH4W+eV0iu3hKJpc5Jfn0+gsY+WgbJ0PXwQ0JF4qGvqwUsnZfuVDBx9gKTbQql4qrdPDbdYL7cie&#10;IQ+Wy0Wep9ajB/8MSzl0YacEwlGLqKzNNyGxRhjoJHlM7BSjPca5MOGsDzmho5pE36Pi5/cVe3xU&#10;FYm5o3LxvvKokTyDCaNyowy4twzoMOlDlh2+76Lv8o4lWEN9RHo46ObGW75U2IAV8+GeORwU7BkO&#10;f/iKh9TQVhT6GyVbcL/e+o945C9KKWlx8Crqf+6YE5ToW4PMvpycnsZJTY/T6XmBD/dSsn4pMbtm&#10;AdjTCa4Zy9M14oMertJB84Q7Yh69oogZjr4ryoMbHovQLQTcMlzM5wmG02lZWJkHy4euR3I9Hp6Y&#10;swMLkb53MAwpK18RscPGfhiY7wJIlVj6XNe+3jjZiev9Foqr4+U7oZ535ew3AAAA//8DAFBLAwQU&#10;AAYACAAAACEASkqQ6t0AAAADAQAADwAAAGRycy9kb3ducmV2LnhtbEyPQUvDQBCF74L/YRnBi9iN&#10;bZU0ZlNUsFAPgq1oe9tmp0lwdzZkt038945e6uXB4w3vfZPPB2fFEbvQeFJwM0pAIJXeNFQpeF8/&#10;X6cgQtRktPWECr4xwLw4P8t1ZnxPb3hcxUpwCYVMK6hjbDMpQ1mj02HkWyTO9r5zOrLtKmk63XO5&#10;s3KcJHfS6YZ4odYtPtVYfq0OTsGyX38+Xr3uN9PZ0m7bl34xTWcfSl1eDA/3ICIO8XQMv/iMDgUz&#10;7fyBTBBWAT8S/5SzyYTdTsE4vQVZ5PI/e/EDAAD//wMAUEsBAi0AFAAGAAgAAAAhALaDOJL+AAAA&#10;4QEAABMAAAAAAAAAAAAAAAAAAAAAAFtDb250ZW50X1R5cGVzXS54bWxQSwECLQAUAAYACAAAACEA&#10;OP0h/9YAAACUAQAACwAAAAAAAAAAAAAAAAAvAQAAX3JlbHMvLnJlbHNQSwECLQAUAAYACAAAACEA&#10;x1L5IocCAABzBQAADgAAAAAAAAAAAAAAAAAuAgAAZHJzL2Uyb0RvYy54bWxQSwECLQAUAAYACAAA&#10;ACEASkqQ6t0AAAADAQAADwAAAAAAAAAAAAAAAADhBAAAZHJzL2Rvd25yZXYueG1sUEsFBgAAAAAE&#10;AAQA8wAAAOsFAAAAAA==&#10;" fillcolor="#ffc000" strokecolor="#70ad47 [3209]" strokeweight=".5pt">
                      <v:path arrowok="t"/>
                      <w10:anchorlock/>
                    </v:shape>
                  </w:pict>
                </mc:Fallback>
              </mc:AlternateContent>
            </w:r>
          </w:p>
        </w:tc>
        <w:tc>
          <w:tcPr>
            <w:tcW w:w="6784" w:type="dxa"/>
          </w:tcPr>
          <w:p w14:paraId="06362E37" w14:textId="3C1A8887" w:rsidR="004E22A4" w:rsidRPr="00A97FE6" w:rsidRDefault="004E22A4" w:rsidP="004E22A4">
            <w:pPr>
              <w:ind w:left="432"/>
            </w:pPr>
            <w:r w:rsidRPr="00A97FE6">
              <w:t xml:space="preserve">Standard </w:t>
            </w:r>
            <w:r>
              <w:t>s</w:t>
            </w:r>
            <w:r w:rsidRPr="00A97FE6">
              <w:t xml:space="preserve">ecurity </w:t>
            </w:r>
            <w:r>
              <w:t>t</w:t>
            </w:r>
            <w:r w:rsidRPr="00A97FE6">
              <w:t>ools</w:t>
            </w:r>
          </w:p>
        </w:tc>
      </w:tr>
      <w:tr w:rsidR="004E22A4" w14:paraId="7130660E" w14:textId="77777777" w:rsidTr="00915020">
        <w:tc>
          <w:tcPr>
            <w:tcW w:w="895" w:type="dxa"/>
            <w:vAlign w:val="center"/>
          </w:tcPr>
          <w:p w14:paraId="3D45849A" w14:textId="77777777" w:rsidR="004E22A4" w:rsidRDefault="004E22A4" w:rsidP="004E22A4">
            <w:pPr>
              <w:jc w:val="center"/>
              <w:rPr>
                <w:color w:val="212121"/>
              </w:rPr>
            </w:pPr>
            <w:r w:rsidRPr="00840988">
              <w:rPr>
                <w:noProof/>
              </w:rPr>
              <mc:AlternateContent>
                <mc:Choice Requires="wps">
                  <w:drawing>
                    <wp:inline distT="0" distB="0" distL="0" distR="0" wp14:anchorId="083F52C9" wp14:editId="0057959B">
                      <wp:extent cx="210553" cy="190500"/>
                      <wp:effectExtent l="0" t="0" r="18415" b="19050"/>
                      <wp:docPr id="1546650207" name="Octagon 1546650207"/>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15DC1F1C" w14:textId="77777777" w:rsidR="008D2C68" w:rsidRDefault="008D2C68" w:rsidP="00F97B16">
                                  <w:pPr>
                                    <w:jc w:val="center"/>
                                  </w:pPr>
                                </w:p>
                                <w:p w14:paraId="38A23CF4"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83F52C9" id="Octagon 1546650207" o:spid="_x0000_s1066"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FoQhQIAAG8FAAAOAAAAZHJzL2Uyb0RvYy54bWysVN1r2zAQfx/sfxB6X/3RJF1DnRJSOgal&#10;LWtHnxVZSgSyTpOU2Nlfv5PsuKErFMbyoNz5vu9+d1fXXaPJXjivwFS0OMspEYZDrcymoj+fb798&#10;pcQHZmqmwYiKHoSn14vPn65aOxclbEHXwhF0Yvy8tRXdhmDnWeb5VjTMn4EVBoUSXMMCsm6T1Y61&#10;6L3RWZnns6wFV1sHXHiPX296IV0k/1IKHh6k9CIQXVHMLaTXpXcd32xxxeYbx+xW8SEN9g9ZNEwZ&#10;DDq6umGBkZ1Tf7lqFHfgQYYzDk0GUiouUg1YTZG/qeZpy6xItWBzvB3b5P+fW36/f3RE1Ti76WQ2&#10;m+ZlfkGJYQ3O6oEHtgFDTiTYrtb6OVo92Uc3cB7JWHsnXRP/sSrSpRYfxhaLLhCOH8sin07PKeEo&#10;Ki7zaZ5GkL0aW+fDNwENiURFoc8h9Zbt73zAmKh91IrhPGhV3yqtE+M265V2ZM9w4KtVjr84YzQ5&#10;UctiDX3WiQoHLaKxNj+ExGZgnkWKmGAoRn+Mc2FCOThM2tFMYuzR8Pxjw0E/mooE0dG4/Nh4tEiR&#10;wYTRuFEG3HsOdCiGlGWvj/04qTuSoVt3CQXns6gaP62hPiA0HPQ74y2/VTiSO+bDI3O4JLhOuPjh&#10;AR+pocVZDRQlW3C/3/se9RG7KKWkxaWrqP+1Y05Qor8bRPVlMZnELU3MZHpRIuNOJetTidk1K8Ax&#10;F3hiLE9k1A/6SEoHzQveh2WMiiJmOMauKA/uyKxCfwzwwnCxXCY13EzLwp15svwIhIi35+6FOTvg&#10;MiCg7+G4oGz+Bpu9bhyRgeUugFQJuK99HUaAW53AOVygeDZO+aT1eicXfwAAAP//AwBQSwMEFAAG&#10;AAgAAAAhALXTcRzaAAAAAwEAAA8AAABkcnMvZG93bnJldi54bWxMj0FrwzAMhe+D/QejQW+t3RZK&#10;l8UpY1DYYTSsW9nVjbUkNJaD7Tbpv5+2S3fRQzzx3qd8M7pOXDDE1pOG+UyBQKq8banW8Pmxna5B&#10;xGTIms4TarhihE1xf5ebzPqB3vGyT7XgEIqZ0dCk1GdSxqpBZ+LM90jsffvgTOI11NIGM3C46+RC&#10;qZV0piVuaEyPLw1Wp/3ZaShPQ/m6LsvHr7Bd7d6CO8zD7qD15GF8fgKRcEy3Y/jFZ3QomOnoz2Sj&#10;6DTwI+lvsrdcLkAcWZUCWeTyP3vxAwAA//8DAFBLAQItABQABgAIAAAAIQC2gziS/gAAAOEBAAAT&#10;AAAAAAAAAAAAAAAAAAAAAABbQ29udGVudF9UeXBlc10ueG1sUEsBAi0AFAAGAAgAAAAhADj9If/W&#10;AAAAlAEAAAsAAAAAAAAAAAAAAAAALwEAAF9yZWxzLy5yZWxzUEsBAi0AFAAGAAgAAAAhAEbUWhCF&#10;AgAAbwUAAA4AAAAAAAAAAAAAAAAALgIAAGRycy9lMm9Eb2MueG1sUEsBAi0AFAAGAAgAAAAhALXT&#10;cRzaAAAAAwEAAA8AAAAAAAAAAAAAAAAA3wQAAGRycy9kb3ducmV2LnhtbFBLBQYAAAAABAAEAPMA&#10;AADmBQAAAAA=&#10;" fillcolor="#c00" strokecolor="#ed7d31 [3205]" strokeweight=".5pt">
                      <v:textbox>
                        <w:txbxContent>
                          <w:p w14:paraId="15DC1F1C" w14:textId="77777777" w:rsidR="008D2C68" w:rsidRDefault="008D2C68" w:rsidP="00F97B16">
                            <w:pPr>
                              <w:jc w:val="center"/>
                            </w:pPr>
                          </w:p>
                          <w:p w14:paraId="38A23CF4" w14:textId="77777777" w:rsidR="008D2C68" w:rsidRDefault="008D2C68" w:rsidP="00F97B16">
                            <w:pPr>
                              <w:jc w:val="center"/>
                            </w:pPr>
                          </w:p>
                        </w:txbxContent>
                      </v:textbox>
                      <w10:anchorlock/>
                    </v:shape>
                  </w:pict>
                </mc:Fallback>
              </mc:AlternateContent>
            </w:r>
          </w:p>
        </w:tc>
        <w:tc>
          <w:tcPr>
            <w:tcW w:w="1316" w:type="dxa"/>
            <w:vAlign w:val="center"/>
          </w:tcPr>
          <w:p w14:paraId="2EFCE54F" w14:textId="77777777" w:rsidR="004E22A4" w:rsidRDefault="004E22A4" w:rsidP="004E22A4">
            <w:pPr>
              <w:jc w:val="center"/>
              <w:rPr>
                <w:color w:val="212121"/>
              </w:rPr>
            </w:pPr>
            <w:r w:rsidRPr="00840988">
              <w:rPr>
                <w:noProof/>
              </w:rPr>
              <mc:AlternateContent>
                <mc:Choice Requires="wps">
                  <w:drawing>
                    <wp:inline distT="0" distB="0" distL="0" distR="0" wp14:anchorId="3B1311B5" wp14:editId="659B21A6">
                      <wp:extent cx="210553" cy="190500"/>
                      <wp:effectExtent l="0" t="0" r="18415" b="19050"/>
                      <wp:docPr id="120" name="Octagon 120"/>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430936EE" w14:textId="77777777" w:rsidR="008D2C68" w:rsidRDefault="008D2C68" w:rsidP="00F97B16">
                                  <w:pPr>
                                    <w:jc w:val="center"/>
                                  </w:pPr>
                                </w:p>
                                <w:p w14:paraId="538D1D94"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B1311B5" id="Octagon 120" o:spid="_x0000_s1067"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KTfQIAAGEFAAAOAAAAZHJzL2Uyb0RvYy54bWysVN9P2zAQfp+0/8Hy+0hS6BgVKaqKmCYh&#10;QMDEs+vYrSXb59luk+6v39lJQ8WQkKb1IT37vvv9nS+vOqPJTvigwNa0OikpEZZDo+y6pj+fb758&#10;oyREZhumwYqa7kWgV/PPny5bNxMT2IBuhCfoxIZZ62q6idHNiiLwjTAsnIATFpUSvGERj35dNJ61&#10;6N3oYlKWX4sWfOM8cBEC3l73SjrP/qUUPN5LGUQkuqaYW8xfn7+r9C3ml2y29sxtFB/SYP+QhWHK&#10;YtDR1TWLjGy9+suVUdxDABlPOJgCpFRc5Bqwmqp8U83ThjmRa8HmBDe2Kfw/t/xu9+CJanB2E+yP&#10;ZQaHdM8jW4Ml6Qob1LowQ9yTe/DDKaCYqu2kN+kf6yBdbup+bKroIuF4OanK6fSUEo6q6qKcltln&#10;8WrsfIjfBRiShJpCHzx3k+1uQ8SYiD6gUrgAWjU3Sut88OvVUnuyYzji5bLEX0oaTY5gRaqhzzpL&#10;ca9FMtb2UUgsH/OscsRMPDH6Y5wLGyeDw4xOZhJjj4anHxsO+GQqMilH48nHxqNFjgw2jsZGWfDv&#10;OdCxGlKWPR77cVR3EmO36vLcT88TNF2toNkjGTz0WxIcv1E4klsW4gPzuBZIEFz1eI8fqaHFWQ0S&#10;JRvwv9+7T3hkK2opaXHNahp+bZkXlOgfFnl8UZ2dpb3Mh7PpeSKhP9asjjV2a5aAY67wUXE8iwkf&#10;9UGUHswLvgiLFBVVzHKMXVMe/eGwjP3645vCxWKRYbiLjsVb++T4gQiJb8/dC/Nu4GVEQt/BYSXZ&#10;7A03e2wakYXFNoJUmbivfR1GgHucyTm8OemhOD5n1OvLOP8DAAD//wMAUEsDBBQABgAIAAAAIQC1&#10;03Ec2gAAAAMBAAAPAAAAZHJzL2Rvd25yZXYueG1sTI9Ba8MwDIXvg/0Ho0Fvrd0WSpfFKWNQ2GE0&#10;rFvZ1Y21JDSWg+026b+ftkt30UM88d6nfDO6TlwwxNaThvlMgUCqvG2p1vD5sZ2uQcRkyJrOE2q4&#10;YoRNcX+Xm8z6gd7xsk+14BCKmdHQpNRnUsaqQWfizPdI7H374EziNdTSBjNwuOvkQqmVdKYlbmhM&#10;jy8NVqf92WkoT0P5ui7Lx6+wXe3egjvMw+6g9eRhfH4CkXBMt2P4xWd0KJjp6M9ko+g08CPpb7K3&#10;XC5AHFmVAlnk8j978QMAAP//AwBQSwECLQAUAAYACAAAACEAtoM4kv4AAADhAQAAEwAAAAAAAAAA&#10;AAAAAAAAAAAAW0NvbnRlbnRfVHlwZXNdLnhtbFBLAQItABQABgAIAAAAIQA4/SH/1gAAAJQBAAAL&#10;AAAAAAAAAAAAAAAAAC8BAABfcmVscy8ucmVsc1BLAQItABQABgAIAAAAIQAUr/KTfQIAAGEFAAAO&#10;AAAAAAAAAAAAAAAAAC4CAABkcnMvZTJvRG9jLnhtbFBLAQItABQABgAIAAAAIQC103Ec2gAAAAMB&#10;AAAPAAAAAAAAAAAAAAAAANcEAABkcnMvZG93bnJldi54bWxQSwUGAAAAAAQABADzAAAA3gUAAAAA&#10;" fillcolor="#c00" strokecolor="#ed7d31 [3205]" strokeweight=".5pt">
                      <v:textbox>
                        <w:txbxContent>
                          <w:p w14:paraId="430936EE" w14:textId="77777777" w:rsidR="008D2C68" w:rsidRDefault="008D2C68" w:rsidP="00F97B16">
                            <w:pPr>
                              <w:jc w:val="center"/>
                            </w:pPr>
                          </w:p>
                          <w:p w14:paraId="538D1D94" w14:textId="77777777" w:rsidR="008D2C68" w:rsidRDefault="008D2C68" w:rsidP="00F97B16">
                            <w:pPr>
                              <w:jc w:val="center"/>
                            </w:pPr>
                          </w:p>
                        </w:txbxContent>
                      </v:textbox>
                      <w10:anchorlock/>
                    </v:shape>
                  </w:pict>
                </mc:Fallback>
              </mc:AlternateContent>
            </w:r>
            <w:r>
              <w:rPr>
                <w:rStyle w:val="FootnoteReference"/>
                <w:color w:val="212121"/>
              </w:rPr>
              <w:footnoteReference w:id="13"/>
            </w:r>
          </w:p>
        </w:tc>
        <w:tc>
          <w:tcPr>
            <w:tcW w:w="900" w:type="dxa"/>
            <w:vAlign w:val="center"/>
          </w:tcPr>
          <w:p w14:paraId="36F5C79D" w14:textId="77777777" w:rsidR="004E22A4" w:rsidRDefault="004E22A4" w:rsidP="004E22A4">
            <w:pPr>
              <w:jc w:val="center"/>
              <w:rPr>
                <w:color w:val="212121"/>
              </w:rPr>
            </w:pPr>
            <w:r w:rsidRPr="00840988">
              <w:rPr>
                <w:noProof/>
              </w:rPr>
              <mc:AlternateContent>
                <mc:Choice Requires="wps">
                  <w:drawing>
                    <wp:inline distT="0" distB="0" distL="0" distR="0" wp14:anchorId="0B66BDD1" wp14:editId="7F8CAC9A">
                      <wp:extent cx="210553" cy="190500"/>
                      <wp:effectExtent l="0" t="0" r="18415" b="19050"/>
                      <wp:docPr id="91" name="Octagon 91"/>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67B49DCA" w14:textId="77777777" w:rsidR="008D2C68" w:rsidRDefault="008D2C68" w:rsidP="00F97B16">
                                  <w:pPr>
                                    <w:jc w:val="center"/>
                                  </w:pPr>
                                </w:p>
                                <w:p w14:paraId="17164539"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B66BDD1" id="Octagon 91" o:spid="_x0000_s1068"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AnYfwIAAF8FAAAOAAAAZHJzL2Uyb0RvYy54bWysVF9r2zAQfx/sOwi9r7bTZmtDnRJSOgal&#10;LW1HnxVZSgSSTpOU2Nmn30l23NAVCmN+kO90/+9+p8urzmiyEz4osDWtTkpKhOXQKLuu6c/nmy/n&#10;lITIbMM0WFHTvQj0av7502XrZmICG9CN8ASd2DBrXU03MbpZUQS+EYaFE3DColCCNywi69dF41mL&#10;3o0uJmX5tWjBN84DFyHg7XUvpPPsX0rB472UQUSia4q5xXz6fK7SWcwv2WztmdsoPqTB/iELw5TF&#10;oKOraxYZ2Xr1lyujuIcAMp5wMAVIqbjINWA1VfmmmqcNcyLXgs0JbmxT+H9u+d3uwRPV1PSiosQy&#10;gzO655GtwRK8wfa0LsxQ68k9+IELSKZaO+lN+mMVpMst3Y8tFV0kHC8nVTmdnlLCUVRdlNMyt7x4&#10;NXY+xO8CDElETaGPnXvJdrchYkzUPmilcAG0am6U1pnx69VSe7JjOODlssQvJY0mR2pFqqHPOlNx&#10;r0Uy1vZRSCwe86xyxAw7MfpjnAsbJ4PDrJ3MJMYeDU8/Nhz0k6nIkByNJx8bjxY5Mtg4Ghtlwb/n&#10;QMc8OOyB7PWxH0d1JzJ2qy5P/fT8MOMVNHuEgod+R4LjNwpHcstCfGAelwLXBxc93uMhNbQ4q4Gi&#10;ZAP+93v3SR+xilJKWlyymoZfW+YFJfqHRRRfVGdnaSszczb9NkHGH0tWxxK7NUvAMSNQMbtMJv2o&#10;D6T0YF7wPVikqChilmPsmvLoD8wy9suPLwoXi0VWw010LN7aJ8cPQEh4e+5emHcDLiMC+g4OC8lm&#10;b7DZ66YRWVhsI0iVgZta3fd1GAFucQbn8OKkZ+KYz1qv7+L8DwAAAP//AwBQSwMEFAAGAAgAAAAh&#10;ALXTcRzaAAAAAwEAAA8AAABkcnMvZG93bnJldi54bWxMj0FrwzAMhe+D/QejQW+t3RZKl8UpY1DY&#10;YTSsW9nVjbUkNJaD7Tbpv5+2S3fRQzzx3qd8M7pOXDDE1pOG+UyBQKq8banW8Pmxna5BxGTIms4T&#10;arhihE1xf5ebzPqB3vGyT7XgEIqZ0dCk1GdSxqpBZ+LM90jsffvgTOI11NIGM3C46+RCqZV0piVu&#10;aEyPLw1Wp/3ZaShPQ/m6LsvHr7Bd7d6CO8zD7qD15GF8fgKRcEy3Y/jFZ3QomOnoz2Sj6DTwI+lv&#10;srdcLkAcWZUCWeTyP3vxAwAA//8DAFBLAQItABQABgAIAAAAIQC2gziS/gAAAOEBAAATAAAAAAAA&#10;AAAAAAAAAAAAAABbQ29udGVudF9UeXBlc10ueG1sUEsBAi0AFAAGAAgAAAAhADj9If/WAAAAlAEA&#10;AAsAAAAAAAAAAAAAAAAALwEAAF9yZWxzLy5yZWxzUEsBAi0AFAAGAAgAAAAhAN2YCdh/AgAAXwUA&#10;AA4AAAAAAAAAAAAAAAAALgIAAGRycy9lMm9Eb2MueG1sUEsBAi0AFAAGAAgAAAAhALXTcRzaAAAA&#10;AwEAAA8AAAAAAAAAAAAAAAAA2QQAAGRycy9kb3ducmV2LnhtbFBLBQYAAAAABAAEAPMAAADgBQAA&#10;AAA=&#10;" fillcolor="#c00" strokecolor="#ed7d31 [3205]" strokeweight=".5pt">
                      <v:textbox>
                        <w:txbxContent>
                          <w:p w14:paraId="67B49DCA" w14:textId="77777777" w:rsidR="008D2C68" w:rsidRDefault="008D2C68" w:rsidP="00F97B16">
                            <w:pPr>
                              <w:jc w:val="center"/>
                            </w:pPr>
                          </w:p>
                          <w:p w14:paraId="17164539" w14:textId="77777777" w:rsidR="008D2C68" w:rsidRDefault="008D2C68" w:rsidP="00F97B16">
                            <w:pPr>
                              <w:jc w:val="center"/>
                            </w:pPr>
                          </w:p>
                        </w:txbxContent>
                      </v:textbox>
                      <w10:anchorlock/>
                    </v:shape>
                  </w:pict>
                </mc:Fallback>
              </mc:AlternateContent>
            </w:r>
          </w:p>
        </w:tc>
        <w:tc>
          <w:tcPr>
            <w:tcW w:w="6784" w:type="dxa"/>
          </w:tcPr>
          <w:p w14:paraId="0DF7A98E" w14:textId="1AB32674" w:rsidR="004E22A4" w:rsidRDefault="004E22A4" w:rsidP="004E22A4">
            <w:pPr>
              <w:ind w:left="432"/>
              <w:rPr>
                <w:color w:val="212121"/>
              </w:rPr>
            </w:pPr>
            <w:r>
              <w:t>E</w:t>
            </w:r>
            <w:r w:rsidRPr="00A93584">
              <w:t xml:space="preserve">nhanced Mitigation Experience Toolkit </w:t>
            </w:r>
            <w:r>
              <w:t>(</w:t>
            </w:r>
            <w:r w:rsidRPr="00A377C5">
              <w:t>EMET</w:t>
            </w:r>
            <w:r>
              <w:t>)</w:t>
            </w:r>
          </w:p>
        </w:tc>
      </w:tr>
      <w:tr w:rsidR="004E22A4" w14:paraId="2F1E2CBD" w14:textId="77777777" w:rsidTr="00915020">
        <w:tc>
          <w:tcPr>
            <w:tcW w:w="895" w:type="dxa"/>
            <w:vAlign w:val="center"/>
          </w:tcPr>
          <w:p w14:paraId="68C80D23" w14:textId="77777777" w:rsidR="004E22A4" w:rsidRDefault="004E22A4" w:rsidP="004E22A4">
            <w:pPr>
              <w:jc w:val="center"/>
              <w:rPr>
                <w:color w:val="212121"/>
              </w:rPr>
            </w:pPr>
            <w:r w:rsidRPr="00840988">
              <w:rPr>
                <w:noProof/>
              </w:rPr>
              <mc:AlternateContent>
                <mc:Choice Requires="wps">
                  <w:drawing>
                    <wp:inline distT="0" distB="0" distL="0" distR="0" wp14:anchorId="52C67A31" wp14:editId="234A9985">
                      <wp:extent cx="210553" cy="190500"/>
                      <wp:effectExtent l="0" t="0" r="18415" b="19050"/>
                      <wp:docPr id="205" name="Octagon 205"/>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4C6A5254" w14:textId="77777777" w:rsidR="008D2C68" w:rsidRDefault="008D2C68" w:rsidP="00F97B16">
                                  <w:pPr>
                                    <w:jc w:val="center"/>
                                  </w:pPr>
                                </w:p>
                                <w:p w14:paraId="25E54A51"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2C67A31" id="Octagon 205" o:spid="_x0000_s1069"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am7fgIAAGEFAAAOAAAAZHJzL2Uyb0RvYy54bWysVN1r2zAQfx/sfxB6X/2RZFtDnRJSOgal&#10;DWtHnxVZSgySTpOU2Nlfv5PsuKErFMb8IN/pfvd9p6vrTityEM43YCpaXOSUCMOhbsy2oj+fbj99&#10;pcQHZmqmwIiKHoWn14uPH65aOxcl7EDVwhE0Yvy8tRXdhWDnWeb5TmjmL8AKg0IJTrOArNtmtWMt&#10;WtcqK/P8c9aCq60DLrzH25teSBfJvpSChwcpvQhEVRRjC+l06dzEM1tcsfnWMbtr+BAG+4coNGsM&#10;Oh1N3bDAyN41f5nSDXfgQYYLDjoDKRsuUg6YTZG/yuZxx6xIuWBxvB3L5P+fWX5/WDvS1BUt8xkl&#10;hmls0gMPbAuGxCssUGv9HHGPdu0GziMZs+2k0/GPeZAuFfU4FlV0gXC8LIt8NptQwlFUXOazPBU9&#10;e1G2zodvAjSJREWhd56qyQ53PqBPRJ9Q0Z0H1dS3jVKJcdvNSjlyYNji1SrHLwaNKmewLObQR52o&#10;cFQiKivzQ0hMH+Msksc0eGK0xzgXJpSDwYSOahJ9j4qT9xUHfFQVaShH5fJ95VEjeQYTRmXdGHBv&#10;GVChGEKWPR7rcZZ3JEO36VLfJ5cRGq82UB9xGBz0W+Itv22wJXfMhzVzuBa4QLjq4QEPqaDFXg0U&#10;JTtwv9+6j3icVpRS0uKaVdT/2jMnKFHfDc7xZTGdxr1MzHT2pUTGnUs25xKz1yvANhf4qFieyIgP&#10;6kRKB/oZX4Rl9IoiZjj6rigP7sSsQr/++KZwsVwmGO6iZeHOPFp+GoQ4b0/dM3N2mMuAA30Pp5Vk&#10;81ez2WNjiwws9wFkkwb3pa5DC3CP03AOb058KM75hHp5GRd/AAAA//8DAFBLAwQUAAYACAAAACEA&#10;tdNxHNoAAAADAQAADwAAAGRycy9kb3ducmV2LnhtbEyPQWvDMAyF74P9B6NBb63dFkqXxSljUNhh&#10;NKxb2dWNtSQ0loPtNum/n7ZLd9FDPPHep3wzuk5cMMTWk4b5TIFAqrxtqdbw+bGdrkHEZMiazhNq&#10;uGKETXF/l5vM+oHe8bJPteAQipnR0KTUZ1LGqkFn4sz3SOx9++BM4jXU0gYzcLjr5EKplXSmJW5o&#10;TI8vDVan/dlpKE9D+bouy8evsF3t3oI7zMPuoPXkYXx+ApFwTLdj+MVndCiY6ejPZKPoNPAj6W+y&#10;t1wuQBxZlQJZ5PI/e/EDAAD//wMAUEsBAi0AFAAGAAgAAAAhALaDOJL+AAAA4QEAABMAAAAAAAAA&#10;AAAAAAAAAAAAAFtDb250ZW50X1R5cGVzXS54bWxQSwECLQAUAAYACAAAACEAOP0h/9YAAACUAQAA&#10;CwAAAAAAAAAAAAAAAAAvAQAAX3JlbHMvLnJlbHNQSwECLQAUAAYACAAAACEAgoGpu34CAABhBQAA&#10;DgAAAAAAAAAAAAAAAAAuAgAAZHJzL2Uyb0RvYy54bWxQSwECLQAUAAYACAAAACEAtdNxHNoAAAAD&#10;AQAADwAAAAAAAAAAAAAAAADYBAAAZHJzL2Rvd25yZXYueG1sUEsFBgAAAAAEAAQA8wAAAN8FAAAA&#10;AA==&#10;" fillcolor="#c00" strokecolor="#ed7d31 [3205]" strokeweight=".5pt">
                      <v:textbox>
                        <w:txbxContent>
                          <w:p w14:paraId="4C6A5254" w14:textId="77777777" w:rsidR="008D2C68" w:rsidRDefault="008D2C68" w:rsidP="00F97B16">
                            <w:pPr>
                              <w:jc w:val="center"/>
                            </w:pPr>
                          </w:p>
                          <w:p w14:paraId="25E54A51" w14:textId="77777777" w:rsidR="008D2C68" w:rsidRDefault="008D2C68" w:rsidP="00F97B16">
                            <w:pPr>
                              <w:jc w:val="center"/>
                            </w:pPr>
                          </w:p>
                        </w:txbxContent>
                      </v:textbox>
                      <w10:anchorlock/>
                    </v:shape>
                  </w:pict>
                </mc:Fallback>
              </mc:AlternateContent>
            </w:r>
          </w:p>
        </w:tc>
        <w:tc>
          <w:tcPr>
            <w:tcW w:w="1316" w:type="dxa"/>
            <w:vAlign w:val="center"/>
          </w:tcPr>
          <w:p w14:paraId="5DACE0D6" w14:textId="77777777" w:rsidR="004E22A4" w:rsidRDefault="004E22A4" w:rsidP="004E22A4">
            <w:pPr>
              <w:jc w:val="center"/>
              <w:rPr>
                <w:color w:val="212121"/>
              </w:rPr>
            </w:pPr>
            <w:r w:rsidRPr="00840988">
              <w:rPr>
                <w:noProof/>
              </w:rPr>
              <mc:AlternateContent>
                <mc:Choice Requires="wps">
                  <w:drawing>
                    <wp:inline distT="0" distB="0" distL="0" distR="0" wp14:anchorId="7FF0567C" wp14:editId="4232C4B7">
                      <wp:extent cx="210553" cy="190500"/>
                      <wp:effectExtent l="0" t="0" r="18415" b="19050"/>
                      <wp:docPr id="101" name="Octagon 101"/>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6860CB2F" w14:textId="77777777" w:rsidR="008D2C68" w:rsidRDefault="008D2C68" w:rsidP="00F97B16">
                                  <w:pPr>
                                    <w:jc w:val="center"/>
                                  </w:pPr>
                                </w:p>
                                <w:p w14:paraId="645FA808"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FF0567C" id="Octagon 101" o:spid="_x0000_s1070"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ykAfQIAAGEFAAAOAAAAZHJzL2Uyb0RvYy54bWysVF9r2zAQfx/sOwi9r7bTZltDnRJSOgal&#10;DWtHnxVZSgyyTpMusbNPv5PsuKErFMb8IN/p/t/9TlfXXWPYXvlQgy15cZZzpqyEqrabkv98uv30&#10;lbOAwlbCgFUlP6jAr+cfP1y1bqYmsAVTKc/IiQ2z1pV8i+hmWRbkVjUinIFTloQafCOQWL/JKi9a&#10;8t6YbJLnn7MWfOU8SBUC3d70Qj5P/rVWEh+0DgqZKTnlhun06VzHM5tfidnGC7et5ZCG+IcsGlFb&#10;Cjq6uhEo2M7Xf7lqaukhgMYzCU0GWtdSpRqomiJ/Vc3jVjiVaqHmBDe2Kfw/t/J+v/Ksrmh2ecGZ&#10;FQ0N6UGi2IBl8Yoa1LowI71Ht/IDF4iM1XbaN/FPdbAuNfUwNlV1yCRdTop8Oj3nTJKouMyneWp6&#10;9mLsfMBvChoWiZJDHzx1U+zvAlJM0j5qxXABTF3d1sYkxm/WS+PZXtCIl8ucvpg0mZyoZbGGPutE&#10;4cGoaGzsD6WpfMqzSBET8NToT0ipLE4Gh0k7mmmKPRqev2846EdTlUA5Gk/eNx4tUmSwOBo3tQX/&#10;lgODaXDUA93rUz9O6o4kdusuzf0itSteraE6EBg89FsSnLytaSR3IuBKeFoLWiBadXygQxtoaVYD&#10;xdkW/O+37qM+oZWknLW0ZiUPv3bCK87Md0s4viwuKAGGibmYfpkQ408l61OJ3TVLoDETUim7REZ9&#10;NEdSe2ie6UVYxKgkElZS7JJL9Edmif3605si1WKR1GgXncA7++jkEQgRb0/ds/BuwCUSoO/huJJi&#10;9gqbvW4ckYXFDkHXCbgvfR1GQHucwDm8OfGhOOWT1svLOP8DAAD//wMAUEsDBBQABgAIAAAAIQC1&#10;03Ec2gAAAAMBAAAPAAAAZHJzL2Rvd25yZXYueG1sTI9Ba8MwDIXvg/0Ho0Fvrd0WSpfFKWNQ2GE0&#10;rFvZ1Y21JDSWg+026b+ftkt30UM88d6nfDO6TlwwxNaThvlMgUCqvG2p1vD5sZ2uQcRkyJrOE2q4&#10;YoRNcX+Xm8z6gd7xsk+14BCKmdHQpNRnUsaqQWfizPdI7H374EziNdTSBjNwuOvkQqmVdKYlbmhM&#10;jy8NVqf92WkoT0P5ui7Lx6+wXe3egjvMw+6g9eRhfH4CkXBMt2P4xWd0KJjp6M9ko+g08CPpb7K3&#10;XC5AHFmVAlnk8j978QMAAP//AwBQSwECLQAUAAYACAAAACEAtoM4kv4AAADhAQAAEwAAAAAAAAAA&#10;AAAAAAAAAAAAW0NvbnRlbnRfVHlwZXNdLnhtbFBLAQItABQABgAIAAAAIQA4/SH/1gAAAJQBAAAL&#10;AAAAAAAAAAAAAAAAAC8BAABfcmVscy8ucmVsc1BLAQItABQABgAIAAAAIQCTJykAfQIAAGEFAAAO&#10;AAAAAAAAAAAAAAAAAC4CAABkcnMvZTJvRG9jLnhtbFBLAQItABQABgAIAAAAIQC103Ec2gAAAAMB&#10;AAAPAAAAAAAAAAAAAAAAANcEAABkcnMvZG93bnJldi54bWxQSwUGAAAAAAQABADzAAAA3gUAAAAA&#10;" fillcolor="#c00" strokecolor="#ed7d31 [3205]" strokeweight=".5pt">
                      <v:textbox>
                        <w:txbxContent>
                          <w:p w14:paraId="6860CB2F" w14:textId="77777777" w:rsidR="008D2C68" w:rsidRDefault="008D2C68" w:rsidP="00F97B16">
                            <w:pPr>
                              <w:jc w:val="center"/>
                            </w:pPr>
                          </w:p>
                          <w:p w14:paraId="645FA808" w14:textId="77777777" w:rsidR="008D2C68" w:rsidRDefault="008D2C68" w:rsidP="00F97B16">
                            <w:pPr>
                              <w:jc w:val="center"/>
                            </w:pPr>
                          </w:p>
                        </w:txbxContent>
                      </v:textbox>
                      <w10:anchorlock/>
                    </v:shape>
                  </w:pict>
                </mc:Fallback>
              </mc:AlternateContent>
            </w:r>
          </w:p>
        </w:tc>
        <w:tc>
          <w:tcPr>
            <w:tcW w:w="900" w:type="dxa"/>
            <w:vAlign w:val="center"/>
          </w:tcPr>
          <w:p w14:paraId="4C3A6BE0" w14:textId="77777777" w:rsidR="004E22A4" w:rsidRDefault="004E22A4" w:rsidP="004E22A4">
            <w:pPr>
              <w:jc w:val="center"/>
              <w:rPr>
                <w:color w:val="212121"/>
              </w:rPr>
            </w:pPr>
            <w:r w:rsidRPr="00840988">
              <w:rPr>
                <w:noProof/>
              </w:rPr>
              <mc:AlternateContent>
                <mc:Choice Requires="wps">
                  <w:drawing>
                    <wp:inline distT="0" distB="0" distL="0" distR="0" wp14:anchorId="30B16916" wp14:editId="21194B35">
                      <wp:extent cx="210553" cy="190500"/>
                      <wp:effectExtent l="0" t="0" r="18415" b="19050"/>
                      <wp:docPr id="102" name="Octagon 102"/>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44BE3291" w14:textId="77777777" w:rsidR="008D2C68" w:rsidRDefault="008D2C68" w:rsidP="00F97B16">
                                  <w:pPr>
                                    <w:jc w:val="center"/>
                                  </w:pPr>
                                </w:p>
                                <w:p w14:paraId="4FA6C196"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0B16916" id="Octagon 102" o:spid="_x0000_s1071"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hSHfgIAAGEFAAAOAAAAZHJzL2Uyb0RvYy54bWysVF9r2zAQfx/sOwi9r7bTZFtDnRJSOgal&#10;LWtHnxVZSgSSTpOU2Nmn30l23NAVCmN+kO90v7vT/b286owme+GDAlvT6qykRFgOjbKbmv58uvn0&#10;lZIQmW2YBitqehCBXi0+frhs3VxMYAu6EZ6gERvmravpNkY3L4rAt8KwcAZOWBRK8IZFZP2maDxr&#10;0brRxaQsPxct+MZ54CIEvL3uhXSR7UspeLyXMohIdE3xbTGfPp/rdBaLSzbfeOa2ig/PYP/wCsOU&#10;RaejqWsWGdl59Zcpo7iHADKecTAFSKm4yDFgNFX5KprHLXMix4LJCW5MU/h/Zvnd/sET1WDtygkl&#10;lhks0j2PbAOWpCtMUOvCHHGP7sEPXEAyRdtJb9If4yBdTuphTKroIuF4OanK2eycEo6i6qKclTnp&#10;xYuy8yF+E2BIImoKvfOcTba/DRF9IvqISu4CaNXcKK0z4zfrlfZkz7DEq1WJX3o0qpzAihRD/+pM&#10;xYMWSVnbH0Ji+PjOKnvMjSdGe4xzYWPOAhrM6KQm0feoeP6+4oBPqiI35ag8eV951MiewcZR2SgL&#10;/i0DOlZDDmSPx3ycxJ3I2K27XPdphqarNTQHbAYP/ZQEx28UluSWhfjAPI4FDhCOerzHQ2posVYD&#10;RckW/O+37hMeuxWllLQ4ZjUNv3bMC0r0d4t9fFFNp2kuMzOdfZkg408l61OJ3ZkVYJkrXCqOZzLh&#10;oz6S0oN5xo2wTF5RxCxH3zXl0R+ZVezHH3cKF8tlhuEsOhZv7aPjx0ZI/fbUPTPvhr6M2NB3cBxJ&#10;Nn/Vmz02lcjCchdBqty4L3kdSoBznJtz2DlpUZzyGfWyGRd/AAAA//8DAFBLAwQUAAYACAAAACEA&#10;tdNxHNoAAAADAQAADwAAAGRycy9kb3ducmV2LnhtbEyPQWvDMAyF74P9B6NBb63dFkqXxSljUNhh&#10;NKxb2dWNtSQ0loPtNum/n7ZLd9FDPPHep3wzuk5cMMTWk4b5TIFAqrxtqdbw+bGdrkHEZMiazhNq&#10;uGKETXF/l5vM+oHe8bJPteAQipnR0KTUZ1LGqkFn4sz3SOx9++BM4jXU0gYzcLjr5EKplXSmJW5o&#10;TI8vDVan/dlpKE9D+bouy8evsF3t3oI7zMPuoPXkYXx+ApFwTLdj+MVndCiY6ejPZKPoNPAj6W+y&#10;t1wuQBxZlQJZ5PI/e/EDAAD//wMAUEsBAi0AFAAGAAgAAAAhALaDOJL+AAAA4QEAABMAAAAAAAAA&#10;AAAAAAAAAAAAAFtDb250ZW50X1R5cGVzXS54bWxQSwECLQAUAAYACAAAACEAOP0h/9YAAACUAQAA&#10;CwAAAAAAAAAAAAAAAAAvAQAAX3JlbHMvLnJlbHNQSwECLQAUAAYACAAAACEASOYUh34CAABhBQAA&#10;DgAAAAAAAAAAAAAAAAAuAgAAZHJzL2Uyb0RvYy54bWxQSwECLQAUAAYACAAAACEAtdNxHNoAAAAD&#10;AQAADwAAAAAAAAAAAAAAAADYBAAAZHJzL2Rvd25yZXYueG1sUEsFBgAAAAAEAAQA8wAAAN8FAAAA&#10;AA==&#10;" fillcolor="#c00" strokecolor="#ed7d31 [3205]" strokeweight=".5pt">
                      <v:textbox>
                        <w:txbxContent>
                          <w:p w14:paraId="44BE3291" w14:textId="77777777" w:rsidR="008D2C68" w:rsidRDefault="008D2C68" w:rsidP="00F97B16">
                            <w:pPr>
                              <w:jc w:val="center"/>
                            </w:pPr>
                          </w:p>
                          <w:p w14:paraId="4FA6C196" w14:textId="77777777" w:rsidR="008D2C68" w:rsidRDefault="008D2C68" w:rsidP="00F97B16">
                            <w:pPr>
                              <w:jc w:val="center"/>
                            </w:pPr>
                          </w:p>
                        </w:txbxContent>
                      </v:textbox>
                      <w10:anchorlock/>
                    </v:shape>
                  </w:pict>
                </mc:Fallback>
              </mc:AlternateContent>
            </w:r>
          </w:p>
        </w:tc>
        <w:tc>
          <w:tcPr>
            <w:tcW w:w="6784" w:type="dxa"/>
          </w:tcPr>
          <w:p w14:paraId="78494D0F" w14:textId="026AD91B" w:rsidR="004E22A4" w:rsidRPr="000405E9" w:rsidRDefault="004E22A4" w:rsidP="004E22A4">
            <w:pPr>
              <w:ind w:left="432"/>
              <w:rPr>
                <w:color w:val="212121"/>
              </w:rPr>
            </w:pPr>
            <w:r w:rsidRPr="000405E9">
              <w:t xml:space="preserve">Enforce RDP RestrictedAdmin on </w:t>
            </w:r>
            <w:r>
              <w:t>a</w:t>
            </w:r>
            <w:r w:rsidRPr="000405E9">
              <w:t xml:space="preserve">dmin </w:t>
            </w:r>
            <w:r>
              <w:t>w</w:t>
            </w:r>
            <w:r w:rsidRPr="000405E9">
              <w:t>orkstations</w:t>
            </w:r>
          </w:p>
        </w:tc>
      </w:tr>
      <w:tr w:rsidR="004E22A4" w14:paraId="1EEF7D7D" w14:textId="77777777" w:rsidTr="00915020">
        <w:tc>
          <w:tcPr>
            <w:tcW w:w="895" w:type="dxa"/>
            <w:vAlign w:val="center"/>
          </w:tcPr>
          <w:p w14:paraId="33A724E7" w14:textId="77777777" w:rsidR="004E22A4" w:rsidRDefault="004E22A4" w:rsidP="004E22A4">
            <w:pPr>
              <w:jc w:val="center"/>
              <w:rPr>
                <w:color w:val="212121"/>
              </w:rPr>
            </w:pPr>
            <w:r w:rsidRPr="0031181E">
              <w:rPr>
                <w:rFonts w:eastAsia="Arial" w:cs="Segoe UI"/>
                <w:noProof/>
                <w:sz w:val="20"/>
                <w:szCs w:val="20"/>
              </w:rPr>
              <mc:AlternateContent>
                <mc:Choice Requires="wps">
                  <w:drawing>
                    <wp:inline distT="0" distB="0" distL="0" distR="0" wp14:anchorId="6266FE67" wp14:editId="243AA091">
                      <wp:extent cx="209550" cy="180975"/>
                      <wp:effectExtent l="19050" t="19050" r="38100" b="28575"/>
                      <wp:docPr id="226" name="Isosceles Triangle 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4A0B97F" id="Isosceles Triangle 226"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AryhwIAAHMFAAAOAAAAZHJzL2Uyb0RvYy54bWysVNtqGzEQfS/0H4Tem11v41yWrINxcAmY&#10;NDQpeZa1ki2q1aiS7LX79R1pL0nTQKD0RUiaM/czc3V9aDTZC+cVmIpOTnJKhOFQK7Op6PfH5acL&#10;SnxgpmYajKjoUXh6Pfv44aq1pShgC7oWjqAR48vWVnQbgi2zzPOtaJg/ASsMCiW4hgV8uk1WO9ai&#10;9UZnRZ6fZS242jrgwnv8vemEdJbsSyl4+CqlF4HoimJsIZ0unet4ZrMrVm4cs1vF+zDYP0TRMGXQ&#10;6WjqhgVGdk79ZapR3IEHGU44NBlIqbhIOWA2k/xVNg9bZkXKBYvj7Vgm///M8rv9vSOqrmhRnFFi&#10;WINNuvXgudDCk0enmNloQaIUa9VaX6LKg713MVtvV8B/eBRkf0jiw/eYg3RNxGKu5JAKfxwLLw6B&#10;cPws8svpFNvDUTS5yC/Pp9FZxspB2TofvghoSLxUNPRhpZKz/cqHDj7AUmygVb1UWqeH26wX2pE9&#10;Qx4sl4s8T61HD/4ZlnLowk4JhKMWUVmbb0JijTDQSfKY2ClGe4xzYUKqDxpM6Kgm0feo+Pl9xR4f&#10;VUVi7qhcvK88aiTPYMKo3CgD7i0DOkz6KssO33fRd3nHEqyhPiI9HHRz4y1fKmzAivlwzxwOCvYM&#10;hz98xUNqaCsK/Y2SLbhfb/1HPPIXpZS0OHgV9T93zAlK9K1BZl9OTk/jpKbH6fS8wId7KVm/lJhd&#10;swDs6QTXjOXpGvFBD1fpoHnCHTGPXlHEDEffFeXBDY9F6BYCbhku5vMEw+m0LKzMg+VD1yO5Hg9P&#10;zNmBhUjfOxiGlJWviNhhYz8MzHcBpEosfa5rX2+c7MT1fgvF1fHynVDPu3L2GwAA//8DAFBLAwQU&#10;AAYACAAAACEASkqQ6t0AAAADAQAADwAAAGRycy9kb3ducmV2LnhtbEyPQUvDQBCF74L/YRnBi9iN&#10;bZU0ZlNUsFAPgq1oe9tmp0lwdzZkt038945e6uXB4w3vfZPPB2fFEbvQeFJwM0pAIJXeNFQpeF8/&#10;X6cgQtRktPWECr4xwLw4P8t1ZnxPb3hcxUpwCYVMK6hjbDMpQ1mj02HkWyTO9r5zOrLtKmk63XO5&#10;s3KcJHfS6YZ4odYtPtVYfq0OTsGyX38+Xr3uN9PZ0m7bl34xTWcfSl1eDA/3ICIO8XQMv/iMDgUz&#10;7fyBTBBWAT8S/5SzyYTdTsE4vQVZ5PI/e/EDAAD//wMAUEsBAi0AFAAGAAgAAAAhALaDOJL+AAAA&#10;4QEAABMAAAAAAAAAAAAAAAAAAAAAAFtDb250ZW50X1R5cGVzXS54bWxQSwECLQAUAAYACAAAACEA&#10;OP0h/9YAAACUAQAACwAAAAAAAAAAAAAAAAAvAQAAX3JlbHMvLnJlbHNQSwECLQAUAAYACAAAACEA&#10;+KgK8ocCAABzBQAADgAAAAAAAAAAAAAAAAAuAgAAZHJzL2Uyb0RvYy54bWxQSwECLQAUAAYACAAA&#10;ACEASkqQ6t0AAAADAQAADwAAAAAAAAAAAAAAAADhBAAAZHJzL2Rvd25yZXYueG1sUEsFBgAAAAAE&#10;AAQA8wAAAOsFAAAAAA==&#10;" fillcolor="#ffc000" strokecolor="#70ad47 [3209]" strokeweight=".5pt">
                      <v:path arrowok="t"/>
                      <w10:anchorlock/>
                    </v:shape>
                  </w:pict>
                </mc:Fallback>
              </mc:AlternateContent>
            </w:r>
          </w:p>
        </w:tc>
        <w:tc>
          <w:tcPr>
            <w:tcW w:w="1316" w:type="dxa"/>
            <w:vAlign w:val="center"/>
          </w:tcPr>
          <w:p w14:paraId="2E3F8E62" w14:textId="77777777" w:rsidR="004E22A4" w:rsidRDefault="004E22A4" w:rsidP="004E22A4">
            <w:pPr>
              <w:jc w:val="center"/>
              <w:rPr>
                <w:color w:val="212121"/>
              </w:rPr>
            </w:pPr>
            <w:r w:rsidRPr="0031181E">
              <w:rPr>
                <w:rFonts w:eastAsia="Arial" w:cs="Segoe UI"/>
                <w:noProof/>
                <w:sz w:val="20"/>
                <w:szCs w:val="20"/>
              </w:rPr>
              <mc:AlternateContent>
                <mc:Choice Requires="wps">
                  <w:drawing>
                    <wp:inline distT="0" distB="0" distL="0" distR="0" wp14:anchorId="782EAAC5" wp14:editId="315A4E70">
                      <wp:extent cx="209550" cy="180975"/>
                      <wp:effectExtent l="19050" t="19050" r="38100" b="28575"/>
                      <wp:docPr id="69" name="Isosceles Tri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753BC70" id="Isosceles Triangle 69"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ldRhgIAAHEFAAAOAAAAZHJzL2Uyb0RvYy54bWysVNtOGzEQfa/Uf7D8XnaTEiArNigKSoUU&#10;AQIqnh2vnVj1elzbySb9+o69FyhFQqr6YtmeM/czc3l1qDXZC+cVmJKOTnJKhOFQKbMp6fen5ZcL&#10;SnxgpmIajCjpUXh6Nfv86bKxhRjDFnQlHEEjxheNLek2BFtkmedbUTN/AlYYFEpwNQv4dJuscqxB&#10;67XOxnl+ljXgKuuAC+/x97oV0lmyL6Xg4U5KLwLRJcXYQjpdOtfxzGaXrNg4ZreKd2Gwf4iiZsqg&#10;08HUNQuM7Jz6y1StuAMPMpxwqDOQUnGRcsBsRvmbbB63zIqUCxbH26FM/v+Z5bf7e0dUVdKzKSWG&#10;1dijGw+eCy08eXKKmY0WBIVYqcb6AhUe7b2LuXq7Av7DoyD7QxIfvsMcpKsjFjMlh1T241B2cQiE&#10;4+c4n04m2ByOotFFPj2fRGcZK3pl63z4JqAm8VLS0EWVCs72Kx9aeA9LsYFW1VJpnR5us15oR/YM&#10;WbBcLvI8NR49+BdYyqENOyUQjlpEZW0ehMQKYaCj5DFxUwz2GOfChLMu5ISOahJ9D4pfP1bs8FFV&#10;JN4OyuOPlQeN5BlMGJRrZcC9Z0CHUReybPFdF32bdyzBGqojksNBOzXe8qXCBqyYD/fM4Zhgz3D0&#10;wx0eUkNTUuhulGzB/XrvP+KRvSilpMGxK6n/uWNOUKJvDPJ6Ojo9jXOaHqeT8zE+3GvJ+rXE7OoF&#10;YE9HuGQsT9eID7q/Sgf1M26IefSKImY4+i4pD65/LEK7DnDHcDGfJxjOpmVhZR4t77seyfV0eGbO&#10;9ixE+t5CP6KseEPEFhv7YWC+CyBVYulLXbt641wnrnc7KC6O1++EetmUs98A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Ah&#10;uldRhgIAAHE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900" w:type="dxa"/>
            <w:vAlign w:val="center"/>
          </w:tcPr>
          <w:p w14:paraId="5745FE9F" w14:textId="77777777" w:rsidR="004E22A4" w:rsidRDefault="004E22A4" w:rsidP="004E22A4">
            <w:pPr>
              <w:jc w:val="center"/>
              <w:rPr>
                <w:color w:val="212121"/>
              </w:rPr>
            </w:pPr>
            <w:r w:rsidRPr="0031181E">
              <w:rPr>
                <w:rFonts w:eastAsia="Arial" w:cs="Segoe UI"/>
                <w:noProof/>
                <w:sz w:val="20"/>
                <w:szCs w:val="20"/>
              </w:rPr>
              <mc:AlternateContent>
                <mc:Choice Requires="wps">
                  <w:drawing>
                    <wp:inline distT="0" distB="0" distL="0" distR="0" wp14:anchorId="707FF6BA" wp14:editId="782927D1">
                      <wp:extent cx="209550" cy="180975"/>
                      <wp:effectExtent l="19050" t="19050" r="38100" b="28575"/>
                      <wp:docPr id="70" name="Isosceles Tri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984E205" id="Isosceles Triangle 70"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wHhQIAAHEFAAAOAAAAZHJzL2Uyb0RvYy54bWysVNtqGzEQfS/0H4Tem91141yWrINxcAmY&#10;NDQpeZa1ki2q1aiS7LX79R1pL0nTQKD0RUiaM/czc3V9aDTZC+cVmIoWJzklwnColdlU9Pvj8tMF&#10;JT4wUzMNRlT0KDy9nn38cNXaUkxgC7oWjqAR48vWVnQbgi2zzPOtaJg/ASsMCiW4hgV8uk1WO9ai&#10;9UZnkzw/y1pwtXXAhff4e9MJ6SzZl1Lw8FVKLwLRFcXYQjpdOtfxzGZXrNw4ZreK92Gwf4iiYcqg&#10;09HUDQuM7Jz6y1SjuAMPMpxwaDKQUnGRcsBsivxVNg9bZkXKBYvj7Vgm///M8rv9vSOqrug5lsew&#10;Bnt068FzoYUnj04xs9GCoBAr1VpfosKDvXcxV29XwH94FGR/SOLD95iDdE3EYqbkkMp+HMsuDoFw&#10;/Jzkl9MpeucoKi7yy/NpdJaxclC2zocvAhoSLxUNfVSp4Gy/8qGDD7AUG2hVL5XW6eE264V2ZM+Q&#10;BcvlIs9TOujBP8NSDl3YKYFw1CIqa/NNSKwQBlokj4mbYrTHOBcmnPUhJ3RUk+h7VPz8vmKPj6oi&#10;8XZUnryvPGokz2DCqNwoA+4tAzoUfciyw/dd9F3esQRrqI9IDgfd1HjLlwobsGI+3DOHY4I9w9EP&#10;X/GQGtqKQn+jZAvu11v/EY/sRSklLY5dRf3PHXOCEn1rkNeXxelpnNP0OJ2eT/DhXkrWLyVm1ywA&#10;e1rgkrE8XSM+6OEqHTRPuCHm0SuKmOHou6I8uOGxCN06wB3DxXyeYDibloWVebB86Hok1+PhiTk7&#10;sBDpewfDiLLyFRE7bOyHgfkugFSJpc917euNc5243u+guDhevhPqeVPOfgMAAP//AwBQSwMEFAAG&#10;AAgAAAAhAEpKkOrdAAAAAwEAAA8AAABkcnMvZG93bnJldi54bWxMj0FLw0AQhe+C/2EZwYvYjW2V&#10;NGZTVLBQD4KtaHvbZqdJcHc2ZLdN/PeOXurlweMN732TzwdnxRG70HhScDNKQCCV3jRUKXhfP1+n&#10;IELUZLT1hAq+McC8OD/LdWZ8T294XMVKcAmFTCuoY2wzKUNZo9Nh5Fskzva+czqy7SppOt1zubNy&#10;nCR30umGeKHWLT7VWH6tDk7Bsl9/Pl697jfT2dJu25d+MU1nH0pdXgwP9yAiDvF0DL/4jA4FM+38&#10;gUwQVgE/Ev+Us8mE3U7BOL0FWeTyP3vxAwAA//8DAFBLAQItABQABgAIAAAAIQC2gziS/gAAAOEB&#10;AAATAAAAAAAAAAAAAAAAAAAAAABbQ29udGVudF9UeXBlc10ueG1sUEsBAi0AFAAGAAgAAAAhADj9&#10;If/WAAAAlAEAAAsAAAAAAAAAAAAAAAAALwEAAF9yZWxzLy5yZWxzUEsBAi0AFAAGAAgAAAAhAH5O&#10;7AeFAgAAcQUAAA4AAAAAAAAAAAAAAAAALgIAAGRycy9lMm9Eb2MueG1sUEsBAi0AFAAGAAgAAAAh&#10;AEpKkOrdAAAAAwEAAA8AAAAAAAAAAAAAAAAA3wQAAGRycy9kb3ducmV2LnhtbFBLBQYAAAAABAAE&#10;APMAAADpBQAAAAA=&#10;" fillcolor="#ffc000" strokecolor="#70ad47 [3209]" strokeweight=".5pt">
                      <v:path arrowok="t"/>
                      <w10:anchorlock/>
                    </v:shape>
                  </w:pict>
                </mc:Fallback>
              </mc:AlternateContent>
            </w:r>
          </w:p>
        </w:tc>
        <w:tc>
          <w:tcPr>
            <w:tcW w:w="6784" w:type="dxa"/>
          </w:tcPr>
          <w:p w14:paraId="3345FC5E" w14:textId="1B334B1C" w:rsidR="004E22A4" w:rsidRDefault="004E22A4" w:rsidP="004E22A4">
            <w:pPr>
              <w:ind w:left="432"/>
              <w:rPr>
                <w:color w:val="212121"/>
              </w:rPr>
            </w:pPr>
            <w:r w:rsidRPr="00A377C5">
              <w:t xml:space="preserve">Attack </w:t>
            </w:r>
            <w:r>
              <w:t>s</w:t>
            </w:r>
            <w:r w:rsidRPr="00A377C5">
              <w:t xml:space="preserve">urface </w:t>
            </w:r>
            <w:r>
              <w:t>a</w:t>
            </w:r>
            <w:r w:rsidRPr="00A377C5">
              <w:t>nalysis</w:t>
            </w:r>
          </w:p>
        </w:tc>
      </w:tr>
      <w:tr w:rsidR="004E22A4" w14:paraId="0B12C45C" w14:textId="77777777" w:rsidTr="00915020">
        <w:tc>
          <w:tcPr>
            <w:tcW w:w="895" w:type="dxa"/>
            <w:vAlign w:val="center"/>
          </w:tcPr>
          <w:p w14:paraId="64ADE7FE" w14:textId="77777777" w:rsidR="004E22A4" w:rsidRDefault="004E22A4" w:rsidP="004E22A4">
            <w:pPr>
              <w:jc w:val="center"/>
              <w:rPr>
                <w:color w:val="212121"/>
              </w:rPr>
            </w:pPr>
            <w:r w:rsidRPr="00840988">
              <w:rPr>
                <w:noProof/>
              </w:rPr>
              <mc:AlternateContent>
                <mc:Choice Requires="wps">
                  <w:drawing>
                    <wp:inline distT="0" distB="0" distL="0" distR="0" wp14:anchorId="5DE96CA4" wp14:editId="5EF9C92F">
                      <wp:extent cx="210553" cy="190500"/>
                      <wp:effectExtent l="0" t="0" r="18415" b="19050"/>
                      <wp:docPr id="1546650208" name="Octagon 1546650208"/>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4B5D7A52" w14:textId="77777777" w:rsidR="008D2C68" w:rsidRDefault="008D2C68" w:rsidP="00F97B16">
                                  <w:pPr>
                                    <w:jc w:val="center"/>
                                  </w:pPr>
                                </w:p>
                                <w:p w14:paraId="5C2A8C08"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DE96CA4" id="Octagon 1546650208" o:spid="_x0000_s1072"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mqvhAIAAG8FAAAOAAAAZHJzL2Uyb0RvYy54bWysVN1r2zAQfx/sfxB6X/3RpFtDnRJSOgal&#10;DW1HnxVZSgySTpOU2Nlfv5PsuKErFMbyoNz5vu9+d1fXnVZkL5xvwFS0OMspEYZD3ZhNRX8+3375&#10;RokPzNRMgREVPQhPr+efP121diZK2IKqhSPoxPhZayu6DcHOsszzrdDMn4EVBoUSnGYBWbfJasda&#10;9K5VVub5RdaCq60DLrzHrze9kM6TfykFDw9SehGIqijmFtLr0ruObza/YrONY3bb8CEN9g9ZaNYY&#10;DDq6umGBkZ1r/nKlG+7AgwxnHHQGUjZcpBqwmiJ/U83TllmRasHmeDu2yf8/t/x+v3KkqXF208nF&#10;xTQvc5yYYRpn9cAD24AhJxJsV2v9DK2e7MoNnEcy1t5Jp+M/VkW61OLD2GLRBcLxY1nk0+k5JRxF&#10;xWU+zdMIsldj63z4LkCTSFQU+hxSb9n+zgeMidpHrRjOg2rq20apxLjNeqkc2TMc+HKZ4y/OGE1O&#10;1LJYQ591osJBiWiszKOQ2AzMs0gREwzF6I9xLkwoB4dJO5pJjD0ann9sOOhHU5EgOhqXHxuPFiky&#10;mDAa68aAe8+BCsWQsuz1sR8ndUcydOsuoWCSqouf1lAfEBoO+p3xlt82OJI75sOKOVwSXCdc/PCA&#10;j1TQ4qwGipItuN/vfY/6iF2UUtLi0lXU/9oxJyhRPwyi+rKYTOKWJmYy/Voi404l61OJ2ekl4JgL&#10;PDGWJzLqB3UkpQP9gvdhEaOiiBmOsSvKgzsyy9AfA7wwXCwWSQ0307JwZ54sPwIh4u25e2HODrgM&#10;COh7OC4om73BZq8bR2RgsQsgmwTc174OI8CtTuAcLlA8G6d80nq9k/M/AAAA//8DAFBLAwQUAAYA&#10;CAAAACEAtdNxHNoAAAADAQAADwAAAGRycy9kb3ducmV2LnhtbEyPQWvDMAyF74P9B6NBb63dFkqX&#10;xSljUNhhNKxb2dWNtSQ0loPtNum/n7ZLd9FDPPHep3wzuk5cMMTWk4b5TIFAqrxtqdbw+bGdrkHE&#10;ZMiazhNquGKETXF/l5vM+oHe8bJPteAQipnR0KTUZ1LGqkFn4sz3SOx9++BM4jXU0gYzcLjr5EKp&#10;lXSmJW5oTI8vDVan/dlpKE9D+bouy8evsF3t3oI7zMPuoPXkYXx+ApFwTLdj+MVndCiY6ejPZKPo&#10;NPAj6W+yt1wuQBxZlQJZ5PI/e/EDAAD//wMAUEsBAi0AFAAGAAgAAAAhALaDOJL+AAAA4QEAABMA&#10;AAAAAAAAAAAAAAAAAAAAAFtDb250ZW50X1R5cGVzXS54bWxQSwECLQAUAAYACAAAACEAOP0h/9YA&#10;AACUAQAACwAAAAAAAAAAAAAAAAAvAQAAX3JlbHMvLnJlbHNQSwECLQAUAAYACAAAACEAwH5qr4QC&#10;AABvBQAADgAAAAAAAAAAAAAAAAAuAgAAZHJzL2Uyb0RvYy54bWxQSwECLQAUAAYACAAAACEAtdNx&#10;HNoAAAADAQAADwAAAAAAAAAAAAAAAADeBAAAZHJzL2Rvd25yZXYueG1sUEsFBgAAAAAEAAQA8wAA&#10;AOUFAAAAAA==&#10;" fillcolor="#c00" strokecolor="#ed7d31 [3205]" strokeweight=".5pt">
                      <v:textbox>
                        <w:txbxContent>
                          <w:p w14:paraId="4B5D7A52" w14:textId="77777777" w:rsidR="008D2C68" w:rsidRDefault="008D2C68" w:rsidP="00F97B16">
                            <w:pPr>
                              <w:jc w:val="center"/>
                            </w:pPr>
                          </w:p>
                          <w:p w14:paraId="5C2A8C08" w14:textId="77777777" w:rsidR="008D2C68" w:rsidRDefault="008D2C68" w:rsidP="00F97B16">
                            <w:pPr>
                              <w:jc w:val="center"/>
                            </w:pPr>
                          </w:p>
                        </w:txbxContent>
                      </v:textbox>
                      <w10:anchorlock/>
                    </v:shape>
                  </w:pict>
                </mc:Fallback>
              </mc:AlternateContent>
            </w:r>
          </w:p>
        </w:tc>
        <w:tc>
          <w:tcPr>
            <w:tcW w:w="1316" w:type="dxa"/>
            <w:vAlign w:val="center"/>
          </w:tcPr>
          <w:p w14:paraId="7EA9F554" w14:textId="77777777" w:rsidR="004E22A4" w:rsidRDefault="004E22A4" w:rsidP="004E22A4">
            <w:pPr>
              <w:jc w:val="center"/>
              <w:rPr>
                <w:color w:val="212121"/>
              </w:rPr>
            </w:pPr>
            <w:r w:rsidRPr="0031181E">
              <w:rPr>
                <w:rFonts w:eastAsia="Arial" w:cs="Segoe UI"/>
                <w:noProof/>
                <w:sz w:val="20"/>
                <w:szCs w:val="20"/>
              </w:rPr>
              <mc:AlternateContent>
                <mc:Choice Requires="wps">
                  <w:drawing>
                    <wp:inline distT="0" distB="0" distL="0" distR="0" wp14:anchorId="2FA808B6" wp14:editId="5C62F286">
                      <wp:extent cx="209550" cy="180975"/>
                      <wp:effectExtent l="19050" t="19050" r="38100" b="28575"/>
                      <wp:docPr id="73" name="Isosceles Tri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5A91EAF" id="Isosceles Triangle 73"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eemhgIAAHEFAAAOAAAAZHJzL2Uyb0RvYy54bWysVNtqGzEQfS/0H4Tem107cS5L1sE4uARM&#10;YpqUPMtayRbValRJ9tr9+o60l6RpIFD6IiTNmfuZub451JrshfMKTElHJzklwnColNmU9PvT4ssl&#10;JT4wUzENRpT0KDy9mX7+dN3YQoxhC7oSjqAR44vGlnQbgi2yzPOtqJk/ASsMCiW4mgV8uk1WOdag&#10;9Vpn4zw/zxpwlXXAhff4e9sK6TTZl1Lw8CClF4HokmJsIZ0unet4ZtNrVmwcs1vFuzDYP0RRM2XQ&#10;6WDqlgVGdk79ZapW3IEHGU441BlIqbhIOWA2o/xNNo9bZkXKBYvj7VAm///M8vv9yhFVlfTilBLD&#10;auzRnQfPhRaePDnFzEYLgkKsVGN9gQqPduVirt4ugf/wKMj+kMSH7zAH6eqIxUzJIZX9OJRdHALh&#10;+DnOryYTbA5H0egyv7qYRGcZK3pl63z4KqAm8VLS0EWVCs72Sx9aeA9LsYFW1UJpnR5us55rR/YM&#10;WbBYzPM8NR49+BdYyqENOyUQjlpEZW2+CYkVwkBHyWPiphjsMc6FCeddyAkd1ST6HhRPP1bs8FFV&#10;JN4OyuOPlQeN5BlMGJRrZcC9Z0CHUReybPFdF32bdyzBGqojksNBOzXe8oXCBiyZDyvmcEywZzj6&#10;4QEPqaEpKXQ3Srbgfr33H/HIXpRS0uDYldT/3DEnKNF3Bnl9NTo7i3OaHmeTizE+3GvJ+rXE7Oo5&#10;YE9HuGQsT9eID7q/Sgf1M26IWfSKImY4+i4pD65/zEO7DnDHcDGbJRjOpmVhaR4t77seyfV0eGbO&#10;9ixE+t5DP6KseEPEFhv7YWC2CyBVYulLXbt641wnrnc7KC6O1++EetmU098A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DN&#10;deemhgIAAHE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900" w:type="dxa"/>
            <w:vAlign w:val="center"/>
          </w:tcPr>
          <w:p w14:paraId="59359398" w14:textId="77777777" w:rsidR="004E22A4" w:rsidRDefault="004E22A4" w:rsidP="004E22A4">
            <w:pPr>
              <w:jc w:val="center"/>
              <w:rPr>
                <w:color w:val="212121"/>
              </w:rPr>
            </w:pPr>
            <w:r w:rsidRPr="005D56C9">
              <w:rPr>
                <w:rFonts w:eastAsia="Arial" w:cs="Segoe UI"/>
                <w:noProof/>
                <w:sz w:val="20"/>
                <w:szCs w:val="20"/>
              </w:rPr>
              <mc:AlternateContent>
                <mc:Choice Requires="wps">
                  <w:drawing>
                    <wp:inline distT="0" distB="0" distL="0" distR="0" wp14:anchorId="5AFEF8A9" wp14:editId="02966083">
                      <wp:extent cx="189470" cy="189470"/>
                      <wp:effectExtent l="0" t="0" r="20320" b="20320"/>
                      <wp:docPr id="194" name="Rectangle 194"/>
                      <wp:cNvGraphicFramePr/>
                      <a:graphic xmlns:a="http://schemas.openxmlformats.org/drawingml/2006/main">
                        <a:graphicData uri="http://schemas.microsoft.com/office/word/2010/wordprocessingShape">
                          <wps:wsp>
                            <wps:cNvSpPr/>
                            <wps:spPr>
                              <a:xfrm>
                                <a:off x="0" y="0"/>
                                <a:ext cx="189470" cy="189470"/>
                              </a:xfrm>
                              <a:prstGeom prst="rect">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rect w14:anchorId="382CF416" id="Rectangle 194" o:spid="_x0000_s1026" style="width:14.9pt;height:14.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AfJiQIAAHAFAAAOAAAAZHJzL2Uyb0RvYy54bWysVF9v2jAQf5+072D5fSQguhbUUCGqTpNQ&#10;W7Wd+mwcm0RyfN7ZENin39kJKeqqPUzjwdzl7n73/65vDo1he4W+Blvw8SjnTFkJZW23Bf/xcvfl&#10;ijMfhC2FAasKflSe3yw+f7pu3VxNoAJTKmQEYv28dQWvQnDzLPOyUo3wI3DKklADNiIQi9usRNES&#10;emOySZ5/zVrA0iFI5T19ve2EfJHwtVYyPGjtVWCm4BRbSC+mdxPfbHEt5lsUrqplH4b4hygaUVty&#10;OkDdiiDYDus/oJpaInjQYSShyUDrWqqUA2Uzzt9l81wJp1IuVBzvhjL5/wcr7/ePyOqSejebcmZF&#10;Q016orIJuzWKxY9Uotb5OWk+u0fsOU9kzPegsYn/lAk7pLIeh7KqQ2CSPo6vZtNLKr4kUU8TSvZm&#10;7NCHbwoaFomCI7lPxRT7tQ+d6kkl+vJg6vKuNiYxuN2sDLK9iB3OL/NVaiqhn6llMYEu5ESFo1HR&#10;2NgnpSl7CnKSPKa5UwOekFLZMO5ElShV5+Yip1+sS/QSJzVaJC4BRmRN4Q3YPcBJswM5YXcwvX40&#10;VWlsB+P8b4F1xoNF8gw2DMZNbQE/AjCUVe+506fwz0oTyQ2UR5oNhG5pvJN3NfVnLXx4FEhbQi2l&#10;zQ8P9GgDbcGhpzirAH999D3q0/CSlLOWtq7g/udOoOLMfLc01rPxdBrXNDHTi8sJMXgu2ZxL7K5Z&#10;AbV9TDfGyURG/WBOpEZoXulALKNXEgkryXfBZcATswrdNaATI9VymdRoNZ0Ia/vsZASPVY3z93J4&#10;Fej6IQ003fdw2lAxfzernW60tLDcBdB1GuS3uvb1prVOg9OfoHg3zvmk9XYoF78BAAD//wMAUEsD&#10;BBQABgAIAAAAIQA2oVB41QAAAAMBAAAPAAAAZHJzL2Rvd25yZXYueG1sTI9BT8MwDIXvSPyHyEhc&#10;JpYyJLSVphNC4gyMcXcbrw0kTtVkXfn3GDjAxZb1np6/V23n4NVEY3KRDVwvC1DEbbSOOwP718er&#10;NaiUkS36yGTgkxJs6/OzCksbT/xC0y53SkI4lWigz3kotU5tTwHTMg7Eoh3iGDDLOXbajniS8OD1&#10;qihudUDH8qHHgR56aj92x2AA14s357v3xt3o56eF20z5kLQxlxfz/R2oTHP+M8M3vqBDLUxNPLJN&#10;yhuQIvlnirbaSIvmd+u60v/Z6y8AAAD//wMAUEsBAi0AFAAGAAgAAAAhALaDOJL+AAAA4QEAABMA&#10;AAAAAAAAAAAAAAAAAAAAAFtDb250ZW50X1R5cGVzXS54bWxQSwECLQAUAAYACAAAACEAOP0h/9YA&#10;AACUAQAACwAAAAAAAAAAAAAAAAAvAQAAX3JlbHMvLnJlbHNQSwECLQAUAAYACAAAACEAijQHyYkC&#10;AABwBQAADgAAAAAAAAAAAAAAAAAuAgAAZHJzL2Uyb0RvYy54bWxQSwECLQAUAAYACAAAACEANqFQ&#10;eNUAAAADAQAADwAAAAAAAAAAAAAAAADjBAAAZHJzL2Rvd25yZXYueG1sUEsFBgAAAAAEAAQA8wAA&#10;AOUFAAAAAA==&#10;" fillcolor="#0070c0" strokecolor="#1f4d78 [1604]" strokeweight="1pt">
                      <w10:anchorlock/>
                    </v:rect>
                  </w:pict>
                </mc:Fallback>
              </mc:AlternateContent>
            </w:r>
          </w:p>
        </w:tc>
        <w:tc>
          <w:tcPr>
            <w:tcW w:w="6784" w:type="dxa"/>
          </w:tcPr>
          <w:p w14:paraId="776C26A0" w14:textId="24C5B99F" w:rsidR="004E22A4" w:rsidRDefault="004E22A4" w:rsidP="004E22A4">
            <w:pPr>
              <w:ind w:left="432"/>
              <w:rPr>
                <w:color w:val="212121"/>
              </w:rPr>
            </w:pPr>
            <w:r w:rsidRPr="00A377C5">
              <w:t xml:space="preserve">Physical </w:t>
            </w:r>
            <w:r>
              <w:t>s</w:t>
            </w:r>
            <w:r w:rsidRPr="00A377C5">
              <w:t xml:space="preserve">ecurity </w:t>
            </w:r>
          </w:p>
        </w:tc>
      </w:tr>
      <w:tr w:rsidR="004E22A4" w14:paraId="760AEF77" w14:textId="77777777" w:rsidTr="00915020">
        <w:tc>
          <w:tcPr>
            <w:tcW w:w="895" w:type="dxa"/>
            <w:vAlign w:val="center"/>
          </w:tcPr>
          <w:p w14:paraId="6A03B730" w14:textId="77777777" w:rsidR="004E22A4" w:rsidRDefault="004E22A4" w:rsidP="004E22A4">
            <w:pPr>
              <w:jc w:val="center"/>
              <w:rPr>
                <w:color w:val="212121"/>
              </w:rPr>
            </w:pPr>
            <w:r w:rsidRPr="00840988">
              <w:rPr>
                <w:noProof/>
              </w:rPr>
              <mc:AlternateContent>
                <mc:Choice Requires="wps">
                  <w:drawing>
                    <wp:inline distT="0" distB="0" distL="0" distR="0" wp14:anchorId="5E013165" wp14:editId="6ED0C52F">
                      <wp:extent cx="210553" cy="190500"/>
                      <wp:effectExtent l="0" t="0" r="18415" b="19050"/>
                      <wp:docPr id="1546650209" name="Octagon 1546650209"/>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674AEC7D" w14:textId="77777777" w:rsidR="008D2C68" w:rsidRDefault="008D2C68" w:rsidP="00F97B16">
                                  <w:pPr>
                                    <w:jc w:val="center"/>
                                  </w:pPr>
                                </w:p>
                                <w:p w14:paraId="405F7298"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E013165" id="Octagon 1546650209" o:spid="_x0000_s1073"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T4DhQIAAG8FAAAOAAAAZHJzL2Uyb0RvYy54bWysVN1r2zAQfx/sfxB6X/3RpFtDnRJSOgal&#10;DW1HnxVZSgSyTpOU2Nlfv5PsuKErFMbyoNz5vu9+d1fXXaPJXjivwFS0OMspEYZDrcymoj+fb798&#10;o8QHZmqmwYiKHoSn1/PPn65aOxMlbEHXwhF0YvystRXdhmBnWeb5VjTMn4EVBoUSXMMCsm6T1Y61&#10;6L3RWZnnF1kLrrYOuPAev970QjpP/qUUPDxI6UUguqKYW0ivS+86vtn8is02jtmt4kMa7B+yaJgy&#10;GHR0dcMCIzun/nLVKO7AgwxnHJoMpFRcpBqwmiJ/U83TllmRasHmeDu2yf8/t/x+v3JE1Ti76eTi&#10;YpqX+SUlhjU4qwce2AYMOZFgu1rrZ2j1ZFdu4DySsfZOuib+Y1WkSy0+jC0WXSAcP5ZFPp2eU8JR&#10;VFzm0zyNIHs1ts6H7wIaEomKQp9D6i3b3/mAMVH7qBXDedCqvlVaJ8Zt1kvtyJ7hwJfLHH9xxmhy&#10;opbFGvqsExUOWkRjbR6FxGZgnkWKmGAoRn+Mc2FCOThM2tFMYuzR8Pxjw0E/mooE0dG4/Nh4tEiR&#10;wYTRuFEG3HsOdCiGlGWvj/04qTuSoVt3CQWT86gaP62hPiA0HPQ74y2/VTiSO+bDijlcElwnXPzw&#10;gI/U0OKsBoqSLbjf732P+ohdlFLS4tJV1P/aMSco0T8MovqymEziliZmMv1aIuNOJetTidk1S8Ax&#10;F3hiLE9k1A/6SEoHzQveh0WMiiJmOMauKA/uyCxDfwzwwnCxWCQ13EzLwp15svwIhIi35+6FOTvg&#10;MiCg7+G4oGz2Bpu9bhyRgcUugFQJuK99HUaAW53AOVygeDZO+aT1eifnfwAAAP//AwBQSwMEFAAG&#10;AAgAAAAhALXTcRzaAAAAAwEAAA8AAABkcnMvZG93bnJldi54bWxMj0FrwzAMhe+D/QejQW+t3RZK&#10;l8UpY1DYYTSsW9nVjbUkNJaD7Tbpv5+2S3fRQzzx3qd8M7pOXDDE1pOG+UyBQKq8banW8Pmxna5B&#10;xGTIms4TarhihE1xf5ebzPqB3vGyT7XgEIqZ0dCk1GdSxqpBZ+LM90jsffvgTOI11NIGM3C46+RC&#10;qZV0piVuaEyPLw1Wp/3ZaShPQ/m6LsvHr7Bd7d6CO8zD7qD15GF8fgKRcEy3Y/jFZ3QomOnoz2Sj&#10;6DTwI+lvsrdcLkAcWZUCWeTyP3vxAwAA//8DAFBLAQItABQABgAIAAAAIQC2gziS/gAAAOEBAAAT&#10;AAAAAAAAAAAAAAAAAAAAAABbQ29udGVudF9UeXBlc10ueG1sUEsBAi0AFAAGAAgAAAAhADj9If/W&#10;AAAAlAEAAAsAAAAAAAAAAAAAAAAALwEAAF9yZWxzLy5yZWxzUEsBAi0AFAAGAAgAAAAhAGq1PgOF&#10;AgAAbwUAAA4AAAAAAAAAAAAAAAAALgIAAGRycy9lMm9Eb2MueG1sUEsBAi0AFAAGAAgAAAAhALXT&#10;cRzaAAAAAwEAAA8AAAAAAAAAAAAAAAAA3wQAAGRycy9kb3ducmV2LnhtbFBLBQYAAAAABAAEAPMA&#10;AADmBQAAAAA=&#10;" fillcolor="#c00" strokecolor="#ed7d31 [3205]" strokeweight=".5pt">
                      <v:textbox>
                        <w:txbxContent>
                          <w:p w14:paraId="674AEC7D" w14:textId="77777777" w:rsidR="008D2C68" w:rsidRDefault="008D2C68" w:rsidP="00F97B16">
                            <w:pPr>
                              <w:jc w:val="center"/>
                            </w:pPr>
                          </w:p>
                          <w:p w14:paraId="405F7298" w14:textId="77777777" w:rsidR="008D2C68" w:rsidRDefault="008D2C68" w:rsidP="00F97B16">
                            <w:pPr>
                              <w:jc w:val="center"/>
                            </w:pPr>
                          </w:p>
                        </w:txbxContent>
                      </v:textbox>
                      <w10:anchorlock/>
                    </v:shape>
                  </w:pict>
                </mc:Fallback>
              </mc:AlternateContent>
            </w:r>
          </w:p>
        </w:tc>
        <w:tc>
          <w:tcPr>
            <w:tcW w:w="1316" w:type="dxa"/>
            <w:vAlign w:val="center"/>
          </w:tcPr>
          <w:p w14:paraId="2B97AE5D" w14:textId="77777777" w:rsidR="004E22A4" w:rsidRDefault="004E22A4" w:rsidP="004E22A4">
            <w:pPr>
              <w:jc w:val="center"/>
              <w:rPr>
                <w:color w:val="212121"/>
              </w:rPr>
            </w:pPr>
            <w:r w:rsidRPr="00840988">
              <w:rPr>
                <w:rFonts w:eastAsia="Arial" w:cs="Segoe UI"/>
                <w:noProof/>
                <w:sz w:val="20"/>
                <w:szCs w:val="20"/>
              </w:rPr>
              <mc:AlternateContent>
                <mc:Choice Requires="wps">
                  <w:drawing>
                    <wp:inline distT="0" distB="0" distL="0" distR="0" wp14:anchorId="5A299695" wp14:editId="0882AB5F">
                      <wp:extent cx="190500" cy="190500"/>
                      <wp:effectExtent l="0" t="0" r="19050" b="19050"/>
                      <wp:docPr id="118" name="Oval 118"/>
                      <wp:cNvGraphicFramePr/>
                      <a:graphic xmlns:a="http://schemas.openxmlformats.org/drawingml/2006/main">
                        <a:graphicData uri="http://schemas.microsoft.com/office/word/2010/wordprocessingShape">
                          <wps:wsp>
                            <wps:cNvSpPr/>
                            <wps:spPr>
                              <a:xfrm>
                                <a:off x="0" y="0"/>
                                <a:ext cx="190500" cy="190500"/>
                              </a:xfrm>
                              <a:prstGeom prst="ellipse">
                                <a:avLst/>
                              </a:prstGeom>
                              <a:solidFill>
                                <a:srgbClr val="FFFF00"/>
                              </a:solidFill>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oval w14:anchorId="4435F41A" id="Oval 118" o:spid="_x0000_s1026" style="width:15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G6WfgIAAG4FAAAOAAAAZHJzL2Uyb0RvYy54bWysVF9r2zAQfx/sOwi9r7ZD262hTgktGYPS&#10;lqajz4osxQJJp0lKnOzT7yQ7TljLBmN+kO90d7/7o7u7vtkZTbbCBwW2ptVZSYmwHBpl1zX9/rL4&#10;9IWSEJltmAYraroXgd7MPn647txUTKAF3QhPEMSGaedq2sbopkUReCsMC2fghEWhBG9YRNavi8az&#10;DtGNLiZleVl04BvngYsQ8PauF9JZxpdS8PgoZRCR6JpibDGfPp+rdBazazZde+ZaxYcw2D9EYZiy&#10;6HSEumORkY1Xb6CM4h4CyHjGwRQgpeIi54DZVOVv2Sxb5kTOBYsT3Fim8P9g+cP2yRPV4NtV+FSW&#10;GXykxy3TJPFYnc6FKSot3ZMfuIBkSnUnvUl/TILsckX3Y0XFLhKOl9VVeVFi3TmKBhpRiqOx8yF+&#10;FWBIImoqtFYupJzZlG3vQ+y1D1rpOoBWzUJpnRm/Xt1qTzDgmi7wQ2e9yYlakXLoo85U3GuRjLV9&#10;FhJzxzgn2WPuOjHiMc6FjZe9qGWN6N1gQkcvqU+TRU4qAyZkieGN2NWfsPtgB/1kKnLTjsbl341H&#10;i+wZbByNjbLg3wPQsRrKJHt9DP+kNIlcQbPHzvDQj0xwfKHwie5ZiE/M44zgq+Lcx0c8pIaupjBQ&#10;lLTgf753n/SxdVFKSYczV9PwY8O8oER/s9jUV9X5eRrSzJxffJ4g408lq1OJ3ZhbwGevcMM4nsmk&#10;H/WBlB7MK66HefKKImY5+q4pj/7A3MZ+F+CC4WI+z2o4mI7Fe7t0PIGnqqb+e9m9Mu+GPo3Y4A9w&#10;mM83vdrrJksL800EqXIjH+s61BuHOjfOsIDS1jjls9ZxTc5+AQAA//8DAFBLAwQUAAYACAAAACEA&#10;OsdimtgAAAADAQAADwAAAGRycy9kb3ducmV2LnhtbEyPQUvDQBCF74L/YRnBi7QbrRSN2RSxKh5r&#10;UgRv0+yYBLOzIbttor/eUQ96meHxhjffy1aT69SBhtB6NnA+T0ARV962XBvYlg+zK1AhIlvsPJOB&#10;Dwqwyo+PMkytH/mZDkWslYRwSNFAE2Ofah2qhhyGue+JxXvzg8Mocqi1HXCUcNfpiyRZaocty4cG&#10;e7prqHov9s7AuNT3r5drosWmxPLl7HFdXD99GnN6Mt3egIo0xb9j+MYXdMiFaef3bIPqDEiR+DPF&#10;WySidr9b55n+z55/AQAA//8DAFBLAQItABQABgAIAAAAIQC2gziS/gAAAOEBAAATAAAAAAAAAAAA&#10;AAAAAAAAAABbQ29udGVudF9UeXBlc10ueG1sUEsBAi0AFAAGAAgAAAAhADj9If/WAAAAlAEAAAsA&#10;AAAAAAAAAAAAAAAALwEAAF9yZWxzLy5yZWxzUEsBAi0AFAAGAAgAAAAhAImsbpZ+AgAAbgUAAA4A&#10;AAAAAAAAAAAAAAAALgIAAGRycy9lMm9Eb2MueG1sUEsBAi0AFAAGAAgAAAAhADrHYprYAAAAAwEA&#10;AA8AAAAAAAAAAAAAAAAA2AQAAGRycy9kb3ducmV2LnhtbFBLBQYAAAAABAAEAPMAAADdBQAAAAA=&#10;" fillcolor="yellow" strokecolor="#375623 [1609]" strokeweight="1pt">
                      <v:stroke joinstyle="miter"/>
                      <w10:anchorlock/>
                    </v:oval>
                  </w:pict>
                </mc:Fallback>
              </mc:AlternateContent>
            </w:r>
          </w:p>
        </w:tc>
        <w:tc>
          <w:tcPr>
            <w:tcW w:w="900" w:type="dxa"/>
            <w:vAlign w:val="center"/>
          </w:tcPr>
          <w:p w14:paraId="7508FE46" w14:textId="77777777" w:rsidR="004E22A4" w:rsidRDefault="004E22A4" w:rsidP="004E22A4">
            <w:pPr>
              <w:jc w:val="center"/>
              <w:rPr>
                <w:color w:val="212121"/>
              </w:rPr>
            </w:pPr>
            <w:r w:rsidRPr="0031181E">
              <w:rPr>
                <w:rFonts w:eastAsia="Arial" w:cs="Segoe UI"/>
                <w:noProof/>
                <w:sz w:val="20"/>
                <w:szCs w:val="20"/>
              </w:rPr>
              <mc:AlternateContent>
                <mc:Choice Requires="wps">
                  <w:drawing>
                    <wp:inline distT="0" distB="0" distL="0" distR="0" wp14:anchorId="17F51BCE" wp14:editId="31385B78">
                      <wp:extent cx="209550" cy="180975"/>
                      <wp:effectExtent l="19050" t="19050" r="38100" b="28575"/>
                      <wp:docPr id="78" name="Isosceles Tri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5FD5125" id="Isosceles Triangle 78"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9sa2hQIAAHEFAAAOAAAAZHJzL2Uyb0RvYy54bWysVNtqGzEQfS/0H4Tem91141yWrINxcAmY&#10;NDQpeZa1ki2q1aiS7LX79R1pL0nTQKD0RUiaM/czc3V9aDTZC+cVmIoWJzklwnColdlU9Pvj8tMF&#10;JT4wUzMNRlT0KDy9nn38cNXaUkxgC7oWjqAR48vWVnQbgi2zzPOtaJg/ASsMCiW4hgV8uk1WO9ai&#10;9UZnkzw/y1pwtXXAhff4e9MJ6SzZl1Lw8FVKLwLRFcXYQjpdOtfxzGZXrNw4ZreK92Gwf4iiYcqg&#10;09HUDQuM7Jz6y1SjuAMPMpxwaDKQUnGRcsBsivxVNg9bZkXKBYvj7Vgm///M8rv9vSOqrug5dsqw&#10;Bnt068FzoYUnj04xs9GCoBAr1VpfosKDvXcxV29XwH94FGR/SOLD95iDdE3EYqbkkMp+HMsuDoFw&#10;/Jzkl9MpNoejqLjIL8+n0VnGykHZOh++CGhIvFQ09FGlgrP9yocOPsBSbKBVvVRap4fbrBfakT1D&#10;FiyXizxPjUcP/hmWcujCTgmEoxZRWZtvQmKFMNAieUzcFKM9xrkw4awPOaGjmkTfo+Ln9xV7fFQV&#10;ibej8uR95VEjeQYTRuVGGXBvGdCh6EOWHb7vou/yjiVYQ31EcjjopsZbvlTYgBXz4Z45HBPsGY5+&#10;+IqH1NBWFPobJVtwv976j3hkL0opaXHsKup/7pgTlOhbg7y+LE5P45ymx+n0fIIP91Kyfikxu2YB&#10;2NMCl4zl6RrxQQ9X6aB5wg0xj15RxAxH3xXlwQ2PRejWAe4YLubzBMPZtCyszIPlQ9cjuR4PT8zZ&#10;gYVI3zsYRpSVr4jYYWM/DMx3AaRKLH2ua19vnOvE9X4HxcXx8p1Qz5ty9hsAAP//AwBQSwMEFAAG&#10;AAgAAAAhAEpKkOrdAAAAAwEAAA8AAABkcnMvZG93bnJldi54bWxMj0FLw0AQhe+C/2EZwYvYjW2V&#10;NGZTVLBQD4KtaHvbZqdJcHc2ZLdN/PeOXurlweMN732TzwdnxRG70HhScDNKQCCV3jRUKXhfP1+n&#10;IELUZLT1hAq+McC8OD/LdWZ8T294XMVKcAmFTCuoY2wzKUNZo9Nh5Fskzva+czqy7SppOt1zubNy&#10;nCR30umGeKHWLT7VWH6tDk7Bsl9/Pl697jfT2dJu25d+MU1nH0pdXgwP9yAiDvF0DL/4jA4FM+38&#10;gUwQVgE/Ev+Us8mE3U7BOL0FWeTyP3vxAwAA//8DAFBLAQItABQABgAIAAAAIQC2gziS/gAAAOEB&#10;AAATAAAAAAAAAAAAAAAAAAAAAABbQ29udGVudF9UeXBlc10ueG1sUEsBAi0AFAAGAAgAAAAhADj9&#10;If/WAAAAlAEAAAsAAAAAAAAAAAAAAAAALwEAAF9yZWxzLy5yZWxzUEsBAi0AFAAGAAgAAAAhAHT2&#10;xraFAgAAcQUAAA4AAAAAAAAAAAAAAAAALgIAAGRycy9lMm9Eb2MueG1sUEsBAi0AFAAGAAgAAAAh&#10;AEpKkOrdAAAAAwEAAA8AAAAAAAAAAAAAAAAA3wQAAGRycy9kb3ducmV2LnhtbFBLBQYAAAAABAAE&#10;APMAAADpBQAAAAA=&#10;" fillcolor="#ffc000" strokecolor="#70ad47 [3209]" strokeweight=".5pt">
                      <v:path arrowok="t"/>
                      <w10:anchorlock/>
                    </v:shape>
                  </w:pict>
                </mc:Fallback>
              </mc:AlternateContent>
            </w:r>
          </w:p>
        </w:tc>
        <w:tc>
          <w:tcPr>
            <w:tcW w:w="6784" w:type="dxa"/>
          </w:tcPr>
          <w:p w14:paraId="750FB11F" w14:textId="440A1864" w:rsidR="004E22A4" w:rsidRDefault="004E22A4" w:rsidP="004E22A4">
            <w:pPr>
              <w:ind w:left="432"/>
              <w:rPr>
                <w:color w:val="212121"/>
              </w:rPr>
            </w:pPr>
            <w:r w:rsidRPr="003A5E1A">
              <w:t xml:space="preserve">Full </w:t>
            </w:r>
            <w:r>
              <w:t>d</w:t>
            </w:r>
            <w:r w:rsidRPr="003A5E1A">
              <w:t xml:space="preserve">isk </w:t>
            </w:r>
            <w:r>
              <w:t>e</w:t>
            </w:r>
            <w:r w:rsidRPr="003A5E1A">
              <w:t>ncryption</w:t>
            </w:r>
          </w:p>
        </w:tc>
      </w:tr>
      <w:tr w:rsidR="004E22A4" w14:paraId="6D62847C" w14:textId="77777777" w:rsidTr="00915020">
        <w:tc>
          <w:tcPr>
            <w:tcW w:w="895" w:type="dxa"/>
            <w:vAlign w:val="center"/>
          </w:tcPr>
          <w:p w14:paraId="1C919627" w14:textId="77777777" w:rsidR="004E22A4" w:rsidRDefault="004E22A4" w:rsidP="004E22A4">
            <w:pPr>
              <w:jc w:val="center"/>
              <w:rPr>
                <w:color w:val="212121"/>
              </w:rPr>
            </w:pPr>
            <w:r w:rsidRPr="00840988">
              <w:rPr>
                <w:noProof/>
              </w:rPr>
              <mc:AlternateContent>
                <mc:Choice Requires="wps">
                  <w:drawing>
                    <wp:inline distT="0" distB="0" distL="0" distR="0" wp14:anchorId="5A19D5D2" wp14:editId="2C2CC137">
                      <wp:extent cx="210553" cy="190500"/>
                      <wp:effectExtent l="0" t="0" r="18415" b="19050"/>
                      <wp:docPr id="1546650210" name="Octagon 1546650210"/>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28BBFC60" w14:textId="77777777" w:rsidR="008D2C68" w:rsidRDefault="008D2C68" w:rsidP="00F97B16">
                                  <w:pPr>
                                    <w:jc w:val="center"/>
                                  </w:pPr>
                                </w:p>
                                <w:p w14:paraId="4ECDA978"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A19D5D2" id="Octagon 1546650210" o:spid="_x0000_s1074"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D+7hAIAAG8FAAAOAAAAZHJzL2Uyb0RvYy54bWysVF9r2zAQfx/sOwi9r7bTpFtDnRJSOgZl&#10;LWtHnxVZSgSSTpOU2Nmn30l23NAVCmN5UO58/+9+d1fXndFkL3xQYGtanZWUCMuhUXZT059Pt5++&#10;UBIisw3TYEVNDyLQ68XHD1etm4sJbEE3whN0YsO8dTXdxujmRRH4VhgWzsAJi0IJ3rCIrN8UjWct&#10;eje6mJTlRdGCb5wHLkLArze9kC6yfykFj/dSBhGJrinmFvPr87tOb7G4YvONZ26r+JAG+4csDFMW&#10;g46ublhkZOfVX66M4h4CyHjGwRQgpeIi14DVVOWrah63zIlcCzYnuLFN4f+55d/3D56oBmc3m15c&#10;zMpJhW2yzOCs7nlkG7DkRILtal2Yo9Wje/ADF5BMtXfSm/SPVZEut/gwtlh0kXD8iO5ns3NKOIqq&#10;y3JW5hEUL8bOh/hVgCGJqCn0OeTesv1diBgTtY9aKVwArZpbpXVm/Ga90p7sGQ58tSrxl2aMJidq&#10;RaqhzzpT8aBFMtb2h5DYDMyzyhEzDMXoj3EubJwMDrN2MpMYezQ8f99w0E+mIkN0NJ68bzxa5Mhg&#10;42hslAX/lgMdqyFl2etjP07qTmTs1l1GwXSaVNOnNTQHhIaHfmeC47cKR3LHQnxgHpcEcYKLH+/x&#10;kRpanNVAUbIF//ut70kfsYtSSlpcupqGXzvmBSX6m0VUX1bTadrSzExnnyfI+FPJ+lRid2YFOOYK&#10;T4zjmUz6UR9J6cE8431YpqgoYpZj7Jry6I/MKvbHAC8MF8tlVsPNdCze2UfHj0BIeHvqnpl3Ay4j&#10;Avo7HBeUzV9hs9dNI7Kw3EWQKgP3pa/DCHCrMziHC5TOximftV7u5OIPAAAA//8DAFBLAwQUAAYA&#10;CAAAACEAtdNxHNoAAAADAQAADwAAAGRycy9kb3ducmV2LnhtbEyPQWvDMAyF74P9B6NBb63dFkqX&#10;xSljUNhhNKxb2dWNtSQ0loPtNum/n7ZLd9FDPPHep3wzuk5cMMTWk4b5TIFAqrxtqdbw+bGdrkHE&#10;ZMiazhNquGKETXF/l5vM+oHe8bJPteAQipnR0KTUZ1LGqkFn4sz3SOx9++BM4jXU0gYzcLjr5EKp&#10;lXSmJW5oTI8vDVan/dlpKE9D+bouy8evsF3t3oI7zMPuoPXkYXx+ApFwTLdj+MVndCiY6ejPZKPo&#10;NPAj6W+yt1wuQBxZlQJZ5PI/e/EDAAD//wMAUEsBAi0AFAAGAAgAAAAhALaDOJL+AAAA4QEAABMA&#10;AAAAAAAAAAAAAAAAAAAAAFtDb250ZW50X1R5cGVzXS54bWxQSwECLQAUAAYACAAAACEAOP0h/9YA&#10;AACUAQAACwAAAAAAAAAAAAAAAAAvAQAAX3JlbHMvLnJlbHNQSwECLQAUAAYACAAAACEAqdA/u4QC&#10;AABvBQAADgAAAAAAAAAAAAAAAAAuAgAAZHJzL2Uyb0RvYy54bWxQSwECLQAUAAYACAAAACEAtdNx&#10;HNoAAAADAQAADwAAAAAAAAAAAAAAAADeBAAAZHJzL2Rvd25yZXYueG1sUEsFBgAAAAAEAAQA8wAA&#10;AOUFAAAAAA==&#10;" fillcolor="#c00" strokecolor="#ed7d31 [3205]" strokeweight=".5pt">
                      <v:textbox>
                        <w:txbxContent>
                          <w:p w14:paraId="28BBFC60" w14:textId="77777777" w:rsidR="008D2C68" w:rsidRDefault="008D2C68" w:rsidP="00F97B16">
                            <w:pPr>
                              <w:jc w:val="center"/>
                            </w:pPr>
                          </w:p>
                          <w:p w14:paraId="4ECDA978" w14:textId="77777777" w:rsidR="008D2C68" w:rsidRDefault="008D2C68" w:rsidP="00F97B16">
                            <w:pPr>
                              <w:jc w:val="center"/>
                            </w:pPr>
                          </w:p>
                        </w:txbxContent>
                      </v:textbox>
                      <w10:anchorlock/>
                    </v:shape>
                  </w:pict>
                </mc:Fallback>
              </mc:AlternateContent>
            </w:r>
          </w:p>
        </w:tc>
        <w:tc>
          <w:tcPr>
            <w:tcW w:w="1316" w:type="dxa"/>
            <w:vAlign w:val="center"/>
          </w:tcPr>
          <w:p w14:paraId="183A1BA1" w14:textId="77777777" w:rsidR="004E22A4" w:rsidRDefault="004E22A4" w:rsidP="004E22A4">
            <w:pPr>
              <w:jc w:val="center"/>
              <w:rPr>
                <w:color w:val="212121"/>
              </w:rPr>
            </w:pPr>
            <w:r w:rsidRPr="0031181E">
              <w:rPr>
                <w:rFonts w:eastAsia="Arial" w:cs="Segoe UI"/>
                <w:noProof/>
                <w:sz w:val="20"/>
                <w:szCs w:val="20"/>
              </w:rPr>
              <mc:AlternateContent>
                <mc:Choice Requires="wps">
                  <w:drawing>
                    <wp:inline distT="0" distB="0" distL="0" distR="0" wp14:anchorId="4BFD3259" wp14:editId="4B81523A">
                      <wp:extent cx="209550" cy="180975"/>
                      <wp:effectExtent l="19050" t="19050" r="38100" b="28575"/>
                      <wp:docPr id="75" name="Isosceles Tri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3CE62C9" id="Isosceles Triangle 75"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IA/hwIAAHEFAAAOAAAAZHJzL2Uyb0RvYy54bWysVNtqGzEQfS/0H4Tem91141yWrINxcAmY&#10;NDQpeZa1ki2q1aiS7LX79R1pL0nTQKD0RUiaM/czc3V9aDTZC+cVmIoWJzklwnColdlU9Pvj8tMF&#10;JT4wUzMNRlT0KDy9nn38cNXaUkxgC7oWjqAR48vWVnQbgi2zzPOtaJg/ASsMCiW4hgV8uk1WO9ai&#10;9UZnkzw/y1pwtXXAhff4e9MJ6SzZl1Lw8FVKLwLRFcXYQjpdOtfxzGZXrNw4ZreK92Gwf4iiYcqg&#10;09HUDQuM7Jz6y1SjuAMPMpxwaDKQUnGRcsBsivxVNg9bZkXKBYvj7Vgm///M8rv9vSOqruj5lBLD&#10;GuzRrQfPhRaePDrFzEYLgkKsVGt9iQoP9t7FXL1dAf/hUZD9IYkP32MO0jURi5mSQyr7cSy7OATC&#10;8XOSX06n2ByOouIiv+ycZawclK3z4YuAhsRLRUMfVSo42698iCGwcoCl2ECreqm0Tg+3WS+0I3uG&#10;LFguF3meGo8q/hmWcujCTgmEoxZRWZtvQmKFMNAieUzcFKM9xrkw4SzWBw0mdFST6HtU/Py+Yo+P&#10;qiLxdlSevK88aiTPYMKo3CgD7i0DOhR9yLLD9130Xd6xBGuoj0gOB93UeMuXChuwYj7cM4djgj3D&#10;0Q9f8ZAa2opCf6NkC+7XW/8Rj+xFKSUtjl1F/c8dc4ISfWuQ15fF6Wmc0/Q4nZ5P8OFeStYvJWbX&#10;LAB7WuCSsTxdIz7o4SodNE+4IebRK4qY4ei7ojy44bEI3TrAHcPFfJ5gOJuWhZV5sHzoeiTX4+GJ&#10;OTuwEOl7B8OIsvIVETts7IeB+S6AVImlz3Xt641znYjT76C4OF6+E+p5U85+AwAA//8DAFBLAwQU&#10;AAYACAAAACEASkqQ6t0AAAADAQAADwAAAGRycy9kb3ducmV2LnhtbEyPQUvDQBCF74L/YRnBi9iN&#10;bZU0ZlNUsFAPgq1oe9tmp0lwdzZkt038945e6uXB4w3vfZPPB2fFEbvQeFJwM0pAIJXeNFQpeF8/&#10;X6cgQtRktPWECr4xwLw4P8t1ZnxPb3hcxUpwCYVMK6hjbDMpQ1mj02HkWyTO9r5zOrLtKmk63XO5&#10;s3KcJHfS6YZ4odYtPtVYfq0OTsGyX38+Xr3uN9PZ0m7bl34xTWcfSl1eDA/3ICIO8XQMv/iMDgUz&#10;7fyBTBBWAT8S/5SzyYTdTsE4vQVZ5PI/e/EDAAD//wMAUEsBAi0AFAAGAAgAAAAhALaDOJL+AAAA&#10;4QEAABMAAAAAAAAAAAAAAAAAAAAAAFtDb250ZW50X1R5cGVzXS54bWxQSwECLQAUAAYACAAAACEA&#10;OP0h/9YAAACUAQAACwAAAAAAAAAAAAAAAAAvAQAAX3JlbHMvLnJlbHNQSwECLQAUAAYACAAAACEA&#10;6gSAP4cCAABxBQAADgAAAAAAAAAAAAAAAAAuAgAAZHJzL2Uyb0RvYy54bWxQSwECLQAUAAYACAAA&#10;ACEASkqQ6t0AAAADAQAADwAAAAAAAAAAAAAAAADhBAAAZHJzL2Rvd25yZXYueG1sUEsFBgAAAAAE&#10;AAQA8wAAAOsFAAAAAA==&#10;" fillcolor="#ffc000" strokecolor="#70ad47 [3209]" strokeweight=".5pt">
                      <v:path arrowok="t"/>
                      <w10:anchorlock/>
                    </v:shape>
                  </w:pict>
                </mc:Fallback>
              </mc:AlternateContent>
            </w:r>
          </w:p>
        </w:tc>
        <w:tc>
          <w:tcPr>
            <w:tcW w:w="900" w:type="dxa"/>
            <w:vAlign w:val="center"/>
          </w:tcPr>
          <w:p w14:paraId="0842B194" w14:textId="77777777" w:rsidR="004E22A4" w:rsidRDefault="004E22A4" w:rsidP="004E22A4">
            <w:pPr>
              <w:jc w:val="center"/>
              <w:rPr>
                <w:color w:val="212121"/>
              </w:rPr>
            </w:pPr>
            <w:r>
              <w:rPr>
                <w:color w:val="212121"/>
              </w:rPr>
              <w:t>N/A</w:t>
            </w:r>
          </w:p>
        </w:tc>
        <w:tc>
          <w:tcPr>
            <w:tcW w:w="6784" w:type="dxa"/>
          </w:tcPr>
          <w:p w14:paraId="01A33630" w14:textId="5E706F98" w:rsidR="004E22A4" w:rsidRDefault="004E22A4" w:rsidP="004E22A4">
            <w:pPr>
              <w:ind w:left="432"/>
              <w:rPr>
                <w:color w:val="212121"/>
              </w:rPr>
            </w:pPr>
            <w:r w:rsidRPr="00A377C5">
              <w:t>Baseboard management controller (BMC) security</w:t>
            </w:r>
          </w:p>
        </w:tc>
      </w:tr>
      <w:tr w:rsidR="004E22A4" w14:paraId="3C9D75FE" w14:textId="77777777" w:rsidTr="00915020">
        <w:tc>
          <w:tcPr>
            <w:tcW w:w="895" w:type="dxa"/>
            <w:vAlign w:val="center"/>
          </w:tcPr>
          <w:p w14:paraId="778179F6" w14:textId="77777777" w:rsidR="004E22A4" w:rsidRDefault="004E22A4" w:rsidP="004E22A4">
            <w:pPr>
              <w:jc w:val="center"/>
              <w:rPr>
                <w:color w:val="212121"/>
              </w:rPr>
            </w:pPr>
            <w:r w:rsidRPr="00840988">
              <w:rPr>
                <w:noProof/>
              </w:rPr>
              <mc:AlternateContent>
                <mc:Choice Requires="wps">
                  <w:drawing>
                    <wp:inline distT="0" distB="0" distL="0" distR="0" wp14:anchorId="3B3C695E" wp14:editId="17A2FD03">
                      <wp:extent cx="210553" cy="190500"/>
                      <wp:effectExtent l="0" t="0" r="18415" b="19050"/>
                      <wp:docPr id="1546650211" name="Octagon 1546650211"/>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42EB3C15" w14:textId="77777777" w:rsidR="008D2C68" w:rsidRDefault="008D2C68" w:rsidP="00F97B16">
                                  <w:pPr>
                                    <w:jc w:val="center"/>
                                  </w:pPr>
                                </w:p>
                                <w:p w14:paraId="556CC326"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B3C695E" id="Octagon 1546650211" o:spid="_x0000_s1075"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2sXhAIAAG8FAAAOAAAAZHJzL2Uyb0RvYy54bWysVN1r2zAQfx/sfxB6X/3RuFtDnRJSOgZl&#10;LWtHnxVZSgySTpOU2Nlfv5PsuKErFMb8IN/pvu9+p6vrXiuyF863YGpanOWUCMOhac2mpj+fbj99&#10;ocQHZhqmwIiaHoSn14uPH646OxclbEE1whF0Yvy8szXdhmDnWeb5Vmjmz8AKg0IJTrOArNtkjWMd&#10;etcqK/P8IuvANdYBF97j7c0gpIvkX0rBw72UXgSiaoq5hXS6dK7jmS2u2HzjmN22fEyD/UMWmrUG&#10;g06ublhgZOfav1zpljvwIMMZB52BlC0XqQaspshfVfO4ZVakWrA53k5t8v/PLf++f3CkbXB21ezi&#10;osrLoqDEMI2zuueBbcCQEwm2q7N+jlaP9sGNnEcy1t5Lp+MfqyJ9avFharHoA+F4WRZ5VZ1TwlFU&#10;XOZVnkaQvRhb58NXAZpEoqYw5JB6y/Z3PmBM1D5qxXAeVNvctkolxm3WK+XInuHAV6scvzhjNDlR&#10;y2INQ9aJCgclorEyP4TEZmCeRYqYYCgmf4xzYUI5Okza0Uxi7Mnw/H3DUT+aigTRybh833iySJHB&#10;hMlYtwbcWw5UKMaU5aCP/TipO5KhX/cJBbMqqsarNTQHhIaDYWe85bctjuSO+fDAHC4JrhMufrjH&#10;QyrocFYjRckW3O+37qM+YhellHS4dDX1v3bMCUrUN4Oovixms7iliZlVn0tk3KlkfSoxO70CHDMC&#10;FrNLZNQP6khKB/oZ34dljIoiZjjGrikP7siswvAY4AvDxXKZ1HAzLQt35tHyIxAi3p76Z+bsiMuA&#10;gP4OxwVl81fYHHTjiAwsdwFkm4D70tdxBLjVCZzjCxSfjVM+ab28k4s/AAAA//8DAFBLAwQUAAYA&#10;CAAAACEAtdNxHNoAAAADAQAADwAAAGRycy9kb3ducmV2LnhtbEyPQWvDMAyF74P9B6NBb63dFkqX&#10;xSljUNhhNKxb2dWNtSQ0loPtNum/n7ZLd9FDPPHep3wzuk5cMMTWk4b5TIFAqrxtqdbw+bGdrkHE&#10;ZMiazhNquGKETXF/l5vM+oHe8bJPteAQipnR0KTUZ1LGqkFn4sz3SOx9++BM4jXU0gYzcLjr5EKp&#10;lXSmJW5oTI8vDVan/dlpKE9D+bouy8evsF3t3oI7zMPuoPXkYXx+ApFwTLdj+MVndCiY6ejPZKPo&#10;NPAj6W+yt1wuQBxZlQJZ5PI/e/EDAAD//wMAUEsBAi0AFAAGAAgAAAAhALaDOJL+AAAA4QEAABMA&#10;AAAAAAAAAAAAAAAAAAAAAFtDb250ZW50X1R5cGVzXS54bWxQSwECLQAUAAYACAAAACEAOP0h/9YA&#10;AACUAQAACwAAAAAAAAAAAAAAAAAvAQAAX3JlbHMvLnJlbHNQSwECLQAUAAYACAAAACEAAxtrF4QC&#10;AABvBQAADgAAAAAAAAAAAAAAAAAuAgAAZHJzL2Uyb0RvYy54bWxQSwECLQAUAAYACAAAACEAtdNx&#10;HNoAAAADAQAADwAAAAAAAAAAAAAAAADeBAAAZHJzL2Rvd25yZXYueG1sUEsFBgAAAAAEAAQA8wAA&#10;AOUFAAAAAA==&#10;" fillcolor="#c00" strokecolor="#ed7d31 [3205]" strokeweight=".5pt">
                      <v:textbox>
                        <w:txbxContent>
                          <w:p w14:paraId="42EB3C15" w14:textId="77777777" w:rsidR="008D2C68" w:rsidRDefault="008D2C68" w:rsidP="00F97B16">
                            <w:pPr>
                              <w:jc w:val="center"/>
                            </w:pPr>
                          </w:p>
                          <w:p w14:paraId="556CC326" w14:textId="77777777" w:rsidR="008D2C68" w:rsidRDefault="008D2C68" w:rsidP="00F97B16">
                            <w:pPr>
                              <w:jc w:val="center"/>
                            </w:pPr>
                          </w:p>
                        </w:txbxContent>
                      </v:textbox>
                      <w10:anchorlock/>
                    </v:shape>
                  </w:pict>
                </mc:Fallback>
              </mc:AlternateContent>
            </w:r>
          </w:p>
        </w:tc>
        <w:tc>
          <w:tcPr>
            <w:tcW w:w="1316" w:type="dxa"/>
            <w:vAlign w:val="center"/>
          </w:tcPr>
          <w:p w14:paraId="3D30D3EB" w14:textId="77777777" w:rsidR="004E22A4" w:rsidRDefault="004E22A4" w:rsidP="004E22A4">
            <w:pPr>
              <w:jc w:val="center"/>
              <w:rPr>
                <w:color w:val="212121"/>
              </w:rPr>
            </w:pPr>
            <w:r w:rsidRPr="0031181E">
              <w:rPr>
                <w:rFonts w:eastAsia="Arial" w:cs="Segoe UI"/>
                <w:noProof/>
                <w:sz w:val="20"/>
                <w:szCs w:val="20"/>
              </w:rPr>
              <mc:AlternateContent>
                <mc:Choice Requires="wps">
                  <w:drawing>
                    <wp:inline distT="0" distB="0" distL="0" distR="0" wp14:anchorId="62D128F7" wp14:editId="0D1D7382">
                      <wp:extent cx="209550" cy="180975"/>
                      <wp:effectExtent l="19050" t="19050" r="38100" b="28575"/>
                      <wp:docPr id="76" name="Isosceles Tri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8F55F93" id="Isosceles Triangle 76"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4uehwIAAHEFAAAOAAAAZHJzL2Uyb0RvYy54bWysVNtqGzEQfS/0H4Tem91141yWrINxcAmY&#10;NDQpeZa1ki2q1aiS7LX79R1pL0nTQKD0RUiaM/czc3V9aDTZC+cVmIoWJzklwnColdlU9Pvj8tMF&#10;JT4wUzMNRlT0KDy9nn38cNXaUkxgC7oWjqAR48vWVnQbgi2zzPOtaJg/ASsMCiW4hgV8uk1WO9ai&#10;9UZnkzw/y1pwtXXAhff4e9MJ6SzZl1Lw8FVKLwLRFcXYQjpdOtfxzGZXrNw4ZreK92Gwf4iiYcqg&#10;09HUDQuM7Jz6y1SjuAMPMpxwaDKQUnGRcsBsivxVNg9bZkXKBYvj7Vgm///M8rv9vSOqruj5GSWG&#10;NdijWw+eCy08eXSKmY0WBIVYqdb6EhUe7L2LuXq7Av7DoyD7QxIfvsccpGsiFjMlh1T241h2cQiE&#10;4+ckv5xOsTkcRcVFfnk+jc4yVg7K1vnwRUBD4qWioY8qFZztVz508AGWYgOt6qXSOj3cZr3QjuwZ&#10;smC5XOR5ajx68M+wlEMXdkogHLWIytp8ExIrhIEWyWPiphjtMc6FCak+aDCho5pE36Pi5/cVe3xU&#10;FYm3o/LkfeVRI3kGE0blRhlwbxnQoeirLDt830Xf5R1LsIb6iORw0E2Nt3ypsAEr5sM9czgm2DMc&#10;/fAVD6mhrSj0N0q24H699R/xyF6UUtLi2FXU/9wxJyjRtwZ5fVmcnsY5TY/T6fkEH+6lZP1SYnbN&#10;ArCnBS4Zy9M14oMertJB84QbYh69oogZjr4ryoMbHovQrQPcMVzM5wmGs2lZWJkHy4euR3I9Hp6Y&#10;swMLkb53MIwoK18RscPGfhiY7wJIlVj6XNe+3jjXiev9DoqL4+U7oZ435ew3AAAA//8DAFBLAwQU&#10;AAYACAAAACEASkqQ6t0AAAADAQAADwAAAGRycy9kb3ducmV2LnhtbEyPQUvDQBCF74L/YRnBi9iN&#10;bZU0ZlNUsFAPgq1oe9tmp0lwdzZkt038945e6uXB4w3vfZPPB2fFEbvQeFJwM0pAIJXeNFQpeF8/&#10;X6cgQtRktPWECr4xwLw4P8t1ZnxPb3hcxUpwCYVMK6hjbDMpQ1mj02HkWyTO9r5zOrLtKmk63XO5&#10;s3KcJHfS6YZ4odYtPtVYfq0OTsGyX38+Xr3uN9PZ0m7bl34xTWcfSl1eDA/3ICIO8XQMv/iMDgUz&#10;7fyBTBBWAT8S/5SzyYTdTsE4vQVZ5PI/e/EDAAD//wMAUEsBAi0AFAAGAAgAAAAhALaDOJL+AAAA&#10;4QEAABMAAAAAAAAAAAAAAAAAAAAAAFtDb250ZW50X1R5cGVzXS54bWxQSwECLQAUAAYACAAAACEA&#10;OP0h/9YAAACUAQAACwAAAAAAAAAAAAAAAAAvAQAAX3JlbHMvLnJlbHNQSwECLQAUAAYACAAAACEA&#10;WT+LnocCAABxBQAADgAAAAAAAAAAAAAAAAAuAgAAZHJzL2Uyb0RvYy54bWxQSwECLQAUAAYACAAA&#10;ACEASkqQ6t0AAAADAQAADwAAAAAAAAAAAAAAAADhBAAAZHJzL2Rvd25yZXYueG1sUEsFBgAAAAAE&#10;AAQA8wAAAOsFAAAAAA==&#10;" fillcolor="#ffc000" strokecolor="#70ad47 [3209]" strokeweight=".5pt">
                      <v:path arrowok="t"/>
                      <w10:anchorlock/>
                    </v:shape>
                  </w:pict>
                </mc:Fallback>
              </mc:AlternateContent>
            </w:r>
          </w:p>
        </w:tc>
        <w:tc>
          <w:tcPr>
            <w:tcW w:w="900" w:type="dxa"/>
            <w:vAlign w:val="center"/>
          </w:tcPr>
          <w:p w14:paraId="153EBA76" w14:textId="77777777" w:rsidR="004E22A4" w:rsidRDefault="004E22A4" w:rsidP="004E22A4">
            <w:pPr>
              <w:jc w:val="center"/>
              <w:rPr>
                <w:color w:val="212121"/>
              </w:rPr>
            </w:pPr>
            <w:r w:rsidRPr="0031181E">
              <w:rPr>
                <w:rFonts w:eastAsia="Arial" w:cs="Segoe UI"/>
                <w:noProof/>
                <w:sz w:val="20"/>
                <w:szCs w:val="20"/>
              </w:rPr>
              <mc:AlternateContent>
                <mc:Choice Requires="wps">
                  <w:drawing>
                    <wp:inline distT="0" distB="0" distL="0" distR="0" wp14:anchorId="3DE50BA8" wp14:editId="16FD062C">
                      <wp:extent cx="209550" cy="180975"/>
                      <wp:effectExtent l="19050" t="19050" r="38100" b="28575"/>
                      <wp:docPr id="77" name="Isosceles Tri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CA03A64" id="Isosceles Triangle 77"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XL+hgIAAHEFAAAOAAAAZHJzL2Uyb0RvYy54bWysVNtOGzEQfa/Uf7D8XnaTEgIrNigKSoUU&#10;AQIqnh2vnVj1elzbySb9+o69FyhFQqr6YtmeM/czc3l1qDXZC+cVmJKOTnJKhOFQKbMp6fen5Zdz&#10;SnxgpmIajCjpUXh6Nfv86bKxhRjDFnQlHEEjxheNLek2BFtkmedbUTN/AlYYFEpwNQv4dJuscqxB&#10;67XOxnl+ljXgKuuAC+/x97oV0lmyL6Xg4U5KLwLRJcXYQjpdOtfxzGaXrNg4ZreKd2Gwf4iiZsqg&#10;08HUNQuM7Jz6y1StuAMPMpxwqDOQUnGRcsBsRvmbbB63zIqUCxbH26FM/v+Z5bf7e0dUVdLplBLD&#10;auzRjQfPhRaePDnFzEYLgkKsVGN9gQqP9t7FXL1dAf/hUZD9IYkP32EO0tURi5mSQyr7cSi7OATC&#10;8XOcX0wm2ByOotF5fjGdRGcZK3pl63z4JqAm8VLS0EWVCs72Kx9aeA9LsYFW1VJpnR5us15oR/YM&#10;WbBcLvI8NR49+BdYyqENOyUQjlpEZW0ehMQKYaCj5DFxUwz2GOfChLMu5ISOahJ9D4pfP1bs8FFV&#10;JN4OyuOPlQeN5BlMGJRrZcC9Z0CHUReybPFdF32bdyzBGqojksNBOzXe8qXCBqyYD/fM4Zhgz3D0&#10;wx0eUkNTUuhulGzB/XrvP+KRvSilpMGxK6n/uWNOUKJvDPL6YnR6Guc0PU4n0zE+3GvJ+rXE7OoF&#10;YE9HuGQsT9eID7q/Sgf1M26IefSKImY4+i4pD65/LEK7DnDHcDGfJxjOpmVhZR4t77seyfV0eGbO&#10;9ixE+t5CP6KseEPEFhv7YWC+CyBVYulLXbt641wnrnc7KC6O1++EetmUs98A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DI&#10;KXL+hgIAAHE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6784" w:type="dxa"/>
          </w:tcPr>
          <w:p w14:paraId="2283FD69" w14:textId="39BC19A6" w:rsidR="004E22A4" w:rsidRDefault="004E22A4" w:rsidP="004E22A4">
            <w:pPr>
              <w:ind w:left="432"/>
              <w:rPr>
                <w:color w:val="212121"/>
              </w:rPr>
            </w:pPr>
            <w:r w:rsidRPr="00A377C5">
              <w:t>UEFI</w:t>
            </w:r>
            <w:r>
              <w:t xml:space="preserve">, </w:t>
            </w:r>
            <w:r w:rsidRPr="00A377C5">
              <w:t>TPM</w:t>
            </w:r>
            <w:r>
              <w:t>, and s</w:t>
            </w:r>
            <w:r w:rsidRPr="00A377C5">
              <w:t xml:space="preserve">ecure </w:t>
            </w:r>
            <w:r>
              <w:t>b</w:t>
            </w:r>
            <w:r w:rsidRPr="00A377C5">
              <w:t>oot enabled</w:t>
            </w:r>
          </w:p>
        </w:tc>
      </w:tr>
      <w:tr w:rsidR="004E22A4" w14:paraId="6E0AA16B" w14:textId="77777777" w:rsidTr="00915020">
        <w:tc>
          <w:tcPr>
            <w:tcW w:w="895" w:type="dxa"/>
            <w:vAlign w:val="center"/>
          </w:tcPr>
          <w:p w14:paraId="7FC46ABC" w14:textId="77777777" w:rsidR="004E22A4" w:rsidRDefault="004E22A4" w:rsidP="004E22A4">
            <w:pPr>
              <w:jc w:val="center"/>
              <w:rPr>
                <w:color w:val="212121"/>
              </w:rPr>
            </w:pPr>
            <w:r w:rsidRPr="00840988">
              <w:rPr>
                <w:noProof/>
              </w:rPr>
              <mc:AlternateContent>
                <mc:Choice Requires="wps">
                  <w:drawing>
                    <wp:inline distT="0" distB="0" distL="0" distR="0" wp14:anchorId="03E28D2C" wp14:editId="254E7387">
                      <wp:extent cx="210553" cy="190500"/>
                      <wp:effectExtent l="0" t="0" r="18415" b="19050"/>
                      <wp:docPr id="1546650212" name="Octagon 1546650212"/>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48877A9F" w14:textId="77777777" w:rsidR="008D2C68" w:rsidRDefault="008D2C68" w:rsidP="00F97B16">
                                  <w:pPr>
                                    <w:jc w:val="center"/>
                                  </w:pPr>
                                </w:p>
                                <w:p w14:paraId="1077FC3B"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3E28D2C" id="Octagon 1546650212" o:spid="_x0000_s1076"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ec4hQIAAG8FAAAOAAAAZHJzL2Uyb0RvYy54bWysVN1r2zAQfx/sfxB6X/3RJFtDnRJSOgal&#10;LW1HnxVZSgSyTpOU2Nlfv5PsuKErFMbyoNz5vu9+d5dXXaPJXjivwFS0OMspEYZDrcymoj+fb758&#10;o8QHZmqmwYiKHoSnV4vPny5bOxclbEHXwhF0Yvy8tRXdhmDnWeb5VjTMn4EVBoUSXMMCsm6T1Y61&#10;6L3RWZnns6wFV1sHXHiPX697IV0k/1IKHu6l9CIQXVHMLaTXpXcd32xxyeYbx+xW8SEN9g9ZNEwZ&#10;DDq6umaBkZ1Tf7lqFHfgQYYzDk0GUiouUg1YTZG/qeZpy6xItWBzvB3b5P+fW363f3BE1Ti76WQ2&#10;m+ZlUVJiWIOzuueBbcCQEwm2q7V+jlZP9sENnEcy1t5J18R/rIp0qcWHscWiC4Tjx7LIp9NzSjiK&#10;iot8mqcRZK/G1vnwXUBDIlFR6HNIvWX7Wx8wJmoftWI4D1rVN0rrxLjNeqUd2TMc+GqV4y/OGE1O&#10;1LJYQ591osJBi2iszaOQ2AzMs0gREwzF6I9xLkwoB4dJO5pJjD0ann9sOOhHU5EgOhqXHxuPFiky&#10;mDAaN8qAe8+BDsWQsuz1sR8ndUcydOsuoWAyi6rx0xrqA0LDQb8z3vIbhSO5ZT48MIdLguuEix/u&#10;8ZEaWpzVQFGyBff7ve9RH7GLUkpaXLqK+l875gQl+odBVF8Uk0nc0sRMpl9LZNypZH0qMbtmBTjm&#10;Ak+M5YmM+kEfSemgecH7sIxRUcQMx9gV5cEdmVXojwFeGC6Wy6SGm2lZuDVPlh+BEPH23L0wZwdc&#10;BgT0HRwXlM3fYLPXjSMysNwFkCoB97WvwwhwqxM4hwsUz8Ypn7Re7+TiDwAAAP//AwBQSwMEFAAG&#10;AAgAAAAhALXTcRzaAAAAAwEAAA8AAABkcnMvZG93bnJldi54bWxMj0FrwzAMhe+D/QejQW+t3RZK&#10;l8UpY1DYYTSsW9nVjbUkNJaD7Tbpv5+2S3fRQzzx3qd8M7pOXDDE1pOG+UyBQKq8banW8Pmxna5B&#10;xGTIms4TarhihE1xf5ebzPqB3vGyT7XgEIqZ0dCk1GdSxqpBZ+LM90jsffvgTOI11NIGM3C46+RC&#10;qZV0piVuaEyPLw1Wp/3ZaShPQ/m6LsvHr7Bd7d6CO8zD7qD15GF8fgKRcEy3Y/jFZ3QomOnoz2Sj&#10;6DTwI+lvsrdcLkAcWZUCWeTyP3vxAwAA//8DAFBLAQItABQABgAIAAAAIQC2gziS/gAAAOEBAAAT&#10;AAAAAAAAAAAAAAAAAAAAAABbQ29udGVudF9UeXBlc10ueG1sUEsBAi0AFAAGAAgAAAAhADj9If/W&#10;AAAAlAEAAAsAAAAAAAAAAAAAAAAALwEAAF9yZWxzLy5yZWxzUEsBAi0AFAAGAAgAAAAhALxB5ziF&#10;AgAAbwUAAA4AAAAAAAAAAAAAAAAALgIAAGRycy9lMm9Eb2MueG1sUEsBAi0AFAAGAAgAAAAhALXT&#10;cRzaAAAAAwEAAA8AAAAAAAAAAAAAAAAA3wQAAGRycy9kb3ducmV2LnhtbFBLBQYAAAAABAAEAPMA&#10;AADmBQAAAAA=&#10;" fillcolor="#c00" strokecolor="#ed7d31 [3205]" strokeweight=".5pt">
                      <v:textbox>
                        <w:txbxContent>
                          <w:p w14:paraId="48877A9F" w14:textId="77777777" w:rsidR="008D2C68" w:rsidRDefault="008D2C68" w:rsidP="00F97B16">
                            <w:pPr>
                              <w:jc w:val="center"/>
                            </w:pPr>
                          </w:p>
                          <w:p w14:paraId="1077FC3B" w14:textId="77777777" w:rsidR="008D2C68" w:rsidRDefault="008D2C68" w:rsidP="00F97B16">
                            <w:pPr>
                              <w:jc w:val="center"/>
                            </w:pPr>
                          </w:p>
                        </w:txbxContent>
                      </v:textbox>
                      <w10:anchorlock/>
                    </v:shape>
                  </w:pict>
                </mc:Fallback>
              </mc:AlternateContent>
            </w:r>
          </w:p>
        </w:tc>
        <w:tc>
          <w:tcPr>
            <w:tcW w:w="1316" w:type="dxa"/>
            <w:vAlign w:val="center"/>
          </w:tcPr>
          <w:p w14:paraId="2D3FA9DB" w14:textId="77777777" w:rsidR="004E22A4" w:rsidRDefault="004E22A4" w:rsidP="004E22A4">
            <w:pPr>
              <w:jc w:val="center"/>
              <w:rPr>
                <w:color w:val="212121"/>
              </w:rPr>
            </w:pPr>
            <w:r w:rsidRPr="00840988">
              <w:rPr>
                <w:rFonts w:eastAsia="Arial" w:cs="Segoe UI"/>
                <w:noProof/>
                <w:sz w:val="20"/>
                <w:szCs w:val="20"/>
              </w:rPr>
              <mc:AlternateContent>
                <mc:Choice Requires="wps">
                  <w:drawing>
                    <wp:inline distT="0" distB="0" distL="0" distR="0" wp14:anchorId="4DB2D1C4" wp14:editId="6026303B">
                      <wp:extent cx="190500" cy="190500"/>
                      <wp:effectExtent l="0" t="0" r="19050" b="19050"/>
                      <wp:docPr id="80" name="Oval 80"/>
                      <wp:cNvGraphicFramePr/>
                      <a:graphic xmlns:a="http://schemas.openxmlformats.org/drawingml/2006/main">
                        <a:graphicData uri="http://schemas.microsoft.com/office/word/2010/wordprocessingShape">
                          <wps:wsp>
                            <wps:cNvSpPr/>
                            <wps:spPr>
                              <a:xfrm>
                                <a:off x="0" y="0"/>
                                <a:ext cx="190500" cy="190500"/>
                              </a:xfrm>
                              <a:prstGeom prst="ellipse">
                                <a:avLst/>
                              </a:prstGeom>
                              <a:solidFill>
                                <a:srgbClr val="FFFF00"/>
                              </a:solidFill>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oval w14:anchorId="54D506E1" id="Oval 80" o:spid="_x0000_s1026" style="width:15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ZdwfQIAAGwFAAAOAAAAZHJzL2Uyb0RvYy54bWysVF9r2zAQfx/sOwi9r7ZD27WhTgktGYPS&#10;lqWjz4osxQJJp0lKnOzT7yQ7TljLBmN+kO90d7/7o7u7ud0ZTbbCBwW2ptVZSYmwHBpl1zX9/rL4&#10;dEVJiMw2TIMVNd2LQG9nHz/cdG4qJtCCboQnCGLDtHM1bWN006IIvBWGhTNwwqJQgjcsIuvXReNZ&#10;h+hGF5OyvCw68I3zwEUIeHvfC+ks40speHySMohIdE0xtphPn89VOovZDZuuPXOt4kMY7B+iMExZ&#10;dDpC3bPIyMarN1BGcQ8BZDzjYAqQUnGRc8BsqvK3bJYtcyLngsUJbixT+H+w/HH77IlqanqF5bHM&#10;4Bs9bZkmyGJtOhemqLJ0z37gApIp0Z30Jv0xBbLL9dyP9RS7SDheVtflRYmwHEUDjSjF0dj5EL8I&#10;MCQRNRVaKxdSxmzKtg8h9toHrXQdQKtmobTOjF+v7rQnGG9NF/ihs97kRK1IOfRRZyrutUjG2n4T&#10;EjPHOCfZY+45MeIxzoWNl72oZY3o3WBCRy+pS5NFTioDJmSJ4Y3Y1Z+w+2AH/WQqcsuOxuXfjUeL&#10;7BlsHI2NsuDfA9CxGsoke30M/6Q0iVxBs8e+8NAPTHB8ofCJHliIz8zjhOCr4tTHJzykhq6mMFCU&#10;tOB/vnef9LFxUUpJhxNX0/Bjw7ygRH+12NLX1fl5GtHMnF98niDjTyWrU4ndmDvAZ69wvzieyaQf&#10;9YGUHswrLod58ooiZjn6rimP/sDcxX4T4HrhYj7PajiWjsUHu3Q8gaeqpv572b0y74Y+jdjgj3CY&#10;zje92usmSwvzTQSpciMf6zrUG0c6N86wftLOOOWz1nFJzn4BAAD//wMAUEsDBBQABgAIAAAAIQA6&#10;x2Ka2AAAAAMBAAAPAAAAZHJzL2Rvd25yZXYueG1sTI9BS8NAEIXvgv9hGcGLtButFI3ZFLEqHmtS&#10;BG/T7JgEs7Mhu22iv95RD3qZ4fGGN9/LVpPr1IGG0Ho2cD5PQBFX3rZcG9iWD7MrUCEiW+w8k4EP&#10;CrDKj48yTK0f+ZkORayVhHBI0UATY59qHaqGHIa574nFe/ODwyhyqLUdcJRw1+mLJFlqhy3LhwZ7&#10;umuoei/2zsC41Pevl2uixabE8uXscV1cP30ac3oy3d6AijTFv2P4xhd0yIVp5/dsg+oMSJH4M8Vb&#10;JKJ2v1vnmf7Pnn8BAAD//wMAUEsBAi0AFAAGAAgAAAAhALaDOJL+AAAA4QEAABMAAAAAAAAAAAAA&#10;AAAAAAAAAFtDb250ZW50X1R5cGVzXS54bWxQSwECLQAUAAYACAAAACEAOP0h/9YAAACUAQAACwAA&#10;AAAAAAAAAAAAAAAvAQAAX3JlbHMvLnJlbHNQSwECLQAUAAYACAAAACEAQjmXcH0CAABsBQAADgAA&#10;AAAAAAAAAAAAAAAuAgAAZHJzL2Uyb0RvYy54bWxQSwECLQAUAAYACAAAACEAOsdimtgAAAADAQAA&#10;DwAAAAAAAAAAAAAAAADXBAAAZHJzL2Rvd25yZXYueG1sUEsFBgAAAAAEAAQA8wAAANwFAAAAAA==&#10;" fillcolor="yellow" strokecolor="#375623 [1609]" strokeweight="1pt">
                      <v:stroke joinstyle="miter"/>
                      <w10:anchorlock/>
                    </v:oval>
                  </w:pict>
                </mc:Fallback>
              </mc:AlternateContent>
            </w:r>
          </w:p>
        </w:tc>
        <w:tc>
          <w:tcPr>
            <w:tcW w:w="900" w:type="dxa"/>
            <w:vAlign w:val="center"/>
          </w:tcPr>
          <w:p w14:paraId="7E63FE43" w14:textId="77777777" w:rsidR="004E22A4" w:rsidRDefault="004E22A4" w:rsidP="004E22A4">
            <w:pPr>
              <w:jc w:val="center"/>
              <w:rPr>
                <w:color w:val="212121"/>
              </w:rPr>
            </w:pPr>
            <w:r w:rsidRPr="005D56C9">
              <w:rPr>
                <w:rFonts w:eastAsia="Arial" w:cs="Segoe UI"/>
                <w:noProof/>
                <w:sz w:val="20"/>
                <w:szCs w:val="20"/>
              </w:rPr>
              <mc:AlternateContent>
                <mc:Choice Requires="wps">
                  <w:drawing>
                    <wp:inline distT="0" distB="0" distL="0" distR="0" wp14:anchorId="34153415" wp14:editId="2C7BCBA4">
                      <wp:extent cx="189470" cy="189470"/>
                      <wp:effectExtent l="0" t="0" r="20320" b="20320"/>
                      <wp:docPr id="195" name="Rectangle 195"/>
                      <wp:cNvGraphicFramePr/>
                      <a:graphic xmlns:a="http://schemas.openxmlformats.org/drawingml/2006/main">
                        <a:graphicData uri="http://schemas.microsoft.com/office/word/2010/wordprocessingShape">
                          <wps:wsp>
                            <wps:cNvSpPr/>
                            <wps:spPr>
                              <a:xfrm>
                                <a:off x="0" y="0"/>
                                <a:ext cx="189470" cy="189470"/>
                              </a:xfrm>
                              <a:prstGeom prst="rect">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rect w14:anchorId="7FFEE1A2" id="Rectangle 195" o:spid="_x0000_s1026" style="width:14.9pt;height:14.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zliQIAAHAFAAAOAAAAZHJzL2Uyb0RvYy54bWysVF9v2jAQf5+072D5fU1AdC2IUCEqpklV&#10;W7Wd+mwcm0RyfN7ZENin39kJKeqqPUzjwdzl7n73/+Y3h8awvUJfgy346CLnTFkJZW23Bf/xsv5y&#10;zZkPwpbCgFUFPyrPbxafP81bN1NjqMCUChmBWD9rXcGrENwsy7ysVCP8BThlSagBGxGIxW1WomgJ&#10;vTHZOM+/Zi1g6RCk8p6+3nZCvkj4WisZHrT2KjBTcIotpBfTu4lvtpiL2RaFq2rZhyH+IYpG1Jac&#10;DlC3Igi2w/oPqKaWCB50uJDQZKB1LVXKgbIZ5e+yea6EUykXKo53Q5n8/4OV9/tHZHVJvZtecmZF&#10;Q016orIJuzWKxY9Uotb5GWk+u0fsOU9kzPegsYn/lAk7pLIeh7KqQ2CSPo6up5MrKr4kUU8TSvZm&#10;7NCHbwoaFomCI7lPxRT7Ox861ZNK9OXB1OW6NiYxuN2sDLK9iB3Or/JVaiqhn6llMYEu5ESFo1HR&#10;2NgnpSl7CnKcPKa5UwOekFLZMOpElShV5+Yyp1+sS/QSJzVaJC4BRmRN4Q3YPcBJswM5YXcwvX40&#10;VWlsB+P8b4F1xoNF8gw2DMZNbQE/AjCUVe+506fwz0oTyQ2UR5oNhG5pvJPrmvpzJ3x4FEhbQi2l&#10;zQ8P9GgDbcGhpzirAH999D3q0/CSlLOWtq7g/udOoOLMfLc01tPRZBLXNDGTy6sxMXgu2ZxL7K5Z&#10;AbV9RDfGyURG/WBOpEZoXulALKNXEgkryXfBZcATswrdNaATI9VymdRoNZ0Id/bZyQgeqxrn7+Xw&#10;KtD1Qxpouu/htKFi9m5WO91oaWG5C6DrNMhvde3rTWudBqc/QfFunPNJ6+1QLn4DAAD//wMAUEsD&#10;BBQABgAIAAAAIQA2oVB41QAAAAMBAAAPAAAAZHJzL2Rvd25yZXYueG1sTI9BT8MwDIXvSPyHyEhc&#10;JpYyJLSVphNC4gyMcXcbrw0kTtVkXfn3GDjAxZb1np6/V23n4NVEY3KRDVwvC1DEbbSOOwP718er&#10;NaiUkS36yGTgkxJs6/OzCksbT/xC0y53SkI4lWigz3kotU5tTwHTMg7Eoh3iGDDLOXbajniS8OD1&#10;qihudUDH8qHHgR56aj92x2AA14s357v3xt3o56eF20z5kLQxlxfz/R2oTHP+M8M3vqBDLUxNPLJN&#10;yhuQIvlnirbaSIvmd+u60v/Z6y8AAAD//wMAUEsBAi0AFAAGAAgAAAAhALaDOJL+AAAA4QEAABMA&#10;AAAAAAAAAAAAAAAAAAAAAFtDb250ZW50X1R5cGVzXS54bWxQSwECLQAUAAYACAAAACEAOP0h/9YA&#10;AACUAQAACwAAAAAAAAAAAAAAAAAvAQAAX3JlbHMvLnJlbHNQSwECLQAUAAYACAAAACEAUQrs5YkC&#10;AABwBQAADgAAAAAAAAAAAAAAAAAuAgAAZHJzL2Uyb0RvYy54bWxQSwECLQAUAAYACAAAACEANqFQ&#10;eNUAAAADAQAADwAAAAAAAAAAAAAAAADjBAAAZHJzL2Rvd25yZXYueG1sUEsFBgAAAAAEAAQA8wAA&#10;AOUFAAAAAA==&#10;" fillcolor="#0070c0" strokecolor="#1f4d78 [1604]" strokeweight="1pt">
                      <w10:anchorlock/>
                    </v:rect>
                  </w:pict>
                </mc:Fallback>
              </mc:AlternateContent>
            </w:r>
          </w:p>
        </w:tc>
        <w:tc>
          <w:tcPr>
            <w:tcW w:w="6784" w:type="dxa"/>
          </w:tcPr>
          <w:p w14:paraId="5D1E4A06" w14:textId="6A14C0CB" w:rsidR="004E22A4" w:rsidRDefault="004E22A4" w:rsidP="004E22A4">
            <w:pPr>
              <w:ind w:left="432"/>
              <w:rPr>
                <w:color w:val="212121"/>
              </w:rPr>
            </w:pPr>
            <w:r>
              <w:t>Application whitelisting</w:t>
            </w:r>
          </w:p>
        </w:tc>
      </w:tr>
      <w:tr w:rsidR="004E22A4" w14:paraId="33FC28DD" w14:textId="77777777" w:rsidTr="00915020">
        <w:tc>
          <w:tcPr>
            <w:tcW w:w="895" w:type="dxa"/>
            <w:vAlign w:val="center"/>
          </w:tcPr>
          <w:p w14:paraId="28DF6C86" w14:textId="77777777" w:rsidR="004E22A4" w:rsidRDefault="004E22A4" w:rsidP="004E22A4">
            <w:pPr>
              <w:jc w:val="center"/>
              <w:rPr>
                <w:color w:val="212121"/>
              </w:rPr>
            </w:pPr>
            <w:r w:rsidRPr="00840988">
              <w:rPr>
                <w:noProof/>
              </w:rPr>
              <mc:AlternateContent>
                <mc:Choice Requires="wps">
                  <w:drawing>
                    <wp:inline distT="0" distB="0" distL="0" distR="0" wp14:anchorId="24402D65" wp14:editId="4D1A34DC">
                      <wp:extent cx="210553" cy="190500"/>
                      <wp:effectExtent l="0" t="0" r="18415" b="19050"/>
                      <wp:docPr id="1546650213" name="Octagon 1546650213"/>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66142E6F" w14:textId="77777777" w:rsidR="008D2C68" w:rsidRDefault="008D2C68" w:rsidP="00F97B16">
                                  <w:pPr>
                                    <w:jc w:val="center"/>
                                  </w:pPr>
                                </w:p>
                                <w:p w14:paraId="2F4651B6"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4402D65" id="Octagon 1546650213" o:spid="_x0000_s1077"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rOUhAIAAG8FAAAOAAAAZHJzL2Uyb0RvYy54bWysVN1r2zAQfx/sfxB6X/3RpF1DnRJSOgal&#10;DWtHnxVZSgSyTpOU2Nlfv5PsuKErFMbyoNz5vu9+d9c3XaPJXjivwFS0OMspEYZDrcymoj+f7758&#10;pcQHZmqmwYiKHoSnN/PPn65bOxMlbEHXwhF0YvystRXdhmBnWeb5VjTMn4EVBoUSXMMCsm6T1Y61&#10;6L3RWZnnF1kLrrYOuPAev972QjpP/qUUPDxK6UUguqKYW0ivS+86vtn8ms02jtmt4kMa7B+yaJgy&#10;GHR0dcsCIzun/nLVKO7AgwxnHJoMpFRcpBqwmiJ/U83TllmRasHmeDu2yf8/t/xhv3JE1Ti76eTi&#10;YpqXxTklhjU4q0ce2AYMOZFgu1rrZ2j1ZFdu4DySsfZOuib+Y1WkSy0+jC0WXSAcP5ZFPp1iBI6i&#10;4iqf5mkE2auxdT58E9CQSFQU+hxSb9n+3geMidpHrRjOg1b1ndI6MW6zXmpH9gwHvlzm+IszRpMT&#10;tSzW0GedqHDQIhpr80NIbAbmWaSICYZi9Mc4FyaUg8OkHc0kxh4Nzz82HPSjqUgQHY3Lj41HixQZ&#10;TBiNG2XAvedAh2JIWfb62I+TuiMZunWXUDC5jKrx0xrqA0LDQb8z3vI7hSO5Zz6smMMlwXXCxQ+P&#10;+EgNLc5qoCjZgvv93veoj9hFKSUtLl1F/a8dc4IS/d0gqq+KySRuaWIm08sSGXcqWZ9KzK5ZAo65&#10;wBNjeSKjftBHUjpoXvA+LGJUFDHDMXZFeXBHZhn6Y4AXhovFIqnhZloW7s2T5UcgRLw9dy/M2QGX&#10;AQH9AMcFZbM32Ox144gMLHYBpErAfe3rMALc6gTO4QLFs3HKJ63XOzn/AwAA//8DAFBLAwQUAAYA&#10;CAAAACEAtdNxHNoAAAADAQAADwAAAGRycy9kb3ducmV2LnhtbEyPQWvDMAyF74P9B6NBb63dFkqX&#10;xSljUNhhNKxb2dWNtSQ0loPtNum/n7ZLd9FDPPHep3wzuk5cMMTWk4b5TIFAqrxtqdbw+bGdrkHE&#10;ZMiazhNquGKETXF/l5vM+oHe8bJPteAQipnR0KTUZ1LGqkFn4sz3SOx9++BM4jXU0gYzcLjr5EKp&#10;lXSmJW5oTI8vDVan/dlpKE9D+bouy8evsF3t3oI7zMPuoPXkYXx+ApFwTLdj+MVndCiY6ejPZKPo&#10;NPAj6W+yt1wuQBxZlQJZ5PI/e/EDAAD//wMAUEsBAi0AFAAGAAgAAAAhALaDOJL+AAAA4QEAABMA&#10;AAAAAAAAAAAAAAAAAAAAAFtDb250ZW50X1R5cGVzXS54bWxQSwECLQAUAAYACAAAACEAOP0h/9YA&#10;AACUAQAACwAAAAAAAAAAAAAAAAAvAQAAX3JlbHMvLnJlbHNQSwECLQAUAAYACAAAACEAFoqzlIQC&#10;AABvBQAADgAAAAAAAAAAAAAAAAAuAgAAZHJzL2Uyb0RvYy54bWxQSwECLQAUAAYACAAAACEAtdNx&#10;HNoAAAADAQAADwAAAAAAAAAAAAAAAADeBAAAZHJzL2Rvd25yZXYueG1sUEsFBgAAAAAEAAQA8wAA&#10;AOUFAAAAAA==&#10;" fillcolor="#c00" strokecolor="#ed7d31 [3205]" strokeweight=".5pt">
                      <v:textbox>
                        <w:txbxContent>
                          <w:p w14:paraId="66142E6F" w14:textId="77777777" w:rsidR="008D2C68" w:rsidRDefault="008D2C68" w:rsidP="00F97B16">
                            <w:pPr>
                              <w:jc w:val="center"/>
                            </w:pPr>
                          </w:p>
                          <w:p w14:paraId="2F4651B6" w14:textId="77777777" w:rsidR="008D2C68" w:rsidRDefault="008D2C68" w:rsidP="00F97B16">
                            <w:pPr>
                              <w:jc w:val="center"/>
                            </w:pPr>
                          </w:p>
                        </w:txbxContent>
                      </v:textbox>
                      <w10:anchorlock/>
                    </v:shape>
                  </w:pict>
                </mc:Fallback>
              </mc:AlternateContent>
            </w:r>
          </w:p>
        </w:tc>
        <w:tc>
          <w:tcPr>
            <w:tcW w:w="1316" w:type="dxa"/>
            <w:vAlign w:val="center"/>
          </w:tcPr>
          <w:p w14:paraId="1E5324D4" w14:textId="77777777" w:rsidR="004E22A4" w:rsidRDefault="004E22A4" w:rsidP="004E22A4">
            <w:pPr>
              <w:jc w:val="center"/>
              <w:rPr>
                <w:color w:val="212121"/>
              </w:rPr>
            </w:pPr>
            <w:r w:rsidRPr="0031181E">
              <w:rPr>
                <w:rFonts w:eastAsia="Arial" w:cs="Segoe UI"/>
                <w:noProof/>
                <w:sz w:val="20"/>
                <w:szCs w:val="20"/>
              </w:rPr>
              <mc:AlternateContent>
                <mc:Choice Requires="wps">
                  <w:drawing>
                    <wp:inline distT="0" distB="0" distL="0" distR="0" wp14:anchorId="016ACC78" wp14:editId="7932C453">
                      <wp:extent cx="209550" cy="180975"/>
                      <wp:effectExtent l="19050" t="19050" r="38100" b="28575"/>
                      <wp:docPr id="82" name="Isosceles Tri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56A54E4" id="Isosceles Triangle 82"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IEEhgIAAHEFAAAOAAAAZHJzL2Uyb0RvYy54bWysVNtqGzEQfS/0H4Tem91141yWrINxcAmY&#10;NDQpeZa1ki2q1aiS7LX79R1pL0nTQKD0RUiaM/czc3V9aDTZC+cVmIoWJzklwnColdlU9Pvj8tMF&#10;JT4wUzMNRlT0KDy9nn38cNXaUkxgC7oWjqAR48vWVnQbgi2zzPOtaJg/ASsMCiW4hgV8uk1WO9ai&#10;9UZnkzw/y1pwtXXAhff4e9MJ6SzZl1Lw8FVKLwLRFcXYQjpdOtfxzGZXrNw4ZreK92Gwf4iiYcqg&#10;09HUDQuM7Jz6y1SjuAMPMpxwaDKQUnGRcsBsivxVNg9bZkXKBYvj7Vgm///M8rv9vSOqrujFhBLD&#10;GuzRrQfPhRaePDrFzEYLgkKsVGt9iQoP9t7FXL1dAf/hUZD9IYkP32MO0jURi5mSQyr7cSy7OATC&#10;8XOSX06n2ByOouIivzyfRmcZKwdl63z4IqAh8VLR0EeVCs72Kx86+ABLsYFW9VJpnR5us15oR/YM&#10;WbBcLvI8NR49+GdYyqELOyUQjlpEZW2+CYkVwkCL5DFxU4z2GOfChLM+5ISOahJ9j4qf31fs8VFV&#10;JN6OypP3lUeN5BlMGJUbZcC9ZUCHog9Zdvi+i77LO5ZgDfURyeGgmxpv+VJhA1bMh3vmcEywZzj6&#10;4SseUkNbUehvlGzB/XrrP+KRvSilpMWxq6j/uWNOUKJvDfL6sjg9jXOaHqfT8wk+3EvJ+qXE7JoF&#10;YE8LXDKWp2vEBz1cpYPmCTfEPHpFETMcfVeUBzc8FqFbB7hjuJjPEwxn07KwMg+WD12P5Ho8PDFn&#10;BxYife9gGFFWviJih439MDDfBZAqsfS5rn29ca4T1/sdFBfHy3dCPW/K2W8A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Ak&#10;KIEEhgIAAHE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900" w:type="dxa"/>
            <w:vAlign w:val="center"/>
          </w:tcPr>
          <w:p w14:paraId="76B88BD0" w14:textId="77777777" w:rsidR="004E22A4" w:rsidRDefault="004E22A4" w:rsidP="004E22A4">
            <w:pPr>
              <w:jc w:val="center"/>
              <w:rPr>
                <w:color w:val="212121"/>
              </w:rPr>
            </w:pPr>
            <w:r w:rsidRPr="00840988">
              <w:rPr>
                <w:rFonts w:eastAsia="Arial" w:cs="Segoe UI"/>
                <w:noProof/>
                <w:sz w:val="20"/>
                <w:szCs w:val="20"/>
              </w:rPr>
              <mc:AlternateContent>
                <mc:Choice Requires="wps">
                  <w:drawing>
                    <wp:inline distT="0" distB="0" distL="0" distR="0" wp14:anchorId="2BA28EDA" wp14:editId="164F1964">
                      <wp:extent cx="190500" cy="190500"/>
                      <wp:effectExtent l="0" t="0" r="19050" b="19050"/>
                      <wp:docPr id="126" name="Oval 126"/>
                      <wp:cNvGraphicFramePr/>
                      <a:graphic xmlns:a="http://schemas.openxmlformats.org/drawingml/2006/main">
                        <a:graphicData uri="http://schemas.microsoft.com/office/word/2010/wordprocessingShape">
                          <wps:wsp>
                            <wps:cNvSpPr/>
                            <wps:spPr>
                              <a:xfrm>
                                <a:off x="0" y="0"/>
                                <a:ext cx="190500" cy="190500"/>
                              </a:xfrm>
                              <a:prstGeom prst="ellipse">
                                <a:avLst/>
                              </a:prstGeom>
                              <a:solidFill>
                                <a:srgbClr val="FFFF00"/>
                              </a:solidFill>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oval w14:anchorId="0276763F" id="Oval 126" o:spid="_x0000_s1026" style="width:15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74QfgIAAG4FAAAOAAAAZHJzL2Uyb0RvYy54bWysVF9r2zAQfx/sOwi9r7ZD262hTgktGYPS&#10;lqajz4osxQJJp0lKnOzT7yQ7TljLBmN+kO90d7/7o7u7vtkZTbbCBwW2ptVZSYmwHBpl1zX9/rL4&#10;9IWSEJltmAYraroXgd7MPn647txUTKAF3QhPEMSGaedq2sbopkUReCsMC2fghEWhBG9YRNavi8az&#10;DtGNLiZleVl04BvngYsQ8PauF9JZxpdS8PgoZRCR6JpibDGfPp+rdBazazZde+ZaxYcw2D9EYZiy&#10;6HSEumORkY1Xb6CM4h4CyHjGwRQgpeIi54DZVOVv2Sxb5kTOBYsT3Fim8P9g+cP2yRPV4NtNLimx&#10;zOAjPW6ZJonH6nQuTFFp6Z78wAUkU6o76U36YxJklyu6HysqdpFwvKyuyosS685RNNCIUhyNnQ/x&#10;qwBDElFTobVyIeXMpmx7H2KvfdBK1wG0ahZK68z49epWe4IB13SBHzrrTU7UipRDH3Wm4l6LZKzt&#10;s5CYO8Y5yR5z14kRj3EubLzsRS1rRO8GEzp6SX2aLHJSGTAhSwxvxK7+hN0HO+gnU5GbdjQu/248&#10;WmTPYONobJQF/x6AjtVQJtnrY/gnpUnkCpo9doaHfmSC4wuFT3TPQnxiHmcEXxXnPj7iITV0NYWB&#10;oqQF//O9+6SPrYtSSjqcuZqGHxvmBSX6m8WmvqrOz9OQZub84vMEGX8qWZ1K7MbcAj57hRvG8Uwm&#10;/agPpPRgXnE9zJNXFDHL0XdNefQH5jb2uwAXDBfzeVbDwXQs3tul4wk8VTX138vulXk39GnEBn+A&#10;w3y+6dVeN1lamG8iSJUb+VjXod441LlxhgWUtsYpn7WOa3L2CwAA//8DAFBLAwQUAAYACAAAACEA&#10;OsdimtgAAAADAQAADwAAAGRycy9kb3ducmV2LnhtbEyPQUvDQBCF74L/YRnBi7QbrRSN2RSxKh5r&#10;UgRv0+yYBLOzIbttor/eUQ96meHxhjffy1aT69SBhtB6NnA+T0ARV962XBvYlg+zK1AhIlvsPJOB&#10;Dwqwyo+PMkytH/mZDkWslYRwSNFAE2Ofah2qhhyGue+JxXvzg8Mocqi1HXCUcNfpiyRZaocty4cG&#10;e7prqHov9s7AuNT3r5drosWmxPLl7HFdXD99GnN6Mt3egIo0xb9j+MYXdMiFaef3bIPqDEiR+DPF&#10;WySidr9b55n+z55/AQAA//8DAFBLAQItABQABgAIAAAAIQC2gziS/gAAAOEBAAATAAAAAAAAAAAA&#10;AAAAAAAAAABbQ29udGVudF9UeXBlc10ueG1sUEsBAi0AFAAGAAgAAAAhADj9If/WAAAAlAEAAAsA&#10;AAAAAAAAAAAAAAAALwEAAF9yZWxzLy5yZWxzUEsBAi0AFAAGAAgAAAAhAK6HvhB+AgAAbgUAAA4A&#10;AAAAAAAAAAAAAAAALgIAAGRycy9lMm9Eb2MueG1sUEsBAi0AFAAGAAgAAAAhADrHYprYAAAAAwEA&#10;AA8AAAAAAAAAAAAAAAAA2AQAAGRycy9kb3ducmV2LnhtbFBLBQYAAAAABAAEAPMAAADdBQAAAAA=&#10;" fillcolor="yellow" strokecolor="#375623 [1609]" strokeweight="1pt">
                      <v:stroke joinstyle="miter"/>
                      <w10:anchorlock/>
                    </v:oval>
                  </w:pict>
                </mc:Fallback>
              </mc:AlternateContent>
            </w:r>
          </w:p>
        </w:tc>
        <w:tc>
          <w:tcPr>
            <w:tcW w:w="6784" w:type="dxa"/>
          </w:tcPr>
          <w:p w14:paraId="20D8B09D" w14:textId="4700D38D" w:rsidR="004E22A4" w:rsidRDefault="004E22A4" w:rsidP="004E22A4">
            <w:pPr>
              <w:ind w:left="432"/>
              <w:rPr>
                <w:color w:val="212121"/>
              </w:rPr>
            </w:pPr>
            <w:r w:rsidRPr="00A377C5">
              <w:t xml:space="preserve">USB </w:t>
            </w:r>
            <w:r>
              <w:t>m</w:t>
            </w:r>
            <w:r w:rsidRPr="00A377C5">
              <w:t xml:space="preserve">edia </w:t>
            </w:r>
            <w:r>
              <w:t>r</w:t>
            </w:r>
            <w:r w:rsidRPr="00A377C5">
              <w:t>estrictions</w:t>
            </w:r>
          </w:p>
        </w:tc>
      </w:tr>
      <w:tr w:rsidR="004E22A4" w14:paraId="0A8E2E3C" w14:textId="77777777" w:rsidTr="00915020">
        <w:tc>
          <w:tcPr>
            <w:tcW w:w="895" w:type="dxa"/>
            <w:vAlign w:val="center"/>
          </w:tcPr>
          <w:p w14:paraId="6BB8781B" w14:textId="77777777" w:rsidR="004E22A4" w:rsidRDefault="004E22A4" w:rsidP="004E22A4">
            <w:pPr>
              <w:jc w:val="center"/>
              <w:rPr>
                <w:color w:val="212121"/>
              </w:rPr>
            </w:pPr>
            <w:r w:rsidRPr="00840988">
              <w:rPr>
                <w:noProof/>
              </w:rPr>
              <mc:AlternateContent>
                <mc:Choice Requires="wps">
                  <w:drawing>
                    <wp:inline distT="0" distB="0" distL="0" distR="0" wp14:anchorId="738DBCC9" wp14:editId="1F905259">
                      <wp:extent cx="210553" cy="190500"/>
                      <wp:effectExtent l="0" t="0" r="18415" b="19050"/>
                      <wp:docPr id="1546650214" name="Octagon 1546650214"/>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37B9707C" w14:textId="77777777" w:rsidR="008D2C68" w:rsidRDefault="008D2C68" w:rsidP="00F97B16">
                                  <w:pPr>
                                    <w:jc w:val="center"/>
                                  </w:pPr>
                                </w:p>
                                <w:p w14:paraId="601D15D1"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38DBCC9" id="Octagon 1546650214" o:spid="_x0000_s1078"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95rShQIAAG8FAAAOAAAAZHJzL2Uyb0RvYy54bWysVN1r2zAQfx/sfxB6X/3RpGtDnRJSOgal&#10;DWtHnxVZSgSyTpOU2Nlfv5PsuKErFMbyoNz5vu9+d9c3XaPJXjivwFS0OMspEYZDrcymoj+f775c&#10;UuIDMzXTYERFD8LTm/nnT9etnYkStqBr4Qg6MX7W2opuQ7CzLPN8Kxrmz8AKg0IJrmEBWbfJasda&#10;9N7orMzzi6wFV1sHXHiPX297IZ0n/1IKHh6l9CIQXVHMLaTXpXcd32x+zWYbx+xW8SEN9g9ZNEwZ&#10;DDq6umWBkZ1Tf7lqFHfgQYYzDk0GUiouUg1YTZG/qeZpy6xItWBzvB3b5P+fW/6wXzmiapzddHJx&#10;Mc3LYkKJYQ3O6pEHtgFDTiTYrtb6GVo92ZUbOI9krL2Tron/WBXpUosPY4tFFwjHj2WRT6fnlHAU&#10;FVf5NE8jyF6NrfPhm4CGRKKi0OeQesv29z5gTNQ+asVwHrSq75TWiXGb9VI7smc48OUyx1+cMZqc&#10;qGWxhj7rRIWDFtFYmx9CYjMwzyJFTDAUoz/GuTChHBwm7WgmMfZoeP6x4aAfTUWC6Ghcfmw8WqTI&#10;YMJo3CgD7j0HOhRDyrLXx36c1B3J0K27hILJZVSNn9ZQHxAaDvqd8ZbfKRzJPfNhxRwuCa4TLn54&#10;xEdqaHFWA0XJFtzv975HfcQuSilpcekq6n/tmBOU6O8GUX1VTCZxSxMzmX4tkXGnkvWpxOyaJeCY&#10;Czwxlicy6gd9JKWD5gXvwyJGRREzHGNXlAd3ZJahPwZ4YbhYLJIabqZl4d48WX4EQsTbc/fCnB1w&#10;GRDQD3BcUDZ7g81eN47IwGIXQKoE3Ne+DiPArU7gHC5QPBunfNJ6vZPzPwAAAP//AwBQSwMEFAAG&#10;AAgAAAAhALXTcRzaAAAAAwEAAA8AAABkcnMvZG93bnJldi54bWxMj0FrwzAMhe+D/QejQW+t3RZK&#10;l8UpY1DYYTSsW9nVjbUkNJaD7Tbpv5+2S3fRQzzx3qd8M7pOXDDE1pOG+UyBQKq8banW8Pmxna5B&#10;xGTIms4TarhihE1xf5ebzPqB3vGyT7XgEIqZ0dCk1GdSxqpBZ+LM90jsffvgTOI11NIGM3C46+RC&#10;qZV0piVuaEyPLw1Wp/3ZaShPQ/m6LsvHr7Bd7d6CO8zD7qD15GF8fgKRcEy3Y/jFZ3QomOnoz2Sj&#10;6DTwI+lvsrdcLkAcWZUCWeTyP3vxAwAA//8DAFBLAQItABQABgAIAAAAIQC2gziS/gAAAOEBAAAT&#10;AAAAAAAAAAAAAAAAAAAAAABbQ29udGVudF9UeXBlc10ueG1sUEsBAi0AFAAGAAgAAAAhADj9If/W&#10;AAAAlAEAAAsAAAAAAAAAAAAAAAAALwEAAF9yZWxzLy5yZWxzUEsBAi0AFAAGAAgAAAAhAPT3mtKF&#10;AgAAbwUAAA4AAAAAAAAAAAAAAAAALgIAAGRycy9lMm9Eb2MueG1sUEsBAi0AFAAGAAgAAAAhALXT&#10;cRzaAAAAAwEAAA8AAAAAAAAAAAAAAAAA3wQAAGRycy9kb3ducmV2LnhtbFBLBQYAAAAABAAEAPMA&#10;AADmBQAAAAA=&#10;" fillcolor="#c00" strokecolor="#ed7d31 [3205]" strokeweight=".5pt">
                      <v:textbox>
                        <w:txbxContent>
                          <w:p w14:paraId="37B9707C" w14:textId="77777777" w:rsidR="008D2C68" w:rsidRDefault="008D2C68" w:rsidP="00F97B16">
                            <w:pPr>
                              <w:jc w:val="center"/>
                            </w:pPr>
                          </w:p>
                          <w:p w14:paraId="601D15D1" w14:textId="77777777" w:rsidR="008D2C68" w:rsidRDefault="008D2C68" w:rsidP="00F97B16">
                            <w:pPr>
                              <w:jc w:val="center"/>
                            </w:pPr>
                          </w:p>
                        </w:txbxContent>
                      </v:textbox>
                      <w10:anchorlock/>
                    </v:shape>
                  </w:pict>
                </mc:Fallback>
              </mc:AlternateContent>
            </w:r>
          </w:p>
        </w:tc>
        <w:tc>
          <w:tcPr>
            <w:tcW w:w="1316" w:type="dxa"/>
            <w:vAlign w:val="center"/>
          </w:tcPr>
          <w:p w14:paraId="1EE48B23" w14:textId="77777777" w:rsidR="004E22A4" w:rsidRDefault="004E22A4" w:rsidP="004E22A4">
            <w:pPr>
              <w:jc w:val="center"/>
              <w:rPr>
                <w:color w:val="212121"/>
              </w:rPr>
            </w:pPr>
            <w:r w:rsidRPr="00840988">
              <w:rPr>
                <w:noProof/>
              </w:rPr>
              <mc:AlternateContent>
                <mc:Choice Requires="wps">
                  <w:drawing>
                    <wp:inline distT="0" distB="0" distL="0" distR="0" wp14:anchorId="7EB3E663" wp14:editId="569A5DCC">
                      <wp:extent cx="210553" cy="190500"/>
                      <wp:effectExtent l="0" t="0" r="18415" b="19050"/>
                      <wp:docPr id="86" name="Octagon 86"/>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56DAEBC9" w14:textId="77777777" w:rsidR="008D2C68" w:rsidRDefault="008D2C68" w:rsidP="00F97B16">
                                  <w:pPr>
                                    <w:jc w:val="center"/>
                                  </w:pPr>
                                </w:p>
                                <w:p w14:paraId="27945756"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EB3E663" id="Octagon 86" o:spid="_x0000_s1079"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CI4fQIAAF8FAAAOAAAAZHJzL2Uyb0RvYy54bWysVF9r2zAQfx/sOwi9r7bTpGtDnBJSOgal&#10;DWtHnxVZSgSyTpOU2Nmn30l2nNAVCmN+kO90v/t/p9ltW2uyF84rMCUtLnJKhOFQKbMp6c+X+y/X&#10;lPjATMU0GFHSg/D0dv7506yxUzGCLehKOIJGjJ82tqTbEOw0yzzfipr5C7DCoFCCq1lA1m2yyrEG&#10;rdc6G+X5VdaAq6wDLrzH27tOSOfJvpSChycpvQhElxRjC+l06VzHM5vP2HTjmN0q3ofB/iGKmimD&#10;TgdTdywwsnPqL1O14g48yHDBoc5ASsVFygGzKfI32TxvmRUpFyyOt0OZ/P8zyx/3K0dUVdLrK0oM&#10;q7FHTzywDRiCN1iexvopop7tyvWcRzLm2kpXxz9mQdpU0sNQUtEGwvFyVOSTySUlHEXFTT7JU8mz&#10;k7J1PnwTUJNIlBQ636mWbP/gA/pE9BEV3XnQqrpXWifGbdZL7cieYYOXyxy/GDSqnMGymEMXdaLC&#10;QYuorM0PITF5jLNIHtPYicEe41yYMOoNJnRUk+h7ULz8WLHHR1WRRnJQHn2sPGgkz2DCoFwrA+49&#10;AzoUfciyw2M9zvKOZGjXber6+CZC49UaqgOOgoNuR7zl9wpb8sB8WDGHS4Hrg4senvCQGhrsVU9R&#10;sgX3+737iMdZRSklDS5ZSf2vHXOCEv3d4BTfFONx3MrEjCdfR8i4c8n6XGJ29RKwzQU+KZYnMuKD&#10;PpLSQf2K78EiekURMxx9l5QHd2SWoVt+fFG4WCwSDDfRsvBgni0/DkKct5f2lTnbz2XAgX6E40Ky&#10;6ZvZ7LCxRQYWuwBSpcE91bVvAW5xGs7+xYnPxDmfUKd3cf4HAAD//wMAUEsDBBQABgAIAAAAIQC1&#10;03Ec2gAAAAMBAAAPAAAAZHJzL2Rvd25yZXYueG1sTI9Ba8MwDIXvg/0Ho0Fvrd0WSpfFKWNQ2GE0&#10;rFvZ1Y21JDSWg+026b+ftkt30UM88d6nfDO6TlwwxNaThvlMgUCqvG2p1vD5sZ2uQcRkyJrOE2q4&#10;YoRNcX+Xm8z6gd7xsk+14BCKmdHQpNRnUsaqQWfizPdI7H374EziNdTSBjNwuOvkQqmVdKYlbmhM&#10;jy8NVqf92WkoT0P5ui7Lx6+wXe3egjvMw+6g9eRhfH4CkXBMt2P4xWd0KJjp6M9ko+g08CPpb7K3&#10;XC5AHFmVAlnk8j978QMAAP//AwBQSwECLQAUAAYACAAAACEAtoM4kv4AAADhAQAAEwAAAAAAAAAA&#10;AAAAAAAAAAAAW0NvbnRlbnRfVHlwZXNdLnhtbFBLAQItABQABgAIAAAAIQA4/SH/1gAAAJQBAAAL&#10;AAAAAAAAAAAAAAAAAC8BAABfcmVscy8ucmVsc1BLAQItABQABgAIAAAAIQAXBCI4fQIAAF8FAAAO&#10;AAAAAAAAAAAAAAAAAC4CAABkcnMvZTJvRG9jLnhtbFBLAQItABQABgAIAAAAIQC103Ec2gAAAAMB&#10;AAAPAAAAAAAAAAAAAAAAANcEAABkcnMvZG93bnJldi54bWxQSwUGAAAAAAQABADzAAAA3gUAAAAA&#10;" fillcolor="#c00" strokecolor="#ed7d31 [3205]" strokeweight=".5pt">
                      <v:textbox>
                        <w:txbxContent>
                          <w:p w14:paraId="56DAEBC9" w14:textId="77777777" w:rsidR="008D2C68" w:rsidRDefault="008D2C68" w:rsidP="00F97B16">
                            <w:pPr>
                              <w:jc w:val="center"/>
                            </w:pPr>
                          </w:p>
                          <w:p w14:paraId="27945756" w14:textId="77777777" w:rsidR="008D2C68" w:rsidRDefault="008D2C68" w:rsidP="00F97B16">
                            <w:pPr>
                              <w:jc w:val="center"/>
                            </w:pPr>
                          </w:p>
                        </w:txbxContent>
                      </v:textbox>
                      <w10:anchorlock/>
                    </v:shape>
                  </w:pict>
                </mc:Fallback>
              </mc:AlternateContent>
            </w:r>
          </w:p>
        </w:tc>
        <w:tc>
          <w:tcPr>
            <w:tcW w:w="900" w:type="dxa"/>
            <w:vAlign w:val="center"/>
          </w:tcPr>
          <w:p w14:paraId="40BA83C6" w14:textId="77777777" w:rsidR="004E22A4" w:rsidRDefault="004E22A4" w:rsidP="004E22A4">
            <w:pPr>
              <w:jc w:val="center"/>
              <w:rPr>
                <w:color w:val="212121"/>
              </w:rPr>
            </w:pPr>
            <w:r>
              <w:rPr>
                <w:color w:val="212121"/>
              </w:rPr>
              <w:t>N/A</w:t>
            </w:r>
          </w:p>
        </w:tc>
        <w:tc>
          <w:tcPr>
            <w:tcW w:w="6784" w:type="dxa"/>
          </w:tcPr>
          <w:p w14:paraId="4E5E1666" w14:textId="4C189A56" w:rsidR="004E22A4" w:rsidRDefault="004E22A4" w:rsidP="004E22A4">
            <w:pPr>
              <w:ind w:left="432"/>
              <w:rPr>
                <w:color w:val="212121"/>
              </w:rPr>
            </w:pPr>
            <w:r w:rsidRPr="00A377C5">
              <w:t xml:space="preserve">Outbound </w:t>
            </w:r>
            <w:r>
              <w:t>t</w:t>
            </w:r>
            <w:r w:rsidRPr="00A377C5">
              <w:t>raffic restrictions (no Internet)</w:t>
            </w:r>
          </w:p>
        </w:tc>
      </w:tr>
      <w:tr w:rsidR="004E22A4" w14:paraId="5AD91A5B" w14:textId="77777777" w:rsidTr="00915020">
        <w:tc>
          <w:tcPr>
            <w:tcW w:w="895" w:type="dxa"/>
            <w:vAlign w:val="center"/>
          </w:tcPr>
          <w:p w14:paraId="0B906BD9" w14:textId="77777777" w:rsidR="004E22A4" w:rsidRDefault="004E22A4" w:rsidP="004E22A4">
            <w:pPr>
              <w:jc w:val="center"/>
              <w:rPr>
                <w:color w:val="212121"/>
              </w:rPr>
            </w:pPr>
            <w:r w:rsidRPr="00840988">
              <w:rPr>
                <w:noProof/>
              </w:rPr>
              <mc:AlternateContent>
                <mc:Choice Requires="wps">
                  <w:drawing>
                    <wp:inline distT="0" distB="0" distL="0" distR="0" wp14:anchorId="7B0D426F" wp14:editId="46BA88AC">
                      <wp:extent cx="210553" cy="190500"/>
                      <wp:effectExtent l="0" t="0" r="18415" b="19050"/>
                      <wp:docPr id="1546650215" name="Octagon 1546650215"/>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00E74581" w14:textId="77777777" w:rsidR="008D2C68" w:rsidRDefault="008D2C68" w:rsidP="00F97B16">
                                  <w:pPr>
                                    <w:jc w:val="center"/>
                                  </w:pPr>
                                </w:p>
                                <w:p w14:paraId="43620F60"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B0D426F" id="Octagon 1546650215" o:spid="_x0000_s1080"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4l4phAIAAG8FAAAOAAAAZHJzL2Uyb0RvYy54bWysVN1r2zAQfx/sfxB6X/3RuFtDnRJSOgZl&#10;LWtHnxVZSgySTpOU2Nlfv5PsuKErFMbyoNz5vu9+d1fXvVZkL5xvwdS0OMspEYZD05pNTX8+3X76&#10;QokPzDRMgRE1PQhPrxcfP1x1di5K2IJqhCPoxPh5Z2u6DcHOs8zzrdDMn4EVBoUSnGYBWbfJGsc6&#10;9K5VVub5RdaBa6wDLrzHrzeDkC6SfykFD/dSehGIqinmFtLr0ruOb7a4YvONY3bb8jEN9g9ZaNYa&#10;DDq5umGBkZ1r/3KlW+7AgwxnHHQGUrZcpBqwmiJ/Vc3jllmRasHmeDu1yf8/t/z7/sGRtsHZVbOL&#10;iyovi4oSwzTO6p4HtgFDTiTYrs76OVo92gc3ch7JWHsvnY7/WBXpU4sPU4tFHwjHj2WRV9U5JRxF&#10;xWVe5WkE2YuxdT58FaBJJGoKQw6pt2x/5wPGRO2jVgznQbXNbatUYtxmvVKO7BkOfLXK8RdnjCYn&#10;almsYcg6UeGgRDRW5oeQ2AzMs0gREwzF5I9xLkwoR4dJO5pJjD0Znr9vOOpHU5EgOhmX7xtPFiky&#10;mDAZ69aAe8uBCsWYshz0sR8ndUcy9Os+oaBK7Yqf1tAcEBoOhp3xlt+2OJI75sMDc7gkuE64+OEe&#10;H6mgw1mNFCVbcL/f+h71EbsopaTDpaup/7VjTlCivhlE9WUxm8UtTcys+lwi404l61OJ2ekV4JgL&#10;PDGWJzLqB3UkpQP9jPdhGaOiiBmOsWvKgzsyqzAcA7wwXCyXSQ0307JwZx4tPwIh4u2pf2bOjrgM&#10;COjvcFxQNn+FzUE3jsjAchdAtgm4L30dR4BbncA5XqB4Nk75pPVyJxd/AAAA//8DAFBLAwQUAAYA&#10;CAAAACEAtdNxHNoAAAADAQAADwAAAGRycy9kb3ducmV2LnhtbEyPQWvDMAyF74P9B6NBb63dFkqX&#10;xSljUNhhNKxb2dWNtSQ0loPtNum/n7ZLd9FDPPHep3wzuk5cMMTWk4b5TIFAqrxtqdbw+bGdrkHE&#10;ZMiazhNquGKETXF/l5vM+oHe8bJPteAQipnR0KTUZ1LGqkFn4sz3SOx9++BM4jXU0gYzcLjr5EKp&#10;lXSmJW5oTI8vDVan/dlpKE9D+bouy8evsF3t3oI7zMPuoPXkYXx+ApFwTLdj+MVndCiY6ejPZKPo&#10;NPAj6W+yt1wuQBxZlQJZ5PI/e/EDAAD//wMAUEsBAi0AFAAGAAgAAAAhALaDOJL+AAAA4QEAABMA&#10;AAAAAAAAAAAAAAAAAAAAAFtDb250ZW50X1R5cGVzXS54bWxQSwECLQAUAAYACAAAACEAOP0h/9YA&#10;AACUAQAACwAAAAAAAAAAAAAAAAAvAQAAX3JlbHMvLnJlbHNQSwECLQAUAAYACAAAACEAPeJeKYQC&#10;AABvBQAADgAAAAAAAAAAAAAAAAAuAgAAZHJzL2Uyb0RvYy54bWxQSwECLQAUAAYACAAAACEAtdNx&#10;HNoAAAADAQAADwAAAAAAAAAAAAAAAADeBAAAZHJzL2Rvd25yZXYueG1sUEsFBgAAAAAEAAQA8wAA&#10;AOUFAAAAAA==&#10;" fillcolor="#c00" strokecolor="#ed7d31 [3205]" strokeweight=".5pt">
                      <v:textbox>
                        <w:txbxContent>
                          <w:p w14:paraId="00E74581" w14:textId="77777777" w:rsidR="008D2C68" w:rsidRDefault="008D2C68" w:rsidP="00F97B16">
                            <w:pPr>
                              <w:jc w:val="center"/>
                            </w:pPr>
                          </w:p>
                          <w:p w14:paraId="43620F60" w14:textId="77777777" w:rsidR="008D2C68" w:rsidRDefault="008D2C68" w:rsidP="00F97B16">
                            <w:pPr>
                              <w:jc w:val="center"/>
                            </w:pPr>
                          </w:p>
                        </w:txbxContent>
                      </v:textbox>
                      <w10:anchorlock/>
                    </v:shape>
                  </w:pict>
                </mc:Fallback>
              </mc:AlternateContent>
            </w:r>
          </w:p>
        </w:tc>
        <w:tc>
          <w:tcPr>
            <w:tcW w:w="1316" w:type="dxa"/>
            <w:vAlign w:val="center"/>
          </w:tcPr>
          <w:p w14:paraId="3E861237" w14:textId="77777777" w:rsidR="004E22A4" w:rsidRDefault="004E22A4" w:rsidP="004E22A4">
            <w:pPr>
              <w:jc w:val="center"/>
              <w:rPr>
                <w:color w:val="212121"/>
              </w:rPr>
            </w:pPr>
            <w:r w:rsidRPr="00840988">
              <w:rPr>
                <w:noProof/>
              </w:rPr>
              <mc:AlternateContent>
                <mc:Choice Requires="wps">
                  <w:drawing>
                    <wp:inline distT="0" distB="0" distL="0" distR="0" wp14:anchorId="7D19FB22" wp14:editId="68C44095">
                      <wp:extent cx="210553" cy="190500"/>
                      <wp:effectExtent l="0" t="0" r="18415" b="19050"/>
                      <wp:docPr id="87" name="Octagon 87"/>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23F4A17B" w14:textId="77777777" w:rsidR="008D2C68" w:rsidRDefault="008D2C68" w:rsidP="00F97B16">
                                  <w:pPr>
                                    <w:jc w:val="center"/>
                                  </w:pPr>
                                </w:p>
                                <w:p w14:paraId="7AE3B52F"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D19FB22" id="Octagon 87" o:spid="_x0000_s1081"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DX5fAIAAF8FAAAOAAAAZHJzL2Uyb0RvYy54bWysVF9r2zAQfx/sOwi9r7bTZm1DnRJSOgal&#10;LWtHnxVZSgSSTpOU2Nmn30l23NAVCmN+kO90v/t/p6vrzmiyEz4osDWtTkpKhOXQKLuu6c/n2y8X&#10;lITIbMM0WFHTvQj0ev7501XrZmICG9CN8ASN2DBrXU03MbpZUQS+EYaFE3DColCCNywi69dF41mL&#10;1o0uJmX5tWjBN84DFyHg7U0vpPNsX0rB44OUQUSia4qxxXz6fK7SWcyv2GztmdsoPoTB/iEKw5RF&#10;p6OpGxYZ2Xr1lymjuIcAMp5wMAVIqbjIOWA2Vfkmm6cNcyLngsUJbixT+H9m+f3u0RPV1PTinBLL&#10;DPbogUe2BkvwBsvTujBD1JN79AMXkEy5dtKb9McsSJdLuh9LKrpIOF5OqnI6PaWEo6i6LKdlLnnx&#10;qux8iN8EGJKImkLvO9eS7e5CRJ+IPqCSuwBaNbdK68z49WqpPdkxbPByWeKXgkaVI1iRcuijzlTc&#10;a5GUtf0hJCaPcVbZYx47MdpjnAsbJ4PBjE5qEn2PiqcfKw74pCrySI7Kk4+VR43sGWwclY2y4N8z&#10;oGM1hCx7PNbjKO9Exm7V5a5PMzRdraDZ4yh46HckOH6rsCV3LMRH5nEpcH1w0eMDHlJDi70aKEo2&#10;4H+/d5/wOKsopaTFJatp+LVlXlCiv1uc4svq7CxtZWbOpucTZPyxZHUssVuzBGxzhU+K45lM+KgP&#10;pPRgXvA9WCSvKGKWo++a8ugPzDL2y48vCheLRYbhJjoW7+yT44dBSPP23L0w74a5jDjQ93BYSDZ7&#10;M5s9NrXIwmIbQao8uK91HVqAW5yHc3hx0jNxzGfU67s4/wMAAP//AwBQSwMEFAAGAAgAAAAhALXT&#10;cRzaAAAAAwEAAA8AAABkcnMvZG93bnJldi54bWxMj0FrwzAMhe+D/QejQW+t3RZKl8UpY1DYYTSs&#10;W9nVjbUkNJaD7Tbpv5+2S3fRQzzx3qd8M7pOXDDE1pOG+UyBQKq8banW8Pmxna5BxGTIms4Tarhi&#10;hE1xf5ebzPqB3vGyT7XgEIqZ0dCk1GdSxqpBZ+LM90jsffvgTOI11NIGM3C46+RCqZV0piVuaEyP&#10;Lw1Wp/3ZaShPQ/m6LsvHr7Bd7d6CO8zD7qD15GF8fgKRcEy3Y/jFZ3QomOnoz2Sj6DTwI+lvsrdc&#10;LkAcWZUCWeTyP3vxAwAA//8DAFBLAQItABQABgAIAAAAIQC2gziS/gAAAOEBAAATAAAAAAAAAAAA&#10;AAAAAAAAAABbQ29udGVudF9UeXBlc10ueG1sUEsBAi0AFAAGAAgAAAAhADj9If/WAAAAlAEAAAsA&#10;AAAAAAAAAAAAAAAALwEAAF9yZWxzLy5yZWxzUEsBAi0AFAAGAAgAAAAhAP2UNfl8AgAAXwUAAA4A&#10;AAAAAAAAAAAAAAAALgIAAGRycy9lMm9Eb2MueG1sUEsBAi0AFAAGAAgAAAAhALXTcRzaAAAAAwEA&#10;AA8AAAAAAAAAAAAAAAAA1gQAAGRycy9kb3ducmV2LnhtbFBLBQYAAAAABAAEAPMAAADdBQAAAAA=&#10;" fillcolor="#c00" strokecolor="#ed7d31 [3205]" strokeweight=".5pt">
                      <v:textbox>
                        <w:txbxContent>
                          <w:p w14:paraId="23F4A17B" w14:textId="77777777" w:rsidR="008D2C68" w:rsidRDefault="008D2C68" w:rsidP="00F97B16">
                            <w:pPr>
                              <w:jc w:val="center"/>
                            </w:pPr>
                          </w:p>
                          <w:p w14:paraId="7AE3B52F" w14:textId="77777777" w:rsidR="008D2C68" w:rsidRDefault="008D2C68" w:rsidP="00F97B16">
                            <w:pPr>
                              <w:jc w:val="center"/>
                            </w:pPr>
                          </w:p>
                        </w:txbxContent>
                      </v:textbox>
                      <w10:anchorlock/>
                    </v:shape>
                  </w:pict>
                </mc:Fallback>
              </mc:AlternateContent>
            </w:r>
          </w:p>
        </w:tc>
        <w:tc>
          <w:tcPr>
            <w:tcW w:w="900" w:type="dxa"/>
            <w:vAlign w:val="center"/>
          </w:tcPr>
          <w:p w14:paraId="38758C2A" w14:textId="77777777" w:rsidR="004E22A4" w:rsidRDefault="004E22A4" w:rsidP="004E22A4">
            <w:pPr>
              <w:jc w:val="center"/>
              <w:rPr>
                <w:color w:val="212121"/>
              </w:rPr>
            </w:pPr>
            <w:r w:rsidRPr="00840988">
              <w:rPr>
                <w:noProof/>
              </w:rPr>
              <mc:AlternateContent>
                <mc:Choice Requires="wps">
                  <w:drawing>
                    <wp:inline distT="0" distB="0" distL="0" distR="0" wp14:anchorId="4BEE906F" wp14:editId="1A27D947">
                      <wp:extent cx="210553" cy="190500"/>
                      <wp:effectExtent l="0" t="0" r="18415" b="19050"/>
                      <wp:docPr id="88" name="Octagon 88"/>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0CAAD38C" w14:textId="77777777" w:rsidR="008D2C68" w:rsidRDefault="008D2C68" w:rsidP="00F97B16">
                                  <w:pPr>
                                    <w:jc w:val="center"/>
                                  </w:pPr>
                                </w:p>
                                <w:p w14:paraId="108264EC"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BEE906F" id="Octagon 88" o:spid="_x0000_s1082"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ogufAIAAF8FAAAOAAAAZHJzL2Uyb0RvYy54bWysVF9r2zAQfx/sOwi9r7bTZmtDnRJSOgal&#10;LW1HnxVZSgSSTpOU2Nmn30l23NAVCmN+kO90v/t/p8urzmiyEz4osDWtTkpKhOXQKLuu6c/nmy/n&#10;lITIbMM0WFHTvQj0av7502XrZmICG9CN8ASN2DBrXU03MbpZUQS+EYaFE3DColCCNywi69dF41mL&#10;1o0uJmX5tWjBN84DFyHg7XUvpPNsX0rB472UQUSia4qxxXz6fK7SWcwv2WztmdsoPoTB/iEKw5RF&#10;p6OpaxYZ2Xr1lymjuIcAMp5wMAVIqbjIOWA2Vfkmm6cNcyLngsUJbixT+H9m+d3uwRPV1PQcO2WZ&#10;wR7d88jWYAneYHlaF2aIenIPfuACkinXTnqT/pgF6XJJ92NJRRcJx8tJVU6np5RwFFUX5bTMJS9e&#10;lZ0P8bsAQxJRU+h951qy3W2I6BPRB1RyF0Cr5kZpnRm/Xi21JzuGDV4uS/xS0KhyBCtSDn3UmYp7&#10;LZKyto9CYvIYZ5U95rEToz3GubBxMhjM6KQm0feoePqx4oBPqiKP5Kg8+Vh51MiewcZR2SgL/j0D&#10;OlZDyLLHYz2O8k5k7FZd7vo0Z5euVtDscRQ89DsSHL9R2JJbFuID87gUuD646PEeD6mhxV4NFCUb&#10;8L/fu094nFWUUtLiktU0/NoyLyjRPyxO8UV1dpa2MjNn028TZPyxZHUssVuzBGxzhU+K45lM+KgP&#10;pPRgXvA9WCSvKGKWo++a8ugPzDL2y48vCheLRYbhJjoWb+2T44dBSPP23L0w74a5jDjQd3BYSDZ7&#10;M5s9NrXIwmIbQao8uK91HVqAW5yHc3hx0jNxzGfU67s4/wMAAP//AwBQSwMEFAAGAAgAAAAhALXT&#10;cRzaAAAAAwEAAA8AAABkcnMvZG93bnJldi54bWxMj0FrwzAMhe+D/QejQW+t3RZKl8UpY1DYYTSs&#10;W9nVjbUkNJaD7Tbpv5+2S3fRQzzx3qd8M7pOXDDE1pOG+UyBQKq8banW8Pmxna5BxGTIms4Tarhi&#10;hE1xf5ebzPqB3vGyT7XgEIqZ0dCk1GdSxqpBZ+LM90jsffvgTOI11NIGM3C46+RCqZV0piVuaEyP&#10;Lw1Wp/3ZaShPQ/m6LsvHr7Bd7d6CO8zD7qD15GF8fgKRcEy3Y/jFZ3QomOnoz2Sj6DTwI+lvsrdc&#10;LkAcWZUCWeTyP3vxAwAA//8DAFBLAQItABQABgAIAAAAIQC2gziS/gAAAOEBAAATAAAAAAAAAAAA&#10;AAAAAAAAAABbQ29udGVudF9UeXBlc10ueG1sUEsBAi0AFAAGAAgAAAAhADj9If/WAAAAlAEAAAsA&#10;AAAAAAAAAAAAAAAALwEAAF9yZWxzLy5yZWxzUEsBAi0AFAAGAAgAAAAhAKOSiC58AgAAXwUAAA4A&#10;AAAAAAAAAAAAAAAALgIAAGRycy9lMm9Eb2MueG1sUEsBAi0AFAAGAAgAAAAhALXTcRzaAAAAAwEA&#10;AA8AAAAAAAAAAAAAAAAA1gQAAGRycy9kb3ducmV2LnhtbFBLBQYAAAAABAAEAPMAAADdBQAAAAA=&#10;" fillcolor="#c00" strokecolor="#ed7d31 [3205]" strokeweight=".5pt">
                      <v:textbox>
                        <w:txbxContent>
                          <w:p w14:paraId="0CAAD38C" w14:textId="77777777" w:rsidR="008D2C68" w:rsidRDefault="008D2C68" w:rsidP="00F97B16">
                            <w:pPr>
                              <w:jc w:val="center"/>
                            </w:pPr>
                          </w:p>
                          <w:p w14:paraId="108264EC" w14:textId="77777777" w:rsidR="008D2C68" w:rsidRDefault="008D2C68" w:rsidP="00F97B16">
                            <w:pPr>
                              <w:jc w:val="center"/>
                            </w:pPr>
                          </w:p>
                        </w:txbxContent>
                      </v:textbox>
                      <w10:anchorlock/>
                    </v:shape>
                  </w:pict>
                </mc:Fallback>
              </mc:AlternateContent>
            </w:r>
          </w:p>
        </w:tc>
        <w:tc>
          <w:tcPr>
            <w:tcW w:w="6784" w:type="dxa"/>
          </w:tcPr>
          <w:p w14:paraId="108F0C57" w14:textId="1318FA36" w:rsidR="004E22A4" w:rsidRDefault="004E22A4" w:rsidP="004E22A4">
            <w:pPr>
              <w:ind w:left="432"/>
              <w:rPr>
                <w:color w:val="212121"/>
              </w:rPr>
            </w:pPr>
            <w:r w:rsidRPr="00A377C5">
              <w:t xml:space="preserve">Inbound </w:t>
            </w:r>
            <w:r>
              <w:t>t</w:t>
            </w:r>
            <w:r w:rsidRPr="00A377C5">
              <w:t>raffic restrictions (default block)</w:t>
            </w:r>
          </w:p>
        </w:tc>
      </w:tr>
      <w:tr w:rsidR="004E22A4" w14:paraId="16D40ADC" w14:textId="77777777" w:rsidTr="00915020">
        <w:tc>
          <w:tcPr>
            <w:tcW w:w="895" w:type="dxa"/>
            <w:vAlign w:val="center"/>
          </w:tcPr>
          <w:p w14:paraId="55D4EA1A" w14:textId="77777777" w:rsidR="004E22A4" w:rsidRPr="002B0537" w:rsidRDefault="004E22A4" w:rsidP="004E22A4">
            <w:pPr>
              <w:jc w:val="center"/>
              <w:rPr>
                <w:noProof/>
              </w:rPr>
            </w:pPr>
            <w:r w:rsidRPr="002B0537">
              <w:rPr>
                <w:noProof/>
              </w:rPr>
              <mc:AlternateContent>
                <mc:Choice Requires="wps">
                  <w:drawing>
                    <wp:inline distT="0" distB="0" distL="0" distR="0" wp14:anchorId="05C7424D" wp14:editId="48473EB7">
                      <wp:extent cx="210553" cy="190500"/>
                      <wp:effectExtent l="0" t="0" r="18415" b="19050"/>
                      <wp:docPr id="256" name="Octagon 256"/>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75667B03" w14:textId="77777777" w:rsidR="008D2C68" w:rsidRDefault="008D2C68" w:rsidP="00F97B16">
                                  <w:pPr>
                                    <w:jc w:val="center"/>
                                  </w:pPr>
                                </w:p>
                                <w:p w14:paraId="778A14A7"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5C7424D" id="Octagon 256" o:spid="_x0000_s1083"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uj+fwIAAGEFAAAOAAAAZHJzL2Uyb0RvYy54bWysVN1r2zAQfx/sfxB6X/3RpFtDnBJSOgal&#10;LW1HnxVZSgSyTpOU2Nlfv5PsuKErFMb8IN/pvu9+p/lV12iyF84rMBUtznJKhOFQK7Op6M/nmy/f&#10;KPGBmZppMKKiB+Hp1eLzp3lrZ6KELehaOIJOjJ+1tqLbEOwsyzzfiob5M7DCoFCCa1hA1m2y2rEW&#10;vTc6K/P8ImvB1dYBF97j7XUvpIvkX0rBw72UXgSiK4q5hXS6dK7jmS3mbLZxzG4VH9Jg/5BFw5TB&#10;oKOraxYY2Tn1l6tGcQceZDjj0GQgpeIi1YDVFPmbap62zIpUCzbH27FN/v+55Xf7B0dUXdFyekGJ&#10;YQ0O6Z4HtgFD4hU2qLV+hnpP9sENnEcyVttJ18Q/1kG61NTD2FTRBcLxsizy6fScEo6i4jKf5qnp&#10;2auxdT58F9CQSFQU+uCpm2x/6wPGRO2jVgznQav6RmmdGLdZr7Qje4YjXq1y/GLSaHKilsUa+qwT&#10;FQ5aRGNtHoXE8jHPIkVMwBOjP8a5MKEcHCbtaCYx9mh4/rHhoB9NRQLlaFx+bDxapMhgwmjcKAPu&#10;PQc6FEPKstfHfpzUHcnQrbs0d5zNMNU11AcEg4N+S7zlNwpHcst8eGAO1wIXCFc93OMhNbQ4q4Gi&#10;ZAvu93v3UR/RilJKWlyzivpfO+YEJfqHQRxfFpNJ3MvETKZfS2TcqWR9KjG7ZgU45gIfFcsTGfWD&#10;PpLSQfOCL8IyRkURMxxjV5QHd2RWoV9/fFO4WC6TGu6iZeHWPFl+BELE23P3wpwdcBkQ0HdwXEk2&#10;e4PNXjeOyMByF0CqBNzY6r6vwwhwjxM4hzcnPhSnfNJ6fRkXfwAAAP//AwBQSwMEFAAGAAgAAAAh&#10;ALXTcRzaAAAAAwEAAA8AAABkcnMvZG93bnJldi54bWxMj0FrwzAMhe+D/QejQW+t3RZKl8UpY1DY&#10;YTSsW9nVjbUkNJaD7Tbpv5+2S3fRQzzx3qd8M7pOXDDE1pOG+UyBQKq8banW8Pmxna5BxGTIms4T&#10;arhihE1xf5ebzPqB3vGyT7XgEIqZ0dCk1GdSxqpBZ+LM90jsffvgTOI11NIGM3C46+RCqZV0piVu&#10;aEyPLw1Wp/3ZaShPQ/m6LsvHr7Bd7d6CO8zD7qD15GF8fgKRcEy3Y/jFZ3QomOnoz2Sj6DTwI+lv&#10;srdcLkAcWZUCWeTyP3vxAwAA//8DAFBLAQItABQABgAIAAAAIQC2gziS/gAAAOEBAAATAAAAAAAA&#10;AAAAAAAAAAAAAABbQ29udGVudF9UeXBlc10ueG1sUEsBAi0AFAAGAAgAAAAhADj9If/WAAAAlAEA&#10;AAsAAAAAAAAAAAAAAAAALwEAAF9yZWxzLy5yZWxzUEsBAi0AFAAGAAgAAAAhAD3+6P5/AgAAYQUA&#10;AA4AAAAAAAAAAAAAAAAALgIAAGRycy9lMm9Eb2MueG1sUEsBAi0AFAAGAAgAAAAhALXTcRzaAAAA&#10;AwEAAA8AAAAAAAAAAAAAAAAA2QQAAGRycy9kb3ducmV2LnhtbFBLBQYAAAAABAAEAPMAAADgBQAA&#10;AAA=&#10;" fillcolor="#c00" strokecolor="#ed7d31 [3205]" strokeweight=".5pt">
                      <v:textbox>
                        <w:txbxContent>
                          <w:p w14:paraId="75667B03" w14:textId="77777777" w:rsidR="008D2C68" w:rsidRDefault="008D2C68" w:rsidP="00F97B16">
                            <w:pPr>
                              <w:jc w:val="center"/>
                            </w:pPr>
                          </w:p>
                          <w:p w14:paraId="778A14A7" w14:textId="77777777" w:rsidR="008D2C68" w:rsidRDefault="008D2C68" w:rsidP="00F97B16">
                            <w:pPr>
                              <w:jc w:val="center"/>
                            </w:pPr>
                          </w:p>
                        </w:txbxContent>
                      </v:textbox>
                      <w10:anchorlock/>
                    </v:shape>
                  </w:pict>
                </mc:Fallback>
              </mc:AlternateContent>
            </w:r>
          </w:p>
        </w:tc>
        <w:tc>
          <w:tcPr>
            <w:tcW w:w="1316" w:type="dxa"/>
            <w:vAlign w:val="center"/>
          </w:tcPr>
          <w:p w14:paraId="6425C780" w14:textId="77777777" w:rsidR="004E22A4" w:rsidRPr="002B0537" w:rsidRDefault="004E22A4" w:rsidP="004E22A4">
            <w:pPr>
              <w:jc w:val="center"/>
              <w:rPr>
                <w:noProof/>
              </w:rPr>
            </w:pPr>
            <w:r w:rsidRPr="002B0537">
              <w:rPr>
                <w:rFonts w:eastAsia="Arial" w:cs="Segoe UI"/>
                <w:noProof/>
                <w:sz w:val="20"/>
                <w:szCs w:val="20"/>
              </w:rPr>
              <mc:AlternateContent>
                <mc:Choice Requires="wps">
                  <w:drawing>
                    <wp:inline distT="0" distB="0" distL="0" distR="0" wp14:anchorId="703DDBE7" wp14:editId="102A1C90">
                      <wp:extent cx="209550" cy="180975"/>
                      <wp:effectExtent l="19050" t="19050" r="38100" b="28575"/>
                      <wp:docPr id="263" name="Isosceles Triangle 2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F896942" id="Isosceles Triangle 263"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O1ehwIAAHMFAAAOAAAAZHJzL2Uyb0RvYy54bWysVNtqGzEQfS/0H4Tem107cS5L1sE4uARM&#10;YpqUPMtayRbValRJ9tr9+o60l6RpIFD6IiTNmfuZub451JrshfMKTElHJzklwnColNmU9PvT4ssl&#10;JT4wUzENRpT0KDy9mX7+dN3YQoxhC7oSjqAR44vGlnQbgi2yzPOtqJk/ASsMCiW4mgV8uk1WOdag&#10;9Vpn4zw/zxpwlXXAhff4e9sK6TTZl1Lw8CClF4HokmJsIZ0unet4ZtNrVmwcs1vFuzDYP0RRM2XQ&#10;6WDqlgVGdk79ZapW3IEHGU441BlIqbhIOWA2o/xNNo9bZkXKBYvj7VAm///M8vv9yhFVlXR8fkqJ&#10;YTU26c6D50ILT56cYmajBYlSrFVjfYEqj3blYrbeLoH/8CjI/pDEh+8wB+nqiMVcySEV/jgUXhwC&#10;4fg5zq8mE2wPR9HoMr+6mERnGSt6Zet8+CqgJvFS0tCFlUrO9ksfWngPS7GBVtVCaZ0ebrOea0f2&#10;DHmwWMzzPLUePfgXWMqhDTslEI5aRGVtvgmJNcJAR8ljYqcY7DHOhQnnXcgJHdUk+h4UTz9W7PBR&#10;VSTmDsrjj5UHjeQZTBiUa2XAvWdAh1EXsmzxXRd9m3cswRqqI9LDQTs33vKFwgYsmQ8r5nBQsGc4&#10;/OEBD6mhKSl0N0q24H699x/xyF+UUtLg4JXU/9wxJyjRdwaZfTU6O4uTmh5nk4sxPtxryfq1xOzq&#10;OWBPR7hmLE/XiA+6v0oH9TPuiFn0iiJmOPouKQ+uf8xDuxBwy3AxmyUYTqdlYWkeLe+7Hsn1dHhm&#10;zvYsRPreQz+krHhDxBYb+2FgtgsgVWLpS127euNkJ653WyiujtfvhHrZldPfAAAA//8DAFBLAwQU&#10;AAYACAAAACEASkqQ6t0AAAADAQAADwAAAGRycy9kb3ducmV2LnhtbEyPQUvDQBCF74L/YRnBi9iN&#10;bZU0ZlNUsFAPgq1oe9tmp0lwdzZkt038945e6uXB4w3vfZPPB2fFEbvQeFJwM0pAIJXeNFQpeF8/&#10;X6cgQtRktPWECr4xwLw4P8t1ZnxPb3hcxUpwCYVMK6hjbDMpQ1mj02HkWyTO9r5zOrLtKmk63XO5&#10;s3KcJHfS6YZ4odYtPtVYfq0OTsGyX38+Xr3uN9PZ0m7bl34xTWcfSl1eDA/3ICIO8XQMv/iMDgUz&#10;7fyBTBBWAT8S/5SzyYTdTsE4vQVZ5PI/e/EDAAD//wMAUEsBAi0AFAAGAAgAAAAhALaDOJL+AAAA&#10;4QEAABMAAAAAAAAAAAAAAAAAAAAAAFtDb250ZW50X1R5cGVzXS54bWxQSwECLQAUAAYACAAAACEA&#10;OP0h/9YAAACUAQAACwAAAAAAAAAAAAAAAAAvAQAAX3JlbHMvLnJlbHNQSwECLQAUAAYACAAAACEA&#10;daDtXocCAABzBQAADgAAAAAAAAAAAAAAAAAuAgAAZHJzL2Uyb0RvYy54bWxQSwECLQAUAAYACAAA&#10;ACEASkqQ6t0AAAADAQAADwAAAAAAAAAAAAAAAADhBAAAZHJzL2Rvd25yZXYueG1sUEsFBgAAAAAE&#10;AAQA8wAAAOsFAAAAAA==&#10;" fillcolor="#ffc000" strokecolor="#70ad47 [3209]" strokeweight=".5pt">
                      <v:path arrowok="t"/>
                      <w10:anchorlock/>
                    </v:shape>
                  </w:pict>
                </mc:Fallback>
              </mc:AlternateContent>
            </w:r>
          </w:p>
        </w:tc>
        <w:tc>
          <w:tcPr>
            <w:tcW w:w="900" w:type="dxa"/>
            <w:vAlign w:val="center"/>
          </w:tcPr>
          <w:p w14:paraId="18637476" w14:textId="77777777" w:rsidR="004E22A4" w:rsidRPr="002B0537" w:rsidRDefault="004E22A4" w:rsidP="004E22A4">
            <w:pPr>
              <w:jc w:val="center"/>
              <w:rPr>
                <w:noProof/>
              </w:rPr>
            </w:pPr>
            <w:r w:rsidRPr="002B0537">
              <w:rPr>
                <w:rFonts w:eastAsia="Arial" w:cs="Segoe UI"/>
                <w:noProof/>
                <w:sz w:val="20"/>
                <w:szCs w:val="20"/>
              </w:rPr>
              <mc:AlternateContent>
                <mc:Choice Requires="wps">
                  <w:drawing>
                    <wp:inline distT="0" distB="0" distL="0" distR="0" wp14:anchorId="3A968CAA" wp14:editId="3C9F331E">
                      <wp:extent cx="209550" cy="180975"/>
                      <wp:effectExtent l="19050" t="19050" r="38100" b="28575"/>
                      <wp:docPr id="264" name="Isosceles Triangle 2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3427942" id="Isosceles Triangle 264"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E/hwIAAHMFAAAOAAAAZHJzL2Uyb0RvYy54bWysVNtqGzEQfS/0H4Tem127di5L1sE4uARM&#10;EpKUPMtayRbValRJ9tr9+o60l6RpIFD6IiTNmfuZubw61JrshfMKTElHJzklwnColNmU9PvT8ss5&#10;JT4wUzENRpT0KDy9mn3+dNnYQoxhC7oSjqAR44vGlnQbgi2yzPOtqJk/ASsMCiW4mgV8uk1WOdag&#10;9Vpn4zw/zRpwlXXAhff4e90K6SzZl1LwcCelF4HokmJsIZ0unet4ZrNLVmwcs1vFuzDYP0RRM2XQ&#10;6WDqmgVGdk79ZapW3IEHGU441BlIqbhIOWA2o/xNNo9bZkXKBYvj7VAm///M8tv9vSOqKun4dEKJ&#10;YTU26caD50ILT56cYmajBYlSrFVjfYEqj/bexWy9XQH/4VGQ/SGJD99hDtLVEYu5kkMq/HEovDgE&#10;wvFznF9Mp9gejqLReX5xNo3OMlb0ytb58E1ATeKlpKELK5Wc7Vc+tPAelmIDraql0jo93Ga90I7s&#10;GfJguVzkeWo9evAvsJRDG3ZKIBy1iMraPAiJNcJAR8ljYqcY7DHOhQmnXcgJHdUk+h4Uv36s2OGj&#10;qkjMHZTHHysPGskzmDAo18qAe8+ADqMuZNniuy76Nu9YgjVUR6SHg3ZuvOVLhQ1YMR/umcNBwZ7h&#10;8Ic7PKSGpqTQ3SjZgvv13n/EI39RSkmDg1dS/3PHnKBE3xhk9sVoMomTmh6T6dkYH+61ZP1aYnb1&#10;ArCnI1wzlqdrxAfdX6WD+hl3xDx6RREzHH2XlAfXPxahXQi4ZbiYzxMMp9OysDKPlvddj+R6Ojwz&#10;Z3sWIn1voR9SVrwhYouN/TAw3wWQKrH0pa5dvXGyE9e7LRRXx+t3Qr3sytlvAAAA//8DAFBLAwQU&#10;AAYACAAAACEASkqQ6t0AAAADAQAADwAAAGRycy9kb3ducmV2LnhtbEyPQUvDQBCF74L/YRnBi9iN&#10;bZU0ZlNUsFAPgq1oe9tmp0lwdzZkt038945e6uXB4w3vfZPPB2fFEbvQeFJwM0pAIJXeNFQpeF8/&#10;X6cgQtRktPWECr4xwLw4P8t1ZnxPb3hcxUpwCYVMK6hjbDMpQ1mj02HkWyTO9r5zOrLtKmk63XO5&#10;s3KcJHfS6YZ4odYtPtVYfq0OTsGyX38+Xr3uN9PZ0m7bl34xTWcfSl1eDA/3ICIO8XQMv/iMDgUz&#10;7fyBTBBWAT8S/5SzyYTdTsE4vQVZ5PI/e/EDAAD//wMAUEsBAi0AFAAGAAgAAAAhALaDOJL+AAAA&#10;4QEAABMAAAAAAAAAAAAAAAAAAAAAAFtDb250ZW50X1R5cGVzXS54bWxQSwECLQAUAAYACAAAACEA&#10;OP0h/9YAAACUAQAACwAAAAAAAAAAAAAAAAAvAQAAX3JlbHMvLnJlbHNQSwECLQAUAAYACAAAACEA&#10;WPsxP4cCAABzBQAADgAAAAAAAAAAAAAAAAAuAgAAZHJzL2Uyb0RvYy54bWxQSwECLQAUAAYACAAA&#10;ACEASkqQ6t0AAAADAQAADwAAAAAAAAAAAAAAAADhBAAAZHJzL2Rvd25yZXYueG1sUEsFBgAAAAAE&#10;AAQA8wAAAOsFAAAAAA==&#10;" fillcolor="#ffc000" strokecolor="#70ad47 [3209]" strokeweight=".5pt">
                      <v:path arrowok="t"/>
                      <w10:anchorlock/>
                    </v:shape>
                  </w:pict>
                </mc:Fallback>
              </mc:AlternateContent>
            </w:r>
          </w:p>
        </w:tc>
        <w:tc>
          <w:tcPr>
            <w:tcW w:w="6784" w:type="dxa"/>
          </w:tcPr>
          <w:p w14:paraId="3A77891E" w14:textId="7E168611" w:rsidR="004E22A4" w:rsidRPr="002B0537" w:rsidRDefault="004E22A4" w:rsidP="004E22A4">
            <w:pPr>
              <w:ind w:left="432"/>
            </w:pPr>
            <w:r w:rsidRPr="002B0537">
              <w:t xml:space="preserve">Use of </w:t>
            </w:r>
            <w:r>
              <w:t>s</w:t>
            </w:r>
            <w:r w:rsidRPr="002B0537">
              <w:t xml:space="preserve">cheduled </w:t>
            </w:r>
            <w:r>
              <w:t>t</w:t>
            </w:r>
            <w:r w:rsidRPr="002B0537">
              <w:t>asks</w:t>
            </w:r>
          </w:p>
        </w:tc>
      </w:tr>
      <w:tr w:rsidR="004E22A4" w14:paraId="345E6C8E" w14:textId="77777777" w:rsidTr="00915020">
        <w:tc>
          <w:tcPr>
            <w:tcW w:w="895" w:type="dxa"/>
            <w:vAlign w:val="center"/>
          </w:tcPr>
          <w:p w14:paraId="5FB14DEC" w14:textId="77777777" w:rsidR="004E22A4" w:rsidRPr="003D3E14" w:rsidRDefault="004E22A4" w:rsidP="004E22A4">
            <w:pPr>
              <w:jc w:val="center"/>
              <w:rPr>
                <w:color w:val="212121"/>
              </w:rPr>
            </w:pPr>
            <w:r w:rsidRPr="003D3E14">
              <w:rPr>
                <w:noProof/>
              </w:rPr>
              <mc:AlternateContent>
                <mc:Choice Requires="wps">
                  <w:drawing>
                    <wp:inline distT="0" distB="0" distL="0" distR="0" wp14:anchorId="4278EC2D" wp14:editId="340951DD">
                      <wp:extent cx="210553" cy="190500"/>
                      <wp:effectExtent l="0" t="0" r="18415" b="19050"/>
                      <wp:docPr id="1546650216" name="Octagon 1546650216"/>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07474089" w14:textId="77777777" w:rsidR="008D2C68" w:rsidRDefault="008D2C68" w:rsidP="00F97B16">
                                  <w:pPr>
                                    <w:jc w:val="center"/>
                                  </w:pPr>
                                </w:p>
                                <w:p w14:paraId="5383709B"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278EC2D" id="Octagon 1546650216" o:spid="_x0000_s1084"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EkRhQIAAG8FAAAOAAAAZHJzL2Uyb0RvYy54bWysVN1r2zAQfx/sfxB6X/3ROFtDnBJSOgal&#10;LW1HnxVZSgyyTpOU2Nlfv5PsOKErFMbyoNz5vu9+d/PrrlFkL6yrQZc0u0gpEZpDVetNSX++3H75&#10;RonzTFdMgRYlPQhHrxefP81bMxM5bEFVwhJ0ot2sNSXdem9mSeL4VjTMXYARGoUSbMM8snaTVJa1&#10;6L1RSZ6m06QFWxkLXDiHX296IV1E/1IK7h+kdMITVVLMzcfXxncd3mQxZ7ONZWZb8yEN9g9ZNKzW&#10;GHR0dcM8Iztb/+WqqbkFB9JfcGgSkLLmItaA1WTpm2qet8yIWAs2x5mxTe7/ueX3+0dL6gpnV0ym&#10;0yLNsyklmjU4qwfu2QY0OZNgu1rjZmj1bB7twDkkQ+2dtE34x6pIF1t8GFssOk84fsyztCguKeEo&#10;yq7SIo0jSE7Gxjr/XUBDAlFS6HOIvWX7O+cxJmoftUI4B6qubmulImM365WyZM9w4KtVir8wYzQ5&#10;U0tCDX3WkfIHJYKx0k9CYjMwzyxGjDAUoz/GudA+HxxG7WAmMfZoePmx4aAfTEWE6Gicf2w8WsTI&#10;oP1o3NQa7HsOlM+GlGWvj/04qzuQvlt3EQXFJKiGT2uoDggNC/3OOMNvaxzJHXP+kVlcElwnXHz/&#10;gI9U0OKsBoqSLdjf730P+ohdlFLS4tKV1P3aMSsoUT80ovoqm0zClkZmUnzNkbHnkvW5RO+aFeCY&#10;Mzwxhkcy6Ht1JKWF5hXvwzJERRHTHGOXlHt7ZFa+PwZ4YbhYLqMabqZh/k4/G34EQsDbS/fKrBlw&#10;6RHQ93BcUDZ7g81eN4xIw3LnQdYRuKe+DiPArY7gHC5QOBvnfNQ63cnFHwAAAP//AwBQSwMEFAAG&#10;AAgAAAAhALXTcRzaAAAAAwEAAA8AAABkcnMvZG93bnJldi54bWxMj0FrwzAMhe+D/QejQW+t3RZK&#10;l8UpY1DYYTSsW9nVjbUkNJaD7Tbpv5+2S3fRQzzx3qd8M7pOXDDE1pOG+UyBQKq8banW8Pmxna5B&#10;xGTIms4TarhihE1xf5ebzPqB3vGyT7XgEIqZ0dCk1GdSxqpBZ+LM90jsffvgTOI11NIGM3C46+RC&#10;qZV0piVuaEyPLw1Wp/3ZaShPQ/m6LsvHr7Bd7d6CO8zD7qD15GF8fgKRcEy3Y/jFZ3QomOnoz2Sj&#10;6DTwI+lvsrdcLkAcWZUCWeTyP3vxAwAA//8DAFBLAQItABQABgAIAAAAIQC2gziS/gAAAOEBAAAT&#10;AAAAAAAAAAAAAAAAAAAAAABbQ29udGVudF9UeXBlc10ueG1sUEsBAi0AFAAGAAgAAAAhADj9If/W&#10;AAAAlAEAAAsAAAAAAAAAAAAAAAAALwEAAF9yZWxzLy5yZWxzUEsBAi0AFAAGAAgAAAAhACKYSRGF&#10;AgAAbwUAAA4AAAAAAAAAAAAAAAAALgIAAGRycy9lMm9Eb2MueG1sUEsBAi0AFAAGAAgAAAAhALXT&#10;cRzaAAAAAwEAAA8AAAAAAAAAAAAAAAAA3wQAAGRycy9kb3ducmV2LnhtbFBLBQYAAAAABAAEAPMA&#10;AADmBQAAAAA=&#10;" fillcolor="#c00" strokecolor="#ed7d31 [3205]" strokeweight=".5pt">
                      <v:textbox>
                        <w:txbxContent>
                          <w:p w14:paraId="07474089" w14:textId="77777777" w:rsidR="008D2C68" w:rsidRDefault="008D2C68" w:rsidP="00F97B16">
                            <w:pPr>
                              <w:jc w:val="center"/>
                            </w:pPr>
                          </w:p>
                          <w:p w14:paraId="5383709B" w14:textId="77777777" w:rsidR="008D2C68" w:rsidRDefault="008D2C68" w:rsidP="00F97B16">
                            <w:pPr>
                              <w:jc w:val="center"/>
                            </w:pPr>
                          </w:p>
                        </w:txbxContent>
                      </v:textbox>
                      <w10:anchorlock/>
                    </v:shape>
                  </w:pict>
                </mc:Fallback>
              </mc:AlternateContent>
            </w:r>
          </w:p>
        </w:tc>
        <w:tc>
          <w:tcPr>
            <w:tcW w:w="1316" w:type="dxa"/>
            <w:vAlign w:val="center"/>
          </w:tcPr>
          <w:p w14:paraId="300732D3" w14:textId="77777777" w:rsidR="004E22A4" w:rsidRPr="003D3E14" w:rsidRDefault="004E22A4" w:rsidP="004E22A4">
            <w:pPr>
              <w:jc w:val="center"/>
              <w:rPr>
                <w:color w:val="212121"/>
              </w:rPr>
            </w:pPr>
            <w:r w:rsidRPr="003D3E14">
              <w:rPr>
                <w:noProof/>
              </w:rPr>
              <mc:AlternateContent>
                <mc:Choice Requires="wps">
                  <w:drawing>
                    <wp:inline distT="0" distB="0" distL="0" distR="0" wp14:anchorId="64966B1E" wp14:editId="799843F3">
                      <wp:extent cx="210553" cy="190500"/>
                      <wp:effectExtent l="0" t="0" r="18415" b="19050"/>
                      <wp:docPr id="98" name="Octagon 98"/>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7483C3EC" w14:textId="77777777" w:rsidR="008D2C68" w:rsidRDefault="008D2C68" w:rsidP="00F97B16">
                                  <w:pPr>
                                    <w:jc w:val="center"/>
                                  </w:pPr>
                                </w:p>
                                <w:p w14:paraId="7E0017DC"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4966B1E" id="Octagon 98" o:spid="_x0000_s1085"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dzCfQIAAF8FAAAOAAAAZHJzL2Uyb0RvYy54bWysVF9r2zAQfx/sOwi9r7bTZltDnRJSOgal&#10;DWtHnxVZSgSSTpOU2Nmn30l23NAVCmN+kO90v/t/p6vrzmiyFz4osDWtzkpKhOXQKLup6c+n209f&#10;KQmR2YZpsKKmBxHo9fzjh6vWzcQEtqAb4QkasWHWuppuY3Szogh8KwwLZ+CERaEEb1hE1m+KxrMW&#10;rRtdTMryc9GCb5wHLkLA25teSOfZvpSCxwcpg4hE1xRji/n0+Vyns5hfsdnGM7dVfAiD/UMUhimL&#10;TkdTNywysvPqL1NGcQ8BZDzjYAqQUnGRc8BsqvJVNo9b5kTOBYsT3Fim8P/M8vv9yhPV1PQSO2WZ&#10;wR498Mg2YAneYHlaF2aIenQrP3AByZRrJ71Jf8yCdLmkh7GkoouE4+WkKqfTc0o4iqrLclrmkhcv&#10;ys6H+E2AIYmoKfS+cy3Z/i5E9InoIyq5C6BVc6u0zozfrJfakz3DBi+XJX4paFQ5gRUphz7qTMWD&#10;FklZ2x9CYvIYZ5U95rEToz3GubBxMhjM6KQm0feoeP6+4oBPqiKP5Kg8eV951MiewcZR2SgL/i0D&#10;OlZDyLLHYz1O8k5k7NZd7vp0mqDpag3NAUfBQ78jwfFbhS25YyGumMelwPXBRY8PeEgNLfZqoCjZ&#10;gv/91n3C46yilJIWl6ym4deOeUGJ/m5xii+ri4u0lZm5mH6ZIONPJetTid2ZJWCbK3xSHM9kwkd9&#10;JKUH84zvwSJ5RRGzHH3XlEd/ZJaxX358UbhYLDIMN9GxeGcfHT8OQpq3p+6ZeTfMZcSBvofjQrLZ&#10;q9nssalFFha7CFLlwX2p69AC3OI8nMOLk56JUz6jXt7F+R8AAAD//wMAUEsDBBQABgAIAAAAIQC1&#10;03Ec2gAAAAMBAAAPAAAAZHJzL2Rvd25yZXYueG1sTI9Ba8MwDIXvg/0Ho0Fvrd0WSpfFKWNQ2GE0&#10;rFvZ1Y21JDSWg+026b+ftkt30UM88d6nfDO6TlwwxNaThvlMgUCqvG2p1vD5sZ2uQcRkyJrOE2q4&#10;YoRNcX+Xm8z6gd7xsk+14BCKmdHQpNRnUsaqQWfizPdI7H374EziNdTSBjNwuOvkQqmVdKYlbmhM&#10;jy8NVqf92WkoT0P5ui7Lx6+wXe3egjvMw+6g9eRhfH4CkXBMt2P4xWd0KJjp6M9ko+g08CPpb7K3&#10;XC5AHFmVAlnk8j978QMAAP//AwBQSwECLQAUAAYACAAAACEAtoM4kv4AAADhAQAAEwAAAAAAAAAA&#10;AAAAAAAAAAAAW0NvbnRlbnRfVHlwZXNdLnhtbFBLAQItABQABgAIAAAAIQA4/SH/1gAAAJQBAAAL&#10;AAAAAAAAAAAAAAAAAC8BAABfcmVscy8ucmVsc1BLAQItABQABgAIAAAAIQBKsdzCfQIAAF8FAAAO&#10;AAAAAAAAAAAAAAAAAC4CAABkcnMvZTJvRG9jLnhtbFBLAQItABQABgAIAAAAIQC103Ec2gAAAAMB&#10;AAAPAAAAAAAAAAAAAAAAANcEAABkcnMvZG93bnJldi54bWxQSwUGAAAAAAQABADzAAAA3gUAAAAA&#10;" fillcolor="#c00" strokecolor="#ed7d31 [3205]" strokeweight=".5pt">
                      <v:textbox>
                        <w:txbxContent>
                          <w:p w14:paraId="7483C3EC" w14:textId="77777777" w:rsidR="008D2C68" w:rsidRDefault="008D2C68" w:rsidP="00F97B16">
                            <w:pPr>
                              <w:jc w:val="center"/>
                            </w:pPr>
                          </w:p>
                          <w:p w14:paraId="7E0017DC" w14:textId="77777777" w:rsidR="008D2C68" w:rsidRDefault="008D2C68" w:rsidP="00F97B16">
                            <w:pPr>
                              <w:jc w:val="center"/>
                            </w:pPr>
                          </w:p>
                        </w:txbxContent>
                      </v:textbox>
                      <w10:anchorlock/>
                    </v:shape>
                  </w:pict>
                </mc:Fallback>
              </mc:AlternateContent>
            </w:r>
          </w:p>
        </w:tc>
        <w:tc>
          <w:tcPr>
            <w:tcW w:w="900" w:type="dxa"/>
            <w:vAlign w:val="center"/>
          </w:tcPr>
          <w:p w14:paraId="1F358532" w14:textId="77777777" w:rsidR="004E22A4" w:rsidRPr="003D3E14" w:rsidRDefault="004E22A4" w:rsidP="004E22A4">
            <w:pPr>
              <w:jc w:val="center"/>
              <w:rPr>
                <w:color w:val="212121"/>
              </w:rPr>
            </w:pPr>
            <w:r w:rsidRPr="003D3E14">
              <w:rPr>
                <w:noProof/>
              </w:rPr>
              <mc:AlternateContent>
                <mc:Choice Requires="wps">
                  <w:drawing>
                    <wp:inline distT="0" distB="0" distL="0" distR="0" wp14:anchorId="6173AA40" wp14:editId="2D574586">
                      <wp:extent cx="210553" cy="190500"/>
                      <wp:effectExtent l="0" t="0" r="18415" b="19050"/>
                      <wp:docPr id="124" name="Octagon 124"/>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64A05F1C" w14:textId="77777777" w:rsidR="008D2C68" w:rsidRDefault="008D2C68" w:rsidP="00F97B16">
                                  <w:pPr>
                                    <w:jc w:val="center"/>
                                  </w:pPr>
                                </w:p>
                                <w:p w14:paraId="776DAFAD"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173AA40" id="Octagon 124" o:spid="_x0000_s1086"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1sIfgIAAGEFAAAOAAAAZHJzL2Uyb0RvYy54bWysVN1r2zAQfx/sfxB6X/3RpFtDnRJSOgal&#10;DW1HnxVZSgySTpOU2Nlfv5PsuKErFMb8IN/pfvd9p6vrTiuyF843YCpanOWUCMOhbsymoj+fb798&#10;o8QHZmqmwIiKHoSn1/PPn65aOxMlbEHVwhE0YvystRXdhmBnWeb5Vmjmz8AKg0IJTrOArNtktWMt&#10;WtcqK/P8ImvB1dYBF97j7U0vpPNkX0rBw4OUXgSiKoqxhXS6dK7jmc2v2GzjmN02fAiD/UMUmjUG&#10;nY6mblhgZOeav0zphjvwIMMZB52BlA0XKQfMpsjfZPO0ZVakXLA43o5l8v/PLL/frxxpauxdOaHE&#10;MI1NeuCBbcCQeIUFaq2fIe7JrtzAeSRjtp10Ov4xD9Kloh7GooouEI6XZZFPp+eUcBQVl/k0T0XP&#10;XpWt8+G7AE0iUVHonadqsv2dD+gT0UdUdOdBNfVto1Ri3Ga9VI7sGbZ4uczxi0Gjygksizn0UScq&#10;HJSIyso8ConpY5xF8pgGT4z2GOfChHIwmNBRTaLvUfH8Y8UBH1VFGspRufxYedRInsGEUVk3Btx7&#10;BlQohpBlj8d6nOQdydCtu9T36UWExqs11AccBgf9lnjLbxtsyR3zYcUcrgUuEK56eMBDKmixVwNF&#10;yRbc7/fuIx6nFaWUtLhmFfW/dswJStQPg3N8WUwmcS8TM5l+LZFxp5L1qcTs9BKwzQU+KpYnMuKD&#10;OpLSgX7BF2ERvaKIGY6+K8qDOzLL0K8/vilcLBYJhrtoWbgzT5YfByHO23P3wpwd5jLgQN/DcSXZ&#10;7M1s9tjYIgOLXQDZpMF9revQAtzjNJzDmxMfilM+oV5fxvkfAAAA//8DAFBLAwQUAAYACAAAACEA&#10;tdNxHNoAAAADAQAADwAAAGRycy9kb3ducmV2LnhtbEyPQWvDMAyF74P9B6NBb63dFkqXxSljUNhh&#10;NKxb2dWNtSQ0loPtNum/n7ZLd9FDPPHep3wzuk5cMMTWk4b5TIFAqrxtqdbw+bGdrkHEZMiazhNq&#10;uGKETXF/l5vM+oHe8bJPteAQipnR0KTUZ1LGqkFn4sz3SOx9++BM4jXU0gYzcLjr5EKplXSmJW5o&#10;TI8vDVan/dlpKE9D+bouy8evsF3t3oI7zMPuoPXkYXx+ApFwTLdj+MVndCiY6ejPZKPoNPAj6W+y&#10;t1wuQBxZlQJZ5PI/e/EDAAD//wMAUEsBAi0AFAAGAAgAAAAhALaDOJL+AAAA4QEAABMAAAAAAAAA&#10;AAAAAAAAAAAAAFtDb250ZW50X1R5cGVzXS54bWxQSwECLQAUAAYACAAAACEAOP0h/9YAAACUAQAA&#10;CwAAAAAAAAAAAAAAAAAvAQAAX3JlbHMvLnJlbHNQSwECLQAUAAYACAAAACEAWjNbCH4CAABhBQAA&#10;DgAAAAAAAAAAAAAAAAAuAgAAZHJzL2Uyb0RvYy54bWxQSwECLQAUAAYACAAAACEAtdNxHNoAAAAD&#10;AQAADwAAAAAAAAAAAAAAAADYBAAAZHJzL2Rvd25yZXYueG1sUEsFBgAAAAAEAAQA8wAAAN8FAAAA&#10;AA==&#10;" fillcolor="#c00" strokecolor="#ed7d31 [3205]" strokeweight=".5pt">
                      <v:textbox>
                        <w:txbxContent>
                          <w:p w14:paraId="64A05F1C" w14:textId="77777777" w:rsidR="008D2C68" w:rsidRDefault="008D2C68" w:rsidP="00F97B16">
                            <w:pPr>
                              <w:jc w:val="center"/>
                            </w:pPr>
                          </w:p>
                          <w:p w14:paraId="776DAFAD" w14:textId="77777777" w:rsidR="008D2C68" w:rsidRDefault="008D2C68" w:rsidP="00F97B16">
                            <w:pPr>
                              <w:jc w:val="center"/>
                            </w:pPr>
                          </w:p>
                        </w:txbxContent>
                      </v:textbox>
                      <w10:anchorlock/>
                    </v:shape>
                  </w:pict>
                </mc:Fallback>
              </mc:AlternateContent>
            </w:r>
            <w:r w:rsidRPr="003D3E14">
              <w:rPr>
                <w:rStyle w:val="FootnoteReference"/>
                <w:color w:val="212121"/>
              </w:rPr>
              <w:footnoteReference w:id="14"/>
            </w:r>
          </w:p>
        </w:tc>
        <w:tc>
          <w:tcPr>
            <w:tcW w:w="6784" w:type="dxa"/>
          </w:tcPr>
          <w:p w14:paraId="6343A003" w14:textId="167E4A3D" w:rsidR="004E22A4" w:rsidRDefault="004E22A4" w:rsidP="004E22A4">
            <w:pPr>
              <w:ind w:left="432"/>
              <w:rPr>
                <w:color w:val="212121"/>
              </w:rPr>
            </w:pPr>
            <w:r w:rsidRPr="003D3E14">
              <w:t xml:space="preserve">Logon </w:t>
            </w:r>
            <w:r>
              <w:t>r</w:t>
            </w:r>
            <w:r w:rsidRPr="003D3E14">
              <w:t>estrictions</w:t>
            </w:r>
          </w:p>
        </w:tc>
      </w:tr>
      <w:tr w:rsidR="004E22A4" w14:paraId="3E8D26AE" w14:textId="77777777" w:rsidTr="00915020">
        <w:tc>
          <w:tcPr>
            <w:tcW w:w="895" w:type="dxa"/>
            <w:vAlign w:val="center"/>
          </w:tcPr>
          <w:p w14:paraId="257758C8" w14:textId="77777777" w:rsidR="004E22A4" w:rsidRDefault="004E22A4" w:rsidP="004E22A4">
            <w:pPr>
              <w:jc w:val="center"/>
              <w:rPr>
                <w:color w:val="212121"/>
              </w:rPr>
            </w:pPr>
            <w:r w:rsidRPr="00840988">
              <w:rPr>
                <w:noProof/>
              </w:rPr>
              <mc:AlternateContent>
                <mc:Choice Requires="wps">
                  <w:drawing>
                    <wp:inline distT="0" distB="0" distL="0" distR="0" wp14:anchorId="0812EB38" wp14:editId="58D66609">
                      <wp:extent cx="210553" cy="190500"/>
                      <wp:effectExtent l="0" t="0" r="18415" b="19050"/>
                      <wp:docPr id="1546650217" name="Octagon 1546650217"/>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45F97F60" w14:textId="77777777" w:rsidR="008D2C68" w:rsidRDefault="008D2C68" w:rsidP="00F97B16">
                                  <w:pPr>
                                    <w:jc w:val="center"/>
                                  </w:pPr>
                                </w:p>
                                <w:p w14:paraId="0F9865B6"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812EB38" id="Octagon 1546650217" o:spid="_x0000_s1087"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Px9hQIAAG8FAAAOAAAAZHJzL2Uyb0RvYy54bWysVN1r2zAQfx/sfxB6X/3RuF1DnBJSMgal&#10;DWtHnxVZSgyyTpOU2Nlfv5PsuKErFMbyoNz5vu9+d7PbrlHkIKyrQZc0u0gpEZpDVettSX8+r758&#10;pcR5piumQIuSHoWjt/PPn2atmYocdqAqYQk60W7ampLuvDfTJHF8JxrmLsAIjUIJtmEeWbtNKsta&#10;9N6oJE/Tq6QFWxkLXDiHX+96IZ1H/1IK7h+ldMITVVLMzcfXxncT3mQ+Y9OtZWZX8yEN9g9ZNKzW&#10;GHR0dcc8I3tb/+WqqbkFB9JfcGgSkLLmItaA1WTpm2qedsyIWAs2x5mxTe7/ueUPh7UldYWzKyZX&#10;V0WaZ9eUaNbgrB65Z1vQ5EyC7WqNm6LVk1nbgXNIhto7aZvwj1WRLrb4OLZYdJ5w/JhnaVFcUsJR&#10;lN2kRRpHkLwaG+v8NwENCURJoc8h9pYd7p3HmKh90grhHKi6WtVKRcZuN0tlyYHhwJfLFH9hxmhy&#10;ppaEGvqsI+WPSgRjpX8Iic3APLMYMcJQjP4Y50L7fHAYtYOZxNij4eXHhoN+MBURoqNx/rHxaBEj&#10;g/ajcVNrsO85UD4bUpa9PvbjrO5A+m7TRRQU10E1fNpAdURoWOh3xhm+qnEk98z5NbO4JLhOuPj+&#10;ER+poMVZDRQlO7C/3/se9BG7KKWkxaUrqfu1Z1ZQor5rRPVNNpmELY3MpLjOkbHnks25RO+bJeCY&#10;Mzwxhkcy6Ht1IqWF5gXvwyJERRHTHGOXlHt7Ypa+PwZ4YbhYLKIabqZh/l4/GX4CQsDbc/fCrBlw&#10;6RHQD3BaUDZ9g81eN4xIw2LvQdYRuK99HUaAWx3BOVygcDbO+aj1eifnfwAAAP//AwBQSwMEFAAG&#10;AAgAAAAhALXTcRzaAAAAAwEAAA8AAABkcnMvZG93bnJldi54bWxMj0FrwzAMhe+D/QejQW+t3RZK&#10;l8UpY1DYYTSsW9nVjbUkNJaD7Tbpv5+2S3fRQzzx3qd8M7pOXDDE1pOG+UyBQKq8banW8Pmxna5B&#10;xGTIms4TarhihE1xf5ebzPqB3vGyT7XgEIqZ0dCk1GdSxqpBZ+LM90jsffvgTOI11NIGM3C46+RC&#10;qZV0piVuaEyPLw1Wp/3ZaShPQ/m6LsvHr7Bd7d6CO8zD7qD15GF8fgKRcEy3Y/jFZ3QomOnoz2Sj&#10;6DTwI+lvsrdcLkAcWZUCWeTyP3vxAwAA//8DAFBLAQItABQABgAIAAAAIQC2gziS/gAAAOEBAAAT&#10;AAAAAAAAAAAAAAAAAAAAAABbQ29udGVudF9UeXBlc10ueG1sUEsBAi0AFAAGAAgAAAAhADj9If/W&#10;AAAAlAEAAAsAAAAAAAAAAAAAAAAALwEAAF9yZWxzLy5yZWxzUEsBAi0AFAAGAAgAAAAhAGWQ/H2F&#10;AgAAbwUAAA4AAAAAAAAAAAAAAAAALgIAAGRycy9lMm9Eb2MueG1sUEsBAi0AFAAGAAgAAAAhALXT&#10;cRzaAAAAAwEAAA8AAAAAAAAAAAAAAAAA3wQAAGRycy9kb3ducmV2LnhtbFBLBQYAAAAABAAEAPMA&#10;AADmBQAAAAA=&#10;" fillcolor="#c00" strokecolor="#ed7d31 [3205]" strokeweight=".5pt">
                      <v:textbox>
                        <w:txbxContent>
                          <w:p w14:paraId="45F97F60" w14:textId="77777777" w:rsidR="008D2C68" w:rsidRDefault="008D2C68" w:rsidP="00F97B16">
                            <w:pPr>
                              <w:jc w:val="center"/>
                            </w:pPr>
                          </w:p>
                          <w:p w14:paraId="0F9865B6" w14:textId="77777777" w:rsidR="008D2C68" w:rsidRDefault="008D2C68" w:rsidP="00F97B16">
                            <w:pPr>
                              <w:jc w:val="center"/>
                            </w:pPr>
                          </w:p>
                        </w:txbxContent>
                      </v:textbox>
                      <w10:anchorlock/>
                    </v:shape>
                  </w:pict>
                </mc:Fallback>
              </mc:AlternateContent>
            </w:r>
          </w:p>
        </w:tc>
        <w:tc>
          <w:tcPr>
            <w:tcW w:w="1316" w:type="dxa"/>
            <w:vAlign w:val="center"/>
          </w:tcPr>
          <w:p w14:paraId="6E95B849" w14:textId="77777777" w:rsidR="004E22A4" w:rsidRDefault="004E22A4" w:rsidP="004E22A4">
            <w:pPr>
              <w:jc w:val="center"/>
              <w:rPr>
                <w:color w:val="212121"/>
              </w:rPr>
            </w:pPr>
            <w:r w:rsidRPr="0031181E">
              <w:rPr>
                <w:rFonts w:eastAsia="Arial" w:cs="Segoe UI"/>
                <w:noProof/>
                <w:sz w:val="20"/>
                <w:szCs w:val="20"/>
              </w:rPr>
              <mc:AlternateContent>
                <mc:Choice Requires="wps">
                  <w:drawing>
                    <wp:inline distT="0" distB="0" distL="0" distR="0" wp14:anchorId="341544EE" wp14:editId="2F023A40">
                      <wp:extent cx="209550" cy="180975"/>
                      <wp:effectExtent l="19050" t="19050" r="38100" b="28575"/>
                      <wp:docPr id="105" name="Isosceles Triangle 1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6420762" id="Isosceles Triangle 105"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hMMiAIAAHMFAAAOAAAAZHJzL2Uyb0RvYy54bWysVNtqGzEQfS/0H4Tem91141yWrINxcAmY&#10;NDQpeZa1ki2q1aiS7LX79R1pL0nTQKD0RUiaM/czc3V9aDTZC+cVmIoWJzklwnColdlU9Pvj8tMF&#10;JT4wUzMNRlT0KDy9nn38cNXaUkxgC7oWjqAR48vWVnQbgi2zzPOtaJg/ASsMCiW4hgV8uk1WO9ai&#10;9UZnkzw/y1pwtXXAhff4e9MJ6SzZl1Lw8FVKLwLRFcXYQjpdOtfxzGZXrNw4ZreK92Gwf4iiYcqg&#10;09HUDQuM7Jz6y1SjuAMPMpxwaDKQUnGRcsBsivxVNg9bZkXKBYvj7Vgm///M8rv9vSOqxt7lU0oM&#10;a7BJtx48F1p48ugUMxstSJRirVrrS1R5sPcuZuvtCvgPj4LsD0l8+B5zkK6JWMyVHFLhj2PhxSEQ&#10;jp+T/HI6xfZwFBUX+eV5cpaxclC2zocvAhoSLxUNfVip5Gy/8iGGwMoBlmIDreql0jo93Ga90I7s&#10;GfJguVzkeWo9qvhnWMqhCzslEI5aRGVtvgmJNcJAi+QxsVOM9hjnwoSzWB80mNBRTaLvUfHz+4o9&#10;PqqKxNxRefK+8qiRPIMJo3KjDLi3DOhQ9CHLDt930Xd5xxKsoT4iPRx0c+MtXypswIr5cM8cDgr2&#10;DIc/fMVDamgrCv2Nki24X2/9RzzyF6WUtDh4FfU/d8wJSvStQWZfFqencVLT43R6PsGHeylZv5SY&#10;XbMA7GmBa8bydI34oIerdNA84Y6YR68oYoaj74ry4IbHInQLAbcMF/N5guF0WhZW5sHyoeuRXI+H&#10;J+bswEKk7x0MQ8rKV0TssLEfBua7AFIllj7Xta83TnYiTr+F4up4+U6o5105+w0AAP//AwBQSwME&#10;FAAGAAgAAAAhAEpKkOrdAAAAAwEAAA8AAABkcnMvZG93bnJldi54bWxMj0FLw0AQhe+C/2EZwYvY&#10;jW2VNGZTVLBQD4KtaHvbZqdJcHc2ZLdN/PeOXurlweMN732TzwdnxRG70HhScDNKQCCV3jRUKXhf&#10;P1+nIELUZLT1hAq+McC8OD/LdWZ8T294XMVKcAmFTCuoY2wzKUNZo9Nh5Fskzva+czqy7SppOt1z&#10;ubNynCR30umGeKHWLT7VWH6tDk7Bsl9/Pl697jfT2dJu25d+MU1nH0pdXgwP9yAiDvF0DL/4jA4F&#10;M+38gUwQVgE/Ev+Us8mE3U7BOL0FWeTyP3vxAwAA//8DAFBLAQItABQABgAIAAAAIQC2gziS/gAA&#10;AOEBAAATAAAAAAAAAAAAAAAAAAAAAABbQ29udGVudF9UeXBlc10ueG1sUEsBAi0AFAAGAAgAAAAh&#10;ADj9If/WAAAAlAEAAAsAAAAAAAAAAAAAAAAALwEAAF9yZWxzLy5yZWxzUEsBAi0AFAAGAAgAAAAh&#10;ADCiEwyIAgAAcwUAAA4AAAAAAAAAAAAAAAAALgIAAGRycy9lMm9Eb2MueG1sUEsBAi0AFAAGAAgA&#10;AAAhAEpKkOrdAAAAAwEAAA8AAAAAAAAAAAAAAAAA4gQAAGRycy9kb3ducmV2LnhtbFBLBQYAAAAA&#10;BAAEAPMAAADsBQAAAAA=&#10;" fillcolor="#ffc000" strokecolor="#70ad47 [3209]" strokeweight=".5pt">
                      <v:path arrowok="t"/>
                      <w10:anchorlock/>
                    </v:shape>
                  </w:pict>
                </mc:Fallback>
              </mc:AlternateContent>
            </w:r>
          </w:p>
        </w:tc>
        <w:tc>
          <w:tcPr>
            <w:tcW w:w="900" w:type="dxa"/>
            <w:vAlign w:val="center"/>
          </w:tcPr>
          <w:p w14:paraId="00CBBB3D" w14:textId="77777777" w:rsidR="004E22A4" w:rsidRDefault="004E22A4" w:rsidP="004E22A4">
            <w:pPr>
              <w:jc w:val="center"/>
              <w:rPr>
                <w:color w:val="212121"/>
              </w:rPr>
            </w:pPr>
            <w:r w:rsidRPr="0031181E">
              <w:rPr>
                <w:rFonts w:eastAsia="Arial" w:cs="Segoe UI"/>
                <w:noProof/>
                <w:sz w:val="20"/>
                <w:szCs w:val="20"/>
              </w:rPr>
              <mc:AlternateContent>
                <mc:Choice Requires="wps">
                  <w:drawing>
                    <wp:inline distT="0" distB="0" distL="0" distR="0" wp14:anchorId="03817049" wp14:editId="17BD5B7E">
                      <wp:extent cx="209550" cy="180975"/>
                      <wp:effectExtent l="19050" t="19050" r="38100" b="28575"/>
                      <wp:docPr id="106" name="Isosceles Triangle 1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7CE072A" id="Isosceles Triangle 106"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4L4hwIAAHMFAAAOAAAAZHJzL2Uyb0RvYy54bWysVNtqGzEQfS/0H4Tem91141yWrINxcAmY&#10;NDQpeZa1ki2q1aiS7LX79R1pL0nTQKD0RUiaM/czc3V9aDTZC+cVmIoWJzklwnColdlU9Pvj8tMF&#10;JT4wUzMNRlT0KDy9nn38cNXaUkxgC7oWjqAR48vWVnQbgi2zzPOtaJg/ASsMCiW4hgV8uk1WO9ai&#10;9UZnkzw/y1pwtXXAhff4e9MJ6SzZl1Lw8FVKLwLRFcXYQjpdOtfxzGZXrNw4ZreK92Gwf4iiYcqg&#10;09HUDQuM7Jz6y1SjuAMPMpxwaDKQUnGRcsBsivxVNg9bZkXKBYvj7Vgm///M8rv9vSOqxt7lZ5QY&#10;1mCTbj14LrTw5NEpZjZakCjFWrXWl6jyYO9dzNbbFfAfHgXZH5L48D3mIF0TsZgrOaTCH8fCi0Mg&#10;HD8n+eV0iu3hKCou8svzaXSWsXJQts6HLwIaEi8VDX1YqeRsv/Khgw+wFBtoVS+V1unhNuuFdmTP&#10;kAfL5SLPU+vRg3+GpRy6sFMC4ahFVNbmm5BYIwy0SB4TO8Voj3EuTEj1QYMJHdUk+h4VP7+v2OOj&#10;qkjMHZUn7yuPGskzmDAqN8qAe8uADkVfZdnh+y76Lu9YgjXUR6SHg25uvOVLhQ1YMR/umcNBwZ7h&#10;8IeveEgNbUWhv1GyBffrrf+IR/6ilJIWB6+i/ueOOUGJvjXI7Mvi9DROanqcTs8n+HAvJeuXErNr&#10;FoA9LXDNWJ6uER/0cJUOmifcEfPoFUXMcPRdUR7c8FiEbiHgluFiPk8wnE7Lwso8WD50PZLr8fDE&#10;nB1YiPS9g2FIWfmKiB029sPAfBdAqsTS57r29cbJTlzvt1BcHS/fCfW8K2e/AQAA//8DAFBLAwQU&#10;AAYACAAAACEASkqQ6t0AAAADAQAADwAAAGRycy9kb3ducmV2LnhtbEyPQUvDQBCF74L/YRnBi9iN&#10;bZU0ZlNUsFAPgq1oe9tmp0lwdzZkt038945e6uXB4w3vfZPPB2fFEbvQeFJwM0pAIJXeNFQpeF8/&#10;X6cgQtRktPWECr4xwLw4P8t1ZnxPb3hcxUpwCYVMK6hjbDMpQ1mj02HkWyTO9r5zOrLtKmk63XO5&#10;s3KcJHfS6YZ4odYtPtVYfq0OTsGyX38+Xr3uN9PZ0m7bl34xTWcfSl1eDA/3ICIO8XQMv/iMDgUz&#10;7fyBTBBWAT8S/5SzyYTdTsE4vQVZ5PI/e/EDAAD//wMAUEsBAi0AFAAGAAgAAAAhALaDOJL+AAAA&#10;4QEAABMAAAAAAAAAAAAAAAAAAAAAAFtDb250ZW50X1R5cGVzXS54bWxQSwECLQAUAAYACAAAACEA&#10;OP0h/9YAAACUAQAACwAAAAAAAAAAAAAAAAAvAQAAX3JlbHMvLnJlbHNQSwECLQAUAAYACAAAACEA&#10;DIOC+IcCAABzBQAADgAAAAAAAAAAAAAAAAAuAgAAZHJzL2Uyb0RvYy54bWxQSwECLQAUAAYACAAA&#10;ACEASkqQ6t0AAAADAQAADwAAAAAAAAAAAAAAAADhBAAAZHJzL2Rvd25yZXYueG1sUEsFBgAAAAAE&#10;AAQA8wAAAOsFAAAAAA==&#10;" fillcolor="#ffc000" strokecolor="#70ad47 [3209]" strokeweight=".5pt">
                      <v:path arrowok="t"/>
                      <w10:anchorlock/>
                    </v:shape>
                  </w:pict>
                </mc:Fallback>
              </mc:AlternateContent>
            </w:r>
          </w:p>
        </w:tc>
        <w:tc>
          <w:tcPr>
            <w:tcW w:w="6784" w:type="dxa"/>
          </w:tcPr>
          <w:p w14:paraId="22DACA3C" w14:textId="4D7D603B" w:rsidR="004E22A4" w:rsidRPr="00570769" w:rsidRDefault="004E22A4" w:rsidP="004E22A4">
            <w:pPr>
              <w:ind w:left="432"/>
            </w:pPr>
            <w:r w:rsidRPr="00A377C5">
              <w:t>Enable rapid rebuild process</w:t>
            </w:r>
          </w:p>
        </w:tc>
      </w:tr>
      <w:tr w:rsidR="004E22A4" w14:paraId="3A4210B1" w14:textId="77777777" w:rsidTr="00915020">
        <w:tc>
          <w:tcPr>
            <w:tcW w:w="895" w:type="dxa"/>
            <w:vAlign w:val="center"/>
          </w:tcPr>
          <w:p w14:paraId="4811C01C" w14:textId="77777777" w:rsidR="004E22A4" w:rsidRPr="00840988" w:rsidRDefault="004E22A4" w:rsidP="004E22A4">
            <w:pPr>
              <w:jc w:val="center"/>
              <w:rPr>
                <w:noProof/>
              </w:rPr>
            </w:pPr>
            <w:r w:rsidRPr="00840988">
              <w:rPr>
                <w:noProof/>
              </w:rPr>
              <mc:AlternateContent>
                <mc:Choice Requires="wps">
                  <w:drawing>
                    <wp:inline distT="0" distB="0" distL="0" distR="0" wp14:anchorId="566BA260" wp14:editId="7A412027">
                      <wp:extent cx="210553" cy="190500"/>
                      <wp:effectExtent l="0" t="0" r="18415" b="19050"/>
                      <wp:docPr id="191" name="Octagon 191"/>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6482B6CE" w14:textId="77777777" w:rsidR="008D2C68" w:rsidRDefault="008D2C68" w:rsidP="00F97B16">
                                  <w:pPr>
                                    <w:jc w:val="center"/>
                                  </w:pPr>
                                </w:p>
                                <w:p w14:paraId="05ABE5D0"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66BA260" id="Octagon 191" o:spid="_x0000_s1088"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iJ4fwIAAGEFAAAOAAAAZHJzL2Uyb0RvYy54bWysVF9r2zAQfx/sOwi9r7bTZmtDnRJSOgal&#10;LW1HnxVZSgSSTpOU2Nmn30l23NAVCmN+kO90/+9+p8urzmiyEz4osDWtTkpKhOXQKLuu6c/nmy/n&#10;lITIbMM0WFHTvQj0av7502XrZmICG9CN8ASd2DBrXU03MbpZUQS+EYaFE3DColCCNywi69dF41mL&#10;3o0uJmX5tWjBN84DFyHg7XUvpPPsX0rB472UQUSia4q5xXz6fK7SWcwv2WztmdsoPqTB/iELw5TF&#10;oKOraxYZ2Xr1lyujuIcAMp5wMAVIqbjINWA1VfmmmqcNcyLXgs0JbmxT+H9u+d3uwRPV4OwuKkos&#10;Mzikex7ZGixJV9ig1oUZ6j25Bz9wAclUbSe9SX+sg3S5qfuxqaKLhOPlpCqn01NKOIqqi3Ja5qYX&#10;r8bOh/hdgCGJqCn0wXM32e42RIyJ2getFC6AVs2N0jozfr1aak92DEe8XJb4paTR5EitSDX0WWcq&#10;7rVIxto+ConlY55VjpiBJ0Z/jHNh42RwmLWTmcTYo+Hpx4aDfjIVGZSj8eRj49EiRwYbR2OjLPj3&#10;HOiYB4c9kL0+9uOo7kTGbtXluU/PDzNeQbNHMHjotyQ4fqNwJLcsxAfmcS1wgXDV4z0eUkOLsxoo&#10;Sjbgf793n/QRrSilpMU1q2n4tWVeUKJ/WMTxRXV2lvYyM2fTbxNk/LFkdSyxW7MEHDMiFbPLZNKP&#10;+kBKD+YFX4RFiooiZjnGrimP/sAsY7/++KZwsVhkNdxFx+KtfXL8AISEt+fuhXk34DIioO/gsJJs&#10;9gabvW4akYXFNoJUGbip1X1fhxHgHmdwDm9OeiiO+az1+jLO/wAAAP//AwBQSwMEFAAGAAgAAAAh&#10;ALXTcRzaAAAAAwEAAA8AAABkcnMvZG93bnJldi54bWxMj0FrwzAMhe+D/QejQW+t3RZKl8UpY1DY&#10;YTSsW9nVjbUkNJaD7Tbpv5+2S3fRQzzx3qd8M7pOXDDE1pOG+UyBQKq8banW8Pmxna5BxGTIms4T&#10;arhihE1xf5ebzPqB3vGyT7XgEIqZ0dCk1GdSxqpBZ+LM90jsffvgTOI11NIGM3C46+RCqZV0piVu&#10;aEyPLw1Wp/3ZaShPQ/m6LsvHr7Bd7d6CO8zD7qD15GF8fgKRcEy3Y/jFZ3QomOnoz2Sj6DTwI+lv&#10;srdcLkAcWZUCWeTyP3vxAwAA//8DAFBLAQItABQABgAIAAAAIQC2gziS/gAAAOEBAAATAAAAAAAA&#10;AAAAAAAAAAAAAABbQ29udGVudF9UeXBlc10ueG1sUEsBAi0AFAAGAAgAAAAhADj9If/WAAAAlAEA&#10;AAsAAAAAAAAAAAAAAAAALwEAAF9yZWxzLy5yZWxzUEsBAi0AFAAGAAgAAAAhAD0iInh/AgAAYQUA&#10;AA4AAAAAAAAAAAAAAAAALgIAAGRycy9lMm9Eb2MueG1sUEsBAi0AFAAGAAgAAAAhALXTcRzaAAAA&#10;AwEAAA8AAAAAAAAAAAAAAAAA2QQAAGRycy9kb3ducmV2LnhtbFBLBQYAAAAABAAEAPMAAADgBQAA&#10;AAA=&#10;" fillcolor="#c00" strokecolor="#ed7d31 [3205]" strokeweight=".5pt">
                      <v:textbox>
                        <w:txbxContent>
                          <w:p w14:paraId="6482B6CE" w14:textId="77777777" w:rsidR="008D2C68" w:rsidRDefault="008D2C68" w:rsidP="00F97B16">
                            <w:pPr>
                              <w:jc w:val="center"/>
                            </w:pPr>
                          </w:p>
                          <w:p w14:paraId="05ABE5D0" w14:textId="77777777" w:rsidR="008D2C68" w:rsidRDefault="008D2C68" w:rsidP="00F97B16">
                            <w:pPr>
                              <w:jc w:val="center"/>
                            </w:pPr>
                          </w:p>
                        </w:txbxContent>
                      </v:textbox>
                      <w10:anchorlock/>
                    </v:shape>
                  </w:pict>
                </mc:Fallback>
              </mc:AlternateContent>
            </w:r>
          </w:p>
        </w:tc>
        <w:tc>
          <w:tcPr>
            <w:tcW w:w="1316" w:type="dxa"/>
            <w:vAlign w:val="center"/>
          </w:tcPr>
          <w:p w14:paraId="6C03BAB3" w14:textId="77777777" w:rsidR="004E22A4" w:rsidRPr="0031181E" w:rsidRDefault="004E22A4" w:rsidP="004E22A4">
            <w:pPr>
              <w:jc w:val="center"/>
              <w:rPr>
                <w:rFonts w:eastAsia="Arial" w:cs="Segoe UI"/>
                <w:noProof/>
                <w:sz w:val="20"/>
                <w:szCs w:val="20"/>
              </w:rPr>
            </w:pPr>
            <w:r w:rsidRPr="0031181E">
              <w:rPr>
                <w:rFonts w:eastAsia="Arial" w:cs="Segoe UI"/>
                <w:noProof/>
                <w:sz w:val="20"/>
                <w:szCs w:val="20"/>
              </w:rPr>
              <mc:AlternateContent>
                <mc:Choice Requires="wps">
                  <w:drawing>
                    <wp:inline distT="0" distB="0" distL="0" distR="0" wp14:anchorId="2F7B6BDC" wp14:editId="2CE59BC8">
                      <wp:extent cx="209550" cy="180975"/>
                      <wp:effectExtent l="19050" t="19050" r="38100" b="28575"/>
                      <wp:docPr id="192" name="Isosceles Triangle 1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0427DF2" id="Isosceles Triangle 192"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QyjhgIAAHMFAAAOAAAAZHJzL2Uyb0RvYy54bWysVNtOGzEQfa/Uf7D8XnaTEiArNigKSoUU&#10;AQIqnh2vnVj1elzbySb9+o69FyhFQqr6YtmeM/czc3l1qDXZC+cVmJKOTnJKhOFQKbMp6fen5ZcL&#10;SnxgpmIajCjpUXh6Nfv86bKxhRjDFnQlHEEjxheNLek2BFtkmedbUTN/AlYYFEpwNQv4dJuscqxB&#10;67XOxnl+ljXgKuuAC+/x97oV0lmyL6Xg4U5KLwLRJcXYQjpdOtfxzGaXrNg4ZreKd2Gwf4iiZsqg&#10;08HUNQuM7Jz6y1StuAMPMpxwqDOQUnGRcsBsRvmbbB63zIqUCxbH26FM/v+Z5bf7e0dUhb2bjikx&#10;rMYm3XjwXGjhyZNTzGy0IFGKtWqsL1Dl0d67mK23K+A/PAqyPyTx4TvMQbo6YjFXckiFPw6FF4dA&#10;OH6O8+lkgu3hKBpd5NPzSXSWsaJXts6HbwJqEi8lDV1YqeRsv/KhhfewFBtoVS2V1unhNuuFdmTP&#10;kAfL5SLPU+vRg3+BpRzasFMC4ahFVNbmQUisEQY6Sh4TO8Vgj3EuTDjrQk7oqCbR96D49WPFDh9V&#10;RWLuoDz+WHnQSJ7BhEG5VgbcewZ0GHUhyxbfddG3eccSrKE6Ij0ctHPjLV8qbMCK+XDPHA4K9gyH&#10;P9zhITU0JYXuRskW3K/3/iMe+YtSShocvJL6nzvmBCX6xiCzp6PT0zip6XE6OR/jw72WrF9LzK5e&#10;APZ0hGvG8nSN+KD7q3RQP+OOmEevKGKGo++S8uD6xyK0CwG3DBfzeYLhdFoWVubR8r7rkVxPh2fm&#10;bM9CpO8t9EPKijdEbLGxHwbmuwBSJZa+1LWrN0524nq3heLqeP1OqJddOfsN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Bv&#10;eQyjhgIAAHM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900" w:type="dxa"/>
            <w:vAlign w:val="center"/>
          </w:tcPr>
          <w:p w14:paraId="661E5EA2" w14:textId="77777777" w:rsidR="004E22A4" w:rsidRPr="0031181E" w:rsidRDefault="004E22A4" w:rsidP="004E22A4">
            <w:pPr>
              <w:jc w:val="center"/>
              <w:rPr>
                <w:rFonts w:eastAsia="Arial" w:cs="Segoe UI"/>
                <w:noProof/>
                <w:sz w:val="20"/>
                <w:szCs w:val="20"/>
              </w:rPr>
            </w:pPr>
            <w:r w:rsidRPr="0031181E">
              <w:rPr>
                <w:rFonts w:eastAsia="Arial" w:cs="Segoe UI"/>
                <w:noProof/>
                <w:sz w:val="20"/>
                <w:szCs w:val="20"/>
              </w:rPr>
              <mc:AlternateContent>
                <mc:Choice Requires="wps">
                  <w:drawing>
                    <wp:inline distT="0" distB="0" distL="0" distR="0" wp14:anchorId="7F961EB8" wp14:editId="3D257B98">
                      <wp:extent cx="209550" cy="180975"/>
                      <wp:effectExtent l="19050" t="19050" r="38100" b="28575"/>
                      <wp:docPr id="204" name="Isosceles Triangle 2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23D8889" id="Isosceles Triangle 204"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AZghgIAAHMFAAAOAAAAZHJzL2Uyb0RvYy54bWysVNtqGzEQfS/0H4Tem127di5L1sE4uARM&#10;EpKUPMtayRbValRJ9tr9+o60l6RpIFD6IiTNmfuZubw61JrshfMKTElHJzklwnColNmU9PvT8ss5&#10;JT4wUzENRpT0KDy9mn3+dNnYQoxhC7oSjqAR44vGlnQbgi2yzPOtqJk/ASsMCiW4mgV8uk1WOdag&#10;9Vpn4zw/zRpwlXXAhff4e90K6SzZl1LwcCelF4HokmJsIZ0unet4ZrNLVmwcs1vFuzDYP0RRM2XQ&#10;6WDqmgVGdk79ZapW3IEHGU441BlIqbhIOWA2o/xNNo9bZkXKBYvj7VAm///M8tv9vSOqKuk4n1Bi&#10;WI1NuvHgudDCkyenmNloQaIUa9VYX6DKo713MVtvV8B/eBRkf0jiw3eYg3R1xGKu5JAKfxwKLw6B&#10;cPwc5xfTKbaHo2h0nl+cTaOzjBW9snU+fBNQk3gpaejCSiVn+5UPLbyHpdhAq2qptE4Pt1kvtCN7&#10;hjxYLhd5nlqPHvwLLOXQhp0SCEctorI2D0JijTDQUfKY2CkGe4xzYcJpF3JCRzWJvgfFrx8rdvio&#10;KhJzB+Xxx8qDRvIMJgzKtTLg3jOgw6gLWbb4rou+zTuWYA3VEenhoJ0bb/lSYQNWzId75nBQsGc4&#10;/OEOD6mhKSl0N0q24H699x/xyF+UUtLg4JXU/9wxJyjRNwaZfTGaTOKkpsdkejbGh3stWb+WmF29&#10;AOzpCNeM5eka8UH3V+mgfsYdMY9eUcQMR98l5cH1j0VoFwJuGS7m8wTD6bQsrMyj5X3XI7meDs/M&#10;2Z6FSN9b6IeUFW+I2GJjPwzMdwGkSix9qWtXb5zsxPVuC8XV8fqdUC+7cvYb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AU&#10;IAZghgIAAHM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6784" w:type="dxa"/>
          </w:tcPr>
          <w:p w14:paraId="36216590" w14:textId="2F9AD29B" w:rsidR="004E22A4" w:rsidRPr="00A377C5" w:rsidRDefault="004E22A4" w:rsidP="004E22A4">
            <w:pPr>
              <w:ind w:left="432"/>
            </w:pPr>
            <w:r>
              <w:t>Follow application security guidance (if available)</w:t>
            </w:r>
          </w:p>
        </w:tc>
      </w:tr>
    </w:tbl>
    <w:p w14:paraId="138725CE" w14:textId="77777777" w:rsidR="00F97B16" w:rsidRDefault="00F97B16" w:rsidP="00F97B16">
      <w:pPr>
        <w:pStyle w:val="Caption"/>
        <w:rPr>
          <w:color w:val="212121"/>
        </w:rPr>
      </w:pPr>
      <w:r>
        <w:t xml:space="preserve">Table </w:t>
      </w:r>
      <w:r w:rsidR="00872E47">
        <w:fldChar w:fldCharType="begin"/>
      </w:r>
      <w:r w:rsidR="00872E47">
        <w:instrText xml:space="preserve"> SEQ Table \* ARABIC </w:instrText>
      </w:r>
      <w:r w:rsidR="00872E47">
        <w:fldChar w:fldCharType="separate"/>
      </w:r>
      <w:r>
        <w:rPr>
          <w:noProof/>
        </w:rPr>
        <w:t>2</w:t>
      </w:r>
      <w:r w:rsidR="00872E47">
        <w:rPr>
          <w:noProof/>
        </w:rPr>
        <w:fldChar w:fldCharType="end"/>
      </w:r>
      <w:r>
        <w:t xml:space="preserve"> - </w:t>
      </w:r>
      <w:r w:rsidRPr="00812B8E">
        <w:t>Operating System Standards Summary</w:t>
      </w:r>
    </w:p>
    <w:p w14:paraId="42C1F899" w14:textId="77777777" w:rsidR="00F97B16" w:rsidRDefault="00F97B16" w:rsidP="00F97B16">
      <w:pPr>
        <w:rPr>
          <w:color w:val="212121"/>
        </w:rPr>
      </w:pPr>
    </w:p>
    <w:p w14:paraId="266AD83B" w14:textId="77777777" w:rsidR="00F97B16" w:rsidRDefault="00F97B16" w:rsidP="005729D2">
      <w:pPr>
        <w:pStyle w:val="Heading3Numbered"/>
        <w:numPr>
          <w:ilvl w:val="2"/>
          <w:numId w:val="64"/>
        </w:numPr>
      </w:pPr>
      <w:bookmarkStart w:id="7914" w:name="_Toc421201739"/>
      <w:bookmarkStart w:id="7915" w:name="_Toc423091756"/>
      <w:bookmarkStart w:id="7916" w:name="_Toc423464070"/>
      <w:bookmarkStart w:id="7917" w:name="_Toc423464743"/>
      <w:bookmarkStart w:id="7918" w:name="_Toc431288987"/>
      <w:r>
        <w:t>Active Directory and Identity Data</w:t>
      </w:r>
      <w:bookmarkEnd w:id="7914"/>
      <w:r w:rsidRPr="00B93C1E">
        <w:t xml:space="preserve"> </w:t>
      </w:r>
      <w:r>
        <w:t>Standards Summary</w:t>
      </w:r>
      <w:bookmarkEnd w:id="7915"/>
      <w:bookmarkEnd w:id="7916"/>
      <w:bookmarkEnd w:id="7917"/>
      <w:bookmarkEnd w:id="7918"/>
    </w:p>
    <w:p w14:paraId="6BF61052" w14:textId="40F5DEC1" w:rsidR="00F97B16" w:rsidRPr="00672CD5" w:rsidRDefault="00DE508C" w:rsidP="00F97B16">
      <w:r w:rsidRPr="00383264">
        <w:rPr>
          <w:color w:val="212121"/>
        </w:rPr>
        <w:t xml:space="preserve">The Tier columns </w:t>
      </w:r>
      <w:r>
        <w:rPr>
          <w:color w:val="212121"/>
        </w:rPr>
        <w:t xml:space="preserve">in this table </w:t>
      </w:r>
      <w:r w:rsidRPr="00383264">
        <w:rPr>
          <w:color w:val="212121"/>
        </w:rPr>
        <w:t xml:space="preserve">refer to the </w:t>
      </w:r>
      <w:r>
        <w:rPr>
          <w:color w:val="212121"/>
        </w:rPr>
        <w:t>Tier level of the data or objects, the control of which typically impact all assets in that tier</w:t>
      </w:r>
      <w:r w:rsidR="00F97B16">
        <w:t>.</w:t>
      </w:r>
    </w:p>
    <w:tbl>
      <w:tblPr>
        <w:tblStyle w:val="TableGrid"/>
        <w:tblW w:w="9895" w:type="dxa"/>
        <w:tblLayout w:type="fixed"/>
        <w:tblLook w:val="04A0" w:firstRow="1" w:lastRow="0" w:firstColumn="1" w:lastColumn="0" w:noHBand="0" w:noVBand="1"/>
      </w:tblPr>
      <w:tblGrid>
        <w:gridCol w:w="805"/>
        <w:gridCol w:w="1170"/>
        <w:gridCol w:w="900"/>
        <w:gridCol w:w="7020"/>
      </w:tblGrid>
      <w:tr w:rsidR="00F97B16" w:rsidRPr="009B5CD0" w14:paraId="406ADB2B" w14:textId="77777777" w:rsidTr="00915020">
        <w:trPr>
          <w:cnfStyle w:val="100000000000" w:firstRow="1" w:lastRow="0" w:firstColumn="0" w:lastColumn="0" w:oddVBand="0" w:evenVBand="0" w:oddHBand="0" w:evenHBand="0" w:firstRowFirstColumn="0" w:firstRowLastColumn="0" w:lastRowFirstColumn="0" w:lastRowLastColumn="0"/>
        </w:trPr>
        <w:tc>
          <w:tcPr>
            <w:tcW w:w="805" w:type="dxa"/>
            <w:shd w:val="clear" w:color="auto" w:fill="000000" w:themeFill="text1"/>
          </w:tcPr>
          <w:p w14:paraId="59DCFF2A" w14:textId="77777777" w:rsidR="00F97B16" w:rsidRPr="009B5CD0" w:rsidRDefault="00F97B16" w:rsidP="00915020">
            <w:pPr>
              <w:jc w:val="center"/>
              <w:rPr>
                <w:b/>
              </w:rPr>
            </w:pPr>
            <w:r w:rsidRPr="009B5CD0">
              <w:rPr>
                <w:b/>
              </w:rPr>
              <w:t>Tier 0</w:t>
            </w:r>
          </w:p>
        </w:tc>
        <w:tc>
          <w:tcPr>
            <w:tcW w:w="1170" w:type="dxa"/>
            <w:shd w:val="clear" w:color="auto" w:fill="000000" w:themeFill="text1"/>
          </w:tcPr>
          <w:p w14:paraId="0E35E552" w14:textId="77777777" w:rsidR="00F97B16" w:rsidRPr="009B5CD0" w:rsidRDefault="00F97B16" w:rsidP="00915020">
            <w:pPr>
              <w:jc w:val="center"/>
              <w:rPr>
                <w:b/>
              </w:rPr>
            </w:pPr>
            <w:r>
              <w:rPr>
                <w:b/>
              </w:rPr>
              <w:t>Tier 1</w:t>
            </w:r>
          </w:p>
        </w:tc>
        <w:tc>
          <w:tcPr>
            <w:tcW w:w="900" w:type="dxa"/>
            <w:shd w:val="clear" w:color="auto" w:fill="000000" w:themeFill="text1"/>
          </w:tcPr>
          <w:p w14:paraId="44AB4651" w14:textId="77777777" w:rsidR="00F97B16" w:rsidRPr="009B5CD0" w:rsidRDefault="00F97B16" w:rsidP="00915020">
            <w:pPr>
              <w:jc w:val="center"/>
              <w:rPr>
                <w:b/>
              </w:rPr>
            </w:pPr>
            <w:r>
              <w:rPr>
                <w:b/>
              </w:rPr>
              <w:t>Tier 2</w:t>
            </w:r>
          </w:p>
        </w:tc>
        <w:tc>
          <w:tcPr>
            <w:tcW w:w="7020" w:type="dxa"/>
            <w:shd w:val="clear" w:color="auto" w:fill="000000" w:themeFill="text1"/>
          </w:tcPr>
          <w:p w14:paraId="79B56EDC" w14:textId="77777777" w:rsidR="00F97B16" w:rsidRPr="009B5CD0" w:rsidRDefault="00F97B16" w:rsidP="00915020">
            <w:pPr>
              <w:jc w:val="center"/>
              <w:rPr>
                <w:b/>
              </w:rPr>
            </w:pPr>
            <w:r w:rsidRPr="009B5CD0">
              <w:rPr>
                <w:b/>
              </w:rPr>
              <w:t>Standard</w:t>
            </w:r>
          </w:p>
        </w:tc>
      </w:tr>
      <w:tr w:rsidR="00DE508C" w:rsidRPr="00275388" w14:paraId="012B780B" w14:textId="77777777" w:rsidTr="00915020">
        <w:tc>
          <w:tcPr>
            <w:tcW w:w="805" w:type="dxa"/>
            <w:vAlign w:val="center"/>
          </w:tcPr>
          <w:p w14:paraId="5E66D42A" w14:textId="77777777" w:rsidR="00DE508C" w:rsidRPr="00F72853" w:rsidRDefault="00DE508C" w:rsidP="00DE508C">
            <w:pPr>
              <w:jc w:val="center"/>
              <w:rPr>
                <w:color w:val="212121"/>
              </w:rPr>
            </w:pPr>
            <w:r w:rsidRPr="00F72853">
              <w:rPr>
                <w:noProof/>
              </w:rPr>
              <mc:AlternateContent>
                <mc:Choice Requires="wps">
                  <w:drawing>
                    <wp:inline distT="0" distB="0" distL="0" distR="0" wp14:anchorId="62034EB5" wp14:editId="33EF6373">
                      <wp:extent cx="210553" cy="190500"/>
                      <wp:effectExtent l="0" t="0" r="18415" b="19050"/>
                      <wp:docPr id="66" name="Octagon 66"/>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2E9C2266" w14:textId="77777777" w:rsidR="008D2C68" w:rsidRDefault="008D2C68" w:rsidP="00F97B16">
                                  <w:pPr>
                                    <w:jc w:val="center"/>
                                  </w:pPr>
                                </w:p>
                                <w:p w14:paraId="36E0619F"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2034EB5" id="Octagon 66" o:spid="_x0000_s1089"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ZKRfQIAAF8FAAAOAAAAZHJzL2Uyb0RvYy54bWysVF9r2zAQfx/sOwi9r7bTpltDnRJSOgal&#10;LW1HnxVZSgSSTpOU2Nmn30l23NAVCmN+kO90v/t/p8urzmiyEz4osDWtTkpKhOXQKLuu6c/nmy/f&#10;KAmR2YZpsKKmexHo1fzzp8vWzcQENqAb4QkasWHWuppuYnSzogh8IwwLJ+CERaEEb1hE1q+LxrMW&#10;rRtdTMryvGjBN84DFyHg7XUvpPNsX0rB472UQUSia4qxxXz6fK7SWcwv2WztmdsoPoTB/iEKw5RF&#10;p6OpaxYZ2Xr1lymjuIcAMp5wMAVIqbjIOWA2Vfkmm6cNcyLngsUJbixT+H9m+d3uwRPV1PT8nBLL&#10;DPbonke2BkvwBsvTujBD1JN78AMXkEy5dtKb9McsSJdLuh9LKrpIOF5OqnI6PaWEo6i6KKdlLnnx&#10;qux8iN8FGJKImkLvO9eS7W5DRJ+IPqCSuwBaNTdK68z49WqpPdkxbPByWeKXgkaVI1iRcuijzlTc&#10;a5GUtX0UEpPHOKvsMY+dGO0xzoWNk8FgRic1ib5HxdOPFQd8UhV5JEflycfKo0b2DDaOykZZ8O8Z&#10;0LEaQpY9HutxlHciY7fqctenFwmarlbQ7HEUPPQ7Ehy/UdiSWxbiA/O4FLg+uOjxHg+pocVeDRQl&#10;G/C/37tPeJxVlFLS4pLVNPzaMi8o0T8sTvFFdXaWtjIzZ9OvE2T8sWR1LLFbswRsc4VPiuOZTPio&#10;D6T0YF7wPVgkryhilqPvmvLoD8wy9suPLwoXi0WG4SY6Fm/tk+OHQUjz9ty9MO+GuYw40HdwWEg2&#10;ezObPTa1yMJiG0GqPLivdR1agFuch3N4cdIzccxn1Ou7OP8DAAD//wMAUEsDBBQABgAIAAAAIQC1&#10;03Ec2gAAAAMBAAAPAAAAZHJzL2Rvd25yZXYueG1sTI9Ba8MwDIXvg/0Ho0Fvrd0WSpfFKWNQ2GE0&#10;rFvZ1Y21JDSWg+026b+ftkt30UM88d6nfDO6TlwwxNaThvlMgUCqvG2p1vD5sZ2uQcRkyJrOE2q4&#10;YoRNcX+Xm8z6gd7xsk+14BCKmdHQpNRnUsaqQWfizPdI7H374EziNdTSBjNwuOvkQqmVdKYlbmhM&#10;jy8NVqf92WkoT0P5ui7Lx6+wXe3egjvMw+6g9eRhfH4CkXBMt2P4xWd0KJjp6M9ko+g08CPpb7K3&#10;XC5AHFmVAlnk8j978QMAAP//AwBQSwECLQAUAAYACAAAACEAtoM4kv4AAADhAQAAEwAAAAAAAAAA&#10;AAAAAAAAAAAAW0NvbnRlbnRfVHlwZXNdLnhtbFBLAQItABQABgAIAAAAIQA4/SH/1gAAAJQBAAAL&#10;AAAAAAAAAAAAAAAAAC8BAABfcmVscy8ucmVsc1BLAQItABQABgAIAAAAIQCtuZKRfQIAAF8FAAAO&#10;AAAAAAAAAAAAAAAAAC4CAABkcnMvZTJvRG9jLnhtbFBLAQItABQABgAIAAAAIQC103Ec2gAAAAMB&#10;AAAPAAAAAAAAAAAAAAAAANcEAABkcnMvZG93bnJldi54bWxQSwUGAAAAAAQABADzAAAA3gUAAAAA&#10;" fillcolor="#c00" strokecolor="#ed7d31 [3205]" strokeweight=".5pt">
                      <v:textbox>
                        <w:txbxContent>
                          <w:p w14:paraId="2E9C2266" w14:textId="77777777" w:rsidR="008D2C68" w:rsidRDefault="008D2C68" w:rsidP="00F97B16">
                            <w:pPr>
                              <w:jc w:val="center"/>
                            </w:pPr>
                          </w:p>
                          <w:p w14:paraId="36E0619F" w14:textId="77777777" w:rsidR="008D2C68" w:rsidRDefault="008D2C68" w:rsidP="00F97B16">
                            <w:pPr>
                              <w:jc w:val="center"/>
                            </w:pPr>
                          </w:p>
                        </w:txbxContent>
                      </v:textbox>
                      <w10:anchorlock/>
                    </v:shape>
                  </w:pict>
                </mc:Fallback>
              </mc:AlternateContent>
            </w:r>
          </w:p>
        </w:tc>
        <w:tc>
          <w:tcPr>
            <w:tcW w:w="1170" w:type="dxa"/>
            <w:vAlign w:val="center"/>
          </w:tcPr>
          <w:p w14:paraId="29E63D67" w14:textId="77777777" w:rsidR="00DE508C" w:rsidRPr="00F72853" w:rsidRDefault="00DE508C" w:rsidP="00DE508C">
            <w:pPr>
              <w:jc w:val="center"/>
              <w:rPr>
                <w:color w:val="212121"/>
              </w:rPr>
            </w:pPr>
            <w:r w:rsidRPr="00F72853">
              <w:rPr>
                <w:noProof/>
              </w:rPr>
              <mc:AlternateContent>
                <mc:Choice Requires="wps">
                  <w:drawing>
                    <wp:inline distT="0" distB="0" distL="0" distR="0" wp14:anchorId="01C709A0" wp14:editId="4BC8E03E">
                      <wp:extent cx="210553" cy="190500"/>
                      <wp:effectExtent l="0" t="0" r="18415" b="19050"/>
                      <wp:docPr id="67" name="Octagon 67"/>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590DDDF0" w14:textId="77777777" w:rsidR="008D2C68" w:rsidRDefault="008D2C68" w:rsidP="00F97B16">
                                  <w:pPr>
                                    <w:jc w:val="center"/>
                                  </w:pPr>
                                </w:p>
                                <w:p w14:paraId="04081D7A"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1C709A0" id="Octagon 67" o:spid="_x0000_s1090"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DYDfAIAAF8FAAAOAAAAZHJzL2Uyb0RvYy54bWysVF9r2zAQfx/sOwi9r7bTpl1DnRJSOgal&#10;LWtHnxVZSgSSTpOU2Nmn30l23NAVCmN+kO90v/t/p6vrzmiyEz4osDWtTkpKhOXQKLuu6c/n2y9f&#10;KQmR2YZpsKKmexHo9fzzp6vWzcQENqAb4QkasWHWuppuYnSzogh8IwwLJ+CERaEEb1hE1q+LxrMW&#10;rRtdTMryvGjBN84DFyHg7U0vpPNsX0rB44OUQUSia4qxxXz6fK7SWcyv2GztmdsoPoTB/iEKw5RF&#10;p6OpGxYZ2Xr1lymjuIcAMp5wMAVIqbjIOWA2Vfkmm6cNcyLngsUJbixT+H9m+f3u0RPV1PT8ghLL&#10;DPbogUe2BkvwBsvTujBD1JN79AMXkEy5dtKb9McsSJdLuh9LKrpIOF5OqnI6PaWEo6i6LKdlLnnx&#10;qux8iN8EGJKImkLvO9eS7e5CRJ+IPqCSuwBaNbdK68z49WqpPdkxbPByWeKXgkaVI1iRcuijzlTc&#10;a5GUtf0hJCaPcVbZYx47MdpjnAsbJ4PBjE5qEn2PiqcfKw74pCrySI7Kk4+VR43sGWwclY2y4N8z&#10;oGM1hCx7PNbjKO9Exm7V9V3P5UpXK2j2OAoe+h0Jjt8qbMkdC/GReVwKXB9c9PiAh9TQYq8GipIN&#10;+N/v3Sc8zipKKWlxyWoafm2ZF5To7xan+LI6O0tbmZmz6cUEGX8sWR1L7NYsAdtc4ZPieCYTPuoD&#10;KT2YF3wPFskripjl6LumPPoDs4z98uOLwsVikWG4iY7FO/vk+GEQ0rw9dy/Mu2EuIw70PRwWks3e&#10;zGaPTS2ysNhGkCoP7mtdhxbgFufhHF6c9Ewc8xn1+i7O/wAAAP//AwBQSwMEFAAGAAgAAAAhALXT&#10;cRzaAAAAAwEAAA8AAABkcnMvZG93bnJldi54bWxMj0FrwzAMhe+D/QejQW+t3RZKl8UpY1DYYTSs&#10;W9nVjbUkNJaD7Tbpv5+2S3fRQzzx3qd8M7pOXDDE1pOG+UyBQKq8banW8Pmxna5BxGTIms4Tarhi&#10;hE1xf5ebzPqB3vGyT7XgEIqZ0dCk1GdSxqpBZ+LM90jsffvgTOI11NIGM3C46+RCqZV0piVuaEyP&#10;Lw1Wp/3ZaShPQ/m6LsvHr7Bd7d6CO8zD7qD15GF8fgKRcEy3Y/jFZ3QomOnoz2Sj6DTwI+lvsrdc&#10;LkAcWZUCWeTyP3vxAwAA//8DAFBLAQItABQABgAIAAAAIQC2gziS/gAAAOEBAAATAAAAAAAAAAAA&#10;AAAAAAAAAABbQ29udGVudF9UeXBlc10ueG1sUEsBAi0AFAAGAAgAAAAhADj9If/WAAAAlAEAAAsA&#10;AAAAAAAAAAAAAAAALwEAAF9yZWxzLy5yZWxzUEsBAi0AFAAGAAgAAAAhAJc0NgN8AgAAXwUAAA4A&#10;AAAAAAAAAAAAAAAALgIAAGRycy9lMm9Eb2MueG1sUEsBAi0AFAAGAAgAAAAhALXTcRzaAAAAAwEA&#10;AA8AAAAAAAAAAAAAAAAA1gQAAGRycy9kb3ducmV2LnhtbFBLBQYAAAAABAAEAPMAAADdBQAAAAA=&#10;" fillcolor="#c00" strokecolor="#ed7d31 [3205]" strokeweight=".5pt">
                      <v:textbox>
                        <w:txbxContent>
                          <w:p w14:paraId="590DDDF0" w14:textId="77777777" w:rsidR="008D2C68" w:rsidRDefault="008D2C68" w:rsidP="00F97B16">
                            <w:pPr>
                              <w:jc w:val="center"/>
                            </w:pPr>
                          </w:p>
                          <w:p w14:paraId="04081D7A" w14:textId="77777777" w:rsidR="008D2C68" w:rsidRDefault="008D2C68" w:rsidP="00F97B16">
                            <w:pPr>
                              <w:jc w:val="center"/>
                            </w:pPr>
                          </w:p>
                        </w:txbxContent>
                      </v:textbox>
                      <w10:anchorlock/>
                    </v:shape>
                  </w:pict>
                </mc:Fallback>
              </mc:AlternateContent>
            </w:r>
          </w:p>
        </w:tc>
        <w:tc>
          <w:tcPr>
            <w:tcW w:w="900" w:type="dxa"/>
            <w:vAlign w:val="center"/>
          </w:tcPr>
          <w:p w14:paraId="00CE72B6" w14:textId="77777777" w:rsidR="00DE508C" w:rsidRPr="00F72853" w:rsidRDefault="00DE508C" w:rsidP="00DE508C">
            <w:pPr>
              <w:jc w:val="center"/>
              <w:rPr>
                <w:color w:val="212121"/>
              </w:rPr>
            </w:pPr>
            <w:r w:rsidRPr="00F72853">
              <w:rPr>
                <w:noProof/>
              </w:rPr>
              <mc:AlternateContent>
                <mc:Choice Requires="wps">
                  <w:drawing>
                    <wp:inline distT="0" distB="0" distL="0" distR="0" wp14:anchorId="744F8F4D" wp14:editId="2B397994">
                      <wp:extent cx="210553" cy="190500"/>
                      <wp:effectExtent l="0" t="0" r="18415" b="19050"/>
                      <wp:docPr id="68" name="Octagon 68"/>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465F8A44" w14:textId="77777777" w:rsidR="008D2C68" w:rsidRDefault="008D2C68" w:rsidP="00F97B16">
                                  <w:pPr>
                                    <w:jc w:val="center"/>
                                  </w:pPr>
                                </w:p>
                                <w:p w14:paraId="5A482E57"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44F8F4D" id="Octagon 68" o:spid="_x0000_s1091"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WoUewIAAF8FAAAOAAAAZHJzL2Uyb0RvYy54bWysVF9r2zAQfx/sOwi9r7bTpltDnRJSOgal&#10;LW1HnxVZSgSSTpOU2Nmn30l23NAVCmN+kO90v/t/p8urzmiyEz4osDWtTkpKhOXQKLuu6c/nmy/f&#10;KAmR2YZpsKKmexHo1fzzp8vWzcQENqAb4QkasWHWuppuYnSzogh8IwwLJ+CERaEEb1hE1q+LxrMW&#10;rRtdTMryvGjBN84DFyHg7XUvpPNsX0rB472UQUSia4qxxXz6fK7SWcwv2WztmdsoPoTB/iEKw5RF&#10;p6OpaxYZ2Xr1lymjuIcAMp5wMAVIqbjIOWA2Vfkmm6cNcyLngsUJbixT+H9m+d3uwRPV1PQcO2WZ&#10;wR7d88jWYAneYHlaF2aIenIPfuACkinXTnqT/pgF6XJJ92NJRRcJx8tJVU6np5RwFFUX5bTMJS9e&#10;lZ0P8bsAQxJRU+h951qy3W2I6BPRB1RyF0Cr5kZpnRm/Xi21JzuGDV4uS/xS0KhyBCtSDn3UmYp7&#10;LZKyto9CYvIYZ5U95rEToz3GubBxMhjM6KQm0feoePqx4oBPqiKP5Kg8+Vh51MiewcZR2SgL/j0D&#10;OlZDyLLHYz2O8k5k7FZd3/UMTVcraPY4Ch76HQmO3yhsyS0L8YF5XApcH1z0eI+H1NBirwaKkg34&#10;3+/dJzzOKkopaXHJahp+bZkXlOgfFqf4ojo7S1uZmbPp1wky/liyOpbYrVkCtrnCJ8XxTCZ81AdS&#10;ejAv+B4sklcUMcvRd0159AdmGfvlxxeFi8Uiw3ATHYu39snxwyCkeXvuXph3w1xGHOg7OCwkm72Z&#10;zR6bWmRhsY0gVR7c17oOLcAtzsM5vDjpmTjmM+r1XZz/AQAA//8DAFBLAwQUAAYACAAAACEAtdNx&#10;HNoAAAADAQAADwAAAGRycy9kb3ducmV2LnhtbEyPQWvDMAyF74P9B6NBb63dFkqXxSljUNhhNKxb&#10;2dWNtSQ0loPtNum/n7ZLd9FDPPHep3wzuk5cMMTWk4b5TIFAqrxtqdbw+bGdrkHEZMiazhNquGKE&#10;TXF/l5vM+oHe8bJPteAQipnR0KTUZ1LGqkFn4sz3SOx9++BM4jXU0gYzcLjr5EKplXSmJW5oTI8v&#10;DVan/dlpKE9D+bouy8evsF3t3oI7zMPuoPXkYXx+ApFwTLdj+MVndCiY6ejPZKPoNPAj6W+yt1wu&#10;QBxZlQJZ5PI/e/EDAAD//wMAUEsBAi0AFAAGAAgAAAAhALaDOJL+AAAA4QEAABMAAAAAAAAAAAAA&#10;AAAAAAAAAFtDb250ZW50X1R5cGVzXS54bWxQSwECLQAUAAYACAAAACEAOP0h/9YAAACUAQAACwAA&#10;AAAAAAAAAAAAAAAvAQAAX3JlbHMvLnJlbHNQSwECLQAUAAYACAAAACEAJPFqFHsCAABfBQAADgAA&#10;AAAAAAAAAAAAAAAuAgAAZHJzL2Uyb0RvYy54bWxQSwECLQAUAAYACAAAACEAtdNxHNoAAAADAQAA&#10;DwAAAAAAAAAAAAAAAADVBAAAZHJzL2Rvd25yZXYueG1sUEsFBgAAAAAEAAQA8wAAANwFAAAAAA==&#10;" fillcolor="#c00" strokecolor="#ed7d31 [3205]" strokeweight=".5pt">
                      <v:textbox>
                        <w:txbxContent>
                          <w:p w14:paraId="465F8A44" w14:textId="77777777" w:rsidR="008D2C68" w:rsidRDefault="008D2C68" w:rsidP="00F97B16">
                            <w:pPr>
                              <w:jc w:val="center"/>
                            </w:pPr>
                          </w:p>
                          <w:p w14:paraId="5A482E57" w14:textId="77777777" w:rsidR="008D2C68" w:rsidRDefault="008D2C68" w:rsidP="00F97B16">
                            <w:pPr>
                              <w:jc w:val="center"/>
                            </w:pPr>
                          </w:p>
                        </w:txbxContent>
                      </v:textbox>
                      <w10:anchorlock/>
                    </v:shape>
                  </w:pict>
                </mc:Fallback>
              </mc:AlternateContent>
            </w:r>
          </w:p>
        </w:tc>
        <w:tc>
          <w:tcPr>
            <w:tcW w:w="7020" w:type="dxa"/>
          </w:tcPr>
          <w:p w14:paraId="0B135EE0" w14:textId="38A9F18F" w:rsidR="00DE508C" w:rsidRPr="00F72853" w:rsidRDefault="00DE508C" w:rsidP="00DE508C">
            <w:pPr>
              <w:rPr>
                <w:color w:val="212121"/>
              </w:rPr>
            </w:pPr>
            <w:r w:rsidRPr="00F72853">
              <w:rPr>
                <w:rFonts w:eastAsia="Times New Roman"/>
              </w:rPr>
              <w:t xml:space="preserve">Follow </w:t>
            </w:r>
            <w:r>
              <w:rPr>
                <w:rFonts w:eastAsia="Times New Roman"/>
              </w:rPr>
              <w:t>a</w:t>
            </w:r>
            <w:r w:rsidRPr="00F72853">
              <w:rPr>
                <w:rFonts w:eastAsia="Times New Roman"/>
              </w:rPr>
              <w:t>dministrative OU structure</w:t>
            </w:r>
          </w:p>
        </w:tc>
      </w:tr>
      <w:tr w:rsidR="00DE508C" w:rsidRPr="00275388" w14:paraId="2E2999DE" w14:textId="77777777" w:rsidTr="00915020">
        <w:tc>
          <w:tcPr>
            <w:tcW w:w="805" w:type="dxa"/>
            <w:vAlign w:val="center"/>
          </w:tcPr>
          <w:p w14:paraId="7BA8F39B" w14:textId="77777777" w:rsidR="00DE508C" w:rsidRDefault="00DE508C" w:rsidP="00DE508C">
            <w:pPr>
              <w:jc w:val="center"/>
              <w:rPr>
                <w:noProof/>
              </w:rPr>
            </w:pPr>
            <w:r w:rsidRPr="00F27BAB">
              <w:rPr>
                <w:noProof/>
              </w:rPr>
              <mc:AlternateContent>
                <mc:Choice Requires="wps">
                  <w:drawing>
                    <wp:inline distT="0" distB="0" distL="0" distR="0" wp14:anchorId="56F9FF4D" wp14:editId="4FC41353">
                      <wp:extent cx="210553" cy="190500"/>
                      <wp:effectExtent l="0" t="0" r="18415" b="19050"/>
                      <wp:docPr id="233" name="Octagon 233"/>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1E269F11" w14:textId="77777777" w:rsidR="008D2C68" w:rsidRDefault="008D2C68" w:rsidP="00F97B16">
                                  <w:pPr>
                                    <w:jc w:val="center"/>
                                  </w:pPr>
                                </w:p>
                                <w:p w14:paraId="4AB11263"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6F9FF4D" id="Octagon 233" o:spid="_x0000_s1092"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w8gfQIAAGEFAAAOAAAAZHJzL2Uyb0RvYy54bWysVN1r2zAQfx/sfxB6X/3RpFtDnRJSMgal&#10;LW1HnxVZSgSyTpOU2Nlfv5PsuKErFMb8IN/pfvd9p6vrrtFkL5xXYCpanOWUCMOhVmZT0Z/Pqy/f&#10;KPGBmZppMKKiB+Hp9fzzp6vWzkQJW9C1cASNGD9rbUW3IdhZlnm+FQ3zZ2CFQaEE17CArNtktWMt&#10;Wm90Vub5RdaCq60DLrzH25teSOfJvpSCh3spvQhEVxRjC+l06VzHM5tfsdnGMbtVfAiD/UMUDVMG&#10;nY6mblhgZOfUX6YaxR14kOGMQ5OBlIqLlANmU+RvsnnaMitSLlgcb8cy+f9nlt/tHxxRdUXL83NK&#10;DGuwSfc8sA0YEq+wQK31M8Q92Qc3cB7JmG0nXRP/mAfpUlEPY1FFFwjHy7LIp1M0zVFUXObTPBU9&#10;e1W2zofvAhoSiYpC7zxVk+1vfUCfiD6iojsPWtUrpXVi3Ga91I7sGbZ4uczxi0Gjygksizn0UScq&#10;HLSIyto8ConpY5xF8pgGT4z2GOfChHIwmNBRTaLvUfH8Y8UBH1VFGspRufxYedRInsGEUblRBtx7&#10;BnQohpBlj8d6nOQdydCtu9T3i5RdvFpDfcBhcNBvibd8pbAlt8yHB+ZwLXCBcNXDPR5SQ4u9GihK&#10;tuB+v3cf8TitKKWkxTWrqP+1Y05Qon8YnOPLYjKJe5mYyfRriYw7laxPJWbXLAHbXOCjYnkiIz7o&#10;IykdNC/4IiyiVxQxw9F3RXlwR2YZ+vXHN4WLxSLBcBctC7fmyfLjIMR5e+5emLPDXAYc6Ds4riSb&#10;vZnNHhtbZGCxCyBVGtzXug4twD1Owzm8OfGhOOUT6vVlnP8BAAD//wMAUEsDBBQABgAIAAAAIQC1&#10;03Ec2gAAAAMBAAAPAAAAZHJzL2Rvd25yZXYueG1sTI9Ba8MwDIXvg/0Ho0Fvrd0WSpfFKWNQ2GE0&#10;rFvZ1Y21JDSWg+026b+ftkt30UM88d6nfDO6TlwwxNaThvlMgUCqvG2p1vD5sZ2uQcRkyJrOE2q4&#10;YoRNcX+Xm8z6gd7xsk+14BCKmdHQpNRnUsaqQWfizPdI7H374EziNdTSBjNwuOvkQqmVdKYlbmhM&#10;jy8NVqf92WkoT0P5ui7Lx6+wXe3egjvMw+6g9eRhfH4CkXBMt2P4xWd0KJjp6M9ko+g08CPpb7K3&#10;XC5AHFmVAlnk8j978QMAAP//AwBQSwECLQAUAAYACAAAACEAtoM4kv4AAADhAQAAEwAAAAAAAAAA&#10;AAAAAAAAAAAAW0NvbnRlbnRfVHlwZXNdLnhtbFBLAQItABQABgAIAAAAIQA4/SH/1gAAAJQBAAAL&#10;AAAAAAAAAAAAAAAAAC8BAABfcmVscy8ucmVsc1BLAQItABQABgAIAAAAIQBFqw8gfQIAAGEFAAAO&#10;AAAAAAAAAAAAAAAAAC4CAABkcnMvZTJvRG9jLnhtbFBLAQItABQABgAIAAAAIQC103Ec2gAAAAMB&#10;AAAPAAAAAAAAAAAAAAAAANcEAABkcnMvZG93bnJldi54bWxQSwUGAAAAAAQABADzAAAA3gUAAAAA&#10;" fillcolor="#c00" strokecolor="#ed7d31 [3205]" strokeweight=".5pt">
                      <v:textbox>
                        <w:txbxContent>
                          <w:p w14:paraId="1E269F11" w14:textId="77777777" w:rsidR="008D2C68" w:rsidRDefault="008D2C68" w:rsidP="00F97B16">
                            <w:pPr>
                              <w:jc w:val="center"/>
                            </w:pPr>
                          </w:p>
                          <w:p w14:paraId="4AB11263" w14:textId="77777777" w:rsidR="008D2C68" w:rsidRDefault="008D2C68" w:rsidP="00F97B16">
                            <w:pPr>
                              <w:jc w:val="center"/>
                            </w:pPr>
                          </w:p>
                        </w:txbxContent>
                      </v:textbox>
                      <w10:anchorlock/>
                    </v:shape>
                  </w:pict>
                </mc:Fallback>
              </mc:AlternateContent>
            </w:r>
          </w:p>
        </w:tc>
        <w:tc>
          <w:tcPr>
            <w:tcW w:w="1170" w:type="dxa"/>
            <w:vAlign w:val="center"/>
          </w:tcPr>
          <w:p w14:paraId="1B966CF2" w14:textId="77777777" w:rsidR="00DE508C" w:rsidRPr="00275388" w:rsidRDefault="00DE508C" w:rsidP="00DE508C">
            <w:pPr>
              <w:jc w:val="center"/>
              <w:rPr>
                <w:noProof/>
              </w:rPr>
            </w:pPr>
            <w:r w:rsidRPr="00F27BAB">
              <w:rPr>
                <w:color w:val="212121"/>
              </w:rPr>
              <w:t>N/A</w:t>
            </w:r>
          </w:p>
        </w:tc>
        <w:tc>
          <w:tcPr>
            <w:tcW w:w="900" w:type="dxa"/>
            <w:vAlign w:val="center"/>
          </w:tcPr>
          <w:p w14:paraId="74DE4F43" w14:textId="77777777" w:rsidR="00DE508C" w:rsidRPr="00275388" w:rsidRDefault="00DE508C" w:rsidP="00DE508C">
            <w:pPr>
              <w:jc w:val="center"/>
              <w:rPr>
                <w:noProof/>
              </w:rPr>
            </w:pPr>
            <w:r w:rsidRPr="00F27BAB">
              <w:rPr>
                <w:color w:val="212121"/>
              </w:rPr>
              <w:t>N/A</w:t>
            </w:r>
          </w:p>
        </w:tc>
        <w:tc>
          <w:tcPr>
            <w:tcW w:w="7020" w:type="dxa"/>
          </w:tcPr>
          <w:p w14:paraId="0F93A4E5" w14:textId="4DBB3B21" w:rsidR="00DE508C" w:rsidRPr="002E213F" w:rsidRDefault="00DE508C" w:rsidP="00DE508C">
            <w:pPr>
              <w:rPr>
                <w:rFonts w:eastAsia="Times New Roman"/>
              </w:rPr>
            </w:pPr>
            <w:r w:rsidRPr="002E213F">
              <w:t xml:space="preserve">AdminSDHolder ACLs must be default </w:t>
            </w:r>
          </w:p>
        </w:tc>
      </w:tr>
      <w:tr w:rsidR="00DE508C" w:rsidRPr="00275388" w14:paraId="5B9A0DD1" w14:textId="77777777" w:rsidTr="00915020">
        <w:tc>
          <w:tcPr>
            <w:tcW w:w="805" w:type="dxa"/>
            <w:vAlign w:val="center"/>
          </w:tcPr>
          <w:p w14:paraId="0D00A7BA" w14:textId="77777777" w:rsidR="00DE508C" w:rsidRPr="00275388" w:rsidRDefault="00DE508C" w:rsidP="00DE508C">
            <w:pPr>
              <w:jc w:val="center"/>
              <w:rPr>
                <w:noProof/>
              </w:rPr>
            </w:pPr>
            <w:r w:rsidRPr="00F27BAB">
              <w:rPr>
                <w:noProof/>
              </w:rPr>
              <mc:AlternateContent>
                <mc:Choice Requires="wps">
                  <w:drawing>
                    <wp:inline distT="0" distB="0" distL="0" distR="0" wp14:anchorId="302635A3" wp14:editId="44E489ED">
                      <wp:extent cx="210553" cy="190500"/>
                      <wp:effectExtent l="0" t="0" r="18415" b="19050"/>
                      <wp:docPr id="234" name="Octagon 234"/>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061B372F" w14:textId="77777777" w:rsidR="008D2C68" w:rsidRDefault="008D2C68" w:rsidP="00F97B16">
                                  <w:pPr>
                                    <w:jc w:val="center"/>
                                  </w:pPr>
                                </w:p>
                                <w:p w14:paraId="5D20CA08"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02635A3" id="Octagon 234" o:spid="_x0000_s1093"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68IfgIAAGEFAAAOAAAAZHJzL2Uyb0RvYy54bWysVN1r2zAQfx/sfxB6X/2RpFtDnRJSOgal&#10;LW1HnxVZSgSyTpOU2Nlfv5PsuKErFMb8IN/pfvd9p8urrtFkL5xXYCpanOWUCMOhVmZT0Z/PN1++&#10;UeIDMzXTYERFD8LTq8XnT5etnYsStqBr4QgaMX7e2opuQ7DzLPN8Kxrmz8AKg0IJrmEBWbfJasda&#10;tN7orMzz86wFV1sHXHiPt9e9kC6SfSkFD/dSehGIrijGFtLp0rmOZ7a4ZPONY3ar+BAG+4coGqYM&#10;Oh1NXbPAyM6pv0w1ijvwIMMZhyYDKRUXKQfMpsjfZPO0ZVakXLA43o5l8v/PLL/bPzii6oqWkykl&#10;hjXYpHse2AYMiVdYoNb6OeKe7IMbOI9kzLaTrol/zIN0qaiHsaiiC4TjZVnks9mEEo6i4iKf5ano&#10;2auydT58F9CQSFQUeuepmmx/6wP6RPQRFd150Kq+UVonxm3WK+3InmGLV6scvxg0qpzAsphDH3Wi&#10;wkGLqKzNo5CYPsZZJI9p8MRoj3EuTCgHgwkd1ST6HhUnHysO+Kgq0lCOyuXHyqNG8gwmjMqNMuDe&#10;M6BDMYQsezzW4yTvSIZu3aW+n08iNF6toT7gMDjot8RbfqOwJbfMhwfmcC1wgXDVwz0eUkOLvRoo&#10;Srbgfr93H/E4rSilpMU1q6j/tWNOUKJ/GJzji2I6jXuZmOnsa4mMO5WsTyVm16wA21zgo2J5IiM+&#10;6CMpHTQv+CIso1cUMcPRd0V5cEdmFfr1xzeFi+UywXAXLQu35sny4yDEeXvuXpizw1wGHOg7OK4k&#10;m7+ZzR4bW2RguQsgVRrc17oOLcA9TsM5vDnxoTjlE+r1ZVz8AQAA//8DAFBLAwQUAAYACAAAACEA&#10;tdNxHNoAAAADAQAADwAAAGRycy9kb3ducmV2LnhtbEyPQWvDMAyF74P9B6NBb63dFkqXxSljUNhh&#10;NKxb2dWNtSQ0loPtNum/n7ZLd9FDPPHep3wzuk5cMMTWk4b5TIFAqrxtqdbw+bGdrkHEZMiazhNq&#10;uGKETXF/l5vM+oHe8bJPteAQipnR0KTUZ1LGqkFn4sz3SOx9++BM4jXU0gYzcLjr5EKplXSmJW5o&#10;TI8vDVan/dlpKE9D+bouy8evsF3t3oI7zMPuoPXkYXx+ApFwTLdj+MVndCiY6ejPZKPoNPAj6W+y&#10;t1wuQBxZlQJZ5PI/e/EDAAD//wMAUEsBAi0AFAAGAAgAAAAhALaDOJL+AAAA4QEAABMAAAAAAAAA&#10;AAAAAAAAAAAAAFtDb250ZW50X1R5cGVzXS54bWxQSwECLQAUAAYACAAAACEAOP0h/9YAAACUAQAA&#10;CwAAAAAAAAAAAAAAAAAvAQAAX3JlbHMvLnJlbHNQSwECLQAUAAYACAAAACEATROvCH4CAABhBQAA&#10;DgAAAAAAAAAAAAAAAAAuAgAAZHJzL2Uyb0RvYy54bWxQSwECLQAUAAYACAAAACEAtdNxHNoAAAAD&#10;AQAADwAAAAAAAAAAAAAAAADYBAAAZHJzL2Rvd25yZXYueG1sUEsFBgAAAAAEAAQA8wAAAN8FAAAA&#10;AA==&#10;" fillcolor="#c00" strokecolor="#ed7d31 [3205]" strokeweight=".5pt">
                      <v:textbox>
                        <w:txbxContent>
                          <w:p w14:paraId="061B372F" w14:textId="77777777" w:rsidR="008D2C68" w:rsidRDefault="008D2C68" w:rsidP="00F97B16">
                            <w:pPr>
                              <w:jc w:val="center"/>
                            </w:pPr>
                          </w:p>
                          <w:p w14:paraId="5D20CA08" w14:textId="77777777" w:rsidR="008D2C68" w:rsidRDefault="008D2C68" w:rsidP="00F97B16">
                            <w:pPr>
                              <w:jc w:val="center"/>
                            </w:pPr>
                          </w:p>
                        </w:txbxContent>
                      </v:textbox>
                      <w10:anchorlock/>
                    </v:shape>
                  </w:pict>
                </mc:Fallback>
              </mc:AlternateContent>
            </w:r>
          </w:p>
        </w:tc>
        <w:tc>
          <w:tcPr>
            <w:tcW w:w="1170" w:type="dxa"/>
            <w:vAlign w:val="center"/>
          </w:tcPr>
          <w:p w14:paraId="6D2F4862" w14:textId="77777777" w:rsidR="00DE508C" w:rsidRPr="00275388" w:rsidRDefault="00DE508C" w:rsidP="00DE508C">
            <w:pPr>
              <w:jc w:val="center"/>
              <w:rPr>
                <w:noProof/>
              </w:rPr>
            </w:pPr>
            <w:r w:rsidRPr="00180EFD">
              <w:rPr>
                <w:rFonts w:eastAsia="Arial" w:cs="Segoe UI"/>
                <w:noProof/>
                <w:sz w:val="20"/>
                <w:szCs w:val="20"/>
              </w:rPr>
              <mc:AlternateContent>
                <mc:Choice Requires="wps">
                  <w:drawing>
                    <wp:inline distT="0" distB="0" distL="0" distR="0" wp14:anchorId="0E8C2F87" wp14:editId="33080D22">
                      <wp:extent cx="190500" cy="190500"/>
                      <wp:effectExtent l="0" t="0" r="19050" b="19050"/>
                      <wp:docPr id="235" name="Oval 235"/>
                      <wp:cNvGraphicFramePr/>
                      <a:graphic xmlns:a="http://schemas.openxmlformats.org/drawingml/2006/main">
                        <a:graphicData uri="http://schemas.microsoft.com/office/word/2010/wordprocessingShape">
                          <wps:wsp>
                            <wps:cNvSpPr/>
                            <wps:spPr>
                              <a:xfrm>
                                <a:off x="0" y="0"/>
                                <a:ext cx="190500" cy="190500"/>
                              </a:xfrm>
                              <a:prstGeom prst="ellipse">
                                <a:avLst/>
                              </a:prstGeom>
                              <a:solidFill>
                                <a:srgbClr val="FFFF00"/>
                              </a:solidFill>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oval w14:anchorId="3F326D47" id="Oval 235" o:spid="_x0000_s1026" style="width:15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K4sfwIAAG4FAAAOAAAAZHJzL2Uyb0RvYy54bWysVF9r2zAQfx/sOwi9r7aztltDnRJaMgal&#10;DWtHnxVZigWSTpOUONmn30l2nLCWDcb8IN/p7n73R3d3fbMzmmyFDwpsTauzkhJhOTTKrmv6/Xnx&#10;4TMlITLbMA1W1HQvAr2ZvX933bmpmEALuhGeIIgN087VtI3RTYsi8FYYFs7ACYtCCd6wiKxfF41n&#10;HaIbXUzK8rLowDfOAxch4O1dL6SzjC+l4PFRyiAi0TXF2GI+fT5X6Sxm12y69sy1ig9hsH+IwjBl&#10;0ekIdcciIxuvXkEZxT0EkPGMgylASsVFzgGzqcrfsnlqmRM5FyxOcGOZwv+D5Q/bpSeqqenk4wUl&#10;lhl8pMct0yTxWJ3OhSkqPbmlH7iAZEp1J71Jf0yC7HJF92NFxS4SjpfVVXlRYt05igYaUYqjsfMh&#10;fhFgSCJqKrRWLqSc2ZRt70PstQ9a6TqAVs1CaZ0Zv17dak8w4Jou8ENnvcmJWpFy6KPOVNxrkYy1&#10;/SYk5o5xTrLH3HVixGOcCxsve1HLGtG7wYSOXlKfJoucVAZMyBLDG7GrP2H3wQ76yVTkph2Ny78b&#10;jxbZM9g4Ghtlwb8FoGM1lEn2+hj+SWkSuYJmj53hoR+Z4PhC4RPdsxCXzOOM4Kvi3MdHPKSGrqYw&#10;UJS04H++dZ/0sXVRSkmHM1fT8GPDvKBEf7XY1FfV+Xka0sycX3yaIONPJatTid2YW8Bnr3DDOJ7J&#10;pB/1gZQezAuuh3nyiiJmOfquKY/+wNzGfhfgguFiPs9qOJiOxXv75HgCT1VN/fe8e2HeDX0ascEf&#10;4DCfr3q1102WFuabCFLlRj7Wdag3DnVunGEBpa1xymet45qc/QIAAP//AwBQSwMEFAAGAAgAAAAh&#10;ADrHYprYAAAAAwEAAA8AAABkcnMvZG93bnJldi54bWxMj0FLw0AQhe+C/2EZwYu0G60UjdkUsSoe&#10;a1IEb9PsmASzsyG7baK/3lEPepnh8YY338tWk+vUgYbQejZwPk9AEVfetlwb2JYPsytQISJb7DyT&#10;gQ8KsMqPjzJMrR/5mQ5FrJWEcEjRQBNjn2odqoYchrnvicV784PDKHKotR1wlHDX6YskWWqHLcuH&#10;Bnu6a6h6L/bOwLjU96+Xa6LFpsTy5exxXVw/fRpzejLd3oCKNMW/Y/jGF3TIhWnn92yD6gxIkfgz&#10;xVskona/W+eZ/s+efwEAAP//AwBQSwECLQAUAAYACAAAACEAtoM4kv4AAADhAQAAEwAAAAAAAAAA&#10;AAAAAAAAAAAAW0NvbnRlbnRfVHlwZXNdLnhtbFBLAQItABQABgAIAAAAIQA4/SH/1gAAAJQBAAAL&#10;AAAAAAAAAAAAAAAAAC8BAABfcmVscy8ucmVsc1BLAQItABQABgAIAAAAIQC0VK4sfwIAAG4FAAAO&#10;AAAAAAAAAAAAAAAAAC4CAABkcnMvZTJvRG9jLnhtbFBLAQItABQABgAIAAAAIQA6x2Ka2AAAAAMB&#10;AAAPAAAAAAAAAAAAAAAAANkEAABkcnMvZG93bnJldi54bWxQSwUGAAAAAAQABADzAAAA3gUAAAAA&#10;" fillcolor="yellow" strokecolor="#375623 [1609]" strokeweight="1pt">
                      <v:stroke joinstyle="miter"/>
                      <w10:anchorlock/>
                    </v:oval>
                  </w:pict>
                </mc:Fallback>
              </mc:AlternateContent>
            </w:r>
          </w:p>
        </w:tc>
        <w:tc>
          <w:tcPr>
            <w:tcW w:w="900" w:type="dxa"/>
            <w:vAlign w:val="center"/>
          </w:tcPr>
          <w:p w14:paraId="49F8D22F" w14:textId="77777777" w:rsidR="00DE508C" w:rsidRPr="00275388" w:rsidRDefault="00DE508C" w:rsidP="00DE508C">
            <w:pPr>
              <w:jc w:val="center"/>
              <w:rPr>
                <w:noProof/>
              </w:rPr>
            </w:pPr>
            <w:r w:rsidRPr="00180EFD">
              <w:rPr>
                <w:rFonts w:eastAsia="Arial" w:cs="Segoe UI"/>
                <w:noProof/>
                <w:sz w:val="20"/>
                <w:szCs w:val="20"/>
              </w:rPr>
              <mc:AlternateContent>
                <mc:Choice Requires="wps">
                  <w:drawing>
                    <wp:inline distT="0" distB="0" distL="0" distR="0" wp14:anchorId="56ECA8F1" wp14:editId="501A0C5A">
                      <wp:extent cx="190500" cy="190500"/>
                      <wp:effectExtent l="0" t="0" r="19050" b="19050"/>
                      <wp:docPr id="236" name="Oval 236"/>
                      <wp:cNvGraphicFramePr/>
                      <a:graphic xmlns:a="http://schemas.openxmlformats.org/drawingml/2006/main">
                        <a:graphicData uri="http://schemas.microsoft.com/office/word/2010/wordprocessingShape">
                          <wps:wsp>
                            <wps:cNvSpPr/>
                            <wps:spPr>
                              <a:xfrm>
                                <a:off x="0" y="0"/>
                                <a:ext cx="190500" cy="190500"/>
                              </a:xfrm>
                              <a:prstGeom prst="ellipse">
                                <a:avLst/>
                              </a:prstGeom>
                              <a:solidFill>
                                <a:srgbClr val="FFFF00"/>
                              </a:solidFill>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oval w14:anchorId="56C31550" id="Oval 236" o:spid="_x0000_s1026" style="width:15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rB0fwIAAG4FAAAOAAAAZHJzL2Uyb0RvYy54bWysVF9r2zAQfx/sOwi9r7aztltDnRJaMgal&#10;DWtHnxVZigWSTpOUONmn30l2nLCWDcb8IN/p7n73R3d3fbMzmmyFDwpsTauzkhJhOTTKrmv6/Xnx&#10;4TMlITLbMA1W1HQvAr2ZvX933bmpmEALuhGeIIgN087VtI3RTYsi8FYYFs7ACYtCCd6wiKxfF41n&#10;HaIbXUzK8rLowDfOAxch4O1dL6SzjC+l4PFRyiAi0TXF2GI+fT5X6Sxm12y69sy1ig9hsH+IwjBl&#10;0ekIdcciIxuvXkEZxT0EkPGMgylASsVFzgGzqcrfsnlqmRM5FyxOcGOZwv+D5Q/bpSeqqenk4yUl&#10;lhl8pMct0yTxWJ3OhSkqPbmlH7iAZEp1J71Jf0yC7HJF92NFxS4SjpfVVXlRYt05igYaUYqjsfMh&#10;fhFgSCJqKrRWLqSc2ZRt70PstQ9a6TqAVs1CaZ0Zv17dak8w4Jou8ENnvcmJWpFy6KPOVNxrkYy1&#10;/SYk5o5xTrLH3HVixGOcCxsve1HLGtG7wYSOXlKfJoucVAZMyBLDG7GrP2H3wQ76yVTkph2Ny78b&#10;jxbZM9g4Ghtlwb8FoGM1lEn2+hj+SWkSuYJmj53hoR+Z4PhC4RPdsxCXzOOM4Kvi3MdHPKSGrqYw&#10;UJS04H++dZ/0sXVRSkmHM1fT8GPDvKBEf7XY1FfV+Xka0sycX3yaIONPJatTid2YW8Bnr3DDOJ7J&#10;pB/1gZQezAuuh3nyiiJmOfquKY/+wNzGfhfgguFiPs9qOJiOxXv75HgCT1VN/fe8e2HeDX0ascEf&#10;4DCfr3q1102WFuabCFLlRj7Wdag3DnVunGEBpa1xymet45qc/QIAAP//AwBQSwMEFAAGAAgAAAAh&#10;ADrHYprYAAAAAwEAAA8AAABkcnMvZG93bnJldi54bWxMj0FLw0AQhe+C/2EZwYu0G60UjdkUsSoe&#10;a1IEb9PsmASzsyG7baK/3lEPepnh8YY338tWk+vUgYbQejZwPk9AEVfetlwb2JYPsytQISJb7DyT&#10;gQ8KsMqPjzJMrR/5mQ5FrJWEcEjRQBNjn2odqoYchrnvicV784PDKHKotR1wlHDX6YskWWqHLcuH&#10;Bnu6a6h6L/bOwLjU96+Xa6LFpsTy5exxXVw/fRpzejLd3oCKNMW/Y/jGF3TIhWnn92yD6gxIkfgz&#10;xVskona/W+eZ/s+efwEAAP//AwBQSwECLQAUAAYACAAAACEAtoM4kv4AAADhAQAAEwAAAAAAAAAA&#10;AAAAAAAAAAAAW0NvbnRlbnRfVHlwZXNdLnhtbFBLAQItABQABgAIAAAAIQA4/SH/1gAAAJQBAAAL&#10;AAAAAAAAAAAAAAAAAC8BAABfcmVscy8ucmVsc1BLAQItABQABgAIAAAAIQAH6rB0fwIAAG4FAAAO&#10;AAAAAAAAAAAAAAAAAC4CAABkcnMvZTJvRG9jLnhtbFBLAQItABQABgAIAAAAIQA6x2Ka2AAAAAMB&#10;AAAPAAAAAAAAAAAAAAAAANkEAABkcnMvZG93bnJldi54bWxQSwUGAAAAAAQABADzAAAA3gUAAAAA&#10;" fillcolor="yellow" strokecolor="#375623 [1609]" strokeweight="1pt">
                      <v:stroke joinstyle="miter"/>
                      <w10:anchorlock/>
                    </v:oval>
                  </w:pict>
                </mc:Fallback>
              </mc:AlternateContent>
            </w:r>
          </w:p>
        </w:tc>
        <w:tc>
          <w:tcPr>
            <w:tcW w:w="7020" w:type="dxa"/>
          </w:tcPr>
          <w:p w14:paraId="69A43534" w14:textId="5A338142" w:rsidR="00DE508C" w:rsidRPr="002E213F" w:rsidRDefault="00DE508C" w:rsidP="00DE508C">
            <w:pPr>
              <w:rPr>
                <w:rFonts w:eastAsia="Times New Roman"/>
              </w:rPr>
            </w:pPr>
            <w:r w:rsidRPr="002E213F">
              <w:t>ACLs on A</w:t>
            </w:r>
            <w:r>
              <w:t xml:space="preserve">ctive </w:t>
            </w:r>
            <w:r w:rsidRPr="002E213F">
              <w:t>D</w:t>
            </w:r>
            <w:r>
              <w:t>irectory</w:t>
            </w:r>
            <w:r w:rsidRPr="002E213F">
              <w:t xml:space="preserve"> </w:t>
            </w:r>
            <w:r>
              <w:t>o</w:t>
            </w:r>
            <w:r w:rsidRPr="002E213F">
              <w:t>bjects must adhere to tier model</w:t>
            </w:r>
          </w:p>
        </w:tc>
      </w:tr>
      <w:tr w:rsidR="00DE508C" w:rsidRPr="00275388" w14:paraId="1D5ACA13" w14:textId="77777777" w:rsidTr="00915020">
        <w:tc>
          <w:tcPr>
            <w:tcW w:w="805" w:type="dxa"/>
            <w:vAlign w:val="center"/>
          </w:tcPr>
          <w:p w14:paraId="4010E36B" w14:textId="77777777" w:rsidR="00DE508C" w:rsidRPr="00275388" w:rsidRDefault="00DE508C" w:rsidP="00DE508C">
            <w:pPr>
              <w:jc w:val="center"/>
              <w:rPr>
                <w:noProof/>
              </w:rPr>
            </w:pPr>
            <w:r w:rsidRPr="00275388">
              <w:rPr>
                <w:noProof/>
              </w:rPr>
              <mc:AlternateContent>
                <mc:Choice Requires="wps">
                  <w:drawing>
                    <wp:inline distT="0" distB="0" distL="0" distR="0" wp14:anchorId="1258BAA1" wp14:editId="70FC7579">
                      <wp:extent cx="210553" cy="190500"/>
                      <wp:effectExtent l="0" t="0" r="18415" b="19050"/>
                      <wp:docPr id="1546650218" name="Octagon 1546650218"/>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4DF38B71" w14:textId="77777777" w:rsidR="008D2C68" w:rsidRDefault="008D2C68" w:rsidP="00F97B16">
                                  <w:pPr>
                                    <w:jc w:val="center"/>
                                  </w:pPr>
                                </w:p>
                                <w:p w14:paraId="13395588"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258BAA1" id="Octagon 1546650218" o:spid="_x0000_s1094"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tCyhAIAAG8FAAAOAAAAZHJzL2Uyb0RvYy54bWysVN1r2zAQfx/sfxB6X/3RJFtDnRJSOgal&#10;LW1HnxVZSgSyTpOU2Nlfv5PsuKErFMbyoNz5vu9+d5dXXaPJXjivwFS0OMspEYZDrcymoj+fb758&#10;o8QHZmqmwYiKHoSnV4vPny5bOxclbEHXwhF0Yvy8tRXdhmDnWeb5VjTMn4EVBoUSXMMCsm6T1Y61&#10;6L3RWZnns6wFV1sHXHiPX697IV0k/1IKHu6l9CIQXVHMLaTXpXcd32xxyeYbx+xW8SEN9g9ZNEwZ&#10;DDq6umaBkZ1Tf7lqFHfgQYYzDk0GUiouUg1YTZG/qeZpy6xItWBzvB3b5P+fW363f3BE1Ti76WQ2&#10;m+ZlgRMzrMFZ3fPANmDIiQTb1Vo/R6sn++AGziMZa++ka+I/VkW61OLD2GLRBcLxY1nk0+k5JRxF&#10;xUU+zdMIsldj63z4LqAhkago9Dmk3rL9rQ8YE7WPWjGcB63qG6V1YtxmvdKO7BkOfLXK8RdnjCYn&#10;almsoc86UeGgRTTW5lFIbAbmWaSICYZi9Mc4FyaUg8OkHc0kxh4Nzz82HPSjqUgQHY3Lj41HixQZ&#10;TBiNG2XAvedAh2JIWfb62I+TuiMZunWXUDCbRNX4aQ31AaHhoN8Zb/mNwpHcMh8emMMlwXXCxQ/3&#10;+EgNLc5qoCjZgvv93veoj9hFKSUtLl1F/a8dc4IS/cMgqi+KySRuaWIm068lMu5Usj6VmF2zAhxz&#10;gSfG8kRG/aCPpHTQvOB9WMaoKGKGY+yK8uCOzCr0xwAvDBfLZVLDzbQs3Jony49AiHh77l6YswMu&#10;AwL6Do4LyuZvsNnrxhEZWO4CSJWA+9rXYQS41QmcwwWKZ+OUT1qvd3LxBwAA//8DAFBLAwQUAAYA&#10;CAAAACEAtdNxHNoAAAADAQAADwAAAGRycy9kb3ducmV2LnhtbEyPQWvDMAyF74P9B6NBb63dFkqX&#10;xSljUNhhNKxb2dWNtSQ0loPtNum/n7ZLd9FDPPHep3wzuk5cMMTWk4b5TIFAqrxtqdbw+bGdrkHE&#10;ZMiazhNquGKETXF/l5vM+oHe8bJPteAQipnR0KTUZ1LGqkFn4sz3SOx9++BM4jXU0gYzcLjr5EKp&#10;lXSmJW5oTI8vDVan/dlpKE9D+bouy8evsF3t3oI7zMPuoPXkYXx+ApFwTLdj+MVndCiY6ejPZKPo&#10;NPAj6W+yt1wuQBxZlQJZ5PI/e/EDAAD//wMAUEsBAi0AFAAGAAgAAAAhALaDOJL+AAAA4QEAABMA&#10;AAAAAAAAAAAAAAAAAAAAAFtDb250ZW50X1R5cGVzXS54bWxQSwECLQAUAAYACAAAACEAOP0h/9YA&#10;AACUAQAACwAAAAAAAAAAAAAAAAAvAQAAX3JlbHMvLnJlbHNQSwECLQAUAAYACAAAACEADuLQsoQC&#10;AABvBQAADgAAAAAAAAAAAAAAAAAuAgAAZHJzL2Uyb0RvYy54bWxQSwECLQAUAAYACAAAACEAtdNx&#10;HNoAAAADAQAADwAAAAAAAAAAAAAAAADeBAAAZHJzL2Rvd25yZXYueG1sUEsFBgAAAAAEAAQA8wAA&#10;AOUFAAAAAA==&#10;" fillcolor="#c00" strokecolor="#ed7d31 [3205]" strokeweight=".5pt">
                      <v:textbox>
                        <w:txbxContent>
                          <w:p w14:paraId="4DF38B71" w14:textId="77777777" w:rsidR="008D2C68" w:rsidRDefault="008D2C68" w:rsidP="00F97B16">
                            <w:pPr>
                              <w:jc w:val="center"/>
                            </w:pPr>
                          </w:p>
                          <w:p w14:paraId="13395588" w14:textId="77777777" w:rsidR="008D2C68" w:rsidRDefault="008D2C68" w:rsidP="00F97B16">
                            <w:pPr>
                              <w:jc w:val="center"/>
                            </w:pPr>
                          </w:p>
                        </w:txbxContent>
                      </v:textbox>
                      <w10:anchorlock/>
                    </v:shape>
                  </w:pict>
                </mc:Fallback>
              </mc:AlternateContent>
            </w:r>
          </w:p>
        </w:tc>
        <w:tc>
          <w:tcPr>
            <w:tcW w:w="1170" w:type="dxa"/>
            <w:vAlign w:val="center"/>
          </w:tcPr>
          <w:p w14:paraId="62F14733" w14:textId="77777777" w:rsidR="00DE508C" w:rsidRPr="00275388" w:rsidRDefault="00DE508C" w:rsidP="00DE508C">
            <w:pPr>
              <w:jc w:val="center"/>
              <w:rPr>
                <w:noProof/>
              </w:rPr>
            </w:pPr>
            <w:r w:rsidRPr="00275388">
              <w:rPr>
                <w:noProof/>
              </w:rPr>
              <mc:AlternateContent>
                <mc:Choice Requires="wps">
                  <w:drawing>
                    <wp:inline distT="0" distB="0" distL="0" distR="0" wp14:anchorId="20338BA2" wp14:editId="7480963F">
                      <wp:extent cx="210553" cy="190500"/>
                      <wp:effectExtent l="0" t="0" r="18415" b="19050"/>
                      <wp:docPr id="1546650219" name="Octagon 1546650219"/>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1992EFF7" w14:textId="77777777" w:rsidR="008D2C68" w:rsidRDefault="008D2C68" w:rsidP="00F97B16">
                                  <w:pPr>
                                    <w:jc w:val="center"/>
                                  </w:pPr>
                                </w:p>
                                <w:p w14:paraId="350C9AFE"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0338BA2" id="Octagon 1546650219" o:spid="_x0000_s1095"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YQehQIAAG8FAAAOAAAAZHJzL2Uyb0RvYy54bWysVN1r2zAQfx/sfxB6X/3ROFtDnRJSMgal&#10;LW1HnxVZSgyyTpOU2Nlfv5PsOKErFMbyoNz5vu9+d9c3XaPIXlhXgy5pdpFSIjSHqtabkv58WX35&#10;RonzTFdMgRYlPQhHb+afP123ZiZy2IKqhCXoRLtZa0q69d7MksTxrWiYuwAjNAol2IZ5ZO0mqSxr&#10;0XujkjxNp0kLtjIWuHAOv972QjqP/qUU3D9I6YQnqqSYm4+vje86vMn8ms02lpltzYc02D9k0bBa&#10;Y9DR1S3zjOxs/ZerpuYWHEh/waFJQMqai1gDVpOlb6p53jIjYi3YHGfGNrn/55bf7x8tqSucXTGZ&#10;Tos0z64o0azBWT1wzzagyZkE29UaN0OrZ/NoB84hGWrvpG3CP1ZFutjiw9hi0XnC8WOepUVxSQlH&#10;UXaVFmkcQXIyNtb57wIaEoiSQp9D7C3b3zmPMVH7qBXCOVB1taqViozdrJfKkj3DgS+XKf7CjNHk&#10;TC0JNfRZR8oflAjGSj8Jic3APLMYMcJQjP4Y50L7fHAYtYOZxNij4eXHhoN+MBURoqNx/rHxaBEj&#10;g/ajcVNrsO85UD4bUpa9PvbjrO5A+m7dRRRMi6AaPq2hOiA0LPQ74wxf1TiSO+b8I7O4JLhOuPj+&#10;AR+poMVZDRQlW7C/3/se9BG7KKWkxaUrqfu1Y1ZQon5oRPVVNpmELY3MpPiaI2PPJetzid41S8Ax&#10;Z3hiDI9k0PfqSEoLzSveh0WIiiKmOcYuKff2yCx9fwzwwnCxWEQ13EzD/J1+NvwIhIC3l+6VWTPg&#10;0iOg7+G4oGz2Bpu9bhiRhsXOg6wjcE99HUaAWx3BOVygcDbO+ah1upPzPwAAAP//AwBQSwMEFAAG&#10;AAgAAAAhALXTcRzaAAAAAwEAAA8AAABkcnMvZG93bnJldi54bWxMj0FrwzAMhe+D/QejQW+t3RZK&#10;l8UpY1DYYTSsW9nVjbUkNJaD7Tbpv5+2S3fRQzzx3qd8M7pOXDDE1pOG+UyBQKq8banW8Pmxna5B&#10;xGTIms4TarhihE1xf5ebzPqB3vGyT7XgEIqZ0dCk1GdSxqpBZ+LM90jsffvgTOI11NIGM3C46+RC&#10;qZV0piVuaEyPLw1Wp/3ZaShPQ/m6LsvHr7Bd7d6CO8zD7qD15GF8fgKRcEy3Y/jFZ3QomOnoz2Sj&#10;6DTwI+lvsrdcLkAcWZUCWeTyP3vxAwAA//8DAFBLAQItABQABgAIAAAAIQC2gziS/gAAAOEBAAAT&#10;AAAAAAAAAAAAAAAAAAAAAABbQ29udGVudF9UeXBlc10ueG1sUEsBAi0AFAAGAAgAAAAhADj9If/W&#10;AAAAlAEAAAsAAAAAAAAAAAAAAAAALwEAAF9yZWxzLy5yZWxzUEsBAi0AFAAGAAgAAAAhAKQphB6F&#10;AgAAbwUAAA4AAAAAAAAAAAAAAAAALgIAAGRycy9lMm9Eb2MueG1sUEsBAi0AFAAGAAgAAAAhALXT&#10;cRzaAAAAAwEAAA8AAAAAAAAAAAAAAAAA3wQAAGRycy9kb3ducmV2LnhtbFBLBQYAAAAABAAEAPMA&#10;AADmBQAAAAA=&#10;" fillcolor="#c00" strokecolor="#ed7d31 [3205]" strokeweight=".5pt">
                      <v:textbox>
                        <w:txbxContent>
                          <w:p w14:paraId="1992EFF7" w14:textId="77777777" w:rsidR="008D2C68" w:rsidRDefault="008D2C68" w:rsidP="00F97B16">
                            <w:pPr>
                              <w:jc w:val="center"/>
                            </w:pPr>
                          </w:p>
                          <w:p w14:paraId="350C9AFE" w14:textId="77777777" w:rsidR="008D2C68" w:rsidRDefault="008D2C68" w:rsidP="00F97B16">
                            <w:pPr>
                              <w:jc w:val="center"/>
                            </w:pPr>
                          </w:p>
                        </w:txbxContent>
                      </v:textbox>
                      <w10:anchorlock/>
                    </v:shape>
                  </w:pict>
                </mc:Fallback>
              </mc:AlternateContent>
            </w:r>
          </w:p>
        </w:tc>
        <w:tc>
          <w:tcPr>
            <w:tcW w:w="900" w:type="dxa"/>
            <w:vAlign w:val="center"/>
          </w:tcPr>
          <w:p w14:paraId="5D456CBB" w14:textId="77777777" w:rsidR="00DE508C" w:rsidRPr="00275388" w:rsidRDefault="00DE508C" w:rsidP="00DE508C">
            <w:pPr>
              <w:jc w:val="center"/>
              <w:rPr>
                <w:noProof/>
              </w:rPr>
            </w:pPr>
            <w:r w:rsidRPr="00275388">
              <w:rPr>
                <w:noProof/>
              </w:rPr>
              <mc:AlternateContent>
                <mc:Choice Requires="wps">
                  <w:drawing>
                    <wp:inline distT="0" distB="0" distL="0" distR="0" wp14:anchorId="0410EB46" wp14:editId="181E7DA0">
                      <wp:extent cx="210553" cy="190500"/>
                      <wp:effectExtent l="0" t="0" r="18415" b="19050"/>
                      <wp:docPr id="1546650221" name="Octagon 1546650221"/>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3FA2C7F5" w14:textId="77777777" w:rsidR="008D2C68" w:rsidRDefault="008D2C68" w:rsidP="00F97B16">
                                  <w:pPr>
                                    <w:jc w:val="center"/>
                                  </w:pPr>
                                </w:p>
                                <w:p w14:paraId="62DDD8FE"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410EB46" id="Octagon 1546650221" o:spid="_x0000_s1096"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45uhAIAAG8FAAAOAAAAZHJzL2Uyb0RvYy54bWysVN1r2zAQfx/sfxB6X/3RJFtDnRJSOgal&#10;LW1HnxVZSgySTpOU2Nlfv5PsuKErFMb8IN/pvu9+p8urTiuyF843YCpanOWUCMOhbsymoj+fb758&#10;o8QHZmqmwIiKHoSnV4vPny5bOxclbEHVwhF0Yvy8tRXdhmDnWeb5Vmjmz8AKg0IJTrOArNtktWMt&#10;etcqK/N8lrXgauuAC+/x9roX0kXyL6Xg4V5KLwJRFcXcQjpdOtfxzBaXbL5xzG4bPqTB/iELzRqD&#10;QUdX1ywwsnPNX650wx14kOGMg85AyoaLVANWU+RvqnnaMitSLdgcb8c2+f/nlt/tHxxpapzddDKb&#10;TfOyLCgxTOOs7nlgGzDkRILtaq2fo9WTfXAD55GMtXfS6fjHqkiXWnwYWyy6QDhelkU+nZ5TwlFU&#10;XOTTPI0gezW2zofvAjSJREWhzyH1lu1vfcCYqH3UiuE8qKa+aZRKjNusV8qRPcOBr1Y5fnHGaHKi&#10;lsUa+qwTFQ5KRGNlHoXEZmCeRYqYYChGf4xzYUI5OEza0Uxi7NHw/GPDQT+aigTR0bj82Hi0SJHB&#10;hNFYNwbcew5UKIaUZa+P/TipO5KhW3cJBbNZVI1Xa6gPCA0H/c54y28aHMkt8+GBOVwSXCdc/HCP&#10;h1TQ4qwGipItuN/v3Ud9xC5KKWlx6Srqf+2YE5SoHwZRfVFMJnFLEzOZfi2RcaeS9anE7PQKcMwI&#10;WMwukVE/qCMpHegXfB+WMSqKmOEYu6I8uCOzCv1jgC8MF8tlUsPNtCzcmifLj0CIeHvuXpizAy4D&#10;AvoOjgvK5m+w2evGERlY7gLIJgH3ta/DCHCrEziHFyg+G6d80np9Jxd/AAAA//8DAFBLAwQUAAYA&#10;CAAAACEAtdNxHNoAAAADAQAADwAAAGRycy9kb3ducmV2LnhtbEyPQWvDMAyF74P9B6NBb63dFkqX&#10;xSljUNhhNKxb2dWNtSQ0loPtNum/n7ZLd9FDPPHep3wzuk5cMMTWk4b5TIFAqrxtqdbw+bGdrkHE&#10;ZMiazhNquGKETXF/l5vM+oHe8bJPteAQipnR0KTUZ1LGqkFn4sz3SOx9++BM4jXU0gYzcLjr5EKp&#10;lXSmJW5oTI8vDVan/dlpKE9D+bouy8evsF3t3oI7zMPuoPXkYXx+ApFwTLdj+MVndCiY6ejPZKPo&#10;NPAj6W+yt1wuQBxZlQJZ5PI/e/EDAAD//wMAUEsBAi0AFAAGAAgAAAAhALaDOJL+AAAA4QEAABMA&#10;AAAAAAAAAAAAAAAAAAAAAFtDb250ZW50X1R5cGVzXS54bWxQSwECLQAUAAYACAAAACEAOP0h/9YA&#10;AACUAQAACwAAAAAAAAAAAAAAAAAvAQAAX3JlbHMvLnJlbHNQSwECLQAUAAYACAAAACEA/CeOboQC&#10;AABvBQAADgAAAAAAAAAAAAAAAAAuAgAAZHJzL2Uyb0RvYy54bWxQSwECLQAUAAYACAAAACEAtdNx&#10;HNoAAAADAQAADwAAAAAAAAAAAAAAAADeBAAAZHJzL2Rvd25yZXYueG1sUEsFBgAAAAAEAAQA8wAA&#10;AOUFAAAAAA==&#10;" fillcolor="#c00" strokecolor="#ed7d31 [3205]" strokeweight=".5pt">
                      <v:textbox>
                        <w:txbxContent>
                          <w:p w14:paraId="3FA2C7F5" w14:textId="77777777" w:rsidR="008D2C68" w:rsidRDefault="008D2C68" w:rsidP="00F97B16">
                            <w:pPr>
                              <w:jc w:val="center"/>
                            </w:pPr>
                          </w:p>
                          <w:p w14:paraId="62DDD8FE" w14:textId="77777777" w:rsidR="008D2C68" w:rsidRDefault="008D2C68" w:rsidP="00F97B16">
                            <w:pPr>
                              <w:jc w:val="center"/>
                            </w:pPr>
                          </w:p>
                        </w:txbxContent>
                      </v:textbox>
                      <w10:anchorlock/>
                    </v:shape>
                  </w:pict>
                </mc:Fallback>
              </mc:AlternateContent>
            </w:r>
          </w:p>
        </w:tc>
        <w:tc>
          <w:tcPr>
            <w:tcW w:w="7020" w:type="dxa"/>
          </w:tcPr>
          <w:p w14:paraId="4B692FC7" w14:textId="6C747B36" w:rsidR="00DE508C" w:rsidRPr="00824BEC" w:rsidRDefault="00DE508C" w:rsidP="00DE508C">
            <w:pPr>
              <w:rPr>
                <w:rFonts w:eastAsia="Times New Roman"/>
              </w:rPr>
            </w:pPr>
            <w:r w:rsidRPr="00684DEB">
              <w:rPr>
                <w:rFonts w:eastAsia="Times New Roman"/>
              </w:rPr>
              <w:t xml:space="preserve">Access to </w:t>
            </w:r>
            <w:r>
              <w:rPr>
                <w:rFonts w:eastAsia="Times New Roman"/>
              </w:rPr>
              <w:t>s</w:t>
            </w:r>
            <w:r w:rsidRPr="00684DEB">
              <w:rPr>
                <w:rFonts w:eastAsia="Times New Roman"/>
              </w:rPr>
              <w:t>tored LAPS Local Account Passwords</w:t>
            </w:r>
          </w:p>
        </w:tc>
      </w:tr>
      <w:tr w:rsidR="00DE508C" w:rsidRPr="00275388" w14:paraId="042A07D3" w14:textId="77777777" w:rsidTr="00915020">
        <w:tc>
          <w:tcPr>
            <w:tcW w:w="805" w:type="dxa"/>
            <w:vAlign w:val="center"/>
          </w:tcPr>
          <w:p w14:paraId="3F06FA24" w14:textId="77777777" w:rsidR="00DE508C" w:rsidRPr="00F27BAB" w:rsidRDefault="00DE508C" w:rsidP="00DE508C">
            <w:pPr>
              <w:jc w:val="center"/>
              <w:rPr>
                <w:noProof/>
              </w:rPr>
            </w:pPr>
            <w:r w:rsidRPr="00275388">
              <w:rPr>
                <w:noProof/>
              </w:rPr>
              <mc:AlternateContent>
                <mc:Choice Requires="wps">
                  <w:drawing>
                    <wp:inline distT="0" distB="0" distL="0" distR="0" wp14:anchorId="64C62882" wp14:editId="210CE4B6">
                      <wp:extent cx="210553" cy="190500"/>
                      <wp:effectExtent l="0" t="0" r="18415" b="19050"/>
                      <wp:docPr id="1546650223" name="Octagon 1546650223"/>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73DA840D" w14:textId="77777777" w:rsidR="008D2C68" w:rsidRDefault="008D2C68" w:rsidP="00F97B16">
                                  <w:pPr>
                                    <w:jc w:val="center"/>
                                  </w:pPr>
                                </w:p>
                                <w:p w14:paraId="2108E9A0"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4C62882" id="Octagon 1546650223" o:spid="_x0000_s1097"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3+ghAIAAG8FAAAOAAAAZHJzL2Uyb0RvYy54bWysVN1r2zAQfx/sfxB6X/3RJF1DnRJSOgal&#10;LWtHnxVZSgSyTpOU2Nlfv5PsuKErFMbyoNz5vu9+d1fXXaPJXjivwFS0OMspEYZDrcymoj+fb798&#10;pcQHZmqmwYiKHoSn14vPn65aOxclbEHXwhF0Yvy8tRXdhmDnWeb5VjTMn4EVBoUSXMMCsm6T1Y61&#10;6L3RWZnns6wFV1sHXHiPX296IV0k/1IKHh6k9CIQXVHMLaTXpXcd32xxxeYbx+xW8SEN9g9ZNEwZ&#10;DDq6umGBkZ1Tf7lqFHfgQYYzDk0GUiouUg1YTZG/qeZpy6xItWBzvB3b5P+fW36/f3RE1Ti76WQ2&#10;m+ZleU6JYQ3O6oEHtgFDTiTYrtb6OVo92Uc3cB7JWHsnXRP/sSrSpRYfxhaLLhCOH8sin04xAkdR&#10;cZlP8zSC7NXYOh++CWhIJCoKfQ6pt2x/5wPGRO2jVgznQav6VmmdGLdZr7Qje4YDX61y/MUZo8mJ&#10;WhZr6LNOVDhoEY21+SEkNgPzLFLEBEMx+mOcCxPKwWHSjmYSY4+G5x8bDvrRVCSIjsblx8ajRYoM&#10;JozGjTLg3nOgQzGkLHt97MdJ3ZEM3bpLKJhdRNX4aQ31AaHhoN8Zb/mtwpHcMR8emcMlwXXCxQ8P&#10;+EgNLc5qoCjZgvv93veoj9hFKSUtLl1F/a8dc4IS/d0gqi+LySRuaWIm04sSGXcqWZ9KzK5ZAY65&#10;wBNjeSKjftBHUjpoXvA+LGNUFDHDMXZFeXBHZhX6Y4AXhovlMqnhZloW7syT5UcgRLw9dy/M2QGX&#10;AQF9D8cFZfM32Ox144gMLHcBpErAfe3rMALc6gTO4QLFs3HKJ63XO7n4AwAA//8DAFBLAwQUAAYA&#10;CAAAACEAtdNxHNoAAAADAQAADwAAAGRycy9kb3ducmV2LnhtbEyPQWvDMAyF74P9B6NBb63dFkqX&#10;xSljUNhhNKxb2dWNtSQ0loPtNum/n7ZLd9FDPPHep3wzuk5cMMTWk4b5TIFAqrxtqdbw+bGdrkHE&#10;ZMiazhNquGKETXF/l5vM+oHe8bJPteAQipnR0KTUZ1LGqkFn4sz3SOx9++BM4jXU0gYzcLjr5EKp&#10;lXSmJW5oTI8vDVan/dlpKE9D+bouy8evsF3t3oI7zMPuoPXkYXx+ApFwTLdj+MVndCiY6ejPZKPo&#10;NPAj6W+yt1wuQBxZlQJZ5PI/e/EDAAD//wMAUEsBAi0AFAAGAAgAAAAhALaDOJL+AAAA4QEAABMA&#10;AAAAAAAAAAAAAAAAAAAAAFtDb250ZW50X1R5cGVzXS54bWxQSwECLQAUAAYACAAAACEAOP0h/9YA&#10;AACUAQAACwAAAAAAAAAAAAAAAAAvAQAAX3JlbHMvLnJlbHNQSwECLQAUAAYACAAAACEA0hd/oIQC&#10;AABvBQAADgAAAAAAAAAAAAAAAAAuAgAAZHJzL2Uyb0RvYy54bWxQSwECLQAUAAYACAAAACEAtdNx&#10;HNoAAAADAQAADwAAAAAAAAAAAAAAAADeBAAAZHJzL2Rvd25yZXYueG1sUEsFBgAAAAAEAAQA8wAA&#10;AOUFAAAAAA==&#10;" fillcolor="#c00" strokecolor="#ed7d31 [3205]" strokeweight=".5pt">
                      <v:textbox>
                        <w:txbxContent>
                          <w:p w14:paraId="73DA840D" w14:textId="77777777" w:rsidR="008D2C68" w:rsidRDefault="008D2C68" w:rsidP="00F97B16">
                            <w:pPr>
                              <w:jc w:val="center"/>
                            </w:pPr>
                          </w:p>
                          <w:p w14:paraId="2108E9A0" w14:textId="77777777" w:rsidR="008D2C68" w:rsidRDefault="008D2C68" w:rsidP="00F97B16">
                            <w:pPr>
                              <w:jc w:val="center"/>
                            </w:pPr>
                          </w:p>
                        </w:txbxContent>
                      </v:textbox>
                      <w10:anchorlock/>
                    </v:shape>
                  </w:pict>
                </mc:Fallback>
              </mc:AlternateContent>
            </w:r>
          </w:p>
        </w:tc>
        <w:tc>
          <w:tcPr>
            <w:tcW w:w="1170" w:type="dxa"/>
            <w:vAlign w:val="center"/>
          </w:tcPr>
          <w:p w14:paraId="09B71C9C" w14:textId="77777777" w:rsidR="00DE508C" w:rsidRPr="00180EFD" w:rsidRDefault="00DE508C" w:rsidP="00DE508C">
            <w:pPr>
              <w:jc w:val="center"/>
              <w:rPr>
                <w:rFonts w:eastAsia="Arial" w:cs="Segoe UI"/>
                <w:noProof/>
                <w:sz w:val="20"/>
                <w:szCs w:val="20"/>
              </w:rPr>
            </w:pPr>
            <w:r w:rsidRPr="00275388">
              <w:rPr>
                <w:noProof/>
              </w:rPr>
              <mc:AlternateContent>
                <mc:Choice Requires="wps">
                  <w:drawing>
                    <wp:inline distT="0" distB="0" distL="0" distR="0" wp14:anchorId="06AED9A9" wp14:editId="7CE0DD11">
                      <wp:extent cx="210553" cy="190500"/>
                      <wp:effectExtent l="0" t="0" r="18415" b="19050"/>
                      <wp:docPr id="65" name="Octagon 65"/>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6DF75F30" w14:textId="77777777" w:rsidR="008D2C68" w:rsidRDefault="008D2C68" w:rsidP="00F97B16">
                                  <w:pPr>
                                    <w:jc w:val="center"/>
                                  </w:pPr>
                                </w:p>
                                <w:p w14:paraId="460B99E4"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6AED9A9" id="Octagon 65" o:spid="_x0000_s1098"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82AfAIAAF8FAAAOAAAAZHJzL2Uyb0RvYy54bWysVF9r2zAQfx/sOwi9r7bTpmtDnRJSOgal&#10;LWtHnxVZSgSSTpOU2Nmn30l23NAVCmN+kO90v/t/p6vrzmiyEz4osDWtTkpKhOXQKLuu6c/n2y8X&#10;lITIbMM0WFHTvQj0ev7501XrZmICG9CN8ASN2DBrXU03MbpZUQS+EYaFE3DColCCNywi69dF41mL&#10;1o0uJmV5XrTgG+eBixDw9qYX0nm2L6Xg8UHKICLRNcXYYj59PlfpLOZXbLb2zG0UH8Jg/xCFYcqi&#10;09HUDYuMbL36y5RR3EMAGU84mAKkVFzkHDCbqnyTzdOGOZFzweIEN5Yp/D+z/H736Ilqano+pcQy&#10;gz164JGtwRK8wfK0LswQ9eQe/cAFJFOunfQm/TEL0uWS7seSii4SjpeTqpxOTynhKKouy2mZS168&#10;Kjsf4jcBhiSiptD7zrVku7sQ0SeiD6jkLoBWza3SOjN+vVpqT3YMG7xclviloFHlCFakHPqoMxX3&#10;WiRlbX8IicljnFX2mMdOjPYY58LGyWAwo5OaRN+j4unHigM+qYo8kqPy5GPlUSN7BhtHZaMs+PcM&#10;6FgNIcsej/U4yjuRsVt1fdcvEjRdraDZ4yh46HckOH6rsCV3LMRH5nEpcH1w0eMDHlJDi70aKEo2&#10;4H+/d5/wOKsopaTFJatp+LVlXlCiv1uc4svq7CxtZWbOpl8nyPhjyepYYrdmCdjmCp8UxzOZ8FEf&#10;SOnBvOB7sEheUcQsR9815dEfmGXslx9fFC4WiwzDTXQs3tknxw+DkObtuXth3g1zGXGg7+GwkGz2&#10;ZjZ7bGqRhcU2glR5cF/rOrQAtzgP5/DipGfimM+o13dx/gcAAP//AwBQSwMEFAAGAAgAAAAhALXT&#10;cRzaAAAAAwEAAA8AAABkcnMvZG93bnJldi54bWxMj0FrwzAMhe+D/QejQW+t3RZKl8UpY1DYYTSs&#10;W9nVjbUkNJaD7Tbpv5+2S3fRQzzx3qd8M7pOXDDE1pOG+UyBQKq8banW8Pmxna5BxGTIms4Tarhi&#10;hE1xf5ebzPqB3vGyT7XgEIqZ0dCk1GdSxqpBZ+LM90jsffvgTOI11NIGM3C46+RCqZV0piVuaEyP&#10;Lw1Wp/3ZaShPQ/m6LsvHr7Bd7d6CO8zD7qD15GF8fgKRcEy3Y/jFZ3QomOnoz2Sj6DTwI+lvsrdc&#10;LkAcWZUCWeTyP3vxAwAA//8DAFBLAQItABQABgAIAAAAIQC2gziS/gAAAOEBAAATAAAAAAAAAAAA&#10;AAAAAAAAAABbQ29udGVudF9UeXBlc10ueG1sUEsBAi0AFAAGAAgAAAAhADj9If/WAAAAlAEAAAsA&#10;AAAAAAAAAAAAAAAALwEAAF9yZWxzLy5yZWxzUEsBAi0AFAAGAAgAAAAhAB9vzYB8AgAAXwUAAA4A&#10;AAAAAAAAAAAAAAAALgIAAGRycy9lMm9Eb2MueG1sUEsBAi0AFAAGAAgAAAAhALXTcRzaAAAAAwEA&#10;AA8AAAAAAAAAAAAAAAAA1gQAAGRycy9kb3ducmV2LnhtbFBLBQYAAAAABAAEAPMAAADdBQAAAAA=&#10;" fillcolor="#c00" strokecolor="#ed7d31 [3205]" strokeweight=".5pt">
                      <v:textbox>
                        <w:txbxContent>
                          <w:p w14:paraId="6DF75F30" w14:textId="77777777" w:rsidR="008D2C68" w:rsidRDefault="008D2C68" w:rsidP="00F97B16">
                            <w:pPr>
                              <w:jc w:val="center"/>
                            </w:pPr>
                          </w:p>
                          <w:p w14:paraId="460B99E4" w14:textId="77777777" w:rsidR="008D2C68" w:rsidRDefault="008D2C68" w:rsidP="00F97B16">
                            <w:pPr>
                              <w:jc w:val="center"/>
                            </w:pPr>
                          </w:p>
                        </w:txbxContent>
                      </v:textbox>
                      <w10:anchorlock/>
                    </v:shape>
                  </w:pict>
                </mc:Fallback>
              </mc:AlternateContent>
            </w:r>
          </w:p>
        </w:tc>
        <w:tc>
          <w:tcPr>
            <w:tcW w:w="900" w:type="dxa"/>
            <w:vAlign w:val="center"/>
          </w:tcPr>
          <w:p w14:paraId="50D144DE" w14:textId="77777777" w:rsidR="00DE508C" w:rsidRPr="00180EFD" w:rsidRDefault="00DE508C" w:rsidP="00DE508C">
            <w:pPr>
              <w:jc w:val="center"/>
              <w:rPr>
                <w:rFonts w:eastAsia="Arial" w:cs="Segoe UI"/>
                <w:noProof/>
                <w:sz w:val="20"/>
                <w:szCs w:val="20"/>
              </w:rPr>
            </w:pPr>
            <w:r w:rsidRPr="00275388">
              <w:rPr>
                <w:noProof/>
              </w:rPr>
              <mc:AlternateContent>
                <mc:Choice Requires="wps">
                  <w:drawing>
                    <wp:inline distT="0" distB="0" distL="0" distR="0" wp14:anchorId="598DC99D" wp14:editId="2F7C705E">
                      <wp:extent cx="210553" cy="190500"/>
                      <wp:effectExtent l="0" t="0" r="18415" b="19050"/>
                      <wp:docPr id="81" name="Octagon 81"/>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461B9792" w14:textId="77777777" w:rsidR="008D2C68" w:rsidRDefault="008D2C68" w:rsidP="00F97B16">
                                  <w:pPr>
                                    <w:jc w:val="center"/>
                                  </w:pPr>
                                </w:p>
                                <w:p w14:paraId="2B928A6A"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98DC99D" id="Octagon 81" o:spid="_x0000_s1099"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rSmfwIAAF8FAAAOAAAAZHJzL2Uyb0RvYy54bWysVF9r2zAQfx/sOwi9r7bTpmtDnRJSOgal&#10;LWtHnxVZSgSSTpOU2Nmn30l23NAVCmN+kO90/+9+p6vrzmiyEz4osDWtTkpKhOXQKLuu6c/n2y8X&#10;lITIbMM0WFHTvQj0ev7501XrZmICG9CN8ASd2DBrXU03MbpZUQS+EYaFE3DColCCNywi69dF41mL&#10;3o0uJmV5XrTgG+eBixDw9qYX0nn2L6Xg8UHKICLRNcXcYj59PlfpLOZXbLb2zG0UH9Jg/5CFYcpi&#10;0NHVDYuMbL36y5VR3EMAGU84mAKkVFzkGrCaqnxTzdOGOZFrweYEN7Yp/D+3/H736IlqanpRUWKZ&#10;wRk98MjWYAneYHtaF2ao9eQe/cAFJFOtnfQm/bEK0uWW7seWii4SjpeTqpxOTynhKKouy2mZW168&#10;Gjsf4jcBhiSiptDHzr1ku7sQMSZqH7RSuABaNbdK68z49WqpPdkxHPByWeKXkkaTI7Ui1dBnnam4&#10;1yIZa/tDSCwe86xyxAw7MfpjnAsbJ4PDrJ3MJMYeDU8/Nhz0k6nIkByNJx8bjxY5Mtg4Ghtlwb/n&#10;QMc8OOyB7PWxH0d1JzJ2qy5P/fzyMOMVNHuEgod+R4LjtwpHcsdCfGQelwLXBxc9PuAhNbQ4q4Gi&#10;ZAP+93v3SR+xilJKWlyymoZfW+YFJfq7RRRfVmdnaSszczb9OkHGH0tWxxK7NUvAMSNQMbtMJv2o&#10;D6T0YF7wPVikqChilmPsmvLoD8wy9suPLwoXi0VWw010LN7ZJ8cPQEh4e+5emHcDLiMC+h4OC8lm&#10;b7DZ66YRWVhsI0iVgZta3fd1GAFucQbn8OKkZ+KYz1qv7+L8DwAAAP//AwBQSwMEFAAGAAgAAAAh&#10;ALXTcRzaAAAAAwEAAA8AAABkcnMvZG93bnJldi54bWxMj0FrwzAMhe+D/QejQW+t3RZKl8UpY1DY&#10;YTSsW9nVjbUkNJaD7Tbpv5+2S3fRQzzx3qd8M7pOXDDE1pOG+UyBQKq8banW8Pmxna5BxGTIms4T&#10;arhihE1xf5ebzPqB3vGyT7XgEIqZ0dCk1GdSxqpBZ+LM90jsffvgTOI11NIGM3C46+RCqZV0piVu&#10;aEyPLw1Wp/3ZaShPQ/m6LsvHr7Bd7d6CO8zD7qD15GF8fgKRcEy3Y/jFZ3QomOnoz2Sj6DTwI+lv&#10;srdcLkAcWZUCWeTyP3vxAwAA//8DAFBLAQItABQABgAIAAAAIQC2gziS/gAAAOEBAAATAAAAAAAA&#10;AAAAAAAAAAAAAABbQ29udGVudF9UeXBlc10ueG1sUEsBAi0AFAAGAAgAAAAhADj9If/WAAAAlAEA&#10;AAsAAAAAAAAAAAAAAAAALwEAAF9yZWxzLy5yZWxzUEsBAi0AFAAGAAgAAAAhAIy+tKZ/AgAAXwUA&#10;AA4AAAAAAAAAAAAAAAAALgIAAGRycy9lMm9Eb2MueG1sUEsBAi0AFAAGAAgAAAAhALXTcRzaAAAA&#10;AwEAAA8AAAAAAAAAAAAAAAAA2QQAAGRycy9kb3ducmV2LnhtbFBLBQYAAAAABAAEAPMAAADgBQAA&#10;AAA=&#10;" fillcolor="#c00" strokecolor="#ed7d31 [3205]" strokeweight=".5pt">
                      <v:textbox>
                        <w:txbxContent>
                          <w:p w14:paraId="461B9792" w14:textId="77777777" w:rsidR="008D2C68" w:rsidRDefault="008D2C68" w:rsidP="00F97B16">
                            <w:pPr>
                              <w:jc w:val="center"/>
                            </w:pPr>
                          </w:p>
                          <w:p w14:paraId="2B928A6A" w14:textId="77777777" w:rsidR="008D2C68" w:rsidRDefault="008D2C68" w:rsidP="00F97B16">
                            <w:pPr>
                              <w:jc w:val="center"/>
                            </w:pPr>
                          </w:p>
                        </w:txbxContent>
                      </v:textbox>
                      <w10:anchorlock/>
                    </v:shape>
                  </w:pict>
                </mc:Fallback>
              </mc:AlternateContent>
            </w:r>
          </w:p>
        </w:tc>
        <w:tc>
          <w:tcPr>
            <w:tcW w:w="7020" w:type="dxa"/>
          </w:tcPr>
          <w:p w14:paraId="074BDB55" w14:textId="7EF0731E" w:rsidR="00DE508C" w:rsidRPr="00F82295" w:rsidRDefault="00DE508C" w:rsidP="00DE508C">
            <w:r w:rsidRPr="00F82295">
              <w:t>Admin</w:t>
            </w:r>
            <w:r>
              <w:t>istrative</w:t>
            </w:r>
            <w:r w:rsidRPr="00F82295">
              <w:t xml:space="preserve"> </w:t>
            </w:r>
            <w:r>
              <w:t>a</w:t>
            </w:r>
            <w:r w:rsidRPr="00F82295">
              <w:t>ccounts restricted from delegation</w:t>
            </w:r>
          </w:p>
        </w:tc>
      </w:tr>
      <w:tr w:rsidR="00DE508C" w:rsidRPr="00275388" w14:paraId="2FC1B8AE" w14:textId="77777777" w:rsidTr="00915020">
        <w:tc>
          <w:tcPr>
            <w:tcW w:w="805" w:type="dxa"/>
            <w:vAlign w:val="center"/>
          </w:tcPr>
          <w:p w14:paraId="5B7AE91E" w14:textId="77777777" w:rsidR="00DE508C" w:rsidRPr="00E85E5F" w:rsidRDefault="00DE508C" w:rsidP="00DE508C">
            <w:pPr>
              <w:jc w:val="center"/>
              <w:rPr>
                <w:noProof/>
              </w:rPr>
            </w:pPr>
            <w:r w:rsidRPr="00E85E5F">
              <w:rPr>
                <w:noProof/>
              </w:rPr>
              <mc:AlternateContent>
                <mc:Choice Requires="wps">
                  <w:drawing>
                    <wp:inline distT="0" distB="0" distL="0" distR="0" wp14:anchorId="53EF81F1" wp14:editId="2658D272">
                      <wp:extent cx="210553" cy="190500"/>
                      <wp:effectExtent l="0" t="0" r="18415" b="19050"/>
                      <wp:docPr id="262" name="Octagon 262"/>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2FD4DE33" w14:textId="77777777" w:rsidR="008D2C68" w:rsidRDefault="008D2C68" w:rsidP="00F97B16">
                                  <w:pPr>
                                    <w:jc w:val="center"/>
                                  </w:pPr>
                                </w:p>
                                <w:p w14:paraId="145D0E44"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3EF81F1" id="Octagon 262" o:spid="_x0000_s1100"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Jy8fwIAAGEFAAAOAAAAZHJzL2Uyb0RvYy54bWysVN1r2zAQfx/sfxB6X/3RpF1DnRJSMgal&#10;LWtHnxVZSgSyTpOU2Nlfv5PsuKErFMb8IN/pfnen+7y+6RpN9sJ5BaaixVlOiTAcamU2Ff35vPry&#10;lRIfmKmZBiMqehCe3sw/f7pu7UyUsAVdC0fQiPGz1lZ0G4KdZZnnW9EwfwZWGBRKcA0LyLpNVjvW&#10;ovVGZ2WeX2QtuNo64MJ7vL3thXSe7EspeHiQ0otAdEXxbSGdLp3reGbzazbbOGa3ig/PYP/wioYp&#10;g05HU7csMLJz6i9TjeIOPMhwxqHJQErFRYoBoynyN9E8bZkVKRZMjrdjmvz/M8vv94+OqLqi5UVJ&#10;iWENFumBB7YBQ+IVJqi1foa4J/voBs4jGaPtpGviH+MgXUrqYUyq6ALheFkW+XR6TglHUXGVT/OU&#10;9OxV2TofvgloSCQqCr3zlE22v/MBfSL6iIruPGhVr5TWiXGb9VI7smdY4uUyxy8+GlVOYFmMoX91&#10;osJBi6iszQ8hMXx8Z5E8psYToz3GuTAhZQENJnRUk+h7VDz/WHHAR1WRmnJULj9WHjWSZzBhVG6U&#10;AfeeAR2KIQeyx2M+TuKOZOjWXar7ZUpXvFpDfcBmcNBPibd8pbAkd8yHR+ZwLHCAcNTDAx5SQ4u1&#10;GihKtuB+v3cf8ditKKWkxTGrqP+1Y05Qor8b7OOrYjKJc5mYyfSyRMadStanErNrloBlLnCpWJ7I&#10;iA/6SEoHzQtuhEX0iiJmOPquKA/uyCxDP/64U7hYLBIMZ9GycGeeLD82Quy35+6FOTv0ZcCGvofj&#10;SLLZm97ssbFEBha7AFKlxn3N61ACnOPUnMPOiYvilE+o1804/wMAAP//AwBQSwMEFAAGAAgAAAAh&#10;ALXTcRzaAAAAAwEAAA8AAABkcnMvZG93bnJldi54bWxMj0FrwzAMhe+D/QejQW+t3RZKl8UpY1DY&#10;YTSsW9nVjbUkNJaD7Tbpv5+2S3fRQzzx3qd8M7pOXDDE1pOG+UyBQKq8banW8Pmxna5BxGTIms4T&#10;arhihE1xf5ebzPqB3vGyT7XgEIqZ0dCk1GdSxqpBZ+LM90jsffvgTOI11NIGM3C46+RCqZV0piVu&#10;aEyPLw1Wp/3ZaShPQ/m6LsvHr7Bd7d6CO8zD7qD15GF8fgKRcEy3Y/jFZ3QomOnoz2Sj6DTwI+lv&#10;srdcLkAcWZUCWeTyP3vxAwAA//8DAFBLAQItABQABgAIAAAAIQC2gziS/gAAAOEBAAATAAAAAAAA&#10;AAAAAAAAAAAAAABbQ29udGVudF9UeXBlc10ueG1sUEsBAi0AFAAGAAgAAAAhADj9If/WAAAAlAEA&#10;AAsAAAAAAAAAAAAAAAAALwEAAF9yZWxzLy5yZWxzUEsBAi0AFAAGAAgAAAAhAM3QnLx/AgAAYQUA&#10;AA4AAAAAAAAAAAAAAAAALgIAAGRycy9lMm9Eb2MueG1sUEsBAi0AFAAGAAgAAAAhALXTcRzaAAAA&#10;AwEAAA8AAAAAAAAAAAAAAAAA2QQAAGRycy9kb3ducmV2LnhtbFBLBQYAAAAABAAEAPMAAADgBQAA&#10;AAA=&#10;" fillcolor="#c00" strokecolor="#ed7d31 [3205]" strokeweight=".5pt">
                      <v:textbox>
                        <w:txbxContent>
                          <w:p w14:paraId="2FD4DE33" w14:textId="77777777" w:rsidR="008D2C68" w:rsidRDefault="008D2C68" w:rsidP="00F97B16">
                            <w:pPr>
                              <w:jc w:val="center"/>
                            </w:pPr>
                          </w:p>
                          <w:p w14:paraId="145D0E44" w14:textId="77777777" w:rsidR="008D2C68" w:rsidRDefault="008D2C68" w:rsidP="00F97B16">
                            <w:pPr>
                              <w:jc w:val="center"/>
                            </w:pPr>
                          </w:p>
                        </w:txbxContent>
                      </v:textbox>
                      <w10:anchorlock/>
                    </v:shape>
                  </w:pict>
                </mc:Fallback>
              </mc:AlternateContent>
            </w:r>
          </w:p>
        </w:tc>
        <w:tc>
          <w:tcPr>
            <w:tcW w:w="1170" w:type="dxa"/>
            <w:vAlign w:val="center"/>
          </w:tcPr>
          <w:p w14:paraId="154DF7F9" w14:textId="77777777" w:rsidR="00DE508C" w:rsidRPr="00E85E5F" w:rsidRDefault="00DE508C" w:rsidP="00DE508C">
            <w:pPr>
              <w:jc w:val="center"/>
              <w:rPr>
                <w:noProof/>
              </w:rPr>
            </w:pPr>
            <w:r w:rsidRPr="00E85E5F">
              <w:rPr>
                <w:rFonts w:eastAsia="Arial" w:cs="Segoe UI"/>
                <w:noProof/>
                <w:sz w:val="20"/>
                <w:szCs w:val="20"/>
              </w:rPr>
              <mc:AlternateContent>
                <mc:Choice Requires="wps">
                  <w:drawing>
                    <wp:inline distT="0" distB="0" distL="0" distR="0" wp14:anchorId="388E155D" wp14:editId="3DD6623C">
                      <wp:extent cx="209550" cy="180975"/>
                      <wp:effectExtent l="19050" t="19050" r="38100" b="28575"/>
                      <wp:docPr id="260" name="Isosceles Triangle 2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40C0D49" id="Isosceles Triangle 260"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XyqhgIAAHMFAAAOAAAAZHJzL2Uyb0RvYy54bWysVNtqGzEQfS/0H4Tem91141yWrINxcAmY&#10;NDQpeZa1ki2q1aiS7LX79R1pL0nTQKD0RUiaM/czc3V9aDTZC+cVmIoWJzklwnColdlU9Pvj8tMF&#10;JT4wUzMNRlT0KDy9nn38cNXaUkxgC7oWjqAR48vWVnQbgi2zzPOtaJg/ASsMCiW4hgV8uk1WO9ai&#10;9UZnkzw/y1pwtXXAhff4e9MJ6SzZl1Lw8FVKLwLRFcXYQjpdOtfxzGZXrNw4ZreK92Gwf4iiYcqg&#10;09HUDQuM7Jz6y1SjuAMPMpxwaDKQUnGRcsBsivxVNg9bZkXKBYvj7Vgm///M8rv9vSOqrujkDOtj&#10;WINNuvXgudDCk0enmNloQaIUa9VaX6LKg713MVtvV8B/eBRkf0jiw/eYg3RNxGKu5JAKfxwLLw6B&#10;cPyc5JfTKbrnKCou8svzaXSWsXJQts6HLwIaEi8VDX1YqeRsv/Khgw+wFBtoVS+V1unhNuuFdmTP&#10;kAfL5SLPUzrowT/DUg5d2CmBcNQiKmvzTUisEQZaJI+JnWK0xzgXJpz1ISd0VJPoe1T8/L5ij4+q&#10;IjF3VJ68rzxqJM9gwqjcKAPuLQM6FH3IssP3XfRd3rEEa6iPSA8H3dx4y5cKG7BiPtwzh4OCPcPh&#10;D1/xkBraikJ/o2QL7tdb/xGP/EUpJS0OXkX9zx1zghJ9a5DZl8XpaZzU9Didnk/w4V5K1i8lZtcs&#10;AHta4JqxPF0jPujhKh00T7gj5tEripjh6LuiPLjhsQjdQsAtw8V8nmA4nZaFlXmwfOh6JNfj4Yk5&#10;O7AQ6XsHw5Cy8hURO2zsh4H5LoBUiaXPde3rjZOduN5vobg6Xr4T6nlXzn4D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BJ&#10;gXyqhgIAAHM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900" w:type="dxa"/>
            <w:vAlign w:val="center"/>
          </w:tcPr>
          <w:p w14:paraId="6B2EB74A" w14:textId="77777777" w:rsidR="00DE508C" w:rsidRPr="00E85E5F" w:rsidRDefault="00DE508C" w:rsidP="00DE508C">
            <w:pPr>
              <w:jc w:val="center"/>
              <w:rPr>
                <w:noProof/>
              </w:rPr>
            </w:pPr>
            <w:r w:rsidRPr="00E85E5F">
              <w:rPr>
                <w:rFonts w:eastAsia="Arial" w:cs="Segoe UI"/>
                <w:noProof/>
                <w:sz w:val="20"/>
                <w:szCs w:val="20"/>
              </w:rPr>
              <mc:AlternateContent>
                <mc:Choice Requires="wps">
                  <w:drawing>
                    <wp:inline distT="0" distB="0" distL="0" distR="0" wp14:anchorId="64835C48" wp14:editId="1E7810BF">
                      <wp:extent cx="209550" cy="180975"/>
                      <wp:effectExtent l="19050" t="19050" r="38100" b="28575"/>
                      <wp:docPr id="261" name="Isosceles Triangle 2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98FA266" id="Isosceles Triangle 261"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vP5hwIAAHMFAAAOAAAAZHJzL2Uyb0RvYy54bWysVNtqGzEQfS/0H4Tem127cS5L1sE4uARM&#10;YpKUPMtayRbValRJ9tr9+o60l6RpIFD6IjSaM/czuro+1JrshfMKTElHJzklwnColNmU9PvT4ssF&#10;JT4wUzENRpT0KDy9nn7+dNXYQoxhC7oSjqAT44vGlnQbgi2yzPOtqJk/ASsMKiW4mgUU3SarHGvQ&#10;e62zcZ6fZQ24yjrgwnt8vWmVdJr8Syl4uJfSi0B0STG3kE6XznU8s+kVKzaO2a3iXRrsH7KomTIY&#10;dHB1wwIjO6f+clUr7sCDDCcc6gykVFykGrCaUf6mmsctsyLVgs3xdmiT/39u+d1+5YiqSjo+G1Fi&#10;WI1DuvXgudDCkyenmNloQaIWe9VYX6DJo125WK23S+A/PCqyPzRR8B3mIF0dsVgrOaTGH4fGi0Mg&#10;HB/H+eVkguPhqBpd5JfnkxgsY0VvbJ0P3wTUJF5KGrq0UsvZfulDC+9hKTfQqloorZPgNuu5dmTP&#10;kAeLxTzP0+gxgn+BpRratFMB4ahFNNbmQUjsESY6ShETO8Xgj3EuTDjrUk7oaCYx9mD49WPDDh9N&#10;RWLuYDz+2HiwSJHBhMG4Vgbcew50SCPFHsgW303Rt3XHFqyhOiI9HLR74y1fKBzAkvmwYg4XBWeG&#10;yx/u8ZAampJCd6NkC+7Xe+8Rj/xFLSUNLl5J/c8dc4ISfWuQ2Zej09O4qUk4nZyPUXCvNevXGrOr&#10;54AzRe5iduka8UH3V+mgfsY/YhajoooZjrFLyoPrhXloPwT8ZbiYzRIMt9OysDSPlvdTj+R6Ojwz&#10;Z3sWIn3voF9SVrwhYouN8zAw2wWQKrH0pa9dv3GzE9e7Xyh+Ha/lhHr5K6e/AQAA//8DAFBLAwQU&#10;AAYACAAAACEASkqQ6t0AAAADAQAADwAAAGRycy9kb3ducmV2LnhtbEyPQUvDQBCF74L/YRnBi9iN&#10;bZU0ZlNUsFAPgq1oe9tmp0lwdzZkt038945e6uXB4w3vfZPPB2fFEbvQeFJwM0pAIJXeNFQpeF8/&#10;X6cgQtRktPWECr4xwLw4P8t1ZnxPb3hcxUpwCYVMK6hjbDMpQ1mj02HkWyTO9r5zOrLtKmk63XO5&#10;s3KcJHfS6YZ4odYtPtVYfq0OTsGyX38+Xr3uN9PZ0m7bl34xTWcfSl1eDA/3ICIO8XQMv/iMDgUz&#10;7fyBTBBWAT8S/5SzyYTdTsE4vQVZ5PI/e/EDAAD//wMAUEsBAi0AFAAGAAgAAAAhALaDOJL+AAAA&#10;4QEAABMAAAAAAAAAAAAAAAAAAAAAAFtDb250ZW50X1R5cGVzXS54bWxQSwECLQAUAAYACAAAACEA&#10;OP0h/9YAAACUAQAACwAAAAAAAAAAAAAAAAAvAQAAX3JlbHMvLnJlbHNQSwECLQAUAAYACAAAACEA&#10;XZ7z+YcCAABzBQAADgAAAAAAAAAAAAAAAAAuAgAAZHJzL2Uyb0RvYy54bWxQSwECLQAUAAYACAAA&#10;ACEASkqQ6t0AAAADAQAADwAAAAAAAAAAAAAAAADhBAAAZHJzL2Rvd25yZXYueG1sUEsFBgAAAAAE&#10;AAQA8wAAAOsFAAAAAA==&#10;" fillcolor="#ffc000" strokecolor="#70ad47 [3209]" strokeweight=".5pt">
                      <v:path arrowok="t"/>
                      <w10:anchorlock/>
                    </v:shape>
                  </w:pict>
                </mc:Fallback>
              </mc:AlternateContent>
            </w:r>
          </w:p>
        </w:tc>
        <w:tc>
          <w:tcPr>
            <w:tcW w:w="7020" w:type="dxa"/>
          </w:tcPr>
          <w:p w14:paraId="7A3A75AF" w14:textId="06787F4D" w:rsidR="00DE508C" w:rsidRPr="00E85E5F" w:rsidRDefault="00DE508C" w:rsidP="00DE508C">
            <w:pPr>
              <w:rPr>
                <w:rFonts w:eastAsia="Times New Roman"/>
              </w:rPr>
            </w:pPr>
            <w:r w:rsidRPr="00E85E5F">
              <w:rPr>
                <w:rFonts w:eastAsia="Times New Roman"/>
              </w:rPr>
              <w:t>Regularly randomize password on smart</w:t>
            </w:r>
            <w:r>
              <w:rPr>
                <w:rFonts w:eastAsia="Times New Roman"/>
              </w:rPr>
              <w:t xml:space="preserve"> </w:t>
            </w:r>
            <w:r w:rsidRPr="00E85E5F">
              <w:rPr>
                <w:rFonts w:eastAsia="Times New Roman"/>
              </w:rPr>
              <w:t>card accounts (SCRIL Cycling)</w:t>
            </w:r>
          </w:p>
        </w:tc>
      </w:tr>
      <w:tr w:rsidR="00F97B16" w:rsidRPr="00036F75" w14:paraId="6E938939" w14:textId="77777777" w:rsidTr="00915020">
        <w:tc>
          <w:tcPr>
            <w:tcW w:w="805" w:type="dxa"/>
            <w:shd w:val="clear" w:color="auto" w:fill="BFBFBF" w:themeFill="background1" w:themeFillShade="BF"/>
            <w:vAlign w:val="center"/>
          </w:tcPr>
          <w:p w14:paraId="35D6B9A9" w14:textId="77777777" w:rsidR="00F97B16" w:rsidRPr="00036F75" w:rsidRDefault="00F97B16" w:rsidP="00915020">
            <w:pPr>
              <w:jc w:val="center"/>
              <w:rPr>
                <w:b/>
                <w:color w:val="FFFFFF" w:themeColor="background1"/>
              </w:rPr>
            </w:pPr>
          </w:p>
        </w:tc>
        <w:tc>
          <w:tcPr>
            <w:tcW w:w="1170" w:type="dxa"/>
            <w:shd w:val="clear" w:color="auto" w:fill="BFBFBF" w:themeFill="background1" w:themeFillShade="BF"/>
            <w:vAlign w:val="center"/>
          </w:tcPr>
          <w:p w14:paraId="099D690E" w14:textId="77777777" w:rsidR="00F97B16" w:rsidRPr="00036F75" w:rsidRDefault="00F97B16" w:rsidP="00915020">
            <w:pPr>
              <w:jc w:val="center"/>
              <w:rPr>
                <w:b/>
                <w:color w:val="FFFFFF" w:themeColor="background1"/>
              </w:rPr>
            </w:pPr>
          </w:p>
        </w:tc>
        <w:tc>
          <w:tcPr>
            <w:tcW w:w="900" w:type="dxa"/>
            <w:shd w:val="clear" w:color="auto" w:fill="BFBFBF" w:themeFill="background1" w:themeFillShade="BF"/>
            <w:vAlign w:val="center"/>
          </w:tcPr>
          <w:p w14:paraId="76D3FDB2" w14:textId="77777777" w:rsidR="00F97B16" w:rsidRPr="00036F75" w:rsidRDefault="00F97B16" w:rsidP="00915020">
            <w:pPr>
              <w:jc w:val="center"/>
              <w:rPr>
                <w:b/>
                <w:color w:val="FFFFFF" w:themeColor="background1"/>
              </w:rPr>
            </w:pPr>
          </w:p>
        </w:tc>
        <w:tc>
          <w:tcPr>
            <w:tcW w:w="7020" w:type="dxa"/>
            <w:shd w:val="clear" w:color="auto" w:fill="BFBFBF" w:themeFill="background1" w:themeFillShade="BF"/>
          </w:tcPr>
          <w:p w14:paraId="3DB89E09" w14:textId="77777777" w:rsidR="00F97B16" w:rsidRPr="00036F75" w:rsidRDefault="00F97B16" w:rsidP="00915020">
            <w:pPr>
              <w:rPr>
                <w:b/>
                <w:color w:val="FFFFFF" w:themeColor="background1"/>
              </w:rPr>
            </w:pPr>
            <w:r>
              <w:rPr>
                <w:b/>
                <w:color w:val="FFFFFF" w:themeColor="background1"/>
              </w:rPr>
              <w:t>Group Policy Objects (GPOs)</w:t>
            </w:r>
          </w:p>
        </w:tc>
      </w:tr>
      <w:tr w:rsidR="00DE508C" w:rsidRPr="00F72853" w14:paraId="5F627C2A" w14:textId="77777777" w:rsidTr="00915020">
        <w:tc>
          <w:tcPr>
            <w:tcW w:w="805" w:type="dxa"/>
            <w:vAlign w:val="center"/>
          </w:tcPr>
          <w:p w14:paraId="2D043443" w14:textId="77777777" w:rsidR="00DE508C" w:rsidRPr="00F72853" w:rsidRDefault="00DE508C" w:rsidP="00DE508C">
            <w:pPr>
              <w:jc w:val="center"/>
              <w:rPr>
                <w:color w:val="212121"/>
              </w:rPr>
            </w:pPr>
            <w:r w:rsidRPr="00F72853">
              <w:rPr>
                <w:noProof/>
              </w:rPr>
              <mc:AlternateContent>
                <mc:Choice Requires="wps">
                  <w:drawing>
                    <wp:inline distT="0" distB="0" distL="0" distR="0" wp14:anchorId="7F273A03" wp14:editId="1EE981FF">
                      <wp:extent cx="210553" cy="190500"/>
                      <wp:effectExtent l="0" t="0" r="18415" b="19050"/>
                      <wp:docPr id="1546650226" name="Octagon 1546650226"/>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50F901F8" w14:textId="77777777" w:rsidR="008D2C68" w:rsidRDefault="008D2C68" w:rsidP="00F97B16">
                                  <w:pPr>
                                    <w:jc w:val="center"/>
                                  </w:pPr>
                                </w:p>
                                <w:p w14:paraId="7BCD7AEE"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F273A03" id="Octagon 1546650226" o:spid="_x0000_s1101"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v/yhAIAAG8FAAAOAAAAZHJzL2Uyb0RvYy54bWysVN1r2zAQfx/sfxB6X/3RJF1DnRJSOgal&#10;LWtHnxVZSgSyTpOU2Nlfv5PsuKErFMbyoNz5vu9+d1fXXaPJXjivwFS0OMspEYZDrcymoj+fb798&#10;pcQHZmqmwYiKHoSn14vPn65aOxclbEHXwhF0Yvy8tRXdhmDnWeb5VjTMn4EVBoUSXMMCsm6T1Y61&#10;6L3RWZnns6wFV1sHXHiPX296IV0k/1IKHh6k9CIQXVHMLaTXpXcd32xxxeYbx+xW8SEN9g9ZNEwZ&#10;DDq6umGBkZ1Tf7lqFHfgQYYzDk0GUiouUg1YTZG/qeZpy6xItWBzvB3b5P+fW36/f3RE1Ti76WQ2&#10;m+ZlOaPEsAZn9cAD24AhJxJsV2v9HK2e7KMbOI9krL2Tron/WBXpUosPY4tFFwjHj2WRT6fnlHAU&#10;FZf5NE8jyF6NrfPhm4CGRKKi0OeQesv2dz5gTNQ+asVwHrSqb5XWiXGb9Uo7smc48NUqx1+cMZqc&#10;qGWxhj7rRIWDFtFYmx9CYjMwzyJFTDAUoz/GuTChHBwm7WgmMfZoeP6x4aAfTUWC6Ghcfmw8WqTI&#10;YMJo3CgD7j0HOhRDyrLXx36c1B3J0K27hIKLpBo/raE+IDQc9DvjLb9VOJI75sMjc7gkuE64+OEB&#10;H6mhxVkNFCVbcL/f+x71EbsopaTFpauo/7VjTlCivxtE9WUxmcQtTcxkelEi404l61OJ2TUrwDEX&#10;eGIsT2TUD/pISgfNC96HZYyKImY4xq4oD+7IrEJ/DPDCcLFcJjXcTMvCnXmy/AiEiLfn7oU5O+Ay&#10;IKDv4bigbP4Gm71uHJGB5S6AVAm4r30dRoBbncA5XKB4Nk75pPV6Jxd/AAAA//8DAFBLAwQUAAYA&#10;CAAAACEAtdNxHNoAAAADAQAADwAAAGRycy9kb3ducmV2LnhtbEyPQWvDMAyF74P9B6NBb63dFkqX&#10;xSljUNhhNKxb2dWNtSQ0loPtNum/n7ZLd9FDPPHep3wzuk5cMMTWk4b5TIFAqrxtqdbw+bGdrkHE&#10;ZMiazhNquGKETXF/l5vM+oHe8bJPteAQipnR0KTUZ1LGqkFn4sz3SOx9++BM4jXU0gYzcLjr5EKp&#10;lXSmJW5oTI8vDVan/dlpKE9D+bouy8evsF3t3oI7zMPuoPXkYXx+ApFwTLdj+MVndCiY6ejPZKPo&#10;NPAj6W+yt1wuQBxZlQJZ5PI/e/EDAAD//wMAUEsBAi0AFAAGAAgAAAAhALaDOJL+AAAA4QEAABMA&#10;AAAAAAAAAAAAAAAAAAAAAFtDb250ZW50X1R5cGVzXS54bWxQSwECLQAUAAYACAAAACEAOP0h/9YA&#10;AACUAQAACwAAAAAAAAAAAAAAAAAvAQAAX3JlbHMvLnJlbHNQSwECLQAUAAYACAAAACEAq+b/8oQC&#10;AABvBQAADgAAAAAAAAAAAAAAAAAuAgAAZHJzL2Uyb0RvYy54bWxQSwECLQAUAAYACAAAACEAtdNx&#10;HNoAAAADAQAADwAAAAAAAAAAAAAAAADeBAAAZHJzL2Rvd25yZXYueG1sUEsFBgAAAAAEAAQA8wAA&#10;AOUFAAAAAA==&#10;" fillcolor="#c00" strokecolor="#ed7d31 [3205]" strokeweight=".5pt">
                      <v:textbox>
                        <w:txbxContent>
                          <w:p w14:paraId="50F901F8" w14:textId="77777777" w:rsidR="008D2C68" w:rsidRDefault="008D2C68" w:rsidP="00F97B16">
                            <w:pPr>
                              <w:jc w:val="center"/>
                            </w:pPr>
                          </w:p>
                          <w:p w14:paraId="7BCD7AEE" w14:textId="77777777" w:rsidR="008D2C68" w:rsidRDefault="008D2C68" w:rsidP="00F97B16">
                            <w:pPr>
                              <w:jc w:val="center"/>
                            </w:pPr>
                          </w:p>
                        </w:txbxContent>
                      </v:textbox>
                      <w10:anchorlock/>
                    </v:shape>
                  </w:pict>
                </mc:Fallback>
              </mc:AlternateContent>
            </w:r>
          </w:p>
        </w:tc>
        <w:tc>
          <w:tcPr>
            <w:tcW w:w="1170" w:type="dxa"/>
            <w:vAlign w:val="center"/>
          </w:tcPr>
          <w:p w14:paraId="1555BF31" w14:textId="77777777" w:rsidR="00DE508C" w:rsidRPr="00F72853" w:rsidRDefault="00DE508C" w:rsidP="00DE508C">
            <w:pPr>
              <w:jc w:val="center"/>
              <w:rPr>
                <w:color w:val="212121"/>
              </w:rPr>
            </w:pPr>
            <w:r w:rsidRPr="00F72853">
              <w:rPr>
                <w:noProof/>
              </w:rPr>
              <mc:AlternateContent>
                <mc:Choice Requires="wps">
                  <w:drawing>
                    <wp:inline distT="0" distB="0" distL="0" distR="0" wp14:anchorId="7F2CE5AE" wp14:editId="78744070">
                      <wp:extent cx="210553" cy="190500"/>
                      <wp:effectExtent l="0" t="0" r="18415" b="19050"/>
                      <wp:docPr id="1546650227" name="Octagon 1546650227"/>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14F1F59F" w14:textId="77777777" w:rsidR="008D2C68" w:rsidRDefault="008D2C68" w:rsidP="00F97B16">
                                  <w:pPr>
                                    <w:jc w:val="center"/>
                                  </w:pPr>
                                </w:p>
                                <w:p w14:paraId="2168A3AA"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F2CE5AE" id="Octagon 1546650227" o:spid="_x0000_s1102"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kqehAIAAG8FAAAOAAAAZHJzL2Uyb0RvYy54bWysVN1r2zAQfx/sfxB6X/3RpF1DnRJSOgal&#10;DWtHnxVZSgySTpOU2Nlfv5PsuKErFMbyoNz5vu9+d9c3nVZkL5xvwFS0OMspEYZD3ZhNRX8+3335&#10;SokPzNRMgREVPQhPb+afP123diZK2IKqhSPoxPhZayu6DcHOsszzrdDMn4EVBoUSnGYBWbfJasda&#10;9K5VVub5RdaCq60DLrzHr7e9kM6TfykFD49SehGIqijmFtLr0ruObza/ZrONY3bb8CEN9g9ZaNYY&#10;DDq6umWBkZ1r/nKlG+7AgwxnHHQGUjZcpBqwmiJ/U83TllmRasHmeDu2yf8/t/xhv3KkqXF208nF&#10;xTQvy0tKDNM4q0ce2AYMOZFgu1rrZ2j1ZFdu4DySsfZOOh3/sSrSpRYfxhaLLhCOH8sin07PKeEo&#10;Kq7yaZ5GkL0aW+fDNwGaRKKi0OeQesv29z5gTNQ+asVwHlRT3zVKJcZt1kvlyJ7hwJfLHH9xxmhy&#10;opbFGvqsExUOSkRjZX4Iic3APIsUMcFQjP4Y58KEcnCYtKOZxNij4fnHhoN+NBUJoqNx+bHxaJEi&#10;gwmjsW4MuPccqFAMKcteH/txUnckQ7fuEgouU3Xx0xrqA0LDQb8z3vK7Bkdyz3xYMYdLguuEix8e&#10;8ZEKWpzVQFGyBff7ve9RH7GLUkpaXLqK+l875gQl6rtBVF8Vk0nc0sRMppclMu5Usj6VmJ1eAo65&#10;wBNjeSKjflBHUjrQL3gfFjEqipjhGLuiPLgjswz9McALw8VikdRwMy0L9+bJ8iMQIt6euxfm7IDL&#10;gIB+gOOCstkbbPa6cUQGFrsAsknAfe3rMALc6gTO4QLFs3HKJ63XOzn/AwAA//8DAFBLAwQUAAYA&#10;CAAAACEAtdNxHNoAAAADAQAADwAAAGRycy9kb3ducmV2LnhtbEyPQWvDMAyF74P9B6NBb63dFkqX&#10;xSljUNhhNKxb2dWNtSQ0loPtNum/n7ZLd9FDPPHep3wzuk5cMMTWk4b5TIFAqrxtqdbw+bGdrkHE&#10;ZMiazhNquGKETXF/l5vM+oHe8bJPteAQipnR0KTUZ1LGqkFn4sz3SOx9++BM4jXU0gYzcLjr5EKp&#10;lXSmJW5oTI8vDVan/dlpKE9D+bouy8evsF3t3oI7zMPuoPXkYXx+ApFwTLdj+MVndCiY6ejPZKPo&#10;NPAj6W+yt1wuQBxZlQJZ5PI/e/EDAAD//wMAUEsBAi0AFAAGAAgAAAAhALaDOJL+AAAA4QEAABMA&#10;AAAAAAAAAAAAAAAAAAAAAFtDb250ZW50X1R5cGVzXS54bWxQSwECLQAUAAYACAAAACEAOP0h/9YA&#10;AACUAQAACwAAAAAAAAAAAAAAAAAvAQAAX3JlbHMvLnJlbHNQSwECLQAUAAYACAAAACEA7O5KnoQC&#10;AABvBQAADgAAAAAAAAAAAAAAAAAuAgAAZHJzL2Uyb0RvYy54bWxQSwECLQAUAAYACAAAACEAtdNx&#10;HNoAAAADAQAADwAAAAAAAAAAAAAAAADeBAAAZHJzL2Rvd25yZXYueG1sUEsFBgAAAAAEAAQA8wAA&#10;AOUFAAAAAA==&#10;" fillcolor="#c00" strokecolor="#ed7d31 [3205]" strokeweight=".5pt">
                      <v:textbox>
                        <w:txbxContent>
                          <w:p w14:paraId="14F1F59F" w14:textId="77777777" w:rsidR="008D2C68" w:rsidRDefault="008D2C68" w:rsidP="00F97B16">
                            <w:pPr>
                              <w:jc w:val="center"/>
                            </w:pPr>
                          </w:p>
                          <w:p w14:paraId="2168A3AA" w14:textId="77777777" w:rsidR="008D2C68" w:rsidRDefault="008D2C68" w:rsidP="00F97B16">
                            <w:pPr>
                              <w:jc w:val="center"/>
                            </w:pPr>
                          </w:p>
                        </w:txbxContent>
                      </v:textbox>
                      <w10:anchorlock/>
                    </v:shape>
                  </w:pict>
                </mc:Fallback>
              </mc:AlternateContent>
            </w:r>
          </w:p>
        </w:tc>
        <w:tc>
          <w:tcPr>
            <w:tcW w:w="900" w:type="dxa"/>
            <w:vAlign w:val="center"/>
          </w:tcPr>
          <w:p w14:paraId="15946DE8" w14:textId="77777777" w:rsidR="00DE508C" w:rsidRPr="00F72853" w:rsidRDefault="00DE508C" w:rsidP="00DE508C">
            <w:pPr>
              <w:jc w:val="center"/>
              <w:rPr>
                <w:color w:val="212121"/>
              </w:rPr>
            </w:pPr>
            <w:r w:rsidRPr="00F72853">
              <w:rPr>
                <w:noProof/>
              </w:rPr>
              <mc:AlternateContent>
                <mc:Choice Requires="wps">
                  <w:drawing>
                    <wp:inline distT="0" distB="0" distL="0" distR="0" wp14:anchorId="1ED90F30" wp14:editId="082859B7">
                      <wp:extent cx="210553" cy="190500"/>
                      <wp:effectExtent l="0" t="0" r="18415" b="19050"/>
                      <wp:docPr id="64" name="Octagon 64"/>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465B6E80" w14:textId="77777777" w:rsidR="008D2C68" w:rsidRDefault="008D2C68" w:rsidP="00F97B16">
                                  <w:pPr>
                                    <w:jc w:val="center"/>
                                  </w:pPr>
                                </w:p>
                                <w:p w14:paraId="3CAAF1C0"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ED90F30" id="Octagon 64" o:spid="_x0000_s1103"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vMMfQIAAF8FAAAOAAAAZHJzL2Uyb0RvYy54bWysVN1r2zAQfx/sfxB6X23no11DnBJSOgal&#10;DWtHnxVZSgSyTpOU2Nlfv5PsuKErFMb8IN/pfvd9p/lNW2tyEM4rMCUtLnJKhOFQKbMt6c/nuy9f&#10;KfGBmYppMKKkR+HpzeLzp3ljZ2IEO9CVcASNGD9rbEl3IdhZlnm+EzXzF2CFQaEEV7OArNtmlWMN&#10;Wq91Nsrzy6wBV1kHXHiPt7edkC6SfSkFD49SehGILinGFtLp0rmJZ7aYs9nWMbtTvA+D/UMUNVMG&#10;nQ6mbllgZO/UX6ZqxR14kOGCQ52BlIqLlANmU+RvsnnaMStSLlgcb4cy+f9nlj8c1o6oqqSXE0oM&#10;q7FHjzywLRiCN1iexvoZop7s2vWcRzLm2kpXxz9mQdpU0uNQUtEGwvFyVOTT6ZgSjqLiOp/mqeTZ&#10;q7J1PnwTUJNIlBQ636mW7HDvA/pE9AkV3XnQqrpTWifGbTcr7ciBYYNXqxy/GDSqnMGymEMXdaLC&#10;UYuorM0PITF5jLNIHtPYicEe41yYMOoNJnRUk+h7UBx/rNjjo6pIIzkojz5WHjSSZzBhUK6VAfee&#10;AR2KPmTZ4bEeZ3lHMrSbNnX9ahyh8WoD1RFHwUG3I97yO4UtuWc+rJnDpcD1wUUPj3hIDQ32qqco&#10;2YH7/d59xOOsopSSBpespP7XnjlBif5ucIqvi8kkbmViJtOrETLuXLI5l5h9vQJsc4FPiuWJjPig&#10;T6R0UL/ge7CMXlHEDEffJeXBnZhV6JYfXxQulssEw020LNybJ8tPgxDn7bl9Yc72cxlwoB/gtJBs&#10;9mY2O2xskYHlPoBUaXBf69q3ALc4DWf/4sRn4pxPqNd3cfEHAAD//wMAUEsDBBQABgAIAAAAIQC1&#10;03Ec2gAAAAMBAAAPAAAAZHJzL2Rvd25yZXYueG1sTI9Ba8MwDIXvg/0Ho0Fvrd0WSpfFKWNQ2GE0&#10;rFvZ1Y21JDSWg+026b+ftkt30UM88d6nfDO6TlwwxNaThvlMgUCqvG2p1vD5sZ2uQcRkyJrOE2q4&#10;YoRNcX+Xm8z6gd7xsk+14BCKmdHQpNRnUsaqQWfizPdI7H374EziNdTSBjNwuOvkQqmVdKYlbmhM&#10;jy8NVqf92WkoT0P5ui7Lx6+wXe3egjvMw+6g9eRhfH4CkXBMt2P4xWd0KJjp6M9ko+g08CPpb7K3&#10;XC5AHFmVAlnk8j978QMAAP//AwBQSwECLQAUAAYACAAAACEAtoM4kv4AAADhAQAAEwAAAAAAAAAA&#10;AAAAAAAAAAAAW0NvbnRlbnRfVHlwZXNdLnhtbFBLAQItABQABgAIAAAAIQA4/SH/1gAAAJQBAAAL&#10;AAAAAAAAAAAAAAAAAC8BAABfcmVscy8ucmVsc1BLAQItABQABgAIAAAAIQDOXvMMfQIAAF8FAAAO&#10;AAAAAAAAAAAAAAAAAC4CAABkcnMvZTJvRG9jLnhtbFBLAQItABQABgAIAAAAIQC103Ec2gAAAAMB&#10;AAAPAAAAAAAAAAAAAAAAANcEAABkcnMvZG93bnJldi54bWxQSwUGAAAAAAQABADzAAAA3gUAAAAA&#10;" fillcolor="#c00" strokecolor="#ed7d31 [3205]" strokeweight=".5pt">
                      <v:textbox>
                        <w:txbxContent>
                          <w:p w14:paraId="465B6E80" w14:textId="77777777" w:rsidR="008D2C68" w:rsidRDefault="008D2C68" w:rsidP="00F97B16">
                            <w:pPr>
                              <w:jc w:val="center"/>
                            </w:pPr>
                          </w:p>
                          <w:p w14:paraId="3CAAF1C0" w14:textId="77777777" w:rsidR="008D2C68" w:rsidRDefault="008D2C68" w:rsidP="00F97B16">
                            <w:pPr>
                              <w:jc w:val="center"/>
                            </w:pPr>
                          </w:p>
                        </w:txbxContent>
                      </v:textbox>
                      <w10:anchorlock/>
                    </v:shape>
                  </w:pict>
                </mc:Fallback>
              </mc:AlternateContent>
            </w:r>
          </w:p>
        </w:tc>
        <w:tc>
          <w:tcPr>
            <w:tcW w:w="7020" w:type="dxa"/>
          </w:tcPr>
          <w:p w14:paraId="7A490C1C" w14:textId="2D6F2BE7" w:rsidR="00DE508C" w:rsidRPr="00F72853" w:rsidRDefault="00DE508C" w:rsidP="00DE508C">
            <w:pPr>
              <w:ind w:left="342"/>
              <w:rPr>
                <w:rFonts w:eastAsia="Times New Roman"/>
              </w:rPr>
            </w:pPr>
            <w:r w:rsidRPr="00F72853">
              <w:rPr>
                <w:rFonts w:eastAsia="Times New Roman"/>
              </w:rPr>
              <w:t xml:space="preserve">GPO </w:t>
            </w:r>
            <w:r>
              <w:rPr>
                <w:rFonts w:eastAsia="Times New Roman"/>
              </w:rPr>
              <w:t>a</w:t>
            </w:r>
            <w:r w:rsidRPr="00F72853">
              <w:rPr>
                <w:rFonts w:eastAsia="Times New Roman"/>
              </w:rPr>
              <w:t xml:space="preserve">dherence to Microsoft </w:t>
            </w:r>
            <w:r>
              <w:rPr>
                <w:rFonts w:eastAsia="Times New Roman"/>
              </w:rPr>
              <w:t>b</w:t>
            </w:r>
            <w:r w:rsidRPr="00F72853">
              <w:rPr>
                <w:rFonts w:eastAsia="Times New Roman"/>
              </w:rPr>
              <w:t>aselines</w:t>
            </w:r>
          </w:p>
        </w:tc>
      </w:tr>
      <w:tr w:rsidR="00DE508C" w:rsidRPr="00275388" w14:paraId="7856C19D" w14:textId="77777777" w:rsidTr="00915020">
        <w:tc>
          <w:tcPr>
            <w:tcW w:w="805" w:type="dxa"/>
            <w:vAlign w:val="center"/>
          </w:tcPr>
          <w:p w14:paraId="604249F9" w14:textId="77777777" w:rsidR="00DE508C" w:rsidRPr="00F72853" w:rsidRDefault="00DE508C" w:rsidP="00DE508C">
            <w:pPr>
              <w:jc w:val="center"/>
              <w:rPr>
                <w:color w:val="212121"/>
              </w:rPr>
            </w:pPr>
            <w:r w:rsidRPr="00F72853">
              <w:rPr>
                <w:noProof/>
              </w:rPr>
              <mc:AlternateContent>
                <mc:Choice Requires="wps">
                  <w:drawing>
                    <wp:inline distT="0" distB="0" distL="0" distR="0" wp14:anchorId="0F067A94" wp14:editId="069942FB">
                      <wp:extent cx="210553" cy="190500"/>
                      <wp:effectExtent l="0" t="0" r="18415" b="19050"/>
                      <wp:docPr id="1546650233" name="Octagon 1546650233"/>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05093702" w14:textId="77777777" w:rsidR="008D2C68" w:rsidRDefault="008D2C68" w:rsidP="00F97B16">
                                  <w:pPr>
                                    <w:jc w:val="center"/>
                                  </w:pPr>
                                </w:p>
                                <w:p w14:paraId="4D8FFC8D"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F067A94" id="Octagon 1546650233" o:spid="_x0000_s1104"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PnbhQIAAG8FAAAOAAAAZHJzL2Uyb0RvYy54bWysVN1r2zAQfx/sfxB6X/3RpF1DnRJSOgal&#10;DWtHnxVZSgSyTpOU2Nlfv5PsuKErFMbyoNz5vu9+d9c3XaPJXjivwFS0OMspEYZDrcymoj+f7758&#10;pcQHZmqmwYiKHoSnN/PPn65bOxMlbEHXwhF0YvystRXdhmBnWeb5VjTMn4EVBoUSXMMCsm6T1Y61&#10;6L3RWZnnF1kLrrYOuPAev972QjpP/qUUPDxK6UUguqKYW0ivS+86vtn8ms02jtmt4kMa7B+yaJgy&#10;GHR0dcsCIzun/nLVKO7AgwxnHJoMpFRcpBqwmiJ/U83TllmRasHmeDu2yf8/t/xhv3JE1Ti76eTi&#10;YpqX5+eUGNbgrB55YBsw5ESC7Wqtn6HVk125gfNIxto76Zr4j1WRLrX4MLZYdIFw/FgW+XSKETiK&#10;iqt8mqcRZK/G1vnwTUBDIlFR6HNIvWX7ex8wJmoftWI4D1rVd0rrxLjNeqkd2TMc+HKZ4y/OGE1O&#10;1LJYQ591osJBi2iszQ8hsRmYZ5EiJhiK0R/jXJhQDg6TdjSTGHs0PP/YcNCPpiJBdDQuPzYeLVJk&#10;MGE0bpQB954DHYohZdnrYz9O6o5k6NZdQsHlJKrGT2uoDwgNB/3OeMvvFI7knvmwYg6XBNcJFz88&#10;4iM1tDirgaJkC+73e9+jPmIXpZS0uHQV9b92zAlK9HeDqL4qJpO4pYmZTC9LZNypZH0qMbtmCTjm&#10;Ak+M5YmM+kEfSemgecH7sIhRUcQMx9gV5cEdmWXojwFeGC4Wi6SGm2lZuDdPlh+BEPH23L0wZwdc&#10;BgT0AxwXlM3eYLPXjSMysNgFkCoB97WvwwhwqxM4hwsUz8Ypn7Re7+T8DwAAAP//AwBQSwMEFAAG&#10;AAgAAAAhALXTcRzaAAAAAwEAAA8AAABkcnMvZG93bnJldi54bWxMj0FrwzAMhe+D/QejQW+t3RZK&#10;l8UpY1DYYTSsW9nVjbUkNJaD7Tbpv5+2S3fRQzzx3qd8M7pOXDDE1pOG+UyBQKq8banW8Pmxna5B&#10;xGTIms4TarhihE1xf5ebzPqB3vGyT7XgEIqZ0dCk1GdSxqpBZ+LM90jsffvgTOI11NIGM3C46+RC&#10;qZV0piVuaEyPLw1Wp/3ZaShPQ/m6LsvHr7Bd7d6CO8zD7qD15GF8fgKRcEy3Y/jFZ3QomOnoz2Sj&#10;6DTwI+lvsrdcLkAcWZUCWeTyP3vxAwAA//8DAFBLAQItABQABgAIAAAAIQC2gziS/gAAAOEBAAAT&#10;AAAAAAAAAAAAAAAAAAAAAABbQ29udGVudF9UeXBlc10ueG1sUEsBAi0AFAAGAAgAAAAhADj9If/W&#10;AAAAlAEAAAsAAAAAAAAAAAAAAAAALwEAAF9yZWxzLy5yZWxzUEsBAi0AFAAGAAgAAAAhANSo+duF&#10;AgAAbwUAAA4AAAAAAAAAAAAAAAAALgIAAGRycy9lMm9Eb2MueG1sUEsBAi0AFAAGAAgAAAAhALXT&#10;cRzaAAAAAwEAAA8AAAAAAAAAAAAAAAAA3wQAAGRycy9kb3ducmV2LnhtbFBLBQYAAAAABAAEAPMA&#10;AADmBQAAAAA=&#10;" fillcolor="#c00" strokecolor="#ed7d31 [3205]" strokeweight=".5pt">
                      <v:textbox>
                        <w:txbxContent>
                          <w:p w14:paraId="05093702" w14:textId="77777777" w:rsidR="008D2C68" w:rsidRDefault="008D2C68" w:rsidP="00F97B16">
                            <w:pPr>
                              <w:jc w:val="center"/>
                            </w:pPr>
                          </w:p>
                          <w:p w14:paraId="4D8FFC8D" w14:textId="77777777" w:rsidR="008D2C68" w:rsidRDefault="008D2C68" w:rsidP="00F97B16">
                            <w:pPr>
                              <w:jc w:val="center"/>
                            </w:pPr>
                          </w:p>
                        </w:txbxContent>
                      </v:textbox>
                      <w10:anchorlock/>
                    </v:shape>
                  </w:pict>
                </mc:Fallback>
              </mc:AlternateContent>
            </w:r>
          </w:p>
        </w:tc>
        <w:tc>
          <w:tcPr>
            <w:tcW w:w="1170" w:type="dxa"/>
            <w:vAlign w:val="center"/>
          </w:tcPr>
          <w:p w14:paraId="6A1CB2D1" w14:textId="77777777" w:rsidR="00DE508C" w:rsidRPr="00F72853" w:rsidRDefault="00DE508C" w:rsidP="00DE508C">
            <w:pPr>
              <w:jc w:val="center"/>
              <w:rPr>
                <w:color w:val="212121"/>
              </w:rPr>
            </w:pPr>
            <w:r w:rsidRPr="00F72853">
              <w:rPr>
                <w:noProof/>
              </w:rPr>
              <mc:AlternateContent>
                <mc:Choice Requires="wps">
                  <w:drawing>
                    <wp:inline distT="0" distB="0" distL="0" distR="0" wp14:anchorId="40AB480A" wp14:editId="05F76B99">
                      <wp:extent cx="210553" cy="190500"/>
                      <wp:effectExtent l="0" t="0" r="18415" b="19050"/>
                      <wp:docPr id="1546650234" name="Octagon 1546650234"/>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27D8893D" w14:textId="77777777" w:rsidR="008D2C68" w:rsidRDefault="008D2C68" w:rsidP="00F97B16">
                                  <w:pPr>
                                    <w:jc w:val="center"/>
                                  </w:pPr>
                                </w:p>
                                <w:p w14:paraId="39159EBC"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0AB480A" id="Octagon 1546650234" o:spid="_x0000_s1105"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OayhQIAAG8FAAAOAAAAZHJzL2Uyb0RvYy54bWysVN1r2zAQfx/sfxB6X/2RuF1DnBJSOgal&#10;DWtHnxVZSgyyTpOU2Nlfv5PsuKErFMbyoNz5vu9+d/ObrlHkIKyrQZc0u0gpEZpDVettSX8+3335&#10;SonzTFdMgRYlPQpHbxafP81bMxM57EBVwhJ0ot2sNSXdeW9mSeL4TjTMXYARGoUSbMM8snabVJa1&#10;6L1RSZ6ml0kLtjIWuHAOv972QrqI/qUU3D9K6YQnqqSYm4+vje8mvMlizmZby8yu5kMa7B+yaFit&#10;Mejo6pZ5Rva2/stVU3MLDqS/4NAkIGXNRawBq8nSN9U87ZgRsRZsjjNjm9z/c8sfDmtL6gpnV0wv&#10;L4s0n0wp0azBWT1yz7agyZkE29UaN0OrJ7O2A+eQDLV30jbhH6siXWzxcWyx6Dzh+DHP0qKYUMJR&#10;lF2nRRpHkLwaG+v8NwENCURJoc8h9pYd7p3HmKh90grhHKi6uquViozdblbKkgPDga9WKf7CjNHk&#10;TC0JNfRZR8oflQjGSv8QEpuBeWYxYoShGP0xzoX2+eAwagczibFHw8nHhoN+MBURoqNx/rHxaBEj&#10;g/ajcVNrsO85UD4bUpa9PvbjrO5A+m7TRRRcFUE1fNpAdURoWOh3xhl+V+NI7pnza2ZxSXCdcPH9&#10;Iz5SQYuzGihKdmB/v/c96CN2UUpJi0tXUvdrz6ygRH3XiOrrbDoNWxqZaXGVI2PPJZtzid43K8Ax&#10;Z3hiDI9k0PfqREoLzQveh2WIiiKmOcYuKff2xKx8fwzwwnCxXEY13EzD/L1+MvwEhIC35+6FWTPg&#10;0iOgH+C0oGz2Bpu9bhiRhuXeg6wjcF/7OowAtzqCc7hA4Wyc81Hr9U4u/gAAAP//AwBQSwMEFAAG&#10;AAgAAAAhALXTcRzaAAAAAwEAAA8AAABkcnMvZG93bnJldi54bWxMj0FrwzAMhe+D/QejQW+t3RZK&#10;l8UpY1DYYTSsW9nVjbUkNJaD7Tbpv5+2S3fRQzzx3qd8M7pOXDDE1pOG+UyBQKq8banW8Pmxna5B&#10;xGTIms4TarhihE1xf5ebzPqB3vGyT7XgEIqZ0dCk1GdSxqpBZ+LM90jsffvgTOI11NIGM3C46+RC&#10;qZV0piVuaEyPLw1Wp/3ZaShPQ/m6LsvHr7Bd7d6CO8zD7qD15GF8fgKRcEy3Y/jFZ3QomOnoz2Sj&#10;6DTwI+lvsrdcLkAcWZUCWeTyP3vxAwAA//8DAFBLAQItABQABgAIAAAAIQC2gziS/gAAAOEBAAAT&#10;AAAAAAAAAAAAAAAAAAAAAABbQ29udGVudF9UeXBlc10ueG1sUEsBAi0AFAAGAAgAAAAhADj9If/W&#10;AAAAlAEAAAsAAAAAAAAAAAAAAAAALwEAAF9yZWxzLy5yZWxzUEsBAi0AFAAGAAgAAAAhAHaU5rKF&#10;AgAAbwUAAA4AAAAAAAAAAAAAAAAALgIAAGRycy9lMm9Eb2MueG1sUEsBAi0AFAAGAAgAAAAhALXT&#10;cRzaAAAAAwEAAA8AAAAAAAAAAAAAAAAA3wQAAGRycy9kb3ducmV2LnhtbFBLBQYAAAAABAAEAPMA&#10;AADmBQAAAAA=&#10;" fillcolor="#c00" strokecolor="#ed7d31 [3205]" strokeweight=".5pt">
                      <v:textbox>
                        <w:txbxContent>
                          <w:p w14:paraId="27D8893D" w14:textId="77777777" w:rsidR="008D2C68" w:rsidRDefault="008D2C68" w:rsidP="00F97B16">
                            <w:pPr>
                              <w:jc w:val="center"/>
                            </w:pPr>
                          </w:p>
                          <w:p w14:paraId="39159EBC" w14:textId="77777777" w:rsidR="008D2C68" w:rsidRDefault="008D2C68" w:rsidP="00F97B16">
                            <w:pPr>
                              <w:jc w:val="center"/>
                            </w:pPr>
                          </w:p>
                        </w:txbxContent>
                      </v:textbox>
                      <w10:anchorlock/>
                    </v:shape>
                  </w:pict>
                </mc:Fallback>
              </mc:AlternateContent>
            </w:r>
          </w:p>
        </w:tc>
        <w:tc>
          <w:tcPr>
            <w:tcW w:w="900" w:type="dxa"/>
            <w:vAlign w:val="center"/>
          </w:tcPr>
          <w:p w14:paraId="6A04E233" w14:textId="77777777" w:rsidR="00DE508C" w:rsidRPr="00F72853" w:rsidRDefault="00DE508C" w:rsidP="00DE508C">
            <w:pPr>
              <w:jc w:val="center"/>
              <w:rPr>
                <w:color w:val="212121"/>
              </w:rPr>
            </w:pPr>
            <w:r w:rsidRPr="00F72853">
              <w:rPr>
                <w:noProof/>
              </w:rPr>
              <mc:AlternateContent>
                <mc:Choice Requires="wps">
                  <w:drawing>
                    <wp:inline distT="0" distB="0" distL="0" distR="0" wp14:anchorId="7FE77663" wp14:editId="6DB5C1CD">
                      <wp:extent cx="210553" cy="190500"/>
                      <wp:effectExtent l="0" t="0" r="18415" b="19050"/>
                      <wp:docPr id="1546650235" name="Octagon 1546650235"/>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0D776745" w14:textId="77777777" w:rsidR="008D2C68" w:rsidRDefault="008D2C68" w:rsidP="00F97B16">
                                  <w:pPr>
                                    <w:jc w:val="center"/>
                                  </w:pPr>
                                </w:p>
                                <w:p w14:paraId="38C174CB"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FE77663" id="Octagon 1546650235" o:spid="_x0000_s1106"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FPehQIAAG8FAAAOAAAAZHJzL2Uyb0RvYy54bWysVN1r2zAQfx/sfxB6X/2ROF1DnRJSMgal&#10;LWtHnxVZSgyyTpOU2Nlfv5PsuKErFMbyoNz5vu9+d9c3XaPIQVhXgy5pdpFSIjSHqtbbkv58Xn/5&#10;SonzTFdMgRYlPQpHbxafP123Zi5y2IGqhCXoRLt5a0q6897Mk8TxnWiYuwAjNAol2IZ5ZO02qSxr&#10;0XujkjxNZ0kLtjIWuHAOv972QrqI/qUU3D9I6YQnqqSYm4+vje8mvMnims23lpldzYc02D9k0bBa&#10;Y9DR1S3zjOxt/ZerpuYWHEh/waFJQMqai1gDVpOlb6p52jEjYi3YHGfGNrn/55bfHx4tqSucXTGd&#10;zYo0nxSUaNbgrB64Z1vQ5EyC7WqNm6PVk3m0A+eQDLV30jbhH6siXWzxcWyx6Dzh+DHP0qKYUMJR&#10;lF2lRRpHkLwaG+v8NwENCURJoc8h9pYd7pzHmKh90grhHKi6WtdKRcZuNytlyYHhwFerFH9hxmhy&#10;ppaEGvqsI+WPSgRjpX8Iic3APLMYMcJQjP4Y50L7fHAYtYOZxNij4eRjw0E/mIoI0dE4/9h4tIiR&#10;QfvRuKk12PccKJ8NKcteH/txVncgfbfpIgouZ0E1fNpAdURoWOh3xhm+rnEkd8z5R2ZxSXCdcPH9&#10;Az5SQYuzGihKdmB/v/c96CN2UUpJi0tXUvdrz6ygRH3XiOqrbDoNWxqZaXGZI2PPJZtzid43K8Ax&#10;Z3hiDI9k0PfqREoLzQveh2WIiiKmOcYuKff2xKx8fwzwwnCxXEY13EzD/J1+MvwEhIC35+6FWTPg&#10;0iOg7+G0oGz+Bpu9bhiRhuXeg6wjcF/7OowAtzqCc7hA4Wyc81Hr9U4u/gAAAP//AwBQSwMEFAAG&#10;AAgAAAAhALXTcRzaAAAAAwEAAA8AAABkcnMvZG93bnJldi54bWxMj0FrwzAMhe+D/QejQW+t3RZK&#10;l8UpY1DYYTSsW9nVjbUkNJaD7Tbpv5+2S3fRQzzx3qd8M7pOXDDE1pOG+UyBQKq8banW8Pmxna5B&#10;xGTIms4TarhihE1xf5ebzPqB3vGyT7XgEIqZ0dCk1GdSxqpBZ+LM90jsffvgTOI11NIGM3C46+RC&#10;qZV0piVuaEyPLw1Wp/3ZaShPQ/m6LsvHr7Bd7d6CO8zD7qD15GF8fgKRcEy3Y/jFZ3QomOnoz2Sj&#10;6DTwI+lvsrdcLkAcWZUCWeTyP3vxAwAA//8DAFBLAQItABQABgAIAAAAIQC2gziS/gAAAOEBAAAT&#10;AAAAAAAAAAAAAAAAAAAAAABbQ29udGVudF9UeXBlc10ueG1sUEsBAi0AFAAGAAgAAAAhADj9If/W&#10;AAAAlAEAAAsAAAAAAAAAAAAAAAAALwEAAF9yZWxzLy5yZWxzUEsBAi0AFAAGAAgAAAAhADGcU96F&#10;AgAAbwUAAA4AAAAAAAAAAAAAAAAALgIAAGRycy9lMm9Eb2MueG1sUEsBAi0AFAAGAAgAAAAhALXT&#10;cRzaAAAAAwEAAA8AAAAAAAAAAAAAAAAA3wQAAGRycy9kb3ducmV2LnhtbFBLBQYAAAAABAAEAPMA&#10;AADmBQAAAAA=&#10;" fillcolor="#c00" strokecolor="#ed7d31 [3205]" strokeweight=".5pt">
                      <v:textbox>
                        <w:txbxContent>
                          <w:p w14:paraId="0D776745" w14:textId="77777777" w:rsidR="008D2C68" w:rsidRDefault="008D2C68" w:rsidP="00F97B16">
                            <w:pPr>
                              <w:jc w:val="center"/>
                            </w:pPr>
                          </w:p>
                          <w:p w14:paraId="38C174CB" w14:textId="77777777" w:rsidR="008D2C68" w:rsidRDefault="008D2C68" w:rsidP="00F97B16">
                            <w:pPr>
                              <w:jc w:val="center"/>
                            </w:pPr>
                          </w:p>
                        </w:txbxContent>
                      </v:textbox>
                      <w10:anchorlock/>
                    </v:shape>
                  </w:pict>
                </mc:Fallback>
              </mc:AlternateContent>
            </w:r>
          </w:p>
        </w:tc>
        <w:tc>
          <w:tcPr>
            <w:tcW w:w="7020" w:type="dxa"/>
          </w:tcPr>
          <w:p w14:paraId="5866BC68" w14:textId="593F977C" w:rsidR="00DE508C" w:rsidRPr="00F72853" w:rsidRDefault="00DE508C" w:rsidP="00DE508C">
            <w:pPr>
              <w:ind w:left="342"/>
              <w:rPr>
                <w:rFonts w:eastAsia="Times New Roman"/>
              </w:rPr>
            </w:pPr>
            <w:r w:rsidRPr="00F72853">
              <w:rPr>
                <w:rFonts w:eastAsia="Times New Roman"/>
              </w:rPr>
              <w:t xml:space="preserve">Group Policy </w:t>
            </w:r>
            <w:r>
              <w:rPr>
                <w:rFonts w:eastAsia="Times New Roman"/>
              </w:rPr>
              <w:t>p</w:t>
            </w:r>
            <w:r w:rsidRPr="00F72853">
              <w:rPr>
                <w:rFonts w:eastAsia="Times New Roman"/>
              </w:rPr>
              <w:t>ermissions</w:t>
            </w:r>
          </w:p>
        </w:tc>
      </w:tr>
      <w:tr w:rsidR="00DE508C" w:rsidRPr="00275388" w14:paraId="030FF421" w14:textId="77777777" w:rsidTr="00915020">
        <w:tc>
          <w:tcPr>
            <w:tcW w:w="805" w:type="dxa"/>
            <w:vAlign w:val="center"/>
          </w:tcPr>
          <w:p w14:paraId="334E8A17" w14:textId="77777777" w:rsidR="00DE508C" w:rsidRPr="0090686A" w:rsidRDefault="00DE508C" w:rsidP="00DE508C">
            <w:pPr>
              <w:jc w:val="center"/>
              <w:rPr>
                <w:noProof/>
              </w:rPr>
            </w:pPr>
            <w:r w:rsidRPr="0090686A">
              <w:rPr>
                <w:noProof/>
              </w:rPr>
              <mc:AlternateContent>
                <mc:Choice Requires="wps">
                  <w:drawing>
                    <wp:inline distT="0" distB="0" distL="0" distR="0" wp14:anchorId="70D8CFD4" wp14:editId="48A9E9AF">
                      <wp:extent cx="210553" cy="190500"/>
                      <wp:effectExtent l="0" t="0" r="18415" b="19050"/>
                      <wp:docPr id="230" name="Octagon 230"/>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70AA6875" w14:textId="77777777" w:rsidR="008D2C68" w:rsidRDefault="008D2C68" w:rsidP="00F97B16">
                                  <w:pPr>
                                    <w:jc w:val="center"/>
                                  </w:pPr>
                                </w:p>
                                <w:p w14:paraId="5476531A"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0D8CFD4" id="Octagon 230" o:spid="_x0000_s1107"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L2SfgIAAGEFAAAOAAAAZHJzL2Uyb0RvYy54bWysVN1r2zAQfx/sfxB6X/3RZF1DnRJSOgal&#10;LW1HnxVZSgSyTpOU2Nlfv5PsOKErFMb8IN/pfvd9p6vrrtFkJ5xXYCpanOWUCMOhVmZd0Z8vt1++&#10;UeIDMzXTYERF98LT6/nnT1etnYkSNqBr4QgaMX7W2opuQrCzLPN8Ixrmz8AKg0IJrmEBWbfOasda&#10;tN7orMzzr1kLrrYOuPAeb296IZ0n+1IKHh6k9CIQXVGMLaTTpXMVz2x+xWZrx+xG8SEM9g9RNEwZ&#10;dDqaumGBka1Tf5lqFHfgQYYzDk0GUiouUg6YTZG/yeZ5w6xIuWBxvB3L5P+fWX6/e3RE1RUtz7E+&#10;hjXYpAce2BoMiVdYoNb6GeKe7aMbOI9kzLaTrol/zIN0qaj7saiiC4TjZVnk0+k5JRxFxWU+zZPN&#10;7KhsnQ/fBTQkEhWF3nmqJtvd+YA+EX1ARXcetKpvldaJcevVUjuyY9ji5TLHLwaNKiewLObQR52o&#10;sNciKmvzJCSmj3EWyWMaPDHaY5wLE8rBYEJHNYm+R8XzjxUHfFQVaShH5fJj5VEjeQYTRuVGGXDv&#10;GdChGEKWPR7rcZJ3JEO36lLfLy4iNF6toN7jMDjot8RbfquwJXfMh0fmcC1wQHDVwwMeUkOLvRoo&#10;Sjbgfr93H/E4rSilpMU1q6j/tWVOUKJ/GJzjy2IyiXuZmMn0okTGnUpWpxKzbZaAbS7wUbE8kREf&#10;9IGUDppXfBEW0SuKmOHou6I8uAOzDP3645vCxWKRYLiLloU782z5YRDivL10r8zZYS4DDvQ9HFaS&#10;zd7MZo+NLTKw2AaQKg3usa5DC3CP03AOb058KE75hDq+jPM/AAAA//8DAFBLAwQUAAYACAAAACEA&#10;tdNxHNoAAAADAQAADwAAAGRycy9kb3ducmV2LnhtbEyPQWvDMAyF74P9B6NBb63dFkqXxSljUNhh&#10;NKxb2dWNtSQ0loPtNum/n7ZLd9FDPPHep3wzuk5cMMTWk4b5TIFAqrxtqdbw+bGdrkHEZMiazhNq&#10;uGKETXF/l5vM+oHe8bJPteAQipnR0KTUZ1LGqkFn4sz3SOx9++BM4jXU0gYzcLjr5EKplXSmJW5o&#10;TI8vDVan/dlpKE9D+bouy8evsF3t3oI7zMPuoPXkYXx+ApFwTLdj+MVndCiY6ejPZKPoNPAj6W+y&#10;t1wuQBxZlQJZ5PI/e/EDAAD//wMAUEsBAi0AFAAGAAgAAAAhALaDOJL+AAAA4QEAABMAAAAAAAAA&#10;AAAAAAAAAAAAAFtDb250ZW50X1R5cGVzXS54bWxQSwECLQAUAAYACAAAACEAOP0h/9YAAACUAQAA&#10;CwAAAAAAAAAAAAAAAAAvAQAAX3JlbHMvLnJlbHNQSwECLQAUAAYACAAAACEAhlS9kn4CAABhBQAA&#10;DgAAAAAAAAAAAAAAAAAuAgAAZHJzL2Uyb0RvYy54bWxQSwECLQAUAAYACAAAACEAtdNxHNoAAAAD&#10;AQAADwAAAAAAAAAAAAAAAADYBAAAZHJzL2Rvd25yZXYueG1sUEsFBgAAAAAEAAQA8wAAAN8FAAAA&#10;AA==&#10;" fillcolor="#c00" strokecolor="#ed7d31 [3205]" strokeweight=".5pt">
                      <v:textbox>
                        <w:txbxContent>
                          <w:p w14:paraId="70AA6875" w14:textId="77777777" w:rsidR="008D2C68" w:rsidRDefault="008D2C68" w:rsidP="00F97B16">
                            <w:pPr>
                              <w:jc w:val="center"/>
                            </w:pPr>
                          </w:p>
                          <w:p w14:paraId="5476531A" w14:textId="77777777" w:rsidR="008D2C68" w:rsidRDefault="008D2C68" w:rsidP="00F97B16">
                            <w:pPr>
                              <w:jc w:val="center"/>
                            </w:pPr>
                          </w:p>
                        </w:txbxContent>
                      </v:textbox>
                      <w10:anchorlock/>
                    </v:shape>
                  </w:pict>
                </mc:Fallback>
              </mc:AlternateContent>
            </w:r>
          </w:p>
        </w:tc>
        <w:tc>
          <w:tcPr>
            <w:tcW w:w="1170" w:type="dxa"/>
            <w:vAlign w:val="center"/>
          </w:tcPr>
          <w:p w14:paraId="6714571D" w14:textId="77777777" w:rsidR="00DE508C" w:rsidRPr="0090686A" w:rsidRDefault="00DE508C" w:rsidP="00DE508C">
            <w:pPr>
              <w:jc w:val="center"/>
              <w:rPr>
                <w:noProof/>
              </w:rPr>
            </w:pPr>
            <w:r w:rsidRPr="0090686A">
              <w:rPr>
                <w:noProof/>
              </w:rPr>
              <mc:AlternateContent>
                <mc:Choice Requires="wps">
                  <w:drawing>
                    <wp:inline distT="0" distB="0" distL="0" distR="0" wp14:anchorId="3976A72E" wp14:editId="17F869ED">
                      <wp:extent cx="210553" cy="190500"/>
                      <wp:effectExtent l="0" t="0" r="18415" b="19050"/>
                      <wp:docPr id="231" name="Octagon 231"/>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5A5EFD5C" w14:textId="77777777" w:rsidR="008D2C68" w:rsidRDefault="008D2C68" w:rsidP="00F97B16">
                                  <w:pPr>
                                    <w:jc w:val="center"/>
                                  </w:pPr>
                                </w:p>
                                <w:p w14:paraId="092AA85D"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976A72E" id="Octagon 231" o:spid="_x0000_s1108"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8CAgAIAAGEFAAAOAAAAZHJzL2Uyb0RvYy54bWysVN1r2zAQfx/sfxB6X/3RZG1DnRJSMgal&#10;LWtHnxVZSgySTpOU2Nlfv5PsuKErFMb8IN/pvu9+p+ubTiuyF843YCpanOWUCMOhbsymoj+fV18u&#10;KfGBmZopMKKiB+Hpzfzzp+vWzkQJW1C1cASdGD9rbUW3IdhZlnm+FZr5M7DCoFCC0ywg6zZZ7ViL&#10;3rXKyjz/mrXgauuAC+/x9rYX0nnyL6Xg4UFKLwJRFcXcQjpdOtfxzObXbLZxzG4bPqTB/iELzRqD&#10;QUdXtywwsnPNX650wx14kOGMg85AyoaLVANWU+RvqnnaMitSLdgcb8c2+f/nlt/vHx1p6oqW5wUl&#10;hmkc0gMPbAOGxCtsUGv9DPWe7KMbOI9krLaTTsc/1kG61NTD2FTRBcLxsizy6fScEo6i4iqf5qnp&#10;2auxdT58E6BJJCoKffDUTba/8wFjovZRK4bzoJp61SiVGLdZL5Uje4YjXi5z/GLSaHKilsUa+qwT&#10;FQ5KRGNlfgiJ5WOeRYqYgCdGf4xzYUI5OEza0Uxi7NHw/GPDQT+aigTK0bj82Hi0SJHBhNFYNwbc&#10;ew5USIPDHsheH/txUnckQ7fu0twvLo8zXkN9QDA46LfEW75qcCR3zIdH5nAtcIFw1cMDHlJBi7Ma&#10;KEq24H6/dx/1Ea0opaTFNauo/7VjTlCivhvE8VUxmcS9TMxkelEi404l61OJ2ekl4JgRqZhdIqN+&#10;UEdSOtAv+CIsYlQUMcMxdkV5cEdmGfr1xzeFi8UiqeEuWhbuzJPlRyBEvD13L8zZAZcBAX0Px5Vk&#10;szfY7HXjiAwsdgFkk4AbW933dRgB7nEC5/DmxIfilE9ary/j/A8AAAD//wMAUEsDBBQABgAIAAAA&#10;IQC103Ec2gAAAAMBAAAPAAAAZHJzL2Rvd25yZXYueG1sTI9Ba8MwDIXvg/0Ho0Fvrd0WSpfFKWNQ&#10;2GE0rFvZ1Y21JDSWg+026b+ftkt30UM88d6nfDO6TlwwxNaThvlMgUCqvG2p1vD5sZ2uQcRkyJrO&#10;E2q4YoRNcX+Xm8z6gd7xsk+14BCKmdHQpNRnUsaqQWfizPdI7H374EziNdTSBjNwuOvkQqmVdKYl&#10;bmhMjy8NVqf92WkoT0P5ui7Lx6+wXe3egjvMw+6g9eRhfH4CkXBMt2P4xWd0KJjp6M9ko+g08CPp&#10;b7K3XC5AHFmVAlnk8j978QMAAP//AwBQSwECLQAUAAYACAAAACEAtoM4kv4AAADhAQAAEwAAAAAA&#10;AAAAAAAAAAAAAAAAW0NvbnRlbnRfVHlwZXNdLnhtbFBLAQItABQABgAIAAAAIQA4/SH/1gAAAJQB&#10;AAALAAAAAAAAAAAAAAAAAC8BAABfcmVscy8ucmVsc1BLAQItABQABgAIAAAAIQDU68CAgAIAAGEF&#10;AAAOAAAAAAAAAAAAAAAAAC4CAABkcnMvZTJvRG9jLnhtbFBLAQItABQABgAIAAAAIQC103Ec2gAA&#10;AAMBAAAPAAAAAAAAAAAAAAAAANoEAABkcnMvZG93bnJldi54bWxQSwUGAAAAAAQABADzAAAA4QUA&#10;AAAA&#10;" fillcolor="#c00" strokecolor="#ed7d31 [3205]" strokeweight=".5pt">
                      <v:textbox>
                        <w:txbxContent>
                          <w:p w14:paraId="5A5EFD5C" w14:textId="77777777" w:rsidR="008D2C68" w:rsidRDefault="008D2C68" w:rsidP="00F97B16">
                            <w:pPr>
                              <w:jc w:val="center"/>
                            </w:pPr>
                          </w:p>
                          <w:p w14:paraId="092AA85D" w14:textId="77777777" w:rsidR="008D2C68" w:rsidRDefault="008D2C68" w:rsidP="00F97B16">
                            <w:pPr>
                              <w:jc w:val="center"/>
                            </w:pPr>
                          </w:p>
                        </w:txbxContent>
                      </v:textbox>
                      <w10:anchorlock/>
                    </v:shape>
                  </w:pict>
                </mc:Fallback>
              </mc:AlternateContent>
            </w:r>
          </w:p>
        </w:tc>
        <w:tc>
          <w:tcPr>
            <w:tcW w:w="900" w:type="dxa"/>
            <w:vAlign w:val="center"/>
          </w:tcPr>
          <w:p w14:paraId="125EEDAC" w14:textId="77777777" w:rsidR="00DE508C" w:rsidRPr="0090686A" w:rsidRDefault="00DE508C" w:rsidP="00DE508C">
            <w:pPr>
              <w:jc w:val="center"/>
              <w:rPr>
                <w:noProof/>
              </w:rPr>
            </w:pPr>
            <w:r w:rsidRPr="0090686A">
              <w:rPr>
                <w:noProof/>
              </w:rPr>
              <mc:AlternateContent>
                <mc:Choice Requires="wps">
                  <w:drawing>
                    <wp:inline distT="0" distB="0" distL="0" distR="0" wp14:anchorId="30047740" wp14:editId="365F9709">
                      <wp:extent cx="210553" cy="190500"/>
                      <wp:effectExtent l="0" t="0" r="18415" b="19050"/>
                      <wp:docPr id="232" name="Octagon 232"/>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4489A784" w14:textId="77777777" w:rsidR="008D2C68" w:rsidRDefault="008D2C68" w:rsidP="00F97B16">
                                  <w:pPr>
                                    <w:jc w:val="center"/>
                                  </w:pPr>
                                </w:p>
                                <w:p w14:paraId="6FEC417A"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0047740" id="Octagon 232" o:spid="_x0000_s1109"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v0HgQIAAGEFAAAOAAAAZHJzL2Uyb0RvYy54bWysVN1r2zAQfx/sfxB6X/3RZF1DnRJSMgal&#10;LW1HnxVZSgSyTpOU2Nlfv5PsuKErFMb8IN/pvnR3v7ur667RZC+cV2AqWpzllAjDoVZmU9Gfz6sv&#10;3yjxgZmaaTCiogfh6fX886er1s5ECVvQtXAEnRg/a21FtyHYWZZ5vhUN82dghUGhBNewgKzbZLVj&#10;LXpvdFbm+desBVdbB1x4j7c3vZDOk38pBQ/3UnoRiK4ovi2k06VzHc9sfsVmG8fsVvHhGewfXtEw&#10;ZTDo6OqGBUZ2Tv3lqlHcgQcZzjg0GUipuEg5YDZF/iabpy2zIuWCxfF2LJP/f2753f7BEVVXtDwv&#10;KTGswSbd88A2YEi8wgK11s9Q78k+uIHzSMZsO+ma+Mc8SJeKehiLKrpAOF6WRT6dnlPCUVRc5tM8&#10;FT17NbbOh+8CGhKJikIfPFWT7W99wJiofdSK4TxoVa+U1olxm/VSO7Jn2OLlMscvPhpNTtSymEP/&#10;6kSFgxbRWJtHITF9fGeRIibgidEf41yYkKqADpN2NJMYezQ8/9hw0I+mIoFyNC4/Nh4tUmQwYTRu&#10;lAH3ngMdiqEGstfHepzkHcnQrbvU94vLY4/XUB8QDA76KfGWrxS25Jb58MAcjgUOEI56uMdDamix&#10;VwNFyRbc7/fuoz6iFaWUtDhmFfW/dswJSvQPgzi+LCaTOJeJmUwvSmTcqWR9KjG7ZgnY5gKXiuWJ&#10;jPpBH0npoHnBjbCIUVHEDMfYFeXBHZll6McfdwoXi0VSw1m0LNyaJ8uPQIh4e+5emLMDLgMC+g6O&#10;I8lmb7DZ68YWGVjsAkiVgBtL3dd1aAHOcQLnsHPiojjlk9brZpz/AQAA//8DAFBLAwQUAAYACAAA&#10;ACEAtdNxHNoAAAADAQAADwAAAGRycy9kb3ducmV2LnhtbEyPQWvDMAyF74P9B6NBb63dFkqXxSlj&#10;UNhhNKxb2dWNtSQ0loPtNum/n7ZLd9FDPPHep3wzuk5cMMTWk4b5TIFAqrxtqdbw+bGdrkHEZMia&#10;zhNquGKETXF/l5vM+oHe8bJPteAQipnR0KTUZ1LGqkFn4sz3SOx9++BM4jXU0gYzcLjr5EKplXSm&#10;JW5oTI8vDVan/dlpKE9D+bouy8evsF3t3oI7zMPuoPXkYXx+ApFwTLdj+MVndCiY6ejPZKPoNPAj&#10;6W+yt1wuQBxZlQJZ5PI/e/EDAAD//wMAUEsBAi0AFAAGAAgAAAAhALaDOJL+AAAA4QEAABMAAAAA&#10;AAAAAAAAAAAAAAAAAFtDb250ZW50X1R5cGVzXS54bWxQSwECLQAUAAYACAAAACEAOP0h/9YAAACU&#10;AQAACwAAAAAAAAAAAAAAAAAvAQAAX3JlbHMvLnJlbHNQSwECLQAUAAYACAAAACEADyr9B4ECAABh&#10;BQAADgAAAAAAAAAAAAAAAAAuAgAAZHJzL2Uyb0RvYy54bWxQSwECLQAUAAYACAAAACEAtdNxHNoA&#10;AAADAQAADwAAAAAAAAAAAAAAAADbBAAAZHJzL2Rvd25yZXYueG1sUEsFBgAAAAAEAAQA8wAAAOIF&#10;AAAAAA==&#10;" fillcolor="#c00" strokecolor="#ed7d31 [3205]" strokeweight=".5pt">
                      <v:textbox>
                        <w:txbxContent>
                          <w:p w14:paraId="4489A784" w14:textId="77777777" w:rsidR="008D2C68" w:rsidRDefault="008D2C68" w:rsidP="00F97B16">
                            <w:pPr>
                              <w:jc w:val="center"/>
                            </w:pPr>
                          </w:p>
                          <w:p w14:paraId="6FEC417A" w14:textId="77777777" w:rsidR="008D2C68" w:rsidRDefault="008D2C68" w:rsidP="00F97B16">
                            <w:pPr>
                              <w:jc w:val="center"/>
                            </w:pPr>
                          </w:p>
                        </w:txbxContent>
                      </v:textbox>
                      <w10:anchorlock/>
                    </v:shape>
                  </w:pict>
                </mc:Fallback>
              </mc:AlternateContent>
            </w:r>
          </w:p>
        </w:tc>
        <w:tc>
          <w:tcPr>
            <w:tcW w:w="7020" w:type="dxa"/>
          </w:tcPr>
          <w:p w14:paraId="5ED095CE" w14:textId="526F8BEF" w:rsidR="00DE508C" w:rsidRPr="0090686A" w:rsidRDefault="00DE508C" w:rsidP="00DE508C">
            <w:pPr>
              <w:ind w:left="342"/>
              <w:rPr>
                <w:rFonts w:eastAsia="Times New Roman"/>
              </w:rPr>
            </w:pPr>
            <w:r w:rsidRPr="0090686A">
              <w:rPr>
                <w:rFonts w:eastAsia="Times New Roman"/>
              </w:rPr>
              <w:t>Startup</w:t>
            </w:r>
            <w:r>
              <w:rPr>
                <w:rFonts w:eastAsia="Times New Roman"/>
              </w:rPr>
              <w:t xml:space="preserve"> and l</w:t>
            </w:r>
            <w:r w:rsidRPr="0090686A">
              <w:rPr>
                <w:rFonts w:eastAsia="Times New Roman"/>
              </w:rPr>
              <w:t xml:space="preserve">ogon </w:t>
            </w:r>
            <w:r>
              <w:rPr>
                <w:rFonts w:eastAsia="Times New Roman"/>
              </w:rPr>
              <w:t>s</w:t>
            </w:r>
            <w:r w:rsidRPr="0090686A">
              <w:rPr>
                <w:rFonts w:eastAsia="Times New Roman"/>
              </w:rPr>
              <w:t xml:space="preserve">cript </w:t>
            </w:r>
            <w:r>
              <w:rPr>
                <w:rFonts w:eastAsia="Times New Roman"/>
              </w:rPr>
              <w:t>q</w:t>
            </w:r>
            <w:r w:rsidRPr="0090686A">
              <w:rPr>
                <w:rFonts w:eastAsia="Times New Roman"/>
              </w:rPr>
              <w:t xml:space="preserve">uality </w:t>
            </w:r>
            <w:r>
              <w:rPr>
                <w:rFonts w:eastAsia="Times New Roman"/>
              </w:rPr>
              <w:t>c</w:t>
            </w:r>
            <w:r w:rsidRPr="0090686A">
              <w:rPr>
                <w:rFonts w:eastAsia="Times New Roman"/>
              </w:rPr>
              <w:t xml:space="preserve">ontrol and </w:t>
            </w:r>
            <w:r>
              <w:rPr>
                <w:rFonts w:eastAsia="Times New Roman"/>
              </w:rPr>
              <w:t>c</w:t>
            </w:r>
            <w:r w:rsidRPr="0090686A">
              <w:rPr>
                <w:rFonts w:eastAsia="Times New Roman"/>
              </w:rPr>
              <w:t xml:space="preserve">hange </w:t>
            </w:r>
            <w:r>
              <w:rPr>
                <w:rFonts w:eastAsia="Times New Roman"/>
              </w:rPr>
              <w:t>m</w:t>
            </w:r>
            <w:r w:rsidRPr="0090686A">
              <w:rPr>
                <w:rFonts w:eastAsia="Times New Roman"/>
              </w:rPr>
              <w:t>anagement</w:t>
            </w:r>
          </w:p>
        </w:tc>
      </w:tr>
      <w:tr w:rsidR="00F97B16" w:rsidRPr="00036F75" w14:paraId="4AECC492" w14:textId="77777777" w:rsidTr="00915020">
        <w:tc>
          <w:tcPr>
            <w:tcW w:w="805" w:type="dxa"/>
            <w:shd w:val="clear" w:color="auto" w:fill="BFBFBF" w:themeFill="background1" w:themeFillShade="BF"/>
            <w:vAlign w:val="center"/>
          </w:tcPr>
          <w:p w14:paraId="161545DF" w14:textId="77777777" w:rsidR="00F97B16" w:rsidRPr="00036F75" w:rsidRDefault="00F97B16" w:rsidP="00915020">
            <w:pPr>
              <w:jc w:val="center"/>
              <w:rPr>
                <w:b/>
                <w:color w:val="FFFFFF" w:themeColor="background1"/>
              </w:rPr>
            </w:pPr>
          </w:p>
        </w:tc>
        <w:tc>
          <w:tcPr>
            <w:tcW w:w="1170" w:type="dxa"/>
            <w:shd w:val="clear" w:color="auto" w:fill="BFBFBF" w:themeFill="background1" w:themeFillShade="BF"/>
            <w:vAlign w:val="center"/>
          </w:tcPr>
          <w:p w14:paraId="4926321D" w14:textId="77777777" w:rsidR="00F97B16" w:rsidRPr="00036F75" w:rsidRDefault="00F97B16" w:rsidP="00915020">
            <w:pPr>
              <w:jc w:val="center"/>
              <w:rPr>
                <w:b/>
                <w:color w:val="FFFFFF" w:themeColor="background1"/>
              </w:rPr>
            </w:pPr>
          </w:p>
        </w:tc>
        <w:tc>
          <w:tcPr>
            <w:tcW w:w="900" w:type="dxa"/>
            <w:shd w:val="clear" w:color="auto" w:fill="BFBFBF" w:themeFill="background1" w:themeFillShade="BF"/>
            <w:vAlign w:val="center"/>
          </w:tcPr>
          <w:p w14:paraId="595D528F" w14:textId="77777777" w:rsidR="00F97B16" w:rsidRPr="00036F75" w:rsidRDefault="00F97B16" w:rsidP="00915020">
            <w:pPr>
              <w:jc w:val="center"/>
              <w:rPr>
                <w:b/>
                <w:color w:val="FFFFFF" w:themeColor="background1"/>
              </w:rPr>
            </w:pPr>
          </w:p>
        </w:tc>
        <w:tc>
          <w:tcPr>
            <w:tcW w:w="7020" w:type="dxa"/>
            <w:shd w:val="clear" w:color="auto" w:fill="BFBFBF" w:themeFill="background1" w:themeFillShade="BF"/>
          </w:tcPr>
          <w:p w14:paraId="6C35117C" w14:textId="77777777" w:rsidR="00F97B16" w:rsidRPr="00036F75" w:rsidRDefault="00F97B16" w:rsidP="00915020">
            <w:pPr>
              <w:rPr>
                <w:b/>
                <w:color w:val="FFFFFF" w:themeColor="background1"/>
              </w:rPr>
            </w:pPr>
            <w:r w:rsidRPr="00F72853">
              <w:rPr>
                <w:b/>
                <w:color w:val="FFFFFF" w:themeColor="background1"/>
              </w:rPr>
              <w:t>Service Accounts</w:t>
            </w:r>
          </w:p>
        </w:tc>
      </w:tr>
      <w:tr w:rsidR="00F97B16" w14:paraId="0EE646BF" w14:textId="77777777" w:rsidTr="00915020">
        <w:tc>
          <w:tcPr>
            <w:tcW w:w="805" w:type="dxa"/>
            <w:vAlign w:val="center"/>
          </w:tcPr>
          <w:p w14:paraId="783DFF0F" w14:textId="77777777" w:rsidR="00F97B16" w:rsidRPr="00F27BAB" w:rsidRDefault="00F97B16" w:rsidP="00915020">
            <w:pPr>
              <w:jc w:val="center"/>
              <w:rPr>
                <w:color w:val="212121"/>
              </w:rPr>
            </w:pPr>
            <w:r w:rsidRPr="00F27BAB">
              <w:rPr>
                <w:noProof/>
              </w:rPr>
              <mc:AlternateContent>
                <mc:Choice Requires="wps">
                  <w:drawing>
                    <wp:inline distT="0" distB="0" distL="0" distR="0" wp14:anchorId="0C32045F" wp14:editId="75DE6AA7">
                      <wp:extent cx="210553" cy="190500"/>
                      <wp:effectExtent l="0" t="0" r="18415" b="19050"/>
                      <wp:docPr id="1546650236" name="Octagon 1546650236"/>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5598CCF2" w14:textId="77777777" w:rsidR="008D2C68" w:rsidRDefault="008D2C68" w:rsidP="00F97B16">
                                  <w:pPr>
                                    <w:jc w:val="center"/>
                                  </w:pPr>
                                </w:p>
                                <w:p w14:paraId="61FB41D8"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C32045F" id="Octagon 1546650236" o:spid="_x0000_s1110"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Ws/hQIAAG8FAAAOAAAAZHJzL2Uyb0RvYy54bWysVN1r2zAQfx/sfxB6X/3RJGtDnRJSOgal&#10;LWtHnxVZSgSyTpOU2Nlfv5PsuKErFMbyoNz5vu9+d1fXXaPJXjivwFS0OMspEYZDrcymoj+fb79c&#10;UOIDMzXTYERFD8LT68XnT1etnYsStqBr4Qg6MX7e2opuQ7DzLPN8Kxrmz8AKg0IJrmEBWbfJasda&#10;9N7orMzzWdaCq60DLrzHrze9kC6SfykFDw9SehGIrijmFtLr0ruOb7a4YvONY3ar+JAG+4csGqYM&#10;Bh1d3bDAyM6pv1w1ijvwIMMZhyYDKRUXqQaspsjfVPO0ZVakWrA53o5t8v/PLb/fPzqiapzddDKb&#10;TfPyfEaJYQ3O6oEHtgFDTiTYrtb6OVo92Uc3cB7JWHsnXRP/sSrSpRYfxhaLLhCOH8sin07PKeEo&#10;Ki7zaZ5GkL0aW+fDNwENiURFoc8h9Zbt73zAmKh91IrhPGhV3yqtE+M265V2ZM9w4KtVjr84YzQ5&#10;UctiDX3WiQoHLaKxNj+ExGZgnkWKmGAoRn+Mc2FCOThM2tFMYuzR8Pxjw0E/mooE0dG4/Nh4tEiR&#10;wYTRuFEG3HsOdCiGlGWvj/04qTuSoVt3CQUXqV3x0xrqA0LDQb8z3vJbhSO5Yz48ModLguuEix8e&#10;8JEaWpzVQFGyBff7ve9RH7GLUkpaXLqK+l875gQl+rtBVF8Wk0nc0sRMpl9LZNypZH0qMbtmBTjm&#10;Ak+M5YmM+kEfSemgecH7sIxRUcQMx9gV5cEdmVXojwFeGC6Wy6SGm2lZuDNPlh+BEPH23L0wZwdc&#10;BgT0PRwXlM3fYLPXjSMysNwFkCoB97WvwwhwqxM4hwsUz8Ypn7Re7+TiDwAAAP//AwBQSwMEFAAG&#10;AAgAAAAhALXTcRzaAAAAAwEAAA8AAABkcnMvZG93bnJldi54bWxMj0FrwzAMhe+D/QejQW+t3RZK&#10;l8UpY1DYYTSsW9nVjbUkNJaD7Tbpv5+2S3fRQzzx3qd8M7pOXDDE1pOG+UyBQKq8banW8Pmxna5B&#10;xGTIms4TarhihE1xf5ebzPqB3vGyT7XgEIqZ0dCk1GdSxqpBZ+LM90jsffvgTOI11NIGM3C46+RC&#10;qZV0piVuaEyPLw1Wp/3ZaShPQ/m6LsvHr7Bd7d6CO8zD7qD15GF8fgKRcEy3Y/jFZ3QomOnoz2Sj&#10;6DTwI+lvsrdcLkAcWZUCWeTyP3vxAwAA//8DAFBLAQItABQABgAIAAAAIQC2gziS/gAAAOEBAAAT&#10;AAAAAAAAAAAAAAAAAAAAAABbQ29udGVudF9UeXBlc10ueG1sUEsBAi0AFAAGAAgAAAAhADj9If/W&#10;AAAAlAEAAAsAAAAAAAAAAAAAAAAALwEAAF9yZWxzLy5yZWxzUEsBAi0AFAAGAAgAAAAhAJHtaz+F&#10;AgAAbwUAAA4AAAAAAAAAAAAAAAAALgIAAGRycy9lMm9Eb2MueG1sUEsBAi0AFAAGAAgAAAAhALXT&#10;cRzaAAAAAwEAAA8AAAAAAAAAAAAAAAAA3wQAAGRycy9kb3ducmV2LnhtbFBLBQYAAAAABAAEAPMA&#10;AADmBQAAAAA=&#10;" fillcolor="#c00" strokecolor="#ed7d31 [3205]" strokeweight=".5pt">
                      <v:textbox>
                        <w:txbxContent>
                          <w:p w14:paraId="5598CCF2" w14:textId="77777777" w:rsidR="008D2C68" w:rsidRDefault="008D2C68" w:rsidP="00F97B16">
                            <w:pPr>
                              <w:jc w:val="center"/>
                            </w:pPr>
                          </w:p>
                          <w:p w14:paraId="61FB41D8" w14:textId="77777777" w:rsidR="008D2C68" w:rsidRDefault="008D2C68" w:rsidP="00F97B16">
                            <w:pPr>
                              <w:jc w:val="center"/>
                            </w:pPr>
                          </w:p>
                        </w:txbxContent>
                      </v:textbox>
                      <w10:anchorlock/>
                    </v:shape>
                  </w:pict>
                </mc:Fallback>
              </mc:AlternateContent>
            </w:r>
          </w:p>
        </w:tc>
        <w:tc>
          <w:tcPr>
            <w:tcW w:w="1170" w:type="dxa"/>
            <w:vAlign w:val="center"/>
          </w:tcPr>
          <w:p w14:paraId="7D6EE379" w14:textId="77777777" w:rsidR="00F97B16" w:rsidRPr="00F27BAB" w:rsidRDefault="00F97B16" w:rsidP="00915020">
            <w:pPr>
              <w:jc w:val="center"/>
              <w:rPr>
                <w:color w:val="212121"/>
              </w:rPr>
            </w:pPr>
            <w:r w:rsidRPr="00F27BAB">
              <w:rPr>
                <w:color w:val="212121"/>
              </w:rPr>
              <w:t>N/A</w:t>
            </w:r>
          </w:p>
        </w:tc>
        <w:tc>
          <w:tcPr>
            <w:tcW w:w="900" w:type="dxa"/>
            <w:vAlign w:val="center"/>
          </w:tcPr>
          <w:p w14:paraId="22199112" w14:textId="77777777" w:rsidR="00F97B16" w:rsidRPr="00F27BAB" w:rsidRDefault="00F97B16" w:rsidP="00915020">
            <w:pPr>
              <w:jc w:val="center"/>
              <w:rPr>
                <w:color w:val="212121"/>
              </w:rPr>
            </w:pPr>
            <w:r w:rsidRPr="00F27BAB">
              <w:rPr>
                <w:color w:val="212121"/>
              </w:rPr>
              <w:t>N/A</w:t>
            </w:r>
          </w:p>
        </w:tc>
        <w:tc>
          <w:tcPr>
            <w:tcW w:w="7020" w:type="dxa"/>
          </w:tcPr>
          <w:p w14:paraId="49DF199C" w14:textId="77777777" w:rsidR="00F97B16" w:rsidRPr="0090686A" w:rsidRDefault="00F97B16" w:rsidP="00915020">
            <w:pPr>
              <w:ind w:left="342"/>
              <w:rPr>
                <w:rFonts w:eastAsia="Times New Roman"/>
              </w:rPr>
            </w:pPr>
            <w:r w:rsidRPr="0090686A">
              <w:rPr>
                <w:rFonts w:eastAsia="Times New Roman"/>
              </w:rPr>
              <w:t xml:space="preserve">No service accounts will have Tier 0 privileges </w:t>
            </w:r>
          </w:p>
        </w:tc>
      </w:tr>
      <w:tr w:rsidR="00F97B16" w14:paraId="0245313C" w14:textId="77777777" w:rsidTr="00915020">
        <w:tc>
          <w:tcPr>
            <w:tcW w:w="805" w:type="dxa"/>
            <w:vAlign w:val="center"/>
          </w:tcPr>
          <w:p w14:paraId="3334D565" w14:textId="77777777" w:rsidR="00F97B16" w:rsidRPr="00275388" w:rsidRDefault="00F97B16" w:rsidP="00915020">
            <w:pPr>
              <w:jc w:val="center"/>
              <w:rPr>
                <w:noProof/>
              </w:rPr>
            </w:pPr>
            <w:r>
              <w:rPr>
                <w:noProof/>
              </w:rPr>
              <w:t>N/A</w:t>
            </w:r>
          </w:p>
        </w:tc>
        <w:tc>
          <w:tcPr>
            <w:tcW w:w="1170" w:type="dxa"/>
            <w:vAlign w:val="center"/>
          </w:tcPr>
          <w:p w14:paraId="0CEB4C86" w14:textId="77777777" w:rsidR="00F97B16" w:rsidRPr="00275388" w:rsidRDefault="00F97B16" w:rsidP="00915020">
            <w:pPr>
              <w:jc w:val="center"/>
              <w:rPr>
                <w:color w:val="212121"/>
              </w:rPr>
            </w:pPr>
            <w:r w:rsidRPr="00275388">
              <w:rPr>
                <w:noProof/>
              </w:rPr>
              <mc:AlternateContent>
                <mc:Choice Requires="wps">
                  <w:drawing>
                    <wp:inline distT="0" distB="0" distL="0" distR="0" wp14:anchorId="70AE8712" wp14:editId="7280A7DC">
                      <wp:extent cx="210553" cy="190500"/>
                      <wp:effectExtent l="0" t="0" r="18415" b="19050"/>
                      <wp:docPr id="1546650237" name="Octagon 1546650237"/>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7F19E4D0" w14:textId="77777777" w:rsidR="008D2C68" w:rsidRDefault="008D2C68" w:rsidP="00F97B16">
                                  <w:pPr>
                                    <w:jc w:val="center"/>
                                  </w:pPr>
                                </w:p>
                                <w:p w14:paraId="1F6C0E9A"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0AE8712" id="Octagon 1546650237" o:spid="_x0000_s1111"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j+ThAIAAG8FAAAOAAAAZHJzL2Uyb0RvYy54bWysVEtrGzEQvhf6H4TuzT5i52GyDsYhpRCS&#10;kKTkLGslW6DVqJLsXffXd6Rdb0waCJT6IM/svGe+mavrrtFkJ5xXYCpanOSUCMOhVmZd0Z8vt98u&#10;KPGBmZppMKKie+Hp9fzrl6vWzkQJG9C1cASdGD9rbUU3IdhZlnm+EQ3zJ2CFQaEE17CArFtntWMt&#10;em90Vub5WdaCq60DLrzHrze9kM6TfykFDw9SehGIrijmFtLr0ruKbza/YrO1Y3aj+JAG+4csGqYM&#10;Bh1d3bDAyNapv1w1ijvwIMMJhyYDKRUXqQaspsjfVfO8YVakWrA53o5t8v/PLb/fPTqiapzddHJ2&#10;Ns3L03NKDGtwVg88sDUYciTBdrXWz9Dq2T66gfNIxto76Zr4j1WRLrV4P7ZYdIFw/FgW+XR6SglH&#10;UXGZT/M0guzN2DofvgtoSCQqCn0Oqbdsd+cDxkTtg1YM50Gr+lZpnRi3Xi21IzuGA18uc/zFGaPJ&#10;kVoWa+izTlTYaxGNtXkSEpuBeRYpYoKhGP0xzoUJ5eAwaUczibFHw9PPDQf9aCoSREfj8nPj0SJF&#10;BhNG40YZcB850KEYUpa9PvbjqO5Ihm7VJRRcJNX4aQX1HqHhoN8Zb/mtwpHcMR8emcMlwXXCxQ8P&#10;+EgNLc5qoCjZgPv90feoj9hFKSUtLl1F/a8tc4IS/cMgqi+LySRuaWIm0/MSGXcsWR1LzLZZAo65&#10;wBNjeSKjftAHUjpoXvE+LGJUFDHDMXZFeXAHZhn6Y4AXhovFIqnhZloW7syz5QcgRLy9dK/M2QGX&#10;AQF9D4cFZbN32Ox144gMLLYBpErAfevrMALc6gTO4QLFs3HMJ623Ozn/AwAA//8DAFBLAwQUAAYA&#10;CAAAACEAtdNxHNoAAAADAQAADwAAAGRycy9kb3ducmV2LnhtbEyPQWvDMAyF74P9B6NBb63dFkqX&#10;xSljUNhhNKxb2dWNtSQ0loPtNum/n7ZLd9FDPPHep3wzuk5cMMTWk4b5TIFAqrxtqdbw+bGdrkHE&#10;ZMiazhNquGKETXF/l5vM+oHe8bJPteAQipnR0KTUZ1LGqkFn4sz3SOx9++BM4jXU0gYzcLjr5EKp&#10;lXSmJW5oTI8vDVan/dlpKE9D+bouy8evsF3t3oI7zMPuoPXkYXx+ApFwTLdj+MVndCiY6ejPZKPo&#10;NPAj6W+yt1wuQBxZlQJZ5PI/e/EDAAD//wMAUEsBAi0AFAAGAAgAAAAhALaDOJL+AAAA4QEAABMA&#10;AAAAAAAAAAAAAAAAAAAAAFtDb250ZW50X1R5cGVzXS54bWxQSwECLQAUAAYACAAAACEAOP0h/9YA&#10;AACUAQAACwAAAAAAAAAAAAAAAAAvAQAAX3JlbHMvLnJlbHNQSwECLQAUAAYACAAAACEAOyY/k4QC&#10;AABvBQAADgAAAAAAAAAAAAAAAAAuAgAAZHJzL2Uyb0RvYy54bWxQSwECLQAUAAYACAAAACEAtdNx&#10;HNoAAAADAQAADwAAAAAAAAAAAAAAAADeBAAAZHJzL2Rvd25yZXYueG1sUEsFBgAAAAAEAAQA8wAA&#10;AOUFAAAAAA==&#10;" fillcolor="#c00" strokecolor="#ed7d31 [3205]" strokeweight=".5pt">
                      <v:textbox>
                        <w:txbxContent>
                          <w:p w14:paraId="7F19E4D0" w14:textId="77777777" w:rsidR="008D2C68" w:rsidRDefault="008D2C68" w:rsidP="00F97B16">
                            <w:pPr>
                              <w:jc w:val="center"/>
                            </w:pPr>
                          </w:p>
                          <w:p w14:paraId="1F6C0E9A" w14:textId="77777777" w:rsidR="008D2C68" w:rsidRDefault="008D2C68" w:rsidP="00F97B16">
                            <w:pPr>
                              <w:jc w:val="center"/>
                            </w:pPr>
                          </w:p>
                        </w:txbxContent>
                      </v:textbox>
                      <w10:anchorlock/>
                    </v:shape>
                  </w:pict>
                </mc:Fallback>
              </mc:AlternateContent>
            </w:r>
          </w:p>
        </w:tc>
        <w:tc>
          <w:tcPr>
            <w:tcW w:w="900" w:type="dxa"/>
            <w:vAlign w:val="center"/>
          </w:tcPr>
          <w:p w14:paraId="39E37970" w14:textId="77777777" w:rsidR="00F97B16" w:rsidRPr="00275388" w:rsidRDefault="00F97B16" w:rsidP="00915020">
            <w:pPr>
              <w:jc w:val="center"/>
              <w:rPr>
                <w:color w:val="212121"/>
              </w:rPr>
            </w:pPr>
            <w:r w:rsidRPr="00275388">
              <w:rPr>
                <w:noProof/>
              </w:rPr>
              <mc:AlternateContent>
                <mc:Choice Requires="wps">
                  <w:drawing>
                    <wp:inline distT="0" distB="0" distL="0" distR="0" wp14:anchorId="4CB49988" wp14:editId="4772E4ED">
                      <wp:extent cx="210553" cy="190500"/>
                      <wp:effectExtent l="0" t="0" r="18415" b="19050"/>
                      <wp:docPr id="1546650238" name="Octagon 1546650238"/>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0F78FA59" w14:textId="77777777" w:rsidR="008D2C68" w:rsidRDefault="008D2C68" w:rsidP="00F97B16">
                                  <w:pPr>
                                    <w:jc w:val="center"/>
                                  </w:pPr>
                                </w:p>
                                <w:p w14:paraId="2F28D7FD"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CB49988" id="Octagon 1546650238" o:spid="_x0000_s1112"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FXthAIAAG8FAAAOAAAAZHJzL2Uyb0RvYy54bWysVN1r2zAQfx/sfxB6X/3RpGtDnRJSOgal&#10;DWtHnxVZSgSyTpOU2Nlfv5PsuKErFMbyoNz5vu9+d9c3XaPJXjivwFS0OMspEYZDrcymoj+f775c&#10;UuIDMzXTYERFD8LTm/nnT9etnYkStqBr4Qg6MX7W2opuQ7CzLPN8Kxrmz8AKg0IJrmEBWbfJasda&#10;9N7orMzzi6wFV1sHXHiPX297IZ0n/1IKHh6l9CIQXVHMLaTXpXcd32x+zWYbx+xW8SEN9g9ZNEwZ&#10;DDq6umWBkZ1Tf7lqFHfgQYYzDk0GUiouUg1YTZG/qeZpy6xItWBzvB3b5P+fW/6wXzmiapzddHJx&#10;Mc3Lc5yYYQ3O6pEHtgFDTiTYrtb6GVo92ZUbOI9krL2Tron/WBXpUosPY4tFFwjHj2WRT6fnlHAU&#10;FVf5NE8jyF6NrfPhm4CGRKKi0OeQesv29z5gTNQ+asVwHrSq75TWiXGb9VI7smc48OUyx1+cMZqc&#10;qGWxhj7rRIWDFtFYmx9CYjMwzyJFTDAUoz/GuTChHBwm7WgmMfZoeP6x4aAfTUWC6Ghcfmw8WqTI&#10;YMJo3CgD7j0HOhRDyrLXx36c1B3J0K27hILLVF38tIb6gNBw0O+Mt/xO4UjumQ8r5nBJcJ1w8cMj&#10;PlJDi7MaKEq24H6/9z3qI3ZRSkmLS1dR/2vHnKBEfzeI6qtiMolbmpjJ9GuJjDuVrE8lZtcsAcdc&#10;4ImxPJFRP+gjKR00L3gfFjEqipjhGLuiPLgjswz9McALw8VikdRwMy0L9+bJ8iMQIt6euxfm7IDL&#10;gIB+gOOCstkbbPa6cUQGFrsAUiXgvvZ1GAFudQLncIHi2Tjlk9brnZz/AQAA//8DAFBLAwQUAAYA&#10;CAAAACEAtdNxHNoAAAADAQAADwAAAGRycy9kb3ducmV2LnhtbEyPQWvDMAyF74P9B6NBb63dFkqX&#10;xSljUNhhNKxb2dWNtSQ0loPtNum/n7ZLd9FDPPHep3wzuk5cMMTWk4b5TIFAqrxtqdbw+bGdrkHE&#10;ZMiazhNquGKETXF/l5vM+oHe8bJPteAQipnR0KTUZ1LGqkFn4sz3SOx9++BM4jXU0gYzcLjr5EKp&#10;lXSmJW5oTI8vDVan/dlpKE9D+bouy8evsF3t3oI7zMPuoPXkYXx+ApFwTLdj+MVndCiY6ejPZKPo&#10;NPAj6W+yt1wuQBxZlQJZ5PI/e/EDAAD//wMAUEsBAi0AFAAGAAgAAAAhALaDOJL+AAAA4QEAABMA&#10;AAAAAAAAAAAAAAAAAAAAAFtDb250ZW50X1R5cGVzXS54bWxQSwECLQAUAAYACAAAACEAOP0h/9YA&#10;AACUAQAACwAAAAAAAAAAAAAAAAAvAQAAX3JlbHMvLnJlbHNQSwECLQAUAAYACAAAACEA1ZRV7YQC&#10;AABvBQAADgAAAAAAAAAAAAAAAAAuAgAAZHJzL2Uyb0RvYy54bWxQSwECLQAUAAYACAAAACEAtdNx&#10;HNoAAAADAQAADwAAAAAAAAAAAAAAAADeBAAAZHJzL2Rvd25yZXYueG1sUEsFBgAAAAAEAAQA8wAA&#10;AOUFAAAAAA==&#10;" fillcolor="#c00" strokecolor="#ed7d31 [3205]" strokeweight=".5pt">
                      <v:textbox>
                        <w:txbxContent>
                          <w:p w14:paraId="0F78FA59" w14:textId="77777777" w:rsidR="008D2C68" w:rsidRDefault="008D2C68" w:rsidP="00F97B16">
                            <w:pPr>
                              <w:jc w:val="center"/>
                            </w:pPr>
                          </w:p>
                          <w:p w14:paraId="2F28D7FD" w14:textId="77777777" w:rsidR="008D2C68" w:rsidRDefault="008D2C68" w:rsidP="00F97B16">
                            <w:pPr>
                              <w:jc w:val="center"/>
                            </w:pPr>
                          </w:p>
                        </w:txbxContent>
                      </v:textbox>
                      <w10:anchorlock/>
                    </v:shape>
                  </w:pict>
                </mc:Fallback>
              </mc:AlternateContent>
            </w:r>
          </w:p>
        </w:tc>
        <w:tc>
          <w:tcPr>
            <w:tcW w:w="7020" w:type="dxa"/>
          </w:tcPr>
          <w:p w14:paraId="66B67F79" w14:textId="77777777" w:rsidR="00F97B16" w:rsidRPr="0090686A" w:rsidRDefault="00F97B16" w:rsidP="00915020">
            <w:pPr>
              <w:ind w:left="342"/>
              <w:rPr>
                <w:rFonts w:eastAsia="Times New Roman"/>
              </w:rPr>
            </w:pPr>
            <w:r w:rsidRPr="0090686A">
              <w:rPr>
                <w:rFonts w:eastAsia="Times New Roman"/>
              </w:rPr>
              <w:t>Service accounts tracked, documented, and reviewed</w:t>
            </w:r>
          </w:p>
        </w:tc>
      </w:tr>
      <w:tr w:rsidR="00F97B16" w14:paraId="45548F48" w14:textId="77777777" w:rsidTr="00915020">
        <w:tc>
          <w:tcPr>
            <w:tcW w:w="805" w:type="dxa"/>
            <w:vAlign w:val="center"/>
          </w:tcPr>
          <w:p w14:paraId="337E69F8" w14:textId="77777777" w:rsidR="00F97B16" w:rsidRPr="00275388" w:rsidRDefault="00F97B16" w:rsidP="00915020">
            <w:pPr>
              <w:jc w:val="center"/>
              <w:rPr>
                <w:noProof/>
              </w:rPr>
            </w:pPr>
            <w:r>
              <w:rPr>
                <w:noProof/>
              </w:rPr>
              <w:t>N/A</w:t>
            </w:r>
          </w:p>
        </w:tc>
        <w:tc>
          <w:tcPr>
            <w:tcW w:w="1170" w:type="dxa"/>
            <w:vAlign w:val="center"/>
          </w:tcPr>
          <w:p w14:paraId="13B41827" w14:textId="77777777" w:rsidR="00F97B16" w:rsidRPr="00275388" w:rsidRDefault="00F97B16" w:rsidP="00915020">
            <w:pPr>
              <w:jc w:val="center"/>
              <w:rPr>
                <w:color w:val="212121"/>
              </w:rPr>
            </w:pPr>
            <w:r w:rsidRPr="00275388">
              <w:rPr>
                <w:noProof/>
              </w:rPr>
              <mc:AlternateContent>
                <mc:Choice Requires="wps">
                  <w:drawing>
                    <wp:inline distT="0" distB="0" distL="0" distR="0" wp14:anchorId="1DC52EDE" wp14:editId="30A3BB2A">
                      <wp:extent cx="210553" cy="190500"/>
                      <wp:effectExtent l="0" t="0" r="18415" b="19050"/>
                      <wp:docPr id="125" name="Octagon 125"/>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4CF2CC77" w14:textId="77777777" w:rsidR="008D2C68" w:rsidRDefault="008D2C68" w:rsidP="00F97B16">
                                  <w:pPr>
                                    <w:jc w:val="center"/>
                                  </w:pPr>
                                </w:p>
                                <w:p w14:paraId="199ADCFB"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DC52EDE" id="Octagon 125" o:spid="_x0000_s1113"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eofgIAAGEFAAAOAAAAZHJzL2Uyb0RvYy54bWysVN1r2zAQfx/sfxB6X/3RZGtDnRJSMgal&#10;LW1HnxVZSgSyTpOU2Nlfv5PsuKErFMb8IN/pfvd9p6vrrtFkL5xXYCpanOWUCMOhVmZT0Z/Pqy8X&#10;lPjATM00GFHRg/D0ev7501VrZ6KELehaOIJGjJ+1tqLbEOwsyzzfiob5M7DCoFCCa1hA1m2y2rEW&#10;rTc6K/P8a9aCq60DLrzH25teSOfJvpSCh3spvQhEVxRjC+l06VzHM5tfsdnGMbtVfAiD/UMUDVMG&#10;nY6mblhgZOfUX6YaxR14kOGMQ5OBlIqLlANmU+RvsnnaMitSLlgcb8cy+f9nlt/tHxxRNfaunFJi&#10;WINNuueBbcCQeIUFaq2fIe7JPriB80jGbDvpmvjHPEiXinoYiyq6QDhelkU+nZ5TwlFUXObTPBU9&#10;e1W2zofvAhoSiYpC7zxVk+1vfUCfiD6iojsPWtUrpXVi3Ga91I7sGbZ4uczxi0Gjygksizn0UScq&#10;HLSIyto8ConpY5xF8pgGT4z2GOfChHIwmNBRTaLvUfH8Y8UBH1VFGspRufxYedRInsGEUblRBtx7&#10;BnQohpBlj8d6nOQdydCtu9T3i/MIjVdrqA84DA76LfGWrxS25Jb58MAcrgUuEK56uMdDamixVwNF&#10;yRbc7/fuIx6nFaWUtLhmFfW/dswJSvQPg3N8WUwmcS8TM5l+K5Fxp5L1qcTsmiVgmwt8VCxPZMQH&#10;fSSlg+YFX4RF9IoiZjj6rigP7sgsQ7/++KZwsVgkGO6iZeHWPFl+HIQ4b8/dC3N2mMuAA30Hx5Vk&#10;szez2WNjiwwsdgGkSoP7WtehBbjHaTiHNyc+FKd8Qr2+jPM/AAAA//8DAFBLAwQUAAYACAAAACEA&#10;tdNxHNoAAAADAQAADwAAAGRycy9kb3ducmV2LnhtbEyPQWvDMAyF74P9B6NBb63dFkqXxSljUNhh&#10;NKxb2dWNtSQ0loPtNum/n7ZLd9FDPPHep3wzuk5cMMTWk4b5TIFAqrxtqdbw+bGdrkHEZMiazhNq&#10;uGKETXF/l5vM+oHe8bJPteAQipnR0KTUZ1LGqkFn4sz3SOx9++BM4jXU0gYzcLjr5EKplXSmJW5o&#10;TI8vDVan/dlpKE9D+bouy8evsF3t3oI7zMPuoPXkYXx+ApFwTLdj+MVndCiY6ejPZKPoNPAj6W+y&#10;t1wuQBxZlQJZ5PI/e/EDAAD//wMAUEsBAi0AFAAGAAgAAAAhALaDOJL+AAAA4QEAABMAAAAAAAAA&#10;AAAAAAAAAAAAAFtDb250ZW50X1R5cGVzXS54bWxQSwECLQAUAAYACAAAACEAOP0h/9YAAACUAQAA&#10;CwAAAAAAAAAAAAAAAAAvAQAAX3JlbHMvLnJlbHNQSwECLQAUAAYACAAAACEAh/sXqH4CAABhBQAA&#10;DgAAAAAAAAAAAAAAAAAuAgAAZHJzL2Uyb0RvYy54bWxQSwECLQAUAAYACAAAACEAtdNxHNoAAAAD&#10;AQAADwAAAAAAAAAAAAAAAADYBAAAZHJzL2Rvd25yZXYueG1sUEsFBgAAAAAEAAQA8wAAAN8FAAAA&#10;AA==&#10;" fillcolor="#c00" strokecolor="#ed7d31 [3205]" strokeweight=".5pt">
                      <v:textbox>
                        <w:txbxContent>
                          <w:p w14:paraId="4CF2CC77" w14:textId="77777777" w:rsidR="008D2C68" w:rsidRDefault="008D2C68" w:rsidP="00F97B16">
                            <w:pPr>
                              <w:jc w:val="center"/>
                            </w:pPr>
                          </w:p>
                          <w:p w14:paraId="199ADCFB" w14:textId="77777777" w:rsidR="008D2C68" w:rsidRDefault="008D2C68" w:rsidP="00F97B16">
                            <w:pPr>
                              <w:jc w:val="center"/>
                            </w:pPr>
                          </w:p>
                        </w:txbxContent>
                      </v:textbox>
                      <w10:anchorlock/>
                    </v:shape>
                  </w:pict>
                </mc:Fallback>
              </mc:AlternateContent>
            </w:r>
          </w:p>
        </w:tc>
        <w:tc>
          <w:tcPr>
            <w:tcW w:w="900" w:type="dxa"/>
            <w:vAlign w:val="center"/>
          </w:tcPr>
          <w:p w14:paraId="7F0F5E77" w14:textId="77777777" w:rsidR="00F97B16" w:rsidRPr="00275388" w:rsidRDefault="00F97B16" w:rsidP="00915020">
            <w:pPr>
              <w:jc w:val="center"/>
              <w:rPr>
                <w:color w:val="212121"/>
              </w:rPr>
            </w:pPr>
            <w:r w:rsidRPr="00275388">
              <w:rPr>
                <w:noProof/>
              </w:rPr>
              <mc:AlternateContent>
                <mc:Choice Requires="wps">
                  <w:drawing>
                    <wp:inline distT="0" distB="0" distL="0" distR="0" wp14:anchorId="144FFCCC" wp14:editId="5BA1DCF9">
                      <wp:extent cx="210553" cy="190500"/>
                      <wp:effectExtent l="0" t="0" r="18415" b="19050"/>
                      <wp:docPr id="160" name="Octagon 160"/>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651C444D" w14:textId="77777777" w:rsidR="008D2C68" w:rsidRDefault="008D2C68" w:rsidP="00F97B16">
                                  <w:pPr>
                                    <w:jc w:val="center"/>
                                  </w:pPr>
                                </w:p>
                                <w:p w14:paraId="087523E1"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44FFCCC" id="Octagon 160" o:spid="_x0000_s1114"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Oe/fQIAAGEFAAAOAAAAZHJzL2Uyb0RvYy54bWysVF9r2zAQfx/sOwi9r7bTpGtDnRJSMgal&#10;DWtHnxVZSgSyTpOU2Nmn30l2nNAVCmN+kO90v/t/p9u7ttZkL5xXYEpaXOSUCMOhUmZT0p8vyy/X&#10;lPjATMU0GFHSg/D0bvb5021jp2IEW9CVcASNGD9tbEm3Idhplnm+FTXzF2CFQaEEV7OArNtklWMN&#10;Wq91Nsrzq6wBV1kHXHiPt/edkM6SfSkFD09SehGILinGFtLp0rmOZza7ZdONY3areB8G+4coaqYM&#10;Oh1M3bPAyM6pv0zVijvwIMMFhzoDKRUXKQfMpsjfZPO8ZVakXLA43g5l8v/PLH/crxxRFfbuCutj&#10;WI1NeuKBbcCQeIUFaqyfIu7ZrlzPeSRjtq10dfxjHqRNRT0MRRVtIBwvR0U+mVxSwlFU3OSTPNnM&#10;TsrW+fBNQE0iUVLonKdqsv2DD+gT0UdUdOdBq2qptE6M26wX2pE9wxYvFjl+MWhUOYNlMYcu6kSF&#10;gxZRWZsfQmL6GGeRPKbBE4M9xrkwYdQbTOioJtH3oHj5sWKPj6oiDeWgPPpYedBInsGEQblWBtx7&#10;BnQo+pBlh8d6nOUdydCu29T363GExqs1VAccBgfdlnjLlwpb8sB8WDGHa4EDgqsenvCQGhrsVU9R&#10;sgX3+737iMdpRSklDa5ZSf2vHXOCEv3d4BzfFONx3MvEjCdfR8i4c8n6XGJ29QKwzQU+KpYnMuKD&#10;PpLSQf2KL8I8ekURMxx9l5QHd2QWoVt/fFO4mM8TDHfRsvBgni0/DkKct5f2lTnbz2XAgX6E40qy&#10;6ZvZ7LCxRQbmuwBSpcE91bVvAe5xGs7+zYkPxTmfUKeXcfYHAAD//wMAUEsDBBQABgAIAAAAIQC1&#10;03Ec2gAAAAMBAAAPAAAAZHJzL2Rvd25yZXYueG1sTI9Ba8MwDIXvg/0Ho0Fvrd0WSpfFKWNQ2GE0&#10;rFvZ1Y21JDSWg+026b+ftkt30UM88d6nfDO6TlwwxNaThvlMgUCqvG2p1vD5sZ2uQcRkyJrOE2q4&#10;YoRNcX+Xm8z6gd7xsk+14BCKmdHQpNRnUsaqQWfizPdI7H374EziNdTSBjNwuOvkQqmVdKYlbmhM&#10;jy8NVqf92WkoT0P5ui7Lx6+wXe3egjvMw+6g9eRhfH4CkXBMt2P4xWd0KJjp6M9ko+g08CPpb7K3&#10;XC5AHFmVAlnk8j978QMAAP//AwBQSwECLQAUAAYACAAAACEAtoM4kv4AAADhAQAAEwAAAAAAAAAA&#10;AAAAAAAAAAAAW0NvbnRlbnRfVHlwZXNdLnhtbFBLAQItABQABgAIAAAAIQA4/SH/1gAAAJQBAAAL&#10;AAAAAAAAAAAAAAAAAC8BAABfcmVscy8ucmVsc1BLAQItABQABgAIAAAAIQAnIOe/fQIAAGEFAAAO&#10;AAAAAAAAAAAAAAAAAC4CAABkcnMvZTJvRG9jLnhtbFBLAQItABQABgAIAAAAIQC103Ec2gAAAAMB&#10;AAAPAAAAAAAAAAAAAAAAANcEAABkcnMvZG93bnJldi54bWxQSwUGAAAAAAQABADzAAAA3gUAAAAA&#10;" fillcolor="#c00" strokecolor="#ed7d31 [3205]" strokeweight=".5pt">
                      <v:textbox>
                        <w:txbxContent>
                          <w:p w14:paraId="651C444D" w14:textId="77777777" w:rsidR="008D2C68" w:rsidRDefault="008D2C68" w:rsidP="00F97B16">
                            <w:pPr>
                              <w:jc w:val="center"/>
                            </w:pPr>
                          </w:p>
                          <w:p w14:paraId="087523E1" w14:textId="77777777" w:rsidR="008D2C68" w:rsidRDefault="008D2C68" w:rsidP="00F97B16">
                            <w:pPr>
                              <w:jc w:val="center"/>
                            </w:pPr>
                          </w:p>
                        </w:txbxContent>
                      </v:textbox>
                      <w10:anchorlock/>
                    </v:shape>
                  </w:pict>
                </mc:Fallback>
              </mc:AlternateContent>
            </w:r>
          </w:p>
        </w:tc>
        <w:tc>
          <w:tcPr>
            <w:tcW w:w="7020" w:type="dxa"/>
          </w:tcPr>
          <w:p w14:paraId="0BA7F451" w14:textId="77777777" w:rsidR="00F97B16" w:rsidRPr="0090686A" w:rsidRDefault="00F97B16" w:rsidP="00915020">
            <w:pPr>
              <w:ind w:left="342"/>
              <w:rPr>
                <w:rFonts w:eastAsia="Times New Roman"/>
              </w:rPr>
            </w:pPr>
            <w:r w:rsidRPr="0090686A">
              <w:rPr>
                <w:rFonts w:eastAsia="Times New Roman"/>
              </w:rPr>
              <w:t>Service account passwords complexity and expiration</w:t>
            </w:r>
          </w:p>
        </w:tc>
      </w:tr>
      <w:tr w:rsidR="00F97B16" w14:paraId="337C776A" w14:textId="77777777" w:rsidTr="00915020">
        <w:tc>
          <w:tcPr>
            <w:tcW w:w="805" w:type="dxa"/>
            <w:vAlign w:val="center"/>
          </w:tcPr>
          <w:p w14:paraId="58099E69" w14:textId="77777777" w:rsidR="00F97B16" w:rsidRPr="00275388" w:rsidRDefault="00F97B16" w:rsidP="00915020">
            <w:pPr>
              <w:jc w:val="center"/>
              <w:rPr>
                <w:noProof/>
              </w:rPr>
            </w:pPr>
            <w:r>
              <w:rPr>
                <w:noProof/>
              </w:rPr>
              <w:t>N/A</w:t>
            </w:r>
          </w:p>
        </w:tc>
        <w:tc>
          <w:tcPr>
            <w:tcW w:w="1170" w:type="dxa"/>
            <w:vAlign w:val="center"/>
          </w:tcPr>
          <w:p w14:paraId="040F1982" w14:textId="77777777" w:rsidR="00F97B16" w:rsidRPr="00275388" w:rsidRDefault="00F97B16" w:rsidP="00915020">
            <w:pPr>
              <w:jc w:val="center"/>
              <w:rPr>
                <w:color w:val="212121"/>
              </w:rPr>
            </w:pPr>
            <w:r w:rsidRPr="00275388">
              <w:rPr>
                <w:noProof/>
              </w:rPr>
              <mc:AlternateContent>
                <mc:Choice Requires="wps">
                  <w:drawing>
                    <wp:inline distT="0" distB="0" distL="0" distR="0" wp14:anchorId="6BA72581" wp14:editId="0656B908">
                      <wp:extent cx="210553" cy="190500"/>
                      <wp:effectExtent l="0" t="0" r="18415" b="19050"/>
                      <wp:docPr id="1546650239" name="Octagon 1546650239"/>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10EE236B" w14:textId="77777777" w:rsidR="008D2C68" w:rsidRDefault="008D2C68" w:rsidP="00F97B16">
                                  <w:pPr>
                                    <w:jc w:val="center"/>
                                  </w:pPr>
                                </w:p>
                                <w:p w14:paraId="1AD16796"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BA72581" id="Octagon 1546650239" o:spid="_x0000_s1115"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VLbhQIAAG8FAAAOAAAAZHJzL2Uyb0RvYy54bWysVN1r2zAQfx/sfxB6X/zRuGtDnRJSMgal&#10;DWtHnxVZSgyyTpOU2Nlfv5PsuKErFMbyoNz5vu9+dze3XaPIQVhXgy5pNkkpEZpDVettSX8+r75c&#10;UeI80xVToEVJj8LR2/nnTzetmYkcdqAqYQk60W7WmpLuvDezJHF8JxrmJmCERqEE2zCPrN0mlWUt&#10;em9UkqfpZdKCrYwFLpzDr3e9kM6jfykF949SOuGJKinm5uNr47sJbzK/YbOtZWZX8yEN9g9ZNKzW&#10;GHR0dcc8I3tb/+WqqbkFB9JPODQJSFlzEWvAarL0TTVPO2ZErAWb48zYJvf/3PKHw9qSusLZFdPL&#10;yyLNL64p0azBWT1yz7agyZkE29UaN0OrJ7O2A+eQDLV30jbhH6siXWzxcWyx6Dzh+DHP0qK4oISj&#10;KLtOizSOIHk1Ntb5bwIaEoiSQp9D7C073DuPMVH7pBXCOVB1taqViozdbpbKkgPDgS+XKf7CjNHk&#10;TC0JNfRZR8oflQjGSv8QEpuBeWYxYoShGP0xzoX2+eAwagczibFHw4uPDQf9YCoiREfj/GPj0SJG&#10;Bu1H46bWYN9zoHw2pCx7fezHWd2B9N2miyi4KoJq+LSB6ojQsNDvjDN8VeNI7pnza2ZxSXCdcPH9&#10;Iz5SQYuzGihKdmB/v/c96CN2UUpJi0tXUvdrz6ygRH3XiOrrbDoNWxqZafE1R8aeSzbnEr1vloBj&#10;zvDEGB7JoO/ViZQWmhe8D4sQFUVMc4xdUu7tiVn6/hjgheFisYhquJmG+Xv9ZPgJCAFvz90Ls2bA&#10;pUdAP8BpQdnsDTZ73TAiDYu9B1lH4L72dRgBbnUE53CBwtk456PW652c/wEAAP//AwBQSwMEFAAG&#10;AAgAAAAhALXTcRzaAAAAAwEAAA8AAABkcnMvZG93bnJldi54bWxMj0FrwzAMhe+D/QejQW+t3RZK&#10;l8UpY1DYYTSsW9nVjbUkNJaD7Tbpv5+2S3fRQzzx3qd8M7pOXDDE1pOG+UyBQKq8banW8Pmxna5B&#10;xGTIms4TarhihE1xf5ebzPqB3vGyT7XgEIqZ0dCk1GdSxqpBZ+LM90jsffvgTOI11NIGM3C46+RC&#10;qZV0piVuaEyPLw1Wp/3ZaShPQ/m6LsvHr7Bd7d6CO8zD7qD15GF8fgKRcEy3Y/jFZ3QomOnoz2Sj&#10;6DTwI+lvsrdcLkAcWZUCWeTyP3vxAwAA//8DAFBLAQItABQABgAIAAAAIQC2gziS/gAAAOEBAAAT&#10;AAAAAAAAAAAAAAAAAAAAAABbQ29udGVudF9UeXBlc10ueG1sUEsBAi0AFAAGAAgAAAAhADj9If/W&#10;AAAAlAEAAAsAAAAAAAAAAAAAAAAALwEAAF9yZWxzLy5yZWxzUEsBAi0AFAAGAAgAAAAhAAkdUtuF&#10;AgAAbwUAAA4AAAAAAAAAAAAAAAAALgIAAGRycy9lMm9Eb2MueG1sUEsBAi0AFAAGAAgAAAAhALXT&#10;cRzaAAAAAwEAAA8AAAAAAAAAAAAAAAAA3wQAAGRycy9kb3ducmV2LnhtbFBLBQYAAAAABAAEAPMA&#10;AADmBQAAAAA=&#10;" fillcolor="#c00" strokecolor="#ed7d31 [3205]" strokeweight=".5pt">
                      <v:textbox>
                        <w:txbxContent>
                          <w:p w14:paraId="10EE236B" w14:textId="77777777" w:rsidR="008D2C68" w:rsidRDefault="008D2C68" w:rsidP="00F97B16">
                            <w:pPr>
                              <w:jc w:val="center"/>
                            </w:pPr>
                          </w:p>
                          <w:p w14:paraId="1AD16796" w14:textId="77777777" w:rsidR="008D2C68" w:rsidRDefault="008D2C68" w:rsidP="00F97B16">
                            <w:pPr>
                              <w:jc w:val="center"/>
                            </w:pPr>
                          </w:p>
                        </w:txbxContent>
                      </v:textbox>
                      <w10:anchorlock/>
                    </v:shape>
                  </w:pict>
                </mc:Fallback>
              </mc:AlternateContent>
            </w:r>
          </w:p>
        </w:tc>
        <w:tc>
          <w:tcPr>
            <w:tcW w:w="900" w:type="dxa"/>
            <w:vAlign w:val="center"/>
          </w:tcPr>
          <w:p w14:paraId="52525143" w14:textId="77777777" w:rsidR="00F97B16" w:rsidRPr="00275388" w:rsidRDefault="00F97B16" w:rsidP="00915020">
            <w:pPr>
              <w:jc w:val="center"/>
              <w:rPr>
                <w:color w:val="212121"/>
              </w:rPr>
            </w:pPr>
            <w:r w:rsidRPr="00275388">
              <w:rPr>
                <w:noProof/>
              </w:rPr>
              <mc:AlternateContent>
                <mc:Choice Requires="wps">
                  <w:drawing>
                    <wp:inline distT="0" distB="0" distL="0" distR="0" wp14:anchorId="4805226D" wp14:editId="0806841F">
                      <wp:extent cx="210553" cy="190500"/>
                      <wp:effectExtent l="0" t="0" r="18415" b="19050"/>
                      <wp:docPr id="74" name="Octagon 74"/>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6E7FA34E" w14:textId="77777777" w:rsidR="008D2C68" w:rsidRDefault="008D2C68" w:rsidP="00F97B16">
                                  <w:pPr>
                                    <w:jc w:val="center"/>
                                  </w:pPr>
                                </w:p>
                                <w:p w14:paraId="31A8E1EB"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805226D" id="Octagon 74" o:spid="_x0000_s1116"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og5fgIAAF8FAAAOAAAAZHJzL2Uyb0RvYy54bWysVN1r2zAQfx/sfxB6X22nST9CnBJSMgal&#10;LW1HnxVZSgSyTpOU2Nlfv5PsuKErFMb8IN/pfvd9p9lNW2uyF84rMCUtznJKhOFQKbMp6c+X1bcr&#10;SnxgpmIajCjpQXh6M//6ZdbYqRjBFnQlHEEjxk8bW9JtCHaaZZ5vRc38GVhhUCjB1Swg6zZZ5ViD&#10;1mudjfL8ImvAVdYBF97j7W0npPNkX0rBw4OUXgSiS4qxhXS6dK7jmc1nbLpxzG4V78Ng/xBFzZRB&#10;p4OpWxYY2Tn1l6lacQceZDjjUGcgpeIi5YDZFPm7bJ63zIqUCxbH26FM/v+Z5ff7R0dUVdLLMSWG&#10;1dijBx7YBgzBGyxPY/0UUc/20fWcRzLm2kpXxz9mQdpU0sNQUtEGwvFyVOSTyTklHEXFdT7JU8mz&#10;N2XrfPguoCaRKCl0vlMt2f7OB/SJ6CMquvOgVbVSWifGbdZL7cieYYOXyxy/GDSqnMCymEMXdaLC&#10;QYuorM2TkJg8xlkkj2nsxGCPcS5MGPUGEzqqSfQ9KJ5/rtjjo6pIIzkojz5XHjSSZzBhUK6VAfeR&#10;AR2KPmTZ4bEeJ3lHMrTrNnX96iJC49UaqgOOgoNuR7zlK4UtuWM+PDKHS4Hrg4seHvCQGhrsVU9R&#10;sgX3+6P7iMdZRSklDS5ZSf2vHXOCEv3D4BRfF+Nx3MrEjCeXI2TcqWR9KjG7egnY5gKfFMsTGfFB&#10;H0npoH7F92ARvaKIGY6+S8qDOzLL0C0/vihcLBYJhptoWbgzz5YfByHO20v7ypzt5zLgQN/DcSHZ&#10;9N1sdtjYIgOLXQCp0uC+1bVvAW5xGs7+xYnPxCmfUG/v4vwPAAAA//8DAFBLAwQUAAYACAAAACEA&#10;tdNxHNoAAAADAQAADwAAAGRycy9kb3ducmV2LnhtbEyPQWvDMAyF74P9B6NBb63dFkqXxSljUNhh&#10;NKxb2dWNtSQ0loPtNum/n7ZLd9FDPPHep3wzuk5cMMTWk4b5TIFAqrxtqdbw+bGdrkHEZMiazhNq&#10;uGKETXF/l5vM+oHe8bJPteAQipnR0KTUZ1LGqkFn4sz3SOx9++BM4jXU0gYzcLjr5EKplXSmJW5o&#10;TI8vDVan/dlpKE9D+bouy8evsF3t3oI7zMPuoPXkYXx+ApFwTLdj+MVndCiY6ejPZKPoNPAj6W+y&#10;t1wuQBxZlQJZ5PI/e/EDAAD//wMAUEsBAi0AFAAGAAgAAAAhALaDOJL+AAAA4QEAABMAAAAAAAAA&#10;AAAAAAAAAAAAAFtDb250ZW50X1R5cGVzXS54bWxQSwECLQAUAAYACAAAACEAOP0h/9YAAACUAQAA&#10;CwAAAAAAAAAAAAAAAAAvAQAAX3JlbHMvLnJlbHNQSwECLQAUAAYACAAAACEAmHaIOX4CAABfBQAA&#10;DgAAAAAAAAAAAAAAAAAuAgAAZHJzL2Uyb0RvYy54bWxQSwECLQAUAAYACAAAACEAtdNxHNoAAAAD&#10;AQAADwAAAAAAAAAAAAAAAADYBAAAZHJzL2Rvd25yZXYueG1sUEsFBgAAAAAEAAQA8wAAAN8FAAAA&#10;AA==&#10;" fillcolor="#c00" strokecolor="#ed7d31 [3205]" strokeweight=".5pt">
                      <v:textbox>
                        <w:txbxContent>
                          <w:p w14:paraId="6E7FA34E" w14:textId="77777777" w:rsidR="008D2C68" w:rsidRDefault="008D2C68" w:rsidP="00F97B16">
                            <w:pPr>
                              <w:jc w:val="center"/>
                            </w:pPr>
                          </w:p>
                          <w:p w14:paraId="31A8E1EB" w14:textId="77777777" w:rsidR="008D2C68" w:rsidRDefault="008D2C68" w:rsidP="00F97B16">
                            <w:pPr>
                              <w:jc w:val="center"/>
                            </w:pPr>
                          </w:p>
                        </w:txbxContent>
                      </v:textbox>
                      <w10:anchorlock/>
                    </v:shape>
                  </w:pict>
                </mc:Fallback>
              </mc:AlternateContent>
            </w:r>
          </w:p>
        </w:tc>
        <w:tc>
          <w:tcPr>
            <w:tcW w:w="7020" w:type="dxa"/>
          </w:tcPr>
          <w:p w14:paraId="3B046AA8" w14:textId="77777777" w:rsidR="00F97B16" w:rsidRPr="0090686A" w:rsidRDefault="00F97B16" w:rsidP="00915020">
            <w:pPr>
              <w:ind w:left="342"/>
              <w:rPr>
                <w:rFonts w:eastAsia="Times New Roman"/>
              </w:rPr>
            </w:pPr>
            <w:r w:rsidRPr="0090686A">
              <w:rPr>
                <w:rFonts w:eastAsia="Times New Roman"/>
              </w:rPr>
              <w:t>Service account privileges assigned through groups</w:t>
            </w:r>
          </w:p>
        </w:tc>
      </w:tr>
      <w:tr w:rsidR="00F97B16" w14:paraId="3DA98A41" w14:textId="77777777" w:rsidTr="00915020">
        <w:tc>
          <w:tcPr>
            <w:tcW w:w="805" w:type="dxa"/>
            <w:vAlign w:val="center"/>
          </w:tcPr>
          <w:p w14:paraId="48FDE2D1" w14:textId="77777777" w:rsidR="00F97B16" w:rsidRPr="00F27BAB" w:rsidRDefault="00F97B16" w:rsidP="00915020">
            <w:pPr>
              <w:jc w:val="center"/>
              <w:rPr>
                <w:noProof/>
              </w:rPr>
            </w:pPr>
            <w:r w:rsidRPr="00F27BAB">
              <w:rPr>
                <w:noProof/>
              </w:rPr>
              <w:t>N/A</w:t>
            </w:r>
          </w:p>
        </w:tc>
        <w:tc>
          <w:tcPr>
            <w:tcW w:w="1170" w:type="dxa"/>
            <w:vAlign w:val="center"/>
          </w:tcPr>
          <w:p w14:paraId="4EF34670" w14:textId="77777777" w:rsidR="00F97B16" w:rsidRPr="00F27BAB" w:rsidRDefault="00F97B16" w:rsidP="00915020">
            <w:pPr>
              <w:jc w:val="center"/>
              <w:rPr>
                <w:color w:val="212121"/>
              </w:rPr>
            </w:pPr>
            <w:r w:rsidRPr="00F27BAB">
              <w:rPr>
                <w:rFonts w:eastAsia="Arial" w:cs="Segoe UI"/>
                <w:noProof/>
                <w:sz w:val="20"/>
                <w:szCs w:val="20"/>
              </w:rPr>
              <mc:AlternateContent>
                <mc:Choice Requires="wps">
                  <w:drawing>
                    <wp:inline distT="0" distB="0" distL="0" distR="0" wp14:anchorId="7D07488A" wp14:editId="1B76C794">
                      <wp:extent cx="209550" cy="180975"/>
                      <wp:effectExtent l="19050" t="19050" r="38100" b="28575"/>
                      <wp:docPr id="79" name="Isosceles Tri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29EB66C" id="Isosceles Triangle 79"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D/WhgIAAHEFAAAOAAAAZHJzL2Uyb0RvYy54bWysVNtOGzEQfa/Uf7D8XnaTEiArNigKSoUU&#10;AQIqnh2vnVj1elzbySb9+o69FyhFQqr6YtmeM/czc3l1qDXZC+cVmJKOTnJKhOFQKbMp6fen5ZcL&#10;SnxgpmIajCjpUXh6Nfv86bKxhRjDFnQlHEEjxheNLek2BFtkmedbUTN/AlYYFEpwNQv4dJuscqxB&#10;67XOxnl+ljXgKuuAC+/x97oV0lmyL6Xg4U5KLwLRJcXYQjpdOtfxzGaXrNg4ZreKd2Gwf4iiZsqg&#10;08HUNQuM7Jz6y1StuAMPMpxwqDOQUnGRcsBsRvmbbB63zIqUCxbH26FM/v+Z5bf7e0dUVdLzKSWG&#10;1dijGw+eCy08eXKKmY0WBIVYqcb6AhUe7b2LuXq7Av7DoyD7QxIfvsMcpKsjFjMlh1T241B2cQiE&#10;4+c4n04m2ByOotFFPj2fRGcZK3pl63z4JqAm8VLS0EWVCs72Kx9aeA9LsYFW1VJpnR5us15oR/YM&#10;WbBcLvI8NR49+BdYyqENOyUQjlpEZW0ehMQKYaCj5DFxUwz2GOfChLMu5ISOahJ9D4pfP1bs8FFV&#10;JN4OyuOPlQeN5BlMGJRrZcC9Z0CHUReybPFdF32bdyzBGqojksNBOzXe8qXCBqyYD/fM4Zhgz3D0&#10;wx0eUkNTUuhulGzB/XrvP+KRvSilpMGxK6n/uWNOUKJvDPJ6Ojo9jXOaHqeT8zE+3GvJ+rXE7OoF&#10;YE9HuGQsT9eID7q/Sgf1M26IefSKImY4+i4pD65/LEK7DnDHcDGfJxjOpmVhZR4t77seyfV0eGbO&#10;9ixE+t5CP6KseEPEFhv7YWC+CyBVYulLXbt641wnrnc7KC6O1++EetmUs98A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Dl&#10;4D/WhgIAAHE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900" w:type="dxa"/>
            <w:vAlign w:val="center"/>
          </w:tcPr>
          <w:p w14:paraId="65E220B6" w14:textId="77777777" w:rsidR="00F97B16" w:rsidRPr="00F27BAB" w:rsidRDefault="00F97B16" w:rsidP="00915020">
            <w:pPr>
              <w:jc w:val="center"/>
              <w:rPr>
                <w:color w:val="212121"/>
              </w:rPr>
            </w:pPr>
            <w:r w:rsidRPr="00F27BAB">
              <w:rPr>
                <w:rFonts w:eastAsia="Arial" w:cs="Segoe UI"/>
                <w:noProof/>
                <w:sz w:val="20"/>
                <w:szCs w:val="20"/>
              </w:rPr>
              <mc:AlternateContent>
                <mc:Choice Requires="wps">
                  <w:drawing>
                    <wp:inline distT="0" distB="0" distL="0" distR="0" wp14:anchorId="36D32C8B" wp14:editId="5E6097AD">
                      <wp:extent cx="209550" cy="180975"/>
                      <wp:effectExtent l="19050" t="19050" r="38100" b="28575"/>
                      <wp:docPr id="83" name="Isosceles Tri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4F976E3" id="Isosceles Triangle 83"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nhkhgIAAHEFAAAOAAAAZHJzL2Uyb0RvYy54bWysVNtqGzEQfS/0H4Tem107cS5L1sE4uARM&#10;YpqUPMtayRbValRJ9tr9+o60l6RpIFD6IiTNmfuZub451JrshfMKTElHJzklwnColNmU9PvT4ssl&#10;JT4wUzENRpT0KDy9mX7+dN3YQoxhC7oSjqAR44vGlnQbgi2yzPOtqJk/ASsMCiW4mgV8uk1WOdag&#10;9Vpn4zw/zxpwlXXAhff4e9sK6TTZl1Lw8CClF4HokmJsIZ0unet4ZtNrVmwcs1vFuzDYP0RRM2XQ&#10;6WDqlgVGdk79ZapW3IEHGU441BlIqbhIOWA2o/xNNo9bZkXKBYvj7VAm///M8vv9yhFVlfTylBLD&#10;auzRnQfPhRaePDnFzEYLgkKsVGN9gQqPduVirt4ugf/wKMj+kMSH7zAH6eqIxUzJIZX9OJRdHALh&#10;+DnOryYTbA5H0egyv7qYRGcZK3pl63z4KqAm8VLS0EWVCs72Sx9aeA9LsYFW1UJpnR5us55rR/YM&#10;WbBYzPM8NR49+BdYyqENOyUQjlpEZW2+CYkVwkBHyWPiphjsMc6FCeddyAkd1ST6HhRPP1bs8FFV&#10;JN4OyuOPlQeN5BlMGJRrZcC9Z0CHUReybPFdF32bdyzBGqojksNBOzXe8oXCBiyZDyvmcEywZzj6&#10;4QEPqaEpKXQ3Srbgfr33H/HIXpRS0uDYldT/3DEnKNF3Bnl9NTo7i3OaHmeTizE+3GvJ+rXE7Oo5&#10;YE9HuGQsT9eID7q/Sgf1M26IWfSKImY4+i4pD65/zEO7DnDHcDGbJRjOpmVhaR4t77seyfV0eGbO&#10;9ixE+t5DP6KseEPEFhv7YWC2CyBVYulLXbt641wnrnc7KC6O1++EetmU098A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C1&#10;PnhkhgIAAHE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7020" w:type="dxa"/>
          </w:tcPr>
          <w:p w14:paraId="2F0DC0C8" w14:textId="77777777" w:rsidR="00F97B16" w:rsidRPr="00F27BAB" w:rsidRDefault="00F97B16" w:rsidP="00915020">
            <w:pPr>
              <w:ind w:left="342"/>
              <w:rPr>
                <w:rFonts w:eastAsia="Times New Roman"/>
              </w:rPr>
            </w:pPr>
            <w:r w:rsidRPr="00F27BAB">
              <w:rPr>
                <w:rFonts w:eastAsia="Times New Roman"/>
              </w:rPr>
              <w:t>Service accounts restricted from delegation</w:t>
            </w:r>
          </w:p>
        </w:tc>
      </w:tr>
      <w:tr w:rsidR="00F97B16" w14:paraId="304F18DF" w14:textId="77777777" w:rsidTr="00915020">
        <w:tc>
          <w:tcPr>
            <w:tcW w:w="805" w:type="dxa"/>
            <w:vAlign w:val="center"/>
          </w:tcPr>
          <w:p w14:paraId="2C29B209" w14:textId="77777777" w:rsidR="00F97B16" w:rsidRPr="000447E2" w:rsidRDefault="00F97B16" w:rsidP="00915020">
            <w:pPr>
              <w:jc w:val="center"/>
              <w:rPr>
                <w:noProof/>
              </w:rPr>
            </w:pPr>
            <w:r w:rsidRPr="000447E2">
              <w:rPr>
                <w:noProof/>
              </w:rPr>
              <w:t>N/A</w:t>
            </w:r>
          </w:p>
        </w:tc>
        <w:tc>
          <w:tcPr>
            <w:tcW w:w="1170" w:type="dxa"/>
            <w:vAlign w:val="center"/>
          </w:tcPr>
          <w:p w14:paraId="569FD59D" w14:textId="77777777" w:rsidR="00F97B16" w:rsidRPr="000447E2" w:rsidRDefault="00F97B16" w:rsidP="00915020">
            <w:pPr>
              <w:jc w:val="center"/>
              <w:rPr>
                <w:color w:val="212121"/>
              </w:rPr>
            </w:pPr>
            <w:r w:rsidRPr="000447E2">
              <w:rPr>
                <w:rFonts w:eastAsia="Arial" w:cs="Segoe UI"/>
                <w:noProof/>
                <w:sz w:val="20"/>
                <w:szCs w:val="20"/>
              </w:rPr>
              <mc:AlternateContent>
                <mc:Choice Requires="wps">
                  <w:drawing>
                    <wp:inline distT="0" distB="0" distL="0" distR="0" wp14:anchorId="3AA7B71E" wp14:editId="4F28C99F">
                      <wp:extent cx="209550" cy="180975"/>
                      <wp:effectExtent l="19050" t="19050" r="38100" b="28575"/>
                      <wp:docPr id="84" name="Isosceles Tri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66C1DA0" id="Isosceles Triangle 84"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eadhgIAAHEFAAAOAAAAZHJzL2Uyb0RvYy54bWysVNtqGzEQfS/0H4Tem127di5L1sE4uARM&#10;EpKUPMtayRbValRJ9tr9+o60l6RpIFD6IiTNmfuZubw61JrshfMKTElHJzklwnColNmU9PvT8ss5&#10;JT4wUzENRpT0KDy9mn3+dNnYQoxhC7oSjqAR44vGlnQbgi2yzPOtqJk/ASsMCiW4mgV8uk1WOdag&#10;9Vpn4zw/zRpwlXXAhff4e90K6SzZl1LwcCelF4HokmJsIZ0unet4ZrNLVmwcs1vFuzDYP0RRM2XQ&#10;6WDqmgVGdk79ZapW3IEHGU441BlIqbhIOWA2o/xNNo9bZkXKBYvj7VAm///M8tv9vSOqKun5hBLD&#10;auzRjQfPhRaePDnFzEYLgkKsVGN9gQqP9t7FXL1dAf/hUZD9IYkP32EO0tURi5mSQyr7cSi7OATC&#10;8XOcX0yn2ByOotF5fnE2jc4yVvTK1vnwTUBN4qWkoYsqFZztVz608B6WYgOtqqXSOj3cZr3QjuwZ&#10;smC5XOR5ajx68C+wlEMbdkogHLWIyto8CIkVwkBHyWPiphjsMc6FCaddyAkd1ST6HhS/fqzY4aOq&#10;SLwdlMcfKw8ayTOYMCjXyoB7z4AOoy5k2eK7Lvo271iCNVRHJIeDdmq85UuFDVgxH+6ZwzHBnuHo&#10;hzs8pIampNDdKNmC+/Xef8Qje1FKSYNjV1L/c8ecoETfGOT1xWgyiXOaHpPp2Rgf7rVk/VpidvUC&#10;sKcjXDKWp2vEB91fpYP6GTfEPHpFETMcfZeUB9c/FqFdB7hjuJjPEwxn07KwMo+W912P5Ho6PDNn&#10;exYifW+hH1FWvCFii439MDDfBZAqsfSlrl29ca4T17sdFBfH63dCvWzK2W8A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AD&#10;WeadhgIAAHE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900" w:type="dxa"/>
            <w:vAlign w:val="center"/>
          </w:tcPr>
          <w:p w14:paraId="4CD2D9C7" w14:textId="77777777" w:rsidR="00F97B16" w:rsidRPr="000447E2" w:rsidRDefault="00F97B16" w:rsidP="00915020">
            <w:pPr>
              <w:jc w:val="center"/>
              <w:rPr>
                <w:color w:val="212121"/>
              </w:rPr>
            </w:pPr>
            <w:r w:rsidRPr="000447E2">
              <w:rPr>
                <w:rFonts w:eastAsia="Arial" w:cs="Segoe UI"/>
                <w:noProof/>
                <w:sz w:val="20"/>
                <w:szCs w:val="20"/>
              </w:rPr>
              <mc:AlternateContent>
                <mc:Choice Requires="wps">
                  <w:drawing>
                    <wp:inline distT="0" distB="0" distL="0" distR="0" wp14:anchorId="6ACBBCCA" wp14:editId="25167E08">
                      <wp:extent cx="209550" cy="180975"/>
                      <wp:effectExtent l="19050" t="19050" r="38100" b="28575"/>
                      <wp:docPr id="85" name="Isosceles Triangle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CF35DA8" id="Isosceles Triangle 85"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x/9iAIAAHEFAAAOAAAAZHJzL2Uyb0RvYy54bWysVNtqGzEQfS/0H4Tem91141yWrINxcAmY&#10;NDQpeZa1ki2q1aiS7LX79R1pL0nTQKD0RUiaM/czc3V9aDTZC+cVmIoWJzklwnColdlU9Pvj8tMF&#10;JT4wUzMNRlT0KDy9nn38cNXaUkxgC7oWjqAR48vWVnQbgi2zzPOtaJg/ASsMCiW4hgV8uk1WO9ai&#10;9UZnkzw/y1pwtXXAhff4e9MJ6SzZl1Lw8FVKLwLRFcXYQjpdOtfxzGZXrNw4ZreK92Gwf4iiYcqg&#10;09HUDQuM7Jz6y1SjuAMPMpxwaDKQUnGRcsBsivxVNg9bZkXKBYvj7Vgm///M8rv9vSOqrujFlBLD&#10;GuzRrQfPhRaePDrFzEYLgkKsVGt9iQoP9t7FXL1dAf/hUZD9IYkP32MO0jURi5mSQyr7cSy7OATC&#10;8XOSX06n2ByOouIivzxPzjJWDsrW+fBFQEPipaKhjyoVnO1XPsQQWDnAUmygVb1UWqeH26wX2pE9&#10;QxYsl4s8T41HFf8MSzl0YacEwlGLqKzNNyGxQhhokTwmborRHuNcmHAW64MGEzqqSfQ9Kn5+X7HH&#10;R1WReDsqT95XHjWSZzBhVG6UAfeWAR2KPmTZ4fsu+i7vWII11Eckh4NuarzlS4UNWDEf7pnDMcGe&#10;4eiHr3hIDW1Fob9RsgX3663/iEf2opSSFseuov7njjlBib41yOvL4vQ0zml6nE7PJ/hwLyXrlxKz&#10;axaAPS1wyVierhEf9HCVDpon3BDz6BVFzHD0XVEe3PBYhG4d4I7hYj5PMJxNy8LKPFg+dD2S6/Hw&#10;xJwdWIj0vYNhRFn5iogdNvbDwHwXQKrE0ue69vXGuU7E6XdQXBwv3wn1vClnvwEAAP//AwBQSwME&#10;FAAGAAgAAAAhAEpKkOrdAAAAAwEAAA8AAABkcnMvZG93bnJldi54bWxMj0FLw0AQhe+C/2EZwYvY&#10;jW2VNGZTVLBQD4KtaHvbZqdJcHc2ZLdN/PeOXurlweMN732TzwdnxRG70HhScDNKQCCV3jRUKXhf&#10;P1+nIELUZLT1hAq+McC8OD/LdWZ8T294XMVKcAmFTCuoY2wzKUNZo9Nh5Fskzva+czqy7SppOt1z&#10;ubNynCR30umGeKHWLT7VWH6tDk7Bsl9/Pl697jfT2dJu25d+MU1nH0pdXgwP9yAiDvF0DL/4jA4F&#10;M+38gUwQVgE/Ev+Us8mE3U7BOL0FWeTyP3vxAwAA//8DAFBLAQItABQABgAIAAAAIQC2gziS/gAA&#10;AOEBAAATAAAAAAAAAAAAAAAAAAAAAABbQ29udGVudF9UeXBlc10ueG1sUEsBAi0AFAAGAAgAAAAh&#10;ADj9If/WAAAAlAEAAAsAAAAAAAAAAAAAAAAALwEAAF9yZWxzLy5yZWxzUEsBAi0AFAAGAAgAAAAh&#10;AJJPH/2IAgAAcQUAAA4AAAAAAAAAAAAAAAAALgIAAGRycy9lMm9Eb2MueG1sUEsBAi0AFAAGAAgA&#10;AAAhAEpKkOrdAAAAAwEAAA8AAAAAAAAAAAAAAAAA4gQAAGRycy9kb3ducmV2LnhtbFBLBQYAAAAA&#10;BAAEAPMAAADsBQAAAAA=&#10;" fillcolor="#ffc000" strokecolor="#70ad47 [3209]" strokeweight=".5pt">
                      <v:path arrowok="t"/>
                      <w10:anchorlock/>
                    </v:shape>
                  </w:pict>
                </mc:Fallback>
              </mc:AlternateContent>
            </w:r>
          </w:p>
        </w:tc>
        <w:tc>
          <w:tcPr>
            <w:tcW w:w="7020" w:type="dxa"/>
          </w:tcPr>
          <w:p w14:paraId="4FF976CB" w14:textId="77777777" w:rsidR="00F97B16" w:rsidRPr="000447E2" w:rsidRDefault="00F97B16" w:rsidP="00915020">
            <w:pPr>
              <w:ind w:left="342"/>
              <w:rPr>
                <w:rFonts w:eastAsia="Times New Roman"/>
              </w:rPr>
            </w:pPr>
            <w:r w:rsidRPr="000447E2">
              <w:rPr>
                <w:rFonts w:eastAsia="Times New Roman"/>
              </w:rPr>
              <w:t>Service accounts monitored for anomalous logon behavior</w:t>
            </w:r>
          </w:p>
        </w:tc>
      </w:tr>
      <w:tr w:rsidR="00DE508C" w14:paraId="0996AF41" w14:textId="77777777" w:rsidTr="00915020">
        <w:tc>
          <w:tcPr>
            <w:tcW w:w="805" w:type="dxa"/>
            <w:vAlign w:val="center"/>
          </w:tcPr>
          <w:p w14:paraId="6579F5A8" w14:textId="77777777" w:rsidR="00DE508C" w:rsidRPr="00F27BAB" w:rsidRDefault="00DE508C" w:rsidP="00DE508C">
            <w:pPr>
              <w:jc w:val="center"/>
              <w:rPr>
                <w:noProof/>
              </w:rPr>
            </w:pPr>
            <w:r w:rsidRPr="00180EFD">
              <w:rPr>
                <w:noProof/>
              </w:rPr>
              <w:t>N/A</w:t>
            </w:r>
          </w:p>
        </w:tc>
        <w:tc>
          <w:tcPr>
            <w:tcW w:w="1170" w:type="dxa"/>
            <w:vAlign w:val="center"/>
          </w:tcPr>
          <w:p w14:paraId="12D21549" w14:textId="77777777" w:rsidR="00DE508C" w:rsidRPr="00F27BAB" w:rsidRDefault="00DE508C" w:rsidP="00DE508C">
            <w:pPr>
              <w:jc w:val="center"/>
              <w:rPr>
                <w:rFonts w:eastAsia="Arial" w:cs="Segoe UI"/>
                <w:noProof/>
                <w:sz w:val="20"/>
                <w:szCs w:val="20"/>
              </w:rPr>
            </w:pPr>
            <w:r w:rsidRPr="00180EFD">
              <w:rPr>
                <w:rFonts w:eastAsia="Arial" w:cs="Segoe UI"/>
                <w:noProof/>
                <w:sz w:val="20"/>
                <w:szCs w:val="20"/>
              </w:rPr>
              <mc:AlternateContent>
                <mc:Choice Requires="wps">
                  <w:drawing>
                    <wp:inline distT="0" distB="0" distL="0" distR="0" wp14:anchorId="6AEDBB11" wp14:editId="3D2E63ED">
                      <wp:extent cx="190500" cy="190500"/>
                      <wp:effectExtent l="0" t="0" r="19050" b="19050"/>
                      <wp:docPr id="182" name="Oval 182"/>
                      <wp:cNvGraphicFramePr/>
                      <a:graphic xmlns:a="http://schemas.openxmlformats.org/drawingml/2006/main">
                        <a:graphicData uri="http://schemas.microsoft.com/office/word/2010/wordprocessingShape">
                          <wps:wsp>
                            <wps:cNvSpPr/>
                            <wps:spPr>
                              <a:xfrm>
                                <a:off x="0" y="0"/>
                                <a:ext cx="190500" cy="190500"/>
                              </a:xfrm>
                              <a:prstGeom prst="ellipse">
                                <a:avLst/>
                              </a:prstGeom>
                              <a:solidFill>
                                <a:srgbClr val="FFFF00"/>
                              </a:solidFill>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oval w14:anchorId="195EB485" id="Oval 182" o:spid="_x0000_s1026" style="width:15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Lv4fgIAAG4FAAAOAAAAZHJzL2Uyb0RvYy54bWysVF9r2zAQfx/sOwi9r7ZD27WhTgktGYPS&#10;lqWjz4osxQJJp0lKnOzT7yQ7TljLBmN+kO90d7/7o7u7ud0ZTbbCBwW2ptVZSYmwHBpl1zX9/rL4&#10;dEVJiMw2TIMVNd2LQG9nHz/cdG4qJtCCboQnCGLDtHM1bWN006IIvBWGhTNwwqJQgjcsIuvXReNZ&#10;h+hGF5OyvCw68I3zwEUIeHvfC+ks40speHySMohIdE0xtphPn89VOovZDZuuPXOt4kMY7B+iMExZ&#10;dDpC3bPIyMarN1BGcQ8BZDzjYAqQUnGRc8BsqvK3bJYtcyLngsUJbixT+H+w/HH77Ilq8O2uJpRY&#10;ZvCRnrZMk8RjdToXpqi0dM9+4AKSKdWd9Cb9MQmyyxXdjxUVu0g4XlbX5UWJdecoGmhEKY7Gzof4&#10;RYAhiaip0Fq5kHJmU7Z9CLHXPmil6wBaNQuldWb8enWnPcGAa7rAD531JidqRcqhjzpTca9FMtb2&#10;m5CYO8Y5yR5z14kRj3EubLzsRS1rRO8GEzp6SX2aLHJSGTAhSwxvxK7+hN0HO+gnU5GbdjQu/248&#10;WmTPYONobJQF/x6AjtVQJtnrY/gnpUnkCpo9doaHfmSC4wuFT/TAQnxmHmcEXxXnPj7hITV0NYWB&#10;oqQF//O9+6SPrYtSSjqcuZqGHxvmBSX6q8Wmvq7Oz9OQZub84vMEGX8qWZ1K7MbcAT57hRvG8Uwm&#10;/agPpPRgXnE9zJNXFDHL0XdNefQH5i72uwAXDBfzeVbDwXQsPtil4wk8VTX138vulXk39GnEBn+E&#10;w3y+6dVeN1lamG8iSJUb+VjXod441LlxhgWUtsYpn7WOa3L2CwAA//8DAFBLAwQUAAYACAAAACEA&#10;OsdimtgAAAADAQAADwAAAGRycy9kb3ducmV2LnhtbEyPQUvDQBCF74L/YRnBi7QbrRSN2RSxKh5r&#10;UgRv0+yYBLOzIbttor/eUQ96meHxhjffy1aT69SBhtB6NnA+T0ARV962XBvYlg+zK1AhIlvsPJOB&#10;Dwqwyo+PMkytH/mZDkWslYRwSNFAE2Ofah2qhhyGue+JxXvzg8Mocqi1HXCUcNfpiyRZaocty4cG&#10;e7prqHov9s7AuNT3r5drosWmxPLl7HFdXD99GnN6Mt3egIo0xb9j+MYXdMiFaef3bIPqDEiR+DPF&#10;WySidr9b55n+z55/AQAA//8DAFBLAQItABQABgAIAAAAIQC2gziS/gAAAOEBAAATAAAAAAAAAAAA&#10;AAAAAAAAAABbQ29udGVudF9UeXBlc10ueG1sUEsBAi0AFAAGAAgAAAAhADj9If/WAAAAlAEAAAsA&#10;AAAAAAAAAAAAAAAALwEAAF9yZWxzLy5yZWxzUEsBAi0AFAAGAAgAAAAhAJvcu/h+AgAAbgUAAA4A&#10;AAAAAAAAAAAAAAAALgIAAGRycy9lMm9Eb2MueG1sUEsBAi0AFAAGAAgAAAAhADrHYprYAAAAAwEA&#10;AA8AAAAAAAAAAAAAAAAA2AQAAGRycy9kb3ducmV2LnhtbFBLBQYAAAAABAAEAPMAAADdBQAAAAA=&#10;" fillcolor="yellow" strokecolor="#375623 [1609]" strokeweight="1pt">
                      <v:stroke joinstyle="miter"/>
                      <w10:anchorlock/>
                    </v:oval>
                  </w:pict>
                </mc:Fallback>
              </mc:AlternateContent>
            </w:r>
          </w:p>
        </w:tc>
        <w:tc>
          <w:tcPr>
            <w:tcW w:w="900" w:type="dxa"/>
            <w:vAlign w:val="center"/>
          </w:tcPr>
          <w:p w14:paraId="20875089" w14:textId="77777777" w:rsidR="00DE508C" w:rsidRPr="00F27BAB" w:rsidRDefault="00DE508C" w:rsidP="00DE508C">
            <w:pPr>
              <w:jc w:val="center"/>
              <w:rPr>
                <w:rFonts w:eastAsia="Arial" w:cs="Segoe UI"/>
                <w:noProof/>
                <w:sz w:val="20"/>
                <w:szCs w:val="20"/>
              </w:rPr>
            </w:pPr>
            <w:r w:rsidRPr="00180EFD">
              <w:rPr>
                <w:rFonts w:eastAsia="Arial" w:cs="Segoe UI"/>
                <w:noProof/>
                <w:sz w:val="20"/>
                <w:szCs w:val="20"/>
              </w:rPr>
              <mc:AlternateContent>
                <mc:Choice Requires="wps">
                  <w:drawing>
                    <wp:inline distT="0" distB="0" distL="0" distR="0" wp14:anchorId="37BC528A" wp14:editId="4EB750FF">
                      <wp:extent cx="190500" cy="190500"/>
                      <wp:effectExtent l="0" t="0" r="19050" b="19050"/>
                      <wp:docPr id="184" name="Oval 184"/>
                      <wp:cNvGraphicFramePr/>
                      <a:graphic xmlns:a="http://schemas.openxmlformats.org/drawingml/2006/main">
                        <a:graphicData uri="http://schemas.microsoft.com/office/word/2010/wordprocessingShape">
                          <wps:wsp>
                            <wps:cNvSpPr/>
                            <wps:spPr>
                              <a:xfrm>
                                <a:off x="0" y="0"/>
                                <a:ext cx="190500" cy="190500"/>
                              </a:xfrm>
                              <a:prstGeom prst="ellipse">
                                <a:avLst/>
                              </a:prstGeom>
                              <a:solidFill>
                                <a:srgbClr val="FFFF00"/>
                              </a:solidFill>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oval w14:anchorId="06F629DC" id="Oval 184" o:spid="_x0000_s1026" style="width:15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YZIfgIAAG4FAAAOAAAAZHJzL2Uyb0RvYy54bWysVF9r2zAQfx/sOwi9r7ZD2rWhTgktGYPS&#10;lrWjz4osxQJJp0lKnOzT7yQ7TljLBmN+kO90d7/7o7u7vtkZTbbCBwW2ptVZSYmwHBpl1zX9/rL8&#10;dElJiMw2TIMVNd2LQG/mHz9cd24mJtCCboQnCGLDrHM1bWN0s6IIvBWGhTNwwqJQgjcsIuvXReNZ&#10;h+hGF5OyvCg68I3zwEUIeHvXC+k840speHyUMohIdE0xtphPn89VOov5NZutPXOt4kMY7B+iMExZ&#10;dDpC3bHIyMarN1BGcQ8BZDzjYAqQUnGRc8BsqvK3bJ5b5kTOBYsT3Fim8P9g+cP2yRPV4NtdTimx&#10;zOAjPW6ZJonH6nQuzFDp2T35gQtIplR30pv0xyTILld0P1ZU7CLheFldlecl1p2jaKARpTgaOx/i&#10;FwGGJKKmQmvlQsqZzdj2PsRe+6CVrgNo1SyV1pnx69Wt9gQDrukSP3TWm5yoFSmHPupMxb0WyVjb&#10;b0Ji7hjnJHvMXSdGPMa5sPGiF7WsEb0bTOjoJfVpsshJZcCELDG8Ebv6E3Yf7KCfTEVu2tG4/Lvx&#10;aJE9g42jsVEW/HsAOlZDmWSvj+GflCaRK2j22Bke+pEJji8VPtE9C/GJeZwRfFWc+/iIh9TQ1RQG&#10;ipIW/M/37pM+ti5KKelw5moafmyYF5Torxab+qqaTtOQZmZ6/nmCjD+VrE4ldmNuAZ+9wg3jeCaT&#10;ftQHUnowr7geFskripjl6LumPPoDcxv7XYALhovFIqvhYDoW7+2z4wk8VTX138vulXk39GnEBn+A&#10;w3y+6dVeN1laWGwiSJUb+VjXod441LlxhgWUtsYpn7WOa3L+CwAA//8DAFBLAwQUAAYACAAAACEA&#10;OsdimtgAAAADAQAADwAAAGRycy9kb3ducmV2LnhtbEyPQUvDQBCF74L/YRnBi7QbrRSN2RSxKh5r&#10;UgRv0+yYBLOzIbttor/eUQ96meHxhjffy1aT69SBhtB6NnA+T0ARV962XBvYlg+zK1AhIlvsPJOB&#10;Dwqwyo+PMkytH/mZDkWslYRwSNFAE2Ofah2qhhyGue+JxXvzg8Mocqi1HXCUcNfpiyRZaocty4cG&#10;e7prqHov9s7AuNT3r5drosWmxPLl7HFdXD99GnN6Mt3egIo0xb9j+MYXdMiFaef3bIPqDEiR+DPF&#10;WySidr9b55n+z55/AQAA//8DAFBLAQItABQABgAIAAAAIQC2gziS/gAAAOEBAAATAAAAAAAAAAAA&#10;AAAAAAAAAABbQ29udGVudF9UeXBlc10ueG1sUEsBAi0AFAAGAAgAAAAhADj9If/WAAAAlAEAAAsA&#10;AAAAAAAAAAAAAAAALwEAAF9yZWxzLy5yZWxzUEsBAi0AFAAGAAgAAAAhAP2hhkh+AgAAbgUAAA4A&#10;AAAAAAAAAAAAAAAALgIAAGRycy9lMm9Eb2MueG1sUEsBAi0AFAAGAAgAAAAhADrHYprYAAAAAwEA&#10;AA8AAAAAAAAAAAAAAAAA2AQAAGRycy9kb3ducmV2LnhtbFBLBQYAAAAABAAEAPMAAADdBQAAAAA=&#10;" fillcolor="yellow" strokecolor="#375623 [1609]" strokeweight="1pt">
                      <v:stroke joinstyle="miter"/>
                      <w10:anchorlock/>
                    </v:oval>
                  </w:pict>
                </mc:Fallback>
              </mc:AlternateContent>
            </w:r>
          </w:p>
        </w:tc>
        <w:tc>
          <w:tcPr>
            <w:tcW w:w="7020" w:type="dxa"/>
          </w:tcPr>
          <w:p w14:paraId="02296865" w14:textId="030399B2" w:rsidR="00DE508C" w:rsidRPr="007C2D64" w:rsidRDefault="00DE508C" w:rsidP="00DE508C">
            <w:pPr>
              <w:ind w:left="342"/>
              <w:rPr>
                <w:rFonts w:eastAsia="Times New Roman"/>
              </w:rPr>
            </w:pPr>
            <w:r w:rsidRPr="007C2D64">
              <w:rPr>
                <w:rFonts w:eastAsia="Times New Roman"/>
              </w:rPr>
              <w:t xml:space="preserve">Use Group Managed </w:t>
            </w:r>
            <w:r>
              <w:rPr>
                <w:rFonts w:eastAsia="Times New Roman"/>
              </w:rPr>
              <w:t>s</w:t>
            </w:r>
            <w:r w:rsidRPr="007C2D64">
              <w:rPr>
                <w:rFonts w:eastAsia="Times New Roman"/>
              </w:rPr>
              <w:t xml:space="preserve">ervice </w:t>
            </w:r>
            <w:r>
              <w:rPr>
                <w:rFonts w:eastAsia="Times New Roman"/>
              </w:rPr>
              <w:t>a</w:t>
            </w:r>
            <w:r w:rsidRPr="007C2D64">
              <w:rPr>
                <w:rFonts w:eastAsia="Times New Roman"/>
              </w:rPr>
              <w:t>ccounts (gMSAs) instead of user accounts</w:t>
            </w:r>
          </w:p>
        </w:tc>
      </w:tr>
      <w:tr w:rsidR="00DE508C" w14:paraId="188E9DC8" w14:textId="77777777" w:rsidTr="00915020">
        <w:tc>
          <w:tcPr>
            <w:tcW w:w="805" w:type="dxa"/>
            <w:vAlign w:val="center"/>
          </w:tcPr>
          <w:p w14:paraId="74CE0BCE" w14:textId="77777777" w:rsidR="00DE508C" w:rsidRPr="00180EFD" w:rsidRDefault="00DE508C" w:rsidP="00DE508C">
            <w:pPr>
              <w:jc w:val="center"/>
              <w:rPr>
                <w:noProof/>
              </w:rPr>
            </w:pPr>
            <w:r w:rsidRPr="00180EFD">
              <w:rPr>
                <w:noProof/>
              </w:rPr>
              <w:t>N/A</w:t>
            </w:r>
          </w:p>
        </w:tc>
        <w:tc>
          <w:tcPr>
            <w:tcW w:w="1170" w:type="dxa"/>
            <w:vAlign w:val="center"/>
          </w:tcPr>
          <w:p w14:paraId="1FA7E1B4" w14:textId="77777777" w:rsidR="00DE508C" w:rsidRPr="00180EFD" w:rsidRDefault="00DE508C" w:rsidP="00DE508C">
            <w:pPr>
              <w:jc w:val="center"/>
              <w:rPr>
                <w:color w:val="212121"/>
              </w:rPr>
            </w:pPr>
            <w:r w:rsidRPr="00180EFD">
              <w:rPr>
                <w:rFonts w:eastAsia="Arial" w:cs="Segoe UI"/>
                <w:noProof/>
                <w:sz w:val="20"/>
                <w:szCs w:val="20"/>
              </w:rPr>
              <mc:AlternateContent>
                <mc:Choice Requires="wps">
                  <w:drawing>
                    <wp:inline distT="0" distB="0" distL="0" distR="0" wp14:anchorId="69AB30CF" wp14:editId="677C5DCC">
                      <wp:extent cx="190500" cy="190500"/>
                      <wp:effectExtent l="0" t="0" r="19050" b="19050"/>
                      <wp:docPr id="90" name="Oval 90"/>
                      <wp:cNvGraphicFramePr/>
                      <a:graphic xmlns:a="http://schemas.openxmlformats.org/drawingml/2006/main">
                        <a:graphicData uri="http://schemas.microsoft.com/office/word/2010/wordprocessingShape">
                          <wps:wsp>
                            <wps:cNvSpPr/>
                            <wps:spPr>
                              <a:xfrm>
                                <a:off x="0" y="0"/>
                                <a:ext cx="190500" cy="190500"/>
                              </a:xfrm>
                              <a:prstGeom prst="ellipse">
                                <a:avLst/>
                              </a:prstGeom>
                              <a:solidFill>
                                <a:srgbClr val="FFFF00"/>
                              </a:solidFill>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oval w14:anchorId="1CDF6B66" id="Oval 90" o:spid="_x0000_s1026" style="width:15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7B9fQIAAGwFAAAOAAAAZHJzL2Uyb0RvYy54bWysVF9r2zAQfx/sOwi9r7ZD2y2hTgktGYPS&#10;lrajz4osxQJJp0lKnOzT7yQ7TljLBmN+kO90d7/7o7u7ut4ZTbbCBwW2ptVZSYmwHBpl1zX9/rL8&#10;9IWSEJltmAYraroXgV7PP3646txMTKAF3QhPEMSGWedq2sboZkUReCsMC2fghEWhBG9YRNavi8az&#10;DtGNLiZleVl04BvngYsQ8Pa2F9J5xpdS8PggZRCR6JpibDGfPp+rdBbzKzZbe+ZaxYcw2D9EYZiy&#10;6HSEumWRkY1Xb6CM4h4CyHjGwRQgpeIi54DZVOVv2Ty3zImcCxYnuLFM4f/B8vvtoyeqqekUy2OZ&#10;wTd62DJNkMXadC7MUOXZPfqBC0imRHfSm/THFMgu13M/1lPsIuF4WU3LixJhOYoGGlGKo7HzIX4V&#10;YEgiaiq0Vi6kjNmMbe9C7LUPWuk6gFbNUmmdGb9e3WhPMN6aLvFDZ73JiVqRcuijzlTca5GMtX0S&#10;EjPHOCfZY+45MeIxzoWNl72oZY3o3WBCRy+pS5NFTioDJmSJ4Y3Y1Z+w+2AH/WQqcsuOxuXfjUeL&#10;7BlsHI2NsuDfA9CxGsoke30M/6Q0iVxBs8e+8NAPTHB8qfCJ7liIj8zjhOCr4tTHBzykhq6mMFCU&#10;tOB/vnef9LFxUUpJhxNX0/Bjw7ygRH+z2NLT6vw8jWhmzi8+T5Dxp5LVqcRuzA3gs1e4XxzPZNKP&#10;+kBKD+YVl8MieUURsxx915RHf2BuYr8JcL1wsVhkNRxLx+KdfXY8gaeqpv572b0y74Y+jdjg93CY&#10;zje92usmSwuLTQSpciMf6zrUG0c6N86wftLOOOWz1nFJzn8BAAD//wMAUEsDBBQABgAIAAAAIQA6&#10;x2Ka2AAAAAMBAAAPAAAAZHJzL2Rvd25yZXYueG1sTI9BS8NAEIXvgv9hGcGLtButFI3ZFLEqHmtS&#10;BG/T7JgEs7Mhu22iv95RD3qZ4fGGN9/LVpPr1IGG0Ho2cD5PQBFX3rZcG9iWD7MrUCEiW+w8k4EP&#10;CrDKj48yTK0f+ZkORayVhHBI0UATY59qHaqGHIa574nFe/ODwyhyqLUdcJRw1+mLJFlqhy3LhwZ7&#10;umuoei/2zsC41Pevl2uixabE8uXscV1cP30ac3oy3d6AijTFv2P4xhd0yIVp5/dsg+oMSJH4M8Vb&#10;JKJ2v1vnmf7Pnn8BAAD//wMAUEsBAi0AFAAGAAgAAAAhALaDOJL+AAAA4QEAABMAAAAAAAAAAAAA&#10;AAAAAAAAAFtDb250ZW50X1R5cGVzXS54bWxQSwECLQAUAAYACAAAACEAOP0h/9YAAACUAQAACwAA&#10;AAAAAAAAAAAAAAAvAQAAX3JlbHMvLnJlbHNQSwECLQAUAAYACAAAACEAw+ewfX0CAABsBQAADgAA&#10;AAAAAAAAAAAAAAAuAgAAZHJzL2Uyb0RvYy54bWxQSwECLQAUAAYACAAAACEAOsdimtgAAAADAQAA&#10;DwAAAAAAAAAAAAAAAADXBAAAZHJzL2Rvd25yZXYueG1sUEsFBgAAAAAEAAQA8wAAANwFAAAAAA==&#10;" fillcolor="yellow" strokecolor="#375623 [1609]" strokeweight="1pt">
                      <v:stroke joinstyle="miter"/>
                      <w10:anchorlock/>
                    </v:oval>
                  </w:pict>
                </mc:Fallback>
              </mc:AlternateContent>
            </w:r>
          </w:p>
        </w:tc>
        <w:tc>
          <w:tcPr>
            <w:tcW w:w="900" w:type="dxa"/>
            <w:vAlign w:val="center"/>
          </w:tcPr>
          <w:p w14:paraId="068A751C" w14:textId="77777777" w:rsidR="00DE508C" w:rsidRPr="00180EFD" w:rsidRDefault="00DE508C" w:rsidP="00DE508C">
            <w:pPr>
              <w:jc w:val="center"/>
              <w:rPr>
                <w:color w:val="212121"/>
              </w:rPr>
            </w:pPr>
            <w:r w:rsidRPr="00180EFD">
              <w:rPr>
                <w:rFonts w:eastAsia="Arial" w:cs="Segoe UI"/>
                <w:noProof/>
                <w:sz w:val="20"/>
                <w:szCs w:val="20"/>
              </w:rPr>
              <mc:AlternateContent>
                <mc:Choice Requires="wps">
                  <w:drawing>
                    <wp:inline distT="0" distB="0" distL="0" distR="0" wp14:anchorId="29274AD4" wp14:editId="636E7A2F">
                      <wp:extent cx="190500" cy="190500"/>
                      <wp:effectExtent l="0" t="0" r="19050" b="19050"/>
                      <wp:docPr id="92" name="Oval 92"/>
                      <wp:cNvGraphicFramePr/>
                      <a:graphic xmlns:a="http://schemas.openxmlformats.org/drawingml/2006/main">
                        <a:graphicData uri="http://schemas.microsoft.com/office/word/2010/wordprocessingShape">
                          <wps:wsp>
                            <wps:cNvSpPr/>
                            <wps:spPr>
                              <a:xfrm>
                                <a:off x="0" y="0"/>
                                <a:ext cx="190500" cy="190500"/>
                              </a:xfrm>
                              <a:prstGeom prst="ellipse">
                                <a:avLst/>
                              </a:prstGeom>
                              <a:solidFill>
                                <a:srgbClr val="FFFF00"/>
                              </a:solidFill>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oval w14:anchorId="3455DCC4" id="Oval 92" o:spid="_x0000_s1026" style="width:15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NnofgIAAGwFAAAOAAAAZHJzL2Uyb0RvYy54bWysVF9r2zAQfx/sOwi9r7ZD2y2hTgktGYPS&#10;lrajz4osxQJJp0lKnOzT7yQ7TljLBmN+kO90d7/7o7u7ut4ZTbbCBwW2ptVZSYmwHBpl1zX9/rL8&#10;9IWSEJltmAYraroXgV7PP3646txMTKAF3QhPEMSGWedq2sboZkUReCsMC2fghEWhBG9YRNavi8az&#10;DtGNLiZleVl04BvngYsQ8Pa2F9J5xpdS8PggZRCR6JpibDGfPp+rdBbzKzZbe+ZaxYcw2D9EYZiy&#10;6HSEumWRkY1Xb6CM4h4CyHjGwRQgpeIi54DZVOVv2Ty3zImcCxYnuLFM4f/B8vvtoyeqqel0Qoll&#10;Bt/oYcs0QRZr07kwQ5Vn9+gHLiCZEt1Jb9IfUyC7XM/9WE+xi4TjZTUtL0qsOkfRQCNKcTR2PsSv&#10;AgxJRE2F1sqFlDGbse1diL32QStdB9CqWSqtM+PXqxvtCcZb0yV+6Kw3OVErUg591JmKey2SsbZP&#10;QmLmGOcke8w9J0Y8xrmw8bIXtawRvRtM6OgldWmyyEllwIQsMbwRu/oTdh/soJ9MRW7Z0bj8u/Fo&#10;kT2DjaOxURb8ewA6VkOZZK+P4Z+UJpEraPbYFx76gQmOLxU+0R0L8ZF5nBB8VZz6+ICH1NDVFAaK&#10;khb8z/fukz42Lkop6XDiahp+bJgXlOhvFlt6Wp2fpxHNzPnF5wky/lSyOpXYjbkBfPYK94vjmUz6&#10;UR9I6cG84nJYJK8oYpaj75ry6A/MTew3Aa4XLhaLrIZj6Vi8s8+OJ/BU1dR/L7tX5t3QpxEb/B4O&#10;0/mmV3vdZGlhsYkgVW7kY12HeuNI58YZ1k/aGad81jouyfkvAAAA//8DAFBLAwQUAAYACAAAACEA&#10;OsdimtgAAAADAQAADwAAAGRycy9kb3ducmV2LnhtbEyPQUvDQBCF74L/YRnBi7QbrRSN2RSxKh5r&#10;UgRv0+yYBLOzIbttor/eUQ96meHxhjffy1aT69SBhtB6NnA+T0ARV962XBvYlg+zK1AhIlvsPJOB&#10;Dwqwyo+PMkytH/mZDkWslYRwSNFAE2Ofah2qhhyGue+JxXvzg8Mocqi1HXCUcNfpiyRZaocty4cG&#10;e7prqHov9s7AuNT3r5drosWmxPLl7HFdXD99GnN6Mt3egIo0xb9j+MYXdMiFaef3bIPqDEiR+DPF&#10;WySidr9b55n+z55/AQAA//8DAFBLAQItABQABgAIAAAAIQC2gziS/gAAAOEBAAATAAAAAAAAAAAA&#10;AAAAAAAAAABbQ29udGVudF9UeXBlc10ueG1sUEsBAi0AFAAGAAgAAAAhADj9If/WAAAAlAEAAAsA&#10;AAAAAAAAAAAAAAAALwEAAF9yZWxzLy5yZWxzUEsBAi0AFAAGAAgAAAAhANeY2eh+AgAAbAUAAA4A&#10;AAAAAAAAAAAAAAAALgIAAGRycy9lMm9Eb2MueG1sUEsBAi0AFAAGAAgAAAAhADrHYprYAAAAAwEA&#10;AA8AAAAAAAAAAAAAAAAA2AQAAGRycy9kb3ducmV2LnhtbFBLBQYAAAAABAAEAPMAAADdBQAAAAA=&#10;" fillcolor="yellow" strokecolor="#375623 [1609]" strokeweight="1pt">
                      <v:stroke joinstyle="miter"/>
                      <w10:anchorlock/>
                    </v:oval>
                  </w:pict>
                </mc:Fallback>
              </mc:AlternateContent>
            </w:r>
          </w:p>
        </w:tc>
        <w:tc>
          <w:tcPr>
            <w:tcW w:w="7020" w:type="dxa"/>
          </w:tcPr>
          <w:p w14:paraId="08BB67ED" w14:textId="77777777" w:rsidR="00DE508C" w:rsidRPr="00180EFD" w:rsidRDefault="00DE508C" w:rsidP="00DE508C">
            <w:pPr>
              <w:ind w:left="342"/>
              <w:rPr>
                <w:rFonts w:eastAsia="Times New Roman"/>
              </w:rPr>
            </w:pPr>
            <w:r w:rsidRPr="00180EFD">
              <w:rPr>
                <w:rFonts w:eastAsia="Times New Roman"/>
              </w:rPr>
              <w:t>Service account logon restrictions</w:t>
            </w:r>
          </w:p>
        </w:tc>
      </w:tr>
      <w:tr w:rsidR="00DE508C" w:rsidRPr="00036F75" w14:paraId="1225B116" w14:textId="77777777" w:rsidTr="00915020">
        <w:tc>
          <w:tcPr>
            <w:tcW w:w="805" w:type="dxa"/>
            <w:shd w:val="clear" w:color="auto" w:fill="BFBFBF" w:themeFill="background1" w:themeFillShade="BF"/>
            <w:vAlign w:val="center"/>
          </w:tcPr>
          <w:p w14:paraId="3247BB5A" w14:textId="77777777" w:rsidR="00DE508C" w:rsidRPr="00036F75" w:rsidRDefault="00DE508C" w:rsidP="00DE508C">
            <w:pPr>
              <w:jc w:val="center"/>
              <w:rPr>
                <w:b/>
                <w:color w:val="FFFFFF" w:themeColor="background1"/>
              </w:rPr>
            </w:pPr>
          </w:p>
        </w:tc>
        <w:tc>
          <w:tcPr>
            <w:tcW w:w="1170" w:type="dxa"/>
            <w:shd w:val="clear" w:color="auto" w:fill="BFBFBF" w:themeFill="background1" w:themeFillShade="BF"/>
            <w:vAlign w:val="center"/>
          </w:tcPr>
          <w:p w14:paraId="04EB404B" w14:textId="77777777" w:rsidR="00DE508C" w:rsidRPr="00036F75" w:rsidRDefault="00DE508C" w:rsidP="00DE508C">
            <w:pPr>
              <w:jc w:val="center"/>
              <w:rPr>
                <w:b/>
                <w:color w:val="FFFFFF" w:themeColor="background1"/>
              </w:rPr>
            </w:pPr>
          </w:p>
        </w:tc>
        <w:tc>
          <w:tcPr>
            <w:tcW w:w="900" w:type="dxa"/>
            <w:shd w:val="clear" w:color="auto" w:fill="BFBFBF" w:themeFill="background1" w:themeFillShade="BF"/>
            <w:vAlign w:val="center"/>
          </w:tcPr>
          <w:p w14:paraId="500E337E" w14:textId="77777777" w:rsidR="00DE508C" w:rsidRPr="00036F75" w:rsidRDefault="00DE508C" w:rsidP="00DE508C">
            <w:pPr>
              <w:jc w:val="center"/>
              <w:rPr>
                <w:b/>
                <w:color w:val="FFFFFF" w:themeColor="background1"/>
              </w:rPr>
            </w:pPr>
          </w:p>
        </w:tc>
        <w:tc>
          <w:tcPr>
            <w:tcW w:w="7020" w:type="dxa"/>
            <w:shd w:val="clear" w:color="auto" w:fill="BFBFBF" w:themeFill="background1" w:themeFillShade="BF"/>
          </w:tcPr>
          <w:p w14:paraId="4BDA5618" w14:textId="77777777" w:rsidR="00DE508C" w:rsidRPr="00036F75" w:rsidRDefault="00DE508C" w:rsidP="00DE508C">
            <w:pPr>
              <w:rPr>
                <w:b/>
                <w:color w:val="FFFFFF" w:themeColor="background1"/>
              </w:rPr>
            </w:pPr>
            <w:r>
              <w:rPr>
                <w:b/>
                <w:color w:val="FFFFFF" w:themeColor="background1"/>
              </w:rPr>
              <w:t>Certification Authority Data</w:t>
            </w:r>
          </w:p>
        </w:tc>
      </w:tr>
      <w:tr w:rsidR="00DE508C" w14:paraId="22EA21AF" w14:textId="77777777" w:rsidTr="00915020">
        <w:tc>
          <w:tcPr>
            <w:tcW w:w="805" w:type="dxa"/>
            <w:vAlign w:val="center"/>
          </w:tcPr>
          <w:p w14:paraId="4B074EB7" w14:textId="77777777" w:rsidR="00DE508C" w:rsidRDefault="00DE508C" w:rsidP="00DE508C">
            <w:pPr>
              <w:jc w:val="center"/>
              <w:rPr>
                <w:noProof/>
              </w:rPr>
            </w:pPr>
            <w:r w:rsidRPr="00275388">
              <w:rPr>
                <w:noProof/>
              </w:rPr>
              <mc:AlternateContent>
                <mc:Choice Requires="wps">
                  <w:drawing>
                    <wp:inline distT="0" distB="0" distL="0" distR="0" wp14:anchorId="20524EBE" wp14:editId="10A3978F">
                      <wp:extent cx="210553" cy="190500"/>
                      <wp:effectExtent l="0" t="0" r="18415" b="19050"/>
                      <wp:docPr id="97" name="Octagon 97"/>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36EFD481" w14:textId="77777777" w:rsidR="008D2C68" w:rsidRDefault="008D2C68" w:rsidP="00F97B16">
                                  <w:pPr>
                                    <w:jc w:val="center"/>
                                  </w:pPr>
                                </w:p>
                                <w:p w14:paraId="29B8346D"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0524EBE" id="Octagon 97" o:spid="_x0000_s1117"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hxffQIAAF8FAAAOAAAAZHJzL2Uyb0RvYy54bWysVF9r2zAQfx/sOwi9r7bTZm1DnRJSOgal&#10;LWtHnxVZSgSSTpOU2Nmn30l23NAVCmN+kO90/+9+p6vrzmiyEz4osDWtTkpKhOXQKLuu6c/n2y8X&#10;lITIbMM0WFHTvQj0ev7501XrZmICG9CN8ASd2DBrXU03MbpZUQS+EYaFE3DColCCNywi69dF41mL&#10;3o0uJmX5tWjBN84DFyHg7U0vpPPsX0rB44OUQUSia4q5xXz6fK7SWcyv2GztmdsoPqTB/iELw5TF&#10;oKOrGxYZ2Xr1lyujuIcAMp5wMAVIqbjINWA1VfmmmqcNcyLXgs0JbmxT+H9u+f3u0RPV1PTynBLL&#10;DM7ogUe2BkvwBtvTujBDrSf36AcuIJlq7aQ36Y9VkC63dD+2VHSRcLycVOV0ekoJR1F1WU7L3PLi&#10;1dj5EL8JMCQRNYU+du4l292FiDFR+6CVwgXQqrlVWmfGr1dL7cmO4YCXyxK/lDSaHKkVqYY+60zF&#10;vRbJWNsfQmLxmGeVI2bYidEf41zYOBkcZu1kJjH2aHj6seGgn0xFhuRoPPnYeLTIkcHG0dgoC/49&#10;BzpWQ8qy18d+HNWdyNitujz1i3HGK2j2CAUP/Y4Ex28VjuSOhfjIPC4Frg8uenzAQ2pocVYDRckG&#10;/O/37pM+YhWllLS4ZDUNv7bMC0r0d4sovqzOztJWZuZsej5Bxh9LVscSuzVLwDFX+KQ4nsmkH/WB&#10;lB7MC74HixQVRcxyjF1THv2BWcZ++fFF4WKxyGq4iY7FO/vk+AEICW/P3QvzbsBlREDfw2Eh2ewN&#10;NnvdNCILi20EqTJwU6v7vg4jwC3O4BxenPRMHPNZ6/VdnP8BAAD//wMAUEsDBBQABgAIAAAAIQC1&#10;03Ec2gAAAAMBAAAPAAAAZHJzL2Rvd25yZXYueG1sTI9Ba8MwDIXvg/0Ho0Fvrd0WSpfFKWNQ2GE0&#10;rFvZ1Y21JDSWg+026b+ftkt30UM88d6nfDO6TlwwxNaThvlMgUCqvG2p1vD5sZ2uQcRkyJrOE2q4&#10;YoRNcX+Xm8z6gd7xsk+14BCKmdHQpNRnUsaqQWfizPdI7H374EziNdTSBjNwuOvkQqmVdKYlbmhM&#10;jy8NVqf92WkoT0P5ui7Lx6+wXe3egjvMw+6g9eRhfH4CkXBMt2P4xWd0KJjp6M9ko+g08CPpb7K3&#10;XC5AHFmVAlnk8j978QMAAP//AwBQSwECLQAUAAYACAAAACEAtoM4kv4AAADhAQAAEwAAAAAAAAAA&#10;AAAAAAAAAAAAW0NvbnRlbnRfVHlwZXNdLnhtbFBLAQItABQABgAIAAAAIQA4/SH/1gAAAJQBAAAL&#10;AAAAAAAAAAAAAAAAAC8BAABfcmVscy8ucmVsc1BLAQItABQABgAIAAAAIQCWYhxffQIAAF8FAAAO&#10;AAAAAAAAAAAAAAAAAC4CAABkcnMvZTJvRG9jLnhtbFBLAQItABQABgAIAAAAIQC103Ec2gAAAAMB&#10;AAAPAAAAAAAAAAAAAAAAANcEAABkcnMvZG93bnJldi54bWxQSwUGAAAAAAQABADzAAAA3gUAAAAA&#10;" fillcolor="#c00" strokecolor="#ed7d31 [3205]" strokeweight=".5pt">
                      <v:textbox>
                        <w:txbxContent>
                          <w:p w14:paraId="36EFD481" w14:textId="77777777" w:rsidR="008D2C68" w:rsidRDefault="008D2C68" w:rsidP="00F97B16">
                            <w:pPr>
                              <w:jc w:val="center"/>
                            </w:pPr>
                          </w:p>
                          <w:p w14:paraId="29B8346D" w14:textId="77777777" w:rsidR="008D2C68" w:rsidRDefault="008D2C68" w:rsidP="00F97B16">
                            <w:pPr>
                              <w:jc w:val="center"/>
                            </w:pPr>
                          </w:p>
                        </w:txbxContent>
                      </v:textbox>
                      <w10:anchorlock/>
                    </v:shape>
                  </w:pict>
                </mc:Fallback>
              </mc:AlternateContent>
            </w:r>
          </w:p>
        </w:tc>
        <w:tc>
          <w:tcPr>
            <w:tcW w:w="1170" w:type="dxa"/>
            <w:vAlign w:val="center"/>
          </w:tcPr>
          <w:p w14:paraId="7263A562" w14:textId="77777777" w:rsidR="00DE508C" w:rsidRPr="00AD71FE" w:rsidRDefault="00DE508C" w:rsidP="00DE508C">
            <w:pPr>
              <w:jc w:val="center"/>
              <w:rPr>
                <w:rFonts w:eastAsia="Arial" w:cs="Segoe UI"/>
                <w:noProof/>
                <w:sz w:val="20"/>
                <w:szCs w:val="20"/>
                <w:highlight w:val="yellow"/>
              </w:rPr>
            </w:pPr>
            <w:r>
              <w:rPr>
                <w:color w:val="212121"/>
              </w:rPr>
              <w:t>N/A</w:t>
            </w:r>
          </w:p>
        </w:tc>
        <w:tc>
          <w:tcPr>
            <w:tcW w:w="900" w:type="dxa"/>
            <w:vAlign w:val="center"/>
          </w:tcPr>
          <w:p w14:paraId="73CC97CF" w14:textId="77777777" w:rsidR="00DE508C" w:rsidRPr="00AD71FE" w:rsidRDefault="00DE508C" w:rsidP="00DE508C">
            <w:pPr>
              <w:jc w:val="center"/>
              <w:rPr>
                <w:rFonts w:eastAsia="Arial" w:cs="Segoe UI"/>
                <w:noProof/>
                <w:sz w:val="20"/>
                <w:szCs w:val="20"/>
                <w:highlight w:val="yellow"/>
              </w:rPr>
            </w:pPr>
            <w:r>
              <w:rPr>
                <w:color w:val="212121"/>
              </w:rPr>
              <w:t>N/A</w:t>
            </w:r>
          </w:p>
        </w:tc>
        <w:tc>
          <w:tcPr>
            <w:tcW w:w="7020" w:type="dxa"/>
          </w:tcPr>
          <w:p w14:paraId="0AE8E01B" w14:textId="631F0CBD" w:rsidR="00DE508C" w:rsidRPr="00040DAA" w:rsidRDefault="00DE508C" w:rsidP="00DE508C">
            <w:pPr>
              <w:ind w:left="342"/>
            </w:pPr>
            <w:r w:rsidRPr="00431A76">
              <w:t xml:space="preserve">GPO </w:t>
            </w:r>
            <w:r>
              <w:t>t</w:t>
            </w:r>
            <w:r w:rsidRPr="00431A76">
              <w:t>rust</w:t>
            </w:r>
          </w:p>
        </w:tc>
      </w:tr>
      <w:tr w:rsidR="00DE508C" w14:paraId="787AE497" w14:textId="77777777" w:rsidTr="00915020">
        <w:tc>
          <w:tcPr>
            <w:tcW w:w="805" w:type="dxa"/>
            <w:vAlign w:val="center"/>
          </w:tcPr>
          <w:p w14:paraId="0B1B010E" w14:textId="77777777" w:rsidR="00DE508C" w:rsidRDefault="00DE508C" w:rsidP="00DE508C">
            <w:pPr>
              <w:jc w:val="center"/>
              <w:rPr>
                <w:noProof/>
              </w:rPr>
            </w:pPr>
            <w:r w:rsidRPr="00275388">
              <w:rPr>
                <w:noProof/>
              </w:rPr>
              <mc:AlternateContent>
                <mc:Choice Requires="wps">
                  <w:drawing>
                    <wp:inline distT="0" distB="0" distL="0" distR="0" wp14:anchorId="6EF9F5D4" wp14:editId="0658BEA7">
                      <wp:extent cx="210553" cy="190500"/>
                      <wp:effectExtent l="0" t="0" r="18415" b="19050"/>
                      <wp:docPr id="107" name="Octagon 107"/>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1AC01217" w14:textId="77777777" w:rsidR="008D2C68" w:rsidRDefault="008D2C68" w:rsidP="00F97B16">
                                  <w:pPr>
                                    <w:jc w:val="center"/>
                                  </w:pPr>
                                </w:p>
                                <w:p w14:paraId="5582C3B0"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EF9F5D4" id="Octagon 107" o:spid="_x0000_s1118"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i8IfgIAAGEFAAAOAAAAZHJzL2Uyb0RvYy54bWysVF9r2zAQfx/sOwi9r7bTZm1DnRJSOgal&#10;LWtHnxVZSgSSTpOU2Nmn30l23NAVCmN+kO90v/t/p6vrzmiyEz4osDWtTkpKhOXQKLuu6c/n2y8X&#10;lITIbMM0WFHTvQj0ev7501XrZmICG9CN8ASN2DBrXU03MbpZUQS+EYaFE3DColCCNywi69dF41mL&#10;1o0uJmX5tWjBN84DFyHg7U0vpPNsX0rB44OUQUSia4qxxXz6fK7SWcyv2GztmdsoPoTB/iEKw5RF&#10;p6OpGxYZ2Xr1lymjuIcAMp5wMAVIqbjIOWA2Vfkmm6cNcyLngsUJbixT+H9m+f3u0RPVYO/Kc0os&#10;M9ikBx7ZGixJV1ig1oUZ4p7cox+4gGTKtpPepD/mQbpc1P1YVNFFwvFyUpXT6SklHEXVZTktc9GL&#10;V2XnQ/wmwJBE1BR657mabHcXIvpE9AGV3AXQqrlVWmfGr1dL7cmOYYuXyxK/FDSqHMGKlEMfdabi&#10;XoukrO0PITF9jLPKHvPgidEe41zYOBkMZnRSk+h7VDz9WHHAJ1WRh3JUnnysPGpkz2DjqGyUBf+e&#10;AR2rIWTZ47EeR3knMnarLvf94iJB09UKmj0Og4d+S4LjtwpbcsdCfGQe1wIXCFc9PuAhNbTYq4Gi&#10;ZAP+93v3CY/TilJKWlyzmoZfW+YFJfq7xTm+rM7O0l5m5mx6PkHGH0tWxxK7NUvANlf4qDieyYSP&#10;+kBKD+YFX4RF8ooiZjn6rimP/sAsY7/++KZwsVhkGO6iY/HOPjl+GIQ0b8/dC/NumMuIA30Ph5Vk&#10;szez2WNTiywsthGkyoP7WtehBbjHeTiHNyc9FMd8Rr2+jPM/AAAA//8DAFBLAwQUAAYACAAAACEA&#10;tdNxHNoAAAADAQAADwAAAGRycy9kb3ducmV2LnhtbEyPQWvDMAyF74P9B6NBb63dFkqXxSljUNhh&#10;NKxb2dWNtSQ0loPtNum/n7ZLd9FDPPHep3wzuk5cMMTWk4b5TIFAqrxtqdbw+bGdrkHEZMiazhNq&#10;uGKETXF/l5vM+oHe8bJPteAQipnR0KTUZ1LGqkFn4sz3SOx9++BM4jXU0gYzcLjr5EKplXSmJW5o&#10;TI8vDVan/dlpKE9D+bouy8evsF3t3oI7zMPuoPXkYXx+ApFwTLdj+MVndCiY6ejPZKPoNPAj6W+y&#10;t1wuQBxZlQJZ5PI/e/EDAAD//wMAUEsBAi0AFAAGAAgAAAAhALaDOJL+AAAA4QEAABMAAAAAAAAA&#10;AAAAAAAAAAAAAFtDb250ZW50X1R5cGVzXS54bWxQSwECLQAUAAYACAAAACEAOP0h/9YAAACUAQAA&#10;CwAAAAAAAAAAAAAAAAAvAQAAX3JlbHMvLnJlbHNQSwECLQAUAAYACAAAACEAaGovCH4CAABhBQAA&#10;DgAAAAAAAAAAAAAAAAAuAgAAZHJzL2Uyb0RvYy54bWxQSwECLQAUAAYACAAAACEAtdNxHNoAAAAD&#10;AQAADwAAAAAAAAAAAAAAAADYBAAAZHJzL2Rvd25yZXYueG1sUEsFBgAAAAAEAAQA8wAAAN8FAAAA&#10;AA==&#10;" fillcolor="#c00" strokecolor="#ed7d31 [3205]" strokeweight=".5pt">
                      <v:textbox>
                        <w:txbxContent>
                          <w:p w14:paraId="1AC01217" w14:textId="77777777" w:rsidR="008D2C68" w:rsidRDefault="008D2C68" w:rsidP="00F97B16">
                            <w:pPr>
                              <w:jc w:val="center"/>
                            </w:pPr>
                          </w:p>
                          <w:p w14:paraId="5582C3B0" w14:textId="77777777" w:rsidR="008D2C68" w:rsidRDefault="008D2C68" w:rsidP="00F97B16">
                            <w:pPr>
                              <w:jc w:val="center"/>
                            </w:pPr>
                          </w:p>
                        </w:txbxContent>
                      </v:textbox>
                      <w10:anchorlock/>
                    </v:shape>
                  </w:pict>
                </mc:Fallback>
              </mc:AlternateContent>
            </w:r>
          </w:p>
        </w:tc>
        <w:tc>
          <w:tcPr>
            <w:tcW w:w="1170" w:type="dxa"/>
            <w:vAlign w:val="center"/>
          </w:tcPr>
          <w:p w14:paraId="26043EB2" w14:textId="77777777" w:rsidR="00DE508C" w:rsidRPr="00840988" w:rsidRDefault="00DE508C" w:rsidP="00DE508C">
            <w:pPr>
              <w:jc w:val="center"/>
              <w:rPr>
                <w:rFonts w:eastAsia="Arial" w:cs="Segoe UI"/>
                <w:noProof/>
                <w:sz w:val="20"/>
                <w:szCs w:val="20"/>
              </w:rPr>
            </w:pPr>
            <w:r>
              <w:rPr>
                <w:color w:val="212121"/>
              </w:rPr>
              <w:t>N/A</w:t>
            </w:r>
          </w:p>
        </w:tc>
        <w:tc>
          <w:tcPr>
            <w:tcW w:w="900" w:type="dxa"/>
            <w:vAlign w:val="center"/>
          </w:tcPr>
          <w:p w14:paraId="0BE5E685" w14:textId="77777777" w:rsidR="00DE508C" w:rsidRPr="00840988" w:rsidRDefault="00DE508C" w:rsidP="00DE508C">
            <w:pPr>
              <w:jc w:val="center"/>
              <w:rPr>
                <w:rFonts w:eastAsia="Arial" w:cs="Segoe UI"/>
                <w:noProof/>
                <w:sz w:val="20"/>
                <w:szCs w:val="20"/>
              </w:rPr>
            </w:pPr>
            <w:r>
              <w:rPr>
                <w:color w:val="212121"/>
              </w:rPr>
              <w:t>N/A</w:t>
            </w:r>
          </w:p>
        </w:tc>
        <w:tc>
          <w:tcPr>
            <w:tcW w:w="7020" w:type="dxa"/>
          </w:tcPr>
          <w:p w14:paraId="0DC9241B" w14:textId="4A3AF844" w:rsidR="00DE508C" w:rsidRPr="00040DAA" w:rsidRDefault="00DE508C" w:rsidP="00DE508C">
            <w:pPr>
              <w:ind w:left="342"/>
            </w:pPr>
            <w:r w:rsidRPr="00431A76">
              <w:t xml:space="preserve">NTAuth </w:t>
            </w:r>
            <w:r>
              <w:t>s</w:t>
            </w:r>
            <w:r w:rsidRPr="00431A76">
              <w:t>tore</w:t>
            </w:r>
          </w:p>
        </w:tc>
      </w:tr>
    </w:tbl>
    <w:p w14:paraId="1DA06B52" w14:textId="77777777" w:rsidR="00F97B16" w:rsidRDefault="00F97B16" w:rsidP="00F97B16">
      <w:pPr>
        <w:pStyle w:val="Caption"/>
        <w:rPr>
          <w:color w:val="212121"/>
        </w:rPr>
      </w:pPr>
      <w:r>
        <w:t xml:space="preserve">Table </w:t>
      </w:r>
      <w:r w:rsidR="00872E47">
        <w:fldChar w:fldCharType="begin"/>
      </w:r>
      <w:r w:rsidR="00872E47">
        <w:instrText xml:space="preserve"> SEQ Table \* ARABIC </w:instrText>
      </w:r>
      <w:r w:rsidR="00872E47">
        <w:fldChar w:fldCharType="separate"/>
      </w:r>
      <w:r>
        <w:rPr>
          <w:noProof/>
        </w:rPr>
        <w:t>3</w:t>
      </w:r>
      <w:r w:rsidR="00872E47">
        <w:rPr>
          <w:noProof/>
        </w:rPr>
        <w:fldChar w:fldCharType="end"/>
      </w:r>
      <w:r>
        <w:t xml:space="preserve"> - </w:t>
      </w:r>
      <w:r w:rsidRPr="005C2AC3">
        <w:t>Active Directory and Identity Data Standards Summary</w:t>
      </w:r>
    </w:p>
    <w:p w14:paraId="2E41E302" w14:textId="77777777" w:rsidR="00F97B16" w:rsidRDefault="00F97B16" w:rsidP="00F97B16">
      <w:pPr>
        <w:rPr>
          <w:color w:val="212121"/>
        </w:rPr>
      </w:pPr>
    </w:p>
    <w:p w14:paraId="30AEA2BD" w14:textId="77777777" w:rsidR="00F97B16" w:rsidRPr="00E85E5F" w:rsidRDefault="00F97B16" w:rsidP="005729D2">
      <w:pPr>
        <w:pStyle w:val="Heading3Numbered"/>
        <w:numPr>
          <w:ilvl w:val="2"/>
          <w:numId w:val="64"/>
        </w:numPr>
      </w:pPr>
      <w:bookmarkStart w:id="7919" w:name="_Toc423091757"/>
      <w:bookmarkStart w:id="7920" w:name="_Toc423464071"/>
      <w:bookmarkStart w:id="7921" w:name="_Toc423464744"/>
      <w:bookmarkStart w:id="7922" w:name="_Toc431288988"/>
      <w:r w:rsidRPr="00E85E5F">
        <w:t>Operational Practices Standards Summary</w:t>
      </w:r>
      <w:bookmarkEnd w:id="7919"/>
      <w:bookmarkEnd w:id="7920"/>
      <w:bookmarkEnd w:id="7921"/>
      <w:bookmarkEnd w:id="7922"/>
    </w:p>
    <w:p w14:paraId="36A5EC6D" w14:textId="04173A98" w:rsidR="00F97B16" w:rsidRPr="00672CD5" w:rsidRDefault="00F97B16" w:rsidP="00F97B16">
      <w:r w:rsidRPr="00383264">
        <w:rPr>
          <w:color w:val="212121"/>
        </w:rPr>
        <w:t>The</w:t>
      </w:r>
      <w:r w:rsidR="00DE508C" w:rsidRPr="00383264">
        <w:rPr>
          <w:color w:val="212121"/>
        </w:rPr>
        <w:t xml:space="preserve"> Tier columns </w:t>
      </w:r>
      <w:r w:rsidR="00DE508C">
        <w:rPr>
          <w:color w:val="212121"/>
        </w:rPr>
        <w:t xml:space="preserve">in this table </w:t>
      </w:r>
      <w:r w:rsidR="00DE508C" w:rsidRPr="00383264">
        <w:rPr>
          <w:color w:val="212121"/>
        </w:rPr>
        <w:t xml:space="preserve">refer to the </w:t>
      </w:r>
      <w:r w:rsidR="00DE508C">
        <w:rPr>
          <w:color w:val="212121"/>
        </w:rPr>
        <w:t>Tier level of the administrative account, the control of which typically impacts all assets in that tier</w:t>
      </w:r>
      <w:r>
        <w:t>.</w:t>
      </w:r>
    </w:p>
    <w:tbl>
      <w:tblPr>
        <w:tblStyle w:val="TableGrid"/>
        <w:tblW w:w="9895" w:type="dxa"/>
        <w:tblLayout w:type="fixed"/>
        <w:tblLook w:val="04A0" w:firstRow="1" w:lastRow="0" w:firstColumn="1" w:lastColumn="0" w:noHBand="0" w:noVBand="1"/>
      </w:tblPr>
      <w:tblGrid>
        <w:gridCol w:w="788"/>
        <w:gridCol w:w="17"/>
        <w:gridCol w:w="1126"/>
        <w:gridCol w:w="44"/>
        <w:gridCol w:w="837"/>
        <w:gridCol w:w="63"/>
        <w:gridCol w:w="7020"/>
      </w:tblGrid>
      <w:tr w:rsidR="00F97B16" w:rsidRPr="009B5CD0" w14:paraId="61D30623" w14:textId="77777777" w:rsidTr="00915020">
        <w:trPr>
          <w:cnfStyle w:val="100000000000" w:firstRow="1" w:lastRow="0" w:firstColumn="0" w:lastColumn="0" w:oddVBand="0" w:evenVBand="0" w:oddHBand="0" w:evenHBand="0" w:firstRowFirstColumn="0" w:firstRowLastColumn="0" w:lastRowFirstColumn="0" w:lastRowLastColumn="0"/>
        </w:trPr>
        <w:tc>
          <w:tcPr>
            <w:tcW w:w="805" w:type="dxa"/>
            <w:gridSpan w:val="2"/>
            <w:shd w:val="clear" w:color="auto" w:fill="000000" w:themeFill="text1"/>
          </w:tcPr>
          <w:p w14:paraId="166BDB2E" w14:textId="77777777" w:rsidR="00F97B16" w:rsidRPr="009B5CD0" w:rsidRDefault="00F97B16" w:rsidP="00915020">
            <w:pPr>
              <w:jc w:val="center"/>
              <w:rPr>
                <w:b/>
              </w:rPr>
            </w:pPr>
            <w:r w:rsidRPr="009B5CD0">
              <w:rPr>
                <w:b/>
              </w:rPr>
              <w:t>Tier 0</w:t>
            </w:r>
          </w:p>
        </w:tc>
        <w:tc>
          <w:tcPr>
            <w:tcW w:w="1170" w:type="dxa"/>
            <w:gridSpan w:val="2"/>
            <w:shd w:val="clear" w:color="auto" w:fill="000000" w:themeFill="text1"/>
          </w:tcPr>
          <w:p w14:paraId="42C4356C" w14:textId="77777777" w:rsidR="00F97B16" w:rsidRPr="009B5CD0" w:rsidRDefault="00F97B16" w:rsidP="00915020">
            <w:pPr>
              <w:jc w:val="center"/>
              <w:rPr>
                <w:b/>
              </w:rPr>
            </w:pPr>
            <w:r>
              <w:rPr>
                <w:b/>
              </w:rPr>
              <w:t>Tier 1</w:t>
            </w:r>
          </w:p>
        </w:tc>
        <w:tc>
          <w:tcPr>
            <w:tcW w:w="900" w:type="dxa"/>
            <w:gridSpan w:val="2"/>
            <w:shd w:val="clear" w:color="auto" w:fill="000000" w:themeFill="text1"/>
          </w:tcPr>
          <w:p w14:paraId="7C425589" w14:textId="77777777" w:rsidR="00F97B16" w:rsidRPr="009B5CD0" w:rsidRDefault="00F97B16" w:rsidP="00915020">
            <w:pPr>
              <w:jc w:val="center"/>
              <w:rPr>
                <w:b/>
              </w:rPr>
            </w:pPr>
            <w:r>
              <w:rPr>
                <w:b/>
              </w:rPr>
              <w:t>Tier 2</w:t>
            </w:r>
          </w:p>
        </w:tc>
        <w:tc>
          <w:tcPr>
            <w:tcW w:w="7020" w:type="dxa"/>
            <w:shd w:val="clear" w:color="auto" w:fill="000000" w:themeFill="text1"/>
          </w:tcPr>
          <w:p w14:paraId="17D858CA" w14:textId="77777777" w:rsidR="00F97B16" w:rsidRPr="009B5CD0" w:rsidRDefault="00F97B16" w:rsidP="00915020">
            <w:pPr>
              <w:jc w:val="center"/>
              <w:rPr>
                <w:b/>
              </w:rPr>
            </w:pPr>
            <w:r w:rsidRPr="009B5CD0">
              <w:rPr>
                <w:b/>
              </w:rPr>
              <w:t>Standard</w:t>
            </w:r>
          </w:p>
        </w:tc>
      </w:tr>
      <w:tr w:rsidR="00F97B16" w:rsidRPr="00275388" w14:paraId="27C72400" w14:textId="77777777" w:rsidTr="00915020">
        <w:tc>
          <w:tcPr>
            <w:tcW w:w="788" w:type="dxa"/>
            <w:shd w:val="clear" w:color="auto" w:fill="BFBFBF" w:themeFill="background1" w:themeFillShade="BF"/>
            <w:vAlign w:val="center"/>
          </w:tcPr>
          <w:p w14:paraId="779F54DD" w14:textId="77777777" w:rsidR="00F97B16" w:rsidRPr="00275388" w:rsidRDefault="00F97B16" w:rsidP="00915020">
            <w:pPr>
              <w:jc w:val="center"/>
              <w:rPr>
                <w:color w:val="212121"/>
              </w:rPr>
            </w:pPr>
          </w:p>
        </w:tc>
        <w:tc>
          <w:tcPr>
            <w:tcW w:w="1143" w:type="dxa"/>
            <w:gridSpan w:val="2"/>
            <w:shd w:val="clear" w:color="auto" w:fill="BFBFBF" w:themeFill="background1" w:themeFillShade="BF"/>
            <w:vAlign w:val="center"/>
          </w:tcPr>
          <w:p w14:paraId="36878E8F" w14:textId="77777777" w:rsidR="00F97B16" w:rsidRPr="00275388" w:rsidRDefault="00F97B16" w:rsidP="00915020">
            <w:pPr>
              <w:jc w:val="center"/>
              <w:rPr>
                <w:color w:val="212121"/>
              </w:rPr>
            </w:pPr>
          </w:p>
        </w:tc>
        <w:tc>
          <w:tcPr>
            <w:tcW w:w="881" w:type="dxa"/>
            <w:gridSpan w:val="2"/>
            <w:shd w:val="clear" w:color="auto" w:fill="BFBFBF" w:themeFill="background1" w:themeFillShade="BF"/>
            <w:vAlign w:val="center"/>
          </w:tcPr>
          <w:p w14:paraId="0974C990" w14:textId="77777777" w:rsidR="00F97B16" w:rsidRPr="00275388" w:rsidRDefault="00F97B16" w:rsidP="00915020">
            <w:pPr>
              <w:jc w:val="center"/>
              <w:rPr>
                <w:color w:val="212121"/>
              </w:rPr>
            </w:pPr>
          </w:p>
        </w:tc>
        <w:tc>
          <w:tcPr>
            <w:tcW w:w="7083" w:type="dxa"/>
            <w:gridSpan w:val="2"/>
            <w:shd w:val="clear" w:color="auto" w:fill="BFBFBF" w:themeFill="background1" w:themeFillShade="BF"/>
          </w:tcPr>
          <w:p w14:paraId="606542F9" w14:textId="77777777" w:rsidR="00F97B16" w:rsidRPr="00406968" w:rsidRDefault="00F97B16" w:rsidP="00915020">
            <w:pPr>
              <w:rPr>
                <w:b/>
                <w:color w:val="FFFFFF" w:themeColor="background1"/>
              </w:rPr>
            </w:pPr>
            <w:r>
              <w:rPr>
                <w:b/>
                <w:color w:val="FFFFFF" w:themeColor="background1"/>
              </w:rPr>
              <w:t>Administrator Enablement, Accountability, and Lifecycle Enforcement</w:t>
            </w:r>
          </w:p>
        </w:tc>
      </w:tr>
      <w:tr w:rsidR="00DE508C" w14:paraId="456F53BD" w14:textId="77777777" w:rsidTr="00915020">
        <w:tc>
          <w:tcPr>
            <w:tcW w:w="788" w:type="dxa"/>
            <w:vAlign w:val="center"/>
          </w:tcPr>
          <w:p w14:paraId="1DBCC9CD" w14:textId="77777777" w:rsidR="00DE508C" w:rsidRPr="00275388" w:rsidRDefault="00DE508C" w:rsidP="00DE508C">
            <w:pPr>
              <w:jc w:val="center"/>
              <w:rPr>
                <w:noProof/>
              </w:rPr>
            </w:pPr>
            <w:r w:rsidRPr="00275388">
              <w:rPr>
                <w:noProof/>
              </w:rPr>
              <mc:AlternateContent>
                <mc:Choice Requires="wps">
                  <w:drawing>
                    <wp:inline distT="0" distB="0" distL="0" distR="0" wp14:anchorId="1596D13B" wp14:editId="55E57FA0">
                      <wp:extent cx="210553" cy="190500"/>
                      <wp:effectExtent l="0" t="0" r="18415" b="19050"/>
                      <wp:docPr id="197" name="Octagon 197"/>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149A0DC8" w14:textId="77777777" w:rsidR="008D2C68" w:rsidRDefault="008D2C68" w:rsidP="00F97B16">
                                  <w:pPr>
                                    <w:jc w:val="center"/>
                                  </w:pPr>
                                </w:p>
                                <w:p w14:paraId="750F7923"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596D13B" id="Octagon 197" o:spid="_x0000_s1119"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VD5fwIAAAcFAAAOAAAAZHJzL2Uyb0RvYy54bWysVN1P2zAQf5+0/8Hy+0hSKNCIFFXtmCah&#10;gQQTz1fHSSz5a7bbhP31OzspFMbTtD64d77zffzud7m6HpQke+68MLqixUlOCdfM1EK3Ff35ePPl&#10;khIfQNcgjeYVfeaeXi8/f7rqbclnpjOy5o5gEO3L3la0C8GWWeZZxxX4E2O5RmNjnIKAqmuz2kGP&#10;0ZXMZnl+nvXG1dYZxr3H281opMsUv2k4C3dN43kgsqJYW0inS+c2ntnyCsrWge0Em8qAf6hCgdCY&#10;9CXUBgKQnRN/hVKCOeNNE06YUZlpGsF46gG7KfJ33Tx0YHnqBcHx9gUm///Csh/7e0dEjbNbXFCi&#10;QeGQ7liA1mgSrxCg3voS/R7svZs0j2Lsdmiciv/YBxkSqM8voPIhEIaXsyKfz08pYWgqFvk8T6Bn&#10;r4+t8+EbN4pEoaJmTJ7QhP2tD5gTvQ9eMZ03UtQ3QsqkuHa7lo7sAUe8Xuf4i0XjkzduUpO+ouen&#10;c2QBA2RaIyGgqCz27nVLCcgWKcyCS6nfPPbHOb5uLjanxUc5Yo0b8N1YS4oQ3aBUIiDLpVAVvYwF&#10;HiqUOlp54unUaQR7hDdKYdgOaTqXixgpXm1N/Ywjc2bksrfsRmDeW/DhHhySFxvEhQx3eDTSYNNm&#10;kijpjPv90X30R06hlZIelwER+bUDxymR3zWybVGcncXtScrZ/GKGiju2bI8teqfWBodR4OpblsTo&#10;H+RBbJxRT7i3q5gVTaAZ5h6xn5R1GJcUN5/x1Sq54cZYCLf6wbIYPEIXEX8cnsDZiT0BaffDHBYH&#10;yncMGn3jS21Wu2Aakej1iisSJyq4bYlC05chrvOxnrxev1/LPwAAAP//AwBQSwMEFAAGAAgAAAAh&#10;AGAKUUTYAAAAAwEAAA8AAABkcnMvZG93bnJldi54bWxMj81OwzAQhO9IvIO1SNyoTYIqFOJU/KjH&#10;StDC3Ym3SUq8jmy3CX16Fi5w2dFqVjPflqvZDeKEIfaeNNwuFAikxtueWg3vu/XNPYiYDFkzeEIN&#10;XxhhVV1elKawfqI3PG1TKziEYmE0dCmNhZSx6dCZuPAjEnt7H5xJvIZW2mAmDneDzJRaSmd64obO&#10;jPjcYfO5PToNy8263hxC/oHZdPf69OLObpzPWl9fzY8PIBLO6e8YfvAZHSpmqv2RbBSDBn4k/U72&#10;8jwDUbMqBbIq5X/26hsAAP//AwBQSwECLQAUAAYACAAAACEAtoM4kv4AAADhAQAAEwAAAAAAAAAA&#10;AAAAAAAAAAAAW0NvbnRlbnRfVHlwZXNdLnhtbFBLAQItABQABgAIAAAAIQA4/SH/1gAAAJQBAAAL&#10;AAAAAAAAAAAAAAAAAC8BAABfcmVscy8ucmVsc1BLAQItABQABgAIAAAAIQBkFVD5fwIAAAcFAAAO&#10;AAAAAAAAAAAAAAAAAC4CAABkcnMvZTJvRG9jLnhtbFBLAQItABQABgAIAAAAIQBgClFE2AAAAAMB&#10;AAAPAAAAAAAAAAAAAAAAANkEAABkcnMvZG93bnJldi54bWxQSwUGAAAAAAQABADzAAAA3gUAAAAA&#10;" fillcolor="#c00" strokecolor="#ed7d31" strokeweight=".5pt">
                      <v:textbox>
                        <w:txbxContent>
                          <w:p w14:paraId="149A0DC8" w14:textId="77777777" w:rsidR="008D2C68" w:rsidRDefault="008D2C68" w:rsidP="00F97B16">
                            <w:pPr>
                              <w:jc w:val="center"/>
                            </w:pPr>
                          </w:p>
                          <w:p w14:paraId="750F7923" w14:textId="77777777" w:rsidR="008D2C68" w:rsidRDefault="008D2C68" w:rsidP="00F97B16">
                            <w:pPr>
                              <w:jc w:val="center"/>
                            </w:pPr>
                          </w:p>
                        </w:txbxContent>
                      </v:textbox>
                      <w10:anchorlock/>
                    </v:shape>
                  </w:pict>
                </mc:Fallback>
              </mc:AlternateContent>
            </w:r>
          </w:p>
        </w:tc>
        <w:tc>
          <w:tcPr>
            <w:tcW w:w="1143" w:type="dxa"/>
            <w:gridSpan w:val="2"/>
            <w:vAlign w:val="center"/>
          </w:tcPr>
          <w:p w14:paraId="6E9680FB" w14:textId="77777777" w:rsidR="00DE508C" w:rsidRPr="00275388" w:rsidRDefault="00DE508C" w:rsidP="00DE508C">
            <w:pPr>
              <w:jc w:val="center"/>
              <w:rPr>
                <w:color w:val="212121"/>
              </w:rPr>
            </w:pPr>
            <w:r w:rsidRPr="00275388">
              <w:rPr>
                <w:noProof/>
              </w:rPr>
              <mc:AlternateContent>
                <mc:Choice Requires="wps">
                  <w:drawing>
                    <wp:inline distT="0" distB="0" distL="0" distR="0" wp14:anchorId="605E09FF" wp14:editId="12B2528E">
                      <wp:extent cx="210553" cy="190500"/>
                      <wp:effectExtent l="0" t="0" r="18415" b="19050"/>
                      <wp:docPr id="218" name="Octagon 218"/>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6DA7187E" w14:textId="77777777" w:rsidR="008D2C68" w:rsidRDefault="008D2C68" w:rsidP="00F97B16">
                                  <w:pPr>
                                    <w:jc w:val="center"/>
                                  </w:pPr>
                                </w:p>
                                <w:p w14:paraId="3E637F74"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05E09FF" id="Octagon 218" o:spid="_x0000_s1120"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7safgIAAAcFAAAOAAAAZHJzL2Uyb0RvYy54bWysVEtv2zAMvg/YfxB0X22nTR9GnSJI1mFA&#10;0RZoi54ZWbYF6DVJid39+lGy06ZdT8NyUEiR4uPjR19eDUqSHXdeGF3R4iinhGtmaqHbij49Xn87&#10;p8QH0DVIo3lFX7inV4uvXy57W/KZ6YysuSMYRPuytxXtQrBllnnWcQX+yFiu0dgYpyCg6tqsdtBj&#10;dCWzWZ6fZr1xtXWGce/xdj0a6SLFbxrOwl3TeB6IrCjWFtLp0rmJZ7a4hLJ1YDvBpjLgH6pQIDQm&#10;fQ21hgBk68RfoZRgznjThCNmVGaaRjCeesBuivxDNw8dWJ56QXC8fYXJ/7+w7HZ374ioKzorcFQa&#10;FA7pjgVojSbxCgHqrS/R78Heu0nzKMZuh8ap+I99kCGB+vIKKh8CYXg5K/L5/JgShqbiIp/nCfTs&#10;7bF1PvzgRpEoVNSMyROasLvxAXOi994rpvNGivpaSJkU125W0pEd4IhXqxx/sWh88s5NatJX9PR4&#10;jixggExrJAQUlcXevW4pAdkihVlwKfW7x/4wx/f12fq4+CxHrHENvhtrSRGiG5RKBGS5FKqi57HA&#10;fYVSRytPPJ06jWCP8EYpDJshTeciPYlXG1O/4MicGbnsLbsWmPcGfLgHh+TFBnEhwx0ejTTYtJkk&#10;Sjrjfn92H/2RU2ilpMdlQER+bcFxSuRPjWy7KE5O4vYk5WR+NkPFHVo2hxa9VSuDwyhw9S1LYvQP&#10;ci82zqhn3NtlzIom0Axzj9hPyiqMS4qbz/hymdxwYyyEG/1gWQweoYuIPw7P4OzEnoC0uzX7xYHy&#10;A4NG3/hSm+U2mEYker3hisSJCm5botD0ZYjrfKgnr7fv1+IPAAAA//8DAFBLAwQUAAYACAAAACEA&#10;YApRRNgAAAADAQAADwAAAGRycy9kb3ducmV2LnhtbEyPzU7DMBCE70i8g7VI3KhNgioU4lT8qMdK&#10;0MLdibdJSryObLcJfXoWLnDZ0WpWM9+Wq9kN4oQh9p403C4UCKTG255aDe+79c09iJgMWTN4Qg1f&#10;GGFVXV6UprB+ojc8bVMrOIRiYTR0KY2FlLHp0Jm48CMSe3sfnEm8hlbaYCYOd4PMlFpKZ3rihs6M&#10;+Nxh87k9Og3LzbreHEL+gdl09/r04s5unM9aX1/Njw8gEs7p7xh+8BkdKmaq/ZFsFIMGfiT9Tvby&#10;PANRsyoFsirlf/bqGwAA//8DAFBLAQItABQABgAIAAAAIQC2gziS/gAAAOEBAAATAAAAAAAAAAAA&#10;AAAAAAAAAABbQ29udGVudF9UeXBlc10ueG1sUEsBAi0AFAAGAAgAAAAhADj9If/WAAAAlAEAAAsA&#10;AAAAAAAAAAAAAAAALwEAAF9yZWxzLy5yZWxzUEsBAi0AFAAGAAgAAAAhAJ4juxp+AgAABwUAAA4A&#10;AAAAAAAAAAAAAAAALgIAAGRycy9lMm9Eb2MueG1sUEsBAi0AFAAGAAgAAAAhAGAKUUTYAAAAAwEA&#10;AA8AAAAAAAAAAAAAAAAA2AQAAGRycy9kb3ducmV2LnhtbFBLBQYAAAAABAAEAPMAAADdBQAAAAA=&#10;" fillcolor="#c00" strokecolor="#ed7d31" strokeweight=".5pt">
                      <v:textbox>
                        <w:txbxContent>
                          <w:p w14:paraId="6DA7187E" w14:textId="77777777" w:rsidR="008D2C68" w:rsidRDefault="008D2C68" w:rsidP="00F97B16">
                            <w:pPr>
                              <w:jc w:val="center"/>
                            </w:pPr>
                          </w:p>
                          <w:p w14:paraId="3E637F74" w14:textId="77777777" w:rsidR="008D2C68" w:rsidRDefault="008D2C68" w:rsidP="00F97B16">
                            <w:pPr>
                              <w:jc w:val="center"/>
                            </w:pPr>
                          </w:p>
                        </w:txbxContent>
                      </v:textbox>
                      <w10:anchorlock/>
                    </v:shape>
                  </w:pict>
                </mc:Fallback>
              </mc:AlternateContent>
            </w:r>
          </w:p>
        </w:tc>
        <w:tc>
          <w:tcPr>
            <w:tcW w:w="881" w:type="dxa"/>
            <w:gridSpan w:val="2"/>
            <w:vAlign w:val="center"/>
          </w:tcPr>
          <w:p w14:paraId="1EDF1047" w14:textId="77777777" w:rsidR="00DE508C" w:rsidRPr="00275388" w:rsidRDefault="00DE508C" w:rsidP="00DE508C">
            <w:pPr>
              <w:jc w:val="center"/>
              <w:rPr>
                <w:color w:val="212121"/>
              </w:rPr>
            </w:pPr>
            <w:r w:rsidRPr="00275388">
              <w:rPr>
                <w:noProof/>
              </w:rPr>
              <mc:AlternateContent>
                <mc:Choice Requires="wps">
                  <w:drawing>
                    <wp:inline distT="0" distB="0" distL="0" distR="0" wp14:anchorId="5E15E009" wp14:editId="084099EE">
                      <wp:extent cx="210553" cy="190500"/>
                      <wp:effectExtent l="0" t="0" r="18415" b="19050"/>
                      <wp:docPr id="219" name="Octagon 219"/>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0A1D4B5A" w14:textId="77777777" w:rsidR="008D2C68" w:rsidRDefault="008D2C68" w:rsidP="00F97B16">
                                  <w:pPr>
                                    <w:jc w:val="center"/>
                                  </w:pPr>
                                </w:p>
                                <w:p w14:paraId="20E076BE"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E15E009" id="Octagon 219" o:spid="_x0000_s1121"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wVfQIAAAcFAAAOAAAAZHJzL2Uyb0RvYy54bWysVFtP2zAUfp+0/2D5fSQplNGIFFXtmCYh&#10;QIKJ51PHSSz5Ntttwn79jp0UCuNpWh/cc/O5fP5OLq8GJcmeOy+MrmhxklPCNTO10G1Ffz5ef7mg&#10;xAfQNUijeUWfuadXy8+fLntb8pnpjKy5I5hE+7K3Fe1CsGWWedZxBf7EWK7R2RinIKDq2qx20GN2&#10;JbNZnp9nvXG1dYZx79G6GZ10mfI3DWfhrmk8D0RWFHsL6XTp3MYzW15C2TqwnWBTG/APXSgQGou+&#10;pNpAALJz4q9USjBnvGnCCTMqM00jGE8z4DRF/m6ahw4sT7MgON6+wOT/X1p2u793RNQVnRULSjQo&#10;fKQ7FqA1mkQTAtRbX2Lcg713k+ZRjNMOjVPxH+cgQwL1+QVUPgTC0Dgr8vn8lBKGrmKRz/MEevZ6&#10;2TofvnOjSBQqasbiCU3Y3/iANTH6EBXLeSNFfS2kTIprt2vpyB7widfrHH+xabzyJkxq0lf0/HSO&#10;LGCATGskBBSVxdm9bikB2SKFWXCp9JvL/rjGt83XzWnxUY3Y4wZ8N/aSMsQwKJUIyHIpVEUvYoOH&#10;DqWOXp54Ok0awR7hjVIYtkN6nUUqGE1bUz/jkzkzctlbdi2w7g34cA8OyYsD4kKGOzwaaXBoM0mU&#10;dMb9/sge45FT6KWkx2VARH7twHFK5A+NbFsUZ2dxe5JyNv86Q8Ude7bHHr1Ta4OPUeDqW5bEGB/k&#10;QWycUU+4t6tYFV2gGdYesZ+UdRiXFDef8dUqheHGWAg3+sGymDxCFxF/HJ7A2Yk9AWl3aw6LA+U7&#10;Bo2x8aY2q10wjUj0esUViRMV3LZEoenLENf5WE9Rr9+v5R8AAAD//wMAUEsDBBQABgAIAAAAIQBg&#10;ClFE2AAAAAMBAAAPAAAAZHJzL2Rvd25yZXYueG1sTI/NTsMwEITvSLyDtUjcqE2CKhTiVPyox0rQ&#10;wt2Jt0lKvI5stwl9ehYucNnRalYz35ar2Q3ihCH2njTcLhQIpMbbnloN77v1zT2ImAxZM3hCDV8Y&#10;YVVdXpSmsH6iNzxtUys4hGJhNHQpjYWUsenQmbjwIxJ7ex+cSbyGVtpgJg53g8yUWkpneuKGzoz4&#10;3GHzuT06DcvNut4cQv6B2XT3+vTizm6cz1pfX82PDyASzunvGH7wGR0qZqr9kWwUgwZ+JP1O9vI8&#10;A1GzKgWyKuV/9uobAAD//wMAUEsBAi0AFAAGAAgAAAAhALaDOJL+AAAA4QEAABMAAAAAAAAAAAAA&#10;AAAAAAAAAFtDb250ZW50X1R5cGVzXS54bWxQSwECLQAUAAYACAAAACEAOP0h/9YAAACUAQAACwAA&#10;AAAAAAAAAAAAAAAvAQAAX3JlbHMvLnJlbHNQSwECLQAUAAYACAAAACEATv08FX0CAAAHBQAADgAA&#10;AAAAAAAAAAAAAAAuAgAAZHJzL2Uyb0RvYy54bWxQSwECLQAUAAYACAAAACEAYApRRNgAAAADAQAA&#10;DwAAAAAAAAAAAAAAAADXBAAAZHJzL2Rvd25yZXYueG1sUEsFBgAAAAAEAAQA8wAAANwFAAAAAA==&#10;" fillcolor="#c00" strokecolor="#ed7d31" strokeweight=".5pt">
                      <v:textbox>
                        <w:txbxContent>
                          <w:p w14:paraId="0A1D4B5A" w14:textId="77777777" w:rsidR="008D2C68" w:rsidRDefault="008D2C68" w:rsidP="00F97B16">
                            <w:pPr>
                              <w:jc w:val="center"/>
                            </w:pPr>
                          </w:p>
                          <w:p w14:paraId="20E076BE" w14:textId="77777777" w:rsidR="008D2C68" w:rsidRDefault="008D2C68" w:rsidP="00F97B16">
                            <w:pPr>
                              <w:jc w:val="center"/>
                            </w:pPr>
                          </w:p>
                        </w:txbxContent>
                      </v:textbox>
                      <w10:anchorlock/>
                    </v:shape>
                  </w:pict>
                </mc:Fallback>
              </mc:AlternateContent>
            </w:r>
          </w:p>
        </w:tc>
        <w:tc>
          <w:tcPr>
            <w:tcW w:w="7083" w:type="dxa"/>
            <w:gridSpan w:val="2"/>
          </w:tcPr>
          <w:p w14:paraId="6E802744" w14:textId="2AF50BFD" w:rsidR="00DE508C" w:rsidRPr="00E36AA6" w:rsidRDefault="00DE508C" w:rsidP="00DE508C">
            <w:pPr>
              <w:ind w:left="405"/>
              <w:rPr>
                <w:color w:val="212121"/>
              </w:rPr>
            </w:pPr>
            <w:r>
              <w:rPr>
                <w:color w:val="212121"/>
              </w:rPr>
              <w:t>Administrative p</w:t>
            </w:r>
            <w:r w:rsidRPr="00E36AA6">
              <w:rPr>
                <w:color w:val="212121"/>
              </w:rPr>
              <w:t xml:space="preserve">ersonnel standards </w:t>
            </w:r>
          </w:p>
        </w:tc>
      </w:tr>
      <w:tr w:rsidR="00DE508C" w:rsidRPr="00275388" w14:paraId="06599CBA" w14:textId="77777777" w:rsidTr="00915020">
        <w:tc>
          <w:tcPr>
            <w:tcW w:w="788" w:type="dxa"/>
            <w:vAlign w:val="center"/>
          </w:tcPr>
          <w:p w14:paraId="5AEC5333" w14:textId="77777777" w:rsidR="00DE508C" w:rsidRPr="00275388" w:rsidRDefault="00DE508C" w:rsidP="00DE508C">
            <w:pPr>
              <w:jc w:val="center"/>
              <w:rPr>
                <w:color w:val="212121"/>
              </w:rPr>
            </w:pPr>
            <w:r w:rsidRPr="00275388">
              <w:rPr>
                <w:noProof/>
              </w:rPr>
              <mc:AlternateContent>
                <mc:Choice Requires="wps">
                  <w:drawing>
                    <wp:inline distT="0" distB="0" distL="0" distR="0" wp14:anchorId="315DFF14" wp14:editId="7E0F5DE8">
                      <wp:extent cx="210553" cy="190500"/>
                      <wp:effectExtent l="0" t="0" r="18415" b="19050"/>
                      <wp:docPr id="165" name="Octagon 165"/>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5E380F98" w14:textId="77777777" w:rsidR="008D2C68" w:rsidRDefault="008D2C68" w:rsidP="00F97B16">
                                  <w:pPr>
                                    <w:jc w:val="center"/>
                                  </w:pPr>
                                </w:p>
                                <w:p w14:paraId="27BB1961"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15DFF14" id="Octagon 165" o:spid="_x0000_s1122"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DJjfwIAAAcFAAAOAAAAZHJzL2Uyb0RvYy54bWysVEtv2zAMvg/YfxB0X22nTR9GnSJI1mFA&#10;0RZoi54ZWbYF6DVJid39+lGy06ZdT8NyUEiR4uPjR19eDUqSHXdeGF3R4iinhGtmaqHbij49Xn87&#10;p8QH0DVIo3lFX7inV4uvXy57W/KZ6YysuSMYRPuytxXtQrBllnnWcQX+yFiu0dgYpyCg6tqsdtBj&#10;dCWzWZ6fZr1xtXWGce/xdj0a6SLFbxrOwl3TeB6IrCjWFtLp0rmJZ7a4hLJ1YDvBpjLgH6pQIDQm&#10;fQ21hgBk68RfoZRgznjThCNmVGaaRjCeesBuivxDNw8dWJ56QXC8fYXJ/7+w7HZ374iocXanc0o0&#10;KBzSHQvQGk3iFQLUW1+i34O9d5PmUYzdDo1T8R/7IEMC9eUVVD4EwvByVuTz+TElDE3FRT7PE+jZ&#10;22PrfPjBjSJRqKgZkyc0YXfjA+ZE771XTOeNFPW1kDIprt2spCM7wBGvVjn+YtH45J2b1KSv6Onx&#10;HFnAAJnWSAgoKou9e91SArJFCrPgUup3j/1hju/rs/Vx8VmOWOMafDfWkiJENyiVCMhyKVRFz2OB&#10;+wqljlaeeDp1GsEe4Y1SGDZDms7FLEaKVxtTv+DInBm57C27Fpj3Bny4B4fkxQZxIcMdHo002LSZ&#10;JEo6435/dh/9kVNopaTHZUBEfm3BcUrkT41suyhOTuL2JOVkfjZDxR1aNocWvVUrg8MocPUtS2L0&#10;D3IvNs6oZ9zbZcyKJtAMc4/YT8oqjEuKm8/4cpnccGMshBv9YFkMHqGLiD8Oz+DsxJ6AtLs1+8WB&#10;8gODRt/4UpvlNphGJHq94YrEiQpuW6LQ9GWI63yoJ6+379fiDwAAAP//AwBQSwMEFAAGAAgAAAAh&#10;AGAKUUTYAAAAAwEAAA8AAABkcnMvZG93bnJldi54bWxMj81OwzAQhO9IvIO1SNyoTYIqFOJU/KjH&#10;StDC3Ym3SUq8jmy3CX16Fi5w2dFqVjPflqvZDeKEIfaeNNwuFAikxtueWg3vu/XNPYiYDFkzeEIN&#10;XxhhVV1elKawfqI3PG1TKziEYmE0dCmNhZSx6dCZuPAjEnt7H5xJvIZW2mAmDneDzJRaSmd64obO&#10;jPjcYfO5PToNy8263hxC/oHZdPf69OLObpzPWl9fzY8PIBLO6e8YfvAZHSpmqv2RbBSDBn4k/U72&#10;8jwDUbMqBbIq5X/26hsAAP//AwBQSwECLQAUAAYACAAAACEAtoM4kv4AAADhAQAAEwAAAAAAAAAA&#10;AAAAAAAAAAAAW0NvbnRlbnRfVHlwZXNdLnhtbFBLAQItABQABgAIAAAAIQA4/SH/1gAAAJQBAAAL&#10;AAAAAAAAAAAAAAAAAC8BAABfcmVscy8ucmVsc1BLAQItABQABgAIAAAAIQCXpDJjfwIAAAcFAAAO&#10;AAAAAAAAAAAAAAAAAC4CAABkcnMvZTJvRG9jLnhtbFBLAQItABQABgAIAAAAIQBgClFE2AAAAAMB&#10;AAAPAAAAAAAAAAAAAAAAANkEAABkcnMvZG93bnJldi54bWxQSwUGAAAAAAQABADzAAAA3gUAAAAA&#10;" fillcolor="#c00" strokecolor="#ed7d31" strokeweight=".5pt">
                      <v:textbox>
                        <w:txbxContent>
                          <w:p w14:paraId="5E380F98" w14:textId="77777777" w:rsidR="008D2C68" w:rsidRDefault="008D2C68" w:rsidP="00F97B16">
                            <w:pPr>
                              <w:jc w:val="center"/>
                            </w:pPr>
                          </w:p>
                          <w:p w14:paraId="27BB1961" w14:textId="77777777" w:rsidR="008D2C68" w:rsidRDefault="008D2C68" w:rsidP="00F97B16">
                            <w:pPr>
                              <w:jc w:val="center"/>
                            </w:pPr>
                          </w:p>
                        </w:txbxContent>
                      </v:textbox>
                      <w10:anchorlock/>
                    </v:shape>
                  </w:pict>
                </mc:Fallback>
              </mc:AlternateContent>
            </w:r>
          </w:p>
        </w:tc>
        <w:tc>
          <w:tcPr>
            <w:tcW w:w="1143" w:type="dxa"/>
            <w:gridSpan w:val="2"/>
            <w:vAlign w:val="center"/>
          </w:tcPr>
          <w:p w14:paraId="3740A7B1" w14:textId="77777777" w:rsidR="00DE508C" w:rsidRPr="00275388" w:rsidRDefault="00DE508C" w:rsidP="00DE508C">
            <w:pPr>
              <w:jc w:val="center"/>
              <w:rPr>
                <w:color w:val="212121"/>
              </w:rPr>
            </w:pPr>
            <w:r w:rsidRPr="00275388">
              <w:rPr>
                <w:noProof/>
              </w:rPr>
              <mc:AlternateContent>
                <mc:Choice Requires="wps">
                  <w:drawing>
                    <wp:inline distT="0" distB="0" distL="0" distR="0" wp14:anchorId="2E927D9A" wp14:editId="44E93B36">
                      <wp:extent cx="210553" cy="190500"/>
                      <wp:effectExtent l="0" t="0" r="18415" b="19050"/>
                      <wp:docPr id="166" name="Octagon 166"/>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4FC96BF0" w14:textId="77777777" w:rsidR="008D2C68" w:rsidRDefault="008D2C68" w:rsidP="00F97B16">
                                  <w:pPr>
                                    <w:jc w:val="center"/>
                                  </w:pPr>
                                </w:p>
                                <w:p w14:paraId="7D3EBDE3"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E927D9A" id="Octagon 166" o:spid="_x0000_s1123"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FuzfwIAAAcFAAAOAAAAZHJzL2Uyb0RvYy54bWysVN1P2zAQf5+0/8Hy+0jS0gIVKaraMU1C&#10;gASI56vjJJb8Ndttwv76nZ0UCuNpWh/cO9/5Pn73u1xe9UqSPXdeGF3S4iSnhGtmKqGbkj49Xn87&#10;p8QH0BVIo3lJX7inV8uvXy47u+AT0xpZcUcwiPaLzpa0DcEussyzlivwJ8ZyjcbaOAUBVddklYMO&#10;oyuZTfJ8nnXGVdYZxr3H281gpMsUv645C3d17XkgsqRYW0inS+c2ntnyEhaNA9sKNpYB/1CFAqEx&#10;6WuoDQQgOyf+CqUEc8abOpwwozJT14Lx1AN2U+QfunlowfLUC4Lj7StM/v+FZbf7e0dEhbObzynR&#10;oHBIdyxAYzSJVwhQZ/0C/R7svRs1j2Lstq+div/YB+kTqC+voPI+EIaXkyKfzaaUMDQVF/ksT6Bn&#10;b4+t8+EHN4pEoaRmSJ7QhP2ND5gTvQ9eMZ03UlTXQsqkuGa7lo7sAUe8Xuf4i0Xjk3duUpOupPPp&#10;DFnAAJlWSwgoKou9e91QArJBCrPgUup3j/1xju+bs820+CxHrHEDvh1qSRGiGyyUCMhyKVRJz2OB&#10;hwqljlaeeDp2GsEe4I1S6Ld9ms7FNEaKV1tTveDInBm47C27Fpj3Bny4B4fkxQZxIcMdHrU02LQZ&#10;JUpa435/dh/9kVNopaTDZUBEfu3AcUrkT41suyhOT+P2JOV0djZBxR1btscWvVNrg8MocPUtS2L0&#10;D/Ig1s6oZ9zbVcyKJtAMcw/Yj8o6DEuKm8/4apXccGMshBv9YFkMHqGLiD/2z+DsyJ6AtLs1h8WB&#10;xQcGDb7xpTarXTC1SPR6wxWJExXctkSh8csQ1/lYT15v36/lHwAAAP//AwBQSwMEFAAGAAgAAAAh&#10;AGAKUUTYAAAAAwEAAA8AAABkcnMvZG93bnJldi54bWxMj81OwzAQhO9IvIO1SNyoTYIqFOJU/KjH&#10;StDC3Ym3SUq8jmy3CX16Fi5w2dFqVjPflqvZDeKEIfaeNNwuFAikxtueWg3vu/XNPYiYDFkzeEIN&#10;XxhhVV1elKawfqI3PG1TKziEYmE0dCmNhZSx6dCZuPAjEnt7H5xJvIZW2mAmDneDzJRaSmd64obO&#10;jPjcYfO5PToNy8263hxC/oHZdPf69OLObpzPWl9fzY8PIBLO6e8YfvAZHSpmqv2RbBSDBn4k/U72&#10;8jwDUbMqBbIq5X/26hsAAP//AwBQSwECLQAUAAYACAAAACEAtoM4kv4AAADhAQAAEwAAAAAAAAAA&#10;AAAAAAAAAAAAW0NvbnRlbnRfVHlwZXNdLnhtbFBLAQItABQABgAIAAAAIQA4/SH/1gAAAJQBAAAL&#10;AAAAAAAAAAAAAAAAAC8BAABfcmVscy8ucmVsc1BLAQItABQABgAIAAAAIQAKBFuzfwIAAAcFAAAO&#10;AAAAAAAAAAAAAAAAAC4CAABkcnMvZTJvRG9jLnhtbFBLAQItABQABgAIAAAAIQBgClFE2AAAAAMB&#10;AAAPAAAAAAAAAAAAAAAAANkEAABkcnMvZG93bnJldi54bWxQSwUGAAAAAAQABADzAAAA3gUAAAAA&#10;" fillcolor="#c00" strokecolor="#ed7d31" strokeweight=".5pt">
                      <v:textbox>
                        <w:txbxContent>
                          <w:p w14:paraId="4FC96BF0" w14:textId="77777777" w:rsidR="008D2C68" w:rsidRDefault="008D2C68" w:rsidP="00F97B16">
                            <w:pPr>
                              <w:jc w:val="center"/>
                            </w:pPr>
                          </w:p>
                          <w:p w14:paraId="7D3EBDE3" w14:textId="77777777" w:rsidR="008D2C68" w:rsidRDefault="008D2C68" w:rsidP="00F97B16">
                            <w:pPr>
                              <w:jc w:val="center"/>
                            </w:pPr>
                          </w:p>
                        </w:txbxContent>
                      </v:textbox>
                      <w10:anchorlock/>
                    </v:shape>
                  </w:pict>
                </mc:Fallback>
              </mc:AlternateContent>
            </w:r>
          </w:p>
        </w:tc>
        <w:tc>
          <w:tcPr>
            <w:tcW w:w="881" w:type="dxa"/>
            <w:gridSpan w:val="2"/>
            <w:vAlign w:val="center"/>
          </w:tcPr>
          <w:p w14:paraId="466DF4D0" w14:textId="77777777" w:rsidR="00DE508C" w:rsidRPr="00275388" w:rsidRDefault="00DE508C" w:rsidP="00DE508C">
            <w:pPr>
              <w:jc w:val="center"/>
              <w:rPr>
                <w:color w:val="212121"/>
              </w:rPr>
            </w:pPr>
            <w:r w:rsidRPr="00275388">
              <w:rPr>
                <w:noProof/>
              </w:rPr>
              <mc:AlternateContent>
                <mc:Choice Requires="wps">
                  <w:drawing>
                    <wp:inline distT="0" distB="0" distL="0" distR="0" wp14:anchorId="42915E49" wp14:editId="5DDADDED">
                      <wp:extent cx="210553" cy="190500"/>
                      <wp:effectExtent l="0" t="0" r="18415" b="19050"/>
                      <wp:docPr id="168" name="Octagon 168"/>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6B07964A" w14:textId="77777777" w:rsidR="008D2C68" w:rsidRDefault="008D2C68" w:rsidP="00F97B16">
                                  <w:pPr>
                                    <w:jc w:val="center"/>
                                  </w:pPr>
                                </w:p>
                                <w:p w14:paraId="1D1D7338"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2915E49" id="Octagon 168" o:spid="_x0000_s1124"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djWfgIAAAcFAAAOAAAAZHJzL2Uyb0RvYy54bWysVN1P2zAQf5+0/8Hy+0hSWgYRKaraMU1C&#10;gAQTz1fHSSz5a7bbhP31OzspFMbTtD64d77zffzud7m8GpQke+68MLqixUlOCdfM1EK3Ff35eP3l&#10;nBIfQNcgjeYVfeaeXi0/f7rsbclnpjOy5o5gEO3L3la0C8GWWeZZxxX4E2O5RmNjnIKAqmuz2kGP&#10;0ZXMZnl+lvXG1dYZxr3H281opMsUv2k4C3dN43kgsqJYW0inS+c2ntnyEsrWge0Em8qAf6hCgdCY&#10;9CXUBgKQnRN/hVKCOeNNE06YUZlpGsF46gG7KfJ33Tx0YHnqBcHx9gUm///Cstv9vSOixtmd4ag0&#10;KBzSHQvQGk3iFQLUW1+i34O9d5PmUYzdDo1T8R/7IEMC9fkFVD4EwvByVuSLxSklDE3FRb7IE+jZ&#10;62PrfPjOjSJRqKgZkyc0YX/jA+ZE74NXTOeNFPW1kDIprt2upSN7wBGv1zn+YtH45I2b1KSv6Nnp&#10;AlnAAJnWSAgoKou9e91SArJFCrPgUuo3j/1xjm+br5vT4qMcscYN+G6sJUWIblAqEZDlUqiKnscC&#10;DxVKHa088XTqNII9whulMGyHNJ2LeYwUr7amfsaROTNy2Vt2LTDvDfhwDw7Jiw3iQoY7PBppsGkz&#10;SZR0xv3+6D76I6fQSkmPy4CI/NqB45TIHxrZdlHM53F7kjJffJ2h4o4t22OL3qm1wWEUuPqWJTH6&#10;B3kQG2fUE+7tKmZFE2iGuUfsJ2UdxiXFzWd8tUpuuDEWwo1+sCwGj9BFxB+HJ3B2Yk9A2t2aw+JA&#10;+Y5Bo298qc1qF0wjEr1ecUXiRAW3LVFo+jLEdT7Wk9fr92v5BwAA//8DAFBLAwQUAAYACAAAACEA&#10;YApRRNgAAAADAQAADwAAAGRycy9kb3ducmV2LnhtbEyPzU7DMBCE70i8g7VI3KhNgioU4lT8qMdK&#10;0MLdibdJSryObLcJfXoWLnDZ0WpWM9+Wq9kN4oQh9p403C4UCKTG255aDe+79c09iJgMWTN4Qg1f&#10;GGFVXV6UprB+ojc8bVMrOIRiYTR0KY2FlLHp0Jm48CMSe3sfnEm8hlbaYCYOd4PMlFpKZ3rihs6M&#10;+Nxh87k9Og3LzbreHEL+gdl09/r04s5unM9aX1/Njw8gEs7p7xh+8BkdKmaq/ZFsFIMGfiT9Tvby&#10;PANRsyoFsirlf/bqGwAA//8DAFBLAQItABQABgAIAAAAIQC2gziS/gAAAOEBAAATAAAAAAAAAAAA&#10;AAAAAAAAAABbQ29udGVudF9UeXBlc10ueG1sUEsBAi0AFAAGAAgAAAAhADj9If/WAAAAlAEAAAsA&#10;AAAAAAAAAAAAAAAALwEAAF9yZWxzLy5yZWxzUEsBAi0AFAAGAAgAAAAhAIpV2NZ+AgAABwUAAA4A&#10;AAAAAAAAAAAAAAAALgIAAGRycy9lMm9Eb2MueG1sUEsBAi0AFAAGAAgAAAAhAGAKUUTYAAAAAwEA&#10;AA8AAAAAAAAAAAAAAAAA2AQAAGRycy9kb3ducmV2LnhtbFBLBQYAAAAABAAEAPMAAADdBQAAAAA=&#10;" fillcolor="#c00" strokecolor="#ed7d31" strokeweight=".5pt">
                      <v:textbox>
                        <w:txbxContent>
                          <w:p w14:paraId="6B07964A" w14:textId="77777777" w:rsidR="008D2C68" w:rsidRDefault="008D2C68" w:rsidP="00F97B16">
                            <w:pPr>
                              <w:jc w:val="center"/>
                            </w:pPr>
                          </w:p>
                          <w:p w14:paraId="1D1D7338" w14:textId="77777777" w:rsidR="008D2C68" w:rsidRDefault="008D2C68" w:rsidP="00F97B16">
                            <w:pPr>
                              <w:jc w:val="center"/>
                            </w:pPr>
                          </w:p>
                        </w:txbxContent>
                      </v:textbox>
                      <w10:anchorlock/>
                    </v:shape>
                  </w:pict>
                </mc:Fallback>
              </mc:AlternateContent>
            </w:r>
          </w:p>
        </w:tc>
        <w:tc>
          <w:tcPr>
            <w:tcW w:w="7083" w:type="dxa"/>
            <w:gridSpan w:val="2"/>
          </w:tcPr>
          <w:p w14:paraId="03559C4B" w14:textId="5DC374EA" w:rsidR="00DE508C" w:rsidRPr="00275388" w:rsidRDefault="00DE508C" w:rsidP="00DE508C">
            <w:pPr>
              <w:ind w:left="405"/>
              <w:rPr>
                <w:color w:val="212121"/>
              </w:rPr>
            </w:pPr>
            <w:r w:rsidRPr="00682618">
              <w:rPr>
                <w:color w:val="212121"/>
              </w:rPr>
              <w:t xml:space="preserve">Administrative </w:t>
            </w:r>
            <w:r>
              <w:rPr>
                <w:color w:val="212121"/>
              </w:rPr>
              <w:t>s</w:t>
            </w:r>
            <w:r w:rsidRPr="00682618">
              <w:rPr>
                <w:color w:val="212121"/>
              </w:rPr>
              <w:t xml:space="preserve">ecurity </w:t>
            </w:r>
            <w:r>
              <w:rPr>
                <w:color w:val="212121"/>
              </w:rPr>
              <w:t>b</w:t>
            </w:r>
            <w:r w:rsidRPr="00682618">
              <w:rPr>
                <w:color w:val="212121"/>
              </w:rPr>
              <w:t xml:space="preserve">riefing and </w:t>
            </w:r>
            <w:r>
              <w:rPr>
                <w:color w:val="212121"/>
              </w:rPr>
              <w:t>a</w:t>
            </w:r>
            <w:r w:rsidRPr="00682618">
              <w:rPr>
                <w:color w:val="212121"/>
              </w:rPr>
              <w:t>ccountability</w:t>
            </w:r>
          </w:p>
        </w:tc>
      </w:tr>
      <w:tr w:rsidR="00DE508C" w14:paraId="0C27E847" w14:textId="77777777" w:rsidTr="00915020">
        <w:tc>
          <w:tcPr>
            <w:tcW w:w="788" w:type="dxa"/>
            <w:vAlign w:val="center"/>
          </w:tcPr>
          <w:p w14:paraId="36DE36E1" w14:textId="77777777" w:rsidR="00DE508C" w:rsidRPr="00275388" w:rsidRDefault="00DE508C" w:rsidP="00DE508C">
            <w:pPr>
              <w:jc w:val="center"/>
              <w:rPr>
                <w:noProof/>
              </w:rPr>
            </w:pPr>
            <w:r w:rsidRPr="00275388">
              <w:rPr>
                <w:noProof/>
              </w:rPr>
              <mc:AlternateContent>
                <mc:Choice Requires="wps">
                  <w:drawing>
                    <wp:inline distT="0" distB="0" distL="0" distR="0" wp14:anchorId="3080AAE9" wp14:editId="53297001">
                      <wp:extent cx="210553" cy="190500"/>
                      <wp:effectExtent l="0" t="0" r="18415" b="19050"/>
                      <wp:docPr id="269" name="Octagon 269"/>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0DD9F933" w14:textId="77777777" w:rsidR="008D2C68" w:rsidRDefault="008D2C68" w:rsidP="00F97B16">
                                  <w:pPr>
                                    <w:jc w:val="center"/>
                                  </w:pPr>
                                </w:p>
                                <w:p w14:paraId="7E39C26F"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080AAE9" id="Octagon 269" o:spid="_x0000_s1125"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7i/fgIAAAcFAAAOAAAAZHJzL2Uyb0RvYy54bWysVFtP2zAUfp+0/2D5fSQplNGIFFXtmCYh&#10;QIKJ51PHSSz5Ntttwn79jp0UCuNpWh/cc/O5fP5OLq8GJcmeOy+MrmhxklPCNTO10G1Ffz5ef7mg&#10;xAfQNUijeUWfuadXy8+fLntb8pnpjKy5I5hE+7K3Fe1CsGWWedZxBf7EWK7R2RinIKDq2qx20GN2&#10;JbNZnp9nvXG1dYZx79G6GZ10mfI3DWfhrmk8D0RWFHsL6XTp3MYzW15C2TqwnWBTG/APXSgQGou+&#10;pNpAALJz4q9USjBnvGnCCTMqM00jGE8z4DRF/m6ahw4sT7MgON6+wOT/X1p2u793RNQVnZ0vKNGg&#10;8JHuWIDWaBJNCFBvfYlxD/beTZpHMU47NE7Ff5yDDAnU5xdQ+RAIQ+OsyOfzU0oYuopFPs8T6Nnr&#10;Zet8+M6NIlGoqBmLJzRhf+MD1sToQ1Qs540U9bWQMimu3a6lI3vAJ16vc/zFpvHKmzCpSV/R89M5&#10;soABMq2REFBUFmf3uqUEZIsUZsGl0m8u++Ma3zZfN6fFRzVijxvw3dhLyhDDoFQiIMulUBW9iA0e&#10;OpQ6enni6TRpBHuEN0ph2A7pdRbzmCmatqZ+xidzZuSyt+xaYN0b8OEeHJIXB8SFDHd4NNLg0GaS&#10;KOmM+/2RPcYjp9BLSY/LgIj82oHjlMgfGtm2KM7O4vYk5Wz+dYaKO/Zsjz16p9YGH6PA1bcsiTE+&#10;yIPYOKOecG9XsSq6QDOsPWI/KeswLiluPuOrVQrDjbEQbvSDZTF5hC4i/jg8gbMTewLS7tYcFgfK&#10;dwwaY+NNbVa7YBqR6PWKKxInKrhtiULTlyGu87Geol6/X8s/AAAA//8DAFBLAwQUAAYACAAAACEA&#10;YApRRNgAAAADAQAADwAAAGRycy9kb3ducmV2LnhtbEyPzU7DMBCE70i8g7VI3KhNgioU4lT8qMdK&#10;0MLdibdJSryObLcJfXoWLnDZ0WpWM9+Wq9kN4oQh9p403C4UCKTG255aDe+79c09iJgMWTN4Qg1f&#10;GGFVXV6UprB+ojc8bVMrOIRiYTR0KY2FlLHp0Jm48CMSe3sfnEm8hlbaYCYOd4PMlFpKZ3rihs6M&#10;+Nxh87k9Og3LzbreHEL+gdl09/r04s5unM9aX1/Njw8gEs7p7xh+8BkdKmaq/ZFsFIMGfiT9Tvby&#10;PANRsyoFsirlf/bqGwAA//8DAFBLAQItABQABgAIAAAAIQC2gziS/gAAAOEBAAATAAAAAAAAAAAA&#10;AAAAAAAAAABbQ29udGVudF9UeXBlc10ueG1sUEsBAi0AFAAGAAgAAAAhADj9If/WAAAAlAEAAAsA&#10;AAAAAAAAAAAAAAAALwEAAF9yZWxzLy5yZWxzUEsBAi0AFAAGAAgAAAAhAKnjuL9+AgAABwUAAA4A&#10;AAAAAAAAAAAAAAAALgIAAGRycy9lMm9Eb2MueG1sUEsBAi0AFAAGAAgAAAAhAGAKUUTYAAAAAwEA&#10;AA8AAAAAAAAAAAAAAAAA2AQAAGRycy9kb3ducmV2LnhtbFBLBQYAAAAABAAEAPMAAADdBQAAAAA=&#10;" fillcolor="#c00" strokecolor="#ed7d31" strokeweight=".5pt">
                      <v:textbox>
                        <w:txbxContent>
                          <w:p w14:paraId="0DD9F933" w14:textId="77777777" w:rsidR="008D2C68" w:rsidRDefault="008D2C68" w:rsidP="00F97B16">
                            <w:pPr>
                              <w:jc w:val="center"/>
                            </w:pPr>
                          </w:p>
                          <w:p w14:paraId="7E39C26F" w14:textId="77777777" w:rsidR="008D2C68" w:rsidRDefault="008D2C68" w:rsidP="00F97B16">
                            <w:pPr>
                              <w:jc w:val="center"/>
                            </w:pPr>
                          </w:p>
                        </w:txbxContent>
                      </v:textbox>
                      <w10:anchorlock/>
                    </v:shape>
                  </w:pict>
                </mc:Fallback>
              </mc:AlternateContent>
            </w:r>
          </w:p>
        </w:tc>
        <w:tc>
          <w:tcPr>
            <w:tcW w:w="1143" w:type="dxa"/>
            <w:gridSpan w:val="2"/>
            <w:vAlign w:val="center"/>
          </w:tcPr>
          <w:p w14:paraId="05EC2F22" w14:textId="77777777" w:rsidR="00DE508C" w:rsidRPr="00275388" w:rsidRDefault="00DE508C" w:rsidP="00DE508C">
            <w:pPr>
              <w:jc w:val="center"/>
              <w:rPr>
                <w:noProof/>
              </w:rPr>
            </w:pPr>
            <w:r w:rsidRPr="00275388">
              <w:rPr>
                <w:noProof/>
              </w:rPr>
              <mc:AlternateContent>
                <mc:Choice Requires="wps">
                  <w:drawing>
                    <wp:inline distT="0" distB="0" distL="0" distR="0" wp14:anchorId="77BABB83" wp14:editId="51B89909">
                      <wp:extent cx="210553" cy="190500"/>
                      <wp:effectExtent l="0" t="0" r="18415" b="19050"/>
                      <wp:docPr id="270" name="Octagon 270"/>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08E52346" w14:textId="77777777" w:rsidR="008D2C68" w:rsidRDefault="008D2C68" w:rsidP="00F97B16">
                                  <w:pPr>
                                    <w:jc w:val="center"/>
                                  </w:pPr>
                                </w:p>
                                <w:p w14:paraId="5986ED26"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7BABB83" id="Octagon 270" o:spid="_x0000_s1126"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WRQfQIAAAcFAAAOAAAAZHJzL2Uyb0RvYy54bWysVFtP2zAUfp+0/2D5fSQplEtEiqp2TJMQ&#10;IAHi+dRxEku+zXabsF+/YyeFwnia1gf33Hwun7+Ty6tBSbLjzgujK1oc5ZRwzUwtdFvRp8frb+eU&#10;+AC6Bmk0r+gL9/Rq8fXLZW9LPjOdkTV3BJNoX/a2ol0ItswyzzquwB8ZyzU6G+MUBFRdm9UOesyu&#10;ZDbL89OsN662zjDuPVrXo5MuUv6m4SzcNY3ngciKYm8hnS6dm3hmi0soWwe2E2xqA/6hCwVCY9HX&#10;VGsIQLZO/JVKCeaMN004YkZlpmkE42kGnKbIP0zz0IHlaRYEx9tXmPz/S8tud/eOiLqiszPER4PC&#10;R7pjAVqjSTQhQL31JcY92Hs3aR7FOO3QOBX/cQ4yJFBfXkHlQyAMjbMin8+PKWHoKi7yeZ5yZm+X&#10;rfPhBzeKRKGiZiye0ITdjQ9YE6P3UbGcN1LU10LKpLh2s5KO7ACfeLXK8RebxivvwqQmfUVPj+c4&#10;JQNkWiMhoKgszu51SwnIFinMgkul3132hzW+r8/Wx8VnNWKPa/Dd2EvKEMOgVCIgy6VQFT2PDe47&#10;lDp6eeLpNGkEe4Q3SmHYDOl1Lk5jpmjamPoFn8yZkcvesmuBdW/Ah3twSF4cEBcy3OHRSINDm0mi&#10;pDPu92f2GI+cQi8lPS4DIvJrC45TIn9qZNtFcXIStycpJ/OzGSru0LM59OitWhl8jAJX37Ikxvgg&#10;92LjjHrGvV3GqugCzbD2iP2krMK4pLj5jC+XKQw3xkK40Q+WxeQRuoj44/AMzk7sCUi7W7NfHCg/&#10;MGiMjTe1WW6DaUSi1xuuSJyo4LYlCk1fhrjOh3qKevt+Lf4AAAD//wMAUEsDBBQABgAIAAAAIQBg&#10;ClFE2AAAAAMBAAAPAAAAZHJzL2Rvd25yZXYueG1sTI/NTsMwEITvSLyDtUjcqE2CKhTiVPyox0rQ&#10;wt2Jt0lKvI5stwl9ehYucNnRalYz35ar2Q3ihCH2njTcLhQIpMbbnloN77v1zT2ImAxZM3hCDV8Y&#10;YVVdXpSmsH6iNzxtUys4hGJhNHQpjYWUsenQmbjwIxJ7ex+cSbyGVtpgJg53g8yUWkpneuKGzoz4&#10;3GHzuT06DcvNut4cQv6B2XT3+vTizm6cz1pfX82PDyASzunvGH7wGR0qZqr9kWwUgwZ+JP1O9vI8&#10;A1GzKgWyKuV/9uobAAD//wMAUEsBAi0AFAAGAAgAAAAhALaDOJL+AAAA4QEAABMAAAAAAAAAAAAA&#10;AAAAAAAAAFtDb250ZW50X1R5cGVzXS54bWxQSwECLQAUAAYACAAAACEAOP0h/9YAAACUAQAACwAA&#10;AAAAAAAAAAAAAAAvAQAAX3JlbHMvLnJlbHNQSwECLQAUAAYACAAAACEAq+FkUH0CAAAHBQAADgAA&#10;AAAAAAAAAAAAAAAuAgAAZHJzL2Uyb0RvYy54bWxQSwECLQAUAAYACAAAACEAYApRRNgAAAADAQAA&#10;DwAAAAAAAAAAAAAAAADXBAAAZHJzL2Rvd25yZXYueG1sUEsFBgAAAAAEAAQA8wAAANwFAAAAAA==&#10;" fillcolor="#c00" strokecolor="#ed7d31" strokeweight=".5pt">
                      <v:textbox>
                        <w:txbxContent>
                          <w:p w14:paraId="08E52346" w14:textId="77777777" w:rsidR="008D2C68" w:rsidRDefault="008D2C68" w:rsidP="00F97B16">
                            <w:pPr>
                              <w:jc w:val="center"/>
                            </w:pPr>
                          </w:p>
                          <w:p w14:paraId="5986ED26" w14:textId="77777777" w:rsidR="008D2C68" w:rsidRDefault="008D2C68" w:rsidP="00F97B16">
                            <w:pPr>
                              <w:jc w:val="center"/>
                            </w:pPr>
                          </w:p>
                        </w:txbxContent>
                      </v:textbox>
                      <w10:anchorlock/>
                    </v:shape>
                  </w:pict>
                </mc:Fallback>
              </mc:AlternateContent>
            </w:r>
          </w:p>
        </w:tc>
        <w:tc>
          <w:tcPr>
            <w:tcW w:w="881" w:type="dxa"/>
            <w:gridSpan w:val="2"/>
            <w:vAlign w:val="center"/>
          </w:tcPr>
          <w:p w14:paraId="50D8D336" w14:textId="77777777" w:rsidR="00DE508C" w:rsidRPr="00275388" w:rsidRDefault="00DE508C" w:rsidP="00DE508C">
            <w:pPr>
              <w:jc w:val="center"/>
              <w:rPr>
                <w:noProof/>
              </w:rPr>
            </w:pPr>
            <w:r w:rsidRPr="00275388">
              <w:rPr>
                <w:noProof/>
              </w:rPr>
              <mc:AlternateContent>
                <mc:Choice Requires="wps">
                  <w:drawing>
                    <wp:inline distT="0" distB="0" distL="0" distR="0" wp14:anchorId="31D3BF45" wp14:editId="235D7B1B">
                      <wp:extent cx="210553" cy="190500"/>
                      <wp:effectExtent l="0" t="0" r="18415" b="19050"/>
                      <wp:docPr id="271" name="Octagon 271"/>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2844B7E7" w14:textId="77777777" w:rsidR="008D2C68" w:rsidRDefault="008D2C68" w:rsidP="00F97B16">
                                  <w:pPr>
                                    <w:jc w:val="center"/>
                                  </w:pPr>
                                </w:p>
                                <w:p w14:paraId="6F4FDE60"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1D3BF45" id="Octagon 271" o:spid="_x0000_s1127"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NfgAIAAAcFAAAOAAAAZHJzL2Uyb0RvYy54bWysVN9P2zAQfp+0/8Hy+0haKIWKFFXtmCYh&#10;QIKJZ9exE0u2z7PdJuyv39lJobA9TeuDe+c734/vvsvVdW802QsfFNiKTk5KSoTlUCvbVPTH082X&#10;C0pCZLZmGqyo6IsI9Hr5+dNV5xZiCi3oWniCQWxYdK6ibYxuURSBt8KwcAJOWDRK8IZFVH1T1J51&#10;GN3oYlqW50UHvnYeuAgBbzeDkS5zfCkFj/dSBhGJrijWFvPp87lNZ7G8YovGM9cqPpbB/qEKw5TF&#10;pK+hNiwysvPqj1BGcQ8BZDzhYAqQUnGRe8BuJuWHbh5b5kTuBcEJ7hWm8P/C8rv9gyeqruh0PqHE&#10;MoNDuueRNWBJukKAOhcW6PfoHvyoBRRTt730Jv1jH6TPoL68gir6SDheTiflbHZKCUfT5LKclRn0&#10;4u2x8yF+E2BIEioKQ/KMJtvfhog50fvgldIF0Kq+UVpnxTfbtfZkz3DE63WJv1Q0Pnnnpi3pKnp+&#10;OkMWcIZMk5pFFI3D3oNtKGG6QQrz6HPqd4/DcY6vm/nmNAPzMUeqccNCO9SSIwwEMyoiy7UyFb1I&#10;BR4q1DZ1IDJPx04T2AO8SYr9ts/TuZwfJrGF+gVH5mHgcnD8RmHeWxbiA/NIXmwQFzLe4yE1YNMw&#10;SpS04H/97T75I6fQSkmHy4CI/NwxLyjR3y2y7XJydpa2Jytns/kUFX9s2R5b7M6sAYeBfMLqspj8&#10;oz6I0oN5xr1dpaxoYpZj7gH7UVnHYUlx87lYrbIbboxj8dY+Op6CJ+gS4k/9M/NuZE9E2t3BYXHY&#10;4gODBt/00sJqF0GqTK8E9YArEicpuG2ZQuOXIa3zsZ693r5fy98AAAD//wMAUEsDBBQABgAIAAAA&#10;IQBgClFE2AAAAAMBAAAPAAAAZHJzL2Rvd25yZXYueG1sTI/NTsMwEITvSLyDtUjcqE2CKhTiVPyo&#10;x0rQwt2Jt0lKvI5stwl9ehYucNnRalYz35ar2Q3ihCH2njTcLhQIpMbbnloN77v1zT2ImAxZM3hC&#10;DV8YYVVdXpSmsH6iNzxtUys4hGJhNHQpjYWUsenQmbjwIxJ7ex+cSbyGVtpgJg53g8yUWkpneuKG&#10;zoz43GHzuT06DcvNut4cQv6B2XT3+vTizm6cz1pfX82PDyASzunvGH7wGR0qZqr9kWwUgwZ+JP1O&#10;9vI8A1GzKgWyKuV/9uobAAD//wMAUEsBAi0AFAAGAAgAAAAhALaDOJL+AAAA4QEAABMAAAAAAAAA&#10;AAAAAAAAAAAAAFtDb250ZW50X1R5cGVzXS54bWxQSwECLQAUAAYACAAAACEAOP0h/9YAAACUAQAA&#10;CwAAAAAAAAAAAAAAAAAvAQAAX3JlbHMvLnJlbHNQSwECLQAUAAYACAAAACEAez/jX4ACAAAHBQAA&#10;DgAAAAAAAAAAAAAAAAAuAgAAZHJzL2Uyb0RvYy54bWxQSwECLQAUAAYACAAAACEAYApRRNgAAAAD&#10;AQAADwAAAAAAAAAAAAAAAADaBAAAZHJzL2Rvd25yZXYueG1sUEsFBgAAAAAEAAQA8wAAAN8FAAAA&#10;AA==&#10;" fillcolor="#c00" strokecolor="#ed7d31" strokeweight=".5pt">
                      <v:textbox>
                        <w:txbxContent>
                          <w:p w14:paraId="2844B7E7" w14:textId="77777777" w:rsidR="008D2C68" w:rsidRDefault="008D2C68" w:rsidP="00F97B16">
                            <w:pPr>
                              <w:jc w:val="center"/>
                            </w:pPr>
                          </w:p>
                          <w:p w14:paraId="6F4FDE60" w14:textId="77777777" w:rsidR="008D2C68" w:rsidRDefault="008D2C68" w:rsidP="00F97B16">
                            <w:pPr>
                              <w:jc w:val="center"/>
                            </w:pPr>
                          </w:p>
                        </w:txbxContent>
                      </v:textbox>
                      <w10:anchorlock/>
                    </v:shape>
                  </w:pict>
                </mc:Fallback>
              </mc:AlternateContent>
            </w:r>
          </w:p>
        </w:tc>
        <w:tc>
          <w:tcPr>
            <w:tcW w:w="7083" w:type="dxa"/>
            <w:gridSpan w:val="2"/>
          </w:tcPr>
          <w:p w14:paraId="292BB0BC" w14:textId="0EC793E1" w:rsidR="00DE508C" w:rsidRPr="00E36AA6" w:rsidRDefault="00DE508C" w:rsidP="00DE508C">
            <w:pPr>
              <w:ind w:left="405"/>
              <w:rPr>
                <w:color w:val="212121"/>
              </w:rPr>
            </w:pPr>
            <w:r w:rsidRPr="00DC3E19">
              <w:rPr>
                <w:color w:val="212121"/>
              </w:rPr>
              <w:t xml:space="preserve">Provisioning and </w:t>
            </w:r>
            <w:r>
              <w:rPr>
                <w:color w:val="212121"/>
              </w:rPr>
              <w:t>d</w:t>
            </w:r>
            <w:r w:rsidRPr="00DC3E19">
              <w:rPr>
                <w:color w:val="212121"/>
              </w:rPr>
              <w:t>e</w:t>
            </w:r>
            <w:r>
              <w:rPr>
                <w:color w:val="212121"/>
              </w:rPr>
              <w:t>-</w:t>
            </w:r>
            <w:r w:rsidRPr="00DC3E19">
              <w:rPr>
                <w:color w:val="212121"/>
              </w:rPr>
              <w:t xml:space="preserve">provisioning </w:t>
            </w:r>
            <w:r>
              <w:rPr>
                <w:color w:val="212121"/>
              </w:rPr>
              <w:t>p</w:t>
            </w:r>
            <w:r w:rsidRPr="00DC3E19">
              <w:rPr>
                <w:color w:val="212121"/>
              </w:rPr>
              <w:t>rocesses for administrative accounts</w:t>
            </w:r>
          </w:p>
        </w:tc>
      </w:tr>
      <w:tr w:rsidR="00F97B16" w:rsidRPr="00275388" w14:paraId="54002DDD" w14:textId="77777777" w:rsidTr="00915020">
        <w:tc>
          <w:tcPr>
            <w:tcW w:w="788" w:type="dxa"/>
            <w:shd w:val="clear" w:color="auto" w:fill="BFBFBF" w:themeFill="background1" w:themeFillShade="BF"/>
            <w:vAlign w:val="center"/>
          </w:tcPr>
          <w:p w14:paraId="7206A64F" w14:textId="77777777" w:rsidR="00F97B16" w:rsidRPr="00275388" w:rsidRDefault="00F97B16" w:rsidP="00915020">
            <w:pPr>
              <w:jc w:val="center"/>
              <w:rPr>
                <w:color w:val="212121"/>
              </w:rPr>
            </w:pPr>
          </w:p>
        </w:tc>
        <w:tc>
          <w:tcPr>
            <w:tcW w:w="1143" w:type="dxa"/>
            <w:gridSpan w:val="2"/>
            <w:shd w:val="clear" w:color="auto" w:fill="BFBFBF" w:themeFill="background1" w:themeFillShade="BF"/>
            <w:vAlign w:val="center"/>
          </w:tcPr>
          <w:p w14:paraId="04271F96" w14:textId="77777777" w:rsidR="00F97B16" w:rsidRPr="00275388" w:rsidRDefault="00F97B16" w:rsidP="00915020">
            <w:pPr>
              <w:jc w:val="center"/>
              <w:rPr>
                <w:color w:val="212121"/>
              </w:rPr>
            </w:pPr>
          </w:p>
        </w:tc>
        <w:tc>
          <w:tcPr>
            <w:tcW w:w="881" w:type="dxa"/>
            <w:gridSpan w:val="2"/>
            <w:shd w:val="clear" w:color="auto" w:fill="BFBFBF" w:themeFill="background1" w:themeFillShade="BF"/>
            <w:vAlign w:val="center"/>
          </w:tcPr>
          <w:p w14:paraId="6BF36CC5" w14:textId="77777777" w:rsidR="00F97B16" w:rsidRPr="00275388" w:rsidRDefault="00F97B16" w:rsidP="00915020">
            <w:pPr>
              <w:jc w:val="center"/>
              <w:rPr>
                <w:color w:val="212121"/>
              </w:rPr>
            </w:pPr>
          </w:p>
        </w:tc>
        <w:tc>
          <w:tcPr>
            <w:tcW w:w="7083" w:type="dxa"/>
            <w:gridSpan w:val="2"/>
            <w:shd w:val="clear" w:color="auto" w:fill="BFBFBF" w:themeFill="background1" w:themeFillShade="BF"/>
          </w:tcPr>
          <w:p w14:paraId="74A0B301" w14:textId="77777777" w:rsidR="00F97B16" w:rsidRPr="00406968" w:rsidRDefault="00F97B16" w:rsidP="00915020">
            <w:pPr>
              <w:rPr>
                <w:b/>
                <w:color w:val="FFFFFF" w:themeColor="background1"/>
              </w:rPr>
            </w:pPr>
            <w:r>
              <w:rPr>
                <w:b/>
                <w:color w:val="FFFFFF" w:themeColor="background1"/>
              </w:rPr>
              <w:t xml:space="preserve">Operationalize </w:t>
            </w:r>
            <w:r w:rsidRPr="00406968">
              <w:rPr>
                <w:b/>
                <w:color w:val="FFFFFF" w:themeColor="background1"/>
              </w:rPr>
              <w:t>Least Privilege</w:t>
            </w:r>
          </w:p>
        </w:tc>
      </w:tr>
      <w:tr w:rsidR="00F97B16" w:rsidRPr="0033450A" w14:paraId="34C7632F" w14:textId="77777777" w:rsidTr="00915020">
        <w:tc>
          <w:tcPr>
            <w:tcW w:w="788" w:type="dxa"/>
            <w:vAlign w:val="center"/>
          </w:tcPr>
          <w:p w14:paraId="25EC64E8" w14:textId="77777777" w:rsidR="00F97B16" w:rsidRPr="0033450A" w:rsidRDefault="00F97B16" w:rsidP="00915020">
            <w:pPr>
              <w:jc w:val="center"/>
              <w:rPr>
                <w:color w:val="212121"/>
              </w:rPr>
            </w:pPr>
            <w:r w:rsidRPr="0033450A">
              <w:rPr>
                <w:noProof/>
              </w:rPr>
              <mc:AlternateContent>
                <mc:Choice Requires="wps">
                  <w:drawing>
                    <wp:inline distT="0" distB="0" distL="0" distR="0" wp14:anchorId="544887C2" wp14:editId="7D8D0C38">
                      <wp:extent cx="210553" cy="190500"/>
                      <wp:effectExtent l="0" t="0" r="18415" b="19050"/>
                      <wp:docPr id="161" name="Octagon 161"/>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6612F153" w14:textId="77777777" w:rsidR="008D2C68" w:rsidRDefault="008D2C68" w:rsidP="00F97B16">
                                  <w:pPr>
                                    <w:jc w:val="center"/>
                                  </w:pPr>
                                </w:p>
                                <w:p w14:paraId="7FC0DF14"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44887C2" id="Octagon 161" o:spid="_x0000_s1128"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htyfwIAAAcFAAAOAAAAZHJzL2Uyb0RvYy54bWysVEtv2zAMvg/YfxB0X+2kTR9BnSJI1mFA&#10;0RRoh54ZWbIF6DVJid39+lGy06bdTsNyUEiR4uPjR1/f9FqRPfdBWlPRyUlJCTfM1tI0Ff3xdPvl&#10;kpIQwdSgrOEVfeGB3iw+f7ru3JxPbWtVzT3BICbMO1fRNkY3L4rAWq4hnFjHDRqF9Roiqr4pag8d&#10;RteqmJbledFZXztvGQ8Bb9eDkS5yfCE4ixshAo9EVRRri/n0+dyms1hcw7zx4FrJxjLgH6rQIA0m&#10;fQ21hghk5+UfobRk3gYr4gmzurBCSMZzD9jNpPzQzWMLjudeEJzgXmEK/y8su98/eCJrnN35hBID&#10;Goe0YREaa0i6QoA6F+bo9+ge/KgFFFO3vfA6/WMfpM+gvryCyvtIGF5OJ+VsdkoJQ9PkqpyVGfTi&#10;7bHzIX7jVpMkVNQOyTOasL8LEXOi98ErpQtWyfpWKpUV32xXypM94IhXqxJ/qWh88s5NGdJV9Px0&#10;hixggEwTCiKK2mHvwTSUgGqQwiz6nPrd43Cc4+v6Yn2agfmYI9W4htAOteQIA8G0jMhyJXVFL1OB&#10;hwqVSR3wzNOx0wT2AG+SYr/t83SuLg+T2Nr6BUfm7cDl4NitxLx3EOIDeCQvNogLGTd4CGWxaTtK&#10;lLTW//rbffJHTqGVkg6XARH5uQPPKVHfDbLtanJ2lrYnK2eziykq/tiyPbaYnV5ZHAbyCavLYvKP&#10;6iAKb/Uz7u0yZUUTGIa5B+xHZRWHJcXNZ3y5zG64MQ7inXl0LAVP0CXEn/pn8G5kT0Ta3dvD4sD8&#10;A4MG3/TS2OUuWiEzvRLUA65InKTgtmUKjV+GtM7HevZ6+34tfgMAAP//AwBQSwMEFAAGAAgAAAAh&#10;AGAKUUTYAAAAAwEAAA8AAABkcnMvZG93bnJldi54bWxMj81OwzAQhO9IvIO1SNyoTYIqFOJU/KjH&#10;StDC3Ym3SUq8jmy3CX16Fi5w2dFqVjPflqvZDeKEIfaeNNwuFAikxtueWg3vu/XNPYiYDFkzeEIN&#10;XxhhVV1elKawfqI3PG1TKziEYmE0dCmNhZSx6dCZuPAjEnt7H5xJvIZW2mAmDneDzJRaSmd64obO&#10;jPjcYfO5PToNy8263hxC/oHZdPf69OLObpzPWl9fzY8PIBLO6e8YfvAZHSpmqv2RbBSDBn4k/U72&#10;8jwDUbMqBbIq5X/26hsAAP//AwBQSwECLQAUAAYACAAAACEAtoM4kv4AAADhAQAAEwAAAAAAAAAA&#10;AAAAAAAAAAAAW0NvbnRlbnRfVHlwZXNdLnhtbFBLAQItABQABgAIAAAAIQA4/SH/1gAAAJQBAAAL&#10;AAAAAAAAAAAAAAAAAC8BAABfcmVscy8ucmVsc1BLAQItABQABgAIAAAAIQCXnhtyfwIAAAcFAAAO&#10;AAAAAAAAAAAAAAAAAC4CAABkcnMvZTJvRG9jLnhtbFBLAQItABQABgAIAAAAIQBgClFE2AAAAAMB&#10;AAAPAAAAAAAAAAAAAAAAANkEAABkcnMvZG93bnJldi54bWxQSwUGAAAAAAQABADzAAAA3gUAAAAA&#10;" fillcolor="#c00" strokecolor="#ed7d31" strokeweight=".5pt">
                      <v:textbox>
                        <w:txbxContent>
                          <w:p w14:paraId="6612F153" w14:textId="77777777" w:rsidR="008D2C68" w:rsidRDefault="008D2C68" w:rsidP="00F97B16">
                            <w:pPr>
                              <w:jc w:val="center"/>
                            </w:pPr>
                          </w:p>
                          <w:p w14:paraId="7FC0DF14" w14:textId="77777777" w:rsidR="008D2C68" w:rsidRDefault="008D2C68" w:rsidP="00F97B16">
                            <w:pPr>
                              <w:jc w:val="center"/>
                            </w:pPr>
                          </w:p>
                        </w:txbxContent>
                      </v:textbox>
                      <w10:anchorlock/>
                    </v:shape>
                  </w:pict>
                </mc:Fallback>
              </mc:AlternateContent>
            </w:r>
          </w:p>
        </w:tc>
        <w:tc>
          <w:tcPr>
            <w:tcW w:w="1143" w:type="dxa"/>
            <w:gridSpan w:val="2"/>
            <w:vAlign w:val="center"/>
          </w:tcPr>
          <w:p w14:paraId="78E7E827" w14:textId="77777777" w:rsidR="00F97B16" w:rsidRPr="0033450A" w:rsidRDefault="00F97B16" w:rsidP="00915020">
            <w:pPr>
              <w:jc w:val="center"/>
              <w:rPr>
                <w:color w:val="212121"/>
              </w:rPr>
            </w:pPr>
            <w:r w:rsidRPr="0033450A">
              <w:rPr>
                <w:noProof/>
              </w:rPr>
              <mc:AlternateContent>
                <mc:Choice Requires="wps">
                  <w:drawing>
                    <wp:inline distT="0" distB="0" distL="0" distR="0" wp14:anchorId="271AAC04" wp14:editId="4545F00B">
                      <wp:extent cx="210553" cy="190500"/>
                      <wp:effectExtent l="0" t="0" r="18415" b="19050"/>
                      <wp:docPr id="108" name="Octagon 108"/>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253B11FB" w14:textId="77777777" w:rsidR="008D2C68" w:rsidRDefault="008D2C68" w:rsidP="00F97B16">
                                  <w:pPr>
                                    <w:jc w:val="center"/>
                                  </w:pPr>
                                </w:p>
                                <w:p w14:paraId="662D8CA5"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71AAC04" id="Octagon 108" o:spid="_x0000_s1129"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BCtfgIAAAcFAAAOAAAAZHJzL2Uyb0RvYy54bWysVN1P2zAQf5+0/8Hy+0hSKKMRKaraMU1C&#10;gAQTz1fHSSz5a7bbhP31OzspFMbTtD64d77zffzud7m8GpQke+68MLqixUlOCdfM1EK3Ff35eP3l&#10;ghIfQNcgjeYVfeaeXi0/f7rsbclnpjOy5o5gEO3L3la0C8GWWeZZxxX4E2O5RmNjnIKAqmuz2kGP&#10;0ZXMZnl+nvXG1dYZxr3H281opMsUv2k4C3dN43kgsqJYW0inS+c2ntnyEsrWge0Em8qAf6hCgdCY&#10;9CXUBgKQnRN/hVKCOeNNE06YUZlpGsF46gG7KfJ33Tx0YHnqBcHx9gUm///Cstv9vSOixtnlOCoN&#10;Cod0xwK0RpN4hQD11pfo92Dv3aR5FGO3Q+NU/Mc+yJBAfX4BlQ+BMLycFfl8fkoJQ1OxyOd5Aj17&#10;fWydD9+5USQKFTVj8oQm7G98wJzoffCK6byRor4WUibFtdu1dGQPOOL1OsdfLBqfvHGTmvQVPT+d&#10;IwsYINMaCQFFZbF3r1tKQLZIYRZcSv3msT/O8W3zdXNafJQj1rgB3421pAjRDUolArJcClXRi1jg&#10;oUKpo5Unnk6dRrBHeKMUhu2QprNYxEjxamvqZxyZMyOXvWXXAvPegA/34JC82CAuZLjDo5EGmzaT&#10;REln3O+P7qM/cgqtlPS4DIjIrx04Ton8oZFti+LsLG5PUs7mX2eouGPL9tiid2ptcBgFrr5lSYz+&#10;QR7Exhn1hHu7ilnRBJph7hH7SVmHcUlx8xlfrZIbboyFcKMfLIvBI3QR8cfhCZyd2BOQdrfmsDhQ&#10;vmPQ6BtfarPaBdOIRK9XXJE4UcFtSxSavgxxnY/15PX6/Vr+AQAA//8DAFBLAwQUAAYACAAAACEA&#10;YApRRNgAAAADAQAADwAAAGRycy9kb3ducmV2LnhtbEyPzU7DMBCE70i8g7VI3KhNgioU4lT8qMdK&#10;0MLdibdJSryObLcJfXoWLnDZ0WpWM9+Wq9kN4oQh9p403C4UCKTG255aDe+79c09iJgMWTN4Qg1f&#10;GGFVXV6UprB+ojc8bVMrOIRiYTR0KY2FlLHp0Jm48CMSe3sfnEm8hlbaYCYOd4PMlFpKZ3rihs6M&#10;+Nxh87k9Og3LzbreHEL+gdl09/r04s5unM9aX1/Njw8gEs7p7xh+8BkdKmaq/ZFsFIMGfiT9Tvby&#10;PANRsyoFsirlf/bqGwAA//8DAFBLAQItABQABgAIAAAAIQC2gziS/gAAAOEBAAATAAAAAAAAAAAA&#10;AAAAAAAAAABbQ29udGVudF9UeXBlc10ueG1sUEsBAi0AFAAGAAgAAAAhADj9If/WAAAAlAEAAAsA&#10;AAAAAAAAAAAAAAAALwEAAF9yZWxzLy5yZWxzUEsBAi0AFAAGAAgAAAAhAATAEK1+AgAABwUAAA4A&#10;AAAAAAAAAAAAAAAALgIAAGRycy9lMm9Eb2MueG1sUEsBAi0AFAAGAAgAAAAhAGAKUUTYAAAAAwEA&#10;AA8AAAAAAAAAAAAAAAAA2AQAAGRycy9kb3ducmV2LnhtbFBLBQYAAAAABAAEAPMAAADdBQAAAAA=&#10;" fillcolor="#c00" strokecolor="#ed7d31" strokeweight=".5pt">
                      <v:textbox>
                        <w:txbxContent>
                          <w:p w14:paraId="253B11FB" w14:textId="77777777" w:rsidR="008D2C68" w:rsidRDefault="008D2C68" w:rsidP="00F97B16">
                            <w:pPr>
                              <w:jc w:val="center"/>
                            </w:pPr>
                          </w:p>
                          <w:p w14:paraId="662D8CA5" w14:textId="77777777" w:rsidR="008D2C68" w:rsidRDefault="008D2C68" w:rsidP="00F97B16">
                            <w:pPr>
                              <w:jc w:val="center"/>
                            </w:pPr>
                          </w:p>
                        </w:txbxContent>
                      </v:textbox>
                      <w10:anchorlock/>
                    </v:shape>
                  </w:pict>
                </mc:Fallback>
              </mc:AlternateContent>
            </w:r>
          </w:p>
        </w:tc>
        <w:tc>
          <w:tcPr>
            <w:tcW w:w="881" w:type="dxa"/>
            <w:gridSpan w:val="2"/>
            <w:vAlign w:val="center"/>
          </w:tcPr>
          <w:p w14:paraId="73C21222" w14:textId="77777777" w:rsidR="00F97B16" w:rsidRPr="0033450A" w:rsidRDefault="00F97B16" w:rsidP="00915020">
            <w:pPr>
              <w:jc w:val="center"/>
              <w:rPr>
                <w:color w:val="212121"/>
              </w:rPr>
            </w:pPr>
            <w:r w:rsidRPr="0033450A">
              <w:rPr>
                <w:noProof/>
              </w:rPr>
              <mc:AlternateContent>
                <mc:Choice Requires="wps">
                  <w:drawing>
                    <wp:inline distT="0" distB="0" distL="0" distR="0" wp14:anchorId="2716A0A0" wp14:editId="2A1CF0AB">
                      <wp:extent cx="210553" cy="190500"/>
                      <wp:effectExtent l="0" t="0" r="18415" b="19050"/>
                      <wp:docPr id="109" name="Octagon 109"/>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7C797433" w14:textId="77777777" w:rsidR="008D2C68" w:rsidRDefault="008D2C68" w:rsidP="00F97B16">
                                  <w:pPr>
                                    <w:jc w:val="center"/>
                                  </w:pPr>
                                </w:p>
                                <w:p w14:paraId="5A6BB5B2"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716A0A0" id="Octagon 109" o:spid="_x0000_s1130"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ZIfQIAAAgFAAAOAAAAZHJzL2Uyb0RvYy54bWysVEtv2zAMvg/YfxB0X22nTR9GnSJI1mFA&#10;0RZoi54ZWbYF6DVJid39+lGy06ZdT8NyUEiR4uPjR19eDUqSHXdeGF3R4iinhGtmaqHbij49Xn87&#10;p8QH0DVIo3lFX7inV4uvXy57W/KZ6YysuSMYRPuytxXtQrBllnnWcQX+yFiu0dgYpyCg6tqsdtBj&#10;dCWzWZ6fZr1xtXWGce/xdj0a6SLFbxrOwl3TeB6IrCjWFtLp0rmJZ7a4hLJ1YDvBpjLgH6pQIDQm&#10;fQ21hgBk68RfoZRgznjThCNmVGaaRjCeesBuivxDNw8dWJ56QXC8fYXJ/7+w7HZ374iocXb5BSUa&#10;FA7pjgVojSbxCgHqrS/R78Heu0nzKMZuh8ap+I99kCGB+vIKKh8CYXg5K/L5/JgShqbiIp/nCfTs&#10;7bF1PvzgRpEoVNSMyROasLvxAXOi994rpvNGivpaSJkU125W0pEd4IhXqxx/sWh88s5NatJX9PR4&#10;jixggExrJAQUlcXevW4pAdkihVlwKfW7x/4wx/f12fq4+CxHrHENvhtrSRGiG5RKBGS5FKqi57HA&#10;fYVSRytPPJ06jWCP8EYpDJthmk56E+82pn7BmTkzktlbdi0w8Q34cA8O2Ysd4kaGOzwaabBrM0mU&#10;dMb9/uw++iOp0EpJj9uAkPzaguOUyJ8a6XZRnJzE9UnKyfxshoo7tGwOLXqrVganUeDuW5bE6B/k&#10;XmycUc+4uMuYFU2gGeYewZ+UVRi3FFef8eUyueHKWAg3+sGyGDxiFyF/HJ7B2Yk+AXl3a/abA+UH&#10;Co2+8aU2y20wjUj8esMVmRMVXLfEoenTEPf5UE9ebx+wxR8AAAD//wMAUEsDBBQABgAIAAAAIQBg&#10;ClFE2AAAAAMBAAAPAAAAZHJzL2Rvd25yZXYueG1sTI/NTsMwEITvSLyDtUjcqE2CKhTiVPyox0rQ&#10;wt2Jt0lKvI5stwl9ehYucNnRalYz35ar2Q3ihCH2njTcLhQIpMbbnloN77v1zT2ImAxZM3hCDV8Y&#10;YVVdXpSmsH6iNzxtUys4hGJhNHQpjYWUsenQmbjwIxJ7ex+cSbyGVtpgJg53g8yUWkpneuKGzoz4&#10;3GHzuT06DcvNut4cQv6B2XT3+vTizm6cz1pfX82PDyASzunvGH7wGR0qZqr9kWwUgwZ+JP1O9vI8&#10;A1GzKgWyKuV/9uobAAD//wMAUEsBAi0AFAAGAAgAAAAhALaDOJL+AAAA4QEAABMAAAAAAAAAAAAA&#10;AAAAAAAAAFtDb250ZW50X1R5cGVzXS54bWxQSwECLQAUAAYACAAAACEAOP0h/9YAAACUAQAACwAA&#10;AAAAAAAAAAAAAAAvAQAAX3JlbHMvLnJlbHNQSwECLQAUAAYACAAAACEAI/p2SH0CAAAIBQAADgAA&#10;AAAAAAAAAAAAAAAuAgAAZHJzL2Uyb0RvYy54bWxQSwECLQAUAAYACAAAACEAYApRRNgAAAADAQAA&#10;DwAAAAAAAAAAAAAAAADXBAAAZHJzL2Rvd25yZXYueG1sUEsFBgAAAAAEAAQA8wAAANwFAAAAAA==&#10;" fillcolor="#c00" strokecolor="#ed7d31" strokeweight=".5pt">
                      <v:textbox>
                        <w:txbxContent>
                          <w:p w14:paraId="7C797433" w14:textId="77777777" w:rsidR="008D2C68" w:rsidRDefault="008D2C68" w:rsidP="00F97B16">
                            <w:pPr>
                              <w:jc w:val="center"/>
                            </w:pPr>
                          </w:p>
                          <w:p w14:paraId="5A6BB5B2" w14:textId="77777777" w:rsidR="008D2C68" w:rsidRDefault="008D2C68" w:rsidP="00F97B16">
                            <w:pPr>
                              <w:jc w:val="center"/>
                            </w:pPr>
                          </w:p>
                        </w:txbxContent>
                      </v:textbox>
                      <w10:anchorlock/>
                    </v:shape>
                  </w:pict>
                </mc:Fallback>
              </mc:AlternateContent>
            </w:r>
          </w:p>
        </w:tc>
        <w:tc>
          <w:tcPr>
            <w:tcW w:w="7083" w:type="dxa"/>
            <w:gridSpan w:val="2"/>
          </w:tcPr>
          <w:p w14:paraId="773E86D4" w14:textId="77777777" w:rsidR="00F97B16" w:rsidRPr="0033450A" w:rsidRDefault="00F97B16" w:rsidP="00915020">
            <w:pPr>
              <w:ind w:left="405"/>
              <w:rPr>
                <w:color w:val="212121"/>
              </w:rPr>
            </w:pPr>
            <w:r w:rsidRPr="0033450A">
              <w:rPr>
                <w:color w:val="212121"/>
              </w:rPr>
              <w:t>Limit count of administrators</w:t>
            </w:r>
          </w:p>
        </w:tc>
      </w:tr>
      <w:tr w:rsidR="00F97B16" w:rsidRPr="0033450A" w14:paraId="3BD3A964" w14:textId="77777777" w:rsidTr="00915020">
        <w:tc>
          <w:tcPr>
            <w:tcW w:w="788" w:type="dxa"/>
            <w:vAlign w:val="center"/>
          </w:tcPr>
          <w:p w14:paraId="6034D8C4" w14:textId="77777777" w:rsidR="00F97B16" w:rsidRPr="0033450A" w:rsidRDefault="00F97B16" w:rsidP="00915020">
            <w:pPr>
              <w:jc w:val="center"/>
              <w:rPr>
                <w:color w:val="212121"/>
              </w:rPr>
            </w:pPr>
            <w:r w:rsidRPr="0033450A">
              <w:rPr>
                <w:rFonts w:eastAsia="Arial" w:cs="Segoe UI"/>
                <w:noProof/>
                <w:sz w:val="20"/>
                <w:szCs w:val="20"/>
              </w:rPr>
              <mc:AlternateContent>
                <mc:Choice Requires="wps">
                  <w:drawing>
                    <wp:inline distT="0" distB="0" distL="0" distR="0" wp14:anchorId="3349A218" wp14:editId="2ADC419F">
                      <wp:extent cx="209550" cy="180975"/>
                      <wp:effectExtent l="19050" t="19050" r="38100" b="28575"/>
                      <wp:docPr id="127" name="Isosceles Triangle 1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3F00DEC" id="Isosceles Triangle 127"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h+ehgIAAHMFAAAOAAAAZHJzL2Uyb0RvYy54bWysVNtqGzEQfS/0H4Tem91141yWrINxcAmY&#10;NDQpeZa1ki2q1aiS7LX79R1pL0nTQKD0RUiaM/czc3V9aDTZC+cVmIoWJzklwnColdlU9Pvj8tMF&#10;JT4wUzMNRlT0KDy9nn38cNXaUkxgC7oWjqAR48vWVnQbgi2zzPOtaJg/ASsMCiW4hgV8uk1WO9ai&#10;9UZnkzw/y1pwtXXAhff4e9MJ6SzZl1Lw8FVKLwLRFcXYQjpdOtfxzGZXrNw4ZreK92Gwf4iiYcqg&#10;09HUDQuM7Jz6y1SjuAMPMpxwaDKQUnGRcsBsivxVNg9bZkXKBYvj7Vgm///M8rv9vSOqxt5Nzikx&#10;rMEm3XrwXGjhyaNTzGy0IFGKtWqtL1Hlwd67mK23K+A/PAqyPyTx4XvMQbomYjFXckiFP46FF4dA&#10;OH5O8svpFNvDUVRc5Jfn0+gsY+WgbJ0PXwQ0JF4qGvqwUsnZfuVDBx9gKTbQql4qrdPDbdYL7cie&#10;IQ+Wy0Wep9ajB/8MSzl0YacEwlGLqKzNNyGxRhhokTwmdorRHuNcmHDWh5zQUU2i71Hx8/uKPT6q&#10;isTcUXnyvvKokTyDCaNyowy4twzoUPQhyw7fd9F3eccSrKE+Ij0cdHPjLV8qbMCK+XDPHA4K9gyH&#10;P3zFQ2poKwr9jZItuF9v/Uc88hellLQ4eBX1P3fMCUr0rUFmXxanp3FS0+N0ej7Bh3spWb+UmF2z&#10;AOxpgWvG8nSN+KCHq3TQPOGOmEevKGKGo++K8uCGxyJ0CwG3DBfzeYLhdFoWVubB8qHrkVyPhyfm&#10;7MBCpO8dDEPKyldE7LCxHwbmuwBSJZY+17WvN0524nq/heLqePlOqOddOfsN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Dc&#10;Kh+ehgIAAHM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1143" w:type="dxa"/>
            <w:gridSpan w:val="2"/>
            <w:vAlign w:val="center"/>
          </w:tcPr>
          <w:p w14:paraId="666CB71C" w14:textId="77777777" w:rsidR="00F97B16" w:rsidRPr="0033450A" w:rsidRDefault="00F97B16" w:rsidP="00915020">
            <w:pPr>
              <w:jc w:val="center"/>
              <w:rPr>
                <w:color w:val="212121"/>
              </w:rPr>
            </w:pPr>
            <w:r w:rsidRPr="0033450A">
              <w:rPr>
                <w:rFonts w:eastAsia="Arial" w:cs="Segoe UI"/>
                <w:noProof/>
                <w:sz w:val="20"/>
                <w:szCs w:val="20"/>
              </w:rPr>
              <mc:AlternateContent>
                <mc:Choice Requires="wps">
                  <w:drawing>
                    <wp:inline distT="0" distB="0" distL="0" distR="0" wp14:anchorId="5ECE2E80" wp14:editId="26DAD81E">
                      <wp:extent cx="209550" cy="180975"/>
                      <wp:effectExtent l="19050" t="19050" r="38100" b="28575"/>
                      <wp:docPr id="162" name="Isosceles Triangle 1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DA95B02" id="Isosceles Triangle 162"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vgyhgIAAHMFAAAOAAAAZHJzL2Uyb0RvYy54bWysVNtqGzEQfS/0H4Tem91141yWrINxcAmY&#10;NDQpeZa1ki2q1aiS7LX79R1pL0nTQKD0RUiaM/czc3V9aDTZC+cVmIoWJzklwnColdlU9Pvj8tMF&#10;JT4wUzMNRlT0KDy9nn38cNXaUkxgC7oWjqAR48vWVnQbgi2zzPOtaJg/ASsMCiW4hgV8uk1WO9ai&#10;9UZnkzw/y1pwtXXAhff4e9MJ6SzZl1Lw8FVKLwLRFcXYQjpdOtfxzGZXrNw4ZreK92Gwf4iiYcqg&#10;09HUDQuM7Jz6y1SjuAMPMpxwaDKQUnGRcsBsivxVNg9bZkXKBYvj7Vgm///M8rv9vSOqxt6dTSgx&#10;rMEm3XrwXGjhyaNTzGy0IFGKtWqtL1Hlwd67mK23K+A/PAqyPyTx4XvMQbomYjFXckiFP46FF4dA&#10;OH5O8svpFNvDUVRc5Jfn0+gsY+WgbJ0PXwQ0JF4qGvqwUsnZfuVDBx9gKTbQql4qrdPDbdYL7cie&#10;IQ+Wy0Wep9ajB/8MSzl0YacEwlGLqKzNNyGxRhhokTwmdorRHuNcmHDWh5zQUU2i71Hx8/uKPT6q&#10;isTcUXnyvvKokTyDCaNyowy4twzoUPQhyw7fd9F3eccSrKE+Ij0cdHPjLV8qbMCK+XDPHA4K9gyH&#10;P3zFQ2poKwr9jZItuF9v/Uc88hellLQ4eBX1P3fMCUr0rUFmXxanp3FS0+N0ej7Bh3spWb+UmF2z&#10;AOxpgWvG8nSN+KCHq3TQPOGOmEevKGKGo++K8uCGxyJ0CwG3DBfzeYLhdFoWVubB8qHrkVyPhyfm&#10;7MBCpO8dDEPKyldE7LCxHwbmuwBSJZY+17WvN0524nq/heLqePlOqOddOfsN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BR&#10;IvgyhgIAAHM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881" w:type="dxa"/>
            <w:gridSpan w:val="2"/>
            <w:vAlign w:val="center"/>
          </w:tcPr>
          <w:p w14:paraId="73B99A31" w14:textId="77777777" w:rsidR="00F97B16" w:rsidRPr="0033450A" w:rsidRDefault="00F97B16" w:rsidP="00915020">
            <w:pPr>
              <w:jc w:val="center"/>
              <w:rPr>
                <w:color w:val="212121"/>
              </w:rPr>
            </w:pPr>
            <w:r w:rsidRPr="0033450A">
              <w:rPr>
                <w:rFonts w:eastAsia="Arial" w:cs="Segoe UI"/>
                <w:noProof/>
                <w:sz w:val="20"/>
                <w:szCs w:val="20"/>
              </w:rPr>
              <mc:AlternateContent>
                <mc:Choice Requires="wps">
                  <w:drawing>
                    <wp:inline distT="0" distB="0" distL="0" distR="0" wp14:anchorId="34A1B4CA" wp14:editId="3AA18492">
                      <wp:extent cx="209550" cy="180975"/>
                      <wp:effectExtent l="19050" t="19050" r="38100" b="28575"/>
                      <wp:docPr id="163" name="Isosceles Triangle 1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DE45CA7" id="Isosceles Triangle 163"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XdhhgIAAHMFAAAOAAAAZHJzL2Uyb0RvYy54bWysVNtqGzEQfS/0H4Tem107cS5L1sE4uARM&#10;YpqUPMtayRbValRJ9tr9+o60l6RpIFD6IiTNmfuZub451JrshfMKTElHJzklwnColNmU9PvT4ssl&#10;JT4wUzENRpT0KDy9mX7+dN3YQoxhC7oSjqAR44vGlnQbgi2yzPOtqJk/ASsMCiW4mgV8uk1WOdag&#10;9Vpn4zw/zxpwlXXAhff4e9sK6TTZl1Lw8CClF4HokmJsIZ0unet4ZtNrVmwcs1vFuzDYP0RRM2XQ&#10;6WDqlgVGdk79ZapW3IEHGU441BlIqbhIOWA2o/xNNo9bZkXKBYvj7VAm///M8vv9yhFVYe/OTykx&#10;rMYm3XnwXGjhyZNTzGy0IFGKtWqsL1Dl0a5czNbbJfAfHgXZH5L48B3mIF0dsZgrOaTCH4fCi0Mg&#10;HD/H+dVkgu3hKBpd5lcXk+gsY0WvbJ0PXwXUJF5KGrqwUsnZfulDC+9hKTbQqloordPDbdZz7cie&#10;IQ8Wi3mep9ajB/8CSzm0YacEwlGLqKzNNyGxRhjoKHlM7BSDPca5MOG8Czmho5pE34Pi6ceKHT6q&#10;isTcQXn8sfKgkTyDCYNyrQy49wzoMOpCli2+66Jv844lWEN1RHo4aOfGW75Q2IAl82HFHA4K9gyH&#10;PzzgITU0JYXuRskW3K/3/iMe+YtSShocvJL6nzvmBCX6ziCzr0ZnZ3FS0+NscjHGh3stWb+WmF09&#10;B+zpCNeM5eka8UH3V+mgfsYdMYteUcQMR98l5cH1j3loFwJuGS5mswTD6bQsLM2j5X3XI7meDs/M&#10;2Z6FSN976IeUFW+I2GJjPwzMdgGkSix9qWtXb5zsxPVuC8XV8fqdUC+7cvob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BF&#10;PXdhhgIAAHM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7083" w:type="dxa"/>
            <w:gridSpan w:val="2"/>
          </w:tcPr>
          <w:p w14:paraId="325D2EA8" w14:textId="77777777" w:rsidR="00F97B16" w:rsidRPr="0033450A" w:rsidRDefault="00F97B16" w:rsidP="00915020">
            <w:pPr>
              <w:ind w:left="405"/>
              <w:rPr>
                <w:color w:val="212121"/>
              </w:rPr>
            </w:pPr>
            <w:r w:rsidRPr="0033450A">
              <w:rPr>
                <w:color w:val="212121"/>
              </w:rPr>
              <w:t>Dynamically assign privileges</w:t>
            </w:r>
          </w:p>
        </w:tc>
      </w:tr>
      <w:tr w:rsidR="00F97B16" w:rsidRPr="00275388" w14:paraId="35CB9FC8" w14:textId="77777777" w:rsidTr="00915020">
        <w:tc>
          <w:tcPr>
            <w:tcW w:w="788" w:type="dxa"/>
            <w:shd w:val="clear" w:color="auto" w:fill="BFBFBF" w:themeFill="background1" w:themeFillShade="BF"/>
            <w:vAlign w:val="center"/>
          </w:tcPr>
          <w:p w14:paraId="42162A4F" w14:textId="77777777" w:rsidR="00F97B16" w:rsidRPr="0033450A" w:rsidRDefault="00F97B16" w:rsidP="00915020">
            <w:pPr>
              <w:jc w:val="center"/>
              <w:rPr>
                <w:color w:val="212121"/>
              </w:rPr>
            </w:pPr>
          </w:p>
        </w:tc>
        <w:tc>
          <w:tcPr>
            <w:tcW w:w="1143" w:type="dxa"/>
            <w:gridSpan w:val="2"/>
            <w:shd w:val="clear" w:color="auto" w:fill="BFBFBF" w:themeFill="background1" w:themeFillShade="BF"/>
            <w:vAlign w:val="center"/>
          </w:tcPr>
          <w:p w14:paraId="6761EF64" w14:textId="77777777" w:rsidR="00F97B16" w:rsidRPr="0033450A" w:rsidRDefault="00F97B16" w:rsidP="00915020">
            <w:pPr>
              <w:jc w:val="center"/>
              <w:rPr>
                <w:color w:val="212121"/>
              </w:rPr>
            </w:pPr>
          </w:p>
        </w:tc>
        <w:tc>
          <w:tcPr>
            <w:tcW w:w="881" w:type="dxa"/>
            <w:gridSpan w:val="2"/>
            <w:shd w:val="clear" w:color="auto" w:fill="BFBFBF" w:themeFill="background1" w:themeFillShade="BF"/>
            <w:vAlign w:val="center"/>
          </w:tcPr>
          <w:p w14:paraId="3329AF3D" w14:textId="77777777" w:rsidR="00F97B16" w:rsidRPr="0033450A" w:rsidRDefault="00F97B16" w:rsidP="00915020">
            <w:pPr>
              <w:jc w:val="center"/>
              <w:rPr>
                <w:color w:val="212121"/>
              </w:rPr>
            </w:pPr>
          </w:p>
        </w:tc>
        <w:tc>
          <w:tcPr>
            <w:tcW w:w="7083" w:type="dxa"/>
            <w:gridSpan w:val="2"/>
            <w:shd w:val="clear" w:color="auto" w:fill="BFBFBF" w:themeFill="background1" w:themeFillShade="BF"/>
          </w:tcPr>
          <w:p w14:paraId="61347DD1" w14:textId="77777777" w:rsidR="00F97B16" w:rsidRPr="00406968" w:rsidRDefault="00F97B16" w:rsidP="00915020">
            <w:pPr>
              <w:rPr>
                <w:b/>
                <w:color w:val="FFFFFF" w:themeColor="background1"/>
              </w:rPr>
            </w:pPr>
            <w:r w:rsidRPr="0033450A">
              <w:rPr>
                <w:b/>
                <w:color w:val="FFFFFF" w:themeColor="background1"/>
              </w:rPr>
              <w:t>Manage Risk of Credential Exposure</w:t>
            </w:r>
          </w:p>
        </w:tc>
      </w:tr>
      <w:tr w:rsidR="00DE508C" w:rsidRPr="00275388" w14:paraId="200509B5" w14:textId="77777777" w:rsidTr="00915020">
        <w:tc>
          <w:tcPr>
            <w:tcW w:w="788" w:type="dxa"/>
            <w:vAlign w:val="center"/>
          </w:tcPr>
          <w:p w14:paraId="5FBD81DD" w14:textId="77777777" w:rsidR="00DE508C" w:rsidRPr="00275388" w:rsidRDefault="00DE508C" w:rsidP="00DE508C">
            <w:pPr>
              <w:jc w:val="center"/>
              <w:rPr>
                <w:noProof/>
              </w:rPr>
            </w:pPr>
            <w:r w:rsidRPr="00275388">
              <w:rPr>
                <w:noProof/>
              </w:rPr>
              <mc:AlternateContent>
                <mc:Choice Requires="wps">
                  <w:drawing>
                    <wp:inline distT="0" distB="0" distL="0" distR="0" wp14:anchorId="6167B10D" wp14:editId="62001BA8">
                      <wp:extent cx="210553" cy="190500"/>
                      <wp:effectExtent l="0" t="0" r="18415" b="19050"/>
                      <wp:docPr id="257" name="Octagon 257"/>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71266087" w14:textId="77777777" w:rsidR="008D2C68" w:rsidRDefault="008D2C68" w:rsidP="00F97B16">
                                  <w:pPr>
                                    <w:jc w:val="center"/>
                                  </w:pPr>
                                </w:p>
                                <w:p w14:paraId="68520657"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167B10D" id="Octagon 257" o:spid="_x0000_s1131"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VlxfQIAAAgFAAAOAAAAZHJzL2Uyb0RvYy54bWysVFtP2zAUfp+0/2D5fSQplEtEiqp2TJMQ&#10;IAHi+dRxEku+zXabsF+/YyeFwnia1gf33Hwun7+Ty6tBSbLjzgujK1oc5ZRwzUwtdFvRp8frb+eU&#10;+AC6Bmk0r+gL9/Rq8fXLZW9LPjOdkTV3BJNoX/a2ol0ItswyzzquwB8ZyzU6G+MUBFRdm9UOesyu&#10;ZDbL89OsN662zjDuPVrXo5MuUv6m4SzcNY3ngciKYm8hnS6dm3hmi0soWwe2E2xqA/6hCwVCY9HX&#10;VGsIQLZO/JVKCeaMN004YkZlpmkE42kGnKbIP0zz0IHlaRYEx9tXmPz/S8tud/eOiLqis/kZJRoU&#10;PtIdC9AaTaIJAeqtLzHuwd67SfMoxmmHxqn4j3OQIYH68goqHwJhaJwV+Xx+TAlDV3GRz/MEevZ2&#10;2ToffnCjSBQqasbiCU3Y3fiANTF6HxXLeSNFfS2kTIprNyvpyA7wiVerHH+xabzyLkxq0lf09HiO&#10;LGCATGskBBSVxdm9bikB2SKFWXCp9LvL/rDG9/XZ+rj4rEbscQ2+G3tJGWIYlEoEZLkUqqLnscF9&#10;h1JHL088nSaNYI/wRikMmyG9TpGnitG2MfULvpkzI5m9ZdcCC9+AD/fgkL04IW5kuMOjkQanNpNE&#10;SWfc78/sMR5JhV5KetwGhOTXFhynRP7USLeL4uQkrk9STuZnM1TcoWdz6NFbtTL4GgXuvmVJjPFB&#10;7sXGGfWMi7uMVdEFmmHtEfxJWYVxS3H1GV8uUxiujIVwox8si8kjdhHyx+EZnJ3oE5B3t2a/OVB+&#10;oNAYG29qs9wG04jErzdckTlRwXVLHJo+DXGfD/UU9fYBW/wBAAD//wMAUEsDBBQABgAIAAAAIQBg&#10;ClFE2AAAAAMBAAAPAAAAZHJzL2Rvd25yZXYueG1sTI/NTsMwEITvSLyDtUjcqE2CKhTiVPyox0rQ&#10;wt2Jt0lKvI5stwl9ehYucNnRalYz35ar2Q3ihCH2njTcLhQIpMbbnloN77v1zT2ImAxZM3hCDV8Y&#10;YVVdXpSmsH6iNzxtUys4hGJhNHQpjYWUsenQmbjwIxJ7ex+cSbyGVtpgJg53g8yUWkpneuKGzoz4&#10;3GHzuT06DcvNut4cQv6B2XT3+vTizm6cz1pfX82PDyASzunvGH7wGR0qZqr9kWwUgwZ+JP1O9vI8&#10;A1GzKgWyKuV/9uobAAD//wMAUEsBAi0AFAAGAAgAAAAhALaDOJL+AAAA4QEAABMAAAAAAAAAAAAA&#10;AAAAAAAAAFtDb250ZW50X1R5cGVzXS54bWxQSwECLQAUAAYACAAAACEAOP0h/9YAAACUAQAACwAA&#10;AAAAAAAAAAAAAAAvAQAAX3JlbHMvLnJlbHNQSwECLQAUAAYACAAAACEAl11ZcX0CAAAIBQAADgAA&#10;AAAAAAAAAAAAAAAuAgAAZHJzL2Uyb0RvYy54bWxQSwECLQAUAAYACAAAACEAYApRRNgAAAADAQAA&#10;DwAAAAAAAAAAAAAAAADXBAAAZHJzL2Rvd25yZXYueG1sUEsFBgAAAAAEAAQA8wAAANwFAAAAAA==&#10;" fillcolor="#c00" strokecolor="#ed7d31" strokeweight=".5pt">
                      <v:textbox>
                        <w:txbxContent>
                          <w:p w14:paraId="71266087" w14:textId="77777777" w:rsidR="008D2C68" w:rsidRDefault="008D2C68" w:rsidP="00F97B16">
                            <w:pPr>
                              <w:jc w:val="center"/>
                            </w:pPr>
                          </w:p>
                          <w:p w14:paraId="68520657" w14:textId="77777777" w:rsidR="008D2C68" w:rsidRDefault="008D2C68" w:rsidP="00F97B16">
                            <w:pPr>
                              <w:jc w:val="center"/>
                            </w:pPr>
                          </w:p>
                        </w:txbxContent>
                      </v:textbox>
                      <w10:anchorlock/>
                    </v:shape>
                  </w:pict>
                </mc:Fallback>
              </mc:AlternateContent>
            </w:r>
          </w:p>
        </w:tc>
        <w:tc>
          <w:tcPr>
            <w:tcW w:w="1143" w:type="dxa"/>
            <w:gridSpan w:val="2"/>
            <w:vAlign w:val="center"/>
          </w:tcPr>
          <w:p w14:paraId="042BDCB2" w14:textId="77777777" w:rsidR="00DE508C" w:rsidRPr="00275388" w:rsidRDefault="00DE508C" w:rsidP="00DE508C">
            <w:pPr>
              <w:jc w:val="center"/>
              <w:rPr>
                <w:noProof/>
              </w:rPr>
            </w:pPr>
            <w:r w:rsidRPr="00275388">
              <w:rPr>
                <w:noProof/>
              </w:rPr>
              <mc:AlternateContent>
                <mc:Choice Requires="wps">
                  <w:drawing>
                    <wp:inline distT="0" distB="0" distL="0" distR="0" wp14:anchorId="3931F75D" wp14:editId="4CEB83E0">
                      <wp:extent cx="210553" cy="190500"/>
                      <wp:effectExtent l="0" t="0" r="18415" b="19050"/>
                      <wp:docPr id="258" name="Octagon 258"/>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2DCA15A4" w14:textId="77777777" w:rsidR="008D2C68" w:rsidRDefault="008D2C68" w:rsidP="00F97B16">
                                  <w:pPr>
                                    <w:jc w:val="center"/>
                                  </w:pPr>
                                </w:p>
                                <w:p w14:paraId="3CAD0CD8"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931F75D" id="Octagon 258" o:spid="_x0000_s1132"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3ufwIAAAgFAAAOAAAAZHJzL2Uyb0RvYy54bWysVEtv2zAMvg/YfxB0X22nTR9GnSJI1mFA&#10;0RZoi54ZWbYF6DVJid39+lGy06ZdT8NyUEiR4uPjR19eDUqSHXdeGF3R4iinhGtmaqHbij49Xn87&#10;p8QH0DVIo3lFX7inV4uvXy57W/KZ6YysuSMYRPuytxXtQrBllnnWcQX+yFiu0dgYpyCg6tqsdtBj&#10;dCWzWZ6fZr1xtXWGce/xdj0a6SLFbxrOwl3TeB6IrCjWFtLp0rmJZ7a4hLJ1YDvBpjLgH6pQIDQm&#10;fQ21hgBk68RfoZRgznjThCNmVGaaRjCeesBuivxDNw8dWJ56QXC8fYXJ/7+w7HZ374ioKzqb46g0&#10;KBzSHQvQGk3iFQLUW1+i34O9d5PmUYzdDo1T8R/7IEMC9eUVVD4EwvByVuTz+TElDE3FRT7PE+jZ&#10;22PrfPjBjSJRqKgZkyc0YXfjA+ZE771XTOeNFPW1kDIprt2spCM7wBGvVjn+YtH45J2b1KSv6Onx&#10;HFnAAJnWSAgoKou9e91SArJFCrPgUup3j/1hju/rs/Vx8VmOWOMafDfWkiJENyiVCMhyKVRFz2OB&#10;+wqljlaeeDp1GsEe4Y1SGDZDmk6Rz2KoeLcx9QvOzJmRzN6ya4GJb8CHe3DIXuwQNzLc4dFIg12b&#10;SaKkM+73Z/fRH0mFVkp63AaE5NcWHKdE/tRIt4vi5CSuT1JO5mczVNyhZXNo0Vu1MjiNAnffsiRG&#10;/yD3YuOMesbFXcasaALNMPcI/qSswriluPqML5fJDVfGQrjRD5bF4BG7CPnj8AzOTvQJyLtbs98c&#10;KD9QaPSNL7VZboNpROLXG67InKjguiUOTZ+GuM+HevJ6+4At/gAAAP//AwBQSwMEFAAGAAgAAAAh&#10;AGAKUUTYAAAAAwEAAA8AAABkcnMvZG93bnJldi54bWxMj81OwzAQhO9IvIO1SNyoTYIqFOJU/KjH&#10;StDC3Ym3SUq8jmy3CX16Fi5w2dFqVjPflqvZDeKEIfaeNNwuFAikxtueWg3vu/XNPYiYDFkzeEIN&#10;XxhhVV1elKawfqI3PG1TKziEYmE0dCmNhZSx6dCZuPAjEnt7H5xJvIZW2mAmDneDzJRaSmd64obO&#10;jPjcYfO5PToNy8263hxC/oHZdPf69OLObpzPWl9fzY8PIBLO6e8YfvAZHSpmqv2RbBSDBn4k/U72&#10;8jwDUbMqBbIq5X/26hsAAP//AwBQSwECLQAUAAYACAAAACEAtoM4kv4AAADhAQAAEwAAAAAAAAAA&#10;AAAAAAAAAAAAW0NvbnRlbnRfVHlwZXNdLnhtbFBLAQItABQABgAIAAAAIQA4/SH/1gAAAJQBAAAL&#10;AAAAAAAAAAAAAAAAAC8BAABfcmVscy8ucmVsc1BLAQItABQABgAIAAAAIQCcLo3ufwIAAAgFAAAO&#10;AAAAAAAAAAAAAAAAAC4CAABkcnMvZTJvRG9jLnhtbFBLAQItABQABgAIAAAAIQBgClFE2AAAAAMB&#10;AAAPAAAAAAAAAAAAAAAAANkEAABkcnMvZG93bnJldi54bWxQSwUGAAAAAAQABADzAAAA3gUAAAAA&#10;" fillcolor="#c00" strokecolor="#ed7d31" strokeweight=".5pt">
                      <v:textbox>
                        <w:txbxContent>
                          <w:p w14:paraId="2DCA15A4" w14:textId="77777777" w:rsidR="008D2C68" w:rsidRDefault="008D2C68" w:rsidP="00F97B16">
                            <w:pPr>
                              <w:jc w:val="center"/>
                            </w:pPr>
                          </w:p>
                          <w:p w14:paraId="3CAD0CD8" w14:textId="77777777" w:rsidR="008D2C68" w:rsidRDefault="008D2C68" w:rsidP="00F97B16">
                            <w:pPr>
                              <w:jc w:val="center"/>
                            </w:pPr>
                          </w:p>
                        </w:txbxContent>
                      </v:textbox>
                      <w10:anchorlock/>
                    </v:shape>
                  </w:pict>
                </mc:Fallback>
              </mc:AlternateContent>
            </w:r>
          </w:p>
        </w:tc>
        <w:tc>
          <w:tcPr>
            <w:tcW w:w="881" w:type="dxa"/>
            <w:gridSpan w:val="2"/>
            <w:vAlign w:val="center"/>
          </w:tcPr>
          <w:p w14:paraId="21BE513D" w14:textId="77777777" w:rsidR="00DE508C" w:rsidRPr="00275388" w:rsidRDefault="00DE508C" w:rsidP="00DE508C">
            <w:pPr>
              <w:jc w:val="center"/>
              <w:rPr>
                <w:noProof/>
              </w:rPr>
            </w:pPr>
            <w:r w:rsidRPr="00275388">
              <w:rPr>
                <w:noProof/>
              </w:rPr>
              <mc:AlternateContent>
                <mc:Choice Requires="wps">
                  <w:drawing>
                    <wp:inline distT="0" distB="0" distL="0" distR="0" wp14:anchorId="022F0118" wp14:editId="6049AB97">
                      <wp:extent cx="210553" cy="190500"/>
                      <wp:effectExtent l="0" t="0" r="18415" b="19050"/>
                      <wp:docPr id="259" name="Octagon 259"/>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55D29342" w14:textId="77777777" w:rsidR="008D2C68" w:rsidRDefault="008D2C68" w:rsidP="00F97B16">
                                  <w:pPr>
                                    <w:jc w:val="center"/>
                                  </w:pPr>
                                </w:p>
                                <w:p w14:paraId="0A682E2F"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22F0118" id="Octagon 259" o:spid="_x0000_s1133"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qSKfgIAAAgFAAAOAAAAZHJzL2Uyb0RvYy54bWysVFtP2zAUfp+0/2D5fSRpKYOIFFXtmCYh&#10;QIKJ51PHSSz5Ntttwn79jp0UCuNpWh/cc/O5fP5OLq8GJcmeOy+MrmhxklPCNTO10G1Ffz5efzmn&#10;xAfQNUijeUWfuadXy8+fLntb8pnpjKy5I5hE+7K3Fe1CsGWWedZxBf7EWK7R2RinIKDq2qx20GN2&#10;JbNZnp9lvXG1dYZx79G6GZ10mfI3DWfhrmk8D0RWFHsL6XTp3MYzW15C2TqwnWBTG/APXSgQGou+&#10;pNpAALJz4q9USjBnvGnCCTMqM00jGE8z4DRF/m6ahw4sT7MgON6+wOT/X1p2u793RNQVnS0uKNGg&#10;8JHuWIDWaBJNCFBvfYlxD/beTZpHMU47NE7Ff5yDDAnU5xdQ+RAIQ+OsyBeLOSUMXcVFvsgT6Nnr&#10;Zet8+M6NIlGoqBmLJzRhf+MD1sToQ1Qs540U9bWQMimu3a6lI3vAJ16vc/zFpvHKmzCpSV/Rs/kC&#10;WcAAmdZICCgqi7N73VICskUKs+BS6TeX/XGNb5uvm3nxUY3Y4wZ8N/aSMsQwKJUIyHIpVEXPY4OH&#10;DqWOXp54Ok0awR7hjVIYtkN6nSKfx1TRtjX1M76ZMyOZvWXXAgvfgA/34JC9OCFuZLjDo5EGpzaT&#10;REln3O+P7DEeSYVeSnrcBoTk1w4cp0T+0Ei3i+L0NK5PUk4XX2eouGPP9tijd2pt8DUK3H3Lkhjj&#10;gzyIjTPqCRd3FauiCzTD2iP4k7IO45bi6jO+WqUwXBkL4UY/WBaTR+wi5I/DEzg70Scg727NYXOg&#10;fEehMTbe1Ga1C6YRiV+vuCJzooLrljg0fRriPh/rKer1A7b8AwAA//8DAFBLAwQUAAYACAAAACEA&#10;YApRRNgAAAADAQAADwAAAGRycy9kb3ducmV2LnhtbEyPzU7DMBCE70i8g7VI3KhNgioU4lT8qMdK&#10;0MLdibdJSryObLcJfXoWLnDZ0WpWM9+Wq9kN4oQh9p403C4UCKTG255aDe+79c09iJgMWTN4Qg1f&#10;GGFVXV6UprB+ojc8bVMrOIRiYTR0KY2FlLHp0Jm48CMSe3sfnEm8hlbaYCYOd4PMlFpKZ3rihs6M&#10;+Nxh87k9Og3LzbreHEL+gdl09/r04s5unM9aX1/Njw8gEs7p7xh+8BkdKmaq/ZFsFIMGfiT9Tvby&#10;PANRsyoFsirlf/bqGwAA//8DAFBLAQItABQABgAIAAAAIQC2gziS/gAAAOEBAAATAAAAAAAAAAAA&#10;AAAAAAAAAABbQ29udGVudF9UeXBlc10ueG1sUEsBAi0AFAAGAAgAAAAhADj9If/WAAAAlAEAAAsA&#10;AAAAAAAAAAAAAAAALwEAAF9yZWxzLy5yZWxzUEsBAi0AFAAGAAgAAAAhAMOmpIp+AgAACAUAAA4A&#10;AAAAAAAAAAAAAAAALgIAAGRycy9lMm9Eb2MueG1sUEsBAi0AFAAGAAgAAAAhAGAKUUTYAAAAAwEA&#10;AA8AAAAAAAAAAAAAAAAA2AQAAGRycy9kb3ducmV2LnhtbFBLBQYAAAAABAAEAPMAAADdBQAAAAA=&#10;" fillcolor="#c00" strokecolor="#ed7d31" strokeweight=".5pt">
                      <v:textbox>
                        <w:txbxContent>
                          <w:p w14:paraId="55D29342" w14:textId="77777777" w:rsidR="008D2C68" w:rsidRDefault="008D2C68" w:rsidP="00F97B16">
                            <w:pPr>
                              <w:jc w:val="center"/>
                            </w:pPr>
                          </w:p>
                          <w:p w14:paraId="0A682E2F" w14:textId="77777777" w:rsidR="008D2C68" w:rsidRDefault="008D2C68" w:rsidP="00F97B16">
                            <w:pPr>
                              <w:jc w:val="center"/>
                            </w:pPr>
                          </w:p>
                        </w:txbxContent>
                      </v:textbox>
                      <w10:anchorlock/>
                    </v:shape>
                  </w:pict>
                </mc:Fallback>
              </mc:AlternateContent>
            </w:r>
          </w:p>
        </w:tc>
        <w:tc>
          <w:tcPr>
            <w:tcW w:w="7083" w:type="dxa"/>
            <w:gridSpan w:val="2"/>
          </w:tcPr>
          <w:p w14:paraId="1D3F49F5" w14:textId="7967D88C" w:rsidR="00DE508C" w:rsidRPr="00077301" w:rsidRDefault="00DE508C" w:rsidP="00DE508C">
            <w:pPr>
              <w:ind w:left="405"/>
              <w:rPr>
                <w:color w:val="212121"/>
              </w:rPr>
            </w:pPr>
            <w:r w:rsidRPr="00077301">
              <w:rPr>
                <w:color w:val="212121"/>
              </w:rPr>
              <w:t xml:space="preserve">Separate </w:t>
            </w:r>
            <w:r>
              <w:rPr>
                <w:color w:val="212121"/>
              </w:rPr>
              <w:t>a</w:t>
            </w:r>
            <w:r w:rsidRPr="00077301">
              <w:rPr>
                <w:color w:val="212121"/>
              </w:rPr>
              <w:t xml:space="preserve">dministrative </w:t>
            </w:r>
            <w:r>
              <w:rPr>
                <w:color w:val="212121"/>
              </w:rPr>
              <w:t>a</w:t>
            </w:r>
            <w:r w:rsidRPr="00077301">
              <w:rPr>
                <w:color w:val="212121"/>
              </w:rPr>
              <w:t>ccounts</w:t>
            </w:r>
          </w:p>
        </w:tc>
      </w:tr>
      <w:tr w:rsidR="00DE508C" w:rsidRPr="00275388" w14:paraId="0C7EC0F8" w14:textId="77777777" w:rsidTr="00915020">
        <w:tc>
          <w:tcPr>
            <w:tcW w:w="788" w:type="dxa"/>
            <w:vAlign w:val="center"/>
          </w:tcPr>
          <w:p w14:paraId="7C522617" w14:textId="77777777" w:rsidR="00DE508C" w:rsidRPr="00275388" w:rsidRDefault="00DE508C" w:rsidP="00DE508C">
            <w:pPr>
              <w:jc w:val="center"/>
              <w:rPr>
                <w:color w:val="212121"/>
              </w:rPr>
            </w:pPr>
            <w:r w:rsidRPr="00275388">
              <w:rPr>
                <w:noProof/>
              </w:rPr>
              <mc:AlternateContent>
                <mc:Choice Requires="wps">
                  <w:drawing>
                    <wp:inline distT="0" distB="0" distL="0" distR="0" wp14:anchorId="0548B0B4" wp14:editId="50AFA2A3">
                      <wp:extent cx="210553" cy="190500"/>
                      <wp:effectExtent l="0" t="0" r="18415" b="19050"/>
                      <wp:docPr id="167" name="Octagon 167"/>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59C0876E" w14:textId="77777777" w:rsidR="008D2C68" w:rsidRDefault="008D2C68" w:rsidP="00F97B16">
                                  <w:pPr>
                                    <w:jc w:val="center"/>
                                  </w:pPr>
                                </w:p>
                                <w:p w14:paraId="4A18764E"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548B0B4" id="Octagon 167" o:spid="_x0000_s1134"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hbkfwIAAAgFAAAOAAAAZHJzL2Uyb0RvYy54bWysVEtv2zAMvg/YfxB0X22nSR9GnSJI1mFA&#10;sRZoh54ZWbYF6DVJid39+lGy06ZdT8NyUEiR4uPjR19dD0qSPXdeGF3R4iSnhGtmaqHbiv58vPly&#10;QYkPoGuQRvOKPnNPr5efP131tuQz0xlZc0cwiPZlbyvahWDLLPOs4wr8ibFco7ExTkFA1bVZ7aDH&#10;6Epmszw/y3rjausM497j7WY00mWK3zSchbum8TwQWVGsLaTTpXMbz2x5BWXrwHaCTWXAP1ShQGhM&#10;+hJqAwHIzom/QinBnPGmCSfMqMw0jWA89YDdFPm7bh46sDz1guB4+wKT/39h2Y/9vSOixtmdnVOi&#10;QeGQ7liA1mgSrxCg3voS/R7svZs0j2Lsdmiciv/YBxkSqM8voPIhEIaXsyJfLE4pYWgqLvNFnkDP&#10;Xh9b58M3bhSJQkXNmDyhCftbHzAneh+8YjpvpKhvhJRJce12LR3ZA454vc7xF4vGJ2/cpCZ9Rc9O&#10;F8gCBsi0RkJAUVns3euWEpAtUpgFl1K/eeyPc3zdnG9Oi49yxBo34LuxlhQhukGpRECWS6EqehEL&#10;PFQodbTyxNOp0wj2CG+UwrAdxunk8xgq3m1N/Ywzc2Yks7fsRmDiW/DhHhyyFzvEjQx3eDTSYNdm&#10;kijpjPv90X30R1KhlZIetwEh+bUDxymR3zXS7bKYz+P6JGW+OJ+h4o4t22OL3qm1wWkUuPuWJTH6&#10;B3kQG2fUEy7uKmZFE2iGuUfwJ2Udxi3F1Wd8tUpuuDIWwq1+sCwGj9hFyB+HJ3B2ok9A3v0wh82B&#10;8h2FRt/4UpvVLphGJH694orMiQquW+LQ9GmI+3ysJ6/XD9jyDwAAAP//AwBQSwMEFAAGAAgAAAAh&#10;AGAKUUTYAAAAAwEAAA8AAABkcnMvZG93bnJldi54bWxMj81OwzAQhO9IvIO1SNyoTYIqFOJU/KjH&#10;StDC3Ym3SUq8jmy3CX16Fi5w2dFqVjPflqvZDeKEIfaeNNwuFAikxtueWg3vu/XNPYiYDFkzeEIN&#10;XxhhVV1elKawfqI3PG1TKziEYmE0dCmNhZSx6dCZuPAjEnt7H5xJvIZW2mAmDneDzJRaSmd64obO&#10;jPjcYfO5PToNy8263hxC/oHZdPf69OLObpzPWl9fzY8PIBLO6e8YfvAZHSpmqv2RbBSDBn4k/U72&#10;8jwDUbMqBbIq5X/26hsAAP//AwBQSwECLQAUAAYACAAAACEAtoM4kv4AAADhAQAAEwAAAAAAAAAA&#10;AAAAAAAAAAAAW0NvbnRlbnRfVHlwZXNdLnhtbFBLAQItABQABgAIAAAAIQA4/SH/1gAAAJQBAAAL&#10;AAAAAAAAAAAAAAAAAC8BAABfcmVscy8ucmVsc1BLAQItABQABgAIAAAAIQDnkhbkfwIAAAgFAAAO&#10;AAAAAAAAAAAAAAAAAC4CAABkcnMvZTJvRG9jLnhtbFBLAQItABQABgAIAAAAIQBgClFE2AAAAAMB&#10;AAAPAAAAAAAAAAAAAAAAANkEAABkcnMvZG93bnJldi54bWxQSwUGAAAAAAQABADzAAAA3gUAAAAA&#10;" fillcolor="#c00" strokecolor="#ed7d31" strokeweight=".5pt">
                      <v:textbox>
                        <w:txbxContent>
                          <w:p w14:paraId="59C0876E" w14:textId="77777777" w:rsidR="008D2C68" w:rsidRDefault="008D2C68" w:rsidP="00F97B16">
                            <w:pPr>
                              <w:jc w:val="center"/>
                            </w:pPr>
                          </w:p>
                          <w:p w14:paraId="4A18764E" w14:textId="77777777" w:rsidR="008D2C68" w:rsidRDefault="008D2C68" w:rsidP="00F97B16">
                            <w:pPr>
                              <w:jc w:val="center"/>
                            </w:pPr>
                          </w:p>
                        </w:txbxContent>
                      </v:textbox>
                      <w10:anchorlock/>
                    </v:shape>
                  </w:pict>
                </mc:Fallback>
              </mc:AlternateContent>
            </w:r>
          </w:p>
        </w:tc>
        <w:tc>
          <w:tcPr>
            <w:tcW w:w="1143" w:type="dxa"/>
            <w:gridSpan w:val="2"/>
            <w:vAlign w:val="center"/>
          </w:tcPr>
          <w:p w14:paraId="768C292D" w14:textId="77777777" w:rsidR="00DE508C" w:rsidRPr="00275388" w:rsidRDefault="00DE508C" w:rsidP="00DE508C">
            <w:pPr>
              <w:jc w:val="center"/>
              <w:rPr>
                <w:color w:val="212121"/>
              </w:rPr>
            </w:pPr>
            <w:r w:rsidRPr="00275388">
              <w:rPr>
                <w:noProof/>
              </w:rPr>
              <mc:AlternateContent>
                <mc:Choice Requires="wps">
                  <w:drawing>
                    <wp:inline distT="0" distB="0" distL="0" distR="0" wp14:anchorId="7CFF185C" wp14:editId="615676C2">
                      <wp:extent cx="210553" cy="190500"/>
                      <wp:effectExtent l="0" t="0" r="18415" b="19050"/>
                      <wp:docPr id="110" name="Octagon 110"/>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277F6508" w14:textId="77777777" w:rsidR="008D2C68" w:rsidRDefault="008D2C68" w:rsidP="00F97B16">
                                  <w:pPr>
                                    <w:jc w:val="center"/>
                                  </w:pPr>
                                </w:p>
                                <w:p w14:paraId="5D539D73"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CFF185C" id="Octagon 110" o:spid="_x0000_s1135"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KvAfgIAAAgFAAAOAAAAZHJzL2Uyb0RvYy54bWysVEtv2zAMvg/YfxB0X22nTR9GnSJI1mFA&#10;0RZoi54ZWbYF6DVJid39+lGy06ZdT8NyUEiR4uPjR19eDUqSHXdeGF3R4iinhGtmaqHbij49Xn87&#10;p8QH0DVIo3lFX7inV4uvXy57W/KZ6YysuSMYRPuytxXtQrBllnnWcQX+yFiu0dgYpyCg6tqsdtBj&#10;dCWzWZ6fZr1xtXWGce/xdj0a6SLFbxrOwl3TeB6IrCjWFtLp0rmJZ7a4hLJ1YDvBpjLgH6pQIDQm&#10;fQ21hgBk68RfoZRgznjThCNmVGaaRjCeesBuivxDNw8dWJ56QXC8fYXJ/7+w7HZ374iocXYF4qNB&#10;4ZDuWIDWaBKvEKDe+hL9Huy9mzSPYux2aJyK/9gHGRKoL6+g8iEQhpezIp/PjylhaCou8nmeYmZv&#10;j63z4Qc3ikShomZMntCE3Y0PmBO9914xnTdS1NdCyqS4drOSjuwAR7xa5fiLReOTd25Sk76ip8dz&#10;7JIBMq2REFBUFnv3uqUEZIsUZsGl1O8e+8Mc39dn6+PisxyxxjX4bqwlRYhuUCoRkOVSqIqexwL3&#10;FUodrTzxdOo0gj3CG6UwbIZxOvk8hop3G1O/4MycGcnsLbsWmPgGfLgHh+zFDnEjwx0ejTTYtZkk&#10;Sjrjfn92H/2RVGilpMdtQEh+bcFxSuRPjXS7KE5O4vok5WR+NkPFHVo2hxa9VSuD0yhw9y1LYvQP&#10;ci82zqhnXNxlzIom0Axzj+BPyiqMW4qrz/hymdxwZSyEG/1gWQwesYuQPw7P4OxEn4C8uzX7zYHy&#10;A4VG3/hSm+U2mEYkfr3hisyJCq5b4tD0aYj7fKgnr7cP2OIPAAAA//8DAFBLAwQUAAYACAAAACEA&#10;YApRRNgAAAADAQAADwAAAGRycy9kb3ducmV2LnhtbEyPzU7DMBCE70i8g7VI3KhNgioU4lT8qMdK&#10;0MLdibdJSryObLcJfXoWLnDZ0WpWM9+Wq9kN4oQh9p403C4UCKTG255aDe+79c09iJgMWTN4Qg1f&#10;GGFVXV6UprB+ojc8bVMrOIRiYTR0KY2FlLHp0Jm48CMSe3sfnEm8hlbaYCYOd4PMlFpKZ3rihs6M&#10;+Nxh87k9Og3LzbreHEL+gdl09/r04s5unM9aX1/Njw8gEs7p7xh+8BkdKmaq/ZFsFIMGfiT9Tvby&#10;PANRsyoFsirlf/bqGwAA//8DAFBLAQItABQABgAIAAAAIQC2gziS/gAAAOEBAAATAAAAAAAAAAAA&#10;AAAAAAAAAABbQ29udGVudF9UeXBlc10ueG1sUEsBAi0AFAAGAAgAAAAhADj9If/WAAAAlAEAAAsA&#10;AAAAAAAAAAAAAAAALwEAAF9yZWxzLy5yZWxzUEsBAi0AFAAGAAgAAAAhAMVkq8B+AgAACAUAAA4A&#10;AAAAAAAAAAAAAAAALgIAAGRycy9lMm9Eb2MueG1sUEsBAi0AFAAGAAgAAAAhAGAKUUTYAAAAAwEA&#10;AA8AAAAAAAAAAAAAAAAA2AQAAGRycy9kb3ducmV2LnhtbFBLBQYAAAAABAAEAPMAAADdBQAAAAA=&#10;" fillcolor="#c00" strokecolor="#ed7d31" strokeweight=".5pt">
                      <v:textbox>
                        <w:txbxContent>
                          <w:p w14:paraId="277F6508" w14:textId="77777777" w:rsidR="008D2C68" w:rsidRDefault="008D2C68" w:rsidP="00F97B16">
                            <w:pPr>
                              <w:jc w:val="center"/>
                            </w:pPr>
                          </w:p>
                          <w:p w14:paraId="5D539D73" w14:textId="77777777" w:rsidR="008D2C68" w:rsidRDefault="008D2C68" w:rsidP="00F97B16">
                            <w:pPr>
                              <w:jc w:val="center"/>
                            </w:pPr>
                          </w:p>
                        </w:txbxContent>
                      </v:textbox>
                      <w10:anchorlock/>
                    </v:shape>
                  </w:pict>
                </mc:Fallback>
              </mc:AlternateContent>
            </w:r>
          </w:p>
        </w:tc>
        <w:tc>
          <w:tcPr>
            <w:tcW w:w="881" w:type="dxa"/>
            <w:gridSpan w:val="2"/>
            <w:vAlign w:val="center"/>
          </w:tcPr>
          <w:p w14:paraId="7A14A80B" w14:textId="77777777" w:rsidR="00DE508C" w:rsidRPr="00275388" w:rsidRDefault="00DE508C" w:rsidP="00DE508C">
            <w:pPr>
              <w:jc w:val="center"/>
              <w:rPr>
                <w:color w:val="212121"/>
              </w:rPr>
            </w:pPr>
            <w:r w:rsidRPr="00275388">
              <w:rPr>
                <w:noProof/>
              </w:rPr>
              <mc:AlternateContent>
                <mc:Choice Requires="wps">
                  <w:drawing>
                    <wp:inline distT="0" distB="0" distL="0" distR="0" wp14:anchorId="4D16DBB3" wp14:editId="00F73919">
                      <wp:extent cx="210553" cy="190500"/>
                      <wp:effectExtent l="0" t="0" r="18415" b="19050"/>
                      <wp:docPr id="111" name="Octagon 111"/>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6BCC31CC" w14:textId="77777777" w:rsidR="008D2C68" w:rsidRDefault="008D2C68" w:rsidP="00F97B16">
                                  <w:pPr>
                                    <w:jc w:val="center"/>
                                  </w:pPr>
                                </w:p>
                                <w:p w14:paraId="139F43F7"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D16DBB3" id="Octagon 111" o:spid="_x0000_s1136"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2NkfwIAAAgFAAAOAAAAZHJzL2Uyb0RvYy54bWysVEtv2zAMvg/YfxB0X20nTR9BnCJI1mFA&#10;0RRoh54ZWbYF6DVJid39+lGy06bdTsNyUEiR4uPjRy9ueiXJgTsvjC5pcZZTwjUzldBNSX883X65&#10;osQH0BVIo3lJX7inN8vPnxadnfOJaY2suCMYRPt5Z0vahmDnWeZZyxX4M2O5RmNtnIKAqmuyykGH&#10;0ZXMJnl+kXXGVdYZxr3H281gpMsUv645C9u69jwQWVKsLaTTpXMXz2y5gHnjwLaCjWXAP1ShQGhM&#10;+hpqAwHI3ok/QinBnPGmDmfMqMzUtWA89YDdFPmHbh5bsDz1guB4+wqT/39h2f3hwRFR4eyKghIN&#10;Coe0ZQEao0m8QoA66+fo92gf3Kh5FGO3fe1U/Mc+SJ9AfXkFlfeBMLycFPlsNqWEoam4zmd5Aj17&#10;e2ydD9+4USQKJTVD8oQmHO58wJzoffSK6byRoroVUibFNbu1dOQAOOL1OsdfLBqfvHOTmnQlvZjO&#10;kAUMkGm1hICisti71w0lIBukMAsupX732J/m+Lq53EwTMB9zxBo34NuhlhRhIJgSAVkuhSrpVSzw&#10;WKHUsQOeeDp2GsEe4I1S6Hf9MJ384jiKnalecGbODGT2lt0KTHwHPjyAQ/Zih7iRYYtHLQ12bUaJ&#10;kta4X3+7j/5IKrRS0uE2ICQ/9+A4JfK7RrpdF+fncX2Scj67nKDiTi27U4veq7XBaSChsLokRv8g&#10;j2LtjHrGxV3FrGgCzTD3AP6orMOwpbj6jK9WyQ1XxkK404+WxeARuwj5U/8Mzo70Cci7e3PcHJh/&#10;oNDgG19qs9oHU4vEr4j1gCsyJyq4bolD46ch7vOpnrzePmDL3wAAAP//AwBQSwMEFAAGAAgAAAAh&#10;AGAKUUTYAAAAAwEAAA8AAABkcnMvZG93bnJldi54bWxMj81OwzAQhO9IvIO1SNyoTYIqFOJU/KjH&#10;StDC3Ym3SUq8jmy3CX16Fi5w2dFqVjPflqvZDeKEIfaeNNwuFAikxtueWg3vu/XNPYiYDFkzeEIN&#10;XxhhVV1elKawfqI3PG1TKziEYmE0dCmNhZSx6dCZuPAjEnt7H5xJvIZW2mAmDneDzJRaSmd64obO&#10;jPjcYfO5PToNy8263hxC/oHZdPf69OLObpzPWl9fzY8PIBLO6e8YfvAZHSpmqv2RbBSDBn4k/U72&#10;8jwDUbMqBbIq5X/26hsAAP//AwBQSwECLQAUAAYACAAAACEAtoM4kv4AAADhAQAAEwAAAAAAAAAA&#10;AAAAAAAAAAAAW0NvbnRlbnRfVHlwZXNdLnhtbFBLAQItABQABgAIAAAAIQA4/SH/1gAAAJQBAAAL&#10;AAAAAAAAAAAAAAAAAC8BAABfcmVscy8ucmVsc1BLAQItABQABgAIAAAAIQB3L2NkfwIAAAgFAAAO&#10;AAAAAAAAAAAAAAAAAC4CAABkcnMvZTJvRG9jLnhtbFBLAQItABQABgAIAAAAIQBgClFE2AAAAAMB&#10;AAAPAAAAAAAAAAAAAAAAANkEAABkcnMvZG93bnJldi54bWxQSwUGAAAAAAQABADzAAAA3gUAAAAA&#10;" fillcolor="#c00" strokecolor="#ed7d31" strokeweight=".5pt">
                      <v:textbox>
                        <w:txbxContent>
                          <w:p w14:paraId="6BCC31CC" w14:textId="77777777" w:rsidR="008D2C68" w:rsidRDefault="008D2C68" w:rsidP="00F97B16">
                            <w:pPr>
                              <w:jc w:val="center"/>
                            </w:pPr>
                          </w:p>
                          <w:p w14:paraId="139F43F7" w14:textId="77777777" w:rsidR="008D2C68" w:rsidRDefault="008D2C68" w:rsidP="00F97B16">
                            <w:pPr>
                              <w:jc w:val="center"/>
                            </w:pPr>
                          </w:p>
                        </w:txbxContent>
                      </v:textbox>
                      <w10:anchorlock/>
                    </v:shape>
                  </w:pict>
                </mc:Fallback>
              </mc:AlternateContent>
            </w:r>
          </w:p>
        </w:tc>
        <w:tc>
          <w:tcPr>
            <w:tcW w:w="7083" w:type="dxa"/>
            <w:gridSpan w:val="2"/>
          </w:tcPr>
          <w:p w14:paraId="057FA237" w14:textId="2625C483" w:rsidR="00DE508C" w:rsidRPr="00E36AA6" w:rsidRDefault="00DE508C" w:rsidP="00DE508C">
            <w:pPr>
              <w:ind w:left="405"/>
              <w:rPr>
                <w:color w:val="212121"/>
              </w:rPr>
            </w:pPr>
            <w:r w:rsidRPr="00E36AA6">
              <w:rPr>
                <w:color w:val="212121"/>
              </w:rPr>
              <w:t xml:space="preserve">Administrator </w:t>
            </w:r>
            <w:r>
              <w:rPr>
                <w:color w:val="212121"/>
              </w:rPr>
              <w:t>l</w:t>
            </w:r>
            <w:r w:rsidRPr="00E36AA6">
              <w:rPr>
                <w:color w:val="212121"/>
              </w:rPr>
              <w:t xml:space="preserve">ogon </w:t>
            </w:r>
            <w:r>
              <w:rPr>
                <w:color w:val="212121"/>
              </w:rPr>
              <w:t>p</w:t>
            </w:r>
            <w:r w:rsidRPr="00E36AA6">
              <w:rPr>
                <w:color w:val="212121"/>
              </w:rPr>
              <w:t>ractices</w:t>
            </w:r>
          </w:p>
        </w:tc>
      </w:tr>
      <w:tr w:rsidR="00F97B16" w:rsidRPr="00275388" w14:paraId="61080F50" w14:textId="77777777" w:rsidTr="00915020">
        <w:tc>
          <w:tcPr>
            <w:tcW w:w="788" w:type="dxa"/>
            <w:vAlign w:val="center"/>
          </w:tcPr>
          <w:p w14:paraId="75BDAB47" w14:textId="77777777" w:rsidR="00F97B16" w:rsidRPr="00275388" w:rsidRDefault="00F97B16" w:rsidP="00915020">
            <w:pPr>
              <w:jc w:val="center"/>
              <w:rPr>
                <w:color w:val="212121"/>
              </w:rPr>
            </w:pPr>
            <w:r w:rsidRPr="00275388">
              <w:rPr>
                <w:noProof/>
              </w:rPr>
              <mc:AlternateContent>
                <mc:Choice Requires="wps">
                  <w:drawing>
                    <wp:inline distT="0" distB="0" distL="0" distR="0" wp14:anchorId="27562A1B" wp14:editId="2F9A263A">
                      <wp:extent cx="210553" cy="190500"/>
                      <wp:effectExtent l="0" t="0" r="18415" b="19050"/>
                      <wp:docPr id="112" name="Octagon 112"/>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5FFF2116" w14:textId="77777777" w:rsidR="008D2C68" w:rsidRDefault="008D2C68" w:rsidP="00F97B16">
                                  <w:pPr>
                                    <w:jc w:val="center"/>
                                  </w:pPr>
                                </w:p>
                                <w:p w14:paraId="59A53856"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7562A1B" id="Octagon 112" o:spid="_x0000_s1137"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PgIfgIAAAgFAAAOAAAAZHJzL2Uyb0RvYy54bWysVEtv2zAMvg/YfxB0X22nTR9GnSJI1mFA&#10;0RZoi54ZWbYF6DVJid39+lGy06ZdT8NyUEiR4uPjR19eDUqSHXdeGF3R4iinhGtmaqHbij49Xn87&#10;p8QH0DVIo3lFX7inV4uvXy57W/KZ6YysuSMYRPuytxXtQrBllnnWcQX+yFiu0dgYpyCg6tqsdtBj&#10;dCWzWZ6fZr1xtXWGce/xdj0a6SLFbxrOwl3TeB6IrCjWFtLp0rmJZ7a4hLJ1YDvBpjLgH6pQIDQm&#10;fQ21hgBk68RfoZRgznjThCNmVGaaRjCeesBuivxDNw8dWJ56QXC8fYXJ/7+w7HZ374iocXbFjBIN&#10;Cod0xwK0RpN4hQD11pfo92Dv3aR5FGO3Q+NU/Mc+yJBAfXkFlQ+BMLycFfl8fkwJQ1Nxkc/zBHr2&#10;9tg6H35wo0gUKmrG5AlN2N34gDnRe+8V03kjRX0tpEyKazcr6cgOcMSrVY6/WDQ+eecmNekreno8&#10;RxYwQKY1EgKKymLvXreUgGyRwiy4lPrdY3+Y4/v6bH1cfJYj1rgG3421pAjRDUolArJcClXR81jg&#10;vkKpo5Unnk6dRrBHeKMUhs0wTic/i6Hi3cbULzgzZ0Yye8uuBSa+AR/uwSF7sUPcyHCHRyMNdm0m&#10;iZLOuN+f3Ud/JBVaKelxGxCSX1twnBL5UyPdLoqTk7g+STmZn81QcYeWzaFFb9XK4DQK3H3Lkhj9&#10;g9yLjTPqGRd3GbOiCTTD3CP4k7IK45bi6jO+XCY3XBkL4UY/WBaDR+wi5I/DMzg70Scg727NfnOg&#10;/ECh0Te+1Ga5DaYRiV9vuCJzooLrljg0fRriPh/qyevtA7b4AwAA//8DAFBLAwQUAAYACAAAACEA&#10;YApRRNgAAAADAQAADwAAAGRycy9kb3ducmV2LnhtbEyPzU7DMBCE70i8g7VI3KhNgioU4lT8qMdK&#10;0MLdibdJSryObLcJfXoWLnDZ0WpWM9+Wq9kN4oQh9p403C4UCKTG255aDe+79c09iJgMWTN4Qg1f&#10;GGFVXV6UprB+ojc8bVMrOIRiYTR0KY2FlLHp0Jm48CMSe3sfnEm8hlbaYCYOd4PMlFpKZ3rihs6M&#10;+Nxh87k9Og3LzbreHEL+gdl09/r04s5unM9aX1/Njw8gEs7p7xh+8BkdKmaq/ZFsFIMGfiT9Tvby&#10;PANRsyoFsirlf/bqGwAA//8DAFBLAQItABQABgAIAAAAIQC2gziS/gAAAOEBAAATAAAAAAAAAAAA&#10;AAAAAAAAAABbQ29udGVudF9UeXBlc10ueG1sUEsBAi0AFAAGAAgAAAAhADj9If/WAAAAlAEAAAsA&#10;AAAAAAAAAAAAAAAALwEAAF9yZWxzLy5yZWxzUEsBAi0AFAAGAAgAAAAhAHt0+Ah+AgAACAUAAA4A&#10;AAAAAAAAAAAAAAAALgIAAGRycy9lMm9Eb2MueG1sUEsBAi0AFAAGAAgAAAAhAGAKUUTYAAAAAwEA&#10;AA8AAAAAAAAAAAAAAAAA2AQAAGRycy9kb3ducmV2LnhtbFBLBQYAAAAABAAEAPMAAADdBQAAAAA=&#10;" fillcolor="#c00" strokecolor="#ed7d31" strokeweight=".5pt">
                      <v:textbox>
                        <w:txbxContent>
                          <w:p w14:paraId="5FFF2116" w14:textId="77777777" w:rsidR="008D2C68" w:rsidRDefault="008D2C68" w:rsidP="00F97B16">
                            <w:pPr>
                              <w:jc w:val="center"/>
                            </w:pPr>
                          </w:p>
                          <w:p w14:paraId="59A53856" w14:textId="77777777" w:rsidR="008D2C68" w:rsidRDefault="008D2C68" w:rsidP="00F97B16">
                            <w:pPr>
                              <w:jc w:val="center"/>
                            </w:pPr>
                          </w:p>
                        </w:txbxContent>
                      </v:textbox>
                      <w10:anchorlock/>
                    </v:shape>
                  </w:pict>
                </mc:Fallback>
              </mc:AlternateContent>
            </w:r>
          </w:p>
        </w:tc>
        <w:tc>
          <w:tcPr>
            <w:tcW w:w="1143" w:type="dxa"/>
            <w:gridSpan w:val="2"/>
            <w:vAlign w:val="center"/>
          </w:tcPr>
          <w:p w14:paraId="0860C40C" w14:textId="77777777" w:rsidR="00F97B16" w:rsidRPr="00275388" w:rsidRDefault="00F97B16" w:rsidP="00915020">
            <w:pPr>
              <w:jc w:val="center"/>
              <w:rPr>
                <w:color w:val="212121"/>
              </w:rPr>
            </w:pPr>
            <w:r w:rsidRPr="00275388">
              <w:rPr>
                <w:noProof/>
              </w:rPr>
              <mc:AlternateContent>
                <mc:Choice Requires="wps">
                  <w:drawing>
                    <wp:inline distT="0" distB="0" distL="0" distR="0" wp14:anchorId="47B94AEF" wp14:editId="2A7C9C70">
                      <wp:extent cx="210553" cy="190500"/>
                      <wp:effectExtent l="0" t="0" r="18415" b="19050"/>
                      <wp:docPr id="119" name="Octagon 119"/>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326F11EF" w14:textId="77777777" w:rsidR="008D2C68" w:rsidRDefault="008D2C68" w:rsidP="00F97B16">
                                  <w:pPr>
                                    <w:jc w:val="center"/>
                                  </w:pPr>
                                </w:p>
                                <w:p w14:paraId="6A0FDDBB"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7B94AEF" id="Octagon 119" o:spid="_x0000_s1138"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55pfgIAAAgFAAAOAAAAZHJzL2Uyb0RvYy54bWysVEtv2zAMvg/YfxB0X22nTR9GnSJI1mFA&#10;0RZoi54ZWbYF6DVJid39+lGy06ZdT8NyUEiR4uPjR19eDUqSHXdeGF3R4iinhGtmaqHbij49Xn87&#10;p8QH0DVIo3lFX7inV4uvXy57W/KZ6YysuSMYRPuytxXtQrBllnnWcQX+yFiu0dgYpyCg6tqsdtBj&#10;dCWzWZ6fZr1xtXWGce/xdj0a6SLFbxrOwl3TeB6IrCjWFtLp0rmJZ7a4hLJ1YDvBpjLgH6pQIDQm&#10;fQ21hgBk68RfoZRgznjThCNmVGaaRjCeesBuivxDNw8dWJ56QXC8fYXJ/7+w7HZ374iocXbFBSUa&#10;FA7pjgVojSbxCgHqrS/R78Heu0nzKMZuh8ap+I99kCGB+vIKKh8CYXg5K/L5/JgShqbiIp/nCfTs&#10;7bF1PvzgRpEoVNSMyROasLvxAXOi994rpvNGivpaSJkU125W0pEd4IhXqxx/sWh88s5NatJX9PR4&#10;jixggExrJAQUlcXevW4pAdkihVlwKfW7x/4wx/f12fq4+CxHrHENvhtrSRGiG5RKBGS5FKqi57HA&#10;fYVSRytPPJ06jWCP8EYpDJthnE5+HkPFu42pX3Bmzoxk9pZdC0x8Az7cg0P2Yoe4keEOj0Ya7NpM&#10;EiWdcb8/u4/+SCq0UtLjNiAkv7bgOCXyp0a6XRQnJ3F9knIyP5uh4g4tm0OL3qqVwWkUuPuWJTH6&#10;B7kXG2fUMy7uMmZFE2iGuUfwJ2UVxi3F1Wd8uUxuuDIWwo1+sCwGj9hFyB+HZ3B2ok9A3t2a/eZA&#10;+YFCo298qc1yG0wjEr/ecEXmRAXXLXFo+jTEfT7Uk9fbB2zxBwAA//8DAFBLAwQUAAYACAAAACEA&#10;YApRRNgAAAADAQAADwAAAGRycy9kb3ducmV2LnhtbEyPzU7DMBCE70i8g7VI3KhNgioU4lT8qMdK&#10;0MLdibdJSryObLcJfXoWLnDZ0WpWM9+Wq9kN4oQh9p403C4UCKTG255aDe+79c09iJgMWTN4Qg1f&#10;GGFVXV6UprB+ojc8bVMrOIRiYTR0KY2FlLHp0Jm48CMSe3sfnEm8hlbaYCYOd4PMlFpKZ3rihs6M&#10;+Nxh87k9Og3LzbreHEL+gdl09/r04s5unM9aX1/Njw8gEs7p7xh+8BkdKmaq/ZFsFIMGfiT9Tvby&#10;PANRsyoFsirlf/bqGwAA//8DAFBLAQItABQABgAIAAAAIQC2gziS/gAAAOEBAAATAAAAAAAAAAAA&#10;AAAAAAAAAABbQ29udGVudF9UeXBlc10ueG1sUEsBAi0AFAAGAAgAAAAhADj9If/WAAAAlAEAAAsA&#10;AAAAAAAAAAAAAAAALwEAAF9yZWxzLy5yZWxzUEsBAi0AFAAGAAgAAAAhAHsjnml+AgAACAUAAA4A&#10;AAAAAAAAAAAAAAAALgIAAGRycy9lMm9Eb2MueG1sUEsBAi0AFAAGAAgAAAAhAGAKUUTYAAAAAwEA&#10;AA8AAAAAAAAAAAAAAAAA2AQAAGRycy9kb3ducmV2LnhtbFBLBQYAAAAABAAEAPMAAADdBQAAAAA=&#10;" fillcolor="#c00" strokecolor="#ed7d31" strokeweight=".5pt">
                      <v:textbox>
                        <w:txbxContent>
                          <w:p w14:paraId="326F11EF" w14:textId="77777777" w:rsidR="008D2C68" w:rsidRDefault="008D2C68" w:rsidP="00F97B16">
                            <w:pPr>
                              <w:jc w:val="center"/>
                            </w:pPr>
                          </w:p>
                          <w:p w14:paraId="6A0FDDBB" w14:textId="77777777" w:rsidR="008D2C68" w:rsidRDefault="008D2C68" w:rsidP="00F97B16">
                            <w:pPr>
                              <w:jc w:val="center"/>
                            </w:pPr>
                          </w:p>
                        </w:txbxContent>
                      </v:textbox>
                      <w10:anchorlock/>
                    </v:shape>
                  </w:pict>
                </mc:Fallback>
              </mc:AlternateContent>
            </w:r>
          </w:p>
        </w:tc>
        <w:tc>
          <w:tcPr>
            <w:tcW w:w="881" w:type="dxa"/>
            <w:gridSpan w:val="2"/>
            <w:vAlign w:val="center"/>
          </w:tcPr>
          <w:p w14:paraId="034DC094" w14:textId="77777777" w:rsidR="00F97B16" w:rsidRPr="00275388" w:rsidRDefault="00F97B16" w:rsidP="00915020">
            <w:pPr>
              <w:jc w:val="center"/>
              <w:rPr>
                <w:color w:val="212121"/>
              </w:rPr>
            </w:pPr>
            <w:r w:rsidRPr="00275388">
              <w:rPr>
                <w:noProof/>
              </w:rPr>
              <mc:AlternateContent>
                <mc:Choice Requires="wps">
                  <w:drawing>
                    <wp:inline distT="0" distB="0" distL="0" distR="0" wp14:anchorId="098A3C2C" wp14:editId="17332267">
                      <wp:extent cx="210553" cy="190500"/>
                      <wp:effectExtent l="0" t="0" r="18415" b="19050"/>
                      <wp:docPr id="123" name="Octagon 123"/>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7DBA3BF3" w14:textId="77777777" w:rsidR="008D2C68" w:rsidRDefault="008D2C68" w:rsidP="00F97B16">
                                  <w:pPr>
                                    <w:jc w:val="center"/>
                                  </w:pPr>
                                </w:p>
                                <w:p w14:paraId="6C9AE47E"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98A3C2C" id="Octagon 123" o:spid="_x0000_s1139"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8iofgIAAAgFAAAOAAAAZHJzL2Uyb0RvYy54bWysVEtv2zAMvg/YfxB0X22nTR9GnSJI1mFA&#10;0RZoi54ZWbYF6DVJid39+lGy06ZdT8NyUEiR4uPjR19eDUqSHXdeGF3R4iinhGtmaqHbij49Xn87&#10;p8QH0DVIo3lFX7inV4uvXy57W/KZ6YysuSMYRPuytxXtQrBllnnWcQX+yFiu0dgYpyCg6tqsdtBj&#10;dCWzWZ6fZr1xtXWGce/xdj0a6SLFbxrOwl3TeB6IrCjWFtLp0rmJZ7a4hLJ1YDvBpjLgH6pQIDQm&#10;fQ21hgBk68RfoZRgznjThCNmVGaaRjCeesBuivxDNw8dWJ56QXC8fYXJ/7+w7HZ374iocXazY0o0&#10;KBzSHQvQGk3iFQLUW1+i34O9d5PmUYzdDo1T8R/7IEMC9eUVVD4EwvByVuTzOYZmaCou8nmeQM/e&#10;Hlvnww9uFIlCRc2YPKEJuxsfMCd6771iOm+kqK+FlElx7WYlHdkBjni1yvEXi8Yn79ykJn1FT4/n&#10;yAIGyLRGQkBRWezd65YSkC1SmAWXUr977A9zfF+frY+Lz3LEGtfgu7GWFCG6QalEQJZLoSp6Hgvc&#10;Vyh1tPLE06nTCPYIb5TCsBnG6eQXMVS825j6BWfmzEhmb9m1wMQ34MM9OGQvdogbGe7waKTBrs0k&#10;UdIZ9/uz++iPpEIrJT1uA0LyawuOUyJ/aqTbRXFyEtcnKSfzsxkq7tCyObTorVoZnEaBu29ZEqN/&#10;kHuxcUY94+IuY1Y0gWaYewR/UlZh3FJcfcaXy+SGK2Mh3OgHy2LwiF2E/HF4Bmcn+gTk3a3Zbw6U&#10;Hyg0+saX2iy3wTQi8esNV2ROVHDdEoemT0Pc50M9eb19wBZ/AAAA//8DAFBLAwQUAAYACAAAACEA&#10;YApRRNgAAAADAQAADwAAAGRycy9kb3ducmV2LnhtbEyPzU7DMBCE70i8g7VI3KhNgioU4lT8qMdK&#10;0MLdibdJSryObLcJfXoWLnDZ0WpWM9+Wq9kN4oQh9p403C4UCKTG255aDe+79c09iJgMWTN4Qg1f&#10;GGFVXV6UprB+ojc8bVMrOIRiYTR0KY2FlLHp0Jm48CMSe3sfnEm8hlbaYCYOd4PMlFpKZ3rihs6M&#10;+Nxh87k9Og3LzbreHEL+gdl09/r04s5unM9aX1/Njw8gEs7p7xh+8BkdKmaq/ZFsFIMGfiT9Tvby&#10;PANRsyoFsirlf/bqGwAA//8DAFBLAQItABQABgAIAAAAIQC2gziS/gAAAOEBAAATAAAAAAAAAAAA&#10;AAAAAAAAAABbQ29udGVudF9UeXBlc10ueG1sUEsBAi0AFAAGAAgAAAAhADj9If/WAAAAlAEAAAsA&#10;AAAAAAAAAAAAAAAALwEAAF9yZWxzLy5yZWxzUEsBAi0AFAAGAAgAAAAhAEG3yKh+AgAACAUAAA4A&#10;AAAAAAAAAAAAAAAALgIAAGRycy9lMm9Eb2MueG1sUEsBAi0AFAAGAAgAAAAhAGAKUUTYAAAAAwEA&#10;AA8AAAAAAAAAAAAAAAAA2AQAAGRycy9kb3ducmV2LnhtbFBLBQYAAAAABAAEAPMAAADdBQAAAAA=&#10;" fillcolor="#c00" strokecolor="#ed7d31" strokeweight=".5pt">
                      <v:textbox>
                        <w:txbxContent>
                          <w:p w14:paraId="7DBA3BF3" w14:textId="77777777" w:rsidR="008D2C68" w:rsidRDefault="008D2C68" w:rsidP="00F97B16">
                            <w:pPr>
                              <w:jc w:val="center"/>
                            </w:pPr>
                          </w:p>
                          <w:p w14:paraId="6C9AE47E" w14:textId="77777777" w:rsidR="008D2C68" w:rsidRDefault="008D2C68" w:rsidP="00F97B16">
                            <w:pPr>
                              <w:jc w:val="center"/>
                            </w:pPr>
                          </w:p>
                        </w:txbxContent>
                      </v:textbox>
                      <w10:anchorlock/>
                    </v:shape>
                  </w:pict>
                </mc:Fallback>
              </mc:AlternateContent>
            </w:r>
          </w:p>
        </w:tc>
        <w:tc>
          <w:tcPr>
            <w:tcW w:w="7083" w:type="dxa"/>
            <w:gridSpan w:val="2"/>
          </w:tcPr>
          <w:p w14:paraId="58E1946D" w14:textId="77777777" w:rsidR="00F97B16" w:rsidRPr="00682618" w:rsidRDefault="00F97B16" w:rsidP="00915020">
            <w:pPr>
              <w:ind w:left="405"/>
              <w:rPr>
                <w:color w:val="212121"/>
              </w:rPr>
            </w:pPr>
            <w:r w:rsidRPr="00682618">
              <w:rPr>
                <w:color w:val="212121"/>
              </w:rPr>
              <w:t>Use of approved support technology</w:t>
            </w:r>
          </w:p>
        </w:tc>
      </w:tr>
      <w:tr w:rsidR="00F97B16" w14:paraId="161CF30B" w14:textId="77777777" w:rsidTr="00915020">
        <w:tc>
          <w:tcPr>
            <w:tcW w:w="788" w:type="dxa"/>
            <w:vAlign w:val="center"/>
          </w:tcPr>
          <w:p w14:paraId="0D404842" w14:textId="77777777" w:rsidR="00F97B16" w:rsidRPr="00275388" w:rsidRDefault="00F97B16" w:rsidP="00915020">
            <w:pPr>
              <w:jc w:val="center"/>
              <w:rPr>
                <w:noProof/>
              </w:rPr>
            </w:pPr>
            <w:r w:rsidRPr="00275388">
              <w:rPr>
                <w:noProof/>
              </w:rPr>
              <mc:AlternateContent>
                <mc:Choice Requires="wps">
                  <w:drawing>
                    <wp:inline distT="0" distB="0" distL="0" distR="0" wp14:anchorId="1FBB88A9" wp14:editId="78767A8E">
                      <wp:extent cx="210553" cy="190500"/>
                      <wp:effectExtent l="0" t="0" r="18415" b="19050"/>
                      <wp:docPr id="198" name="Octagon 198"/>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0D3CA27F" w14:textId="77777777" w:rsidR="008D2C68" w:rsidRDefault="008D2C68" w:rsidP="00F97B16">
                                  <w:pPr>
                                    <w:jc w:val="center"/>
                                  </w:pPr>
                                </w:p>
                                <w:p w14:paraId="6A32AB31"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FBB88A9" id="Octagon 198" o:spid="_x0000_s1140"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28lfQIAAAgFAAAOAAAAZHJzL2Uyb0RvYy54bWysVEtv2zAMvg/YfxB0X22nTR9GnSJI1mFA&#10;0RZoi54ZWbYF6DVJid39+lGy06ZdT8NyUEiR4uPjR19eDUqSHXdeGF3R4iinhGtmaqHbij49Xn87&#10;p8QH0DVIo3lFX7inV4uvXy57W/KZ6YysuSMYRPuytxXtQrBllnnWcQX+yFiu0dgYpyCg6tqsdtBj&#10;dCWzWZ6fZr1xtXWGce/xdj0a6SLFbxrOwl3TeB6IrCjWFtLp0rmJZ7a4hLJ1YDvBpjLgH6pQIDQm&#10;fQ21hgBk68RfoZRgznjThCNmVGaaRjCeesBuivxDNw8dWJ56QXC8fYXJ/7+w7HZ374iocXYXOCoN&#10;Cod0xwK0RpN4hQD11pfo92Dv3aR5FGO3Q+NU/Mc+yJBAfXkFlQ+BMLycFfl8fkwJQ1Nxkc/zBHr2&#10;9tg6H35wo0gUKmrG5AlN2N34gDnRe+8V03kjRX0tpEyKazcr6cgOcMSrVY6/WDQ+eecmNekreno8&#10;RxYwQKY1EgKKymLvXreUgGyRwiy4lPrdY3+Y4/v6bH1cfJYj1rgG3421pAjRDUolArJcClXR81jg&#10;vkKpo5Unnk6dRrBHeKMUhs0wTqdIb+LdxtQvODNnRjJ7y64FJr4BH+7BIXuxQ9zIcIdHIw12bSaJ&#10;ks6435/dR38kFVop6XEbEJJfW3CcEvlTI90uipOTuD5JOZmfzVBxh5bNoUVv1crgNArcfcuSGP2D&#10;3IuNM+oZF3cZs6IJNMPcI/iTsgrjluLqM75cJjdcGQvhRj9YFoNH7CLkj8MzODvRJyDvbs1+c6D8&#10;QKHRN77UZrkNphGJX2+4InOiguuWODR9GuI+H+rJ6+0DtvgDAAD//wMAUEsDBBQABgAIAAAAIQBg&#10;ClFE2AAAAAMBAAAPAAAAZHJzL2Rvd25yZXYueG1sTI/NTsMwEITvSLyDtUjcqE2CKhTiVPyox0rQ&#10;wt2Jt0lKvI5stwl9ehYucNnRalYz35ar2Q3ihCH2njTcLhQIpMbbnloN77v1zT2ImAxZM3hCDV8Y&#10;YVVdXpSmsH6iNzxtUys4hGJhNHQpjYWUsenQmbjwIxJ7ex+cSbyGVtpgJg53g8yUWkpneuKGzoz4&#10;3GHzuT06DcvNut4cQv6B2XT3+vTizm6cz1pfX82PDyASzunvGH7wGR0qZqr9kWwUgwZ+JP1O9vI8&#10;A1GzKgWyKuV/9uobAAD//wMAUEsBAi0AFAAGAAgAAAAhALaDOJL+AAAA4QEAABMAAAAAAAAAAAAA&#10;AAAAAAAAAFtDb250ZW50X1R5cGVzXS54bWxQSwECLQAUAAYACAAAACEAOP0h/9YAAACUAQAACwAA&#10;AAAAAAAAAAAAAAAvAQAAX3JlbHMvLnJlbHNQSwECLQAUAAYACAAAACEAsbNvJX0CAAAIBQAADgAA&#10;AAAAAAAAAAAAAAAuAgAAZHJzL2Uyb0RvYy54bWxQSwECLQAUAAYACAAAACEAYApRRNgAAAADAQAA&#10;DwAAAAAAAAAAAAAAAADXBAAAZHJzL2Rvd25yZXYueG1sUEsFBgAAAAAEAAQA8wAAANwFAAAAAA==&#10;" fillcolor="#c00" strokecolor="#ed7d31" strokeweight=".5pt">
                      <v:textbox>
                        <w:txbxContent>
                          <w:p w14:paraId="0D3CA27F" w14:textId="77777777" w:rsidR="008D2C68" w:rsidRDefault="008D2C68" w:rsidP="00F97B16">
                            <w:pPr>
                              <w:jc w:val="center"/>
                            </w:pPr>
                          </w:p>
                          <w:p w14:paraId="6A32AB31" w14:textId="77777777" w:rsidR="008D2C68" w:rsidRDefault="008D2C68" w:rsidP="00F97B16">
                            <w:pPr>
                              <w:jc w:val="center"/>
                            </w:pPr>
                          </w:p>
                        </w:txbxContent>
                      </v:textbox>
                      <w10:anchorlock/>
                    </v:shape>
                  </w:pict>
                </mc:Fallback>
              </mc:AlternateContent>
            </w:r>
          </w:p>
        </w:tc>
        <w:tc>
          <w:tcPr>
            <w:tcW w:w="1143" w:type="dxa"/>
            <w:gridSpan w:val="2"/>
            <w:vAlign w:val="center"/>
          </w:tcPr>
          <w:p w14:paraId="7620B76F" w14:textId="77777777" w:rsidR="00F97B16" w:rsidRPr="00275388" w:rsidRDefault="00F97B16" w:rsidP="00915020">
            <w:pPr>
              <w:jc w:val="center"/>
              <w:rPr>
                <w:color w:val="212121"/>
              </w:rPr>
            </w:pPr>
            <w:r w:rsidRPr="00275388">
              <w:rPr>
                <w:noProof/>
              </w:rPr>
              <mc:AlternateContent>
                <mc:Choice Requires="wps">
                  <w:drawing>
                    <wp:inline distT="0" distB="0" distL="0" distR="0" wp14:anchorId="74489E82" wp14:editId="20F5C40F">
                      <wp:extent cx="210553" cy="190500"/>
                      <wp:effectExtent l="0" t="0" r="18415" b="19050"/>
                      <wp:docPr id="199" name="Octagon 199"/>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34DE5476" w14:textId="77777777" w:rsidR="008D2C68" w:rsidRDefault="008D2C68" w:rsidP="00F97B16">
                                  <w:pPr>
                                    <w:jc w:val="center"/>
                                  </w:pPr>
                                </w:p>
                                <w:p w14:paraId="505B0EA7"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4489E82" id="Octagon 199" o:spid="_x0000_s1141"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0ZBfgIAAAgFAAAOAAAAZHJzL2Uyb0RvYy54bWysVN1P2zAQf5+0/8Hy+0hSKKMRKaraMU1C&#10;gAQTz1fHSSz5a7bbhP31OzspFMbTtD64d77zffzud7m8GpQke+68MLqixUlOCdfM1EK3Ff35eP3l&#10;ghIfQNcgjeYVfeaeXi0/f7rsbclnpjOy5o5gEO3L3la0C8GWWeZZxxX4E2O5RmNjnIKAqmuz2kGP&#10;0ZXMZnl+nvXG1dYZxr3H281opMsUv2k4C3dN43kgsqJYW0inS+c2ntnyEsrWge0Em8qAf6hCgdCY&#10;9CXUBgKQnRN/hVKCOeNNE06YUZlpGsF46gG7KfJ33Tx0YHnqBcHx9gUm///Cstv9vSOixtktFpRo&#10;UDikOxagNZrEKwSot75Evwd77ybNoxi7HRqn4j/2QYYE6vMLqHwIhOHlrMjn81NKGJqKRT7PE+jZ&#10;62PrfPjOjSJRqKgZkyc0YX/jA+ZE74NXTOeNFPW1kDIprt2upSN7wBGv1zn+YtH45I2b1KSv6Pnp&#10;HFnAAJnWSAgoKou9e91SArJFCrPgUuo3j/1xjm+br5vT4qMcscYN+G6sJUWIblAqEZDlUqiKXsQC&#10;DxVKHa088XTqNII9whulMGyHcTpFyhjvtqZ+xpk5M5LZW3YtMPEN+HAPDtmLHeJGhjs8GmmwazNJ&#10;lHTG/f7oPvojqdBKSY/bgJD82oHjlMgfGum2KM7O4vok5Wz+dYaKO7Zsjy16p9YGp1Hg7luWxOgf&#10;5EFsnFFPuLirmBVNoBnmHsGflHUYtxRXn/HVKrnhylgIN/rBshg8YhchfxyewNmJPgF5d2sOmwPl&#10;OwqNvvGlNqtdMI1I/HrFFZkTFVy3xKHp0xD3+VhPXq8fsOUfAAAA//8DAFBLAwQUAAYACAAAACEA&#10;YApRRNgAAAADAQAADwAAAGRycy9kb3ducmV2LnhtbEyPzU7DMBCE70i8g7VI3KhNgioU4lT8qMdK&#10;0MLdibdJSryObLcJfXoWLnDZ0WpWM9+Wq9kN4oQh9p403C4UCKTG255aDe+79c09iJgMWTN4Qg1f&#10;GGFVXV6UprB+ojc8bVMrOIRiYTR0KY2FlLHp0Jm48CMSe3sfnEm8hlbaYCYOd4PMlFpKZ3rihs6M&#10;+Nxh87k9Og3LzbreHEL+gdl09/r04s5unM9aX1/Njw8gEs7p7xh+8BkdKmaq/ZFsFIMGfiT9Tvby&#10;PANRsyoFsirlf/bqGwAA//8DAFBLAQItABQABgAIAAAAIQC2gziS/gAAAOEBAAATAAAAAAAAAAAA&#10;AAAAAAAAAABbQ29udGVudF9UeXBlc10ueG1sUEsBAi0AFAAGAAgAAAAhADj9If/WAAAAlAEAAAsA&#10;AAAAAAAAAAAAAAAALwEAAF9yZWxzLy5yZWxzUEsBAi0AFAAGAAgAAAAhAO47RkF+AgAACAUAAA4A&#10;AAAAAAAAAAAAAAAALgIAAGRycy9lMm9Eb2MueG1sUEsBAi0AFAAGAAgAAAAhAGAKUUTYAAAAAwEA&#10;AA8AAAAAAAAAAAAAAAAA2AQAAGRycy9kb3ducmV2LnhtbFBLBQYAAAAABAAEAPMAAADdBQAAAAA=&#10;" fillcolor="#c00" strokecolor="#ed7d31" strokeweight=".5pt">
                      <v:textbox>
                        <w:txbxContent>
                          <w:p w14:paraId="34DE5476" w14:textId="77777777" w:rsidR="008D2C68" w:rsidRDefault="008D2C68" w:rsidP="00F97B16">
                            <w:pPr>
                              <w:jc w:val="center"/>
                            </w:pPr>
                          </w:p>
                          <w:p w14:paraId="505B0EA7" w14:textId="77777777" w:rsidR="008D2C68" w:rsidRDefault="008D2C68" w:rsidP="00F97B16">
                            <w:pPr>
                              <w:jc w:val="center"/>
                            </w:pPr>
                          </w:p>
                        </w:txbxContent>
                      </v:textbox>
                      <w10:anchorlock/>
                    </v:shape>
                  </w:pict>
                </mc:Fallback>
              </mc:AlternateContent>
            </w:r>
          </w:p>
        </w:tc>
        <w:tc>
          <w:tcPr>
            <w:tcW w:w="881" w:type="dxa"/>
            <w:gridSpan w:val="2"/>
            <w:vAlign w:val="center"/>
          </w:tcPr>
          <w:p w14:paraId="602A04A6" w14:textId="77777777" w:rsidR="00F97B16" w:rsidRPr="00275388" w:rsidRDefault="00F97B16" w:rsidP="00915020">
            <w:pPr>
              <w:jc w:val="center"/>
              <w:rPr>
                <w:color w:val="212121"/>
              </w:rPr>
            </w:pPr>
            <w:r w:rsidRPr="00275388">
              <w:rPr>
                <w:noProof/>
              </w:rPr>
              <mc:AlternateContent>
                <mc:Choice Requires="wps">
                  <w:drawing>
                    <wp:inline distT="0" distB="0" distL="0" distR="0" wp14:anchorId="0F6F3D68" wp14:editId="39937CF9">
                      <wp:extent cx="210553" cy="190500"/>
                      <wp:effectExtent l="0" t="0" r="18415" b="19050"/>
                      <wp:docPr id="200" name="Octagon 200"/>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504E0A10" w14:textId="77777777" w:rsidR="008D2C68" w:rsidRDefault="008D2C68" w:rsidP="00F97B16">
                                  <w:pPr>
                                    <w:jc w:val="center"/>
                                  </w:pPr>
                                </w:p>
                                <w:p w14:paraId="5CE4E925"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F6F3D68" id="Octagon 200" o:spid="_x0000_s1142"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VIIfAIAAAgFAAAOAAAAZHJzL2Uyb0RvYy54bWysVFtP2zAUfp+0/2D5fSQplEtEiqp2TJMQ&#10;IAHi+dRxEku+zXabsF+/YyeFwnia1gf33Hwun7+Ty6tBSbLjzgujK1oc5ZRwzUwtdFvRp8frb+eU&#10;+AC6Bmk0r+gL9/Rq8fXLZW9LPjOdkTV3BJNoX/a2ol0ItswyzzquwB8ZyzU6G+MUBFRdm9UOesyu&#10;ZDbL89OsN662zjDuPVrXo5MuUv6m4SzcNY3ngciKYm8hnS6dm3hmi0soWwe2E2xqA/6hCwVCY9HX&#10;VGsIQLZO/JVKCeaMN004YkZlpmkE42kGnKbIP0zz0IHlaRYEx9tXmPz/S8tud/eOiLqiiCYlGhQ+&#10;0h0L0BpNogkB6q0vMe7B3rtJ8yjGaYfGqfiPc5AhgfryCiofAmFonBX5fH5MCUNXcZHPx5zZ22Xr&#10;fPjBjSJRqKgZiyc0YXfjA9bE6H1ULOeNFPW1kDIprt2spCM7wCderXL8xabxyrswqUlf0dPjOU7J&#10;AJnWSAgoKouze91SArJFCrPgUul3l/1hje/rs/Vx8VmN2OMafDf2kjLEMCiVCMhyKVRFz2OD+w6l&#10;jl6eeDpNGsEe4Y1SGDZDep2imMVU0bYx9Qu+mTMjmb1l1wIL34AP9+CQvTghbmS4w6ORBqc2k0RJ&#10;Z9zvz+wxHkmFXkp63AaE5NcWHKdE/tRIt4vi5CSuT1JO5mczVNyhZ3Po0Vu1MvgaBe6+ZUmM8UHu&#10;xcYZ9YyLu4xV0QWaYe0R/ElZhXFLcfUZXy5TGK6MhXCjHyyLySN2EfLH4RmcnegTkHe3Zr85UH6g&#10;0Bgbb2qz3AbTiMSvN1yROVHBdUscmj4NcZ8P9RT19gFb/AEAAP//AwBQSwMEFAAGAAgAAAAhAGAK&#10;UUTYAAAAAwEAAA8AAABkcnMvZG93bnJldi54bWxMj81OwzAQhO9IvIO1SNyoTYIqFOJU/KjHStDC&#10;3Ym3SUq8jmy3CX16Fi5w2dFqVjPflqvZDeKEIfaeNNwuFAikxtueWg3vu/XNPYiYDFkzeEINXxhh&#10;VV1elKawfqI3PG1TKziEYmE0dCmNhZSx6dCZuPAjEnt7H5xJvIZW2mAmDneDzJRaSmd64obOjPjc&#10;YfO5PToNy8263hxC/oHZdPf69OLObpzPWl9fzY8PIBLO6e8YfvAZHSpmqv2RbBSDBn4k/U728jwD&#10;UbMqBbIq5X/26hsAAP//AwBQSwECLQAUAAYACAAAACEAtoM4kv4AAADhAQAAEwAAAAAAAAAAAAAA&#10;AAAAAAAAW0NvbnRlbnRfVHlwZXNdLnhtbFBLAQItABQABgAIAAAAIQA4/SH/1gAAAJQBAAALAAAA&#10;AAAAAAAAAAAAAC8BAABfcmVscy8ucmVsc1BLAQItABQABgAIAAAAIQBGZVIIfAIAAAgFAAAOAAAA&#10;AAAAAAAAAAAAAC4CAABkcnMvZTJvRG9jLnhtbFBLAQItABQABgAIAAAAIQBgClFE2AAAAAMBAAAP&#10;AAAAAAAAAAAAAAAAANYEAABkcnMvZG93bnJldi54bWxQSwUGAAAAAAQABADzAAAA2wUAAAAA&#10;" fillcolor="#c00" strokecolor="#ed7d31" strokeweight=".5pt">
                      <v:textbox>
                        <w:txbxContent>
                          <w:p w14:paraId="504E0A10" w14:textId="77777777" w:rsidR="008D2C68" w:rsidRDefault="008D2C68" w:rsidP="00F97B16">
                            <w:pPr>
                              <w:jc w:val="center"/>
                            </w:pPr>
                          </w:p>
                          <w:p w14:paraId="5CE4E925" w14:textId="77777777" w:rsidR="008D2C68" w:rsidRDefault="008D2C68" w:rsidP="00F97B16">
                            <w:pPr>
                              <w:jc w:val="center"/>
                            </w:pPr>
                          </w:p>
                        </w:txbxContent>
                      </v:textbox>
                      <w10:anchorlock/>
                    </v:shape>
                  </w:pict>
                </mc:Fallback>
              </mc:AlternateContent>
            </w:r>
          </w:p>
        </w:tc>
        <w:tc>
          <w:tcPr>
            <w:tcW w:w="7083" w:type="dxa"/>
            <w:gridSpan w:val="2"/>
          </w:tcPr>
          <w:p w14:paraId="470140BA" w14:textId="77777777" w:rsidR="00F97B16" w:rsidRPr="004E7ACC" w:rsidRDefault="00F97B16" w:rsidP="00915020">
            <w:pPr>
              <w:ind w:left="405"/>
              <w:rPr>
                <w:color w:val="212121"/>
              </w:rPr>
            </w:pPr>
            <w:r w:rsidRPr="004E7ACC">
              <w:rPr>
                <w:color w:val="212121"/>
              </w:rPr>
              <w:t xml:space="preserve">No browsing the </w:t>
            </w:r>
            <w:r>
              <w:rPr>
                <w:color w:val="212121"/>
              </w:rPr>
              <w:t>public internet</w:t>
            </w:r>
            <w:r w:rsidRPr="004E7ACC">
              <w:rPr>
                <w:color w:val="212121"/>
              </w:rPr>
              <w:t xml:space="preserve"> with admin accounts or from admin workstations</w:t>
            </w:r>
          </w:p>
        </w:tc>
      </w:tr>
      <w:tr w:rsidR="00F97B16" w14:paraId="41C1C02A" w14:textId="77777777" w:rsidTr="00915020">
        <w:tc>
          <w:tcPr>
            <w:tcW w:w="788" w:type="dxa"/>
            <w:vAlign w:val="center"/>
          </w:tcPr>
          <w:p w14:paraId="6FA4ADCE" w14:textId="77777777" w:rsidR="00F97B16" w:rsidRPr="00275388" w:rsidRDefault="00F97B16" w:rsidP="00915020">
            <w:pPr>
              <w:jc w:val="center"/>
              <w:rPr>
                <w:noProof/>
              </w:rPr>
            </w:pPr>
            <w:r w:rsidRPr="00275388">
              <w:rPr>
                <w:noProof/>
              </w:rPr>
              <mc:AlternateContent>
                <mc:Choice Requires="wps">
                  <w:drawing>
                    <wp:inline distT="0" distB="0" distL="0" distR="0" wp14:anchorId="6A2E2D27" wp14:editId="08872310">
                      <wp:extent cx="210553" cy="190500"/>
                      <wp:effectExtent l="0" t="0" r="18415" b="19050"/>
                      <wp:docPr id="206" name="Octagon 206"/>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54D10868" w14:textId="77777777" w:rsidR="008D2C68" w:rsidRDefault="008D2C68" w:rsidP="00F97B16">
                                  <w:pPr>
                                    <w:jc w:val="center"/>
                                  </w:pPr>
                                </w:p>
                                <w:p w14:paraId="723C610F"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A2E2D27" id="Octagon 206" o:spid="_x0000_s1143"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k2cfgIAAAgFAAAOAAAAZHJzL2Uyb0RvYy54bWysVFtP2zAUfp+0/2D5fSRpKYOIFFXtmCYh&#10;QIKJ51PHSSz5Ntttwn79jp0UCuNpWh/cc/O5fP5OLq8GJcmeOy+MrmhxklPCNTO10G1Ffz5efzmn&#10;xAfQNUijeUWfuadXy8+fLntb8pnpjKy5I5hE+7K3Fe1CsGWWedZxBf7EWK7R2RinIKDq2qx20GN2&#10;JbNZnp9lvXG1dYZx79G6GZ10mfI3DWfhrmk8D0RWFHsL6XTp3MYzW15C2TqwnWBTG/APXSgQGou+&#10;pNpAALJz4q9USjBnvGnCCTMqM00jGE8z4DRF/m6ahw4sT7MgON6+wOT/X1p2u793RNQVneVnlGhQ&#10;+Eh3LEBrNIkmBKi3vsS4B3vvJs2jGKcdGqfiP85BhgTq8wuofAiEoXFW5IvFnBKGruIiX+QJ9Oz1&#10;snU+fOdGkShU1IzFE5qwv/EBa2L0ISqW80aK+lpImRTXbtfSkT3gE6/XOf5i03jlTZjUpK/o2XyB&#10;LGCATGskBBSVxdm9bikB2SKFWXCp9JvL/rjGt83Xzbz4qEbscQO+G3tJGWIYlEoEZLkUqqLnscFD&#10;h1JHL088nSaNYI/wRikM2yG9TlHMY6po25r6Gd/MmZHM3rJrgYVvwId7cMhenBA3Mtzh0UiDU5tJ&#10;oqQz7vdH9hiPpEIvJT1uA0LyaweOUyJ/aKTbRXF6GtcnKaeLrzNU3LFne+zRO7U2+BoF7r5lSYzx&#10;QR7Exhn1hIu7ilXRBZph7RH8SVmHcUtx9RlfrVIYroyFcKMfLIvJI3YR8sfhCZyd6BOQd7fmsDlQ&#10;vqPQGBtvarPaBdOIxK9XXJE5UcF1SxyaPg1xn4/1FPX6AVv+AQAA//8DAFBLAwQUAAYACAAAACEA&#10;YApRRNgAAAADAQAADwAAAGRycy9kb3ducmV2LnhtbEyPzU7DMBCE70i8g7VI3KhNgioU4lT8qMdK&#10;0MLdibdJSryObLcJfXoWLnDZ0WpWM9+Wq9kN4oQh9p403C4UCKTG255aDe+79c09iJgMWTN4Qg1f&#10;GGFVXV6UprB+ojc8bVMrOIRiYTR0KY2FlLHp0Jm48CMSe3sfnEm8hlbaYCYOd4PMlFpKZ3rihs6M&#10;+Nxh87k9Og3LzbreHEL+gdl09/r04s5unM9aX1/Njw8gEs7p7xh+8BkdKmaq/ZFsFIMGfiT9Tvby&#10;PANRsyoFsirlf/bqGwAA//8DAFBLAQItABQABgAIAAAAIQC2gziS/gAAAOEBAAATAAAAAAAAAAAA&#10;AAAAAAAAAABbQ29udGVudF9UeXBlc10ueG1sUEsBAi0AFAAGAAgAAAAhADj9If/WAAAAlAEAAAsA&#10;AAAAAAAAAAAAAAAALwEAAF9yZWxzLy5yZWxzUEsBAi0AFAAGAAgAAAAhAGVyTZx+AgAACAUAAA4A&#10;AAAAAAAAAAAAAAAALgIAAGRycy9lMm9Eb2MueG1sUEsBAi0AFAAGAAgAAAAhAGAKUUTYAAAAAwEA&#10;AA8AAAAAAAAAAAAAAAAA2AQAAGRycy9kb3ducmV2LnhtbFBLBQYAAAAABAAEAPMAAADdBQAAAAA=&#10;" fillcolor="#c00" strokecolor="#ed7d31" strokeweight=".5pt">
                      <v:textbox>
                        <w:txbxContent>
                          <w:p w14:paraId="54D10868" w14:textId="77777777" w:rsidR="008D2C68" w:rsidRDefault="008D2C68" w:rsidP="00F97B16">
                            <w:pPr>
                              <w:jc w:val="center"/>
                            </w:pPr>
                          </w:p>
                          <w:p w14:paraId="723C610F" w14:textId="77777777" w:rsidR="008D2C68" w:rsidRDefault="008D2C68" w:rsidP="00F97B16">
                            <w:pPr>
                              <w:jc w:val="center"/>
                            </w:pPr>
                          </w:p>
                        </w:txbxContent>
                      </v:textbox>
                      <w10:anchorlock/>
                    </v:shape>
                  </w:pict>
                </mc:Fallback>
              </mc:AlternateContent>
            </w:r>
          </w:p>
        </w:tc>
        <w:tc>
          <w:tcPr>
            <w:tcW w:w="1143" w:type="dxa"/>
            <w:gridSpan w:val="2"/>
            <w:vAlign w:val="center"/>
          </w:tcPr>
          <w:p w14:paraId="1BACBC9D" w14:textId="77777777" w:rsidR="00F97B16" w:rsidRPr="00275388" w:rsidRDefault="00F97B16" w:rsidP="00915020">
            <w:pPr>
              <w:jc w:val="center"/>
              <w:rPr>
                <w:color w:val="212121"/>
              </w:rPr>
            </w:pPr>
            <w:r w:rsidRPr="00275388">
              <w:rPr>
                <w:noProof/>
              </w:rPr>
              <mc:AlternateContent>
                <mc:Choice Requires="wps">
                  <w:drawing>
                    <wp:inline distT="0" distB="0" distL="0" distR="0" wp14:anchorId="4358D3E3" wp14:editId="41C57259">
                      <wp:extent cx="210553" cy="190500"/>
                      <wp:effectExtent l="0" t="0" r="18415" b="19050"/>
                      <wp:docPr id="207" name="Octagon 207"/>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11647024" w14:textId="77777777" w:rsidR="008D2C68" w:rsidRDefault="008D2C68" w:rsidP="00F97B16">
                                  <w:pPr>
                                    <w:jc w:val="center"/>
                                  </w:pPr>
                                </w:p>
                                <w:p w14:paraId="552ED9F0"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358D3E3" id="Octagon 207" o:spid="_x0000_s1144"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DdifgIAAAgFAAAOAAAAZHJzL2Uyb0RvYy54bWysVMlu2zAQvRfoPxC8N5IcO4sQOTDspigQ&#10;NAGSIucxRUkEuJWkLaVf3yElJ06aU1Ef6Nk4y+MbXV0PSpI9d14YXdHiJKeEa2ZqoduK/ny8+XJB&#10;iQ+ga5BG84o+c0+vl58/XfW25DPTGVlzRzCJ9mVvK9qFYMss86zjCvyJsVyjszFOQUDVtVntoMfs&#10;SmazPD/LeuNq6wzj3qN1MzrpMuVvGs7CXdN4HoisKPYW0unSuY1ntryCsnVgO8GmNuAfulAgNBZ9&#10;SbWBAGTnxF+plGDOeNOEE2ZUZppGMJ5mwGmK/N00Dx1YnmZBcLx9gcn/v7Tsx/7eEVFXdJafU6JB&#10;4SPdsQCt0SSaEKDe+hLjHuy9mzSPYpx2aJyK/zgHGRKozy+g8iEQhsZZkS8Wp5QwdBWX+SJPoGev&#10;l63z4Rs3ikShomYsntCE/a0PWBOjD1GxnDdS1DdCyqS4druWjuwBn3i9zvEXm8Yrb8KkJn1Fz04X&#10;yAIGyLRGQkBRWZzd65YSkC1SmAWXSr+57I9rfN2cb06Lj2rEHjfgu7GXlCGGQalEQJZLoSp6ERs8&#10;dCh19PLE02nSCPYIb5TCsB3S6xTFPKaKtq2pn/HNnBnJ7C27EVj4Fny4B4fsxQlxI8MdHo00OLWZ&#10;JEo6435/ZI/xSCr0UtLjNiAkv3bgOCXyu0a6XRbzeVyfpMwX5zNU3LFne+zRO7U2+BoF7r5lSYzx&#10;QR7Exhn1hIu7ilXRBZph7RH8SVmHcUtx9RlfrVIYroyFcKsfLIvJI3YR8sfhCZyd6BOQdz/MYXOg&#10;fEehMTbe1Ga1C6YRiV+vuCJzooLrljg0fRriPh/rKer1A7b8AwAA//8DAFBLAwQUAAYACAAAACEA&#10;YApRRNgAAAADAQAADwAAAGRycy9kb3ducmV2LnhtbEyPzU7DMBCE70i8g7VI3KhNgioU4lT8qMdK&#10;0MLdibdJSryObLcJfXoWLnDZ0WpWM9+Wq9kN4oQh9p403C4UCKTG255aDe+79c09iJgMWTN4Qg1f&#10;GGFVXV6UprB+ojc8bVMrOIRiYTR0KY2FlLHp0Jm48CMSe3sfnEm8hlbaYCYOd4PMlFpKZ3rihs6M&#10;+Nxh87k9Og3LzbreHEL+gdl09/r04s5unM9aX1/Njw8gEs7p7xh+8BkdKmaq/ZFsFIMGfiT9Tvby&#10;PANRsyoFsirlf/bqGwAA//8DAFBLAQItABQABgAIAAAAIQC2gziS/gAAAOEBAAATAAAAAAAAAAAA&#10;AAAAAAAAAABbQ29udGVudF9UeXBlc10ueG1sUEsBAi0AFAAGAAgAAAAhADj9If/WAAAAlAEAAAsA&#10;AAAAAAAAAAAAAAAALwEAAF9yZWxzLy5yZWxzUEsBAi0AFAAGAAgAAAAhAEy4N2J+AgAACAUAAA4A&#10;AAAAAAAAAAAAAAAALgIAAGRycy9lMm9Eb2MueG1sUEsBAi0AFAAGAAgAAAAhAGAKUUTYAAAAAwEA&#10;AA8AAAAAAAAAAAAAAAAA2AQAAGRycy9kb3ducmV2LnhtbFBLBQYAAAAABAAEAPMAAADdBQAAAAA=&#10;" fillcolor="#c00" strokecolor="#ed7d31" strokeweight=".5pt">
                      <v:textbox>
                        <w:txbxContent>
                          <w:p w14:paraId="11647024" w14:textId="77777777" w:rsidR="008D2C68" w:rsidRDefault="008D2C68" w:rsidP="00F97B16">
                            <w:pPr>
                              <w:jc w:val="center"/>
                            </w:pPr>
                          </w:p>
                          <w:p w14:paraId="552ED9F0" w14:textId="77777777" w:rsidR="008D2C68" w:rsidRDefault="008D2C68" w:rsidP="00F97B16">
                            <w:pPr>
                              <w:jc w:val="center"/>
                            </w:pPr>
                          </w:p>
                        </w:txbxContent>
                      </v:textbox>
                      <w10:anchorlock/>
                    </v:shape>
                  </w:pict>
                </mc:Fallback>
              </mc:AlternateContent>
            </w:r>
          </w:p>
        </w:tc>
        <w:tc>
          <w:tcPr>
            <w:tcW w:w="881" w:type="dxa"/>
            <w:gridSpan w:val="2"/>
            <w:vAlign w:val="center"/>
          </w:tcPr>
          <w:p w14:paraId="4CCC816A" w14:textId="77777777" w:rsidR="00F97B16" w:rsidRPr="00275388" w:rsidRDefault="00F97B16" w:rsidP="00915020">
            <w:pPr>
              <w:jc w:val="center"/>
              <w:rPr>
                <w:color w:val="212121"/>
              </w:rPr>
            </w:pPr>
            <w:r w:rsidRPr="00275388">
              <w:rPr>
                <w:noProof/>
              </w:rPr>
              <mc:AlternateContent>
                <mc:Choice Requires="wps">
                  <w:drawing>
                    <wp:inline distT="0" distB="0" distL="0" distR="0" wp14:anchorId="4EC093BA" wp14:editId="4CF026C7">
                      <wp:extent cx="210553" cy="190500"/>
                      <wp:effectExtent l="0" t="0" r="18415" b="19050"/>
                      <wp:docPr id="208" name="Octagon 208"/>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016BA342" w14:textId="77777777" w:rsidR="008D2C68" w:rsidRDefault="008D2C68" w:rsidP="00F97B16">
                                  <w:pPr>
                                    <w:jc w:val="center"/>
                                  </w:pPr>
                                </w:p>
                                <w:p w14:paraId="1962D101"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EC093BA" id="Octagon 208" o:spid="_x0000_s1145"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AI9fwIAAAgFAAAOAAAAZHJzL2Uyb0RvYy54bWysVEtv2zAMvg/YfxB0X22nTR9GnSJI1mFA&#10;0RZoi54ZWbYF6DVJid39+lGy06ZdT8NyUEiR4uPjR19eDUqSHXdeGF3R4iinhGtmaqHbij49Xn87&#10;p8QH0DVIo3lFX7inV4uvXy57W/KZ6YysuSMYRPuytxXtQrBllnnWcQX+yFiu0dgYpyCg6tqsdtBj&#10;dCWzWZ6fZr1xtXWGce/xdj0a6SLFbxrOwl3TeB6IrCjWFtLp0rmJZ7a4hLJ1YDvBpjLgH6pQIDQm&#10;fQ21hgBk68RfoZRgznjThCNmVGaaRjCeesBuivxDNw8dWJ56QXC8fYXJ/7+w7HZ374ioKzrLcVQa&#10;FA7pjgVojSbxCgHqrS/R78Heu0nzKMZuh8ap+I99kCGB+vIKKh8CYXg5K/L5/JgShqbiIp/nCfTs&#10;7bF1PvzgRpEoVNSMyROasLvxAXOi994rpvNGivpaSJkU125W0pEd4IhXqxx/sWh88s5NatJX9PR4&#10;jixggExrJAQUlcXevW4pAdkihVlwKfW7x/4wx/f12fq4+CxHrHENvhtrSRGiG5RKBGS5FKqi57HA&#10;fYVSRytPPJ06jWCP8EYpDJshTaco5jFUvNuY+gVn5sxIZm/ZtcDEN+DDPThkL3aIGxnu8Gikwa7N&#10;JFHSGff7s/voj6RCKyU9bgNC8msLjlMif2qk20VxchLXJykn87MZKu7Qsjm06K1aGZxGgbtvWRKj&#10;f5B7sXFGPePiLmNWNIFmmHsEf1JWYdxSXH3Gl8vkhitjIdzoB8ti8IhdhPxxeAZnJ/oE5N2t2W8O&#10;lB8oNPrGl9ost8E0IvHrDVdkTlRw3RKHpk9D3OdDPXm9fcAWfwAAAP//AwBQSwMEFAAGAAgAAAAh&#10;AGAKUUTYAAAAAwEAAA8AAABkcnMvZG93bnJldi54bWxMj81OwzAQhO9IvIO1SNyoTYIqFOJU/KjH&#10;StDC3Ym3SUq8jmy3CX16Fi5w2dFqVjPflqvZDeKEIfaeNNwuFAikxtueWg3vu/XNPYiYDFkzeEIN&#10;XxhhVV1elKawfqI3PG1TKziEYmE0dCmNhZSx6dCZuPAjEnt7H5xJvIZW2mAmDneDzJRaSmd64obO&#10;jPjcYfO5PToNy8263hxC/oHZdPf69OLObpzPWl9fzY8PIBLO6e8YfvAZHSpmqv2RbBSDBn4k/U72&#10;8jwDUbMqBbIq5X/26hsAAP//AwBQSwECLQAUAAYACAAAACEAtoM4kv4AAADhAQAAEwAAAAAAAAAA&#10;AAAAAAAAAAAAW0NvbnRlbnRfVHlwZXNdLnhtbFBLAQItABQABgAIAAAAIQA4/SH/1gAAAJQBAAAL&#10;AAAAAAAAAAAAAAAAAC8BAABfcmVscy8ucmVsc1BLAQItABQABgAIAAAAIQCqCAI9fwIAAAgFAAAO&#10;AAAAAAAAAAAAAAAAAC4CAABkcnMvZTJvRG9jLnhtbFBLAQItABQABgAIAAAAIQBgClFE2AAAAAMB&#10;AAAPAAAAAAAAAAAAAAAAANkEAABkcnMvZG93bnJldi54bWxQSwUGAAAAAAQABADzAAAA3gUAAAAA&#10;" fillcolor="#c00" strokecolor="#ed7d31" strokeweight=".5pt">
                      <v:textbox>
                        <w:txbxContent>
                          <w:p w14:paraId="016BA342" w14:textId="77777777" w:rsidR="008D2C68" w:rsidRDefault="008D2C68" w:rsidP="00F97B16">
                            <w:pPr>
                              <w:jc w:val="center"/>
                            </w:pPr>
                          </w:p>
                          <w:p w14:paraId="1962D101" w14:textId="77777777" w:rsidR="008D2C68" w:rsidRDefault="008D2C68" w:rsidP="00F97B16">
                            <w:pPr>
                              <w:jc w:val="center"/>
                            </w:pPr>
                          </w:p>
                        </w:txbxContent>
                      </v:textbox>
                      <w10:anchorlock/>
                    </v:shape>
                  </w:pict>
                </mc:Fallback>
              </mc:AlternateContent>
            </w:r>
          </w:p>
        </w:tc>
        <w:tc>
          <w:tcPr>
            <w:tcW w:w="7083" w:type="dxa"/>
            <w:gridSpan w:val="2"/>
          </w:tcPr>
          <w:p w14:paraId="5C8DAA0E" w14:textId="77777777" w:rsidR="00F97B16" w:rsidRPr="004E7ACC" w:rsidRDefault="00F97B16" w:rsidP="00915020">
            <w:pPr>
              <w:ind w:left="405"/>
              <w:rPr>
                <w:color w:val="212121"/>
              </w:rPr>
            </w:pPr>
            <w:r w:rsidRPr="004E7ACC">
              <w:rPr>
                <w:color w:val="212121"/>
              </w:rPr>
              <w:t xml:space="preserve">No accessing email with admin accounts or from admin workstations </w:t>
            </w:r>
          </w:p>
        </w:tc>
      </w:tr>
      <w:tr w:rsidR="00F97B16" w14:paraId="108FB462" w14:textId="77777777" w:rsidTr="00915020">
        <w:tc>
          <w:tcPr>
            <w:tcW w:w="788" w:type="dxa"/>
            <w:vAlign w:val="center"/>
          </w:tcPr>
          <w:p w14:paraId="40F5E65F" w14:textId="77777777" w:rsidR="00F97B16" w:rsidRPr="00840988" w:rsidRDefault="00F97B16" w:rsidP="00915020">
            <w:pPr>
              <w:jc w:val="center"/>
              <w:rPr>
                <w:noProof/>
              </w:rPr>
            </w:pPr>
            <w:r w:rsidRPr="00840988">
              <w:rPr>
                <w:noProof/>
              </w:rPr>
              <mc:AlternateContent>
                <mc:Choice Requires="wps">
                  <w:drawing>
                    <wp:inline distT="0" distB="0" distL="0" distR="0" wp14:anchorId="340C82D3" wp14:editId="5F03AD05">
                      <wp:extent cx="210553" cy="190500"/>
                      <wp:effectExtent l="0" t="0" r="18415" b="19050"/>
                      <wp:docPr id="185" name="Octagon 185"/>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7EF8C56A" w14:textId="77777777" w:rsidR="008D2C68" w:rsidRDefault="008D2C68" w:rsidP="00F97B16">
                                  <w:pPr>
                                    <w:jc w:val="center"/>
                                  </w:pPr>
                                </w:p>
                                <w:p w14:paraId="28BA65BD"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40C82D3" id="Octagon 185" o:spid="_x0000_s1146"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FE1fgIAAGIFAAAOAAAAZHJzL2Uyb0RvYy54bWysVF9r2zAQfx/sOwi9r7bTpmtDnRJSOgal&#10;LWtHnxVZSgSSTpOU2Nmn30l23NAVCmN+kO90v/t/p6vrzmiyEz4osDWtTkpKhOXQKLuu6c/n2y8X&#10;lITIbMM0WFHTvQj0ev7501XrZmICG9CN8ASN2DBrXU03MbpZUQS+EYaFE3DColCCNywi69dF41mL&#10;1o0uJmV5XrTgG+eBixDw9qYX0nm2L6Xg8UHKICLRNcXYYj59PlfpLOZXbLb2zG0UH8Jg/xCFYcqi&#10;09HUDYuMbL36y5RR3EMAGU84mAKkVFzkHDCbqnyTzdOGOZFzweIEN5Yp/D+z/H736IlqsHcXU0os&#10;M9ikBx7ZGixJV1ig1oUZ4p7cox+4gGTKtpPepD/mQbpc1P1YVNFFwvFyUpXT6SklHEXVZTktc9GL&#10;V2XnQ/wmwJBE1BR657mabHcXIvpE9AGV3AXQqrlVWmfGr1dL7cmOYYuXyxK/FDSqHMGKlEMfdabi&#10;XoukrO0PITF9jLPKHvPgidEe41zYOBkMZnRSk+h7VDz9WHHAJ1WRh3JUnnysPGpkz2DjqGyUBf+e&#10;AR2rIWTZ47EeR3knMnarru97dZ6w6W4FzR6nwUO/JsHxW4U9uWMhPjKPe4EbhLseH/CQGlps1kBR&#10;sgH/+737hMdxRSklLe5ZTcOvLfOCEv3d4iBfVmdnaTEzczb9OkHGH0tWxxK7NUvAPlf4qjieyYSP&#10;+kBKD+YFn4RF8ooiZjn6rimP/sAsY7//+KhwsVhkGC6jY/HOPjl+mIQ0cM/dC/NuGMyIE30Ph51k&#10;szfD2WNTjywsthGkypP7WtehB7jIeTqHRye9FMd8Rr0+jfM/AAAA//8DAFBLAwQUAAYACAAAACEA&#10;tdNxHNoAAAADAQAADwAAAGRycy9kb3ducmV2LnhtbEyPQWvDMAyF74P9B6NBb63dFkqXxSljUNhh&#10;NKxb2dWNtSQ0loPtNum/n7ZLd9FDPPHep3wzuk5cMMTWk4b5TIFAqrxtqdbw+bGdrkHEZMiazhNq&#10;uGKETXF/l5vM+oHe8bJPteAQipnR0KTUZ1LGqkFn4sz3SOx9++BM4jXU0gYzcLjr5EKplXSmJW5o&#10;TI8vDVan/dlpKE9D+bouy8evsF3t3oI7zMPuoPXkYXx+ApFwTLdj+MVndCiY6ejPZKPoNPAj6W+y&#10;t1wuQBxZlQJZ5PI/e/EDAAD//wMAUEsBAi0AFAAGAAgAAAAhALaDOJL+AAAA4QEAABMAAAAAAAAA&#10;AAAAAAAAAAAAAFtDb250ZW50X1R5cGVzXS54bWxQSwECLQAUAAYACAAAACEAOP0h/9YAAACUAQAA&#10;CwAAAAAAAAAAAAAAAAAvAQAAX3JlbHMvLnJlbHNQSwECLQAUAAYACAAAACEA+ERRNX4CAABiBQAA&#10;DgAAAAAAAAAAAAAAAAAuAgAAZHJzL2Uyb0RvYy54bWxQSwECLQAUAAYACAAAACEAtdNxHNoAAAAD&#10;AQAADwAAAAAAAAAAAAAAAADYBAAAZHJzL2Rvd25yZXYueG1sUEsFBgAAAAAEAAQA8wAAAN8FAAAA&#10;AA==&#10;" fillcolor="#c00" strokecolor="#ed7d31 [3205]" strokeweight=".5pt">
                      <v:textbox>
                        <w:txbxContent>
                          <w:p w14:paraId="7EF8C56A" w14:textId="77777777" w:rsidR="008D2C68" w:rsidRDefault="008D2C68" w:rsidP="00F97B16">
                            <w:pPr>
                              <w:jc w:val="center"/>
                            </w:pPr>
                          </w:p>
                          <w:p w14:paraId="28BA65BD" w14:textId="77777777" w:rsidR="008D2C68" w:rsidRDefault="008D2C68" w:rsidP="00F97B16">
                            <w:pPr>
                              <w:jc w:val="center"/>
                            </w:pPr>
                          </w:p>
                        </w:txbxContent>
                      </v:textbox>
                      <w10:anchorlock/>
                    </v:shape>
                  </w:pict>
                </mc:Fallback>
              </mc:AlternateContent>
            </w:r>
          </w:p>
        </w:tc>
        <w:tc>
          <w:tcPr>
            <w:tcW w:w="1143" w:type="dxa"/>
            <w:gridSpan w:val="2"/>
            <w:vAlign w:val="center"/>
          </w:tcPr>
          <w:p w14:paraId="34939F8E" w14:textId="77777777" w:rsidR="00F97B16" w:rsidRPr="00840988" w:rsidRDefault="00F97B16" w:rsidP="00915020">
            <w:pPr>
              <w:jc w:val="center"/>
              <w:rPr>
                <w:noProof/>
              </w:rPr>
            </w:pPr>
            <w:r w:rsidRPr="00840988">
              <w:rPr>
                <w:noProof/>
              </w:rPr>
              <mc:AlternateContent>
                <mc:Choice Requires="wps">
                  <w:drawing>
                    <wp:inline distT="0" distB="0" distL="0" distR="0" wp14:anchorId="2B1186E3" wp14:editId="5A7085C9">
                      <wp:extent cx="210553" cy="190500"/>
                      <wp:effectExtent l="0" t="0" r="18415" b="19050"/>
                      <wp:docPr id="189" name="Octagon 189"/>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11DDC706" w14:textId="77777777" w:rsidR="008D2C68" w:rsidRDefault="008D2C68" w:rsidP="00F97B16">
                                  <w:pPr>
                                    <w:jc w:val="center"/>
                                  </w:pPr>
                                </w:p>
                                <w:p w14:paraId="0428EFF9"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B1186E3" id="Octagon 189" o:spid="_x0000_s1147"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AaZfgIAAGIFAAAOAAAAZHJzL2Uyb0RvYy54bWysVF9r2zAQfx/sOwi9r7bTZm1DnRJSOgal&#10;LWtHnxVZSgSSTpOU2Nmn30l23NAVCmN+kO90v/t/p6vrzmiyEz4osDWtTkpKhOXQKLuu6c/n2y8X&#10;lITIbMM0WFHTvQj0ev7501XrZmICG9CN8ASN2DBrXU03MbpZUQS+EYaFE3DColCCNywi69dF41mL&#10;1o0uJmX5tWjBN84DFyHg7U0vpPNsX0rB44OUQUSia4qxxXz6fK7SWcyv2GztmdsoPoTB/iEKw5RF&#10;p6OpGxYZ2Xr1lymjuIcAMp5wMAVIqbjIOWA2Vfkmm6cNcyLngsUJbixT+H9m+f3u0RPVYO8uLimx&#10;zGCTHnhka7AkXWGBWhdmiHtyj37gApIp2056k/6YB+lyUfdjUUUXCcfLSVVOp6eUcBRVl+W0zEUv&#10;XpWdD/GbAEMSUVPonedqst1diOgT0QdUchdAq+ZWaZ0Zv14ttSc7hi1eLkv8UtCocgQrUg591JmK&#10;ey2SsrY/hMT0Mc4qe8yDJ0Z7jHNh42QwmNFJTaLvUfH0Y8UBn1RFHspRefKx8qiRPYONo7JRFvx7&#10;BnSshpBlj8d6HOWdyNitur7v1XnCprsVNHucBg/9mgTHbxX25I6F+Mg87gVuEO56fMBDamixWQNF&#10;yQb87/fuEx7HFaWUtLhnNQ2/tswLSvR3i4N8WZ2dpcXMzNn0fIKMP5asjiV2a5aAfa7wVXE8kwkf&#10;9YGUHswLPgmL5BVFzHL0XVMe/YFZxn7/8VHhYrHIMFxGx+KdfXL8MAlp4J67F+bdMJgRJ/oeDjvJ&#10;Zm+Gs8emHllYbCNIlSf3ta5DD3CR83QOj056KY75jHp9Gud/AAAA//8DAFBLAwQUAAYACAAAACEA&#10;tdNxHNoAAAADAQAADwAAAGRycy9kb3ducmV2LnhtbEyPQWvDMAyF74P9B6NBb63dFkqXxSljUNhh&#10;NKxb2dWNtSQ0loPtNum/n7ZLd9FDPPHep3wzuk5cMMTWk4b5TIFAqrxtqdbw+bGdrkHEZMiazhNq&#10;uGKETXF/l5vM+oHe8bJPteAQipnR0KTUZ1LGqkFn4sz3SOx9++BM4jXU0gYzcLjr5EKplXSmJW5o&#10;TI8vDVan/dlpKE9D+bouy8evsF3t3oI7zMPuoPXkYXx+ApFwTLdj+MVndCiY6ejPZKPoNPAj6W+y&#10;t1wuQBxZlQJZ5PI/e/EDAAD//wMAUEsBAi0AFAAGAAgAAAAhALaDOJL+AAAA4QEAABMAAAAAAAAA&#10;AAAAAAAAAAAAAFtDb250ZW50X1R5cGVzXS54bWxQSwECLQAUAAYACAAAACEAOP0h/9YAAACUAQAA&#10;CwAAAAAAAAAAAAAAAAAvAQAAX3JlbHMvLnJlbHNQSwECLQAUAAYACAAAACEAFwQGmX4CAABiBQAA&#10;DgAAAAAAAAAAAAAAAAAuAgAAZHJzL2Uyb0RvYy54bWxQSwECLQAUAAYACAAAACEAtdNxHNoAAAAD&#10;AQAADwAAAAAAAAAAAAAAAADYBAAAZHJzL2Rvd25yZXYueG1sUEsFBgAAAAAEAAQA8wAAAN8FAAAA&#10;AA==&#10;" fillcolor="#c00" strokecolor="#ed7d31 [3205]" strokeweight=".5pt">
                      <v:textbox>
                        <w:txbxContent>
                          <w:p w14:paraId="11DDC706" w14:textId="77777777" w:rsidR="008D2C68" w:rsidRDefault="008D2C68" w:rsidP="00F97B16">
                            <w:pPr>
                              <w:jc w:val="center"/>
                            </w:pPr>
                          </w:p>
                          <w:p w14:paraId="0428EFF9" w14:textId="77777777" w:rsidR="008D2C68" w:rsidRDefault="008D2C68" w:rsidP="00F97B16">
                            <w:pPr>
                              <w:jc w:val="center"/>
                            </w:pPr>
                          </w:p>
                        </w:txbxContent>
                      </v:textbox>
                      <w10:anchorlock/>
                    </v:shape>
                  </w:pict>
                </mc:Fallback>
              </mc:AlternateContent>
            </w:r>
          </w:p>
        </w:tc>
        <w:tc>
          <w:tcPr>
            <w:tcW w:w="881" w:type="dxa"/>
            <w:gridSpan w:val="2"/>
            <w:vAlign w:val="center"/>
          </w:tcPr>
          <w:p w14:paraId="1E5CEAA5" w14:textId="77777777" w:rsidR="00F97B16" w:rsidRPr="00840988" w:rsidRDefault="00F97B16" w:rsidP="00915020">
            <w:pPr>
              <w:jc w:val="center"/>
              <w:rPr>
                <w:noProof/>
              </w:rPr>
            </w:pPr>
            <w:r w:rsidRPr="00840988">
              <w:rPr>
                <w:noProof/>
              </w:rPr>
              <mc:AlternateContent>
                <mc:Choice Requires="wps">
                  <w:drawing>
                    <wp:inline distT="0" distB="0" distL="0" distR="0" wp14:anchorId="29C94943" wp14:editId="2A0C4FA1">
                      <wp:extent cx="210553" cy="190500"/>
                      <wp:effectExtent l="0" t="0" r="18415" b="19050"/>
                      <wp:docPr id="190" name="Octagon 190"/>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wps:spPr>
                            <wps:style>
                              <a:lnRef idx="1">
                                <a:schemeClr val="accent2"/>
                              </a:lnRef>
                              <a:fillRef idx="3">
                                <a:schemeClr val="accent2"/>
                              </a:fillRef>
                              <a:effectRef idx="2">
                                <a:schemeClr val="accent2"/>
                              </a:effectRef>
                              <a:fontRef idx="minor">
                                <a:schemeClr val="lt1"/>
                              </a:fontRef>
                            </wps:style>
                            <wps:txbx>
                              <w:txbxContent>
                                <w:p w14:paraId="318ADF2D" w14:textId="77777777" w:rsidR="008D2C68" w:rsidRDefault="008D2C68" w:rsidP="00F97B16">
                                  <w:pPr>
                                    <w:jc w:val="center"/>
                                  </w:pPr>
                                </w:p>
                                <w:p w14:paraId="37A09245"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9C94943" id="Octagon 190" o:spid="_x0000_s1148"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44TPfAIAAGIFAAAOAAAAZHJzL2Uyb0RvYy54bWysVF9r2zAQfx/sOwi9r7bTZmtDnRJSOgal&#10;LW1HnxVZSgSSTpOU2Nmn30l23NAVCmN+kO90v/t/p8urzmiyEz4osDWtTkpKhOXQKLuu6c/nmy/n&#10;lITIbMM0WFHTvQj0av7502XrZmICG9CN8ASN2DBrXU03MbpZUQS+EYaFE3DColCCNywi69dF41mL&#10;1o0uJmX5tWjBN84DFyHg7XUvpPNsX0rB472UQUSia4qxxXz6fK7SWcwv2WztmdsoPoTB/iEKw5RF&#10;p6OpaxYZ2Xr1lymjuIcAMp5wMAVIqbjIOWA2Vfkmm6cNcyLngsUJbixT+H9m+d3uwRPVYO8usD6W&#10;GWzSPY9sDZakKyxQ68IMcU/uwQ9cQDJl20lv0h/zIF0u6n4squgi4Xg5qcrp9JQSjiI0OC2zzeJV&#10;2fkQvwswJBE1hd55ribb3YaIPhF9QCV3AbRqbpTWmfHr1VJ7smPY4uWyxC8FjSpHsCLl0EedqbjX&#10;Iilr+ygkpo9xVtljHjwx2mOcCxsng8GMTmoSfY+Kpx8rDvikKvJQjsqTj5VHjewZbByVjbLg3zOg&#10;YzWELHs81uMo70TGbtX1fa/OEzbdraDZ4zR46NckOH6jsCe3LMQH5nEvcEJw1+M9HlJDi80aKEo2&#10;4H+/d5/wOK4opaTFPatp+LVlXlCif1gc5Ivq7CwtZmbOpt8myPhjyepYYrdmCdjnCl8VxzOZ8FEf&#10;SOnBvOCTsEheUcQsR9815dEfmGXs9x8fFS4WiwzDZXQs3tonxw+TkAbuuXth3g2DGXGi7+Cwk2z2&#10;Zjh7bOqRhcU2glR5cl/rOvQAFzlP5/DopJfimM+o16dx/gcAAP//AwBQSwMEFAAGAAgAAAAhALXT&#10;cRzaAAAAAwEAAA8AAABkcnMvZG93bnJldi54bWxMj0FrwzAMhe+D/QejQW+t3RZKl8UpY1DYYTSs&#10;W9nVjbUkNJaD7Tbpv5+2S3fRQzzx3qd8M7pOXDDE1pOG+UyBQKq8banW8Pmxna5BxGTIms4Tarhi&#10;hE1xf5ebzPqB3vGyT7XgEIqZ0dCk1GdSxqpBZ+LM90jsffvgTOI11NIGM3C46+RCqZV0piVuaEyP&#10;Lw1Wp/3ZaShPQ/m6LsvHr7Bd7d6CO8zD7qD15GF8fgKRcEy3Y/jFZ3QomOnoz2Sj6DTwI+lvsrdc&#10;LkAcWZUCWeTyP3vxAwAA//8DAFBLAQItABQABgAIAAAAIQC2gziS/gAAAOEBAAATAAAAAAAAAAAA&#10;AAAAAAAAAABbQ29udGVudF9UeXBlc10ueG1sUEsBAi0AFAAGAAgAAAAhADj9If/WAAAAlAEAAAsA&#10;AAAAAAAAAAAAAAAALwEAAF9yZWxzLy5yZWxzUEsBAi0AFAAGAAgAAAAhADzjhM98AgAAYgUAAA4A&#10;AAAAAAAAAAAAAAAALgIAAGRycy9lMm9Eb2MueG1sUEsBAi0AFAAGAAgAAAAhALXTcRzaAAAAAwEA&#10;AA8AAAAAAAAAAAAAAAAA1gQAAGRycy9kb3ducmV2LnhtbFBLBQYAAAAABAAEAPMAAADdBQAAAAA=&#10;" fillcolor="#c00" strokecolor="#ed7d31 [3205]" strokeweight=".5pt">
                      <v:textbox>
                        <w:txbxContent>
                          <w:p w14:paraId="318ADF2D" w14:textId="77777777" w:rsidR="008D2C68" w:rsidRDefault="008D2C68" w:rsidP="00F97B16">
                            <w:pPr>
                              <w:jc w:val="center"/>
                            </w:pPr>
                          </w:p>
                          <w:p w14:paraId="37A09245" w14:textId="77777777" w:rsidR="008D2C68" w:rsidRDefault="008D2C68" w:rsidP="00F97B16">
                            <w:pPr>
                              <w:jc w:val="center"/>
                            </w:pPr>
                          </w:p>
                        </w:txbxContent>
                      </v:textbox>
                      <w10:anchorlock/>
                    </v:shape>
                  </w:pict>
                </mc:Fallback>
              </mc:AlternateContent>
            </w:r>
          </w:p>
        </w:tc>
        <w:tc>
          <w:tcPr>
            <w:tcW w:w="7083" w:type="dxa"/>
            <w:gridSpan w:val="2"/>
          </w:tcPr>
          <w:p w14:paraId="6DA29088" w14:textId="77777777" w:rsidR="00F97B16" w:rsidRPr="004E7ACC" w:rsidRDefault="00F97B16" w:rsidP="00915020">
            <w:pPr>
              <w:ind w:left="405"/>
            </w:pPr>
            <w:r w:rsidRPr="004E7ACC">
              <w:t xml:space="preserve">Store </w:t>
            </w:r>
            <w:r>
              <w:t>s</w:t>
            </w:r>
            <w:r w:rsidRPr="004E7ACC">
              <w:t xml:space="preserve">ervice and </w:t>
            </w:r>
            <w:r>
              <w:t>a</w:t>
            </w:r>
            <w:r w:rsidRPr="004E7ACC">
              <w:t>pplication account passwords in a secure location.</w:t>
            </w:r>
          </w:p>
        </w:tc>
      </w:tr>
      <w:tr w:rsidR="00F97B16" w:rsidRPr="00275388" w14:paraId="6031519D" w14:textId="77777777" w:rsidTr="00915020">
        <w:tc>
          <w:tcPr>
            <w:tcW w:w="788" w:type="dxa"/>
            <w:shd w:val="clear" w:color="auto" w:fill="BFBFBF" w:themeFill="background1" w:themeFillShade="BF"/>
            <w:vAlign w:val="center"/>
          </w:tcPr>
          <w:p w14:paraId="7407DA8E" w14:textId="77777777" w:rsidR="00F97B16" w:rsidRPr="00275388" w:rsidRDefault="00F97B16" w:rsidP="00915020">
            <w:pPr>
              <w:jc w:val="center"/>
              <w:rPr>
                <w:color w:val="212121"/>
              </w:rPr>
            </w:pPr>
          </w:p>
        </w:tc>
        <w:tc>
          <w:tcPr>
            <w:tcW w:w="1143" w:type="dxa"/>
            <w:gridSpan w:val="2"/>
            <w:shd w:val="clear" w:color="auto" w:fill="BFBFBF" w:themeFill="background1" w:themeFillShade="BF"/>
            <w:vAlign w:val="center"/>
          </w:tcPr>
          <w:p w14:paraId="6C587A4F" w14:textId="77777777" w:rsidR="00F97B16" w:rsidRPr="00275388" w:rsidRDefault="00F97B16" w:rsidP="00915020">
            <w:pPr>
              <w:jc w:val="center"/>
              <w:rPr>
                <w:color w:val="212121"/>
              </w:rPr>
            </w:pPr>
          </w:p>
        </w:tc>
        <w:tc>
          <w:tcPr>
            <w:tcW w:w="881" w:type="dxa"/>
            <w:gridSpan w:val="2"/>
            <w:shd w:val="clear" w:color="auto" w:fill="BFBFBF" w:themeFill="background1" w:themeFillShade="BF"/>
            <w:vAlign w:val="center"/>
          </w:tcPr>
          <w:p w14:paraId="19592B4D" w14:textId="77777777" w:rsidR="00F97B16" w:rsidRPr="00275388" w:rsidRDefault="00F97B16" w:rsidP="00915020">
            <w:pPr>
              <w:jc w:val="center"/>
              <w:rPr>
                <w:color w:val="212121"/>
              </w:rPr>
            </w:pPr>
          </w:p>
        </w:tc>
        <w:tc>
          <w:tcPr>
            <w:tcW w:w="7083" w:type="dxa"/>
            <w:gridSpan w:val="2"/>
            <w:shd w:val="clear" w:color="auto" w:fill="BFBFBF" w:themeFill="background1" w:themeFillShade="BF"/>
          </w:tcPr>
          <w:p w14:paraId="0CDEF388" w14:textId="77777777" w:rsidR="00F97B16" w:rsidRPr="00682618" w:rsidRDefault="00F97B16" w:rsidP="00915020">
            <w:pPr>
              <w:rPr>
                <w:b/>
                <w:color w:val="FFFFFF" w:themeColor="background1"/>
              </w:rPr>
            </w:pPr>
            <w:r w:rsidRPr="00682618">
              <w:rPr>
                <w:b/>
                <w:color w:val="FFFFFF" w:themeColor="background1"/>
              </w:rPr>
              <w:t>Strong Authentication</w:t>
            </w:r>
          </w:p>
        </w:tc>
      </w:tr>
      <w:tr w:rsidR="00F97B16" w:rsidRPr="00275388" w14:paraId="416A2F0D" w14:textId="77777777" w:rsidTr="00915020">
        <w:tc>
          <w:tcPr>
            <w:tcW w:w="788" w:type="dxa"/>
            <w:vAlign w:val="center"/>
          </w:tcPr>
          <w:p w14:paraId="5F14F07D" w14:textId="77777777" w:rsidR="00F97B16" w:rsidRPr="004E7ACC" w:rsidRDefault="00F97B16" w:rsidP="00915020">
            <w:pPr>
              <w:jc w:val="center"/>
              <w:rPr>
                <w:color w:val="212121"/>
              </w:rPr>
            </w:pPr>
            <w:r w:rsidRPr="004E7ACC">
              <w:rPr>
                <w:noProof/>
              </w:rPr>
              <mc:AlternateContent>
                <mc:Choice Requires="wps">
                  <w:drawing>
                    <wp:inline distT="0" distB="0" distL="0" distR="0" wp14:anchorId="3557A77C" wp14:editId="7EC10B45">
                      <wp:extent cx="210553" cy="190500"/>
                      <wp:effectExtent l="0" t="0" r="18415" b="19050"/>
                      <wp:docPr id="164" name="Octagon 164"/>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26184180" w14:textId="77777777" w:rsidR="008D2C68" w:rsidRDefault="008D2C68" w:rsidP="00F97B16">
                                  <w:pPr>
                                    <w:jc w:val="center"/>
                                  </w:pPr>
                                </w:p>
                                <w:p w14:paraId="0B959C93"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3557A77C" id="Octagon 164" o:spid="_x0000_s1149"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GcIfwIAAAgFAAAOAAAAZHJzL2Uyb0RvYy54bWysVN1P2zAQf5+0/8Hy+0hSWgYRKaraMU1C&#10;gAQTz1fHSSz5a7bbhP31OzspFMbTtD64d77zffzud7m8GpQke+68MLqixUlOCdfM1EK3Ff35eP3l&#10;nBIfQNcgjeYVfeaeXi0/f7rsbclnpjOy5o5gEO3L3la0C8GWWeZZxxX4E2O5RmNjnIKAqmuz2kGP&#10;0ZXMZnl+lvXG1dYZxr3H281opMsUv2k4C3dN43kgsqJYW0inS+c2ntnyEsrWge0Em8qAf6hCgdCY&#10;9CXUBgKQnRN/hVKCOeNNE06YUZlpGsF46gG7KfJ33Tx0YHnqBcHx9gUm///Cstv9vSOixtmdzSnR&#10;oHBIdyxAazSJVwhQb32Jfg/23k2aRzF2OzROxX/sgwwJ1OcXUPkQCMPLWZEvFqeUMDQVF/kiT6Bn&#10;r4+t8+E7N4pEoaJmTJ7QhP2ND5gTvQ9eMZ03UtTXQsqkuHa7lo7sAUe8Xuf4i0XjkzduUpO+omen&#10;C2QBA2RaIyGgqCz27nVLCcgWKcyCS6nfPPbHOb5tvm5Oi49yxBo34LuxlhQhukGpRECWS6Eqeh4L&#10;PFQodbTyxNOp0wj2CG+UwrAdxukUFzFUvNua+hln5sxIZm/ZtcDEN+DDPThkL3aIGxnu8Gikwa7N&#10;JFHSGff7o/voj6RCKyU9bgNC8msHjlMif2ik20Uxn8f1Scp88XWGiju2bI8teqfWBqdR4O5blsTo&#10;H+RBbJxRT7i4q5gVTaAZ5h7Bn5R1GLcUV5/x1Sq54cpYCDf6wbIYPGIXIX8cnsDZiT4BeXdrDpsD&#10;5TsKjb7xpTarXTCNSPx6xRWZExVct8Sh6dMQ9/lYT16vH7DlHwAAAP//AwBQSwMEFAAGAAgAAAAh&#10;AGAKUUTYAAAAAwEAAA8AAABkcnMvZG93bnJldi54bWxMj81OwzAQhO9IvIO1SNyoTYIqFOJU/KjH&#10;StDC3Ym3SUq8jmy3CX16Fi5w2dFqVjPflqvZDeKEIfaeNNwuFAikxtueWg3vu/XNPYiYDFkzeEIN&#10;XxhhVV1elKawfqI3PG1TKziEYmE0dCmNhZSx6dCZuPAjEnt7H5xJvIZW2mAmDneDzJRaSmd64obO&#10;jPjcYfO5PToNy8263hxC/oHZdPf69OLObpzPWl9fzY8PIBLO6e8YfvAZHSpmqv2RbBSDBn4k/U72&#10;8jwDUbMqBbIq5X/26hsAAP//AwBQSwECLQAUAAYACAAAACEAtoM4kv4AAADhAQAAEwAAAAAAAAAA&#10;AAAAAAAAAAAAW0NvbnRlbnRfVHlwZXNdLnhtbFBLAQItABQABgAIAAAAIQA4/SH/1gAAAJQBAAAL&#10;AAAAAAAAAAAAAAAAAC8BAABfcmVscy8ucmVsc1BLAQItABQABgAIAAAAIQDF9GcIfwIAAAgFAAAO&#10;AAAAAAAAAAAAAAAAAC4CAABkcnMvZTJvRG9jLnhtbFBLAQItABQABgAIAAAAIQBgClFE2AAAAAMB&#10;AAAPAAAAAAAAAAAAAAAAANkEAABkcnMvZG93bnJldi54bWxQSwUGAAAAAAQABADzAAAA3gUAAAAA&#10;" fillcolor="#c00" strokecolor="#ed7d31" strokeweight=".5pt">
                      <v:textbox>
                        <w:txbxContent>
                          <w:p w14:paraId="26184180" w14:textId="77777777" w:rsidR="008D2C68" w:rsidRDefault="008D2C68" w:rsidP="00F97B16">
                            <w:pPr>
                              <w:jc w:val="center"/>
                            </w:pPr>
                          </w:p>
                          <w:p w14:paraId="0B959C93" w14:textId="77777777" w:rsidR="008D2C68" w:rsidRDefault="008D2C68" w:rsidP="00F97B16">
                            <w:pPr>
                              <w:jc w:val="center"/>
                            </w:pPr>
                          </w:p>
                        </w:txbxContent>
                      </v:textbox>
                      <w10:anchorlock/>
                    </v:shape>
                  </w:pict>
                </mc:Fallback>
              </mc:AlternateContent>
            </w:r>
          </w:p>
        </w:tc>
        <w:tc>
          <w:tcPr>
            <w:tcW w:w="1143" w:type="dxa"/>
            <w:gridSpan w:val="2"/>
            <w:vAlign w:val="center"/>
          </w:tcPr>
          <w:p w14:paraId="415AE04C" w14:textId="77777777" w:rsidR="00F97B16" w:rsidRPr="004E7ACC" w:rsidRDefault="00F97B16" w:rsidP="00915020">
            <w:pPr>
              <w:jc w:val="center"/>
              <w:rPr>
                <w:color w:val="212121"/>
              </w:rPr>
            </w:pPr>
            <w:r w:rsidRPr="004E7ACC">
              <w:rPr>
                <w:rFonts w:eastAsia="Arial" w:cs="Segoe UI"/>
                <w:noProof/>
                <w:sz w:val="20"/>
                <w:szCs w:val="20"/>
              </w:rPr>
              <mc:AlternateContent>
                <mc:Choice Requires="wps">
                  <w:drawing>
                    <wp:inline distT="0" distB="0" distL="0" distR="0" wp14:anchorId="4EDA645B" wp14:editId="2B48CE80">
                      <wp:extent cx="209550" cy="180975"/>
                      <wp:effectExtent l="19050" t="19050" r="38100" b="28575"/>
                      <wp:docPr id="209" name="Isosceles Triangle 2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4FC9A632" id="Isosceles Triangle 209"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y9XhgIAAHMFAAAOAAAAZHJzL2Uyb0RvYy54bWysVNtqGzEQfS/0H4Tem91141yWrINxcAmY&#10;NDQpeZa1ki2q1aiS7LX79R1pL0nTQKD0RUiaM/czc3V9aDTZC+cVmIoWJzklwnColdlU9Pvj8tMF&#10;JT4wUzMNRlT0KDy9nn38cNXaUkxgC7oWjqAR48vWVnQbgi2zzPOtaJg/ASsMCiW4hgV8uk1WO9ai&#10;9UZnkzw/y1pwtXXAhff4e9MJ6SzZl1Lw8FVKLwLRFcXYQjpdOtfxzGZXrNw4ZreK92Gwf4iiYcqg&#10;09HUDQuM7Jz6y1SjuAMPMpxwaDKQUnGRcsBsivxVNg9bZkXKBYvj7Vgm///M8rv9vSOqrugkv6TE&#10;sAabdOvBc6GFJ49OMbPRgkQp1qq1vkSVB3vvYrberoD/8CjI/pDEh+8xB+maiMVcySEV/jgWXhwC&#10;4fiJ1qdTbA9HUXGRX55Po7OMlYOydT58EdCQeKlo6MNKJWf7lQ8dfICl2ECreqm0Tg+3WS+0I3uG&#10;PFguF3meWo8e/DMs5dCFnRIIRy2isjbfhMQaYaBF8pjYKUZ7jHNhwlkfckJHNYm+R8XP7yv2+Kgq&#10;EnNH5cn7yqNG8gwmjMqNMuDeMqBD0YcsO3zfRd/lHUuwhvqI9HDQzY23fKmwASvmwz1zOCjYMxz+&#10;8BUPqaGtKPQ3Srbgfr31H/HIX5RS0uLgVdT/3DEnKNG3Bpl9WZyexklNj9Pp+QQf7qVk/VJids0C&#10;sKcFrhnL0zXigx6u0kHzhDtiHr2iiBmOvivKgxsei9AtBNwyXMznCYbTaVlYmQfLh65Hcj0enpiz&#10;AwuRvncwDCkrXxGxw8Z+GJjvAkiVWPpc177eONmJ6/0Wiqvj5Tuhnnfl7DcA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By&#10;ty9XhgIAAHM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881" w:type="dxa"/>
            <w:gridSpan w:val="2"/>
            <w:vAlign w:val="center"/>
          </w:tcPr>
          <w:p w14:paraId="565BAB3C" w14:textId="77777777" w:rsidR="00F97B16" w:rsidRPr="004E7ACC" w:rsidRDefault="00F97B16" w:rsidP="00915020">
            <w:pPr>
              <w:jc w:val="center"/>
              <w:rPr>
                <w:color w:val="212121"/>
              </w:rPr>
            </w:pPr>
            <w:r w:rsidRPr="004E7ACC">
              <w:rPr>
                <w:rFonts w:eastAsia="Arial" w:cs="Segoe UI"/>
                <w:noProof/>
                <w:sz w:val="20"/>
                <w:szCs w:val="20"/>
              </w:rPr>
              <mc:AlternateContent>
                <mc:Choice Requires="wps">
                  <w:drawing>
                    <wp:inline distT="0" distB="0" distL="0" distR="0" wp14:anchorId="2326DD5E" wp14:editId="250722F6">
                      <wp:extent cx="209550" cy="180975"/>
                      <wp:effectExtent l="19050" t="19050" r="38100" b="28575"/>
                      <wp:docPr id="210" name="Isosceles Triangle 2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5689A33C" id="Isosceles Triangle 210"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cLvhgIAAHMFAAAOAAAAZHJzL2Uyb0RvYy54bWysVNtqGzEQfS/0H4Tem91141yWrINxcAmY&#10;NDQpeZa1ki2q1aiS7LX79R1pL0nTQKD0RUiaM/czc3V9aDTZC+cVmIoWJzklwnColdlU9Pvj8tMF&#10;JT4wUzMNRlT0KDy9nn38cNXaUkxgC7oWjqAR48vWVnQbgi2zzPOtaJg/ASsMCiW4hgV8uk1WO9ai&#10;9UZnkzw/y1pwtXXAhff4e9MJ6SzZl1Lw8FVKLwLRFcXYQjpdOtfxzGZXrNw4ZreK92Gwf4iiYcqg&#10;09HUDQuM7Jz6y1SjuAMPMpxwaDKQUnGRcsBsivxVNg9bZkXKBYvj7Vgm///M8rv9vSOqruikwPoY&#10;1mCTbj14LrTw5NEpZjZakCjFWrXWl6jyYO9dzNbbFfAfHgXZH5L48D3mIF0TsZgrOaTCH8fCi0Mg&#10;HD8n+eV0iu45ioqL/PJ8Gp1lrByUrfPhi4CGxEtFQx9WKjnbr3zo4AMsxQZa1UuldXq4zXqhHdkz&#10;5MFyucjzlA568M+wlEMXdkogHLWIytp8ExJrhIEWyWNipxjtMc6FCWd9yAkd1ST6HhU/v6/Y46Oq&#10;SMwdlSfvK48ayTOYMCo3yoB7y4AORR+y7PB9F32XdyzBGuoj0sNBNzfe8qXCBqyYD/fM4aBgz3D4&#10;w1c8pIa2otDfKNmC+/XWf8Qjf1FKSYuDV1H/c8ecoETfGmT2ZXF6Gic1PU6n5xN8uJeS9UuJ2TUL&#10;wJ4WuGYsT9eID3q4SgfNE+6IefSKImY4+q4oD254LEK3EHDLcDGfJxhOp2VhZR4sH7oeyfV4eGLO&#10;DixE+t7BMKSsfEXEDhv7YWC+CyBVYulzXft642QnrvdbKK6Ol++Eet6Vs98AAAD//wMAUEsDBBQA&#10;BgAIAAAAIQBKSpDq3QAAAAMBAAAPAAAAZHJzL2Rvd25yZXYueG1sTI9BS8NAEIXvgv9hGcGL2I1t&#10;lTRmU1SwUA+CrWh722anSXB3NmS3Tfz3jl7q5cHjDe99k88HZ8URu9B4UnAzSkAgld40VCl4Xz9f&#10;pyBC1GS09YQKvjHAvDg/y3VmfE9veFzFSnAJhUwrqGNsMylDWaPTYeRbJM72vnM6su0qaTrdc7mz&#10;cpwkd9Lphnih1i0+1Vh+rQ5OwbJffz5eve4309nSbtuXfjFNZx9KXV4MD/cgIg7xdAy/+IwOBTPt&#10;/IFMEFYBPxL/lLPJhN1OwTi9BVnk8j978QMAAP//AwBQSwECLQAUAAYACAAAACEAtoM4kv4AAADh&#10;AQAAEwAAAAAAAAAAAAAAAAAAAAAAW0NvbnRlbnRfVHlwZXNdLnhtbFBLAQItABQABgAIAAAAIQA4&#10;/SH/1gAAAJQBAAALAAAAAAAAAAAAAAAAAC8BAABfcmVscy8ucmVsc1BLAQItABQABgAIAAAAIQBn&#10;AcLvhgIAAHMFAAAOAAAAAAAAAAAAAAAAAC4CAABkcnMvZTJvRG9jLnhtbFBLAQItABQABgAIAAAA&#10;IQBKSpDq3QAAAAMBAAAPAAAAAAAAAAAAAAAAAOAEAABkcnMvZG93bnJldi54bWxQSwUGAAAAAAQA&#10;BADzAAAA6gUAAAAA&#10;" fillcolor="#ffc000" strokecolor="#70ad47 [3209]" strokeweight=".5pt">
                      <v:path arrowok="t"/>
                      <w10:anchorlock/>
                    </v:shape>
                  </w:pict>
                </mc:Fallback>
              </mc:AlternateContent>
            </w:r>
          </w:p>
        </w:tc>
        <w:tc>
          <w:tcPr>
            <w:tcW w:w="7083" w:type="dxa"/>
            <w:gridSpan w:val="2"/>
          </w:tcPr>
          <w:p w14:paraId="15C4FEA8" w14:textId="7274EED6" w:rsidR="00F97B16" w:rsidRPr="004E7ACC" w:rsidRDefault="00F97B16" w:rsidP="00DE508C">
            <w:pPr>
              <w:ind w:left="405"/>
              <w:rPr>
                <w:color w:val="212121"/>
              </w:rPr>
            </w:pPr>
            <w:r w:rsidRPr="007E2725">
              <w:t>Enforce smartcard multi-factor authentication</w:t>
            </w:r>
            <w:r w:rsidR="00DE508C">
              <w:t xml:space="preserve"> </w:t>
            </w:r>
            <w:r w:rsidRPr="007E2725">
              <w:t>for all admin accounts</w:t>
            </w:r>
          </w:p>
        </w:tc>
      </w:tr>
      <w:tr w:rsidR="00F97B16" w:rsidRPr="00275388" w14:paraId="4CD49E6E" w14:textId="77777777" w:rsidTr="00915020">
        <w:tc>
          <w:tcPr>
            <w:tcW w:w="788" w:type="dxa"/>
            <w:vAlign w:val="center"/>
          </w:tcPr>
          <w:p w14:paraId="219BCC28" w14:textId="77777777" w:rsidR="00F97B16" w:rsidRDefault="00F97B16" w:rsidP="00915020">
            <w:pPr>
              <w:jc w:val="center"/>
              <w:rPr>
                <w:color w:val="212121"/>
              </w:rPr>
            </w:pPr>
            <w:r w:rsidRPr="00275388">
              <w:rPr>
                <w:noProof/>
              </w:rPr>
              <mc:AlternateContent>
                <mc:Choice Requires="wps">
                  <w:drawing>
                    <wp:inline distT="0" distB="0" distL="0" distR="0" wp14:anchorId="1DD4F99B" wp14:editId="0E7878AB">
                      <wp:extent cx="210553" cy="190500"/>
                      <wp:effectExtent l="0" t="0" r="18415" b="19050"/>
                      <wp:docPr id="113" name="Octagon 113"/>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05A47B6A" w14:textId="77777777" w:rsidR="008D2C68" w:rsidRDefault="008D2C68" w:rsidP="00F97B16">
                                  <w:pPr>
                                    <w:jc w:val="center"/>
                                  </w:pPr>
                                </w:p>
                                <w:p w14:paraId="121F33FA"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1DD4F99B" id="Octagon 113" o:spid="_x0000_s1150"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fkofQIAAAgFAAAOAAAAZHJzL2Uyb0RvYy54bWysVEtv2zAMvg/YfxB0X22nTR9GnSJI1mFA&#10;0RZoi54ZWbYF6DVJid39+lGy06ZdT8NyUEiR4uPjR19eDUqSHXdeGF3R4iinhGtmaqHbij49Xn87&#10;p8QH0DVIo3lFX7inV4uvXy57W/KZ6YysuSMYRPuytxXtQrBllnnWcQX+yFiu0dgYpyCg6tqsdtBj&#10;dCWzWZ6fZr1xtXWGce/xdj0a6SLFbxrOwl3TeB6IrCjWFtLp0rmJZ7a4hLJ1YDvBpjLgH6pQIDQm&#10;fQ21hgBk68RfoZRgznjThCNmVGaaRjCeesBuivxDNw8dWJ56QXC8fYXJ/7+w7HZ374iocXbFMSUa&#10;FA7pjgVojSbxCgHqrS/R78Heu0nzKMZuh8ap+I99kCGB+vIKKh8CYXg5K/L5HEMzNBUX+TxPoGdv&#10;j63z4Qc3ikShomZMntCE3Y0PmBO9914xnTdS1NdCyqS4drOSjuwAR7xa5fiLReOTd25Sk76ip8dz&#10;ZAEDZFojIaCoLPbudUsJyBYpzIJLqd899oc5vq/P1sfFZzlijWvw3VhLihDdoFQiIMulUBU9jwXu&#10;K5Q6Wnni6dRpBHuEN0ph2AzjdGbpTbzbmPoFZ+bMSGZv2bXAxDfgwz04ZC92iBsZ7vBopMGuzSRR&#10;0hn3+7P76I+kQislPW4DQvJrC45TIn9qpNtFcXIS1ycpJ/MzrIa4Q8vm0KK3amVwGgXuvmVJjP5B&#10;7sXGGfWMi7uMWdEEmmHuEfxJWYVxS3H1GV8ukxuujIVwox8si8EjdhHyx+EZnJ3oE5B3t2a/OVB+&#10;oNDoG19qs9wG04jErzdckTlRwXVLHJo+DXGfD/Xk9fYBW/wBAAD//wMAUEsDBBQABgAIAAAAIQBg&#10;ClFE2AAAAAMBAAAPAAAAZHJzL2Rvd25yZXYueG1sTI/NTsMwEITvSLyDtUjcqE2CKhTiVPyox0rQ&#10;wt2Jt0lKvI5stwl9ehYucNnRalYz35ar2Q3ihCH2njTcLhQIpMbbnloN77v1zT2ImAxZM3hCDV8Y&#10;YVVdXpSmsH6iNzxtUys4hGJhNHQpjYWUsenQmbjwIxJ7ex+cSbyGVtpgJg53g8yUWkpneuKGzoz4&#10;3GHzuT06DcvNut4cQv6B2XT3+vTizm6cz1pfX82PDyASzunvGH7wGR0qZqr9kWwUgwZ+JP1O9vI8&#10;A1GzKgWyKuV/9uobAAD//wMAUEsBAi0AFAAGAAgAAAAhALaDOJL+AAAA4QEAABMAAAAAAAAAAAAA&#10;AAAAAAAAAFtDb250ZW50X1R5cGVzXS54bWxQSwECLQAUAAYACAAAACEAOP0h/9YAAACUAQAACwAA&#10;AAAAAAAAAAAAAAAvAQAAX3JlbHMvLnJlbHNQSwECLQAUAAYACAAAACEAVMH5KH0CAAAIBQAADgAA&#10;AAAAAAAAAAAAAAAuAgAAZHJzL2Uyb0RvYy54bWxQSwECLQAUAAYACAAAACEAYApRRNgAAAADAQAA&#10;DwAAAAAAAAAAAAAAAADXBAAAZHJzL2Rvd25yZXYueG1sUEsFBgAAAAAEAAQA8wAAANwFAAAAAA==&#10;" fillcolor="#c00" strokecolor="#ed7d31" strokeweight=".5pt">
                      <v:textbox>
                        <w:txbxContent>
                          <w:p w14:paraId="05A47B6A" w14:textId="77777777" w:rsidR="008D2C68" w:rsidRDefault="008D2C68" w:rsidP="00F97B16">
                            <w:pPr>
                              <w:jc w:val="center"/>
                            </w:pPr>
                          </w:p>
                          <w:p w14:paraId="121F33FA" w14:textId="77777777" w:rsidR="008D2C68" w:rsidRDefault="008D2C68" w:rsidP="00F97B16">
                            <w:pPr>
                              <w:jc w:val="center"/>
                            </w:pPr>
                          </w:p>
                        </w:txbxContent>
                      </v:textbox>
                      <w10:anchorlock/>
                    </v:shape>
                  </w:pict>
                </mc:Fallback>
              </mc:AlternateContent>
            </w:r>
          </w:p>
        </w:tc>
        <w:tc>
          <w:tcPr>
            <w:tcW w:w="1143" w:type="dxa"/>
            <w:gridSpan w:val="2"/>
            <w:vAlign w:val="center"/>
          </w:tcPr>
          <w:p w14:paraId="70F3EA7A" w14:textId="77777777" w:rsidR="00F97B16" w:rsidRPr="00F27BAB" w:rsidRDefault="00F97B16" w:rsidP="00915020">
            <w:pPr>
              <w:jc w:val="center"/>
              <w:rPr>
                <w:rFonts w:eastAsia="Arial" w:cs="Segoe UI"/>
                <w:noProof/>
                <w:sz w:val="20"/>
                <w:szCs w:val="20"/>
              </w:rPr>
            </w:pPr>
            <w:r w:rsidRPr="00F27BAB">
              <w:rPr>
                <w:rFonts w:eastAsia="Arial" w:cs="Segoe UI"/>
                <w:noProof/>
                <w:sz w:val="20"/>
                <w:szCs w:val="20"/>
              </w:rPr>
              <mc:AlternateContent>
                <mc:Choice Requires="wps">
                  <w:drawing>
                    <wp:inline distT="0" distB="0" distL="0" distR="0" wp14:anchorId="3EB9E4EE" wp14:editId="7C9049C3">
                      <wp:extent cx="209550" cy="180975"/>
                      <wp:effectExtent l="19050" t="19050" r="38100" b="28575"/>
                      <wp:docPr id="114" name="Isosceles Tri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70E094BA" id="Isosceles Triangle 114"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hVFhQIAAHMFAAAOAAAAZHJzL2Uyb0RvYy54bWysVNtqGzEQfS/0H4Tem9117VyWrINxcAmY&#10;JCQpeZa1ki2q1aiSfOvXd6S9JE0DgdIXIWnO3M/M5dWh0WQnnFdgKlqc5JQIw6FWZl3R70+LL+eU&#10;+MBMzTQYUdGj8PRq+vnT5d6WYgQb0LVwBI0YX+5tRTch2DLLPN+IhvkTsMKgUIJrWMCnW2e1Y3u0&#10;3uhslOen2R5cbR1w4T3+XrdCOk32pRQ83EnpRSC6ohhbSKdL5yqe2fSSlWvH7EbxLgz2D1E0TBl0&#10;Opi6ZoGRrVN/mWoUd+BBhhMOTQZSKi5SDphNkb/J5nHDrEi5YHG8Hcrk/59Zfru7d0TV2LtiTIlh&#10;DTbpxoPnQgtPnpxiZq0FiVKs1d76ElUe7b2L2Xq7BP7DoyD7QxIfvsMcpGsiFnMlh1T441B4cQiE&#10;4+cov5hMsD0cRcV5fnE2ic4yVvbK1vnwTUBD4qWioQsrlZztlj608B6WYgOt6oXSOj3cejXXjuwY&#10;8mCxmOd5aj168C+wlEMbdkogHLWIyto8CIk1wkCL5DGxUwz2GOfChNMu5ISOahJ9D4pfP1bs8FFV&#10;JOYOyqOPlQeN5BlMGJQbZcC9Z0CHogtZtviui77NO5ZgBfUR6eGgnRtv+UJhA5bMh3vmcFCwZzj8&#10;4Q4PqWFfUehulGzA/XrvP+KRvyilZI+DV1H/c8ucoETfGGT2RTEex0lNj/HkbIQP91qyei0x22YO&#10;2NMC14zl6RrxQfdX6aB5xh0xi15RxAxH3xXlwfWPeWgXAm4ZLmazBMPptCwszaPlfdcjuZ4Oz8zZ&#10;noVI31voh5SVb4jYYmM/DMy2AaRKLH2pa1dvnOzE9W4LxdXx+p1QL7ty+hsAAP//AwBQSwMEFAAG&#10;AAgAAAAhAEpKkOrdAAAAAwEAAA8AAABkcnMvZG93bnJldi54bWxMj0FLw0AQhe+C/2EZwYvYjW2V&#10;NGZTVLBQD4KtaHvbZqdJcHc2ZLdN/PeOXurlweMN732TzwdnxRG70HhScDNKQCCV3jRUKXhfP1+n&#10;IELUZLT1hAq+McC8OD/LdWZ8T294XMVKcAmFTCuoY2wzKUNZo9Nh5Fskzva+czqy7SppOt1zubNy&#10;nCR30umGeKHWLT7VWH6tDk7Bsl9/Pl697jfT2dJu25d+MU1nH0pdXgwP9yAiDvF0DL/4jA4FM+38&#10;gUwQVgE/Ev+Us8mE3U7BOL0FWeTyP3vxAwAA//8DAFBLAQItABQABgAIAAAAIQC2gziS/gAAAOEB&#10;AAATAAAAAAAAAAAAAAAAAAAAAABbQ29udGVudF9UeXBlc10ueG1sUEsBAi0AFAAGAAgAAAAhADj9&#10;If/WAAAAlAEAAAsAAAAAAAAAAAAAAAAALwEAAF9yZWxzLy5yZWxzUEsBAi0AFAAGAAgAAAAhAEbm&#10;FUWFAgAAcwUAAA4AAAAAAAAAAAAAAAAALgIAAGRycy9lMm9Eb2MueG1sUEsBAi0AFAAGAAgAAAAh&#10;AEpKkOrdAAAAAwEAAA8AAAAAAAAAAAAAAAAA3wQAAGRycy9kb3ducmV2LnhtbFBLBQYAAAAABAAE&#10;APMAAADpBQAAAAA=&#10;" fillcolor="#ffc000" strokecolor="#70ad47 [3209]" strokeweight=".5pt">
                      <v:path arrowok="t"/>
                      <w10:anchorlock/>
                    </v:shape>
                  </w:pict>
                </mc:Fallback>
              </mc:AlternateContent>
            </w:r>
          </w:p>
        </w:tc>
        <w:tc>
          <w:tcPr>
            <w:tcW w:w="881" w:type="dxa"/>
            <w:gridSpan w:val="2"/>
            <w:vAlign w:val="center"/>
          </w:tcPr>
          <w:p w14:paraId="58774341" w14:textId="77777777" w:rsidR="00F97B16" w:rsidRPr="00F27BAB" w:rsidRDefault="00F97B16" w:rsidP="00915020">
            <w:pPr>
              <w:jc w:val="center"/>
              <w:rPr>
                <w:rFonts w:eastAsia="Arial" w:cs="Segoe UI"/>
                <w:noProof/>
                <w:sz w:val="20"/>
                <w:szCs w:val="20"/>
              </w:rPr>
            </w:pPr>
            <w:r w:rsidRPr="00F27BAB">
              <w:rPr>
                <w:rFonts w:eastAsia="Arial" w:cs="Segoe UI"/>
                <w:noProof/>
                <w:sz w:val="20"/>
                <w:szCs w:val="20"/>
              </w:rPr>
              <mc:AlternateContent>
                <mc:Choice Requires="wps">
                  <w:drawing>
                    <wp:inline distT="0" distB="0" distL="0" distR="0" wp14:anchorId="466AACBC" wp14:editId="05717B8C">
                      <wp:extent cx="209550" cy="180975"/>
                      <wp:effectExtent l="19050" t="19050" r="38100" b="28575"/>
                      <wp:docPr id="115" name="Isosceles Tri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9550" cy="180975"/>
                              </a:xfrm>
                              <a:prstGeom prst="triangle">
                                <a:avLst/>
                              </a:prstGeom>
                              <a:solidFill>
                                <a:srgbClr val="FFC000"/>
                              </a:solidFill>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00E30B7B" id="Isosceles Triangle 115" o:spid="_x0000_s1026" type="#_x0000_t5" style="width:16.5pt;height:1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oWiAIAAHMFAAAOAAAAZHJzL2Uyb0RvYy54bWysVNtqGzEQfS/0H4Tem91141yWrINxcAmY&#10;NDQpeZa1ki2q1aiS7LX79R1pL0nTQKD0RUiaM/czc3V9aDTZC+cVmIoWJzklwnColdlU9Pvj8tMF&#10;JT4wUzMNRlT0KDy9nn38cNXaUkxgC7oWjqAR48vWVnQbgi2zzPOtaJg/ASsMCiW4hgV8uk1WO9ai&#10;9UZnkzw/y1pwtXXAhff4e9MJ6SzZl1Lw8FVKLwLRFcXYQjpdOtfxzGZXrNw4ZreK92Gwf4iiYcqg&#10;09HUDQuM7Jz6y1SjuAMPMpxwaDKQUnGRcsBsivxVNg9bZkXKBYvj7Vgm///M8rv9vSOqxt4VU0oM&#10;a7BJtx48F1p48ugUMxstSJRirVrrS1R5sPcuZuvtCvgPj4LsD0l8+B5zkK6JWMyVHFLhj2PhxSEQ&#10;jp+T/HI6xfZwFBUX+eV5cpaxclC2zocvAhoSLxUNfVip5Gy/8iGGwMoBlmIDreql0jo93Ga90I7s&#10;GfJguVzkeWo9qvhnWMqhCzslEI5aRGVtvgmJNcJAi+QxsVOM9hjnwoSzWB80mNBRTaLvUfHz+4o9&#10;PqqKxNxRefK+8qiRPIMJo3KjDLi3DOhQ9CHLDt930Xd5xxKsoT4iPRx0c+MtXypswIr5cM8cDgr2&#10;DIc/fMVDamgrCv2Nki24X2/9RzzyF6WUtDh4FfU/d8wJSvStQWZfFqencVLT43R6PsGHeylZv5SY&#10;XbMA7GmBa8bydI34oIerdNA84Y6YR68oYoaj74ry4IbHInQLAbcMF/N5guF0WhZW5sHyoeuRXI+H&#10;J+bswEKk7x0MQ8rKV0TssLEfBua7AFIllj7Xta83TnYiTr+F4up4+U6o5105+w0AAP//AwBQSwME&#10;FAAGAAgAAAAhAEpKkOrdAAAAAwEAAA8AAABkcnMvZG93bnJldi54bWxMj0FLw0AQhe+C/2EZwYvY&#10;jW2VNGZTVLBQD4KtaHvbZqdJcHc2ZLdN/PeOXurlweMN732TzwdnxRG70HhScDNKQCCV3jRUKXhf&#10;P1+nIELUZLT1hAq+McC8OD/LdWZ8T294XMVKcAmFTCuoY2wzKUNZo9Nh5Fskzva+czqy7SppOt1z&#10;ubNynCR30umGeKHWLT7VWH6tDk7Bsl9/Pl697jfT2dJu25d+MU1nH0pdXgwP9yAiDvF0DL/4jA4F&#10;M+38gUwQVgE/Ev+Us8mE3U7BOL0FWeTyP3vxAwAA//8DAFBLAQItABQABgAIAAAAIQC2gziS/gAA&#10;AOEBAAATAAAAAAAAAAAAAAAAAAAAAABbQ29udGVudF9UeXBlc10ueG1sUEsBAi0AFAAGAAgAAAAh&#10;ADj9If/WAAAAlAEAAAsAAAAAAAAAAAAAAAAALwEAAF9yZWxzLy5yZWxzUEsBAi0AFAAGAAgAAAAh&#10;AFL5mhaIAgAAcwUAAA4AAAAAAAAAAAAAAAAALgIAAGRycy9lMm9Eb2MueG1sUEsBAi0AFAAGAAgA&#10;AAAhAEpKkOrdAAAAAwEAAA8AAAAAAAAAAAAAAAAA4gQAAGRycy9kb3ducmV2LnhtbFBLBQYAAAAA&#10;BAAEAPMAAADsBQAAAAA=&#10;" fillcolor="#ffc000" strokecolor="#70ad47 [3209]" strokeweight=".5pt">
                      <v:path arrowok="t"/>
                      <w10:anchorlock/>
                    </v:shape>
                  </w:pict>
                </mc:Fallback>
              </mc:AlternateContent>
            </w:r>
          </w:p>
        </w:tc>
        <w:tc>
          <w:tcPr>
            <w:tcW w:w="7083" w:type="dxa"/>
            <w:gridSpan w:val="2"/>
          </w:tcPr>
          <w:p w14:paraId="725BF50B" w14:textId="5BC9AFB8" w:rsidR="00F97B16" w:rsidRPr="00682618" w:rsidRDefault="00F97B16" w:rsidP="00DE508C">
            <w:pPr>
              <w:ind w:left="405"/>
              <w:rPr>
                <w:color w:val="212121"/>
                <w:highlight w:val="yellow"/>
              </w:rPr>
            </w:pPr>
            <w:r w:rsidRPr="007E2725">
              <w:t>Enforce multi-factor authentication for all cloud admin accounts</w:t>
            </w:r>
          </w:p>
        </w:tc>
      </w:tr>
      <w:tr w:rsidR="00F97B16" w:rsidRPr="00275388" w14:paraId="37335C47" w14:textId="77777777" w:rsidTr="00915020">
        <w:tc>
          <w:tcPr>
            <w:tcW w:w="788" w:type="dxa"/>
            <w:shd w:val="clear" w:color="auto" w:fill="BFBFBF" w:themeFill="background1" w:themeFillShade="BF"/>
            <w:vAlign w:val="center"/>
          </w:tcPr>
          <w:p w14:paraId="13CED07C" w14:textId="77777777" w:rsidR="00F97B16" w:rsidRPr="00275388" w:rsidRDefault="00F97B16" w:rsidP="00915020">
            <w:pPr>
              <w:jc w:val="center"/>
              <w:rPr>
                <w:color w:val="212121"/>
              </w:rPr>
            </w:pPr>
          </w:p>
        </w:tc>
        <w:tc>
          <w:tcPr>
            <w:tcW w:w="1143" w:type="dxa"/>
            <w:gridSpan w:val="2"/>
            <w:shd w:val="clear" w:color="auto" w:fill="BFBFBF" w:themeFill="background1" w:themeFillShade="BF"/>
            <w:vAlign w:val="center"/>
          </w:tcPr>
          <w:p w14:paraId="0020D574" w14:textId="77777777" w:rsidR="00F97B16" w:rsidRPr="00275388" w:rsidRDefault="00F97B16" w:rsidP="00915020">
            <w:pPr>
              <w:jc w:val="center"/>
              <w:rPr>
                <w:color w:val="212121"/>
              </w:rPr>
            </w:pPr>
          </w:p>
        </w:tc>
        <w:tc>
          <w:tcPr>
            <w:tcW w:w="881" w:type="dxa"/>
            <w:gridSpan w:val="2"/>
            <w:shd w:val="clear" w:color="auto" w:fill="BFBFBF" w:themeFill="background1" w:themeFillShade="BF"/>
            <w:vAlign w:val="center"/>
          </w:tcPr>
          <w:p w14:paraId="06A983A8" w14:textId="77777777" w:rsidR="00F97B16" w:rsidRPr="00275388" w:rsidRDefault="00F97B16" w:rsidP="00915020">
            <w:pPr>
              <w:jc w:val="center"/>
              <w:rPr>
                <w:color w:val="212121"/>
              </w:rPr>
            </w:pPr>
          </w:p>
        </w:tc>
        <w:tc>
          <w:tcPr>
            <w:tcW w:w="7083" w:type="dxa"/>
            <w:gridSpan w:val="2"/>
            <w:shd w:val="clear" w:color="auto" w:fill="BFBFBF" w:themeFill="background1" w:themeFillShade="BF"/>
          </w:tcPr>
          <w:p w14:paraId="302C8692" w14:textId="77777777" w:rsidR="00F97B16" w:rsidRPr="00406968" w:rsidRDefault="00F97B16" w:rsidP="00915020">
            <w:pPr>
              <w:rPr>
                <w:b/>
                <w:color w:val="FFFFFF" w:themeColor="background1"/>
              </w:rPr>
            </w:pPr>
            <w:r>
              <w:rPr>
                <w:b/>
                <w:color w:val="FFFFFF" w:themeColor="background1"/>
              </w:rPr>
              <w:t>Rare Use / Emergency Procedures</w:t>
            </w:r>
          </w:p>
        </w:tc>
      </w:tr>
      <w:tr w:rsidR="00DE508C" w:rsidRPr="00DC3E19" w14:paraId="33744F1F" w14:textId="77777777" w:rsidTr="00915020">
        <w:tc>
          <w:tcPr>
            <w:tcW w:w="788" w:type="dxa"/>
            <w:vAlign w:val="center"/>
          </w:tcPr>
          <w:p w14:paraId="4867DD28" w14:textId="77777777" w:rsidR="00DE508C" w:rsidRPr="00275388" w:rsidRDefault="00DE508C" w:rsidP="00DE508C">
            <w:pPr>
              <w:jc w:val="center"/>
              <w:rPr>
                <w:noProof/>
              </w:rPr>
            </w:pPr>
            <w:r w:rsidRPr="00DC3E19">
              <w:rPr>
                <w:noProof/>
              </w:rPr>
              <mc:AlternateContent>
                <mc:Choice Requires="wps">
                  <w:drawing>
                    <wp:inline distT="0" distB="0" distL="0" distR="0" wp14:anchorId="6D9D55C4" wp14:editId="47F02AFA">
                      <wp:extent cx="210553" cy="190500"/>
                      <wp:effectExtent l="0" t="0" r="18415" b="19050"/>
                      <wp:docPr id="297" name="Octagon 297"/>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5219C693" w14:textId="77777777" w:rsidR="008D2C68" w:rsidRDefault="008D2C68" w:rsidP="00F97B16">
                                  <w:pPr>
                                    <w:jc w:val="center"/>
                                  </w:pPr>
                                </w:p>
                                <w:p w14:paraId="41E3DD8E"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D9D55C4" id="Octagon 297" o:spid="_x0000_s1151"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87vfQIAAAgFAAAOAAAAZHJzL2Uyb0RvYy54bWysVFtP2zAUfp+0/2D5fSQplEtEiqp2TJMQ&#10;IAHi+dRxEku+zXabsF+/YyeFwnia1gf33Hwun7+Ty6tBSbLjzgujK1oc5ZRwzUwtdFvRp8frb+eU&#10;+AC6Bmk0r+gL9/Rq8fXLZW9LPjOdkTV3BJNoX/a2ol0ItswyzzquwB8ZyzU6G+MUBFRdm9UOesyu&#10;ZDbL89OsN662zjDuPVrXo5MuUv6m4SzcNY3ngciKYm8hnS6dm3hmi0soWwe2E2xqA/6hCwVCY9HX&#10;VGsIQLZO/JVKCeaMN004YkZlpmkE42kGnKbIP0zz0IHlaRYEx9tXmPz/S8tud/eOiLqis4szSjQo&#10;fKQ7FqA1mkQTAtRbX2Lcg713k+ZRjNMOjVPxH+cgQwL15RVUPgTC0Dgr8vn8mBKGruIin+cJ9Ozt&#10;snU+/OBGkShU1IzFE5qwu/EBa2L0PiqW80aK+lpImRTXblbSkR3gE69WOf5i03jlXZjUpK/o6fEc&#10;WcAAmdZICCgqi7N73VICskUKs+BS6XeX/WGN7+uz9XHxWY3Y4xp8N/aSMsQwKJUIyHIpVEXPY4P7&#10;DqWOXp54Ok0awR7hjVIYNkN6nWKWKkbbxtQv+GbOjGT2ll0LLHwDPtyDQ/bihLiR4Q6PRhqc2kwS&#10;JZ1xvz+zx3gkFXop6XEbEJJfW3CcEvlTI90uipOTuD5JOZmfzVBxh57NoUdv1crgaxS4+5YlMcYH&#10;uRcbZ9QzLu4yVkUXaIa1R/AnZRXGLcXVZ3y5TGG4MhbCjX6wLCaP2EXIH4dncHaiT0De3Zr95kD5&#10;gUJjbLypzXIbTCMSv95wReZEBdctcWj6NMR9PtRT1NsHbPEHAAD//wMAUEsDBBQABgAIAAAAIQBg&#10;ClFE2AAAAAMBAAAPAAAAZHJzL2Rvd25yZXYueG1sTI/NTsMwEITvSLyDtUjcqE2CKhTiVPyox0rQ&#10;wt2Jt0lKvI5stwl9ehYucNnRalYz35ar2Q3ihCH2njTcLhQIpMbbnloN77v1zT2ImAxZM3hCDV8Y&#10;YVVdXpSmsH6iNzxtUys4hGJhNHQpjYWUsenQmbjwIxJ7ex+cSbyGVtpgJg53g8yUWkpneuKGzoz4&#10;3GHzuT06DcvNut4cQv6B2XT3+vTizm6cz1pfX82PDyASzunvGH7wGR0qZqr9kWwUgwZ+JP1O9vI8&#10;A1GzKgWyKuV/9uobAAD//wMAUEsBAi0AFAAGAAgAAAAhALaDOJL+AAAA4QEAABMAAAAAAAAAAAAA&#10;AAAAAAAAAFtDb250ZW50X1R5cGVzXS54bWxQSwECLQAUAAYACAAAACEAOP0h/9YAAACUAQAACwAA&#10;AAAAAAAAAAAAAAAvAQAAX3JlbHMvLnJlbHNQSwECLQAUAAYACAAAACEAHIfO730CAAAIBQAADgAA&#10;AAAAAAAAAAAAAAAuAgAAZHJzL2Uyb0RvYy54bWxQSwECLQAUAAYACAAAACEAYApRRNgAAAADAQAA&#10;DwAAAAAAAAAAAAAAAADXBAAAZHJzL2Rvd25yZXYueG1sUEsFBgAAAAAEAAQA8wAAANwFAAAAAA==&#10;" fillcolor="#c00" strokecolor="#ed7d31" strokeweight=".5pt">
                      <v:textbox>
                        <w:txbxContent>
                          <w:p w14:paraId="5219C693" w14:textId="77777777" w:rsidR="008D2C68" w:rsidRDefault="008D2C68" w:rsidP="00F97B16">
                            <w:pPr>
                              <w:jc w:val="center"/>
                            </w:pPr>
                          </w:p>
                          <w:p w14:paraId="41E3DD8E" w14:textId="77777777" w:rsidR="008D2C68" w:rsidRDefault="008D2C68" w:rsidP="00F97B16">
                            <w:pPr>
                              <w:jc w:val="center"/>
                            </w:pPr>
                          </w:p>
                        </w:txbxContent>
                      </v:textbox>
                      <w10:anchorlock/>
                    </v:shape>
                  </w:pict>
                </mc:Fallback>
              </mc:AlternateContent>
            </w:r>
          </w:p>
        </w:tc>
        <w:tc>
          <w:tcPr>
            <w:tcW w:w="1143" w:type="dxa"/>
            <w:gridSpan w:val="2"/>
            <w:vAlign w:val="center"/>
          </w:tcPr>
          <w:p w14:paraId="539C2318" w14:textId="77777777" w:rsidR="00DE508C" w:rsidRDefault="00DE508C" w:rsidP="00DE508C">
            <w:pPr>
              <w:jc w:val="center"/>
              <w:rPr>
                <w:color w:val="212121"/>
              </w:rPr>
            </w:pPr>
            <w:r w:rsidRPr="00DC3E19">
              <w:rPr>
                <w:color w:val="212121"/>
              </w:rPr>
              <w:t>N/A</w:t>
            </w:r>
          </w:p>
        </w:tc>
        <w:tc>
          <w:tcPr>
            <w:tcW w:w="881" w:type="dxa"/>
            <w:gridSpan w:val="2"/>
            <w:vAlign w:val="center"/>
          </w:tcPr>
          <w:p w14:paraId="27FB2836" w14:textId="77777777" w:rsidR="00DE508C" w:rsidRDefault="00DE508C" w:rsidP="00DE508C">
            <w:pPr>
              <w:jc w:val="center"/>
              <w:rPr>
                <w:color w:val="212121"/>
              </w:rPr>
            </w:pPr>
            <w:r w:rsidRPr="00DC3E19">
              <w:rPr>
                <w:color w:val="212121"/>
              </w:rPr>
              <w:t>N/A</w:t>
            </w:r>
          </w:p>
        </w:tc>
        <w:tc>
          <w:tcPr>
            <w:tcW w:w="7083" w:type="dxa"/>
            <w:gridSpan w:val="2"/>
          </w:tcPr>
          <w:p w14:paraId="694266F2" w14:textId="038F8103" w:rsidR="00DE508C" w:rsidRPr="00E85E5F" w:rsidRDefault="00DE508C" w:rsidP="00DE508C">
            <w:pPr>
              <w:ind w:left="405"/>
              <w:rPr>
                <w:color w:val="212121"/>
              </w:rPr>
            </w:pPr>
            <w:r w:rsidRPr="00E85E5F">
              <w:rPr>
                <w:color w:val="212121"/>
              </w:rPr>
              <w:t xml:space="preserve">Correctly follow </w:t>
            </w:r>
            <w:r>
              <w:rPr>
                <w:color w:val="212121"/>
              </w:rPr>
              <w:t>established</w:t>
            </w:r>
            <w:r w:rsidRPr="00E85E5F">
              <w:rPr>
                <w:color w:val="212121"/>
              </w:rPr>
              <w:t xml:space="preserve"> process</w:t>
            </w:r>
            <w:r>
              <w:rPr>
                <w:color w:val="212121"/>
              </w:rPr>
              <w:t>es</w:t>
            </w:r>
            <w:r w:rsidRPr="00E85E5F">
              <w:rPr>
                <w:color w:val="212121"/>
              </w:rPr>
              <w:t xml:space="preserve"> for all emergency access accounts</w:t>
            </w:r>
          </w:p>
        </w:tc>
      </w:tr>
      <w:tr w:rsidR="00DE508C" w14:paraId="0AC38E86" w14:textId="77777777" w:rsidTr="00915020">
        <w:tc>
          <w:tcPr>
            <w:tcW w:w="788" w:type="dxa"/>
            <w:vAlign w:val="center"/>
          </w:tcPr>
          <w:p w14:paraId="100C1FBF" w14:textId="77777777" w:rsidR="00DE508C" w:rsidRPr="00275388" w:rsidRDefault="00DE508C" w:rsidP="00DE508C">
            <w:pPr>
              <w:jc w:val="center"/>
              <w:rPr>
                <w:noProof/>
              </w:rPr>
            </w:pPr>
            <w:r w:rsidRPr="00275388">
              <w:rPr>
                <w:noProof/>
              </w:rPr>
              <mc:AlternateContent>
                <mc:Choice Requires="wps">
                  <w:drawing>
                    <wp:inline distT="0" distB="0" distL="0" distR="0" wp14:anchorId="63AD8C83" wp14:editId="13F479AD">
                      <wp:extent cx="210553" cy="190500"/>
                      <wp:effectExtent l="0" t="0" r="18415" b="19050"/>
                      <wp:docPr id="183" name="Octagon 183"/>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5DB7567E" w14:textId="77777777" w:rsidR="008D2C68" w:rsidRDefault="008D2C68" w:rsidP="00F97B16">
                                  <w:pPr>
                                    <w:jc w:val="center"/>
                                  </w:pPr>
                                </w:p>
                                <w:p w14:paraId="5D7E0BAB"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63AD8C83" id="Octagon 183" o:spid="_x0000_s1152"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t0DfgIAAAgFAAAOAAAAZHJzL2Uyb0RvYy54bWysVEtv2zAMvg/YfxB0X22nTR9GnSJI1mFA&#10;0RZoi54ZWbYF6DVJid39+lGy06ZdT8NyUEiR4uPjR19eDUqSHXdeGF3R4iinhGtmaqHbij49Xn87&#10;p8QH0DVIo3lFX7inV4uvXy57W/KZ6YysuSMYRPuytxXtQrBllnnWcQX+yFiu0dgYpyCg6tqsdtBj&#10;dCWzWZ6fZr1xtXWGce/xdj0a6SLFbxrOwl3TeB6IrCjWFtLp0rmJZ7a4hLJ1YDvBpjLgH6pQIDQm&#10;fQ21hgBk68RfoZRgznjThCNmVGaaRjCeesBuivxDNw8dWJ56QXC8fYXJ/7+w7HZ374iocXbnx5Ro&#10;UDikOxagNZrEKwSot75Evwd77ybNoxi7HRqn4j/2QYYE6ssrqHwIhOHlrMjncwzN0FRc5PM8gZ69&#10;PbbOhx/cKBKFipoxeUITdjc+YE703nvFdN5IUV8LKZPi2s1KOrIDHPFqleMvFo1P3rlJTfqKnh7P&#10;kQUMkGmNhICisti71y0lIFukMAsupX732B/m+L4+Wx8Xn+WINa7Bd2MtKUJ0g1KJgCyXQlX0PBa4&#10;r1DqaOWJp1OnEewR3iiFYTOM05nNYqh4tzH1C87MmZHM3rJrgYlvwId7cMhe7BA3Mtzh0UiDXZtJ&#10;oqQz7vdn99EfSYVWSnrcBoTk1xYcp0T+1Ei3i+LkJK5PUk7mZzNU3KFlc2jRW7UyOI0Cd9+yJEb/&#10;IPdi44x6xsVdxqxoAs0w9wj+pKzCuKW4+owvl8kNV8ZCuNEPlsXgEbsI+ePwDM5O9AnIu1uz3xwo&#10;P1Bo9I0vtVlug2lE4tcbrsicqOC6JQ5Nn4a4z4d68nr7gC3+AAAA//8DAFBLAwQUAAYACAAAACEA&#10;YApRRNgAAAADAQAADwAAAGRycy9kb3ducmV2LnhtbEyPzU7DMBCE70i8g7VI3KhNgioU4lT8qMdK&#10;0MLdibdJSryObLcJfXoWLnDZ0WpWM9+Wq9kN4oQh9p403C4UCKTG255aDe+79c09iJgMWTN4Qg1f&#10;GGFVXV6UprB+ojc8bVMrOIRiYTR0KY2FlLHp0Jm48CMSe3sfnEm8hlbaYCYOd4PMlFpKZ3rihs6M&#10;+Nxh87k9Og3LzbreHEL+gdl09/r04s5unM9aX1/Njw8gEs7p7xh+8BkdKmaq/ZFsFIMGfiT9Tvby&#10;PANRsyoFsirlf/bqGwAA//8DAFBLAQItABQABgAIAAAAIQC2gziS/gAAAOEBAAATAAAAAAAAAAAA&#10;AAAAAAAAAABbQ29udGVudF9UeXBlc10ueG1sUEsBAi0AFAAGAAgAAAAhADj9If/WAAAAlAEAAAsA&#10;AAAAAAAAAAAAAAAALwEAAF9yZWxzLy5yZWxzUEsBAi0AFAAGAAgAAAAhACEe3QN+AgAACAUAAA4A&#10;AAAAAAAAAAAAAAAALgIAAGRycy9lMm9Eb2MueG1sUEsBAi0AFAAGAAgAAAAhAGAKUUTYAAAAAwEA&#10;AA8AAAAAAAAAAAAAAAAA2AQAAGRycy9kb3ducmV2LnhtbFBLBQYAAAAABAAEAPMAAADdBQAAAAA=&#10;" fillcolor="#c00" strokecolor="#ed7d31" strokeweight=".5pt">
                      <v:textbox>
                        <w:txbxContent>
                          <w:p w14:paraId="5DB7567E" w14:textId="77777777" w:rsidR="008D2C68" w:rsidRDefault="008D2C68" w:rsidP="00F97B16">
                            <w:pPr>
                              <w:jc w:val="center"/>
                            </w:pPr>
                          </w:p>
                          <w:p w14:paraId="5D7E0BAB" w14:textId="77777777" w:rsidR="008D2C68" w:rsidRDefault="008D2C68" w:rsidP="00F97B16">
                            <w:pPr>
                              <w:jc w:val="center"/>
                            </w:pPr>
                          </w:p>
                        </w:txbxContent>
                      </v:textbox>
                      <w10:anchorlock/>
                    </v:shape>
                  </w:pict>
                </mc:Fallback>
              </mc:AlternateContent>
            </w:r>
          </w:p>
        </w:tc>
        <w:tc>
          <w:tcPr>
            <w:tcW w:w="1143" w:type="dxa"/>
            <w:gridSpan w:val="2"/>
            <w:vAlign w:val="center"/>
          </w:tcPr>
          <w:p w14:paraId="3C2AA0CD" w14:textId="77777777" w:rsidR="00DE508C" w:rsidRPr="00275388" w:rsidRDefault="00DE508C" w:rsidP="00DE508C">
            <w:pPr>
              <w:jc w:val="center"/>
              <w:rPr>
                <w:color w:val="212121"/>
              </w:rPr>
            </w:pPr>
            <w:r>
              <w:rPr>
                <w:color w:val="212121"/>
              </w:rPr>
              <w:t>N/A</w:t>
            </w:r>
          </w:p>
        </w:tc>
        <w:tc>
          <w:tcPr>
            <w:tcW w:w="881" w:type="dxa"/>
            <w:gridSpan w:val="2"/>
            <w:vAlign w:val="center"/>
          </w:tcPr>
          <w:p w14:paraId="4A67BE13" w14:textId="77777777" w:rsidR="00DE508C" w:rsidRPr="00275388" w:rsidRDefault="00DE508C" w:rsidP="00DE508C">
            <w:pPr>
              <w:jc w:val="center"/>
              <w:rPr>
                <w:color w:val="212121"/>
              </w:rPr>
            </w:pPr>
            <w:r>
              <w:rPr>
                <w:color w:val="212121"/>
              </w:rPr>
              <w:t>N/A</w:t>
            </w:r>
          </w:p>
        </w:tc>
        <w:tc>
          <w:tcPr>
            <w:tcW w:w="7083" w:type="dxa"/>
            <w:gridSpan w:val="2"/>
          </w:tcPr>
          <w:p w14:paraId="08F3C46F" w14:textId="5DFB346B" w:rsidR="00DE508C" w:rsidRPr="00E85E5F" w:rsidRDefault="00DE508C" w:rsidP="00DE508C">
            <w:pPr>
              <w:ind w:left="405"/>
              <w:rPr>
                <w:color w:val="212121"/>
              </w:rPr>
            </w:pPr>
            <w:r>
              <w:t>Restrict and monitor usage of emergency access accounts</w:t>
            </w:r>
          </w:p>
        </w:tc>
      </w:tr>
      <w:tr w:rsidR="00DE508C" w14:paraId="75158AE5" w14:textId="77777777" w:rsidTr="00915020">
        <w:tc>
          <w:tcPr>
            <w:tcW w:w="788" w:type="dxa"/>
            <w:vAlign w:val="center"/>
          </w:tcPr>
          <w:p w14:paraId="0B3F6700" w14:textId="77777777" w:rsidR="00DE508C" w:rsidRPr="00275388" w:rsidRDefault="00DE508C" w:rsidP="00DE508C">
            <w:pPr>
              <w:jc w:val="center"/>
              <w:rPr>
                <w:noProof/>
              </w:rPr>
            </w:pPr>
            <w:r w:rsidRPr="00275388">
              <w:rPr>
                <w:noProof/>
              </w:rPr>
              <mc:AlternateContent>
                <mc:Choice Requires="wps">
                  <w:drawing>
                    <wp:inline distT="0" distB="0" distL="0" distR="0" wp14:anchorId="24EC8D88" wp14:editId="21FE7047">
                      <wp:extent cx="210553" cy="190500"/>
                      <wp:effectExtent l="0" t="0" r="18415" b="19050"/>
                      <wp:docPr id="217" name="Octagon 217"/>
                      <wp:cNvGraphicFramePr/>
                      <a:graphic xmlns:a="http://schemas.openxmlformats.org/drawingml/2006/main">
                        <a:graphicData uri="http://schemas.microsoft.com/office/word/2010/wordprocessingShape">
                          <wps:wsp>
                            <wps:cNvSpPr/>
                            <wps:spPr>
                              <a:xfrm>
                                <a:off x="0" y="0"/>
                                <a:ext cx="210553" cy="190500"/>
                              </a:xfrm>
                              <a:prstGeom prst="octagon">
                                <a:avLst/>
                              </a:prstGeom>
                              <a:solidFill>
                                <a:srgbClr val="CC0000"/>
                              </a:solidFill>
                              <a:ln w="6350" cap="flat" cmpd="sng" algn="ctr">
                                <a:solidFill>
                                  <a:srgbClr val="ED7D31"/>
                                </a:solidFill>
                                <a:prstDash val="solid"/>
                                <a:miter lim="800000"/>
                              </a:ln>
                              <a:effectLst/>
                            </wps:spPr>
                            <wps:txbx>
                              <w:txbxContent>
                                <w:p w14:paraId="47928E8A" w14:textId="77777777" w:rsidR="008D2C68" w:rsidRDefault="008D2C68" w:rsidP="00F97B16">
                                  <w:pPr>
                                    <w:jc w:val="center"/>
                                  </w:pPr>
                                </w:p>
                                <w:p w14:paraId="5C7321CB" w14:textId="77777777" w:rsidR="008D2C68" w:rsidRDefault="008D2C68" w:rsidP="00F97B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6se="http://schemas.microsoft.com/office/word/2015/wordml/symex" xmlns:cx="http://schemas.microsoft.com/office/drawing/2014/chartex">
                  <w:pict>
                    <v:shape w14:anchorId="24EC8D88" id="Octagon 217" o:spid="_x0000_s1153" type="#_x0000_t10" style="width:16.6pt;height: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mdQfgIAAAgFAAAOAAAAZHJzL2Uyb0RvYy54bWysVMlu2zAQvRfoPxC8N5LsOIsQOTDspigQ&#10;NAGSIucxRUkEuJWkLaVf3yElJ06aU1Ef6Nk4y+MbXV0PSpI9d14YXdHiJKeEa2ZqoduK/ny8+XJB&#10;iQ+ga5BG84o+c0+vl58/XfW25DPTGVlzRzCJ9mVvK9qFYMss86zjCvyJsVyjszFOQUDVtVntoMfs&#10;SmazPD/LeuNq6wzj3qN1MzrpMuVvGs7CXdN4HoisKPYW0unSuY1ntryCsnVgO8GmNuAfulAgNBZ9&#10;SbWBAGTnxF+plGDOeNOEE2ZUZppGMJ5mwGmK/N00Dx1YnmZBcLx9gcn/v7Tsx/7eEVFXdFacU6JB&#10;4SPdsQCt0SSaEKDe+hLjHuy9mzSPYpx2aJyK/zgHGRKozy+g8iEQhsZZkS8Wc0oYuorLfJEn0LPX&#10;y9b58I0bRaJQUTMWT2jC/tYHrInRh6hYzhsp6hshZVJcu11LR/aAT7xe5/iLTeOVN2FSk76iZ/MF&#10;soABMq2REFBUFmf3uqUEZIsUZsGl0m8u++MaXzfnm3nxUY3Y4wZ8N/aSMsQwKJUIyHIpVEUvYoOH&#10;DqWOXp54Ok0awR7hjVIYtkN6nWI2j6mibWvqZ3wzZ0Yye8tuBBa+BR/uwSF7cULcyHCHRyMNTm0m&#10;iZLOuN8f2WM8kgq9lPS4DQjJrx04Ton8rpFul8XpaVyfpJwuzmeouGPP9tijd2pt8DUK3H3Lkhjj&#10;gzyIjTPqCRd3FauiCzTD2iP4k7IO45bi6jO+WqUwXBkL4VY/WBaTR+wi5I/DEzg70Scg736Yw+ZA&#10;+Y5CY2y8qc1qF0wjEr9ecUXmRAXXLXFo+jTEfT7WU9TrB2z5BwAA//8DAFBLAwQUAAYACAAAACEA&#10;YApRRNgAAAADAQAADwAAAGRycy9kb3ducmV2LnhtbEyPzU7DMBCE70i8g7VI3KhNgioU4lT8qMdK&#10;0MLdibdJSryObLcJfXoWLnDZ0WpWM9+Wq9kN4oQh9p403C4UCKTG255aDe+79c09iJgMWTN4Qg1f&#10;GGFVXV6UprB+ojc8bVMrOIRiYTR0KY2FlLHp0Jm48CMSe3sfnEm8hlbaYCYOd4PMlFpKZ3rihs6M&#10;+Nxh87k9Og3LzbreHEL+gdl09/r04s5unM9aX1/Njw8gEs7p7xh+8BkdKmaq/ZFsFIMGfiT9Tvby&#10;PANRsyoFsirlf/bqGwAA//8DAFBLAQItABQABgAIAAAAIQC2gziS/gAAAOEBAAATAAAAAAAAAAAA&#10;AAAAAAAAAABbQ29udGVudF9UeXBlc10ueG1sUEsBAi0AFAAGAAgAAAAhADj9If/WAAAAlAEAAAsA&#10;AAAAAAAAAAAAAAAALwEAAF9yZWxzLy5yZWxzUEsBAi0AFAAGAAgAAAAhAAeCZ1B+AgAACAUAAA4A&#10;AAAAAAAAAAAAAAAALgIAAGRycy9lMm9Eb2MueG1sUEsBAi0AFAAGAAgAAAAhAGAKUUTYAAAAAwEA&#10;AA8AAAAAAAAAAAAAAAAA2AQAAGRycy9kb3ducmV2LnhtbFBLBQYAAAAABAAEAPMAAADdBQAAAAA=&#10;" fillcolor="#c00" strokecolor="#ed7d31" strokeweight=".5pt">
                      <v:textbox>
                        <w:txbxContent>
                          <w:p w14:paraId="47928E8A" w14:textId="77777777" w:rsidR="008D2C68" w:rsidRDefault="008D2C68" w:rsidP="00F97B16">
                            <w:pPr>
                              <w:jc w:val="center"/>
                            </w:pPr>
                          </w:p>
                          <w:p w14:paraId="5C7321CB" w14:textId="77777777" w:rsidR="008D2C68" w:rsidRDefault="008D2C68" w:rsidP="00F97B16">
                            <w:pPr>
                              <w:jc w:val="center"/>
                            </w:pPr>
                          </w:p>
                        </w:txbxContent>
                      </v:textbox>
                      <w10:anchorlock/>
                    </v:shape>
                  </w:pict>
                </mc:Fallback>
              </mc:AlternateContent>
            </w:r>
          </w:p>
        </w:tc>
        <w:tc>
          <w:tcPr>
            <w:tcW w:w="1143" w:type="dxa"/>
            <w:gridSpan w:val="2"/>
            <w:vAlign w:val="center"/>
          </w:tcPr>
          <w:p w14:paraId="1A5F26F2" w14:textId="77777777" w:rsidR="00DE508C" w:rsidRPr="00275388" w:rsidRDefault="00DE508C" w:rsidP="00DE508C">
            <w:pPr>
              <w:jc w:val="center"/>
              <w:rPr>
                <w:color w:val="212121"/>
              </w:rPr>
            </w:pPr>
            <w:r>
              <w:rPr>
                <w:color w:val="212121"/>
              </w:rPr>
              <w:t>N/A</w:t>
            </w:r>
          </w:p>
        </w:tc>
        <w:tc>
          <w:tcPr>
            <w:tcW w:w="881" w:type="dxa"/>
            <w:gridSpan w:val="2"/>
            <w:vAlign w:val="center"/>
          </w:tcPr>
          <w:p w14:paraId="4F65D161" w14:textId="77777777" w:rsidR="00DE508C" w:rsidRPr="00275388" w:rsidRDefault="00DE508C" w:rsidP="00DE508C">
            <w:pPr>
              <w:jc w:val="center"/>
              <w:rPr>
                <w:color w:val="212121"/>
              </w:rPr>
            </w:pPr>
            <w:r>
              <w:rPr>
                <w:color w:val="212121"/>
              </w:rPr>
              <w:t>N/A</w:t>
            </w:r>
          </w:p>
        </w:tc>
        <w:tc>
          <w:tcPr>
            <w:tcW w:w="7083" w:type="dxa"/>
            <w:gridSpan w:val="2"/>
          </w:tcPr>
          <w:p w14:paraId="101E4A50" w14:textId="4AC93AAB" w:rsidR="00DE508C" w:rsidRPr="00E85E5F" w:rsidRDefault="00DE508C" w:rsidP="00DE508C">
            <w:pPr>
              <w:ind w:left="405"/>
              <w:rPr>
                <w:color w:val="212121"/>
              </w:rPr>
            </w:pPr>
            <w:r w:rsidRPr="0040214A">
              <w:rPr>
                <w:color w:val="212121"/>
              </w:rPr>
              <w:t xml:space="preserve">Temporarily </w:t>
            </w:r>
            <w:r>
              <w:rPr>
                <w:color w:val="212121"/>
              </w:rPr>
              <w:t>a</w:t>
            </w:r>
            <w:r w:rsidRPr="0040214A">
              <w:rPr>
                <w:color w:val="212121"/>
              </w:rPr>
              <w:t>ssign Enterprise Admin and Schema Admin membership</w:t>
            </w:r>
          </w:p>
        </w:tc>
      </w:tr>
    </w:tbl>
    <w:p w14:paraId="567E56FF" w14:textId="77777777" w:rsidR="00F97B16" w:rsidRDefault="00F97B16" w:rsidP="00F97B16">
      <w:pPr>
        <w:pStyle w:val="Caption"/>
        <w:rPr>
          <w:color w:val="212121"/>
        </w:rPr>
      </w:pPr>
      <w:r>
        <w:t xml:space="preserve">Table </w:t>
      </w:r>
      <w:r w:rsidR="00872E47">
        <w:fldChar w:fldCharType="begin"/>
      </w:r>
      <w:r w:rsidR="00872E47">
        <w:instrText xml:space="preserve"> SEQ Table \* ARABIC </w:instrText>
      </w:r>
      <w:r w:rsidR="00872E47">
        <w:fldChar w:fldCharType="separate"/>
      </w:r>
      <w:r>
        <w:rPr>
          <w:noProof/>
        </w:rPr>
        <w:t>4</w:t>
      </w:r>
      <w:r w:rsidR="00872E47">
        <w:rPr>
          <w:noProof/>
        </w:rPr>
        <w:fldChar w:fldCharType="end"/>
      </w:r>
      <w:r>
        <w:t xml:space="preserve"> - </w:t>
      </w:r>
      <w:r w:rsidRPr="005C2AC3">
        <w:t>Operational Standards Summary</w:t>
      </w:r>
    </w:p>
    <w:p w14:paraId="47DC4C61" w14:textId="77777777" w:rsidR="00F97B16" w:rsidRDefault="00F97B16" w:rsidP="00F97B16"/>
    <w:p w14:paraId="08B0266F" w14:textId="77777777" w:rsidR="00486783" w:rsidRPr="006E44F0" w:rsidRDefault="00486783" w:rsidP="00486783">
      <w:pPr>
        <w:pStyle w:val="Heading4"/>
        <w:rPr>
          <w:rFonts w:ascii="Segoe UI" w:hAnsi="Segoe UI" w:cs="Segoe UI"/>
          <w:b/>
          <w:i w:val="0"/>
          <w:color w:val="auto"/>
          <w:sz w:val="22"/>
        </w:rPr>
      </w:pPr>
      <w:bookmarkStart w:id="7923" w:name="_Toc421201740"/>
      <w:bookmarkStart w:id="7924" w:name="_Toc423091758"/>
      <w:r w:rsidRPr="006E44F0">
        <w:rPr>
          <w:rFonts w:ascii="Segoe UI" w:hAnsi="Segoe UI" w:cs="Segoe UI"/>
          <w:b/>
          <w:i w:val="0"/>
          <w:color w:val="auto"/>
          <w:sz w:val="22"/>
        </w:rPr>
        <w:t>Operating System Standards</w:t>
      </w:r>
      <w:bookmarkEnd w:id="7923"/>
      <w:bookmarkEnd w:id="7924"/>
    </w:p>
    <w:p w14:paraId="68BF3508" w14:textId="77777777" w:rsidR="00486783" w:rsidRDefault="00486783" w:rsidP="00486783">
      <w:pPr>
        <w:rPr>
          <w:color w:val="212121"/>
        </w:rPr>
      </w:pPr>
      <w:r w:rsidRPr="004154BD">
        <w:t xml:space="preserve">These standards are designed to protect operating systems against unauthorized administrative control. </w:t>
      </w:r>
    </w:p>
    <w:p w14:paraId="0A626367" w14:textId="77777777" w:rsidR="00486783" w:rsidRDefault="00486783" w:rsidP="00486783">
      <w:pPr>
        <w:rPr>
          <w:color w:val="212121"/>
        </w:rPr>
      </w:pPr>
      <w:r>
        <w:rPr>
          <w:color w:val="212121"/>
        </w:rPr>
        <w:t xml:space="preserve">Tier 0 host standards are required for all Tier 0 computer assets including domain controllers, Tier 0 management servers, and Tier 0 management workstations. </w:t>
      </w:r>
    </w:p>
    <w:p w14:paraId="316BE7F8" w14:textId="7B8C24AE" w:rsidR="00F97B16" w:rsidRPr="00B6750C" w:rsidRDefault="00486783" w:rsidP="00486783">
      <w:r w:rsidRPr="00B6750C">
        <w:t>All administrative workstations must meet or exceed the standards of the highest value assets they manage. As an example, domain admin workstations must meet the Tier</w:t>
      </w:r>
      <w:r>
        <w:t> 0</w:t>
      </w:r>
      <w:r w:rsidRPr="00B6750C">
        <w:t xml:space="preserve"> security standards because Tier</w:t>
      </w:r>
      <w:r>
        <w:t> 0</w:t>
      </w:r>
      <w:r w:rsidRPr="00B6750C">
        <w:t xml:space="preserve"> accounts will be logging on </w:t>
      </w:r>
      <w:r>
        <w:t xml:space="preserve">to </w:t>
      </w:r>
      <w:r w:rsidRPr="00B6750C">
        <w:t>them to administer the domain</w:t>
      </w:r>
      <w:r w:rsidR="00F97B16" w:rsidRPr="00B6750C">
        <w:t xml:space="preserve"> </w:t>
      </w:r>
    </w:p>
    <w:p w14:paraId="13AEE293" w14:textId="77777777" w:rsidR="00F97B16" w:rsidRDefault="00F97B16" w:rsidP="005729D2">
      <w:pPr>
        <w:pStyle w:val="Heading3Numbered"/>
        <w:numPr>
          <w:ilvl w:val="2"/>
          <w:numId w:val="64"/>
        </w:numPr>
      </w:pPr>
      <w:bookmarkStart w:id="7925" w:name="_Toc421201747"/>
      <w:bookmarkStart w:id="7926" w:name="_Toc423091759"/>
      <w:bookmarkStart w:id="7927" w:name="_Toc423464072"/>
      <w:bookmarkStart w:id="7928" w:name="_Toc423464745"/>
      <w:bookmarkStart w:id="7929" w:name="_Toc431288989"/>
      <w:r>
        <w:t>H</w:t>
      </w:r>
      <w:r w:rsidRPr="0050642B">
        <w:t xml:space="preserve">ost </w:t>
      </w:r>
      <w:r>
        <w:t>Hardening Standard</w:t>
      </w:r>
      <w:bookmarkEnd w:id="7925"/>
      <w:bookmarkEnd w:id="7926"/>
      <w:bookmarkEnd w:id="7927"/>
      <w:bookmarkEnd w:id="7928"/>
      <w:bookmarkEnd w:id="7929"/>
    </w:p>
    <w:p w14:paraId="34AA7404" w14:textId="77777777" w:rsidR="00486783" w:rsidRPr="006E44F0" w:rsidRDefault="00486783" w:rsidP="00486783">
      <w:pPr>
        <w:pStyle w:val="Heading4"/>
        <w:rPr>
          <w:rFonts w:ascii="Segoe UI" w:hAnsi="Segoe UI" w:cs="Segoe UI"/>
          <w:b/>
          <w:i w:val="0"/>
          <w:color w:val="auto"/>
          <w:sz w:val="22"/>
        </w:rPr>
      </w:pPr>
      <w:bookmarkStart w:id="7930" w:name="_Toc421201749"/>
      <w:r w:rsidRPr="006E44F0">
        <w:rPr>
          <w:rFonts w:ascii="Segoe UI" w:hAnsi="Segoe UI" w:cs="Segoe UI"/>
          <w:b/>
          <w:i w:val="0"/>
          <w:color w:val="auto"/>
          <w:sz w:val="22"/>
        </w:rPr>
        <w:t>Block Access to Public Internet and Email</w:t>
      </w:r>
    </w:p>
    <w:p w14:paraId="0A319ECA" w14:textId="77777777" w:rsidR="00486783" w:rsidRDefault="00486783" w:rsidP="00486783">
      <w:r>
        <w:t xml:space="preserve">Access to the public Internet is disallowed for all servers, all administrative workstations, and all administrative users. No email accounts will be assigned to any administrative account. </w:t>
      </w:r>
    </w:p>
    <w:p w14:paraId="2CA55CFD" w14:textId="77777777" w:rsidR="00486783" w:rsidRDefault="00486783" w:rsidP="00486783">
      <w:r>
        <w:t xml:space="preserve">Exceptions can be approved for the change approval board for required Internet connectivity to specific Internet assets, such as: </w:t>
      </w:r>
    </w:p>
    <w:p w14:paraId="5EED12D3" w14:textId="77777777" w:rsidR="00486783" w:rsidRDefault="00486783" w:rsidP="005729D2">
      <w:pPr>
        <w:pStyle w:val="ListParagraph"/>
        <w:numPr>
          <w:ilvl w:val="0"/>
          <w:numId w:val="196"/>
        </w:numPr>
        <w:spacing w:before="0" w:after="160" w:line="259" w:lineRule="auto"/>
      </w:pPr>
      <w:r>
        <w:t>Software updates from Windows Update or similar services</w:t>
      </w:r>
    </w:p>
    <w:p w14:paraId="47F81C57" w14:textId="77777777" w:rsidR="00486783" w:rsidRDefault="00486783" w:rsidP="005729D2">
      <w:pPr>
        <w:pStyle w:val="ListParagraph"/>
        <w:numPr>
          <w:ilvl w:val="0"/>
          <w:numId w:val="196"/>
        </w:numPr>
        <w:spacing w:before="0" w:after="160" w:line="259" w:lineRule="auto"/>
      </w:pPr>
      <w:r>
        <w:t>Antimalware updates from vendor sites</w:t>
      </w:r>
    </w:p>
    <w:p w14:paraId="146420D5" w14:textId="77777777" w:rsidR="00486783" w:rsidRDefault="00486783" w:rsidP="005729D2">
      <w:pPr>
        <w:pStyle w:val="ListParagraph"/>
        <w:numPr>
          <w:ilvl w:val="0"/>
          <w:numId w:val="196"/>
        </w:numPr>
        <w:spacing w:before="0" w:after="160" w:line="259" w:lineRule="auto"/>
      </w:pPr>
      <w:r>
        <w:t>Inbound connectivity to identity federation applications that service authentications from the Internet</w:t>
      </w:r>
    </w:p>
    <w:p w14:paraId="604C3C15" w14:textId="77777777" w:rsidR="00486783" w:rsidRDefault="00486783" w:rsidP="005729D2">
      <w:pPr>
        <w:pStyle w:val="ListParagraph"/>
        <w:numPr>
          <w:ilvl w:val="0"/>
          <w:numId w:val="196"/>
        </w:numPr>
        <w:spacing w:before="0" w:after="160" w:line="259" w:lineRule="auto"/>
      </w:pPr>
      <w:r>
        <w:t xml:space="preserve">Administration of the cloud infrastructure, such as Microsoft Azure, Office 365, or Google Gmail </w:t>
      </w:r>
    </w:p>
    <w:p w14:paraId="67A9CE03" w14:textId="77777777" w:rsidR="00486783" w:rsidRPr="00257FD3" w:rsidRDefault="00486783" w:rsidP="00486783">
      <w:r>
        <w:t xml:space="preserve">Technically restrict all exceptions as tightly as possible to DNS addresses or IP ranges. </w:t>
      </w:r>
    </w:p>
    <w:bookmarkEnd w:id="7930"/>
    <w:p w14:paraId="5CEE61E1" w14:textId="77777777" w:rsidR="00486783" w:rsidRPr="006E44F0" w:rsidRDefault="00486783" w:rsidP="00486783">
      <w:pPr>
        <w:pStyle w:val="Heading4"/>
        <w:rPr>
          <w:rFonts w:ascii="Segoe UI" w:hAnsi="Segoe UI" w:cs="Segoe UI"/>
          <w:b/>
          <w:i w:val="0"/>
          <w:color w:val="auto"/>
          <w:sz w:val="22"/>
        </w:rPr>
      </w:pPr>
      <w:r w:rsidRPr="006E44F0">
        <w:rPr>
          <w:rFonts w:ascii="Segoe UI" w:hAnsi="Segoe UI" w:cs="Segoe UI"/>
          <w:b/>
          <w:i w:val="0"/>
          <w:color w:val="auto"/>
          <w:sz w:val="22"/>
        </w:rPr>
        <w:t xml:space="preserve">Current Operating System Version </w:t>
      </w:r>
    </w:p>
    <w:p w14:paraId="693BCFBF" w14:textId="402DCC41" w:rsidR="00F97B16" w:rsidRPr="00303B80" w:rsidRDefault="00486783" w:rsidP="00486783">
      <w:r>
        <w:t>To provide the latest security capabilities and designs, all systems should be installed and running the latest version of the operating system at the time of installation. All hosts in operation should be running the latest operating system version or one major version older than the current (N-1).</w:t>
      </w:r>
    </w:p>
    <w:p w14:paraId="15C34524" w14:textId="77777777" w:rsidR="00486783" w:rsidRPr="006E44F0" w:rsidRDefault="00486783" w:rsidP="00486783">
      <w:pPr>
        <w:pStyle w:val="Heading4"/>
        <w:rPr>
          <w:rFonts w:ascii="Segoe UI" w:hAnsi="Segoe UI" w:cs="Segoe UI"/>
          <w:b/>
          <w:i w:val="0"/>
          <w:color w:val="auto"/>
          <w:sz w:val="22"/>
        </w:rPr>
      </w:pPr>
      <w:bookmarkStart w:id="7931" w:name="_Toc421201750"/>
      <w:r w:rsidRPr="006E44F0">
        <w:rPr>
          <w:rFonts w:ascii="Segoe UI" w:hAnsi="Segoe UI" w:cs="Segoe UI"/>
          <w:b/>
          <w:i w:val="0"/>
          <w:color w:val="auto"/>
          <w:sz w:val="22"/>
        </w:rPr>
        <w:t>Verification of All Media in Build as Clean</w:t>
      </w:r>
      <w:bookmarkEnd w:id="7931"/>
      <w:r w:rsidRPr="006E44F0">
        <w:rPr>
          <w:rFonts w:ascii="Segoe UI" w:hAnsi="Segoe UI" w:cs="Segoe UI"/>
          <w:b/>
          <w:i w:val="0"/>
          <w:color w:val="auto"/>
          <w:sz w:val="22"/>
        </w:rPr>
        <w:t xml:space="preserve"> </w:t>
      </w:r>
    </w:p>
    <w:p w14:paraId="7F404426" w14:textId="77777777" w:rsidR="00486783" w:rsidRDefault="00486783" w:rsidP="00486783">
      <w:r>
        <w:rPr>
          <w:bCs/>
        </w:rPr>
        <w:t>U</w:t>
      </w:r>
      <w:r w:rsidRPr="005503E4">
        <w:rPr>
          <w:bCs/>
        </w:rPr>
        <w:t>s</w:t>
      </w:r>
      <w:r>
        <w:rPr>
          <w:bCs/>
        </w:rPr>
        <w:t>e</w:t>
      </w:r>
      <w:r w:rsidRPr="005503E4">
        <w:rPr>
          <w:bCs/>
        </w:rPr>
        <w:t xml:space="preserve"> verified </w:t>
      </w:r>
      <w:r>
        <w:rPr>
          <w:bCs/>
        </w:rPr>
        <w:t xml:space="preserve">installation </w:t>
      </w:r>
      <w:r w:rsidRPr="005503E4">
        <w:rPr>
          <w:bCs/>
        </w:rPr>
        <w:t xml:space="preserve">media </w:t>
      </w:r>
      <w:r>
        <w:rPr>
          <w:bCs/>
        </w:rPr>
        <w:t xml:space="preserve">to build all hosts </w:t>
      </w:r>
      <w:r w:rsidRPr="005503E4">
        <w:t xml:space="preserve">to mitigate against </w:t>
      </w:r>
      <w:r>
        <w:t xml:space="preserve">supply chain risks, such as </w:t>
      </w:r>
      <w:r w:rsidRPr="005503E4">
        <w:t xml:space="preserve">malware installed in a master image or injected into an installation file during download or storage. </w:t>
      </w:r>
      <w:r>
        <w:t xml:space="preserve">This includes all executable code such as operating system installation, application installations, tools, and plug-ins. Any unsigned code should be analyzed for security concerns with extra vigor. </w:t>
      </w:r>
    </w:p>
    <w:p w14:paraId="5F837058" w14:textId="77777777" w:rsidR="00486783" w:rsidRDefault="00486783" w:rsidP="00486783">
      <w:r>
        <w:t>The media should be protected from tampering throughout the lifecycle, including:</w:t>
      </w:r>
    </w:p>
    <w:p w14:paraId="5079DAA0" w14:textId="77777777" w:rsidR="00486783" w:rsidRDefault="00486783" w:rsidP="005729D2">
      <w:pPr>
        <w:pStyle w:val="ListParagraph"/>
        <w:numPr>
          <w:ilvl w:val="0"/>
          <w:numId w:val="232"/>
        </w:numPr>
      </w:pPr>
      <w:r>
        <w:t>Software source</w:t>
      </w:r>
    </w:p>
    <w:p w14:paraId="6DC51339" w14:textId="77777777" w:rsidR="00486783" w:rsidRDefault="00486783" w:rsidP="005729D2">
      <w:pPr>
        <w:pStyle w:val="ListParagraph"/>
        <w:numPr>
          <w:ilvl w:val="0"/>
          <w:numId w:val="232"/>
        </w:numPr>
      </w:pPr>
      <w:r>
        <w:t>Software storage</w:t>
      </w:r>
    </w:p>
    <w:p w14:paraId="3C7F6F83" w14:textId="77777777" w:rsidR="00486783" w:rsidRDefault="00486783" w:rsidP="005729D2">
      <w:pPr>
        <w:pStyle w:val="ListParagraph"/>
        <w:numPr>
          <w:ilvl w:val="0"/>
          <w:numId w:val="232"/>
        </w:numPr>
      </w:pPr>
      <w:r>
        <w:t>Software usage</w:t>
      </w:r>
    </w:p>
    <w:p w14:paraId="325025EC" w14:textId="7FE5CD87" w:rsidR="00F97B16" w:rsidRDefault="00486783" w:rsidP="005729D2">
      <w:pPr>
        <w:pStyle w:val="ListParagraph"/>
        <w:numPr>
          <w:ilvl w:val="0"/>
          <w:numId w:val="232"/>
        </w:numPr>
      </w:pPr>
      <w:r>
        <w:t>Physical build environment</w:t>
      </w:r>
    </w:p>
    <w:p w14:paraId="47CB8A01" w14:textId="77777777" w:rsidR="00F97B16" w:rsidRPr="00927C24" w:rsidRDefault="00F97B16" w:rsidP="00F97B16">
      <w:pPr>
        <w:rPr>
          <w:rFonts w:eastAsia="MS Mincho" w:cs="Segoe UI"/>
          <w:b/>
        </w:rPr>
      </w:pPr>
      <w:r w:rsidRPr="00927C24">
        <w:rPr>
          <w:rFonts w:eastAsia="MS Mincho" w:cs="Segoe UI"/>
          <w:b/>
        </w:rPr>
        <w:t>Software Source</w:t>
      </w:r>
    </w:p>
    <w:p w14:paraId="08257D50" w14:textId="77777777" w:rsidR="00486783" w:rsidRPr="00927C24" w:rsidRDefault="00486783" w:rsidP="00486783">
      <w:pPr>
        <w:rPr>
          <w:rFonts w:eastAsia="MS Mincho" w:cs="Segoe UI"/>
        </w:rPr>
      </w:pPr>
      <w:r w:rsidRPr="00927C24">
        <w:rPr>
          <w:rFonts w:eastAsia="MS Mincho" w:cs="Segoe UI"/>
        </w:rPr>
        <w:t>The source of the software should be validated through one of the following means</w:t>
      </w:r>
      <w:r>
        <w:rPr>
          <w:rFonts w:eastAsia="MS Mincho" w:cs="Segoe UI"/>
        </w:rPr>
        <w:t>:</w:t>
      </w:r>
    </w:p>
    <w:p w14:paraId="214518CB" w14:textId="77777777" w:rsidR="00486783" w:rsidRPr="00927C24" w:rsidRDefault="00486783" w:rsidP="005729D2">
      <w:pPr>
        <w:pStyle w:val="ListParagraph"/>
        <w:numPr>
          <w:ilvl w:val="0"/>
          <w:numId w:val="292"/>
        </w:numPr>
        <w:rPr>
          <w:rFonts w:eastAsia="MS Mincho" w:cs="Segoe UI"/>
        </w:rPr>
      </w:pPr>
      <w:r w:rsidRPr="00927C24">
        <w:rPr>
          <w:rFonts w:eastAsia="MS Mincho" w:cs="Segoe UI"/>
        </w:rPr>
        <w:t xml:space="preserve">Software is obtained from physical media that is known to come from the manufacturer or a reputable source, typically manufactured media shipped from </w:t>
      </w:r>
      <w:r>
        <w:rPr>
          <w:rFonts w:eastAsia="MS Mincho" w:cs="Segoe UI"/>
        </w:rPr>
        <w:t>a</w:t>
      </w:r>
      <w:r w:rsidRPr="00927C24">
        <w:rPr>
          <w:rFonts w:eastAsia="MS Mincho" w:cs="Segoe UI"/>
        </w:rPr>
        <w:t xml:space="preserve"> vendor</w:t>
      </w:r>
      <w:r>
        <w:rPr>
          <w:rFonts w:eastAsia="MS Mincho" w:cs="Segoe UI"/>
        </w:rPr>
        <w:t>.</w:t>
      </w:r>
    </w:p>
    <w:p w14:paraId="72D4D618" w14:textId="77777777" w:rsidR="00486783" w:rsidRPr="00927C24" w:rsidRDefault="00486783" w:rsidP="005729D2">
      <w:pPr>
        <w:pStyle w:val="ListParagraph"/>
        <w:numPr>
          <w:ilvl w:val="0"/>
          <w:numId w:val="292"/>
        </w:numPr>
        <w:rPr>
          <w:rFonts w:eastAsia="MS Mincho" w:cs="Segoe UI"/>
        </w:rPr>
      </w:pPr>
      <w:r w:rsidRPr="00927C24">
        <w:rPr>
          <w:rFonts w:eastAsia="MS Mincho" w:cs="Segoe UI"/>
        </w:rPr>
        <w:t xml:space="preserve">Software is obtained from the </w:t>
      </w:r>
      <w:r>
        <w:rPr>
          <w:rFonts w:eastAsia="MS Mincho" w:cs="Segoe UI"/>
        </w:rPr>
        <w:t>Internet</w:t>
      </w:r>
      <w:r w:rsidRPr="00927C24">
        <w:rPr>
          <w:rFonts w:eastAsia="MS Mincho" w:cs="Segoe UI"/>
        </w:rPr>
        <w:t xml:space="preserve"> and validated with vendor-provided file hashes</w:t>
      </w:r>
      <w:r>
        <w:rPr>
          <w:rFonts w:eastAsia="MS Mincho" w:cs="Segoe UI"/>
        </w:rPr>
        <w:t>.</w:t>
      </w:r>
    </w:p>
    <w:p w14:paraId="6A265951" w14:textId="77777777" w:rsidR="00486783" w:rsidRPr="00927C24" w:rsidRDefault="00486783" w:rsidP="005729D2">
      <w:pPr>
        <w:pStyle w:val="ListParagraph"/>
        <w:numPr>
          <w:ilvl w:val="0"/>
          <w:numId w:val="292"/>
        </w:numPr>
        <w:rPr>
          <w:rFonts w:eastAsia="MS Mincho" w:cs="Segoe UI"/>
        </w:rPr>
      </w:pPr>
      <w:r w:rsidRPr="00927C24">
        <w:rPr>
          <w:rFonts w:eastAsia="MS Mincho" w:cs="Segoe UI"/>
        </w:rPr>
        <w:t xml:space="preserve">Software is obtained from the </w:t>
      </w:r>
      <w:r>
        <w:rPr>
          <w:rFonts w:eastAsia="MS Mincho" w:cs="Segoe UI"/>
        </w:rPr>
        <w:t>Internet</w:t>
      </w:r>
      <w:r w:rsidRPr="00927C24">
        <w:rPr>
          <w:rFonts w:eastAsia="MS Mincho" w:cs="Segoe UI"/>
        </w:rPr>
        <w:t xml:space="preserve"> and validated by downloading and comparing two independent copies</w:t>
      </w:r>
      <w:r>
        <w:rPr>
          <w:rFonts w:eastAsia="MS Mincho" w:cs="Segoe UI"/>
        </w:rPr>
        <w:t>:</w:t>
      </w:r>
      <w:r w:rsidRPr="00927C24">
        <w:rPr>
          <w:rFonts w:eastAsia="MS Mincho" w:cs="Segoe UI"/>
        </w:rPr>
        <w:t xml:space="preserve"> </w:t>
      </w:r>
    </w:p>
    <w:p w14:paraId="5C3D6957" w14:textId="77777777" w:rsidR="00486783" w:rsidRPr="00927C24" w:rsidRDefault="00486783" w:rsidP="005729D2">
      <w:pPr>
        <w:pStyle w:val="ListParagraph"/>
        <w:numPr>
          <w:ilvl w:val="1"/>
          <w:numId w:val="293"/>
        </w:numPr>
        <w:rPr>
          <w:rFonts w:eastAsia="MS Mincho" w:cs="Segoe UI"/>
        </w:rPr>
      </w:pPr>
      <w:r>
        <w:rPr>
          <w:rFonts w:eastAsia="MS Mincho" w:cs="Segoe UI"/>
        </w:rPr>
        <w:t>D</w:t>
      </w:r>
      <w:r w:rsidRPr="00927C24">
        <w:rPr>
          <w:rFonts w:eastAsia="MS Mincho" w:cs="Segoe UI"/>
        </w:rPr>
        <w:t xml:space="preserve">ownload to two hosts with no security relationship (not in the same domain and not managed by the same tools), preferably from separate </w:t>
      </w:r>
      <w:r>
        <w:rPr>
          <w:rFonts w:eastAsia="MS Mincho" w:cs="Segoe UI"/>
        </w:rPr>
        <w:t>Internet</w:t>
      </w:r>
      <w:r w:rsidRPr="00927C24">
        <w:rPr>
          <w:rFonts w:eastAsia="MS Mincho" w:cs="Segoe UI"/>
        </w:rPr>
        <w:t xml:space="preserve"> connections</w:t>
      </w:r>
      <w:r>
        <w:rPr>
          <w:rFonts w:eastAsia="MS Mincho" w:cs="Segoe UI"/>
        </w:rPr>
        <w:t>.</w:t>
      </w:r>
    </w:p>
    <w:p w14:paraId="3AFF248B" w14:textId="77777777" w:rsidR="00486783" w:rsidRPr="00927C24" w:rsidRDefault="00486783" w:rsidP="005729D2">
      <w:pPr>
        <w:pStyle w:val="ListParagraph"/>
        <w:numPr>
          <w:ilvl w:val="1"/>
          <w:numId w:val="293"/>
        </w:numPr>
        <w:rPr>
          <w:rFonts w:eastAsia="MS Mincho" w:cs="Segoe UI"/>
        </w:rPr>
      </w:pPr>
      <w:r w:rsidRPr="00927C24">
        <w:rPr>
          <w:rFonts w:eastAsia="MS Mincho" w:cs="Segoe UI"/>
        </w:rPr>
        <w:t>Compare the downloaded files using a utility like certutil</w:t>
      </w:r>
      <w:r>
        <w:rPr>
          <w:rFonts w:eastAsia="MS Mincho" w:cs="Segoe UI"/>
        </w:rPr>
        <w:t>:</w:t>
      </w:r>
      <w:r w:rsidRPr="00927C24">
        <w:rPr>
          <w:rFonts w:eastAsia="MS Mincho" w:cs="Segoe UI"/>
        </w:rPr>
        <w:t xml:space="preserve"> </w:t>
      </w:r>
    </w:p>
    <w:p w14:paraId="6929BE96" w14:textId="77777777" w:rsidR="00486783" w:rsidRPr="00927C24" w:rsidRDefault="00486783" w:rsidP="00486783">
      <w:pPr>
        <w:pStyle w:val="ListParagraph"/>
        <w:pBdr>
          <w:top w:val="single" w:sz="4" w:space="1" w:color="auto"/>
          <w:left w:val="single" w:sz="4" w:space="4" w:color="auto"/>
          <w:bottom w:val="single" w:sz="4" w:space="1" w:color="auto"/>
          <w:right w:val="single" w:sz="4" w:space="4" w:color="auto"/>
        </w:pBdr>
        <w:ind w:left="1247"/>
        <w:rPr>
          <w:rFonts w:eastAsia="MS Mincho" w:cs="Segoe UI"/>
          <w:i/>
        </w:rPr>
      </w:pPr>
      <w:r w:rsidRPr="00927C24">
        <w:rPr>
          <w:rFonts w:eastAsia="MS Mincho" w:cs="Segoe UI"/>
        </w:rPr>
        <w:t xml:space="preserve">certutil –hashfile </w:t>
      </w:r>
      <w:r w:rsidRPr="00927C24">
        <w:rPr>
          <w:rFonts w:eastAsia="MS Mincho" w:cs="Segoe UI"/>
          <w:i/>
        </w:rPr>
        <w:t>&lt;filename&gt;</w:t>
      </w:r>
    </w:p>
    <w:p w14:paraId="02B4E391" w14:textId="01817562" w:rsidR="00F97B16" w:rsidRPr="00927C24" w:rsidRDefault="00486783" w:rsidP="00486783">
      <w:pPr>
        <w:rPr>
          <w:rFonts w:eastAsia="MS Mincho" w:cs="Segoe UI"/>
          <w:b/>
        </w:rPr>
      </w:pPr>
      <w:r w:rsidRPr="00927C24">
        <w:rPr>
          <w:rFonts w:eastAsia="MS Mincho" w:cs="Segoe UI"/>
        </w:rPr>
        <w:t xml:space="preserve">When possible, all application software, such as application installers and tools should be digitally signed and verified using Windows Authenticode with the </w:t>
      </w:r>
      <w:hyperlink r:id="rId672" w:history="1">
        <w:r w:rsidRPr="00927C24">
          <w:rPr>
            <w:rStyle w:val="Hyperlink"/>
            <w:rFonts w:eastAsia="MS Mincho" w:cs="Segoe UI"/>
          </w:rPr>
          <w:t>Windows Sysinternals</w:t>
        </w:r>
      </w:hyperlink>
      <w:r w:rsidRPr="00927C24">
        <w:rPr>
          <w:rFonts w:eastAsia="MS Mincho" w:cs="Segoe UI"/>
        </w:rPr>
        <w:t xml:space="preserve"> tool</w:t>
      </w:r>
      <w:r>
        <w:rPr>
          <w:rFonts w:eastAsia="MS Mincho" w:cs="Segoe UI"/>
        </w:rPr>
        <w:t>,</w:t>
      </w:r>
      <w:r w:rsidRPr="00927C24">
        <w:rPr>
          <w:rFonts w:eastAsia="MS Mincho" w:cs="Segoe UI"/>
        </w:rPr>
        <w:t xml:space="preserve"> sigcheck.exe</w:t>
      </w:r>
      <w:r>
        <w:rPr>
          <w:rFonts w:eastAsia="MS Mincho" w:cs="Segoe UI"/>
        </w:rPr>
        <w:t>,</w:t>
      </w:r>
      <w:r w:rsidRPr="00927C24">
        <w:rPr>
          <w:rFonts w:eastAsia="MS Mincho" w:cs="Segoe UI"/>
        </w:rPr>
        <w:t xml:space="preserve"> with revocation checking. Some software may be required where the vendor may not provide this type of digital signature</w:t>
      </w:r>
      <w:r w:rsidR="00F97B16" w:rsidRPr="00927C24">
        <w:rPr>
          <w:rFonts w:eastAsia="MS Mincho" w:cs="Segoe UI"/>
        </w:rPr>
        <w:t xml:space="preserve">. </w:t>
      </w:r>
    </w:p>
    <w:p w14:paraId="708AE1DA" w14:textId="77777777" w:rsidR="00F97B16" w:rsidRPr="00927C24" w:rsidRDefault="00F97B16" w:rsidP="00F97B16">
      <w:pPr>
        <w:rPr>
          <w:rFonts w:eastAsia="MS Mincho" w:cs="Segoe UI"/>
          <w:b/>
        </w:rPr>
      </w:pPr>
      <w:r w:rsidRPr="00927C24">
        <w:rPr>
          <w:rFonts w:eastAsia="MS Mincho" w:cs="Segoe UI"/>
          <w:b/>
        </w:rPr>
        <w:t>Software Storage</w:t>
      </w:r>
    </w:p>
    <w:p w14:paraId="1B076089" w14:textId="1160CEA3" w:rsidR="00F97B16" w:rsidRPr="00927C24" w:rsidRDefault="00F97B16" w:rsidP="00F97B16">
      <w:pPr>
        <w:rPr>
          <w:rFonts w:eastAsia="MS Mincho" w:cs="Segoe UI"/>
        </w:rPr>
      </w:pPr>
      <w:r w:rsidRPr="00927C24">
        <w:rPr>
          <w:rFonts w:eastAsia="MS Mincho" w:cs="Segoe UI"/>
        </w:rPr>
        <w:t>After obtaining the software, it should be stored in a location that is protected from modification, especially by internet</w:t>
      </w:r>
      <w:r w:rsidR="00486783">
        <w:rPr>
          <w:rFonts w:eastAsia="MS Mincho" w:cs="Segoe UI"/>
        </w:rPr>
        <w:t>-</w:t>
      </w:r>
      <w:r w:rsidRPr="00927C24">
        <w:rPr>
          <w:rFonts w:eastAsia="MS Mincho" w:cs="Segoe UI"/>
        </w:rPr>
        <w:t xml:space="preserve">connected hosts or personnel trusted at a lower level than the systems where the software or operating system will be installed. This storage can be physical media or a secure electronic location. </w:t>
      </w:r>
    </w:p>
    <w:p w14:paraId="050F2763" w14:textId="77777777" w:rsidR="00F97B16" w:rsidRPr="00927C24" w:rsidRDefault="00F97B16" w:rsidP="00F97B16">
      <w:pPr>
        <w:rPr>
          <w:rFonts w:eastAsia="MS Mincho" w:cs="Segoe UI"/>
          <w:b/>
        </w:rPr>
      </w:pPr>
      <w:r w:rsidRPr="00927C24">
        <w:rPr>
          <w:rFonts w:eastAsia="MS Mincho" w:cs="Segoe UI"/>
          <w:b/>
        </w:rPr>
        <w:t>Software Usage</w:t>
      </w:r>
    </w:p>
    <w:p w14:paraId="6BA92572" w14:textId="7E990383" w:rsidR="00486783" w:rsidRPr="00927C24" w:rsidRDefault="00F97B16" w:rsidP="00F97B16">
      <w:pPr>
        <w:rPr>
          <w:rFonts w:eastAsia="MS Mincho" w:cs="Segoe UI"/>
        </w:rPr>
      </w:pPr>
      <w:r w:rsidRPr="00927C24">
        <w:rPr>
          <w:rFonts w:eastAsia="MS Mincho" w:cs="Segoe UI"/>
        </w:rPr>
        <w:t xml:space="preserve">Ideally, the software should be validated at the time it is used, such as when it is manually installed, packaged for a configuration management tool, or imported into a configuration management tool. </w:t>
      </w:r>
    </w:p>
    <w:p w14:paraId="4D5E76A0" w14:textId="20B3DE03" w:rsidR="00F97B16" w:rsidRDefault="00F97B16" w:rsidP="00F97B16">
      <w:pPr>
        <w:rPr>
          <w:rFonts w:eastAsia="MS Mincho" w:cs="Segoe UI"/>
          <w:b/>
        </w:rPr>
      </w:pPr>
      <w:r w:rsidRPr="00927C24">
        <w:rPr>
          <w:rFonts w:eastAsia="MS Mincho" w:cs="Segoe UI"/>
          <w:b/>
        </w:rPr>
        <w:t>Physical Build Environment</w:t>
      </w:r>
    </w:p>
    <w:p w14:paraId="3BF9BCAE" w14:textId="2357756B" w:rsidR="00F97B16" w:rsidRPr="001C5C9B" w:rsidRDefault="00486783" w:rsidP="00F97B16">
      <w:pPr>
        <w:rPr>
          <w:rFonts w:eastAsiaTheme="minorHAnsi"/>
        </w:rPr>
      </w:pPr>
      <w:r w:rsidRPr="00927C24">
        <w:rPr>
          <w:rFonts w:eastAsia="MS Mincho"/>
        </w:rPr>
        <w:t>The credential theft solutions and server resources should ideally be built in a physically secure lab</w:t>
      </w:r>
      <w:r>
        <w:rPr>
          <w:rFonts w:eastAsia="MS Mincho"/>
        </w:rPr>
        <w:t>,</w:t>
      </w:r>
      <w:r w:rsidRPr="00927C24">
        <w:rPr>
          <w:rFonts w:eastAsia="MS Mincho"/>
        </w:rPr>
        <w:t xml:space="preserve"> using only known good software media. This lab should </w:t>
      </w:r>
      <w:r>
        <w:rPr>
          <w:rFonts w:eastAsia="MS Mincho"/>
        </w:rPr>
        <w:t xml:space="preserve">be </w:t>
      </w:r>
      <w:r w:rsidRPr="00927C24">
        <w:rPr>
          <w:rFonts w:eastAsia="MS Mincho"/>
        </w:rPr>
        <w:t>established for creati</w:t>
      </w:r>
      <w:r>
        <w:rPr>
          <w:rFonts w:eastAsia="MS Mincho"/>
        </w:rPr>
        <w:t>ng</w:t>
      </w:r>
      <w:r w:rsidRPr="00927C24">
        <w:rPr>
          <w:rFonts w:eastAsia="MS Mincho"/>
        </w:rPr>
        <w:t xml:space="preserve"> the solution and used for any updates or maintenance</w:t>
      </w:r>
      <w:r w:rsidR="00F97B16" w:rsidRPr="00927C24">
        <w:rPr>
          <w:rFonts w:eastAsia="MS Mincho"/>
        </w:rPr>
        <w:t>.</w:t>
      </w:r>
    </w:p>
    <w:p w14:paraId="0CFE9DC7" w14:textId="77777777" w:rsidR="00486783" w:rsidRPr="006E44F0" w:rsidRDefault="00486783" w:rsidP="00486783">
      <w:pPr>
        <w:pStyle w:val="Heading4"/>
        <w:rPr>
          <w:rFonts w:ascii="Segoe UI" w:hAnsi="Segoe UI" w:cs="Segoe UI"/>
          <w:b/>
          <w:i w:val="0"/>
          <w:color w:val="auto"/>
          <w:sz w:val="22"/>
        </w:rPr>
      </w:pPr>
      <w:bookmarkStart w:id="7932" w:name="_Toc421201761"/>
      <w:r w:rsidRPr="006E44F0">
        <w:rPr>
          <w:rFonts w:ascii="Segoe UI" w:hAnsi="Segoe UI" w:cs="Segoe UI"/>
          <w:b/>
          <w:i w:val="0"/>
          <w:color w:val="auto"/>
          <w:sz w:val="22"/>
        </w:rPr>
        <w:t>Rapid or Automated Patching</w:t>
      </w:r>
      <w:bookmarkEnd w:id="7932"/>
    </w:p>
    <w:p w14:paraId="1EF78B53" w14:textId="77777777" w:rsidR="00486783" w:rsidRPr="00F22466" w:rsidRDefault="00486783" w:rsidP="00486783">
      <w:r w:rsidRPr="00F22466">
        <w:t xml:space="preserve">All security updates available for operating systems and applications should be applied within </w:t>
      </w:r>
      <w:r>
        <w:t>five</w:t>
      </w:r>
      <w:r w:rsidRPr="00F22466">
        <w:t xml:space="preserve"> days of being generally available. This protects against attacks that leverage rapid</w:t>
      </w:r>
      <w:r>
        <w:t>-</w:t>
      </w:r>
      <w:r w:rsidRPr="00F22466">
        <w:t xml:space="preserve">reverse engineering techniques to develop exploits using security updates. </w:t>
      </w:r>
    </w:p>
    <w:p w14:paraId="19A8B331" w14:textId="77777777" w:rsidR="00486783" w:rsidRDefault="00486783" w:rsidP="00486783">
      <w:r w:rsidRPr="00F22466">
        <w:t xml:space="preserve">Security updates should be applied automatically where operationally feasible, such as administrative workstations and administrative forest hosts. Automated security updates may not be feasible for production domain controllers given the risk for production outages. </w:t>
      </w:r>
    </w:p>
    <w:p w14:paraId="77EF0F93" w14:textId="77777777" w:rsidR="00486783" w:rsidRPr="006E44F0" w:rsidRDefault="00486783" w:rsidP="00486783">
      <w:pPr>
        <w:pStyle w:val="Heading4"/>
        <w:rPr>
          <w:rFonts w:ascii="Segoe UI" w:hAnsi="Segoe UI" w:cs="Segoe UI"/>
          <w:b/>
          <w:i w:val="0"/>
          <w:color w:val="auto"/>
          <w:sz w:val="22"/>
        </w:rPr>
      </w:pPr>
      <w:bookmarkStart w:id="7933" w:name="_Toc421201769"/>
      <w:r w:rsidRPr="006E44F0">
        <w:rPr>
          <w:rFonts w:ascii="Segoe UI" w:hAnsi="Segoe UI" w:cs="Segoe UI"/>
          <w:b/>
          <w:i w:val="0"/>
          <w:color w:val="auto"/>
          <w:sz w:val="22"/>
        </w:rPr>
        <w:t>Stringent Restrictions for Applications, Middleware, and Management Agents</w:t>
      </w:r>
      <w:bookmarkEnd w:id="7933"/>
    </w:p>
    <w:p w14:paraId="2935841F" w14:textId="77777777" w:rsidR="00486783" w:rsidRDefault="00486783" w:rsidP="00486783">
      <w:r>
        <w:t>To prevent additional attack surfaces</w:t>
      </w:r>
      <w:r w:rsidRPr="00083E39">
        <w:t xml:space="preserve"> </w:t>
      </w:r>
      <w:r>
        <w:t xml:space="preserve">on hosts, install only approved software that is specifically required. The number of management agents with full system control should be limited as much as possible. </w:t>
      </w:r>
    </w:p>
    <w:p w14:paraId="051A6DB6" w14:textId="77777777" w:rsidR="00486783" w:rsidRDefault="00486783" w:rsidP="00486783">
      <w:r>
        <w:t xml:space="preserve">Each management agent should be approved by the change approval board, and the justification should include specific support of how the business and mission value of the tool’s presence exceeds the business and mission risk of not having the functionality. </w:t>
      </w:r>
    </w:p>
    <w:p w14:paraId="61EF876D" w14:textId="77777777" w:rsidR="00486783" w:rsidRPr="006E44F0" w:rsidRDefault="00486783" w:rsidP="00486783">
      <w:pPr>
        <w:pStyle w:val="Heading4"/>
        <w:rPr>
          <w:rFonts w:ascii="Segoe UI" w:hAnsi="Segoe UI" w:cs="Segoe UI"/>
          <w:b/>
          <w:i w:val="0"/>
          <w:color w:val="auto"/>
          <w:sz w:val="22"/>
        </w:rPr>
      </w:pPr>
      <w:bookmarkStart w:id="7934" w:name="_Toc421201764"/>
      <w:r w:rsidRPr="006E44F0">
        <w:rPr>
          <w:rFonts w:ascii="Segoe UI" w:hAnsi="Segoe UI" w:cs="Segoe UI"/>
          <w:b/>
          <w:i w:val="0"/>
          <w:color w:val="auto"/>
          <w:sz w:val="22"/>
        </w:rPr>
        <w:t>Restricted Local Administrators Membership</w:t>
      </w:r>
      <w:bookmarkEnd w:id="7934"/>
    </w:p>
    <w:p w14:paraId="3D2B5629" w14:textId="77777777" w:rsidR="00486783" w:rsidRDefault="00486783" w:rsidP="00486783">
      <w:r>
        <w:t xml:space="preserve">To limit the number of accounts that can create risk to the organization, restrict the number of accounts in the local administrators group of all systems to the smallest number possible. To protect against inadvertent weakening of the security posture and enforce governance standards, operate all administrative workstations with standard user privileges on the local hosts. </w:t>
      </w:r>
    </w:p>
    <w:p w14:paraId="42953C82" w14:textId="77777777" w:rsidR="00486783" w:rsidRDefault="00486783" w:rsidP="00486783">
      <w:r>
        <w:t>Configure local administrative groups and accounts as follows:</w:t>
      </w:r>
    </w:p>
    <w:p w14:paraId="723F2A5B" w14:textId="77777777" w:rsidR="00486783" w:rsidRDefault="00486783" w:rsidP="005729D2">
      <w:pPr>
        <w:pStyle w:val="ListParagraph"/>
        <w:numPr>
          <w:ilvl w:val="0"/>
          <w:numId w:val="193"/>
        </w:numPr>
        <w:spacing w:before="0" w:after="160" w:line="259" w:lineRule="auto"/>
      </w:pPr>
      <w:r>
        <w:t>Interactive users of systems run with standard privileges and are not local administrators of the system, including:</w:t>
      </w:r>
    </w:p>
    <w:p w14:paraId="7C48CACF" w14:textId="77777777" w:rsidR="00486783" w:rsidRDefault="00486783" w:rsidP="005729D2">
      <w:pPr>
        <w:pStyle w:val="ListParagraph"/>
        <w:numPr>
          <w:ilvl w:val="1"/>
          <w:numId w:val="193"/>
        </w:numPr>
        <w:spacing w:before="0" w:after="160" w:line="259" w:lineRule="auto"/>
      </w:pPr>
      <w:r>
        <w:t xml:space="preserve">Standard user accounts on standard user desktops and laptops. Make no exceptions for granting local administrative privileges for administrative accounts on assigned administrative workstations. </w:t>
      </w:r>
    </w:p>
    <w:p w14:paraId="0F995AD1" w14:textId="77777777" w:rsidR="00486783" w:rsidRDefault="00486783" w:rsidP="005729D2">
      <w:pPr>
        <w:pStyle w:val="ListParagraph"/>
        <w:numPr>
          <w:ilvl w:val="1"/>
          <w:numId w:val="193"/>
        </w:numPr>
        <w:spacing w:before="0" w:after="160" w:line="259" w:lineRule="auto"/>
      </w:pPr>
      <w:r>
        <w:t xml:space="preserve">Administrative accounts on their assigned admin workstations. </w:t>
      </w:r>
    </w:p>
    <w:p w14:paraId="093DC1E5" w14:textId="77777777" w:rsidR="00486783" w:rsidRDefault="00486783" w:rsidP="005729D2">
      <w:pPr>
        <w:pStyle w:val="ListParagraph"/>
        <w:numPr>
          <w:ilvl w:val="0"/>
          <w:numId w:val="193"/>
        </w:numPr>
        <w:spacing w:before="0" w:after="160" w:line="259" w:lineRule="auto"/>
      </w:pPr>
      <w:r>
        <w:t>All exceptions for standard users are temporary and need to be approved by the change approval board.</w:t>
      </w:r>
    </w:p>
    <w:p w14:paraId="214429FD" w14:textId="77777777" w:rsidR="00486783" w:rsidRDefault="00486783" w:rsidP="005729D2">
      <w:pPr>
        <w:pStyle w:val="ListParagraph"/>
        <w:numPr>
          <w:ilvl w:val="1"/>
          <w:numId w:val="193"/>
        </w:numPr>
        <w:spacing w:before="0" w:after="160" w:line="259" w:lineRule="auto"/>
      </w:pPr>
      <w:r>
        <w:t>Initial request requires justification risk acceptance signed by personnel’s immediate supervisor, and it expires after six months.</w:t>
      </w:r>
    </w:p>
    <w:p w14:paraId="4F0B8070" w14:textId="77777777" w:rsidR="00486783" w:rsidRDefault="00486783" w:rsidP="005729D2">
      <w:pPr>
        <w:pStyle w:val="ListParagraph"/>
        <w:numPr>
          <w:ilvl w:val="1"/>
          <w:numId w:val="193"/>
        </w:numPr>
        <w:spacing w:before="0" w:after="160" w:line="259" w:lineRule="auto"/>
      </w:pPr>
      <w:r>
        <w:t>Renewals require justification and risk acceptance signed by the business unit director, and they expire after six months.</w:t>
      </w:r>
    </w:p>
    <w:p w14:paraId="074B2501" w14:textId="77777777" w:rsidR="00486783" w:rsidRPr="00F62D5A" w:rsidRDefault="00486783" w:rsidP="005729D2">
      <w:pPr>
        <w:pStyle w:val="ListParagraph"/>
        <w:numPr>
          <w:ilvl w:val="0"/>
          <w:numId w:val="193"/>
        </w:numPr>
        <w:spacing w:before="0" w:after="160" w:line="259" w:lineRule="auto"/>
      </w:pPr>
      <w:r>
        <w:t>Create n</w:t>
      </w:r>
      <w:r w:rsidRPr="00F62D5A">
        <w:t>o local accounts on the system beyond the built</w:t>
      </w:r>
      <w:r>
        <w:t>-</w:t>
      </w:r>
      <w:r w:rsidRPr="00F62D5A">
        <w:t xml:space="preserve">in accounts. </w:t>
      </w:r>
    </w:p>
    <w:p w14:paraId="68D74272" w14:textId="77777777" w:rsidR="00486783" w:rsidRDefault="00486783" w:rsidP="005729D2">
      <w:pPr>
        <w:pStyle w:val="ListParagraph"/>
        <w:numPr>
          <w:ilvl w:val="0"/>
          <w:numId w:val="193"/>
        </w:numPr>
        <w:spacing w:before="0" w:after="160" w:line="259" w:lineRule="auto"/>
      </w:pPr>
      <w:r>
        <w:t>The membership of the local administrators group on workstations and servers is managed with the Restricted Groups feature to ensure compliance:</w:t>
      </w:r>
    </w:p>
    <w:p w14:paraId="251CFA44" w14:textId="77777777" w:rsidR="00486783" w:rsidRDefault="00486783" w:rsidP="005729D2">
      <w:pPr>
        <w:pStyle w:val="ListParagraph"/>
        <w:numPr>
          <w:ilvl w:val="1"/>
          <w:numId w:val="193"/>
        </w:numPr>
        <w:spacing w:before="0" w:after="160" w:line="259" w:lineRule="auto"/>
      </w:pPr>
      <w:r>
        <w:t>Local administrator account (-500 SID)</w:t>
      </w:r>
    </w:p>
    <w:p w14:paraId="63B9B6ED" w14:textId="77777777" w:rsidR="00486783" w:rsidRDefault="00486783" w:rsidP="005729D2">
      <w:pPr>
        <w:pStyle w:val="ListParagraph"/>
        <w:numPr>
          <w:ilvl w:val="1"/>
          <w:numId w:val="193"/>
        </w:numPr>
        <w:spacing w:before="0" w:after="160" w:line="259" w:lineRule="auto"/>
      </w:pPr>
      <w:r>
        <w:t>Authorized workstation or server groups approved by change approval board</w:t>
      </w:r>
    </w:p>
    <w:p w14:paraId="66AB9316" w14:textId="77777777" w:rsidR="00486783" w:rsidRPr="00B86F97" w:rsidRDefault="00486783" w:rsidP="005729D2">
      <w:pPr>
        <w:pStyle w:val="ListParagraph"/>
        <w:numPr>
          <w:ilvl w:val="0"/>
          <w:numId w:val="193"/>
        </w:numPr>
        <w:spacing w:before="0" w:after="160" w:line="259" w:lineRule="auto"/>
      </w:pPr>
      <w:r w:rsidRPr="00F62D5A">
        <w:t>The buil</w:t>
      </w:r>
      <w:r w:rsidRPr="00B86F97">
        <w:t xml:space="preserve">t-in local administrator </w:t>
      </w:r>
      <w:r>
        <w:t>account is</w:t>
      </w:r>
      <w:r w:rsidRPr="00B86F97">
        <w:t xml:space="preserve"> the only local administrative account on the system</w:t>
      </w:r>
      <w:r>
        <w:t>.</w:t>
      </w:r>
      <w:r w:rsidRPr="00B86F97">
        <w:t xml:space="preserve"> </w:t>
      </w:r>
    </w:p>
    <w:p w14:paraId="4CF4A8DD" w14:textId="5F36AFE5" w:rsidR="00F97B16" w:rsidRPr="00D11CE7" w:rsidRDefault="00486783" w:rsidP="005729D2">
      <w:pPr>
        <w:pStyle w:val="ListParagraph"/>
        <w:numPr>
          <w:ilvl w:val="1"/>
          <w:numId w:val="193"/>
        </w:numPr>
        <w:spacing w:before="0" w:after="160" w:line="240" w:lineRule="auto"/>
        <w:contextualSpacing w:val="0"/>
        <w:rPr>
          <w:color w:val="1F497D"/>
        </w:rPr>
      </w:pPr>
      <w:r>
        <w:t>Assign</w:t>
      </w:r>
      <w:r w:rsidRPr="00B86F97">
        <w:t xml:space="preserve"> a random password using the </w:t>
      </w:r>
      <w:hyperlink r:id="rId673" w:history="1">
        <w:r w:rsidRPr="00B36D9B">
          <w:rPr>
            <w:rStyle w:val="Hyperlink"/>
          </w:rPr>
          <w:t>Microsoft Local Administrator Password Solution (LAPS)</w:t>
        </w:r>
      </w:hyperlink>
      <w:r>
        <w:t>.</w:t>
      </w:r>
    </w:p>
    <w:p w14:paraId="7DF23BEC" w14:textId="77777777" w:rsidR="00486783" w:rsidRPr="002452B6" w:rsidRDefault="00486783" w:rsidP="00486783">
      <w:pPr>
        <w:pStyle w:val="Heading4"/>
        <w:rPr>
          <w:rFonts w:ascii="Segoe UI" w:hAnsi="Segoe UI" w:cs="Segoe UI"/>
          <w:b/>
          <w:i w:val="0"/>
          <w:color w:val="auto"/>
          <w:sz w:val="22"/>
        </w:rPr>
      </w:pPr>
      <w:r w:rsidRPr="002452B6">
        <w:rPr>
          <w:rFonts w:ascii="Segoe UI" w:hAnsi="Segoe UI" w:cs="Segoe UI"/>
          <w:b/>
          <w:i w:val="0"/>
          <w:color w:val="auto"/>
          <w:sz w:val="22"/>
        </w:rPr>
        <w:t>Compliance with Microsoft Security Baselines</w:t>
      </w:r>
    </w:p>
    <w:p w14:paraId="50F1B868" w14:textId="77777777" w:rsidR="00486783" w:rsidRPr="004803A7" w:rsidRDefault="00486783" w:rsidP="00486783">
      <w:r>
        <w:t>To protect against configuration vulnerabilities, configure all Windows Tier 0 hosts to comply with the appropriate security baselines from Microsoft Security Compliance Manager (SCM). Apply them with Group Policy Objects (GPOs) to ensure consistent enforcement. Apply security configuration guidance</w:t>
      </w:r>
      <w:r w:rsidDel="00B36D9B">
        <w:t xml:space="preserve"> </w:t>
      </w:r>
      <w:r>
        <w:t xml:space="preserve">for all other operating systems from the manufacturers. </w:t>
      </w:r>
    </w:p>
    <w:p w14:paraId="643C485E" w14:textId="77777777" w:rsidR="00486783" w:rsidRPr="002452B6" w:rsidRDefault="00486783" w:rsidP="00486783">
      <w:pPr>
        <w:pStyle w:val="Heading4"/>
        <w:rPr>
          <w:rFonts w:ascii="Segoe UI" w:hAnsi="Segoe UI" w:cs="Segoe UI"/>
          <w:b/>
          <w:i w:val="0"/>
          <w:color w:val="auto"/>
          <w:sz w:val="22"/>
        </w:rPr>
      </w:pPr>
      <w:bookmarkStart w:id="7935" w:name="_Toc421201763"/>
      <w:r w:rsidRPr="002452B6">
        <w:rPr>
          <w:rFonts w:ascii="Segoe UI" w:hAnsi="Segoe UI" w:cs="Segoe UI"/>
          <w:b/>
          <w:i w:val="0"/>
          <w:color w:val="auto"/>
          <w:sz w:val="22"/>
        </w:rPr>
        <w:t>Up-to-Date Antimalware</w:t>
      </w:r>
      <w:bookmarkEnd w:id="7935"/>
    </w:p>
    <w:p w14:paraId="77B12F23" w14:textId="77777777" w:rsidR="00486783" w:rsidRPr="0004065B" w:rsidRDefault="00486783" w:rsidP="00486783">
      <w:r>
        <w:t xml:space="preserve">All hosts should include antimalware software to protect against known threats and malware. Note that System Center Endpoint Protection (SCEP) is generally preferable for locked-down </w:t>
      </w:r>
      <w:r w:rsidRPr="0004065B">
        <w:t>systems</w:t>
      </w:r>
      <w:r>
        <w:t>,</w:t>
      </w:r>
      <w:r w:rsidRPr="0004065B">
        <w:t xml:space="preserve"> </w:t>
      </w:r>
      <w:r>
        <w:t>such as</w:t>
      </w:r>
      <w:r w:rsidRPr="0004065B">
        <w:t xml:space="preserve"> administrative workstations</w:t>
      </w:r>
      <w:r>
        <w:t>,</w:t>
      </w:r>
      <w:r w:rsidRPr="0004065B">
        <w:t xml:space="preserve"> </w:t>
      </w:r>
      <w:r>
        <w:t>because</w:t>
      </w:r>
      <w:r w:rsidRPr="0004065B">
        <w:t xml:space="preserve"> it can leverage WSUS servers </w:t>
      </w:r>
      <w:r>
        <w:t>to</w:t>
      </w:r>
      <w:r w:rsidRPr="0004065B">
        <w:t xml:space="preserve"> obtain signatures. </w:t>
      </w:r>
    </w:p>
    <w:p w14:paraId="39067FBD" w14:textId="58819306" w:rsidR="00F97B16" w:rsidRPr="0004065B" w:rsidRDefault="00F97B16" w:rsidP="00486783">
      <w:pPr>
        <w:pStyle w:val="ListParagraph"/>
        <w:tabs>
          <w:tab w:val="clear" w:pos="720"/>
        </w:tabs>
        <w:spacing w:before="0" w:after="160" w:line="259" w:lineRule="auto"/>
        <w:ind w:firstLine="0"/>
        <w:rPr>
          <w:rFonts w:ascii="Calibri" w:eastAsia="Times New Roman" w:hAnsi="Calibri" w:cs="Times New Roman"/>
          <w:i/>
          <w:color w:val="000000"/>
        </w:rPr>
      </w:pPr>
    </w:p>
    <w:p w14:paraId="6D4F3867" w14:textId="77777777" w:rsidR="00486783" w:rsidRPr="002452B6" w:rsidRDefault="00486783" w:rsidP="00486783">
      <w:pPr>
        <w:rPr>
          <w:rFonts w:cs="Segoe UI"/>
          <w:b/>
          <w:color w:val="000000" w:themeColor="text1"/>
        </w:rPr>
      </w:pPr>
      <w:r w:rsidRPr="002452B6">
        <w:rPr>
          <w:rFonts w:cs="Segoe UI"/>
          <w:b/>
          <w:color w:val="000000" w:themeColor="text1"/>
        </w:rPr>
        <w:t>Enhanced Mitigation Experience Toolkit</w:t>
      </w:r>
    </w:p>
    <w:p w14:paraId="1333A60E" w14:textId="77777777" w:rsidR="00486783" w:rsidRPr="00EF24D2" w:rsidRDefault="00486783" w:rsidP="00486783">
      <w:r w:rsidRPr="002452B6">
        <w:rPr>
          <w:color w:val="000000" w:themeColor="text1"/>
        </w:rPr>
        <w:t xml:space="preserve">The </w:t>
      </w:r>
      <w:hyperlink r:id="rId674" w:history="1">
        <w:r w:rsidRPr="0030289B">
          <w:rPr>
            <w:rStyle w:val="Hyperlink"/>
            <w:rFonts w:cs="Segoe Pro"/>
          </w:rPr>
          <w:t>Enhanced Mitigation Experience Toolkit (EMET)</w:t>
        </w:r>
      </w:hyperlink>
      <w:r w:rsidRPr="00925C38">
        <w:t xml:space="preserve"> </w:t>
      </w:r>
      <w:r>
        <w:t>provides exploit</w:t>
      </w:r>
      <w:r w:rsidRPr="0030289B">
        <w:rPr>
          <w:rFonts w:cs="Segoe Pro"/>
          <w:bCs/>
          <w:color w:val="000000"/>
        </w:rPr>
        <w:t xml:space="preserve"> mitigations</w:t>
      </w:r>
      <w:r>
        <w:rPr>
          <w:rFonts w:cs="Segoe Pro"/>
          <w:b/>
          <w:bCs/>
          <w:color w:val="000000"/>
        </w:rPr>
        <w:t xml:space="preserve"> </w:t>
      </w:r>
      <w:r>
        <w:rPr>
          <w:rFonts w:cs="Segoe Pro"/>
          <w:color w:val="000000"/>
        </w:rPr>
        <w:t xml:space="preserve">for many popular applications that may process untrusted data. These mitigations can protect against known and unknown threats and exploits. </w:t>
      </w:r>
      <w:r>
        <w:t xml:space="preserve">All hosts that run applications that have been tested to work with EMET (primarily web browsers, media players, and productivity applications) should have </w:t>
      </w:r>
      <w:r>
        <w:rPr>
          <w:rFonts w:cs="Segoe Pro"/>
          <w:color w:val="000000"/>
        </w:rPr>
        <w:t xml:space="preserve">EMET installed, and </w:t>
      </w:r>
      <w:r w:rsidRPr="00EF24D2">
        <w:rPr>
          <w:rFonts w:cs="Segoe Pro"/>
          <w:color w:val="000000"/>
        </w:rPr>
        <w:t xml:space="preserve">those applications opted in to EMET protections. </w:t>
      </w:r>
    </w:p>
    <w:p w14:paraId="3F762A72" w14:textId="77777777" w:rsidR="00486783" w:rsidRPr="002452B6" w:rsidRDefault="00486783" w:rsidP="00486783">
      <w:pPr>
        <w:pStyle w:val="Heading4"/>
        <w:rPr>
          <w:rFonts w:ascii="Segoe UI" w:hAnsi="Segoe UI" w:cs="Segoe UI"/>
          <w:b/>
          <w:i w:val="0"/>
          <w:color w:val="000000" w:themeColor="text1"/>
          <w:sz w:val="22"/>
        </w:rPr>
      </w:pPr>
      <w:r w:rsidRPr="002452B6">
        <w:rPr>
          <w:rFonts w:ascii="Segoe UI" w:hAnsi="Segoe UI" w:cs="Segoe UI"/>
          <w:b/>
          <w:i w:val="0"/>
          <w:color w:val="000000" w:themeColor="text1"/>
          <w:sz w:val="22"/>
        </w:rPr>
        <w:t>Enforce RDP RestrictedAdmin on Admin Workstations</w:t>
      </w:r>
    </w:p>
    <w:p w14:paraId="33473C91" w14:textId="77777777" w:rsidR="00486783" w:rsidRPr="00EF24D2" w:rsidRDefault="00486783" w:rsidP="00486783">
      <w:r w:rsidRPr="00EF24D2">
        <w:t xml:space="preserve">To provide protection against a lateral traversal attack </w:t>
      </w:r>
      <w:r>
        <w:t xml:space="preserve">that </w:t>
      </w:r>
      <w:r w:rsidRPr="00EF24D2">
        <w:t>us</w:t>
      </w:r>
      <w:r>
        <w:t>es</w:t>
      </w:r>
      <w:r w:rsidRPr="00EF24D2">
        <w:t xml:space="preserve"> a domain account, </w:t>
      </w:r>
      <w:r>
        <w:t xml:space="preserve">on </w:t>
      </w:r>
      <w:r w:rsidRPr="00EF24D2">
        <w:t>all administration workstations</w:t>
      </w:r>
      <w:r>
        <w:t>,</w:t>
      </w:r>
      <w:r w:rsidRPr="00EF24D2">
        <w:t xml:space="preserve"> enforce the use of RestrictedAdmin mode for all </w:t>
      </w:r>
      <w:r>
        <w:t>Remote Desktop Protocol (</w:t>
      </w:r>
      <w:r w:rsidRPr="00EF24D2">
        <w:t>RDP</w:t>
      </w:r>
      <w:r>
        <w:t>)</w:t>
      </w:r>
      <w:r w:rsidRPr="00EF24D2">
        <w:t xml:space="preserve"> connections to remote servers and workstations.</w:t>
      </w:r>
    </w:p>
    <w:p w14:paraId="4EEB68C2" w14:textId="77777777" w:rsidR="00486783" w:rsidRDefault="00486783" w:rsidP="00486783">
      <w:r w:rsidRPr="00EF24D2">
        <w:t xml:space="preserve">This is enabled by applying </w:t>
      </w:r>
      <w:r>
        <w:t>the following</w:t>
      </w:r>
      <w:r w:rsidRPr="00EF24D2">
        <w:t xml:space="preserve"> Group Policy setting to the admin workstation to enforce it on all RDP connections from this computer</w:t>
      </w:r>
      <w:r>
        <w:t>:</w:t>
      </w:r>
    </w:p>
    <w:p w14:paraId="381EAB66" w14:textId="77777777" w:rsidR="00486783" w:rsidRDefault="00486783" w:rsidP="00486783">
      <w:pPr>
        <w:ind w:left="720"/>
      </w:pPr>
      <w:r>
        <w:t>Computer Configuration\Administrative Templates\System\Credentials Delegation\</w:t>
      </w:r>
      <w:r w:rsidRPr="00EF24D2">
        <w:rPr>
          <w:b/>
        </w:rPr>
        <w:t>Restrict delegation of credentials to remote servers</w:t>
      </w:r>
    </w:p>
    <w:p w14:paraId="0BA2487E" w14:textId="77777777" w:rsidR="00486783" w:rsidRDefault="00486783" w:rsidP="00486783">
      <w:r>
        <w:t xml:space="preserve">The following parameter for the Remote Desktop client application can also be supplied from the command line to enable this mode: </w:t>
      </w:r>
      <w:r w:rsidRPr="00160F99">
        <w:rPr>
          <w:b/>
        </w:rPr>
        <w:t>mstsc.exe /RestrictedAdmin</w:t>
      </w:r>
      <w:r>
        <w:t xml:space="preserve">. </w:t>
      </w:r>
    </w:p>
    <w:p w14:paraId="6BC3B47B" w14:textId="77777777" w:rsidR="00486783" w:rsidRDefault="00486783" w:rsidP="00486783">
      <w:r>
        <w:t xml:space="preserve">For more information about this capability, see: </w:t>
      </w:r>
    </w:p>
    <w:p w14:paraId="4DEFC10D" w14:textId="77777777" w:rsidR="00486783" w:rsidRDefault="00872E47" w:rsidP="005729D2">
      <w:pPr>
        <w:pStyle w:val="ListParagraph"/>
        <w:numPr>
          <w:ilvl w:val="0"/>
          <w:numId w:val="200"/>
        </w:numPr>
        <w:spacing w:before="0" w:after="160" w:line="259" w:lineRule="auto"/>
      </w:pPr>
      <w:hyperlink r:id="rId675" w:history="1">
        <w:r w:rsidR="00486783">
          <w:rPr>
            <w:rStyle w:val="Hyperlink"/>
          </w:rPr>
          <w:t>An Overview of KB2871997</w:t>
        </w:r>
      </w:hyperlink>
      <w:r w:rsidR="00486783">
        <w:t xml:space="preserve"> </w:t>
      </w:r>
    </w:p>
    <w:p w14:paraId="01CDFEFF" w14:textId="77777777" w:rsidR="00486783" w:rsidRPr="000405E9" w:rsidRDefault="00872E47" w:rsidP="005729D2">
      <w:pPr>
        <w:pStyle w:val="ListParagraph"/>
        <w:numPr>
          <w:ilvl w:val="0"/>
          <w:numId w:val="200"/>
        </w:numPr>
        <w:spacing w:before="0" w:after="160" w:line="259" w:lineRule="auto"/>
      </w:pPr>
      <w:hyperlink r:id="rId676" w:history="1">
        <w:r w:rsidR="00486783" w:rsidRPr="00160F99">
          <w:rPr>
            <w:rStyle w:val="Hyperlink"/>
          </w:rPr>
          <w:t>Mitigating Pass-the-Hash and Other Credential Theft, version</w:t>
        </w:r>
        <w:r w:rsidR="00486783">
          <w:rPr>
            <w:rStyle w:val="Hyperlink"/>
          </w:rPr>
          <w:t> 2</w:t>
        </w:r>
      </w:hyperlink>
    </w:p>
    <w:p w14:paraId="56BC25FF" w14:textId="77777777" w:rsidR="00486783" w:rsidRPr="000405E9" w:rsidRDefault="00486783" w:rsidP="00486783">
      <w:r w:rsidRPr="000405E9">
        <w:t xml:space="preserve"> </w:t>
      </w:r>
    </w:p>
    <w:p w14:paraId="0B0A8BAC" w14:textId="77777777" w:rsidR="00486783" w:rsidRPr="002452B6" w:rsidRDefault="00486783" w:rsidP="00486783">
      <w:pPr>
        <w:pStyle w:val="Heading4"/>
        <w:rPr>
          <w:rFonts w:ascii="Segoe UI" w:hAnsi="Segoe UI" w:cs="Segoe UI"/>
          <w:b/>
          <w:i w:val="0"/>
          <w:color w:val="000000" w:themeColor="text1"/>
          <w:sz w:val="22"/>
        </w:rPr>
      </w:pPr>
      <w:r w:rsidRPr="002452B6">
        <w:rPr>
          <w:rFonts w:ascii="Segoe UI" w:hAnsi="Segoe UI" w:cs="Segoe UI"/>
          <w:b/>
          <w:i w:val="0"/>
          <w:color w:val="000000" w:themeColor="text1"/>
          <w:sz w:val="22"/>
        </w:rPr>
        <w:t>Attack Surface Analysis</w:t>
      </w:r>
    </w:p>
    <w:p w14:paraId="2E9CFC69" w14:textId="77777777" w:rsidR="00486783" w:rsidRDefault="00486783" w:rsidP="00486783">
      <w:r>
        <w:t>Hosts should undergo a</w:t>
      </w:r>
      <w:r w:rsidRPr="00456B9B">
        <w:t xml:space="preserve">ttack surface analysis </w:t>
      </w:r>
      <w:r>
        <w:t xml:space="preserve">to </w:t>
      </w:r>
      <w:r w:rsidRPr="00456B9B">
        <w:t>prevent introduction of new attack vectors to Windows</w:t>
      </w:r>
      <w:r>
        <w:t xml:space="preserve"> </w:t>
      </w:r>
      <w:r w:rsidRPr="00456B9B">
        <w:t>during installation of new software.</w:t>
      </w:r>
      <w:r>
        <w:t xml:space="preserve"> T</w:t>
      </w:r>
      <w:r w:rsidRPr="00456B9B">
        <w:t xml:space="preserve">he </w:t>
      </w:r>
      <w:hyperlink r:id="rId677" w:history="1">
        <w:r w:rsidRPr="00456B9B">
          <w:rPr>
            <w:rStyle w:val="Hyperlink"/>
          </w:rPr>
          <w:t>Attack Surface Analyzer</w:t>
        </w:r>
      </w:hyperlink>
      <w:r w:rsidRPr="00456B9B">
        <w:t xml:space="preserve"> </w:t>
      </w:r>
      <w:r>
        <w:t xml:space="preserve">should be used at the following times to </w:t>
      </w:r>
      <w:r w:rsidRPr="00456B9B">
        <w:t>help assess configuration</w:t>
      </w:r>
      <w:r>
        <w:t xml:space="preserve"> </w:t>
      </w:r>
      <w:r w:rsidRPr="00456B9B">
        <w:t>settings on a host and identify attack vectors</w:t>
      </w:r>
      <w:r>
        <w:t>:</w:t>
      </w:r>
    </w:p>
    <w:p w14:paraId="578C0117" w14:textId="77777777" w:rsidR="00486783" w:rsidRDefault="00486783" w:rsidP="005729D2">
      <w:pPr>
        <w:pStyle w:val="ListParagraph"/>
        <w:numPr>
          <w:ilvl w:val="0"/>
          <w:numId w:val="198"/>
        </w:numPr>
        <w:spacing w:before="0" w:after="160" w:line="259" w:lineRule="auto"/>
      </w:pPr>
      <w:r>
        <w:t>Completion of an installation image (analyze attack surface for unexpected exposure)</w:t>
      </w:r>
    </w:p>
    <w:p w14:paraId="3112AAFE" w14:textId="77777777" w:rsidR="00486783" w:rsidRPr="00456B9B" w:rsidRDefault="00486783" w:rsidP="005729D2">
      <w:pPr>
        <w:pStyle w:val="ListParagraph"/>
        <w:numPr>
          <w:ilvl w:val="0"/>
          <w:numId w:val="198"/>
        </w:numPr>
        <w:spacing w:before="0" w:after="160" w:line="259" w:lineRule="auto"/>
      </w:pPr>
      <w:r>
        <w:t>During a major configuration change, such as the installation of a new application (analyze deltas)</w:t>
      </w:r>
    </w:p>
    <w:p w14:paraId="3436B1BC" w14:textId="77777777" w:rsidR="00486783" w:rsidRPr="002452B6" w:rsidRDefault="00486783" w:rsidP="00486783">
      <w:pPr>
        <w:pStyle w:val="Heading4"/>
        <w:rPr>
          <w:rFonts w:ascii="Segoe UI" w:hAnsi="Segoe UI" w:cs="Segoe UI"/>
          <w:b/>
          <w:i w:val="0"/>
          <w:color w:val="000000" w:themeColor="text1"/>
          <w:sz w:val="22"/>
        </w:rPr>
      </w:pPr>
      <w:bookmarkStart w:id="7936" w:name="_Toc421201752"/>
      <w:r w:rsidRPr="002452B6">
        <w:rPr>
          <w:rFonts w:ascii="Segoe UI" w:hAnsi="Segoe UI" w:cs="Segoe UI"/>
          <w:b/>
          <w:i w:val="0"/>
          <w:color w:val="000000" w:themeColor="text1"/>
          <w:sz w:val="22"/>
        </w:rPr>
        <w:t>Physical Security</w:t>
      </w:r>
      <w:bookmarkEnd w:id="7936"/>
      <w:r w:rsidRPr="002452B6">
        <w:rPr>
          <w:rFonts w:ascii="Segoe UI" w:hAnsi="Segoe UI" w:cs="Segoe UI"/>
          <w:b/>
          <w:i w:val="0"/>
          <w:color w:val="000000" w:themeColor="text1"/>
          <w:sz w:val="22"/>
        </w:rPr>
        <w:t xml:space="preserve"> </w:t>
      </w:r>
    </w:p>
    <w:p w14:paraId="314D3C82" w14:textId="77777777" w:rsidR="00486783" w:rsidRPr="00816E49" w:rsidRDefault="00486783" w:rsidP="00486783">
      <w:r>
        <w:t xml:space="preserve">Only authorized personnel have physical access to the Tier assets, including servers, storage, administrative workstations, and backup files. </w:t>
      </w:r>
    </w:p>
    <w:p w14:paraId="7B171E71" w14:textId="77777777" w:rsidR="00486783" w:rsidRPr="002452B6" w:rsidRDefault="00486783" w:rsidP="00486783">
      <w:pPr>
        <w:pStyle w:val="Heading4"/>
        <w:rPr>
          <w:rFonts w:ascii="Segoe UI" w:hAnsi="Segoe UI" w:cs="Segoe UI"/>
          <w:b/>
          <w:i w:val="0"/>
          <w:color w:val="000000" w:themeColor="text1"/>
          <w:sz w:val="22"/>
        </w:rPr>
      </w:pPr>
      <w:bookmarkStart w:id="7937" w:name="_Toc421201753"/>
      <w:r w:rsidRPr="002452B6">
        <w:rPr>
          <w:rFonts w:ascii="Segoe UI" w:hAnsi="Segoe UI" w:cs="Segoe UI"/>
          <w:b/>
          <w:i w:val="0"/>
          <w:color w:val="000000" w:themeColor="text1"/>
          <w:sz w:val="22"/>
        </w:rPr>
        <w:t>Full Disk Encryption</w:t>
      </w:r>
      <w:bookmarkEnd w:id="7937"/>
    </w:p>
    <w:p w14:paraId="2E69E9EB" w14:textId="40F7BF60" w:rsidR="00F97B16" w:rsidRPr="003B54AB" w:rsidRDefault="00486783" w:rsidP="00486783">
      <w:r>
        <w:t xml:space="preserve">All systems should use BitLocker or a similar </w:t>
      </w:r>
      <w:r>
        <w:rPr>
          <w:rFonts w:cs="Segoe Pro"/>
          <w:bCs/>
          <w:color w:val="000000"/>
        </w:rPr>
        <w:t>f</w:t>
      </w:r>
      <w:r w:rsidRPr="003B54AB">
        <w:rPr>
          <w:rFonts w:cs="Segoe Pro"/>
          <w:bCs/>
          <w:color w:val="000000"/>
        </w:rPr>
        <w:t xml:space="preserve">ull </w:t>
      </w:r>
      <w:r>
        <w:rPr>
          <w:rFonts w:cs="Segoe Pro"/>
          <w:bCs/>
          <w:color w:val="000000"/>
        </w:rPr>
        <w:t>disk/</w:t>
      </w:r>
      <w:r w:rsidRPr="003B54AB">
        <w:rPr>
          <w:rFonts w:cs="Segoe Pro"/>
          <w:bCs/>
          <w:color w:val="000000"/>
        </w:rPr>
        <w:t>volume encryption</w:t>
      </w:r>
      <w:r>
        <w:rPr>
          <w:rFonts w:cs="Segoe Pro"/>
          <w:b/>
          <w:bCs/>
          <w:color w:val="000000"/>
        </w:rPr>
        <w:t xml:space="preserve"> </w:t>
      </w:r>
      <w:r>
        <w:rPr>
          <w:rFonts w:cs="Segoe Pro"/>
          <w:color w:val="000000"/>
        </w:rPr>
        <w:t>to mitigate against physical loss of computers, such as administrative laptops that are used remotely.</w:t>
      </w:r>
      <w:r w:rsidR="00F97B16">
        <w:rPr>
          <w:rFonts w:cs="Segoe Pro"/>
          <w:color w:val="000000"/>
        </w:rPr>
        <w:t xml:space="preserve"> </w:t>
      </w:r>
    </w:p>
    <w:p w14:paraId="7F90685D" w14:textId="77777777" w:rsidR="00486783" w:rsidRPr="002452B6" w:rsidRDefault="00486783" w:rsidP="00486783">
      <w:pPr>
        <w:pStyle w:val="Heading4"/>
        <w:rPr>
          <w:rFonts w:ascii="Segoe UI" w:hAnsi="Segoe UI" w:cs="Segoe UI"/>
          <w:b/>
          <w:i w:val="0"/>
          <w:color w:val="000000" w:themeColor="text1"/>
          <w:sz w:val="22"/>
        </w:rPr>
      </w:pPr>
      <w:bookmarkStart w:id="7938" w:name="_Toc421201754"/>
      <w:r w:rsidRPr="002452B6">
        <w:rPr>
          <w:rFonts w:ascii="Segoe UI" w:hAnsi="Segoe UI" w:cs="Segoe UI"/>
          <w:b/>
          <w:i w:val="0"/>
          <w:color w:val="000000" w:themeColor="text1"/>
          <w:sz w:val="22"/>
        </w:rPr>
        <w:t>Baseboard Management Controller Security</w:t>
      </w:r>
      <w:bookmarkEnd w:id="7938"/>
    </w:p>
    <w:p w14:paraId="6200B271" w14:textId="77777777" w:rsidR="00486783" w:rsidRDefault="00486783" w:rsidP="00486783">
      <w:pPr>
        <w:rPr>
          <w:rFonts w:eastAsia="Times New Roman"/>
        </w:rPr>
      </w:pPr>
      <w:r>
        <w:rPr>
          <w:rFonts w:eastAsia="Times New Roman"/>
        </w:rPr>
        <w:t xml:space="preserve">Baseboard management controllers (such as Hewlett-Packard’s iLO and Dell’s DRAC) can be leveraged as an attack vector in much the same way as any other software component through unpatched vulnerabilities, weak passwords, or misconfigurations. </w:t>
      </w:r>
    </w:p>
    <w:p w14:paraId="4FCA803A" w14:textId="77777777" w:rsidR="00486783" w:rsidRDefault="00486783" w:rsidP="00486783">
      <w:pPr>
        <w:rPr>
          <w:rFonts w:eastAsia="Times New Roman"/>
        </w:rPr>
      </w:pPr>
      <w:r>
        <w:rPr>
          <w:rFonts w:eastAsia="Times New Roman"/>
        </w:rPr>
        <w:t xml:space="preserve">The most comprehensive mitigation for attacks based on a baseboard management controller is to disable this functionality in the system BIOS or UEFI. </w:t>
      </w:r>
    </w:p>
    <w:p w14:paraId="26A60F7B" w14:textId="77777777" w:rsidR="00486783" w:rsidRDefault="00486783" w:rsidP="00486783">
      <w:pPr>
        <w:rPr>
          <w:rFonts w:eastAsia="Times New Roman"/>
        </w:rPr>
      </w:pPr>
      <w:r>
        <w:rPr>
          <w:rFonts w:eastAsia="Times New Roman"/>
        </w:rPr>
        <w:t>If lights-out management functionality is required, reduce the risks exposed by a baseboard management controller with measures including the following:</w:t>
      </w:r>
    </w:p>
    <w:p w14:paraId="4BACB66D" w14:textId="77777777" w:rsidR="00486783" w:rsidRDefault="00486783" w:rsidP="005729D2">
      <w:pPr>
        <w:pStyle w:val="ListParagraph"/>
        <w:numPr>
          <w:ilvl w:val="0"/>
          <w:numId w:val="198"/>
        </w:numPr>
        <w:rPr>
          <w:rFonts w:eastAsia="Times New Roman"/>
        </w:rPr>
      </w:pPr>
      <w:r>
        <w:rPr>
          <w:rFonts w:eastAsia="Times New Roman"/>
        </w:rPr>
        <w:t xml:space="preserve">Isolate computers with a baseboard management controller that is enabled from the production network so they can’t be attacked from a compromised standard user desktop or laptop. </w:t>
      </w:r>
    </w:p>
    <w:p w14:paraId="3BDF5E25" w14:textId="77777777" w:rsidR="00486783" w:rsidRDefault="00486783" w:rsidP="005729D2">
      <w:pPr>
        <w:pStyle w:val="ListParagraph"/>
        <w:numPr>
          <w:ilvl w:val="0"/>
          <w:numId w:val="198"/>
        </w:numPr>
        <w:rPr>
          <w:rFonts w:eastAsia="Times New Roman"/>
        </w:rPr>
      </w:pPr>
      <w:r>
        <w:rPr>
          <w:rFonts w:eastAsia="Times New Roman"/>
        </w:rPr>
        <w:t>Use a system that provides automatic alerts for when baseboard management controller firmware is updated, and update your computers as soon as possible after regression testing is complete.</w:t>
      </w:r>
    </w:p>
    <w:p w14:paraId="032B9686" w14:textId="77777777" w:rsidR="00486783" w:rsidRPr="00850121" w:rsidRDefault="00486783" w:rsidP="005729D2">
      <w:pPr>
        <w:pStyle w:val="ListParagraph"/>
        <w:numPr>
          <w:ilvl w:val="0"/>
          <w:numId w:val="198"/>
        </w:numPr>
      </w:pPr>
      <w:r w:rsidRPr="00DB7510">
        <w:rPr>
          <w:rFonts w:eastAsia="Times New Roman"/>
        </w:rPr>
        <w:t xml:space="preserve">Use strong passwords, and if </w:t>
      </w:r>
      <w:r>
        <w:rPr>
          <w:rFonts w:eastAsia="Times New Roman"/>
        </w:rPr>
        <w:t xml:space="preserve">it </w:t>
      </w:r>
      <w:r w:rsidRPr="00DB7510">
        <w:rPr>
          <w:rFonts w:eastAsia="Times New Roman"/>
        </w:rPr>
        <w:t xml:space="preserve">available for your </w:t>
      </w:r>
      <w:r>
        <w:rPr>
          <w:rFonts w:eastAsia="Times New Roman"/>
        </w:rPr>
        <w:t>baseboard management controller</w:t>
      </w:r>
      <w:r w:rsidRPr="00DB7510">
        <w:rPr>
          <w:rFonts w:eastAsia="Times New Roman"/>
        </w:rPr>
        <w:t xml:space="preserve"> instantiation, use multi-factor authentication for administrative access</w:t>
      </w:r>
      <w:r>
        <w:rPr>
          <w:rFonts w:eastAsia="Times New Roman"/>
        </w:rPr>
        <w:t>.</w:t>
      </w:r>
    </w:p>
    <w:p w14:paraId="3A3A476E" w14:textId="77777777" w:rsidR="00486783" w:rsidRPr="002452B6" w:rsidRDefault="00486783" w:rsidP="00486783">
      <w:pPr>
        <w:pStyle w:val="Heading4"/>
        <w:rPr>
          <w:rFonts w:ascii="Segoe UI" w:hAnsi="Segoe UI" w:cs="Segoe UI"/>
          <w:b/>
          <w:i w:val="0"/>
          <w:color w:val="000000" w:themeColor="text1"/>
          <w:sz w:val="22"/>
        </w:rPr>
      </w:pPr>
      <w:bookmarkStart w:id="7939" w:name="_Toc421201755"/>
      <w:r w:rsidRPr="002452B6">
        <w:rPr>
          <w:rFonts w:ascii="Segoe UI" w:hAnsi="Segoe UI" w:cs="Segoe UI"/>
          <w:b/>
          <w:i w:val="0"/>
          <w:color w:val="000000" w:themeColor="text1"/>
          <w:sz w:val="22"/>
        </w:rPr>
        <w:t>UEFI/TPM/Secure Boot Enabled</w:t>
      </w:r>
      <w:bookmarkEnd w:id="7939"/>
    </w:p>
    <w:p w14:paraId="68D31C01" w14:textId="77777777" w:rsidR="00486783" w:rsidRPr="003B4168" w:rsidRDefault="00486783" w:rsidP="00486783">
      <w:r>
        <w:t xml:space="preserve">All physical systems should be configured with the secure boot feature to mitigate against attackers or malware attempting to load malicious code during the boot process. This feature was introduced in Windows 8 and Windows Server 2012 to leverage the Unified Extensible Firmware Interface (UEFI). See </w:t>
      </w:r>
      <w:hyperlink r:id="rId678" w:history="1">
        <w:r w:rsidRPr="003B54AB">
          <w:rPr>
            <w:rStyle w:val="Hyperlink"/>
          </w:rPr>
          <w:t>UEFI Firmware</w:t>
        </w:r>
      </w:hyperlink>
      <w:r>
        <w:t xml:space="preserve"> for more information.</w:t>
      </w:r>
    </w:p>
    <w:p w14:paraId="05E6496E" w14:textId="77777777" w:rsidR="00486783" w:rsidRPr="002452B6" w:rsidRDefault="00486783" w:rsidP="00486783">
      <w:pPr>
        <w:pStyle w:val="Heading4"/>
        <w:rPr>
          <w:rFonts w:ascii="Segoe UI" w:hAnsi="Segoe UI" w:cs="Segoe UI"/>
          <w:b/>
          <w:i w:val="0"/>
          <w:color w:val="000000" w:themeColor="text1"/>
          <w:sz w:val="22"/>
        </w:rPr>
      </w:pPr>
      <w:bookmarkStart w:id="7940" w:name="_Toc421201756"/>
      <w:r w:rsidRPr="002452B6">
        <w:rPr>
          <w:rFonts w:ascii="Segoe UI" w:hAnsi="Segoe UI" w:cs="Segoe UI"/>
          <w:b/>
          <w:i w:val="0"/>
          <w:color w:val="000000" w:themeColor="text1"/>
          <w:sz w:val="22"/>
        </w:rPr>
        <w:t>Application Whitelisting</w:t>
      </w:r>
      <w:bookmarkEnd w:id="7940"/>
    </w:p>
    <w:p w14:paraId="6E9BA61F" w14:textId="77777777" w:rsidR="00486783" w:rsidRPr="00275388" w:rsidRDefault="00486783" w:rsidP="00486783">
      <w:bookmarkStart w:id="7941" w:name="_Toc421201757"/>
      <w:r w:rsidRPr="00B52D00">
        <w:t xml:space="preserve">All hosts should implement software restriction with AppLocker or a similar </w:t>
      </w:r>
      <w:r>
        <w:t>t</w:t>
      </w:r>
      <w:r w:rsidRPr="00B52D00">
        <w:t xml:space="preserve">echnology to ensure that only authorized administrative software is </w:t>
      </w:r>
      <w:r>
        <w:t>run</w:t>
      </w:r>
      <w:r w:rsidRPr="00B52D00">
        <w:t xml:space="preserve"> on </w:t>
      </w:r>
      <w:r>
        <w:t xml:space="preserve">the </w:t>
      </w:r>
      <w:r w:rsidRPr="00B52D00">
        <w:t>host operating system.</w:t>
      </w:r>
      <w:bookmarkEnd w:id="7941"/>
      <w:r w:rsidRPr="00B52D00">
        <w:t xml:space="preserve"> </w:t>
      </w:r>
    </w:p>
    <w:p w14:paraId="6440F70F" w14:textId="77777777" w:rsidR="00486783" w:rsidRPr="002452B6" w:rsidRDefault="00486783" w:rsidP="00486783">
      <w:pPr>
        <w:pStyle w:val="Heading4"/>
        <w:rPr>
          <w:rFonts w:ascii="Segoe UI" w:hAnsi="Segoe UI" w:cs="Segoe UI"/>
          <w:b/>
          <w:i w:val="0"/>
          <w:color w:val="000000" w:themeColor="text1"/>
          <w:sz w:val="22"/>
        </w:rPr>
      </w:pPr>
      <w:bookmarkStart w:id="7942" w:name="_Toc421201758"/>
      <w:r w:rsidRPr="002452B6">
        <w:rPr>
          <w:rFonts w:ascii="Segoe UI" w:hAnsi="Segoe UI" w:cs="Segoe UI"/>
          <w:b/>
          <w:i w:val="0"/>
          <w:color w:val="000000" w:themeColor="text1"/>
          <w:sz w:val="22"/>
        </w:rPr>
        <w:t>USB Media Restrictions</w:t>
      </w:r>
      <w:bookmarkEnd w:id="7942"/>
    </w:p>
    <w:p w14:paraId="2B52E7C5" w14:textId="77777777" w:rsidR="00486783" w:rsidRDefault="00486783" w:rsidP="00486783">
      <w:r>
        <w:t xml:space="preserve">All hosts should implement </w:t>
      </w:r>
      <w:r w:rsidRPr="003B54AB">
        <w:t xml:space="preserve">USB restrictions to protect against physical infection vectors. See </w:t>
      </w:r>
      <w:hyperlink r:id="rId679" w:history="1">
        <w:r w:rsidRPr="003B54AB">
          <w:rPr>
            <w:rStyle w:val="Hyperlink"/>
          </w:rPr>
          <w:t>Control Read or Write Access to Removable Devices or Media</w:t>
        </w:r>
      </w:hyperlink>
      <w:r w:rsidRPr="003B54AB">
        <w:t xml:space="preserve"> for more information.</w:t>
      </w:r>
    </w:p>
    <w:p w14:paraId="26924AEF" w14:textId="77777777" w:rsidR="00486783" w:rsidRPr="002452B6" w:rsidRDefault="00486783" w:rsidP="00486783">
      <w:pPr>
        <w:pStyle w:val="Heading4"/>
        <w:rPr>
          <w:rFonts w:ascii="Segoe UI" w:hAnsi="Segoe UI" w:cs="Segoe UI"/>
          <w:b/>
          <w:i w:val="0"/>
          <w:color w:val="000000" w:themeColor="text1"/>
          <w:sz w:val="22"/>
        </w:rPr>
      </w:pPr>
      <w:r w:rsidRPr="002452B6">
        <w:rPr>
          <w:rFonts w:ascii="Segoe UI" w:hAnsi="Segoe UI" w:cs="Segoe UI"/>
          <w:b/>
          <w:i w:val="0"/>
          <w:color w:val="000000" w:themeColor="text1"/>
          <w:sz w:val="22"/>
        </w:rPr>
        <w:t>Inbound Traffic Restrictions (Default Block)</w:t>
      </w:r>
    </w:p>
    <w:p w14:paraId="5551688C" w14:textId="77777777" w:rsidR="00486783" w:rsidRDefault="00486783" w:rsidP="00486783">
      <w:pPr>
        <w:rPr>
          <w:rFonts w:cs="Segoe Pro"/>
          <w:color w:val="000000"/>
        </w:rPr>
      </w:pPr>
      <w:r>
        <w:t>T</w:t>
      </w:r>
      <w:r>
        <w:rPr>
          <w:rFonts w:cs="Segoe Pro"/>
          <w:color w:val="000000"/>
        </w:rPr>
        <w:t xml:space="preserve">o protect against network attacks, host firewalls or network devices should block all incoming connections to hosts from the public Internet. </w:t>
      </w:r>
    </w:p>
    <w:p w14:paraId="7B349C76" w14:textId="2F24A5C4" w:rsidR="00F97B16" w:rsidRPr="003B54AB" w:rsidRDefault="00486783" w:rsidP="00486783">
      <w:r>
        <w:rPr>
          <w:rFonts w:cs="Segoe Pro"/>
          <w:color w:val="000000"/>
        </w:rPr>
        <w:t>Exceptions are only allowed for designated hosts that download security updates, such as the Windows Server Update Services (WSUS) servers or antimalware servers that obtain signature updates. In these exceptions, controls should be implemented if possible to restrict Internet access to only the authorized Internet locations.</w:t>
      </w:r>
      <w:r w:rsidR="00F97B16">
        <w:rPr>
          <w:rFonts w:cs="Segoe Pro"/>
          <w:color w:val="000000"/>
        </w:rPr>
        <w:t xml:space="preserve"> </w:t>
      </w:r>
    </w:p>
    <w:p w14:paraId="0F52A719" w14:textId="77777777" w:rsidR="00133727" w:rsidRPr="002452B6" w:rsidRDefault="00133727" w:rsidP="00133727">
      <w:pPr>
        <w:pStyle w:val="Heading4"/>
        <w:rPr>
          <w:rFonts w:ascii="Segoe UI" w:hAnsi="Segoe UI" w:cs="Segoe UI"/>
          <w:b/>
          <w:i w:val="0"/>
          <w:color w:val="000000" w:themeColor="text1"/>
          <w:sz w:val="22"/>
        </w:rPr>
      </w:pPr>
      <w:bookmarkStart w:id="7943" w:name="_Toc421201759"/>
      <w:r w:rsidRPr="002452B6">
        <w:rPr>
          <w:rFonts w:ascii="Segoe UI" w:hAnsi="Segoe UI" w:cs="Segoe UI"/>
          <w:b/>
          <w:i w:val="0"/>
          <w:color w:val="000000" w:themeColor="text1"/>
          <w:sz w:val="22"/>
        </w:rPr>
        <w:t>Outbound Traffic Restrictions (No Internet)</w:t>
      </w:r>
      <w:bookmarkEnd w:id="7943"/>
    </w:p>
    <w:p w14:paraId="70E11F47" w14:textId="77777777" w:rsidR="00133727" w:rsidRPr="009627CD" w:rsidRDefault="00133727" w:rsidP="00133727">
      <w:r>
        <w:t xml:space="preserve">To protect against attacks that leverage </w:t>
      </w:r>
      <w:r>
        <w:rPr>
          <w:rFonts w:cs="Segoe Pro"/>
          <w:color w:val="000000"/>
        </w:rPr>
        <w:t>inadvertent admin actions, such as browsing and email, host firewalls or network devices should block all outbound access to the public Internet. All changes to hosts that require software from Internet locations should be obtained by using the media verification process or through vendor-</w:t>
      </w:r>
      <w:r w:rsidRPr="00B16CC7">
        <w:rPr>
          <w:rFonts w:cs="Segoe Pro"/>
          <w:color w:val="000000"/>
        </w:rPr>
        <w:t>provided automated update mechan</w:t>
      </w:r>
      <w:r w:rsidRPr="009627CD">
        <w:rPr>
          <w:rFonts w:cs="Segoe Pro"/>
          <w:color w:val="000000"/>
        </w:rPr>
        <w:t xml:space="preserve">isms. </w:t>
      </w:r>
    </w:p>
    <w:p w14:paraId="0779E5A6" w14:textId="77777777" w:rsidR="00133727" w:rsidRPr="002452B6" w:rsidRDefault="00133727" w:rsidP="00133727">
      <w:pPr>
        <w:pStyle w:val="Heading4"/>
        <w:rPr>
          <w:rFonts w:ascii="Segoe UI" w:hAnsi="Segoe UI" w:cs="Segoe UI"/>
          <w:b/>
          <w:i w:val="0"/>
          <w:color w:val="000000" w:themeColor="text1"/>
          <w:sz w:val="22"/>
        </w:rPr>
      </w:pPr>
      <w:bookmarkStart w:id="7944" w:name="_Toc421201766"/>
      <w:r w:rsidRPr="002452B6">
        <w:rPr>
          <w:rFonts w:ascii="Segoe UI" w:hAnsi="Segoe UI" w:cs="Segoe UI"/>
          <w:b/>
          <w:i w:val="0"/>
          <w:color w:val="000000" w:themeColor="text1"/>
          <w:sz w:val="22"/>
        </w:rPr>
        <w:t>Use of Scheduled Tasks</w:t>
      </w:r>
    </w:p>
    <w:p w14:paraId="6A6BD8B6" w14:textId="77777777" w:rsidR="00133727" w:rsidRPr="00F4009E" w:rsidRDefault="00133727" w:rsidP="00133727">
      <w:r w:rsidRPr="00F4009E">
        <w:t xml:space="preserve">Scheduled tasks </w:t>
      </w:r>
      <w:r w:rsidRPr="00E85E5F">
        <w:t xml:space="preserve">provide the ability to automatically run arbitrary code and scripts on many hosts. All use of scheduled tasks beyond </w:t>
      </w:r>
      <w:r>
        <w:t xml:space="preserve">tasks </w:t>
      </w:r>
      <w:r w:rsidRPr="00E85E5F">
        <w:t xml:space="preserve">created automatically by </w:t>
      </w:r>
      <w:r>
        <w:t xml:space="preserve">installing the </w:t>
      </w:r>
      <w:r w:rsidRPr="00E85E5F">
        <w:t>operating system and authorized application</w:t>
      </w:r>
      <w:r>
        <w:t>s</w:t>
      </w:r>
      <w:r w:rsidRPr="00E85E5F">
        <w:t xml:space="preserve"> should be carefully reviewed and managed</w:t>
      </w:r>
      <w:r>
        <w:t>.</w:t>
      </w:r>
      <w:r w:rsidRPr="00B16CC7">
        <w:t xml:space="preserve"> </w:t>
      </w:r>
    </w:p>
    <w:p w14:paraId="46659BED" w14:textId="77777777" w:rsidR="00133727" w:rsidRPr="00E85E5F" w:rsidRDefault="00133727" w:rsidP="005729D2">
      <w:pPr>
        <w:pStyle w:val="ListParagraph"/>
        <w:numPr>
          <w:ilvl w:val="0"/>
          <w:numId w:val="201"/>
        </w:numPr>
        <w:spacing w:before="0" w:after="160" w:line="259" w:lineRule="auto"/>
      </w:pPr>
      <w:r w:rsidRPr="00E85E5F">
        <w:t xml:space="preserve">All </w:t>
      </w:r>
      <w:r>
        <w:t>s</w:t>
      </w:r>
      <w:r w:rsidRPr="00E85E5F">
        <w:t xml:space="preserve">tartup and </w:t>
      </w:r>
      <w:r>
        <w:t>l</w:t>
      </w:r>
      <w:r w:rsidRPr="00E85E5F">
        <w:t>ogon scripts should be reviewed for security risks</w:t>
      </w:r>
      <w:r>
        <w:t>,</w:t>
      </w:r>
      <w:r w:rsidRPr="00E85E5F">
        <w:t xml:space="preserve"> including</w:t>
      </w:r>
      <w:r>
        <w:t xml:space="preserve"> the a</w:t>
      </w:r>
      <w:r w:rsidRPr="00E85E5F">
        <w:t>bility of unauthorized accounts to modify</w:t>
      </w:r>
      <w:r>
        <w:t>:</w:t>
      </w:r>
    </w:p>
    <w:p w14:paraId="431BBCD2" w14:textId="77777777" w:rsidR="00133727" w:rsidRPr="00E85E5F" w:rsidRDefault="00133727" w:rsidP="005729D2">
      <w:pPr>
        <w:pStyle w:val="ListParagraph"/>
        <w:numPr>
          <w:ilvl w:val="1"/>
          <w:numId w:val="201"/>
        </w:numPr>
        <w:spacing w:before="0" w:after="160" w:line="259" w:lineRule="auto"/>
      </w:pPr>
      <w:r>
        <w:t>S</w:t>
      </w:r>
      <w:r w:rsidRPr="00E85E5F">
        <w:t>cript</w:t>
      </w:r>
      <w:r>
        <w:t xml:space="preserve"> and </w:t>
      </w:r>
      <w:r w:rsidRPr="00E85E5F">
        <w:t>executable content</w:t>
      </w:r>
      <w:r>
        <w:t>.</w:t>
      </w:r>
    </w:p>
    <w:p w14:paraId="1A27A972" w14:textId="77777777" w:rsidR="00133727" w:rsidRPr="00E85E5F" w:rsidRDefault="00133727" w:rsidP="005729D2">
      <w:pPr>
        <w:pStyle w:val="ListParagraph"/>
        <w:numPr>
          <w:ilvl w:val="1"/>
          <w:numId w:val="201"/>
        </w:numPr>
        <w:spacing w:before="0" w:after="160" w:line="259" w:lineRule="auto"/>
      </w:pPr>
      <w:r>
        <w:t>F</w:t>
      </w:r>
      <w:r w:rsidRPr="00E85E5F">
        <w:t xml:space="preserve">iles called </w:t>
      </w:r>
      <w:r>
        <w:t xml:space="preserve">by </w:t>
      </w:r>
      <w:r w:rsidRPr="00E85E5F">
        <w:t>or used by a scheduled task</w:t>
      </w:r>
      <w:r>
        <w:t>.</w:t>
      </w:r>
      <w:r w:rsidRPr="00E85E5F">
        <w:t xml:space="preserve"> </w:t>
      </w:r>
    </w:p>
    <w:p w14:paraId="7E9C3621" w14:textId="77777777" w:rsidR="00133727" w:rsidRPr="00E85E5F" w:rsidRDefault="00133727" w:rsidP="005729D2">
      <w:pPr>
        <w:pStyle w:val="ListParagraph"/>
        <w:numPr>
          <w:ilvl w:val="0"/>
          <w:numId w:val="201"/>
        </w:numPr>
        <w:spacing w:before="0" w:after="160" w:line="259" w:lineRule="auto"/>
      </w:pPr>
      <w:r w:rsidRPr="00E85E5F">
        <w:t>Perform a threat modelling exercise to discover other types of risks</w:t>
      </w:r>
      <w:r>
        <w:t xml:space="preserve">. For more information, see </w:t>
      </w:r>
      <w:hyperlink r:id="rId680" w:history="1">
        <w:r w:rsidRPr="00720235">
          <w:rPr>
            <w:rStyle w:val="Hyperlink"/>
          </w:rPr>
          <w:t>SDL Threat Modeling Tool</w:t>
        </w:r>
      </w:hyperlink>
      <w:r>
        <w:t>.</w:t>
      </w:r>
    </w:p>
    <w:p w14:paraId="49D58746" w14:textId="77777777" w:rsidR="00133727" w:rsidRPr="00E85E5F" w:rsidRDefault="00133727" w:rsidP="005729D2">
      <w:pPr>
        <w:pStyle w:val="ListParagraph"/>
        <w:numPr>
          <w:ilvl w:val="0"/>
          <w:numId w:val="201"/>
        </w:numPr>
        <w:spacing w:before="0" w:after="160" w:line="259" w:lineRule="auto"/>
      </w:pPr>
      <w:r w:rsidRPr="00E85E5F">
        <w:t xml:space="preserve">All changes to the scripts or executables should be submitted to the </w:t>
      </w:r>
      <w:r>
        <w:t>change approval board.</w:t>
      </w:r>
    </w:p>
    <w:p w14:paraId="1FB368DD" w14:textId="77777777" w:rsidR="00133727" w:rsidRPr="002452B6" w:rsidRDefault="00133727" w:rsidP="00133727">
      <w:pPr>
        <w:pStyle w:val="Heading4"/>
        <w:rPr>
          <w:rFonts w:ascii="Segoe UI" w:hAnsi="Segoe UI" w:cs="Segoe UI"/>
          <w:b/>
          <w:i w:val="0"/>
          <w:color w:val="000000" w:themeColor="text1"/>
          <w:sz w:val="22"/>
        </w:rPr>
      </w:pPr>
      <w:r w:rsidRPr="002452B6">
        <w:rPr>
          <w:rFonts w:ascii="Segoe UI" w:hAnsi="Segoe UI" w:cs="Segoe UI"/>
          <w:b/>
          <w:i w:val="0"/>
          <w:color w:val="000000" w:themeColor="text1"/>
          <w:sz w:val="22"/>
        </w:rPr>
        <w:t>Logon Restrictions</w:t>
      </w:r>
      <w:bookmarkEnd w:id="7944"/>
    </w:p>
    <w:p w14:paraId="40CAB75C" w14:textId="77777777" w:rsidR="00133727" w:rsidRPr="009627CD" w:rsidRDefault="00133727" w:rsidP="00133727">
      <w:r w:rsidRPr="009627CD">
        <w:t xml:space="preserve">Restrict </w:t>
      </w:r>
      <w:r>
        <w:t>sign-in</w:t>
      </w:r>
      <w:r w:rsidRPr="009627CD">
        <w:t xml:space="preserve"> to the host to only the accounts that are expected to log onto them for regular</w:t>
      </w:r>
      <w:r>
        <w:t xml:space="preserve">, </w:t>
      </w:r>
      <w:r w:rsidRPr="009627CD">
        <w:t xml:space="preserve">daily use or </w:t>
      </w:r>
      <w:r>
        <w:t>to</w:t>
      </w:r>
      <w:r w:rsidRPr="009627CD">
        <w:t xml:space="preserve"> provid</w:t>
      </w:r>
      <w:r>
        <w:t>e</w:t>
      </w:r>
      <w:r w:rsidRPr="009627CD">
        <w:t xml:space="preserve"> support. </w:t>
      </w:r>
    </w:p>
    <w:p w14:paraId="3BE90C6E" w14:textId="77777777" w:rsidR="00133727" w:rsidRPr="002452B6" w:rsidRDefault="00133727" w:rsidP="00133727">
      <w:pPr>
        <w:pStyle w:val="Heading4"/>
        <w:rPr>
          <w:rFonts w:ascii="Segoe UI" w:hAnsi="Segoe UI" w:cs="Segoe UI"/>
          <w:b/>
          <w:i w:val="0"/>
          <w:color w:val="000000" w:themeColor="text1"/>
          <w:sz w:val="22"/>
        </w:rPr>
      </w:pPr>
      <w:bookmarkStart w:id="7945" w:name="_Toc421201770"/>
      <w:r w:rsidRPr="002452B6">
        <w:rPr>
          <w:rFonts w:ascii="Segoe UI" w:hAnsi="Segoe UI" w:cs="Segoe UI"/>
          <w:b/>
          <w:i w:val="0"/>
          <w:color w:val="000000" w:themeColor="text1"/>
          <w:sz w:val="22"/>
        </w:rPr>
        <w:t>Enable Rapid Rebuild Process</w:t>
      </w:r>
      <w:bookmarkEnd w:id="7945"/>
    </w:p>
    <w:p w14:paraId="768EA0CA" w14:textId="77777777" w:rsidR="00133727" w:rsidRPr="00E85E5F" w:rsidRDefault="00133727" w:rsidP="00133727">
      <w:pPr>
        <w:rPr>
          <w:color w:val="212121"/>
        </w:rPr>
      </w:pPr>
      <w:r w:rsidRPr="00E85E5F">
        <w:rPr>
          <w:color w:val="212121"/>
        </w:rPr>
        <w:t>To limit the risk of leaving a potentially compromised Tier</w:t>
      </w:r>
      <w:r>
        <w:rPr>
          <w:color w:val="212121"/>
        </w:rPr>
        <w:t> 0</w:t>
      </w:r>
      <w:r w:rsidRPr="00E85E5F">
        <w:rPr>
          <w:color w:val="212121"/>
        </w:rPr>
        <w:t xml:space="preserve"> host in operation, a rapid rebuild process should be established for all Tier</w:t>
      </w:r>
      <w:r>
        <w:rPr>
          <w:color w:val="212121"/>
        </w:rPr>
        <w:t> 0</w:t>
      </w:r>
      <w:r w:rsidRPr="00E85E5F">
        <w:rPr>
          <w:color w:val="212121"/>
        </w:rPr>
        <w:t xml:space="preserve"> hosts. This allows the organization to rapidly deploy replacement units if compromise of Tier</w:t>
      </w:r>
      <w:r>
        <w:rPr>
          <w:color w:val="212121"/>
        </w:rPr>
        <w:t> 0</w:t>
      </w:r>
      <w:r w:rsidRPr="00E85E5F">
        <w:rPr>
          <w:color w:val="212121"/>
        </w:rPr>
        <w:t xml:space="preserve"> assets is suspected. </w:t>
      </w:r>
    </w:p>
    <w:p w14:paraId="58BB5480" w14:textId="77777777" w:rsidR="00133727" w:rsidRPr="0027323F" w:rsidRDefault="00133727" w:rsidP="00133727">
      <w:pPr>
        <w:pStyle w:val="NOTE0"/>
        <w:rPr>
          <w:rFonts w:ascii="Segoe UI" w:hAnsi="Segoe UI" w:cs="Segoe UI"/>
        </w:rPr>
      </w:pPr>
      <w:r w:rsidRPr="0027323F">
        <w:rPr>
          <w:rFonts w:ascii="Segoe UI" w:hAnsi="Segoe UI" w:cs="Segoe UI"/>
          <w:b/>
        </w:rPr>
        <w:t>Important:</w:t>
      </w:r>
      <w:r w:rsidRPr="0027323F">
        <w:rPr>
          <w:rFonts w:ascii="Segoe UI" w:hAnsi="Segoe UI" w:cs="Segoe UI"/>
        </w:rPr>
        <w:t xml:space="preserve"> This rebuild capability does not constitute the complete response process! A complete response process must meet organizational operational security, investigation, and intelligence</w:t>
      </w:r>
      <w:r>
        <w:rPr>
          <w:rFonts w:ascii="Segoe UI" w:hAnsi="Segoe UI" w:cs="Segoe UI"/>
        </w:rPr>
        <w:t>-</w:t>
      </w:r>
      <w:r w:rsidRPr="0027323F">
        <w:rPr>
          <w:rFonts w:ascii="Segoe UI" w:hAnsi="Segoe UI" w:cs="Segoe UI"/>
        </w:rPr>
        <w:t>gathering requirements</w:t>
      </w:r>
      <w:r>
        <w:rPr>
          <w:rFonts w:ascii="Segoe UI" w:hAnsi="Segoe UI" w:cs="Segoe UI"/>
        </w:rPr>
        <w:t>,</w:t>
      </w:r>
      <w:r w:rsidRPr="0027323F">
        <w:rPr>
          <w:rFonts w:ascii="Segoe UI" w:hAnsi="Segoe UI" w:cs="Segoe UI"/>
        </w:rPr>
        <w:t xml:space="preserve"> which </w:t>
      </w:r>
      <w:r>
        <w:rPr>
          <w:rFonts w:ascii="Segoe UI" w:hAnsi="Segoe UI" w:cs="Segoe UI"/>
        </w:rPr>
        <w:t>can</w:t>
      </w:r>
      <w:r w:rsidRPr="0027323F">
        <w:rPr>
          <w:rFonts w:ascii="Segoe UI" w:hAnsi="Segoe UI" w:cs="Segoe UI"/>
        </w:rPr>
        <w:t xml:space="preserve"> include forensic analysis, allowing an adversary to persist to gather intelligence, and other actions as required. </w:t>
      </w:r>
    </w:p>
    <w:p w14:paraId="25A59ABA" w14:textId="77777777" w:rsidR="00133727" w:rsidRPr="002452B6" w:rsidRDefault="00133727" w:rsidP="00133727">
      <w:pPr>
        <w:pStyle w:val="Heading4"/>
        <w:rPr>
          <w:rFonts w:ascii="Segoe UI" w:hAnsi="Segoe UI" w:cs="Segoe UI"/>
          <w:b/>
          <w:i w:val="0"/>
          <w:color w:val="000000" w:themeColor="text1"/>
          <w:sz w:val="22"/>
        </w:rPr>
      </w:pPr>
      <w:r w:rsidRPr="002452B6">
        <w:rPr>
          <w:rFonts w:ascii="Segoe UI" w:hAnsi="Segoe UI" w:cs="Segoe UI"/>
          <w:b/>
          <w:i w:val="0"/>
          <w:color w:val="000000" w:themeColor="text1"/>
          <w:sz w:val="22"/>
        </w:rPr>
        <w:t>Follow Application Security Guidance (if available)</w:t>
      </w:r>
    </w:p>
    <w:p w14:paraId="5D2D9E72" w14:textId="77777777" w:rsidR="00133727" w:rsidRDefault="00133727" w:rsidP="00133727">
      <w:r w:rsidRPr="009627CD">
        <w:t>Document the justification for varying from the manufacturer’s security</w:t>
      </w:r>
      <w:r w:rsidRPr="007C2D64">
        <w:t xml:space="preserve"> recommendations </w:t>
      </w:r>
      <w:r>
        <w:t xml:space="preserve">for </w:t>
      </w:r>
      <w:r w:rsidRPr="007C2D64">
        <w:t>each application installed</w:t>
      </w:r>
      <w:r>
        <w:t xml:space="preserve"> on the host</w:t>
      </w:r>
      <w:r w:rsidRPr="007C2D64">
        <w:t>.</w:t>
      </w:r>
    </w:p>
    <w:p w14:paraId="3A246331" w14:textId="77777777" w:rsidR="00133727" w:rsidRPr="00C91F36" w:rsidRDefault="00133727" w:rsidP="00133727">
      <w:r w:rsidRPr="00C91F36">
        <w:t>Manufacturers can provide explicit or de facto security guidance in several forms</w:t>
      </w:r>
      <w:r>
        <w:t>,</w:t>
      </w:r>
      <w:r w:rsidRPr="00C91F36">
        <w:t xml:space="preserve"> including</w:t>
      </w:r>
      <w:r>
        <w:t>:</w:t>
      </w:r>
      <w:r w:rsidRPr="00C91F36">
        <w:t xml:space="preserve"> </w:t>
      </w:r>
    </w:p>
    <w:p w14:paraId="20FE183C" w14:textId="77777777" w:rsidR="00133727" w:rsidRPr="00C91F36" w:rsidRDefault="00133727" w:rsidP="005729D2">
      <w:pPr>
        <w:numPr>
          <w:ilvl w:val="0"/>
          <w:numId w:val="199"/>
        </w:numPr>
      </w:pPr>
      <w:r w:rsidRPr="00C91F36">
        <w:t>Product</w:t>
      </w:r>
      <w:r>
        <w:t>-</w:t>
      </w:r>
      <w:r w:rsidRPr="00C91F36">
        <w:t>specific security configurations</w:t>
      </w:r>
    </w:p>
    <w:p w14:paraId="4EF46992" w14:textId="77777777" w:rsidR="00133727" w:rsidRPr="00C91F36" w:rsidRDefault="00133727" w:rsidP="005729D2">
      <w:pPr>
        <w:numPr>
          <w:ilvl w:val="0"/>
          <w:numId w:val="199"/>
        </w:numPr>
      </w:pPr>
      <w:r w:rsidRPr="00C91F36">
        <w:t>Documentation such as TechNet security guidance</w:t>
      </w:r>
    </w:p>
    <w:p w14:paraId="1182F396" w14:textId="77777777" w:rsidR="00133727" w:rsidRPr="00C91F36" w:rsidRDefault="00133727" w:rsidP="005729D2">
      <w:pPr>
        <w:numPr>
          <w:ilvl w:val="0"/>
          <w:numId w:val="199"/>
        </w:numPr>
      </w:pPr>
      <w:r w:rsidRPr="00C91F36">
        <w:t>Default product configurations</w:t>
      </w:r>
    </w:p>
    <w:p w14:paraId="28F8067E" w14:textId="67C78A65" w:rsidR="00F97B16" w:rsidRPr="00C91F36" w:rsidRDefault="00133727" w:rsidP="00133727">
      <w:r w:rsidRPr="00C91F36">
        <w:t>Avoid disabling any security features that are enabled by default and follow the manufacturer’s guidance for configuring any security-related settings.</w:t>
      </w:r>
    </w:p>
    <w:p w14:paraId="4E1DE92A" w14:textId="77777777" w:rsidR="00F97B16" w:rsidRPr="0033450A" w:rsidRDefault="00F97B16" w:rsidP="005729D2">
      <w:pPr>
        <w:pStyle w:val="Heading3Numbered"/>
        <w:numPr>
          <w:ilvl w:val="2"/>
          <w:numId w:val="64"/>
        </w:numPr>
      </w:pPr>
      <w:bookmarkStart w:id="7946" w:name="_Toc423464073"/>
      <w:bookmarkStart w:id="7947" w:name="_Toc423464746"/>
      <w:bookmarkStart w:id="7948" w:name="_Toc431288990"/>
      <w:bookmarkStart w:id="7949" w:name="_Toc421201776"/>
      <w:bookmarkStart w:id="7950" w:name="_Toc423091760"/>
      <w:r w:rsidRPr="00372925">
        <w:t>Active Directory and Identity Data Standards</w:t>
      </w:r>
      <w:bookmarkEnd w:id="7946"/>
      <w:bookmarkEnd w:id="7947"/>
      <w:bookmarkEnd w:id="7948"/>
      <w:r w:rsidRPr="00372925">
        <w:t xml:space="preserve"> </w:t>
      </w:r>
      <w:bookmarkEnd w:id="7949"/>
      <w:bookmarkEnd w:id="7950"/>
    </w:p>
    <w:p w14:paraId="67BB5779" w14:textId="6156A889" w:rsidR="00133727" w:rsidRDefault="00F97B16" w:rsidP="00133727">
      <w:r>
        <w:t>Active</w:t>
      </w:r>
      <w:r w:rsidR="00133727">
        <w:t xml:space="preserve"> Directory is the authoritative identity store, and the data in it is composed of two types of data:</w:t>
      </w:r>
    </w:p>
    <w:p w14:paraId="1917ADE0" w14:textId="77777777" w:rsidR="00133727" w:rsidRDefault="00133727" w:rsidP="005729D2">
      <w:pPr>
        <w:pStyle w:val="ListParagraph"/>
        <w:numPr>
          <w:ilvl w:val="0"/>
          <w:numId w:val="204"/>
        </w:numPr>
        <w:spacing w:before="0" w:after="160" w:line="259" w:lineRule="auto"/>
      </w:pPr>
      <w:r>
        <w:t>Objects stored directly in the data</w:t>
      </w:r>
    </w:p>
    <w:p w14:paraId="3C7639F3" w14:textId="77777777" w:rsidR="00133727" w:rsidRDefault="00133727" w:rsidP="005729D2">
      <w:pPr>
        <w:pStyle w:val="ListParagraph"/>
        <w:numPr>
          <w:ilvl w:val="0"/>
          <w:numId w:val="204"/>
        </w:numPr>
        <w:spacing w:before="0" w:after="160" w:line="259" w:lineRule="auto"/>
      </w:pPr>
      <w:r>
        <w:t>Files stored on the SYSVOL share (primarily Group Policy settings and scripts)</w:t>
      </w:r>
    </w:p>
    <w:p w14:paraId="1E99F55F" w14:textId="77777777" w:rsidR="00133727" w:rsidRDefault="00133727" w:rsidP="00133727">
      <w:r>
        <w:t xml:space="preserve">Many of these objects can provide an effective means of controlling the directory through use, abuse, or modification. These standards prevent abuse of objects that provide a well-known means of control of Tier 0. </w:t>
      </w:r>
    </w:p>
    <w:p w14:paraId="13670C0A" w14:textId="77777777" w:rsidR="00133727" w:rsidRDefault="00133727" w:rsidP="00133727">
      <w:r>
        <w:t>Each of these standards should be explicitly followed to prevent an escalation of privilege vulnerability in the Active Directory data. Additionally, all Active Directory objects that are classified at Tier 0 may not be modified without review and approval by the change approval board.</w:t>
      </w:r>
    </w:p>
    <w:p w14:paraId="73459CE4" w14:textId="77777777" w:rsidR="00133727" w:rsidRDefault="00133727" w:rsidP="00133727">
      <w:r>
        <w:t>Well-known Tier 0 objects include:</w:t>
      </w:r>
    </w:p>
    <w:p w14:paraId="50A0DF0C" w14:textId="77777777" w:rsidR="00133727" w:rsidRDefault="00133727" w:rsidP="005729D2">
      <w:pPr>
        <w:pStyle w:val="ListParagraph"/>
        <w:numPr>
          <w:ilvl w:val="0"/>
          <w:numId w:val="202"/>
        </w:numPr>
        <w:spacing w:before="0" w:after="160" w:line="259" w:lineRule="auto"/>
      </w:pPr>
      <w:r>
        <w:t>All domain objects (DC=</w:t>
      </w:r>
      <w:r w:rsidRPr="00824BEC">
        <w:rPr>
          <w:i/>
        </w:rPr>
        <w:t>DomainName</w:t>
      </w:r>
      <w:r>
        <w:t>,DC=</w:t>
      </w:r>
      <w:r w:rsidRPr="00824BEC">
        <w:rPr>
          <w:i/>
        </w:rPr>
        <w:t>Extensions</w:t>
      </w:r>
      <w:r>
        <w:t>)</w:t>
      </w:r>
    </w:p>
    <w:p w14:paraId="4699B1E4" w14:textId="77777777" w:rsidR="00133727" w:rsidRDefault="00133727" w:rsidP="005729D2">
      <w:pPr>
        <w:pStyle w:val="ListParagraph"/>
        <w:numPr>
          <w:ilvl w:val="0"/>
          <w:numId w:val="202"/>
        </w:numPr>
        <w:spacing w:before="0" w:after="160" w:line="259" w:lineRule="auto"/>
      </w:pPr>
      <w:r>
        <w:t>Domain controller's OU and all contents</w:t>
      </w:r>
    </w:p>
    <w:p w14:paraId="114A4C33" w14:textId="77777777" w:rsidR="00133727" w:rsidRDefault="00133727" w:rsidP="005729D2">
      <w:pPr>
        <w:pStyle w:val="ListParagraph"/>
        <w:numPr>
          <w:ilvl w:val="0"/>
          <w:numId w:val="202"/>
        </w:numPr>
        <w:spacing w:before="0" w:after="160" w:line="259" w:lineRule="auto"/>
      </w:pPr>
      <w:r>
        <w:t>Built-in groups and all members (including nested members)</w:t>
      </w:r>
    </w:p>
    <w:p w14:paraId="6A5A083B" w14:textId="77777777" w:rsidR="00133727" w:rsidRDefault="00133727" w:rsidP="005729D2">
      <w:pPr>
        <w:pStyle w:val="ListParagraph"/>
        <w:numPr>
          <w:ilvl w:val="1"/>
          <w:numId w:val="202"/>
        </w:numPr>
        <w:spacing w:before="0" w:after="160" w:line="259" w:lineRule="auto"/>
      </w:pPr>
      <w:r>
        <w:t>Domain Admins</w:t>
      </w:r>
    </w:p>
    <w:p w14:paraId="1AFAB91F" w14:textId="77777777" w:rsidR="00133727" w:rsidRDefault="00133727" w:rsidP="005729D2">
      <w:pPr>
        <w:pStyle w:val="ListParagraph"/>
        <w:numPr>
          <w:ilvl w:val="1"/>
          <w:numId w:val="202"/>
        </w:numPr>
        <w:spacing w:before="0" w:after="160" w:line="259" w:lineRule="auto"/>
      </w:pPr>
      <w:r>
        <w:t>Enterprise Admins</w:t>
      </w:r>
    </w:p>
    <w:p w14:paraId="1F9C8D24" w14:textId="77777777" w:rsidR="00133727" w:rsidRDefault="00133727" w:rsidP="005729D2">
      <w:pPr>
        <w:pStyle w:val="ListParagraph"/>
        <w:numPr>
          <w:ilvl w:val="1"/>
          <w:numId w:val="202"/>
        </w:numPr>
        <w:spacing w:before="0" w:after="160" w:line="259" w:lineRule="auto"/>
      </w:pPr>
      <w:r>
        <w:t>Schema Admins</w:t>
      </w:r>
    </w:p>
    <w:p w14:paraId="53DF5E5E" w14:textId="77777777" w:rsidR="00133727" w:rsidRPr="006D2F6B" w:rsidRDefault="00133727" w:rsidP="005729D2">
      <w:pPr>
        <w:pStyle w:val="ListParagraph"/>
        <w:numPr>
          <w:ilvl w:val="1"/>
          <w:numId w:val="202"/>
        </w:numPr>
        <w:spacing w:before="0" w:after="160" w:line="259" w:lineRule="auto"/>
      </w:pPr>
      <w:r w:rsidRPr="006D2F6B">
        <w:t>Built-in\Administrators</w:t>
      </w:r>
    </w:p>
    <w:p w14:paraId="3B341025" w14:textId="77777777" w:rsidR="00133727" w:rsidRPr="006D2F6B" w:rsidRDefault="00133727" w:rsidP="005729D2">
      <w:pPr>
        <w:pStyle w:val="ListParagraph"/>
        <w:numPr>
          <w:ilvl w:val="1"/>
          <w:numId w:val="202"/>
        </w:numPr>
        <w:spacing w:before="0" w:after="160" w:line="259" w:lineRule="auto"/>
      </w:pPr>
      <w:r w:rsidRPr="006D2F6B">
        <w:t>Account Operators</w:t>
      </w:r>
    </w:p>
    <w:p w14:paraId="575C26AB" w14:textId="77777777" w:rsidR="00133727" w:rsidRPr="006D2F6B" w:rsidRDefault="00133727" w:rsidP="005729D2">
      <w:pPr>
        <w:pStyle w:val="ListParagraph"/>
        <w:numPr>
          <w:ilvl w:val="1"/>
          <w:numId w:val="202"/>
        </w:numPr>
        <w:spacing w:before="0" w:after="160" w:line="259" w:lineRule="auto"/>
      </w:pPr>
      <w:r w:rsidRPr="006D2F6B">
        <w:t>Backup Operators</w:t>
      </w:r>
    </w:p>
    <w:p w14:paraId="0544560D" w14:textId="77777777" w:rsidR="00133727" w:rsidRDefault="00133727" w:rsidP="005729D2">
      <w:pPr>
        <w:pStyle w:val="ListParagraph"/>
        <w:numPr>
          <w:ilvl w:val="1"/>
          <w:numId w:val="202"/>
        </w:numPr>
        <w:spacing w:before="0" w:after="160" w:line="259" w:lineRule="auto"/>
      </w:pPr>
      <w:r w:rsidRPr="006D2F6B">
        <w:t>Server Operators</w:t>
      </w:r>
    </w:p>
    <w:p w14:paraId="29A5E1BA" w14:textId="77777777" w:rsidR="00133727" w:rsidRPr="006D2F6B" w:rsidRDefault="00133727" w:rsidP="005729D2">
      <w:pPr>
        <w:pStyle w:val="ListParagraph"/>
        <w:numPr>
          <w:ilvl w:val="1"/>
          <w:numId w:val="202"/>
        </w:numPr>
        <w:spacing w:before="0" w:after="160" w:line="259" w:lineRule="auto"/>
      </w:pPr>
      <w:r>
        <w:t>Print Operators</w:t>
      </w:r>
    </w:p>
    <w:p w14:paraId="5BD16E77" w14:textId="77777777" w:rsidR="00133727" w:rsidRPr="006D2F6B" w:rsidRDefault="00133727" w:rsidP="005729D2">
      <w:pPr>
        <w:pStyle w:val="ListParagraph"/>
        <w:numPr>
          <w:ilvl w:val="1"/>
          <w:numId w:val="202"/>
        </w:numPr>
        <w:spacing w:before="0" w:after="160" w:line="259" w:lineRule="auto"/>
      </w:pPr>
      <w:r w:rsidRPr="006D2F6B">
        <w:t>Cert Publishers</w:t>
      </w:r>
    </w:p>
    <w:p w14:paraId="0C87B987" w14:textId="77777777" w:rsidR="00133727" w:rsidRPr="006D2F6B" w:rsidRDefault="00133727" w:rsidP="005729D2">
      <w:pPr>
        <w:pStyle w:val="ListParagraph"/>
        <w:numPr>
          <w:ilvl w:val="1"/>
          <w:numId w:val="202"/>
        </w:numPr>
        <w:spacing w:before="0" w:after="160" w:line="259" w:lineRule="auto"/>
      </w:pPr>
      <w:r w:rsidRPr="006D2F6B">
        <w:t>Group Policy Creator/Owners</w:t>
      </w:r>
    </w:p>
    <w:p w14:paraId="4DE531E8" w14:textId="77777777" w:rsidR="00133727" w:rsidRDefault="00133727" w:rsidP="005729D2">
      <w:pPr>
        <w:pStyle w:val="ListParagraph"/>
        <w:numPr>
          <w:ilvl w:val="0"/>
          <w:numId w:val="202"/>
        </w:numPr>
        <w:spacing w:before="0" w:after="160" w:line="259" w:lineRule="auto"/>
      </w:pPr>
      <w:r>
        <w:t>All objects in the forest configuration container (with the possible exception of sites and subnets)</w:t>
      </w:r>
    </w:p>
    <w:p w14:paraId="6CB85E28" w14:textId="77777777" w:rsidR="00133727" w:rsidRDefault="00133727" w:rsidP="005729D2">
      <w:pPr>
        <w:pStyle w:val="ListParagraph"/>
        <w:numPr>
          <w:ilvl w:val="0"/>
          <w:numId w:val="202"/>
        </w:numPr>
        <w:spacing w:before="0" w:after="160" w:line="259" w:lineRule="auto"/>
      </w:pPr>
      <w:r>
        <w:t>All objects in the forest schema</w:t>
      </w:r>
    </w:p>
    <w:p w14:paraId="78010C4E" w14:textId="77777777" w:rsidR="00133727" w:rsidRDefault="00133727" w:rsidP="005729D2">
      <w:pPr>
        <w:pStyle w:val="ListParagraph"/>
        <w:numPr>
          <w:ilvl w:val="0"/>
          <w:numId w:val="202"/>
        </w:numPr>
        <w:spacing w:before="0" w:after="160" w:line="259" w:lineRule="auto"/>
      </w:pPr>
      <w:r>
        <w:t>Computer accounts for Tier 0 Hosts</w:t>
      </w:r>
    </w:p>
    <w:p w14:paraId="5B41FC34" w14:textId="77777777" w:rsidR="00133727" w:rsidRDefault="00133727" w:rsidP="005729D2">
      <w:pPr>
        <w:pStyle w:val="ListParagraph"/>
        <w:numPr>
          <w:ilvl w:val="0"/>
          <w:numId w:val="202"/>
        </w:numPr>
        <w:spacing w:before="0" w:after="160" w:line="259" w:lineRule="auto"/>
      </w:pPr>
      <w:r>
        <w:t>OUs that contain any of the previous objects (including parent OUs up to the domain object)</w:t>
      </w:r>
    </w:p>
    <w:p w14:paraId="0D753813" w14:textId="77777777" w:rsidR="00133727" w:rsidRDefault="00133727" w:rsidP="005729D2">
      <w:pPr>
        <w:pStyle w:val="ListParagraph"/>
        <w:numPr>
          <w:ilvl w:val="0"/>
          <w:numId w:val="202"/>
        </w:numPr>
        <w:spacing w:before="0" w:after="160" w:line="259" w:lineRule="auto"/>
      </w:pPr>
      <w:r>
        <w:t>Group Policy Objects linked to any site or domain object</w:t>
      </w:r>
    </w:p>
    <w:p w14:paraId="64F4FAEE" w14:textId="77777777" w:rsidR="00133727" w:rsidRDefault="00133727" w:rsidP="005729D2">
      <w:pPr>
        <w:pStyle w:val="ListParagraph"/>
        <w:numPr>
          <w:ilvl w:val="0"/>
          <w:numId w:val="202"/>
        </w:numPr>
        <w:spacing w:before="0" w:after="160" w:line="259" w:lineRule="auto"/>
      </w:pPr>
      <w:r>
        <w:t xml:space="preserve">Group Policy Objects linked to any OUs previously described </w:t>
      </w:r>
    </w:p>
    <w:p w14:paraId="254B67FC" w14:textId="77777777" w:rsidR="00133727" w:rsidRDefault="00133727" w:rsidP="005729D2">
      <w:pPr>
        <w:pStyle w:val="ListParagraph"/>
        <w:numPr>
          <w:ilvl w:val="0"/>
          <w:numId w:val="202"/>
        </w:numPr>
        <w:spacing w:before="0" w:after="160" w:line="259" w:lineRule="auto"/>
      </w:pPr>
      <w:r>
        <w:t>All files stored on the SYSVOL share</w:t>
      </w:r>
    </w:p>
    <w:p w14:paraId="58E0FB1F" w14:textId="77777777" w:rsidR="00133727" w:rsidRDefault="00133727" w:rsidP="005729D2">
      <w:pPr>
        <w:pStyle w:val="ListParagraph"/>
        <w:numPr>
          <w:ilvl w:val="0"/>
          <w:numId w:val="202"/>
        </w:numPr>
        <w:spacing w:before="0" w:after="160" w:line="259" w:lineRule="auto"/>
      </w:pPr>
      <w:r>
        <w:t xml:space="preserve">Any Active Directory object that is </w:t>
      </w:r>
      <w:r>
        <w:rPr>
          <w:b/>
        </w:rPr>
        <w:t>not</w:t>
      </w:r>
      <w:r w:rsidRPr="00264466">
        <w:t>:</w:t>
      </w:r>
    </w:p>
    <w:p w14:paraId="4A0EC687" w14:textId="77777777" w:rsidR="00133727" w:rsidRDefault="00133727" w:rsidP="005729D2">
      <w:pPr>
        <w:pStyle w:val="ListParagraph"/>
        <w:numPr>
          <w:ilvl w:val="1"/>
          <w:numId w:val="202"/>
        </w:numPr>
        <w:spacing w:before="0" w:after="160" w:line="259" w:lineRule="auto"/>
      </w:pPr>
      <w:r>
        <w:t>Manageable through these standard Microsoft tools:</w:t>
      </w:r>
    </w:p>
    <w:p w14:paraId="33E302F5" w14:textId="77777777" w:rsidR="00133727" w:rsidRDefault="00133727" w:rsidP="005729D2">
      <w:pPr>
        <w:pStyle w:val="ListParagraph"/>
        <w:numPr>
          <w:ilvl w:val="2"/>
          <w:numId w:val="203"/>
        </w:numPr>
        <w:spacing w:before="0" w:after="160" w:line="259" w:lineRule="auto"/>
      </w:pPr>
      <w:r>
        <w:t>Active Directory Users and Computers</w:t>
      </w:r>
    </w:p>
    <w:p w14:paraId="26F549A5" w14:textId="6CA104DB" w:rsidR="00133727" w:rsidRDefault="00133727" w:rsidP="005729D2">
      <w:pPr>
        <w:pStyle w:val="ListParagraph"/>
        <w:numPr>
          <w:ilvl w:val="2"/>
          <w:numId w:val="203"/>
        </w:numPr>
        <w:spacing w:before="0" w:after="160" w:line="259" w:lineRule="auto"/>
      </w:pPr>
      <w:r>
        <w:t>Active Directory Sites and Services</w:t>
      </w:r>
    </w:p>
    <w:p w14:paraId="2D244B0B" w14:textId="11093FC9" w:rsidR="00F97B16" w:rsidRDefault="00133727" w:rsidP="005729D2">
      <w:pPr>
        <w:pStyle w:val="ListParagraph"/>
        <w:numPr>
          <w:ilvl w:val="1"/>
          <w:numId w:val="203"/>
        </w:numPr>
        <w:spacing w:before="0" w:after="160" w:line="259" w:lineRule="auto"/>
      </w:pPr>
      <w:r>
        <w:t>Created by the organization and explicitly known to be a lower privilege or impact than Tier 0</w:t>
      </w:r>
    </w:p>
    <w:p w14:paraId="4A3AB594" w14:textId="77777777" w:rsidR="00133727" w:rsidRPr="002452B6" w:rsidRDefault="00133727" w:rsidP="00133727">
      <w:pPr>
        <w:pStyle w:val="Heading4"/>
        <w:rPr>
          <w:rFonts w:ascii="Segoe UI" w:hAnsi="Segoe UI" w:cs="Segoe UI"/>
          <w:b/>
          <w:i w:val="0"/>
          <w:color w:val="000000" w:themeColor="text1"/>
          <w:sz w:val="22"/>
        </w:rPr>
      </w:pPr>
      <w:bookmarkStart w:id="7951" w:name="_Toc421201777"/>
      <w:bookmarkStart w:id="7952" w:name="_Toc423091761"/>
      <w:r w:rsidRPr="002452B6">
        <w:rPr>
          <w:rFonts w:ascii="Segoe UI" w:hAnsi="Segoe UI" w:cs="Segoe UI"/>
          <w:b/>
          <w:i w:val="0"/>
          <w:color w:val="000000" w:themeColor="text1"/>
          <w:sz w:val="22"/>
        </w:rPr>
        <w:t>Follow Administrative OU Structure</w:t>
      </w:r>
      <w:bookmarkEnd w:id="7951"/>
      <w:bookmarkEnd w:id="7952"/>
    </w:p>
    <w:p w14:paraId="4954B92B" w14:textId="77777777" w:rsidR="00133727" w:rsidRPr="00824BEC" w:rsidRDefault="00133727" w:rsidP="00133727">
      <w:r w:rsidRPr="00824BEC">
        <w:t xml:space="preserve">Misconfigurations or misunderstandings </w:t>
      </w:r>
      <w:r>
        <w:t>about</w:t>
      </w:r>
      <w:r w:rsidRPr="00824BEC">
        <w:t xml:space="preserve"> the OU model can create elevation of privilege vulnerabilities to Tier</w:t>
      </w:r>
      <w:r>
        <w:t> 0</w:t>
      </w:r>
      <w:r w:rsidRPr="00824BEC">
        <w:t xml:space="preserve">. To prevent these unauthorized means of control, </w:t>
      </w:r>
      <w:r>
        <w:t xml:space="preserve">place </w:t>
      </w:r>
      <w:r w:rsidRPr="00824BEC">
        <w:t xml:space="preserve">all administrative accounts, groups, servers, and workstations into an “Admin” OU structure that is distinct and separate from the managed enterprise servers and user workstations. </w:t>
      </w:r>
    </w:p>
    <w:p w14:paraId="200C60F4" w14:textId="52508E9F" w:rsidR="00F97B16" w:rsidRDefault="00133727" w:rsidP="00133727">
      <w:r>
        <w:t>Ensure that all objects are placed into appropriate OUs to receive the correct permissions and GPO settings.</w:t>
      </w:r>
      <w:r w:rsidR="00F97B16">
        <w:t xml:space="preserve"> </w:t>
      </w:r>
    </w:p>
    <w:p w14:paraId="15F0392D" w14:textId="77777777" w:rsidR="00F97B16" w:rsidRPr="008C0E84" w:rsidRDefault="00F97B16" w:rsidP="00F97B16">
      <w:r>
        <w:rPr>
          <w:noProof/>
        </w:rPr>
        <w:drawing>
          <wp:inline distT="0" distB="0" distL="0" distR="0" wp14:anchorId="39260D6A" wp14:editId="03DD6923">
            <wp:extent cx="4948970" cy="5903867"/>
            <wp:effectExtent l="0" t="0" r="4445" b="190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Admin OU Model.png"/>
                    <pic:cNvPicPr/>
                  </pic:nvPicPr>
                  <pic:blipFill>
                    <a:blip r:embed="rId681">
                      <a:extLst>
                        <a:ext uri="{28A0092B-C50C-407E-A947-70E740481C1C}">
                          <a14:useLocalDpi xmlns:a14="http://schemas.microsoft.com/office/drawing/2010/main" val="0"/>
                        </a:ext>
                      </a:extLst>
                    </a:blip>
                    <a:stretch>
                      <a:fillRect/>
                    </a:stretch>
                  </pic:blipFill>
                  <pic:spPr>
                    <a:xfrm>
                      <a:off x="0" y="0"/>
                      <a:ext cx="4950368" cy="5905535"/>
                    </a:xfrm>
                    <a:prstGeom prst="rect">
                      <a:avLst/>
                    </a:prstGeom>
                  </pic:spPr>
                </pic:pic>
              </a:graphicData>
            </a:graphic>
          </wp:inline>
        </w:drawing>
      </w:r>
    </w:p>
    <w:p w14:paraId="4A0FD141" w14:textId="77777777" w:rsidR="00133727" w:rsidRPr="003C042E" w:rsidRDefault="00133727" w:rsidP="00133727">
      <w:r w:rsidRPr="003C042E">
        <w:t>Only Tier</w:t>
      </w:r>
      <w:r>
        <w:t> 0</w:t>
      </w:r>
      <w:r w:rsidRPr="003C042E">
        <w:t xml:space="preserve"> </w:t>
      </w:r>
      <w:r>
        <w:t xml:space="preserve">administrative </w:t>
      </w:r>
      <w:r w:rsidRPr="003C042E">
        <w:t>accounts should have permission</w:t>
      </w:r>
      <w:r>
        <w:t>s</w:t>
      </w:r>
      <w:r w:rsidRPr="003C042E">
        <w:t xml:space="preserve"> to modify any objects in the Admin OU structure. </w:t>
      </w:r>
    </w:p>
    <w:p w14:paraId="5BDB899F" w14:textId="77777777" w:rsidR="00133727" w:rsidRPr="002452B6" w:rsidRDefault="00133727" w:rsidP="00133727">
      <w:pPr>
        <w:pStyle w:val="Heading4"/>
        <w:rPr>
          <w:rFonts w:ascii="Segoe UI" w:hAnsi="Segoe UI" w:cs="Segoe UI"/>
          <w:b/>
          <w:i w:val="0"/>
          <w:color w:val="000000" w:themeColor="text1"/>
          <w:sz w:val="22"/>
        </w:rPr>
      </w:pPr>
      <w:bookmarkStart w:id="7953" w:name="_Toc423091762"/>
      <w:r w:rsidRPr="002452B6">
        <w:rPr>
          <w:rFonts w:ascii="Segoe UI" w:hAnsi="Segoe UI" w:cs="Segoe UI"/>
          <w:b/>
          <w:i w:val="0"/>
          <w:color w:val="000000" w:themeColor="text1"/>
          <w:sz w:val="22"/>
        </w:rPr>
        <w:t>AdminSDHolder ACLs Must Be Default</w:t>
      </w:r>
      <w:bookmarkEnd w:id="7953"/>
    </w:p>
    <w:p w14:paraId="103B7EE4" w14:textId="77777777" w:rsidR="00133727" w:rsidRPr="002E213F" w:rsidRDefault="00133727" w:rsidP="00133727">
      <w:r w:rsidRPr="002E213F">
        <w:t xml:space="preserve">The AdminSDHolder object in the </w:t>
      </w:r>
      <w:r>
        <w:t>s</w:t>
      </w:r>
      <w:r w:rsidRPr="002E213F">
        <w:t xml:space="preserve">ystem container of every Active Directory domain ensures that the </w:t>
      </w:r>
      <w:r>
        <w:t>a</w:t>
      </w:r>
      <w:r w:rsidRPr="002E213F">
        <w:t xml:space="preserve">ccess </w:t>
      </w:r>
      <w:r>
        <w:t>c</w:t>
      </w:r>
      <w:r w:rsidRPr="002E213F">
        <w:t xml:space="preserve">ontrol </w:t>
      </w:r>
      <w:r>
        <w:t>l</w:t>
      </w:r>
      <w:r w:rsidRPr="002E213F">
        <w:t xml:space="preserve">ist (ACL) permissions are consistently enforced on protected accounts and groups including the Domain Admins </w:t>
      </w:r>
      <w:r>
        <w:t>g</w:t>
      </w:r>
      <w:r w:rsidRPr="002E213F">
        <w:t xml:space="preserve">roup, Enterprise Admins </w:t>
      </w:r>
      <w:r>
        <w:t>g</w:t>
      </w:r>
      <w:r w:rsidRPr="002E213F">
        <w:t xml:space="preserve">roup, </w:t>
      </w:r>
      <w:r>
        <w:t>b</w:t>
      </w:r>
      <w:r w:rsidRPr="002E213F">
        <w:t>uilt-in</w:t>
      </w:r>
      <w:r>
        <w:t xml:space="preserve"> a</w:t>
      </w:r>
      <w:r w:rsidRPr="002E213F">
        <w:t>dministrators, and members of those groups. The Security Descriptor Propagator (SDProp) runs every</w:t>
      </w:r>
      <w:r>
        <w:t> 6</w:t>
      </w:r>
      <w:r w:rsidRPr="002E213F">
        <w:t>0 minutes to ensure the permissions for these protected objects match the permission</w:t>
      </w:r>
      <w:r>
        <w:t>s</w:t>
      </w:r>
      <w:r w:rsidRPr="002E213F">
        <w:t xml:space="preserve"> </w:t>
      </w:r>
      <w:r>
        <w:t>for</w:t>
      </w:r>
      <w:r w:rsidRPr="002E213F">
        <w:t xml:space="preserve"> the domain’s AdminSDHolder object. </w:t>
      </w:r>
    </w:p>
    <w:p w14:paraId="557FBA68" w14:textId="77777777" w:rsidR="00133727" w:rsidRPr="002E213F" w:rsidRDefault="00133727" w:rsidP="00133727">
      <w:r w:rsidRPr="002E213F">
        <w:t xml:space="preserve">The permissions on this object should never be modified from the default configuration. </w:t>
      </w:r>
    </w:p>
    <w:p w14:paraId="201F0FDC" w14:textId="77777777" w:rsidR="00133727" w:rsidRPr="002E213F" w:rsidRDefault="00133727" w:rsidP="00133727">
      <w:r w:rsidRPr="002E213F">
        <w:t xml:space="preserve">For more information, see </w:t>
      </w:r>
      <w:hyperlink r:id="rId682" w:history="1">
        <w:r w:rsidRPr="00485EFF">
          <w:rPr>
            <w:rStyle w:val="Hyperlink"/>
          </w:rPr>
          <w:t>Best Practices for Securing Active Directory</w:t>
        </w:r>
      </w:hyperlink>
      <w:r w:rsidRPr="002E213F">
        <w:t xml:space="preserve"> </w:t>
      </w:r>
      <w:r>
        <w:t>(</w:t>
      </w:r>
      <w:r w:rsidRPr="002E213F">
        <w:t>page</w:t>
      </w:r>
      <w:r>
        <w:t> 4</w:t>
      </w:r>
      <w:r w:rsidRPr="002E213F">
        <w:t>3</w:t>
      </w:r>
      <w:r>
        <w:t>).</w:t>
      </w:r>
    </w:p>
    <w:p w14:paraId="62B029DC" w14:textId="77777777" w:rsidR="00133727" w:rsidRPr="002452B6" w:rsidRDefault="00133727" w:rsidP="00133727">
      <w:pPr>
        <w:pStyle w:val="Heading4"/>
        <w:rPr>
          <w:rFonts w:ascii="Segoe UI" w:hAnsi="Segoe UI" w:cs="Segoe UI"/>
          <w:b/>
          <w:i w:val="0"/>
          <w:color w:val="000000" w:themeColor="text1"/>
          <w:sz w:val="22"/>
        </w:rPr>
      </w:pPr>
      <w:bookmarkStart w:id="7954" w:name="_Toc423091763"/>
      <w:r w:rsidRPr="002452B6">
        <w:rPr>
          <w:rFonts w:ascii="Segoe UI" w:hAnsi="Segoe UI" w:cs="Segoe UI"/>
          <w:b/>
          <w:i w:val="0"/>
          <w:color w:val="000000" w:themeColor="text1"/>
          <w:sz w:val="22"/>
        </w:rPr>
        <w:t>ACLs on Active Directory Objects Must Adhere to Tier Model</w:t>
      </w:r>
      <w:bookmarkEnd w:id="7954"/>
    </w:p>
    <w:p w14:paraId="1B42CCF1" w14:textId="77777777" w:rsidR="00133727" w:rsidRDefault="00133727" w:rsidP="00133727">
      <w:r w:rsidRPr="002E213F">
        <w:t>Ensure that the tier model is adhered to for all permissions on A</w:t>
      </w:r>
      <w:r>
        <w:t xml:space="preserve">ctive </w:t>
      </w:r>
      <w:r w:rsidRPr="002E213F">
        <w:t>D</w:t>
      </w:r>
      <w:r>
        <w:t>irectory</w:t>
      </w:r>
      <w:r w:rsidRPr="002E213F">
        <w:t xml:space="preserve"> </w:t>
      </w:r>
      <w:r>
        <w:t>o</w:t>
      </w:r>
      <w:r w:rsidRPr="002E213F">
        <w:t>bjects</w:t>
      </w:r>
      <w:r>
        <w:t>,</w:t>
      </w:r>
      <w:r w:rsidRPr="002E213F">
        <w:t xml:space="preserve"> such as</w:t>
      </w:r>
      <w:r>
        <w:t xml:space="preserve"> those for</w:t>
      </w:r>
      <w:r w:rsidRPr="002E213F">
        <w:t xml:space="preserve"> enterprise servers and enterprise workstations. Lower tier administrators should never have permission to higher tier resources</w:t>
      </w:r>
      <w:r>
        <w:t xml:space="preserve">. </w:t>
      </w:r>
    </w:p>
    <w:p w14:paraId="6CBD023B" w14:textId="77777777" w:rsidR="00133727" w:rsidRDefault="00133727" w:rsidP="005729D2">
      <w:pPr>
        <w:pStyle w:val="ListParagraph"/>
        <w:numPr>
          <w:ilvl w:val="0"/>
          <w:numId w:val="207"/>
        </w:numPr>
        <w:spacing w:before="0" w:after="160" w:line="259" w:lineRule="auto"/>
      </w:pPr>
      <w:r>
        <w:t>No accounts other that Tier 0 administrators should be granted permissions to modify objects in a Tier 0 OU such as domain controllers or an OU under Admin\Tier 0.</w:t>
      </w:r>
    </w:p>
    <w:p w14:paraId="70457BD2" w14:textId="2A0B729E" w:rsidR="00F97B16" w:rsidRPr="002E213F" w:rsidRDefault="00133727" w:rsidP="005729D2">
      <w:pPr>
        <w:pStyle w:val="ListParagraph"/>
        <w:numPr>
          <w:ilvl w:val="0"/>
          <w:numId w:val="207"/>
        </w:numPr>
        <w:spacing w:before="0" w:after="160" w:line="259" w:lineRule="auto"/>
      </w:pPr>
      <w:r>
        <w:t xml:space="preserve">No accounts should have the ability to impact a resource higher than their privilege tier, for example, </w:t>
      </w:r>
      <w:r w:rsidRPr="002E213F">
        <w:t>Tier</w:t>
      </w:r>
      <w:r>
        <w:t> 2</w:t>
      </w:r>
      <w:r w:rsidRPr="002E213F">
        <w:t xml:space="preserve"> </w:t>
      </w:r>
      <w:r>
        <w:t>H</w:t>
      </w:r>
      <w:r w:rsidRPr="002E213F">
        <w:t xml:space="preserve">elp </w:t>
      </w:r>
      <w:r>
        <w:t>D</w:t>
      </w:r>
      <w:r w:rsidRPr="002E213F">
        <w:t>esk administrators should not have permission to an OU that contains enterprise servers.</w:t>
      </w:r>
      <w:r w:rsidR="00F97B16" w:rsidRPr="002E213F">
        <w:t xml:space="preserve"> </w:t>
      </w:r>
    </w:p>
    <w:p w14:paraId="012F00E3" w14:textId="77777777" w:rsidR="002C1B99" w:rsidRPr="002452B6" w:rsidRDefault="002C1B99" w:rsidP="002C1B99">
      <w:pPr>
        <w:pStyle w:val="Heading4"/>
        <w:rPr>
          <w:rFonts w:ascii="Segoe UI" w:hAnsi="Segoe UI" w:cs="Segoe UI"/>
          <w:b/>
          <w:i w:val="0"/>
          <w:color w:val="000000" w:themeColor="text1"/>
          <w:sz w:val="22"/>
          <w:lang w:val="en"/>
        </w:rPr>
      </w:pPr>
      <w:bookmarkStart w:id="7955" w:name="_Toc423091764"/>
      <w:bookmarkStart w:id="7956" w:name="_Toc421201779"/>
      <w:bookmarkStart w:id="7957" w:name="_Toc421201778"/>
      <w:r w:rsidRPr="002452B6">
        <w:rPr>
          <w:rFonts w:ascii="Segoe UI" w:hAnsi="Segoe UI" w:cs="Segoe UI"/>
          <w:b/>
          <w:i w:val="0"/>
          <w:color w:val="000000" w:themeColor="text1"/>
          <w:sz w:val="22"/>
          <w:lang w:val="en"/>
        </w:rPr>
        <w:t>Access to Stored LAPS Local Account Passwords</w:t>
      </w:r>
      <w:bookmarkEnd w:id="7955"/>
      <w:r w:rsidRPr="002452B6">
        <w:rPr>
          <w:rFonts w:ascii="Segoe UI" w:hAnsi="Segoe UI" w:cs="Segoe UI"/>
          <w:b/>
          <w:i w:val="0"/>
          <w:color w:val="000000" w:themeColor="text1"/>
          <w:sz w:val="22"/>
          <w:lang w:val="en"/>
        </w:rPr>
        <w:t xml:space="preserve"> </w:t>
      </w:r>
    </w:p>
    <w:p w14:paraId="0341B805" w14:textId="77777777" w:rsidR="002C1B99" w:rsidRPr="00684DEB" w:rsidRDefault="002C1B99" w:rsidP="002C1B99">
      <w:pPr>
        <w:rPr>
          <w:lang w:val="en"/>
        </w:rPr>
      </w:pPr>
      <w:r w:rsidRPr="00684DEB">
        <w:rPr>
          <w:lang w:val="en"/>
        </w:rPr>
        <w:t xml:space="preserve">LAPS </w:t>
      </w:r>
      <w:r>
        <w:rPr>
          <w:lang w:val="en"/>
        </w:rPr>
        <w:t>Local account passwords are</w:t>
      </w:r>
      <w:r w:rsidRPr="00684DEB">
        <w:rPr>
          <w:lang w:val="en"/>
        </w:rPr>
        <w:t xml:space="preserve"> store</w:t>
      </w:r>
      <w:r>
        <w:rPr>
          <w:lang w:val="en"/>
        </w:rPr>
        <w:t>d</w:t>
      </w:r>
      <w:r w:rsidRPr="00684DEB">
        <w:rPr>
          <w:lang w:val="en"/>
        </w:rPr>
        <w:t xml:space="preserve"> in an attribute in A</w:t>
      </w:r>
      <w:r>
        <w:rPr>
          <w:lang w:val="en"/>
        </w:rPr>
        <w:t xml:space="preserve">ctive </w:t>
      </w:r>
      <w:r w:rsidRPr="00684DEB">
        <w:rPr>
          <w:lang w:val="en"/>
        </w:rPr>
        <w:t>D</w:t>
      </w:r>
      <w:r>
        <w:rPr>
          <w:lang w:val="en"/>
        </w:rPr>
        <w:t>irectory</w:t>
      </w:r>
      <w:r w:rsidRPr="00684DEB">
        <w:rPr>
          <w:lang w:val="en"/>
        </w:rPr>
        <w:t xml:space="preserve"> that is only granted to domain admins by default.</w:t>
      </w:r>
      <w:r>
        <w:rPr>
          <w:lang w:val="en"/>
        </w:rPr>
        <w:t xml:space="preserve"> Additional administrators must be delegated access to read this value by using the tools provided by </w:t>
      </w:r>
      <w:r w:rsidRPr="00684DEB">
        <w:rPr>
          <w:lang w:val="en"/>
        </w:rPr>
        <w:t xml:space="preserve">the </w:t>
      </w:r>
      <w:hyperlink r:id="rId683" w:history="1">
        <w:r w:rsidRPr="00485EFF">
          <w:rPr>
            <w:rStyle w:val="Hyperlink"/>
            <w:lang w:val="en"/>
          </w:rPr>
          <w:t>Local Administrator Password Solution</w:t>
        </w:r>
      </w:hyperlink>
      <w:r>
        <w:rPr>
          <w:lang w:val="en"/>
        </w:rPr>
        <w:t xml:space="preserve"> (LAPS)</w:t>
      </w:r>
      <w:r w:rsidRPr="00684DEB">
        <w:rPr>
          <w:lang w:val="en"/>
        </w:rPr>
        <w:t xml:space="preserve">. To prevent elevation of privilege, access to read this password value must be restricted according to the Tier </w:t>
      </w:r>
      <w:r>
        <w:rPr>
          <w:lang w:val="en"/>
        </w:rPr>
        <w:t>m</w:t>
      </w:r>
      <w:r w:rsidRPr="00684DEB">
        <w:rPr>
          <w:lang w:val="en"/>
        </w:rPr>
        <w:t>odel</w:t>
      </w:r>
      <w:r>
        <w:rPr>
          <w:lang w:val="en"/>
        </w:rPr>
        <w:t>.</w:t>
      </w:r>
    </w:p>
    <w:p w14:paraId="0B3D4A19" w14:textId="77777777" w:rsidR="002C1B99" w:rsidRPr="00684DEB" w:rsidRDefault="002C1B99" w:rsidP="005729D2">
      <w:pPr>
        <w:pStyle w:val="ListParagraph"/>
        <w:numPr>
          <w:ilvl w:val="0"/>
          <w:numId w:val="294"/>
        </w:numPr>
        <w:spacing w:before="0" w:after="160" w:line="259" w:lineRule="auto"/>
        <w:rPr>
          <w:lang w:val="en"/>
        </w:rPr>
      </w:pPr>
      <w:r w:rsidRPr="00684DEB">
        <w:rPr>
          <w:lang w:val="en"/>
        </w:rPr>
        <w:t>Tier</w:t>
      </w:r>
      <w:r>
        <w:rPr>
          <w:lang w:val="en"/>
        </w:rPr>
        <w:t> 0</w:t>
      </w:r>
      <w:r w:rsidRPr="00684DEB">
        <w:rPr>
          <w:lang w:val="en"/>
        </w:rPr>
        <w:t xml:space="preserve"> administrators </w:t>
      </w:r>
      <w:r>
        <w:rPr>
          <w:lang w:val="en"/>
        </w:rPr>
        <w:t>have</w:t>
      </w:r>
      <w:r w:rsidRPr="00684DEB">
        <w:rPr>
          <w:lang w:val="en"/>
        </w:rPr>
        <w:t xml:space="preserve"> access to password attribute</w:t>
      </w:r>
      <w:r>
        <w:rPr>
          <w:lang w:val="en"/>
        </w:rPr>
        <w:t>s</w:t>
      </w:r>
      <w:r w:rsidRPr="00684DEB">
        <w:rPr>
          <w:lang w:val="en"/>
        </w:rPr>
        <w:t xml:space="preserve"> for the computer accounts</w:t>
      </w:r>
      <w:r>
        <w:rPr>
          <w:lang w:val="en"/>
        </w:rPr>
        <w:t>:</w:t>
      </w:r>
    </w:p>
    <w:p w14:paraId="49505B7C" w14:textId="77777777" w:rsidR="002C1B99" w:rsidRPr="00684DEB" w:rsidRDefault="002C1B99" w:rsidP="005729D2">
      <w:pPr>
        <w:pStyle w:val="ListParagraph"/>
        <w:numPr>
          <w:ilvl w:val="1"/>
          <w:numId w:val="206"/>
        </w:numPr>
        <w:spacing w:before="0" w:after="160" w:line="259" w:lineRule="auto"/>
        <w:rPr>
          <w:lang w:val="en"/>
        </w:rPr>
      </w:pPr>
      <w:r w:rsidRPr="00684DEB">
        <w:rPr>
          <w:lang w:val="en"/>
        </w:rPr>
        <w:t>Tier</w:t>
      </w:r>
      <w:r>
        <w:rPr>
          <w:lang w:val="en"/>
        </w:rPr>
        <w:t> 0</w:t>
      </w:r>
      <w:r w:rsidRPr="00684DEB">
        <w:rPr>
          <w:lang w:val="en"/>
        </w:rPr>
        <w:t xml:space="preserve"> management servers</w:t>
      </w:r>
    </w:p>
    <w:p w14:paraId="2AD290AB" w14:textId="77777777" w:rsidR="002C1B99" w:rsidRPr="00684DEB" w:rsidRDefault="002C1B99" w:rsidP="005729D2">
      <w:pPr>
        <w:pStyle w:val="ListParagraph"/>
        <w:numPr>
          <w:ilvl w:val="1"/>
          <w:numId w:val="206"/>
        </w:numPr>
        <w:spacing w:before="0" w:after="160" w:line="259" w:lineRule="auto"/>
        <w:rPr>
          <w:lang w:val="en"/>
        </w:rPr>
      </w:pPr>
      <w:r w:rsidRPr="00684DEB">
        <w:rPr>
          <w:lang w:val="en"/>
        </w:rPr>
        <w:t xml:space="preserve">All </w:t>
      </w:r>
      <w:r>
        <w:rPr>
          <w:lang w:val="en"/>
        </w:rPr>
        <w:t>a</w:t>
      </w:r>
      <w:r w:rsidRPr="00684DEB">
        <w:rPr>
          <w:lang w:val="en"/>
        </w:rPr>
        <w:t>dmin</w:t>
      </w:r>
      <w:r>
        <w:rPr>
          <w:lang w:val="en"/>
        </w:rPr>
        <w:t>istrative</w:t>
      </w:r>
      <w:r w:rsidRPr="00684DEB">
        <w:rPr>
          <w:lang w:val="en"/>
        </w:rPr>
        <w:t xml:space="preserve"> </w:t>
      </w:r>
      <w:r>
        <w:rPr>
          <w:lang w:val="en"/>
        </w:rPr>
        <w:t>w</w:t>
      </w:r>
      <w:r w:rsidRPr="00684DEB">
        <w:rPr>
          <w:lang w:val="en"/>
        </w:rPr>
        <w:t>orkstations</w:t>
      </w:r>
    </w:p>
    <w:p w14:paraId="6B04AAB6" w14:textId="77777777" w:rsidR="002C1B99" w:rsidRPr="00684DEB" w:rsidRDefault="002C1B99" w:rsidP="005729D2">
      <w:pPr>
        <w:pStyle w:val="ListParagraph"/>
        <w:numPr>
          <w:ilvl w:val="0"/>
          <w:numId w:val="295"/>
        </w:numPr>
        <w:spacing w:before="0" w:after="160" w:line="259" w:lineRule="auto"/>
        <w:rPr>
          <w:lang w:val="en"/>
        </w:rPr>
      </w:pPr>
      <w:r w:rsidRPr="00684DEB">
        <w:rPr>
          <w:lang w:val="en"/>
        </w:rPr>
        <w:t>Tier</w:t>
      </w:r>
      <w:r>
        <w:rPr>
          <w:lang w:val="en"/>
        </w:rPr>
        <w:t> 1</w:t>
      </w:r>
      <w:r w:rsidRPr="00684DEB">
        <w:rPr>
          <w:lang w:val="en"/>
        </w:rPr>
        <w:t xml:space="preserve"> administrators </w:t>
      </w:r>
      <w:r>
        <w:rPr>
          <w:lang w:val="en"/>
        </w:rPr>
        <w:t>have</w:t>
      </w:r>
      <w:r w:rsidRPr="00684DEB">
        <w:rPr>
          <w:lang w:val="en"/>
        </w:rPr>
        <w:t xml:space="preserve"> access to </w:t>
      </w:r>
      <w:r>
        <w:rPr>
          <w:lang w:val="en"/>
        </w:rPr>
        <w:t xml:space="preserve">the </w:t>
      </w:r>
      <w:r w:rsidRPr="00684DEB">
        <w:rPr>
          <w:lang w:val="en"/>
        </w:rPr>
        <w:t>password attribute for the computer accounts</w:t>
      </w:r>
      <w:r>
        <w:rPr>
          <w:lang w:val="en"/>
        </w:rPr>
        <w:t>:</w:t>
      </w:r>
    </w:p>
    <w:p w14:paraId="2D1609F8" w14:textId="77777777" w:rsidR="002C1B99" w:rsidRPr="00684DEB" w:rsidRDefault="002C1B99" w:rsidP="005729D2">
      <w:pPr>
        <w:pStyle w:val="ListParagraph"/>
        <w:numPr>
          <w:ilvl w:val="1"/>
          <w:numId w:val="206"/>
        </w:numPr>
        <w:spacing w:before="0" w:after="160" w:line="259" w:lineRule="auto"/>
        <w:rPr>
          <w:lang w:val="en"/>
        </w:rPr>
      </w:pPr>
      <w:r w:rsidRPr="00684DEB">
        <w:rPr>
          <w:lang w:val="en"/>
        </w:rPr>
        <w:t xml:space="preserve"> Enterprise </w:t>
      </w:r>
      <w:r>
        <w:rPr>
          <w:lang w:val="en"/>
        </w:rPr>
        <w:t>s</w:t>
      </w:r>
      <w:r w:rsidRPr="00684DEB">
        <w:rPr>
          <w:lang w:val="en"/>
        </w:rPr>
        <w:t>ervers</w:t>
      </w:r>
    </w:p>
    <w:p w14:paraId="418940B1" w14:textId="77777777" w:rsidR="002C1B99" w:rsidRPr="00684DEB" w:rsidRDefault="002C1B99" w:rsidP="005729D2">
      <w:pPr>
        <w:pStyle w:val="ListParagraph"/>
        <w:numPr>
          <w:ilvl w:val="0"/>
          <w:numId w:val="296"/>
        </w:numPr>
        <w:spacing w:before="0" w:after="160" w:line="259" w:lineRule="auto"/>
        <w:rPr>
          <w:lang w:val="en"/>
        </w:rPr>
      </w:pPr>
      <w:r w:rsidRPr="00684DEB">
        <w:rPr>
          <w:lang w:val="en"/>
        </w:rPr>
        <w:t>Tier</w:t>
      </w:r>
      <w:r>
        <w:rPr>
          <w:lang w:val="en"/>
        </w:rPr>
        <w:t> 2</w:t>
      </w:r>
      <w:r w:rsidRPr="00684DEB">
        <w:rPr>
          <w:lang w:val="en"/>
        </w:rPr>
        <w:t xml:space="preserve"> administrators </w:t>
      </w:r>
      <w:r>
        <w:rPr>
          <w:lang w:val="en"/>
        </w:rPr>
        <w:t>have</w:t>
      </w:r>
      <w:r w:rsidRPr="00684DEB">
        <w:rPr>
          <w:lang w:val="en"/>
        </w:rPr>
        <w:t xml:space="preserve"> access to </w:t>
      </w:r>
      <w:r>
        <w:rPr>
          <w:lang w:val="en"/>
        </w:rPr>
        <w:t xml:space="preserve">the </w:t>
      </w:r>
      <w:r w:rsidRPr="00684DEB">
        <w:rPr>
          <w:lang w:val="en"/>
        </w:rPr>
        <w:t>password attribute for the computer account</w:t>
      </w:r>
      <w:r>
        <w:rPr>
          <w:lang w:val="en"/>
        </w:rPr>
        <w:t>:</w:t>
      </w:r>
    </w:p>
    <w:p w14:paraId="498398B9" w14:textId="77777777" w:rsidR="002C1B99" w:rsidRDefault="002C1B99" w:rsidP="005729D2">
      <w:pPr>
        <w:pStyle w:val="ListParagraph"/>
        <w:numPr>
          <w:ilvl w:val="1"/>
          <w:numId w:val="206"/>
        </w:numPr>
        <w:spacing w:before="0" w:after="160" w:line="259" w:lineRule="auto"/>
        <w:rPr>
          <w:lang w:val="en"/>
        </w:rPr>
      </w:pPr>
      <w:r w:rsidRPr="00684DEB">
        <w:rPr>
          <w:lang w:val="en"/>
        </w:rPr>
        <w:t>Enterprise workstations (but not administrative workstations)</w:t>
      </w:r>
    </w:p>
    <w:p w14:paraId="5886C38D" w14:textId="77777777" w:rsidR="002C1B99" w:rsidRPr="002452B6" w:rsidRDefault="002C1B99" w:rsidP="002C1B99">
      <w:pPr>
        <w:pStyle w:val="Heading4"/>
        <w:rPr>
          <w:rFonts w:ascii="Segoe UI" w:hAnsi="Segoe UI" w:cs="Segoe UI"/>
          <w:b/>
          <w:i w:val="0"/>
          <w:sz w:val="22"/>
        </w:rPr>
      </w:pPr>
      <w:r w:rsidRPr="002452B6">
        <w:rPr>
          <w:rFonts w:ascii="Segoe UI" w:hAnsi="Segoe UI" w:cs="Segoe UI"/>
          <w:b/>
          <w:i w:val="0"/>
          <w:color w:val="000000" w:themeColor="text1"/>
          <w:sz w:val="22"/>
        </w:rPr>
        <w:t xml:space="preserve">Admin Accounts Restricted from Delegation </w:t>
      </w:r>
      <w:r w:rsidRPr="002452B6">
        <w:rPr>
          <w:rFonts w:ascii="Segoe UI" w:hAnsi="Segoe UI" w:cs="Segoe UI"/>
          <w:b/>
          <w:i w:val="0"/>
          <w:sz w:val="22"/>
        </w:rPr>
        <w:tab/>
      </w:r>
    </w:p>
    <w:p w14:paraId="2770474E" w14:textId="4508E9F7" w:rsidR="00F97B16" w:rsidRPr="00F82295" w:rsidRDefault="002C1B99" w:rsidP="002C1B99">
      <w:pPr>
        <w:rPr>
          <w:lang w:val="en"/>
        </w:rPr>
      </w:pPr>
      <w:r w:rsidRPr="00F82295">
        <w:t xml:space="preserve">All admin accounts </w:t>
      </w:r>
      <w:r>
        <w:t>need</w:t>
      </w:r>
      <w:r w:rsidRPr="00F82295">
        <w:t xml:space="preserve"> the attribute enabled for </w:t>
      </w:r>
      <w:r w:rsidRPr="00807F95">
        <w:rPr>
          <w:b/>
          <w:lang w:val="en"/>
        </w:rPr>
        <w:t>Account is sensitive and cannot be delegated</w:t>
      </w:r>
      <w:r>
        <w:rPr>
          <w:lang w:val="en"/>
        </w:rPr>
        <w:t xml:space="preserve">. For more information, see </w:t>
      </w:r>
      <w:hyperlink r:id="rId684" w:history="1">
        <w:r w:rsidRPr="00807F95">
          <w:rPr>
            <w:rStyle w:val="Hyperlink"/>
            <w:lang w:val="en"/>
          </w:rPr>
          <w:t>Security Focus: Analyzing "Account is sensitive and cannot be delegated" for Privileged Accounts</w:t>
        </w:r>
      </w:hyperlink>
      <w:r>
        <w:rPr>
          <w:lang w:val="en"/>
        </w:rPr>
        <w:t>.</w:t>
      </w:r>
    </w:p>
    <w:p w14:paraId="42F02D18" w14:textId="77777777" w:rsidR="002C1B99" w:rsidRPr="002452B6" w:rsidRDefault="002C1B99" w:rsidP="002C1B99">
      <w:pPr>
        <w:pStyle w:val="Heading4"/>
        <w:rPr>
          <w:rFonts w:ascii="Segoe UI" w:hAnsi="Segoe UI" w:cs="Segoe UI"/>
          <w:b/>
          <w:i w:val="0"/>
          <w:color w:val="000000" w:themeColor="text1"/>
          <w:sz w:val="22"/>
        </w:rPr>
      </w:pPr>
      <w:r w:rsidRPr="002452B6">
        <w:rPr>
          <w:rFonts w:ascii="Segoe UI" w:hAnsi="Segoe UI" w:cs="Segoe UI"/>
          <w:b/>
          <w:i w:val="0"/>
          <w:color w:val="000000" w:themeColor="text1"/>
          <w:sz w:val="22"/>
        </w:rPr>
        <w:t>Regularly Randomize Password on Smart Card Accounts (SCRIL Cycling)</w:t>
      </w:r>
    </w:p>
    <w:p w14:paraId="12FEDCCB" w14:textId="77777777" w:rsidR="002C1B99" w:rsidRPr="00E85E5F" w:rsidRDefault="002C1B99" w:rsidP="002C1B99">
      <w:pPr>
        <w:rPr>
          <w:lang w:val="en"/>
        </w:rPr>
      </w:pPr>
      <w:r w:rsidRPr="00E85E5F">
        <w:t xml:space="preserve">Enabling the </w:t>
      </w:r>
      <w:r w:rsidRPr="00700D3A">
        <w:rPr>
          <w:b/>
          <w:lang w:val="en"/>
        </w:rPr>
        <w:t>Smart card required for interactive logon</w:t>
      </w:r>
      <w:r w:rsidRPr="00E85E5F">
        <w:rPr>
          <w:lang w:val="en"/>
        </w:rPr>
        <w:t xml:space="preserve"> (SCRIL) attribute on an account will restrict future interactive smart</w:t>
      </w:r>
      <w:r>
        <w:rPr>
          <w:lang w:val="en"/>
        </w:rPr>
        <w:t xml:space="preserve"> </w:t>
      </w:r>
      <w:r w:rsidRPr="00E85E5F">
        <w:rPr>
          <w:lang w:val="en"/>
        </w:rPr>
        <w:t>card</w:t>
      </w:r>
      <w:r>
        <w:rPr>
          <w:lang w:val="en"/>
        </w:rPr>
        <w:t xml:space="preserve"> sign-ins,</w:t>
      </w:r>
      <w:r w:rsidRPr="00E85E5F">
        <w:rPr>
          <w:lang w:val="en"/>
        </w:rPr>
        <w:t xml:space="preserve"> and set a random value in the account</w:t>
      </w:r>
      <w:r>
        <w:rPr>
          <w:lang w:val="en"/>
        </w:rPr>
        <w:t>'</w:t>
      </w:r>
      <w:r w:rsidRPr="00E85E5F">
        <w:rPr>
          <w:lang w:val="en"/>
        </w:rPr>
        <w:t xml:space="preserve">s password attribute. </w:t>
      </w:r>
    </w:p>
    <w:p w14:paraId="566920E0" w14:textId="77777777" w:rsidR="002C1B99" w:rsidRPr="00E85E5F" w:rsidRDefault="002C1B99" w:rsidP="002C1B99">
      <w:pPr>
        <w:rPr>
          <w:lang w:val="en"/>
        </w:rPr>
      </w:pPr>
      <w:r w:rsidRPr="00E85E5F">
        <w:rPr>
          <w:lang w:val="en"/>
        </w:rPr>
        <w:t xml:space="preserve">A new random value will be generated each time this attribute is enabled, so you can cycle this attribute by periodically disabling and enabling </w:t>
      </w:r>
      <w:r>
        <w:rPr>
          <w:lang w:val="en"/>
        </w:rPr>
        <w:t>it</w:t>
      </w:r>
      <w:r w:rsidRPr="00E85E5F">
        <w:rPr>
          <w:lang w:val="en"/>
        </w:rPr>
        <w:t xml:space="preserve">. This change can cause technical issues with currently </w:t>
      </w:r>
      <w:r>
        <w:rPr>
          <w:lang w:val="en"/>
        </w:rPr>
        <w:t>open W</w:t>
      </w:r>
      <w:r w:rsidRPr="00E85E5F">
        <w:rPr>
          <w:lang w:val="en"/>
        </w:rPr>
        <w:t xml:space="preserve">indows sessions, so this operation should not be performed while administrators are working on tasks. </w:t>
      </w:r>
    </w:p>
    <w:p w14:paraId="12B30AFE" w14:textId="1A1F1602" w:rsidR="00F97B16" w:rsidRPr="00E85E5F" w:rsidRDefault="002C1B99" w:rsidP="002C1B99">
      <w:pPr>
        <w:rPr>
          <w:lang w:val="en"/>
        </w:rPr>
      </w:pPr>
      <w:r w:rsidRPr="00E85E5F">
        <w:rPr>
          <w:lang w:val="en"/>
        </w:rPr>
        <w:t>A script to perform this action should be run every</w:t>
      </w:r>
      <w:r>
        <w:rPr>
          <w:lang w:val="en"/>
        </w:rPr>
        <w:t> 2</w:t>
      </w:r>
      <w:r w:rsidRPr="00E85E5F">
        <w:rPr>
          <w:lang w:val="en"/>
        </w:rPr>
        <w:t>4 hours for administrators at a time when they are unlikely to be working on administrative tasks (</w:t>
      </w:r>
      <w:r>
        <w:rPr>
          <w:lang w:val="en"/>
        </w:rPr>
        <w:t>such as 3:00 A.M.</w:t>
      </w:r>
      <w:r w:rsidRPr="00E85E5F">
        <w:rPr>
          <w:lang w:val="en"/>
        </w:rPr>
        <w:t xml:space="preserve"> local time)</w:t>
      </w:r>
      <w:r>
        <w:rPr>
          <w:lang w:val="en"/>
        </w:rPr>
        <w:t>.</w:t>
      </w:r>
    </w:p>
    <w:p w14:paraId="79B978A1" w14:textId="77777777" w:rsidR="00F97B16" w:rsidRPr="00F82295" w:rsidRDefault="00F97B16" w:rsidP="00F97B16">
      <w:pPr>
        <w:rPr>
          <w:highlight w:val="yellow"/>
        </w:rPr>
      </w:pPr>
    </w:p>
    <w:p w14:paraId="5B55A7D5" w14:textId="77777777" w:rsidR="00F97B16" w:rsidRDefault="00F97B16" w:rsidP="005729D2">
      <w:pPr>
        <w:pStyle w:val="Heading3Numbered"/>
        <w:numPr>
          <w:ilvl w:val="2"/>
          <w:numId w:val="64"/>
        </w:numPr>
      </w:pPr>
      <w:bookmarkStart w:id="7958" w:name="_Toc423091765"/>
      <w:bookmarkStart w:id="7959" w:name="_Toc423464074"/>
      <w:bookmarkStart w:id="7960" w:name="_Toc423464747"/>
      <w:bookmarkStart w:id="7961" w:name="_Toc431288991"/>
      <w:r>
        <w:t xml:space="preserve">Group </w:t>
      </w:r>
      <w:r w:rsidRPr="00C7102F">
        <w:t xml:space="preserve">Policy </w:t>
      </w:r>
      <w:r>
        <w:t>Objects (GPOs)</w:t>
      </w:r>
      <w:bookmarkEnd w:id="7958"/>
      <w:bookmarkEnd w:id="7959"/>
      <w:bookmarkEnd w:id="7960"/>
      <w:bookmarkEnd w:id="7961"/>
    </w:p>
    <w:p w14:paraId="6153D76F" w14:textId="235D5FA1" w:rsidR="008D26AC" w:rsidRPr="00637CE4" w:rsidRDefault="00F97B16" w:rsidP="008D26AC">
      <w:r>
        <w:t>A</w:t>
      </w:r>
      <w:r w:rsidR="008D26AC">
        <w:t xml:space="preserve"> significant portion of the security configuration for Active Directory and the Windows hosts in the organization are set in the Group Policy Objects (GPOs). </w:t>
      </w:r>
    </w:p>
    <w:p w14:paraId="687CAB77" w14:textId="77777777" w:rsidR="008D26AC" w:rsidRDefault="008D26AC" w:rsidP="008D26AC">
      <w:r>
        <w:t xml:space="preserve">Preventing and detecting unauthorized and unsafe modification of these policies is critical to the security posture of Active Directory and the organization. This is critically important for Tier 0 GPOs that include any policies linked to the domain, to Active Directory sites, to the domain controller's OU, or to other Tier 0 OUs. </w:t>
      </w:r>
    </w:p>
    <w:p w14:paraId="11CAF4E3" w14:textId="77777777" w:rsidR="008D26AC" w:rsidRPr="00F72853" w:rsidRDefault="008D26AC" w:rsidP="008D26AC">
      <w:r>
        <w:t xml:space="preserve">All exceptions </w:t>
      </w:r>
      <w:r w:rsidRPr="00F72853">
        <w:t xml:space="preserve">from the recommended GPO settings and permissions must include an impact analysis and proposed change that are approved by the </w:t>
      </w:r>
      <w:r>
        <w:t>change approval board</w:t>
      </w:r>
      <w:r w:rsidRPr="00F72853">
        <w:t>. Examples of changes include</w:t>
      </w:r>
      <w:r>
        <w:t>,</w:t>
      </w:r>
      <w:r w:rsidRPr="00F72853">
        <w:t xml:space="preserve"> but are not limited to:</w:t>
      </w:r>
    </w:p>
    <w:p w14:paraId="32215739" w14:textId="77777777" w:rsidR="008D26AC" w:rsidRPr="00A76946" w:rsidRDefault="008D26AC" w:rsidP="005729D2">
      <w:pPr>
        <w:pStyle w:val="ListParagraph"/>
        <w:numPr>
          <w:ilvl w:val="0"/>
          <w:numId w:val="205"/>
        </w:numPr>
        <w:spacing w:before="0" w:after="160" w:line="259" w:lineRule="auto"/>
        <w:rPr>
          <w:rFonts w:ascii="Calibri" w:eastAsia="Times New Roman" w:hAnsi="Calibri" w:cs="Times New Roman"/>
          <w:color w:val="000000"/>
        </w:rPr>
      </w:pPr>
      <w:r w:rsidRPr="00F72853">
        <w:t xml:space="preserve">New GPOs or modification of GPOs </w:t>
      </w:r>
      <w:r w:rsidRPr="00320C61">
        <w:rPr>
          <w:rFonts w:eastAsia="Times New Roman" w:cs="Segoe UI"/>
          <w:color w:val="000000"/>
        </w:rPr>
        <w:t>(including modification of logon or startup scripts)</w:t>
      </w:r>
    </w:p>
    <w:p w14:paraId="441BE65F" w14:textId="77777777" w:rsidR="008D26AC" w:rsidRDefault="008D26AC" w:rsidP="005729D2">
      <w:pPr>
        <w:pStyle w:val="ListParagraph"/>
        <w:numPr>
          <w:ilvl w:val="0"/>
          <w:numId w:val="205"/>
        </w:numPr>
        <w:spacing w:before="0" w:after="160" w:line="259" w:lineRule="auto"/>
      </w:pPr>
      <w:r w:rsidRPr="00320C61">
        <w:rPr>
          <w:rFonts w:eastAsia="Times New Roman" w:cs="Segoe UI"/>
          <w:color w:val="000000"/>
        </w:rPr>
        <w:t>Deviations</w:t>
      </w:r>
      <w:r w:rsidRPr="00320C61">
        <w:rPr>
          <w:rFonts w:cs="Segoe UI"/>
        </w:rPr>
        <w:t xml:space="preserve"> from</w:t>
      </w:r>
      <w:r>
        <w:t xml:space="preserve"> the Microsoft baselines for the domain </w:t>
      </w:r>
    </w:p>
    <w:p w14:paraId="7D619AFB" w14:textId="77777777" w:rsidR="008D26AC" w:rsidRDefault="008D26AC" w:rsidP="005729D2">
      <w:pPr>
        <w:pStyle w:val="ListParagraph"/>
        <w:numPr>
          <w:ilvl w:val="0"/>
          <w:numId w:val="205"/>
        </w:numPr>
        <w:spacing w:before="0" w:after="160" w:line="259" w:lineRule="auto"/>
      </w:pPr>
      <w:r>
        <w:t>Deviations from the Microsoft baselines for domain controllers, enterprise servers, or enterprise workstations</w:t>
      </w:r>
    </w:p>
    <w:p w14:paraId="531A7C70" w14:textId="24839289" w:rsidR="00F97B16" w:rsidRDefault="008D26AC" w:rsidP="008D26AC">
      <w:r>
        <w:t>Exceptions to GPO settings for a specific set of users or workstations</w:t>
      </w:r>
    </w:p>
    <w:p w14:paraId="3A24C23C" w14:textId="77777777" w:rsidR="00F97B16" w:rsidRPr="008D26AC" w:rsidRDefault="00F97B16" w:rsidP="005D6B66">
      <w:pPr>
        <w:pStyle w:val="Heading4"/>
        <w:rPr>
          <w:rFonts w:ascii="Segoe UI" w:eastAsia="Times New Roman" w:hAnsi="Segoe UI" w:cs="Segoe UI"/>
          <w:b/>
          <w:i w:val="0"/>
          <w:color w:val="000000" w:themeColor="text1"/>
          <w:sz w:val="22"/>
        </w:rPr>
      </w:pPr>
      <w:r w:rsidRPr="008D26AC">
        <w:rPr>
          <w:rFonts w:ascii="Segoe UI" w:eastAsia="Times New Roman" w:hAnsi="Segoe UI" w:cs="Segoe UI"/>
          <w:b/>
          <w:i w:val="0"/>
          <w:color w:val="000000" w:themeColor="text1"/>
          <w:sz w:val="22"/>
        </w:rPr>
        <w:t>GPO Adherence to Microsoft Baselines</w:t>
      </w:r>
      <w:bookmarkEnd w:id="7956"/>
    </w:p>
    <w:p w14:paraId="2F3C40B4" w14:textId="77777777" w:rsidR="00F97B16" w:rsidRDefault="00F97B16" w:rsidP="00F97B16">
      <w:r>
        <w:t xml:space="preserve">Changes to GPO settings can have a significant impact on the enterprise security posture, which must be evaluated prior to allowing that change into a production environment. All GPOs must be compliant with the appropriate Microsoft baselines in the Security Compliance Manager (SCM). </w:t>
      </w:r>
    </w:p>
    <w:bookmarkEnd w:id="7957"/>
    <w:p w14:paraId="7FD7A8CB" w14:textId="77777777" w:rsidR="008D26AC" w:rsidRDefault="008D26AC" w:rsidP="008D26AC">
      <w:r>
        <w:t xml:space="preserve">Any exceptions to the baselines or changes to the GPOs must be assessed for threats, potential impact, and countermeasures by using the guidance in the SCM for the divergent settings. </w:t>
      </w:r>
    </w:p>
    <w:p w14:paraId="0F737DFE" w14:textId="77777777" w:rsidR="008D26AC" w:rsidRPr="00246E51" w:rsidRDefault="008D26AC" w:rsidP="008D26AC">
      <w:pPr>
        <w:pStyle w:val="Heading4"/>
        <w:rPr>
          <w:rFonts w:ascii="Segoe UI" w:eastAsia="Times New Roman" w:hAnsi="Segoe UI" w:cs="Segoe UI"/>
          <w:b/>
          <w:i w:val="0"/>
          <w:color w:val="000000" w:themeColor="text1"/>
          <w:sz w:val="22"/>
        </w:rPr>
      </w:pPr>
      <w:r w:rsidRPr="00246E51">
        <w:rPr>
          <w:rFonts w:ascii="Segoe UI" w:eastAsia="Times New Roman" w:hAnsi="Segoe UI" w:cs="Segoe UI"/>
          <w:b/>
          <w:i w:val="0"/>
          <w:color w:val="000000" w:themeColor="text1"/>
          <w:sz w:val="22"/>
        </w:rPr>
        <w:t>Group Policy Permissions</w:t>
      </w:r>
    </w:p>
    <w:p w14:paraId="5CB531B1" w14:textId="77777777" w:rsidR="008D26AC" w:rsidRPr="009C25F8" w:rsidRDefault="008D26AC" w:rsidP="008D26AC">
      <w:r w:rsidRPr="009C25F8">
        <w:t xml:space="preserve">Because Group </w:t>
      </w:r>
      <w:r>
        <w:t>P</w:t>
      </w:r>
      <w:r w:rsidRPr="009C25F8">
        <w:t>olicy can grant a means of control (run code on a host</w:t>
      </w:r>
      <w:r>
        <w:t xml:space="preserve"> or</w:t>
      </w:r>
      <w:r w:rsidRPr="009C25F8">
        <w:t xml:space="preserve"> in context of an account), the security permissions for Group Policy must meet the rules of the Tier model </w:t>
      </w:r>
      <w:r>
        <w:t>and</w:t>
      </w:r>
      <w:r w:rsidRPr="009C25F8">
        <w:t xml:space="preserve"> the </w:t>
      </w:r>
      <w:r>
        <w:t>organization’s</w:t>
      </w:r>
      <w:r w:rsidRPr="009C25F8">
        <w:t xml:space="preserve"> administrative model</w:t>
      </w:r>
      <w:r>
        <w:t>.</w:t>
      </w:r>
      <w:r w:rsidRPr="009C25F8">
        <w:t xml:space="preserve"> </w:t>
      </w:r>
    </w:p>
    <w:p w14:paraId="694D6860" w14:textId="592971A4" w:rsidR="00F97B16" w:rsidRPr="009C25F8" w:rsidRDefault="008D26AC" w:rsidP="008D26AC">
      <w:r w:rsidRPr="009C25F8">
        <w:t>Group Policy applying and associated script content may only be modified per the following:</w:t>
      </w:r>
    </w:p>
    <w:tbl>
      <w:tblPr>
        <w:tblStyle w:val="ListTable31"/>
        <w:tblW w:w="0" w:type="auto"/>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640"/>
        <w:gridCol w:w="4176"/>
      </w:tblGrid>
      <w:tr w:rsidR="00D741D9" w:rsidRPr="009C25F8" w14:paraId="285DC558" w14:textId="77777777" w:rsidTr="006527B2">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4640" w:type="dxa"/>
            <w:tcBorders>
              <w:bottom w:val="none" w:sz="0" w:space="0" w:color="auto"/>
              <w:right w:val="none" w:sz="0" w:space="0" w:color="auto"/>
            </w:tcBorders>
            <w:shd w:val="clear" w:color="auto" w:fill="808080" w:themeFill="background1" w:themeFillShade="80"/>
          </w:tcPr>
          <w:p w14:paraId="7D54CDC1" w14:textId="77777777" w:rsidR="00D741D9" w:rsidRPr="009C25F8" w:rsidRDefault="00D741D9" w:rsidP="006527B2">
            <w:r w:rsidRPr="009C25F8">
              <w:t xml:space="preserve">Policy </w:t>
            </w:r>
            <w:r>
              <w:t>that a</w:t>
            </w:r>
            <w:r w:rsidRPr="009C25F8">
              <w:t>ppl</w:t>
            </w:r>
            <w:r>
              <w:t>ies</w:t>
            </w:r>
            <w:r w:rsidRPr="009C25F8">
              <w:t xml:space="preserve"> </w:t>
            </w:r>
            <w:r>
              <w:t>t</w:t>
            </w:r>
            <w:r w:rsidRPr="009C25F8">
              <w:t>o</w:t>
            </w:r>
          </w:p>
        </w:tc>
        <w:tc>
          <w:tcPr>
            <w:tcW w:w="4176" w:type="dxa"/>
            <w:shd w:val="clear" w:color="auto" w:fill="808080" w:themeFill="background1" w:themeFillShade="80"/>
          </w:tcPr>
          <w:p w14:paraId="396665D7" w14:textId="77777777" w:rsidR="00D741D9" w:rsidRPr="009C25F8" w:rsidRDefault="00D741D9" w:rsidP="006527B2">
            <w:pPr>
              <w:cnfStyle w:val="100000000000" w:firstRow="1" w:lastRow="0" w:firstColumn="0" w:lastColumn="0" w:oddVBand="0" w:evenVBand="0" w:oddHBand="0" w:evenHBand="0" w:firstRowFirstColumn="0" w:firstRowLastColumn="0" w:lastRowFirstColumn="0" w:lastRowLastColumn="0"/>
            </w:pPr>
            <w:r>
              <w:t>Can</w:t>
            </w:r>
            <w:r w:rsidRPr="009C25F8">
              <w:t xml:space="preserve"> only be modified by</w:t>
            </w:r>
          </w:p>
        </w:tc>
      </w:tr>
      <w:tr w:rsidR="00D741D9" w:rsidRPr="009C25F8" w14:paraId="4F4F20D1" w14:textId="77777777" w:rsidTr="006527B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40" w:type="dxa"/>
            <w:tcBorders>
              <w:top w:val="none" w:sz="0" w:space="0" w:color="auto"/>
              <w:bottom w:val="none" w:sz="0" w:space="0" w:color="auto"/>
              <w:right w:val="none" w:sz="0" w:space="0" w:color="auto"/>
            </w:tcBorders>
            <w:shd w:val="clear" w:color="auto" w:fill="F2F2F2" w:themeFill="background1" w:themeFillShade="F2"/>
          </w:tcPr>
          <w:p w14:paraId="30688B73" w14:textId="77777777" w:rsidR="00D741D9" w:rsidRPr="00245066" w:rsidRDefault="00D741D9" w:rsidP="006527B2">
            <w:pPr>
              <w:rPr>
                <w:sz w:val="20"/>
              </w:rPr>
            </w:pPr>
            <w:r w:rsidRPr="00245066">
              <w:rPr>
                <w:sz w:val="20"/>
              </w:rPr>
              <w:t>Tier</w:t>
            </w:r>
            <w:r>
              <w:rPr>
                <w:sz w:val="20"/>
              </w:rPr>
              <w:t> 0</w:t>
            </w:r>
            <w:r w:rsidRPr="00245066">
              <w:rPr>
                <w:sz w:val="20"/>
              </w:rPr>
              <w:t xml:space="preserve"> hosts and accounts</w:t>
            </w:r>
          </w:p>
        </w:tc>
        <w:tc>
          <w:tcPr>
            <w:tcW w:w="4176" w:type="dxa"/>
            <w:tcBorders>
              <w:top w:val="none" w:sz="0" w:space="0" w:color="auto"/>
              <w:bottom w:val="none" w:sz="0" w:space="0" w:color="auto"/>
            </w:tcBorders>
            <w:shd w:val="clear" w:color="auto" w:fill="F2F2F2" w:themeFill="background1" w:themeFillShade="F2"/>
          </w:tcPr>
          <w:p w14:paraId="35BA8362" w14:textId="77777777" w:rsidR="00D741D9" w:rsidRPr="00245066" w:rsidRDefault="00D741D9" w:rsidP="006527B2">
            <w:pPr>
              <w:cnfStyle w:val="000000100000" w:firstRow="0" w:lastRow="0" w:firstColumn="0" w:lastColumn="0" w:oddVBand="0" w:evenVBand="0" w:oddHBand="1" w:evenHBand="0" w:firstRowFirstColumn="0" w:firstRowLastColumn="0" w:lastRowFirstColumn="0" w:lastRowLastColumn="0"/>
              <w:rPr>
                <w:sz w:val="20"/>
              </w:rPr>
            </w:pPr>
            <w:r w:rsidRPr="00245066">
              <w:rPr>
                <w:sz w:val="20"/>
              </w:rPr>
              <w:t>Tier</w:t>
            </w:r>
            <w:r>
              <w:rPr>
                <w:sz w:val="20"/>
              </w:rPr>
              <w:t> 0</w:t>
            </w:r>
            <w:r w:rsidRPr="00245066">
              <w:rPr>
                <w:sz w:val="20"/>
              </w:rPr>
              <w:t xml:space="preserve"> </w:t>
            </w:r>
            <w:r>
              <w:rPr>
                <w:sz w:val="20"/>
              </w:rPr>
              <w:t>a</w:t>
            </w:r>
            <w:r w:rsidRPr="00245066">
              <w:rPr>
                <w:sz w:val="20"/>
              </w:rPr>
              <w:t xml:space="preserve">dministrative </w:t>
            </w:r>
            <w:r>
              <w:rPr>
                <w:sz w:val="20"/>
              </w:rPr>
              <w:t>a</w:t>
            </w:r>
            <w:r w:rsidRPr="00245066">
              <w:rPr>
                <w:sz w:val="20"/>
              </w:rPr>
              <w:t>ccounts</w:t>
            </w:r>
          </w:p>
        </w:tc>
      </w:tr>
      <w:tr w:rsidR="00D741D9" w:rsidRPr="009C25F8" w14:paraId="4DB1B6D2" w14:textId="77777777" w:rsidTr="006527B2">
        <w:trPr>
          <w:jc w:val="center"/>
        </w:trPr>
        <w:tc>
          <w:tcPr>
            <w:cnfStyle w:val="001000000000" w:firstRow="0" w:lastRow="0" w:firstColumn="1" w:lastColumn="0" w:oddVBand="0" w:evenVBand="0" w:oddHBand="0" w:evenHBand="0" w:firstRowFirstColumn="0" w:firstRowLastColumn="0" w:lastRowFirstColumn="0" w:lastRowLastColumn="0"/>
            <w:tcW w:w="4640" w:type="dxa"/>
            <w:tcBorders>
              <w:right w:val="none" w:sz="0" w:space="0" w:color="auto"/>
            </w:tcBorders>
          </w:tcPr>
          <w:p w14:paraId="29AAC014" w14:textId="77777777" w:rsidR="00D741D9" w:rsidRPr="00245066" w:rsidRDefault="00D741D9" w:rsidP="006527B2">
            <w:pPr>
              <w:rPr>
                <w:sz w:val="20"/>
              </w:rPr>
            </w:pPr>
            <w:r w:rsidRPr="00245066">
              <w:rPr>
                <w:sz w:val="20"/>
              </w:rPr>
              <w:t xml:space="preserve">Administrative </w:t>
            </w:r>
            <w:r>
              <w:rPr>
                <w:sz w:val="20"/>
              </w:rPr>
              <w:t>w</w:t>
            </w:r>
            <w:r w:rsidRPr="00245066">
              <w:rPr>
                <w:sz w:val="20"/>
              </w:rPr>
              <w:t xml:space="preserve">orkstations and </w:t>
            </w:r>
            <w:r>
              <w:rPr>
                <w:sz w:val="20"/>
              </w:rPr>
              <w:t>a</w:t>
            </w:r>
            <w:r w:rsidRPr="00245066">
              <w:rPr>
                <w:sz w:val="20"/>
              </w:rPr>
              <w:t>ccounts (all)</w:t>
            </w:r>
          </w:p>
        </w:tc>
        <w:tc>
          <w:tcPr>
            <w:tcW w:w="4176" w:type="dxa"/>
            <w:shd w:val="clear" w:color="auto" w:fill="FFFFFF" w:themeFill="background1"/>
          </w:tcPr>
          <w:p w14:paraId="1697840D" w14:textId="77777777" w:rsidR="00D741D9" w:rsidRPr="00245066" w:rsidRDefault="00D741D9" w:rsidP="006527B2">
            <w:pPr>
              <w:cnfStyle w:val="000000000000" w:firstRow="0" w:lastRow="0" w:firstColumn="0" w:lastColumn="0" w:oddVBand="0" w:evenVBand="0" w:oddHBand="0" w:evenHBand="0" w:firstRowFirstColumn="0" w:firstRowLastColumn="0" w:lastRowFirstColumn="0" w:lastRowLastColumn="0"/>
              <w:rPr>
                <w:sz w:val="20"/>
              </w:rPr>
            </w:pPr>
            <w:r w:rsidRPr="00245066">
              <w:rPr>
                <w:sz w:val="20"/>
              </w:rPr>
              <w:t>Tier</w:t>
            </w:r>
            <w:r>
              <w:rPr>
                <w:sz w:val="20"/>
              </w:rPr>
              <w:t> 0</w:t>
            </w:r>
            <w:r w:rsidRPr="00245066">
              <w:rPr>
                <w:sz w:val="20"/>
              </w:rPr>
              <w:t xml:space="preserve"> </w:t>
            </w:r>
            <w:r>
              <w:rPr>
                <w:sz w:val="20"/>
              </w:rPr>
              <w:t>a</w:t>
            </w:r>
            <w:r w:rsidRPr="00245066">
              <w:rPr>
                <w:sz w:val="20"/>
              </w:rPr>
              <w:t xml:space="preserve">dministrative </w:t>
            </w:r>
            <w:r>
              <w:rPr>
                <w:sz w:val="20"/>
              </w:rPr>
              <w:t>a</w:t>
            </w:r>
            <w:r w:rsidRPr="00245066">
              <w:rPr>
                <w:sz w:val="20"/>
              </w:rPr>
              <w:t>ccounts</w:t>
            </w:r>
          </w:p>
        </w:tc>
      </w:tr>
      <w:tr w:rsidR="00D741D9" w:rsidRPr="009C25F8" w14:paraId="0305C40F" w14:textId="77777777" w:rsidTr="006527B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40" w:type="dxa"/>
            <w:tcBorders>
              <w:top w:val="none" w:sz="0" w:space="0" w:color="auto"/>
              <w:bottom w:val="none" w:sz="0" w:space="0" w:color="auto"/>
              <w:right w:val="none" w:sz="0" w:space="0" w:color="auto"/>
            </w:tcBorders>
            <w:shd w:val="clear" w:color="auto" w:fill="F2F2F2" w:themeFill="background1" w:themeFillShade="F2"/>
          </w:tcPr>
          <w:p w14:paraId="35BF76CC" w14:textId="77777777" w:rsidR="00D741D9" w:rsidRPr="00245066" w:rsidRDefault="00D741D9" w:rsidP="006527B2">
            <w:pPr>
              <w:rPr>
                <w:sz w:val="20"/>
              </w:rPr>
            </w:pPr>
            <w:r w:rsidRPr="00245066">
              <w:rPr>
                <w:sz w:val="20"/>
              </w:rPr>
              <w:t xml:space="preserve">Enterprise </w:t>
            </w:r>
            <w:r>
              <w:rPr>
                <w:sz w:val="20"/>
              </w:rPr>
              <w:t>s</w:t>
            </w:r>
            <w:r w:rsidRPr="00245066">
              <w:rPr>
                <w:sz w:val="20"/>
              </w:rPr>
              <w:t>ervers</w:t>
            </w:r>
          </w:p>
        </w:tc>
        <w:tc>
          <w:tcPr>
            <w:tcW w:w="4176" w:type="dxa"/>
            <w:tcBorders>
              <w:top w:val="none" w:sz="0" w:space="0" w:color="auto"/>
              <w:bottom w:val="none" w:sz="0" w:space="0" w:color="auto"/>
            </w:tcBorders>
            <w:shd w:val="clear" w:color="auto" w:fill="F2F2F2" w:themeFill="background1" w:themeFillShade="F2"/>
          </w:tcPr>
          <w:p w14:paraId="0D3D4827" w14:textId="77777777" w:rsidR="00D741D9" w:rsidRPr="00245066" w:rsidRDefault="00D741D9" w:rsidP="006527B2">
            <w:pPr>
              <w:cnfStyle w:val="000000100000" w:firstRow="0" w:lastRow="0" w:firstColumn="0" w:lastColumn="0" w:oddVBand="0" w:evenVBand="0" w:oddHBand="1" w:evenHBand="0" w:firstRowFirstColumn="0" w:firstRowLastColumn="0" w:lastRowFirstColumn="0" w:lastRowLastColumn="0"/>
              <w:rPr>
                <w:sz w:val="20"/>
              </w:rPr>
            </w:pPr>
            <w:r w:rsidRPr="00245066">
              <w:rPr>
                <w:sz w:val="20"/>
              </w:rPr>
              <w:t>Tier</w:t>
            </w:r>
            <w:r>
              <w:rPr>
                <w:sz w:val="20"/>
              </w:rPr>
              <w:t> 1</w:t>
            </w:r>
            <w:r w:rsidRPr="00245066">
              <w:rPr>
                <w:sz w:val="20"/>
              </w:rPr>
              <w:t xml:space="preserve"> (and above) </w:t>
            </w:r>
            <w:r>
              <w:rPr>
                <w:sz w:val="20"/>
              </w:rPr>
              <w:t>a</w:t>
            </w:r>
            <w:r w:rsidRPr="00245066">
              <w:rPr>
                <w:sz w:val="20"/>
              </w:rPr>
              <w:t xml:space="preserve">dministrative </w:t>
            </w:r>
            <w:r>
              <w:rPr>
                <w:sz w:val="20"/>
              </w:rPr>
              <w:t>a</w:t>
            </w:r>
            <w:r w:rsidRPr="00245066">
              <w:rPr>
                <w:sz w:val="20"/>
              </w:rPr>
              <w:t>ccounts</w:t>
            </w:r>
          </w:p>
        </w:tc>
      </w:tr>
      <w:tr w:rsidR="00D741D9" w:rsidRPr="009C25F8" w14:paraId="78EA593A" w14:textId="77777777" w:rsidTr="006527B2">
        <w:trPr>
          <w:jc w:val="center"/>
        </w:trPr>
        <w:tc>
          <w:tcPr>
            <w:cnfStyle w:val="001000000000" w:firstRow="0" w:lastRow="0" w:firstColumn="1" w:lastColumn="0" w:oddVBand="0" w:evenVBand="0" w:oddHBand="0" w:evenHBand="0" w:firstRowFirstColumn="0" w:firstRowLastColumn="0" w:lastRowFirstColumn="0" w:lastRowLastColumn="0"/>
            <w:tcW w:w="4640" w:type="dxa"/>
            <w:tcBorders>
              <w:right w:val="none" w:sz="0" w:space="0" w:color="auto"/>
            </w:tcBorders>
          </w:tcPr>
          <w:p w14:paraId="0F3F164B" w14:textId="77777777" w:rsidR="00D741D9" w:rsidRPr="00245066" w:rsidRDefault="00D741D9" w:rsidP="006527B2">
            <w:pPr>
              <w:rPr>
                <w:sz w:val="20"/>
              </w:rPr>
            </w:pPr>
            <w:r w:rsidRPr="00245066">
              <w:rPr>
                <w:sz w:val="20"/>
              </w:rPr>
              <w:t xml:space="preserve">Enterprise </w:t>
            </w:r>
            <w:r>
              <w:rPr>
                <w:sz w:val="20"/>
              </w:rPr>
              <w:t>w</w:t>
            </w:r>
            <w:r w:rsidRPr="00245066">
              <w:rPr>
                <w:sz w:val="20"/>
              </w:rPr>
              <w:t xml:space="preserve">orkstations and </w:t>
            </w:r>
            <w:r>
              <w:rPr>
                <w:sz w:val="20"/>
              </w:rPr>
              <w:t>u</w:t>
            </w:r>
            <w:r w:rsidRPr="00245066">
              <w:rPr>
                <w:sz w:val="20"/>
              </w:rPr>
              <w:t>sers</w:t>
            </w:r>
          </w:p>
        </w:tc>
        <w:tc>
          <w:tcPr>
            <w:tcW w:w="4176" w:type="dxa"/>
          </w:tcPr>
          <w:p w14:paraId="0247007C" w14:textId="77777777" w:rsidR="00D741D9" w:rsidRPr="00245066" w:rsidRDefault="00D741D9" w:rsidP="006527B2">
            <w:pPr>
              <w:cnfStyle w:val="000000000000" w:firstRow="0" w:lastRow="0" w:firstColumn="0" w:lastColumn="0" w:oddVBand="0" w:evenVBand="0" w:oddHBand="0" w:evenHBand="0" w:firstRowFirstColumn="0" w:firstRowLastColumn="0" w:lastRowFirstColumn="0" w:lastRowLastColumn="0"/>
              <w:rPr>
                <w:sz w:val="20"/>
              </w:rPr>
            </w:pPr>
            <w:r w:rsidRPr="00245066">
              <w:rPr>
                <w:sz w:val="20"/>
              </w:rPr>
              <w:t>Tier</w:t>
            </w:r>
            <w:r>
              <w:rPr>
                <w:sz w:val="20"/>
              </w:rPr>
              <w:t> 1</w:t>
            </w:r>
            <w:r w:rsidRPr="00245066">
              <w:rPr>
                <w:sz w:val="20"/>
              </w:rPr>
              <w:t xml:space="preserve"> (and above) </w:t>
            </w:r>
            <w:r>
              <w:rPr>
                <w:sz w:val="20"/>
              </w:rPr>
              <w:t>a</w:t>
            </w:r>
            <w:r w:rsidRPr="00245066">
              <w:rPr>
                <w:sz w:val="20"/>
              </w:rPr>
              <w:t xml:space="preserve">dministrative </w:t>
            </w:r>
            <w:r>
              <w:rPr>
                <w:sz w:val="20"/>
              </w:rPr>
              <w:t>a</w:t>
            </w:r>
            <w:r w:rsidRPr="00245066">
              <w:rPr>
                <w:sz w:val="20"/>
              </w:rPr>
              <w:t>ccounts</w:t>
            </w:r>
          </w:p>
        </w:tc>
      </w:tr>
    </w:tbl>
    <w:p w14:paraId="544CE490" w14:textId="77777777" w:rsidR="00F97B16" w:rsidRDefault="00F97B16" w:rsidP="00F97B16">
      <w:pPr>
        <w:rPr>
          <w:highlight w:val="yellow"/>
        </w:rPr>
      </w:pPr>
    </w:p>
    <w:p w14:paraId="41C385DF" w14:textId="77777777" w:rsidR="00D741D9" w:rsidRPr="0090686A" w:rsidRDefault="00D741D9" w:rsidP="00D741D9">
      <w:pPr>
        <w:pStyle w:val="Note"/>
      </w:pPr>
      <w:r w:rsidRPr="009C25F8">
        <w:rPr>
          <w:b/>
        </w:rPr>
        <w:t xml:space="preserve">Note: </w:t>
      </w:r>
      <w:r>
        <w:t>T</w:t>
      </w:r>
      <w:r w:rsidRPr="0090686A">
        <w:t>he Tier model can allow greater GPO control by Tier</w:t>
      </w:r>
      <w:r>
        <w:t> 1</w:t>
      </w:r>
      <w:r w:rsidRPr="0090686A">
        <w:t xml:space="preserve"> and</w:t>
      </w:r>
      <w:r>
        <w:t> 2</w:t>
      </w:r>
      <w:r w:rsidRPr="0090686A">
        <w:t xml:space="preserve"> administrators, but</w:t>
      </w:r>
      <w:r>
        <w:t xml:space="preserve"> in our example,</w:t>
      </w:r>
      <w:r w:rsidRPr="0090686A">
        <w:t xml:space="preserve"> </w:t>
      </w:r>
      <w:r>
        <w:t xml:space="preserve">CONTOSO has </w:t>
      </w:r>
      <w:r w:rsidRPr="0090686A">
        <w:t xml:space="preserve">chosen to centralize </w:t>
      </w:r>
      <w:r>
        <w:t xml:space="preserve">the </w:t>
      </w:r>
      <w:r w:rsidRPr="0090686A">
        <w:t xml:space="preserve">management of administrative workstations and </w:t>
      </w:r>
      <w:r>
        <w:t>e</w:t>
      </w:r>
      <w:r w:rsidRPr="0090686A">
        <w:t>nterprise workstation</w:t>
      </w:r>
      <w:r>
        <w:t>s</w:t>
      </w:r>
      <w:r w:rsidRPr="0090686A">
        <w:t xml:space="preserve">. </w:t>
      </w:r>
    </w:p>
    <w:p w14:paraId="04F386B8" w14:textId="77777777" w:rsidR="00D741D9" w:rsidRPr="00246E51" w:rsidRDefault="00D741D9" w:rsidP="00D741D9">
      <w:pPr>
        <w:pStyle w:val="Heading4"/>
        <w:rPr>
          <w:rFonts w:ascii="Segoe UI" w:hAnsi="Segoe UI" w:cs="Segoe UI"/>
          <w:b/>
          <w:i w:val="0"/>
          <w:color w:val="000000" w:themeColor="text1"/>
          <w:sz w:val="22"/>
        </w:rPr>
      </w:pPr>
      <w:r w:rsidRPr="00246E51">
        <w:rPr>
          <w:rFonts w:ascii="Segoe UI" w:hAnsi="Segoe UI" w:cs="Segoe UI"/>
          <w:b/>
          <w:i w:val="0"/>
          <w:color w:val="000000" w:themeColor="text1"/>
          <w:sz w:val="22"/>
        </w:rPr>
        <w:t>Startup and Logon Script Quality Control and Change Management</w:t>
      </w:r>
    </w:p>
    <w:p w14:paraId="0D83F7FF" w14:textId="77777777" w:rsidR="00D741D9" w:rsidRPr="0090686A" w:rsidRDefault="00D741D9" w:rsidP="00D741D9">
      <w:r w:rsidRPr="0090686A">
        <w:t>Startup and logon scripts provide the ability to automatically run arbitrary code and scripts on many hosts. All script content should be carefully reviewed and managed</w:t>
      </w:r>
      <w:r>
        <w:t>.</w:t>
      </w:r>
    </w:p>
    <w:p w14:paraId="1ACD9920" w14:textId="77777777" w:rsidR="00D741D9" w:rsidRDefault="00D741D9" w:rsidP="005729D2">
      <w:pPr>
        <w:pStyle w:val="ListParagraph"/>
        <w:numPr>
          <w:ilvl w:val="0"/>
          <w:numId w:val="201"/>
        </w:numPr>
        <w:spacing w:before="0" w:after="160" w:line="259" w:lineRule="auto"/>
      </w:pPr>
      <w:r w:rsidRPr="0090686A">
        <w:t xml:space="preserve">All </w:t>
      </w:r>
      <w:r>
        <w:t>s</w:t>
      </w:r>
      <w:r w:rsidRPr="0090686A">
        <w:t xml:space="preserve">tartup and </w:t>
      </w:r>
      <w:r>
        <w:t>l</w:t>
      </w:r>
      <w:r w:rsidRPr="0090686A">
        <w:t>ogon scripts should</w:t>
      </w:r>
      <w:r>
        <w:t xml:space="preserve"> be reviewed for security risks including the ability of unauthorized accounts to modify:</w:t>
      </w:r>
    </w:p>
    <w:p w14:paraId="5C782FE6" w14:textId="77777777" w:rsidR="00D741D9" w:rsidRDefault="00D741D9" w:rsidP="005729D2">
      <w:pPr>
        <w:pStyle w:val="ListParagraph"/>
        <w:numPr>
          <w:ilvl w:val="1"/>
          <w:numId w:val="201"/>
        </w:numPr>
        <w:spacing w:before="0" w:after="160" w:line="259" w:lineRule="auto"/>
      </w:pPr>
      <w:r>
        <w:t>Script content.</w:t>
      </w:r>
    </w:p>
    <w:p w14:paraId="09D26B24" w14:textId="77777777" w:rsidR="00D741D9" w:rsidRDefault="00D741D9" w:rsidP="005729D2">
      <w:pPr>
        <w:pStyle w:val="ListParagraph"/>
        <w:numPr>
          <w:ilvl w:val="1"/>
          <w:numId w:val="201"/>
        </w:numPr>
        <w:spacing w:before="0" w:after="160" w:line="259" w:lineRule="auto"/>
      </w:pPr>
      <w:r>
        <w:t>Files called or used by a script.</w:t>
      </w:r>
    </w:p>
    <w:p w14:paraId="6864FCB9" w14:textId="77777777" w:rsidR="00D741D9" w:rsidRDefault="00D741D9" w:rsidP="005729D2">
      <w:pPr>
        <w:pStyle w:val="ListParagraph"/>
        <w:numPr>
          <w:ilvl w:val="0"/>
          <w:numId w:val="201"/>
        </w:numPr>
        <w:spacing w:before="0" w:after="160" w:line="259" w:lineRule="auto"/>
      </w:pPr>
      <w:r>
        <w:t xml:space="preserve">Perform a threat modelling exercise to discover other types of risks. For more information, see </w:t>
      </w:r>
      <w:hyperlink r:id="rId685" w:history="1">
        <w:r w:rsidRPr="00720235">
          <w:rPr>
            <w:rStyle w:val="Hyperlink"/>
          </w:rPr>
          <w:t>SDL Threat Modeling Tool</w:t>
        </w:r>
      </w:hyperlink>
      <w:r>
        <w:t>.</w:t>
      </w:r>
    </w:p>
    <w:p w14:paraId="753BA2FE" w14:textId="05402B57" w:rsidR="00F97B16" w:rsidRPr="00CE65DD" w:rsidRDefault="00D741D9" w:rsidP="005729D2">
      <w:pPr>
        <w:pStyle w:val="ListParagraph"/>
        <w:numPr>
          <w:ilvl w:val="0"/>
          <w:numId w:val="201"/>
        </w:numPr>
        <w:spacing w:before="0" w:after="160" w:line="259" w:lineRule="auto"/>
      </w:pPr>
      <w:r>
        <w:t>All changes to the scripts should be submitted to the change approval board.</w:t>
      </w:r>
    </w:p>
    <w:p w14:paraId="0BE8D26D" w14:textId="77777777" w:rsidR="00F97B16" w:rsidRPr="005D6B66" w:rsidRDefault="00F97B16" w:rsidP="005729D2">
      <w:pPr>
        <w:pStyle w:val="Heading3Numbered"/>
        <w:numPr>
          <w:ilvl w:val="2"/>
          <w:numId w:val="64"/>
        </w:numPr>
      </w:pPr>
      <w:bookmarkStart w:id="7962" w:name="_Toc423091766"/>
      <w:bookmarkStart w:id="7963" w:name="_Toc423464075"/>
      <w:bookmarkStart w:id="7964" w:name="_Toc423464748"/>
      <w:bookmarkStart w:id="7965" w:name="_Toc431288992"/>
      <w:r w:rsidRPr="005D6B66">
        <w:t>Service Accounts</w:t>
      </w:r>
      <w:bookmarkEnd w:id="7962"/>
      <w:bookmarkEnd w:id="7963"/>
      <w:bookmarkEnd w:id="7964"/>
      <w:bookmarkEnd w:id="7965"/>
    </w:p>
    <w:p w14:paraId="3C9FD000" w14:textId="7DA4F5C4" w:rsidR="00B13C59" w:rsidRDefault="00F97B16" w:rsidP="00B13C59">
      <w:r w:rsidRPr="00062D67">
        <w:rPr>
          <w:lang w:val="en"/>
        </w:rPr>
        <w:t>A</w:t>
      </w:r>
      <w:r w:rsidR="00B13C59" w:rsidRPr="00062D67">
        <w:rPr>
          <w:lang w:val="en"/>
        </w:rPr>
        <w:t xml:space="preserve"> service account is create</w:t>
      </w:r>
      <w:r w:rsidR="00B13C59">
        <w:rPr>
          <w:lang w:val="en"/>
        </w:rPr>
        <w:t>d</w:t>
      </w:r>
      <w:r w:rsidR="00B13C59" w:rsidRPr="00062D67">
        <w:rPr>
          <w:lang w:val="en"/>
        </w:rPr>
        <w:t xml:space="preserve"> for the use of an application or service, rather than </w:t>
      </w:r>
      <w:r w:rsidR="00B13C59">
        <w:rPr>
          <w:lang w:val="en"/>
        </w:rPr>
        <w:t xml:space="preserve">for </w:t>
      </w:r>
      <w:r w:rsidR="00B13C59" w:rsidRPr="00062D67">
        <w:rPr>
          <w:lang w:val="en"/>
        </w:rPr>
        <w:t>a specific person. Service accounts are frequently targeted by attackers</w:t>
      </w:r>
      <w:r w:rsidR="00B13C59">
        <w:rPr>
          <w:lang w:val="en"/>
        </w:rPr>
        <w:t>,</w:t>
      </w:r>
      <w:r w:rsidR="00B13C59" w:rsidRPr="00062D67">
        <w:rPr>
          <w:lang w:val="en"/>
        </w:rPr>
        <w:t xml:space="preserve"> and </w:t>
      </w:r>
      <w:r w:rsidR="00B13C59">
        <w:rPr>
          <w:lang w:val="en"/>
        </w:rPr>
        <w:t xml:space="preserve">they </w:t>
      </w:r>
      <w:r w:rsidR="00B13C59" w:rsidRPr="00062D67">
        <w:rPr>
          <w:lang w:val="en"/>
        </w:rPr>
        <w:t xml:space="preserve">should meet specific security standards to limit and secure their use. </w:t>
      </w:r>
    </w:p>
    <w:p w14:paraId="59FB69B0" w14:textId="77777777" w:rsidR="00B13C59" w:rsidRPr="00CD3120" w:rsidRDefault="00B13C59" w:rsidP="00B13C59">
      <w:pPr>
        <w:pStyle w:val="Heading4"/>
        <w:rPr>
          <w:rFonts w:ascii="Segoe UI" w:hAnsi="Segoe UI" w:cs="Segoe UI"/>
          <w:b/>
          <w:i w:val="0"/>
          <w:color w:val="000000" w:themeColor="text1"/>
          <w:sz w:val="22"/>
        </w:rPr>
      </w:pPr>
      <w:bookmarkStart w:id="7966" w:name="_Toc421201771"/>
      <w:r w:rsidRPr="00CD3120">
        <w:rPr>
          <w:rFonts w:ascii="Segoe UI" w:hAnsi="Segoe UI" w:cs="Segoe UI"/>
          <w:b/>
          <w:i w:val="0"/>
          <w:color w:val="000000" w:themeColor="text1"/>
          <w:sz w:val="22"/>
        </w:rPr>
        <w:t xml:space="preserve">No Service Accounts Should Have Tier 0 Privileges </w:t>
      </w:r>
    </w:p>
    <w:bookmarkEnd w:id="7966"/>
    <w:p w14:paraId="1D126F0A" w14:textId="77777777" w:rsidR="00B13C59" w:rsidRPr="00061366" w:rsidRDefault="00B13C59" w:rsidP="00B13C59">
      <w:r w:rsidRPr="00061366">
        <w:t>Service accounts that are granted Tier</w:t>
      </w:r>
      <w:r>
        <w:t> 0</w:t>
      </w:r>
      <w:r w:rsidRPr="00061366">
        <w:t xml:space="preserve"> privileges introduce a significant amount of risk to the organization’s mission and business. No service account should be granted full Tier</w:t>
      </w:r>
      <w:r>
        <w:t> 0</w:t>
      </w:r>
      <w:r w:rsidRPr="00061366">
        <w:t xml:space="preserve"> privileges </w:t>
      </w:r>
      <w:r>
        <w:t xml:space="preserve">that </w:t>
      </w:r>
      <w:r w:rsidRPr="00061366">
        <w:t>us</w:t>
      </w:r>
      <w:r>
        <w:t>e</w:t>
      </w:r>
      <w:r w:rsidRPr="00061366">
        <w:t xml:space="preserve"> built</w:t>
      </w:r>
      <w:r>
        <w:t>-</w:t>
      </w:r>
      <w:r w:rsidRPr="00061366">
        <w:t>in groups</w:t>
      </w:r>
      <w:r>
        <w:t xml:space="preserve"> such as domain admins, enterprise admins, built-in administrators, account operators, or any other groups listed in </w:t>
      </w:r>
      <w:r w:rsidRPr="00CD3120">
        <w:t>Appendix C</w:t>
      </w:r>
      <w:r>
        <w:t>.</w:t>
      </w:r>
    </w:p>
    <w:p w14:paraId="673A8DE6" w14:textId="77777777" w:rsidR="00B13C59" w:rsidRDefault="00B13C59" w:rsidP="00B13C59">
      <w:r w:rsidRPr="00061366">
        <w:t>Any service account that is alleged to require Tier</w:t>
      </w:r>
      <w:r>
        <w:t> 0</w:t>
      </w:r>
      <w:r w:rsidRPr="00061366">
        <w:t xml:space="preserve"> privileges should </w:t>
      </w:r>
      <w:r>
        <w:t>use</w:t>
      </w:r>
      <w:r w:rsidRPr="00061366">
        <w:t xml:space="preserve"> one of the following approaches to support the functionality:</w:t>
      </w:r>
    </w:p>
    <w:p w14:paraId="4C62A465" w14:textId="77777777" w:rsidR="00B13C59" w:rsidRDefault="00B13C59" w:rsidP="005729D2">
      <w:pPr>
        <w:pStyle w:val="ListParagraph"/>
        <w:numPr>
          <w:ilvl w:val="0"/>
          <w:numId w:val="297"/>
        </w:numPr>
        <w:spacing w:before="0" w:after="160" w:line="259" w:lineRule="auto"/>
      </w:pPr>
      <w:r w:rsidRPr="00F01E13">
        <w:t xml:space="preserve">Service accounts </w:t>
      </w:r>
      <w:r>
        <w:t xml:space="preserve">that </w:t>
      </w:r>
      <w:r w:rsidRPr="00F01E13">
        <w:t>requir</w:t>
      </w:r>
      <w:r>
        <w:t>e</w:t>
      </w:r>
      <w:r w:rsidRPr="00F01E13">
        <w:t xml:space="preserve"> administrative access to all enterprise workstations or servers</w:t>
      </w:r>
      <w:r>
        <w:t xml:space="preserve"> should manage local administrative groups for the required scope by using:</w:t>
      </w:r>
    </w:p>
    <w:p w14:paraId="7F49897C" w14:textId="77777777" w:rsidR="00B13C59" w:rsidRPr="001D25EA" w:rsidRDefault="00B13C59" w:rsidP="005729D2">
      <w:pPr>
        <w:pStyle w:val="ListParagraph"/>
        <w:numPr>
          <w:ilvl w:val="0"/>
          <w:numId w:val="298"/>
        </w:numPr>
        <w:spacing w:before="0" w:after="160" w:line="259" w:lineRule="auto"/>
      </w:pPr>
      <w:r w:rsidRPr="001D25EA">
        <w:t xml:space="preserve">Group Policy </w:t>
      </w:r>
      <w:r>
        <w:t>p</w:t>
      </w:r>
      <w:r w:rsidRPr="001D25EA">
        <w:t>references</w:t>
      </w:r>
      <w:r>
        <w:t xml:space="preserve">. For more information, see </w:t>
      </w:r>
      <w:hyperlink r:id="rId686" w:history="1">
        <w:r>
          <w:rPr>
            <w:rStyle w:val="Hyperlink"/>
          </w:rPr>
          <w:t>Configure a Local Group Item</w:t>
        </w:r>
      </w:hyperlink>
      <w:r>
        <w:t>.</w:t>
      </w:r>
    </w:p>
    <w:p w14:paraId="432C4F3C" w14:textId="77777777" w:rsidR="00B13C59" w:rsidRDefault="00B13C59" w:rsidP="005729D2">
      <w:pPr>
        <w:pStyle w:val="ListParagraph"/>
        <w:numPr>
          <w:ilvl w:val="0"/>
          <w:numId w:val="298"/>
        </w:numPr>
        <w:spacing w:before="0" w:after="160" w:line="259" w:lineRule="auto"/>
      </w:pPr>
      <w:r w:rsidRPr="001D25EA">
        <w:t>Approved</w:t>
      </w:r>
      <w:r>
        <w:t> third-party tools.</w:t>
      </w:r>
      <w:r>
        <w:br/>
      </w:r>
    </w:p>
    <w:p w14:paraId="15E88DF0" w14:textId="77777777" w:rsidR="00B13C59" w:rsidRDefault="00B13C59" w:rsidP="005729D2">
      <w:pPr>
        <w:pStyle w:val="ListParagraph"/>
        <w:numPr>
          <w:ilvl w:val="0"/>
          <w:numId w:val="297"/>
        </w:numPr>
        <w:spacing w:before="0" w:after="160" w:line="259" w:lineRule="auto"/>
      </w:pPr>
      <w:r w:rsidRPr="00F01E13">
        <w:t xml:space="preserve">Service accounts </w:t>
      </w:r>
      <w:r>
        <w:t xml:space="preserve">that </w:t>
      </w:r>
      <w:r w:rsidRPr="00F01E13">
        <w:t>manag</w:t>
      </w:r>
      <w:r>
        <w:t>e</w:t>
      </w:r>
      <w:r w:rsidRPr="00F01E13">
        <w:t xml:space="preserve"> all non-administrative user or computer accounts in the domain</w:t>
      </w:r>
      <w:r>
        <w:t xml:space="preserve"> should delegate </w:t>
      </w:r>
      <w:r w:rsidRPr="00575A46">
        <w:t>permission</w:t>
      </w:r>
      <w:r>
        <w:t>s</w:t>
      </w:r>
      <w:r w:rsidRPr="00575A46">
        <w:t xml:space="preserve"> to manage the OUs </w:t>
      </w:r>
      <w:r>
        <w:t xml:space="preserve">that contain the target objects. </w:t>
      </w:r>
    </w:p>
    <w:p w14:paraId="1599DB33" w14:textId="09839F4E" w:rsidR="00B13C59" w:rsidRDefault="00B13C59" w:rsidP="00B13C59">
      <w:r w:rsidRPr="00F27BAB">
        <w:t xml:space="preserve">For more detailed instructions and options for granting the correct level of </w:t>
      </w:r>
      <w:r>
        <w:t>permissions</w:t>
      </w:r>
      <w:r w:rsidRPr="00F27BAB">
        <w:t xml:space="preserve"> to a service </w:t>
      </w:r>
      <w:r w:rsidRPr="0033450A">
        <w:t xml:space="preserve">account, see </w:t>
      </w:r>
      <w:r w:rsidRPr="0003499D">
        <w:t>Appendix D: Removing service accounts from Tier 0</w:t>
      </w:r>
      <w:r>
        <w:rPr>
          <w:rStyle w:val="Hyperlink"/>
        </w:rPr>
        <w:t>.</w:t>
      </w:r>
    </w:p>
    <w:p w14:paraId="4A7AF10B" w14:textId="77777777" w:rsidR="00B13C59" w:rsidRDefault="00B13C59" w:rsidP="00B13C59">
      <w:r>
        <w:t xml:space="preserve">Any exceptions to these standards must: </w:t>
      </w:r>
    </w:p>
    <w:p w14:paraId="697E11B4" w14:textId="77777777" w:rsidR="00B13C59" w:rsidRPr="00F27BAB" w:rsidRDefault="00B13C59" w:rsidP="005729D2">
      <w:pPr>
        <w:pStyle w:val="ListParagraph"/>
        <w:numPr>
          <w:ilvl w:val="0"/>
          <w:numId w:val="299"/>
        </w:numPr>
        <w:spacing w:before="0" w:after="160" w:line="259" w:lineRule="auto"/>
      </w:pPr>
      <w:r w:rsidRPr="00F27BAB">
        <w:t xml:space="preserve">Be submitted to the </w:t>
      </w:r>
      <w:r>
        <w:t>change approval board</w:t>
      </w:r>
      <w:r w:rsidRPr="00F27BAB">
        <w:t xml:space="preserve"> by a </w:t>
      </w:r>
      <w:r>
        <w:t>business unit</w:t>
      </w:r>
      <w:r w:rsidRPr="00F27BAB">
        <w:t xml:space="preserve"> director</w:t>
      </w:r>
      <w:r>
        <w:t>.</w:t>
      </w:r>
    </w:p>
    <w:p w14:paraId="247A1703" w14:textId="77777777" w:rsidR="00B13C59" w:rsidRPr="00F27BAB" w:rsidRDefault="00B13C59" w:rsidP="005729D2">
      <w:pPr>
        <w:pStyle w:val="ListParagraph"/>
        <w:numPr>
          <w:ilvl w:val="0"/>
          <w:numId w:val="299"/>
        </w:numPr>
        <w:spacing w:before="0" w:after="160" w:line="259" w:lineRule="auto"/>
      </w:pPr>
      <w:r w:rsidRPr="00F27BAB">
        <w:t>Be temporary</w:t>
      </w:r>
      <w:r>
        <w:t>,</w:t>
      </w:r>
      <w:r w:rsidRPr="00F27BAB">
        <w:t xml:space="preserve"> and approvals and renewals will expire within</w:t>
      </w:r>
      <w:r>
        <w:t> 3</w:t>
      </w:r>
      <w:r w:rsidRPr="00F27BAB">
        <w:t>0 days</w:t>
      </w:r>
      <w:r>
        <w:t>.</w:t>
      </w:r>
    </w:p>
    <w:p w14:paraId="7AD181C9" w14:textId="77777777" w:rsidR="00B13C59" w:rsidRPr="00F27BAB" w:rsidRDefault="00B13C59" w:rsidP="005729D2">
      <w:pPr>
        <w:pStyle w:val="ListParagraph"/>
        <w:numPr>
          <w:ilvl w:val="0"/>
          <w:numId w:val="299"/>
        </w:numPr>
        <w:spacing w:before="0" w:after="160" w:line="259" w:lineRule="auto"/>
      </w:pPr>
      <w:r w:rsidRPr="00F27BAB">
        <w:t xml:space="preserve">Include a Plan of Actions and Milestones (POAM) for meeting the standards </w:t>
      </w:r>
      <w:r>
        <w:t>within 60 days.</w:t>
      </w:r>
    </w:p>
    <w:p w14:paraId="526D08F5" w14:textId="77777777" w:rsidR="00B13C59" w:rsidRPr="00F27BAB" w:rsidRDefault="00B13C59" w:rsidP="005729D2">
      <w:pPr>
        <w:pStyle w:val="ListParagraph"/>
        <w:numPr>
          <w:ilvl w:val="0"/>
          <w:numId w:val="299"/>
        </w:numPr>
        <w:spacing w:before="0" w:after="160" w:line="259" w:lineRule="auto"/>
      </w:pPr>
      <w:r>
        <w:t>Include specific t</w:t>
      </w:r>
      <w:r w:rsidRPr="00F27BAB">
        <w:t>echnical requirements and why alternatives are not feasible</w:t>
      </w:r>
      <w:r>
        <w:t>, including:</w:t>
      </w:r>
    </w:p>
    <w:p w14:paraId="3BFD9278" w14:textId="77777777" w:rsidR="00B13C59" w:rsidRPr="00F27BAB" w:rsidRDefault="00B13C59" w:rsidP="005729D2">
      <w:pPr>
        <w:pStyle w:val="ListParagraph"/>
        <w:numPr>
          <w:ilvl w:val="1"/>
          <w:numId w:val="300"/>
        </w:numPr>
        <w:spacing w:before="0" w:after="160" w:line="259" w:lineRule="auto"/>
      </w:pPr>
      <w:r>
        <w:t>Permissions</w:t>
      </w:r>
      <w:r w:rsidRPr="00F27BAB">
        <w:t xml:space="preserve"> to only a subset of </w:t>
      </w:r>
      <w:r>
        <w:t>A</w:t>
      </w:r>
      <w:r w:rsidRPr="00F27BAB">
        <w:t xml:space="preserve">ctive </w:t>
      </w:r>
      <w:r>
        <w:t>D</w:t>
      </w:r>
      <w:r w:rsidRPr="00F27BAB">
        <w:t>irectory objects (typically identity management solutions)</w:t>
      </w:r>
      <w:r>
        <w:t>.</w:t>
      </w:r>
      <w:r w:rsidRPr="00F27BAB">
        <w:t xml:space="preserve"> </w:t>
      </w:r>
    </w:p>
    <w:p w14:paraId="09E8DBEA" w14:textId="08FCEC29" w:rsidR="00B13C59" w:rsidRDefault="00B13C59" w:rsidP="005729D2">
      <w:pPr>
        <w:pStyle w:val="ListParagraph"/>
        <w:numPr>
          <w:ilvl w:val="1"/>
          <w:numId w:val="300"/>
        </w:numPr>
        <w:spacing w:before="0" w:after="160" w:line="259" w:lineRule="auto"/>
      </w:pPr>
      <w:r w:rsidRPr="00F27BAB">
        <w:t xml:space="preserve">Membership </w:t>
      </w:r>
      <w:r>
        <w:t>for</w:t>
      </w:r>
      <w:r w:rsidRPr="00F27BAB">
        <w:t xml:space="preserve"> local administrator on Tier</w:t>
      </w:r>
      <w:r>
        <w:t> 1</w:t>
      </w:r>
      <w:r w:rsidRPr="00F27BAB">
        <w:t xml:space="preserve"> or Tier</w:t>
      </w:r>
      <w:r>
        <w:t> 2</w:t>
      </w:r>
      <w:r w:rsidRPr="00F27BAB">
        <w:t xml:space="preserve"> hosts (typically management tools). </w:t>
      </w:r>
    </w:p>
    <w:p w14:paraId="4712DA04" w14:textId="7662C31A" w:rsidR="00F97B16" w:rsidRPr="00F27BAB" w:rsidRDefault="00B13C59" w:rsidP="005729D2">
      <w:pPr>
        <w:pStyle w:val="ListParagraph"/>
        <w:numPr>
          <w:ilvl w:val="0"/>
          <w:numId w:val="300"/>
        </w:numPr>
        <w:spacing w:before="0" w:after="160" w:line="259" w:lineRule="auto"/>
      </w:pPr>
      <w:r w:rsidRPr="00F27BAB">
        <w:t xml:space="preserve">Include </w:t>
      </w:r>
      <w:r>
        <w:t xml:space="preserve">documented </w:t>
      </w:r>
      <w:r w:rsidRPr="00F27BAB">
        <w:t xml:space="preserve">risk mitigations for how </w:t>
      </w:r>
      <w:r>
        <w:t xml:space="preserve">the </w:t>
      </w:r>
      <w:r w:rsidRPr="00F27BAB">
        <w:t>account will be managed</w:t>
      </w:r>
      <w:r>
        <w:t>.</w:t>
      </w:r>
    </w:p>
    <w:p w14:paraId="4791D04C" w14:textId="77777777" w:rsidR="00BD2FF0" w:rsidRPr="00E545AF" w:rsidRDefault="00BD2FF0" w:rsidP="00BD2FF0">
      <w:pPr>
        <w:pStyle w:val="Heading4"/>
        <w:rPr>
          <w:rFonts w:ascii="Segoe UI" w:hAnsi="Segoe UI" w:cs="Segoe UI"/>
          <w:b/>
          <w:i w:val="0"/>
          <w:color w:val="000000" w:themeColor="text1"/>
          <w:sz w:val="22"/>
        </w:rPr>
      </w:pPr>
      <w:bookmarkStart w:id="7967" w:name="_Toc421201772"/>
      <w:r w:rsidRPr="00E545AF">
        <w:rPr>
          <w:rFonts w:ascii="Segoe UI" w:hAnsi="Segoe UI" w:cs="Segoe UI"/>
          <w:b/>
          <w:i w:val="0"/>
          <w:color w:val="000000" w:themeColor="text1"/>
          <w:sz w:val="22"/>
        </w:rPr>
        <w:t xml:space="preserve">Service Accounts Tracked, Documented, and Reviewed </w:t>
      </w:r>
    </w:p>
    <w:p w14:paraId="3FF0C85B" w14:textId="77777777" w:rsidR="00BD2FF0" w:rsidRDefault="00BD2FF0" w:rsidP="00BD2FF0">
      <w:r>
        <w:t>To mitigate risk of unknown service accounts, all service accounts must be tracked, documented, and regularly reviewed for operational needs. Use a single tracking system for all service accounts to document:</w:t>
      </w:r>
    </w:p>
    <w:p w14:paraId="13430F3F" w14:textId="77777777" w:rsidR="00BD2FF0" w:rsidRDefault="00BD2FF0" w:rsidP="005729D2">
      <w:pPr>
        <w:pStyle w:val="ListParagraph"/>
        <w:numPr>
          <w:ilvl w:val="0"/>
          <w:numId w:val="208"/>
        </w:numPr>
        <w:spacing w:before="0" w:after="160" w:line="259" w:lineRule="auto"/>
      </w:pPr>
      <w:r>
        <w:t>Service account name</w:t>
      </w:r>
    </w:p>
    <w:p w14:paraId="0EACA29B" w14:textId="77777777" w:rsidR="00BD2FF0" w:rsidRDefault="00BD2FF0" w:rsidP="005729D2">
      <w:pPr>
        <w:pStyle w:val="ListParagraph"/>
        <w:numPr>
          <w:ilvl w:val="0"/>
          <w:numId w:val="208"/>
        </w:numPr>
        <w:spacing w:before="0" w:after="160" w:line="259" w:lineRule="auto"/>
      </w:pPr>
      <w:r>
        <w:t>Service account group used to assign any permissions</w:t>
      </w:r>
    </w:p>
    <w:p w14:paraId="0FE6C910" w14:textId="77777777" w:rsidR="00BD2FF0" w:rsidRDefault="00BD2FF0" w:rsidP="005729D2">
      <w:pPr>
        <w:pStyle w:val="ListParagraph"/>
        <w:numPr>
          <w:ilvl w:val="0"/>
          <w:numId w:val="208"/>
        </w:numPr>
        <w:spacing w:before="0" w:after="160" w:line="259" w:lineRule="auto"/>
      </w:pPr>
      <w:r>
        <w:t>Permissions assigned to service account group</w:t>
      </w:r>
    </w:p>
    <w:p w14:paraId="23BC197F" w14:textId="77777777" w:rsidR="00BD2FF0" w:rsidRDefault="00BD2FF0" w:rsidP="005729D2">
      <w:pPr>
        <w:pStyle w:val="ListParagraph"/>
        <w:numPr>
          <w:ilvl w:val="0"/>
          <w:numId w:val="208"/>
        </w:numPr>
        <w:spacing w:before="0" w:after="160" w:line="259" w:lineRule="auto"/>
      </w:pPr>
      <w:r>
        <w:t>Business purpose</w:t>
      </w:r>
    </w:p>
    <w:p w14:paraId="022AD6D6" w14:textId="77777777" w:rsidR="00BD2FF0" w:rsidRDefault="00BD2FF0" w:rsidP="005729D2">
      <w:pPr>
        <w:pStyle w:val="ListParagraph"/>
        <w:numPr>
          <w:ilvl w:val="0"/>
          <w:numId w:val="208"/>
        </w:numPr>
        <w:spacing w:before="0" w:after="160" w:line="259" w:lineRule="auto"/>
      </w:pPr>
      <w:r>
        <w:t>Business risk of service accounts</w:t>
      </w:r>
    </w:p>
    <w:p w14:paraId="40807DF9" w14:textId="77777777" w:rsidR="00BD2FF0" w:rsidRDefault="00BD2FF0" w:rsidP="005729D2">
      <w:pPr>
        <w:pStyle w:val="ListParagraph"/>
        <w:numPr>
          <w:ilvl w:val="0"/>
          <w:numId w:val="208"/>
        </w:numPr>
        <w:spacing w:before="0" w:after="160" w:line="259" w:lineRule="auto"/>
      </w:pPr>
      <w:r>
        <w:t>Technical alternates to use of service account</w:t>
      </w:r>
    </w:p>
    <w:p w14:paraId="1C6D9613" w14:textId="77777777" w:rsidR="00BD2FF0" w:rsidRDefault="00BD2FF0" w:rsidP="00BD2FF0">
      <w:r>
        <w:t xml:space="preserve">This information must be reported to the change approval board (including all changes). All service accounts should be reviewed by the change approval board at least annually. </w:t>
      </w:r>
    </w:p>
    <w:p w14:paraId="33230E80" w14:textId="77777777" w:rsidR="00BD2FF0" w:rsidRPr="00E545AF" w:rsidRDefault="00BD2FF0" w:rsidP="00BD2FF0">
      <w:pPr>
        <w:pStyle w:val="Heading4"/>
        <w:rPr>
          <w:rFonts w:ascii="Segoe UI" w:hAnsi="Segoe UI" w:cs="Segoe UI"/>
          <w:b/>
          <w:i w:val="0"/>
          <w:color w:val="000000" w:themeColor="text1"/>
          <w:sz w:val="22"/>
        </w:rPr>
      </w:pPr>
      <w:r w:rsidRPr="00E545AF">
        <w:rPr>
          <w:rFonts w:ascii="Segoe UI" w:hAnsi="Segoe UI" w:cs="Segoe UI"/>
          <w:b/>
          <w:i w:val="0"/>
          <w:color w:val="000000" w:themeColor="text1"/>
          <w:sz w:val="22"/>
        </w:rPr>
        <w:t>Service Account Passwords Complexity and Expiration</w:t>
      </w:r>
    </w:p>
    <w:p w14:paraId="62F015CC" w14:textId="77777777" w:rsidR="00BD2FF0" w:rsidRPr="0090686A" w:rsidRDefault="00BD2FF0" w:rsidP="00BD2FF0">
      <w:r w:rsidRPr="0090686A">
        <w:t xml:space="preserve">All service accounts should have passwords that meet the domain complexity requirements and length in the SCM tool. </w:t>
      </w:r>
    </w:p>
    <w:p w14:paraId="2F811006" w14:textId="77777777" w:rsidR="00BD2FF0" w:rsidRPr="0090686A" w:rsidRDefault="00BD2FF0" w:rsidP="00BD2FF0">
      <w:r w:rsidRPr="0090686A">
        <w:t>All service account passwords should be changed at least every</w:t>
      </w:r>
      <w:r>
        <w:t> 9</w:t>
      </w:r>
      <w:r w:rsidRPr="0090686A">
        <w:t xml:space="preserve">0 days if they are manually managed. </w:t>
      </w:r>
    </w:p>
    <w:p w14:paraId="055072A7" w14:textId="77777777" w:rsidR="00BD2FF0" w:rsidRDefault="00BD2FF0" w:rsidP="00BD2FF0">
      <w:r>
        <w:t>We recommend (but it is not required) that you acquire and implement a</w:t>
      </w:r>
      <w:r w:rsidRPr="0090686A">
        <w:t xml:space="preserve"> tool to generate random passwords </w:t>
      </w:r>
      <w:r>
        <w:t xml:space="preserve">for service accounts and </w:t>
      </w:r>
      <w:r w:rsidRPr="0090686A">
        <w:t>manage</w:t>
      </w:r>
      <w:r>
        <w:t xml:space="preserve"> the service account password lifecycle</w:t>
      </w:r>
      <w:r w:rsidRPr="0090686A">
        <w:t xml:space="preserve">. </w:t>
      </w:r>
    </w:p>
    <w:p w14:paraId="7A4B142E" w14:textId="77777777" w:rsidR="00BD2FF0" w:rsidRPr="00CC744F" w:rsidRDefault="00BD2FF0" w:rsidP="00BD2FF0">
      <w:r>
        <w:t xml:space="preserve">Never enable the attribute </w:t>
      </w:r>
      <w:r w:rsidRPr="004B40CD">
        <w:rPr>
          <w:b/>
        </w:rPr>
        <w:t>Password never expires</w:t>
      </w:r>
      <w:r>
        <w:t xml:space="preserve"> for a service account.</w:t>
      </w:r>
    </w:p>
    <w:p w14:paraId="2D522CA9" w14:textId="77777777" w:rsidR="00BD2FF0" w:rsidRPr="00035577" w:rsidRDefault="00BD2FF0" w:rsidP="00BD2FF0">
      <w:pPr>
        <w:pStyle w:val="Heading5"/>
        <w:rPr>
          <w:color w:val="auto"/>
        </w:rPr>
      </w:pPr>
      <w:r w:rsidRPr="00035577">
        <w:rPr>
          <w:color w:val="auto"/>
        </w:rPr>
        <w:t>Service account permissions assigned through groups</w:t>
      </w:r>
    </w:p>
    <w:p w14:paraId="4488244A" w14:textId="77777777" w:rsidR="00BD2FF0" w:rsidRPr="0053642E" w:rsidRDefault="00BD2FF0" w:rsidP="00BD2FF0">
      <w:r w:rsidRPr="0053642E">
        <w:t xml:space="preserve">All service accounts </w:t>
      </w:r>
      <w:r>
        <w:t>are</w:t>
      </w:r>
      <w:r w:rsidRPr="0053642E">
        <w:t xml:space="preserve"> assigned </w:t>
      </w:r>
      <w:r>
        <w:t>permissions via an Active Directory group. Don't assign permissions directly to a service account.</w:t>
      </w:r>
    </w:p>
    <w:p w14:paraId="35E4FD01" w14:textId="77777777" w:rsidR="00BD2FF0" w:rsidRPr="00CD3120" w:rsidRDefault="00BD2FF0" w:rsidP="00BD2FF0">
      <w:pPr>
        <w:pStyle w:val="Heading5"/>
        <w:rPr>
          <w:rFonts w:cs="Segoe UI"/>
          <w:b/>
          <w:color w:val="000000" w:themeColor="text1"/>
        </w:rPr>
      </w:pPr>
      <w:bookmarkStart w:id="7968" w:name="_Toc421201774"/>
      <w:r w:rsidRPr="00CD3120">
        <w:rPr>
          <w:rFonts w:cs="Segoe UI"/>
          <w:b/>
          <w:color w:val="000000" w:themeColor="text1"/>
        </w:rPr>
        <w:t>Service accounts restricted from delegation</w:t>
      </w:r>
      <w:bookmarkEnd w:id="7968"/>
      <w:r w:rsidRPr="00CD3120">
        <w:rPr>
          <w:rFonts w:cs="Segoe UI"/>
          <w:b/>
          <w:color w:val="000000" w:themeColor="text1"/>
        </w:rPr>
        <w:t xml:space="preserve"> </w:t>
      </w:r>
    </w:p>
    <w:p w14:paraId="2CCAEC33" w14:textId="77777777" w:rsidR="00BD2FF0" w:rsidRPr="00F27BAB" w:rsidRDefault="00BD2FF0" w:rsidP="00BD2FF0">
      <w:r>
        <w:t>Enable</w:t>
      </w:r>
      <w:r w:rsidRPr="00F27BAB">
        <w:t xml:space="preserve"> the attribute </w:t>
      </w:r>
      <w:r w:rsidRPr="004B40CD">
        <w:rPr>
          <w:b/>
          <w:lang w:val="en"/>
        </w:rPr>
        <w:t>Account is sensitive and cannot be delegated</w:t>
      </w:r>
      <w:r>
        <w:rPr>
          <w:lang w:val="en"/>
        </w:rPr>
        <w:t xml:space="preserve"> for all service accounts. For more information, see </w:t>
      </w:r>
      <w:hyperlink r:id="rId687" w:history="1">
        <w:r w:rsidRPr="00807F95">
          <w:rPr>
            <w:rStyle w:val="Hyperlink"/>
            <w:lang w:val="en"/>
          </w:rPr>
          <w:t>Security Focus: Analyzing "Account is sensitive and cannot be delegated" for Privileged Accounts</w:t>
        </w:r>
      </w:hyperlink>
      <w:r>
        <w:rPr>
          <w:lang w:val="en"/>
        </w:rPr>
        <w:t xml:space="preserve">.  </w:t>
      </w:r>
      <w:r w:rsidRPr="00F27BAB">
        <w:t xml:space="preserve">All exceptions must be approved by the </w:t>
      </w:r>
      <w:r>
        <w:t>change approval board.</w:t>
      </w:r>
    </w:p>
    <w:p w14:paraId="7FD43C63" w14:textId="77777777" w:rsidR="00BD2FF0" w:rsidRPr="00CD3120" w:rsidRDefault="00BD2FF0" w:rsidP="00BD2FF0">
      <w:pPr>
        <w:pStyle w:val="Heading5"/>
        <w:rPr>
          <w:rFonts w:cs="Segoe UI"/>
          <w:b/>
          <w:color w:val="000000" w:themeColor="text1"/>
        </w:rPr>
      </w:pPr>
      <w:bookmarkStart w:id="7969" w:name="_Toc421201773"/>
      <w:bookmarkEnd w:id="7967"/>
      <w:r w:rsidRPr="00CD3120">
        <w:rPr>
          <w:rFonts w:cs="Segoe UI"/>
          <w:b/>
          <w:color w:val="000000" w:themeColor="text1"/>
        </w:rPr>
        <w:t>Service accounts monitored for anomalous logon behavior</w:t>
      </w:r>
      <w:bookmarkEnd w:id="7969"/>
    </w:p>
    <w:p w14:paraId="63EC5C26" w14:textId="0C1D9655" w:rsidR="00F97B16" w:rsidRPr="00D75FC8" w:rsidRDefault="00BD2FF0" w:rsidP="00BD2FF0">
      <w:r w:rsidRPr="00D75FC8">
        <w:t xml:space="preserve">All </w:t>
      </w:r>
      <w:r>
        <w:t>s</w:t>
      </w:r>
      <w:r w:rsidRPr="00D75FC8">
        <w:t xml:space="preserve">ervice </w:t>
      </w:r>
      <w:r>
        <w:t>a</w:t>
      </w:r>
      <w:r w:rsidRPr="00D75FC8">
        <w:t xml:space="preserve">ccounts should be monitored for anomalous logon behavior. This </w:t>
      </w:r>
      <w:r>
        <w:t>can</w:t>
      </w:r>
      <w:r w:rsidRPr="00D75FC8">
        <w:t xml:space="preserve"> be accomplished by specifically documenting the expected logon patterns and manually identifying alerts for violations or by using tools that apply machine learning </w:t>
      </w:r>
      <w:r>
        <w:t>techniques for</w:t>
      </w:r>
      <w:r w:rsidRPr="00D75FC8">
        <w:t xml:space="preserve"> the environment. One such tool is </w:t>
      </w:r>
      <w:hyperlink r:id="rId688" w:history="1">
        <w:r w:rsidRPr="004B40CD">
          <w:rPr>
            <w:rStyle w:val="Hyperlink"/>
          </w:rPr>
          <w:t>Microsoft Advanced Threat Analytics</w:t>
        </w:r>
      </w:hyperlink>
      <w:r>
        <w:t>.</w:t>
      </w:r>
    </w:p>
    <w:p w14:paraId="4411386A" w14:textId="77777777" w:rsidR="00BD2FF0" w:rsidRPr="00CD3120" w:rsidRDefault="00BD2FF0" w:rsidP="00BD2FF0">
      <w:pPr>
        <w:pStyle w:val="Heading5"/>
        <w:rPr>
          <w:rFonts w:cs="Segoe UI"/>
          <w:b/>
          <w:color w:val="000000" w:themeColor="text1"/>
        </w:rPr>
      </w:pPr>
      <w:r w:rsidRPr="00CD3120">
        <w:rPr>
          <w:rFonts w:cs="Segoe UI"/>
          <w:b/>
          <w:color w:val="000000" w:themeColor="text1"/>
        </w:rPr>
        <w:t>Use Group Managed Service Accounts (gMSAs) instead of user accounts</w:t>
      </w:r>
    </w:p>
    <w:p w14:paraId="63AE2055" w14:textId="77777777" w:rsidR="00BD2FF0" w:rsidRDefault="00BD2FF0" w:rsidP="00BD2FF0">
      <w:pPr>
        <w:rPr>
          <w:rFonts w:eastAsia="Times New Roman"/>
        </w:rPr>
      </w:pPr>
      <w:r w:rsidRPr="007C2D64">
        <w:rPr>
          <w:rFonts w:eastAsia="Times New Roman"/>
        </w:rPr>
        <w:t>When supported</w:t>
      </w:r>
      <w:r>
        <w:rPr>
          <w:rFonts w:eastAsia="Times New Roman"/>
        </w:rPr>
        <w:t xml:space="preserve"> by the application</w:t>
      </w:r>
      <w:r w:rsidRPr="007C2D64">
        <w:rPr>
          <w:rFonts w:eastAsia="Times New Roman"/>
        </w:rPr>
        <w:t>, use Managed Service Accounts (MSAs) and Group Managed Service Accounts (gMSAs) instead of user accounts</w:t>
      </w:r>
      <w:r>
        <w:rPr>
          <w:rFonts w:eastAsia="Times New Roman"/>
        </w:rPr>
        <w:t xml:space="preserve">. </w:t>
      </w:r>
    </w:p>
    <w:p w14:paraId="2A1B5750" w14:textId="77777777" w:rsidR="00BD2FF0" w:rsidRPr="00C91F36" w:rsidRDefault="00BD2FF0" w:rsidP="00BD2FF0">
      <w:r w:rsidRPr="00C91F36">
        <w:t>Windows Server</w:t>
      </w:r>
      <w:r>
        <w:t> 2</w:t>
      </w:r>
      <w:r w:rsidRPr="00C91F36">
        <w:t xml:space="preserve">008 R2 introduced the concept of the managed service accounts, which are accounts that are tied to a specific computer and are automatically set up and maintained with a complex password </w:t>
      </w:r>
      <w:r>
        <w:t xml:space="preserve">that is </w:t>
      </w:r>
      <w:r w:rsidRPr="00C91F36">
        <w:t>updated every</w:t>
      </w:r>
      <w:r>
        <w:t> 3</w:t>
      </w:r>
      <w:r w:rsidRPr="00C91F36">
        <w:t xml:space="preserve">0 days by default. Managed service accounts are exempt from domain password policies and cannot be used to </w:t>
      </w:r>
      <w:r>
        <w:t>log on</w:t>
      </w:r>
      <w:r w:rsidRPr="00C91F36">
        <w:t xml:space="preserve"> interactively. </w:t>
      </w:r>
    </w:p>
    <w:p w14:paraId="75F16A42" w14:textId="77777777" w:rsidR="00BD2FF0" w:rsidRPr="00C91F36" w:rsidRDefault="00BD2FF0" w:rsidP="00BD2FF0">
      <w:r w:rsidRPr="00C91F36">
        <w:t>Use Managed Service Accounts whenever possible so that passwords for the accounts are set and managed automatically. This mitigation is appropriate for service accounts that run Windows services, but</w:t>
      </w:r>
      <w:r>
        <w:t xml:space="preserve"> it</w:t>
      </w:r>
      <w:r w:rsidRPr="00C91F36">
        <w:t xml:space="preserve"> is not applicable for accounts that applications use to perform tasks (which require the application to store the account password). </w:t>
      </w:r>
    </w:p>
    <w:p w14:paraId="498649C8" w14:textId="77777777" w:rsidR="00BD2FF0" w:rsidRPr="00C91F36" w:rsidRDefault="00BD2FF0" w:rsidP="00BD2FF0">
      <w:r w:rsidRPr="00C91F36">
        <w:t xml:space="preserve">Create and use Managed Service Accounts with the default Managed Service Account container. For more information, see </w:t>
      </w:r>
      <w:hyperlink r:id="rId689" w:history="1">
        <w:r w:rsidRPr="006B5734">
          <w:rPr>
            <w:rStyle w:val="Hyperlink"/>
          </w:rPr>
          <w:t>Managed Service Accounts</w:t>
        </w:r>
      </w:hyperlink>
      <w:r w:rsidRPr="00C91F36">
        <w:t xml:space="preserve"> (documentation for Windows</w:t>
      </w:r>
      <w:r>
        <w:t> 7</w:t>
      </w:r>
      <w:r w:rsidRPr="00C91F36">
        <w:t xml:space="preserve"> and Windows Server</w:t>
      </w:r>
      <w:r>
        <w:t> 2</w:t>
      </w:r>
      <w:r w:rsidRPr="00C91F36">
        <w:t xml:space="preserve">008 R2) or </w:t>
      </w:r>
      <w:hyperlink r:id="rId690" w:history="1">
        <w:r w:rsidRPr="006B5734">
          <w:rPr>
            <w:rStyle w:val="Hyperlink"/>
          </w:rPr>
          <w:t>Group Managed Service Accounts Overview</w:t>
        </w:r>
      </w:hyperlink>
      <w:r w:rsidRPr="00C91F36">
        <w:t>.</w:t>
      </w:r>
    </w:p>
    <w:p w14:paraId="3FC95566" w14:textId="77777777" w:rsidR="00BD2FF0" w:rsidRPr="00CD3120" w:rsidRDefault="00BD2FF0" w:rsidP="00BD2FF0">
      <w:pPr>
        <w:pStyle w:val="Heading5"/>
        <w:rPr>
          <w:rFonts w:cs="Segoe UI"/>
          <w:b/>
          <w:color w:val="000000" w:themeColor="text1"/>
        </w:rPr>
      </w:pPr>
      <w:r w:rsidRPr="00CD3120">
        <w:rPr>
          <w:rFonts w:cs="Segoe UI"/>
          <w:b/>
          <w:color w:val="000000" w:themeColor="text1"/>
        </w:rPr>
        <w:t>Service account logon restrictions</w:t>
      </w:r>
    </w:p>
    <w:p w14:paraId="29DDF86E" w14:textId="77777777" w:rsidR="00BD2FF0" w:rsidRDefault="00BD2FF0" w:rsidP="00BD2FF0">
      <w:r w:rsidRPr="000447E2">
        <w:t xml:space="preserve">To prevent adversary abuse </w:t>
      </w:r>
      <w:r>
        <w:t>i</w:t>
      </w:r>
      <w:r w:rsidRPr="000447E2">
        <w:t>f a service account i</w:t>
      </w:r>
      <w:r>
        <w:t>s</w:t>
      </w:r>
      <w:r w:rsidRPr="000447E2">
        <w:t xml:space="preserve"> compromised, services accounts should be restricted to only the authentication profile they require to perform authorized tasks</w:t>
      </w:r>
      <w:r>
        <w:t>.</w:t>
      </w:r>
      <w:r w:rsidRPr="000447E2">
        <w:t xml:space="preserve"> </w:t>
      </w:r>
      <w:r>
        <w:t xml:space="preserve">This includes </w:t>
      </w:r>
      <w:r w:rsidRPr="000447E2">
        <w:t xml:space="preserve">which hosts to access and what logon types </w:t>
      </w:r>
      <w:r>
        <w:t>to use</w:t>
      </w:r>
      <w:r w:rsidRPr="000447E2">
        <w:t>. This can be accomplished by managing logon user rights for enter</w:t>
      </w:r>
      <w:r>
        <w:t>prise hosts with a set of GPOs or the use of Authentication Policies and Silos. For more information, see:</w:t>
      </w:r>
    </w:p>
    <w:p w14:paraId="43906DA6" w14:textId="1F82C5C6" w:rsidR="00BD2FF0" w:rsidRDefault="00872E47" w:rsidP="005729D2">
      <w:pPr>
        <w:pStyle w:val="ListParagraph"/>
        <w:numPr>
          <w:ilvl w:val="0"/>
          <w:numId w:val="301"/>
        </w:numPr>
      </w:pPr>
      <w:hyperlink r:id="rId691" w:history="1">
        <w:r w:rsidR="00BD2FF0" w:rsidRPr="006B5734">
          <w:rPr>
            <w:rStyle w:val="Hyperlink"/>
          </w:rPr>
          <w:t>User Rights Assignment</w:t>
        </w:r>
      </w:hyperlink>
    </w:p>
    <w:p w14:paraId="4313F4DC" w14:textId="34870CF2" w:rsidR="00F97B16" w:rsidRPr="000447E2" w:rsidRDefault="00872E47" w:rsidP="005729D2">
      <w:pPr>
        <w:pStyle w:val="ListParagraph"/>
        <w:numPr>
          <w:ilvl w:val="0"/>
          <w:numId w:val="301"/>
        </w:numPr>
      </w:pPr>
      <w:hyperlink r:id="rId692" w:history="1">
        <w:r w:rsidR="00BD2FF0" w:rsidRPr="002B3548">
          <w:rPr>
            <w:rStyle w:val="Hyperlink"/>
          </w:rPr>
          <w:t>Authentication Policies and Authentication Silos—Restricting Domain Controller Access</w:t>
        </w:r>
      </w:hyperlink>
    </w:p>
    <w:p w14:paraId="6FA57143" w14:textId="2A39A6C0" w:rsidR="00F97B16" w:rsidRPr="0003625E" w:rsidRDefault="00F97B16" w:rsidP="005729D2">
      <w:pPr>
        <w:pStyle w:val="Heading3Numbered"/>
        <w:numPr>
          <w:ilvl w:val="2"/>
          <w:numId w:val="64"/>
        </w:numPr>
      </w:pPr>
      <w:bookmarkStart w:id="7970" w:name="_Toc423091767"/>
      <w:bookmarkStart w:id="7971" w:name="_Toc423464076"/>
      <w:bookmarkStart w:id="7972" w:name="_Toc423464749"/>
      <w:bookmarkStart w:id="7973" w:name="_Toc431288993"/>
      <w:r w:rsidRPr="0003625E">
        <w:t>Certification Authority data</w:t>
      </w:r>
      <w:bookmarkEnd w:id="7970"/>
      <w:bookmarkEnd w:id="7971"/>
      <w:bookmarkEnd w:id="7972"/>
      <w:bookmarkEnd w:id="7973"/>
    </w:p>
    <w:p w14:paraId="247C33B9" w14:textId="4219EFAD" w:rsidR="00BD2FF0" w:rsidRPr="00061366" w:rsidRDefault="00BD2FF0" w:rsidP="00BD2FF0">
      <w:r w:rsidRPr="0003625E">
        <w:t>Certification authorities</w:t>
      </w:r>
      <w:r>
        <w:t xml:space="preserve"> (CA)</w:t>
      </w:r>
      <w:r w:rsidRPr="0003625E">
        <w:t xml:space="preserve"> can issue </w:t>
      </w:r>
      <w:r>
        <w:t xml:space="preserve">PKI </w:t>
      </w:r>
      <w:r w:rsidRPr="0003625E">
        <w:t xml:space="preserve">certificates that </w:t>
      </w:r>
      <w:r>
        <w:t>can</w:t>
      </w:r>
      <w:r w:rsidRPr="0003625E">
        <w:t xml:space="preserve"> be </w:t>
      </w:r>
      <w:r>
        <w:t xml:space="preserve">trusted </w:t>
      </w:r>
      <w:r w:rsidRPr="0003625E">
        <w:t xml:space="preserve">to authenticate as any account. Any system administration of </w:t>
      </w:r>
      <w:r>
        <w:t xml:space="preserve">the </w:t>
      </w:r>
      <w:r w:rsidRPr="0003625E">
        <w:t>CAs or access to the private keys of the CAs in any form represents Tier</w:t>
      </w:r>
      <w:r>
        <w:t> 0</w:t>
      </w:r>
      <w:r w:rsidRPr="0003625E">
        <w:t xml:space="preserve"> access. All means of administrative control of these systems must be secured at or above the Tier</w:t>
      </w:r>
      <w:r>
        <w:t> 0</w:t>
      </w:r>
      <w:r w:rsidRPr="0003625E">
        <w:t xml:space="preserve"> </w:t>
      </w:r>
      <w:r w:rsidRPr="00061366">
        <w:t xml:space="preserve">standard. </w:t>
      </w:r>
    </w:p>
    <w:p w14:paraId="4BD8FFD2" w14:textId="77777777" w:rsidR="00BD2FF0" w:rsidRPr="00061366" w:rsidRDefault="00BD2FF0" w:rsidP="00BD2FF0">
      <w:r w:rsidRPr="00061366">
        <w:t xml:space="preserve">The </w:t>
      </w:r>
      <w:r>
        <w:t>change approval board</w:t>
      </w:r>
      <w:r w:rsidRPr="00061366">
        <w:t xml:space="preserve"> must approve any certificates to be trusted across the enterprise and any certificates to be published to the NTAuth store. </w:t>
      </w:r>
    </w:p>
    <w:p w14:paraId="5EDAFD4B" w14:textId="77777777" w:rsidR="00BD2FF0" w:rsidRPr="00061366" w:rsidRDefault="00BD2FF0" w:rsidP="00BD2FF0">
      <w:r w:rsidRPr="00061366">
        <w:t xml:space="preserve">These locations should be monitored for any unauthorized changes </w:t>
      </w:r>
      <w:r>
        <w:t>with available</w:t>
      </w:r>
      <w:r w:rsidRPr="00061366">
        <w:t xml:space="preserve"> tools. </w:t>
      </w:r>
    </w:p>
    <w:p w14:paraId="12341691" w14:textId="77777777" w:rsidR="00BD2FF0" w:rsidRPr="00E545AF" w:rsidRDefault="00BD2FF0" w:rsidP="00BD2FF0">
      <w:pPr>
        <w:pStyle w:val="Heading4"/>
        <w:rPr>
          <w:rFonts w:ascii="Segoe UI" w:hAnsi="Segoe UI" w:cs="Segoe UI"/>
          <w:b/>
          <w:i w:val="0"/>
          <w:color w:val="000000" w:themeColor="text1"/>
          <w:sz w:val="22"/>
        </w:rPr>
      </w:pPr>
      <w:r w:rsidRPr="00E545AF">
        <w:rPr>
          <w:rFonts w:ascii="Segoe UI" w:hAnsi="Segoe UI" w:cs="Segoe UI"/>
          <w:b/>
          <w:i w:val="0"/>
          <w:color w:val="000000" w:themeColor="text1"/>
          <w:sz w:val="22"/>
        </w:rPr>
        <w:t>GPO Trust</w:t>
      </w:r>
    </w:p>
    <w:p w14:paraId="735276DD" w14:textId="77777777" w:rsidR="00BD2FF0" w:rsidRDefault="00BD2FF0" w:rsidP="00BD2FF0">
      <w:r w:rsidRPr="00061366">
        <w:t xml:space="preserve">Group </w:t>
      </w:r>
      <w:r>
        <w:t>P</w:t>
      </w:r>
      <w:r w:rsidRPr="00061366">
        <w:t xml:space="preserve">olicy offers the ability to manage which certificates are trusted by workstations and servers in the domain. This trust can be granted at the operating system level for complete trust or for only certain purposes </w:t>
      </w:r>
      <w:r>
        <w:t xml:space="preserve">by </w:t>
      </w:r>
      <w:r w:rsidRPr="00061366">
        <w:t>using Certificate Trust Lists</w:t>
      </w:r>
      <w:r>
        <w:t>. For more information, see:</w:t>
      </w:r>
    </w:p>
    <w:p w14:paraId="3DA6F359" w14:textId="77777777" w:rsidR="00BD2FF0" w:rsidRDefault="00872E47" w:rsidP="005729D2">
      <w:pPr>
        <w:pStyle w:val="ListParagraph"/>
        <w:numPr>
          <w:ilvl w:val="0"/>
          <w:numId w:val="302"/>
        </w:numPr>
      </w:pPr>
      <w:hyperlink r:id="rId693" w:history="1">
        <w:r w:rsidR="00BD2FF0" w:rsidRPr="00AA7DDC">
          <w:rPr>
            <w:rStyle w:val="Hyperlink"/>
          </w:rPr>
          <w:t>Add a trusted root certification authority to a Group Policy Object</w:t>
        </w:r>
      </w:hyperlink>
    </w:p>
    <w:p w14:paraId="48D268EF" w14:textId="77777777" w:rsidR="00BD2FF0" w:rsidRPr="00061366" w:rsidRDefault="00872E47" w:rsidP="005729D2">
      <w:pPr>
        <w:pStyle w:val="ListParagraph"/>
        <w:numPr>
          <w:ilvl w:val="0"/>
          <w:numId w:val="302"/>
        </w:numPr>
      </w:pPr>
      <w:hyperlink r:id="rId694" w:history="1">
        <w:r w:rsidR="00BD2FF0" w:rsidRPr="00AA7DDC">
          <w:rPr>
            <w:rStyle w:val="Hyperlink"/>
          </w:rPr>
          <w:t>Create a certificate trust list for a Group Policy Object</w:t>
        </w:r>
      </w:hyperlink>
    </w:p>
    <w:p w14:paraId="4B107D3A" w14:textId="77777777" w:rsidR="00BD2FF0" w:rsidRPr="00061366" w:rsidRDefault="00BD2FF0" w:rsidP="00BD2FF0">
      <w:r w:rsidRPr="00061366">
        <w:t xml:space="preserve">All trust of certification authorities must be managed at the domain level. All changes to the default trust must be approved by the </w:t>
      </w:r>
      <w:r>
        <w:t>change approval board</w:t>
      </w:r>
      <w:r w:rsidRPr="00061366">
        <w:t xml:space="preserve">. </w:t>
      </w:r>
    </w:p>
    <w:p w14:paraId="52A10332" w14:textId="77777777" w:rsidR="00BD2FF0" w:rsidRPr="00E545AF" w:rsidRDefault="00BD2FF0" w:rsidP="00BD2FF0">
      <w:pPr>
        <w:pStyle w:val="Heading4"/>
        <w:rPr>
          <w:rFonts w:ascii="Segoe UI" w:hAnsi="Segoe UI" w:cs="Segoe UI"/>
          <w:b/>
          <w:i w:val="0"/>
          <w:color w:val="000000" w:themeColor="text1"/>
          <w:sz w:val="22"/>
        </w:rPr>
      </w:pPr>
      <w:r w:rsidRPr="00E545AF">
        <w:rPr>
          <w:rFonts w:ascii="Segoe UI" w:hAnsi="Segoe UI" w:cs="Segoe UI"/>
          <w:b/>
          <w:i w:val="0"/>
          <w:color w:val="000000" w:themeColor="text1"/>
          <w:sz w:val="22"/>
        </w:rPr>
        <w:t>Enterprise NTAuth Store</w:t>
      </w:r>
    </w:p>
    <w:p w14:paraId="1BE6AF3E" w14:textId="060468F0" w:rsidR="00F97B16" w:rsidRDefault="00BD2FF0" w:rsidP="00BD2FF0">
      <w:r w:rsidRPr="00061366">
        <w:t xml:space="preserve">Publishing a CA </w:t>
      </w:r>
      <w:r>
        <w:t>c</w:t>
      </w:r>
      <w:r w:rsidRPr="00061366">
        <w:t xml:space="preserve">ertificate to the NTAuth store grants a level of trust beyond normal certificate trust. Any certificate directly issued by a CA in the NTAuth store </w:t>
      </w:r>
      <w:r>
        <w:t>is</w:t>
      </w:r>
      <w:r w:rsidRPr="00061366">
        <w:t xml:space="preserve"> trusted to authenticate accounts in </w:t>
      </w:r>
      <w:r>
        <w:t>A</w:t>
      </w:r>
      <w:r w:rsidRPr="00061366">
        <w:t xml:space="preserve">ctive </w:t>
      </w:r>
      <w:r>
        <w:t>D</w:t>
      </w:r>
      <w:r w:rsidRPr="00061366">
        <w:t>irectory by putting the user</w:t>
      </w:r>
      <w:r>
        <w:t xml:space="preserve"> </w:t>
      </w:r>
      <w:r w:rsidRPr="00061366">
        <w:t>name in an attribute of that certificate. This is mostly commonly used for smart</w:t>
      </w:r>
      <w:r>
        <w:t xml:space="preserve"> </w:t>
      </w:r>
      <w:r w:rsidRPr="00061366">
        <w:t>card authentication.</w:t>
      </w:r>
      <w:r w:rsidR="00F97B16" w:rsidRPr="00061366">
        <w:t xml:space="preserve"> </w:t>
      </w:r>
    </w:p>
    <w:p w14:paraId="7BDD9006" w14:textId="77777777" w:rsidR="00F97B16" w:rsidRPr="00061366" w:rsidRDefault="00F97B16" w:rsidP="00F97B16"/>
    <w:p w14:paraId="7DEB205A" w14:textId="77777777" w:rsidR="00F97B16" w:rsidRPr="00E85E5F" w:rsidRDefault="00F97B16" w:rsidP="005729D2">
      <w:pPr>
        <w:pStyle w:val="Heading3Numbered"/>
        <w:numPr>
          <w:ilvl w:val="2"/>
          <w:numId w:val="64"/>
        </w:numPr>
      </w:pPr>
      <w:bookmarkStart w:id="7974" w:name="_Toc421201788"/>
      <w:bookmarkStart w:id="7975" w:name="_Toc423091768"/>
      <w:bookmarkStart w:id="7976" w:name="_Toc423464077"/>
      <w:bookmarkStart w:id="7977" w:name="_Toc423464750"/>
      <w:bookmarkStart w:id="7978" w:name="_Toc431288994"/>
      <w:r w:rsidRPr="00E85E5F">
        <w:t>Operational Standards</w:t>
      </w:r>
      <w:bookmarkEnd w:id="7974"/>
      <w:bookmarkEnd w:id="7975"/>
      <w:bookmarkEnd w:id="7976"/>
      <w:bookmarkEnd w:id="7977"/>
      <w:bookmarkEnd w:id="7978"/>
    </w:p>
    <w:p w14:paraId="146291B1" w14:textId="4D1CFEF5" w:rsidR="006527B2" w:rsidRPr="006A0743" w:rsidRDefault="00F97B16" w:rsidP="006527B2">
      <w:r w:rsidRPr="006A0743">
        <w:t>Operational</w:t>
      </w:r>
      <w:r w:rsidR="006527B2" w:rsidRPr="006A0743">
        <w:t xml:space="preserve"> decisions that are made on a regular basis are critical to maintaining the security posture of the environment. These standards for processes and practices help ensure that an operational </w:t>
      </w:r>
      <w:r w:rsidR="006527B2">
        <w:t>error</w:t>
      </w:r>
      <w:r w:rsidR="006527B2" w:rsidRPr="006A0743">
        <w:t xml:space="preserve"> does not lead to a</w:t>
      </w:r>
      <w:r w:rsidR="006527B2">
        <w:t xml:space="preserve">n exploitable operational </w:t>
      </w:r>
      <w:r w:rsidR="006527B2" w:rsidRPr="006A0743">
        <w:t xml:space="preserve">vulnerability </w:t>
      </w:r>
      <w:r w:rsidR="006527B2">
        <w:t xml:space="preserve">in </w:t>
      </w:r>
      <w:r w:rsidR="006527B2" w:rsidRPr="006A0743">
        <w:t xml:space="preserve">the environment. </w:t>
      </w:r>
    </w:p>
    <w:p w14:paraId="247BEECC" w14:textId="77777777" w:rsidR="006527B2" w:rsidRPr="00E545AF" w:rsidRDefault="006527B2" w:rsidP="006527B2">
      <w:pPr>
        <w:pStyle w:val="Heading4"/>
        <w:rPr>
          <w:rFonts w:ascii="Segoe UI" w:hAnsi="Segoe UI" w:cs="Segoe UI"/>
          <w:b/>
          <w:i w:val="0"/>
          <w:color w:val="000000" w:themeColor="text1"/>
          <w:sz w:val="22"/>
        </w:rPr>
      </w:pPr>
      <w:bookmarkStart w:id="7979" w:name="_Toc423091769"/>
      <w:r w:rsidRPr="00E545AF">
        <w:rPr>
          <w:rFonts w:ascii="Segoe UI" w:hAnsi="Segoe UI" w:cs="Segoe UI"/>
          <w:b/>
          <w:i w:val="0"/>
          <w:color w:val="000000" w:themeColor="text1"/>
          <w:sz w:val="22"/>
        </w:rPr>
        <w:t>Administrator Enablement and Accountability</w:t>
      </w:r>
      <w:bookmarkEnd w:id="7979"/>
    </w:p>
    <w:p w14:paraId="4184C421" w14:textId="77777777" w:rsidR="006527B2" w:rsidRPr="003C042E" w:rsidRDefault="006527B2" w:rsidP="006527B2">
      <w:r w:rsidRPr="003C042E">
        <w:t xml:space="preserve">Administrators must be informed, involved, trained, and accountable to operate the environment as securely as possible. </w:t>
      </w:r>
    </w:p>
    <w:p w14:paraId="1D64EC6C" w14:textId="77777777" w:rsidR="006527B2" w:rsidRPr="00E545AF" w:rsidRDefault="006527B2" w:rsidP="006527B2">
      <w:pPr>
        <w:pStyle w:val="Heading5"/>
        <w:rPr>
          <w:rFonts w:cs="Segoe UI"/>
          <w:b/>
          <w:color w:val="000000" w:themeColor="text1"/>
        </w:rPr>
      </w:pPr>
      <w:r w:rsidRPr="00E545AF">
        <w:rPr>
          <w:rFonts w:cs="Segoe UI"/>
          <w:b/>
          <w:color w:val="000000" w:themeColor="text1"/>
        </w:rPr>
        <w:t xml:space="preserve">Administrative Personnel Standards </w:t>
      </w:r>
    </w:p>
    <w:p w14:paraId="43CEBB2F" w14:textId="77777777" w:rsidR="006527B2" w:rsidRPr="00E36AA6" w:rsidRDefault="006527B2" w:rsidP="006527B2">
      <w:pPr>
        <w:rPr>
          <w:color w:val="212121"/>
        </w:rPr>
      </w:pPr>
      <w:r w:rsidRPr="00E36AA6">
        <w:rPr>
          <w:color w:val="212121"/>
        </w:rPr>
        <w:t xml:space="preserve">Assigned administrative personnel </w:t>
      </w:r>
      <w:r>
        <w:rPr>
          <w:color w:val="212121"/>
        </w:rPr>
        <w:t>must</w:t>
      </w:r>
      <w:r w:rsidRPr="00E36AA6">
        <w:rPr>
          <w:color w:val="212121"/>
        </w:rPr>
        <w:t xml:space="preserve"> be vetted to ensure they are trustworthy and have a need for administrative privileges:</w:t>
      </w:r>
    </w:p>
    <w:p w14:paraId="6CEFCCA5" w14:textId="77777777" w:rsidR="006527B2" w:rsidRPr="00E36AA6" w:rsidRDefault="006527B2" w:rsidP="005729D2">
      <w:pPr>
        <w:pStyle w:val="ListParagraph"/>
        <w:numPr>
          <w:ilvl w:val="0"/>
          <w:numId w:val="211"/>
        </w:numPr>
        <w:spacing w:after="200"/>
        <w:rPr>
          <w:rFonts w:cs="Segoe UI"/>
        </w:rPr>
      </w:pPr>
      <w:r>
        <w:rPr>
          <w:rFonts w:cs="Segoe UI"/>
        </w:rPr>
        <w:t>Perform b</w:t>
      </w:r>
      <w:r w:rsidRPr="00E36AA6">
        <w:rPr>
          <w:rFonts w:cs="Segoe UI"/>
        </w:rPr>
        <w:t xml:space="preserve">ackground checks on personnel prior to </w:t>
      </w:r>
      <w:r>
        <w:rPr>
          <w:rFonts w:cs="Segoe UI"/>
        </w:rPr>
        <w:t xml:space="preserve">assigning </w:t>
      </w:r>
      <w:r w:rsidRPr="00E36AA6">
        <w:rPr>
          <w:rFonts w:cs="Segoe UI"/>
        </w:rPr>
        <w:t>administrative privilege</w:t>
      </w:r>
      <w:r>
        <w:rPr>
          <w:rFonts w:cs="Segoe UI"/>
        </w:rPr>
        <w:t>s.</w:t>
      </w:r>
    </w:p>
    <w:p w14:paraId="468AB639" w14:textId="77777777" w:rsidR="006527B2" w:rsidRDefault="006527B2" w:rsidP="005729D2">
      <w:pPr>
        <w:pStyle w:val="ListParagraph"/>
        <w:numPr>
          <w:ilvl w:val="0"/>
          <w:numId w:val="211"/>
        </w:numPr>
        <w:spacing w:after="200"/>
        <w:rPr>
          <w:rFonts w:cs="Segoe UI"/>
        </w:rPr>
      </w:pPr>
      <w:r>
        <w:rPr>
          <w:rFonts w:cs="Segoe UI"/>
        </w:rPr>
        <w:t>Review a</w:t>
      </w:r>
      <w:r w:rsidRPr="00E36AA6">
        <w:rPr>
          <w:rFonts w:cs="Segoe UI"/>
        </w:rPr>
        <w:t>dministrative privileges each quarter to determine which personnel still have a legitimate business need for administrative access</w:t>
      </w:r>
      <w:r>
        <w:rPr>
          <w:rFonts w:cs="Segoe UI"/>
        </w:rPr>
        <w:t>.</w:t>
      </w:r>
    </w:p>
    <w:p w14:paraId="527D9248" w14:textId="77777777" w:rsidR="006527B2" w:rsidRPr="00E545AF" w:rsidRDefault="006527B2" w:rsidP="006527B2">
      <w:pPr>
        <w:pStyle w:val="Heading5"/>
        <w:rPr>
          <w:b/>
          <w:color w:val="000000" w:themeColor="text1"/>
        </w:rPr>
      </w:pPr>
      <w:r w:rsidRPr="00E545AF">
        <w:rPr>
          <w:b/>
          <w:color w:val="000000" w:themeColor="text1"/>
        </w:rPr>
        <w:t>Administrative Security Briefing and Accountability</w:t>
      </w:r>
    </w:p>
    <w:p w14:paraId="3661AB60" w14:textId="77777777" w:rsidR="006527B2" w:rsidRPr="006571C5" w:rsidRDefault="006527B2" w:rsidP="006527B2">
      <w:r w:rsidRPr="003C042E">
        <w:t xml:space="preserve">Administrators must be informed and accountable </w:t>
      </w:r>
      <w:r>
        <w:t>for</w:t>
      </w:r>
      <w:r w:rsidRPr="003C042E">
        <w:t xml:space="preserve"> the risks to the organization and their role in managing that risk.</w:t>
      </w:r>
      <w:r w:rsidRPr="006571C5">
        <w:t xml:space="preserve"> </w:t>
      </w:r>
    </w:p>
    <w:p w14:paraId="5BF845D5" w14:textId="77777777" w:rsidR="006527B2" w:rsidRPr="006571C5" w:rsidRDefault="006527B2" w:rsidP="006527B2">
      <w:r w:rsidRPr="006571C5">
        <w:t xml:space="preserve">Administrators should be trained </w:t>
      </w:r>
      <w:r>
        <w:t xml:space="preserve">yearly </w:t>
      </w:r>
      <w:r w:rsidRPr="006571C5">
        <w:t>on</w:t>
      </w:r>
      <w:r>
        <w:t>:</w:t>
      </w:r>
    </w:p>
    <w:p w14:paraId="5E9BF2EA" w14:textId="77777777" w:rsidR="006527B2" w:rsidRPr="006571C5" w:rsidRDefault="006527B2" w:rsidP="005729D2">
      <w:pPr>
        <w:pStyle w:val="ListParagraph"/>
        <w:numPr>
          <w:ilvl w:val="0"/>
          <w:numId w:val="212"/>
        </w:numPr>
      </w:pPr>
      <w:r w:rsidRPr="006571C5">
        <w:t xml:space="preserve">General </w:t>
      </w:r>
      <w:r>
        <w:t>t</w:t>
      </w:r>
      <w:r w:rsidRPr="006571C5">
        <w:t xml:space="preserve">hreat </w:t>
      </w:r>
      <w:r>
        <w:t>e</w:t>
      </w:r>
      <w:r w:rsidRPr="006571C5">
        <w:t>nvironment</w:t>
      </w:r>
    </w:p>
    <w:p w14:paraId="1FC2E27C" w14:textId="77777777" w:rsidR="006527B2" w:rsidRPr="006571C5" w:rsidRDefault="006527B2" w:rsidP="005729D2">
      <w:pPr>
        <w:pStyle w:val="ListParagraph"/>
        <w:numPr>
          <w:ilvl w:val="1"/>
          <w:numId w:val="212"/>
        </w:numPr>
      </w:pPr>
      <w:r w:rsidRPr="006571C5">
        <w:t xml:space="preserve">Determined </w:t>
      </w:r>
      <w:r>
        <w:t>a</w:t>
      </w:r>
      <w:r w:rsidRPr="006571C5">
        <w:t>dversaries</w:t>
      </w:r>
    </w:p>
    <w:p w14:paraId="127782F8" w14:textId="77777777" w:rsidR="006527B2" w:rsidRPr="006571C5" w:rsidRDefault="006527B2" w:rsidP="005729D2">
      <w:pPr>
        <w:pStyle w:val="ListParagraph"/>
        <w:numPr>
          <w:ilvl w:val="1"/>
          <w:numId w:val="212"/>
        </w:numPr>
      </w:pPr>
      <w:r w:rsidRPr="006571C5">
        <w:t xml:space="preserve">Attack </w:t>
      </w:r>
      <w:r>
        <w:t>t</w:t>
      </w:r>
      <w:r w:rsidRPr="006571C5">
        <w:t xml:space="preserve">echniques including </w:t>
      </w:r>
      <w:r>
        <w:t>p</w:t>
      </w:r>
      <w:r w:rsidRPr="006571C5">
        <w:t>ass</w:t>
      </w:r>
      <w:r>
        <w:t>-</w:t>
      </w:r>
      <w:r w:rsidRPr="006571C5">
        <w:t>the</w:t>
      </w:r>
      <w:r>
        <w:t>-h</w:t>
      </w:r>
      <w:r w:rsidRPr="006571C5">
        <w:t xml:space="preserve">ash </w:t>
      </w:r>
      <w:r>
        <w:t>and</w:t>
      </w:r>
      <w:r w:rsidRPr="006571C5">
        <w:t xml:space="preserve"> </w:t>
      </w:r>
      <w:r>
        <w:t>c</w:t>
      </w:r>
      <w:r w:rsidRPr="006571C5">
        <w:t xml:space="preserve">redential </w:t>
      </w:r>
      <w:r>
        <w:t>t</w:t>
      </w:r>
      <w:r w:rsidRPr="006571C5">
        <w:t>heft</w:t>
      </w:r>
    </w:p>
    <w:p w14:paraId="0DE8285B" w14:textId="77777777" w:rsidR="006527B2" w:rsidRPr="006571C5" w:rsidRDefault="006527B2" w:rsidP="005729D2">
      <w:pPr>
        <w:pStyle w:val="ListParagraph"/>
        <w:numPr>
          <w:ilvl w:val="0"/>
          <w:numId w:val="212"/>
        </w:numPr>
      </w:pPr>
      <w:r>
        <w:t>Organization-</w:t>
      </w:r>
      <w:r w:rsidRPr="006571C5">
        <w:t>specific threats and incidents</w:t>
      </w:r>
    </w:p>
    <w:p w14:paraId="1E60F0BF" w14:textId="77777777" w:rsidR="006527B2" w:rsidRPr="006571C5" w:rsidRDefault="006527B2" w:rsidP="005729D2">
      <w:pPr>
        <w:pStyle w:val="ListParagraph"/>
        <w:numPr>
          <w:ilvl w:val="0"/>
          <w:numId w:val="212"/>
        </w:numPr>
      </w:pPr>
      <w:r w:rsidRPr="006571C5">
        <w:t>Administrator</w:t>
      </w:r>
      <w:r>
        <w:t>'</w:t>
      </w:r>
      <w:r w:rsidRPr="006571C5">
        <w:t>s roles in protecting against attacks</w:t>
      </w:r>
    </w:p>
    <w:p w14:paraId="08008005" w14:textId="77777777" w:rsidR="006527B2" w:rsidRPr="006571C5" w:rsidRDefault="006527B2" w:rsidP="005729D2">
      <w:pPr>
        <w:pStyle w:val="ListParagraph"/>
        <w:numPr>
          <w:ilvl w:val="1"/>
          <w:numId w:val="212"/>
        </w:numPr>
      </w:pPr>
      <w:r w:rsidRPr="006571C5">
        <w:t xml:space="preserve">Managing </w:t>
      </w:r>
      <w:r>
        <w:t>c</w:t>
      </w:r>
      <w:r w:rsidRPr="006571C5">
        <w:t xml:space="preserve">redential </w:t>
      </w:r>
      <w:r>
        <w:t>e</w:t>
      </w:r>
      <w:r w:rsidRPr="006571C5">
        <w:t xml:space="preserve">xposure with the Tier </w:t>
      </w:r>
      <w:r>
        <w:t>m</w:t>
      </w:r>
      <w:r w:rsidRPr="006571C5">
        <w:t>odel</w:t>
      </w:r>
    </w:p>
    <w:p w14:paraId="163BEEE0" w14:textId="77777777" w:rsidR="006527B2" w:rsidRPr="006571C5" w:rsidRDefault="006527B2" w:rsidP="005729D2">
      <w:pPr>
        <w:pStyle w:val="ListParagraph"/>
        <w:numPr>
          <w:ilvl w:val="1"/>
          <w:numId w:val="212"/>
        </w:numPr>
      </w:pPr>
      <w:r w:rsidRPr="006571C5">
        <w:t xml:space="preserve">Use of </w:t>
      </w:r>
      <w:r>
        <w:t>a</w:t>
      </w:r>
      <w:r w:rsidRPr="006571C5">
        <w:t xml:space="preserve">dministrative </w:t>
      </w:r>
      <w:r>
        <w:t>w</w:t>
      </w:r>
      <w:r w:rsidRPr="006571C5">
        <w:t>orkstations</w:t>
      </w:r>
    </w:p>
    <w:p w14:paraId="1447BD8D" w14:textId="77777777" w:rsidR="006527B2" w:rsidRPr="006571C5" w:rsidRDefault="006527B2" w:rsidP="005729D2">
      <w:pPr>
        <w:pStyle w:val="ListParagraph"/>
        <w:numPr>
          <w:ilvl w:val="1"/>
          <w:numId w:val="212"/>
        </w:numPr>
      </w:pPr>
      <w:r w:rsidRPr="006571C5">
        <w:t>Use of R</w:t>
      </w:r>
      <w:r>
        <w:t xml:space="preserve">emote </w:t>
      </w:r>
      <w:r w:rsidRPr="006571C5">
        <w:t>D</w:t>
      </w:r>
      <w:r>
        <w:t xml:space="preserve">esktop </w:t>
      </w:r>
      <w:r w:rsidRPr="006571C5">
        <w:t>P</w:t>
      </w:r>
      <w:r>
        <w:t>rotocol</w:t>
      </w:r>
      <w:r w:rsidRPr="006571C5">
        <w:t xml:space="preserve"> RestrictedAdmin mode</w:t>
      </w:r>
    </w:p>
    <w:p w14:paraId="1F3F8A37" w14:textId="77777777" w:rsidR="006527B2" w:rsidRPr="006571C5" w:rsidRDefault="006527B2" w:rsidP="005729D2">
      <w:pPr>
        <w:pStyle w:val="ListParagraph"/>
        <w:numPr>
          <w:ilvl w:val="0"/>
          <w:numId w:val="212"/>
        </w:numPr>
      </w:pPr>
      <w:r>
        <w:t>Organization-specific</w:t>
      </w:r>
      <w:r w:rsidRPr="006571C5">
        <w:t xml:space="preserve"> administrative practices</w:t>
      </w:r>
    </w:p>
    <w:p w14:paraId="63A6181A" w14:textId="77777777" w:rsidR="006527B2" w:rsidRPr="006571C5" w:rsidRDefault="006527B2" w:rsidP="005729D2">
      <w:pPr>
        <w:pStyle w:val="ListParagraph"/>
        <w:numPr>
          <w:ilvl w:val="1"/>
          <w:numId w:val="212"/>
        </w:numPr>
      </w:pPr>
      <w:r w:rsidRPr="006571C5">
        <w:t xml:space="preserve">Review all </w:t>
      </w:r>
      <w:r>
        <w:t>o</w:t>
      </w:r>
      <w:r w:rsidRPr="006571C5">
        <w:t xml:space="preserve">perational </w:t>
      </w:r>
      <w:r>
        <w:t>g</w:t>
      </w:r>
      <w:r w:rsidRPr="006571C5">
        <w:t>uidelines in this standard</w:t>
      </w:r>
    </w:p>
    <w:p w14:paraId="75F77928" w14:textId="77777777" w:rsidR="006527B2" w:rsidRPr="006571C5" w:rsidRDefault="006527B2" w:rsidP="005729D2">
      <w:pPr>
        <w:pStyle w:val="ListParagraph"/>
        <w:numPr>
          <w:ilvl w:val="1"/>
          <w:numId w:val="212"/>
        </w:numPr>
      </w:pPr>
      <w:r>
        <w:t>Implement the following k</w:t>
      </w:r>
      <w:r w:rsidRPr="006571C5">
        <w:t xml:space="preserve">ey </w:t>
      </w:r>
      <w:r>
        <w:t>r</w:t>
      </w:r>
      <w:r w:rsidRPr="006571C5">
        <w:t>ules</w:t>
      </w:r>
      <w:r>
        <w:t>:</w:t>
      </w:r>
    </w:p>
    <w:p w14:paraId="31EFD9F6" w14:textId="77777777" w:rsidR="006527B2" w:rsidRPr="006571C5" w:rsidRDefault="006527B2" w:rsidP="005729D2">
      <w:pPr>
        <w:pStyle w:val="ListParagraph"/>
        <w:numPr>
          <w:ilvl w:val="2"/>
          <w:numId w:val="212"/>
        </w:numPr>
      </w:pPr>
      <w:r w:rsidRPr="006571C5">
        <w:t>Do not use administrative accounts on anything but administrative workstations</w:t>
      </w:r>
    </w:p>
    <w:p w14:paraId="59897188" w14:textId="77777777" w:rsidR="006527B2" w:rsidRDefault="006527B2" w:rsidP="005729D2">
      <w:pPr>
        <w:pStyle w:val="ListParagraph"/>
        <w:numPr>
          <w:ilvl w:val="2"/>
          <w:numId w:val="212"/>
        </w:numPr>
      </w:pPr>
      <w:r w:rsidRPr="006571C5">
        <w:t>Do not disable or dismantle security controls on your account or workstations (</w:t>
      </w:r>
      <w:r>
        <w:t xml:space="preserve">for example, </w:t>
      </w:r>
      <w:r w:rsidRPr="006571C5">
        <w:t>logon restrictions</w:t>
      </w:r>
      <w:r>
        <w:t xml:space="preserve"> or</w:t>
      </w:r>
      <w:r w:rsidRPr="006571C5">
        <w:t xml:space="preserve"> attribute</w:t>
      </w:r>
      <w:r>
        <w:t>s required for smart cards</w:t>
      </w:r>
      <w:r w:rsidRPr="006571C5">
        <w:t>)</w:t>
      </w:r>
    </w:p>
    <w:p w14:paraId="08D54CF8" w14:textId="77777777" w:rsidR="006527B2" w:rsidRPr="006571C5" w:rsidRDefault="006527B2" w:rsidP="005729D2">
      <w:pPr>
        <w:pStyle w:val="ListParagraph"/>
        <w:numPr>
          <w:ilvl w:val="2"/>
          <w:numId w:val="212"/>
        </w:numPr>
        <w:spacing w:before="0" w:after="160" w:line="259" w:lineRule="auto"/>
      </w:pPr>
      <w:r w:rsidRPr="00682618">
        <w:t>Report issues</w:t>
      </w:r>
      <w:r>
        <w:t xml:space="preserve"> or unusual activity</w:t>
      </w:r>
    </w:p>
    <w:p w14:paraId="79F68268" w14:textId="77777777" w:rsidR="006527B2" w:rsidRPr="00045BA7" w:rsidRDefault="006527B2" w:rsidP="006527B2">
      <w:pPr>
        <w:rPr>
          <w:b/>
        </w:rPr>
      </w:pPr>
      <w:r w:rsidRPr="006571C5">
        <w:t xml:space="preserve">To </w:t>
      </w:r>
      <w:r w:rsidRPr="00045BA7">
        <w:t xml:space="preserve">provide accountability, all personnel with administrative accounts should sign an Administrative Privilege Code of Conduct document that </w:t>
      </w:r>
      <w:r>
        <w:t xml:space="preserve">says </w:t>
      </w:r>
      <w:r w:rsidRPr="00045BA7">
        <w:t xml:space="preserve">they intend to follow </w:t>
      </w:r>
      <w:r>
        <w:t>organization-specific</w:t>
      </w:r>
      <w:r w:rsidRPr="00045BA7">
        <w:t xml:space="preserve"> administrative polic</w:t>
      </w:r>
      <w:r>
        <w:t>y</w:t>
      </w:r>
      <w:r w:rsidRPr="001A2932">
        <w:t xml:space="preserve"> </w:t>
      </w:r>
      <w:r w:rsidRPr="00045BA7">
        <w:t xml:space="preserve">practices. </w:t>
      </w:r>
    </w:p>
    <w:p w14:paraId="00F5D874" w14:textId="77777777" w:rsidR="006527B2" w:rsidRPr="00E545AF" w:rsidRDefault="006527B2" w:rsidP="006527B2">
      <w:pPr>
        <w:pStyle w:val="Heading5"/>
        <w:rPr>
          <w:b/>
          <w:color w:val="000000" w:themeColor="text1"/>
        </w:rPr>
      </w:pPr>
      <w:r w:rsidRPr="00E545AF">
        <w:rPr>
          <w:b/>
          <w:color w:val="000000" w:themeColor="text1"/>
        </w:rPr>
        <w:t>Provisioning and Deprovisioning Processes for Administrative Accounts</w:t>
      </w:r>
    </w:p>
    <w:p w14:paraId="727D999A" w14:textId="77777777" w:rsidR="006527B2" w:rsidRPr="00E85E5F" w:rsidRDefault="006527B2" w:rsidP="006527B2">
      <w:r w:rsidRPr="00E85E5F">
        <w:t>The following standards must be met for meeting lifecycle requirements</w:t>
      </w:r>
    </w:p>
    <w:p w14:paraId="577AA361" w14:textId="77777777" w:rsidR="006527B2" w:rsidRPr="00E85E5F" w:rsidRDefault="006527B2" w:rsidP="005729D2">
      <w:pPr>
        <w:pStyle w:val="ListParagraph"/>
        <w:numPr>
          <w:ilvl w:val="0"/>
          <w:numId w:val="219"/>
        </w:numPr>
        <w:spacing w:before="0" w:after="160" w:line="259" w:lineRule="auto"/>
      </w:pPr>
      <w:r w:rsidRPr="00E85E5F">
        <w:t xml:space="preserve">All administrative accounts must be approved by the Approving Authority outlined in the </w:t>
      </w:r>
      <w:r>
        <w:t xml:space="preserve">following </w:t>
      </w:r>
      <w:r w:rsidRPr="00E85E5F">
        <w:t>table</w:t>
      </w:r>
      <w:r>
        <w:t>.</w:t>
      </w:r>
    </w:p>
    <w:p w14:paraId="16DA9DFA" w14:textId="77777777" w:rsidR="006527B2" w:rsidRPr="00E85E5F" w:rsidRDefault="006527B2" w:rsidP="005729D2">
      <w:pPr>
        <w:pStyle w:val="ListParagraph"/>
        <w:numPr>
          <w:ilvl w:val="1"/>
          <w:numId w:val="219"/>
        </w:numPr>
        <w:spacing w:before="0" w:after="160" w:line="259" w:lineRule="auto"/>
      </w:pPr>
      <w:r w:rsidRPr="00E85E5F">
        <w:t xml:space="preserve">Approval for administrative privileges </w:t>
      </w:r>
      <w:r>
        <w:t>should</w:t>
      </w:r>
      <w:r w:rsidRPr="00E85E5F">
        <w:t xml:space="preserve"> not exceed</w:t>
      </w:r>
      <w:r>
        <w:t> six</w:t>
      </w:r>
      <w:r w:rsidRPr="00E85E5F">
        <w:t xml:space="preserve"> months</w:t>
      </w:r>
      <w:r>
        <w:t>.</w:t>
      </w:r>
    </w:p>
    <w:p w14:paraId="5BEB3C36" w14:textId="77777777" w:rsidR="006527B2" w:rsidRPr="00E85E5F" w:rsidRDefault="006527B2" w:rsidP="005729D2">
      <w:pPr>
        <w:pStyle w:val="ListParagraph"/>
        <w:numPr>
          <w:ilvl w:val="1"/>
          <w:numId w:val="219"/>
        </w:numPr>
        <w:spacing w:before="0" w:after="160" w:line="259" w:lineRule="auto"/>
      </w:pPr>
      <w:r w:rsidRPr="00E85E5F">
        <w:t xml:space="preserve">Approval must only be granted if the personnel </w:t>
      </w:r>
      <w:r w:rsidRPr="00B735D7">
        <w:t>have a legitimate business need for administrative privileges</w:t>
      </w:r>
      <w:r>
        <w:t>.</w:t>
      </w:r>
    </w:p>
    <w:p w14:paraId="6A71CCE4" w14:textId="77777777" w:rsidR="006527B2" w:rsidRPr="00E85E5F" w:rsidRDefault="006527B2" w:rsidP="005729D2">
      <w:pPr>
        <w:pStyle w:val="ListParagraph"/>
        <w:numPr>
          <w:ilvl w:val="0"/>
          <w:numId w:val="211"/>
        </w:numPr>
        <w:spacing w:after="200" w:line="259" w:lineRule="auto"/>
        <w:rPr>
          <w:rFonts w:cs="Segoe UI"/>
        </w:rPr>
      </w:pPr>
      <w:r>
        <w:rPr>
          <w:rFonts w:cs="Segoe UI"/>
        </w:rPr>
        <w:t>Access to a</w:t>
      </w:r>
      <w:r w:rsidRPr="00B735D7">
        <w:rPr>
          <w:rFonts w:cs="Segoe UI"/>
        </w:rPr>
        <w:t xml:space="preserve">dministrative </w:t>
      </w:r>
      <w:r w:rsidRPr="002B0537">
        <w:rPr>
          <w:rFonts w:cs="Segoe UI"/>
        </w:rPr>
        <w:t xml:space="preserve">privileges must be immediately deprovisioned </w:t>
      </w:r>
      <w:r>
        <w:rPr>
          <w:rFonts w:cs="Segoe UI"/>
        </w:rPr>
        <w:t>when:</w:t>
      </w:r>
    </w:p>
    <w:p w14:paraId="2ACE2889" w14:textId="77777777" w:rsidR="006527B2" w:rsidRPr="00E85E5F" w:rsidRDefault="006527B2" w:rsidP="005729D2">
      <w:pPr>
        <w:pStyle w:val="ListParagraph"/>
        <w:numPr>
          <w:ilvl w:val="1"/>
          <w:numId w:val="211"/>
        </w:numPr>
        <w:spacing w:after="200" w:line="259" w:lineRule="auto"/>
        <w:rPr>
          <w:rFonts w:cs="Segoe UI"/>
        </w:rPr>
      </w:pPr>
      <w:r w:rsidRPr="00E85E5F">
        <w:rPr>
          <w:rFonts w:cs="Segoe UI"/>
        </w:rPr>
        <w:t>Personnel chang</w:t>
      </w:r>
      <w:r>
        <w:rPr>
          <w:rFonts w:cs="Segoe UI"/>
        </w:rPr>
        <w:t>e</w:t>
      </w:r>
      <w:r w:rsidRPr="00E85E5F">
        <w:rPr>
          <w:rFonts w:cs="Segoe UI"/>
        </w:rPr>
        <w:t xml:space="preserve"> position</w:t>
      </w:r>
      <w:r>
        <w:rPr>
          <w:rFonts w:cs="Segoe UI"/>
        </w:rPr>
        <w:t>s.</w:t>
      </w:r>
    </w:p>
    <w:p w14:paraId="41F5E437" w14:textId="77777777" w:rsidR="006527B2" w:rsidRDefault="006527B2" w:rsidP="005729D2">
      <w:pPr>
        <w:pStyle w:val="ListParagraph"/>
        <w:numPr>
          <w:ilvl w:val="1"/>
          <w:numId w:val="211"/>
        </w:numPr>
        <w:spacing w:after="200" w:line="259" w:lineRule="auto"/>
        <w:rPr>
          <w:rFonts w:cs="Segoe UI"/>
        </w:rPr>
      </w:pPr>
      <w:r>
        <w:rPr>
          <w:rFonts w:cs="Segoe UI"/>
        </w:rPr>
        <w:t>Personnel leave the organization.</w:t>
      </w:r>
    </w:p>
    <w:p w14:paraId="1140E0A9" w14:textId="77777777" w:rsidR="006527B2" w:rsidRPr="001A2932" w:rsidRDefault="006527B2" w:rsidP="005729D2">
      <w:pPr>
        <w:pStyle w:val="ListParagraph"/>
        <w:numPr>
          <w:ilvl w:val="0"/>
          <w:numId w:val="211"/>
        </w:numPr>
        <w:spacing w:after="200" w:line="259" w:lineRule="auto"/>
        <w:rPr>
          <w:rFonts w:cs="Segoe UI"/>
        </w:rPr>
      </w:pPr>
      <w:r w:rsidRPr="001A2932">
        <w:rPr>
          <w:rFonts w:cs="Segoe UI"/>
        </w:rPr>
        <w:t xml:space="preserve">Accounts must be immediately disabled following </w:t>
      </w:r>
      <w:r>
        <w:rPr>
          <w:rFonts w:cs="Segoe UI"/>
        </w:rPr>
        <w:t>p</w:t>
      </w:r>
      <w:r w:rsidRPr="001A2932">
        <w:rPr>
          <w:rFonts w:cs="Segoe UI"/>
        </w:rPr>
        <w:t>ersonnel leaving the organization</w:t>
      </w:r>
      <w:r>
        <w:rPr>
          <w:rFonts w:cs="Segoe UI"/>
        </w:rPr>
        <w:t>.</w:t>
      </w:r>
    </w:p>
    <w:p w14:paraId="00F75C3C" w14:textId="1DC8AE37" w:rsidR="006527B2" w:rsidRDefault="006527B2" w:rsidP="005729D2">
      <w:pPr>
        <w:pStyle w:val="ListParagraph"/>
        <w:numPr>
          <w:ilvl w:val="0"/>
          <w:numId w:val="211"/>
        </w:numPr>
        <w:spacing w:after="200" w:line="259" w:lineRule="auto"/>
        <w:rPr>
          <w:rFonts w:cs="Segoe UI"/>
        </w:rPr>
      </w:pPr>
      <w:r>
        <w:rPr>
          <w:rFonts w:cs="Segoe UI"/>
        </w:rPr>
        <w:t xml:space="preserve">Disabled accounts must be deleted within six months and the record of their deletion must be entered into change approval board records. </w:t>
      </w:r>
    </w:p>
    <w:p w14:paraId="60727CD2" w14:textId="566C7EB8" w:rsidR="00F97B16" w:rsidRPr="006527B2" w:rsidRDefault="006527B2" w:rsidP="005729D2">
      <w:pPr>
        <w:pStyle w:val="ListParagraph"/>
        <w:numPr>
          <w:ilvl w:val="0"/>
          <w:numId w:val="211"/>
        </w:numPr>
        <w:spacing w:after="200" w:line="259" w:lineRule="auto"/>
        <w:rPr>
          <w:rFonts w:cs="Segoe UI"/>
        </w:rPr>
      </w:pPr>
      <w:r w:rsidRPr="006527B2">
        <w:rPr>
          <w:rFonts w:cs="Segoe UI"/>
        </w:rPr>
        <w:t>Review all privileged account memberships monthly to ensure that no unauthorized permissions have been granted. This can be replaced by an automated tool that alerts changes.</w:t>
      </w:r>
      <w:r w:rsidR="00F97B16" w:rsidRPr="006527B2">
        <w:rPr>
          <w:rFonts w:cs="Segoe UI"/>
        </w:rPr>
        <w:t xml:space="preserve"> </w:t>
      </w:r>
    </w:p>
    <w:tbl>
      <w:tblPr>
        <w:tblStyle w:val="ListTable31"/>
        <w:tblW w:w="9350" w:type="dxa"/>
        <w:tblBorders>
          <w:insideH w:val="single" w:sz="4" w:space="0" w:color="000000" w:themeColor="text1"/>
          <w:insideV w:val="single" w:sz="4" w:space="0" w:color="auto"/>
        </w:tblBorders>
        <w:tblLook w:val="04A0" w:firstRow="1" w:lastRow="0" w:firstColumn="1" w:lastColumn="0" w:noHBand="0" w:noVBand="1"/>
      </w:tblPr>
      <w:tblGrid>
        <w:gridCol w:w="2425"/>
        <w:gridCol w:w="3690"/>
        <w:gridCol w:w="3235"/>
      </w:tblGrid>
      <w:tr w:rsidR="006527B2" w14:paraId="19D6BB73" w14:textId="77777777" w:rsidTr="006527B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425" w:type="dxa"/>
            <w:tcBorders>
              <w:bottom w:val="none" w:sz="0" w:space="0" w:color="auto"/>
              <w:right w:val="none" w:sz="0" w:space="0" w:color="auto"/>
            </w:tcBorders>
            <w:shd w:val="clear" w:color="auto" w:fill="808080" w:themeFill="background1" w:themeFillShade="80"/>
            <w:vAlign w:val="center"/>
          </w:tcPr>
          <w:p w14:paraId="084C9534" w14:textId="77777777" w:rsidR="006527B2" w:rsidRPr="00045BA7" w:rsidRDefault="006527B2" w:rsidP="006527B2">
            <w:pPr>
              <w:rPr>
                <w:sz w:val="20"/>
              </w:rPr>
            </w:pPr>
            <w:r w:rsidRPr="00045BA7">
              <w:rPr>
                <w:sz w:val="20"/>
              </w:rPr>
              <w:t>Account Privilege Level</w:t>
            </w:r>
          </w:p>
        </w:tc>
        <w:tc>
          <w:tcPr>
            <w:tcW w:w="3690" w:type="dxa"/>
            <w:shd w:val="clear" w:color="auto" w:fill="808080" w:themeFill="background1" w:themeFillShade="80"/>
            <w:vAlign w:val="center"/>
          </w:tcPr>
          <w:p w14:paraId="7D048F2E" w14:textId="77777777" w:rsidR="006527B2" w:rsidRPr="00045BA7" w:rsidRDefault="006527B2" w:rsidP="006527B2">
            <w:pPr>
              <w:spacing w:before="0" w:after="0"/>
              <w:cnfStyle w:val="100000000000" w:firstRow="1" w:lastRow="0" w:firstColumn="0" w:lastColumn="0" w:oddVBand="0" w:evenVBand="0" w:oddHBand="0" w:evenHBand="0" w:firstRowFirstColumn="0" w:firstRowLastColumn="0" w:lastRowFirstColumn="0" w:lastRowLastColumn="0"/>
              <w:rPr>
                <w:sz w:val="20"/>
              </w:rPr>
            </w:pPr>
            <w:r w:rsidRPr="00045BA7">
              <w:rPr>
                <w:sz w:val="20"/>
              </w:rPr>
              <w:t>Approving Authority</w:t>
            </w:r>
          </w:p>
        </w:tc>
        <w:tc>
          <w:tcPr>
            <w:tcW w:w="3235" w:type="dxa"/>
            <w:shd w:val="clear" w:color="auto" w:fill="808080" w:themeFill="background1" w:themeFillShade="80"/>
            <w:vAlign w:val="center"/>
          </w:tcPr>
          <w:p w14:paraId="32F5C6C1" w14:textId="77777777" w:rsidR="006527B2" w:rsidRPr="00045BA7" w:rsidRDefault="006527B2" w:rsidP="006527B2">
            <w:pPr>
              <w:cnfStyle w:val="100000000000" w:firstRow="1" w:lastRow="0" w:firstColumn="0" w:lastColumn="0" w:oddVBand="0" w:evenVBand="0" w:oddHBand="0" w:evenHBand="0" w:firstRowFirstColumn="0" w:firstRowLastColumn="0" w:lastRowFirstColumn="0" w:lastRowLastColumn="0"/>
              <w:rPr>
                <w:sz w:val="20"/>
              </w:rPr>
            </w:pPr>
            <w:r w:rsidRPr="00045BA7">
              <w:rPr>
                <w:sz w:val="20"/>
              </w:rPr>
              <w:t>Membership Review Frequency</w:t>
            </w:r>
          </w:p>
        </w:tc>
      </w:tr>
      <w:tr w:rsidR="006527B2" w14:paraId="0A5885CE" w14:textId="77777777" w:rsidTr="006527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5" w:type="dxa"/>
            <w:tcBorders>
              <w:top w:val="none" w:sz="0" w:space="0" w:color="auto"/>
              <w:bottom w:val="none" w:sz="0" w:space="0" w:color="auto"/>
              <w:right w:val="none" w:sz="0" w:space="0" w:color="auto"/>
            </w:tcBorders>
            <w:shd w:val="clear" w:color="auto" w:fill="F2F2F2" w:themeFill="background1" w:themeFillShade="F2"/>
            <w:vAlign w:val="center"/>
          </w:tcPr>
          <w:p w14:paraId="5DE1DC61" w14:textId="77777777" w:rsidR="006527B2" w:rsidRPr="00045BA7" w:rsidRDefault="006527B2" w:rsidP="006527B2">
            <w:pPr>
              <w:rPr>
                <w:sz w:val="20"/>
              </w:rPr>
            </w:pPr>
            <w:r w:rsidRPr="00045BA7">
              <w:rPr>
                <w:sz w:val="20"/>
              </w:rPr>
              <w:t>Tier</w:t>
            </w:r>
            <w:r>
              <w:rPr>
                <w:sz w:val="20"/>
              </w:rPr>
              <w:t> 0</w:t>
            </w:r>
            <w:r w:rsidRPr="00045BA7">
              <w:rPr>
                <w:sz w:val="20"/>
              </w:rPr>
              <w:t xml:space="preserve"> Administrator</w:t>
            </w:r>
          </w:p>
        </w:tc>
        <w:tc>
          <w:tcPr>
            <w:tcW w:w="3690" w:type="dxa"/>
            <w:tcBorders>
              <w:top w:val="none" w:sz="0" w:space="0" w:color="auto"/>
              <w:bottom w:val="none" w:sz="0" w:space="0" w:color="auto"/>
            </w:tcBorders>
            <w:shd w:val="clear" w:color="auto" w:fill="F2F2F2" w:themeFill="background1" w:themeFillShade="F2"/>
            <w:vAlign w:val="center"/>
          </w:tcPr>
          <w:p w14:paraId="3CD05885" w14:textId="77777777" w:rsidR="006527B2" w:rsidRPr="00045BA7" w:rsidRDefault="006527B2" w:rsidP="006527B2">
            <w:pPr>
              <w:spacing w:before="0" w:after="0"/>
              <w:cnfStyle w:val="000000100000" w:firstRow="0" w:lastRow="0" w:firstColumn="0" w:lastColumn="0" w:oddVBand="0" w:evenVBand="0" w:oddHBand="1" w:evenHBand="0" w:firstRowFirstColumn="0" w:firstRowLastColumn="0" w:lastRowFirstColumn="0" w:lastRowLastColumn="0"/>
              <w:rPr>
                <w:sz w:val="20"/>
              </w:rPr>
            </w:pPr>
            <w:r>
              <w:rPr>
                <w:sz w:val="20"/>
              </w:rPr>
              <w:t>Change approval board</w:t>
            </w:r>
          </w:p>
        </w:tc>
        <w:tc>
          <w:tcPr>
            <w:tcW w:w="3235" w:type="dxa"/>
            <w:tcBorders>
              <w:top w:val="none" w:sz="0" w:space="0" w:color="auto"/>
              <w:bottom w:val="none" w:sz="0" w:space="0" w:color="auto"/>
            </w:tcBorders>
            <w:shd w:val="clear" w:color="auto" w:fill="F2F2F2" w:themeFill="background1" w:themeFillShade="F2"/>
            <w:vAlign w:val="center"/>
          </w:tcPr>
          <w:p w14:paraId="1FE0B3A5" w14:textId="77777777" w:rsidR="006527B2" w:rsidRPr="00045BA7" w:rsidRDefault="006527B2" w:rsidP="006527B2">
            <w:pPr>
              <w:cnfStyle w:val="000000100000" w:firstRow="0" w:lastRow="0" w:firstColumn="0" w:lastColumn="0" w:oddVBand="0" w:evenVBand="0" w:oddHBand="1" w:evenHBand="0" w:firstRowFirstColumn="0" w:firstRowLastColumn="0" w:lastRowFirstColumn="0" w:lastRowLastColumn="0"/>
              <w:rPr>
                <w:sz w:val="20"/>
              </w:rPr>
            </w:pPr>
            <w:r w:rsidRPr="00045BA7">
              <w:rPr>
                <w:sz w:val="20"/>
              </w:rPr>
              <w:t xml:space="preserve">Monthly or </w:t>
            </w:r>
            <w:r>
              <w:rPr>
                <w:sz w:val="20"/>
              </w:rPr>
              <w:t>a</w:t>
            </w:r>
            <w:r w:rsidRPr="00045BA7">
              <w:rPr>
                <w:sz w:val="20"/>
              </w:rPr>
              <w:t>utomated</w:t>
            </w:r>
          </w:p>
        </w:tc>
      </w:tr>
      <w:tr w:rsidR="006527B2" w14:paraId="7605A029" w14:textId="77777777" w:rsidTr="006527B2">
        <w:tc>
          <w:tcPr>
            <w:cnfStyle w:val="001000000000" w:firstRow="0" w:lastRow="0" w:firstColumn="1" w:lastColumn="0" w:oddVBand="0" w:evenVBand="0" w:oddHBand="0" w:evenHBand="0" w:firstRowFirstColumn="0" w:firstRowLastColumn="0" w:lastRowFirstColumn="0" w:lastRowLastColumn="0"/>
            <w:tcW w:w="2425" w:type="dxa"/>
            <w:tcBorders>
              <w:right w:val="none" w:sz="0" w:space="0" w:color="auto"/>
            </w:tcBorders>
            <w:vAlign w:val="center"/>
          </w:tcPr>
          <w:p w14:paraId="0111E08B" w14:textId="77777777" w:rsidR="006527B2" w:rsidRPr="00045BA7" w:rsidRDefault="006527B2" w:rsidP="006527B2">
            <w:pPr>
              <w:rPr>
                <w:sz w:val="20"/>
              </w:rPr>
            </w:pPr>
            <w:r w:rsidRPr="00045BA7">
              <w:rPr>
                <w:sz w:val="20"/>
              </w:rPr>
              <w:t>Tier</w:t>
            </w:r>
            <w:r>
              <w:rPr>
                <w:sz w:val="20"/>
              </w:rPr>
              <w:t> 1</w:t>
            </w:r>
            <w:r w:rsidRPr="00045BA7">
              <w:rPr>
                <w:sz w:val="20"/>
              </w:rPr>
              <w:t xml:space="preserve"> Administrator</w:t>
            </w:r>
          </w:p>
        </w:tc>
        <w:tc>
          <w:tcPr>
            <w:tcW w:w="3690" w:type="dxa"/>
            <w:vAlign w:val="center"/>
          </w:tcPr>
          <w:p w14:paraId="25DFEA85" w14:textId="77777777" w:rsidR="006527B2" w:rsidRPr="00045BA7" w:rsidRDefault="006527B2" w:rsidP="006527B2">
            <w:pPr>
              <w:spacing w:before="0" w:after="0"/>
              <w:cnfStyle w:val="000000000000" w:firstRow="0" w:lastRow="0" w:firstColumn="0" w:lastColumn="0" w:oddVBand="0" w:evenVBand="0" w:oddHBand="0" w:evenHBand="0" w:firstRowFirstColumn="0" w:firstRowLastColumn="0" w:lastRowFirstColumn="0" w:lastRowLastColumn="0"/>
              <w:rPr>
                <w:sz w:val="20"/>
              </w:rPr>
            </w:pPr>
            <w:r w:rsidRPr="00045BA7">
              <w:rPr>
                <w:sz w:val="20"/>
              </w:rPr>
              <w:t>Tier</w:t>
            </w:r>
            <w:r>
              <w:rPr>
                <w:sz w:val="20"/>
              </w:rPr>
              <w:t> 0</w:t>
            </w:r>
            <w:r w:rsidRPr="00045BA7">
              <w:rPr>
                <w:sz w:val="20"/>
              </w:rPr>
              <w:t xml:space="preserve"> </w:t>
            </w:r>
            <w:r>
              <w:rPr>
                <w:sz w:val="20"/>
              </w:rPr>
              <w:t>a</w:t>
            </w:r>
            <w:r w:rsidRPr="00045BA7">
              <w:rPr>
                <w:sz w:val="20"/>
              </w:rPr>
              <w:t xml:space="preserve">dministrators or </w:t>
            </w:r>
            <w:r>
              <w:rPr>
                <w:sz w:val="20"/>
              </w:rPr>
              <w:t>security</w:t>
            </w:r>
          </w:p>
        </w:tc>
        <w:tc>
          <w:tcPr>
            <w:tcW w:w="3235" w:type="dxa"/>
            <w:vAlign w:val="center"/>
          </w:tcPr>
          <w:p w14:paraId="1A34C8BC" w14:textId="77777777" w:rsidR="006527B2" w:rsidRPr="00045BA7" w:rsidRDefault="006527B2" w:rsidP="006527B2">
            <w:pPr>
              <w:cnfStyle w:val="000000000000" w:firstRow="0" w:lastRow="0" w:firstColumn="0" w:lastColumn="0" w:oddVBand="0" w:evenVBand="0" w:oddHBand="0" w:evenHBand="0" w:firstRowFirstColumn="0" w:firstRowLastColumn="0" w:lastRowFirstColumn="0" w:lastRowLastColumn="0"/>
              <w:rPr>
                <w:sz w:val="20"/>
              </w:rPr>
            </w:pPr>
            <w:r w:rsidRPr="00045BA7">
              <w:rPr>
                <w:sz w:val="20"/>
              </w:rPr>
              <w:t xml:space="preserve">Monthly or </w:t>
            </w:r>
            <w:r>
              <w:rPr>
                <w:sz w:val="20"/>
              </w:rPr>
              <w:t>a</w:t>
            </w:r>
            <w:r w:rsidRPr="00045BA7">
              <w:rPr>
                <w:sz w:val="20"/>
              </w:rPr>
              <w:t>utomated</w:t>
            </w:r>
          </w:p>
        </w:tc>
      </w:tr>
      <w:tr w:rsidR="006527B2" w14:paraId="44DDDD0D" w14:textId="77777777" w:rsidTr="006527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5" w:type="dxa"/>
            <w:tcBorders>
              <w:top w:val="none" w:sz="0" w:space="0" w:color="auto"/>
              <w:bottom w:val="none" w:sz="0" w:space="0" w:color="auto"/>
              <w:right w:val="none" w:sz="0" w:space="0" w:color="auto"/>
            </w:tcBorders>
            <w:shd w:val="clear" w:color="auto" w:fill="F2F2F2" w:themeFill="background1" w:themeFillShade="F2"/>
            <w:vAlign w:val="center"/>
          </w:tcPr>
          <w:p w14:paraId="50DE2E81" w14:textId="77777777" w:rsidR="006527B2" w:rsidRPr="00045BA7" w:rsidRDefault="006527B2" w:rsidP="006527B2">
            <w:pPr>
              <w:rPr>
                <w:sz w:val="20"/>
              </w:rPr>
            </w:pPr>
            <w:r w:rsidRPr="00045BA7">
              <w:rPr>
                <w:sz w:val="20"/>
              </w:rPr>
              <w:t>Tier</w:t>
            </w:r>
            <w:r>
              <w:rPr>
                <w:sz w:val="20"/>
              </w:rPr>
              <w:t> 2</w:t>
            </w:r>
            <w:r w:rsidRPr="00045BA7">
              <w:rPr>
                <w:sz w:val="20"/>
              </w:rPr>
              <w:t xml:space="preserve"> Administrator</w:t>
            </w:r>
          </w:p>
        </w:tc>
        <w:tc>
          <w:tcPr>
            <w:tcW w:w="3690" w:type="dxa"/>
            <w:tcBorders>
              <w:top w:val="none" w:sz="0" w:space="0" w:color="auto"/>
              <w:bottom w:val="none" w:sz="0" w:space="0" w:color="auto"/>
            </w:tcBorders>
            <w:shd w:val="clear" w:color="auto" w:fill="F2F2F2" w:themeFill="background1" w:themeFillShade="F2"/>
            <w:vAlign w:val="center"/>
          </w:tcPr>
          <w:p w14:paraId="76AAF8C8" w14:textId="77777777" w:rsidR="006527B2" w:rsidRPr="00045BA7" w:rsidRDefault="006527B2" w:rsidP="006527B2">
            <w:pPr>
              <w:spacing w:before="0" w:after="0"/>
              <w:cnfStyle w:val="000000100000" w:firstRow="0" w:lastRow="0" w:firstColumn="0" w:lastColumn="0" w:oddVBand="0" w:evenVBand="0" w:oddHBand="1" w:evenHBand="0" w:firstRowFirstColumn="0" w:firstRowLastColumn="0" w:lastRowFirstColumn="0" w:lastRowLastColumn="0"/>
              <w:rPr>
                <w:sz w:val="20"/>
              </w:rPr>
            </w:pPr>
            <w:r w:rsidRPr="00045BA7">
              <w:rPr>
                <w:sz w:val="20"/>
              </w:rPr>
              <w:t>Tier</w:t>
            </w:r>
            <w:r>
              <w:rPr>
                <w:sz w:val="20"/>
              </w:rPr>
              <w:t> 0</w:t>
            </w:r>
            <w:r w:rsidRPr="00045BA7">
              <w:rPr>
                <w:sz w:val="20"/>
              </w:rPr>
              <w:t xml:space="preserve"> </w:t>
            </w:r>
            <w:r>
              <w:rPr>
                <w:sz w:val="20"/>
              </w:rPr>
              <w:t>a</w:t>
            </w:r>
            <w:r w:rsidRPr="00045BA7">
              <w:rPr>
                <w:sz w:val="20"/>
              </w:rPr>
              <w:t xml:space="preserve">dministrators or </w:t>
            </w:r>
            <w:r>
              <w:rPr>
                <w:sz w:val="20"/>
              </w:rPr>
              <w:t>security</w:t>
            </w:r>
          </w:p>
        </w:tc>
        <w:tc>
          <w:tcPr>
            <w:tcW w:w="3235" w:type="dxa"/>
            <w:tcBorders>
              <w:top w:val="none" w:sz="0" w:space="0" w:color="auto"/>
              <w:bottom w:val="none" w:sz="0" w:space="0" w:color="auto"/>
            </w:tcBorders>
            <w:shd w:val="clear" w:color="auto" w:fill="F2F2F2" w:themeFill="background1" w:themeFillShade="F2"/>
            <w:vAlign w:val="center"/>
          </w:tcPr>
          <w:p w14:paraId="1816FC68" w14:textId="77777777" w:rsidR="006527B2" w:rsidRPr="00045BA7" w:rsidRDefault="006527B2" w:rsidP="006527B2">
            <w:pPr>
              <w:cnfStyle w:val="000000100000" w:firstRow="0" w:lastRow="0" w:firstColumn="0" w:lastColumn="0" w:oddVBand="0" w:evenVBand="0" w:oddHBand="1" w:evenHBand="0" w:firstRowFirstColumn="0" w:firstRowLastColumn="0" w:lastRowFirstColumn="0" w:lastRowLastColumn="0"/>
              <w:rPr>
                <w:sz w:val="20"/>
              </w:rPr>
            </w:pPr>
            <w:r w:rsidRPr="00045BA7">
              <w:rPr>
                <w:sz w:val="20"/>
              </w:rPr>
              <w:t xml:space="preserve">Monthly or </w:t>
            </w:r>
            <w:r>
              <w:rPr>
                <w:sz w:val="20"/>
              </w:rPr>
              <w:t>a</w:t>
            </w:r>
            <w:r w:rsidRPr="00045BA7">
              <w:rPr>
                <w:sz w:val="20"/>
              </w:rPr>
              <w:t>utomated</w:t>
            </w:r>
          </w:p>
        </w:tc>
      </w:tr>
    </w:tbl>
    <w:p w14:paraId="437AC0A3" w14:textId="77777777" w:rsidR="00F97B16" w:rsidRDefault="00F97B16" w:rsidP="00F97B16">
      <w:pPr>
        <w:spacing w:after="200"/>
      </w:pPr>
    </w:p>
    <w:p w14:paraId="49AC927E" w14:textId="77777777" w:rsidR="006527B2" w:rsidRPr="002360BE" w:rsidRDefault="006527B2" w:rsidP="006527B2">
      <w:pPr>
        <w:pStyle w:val="Heading4"/>
        <w:rPr>
          <w:rFonts w:ascii="Segoe UI" w:hAnsi="Segoe UI" w:cs="Segoe UI"/>
          <w:b/>
          <w:i w:val="0"/>
          <w:color w:val="000000" w:themeColor="text1"/>
          <w:sz w:val="22"/>
        </w:rPr>
      </w:pPr>
      <w:bookmarkStart w:id="7980" w:name="_Toc423091770"/>
      <w:r w:rsidRPr="002360BE">
        <w:rPr>
          <w:rFonts w:ascii="Segoe UI" w:hAnsi="Segoe UI" w:cs="Segoe UI"/>
          <w:b/>
          <w:i w:val="0"/>
          <w:color w:val="000000" w:themeColor="text1"/>
          <w:sz w:val="22"/>
        </w:rPr>
        <w:t>Operationalize Least Privilege</w:t>
      </w:r>
      <w:bookmarkEnd w:id="7980"/>
    </w:p>
    <w:p w14:paraId="7C7CC08D" w14:textId="77777777" w:rsidR="006527B2" w:rsidRPr="0072725A" w:rsidRDefault="006527B2" w:rsidP="006527B2">
      <w:r w:rsidRPr="0072725A">
        <w:t>Achieving least privilege requires understanding the organizational roles</w:t>
      </w:r>
      <w:r>
        <w:t>, their requirements,</w:t>
      </w:r>
      <w:r w:rsidRPr="0072725A">
        <w:t xml:space="preserve"> and </w:t>
      </w:r>
      <w:r>
        <w:t xml:space="preserve">their </w:t>
      </w:r>
      <w:r w:rsidRPr="0072725A">
        <w:t xml:space="preserve">designing mechanisms to ensure that they are able to accomplish their job </w:t>
      </w:r>
      <w:r>
        <w:t xml:space="preserve">by </w:t>
      </w:r>
      <w:r w:rsidRPr="0072725A">
        <w:t xml:space="preserve">using least privilege. Achieving a state of least privilege in an administrative model </w:t>
      </w:r>
      <w:r>
        <w:t xml:space="preserve">frequently </w:t>
      </w:r>
      <w:r w:rsidRPr="0072725A">
        <w:t xml:space="preserve">requires </w:t>
      </w:r>
      <w:r>
        <w:t xml:space="preserve">the use of multiple </w:t>
      </w:r>
      <w:r w:rsidRPr="0072725A">
        <w:t>approaches</w:t>
      </w:r>
      <w:r>
        <w:t>:</w:t>
      </w:r>
    </w:p>
    <w:p w14:paraId="58F3E266" w14:textId="77777777" w:rsidR="006527B2" w:rsidRPr="0072725A" w:rsidRDefault="006527B2" w:rsidP="005729D2">
      <w:pPr>
        <w:pStyle w:val="ListParagraph"/>
        <w:numPr>
          <w:ilvl w:val="0"/>
          <w:numId w:val="216"/>
        </w:numPr>
        <w:spacing w:before="0" w:after="160" w:line="259" w:lineRule="auto"/>
      </w:pPr>
      <w:r w:rsidRPr="0072725A">
        <w:t xml:space="preserve">Limit </w:t>
      </w:r>
      <w:r>
        <w:t xml:space="preserve">the </w:t>
      </w:r>
      <w:r w:rsidRPr="0072725A">
        <w:t>count of administrators or members of privileged groups</w:t>
      </w:r>
    </w:p>
    <w:p w14:paraId="1F414297" w14:textId="77777777" w:rsidR="006527B2" w:rsidRPr="0072725A" w:rsidRDefault="006527B2" w:rsidP="005729D2">
      <w:pPr>
        <w:pStyle w:val="ListParagraph"/>
        <w:numPr>
          <w:ilvl w:val="0"/>
          <w:numId w:val="216"/>
        </w:numPr>
        <w:spacing w:before="0" w:after="160" w:line="259" w:lineRule="auto"/>
      </w:pPr>
      <w:r w:rsidRPr="0072725A">
        <w:t>Delegat</w:t>
      </w:r>
      <w:r>
        <w:t>e</w:t>
      </w:r>
      <w:r w:rsidRPr="0072725A">
        <w:t xml:space="preserve"> less privileges to accounts</w:t>
      </w:r>
    </w:p>
    <w:p w14:paraId="25A46509" w14:textId="77777777" w:rsidR="006527B2" w:rsidRPr="0072725A" w:rsidRDefault="006527B2" w:rsidP="005729D2">
      <w:pPr>
        <w:pStyle w:val="ListParagraph"/>
        <w:numPr>
          <w:ilvl w:val="0"/>
          <w:numId w:val="216"/>
        </w:numPr>
        <w:spacing w:before="0" w:after="160" w:line="259" w:lineRule="auto"/>
      </w:pPr>
      <w:r w:rsidRPr="0072725A">
        <w:t>Provide privileges on demand</w:t>
      </w:r>
    </w:p>
    <w:p w14:paraId="2EC4DD5E" w14:textId="77777777" w:rsidR="006527B2" w:rsidRPr="0072725A" w:rsidRDefault="006527B2" w:rsidP="005729D2">
      <w:pPr>
        <w:pStyle w:val="ListParagraph"/>
        <w:numPr>
          <w:ilvl w:val="0"/>
          <w:numId w:val="216"/>
        </w:numPr>
        <w:spacing w:before="0" w:after="160" w:line="259" w:lineRule="auto"/>
      </w:pPr>
      <w:r w:rsidRPr="0072725A">
        <w:t xml:space="preserve">Provide ability for other personnel </w:t>
      </w:r>
      <w:r>
        <w:t xml:space="preserve">to </w:t>
      </w:r>
      <w:r w:rsidRPr="0072725A">
        <w:t>perform tasks (</w:t>
      </w:r>
      <w:r>
        <w:t xml:space="preserve">a </w:t>
      </w:r>
      <w:r w:rsidRPr="0072725A">
        <w:t>concierge approach)</w:t>
      </w:r>
    </w:p>
    <w:p w14:paraId="516D237B" w14:textId="77777777" w:rsidR="006527B2" w:rsidRPr="00507B24" w:rsidRDefault="006527B2" w:rsidP="005729D2">
      <w:pPr>
        <w:pStyle w:val="ListParagraph"/>
        <w:numPr>
          <w:ilvl w:val="0"/>
          <w:numId w:val="216"/>
        </w:numPr>
        <w:spacing w:before="0" w:after="160" w:line="259" w:lineRule="auto"/>
      </w:pPr>
      <w:r w:rsidRPr="0072725A">
        <w:t>Provid</w:t>
      </w:r>
      <w:r>
        <w:t>e</w:t>
      </w:r>
      <w:r w:rsidRPr="0072725A">
        <w:t xml:space="preserve"> processes for emergency access and rare</w:t>
      </w:r>
      <w:r>
        <w:t>-</w:t>
      </w:r>
      <w:r w:rsidRPr="0072725A">
        <w:t>use scenarios</w:t>
      </w:r>
    </w:p>
    <w:p w14:paraId="62F718B2" w14:textId="77777777" w:rsidR="006527B2" w:rsidRPr="0072725A" w:rsidRDefault="006527B2" w:rsidP="006527B2">
      <w:r>
        <w:t xml:space="preserve">This section contains the standards for achieving least privilege. </w:t>
      </w:r>
    </w:p>
    <w:p w14:paraId="3C7B5DE6" w14:textId="77777777" w:rsidR="006527B2" w:rsidRPr="002360BE" w:rsidRDefault="006527B2" w:rsidP="006527B2">
      <w:pPr>
        <w:pStyle w:val="Heading5"/>
        <w:rPr>
          <w:rFonts w:cs="Segoe UI"/>
          <w:b/>
          <w:color w:val="000000" w:themeColor="text1"/>
        </w:rPr>
      </w:pPr>
      <w:bookmarkStart w:id="7981" w:name="_Toc421201790"/>
      <w:r w:rsidRPr="002360BE">
        <w:rPr>
          <w:rFonts w:cs="Segoe UI"/>
          <w:b/>
          <w:color w:val="000000" w:themeColor="text1"/>
        </w:rPr>
        <w:t>Limit Count of Administrators</w:t>
      </w:r>
      <w:bookmarkEnd w:id="7981"/>
    </w:p>
    <w:p w14:paraId="63CE1659" w14:textId="77777777" w:rsidR="006527B2" w:rsidRPr="00A11336" w:rsidRDefault="006527B2" w:rsidP="006527B2">
      <w:r w:rsidRPr="00A11336">
        <w:t xml:space="preserve">A minimum of two qualified personnel </w:t>
      </w:r>
      <w:r>
        <w:t>should</w:t>
      </w:r>
      <w:r w:rsidRPr="00A11336">
        <w:t xml:space="preserve"> be assigned to each administrative role to ensure business continuity. </w:t>
      </w:r>
    </w:p>
    <w:p w14:paraId="743C2D58" w14:textId="77777777" w:rsidR="006527B2" w:rsidRPr="00A11336" w:rsidRDefault="006527B2" w:rsidP="006527B2">
      <w:r w:rsidRPr="00A11336">
        <w:t xml:space="preserve">If the number of personnel assigned to any role exceeds two, the </w:t>
      </w:r>
      <w:r>
        <w:t>change approval board</w:t>
      </w:r>
      <w:r w:rsidRPr="00A11336">
        <w:t xml:space="preserve"> must approve the specific reasons for assigning privileges to each individual member (including the original two). The justification for the approval must include</w:t>
      </w:r>
      <w:r>
        <w:t>:</w:t>
      </w:r>
    </w:p>
    <w:p w14:paraId="43A48114" w14:textId="77777777" w:rsidR="006527B2" w:rsidRPr="00A11336" w:rsidRDefault="006527B2" w:rsidP="005729D2">
      <w:pPr>
        <w:pStyle w:val="ListParagraph"/>
        <w:numPr>
          <w:ilvl w:val="0"/>
          <w:numId w:val="214"/>
        </w:numPr>
        <w:spacing w:before="0" w:after="160" w:line="259" w:lineRule="auto"/>
      </w:pPr>
      <w:r w:rsidRPr="00A11336">
        <w:t xml:space="preserve">What technical tasks are performed by the administrators that require the </w:t>
      </w:r>
      <w:r>
        <w:t xml:space="preserve">administrative </w:t>
      </w:r>
      <w:r w:rsidRPr="00A11336">
        <w:t>privileges</w:t>
      </w:r>
      <w:r>
        <w:t>?</w:t>
      </w:r>
    </w:p>
    <w:p w14:paraId="18F8BCB3" w14:textId="77777777" w:rsidR="006527B2" w:rsidRPr="00A11336" w:rsidRDefault="006527B2" w:rsidP="005729D2">
      <w:pPr>
        <w:pStyle w:val="ListParagraph"/>
        <w:numPr>
          <w:ilvl w:val="0"/>
          <w:numId w:val="214"/>
        </w:numPr>
        <w:spacing w:before="0" w:after="160" w:line="259" w:lineRule="auto"/>
      </w:pPr>
      <w:r>
        <w:t>How often are the tasks performed?</w:t>
      </w:r>
    </w:p>
    <w:p w14:paraId="196BF01A" w14:textId="77777777" w:rsidR="006527B2" w:rsidRPr="00A11336" w:rsidRDefault="006527B2" w:rsidP="005729D2">
      <w:pPr>
        <w:pStyle w:val="ListParagraph"/>
        <w:numPr>
          <w:ilvl w:val="0"/>
          <w:numId w:val="214"/>
        </w:numPr>
        <w:spacing w:before="0" w:after="160" w:line="259" w:lineRule="auto"/>
      </w:pPr>
      <w:r w:rsidRPr="00A11336">
        <w:t xml:space="preserve">Why </w:t>
      </w:r>
      <w:r>
        <w:t xml:space="preserve">can’t </w:t>
      </w:r>
      <w:r w:rsidRPr="00A11336">
        <w:t>the tasks be performed by another administrator on their behalf</w:t>
      </w:r>
      <w:r>
        <w:t>?</w:t>
      </w:r>
    </w:p>
    <w:p w14:paraId="33294EB9" w14:textId="5CE6DD73" w:rsidR="00F97B16" w:rsidRPr="00A11336" w:rsidRDefault="006527B2" w:rsidP="005729D2">
      <w:pPr>
        <w:pStyle w:val="ListParagraph"/>
        <w:numPr>
          <w:ilvl w:val="0"/>
          <w:numId w:val="214"/>
        </w:numPr>
        <w:spacing w:before="0" w:after="160" w:line="259" w:lineRule="auto"/>
      </w:pPr>
      <w:r w:rsidRPr="00A11336">
        <w:t xml:space="preserve">What alternatives to providing the </w:t>
      </w:r>
      <w:r>
        <w:t xml:space="preserve">administrative </w:t>
      </w:r>
      <w:r w:rsidRPr="00A11336">
        <w:t>privileges exist</w:t>
      </w:r>
      <w:r>
        <w:t>?</w:t>
      </w:r>
      <w:r w:rsidR="00F97B16" w:rsidRPr="00A11336">
        <w:t xml:space="preserve"> </w:t>
      </w:r>
    </w:p>
    <w:p w14:paraId="4A3DA158" w14:textId="77777777" w:rsidR="006527B2" w:rsidRPr="002360BE" w:rsidRDefault="006527B2" w:rsidP="006527B2">
      <w:pPr>
        <w:pStyle w:val="Heading5"/>
        <w:rPr>
          <w:rFonts w:cs="Segoe UI"/>
          <w:b/>
          <w:color w:val="000000" w:themeColor="text1"/>
        </w:rPr>
      </w:pPr>
      <w:r w:rsidRPr="002360BE">
        <w:rPr>
          <w:rFonts w:cs="Segoe UI"/>
          <w:b/>
          <w:color w:val="000000" w:themeColor="text1"/>
        </w:rPr>
        <w:t>Dynamically Assign Privileges</w:t>
      </w:r>
    </w:p>
    <w:p w14:paraId="396377BF" w14:textId="77777777" w:rsidR="006527B2" w:rsidRDefault="006527B2" w:rsidP="006527B2">
      <w:r>
        <w:t xml:space="preserve">Administrators are required to obtain permissions </w:t>
      </w:r>
      <w:r w:rsidRPr="0033450A">
        <w:t>“just</w:t>
      </w:r>
      <w:r>
        <w:t>-</w:t>
      </w:r>
      <w:r w:rsidRPr="0033450A">
        <w:t>in</w:t>
      </w:r>
      <w:r>
        <w:t>-</w:t>
      </w:r>
      <w:r w:rsidRPr="0033450A">
        <w:t xml:space="preserve">time” </w:t>
      </w:r>
      <w:r>
        <w:t xml:space="preserve">to use them as they perform tasks. No permissions will be permanently assigned to administrative accounts. </w:t>
      </w:r>
    </w:p>
    <w:p w14:paraId="37F5BEDE" w14:textId="77777777" w:rsidR="006527B2" w:rsidRPr="0033450A" w:rsidRDefault="006527B2" w:rsidP="006527B2">
      <w:r w:rsidRPr="0033450A">
        <w:t xml:space="preserve">Permanently assigned </w:t>
      </w:r>
      <w:r>
        <w:t xml:space="preserve">administrative </w:t>
      </w:r>
      <w:r w:rsidRPr="0033450A">
        <w:t xml:space="preserve">privileges naturally create a “most privilege” strategy </w:t>
      </w:r>
      <w:r>
        <w:t>because</w:t>
      </w:r>
      <w:r w:rsidRPr="0033450A">
        <w:t xml:space="preserve"> administrative personnel require rapid access to </w:t>
      </w:r>
      <w:r>
        <w:t>permissions</w:t>
      </w:r>
      <w:r w:rsidRPr="0033450A">
        <w:t xml:space="preserve"> to maintain operational availability </w:t>
      </w:r>
      <w:r>
        <w:t>if there is</w:t>
      </w:r>
      <w:r w:rsidRPr="0033450A">
        <w:t xml:space="preserve"> an issue. </w:t>
      </w:r>
      <w:r>
        <w:t xml:space="preserve">Just-in-time permissions provide the ability to: </w:t>
      </w:r>
    </w:p>
    <w:p w14:paraId="69A81460" w14:textId="77777777" w:rsidR="006527B2" w:rsidRPr="0033450A" w:rsidRDefault="006527B2" w:rsidP="005729D2">
      <w:pPr>
        <w:pStyle w:val="ListParagraph"/>
        <w:numPr>
          <w:ilvl w:val="0"/>
          <w:numId w:val="215"/>
        </w:numPr>
        <w:spacing w:before="0" w:after="160" w:line="259" w:lineRule="auto"/>
      </w:pPr>
      <w:r w:rsidRPr="0033450A">
        <w:t xml:space="preserve">Assign </w:t>
      </w:r>
      <w:r>
        <w:t>permissions</w:t>
      </w:r>
      <w:r w:rsidRPr="0033450A">
        <w:t xml:space="preserve"> more granularly, getting closer to least privilege</w:t>
      </w:r>
      <w:r>
        <w:t>.</w:t>
      </w:r>
    </w:p>
    <w:p w14:paraId="70229CE2" w14:textId="77777777" w:rsidR="006527B2" w:rsidRPr="0033450A" w:rsidRDefault="006527B2" w:rsidP="005729D2">
      <w:pPr>
        <w:pStyle w:val="ListParagraph"/>
        <w:numPr>
          <w:ilvl w:val="0"/>
          <w:numId w:val="215"/>
        </w:numPr>
        <w:spacing w:before="0" w:after="160" w:line="259" w:lineRule="auto"/>
      </w:pPr>
      <w:r w:rsidRPr="0033450A">
        <w:t>Reduc</w:t>
      </w:r>
      <w:r>
        <w:t>e</w:t>
      </w:r>
      <w:r w:rsidRPr="0033450A">
        <w:t xml:space="preserve"> the time footprint of assigned (and exposed) </w:t>
      </w:r>
      <w:r>
        <w:t>permissions.</w:t>
      </w:r>
      <w:r w:rsidRPr="0033450A">
        <w:t xml:space="preserve"> </w:t>
      </w:r>
    </w:p>
    <w:p w14:paraId="7AE98D86" w14:textId="77777777" w:rsidR="006527B2" w:rsidRPr="0033450A" w:rsidRDefault="006527B2" w:rsidP="005729D2">
      <w:pPr>
        <w:pStyle w:val="ListParagraph"/>
        <w:numPr>
          <w:ilvl w:val="0"/>
          <w:numId w:val="215"/>
        </w:numPr>
        <w:spacing w:before="0" w:after="160" w:line="259" w:lineRule="auto"/>
      </w:pPr>
      <w:r w:rsidRPr="0033450A">
        <w:t xml:space="preserve">Tracking </w:t>
      </w:r>
      <w:r>
        <w:t>permissions</w:t>
      </w:r>
      <w:r w:rsidRPr="0033450A">
        <w:t xml:space="preserve"> use </w:t>
      </w:r>
      <w:r>
        <w:t>to</w:t>
      </w:r>
      <w:r w:rsidRPr="0033450A">
        <w:t xml:space="preserve"> detect</w:t>
      </w:r>
      <w:r>
        <w:t xml:space="preserve"> </w:t>
      </w:r>
      <w:r w:rsidRPr="0033450A">
        <w:t>abuse or attacks</w:t>
      </w:r>
      <w:r>
        <w:t>.</w:t>
      </w:r>
      <w:r w:rsidRPr="0033450A">
        <w:t xml:space="preserve"> </w:t>
      </w:r>
    </w:p>
    <w:p w14:paraId="6CE73E98" w14:textId="77777777" w:rsidR="006527B2" w:rsidRPr="002360BE" w:rsidRDefault="006527B2" w:rsidP="006527B2">
      <w:pPr>
        <w:pStyle w:val="Heading4"/>
        <w:rPr>
          <w:rFonts w:ascii="Segoe UI" w:hAnsi="Segoe UI" w:cs="Segoe UI"/>
          <w:b/>
          <w:color w:val="000000" w:themeColor="text1"/>
          <w:szCs w:val="24"/>
        </w:rPr>
      </w:pPr>
      <w:bookmarkStart w:id="7982" w:name="_Toc423091771"/>
      <w:r w:rsidRPr="002360BE">
        <w:rPr>
          <w:rFonts w:ascii="Segoe UI" w:hAnsi="Segoe UI" w:cs="Segoe UI"/>
          <w:b/>
          <w:color w:val="000000" w:themeColor="text1"/>
          <w:szCs w:val="24"/>
        </w:rPr>
        <w:t>Manage Risk of Credential Exposure</w:t>
      </w:r>
      <w:bookmarkEnd w:id="7982"/>
    </w:p>
    <w:p w14:paraId="7E59433A" w14:textId="77777777" w:rsidR="006527B2" w:rsidRPr="002360BE" w:rsidRDefault="006527B2" w:rsidP="006527B2">
      <w:pPr>
        <w:pStyle w:val="Heading5"/>
        <w:rPr>
          <w:rFonts w:cs="Segoe UI"/>
          <w:b/>
          <w:color w:val="000000" w:themeColor="text1"/>
        </w:rPr>
      </w:pPr>
      <w:r w:rsidRPr="002360BE">
        <w:rPr>
          <w:rFonts w:cs="Segoe UI"/>
          <w:b/>
          <w:color w:val="000000" w:themeColor="text1"/>
        </w:rPr>
        <w:t>Separate Administrative Accounts</w:t>
      </w:r>
    </w:p>
    <w:p w14:paraId="41750B92" w14:textId="77777777" w:rsidR="006527B2" w:rsidRPr="00077301" w:rsidRDefault="006527B2" w:rsidP="006527B2">
      <w:pPr>
        <w:spacing w:after="200"/>
      </w:pPr>
      <w:r w:rsidRPr="00077301">
        <w:t xml:space="preserve">All personnel that are authorized to possess administrative privileges </w:t>
      </w:r>
      <w:r>
        <w:t>must</w:t>
      </w:r>
      <w:r w:rsidRPr="00077301">
        <w:t xml:space="preserve"> have separate accounts for administrative functions that are distinct from user accounts. </w:t>
      </w:r>
    </w:p>
    <w:p w14:paraId="4249B17C" w14:textId="77777777" w:rsidR="006527B2" w:rsidRDefault="006527B2" w:rsidP="006527B2">
      <w:pPr>
        <w:spacing w:after="200"/>
        <w:ind w:left="720"/>
        <w:rPr>
          <w:highlight w:val="yellow"/>
        </w:rPr>
      </w:pPr>
      <w:r w:rsidRPr="00077301">
        <w:rPr>
          <w:b/>
        </w:rPr>
        <w:t>Standard user account</w:t>
      </w:r>
      <w:r>
        <w:rPr>
          <w:b/>
        </w:rPr>
        <w:t>s</w:t>
      </w:r>
      <w:r w:rsidRPr="004E7ACC">
        <w:t xml:space="preserve"> – Grant standard user privileges for standard user tasks, such as email, web browsing, and using line-of-business applications. These accounts should not be granted administrative </w:t>
      </w:r>
      <w:r>
        <w:t>privileges</w:t>
      </w:r>
      <w:r w:rsidRPr="004E7ACC">
        <w:t>.</w:t>
      </w:r>
      <w:r w:rsidRPr="004E7ACC">
        <w:rPr>
          <w:highlight w:val="yellow"/>
        </w:rPr>
        <w:t xml:space="preserve"> </w:t>
      </w:r>
    </w:p>
    <w:p w14:paraId="202ACCE6" w14:textId="77777777" w:rsidR="006527B2" w:rsidRDefault="006527B2" w:rsidP="006527B2">
      <w:pPr>
        <w:spacing w:after="200"/>
        <w:ind w:left="720"/>
      </w:pPr>
      <w:r w:rsidRPr="00077301">
        <w:rPr>
          <w:b/>
        </w:rPr>
        <w:t xml:space="preserve">Administrative </w:t>
      </w:r>
      <w:r>
        <w:rPr>
          <w:b/>
        </w:rPr>
        <w:t>a</w:t>
      </w:r>
      <w:r w:rsidRPr="00077301">
        <w:rPr>
          <w:b/>
        </w:rPr>
        <w:t>ccounts</w:t>
      </w:r>
      <w:r w:rsidRPr="00077301">
        <w:t xml:space="preserve"> – Create separate accounts for personnel </w:t>
      </w:r>
      <w:r>
        <w:t xml:space="preserve">who are assigned the appropriate administrative privileges. An administrator who is required to manage assets in each Tier should have a separate account for each Tier. These accounts should have no access to email or the public Internet. </w:t>
      </w:r>
    </w:p>
    <w:p w14:paraId="250347C8" w14:textId="77777777" w:rsidR="006527B2" w:rsidRPr="002360BE" w:rsidRDefault="006527B2" w:rsidP="006527B2">
      <w:pPr>
        <w:pStyle w:val="Heading5"/>
        <w:rPr>
          <w:rFonts w:cs="Segoe UI"/>
          <w:b/>
          <w:color w:val="000000" w:themeColor="text1"/>
        </w:rPr>
      </w:pPr>
      <w:r w:rsidRPr="002360BE">
        <w:rPr>
          <w:rFonts w:cs="Segoe UI"/>
          <w:b/>
          <w:color w:val="000000" w:themeColor="text1"/>
        </w:rPr>
        <w:t>Administrator Logon Practices</w:t>
      </w:r>
    </w:p>
    <w:p w14:paraId="09E58E4A" w14:textId="77777777" w:rsidR="006527B2" w:rsidRDefault="006527B2" w:rsidP="006527B2">
      <w:pPr>
        <w:rPr>
          <w:color w:val="212121"/>
        </w:rPr>
      </w:pPr>
      <w:r>
        <w:rPr>
          <w:color w:val="212121"/>
        </w:rPr>
        <w:t xml:space="preserve">Before an administrator can log on to a host interactively (locally over standard RDP, by using RunAs, or by using the virtualization console), that host must meet or exceed the standard for the admin account Tier (or a higher Tier). This is because logging onto a host interactively grants control of the credentials to that host. </w:t>
      </w:r>
    </w:p>
    <w:p w14:paraId="46905D10" w14:textId="4D8235BC" w:rsidR="006527B2" w:rsidRDefault="006527B2" w:rsidP="006527B2">
      <w:pPr>
        <w:rPr>
          <w:color w:val="212121"/>
        </w:rPr>
      </w:pPr>
      <w:r>
        <w:rPr>
          <w:color w:val="212121"/>
        </w:rPr>
        <w:t xml:space="preserve">See the </w:t>
      </w:r>
      <w:hyperlink r:id="rId695" w:history="1">
        <w:r w:rsidRPr="00FD0A08">
          <w:rPr>
            <w:rStyle w:val="Hyperlink"/>
          </w:rPr>
          <w:t>Mitigating Pass-the-Hash (PtH) Attacks and Other Credential Theft Techniques</w:t>
        </w:r>
      </w:hyperlink>
      <w:r>
        <w:rPr>
          <w:color w:val="212121"/>
        </w:rPr>
        <w:t xml:space="preserve"> whitepaper (version 1) for details about logon types, common management tools, and credential exposure.</w:t>
      </w:r>
    </w:p>
    <w:p w14:paraId="3F18E7B8" w14:textId="2B4F00C9" w:rsidR="00F97B16" w:rsidRDefault="006527B2" w:rsidP="006527B2">
      <w:r w:rsidRPr="00077301">
        <w:t xml:space="preserve">Administrators </w:t>
      </w:r>
      <w:r>
        <w:t>can</w:t>
      </w:r>
      <w:r w:rsidRPr="00077301">
        <w:t xml:space="preserve"> only </w:t>
      </w:r>
      <w:r>
        <w:t xml:space="preserve">sign in </w:t>
      </w:r>
      <w:r w:rsidRPr="00077301">
        <w:t>to admin workstations with their administrative accounts. Administrators only log on</w:t>
      </w:r>
      <w:r>
        <w:t xml:space="preserve"> </w:t>
      </w:r>
      <w:r w:rsidRPr="00077301">
        <w:t xml:space="preserve">to managed resources </w:t>
      </w:r>
      <w:r>
        <w:t xml:space="preserve">by </w:t>
      </w:r>
      <w:r w:rsidRPr="00077301">
        <w:t>using the approved support technology</w:t>
      </w:r>
      <w:r>
        <w:t xml:space="preserve"> described</w:t>
      </w:r>
      <w:r w:rsidRPr="00077301">
        <w:t xml:space="preserve"> in the next section.</w:t>
      </w:r>
      <w:r w:rsidR="00F97B16" w:rsidRPr="00077301">
        <w:t xml:space="preserve"> </w:t>
      </w:r>
    </w:p>
    <w:p w14:paraId="397E46E6" w14:textId="77777777" w:rsidR="00F97B16" w:rsidRPr="00077301" w:rsidRDefault="00F97B16" w:rsidP="00F97B16"/>
    <w:p w14:paraId="3CCE07AA" w14:textId="77777777" w:rsidR="00E03B96" w:rsidRPr="00C56E6D" w:rsidRDefault="00E03B96" w:rsidP="00E03B96">
      <w:pPr>
        <w:pStyle w:val="Heading5"/>
        <w:rPr>
          <w:b/>
          <w:color w:val="000000" w:themeColor="text1"/>
        </w:rPr>
      </w:pPr>
      <w:bookmarkStart w:id="7983" w:name="_Toc421201796"/>
      <w:r w:rsidRPr="00C56E6D">
        <w:rPr>
          <w:b/>
          <w:color w:val="000000" w:themeColor="text1"/>
        </w:rPr>
        <w:t>Use of Approved Support Technology</w:t>
      </w:r>
    </w:p>
    <w:p w14:paraId="4708D4DB" w14:textId="77777777" w:rsidR="00E03B96" w:rsidRPr="00AB4B90" w:rsidRDefault="00E03B96" w:rsidP="00E03B96">
      <w:r w:rsidRPr="00AB4B90">
        <w:t xml:space="preserve">Administrators </w:t>
      </w:r>
      <w:r>
        <w:t xml:space="preserve">who </w:t>
      </w:r>
      <w:r w:rsidRPr="00AB4B90">
        <w:t xml:space="preserve">support remote systems and users must follow these guidelines to prevent an adversary in control of the remote computer from stealing their administrative credentials. </w:t>
      </w:r>
    </w:p>
    <w:p w14:paraId="38DAB611" w14:textId="77777777" w:rsidR="00E03B96" w:rsidRPr="008123A4" w:rsidRDefault="00E03B96" w:rsidP="005729D2">
      <w:pPr>
        <w:pStyle w:val="ListParagraph"/>
        <w:numPr>
          <w:ilvl w:val="0"/>
          <w:numId w:val="210"/>
        </w:numPr>
        <w:spacing w:before="0" w:after="160" w:line="259" w:lineRule="auto"/>
      </w:pPr>
      <w:r w:rsidRPr="00AB4B90">
        <w:t xml:space="preserve">The </w:t>
      </w:r>
      <w:r>
        <w:t>p</w:t>
      </w:r>
      <w:r w:rsidRPr="008123A4">
        <w:t xml:space="preserve">rimary support options should be used if </w:t>
      </w:r>
      <w:r>
        <w:t xml:space="preserve">they are </w:t>
      </w:r>
      <w:r w:rsidRPr="008123A4">
        <w:t>available</w:t>
      </w:r>
      <w:r>
        <w:t>.</w:t>
      </w:r>
    </w:p>
    <w:p w14:paraId="39878238" w14:textId="77777777" w:rsidR="00E03B96" w:rsidRPr="00AB4B90" w:rsidRDefault="00E03B96" w:rsidP="005729D2">
      <w:pPr>
        <w:pStyle w:val="ListParagraph"/>
        <w:numPr>
          <w:ilvl w:val="0"/>
          <w:numId w:val="210"/>
        </w:numPr>
        <w:spacing w:before="0" w:after="160" w:line="259" w:lineRule="auto"/>
      </w:pPr>
      <w:r w:rsidRPr="008123A4">
        <w:t xml:space="preserve">The </w:t>
      </w:r>
      <w:r>
        <w:t>s</w:t>
      </w:r>
      <w:r w:rsidRPr="008123A4">
        <w:t xml:space="preserve">econdary support options should only be used if the </w:t>
      </w:r>
      <w:r>
        <w:t>p</w:t>
      </w:r>
      <w:r w:rsidRPr="008123A4">
        <w:t>rimary</w:t>
      </w:r>
      <w:r w:rsidRPr="00AB4B90">
        <w:t xml:space="preserve"> support option is not available</w:t>
      </w:r>
      <w:r>
        <w:t>.</w:t>
      </w:r>
    </w:p>
    <w:p w14:paraId="1E9B623B" w14:textId="77777777" w:rsidR="00E03B96" w:rsidRPr="00AB4B90" w:rsidRDefault="00E03B96" w:rsidP="00E03B96">
      <w:pPr>
        <w:rPr>
          <w:b/>
        </w:rPr>
      </w:pPr>
      <w:r w:rsidRPr="00AB4B90">
        <w:rPr>
          <w:b/>
        </w:rPr>
        <w:t>Tier</w:t>
      </w:r>
      <w:r>
        <w:rPr>
          <w:b/>
        </w:rPr>
        <w:t> 1</w:t>
      </w:r>
      <w:r w:rsidRPr="00AB4B90">
        <w:rPr>
          <w:b/>
        </w:rPr>
        <w:t xml:space="preserve"> Server and Enterprise Application Support</w:t>
      </w:r>
    </w:p>
    <w:p w14:paraId="4A143AA3" w14:textId="77777777" w:rsidR="00E03B96" w:rsidRPr="00331EB4" w:rsidRDefault="00E03B96" w:rsidP="005729D2">
      <w:pPr>
        <w:pStyle w:val="ListParagraph"/>
        <w:numPr>
          <w:ilvl w:val="0"/>
          <w:numId w:val="209"/>
        </w:numPr>
        <w:spacing w:before="0" w:after="0" w:line="240" w:lineRule="auto"/>
      </w:pPr>
      <w:r w:rsidRPr="00331EB4">
        <w:rPr>
          <w:b/>
          <w:bCs/>
        </w:rPr>
        <w:t xml:space="preserve">Remote </w:t>
      </w:r>
      <w:r>
        <w:rPr>
          <w:b/>
          <w:bCs/>
        </w:rPr>
        <w:t>s</w:t>
      </w:r>
      <w:r w:rsidRPr="00331EB4">
        <w:rPr>
          <w:b/>
          <w:bCs/>
        </w:rPr>
        <w:t xml:space="preserve">erver </w:t>
      </w:r>
      <w:r>
        <w:rPr>
          <w:b/>
          <w:bCs/>
        </w:rPr>
        <w:t>s</w:t>
      </w:r>
      <w:r w:rsidRPr="00331EB4">
        <w:rPr>
          <w:b/>
          <w:bCs/>
        </w:rPr>
        <w:t>upport</w:t>
      </w:r>
      <w:r>
        <w:rPr>
          <w:b/>
          <w:bCs/>
        </w:rPr>
        <w:t xml:space="preserve"> - </w:t>
      </w:r>
      <w:r w:rsidRPr="00331EB4">
        <w:t xml:space="preserve">When </w:t>
      </w:r>
      <w:r>
        <w:t xml:space="preserve">remotely accessing a server, Tier 1 </w:t>
      </w:r>
      <w:r w:rsidRPr="00AB4B90">
        <w:t>administrators must follow</w:t>
      </w:r>
      <w:r>
        <w:t xml:space="preserve"> these guidelines: </w:t>
      </w:r>
    </w:p>
    <w:p w14:paraId="051A6AD1" w14:textId="77777777" w:rsidR="00E03B96" w:rsidRPr="000B20A2" w:rsidRDefault="00E03B96" w:rsidP="005729D2">
      <w:pPr>
        <w:pStyle w:val="ListParagraph"/>
        <w:numPr>
          <w:ilvl w:val="1"/>
          <w:numId w:val="303"/>
        </w:numPr>
        <w:spacing w:before="0" w:after="0" w:line="240" w:lineRule="auto"/>
        <w:rPr>
          <w:b/>
          <w:iCs/>
        </w:rPr>
      </w:pPr>
      <w:r w:rsidRPr="000B20A2">
        <w:rPr>
          <w:b/>
          <w:iCs/>
        </w:rPr>
        <w:t xml:space="preserve">Primary </w:t>
      </w:r>
      <w:r w:rsidRPr="000B20A2">
        <w:rPr>
          <w:iCs/>
        </w:rPr>
        <w:t>(</w:t>
      </w:r>
      <w:r w:rsidRPr="00C56E6D">
        <w:rPr>
          <w:b/>
          <w:iCs/>
        </w:rPr>
        <w:t>tool</w:t>
      </w:r>
      <w:r w:rsidRPr="000B20A2">
        <w:rPr>
          <w:iCs/>
        </w:rPr>
        <w:t>)</w:t>
      </w:r>
      <w:r>
        <w:rPr>
          <w:iCs/>
        </w:rPr>
        <w:t xml:space="preserve"> - </w:t>
      </w:r>
      <w:r w:rsidRPr="000B20A2">
        <w:rPr>
          <w:iCs/>
        </w:rPr>
        <w:t>Remote tools that use network logons (type 3)</w:t>
      </w:r>
      <w:r>
        <w:rPr>
          <w:iCs/>
        </w:rPr>
        <w:t>. For more information,</w:t>
      </w:r>
      <w:r w:rsidRPr="000B20A2">
        <w:rPr>
          <w:iCs/>
        </w:rPr>
        <w:t xml:space="preserve"> see </w:t>
      </w:r>
      <w:hyperlink r:id="rId696" w:history="1">
        <w:r w:rsidRPr="000B20A2">
          <w:rPr>
            <w:rStyle w:val="Hyperlink"/>
            <w:iCs/>
          </w:rPr>
          <w:t>Mitigating Pass-the-Hash and Other Credential Theft v1</w:t>
        </w:r>
      </w:hyperlink>
      <w:r w:rsidRPr="000B20A2">
        <w:rPr>
          <w:iCs/>
        </w:rPr>
        <w:t xml:space="preserve"> (pp 42-47)</w:t>
      </w:r>
      <w:r>
        <w:rPr>
          <w:iCs/>
        </w:rPr>
        <w:t>.</w:t>
      </w:r>
      <w:r w:rsidRPr="000B20A2">
        <w:rPr>
          <w:iCs/>
        </w:rPr>
        <w:t xml:space="preserve"> </w:t>
      </w:r>
    </w:p>
    <w:p w14:paraId="6180811B" w14:textId="77777777" w:rsidR="00E03B96" w:rsidRPr="000B20A2" w:rsidRDefault="00E03B96" w:rsidP="005729D2">
      <w:pPr>
        <w:pStyle w:val="ListParagraph"/>
        <w:numPr>
          <w:ilvl w:val="1"/>
          <w:numId w:val="303"/>
        </w:numPr>
        <w:spacing w:before="0" w:after="0" w:line="240" w:lineRule="auto"/>
      </w:pPr>
      <w:r w:rsidRPr="000B20A2">
        <w:rPr>
          <w:b/>
          <w:iCs/>
        </w:rPr>
        <w:t xml:space="preserve">Primary </w:t>
      </w:r>
      <w:r w:rsidRPr="000B20A2">
        <w:rPr>
          <w:iCs/>
        </w:rPr>
        <w:t>(</w:t>
      </w:r>
      <w:r w:rsidRPr="00C56E6D">
        <w:rPr>
          <w:b/>
          <w:iCs/>
        </w:rPr>
        <w:t>interactive</w:t>
      </w:r>
      <w:r w:rsidRPr="000B20A2">
        <w:rPr>
          <w:iCs/>
        </w:rPr>
        <w:t>)</w:t>
      </w:r>
      <w:r>
        <w:rPr>
          <w:iCs/>
        </w:rPr>
        <w:t xml:space="preserve"> - Use </w:t>
      </w:r>
      <w:r w:rsidRPr="000B20A2">
        <w:rPr>
          <w:iCs/>
        </w:rPr>
        <w:t xml:space="preserve">RDP RestrictedAdmin from </w:t>
      </w:r>
      <w:r>
        <w:rPr>
          <w:iCs/>
        </w:rPr>
        <w:t xml:space="preserve">an </w:t>
      </w:r>
      <w:r w:rsidRPr="000B20A2">
        <w:rPr>
          <w:iCs/>
        </w:rPr>
        <w:t xml:space="preserve">admin workstation with </w:t>
      </w:r>
      <w:r>
        <w:rPr>
          <w:iCs/>
        </w:rPr>
        <w:t xml:space="preserve">a </w:t>
      </w:r>
      <w:r w:rsidRPr="000B20A2">
        <w:rPr>
          <w:iCs/>
        </w:rPr>
        <w:t xml:space="preserve">domain account </w:t>
      </w:r>
      <w:r>
        <w:rPr>
          <w:iCs/>
        </w:rPr>
        <w:t xml:space="preserve">that </w:t>
      </w:r>
      <w:r w:rsidRPr="000B20A2">
        <w:rPr>
          <w:iCs/>
        </w:rPr>
        <w:t>us</w:t>
      </w:r>
      <w:r>
        <w:rPr>
          <w:iCs/>
        </w:rPr>
        <w:t>es</w:t>
      </w:r>
      <w:r w:rsidRPr="000B20A2">
        <w:rPr>
          <w:iCs/>
        </w:rPr>
        <w:t xml:space="preserve"> </w:t>
      </w:r>
      <w:r>
        <w:rPr>
          <w:iCs/>
        </w:rPr>
        <w:t>permissions</w:t>
      </w:r>
      <w:r w:rsidRPr="000B20A2">
        <w:rPr>
          <w:iCs/>
        </w:rPr>
        <w:t xml:space="preserve"> obtained just</w:t>
      </w:r>
      <w:r>
        <w:rPr>
          <w:iCs/>
        </w:rPr>
        <w:t>-</w:t>
      </w:r>
      <w:r w:rsidRPr="000B20A2">
        <w:rPr>
          <w:iCs/>
        </w:rPr>
        <w:t>in</w:t>
      </w:r>
      <w:r>
        <w:rPr>
          <w:iCs/>
        </w:rPr>
        <w:t>-</w:t>
      </w:r>
      <w:r w:rsidRPr="000B20A2">
        <w:rPr>
          <w:iCs/>
        </w:rPr>
        <w:t xml:space="preserve">time from </w:t>
      </w:r>
      <w:r>
        <w:rPr>
          <w:iCs/>
        </w:rPr>
        <w:t xml:space="preserve">a </w:t>
      </w:r>
      <w:r w:rsidRPr="000B20A2">
        <w:rPr>
          <w:iCs/>
        </w:rPr>
        <w:t>privileged access management solution</w:t>
      </w:r>
      <w:r>
        <w:rPr>
          <w:iCs/>
        </w:rPr>
        <w:t>.</w:t>
      </w:r>
    </w:p>
    <w:p w14:paraId="19E5D6F5" w14:textId="77777777" w:rsidR="00E03B96" w:rsidRPr="000B20A2" w:rsidRDefault="00E03B96" w:rsidP="005729D2">
      <w:pPr>
        <w:pStyle w:val="ListParagraph"/>
        <w:numPr>
          <w:ilvl w:val="1"/>
          <w:numId w:val="303"/>
        </w:numPr>
        <w:spacing w:before="0" w:after="0" w:line="240" w:lineRule="auto"/>
      </w:pPr>
      <w:r w:rsidRPr="000B20A2">
        <w:rPr>
          <w:b/>
          <w:iCs/>
        </w:rPr>
        <w:t>Secondary</w:t>
      </w:r>
      <w:r w:rsidRPr="000B20A2">
        <w:t xml:space="preserve"> </w:t>
      </w:r>
      <w:r>
        <w:t xml:space="preserve">- </w:t>
      </w:r>
      <w:r w:rsidRPr="000B20A2">
        <w:t>Log</w:t>
      </w:r>
      <w:r>
        <w:t xml:space="preserve"> </w:t>
      </w:r>
      <w:r w:rsidRPr="000B20A2">
        <w:t xml:space="preserve">on to the server </w:t>
      </w:r>
      <w:r>
        <w:t xml:space="preserve">by </w:t>
      </w:r>
      <w:r w:rsidRPr="000B20A2">
        <w:t xml:space="preserve">using </w:t>
      </w:r>
      <w:r>
        <w:t xml:space="preserve">a </w:t>
      </w:r>
      <w:r w:rsidRPr="000B20A2">
        <w:t xml:space="preserve">local account password </w:t>
      </w:r>
      <w:r>
        <w:t xml:space="preserve">that is </w:t>
      </w:r>
      <w:r w:rsidRPr="000B20A2">
        <w:t>set by LAPS from an admin workstation</w:t>
      </w:r>
      <w:r>
        <w:t>.</w:t>
      </w:r>
    </w:p>
    <w:p w14:paraId="217428EE" w14:textId="77777777" w:rsidR="00E03B96" w:rsidRPr="000B20A2" w:rsidRDefault="00E03B96" w:rsidP="005729D2">
      <w:pPr>
        <w:pStyle w:val="ListParagraph"/>
        <w:numPr>
          <w:ilvl w:val="1"/>
          <w:numId w:val="303"/>
        </w:numPr>
        <w:spacing w:before="0" w:after="160" w:line="259" w:lineRule="auto"/>
      </w:pPr>
      <w:r w:rsidRPr="000B20A2">
        <w:rPr>
          <w:b/>
          <w:iCs/>
        </w:rPr>
        <w:t>Forbidden</w:t>
      </w:r>
      <w:r w:rsidRPr="000B20A2">
        <w:rPr>
          <w:iCs/>
        </w:rPr>
        <w:t xml:space="preserve"> </w:t>
      </w:r>
      <w:r>
        <w:rPr>
          <w:iCs/>
        </w:rPr>
        <w:t xml:space="preserve">- </w:t>
      </w:r>
      <w:r w:rsidRPr="000B20A2">
        <w:t>Standard RDP may not be used with a domain account</w:t>
      </w:r>
      <w:r>
        <w:t>.</w:t>
      </w:r>
    </w:p>
    <w:p w14:paraId="00530795" w14:textId="77777777" w:rsidR="00E03B96" w:rsidRPr="00AB4B90" w:rsidRDefault="00E03B96" w:rsidP="005729D2">
      <w:pPr>
        <w:pStyle w:val="ListParagraph"/>
        <w:numPr>
          <w:ilvl w:val="1"/>
          <w:numId w:val="303"/>
        </w:numPr>
        <w:spacing w:before="0" w:after="160" w:line="259" w:lineRule="auto"/>
      </w:pPr>
      <w:r w:rsidRPr="000B20A2">
        <w:rPr>
          <w:b/>
          <w:iCs/>
        </w:rPr>
        <w:t>Forbidden</w:t>
      </w:r>
      <w:r>
        <w:rPr>
          <w:b/>
          <w:iCs/>
        </w:rPr>
        <w:t xml:space="preserve"> - </w:t>
      </w:r>
      <w:r w:rsidRPr="00AB4B90">
        <w:t>Using the domain account credentials while in the session (</w:t>
      </w:r>
      <w:r>
        <w:t xml:space="preserve">for example, using </w:t>
      </w:r>
      <w:r w:rsidRPr="00AB4B90">
        <w:t>RunAs</w:t>
      </w:r>
      <w:r>
        <w:t xml:space="preserve"> or</w:t>
      </w:r>
      <w:r w:rsidRPr="00AB4B90">
        <w:t xml:space="preserve"> authenticating to a share)</w:t>
      </w:r>
      <w:r>
        <w:t>.</w:t>
      </w:r>
      <w:r w:rsidRPr="00AB4B90">
        <w:t xml:space="preserve"> </w:t>
      </w:r>
      <w:r>
        <w:t>T</w:t>
      </w:r>
      <w:r w:rsidRPr="00AB4B90">
        <w:t>his expose</w:t>
      </w:r>
      <w:r>
        <w:t>s</w:t>
      </w:r>
      <w:r w:rsidRPr="00AB4B90">
        <w:t xml:space="preserve"> the logon credentials to </w:t>
      </w:r>
      <w:r>
        <w:t xml:space="preserve">the </w:t>
      </w:r>
      <w:r w:rsidRPr="00AB4B90">
        <w:t>risk of theft</w:t>
      </w:r>
      <w:r>
        <w:t>.</w:t>
      </w:r>
    </w:p>
    <w:p w14:paraId="0C569FCC" w14:textId="77777777" w:rsidR="00E03B96" w:rsidRPr="00AB4B90" w:rsidRDefault="00E03B96" w:rsidP="005729D2">
      <w:pPr>
        <w:pStyle w:val="ListParagraph"/>
        <w:numPr>
          <w:ilvl w:val="0"/>
          <w:numId w:val="209"/>
        </w:numPr>
        <w:spacing w:before="0" w:after="0" w:line="240" w:lineRule="auto"/>
      </w:pPr>
      <w:r w:rsidRPr="00AB4B90">
        <w:rPr>
          <w:b/>
          <w:bCs/>
        </w:rPr>
        <w:t xml:space="preserve">Physical </w:t>
      </w:r>
      <w:r>
        <w:rPr>
          <w:b/>
          <w:bCs/>
        </w:rPr>
        <w:t>s</w:t>
      </w:r>
      <w:r w:rsidRPr="00AB4B90">
        <w:rPr>
          <w:b/>
          <w:bCs/>
        </w:rPr>
        <w:t xml:space="preserve">erver </w:t>
      </w:r>
      <w:r>
        <w:rPr>
          <w:b/>
          <w:bCs/>
        </w:rPr>
        <w:t>s</w:t>
      </w:r>
      <w:r w:rsidRPr="00AB4B90">
        <w:rPr>
          <w:b/>
          <w:bCs/>
        </w:rPr>
        <w:t>upport</w:t>
      </w:r>
      <w:r w:rsidRPr="00AB4B90">
        <w:t xml:space="preserve"> – When physically present at a server console or at a </w:t>
      </w:r>
      <w:r>
        <w:t>virtual machine</w:t>
      </w:r>
      <w:r w:rsidRPr="00AB4B90">
        <w:t xml:space="preserve"> </w:t>
      </w:r>
      <w:r>
        <w:t>c</w:t>
      </w:r>
      <w:r w:rsidRPr="00AB4B90">
        <w:t xml:space="preserve">onsole (Hyper-V </w:t>
      </w:r>
      <w:r>
        <w:t>or</w:t>
      </w:r>
      <w:r w:rsidRPr="00AB4B90">
        <w:t xml:space="preserve"> VMWare tools), Tier</w:t>
      </w:r>
      <w:r>
        <w:t> 1</w:t>
      </w:r>
      <w:r w:rsidRPr="00AB4B90">
        <w:t xml:space="preserve"> administrators must retrieve the local account password from LAPS prior to accessing the server</w:t>
      </w:r>
      <w:r>
        <w:t>.</w:t>
      </w:r>
    </w:p>
    <w:p w14:paraId="723CFF38" w14:textId="77777777" w:rsidR="00E03B96" w:rsidRPr="000B20A2" w:rsidRDefault="00E03B96" w:rsidP="005729D2">
      <w:pPr>
        <w:pStyle w:val="ListParagraph"/>
        <w:numPr>
          <w:ilvl w:val="1"/>
          <w:numId w:val="209"/>
        </w:numPr>
        <w:spacing w:before="0" w:after="160" w:line="259" w:lineRule="auto"/>
      </w:pPr>
      <w:r w:rsidRPr="000B20A2">
        <w:rPr>
          <w:b/>
          <w:iCs/>
        </w:rPr>
        <w:t>Primary</w:t>
      </w:r>
      <w:r w:rsidRPr="000B20A2">
        <w:rPr>
          <w:iCs/>
        </w:rPr>
        <w:t xml:space="preserve"> </w:t>
      </w:r>
      <w:r w:rsidRPr="000B20A2">
        <w:t xml:space="preserve">– Retrieve </w:t>
      </w:r>
      <w:r>
        <w:t xml:space="preserve">the </w:t>
      </w:r>
      <w:r w:rsidRPr="000B20A2">
        <w:t xml:space="preserve">local account password set by LAPS from an admin workstation before </w:t>
      </w:r>
      <w:r>
        <w:t>logging on to the</w:t>
      </w:r>
      <w:r w:rsidRPr="000B20A2">
        <w:t xml:space="preserve"> server</w:t>
      </w:r>
      <w:r>
        <w:t>.</w:t>
      </w:r>
    </w:p>
    <w:p w14:paraId="2917F2B5" w14:textId="77777777" w:rsidR="00E03B96" w:rsidRPr="000B20A2" w:rsidRDefault="00E03B96" w:rsidP="005729D2">
      <w:pPr>
        <w:pStyle w:val="ListParagraph"/>
        <w:numPr>
          <w:ilvl w:val="1"/>
          <w:numId w:val="209"/>
        </w:numPr>
        <w:spacing w:before="0" w:after="160" w:line="259" w:lineRule="auto"/>
      </w:pPr>
      <w:r w:rsidRPr="000B20A2">
        <w:rPr>
          <w:b/>
          <w:iCs/>
        </w:rPr>
        <w:t>Forbidden</w:t>
      </w:r>
      <w:r w:rsidRPr="000B20A2">
        <w:rPr>
          <w:iCs/>
        </w:rPr>
        <w:t xml:space="preserve"> </w:t>
      </w:r>
      <w:r w:rsidRPr="000B20A2">
        <w:t>– Logging on with a domain account is not allowed in this scenario</w:t>
      </w:r>
      <w:r>
        <w:t>.</w:t>
      </w:r>
    </w:p>
    <w:p w14:paraId="522C69B0" w14:textId="16C6DF8D" w:rsidR="00F97B16" w:rsidRPr="00AB4B90" w:rsidRDefault="00E03B96" w:rsidP="005729D2">
      <w:pPr>
        <w:pStyle w:val="ListParagraph"/>
        <w:numPr>
          <w:ilvl w:val="1"/>
          <w:numId w:val="209"/>
        </w:numPr>
        <w:spacing w:before="0" w:after="160" w:line="259" w:lineRule="auto"/>
      </w:pPr>
      <w:r w:rsidRPr="000B20A2">
        <w:rPr>
          <w:b/>
          <w:iCs/>
        </w:rPr>
        <w:t>Forbidden</w:t>
      </w:r>
      <w:r w:rsidRPr="000B20A2">
        <w:rPr>
          <w:i/>
          <w:iCs/>
        </w:rPr>
        <w:t xml:space="preserve"> </w:t>
      </w:r>
      <w:r w:rsidRPr="00AB4B90">
        <w:t>– Using the domain account credentials while in the session (</w:t>
      </w:r>
      <w:r>
        <w:t xml:space="preserve">for example, </w:t>
      </w:r>
      <w:r w:rsidRPr="00AB4B90">
        <w:t>RunAs</w:t>
      </w:r>
      <w:r>
        <w:t xml:space="preserve"> or</w:t>
      </w:r>
      <w:r w:rsidRPr="00AB4B90">
        <w:t xml:space="preserve"> authenticating to a share)</w:t>
      </w:r>
      <w:r>
        <w:t>.</w:t>
      </w:r>
      <w:r w:rsidRPr="00AB4B90">
        <w:t xml:space="preserve"> </w:t>
      </w:r>
      <w:r>
        <w:t>T</w:t>
      </w:r>
      <w:r w:rsidRPr="00AB4B90">
        <w:t>his expose</w:t>
      </w:r>
      <w:r>
        <w:t>s</w:t>
      </w:r>
      <w:r w:rsidRPr="00AB4B90">
        <w:t xml:space="preserve"> the logon credentials to </w:t>
      </w:r>
      <w:r>
        <w:t xml:space="preserve">the </w:t>
      </w:r>
      <w:r w:rsidRPr="00AB4B90">
        <w:t>risk of theft</w:t>
      </w:r>
      <w:r>
        <w:t>.</w:t>
      </w:r>
    </w:p>
    <w:p w14:paraId="0CDF58C9" w14:textId="77777777" w:rsidR="00F97B16" w:rsidRPr="005744D8" w:rsidRDefault="00F97B16" w:rsidP="00F97B16"/>
    <w:p w14:paraId="196B8E4F" w14:textId="77777777" w:rsidR="000523AC" w:rsidRPr="005744D8" w:rsidRDefault="000523AC" w:rsidP="000523AC">
      <w:pPr>
        <w:rPr>
          <w:b/>
        </w:rPr>
      </w:pPr>
      <w:r w:rsidRPr="005744D8">
        <w:rPr>
          <w:b/>
        </w:rPr>
        <w:t>Tier</w:t>
      </w:r>
      <w:r>
        <w:rPr>
          <w:b/>
        </w:rPr>
        <w:t> 2</w:t>
      </w:r>
      <w:r w:rsidRPr="005744D8">
        <w:rPr>
          <w:b/>
        </w:rPr>
        <w:t xml:space="preserve"> Help</w:t>
      </w:r>
      <w:r>
        <w:rPr>
          <w:b/>
        </w:rPr>
        <w:t xml:space="preserve"> D</w:t>
      </w:r>
      <w:r w:rsidRPr="005744D8">
        <w:rPr>
          <w:b/>
        </w:rPr>
        <w:t>esk and User Support</w:t>
      </w:r>
    </w:p>
    <w:p w14:paraId="4E3F37C7" w14:textId="77777777" w:rsidR="000523AC" w:rsidRPr="005744D8" w:rsidRDefault="000523AC" w:rsidP="000523AC">
      <w:r w:rsidRPr="005744D8">
        <w:t>Help</w:t>
      </w:r>
      <w:r>
        <w:t xml:space="preserve"> D</w:t>
      </w:r>
      <w:r w:rsidRPr="005744D8">
        <w:t xml:space="preserve">esk and user support organizations perform support for end users (which doesn’t require administrative privileges) and the user workstations (which does require administrative privileges). </w:t>
      </w:r>
    </w:p>
    <w:p w14:paraId="6A4BA748" w14:textId="77777777" w:rsidR="000523AC" w:rsidRPr="00FB63EA" w:rsidRDefault="000523AC" w:rsidP="000523AC">
      <w:pPr>
        <w:spacing w:before="0" w:after="0" w:line="240" w:lineRule="auto"/>
        <w:rPr>
          <w:b/>
          <w:bCs/>
        </w:rPr>
      </w:pPr>
      <w:r w:rsidRPr="00FB63EA">
        <w:rPr>
          <w:b/>
          <w:bCs/>
        </w:rPr>
        <w:t xml:space="preserve">User support – </w:t>
      </w:r>
      <w:r>
        <w:rPr>
          <w:bCs/>
        </w:rPr>
        <w:t>Tasks include a</w:t>
      </w:r>
      <w:r w:rsidRPr="00FB63EA">
        <w:rPr>
          <w:bCs/>
        </w:rPr>
        <w:t>ssisting users with performing tasks that require no modification to the workstation, frequently showing them how to use an application feature or operating system feature.</w:t>
      </w:r>
      <w:r w:rsidRPr="00FB63EA">
        <w:rPr>
          <w:b/>
          <w:bCs/>
        </w:rPr>
        <w:t xml:space="preserve"> </w:t>
      </w:r>
    </w:p>
    <w:p w14:paraId="735D54C3" w14:textId="77777777" w:rsidR="000523AC" w:rsidRPr="005744D8" w:rsidRDefault="000523AC" w:rsidP="005729D2">
      <w:pPr>
        <w:pStyle w:val="ListParagraph"/>
        <w:numPr>
          <w:ilvl w:val="0"/>
          <w:numId w:val="209"/>
        </w:numPr>
        <w:spacing w:before="0" w:after="0" w:line="240" w:lineRule="auto"/>
      </w:pPr>
      <w:r w:rsidRPr="005744D8">
        <w:rPr>
          <w:b/>
        </w:rPr>
        <w:t>Desk</w:t>
      </w:r>
      <w:r>
        <w:rPr>
          <w:b/>
        </w:rPr>
        <w:t>-</w:t>
      </w:r>
      <w:r w:rsidRPr="005744D8">
        <w:rPr>
          <w:b/>
        </w:rPr>
        <w:t xml:space="preserve">side </w:t>
      </w:r>
      <w:r>
        <w:rPr>
          <w:b/>
        </w:rPr>
        <w:t>u</w:t>
      </w:r>
      <w:r w:rsidRPr="005744D8">
        <w:rPr>
          <w:b/>
        </w:rPr>
        <w:t xml:space="preserve">ser </w:t>
      </w:r>
      <w:r>
        <w:rPr>
          <w:b/>
        </w:rPr>
        <w:t>s</w:t>
      </w:r>
      <w:r w:rsidRPr="005744D8">
        <w:rPr>
          <w:b/>
        </w:rPr>
        <w:t>upport</w:t>
      </w:r>
      <w:r w:rsidRPr="005744D8">
        <w:t xml:space="preserve"> – </w:t>
      </w:r>
      <w:r>
        <w:t>T</w:t>
      </w:r>
      <w:r w:rsidRPr="005744D8">
        <w:t>he Tier</w:t>
      </w:r>
      <w:r>
        <w:t> 2</w:t>
      </w:r>
      <w:r w:rsidRPr="005744D8">
        <w:t xml:space="preserve"> support personnel is physically at the user’s workspace</w:t>
      </w:r>
      <w:r>
        <w:t>.</w:t>
      </w:r>
    </w:p>
    <w:p w14:paraId="5E89B459" w14:textId="77777777" w:rsidR="000523AC" w:rsidRPr="00FB63EA" w:rsidRDefault="000523AC" w:rsidP="005729D2">
      <w:pPr>
        <w:pStyle w:val="ListParagraph"/>
        <w:numPr>
          <w:ilvl w:val="1"/>
          <w:numId w:val="305"/>
        </w:numPr>
        <w:spacing w:before="0" w:after="0" w:line="240" w:lineRule="auto"/>
      </w:pPr>
      <w:r w:rsidRPr="00FB63EA">
        <w:rPr>
          <w:b/>
        </w:rPr>
        <w:t xml:space="preserve">Primary – </w:t>
      </w:r>
      <w:r w:rsidRPr="00FB63EA">
        <w:t>“</w:t>
      </w:r>
      <w:r>
        <w:t>O</w:t>
      </w:r>
      <w:r w:rsidRPr="00FB63EA">
        <w:t>ver the shoulder” support can be provided with no tools</w:t>
      </w:r>
      <w:r>
        <w:t>.</w:t>
      </w:r>
    </w:p>
    <w:p w14:paraId="63D8AFBE" w14:textId="77777777" w:rsidR="000523AC" w:rsidRPr="00FB63EA" w:rsidRDefault="000523AC" w:rsidP="005729D2">
      <w:pPr>
        <w:pStyle w:val="ListParagraph"/>
        <w:numPr>
          <w:ilvl w:val="1"/>
          <w:numId w:val="305"/>
        </w:numPr>
        <w:spacing w:before="0" w:after="0" w:line="240" w:lineRule="auto"/>
      </w:pPr>
      <w:r w:rsidRPr="00FB63EA">
        <w:rPr>
          <w:b/>
          <w:iCs/>
        </w:rPr>
        <w:t>Forbidden</w:t>
      </w:r>
      <w:r w:rsidRPr="00FB63EA">
        <w:t xml:space="preserve"> – Logging on with domain account administrative credentials is not allowed in this scenario. Switch to </w:t>
      </w:r>
      <w:r>
        <w:t>d</w:t>
      </w:r>
      <w:r w:rsidRPr="00FB63EA">
        <w:t>esk</w:t>
      </w:r>
      <w:r>
        <w:t>-</w:t>
      </w:r>
      <w:r w:rsidRPr="00FB63EA">
        <w:t>side</w:t>
      </w:r>
      <w:r>
        <w:t xml:space="preserve"> w</w:t>
      </w:r>
      <w:r w:rsidRPr="00FB63EA">
        <w:t xml:space="preserve">orkstation support if administrative privileges are required. </w:t>
      </w:r>
    </w:p>
    <w:p w14:paraId="0ADAFE11" w14:textId="77777777" w:rsidR="000523AC" w:rsidRPr="00FB63EA" w:rsidRDefault="000523AC" w:rsidP="005729D2">
      <w:pPr>
        <w:pStyle w:val="ListParagraph"/>
        <w:numPr>
          <w:ilvl w:val="0"/>
          <w:numId w:val="209"/>
        </w:numPr>
        <w:spacing w:before="0" w:after="0" w:line="240" w:lineRule="auto"/>
      </w:pPr>
      <w:r w:rsidRPr="00FB63EA">
        <w:rPr>
          <w:b/>
        </w:rPr>
        <w:t xml:space="preserve">Remote </w:t>
      </w:r>
      <w:r>
        <w:rPr>
          <w:b/>
        </w:rPr>
        <w:t>u</w:t>
      </w:r>
      <w:r w:rsidRPr="00FB63EA">
        <w:rPr>
          <w:b/>
        </w:rPr>
        <w:t xml:space="preserve">ser </w:t>
      </w:r>
      <w:r>
        <w:rPr>
          <w:b/>
        </w:rPr>
        <w:t>s</w:t>
      </w:r>
      <w:r w:rsidRPr="00FB63EA">
        <w:rPr>
          <w:b/>
        </w:rPr>
        <w:t>upport</w:t>
      </w:r>
      <w:r w:rsidRPr="00FB63EA">
        <w:t xml:space="preserve"> – </w:t>
      </w:r>
      <w:r>
        <w:t>T</w:t>
      </w:r>
      <w:r w:rsidRPr="00FB63EA">
        <w:t>he Tier 2 support personnel is physically remote to the user</w:t>
      </w:r>
      <w:r>
        <w:t>.</w:t>
      </w:r>
    </w:p>
    <w:p w14:paraId="0E519730" w14:textId="77777777" w:rsidR="000523AC" w:rsidRPr="00FB63EA" w:rsidRDefault="000523AC" w:rsidP="005729D2">
      <w:pPr>
        <w:pStyle w:val="ListParagraph"/>
        <w:numPr>
          <w:ilvl w:val="1"/>
          <w:numId w:val="304"/>
        </w:numPr>
        <w:spacing w:before="0" w:after="0" w:line="240" w:lineRule="auto"/>
      </w:pPr>
      <w:r w:rsidRPr="00FB63EA">
        <w:rPr>
          <w:b/>
        </w:rPr>
        <w:t>Primary</w:t>
      </w:r>
      <w:r w:rsidRPr="00FB63EA">
        <w:t xml:space="preserve"> – Remote Assistance, Skype for Business, or similar user</w:t>
      </w:r>
      <w:r>
        <w:t>-</w:t>
      </w:r>
      <w:r w:rsidRPr="00FB63EA">
        <w:t>screen sharing may be used</w:t>
      </w:r>
      <w:r>
        <w:t xml:space="preserve">. For more information, see </w:t>
      </w:r>
      <w:hyperlink r:id="rId697" w:anchor="1TC=windows-7" w:history="1">
        <w:r w:rsidRPr="00FB63EA">
          <w:rPr>
            <w:rStyle w:val="Hyperlink"/>
          </w:rPr>
          <w:t>What is Windows Remote Assistance?</w:t>
        </w:r>
      </w:hyperlink>
    </w:p>
    <w:p w14:paraId="6B21CB13" w14:textId="77777777" w:rsidR="000523AC" w:rsidRPr="00FB63EA" w:rsidRDefault="000523AC" w:rsidP="005729D2">
      <w:pPr>
        <w:pStyle w:val="ListParagraph"/>
        <w:numPr>
          <w:ilvl w:val="1"/>
          <w:numId w:val="304"/>
        </w:numPr>
        <w:spacing w:before="0" w:after="0" w:line="240" w:lineRule="auto"/>
      </w:pPr>
      <w:r w:rsidRPr="00FB63EA">
        <w:rPr>
          <w:b/>
        </w:rPr>
        <w:t>Forbidden</w:t>
      </w:r>
      <w:r w:rsidRPr="00FB63EA">
        <w:t xml:space="preserve"> – Logging on with domain account administrative credentials is not allowed in this scenario. Switch to </w:t>
      </w:r>
      <w:r>
        <w:t>w</w:t>
      </w:r>
      <w:r w:rsidRPr="00FB63EA">
        <w:t>orkstation support if administrative privileges are required.</w:t>
      </w:r>
    </w:p>
    <w:p w14:paraId="0A78926A" w14:textId="77777777" w:rsidR="000523AC" w:rsidRPr="00142B27" w:rsidRDefault="000523AC" w:rsidP="000523AC">
      <w:pPr>
        <w:ind w:left="720"/>
      </w:pPr>
    </w:p>
    <w:p w14:paraId="4E959F62" w14:textId="77777777" w:rsidR="000523AC" w:rsidRPr="00142B27" w:rsidRDefault="000523AC" w:rsidP="000523AC">
      <w:r w:rsidRPr="00142B27">
        <w:rPr>
          <w:b/>
        </w:rPr>
        <w:t xml:space="preserve">Workstation </w:t>
      </w:r>
      <w:r>
        <w:rPr>
          <w:b/>
        </w:rPr>
        <w:t>s</w:t>
      </w:r>
      <w:r w:rsidRPr="00142B27">
        <w:rPr>
          <w:b/>
        </w:rPr>
        <w:t>upport</w:t>
      </w:r>
      <w:r w:rsidRPr="00142B27">
        <w:t xml:space="preserve"> – </w:t>
      </w:r>
      <w:r>
        <w:t>Tasks include p</w:t>
      </w:r>
      <w:r w:rsidRPr="00142B27">
        <w:t xml:space="preserve">erforming workstation maintenance or troubleshooting that requires access to a system for viewing logs, installing software, updating drivers, and so </w:t>
      </w:r>
      <w:r>
        <w:t>on</w:t>
      </w:r>
      <w:r w:rsidRPr="00142B27">
        <w:t xml:space="preserve">. </w:t>
      </w:r>
    </w:p>
    <w:p w14:paraId="5D105940" w14:textId="77777777" w:rsidR="000523AC" w:rsidRPr="00142B27" w:rsidRDefault="000523AC" w:rsidP="005729D2">
      <w:pPr>
        <w:pStyle w:val="ListParagraph"/>
        <w:numPr>
          <w:ilvl w:val="1"/>
          <w:numId w:val="209"/>
        </w:numPr>
        <w:spacing w:before="0" w:after="0" w:line="240" w:lineRule="auto"/>
        <w:ind w:left="720"/>
      </w:pPr>
      <w:r w:rsidRPr="00142B27">
        <w:rPr>
          <w:b/>
        </w:rPr>
        <w:t>Desk</w:t>
      </w:r>
      <w:r>
        <w:rPr>
          <w:b/>
        </w:rPr>
        <w:t>-</w:t>
      </w:r>
      <w:r w:rsidRPr="00142B27">
        <w:rPr>
          <w:b/>
        </w:rPr>
        <w:t xml:space="preserve">side </w:t>
      </w:r>
      <w:r>
        <w:rPr>
          <w:b/>
        </w:rPr>
        <w:t>w</w:t>
      </w:r>
      <w:r w:rsidRPr="00142B27">
        <w:rPr>
          <w:b/>
        </w:rPr>
        <w:t>orkstation support</w:t>
      </w:r>
      <w:r w:rsidRPr="00142B27">
        <w:t xml:space="preserve"> – </w:t>
      </w:r>
      <w:r>
        <w:t>T</w:t>
      </w:r>
      <w:r w:rsidRPr="00142B27">
        <w:t>he Tier</w:t>
      </w:r>
      <w:r>
        <w:t> 2</w:t>
      </w:r>
      <w:r w:rsidRPr="00142B27">
        <w:t xml:space="preserve"> support personnel is physically at the user’s workstation</w:t>
      </w:r>
      <w:r>
        <w:t>.</w:t>
      </w:r>
    </w:p>
    <w:p w14:paraId="573CE69B" w14:textId="77777777" w:rsidR="000523AC" w:rsidRPr="00FB63EA" w:rsidRDefault="000523AC" w:rsidP="005729D2">
      <w:pPr>
        <w:pStyle w:val="ListParagraph"/>
        <w:numPr>
          <w:ilvl w:val="1"/>
          <w:numId w:val="304"/>
        </w:numPr>
        <w:spacing w:before="0" w:after="0" w:line="240" w:lineRule="auto"/>
      </w:pPr>
      <w:r w:rsidRPr="00FB63EA">
        <w:rPr>
          <w:b/>
        </w:rPr>
        <w:t>Primary</w:t>
      </w:r>
      <w:r w:rsidRPr="00FB63EA">
        <w:t xml:space="preserve"> – Retrieve </w:t>
      </w:r>
      <w:r>
        <w:t xml:space="preserve">the </w:t>
      </w:r>
      <w:r w:rsidRPr="00FB63EA">
        <w:t>local account password set by LAPS from an admin workstation before connecting to user workstation</w:t>
      </w:r>
      <w:r>
        <w:t>.</w:t>
      </w:r>
    </w:p>
    <w:p w14:paraId="5667B9E6" w14:textId="77777777" w:rsidR="000523AC" w:rsidRPr="00FB63EA" w:rsidRDefault="000523AC" w:rsidP="005729D2">
      <w:pPr>
        <w:pStyle w:val="ListParagraph"/>
        <w:numPr>
          <w:ilvl w:val="1"/>
          <w:numId w:val="304"/>
        </w:numPr>
        <w:spacing w:before="0" w:after="0" w:line="240" w:lineRule="auto"/>
      </w:pPr>
      <w:r w:rsidRPr="00FB63EA">
        <w:rPr>
          <w:b/>
        </w:rPr>
        <w:t>Forbidden</w:t>
      </w:r>
      <w:r w:rsidRPr="00FB63EA">
        <w:t xml:space="preserve"> – Logging on with domain account administrative credentials is not allowed in this scenario.</w:t>
      </w:r>
    </w:p>
    <w:p w14:paraId="6453947A" w14:textId="77777777" w:rsidR="000523AC" w:rsidRPr="00FB63EA" w:rsidRDefault="000523AC" w:rsidP="005729D2">
      <w:pPr>
        <w:pStyle w:val="ListParagraph"/>
        <w:numPr>
          <w:ilvl w:val="1"/>
          <w:numId w:val="209"/>
        </w:numPr>
        <w:spacing w:before="0" w:after="0" w:line="240" w:lineRule="auto"/>
        <w:ind w:left="720"/>
      </w:pPr>
      <w:r w:rsidRPr="00FB63EA">
        <w:rPr>
          <w:b/>
        </w:rPr>
        <w:t xml:space="preserve">Remote </w:t>
      </w:r>
      <w:r>
        <w:rPr>
          <w:b/>
        </w:rPr>
        <w:t>w</w:t>
      </w:r>
      <w:r w:rsidRPr="00FB63EA">
        <w:rPr>
          <w:b/>
        </w:rPr>
        <w:t xml:space="preserve">orkstation </w:t>
      </w:r>
      <w:r>
        <w:rPr>
          <w:b/>
        </w:rPr>
        <w:t>s</w:t>
      </w:r>
      <w:r w:rsidRPr="00FB63EA">
        <w:rPr>
          <w:b/>
        </w:rPr>
        <w:t>upport</w:t>
      </w:r>
      <w:r w:rsidRPr="00FB63EA">
        <w:t xml:space="preserve"> – </w:t>
      </w:r>
      <w:r>
        <w:t>T</w:t>
      </w:r>
      <w:r w:rsidRPr="00FB63EA">
        <w:t>he Tier 2 support personnel is physically remote to the workstation</w:t>
      </w:r>
      <w:r>
        <w:t>.</w:t>
      </w:r>
    </w:p>
    <w:p w14:paraId="75740A0C" w14:textId="77777777" w:rsidR="000523AC" w:rsidRPr="00FB63EA" w:rsidRDefault="000523AC" w:rsidP="005729D2">
      <w:pPr>
        <w:pStyle w:val="ListParagraph"/>
        <w:numPr>
          <w:ilvl w:val="1"/>
          <w:numId w:val="304"/>
        </w:numPr>
        <w:spacing w:before="0" w:after="0" w:line="240" w:lineRule="auto"/>
      </w:pPr>
      <w:r w:rsidRPr="00FB63EA">
        <w:rPr>
          <w:b/>
        </w:rPr>
        <w:t>Primary</w:t>
      </w:r>
      <w:r w:rsidRPr="00FB63EA">
        <w:t xml:space="preserve"> – </w:t>
      </w:r>
      <w:r>
        <w:t xml:space="preserve">Use </w:t>
      </w:r>
      <w:r w:rsidRPr="00FB63EA">
        <w:t xml:space="preserve">RDP RestrictedAdmin from </w:t>
      </w:r>
      <w:r>
        <w:t xml:space="preserve">an </w:t>
      </w:r>
      <w:r w:rsidRPr="00FB63EA">
        <w:t xml:space="preserve">admin workstation with </w:t>
      </w:r>
      <w:r>
        <w:t xml:space="preserve">a </w:t>
      </w:r>
      <w:r w:rsidRPr="00FB63EA">
        <w:t xml:space="preserve">domain account </w:t>
      </w:r>
      <w:r>
        <w:t xml:space="preserve">that </w:t>
      </w:r>
      <w:r w:rsidRPr="00FB63EA">
        <w:t>us</w:t>
      </w:r>
      <w:r>
        <w:t>es</w:t>
      </w:r>
      <w:r w:rsidRPr="00FB63EA">
        <w:t xml:space="preserve"> </w:t>
      </w:r>
      <w:r>
        <w:t>permissions</w:t>
      </w:r>
      <w:r w:rsidRPr="00FB63EA">
        <w:t xml:space="preserve"> obtained just</w:t>
      </w:r>
      <w:r>
        <w:t>-</w:t>
      </w:r>
      <w:r w:rsidRPr="00FB63EA">
        <w:t>in</w:t>
      </w:r>
      <w:r>
        <w:t>-</w:t>
      </w:r>
      <w:r w:rsidRPr="00FB63EA">
        <w:t xml:space="preserve">time from </w:t>
      </w:r>
      <w:r>
        <w:t xml:space="preserve">a </w:t>
      </w:r>
      <w:r w:rsidRPr="00FB63EA">
        <w:t>privileged access management solution</w:t>
      </w:r>
      <w:r>
        <w:t>.</w:t>
      </w:r>
    </w:p>
    <w:p w14:paraId="7FB2669E" w14:textId="77777777" w:rsidR="000523AC" w:rsidRPr="00FB63EA" w:rsidRDefault="000523AC" w:rsidP="005729D2">
      <w:pPr>
        <w:pStyle w:val="ListParagraph"/>
        <w:numPr>
          <w:ilvl w:val="1"/>
          <w:numId w:val="304"/>
        </w:numPr>
        <w:spacing w:before="0" w:after="0" w:line="240" w:lineRule="auto"/>
      </w:pPr>
      <w:r w:rsidRPr="00FB63EA">
        <w:rPr>
          <w:b/>
        </w:rPr>
        <w:t>Secondary</w:t>
      </w:r>
      <w:r w:rsidRPr="00FB63EA">
        <w:t xml:space="preserve"> – Retrieve </w:t>
      </w:r>
      <w:r>
        <w:t xml:space="preserve">a </w:t>
      </w:r>
      <w:r w:rsidRPr="00FB63EA">
        <w:t>local account password set by LAPS from an admin workstation before connecting to user workstation</w:t>
      </w:r>
      <w:r>
        <w:t>.</w:t>
      </w:r>
    </w:p>
    <w:p w14:paraId="7D8D61BF" w14:textId="7A17A9C4" w:rsidR="00F97B16" w:rsidRPr="00AB4B90" w:rsidRDefault="000523AC" w:rsidP="005729D2">
      <w:pPr>
        <w:pStyle w:val="ListParagraph"/>
        <w:numPr>
          <w:ilvl w:val="2"/>
          <w:numId w:val="209"/>
        </w:numPr>
        <w:spacing w:before="0" w:after="0" w:line="240" w:lineRule="auto"/>
      </w:pPr>
      <w:r w:rsidRPr="00FB63EA">
        <w:rPr>
          <w:b/>
        </w:rPr>
        <w:t>Forbidden</w:t>
      </w:r>
      <w:r w:rsidRPr="00FB63EA">
        <w:t xml:space="preserve"> – </w:t>
      </w:r>
      <w:r>
        <w:t>U</w:t>
      </w:r>
      <w:r w:rsidRPr="00FB63EA">
        <w:t xml:space="preserve">se standard RDP with </w:t>
      </w:r>
      <w:r>
        <w:t xml:space="preserve">a </w:t>
      </w:r>
      <w:r w:rsidRPr="00FB63EA">
        <w:t>domain account</w:t>
      </w:r>
      <w:r>
        <w:t>.</w:t>
      </w:r>
    </w:p>
    <w:bookmarkEnd w:id="7983"/>
    <w:p w14:paraId="06205D86" w14:textId="77777777" w:rsidR="000523AC" w:rsidRDefault="000523AC" w:rsidP="00883D7D">
      <w:pPr>
        <w:pStyle w:val="Heading5"/>
      </w:pPr>
    </w:p>
    <w:p w14:paraId="026435DC" w14:textId="77777777" w:rsidR="000523AC" w:rsidRPr="00C93A52" w:rsidRDefault="000523AC" w:rsidP="000523AC">
      <w:pPr>
        <w:pStyle w:val="Heading5"/>
        <w:rPr>
          <w:b/>
          <w:color w:val="000000" w:themeColor="text1"/>
        </w:rPr>
      </w:pPr>
      <w:r w:rsidRPr="00C93A52">
        <w:rPr>
          <w:b/>
          <w:color w:val="000000" w:themeColor="text1"/>
        </w:rPr>
        <w:t>No browsing the public Internet with admin accounts or from admin workstations</w:t>
      </w:r>
    </w:p>
    <w:p w14:paraId="783E5843" w14:textId="5972E175" w:rsidR="00F97B16" w:rsidRPr="004E7ACC" w:rsidRDefault="000523AC" w:rsidP="000523AC">
      <w:r w:rsidRPr="004E7ACC">
        <w:t xml:space="preserve">Administrative personnel </w:t>
      </w:r>
      <w:r>
        <w:t>can</w:t>
      </w:r>
      <w:r w:rsidRPr="004E7ACC">
        <w:t xml:space="preserve">not browse the </w:t>
      </w:r>
      <w:r>
        <w:t>public Internet</w:t>
      </w:r>
      <w:r w:rsidRPr="004E7ACC">
        <w:t xml:space="preserve"> while logged on with an administrative account or while logged on</w:t>
      </w:r>
      <w:r>
        <w:t xml:space="preserve"> </w:t>
      </w:r>
      <w:r w:rsidRPr="004E7ACC">
        <w:t xml:space="preserve">to an administrative workstation. </w:t>
      </w:r>
      <w:r>
        <w:t>The only authorized exceptions are the use of a web browser to administer a cloud-based service, such as Microsoft Azure, Amazon Web Services, Microsoft Office 365, or enterprise Gmail</w:t>
      </w:r>
      <w:r w:rsidR="00F97B16">
        <w:t xml:space="preserve">. </w:t>
      </w:r>
    </w:p>
    <w:p w14:paraId="45EA3817" w14:textId="77777777" w:rsidR="000523AC" w:rsidRPr="00C93A52" w:rsidRDefault="000523AC" w:rsidP="000523AC">
      <w:pPr>
        <w:pStyle w:val="Heading5"/>
        <w:rPr>
          <w:b/>
          <w:color w:val="000000" w:themeColor="text1"/>
        </w:rPr>
      </w:pPr>
      <w:r w:rsidRPr="00C93A52">
        <w:rPr>
          <w:b/>
          <w:color w:val="000000" w:themeColor="text1"/>
        </w:rPr>
        <w:t>No accessing email with admin accounts or from admin workstations</w:t>
      </w:r>
    </w:p>
    <w:p w14:paraId="4576A4F2" w14:textId="77777777" w:rsidR="000523AC" w:rsidRPr="004E7ACC" w:rsidRDefault="000523AC" w:rsidP="000523AC">
      <w:r w:rsidRPr="004E7ACC">
        <w:t xml:space="preserve">Administrative personnel </w:t>
      </w:r>
      <w:r>
        <w:t>can</w:t>
      </w:r>
      <w:r w:rsidRPr="004E7ACC">
        <w:t>not access email while logged on with an administrative account or while logged on</w:t>
      </w:r>
      <w:r>
        <w:t xml:space="preserve"> </w:t>
      </w:r>
      <w:r w:rsidRPr="004E7ACC">
        <w:t xml:space="preserve">to an administrative workstation. </w:t>
      </w:r>
    </w:p>
    <w:p w14:paraId="73A2A28A" w14:textId="77777777" w:rsidR="000523AC" w:rsidRPr="004E7ACC" w:rsidRDefault="000523AC" w:rsidP="000523AC">
      <w:pPr>
        <w:pStyle w:val="Heading5"/>
      </w:pPr>
      <w:r w:rsidRPr="00C93A52">
        <w:rPr>
          <w:b/>
          <w:color w:val="000000" w:themeColor="text1"/>
        </w:rPr>
        <w:t>Store service and application account passwords in a secure location</w:t>
      </w:r>
    </w:p>
    <w:p w14:paraId="4142850A" w14:textId="77777777" w:rsidR="000523AC" w:rsidRPr="004E7ACC" w:rsidRDefault="000523AC" w:rsidP="000523AC">
      <w:r w:rsidRPr="004E7ACC">
        <w:t>The following guidelines should be used for the physical security process</w:t>
      </w:r>
      <w:r>
        <w:t>es</w:t>
      </w:r>
      <w:r w:rsidRPr="004E7ACC">
        <w:t xml:space="preserve"> that control access to the password:</w:t>
      </w:r>
    </w:p>
    <w:p w14:paraId="2FF6A2AE" w14:textId="77777777" w:rsidR="000523AC" w:rsidRPr="004E7ACC" w:rsidRDefault="000523AC" w:rsidP="005729D2">
      <w:pPr>
        <w:pStyle w:val="ListBullet"/>
        <w:numPr>
          <w:ilvl w:val="0"/>
          <w:numId w:val="213"/>
        </w:numPr>
        <w:spacing w:before="120" w:after="120"/>
      </w:pPr>
      <w:r w:rsidRPr="004E7ACC">
        <w:t>Lock the service account passwords in a physical safe</w:t>
      </w:r>
      <w:r>
        <w:t>.</w:t>
      </w:r>
    </w:p>
    <w:p w14:paraId="23CBC315" w14:textId="77777777" w:rsidR="000523AC" w:rsidRPr="004E7ACC" w:rsidRDefault="000523AC" w:rsidP="005729D2">
      <w:pPr>
        <w:pStyle w:val="ListBullet"/>
        <w:numPr>
          <w:ilvl w:val="0"/>
          <w:numId w:val="213"/>
        </w:numPr>
        <w:spacing w:before="120" w:after="120"/>
      </w:pPr>
      <w:r w:rsidRPr="004E7ACC">
        <w:t xml:space="preserve">Ensure </w:t>
      </w:r>
      <w:r>
        <w:t xml:space="preserve">that </w:t>
      </w:r>
      <w:r w:rsidRPr="004E7ACC">
        <w:t xml:space="preserve">only personnel trusted at or above the </w:t>
      </w:r>
      <w:r>
        <w:t>T</w:t>
      </w:r>
      <w:r w:rsidRPr="004E7ACC">
        <w:t xml:space="preserve">ier classification of the account have access to the account password. </w:t>
      </w:r>
    </w:p>
    <w:p w14:paraId="5B07B63F" w14:textId="77777777" w:rsidR="000523AC" w:rsidRPr="004E7ACC" w:rsidRDefault="000523AC" w:rsidP="005729D2">
      <w:pPr>
        <w:pStyle w:val="ListBullet"/>
        <w:numPr>
          <w:ilvl w:val="0"/>
          <w:numId w:val="213"/>
        </w:numPr>
        <w:spacing w:before="120" w:after="120"/>
      </w:pPr>
      <w:r w:rsidRPr="004E7ACC">
        <w:t xml:space="preserve">Limit the number of people who access to the passwords to a minimum number to for accountability. </w:t>
      </w:r>
    </w:p>
    <w:p w14:paraId="1E1BC2C8" w14:textId="51E782E0" w:rsidR="00F97B16" w:rsidRPr="004E7ACC" w:rsidRDefault="000523AC" w:rsidP="005729D2">
      <w:pPr>
        <w:pStyle w:val="ListBullet"/>
        <w:numPr>
          <w:ilvl w:val="0"/>
          <w:numId w:val="213"/>
        </w:numPr>
        <w:spacing w:before="120" w:after="120"/>
      </w:pPr>
      <w:r w:rsidRPr="004E7ACC">
        <w:t xml:space="preserve">Ensure </w:t>
      </w:r>
      <w:r>
        <w:t xml:space="preserve">that </w:t>
      </w:r>
      <w:r w:rsidRPr="004E7ACC">
        <w:t xml:space="preserve">all access to the password is logged, tracked, and monitored by a disinterested party, such as a manager who is not trained </w:t>
      </w:r>
      <w:r>
        <w:t>to perform</w:t>
      </w:r>
      <w:r w:rsidRPr="004E7ACC">
        <w:t xml:space="preserve"> IT administration</w:t>
      </w:r>
      <w:r>
        <w:t>.</w:t>
      </w:r>
    </w:p>
    <w:p w14:paraId="2A0C295B" w14:textId="77777777" w:rsidR="00F97B16" w:rsidRPr="00682618" w:rsidRDefault="00F97B16" w:rsidP="00F97B16">
      <w:pPr>
        <w:rPr>
          <w:highlight w:val="yellow"/>
        </w:rPr>
      </w:pPr>
    </w:p>
    <w:p w14:paraId="2F9B5277" w14:textId="77777777" w:rsidR="00F97B16" w:rsidRPr="000523AC" w:rsidRDefault="00F97B16" w:rsidP="005D6B66">
      <w:pPr>
        <w:pStyle w:val="Heading4"/>
        <w:rPr>
          <w:rFonts w:ascii="Segoe UI" w:hAnsi="Segoe UI" w:cs="Segoe UI"/>
          <w:b/>
          <w:color w:val="000000" w:themeColor="text1"/>
          <w:szCs w:val="24"/>
        </w:rPr>
      </w:pPr>
      <w:bookmarkStart w:id="7984" w:name="_Toc423091772"/>
      <w:bookmarkStart w:id="7985" w:name="_Toc421201791"/>
      <w:r w:rsidRPr="000523AC">
        <w:rPr>
          <w:rFonts w:ascii="Segoe UI" w:hAnsi="Segoe UI" w:cs="Segoe UI"/>
          <w:b/>
          <w:color w:val="000000" w:themeColor="text1"/>
          <w:szCs w:val="24"/>
        </w:rPr>
        <w:t>Strong Authentication</w:t>
      </w:r>
      <w:bookmarkEnd w:id="7984"/>
    </w:p>
    <w:bookmarkEnd w:id="7985"/>
    <w:p w14:paraId="74B760DD" w14:textId="77777777" w:rsidR="00F97B16" w:rsidRPr="000523AC" w:rsidRDefault="00F97B16" w:rsidP="00883D7D">
      <w:pPr>
        <w:pStyle w:val="Heading5"/>
        <w:rPr>
          <w:b/>
          <w:color w:val="000000" w:themeColor="text1"/>
        </w:rPr>
      </w:pPr>
      <w:r w:rsidRPr="000523AC">
        <w:rPr>
          <w:b/>
          <w:color w:val="000000" w:themeColor="text1"/>
        </w:rPr>
        <w:t xml:space="preserve">Enforce smartcard multi-factor authentication (MFA) for all admin accounts </w:t>
      </w:r>
    </w:p>
    <w:p w14:paraId="69297F51" w14:textId="77777777" w:rsidR="008076B3" w:rsidRPr="004E7ACC" w:rsidRDefault="008076B3" w:rsidP="008076B3">
      <w:r w:rsidRPr="004E7ACC">
        <w:t xml:space="preserve">No administrative account is allowed to use a password for authentication. </w:t>
      </w:r>
      <w:r>
        <w:t xml:space="preserve">The only authorized exceptions are the emergency access accounts that are protected by the appropriate processes. </w:t>
      </w:r>
    </w:p>
    <w:p w14:paraId="78062AD4" w14:textId="77777777" w:rsidR="008076B3" w:rsidRDefault="008076B3" w:rsidP="008076B3">
      <w:pPr>
        <w:rPr>
          <w:color w:val="212121"/>
        </w:rPr>
      </w:pPr>
      <w:r>
        <w:rPr>
          <w:color w:val="212121"/>
        </w:rPr>
        <w:t>Link a</w:t>
      </w:r>
      <w:r w:rsidRPr="004E7ACC">
        <w:rPr>
          <w:color w:val="212121"/>
        </w:rPr>
        <w:t>ll administrative accounts to a smart</w:t>
      </w:r>
      <w:r>
        <w:rPr>
          <w:color w:val="212121"/>
        </w:rPr>
        <w:t xml:space="preserve"> </w:t>
      </w:r>
      <w:r w:rsidRPr="004E7ACC">
        <w:rPr>
          <w:color w:val="212121"/>
        </w:rPr>
        <w:t xml:space="preserve">card and </w:t>
      </w:r>
      <w:r>
        <w:rPr>
          <w:color w:val="212121"/>
        </w:rPr>
        <w:t>enable</w:t>
      </w:r>
      <w:r w:rsidRPr="004E7ACC">
        <w:rPr>
          <w:color w:val="212121"/>
        </w:rPr>
        <w:t xml:space="preserve"> </w:t>
      </w:r>
      <w:r w:rsidRPr="004E7ACC">
        <w:t>the attribute “</w:t>
      </w:r>
      <w:r w:rsidRPr="00C93A52">
        <w:rPr>
          <w:b/>
          <w:color w:val="212121"/>
        </w:rPr>
        <w:t>Smart Card Required for Interactive Logon</w:t>
      </w:r>
      <w:r>
        <w:rPr>
          <w:color w:val="212121"/>
        </w:rPr>
        <w:t>.</w:t>
      </w:r>
      <w:r w:rsidRPr="004E7ACC">
        <w:rPr>
          <w:color w:val="212121"/>
        </w:rPr>
        <w:t>”</w:t>
      </w:r>
    </w:p>
    <w:p w14:paraId="1FA5F024" w14:textId="77777777" w:rsidR="008076B3" w:rsidRDefault="008076B3" w:rsidP="008076B3">
      <w:pPr>
        <w:rPr>
          <w:color w:val="212121"/>
        </w:rPr>
      </w:pPr>
      <w:r>
        <w:rPr>
          <w:color w:val="212121"/>
        </w:rPr>
        <w:t xml:space="preserve">Allow no exceptions for accounts used by human personnel beyond the emergency access accounts. </w:t>
      </w:r>
    </w:p>
    <w:p w14:paraId="3BFA68EC" w14:textId="77777777" w:rsidR="008076B3" w:rsidRPr="00C93A52" w:rsidRDefault="008076B3" w:rsidP="008076B3">
      <w:pPr>
        <w:pStyle w:val="Heading5"/>
        <w:rPr>
          <w:rFonts w:cs="Segoe UI"/>
          <w:b/>
          <w:color w:val="000000" w:themeColor="text1"/>
        </w:rPr>
      </w:pPr>
      <w:r w:rsidRPr="00C93A52">
        <w:rPr>
          <w:rFonts w:cs="Segoe UI"/>
          <w:b/>
          <w:color w:val="000000" w:themeColor="text1"/>
        </w:rPr>
        <w:t xml:space="preserve">Enforce Multi-Factor Authentication for All Cloud Admin Accounts </w:t>
      </w:r>
    </w:p>
    <w:p w14:paraId="10980964" w14:textId="77777777" w:rsidR="008076B3" w:rsidRDefault="008076B3" w:rsidP="008076B3">
      <w:pPr>
        <w:rPr>
          <w:color w:val="212121"/>
        </w:rPr>
      </w:pPr>
      <w:r w:rsidRPr="004E7ACC">
        <w:rPr>
          <w:color w:val="212121"/>
        </w:rPr>
        <w:t xml:space="preserve">All accounts </w:t>
      </w:r>
      <w:r>
        <w:rPr>
          <w:color w:val="212121"/>
        </w:rPr>
        <w:t>with administrative privileges in a cloud service, such as Microsoft Azure and Office 365, must use multi-factor authentication.</w:t>
      </w:r>
    </w:p>
    <w:p w14:paraId="33AD0B22" w14:textId="77777777" w:rsidR="008076B3" w:rsidRPr="00C93A52" w:rsidRDefault="008076B3" w:rsidP="008076B3">
      <w:pPr>
        <w:pStyle w:val="Heading4"/>
        <w:rPr>
          <w:rFonts w:ascii="Segoe UI" w:hAnsi="Segoe UI" w:cs="Segoe UI"/>
          <w:b/>
          <w:i w:val="0"/>
          <w:color w:val="000000" w:themeColor="text1"/>
          <w:sz w:val="22"/>
        </w:rPr>
      </w:pPr>
      <w:bookmarkStart w:id="7986" w:name="_Toc423091773"/>
      <w:r w:rsidRPr="00C93A52">
        <w:rPr>
          <w:rFonts w:ascii="Segoe UI" w:hAnsi="Segoe UI" w:cs="Segoe UI"/>
          <w:b/>
          <w:i w:val="0"/>
          <w:color w:val="000000" w:themeColor="text1"/>
          <w:sz w:val="22"/>
        </w:rPr>
        <w:t>Rare Use Emergency Procedures</w:t>
      </w:r>
      <w:bookmarkEnd w:id="7986"/>
    </w:p>
    <w:p w14:paraId="1090EDF9" w14:textId="77777777" w:rsidR="008076B3" w:rsidRPr="00E85E5F" w:rsidRDefault="008076B3" w:rsidP="008076B3">
      <w:r>
        <w:t>O</w:t>
      </w:r>
      <w:r w:rsidRPr="00E85E5F">
        <w:t xml:space="preserve">perational practices </w:t>
      </w:r>
      <w:r>
        <w:t xml:space="preserve">must </w:t>
      </w:r>
      <w:r w:rsidRPr="00E85E5F">
        <w:t xml:space="preserve">support the following </w:t>
      </w:r>
      <w:r>
        <w:t>standards:</w:t>
      </w:r>
    </w:p>
    <w:p w14:paraId="23061C09" w14:textId="77777777" w:rsidR="008076B3" w:rsidRPr="00E85E5F" w:rsidRDefault="008076B3" w:rsidP="005729D2">
      <w:pPr>
        <w:pStyle w:val="ListParagraph"/>
        <w:numPr>
          <w:ilvl w:val="0"/>
          <w:numId w:val="218"/>
        </w:numPr>
        <w:spacing w:before="0" w:after="160" w:line="259" w:lineRule="auto"/>
      </w:pPr>
      <w:r w:rsidRPr="00E85E5F">
        <w:t>Ensure outages can be resolved quickly</w:t>
      </w:r>
      <w:r>
        <w:t>.</w:t>
      </w:r>
      <w:r w:rsidRPr="00E85E5F">
        <w:t xml:space="preserve"> </w:t>
      </w:r>
    </w:p>
    <w:p w14:paraId="3C6E500C" w14:textId="77777777" w:rsidR="008076B3" w:rsidRDefault="008076B3" w:rsidP="005729D2">
      <w:pPr>
        <w:pStyle w:val="ListParagraph"/>
        <w:numPr>
          <w:ilvl w:val="0"/>
          <w:numId w:val="218"/>
        </w:numPr>
        <w:spacing w:before="0" w:after="160" w:line="259" w:lineRule="auto"/>
      </w:pPr>
      <w:r>
        <w:t>Ensure r</w:t>
      </w:r>
      <w:r w:rsidRPr="00E85E5F">
        <w:t xml:space="preserve">are high-privilege tasks can be completed </w:t>
      </w:r>
      <w:r>
        <w:t>as needed.</w:t>
      </w:r>
    </w:p>
    <w:p w14:paraId="6F01C0D6" w14:textId="77777777" w:rsidR="008076B3" w:rsidRDefault="008076B3" w:rsidP="005729D2">
      <w:pPr>
        <w:pStyle w:val="ListParagraph"/>
        <w:numPr>
          <w:ilvl w:val="0"/>
          <w:numId w:val="218"/>
        </w:numPr>
        <w:spacing w:before="0" w:after="160" w:line="259" w:lineRule="auto"/>
      </w:pPr>
      <w:r>
        <w:t>Ensure safe procedures are used to protect the credentials and privileges.</w:t>
      </w:r>
    </w:p>
    <w:p w14:paraId="314FC1D6" w14:textId="77777777" w:rsidR="008076B3" w:rsidRPr="00E85E5F" w:rsidRDefault="008076B3" w:rsidP="005729D2">
      <w:pPr>
        <w:pStyle w:val="ListParagraph"/>
        <w:numPr>
          <w:ilvl w:val="0"/>
          <w:numId w:val="218"/>
        </w:numPr>
        <w:spacing w:before="0" w:after="160" w:line="259" w:lineRule="auto"/>
      </w:pPr>
      <w:r>
        <w:t>Ensure appropriate tracking and approval processes are followed.</w:t>
      </w:r>
    </w:p>
    <w:p w14:paraId="5BCBFE64" w14:textId="77777777" w:rsidR="008076B3" w:rsidRPr="00C93A52" w:rsidRDefault="008076B3" w:rsidP="008076B3">
      <w:pPr>
        <w:pStyle w:val="Heading5"/>
        <w:rPr>
          <w:b/>
          <w:color w:val="000000" w:themeColor="text1"/>
        </w:rPr>
      </w:pPr>
      <w:r w:rsidRPr="00C93A52">
        <w:rPr>
          <w:b/>
          <w:color w:val="000000" w:themeColor="text1"/>
        </w:rPr>
        <w:t xml:space="preserve">Correctly Follow </w:t>
      </w:r>
      <w:r>
        <w:rPr>
          <w:b/>
          <w:color w:val="000000" w:themeColor="text1"/>
        </w:rPr>
        <w:t>Appropriate</w:t>
      </w:r>
      <w:r w:rsidRPr="00C93A52">
        <w:rPr>
          <w:b/>
          <w:color w:val="000000" w:themeColor="text1"/>
        </w:rPr>
        <w:t xml:space="preserve"> Process</w:t>
      </w:r>
      <w:r>
        <w:rPr>
          <w:b/>
          <w:color w:val="000000" w:themeColor="text1"/>
        </w:rPr>
        <w:t>es</w:t>
      </w:r>
      <w:r w:rsidRPr="00C93A52">
        <w:rPr>
          <w:b/>
          <w:color w:val="000000" w:themeColor="text1"/>
        </w:rPr>
        <w:t xml:space="preserve"> for All Emergency Access Accounts</w:t>
      </w:r>
    </w:p>
    <w:p w14:paraId="3BEB1F64" w14:textId="77777777" w:rsidR="008076B3" w:rsidRDefault="008076B3" w:rsidP="008076B3">
      <w:r>
        <w:t xml:space="preserve">Ensure that each emergency access account has a tracking sheet in the safe. </w:t>
      </w:r>
    </w:p>
    <w:p w14:paraId="462009BB" w14:textId="77777777" w:rsidR="008076B3" w:rsidRDefault="008076B3" w:rsidP="008076B3">
      <w:r>
        <w:t xml:space="preserve">The procedure documented on the password tracking sheet should be followed for each account, which includes changing the password after each use and logging out of any workstations or servers used after completion. </w:t>
      </w:r>
    </w:p>
    <w:p w14:paraId="562232EF" w14:textId="77777777" w:rsidR="008076B3" w:rsidRPr="00F4009E" w:rsidRDefault="008076B3" w:rsidP="008076B3">
      <w:r>
        <w:t>All use of emergency access accounts should be approved by the change approval board in advanced or after-the-fact as an approved emergency usage.</w:t>
      </w:r>
      <w:r>
        <w:tab/>
      </w:r>
    </w:p>
    <w:p w14:paraId="7908D928" w14:textId="77777777" w:rsidR="008076B3" w:rsidRPr="00C93A52" w:rsidRDefault="008076B3" w:rsidP="008076B3">
      <w:pPr>
        <w:pStyle w:val="Heading5"/>
        <w:rPr>
          <w:b/>
          <w:color w:val="000000" w:themeColor="text1"/>
        </w:rPr>
      </w:pPr>
      <w:r w:rsidRPr="00C93A52">
        <w:rPr>
          <w:b/>
          <w:color w:val="000000" w:themeColor="text1"/>
        </w:rPr>
        <w:t xml:space="preserve">Restrict and Monitor Usage of Emergency Access Accounts </w:t>
      </w:r>
    </w:p>
    <w:p w14:paraId="637FC7AB" w14:textId="77777777" w:rsidR="008076B3" w:rsidRDefault="008076B3" w:rsidP="008076B3">
      <w:r>
        <w:t>Followed these standards for each use of the emergency access accounts:</w:t>
      </w:r>
    </w:p>
    <w:p w14:paraId="381BD9F1" w14:textId="77777777" w:rsidR="008076B3" w:rsidRDefault="008076B3" w:rsidP="005729D2">
      <w:pPr>
        <w:pStyle w:val="ListParagraph"/>
        <w:numPr>
          <w:ilvl w:val="0"/>
          <w:numId w:val="217"/>
        </w:numPr>
        <w:spacing w:before="0" w:after="160" w:line="259" w:lineRule="auto"/>
      </w:pPr>
      <w:r>
        <w:t xml:space="preserve">Only authorized domain admins can access the emergency access accounts with domain admin privileges. </w:t>
      </w:r>
    </w:p>
    <w:p w14:paraId="1F84BED5" w14:textId="77777777" w:rsidR="008076B3" w:rsidRDefault="008076B3" w:rsidP="005729D2">
      <w:pPr>
        <w:pStyle w:val="ListParagraph"/>
        <w:numPr>
          <w:ilvl w:val="0"/>
          <w:numId w:val="217"/>
        </w:numPr>
        <w:spacing w:before="0" w:after="160" w:line="259" w:lineRule="auto"/>
      </w:pPr>
      <w:r>
        <w:t xml:space="preserve">The emergency access accounts can be used only on domain controllers and other Tier 0 hosts. </w:t>
      </w:r>
    </w:p>
    <w:p w14:paraId="4299A168" w14:textId="77777777" w:rsidR="008076B3" w:rsidRDefault="008076B3" w:rsidP="005729D2">
      <w:pPr>
        <w:pStyle w:val="ListParagraph"/>
        <w:numPr>
          <w:ilvl w:val="0"/>
          <w:numId w:val="217"/>
        </w:numPr>
        <w:spacing w:before="0" w:after="160" w:line="259" w:lineRule="auto"/>
      </w:pPr>
      <w:r>
        <w:t>This account should be used only to:</w:t>
      </w:r>
    </w:p>
    <w:p w14:paraId="1AD1FD2F" w14:textId="77777777" w:rsidR="008076B3" w:rsidRDefault="008076B3" w:rsidP="005729D2">
      <w:pPr>
        <w:pStyle w:val="ListParagraph"/>
        <w:numPr>
          <w:ilvl w:val="1"/>
          <w:numId w:val="217"/>
        </w:numPr>
        <w:spacing w:before="0" w:after="160" w:line="259" w:lineRule="auto"/>
      </w:pPr>
      <w:r>
        <w:t>Perform troubleshooting and correction of technical issues that are preventing the use of the correct administrative accounts.</w:t>
      </w:r>
    </w:p>
    <w:p w14:paraId="04EAA4DB" w14:textId="77777777" w:rsidR="008076B3" w:rsidRDefault="008076B3" w:rsidP="005729D2">
      <w:pPr>
        <w:pStyle w:val="ListParagraph"/>
        <w:numPr>
          <w:ilvl w:val="1"/>
          <w:numId w:val="217"/>
        </w:numPr>
        <w:spacing w:before="0" w:after="160" w:line="259" w:lineRule="auto"/>
      </w:pPr>
      <w:r>
        <w:t>Perform rare tasks, such as:</w:t>
      </w:r>
    </w:p>
    <w:p w14:paraId="38C3228D" w14:textId="77777777" w:rsidR="008076B3" w:rsidRDefault="008076B3" w:rsidP="005729D2">
      <w:pPr>
        <w:pStyle w:val="ListParagraph"/>
        <w:numPr>
          <w:ilvl w:val="2"/>
          <w:numId w:val="217"/>
        </w:numPr>
        <w:spacing w:before="0" w:after="160" w:line="259" w:lineRule="auto"/>
      </w:pPr>
      <w:r>
        <w:t>Schema administration</w:t>
      </w:r>
    </w:p>
    <w:p w14:paraId="31114F85" w14:textId="77777777" w:rsidR="008076B3" w:rsidRDefault="008076B3" w:rsidP="005729D2">
      <w:pPr>
        <w:pStyle w:val="ListParagraph"/>
        <w:numPr>
          <w:ilvl w:val="2"/>
          <w:numId w:val="217"/>
        </w:numPr>
        <w:spacing w:before="0" w:after="160" w:line="259" w:lineRule="auto"/>
      </w:pPr>
      <w:r>
        <w:t>Forest-wide tasks that require enterprise administrative privileges</w:t>
      </w:r>
      <w:r>
        <w:br/>
        <w:t xml:space="preserve">Note that topology management including Active Directory site and subnet management is delegated to limit the use of these privileges. </w:t>
      </w:r>
    </w:p>
    <w:p w14:paraId="0024620F" w14:textId="77777777" w:rsidR="008076B3" w:rsidRDefault="008076B3" w:rsidP="005729D2">
      <w:pPr>
        <w:pStyle w:val="ListParagraph"/>
        <w:numPr>
          <w:ilvl w:val="0"/>
          <w:numId w:val="217"/>
        </w:numPr>
        <w:spacing w:before="0" w:after="160" w:line="259" w:lineRule="auto"/>
      </w:pPr>
      <w:r>
        <w:t xml:space="preserve">All usage of one of these accounts should have written authorization by the security group lead. Email format is acceptable. </w:t>
      </w:r>
    </w:p>
    <w:p w14:paraId="0ED28A88" w14:textId="77777777" w:rsidR="008076B3" w:rsidRDefault="008076B3" w:rsidP="005729D2">
      <w:pPr>
        <w:pStyle w:val="ListParagraph"/>
        <w:numPr>
          <w:ilvl w:val="0"/>
          <w:numId w:val="217"/>
        </w:numPr>
        <w:spacing w:before="0" w:after="160" w:line="259" w:lineRule="auto"/>
      </w:pPr>
      <w:r>
        <w:t xml:space="preserve">The procedure on the tracking sheet for each emergency access account requires the password to be changed for each use. A security team member should validate that this happened correctly. </w:t>
      </w:r>
    </w:p>
    <w:p w14:paraId="3E1935E9" w14:textId="77777777" w:rsidR="008076B3" w:rsidRPr="00C93A52" w:rsidRDefault="008076B3" w:rsidP="008076B3">
      <w:pPr>
        <w:pStyle w:val="Heading5"/>
        <w:rPr>
          <w:b/>
        </w:rPr>
      </w:pPr>
      <w:r w:rsidRPr="00C93A52">
        <w:rPr>
          <w:b/>
          <w:color w:val="000000" w:themeColor="text1"/>
        </w:rPr>
        <w:t xml:space="preserve">Temporarily Assign Enterprise Admin and Schema Admin membership </w:t>
      </w:r>
    </w:p>
    <w:p w14:paraId="35E8B7C8" w14:textId="6835FDD2" w:rsidR="00F97B16" w:rsidRDefault="008076B3" w:rsidP="008076B3">
      <w:pPr>
        <w:tabs>
          <w:tab w:val="left" w:pos="1952"/>
        </w:tabs>
        <w:spacing w:after="0" w:line="240" w:lineRule="auto"/>
        <w:rPr>
          <w:rFonts w:ascii="Calibri" w:eastAsia="Times New Roman" w:hAnsi="Calibri" w:cs="Times New Roman"/>
          <w:color w:val="000000"/>
        </w:rPr>
      </w:pPr>
      <w:r>
        <w:t>This privilege should be added as needed and removed after use. The emergency account should have these privileges assigned for only the duration of the task to be completed, and for a maximum of 10 hours. All usage and duration of these privileges should be captured in the change approval board record after the task is completed.</w:t>
      </w:r>
      <w:r w:rsidR="00F97B16">
        <w:t xml:space="preserve"> </w:t>
      </w:r>
    </w:p>
    <w:p w14:paraId="3BDF4434" w14:textId="77777777" w:rsidR="00F97B16" w:rsidRDefault="00F97B16" w:rsidP="00F97B16"/>
    <w:p w14:paraId="7F4862D7" w14:textId="77777777" w:rsidR="00F97B16" w:rsidRDefault="00F97B16" w:rsidP="00F97B16"/>
    <w:p w14:paraId="1704DE26" w14:textId="77777777" w:rsidR="00F97B16" w:rsidRPr="000C3DD7" w:rsidRDefault="00F97B16" w:rsidP="005729D2">
      <w:pPr>
        <w:pStyle w:val="Heading3Numbered"/>
        <w:numPr>
          <w:ilvl w:val="2"/>
          <w:numId w:val="64"/>
        </w:numPr>
      </w:pPr>
      <w:bookmarkStart w:id="7987" w:name="_Hardening_Standards_Applicability"/>
      <w:bookmarkStart w:id="7988" w:name="_Toc423091774"/>
      <w:bookmarkStart w:id="7989" w:name="_Toc423464078"/>
      <w:bookmarkStart w:id="7990" w:name="_Toc423464751"/>
      <w:bookmarkStart w:id="7991" w:name="_Toc431288995"/>
      <w:bookmarkEnd w:id="7987"/>
      <w:r w:rsidRPr="0033450A">
        <w:t xml:space="preserve">Hardening </w:t>
      </w:r>
      <w:r>
        <w:t xml:space="preserve">Standards </w:t>
      </w:r>
      <w:r w:rsidRPr="0033450A">
        <w:t>Applicability</w:t>
      </w:r>
      <w:bookmarkEnd w:id="7988"/>
      <w:bookmarkEnd w:id="7989"/>
      <w:bookmarkEnd w:id="7990"/>
      <w:bookmarkEnd w:id="7991"/>
      <w:r w:rsidRPr="0033450A">
        <w:t xml:space="preserve"> </w:t>
      </w:r>
    </w:p>
    <w:p w14:paraId="237B692F" w14:textId="77777777" w:rsidR="008076B3" w:rsidRPr="00AD6B67" w:rsidRDefault="008076B3" w:rsidP="008076B3">
      <w:pPr>
        <w:pStyle w:val="Heading4"/>
        <w:rPr>
          <w:rFonts w:ascii="Segoe UI" w:hAnsi="Segoe UI" w:cs="Segoe UI"/>
          <w:b/>
          <w:color w:val="000000" w:themeColor="text1"/>
        </w:rPr>
      </w:pPr>
      <w:bookmarkStart w:id="7992" w:name="_Toc423091775"/>
      <w:bookmarkStart w:id="7993" w:name="_Toc421201741"/>
      <w:r w:rsidRPr="00AD6B67">
        <w:rPr>
          <w:rFonts w:ascii="Segoe UI" w:hAnsi="Segoe UI" w:cs="Segoe UI"/>
          <w:b/>
          <w:color w:val="000000" w:themeColor="text1"/>
        </w:rPr>
        <w:t>Identity System Hosts</w:t>
      </w:r>
      <w:bookmarkEnd w:id="7992"/>
    </w:p>
    <w:p w14:paraId="507F00B2" w14:textId="77777777" w:rsidR="008076B3" w:rsidRPr="00AD6B67" w:rsidRDefault="008076B3" w:rsidP="008076B3">
      <w:pPr>
        <w:pStyle w:val="Heading5"/>
        <w:rPr>
          <w:b/>
          <w:color w:val="000000" w:themeColor="text1"/>
        </w:rPr>
      </w:pPr>
      <w:r w:rsidRPr="00AD6B67">
        <w:rPr>
          <w:b/>
          <w:color w:val="000000" w:themeColor="text1"/>
        </w:rPr>
        <w:t>Active Directory and Domain Controllers</w:t>
      </w:r>
    </w:p>
    <w:p w14:paraId="334A9796" w14:textId="77777777" w:rsidR="008076B3" w:rsidRPr="009B7F4B" w:rsidRDefault="008076B3" w:rsidP="008076B3">
      <w:r>
        <w:t xml:space="preserve">Active Directory domain controllers store a copy of the password hashes for all accounts. All means of administrative control of these hosts must be secured at or above the Tier 0 standard. </w:t>
      </w:r>
    </w:p>
    <w:p w14:paraId="4FA6370C" w14:textId="77777777" w:rsidR="008076B3" w:rsidRDefault="008076B3" w:rsidP="008076B3">
      <w:pPr>
        <w:pStyle w:val="Heading5"/>
      </w:pPr>
      <w:r w:rsidRPr="00AD6B67">
        <w:rPr>
          <w:b/>
          <w:color w:val="000000" w:themeColor="text1"/>
        </w:rPr>
        <w:t xml:space="preserve">Certification Authorities </w:t>
      </w:r>
    </w:p>
    <w:p w14:paraId="369AB43B" w14:textId="77777777" w:rsidR="008076B3" w:rsidRPr="009B7F4B" w:rsidRDefault="008076B3" w:rsidP="008076B3">
      <w:r>
        <w:t xml:space="preserve">Certification authorities (CAs) can issue PKI certificates that can be used to authenticate as any account. All means of administrative control of these hosts must be secured at or above the Tier 0 standard. </w:t>
      </w:r>
    </w:p>
    <w:p w14:paraId="68011259" w14:textId="77777777" w:rsidR="008076B3" w:rsidRPr="00AD6B67" w:rsidRDefault="008076B3" w:rsidP="008076B3">
      <w:pPr>
        <w:pStyle w:val="Heading5"/>
        <w:rPr>
          <w:b/>
          <w:color w:val="000000" w:themeColor="text1"/>
        </w:rPr>
      </w:pPr>
      <w:r w:rsidRPr="00AD6B67">
        <w:rPr>
          <w:b/>
          <w:color w:val="000000" w:themeColor="text1"/>
        </w:rPr>
        <w:t>Privileged Identity Management Systems</w:t>
      </w:r>
    </w:p>
    <w:p w14:paraId="0C29D526" w14:textId="77777777" w:rsidR="008076B3" w:rsidRPr="009B7F4B" w:rsidRDefault="008076B3" w:rsidP="008076B3">
      <w:r>
        <w:t xml:space="preserve">Privileged identity management systems can reset passwords and provide access to administrative accounts and groups, so they are considered Tier 0 assets. The application server hosts and workstations where PIM administrators log on should meet the Tier 0 host hardening standards. </w:t>
      </w:r>
    </w:p>
    <w:p w14:paraId="3BE2CD19" w14:textId="77777777" w:rsidR="008076B3" w:rsidRPr="00AD6B67" w:rsidRDefault="008076B3" w:rsidP="008076B3">
      <w:pPr>
        <w:pStyle w:val="Heading5"/>
        <w:rPr>
          <w:b/>
          <w:color w:val="000000" w:themeColor="text1"/>
        </w:rPr>
      </w:pPr>
      <w:r w:rsidRPr="00AD6B67">
        <w:rPr>
          <w:b/>
          <w:color w:val="000000" w:themeColor="text1"/>
        </w:rPr>
        <w:t>Enterprise Identity Management Systems</w:t>
      </w:r>
    </w:p>
    <w:p w14:paraId="06E31E10" w14:textId="77777777" w:rsidR="008076B3" w:rsidRPr="009B7F4B" w:rsidRDefault="008076B3" w:rsidP="008076B3">
      <w:r>
        <w:t xml:space="preserve">Identity management systems can reset passwords and provide access to any user's account, and they are considered Tier 2 assets. Enterprise identify management systems should not be granted privileges to administrative accounts, groups, or OUs. If they are, they must be classified as a privileged identity management solution and secured at Tier 0 standards. The enterprise identify management application servers and workstations administrators log on should meet the appropriate host hardening standards. </w:t>
      </w:r>
    </w:p>
    <w:p w14:paraId="52050774" w14:textId="77777777" w:rsidR="008076B3" w:rsidRDefault="008076B3" w:rsidP="008076B3">
      <w:pPr>
        <w:pStyle w:val="Heading5"/>
      </w:pPr>
      <w:r w:rsidRPr="00AD6B67">
        <w:rPr>
          <w:b/>
          <w:color w:val="000000" w:themeColor="text1"/>
        </w:rPr>
        <w:t xml:space="preserve">Identity Federation Systems </w:t>
      </w:r>
    </w:p>
    <w:p w14:paraId="25FBDD76" w14:textId="77777777" w:rsidR="008076B3" w:rsidRPr="002B0537" w:rsidRDefault="008076B3" w:rsidP="008076B3">
      <w:r w:rsidRPr="002B0537">
        <w:t xml:space="preserve">Identity </w:t>
      </w:r>
      <w:r>
        <w:t xml:space="preserve">federation </w:t>
      </w:r>
      <w:r w:rsidRPr="002B0537">
        <w:t xml:space="preserve">systems </w:t>
      </w:r>
      <w:r>
        <w:t xml:space="preserve">(AD FS) process authentications for any accounts that use the system, so they must be considered Tier 0 assets. These systems frequently host websites that are exposed to direct Internet traffic, so those exceptions must be allowed, and application-specific security guidance from the vendor should be followed. </w:t>
      </w:r>
    </w:p>
    <w:p w14:paraId="4A6BB60F" w14:textId="77777777" w:rsidR="008076B3" w:rsidRPr="00AD6B67" w:rsidRDefault="008076B3" w:rsidP="008076B3">
      <w:pPr>
        <w:pStyle w:val="Heading5"/>
        <w:rPr>
          <w:b/>
          <w:color w:val="000000" w:themeColor="text1"/>
        </w:rPr>
      </w:pPr>
      <w:r w:rsidRPr="00AD6B67">
        <w:rPr>
          <w:b/>
          <w:color w:val="000000" w:themeColor="text1"/>
        </w:rPr>
        <w:t>Identity System Administrative Workstations and Servers</w:t>
      </w:r>
    </w:p>
    <w:p w14:paraId="7139D7DB" w14:textId="21342E26" w:rsidR="00F97B16" w:rsidRDefault="008076B3" w:rsidP="008076B3">
      <w:r>
        <w:t>Administrative workstations must be secured at or above the level of the systems to be managed, so all locations that host administrative accounts for identity systems must be hardened at the appropriate Tier standard.</w:t>
      </w:r>
      <w:r w:rsidR="00F97B16">
        <w:t xml:space="preserve"> </w:t>
      </w:r>
    </w:p>
    <w:p w14:paraId="6232F34A" w14:textId="77777777" w:rsidR="008076B3" w:rsidRPr="00AD6B67" w:rsidRDefault="008076B3" w:rsidP="008076B3">
      <w:pPr>
        <w:pStyle w:val="Heading4"/>
        <w:rPr>
          <w:rFonts w:ascii="Segoe UI" w:hAnsi="Segoe UI" w:cs="Segoe UI"/>
          <w:b/>
          <w:color w:val="000000" w:themeColor="text1"/>
        </w:rPr>
      </w:pPr>
      <w:bookmarkStart w:id="7994" w:name="_Toc423091776"/>
      <w:bookmarkEnd w:id="7993"/>
      <w:r w:rsidRPr="00AD6B67">
        <w:rPr>
          <w:rFonts w:ascii="Segoe UI" w:hAnsi="Segoe UI" w:cs="Segoe UI"/>
          <w:b/>
          <w:color w:val="000000" w:themeColor="text1"/>
        </w:rPr>
        <w:t>Infrastructure Management and Security Hosts</w:t>
      </w:r>
      <w:bookmarkEnd w:id="7994"/>
    </w:p>
    <w:p w14:paraId="57AC46B5" w14:textId="77777777" w:rsidR="008076B3" w:rsidRDefault="008076B3" w:rsidP="008076B3">
      <w:r>
        <w:t>These standards describe the requirements that must be met for the i</w:t>
      </w:r>
      <w:r w:rsidRPr="004154BD">
        <w:t xml:space="preserve">nfrastructure </w:t>
      </w:r>
      <w:r>
        <w:t>m</w:t>
      </w:r>
      <w:r w:rsidRPr="004154BD">
        <w:t xml:space="preserve">anagement and </w:t>
      </w:r>
      <w:r>
        <w:t>s</w:t>
      </w:r>
      <w:r w:rsidRPr="004154BD">
        <w:t>ecurity</w:t>
      </w:r>
      <w:r>
        <w:t xml:space="preserve"> tools that will be used to manage hosts in a given Tier. All components of a management tool must meet or exceed the hardening standards of that Tier, including:</w:t>
      </w:r>
    </w:p>
    <w:p w14:paraId="07216C04" w14:textId="77777777" w:rsidR="008076B3" w:rsidRDefault="008076B3" w:rsidP="005729D2">
      <w:pPr>
        <w:pStyle w:val="ListParagraph"/>
        <w:numPr>
          <w:ilvl w:val="0"/>
          <w:numId w:val="221"/>
        </w:numPr>
        <w:spacing w:before="0" w:after="160" w:line="259" w:lineRule="auto"/>
      </w:pPr>
      <w:r>
        <w:t>Server hosts where the tool and databases are installed</w:t>
      </w:r>
    </w:p>
    <w:p w14:paraId="28399C43" w14:textId="77777777" w:rsidR="008076B3" w:rsidRDefault="008076B3" w:rsidP="005729D2">
      <w:pPr>
        <w:pStyle w:val="ListParagraph"/>
        <w:numPr>
          <w:ilvl w:val="0"/>
          <w:numId w:val="221"/>
        </w:numPr>
        <w:spacing w:before="0" w:after="160" w:line="259" w:lineRule="auto"/>
      </w:pPr>
      <w:r>
        <w:t>Administrative workstations used to operate the management tool</w:t>
      </w:r>
    </w:p>
    <w:p w14:paraId="452C82C4" w14:textId="77777777" w:rsidR="008076B3" w:rsidRDefault="008076B3" w:rsidP="005729D2">
      <w:pPr>
        <w:pStyle w:val="ListParagraph"/>
        <w:numPr>
          <w:ilvl w:val="0"/>
          <w:numId w:val="221"/>
        </w:numPr>
        <w:spacing w:before="0" w:after="160" w:line="259" w:lineRule="auto"/>
      </w:pPr>
      <w:r>
        <w:t>Accounts with administrative privileges over the tool</w:t>
      </w:r>
    </w:p>
    <w:p w14:paraId="57A17D88" w14:textId="77777777" w:rsidR="008076B3" w:rsidRDefault="008076B3" w:rsidP="005729D2">
      <w:pPr>
        <w:pStyle w:val="ListParagraph"/>
        <w:numPr>
          <w:ilvl w:val="0"/>
          <w:numId w:val="221"/>
        </w:numPr>
        <w:spacing w:before="0" w:after="160" w:line="259" w:lineRule="auto"/>
      </w:pPr>
      <w:r>
        <w:t>Account with administrative privileges over the servers that host the tool, and the administrative workstations that are used to manage the tool</w:t>
      </w:r>
    </w:p>
    <w:p w14:paraId="6959AC8F" w14:textId="77777777" w:rsidR="008076B3" w:rsidRDefault="008076B3" w:rsidP="005729D2">
      <w:pPr>
        <w:pStyle w:val="ListParagraph"/>
        <w:numPr>
          <w:ilvl w:val="0"/>
          <w:numId w:val="221"/>
        </w:numPr>
        <w:spacing w:before="0" w:after="160" w:line="259" w:lineRule="auto"/>
      </w:pPr>
      <w:r>
        <w:t xml:space="preserve">Storage devices where the tool database, server virtual machines, or admin workstation virtual machines are stored </w:t>
      </w:r>
    </w:p>
    <w:p w14:paraId="303DE834" w14:textId="77777777" w:rsidR="008076B3" w:rsidRPr="00AD6B67" w:rsidRDefault="008076B3" w:rsidP="008076B3">
      <w:pPr>
        <w:pStyle w:val="Heading5"/>
        <w:rPr>
          <w:b/>
          <w:color w:val="000000" w:themeColor="text1"/>
        </w:rPr>
      </w:pPr>
      <w:bookmarkStart w:id="7995" w:name="_Toc421201743"/>
      <w:r w:rsidRPr="00AD6B67">
        <w:rPr>
          <w:b/>
          <w:color w:val="000000" w:themeColor="text1"/>
        </w:rPr>
        <w:t>Configuration Management</w:t>
      </w:r>
      <w:bookmarkEnd w:id="7995"/>
    </w:p>
    <w:p w14:paraId="5201EF34" w14:textId="77777777" w:rsidR="008076B3" w:rsidRDefault="008076B3" w:rsidP="008076B3">
      <w:r>
        <w:t xml:space="preserve">Configuration management tools allow the ability to run arbitrary code as a system on managed computers. These are classified at the Tier that they manage, and all components must be secured at or above that level. </w:t>
      </w:r>
    </w:p>
    <w:p w14:paraId="2F426F57" w14:textId="77777777" w:rsidR="008076B3" w:rsidRDefault="008076B3" w:rsidP="008076B3">
      <w:r>
        <w:t>As an example, a configuration management tool with an agent installed on a domain controller will be Tier 0.</w:t>
      </w:r>
    </w:p>
    <w:p w14:paraId="22B62118" w14:textId="77777777" w:rsidR="008076B3" w:rsidRPr="00AD6B67" w:rsidRDefault="008076B3" w:rsidP="008076B3">
      <w:pPr>
        <w:pStyle w:val="Heading5"/>
        <w:rPr>
          <w:b/>
          <w:color w:val="000000" w:themeColor="text1"/>
        </w:rPr>
      </w:pPr>
      <w:bookmarkStart w:id="7996" w:name="_Toc421201744"/>
      <w:r w:rsidRPr="00AD6B67">
        <w:rPr>
          <w:b/>
          <w:color w:val="000000" w:themeColor="text1"/>
        </w:rPr>
        <w:t>Operational Monitoring</w:t>
      </w:r>
      <w:bookmarkEnd w:id="7996"/>
      <w:r w:rsidRPr="00AD6B67">
        <w:rPr>
          <w:b/>
          <w:color w:val="000000" w:themeColor="text1"/>
        </w:rPr>
        <w:t xml:space="preserve"> </w:t>
      </w:r>
    </w:p>
    <w:p w14:paraId="402049F2" w14:textId="77777777" w:rsidR="008076B3" w:rsidRDefault="008076B3" w:rsidP="008076B3">
      <w:r>
        <w:t xml:space="preserve">Operational management and performance management tools allow the ability to run arbitrary code as a system on managed computers. These are classified at the highest tier of assets that they manage, and all components must be secured at or above that level. </w:t>
      </w:r>
    </w:p>
    <w:p w14:paraId="31C1938B" w14:textId="77777777" w:rsidR="008076B3" w:rsidRDefault="008076B3" w:rsidP="008076B3">
      <w:r>
        <w:t>As an example, an operations management tool with an agent installed on a Tier 0 configuration management tool will be Tier 0.</w:t>
      </w:r>
    </w:p>
    <w:p w14:paraId="6A461209" w14:textId="77777777" w:rsidR="008076B3" w:rsidRPr="00AD6B67" w:rsidRDefault="008076B3" w:rsidP="008076B3">
      <w:pPr>
        <w:pStyle w:val="Heading5"/>
        <w:rPr>
          <w:b/>
          <w:color w:val="000000" w:themeColor="text1"/>
        </w:rPr>
      </w:pPr>
      <w:bookmarkStart w:id="7997" w:name="_Toc421201742"/>
      <w:r w:rsidRPr="00AD6B67">
        <w:rPr>
          <w:b/>
          <w:color w:val="000000" w:themeColor="text1"/>
        </w:rPr>
        <w:t>Backup</w:t>
      </w:r>
      <w:bookmarkEnd w:id="7997"/>
      <w:r w:rsidRPr="00AD6B67">
        <w:rPr>
          <w:b/>
          <w:color w:val="000000" w:themeColor="text1"/>
        </w:rPr>
        <w:tab/>
      </w:r>
    </w:p>
    <w:p w14:paraId="1D2EDB9B" w14:textId="77777777" w:rsidR="008076B3" w:rsidRDefault="008076B3" w:rsidP="008076B3">
      <w:r>
        <w:t>Backup systems provide the ability to access backup files for an operating system, the ability to back up an operating system, or the ability to restore backups of an operating system</w:t>
      </w:r>
      <w:r w:rsidDel="004C1324">
        <w:t xml:space="preserve"> </w:t>
      </w:r>
      <w:r>
        <w:t xml:space="preserve">to arbitrary </w:t>
      </w:r>
      <w:r w:rsidRPr="00C2309B">
        <w:t>locations</w:t>
      </w:r>
      <w:r>
        <w:t xml:space="preserve">. </w:t>
      </w:r>
    </w:p>
    <w:p w14:paraId="29AB9836" w14:textId="77777777" w:rsidR="008076B3" w:rsidRDefault="008076B3" w:rsidP="008076B3">
      <w:r>
        <w:t xml:space="preserve">Any of these needs provide </w:t>
      </w:r>
      <w:r w:rsidRPr="00C2309B">
        <w:t xml:space="preserve">the ability to </w:t>
      </w:r>
      <w:r>
        <w:t xml:space="preserve">read and </w:t>
      </w:r>
      <w:r w:rsidRPr="00C2309B">
        <w:t xml:space="preserve">control </w:t>
      </w:r>
      <w:r>
        <w:t>any element of that operating system (or to copy the operating system to a back-up file), including the operating system</w:t>
      </w:r>
      <w:r w:rsidDel="004C1324">
        <w:t xml:space="preserve"> </w:t>
      </w:r>
      <w:r>
        <w:t xml:space="preserve">secrets. </w:t>
      </w:r>
    </w:p>
    <w:p w14:paraId="2E6210FA" w14:textId="36FB0D5C" w:rsidR="00F97B16" w:rsidRDefault="008076B3" w:rsidP="008076B3">
      <w:r>
        <w:t>These are classified at the highest tier of assets that they manage, and all components must be secured at or above that level, including backup file storage systems, storage administrators and their workstations, and any administrators of those systems.</w:t>
      </w:r>
      <w:r w:rsidR="00F97B16">
        <w:t xml:space="preserve"> </w:t>
      </w:r>
    </w:p>
    <w:p w14:paraId="13B2F2A6" w14:textId="77777777" w:rsidR="008076B3" w:rsidRPr="00AD6B67" w:rsidRDefault="008076B3" w:rsidP="008076B3">
      <w:pPr>
        <w:pStyle w:val="Heading5"/>
        <w:rPr>
          <w:b/>
        </w:rPr>
      </w:pPr>
      <w:bookmarkStart w:id="7998" w:name="_Toc421201745"/>
      <w:r w:rsidRPr="00AD6B67">
        <w:rPr>
          <w:b/>
          <w:color w:val="000000" w:themeColor="text1"/>
        </w:rPr>
        <w:t>Virtualization</w:t>
      </w:r>
      <w:bookmarkEnd w:id="7998"/>
      <w:r w:rsidRPr="00AD6B67">
        <w:rPr>
          <w:b/>
          <w:color w:val="000000" w:themeColor="text1"/>
        </w:rPr>
        <w:t xml:space="preserve"> </w:t>
      </w:r>
    </w:p>
    <w:p w14:paraId="53137683" w14:textId="77777777" w:rsidR="008076B3" w:rsidRDefault="008076B3" w:rsidP="008076B3">
      <w:r>
        <w:t xml:space="preserve">Virtualization tools allow the ability to fully control all operating systems and data hosted on them. They are classified at the highest level of virtual machines that are hosted on them. These provide </w:t>
      </w:r>
      <w:r w:rsidRPr="00C2309B">
        <w:t xml:space="preserve">the ability to </w:t>
      </w:r>
      <w:r>
        <w:t xml:space="preserve">read and </w:t>
      </w:r>
      <w:r w:rsidRPr="00C2309B">
        <w:t xml:space="preserve">control </w:t>
      </w:r>
      <w:r>
        <w:t xml:space="preserve">any element of the operating system (on disk or in memory), including the operating system secrets. </w:t>
      </w:r>
    </w:p>
    <w:p w14:paraId="2CB65FE0" w14:textId="77777777" w:rsidR="008076B3" w:rsidRDefault="008076B3" w:rsidP="008076B3">
      <w:r>
        <w:t xml:space="preserve">New technology called “shielded virtual machines” has been announced by Microsoft. Its purpose is to change this, but it is not generally available at the time of the writing of this standard. For more information, see </w:t>
      </w:r>
      <w:hyperlink r:id="rId698" w:history="1">
        <w:r w:rsidRPr="004C1324">
          <w:rPr>
            <w:rStyle w:val="Hyperlink"/>
          </w:rPr>
          <w:t>Shielded VMs and Guarded Fabric Validation Guide for Windows Server 2016</w:t>
        </w:r>
      </w:hyperlink>
      <w:r>
        <w:t>.</w:t>
      </w:r>
    </w:p>
    <w:p w14:paraId="6B88D782" w14:textId="77777777" w:rsidR="008076B3" w:rsidRDefault="008076B3" w:rsidP="008076B3">
      <w:r>
        <w:t xml:space="preserve">The virtualization components are classified at the highest tier of assets that they manage and all components must be secured at or above that level including virtual machine hosts, hosts where virtualization management applications run, hosts where virtual machine storage is managed, and administrative workstations where the admin accounts manage the virtualization solution and its storage. </w:t>
      </w:r>
    </w:p>
    <w:p w14:paraId="7BC08CD6" w14:textId="77777777" w:rsidR="008076B3" w:rsidRPr="00AD6B67" w:rsidRDefault="008076B3" w:rsidP="008076B3">
      <w:pPr>
        <w:pStyle w:val="Heading5"/>
        <w:rPr>
          <w:b/>
          <w:color w:val="000000" w:themeColor="text1"/>
        </w:rPr>
      </w:pPr>
      <w:bookmarkStart w:id="7999" w:name="_Toc421201746"/>
      <w:r w:rsidRPr="00AD6B67">
        <w:rPr>
          <w:b/>
          <w:color w:val="000000" w:themeColor="text1"/>
        </w:rPr>
        <w:t>Security Tools</w:t>
      </w:r>
      <w:bookmarkEnd w:id="7999"/>
    </w:p>
    <w:p w14:paraId="24E7DC43" w14:textId="77777777" w:rsidR="008076B3" w:rsidRDefault="008076B3" w:rsidP="008076B3">
      <w:r>
        <w:rPr>
          <w:color w:val="212121"/>
        </w:rPr>
        <w:t xml:space="preserve">Any </w:t>
      </w:r>
      <w:r>
        <w:t xml:space="preserve">security monitoring and enforcement tools generally allow the ability to run arbitrary code as a system on managed computers through directly accessible features or through manipulation of extensibility features. The virtualization components are classified at the highest tier of assets that they manage, and all components must be secured at or above that level. </w:t>
      </w:r>
    </w:p>
    <w:p w14:paraId="6DF9CD2E" w14:textId="77777777" w:rsidR="008076B3" w:rsidRDefault="008076B3" w:rsidP="008076B3">
      <w:r>
        <w:t>Some solutions are fixed function, and they do not offer extensibility, so the risk of those tools should be assessed individually. These tools are:</w:t>
      </w:r>
    </w:p>
    <w:p w14:paraId="23414B8F" w14:textId="77777777" w:rsidR="008076B3" w:rsidRDefault="008076B3" w:rsidP="005729D2">
      <w:pPr>
        <w:pStyle w:val="ListParagraph"/>
        <w:numPr>
          <w:ilvl w:val="0"/>
          <w:numId w:val="222"/>
        </w:numPr>
        <w:spacing w:before="0" w:after="160" w:line="259" w:lineRule="auto"/>
      </w:pPr>
      <w:r>
        <w:t xml:space="preserve">Microsoft System Center Endpoint Protection Agent (when not managed by GPOs instead of SCCM) </w:t>
      </w:r>
    </w:p>
    <w:p w14:paraId="1AFC6B84" w14:textId="77777777" w:rsidR="008076B3" w:rsidRDefault="008076B3" w:rsidP="005729D2">
      <w:pPr>
        <w:pStyle w:val="ListParagraph"/>
        <w:numPr>
          <w:ilvl w:val="0"/>
          <w:numId w:val="222"/>
        </w:numPr>
        <w:spacing w:before="0" w:after="160" w:line="259" w:lineRule="auto"/>
      </w:pPr>
      <w:r>
        <w:t>Microsoft Windows Server Update Service (WSUS)</w:t>
      </w:r>
    </w:p>
    <w:p w14:paraId="60B57421" w14:textId="77777777" w:rsidR="008076B3" w:rsidRDefault="008076B3" w:rsidP="008076B3">
      <w:r w:rsidRPr="00082244">
        <w:t xml:space="preserve">Security monitoring </w:t>
      </w:r>
      <w:r>
        <w:t>should</w:t>
      </w:r>
      <w:r w:rsidRPr="00082244">
        <w:t xml:space="preserve"> be provided by </w:t>
      </w:r>
      <w:r>
        <w:t xml:space="preserve">the </w:t>
      </w:r>
      <w:r w:rsidRPr="00082244">
        <w:t>security team</w:t>
      </w:r>
      <w:r>
        <w:t>.</w:t>
      </w:r>
    </w:p>
    <w:p w14:paraId="2C34F347" w14:textId="77777777" w:rsidR="008076B3" w:rsidRPr="00AD6B67" w:rsidRDefault="008076B3" w:rsidP="008076B3">
      <w:pPr>
        <w:pStyle w:val="Heading5"/>
        <w:rPr>
          <w:b/>
          <w:color w:val="000000" w:themeColor="text1"/>
        </w:rPr>
      </w:pPr>
      <w:r w:rsidRPr="00AD6B67">
        <w:rPr>
          <w:b/>
          <w:color w:val="000000" w:themeColor="text1"/>
        </w:rPr>
        <w:t>Infrastructure System Administrative Workstations</w:t>
      </w:r>
    </w:p>
    <w:p w14:paraId="3E141629" w14:textId="0665A3BE" w:rsidR="00F97B16" w:rsidRDefault="008076B3" w:rsidP="008076B3">
      <w:r>
        <w:t>Administrative workstations must be secured at or above the level of the systems to be managed, so all locations that host administrative accounts for infrastructure systems must be hardened at the appropriate Tier standard.</w:t>
      </w:r>
      <w:r w:rsidR="00F97B16">
        <w:t xml:space="preserve"> </w:t>
      </w:r>
    </w:p>
    <w:p w14:paraId="017B211A" w14:textId="77777777" w:rsidR="008076B3" w:rsidRPr="00AD6B67" w:rsidRDefault="008076B3" w:rsidP="008076B3">
      <w:pPr>
        <w:pStyle w:val="Heading4"/>
        <w:rPr>
          <w:rFonts w:ascii="Segoe UI" w:hAnsi="Segoe UI" w:cs="Segoe UI"/>
          <w:b/>
          <w:color w:val="000000" w:themeColor="text1"/>
        </w:rPr>
      </w:pPr>
      <w:bookmarkStart w:id="8000" w:name="_Toc423091777"/>
      <w:r w:rsidRPr="00AD6B67">
        <w:rPr>
          <w:rFonts w:ascii="Segoe UI" w:hAnsi="Segoe UI" w:cs="Segoe UI"/>
          <w:b/>
          <w:color w:val="000000" w:themeColor="text1"/>
        </w:rPr>
        <w:t>Cloud and Contracted Services</w:t>
      </w:r>
      <w:bookmarkEnd w:id="8000"/>
    </w:p>
    <w:p w14:paraId="6BB18B94" w14:textId="77777777" w:rsidR="008076B3" w:rsidRPr="00AD6B67" w:rsidRDefault="008076B3" w:rsidP="008076B3">
      <w:pPr>
        <w:pStyle w:val="Heading5"/>
        <w:rPr>
          <w:b/>
          <w:color w:val="000000" w:themeColor="text1"/>
        </w:rPr>
      </w:pPr>
      <w:r w:rsidRPr="00AD6B67">
        <w:rPr>
          <w:b/>
          <w:color w:val="000000" w:themeColor="text1"/>
        </w:rPr>
        <w:t xml:space="preserve">Microsoft Azure </w:t>
      </w:r>
    </w:p>
    <w:p w14:paraId="1544A242" w14:textId="77777777" w:rsidR="008076B3" w:rsidRDefault="008076B3" w:rsidP="008076B3">
      <w:r>
        <w:t>Much like v</w:t>
      </w:r>
      <w:r w:rsidRPr="00FA766D">
        <w:t xml:space="preserve">irtualization </w:t>
      </w:r>
      <w:r>
        <w:t>t</w:t>
      </w:r>
      <w:r w:rsidRPr="00FA766D">
        <w:t>ools</w:t>
      </w:r>
      <w:r>
        <w:t xml:space="preserve">, an administrator of an Azure subscription has </w:t>
      </w:r>
      <w:r w:rsidRPr="00FA766D">
        <w:t xml:space="preserve">the ability to fully control all operating systems and </w:t>
      </w:r>
      <w:r>
        <w:t xml:space="preserve">the </w:t>
      </w:r>
      <w:r w:rsidRPr="00FA766D">
        <w:t xml:space="preserve">data hosted on </w:t>
      </w:r>
      <w:r>
        <w:t xml:space="preserve">it. Because of this, the subscription is </w:t>
      </w:r>
      <w:r w:rsidRPr="00FA766D">
        <w:t xml:space="preserve">classified at the </w:t>
      </w:r>
      <w:r>
        <w:t xml:space="preserve">Tier of the </w:t>
      </w:r>
      <w:r w:rsidRPr="00FA766D">
        <w:t xml:space="preserve">highest level </w:t>
      </w:r>
      <w:r>
        <w:t xml:space="preserve">of </w:t>
      </w:r>
      <w:r w:rsidRPr="00FA766D">
        <w:t>virtual machines that are hosted on them.</w:t>
      </w:r>
      <w:r>
        <w:t xml:space="preserve"> </w:t>
      </w:r>
    </w:p>
    <w:p w14:paraId="133904C9" w14:textId="051175CD" w:rsidR="00F97B16" w:rsidRDefault="008076B3" w:rsidP="008076B3">
      <w:r>
        <w:t>If Tier 0 assets, such as domain controllers, are hosted in Azure, they must be hosted in a separate Azure subscription from the Tier 1 and Tier 2 assets.</w:t>
      </w:r>
    </w:p>
    <w:p w14:paraId="4F2A71A9" w14:textId="77777777" w:rsidR="00F97B16" w:rsidRPr="00A85323" w:rsidRDefault="00F97B16" w:rsidP="005729D2">
      <w:pPr>
        <w:pStyle w:val="Heading3Numbered"/>
        <w:numPr>
          <w:ilvl w:val="2"/>
          <w:numId w:val="64"/>
        </w:numPr>
      </w:pPr>
      <w:bookmarkStart w:id="8001" w:name="_Toc423116867"/>
      <w:bookmarkStart w:id="8002" w:name="_Toc423113507"/>
      <w:bookmarkStart w:id="8003" w:name="_Toc423114223"/>
      <w:bookmarkStart w:id="8004" w:name="_Toc423117900"/>
      <w:bookmarkStart w:id="8005" w:name="_Toc423122557"/>
      <w:bookmarkStart w:id="8006" w:name="_Toc423116868"/>
      <w:bookmarkStart w:id="8007" w:name="_Toc423113508"/>
      <w:bookmarkStart w:id="8008" w:name="_Toc423114224"/>
      <w:bookmarkStart w:id="8009" w:name="_Toc423117901"/>
      <w:bookmarkStart w:id="8010" w:name="_Toc423122558"/>
      <w:bookmarkStart w:id="8011" w:name="_Toc423091780"/>
      <w:bookmarkStart w:id="8012" w:name="_Toc423116869"/>
      <w:bookmarkStart w:id="8013" w:name="_Toc423117902"/>
      <w:bookmarkStart w:id="8014" w:name="_Toc423117350"/>
      <w:bookmarkStart w:id="8015" w:name="_Toc423464079"/>
      <w:bookmarkStart w:id="8016" w:name="_Toc423464752"/>
      <w:bookmarkStart w:id="8017" w:name="_Toc431288996"/>
      <w:bookmarkEnd w:id="8001"/>
      <w:bookmarkEnd w:id="8002"/>
      <w:bookmarkEnd w:id="8003"/>
      <w:bookmarkEnd w:id="8004"/>
      <w:bookmarkEnd w:id="8005"/>
      <w:bookmarkEnd w:id="8006"/>
      <w:bookmarkEnd w:id="8007"/>
      <w:bookmarkEnd w:id="8008"/>
      <w:bookmarkEnd w:id="8009"/>
      <w:bookmarkEnd w:id="8010"/>
      <w:r w:rsidRPr="00A85323">
        <w:t>Mitigating Software Security Risks</w:t>
      </w:r>
      <w:bookmarkEnd w:id="8011"/>
      <w:bookmarkEnd w:id="8012"/>
      <w:bookmarkEnd w:id="8013"/>
      <w:bookmarkEnd w:id="8014"/>
      <w:bookmarkEnd w:id="8015"/>
      <w:bookmarkEnd w:id="8016"/>
      <w:bookmarkEnd w:id="8017"/>
    </w:p>
    <w:p w14:paraId="4A3BCEC7" w14:textId="0EDBDE59" w:rsidR="008076B3" w:rsidRPr="00A85323" w:rsidRDefault="00F97B16" w:rsidP="008076B3">
      <w:pPr>
        <w:rPr>
          <w:rFonts w:eastAsia="MS Mincho"/>
        </w:rPr>
      </w:pPr>
      <w:r w:rsidRPr="00A85323">
        <w:rPr>
          <w:rFonts w:eastAsia="MS Mincho"/>
        </w:rPr>
        <w:t>Microsoft</w:t>
      </w:r>
      <w:r w:rsidR="008076B3" w:rsidRPr="00A85323">
        <w:rPr>
          <w:rFonts w:eastAsia="MS Mincho"/>
        </w:rPr>
        <w:t xml:space="preserve"> Azure is a cloud service </w:t>
      </w:r>
      <w:r w:rsidR="008076B3">
        <w:rPr>
          <w:rFonts w:eastAsia="MS Mincho"/>
        </w:rPr>
        <w:t xml:space="preserve">that is </w:t>
      </w:r>
      <w:r w:rsidR="008076B3" w:rsidRPr="00A85323">
        <w:rPr>
          <w:rFonts w:eastAsia="MS Mincho"/>
        </w:rPr>
        <w:t>maintained by Microsoft</w:t>
      </w:r>
      <w:r w:rsidR="008076B3">
        <w:rPr>
          <w:rFonts w:eastAsia="MS Mincho"/>
        </w:rPr>
        <w:t>,</w:t>
      </w:r>
      <w:r w:rsidR="008076B3" w:rsidRPr="00A85323">
        <w:rPr>
          <w:rFonts w:eastAsia="MS Mincho"/>
        </w:rPr>
        <w:t xml:space="preserve"> and </w:t>
      </w:r>
      <w:r w:rsidR="008076B3">
        <w:rPr>
          <w:rFonts w:eastAsia="MS Mincho"/>
        </w:rPr>
        <w:t xml:space="preserve">it </w:t>
      </w:r>
      <w:r w:rsidR="008076B3" w:rsidRPr="00A85323">
        <w:rPr>
          <w:rFonts w:eastAsia="MS Mincho"/>
        </w:rPr>
        <w:t xml:space="preserve">does not require traditional application security for the platform </w:t>
      </w:r>
      <w:r w:rsidR="008076B3">
        <w:rPr>
          <w:rFonts w:eastAsia="MS Mincho"/>
        </w:rPr>
        <w:t>because</w:t>
      </w:r>
      <w:r w:rsidR="008076B3" w:rsidRPr="00A85323">
        <w:rPr>
          <w:rFonts w:eastAsia="MS Mincho"/>
        </w:rPr>
        <w:t xml:space="preserve"> tenants are not responsible for application</w:t>
      </w:r>
      <w:r w:rsidR="008076B3">
        <w:rPr>
          <w:rFonts w:eastAsia="MS Mincho"/>
        </w:rPr>
        <w:t>-</w:t>
      </w:r>
      <w:r w:rsidR="008076B3" w:rsidRPr="00A85323">
        <w:rPr>
          <w:rFonts w:eastAsia="MS Mincho"/>
        </w:rPr>
        <w:t xml:space="preserve">code security practices or software updates for the service. </w:t>
      </w:r>
    </w:p>
    <w:p w14:paraId="7378905E" w14:textId="77777777" w:rsidR="008076B3" w:rsidRPr="00A85323" w:rsidRDefault="008076B3" w:rsidP="008076B3">
      <w:pPr>
        <w:rPr>
          <w:rFonts w:eastAsia="MS Mincho"/>
        </w:rPr>
      </w:pPr>
      <w:r w:rsidRPr="00A85323">
        <w:rPr>
          <w:rFonts w:eastAsia="MS Mincho"/>
        </w:rPr>
        <w:t>The software components that are under tenant control require appropriate application security</w:t>
      </w:r>
      <w:r>
        <w:rPr>
          <w:rFonts w:eastAsia="MS Mincho"/>
        </w:rPr>
        <w:t>,</w:t>
      </w:r>
      <w:r w:rsidRPr="00A85323">
        <w:rPr>
          <w:rFonts w:eastAsia="MS Mincho"/>
        </w:rPr>
        <w:t xml:space="preserve"> including:</w:t>
      </w:r>
    </w:p>
    <w:p w14:paraId="73474B73" w14:textId="77777777" w:rsidR="008076B3" w:rsidRPr="00A85323" w:rsidRDefault="008076B3" w:rsidP="005729D2">
      <w:pPr>
        <w:pStyle w:val="ListParagraph"/>
        <w:numPr>
          <w:ilvl w:val="0"/>
          <w:numId w:val="225"/>
        </w:numPr>
        <w:rPr>
          <w:rFonts w:eastAsia="MS Mincho"/>
        </w:rPr>
      </w:pPr>
      <w:r w:rsidRPr="00A85323">
        <w:rPr>
          <w:rFonts w:eastAsia="MS Mincho"/>
        </w:rPr>
        <w:t xml:space="preserve">Securing </w:t>
      </w:r>
      <w:r>
        <w:rPr>
          <w:rFonts w:eastAsia="MS Mincho"/>
        </w:rPr>
        <w:t>p</w:t>
      </w:r>
      <w:r w:rsidRPr="00A85323">
        <w:rPr>
          <w:rFonts w:eastAsia="MS Mincho"/>
        </w:rPr>
        <w:t xml:space="preserve">urchased </w:t>
      </w:r>
      <w:r>
        <w:rPr>
          <w:rFonts w:eastAsia="MS Mincho"/>
        </w:rPr>
        <w:t>s</w:t>
      </w:r>
      <w:r w:rsidRPr="00A85323">
        <w:rPr>
          <w:rFonts w:eastAsia="MS Mincho"/>
        </w:rPr>
        <w:t xml:space="preserve">oftware </w:t>
      </w:r>
      <w:r>
        <w:rPr>
          <w:rFonts w:eastAsia="MS Mincho"/>
        </w:rPr>
        <w:t>p</w:t>
      </w:r>
      <w:r w:rsidRPr="00A85323">
        <w:rPr>
          <w:rFonts w:eastAsia="MS Mincho"/>
        </w:rPr>
        <w:t>roducts</w:t>
      </w:r>
    </w:p>
    <w:p w14:paraId="11266ACC" w14:textId="77777777" w:rsidR="008076B3" w:rsidRPr="00A85323" w:rsidRDefault="008076B3" w:rsidP="005729D2">
      <w:pPr>
        <w:pStyle w:val="ListParagraph"/>
        <w:numPr>
          <w:ilvl w:val="0"/>
          <w:numId w:val="225"/>
        </w:numPr>
        <w:rPr>
          <w:rFonts w:eastAsia="MS Mincho"/>
        </w:rPr>
      </w:pPr>
      <w:r w:rsidRPr="00A85323">
        <w:rPr>
          <w:rFonts w:eastAsia="MS Mincho"/>
        </w:rPr>
        <w:t xml:space="preserve">Securing </w:t>
      </w:r>
      <w:r>
        <w:rPr>
          <w:rFonts w:eastAsia="MS Mincho"/>
        </w:rPr>
        <w:t>custom</w:t>
      </w:r>
      <w:r w:rsidRPr="00A85323">
        <w:rPr>
          <w:rFonts w:eastAsia="MS Mincho"/>
        </w:rPr>
        <w:t xml:space="preserve"> developed software</w:t>
      </w:r>
    </w:p>
    <w:p w14:paraId="160B241D" w14:textId="09DBDCDE" w:rsidR="00F97B16" w:rsidRPr="00A85323" w:rsidRDefault="008076B3" w:rsidP="008076B3">
      <w:pPr>
        <w:rPr>
          <w:rFonts w:eastAsia="MS Mincho"/>
        </w:rPr>
      </w:pPr>
      <w:r w:rsidRPr="00A85323">
        <w:t xml:space="preserve">This is important to the risk posture of the tenant </w:t>
      </w:r>
      <w:r>
        <w:t>because</w:t>
      </w:r>
      <w:r w:rsidRPr="00A85323">
        <w:t xml:space="preserve"> attackers can gain control of a tenant service by attacking vulnerable applications that the tenant depends on for security assurances, such as Active Directory, federation, synchronization, and infrastructure management capabilities. </w:t>
      </w:r>
      <w:r>
        <w:t>Additionally, adversaries can attack applications hosted on Azure.</w:t>
      </w:r>
      <w:r w:rsidR="00F97B16">
        <w:t xml:space="preserve"> </w:t>
      </w:r>
    </w:p>
    <w:p w14:paraId="43AB763F" w14:textId="77777777" w:rsidR="00D263E2" w:rsidRPr="00723D94" w:rsidRDefault="00D263E2" w:rsidP="00D263E2">
      <w:pPr>
        <w:pStyle w:val="Heading4"/>
        <w:rPr>
          <w:rFonts w:ascii="Segoe UI" w:hAnsi="Segoe UI" w:cs="Segoe UI"/>
          <w:b/>
          <w:i w:val="0"/>
          <w:color w:val="000000" w:themeColor="text1"/>
          <w:sz w:val="22"/>
        </w:rPr>
      </w:pPr>
      <w:bookmarkStart w:id="8018" w:name="_Ref423115318"/>
      <w:r w:rsidRPr="00723D94">
        <w:rPr>
          <w:rFonts w:ascii="Segoe UI" w:hAnsi="Segoe UI" w:cs="Segoe UI"/>
          <w:b/>
          <w:i w:val="0"/>
          <w:color w:val="000000" w:themeColor="text1"/>
          <w:sz w:val="22"/>
        </w:rPr>
        <w:t>Securing Purchased Software Products</w:t>
      </w:r>
      <w:bookmarkEnd w:id="8018"/>
    </w:p>
    <w:p w14:paraId="23E427FA" w14:textId="77777777" w:rsidR="00D263E2" w:rsidRPr="00A85323" w:rsidRDefault="00D263E2" w:rsidP="00D263E2">
      <w:r w:rsidRPr="00A85323">
        <w:t xml:space="preserve">The security of software purchased from a vendor </w:t>
      </w:r>
      <w:r>
        <w:t xml:space="preserve">depends on security measures taken throughout </w:t>
      </w:r>
      <w:r w:rsidRPr="00A85323">
        <w:t>the lifecycle</w:t>
      </w:r>
      <w:r>
        <w:t>, including:</w:t>
      </w:r>
      <w:r w:rsidRPr="00A85323">
        <w:t xml:space="preserve"> </w:t>
      </w:r>
    </w:p>
    <w:p w14:paraId="02DE7A8A" w14:textId="77777777" w:rsidR="00D263E2" w:rsidRPr="007B2B2D" w:rsidRDefault="00D263E2" w:rsidP="005729D2">
      <w:pPr>
        <w:pStyle w:val="ListParagraph"/>
        <w:numPr>
          <w:ilvl w:val="0"/>
          <w:numId w:val="227"/>
        </w:numPr>
      </w:pPr>
      <w:r w:rsidRPr="007B2B2D">
        <w:t xml:space="preserve">Security </w:t>
      </w:r>
      <w:r>
        <w:t>p</w:t>
      </w:r>
      <w:r w:rsidRPr="007B2B2D">
        <w:t xml:space="preserve">urchasing </w:t>
      </w:r>
      <w:r>
        <w:t>p</w:t>
      </w:r>
      <w:r w:rsidRPr="007B2B2D">
        <w:t xml:space="preserve">olicies and </w:t>
      </w:r>
      <w:r>
        <w:t>p</w:t>
      </w:r>
      <w:r w:rsidRPr="007B2B2D">
        <w:t>references</w:t>
      </w:r>
    </w:p>
    <w:p w14:paraId="2C0FB602" w14:textId="77777777" w:rsidR="00D263E2" w:rsidRPr="007B2B2D" w:rsidRDefault="00D263E2" w:rsidP="005729D2">
      <w:pPr>
        <w:pStyle w:val="ListParagraph"/>
        <w:numPr>
          <w:ilvl w:val="0"/>
          <w:numId w:val="227"/>
        </w:numPr>
      </w:pPr>
      <w:r w:rsidRPr="007B2B2D">
        <w:t xml:space="preserve">Software </w:t>
      </w:r>
      <w:r>
        <w:t>s</w:t>
      </w:r>
      <w:r w:rsidRPr="007B2B2D">
        <w:t xml:space="preserve">upply </w:t>
      </w:r>
      <w:r>
        <w:t>c</w:t>
      </w:r>
      <w:r w:rsidRPr="007B2B2D">
        <w:t xml:space="preserve">hain </w:t>
      </w:r>
      <w:r>
        <w:t>r</w:t>
      </w:r>
      <w:r w:rsidRPr="007B2B2D">
        <w:t xml:space="preserve">isk </w:t>
      </w:r>
      <w:r>
        <w:t>m</w:t>
      </w:r>
      <w:r w:rsidRPr="007B2B2D">
        <w:t>itigations</w:t>
      </w:r>
    </w:p>
    <w:p w14:paraId="71C63534" w14:textId="77777777" w:rsidR="00D263E2" w:rsidRPr="007B2B2D" w:rsidRDefault="00D263E2" w:rsidP="005729D2">
      <w:pPr>
        <w:pStyle w:val="ListParagraph"/>
        <w:numPr>
          <w:ilvl w:val="0"/>
          <w:numId w:val="227"/>
        </w:numPr>
      </w:pPr>
      <w:r w:rsidRPr="007B2B2D">
        <w:t xml:space="preserve">Software </w:t>
      </w:r>
      <w:r>
        <w:t>c</w:t>
      </w:r>
      <w:r w:rsidRPr="007B2B2D">
        <w:t xml:space="preserve">onfiguration </w:t>
      </w:r>
    </w:p>
    <w:p w14:paraId="5BF411DC" w14:textId="77777777" w:rsidR="00D263E2" w:rsidRPr="007B2B2D" w:rsidRDefault="00D263E2" w:rsidP="005729D2">
      <w:pPr>
        <w:pStyle w:val="ListParagraph"/>
        <w:numPr>
          <w:ilvl w:val="0"/>
          <w:numId w:val="227"/>
        </w:numPr>
      </w:pPr>
      <w:r w:rsidRPr="007B2B2D">
        <w:t xml:space="preserve">Software </w:t>
      </w:r>
      <w:r>
        <w:t>s</w:t>
      </w:r>
      <w:r w:rsidRPr="007B2B2D">
        <w:t xml:space="preserve">ecurity </w:t>
      </w:r>
      <w:r>
        <w:t>u</w:t>
      </w:r>
      <w:r w:rsidRPr="007B2B2D">
        <w:t xml:space="preserve">pdates </w:t>
      </w:r>
    </w:p>
    <w:p w14:paraId="3D5E1C6F" w14:textId="77777777" w:rsidR="00D263E2" w:rsidRPr="007B2B2D" w:rsidRDefault="00D263E2" w:rsidP="005729D2">
      <w:pPr>
        <w:pStyle w:val="ListParagraph"/>
        <w:numPr>
          <w:ilvl w:val="0"/>
          <w:numId w:val="227"/>
        </w:numPr>
      </w:pPr>
      <w:r w:rsidRPr="007B2B2D">
        <w:t>End</w:t>
      </w:r>
      <w:r>
        <w:t>-</w:t>
      </w:r>
      <w:r w:rsidRPr="007B2B2D">
        <w:t>of</w:t>
      </w:r>
      <w:r>
        <w:t>-l</w:t>
      </w:r>
      <w:r w:rsidRPr="007B2B2D">
        <w:t xml:space="preserve">ife </w:t>
      </w:r>
      <w:r>
        <w:t>r</w:t>
      </w:r>
      <w:r w:rsidRPr="007B2B2D">
        <w:t xml:space="preserve">isk </w:t>
      </w:r>
      <w:r>
        <w:t>m</w:t>
      </w:r>
      <w:r w:rsidRPr="007B2B2D">
        <w:t>itigations</w:t>
      </w:r>
    </w:p>
    <w:p w14:paraId="5E759D4C" w14:textId="77777777" w:rsidR="00D263E2" w:rsidRDefault="00D263E2" w:rsidP="00D263E2">
      <w:r>
        <w:t xml:space="preserve">Detailed guidance about software configuration, security updates, and </w:t>
      </w:r>
      <w:r w:rsidRPr="00A85323">
        <w:t xml:space="preserve">software supply risks </w:t>
      </w:r>
      <w:r>
        <w:t xml:space="preserve">are in the Security Standardization sections of this document. </w:t>
      </w:r>
    </w:p>
    <w:p w14:paraId="612057AE" w14:textId="77777777" w:rsidR="00D263E2" w:rsidRPr="00A85323" w:rsidRDefault="00D263E2" w:rsidP="00D263E2">
      <w:r>
        <w:t>Following is a</w:t>
      </w:r>
      <w:r w:rsidRPr="00A85323">
        <w:t xml:space="preserve">dditional guidance for purchasing policies. </w:t>
      </w:r>
    </w:p>
    <w:p w14:paraId="30D09DB5" w14:textId="77777777" w:rsidR="00D263E2" w:rsidRPr="00723D94" w:rsidRDefault="00D263E2" w:rsidP="00D263E2">
      <w:pPr>
        <w:pStyle w:val="Heading5"/>
        <w:rPr>
          <w:b/>
        </w:rPr>
      </w:pPr>
      <w:bookmarkStart w:id="8019" w:name="_Toc389638387"/>
      <w:r w:rsidRPr="00723D94">
        <w:rPr>
          <w:b/>
          <w:color w:val="000000" w:themeColor="text1"/>
        </w:rPr>
        <w:t>Security Purchasing Policies and Preferences</w:t>
      </w:r>
      <w:bookmarkEnd w:id="8019"/>
      <w:r w:rsidRPr="00723D94">
        <w:rPr>
          <w:b/>
          <w:color w:val="000000" w:themeColor="text1"/>
        </w:rPr>
        <w:t xml:space="preserve"> (</w:t>
      </w:r>
      <w:r w:rsidRPr="00723D94">
        <w:rPr>
          <w:rFonts w:eastAsia="Times New Roman"/>
          <w:b/>
          <w:color w:val="000000" w:themeColor="text1"/>
        </w:rPr>
        <w:t>Example</w:t>
      </w:r>
      <w:r w:rsidRPr="00723D94">
        <w:rPr>
          <w:b/>
          <w:color w:val="000000" w:themeColor="text1"/>
        </w:rPr>
        <w:t>)</w:t>
      </w:r>
    </w:p>
    <w:p w14:paraId="4E3EE705" w14:textId="77777777" w:rsidR="00D263E2" w:rsidRPr="007B2B2D" w:rsidRDefault="00D263E2" w:rsidP="00D263E2">
      <w:pPr>
        <w:rPr>
          <w:rFonts w:cs="Segoe UI"/>
        </w:rPr>
      </w:pPr>
      <w:r w:rsidRPr="00A85323">
        <w:t xml:space="preserve">The following elements represent security preferences and requirements when </w:t>
      </w:r>
      <w:r>
        <w:t xml:space="preserve">you are </w:t>
      </w:r>
      <w:r w:rsidRPr="00A85323">
        <w:t xml:space="preserve">acquiring applications, devices, and </w:t>
      </w:r>
      <w:r w:rsidRPr="007B2B2D">
        <w:rPr>
          <w:rFonts w:cs="Segoe UI"/>
        </w:rPr>
        <w:t>services:</w:t>
      </w:r>
    </w:p>
    <w:p w14:paraId="5E31827B" w14:textId="77777777" w:rsidR="00D263E2" w:rsidRPr="007B2B2D" w:rsidRDefault="00D263E2" w:rsidP="005729D2">
      <w:pPr>
        <w:pStyle w:val="ListBullet"/>
        <w:numPr>
          <w:ilvl w:val="0"/>
          <w:numId w:val="306"/>
        </w:numPr>
        <w:spacing w:before="120" w:after="120"/>
        <w:ind w:left="360"/>
        <w:rPr>
          <w:rFonts w:eastAsia="Times New Roman" w:cs="Segoe UI"/>
        </w:rPr>
      </w:pPr>
      <w:r w:rsidRPr="007B2B2D">
        <w:rPr>
          <w:rFonts w:eastAsia="Times New Roman" w:cs="Segoe UI"/>
        </w:rPr>
        <w:t xml:space="preserve">Software </w:t>
      </w:r>
      <w:r>
        <w:rPr>
          <w:rFonts w:eastAsia="Times New Roman" w:cs="Segoe UI"/>
        </w:rPr>
        <w:t>u</w:t>
      </w:r>
      <w:r w:rsidRPr="007B2B2D">
        <w:rPr>
          <w:rFonts w:eastAsia="Times New Roman" w:cs="Segoe UI"/>
        </w:rPr>
        <w:t>pdates</w:t>
      </w:r>
    </w:p>
    <w:p w14:paraId="2C679674" w14:textId="77777777" w:rsidR="00D263E2" w:rsidRPr="007B2B2D" w:rsidRDefault="00D263E2" w:rsidP="005729D2">
      <w:pPr>
        <w:pStyle w:val="ListBullet"/>
        <w:numPr>
          <w:ilvl w:val="1"/>
          <w:numId w:val="306"/>
        </w:numPr>
        <w:spacing w:before="120" w:after="120"/>
        <w:ind w:left="1080"/>
        <w:rPr>
          <w:rFonts w:eastAsia="Times New Roman" w:cs="Segoe UI"/>
        </w:rPr>
      </w:pPr>
      <w:r w:rsidRPr="007B2B2D">
        <w:rPr>
          <w:rFonts w:eastAsia="Times New Roman" w:cs="Segoe UI"/>
        </w:rPr>
        <w:t xml:space="preserve">Require the vendor to provide security updates for the expected operational lifetime of the product in production. </w:t>
      </w:r>
    </w:p>
    <w:p w14:paraId="1D03BDF4" w14:textId="77777777" w:rsidR="00D263E2" w:rsidRPr="007B2B2D" w:rsidRDefault="00D263E2" w:rsidP="005729D2">
      <w:pPr>
        <w:pStyle w:val="ListBullet"/>
        <w:numPr>
          <w:ilvl w:val="1"/>
          <w:numId w:val="306"/>
        </w:numPr>
        <w:spacing w:before="120" w:after="120"/>
        <w:ind w:left="1080"/>
        <w:rPr>
          <w:rFonts w:eastAsia="Times New Roman" w:cs="Segoe UI"/>
        </w:rPr>
      </w:pPr>
      <w:r w:rsidRPr="007B2B2D">
        <w:rPr>
          <w:rFonts w:eastAsia="Times New Roman" w:cs="Segoe UI"/>
        </w:rPr>
        <w:t>Prefer that security updates and patches are published automatically or on a regular cycle.</w:t>
      </w:r>
    </w:p>
    <w:p w14:paraId="339AFD01" w14:textId="77777777" w:rsidR="00D263E2" w:rsidRPr="007B2B2D" w:rsidRDefault="00D263E2" w:rsidP="005729D2">
      <w:pPr>
        <w:pStyle w:val="ListBullet"/>
        <w:numPr>
          <w:ilvl w:val="1"/>
          <w:numId w:val="306"/>
        </w:numPr>
        <w:spacing w:before="120" w:after="120"/>
        <w:ind w:left="1080"/>
        <w:rPr>
          <w:rFonts w:eastAsia="Times New Roman" w:cs="Segoe UI"/>
        </w:rPr>
      </w:pPr>
      <w:r w:rsidRPr="007B2B2D">
        <w:rPr>
          <w:rFonts w:eastAsia="Times New Roman" w:cs="Segoe UI"/>
        </w:rPr>
        <w:t xml:space="preserve">Prefer </w:t>
      </w:r>
      <w:r>
        <w:rPr>
          <w:rFonts w:eastAsia="Times New Roman" w:cs="Segoe UI"/>
        </w:rPr>
        <w:t xml:space="preserve">that the </w:t>
      </w:r>
      <w:r w:rsidRPr="007B2B2D">
        <w:rPr>
          <w:rFonts w:eastAsia="Times New Roman" w:cs="Segoe UI"/>
        </w:rPr>
        <w:t>vendor provide an auto</w:t>
      </w:r>
      <w:r>
        <w:rPr>
          <w:rFonts w:eastAsia="Times New Roman" w:cs="Segoe UI"/>
        </w:rPr>
        <w:t xml:space="preserve">matic </w:t>
      </w:r>
      <w:r w:rsidRPr="007B2B2D">
        <w:rPr>
          <w:rFonts w:eastAsia="Times New Roman" w:cs="Segoe UI"/>
        </w:rPr>
        <w:t xml:space="preserve">update mechanism or integrate into an existing one (such as WSUS) </w:t>
      </w:r>
      <w:r>
        <w:rPr>
          <w:rFonts w:eastAsia="Times New Roman" w:cs="Segoe UI"/>
        </w:rPr>
        <w:t>rather than</w:t>
      </w:r>
      <w:r w:rsidRPr="007B2B2D">
        <w:rPr>
          <w:rFonts w:eastAsia="Times New Roman" w:cs="Segoe UI"/>
        </w:rPr>
        <w:t xml:space="preserve"> requiring manual download</w:t>
      </w:r>
      <w:r>
        <w:rPr>
          <w:rFonts w:eastAsia="Times New Roman" w:cs="Segoe UI"/>
        </w:rPr>
        <w:t>s</w:t>
      </w:r>
      <w:r w:rsidRPr="007B2B2D">
        <w:rPr>
          <w:rFonts w:eastAsia="Times New Roman" w:cs="Segoe UI"/>
        </w:rPr>
        <w:t xml:space="preserve"> and installation.</w:t>
      </w:r>
    </w:p>
    <w:p w14:paraId="5BE8CE27" w14:textId="77777777" w:rsidR="00D263E2" w:rsidRPr="007B2B2D" w:rsidRDefault="00D263E2" w:rsidP="005729D2">
      <w:pPr>
        <w:pStyle w:val="ListBullet"/>
        <w:numPr>
          <w:ilvl w:val="0"/>
          <w:numId w:val="306"/>
        </w:numPr>
        <w:spacing w:before="120" w:after="120"/>
        <w:ind w:left="360"/>
        <w:rPr>
          <w:rFonts w:eastAsia="Times New Roman" w:cs="Segoe UI"/>
        </w:rPr>
      </w:pPr>
      <w:r w:rsidRPr="007B2B2D">
        <w:rPr>
          <w:rFonts w:eastAsia="Times New Roman" w:cs="Segoe UI"/>
        </w:rPr>
        <w:t xml:space="preserve">Compatibility </w:t>
      </w:r>
      <w:r>
        <w:rPr>
          <w:rFonts w:eastAsia="Times New Roman" w:cs="Segoe UI"/>
        </w:rPr>
        <w:t>s</w:t>
      </w:r>
      <w:r w:rsidRPr="007B2B2D">
        <w:rPr>
          <w:rFonts w:eastAsia="Times New Roman" w:cs="Segoe UI"/>
        </w:rPr>
        <w:t xml:space="preserve">upport </w:t>
      </w:r>
      <w:r>
        <w:rPr>
          <w:rFonts w:eastAsia="Times New Roman" w:cs="Segoe UI"/>
        </w:rPr>
        <w:t>p</w:t>
      </w:r>
      <w:r w:rsidRPr="007B2B2D">
        <w:rPr>
          <w:rFonts w:eastAsia="Times New Roman" w:cs="Segoe UI"/>
        </w:rPr>
        <w:t>rocesses</w:t>
      </w:r>
    </w:p>
    <w:p w14:paraId="0D399041" w14:textId="77777777" w:rsidR="00D263E2" w:rsidRPr="007B2B2D" w:rsidRDefault="00D263E2" w:rsidP="005729D2">
      <w:pPr>
        <w:pStyle w:val="ListBullet"/>
        <w:numPr>
          <w:ilvl w:val="1"/>
          <w:numId w:val="306"/>
        </w:numPr>
        <w:spacing w:before="120" w:after="120"/>
        <w:ind w:left="1080"/>
        <w:rPr>
          <w:rFonts w:eastAsia="Times New Roman" w:cs="Segoe UI"/>
        </w:rPr>
      </w:pPr>
      <w:r w:rsidRPr="007B2B2D">
        <w:rPr>
          <w:rFonts w:eastAsia="Times New Roman" w:cs="Segoe UI"/>
        </w:rPr>
        <w:t xml:space="preserve">Require the vendor to maintain compatibility with new releases of </w:t>
      </w:r>
      <w:r>
        <w:rPr>
          <w:rFonts w:eastAsia="Times New Roman" w:cs="Segoe UI"/>
        </w:rPr>
        <w:t>the o</w:t>
      </w:r>
      <w:r w:rsidRPr="007B2B2D">
        <w:rPr>
          <w:rFonts w:eastAsia="Times New Roman" w:cs="Segoe UI"/>
        </w:rPr>
        <w:t xml:space="preserve">perating </w:t>
      </w:r>
      <w:r>
        <w:rPr>
          <w:rFonts w:eastAsia="Times New Roman" w:cs="Segoe UI"/>
        </w:rPr>
        <w:t>s</w:t>
      </w:r>
      <w:r w:rsidRPr="007B2B2D">
        <w:rPr>
          <w:rFonts w:eastAsia="Times New Roman" w:cs="Segoe UI"/>
        </w:rPr>
        <w:t>ystem and applications</w:t>
      </w:r>
      <w:r>
        <w:rPr>
          <w:rFonts w:eastAsia="Times New Roman" w:cs="Segoe UI"/>
        </w:rPr>
        <w:t xml:space="preserve"> that</w:t>
      </w:r>
      <w:r w:rsidRPr="007B2B2D">
        <w:rPr>
          <w:rFonts w:eastAsia="Times New Roman" w:cs="Segoe UI"/>
        </w:rPr>
        <w:t xml:space="preserve"> it is dependent on. Ensure </w:t>
      </w:r>
      <w:r>
        <w:rPr>
          <w:rFonts w:eastAsia="Times New Roman" w:cs="Segoe UI"/>
        </w:rPr>
        <w:t xml:space="preserve">that </w:t>
      </w:r>
      <w:r w:rsidRPr="007B2B2D">
        <w:rPr>
          <w:rFonts w:eastAsia="Times New Roman" w:cs="Segoe UI"/>
        </w:rPr>
        <w:t xml:space="preserve">the vendor has a </w:t>
      </w:r>
      <w:r>
        <w:rPr>
          <w:rFonts w:eastAsia="Times New Roman" w:cs="Segoe UI"/>
        </w:rPr>
        <w:t xml:space="preserve">good </w:t>
      </w:r>
      <w:r w:rsidRPr="007B2B2D">
        <w:rPr>
          <w:rFonts w:eastAsia="Times New Roman" w:cs="Segoe UI"/>
        </w:rPr>
        <w:t>track record and makes a commitment to update product</w:t>
      </w:r>
      <w:r>
        <w:rPr>
          <w:rFonts w:eastAsia="Times New Roman" w:cs="Segoe UI"/>
        </w:rPr>
        <w:t>s</w:t>
      </w:r>
      <w:r w:rsidRPr="007B2B2D">
        <w:rPr>
          <w:rFonts w:eastAsia="Times New Roman" w:cs="Segoe UI"/>
        </w:rPr>
        <w:t xml:space="preserve"> within </w:t>
      </w:r>
      <w:r>
        <w:rPr>
          <w:rFonts w:eastAsia="Times New Roman" w:cs="Segoe UI"/>
        </w:rPr>
        <w:t>six</w:t>
      </w:r>
      <w:r w:rsidRPr="007B2B2D">
        <w:rPr>
          <w:rFonts w:eastAsia="Times New Roman" w:cs="Segoe UI"/>
        </w:rPr>
        <w:t xml:space="preserve"> months of </w:t>
      </w:r>
      <w:r>
        <w:rPr>
          <w:rFonts w:eastAsia="Times New Roman" w:cs="Segoe UI"/>
        </w:rPr>
        <w:t xml:space="preserve">the </w:t>
      </w:r>
      <w:r w:rsidRPr="007B2B2D">
        <w:rPr>
          <w:rFonts w:eastAsia="Times New Roman" w:cs="Segoe UI"/>
        </w:rPr>
        <w:t xml:space="preserve">release of a new operating system or application by Microsoft (or other vendors). </w:t>
      </w:r>
      <w:r w:rsidRPr="007B2B2D">
        <w:rPr>
          <w:rFonts w:eastAsia="Times New Roman" w:cs="Segoe UI"/>
        </w:rPr>
        <w:br/>
        <w:t xml:space="preserve">This helps avoid your organization being forced to run outdated (and potentially vulnerable) operating systems and applications to support required business capabilities. </w:t>
      </w:r>
    </w:p>
    <w:p w14:paraId="745FB82B" w14:textId="77777777" w:rsidR="00D263E2" w:rsidRPr="007B2B2D" w:rsidRDefault="00D263E2" w:rsidP="005729D2">
      <w:pPr>
        <w:pStyle w:val="ListBullet"/>
        <w:numPr>
          <w:ilvl w:val="0"/>
          <w:numId w:val="306"/>
        </w:numPr>
        <w:spacing w:before="120" w:after="120"/>
        <w:ind w:left="360"/>
        <w:rPr>
          <w:rFonts w:eastAsia="Times New Roman" w:cs="Segoe UI"/>
        </w:rPr>
      </w:pPr>
      <w:r w:rsidRPr="007B2B2D">
        <w:rPr>
          <w:rFonts w:eastAsia="Times New Roman" w:cs="Segoe UI"/>
        </w:rPr>
        <w:t xml:space="preserve">Authentication </w:t>
      </w:r>
      <w:r>
        <w:rPr>
          <w:rFonts w:eastAsia="Times New Roman" w:cs="Segoe UI"/>
        </w:rPr>
        <w:t>s</w:t>
      </w:r>
      <w:r w:rsidRPr="007B2B2D">
        <w:rPr>
          <w:rFonts w:eastAsia="Times New Roman" w:cs="Segoe UI"/>
        </w:rPr>
        <w:t>tandards</w:t>
      </w:r>
    </w:p>
    <w:p w14:paraId="1729506B" w14:textId="77777777" w:rsidR="00D263E2" w:rsidRPr="007B2B2D" w:rsidRDefault="00D263E2" w:rsidP="005729D2">
      <w:pPr>
        <w:pStyle w:val="ListBullet"/>
        <w:numPr>
          <w:ilvl w:val="1"/>
          <w:numId w:val="306"/>
        </w:numPr>
        <w:spacing w:before="120" w:after="120"/>
        <w:ind w:left="1080"/>
        <w:rPr>
          <w:rFonts w:eastAsia="Times New Roman" w:cs="Segoe UI"/>
        </w:rPr>
      </w:pPr>
      <w:r w:rsidRPr="007B2B2D">
        <w:rPr>
          <w:rFonts w:eastAsia="Times New Roman" w:cs="Segoe UI"/>
        </w:rPr>
        <w:t>Identify and document protocol standards for your environment preferably leveraging industry standard protocols. Using such standards position</w:t>
      </w:r>
      <w:r>
        <w:rPr>
          <w:rFonts w:eastAsia="Times New Roman" w:cs="Segoe UI"/>
        </w:rPr>
        <w:t>s</w:t>
      </w:r>
      <w:r w:rsidRPr="007B2B2D">
        <w:rPr>
          <w:rFonts w:eastAsia="Times New Roman" w:cs="Segoe UI"/>
        </w:rPr>
        <w:t xml:space="preserve"> you towards a single sign-on solution</w:t>
      </w:r>
      <w:r>
        <w:rPr>
          <w:rFonts w:eastAsia="Times New Roman" w:cs="Segoe UI"/>
        </w:rPr>
        <w:t>,</w:t>
      </w:r>
      <w:r w:rsidRPr="007B2B2D">
        <w:rPr>
          <w:rFonts w:eastAsia="Times New Roman" w:cs="Segoe UI"/>
        </w:rPr>
        <w:t xml:space="preserve"> and </w:t>
      </w:r>
      <w:r>
        <w:rPr>
          <w:rFonts w:eastAsia="Times New Roman" w:cs="Segoe UI"/>
        </w:rPr>
        <w:t xml:space="preserve">it </w:t>
      </w:r>
      <w:r w:rsidRPr="007B2B2D">
        <w:rPr>
          <w:rFonts w:eastAsia="Times New Roman" w:cs="Segoe UI"/>
        </w:rPr>
        <w:t>allow</w:t>
      </w:r>
      <w:r>
        <w:rPr>
          <w:rFonts w:eastAsia="Times New Roman" w:cs="Segoe UI"/>
        </w:rPr>
        <w:t>s</w:t>
      </w:r>
      <w:r w:rsidRPr="007B2B2D">
        <w:rPr>
          <w:rFonts w:eastAsia="Times New Roman" w:cs="Segoe UI"/>
        </w:rPr>
        <w:t xml:space="preserve"> ease</w:t>
      </w:r>
      <w:r>
        <w:rPr>
          <w:rFonts w:eastAsia="Times New Roman" w:cs="Segoe UI"/>
        </w:rPr>
        <w:t>-</w:t>
      </w:r>
      <w:r w:rsidRPr="007B2B2D">
        <w:rPr>
          <w:rFonts w:eastAsia="Times New Roman" w:cs="Segoe UI"/>
        </w:rPr>
        <w:t>of</w:t>
      </w:r>
      <w:r>
        <w:rPr>
          <w:rFonts w:eastAsia="Times New Roman" w:cs="Segoe UI"/>
        </w:rPr>
        <w:t>-</w:t>
      </w:r>
      <w:r w:rsidRPr="007B2B2D">
        <w:rPr>
          <w:rFonts w:eastAsia="Times New Roman" w:cs="Segoe UI"/>
        </w:rPr>
        <w:t>interoperability between different platforms.</w:t>
      </w:r>
    </w:p>
    <w:p w14:paraId="26FEEA05" w14:textId="77777777" w:rsidR="00D263E2" w:rsidRPr="007B2B2D" w:rsidRDefault="00D263E2" w:rsidP="005729D2">
      <w:pPr>
        <w:pStyle w:val="ListBullet"/>
        <w:numPr>
          <w:ilvl w:val="1"/>
          <w:numId w:val="306"/>
        </w:numPr>
        <w:spacing w:before="120" w:after="120"/>
        <w:ind w:left="1080"/>
        <w:rPr>
          <w:rFonts w:eastAsia="Times New Roman" w:cs="Segoe UI"/>
        </w:rPr>
      </w:pPr>
      <w:r w:rsidRPr="007B2B2D">
        <w:rPr>
          <w:rFonts w:eastAsia="Times New Roman" w:cs="Segoe UI"/>
        </w:rPr>
        <w:t xml:space="preserve">When evaluating applications, consider requiring applications to utilize the security assertion markup language (SAML) 2.0 or </w:t>
      </w:r>
      <w:r>
        <w:rPr>
          <w:rFonts w:eastAsia="Times New Roman" w:cs="Segoe UI"/>
        </w:rPr>
        <w:t xml:space="preserve">the </w:t>
      </w:r>
      <w:r w:rsidRPr="007B2B2D">
        <w:rPr>
          <w:rFonts w:eastAsia="Times New Roman" w:cs="Segoe UI"/>
        </w:rPr>
        <w:t>Kerberos</w:t>
      </w:r>
      <w:r>
        <w:rPr>
          <w:rFonts w:eastAsia="Times New Roman" w:cs="Segoe UI"/>
        </w:rPr>
        <w:t xml:space="preserve"> protocol</w:t>
      </w:r>
      <w:r w:rsidRPr="007B2B2D">
        <w:rPr>
          <w:rFonts w:eastAsia="Times New Roman" w:cs="Segoe UI"/>
        </w:rPr>
        <w:t>. This enable</w:t>
      </w:r>
      <w:r>
        <w:rPr>
          <w:rFonts w:eastAsia="Times New Roman" w:cs="Segoe UI"/>
        </w:rPr>
        <w:t>s</w:t>
      </w:r>
      <w:r w:rsidRPr="007B2B2D">
        <w:rPr>
          <w:rFonts w:eastAsia="Times New Roman" w:cs="Segoe UI"/>
        </w:rPr>
        <w:t xml:space="preserve"> federated scenarios </w:t>
      </w:r>
      <w:r>
        <w:rPr>
          <w:rFonts w:eastAsia="Times New Roman" w:cs="Segoe UI"/>
        </w:rPr>
        <w:t>and</w:t>
      </w:r>
      <w:r w:rsidRPr="007B2B2D">
        <w:rPr>
          <w:rFonts w:eastAsia="Times New Roman" w:cs="Segoe UI"/>
        </w:rPr>
        <w:t xml:space="preserve"> increase</w:t>
      </w:r>
      <w:r>
        <w:rPr>
          <w:rFonts w:eastAsia="Times New Roman" w:cs="Segoe UI"/>
        </w:rPr>
        <w:t>s</w:t>
      </w:r>
      <w:r w:rsidRPr="007B2B2D">
        <w:rPr>
          <w:rFonts w:eastAsia="Times New Roman" w:cs="Segoe UI"/>
        </w:rPr>
        <w:t xml:space="preserve"> your use of a centralized and controlled authentication platform (</w:t>
      </w:r>
      <w:r>
        <w:rPr>
          <w:rFonts w:eastAsia="Times New Roman" w:cs="Segoe UI"/>
        </w:rPr>
        <w:t>such as</w:t>
      </w:r>
      <w:r w:rsidRPr="007B2B2D">
        <w:rPr>
          <w:rFonts w:eastAsia="Times New Roman" w:cs="Segoe UI"/>
        </w:rPr>
        <w:t xml:space="preserve"> Active Directory).</w:t>
      </w:r>
    </w:p>
    <w:p w14:paraId="1C6490CB" w14:textId="77777777" w:rsidR="00D263E2" w:rsidRPr="007B2B2D" w:rsidRDefault="00D263E2" w:rsidP="005729D2">
      <w:pPr>
        <w:pStyle w:val="ListBullet"/>
        <w:numPr>
          <w:ilvl w:val="0"/>
          <w:numId w:val="306"/>
        </w:numPr>
        <w:spacing w:before="120" w:after="120"/>
        <w:ind w:left="360"/>
        <w:rPr>
          <w:rFonts w:eastAsia="Times New Roman" w:cs="Segoe UI"/>
        </w:rPr>
      </w:pPr>
      <w:r w:rsidRPr="007B2B2D">
        <w:rPr>
          <w:rFonts w:eastAsia="Times New Roman" w:cs="Segoe UI"/>
        </w:rPr>
        <w:t xml:space="preserve">Security </w:t>
      </w:r>
      <w:r>
        <w:rPr>
          <w:rFonts w:eastAsia="Times New Roman" w:cs="Segoe UI"/>
        </w:rPr>
        <w:t>g</w:t>
      </w:r>
      <w:r w:rsidRPr="007B2B2D">
        <w:rPr>
          <w:rFonts w:eastAsia="Times New Roman" w:cs="Segoe UI"/>
        </w:rPr>
        <w:t>uidance</w:t>
      </w:r>
    </w:p>
    <w:p w14:paraId="59138074" w14:textId="77777777" w:rsidR="00D263E2" w:rsidRPr="007B2B2D" w:rsidRDefault="00D263E2" w:rsidP="005729D2">
      <w:pPr>
        <w:pStyle w:val="ListBullet"/>
        <w:numPr>
          <w:ilvl w:val="1"/>
          <w:numId w:val="306"/>
        </w:numPr>
        <w:spacing w:before="120" w:after="120"/>
        <w:ind w:left="1080"/>
        <w:rPr>
          <w:rFonts w:eastAsia="Times New Roman" w:cs="Segoe UI"/>
        </w:rPr>
      </w:pPr>
      <w:r w:rsidRPr="007B2B2D">
        <w:rPr>
          <w:rFonts w:eastAsia="Times New Roman" w:cs="Segoe UI"/>
        </w:rPr>
        <w:t xml:space="preserve">Require vendors to publish guidance for how to securely configure and operate hardware </w:t>
      </w:r>
      <w:r>
        <w:rPr>
          <w:rFonts w:eastAsia="Times New Roman" w:cs="Segoe UI"/>
        </w:rPr>
        <w:t>and</w:t>
      </w:r>
      <w:r w:rsidRPr="007B2B2D">
        <w:rPr>
          <w:rFonts w:eastAsia="Times New Roman" w:cs="Segoe UI"/>
        </w:rPr>
        <w:t xml:space="preserve"> software products. </w:t>
      </w:r>
    </w:p>
    <w:p w14:paraId="5C33D1A2"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eastAsia="Times New Roman" w:cs="Segoe UI"/>
        </w:rPr>
        <w:t xml:space="preserve">This should include guidance </w:t>
      </w:r>
      <w:r>
        <w:rPr>
          <w:rFonts w:eastAsia="Times New Roman" w:cs="Segoe UI"/>
        </w:rPr>
        <w:t>about</w:t>
      </w:r>
      <w:r w:rsidRPr="007B2B2D">
        <w:rPr>
          <w:rFonts w:eastAsia="Times New Roman" w:cs="Segoe UI"/>
        </w:rPr>
        <w:t xml:space="preserve"> all settings that have a security impact including documentation of:</w:t>
      </w:r>
    </w:p>
    <w:p w14:paraId="4AFE187B" w14:textId="77777777" w:rsidR="00D263E2" w:rsidRPr="007B2B2D" w:rsidRDefault="00D263E2" w:rsidP="005729D2">
      <w:pPr>
        <w:pStyle w:val="ListBullet"/>
        <w:numPr>
          <w:ilvl w:val="3"/>
          <w:numId w:val="306"/>
        </w:numPr>
        <w:spacing w:before="120" w:after="120"/>
        <w:ind w:left="2520"/>
        <w:rPr>
          <w:rFonts w:eastAsia="Times New Roman" w:cs="Segoe UI"/>
        </w:rPr>
      </w:pPr>
      <w:r w:rsidRPr="007B2B2D">
        <w:rPr>
          <w:rFonts w:eastAsia="Times New Roman" w:cs="Segoe UI"/>
          <w:b/>
        </w:rPr>
        <w:t>Threats</w:t>
      </w:r>
      <w:r w:rsidRPr="007B2B2D">
        <w:rPr>
          <w:rFonts w:eastAsia="Times New Roman" w:cs="Segoe UI"/>
        </w:rPr>
        <w:t xml:space="preserve"> – What the setting is designed to mitigate</w:t>
      </w:r>
    </w:p>
    <w:p w14:paraId="10FDFE5A" w14:textId="77777777" w:rsidR="00D263E2" w:rsidRPr="007B2B2D" w:rsidRDefault="00D263E2" w:rsidP="005729D2">
      <w:pPr>
        <w:pStyle w:val="ListBullet"/>
        <w:numPr>
          <w:ilvl w:val="3"/>
          <w:numId w:val="306"/>
        </w:numPr>
        <w:spacing w:before="120" w:after="120"/>
        <w:ind w:left="2520"/>
        <w:rPr>
          <w:rFonts w:eastAsia="Times New Roman" w:cs="Segoe UI"/>
        </w:rPr>
      </w:pPr>
      <w:r w:rsidRPr="007B2B2D">
        <w:rPr>
          <w:rFonts w:eastAsia="Times New Roman" w:cs="Segoe UI"/>
          <w:b/>
        </w:rPr>
        <w:t>Countermeasures</w:t>
      </w:r>
      <w:r w:rsidRPr="007B2B2D">
        <w:rPr>
          <w:rFonts w:eastAsia="Times New Roman" w:cs="Segoe UI"/>
        </w:rPr>
        <w:t xml:space="preserve"> – How to configure the setting correctly to mitigate the threat</w:t>
      </w:r>
    </w:p>
    <w:p w14:paraId="7B138A19" w14:textId="77777777" w:rsidR="00D263E2" w:rsidRPr="007B2B2D" w:rsidRDefault="00D263E2" w:rsidP="005729D2">
      <w:pPr>
        <w:pStyle w:val="ListBullet"/>
        <w:numPr>
          <w:ilvl w:val="3"/>
          <w:numId w:val="306"/>
        </w:numPr>
        <w:spacing w:before="120" w:after="120"/>
        <w:ind w:left="2520"/>
        <w:rPr>
          <w:rFonts w:eastAsia="Times New Roman" w:cs="Segoe UI"/>
        </w:rPr>
      </w:pPr>
      <w:r w:rsidRPr="007B2B2D">
        <w:rPr>
          <w:rFonts w:eastAsia="Times New Roman" w:cs="Segoe UI"/>
          <w:b/>
        </w:rPr>
        <w:t>Potential Impact</w:t>
      </w:r>
      <w:r w:rsidRPr="007B2B2D">
        <w:rPr>
          <w:rFonts w:eastAsia="Times New Roman" w:cs="Segoe UI"/>
        </w:rPr>
        <w:t xml:space="preserve"> –</w:t>
      </w:r>
      <w:r>
        <w:rPr>
          <w:rFonts w:eastAsia="Times New Roman" w:cs="Segoe UI"/>
        </w:rPr>
        <w:t>T</w:t>
      </w:r>
      <w:r w:rsidRPr="007B2B2D">
        <w:rPr>
          <w:rFonts w:eastAsia="Times New Roman" w:cs="Segoe UI"/>
        </w:rPr>
        <w:t>he operational impact of the setting configurations</w:t>
      </w:r>
    </w:p>
    <w:p w14:paraId="37A5E542"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eastAsia="Times New Roman" w:cs="Segoe UI"/>
        </w:rPr>
        <w:t>What tools are a</w:t>
      </w:r>
      <w:r w:rsidRPr="007B2B2D">
        <w:rPr>
          <w:rFonts w:cs="Segoe UI"/>
        </w:rPr>
        <w:t>vailable to check the integrity of the system after deployment</w:t>
      </w:r>
      <w:r>
        <w:rPr>
          <w:rFonts w:cs="Segoe UI"/>
        </w:rPr>
        <w:t>?</w:t>
      </w:r>
    </w:p>
    <w:p w14:paraId="7258D856"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cs="Segoe UI"/>
        </w:rPr>
        <w:t>What security considerations need to be taken into account by a developer calling</w:t>
      </w:r>
      <w:r w:rsidRPr="007B2B2D">
        <w:rPr>
          <w:rFonts w:eastAsia="Times New Roman" w:cs="Segoe UI"/>
        </w:rPr>
        <w:t xml:space="preserve"> the system’s APIs, if applicable</w:t>
      </w:r>
      <w:r>
        <w:rPr>
          <w:rFonts w:eastAsia="Times New Roman" w:cs="Segoe UI"/>
        </w:rPr>
        <w:t>?</w:t>
      </w:r>
    </w:p>
    <w:p w14:paraId="55704065" w14:textId="77777777" w:rsidR="00D263E2" w:rsidRPr="007B2B2D" w:rsidRDefault="00D263E2" w:rsidP="005729D2">
      <w:pPr>
        <w:pStyle w:val="ListBullet"/>
        <w:numPr>
          <w:ilvl w:val="2"/>
          <w:numId w:val="306"/>
        </w:numPr>
        <w:spacing w:before="120" w:after="120"/>
        <w:ind w:left="1800"/>
        <w:rPr>
          <w:rFonts w:eastAsia="Times New Roman" w:cs="Segoe UI"/>
        </w:rPr>
      </w:pPr>
      <w:r>
        <w:rPr>
          <w:rFonts w:cs="Segoe UI"/>
        </w:rPr>
        <w:t>Is</w:t>
      </w:r>
      <w:r w:rsidRPr="007B2B2D">
        <w:rPr>
          <w:rFonts w:cs="Segoe UI"/>
        </w:rPr>
        <w:t xml:space="preserve"> the product is designed to be exposed to Internet traffic without requiring a firewall</w:t>
      </w:r>
      <w:r>
        <w:rPr>
          <w:rFonts w:cs="Segoe UI"/>
        </w:rPr>
        <w:t>?</w:t>
      </w:r>
    </w:p>
    <w:p w14:paraId="4E6344EC"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eastAsia="Times New Roman" w:cs="Segoe UI"/>
        </w:rPr>
        <w:t>Identify wh</w:t>
      </w:r>
      <w:r w:rsidRPr="007B2B2D">
        <w:rPr>
          <w:rFonts w:cs="Segoe UI"/>
        </w:rPr>
        <w:t xml:space="preserve">at security logs are produced by the product, how they are protected against tampering, and how to access them. </w:t>
      </w:r>
    </w:p>
    <w:p w14:paraId="5157F098" w14:textId="77777777" w:rsidR="00D263E2" w:rsidRDefault="00D263E2" w:rsidP="005729D2">
      <w:pPr>
        <w:pStyle w:val="ListBullet"/>
        <w:numPr>
          <w:ilvl w:val="1"/>
          <w:numId w:val="306"/>
        </w:numPr>
        <w:spacing w:before="120" w:after="120"/>
        <w:ind w:left="1080"/>
        <w:rPr>
          <w:rFonts w:eastAsia="Times New Roman" w:cs="Segoe UI"/>
        </w:rPr>
      </w:pPr>
      <w:r w:rsidRPr="007B2B2D">
        <w:rPr>
          <w:rFonts w:eastAsia="Times New Roman" w:cs="Segoe UI"/>
        </w:rPr>
        <w:t xml:space="preserve">Require vendors to minimize and document attack surface changes resulting from installing software. This can be performed </w:t>
      </w:r>
      <w:r>
        <w:rPr>
          <w:rFonts w:eastAsia="Times New Roman" w:cs="Segoe UI"/>
        </w:rPr>
        <w:t xml:space="preserve">by </w:t>
      </w:r>
      <w:r w:rsidRPr="007B2B2D">
        <w:rPr>
          <w:rFonts w:eastAsia="Times New Roman" w:cs="Segoe UI"/>
        </w:rPr>
        <w:t xml:space="preserve">using </w:t>
      </w:r>
      <w:r>
        <w:rPr>
          <w:rFonts w:eastAsia="Times New Roman" w:cs="Segoe UI"/>
        </w:rPr>
        <w:t xml:space="preserve">the </w:t>
      </w:r>
      <w:r w:rsidRPr="007B2B2D">
        <w:rPr>
          <w:rFonts w:eastAsia="Times New Roman" w:cs="Segoe UI"/>
        </w:rPr>
        <w:t>Microsoft Attack Surface Analyzer tool</w:t>
      </w:r>
      <w:r>
        <w:rPr>
          <w:rFonts w:eastAsia="Times New Roman" w:cs="Segoe UI"/>
        </w:rPr>
        <w:t>. For more information, see:</w:t>
      </w:r>
    </w:p>
    <w:p w14:paraId="35B5CF69" w14:textId="77777777" w:rsidR="00D263E2" w:rsidRPr="007B31D6" w:rsidRDefault="00872E47" w:rsidP="005729D2">
      <w:pPr>
        <w:pStyle w:val="ListBullet"/>
        <w:numPr>
          <w:ilvl w:val="2"/>
          <w:numId w:val="306"/>
        </w:numPr>
        <w:spacing w:before="120" w:after="120"/>
        <w:ind w:left="1800"/>
        <w:rPr>
          <w:rFonts w:eastAsia="Times New Roman" w:cs="Segoe UI"/>
        </w:rPr>
      </w:pPr>
      <w:hyperlink r:id="rId699" w:history="1">
        <w:r w:rsidR="00D263E2" w:rsidRPr="00E314F2">
          <w:rPr>
            <w:rStyle w:val="Hyperlink"/>
          </w:rPr>
          <w:t>Improving Security Using Attack Surface Analyzer</w:t>
        </w:r>
      </w:hyperlink>
    </w:p>
    <w:p w14:paraId="1AE2C0F8" w14:textId="77777777" w:rsidR="00D263E2" w:rsidRPr="007B31D6" w:rsidRDefault="00872E47" w:rsidP="005729D2">
      <w:pPr>
        <w:pStyle w:val="ListBullet"/>
        <w:numPr>
          <w:ilvl w:val="2"/>
          <w:numId w:val="306"/>
        </w:numPr>
        <w:spacing w:before="120" w:after="120"/>
        <w:ind w:left="1800"/>
        <w:rPr>
          <w:rFonts w:eastAsia="Times New Roman" w:cs="Segoe UI"/>
        </w:rPr>
      </w:pPr>
      <w:hyperlink r:id="rId700" w:history="1">
        <w:r w:rsidR="00D263E2" w:rsidRPr="00E314F2">
          <w:rPr>
            <w:rStyle w:val="Hyperlink"/>
          </w:rPr>
          <w:t>Attack Surface Analyzer Download</w:t>
        </w:r>
      </w:hyperlink>
    </w:p>
    <w:p w14:paraId="0811AB0F" w14:textId="77777777" w:rsidR="00D263E2" w:rsidRPr="007B2B2D" w:rsidRDefault="00D263E2" w:rsidP="005729D2">
      <w:pPr>
        <w:pStyle w:val="ListBullet"/>
        <w:numPr>
          <w:ilvl w:val="1"/>
          <w:numId w:val="306"/>
        </w:numPr>
        <w:spacing w:before="120" w:after="120"/>
        <w:ind w:left="1080"/>
        <w:rPr>
          <w:rFonts w:eastAsia="Times New Roman" w:cs="Segoe UI"/>
        </w:rPr>
      </w:pPr>
      <w:r w:rsidRPr="007B2B2D">
        <w:rPr>
          <w:rFonts w:eastAsia="Times New Roman" w:cs="Segoe UI"/>
        </w:rPr>
        <w:t xml:space="preserve">Require vendors to document which </w:t>
      </w:r>
      <w:r w:rsidRPr="007B2B2D">
        <w:rPr>
          <w:rFonts w:cs="Segoe UI"/>
        </w:rPr>
        <w:t xml:space="preserve">threats the product is and is not designed to protect itself and its data against. </w:t>
      </w:r>
    </w:p>
    <w:p w14:paraId="28DC246F"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cs="Segoe UI"/>
        </w:rPr>
        <w:t>Typical items that cannot be protected against are identified in</w:t>
      </w:r>
      <w:r>
        <w:rPr>
          <w:rFonts w:cs="Segoe UI"/>
        </w:rPr>
        <w:t>:</w:t>
      </w:r>
      <w:r>
        <w:rPr>
          <w:rFonts w:cs="Segoe UI"/>
        </w:rPr>
        <w:br/>
      </w:r>
      <w:hyperlink r:id="rId701" w:history="1">
        <w:r>
          <w:rPr>
            <w:rStyle w:val="Hyperlink"/>
          </w:rPr>
          <w:t>Ten Immutable Laws of Security (Version 2.0)</w:t>
        </w:r>
      </w:hyperlink>
    </w:p>
    <w:p w14:paraId="206E82D4" w14:textId="77777777" w:rsidR="00D263E2" w:rsidRPr="007B2B2D" w:rsidRDefault="00D263E2" w:rsidP="005729D2">
      <w:pPr>
        <w:pStyle w:val="ListBullet"/>
        <w:numPr>
          <w:ilvl w:val="0"/>
          <w:numId w:val="306"/>
        </w:numPr>
        <w:spacing w:before="120" w:after="120"/>
        <w:ind w:left="360"/>
        <w:rPr>
          <w:rFonts w:eastAsia="Times New Roman" w:cs="Segoe UI"/>
        </w:rPr>
      </w:pPr>
      <w:r w:rsidRPr="007B2B2D">
        <w:rPr>
          <w:rFonts w:eastAsia="Times New Roman" w:cs="Segoe UI"/>
        </w:rPr>
        <w:t xml:space="preserve">Software </w:t>
      </w:r>
      <w:r>
        <w:rPr>
          <w:rFonts w:eastAsia="Times New Roman" w:cs="Segoe UI"/>
        </w:rPr>
        <w:t>d</w:t>
      </w:r>
      <w:r w:rsidRPr="007B2B2D">
        <w:rPr>
          <w:rFonts w:eastAsia="Times New Roman" w:cs="Segoe UI"/>
        </w:rPr>
        <w:t xml:space="preserve">igital </w:t>
      </w:r>
      <w:r>
        <w:rPr>
          <w:rFonts w:eastAsia="Times New Roman" w:cs="Segoe UI"/>
        </w:rPr>
        <w:t>s</w:t>
      </w:r>
      <w:r w:rsidRPr="007B2B2D">
        <w:rPr>
          <w:rFonts w:eastAsia="Times New Roman" w:cs="Segoe UI"/>
        </w:rPr>
        <w:t>ignatures</w:t>
      </w:r>
    </w:p>
    <w:p w14:paraId="4A9DC3F3" w14:textId="77777777" w:rsidR="00D263E2" w:rsidRPr="007B2B2D" w:rsidRDefault="00D263E2" w:rsidP="005729D2">
      <w:pPr>
        <w:pStyle w:val="ListBullet"/>
        <w:numPr>
          <w:ilvl w:val="1"/>
          <w:numId w:val="306"/>
        </w:numPr>
        <w:spacing w:before="120" w:after="120"/>
        <w:ind w:left="1080"/>
        <w:rPr>
          <w:rFonts w:eastAsia="Times New Roman" w:cs="Segoe UI"/>
        </w:rPr>
      </w:pPr>
      <w:r w:rsidRPr="007B2B2D">
        <w:rPr>
          <w:rFonts w:eastAsia="Times New Roman" w:cs="Segoe UI"/>
        </w:rPr>
        <w:t>Require vendors to digitally sign all software binaries for all software products.</w:t>
      </w:r>
      <w:r>
        <w:rPr>
          <w:rFonts w:eastAsia="Times New Roman" w:cs="Segoe UI"/>
        </w:rPr>
        <w:br/>
        <w:t xml:space="preserve">For more information, see </w:t>
      </w:r>
      <w:hyperlink r:id="rId702" w:history="1">
        <w:r>
          <w:rPr>
            <w:rStyle w:val="Hyperlink"/>
          </w:rPr>
          <w:t>Introduction to Code Signing</w:t>
        </w:r>
      </w:hyperlink>
      <w:r>
        <w:rPr>
          <w:rFonts w:eastAsia="Times New Roman" w:cs="Segoe UI"/>
        </w:rPr>
        <w:t>.</w:t>
      </w:r>
    </w:p>
    <w:p w14:paraId="21731F51" w14:textId="77777777" w:rsidR="00D263E2" w:rsidRPr="007B2B2D" w:rsidRDefault="00D263E2" w:rsidP="005729D2">
      <w:pPr>
        <w:pStyle w:val="ListBullet"/>
        <w:numPr>
          <w:ilvl w:val="0"/>
          <w:numId w:val="306"/>
        </w:numPr>
        <w:spacing w:before="120" w:after="120"/>
        <w:ind w:left="360"/>
        <w:rPr>
          <w:rFonts w:eastAsia="Times New Roman" w:cs="Segoe UI"/>
        </w:rPr>
      </w:pPr>
      <w:r w:rsidRPr="007B2B2D">
        <w:rPr>
          <w:rFonts w:eastAsia="Times New Roman" w:cs="Segoe UI"/>
        </w:rPr>
        <w:t>Software development practices</w:t>
      </w:r>
      <w:r>
        <w:rPr>
          <w:rFonts w:eastAsia="Times New Roman" w:cs="Segoe UI"/>
        </w:rPr>
        <w:t>:</w:t>
      </w:r>
      <w:r w:rsidRPr="007B2B2D">
        <w:rPr>
          <w:rFonts w:eastAsia="Times New Roman" w:cs="Segoe UI"/>
        </w:rPr>
        <w:t xml:space="preserve"> Gather information </w:t>
      </w:r>
      <w:r>
        <w:rPr>
          <w:rFonts w:eastAsia="Times New Roman" w:cs="Segoe UI"/>
        </w:rPr>
        <w:t>about</w:t>
      </w:r>
      <w:r w:rsidRPr="007B2B2D">
        <w:rPr>
          <w:rFonts w:eastAsia="Times New Roman" w:cs="Segoe UI"/>
        </w:rPr>
        <w:t xml:space="preserve"> the vendor’s development practices</w:t>
      </w:r>
    </w:p>
    <w:p w14:paraId="58851854" w14:textId="77777777" w:rsidR="00D263E2" w:rsidRPr="007B2B2D" w:rsidRDefault="00D263E2" w:rsidP="005729D2">
      <w:pPr>
        <w:pStyle w:val="ListBullet"/>
        <w:numPr>
          <w:ilvl w:val="1"/>
          <w:numId w:val="306"/>
        </w:numPr>
        <w:spacing w:before="120" w:after="120"/>
        <w:ind w:left="1080"/>
        <w:rPr>
          <w:rFonts w:eastAsia="Times New Roman" w:cs="Segoe UI"/>
        </w:rPr>
      </w:pPr>
      <w:r w:rsidRPr="007B2B2D">
        <w:rPr>
          <w:rFonts w:eastAsia="Times New Roman" w:cs="Segoe UI"/>
        </w:rPr>
        <w:t xml:space="preserve">Secure </w:t>
      </w:r>
      <w:r>
        <w:rPr>
          <w:rFonts w:eastAsia="Times New Roman" w:cs="Segoe UI"/>
        </w:rPr>
        <w:t>d</w:t>
      </w:r>
      <w:r w:rsidRPr="007B2B2D">
        <w:rPr>
          <w:rFonts w:eastAsia="Times New Roman" w:cs="Segoe UI"/>
        </w:rPr>
        <w:t xml:space="preserve">evelopment </w:t>
      </w:r>
      <w:r>
        <w:rPr>
          <w:rFonts w:eastAsia="Times New Roman" w:cs="Segoe UI"/>
        </w:rPr>
        <w:t>e</w:t>
      </w:r>
      <w:r w:rsidRPr="007B2B2D">
        <w:rPr>
          <w:rFonts w:eastAsia="Times New Roman" w:cs="Segoe UI"/>
        </w:rPr>
        <w:t>ducation</w:t>
      </w:r>
    </w:p>
    <w:p w14:paraId="0503274F"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eastAsia="Times New Roman" w:cs="Segoe UI"/>
        </w:rPr>
        <w:t xml:space="preserve">Do you educate all engineers </w:t>
      </w:r>
      <w:r>
        <w:rPr>
          <w:rFonts w:eastAsia="Times New Roman" w:cs="Segoe UI"/>
        </w:rPr>
        <w:t>about</w:t>
      </w:r>
      <w:r w:rsidRPr="007B2B2D">
        <w:rPr>
          <w:rFonts w:eastAsia="Times New Roman" w:cs="Segoe UI"/>
        </w:rPr>
        <w:t xml:space="preserve"> security development?</w:t>
      </w:r>
    </w:p>
    <w:p w14:paraId="6507BE8A"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eastAsia="Times New Roman" w:cs="Segoe UI"/>
        </w:rPr>
        <w:t>How frequently?</w:t>
      </w:r>
    </w:p>
    <w:p w14:paraId="7525A0DA"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eastAsia="Times New Roman" w:cs="Segoe UI"/>
        </w:rPr>
        <w:t>How much time per year for each engineer?</w:t>
      </w:r>
    </w:p>
    <w:p w14:paraId="3F98BA8A"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eastAsia="Times New Roman" w:cs="Segoe UI"/>
        </w:rPr>
        <w:t>What methodology is taught?</w:t>
      </w:r>
    </w:p>
    <w:p w14:paraId="613916F9"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eastAsia="Times New Roman" w:cs="Segoe UI"/>
        </w:rPr>
        <w:t>Who teaches the classes?</w:t>
      </w:r>
    </w:p>
    <w:p w14:paraId="66333C4D" w14:textId="77777777" w:rsidR="00D263E2" w:rsidRPr="007B2B2D" w:rsidRDefault="00D263E2" w:rsidP="005729D2">
      <w:pPr>
        <w:pStyle w:val="ListBullet"/>
        <w:numPr>
          <w:ilvl w:val="1"/>
          <w:numId w:val="306"/>
        </w:numPr>
        <w:spacing w:before="120" w:after="120"/>
        <w:ind w:left="1080"/>
        <w:rPr>
          <w:rFonts w:eastAsia="Times New Roman" w:cs="Segoe UI"/>
        </w:rPr>
      </w:pPr>
      <w:r w:rsidRPr="007B2B2D">
        <w:rPr>
          <w:rFonts w:eastAsia="Times New Roman" w:cs="Segoe UI"/>
        </w:rPr>
        <w:t xml:space="preserve">Development </w:t>
      </w:r>
      <w:r>
        <w:rPr>
          <w:rFonts w:eastAsia="Times New Roman" w:cs="Segoe UI"/>
        </w:rPr>
        <w:t>s</w:t>
      </w:r>
      <w:r w:rsidRPr="007B2B2D">
        <w:rPr>
          <w:rFonts w:eastAsia="Times New Roman" w:cs="Segoe UI"/>
        </w:rPr>
        <w:t xml:space="preserve">ecurity and </w:t>
      </w:r>
      <w:r>
        <w:rPr>
          <w:rFonts w:eastAsia="Times New Roman" w:cs="Segoe UI"/>
        </w:rPr>
        <w:t>p</w:t>
      </w:r>
      <w:r w:rsidRPr="007B2B2D">
        <w:rPr>
          <w:rFonts w:eastAsia="Times New Roman" w:cs="Segoe UI"/>
        </w:rPr>
        <w:t xml:space="preserve">rivacy </w:t>
      </w:r>
      <w:r>
        <w:rPr>
          <w:rFonts w:eastAsia="Times New Roman" w:cs="Segoe UI"/>
        </w:rPr>
        <w:t>p</w:t>
      </w:r>
      <w:r w:rsidRPr="007B2B2D">
        <w:rPr>
          <w:rFonts w:eastAsia="Times New Roman" w:cs="Segoe UI"/>
        </w:rPr>
        <w:t>rocesses</w:t>
      </w:r>
    </w:p>
    <w:p w14:paraId="569D3AC0"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eastAsia="Times New Roman" w:cs="Segoe UI"/>
        </w:rPr>
        <w:t xml:space="preserve">What security development methods do you practice? </w:t>
      </w:r>
      <w:r>
        <w:rPr>
          <w:rFonts w:eastAsia="Times New Roman" w:cs="Segoe UI"/>
        </w:rPr>
        <w:t xml:space="preserve">The </w:t>
      </w:r>
      <w:r w:rsidRPr="007B2B2D">
        <w:rPr>
          <w:rFonts w:eastAsia="Times New Roman" w:cs="Segoe UI"/>
        </w:rPr>
        <w:t>Microsoft S</w:t>
      </w:r>
      <w:r>
        <w:rPr>
          <w:rFonts w:eastAsia="Times New Roman" w:cs="Segoe UI"/>
        </w:rPr>
        <w:t xml:space="preserve">ecurity </w:t>
      </w:r>
      <w:r w:rsidRPr="007B2B2D">
        <w:rPr>
          <w:rFonts w:eastAsia="Times New Roman" w:cs="Segoe UI"/>
        </w:rPr>
        <w:t>D</w:t>
      </w:r>
      <w:r>
        <w:rPr>
          <w:rFonts w:eastAsia="Times New Roman" w:cs="Segoe UI"/>
        </w:rPr>
        <w:t xml:space="preserve">evelopment </w:t>
      </w:r>
      <w:r w:rsidRPr="007B2B2D">
        <w:rPr>
          <w:rFonts w:eastAsia="Times New Roman" w:cs="Segoe UI"/>
        </w:rPr>
        <w:t>L</w:t>
      </w:r>
      <w:r>
        <w:rPr>
          <w:rFonts w:eastAsia="Times New Roman" w:cs="Segoe UI"/>
        </w:rPr>
        <w:t>ifecycle</w:t>
      </w:r>
      <w:r w:rsidRPr="007B2B2D">
        <w:rPr>
          <w:rFonts w:eastAsia="Times New Roman" w:cs="Segoe UI"/>
        </w:rPr>
        <w:t>? ISO 27034? Something else?</w:t>
      </w:r>
    </w:p>
    <w:p w14:paraId="68E3BD5A"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eastAsia="Times New Roman" w:cs="Segoe UI"/>
        </w:rPr>
        <w:t>Do you perform threat modelling on design? Which methods</w:t>
      </w:r>
      <w:r>
        <w:rPr>
          <w:rFonts w:eastAsia="Times New Roman" w:cs="Segoe UI"/>
        </w:rPr>
        <w:t xml:space="preserve"> and </w:t>
      </w:r>
      <w:r w:rsidRPr="007B2B2D">
        <w:rPr>
          <w:rFonts w:eastAsia="Times New Roman" w:cs="Segoe UI"/>
        </w:rPr>
        <w:t>tools</w:t>
      </w:r>
      <w:r>
        <w:rPr>
          <w:rFonts w:eastAsia="Times New Roman" w:cs="Segoe UI"/>
        </w:rPr>
        <w:t xml:space="preserve"> do you use</w:t>
      </w:r>
      <w:r w:rsidRPr="007B2B2D">
        <w:rPr>
          <w:rFonts w:eastAsia="Times New Roman" w:cs="Segoe UI"/>
        </w:rPr>
        <w:t>?</w:t>
      </w:r>
    </w:p>
    <w:p w14:paraId="03E40B3A"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eastAsia="Times New Roman" w:cs="Segoe UI"/>
        </w:rPr>
        <w:t>Do you have documented development security and privacy principles? Can you share them?</w:t>
      </w:r>
    </w:p>
    <w:p w14:paraId="5E8F6844" w14:textId="77777777" w:rsidR="00D263E2" w:rsidRPr="007B2B2D" w:rsidRDefault="00D263E2" w:rsidP="005729D2">
      <w:pPr>
        <w:pStyle w:val="ListBullet"/>
        <w:numPr>
          <w:ilvl w:val="1"/>
          <w:numId w:val="306"/>
        </w:numPr>
        <w:spacing w:before="120" w:after="120"/>
        <w:ind w:left="1080"/>
        <w:rPr>
          <w:rFonts w:eastAsia="Times New Roman" w:cs="Segoe UI"/>
        </w:rPr>
      </w:pPr>
      <w:r w:rsidRPr="007B2B2D">
        <w:rPr>
          <w:rFonts w:eastAsia="Times New Roman" w:cs="Segoe UI"/>
        </w:rPr>
        <w:t xml:space="preserve">Development </w:t>
      </w:r>
      <w:r>
        <w:rPr>
          <w:rFonts w:eastAsia="Times New Roman" w:cs="Segoe UI"/>
        </w:rPr>
        <w:t>p</w:t>
      </w:r>
      <w:r w:rsidRPr="007B2B2D">
        <w:rPr>
          <w:rFonts w:eastAsia="Times New Roman" w:cs="Segoe UI"/>
        </w:rPr>
        <w:t>ractices</w:t>
      </w:r>
    </w:p>
    <w:p w14:paraId="3E9FDB62"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eastAsia="Times New Roman" w:cs="Segoe UI"/>
        </w:rPr>
        <w:t xml:space="preserve">What compilers do you use? </w:t>
      </w:r>
    </w:p>
    <w:p w14:paraId="15B020E9"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eastAsia="Times New Roman" w:cs="Segoe UI"/>
        </w:rPr>
        <w:t>Do you enforce specific compiler defenses?</w:t>
      </w:r>
    </w:p>
    <w:p w14:paraId="20EB4A1C"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eastAsia="Times New Roman" w:cs="Segoe UI"/>
        </w:rPr>
        <w:t>Do you use static analysis tools?</w:t>
      </w:r>
    </w:p>
    <w:p w14:paraId="7D86E83D" w14:textId="77777777" w:rsidR="00D263E2" w:rsidRPr="007B2B2D" w:rsidRDefault="00D263E2" w:rsidP="005729D2">
      <w:pPr>
        <w:pStyle w:val="ListBullet"/>
        <w:numPr>
          <w:ilvl w:val="3"/>
          <w:numId w:val="306"/>
        </w:numPr>
        <w:spacing w:before="120" w:after="120"/>
        <w:ind w:left="2520"/>
        <w:rPr>
          <w:rFonts w:eastAsia="Times New Roman" w:cs="Segoe UI"/>
        </w:rPr>
      </w:pPr>
      <w:r w:rsidRPr="007B2B2D">
        <w:rPr>
          <w:rFonts w:eastAsia="Times New Roman" w:cs="Segoe UI"/>
        </w:rPr>
        <w:t>Which tools</w:t>
      </w:r>
      <w:r>
        <w:rPr>
          <w:rFonts w:eastAsia="Times New Roman" w:cs="Segoe UI"/>
        </w:rPr>
        <w:t>?</w:t>
      </w:r>
    </w:p>
    <w:p w14:paraId="3B8864B8" w14:textId="77777777" w:rsidR="00D263E2" w:rsidRPr="007B2B2D" w:rsidRDefault="00D263E2" w:rsidP="005729D2">
      <w:pPr>
        <w:pStyle w:val="ListBullet"/>
        <w:numPr>
          <w:ilvl w:val="3"/>
          <w:numId w:val="306"/>
        </w:numPr>
        <w:spacing w:before="120" w:after="120"/>
        <w:ind w:left="2520"/>
        <w:rPr>
          <w:rFonts w:eastAsia="Times New Roman" w:cs="Segoe UI"/>
        </w:rPr>
      </w:pPr>
      <w:r w:rsidRPr="007B2B2D">
        <w:rPr>
          <w:rFonts w:eastAsia="Times New Roman" w:cs="Segoe UI"/>
        </w:rPr>
        <w:t>When are they run?</w:t>
      </w:r>
    </w:p>
    <w:p w14:paraId="7A8CCAB8"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eastAsia="Times New Roman" w:cs="Segoe UI"/>
        </w:rPr>
        <w:t>Do you have banned API requirements?</w:t>
      </w:r>
    </w:p>
    <w:p w14:paraId="0649F9EC" w14:textId="77777777" w:rsidR="00D263E2" w:rsidRPr="007B2B2D" w:rsidRDefault="00D263E2" w:rsidP="005729D2">
      <w:pPr>
        <w:pStyle w:val="ListBullet"/>
        <w:numPr>
          <w:ilvl w:val="3"/>
          <w:numId w:val="306"/>
        </w:numPr>
        <w:spacing w:before="120" w:after="120"/>
        <w:ind w:left="2520"/>
        <w:rPr>
          <w:rFonts w:eastAsia="Times New Roman" w:cs="Segoe UI"/>
        </w:rPr>
      </w:pPr>
      <w:r w:rsidRPr="007B2B2D">
        <w:rPr>
          <w:rFonts w:eastAsia="Times New Roman" w:cs="Segoe UI"/>
        </w:rPr>
        <w:t>How are they enforced?</w:t>
      </w:r>
    </w:p>
    <w:p w14:paraId="5F0576A0"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eastAsia="Times New Roman" w:cs="Segoe UI"/>
        </w:rPr>
        <w:t>What are your cryptographic requirements?</w:t>
      </w:r>
    </w:p>
    <w:p w14:paraId="6FA4B230" w14:textId="77777777" w:rsidR="00D263E2" w:rsidRPr="007B2B2D" w:rsidRDefault="00D263E2" w:rsidP="005729D2">
      <w:pPr>
        <w:pStyle w:val="ListBullet"/>
        <w:numPr>
          <w:ilvl w:val="1"/>
          <w:numId w:val="306"/>
        </w:numPr>
        <w:spacing w:before="120" w:after="120"/>
        <w:ind w:left="1080"/>
        <w:rPr>
          <w:rFonts w:eastAsia="Times New Roman" w:cs="Segoe UI"/>
        </w:rPr>
      </w:pPr>
      <w:r w:rsidRPr="007B2B2D">
        <w:rPr>
          <w:rFonts w:eastAsia="Times New Roman" w:cs="Segoe UI"/>
        </w:rPr>
        <w:t xml:space="preserve">Security </w:t>
      </w:r>
      <w:r>
        <w:rPr>
          <w:rFonts w:eastAsia="Times New Roman" w:cs="Segoe UI"/>
        </w:rPr>
        <w:t>t</w:t>
      </w:r>
      <w:r w:rsidRPr="007B2B2D">
        <w:rPr>
          <w:rFonts w:eastAsia="Times New Roman" w:cs="Segoe UI"/>
        </w:rPr>
        <w:t xml:space="preserve">esting </w:t>
      </w:r>
      <w:r>
        <w:rPr>
          <w:rFonts w:eastAsia="Times New Roman" w:cs="Segoe UI"/>
        </w:rPr>
        <w:t>p</w:t>
      </w:r>
      <w:r w:rsidRPr="007B2B2D">
        <w:rPr>
          <w:rFonts w:eastAsia="Times New Roman" w:cs="Segoe UI"/>
        </w:rPr>
        <w:t>ractices</w:t>
      </w:r>
    </w:p>
    <w:p w14:paraId="1C54C204"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eastAsia="Times New Roman" w:cs="Segoe UI"/>
        </w:rPr>
        <w:t>Do you perform penetration testing?</w:t>
      </w:r>
    </w:p>
    <w:p w14:paraId="7AA3E08D" w14:textId="77777777" w:rsidR="00D263E2" w:rsidRPr="007B2B2D" w:rsidRDefault="00D263E2" w:rsidP="005729D2">
      <w:pPr>
        <w:pStyle w:val="ListBullet"/>
        <w:numPr>
          <w:ilvl w:val="3"/>
          <w:numId w:val="306"/>
        </w:numPr>
        <w:spacing w:before="120" w:after="120"/>
        <w:ind w:left="2520"/>
        <w:rPr>
          <w:rFonts w:eastAsia="Times New Roman" w:cs="Segoe UI"/>
        </w:rPr>
      </w:pPr>
      <w:r w:rsidRPr="007B2B2D">
        <w:rPr>
          <w:rFonts w:eastAsia="Times New Roman" w:cs="Segoe UI"/>
        </w:rPr>
        <w:t>Who does it and when?</w:t>
      </w:r>
    </w:p>
    <w:p w14:paraId="7BEA7DE6"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eastAsia="Times New Roman" w:cs="Segoe UI"/>
        </w:rPr>
        <w:t>Do you perform fuzz testing?</w:t>
      </w:r>
    </w:p>
    <w:p w14:paraId="6DECEA58" w14:textId="77777777" w:rsidR="00D263E2" w:rsidRPr="007B2B2D" w:rsidRDefault="00D263E2" w:rsidP="005729D2">
      <w:pPr>
        <w:pStyle w:val="ListBullet"/>
        <w:numPr>
          <w:ilvl w:val="3"/>
          <w:numId w:val="306"/>
        </w:numPr>
        <w:spacing w:before="120" w:after="120"/>
        <w:ind w:left="2520"/>
        <w:rPr>
          <w:rFonts w:eastAsia="Times New Roman" w:cs="Segoe UI"/>
        </w:rPr>
      </w:pPr>
      <w:r w:rsidRPr="007B2B2D">
        <w:rPr>
          <w:rFonts w:eastAsia="Times New Roman" w:cs="Segoe UI"/>
        </w:rPr>
        <w:t>What is your fuzz testing policy?</w:t>
      </w:r>
    </w:p>
    <w:p w14:paraId="34E733AC" w14:textId="77777777" w:rsidR="00D263E2" w:rsidRPr="007B2B2D" w:rsidRDefault="00D263E2" w:rsidP="005729D2">
      <w:pPr>
        <w:pStyle w:val="ListBullet"/>
        <w:numPr>
          <w:ilvl w:val="1"/>
          <w:numId w:val="306"/>
        </w:numPr>
        <w:spacing w:before="120" w:after="120"/>
        <w:ind w:left="1080"/>
        <w:rPr>
          <w:rFonts w:eastAsia="Times New Roman" w:cs="Segoe UI"/>
        </w:rPr>
      </w:pPr>
      <w:r w:rsidRPr="007B2B2D">
        <w:rPr>
          <w:rFonts w:eastAsia="Times New Roman" w:cs="Segoe UI"/>
        </w:rPr>
        <w:t xml:space="preserve">Security </w:t>
      </w:r>
      <w:r>
        <w:rPr>
          <w:rFonts w:eastAsia="Times New Roman" w:cs="Segoe UI"/>
        </w:rPr>
        <w:t>r</w:t>
      </w:r>
      <w:r w:rsidRPr="007B2B2D">
        <w:rPr>
          <w:rFonts w:eastAsia="Times New Roman" w:cs="Segoe UI"/>
        </w:rPr>
        <w:t>esponse</w:t>
      </w:r>
    </w:p>
    <w:p w14:paraId="24B61126"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eastAsia="Times New Roman" w:cs="Segoe UI"/>
        </w:rPr>
        <w:t>Describe your process for prioritizing and responding to security bugs.</w:t>
      </w:r>
    </w:p>
    <w:p w14:paraId="77BC931A"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eastAsia="Times New Roman" w:cs="Segoe UI"/>
        </w:rPr>
        <w:t>Describe your process for responding to cybersecurity attacks and compromises.</w:t>
      </w:r>
    </w:p>
    <w:p w14:paraId="18644469"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eastAsia="Times New Roman" w:cs="Segoe UI"/>
        </w:rPr>
        <w:t xml:space="preserve">Who </w:t>
      </w:r>
      <w:r>
        <w:rPr>
          <w:rFonts w:eastAsia="Times New Roman" w:cs="Segoe UI"/>
        </w:rPr>
        <w:t>should</w:t>
      </w:r>
      <w:r w:rsidRPr="007B2B2D">
        <w:rPr>
          <w:rFonts w:eastAsia="Times New Roman" w:cs="Segoe UI"/>
        </w:rPr>
        <w:t xml:space="preserve"> my company contact to report a security bug?</w:t>
      </w:r>
    </w:p>
    <w:p w14:paraId="59A11C47" w14:textId="77777777" w:rsidR="00D263E2" w:rsidRPr="007B2B2D" w:rsidRDefault="00D263E2" w:rsidP="005729D2">
      <w:pPr>
        <w:pStyle w:val="ListBullet"/>
        <w:numPr>
          <w:ilvl w:val="1"/>
          <w:numId w:val="306"/>
        </w:numPr>
        <w:spacing w:before="120" w:after="120"/>
        <w:ind w:left="1080"/>
        <w:rPr>
          <w:rFonts w:eastAsia="Times New Roman" w:cs="Segoe UI"/>
        </w:rPr>
      </w:pPr>
      <w:r w:rsidRPr="007B2B2D">
        <w:rPr>
          <w:rFonts w:eastAsia="Times New Roman" w:cs="Segoe UI"/>
        </w:rPr>
        <w:t xml:space="preserve">Code </w:t>
      </w:r>
      <w:r>
        <w:rPr>
          <w:rFonts w:eastAsia="Times New Roman" w:cs="Segoe UI"/>
        </w:rPr>
        <w:t>i</w:t>
      </w:r>
      <w:r w:rsidRPr="007B2B2D">
        <w:rPr>
          <w:rFonts w:eastAsia="Times New Roman" w:cs="Segoe UI"/>
        </w:rPr>
        <w:t>ntegrity</w:t>
      </w:r>
    </w:p>
    <w:p w14:paraId="14C6A91C" w14:textId="77777777" w:rsidR="00D263E2" w:rsidRPr="007B2B2D" w:rsidRDefault="00D263E2" w:rsidP="005729D2">
      <w:pPr>
        <w:pStyle w:val="ListBullet"/>
        <w:numPr>
          <w:ilvl w:val="2"/>
          <w:numId w:val="306"/>
        </w:numPr>
        <w:spacing w:before="120" w:after="120"/>
        <w:ind w:left="1800"/>
        <w:rPr>
          <w:rFonts w:eastAsia="Times New Roman" w:cs="Segoe UI"/>
        </w:rPr>
      </w:pPr>
      <w:r w:rsidRPr="007B2B2D">
        <w:rPr>
          <w:rFonts w:eastAsia="Times New Roman" w:cs="Segoe UI"/>
        </w:rPr>
        <w:t>How do you protect source code and related artifacts (</w:t>
      </w:r>
      <w:r>
        <w:rPr>
          <w:rFonts w:eastAsia="Times New Roman" w:cs="Segoe UI"/>
        </w:rPr>
        <w:t xml:space="preserve">such as </w:t>
      </w:r>
      <w:r w:rsidRPr="007B2B2D">
        <w:rPr>
          <w:rFonts w:eastAsia="Times New Roman" w:cs="Segoe UI"/>
        </w:rPr>
        <w:t>specifications</w:t>
      </w:r>
      <w:r>
        <w:rPr>
          <w:rFonts w:eastAsia="Times New Roman" w:cs="Segoe UI"/>
        </w:rPr>
        <w:t xml:space="preserve"> and</w:t>
      </w:r>
      <w:r w:rsidRPr="007B2B2D">
        <w:rPr>
          <w:rFonts w:eastAsia="Times New Roman" w:cs="Segoe UI"/>
        </w:rPr>
        <w:t xml:space="preserve"> test plans)?</w:t>
      </w:r>
    </w:p>
    <w:p w14:paraId="24525E6E" w14:textId="263856A2" w:rsidR="00D263E2" w:rsidRDefault="00D263E2" w:rsidP="005729D2">
      <w:pPr>
        <w:pStyle w:val="ListBullet"/>
        <w:numPr>
          <w:ilvl w:val="2"/>
          <w:numId w:val="306"/>
        </w:numPr>
        <w:spacing w:before="120" w:after="120"/>
        <w:ind w:left="1800"/>
        <w:rPr>
          <w:rFonts w:eastAsia="Times New Roman" w:cs="Segoe UI"/>
        </w:rPr>
      </w:pPr>
      <w:r w:rsidRPr="007B2B2D">
        <w:rPr>
          <w:rFonts w:eastAsia="Times New Roman" w:cs="Segoe UI"/>
        </w:rPr>
        <w:t>Do you perform background checks on your software developers?</w:t>
      </w:r>
    </w:p>
    <w:p w14:paraId="59F5AA49" w14:textId="68A8E537" w:rsidR="00F97B16" w:rsidRPr="009E102D" w:rsidRDefault="009E102D" w:rsidP="009E102D">
      <w:pPr>
        <w:pStyle w:val="ListBullet"/>
        <w:numPr>
          <w:ilvl w:val="2"/>
          <w:numId w:val="306"/>
        </w:numPr>
        <w:spacing w:before="120" w:after="120"/>
        <w:ind w:left="1800"/>
        <w:rPr>
          <w:rFonts w:eastAsia="Times New Roman" w:cs="Segoe UI"/>
        </w:rPr>
      </w:pPr>
      <w:r w:rsidRPr="007B2B2D">
        <w:rPr>
          <w:rFonts w:eastAsia="Times New Roman" w:cs="Segoe UI"/>
        </w:rPr>
        <w:t xml:space="preserve">Can you trace the lineage of any line of code in your software to </w:t>
      </w:r>
      <w:r>
        <w:rPr>
          <w:rFonts w:eastAsia="Times New Roman" w:cs="Segoe UI"/>
        </w:rPr>
        <w:t xml:space="preserve">the </w:t>
      </w:r>
      <w:r w:rsidRPr="007B2B2D">
        <w:rPr>
          <w:rFonts w:eastAsia="Times New Roman" w:cs="Segoe UI"/>
        </w:rPr>
        <w:t xml:space="preserve">original developer? Can you trace the lineage </w:t>
      </w:r>
      <w:r>
        <w:rPr>
          <w:rFonts w:eastAsia="Times New Roman" w:cs="Segoe UI"/>
        </w:rPr>
        <w:t>of a</w:t>
      </w:r>
      <w:r w:rsidRPr="007B2B2D">
        <w:rPr>
          <w:rFonts w:eastAsia="Times New Roman" w:cs="Segoe UI"/>
        </w:rPr>
        <w:t xml:space="preserve">ll </w:t>
      </w:r>
      <w:r>
        <w:rPr>
          <w:rFonts w:eastAsia="Times New Roman" w:cs="Segoe UI"/>
        </w:rPr>
        <w:t>developers</w:t>
      </w:r>
      <w:r w:rsidRPr="007B2B2D">
        <w:rPr>
          <w:rFonts w:eastAsia="Times New Roman" w:cs="Segoe UI"/>
        </w:rPr>
        <w:t xml:space="preserve"> who modified the code?</w:t>
      </w:r>
      <w:r>
        <w:rPr>
          <w:rFonts w:eastAsia="Times New Roman" w:cs="Segoe UI"/>
        </w:rPr>
        <w:t xml:space="preserve"> </w:t>
      </w:r>
    </w:p>
    <w:p w14:paraId="3EF26207" w14:textId="56803A92" w:rsidR="001C5C9B" w:rsidRDefault="001C5C9B" w:rsidP="00F32872"/>
    <w:sectPr w:rsidR="001C5C9B" w:rsidSect="00E0654B">
      <w:footerReference w:type="default" r:id="rId703"/>
      <w:type w:val="oddPage"/>
      <w:pgSz w:w="12240" w:h="15840" w:code="1"/>
      <w:pgMar w:top="1440" w:right="1440" w:bottom="1440" w:left="1440" w:header="706" w:footer="0" w:gutter="0"/>
      <w:pgNumType w:start="0"/>
      <w:cols w:space="720"/>
      <w:titlePg/>
      <w:docGrid w:linePitch="360"/>
    </w:sectPr>
  </w:body>
</w:document>
</file>

<file path=word/customizations.xml><?xml version="1.0" encoding="utf-8"?>
<wne:tcg xmlns:r="http://schemas.openxmlformats.org/officeDocument/2006/relationships" xmlns:wne="http://schemas.microsoft.com/office/word/2006/wordml">
  <wne:keymaps>
    <wne:keymap wne:kcmPrimary="0331">
      <wne:acd wne:acdName="acd0"/>
    </wne:keymap>
    <wne:keymap wne:kcmPrimary="0332">
      <wne:acd wne:acdName="acd1"/>
    </wne:keymap>
    <wne:keymap wne:kcmPrimary="0333">
      <wne:acd wne:acdName="acd2"/>
    </wne:keymap>
    <wne:keymap wne:kcmPrimary="0334">
      <wne:acd wne:acdName="acd3"/>
    </wne:keymap>
    <wne:keymap wne:kcmPrimary="0335">
      <wne:acd wne:acdName="acd15"/>
    </wne:keymap>
    <wne:keymap wne:kcmPrimary="0341">
      <wne:acd wne:acdName="acd9"/>
    </wne:keymap>
    <wne:keymap wne:kcmPrimary="0342">
      <wne:acd wne:acdName="acd12"/>
    </wne:keymap>
    <wne:keymap wne:kcmPrimary="0343">
      <wne:acd wne:acdName="acd11"/>
    </wne:keymap>
    <wne:keymap wne:kcmPrimary="0344">
      <wne:acd wne:acdName="acd13"/>
    </wne:keymap>
    <wne:keymap wne:kcmPrimary="0345">
      <wne:fci wne:fciName="IncreaseIndent" wne:swArg="0000"/>
    </wne:keymap>
    <wne:keymap wne:kcmPrimary="0346">
      <wne:acd wne:acdName="acd8"/>
    </wne:keymap>
    <wne:keymap wne:kcmPrimary="0347">
      <wne:fci wne:fciName="ClearAllFormatting" wne:swArg="0000"/>
    </wne:keymap>
    <wne:keymap wne:kcmPrimary="0348">
      <wne:acd wne:acdName="acd17"/>
    </wne:keymap>
    <wne:keymap wne:kcmPrimary="034E">
      <wne:acd wne:acdName="acd18"/>
    </wne:keymap>
    <wne:keymap wne:kcmPrimary="0351">
      <wne:acd wne:acdName="acd14"/>
    </wne:keymap>
    <wne:keymap wne:kcmPrimary="0353">
      <wne:acd wne:acdName="acd5"/>
    </wne:keymap>
    <wne:keymap wne:kcmPrimary="0354">
      <wne:acd wne:acdName="acd7"/>
    </wne:keymap>
    <wne:keymap wne:kcmPrimary="0357">
      <wne:fci wne:fciName="DecreaseIndent" wne:swArg="0000"/>
    </wne:keymap>
    <wne:keymap wne:kcmPrimary="0358">
      <wne:acd wne:acdName="acd6"/>
    </wne:keymap>
    <wne:keymap wne:kcmPrimary="0359">
      <wne:acd wne:acdName="acd16"/>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Manifest>
  </wne:toolbars>
  <wne:acds>
    <wne:acd wne:argValue="AgBIAGUAYQBkAGkAbgBnACAAMQAgACgATgB1AG0AYgBlAHIAZQBkACkA" wne:acdName="acd0" wne:fciIndexBasedOn="0065"/>
    <wne:acd wne:argValue="AgBIAGUAYQBkAGkAbgBnACAAMgAgACgATgB1AG0AYgBlAHIAZQBkACkA" wne:acdName="acd1" wne:fciIndexBasedOn="0065"/>
    <wne:acd wne:argValue="AgBIAGUAYQBkAGkAbgBnACAAMwAgACgATgB1AG0AYgBlAHIAZQBkACkA" wne:acdName="acd2" wne:fciIndexBasedOn="0065"/>
    <wne:acd wne:argValue="AgBIAGUAYQBkAGkAbgBnACAANAAgACgATgB1AG0AYgBlAHIAZQBkACkA" wne:acdName="acd3" wne:fciIndexBasedOn="0065"/>
    <wne:acd wne:acdName="acd4" wne:fciIndexBasedOn="0065"/>
    <wne:acd wne:argValue="AgBOAG8AdABlACAAVABpAHQAbABlAA==" wne:acdName="acd5" wne:fciIndexBasedOn="0065"/>
    <wne:acd wne:argValue="AgBOAG8AdABlAA==" wne:acdName="acd6" wne:fciIndexBasedOn="0065"/>
    <wne:acd wne:argValue="AgBUAGEAYgBsAGUAIABUAGUAeAB0AA==" wne:acdName="acd7" wne:fciIndexBasedOn="0065"/>
    <wne:acd wne:argValue="AgBUAGEAYgBsAGUAIABMAGkAcwB0ACAAQgB1AGwAbABlAHQA" wne:acdName="acd8" wne:fciIndexBasedOn="0065"/>
    <wne:acd wne:argValue="AQAAADAA" wne:acdName="acd9" wne:fciIndexBasedOn="0065"/>
    <wne:acd wne:argValue="AQAAAAUA" wne:acdName="acd10" wne:fciIndexBasedOn="0065"/>
    <wne:acd wne:argValue="AgBDAG8AbQBtAGEAbgBkACAATABpAG4AZQA=" wne:acdName="acd11" wne:fciIndexBasedOn="0065"/>
    <wne:acd wne:argValue="AgBDAG8AZABlACAAQgBsAG8AYwBrAA==" wne:acdName="acd12" wne:fciIndexBasedOn="0065"/>
    <wne:acd wne:argValue="AgBDAGgAZQBjAGsAIABMAGkAcwB0AA==" wne:acdName="acd13" wne:fciIndexBasedOn="0065"/>
    <wne:acd wne:argValue="AgBOAHUAbQBiAGUAcgBlAGQAIABMAGkAcwB0AA==" wne:acdName="acd14" wne:fciIndexBasedOn="0065"/>
    <wne:acd wne:argValue="AQAAAAUA" wne:acdName="acd15" wne:fciIndexBasedOn="0065"/>
    <wne:acd wne:argValue="AgBOAHUAbQAgAEgAZQBhAGQAaQBuAGcAIAAzAA==" wne:acdName="acd16" wne:fciIndexBasedOn="0065"/>
    <wne:acd wne:argValue="AgBOAHUAbQAgAEgAZQBhAGQAaQBuAGcAIAA0AA==" wne:acdName="acd17" wne:fciIndexBasedOn="0065"/>
    <wne:acd wne:argValue="AQAAAAAA" wne:acdName="acd18"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DF3727" w14:textId="77777777" w:rsidR="008D2C68" w:rsidRDefault="008D2C68">
      <w:pPr>
        <w:spacing w:before="0" w:after="0" w:line="240" w:lineRule="auto"/>
      </w:pPr>
      <w:r>
        <w:separator/>
      </w:r>
    </w:p>
  </w:endnote>
  <w:endnote w:type="continuationSeparator" w:id="0">
    <w:p w14:paraId="78664B50" w14:textId="77777777" w:rsidR="008D2C68" w:rsidRDefault="008D2C68">
      <w:pPr>
        <w:spacing w:before="0" w:after="0" w:line="240" w:lineRule="auto"/>
      </w:pPr>
      <w:r>
        <w:continuationSeparator/>
      </w:r>
    </w:p>
  </w:endnote>
  <w:endnote w:type="continuationNotice" w:id="1">
    <w:p w14:paraId="28B6ED7D" w14:textId="77777777" w:rsidR="008D2C68" w:rsidRDefault="008D2C68">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w:altName w:val="Segoe UI"/>
    <w:charset w:val="00"/>
    <w:family w:val="swiss"/>
    <w:pitch w:val="variable"/>
    <w:sig w:usb0="A00002AF" w:usb1="4000205B" w:usb2="00000000" w:usb3="00000000" w:csb0="0000009F" w:csb1="00000000"/>
  </w:font>
  <w:font w:name="Segoe UI">
    <w:panose1 w:val="020B0502040204020203"/>
    <w:charset w:val="00"/>
    <w:family w:val="swiss"/>
    <w:pitch w:val="variable"/>
    <w:sig w:usb0="E4002EFF" w:usb1="C000E47F"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E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Segoe Semibold">
    <w:altName w:val="Arial"/>
    <w:charset w:val="00"/>
    <w:family w:val="swiss"/>
    <w:pitch w:val="variable"/>
    <w:sig w:usb0="A00002AF" w:usb1="4000205B" w:usb2="00000000" w:usb3="00000000" w:csb0="0000009F" w:csb1="00000000"/>
  </w:font>
  <w:font w:name="Segoe Black">
    <w:altName w:val="Arial"/>
    <w:charset w:val="00"/>
    <w:family w:val="swiss"/>
    <w:pitch w:val="variable"/>
    <w:sig w:usb0="A00002AF" w:usb1="4000205B" w:usb2="00000000" w:usb3="00000000" w:csb0="0000009F" w:csb1="00000000"/>
  </w:font>
  <w:font w:name="Segoe Light">
    <w:altName w:val="Segoe UI"/>
    <w:charset w:val="00"/>
    <w:family w:val="swiss"/>
    <w:pitch w:val="variable"/>
    <w:sig w:usb0="A00002AF" w:usb1="4000205B"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Times New Roman">
    <w:altName w:val="Times New Roman"/>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Lucida Console">
    <w:panose1 w:val="020B0609040504020204"/>
    <w:charset w:val="00"/>
    <w:family w:val="modern"/>
    <w:pitch w:val="fixed"/>
    <w:sig w:usb0="8000028F" w:usb1="00001800" w:usb2="00000000" w:usb3="00000000" w:csb0="0000001F" w:csb1="00000000"/>
  </w:font>
  <w:font w:name="Segoe Pro">
    <w:altName w:val="Segoe UI"/>
    <w:charset w:val="00"/>
    <w:family w:val="swiss"/>
    <w:pitch w:val="variable"/>
    <w:sig w:usb0="A00002AF" w:usb1="4000205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3A5304" w14:textId="1A59AEE0" w:rsidR="008D2C68" w:rsidRPr="00286C3E" w:rsidRDefault="008D2C68" w:rsidP="002B2BAC">
    <w:pPr>
      <w:pStyle w:val="Footer"/>
      <w:pBdr>
        <w:top w:val="single" w:sz="4" w:space="0" w:color="auto"/>
      </w:pBdr>
      <w:jc w:val="right"/>
    </w:pPr>
    <w:r w:rsidRPr="00286C3E">
      <w:t xml:space="preserve">Page </w:t>
    </w:r>
    <w:r w:rsidRPr="00286C3E">
      <w:fldChar w:fldCharType="begin"/>
    </w:r>
    <w:r w:rsidRPr="00286C3E">
      <w:instrText xml:space="preserve"> PAGE  \* Arabic  \* MERGEFORMAT </w:instrText>
    </w:r>
    <w:r w:rsidRPr="00286C3E">
      <w:fldChar w:fldCharType="separate"/>
    </w:r>
    <w:r w:rsidR="00872E47">
      <w:rPr>
        <w:noProof/>
      </w:rPr>
      <w:t>1</w:t>
    </w:r>
    <w:r w:rsidRPr="00286C3E">
      <w:fldChar w:fldCharType="end"/>
    </w:r>
  </w:p>
  <w:tbl>
    <w:tblPr>
      <w:tblW w:w="9587" w:type="dxa"/>
      <w:tblInd w:w="-227" w:type="dxa"/>
      <w:tblLayout w:type="fixed"/>
      <w:tblLook w:val="01E0" w:firstRow="1" w:lastRow="1" w:firstColumn="1" w:lastColumn="1" w:noHBand="0" w:noVBand="0"/>
    </w:tblPr>
    <w:tblGrid>
      <w:gridCol w:w="9587"/>
    </w:tblGrid>
    <w:tr w:rsidR="008D2C68" w:rsidRPr="00286C3E" w14:paraId="51891224" w14:textId="77777777" w:rsidTr="00286C3E">
      <w:trPr>
        <w:trHeight w:val="630"/>
      </w:trPr>
      <w:tc>
        <w:tcPr>
          <w:tcW w:w="9587" w:type="dxa"/>
        </w:tcPr>
        <w:p w14:paraId="6BA91B4C" w14:textId="3E21CEA2" w:rsidR="008D2C68" w:rsidRPr="00286C3E" w:rsidRDefault="00872E47" w:rsidP="00441653">
          <w:pPr>
            <w:pStyle w:val="Footer"/>
            <w:ind w:firstLine="119"/>
          </w:pPr>
          <w:sdt>
            <w:sdtPr>
              <w:alias w:val="Title"/>
              <w:id w:val="987667360"/>
              <w:dataBinding w:prefixMappings="xmlns:ns0='http://purl.org/dc/elements/1.1/' xmlns:ns1='http://schemas.openxmlformats.org/package/2006/metadata/core-properties' " w:xpath="/ns1:coreProperties[1]/ns0:title[1]" w:storeItemID="{6C3C8BC8-F283-45AE-878A-BAB7291924A1}"/>
              <w:text/>
            </w:sdtPr>
            <w:sdtEndPr/>
            <w:sdtContent>
              <w:r w:rsidR="008D2C68">
                <w:t>Hybrid Cloud</w:t>
              </w:r>
            </w:sdtContent>
          </w:sdt>
          <w:r w:rsidR="008D2C68" w:rsidRPr="00286C3E">
            <w:t xml:space="preserve">, </w:t>
          </w:r>
          <w:sdt>
            <w:sdtPr>
              <w:alias w:val="Subject"/>
              <w:id w:val="-1314795913"/>
              <w:dataBinding w:prefixMappings="xmlns:ns0='http://purl.org/dc/elements/1.1/' xmlns:ns1='http://schemas.openxmlformats.org/package/2006/metadata/core-properties' " w:xpath="/ns1:coreProperties[1]/ns0:subject[1]" w:storeItemID="{6C3C8BC8-F283-45AE-878A-BAB7291924A1}"/>
              <w:text/>
            </w:sdtPr>
            <w:sdtEndPr/>
            <w:sdtContent>
              <w:r w:rsidR="008D2C68" w:rsidRPr="00286C3E">
                <w:t>Azure Reference Architecture</w:t>
              </w:r>
            </w:sdtContent>
          </w:sdt>
          <w:r w:rsidR="008D2C68">
            <w:t>, Version 1.3</w:t>
          </w:r>
        </w:p>
      </w:tc>
    </w:tr>
  </w:tbl>
  <w:p w14:paraId="1289DFB3" w14:textId="77777777" w:rsidR="008D2C68" w:rsidRPr="00286C3E" w:rsidRDefault="008D2C68"/>
  <w:p w14:paraId="4E5789BA" w14:textId="77777777" w:rsidR="008D2C68" w:rsidRPr="00286C3E" w:rsidRDefault="008D2C68"/>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2F194F" w14:textId="7F4CE0D2" w:rsidR="008D2C68" w:rsidRDefault="008D2C68" w:rsidP="00657113">
    <w:pPr>
      <w:pStyle w:val="Footer"/>
      <w:pBdr>
        <w:top w:val="single" w:sz="4" w:space="1" w:color="auto"/>
      </w:pBdr>
      <w:jc w:val="right"/>
    </w:pPr>
    <w:r>
      <w:t xml:space="preserve">Page </w:t>
    </w:r>
    <w:r>
      <w:fldChar w:fldCharType="begin"/>
    </w:r>
    <w:r>
      <w:instrText xml:space="preserve"> PAGE  \* Arabic  \* MERGEFORMAT </w:instrText>
    </w:r>
    <w:r>
      <w:fldChar w:fldCharType="separate"/>
    </w:r>
    <w:r w:rsidR="00387802">
      <w:rPr>
        <w:noProof/>
      </w:rPr>
      <w:t>1</w:t>
    </w:r>
    <w:r>
      <w:fldChar w:fldCharType="end"/>
    </w:r>
  </w:p>
  <w:tbl>
    <w:tblPr>
      <w:tblW w:w="7200" w:type="dxa"/>
      <w:tblInd w:w="-227" w:type="dxa"/>
      <w:tblLayout w:type="fixed"/>
      <w:tblLook w:val="01E0" w:firstRow="1" w:lastRow="1" w:firstColumn="1" w:lastColumn="1" w:noHBand="0" w:noVBand="0"/>
    </w:tblPr>
    <w:tblGrid>
      <w:gridCol w:w="7200"/>
    </w:tblGrid>
    <w:tr w:rsidR="008D2C68" w14:paraId="6C2F1953" w14:textId="77777777" w:rsidTr="00657113">
      <w:tc>
        <w:tcPr>
          <w:tcW w:w="7200" w:type="dxa"/>
        </w:tcPr>
        <w:p w14:paraId="6C2F1952" w14:textId="35C799E2" w:rsidR="008D2C68" w:rsidRDefault="00872E47" w:rsidP="00441653">
          <w:pPr>
            <w:pStyle w:val="Footer"/>
            <w:ind w:firstLine="119"/>
          </w:pPr>
          <w:sdt>
            <w:sdtPr>
              <w:alias w:val="Title"/>
              <w:id w:val="99538923"/>
              <w:dataBinding w:prefixMappings="xmlns:ns0='http://purl.org/dc/elements/1.1/' xmlns:ns1='http://schemas.openxmlformats.org/package/2006/metadata/core-properties' " w:xpath="/ns1:coreProperties[1]/ns0:title[1]" w:storeItemID="{6C3C8BC8-F283-45AE-878A-BAB7291924A1}"/>
              <w:text/>
            </w:sdtPr>
            <w:sdtEndPr/>
            <w:sdtContent>
              <w:r w:rsidR="008D2C68">
                <w:t>Hybrid Cloud</w:t>
              </w:r>
            </w:sdtContent>
          </w:sdt>
          <w:r w:rsidR="008D2C68">
            <w:t xml:space="preserve">, </w:t>
          </w:r>
          <w:sdt>
            <w:sdtPr>
              <w:alias w:val="Subject"/>
              <w:id w:val="-964657609"/>
              <w:dataBinding w:prefixMappings="xmlns:ns0='http://purl.org/dc/elements/1.1/' xmlns:ns1='http://schemas.openxmlformats.org/package/2006/metadata/core-properties' " w:xpath="/ns1:coreProperties[1]/ns0:subject[1]" w:storeItemID="{6C3C8BC8-F283-45AE-878A-BAB7291924A1}"/>
              <w:text/>
            </w:sdtPr>
            <w:sdtEndPr/>
            <w:sdtContent>
              <w:r w:rsidR="008D2C68">
                <w:t>Azure Reference Architecture</w:t>
              </w:r>
            </w:sdtContent>
          </w:sdt>
          <w:r w:rsidR="008D2C68">
            <w:t xml:space="preserve">, Version 1.3 </w:t>
          </w:r>
        </w:p>
      </w:tc>
    </w:tr>
  </w:tbl>
  <w:p w14:paraId="6C2F1954" w14:textId="77777777" w:rsidR="008D2C68" w:rsidRDefault="008D2C68" w:rsidP="00657113"/>
  <w:p w14:paraId="6C2F1955" w14:textId="77777777" w:rsidR="008D2C68" w:rsidRPr="005A68B0" w:rsidRDefault="008D2C68" w:rsidP="00657113">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2F1956" w14:textId="54F4E22C" w:rsidR="008D2C68" w:rsidRPr="00286C3E" w:rsidRDefault="008D2C68" w:rsidP="002B2BAC">
    <w:pPr>
      <w:pStyle w:val="Footer"/>
      <w:pBdr>
        <w:top w:val="single" w:sz="4" w:space="0" w:color="auto"/>
      </w:pBdr>
      <w:jc w:val="right"/>
    </w:pPr>
    <w:r w:rsidRPr="00286C3E">
      <w:t xml:space="preserve">Page </w:t>
    </w:r>
    <w:r w:rsidRPr="00286C3E">
      <w:fldChar w:fldCharType="begin"/>
    </w:r>
    <w:r w:rsidRPr="00286C3E">
      <w:instrText xml:space="preserve"> PAGE  \* Arabic  \* MERGEFORMAT </w:instrText>
    </w:r>
    <w:r w:rsidRPr="00286C3E">
      <w:fldChar w:fldCharType="separate"/>
    </w:r>
    <w:r w:rsidR="00387802">
      <w:rPr>
        <w:noProof/>
      </w:rPr>
      <w:t>460</w:t>
    </w:r>
    <w:r w:rsidRPr="00286C3E">
      <w:fldChar w:fldCharType="end"/>
    </w:r>
  </w:p>
  <w:tbl>
    <w:tblPr>
      <w:tblW w:w="9587" w:type="dxa"/>
      <w:tblInd w:w="-227" w:type="dxa"/>
      <w:tblLayout w:type="fixed"/>
      <w:tblLook w:val="01E0" w:firstRow="1" w:lastRow="1" w:firstColumn="1" w:lastColumn="1" w:noHBand="0" w:noVBand="0"/>
    </w:tblPr>
    <w:tblGrid>
      <w:gridCol w:w="9587"/>
    </w:tblGrid>
    <w:tr w:rsidR="008D2C68" w:rsidRPr="00286C3E" w14:paraId="6C2F195A" w14:textId="77777777" w:rsidTr="00286C3E">
      <w:trPr>
        <w:trHeight w:val="630"/>
      </w:trPr>
      <w:tc>
        <w:tcPr>
          <w:tcW w:w="9587" w:type="dxa"/>
        </w:tcPr>
        <w:p w14:paraId="6C2F1959" w14:textId="2C7B2AB4" w:rsidR="008D2C68" w:rsidRPr="00286C3E" w:rsidRDefault="00872E47" w:rsidP="00441653">
          <w:pPr>
            <w:pStyle w:val="Footer"/>
            <w:ind w:firstLine="119"/>
          </w:pPr>
          <w:sdt>
            <w:sdtPr>
              <w:alias w:val="Title"/>
              <w:id w:val="-1258903566"/>
              <w:dataBinding w:prefixMappings="xmlns:ns0='http://purl.org/dc/elements/1.1/' xmlns:ns1='http://schemas.openxmlformats.org/package/2006/metadata/core-properties' " w:xpath="/ns1:coreProperties[1]/ns0:title[1]" w:storeItemID="{6C3C8BC8-F283-45AE-878A-BAB7291924A1}"/>
              <w:text/>
            </w:sdtPr>
            <w:sdtEndPr/>
            <w:sdtContent>
              <w:r w:rsidR="008D2C68">
                <w:t>Hybrid Cloud</w:t>
              </w:r>
            </w:sdtContent>
          </w:sdt>
          <w:r w:rsidR="008D2C68" w:rsidRPr="00286C3E">
            <w:t xml:space="preserve">, </w:t>
          </w:r>
          <w:sdt>
            <w:sdtPr>
              <w:alias w:val="Subject"/>
              <w:id w:val="1180634034"/>
              <w:dataBinding w:prefixMappings="xmlns:ns0='http://purl.org/dc/elements/1.1/' xmlns:ns1='http://schemas.openxmlformats.org/package/2006/metadata/core-properties' " w:xpath="/ns1:coreProperties[1]/ns0:subject[1]" w:storeItemID="{6C3C8BC8-F283-45AE-878A-BAB7291924A1}"/>
              <w:text/>
            </w:sdtPr>
            <w:sdtEndPr/>
            <w:sdtContent>
              <w:r w:rsidR="008D2C68" w:rsidRPr="00286C3E">
                <w:t>Azure Reference Architecture</w:t>
              </w:r>
            </w:sdtContent>
          </w:sdt>
          <w:r w:rsidR="008D2C68">
            <w:t>, Version 1.3</w:t>
          </w:r>
        </w:p>
      </w:tc>
    </w:tr>
  </w:tbl>
  <w:p w14:paraId="6C2F195B" w14:textId="77777777" w:rsidR="008D2C68" w:rsidRPr="00286C3E" w:rsidRDefault="008D2C68"/>
  <w:p w14:paraId="6DD50955" w14:textId="77777777" w:rsidR="008D2C68" w:rsidRPr="00286C3E" w:rsidRDefault="008D2C6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20F1A6" w14:textId="77777777" w:rsidR="008D2C68" w:rsidRDefault="008D2C68">
      <w:pPr>
        <w:spacing w:before="0" w:after="0" w:line="240" w:lineRule="auto"/>
      </w:pPr>
      <w:r>
        <w:separator/>
      </w:r>
    </w:p>
  </w:footnote>
  <w:footnote w:type="continuationSeparator" w:id="0">
    <w:p w14:paraId="560EE59E" w14:textId="77777777" w:rsidR="008D2C68" w:rsidRDefault="008D2C68">
      <w:pPr>
        <w:spacing w:before="0" w:after="0" w:line="240" w:lineRule="auto"/>
      </w:pPr>
      <w:r>
        <w:continuationSeparator/>
      </w:r>
    </w:p>
  </w:footnote>
  <w:footnote w:type="continuationNotice" w:id="1">
    <w:p w14:paraId="509D7D05" w14:textId="77777777" w:rsidR="008D2C68" w:rsidRDefault="008D2C68">
      <w:pPr>
        <w:spacing w:before="0" w:after="0" w:line="240" w:lineRule="auto"/>
      </w:pPr>
    </w:p>
  </w:footnote>
  <w:footnote w:id="2">
    <w:p w14:paraId="08DE2CED" w14:textId="77777777" w:rsidR="008D2C68" w:rsidRDefault="008D2C68" w:rsidP="009E7A06">
      <w:pPr>
        <w:pStyle w:val="FootnoteText"/>
      </w:pPr>
      <w:r>
        <w:rPr>
          <w:rStyle w:val="FootnoteReference"/>
        </w:rPr>
        <w:footnoteRef/>
      </w:r>
      <w:r>
        <w:t xml:space="preserve"> Use the </w:t>
      </w:r>
      <w:hyperlink r:id="rId1" w:history="1">
        <w:r>
          <w:rPr>
            <w:rStyle w:val="Hyperlink"/>
            <w:sz w:val="20"/>
          </w:rPr>
          <w:t>Azure Throughput Analyzer</w:t>
        </w:r>
      </w:hyperlink>
      <w:r>
        <w:t xml:space="preserve"> to measure this.</w:t>
      </w:r>
    </w:p>
  </w:footnote>
  <w:footnote w:id="3">
    <w:p w14:paraId="501AF890" w14:textId="0853561C" w:rsidR="008D2C68" w:rsidRDefault="008D2C68" w:rsidP="00293093">
      <w:pPr>
        <w:pStyle w:val="FootnoteText"/>
      </w:pPr>
      <w:r>
        <w:rPr>
          <w:rStyle w:val="FootnoteReference"/>
        </w:rPr>
        <w:footnoteRef/>
      </w:r>
      <w:r>
        <w:t xml:space="preserve"> </w:t>
      </w:r>
      <w:r w:rsidRPr="00CD3D42">
        <w:t xml:space="preserve">This feature is currently in Preview. For more information </w:t>
      </w:r>
      <w:r>
        <w:t>about</w:t>
      </w:r>
      <w:r w:rsidRPr="00CD3D42">
        <w:t xml:space="preserve"> Azure Preview features and their evaluation, please refer to the following documentation</w:t>
      </w:r>
      <w:r>
        <w:t xml:space="preserve">: </w:t>
      </w:r>
      <w:hyperlink r:id="rId2" w:history="1">
        <w:r w:rsidRPr="00A37AFF">
          <w:rPr>
            <w:rStyle w:val="Hyperlink"/>
            <w:sz w:val="20"/>
          </w:rPr>
          <w:t>Microsoft Azure Preview features</w:t>
        </w:r>
      </w:hyperlink>
      <w:r>
        <w:t>.</w:t>
      </w:r>
    </w:p>
  </w:footnote>
  <w:footnote w:id="4">
    <w:p w14:paraId="38C98B8F" w14:textId="49F2F64B" w:rsidR="008D2C68" w:rsidRDefault="008D2C68" w:rsidP="006244EE">
      <w:pPr>
        <w:pStyle w:val="FootnoteText"/>
      </w:pPr>
      <w:r>
        <w:rPr>
          <w:rStyle w:val="FootnoteReference"/>
        </w:rPr>
        <w:footnoteRef/>
      </w:r>
      <w:r>
        <w:t xml:space="preserve"> </w:t>
      </w:r>
      <w:r w:rsidRPr="00CD3D42">
        <w:t xml:space="preserve">This feature is currently in Preview. For more information </w:t>
      </w:r>
      <w:r>
        <w:t>about</w:t>
      </w:r>
      <w:r w:rsidRPr="00CD3D42">
        <w:t xml:space="preserve"> Azure Preview features and their evaluation, please refer to the following documentation</w:t>
      </w:r>
      <w:r>
        <w:t xml:space="preserve">: </w:t>
      </w:r>
      <w:hyperlink r:id="rId3" w:history="1">
        <w:r w:rsidRPr="00A37AFF">
          <w:rPr>
            <w:rStyle w:val="Hyperlink"/>
            <w:sz w:val="20"/>
          </w:rPr>
          <w:t>Microsoft Azure Preview features</w:t>
        </w:r>
      </w:hyperlink>
      <w:r>
        <w:t>.</w:t>
      </w:r>
    </w:p>
  </w:footnote>
  <w:footnote w:id="5">
    <w:p w14:paraId="4754F858" w14:textId="46BDE8A6" w:rsidR="008D2C68" w:rsidRDefault="008D2C68" w:rsidP="007E6AAF">
      <w:pPr>
        <w:pStyle w:val="FootnoteText"/>
      </w:pPr>
      <w:r>
        <w:rPr>
          <w:rStyle w:val="FootnoteReference"/>
        </w:rPr>
        <w:footnoteRef/>
      </w:r>
      <w:r>
        <w:t xml:space="preserve"> </w:t>
      </w:r>
      <w:r w:rsidRPr="00CD3D42">
        <w:t xml:space="preserve">This feature is currently in Preview. For more information </w:t>
      </w:r>
      <w:r>
        <w:t>about</w:t>
      </w:r>
      <w:r w:rsidRPr="00CD3D42">
        <w:t xml:space="preserve"> Azure Preview features and their evaluation, please refer to the following documentation</w:t>
      </w:r>
      <w:r>
        <w:t xml:space="preserve">: </w:t>
      </w:r>
      <w:hyperlink r:id="rId4" w:history="1">
        <w:r w:rsidRPr="00A37AFF">
          <w:rPr>
            <w:rStyle w:val="Hyperlink"/>
            <w:sz w:val="20"/>
          </w:rPr>
          <w:t>Microsoft Azure Preview features</w:t>
        </w:r>
      </w:hyperlink>
      <w:r>
        <w:t>.</w:t>
      </w:r>
    </w:p>
  </w:footnote>
  <w:footnote w:id="6">
    <w:p w14:paraId="3D495713" w14:textId="5FBCC478" w:rsidR="008D2C68" w:rsidRDefault="008D2C68" w:rsidP="00DD54D5">
      <w:pPr>
        <w:pStyle w:val="FootnoteText"/>
      </w:pPr>
      <w:r>
        <w:rPr>
          <w:rStyle w:val="FootnoteReference"/>
        </w:rPr>
        <w:footnoteRef/>
      </w:r>
      <w:r>
        <w:t xml:space="preserve"> </w:t>
      </w:r>
      <w:r w:rsidRPr="00DD54D5">
        <w:t xml:space="preserve">This feature is currently in Preview. For more information about Azure Preview features and their evaluation, please refer to the following documentation: </w:t>
      </w:r>
      <w:hyperlink r:id="rId5" w:history="1">
        <w:r w:rsidRPr="00DD54D5">
          <w:rPr>
            <w:rStyle w:val="Hyperlink"/>
            <w:sz w:val="20"/>
          </w:rPr>
          <w:t>Preview features: Azure Preview portal</w:t>
        </w:r>
      </w:hyperlink>
      <w:r>
        <w:t>.</w:t>
      </w:r>
    </w:p>
  </w:footnote>
  <w:footnote w:id="7">
    <w:p w14:paraId="19DE389B" w14:textId="77777777" w:rsidR="008D2C68" w:rsidRDefault="008D2C68" w:rsidP="00A4428E">
      <w:pPr>
        <w:pStyle w:val="FootnoteText"/>
      </w:pPr>
      <w:r>
        <w:rPr>
          <w:rStyle w:val="FootnoteReference"/>
        </w:rPr>
        <w:footnoteRef/>
      </w:r>
      <w:r>
        <w:t xml:space="preserve"> At this time, </w:t>
      </w:r>
      <w:r w:rsidRPr="00DA55F7">
        <w:t>File storage appear</w:t>
      </w:r>
      <w:r>
        <w:t>s</w:t>
      </w:r>
      <w:r w:rsidRPr="00DA55F7">
        <w:t xml:space="preserve"> only if the Preview feature is enabled</w:t>
      </w:r>
      <w:r>
        <w:t xml:space="preserve">. For more information about Azure Preview features and their evaluation, please refer to the following documentation: </w:t>
      </w:r>
      <w:hyperlink r:id="rId6" w:history="1">
        <w:r>
          <w:rPr>
            <w:rStyle w:val="Hyperlink"/>
            <w:sz w:val="20"/>
          </w:rPr>
          <w:t>Preview features</w:t>
        </w:r>
      </w:hyperlink>
      <w:r>
        <w:rPr>
          <w:rStyle w:val="Hyperlink"/>
          <w:sz w:val="20"/>
        </w:rPr>
        <w:t>.</w:t>
      </w:r>
    </w:p>
  </w:footnote>
  <w:footnote w:id="8">
    <w:p w14:paraId="20DFE318" w14:textId="77777777" w:rsidR="008D2C68" w:rsidRDefault="008D2C68" w:rsidP="00621420">
      <w:pPr>
        <w:pStyle w:val="FootnoteText"/>
      </w:pPr>
      <w:r>
        <w:rPr>
          <w:rStyle w:val="FootnoteReference"/>
        </w:rPr>
        <w:footnoteRef/>
      </w:r>
      <w:r>
        <w:t xml:space="preserve"> </w:t>
      </w:r>
      <w:r w:rsidRPr="00CD3D42">
        <w:t xml:space="preserve">This feature is currently in Preview. For more information </w:t>
      </w:r>
      <w:r>
        <w:t>about</w:t>
      </w:r>
      <w:r w:rsidRPr="00CD3D42">
        <w:t xml:space="preserve"> Azure Preview features and their evaluation, please refer to the following documentation: </w:t>
      </w:r>
      <w:hyperlink r:id="rId7" w:history="1">
        <w:r>
          <w:rPr>
            <w:rStyle w:val="Hyperlink"/>
            <w:sz w:val="20"/>
          </w:rPr>
          <w:t>Preview features</w:t>
        </w:r>
      </w:hyperlink>
      <w:r>
        <w:t>.</w:t>
      </w:r>
    </w:p>
  </w:footnote>
  <w:footnote w:id="9">
    <w:p w14:paraId="4200176D" w14:textId="1D5624EB" w:rsidR="008D2C68" w:rsidRDefault="008D2C68" w:rsidP="00621420">
      <w:pPr>
        <w:pStyle w:val="FootnoteText"/>
      </w:pPr>
      <w:r>
        <w:rPr>
          <w:rStyle w:val="FootnoteReference"/>
        </w:rPr>
        <w:footnoteRef/>
      </w:r>
      <w:r>
        <w:t xml:space="preserve"> Virtual Machine and Cloud Service sizes for IaaS compute instances in Azure have different capabilities when using Azure Storage as outlined in these articles: </w:t>
      </w:r>
      <w:hyperlink r:id="rId8" w:history="1">
        <w:r w:rsidRPr="00DC50BC">
          <w:rPr>
            <w:rStyle w:val="Hyperlink"/>
            <w:sz w:val="20"/>
          </w:rPr>
          <w:t>Sizes for Cloud Services</w:t>
        </w:r>
      </w:hyperlink>
      <w:r>
        <w:t xml:space="preserve"> and </w:t>
      </w:r>
      <w:hyperlink r:id="rId9" w:history="1">
        <w:r w:rsidRPr="00DC50BC">
          <w:rPr>
            <w:rStyle w:val="Hyperlink"/>
            <w:sz w:val="20"/>
          </w:rPr>
          <w:t>Sizes for virtual machines</w:t>
        </w:r>
      </w:hyperlink>
      <w:r>
        <w:t>.</w:t>
      </w:r>
    </w:p>
  </w:footnote>
  <w:footnote w:id="10">
    <w:p w14:paraId="0B96D553" w14:textId="77777777" w:rsidR="008D2C68" w:rsidRDefault="008D2C68" w:rsidP="0058004B">
      <w:pPr>
        <w:pStyle w:val="FootnoteText"/>
      </w:pPr>
      <w:r>
        <w:rPr>
          <w:rStyle w:val="FootnoteReference"/>
        </w:rPr>
        <w:footnoteRef/>
      </w:r>
      <w:r>
        <w:t xml:space="preserve"> Subscriptions are assigned default limits for each available service as described in the </w:t>
      </w:r>
      <w:hyperlink r:id="rId10" w:history="1">
        <w:r w:rsidRPr="00067A54">
          <w:rPr>
            <w:rStyle w:val="Hyperlink"/>
            <w:sz w:val="20"/>
          </w:rPr>
          <w:t>Azure Subscription and Service Limits, Quotas, and Constraints</w:t>
        </w:r>
      </w:hyperlink>
      <w:r>
        <w:t xml:space="preserve"> article. To increase the default service limits or quotas, the following guidance can be followed to submit this request: </w:t>
      </w:r>
      <w:hyperlink r:id="rId11" w:history="1">
        <w:r w:rsidRPr="00A30E7F">
          <w:rPr>
            <w:rStyle w:val="Hyperlink"/>
            <w:sz w:val="20"/>
          </w:rPr>
          <w:t>http://azure.microsoft.com/blog/2014/06/04/azure-limits-quotas-increase-requests</w:t>
        </w:r>
      </w:hyperlink>
      <w:r>
        <w:t xml:space="preserve"> </w:t>
      </w:r>
    </w:p>
  </w:footnote>
  <w:footnote w:id="11">
    <w:p w14:paraId="04289BA4" w14:textId="77777777" w:rsidR="008D2C68" w:rsidRDefault="008D2C68" w:rsidP="009728AF">
      <w:pPr>
        <w:pStyle w:val="FootnoteText"/>
      </w:pPr>
      <w:r>
        <w:rPr>
          <w:rStyle w:val="FootnoteReference"/>
        </w:rPr>
        <w:footnoteRef/>
      </w:r>
      <w:r>
        <w:t xml:space="preserve"> </w:t>
      </w:r>
      <w:r w:rsidRPr="00AE5ECF">
        <w:t xml:space="preserve">This feature is currently in Preview. For more information </w:t>
      </w:r>
      <w:r>
        <w:t>about</w:t>
      </w:r>
      <w:r w:rsidRPr="00AE5ECF">
        <w:t xml:space="preserve"> Azure Preview features and their evaluation, please refer to the following documentation: </w:t>
      </w:r>
      <w:hyperlink r:id="rId12" w:history="1">
        <w:r w:rsidRPr="00DA09B6">
          <w:rPr>
            <w:rStyle w:val="Hyperlink"/>
            <w:sz w:val="20"/>
          </w:rPr>
          <w:t>Azure Preview features</w:t>
        </w:r>
      </w:hyperlink>
      <w:r>
        <w:t>.</w:t>
      </w:r>
    </w:p>
  </w:footnote>
  <w:footnote w:id="12">
    <w:p w14:paraId="60171E15" w14:textId="274D6B39" w:rsidR="008D2C68" w:rsidRDefault="008D2C68" w:rsidP="00F97B16">
      <w:pPr>
        <w:pStyle w:val="FootnoteText"/>
      </w:pPr>
      <w:r>
        <w:rPr>
          <w:rStyle w:val="FootnoteReference"/>
        </w:rPr>
        <w:footnoteRef/>
      </w:r>
      <w:r>
        <w:t xml:space="preserve"> Internet access is allowed for standard user workstations, but it is strongly recommended to block it for Tier 2 accounts and administrative workstations.</w:t>
      </w:r>
    </w:p>
  </w:footnote>
  <w:footnote w:id="13">
    <w:p w14:paraId="71E9F892" w14:textId="370AC3A1" w:rsidR="008D2C68" w:rsidRDefault="008D2C68" w:rsidP="00F97B16">
      <w:pPr>
        <w:pStyle w:val="FootnoteText"/>
      </w:pPr>
      <w:r>
        <w:rPr>
          <w:rStyle w:val="FootnoteReference"/>
        </w:rPr>
        <w:footnoteRef/>
      </w:r>
      <w:r>
        <w:t xml:space="preserve"> EMET applies to applications on the administrative workstations, not to applications running as services.</w:t>
      </w:r>
    </w:p>
  </w:footnote>
  <w:footnote w:id="14">
    <w:p w14:paraId="37F1FD4A" w14:textId="6919D842" w:rsidR="008D2C68" w:rsidRDefault="008D2C68" w:rsidP="00F97B16">
      <w:pPr>
        <w:pStyle w:val="FootnoteText"/>
      </w:pPr>
      <w:r w:rsidRPr="007D6040">
        <w:rPr>
          <w:rStyle w:val="FootnoteReference"/>
        </w:rPr>
        <w:footnoteRef/>
      </w:r>
      <w:r w:rsidRPr="007D6040">
        <w:t xml:space="preserve"> </w:t>
      </w:r>
      <w:r w:rsidRPr="00E85E5F">
        <w:t>This applies to administrative workstations for Tier 2, but not to standard user workstations</w:t>
      </w:r>
      <w: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2F1944" w14:textId="638F0F7A" w:rsidR="008D2C68" w:rsidRDefault="008D2C68">
    <w:pPr>
      <w:pStyle w:val="Header"/>
    </w:pPr>
    <w:r>
      <w:rPr>
        <w:noProof/>
      </w:rPr>
      <w:drawing>
        <wp:inline distT="0" distB="0" distL="0" distR="0" wp14:anchorId="6C2F195E" wp14:editId="6C2F195F">
          <wp:extent cx="914400" cy="19494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194945"/>
                  </a:xfrm>
                  <a:prstGeom prst="rect">
                    <a:avLst/>
                  </a:prstGeom>
                  <a:noFill/>
                </pic:spPr>
              </pic:pic>
            </a:graphicData>
          </a:graphic>
        </wp:inline>
      </w:drawing>
    </w:r>
    <w:r>
      <w:rPr>
        <w:color w:val="85878B"/>
        <w:szCs w:val="16"/>
        <w14:textFill>
          <w14:solidFill>
            <w14:srgbClr w14:val="85878B">
              <w14:lumMod w14:val="85000"/>
              <w14:lumOff w14:val="15000"/>
            </w14:srgbClr>
          </w14:solidFill>
        </w14:textFill>
      </w:rPr>
      <w:ptab w:relativeTo="margin" w:alignment="right" w:leader="none"/>
    </w:r>
    <w:r>
      <w:rPr>
        <w:color w:val="85878B"/>
        <w:szCs w:val="16"/>
        <w14:textFill>
          <w14:solidFill>
            <w14:srgbClr w14:val="85878B">
              <w14:lumMod w14:val="85000"/>
              <w14:lumOff w14:val="15000"/>
            </w14:srgbClr>
          </w14:solidFill>
        </w14:textFill>
      </w:rPr>
      <w:t>Modern Datacenter</w:t>
    </w:r>
    <w:r>
      <w:fldChar w:fldCharType="begin"/>
    </w:r>
    <w:r>
      <w:instrText xml:space="preserve"> DOCPROPERTY  Customer </w:instrText>
    </w:r>
    <w:r>
      <w:fldChar w:fldCharType="end"/>
    </w:r>
  </w:p>
  <w:p w14:paraId="6C2F1945" w14:textId="77777777" w:rsidR="008D2C68" w:rsidRDefault="008D2C6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2F194C" w14:textId="05ACBAD7" w:rsidR="008D2C68" w:rsidRDefault="008D2C68">
    <w:pPr>
      <w:pStyle w:val="Header"/>
    </w:pPr>
    <w:r>
      <w:rPr>
        <w:noProof/>
      </w:rPr>
      <w:drawing>
        <wp:inline distT="0" distB="0" distL="0" distR="0" wp14:anchorId="6C2F1960" wp14:editId="6C2F1961">
          <wp:extent cx="914400" cy="19494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194945"/>
                  </a:xfrm>
                  <a:prstGeom prst="rect">
                    <a:avLst/>
                  </a:prstGeom>
                  <a:noFill/>
                </pic:spPr>
              </pic:pic>
            </a:graphicData>
          </a:graphic>
        </wp:inline>
      </w:drawing>
    </w:r>
    <w:r>
      <w:rPr>
        <w:color w:val="85878B"/>
        <w:szCs w:val="16"/>
        <w14:textFill>
          <w14:solidFill>
            <w14:srgbClr w14:val="85878B">
              <w14:lumMod w14:val="85000"/>
              <w14:lumOff w14:val="15000"/>
            </w14:srgbClr>
          </w14:solidFill>
        </w14:textFill>
      </w:rPr>
      <w:ptab w:relativeTo="margin" w:alignment="right" w:leader="none"/>
    </w:r>
    <w:r>
      <w:t>Azure Reference Archietcture</w:t>
    </w:r>
  </w:p>
  <w:p w14:paraId="6C2F194D" w14:textId="77777777" w:rsidR="008D2C68" w:rsidRDefault="008D2C68">
    <w:pPr>
      <w:pStyle w:val="Header"/>
    </w:pPr>
  </w:p>
  <w:p w14:paraId="6C2F194E" w14:textId="77777777" w:rsidR="008D2C68" w:rsidRDefault="008D2C6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5E37EF"/>
    <w:multiLevelType w:val="hybridMultilevel"/>
    <w:tmpl w:val="18D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B30E5F"/>
    <w:multiLevelType w:val="hybridMultilevel"/>
    <w:tmpl w:val="2D3CCD24"/>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53B23"/>
    <w:multiLevelType w:val="hybridMultilevel"/>
    <w:tmpl w:val="DE2E2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D75FC2"/>
    <w:multiLevelType w:val="multilevel"/>
    <w:tmpl w:val="ACD04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1717C21"/>
    <w:multiLevelType w:val="hybridMultilevel"/>
    <w:tmpl w:val="C8366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B122B3"/>
    <w:multiLevelType w:val="hybridMultilevel"/>
    <w:tmpl w:val="BD40D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FF44B9"/>
    <w:multiLevelType w:val="hybridMultilevel"/>
    <w:tmpl w:val="3B463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21D3BFA"/>
    <w:multiLevelType w:val="hybridMultilevel"/>
    <w:tmpl w:val="3EE2F4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2965E51"/>
    <w:multiLevelType w:val="hybridMultilevel"/>
    <w:tmpl w:val="36DAD9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2AD4C38"/>
    <w:multiLevelType w:val="hybridMultilevel"/>
    <w:tmpl w:val="98C66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D97159"/>
    <w:multiLevelType w:val="hybridMultilevel"/>
    <w:tmpl w:val="472AAD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FB7605"/>
    <w:multiLevelType w:val="hybridMultilevel"/>
    <w:tmpl w:val="E5046C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458584D"/>
    <w:multiLevelType w:val="hybridMultilevel"/>
    <w:tmpl w:val="92B48E0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05041547"/>
    <w:multiLevelType w:val="hybridMultilevel"/>
    <w:tmpl w:val="07A0D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954ED3"/>
    <w:multiLevelType w:val="hybridMultilevel"/>
    <w:tmpl w:val="65F00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E23E17"/>
    <w:multiLevelType w:val="hybridMultilevel"/>
    <w:tmpl w:val="7C10E3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97612C8"/>
    <w:multiLevelType w:val="hybridMultilevel"/>
    <w:tmpl w:val="8C007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A536DE"/>
    <w:multiLevelType w:val="hybridMultilevel"/>
    <w:tmpl w:val="287C8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A272E6F"/>
    <w:multiLevelType w:val="hybridMultilevel"/>
    <w:tmpl w:val="207EDF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324E74"/>
    <w:multiLevelType w:val="hybridMultilevel"/>
    <w:tmpl w:val="DD1AA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A3D7247"/>
    <w:multiLevelType w:val="hybridMultilevel"/>
    <w:tmpl w:val="D22C6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A4D6DF6"/>
    <w:multiLevelType w:val="hybridMultilevel"/>
    <w:tmpl w:val="68120D6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0A6C0DEB"/>
    <w:multiLevelType w:val="hybridMultilevel"/>
    <w:tmpl w:val="33326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A7A2D94"/>
    <w:multiLevelType w:val="multilevel"/>
    <w:tmpl w:val="AA76FDA4"/>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bullet"/>
      <w:lvlText w:val="o"/>
      <w:lvlJc w:val="left"/>
      <w:pPr>
        <w:tabs>
          <w:tab w:val="num" w:pos="1247"/>
        </w:tabs>
        <w:ind w:left="1247" w:hanging="340"/>
      </w:pPr>
      <w:rPr>
        <w:rFonts w:ascii="Courier New" w:hAnsi="Courier New" w:cs="Courier New"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24" w15:restartNumberingAfterBreak="0">
    <w:nsid w:val="0C55514D"/>
    <w:multiLevelType w:val="multilevel"/>
    <w:tmpl w:val="CDD86BCA"/>
    <w:lvl w:ilvl="0">
      <w:start w:val="1"/>
      <w:numFmt w:val="decimal"/>
      <w:lvlText w:val="%1."/>
      <w:lvlJc w:val="left"/>
      <w:pPr>
        <w:tabs>
          <w:tab w:val="num" w:pos="720"/>
        </w:tabs>
        <w:ind w:left="720" w:hanging="360"/>
      </w:pPr>
      <w:rPr>
        <w:rFonts w:ascii="Segoe" w:eastAsia="Segoe" w:hAnsi="Segoe" w:cs="Segoe" w:hint="default"/>
        <w:sz w:val="20"/>
        <w:szCs w:val="20"/>
      </w:rPr>
    </w:lvl>
    <w:lvl w:ilvl="1">
      <w:start w:val="1"/>
      <w:numFmt w:val="lowerLetter"/>
      <w:lvlText w:val="%2."/>
      <w:lvlJc w:val="left"/>
      <w:pPr>
        <w:tabs>
          <w:tab w:val="num" w:pos="1440"/>
        </w:tabs>
        <w:ind w:left="1440" w:hanging="360"/>
      </w:pPr>
      <w:rPr>
        <w:rFonts w:hint="default"/>
        <w:sz w:val="20"/>
        <w:szCs w:val="20"/>
      </w:rPr>
    </w:lvl>
    <w:lvl w:ilvl="2">
      <w:start w:val="1"/>
      <w:numFmt w:val="lowerRoman"/>
      <w:lvlText w:val="%3."/>
      <w:lvlJc w:val="left"/>
      <w:pPr>
        <w:tabs>
          <w:tab w:val="num" w:pos="2160"/>
        </w:tabs>
        <w:ind w:left="2160" w:hanging="360"/>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25" w15:restartNumberingAfterBreak="0">
    <w:nsid w:val="0C5F4492"/>
    <w:multiLevelType w:val="multilevel"/>
    <w:tmpl w:val="D3AE6F58"/>
    <w:lvl w:ilvl="0">
      <w:start w:val="1"/>
      <w:numFmt w:val="bullet"/>
      <w:lvlText w:val=""/>
      <w:lvlJc w:val="left"/>
      <w:pPr>
        <w:tabs>
          <w:tab w:val="num" w:pos="720"/>
        </w:tabs>
        <w:ind w:left="720" w:hanging="360"/>
      </w:pPr>
      <w:rPr>
        <w:rFonts w:ascii="Symbol" w:hAnsi="Symbol" w:hint="default"/>
        <w:sz w:val="20"/>
        <w:szCs w:val="20"/>
      </w:rPr>
    </w:lvl>
    <w:lvl w:ilvl="1">
      <w:start w:val="1"/>
      <w:numFmt w:val="lowerLetter"/>
      <w:lvlText w:val="%2."/>
      <w:lvlJc w:val="left"/>
      <w:pPr>
        <w:tabs>
          <w:tab w:val="num" w:pos="1440"/>
        </w:tabs>
        <w:ind w:left="1440" w:hanging="360"/>
      </w:pPr>
      <w:rPr>
        <w:rFonts w:hint="default"/>
        <w:sz w:val="20"/>
        <w:szCs w:val="20"/>
      </w:rPr>
    </w:lvl>
    <w:lvl w:ilvl="2">
      <w:start w:val="1"/>
      <w:numFmt w:val="lowerRoman"/>
      <w:lvlText w:val="%3."/>
      <w:lvlJc w:val="left"/>
      <w:pPr>
        <w:tabs>
          <w:tab w:val="num" w:pos="2160"/>
        </w:tabs>
        <w:ind w:left="2160" w:hanging="360"/>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26" w15:restartNumberingAfterBreak="0">
    <w:nsid w:val="0D3C5C8F"/>
    <w:multiLevelType w:val="multilevel"/>
    <w:tmpl w:val="E9FADFDE"/>
    <w:lvl w:ilvl="0">
      <w:start w:val="1"/>
      <w:numFmt w:val="decimal"/>
      <w:lvlRestart w:val="0"/>
      <w:lvlText w:val="%1"/>
      <w:lvlJc w:val="left"/>
      <w:pPr>
        <w:ind w:left="936" w:hanging="936"/>
      </w:pPr>
      <w:rPr>
        <w:rFonts w:hint="default"/>
      </w:rPr>
    </w:lvl>
    <w:lvl w:ilvl="1">
      <w:start w:val="1"/>
      <w:numFmt w:val="decimal"/>
      <w:lvlText w:val="%1.%2"/>
      <w:lvlJc w:val="left"/>
      <w:pPr>
        <w:ind w:left="936" w:hanging="936"/>
      </w:pPr>
      <w:rPr>
        <w:rFonts w:hint="default"/>
      </w:rPr>
    </w:lvl>
    <w:lvl w:ilvl="2">
      <w:start w:val="1"/>
      <w:numFmt w:val="decimal"/>
      <w:lvlText w:val="%1.%2.%3"/>
      <w:lvlJc w:val="left"/>
      <w:pPr>
        <w:ind w:left="936" w:hanging="936"/>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Style2"/>
      <w:lvlText w:val="%1.%2.%3.%4"/>
      <w:lvlJc w:val="left"/>
      <w:pPr>
        <w:ind w:left="936" w:hanging="936"/>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none"/>
      <w:lvlText w:val=""/>
      <w:lvlJc w:val="left"/>
      <w:pPr>
        <w:ind w:left="1224" w:hanging="1224"/>
      </w:pPr>
      <w:rPr>
        <w:rFonts w:hint="default"/>
      </w:rPr>
    </w:lvl>
    <w:lvl w:ilvl="5">
      <w:start w:val="1"/>
      <w:numFmt w:val="decimal"/>
      <w:lvlRestart w:val="2"/>
      <w:lvlText w:val="%1.%2.%6"/>
      <w:lvlJc w:val="left"/>
      <w:pPr>
        <w:tabs>
          <w:tab w:val="num" w:pos="4680"/>
        </w:tabs>
        <w:ind w:left="2736" w:hanging="93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7" w15:restartNumberingAfterBreak="0">
    <w:nsid w:val="0D470351"/>
    <w:multiLevelType w:val="multilevel"/>
    <w:tmpl w:val="BEC2C506"/>
    <w:lvl w:ilvl="0">
      <w:start w:val="1"/>
      <w:numFmt w:val="bullet"/>
      <w:lvlText w:val=""/>
      <w:lvlJc w:val="left"/>
      <w:pPr>
        <w:tabs>
          <w:tab w:val="num" w:pos="907"/>
        </w:tabs>
        <w:ind w:left="907" w:hanging="340"/>
      </w:pPr>
      <w:rPr>
        <w:rFonts w:ascii="Symbol" w:hAnsi="Symbol" w:hint="default"/>
        <w:sz w:val="20"/>
        <w:szCs w:val="20"/>
      </w:rPr>
    </w:lvl>
    <w:lvl w:ilvl="1">
      <w:start w:val="1"/>
      <w:numFmt w:val="bullet"/>
      <w:lvlText w:val=""/>
      <w:lvlJc w:val="left"/>
      <w:pPr>
        <w:tabs>
          <w:tab w:val="num" w:pos="1247"/>
        </w:tabs>
        <w:ind w:left="1247" w:hanging="340"/>
      </w:pPr>
      <w:rPr>
        <w:rFonts w:ascii="Symbol" w:hAnsi="Symbol"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28" w15:restartNumberingAfterBreak="0">
    <w:nsid w:val="0D551A8E"/>
    <w:multiLevelType w:val="hybridMultilevel"/>
    <w:tmpl w:val="F0A45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0E7D72DE"/>
    <w:multiLevelType w:val="multilevel"/>
    <w:tmpl w:val="9228A626"/>
    <w:lvl w:ilvl="0">
      <w:start w:val="1"/>
      <w:numFmt w:val="bullet"/>
      <w:pStyle w:val="CheckList"/>
      <w:lvlText w:val=""/>
      <w:lvlJc w:val="left"/>
      <w:pPr>
        <w:tabs>
          <w:tab w:val="num" w:pos="720"/>
        </w:tabs>
        <w:ind w:left="720" w:hanging="360"/>
      </w:pPr>
      <w:rPr>
        <w:rFonts w:ascii="Wingdings" w:hAnsi="Wingdings" w:hint="default"/>
        <w:color w:val="5B9BD5" w:themeColor="accent1"/>
        <w:position w:val="-6"/>
        <w:sz w:val="24"/>
        <w:szCs w:val="28"/>
      </w:rPr>
    </w:lvl>
    <w:lvl w:ilvl="1">
      <w:start w:val="1"/>
      <w:numFmt w:val="bullet"/>
      <w:lvlText w:val=""/>
      <w:lvlJc w:val="left"/>
      <w:pPr>
        <w:tabs>
          <w:tab w:val="num" w:pos="720"/>
        </w:tabs>
        <w:ind w:left="720" w:hanging="360"/>
      </w:pPr>
      <w:rPr>
        <w:rFonts w:ascii="Wingdings" w:hAnsi="Wingdings" w:cs="Times New Roman" w:hint="default"/>
        <w:color w:val="5B9BD5" w:themeColor="accent1"/>
        <w:position w:val="-6"/>
        <w:sz w:val="36"/>
        <w:szCs w:val="28"/>
      </w:rPr>
    </w:lvl>
    <w:lvl w:ilvl="2">
      <w:start w:val="1"/>
      <w:numFmt w:val="bullet"/>
      <w:lvlText w:val=""/>
      <w:lvlJc w:val="left"/>
      <w:pPr>
        <w:tabs>
          <w:tab w:val="num" w:pos="1080"/>
        </w:tabs>
        <w:ind w:left="1080" w:hanging="360"/>
      </w:pPr>
      <w:rPr>
        <w:rFonts w:ascii="Wingdings" w:hAnsi="Wingdings" w:cs="Times New Roman" w:hint="default"/>
        <w:color w:val="5B9BD5" w:themeColor="accent1"/>
        <w:position w:val="-6"/>
        <w:sz w:val="36"/>
        <w:szCs w:val="28"/>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15:restartNumberingAfterBreak="0">
    <w:nsid w:val="0E905D66"/>
    <w:multiLevelType w:val="hybridMultilevel"/>
    <w:tmpl w:val="C5EC7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EBA1CC6"/>
    <w:multiLevelType w:val="hybridMultilevel"/>
    <w:tmpl w:val="2E1098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F51472B"/>
    <w:multiLevelType w:val="hybridMultilevel"/>
    <w:tmpl w:val="18C0E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F9E4C30"/>
    <w:multiLevelType w:val="hybridMultilevel"/>
    <w:tmpl w:val="2ED2B0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10F70BF9"/>
    <w:multiLevelType w:val="hybridMultilevel"/>
    <w:tmpl w:val="E3F83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14007D5"/>
    <w:multiLevelType w:val="hybridMultilevel"/>
    <w:tmpl w:val="584A7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1436F40"/>
    <w:multiLevelType w:val="hybridMultilevel"/>
    <w:tmpl w:val="8C9A8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15F0C72"/>
    <w:multiLevelType w:val="hybridMultilevel"/>
    <w:tmpl w:val="5F14200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1720294"/>
    <w:multiLevelType w:val="hybridMultilevel"/>
    <w:tmpl w:val="246A3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1DF49F7"/>
    <w:multiLevelType w:val="hybridMultilevel"/>
    <w:tmpl w:val="8F6471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123C3D50"/>
    <w:multiLevelType w:val="multilevel"/>
    <w:tmpl w:val="ECAC0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2613E36"/>
    <w:multiLevelType w:val="hybridMultilevel"/>
    <w:tmpl w:val="EA80C8D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2BB4634"/>
    <w:multiLevelType w:val="hybridMultilevel"/>
    <w:tmpl w:val="EF80C1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2EF7BA7"/>
    <w:multiLevelType w:val="hybridMultilevel"/>
    <w:tmpl w:val="2432E8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3293534"/>
    <w:multiLevelType w:val="hybridMultilevel"/>
    <w:tmpl w:val="ACE0A0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3460842"/>
    <w:multiLevelType w:val="hybridMultilevel"/>
    <w:tmpl w:val="1C204684"/>
    <w:styleLink w:val="Checklist0"/>
    <w:lvl w:ilvl="0" w:tplc="CB38B744">
      <w:start w:val="1"/>
      <w:numFmt w:val="bullet"/>
      <w:pStyle w:val="Bullet1"/>
      <w:lvlText w:val=""/>
      <w:lvlJc w:val="left"/>
      <w:pPr>
        <w:ind w:left="792" w:hanging="360"/>
      </w:pPr>
      <w:rPr>
        <w:rFonts w:ascii="Symbol" w:hAnsi="Symbol" w:hint="default"/>
        <w:color w:val="008AC8"/>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6" w15:restartNumberingAfterBreak="0">
    <w:nsid w:val="13903CC8"/>
    <w:multiLevelType w:val="hybridMultilevel"/>
    <w:tmpl w:val="275EAFA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15:restartNumberingAfterBreak="0">
    <w:nsid w:val="13D2045C"/>
    <w:multiLevelType w:val="hybridMultilevel"/>
    <w:tmpl w:val="D8D04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3F2502D"/>
    <w:multiLevelType w:val="hybridMultilevel"/>
    <w:tmpl w:val="09B6C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48C7672"/>
    <w:multiLevelType w:val="hybridMultilevel"/>
    <w:tmpl w:val="7630B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4F247AC"/>
    <w:multiLevelType w:val="hybridMultilevel"/>
    <w:tmpl w:val="A1A0FD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5005449"/>
    <w:multiLevelType w:val="hybridMultilevel"/>
    <w:tmpl w:val="61A2ED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599336D"/>
    <w:multiLevelType w:val="hybridMultilevel"/>
    <w:tmpl w:val="12A219F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15:restartNumberingAfterBreak="0">
    <w:nsid w:val="15AB7491"/>
    <w:multiLevelType w:val="hybridMultilevel"/>
    <w:tmpl w:val="651C76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66B4C43"/>
    <w:multiLevelType w:val="multilevel"/>
    <w:tmpl w:val="B1C0B846"/>
    <w:styleLink w:val="NumberedList"/>
    <w:lvl w:ilvl="0">
      <w:start w:val="1"/>
      <w:numFmt w:val="bullet"/>
      <w:lvlText w:val=""/>
      <w:lvlJc w:val="left"/>
      <w:pPr>
        <w:tabs>
          <w:tab w:val="num" w:pos="720"/>
        </w:tabs>
        <w:ind w:left="717" w:hanging="360"/>
      </w:pPr>
      <w:rPr>
        <w:rFonts w:ascii="Symbol" w:hAnsi="Symbol" w:hint="default"/>
        <w:color w:val="008AC8"/>
        <w:sz w:val="24"/>
        <w:szCs w:val="20"/>
      </w:rPr>
    </w:lvl>
    <w:lvl w:ilvl="1">
      <w:start w:val="1"/>
      <w:numFmt w:val="bullet"/>
      <w:lvlText w:val="o"/>
      <w:lvlJc w:val="left"/>
      <w:pPr>
        <w:tabs>
          <w:tab w:val="num" w:pos="1440"/>
        </w:tabs>
        <w:ind w:left="1440" w:hanging="360"/>
      </w:pPr>
      <w:rPr>
        <w:rFonts w:ascii="Segoe UI" w:hAnsi="Segoe UI" w:cs="Times New Roman" w:hint="default"/>
        <w:b w:val="0"/>
        <w:bCs w:val="0"/>
        <w:i w:val="0"/>
        <w:iCs w:val="0"/>
        <w:color w:val="5B9BD5" w:themeColor="accent1"/>
        <w:sz w:val="20"/>
        <w:szCs w:val="20"/>
      </w:rPr>
    </w:lvl>
    <w:lvl w:ilvl="2">
      <w:start w:val="1"/>
      <w:numFmt w:val="bullet"/>
      <w:lvlText w:val=""/>
      <w:lvlJc w:val="left"/>
      <w:pPr>
        <w:tabs>
          <w:tab w:val="num" w:pos="2160"/>
        </w:tabs>
        <w:ind w:left="2160" w:hanging="360"/>
      </w:pPr>
      <w:rPr>
        <w:rFonts w:ascii="Wingdings" w:hAnsi="Wingdings" w:hint="default"/>
        <w:color w:val="5B9BD5" w:themeColor="accent1"/>
        <w:sz w:val="20"/>
        <w:szCs w:val="20"/>
      </w:rPr>
    </w:lvl>
    <w:lvl w:ilvl="3">
      <w:start w:val="1"/>
      <w:numFmt w:val="bullet"/>
      <w:lvlText w:val=""/>
      <w:lvlJc w:val="left"/>
      <w:pPr>
        <w:tabs>
          <w:tab w:val="num" w:pos="2335"/>
        </w:tabs>
        <w:ind w:left="1785" w:hanging="357"/>
      </w:pPr>
      <w:rPr>
        <w:rFonts w:ascii="Symbol" w:hAnsi="Symbol" w:cs="Times New Roman" w:hint="default"/>
        <w:b w:val="0"/>
        <w:bCs w:val="0"/>
        <w:i w:val="0"/>
        <w:iCs w:val="0"/>
        <w:color w:val="5B9BD5" w:themeColor="accent1"/>
        <w:sz w:val="16"/>
        <w:szCs w:val="20"/>
      </w:rPr>
    </w:lvl>
    <w:lvl w:ilvl="4">
      <w:start w:val="1"/>
      <w:numFmt w:val="lowerLetter"/>
      <w:lvlText w:val="(%5)"/>
      <w:lvlJc w:val="left"/>
      <w:pPr>
        <w:tabs>
          <w:tab w:val="num" w:pos="2692"/>
        </w:tabs>
        <w:ind w:left="2142" w:hanging="357"/>
      </w:pPr>
    </w:lvl>
    <w:lvl w:ilvl="5">
      <w:start w:val="1"/>
      <w:numFmt w:val="lowerRoman"/>
      <w:lvlText w:val="(%6)"/>
      <w:lvlJc w:val="left"/>
      <w:pPr>
        <w:tabs>
          <w:tab w:val="num" w:pos="3049"/>
        </w:tabs>
        <w:ind w:left="2499" w:hanging="357"/>
      </w:pPr>
    </w:lvl>
    <w:lvl w:ilvl="6">
      <w:start w:val="1"/>
      <w:numFmt w:val="decimal"/>
      <w:lvlText w:val="%7."/>
      <w:lvlJc w:val="left"/>
      <w:pPr>
        <w:tabs>
          <w:tab w:val="num" w:pos="3406"/>
        </w:tabs>
        <w:ind w:left="2856" w:hanging="357"/>
      </w:pPr>
    </w:lvl>
    <w:lvl w:ilvl="7">
      <w:start w:val="1"/>
      <w:numFmt w:val="lowerLetter"/>
      <w:lvlText w:val="%8."/>
      <w:lvlJc w:val="left"/>
      <w:pPr>
        <w:tabs>
          <w:tab w:val="num" w:pos="3763"/>
        </w:tabs>
        <w:ind w:left="3213" w:hanging="357"/>
      </w:pPr>
    </w:lvl>
    <w:lvl w:ilvl="8">
      <w:start w:val="1"/>
      <w:numFmt w:val="lowerRoman"/>
      <w:lvlText w:val="%9."/>
      <w:lvlJc w:val="left"/>
      <w:pPr>
        <w:tabs>
          <w:tab w:val="num" w:pos="4120"/>
        </w:tabs>
        <w:ind w:left="3570" w:hanging="357"/>
      </w:pPr>
    </w:lvl>
  </w:abstractNum>
  <w:abstractNum w:abstractNumId="55" w15:restartNumberingAfterBreak="0">
    <w:nsid w:val="169F7993"/>
    <w:multiLevelType w:val="hybridMultilevel"/>
    <w:tmpl w:val="D7E4C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6E92A89"/>
    <w:multiLevelType w:val="hybridMultilevel"/>
    <w:tmpl w:val="0D7CD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7B231D0"/>
    <w:multiLevelType w:val="hybridMultilevel"/>
    <w:tmpl w:val="86CEFB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7E1447C"/>
    <w:multiLevelType w:val="multilevel"/>
    <w:tmpl w:val="D8D29E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184B2E4B"/>
    <w:multiLevelType w:val="hybridMultilevel"/>
    <w:tmpl w:val="4CD638F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15:restartNumberingAfterBreak="0">
    <w:nsid w:val="18C91B69"/>
    <w:multiLevelType w:val="hybridMultilevel"/>
    <w:tmpl w:val="7542F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195513A9"/>
    <w:multiLevelType w:val="hybridMultilevel"/>
    <w:tmpl w:val="03649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A0D284C"/>
    <w:multiLevelType w:val="hybridMultilevel"/>
    <w:tmpl w:val="59B4D4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1A3F0E36"/>
    <w:multiLevelType w:val="hybridMultilevel"/>
    <w:tmpl w:val="A4EC8B9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1A753E84"/>
    <w:multiLevelType w:val="hybridMultilevel"/>
    <w:tmpl w:val="0388D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BD14FEC"/>
    <w:multiLevelType w:val="hybridMultilevel"/>
    <w:tmpl w:val="A232C7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C4A7259"/>
    <w:multiLevelType w:val="hybridMultilevel"/>
    <w:tmpl w:val="00E6CB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7" w15:restartNumberingAfterBreak="0">
    <w:nsid w:val="1D517522"/>
    <w:multiLevelType w:val="hybridMultilevel"/>
    <w:tmpl w:val="48E6EC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D70198F"/>
    <w:multiLevelType w:val="hybridMultilevel"/>
    <w:tmpl w:val="5D0E68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D8E032E"/>
    <w:multiLevelType w:val="hybridMultilevel"/>
    <w:tmpl w:val="5DF265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0" w15:restartNumberingAfterBreak="0">
    <w:nsid w:val="1E0D0BDA"/>
    <w:multiLevelType w:val="hybridMultilevel"/>
    <w:tmpl w:val="9E186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1E57291D"/>
    <w:multiLevelType w:val="hybridMultilevel"/>
    <w:tmpl w:val="01EAE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ED04F50"/>
    <w:multiLevelType w:val="hybridMultilevel"/>
    <w:tmpl w:val="EE748EA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3" w15:restartNumberingAfterBreak="0">
    <w:nsid w:val="1EEA35BF"/>
    <w:multiLevelType w:val="hybridMultilevel"/>
    <w:tmpl w:val="52F6281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4" w15:restartNumberingAfterBreak="0">
    <w:nsid w:val="1F8B5291"/>
    <w:multiLevelType w:val="hybridMultilevel"/>
    <w:tmpl w:val="77F0BD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20301B39"/>
    <w:multiLevelType w:val="hybridMultilevel"/>
    <w:tmpl w:val="167E5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0534F77"/>
    <w:multiLevelType w:val="hybridMultilevel"/>
    <w:tmpl w:val="885E1B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20C90254"/>
    <w:multiLevelType w:val="hybridMultilevel"/>
    <w:tmpl w:val="F550B6AA"/>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1C35F68"/>
    <w:multiLevelType w:val="hybridMultilevel"/>
    <w:tmpl w:val="B7CCA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24D130B"/>
    <w:multiLevelType w:val="hybridMultilevel"/>
    <w:tmpl w:val="860C0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2C77375"/>
    <w:multiLevelType w:val="hybridMultilevel"/>
    <w:tmpl w:val="B800591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23275A4B"/>
    <w:multiLevelType w:val="hybridMultilevel"/>
    <w:tmpl w:val="86001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3A93BBD"/>
    <w:multiLevelType w:val="hybridMultilevel"/>
    <w:tmpl w:val="0C161E0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23B225D2"/>
    <w:multiLevelType w:val="hybridMultilevel"/>
    <w:tmpl w:val="40B255AC"/>
    <w:lvl w:ilvl="0" w:tplc="26F264F2">
      <w:start w:val="1"/>
      <w:numFmt w:val="decimal"/>
      <w:lvlText w:val="%1."/>
      <w:lvlJc w:val="left"/>
      <w:pPr>
        <w:ind w:left="720" w:hanging="360"/>
      </w:pPr>
    </w:lvl>
    <w:lvl w:ilvl="1" w:tplc="F3AEE8E8">
      <w:start w:val="1"/>
      <w:numFmt w:val="lowerLetter"/>
      <w:lvlText w:val="%2."/>
      <w:lvlJc w:val="left"/>
      <w:pPr>
        <w:ind w:left="1440" w:hanging="360"/>
      </w:pPr>
    </w:lvl>
    <w:lvl w:ilvl="2" w:tplc="8CE8083C">
      <w:start w:val="1"/>
      <w:numFmt w:val="lowerRoman"/>
      <w:lvlText w:val="%3."/>
      <w:lvlJc w:val="right"/>
      <w:pPr>
        <w:ind w:left="2160" w:hanging="180"/>
      </w:pPr>
    </w:lvl>
    <w:lvl w:ilvl="3" w:tplc="2CF41B32">
      <w:start w:val="1"/>
      <w:numFmt w:val="decimal"/>
      <w:lvlText w:val="%4."/>
      <w:lvlJc w:val="left"/>
      <w:pPr>
        <w:ind w:left="2880" w:hanging="360"/>
      </w:pPr>
    </w:lvl>
    <w:lvl w:ilvl="4" w:tplc="C852A1E6">
      <w:start w:val="1"/>
      <w:numFmt w:val="lowerLetter"/>
      <w:lvlText w:val="%5."/>
      <w:lvlJc w:val="left"/>
      <w:pPr>
        <w:ind w:left="3600" w:hanging="360"/>
      </w:pPr>
    </w:lvl>
    <w:lvl w:ilvl="5" w:tplc="5E1A6E8E">
      <w:start w:val="1"/>
      <w:numFmt w:val="lowerRoman"/>
      <w:lvlText w:val="%6."/>
      <w:lvlJc w:val="right"/>
      <w:pPr>
        <w:ind w:left="4320" w:hanging="180"/>
      </w:pPr>
    </w:lvl>
    <w:lvl w:ilvl="6" w:tplc="9D960356">
      <w:start w:val="1"/>
      <w:numFmt w:val="decimal"/>
      <w:lvlText w:val="%7."/>
      <w:lvlJc w:val="left"/>
      <w:pPr>
        <w:ind w:left="5040" w:hanging="360"/>
      </w:pPr>
    </w:lvl>
    <w:lvl w:ilvl="7" w:tplc="6EF2BF64">
      <w:start w:val="1"/>
      <w:numFmt w:val="lowerLetter"/>
      <w:lvlText w:val="%8."/>
      <w:lvlJc w:val="left"/>
      <w:pPr>
        <w:ind w:left="5760" w:hanging="360"/>
      </w:pPr>
    </w:lvl>
    <w:lvl w:ilvl="8" w:tplc="0C7AE6DE">
      <w:start w:val="1"/>
      <w:numFmt w:val="lowerRoman"/>
      <w:lvlText w:val="%9."/>
      <w:lvlJc w:val="right"/>
      <w:pPr>
        <w:ind w:left="6480" w:hanging="180"/>
      </w:pPr>
    </w:lvl>
  </w:abstractNum>
  <w:abstractNum w:abstractNumId="84" w15:restartNumberingAfterBreak="0">
    <w:nsid w:val="23B87FAB"/>
    <w:multiLevelType w:val="multilevel"/>
    <w:tmpl w:val="815E809A"/>
    <w:lvl w:ilvl="0">
      <w:start w:val="1"/>
      <w:numFmt w:val="bullet"/>
      <w:lvlText w:val=""/>
      <w:lvlJc w:val="left"/>
      <w:pPr>
        <w:ind w:left="717" w:hanging="360"/>
      </w:pPr>
      <w:rPr>
        <w:rFonts w:ascii="Symbol" w:hAnsi="Symbol" w:hint="default"/>
        <w:color w:val="008AC8"/>
        <w:sz w:val="24"/>
        <w:szCs w:val="20"/>
      </w:rPr>
    </w:lvl>
    <w:lvl w:ilvl="1">
      <w:start w:val="1"/>
      <w:numFmt w:val="bullet"/>
      <w:lvlText w:val=""/>
      <w:lvlJc w:val="left"/>
      <w:pPr>
        <w:tabs>
          <w:tab w:val="num" w:pos="1621"/>
        </w:tabs>
        <w:ind w:left="1071" w:hanging="357"/>
      </w:pPr>
      <w:rPr>
        <w:rFonts w:ascii="Symbol" w:hAnsi="Symbol" w:cs="Times New Roman" w:hint="default"/>
        <w:b w:val="0"/>
        <w:bCs w:val="0"/>
        <w:i w:val="0"/>
        <w:iCs w:val="0"/>
        <w:color w:val="5B9BD5" w:themeColor="accent1"/>
        <w:sz w:val="24"/>
        <w:szCs w:val="20"/>
      </w:rPr>
    </w:lvl>
    <w:lvl w:ilvl="2">
      <w:start w:val="1"/>
      <w:numFmt w:val="bullet"/>
      <w:lvlText w:val=""/>
      <w:lvlJc w:val="left"/>
      <w:pPr>
        <w:tabs>
          <w:tab w:val="num" w:pos="1978"/>
        </w:tabs>
        <w:ind w:left="1428" w:hanging="357"/>
      </w:pPr>
      <w:rPr>
        <w:rFonts w:ascii="Symbol" w:hAnsi="Symbol" w:cs="Times New Roman" w:hint="default"/>
        <w:color w:val="5B9BD5" w:themeColor="accent1"/>
        <w:sz w:val="20"/>
        <w:szCs w:val="20"/>
      </w:rPr>
    </w:lvl>
    <w:lvl w:ilvl="3">
      <w:start w:val="1"/>
      <w:numFmt w:val="bullet"/>
      <w:lvlText w:val=""/>
      <w:lvlJc w:val="left"/>
      <w:pPr>
        <w:tabs>
          <w:tab w:val="num" w:pos="2335"/>
        </w:tabs>
        <w:ind w:left="1785" w:hanging="357"/>
      </w:pPr>
      <w:rPr>
        <w:rFonts w:ascii="Symbol" w:hAnsi="Symbol" w:cs="Times New Roman" w:hint="default"/>
        <w:b w:val="0"/>
        <w:bCs w:val="0"/>
        <w:i w:val="0"/>
        <w:iCs w:val="0"/>
        <w:color w:val="5B9BD5" w:themeColor="accent1"/>
        <w:sz w:val="16"/>
        <w:szCs w:val="20"/>
      </w:rPr>
    </w:lvl>
    <w:lvl w:ilvl="4">
      <w:start w:val="1"/>
      <w:numFmt w:val="lowerLetter"/>
      <w:lvlText w:val="(%5)"/>
      <w:lvlJc w:val="left"/>
      <w:pPr>
        <w:tabs>
          <w:tab w:val="num" w:pos="2692"/>
        </w:tabs>
        <w:ind w:left="2142" w:hanging="357"/>
      </w:pPr>
      <w:rPr>
        <w:rFonts w:hint="default"/>
      </w:rPr>
    </w:lvl>
    <w:lvl w:ilvl="5">
      <w:start w:val="1"/>
      <w:numFmt w:val="lowerRoman"/>
      <w:lvlText w:val="(%6)"/>
      <w:lvlJc w:val="left"/>
      <w:pPr>
        <w:tabs>
          <w:tab w:val="num" w:pos="3049"/>
        </w:tabs>
        <w:ind w:left="2499" w:hanging="357"/>
      </w:pPr>
      <w:rPr>
        <w:rFonts w:hint="default"/>
      </w:rPr>
    </w:lvl>
    <w:lvl w:ilvl="6">
      <w:start w:val="1"/>
      <w:numFmt w:val="decimal"/>
      <w:lvlText w:val="%7."/>
      <w:lvlJc w:val="left"/>
      <w:pPr>
        <w:tabs>
          <w:tab w:val="num" w:pos="3406"/>
        </w:tabs>
        <w:ind w:left="2856" w:hanging="357"/>
      </w:pPr>
      <w:rPr>
        <w:rFonts w:hint="default"/>
      </w:rPr>
    </w:lvl>
    <w:lvl w:ilvl="7">
      <w:start w:val="1"/>
      <w:numFmt w:val="lowerLetter"/>
      <w:lvlText w:val="%8."/>
      <w:lvlJc w:val="left"/>
      <w:pPr>
        <w:tabs>
          <w:tab w:val="num" w:pos="3763"/>
        </w:tabs>
        <w:ind w:left="3213" w:hanging="357"/>
      </w:pPr>
      <w:rPr>
        <w:rFonts w:hint="default"/>
      </w:rPr>
    </w:lvl>
    <w:lvl w:ilvl="8">
      <w:start w:val="1"/>
      <w:numFmt w:val="lowerRoman"/>
      <w:lvlText w:val="%9."/>
      <w:lvlJc w:val="left"/>
      <w:pPr>
        <w:tabs>
          <w:tab w:val="num" w:pos="4120"/>
        </w:tabs>
        <w:ind w:left="3570" w:hanging="357"/>
      </w:pPr>
      <w:rPr>
        <w:rFonts w:hint="default"/>
      </w:rPr>
    </w:lvl>
  </w:abstractNum>
  <w:abstractNum w:abstractNumId="85" w15:restartNumberingAfterBreak="0">
    <w:nsid w:val="23F0684A"/>
    <w:multiLevelType w:val="multilevel"/>
    <w:tmpl w:val="3928FC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243C5D0E"/>
    <w:multiLevelType w:val="hybridMultilevel"/>
    <w:tmpl w:val="5B52D5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24A62E02"/>
    <w:multiLevelType w:val="hybridMultilevel"/>
    <w:tmpl w:val="609E1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6651B62"/>
    <w:multiLevelType w:val="hybridMultilevel"/>
    <w:tmpl w:val="7A767A3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15:restartNumberingAfterBreak="0">
    <w:nsid w:val="26693E30"/>
    <w:multiLevelType w:val="hybridMultilevel"/>
    <w:tmpl w:val="D402D4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69155A0"/>
    <w:multiLevelType w:val="hybridMultilevel"/>
    <w:tmpl w:val="403EEF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26BF1759"/>
    <w:multiLevelType w:val="hybridMultilevel"/>
    <w:tmpl w:val="E8F469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26C92F92"/>
    <w:multiLevelType w:val="hybridMultilevel"/>
    <w:tmpl w:val="4E6E5F5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6F414FC"/>
    <w:multiLevelType w:val="hybridMultilevel"/>
    <w:tmpl w:val="8E665D06"/>
    <w:lvl w:ilvl="0" w:tplc="0409000F">
      <w:start w:val="1"/>
      <w:numFmt w:val="decimal"/>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27551852"/>
    <w:multiLevelType w:val="hybridMultilevel"/>
    <w:tmpl w:val="4C1E6F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27A21986"/>
    <w:multiLevelType w:val="hybridMultilevel"/>
    <w:tmpl w:val="B75A8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7BD441F"/>
    <w:multiLevelType w:val="hybridMultilevel"/>
    <w:tmpl w:val="4B6850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8630FD4"/>
    <w:multiLevelType w:val="hybridMultilevel"/>
    <w:tmpl w:val="8E4ED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8D81CB8"/>
    <w:multiLevelType w:val="hybridMultilevel"/>
    <w:tmpl w:val="E4122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91B20B8"/>
    <w:multiLevelType w:val="hybridMultilevel"/>
    <w:tmpl w:val="C49401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96825C5"/>
    <w:multiLevelType w:val="hybridMultilevel"/>
    <w:tmpl w:val="AB8228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97F1B84"/>
    <w:multiLevelType w:val="hybridMultilevel"/>
    <w:tmpl w:val="C0FE8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9834057"/>
    <w:multiLevelType w:val="hybridMultilevel"/>
    <w:tmpl w:val="3B16274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3" w15:restartNumberingAfterBreak="0">
    <w:nsid w:val="29A83E41"/>
    <w:multiLevelType w:val="hybridMultilevel"/>
    <w:tmpl w:val="1D06DD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A0F293F"/>
    <w:multiLevelType w:val="hybridMultilevel"/>
    <w:tmpl w:val="11D0A0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A413F2D"/>
    <w:multiLevelType w:val="hybridMultilevel"/>
    <w:tmpl w:val="BA5858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2AC6302B"/>
    <w:multiLevelType w:val="hybridMultilevel"/>
    <w:tmpl w:val="6024E3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ACF04AA"/>
    <w:multiLevelType w:val="hybridMultilevel"/>
    <w:tmpl w:val="204A2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ADD166B"/>
    <w:multiLevelType w:val="hybridMultilevel"/>
    <w:tmpl w:val="6812F1A4"/>
    <w:lvl w:ilvl="0" w:tplc="04090003">
      <w:start w:val="1"/>
      <w:numFmt w:val="bullet"/>
      <w:lvlText w:val="o"/>
      <w:lvlJc w:val="left"/>
      <w:pPr>
        <w:ind w:left="1080" w:hanging="360"/>
      </w:pPr>
      <w:rPr>
        <w:rFonts w:ascii="Courier New" w:hAnsi="Courier New" w:cs="Courier New"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9" w15:restartNumberingAfterBreak="0">
    <w:nsid w:val="2AF8394A"/>
    <w:multiLevelType w:val="hybridMultilevel"/>
    <w:tmpl w:val="3CB66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2B4A70CD"/>
    <w:multiLevelType w:val="hybridMultilevel"/>
    <w:tmpl w:val="81F2B1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2B8546CA"/>
    <w:multiLevelType w:val="hybridMultilevel"/>
    <w:tmpl w:val="0A70A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2B9657F8"/>
    <w:multiLevelType w:val="hybridMultilevel"/>
    <w:tmpl w:val="184200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C08788A"/>
    <w:multiLevelType w:val="hybridMultilevel"/>
    <w:tmpl w:val="47D64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2C445BE1"/>
    <w:multiLevelType w:val="hybridMultilevel"/>
    <w:tmpl w:val="102A99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5" w15:restartNumberingAfterBreak="0">
    <w:nsid w:val="2C4D3EE8"/>
    <w:multiLevelType w:val="hybridMultilevel"/>
    <w:tmpl w:val="03123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CAA2226"/>
    <w:multiLevelType w:val="hybridMultilevel"/>
    <w:tmpl w:val="7B9A29F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2D99014D"/>
    <w:multiLevelType w:val="hybridMultilevel"/>
    <w:tmpl w:val="06C6427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8" w15:restartNumberingAfterBreak="0">
    <w:nsid w:val="2E77580B"/>
    <w:multiLevelType w:val="hybridMultilevel"/>
    <w:tmpl w:val="F362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EB6303E"/>
    <w:multiLevelType w:val="hybridMultilevel"/>
    <w:tmpl w:val="045EE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2F4E0320"/>
    <w:multiLevelType w:val="hybridMultilevel"/>
    <w:tmpl w:val="279E4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F6F770F"/>
    <w:multiLevelType w:val="hybridMultilevel"/>
    <w:tmpl w:val="7E90EC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06D747F"/>
    <w:multiLevelType w:val="multilevel"/>
    <w:tmpl w:val="D45414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308F29C8"/>
    <w:multiLevelType w:val="multilevel"/>
    <w:tmpl w:val="CDD86BCA"/>
    <w:lvl w:ilvl="0">
      <w:start w:val="1"/>
      <w:numFmt w:val="decimal"/>
      <w:lvlText w:val="%1."/>
      <w:lvlJc w:val="left"/>
      <w:pPr>
        <w:tabs>
          <w:tab w:val="num" w:pos="720"/>
        </w:tabs>
        <w:ind w:left="720" w:hanging="360"/>
      </w:pPr>
      <w:rPr>
        <w:rFonts w:ascii="Segoe" w:eastAsia="Segoe" w:hAnsi="Segoe" w:cs="Segoe" w:hint="default"/>
        <w:sz w:val="20"/>
        <w:szCs w:val="20"/>
      </w:rPr>
    </w:lvl>
    <w:lvl w:ilvl="1">
      <w:start w:val="1"/>
      <w:numFmt w:val="lowerLetter"/>
      <w:lvlText w:val="%2."/>
      <w:lvlJc w:val="left"/>
      <w:pPr>
        <w:tabs>
          <w:tab w:val="num" w:pos="1440"/>
        </w:tabs>
        <w:ind w:left="1440" w:hanging="360"/>
      </w:pPr>
      <w:rPr>
        <w:rFonts w:hint="default"/>
        <w:sz w:val="20"/>
        <w:szCs w:val="20"/>
      </w:rPr>
    </w:lvl>
    <w:lvl w:ilvl="2">
      <w:start w:val="1"/>
      <w:numFmt w:val="lowerRoman"/>
      <w:lvlText w:val="%3."/>
      <w:lvlJc w:val="left"/>
      <w:pPr>
        <w:tabs>
          <w:tab w:val="num" w:pos="2160"/>
        </w:tabs>
        <w:ind w:left="2160" w:hanging="360"/>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124" w15:restartNumberingAfterBreak="0">
    <w:nsid w:val="30B71761"/>
    <w:multiLevelType w:val="hybridMultilevel"/>
    <w:tmpl w:val="2F6A7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0CB1279"/>
    <w:multiLevelType w:val="hybridMultilevel"/>
    <w:tmpl w:val="AE8EE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30DF1BAC"/>
    <w:multiLevelType w:val="hybridMultilevel"/>
    <w:tmpl w:val="795AE5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7" w15:restartNumberingAfterBreak="0">
    <w:nsid w:val="3175077B"/>
    <w:multiLevelType w:val="multilevel"/>
    <w:tmpl w:val="34D05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32C448C2"/>
    <w:multiLevelType w:val="hybridMultilevel"/>
    <w:tmpl w:val="1D2453C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9" w15:restartNumberingAfterBreak="0">
    <w:nsid w:val="33975464"/>
    <w:multiLevelType w:val="hybridMultilevel"/>
    <w:tmpl w:val="95080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33AF7E20"/>
    <w:multiLevelType w:val="hybridMultilevel"/>
    <w:tmpl w:val="E59E7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3400321B"/>
    <w:multiLevelType w:val="multilevel"/>
    <w:tmpl w:val="CDD86BCA"/>
    <w:lvl w:ilvl="0">
      <w:start w:val="1"/>
      <w:numFmt w:val="decimal"/>
      <w:lvlText w:val="%1."/>
      <w:lvlJc w:val="left"/>
      <w:pPr>
        <w:tabs>
          <w:tab w:val="num" w:pos="720"/>
        </w:tabs>
        <w:ind w:left="720" w:hanging="360"/>
      </w:pPr>
      <w:rPr>
        <w:rFonts w:ascii="Segoe" w:eastAsia="Segoe" w:hAnsi="Segoe" w:cs="Segoe" w:hint="default"/>
        <w:sz w:val="20"/>
        <w:szCs w:val="20"/>
      </w:rPr>
    </w:lvl>
    <w:lvl w:ilvl="1">
      <w:start w:val="1"/>
      <w:numFmt w:val="lowerLetter"/>
      <w:lvlText w:val="%2."/>
      <w:lvlJc w:val="left"/>
      <w:pPr>
        <w:tabs>
          <w:tab w:val="num" w:pos="1440"/>
        </w:tabs>
        <w:ind w:left="1440" w:hanging="360"/>
      </w:pPr>
      <w:rPr>
        <w:rFonts w:hint="default"/>
        <w:sz w:val="20"/>
        <w:szCs w:val="20"/>
      </w:rPr>
    </w:lvl>
    <w:lvl w:ilvl="2">
      <w:start w:val="1"/>
      <w:numFmt w:val="lowerRoman"/>
      <w:lvlText w:val="%3."/>
      <w:lvlJc w:val="left"/>
      <w:pPr>
        <w:tabs>
          <w:tab w:val="num" w:pos="2160"/>
        </w:tabs>
        <w:ind w:left="2160" w:hanging="360"/>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132" w15:restartNumberingAfterBreak="0">
    <w:nsid w:val="34BB1AB5"/>
    <w:multiLevelType w:val="hybridMultilevel"/>
    <w:tmpl w:val="7FF0A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355F3D30"/>
    <w:multiLevelType w:val="hybridMultilevel"/>
    <w:tmpl w:val="FBDCE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381F40C0"/>
    <w:multiLevelType w:val="hybridMultilevel"/>
    <w:tmpl w:val="A3A80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38595FDA"/>
    <w:multiLevelType w:val="hybridMultilevel"/>
    <w:tmpl w:val="F00CA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93D243D"/>
    <w:multiLevelType w:val="hybridMultilevel"/>
    <w:tmpl w:val="036C9BA8"/>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7" w15:restartNumberingAfterBreak="0">
    <w:nsid w:val="39A779D4"/>
    <w:multiLevelType w:val="hybridMultilevel"/>
    <w:tmpl w:val="F9A85A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8" w15:restartNumberingAfterBreak="0">
    <w:nsid w:val="39B7708E"/>
    <w:multiLevelType w:val="hybridMultilevel"/>
    <w:tmpl w:val="B52044D8"/>
    <w:styleLink w:val="SDMHeadings"/>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9E54EFC"/>
    <w:multiLevelType w:val="hybridMultilevel"/>
    <w:tmpl w:val="E47C205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0" w15:restartNumberingAfterBreak="0">
    <w:nsid w:val="3A2D0D3C"/>
    <w:multiLevelType w:val="hybridMultilevel"/>
    <w:tmpl w:val="BEBCC3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A687126"/>
    <w:multiLevelType w:val="hybridMultilevel"/>
    <w:tmpl w:val="388CB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B1F5A63"/>
    <w:multiLevelType w:val="multilevel"/>
    <w:tmpl w:val="C0F2788C"/>
    <w:styleLink w:val="111111"/>
    <w:lvl w:ilvl="0">
      <w:start w:val="1"/>
      <w:numFmt w:val="decimal"/>
      <w:lvlText w:val="%1"/>
      <w:lvlJc w:val="left"/>
      <w:pPr>
        <w:ind w:left="0" w:hanging="539"/>
      </w:pPr>
      <w:rPr>
        <w:rFonts w:hint="default"/>
      </w:rPr>
    </w:lvl>
    <w:lvl w:ilvl="1">
      <w:start w:val="1"/>
      <w:numFmt w:val="decimal"/>
      <w:lvlText w:val="%1.%2"/>
      <w:lvlJc w:val="left"/>
      <w:pPr>
        <w:ind w:left="227" w:hanging="766"/>
      </w:pPr>
      <w:rPr>
        <w:rFonts w:hint="default"/>
      </w:rPr>
    </w:lvl>
    <w:lvl w:ilvl="2">
      <w:start w:val="1"/>
      <w:numFmt w:val="decimal"/>
      <w:lvlText w:val="%1.%2.%3"/>
      <w:lvlJc w:val="left"/>
      <w:pPr>
        <w:ind w:left="765" w:hanging="765"/>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3" w15:restartNumberingAfterBreak="0">
    <w:nsid w:val="3B4B6FA2"/>
    <w:multiLevelType w:val="hybridMultilevel"/>
    <w:tmpl w:val="D68A2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3B7415F9"/>
    <w:multiLevelType w:val="hybridMultilevel"/>
    <w:tmpl w:val="95AEB6C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5" w15:restartNumberingAfterBreak="0">
    <w:nsid w:val="3BEA4435"/>
    <w:multiLevelType w:val="hybridMultilevel"/>
    <w:tmpl w:val="BDEC9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3C636057"/>
    <w:multiLevelType w:val="hybridMultilevel"/>
    <w:tmpl w:val="7F22A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3C9E43BF"/>
    <w:multiLevelType w:val="hybridMultilevel"/>
    <w:tmpl w:val="31608B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8" w15:restartNumberingAfterBreak="0">
    <w:nsid w:val="3D1A4381"/>
    <w:multiLevelType w:val="hybridMultilevel"/>
    <w:tmpl w:val="DC24CE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DB459AC"/>
    <w:multiLevelType w:val="hybridMultilevel"/>
    <w:tmpl w:val="B314B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E214168"/>
    <w:multiLevelType w:val="hybridMultilevel"/>
    <w:tmpl w:val="FAEE0B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E5F0853"/>
    <w:multiLevelType w:val="hybridMultilevel"/>
    <w:tmpl w:val="F3EE8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3E935213"/>
    <w:multiLevelType w:val="hybridMultilevel"/>
    <w:tmpl w:val="E42AAE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3EBB4108"/>
    <w:multiLevelType w:val="multilevel"/>
    <w:tmpl w:val="B7A0F0C0"/>
    <w:styleLink w:val="BulletsTable9"/>
    <w:lvl w:ilvl="0">
      <w:start w:val="1"/>
      <w:numFmt w:val="decimal"/>
      <w:lvlText w:val="%1."/>
      <w:lvlJc w:val="left"/>
      <w:pPr>
        <w:tabs>
          <w:tab w:val="num" w:pos="720"/>
        </w:tabs>
        <w:ind w:left="720" w:hanging="360"/>
      </w:pPr>
      <w:rPr>
        <w:rFonts w:ascii="Segoe UI" w:hAnsi="Segoe UI" w:cs="Segoe"/>
        <w:color w:val="008AC8"/>
        <w:sz w:val="22"/>
        <w:szCs w:val="20"/>
      </w:rPr>
    </w:lvl>
    <w:lvl w:ilvl="1">
      <w:start w:val="1"/>
      <w:numFmt w:val="lowerLetter"/>
      <w:lvlText w:val="%2."/>
      <w:lvlJc w:val="left"/>
      <w:pPr>
        <w:tabs>
          <w:tab w:val="num" w:pos="1440"/>
        </w:tabs>
        <w:ind w:left="1440" w:hanging="360"/>
      </w:pPr>
      <w:rPr>
        <w:rFonts w:ascii="Segoe UI" w:hAnsi="Segoe UI"/>
        <w:color w:val="008AC8"/>
        <w:sz w:val="20"/>
        <w:szCs w:val="20"/>
      </w:rPr>
    </w:lvl>
    <w:lvl w:ilvl="2">
      <w:start w:val="1"/>
      <w:numFmt w:val="lowerRoman"/>
      <w:lvlText w:val="%3."/>
      <w:lvlJc w:val="left"/>
      <w:pPr>
        <w:tabs>
          <w:tab w:val="num" w:pos="2160"/>
        </w:tabs>
        <w:ind w:left="2160" w:hanging="360"/>
      </w:pPr>
      <w:rPr>
        <w:rFonts w:ascii="Segoe UI" w:hAnsi="Segoe UI"/>
        <w:color w:val="008AC8"/>
        <w:sz w:val="20"/>
        <w:szCs w:val="20"/>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left"/>
      <w:pPr>
        <w:tabs>
          <w:tab w:val="num" w:pos="6480"/>
        </w:tabs>
        <w:ind w:left="6480" w:hanging="360"/>
      </w:pPr>
      <w:rPr>
        <w:rFonts w:hint="default"/>
      </w:rPr>
    </w:lvl>
  </w:abstractNum>
  <w:abstractNum w:abstractNumId="154" w15:restartNumberingAfterBreak="0">
    <w:nsid w:val="3FB2446A"/>
    <w:multiLevelType w:val="hybridMultilevel"/>
    <w:tmpl w:val="BDE0E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03F01A1"/>
    <w:multiLevelType w:val="hybridMultilevel"/>
    <w:tmpl w:val="5A305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404E3885"/>
    <w:multiLevelType w:val="hybridMultilevel"/>
    <w:tmpl w:val="0BAE4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406B16C1"/>
    <w:multiLevelType w:val="hybridMultilevel"/>
    <w:tmpl w:val="63BA7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40D61F1E"/>
    <w:multiLevelType w:val="hybridMultilevel"/>
    <w:tmpl w:val="DF9AB7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9" w15:restartNumberingAfterBreak="0">
    <w:nsid w:val="40F65108"/>
    <w:multiLevelType w:val="hybridMultilevel"/>
    <w:tmpl w:val="A8347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411C1492"/>
    <w:multiLevelType w:val="hybridMultilevel"/>
    <w:tmpl w:val="CAB065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41547CE6"/>
    <w:multiLevelType w:val="hybridMultilevel"/>
    <w:tmpl w:val="ACD60C7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2" w15:restartNumberingAfterBreak="0">
    <w:nsid w:val="41674F2C"/>
    <w:multiLevelType w:val="hybridMultilevel"/>
    <w:tmpl w:val="01CC69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3" w15:restartNumberingAfterBreak="0">
    <w:nsid w:val="416F7912"/>
    <w:multiLevelType w:val="hybridMultilevel"/>
    <w:tmpl w:val="0E02CB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421A1673"/>
    <w:multiLevelType w:val="hybridMultilevel"/>
    <w:tmpl w:val="03B8F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42422B5C"/>
    <w:multiLevelType w:val="multilevel"/>
    <w:tmpl w:val="772445B0"/>
    <w:lvl w:ilvl="0">
      <w:start w:val="1"/>
      <w:numFmt w:val="bullet"/>
      <w:pStyle w:val="TableListBullet"/>
      <w:lvlText w:val=""/>
      <w:lvlJc w:val="left"/>
      <w:pPr>
        <w:ind w:left="360" w:hanging="360"/>
      </w:pPr>
      <w:rPr>
        <w:rFonts w:ascii="Symbol" w:hAnsi="Symbol" w:hint="default"/>
        <w:b w:val="0"/>
        <w:bCs w:val="0"/>
        <w:i w:val="0"/>
        <w:iCs w:val="0"/>
        <w:color w:val="008AC8"/>
        <w:sz w:val="16"/>
        <w:szCs w:val="18"/>
      </w:rPr>
    </w:lvl>
    <w:lvl w:ilvl="1">
      <w:start w:val="1"/>
      <w:numFmt w:val="bullet"/>
      <w:lvlText w:val=""/>
      <w:lvlJc w:val="left"/>
      <w:pPr>
        <w:tabs>
          <w:tab w:val="num" w:pos="908"/>
        </w:tabs>
        <w:ind w:left="908" w:hanging="227"/>
      </w:pPr>
      <w:rPr>
        <w:rFonts w:ascii="Symbol" w:eastAsia="Wingdings 2" w:hAnsi="Symbol" w:cs="Times New Roman" w:hint="default"/>
        <w:bCs w:val="0"/>
        <w:iCs w:val="0"/>
        <w:color w:val="5B9BD5" w:themeColor="accent1"/>
        <w:sz w:val="16"/>
        <w:szCs w:val="18"/>
      </w:rPr>
    </w:lvl>
    <w:lvl w:ilvl="2">
      <w:start w:val="1"/>
      <w:numFmt w:val="bullet"/>
      <w:lvlText w:val=""/>
      <w:lvlJc w:val="left"/>
      <w:pPr>
        <w:tabs>
          <w:tab w:val="num" w:pos="1134"/>
        </w:tabs>
        <w:ind w:left="1135" w:hanging="227"/>
      </w:pPr>
      <w:rPr>
        <w:rFonts w:ascii="Symbol" w:eastAsia="Wingdings 2" w:hAnsi="Symbol" w:cs="Times New Roman" w:hint="default"/>
        <w:color w:val="5B9BD5" w:themeColor="accent1"/>
        <w:sz w:val="12"/>
        <w:szCs w:val="18"/>
      </w:rPr>
    </w:lvl>
    <w:lvl w:ilvl="3">
      <w:start w:val="1"/>
      <w:numFmt w:val="bullet"/>
      <w:lvlText w:val=""/>
      <w:lvlJc w:val="left"/>
      <w:pPr>
        <w:tabs>
          <w:tab w:val="num" w:pos="1361"/>
        </w:tabs>
        <w:ind w:left="1362" w:hanging="227"/>
      </w:pPr>
      <w:rPr>
        <w:rFonts w:ascii="Symbol" w:eastAsia="Wingdings 2" w:hAnsi="Symbol" w:cs="Times New Roman" w:hint="default"/>
        <w:color w:val="808080"/>
        <w:sz w:val="12"/>
        <w:szCs w:val="18"/>
      </w:rPr>
    </w:lvl>
    <w:lvl w:ilvl="4">
      <w:start w:val="1"/>
      <w:numFmt w:val="lowerLetter"/>
      <w:lvlText w:val="(%5)"/>
      <w:lvlJc w:val="left"/>
      <w:pPr>
        <w:tabs>
          <w:tab w:val="num" w:pos="2254"/>
        </w:tabs>
        <w:ind w:left="1589" w:hanging="227"/>
      </w:pPr>
      <w:rPr>
        <w:rFonts w:hint="default"/>
      </w:rPr>
    </w:lvl>
    <w:lvl w:ilvl="5">
      <w:start w:val="1"/>
      <w:numFmt w:val="lowerRoman"/>
      <w:lvlText w:val="(%6)"/>
      <w:lvlJc w:val="left"/>
      <w:pPr>
        <w:tabs>
          <w:tab w:val="num" w:pos="2614"/>
        </w:tabs>
        <w:ind w:left="1816" w:hanging="227"/>
      </w:pPr>
      <w:rPr>
        <w:rFonts w:hint="default"/>
      </w:rPr>
    </w:lvl>
    <w:lvl w:ilvl="6">
      <w:start w:val="1"/>
      <w:numFmt w:val="decimal"/>
      <w:lvlText w:val="%7."/>
      <w:lvlJc w:val="left"/>
      <w:pPr>
        <w:tabs>
          <w:tab w:val="num" w:pos="2974"/>
        </w:tabs>
        <w:ind w:left="2043" w:hanging="227"/>
      </w:pPr>
      <w:rPr>
        <w:rFonts w:hint="default"/>
      </w:rPr>
    </w:lvl>
    <w:lvl w:ilvl="7">
      <w:start w:val="1"/>
      <w:numFmt w:val="lowerLetter"/>
      <w:lvlText w:val="%8."/>
      <w:lvlJc w:val="left"/>
      <w:pPr>
        <w:tabs>
          <w:tab w:val="num" w:pos="3334"/>
        </w:tabs>
        <w:ind w:left="2270" w:hanging="227"/>
      </w:pPr>
      <w:rPr>
        <w:rFonts w:hint="default"/>
      </w:rPr>
    </w:lvl>
    <w:lvl w:ilvl="8">
      <w:start w:val="1"/>
      <w:numFmt w:val="lowerRoman"/>
      <w:lvlText w:val="%9."/>
      <w:lvlJc w:val="left"/>
      <w:pPr>
        <w:tabs>
          <w:tab w:val="num" w:pos="3694"/>
        </w:tabs>
        <w:ind w:left="2497" w:hanging="227"/>
      </w:pPr>
      <w:rPr>
        <w:rFonts w:hint="default"/>
      </w:rPr>
    </w:lvl>
  </w:abstractNum>
  <w:abstractNum w:abstractNumId="166" w15:restartNumberingAfterBreak="0">
    <w:nsid w:val="424D44B2"/>
    <w:multiLevelType w:val="hybridMultilevel"/>
    <w:tmpl w:val="5350B41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7" w15:restartNumberingAfterBreak="0">
    <w:nsid w:val="432406FD"/>
    <w:multiLevelType w:val="hybridMultilevel"/>
    <w:tmpl w:val="9CECB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440D5ECD"/>
    <w:multiLevelType w:val="hybridMultilevel"/>
    <w:tmpl w:val="2E468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466E2922"/>
    <w:multiLevelType w:val="hybridMultilevel"/>
    <w:tmpl w:val="92EAB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46EA3C76"/>
    <w:multiLevelType w:val="hybridMultilevel"/>
    <w:tmpl w:val="86340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46F27507"/>
    <w:multiLevelType w:val="hybridMultilevel"/>
    <w:tmpl w:val="25CA4128"/>
    <w:lvl w:ilvl="0" w:tplc="17CEC22C">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48593B43"/>
    <w:multiLevelType w:val="hybridMultilevel"/>
    <w:tmpl w:val="63A87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494A66C1"/>
    <w:multiLevelType w:val="hybridMultilevel"/>
    <w:tmpl w:val="80FCD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498E011E"/>
    <w:multiLevelType w:val="hybridMultilevel"/>
    <w:tmpl w:val="296A527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5" w15:restartNumberingAfterBreak="0">
    <w:nsid w:val="49E77A70"/>
    <w:multiLevelType w:val="hybridMultilevel"/>
    <w:tmpl w:val="EDB873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6" w15:restartNumberingAfterBreak="0">
    <w:nsid w:val="49F32FF3"/>
    <w:multiLevelType w:val="multilevel"/>
    <w:tmpl w:val="825CA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4BCE70A0"/>
    <w:multiLevelType w:val="multilevel"/>
    <w:tmpl w:val="0FE89438"/>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4C912739"/>
    <w:multiLevelType w:val="hybridMultilevel"/>
    <w:tmpl w:val="E30277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4CE542BD"/>
    <w:multiLevelType w:val="hybridMultilevel"/>
    <w:tmpl w:val="2F9CE6B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0" w15:restartNumberingAfterBreak="0">
    <w:nsid w:val="4CF773D9"/>
    <w:multiLevelType w:val="hybridMultilevel"/>
    <w:tmpl w:val="23420A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1" w15:restartNumberingAfterBreak="0">
    <w:nsid w:val="4D186011"/>
    <w:multiLevelType w:val="hybridMultilevel"/>
    <w:tmpl w:val="57AE0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4DF566F8"/>
    <w:multiLevelType w:val="hybridMultilevel"/>
    <w:tmpl w:val="17AA128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3" w15:restartNumberingAfterBreak="0">
    <w:nsid w:val="4EEF6818"/>
    <w:multiLevelType w:val="hybridMultilevel"/>
    <w:tmpl w:val="648E33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4" w15:restartNumberingAfterBreak="0">
    <w:nsid w:val="4F0A01F6"/>
    <w:multiLevelType w:val="hybridMultilevel"/>
    <w:tmpl w:val="F26009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4F344DA2"/>
    <w:multiLevelType w:val="hybridMultilevel"/>
    <w:tmpl w:val="15E2E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4FCD3475"/>
    <w:multiLevelType w:val="hybridMultilevel"/>
    <w:tmpl w:val="4B8482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500B07A2"/>
    <w:multiLevelType w:val="hybridMultilevel"/>
    <w:tmpl w:val="EE26C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51BB493E"/>
    <w:multiLevelType w:val="hybridMultilevel"/>
    <w:tmpl w:val="303CE50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15:restartNumberingAfterBreak="0">
    <w:nsid w:val="51D94085"/>
    <w:multiLevelType w:val="hybridMultilevel"/>
    <w:tmpl w:val="F58CB4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526E0257"/>
    <w:multiLevelType w:val="hybridMultilevel"/>
    <w:tmpl w:val="D89EE61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1" w15:restartNumberingAfterBreak="0">
    <w:nsid w:val="527E6203"/>
    <w:multiLevelType w:val="hybridMultilevel"/>
    <w:tmpl w:val="BF36325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52AF4BA5"/>
    <w:multiLevelType w:val="hybridMultilevel"/>
    <w:tmpl w:val="674C5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52BA6782"/>
    <w:multiLevelType w:val="multilevel"/>
    <w:tmpl w:val="D4427CE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4" w15:restartNumberingAfterBreak="0">
    <w:nsid w:val="535538AF"/>
    <w:multiLevelType w:val="hybridMultilevel"/>
    <w:tmpl w:val="7F3A6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5" w15:restartNumberingAfterBreak="0">
    <w:nsid w:val="5401750F"/>
    <w:multiLevelType w:val="hybridMultilevel"/>
    <w:tmpl w:val="9C8C12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545E6337"/>
    <w:multiLevelType w:val="hybridMultilevel"/>
    <w:tmpl w:val="055AB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546435A5"/>
    <w:multiLevelType w:val="hybridMultilevel"/>
    <w:tmpl w:val="93301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56025498"/>
    <w:multiLevelType w:val="hybridMultilevel"/>
    <w:tmpl w:val="3C2257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56221E5A"/>
    <w:multiLevelType w:val="hybridMultilevel"/>
    <w:tmpl w:val="1D9678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569C7707"/>
    <w:multiLevelType w:val="hybridMultilevel"/>
    <w:tmpl w:val="3C2E0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56A37263"/>
    <w:multiLevelType w:val="hybridMultilevel"/>
    <w:tmpl w:val="FAC64992"/>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56A95635"/>
    <w:multiLevelType w:val="hybridMultilevel"/>
    <w:tmpl w:val="F9AA8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572F7AAC"/>
    <w:multiLevelType w:val="hybridMultilevel"/>
    <w:tmpl w:val="D81E89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576A3327"/>
    <w:multiLevelType w:val="hybridMultilevel"/>
    <w:tmpl w:val="32065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57C5711D"/>
    <w:multiLevelType w:val="hybridMultilevel"/>
    <w:tmpl w:val="6342396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06" w15:restartNumberingAfterBreak="0">
    <w:nsid w:val="58476146"/>
    <w:multiLevelType w:val="multilevel"/>
    <w:tmpl w:val="D8D29E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7" w15:restartNumberingAfterBreak="0">
    <w:nsid w:val="586A2E5C"/>
    <w:multiLevelType w:val="hybridMultilevel"/>
    <w:tmpl w:val="85FC9E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8" w15:restartNumberingAfterBreak="0">
    <w:nsid w:val="5945039F"/>
    <w:multiLevelType w:val="multilevel"/>
    <w:tmpl w:val="3AD8DEE2"/>
    <w:lvl w:ilvl="0">
      <w:start w:val="1"/>
      <w:numFmt w:val="decimal"/>
      <w:lvlText w:val="%1."/>
      <w:lvlJc w:val="left"/>
      <w:pPr>
        <w:tabs>
          <w:tab w:val="num" w:pos="720"/>
        </w:tabs>
        <w:ind w:left="720" w:hanging="360"/>
      </w:pPr>
      <w:rPr>
        <w:rFonts w:ascii="Segoe" w:eastAsia="Segoe" w:hAnsi="Segoe" w:cs="Segoe" w:hint="default"/>
        <w:sz w:val="20"/>
        <w:szCs w:val="20"/>
      </w:rPr>
    </w:lvl>
    <w:lvl w:ilvl="1">
      <w:start w:val="1"/>
      <w:numFmt w:val="decimal"/>
      <w:lvlText w:val="%2."/>
      <w:lvlJc w:val="left"/>
      <w:pPr>
        <w:tabs>
          <w:tab w:val="num" w:pos="1440"/>
        </w:tabs>
        <w:ind w:left="1440" w:hanging="360"/>
      </w:pPr>
      <w:rPr>
        <w:rFonts w:hint="default"/>
        <w:sz w:val="20"/>
        <w:szCs w:val="20"/>
      </w:rPr>
    </w:lvl>
    <w:lvl w:ilvl="2">
      <w:start w:val="1"/>
      <w:numFmt w:val="lowerRoman"/>
      <w:lvlText w:val="%3."/>
      <w:lvlJc w:val="left"/>
      <w:pPr>
        <w:tabs>
          <w:tab w:val="num" w:pos="2160"/>
        </w:tabs>
        <w:ind w:left="2160" w:hanging="360"/>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209" w15:restartNumberingAfterBreak="0">
    <w:nsid w:val="596A7641"/>
    <w:multiLevelType w:val="hybridMultilevel"/>
    <w:tmpl w:val="FB94E0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0" w15:restartNumberingAfterBreak="0">
    <w:nsid w:val="597222E5"/>
    <w:multiLevelType w:val="hybridMultilevel"/>
    <w:tmpl w:val="A342CA0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1" w15:restartNumberingAfterBreak="0">
    <w:nsid w:val="5A2205FC"/>
    <w:multiLevelType w:val="hybridMultilevel"/>
    <w:tmpl w:val="91A25D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5AFB07D6"/>
    <w:multiLevelType w:val="hybridMultilevel"/>
    <w:tmpl w:val="7FB0EB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5B755749"/>
    <w:multiLevelType w:val="hybridMultilevel"/>
    <w:tmpl w:val="8FD2F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5B922CA8"/>
    <w:multiLevelType w:val="hybridMultilevel"/>
    <w:tmpl w:val="BD6C543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5C043ECC"/>
    <w:multiLevelType w:val="multilevel"/>
    <w:tmpl w:val="B1C0B846"/>
    <w:styleLink w:val="Style1"/>
    <w:lvl w:ilvl="0">
      <w:start w:val="1"/>
      <w:numFmt w:val="bullet"/>
      <w:lvlText w:val=""/>
      <w:lvlJc w:val="left"/>
      <w:pPr>
        <w:tabs>
          <w:tab w:val="num" w:pos="720"/>
        </w:tabs>
        <w:ind w:left="717" w:hanging="360"/>
      </w:pPr>
      <w:rPr>
        <w:rFonts w:ascii="Symbol" w:hAnsi="Symbol" w:hint="default"/>
        <w:color w:val="008AC8"/>
        <w:sz w:val="24"/>
        <w:szCs w:val="20"/>
      </w:rPr>
    </w:lvl>
    <w:lvl w:ilvl="1">
      <w:start w:val="1"/>
      <w:numFmt w:val="bullet"/>
      <w:lvlText w:val="o"/>
      <w:lvlJc w:val="left"/>
      <w:pPr>
        <w:tabs>
          <w:tab w:val="num" w:pos="1440"/>
        </w:tabs>
        <w:ind w:left="1440" w:hanging="360"/>
      </w:pPr>
      <w:rPr>
        <w:rFonts w:ascii="Segoe UI" w:hAnsi="Segoe UI" w:cs="Times New Roman" w:hint="default"/>
        <w:b w:val="0"/>
        <w:bCs w:val="0"/>
        <w:i w:val="0"/>
        <w:iCs w:val="0"/>
        <w:color w:val="5B9BD5" w:themeColor="accent1"/>
        <w:sz w:val="20"/>
        <w:szCs w:val="20"/>
      </w:rPr>
    </w:lvl>
    <w:lvl w:ilvl="2">
      <w:start w:val="1"/>
      <w:numFmt w:val="bullet"/>
      <w:lvlText w:val=""/>
      <w:lvlJc w:val="left"/>
      <w:pPr>
        <w:tabs>
          <w:tab w:val="num" w:pos="2160"/>
        </w:tabs>
        <w:ind w:left="2160" w:hanging="360"/>
      </w:pPr>
      <w:rPr>
        <w:rFonts w:ascii="Wingdings" w:hAnsi="Wingdings" w:hint="default"/>
        <w:color w:val="5B9BD5" w:themeColor="accent1"/>
        <w:sz w:val="20"/>
        <w:szCs w:val="20"/>
      </w:rPr>
    </w:lvl>
    <w:lvl w:ilvl="3">
      <w:start w:val="1"/>
      <w:numFmt w:val="bullet"/>
      <w:lvlText w:val=""/>
      <w:lvlJc w:val="left"/>
      <w:pPr>
        <w:tabs>
          <w:tab w:val="num" w:pos="2335"/>
        </w:tabs>
        <w:ind w:left="1785" w:hanging="357"/>
      </w:pPr>
      <w:rPr>
        <w:rFonts w:ascii="Symbol" w:hAnsi="Symbol" w:cs="Times New Roman" w:hint="default"/>
        <w:b w:val="0"/>
        <w:bCs w:val="0"/>
        <w:i w:val="0"/>
        <w:iCs w:val="0"/>
        <w:color w:val="5B9BD5" w:themeColor="accent1"/>
        <w:sz w:val="16"/>
        <w:szCs w:val="20"/>
      </w:rPr>
    </w:lvl>
    <w:lvl w:ilvl="4">
      <w:start w:val="1"/>
      <w:numFmt w:val="lowerLetter"/>
      <w:lvlText w:val="(%5)"/>
      <w:lvlJc w:val="left"/>
      <w:pPr>
        <w:tabs>
          <w:tab w:val="num" w:pos="2692"/>
        </w:tabs>
        <w:ind w:left="2142" w:hanging="357"/>
      </w:pPr>
    </w:lvl>
    <w:lvl w:ilvl="5">
      <w:start w:val="1"/>
      <w:numFmt w:val="lowerRoman"/>
      <w:lvlText w:val="(%6)"/>
      <w:lvlJc w:val="left"/>
      <w:pPr>
        <w:tabs>
          <w:tab w:val="num" w:pos="3049"/>
        </w:tabs>
        <w:ind w:left="2499" w:hanging="357"/>
      </w:pPr>
    </w:lvl>
    <w:lvl w:ilvl="6">
      <w:start w:val="1"/>
      <w:numFmt w:val="decimal"/>
      <w:lvlText w:val="%7."/>
      <w:lvlJc w:val="left"/>
      <w:pPr>
        <w:tabs>
          <w:tab w:val="num" w:pos="3406"/>
        </w:tabs>
        <w:ind w:left="2856" w:hanging="357"/>
      </w:pPr>
    </w:lvl>
    <w:lvl w:ilvl="7">
      <w:start w:val="1"/>
      <w:numFmt w:val="lowerLetter"/>
      <w:lvlText w:val="%8."/>
      <w:lvlJc w:val="left"/>
      <w:pPr>
        <w:tabs>
          <w:tab w:val="num" w:pos="3763"/>
        </w:tabs>
        <w:ind w:left="3213" w:hanging="357"/>
      </w:pPr>
    </w:lvl>
    <w:lvl w:ilvl="8">
      <w:start w:val="1"/>
      <w:numFmt w:val="lowerRoman"/>
      <w:lvlText w:val="%9."/>
      <w:lvlJc w:val="left"/>
      <w:pPr>
        <w:tabs>
          <w:tab w:val="num" w:pos="4120"/>
        </w:tabs>
        <w:ind w:left="3570" w:hanging="357"/>
      </w:pPr>
    </w:lvl>
  </w:abstractNum>
  <w:abstractNum w:abstractNumId="216" w15:restartNumberingAfterBreak="0">
    <w:nsid w:val="5C43508C"/>
    <w:multiLevelType w:val="hybridMultilevel"/>
    <w:tmpl w:val="B6044A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7" w15:restartNumberingAfterBreak="0">
    <w:nsid w:val="5C4C0CFC"/>
    <w:multiLevelType w:val="multilevel"/>
    <w:tmpl w:val="D8D29E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8" w15:restartNumberingAfterBreak="0">
    <w:nsid w:val="5C8647B9"/>
    <w:multiLevelType w:val="hybridMultilevel"/>
    <w:tmpl w:val="A2807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5D5D0B18"/>
    <w:multiLevelType w:val="hybridMultilevel"/>
    <w:tmpl w:val="96E8C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5DBC4334"/>
    <w:multiLevelType w:val="hybridMultilevel"/>
    <w:tmpl w:val="DC9CE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5DEE3E72"/>
    <w:multiLevelType w:val="hybridMultilevel"/>
    <w:tmpl w:val="C41283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5E397A5C"/>
    <w:multiLevelType w:val="hybridMultilevel"/>
    <w:tmpl w:val="D21880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5EFB1B8C"/>
    <w:multiLevelType w:val="hybridMultilevel"/>
    <w:tmpl w:val="E0EEBCDE"/>
    <w:lvl w:ilvl="0" w:tplc="04090001">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4" w15:restartNumberingAfterBreak="0">
    <w:nsid w:val="5FA03A77"/>
    <w:multiLevelType w:val="hybridMultilevel"/>
    <w:tmpl w:val="2BA0217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5" w15:restartNumberingAfterBreak="0">
    <w:nsid w:val="5FF74F66"/>
    <w:multiLevelType w:val="hybridMultilevel"/>
    <w:tmpl w:val="835005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60E747C7"/>
    <w:multiLevelType w:val="hybridMultilevel"/>
    <w:tmpl w:val="E098D9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60F306F2"/>
    <w:multiLevelType w:val="hybridMultilevel"/>
    <w:tmpl w:val="4A2A9250"/>
    <w:lvl w:ilvl="0" w:tplc="9E1E73C4">
      <w:numFmt w:val="bullet"/>
      <w:lvlText w:val="-"/>
      <w:lvlJc w:val="left"/>
      <w:pPr>
        <w:ind w:left="360" w:hanging="360"/>
      </w:pPr>
      <w:rPr>
        <w:rFonts w:ascii="Segoe UI" w:eastAsiaTheme="minorEastAsia" w:hAnsi="Segoe UI" w:cs="Segoe U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616406D9"/>
    <w:multiLevelType w:val="hybridMultilevel"/>
    <w:tmpl w:val="CD862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61681C74"/>
    <w:multiLevelType w:val="hybridMultilevel"/>
    <w:tmpl w:val="750A76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0" w15:restartNumberingAfterBreak="0">
    <w:nsid w:val="619E2DA7"/>
    <w:multiLevelType w:val="hybridMultilevel"/>
    <w:tmpl w:val="54DA8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62966121"/>
    <w:multiLevelType w:val="hybridMultilevel"/>
    <w:tmpl w:val="ECF2C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62ED6315"/>
    <w:multiLevelType w:val="hybridMultilevel"/>
    <w:tmpl w:val="BF7A2E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3" w15:restartNumberingAfterBreak="0">
    <w:nsid w:val="63D115D6"/>
    <w:multiLevelType w:val="hybridMultilevel"/>
    <w:tmpl w:val="ED78D8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641E13CD"/>
    <w:multiLevelType w:val="hybridMultilevel"/>
    <w:tmpl w:val="CA56D5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644570BD"/>
    <w:multiLevelType w:val="multilevel"/>
    <w:tmpl w:val="CDD86BCA"/>
    <w:lvl w:ilvl="0">
      <w:start w:val="1"/>
      <w:numFmt w:val="decimal"/>
      <w:lvlText w:val="%1."/>
      <w:lvlJc w:val="left"/>
      <w:pPr>
        <w:tabs>
          <w:tab w:val="num" w:pos="720"/>
        </w:tabs>
        <w:ind w:left="720" w:hanging="360"/>
      </w:pPr>
      <w:rPr>
        <w:rFonts w:ascii="Segoe" w:eastAsia="Segoe" w:hAnsi="Segoe" w:cs="Segoe" w:hint="default"/>
        <w:sz w:val="20"/>
        <w:szCs w:val="20"/>
      </w:rPr>
    </w:lvl>
    <w:lvl w:ilvl="1">
      <w:start w:val="1"/>
      <w:numFmt w:val="lowerLetter"/>
      <w:lvlText w:val="%2."/>
      <w:lvlJc w:val="left"/>
      <w:pPr>
        <w:tabs>
          <w:tab w:val="num" w:pos="1440"/>
        </w:tabs>
        <w:ind w:left="1440" w:hanging="360"/>
      </w:pPr>
      <w:rPr>
        <w:rFonts w:hint="default"/>
        <w:sz w:val="20"/>
        <w:szCs w:val="20"/>
      </w:rPr>
    </w:lvl>
    <w:lvl w:ilvl="2">
      <w:start w:val="1"/>
      <w:numFmt w:val="lowerRoman"/>
      <w:lvlText w:val="%3."/>
      <w:lvlJc w:val="left"/>
      <w:pPr>
        <w:tabs>
          <w:tab w:val="num" w:pos="2160"/>
        </w:tabs>
        <w:ind w:left="2160" w:hanging="360"/>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236" w15:restartNumberingAfterBreak="0">
    <w:nsid w:val="64537DBA"/>
    <w:multiLevelType w:val="hybridMultilevel"/>
    <w:tmpl w:val="38E292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646E2394"/>
    <w:multiLevelType w:val="hybridMultilevel"/>
    <w:tmpl w:val="2BE437D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8" w15:restartNumberingAfterBreak="0">
    <w:nsid w:val="64945C52"/>
    <w:multiLevelType w:val="hybridMultilevel"/>
    <w:tmpl w:val="E1725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64F7343F"/>
    <w:multiLevelType w:val="hybridMultilevel"/>
    <w:tmpl w:val="220A39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0" w15:restartNumberingAfterBreak="0">
    <w:nsid w:val="65041621"/>
    <w:multiLevelType w:val="hybridMultilevel"/>
    <w:tmpl w:val="632E4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65472541"/>
    <w:multiLevelType w:val="hybridMultilevel"/>
    <w:tmpl w:val="B5307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658D281D"/>
    <w:multiLevelType w:val="multilevel"/>
    <w:tmpl w:val="B7A0F0C0"/>
    <w:styleLink w:val="SDMTableNumbers"/>
    <w:lvl w:ilvl="0">
      <w:start w:val="1"/>
      <w:numFmt w:val="decimal"/>
      <w:lvlText w:val="%1."/>
      <w:lvlJc w:val="left"/>
      <w:pPr>
        <w:tabs>
          <w:tab w:val="num" w:pos="720"/>
        </w:tabs>
        <w:ind w:left="720" w:hanging="360"/>
      </w:pPr>
      <w:rPr>
        <w:rFonts w:ascii="Segoe UI" w:hAnsi="Segoe UI" w:cs="Segoe"/>
        <w:color w:val="008AC8"/>
        <w:sz w:val="22"/>
        <w:szCs w:val="20"/>
      </w:rPr>
    </w:lvl>
    <w:lvl w:ilvl="1">
      <w:start w:val="1"/>
      <w:numFmt w:val="lowerLetter"/>
      <w:lvlText w:val="%2."/>
      <w:lvlJc w:val="left"/>
      <w:pPr>
        <w:tabs>
          <w:tab w:val="num" w:pos="1440"/>
        </w:tabs>
        <w:ind w:left="1440" w:hanging="360"/>
      </w:pPr>
      <w:rPr>
        <w:rFonts w:ascii="Segoe UI" w:hAnsi="Segoe UI"/>
        <w:color w:val="008AC8"/>
        <w:sz w:val="20"/>
        <w:szCs w:val="20"/>
      </w:rPr>
    </w:lvl>
    <w:lvl w:ilvl="2">
      <w:start w:val="1"/>
      <w:numFmt w:val="lowerRoman"/>
      <w:lvlText w:val="%3."/>
      <w:lvlJc w:val="left"/>
      <w:pPr>
        <w:tabs>
          <w:tab w:val="num" w:pos="2160"/>
        </w:tabs>
        <w:ind w:left="2160" w:hanging="360"/>
      </w:pPr>
      <w:rPr>
        <w:rFonts w:ascii="Segoe UI" w:hAnsi="Segoe UI"/>
        <w:color w:val="008AC8"/>
        <w:sz w:val="20"/>
        <w:szCs w:val="20"/>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left"/>
      <w:pPr>
        <w:tabs>
          <w:tab w:val="num" w:pos="6480"/>
        </w:tabs>
        <w:ind w:left="6480" w:hanging="360"/>
      </w:pPr>
      <w:rPr>
        <w:rFonts w:hint="default"/>
      </w:rPr>
    </w:lvl>
  </w:abstractNum>
  <w:abstractNum w:abstractNumId="243" w15:restartNumberingAfterBreak="0">
    <w:nsid w:val="66B45517"/>
    <w:multiLevelType w:val="hybridMultilevel"/>
    <w:tmpl w:val="1ED2CD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66E77C2A"/>
    <w:multiLevelType w:val="hybridMultilevel"/>
    <w:tmpl w:val="69DA4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671F687B"/>
    <w:multiLevelType w:val="hybridMultilevel"/>
    <w:tmpl w:val="13BA04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673110CC"/>
    <w:multiLevelType w:val="hybridMultilevel"/>
    <w:tmpl w:val="AA1C6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67975DA3"/>
    <w:multiLevelType w:val="hybridMultilevel"/>
    <w:tmpl w:val="F3FA5C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67D80750"/>
    <w:multiLevelType w:val="hybridMultilevel"/>
    <w:tmpl w:val="6EF296E0"/>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9" w15:restartNumberingAfterBreak="0">
    <w:nsid w:val="67DF141B"/>
    <w:multiLevelType w:val="hybridMultilevel"/>
    <w:tmpl w:val="0DA24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68F41DFB"/>
    <w:multiLevelType w:val="hybridMultilevel"/>
    <w:tmpl w:val="A6C2E6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1" w15:restartNumberingAfterBreak="0">
    <w:nsid w:val="69EE2EEA"/>
    <w:multiLevelType w:val="hybridMultilevel"/>
    <w:tmpl w:val="0FB4C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6A0D497E"/>
    <w:multiLevelType w:val="hybridMultilevel"/>
    <w:tmpl w:val="457C1B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6A324D60"/>
    <w:multiLevelType w:val="hybridMultilevel"/>
    <w:tmpl w:val="55120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6A6E42CC"/>
    <w:multiLevelType w:val="hybridMultilevel"/>
    <w:tmpl w:val="94D2CC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5" w15:restartNumberingAfterBreak="0">
    <w:nsid w:val="6AAD3A28"/>
    <w:multiLevelType w:val="hybridMultilevel"/>
    <w:tmpl w:val="873C9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6AC1456E"/>
    <w:multiLevelType w:val="hybridMultilevel"/>
    <w:tmpl w:val="8D50B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6ADA6FD5"/>
    <w:multiLevelType w:val="hybridMultilevel"/>
    <w:tmpl w:val="2A30C1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6ADB335A"/>
    <w:multiLevelType w:val="hybridMultilevel"/>
    <w:tmpl w:val="6596B9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6AF340EA"/>
    <w:multiLevelType w:val="hybridMultilevel"/>
    <w:tmpl w:val="00CAB13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0" w15:restartNumberingAfterBreak="0">
    <w:nsid w:val="6B143EEC"/>
    <w:multiLevelType w:val="hybridMultilevel"/>
    <w:tmpl w:val="31EA4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15:restartNumberingAfterBreak="0">
    <w:nsid w:val="6B211D8D"/>
    <w:multiLevelType w:val="hybridMultilevel"/>
    <w:tmpl w:val="A69897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6B3C1B7B"/>
    <w:multiLevelType w:val="hybridMultilevel"/>
    <w:tmpl w:val="08AC0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6B4E5DD2"/>
    <w:multiLevelType w:val="hybridMultilevel"/>
    <w:tmpl w:val="0E52E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6BBE3618"/>
    <w:multiLevelType w:val="hybridMultilevel"/>
    <w:tmpl w:val="DA9A00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6C472C3D"/>
    <w:multiLevelType w:val="hybridMultilevel"/>
    <w:tmpl w:val="A880B1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15:restartNumberingAfterBreak="0">
    <w:nsid w:val="6C6E176B"/>
    <w:multiLevelType w:val="hybridMultilevel"/>
    <w:tmpl w:val="4AC28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6CE130A6"/>
    <w:multiLevelType w:val="hybridMultilevel"/>
    <w:tmpl w:val="36CC8E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6D467346"/>
    <w:multiLevelType w:val="hybridMultilevel"/>
    <w:tmpl w:val="4928E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6EE80F8C"/>
    <w:multiLevelType w:val="multilevel"/>
    <w:tmpl w:val="60F29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0" w15:restartNumberingAfterBreak="0">
    <w:nsid w:val="6FF0250F"/>
    <w:multiLevelType w:val="hybridMultilevel"/>
    <w:tmpl w:val="BD6C4C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70622DF7"/>
    <w:multiLevelType w:val="hybridMultilevel"/>
    <w:tmpl w:val="27D8065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15:restartNumberingAfterBreak="0">
    <w:nsid w:val="70A403E0"/>
    <w:multiLevelType w:val="hybridMultilevel"/>
    <w:tmpl w:val="9BF0D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15:restartNumberingAfterBreak="0">
    <w:nsid w:val="72DC23A2"/>
    <w:multiLevelType w:val="hybridMultilevel"/>
    <w:tmpl w:val="86143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15:restartNumberingAfterBreak="0">
    <w:nsid w:val="73111D0B"/>
    <w:multiLevelType w:val="hybridMultilevel"/>
    <w:tmpl w:val="EACC58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73166A78"/>
    <w:multiLevelType w:val="hybridMultilevel"/>
    <w:tmpl w:val="A904A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73A265F9"/>
    <w:multiLevelType w:val="hybridMultilevel"/>
    <w:tmpl w:val="80C6C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73E85EB9"/>
    <w:multiLevelType w:val="hybridMultilevel"/>
    <w:tmpl w:val="59D6DF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744E1B9B"/>
    <w:multiLevelType w:val="hybridMultilevel"/>
    <w:tmpl w:val="5C1633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74D43A06"/>
    <w:multiLevelType w:val="hybridMultilevel"/>
    <w:tmpl w:val="7BC0D2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0" w15:restartNumberingAfterBreak="0">
    <w:nsid w:val="75AA3A7E"/>
    <w:multiLevelType w:val="hybridMultilevel"/>
    <w:tmpl w:val="81367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765F68CC"/>
    <w:multiLevelType w:val="hybridMultilevel"/>
    <w:tmpl w:val="335C9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76A56E10"/>
    <w:multiLevelType w:val="hybridMultilevel"/>
    <w:tmpl w:val="4A7498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3" w15:restartNumberingAfterBreak="0">
    <w:nsid w:val="778A34AF"/>
    <w:multiLevelType w:val="hybridMultilevel"/>
    <w:tmpl w:val="D4E614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77A423EC"/>
    <w:multiLevelType w:val="hybridMultilevel"/>
    <w:tmpl w:val="B4CCAC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5" w15:restartNumberingAfterBreak="0">
    <w:nsid w:val="78E377A0"/>
    <w:multiLevelType w:val="multilevel"/>
    <w:tmpl w:val="FC248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6" w15:restartNumberingAfterBreak="0">
    <w:nsid w:val="7906349E"/>
    <w:multiLevelType w:val="hybridMultilevel"/>
    <w:tmpl w:val="9E34C1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79BF706A"/>
    <w:multiLevelType w:val="hybridMultilevel"/>
    <w:tmpl w:val="BC348E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8" w15:restartNumberingAfterBreak="0">
    <w:nsid w:val="7A01528E"/>
    <w:multiLevelType w:val="hybridMultilevel"/>
    <w:tmpl w:val="ADCE6B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7A9F00CB"/>
    <w:multiLevelType w:val="hybridMultilevel"/>
    <w:tmpl w:val="235C0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7AAE380B"/>
    <w:multiLevelType w:val="hybridMultilevel"/>
    <w:tmpl w:val="8FA8A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7BE67669"/>
    <w:multiLevelType w:val="hybridMultilevel"/>
    <w:tmpl w:val="D7D6E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7C0657DC"/>
    <w:multiLevelType w:val="hybridMultilevel"/>
    <w:tmpl w:val="91ECAA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15:restartNumberingAfterBreak="0">
    <w:nsid w:val="7C3F53C3"/>
    <w:multiLevelType w:val="hybridMultilevel"/>
    <w:tmpl w:val="6FF22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15:restartNumberingAfterBreak="0">
    <w:nsid w:val="7C534D53"/>
    <w:multiLevelType w:val="hybridMultilevel"/>
    <w:tmpl w:val="652A87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15:restartNumberingAfterBreak="0">
    <w:nsid w:val="7C551F13"/>
    <w:multiLevelType w:val="hybridMultilevel"/>
    <w:tmpl w:val="B57039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6" w15:restartNumberingAfterBreak="0">
    <w:nsid w:val="7C842FEF"/>
    <w:multiLevelType w:val="hybridMultilevel"/>
    <w:tmpl w:val="61567D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7CCC74D5"/>
    <w:multiLevelType w:val="multilevel"/>
    <w:tmpl w:val="B3B490A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5940"/>
        </w:tabs>
        <w:ind w:left="5940" w:hanging="360"/>
      </w:pPr>
    </w:lvl>
    <w:lvl w:ilvl="2">
      <w:start w:val="1"/>
      <w:numFmt w:val="lowerLetter"/>
      <w:lvlText w:val="%3."/>
      <w:lvlJc w:val="left"/>
      <w:pPr>
        <w:tabs>
          <w:tab w:val="num" w:pos="2160"/>
        </w:tabs>
        <w:ind w:left="2160" w:hanging="360"/>
      </w:p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8" w15:restartNumberingAfterBreak="0">
    <w:nsid w:val="7CE41758"/>
    <w:multiLevelType w:val="hybridMultilevel"/>
    <w:tmpl w:val="81F62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7D796DCC"/>
    <w:multiLevelType w:val="hybridMultilevel"/>
    <w:tmpl w:val="12A48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15:restartNumberingAfterBreak="0">
    <w:nsid w:val="7ED50105"/>
    <w:multiLevelType w:val="hybridMultilevel"/>
    <w:tmpl w:val="B7303D2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1" w15:restartNumberingAfterBreak="0">
    <w:nsid w:val="7F111662"/>
    <w:multiLevelType w:val="hybridMultilevel"/>
    <w:tmpl w:val="CE8A35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15:restartNumberingAfterBreak="0">
    <w:nsid w:val="7F5117D1"/>
    <w:multiLevelType w:val="hybridMultilevel"/>
    <w:tmpl w:val="D346C62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3" w15:restartNumberingAfterBreak="0">
    <w:nsid w:val="7F774B23"/>
    <w:multiLevelType w:val="hybridMultilevel"/>
    <w:tmpl w:val="A71E9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5"/>
  </w:num>
  <w:num w:numId="2">
    <w:abstractNumId w:val="165"/>
  </w:num>
  <w:num w:numId="3">
    <w:abstractNumId w:val="215"/>
  </w:num>
  <w:num w:numId="4">
    <w:abstractNumId w:val="153"/>
  </w:num>
  <w:num w:numId="5">
    <w:abstractNumId w:val="242"/>
  </w:num>
  <w:num w:numId="6">
    <w:abstractNumId w:val="29"/>
  </w:num>
  <w:num w:numId="7">
    <w:abstractNumId w:val="57"/>
  </w:num>
  <w:num w:numId="8">
    <w:abstractNumId w:val="195"/>
  </w:num>
  <w:num w:numId="9">
    <w:abstractNumId w:val="193"/>
  </w:num>
  <w:num w:numId="10">
    <w:abstractNumId w:val="82"/>
  </w:num>
  <w:num w:numId="11">
    <w:abstractNumId w:val="3"/>
  </w:num>
  <w:num w:numId="12">
    <w:abstractNumId w:val="99"/>
  </w:num>
  <w:num w:numId="13">
    <w:abstractNumId w:val="96"/>
  </w:num>
  <w:num w:numId="14">
    <w:abstractNumId w:val="85"/>
  </w:num>
  <w:num w:numId="15">
    <w:abstractNumId w:val="122"/>
  </w:num>
  <w:num w:numId="16">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5"/>
  </w:num>
  <w:num w:numId="18">
    <w:abstractNumId w:val="197"/>
  </w:num>
  <w:num w:numId="19">
    <w:abstractNumId w:val="138"/>
  </w:num>
  <w:num w:numId="20">
    <w:abstractNumId w:val="211"/>
  </w:num>
  <w:num w:numId="21">
    <w:abstractNumId w:val="205"/>
  </w:num>
  <w:num w:numId="22">
    <w:abstractNumId w:val="22"/>
  </w:num>
  <w:num w:numId="23">
    <w:abstractNumId w:val="167"/>
  </w:num>
  <w:num w:numId="24">
    <w:abstractNumId w:val="269"/>
  </w:num>
  <w:num w:numId="25">
    <w:abstractNumId w:val="54"/>
  </w:num>
  <w:num w:numId="26">
    <w:abstractNumId w:val="178"/>
  </w:num>
  <w:num w:numId="27">
    <w:abstractNumId w:val="290"/>
  </w:num>
  <w:num w:numId="28">
    <w:abstractNumId w:val="186"/>
  </w:num>
  <w:num w:numId="29">
    <w:abstractNumId w:val="152"/>
  </w:num>
  <w:num w:numId="30">
    <w:abstractNumId w:val="291"/>
  </w:num>
  <w:num w:numId="31">
    <w:abstractNumId w:val="298"/>
  </w:num>
  <w:num w:numId="32">
    <w:abstractNumId w:val="278"/>
  </w:num>
  <w:num w:numId="33">
    <w:abstractNumId w:val="280"/>
  </w:num>
  <w:num w:numId="34">
    <w:abstractNumId w:val="239"/>
  </w:num>
  <w:num w:numId="35">
    <w:abstractNumId w:val="40"/>
  </w:num>
  <w:num w:numId="36">
    <w:abstractNumId w:val="109"/>
  </w:num>
  <w:num w:numId="37">
    <w:abstractNumId w:val="101"/>
  </w:num>
  <w:num w:numId="38">
    <w:abstractNumId w:val="173"/>
  </w:num>
  <w:num w:numId="39">
    <w:abstractNumId w:val="142"/>
  </w:num>
  <w:num w:numId="40">
    <w:abstractNumId w:val="297"/>
    <w:lvlOverride w:ilvl="1"/>
    <w:lvlOverride w:ilvl="2">
      <w:startOverride w:val="1"/>
    </w:lvlOverride>
  </w:num>
  <w:num w:numId="41">
    <w:abstractNumId w:val="285"/>
  </w:num>
  <w:num w:numId="42">
    <w:abstractNumId w:val="34"/>
  </w:num>
  <w:num w:numId="43">
    <w:abstractNumId w:val="258"/>
  </w:num>
  <w:num w:numId="44">
    <w:abstractNumId w:val="105"/>
  </w:num>
  <w:num w:numId="45">
    <w:abstractNumId w:val="188"/>
  </w:num>
  <w:num w:numId="46">
    <w:abstractNumId w:val="214"/>
  </w:num>
  <w:num w:numId="47">
    <w:abstractNumId w:val="38"/>
  </w:num>
  <w:num w:numId="48">
    <w:abstractNumId w:val="112"/>
  </w:num>
  <w:num w:numId="49">
    <w:abstractNumId w:val="123"/>
  </w:num>
  <w:num w:numId="50">
    <w:abstractNumId w:val="24"/>
  </w:num>
  <w:num w:numId="51">
    <w:abstractNumId w:val="41"/>
  </w:num>
  <w:num w:numId="52">
    <w:abstractNumId w:val="157"/>
  </w:num>
  <w:num w:numId="53">
    <w:abstractNumId w:val="274"/>
  </w:num>
  <w:num w:numId="54">
    <w:abstractNumId w:val="137"/>
  </w:num>
  <w:num w:numId="55">
    <w:abstractNumId w:val="292"/>
  </w:num>
  <w:num w:numId="56">
    <w:abstractNumId w:val="154"/>
  </w:num>
  <w:num w:numId="57">
    <w:abstractNumId w:val="235"/>
  </w:num>
  <w:num w:numId="58">
    <w:abstractNumId w:val="257"/>
  </w:num>
  <w:num w:numId="59">
    <w:abstractNumId w:val="79"/>
  </w:num>
  <w:num w:numId="60">
    <w:abstractNumId w:val="273"/>
  </w:num>
  <w:num w:numId="61">
    <w:abstractNumId w:val="83"/>
  </w:num>
  <w:num w:numId="62">
    <w:abstractNumId w:val="176"/>
  </w:num>
  <w:num w:numId="63">
    <w:abstractNumId w:val="127"/>
  </w:num>
  <w:num w:numId="64">
    <w:abstractNumId w:val="26"/>
  </w:num>
  <w:num w:numId="65">
    <w:abstractNumId w:val="209"/>
  </w:num>
  <w:num w:numId="66">
    <w:abstractNumId w:val="191"/>
  </w:num>
  <w:num w:numId="67">
    <w:abstractNumId w:val="94"/>
  </w:num>
  <w:num w:numId="68">
    <w:abstractNumId w:val="177"/>
  </w:num>
  <w:num w:numId="69">
    <w:abstractNumId w:val="289"/>
  </w:num>
  <w:num w:numId="70">
    <w:abstractNumId w:val="20"/>
  </w:num>
  <w:num w:numId="71">
    <w:abstractNumId w:val="216"/>
  </w:num>
  <w:num w:numId="72">
    <w:abstractNumId w:val="81"/>
  </w:num>
  <w:num w:numId="73">
    <w:abstractNumId w:val="91"/>
  </w:num>
  <w:num w:numId="74">
    <w:abstractNumId w:val="302"/>
  </w:num>
  <w:num w:numId="75">
    <w:abstractNumId w:val="225"/>
  </w:num>
  <w:num w:numId="76">
    <w:abstractNumId w:val="36"/>
  </w:num>
  <w:num w:numId="77">
    <w:abstractNumId w:val="5"/>
  </w:num>
  <w:num w:numId="78">
    <w:abstractNumId w:val="162"/>
  </w:num>
  <w:num w:numId="79">
    <w:abstractNumId w:val="76"/>
  </w:num>
  <w:num w:numId="80">
    <w:abstractNumId w:val="50"/>
  </w:num>
  <w:num w:numId="81">
    <w:abstractNumId w:val="287"/>
  </w:num>
  <w:num w:numId="82">
    <w:abstractNumId w:val="276"/>
  </w:num>
  <w:num w:numId="83">
    <w:abstractNumId w:val="89"/>
  </w:num>
  <w:num w:numId="84">
    <w:abstractNumId w:val="8"/>
  </w:num>
  <w:num w:numId="85">
    <w:abstractNumId w:val="284"/>
  </w:num>
  <w:num w:numId="86">
    <w:abstractNumId w:val="49"/>
  </w:num>
  <w:num w:numId="87">
    <w:abstractNumId w:val="286"/>
  </w:num>
  <w:num w:numId="88">
    <w:abstractNumId w:val="296"/>
  </w:num>
  <w:num w:numId="89">
    <w:abstractNumId w:val="283"/>
  </w:num>
  <w:num w:numId="90">
    <w:abstractNumId w:val="232"/>
  </w:num>
  <w:num w:numId="91">
    <w:abstractNumId w:val="201"/>
    <w:lvlOverride w:ilvl="0"/>
    <w:lvlOverride w:ilvl="1">
      <w:startOverride w:val="1"/>
    </w:lvlOverride>
    <w:lvlOverride w:ilvl="2"/>
    <w:lvlOverride w:ilvl="3"/>
    <w:lvlOverride w:ilvl="4"/>
    <w:lvlOverride w:ilvl="5"/>
    <w:lvlOverride w:ilvl="6"/>
    <w:lvlOverride w:ilvl="7"/>
    <w:lvlOverride w:ilvl="8"/>
  </w:num>
  <w:num w:numId="92">
    <w:abstractNumId w:val="147"/>
  </w:num>
  <w:num w:numId="93">
    <w:abstractNumId w:val="144"/>
  </w:num>
  <w:num w:numId="94">
    <w:abstractNumId w:val="139"/>
  </w:num>
  <w:num w:numId="95">
    <w:abstractNumId w:val="166"/>
  </w:num>
  <w:num w:numId="96">
    <w:abstractNumId w:val="224"/>
  </w:num>
  <w:num w:numId="97">
    <w:abstractNumId w:val="238"/>
  </w:num>
  <w:num w:numId="98">
    <w:abstractNumId w:val="255"/>
  </w:num>
  <w:num w:numId="99">
    <w:abstractNumId w:val="229"/>
  </w:num>
  <w:num w:numId="100">
    <w:abstractNumId w:val="299"/>
  </w:num>
  <w:num w:numId="101">
    <w:abstractNumId w:val="218"/>
  </w:num>
  <w:num w:numId="102">
    <w:abstractNumId w:val="107"/>
  </w:num>
  <w:num w:numId="103">
    <w:abstractNumId w:val="4"/>
  </w:num>
  <w:num w:numId="104">
    <w:abstractNumId w:val="48"/>
  </w:num>
  <w:num w:numId="105">
    <w:abstractNumId w:val="198"/>
  </w:num>
  <w:num w:numId="106">
    <w:abstractNumId w:val="231"/>
  </w:num>
  <w:num w:numId="107">
    <w:abstractNumId w:val="259"/>
  </w:num>
  <w:num w:numId="108">
    <w:abstractNumId w:val="282"/>
  </w:num>
  <w:num w:numId="109">
    <w:abstractNumId w:val="124"/>
  </w:num>
  <w:num w:numId="110">
    <w:abstractNumId w:val="39"/>
  </w:num>
  <w:num w:numId="111">
    <w:abstractNumId w:val="254"/>
  </w:num>
  <w:num w:numId="112">
    <w:abstractNumId w:val="300"/>
  </w:num>
  <w:num w:numId="113">
    <w:abstractNumId w:val="248"/>
  </w:num>
  <w:num w:numId="114">
    <w:abstractNumId w:val="174"/>
  </w:num>
  <w:num w:numId="115">
    <w:abstractNumId w:val="72"/>
  </w:num>
  <w:num w:numId="116">
    <w:abstractNumId w:val="9"/>
  </w:num>
  <w:num w:numId="117">
    <w:abstractNumId w:val="73"/>
  </w:num>
  <w:num w:numId="118">
    <w:abstractNumId w:val="128"/>
  </w:num>
  <w:num w:numId="119">
    <w:abstractNumId w:val="86"/>
  </w:num>
  <w:num w:numId="120">
    <w:abstractNumId w:val="52"/>
  </w:num>
  <w:num w:numId="121">
    <w:abstractNumId w:val="33"/>
  </w:num>
  <w:num w:numId="122">
    <w:abstractNumId w:val="295"/>
  </w:num>
  <w:num w:numId="123">
    <w:abstractNumId w:val="208"/>
  </w:num>
  <w:num w:numId="124">
    <w:abstractNumId w:val="69"/>
  </w:num>
  <w:num w:numId="125">
    <w:abstractNumId w:val="66"/>
  </w:num>
  <w:num w:numId="126">
    <w:abstractNumId w:val="111"/>
  </w:num>
  <w:num w:numId="127">
    <w:abstractNumId w:val="264"/>
  </w:num>
  <w:num w:numId="128">
    <w:abstractNumId w:val="63"/>
  </w:num>
  <w:num w:numId="129">
    <w:abstractNumId w:val="210"/>
  </w:num>
  <w:num w:numId="130">
    <w:abstractNumId w:val="180"/>
  </w:num>
  <w:num w:numId="131">
    <w:abstractNumId w:val="125"/>
  </w:num>
  <w:num w:numId="132">
    <w:abstractNumId w:val="44"/>
  </w:num>
  <w:num w:numId="133">
    <w:abstractNumId w:val="132"/>
  </w:num>
  <w:num w:numId="134">
    <w:abstractNumId w:val="250"/>
  </w:num>
  <w:num w:numId="135">
    <w:abstractNumId w:val="117"/>
  </w:num>
  <w:num w:numId="136">
    <w:abstractNumId w:val="294"/>
  </w:num>
  <w:num w:numId="137">
    <w:abstractNumId w:val="168"/>
  </w:num>
  <w:num w:numId="138">
    <w:abstractNumId w:val="187"/>
  </w:num>
  <w:num w:numId="139">
    <w:abstractNumId w:val="234"/>
  </w:num>
  <w:num w:numId="140">
    <w:abstractNumId w:val="189"/>
  </w:num>
  <w:num w:numId="141">
    <w:abstractNumId w:val="170"/>
  </w:num>
  <w:num w:numId="142">
    <w:abstractNumId w:val="61"/>
  </w:num>
  <w:num w:numId="143">
    <w:abstractNumId w:val="241"/>
  </w:num>
  <w:num w:numId="144">
    <w:abstractNumId w:val="207"/>
  </w:num>
  <w:num w:numId="145">
    <w:abstractNumId w:val="226"/>
  </w:num>
  <w:num w:numId="146">
    <w:abstractNumId w:val="204"/>
  </w:num>
  <w:num w:numId="147">
    <w:abstractNumId w:val="246"/>
  </w:num>
  <w:num w:numId="148">
    <w:abstractNumId w:val="240"/>
  </w:num>
  <w:num w:numId="149">
    <w:abstractNumId w:val="221"/>
  </w:num>
  <w:num w:numId="150">
    <w:abstractNumId w:val="279"/>
  </w:num>
  <w:num w:numId="151">
    <w:abstractNumId w:val="202"/>
  </w:num>
  <w:num w:numId="152">
    <w:abstractNumId w:val="46"/>
  </w:num>
  <w:num w:numId="153">
    <w:abstractNumId w:val="161"/>
  </w:num>
  <w:num w:numId="154">
    <w:abstractNumId w:val="179"/>
  </w:num>
  <w:num w:numId="155">
    <w:abstractNumId w:val="141"/>
  </w:num>
  <w:num w:numId="156">
    <w:abstractNumId w:val="196"/>
  </w:num>
  <w:num w:numId="157">
    <w:abstractNumId w:val="93"/>
  </w:num>
  <w:num w:numId="158">
    <w:abstractNumId w:val="244"/>
  </w:num>
  <w:num w:numId="159">
    <w:abstractNumId w:val="249"/>
  </w:num>
  <w:num w:numId="160">
    <w:abstractNumId w:val="104"/>
  </w:num>
  <w:num w:numId="161">
    <w:abstractNumId w:val="13"/>
  </w:num>
  <w:num w:numId="162">
    <w:abstractNumId w:val="17"/>
  </w:num>
  <w:num w:numId="163">
    <w:abstractNumId w:val="130"/>
  </w:num>
  <w:num w:numId="164">
    <w:abstractNumId w:val="156"/>
  </w:num>
  <w:num w:numId="165">
    <w:abstractNumId w:val="301"/>
  </w:num>
  <w:num w:numId="166">
    <w:abstractNumId w:val="110"/>
  </w:num>
  <w:num w:numId="167">
    <w:abstractNumId w:val="220"/>
  </w:num>
  <w:num w:numId="168">
    <w:abstractNumId w:val="265"/>
  </w:num>
  <w:num w:numId="169">
    <w:abstractNumId w:val="102"/>
  </w:num>
  <w:num w:numId="170">
    <w:abstractNumId w:val="60"/>
  </w:num>
  <w:num w:numId="171">
    <w:abstractNumId w:val="87"/>
  </w:num>
  <w:num w:numId="172">
    <w:abstractNumId w:val="12"/>
  </w:num>
  <w:num w:numId="173">
    <w:abstractNumId w:val="158"/>
  </w:num>
  <w:num w:numId="174">
    <w:abstractNumId w:val="126"/>
  </w:num>
  <w:num w:numId="175">
    <w:abstractNumId w:val="190"/>
  </w:num>
  <w:num w:numId="176">
    <w:abstractNumId w:val="182"/>
  </w:num>
  <w:num w:numId="177">
    <w:abstractNumId w:val="59"/>
  </w:num>
  <w:num w:numId="178">
    <w:abstractNumId w:val="281"/>
  </w:num>
  <w:num w:numId="179">
    <w:abstractNumId w:val="184"/>
  </w:num>
  <w:num w:numId="180">
    <w:abstractNumId w:val="171"/>
  </w:num>
  <w:num w:numId="181">
    <w:abstractNumId w:val="47"/>
  </w:num>
  <w:num w:numId="182">
    <w:abstractNumId w:val="183"/>
  </w:num>
  <w:num w:numId="183">
    <w:abstractNumId w:val="71"/>
  </w:num>
  <w:num w:numId="184">
    <w:abstractNumId w:val="160"/>
  </w:num>
  <w:num w:numId="185">
    <w:abstractNumId w:val="65"/>
  </w:num>
  <w:num w:numId="186">
    <w:abstractNumId w:val="194"/>
  </w:num>
  <w:num w:numId="187">
    <w:abstractNumId w:val="28"/>
  </w:num>
  <w:num w:numId="188">
    <w:abstractNumId w:val="175"/>
  </w:num>
  <w:num w:numId="189">
    <w:abstractNumId w:val="286"/>
  </w:num>
  <w:num w:numId="190">
    <w:abstractNumId w:val="296"/>
  </w:num>
  <w:num w:numId="191">
    <w:abstractNumId w:val="277"/>
  </w:num>
  <w:num w:numId="192">
    <w:abstractNumId w:val="230"/>
  </w:num>
  <w:num w:numId="193">
    <w:abstractNumId w:val="288"/>
  </w:num>
  <w:num w:numId="194">
    <w:abstractNumId w:val="217"/>
  </w:num>
  <w:num w:numId="195">
    <w:abstractNumId w:val="43"/>
  </w:num>
  <w:num w:numId="196">
    <w:abstractNumId w:val="92"/>
  </w:num>
  <w:num w:numId="197">
    <w:abstractNumId w:val="268"/>
  </w:num>
  <w:num w:numId="198">
    <w:abstractNumId w:val="118"/>
  </w:num>
  <w:num w:numId="199">
    <w:abstractNumId w:val="256"/>
  </w:num>
  <w:num w:numId="200">
    <w:abstractNumId w:val="119"/>
  </w:num>
  <w:num w:numId="201">
    <w:abstractNumId w:val="212"/>
  </w:num>
  <w:num w:numId="202">
    <w:abstractNumId w:val="67"/>
  </w:num>
  <w:num w:numId="203">
    <w:abstractNumId w:val="116"/>
  </w:num>
  <w:num w:numId="204">
    <w:abstractNumId w:val="271"/>
  </w:num>
  <w:num w:numId="205">
    <w:abstractNumId w:val="58"/>
  </w:num>
  <w:num w:numId="206">
    <w:abstractNumId w:val="37"/>
  </w:num>
  <w:num w:numId="207">
    <w:abstractNumId w:val="253"/>
  </w:num>
  <w:num w:numId="208">
    <w:abstractNumId w:val="106"/>
  </w:num>
  <w:num w:numId="209">
    <w:abstractNumId w:val="62"/>
  </w:num>
  <w:num w:numId="210">
    <w:abstractNumId w:val="263"/>
  </w:num>
  <w:num w:numId="211">
    <w:abstractNumId w:val="233"/>
  </w:num>
  <w:num w:numId="212">
    <w:abstractNumId w:val="245"/>
  </w:num>
  <w:num w:numId="213">
    <w:abstractNumId w:val="203"/>
  </w:num>
  <w:num w:numId="214">
    <w:abstractNumId w:val="64"/>
  </w:num>
  <w:num w:numId="215">
    <w:abstractNumId w:val="15"/>
  </w:num>
  <w:num w:numId="216">
    <w:abstractNumId w:val="18"/>
  </w:num>
  <w:num w:numId="217">
    <w:abstractNumId w:val="78"/>
  </w:num>
  <w:num w:numId="218">
    <w:abstractNumId w:val="206"/>
  </w:num>
  <w:num w:numId="219">
    <w:abstractNumId w:val="120"/>
  </w:num>
  <w:num w:numId="220">
    <w:abstractNumId w:val="266"/>
  </w:num>
  <w:num w:numId="221">
    <w:abstractNumId w:val="42"/>
  </w:num>
  <w:num w:numId="222">
    <w:abstractNumId w:val="275"/>
  </w:num>
  <w:num w:numId="223">
    <w:abstractNumId w:val="70"/>
  </w:num>
  <w:num w:numId="224">
    <w:abstractNumId w:val="172"/>
  </w:num>
  <w:num w:numId="225">
    <w:abstractNumId w:val="247"/>
  </w:num>
  <w:num w:numId="226">
    <w:abstractNumId w:val="8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19"/>
  </w:num>
  <w:num w:numId="228">
    <w:abstractNumId w:val="31"/>
  </w:num>
  <w:num w:numId="229">
    <w:abstractNumId w:val="80"/>
  </w:num>
  <w:num w:numId="230">
    <w:abstractNumId w:val="77"/>
  </w:num>
  <w:num w:numId="231">
    <w:abstractNumId w:val="114"/>
  </w:num>
  <w:num w:numId="232">
    <w:abstractNumId w:val="10"/>
  </w:num>
  <w:num w:numId="233">
    <w:abstractNumId w:val="243"/>
  </w:num>
  <w:num w:numId="234">
    <w:abstractNumId w:val="262"/>
  </w:num>
  <w:num w:numId="235">
    <w:abstractNumId w:val="75"/>
  </w:num>
  <w:num w:numId="236">
    <w:abstractNumId w:val="145"/>
  </w:num>
  <w:num w:numId="237">
    <w:abstractNumId w:val="14"/>
  </w:num>
  <w:num w:numId="238">
    <w:abstractNumId w:val="272"/>
  </w:num>
  <w:num w:numId="239">
    <w:abstractNumId w:val="222"/>
  </w:num>
  <w:num w:numId="240">
    <w:abstractNumId w:val="6"/>
  </w:num>
  <w:num w:numId="241">
    <w:abstractNumId w:val="150"/>
  </w:num>
  <w:num w:numId="242">
    <w:abstractNumId w:val="219"/>
  </w:num>
  <w:num w:numId="243">
    <w:abstractNumId w:val="0"/>
  </w:num>
  <w:num w:numId="244">
    <w:abstractNumId w:val="135"/>
  </w:num>
  <w:num w:numId="245">
    <w:abstractNumId w:val="251"/>
  </w:num>
  <w:num w:numId="246">
    <w:abstractNumId w:val="134"/>
  </w:num>
  <w:num w:numId="247">
    <w:abstractNumId w:val="227"/>
  </w:num>
  <w:num w:numId="248">
    <w:abstractNumId w:val="7"/>
  </w:num>
  <w:num w:numId="249">
    <w:abstractNumId w:val="155"/>
  </w:num>
  <w:num w:numId="250">
    <w:abstractNumId w:val="169"/>
  </w:num>
  <w:num w:numId="251">
    <w:abstractNumId w:val="103"/>
  </w:num>
  <w:num w:numId="252">
    <w:abstractNumId w:val="146"/>
  </w:num>
  <w:num w:numId="253">
    <w:abstractNumId w:val="136"/>
  </w:num>
  <w:num w:numId="254">
    <w:abstractNumId w:val="293"/>
  </w:num>
  <w:num w:numId="255">
    <w:abstractNumId w:val="164"/>
  </w:num>
  <w:num w:numId="256">
    <w:abstractNumId w:val="11"/>
  </w:num>
  <w:num w:numId="257">
    <w:abstractNumId w:val="260"/>
  </w:num>
  <w:num w:numId="258">
    <w:abstractNumId w:val="32"/>
  </w:num>
  <w:num w:numId="259">
    <w:abstractNumId w:val="237"/>
  </w:num>
  <w:num w:numId="260">
    <w:abstractNumId w:val="88"/>
  </w:num>
  <w:num w:numId="261">
    <w:abstractNumId w:val="113"/>
  </w:num>
  <w:num w:numId="262">
    <w:abstractNumId w:val="100"/>
  </w:num>
  <w:num w:numId="263">
    <w:abstractNumId w:val="16"/>
  </w:num>
  <w:num w:numId="264">
    <w:abstractNumId w:val="163"/>
  </w:num>
  <w:num w:numId="265">
    <w:abstractNumId w:val="97"/>
  </w:num>
  <w:num w:numId="266">
    <w:abstractNumId w:val="129"/>
  </w:num>
  <w:num w:numId="267">
    <w:abstractNumId w:val="115"/>
  </w:num>
  <w:num w:numId="268">
    <w:abstractNumId w:val="56"/>
  </w:num>
  <w:num w:numId="269">
    <w:abstractNumId w:val="192"/>
  </w:num>
  <w:num w:numId="270">
    <w:abstractNumId w:val="199"/>
  </w:num>
  <w:num w:numId="271">
    <w:abstractNumId w:val="252"/>
  </w:num>
  <w:num w:numId="272">
    <w:abstractNumId w:val="121"/>
  </w:num>
  <w:num w:numId="273">
    <w:abstractNumId w:val="143"/>
  </w:num>
  <w:num w:numId="274">
    <w:abstractNumId w:val="213"/>
  </w:num>
  <w:num w:numId="275">
    <w:abstractNumId w:val="2"/>
  </w:num>
  <w:num w:numId="276">
    <w:abstractNumId w:val="303"/>
  </w:num>
  <w:num w:numId="277">
    <w:abstractNumId w:val="159"/>
  </w:num>
  <w:num w:numId="278">
    <w:abstractNumId w:val="25"/>
  </w:num>
  <w:num w:numId="279">
    <w:abstractNumId w:val="200"/>
  </w:num>
  <w:num w:numId="280">
    <w:abstractNumId w:val="149"/>
  </w:num>
  <w:num w:numId="281">
    <w:abstractNumId w:val="148"/>
  </w:num>
  <w:num w:numId="282">
    <w:abstractNumId w:val="30"/>
  </w:num>
  <w:num w:numId="283">
    <w:abstractNumId w:val="181"/>
  </w:num>
  <w:num w:numId="284">
    <w:abstractNumId w:val="151"/>
  </w:num>
  <w:num w:numId="285">
    <w:abstractNumId w:val="236"/>
  </w:num>
  <w:num w:numId="286">
    <w:abstractNumId w:val="95"/>
  </w:num>
  <w:num w:numId="287">
    <w:abstractNumId w:val="21"/>
  </w:num>
  <w:num w:numId="288">
    <w:abstractNumId w:val="267"/>
  </w:num>
  <w:num w:numId="289">
    <w:abstractNumId w:val="35"/>
  </w:num>
  <w:num w:numId="290">
    <w:abstractNumId w:val="228"/>
  </w:num>
  <w:num w:numId="291">
    <w:abstractNumId w:val="223"/>
  </w:num>
  <w:num w:numId="292">
    <w:abstractNumId w:val="27"/>
  </w:num>
  <w:num w:numId="293">
    <w:abstractNumId w:val="23"/>
  </w:num>
  <w:num w:numId="294">
    <w:abstractNumId w:val="140"/>
  </w:num>
  <w:num w:numId="295">
    <w:abstractNumId w:val="261"/>
  </w:num>
  <w:num w:numId="296">
    <w:abstractNumId w:val="51"/>
  </w:num>
  <w:num w:numId="297">
    <w:abstractNumId w:val="133"/>
  </w:num>
  <w:num w:numId="298">
    <w:abstractNumId w:val="108"/>
  </w:num>
  <w:num w:numId="299">
    <w:abstractNumId w:val="1"/>
  </w:num>
  <w:num w:numId="300">
    <w:abstractNumId w:val="74"/>
  </w:num>
  <w:num w:numId="301">
    <w:abstractNumId w:val="98"/>
  </w:num>
  <w:num w:numId="302">
    <w:abstractNumId w:val="55"/>
  </w:num>
  <w:num w:numId="303">
    <w:abstractNumId w:val="270"/>
  </w:num>
  <w:num w:numId="304">
    <w:abstractNumId w:val="68"/>
  </w:num>
  <w:num w:numId="305">
    <w:abstractNumId w:val="90"/>
  </w:num>
  <w:num w:numId="306">
    <w:abstractNumId w:val="53"/>
  </w:num>
  <w:numIdMacAtCleanup w:val="3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stylePaneSortMethod w:val="0000"/>
  <w:revisionView w:inkAnnotations="0"/>
  <w:doNotTrackFormatting/>
  <w:defaultTabStop w:val="720"/>
  <w:defaultTableStyle w:val="TableGrid"/>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4E60"/>
    <w:rsid w:val="00000702"/>
    <w:rsid w:val="00000A0A"/>
    <w:rsid w:val="00001656"/>
    <w:rsid w:val="000017A9"/>
    <w:rsid w:val="00002362"/>
    <w:rsid w:val="000025EC"/>
    <w:rsid w:val="0000335E"/>
    <w:rsid w:val="00003D43"/>
    <w:rsid w:val="00004041"/>
    <w:rsid w:val="0000441A"/>
    <w:rsid w:val="0000559C"/>
    <w:rsid w:val="00005AF1"/>
    <w:rsid w:val="00005E97"/>
    <w:rsid w:val="00006102"/>
    <w:rsid w:val="00007590"/>
    <w:rsid w:val="000076E7"/>
    <w:rsid w:val="00007F83"/>
    <w:rsid w:val="00010804"/>
    <w:rsid w:val="000110C3"/>
    <w:rsid w:val="00011935"/>
    <w:rsid w:val="000121E5"/>
    <w:rsid w:val="0001286F"/>
    <w:rsid w:val="000129ED"/>
    <w:rsid w:val="00012C9B"/>
    <w:rsid w:val="0001357F"/>
    <w:rsid w:val="000137C1"/>
    <w:rsid w:val="0001432A"/>
    <w:rsid w:val="000146AC"/>
    <w:rsid w:val="000147D3"/>
    <w:rsid w:val="00014824"/>
    <w:rsid w:val="00015192"/>
    <w:rsid w:val="00015543"/>
    <w:rsid w:val="00015A4E"/>
    <w:rsid w:val="00016006"/>
    <w:rsid w:val="00016E2C"/>
    <w:rsid w:val="00017743"/>
    <w:rsid w:val="000200EA"/>
    <w:rsid w:val="0002014A"/>
    <w:rsid w:val="00020E1E"/>
    <w:rsid w:val="0002105E"/>
    <w:rsid w:val="000227C1"/>
    <w:rsid w:val="00023045"/>
    <w:rsid w:val="00023525"/>
    <w:rsid w:val="000235CB"/>
    <w:rsid w:val="00023CDB"/>
    <w:rsid w:val="00024681"/>
    <w:rsid w:val="0002472B"/>
    <w:rsid w:val="000248C4"/>
    <w:rsid w:val="00024D04"/>
    <w:rsid w:val="00024D4A"/>
    <w:rsid w:val="00024E2F"/>
    <w:rsid w:val="0002547F"/>
    <w:rsid w:val="00025D12"/>
    <w:rsid w:val="0002602A"/>
    <w:rsid w:val="0002632F"/>
    <w:rsid w:val="0002671F"/>
    <w:rsid w:val="0002680A"/>
    <w:rsid w:val="0002704F"/>
    <w:rsid w:val="000270B2"/>
    <w:rsid w:val="0002745C"/>
    <w:rsid w:val="0002781B"/>
    <w:rsid w:val="00030903"/>
    <w:rsid w:val="0003110B"/>
    <w:rsid w:val="000317D3"/>
    <w:rsid w:val="00031AE0"/>
    <w:rsid w:val="00032381"/>
    <w:rsid w:val="00032A72"/>
    <w:rsid w:val="00032B8C"/>
    <w:rsid w:val="0003419D"/>
    <w:rsid w:val="00034FB3"/>
    <w:rsid w:val="00035542"/>
    <w:rsid w:val="000361E8"/>
    <w:rsid w:val="0003663B"/>
    <w:rsid w:val="00036893"/>
    <w:rsid w:val="00036BD9"/>
    <w:rsid w:val="00037FF6"/>
    <w:rsid w:val="00040235"/>
    <w:rsid w:val="000402BD"/>
    <w:rsid w:val="0004065B"/>
    <w:rsid w:val="000418DB"/>
    <w:rsid w:val="00041AC7"/>
    <w:rsid w:val="000428D2"/>
    <w:rsid w:val="000428E6"/>
    <w:rsid w:val="00043340"/>
    <w:rsid w:val="000436E8"/>
    <w:rsid w:val="00043E48"/>
    <w:rsid w:val="0004408A"/>
    <w:rsid w:val="00044147"/>
    <w:rsid w:val="00045542"/>
    <w:rsid w:val="00045B3F"/>
    <w:rsid w:val="00045BA7"/>
    <w:rsid w:val="00046CE9"/>
    <w:rsid w:val="000473FA"/>
    <w:rsid w:val="00047627"/>
    <w:rsid w:val="0004792D"/>
    <w:rsid w:val="00047B59"/>
    <w:rsid w:val="00047DCC"/>
    <w:rsid w:val="0005052A"/>
    <w:rsid w:val="000507A1"/>
    <w:rsid w:val="0005094D"/>
    <w:rsid w:val="0005161F"/>
    <w:rsid w:val="000516FD"/>
    <w:rsid w:val="00051796"/>
    <w:rsid w:val="00051D43"/>
    <w:rsid w:val="000523AC"/>
    <w:rsid w:val="00052CD7"/>
    <w:rsid w:val="00052DA3"/>
    <w:rsid w:val="000530DE"/>
    <w:rsid w:val="00054292"/>
    <w:rsid w:val="00054652"/>
    <w:rsid w:val="000546E1"/>
    <w:rsid w:val="00054F83"/>
    <w:rsid w:val="00055156"/>
    <w:rsid w:val="000554B4"/>
    <w:rsid w:val="000554ED"/>
    <w:rsid w:val="00055AD2"/>
    <w:rsid w:val="00055C90"/>
    <w:rsid w:val="0005643F"/>
    <w:rsid w:val="0005656F"/>
    <w:rsid w:val="00056648"/>
    <w:rsid w:val="000568C1"/>
    <w:rsid w:val="00056DD9"/>
    <w:rsid w:val="000578A4"/>
    <w:rsid w:val="00057B76"/>
    <w:rsid w:val="00060027"/>
    <w:rsid w:val="000604AC"/>
    <w:rsid w:val="00060DD5"/>
    <w:rsid w:val="000612E3"/>
    <w:rsid w:val="000615C7"/>
    <w:rsid w:val="00061A36"/>
    <w:rsid w:val="00061E94"/>
    <w:rsid w:val="00062059"/>
    <w:rsid w:val="000628BF"/>
    <w:rsid w:val="0006359F"/>
    <w:rsid w:val="00064123"/>
    <w:rsid w:val="00065101"/>
    <w:rsid w:val="000658DB"/>
    <w:rsid w:val="00065AE9"/>
    <w:rsid w:val="00065AF3"/>
    <w:rsid w:val="00065E59"/>
    <w:rsid w:val="00065F6E"/>
    <w:rsid w:val="00066907"/>
    <w:rsid w:val="00067336"/>
    <w:rsid w:val="0006752B"/>
    <w:rsid w:val="00067A54"/>
    <w:rsid w:val="00070D4E"/>
    <w:rsid w:val="00070E5E"/>
    <w:rsid w:val="00071010"/>
    <w:rsid w:val="0007128F"/>
    <w:rsid w:val="000713C4"/>
    <w:rsid w:val="000714CD"/>
    <w:rsid w:val="000716EF"/>
    <w:rsid w:val="000717D8"/>
    <w:rsid w:val="00071D6F"/>
    <w:rsid w:val="0007231B"/>
    <w:rsid w:val="000723D0"/>
    <w:rsid w:val="000725F1"/>
    <w:rsid w:val="00072C18"/>
    <w:rsid w:val="00072CDF"/>
    <w:rsid w:val="00072FFD"/>
    <w:rsid w:val="0007319A"/>
    <w:rsid w:val="000733F1"/>
    <w:rsid w:val="00073467"/>
    <w:rsid w:val="00075164"/>
    <w:rsid w:val="0007588D"/>
    <w:rsid w:val="00075C9E"/>
    <w:rsid w:val="00075D37"/>
    <w:rsid w:val="00076010"/>
    <w:rsid w:val="00076BA9"/>
    <w:rsid w:val="000772C0"/>
    <w:rsid w:val="000802AF"/>
    <w:rsid w:val="00080855"/>
    <w:rsid w:val="00080E8B"/>
    <w:rsid w:val="00081418"/>
    <w:rsid w:val="00081BDC"/>
    <w:rsid w:val="00081CD9"/>
    <w:rsid w:val="00081DEE"/>
    <w:rsid w:val="000822B0"/>
    <w:rsid w:val="00082B92"/>
    <w:rsid w:val="0008337D"/>
    <w:rsid w:val="00083E2A"/>
    <w:rsid w:val="000841EB"/>
    <w:rsid w:val="00084221"/>
    <w:rsid w:val="00084333"/>
    <w:rsid w:val="0008466F"/>
    <w:rsid w:val="00084FCB"/>
    <w:rsid w:val="000851F9"/>
    <w:rsid w:val="000855DC"/>
    <w:rsid w:val="000859D7"/>
    <w:rsid w:val="00086274"/>
    <w:rsid w:val="00086576"/>
    <w:rsid w:val="00086ED7"/>
    <w:rsid w:val="0008702E"/>
    <w:rsid w:val="00087490"/>
    <w:rsid w:val="00087A00"/>
    <w:rsid w:val="00087C54"/>
    <w:rsid w:val="00087ED5"/>
    <w:rsid w:val="00087F18"/>
    <w:rsid w:val="00090880"/>
    <w:rsid w:val="00091167"/>
    <w:rsid w:val="00091A1D"/>
    <w:rsid w:val="00092596"/>
    <w:rsid w:val="00092867"/>
    <w:rsid w:val="00092E93"/>
    <w:rsid w:val="00093703"/>
    <w:rsid w:val="0009388B"/>
    <w:rsid w:val="00094389"/>
    <w:rsid w:val="00094BC1"/>
    <w:rsid w:val="00094E92"/>
    <w:rsid w:val="00095581"/>
    <w:rsid w:val="0009594E"/>
    <w:rsid w:val="00097643"/>
    <w:rsid w:val="000A0052"/>
    <w:rsid w:val="000A0680"/>
    <w:rsid w:val="000A0CBE"/>
    <w:rsid w:val="000A1097"/>
    <w:rsid w:val="000A11EC"/>
    <w:rsid w:val="000A3719"/>
    <w:rsid w:val="000A5553"/>
    <w:rsid w:val="000A7506"/>
    <w:rsid w:val="000A7971"/>
    <w:rsid w:val="000A7EE5"/>
    <w:rsid w:val="000A7EF0"/>
    <w:rsid w:val="000B0F61"/>
    <w:rsid w:val="000B1556"/>
    <w:rsid w:val="000B1948"/>
    <w:rsid w:val="000B2342"/>
    <w:rsid w:val="000B3883"/>
    <w:rsid w:val="000B39A1"/>
    <w:rsid w:val="000B3B90"/>
    <w:rsid w:val="000B40F6"/>
    <w:rsid w:val="000B486E"/>
    <w:rsid w:val="000B48DE"/>
    <w:rsid w:val="000B5600"/>
    <w:rsid w:val="000B5634"/>
    <w:rsid w:val="000B598C"/>
    <w:rsid w:val="000B5CE6"/>
    <w:rsid w:val="000B629D"/>
    <w:rsid w:val="000B6D80"/>
    <w:rsid w:val="000B6E0B"/>
    <w:rsid w:val="000B77F0"/>
    <w:rsid w:val="000B7E28"/>
    <w:rsid w:val="000C0592"/>
    <w:rsid w:val="000C0C0D"/>
    <w:rsid w:val="000C0F8F"/>
    <w:rsid w:val="000C170D"/>
    <w:rsid w:val="000C1807"/>
    <w:rsid w:val="000C18BE"/>
    <w:rsid w:val="000C1D6E"/>
    <w:rsid w:val="000C2031"/>
    <w:rsid w:val="000C223F"/>
    <w:rsid w:val="000C356C"/>
    <w:rsid w:val="000C3905"/>
    <w:rsid w:val="000C3977"/>
    <w:rsid w:val="000C3D12"/>
    <w:rsid w:val="000C418F"/>
    <w:rsid w:val="000C42B4"/>
    <w:rsid w:val="000C6751"/>
    <w:rsid w:val="000C6ED1"/>
    <w:rsid w:val="000C701D"/>
    <w:rsid w:val="000C7D77"/>
    <w:rsid w:val="000C7FEA"/>
    <w:rsid w:val="000D059B"/>
    <w:rsid w:val="000D091D"/>
    <w:rsid w:val="000D0DAD"/>
    <w:rsid w:val="000D0E37"/>
    <w:rsid w:val="000D15EE"/>
    <w:rsid w:val="000D20B9"/>
    <w:rsid w:val="000D2819"/>
    <w:rsid w:val="000D2D58"/>
    <w:rsid w:val="000D4F35"/>
    <w:rsid w:val="000D4FA9"/>
    <w:rsid w:val="000D5574"/>
    <w:rsid w:val="000D5A56"/>
    <w:rsid w:val="000D66B8"/>
    <w:rsid w:val="000D6900"/>
    <w:rsid w:val="000D7021"/>
    <w:rsid w:val="000D70D6"/>
    <w:rsid w:val="000D7313"/>
    <w:rsid w:val="000D75A2"/>
    <w:rsid w:val="000D78BC"/>
    <w:rsid w:val="000E0636"/>
    <w:rsid w:val="000E07F2"/>
    <w:rsid w:val="000E0EAF"/>
    <w:rsid w:val="000E1F3E"/>
    <w:rsid w:val="000E267C"/>
    <w:rsid w:val="000E2AF6"/>
    <w:rsid w:val="000E327C"/>
    <w:rsid w:val="000E3A12"/>
    <w:rsid w:val="000E4416"/>
    <w:rsid w:val="000E49C8"/>
    <w:rsid w:val="000E5930"/>
    <w:rsid w:val="000E6A47"/>
    <w:rsid w:val="000E7101"/>
    <w:rsid w:val="000F06CE"/>
    <w:rsid w:val="000F0B00"/>
    <w:rsid w:val="000F112A"/>
    <w:rsid w:val="000F1671"/>
    <w:rsid w:val="000F2170"/>
    <w:rsid w:val="000F2709"/>
    <w:rsid w:val="000F3853"/>
    <w:rsid w:val="000F3E81"/>
    <w:rsid w:val="000F44DF"/>
    <w:rsid w:val="000F4709"/>
    <w:rsid w:val="000F49CC"/>
    <w:rsid w:val="000F5A4B"/>
    <w:rsid w:val="000F70D0"/>
    <w:rsid w:val="000F72EE"/>
    <w:rsid w:val="000F738A"/>
    <w:rsid w:val="00100539"/>
    <w:rsid w:val="00100707"/>
    <w:rsid w:val="00100CF4"/>
    <w:rsid w:val="00101283"/>
    <w:rsid w:val="0010158F"/>
    <w:rsid w:val="00101950"/>
    <w:rsid w:val="00101D6C"/>
    <w:rsid w:val="00101EBE"/>
    <w:rsid w:val="001027EA"/>
    <w:rsid w:val="00102A39"/>
    <w:rsid w:val="00102E29"/>
    <w:rsid w:val="00103037"/>
    <w:rsid w:val="001030B3"/>
    <w:rsid w:val="0010569B"/>
    <w:rsid w:val="00105E2F"/>
    <w:rsid w:val="001062C9"/>
    <w:rsid w:val="001067EE"/>
    <w:rsid w:val="00107E2A"/>
    <w:rsid w:val="00110720"/>
    <w:rsid w:val="00110CA4"/>
    <w:rsid w:val="00110FF8"/>
    <w:rsid w:val="0011118B"/>
    <w:rsid w:val="00111257"/>
    <w:rsid w:val="0011170C"/>
    <w:rsid w:val="00111A21"/>
    <w:rsid w:val="00112366"/>
    <w:rsid w:val="001128E2"/>
    <w:rsid w:val="001129AE"/>
    <w:rsid w:val="00112C98"/>
    <w:rsid w:val="00112E60"/>
    <w:rsid w:val="00113042"/>
    <w:rsid w:val="001136E2"/>
    <w:rsid w:val="00113980"/>
    <w:rsid w:val="00113CA6"/>
    <w:rsid w:val="00114D77"/>
    <w:rsid w:val="0011605D"/>
    <w:rsid w:val="00116227"/>
    <w:rsid w:val="00117CE7"/>
    <w:rsid w:val="0012014B"/>
    <w:rsid w:val="00120489"/>
    <w:rsid w:val="00120F1B"/>
    <w:rsid w:val="00121BFF"/>
    <w:rsid w:val="00121FCA"/>
    <w:rsid w:val="0012240D"/>
    <w:rsid w:val="0012283B"/>
    <w:rsid w:val="00125BC5"/>
    <w:rsid w:val="00125E0F"/>
    <w:rsid w:val="001260BB"/>
    <w:rsid w:val="00126D36"/>
    <w:rsid w:val="0013117F"/>
    <w:rsid w:val="00131673"/>
    <w:rsid w:val="001317FF"/>
    <w:rsid w:val="00131853"/>
    <w:rsid w:val="0013237C"/>
    <w:rsid w:val="0013246A"/>
    <w:rsid w:val="00132524"/>
    <w:rsid w:val="001328B4"/>
    <w:rsid w:val="00132A5D"/>
    <w:rsid w:val="00132BE0"/>
    <w:rsid w:val="00132D82"/>
    <w:rsid w:val="00133727"/>
    <w:rsid w:val="00133D6B"/>
    <w:rsid w:val="00133EAB"/>
    <w:rsid w:val="00134D32"/>
    <w:rsid w:val="001354C3"/>
    <w:rsid w:val="00135575"/>
    <w:rsid w:val="00135602"/>
    <w:rsid w:val="0013617B"/>
    <w:rsid w:val="001365EE"/>
    <w:rsid w:val="00136A62"/>
    <w:rsid w:val="00136F63"/>
    <w:rsid w:val="0013770B"/>
    <w:rsid w:val="0014041F"/>
    <w:rsid w:val="00140490"/>
    <w:rsid w:val="00141BD2"/>
    <w:rsid w:val="00141E38"/>
    <w:rsid w:val="00142015"/>
    <w:rsid w:val="0014298B"/>
    <w:rsid w:val="00142A79"/>
    <w:rsid w:val="00142C47"/>
    <w:rsid w:val="00142F41"/>
    <w:rsid w:val="001432D2"/>
    <w:rsid w:val="001438CB"/>
    <w:rsid w:val="00143E80"/>
    <w:rsid w:val="00145099"/>
    <w:rsid w:val="00145BB9"/>
    <w:rsid w:val="0014687E"/>
    <w:rsid w:val="001468DE"/>
    <w:rsid w:val="00146B43"/>
    <w:rsid w:val="00146EE9"/>
    <w:rsid w:val="001477CF"/>
    <w:rsid w:val="001478AB"/>
    <w:rsid w:val="001478CE"/>
    <w:rsid w:val="00147CD6"/>
    <w:rsid w:val="00147FC0"/>
    <w:rsid w:val="0015104D"/>
    <w:rsid w:val="001525E7"/>
    <w:rsid w:val="00152EFE"/>
    <w:rsid w:val="00153796"/>
    <w:rsid w:val="001563B2"/>
    <w:rsid w:val="00156B5E"/>
    <w:rsid w:val="0015705A"/>
    <w:rsid w:val="0015729D"/>
    <w:rsid w:val="0016058B"/>
    <w:rsid w:val="001607DC"/>
    <w:rsid w:val="00160A70"/>
    <w:rsid w:val="0016126D"/>
    <w:rsid w:val="001617F2"/>
    <w:rsid w:val="00161D57"/>
    <w:rsid w:val="001620D8"/>
    <w:rsid w:val="00162875"/>
    <w:rsid w:val="001629B4"/>
    <w:rsid w:val="00162A96"/>
    <w:rsid w:val="00162E65"/>
    <w:rsid w:val="0016437E"/>
    <w:rsid w:val="0016471E"/>
    <w:rsid w:val="00164C40"/>
    <w:rsid w:val="00164C50"/>
    <w:rsid w:val="00165066"/>
    <w:rsid w:val="001656EC"/>
    <w:rsid w:val="00165CBC"/>
    <w:rsid w:val="00165CF7"/>
    <w:rsid w:val="00166008"/>
    <w:rsid w:val="00166C5D"/>
    <w:rsid w:val="00166D28"/>
    <w:rsid w:val="001673BF"/>
    <w:rsid w:val="00167982"/>
    <w:rsid w:val="00170016"/>
    <w:rsid w:val="00170545"/>
    <w:rsid w:val="001706E0"/>
    <w:rsid w:val="00172458"/>
    <w:rsid w:val="00172D72"/>
    <w:rsid w:val="00173A55"/>
    <w:rsid w:val="00173DB1"/>
    <w:rsid w:val="00174793"/>
    <w:rsid w:val="0017502E"/>
    <w:rsid w:val="0017548F"/>
    <w:rsid w:val="0017694D"/>
    <w:rsid w:val="001769F0"/>
    <w:rsid w:val="00176BE1"/>
    <w:rsid w:val="00176F02"/>
    <w:rsid w:val="001810DE"/>
    <w:rsid w:val="001815C4"/>
    <w:rsid w:val="00182AB9"/>
    <w:rsid w:val="00182C76"/>
    <w:rsid w:val="00182F93"/>
    <w:rsid w:val="00183889"/>
    <w:rsid w:val="00183951"/>
    <w:rsid w:val="00185C52"/>
    <w:rsid w:val="00186645"/>
    <w:rsid w:val="00186CB3"/>
    <w:rsid w:val="00187DBC"/>
    <w:rsid w:val="001904D5"/>
    <w:rsid w:val="00190851"/>
    <w:rsid w:val="00190C38"/>
    <w:rsid w:val="0019140C"/>
    <w:rsid w:val="00191F45"/>
    <w:rsid w:val="00192268"/>
    <w:rsid w:val="00192798"/>
    <w:rsid w:val="00192EB4"/>
    <w:rsid w:val="0019417C"/>
    <w:rsid w:val="0019447F"/>
    <w:rsid w:val="001958E7"/>
    <w:rsid w:val="00195B01"/>
    <w:rsid w:val="00195C67"/>
    <w:rsid w:val="001971EC"/>
    <w:rsid w:val="00197DF7"/>
    <w:rsid w:val="001A03CF"/>
    <w:rsid w:val="001A1012"/>
    <w:rsid w:val="001A1693"/>
    <w:rsid w:val="001A1897"/>
    <w:rsid w:val="001A225B"/>
    <w:rsid w:val="001A2C1B"/>
    <w:rsid w:val="001A33CC"/>
    <w:rsid w:val="001A3B95"/>
    <w:rsid w:val="001A4343"/>
    <w:rsid w:val="001A46E7"/>
    <w:rsid w:val="001A55B4"/>
    <w:rsid w:val="001A57C0"/>
    <w:rsid w:val="001A641F"/>
    <w:rsid w:val="001A7447"/>
    <w:rsid w:val="001B2042"/>
    <w:rsid w:val="001B2193"/>
    <w:rsid w:val="001B222D"/>
    <w:rsid w:val="001B28C4"/>
    <w:rsid w:val="001B3119"/>
    <w:rsid w:val="001B3569"/>
    <w:rsid w:val="001B3EA1"/>
    <w:rsid w:val="001B405E"/>
    <w:rsid w:val="001B47FE"/>
    <w:rsid w:val="001B510B"/>
    <w:rsid w:val="001B510E"/>
    <w:rsid w:val="001B5D48"/>
    <w:rsid w:val="001B6020"/>
    <w:rsid w:val="001B6783"/>
    <w:rsid w:val="001B77E1"/>
    <w:rsid w:val="001B77E6"/>
    <w:rsid w:val="001B7888"/>
    <w:rsid w:val="001B7B57"/>
    <w:rsid w:val="001B7DAF"/>
    <w:rsid w:val="001C1DA6"/>
    <w:rsid w:val="001C274B"/>
    <w:rsid w:val="001C2985"/>
    <w:rsid w:val="001C29E6"/>
    <w:rsid w:val="001C3715"/>
    <w:rsid w:val="001C3841"/>
    <w:rsid w:val="001C38F3"/>
    <w:rsid w:val="001C3F05"/>
    <w:rsid w:val="001C4A70"/>
    <w:rsid w:val="001C4AC8"/>
    <w:rsid w:val="001C4D03"/>
    <w:rsid w:val="001C536E"/>
    <w:rsid w:val="001C53E9"/>
    <w:rsid w:val="001C589A"/>
    <w:rsid w:val="001C5C9B"/>
    <w:rsid w:val="001C6A23"/>
    <w:rsid w:val="001D0BF7"/>
    <w:rsid w:val="001D0CEE"/>
    <w:rsid w:val="001D0E9C"/>
    <w:rsid w:val="001D1D52"/>
    <w:rsid w:val="001D1ECE"/>
    <w:rsid w:val="001D3D87"/>
    <w:rsid w:val="001D4A7B"/>
    <w:rsid w:val="001D5026"/>
    <w:rsid w:val="001D59C7"/>
    <w:rsid w:val="001D5E14"/>
    <w:rsid w:val="001D5F5A"/>
    <w:rsid w:val="001D6C2B"/>
    <w:rsid w:val="001D70E1"/>
    <w:rsid w:val="001D7259"/>
    <w:rsid w:val="001D7428"/>
    <w:rsid w:val="001E0204"/>
    <w:rsid w:val="001E059A"/>
    <w:rsid w:val="001E1937"/>
    <w:rsid w:val="001E251E"/>
    <w:rsid w:val="001E2BAB"/>
    <w:rsid w:val="001E500A"/>
    <w:rsid w:val="001E5353"/>
    <w:rsid w:val="001E5AC2"/>
    <w:rsid w:val="001E64BB"/>
    <w:rsid w:val="001E6A22"/>
    <w:rsid w:val="001E6DE1"/>
    <w:rsid w:val="001E712B"/>
    <w:rsid w:val="001E7A04"/>
    <w:rsid w:val="001E7C4D"/>
    <w:rsid w:val="001F0392"/>
    <w:rsid w:val="001F0EA1"/>
    <w:rsid w:val="001F0F52"/>
    <w:rsid w:val="001F137B"/>
    <w:rsid w:val="001F1618"/>
    <w:rsid w:val="001F1B05"/>
    <w:rsid w:val="001F1BC1"/>
    <w:rsid w:val="001F20C3"/>
    <w:rsid w:val="001F30FB"/>
    <w:rsid w:val="001F3A94"/>
    <w:rsid w:val="001F3B4D"/>
    <w:rsid w:val="001F42AD"/>
    <w:rsid w:val="001F44EF"/>
    <w:rsid w:val="001F4A67"/>
    <w:rsid w:val="001F4BE6"/>
    <w:rsid w:val="001F538E"/>
    <w:rsid w:val="001F6594"/>
    <w:rsid w:val="001F65DC"/>
    <w:rsid w:val="001F6676"/>
    <w:rsid w:val="001F6AA0"/>
    <w:rsid w:val="001F6ABB"/>
    <w:rsid w:val="001F6D07"/>
    <w:rsid w:val="001F6D11"/>
    <w:rsid w:val="001F6DD0"/>
    <w:rsid w:val="001F7161"/>
    <w:rsid w:val="001F736D"/>
    <w:rsid w:val="001F7C07"/>
    <w:rsid w:val="002002CD"/>
    <w:rsid w:val="00200CE6"/>
    <w:rsid w:val="00201006"/>
    <w:rsid w:val="00201DF6"/>
    <w:rsid w:val="00202241"/>
    <w:rsid w:val="00202C6E"/>
    <w:rsid w:val="00203D8A"/>
    <w:rsid w:val="00204F6C"/>
    <w:rsid w:val="00204FDB"/>
    <w:rsid w:val="0020526B"/>
    <w:rsid w:val="00205379"/>
    <w:rsid w:val="00205C12"/>
    <w:rsid w:val="002063F1"/>
    <w:rsid w:val="00207678"/>
    <w:rsid w:val="002076FA"/>
    <w:rsid w:val="002106DB"/>
    <w:rsid w:val="00210CF8"/>
    <w:rsid w:val="00210E3A"/>
    <w:rsid w:val="00210EDF"/>
    <w:rsid w:val="00211CD3"/>
    <w:rsid w:val="00211F37"/>
    <w:rsid w:val="00212793"/>
    <w:rsid w:val="00213B06"/>
    <w:rsid w:val="00213D57"/>
    <w:rsid w:val="00213FD8"/>
    <w:rsid w:val="0021405B"/>
    <w:rsid w:val="0021433F"/>
    <w:rsid w:val="00215D30"/>
    <w:rsid w:val="00215EBC"/>
    <w:rsid w:val="00216C3E"/>
    <w:rsid w:val="00217740"/>
    <w:rsid w:val="002205E0"/>
    <w:rsid w:val="00220903"/>
    <w:rsid w:val="002209EB"/>
    <w:rsid w:val="00220B77"/>
    <w:rsid w:val="00220E92"/>
    <w:rsid w:val="0022172F"/>
    <w:rsid w:val="00222237"/>
    <w:rsid w:val="002227B5"/>
    <w:rsid w:val="002231EF"/>
    <w:rsid w:val="00223834"/>
    <w:rsid w:val="00223D39"/>
    <w:rsid w:val="00224023"/>
    <w:rsid w:val="002240F9"/>
    <w:rsid w:val="002246E8"/>
    <w:rsid w:val="00224796"/>
    <w:rsid w:val="00225C52"/>
    <w:rsid w:val="00226251"/>
    <w:rsid w:val="00226D8E"/>
    <w:rsid w:val="00227107"/>
    <w:rsid w:val="002275BB"/>
    <w:rsid w:val="00227F2F"/>
    <w:rsid w:val="0023037E"/>
    <w:rsid w:val="00230552"/>
    <w:rsid w:val="002308B3"/>
    <w:rsid w:val="00230EE6"/>
    <w:rsid w:val="00231689"/>
    <w:rsid w:val="00231BDE"/>
    <w:rsid w:val="00232059"/>
    <w:rsid w:val="00232F08"/>
    <w:rsid w:val="0023371F"/>
    <w:rsid w:val="00233B29"/>
    <w:rsid w:val="00234944"/>
    <w:rsid w:val="00234A28"/>
    <w:rsid w:val="0023514D"/>
    <w:rsid w:val="0023533E"/>
    <w:rsid w:val="00235DF2"/>
    <w:rsid w:val="00235DFA"/>
    <w:rsid w:val="00236412"/>
    <w:rsid w:val="0023651B"/>
    <w:rsid w:val="00236705"/>
    <w:rsid w:val="00236F1B"/>
    <w:rsid w:val="00237147"/>
    <w:rsid w:val="002378A3"/>
    <w:rsid w:val="00241181"/>
    <w:rsid w:val="00241334"/>
    <w:rsid w:val="0024134D"/>
    <w:rsid w:val="0024179A"/>
    <w:rsid w:val="00242751"/>
    <w:rsid w:val="002439E3"/>
    <w:rsid w:val="002441C7"/>
    <w:rsid w:val="00244A8B"/>
    <w:rsid w:val="00245066"/>
    <w:rsid w:val="00245B70"/>
    <w:rsid w:val="00245D0F"/>
    <w:rsid w:val="00245DBF"/>
    <w:rsid w:val="00246917"/>
    <w:rsid w:val="002475FE"/>
    <w:rsid w:val="0025062F"/>
    <w:rsid w:val="00250BF7"/>
    <w:rsid w:val="00250DAC"/>
    <w:rsid w:val="00250EFD"/>
    <w:rsid w:val="002518D8"/>
    <w:rsid w:val="00251E5C"/>
    <w:rsid w:val="00251F1F"/>
    <w:rsid w:val="00252937"/>
    <w:rsid w:val="00252CAD"/>
    <w:rsid w:val="00252F3C"/>
    <w:rsid w:val="002541B0"/>
    <w:rsid w:val="00254C18"/>
    <w:rsid w:val="00254DC8"/>
    <w:rsid w:val="002555FF"/>
    <w:rsid w:val="00255EA8"/>
    <w:rsid w:val="00256000"/>
    <w:rsid w:val="00256063"/>
    <w:rsid w:val="002561A9"/>
    <w:rsid w:val="00256380"/>
    <w:rsid w:val="00256A5E"/>
    <w:rsid w:val="002573E5"/>
    <w:rsid w:val="0025754D"/>
    <w:rsid w:val="00257794"/>
    <w:rsid w:val="002603B7"/>
    <w:rsid w:val="0026064B"/>
    <w:rsid w:val="00261823"/>
    <w:rsid w:val="00261960"/>
    <w:rsid w:val="00261CB2"/>
    <w:rsid w:val="002626F5"/>
    <w:rsid w:val="002627D5"/>
    <w:rsid w:val="0026328A"/>
    <w:rsid w:val="00263437"/>
    <w:rsid w:val="002639AF"/>
    <w:rsid w:val="002649C7"/>
    <w:rsid w:val="00264D25"/>
    <w:rsid w:val="002658CC"/>
    <w:rsid w:val="002659D8"/>
    <w:rsid w:val="0026669C"/>
    <w:rsid w:val="00267015"/>
    <w:rsid w:val="00270D0E"/>
    <w:rsid w:val="002718D8"/>
    <w:rsid w:val="00272808"/>
    <w:rsid w:val="00272B28"/>
    <w:rsid w:val="00273177"/>
    <w:rsid w:val="00273564"/>
    <w:rsid w:val="0027408F"/>
    <w:rsid w:val="00274853"/>
    <w:rsid w:val="0027489D"/>
    <w:rsid w:val="00274DAF"/>
    <w:rsid w:val="00275385"/>
    <w:rsid w:val="0027545D"/>
    <w:rsid w:val="00275700"/>
    <w:rsid w:val="00275879"/>
    <w:rsid w:val="00275AB5"/>
    <w:rsid w:val="00275BA8"/>
    <w:rsid w:val="002764F8"/>
    <w:rsid w:val="00276F45"/>
    <w:rsid w:val="002771CB"/>
    <w:rsid w:val="00277410"/>
    <w:rsid w:val="0027743C"/>
    <w:rsid w:val="0027761E"/>
    <w:rsid w:val="00277CF1"/>
    <w:rsid w:val="0028016B"/>
    <w:rsid w:val="00280F5C"/>
    <w:rsid w:val="002811A0"/>
    <w:rsid w:val="00281898"/>
    <w:rsid w:val="0028210F"/>
    <w:rsid w:val="00282D8C"/>
    <w:rsid w:val="002842F8"/>
    <w:rsid w:val="002845C9"/>
    <w:rsid w:val="00284969"/>
    <w:rsid w:val="00284C52"/>
    <w:rsid w:val="00284D09"/>
    <w:rsid w:val="00285DC1"/>
    <w:rsid w:val="00286B97"/>
    <w:rsid w:val="00286C3E"/>
    <w:rsid w:val="0028707A"/>
    <w:rsid w:val="00287E29"/>
    <w:rsid w:val="002903DC"/>
    <w:rsid w:val="00290616"/>
    <w:rsid w:val="002911FA"/>
    <w:rsid w:val="002914C3"/>
    <w:rsid w:val="0029153A"/>
    <w:rsid w:val="002919A8"/>
    <w:rsid w:val="0029236F"/>
    <w:rsid w:val="00292FBF"/>
    <w:rsid w:val="00293093"/>
    <w:rsid w:val="002935D5"/>
    <w:rsid w:val="00293DA4"/>
    <w:rsid w:val="0029404B"/>
    <w:rsid w:val="002943A0"/>
    <w:rsid w:val="00294ACF"/>
    <w:rsid w:val="002955CA"/>
    <w:rsid w:val="00295D6F"/>
    <w:rsid w:val="00296662"/>
    <w:rsid w:val="00296EB5"/>
    <w:rsid w:val="002A0D2E"/>
    <w:rsid w:val="002A1C2B"/>
    <w:rsid w:val="002A1DB9"/>
    <w:rsid w:val="002A2257"/>
    <w:rsid w:val="002A2F6B"/>
    <w:rsid w:val="002A306E"/>
    <w:rsid w:val="002A3BDB"/>
    <w:rsid w:val="002A3F6B"/>
    <w:rsid w:val="002A4422"/>
    <w:rsid w:val="002A455F"/>
    <w:rsid w:val="002A45E5"/>
    <w:rsid w:val="002A4B61"/>
    <w:rsid w:val="002A4BC2"/>
    <w:rsid w:val="002A5467"/>
    <w:rsid w:val="002A55E9"/>
    <w:rsid w:val="002A7B46"/>
    <w:rsid w:val="002B035A"/>
    <w:rsid w:val="002B0DCE"/>
    <w:rsid w:val="002B19E2"/>
    <w:rsid w:val="002B2BAC"/>
    <w:rsid w:val="002B3EEF"/>
    <w:rsid w:val="002B3EFE"/>
    <w:rsid w:val="002B438A"/>
    <w:rsid w:val="002B4CBD"/>
    <w:rsid w:val="002B510D"/>
    <w:rsid w:val="002B525C"/>
    <w:rsid w:val="002B6249"/>
    <w:rsid w:val="002B748D"/>
    <w:rsid w:val="002B74D1"/>
    <w:rsid w:val="002B78E7"/>
    <w:rsid w:val="002C1820"/>
    <w:rsid w:val="002C19FF"/>
    <w:rsid w:val="002C1A16"/>
    <w:rsid w:val="002C1B99"/>
    <w:rsid w:val="002C1BA9"/>
    <w:rsid w:val="002C2517"/>
    <w:rsid w:val="002C27C3"/>
    <w:rsid w:val="002C2C84"/>
    <w:rsid w:val="002C2F6E"/>
    <w:rsid w:val="002C3AB1"/>
    <w:rsid w:val="002C3B47"/>
    <w:rsid w:val="002C456C"/>
    <w:rsid w:val="002C4B3B"/>
    <w:rsid w:val="002C4E24"/>
    <w:rsid w:val="002C5089"/>
    <w:rsid w:val="002C5588"/>
    <w:rsid w:val="002C5A3D"/>
    <w:rsid w:val="002C6B52"/>
    <w:rsid w:val="002C6F9C"/>
    <w:rsid w:val="002C6FD1"/>
    <w:rsid w:val="002C7D29"/>
    <w:rsid w:val="002D0B79"/>
    <w:rsid w:val="002D0CB2"/>
    <w:rsid w:val="002D1860"/>
    <w:rsid w:val="002D1A5B"/>
    <w:rsid w:val="002D1DD6"/>
    <w:rsid w:val="002D1F60"/>
    <w:rsid w:val="002D299F"/>
    <w:rsid w:val="002D2ACA"/>
    <w:rsid w:val="002D2BC2"/>
    <w:rsid w:val="002D2C23"/>
    <w:rsid w:val="002D2F1A"/>
    <w:rsid w:val="002D34AA"/>
    <w:rsid w:val="002D4C36"/>
    <w:rsid w:val="002D5045"/>
    <w:rsid w:val="002D611E"/>
    <w:rsid w:val="002D6B04"/>
    <w:rsid w:val="002D7475"/>
    <w:rsid w:val="002E0565"/>
    <w:rsid w:val="002E077A"/>
    <w:rsid w:val="002E0FF6"/>
    <w:rsid w:val="002E1315"/>
    <w:rsid w:val="002E3194"/>
    <w:rsid w:val="002E4517"/>
    <w:rsid w:val="002E4E5F"/>
    <w:rsid w:val="002E5D14"/>
    <w:rsid w:val="002E5FA8"/>
    <w:rsid w:val="002E69DC"/>
    <w:rsid w:val="002E7791"/>
    <w:rsid w:val="002F01AF"/>
    <w:rsid w:val="002F08C2"/>
    <w:rsid w:val="002F0FDC"/>
    <w:rsid w:val="002F1172"/>
    <w:rsid w:val="002F176D"/>
    <w:rsid w:val="002F2053"/>
    <w:rsid w:val="002F308E"/>
    <w:rsid w:val="002F31FC"/>
    <w:rsid w:val="002F472F"/>
    <w:rsid w:val="002F4CAC"/>
    <w:rsid w:val="002F519A"/>
    <w:rsid w:val="002F57ED"/>
    <w:rsid w:val="002F63EE"/>
    <w:rsid w:val="002F6705"/>
    <w:rsid w:val="002F6A5B"/>
    <w:rsid w:val="002F6C5D"/>
    <w:rsid w:val="002F7427"/>
    <w:rsid w:val="002F7E66"/>
    <w:rsid w:val="00300151"/>
    <w:rsid w:val="00300800"/>
    <w:rsid w:val="00300A5E"/>
    <w:rsid w:val="0030110D"/>
    <w:rsid w:val="003018C4"/>
    <w:rsid w:val="0030210D"/>
    <w:rsid w:val="003033B7"/>
    <w:rsid w:val="0030368C"/>
    <w:rsid w:val="00304DC0"/>
    <w:rsid w:val="00305E18"/>
    <w:rsid w:val="00306168"/>
    <w:rsid w:val="00306519"/>
    <w:rsid w:val="00306978"/>
    <w:rsid w:val="003070BA"/>
    <w:rsid w:val="003075A4"/>
    <w:rsid w:val="0030771C"/>
    <w:rsid w:val="003078E3"/>
    <w:rsid w:val="00307C1D"/>
    <w:rsid w:val="003100AB"/>
    <w:rsid w:val="00310223"/>
    <w:rsid w:val="00311040"/>
    <w:rsid w:val="00312113"/>
    <w:rsid w:val="003133BC"/>
    <w:rsid w:val="00313E94"/>
    <w:rsid w:val="00314673"/>
    <w:rsid w:val="00315243"/>
    <w:rsid w:val="00316A28"/>
    <w:rsid w:val="00316CEE"/>
    <w:rsid w:val="00320339"/>
    <w:rsid w:val="00320A3E"/>
    <w:rsid w:val="00320DB0"/>
    <w:rsid w:val="00320EF7"/>
    <w:rsid w:val="003216B4"/>
    <w:rsid w:val="003221BF"/>
    <w:rsid w:val="003222E2"/>
    <w:rsid w:val="0032255F"/>
    <w:rsid w:val="00322571"/>
    <w:rsid w:val="003231AE"/>
    <w:rsid w:val="00323DD5"/>
    <w:rsid w:val="003240A5"/>
    <w:rsid w:val="00325477"/>
    <w:rsid w:val="00325B27"/>
    <w:rsid w:val="00325B54"/>
    <w:rsid w:val="00325CE5"/>
    <w:rsid w:val="0032616B"/>
    <w:rsid w:val="0032650F"/>
    <w:rsid w:val="0032686A"/>
    <w:rsid w:val="003269BA"/>
    <w:rsid w:val="00327A0D"/>
    <w:rsid w:val="003302E0"/>
    <w:rsid w:val="00330F05"/>
    <w:rsid w:val="00332E98"/>
    <w:rsid w:val="003332DF"/>
    <w:rsid w:val="00333F8D"/>
    <w:rsid w:val="003348CF"/>
    <w:rsid w:val="00334C43"/>
    <w:rsid w:val="00334F55"/>
    <w:rsid w:val="0033502D"/>
    <w:rsid w:val="003358EA"/>
    <w:rsid w:val="0033602C"/>
    <w:rsid w:val="00336D22"/>
    <w:rsid w:val="00336FFA"/>
    <w:rsid w:val="00337DA4"/>
    <w:rsid w:val="00340F40"/>
    <w:rsid w:val="00341B7B"/>
    <w:rsid w:val="00341BDE"/>
    <w:rsid w:val="003423A8"/>
    <w:rsid w:val="00342927"/>
    <w:rsid w:val="00343905"/>
    <w:rsid w:val="00343DE0"/>
    <w:rsid w:val="00344251"/>
    <w:rsid w:val="00344353"/>
    <w:rsid w:val="00344CDD"/>
    <w:rsid w:val="00345AE2"/>
    <w:rsid w:val="00345E40"/>
    <w:rsid w:val="0034795C"/>
    <w:rsid w:val="00347FDC"/>
    <w:rsid w:val="00350125"/>
    <w:rsid w:val="003503D8"/>
    <w:rsid w:val="00350643"/>
    <w:rsid w:val="00352297"/>
    <w:rsid w:val="0035256D"/>
    <w:rsid w:val="00352685"/>
    <w:rsid w:val="00352D5C"/>
    <w:rsid w:val="0035368C"/>
    <w:rsid w:val="00353FDB"/>
    <w:rsid w:val="00354222"/>
    <w:rsid w:val="003550A7"/>
    <w:rsid w:val="003553A7"/>
    <w:rsid w:val="00355B3E"/>
    <w:rsid w:val="00356A7D"/>
    <w:rsid w:val="00356C49"/>
    <w:rsid w:val="00357281"/>
    <w:rsid w:val="00357B83"/>
    <w:rsid w:val="0036043F"/>
    <w:rsid w:val="00360D8F"/>
    <w:rsid w:val="0036103D"/>
    <w:rsid w:val="00362BC8"/>
    <w:rsid w:val="00362DD3"/>
    <w:rsid w:val="00363282"/>
    <w:rsid w:val="00363361"/>
    <w:rsid w:val="00363B67"/>
    <w:rsid w:val="0036438F"/>
    <w:rsid w:val="0036467E"/>
    <w:rsid w:val="00364A22"/>
    <w:rsid w:val="00364E01"/>
    <w:rsid w:val="0036574B"/>
    <w:rsid w:val="00365DF7"/>
    <w:rsid w:val="00365F37"/>
    <w:rsid w:val="003708F6"/>
    <w:rsid w:val="00370EA7"/>
    <w:rsid w:val="003710B3"/>
    <w:rsid w:val="00371813"/>
    <w:rsid w:val="003722E4"/>
    <w:rsid w:val="00373172"/>
    <w:rsid w:val="003734C0"/>
    <w:rsid w:val="00373AE1"/>
    <w:rsid w:val="00373DF8"/>
    <w:rsid w:val="00374DAE"/>
    <w:rsid w:val="00374FC9"/>
    <w:rsid w:val="003751BF"/>
    <w:rsid w:val="00375573"/>
    <w:rsid w:val="00375850"/>
    <w:rsid w:val="00375A6C"/>
    <w:rsid w:val="003760D6"/>
    <w:rsid w:val="00376B38"/>
    <w:rsid w:val="003778B1"/>
    <w:rsid w:val="003778C3"/>
    <w:rsid w:val="00377E7F"/>
    <w:rsid w:val="00380CEA"/>
    <w:rsid w:val="00381209"/>
    <w:rsid w:val="003814B7"/>
    <w:rsid w:val="003814E3"/>
    <w:rsid w:val="00381859"/>
    <w:rsid w:val="00381FAB"/>
    <w:rsid w:val="00382852"/>
    <w:rsid w:val="00383220"/>
    <w:rsid w:val="0038349C"/>
    <w:rsid w:val="003835C6"/>
    <w:rsid w:val="00387261"/>
    <w:rsid w:val="00387802"/>
    <w:rsid w:val="00390435"/>
    <w:rsid w:val="00390D83"/>
    <w:rsid w:val="00390E60"/>
    <w:rsid w:val="003911A8"/>
    <w:rsid w:val="003913A1"/>
    <w:rsid w:val="00391C1C"/>
    <w:rsid w:val="00392211"/>
    <w:rsid w:val="00392C39"/>
    <w:rsid w:val="00392EC1"/>
    <w:rsid w:val="003935CE"/>
    <w:rsid w:val="00393CBD"/>
    <w:rsid w:val="00395FDF"/>
    <w:rsid w:val="00396161"/>
    <w:rsid w:val="00396D31"/>
    <w:rsid w:val="00397575"/>
    <w:rsid w:val="003A03A2"/>
    <w:rsid w:val="003A181A"/>
    <w:rsid w:val="003A1A32"/>
    <w:rsid w:val="003A237A"/>
    <w:rsid w:val="003A2A88"/>
    <w:rsid w:val="003A35D9"/>
    <w:rsid w:val="003A5AEA"/>
    <w:rsid w:val="003A5C6B"/>
    <w:rsid w:val="003A6258"/>
    <w:rsid w:val="003A6C69"/>
    <w:rsid w:val="003A72BA"/>
    <w:rsid w:val="003B0EF1"/>
    <w:rsid w:val="003B10CA"/>
    <w:rsid w:val="003B180C"/>
    <w:rsid w:val="003B2C79"/>
    <w:rsid w:val="003B2E71"/>
    <w:rsid w:val="003B321F"/>
    <w:rsid w:val="003B36F2"/>
    <w:rsid w:val="003B5114"/>
    <w:rsid w:val="003B53D0"/>
    <w:rsid w:val="003B627C"/>
    <w:rsid w:val="003B6436"/>
    <w:rsid w:val="003B6813"/>
    <w:rsid w:val="003B6A28"/>
    <w:rsid w:val="003C0B16"/>
    <w:rsid w:val="003C0C0C"/>
    <w:rsid w:val="003C0C23"/>
    <w:rsid w:val="003C18DA"/>
    <w:rsid w:val="003C1989"/>
    <w:rsid w:val="003C26E9"/>
    <w:rsid w:val="003C2BD7"/>
    <w:rsid w:val="003C45E2"/>
    <w:rsid w:val="003C4C4F"/>
    <w:rsid w:val="003C4EDF"/>
    <w:rsid w:val="003C4F41"/>
    <w:rsid w:val="003C5192"/>
    <w:rsid w:val="003C53B3"/>
    <w:rsid w:val="003C5666"/>
    <w:rsid w:val="003C6CE6"/>
    <w:rsid w:val="003C7ABE"/>
    <w:rsid w:val="003D0F67"/>
    <w:rsid w:val="003D115D"/>
    <w:rsid w:val="003D119F"/>
    <w:rsid w:val="003D11BB"/>
    <w:rsid w:val="003D166A"/>
    <w:rsid w:val="003D1FE5"/>
    <w:rsid w:val="003D20F0"/>
    <w:rsid w:val="003D305B"/>
    <w:rsid w:val="003D3C1A"/>
    <w:rsid w:val="003D492E"/>
    <w:rsid w:val="003D4D9F"/>
    <w:rsid w:val="003D50C9"/>
    <w:rsid w:val="003D66C7"/>
    <w:rsid w:val="003D6CA1"/>
    <w:rsid w:val="003D7471"/>
    <w:rsid w:val="003D7EEB"/>
    <w:rsid w:val="003E019B"/>
    <w:rsid w:val="003E01F0"/>
    <w:rsid w:val="003E28FA"/>
    <w:rsid w:val="003E2A22"/>
    <w:rsid w:val="003E32DB"/>
    <w:rsid w:val="003E441A"/>
    <w:rsid w:val="003E49D3"/>
    <w:rsid w:val="003E577F"/>
    <w:rsid w:val="003E5F8A"/>
    <w:rsid w:val="003E646C"/>
    <w:rsid w:val="003E6755"/>
    <w:rsid w:val="003E694E"/>
    <w:rsid w:val="003E6CD2"/>
    <w:rsid w:val="003E76CE"/>
    <w:rsid w:val="003E7DF2"/>
    <w:rsid w:val="003F0158"/>
    <w:rsid w:val="003F0387"/>
    <w:rsid w:val="003F0A42"/>
    <w:rsid w:val="003F11BA"/>
    <w:rsid w:val="003F1CF7"/>
    <w:rsid w:val="003F1F90"/>
    <w:rsid w:val="003F2102"/>
    <w:rsid w:val="003F2B4E"/>
    <w:rsid w:val="003F2D7B"/>
    <w:rsid w:val="003F3198"/>
    <w:rsid w:val="003F354F"/>
    <w:rsid w:val="003F389A"/>
    <w:rsid w:val="003F4A0C"/>
    <w:rsid w:val="003F4E39"/>
    <w:rsid w:val="003F51C6"/>
    <w:rsid w:val="003F54F7"/>
    <w:rsid w:val="003F6153"/>
    <w:rsid w:val="003F6613"/>
    <w:rsid w:val="003F66EA"/>
    <w:rsid w:val="003F73B6"/>
    <w:rsid w:val="003F7DD1"/>
    <w:rsid w:val="003F7E04"/>
    <w:rsid w:val="003F7EF0"/>
    <w:rsid w:val="00400359"/>
    <w:rsid w:val="0040041F"/>
    <w:rsid w:val="0040091F"/>
    <w:rsid w:val="00400CB6"/>
    <w:rsid w:val="00400DC0"/>
    <w:rsid w:val="0040128D"/>
    <w:rsid w:val="004014B0"/>
    <w:rsid w:val="004015A7"/>
    <w:rsid w:val="00401E60"/>
    <w:rsid w:val="00402097"/>
    <w:rsid w:val="00402415"/>
    <w:rsid w:val="0040274B"/>
    <w:rsid w:val="004028C0"/>
    <w:rsid w:val="0040315C"/>
    <w:rsid w:val="004031D5"/>
    <w:rsid w:val="00404628"/>
    <w:rsid w:val="00404639"/>
    <w:rsid w:val="00404D74"/>
    <w:rsid w:val="004052A1"/>
    <w:rsid w:val="00405562"/>
    <w:rsid w:val="00407B62"/>
    <w:rsid w:val="004127DA"/>
    <w:rsid w:val="00412912"/>
    <w:rsid w:val="0041353E"/>
    <w:rsid w:val="00413A8D"/>
    <w:rsid w:val="00414131"/>
    <w:rsid w:val="0041433A"/>
    <w:rsid w:val="00416362"/>
    <w:rsid w:val="00416C16"/>
    <w:rsid w:val="00421018"/>
    <w:rsid w:val="004214DB"/>
    <w:rsid w:val="004219C8"/>
    <w:rsid w:val="0042207C"/>
    <w:rsid w:val="00422BBB"/>
    <w:rsid w:val="00422E18"/>
    <w:rsid w:val="004235EC"/>
    <w:rsid w:val="00423D09"/>
    <w:rsid w:val="00424630"/>
    <w:rsid w:val="004247F3"/>
    <w:rsid w:val="00424E02"/>
    <w:rsid w:val="004250A1"/>
    <w:rsid w:val="00425285"/>
    <w:rsid w:val="0042587A"/>
    <w:rsid w:val="00425B49"/>
    <w:rsid w:val="00425BA1"/>
    <w:rsid w:val="00425BF9"/>
    <w:rsid w:val="00425E66"/>
    <w:rsid w:val="004265CB"/>
    <w:rsid w:val="00426814"/>
    <w:rsid w:val="00426EA2"/>
    <w:rsid w:val="00426F3B"/>
    <w:rsid w:val="00427161"/>
    <w:rsid w:val="00427455"/>
    <w:rsid w:val="004300F0"/>
    <w:rsid w:val="00430B7A"/>
    <w:rsid w:val="00430C6F"/>
    <w:rsid w:val="00431397"/>
    <w:rsid w:val="004314CE"/>
    <w:rsid w:val="004318B7"/>
    <w:rsid w:val="00431FF2"/>
    <w:rsid w:val="00432529"/>
    <w:rsid w:val="0043269F"/>
    <w:rsid w:val="00432F46"/>
    <w:rsid w:val="004339D1"/>
    <w:rsid w:val="004346BD"/>
    <w:rsid w:val="00434A7D"/>
    <w:rsid w:val="00434BCB"/>
    <w:rsid w:val="00435905"/>
    <w:rsid w:val="004367D6"/>
    <w:rsid w:val="004368EA"/>
    <w:rsid w:val="00437BA6"/>
    <w:rsid w:val="00437C05"/>
    <w:rsid w:val="004400EC"/>
    <w:rsid w:val="00441653"/>
    <w:rsid w:val="00441B56"/>
    <w:rsid w:val="00442761"/>
    <w:rsid w:val="00442A59"/>
    <w:rsid w:val="00444827"/>
    <w:rsid w:val="00444C66"/>
    <w:rsid w:val="0044517E"/>
    <w:rsid w:val="00445DE1"/>
    <w:rsid w:val="00446F96"/>
    <w:rsid w:val="004473BE"/>
    <w:rsid w:val="00447EE7"/>
    <w:rsid w:val="00450FBF"/>
    <w:rsid w:val="00451995"/>
    <w:rsid w:val="00452DEF"/>
    <w:rsid w:val="004542E9"/>
    <w:rsid w:val="00454796"/>
    <w:rsid w:val="0045499E"/>
    <w:rsid w:val="00455534"/>
    <w:rsid w:val="00455BB0"/>
    <w:rsid w:val="0045654F"/>
    <w:rsid w:val="00456BAA"/>
    <w:rsid w:val="00456D62"/>
    <w:rsid w:val="00456E5E"/>
    <w:rsid w:val="0045741C"/>
    <w:rsid w:val="00457F2C"/>
    <w:rsid w:val="0046003B"/>
    <w:rsid w:val="004616C2"/>
    <w:rsid w:val="004617F7"/>
    <w:rsid w:val="00461B45"/>
    <w:rsid w:val="00462EF6"/>
    <w:rsid w:val="0046327B"/>
    <w:rsid w:val="004641C3"/>
    <w:rsid w:val="0046421F"/>
    <w:rsid w:val="00464458"/>
    <w:rsid w:val="00466614"/>
    <w:rsid w:val="004666EA"/>
    <w:rsid w:val="00471404"/>
    <w:rsid w:val="00471697"/>
    <w:rsid w:val="00471C2D"/>
    <w:rsid w:val="0047212C"/>
    <w:rsid w:val="004728FE"/>
    <w:rsid w:val="00472E23"/>
    <w:rsid w:val="00473114"/>
    <w:rsid w:val="0047365D"/>
    <w:rsid w:val="00473C59"/>
    <w:rsid w:val="00474AE4"/>
    <w:rsid w:val="00474FB0"/>
    <w:rsid w:val="004750EB"/>
    <w:rsid w:val="00475AA2"/>
    <w:rsid w:val="00475B6F"/>
    <w:rsid w:val="00475F7E"/>
    <w:rsid w:val="004761C9"/>
    <w:rsid w:val="00476688"/>
    <w:rsid w:val="00476FF4"/>
    <w:rsid w:val="00477791"/>
    <w:rsid w:val="00477E7B"/>
    <w:rsid w:val="004807F3"/>
    <w:rsid w:val="00480824"/>
    <w:rsid w:val="00480968"/>
    <w:rsid w:val="0048175B"/>
    <w:rsid w:val="00482196"/>
    <w:rsid w:val="0048262A"/>
    <w:rsid w:val="0048306B"/>
    <w:rsid w:val="00483117"/>
    <w:rsid w:val="004836C4"/>
    <w:rsid w:val="004837A0"/>
    <w:rsid w:val="004844CE"/>
    <w:rsid w:val="00484D51"/>
    <w:rsid w:val="00484EAA"/>
    <w:rsid w:val="004857B4"/>
    <w:rsid w:val="004858A8"/>
    <w:rsid w:val="0048647A"/>
    <w:rsid w:val="00486765"/>
    <w:rsid w:val="00486783"/>
    <w:rsid w:val="0048689C"/>
    <w:rsid w:val="00486A01"/>
    <w:rsid w:val="00487625"/>
    <w:rsid w:val="004878A4"/>
    <w:rsid w:val="00487CCF"/>
    <w:rsid w:val="004908A7"/>
    <w:rsid w:val="00490928"/>
    <w:rsid w:val="00491035"/>
    <w:rsid w:val="00491970"/>
    <w:rsid w:val="00491EA7"/>
    <w:rsid w:val="00492AAF"/>
    <w:rsid w:val="0049394A"/>
    <w:rsid w:val="00494555"/>
    <w:rsid w:val="00495B75"/>
    <w:rsid w:val="00495DB4"/>
    <w:rsid w:val="004A0272"/>
    <w:rsid w:val="004A02AA"/>
    <w:rsid w:val="004A084C"/>
    <w:rsid w:val="004A0929"/>
    <w:rsid w:val="004A1C57"/>
    <w:rsid w:val="004A1F3E"/>
    <w:rsid w:val="004A2650"/>
    <w:rsid w:val="004A29F8"/>
    <w:rsid w:val="004A3325"/>
    <w:rsid w:val="004A40F5"/>
    <w:rsid w:val="004A4A89"/>
    <w:rsid w:val="004A4D54"/>
    <w:rsid w:val="004A4EA2"/>
    <w:rsid w:val="004A5447"/>
    <w:rsid w:val="004A560A"/>
    <w:rsid w:val="004A6132"/>
    <w:rsid w:val="004A616A"/>
    <w:rsid w:val="004A616B"/>
    <w:rsid w:val="004A672D"/>
    <w:rsid w:val="004A6920"/>
    <w:rsid w:val="004B02E8"/>
    <w:rsid w:val="004B07F2"/>
    <w:rsid w:val="004B12E2"/>
    <w:rsid w:val="004B150A"/>
    <w:rsid w:val="004B1C73"/>
    <w:rsid w:val="004B2127"/>
    <w:rsid w:val="004B24C8"/>
    <w:rsid w:val="004B2624"/>
    <w:rsid w:val="004B27F5"/>
    <w:rsid w:val="004B285C"/>
    <w:rsid w:val="004B28A5"/>
    <w:rsid w:val="004B2937"/>
    <w:rsid w:val="004B2D03"/>
    <w:rsid w:val="004B2DEF"/>
    <w:rsid w:val="004B3259"/>
    <w:rsid w:val="004B378F"/>
    <w:rsid w:val="004B3E51"/>
    <w:rsid w:val="004B3FDE"/>
    <w:rsid w:val="004B4599"/>
    <w:rsid w:val="004B4987"/>
    <w:rsid w:val="004B50CE"/>
    <w:rsid w:val="004B68CA"/>
    <w:rsid w:val="004B6D04"/>
    <w:rsid w:val="004C0153"/>
    <w:rsid w:val="004C0274"/>
    <w:rsid w:val="004C02E5"/>
    <w:rsid w:val="004C044D"/>
    <w:rsid w:val="004C0ED3"/>
    <w:rsid w:val="004C2B67"/>
    <w:rsid w:val="004C2D4B"/>
    <w:rsid w:val="004C2F2E"/>
    <w:rsid w:val="004C2FFB"/>
    <w:rsid w:val="004C3BA0"/>
    <w:rsid w:val="004C43D1"/>
    <w:rsid w:val="004C442B"/>
    <w:rsid w:val="004C50A7"/>
    <w:rsid w:val="004C5BC1"/>
    <w:rsid w:val="004C71DF"/>
    <w:rsid w:val="004C72D5"/>
    <w:rsid w:val="004C7422"/>
    <w:rsid w:val="004C75FF"/>
    <w:rsid w:val="004C78F1"/>
    <w:rsid w:val="004C7B20"/>
    <w:rsid w:val="004D04E4"/>
    <w:rsid w:val="004D1329"/>
    <w:rsid w:val="004D133B"/>
    <w:rsid w:val="004D13DA"/>
    <w:rsid w:val="004D1EE4"/>
    <w:rsid w:val="004D23CB"/>
    <w:rsid w:val="004D2A48"/>
    <w:rsid w:val="004D2ECB"/>
    <w:rsid w:val="004D3B01"/>
    <w:rsid w:val="004D3CD6"/>
    <w:rsid w:val="004D45BE"/>
    <w:rsid w:val="004D539B"/>
    <w:rsid w:val="004D610B"/>
    <w:rsid w:val="004D624C"/>
    <w:rsid w:val="004D67AD"/>
    <w:rsid w:val="004D7367"/>
    <w:rsid w:val="004D7771"/>
    <w:rsid w:val="004D79EB"/>
    <w:rsid w:val="004D7E4D"/>
    <w:rsid w:val="004E0046"/>
    <w:rsid w:val="004E0095"/>
    <w:rsid w:val="004E06EB"/>
    <w:rsid w:val="004E0AE6"/>
    <w:rsid w:val="004E0D6D"/>
    <w:rsid w:val="004E1048"/>
    <w:rsid w:val="004E160D"/>
    <w:rsid w:val="004E1751"/>
    <w:rsid w:val="004E1753"/>
    <w:rsid w:val="004E1ECA"/>
    <w:rsid w:val="004E22A4"/>
    <w:rsid w:val="004E5744"/>
    <w:rsid w:val="004E627D"/>
    <w:rsid w:val="004E656A"/>
    <w:rsid w:val="004E6F8E"/>
    <w:rsid w:val="004F05AD"/>
    <w:rsid w:val="004F0DE3"/>
    <w:rsid w:val="004F13D7"/>
    <w:rsid w:val="004F1453"/>
    <w:rsid w:val="004F1819"/>
    <w:rsid w:val="004F1C27"/>
    <w:rsid w:val="004F2EC3"/>
    <w:rsid w:val="004F3B5D"/>
    <w:rsid w:val="004F3EE3"/>
    <w:rsid w:val="004F4184"/>
    <w:rsid w:val="004F467C"/>
    <w:rsid w:val="004F501D"/>
    <w:rsid w:val="004F5306"/>
    <w:rsid w:val="004F6301"/>
    <w:rsid w:val="004F6315"/>
    <w:rsid w:val="004F7231"/>
    <w:rsid w:val="004F7CFF"/>
    <w:rsid w:val="00500388"/>
    <w:rsid w:val="00500799"/>
    <w:rsid w:val="00500B1C"/>
    <w:rsid w:val="00500C81"/>
    <w:rsid w:val="00500C89"/>
    <w:rsid w:val="00501278"/>
    <w:rsid w:val="00502D66"/>
    <w:rsid w:val="005034D5"/>
    <w:rsid w:val="00503E73"/>
    <w:rsid w:val="0050409F"/>
    <w:rsid w:val="005044A7"/>
    <w:rsid w:val="00504C13"/>
    <w:rsid w:val="005059C7"/>
    <w:rsid w:val="00505BC8"/>
    <w:rsid w:val="005060A7"/>
    <w:rsid w:val="005067D5"/>
    <w:rsid w:val="00506E7D"/>
    <w:rsid w:val="005072EB"/>
    <w:rsid w:val="00507C74"/>
    <w:rsid w:val="00507F66"/>
    <w:rsid w:val="005102C9"/>
    <w:rsid w:val="005111C4"/>
    <w:rsid w:val="00511AA9"/>
    <w:rsid w:val="0051270E"/>
    <w:rsid w:val="00512F1A"/>
    <w:rsid w:val="0051343E"/>
    <w:rsid w:val="00513B2C"/>
    <w:rsid w:val="005149C1"/>
    <w:rsid w:val="005153DA"/>
    <w:rsid w:val="00520BA8"/>
    <w:rsid w:val="00520C7D"/>
    <w:rsid w:val="00520DF2"/>
    <w:rsid w:val="00521332"/>
    <w:rsid w:val="00522375"/>
    <w:rsid w:val="00522602"/>
    <w:rsid w:val="00524810"/>
    <w:rsid w:val="00524A84"/>
    <w:rsid w:val="00525448"/>
    <w:rsid w:val="00526001"/>
    <w:rsid w:val="00526550"/>
    <w:rsid w:val="00526D25"/>
    <w:rsid w:val="00526F6E"/>
    <w:rsid w:val="00527CF8"/>
    <w:rsid w:val="00530A8B"/>
    <w:rsid w:val="005315A1"/>
    <w:rsid w:val="005315E7"/>
    <w:rsid w:val="00531898"/>
    <w:rsid w:val="00531BAF"/>
    <w:rsid w:val="00531DA4"/>
    <w:rsid w:val="005324B2"/>
    <w:rsid w:val="00532DB6"/>
    <w:rsid w:val="005333C2"/>
    <w:rsid w:val="0053348F"/>
    <w:rsid w:val="00534999"/>
    <w:rsid w:val="00534A00"/>
    <w:rsid w:val="00534A0E"/>
    <w:rsid w:val="00534E14"/>
    <w:rsid w:val="0053522A"/>
    <w:rsid w:val="005352AA"/>
    <w:rsid w:val="005355B7"/>
    <w:rsid w:val="005357E3"/>
    <w:rsid w:val="0053583B"/>
    <w:rsid w:val="00535D27"/>
    <w:rsid w:val="0053616A"/>
    <w:rsid w:val="0053650E"/>
    <w:rsid w:val="005367E5"/>
    <w:rsid w:val="00536ED3"/>
    <w:rsid w:val="00536EEB"/>
    <w:rsid w:val="0053720A"/>
    <w:rsid w:val="00537319"/>
    <w:rsid w:val="00537890"/>
    <w:rsid w:val="00537A3A"/>
    <w:rsid w:val="00537BB3"/>
    <w:rsid w:val="00540146"/>
    <w:rsid w:val="00541100"/>
    <w:rsid w:val="00541484"/>
    <w:rsid w:val="00542613"/>
    <w:rsid w:val="0054288F"/>
    <w:rsid w:val="00542FD7"/>
    <w:rsid w:val="00543B7C"/>
    <w:rsid w:val="00543E48"/>
    <w:rsid w:val="0054519C"/>
    <w:rsid w:val="00545E5E"/>
    <w:rsid w:val="00545F87"/>
    <w:rsid w:val="005468C0"/>
    <w:rsid w:val="00546C50"/>
    <w:rsid w:val="0054732A"/>
    <w:rsid w:val="00550063"/>
    <w:rsid w:val="00550277"/>
    <w:rsid w:val="0055037E"/>
    <w:rsid w:val="005510D9"/>
    <w:rsid w:val="00551323"/>
    <w:rsid w:val="00552150"/>
    <w:rsid w:val="00552470"/>
    <w:rsid w:val="005531A8"/>
    <w:rsid w:val="005536B4"/>
    <w:rsid w:val="00553970"/>
    <w:rsid w:val="00554446"/>
    <w:rsid w:val="00554E54"/>
    <w:rsid w:val="005555F3"/>
    <w:rsid w:val="005557A9"/>
    <w:rsid w:val="00556DAB"/>
    <w:rsid w:val="00556FCE"/>
    <w:rsid w:val="0055720F"/>
    <w:rsid w:val="00557788"/>
    <w:rsid w:val="00557C07"/>
    <w:rsid w:val="00560421"/>
    <w:rsid w:val="00560432"/>
    <w:rsid w:val="00560795"/>
    <w:rsid w:val="00560B21"/>
    <w:rsid w:val="00560DE4"/>
    <w:rsid w:val="00561D4B"/>
    <w:rsid w:val="0056291F"/>
    <w:rsid w:val="00564851"/>
    <w:rsid w:val="00565882"/>
    <w:rsid w:val="00565889"/>
    <w:rsid w:val="00565F3E"/>
    <w:rsid w:val="00566457"/>
    <w:rsid w:val="00566690"/>
    <w:rsid w:val="005667D8"/>
    <w:rsid w:val="00566EAD"/>
    <w:rsid w:val="0056731F"/>
    <w:rsid w:val="005678D3"/>
    <w:rsid w:val="00567B9F"/>
    <w:rsid w:val="00567BE6"/>
    <w:rsid w:val="0057064E"/>
    <w:rsid w:val="00571502"/>
    <w:rsid w:val="0057176F"/>
    <w:rsid w:val="005718BD"/>
    <w:rsid w:val="00572500"/>
    <w:rsid w:val="005729D2"/>
    <w:rsid w:val="00572E84"/>
    <w:rsid w:val="00572F8C"/>
    <w:rsid w:val="005733FB"/>
    <w:rsid w:val="005734E2"/>
    <w:rsid w:val="00573D14"/>
    <w:rsid w:val="00574AFF"/>
    <w:rsid w:val="00574C06"/>
    <w:rsid w:val="00574E7B"/>
    <w:rsid w:val="00576A32"/>
    <w:rsid w:val="00577A36"/>
    <w:rsid w:val="0058004B"/>
    <w:rsid w:val="0058077A"/>
    <w:rsid w:val="0058091D"/>
    <w:rsid w:val="00581288"/>
    <w:rsid w:val="0058264F"/>
    <w:rsid w:val="00582A0D"/>
    <w:rsid w:val="005833D3"/>
    <w:rsid w:val="00583404"/>
    <w:rsid w:val="00583D1A"/>
    <w:rsid w:val="005840A5"/>
    <w:rsid w:val="005843BE"/>
    <w:rsid w:val="00584D47"/>
    <w:rsid w:val="0058670B"/>
    <w:rsid w:val="00586ECE"/>
    <w:rsid w:val="00586FD9"/>
    <w:rsid w:val="00587376"/>
    <w:rsid w:val="0058739F"/>
    <w:rsid w:val="00591AC4"/>
    <w:rsid w:val="00591CEE"/>
    <w:rsid w:val="00591D6D"/>
    <w:rsid w:val="00591E22"/>
    <w:rsid w:val="00592048"/>
    <w:rsid w:val="005922B3"/>
    <w:rsid w:val="00592CD0"/>
    <w:rsid w:val="005937AC"/>
    <w:rsid w:val="00593E1D"/>
    <w:rsid w:val="00594082"/>
    <w:rsid w:val="005948B1"/>
    <w:rsid w:val="00594C83"/>
    <w:rsid w:val="00594C89"/>
    <w:rsid w:val="00595765"/>
    <w:rsid w:val="00595CE7"/>
    <w:rsid w:val="00596232"/>
    <w:rsid w:val="005963E8"/>
    <w:rsid w:val="005968E2"/>
    <w:rsid w:val="00596CB2"/>
    <w:rsid w:val="0059733A"/>
    <w:rsid w:val="005978CA"/>
    <w:rsid w:val="00597E27"/>
    <w:rsid w:val="005A08D9"/>
    <w:rsid w:val="005A1A3B"/>
    <w:rsid w:val="005A1CA9"/>
    <w:rsid w:val="005A1DFA"/>
    <w:rsid w:val="005A273E"/>
    <w:rsid w:val="005A3331"/>
    <w:rsid w:val="005A385F"/>
    <w:rsid w:val="005A3F33"/>
    <w:rsid w:val="005A4B44"/>
    <w:rsid w:val="005A4D85"/>
    <w:rsid w:val="005A548C"/>
    <w:rsid w:val="005A5628"/>
    <w:rsid w:val="005A5B47"/>
    <w:rsid w:val="005A6933"/>
    <w:rsid w:val="005A6B87"/>
    <w:rsid w:val="005A6BA7"/>
    <w:rsid w:val="005A7846"/>
    <w:rsid w:val="005B0425"/>
    <w:rsid w:val="005B0821"/>
    <w:rsid w:val="005B1C29"/>
    <w:rsid w:val="005B2884"/>
    <w:rsid w:val="005B30C3"/>
    <w:rsid w:val="005B30C6"/>
    <w:rsid w:val="005B3496"/>
    <w:rsid w:val="005B4239"/>
    <w:rsid w:val="005B4E95"/>
    <w:rsid w:val="005B56EB"/>
    <w:rsid w:val="005B56FC"/>
    <w:rsid w:val="005B5AAD"/>
    <w:rsid w:val="005B5C9F"/>
    <w:rsid w:val="005B6E83"/>
    <w:rsid w:val="005B6FC6"/>
    <w:rsid w:val="005B736B"/>
    <w:rsid w:val="005B78B0"/>
    <w:rsid w:val="005B7E0F"/>
    <w:rsid w:val="005B7E4A"/>
    <w:rsid w:val="005C0BAB"/>
    <w:rsid w:val="005C125B"/>
    <w:rsid w:val="005C1461"/>
    <w:rsid w:val="005C3BEC"/>
    <w:rsid w:val="005C4D93"/>
    <w:rsid w:val="005C5823"/>
    <w:rsid w:val="005C5EC0"/>
    <w:rsid w:val="005C65D3"/>
    <w:rsid w:val="005C6916"/>
    <w:rsid w:val="005C78DF"/>
    <w:rsid w:val="005C7D48"/>
    <w:rsid w:val="005D10EC"/>
    <w:rsid w:val="005D18BD"/>
    <w:rsid w:val="005D1ADD"/>
    <w:rsid w:val="005D1C24"/>
    <w:rsid w:val="005D1FB1"/>
    <w:rsid w:val="005D1FEA"/>
    <w:rsid w:val="005D20B0"/>
    <w:rsid w:val="005D51DC"/>
    <w:rsid w:val="005D5673"/>
    <w:rsid w:val="005D6054"/>
    <w:rsid w:val="005D6243"/>
    <w:rsid w:val="005D6B66"/>
    <w:rsid w:val="005D6BB9"/>
    <w:rsid w:val="005E06E9"/>
    <w:rsid w:val="005E11A6"/>
    <w:rsid w:val="005E25AD"/>
    <w:rsid w:val="005E2F0B"/>
    <w:rsid w:val="005E2FF3"/>
    <w:rsid w:val="005E327D"/>
    <w:rsid w:val="005E402A"/>
    <w:rsid w:val="005E519F"/>
    <w:rsid w:val="005E5234"/>
    <w:rsid w:val="005E530C"/>
    <w:rsid w:val="005E5C98"/>
    <w:rsid w:val="005E5F17"/>
    <w:rsid w:val="005E6695"/>
    <w:rsid w:val="005E6B6A"/>
    <w:rsid w:val="005E6EE3"/>
    <w:rsid w:val="005E7862"/>
    <w:rsid w:val="005F07B6"/>
    <w:rsid w:val="005F252D"/>
    <w:rsid w:val="005F4673"/>
    <w:rsid w:val="005F6825"/>
    <w:rsid w:val="005F6874"/>
    <w:rsid w:val="005F6C24"/>
    <w:rsid w:val="005F7070"/>
    <w:rsid w:val="005F7BCA"/>
    <w:rsid w:val="005F7D22"/>
    <w:rsid w:val="005F7E55"/>
    <w:rsid w:val="005F7EAB"/>
    <w:rsid w:val="00600382"/>
    <w:rsid w:val="0060060F"/>
    <w:rsid w:val="00600B59"/>
    <w:rsid w:val="006010B5"/>
    <w:rsid w:val="0060115B"/>
    <w:rsid w:val="00601607"/>
    <w:rsid w:val="00603CBD"/>
    <w:rsid w:val="006041E7"/>
    <w:rsid w:val="00604A97"/>
    <w:rsid w:val="00605565"/>
    <w:rsid w:val="00605686"/>
    <w:rsid w:val="006057D8"/>
    <w:rsid w:val="006058DC"/>
    <w:rsid w:val="00606067"/>
    <w:rsid w:val="0060639B"/>
    <w:rsid w:val="00606CE5"/>
    <w:rsid w:val="006079FC"/>
    <w:rsid w:val="00610BAC"/>
    <w:rsid w:val="006113A5"/>
    <w:rsid w:val="00611567"/>
    <w:rsid w:val="006115E3"/>
    <w:rsid w:val="006139A6"/>
    <w:rsid w:val="00613B5A"/>
    <w:rsid w:val="0061408B"/>
    <w:rsid w:val="006140FD"/>
    <w:rsid w:val="0061539B"/>
    <w:rsid w:val="006167D0"/>
    <w:rsid w:val="00616A9A"/>
    <w:rsid w:val="00616D2B"/>
    <w:rsid w:val="0061772E"/>
    <w:rsid w:val="006202E2"/>
    <w:rsid w:val="00620B31"/>
    <w:rsid w:val="00620DCE"/>
    <w:rsid w:val="00621420"/>
    <w:rsid w:val="0062191F"/>
    <w:rsid w:val="0062194A"/>
    <w:rsid w:val="00621EE9"/>
    <w:rsid w:val="006220AC"/>
    <w:rsid w:val="0062239E"/>
    <w:rsid w:val="00623827"/>
    <w:rsid w:val="00624211"/>
    <w:rsid w:val="006244EE"/>
    <w:rsid w:val="00624687"/>
    <w:rsid w:val="00625C31"/>
    <w:rsid w:val="00626117"/>
    <w:rsid w:val="006269CD"/>
    <w:rsid w:val="00627D0B"/>
    <w:rsid w:val="00630626"/>
    <w:rsid w:val="0063077D"/>
    <w:rsid w:val="0063082F"/>
    <w:rsid w:val="006315EE"/>
    <w:rsid w:val="006323A6"/>
    <w:rsid w:val="00632EC6"/>
    <w:rsid w:val="006330ED"/>
    <w:rsid w:val="006339D1"/>
    <w:rsid w:val="00633C5F"/>
    <w:rsid w:val="0063405D"/>
    <w:rsid w:val="006345E4"/>
    <w:rsid w:val="00634B8A"/>
    <w:rsid w:val="00634F49"/>
    <w:rsid w:val="00635BAF"/>
    <w:rsid w:val="0063642B"/>
    <w:rsid w:val="00636AD6"/>
    <w:rsid w:val="00637737"/>
    <w:rsid w:val="0064013E"/>
    <w:rsid w:val="00640D3B"/>
    <w:rsid w:val="00642341"/>
    <w:rsid w:val="00642BEA"/>
    <w:rsid w:val="00643804"/>
    <w:rsid w:val="00644134"/>
    <w:rsid w:val="00645471"/>
    <w:rsid w:val="00647685"/>
    <w:rsid w:val="00647C07"/>
    <w:rsid w:val="00647C6A"/>
    <w:rsid w:val="00647CBA"/>
    <w:rsid w:val="0065033C"/>
    <w:rsid w:val="00650AC1"/>
    <w:rsid w:val="00650D97"/>
    <w:rsid w:val="00650EE6"/>
    <w:rsid w:val="00652253"/>
    <w:rsid w:val="006527B2"/>
    <w:rsid w:val="00653755"/>
    <w:rsid w:val="00653E3F"/>
    <w:rsid w:val="00653F2B"/>
    <w:rsid w:val="006540C6"/>
    <w:rsid w:val="00655379"/>
    <w:rsid w:val="0065546F"/>
    <w:rsid w:val="006559B8"/>
    <w:rsid w:val="00655C10"/>
    <w:rsid w:val="00655C89"/>
    <w:rsid w:val="0065635D"/>
    <w:rsid w:val="00656BD7"/>
    <w:rsid w:val="00656E88"/>
    <w:rsid w:val="00657113"/>
    <w:rsid w:val="00657A6B"/>
    <w:rsid w:val="006605F5"/>
    <w:rsid w:val="00660E93"/>
    <w:rsid w:val="0066123F"/>
    <w:rsid w:val="006629FB"/>
    <w:rsid w:val="006635B3"/>
    <w:rsid w:val="00663ED2"/>
    <w:rsid w:val="006645F3"/>
    <w:rsid w:val="00664753"/>
    <w:rsid w:val="00664829"/>
    <w:rsid w:val="00665411"/>
    <w:rsid w:val="00665E53"/>
    <w:rsid w:val="00667304"/>
    <w:rsid w:val="006700E7"/>
    <w:rsid w:val="006712D2"/>
    <w:rsid w:val="006715E8"/>
    <w:rsid w:val="00671612"/>
    <w:rsid w:val="0067169D"/>
    <w:rsid w:val="00671DB1"/>
    <w:rsid w:val="006727D1"/>
    <w:rsid w:val="0067315A"/>
    <w:rsid w:val="006743C2"/>
    <w:rsid w:val="00674835"/>
    <w:rsid w:val="0067582A"/>
    <w:rsid w:val="00675AFE"/>
    <w:rsid w:val="00675B75"/>
    <w:rsid w:val="006764D0"/>
    <w:rsid w:val="00676C44"/>
    <w:rsid w:val="00677469"/>
    <w:rsid w:val="006776E7"/>
    <w:rsid w:val="006779E0"/>
    <w:rsid w:val="0068034F"/>
    <w:rsid w:val="00681670"/>
    <w:rsid w:val="00681B6A"/>
    <w:rsid w:val="006821B0"/>
    <w:rsid w:val="00682E4A"/>
    <w:rsid w:val="0068510E"/>
    <w:rsid w:val="00685796"/>
    <w:rsid w:val="00685E71"/>
    <w:rsid w:val="00685E77"/>
    <w:rsid w:val="00686157"/>
    <w:rsid w:val="00686352"/>
    <w:rsid w:val="006863AE"/>
    <w:rsid w:val="00686798"/>
    <w:rsid w:val="006867EB"/>
    <w:rsid w:val="00687A04"/>
    <w:rsid w:val="00691F47"/>
    <w:rsid w:val="00692288"/>
    <w:rsid w:val="006922C4"/>
    <w:rsid w:val="00692B0B"/>
    <w:rsid w:val="00694451"/>
    <w:rsid w:val="006947AD"/>
    <w:rsid w:val="006947FD"/>
    <w:rsid w:val="00694B6C"/>
    <w:rsid w:val="00694B7C"/>
    <w:rsid w:val="00696A2A"/>
    <w:rsid w:val="00696CEB"/>
    <w:rsid w:val="00696D98"/>
    <w:rsid w:val="006979BB"/>
    <w:rsid w:val="006A0132"/>
    <w:rsid w:val="006A04DE"/>
    <w:rsid w:val="006A1480"/>
    <w:rsid w:val="006A1E2A"/>
    <w:rsid w:val="006A2642"/>
    <w:rsid w:val="006A35F3"/>
    <w:rsid w:val="006A37B5"/>
    <w:rsid w:val="006A41AA"/>
    <w:rsid w:val="006A4FD5"/>
    <w:rsid w:val="006A513D"/>
    <w:rsid w:val="006A539C"/>
    <w:rsid w:val="006A568A"/>
    <w:rsid w:val="006A5790"/>
    <w:rsid w:val="006A6787"/>
    <w:rsid w:val="006A70A4"/>
    <w:rsid w:val="006A7679"/>
    <w:rsid w:val="006A7687"/>
    <w:rsid w:val="006B0126"/>
    <w:rsid w:val="006B033A"/>
    <w:rsid w:val="006B049B"/>
    <w:rsid w:val="006B0DFF"/>
    <w:rsid w:val="006B1445"/>
    <w:rsid w:val="006B14EC"/>
    <w:rsid w:val="006B2071"/>
    <w:rsid w:val="006B29E9"/>
    <w:rsid w:val="006B3724"/>
    <w:rsid w:val="006B3B9B"/>
    <w:rsid w:val="006B451A"/>
    <w:rsid w:val="006B4C9F"/>
    <w:rsid w:val="006B4DAA"/>
    <w:rsid w:val="006B56D1"/>
    <w:rsid w:val="006B581F"/>
    <w:rsid w:val="006B5F71"/>
    <w:rsid w:val="006B652C"/>
    <w:rsid w:val="006B6876"/>
    <w:rsid w:val="006B6AF5"/>
    <w:rsid w:val="006B7202"/>
    <w:rsid w:val="006B7A67"/>
    <w:rsid w:val="006B7D4A"/>
    <w:rsid w:val="006C087F"/>
    <w:rsid w:val="006C08F0"/>
    <w:rsid w:val="006C0953"/>
    <w:rsid w:val="006C2674"/>
    <w:rsid w:val="006C3AE9"/>
    <w:rsid w:val="006C47E3"/>
    <w:rsid w:val="006C5106"/>
    <w:rsid w:val="006C541E"/>
    <w:rsid w:val="006C57F2"/>
    <w:rsid w:val="006C736F"/>
    <w:rsid w:val="006C7395"/>
    <w:rsid w:val="006C74F3"/>
    <w:rsid w:val="006C7691"/>
    <w:rsid w:val="006C7772"/>
    <w:rsid w:val="006C7800"/>
    <w:rsid w:val="006D02C4"/>
    <w:rsid w:val="006D070C"/>
    <w:rsid w:val="006D0BAC"/>
    <w:rsid w:val="006D1518"/>
    <w:rsid w:val="006D2A92"/>
    <w:rsid w:val="006D2BC2"/>
    <w:rsid w:val="006D2FE2"/>
    <w:rsid w:val="006D34D4"/>
    <w:rsid w:val="006D374E"/>
    <w:rsid w:val="006D37D2"/>
    <w:rsid w:val="006D3BD9"/>
    <w:rsid w:val="006D4553"/>
    <w:rsid w:val="006D50B1"/>
    <w:rsid w:val="006D538E"/>
    <w:rsid w:val="006D5DE5"/>
    <w:rsid w:val="006D6AD6"/>
    <w:rsid w:val="006D6AF3"/>
    <w:rsid w:val="006D7BC1"/>
    <w:rsid w:val="006D7CAE"/>
    <w:rsid w:val="006E04D1"/>
    <w:rsid w:val="006E07B1"/>
    <w:rsid w:val="006E0CD9"/>
    <w:rsid w:val="006E0E63"/>
    <w:rsid w:val="006E0F77"/>
    <w:rsid w:val="006E1690"/>
    <w:rsid w:val="006E16F6"/>
    <w:rsid w:val="006E1C4A"/>
    <w:rsid w:val="006E2AFC"/>
    <w:rsid w:val="006E3FAC"/>
    <w:rsid w:val="006E45B5"/>
    <w:rsid w:val="006E4AB9"/>
    <w:rsid w:val="006E4CDF"/>
    <w:rsid w:val="006E60E9"/>
    <w:rsid w:val="006F0008"/>
    <w:rsid w:val="006F05EE"/>
    <w:rsid w:val="006F07F0"/>
    <w:rsid w:val="006F0D06"/>
    <w:rsid w:val="006F15CA"/>
    <w:rsid w:val="006F1B4B"/>
    <w:rsid w:val="006F1C6C"/>
    <w:rsid w:val="006F1E2C"/>
    <w:rsid w:val="006F1EDD"/>
    <w:rsid w:val="006F2C93"/>
    <w:rsid w:val="006F3001"/>
    <w:rsid w:val="006F351A"/>
    <w:rsid w:val="006F39E4"/>
    <w:rsid w:val="006F3D40"/>
    <w:rsid w:val="006F3E56"/>
    <w:rsid w:val="006F4127"/>
    <w:rsid w:val="006F4931"/>
    <w:rsid w:val="006F4E24"/>
    <w:rsid w:val="006F6061"/>
    <w:rsid w:val="006F75FD"/>
    <w:rsid w:val="006F766F"/>
    <w:rsid w:val="006F79B3"/>
    <w:rsid w:val="006F7BE5"/>
    <w:rsid w:val="00700357"/>
    <w:rsid w:val="00700559"/>
    <w:rsid w:val="00700D9E"/>
    <w:rsid w:val="00700FEA"/>
    <w:rsid w:val="007017F7"/>
    <w:rsid w:val="0070197A"/>
    <w:rsid w:val="007032AD"/>
    <w:rsid w:val="00703A32"/>
    <w:rsid w:val="00703B3F"/>
    <w:rsid w:val="00703DB1"/>
    <w:rsid w:val="007040AF"/>
    <w:rsid w:val="00706826"/>
    <w:rsid w:val="00706C6B"/>
    <w:rsid w:val="00706CE9"/>
    <w:rsid w:val="00706DBF"/>
    <w:rsid w:val="00707252"/>
    <w:rsid w:val="007076A2"/>
    <w:rsid w:val="00707B07"/>
    <w:rsid w:val="00707CAF"/>
    <w:rsid w:val="00707DC7"/>
    <w:rsid w:val="0071061C"/>
    <w:rsid w:val="00710FF5"/>
    <w:rsid w:val="007123F6"/>
    <w:rsid w:val="007129A8"/>
    <w:rsid w:val="007129D1"/>
    <w:rsid w:val="00713DEC"/>
    <w:rsid w:val="00714433"/>
    <w:rsid w:val="00714DCD"/>
    <w:rsid w:val="00714E23"/>
    <w:rsid w:val="00715611"/>
    <w:rsid w:val="00715CB0"/>
    <w:rsid w:val="00715FED"/>
    <w:rsid w:val="007162E7"/>
    <w:rsid w:val="007166D2"/>
    <w:rsid w:val="0071778B"/>
    <w:rsid w:val="007206A0"/>
    <w:rsid w:val="00720871"/>
    <w:rsid w:val="00720EF8"/>
    <w:rsid w:val="00721986"/>
    <w:rsid w:val="00722CFD"/>
    <w:rsid w:val="0072336A"/>
    <w:rsid w:val="00723446"/>
    <w:rsid w:val="007242F4"/>
    <w:rsid w:val="00724587"/>
    <w:rsid w:val="007245A8"/>
    <w:rsid w:val="00725526"/>
    <w:rsid w:val="007257D8"/>
    <w:rsid w:val="00725B6C"/>
    <w:rsid w:val="007260BE"/>
    <w:rsid w:val="007260CA"/>
    <w:rsid w:val="007264C2"/>
    <w:rsid w:val="00726FBF"/>
    <w:rsid w:val="00727121"/>
    <w:rsid w:val="00727168"/>
    <w:rsid w:val="007271C4"/>
    <w:rsid w:val="00727280"/>
    <w:rsid w:val="00727A63"/>
    <w:rsid w:val="00727F02"/>
    <w:rsid w:val="00730AF6"/>
    <w:rsid w:val="007310DD"/>
    <w:rsid w:val="0073151A"/>
    <w:rsid w:val="00731641"/>
    <w:rsid w:val="00731EE4"/>
    <w:rsid w:val="00732328"/>
    <w:rsid w:val="00732925"/>
    <w:rsid w:val="00732DEA"/>
    <w:rsid w:val="00732FBE"/>
    <w:rsid w:val="00733F67"/>
    <w:rsid w:val="00734786"/>
    <w:rsid w:val="00734B19"/>
    <w:rsid w:val="00734E89"/>
    <w:rsid w:val="00734EEA"/>
    <w:rsid w:val="00735188"/>
    <w:rsid w:val="00735589"/>
    <w:rsid w:val="00735E2C"/>
    <w:rsid w:val="00736AF8"/>
    <w:rsid w:val="00736FE8"/>
    <w:rsid w:val="00737028"/>
    <w:rsid w:val="00737360"/>
    <w:rsid w:val="0073741C"/>
    <w:rsid w:val="0074033E"/>
    <w:rsid w:val="007405A7"/>
    <w:rsid w:val="00740E33"/>
    <w:rsid w:val="00741486"/>
    <w:rsid w:val="007415ED"/>
    <w:rsid w:val="00742023"/>
    <w:rsid w:val="0074237D"/>
    <w:rsid w:val="007427C0"/>
    <w:rsid w:val="007430E9"/>
    <w:rsid w:val="00743599"/>
    <w:rsid w:val="00743EE7"/>
    <w:rsid w:val="0074583B"/>
    <w:rsid w:val="00745BF5"/>
    <w:rsid w:val="00746527"/>
    <w:rsid w:val="007467FF"/>
    <w:rsid w:val="0074694D"/>
    <w:rsid w:val="0074703B"/>
    <w:rsid w:val="007474FC"/>
    <w:rsid w:val="007475DF"/>
    <w:rsid w:val="007504D1"/>
    <w:rsid w:val="00750F17"/>
    <w:rsid w:val="00751189"/>
    <w:rsid w:val="00751516"/>
    <w:rsid w:val="007515AB"/>
    <w:rsid w:val="00752941"/>
    <w:rsid w:val="00752DF8"/>
    <w:rsid w:val="0075315F"/>
    <w:rsid w:val="0075340B"/>
    <w:rsid w:val="007536D8"/>
    <w:rsid w:val="00753A97"/>
    <w:rsid w:val="00754923"/>
    <w:rsid w:val="00754A7D"/>
    <w:rsid w:val="007562CF"/>
    <w:rsid w:val="007564FF"/>
    <w:rsid w:val="00757005"/>
    <w:rsid w:val="0075702D"/>
    <w:rsid w:val="0075717A"/>
    <w:rsid w:val="0075731E"/>
    <w:rsid w:val="0076011F"/>
    <w:rsid w:val="00760A78"/>
    <w:rsid w:val="00760FCC"/>
    <w:rsid w:val="007619C7"/>
    <w:rsid w:val="00761B1E"/>
    <w:rsid w:val="00762005"/>
    <w:rsid w:val="00762597"/>
    <w:rsid w:val="00763218"/>
    <w:rsid w:val="007632FC"/>
    <w:rsid w:val="00763C82"/>
    <w:rsid w:val="00763DF3"/>
    <w:rsid w:val="00763E41"/>
    <w:rsid w:val="0076559D"/>
    <w:rsid w:val="00766BA9"/>
    <w:rsid w:val="00766D90"/>
    <w:rsid w:val="007676B2"/>
    <w:rsid w:val="007719FB"/>
    <w:rsid w:val="0077225D"/>
    <w:rsid w:val="007726CD"/>
    <w:rsid w:val="00773C10"/>
    <w:rsid w:val="00774719"/>
    <w:rsid w:val="00774993"/>
    <w:rsid w:val="00774B0F"/>
    <w:rsid w:val="00775494"/>
    <w:rsid w:val="007758FD"/>
    <w:rsid w:val="00775DB1"/>
    <w:rsid w:val="0077644D"/>
    <w:rsid w:val="00777A3E"/>
    <w:rsid w:val="00777B36"/>
    <w:rsid w:val="00777DF4"/>
    <w:rsid w:val="0078010C"/>
    <w:rsid w:val="0078036F"/>
    <w:rsid w:val="00780CB7"/>
    <w:rsid w:val="00780DE9"/>
    <w:rsid w:val="00780E99"/>
    <w:rsid w:val="00781AE5"/>
    <w:rsid w:val="00781AF3"/>
    <w:rsid w:val="0078317D"/>
    <w:rsid w:val="00783A20"/>
    <w:rsid w:val="007840E6"/>
    <w:rsid w:val="00785161"/>
    <w:rsid w:val="0078523F"/>
    <w:rsid w:val="00785307"/>
    <w:rsid w:val="00785528"/>
    <w:rsid w:val="00785F3C"/>
    <w:rsid w:val="00786048"/>
    <w:rsid w:val="0078672A"/>
    <w:rsid w:val="00786C63"/>
    <w:rsid w:val="007877D9"/>
    <w:rsid w:val="00787E25"/>
    <w:rsid w:val="00790630"/>
    <w:rsid w:val="00791113"/>
    <w:rsid w:val="00791494"/>
    <w:rsid w:val="00791510"/>
    <w:rsid w:val="007915D2"/>
    <w:rsid w:val="007915FE"/>
    <w:rsid w:val="00792111"/>
    <w:rsid w:val="00792D99"/>
    <w:rsid w:val="007936AE"/>
    <w:rsid w:val="00793876"/>
    <w:rsid w:val="00795197"/>
    <w:rsid w:val="0079603A"/>
    <w:rsid w:val="00796141"/>
    <w:rsid w:val="00796F4E"/>
    <w:rsid w:val="0079708C"/>
    <w:rsid w:val="00797584"/>
    <w:rsid w:val="007A0DED"/>
    <w:rsid w:val="007A1B71"/>
    <w:rsid w:val="007A25FB"/>
    <w:rsid w:val="007A264C"/>
    <w:rsid w:val="007A26EA"/>
    <w:rsid w:val="007A2962"/>
    <w:rsid w:val="007A358A"/>
    <w:rsid w:val="007A39CB"/>
    <w:rsid w:val="007A3C13"/>
    <w:rsid w:val="007A3E45"/>
    <w:rsid w:val="007A4581"/>
    <w:rsid w:val="007A4D48"/>
    <w:rsid w:val="007A55A6"/>
    <w:rsid w:val="007A578A"/>
    <w:rsid w:val="007A5A8C"/>
    <w:rsid w:val="007A6801"/>
    <w:rsid w:val="007A6DE2"/>
    <w:rsid w:val="007A6E86"/>
    <w:rsid w:val="007B02E1"/>
    <w:rsid w:val="007B0BFA"/>
    <w:rsid w:val="007B0CFF"/>
    <w:rsid w:val="007B0E84"/>
    <w:rsid w:val="007B15D8"/>
    <w:rsid w:val="007B25B9"/>
    <w:rsid w:val="007B2EC2"/>
    <w:rsid w:val="007B38E3"/>
    <w:rsid w:val="007B39D8"/>
    <w:rsid w:val="007B3F12"/>
    <w:rsid w:val="007B3F38"/>
    <w:rsid w:val="007B4D07"/>
    <w:rsid w:val="007B4E6F"/>
    <w:rsid w:val="007B4F27"/>
    <w:rsid w:val="007B53CD"/>
    <w:rsid w:val="007B5BBD"/>
    <w:rsid w:val="007B666C"/>
    <w:rsid w:val="007B7091"/>
    <w:rsid w:val="007B70DB"/>
    <w:rsid w:val="007B73FD"/>
    <w:rsid w:val="007B7FF2"/>
    <w:rsid w:val="007C0A29"/>
    <w:rsid w:val="007C1F16"/>
    <w:rsid w:val="007C3A04"/>
    <w:rsid w:val="007C460F"/>
    <w:rsid w:val="007C5BC6"/>
    <w:rsid w:val="007C689D"/>
    <w:rsid w:val="007C7312"/>
    <w:rsid w:val="007C7A82"/>
    <w:rsid w:val="007C7B5A"/>
    <w:rsid w:val="007C7C69"/>
    <w:rsid w:val="007C7CD9"/>
    <w:rsid w:val="007C7EB5"/>
    <w:rsid w:val="007D165C"/>
    <w:rsid w:val="007D1748"/>
    <w:rsid w:val="007D22DE"/>
    <w:rsid w:val="007D24C3"/>
    <w:rsid w:val="007D2841"/>
    <w:rsid w:val="007D2A1D"/>
    <w:rsid w:val="007D2DEC"/>
    <w:rsid w:val="007D32D2"/>
    <w:rsid w:val="007D3C7B"/>
    <w:rsid w:val="007D3FC2"/>
    <w:rsid w:val="007D43AE"/>
    <w:rsid w:val="007D43E2"/>
    <w:rsid w:val="007D44BC"/>
    <w:rsid w:val="007D48B0"/>
    <w:rsid w:val="007D6161"/>
    <w:rsid w:val="007D63C2"/>
    <w:rsid w:val="007D7808"/>
    <w:rsid w:val="007E0ED7"/>
    <w:rsid w:val="007E104C"/>
    <w:rsid w:val="007E1EBD"/>
    <w:rsid w:val="007E2A6A"/>
    <w:rsid w:val="007E2C41"/>
    <w:rsid w:val="007E2DA3"/>
    <w:rsid w:val="007E3042"/>
    <w:rsid w:val="007E304E"/>
    <w:rsid w:val="007E3D54"/>
    <w:rsid w:val="007E3F2C"/>
    <w:rsid w:val="007E5071"/>
    <w:rsid w:val="007E5754"/>
    <w:rsid w:val="007E5C22"/>
    <w:rsid w:val="007E5D45"/>
    <w:rsid w:val="007E62C3"/>
    <w:rsid w:val="007E6AAF"/>
    <w:rsid w:val="007E7A86"/>
    <w:rsid w:val="007E7E84"/>
    <w:rsid w:val="007F08A2"/>
    <w:rsid w:val="007F16B3"/>
    <w:rsid w:val="007F1AF4"/>
    <w:rsid w:val="007F1BC7"/>
    <w:rsid w:val="007F222C"/>
    <w:rsid w:val="007F2F42"/>
    <w:rsid w:val="007F3730"/>
    <w:rsid w:val="007F388B"/>
    <w:rsid w:val="007F4A85"/>
    <w:rsid w:val="007F4CA3"/>
    <w:rsid w:val="007F4FC6"/>
    <w:rsid w:val="007F538D"/>
    <w:rsid w:val="007F5703"/>
    <w:rsid w:val="007F5E9C"/>
    <w:rsid w:val="007F6898"/>
    <w:rsid w:val="007F6A2E"/>
    <w:rsid w:val="007F6DCC"/>
    <w:rsid w:val="007F71C0"/>
    <w:rsid w:val="007F73FA"/>
    <w:rsid w:val="007F782E"/>
    <w:rsid w:val="007F784E"/>
    <w:rsid w:val="007F7DFA"/>
    <w:rsid w:val="007F7ECE"/>
    <w:rsid w:val="0080043F"/>
    <w:rsid w:val="00800ADE"/>
    <w:rsid w:val="0080144E"/>
    <w:rsid w:val="00801B20"/>
    <w:rsid w:val="00801DD3"/>
    <w:rsid w:val="00801E7F"/>
    <w:rsid w:val="00801F98"/>
    <w:rsid w:val="0080282C"/>
    <w:rsid w:val="0080284A"/>
    <w:rsid w:val="00802E80"/>
    <w:rsid w:val="00803708"/>
    <w:rsid w:val="00803740"/>
    <w:rsid w:val="00803F36"/>
    <w:rsid w:val="00804304"/>
    <w:rsid w:val="00805F1A"/>
    <w:rsid w:val="00806329"/>
    <w:rsid w:val="0080650E"/>
    <w:rsid w:val="0080760A"/>
    <w:rsid w:val="008076B3"/>
    <w:rsid w:val="00807B8E"/>
    <w:rsid w:val="008103DD"/>
    <w:rsid w:val="008110DC"/>
    <w:rsid w:val="00811419"/>
    <w:rsid w:val="00811872"/>
    <w:rsid w:val="00812088"/>
    <w:rsid w:val="0081257C"/>
    <w:rsid w:val="00812B3C"/>
    <w:rsid w:val="00812D96"/>
    <w:rsid w:val="00812F82"/>
    <w:rsid w:val="00813B3F"/>
    <w:rsid w:val="00813D34"/>
    <w:rsid w:val="00814628"/>
    <w:rsid w:val="0081562F"/>
    <w:rsid w:val="00815960"/>
    <w:rsid w:val="00815F73"/>
    <w:rsid w:val="008177E2"/>
    <w:rsid w:val="00817C2B"/>
    <w:rsid w:val="008207C4"/>
    <w:rsid w:val="00821BC5"/>
    <w:rsid w:val="0082299D"/>
    <w:rsid w:val="00822AA2"/>
    <w:rsid w:val="00822D1F"/>
    <w:rsid w:val="00822D47"/>
    <w:rsid w:val="0082367F"/>
    <w:rsid w:val="008242FC"/>
    <w:rsid w:val="00824431"/>
    <w:rsid w:val="00824590"/>
    <w:rsid w:val="00826192"/>
    <w:rsid w:val="008267A1"/>
    <w:rsid w:val="0082689C"/>
    <w:rsid w:val="00826F93"/>
    <w:rsid w:val="00827F6A"/>
    <w:rsid w:val="0083060E"/>
    <w:rsid w:val="008309EB"/>
    <w:rsid w:val="00830CB5"/>
    <w:rsid w:val="00831459"/>
    <w:rsid w:val="008316A5"/>
    <w:rsid w:val="0083246E"/>
    <w:rsid w:val="008326D5"/>
    <w:rsid w:val="00832729"/>
    <w:rsid w:val="0083295F"/>
    <w:rsid w:val="008333C0"/>
    <w:rsid w:val="00833CD1"/>
    <w:rsid w:val="00833E92"/>
    <w:rsid w:val="0083447E"/>
    <w:rsid w:val="00834840"/>
    <w:rsid w:val="008349F7"/>
    <w:rsid w:val="00834DA7"/>
    <w:rsid w:val="00834E34"/>
    <w:rsid w:val="008376F1"/>
    <w:rsid w:val="008379F5"/>
    <w:rsid w:val="00837DC2"/>
    <w:rsid w:val="008401C0"/>
    <w:rsid w:val="0084025C"/>
    <w:rsid w:val="008409C3"/>
    <w:rsid w:val="0084131C"/>
    <w:rsid w:val="00841DF9"/>
    <w:rsid w:val="00841E80"/>
    <w:rsid w:val="00842169"/>
    <w:rsid w:val="0084240A"/>
    <w:rsid w:val="00842B41"/>
    <w:rsid w:val="00844A03"/>
    <w:rsid w:val="00844E4C"/>
    <w:rsid w:val="008459B4"/>
    <w:rsid w:val="00845DB5"/>
    <w:rsid w:val="00845F83"/>
    <w:rsid w:val="0084617C"/>
    <w:rsid w:val="00846958"/>
    <w:rsid w:val="00846B92"/>
    <w:rsid w:val="00846E0F"/>
    <w:rsid w:val="00846ED8"/>
    <w:rsid w:val="00847437"/>
    <w:rsid w:val="008478AC"/>
    <w:rsid w:val="0084793B"/>
    <w:rsid w:val="00847D96"/>
    <w:rsid w:val="008507B8"/>
    <w:rsid w:val="00850FF5"/>
    <w:rsid w:val="00851135"/>
    <w:rsid w:val="008511A1"/>
    <w:rsid w:val="0085150A"/>
    <w:rsid w:val="0085193B"/>
    <w:rsid w:val="00851F97"/>
    <w:rsid w:val="008530E0"/>
    <w:rsid w:val="008535EC"/>
    <w:rsid w:val="00853953"/>
    <w:rsid w:val="008547FC"/>
    <w:rsid w:val="00855675"/>
    <w:rsid w:val="008557F0"/>
    <w:rsid w:val="00855B3D"/>
    <w:rsid w:val="00855C4B"/>
    <w:rsid w:val="0085604C"/>
    <w:rsid w:val="00857686"/>
    <w:rsid w:val="00857CD3"/>
    <w:rsid w:val="008604DA"/>
    <w:rsid w:val="008618E5"/>
    <w:rsid w:val="00862473"/>
    <w:rsid w:val="00863C45"/>
    <w:rsid w:val="00864B49"/>
    <w:rsid w:val="00864F14"/>
    <w:rsid w:val="00865D42"/>
    <w:rsid w:val="00866274"/>
    <w:rsid w:val="00866495"/>
    <w:rsid w:val="0086669E"/>
    <w:rsid w:val="00867233"/>
    <w:rsid w:val="00870CE5"/>
    <w:rsid w:val="0087178D"/>
    <w:rsid w:val="00872057"/>
    <w:rsid w:val="008722A2"/>
    <w:rsid w:val="008727C6"/>
    <w:rsid w:val="00872CB3"/>
    <w:rsid w:val="00872E47"/>
    <w:rsid w:val="00873197"/>
    <w:rsid w:val="00873799"/>
    <w:rsid w:val="00873FC2"/>
    <w:rsid w:val="00874105"/>
    <w:rsid w:val="0087457F"/>
    <w:rsid w:val="00874856"/>
    <w:rsid w:val="00874964"/>
    <w:rsid w:val="00875614"/>
    <w:rsid w:val="0087585F"/>
    <w:rsid w:val="0087598C"/>
    <w:rsid w:val="00875D14"/>
    <w:rsid w:val="008762DF"/>
    <w:rsid w:val="00876F0E"/>
    <w:rsid w:val="00877082"/>
    <w:rsid w:val="00877557"/>
    <w:rsid w:val="0087759B"/>
    <w:rsid w:val="008802AB"/>
    <w:rsid w:val="00880307"/>
    <w:rsid w:val="008804EC"/>
    <w:rsid w:val="0088085C"/>
    <w:rsid w:val="00881A60"/>
    <w:rsid w:val="00882F6F"/>
    <w:rsid w:val="0088381B"/>
    <w:rsid w:val="00883D7D"/>
    <w:rsid w:val="0088437F"/>
    <w:rsid w:val="008846AE"/>
    <w:rsid w:val="008861C3"/>
    <w:rsid w:val="0088699F"/>
    <w:rsid w:val="00886CEC"/>
    <w:rsid w:val="00886ECE"/>
    <w:rsid w:val="00887A4D"/>
    <w:rsid w:val="0089005A"/>
    <w:rsid w:val="00890180"/>
    <w:rsid w:val="0089022D"/>
    <w:rsid w:val="008918F7"/>
    <w:rsid w:val="00891E91"/>
    <w:rsid w:val="008920EC"/>
    <w:rsid w:val="008926AD"/>
    <w:rsid w:val="00892C6A"/>
    <w:rsid w:val="00895D70"/>
    <w:rsid w:val="00897A17"/>
    <w:rsid w:val="008A03B9"/>
    <w:rsid w:val="008A1CF4"/>
    <w:rsid w:val="008A2EBE"/>
    <w:rsid w:val="008A3966"/>
    <w:rsid w:val="008A3B80"/>
    <w:rsid w:val="008A3EA9"/>
    <w:rsid w:val="008A4148"/>
    <w:rsid w:val="008A4A75"/>
    <w:rsid w:val="008A4E48"/>
    <w:rsid w:val="008A506B"/>
    <w:rsid w:val="008A597E"/>
    <w:rsid w:val="008A6786"/>
    <w:rsid w:val="008A6F02"/>
    <w:rsid w:val="008A73D2"/>
    <w:rsid w:val="008B004C"/>
    <w:rsid w:val="008B06E5"/>
    <w:rsid w:val="008B1203"/>
    <w:rsid w:val="008B1FA0"/>
    <w:rsid w:val="008B4A91"/>
    <w:rsid w:val="008B6048"/>
    <w:rsid w:val="008B7DF1"/>
    <w:rsid w:val="008C03AC"/>
    <w:rsid w:val="008C0A4D"/>
    <w:rsid w:val="008C206C"/>
    <w:rsid w:val="008C295E"/>
    <w:rsid w:val="008C2FFD"/>
    <w:rsid w:val="008C37CE"/>
    <w:rsid w:val="008C3C99"/>
    <w:rsid w:val="008C4011"/>
    <w:rsid w:val="008C418F"/>
    <w:rsid w:val="008C5440"/>
    <w:rsid w:val="008C59AC"/>
    <w:rsid w:val="008C5DCF"/>
    <w:rsid w:val="008C5E14"/>
    <w:rsid w:val="008C604C"/>
    <w:rsid w:val="008C6A52"/>
    <w:rsid w:val="008C6AA8"/>
    <w:rsid w:val="008C6B7F"/>
    <w:rsid w:val="008C74F8"/>
    <w:rsid w:val="008C7D16"/>
    <w:rsid w:val="008D0622"/>
    <w:rsid w:val="008D1557"/>
    <w:rsid w:val="008D1F18"/>
    <w:rsid w:val="008D26AC"/>
    <w:rsid w:val="008D2C68"/>
    <w:rsid w:val="008D2FD2"/>
    <w:rsid w:val="008D3805"/>
    <w:rsid w:val="008D4BBD"/>
    <w:rsid w:val="008D5118"/>
    <w:rsid w:val="008E001A"/>
    <w:rsid w:val="008E0220"/>
    <w:rsid w:val="008E0B8C"/>
    <w:rsid w:val="008E17E5"/>
    <w:rsid w:val="008E1DD9"/>
    <w:rsid w:val="008E242B"/>
    <w:rsid w:val="008E286C"/>
    <w:rsid w:val="008E2941"/>
    <w:rsid w:val="008E2E05"/>
    <w:rsid w:val="008E2F9A"/>
    <w:rsid w:val="008E34E8"/>
    <w:rsid w:val="008E3A0A"/>
    <w:rsid w:val="008E3F71"/>
    <w:rsid w:val="008E3FEC"/>
    <w:rsid w:val="008E481F"/>
    <w:rsid w:val="008E53F3"/>
    <w:rsid w:val="008E5B12"/>
    <w:rsid w:val="008E5FB2"/>
    <w:rsid w:val="008E650C"/>
    <w:rsid w:val="008E663D"/>
    <w:rsid w:val="008E7A7C"/>
    <w:rsid w:val="008F0050"/>
    <w:rsid w:val="008F00F9"/>
    <w:rsid w:val="008F04AF"/>
    <w:rsid w:val="008F05B4"/>
    <w:rsid w:val="008F0757"/>
    <w:rsid w:val="008F0A71"/>
    <w:rsid w:val="008F0C36"/>
    <w:rsid w:val="008F2061"/>
    <w:rsid w:val="008F3990"/>
    <w:rsid w:val="008F457D"/>
    <w:rsid w:val="008F50A2"/>
    <w:rsid w:val="008F529D"/>
    <w:rsid w:val="008F5F10"/>
    <w:rsid w:val="008F6042"/>
    <w:rsid w:val="008F66C4"/>
    <w:rsid w:val="008F73C3"/>
    <w:rsid w:val="008F75D3"/>
    <w:rsid w:val="008F7BB6"/>
    <w:rsid w:val="008F7DCA"/>
    <w:rsid w:val="00901B65"/>
    <w:rsid w:val="00902229"/>
    <w:rsid w:val="009022EB"/>
    <w:rsid w:val="009032E5"/>
    <w:rsid w:val="00903386"/>
    <w:rsid w:val="0090435B"/>
    <w:rsid w:val="0090456A"/>
    <w:rsid w:val="009047C1"/>
    <w:rsid w:val="00904B24"/>
    <w:rsid w:val="0090521D"/>
    <w:rsid w:val="00905ACE"/>
    <w:rsid w:val="009065A3"/>
    <w:rsid w:val="00906969"/>
    <w:rsid w:val="00907CC3"/>
    <w:rsid w:val="00907EDE"/>
    <w:rsid w:val="009115AB"/>
    <w:rsid w:val="00911F39"/>
    <w:rsid w:val="0091253A"/>
    <w:rsid w:val="00913260"/>
    <w:rsid w:val="00914D03"/>
    <w:rsid w:val="00914EA0"/>
    <w:rsid w:val="00915020"/>
    <w:rsid w:val="00916913"/>
    <w:rsid w:val="00916F65"/>
    <w:rsid w:val="0091783A"/>
    <w:rsid w:val="009178D2"/>
    <w:rsid w:val="00917966"/>
    <w:rsid w:val="00920F20"/>
    <w:rsid w:val="009228AA"/>
    <w:rsid w:val="00922D5D"/>
    <w:rsid w:val="009235C8"/>
    <w:rsid w:val="00923A8F"/>
    <w:rsid w:val="00923E51"/>
    <w:rsid w:val="00924FCB"/>
    <w:rsid w:val="00925177"/>
    <w:rsid w:val="00925210"/>
    <w:rsid w:val="009275EB"/>
    <w:rsid w:val="00927731"/>
    <w:rsid w:val="00927EFB"/>
    <w:rsid w:val="00927F75"/>
    <w:rsid w:val="009301CD"/>
    <w:rsid w:val="009306B5"/>
    <w:rsid w:val="00930A79"/>
    <w:rsid w:val="00930B38"/>
    <w:rsid w:val="00930F52"/>
    <w:rsid w:val="009311D1"/>
    <w:rsid w:val="00931698"/>
    <w:rsid w:val="0093211C"/>
    <w:rsid w:val="009340CB"/>
    <w:rsid w:val="0093499E"/>
    <w:rsid w:val="009350DA"/>
    <w:rsid w:val="009355A1"/>
    <w:rsid w:val="00935964"/>
    <w:rsid w:val="009361D8"/>
    <w:rsid w:val="009364F1"/>
    <w:rsid w:val="009365D9"/>
    <w:rsid w:val="00936901"/>
    <w:rsid w:val="00936BFD"/>
    <w:rsid w:val="00936C34"/>
    <w:rsid w:val="00936CCF"/>
    <w:rsid w:val="00937E1C"/>
    <w:rsid w:val="00937F50"/>
    <w:rsid w:val="00940422"/>
    <w:rsid w:val="0094179D"/>
    <w:rsid w:val="00941C18"/>
    <w:rsid w:val="0094222E"/>
    <w:rsid w:val="0094259D"/>
    <w:rsid w:val="00942DF6"/>
    <w:rsid w:val="009436C8"/>
    <w:rsid w:val="0094399A"/>
    <w:rsid w:val="00943B77"/>
    <w:rsid w:val="00943D43"/>
    <w:rsid w:val="00944D02"/>
    <w:rsid w:val="00944DD6"/>
    <w:rsid w:val="00944E60"/>
    <w:rsid w:val="009451D7"/>
    <w:rsid w:val="00945BF2"/>
    <w:rsid w:val="0095060B"/>
    <w:rsid w:val="00950DC9"/>
    <w:rsid w:val="009510C3"/>
    <w:rsid w:val="009511A9"/>
    <w:rsid w:val="0095125E"/>
    <w:rsid w:val="00951315"/>
    <w:rsid w:val="009518CF"/>
    <w:rsid w:val="00952074"/>
    <w:rsid w:val="009520EA"/>
    <w:rsid w:val="00953817"/>
    <w:rsid w:val="009539FA"/>
    <w:rsid w:val="00953D97"/>
    <w:rsid w:val="00954B41"/>
    <w:rsid w:val="00954F07"/>
    <w:rsid w:val="00955003"/>
    <w:rsid w:val="00955980"/>
    <w:rsid w:val="009559A8"/>
    <w:rsid w:val="0095755D"/>
    <w:rsid w:val="00957625"/>
    <w:rsid w:val="00957A04"/>
    <w:rsid w:val="00960C54"/>
    <w:rsid w:val="00960D7F"/>
    <w:rsid w:val="009612B9"/>
    <w:rsid w:val="00961B79"/>
    <w:rsid w:val="00962160"/>
    <w:rsid w:val="0096246A"/>
    <w:rsid w:val="00962DC3"/>
    <w:rsid w:val="00962E3C"/>
    <w:rsid w:val="009637FB"/>
    <w:rsid w:val="00963DD7"/>
    <w:rsid w:val="00964A2F"/>
    <w:rsid w:val="00964B79"/>
    <w:rsid w:val="00965FA3"/>
    <w:rsid w:val="00966017"/>
    <w:rsid w:val="00966239"/>
    <w:rsid w:val="00966DD0"/>
    <w:rsid w:val="0097094B"/>
    <w:rsid w:val="00970D41"/>
    <w:rsid w:val="00970E2D"/>
    <w:rsid w:val="009717EC"/>
    <w:rsid w:val="00971CB5"/>
    <w:rsid w:val="00971E02"/>
    <w:rsid w:val="009728AF"/>
    <w:rsid w:val="00972F71"/>
    <w:rsid w:val="00973FDF"/>
    <w:rsid w:val="00974243"/>
    <w:rsid w:val="00974D8E"/>
    <w:rsid w:val="0097539B"/>
    <w:rsid w:val="00976624"/>
    <w:rsid w:val="00977023"/>
    <w:rsid w:val="009773D1"/>
    <w:rsid w:val="0097773C"/>
    <w:rsid w:val="00977D4E"/>
    <w:rsid w:val="009801B5"/>
    <w:rsid w:val="00980E79"/>
    <w:rsid w:val="009811FB"/>
    <w:rsid w:val="009811FC"/>
    <w:rsid w:val="00981293"/>
    <w:rsid w:val="009813F1"/>
    <w:rsid w:val="00982037"/>
    <w:rsid w:val="00982CE1"/>
    <w:rsid w:val="00982E04"/>
    <w:rsid w:val="00983C13"/>
    <w:rsid w:val="00983E2D"/>
    <w:rsid w:val="009841E7"/>
    <w:rsid w:val="009852B0"/>
    <w:rsid w:val="00987DB5"/>
    <w:rsid w:val="009908FA"/>
    <w:rsid w:val="0099155F"/>
    <w:rsid w:val="009925D2"/>
    <w:rsid w:val="00992C6F"/>
    <w:rsid w:val="00993069"/>
    <w:rsid w:val="0099398E"/>
    <w:rsid w:val="0099502B"/>
    <w:rsid w:val="009955D3"/>
    <w:rsid w:val="009955E7"/>
    <w:rsid w:val="00995A8E"/>
    <w:rsid w:val="0099628C"/>
    <w:rsid w:val="0099693C"/>
    <w:rsid w:val="00996B50"/>
    <w:rsid w:val="009970CF"/>
    <w:rsid w:val="009976B7"/>
    <w:rsid w:val="009A06F8"/>
    <w:rsid w:val="009A0BF8"/>
    <w:rsid w:val="009A0D0A"/>
    <w:rsid w:val="009A181E"/>
    <w:rsid w:val="009A1E9E"/>
    <w:rsid w:val="009A2A5F"/>
    <w:rsid w:val="009A2B88"/>
    <w:rsid w:val="009A2D9D"/>
    <w:rsid w:val="009A44D8"/>
    <w:rsid w:val="009A4931"/>
    <w:rsid w:val="009A5135"/>
    <w:rsid w:val="009A53A9"/>
    <w:rsid w:val="009A6E8F"/>
    <w:rsid w:val="009A772F"/>
    <w:rsid w:val="009A7D81"/>
    <w:rsid w:val="009B01F3"/>
    <w:rsid w:val="009B0349"/>
    <w:rsid w:val="009B041C"/>
    <w:rsid w:val="009B0D66"/>
    <w:rsid w:val="009B147F"/>
    <w:rsid w:val="009B162A"/>
    <w:rsid w:val="009B1A70"/>
    <w:rsid w:val="009B1CF8"/>
    <w:rsid w:val="009B2A82"/>
    <w:rsid w:val="009B3F89"/>
    <w:rsid w:val="009B42B3"/>
    <w:rsid w:val="009B447C"/>
    <w:rsid w:val="009B4613"/>
    <w:rsid w:val="009B46DA"/>
    <w:rsid w:val="009B4C9B"/>
    <w:rsid w:val="009B54D1"/>
    <w:rsid w:val="009B5C43"/>
    <w:rsid w:val="009B5F77"/>
    <w:rsid w:val="009B6180"/>
    <w:rsid w:val="009B6F54"/>
    <w:rsid w:val="009B7B1C"/>
    <w:rsid w:val="009C01BA"/>
    <w:rsid w:val="009C13D8"/>
    <w:rsid w:val="009C1803"/>
    <w:rsid w:val="009C1BF5"/>
    <w:rsid w:val="009C27CA"/>
    <w:rsid w:val="009C2A60"/>
    <w:rsid w:val="009C2C96"/>
    <w:rsid w:val="009C2DE5"/>
    <w:rsid w:val="009C3628"/>
    <w:rsid w:val="009C3D47"/>
    <w:rsid w:val="009C49F8"/>
    <w:rsid w:val="009C4ED4"/>
    <w:rsid w:val="009C56AA"/>
    <w:rsid w:val="009C5C9A"/>
    <w:rsid w:val="009C6417"/>
    <w:rsid w:val="009C6703"/>
    <w:rsid w:val="009C7A97"/>
    <w:rsid w:val="009C7C3E"/>
    <w:rsid w:val="009D0108"/>
    <w:rsid w:val="009D0540"/>
    <w:rsid w:val="009D0C41"/>
    <w:rsid w:val="009D0C6A"/>
    <w:rsid w:val="009D0DB3"/>
    <w:rsid w:val="009D18F8"/>
    <w:rsid w:val="009D1E1D"/>
    <w:rsid w:val="009D2064"/>
    <w:rsid w:val="009D2213"/>
    <w:rsid w:val="009D247E"/>
    <w:rsid w:val="009D26E3"/>
    <w:rsid w:val="009D27A3"/>
    <w:rsid w:val="009D2B34"/>
    <w:rsid w:val="009D31CF"/>
    <w:rsid w:val="009D4D72"/>
    <w:rsid w:val="009D5407"/>
    <w:rsid w:val="009D56C5"/>
    <w:rsid w:val="009D5950"/>
    <w:rsid w:val="009D5BC7"/>
    <w:rsid w:val="009D5C27"/>
    <w:rsid w:val="009D5E11"/>
    <w:rsid w:val="009D716B"/>
    <w:rsid w:val="009E102D"/>
    <w:rsid w:val="009E10FA"/>
    <w:rsid w:val="009E11AB"/>
    <w:rsid w:val="009E1A38"/>
    <w:rsid w:val="009E23AE"/>
    <w:rsid w:val="009E2AEA"/>
    <w:rsid w:val="009E2CDC"/>
    <w:rsid w:val="009E2F42"/>
    <w:rsid w:val="009E2FAA"/>
    <w:rsid w:val="009E378C"/>
    <w:rsid w:val="009E38B8"/>
    <w:rsid w:val="009E41E2"/>
    <w:rsid w:val="009E4639"/>
    <w:rsid w:val="009E48D6"/>
    <w:rsid w:val="009E4A97"/>
    <w:rsid w:val="009E592B"/>
    <w:rsid w:val="009E5F03"/>
    <w:rsid w:val="009E60B1"/>
    <w:rsid w:val="009E70E2"/>
    <w:rsid w:val="009E76F7"/>
    <w:rsid w:val="009E7807"/>
    <w:rsid w:val="009E78BB"/>
    <w:rsid w:val="009E7967"/>
    <w:rsid w:val="009E7A06"/>
    <w:rsid w:val="009F0DF4"/>
    <w:rsid w:val="009F14E9"/>
    <w:rsid w:val="009F1622"/>
    <w:rsid w:val="009F3B97"/>
    <w:rsid w:val="009F4396"/>
    <w:rsid w:val="009F4A2D"/>
    <w:rsid w:val="009F4F23"/>
    <w:rsid w:val="009F4F52"/>
    <w:rsid w:val="009F5DE3"/>
    <w:rsid w:val="009F5ECE"/>
    <w:rsid w:val="009F63AD"/>
    <w:rsid w:val="009F690F"/>
    <w:rsid w:val="009F6E3B"/>
    <w:rsid w:val="009F71B6"/>
    <w:rsid w:val="009F7285"/>
    <w:rsid w:val="009F7393"/>
    <w:rsid w:val="009F7A71"/>
    <w:rsid w:val="00A0167E"/>
    <w:rsid w:val="00A016D5"/>
    <w:rsid w:val="00A0192E"/>
    <w:rsid w:val="00A02B26"/>
    <w:rsid w:val="00A02BA6"/>
    <w:rsid w:val="00A02C35"/>
    <w:rsid w:val="00A030E5"/>
    <w:rsid w:val="00A03141"/>
    <w:rsid w:val="00A04156"/>
    <w:rsid w:val="00A047B6"/>
    <w:rsid w:val="00A04A25"/>
    <w:rsid w:val="00A04F2B"/>
    <w:rsid w:val="00A052C3"/>
    <w:rsid w:val="00A06E06"/>
    <w:rsid w:val="00A0FAA8"/>
    <w:rsid w:val="00A10489"/>
    <w:rsid w:val="00A11BB4"/>
    <w:rsid w:val="00A11BBD"/>
    <w:rsid w:val="00A11DB9"/>
    <w:rsid w:val="00A120F8"/>
    <w:rsid w:val="00A12D62"/>
    <w:rsid w:val="00A12E43"/>
    <w:rsid w:val="00A13704"/>
    <w:rsid w:val="00A138BB"/>
    <w:rsid w:val="00A14479"/>
    <w:rsid w:val="00A145AA"/>
    <w:rsid w:val="00A152E2"/>
    <w:rsid w:val="00A152FD"/>
    <w:rsid w:val="00A155CB"/>
    <w:rsid w:val="00A15839"/>
    <w:rsid w:val="00A15930"/>
    <w:rsid w:val="00A15CE3"/>
    <w:rsid w:val="00A15D8C"/>
    <w:rsid w:val="00A1723C"/>
    <w:rsid w:val="00A200BD"/>
    <w:rsid w:val="00A20B21"/>
    <w:rsid w:val="00A20DDC"/>
    <w:rsid w:val="00A20DF4"/>
    <w:rsid w:val="00A2135A"/>
    <w:rsid w:val="00A22529"/>
    <w:rsid w:val="00A22DD4"/>
    <w:rsid w:val="00A23064"/>
    <w:rsid w:val="00A23659"/>
    <w:rsid w:val="00A23EED"/>
    <w:rsid w:val="00A25416"/>
    <w:rsid w:val="00A2560D"/>
    <w:rsid w:val="00A2569F"/>
    <w:rsid w:val="00A25B82"/>
    <w:rsid w:val="00A2611C"/>
    <w:rsid w:val="00A261A8"/>
    <w:rsid w:val="00A2627A"/>
    <w:rsid w:val="00A26514"/>
    <w:rsid w:val="00A2726C"/>
    <w:rsid w:val="00A27FC0"/>
    <w:rsid w:val="00A30006"/>
    <w:rsid w:val="00A32012"/>
    <w:rsid w:val="00A3229D"/>
    <w:rsid w:val="00A32BDD"/>
    <w:rsid w:val="00A33956"/>
    <w:rsid w:val="00A33B0E"/>
    <w:rsid w:val="00A347B7"/>
    <w:rsid w:val="00A3513E"/>
    <w:rsid w:val="00A353D6"/>
    <w:rsid w:val="00A35DCF"/>
    <w:rsid w:val="00A36088"/>
    <w:rsid w:val="00A36561"/>
    <w:rsid w:val="00A36BAE"/>
    <w:rsid w:val="00A3707B"/>
    <w:rsid w:val="00A37508"/>
    <w:rsid w:val="00A37E0E"/>
    <w:rsid w:val="00A403D8"/>
    <w:rsid w:val="00A408FA"/>
    <w:rsid w:val="00A41B8E"/>
    <w:rsid w:val="00A41CA8"/>
    <w:rsid w:val="00A41D89"/>
    <w:rsid w:val="00A421A3"/>
    <w:rsid w:val="00A4261B"/>
    <w:rsid w:val="00A432C5"/>
    <w:rsid w:val="00A43432"/>
    <w:rsid w:val="00A439E8"/>
    <w:rsid w:val="00A44207"/>
    <w:rsid w:val="00A4428E"/>
    <w:rsid w:val="00A443CD"/>
    <w:rsid w:val="00A44E22"/>
    <w:rsid w:val="00A44ECF"/>
    <w:rsid w:val="00A44F53"/>
    <w:rsid w:val="00A4542D"/>
    <w:rsid w:val="00A45AC1"/>
    <w:rsid w:val="00A468E6"/>
    <w:rsid w:val="00A47080"/>
    <w:rsid w:val="00A5084D"/>
    <w:rsid w:val="00A50DDE"/>
    <w:rsid w:val="00A51770"/>
    <w:rsid w:val="00A52002"/>
    <w:rsid w:val="00A52078"/>
    <w:rsid w:val="00A52ED6"/>
    <w:rsid w:val="00A53998"/>
    <w:rsid w:val="00A54C92"/>
    <w:rsid w:val="00A54D09"/>
    <w:rsid w:val="00A54DFE"/>
    <w:rsid w:val="00A54EDA"/>
    <w:rsid w:val="00A55758"/>
    <w:rsid w:val="00A55D83"/>
    <w:rsid w:val="00A5733E"/>
    <w:rsid w:val="00A574A6"/>
    <w:rsid w:val="00A576F8"/>
    <w:rsid w:val="00A62B60"/>
    <w:rsid w:val="00A62CCD"/>
    <w:rsid w:val="00A63088"/>
    <w:rsid w:val="00A6375A"/>
    <w:rsid w:val="00A6428C"/>
    <w:rsid w:val="00A647A5"/>
    <w:rsid w:val="00A6528A"/>
    <w:rsid w:val="00A665E5"/>
    <w:rsid w:val="00A67CC9"/>
    <w:rsid w:val="00A70208"/>
    <w:rsid w:val="00A704D7"/>
    <w:rsid w:val="00A70D1A"/>
    <w:rsid w:val="00A71172"/>
    <w:rsid w:val="00A71A91"/>
    <w:rsid w:val="00A7245A"/>
    <w:rsid w:val="00A73503"/>
    <w:rsid w:val="00A737F1"/>
    <w:rsid w:val="00A73D0F"/>
    <w:rsid w:val="00A74532"/>
    <w:rsid w:val="00A74CB6"/>
    <w:rsid w:val="00A754B2"/>
    <w:rsid w:val="00A75785"/>
    <w:rsid w:val="00A7592E"/>
    <w:rsid w:val="00A76940"/>
    <w:rsid w:val="00A76AE0"/>
    <w:rsid w:val="00A77A99"/>
    <w:rsid w:val="00A77F5E"/>
    <w:rsid w:val="00A813EA"/>
    <w:rsid w:val="00A81B7C"/>
    <w:rsid w:val="00A8228E"/>
    <w:rsid w:val="00A825CD"/>
    <w:rsid w:val="00A835F6"/>
    <w:rsid w:val="00A8360A"/>
    <w:rsid w:val="00A838C0"/>
    <w:rsid w:val="00A838EF"/>
    <w:rsid w:val="00A83DF1"/>
    <w:rsid w:val="00A85323"/>
    <w:rsid w:val="00A85374"/>
    <w:rsid w:val="00A8588B"/>
    <w:rsid w:val="00A8608D"/>
    <w:rsid w:val="00A8771E"/>
    <w:rsid w:val="00A90019"/>
    <w:rsid w:val="00A900DB"/>
    <w:rsid w:val="00A901A0"/>
    <w:rsid w:val="00A91AA1"/>
    <w:rsid w:val="00A91D13"/>
    <w:rsid w:val="00A920BF"/>
    <w:rsid w:val="00A92104"/>
    <w:rsid w:val="00A94B24"/>
    <w:rsid w:val="00A94C5F"/>
    <w:rsid w:val="00A94F81"/>
    <w:rsid w:val="00A95EFE"/>
    <w:rsid w:val="00AA0E6C"/>
    <w:rsid w:val="00AA1034"/>
    <w:rsid w:val="00AA128B"/>
    <w:rsid w:val="00AA1702"/>
    <w:rsid w:val="00AA17C4"/>
    <w:rsid w:val="00AA20CB"/>
    <w:rsid w:val="00AA3A31"/>
    <w:rsid w:val="00AA3F7A"/>
    <w:rsid w:val="00AA4198"/>
    <w:rsid w:val="00AA42B8"/>
    <w:rsid w:val="00AA51AB"/>
    <w:rsid w:val="00AA63B1"/>
    <w:rsid w:val="00AA6837"/>
    <w:rsid w:val="00AA6D6F"/>
    <w:rsid w:val="00AA724C"/>
    <w:rsid w:val="00AA788D"/>
    <w:rsid w:val="00AB0534"/>
    <w:rsid w:val="00AB0E92"/>
    <w:rsid w:val="00AB1938"/>
    <w:rsid w:val="00AB2339"/>
    <w:rsid w:val="00AB2C91"/>
    <w:rsid w:val="00AB3A82"/>
    <w:rsid w:val="00AB5409"/>
    <w:rsid w:val="00AB5860"/>
    <w:rsid w:val="00AB5CD0"/>
    <w:rsid w:val="00AB65B4"/>
    <w:rsid w:val="00AB6D0F"/>
    <w:rsid w:val="00AC019F"/>
    <w:rsid w:val="00AC0B19"/>
    <w:rsid w:val="00AC1AC7"/>
    <w:rsid w:val="00AC200E"/>
    <w:rsid w:val="00AC2F54"/>
    <w:rsid w:val="00AC30BB"/>
    <w:rsid w:val="00AC3DDD"/>
    <w:rsid w:val="00AC441F"/>
    <w:rsid w:val="00AC60C5"/>
    <w:rsid w:val="00AC62A2"/>
    <w:rsid w:val="00AC6CC7"/>
    <w:rsid w:val="00AC6F31"/>
    <w:rsid w:val="00AC7C41"/>
    <w:rsid w:val="00AC7E6E"/>
    <w:rsid w:val="00AD01F6"/>
    <w:rsid w:val="00AD0540"/>
    <w:rsid w:val="00AD057C"/>
    <w:rsid w:val="00AD058C"/>
    <w:rsid w:val="00AD0631"/>
    <w:rsid w:val="00AD0B40"/>
    <w:rsid w:val="00AD0D9B"/>
    <w:rsid w:val="00AD0FE7"/>
    <w:rsid w:val="00AD2487"/>
    <w:rsid w:val="00AD2CA5"/>
    <w:rsid w:val="00AD2E29"/>
    <w:rsid w:val="00AD2EB2"/>
    <w:rsid w:val="00AD3750"/>
    <w:rsid w:val="00AD4275"/>
    <w:rsid w:val="00AD49A0"/>
    <w:rsid w:val="00AD542B"/>
    <w:rsid w:val="00AD5D1B"/>
    <w:rsid w:val="00AD6A94"/>
    <w:rsid w:val="00AD6E35"/>
    <w:rsid w:val="00AD6EAD"/>
    <w:rsid w:val="00AE0430"/>
    <w:rsid w:val="00AE1A4C"/>
    <w:rsid w:val="00AE1DA5"/>
    <w:rsid w:val="00AE1E33"/>
    <w:rsid w:val="00AE4350"/>
    <w:rsid w:val="00AE49B7"/>
    <w:rsid w:val="00AE4D4E"/>
    <w:rsid w:val="00AE52FC"/>
    <w:rsid w:val="00AE5655"/>
    <w:rsid w:val="00AE57F2"/>
    <w:rsid w:val="00AE5B2C"/>
    <w:rsid w:val="00AE5ECF"/>
    <w:rsid w:val="00AE631C"/>
    <w:rsid w:val="00AE63F9"/>
    <w:rsid w:val="00AE6C48"/>
    <w:rsid w:val="00AF09C3"/>
    <w:rsid w:val="00AF123B"/>
    <w:rsid w:val="00AF1309"/>
    <w:rsid w:val="00AF18FE"/>
    <w:rsid w:val="00AF3203"/>
    <w:rsid w:val="00AF3220"/>
    <w:rsid w:val="00AF3A0D"/>
    <w:rsid w:val="00AF3A7A"/>
    <w:rsid w:val="00AF3E83"/>
    <w:rsid w:val="00AF3EA0"/>
    <w:rsid w:val="00AF4F06"/>
    <w:rsid w:val="00AF53CB"/>
    <w:rsid w:val="00AF609F"/>
    <w:rsid w:val="00AF6E54"/>
    <w:rsid w:val="00AF712D"/>
    <w:rsid w:val="00AF7901"/>
    <w:rsid w:val="00B004DA"/>
    <w:rsid w:val="00B00F1B"/>
    <w:rsid w:val="00B00F6C"/>
    <w:rsid w:val="00B01283"/>
    <w:rsid w:val="00B017E6"/>
    <w:rsid w:val="00B01CA4"/>
    <w:rsid w:val="00B027AB"/>
    <w:rsid w:val="00B02AE8"/>
    <w:rsid w:val="00B02DA5"/>
    <w:rsid w:val="00B03BC3"/>
    <w:rsid w:val="00B042CF"/>
    <w:rsid w:val="00B0484A"/>
    <w:rsid w:val="00B05390"/>
    <w:rsid w:val="00B06639"/>
    <w:rsid w:val="00B06781"/>
    <w:rsid w:val="00B06B9F"/>
    <w:rsid w:val="00B06F58"/>
    <w:rsid w:val="00B079A5"/>
    <w:rsid w:val="00B07CBE"/>
    <w:rsid w:val="00B07D4C"/>
    <w:rsid w:val="00B110C6"/>
    <w:rsid w:val="00B11164"/>
    <w:rsid w:val="00B115B3"/>
    <w:rsid w:val="00B11875"/>
    <w:rsid w:val="00B11A73"/>
    <w:rsid w:val="00B12BAF"/>
    <w:rsid w:val="00B13830"/>
    <w:rsid w:val="00B1398D"/>
    <w:rsid w:val="00B13A8D"/>
    <w:rsid w:val="00B13C59"/>
    <w:rsid w:val="00B13D0D"/>
    <w:rsid w:val="00B147DC"/>
    <w:rsid w:val="00B1499B"/>
    <w:rsid w:val="00B16BF5"/>
    <w:rsid w:val="00B16C67"/>
    <w:rsid w:val="00B16E9D"/>
    <w:rsid w:val="00B16F83"/>
    <w:rsid w:val="00B17890"/>
    <w:rsid w:val="00B20373"/>
    <w:rsid w:val="00B2085C"/>
    <w:rsid w:val="00B223FD"/>
    <w:rsid w:val="00B2325C"/>
    <w:rsid w:val="00B2380E"/>
    <w:rsid w:val="00B23FF9"/>
    <w:rsid w:val="00B2432E"/>
    <w:rsid w:val="00B24C08"/>
    <w:rsid w:val="00B24C4B"/>
    <w:rsid w:val="00B25214"/>
    <w:rsid w:val="00B25424"/>
    <w:rsid w:val="00B25CE4"/>
    <w:rsid w:val="00B2601C"/>
    <w:rsid w:val="00B26216"/>
    <w:rsid w:val="00B26A37"/>
    <w:rsid w:val="00B27090"/>
    <w:rsid w:val="00B273BB"/>
    <w:rsid w:val="00B30A8E"/>
    <w:rsid w:val="00B30BF9"/>
    <w:rsid w:val="00B317B6"/>
    <w:rsid w:val="00B32421"/>
    <w:rsid w:val="00B32915"/>
    <w:rsid w:val="00B33BEC"/>
    <w:rsid w:val="00B33C60"/>
    <w:rsid w:val="00B33F33"/>
    <w:rsid w:val="00B34C09"/>
    <w:rsid w:val="00B34E24"/>
    <w:rsid w:val="00B35C3D"/>
    <w:rsid w:val="00B35FB9"/>
    <w:rsid w:val="00B37C82"/>
    <w:rsid w:val="00B37FBE"/>
    <w:rsid w:val="00B402DE"/>
    <w:rsid w:val="00B40492"/>
    <w:rsid w:val="00B42154"/>
    <w:rsid w:val="00B42B67"/>
    <w:rsid w:val="00B42F92"/>
    <w:rsid w:val="00B4437D"/>
    <w:rsid w:val="00B44C3B"/>
    <w:rsid w:val="00B45EF8"/>
    <w:rsid w:val="00B45F31"/>
    <w:rsid w:val="00B46B6D"/>
    <w:rsid w:val="00B50B5E"/>
    <w:rsid w:val="00B50EEC"/>
    <w:rsid w:val="00B512F6"/>
    <w:rsid w:val="00B5137F"/>
    <w:rsid w:val="00B51927"/>
    <w:rsid w:val="00B52223"/>
    <w:rsid w:val="00B52395"/>
    <w:rsid w:val="00B528BE"/>
    <w:rsid w:val="00B52CDE"/>
    <w:rsid w:val="00B52D78"/>
    <w:rsid w:val="00B535CC"/>
    <w:rsid w:val="00B53775"/>
    <w:rsid w:val="00B53795"/>
    <w:rsid w:val="00B53C6D"/>
    <w:rsid w:val="00B54555"/>
    <w:rsid w:val="00B54989"/>
    <w:rsid w:val="00B549A5"/>
    <w:rsid w:val="00B553A6"/>
    <w:rsid w:val="00B555F4"/>
    <w:rsid w:val="00B55CE2"/>
    <w:rsid w:val="00B55EED"/>
    <w:rsid w:val="00B575AD"/>
    <w:rsid w:val="00B577B7"/>
    <w:rsid w:val="00B601F7"/>
    <w:rsid w:val="00B60798"/>
    <w:rsid w:val="00B60808"/>
    <w:rsid w:val="00B60B8E"/>
    <w:rsid w:val="00B60FDB"/>
    <w:rsid w:val="00B61AAB"/>
    <w:rsid w:val="00B61B7C"/>
    <w:rsid w:val="00B628CF"/>
    <w:rsid w:val="00B62918"/>
    <w:rsid w:val="00B629B3"/>
    <w:rsid w:val="00B64179"/>
    <w:rsid w:val="00B64FD9"/>
    <w:rsid w:val="00B66D4F"/>
    <w:rsid w:val="00B67723"/>
    <w:rsid w:val="00B7096E"/>
    <w:rsid w:val="00B70DC9"/>
    <w:rsid w:val="00B710B8"/>
    <w:rsid w:val="00B719C9"/>
    <w:rsid w:val="00B71C0B"/>
    <w:rsid w:val="00B72C5E"/>
    <w:rsid w:val="00B72D1B"/>
    <w:rsid w:val="00B73288"/>
    <w:rsid w:val="00B73687"/>
    <w:rsid w:val="00B73CAA"/>
    <w:rsid w:val="00B73FA4"/>
    <w:rsid w:val="00B742D6"/>
    <w:rsid w:val="00B7478F"/>
    <w:rsid w:val="00B75128"/>
    <w:rsid w:val="00B75182"/>
    <w:rsid w:val="00B753DA"/>
    <w:rsid w:val="00B7549B"/>
    <w:rsid w:val="00B75F4E"/>
    <w:rsid w:val="00B766EB"/>
    <w:rsid w:val="00B76911"/>
    <w:rsid w:val="00B771CD"/>
    <w:rsid w:val="00B77313"/>
    <w:rsid w:val="00B7795A"/>
    <w:rsid w:val="00B77CF4"/>
    <w:rsid w:val="00B8137D"/>
    <w:rsid w:val="00B81959"/>
    <w:rsid w:val="00B820FB"/>
    <w:rsid w:val="00B828D1"/>
    <w:rsid w:val="00B82B82"/>
    <w:rsid w:val="00B8323D"/>
    <w:rsid w:val="00B8353D"/>
    <w:rsid w:val="00B8385C"/>
    <w:rsid w:val="00B83E8C"/>
    <w:rsid w:val="00B84CE8"/>
    <w:rsid w:val="00B84EDC"/>
    <w:rsid w:val="00B852F3"/>
    <w:rsid w:val="00B85532"/>
    <w:rsid w:val="00B868D5"/>
    <w:rsid w:val="00B86E89"/>
    <w:rsid w:val="00B909BC"/>
    <w:rsid w:val="00B9190C"/>
    <w:rsid w:val="00B92304"/>
    <w:rsid w:val="00B92ADE"/>
    <w:rsid w:val="00B93298"/>
    <w:rsid w:val="00B936E0"/>
    <w:rsid w:val="00B9388F"/>
    <w:rsid w:val="00B945C5"/>
    <w:rsid w:val="00B95256"/>
    <w:rsid w:val="00B95516"/>
    <w:rsid w:val="00B95B08"/>
    <w:rsid w:val="00B95BAF"/>
    <w:rsid w:val="00B964C3"/>
    <w:rsid w:val="00B96938"/>
    <w:rsid w:val="00B96DDE"/>
    <w:rsid w:val="00BA0007"/>
    <w:rsid w:val="00BA0017"/>
    <w:rsid w:val="00BA035C"/>
    <w:rsid w:val="00BA046D"/>
    <w:rsid w:val="00BA04D3"/>
    <w:rsid w:val="00BA0B61"/>
    <w:rsid w:val="00BA1284"/>
    <w:rsid w:val="00BA3695"/>
    <w:rsid w:val="00BA4786"/>
    <w:rsid w:val="00BA48A9"/>
    <w:rsid w:val="00BA5320"/>
    <w:rsid w:val="00BA5BE4"/>
    <w:rsid w:val="00BA62C7"/>
    <w:rsid w:val="00BA6EA3"/>
    <w:rsid w:val="00BA6EBA"/>
    <w:rsid w:val="00BA74C2"/>
    <w:rsid w:val="00BA74CA"/>
    <w:rsid w:val="00BB006F"/>
    <w:rsid w:val="00BB02DB"/>
    <w:rsid w:val="00BB0CDC"/>
    <w:rsid w:val="00BB17D8"/>
    <w:rsid w:val="00BB1CA8"/>
    <w:rsid w:val="00BB1E96"/>
    <w:rsid w:val="00BB2456"/>
    <w:rsid w:val="00BB381A"/>
    <w:rsid w:val="00BB4B43"/>
    <w:rsid w:val="00BB4F07"/>
    <w:rsid w:val="00BB60B4"/>
    <w:rsid w:val="00BB75C1"/>
    <w:rsid w:val="00BC0EFC"/>
    <w:rsid w:val="00BC1864"/>
    <w:rsid w:val="00BC2356"/>
    <w:rsid w:val="00BC248D"/>
    <w:rsid w:val="00BC2600"/>
    <w:rsid w:val="00BC2986"/>
    <w:rsid w:val="00BC2B92"/>
    <w:rsid w:val="00BC2D54"/>
    <w:rsid w:val="00BC3E24"/>
    <w:rsid w:val="00BC3F9F"/>
    <w:rsid w:val="00BC5832"/>
    <w:rsid w:val="00BC5D86"/>
    <w:rsid w:val="00BC6183"/>
    <w:rsid w:val="00BC6643"/>
    <w:rsid w:val="00BC7050"/>
    <w:rsid w:val="00BC7D9D"/>
    <w:rsid w:val="00BD02B1"/>
    <w:rsid w:val="00BD12E7"/>
    <w:rsid w:val="00BD192F"/>
    <w:rsid w:val="00BD1994"/>
    <w:rsid w:val="00BD1CBF"/>
    <w:rsid w:val="00BD2FF0"/>
    <w:rsid w:val="00BD315D"/>
    <w:rsid w:val="00BD366C"/>
    <w:rsid w:val="00BD3FE2"/>
    <w:rsid w:val="00BD4094"/>
    <w:rsid w:val="00BD43EB"/>
    <w:rsid w:val="00BD4DA6"/>
    <w:rsid w:val="00BD4DC4"/>
    <w:rsid w:val="00BD4F47"/>
    <w:rsid w:val="00BD5BFA"/>
    <w:rsid w:val="00BD5E80"/>
    <w:rsid w:val="00BD6328"/>
    <w:rsid w:val="00BD6475"/>
    <w:rsid w:val="00BD655A"/>
    <w:rsid w:val="00BD6654"/>
    <w:rsid w:val="00BD67DA"/>
    <w:rsid w:val="00BD7998"/>
    <w:rsid w:val="00BD7AEF"/>
    <w:rsid w:val="00BE08D9"/>
    <w:rsid w:val="00BE0B1C"/>
    <w:rsid w:val="00BE0B90"/>
    <w:rsid w:val="00BE167A"/>
    <w:rsid w:val="00BE1836"/>
    <w:rsid w:val="00BE2D2A"/>
    <w:rsid w:val="00BE3212"/>
    <w:rsid w:val="00BE49B9"/>
    <w:rsid w:val="00BE50BF"/>
    <w:rsid w:val="00BE5377"/>
    <w:rsid w:val="00BE5A26"/>
    <w:rsid w:val="00BE5E94"/>
    <w:rsid w:val="00BE68B2"/>
    <w:rsid w:val="00BE6A15"/>
    <w:rsid w:val="00BE77A2"/>
    <w:rsid w:val="00BF052C"/>
    <w:rsid w:val="00BF0668"/>
    <w:rsid w:val="00BF131E"/>
    <w:rsid w:val="00BF198D"/>
    <w:rsid w:val="00BF19C9"/>
    <w:rsid w:val="00BF1FDB"/>
    <w:rsid w:val="00BF2FD2"/>
    <w:rsid w:val="00BF3F81"/>
    <w:rsid w:val="00BF4F94"/>
    <w:rsid w:val="00BF507F"/>
    <w:rsid w:val="00BF5157"/>
    <w:rsid w:val="00BF53D1"/>
    <w:rsid w:val="00BF5698"/>
    <w:rsid w:val="00BF5877"/>
    <w:rsid w:val="00BF58DE"/>
    <w:rsid w:val="00BF595E"/>
    <w:rsid w:val="00BF5E61"/>
    <w:rsid w:val="00BF63D2"/>
    <w:rsid w:val="00BF7241"/>
    <w:rsid w:val="00BF75D6"/>
    <w:rsid w:val="00BF769D"/>
    <w:rsid w:val="00BF7A52"/>
    <w:rsid w:val="00BF7C4B"/>
    <w:rsid w:val="00BF7F28"/>
    <w:rsid w:val="00C00121"/>
    <w:rsid w:val="00C00386"/>
    <w:rsid w:val="00C003AF"/>
    <w:rsid w:val="00C003F2"/>
    <w:rsid w:val="00C01DE2"/>
    <w:rsid w:val="00C05919"/>
    <w:rsid w:val="00C05EED"/>
    <w:rsid w:val="00C05F12"/>
    <w:rsid w:val="00C066F6"/>
    <w:rsid w:val="00C0689F"/>
    <w:rsid w:val="00C069B5"/>
    <w:rsid w:val="00C06D85"/>
    <w:rsid w:val="00C07C3E"/>
    <w:rsid w:val="00C12B5E"/>
    <w:rsid w:val="00C12EC9"/>
    <w:rsid w:val="00C14A96"/>
    <w:rsid w:val="00C16AF1"/>
    <w:rsid w:val="00C16CCD"/>
    <w:rsid w:val="00C16E25"/>
    <w:rsid w:val="00C16E3A"/>
    <w:rsid w:val="00C17379"/>
    <w:rsid w:val="00C20E20"/>
    <w:rsid w:val="00C20EEC"/>
    <w:rsid w:val="00C210FB"/>
    <w:rsid w:val="00C21112"/>
    <w:rsid w:val="00C21127"/>
    <w:rsid w:val="00C215F6"/>
    <w:rsid w:val="00C21BB3"/>
    <w:rsid w:val="00C22AE9"/>
    <w:rsid w:val="00C22E15"/>
    <w:rsid w:val="00C22EFD"/>
    <w:rsid w:val="00C234A3"/>
    <w:rsid w:val="00C245AF"/>
    <w:rsid w:val="00C247BD"/>
    <w:rsid w:val="00C24AA0"/>
    <w:rsid w:val="00C24BDD"/>
    <w:rsid w:val="00C24C0F"/>
    <w:rsid w:val="00C24E60"/>
    <w:rsid w:val="00C25D0C"/>
    <w:rsid w:val="00C26D77"/>
    <w:rsid w:val="00C27828"/>
    <w:rsid w:val="00C27EA0"/>
    <w:rsid w:val="00C3029B"/>
    <w:rsid w:val="00C30586"/>
    <w:rsid w:val="00C30EC3"/>
    <w:rsid w:val="00C310B6"/>
    <w:rsid w:val="00C312EB"/>
    <w:rsid w:val="00C317F3"/>
    <w:rsid w:val="00C31C3A"/>
    <w:rsid w:val="00C32490"/>
    <w:rsid w:val="00C32C7B"/>
    <w:rsid w:val="00C333DB"/>
    <w:rsid w:val="00C33C43"/>
    <w:rsid w:val="00C33F76"/>
    <w:rsid w:val="00C34220"/>
    <w:rsid w:val="00C34D59"/>
    <w:rsid w:val="00C36705"/>
    <w:rsid w:val="00C368C4"/>
    <w:rsid w:val="00C3711F"/>
    <w:rsid w:val="00C37D3D"/>
    <w:rsid w:val="00C37D6C"/>
    <w:rsid w:val="00C40693"/>
    <w:rsid w:val="00C40F4F"/>
    <w:rsid w:val="00C41DBC"/>
    <w:rsid w:val="00C41F9E"/>
    <w:rsid w:val="00C423F2"/>
    <w:rsid w:val="00C43305"/>
    <w:rsid w:val="00C43F59"/>
    <w:rsid w:val="00C44212"/>
    <w:rsid w:val="00C44355"/>
    <w:rsid w:val="00C44851"/>
    <w:rsid w:val="00C44C79"/>
    <w:rsid w:val="00C44C89"/>
    <w:rsid w:val="00C44EC5"/>
    <w:rsid w:val="00C44EE6"/>
    <w:rsid w:val="00C44F3F"/>
    <w:rsid w:val="00C455EA"/>
    <w:rsid w:val="00C45F4A"/>
    <w:rsid w:val="00C464B1"/>
    <w:rsid w:val="00C47286"/>
    <w:rsid w:val="00C47719"/>
    <w:rsid w:val="00C47FE7"/>
    <w:rsid w:val="00C51196"/>
    <w:rsid w:val="00C51933"/>
    <w:rsid w:val="00C53029"/>
    <w:rsid w:val="00C53032"/>
    <w:rsid w:val="00C53DC4"/>
    <w:rsid w:val="00C53E99"/>
    <w:rsid w:val="00C55918"/>
    <w:rsid w:val="00C55DD8"/>
    <w:rsid w:val="00C56B47"/>
    <w:rsid w:val="00C57CF9"/>
    <w:rsid w:val="00C60494"/>
    <w:rsid w:val="00C60BB1"/>
    <w:rsid w:val="00C6106D"/>
    <w:rsid w:val="00C61620"/>
    <w:rsid w:val="00C61CC1"/>
    <w:rsid w:val="00C627D1"/>
    <w:rsid w:val="00C65016"/>
    <w:rsid w:val="00C65390"/>
    <w:rsid w:val="00C66023"/>
    <w:rsid w:val="00C67252"/>
    <w:rsid w:val="00C673DF"/>
    <w:rsid w:val="00C679B6"/>
    <w:rsid w:val="00C67C57"/>
    <w:rsid w:val="00C70190"/>
    <w:rsid w:val="00C70E51"/>
    <w:rsid w:val="00C71F76"/>
    <w:rsid w:val="00C7257F"/>
    <w:rsid w:val="00C73123"/>
    <w:rsid w:val="00C732C4"/>
    <w:rsid w:val="00C73C25"/>
    <w:rsid w:val="00C74E7F"/>
    <w:rsid w:val="00C75155"/>
    <w:rsid w:val="00C76021"/>
    <w:rsid w:val="00C763A4"/>
    <w:rsid w:val="00C773AF"/>
    <w:rsid w:val="00C77509"/>
    <w:rsid w:val="00C778D1"/>
    <w:rsid w:val="00C77989"/>
    <w:rsid w:val="00C8079C"/>
    <w:rsid w:val="00C80D64"/>
    <w:rsid w:val="00C80FD9"/>
    <w:rsid w:val="00C81033"/>
    <w:rsid w:val="00C82B0C"/>
    <w:rsid w:val="00C82E93"/>
    <w:rsid w:val="00C83028"/>
    <w:rsid w:val="00C83035"/>
    <w:rsid w:val="00C837ED"/>
    <w:rsid w:val="00C83EE5"/>
    <w:rsid w:val="00C840BA"/>
    <w:rsid w:val="00C84CA7"/>
    <w:rsid w:val="00C856D7"/>
    <w:rsid w:val="00C85CDA"/>
    <w:rsid w:val="00C865F9"/>
    <w:rsid w:val="00C87C4C"/>
    <w:rsid w:val="00C90964"/>
    <w:rsid w:val="00C90BA4"/>
    <w:rsid w:val="00C90BAC"/>
    <w:rsid w:val="00C90C4C"/>
    <w:rsid w:val="00C90FB3"/>
    <w:rsid w:val="00C9154E"/>
    <w:rsid w:val="00C91BB0"/>
    <w:rsid w:val="00C92600"/>
    <w:rsid w:val="00C93072"/>
    <w:rsid w:val="00C93295"/>
    <w:rsid w:val="00C948F7"/>
    <w:rsid w:val="00C95701"/>
    <w:rsid w:val="00C96E3C"/>
    <w:rsid w:val="00C9728B"/>
    <w:rsid w:val="00C979C4"/>
    <w:rsid w:val="00C97B7A"/>
    <w:rsid w:val="00C97C1E"/>
    <w:rsid w:val="00CA086E"/>
    <w:rsid w:val="00CA0ADD"/>
    <w:rsid w:val="00CA18B1"/>
    <w:rsid w:val="00CA1BCC"/>
    <w:rsid w:val="00CA1E23"/>
    <w:rsid w:val="00CA1EEF"/>
    <w:rsid w:val="00CA2D0D"/>
    <w:rsid w:val="00CA34C7"/>
    <w:rsid w:val="00CA35CD"/>
    <w:rsid w:val="00CA3E4C"/>
    <w:rsid w:val="00CA4010"/>
    <w:rsid w:val="00CA5890"/>
    <w:rsid w:val="00CA781F"/>
    <w:rsid w:val="00CB0BDE"/>
    <w:rsid w:val="00CB134D"/>
    <w:rsid w:val="00CB1694"/>
    <w:rsid w:val="00CB1C41"/>
    <w:rsid w:val="00CB1EAA"/>
    <w:rsid w:val="00CB2376"/>
    <w:rsid w:val="00CB3814"/>
    <w:rsid w:val="00CB3F31"/>
    <w:rsid w:val="00CB43CC"/>
    <w:rsid w:val="00CB4498"/>
    <w:rsid w:val="00CB49C9"/>
    <w:rsid w:val="00CB49D4"/>
    <w:rsid w:val="00CB4ACF"/>
    <w:rsid w:val="00CB4BF7"/>
    <w:rsid w:val="00CB4D41"/>
    <w:rsid w:val="00CB5A45"/>
    <w:rsid w:val="00CB611A"/>
    <w:rsid w:val="00CB71FF"/>
    <w:rsid w:val="00CC0E47"/>
    <w:rsid w:val="00CC1905"/>
    <w:rsid w:val="00CC1A0C"/>
    <w:rsid w:val="00CC1C83"/>
    <w:rsid w:val="00CC21F3"/>
    <w:rsid w:val="00CC2D87"/>
    <w:rsid w:val="00CC3403"/>
    <w:rsid w:val="00CC44A2"/>
    <w:rsid w:val="00CC57C3"/>
    <w:rsid w:val="00CC62AE"/>
    <w:rsid w:val="00CC6378"/>
    <w:rsid w:val="00CC68C6"/>
    <w:rsid w:val="00CD016C"/>
    <w:rsid w:val="00CD01A6"/>
    <w:rsid w:val="00CD06E1"/>
    <w:rsid w:val="00CD0FB7"/>
    <w:rsid w:val="00CD1BBC"/>
    <w:rsid w:val="00CD1D22"/>
    <w:rsid w:val="00CD206A"/>
    <w:rsid w:val="00CD2DEF"/>
    <w:rsid w:val="00CD3AD2"/>
    <w:rsid w:val="00CD3BD4"/>
    <w:rsid w:val="00CD43DE"/>
    <w:rsid w:val="00CD449A"/>
    <w:rsid w:val="00CD47BD"/>
    <w:rsid w:val="00CD56B2"/>
    <w:rsid w:val="00CD56F2"/>
    <w:rsid w:val="00CD5733"/>
    <w:rsid w:val="00CD5834"/>
    <w:rsid w:val="00CD5AFC"/>
    <w:rsid w:val="00CD5C10"/>
    <w:rsid w:val="00CD5D0F"/>
    <w:rsid w:val="00CD64DE"/>
    <w:rsid w:val="00CD660C"/>
    <w:rsid w:val="00CD6ACA"/>
    <w:rsid w:val="00CD6D39"/>
    <w:rsid w:val="00CD72B7"/>
    <w:rsid w:val="00CD7855"/>
    <w:rsid w:val="00CD7B41"/>
    <w:rsid w:val="00CE078B"/>
    <w:rsid w:val="00CE136D"/>
    <w:rsid w:val="00CE1949"/>
    <w:rsid w:val="00CE19B8"/>
    <w:rsid w:val="00CE227D"/>
    <w:rsid w:val="00CE25D2"/>
    <w:rsid w:val="00CE2FD7"/>
    <w:rsid w:val="00CE334D"/>
    <w:rsid w:val="00CE3B79"/>
    <w:rsid w:val="00CE4139"/>
    <w:rsid w:val="00CE4AE1"/>
    <w:rsid w:val="00CE51DD"/>
    <w:rsid w:val="00CE529A"/>
    <w:rsid w:val="00CE6596"/>
    <w:rsid w:val="00CF0588"/>
    <w:rsid w:val="00CF0EDA"/>
    <w:rsid w:val="00CF1405"/>
    <w:rsid w:val="00CF2345"/>
    <w:rsid w:val="00CF2D3A"/>
    <w:rsid w:val="00CF37FA"/>
    <w:rsid w:val="00CF434D"/>
    <w:rsid w:val="00CF4CAE"/>
    <w:rsid w:val="00CF4D40"/>
    <w:rsid w:val="00CF5600"/>
    <w:rsid w:val="00D00271"/>
    <w:rsid w:val="00D00294"/>
    <w:rsid w:val="00D00967"/>
    <w:rsid w:val="00D00EB8"/>
    <w:rsid w:val="00D015D2"/>
    <w:rsid w:val="00D01B84"/>
    <w:rsid w:val="00D02E3A"/>
    <w:rsid w:val="00D0354C"/>
    <w:rsid w:val="00D03D12"/>
    <w:rsid w:val="00D04DDF"/>
    <w:rsid w:val="00D056B5"/>
    <w:rsid w:val="00D058F8"/>
    <w:rsid w:val="00D05BD1"/>
    <w:rsid w:val="00D06DB6"/>
    <w:rsid w:val="00D073F6"/>
    <w:rsid w:val="00D07731"/>
    <w:rsid w:val="00D10543"/>
    <w:rsid w:val="00D10772"/>
    <w:rsid w:val="00D10E14"/>
    <w:rsid w:val="00D10F92"/>
    <w:rsid w:val="00D1149E"/>
    <w:rsid w:val="00D11963"/>
    <w:rsid w:val="00D12414"/>
    <w:rsid w:val="00D142FA"/>
    <w:rsid w:val="00D14393"/>
    <w:rsid w:val="00D1491B"/>
    <w:rsid w:val="00D14FD7"/>
    <w:rsid w:val="00D153C3"/>
    <w:rsid w:val="00D154E9"/>
    <w:rsid w:val="00D15814"/>
    <w:rsid w:val="00D16190"/>
    <w:rsid w:val="00D16D03"/>
    <w:rsid w:val="00D1718C"/>
    <w:rsid w:val="00D1744A"/>
    <w:rsid w:val="00D17AA9"/>
    <w:rsid w:val="00D201BF"/>
    <w:rsid w:val="00D20417"/>
    <w:rsid w:val="00D20F1F"/>
    <w:rsid w:val="00D22FAE"/>
    <w:rsid w:val="00D24557"/>
    <w:rsid w:val="00D24715"/>
    <w:rsid w:val="00D24911"/>
    <w:rsid w:val="00D252DE"/>
    <w:rsid w:val="00D263E2"/>
    <w:rsid w:val="00D2717A"/>
    <w:rsid w:val="00D274CA"/>
    <w:rsid w:val="00D27700"/>
    <w:rsid w:val="00D3136E"/>
    <w:rsid w:val="00D318F4"/>
    <w:rsid w:val="00D32A9B"/>
    <w:rsid w:val="00D32EDD"/>
    <w:rsid w:val="00D33267"/>
    <w:rsid w:val="00D3410E"/>
    <w:rsid w:val="00D354F2"/>
    <w:rsid w:val="00D35F5C"/>
    <w:rsid w:val="00D373DA"/>
    <w:rsid w:val="00D37E4A"/>
    <w:rsid w:val="00D401A7"/>
    <w:rsid w:val="00D40B26"/>
    <w:rsid w:val="00D40E9B"/>
    <w:rsid w:val="00D41336"/>
    <w:rsid w:val="00D41358"/>
    <w:rsid w:val="00D418C6"/>
    <w:rsid w:val="00D41ED4"/>
    <w:rsid w:val="00D42ABC"/>
    <w:rsid w:val="00D42D5E"/>
    <w:rsid w:val="00D43B23"/>
    <w:rsid w:val="00D4487A"/>
    <w:rsid w:val="00D44A3C"/>
    <w:rsid w:val="00D45014"/>
    <w:rsid w:val="00D45D39"/>
    <w:rsid w:val="00D472C4"/>
    <w:rsid w:val="00D478F9"/>
    <w:rsid w:val="00D47C1F"/>
    <w:rsid w:val="00D47CAE"/>
    <w:rsid w:val="00D503B4"/>
    <w:rsid w:val="00D51BDE"/>
    <w:rsid w:val="00D51D1A"/>
    <w:rsid w:val="00D527D7"/>
    <w:rsid w:val="00D536DA"/>
    <w:rsid w:val="00D5378B"/>
    <w:rsid w:val="00D53A7A"/>
    <w:rsid w:val="00D53C85"/>
    <w:rsid w:val="00D548BB"/>
    <w:rsid w:val="00D55B69"/>
    <w:rsid w:val="00D565F2"/>
    <w:rsid w:val="00D5690F"/>
    <w:rsid w:val="00D57CE2"/>
    <w:rsid w:val="00D60496"/>
    <w:rsid w:val="00D608E8"/>
    <w:rsid w:val="00D61482"/>
    <w:rsid w:val="00D614D7"/>
    <w:rsid w:val="00D61FCC"/>
    <w:rsid w:val="00D62938"/>
    <w:rsid w:val="00D62C75"/>
    <w:rsid w:val="00D62EF1"/>
    <w:rsid w:val="00D62FC4"/>
    <w:rsid w:val="00D6342F"/>
    <w:rsid w:val="00D65D3E"/>
    <w:rsid w:val="00D66CF0"/>
    <w:rsid w:val="00D66DD5"/>
    <w:rsid w:val="00D67534"/>
    <w:rsid w:val="00D67C9C"/>
    <w:rsid w:val="00D70116"/>
    <w:rsid w:val="00D7099D"/>
    <w:rsid w:val="00D70F5D"/>
    <w:rsid w:val="00D711D5"/>
    <w:rsid w:val="00D71E78"/>
    <w:rsid w:val="00D7271C"/>
    <w:rsid w:val="00D7279C"/>
    <w:rsid w:val="00D72C06"/>
    <w:rsid w:val="00D72C57"/>
    <w:rsid w:val="00D72D43"/>
    <w:rsid w:val="00D7362C"/>
    <w:rsid w:val="00D7384C"/>
    <w:rsid w:val="00D73C90"/>
    <w:rsid w:val="00D73E30"/>
    <w:rsid w:val="00D741D9"/>
    <w:rsid w:val="00D74374"/>
    <w:rsid w:val="00D7470A"/>
    <w:rsid w:val="00D74AB2"/>
    <w:rsid w:val="00D751C2"/>
    <w:rsid w:val="00D75E44"/>
    <w:rsid w:val="00D7619D"/>
    <w:rsid w:val="00D76327"/>
    <w:rsid w:val="00D766D5"/>
    <w:rsid w:val="00D768CC"/>
    <w:rsid w:val="00D777AB"/>
    <w:rsid w:val="00D804C0"/>
    <w:rsid w:val="00D81DEF"/>
    <w:rsid w:val="00D82A02"/>
    <w:rsid w:val="00D83821"/>
    <w:rsid w:val="00D83918"/>
    <w:rsid w:val="00D8418D"/>
    <w:rsid w:val="00D8478D"/>
    <w:rsid w:val="00D849F4"/>
    <w:rsid w:val="00D84AF9"/>
    <w:rsid w:val="00D84B22"/>
    <w:rsid w:val="00D84FF2"/>
    <w:rsid w:val="00D85088"/>
    <w:rsid w:val="00D85B30"/>
    <w:rsid w:val="00D85E20"/>
    <w:rsid w:val="00D86C7F"/>
    <w:rsid w:val="00D86FAA"/>
    <w:rsid w:val="00D871CD"/>
    <w:rsid w:val="00D87377"/>
    <w:rsid w:val="00D90173"/>
    <w:rsid w:val="00D9057B"/>
    <w:rsid w:val="00D90FB8"/>
    <w:rsid w:val="00D910CA"/>
    <w:rsid w:val="00D92400"/>
    <w:rsid w:val="00D93845"/>
    <w:rsid w:val="00D942FB"/>
    <w:rsid w:val="00D94F39"/>
    <w:rsid w:val="00D9528F"/>
    <w:rsid w:val="00D9578C"/>
    <w:rsid w:val="00D95ECB"/>
    <w:rsid w:val="00D9610A"/>
    <w:rsid w:val="00D9626B"/>
    <w:rsid w:val="00D964E2"/>
    <w:rsid w:val="00D96FFD"/>
    <w:rsid w:val="00D9734A"/>
    <w:rsid w:val="00D97A8A"/>
    <w:rsid w:val="00DA03F2"/>
    <w:rsid w:val="00DA0A93"/>
    <w:rsid w:val="00DA0ABA"/>
    <w:rsid w:val="00DA0F26"/>
    <w:rsid w:val="00DA11D4"/>
    <w:rsid w:val="00DA2043"/>
    <w:rsid w:val="00DA24FE"/>
    <w:rsid w:val="00DA2530"/>
    <w:rsid w:val="00DA2BC4"/>
    <w:rsid w:val="00DA3896"/>
    <w:rsid w:val="00DA51CC"/>
    <w:rsid w:val="00DA55F7"/>
    <w:rsid w:val="00DA572E"/>
    <w:rsid w:val="00DA5B07"/>
    <w:rsid w:val="00DA6339"/>
    <w:rsid w:val="00DA6C2E"/>
    <w:rsid w:val="00DA7129"/>
    <w:rsid w:val="00DA777E"/>
    <w:rsid w:val="00DA793B"/>
    <w:rsid w:val="00DA796C"/>
    <w:rsid w:val="00DB0B20"/>
    <w:rsid w:val="00DB0C89"/>
    <w:rsid w:val="00DB130B"/>
    <w:rsid w:val="00DB1A82"/>
    <w:rsid w:val="00DB1F80"/>
    <w:rsid w:val="00DB300A"/>
    <w:rsid w:val="00DB3BAA"/>
    <w:rsid w:val="00DB41A1"/>
    <w:rsid w:val="00DB4288"/>
    <w:rsid w:val="00DB4D27"/>
    <w:rsid w:val="00DB5286"/>
    <w:rsid w:val="00DB66A4"/>
    <w:rsid w:val="00DB70BC"/>
    <w:rsid w:val="00DB7510"/>
    <w:rsid w:val="00DB7968"/>
    <w:rsid w:val="00DB7E7D"/>
    <w:rsid w:val="00DB7F3C"/>
    <w:rsid w:val="00DC00A4"/>
    <w:rsid w:val="00DC046B"/>
    <w:rsid w:val="00DC1C1E"/>
    <w:rsid w:val="00DC22EA"/>
    <w:rsid w:val="00DC2BA5"/>
    <w:rsid w:val="00DC2E75"/>
    <w:rsid w:val="00DC304D"/>
    <w:rsid w:val="00DC3208"/>
    <w:rsid w:val="00DC45B3"/>
    <w:rsid w:val="00DC5D13"/>
    <w:rsid w:val="00DC610F"/>
    <w:rsid w:val="00DC68D0"/>
    <w:rsid w:val="00DC6F0D"/>
    <w:rsid w:val="00DC6FAE"/>
    <w:rsid w:val="00DC7102"/>
    <w:rsid w:val="00DC766C"/>
    <w:rsid w:val="00DC7CF0"/>
    <w:rsid w:val="00DC7E39"/>
    <w:rsid w:val="00DD06A5"/>
    <w:rsid w:val="00DD0794"/>
    <w:rsid w:val="00DD0ED5"/>
    <w:rsid w:val="00DD1950"/>
    <w:rsid w:val="00DD1E19"/>
    <w:rsid w:val="00DD243B"/>
    <w:rsid w:val="00DD2AC9"/>
    <w:rsid w:val="00DD3110"/>
    <w:rsid w:val="00DD34D7"/>
    <w:rsid w:val="00DD500E"/>
    <w:rsid w:val="00DD5329"/>
    <w:rsid w:val="00DD54D5"/>
    <w:rsid w:val="00DD587F"/>
    <w:rsid w:val="00DD6A46"/>
    <w:rsid w:val="00DE0079"/>
    <w:rsid w:val="00DE12A0"/>
    <w:rsid w:val="00DE251A"/>
    <w:rsid w:val="00DE2601"/>
    <w:rsid w:val="00DE3846"/>
    <w:rsid w:val="00DE3895"/>
    <w:rsid w:val="00DE4755"/>
    <w:rsid w:val="00DE508C"/>
    <w:rsid w:val="00DE611B"/>
    <w:rsid w:val="00DE6733"/>
    <w:rsid w:val="00DE6958"/>
    <w:rsid w:val="00DE7824"/>
    <w:rsid w:val="00DF175C"/>
    <w:rsid w:val="00DF1943"/>
    <w:rsid w:val="00DF22EC"/>
    <w:rsid w:val="00DF26F7"/>
    <w:rsid w:val="00DF2D0D"/>
    <w:rsid w:val="00DF2EED"/>
    <w:rsid w:val="00DF2FEE"/>
    <w:rsid w:val="00DF369F"/>
    <w:rsid w:val="00DF4721"/>
    <w:rsid w:val="00DF4AB9"/>
    <w:rsid w:val="00DF4F0C"/>
    <w:rsid w:val="00DF517C"/>
    <w:rsid w:val="00DF536C"/>
    <w:rsid w:val="00DF56C6"/>
    <w:rsid w:val="00DF56DC"/>
    <w:rsid w:val="00DF5A97"/>
    <w:rsid w:val="00DF6F2F"/>
    <w:rsid w:val="00DF70E7"/>
    <w:rsid w:val="00DF79C2"/>
    <w:rsid w:val="00DF7A31"/>
    <w:rsid w:val="00DF7C3C"/>
    <w:rsid w:val="00DF7D9A"/>
    <w:rsid w:val="00E00567"/>
    <w:rsid w:val="00E0099C"/>
    <w:rsid w:val="00E00EC9"/>
    <w:rsid w:val="00E0173A"/>
    <w:rsid w:val="00E018F0"/>
    <w:rsid w:val="00E01915"/>
    <w:rsid w:val="00E01C16"/>
    <w:rsid w:val="00E0205E"/>
    <w:rsid w:val="00E021F1"/>
    <w:rsid w:val="00E0299C"/>
    <w:rsid w:val="00E03B96"/>
    <w:rsid w:val="00E041B6"/>
    <w:rsid w:val="00E04484"/>
    <w:rsid w:val="00E047FD"/>
    <w:rsid w:val="00E04B96"/>
    <w:rsid w:val="00E04BD8"/>
    <w:rsid w:val="00E06399"/>
    <w:rsid w:val="00E0654B"/>
    <w:rsid w:val="00E06DA7"/>
    <w:rsid w:val="00E0728B"/>
    <w:rsid w:val="00E077F9"/>
    <w:rsid w:val="00E079A2"/>
    <w:rsid w:val="00E07AF7"/>
    <w:rsid w:val="00E10336"/>
    <w:rsid w:val="00E10F08"/>
    <w:rsid w:val="00E1146C"/>
    <w:rsid w:val="00E11471"/>
    <w:rsid w:val="00E11D07"/>
    <w:rsid w:val="00E12FEA"/>
    <w:rsid w:val="00E1398C"/>
    <w:rsid w:val="00E14D91"/>
    <w:rsid w:val="00E15BB9"/>
    <w:rsid w:val="00E178FD"/>
    <w:rsid w:val="00E201E4"/>
    <w:rsid w:val="00E20223"/>
    <w:rsid w:val="00E21CAF"/>
    <w:rsid w:val="00E2201F"/>
    <w:rsid w:val="00E22765"/>
    <w:rsid w:val="00E22F4B"/>
    <w:rsid w:val="00E234D6"/>
    <w:rsid w:val="00E24025"/>
    <w:rsid w:val="00E247F8"/>
    <w:rsid w:val="00E27F53"/>
    <w:rsid w:val="00E30146"/>
    <w:rsid w:val="00E301D4"/>
    <w:rsid w:val="00E32E57"/>
    <w:rsid w:val="00E32FCF"/>
    <w:rsid w:val="00E335F4"/>
    <w:rsid w:val="00E33C5C"/>
    <w:rsid w:val="00E33E2E"/>
    <w:rsid w:val="00E33F7E"/>
    <w:rsid w:val="00E344F4"/>
    <w:rsid w:val="00E34812"/>
    <w:rsid w:val="00E3530B"/>
    <w:rsid w:val="00E35478"/>
    <w:rsid w:val="00E35EC1"/>
    <w:rsid w:val="00E3661B"/>
    <w:rsid w:val="00E36957"/>
    <w:rsid w:val="00E372B9"/>
    <w:rsid w:val="00E37A02"/>
    <w:rsid w:val="00E4000C"/>
    <w:rsid w:val="00E4055D"/>
    <w:rsid w:val="00E406A2"/>
    <w:rsid w:val="00E40F63"/>
    <w:rsid w:val="00E41108"/>
    <w:rsid w:val="00E4177B"/>
    <w:rsid w:val="00E41925"/>
    <w:rsid w:val="00E41AAA"/>
    <w:rsid w:val="00E41EC1"/>
    <w:rsid w:val="00E4216A"/>
    <w:rsid w:val="00E422FB"/>
    <w:rsid w:val="00E42B4E"/>
    <w:rsid w:val="00E45C98"/>
    <w:rsid w:val="00E4615D"/>
    <w:rsid w:val="00E46637"/>
    <w:rsid w:val="00E46796"/>
    <w:rsid w:val="00E46ACA"/>
    <w:rsid w:val="00E46DAE"/>
    <w:rsid w:val="00E4740C"/>
    <w:rsid w:val="00E475EF"/>
    <w:rsid w:val="00E476B4"/>
    <w:rsid w:val="00E51B95"/>
    <w:rsid w:val="00E52E6B"/>
    <w:rsid w:val="00E5350E"/>
    <w:rsid w:val="00E53F82"/>
    <w:rsid w:val="00E54849"/>
    <w:rsid w:val="00E548BD"/>
    <w:rsid w:val="00E54B30"/>
    <w:rsid w:val="00E54FD4"/>
    <w:rsid w:val="00E5547D"/>
    <w:rsid w:val="00E55517"/>
    <w:rsid w:val="00E55C21"/>
    <w:rsid w:val="00E56100"/>
    <w:rsid w:val="00E56873"/>
    <w:rsid w:val="00E579CB"/>
    <w:rsid w:val="00E60377"/>
    <w:rsid w:val="00E60C5C"/>
    <w:rsid w:val="00E616C5"/>
    <w:rsid w:val="00E61D51"/>
    <w:rsid w:val="00E62C14"/>
    <w:rsid w:val="00E62DD6"/>
    <w:rsid w:val="00E6326C"/>
    <w:rsid w:val="00E635D3"/>
    <w:rsid w:val="00E64254"/>
    <w:rsid w:val="00E648A3"/>
    <w:rsid w:val="00E65097"/>
    <w:rsid w:val="00E65433"/>
    <w:rsid w:val="00E65D33"/>
    <w:rsid w:val="00E66644"/>
    <w:rsid w:val="00E66B64"/>
    <w:rsid w:val="00E66DB6"/>
    <w:rsid w:val="00E670AE"/>
    <w:rsid w:val="00E670B9"/>
    <w:rsid w:val="00E67952"/>
    <w:rsid w:val="00E67A8D"/>
    <w:rsid w:val="00E67CA3"/>
    <w:rsid w:val="00E70138"/>
    <w:rsid w:val="00E70A31"/>
    <w:rsid w:val="00E70CD6"/>
    <w:rsid w:val="00E71B01"/>
    <w:rsid w:val="00E71D10"/>
    <w:rsid w:val="00E72384"/>
    <w:rsid w:val="00E72B79"/>
    <w:rsid w:val="00E73B6A"/>
    <w:rsid w:val="00E73FE1"/>
    <w:rsid w:val="00E7402A"/>
    <w:rsid w:val="00E74220"/>
    <w:rsid w:val="00E74840"/>
    <w:rsid w:val="00E74CE8"/>
    <w:rsid w:val="00E74DE3"/>
    <w:rsid w:val="00E75539"/>
    <w:rsid w:val="00E75B23"/>
    <w:rsid w:val="00E7643A"/>
    <w:rsid w:val="00E76680"/>
    <w:rsid w:val="00E77178"/>
    <w:rsid w:val="00E77D86"/>
    <w:rsid w:val="00E80244"/>
    <w:rsid w:val="00E81F98"/>
    <w:rsid w:val="00E823A7"/>
    <w:rsid w:val="00E8248E"/>
    <w:rsid w:val="00E832C4"/>
    <w:rsid w:val="00E832EF"/>
    <w:rsid w:val="00E83A77"/>
    <w:rsid w:val="00E84042"/>
    <w:rsid w:val="00E852EF"/>
    <w:rsid w:val="00E854D5"/>
    <w:rsid w:val="00E8563E"/>
    <w:rsid w:val="00E85706"/>
    <w:rsid w:val="00E8578D"/>
    <w:rsid w:val="00E85B07"/>
    <w:rsid w:val="00E864A0"/>
    <w:rsid w:val="00E86534"/>
    <w:rsid w:val="00E86784"/>
    <w:rsid w:val="00E867DC"/>
    <w:rsid w:val="00E86DD0"/>
    <w:rsid w:val="00E87A68"/>
    <w:rsid w:val="00E87C87"/>
    <w:rsid w:val="00E87CB6"/>
    <w:rsid w:val="00E90733"/>
    <w:rsid w:val="00E9083E"/>
    <w:rsid w:val="00E909AF"/>
    <w:rsid w:val="00E909C3"/>
    <w:rsid w:val="00E90B0A"/>
    <w:rsid w:val="00E91376"/>
    <w:rsid w:val="00E9176C"/>
    <w:rsid w:val="00E91B47"/>
    <w:rsid w:val="00E9279A"/>
    <w:rsid w:val="00E9290C"/>
    <w:rsid w:val="00E9294E"/>
    <w:rsid w:val="00E92BEC"/>
    <w:rsid w:val="00E93177"/>
    <w:rsid w:val="00E93A86"/>
    <w:rsid w:val="00E93D2E"/>
    <w:rsid w:val="00E9414F"/>
    <w:rsid w:val="00E94775"/>
    <w:rsid w:val="00E954C9"/>
    <w:rsid w:val="00E9737C"/>
    <w:rsid w:val="00EA16F4"/>
    <w:rsid w:val="00EA1F46"/>
    <w:rsid w:val="00EA2F0D"/>
    <w:rsid w:val="00EA2F1B"/>
    <w:rsid w:val="00EA2F4F"/>
    <w:rsid w:val="00EA3A5E"/>
    <w:rsid w:val="00EA3BA1"/>
    <w:rsid w:val="00EA4740"/>
    <w:rsid w:val="00EA4A7F"/>
    <w:rsid w:val="00EA5017"/>
    <w:rsid w:val="00EA5554"/>
    <w:rsid w:val="00EA662C"/>
    <w:rsid w:val="00EA72AB"/>
    <w:rsid w:val="00EA777F"/>
    <w:rsid w:val="00EA7BB0"/>
    <w:rsid w:val="00EB01C9"/>
    <w:rsid w:val="00EB2997"/>
    <w:rsid w:val="00EB318E"/>
    <w:rsid w:val="00EB3632"/>
    <w:rsid w:val="00EB376B"/>
    <w:rsid w:val="00EB385F"/>
    <w:rsid w:val="00EB4422"/>
    <w:rsid w:val="00EB44D8"/>
    <w:rsid w:val="00EB4756"/>
    <w:rsid w:val="00EB58BB"/>
    <w:rsid w:val="00EB5BA9"/>
    <w:rsid w:val="00EB6EBE"/>
    <w:rsid w:val="00EB7376"/>
    <w:rsid w:val="00EB7BB0"/>
    <w:rsid w:val="00EB7D02"/>
    <w:rsid w:val="00EC09FD"/>
    <w:rsid w:val="00EC0D3C"/>
    <w:rsid w:val="00EC158B"/>
    <w:rsid w:val="00EC1843"/>
    <w:rsid w:val="00EC1B06"/>
    <w:rsid w:val="00EC1F7E"/>
    <w:rsid w:val="00EC20AC"/>
    <w:rsid w:val="00EC2186"/>
    <w:rsid w:val="00EC2833"/>
    <w:rsid w:val="00EC3AC3"/>
    <w:rsid w:val="00EC4005"/>
    <w:rsid w:val="00EC42F9"/>
    <w:rsid w:val="00EC4BB0"/>
    <w:rsid w:val="00EC5F47"/>
    <w:rsid w:val="00EC66DE"/>
    <w:rsid w:val="00EC6826"/>
    <w:rsid w:val="00EC68DA"/>
    <w:rsid w:val="00EC69B6"/>
    <w:rsid w:val="00EC6DD6"/>
    <w:rsid w:val="00EC75CC"/>
    <w:rsid w:val="00ED0E6B"/>
    <w:rsid w:val="00ED147C"/>
    <w:rsid w:val="00ED17A8"/>
    <w:rsid w:val="00ED1AF1"/>
    <w:rsid w:val="00ED241F"/>
    <w:rsid w:val="00ED28B2"/>
    <w:rsid w:val="00ED3DB5"/>
    <w:rsid w:val="00ED59A5"/>
    <w:rsid w:val="00ED5E61"/>
    <w:rsid w:val="00ED66AE"/>
    <w:rsid w:val="00ED723F"/>
    <w:rsid w:val="00EE1164"/>
    <w:rsid w:val="00EE1258"/>
    <w:rsid w:val="00EE16ED"/>
    <w:rsid w:val="00EE1F4B"/>
    <w:rsid w:val="00EE218C"/>
    <w:rsid w:val="00EE2E75"/>
    <w:rsid w:val="00EE31B5"/>
    <w:rsid w:val="00EE3F18"/>
    <w:rsid w:val="00EE4D1D"/>
    <w:rsid w:val="00EE4DE0"/>
    <w:rsid w:val="00EE53C7"/>
    <w:rsid w:val="00EE5475"/>
    <w:rsid w:val="00EE5517"/>
    <w:rsid w:val="00EE645C"/>
    <w:rsid w:val="00EE65F0"/>
    <w:rsid w:val="00EE69AA"/>
    <w:rsid w:val="00EF0346"/>
    <w:rsid w:val="00EF1054"/>
    <w:rsid w:val="00EF218A"/>
    <w:rsid w:val="00EF289D"/>
    <w:rsid w:val="00EF29E8"/>
    <w:rsid w:val="00EF2C8C"/>
    <w:rsid w:val="00EF30B5"/>
    <w:rsid w:val="00EF55C9"/>
    <w:rsid w:val="00EF6F5C"/>
    <w:rsid w:val="00EF7E3D"/>
    <w:rsid w:val="00F00145"/>
    <w:rsid w:val="00F00635"/>
    <w:rsid w:val="00F00C2A"/>
    <w:rsid w:val="00F00F7A"/>
    <w:rsid w:val="00F020CD"/>
    <w:rsid w:val="00F037BD"/>
    <w:rsid w:val="00F03CDE"/>
    <w:rsid w:val="00F047E5"/>
    <w:rsid w:val="00F04A7D"/>
    <w:rsid w:val="00F065D5"/>
    <w:rsid w:val="00F067BF"/>
    <w:rsid w:val="00F06A67"/>
    <w:rsid w:val="00F06A9F"/>
    <w:rsid w:val="00F07088"/>
    <w:rsid w:val="00F075D8"/>
    <w:rsid w:val="00F077CB"/>
    <w:rsid w:val="00F07885"/>
    <w:rsid w:val="00F079D7"/>
    <w:rsid w:val="00F07E52"/>
    <w:rsid w:val="00F10528"/>
    <w:rsid w:val="00F10F8C"/>
    <w:rsid w:val="00F13744"/>
    <w:rsid w:val="00F13C70"/>
    <w:rsid w:val="00F13E5C"/>
    <w:rsid w:val="00F1444D"/>
    <w:rsid w:val="00F147DB"/>
    <w:rsid w:val="00F1490A"/>
    <w:rsid w:val="00F15092"/>
    <w:rsid w:val="00F1516B"/>
    <w:rsid w:val="00F15B18"/>
    <w:rsid w:val="00F15DF9"/>
    <w:rsid w:val="00F16D38"/>
    <w:rsid w:val="00F171A0"/>
    <w:rsid w:val="00F17C9D"/>
    <w:rsid w:val="00F204AB"/>
    <w:rsid w:val="00F208D4"/>
    <w:rsid w:val="00F21AE3"/>
    <w:rsid w:val="00F2222C"/>
    <w:rsid w:val="00F223DB"/>
    <w:rsid w:val="00F22954"/>
    <w:rsid w:val="00F245B2"/>
    <w:rsid w:val="00F2503D"/>
    <w:rsid w:val="00F257EB"/>
    <w:rsid w:val="00F25B72"/>
    <w:rsid w:val="00F26A6F"/>
    <w:rsid w:val="00F2706C"/>
    <w:rsid w:val="00F273E0"/>
    <w:rsid w:val="00F27E53"/>
    <w:rsid w:val="00F3117A"/>
    <w:rsid w:val="00F31750"/>
    <w:rsid w:val="00F319C4"/>
    <w:rsid w:val="00F31B91"/>
    <w:rsid w:val="00F3265D"/>
    <w:rsid w:val="00F3274A"/>
    <w:rsid w:val="00F32872"/>
    <w:rsid w:val="00F339D3"/>
    <w:rsid w:val="00F348C6"/>
    <w:rsid w:val="00F34A2D"/>
    <w:rsid w:val="00F36F7A"/>
    <w:rsid w:val="00F37F77"/>
    <w:rsid w:val="00F40006"/>
    <w:rsid w:val="00F4166F"/>
    <w:rsid w:val="00F4172A"/>
    <w:rsid w:val="00F4212C"/>
    <w:rsid w:val="00F42B14"/>
    <w:rsid w:val="00F4363C"/>
    <w:rsid w:val="00F45193"/>
    <w:rsid w:val="00F45A83"/>
    <w:rsid w:val="00F463AE"/>
    <w:rsid w:val="00F467B5"/>
    <w:rsid w:val="00F4685E"/>
    <w:rsid w:val="00F4702E"/>
    <w:rsid w:val="00F47124"/>
    <w:rsid w:val="00F47D82"/>
    <w:rsid w:val="00F47FAC"/>
    <w:rsid w:val="00F5006C"/>
    <w:rsid w:val="00F505AA"/>
    <w:rsid w:val="00F507DA"/>
    <w:rsid w:val="00F5133F"/>
    <w:rsid w:val="00F51FC7"/>
    <w:rsid w:val="00F52142"/>
    <w:rsid w:val="00F52DED"/>
    <w:rsid w:val="00F53C05"/>
    <w:rsid w:val="00F54186"/>
    <w:rsid w:val="00F54467"/>
    <w:rsid w:val="00F54687"/>
    <w:rsid w:val="00F54C97"/>
    <w:rsid w:val="00F555E4"/>
    <w:rsid w:val="00F55A8A"/>
    <w:rsid w:val="00F55AF0"/>
    <w:rsid w:val="00F5625A"/>
    <w:rsid w:val="00F562BA"/>
    <w:rsid w:val="00F563BB"/>
    <w:rsid w:val="00F565BB"/>
    <w:rsid w:val="00F56FD4"/>
    <w:rsid w:val="00F57743"/>
    <w:rsid w:val="00F57A30"/>
    <w:rsid w:val="00F61280"/>
    <w:rsid w:val="00F61829"/>
    <w:rsid w:val="00F61A77"/>
    <w:rsid w:val="00F61AFE"/>
    <w:rsid w:val="00F622AF"/>
    <w:rsid w:val="00F62CEF"/>
    <w:rsid w:val="00F62F60"/>
    <w:rsid w:val="00F639D7"/>
    <w:rsid w:val="00F64306"/>
    <w:rsid w:val="00F647DD"/>
    <w:rsid w:val="00F64948"/>
    <w:rsid w:val="00F64A42"/>
    <w:rsid w:val="00F64E15"/>
    <w:rsid w:val="00F66349"/>
    <w:rsid w:val="00F6637A"/>
    <w:rsid w:val="00F66587"/>
    <w:rsid w:val="00F66EA5"/>
    <w:rsid w:val="00F670B7"/>
    <w:rsid w:val="00F675B0"/>
    <w:rsid w:val="00F67AB3"/>
    <w:rsid w:val="00F67BA4"/>
    <w:rsid w:val="00F70911"/>
    <w:rsid w:val="00F710CF"/>
    <w:rsid w:val="00F71B2D"/>
    <w:rsid w:val="00F720D4"/>
    <w:rsid w:val="00F7216B"/>
    <w:rsid w:val="00F736F6"/>
    <w:rsid w:val="00F73F2D"/>
    <w:rsid w:val="00F76CAF"/>
    <w:rsid w:val="00F7754B"/>
    <w:rsid w:val="00F806CE"/>
    <w:rsid w:val="00F811FE"/>
    <w:rsid w:val="00F81672"/>
    <w:rsid w:val="00F81A24"/>
    <w:rsid w:val="00F81A89"/>
    <w:rsid w:val="00F82036"/>
    <w:rsid w:val="00F820E5"/>
    <w:rsid w:val="00F8235A"/>
    <w:rsid w:val="00F82362"/>
    <w:rsid w:val="00F8280D"/>
    <w:rsid w:val="00F82994"/>
    <w:rsid w:val="00F82A2E"/>
    <w:rsid w:val="00F835B5"/>
    <w:rsid w:val="00F83B5B"/>
    <w:rsid w:val="00F842AB"/>
    <w:rsid w:val="00F84CAF"/>
    <w:rsid w:val="00F8508E"/>
    <w:rsid w:val="00F85D51"/>
    <w:rsid w:val="00F86A88"/>
    <w:rsid w:val="00F8706D"/>
    <w:rsid w:val="00F87153"/>
    <w:rsid w:val="00F8792B"/>
    <w:rsid w:val="00F9050E"/>
    <w:rsid w:val="00F9091A"/>
    <w:rsid w:val="00F90B2F"/>
    <w:rsid w:val="00F9161B"/>
    <w:rsid w:val="00F92221"/>
    <w:rsid w:val="00F926DD"/>
    <w:rsid w:val="00F92F5D"/>
    <w:rsid w:val="00F93FBD"/>
    <w:rsid w:val="00F95328"/>
    <w:rsid w:val="00F96D57"/>
    <w:rsid w:val="00F97A29"/>
    <w:rsid w:val="00F97B16"/>
    <w:rsid w:val="00FA0945"/>
    <w:rsid w:val="00FA0D0A"/>
    <w:rsid w:val="00FA0EF8"/>
    <w:rsid w:val="00FA0F3E"/>
    <w:rsid w:val="00FA10F5"/>
    <w:rsid w:val="00FA11FE"/>
    <w:rsid w:val="00FA1822"/>
    <w:rsid w:val="00FA2CE9"/>
    <w:rsid w:val="00FA2DD9"/>
    <w:rsid w:val="00FA40E3"/>
    <w:rsid w:val="00FA47D4"/>
    <w:rsid w:val="00FA49AA"/>
    <w:rsid w:val="00FA6195"/>
    <w:rsid w:val="00FA68E3"/>
    <w:rsid w:val="00FA6B6E"/>
    <w:rsid w:val="00FA6D9B"/>
    <w:rsid w:val="00FA7F84"/>
    <w:rsid w:val="00FB143F"/>
    <w:rsid w:val="00FB169B"/>
    <w:rsid w:val="00FB1F7F"/>
    <w:rsid w:val="00FB2CFA"/>
    <w:rsid w:val="00FB4D01"/>
    <w:rsid w:val="00FB4EC6"/>
    <w:rsid w:val="00FB7241"/>
    <w:rsid w:val="00FB758C"/>
    <w:rsid w:val="00FB7F8B"/>
    <w:rsid w:val="00FC0279"/>
    <w:rsid w:val="00FC04BA"/>
    <w:rsid w:val="00FC0B50"/>
    <w:rsid w:val="00FC0DD7"/>
    <w:rsid w:val="00FC1EA0"/>
    <w:rsid w:val="00FC1F60"/>
    <w:rsid w:val="00FC271B"/>
    <w:rsid w:val="00FC288A"/>
    <w:rsid w:val="00FC2DF8"/>
    <w:rsid w:val="00FC3FA8"/>
    <w:rsid w:val="00FC4938"/>
    <w:rsid w:val="00FC4A67"/>
    <w:rsid w:val="00FC4F67"/>
    <w:rsid w:val="00FC50F3"/>
    <w:rsid w:val="00FC64A4"/>
    <w:rsid w:val="00FC6CDE"/>
    <w:rsid w:val="00FC75C1"/>
    <w:rsid w:val="00FC7C04"/>
    <w:rsid w:val="00FC7CAD"/>
    <w:rsid w:val="00FC7CD4"/>
    <w:rsid w:val="00FD022F"/>
    <w:rsid w:val="00FD0558"/>
    <w:rsid w:val="00FD0792"/>
    <w:rsid w:val="00FD1155"/>
    <w:rsid w:val="00FD1A24"/>
    <w:rsid w:val="00FD2279"/>
    <w:rsid w:val="00FD33F0"/>
    <w:rsid w:val="00FD3F52"/>
    <w:rsid w:val="00FD3F65"/>
    <w:rsid w:val="00FD4AC1"/>
    <w:rsid w:val="00FD4EA6"/>
    <w:rsid w:val="00FD4ED2"/>
    <w:rsid w:val="00FD4F73"/>
    <w:rsid w:val="00FD610D"/>
    <w:rsid w:val="00FD6DA0"/>
    <w:rsid w:val="00FD72EA"/>
    <w:rsid w:val="00FD7D44"/>
    <w:rsid w:val="00FE0296"/>
    <w:rsid w:val="00FE068E"/>
    <w:rsid w:val="00FE0710"/>
    <w:rsid w:val="00FE17E1"/>
    <w:rsid w:val="00FE1C69"/>
    <w:rsid w:val="00FE1CC7"/>
    <w:rsid w:val="00FE2193"/>
    <w:rsid w:val="00FE2654"/>
    <w:rsid w:val="00FE292C"/>
    <w:rsid w:val="00FE3123"/>
    <w:rsid w:val="00FE356A"/>
    <w:rsid w:val="00FE44F8"/>
    <w:rsid w:val="00FE49AD"/>
    <w:rsid w:val="00FE5843"/>
    <w:rsid w:val="00FE6ACB"/>
    <w:rsid w:val="00FE7789"/>
    <w:rsid w:val="00FE7CEE"/>
    <w:rsid w:val="00FF027F"/>
    <w:rsid w:val="00FF037E"/>
    <w:rsid w:val="00FF08CA"/>
    <w:rsid w:val="00FF08D9"/>
    <w:rsid w:val="00FF0F56"/>
    <w:rsid w:val="00FF2078"/>
    <w:rsid w:val="00FF2994"/>
    <w:rsid w:val="00FF3E85"/>
    <w:rsid w:val="00FF479E"/>
    <w:rsid w:val="00FF5762"/>
    <w:rsid w:val="00FF5A5E"/>
    <w:rsid w:val="00FF72E3"/>
    <w:rsid w:val="00FF73DA"/>
    <w:rsid w:val="00FF7862"/>
    <w:rsid w:val="03513E0E"/>
    <w:rsid w:val="0390385D"/>
    <w:rsid w:val="12674EE7"/>
    <w:rsid w:val="176EF499"/>
    <w:rsid w:val="177D13D5"/>
    <w:rsid w:val="1913E9AA"/>
    <w:rsid w:val="2279E008"/>
    <w:rsid w:val="2C69BFE4"/>
    <w:rsid w:val="34519CF5"/>
    <w:rsid w:val="368554A9"/>
    <w:rsid w:val="3841AE93"/>
    <w:rsid w:val="4822CF28"/>
    <w:rsid w:val="4CA11770"/>
    <w:rsid w:val="4D2EF6AC"/>
    <w:rsid w:val="54BC65AF"/>
    <w:rsid w:val="5521986F"/>
    <w:rsid w:val="5920CC69"/>
    <w:rsid w:val="5D36A90E"/>
    <w:rsid w:val="5F2DA522"/>
    <w:rsid w:val="691F6B60"/>
    <w:rsid w:val="6C137F8A"/>
    <w:rsid w:val="6DE26888"/>
    <w:rsid w:val="71D89587"/>
    <w:rsid w:val="727590B8"/>
    <w:rsid w:val="756AED62"/>
    <w:rsid w:val="7A732DB0"/>
    <w:rsid w:val="7B978DDD"/>
    <w:rsid w:val="7D690AB1"/>
    <w:rsid w:val="7DDD282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6C2F14F9"/>
  <w15:docId w15:val="{E28FFEB9-7F38-4196-926F-171DC1E156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9737C"/>
    <w:pPr>
      <w:spacing w:before="120" w:after="120" w:line="276" w:lineRule="auto"/>
    </w:pPr>
    <w:rPr>
      <w:rFonts w:ascii="Segoe UI" w:eastAsiaTheme="minorEastAsia" w:hAnsi="Segoe UI"/>
    </w:rPr>
  </w:style>
  <w:style w:type="paragraph" w:styleId="Heading1">
    <w:name w:val="heading 1"/>
    <w:basedOn w:val="Normal"/>
    <w:next w:val="Normal"/>
    <w:link w:val="Heading1Char"/>
    <w:uiPriority w:val="9"/>
    <w:rsid w:val="00C24E60"/>
    <w:pPr>
      <w:keepNext/>
      <w:keepLines/>
      <w:spacing w:before="480" w:after="360" w:line="240" w:lineRule="auto"/>
      <w:outlineLvl w:val="0"/>
    </w:pPr>
    <w:rPr>
      <w:rFonts w:eastAsiaTheme="majorEastAsia" w:cs="Segoe UI"/>
      <w:bCs/>
      <w:color w:val="008AC8"/>
      <w:sz w:val="36"/>
      <w:szCs w:val="28"/>
    </w:rPr>
  </w:style>
  <w:style w:type="paragraph" w:styleId="Heading2">
    <w:name w:val="heading 2"/>
    <w:basedOn w:val="Normal"/>
    <w:next w:val="Normal"/>
    <w:link w:val="Heading2Char"/>
    <w:uiPriority w:val="9"/>
    <w:unhideWhenUsed/>
    <w:rsid w:val="00B37FB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B37FBE"/>
    <w:pPr>
      <w:keepNext/>
      <w:keepLines/>
      <w:spacing w:before="40" w:after="0"/>
      <w:ind w:left="720" w:hanging="72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BD6654"/>
    <w:pPr>
      <w:keepNext/>
      <w:keepLines/>
      <w:spacing w:before="40" w:after="0"/>
      <w:outlineLvl w:val="3"/>
    </w:pPr>
    <w:rPr>
      <w:rFonts w:asciiTheme="majorHAnsi" w:eastAsiaTheme="majorEastAsia" w:hAnsiTheme="majorHAnsi" w:cstheme="majorBidi"/>
      <w:i/>
      <w:iCs/>
      <w:color w:val="2E74B5" w:themeColor="accent1" w:themeShade="BF"/>
      <w:sz w:val="24"/>
    </w:rPr>
  </w:style>
  <w:style w:type="paragraph" w:styleId="Heading5">
    <w:name w:val="heading 5"/>
    <w:basedOn w:val="Normal"/>
    <w:next w:val="Normal"/>
    <w:link w:val="Heading5Char"/>
    <w:uiPriority w:val="9"/>
    <w:unhideWhenUsed/>
    <w:qFormat/>
    <w:rsid w:val="00AC7E6E"/>
    <w:pPr>
      <w:keepNext/>
      <w:keepLines/>
      <w:spacing w:before="40" w:after="0"/>
      <w:outlineLvl w:val="4"/>
    </w:pPr>
    <w:rPr>
      <w:rFonts w:eastAsiaTheme="minorHAnsi"/>
      <w:color w:val="008AC8"/>
    </w:rPr>
  </w:style>
  <w:style w:type="paragraph" w:styleId="Heading6">
    <w:name w:val="heading 6"/>
    <w:basedOn w:val="Normal"/>
    <w:next w:val="Normal"/>
    <w:link w:val="Heading6Char"/>
    <w:uiPriority w:val="9"/>
    <w:unhideWhenUsed/>
    <w:qFormat/>
    <w:rsid w:val="00B37FBE"/>
    <w:pPr>
      <w:keepNext/>
      <w:keepLines/>
      <w:spacing w:before="40" w:after="0"/>
      <w:ind w:left="1152" w:hanging="1152"/>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unhideWhenUsed/>
    <w:qFormat/>
    <w:rsid w:val="00B37FBE"/>
    <w:pPr>
      <w:keepNext/>
      <w:keepLines/>
      <w:tabs>
        <w:tab w:val="num" w:pos="2520"/>
      </w:tabs>
      <w:spacing w:before="40" w:after="0"/>
      <w:ind w:left="1296" w:hanging="1296"/>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B37FBE"/>
    <w:pPr>
      <w:keepNext/>
      <w:keepLines/>
      <w:tabs>
        <w:tab w:val="num" w:pos="2880"/>
      </w:tabs>
      <w:spacing w:before="40" w:after="0"/>
      <w:ind w:left="1440" w:hanging="14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37FBE"/>
    <w:pPr>
      <w:keepNext/>
      <w:keepLines/>
      <w:tabs>
        <w:tab w:val="num" w:pos="3240"/>
      </w:tabs>
      <w:spacing w:before="40" w:after="0"/>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24E60"/>
    <w:rPr>
      <w:rFonts w:ascii="Segoe UI" w:eastAsiaTheme="majorEastAsia" w:hAnsi="Segoe UI" w:cs="Segoe UI"/>
      <w:bCs/>
      <w:color w:val="008AC8"/>
      <w:sz w:val="36"/>
      <w:szCs w:val="28"/>
    </w:rPr>
  </w:style>
  <w:style w:type="paragraph" w:styleId="TOC1">
    <w:name w:val="toc 1"/>
    <w:basedOn w:val="Normal"/>
    <w:next w:val="Normal"/>
    <w:uiPriority w:val="39"/>
    <w:unhideWhenUsed/>
    <w:rsid w:val="00C24E60"/>
    <w:pPr>
      <w:tabs>
        <w:tab w:val="left" w:pos="440"/>
        <w:tab w:val="right" w:leader="dot" w:pos="9346"/>
      </w:tabs>
      <w:spacing w:after="100"/>
    </w:pPr>
    <w:rPr>
      <w:noProof/>
      <w:sz w:val="24"/>
    </w:rPr>
  </w:style>
  <w:style w:type="character" w:styleId="Hyperlink">
    <w:name w:val="Hyperlink"/>
    <w:basedOn w:val="DefaultParagraphFont"/>
    <w:uiPriority w:val="99"/>
    <w:unhideWhenUsed/>
    <w:rsid w:val="00C24E60"/>
    <w:rPr>
      <w:rFonts w:ascii="Segoe UI" w:hAnsi="Segoe UI"/>
      <w:color w:val="0563C1" w:themeColor="hyperlink"/>
      <w:sz w:val="22"/>
      <w:u w:val="single"/>
    </w:rPr>
  </w:style>
  <w:style w:type="paragraph" w:customStyle="1" w:styleId="Bullet1">
    <w:name w:val="Bullet1"/>
    <w:basedOn w:val="ListParagraph"/>
    <w:rsid w:val="00C24E60"/>
    <w:pPr>
      <w:numPr>
        <w:numId w:val="1"/>
      </w:numPr>
      <w:spacing w:before="240" w:after="240" w:line="240" w:lineRule="auto"/>
    </w:pPr>
    <w:rPr>
      <w:rFonts w:cs="Segoe UI"/>
      <w:szCs w:val="20"/>
    </w:rPr>
  </w:style>
  <w:style w:type="paragraph" w:styleId="Header">
    <w:name w:val="header"/>
    <w:basedOn w:val="Normal"/>
    <w:link w:val="HeaderChar"/>
    <w:uiPriority w:val="99"/>
    <w:unhideWhenUsed/>
    <w:rsid w:val="00C24E60"/>
    <w:pPr>
      <w:tabs>
        <w:tab w:val="center" w:pos="4680"/>
        <w:tab w:val="right" w:pos="9360"/>
      </w:tabs>
      <w:spacing w:before="0" w:after="0" w:line="240" w:lineRule="auto"/>
    </w:pPr>
    <w:rPr>
      <w:sz w:val="16"/>
    </w:rPr>
  </w:style>
  <w:style w:type="character" w:customStyle="1" w:styleId="HeaderChar">
    <w:name w:val="Header Char"/>
    <w:basedOn w:val="DefaultParagraphFont"/>
    <w:link w:val="Header"/>
    <w:uiPriority w:val="99"/>
    <w:rsid w:val="00C24E60"/>
    <w:rPr>
      <w:rFonts w:ascii="Segoe UI" w:eastAsiaTheme="minorEastAsia" w:hAnsi="Segoe UI"/>
      <w:sz w:val="16"/>
    </w:rPr>
  </w:style>
  <w:style w:type="paragraph" w:styleId="Footer">
    <w:name w:val="footer"/>
    <w:basedOn w:val="Normal"/>
    <w:link w:val="FooterChar"/>
    <w:uiPriority w:val="99"/>
    <w:unhideWhenUsed/>
    <w:rsid w:val="00C24E60"/>
    <w:pPr>
      <w:tabs>
        <w:tab w:val="center" w:pos="4680"/>
        <w:tab w:val="right" w:pos="9360"/>
      </w:tabs>
      <w:spacing w:before="0" w:after="0" w:line="240" w:lineRule="auto"/>
    </w:pPr>
    <w:rPr>
      <w:color w:val="808080" w:themeColor="background1" w:themeShade="80"/>
      <w:sz w:val="16"/>
    </w:rPr>
  </w:style>
  <w:style w:type="character" w:customStyle="1" w:styleId="FooterChar">
    <w:name w:val="Footer Char"/>
    <w:basedOn w:val="DefaultParagraphFont"/>
    <w:link w:val="Footer"/>
    <w:uiPriority w:val="99"/>
    <w:rsid w:val="00C24E60"/>
    <w:rPr>
      <w:rFonts w:ascii="Segoe UI" w:eastAsiaTheme="minorEastAsia" w:hAnsi="Segoe UI"/>
      <w:color w:val="808080" w:themeColor="background1" w:themeShade="80"/>
      <w:sz w:val="16"/>
    </w:rPr>
  </w:style>
  <w:style w:type="paragraph" w:styleId="TOC3">
    <w:name w:val="toc 3"/>
    <w:basedOn w:val="TOCHeading"/>
    <w:next w:val="Normal"/>
    <w:autoRedefine/>
    <w:uiPriority w:val="39"/>
    <w:unhideWhenUsed/>
    <w:rsid w:val="00C24E60"/>
    <w:pPr>
      <w:keepNext w:val="0"/>
      <w:keepLines w:val="0"/>
      <w:tabs>
        <w:tab w:val="right" w:leader="dot" w:pos="9346"/>
      </w:tabs>
      <w:spacing w:before="0" w:after="100"/>
      <w:ind w:left="446"/>
    </w:pPr>
    <w:rPr>
      <w:rFonts w:ascii="Segoe" w:eastAsiaTheme="minorHAnsi" w:hAnsi="Segoe" w:cstheme="minorBidi"/>
      <w:color w:val="auto"/>
      <w:spacing w:val="10"/>
      <w:sz w:val="20"/>
      <w:szCs w:val="48"/>
    </w:rPr>
  </w:style>
  <w:style w:type="character" w:customStyle="1" w:styleId="StyleLatinSegoeUI10pt">
    <w:name w:val="Style (Latin) Segoe UI 10 pt"/>
    <w:basedOn w:val="DefaultParagraphFont"/>
    <w:semiHidden/>
    <w:rsid w:val="00C24E60"/>
    <w:rPr>
      <w:rFonts w:ascii="Segoe UI" w:hAnsi="Segoe UI"/>
      <w:sz w:val="20"/>
    </w:rPr>
  </w:style>
  <w:style w:type="table" w:styleId="TableGrid">
    <w:name w:val="Table Grid"/>
    <w:aliases w:val="Tabla Microsoft Servicios,Table Grid (MS Design format)"/>
    <w:basedOn w:val="TableNormal"/>
    <w:rsid w:val="00C07C3E"/>
    <w:pPr>
      <w:spacing w:after="0" w:line="240" w:lineRule="auto"/>
    </w:pPr>
    <w:rPr>
      <w:rFonts w:ascii="Segoe UI" w:eastAsiaTheme="minorEastAsia" w:hAnsi="Segoe UI"/>
      <w:sz w:val="16"/>
    </w:rPr>
    <w:tblPr>
      <w:tblStyleRowBandSize w:val="1"/>
      <w:tblStyleColBandSize w:val="1"/>
      <w:tblBorders>
        <w:top w:val="single" w:sz="4" w:space="0" w:color="008AC8"/>
        <w:bottom w:val="single" w:sz="4" w:space="0" w:color="008AC8"/>
        <w:insideH w:val="single" w:sz="4" w:space="0" w:color="008AC8"/>
      </w:tblBorders>
    </w:tblPr>
    <w:tblStylePr w:type="firstRow">
      <w:rPr>
        <w:rFonts w:ascii="Segoe UI" w:hAnsi="Segoe UI"/>
        <w:color w:val="FFFFFF" w:themeColor="background1"/>
        <w:sz w:val="16"/>
      </w:rPr>
      <w:tblPr/>
      <w:trPr>
        <w:tblHeader/>
      </w:trPr>
      <w:tcPr>
        <w:shd w:val="clear" w:color="auto" w:fill="008AC8"/>
      </w:tcPr>
    </w:tblStylePr>
  </w:style>
  <w:style w:type="paragraph" w:customStyle="1" w:styleId="CoverTitle">
    <w:name w:val="Cover Title"/>
    <w:basedOn w:val="Normal"/>
    <w:next w:val="CoverSubject"/>
    <w:uiPriority w:val="99"/>
    <w:rsid w:val="00C24E60"/>
    <w:pPr>
      <w:spacing w:line="240" w:lineRule="auto"/>
    </w:pPr>
    <w:rPr>
      <w:color w:val="FFFFFF" w:themeColor="background1"/>
      <w:sz w:val="44"/>
    </w:rPr>
  </w:style>
  <w:style w:type="paragraph" w:customStyle="1" w:styleId="CoverSubject">
    <w:name w:val="Cover Subject"/>
    <w:basedOn w:val="Normal"/>
    <w:uiPriority w:val="99"/>
    <w:rsid w:val="00C24E60"/>
    <w:pPr>
      <w:spacing w:after="600"/>
      <w:ind w:left="-720"/>
    </w:pPr>
    <w:rPr>
      <w:color w:val="008AC8"/>
      <w:sz w:val="36"/>
    </w:rPr>
  </w:style>
  <w:style w:type="paragraph" w:customStyle="1" w:styleId="CoverHeading2">
    <w:name w:val="Cover Heading 2"/>
    <w:basedOn w:val="Normal"/>
    <w:uiPriority w:val="99"/>
    <w:rsid w:val="00C24E60"/>
    <w:pPr>
      <w:spacing w:before="360"/>
      <w:ind w:left="-357"/>
    </w:pPr>
    <w:rPr>
      <w:bCs/>
      <w:color w:val="008AC8"/>
      <w:sz w:val="28"/>
      <w:szCs w:val="28"/>
    </w:rPr>
  </w:style>
  <w:style w:type="character" w:styleId="Emphasis">
    <w:name w:val="Emphasis"/>
    <w:basedOn w:val="IntenseEmphasis"/>
    <w:uiPriority w:val="20"/>
    <w:qFormat/>
    <w:rsid w:val="00C24E60"/>
    <w:rPr>
      <w:rFonts w:ascii="Segoe UI" w:hAnsi="Segoe UI"/>
      <w:b w:val="0"/>
      <w:bCs/>
      <w:i/>
      <w:iCs/>
      <w:color w:val="auto"/>
      <w:sz w:val="22"/>
    </w:rPr>
  </w:style>
  <w:style w:type="paragraph" w:customStyle="1" w:styleId="VisibleGuidance">
    <w:name w:val="Visible Guidance"/>
    <w:basedOn w:val="Normal"/>
    <w:next w:val="Normal"/>
    <w:rsid w:val="00C24E60"/>
    <w:pPr>
      <w:shd w:val="clear" w:color="auto" w:fill="F2F2F2"/>
    </w:pPr>
    <w:rPr>
      <w:color w:val="FF0066"/>
    </w:rPr>
  </w:style>
  <w:style w:type="character" w:styleId="Strong">
    <w:name w:val="Strong"/>
    <w:basedOn w:val="DefaultParagraphFont"/>
    <w:uiPriority w:val="22"/>
    <w:qFormat/>
    <w:rsid w:val="00C24E60"/>
    <w:rPr>
      <w:b/>
      <w:bCs/>
    </w:rPr>
  </w:style>
  <w:style w:type="paragraph" w:styleId="ListParagraph">
    <w:name w:val="List Paragraph"/>
    <w:aliases w:val="Bullet Number,List Paragraph1,lp1,lp11,List Paragraph11,Bullet 1,Use Case List Paragraph,Bullet List,FooterText,numbered,Paragraphe de liste1,Bulletr List Paragraph,列出段落,列出段落1,List Paragraph2,List Paragraph21,Listeafsnit1"/>
    <w:basedOn w:val="Normal"/>
    <w:link w:val="ListParagraphChar"/>
    <w:uiPriority w:val="34"/>
    <w:qFormat/>
    <w:rsid w:val="00876F0E"/>
    <w:pPr>
      <w:tabs>
        <w:tab w:val="num" w:pos="720"/>
      </w:tabs>
      <w:ind w:left="720" w:hanging="360"/>
      <w:contextualSpacing/>
    </w:pPr>
  </w:style>
  <w:style w:type="paragraph" w:styleId="TOCHeading">
    <w:name w:val="TOC Heading"/>
    <w:basedOn w:val="Heading1"/>
    <w:next w:val="Normal"/>
    <w:uiPriority w:val="39"/>
    <w:semiHidden/>
    <w:unhideWhenUsed/>
    <w:qFormat/>
    <w:rsid w:val="00C24E60"/>
    <w:pPr>
      <w:spacing w:before="240" w:after="0" w:line="276" w:lineRule="auto"/>
      <w:outlineLvl w:val="9"/>
    </w:pPr>
    <w:rPr>
      <w:rFonts w:asciiTheme="majorHAnsi" w:hAnsiTheme="majorHAnsi" w:cstheme="majorBidi"/>
      <w:bCs w:val="0"/>
      <w:color w:val="2E74B5" w:themeColor="accent1" w:themeShade="BF"/>
      <w:sz w:val="32"/>
      <w:szCs w:val="32"/>
    </w:rPr>
  </w:style>
  <w:style w:type="character" w:styleId="IntenseEmphasis">
    <w:name w:val="Intense Emphasis"/>
    <w:basedOn w:val="DefaultParagraphFont"/>
    <w:uiPriority w:val="21"/>
    <w:rsid w:val="00C24E60"/>
    <w:rPr>
      <w:i/>
      <w:iCs/>
      <w:color w:val="5B9BD5" w:themeColor="accent1"/>
    </w:rPr>
  </w:style>
  <w:style w:type="paragraph" w:styleId="Caption">
    <w:name w:val="caption"/>
    <w:aliases w:val="PMO Caption"/>
    <w:basedOn w:val="Normal"/>
    <w:next w:val="Normal"/>
    <w:link w:val="CaptionChar"/>
    <w:unhideWhenUsed/>
    <w:qFormat/>
    <w:rsid w:val="00C24E60"/>
    <w:pPr>
      <w:spacing w:before="0" w:after="200" w:line="240" w:lineRule="auto"/>
    </w:pPr>
    <w:rPr>
      <w:i/>
      <w:iCs/>
      <w:color w:val="44546A" w:themeColor="text2"/>
      <w:sz w:val="18"/>
      <w:szCs w:val="18"/>
    </w:rPr>
  </w:style>
  <w:style w:type="character" w:customStyle="1" w:styleId="Heading5Char">
    <w:name w:val="Heading 5 Char"/>
    <w:basedOn w:val="DefaultParagraphFont"/>
    <w:link w:val="Heading5"/>
    <w:uiPriority w:val="9"/>
    <w:rsid w:val="00AC7E6E"/>
    <w:rPr>
      <w:rFonts w:ascii="Segoe UI" w:hAnsi="Segoe UI"/>
      <w:color w:val="008AC8"/>
    </w:rPr>
  </w:style>
  <w:style w:type="paragraph" w:customStyle="1" w:styleId="Heading1Numbered">
    <w:name w:val="Heading 1 (Numbered)"/>
    <w:basedOn w:val="Normal"/>
    <w:next w:val="Normal"/>
    <w:uiPriority w:val="14"/>
    <w:qFormat/>
    <w:rsid w:val="00E4177B"/>
    <w:pPr>
      <w:keepNext/>
      <w:keepLines/>
      <w:pageBreakBefore/>
      <w:spacing w:before="360" w:after="360" w:line="600" w:lineRule="exact"/>
      <w:ind w:left="432" w:hanging="432"/>
      <w:outlineLvl w:val="0"/>
    </w:pPr>
    <w:rPr>
      <w:rFonts w:eastAsiaTheme="minorHAnsi"/>
      <w:color w:val="008AC8"/>
      <w:spacing w:val="10"/>
      <w:sz w:val="36"/>
      <w:szCs w:val="48"/>
    </w:rPr>
  </w:style>
  <w:style w:type="character" w:customStyle="1" w:styleId="ListParagraphChar">
    <w:name w:val="List Paragraph Char"/>
    <w:aliases w:val="Bullet Number Char,List Paragraph1 Char,lp1 Char,lp11 Char,List Paragraph11 Char,Bullet 1 Char,Use Case List Paragraph Char,Bullet List Char,FooterText Char,numbered Char,Paragraphe de liste1 Char,Bulletr List Paragraph Char"/>
    <w:basedOn w:val="DefaultParagraphFont"/>
    <w:link w:val="ListParagraph"/>
    <w:uiPriority w:val="34"/>
    <w:locked/>
    <w:rsid w:val="00876F0E"/>
    <w:rPr>
      <w:rFonts w:ascii="Segoe UI" w:eastAsiaTheme="minorEastAsia" w:hAnsi="Segoe UI"/>
    </w:rPr>
  </w:style>
  <w:style w:type="paragraph" w:styleId="ListBullet">
    <w:name w:val="List Bullet"/>
    <w:aliases w:val="Bullet"/>
    <w:basedOn w:val="Normal"/>
    <w:uiPriority w:val="4"/>
    <w:qFormat/>
    <w:rsid w:val="004C75FF"/>
    <w:pPr>
      <w:spacing w:before="0" w:after="200"/>
      <w:ind w:left="1080" w:hanging="360"/>
      <w:contextualSpacing/>
    </w:pPr>
  </w:style>
  <w:style w:type="paragraph" w:customStyle="1" w:styleId="Heading2Numbered">
    <w:name w:val="Heading 2 (Numbered)"/>
    <w:basedOn w:val="Normal"/>
    <w:next w:val="Normal"/>
    <w:uiPriority w:val="14"/>
    <w:qFormat/>
    <w:rsid w:val="00801E7F"/>
    <w:pPr>
      <w:keepNext/>
      <w:keepLines/>
      <w:spacing w:before="360" w:after="240" w:line="240" w:lineRule="auto"/>
      <w:ind w:left="576" w:hanging="576"/>
      <w:outlineLvl w:val="1"/>
    </w:pPr>
    <w:rPr>
      <w:rFonts w:eastAsiaTheme="minorHAnsi"/>
      <w:color w:val="008AC8"/>
      <w:sz w:val="32"/>
      <w:szCs w:val="36"/>
    </w:rPr>
  </w:style>
  <w:style w:type="paragraph" w:customStyle="1" w:styleId="Heading3Numbered">
    <w:name w:val="Heading 3 (Numbered)"/>
    <w:basedOn w:val="Normal"/>
    <w:next w:val="Normal"/>
    <w:link w:val="Heading3NumberedChar"/>
    <w:uiPriority w:val="14"/>
    <w:qFormat/>
    <w:rsid w:val="00E4177B"/>
    <w:pPr>
      <w:keepNext/>
      <w:keepLines/>
      <w:spacing w:before="240" w:after="240" w:line="240" w:lineRule="auto"/>
      <w:ind w:left="936" w:hanging="936"/>
      <w:outlineLvl w:val="2"/>
    </w:pPr>
    <w:rPr>
      <w:rFonts w:eastAsiaTheme="minorHAnsi"/>
      <w:color w:val="008AC8"/>
      <w:sz w:val="28"/>
      <w:szCs w:val="28"/>
    </w:rPr>
  </w:style>
  <w:style w:type="paragraph" w:customStyle="1" w:styleId="Heading4Numbered">
    <w:name w:val="Heading 4 (Numbered)"/>
    <w:basedOn w:val="Normal"/>
    <w:next w:val="Normal"/>
    <w:link w:val="Heading4NumberedChar"/>
    <w:unhideWhenUsed/>
    <w:rsid w:val="00E4177B"/>
    <w:pPr>
      <w:keepNext/>
      <w:keepLines/>
      <w:spacing w:before="240" w:after="240" w:line="240" w:lineRule="auto"/>
      <w:ind w:left="936" w:hanging="936"/>
      <w:outlineLvl w:val="3"/>
    </w:pPr>
    <w:rPr>
      <w:rFonts w:eastAsiaTheme="minorHAnsi"/>
      <w:color w:val="008AC8"/>
      <w:sz w:val="24"/>
    </w:rPr>
  </w:style>
  <w:style w:type="paragraph" w:customStyle="1" w:styleId="Heading5Num">
    <w:name w:val="Heading 5 Num"/>
    <w:basedOn w:val="Normal"/>
    <w:next w:val="Normal"/>
    <w:semiHidden/>
    <w:rsid w:val="001C4A70"/>
    <w:pPr>
      <w:keepNext/>
      <w:keepLines/>
      <w:spacing w:before="240" w:line="240" w:lineRule="auto"/>
      <w:outlineLvl w:val="4"/>
    </w:pPr>
    <w:rPr>
      <w:rFonts w:eastAsiaTheme="minorHAnsi"/>
      <w:color w:val="008AC8"/>
      <w:sz w:val="24"/>
      <w:szCs w:val="20"/>
    </w:rPr>
  </w:style>
  <w:style w:type="paragraph" w:customStyle="1" w:styleId="TableListBullet">
    <w:name w:val="Table List Bullet"/>
    <w:basedOn w:val="Normal"/>
    <w:uiPriority w:val="4"/>
    <w:rsid w:val="001C4A70"/>
    <w:pPr>
      <w:numPr>
        <w:numId w:val="2"/>
      </w:numPr>
      <w:spacing w:before="60" w:line="240" w:lineRule="auto"/>
      <w:ind w:left="317" w:hanging="187"/>
      <w:contextualSpacing/>
    </w:pPr>
    <w:rPr>
      <w:sz w:val="16"/>
      <w:szCs w:val="16"/>
    </w:rPr>
  </w:style>
  <w:style w:type="paragraph" w:customStyle="1" w:styleId="CodeBlock">
    <w:name w:val="Code Block"/>
    <w:basedOn w:val="Normal"/>
    <w:uiPriority w:val="24"/>
    <w:rsid w:val="001C4A70"/>
    <w:pPr>
      <w:keepNext/>
      <w:pBdr>
        <w:top w:val="single" w:sz="4" w:space="1" w:color="auto"/>
        <w:left w:val="single" w:sz="4" w:space="4" w:color="auto"/>
        <w:bottom w:val="single" w:sz="4" w:space="1" w:color="auto"/>
        <w:right w:val="single" w:sz="4" w:space="4" w:color="auto"/>
      </w:pBdr>
      <w:spacing w:before="20" w:after="20"/>
    </w:pPr>
    <w:rPr>
      <w:rFonts w:ascii="Courier New" w:eastAsia="Courier New" w:hAnsi="Courier New" w:cs="Courier New"/>
      <w:sz w:val="16"/>
      <w:szCs w:val="16"/>
    </w:rPr>
  </w:style>
  <w:style w:type="paragraph" w:customStyle="1" w:styleId="CheckList">
    <w:name w:val="Check List"/>
    <w:basedOn w:val="Normal"/>
    <w:uiPriority w:val="24"/>
    <w:rsid w:val="00475B6F"/>
    <w:pPr>
      <w:numPr>
        <w:numId w:val="6"/>
      </w:numPr>
      <w:spacing w:before="0" w:after="200"/>
      <w:contextualSpacing/>
    </w:pPr>
    <w:rPr>
      <w:rFonts w:eastAsia="Arial" w:cs="Arial"/>
      <w:lang w:eastAsia="ja-JP"/>
    </w:rPr>
  </w:style>
  <w:style w:type="paragraph" w:customStyle="1" w:styleId="Note">
    <w:name w:val="Note"/>
    <w:basedOn w:val="Normal"/>
    <w:link w:val="NoteChar"/>
    <w:uiPriority w:val="19"/>
    <w:qFormat/>
    <w:rsid w:val="001C4A70"/>
    <w:pPr>
      <w:pBdr>
        <w:left w:val="single" w:sz="18" w:space="6" w:color="008AC8"/>
      </w:pBdr>
      <w:spacing w:before="0" w:after="200"/>
      <w:ind w:left="720"/>
    </w:pPr>
    <w:rPr>
      <w:szCs w:val="18"/>
    </w:rPr>
  </w:style>
  <w:style w:type="paragraph" w:customStyle="1" w:styleId="NoteTitle">
    <w:name w:val="Note Title"/>
    <w:basedOn w:val="Note"/>
    <w:next w:val="Note"/>
    <w:uiPriority w:val="19"/>
    <w:qFormat/>
    <w:rsid w:val="001C4A70"/>
    <w:pPr>
      <w:keepNext/>
      <w:spacing w:before="240" w:after="240" w:line="240" w:lineRule="auto"/>
    </w:pPr>
    <w:rPr>
      <w:bCs/>
      <w:color w:val="008AC8"/>
      <w:sz w:val="24"/>
    </w:rPr>
  </w:style>
  <w:style w:type="numbering" w:customStyle="1" w:styleId="Checklist0">
    <w:name w:val="Checklist"/>
    <w:basedOn w:val="NoList"/>
    <w:rsid w:val="00475B6F"/>
    <w:pPr>
      <w:numPr>
        <w:numId w:val="1"/>
      </w:numPr>
    </w:pPr>
  </w:style>
  <w:style w:type="paragraph" w:customStyle="1" w:styleId="TableText">
    <w:name w:val="Table Text"/>
    <w:basedOn w:val="Normal"/>
    <w:rsid w:val="001C4A70"/>
    <w:pPr>
      <w:spacing w:line="240" w:lineRule="auto"/>
    </w:pPr>
    <w:rPr>
      <w:sz w:val="16"/>
    </w:rPr>
  </w:style>
  <w:style w:type="paragraph" w:customStyle="1" w:styleId="CommandLine">
    <w:name w:val="Command Line"/>
    <w:basedOn w:val="Normal"/>
    <w:rsid w:val="001C4A70"/>
    <w:pPr>
      <w:shd w:val="clear" w:color="auto" w:fill="F2F2F2" w:themeFill="background1" w:themeFillShade="F2"/>
      <w:tabs>
        <w:tab w:val="left" w:pos="2790"/>
        <w:tab w:val="left" w:pos="3780"/>
        <w:tab w:val="left" w:pos="4860"/>
        <w:tab w:val="left" w:pos="6390"/>
      </w:tabs>
      <w:spacing w:before="80" w:after="200" w:line="240" w:lineRule="auto"/>
      <w:ind w:left="993" w:right="144"/>
      <w:contextualSpacing/>
    </w:pPr>
    <w:rPr>
      <w:rFonts w:ascii="Consolas" w:eastAsiaTheme="minorHAnsi" w:hAnsi="Consolas" w:cs="Consolas"/>
      <w:sz w:val="20"/>
      <w:szCs w:val="23"/>
    </w:rPr>
  </w:style>
  <w:style w:type="numbering" w:customStyle="1" w:styleId="Style1">
    <w:name w:val="Style1"/>
    <w:uiPriority w:val="99"/>
    <w:rsid w:val="001C4A70"/>
    <w:pPr>
      <w:numPr>
        <w:numId w:val="3"/>
      </w:numPr>
    </w:pPr>
  </w:style>
  <w:style w:type="numbering" w:customStyle="1" w:styleId="NumberedList">
    <w:name w:val="Numbered List"/>
    <w:rsid w:val="00FE17E1"/>
    <w:pPr>
      <w:numPr>
        <w:numId w:val="25"/>
      </w:numPr>
    </w:pPr>
  </w:style>
  <w:style w:type="paragraph" w:styleId="TOC2">
    <w:name w:val="toc 2"/>
    <w:basedOn w:val="Normal"/>
    <w:next w:val="Normal"/>
    <w:autoRedefine/>
    <w:uiPriority w:val="39"/>
    <w:unhideWhenUsed/>
    <w:rsid w:val="005044A7"/>
    <w:pPr>
      <w:spacing w:after="100"/>
      <w:ind w:left="220"/>
    </w:pPr>
  </w:style>
  <w:style w:type="table" w:customStyle="1" w:styleId="PlainTable31">
    <w:name w:val="Plain Table 31"/>
    <w:basedOn w:val="TableNormal"/>
    <w:uiPriority w:val="43"/>
    <w:rsid w:val="001D1ECE"/>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eGridLight1">
    <w:name w:val="Table Grid Light1"/>
    <w:basedOn w:val="TableNormal"/>
    <w:uiPriority w:val="40"/>
    <w:rsid w:val="001D1EC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51">
    <w:name w:val="Plain Table 51"/>
    <w:basedOn w:val="TableNormal"/>
    <w:uiPriority w:val="45"/>
    <w:rsid w:val="001D1EC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NumHeading3">
    <w:name w:val="Num Heading 3"/>
    <w:basedOn w:val="Heading3"/>
    <w:next w:val="Normal"/>
    <w:rsid w:val="00182AB9"/>
    <w:pPr>
      <w:keepNext w:val="0"/>
      <w:keepLines w:val="0"/>
      <w:widowControl w:val="0"/>
      <w:spacing w:before="120" w:after="60" w:line="240" w:lineRule="auto"/>
      <w:ind w:left="0" w:firstLine="0"/>
      <w:outlineLvl w:val="9"/>
    </w:pPr>
    <w:rPr>
      <w:rFonts w:ascii="Segoe UI" w:eastAsia="Segoe Semibold" w:hAnsi="Segoe UI" w:cs="Segoe Semibold"/>
      <w:color w:val="333333"/>
      <w:sz w:val="16"/>
      <w:szCs w:val="26"/>
      <w:lang w:eastAsia="en-AU"/>
    </w:rPr>
  </w:style>
  <w:style w:type="paragraph" w:customStyle="1" w:styleId="NumHeading4">
    <w:name w:val="Num Heading 4"/>
    <w:basedOn w:val="Heading4"/>
    <w:next w:val="Normal"/>
    <w:rsid w:val="00182AB9"/>
    <w:pPr>
      <w:keepNext w:val="0"/>
      <w:keepLines w:val="0"/>
      <w:widowControl w:val="0"/>
      <w:spacing w:before="120" w:after="60" w:line="240" w:lineRule="auto"/>
      <w:outlineLvl w:val="9"/>
    </w:pPr>
    <w:rPr>
      <w:rFonts w:ascii="Segoe UI" w:eastAsia="Segoe Semibold" w:hAnsi="Segoe UI" w:cs="Segoe Semibold"/>
      <w:i w:val="0"/>
      <w:color w:val="333333"/>
      <w:sz w:val="16"/>
      <w:szCs w:val="24"/>
      <w:lang w:eastAsia="en-AU"/>
    </w:rPr>
  </w:style>
  <w:style w:type="character" w:customStyle="1" w:styleId="Heading3Char">
    <w:name w:val="Heading 3 Char"/>
    <w:basedOn w:val="DefaultParagraphFont"/>
    <w:link w:val="Heading3"/>
    <w:uiPriority w:val="9"/>
    <w:rsid w:val="00B37FBE"/>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B37FBE"/>
    <w:rPr>
      <w:rFonts w:asciiTheme="majorHAnsi" w:eastAsiaTheme="majorEastAsia" w:hAnsiTheme="majorHAnsi" w:cstheme="majorBidi"/>
      <w:i/>
      <w:iCs/>
      <w:color w:val="2E74B5" w:themeColor="accent1" w:themeShade="BF"/>
      <w:sz w:val="24"/>
    </w:rPr>
  </w:style>
  <w:style w:type="paragraph" w:customStyle="1" w:styleId="NumHeading1">
    <w:name w:val="Num Heading 1"/>
    <w:basedOn w:val="Heading1"/>
    <w:next w:val="Normal"/>
    <w:rsid w:val="00E04B96"/>
    <w:pPr>
      <w:keepLines w:val="0"/>
      <w:pageBreakBefore/>
      <w:spacing w:before="120" w:after="120"/>
    </w:pPr>
    <w:rPr>
      <w:rFonts w:ascii="Segoe Black" w:eastAsia="Segoe Black" w:hAnsi="Segoe Black" w:cs="Segoe Black"/>
      <w:b/>
      <w:smallCaps/>
      <w:color w:val="333333"/>
      <w:kern w:val="32"/>
      <w:sz w:val="32"/>
      <w:szCs w:val="32"/>
      <w:lang w:eastAsia="en-AU"/>
    </w:rPr>
  </w:style>
  <w:style w:type="paragraph" w:customStyle="1" w:styleId="NumHeading2">
    <w:name w:val="Num Heading 2"/>
    <w:basedOn w:val="Heading2"/>
    <w:next w:val="Normal"/>
    <w:rsid w:val="00E41EC1"/>
    <w:pPr>
      <w:keepLines w:val="0"/>
      <w:spacing w:before="240" w:after="120" w:line="240" w:lineRule="auto"/>
    </w:pPr>
    <w:rPr>
      <w:rFonts w:ascii="Segoe" w:eastAsia="Segoe" w:hAnsi="Segoe" w:cs="Segoe"/>
      <w:b/>
      <w:bCs/>
      <w:color w:val="333333"/>
      <w:sz w:val="28"/>
      <w:szCs w:val="28"/>
      <w:lang w:eastAsia="en-AU"/>
    </w:rPr>
  </w:style>
  <w:style w:type="character" w:customStyle="1" w:styleId="Heading2Char">
    <w:name w:val="Heading 2 Char"/>
    <w:basedOn w:val="DefaultParagraphFont"/>
    <w:link w:val="Heading2"/>
    <w:uiPriority w:val="9"/>
    <w:rsid w:val="00B37FBE"/>
    <w:rPr>
      <w:rFonts w:asciiTheme="majorHAnsi" w:eastAsiaTheme="majorEastAsia" w:hAnsiTheme="majorHAnsi" w:cstheme="majorBidi"/>
      <w:color w:val="2E74B5" w:themeColor="accent1" w:themeShade="BF"/>
      <w:sz w:val="26"/>
      <w:szCs w:val="26"/>
    </w:rPr>
  </w:style>
  <w:style w:type="character" w:customStyle="1" w:styleId="Heading6Char">
    <w:name w:val="Heading 6 Char"/>
    <w:basedOn w:val="DefaultParagraphFont"/>
    <w:link w:val="Heading6"/>
    <w:uiPriority w:val="9"/>
    <w:rsid w:val="00B37FBE"/>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rsid w:val="00B37FBE"/>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B37FB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37FBE"/>
    <w:rPr>
      <w:rFonts w:asciiTheme="majorHAnsi" w:eastAsiaTheme="majorEastAsia" w:hAnsiTheme="majorHAnsi" w:cstheme="majorBidi"/>
      <w:i/>
      <w:iCs/>
      <w:color w:val="272727" w:themeColor="text1" w:themeTint="D8"/>
      <w:sz w:val="21"/>
      <w:szCs w:val="21"/>
    </w:rPr>
  </w:style>
  <w:style w:type="numbering" w:customStyle="1" w:styleId="SDMTableNumbers">
    <w:name w:val="SDM Table Numbers"/>
    <w:uiPriority w:val="99"/>
    <w:rsid w:val="00E04B96"/>
    <w:pPr>
      <w:numPr>
        <w:numId w:val="5"/>
      </w:numPr>
    </w:pPr>
  </w:style>
  <w:style w:type="numbering" w:customStyle="1" w:styleId="SDMHeadings">
    <w:name w:val="SDM Headings"/>
    <w:uiPriority w:val="99"/>
    <w:rsid w:val="00E4177B"/>
    <w:pPr>
      <w:numPr>
        <w:numId w:val="19"/>
      </w:numPr>
    </w:pPr>
  </w:style>
  <w:style w:type="paragraph" w:customStyle="1" w:styleId="BodyMS">
    <w:name w:val="Body MS"/>
    <w:qFormat/>
    <w:rsid w:val="00DC1C1E"/>
    <w:pPr>
      <w:spacing w:before="200" w:after="200" w:line="264" w:lineRule="auto"/>
    </w:pPr>
    <w:rPr>
      <w:rFonts w:ascii="Segoe Light" w:hAnsi="Segoe Light"/>
      <w:szCs w:val="20"/>
    </w:rPr>
  </w:style>
  <w:style w:type="table" w:customStyle="1" w:styleId="TableGridLight13">
    <w:name w:val="Table Grid Light13"/>
    <w:basedOn w:val="TableNormal"/>
    <w:uiPriority w:val="40"/>
    <w:rsid w:val="00E81F98"/>
    <w:pPr>
      <w:spacing w:after="0" w:line="240" w:lineRule="auto"/>
    </w:pPr>
    <w:rPr>
      <w:rFonts w:ascii="Calibri" w:eastAsia="MS Mincho" w:hAnsi="Calibri" w:cs="Arial"/>
      <w:lang w:val="en-AU" w:eastAsia="en-A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link w:val="NormalWebChar"/>
    <w:uiPriority w:val="99"/>
    <w:rsid w:val="00E81F98"/>
    <w:pPr>
      <w:spacing w:after="0" w:line="240" w:lineRule="auto"/>
    </w:pPr>
    <w:rPr>
      <w:rFonts w:ascii="Times New Roman" w:eastAsia="Calibri" w:hAnsi="Times New Roman" w:cs="Times New Roman"/>
      <w:sz w:val="24"/>
      <w:szCs w:val="24"/>
    </w:rPr>
  </w:style>
  <w:style w:type="character" w:customStyle="1" w:styleId="NormalWebChar">
    <w:name w:val="Normal (Web) Char"/>
    <w:link w:val="NormalWeb"/>
    <w:uiPriority w:val="99"/>
    <w:rsid w:val="00E81F98"/>
    <w:rPr>
      <w:rFonts w:ascii="Times New Roman" w:eastAsia="Calibri" w:hAnsi="Times New Roman" w:cs="Times New Roman"/>
      <w:sz w:val="24"/>
      <w:szCs w:val="24"/>
    </w:rPr>
  </w:style>
  <w:style w:type="paragraph" w:styleId="TOC4">
    <w:name w:val="toc 4"/>
    <w:basedOn w:val="Normal"/>
    <w:next w:val="Normal"/>
    <w:autoRedefine/>
    <w:uiPriority w:val="39"/>
    <w:unhideWhenUsed/>
    <w:rsid w:val="0023514D"/>
    <w:pPr>
      <w:spacing w:before="0" w:after="100" w:line="259" w:lineRule="auto"/>
      <w:ind w:left="660"/>
    </w:pPr>
    <w:rPr>
      <w:rFonts w:asciiTheme="minorHAnsi" w:hAnsiTheme="minorHAnsi"/>
    </w:rPr>
  </w:style>
  <w:style w:type="paragraph" w:styleId="TOC5">
    <w:name w:val="toc 5"/>
    <w:basedOn w:val="Normal"/>
    <w:next w:val="Normal"/>
    <w:autoRedefine/>
    <w:uiPriority w:val="39"/>
    <w:unhideWhenUsed/>
    <w:rsid w:val="0023514D"/>
    <w:pPr>
      <w:spacing w:before="0" w:after="100" w:line="259" w:lineRule="auto"/>
      <w:ind w:left="880"/>
    </w:pPr>
    <w:rPr>
      <w:rFonts w:asciiTheme="minorHAnsi" w:hAnsiTheme="minorHAnsi"/>
    </w:rPr>
  </w:style>
  <w:style w:type="paragraph" w:styleId="TOC6">
    <w:name w:val="toc 6"/>
    <w:basedOn w:val="Normal"/>
    <w:next w:val="Normal"/>
    <w:autoRedefine/>
    <w:uiPriority w:val="39"/>
    <w:unhideWhenUsed/>
    <w:rsid w:val="0023514D"/>
    <w:pPr>
      <w:spacing w:before="0" w:after="100" w:line="259" w:lineRule="auto"/>
      <w:ind w:left="1100"/>
    </w:pPr>
    <w:rPr>
      <w:rFonts w:asciiTheme="minorHAnsi" w:hAnsiTheme="minorHAnsi"/>
    </w:rPr>
  </w:style>
  <w:style w:type="paragraph" w:styleId="TOC7">
    <w:name w:val="toc 7"/>
    <w:basedOn w:val="Normal"/>
    <w:next w:val="Normal"/>
    <w:autoRedefine/>
    <w:uiPriority w:val="39"/>
    <w:unhideWhenUsed/>
    <w:rsid w:val="0023514D"/>
    <w:pPr>
      <w:spacing w:before="0" w:after="100" w:line="259" w:lineRule="auto"/>
      <w:ind w:left="1320"/>
    </w:pPr>
    <w:rPr>
      <w:rFonts w:asciiTheme="minorHAnsi" w:hAnsiTheme="minorHAnsi"/>
    </w:rPr>
  </w:style>
  <w:style w:type="paragraph" w:styleId="TOC8">
    <w:name w:val="toc 8"/>
    <w:basedOn w:val="Normal"/>
    <w:next w:val="Normal"/>
    <w:autoRedefine/>
    <w:uiPriority w:val="39"/>
    <w:unhideWhenUsed/>
    <w:rsid w:val="0023514D"/>
    <w:pPr>
      <w:spacing w:before="0" w:after="100" w:line="259" w:lineRule="auto"/>
      <w:ind w:left="1540"/>
    </w:pPr>
    <w:rPr>
      <w:rFonts w:asciiTheme="minorHAnsi" w:hAnsiTheme="minorHAnsi"/>
    </w:rPr>
  </w:style>
  <w:style w:type="paragraph" w:styleId="TOC9">
    <w:name w:val="toc 9"/>
    <w:basedOn w:val="Normal"/>
    <w:next w:val="Normal"/>
    <w:autoRedefine/>
    <w:uiPriority w:val="39"/>
    <w:unhideWhenUsed/>
    <w:rsid w:val="0023514D"/>
    <w:pPr>
      <w:spacing w:before="0" w:after="100" w:line="259" w:lineRule="auto"/>
      <w:ind w:left="1760"/>
    </w:pPr>
    <w:rPr>
      <w:rFonts w:asciiTheme="minorHAnsi" w:hAnsiTheme="minorHAnsi"/>
    </w:rPr>
  </w:style>
  <w:style w:type="character" w:styleId="FollowedHyperlink">
    <w:name w:val="FollowedHyperlink"/>
    <w:basedOn w:val="DefaultParagraphFont"/>
    <w:uiPriority w:val="99"/>
    <w:semiHidden/>
    <w:unhideWhenUsed/>
    <w:rsid w:val="001438CB"/>
    <w:rPr>
      <w:color w:val="954F72" w:themeColor="followedHyperlink"/>
      <w:u w:val="single"/>
    </w:rPr>
  </w:style>
  <w:style w:type="character" w:styleId="CommentReference">
    <w:name w:val="annotation reference"/>
    <w:basedOn w:val="DefaultParagraphFont"/>
    <w:uiPriority w:val="99"/>
    <w:semiHidden/>
    <w:unhideWhenUsed/>
    <w:rsid w:val="00AD058C"/>
    <w:rPr>
      <w:sz w:val="16"/>
      <w:szCs w:val="16"/>
    </w:rPr>
  </w:style>
  <w:style w:type="paragraph" w:styleId="CommentText">
    <w:name w:val="annotation text"/>
    <w:basedOn w:val="Normal"/>
    <w:link w:val="CommentTextChar"/>
    <w:uiPriority w:val="99"/>
    <w:unhideWhenUsed/>
    <w:rsid w:val="00AD058C"/>
    <w:pPr>
      <w:spacing w:line="240" w:lineRule="auto"/>
    </w:pPr>
    <w:rPr>
      <w:sz w:val="20"/>
      <w:szCs w:val="20"/>
    </w:rPr>
  </w:style>
  <w:style w:type="character" w:customStyle="1" w:styleId="CommentTextChar">
    <w:name w:val="Comment Text Char"/>
    <w:basedOn w:val="DefaultParagraphFont"/>
    <w:link w:val="CommentText"/>
    <w:uiPriority w:val="99"/>
    <w:rsid w:val="00AD058C"/>
    <w:rPr>
      <w:rFonts w:ascii="Segoe UI" w:eastAsiaTheme="minorEastAsia" w:hAnsi="Segoe UI"/>
      <w:sz w:val="20"/>
      <w:szCs w:val="20"/>
    </w:rPr>
  </w:style>
  <w:style w:type="paragraph" w:styleId="CommentSubject">
    <w:name w:val="annotation subject"/>
    <w:basedOn w:val="CommentText"/>
    <w:next w:val="CommentText"/>
    <w:link w:val="CommentSubjectChar"/>
    <w:uiPriority w:val="99"/>
    <w:semiHidden/>
    <w:unhideWhenUsed/>
    <w:rsid w:val="00AD058C"/>
    <w:rPr>
      <w:b/>
      <w:bCs/>
    </w:rPr>
  </w:style>
  <w:style w:type="character" w:customStyle="1" w:styleId="CommentSubjectChar">
    <w:name w:val="Comment Subject Char"/>
    <w:basedOn w:val="CommentTextChar"/>
    <w:link w:val="CommentSubject"/>
    <w:uiPriority w:val="99"/>
    <w:semiHidden/>
    <w:rsid w:val="00AD058C"/>
    <w:rPr>
      <w:rFonts w:ascii="Segoe UI" w:eastAsiaTheme="minorEastAsia" w:hAnsi="Segoe UI"/>
      <w:b/>
      <w:bCs/>
      <w:sz w:val="20"/>
      <w:szCs w:val="20"/>
    </w:rPr>
  </w:style>
  <w:style w:type="paragraph" w:styleId="BalloonText">
    <w:name w:val="Balloon Text"/>
    <w:basedOn w:val="Normal"/>
    <w:link w:val="BalloonTextChar"/>
    <w:uiPriority w:val="99"/>
    <w:semiHidden/>
    <w:unhideWhenUsed/>
    <w:rsid w:val="00AD058C"/>
    <w:pPr>
      <w:spacing w:before="0" w:after="0" w:line="240" w:lineRule="auto"/>
    </w:pPr>
    <w:rPr>
      <w:rFonts w:cs="Segoe UI"/>
      <w:sz w:val="18"/>
      <w:szCs w:val="18"/>
    </w:rPr>
  </w:style>
  <w:style w:type="character" w:customStyle="1" w:styleId="BalloonTextChar">
    <w:name w:val="Balloon Text Char"/>
    <w:basedOn w:val="DefaultParagraphFont"/>
    <w:link w:val="BalloonText"/>
    <w:uiPriority w:val="99"/>
    <w:semiHidden/>
    <w:rsid w:val="00AD058C"/>
    <w:rPr>
      <w:rFonts w:ascii="Segoe UI" w:eastAsiaTheme="minorEastAsia" w:hAnsi="Segoe UI" w:cs="Segoe UI"/>
      <w:sz w:val="18"/>
      <w:szCs w:val="18"/>
    </w:rPr>
  </w:style>
  <w:style w:type="table" w:customStyle="1" w:styleId="TableGridMSDesignformat8">
    <w:name w:val="Table Grid (MS Design format)8"/>
    <w:basedOn w:val="TableNormal"/>
    <w:next w:val="TableGrid"/>
    <w:rsid w:val="002D5045"/>
    <w:pPr>
      <w:spacing w:after="0" w:line="240" w:lineRule="auto"/>
    </w:pPr>
    <w:rPr>
      <w:rFonts w:ascii="Segoe UI" w:eastAsiaTheme="minorEastAsia" w:hAnsi="Segoe UI"/>
      <w:sz w:val="20"/>
    </w:rPr>
    <w:tblPr>
      <w:tblStyleRowBandSize w:val="1"/>
      <w:tblStyleColBandSize w:val="1"/>
      <w:tblBorders>
        <w:top w:val="single" w:sz="4" w:space="0" w:color="008AC8"/>
        <w:bottom w:val="single" w:sz="4" w:space="0" w:color="008AC8"/>
        <w:insideH w:val="single" w:sz="4" w:space="0" w:color="008AC8"/>
      </w:tblBorders>
    </w:tblPr>
    <w:tblStylePr w:type="firstRow">
      <w:rPr>
        <w:rFonts w:ascii="Segoe UI" w:hAnsi="Segoe UI"/>
        <w:color w:val="FFFFFF" w:themeColor="background1"/>
        <w:sz w:val="22"/>
      </w:rPr>
      <w:tblPr/>
      <w:tcPr>
        <w:shd w:val="clear" w:color="auto" w:fill="008AC8"/>
      </w:tcPr>
    </w:tblStylePr>
  </w:style>
  <w:style w:type="paragraph" w:styleId="FootnoteText">
    <w:name w:val="footnote text"/>
    <w:basedOn w:val="Normal"/>
    <w:link w:val="FootnoteTextChar"/>
    <w:uiPriority w:val="99"/>
    <w:semiHidden/>
    <w:unhideWhenUsed/>
    <w:rsid w:val="002D5045"/>
    <w:pPr>
      <w:spacing w:before="0" w:after="0" w:line="240" w:lineRule="auto"/>
    </w:pPr>
    <w:rPr>
      <w:sz w:val="20"/>
      <w:szCs w:val="20"/>
    </w:rPr>
  </w:style>
  <w:style w:type="character" w:customStyle="1" w:styleId="FootnoteTextChar">
    <w:name w:val="Footnote Text Char"/>
    <w:basedOn w:val="DefaultParagraphFont"/>
    <w:link w:val="FootnoteText"/>
    <w:uiPriority w:val="99"/>
    <w:semiHidden/>
    <w:rsid w:val="002D5045"/>
    <w:rPr>
      <w:rFonts w:ascii="Segoe UI" w:eastAsiaTheme="minorEastAsia" w:hAnsi="Segoe UI"/>
      <w:sz w:val="20"/>
      <w:szCs w:val="20"/>
    </w:rPr>
  </w:style>
  <w:style w:type="character" w:styleId="FootnoteReference">
    <w:name w:val="footnote reference"/>
    <w:basedOn w:val="DefaultParagraphFont"/>
    <w:uiPriority w:val="99"/>
    <w:semiHidden/>
    <w:unhideWhenUsed/>
    <w:rsid w:val="002D5045"/>
    <w:rPr>
      <w:vertAlign w:val="superscript"/>
    </w:rPr>
  </w:style>
  <w:style w:type="character" w:customStyle="1" w:styleId="NoteChar">
    <w:name w:val="Note Char"/>
    <w:basedOn w:val="DefaultParagraphFont"/>
    <w:link w:val="Note"/>
    <w:uiPriority w:val="19"/>
    <w:rsid w:val="000A7971"/>
    <w:rPr>
      <w:rFonts w:ascii="Segoe UI" w:eastAsiaTheme="minorEastAsia" w:hAnsi="Segoe UI"/>
      <w:szCs w:val="18"/>
    </w:rPr>
  </w:style>
  <w:style w:type="paragraph" w:customStyle="1" w:styleId="Heading4NoToC">
    <w:name w:val="Heading 4 (No ToC)"/>
    <w:basedOn w:val="Heading4Numbered"/>
    <w:next w:val="Normal"/>
    <w:link w:val="Heading4NoToCChar"/>
    <w:autoRedefine/>
    <w:uiPriority w:val="18"/>
    <w:qFormat/>
    <w:rsid w:val="00427455"/>
    <w:rPr>
      <w:sz w:val="22"/>
    </w:rPr>
  </w:style>
  <w:style w:type="character" w:customStyle="1" w:styleId="Heading3NumberedChar">
    <w:name w:val="Heading 3 (Numbered) Char"/>
    <w:basedOn w:val="DefaultParagraphFont"/>
    <w:link w:val="Heading3Numbered"/>
    <w:uiPriority w:val="14"/>
    <w:rsid w:val="00E8563E"/>
    <w:rPr>
      <w:rFonts w:ascii="Segoe UI" w:hAnsi="Segoe UI"/>
      <w:color w:val="008AC8"/>
      <w:sz w:val="28"/>
      <w:szCs w:val="28"/>
    </w:rPr>
  </w:style>
  <w:style w:type="character" w:customStyle="1" w:styleId="Heading4NoToCChar">
    <w:name w:val="Heading 4 (No ToC) Char"/>
    <w:basedOn w:val="Heading3NumberedChar"/>
    <w:link w:val="Heading4NoToC"/>
    <w:uiPriority w:val="18"/>
    <w:rsid w:val="00E8563E"/>
    <w:rPr>
      <w:rFonts w:ascii="Segoe UI" w:hAnsi="Segoe UI"/>
      <w:color w:val="008AC8"/>
      <w:sz w:val="28"/>
      <w:szCs w:val="28"/>
    </w:rPr>
  </w:style>
  <w:style w:type="table" w:customStyle="1" w:styleId="TableGrid1">
    <w:name w:val="Table Grid1"/>
    <w:basedOn w:val="TableNormal"/>
    <w:next w:val="TableGrid"/>
    <w:uiPriority w:val="39"/>
    <w:rsid w:val="00AA17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AA17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954F07"/>
  </w:style>
  <w:style w:type="table" w:customStyle="1" w:styleId="ListTable4-Accent31">
    <w:name w:val="List Table 4 - Accent 31"/>
    <w:basedOn w:val="TableNormal"/>
    <w:uiPriority w:val="49"/>
    <w:rsid w:val="00954F07"/>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numbering" w:customStyle="1" w:styleId="BulletsTable9">
    <w:name w:val="Bullets Table9"/>
    <w:basedOn w:val="NoList"/>
    <w:rsid w:val="000110C3"/>
    <w:pPr>
      <w:numPr>
        <w:numId w:val="4"/>
      </w:numPr>
    </w:pPr>
  </w:style>
  <w:style w:type="paragraph" w:styleId="NoSpacing">
    <w:name w:val="No Spacing"/>
    <w:uiPriority w:val="1"/>
    <w:qFormat/>
    <w:rsid w:val="004339D1"/>
    <w:pPr>
      <w:spacing w:after="0" w:line="240" w:lineRule="auto"/>
    </w:pPr>
  </w:style>
  <w:style w:type="table" w:customStyle="1" w:styleId="GridTable1Light-Accent11">
    <w:name w:val="Grid Table 1 Light - Accent 11"/>
    <w:basedOn w:val="TableNormal"/>
    <w:uiPriority w:val="46"/>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GridTable4-Accent31">
    <w:name w:val="Grid Table 4 - Accent 31"/>
    <w:basedOn w:val="TableNormal"/>
    <w:uiPriority w:val="49"/>
    <w:rsid w:val="00E46DAE"/>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numbering" w:customStyle="1" w:styleId="HeadingNumbered">
    <w:name w:val="Heading Numbered"/>
    <w:basedOn w:val="111111"/>
    <w:uiPriority w:val="99"/>
    <w:rsid w:val="006F1B4B"/>
    <w:pPr>
      <w:numPr>
        <w:numId w:val="39"/>
      </w:numPr>
    </w:pPr>
  </w:style>
  <w:style w:type="table" w:styleId="LightList-Accent3">
    <w:name w:val="Light List Accent 3"/>
    <w:basedOn w:val="TableNormal"/>
    <w:uiPriority w:val="61"/>
    <w:rsid w:val="006F1B4B"/>
    <w:pPr>
      <w:spacing w:after="0" w:line="240" w:lineRule="auto"/>
    </w:pPr>
    <w:rPr>
      <w:rFonts w:ascii="Calibri" w:eastAsia="MS Mincho" w:hAnsi="Calibri" w:cs="Arial"/>
      <w:lang w:val="en-AU" w:eastAsia="en-AU"/>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customStyle="1" w:styleId="GridTable4-Accent41">
    <w:name w:val="Grid Table 4 - Accent 41"/>
    <w:basedOn w:val="TableNormal"/>
    <w:uiPriority w:val="49"/>
    <w:rsid w:val="006F1B4B"/>
    <w:pPr>
      <w:spacing w:after="0" w:line="240" w:lineRule="auto"/>
    </w:pPr>
    <w:rPr>
      <w:rFonts w:ascii="Calibri" w:eastAsia="MS Mincho" w:hAnsi="Calibri" w:cs="Arial"/>
      <w:lang w:val="en-AU" w:eastAsia="en-AU"/>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numbering" w:styleId="111111">
    <w:name w:val="Outline List 2"/>
    <w:basedOn w:val="NoList"/>
    <w:uiPriority w:val="99"/>
    <w:semiHidden/>
    <w:unhideWhenUsed/>
    <w:rsid w:val="006F1B4B"/>
    <w:pPr>
      <w:numPr>
        <w:numId w:val="39"/>
      </w:numPr>
    </w:pPr>
  </w:style>
  <w:style w:type="paragraph" w:customStyle="1" w:styleId="TableBody1">
    <w:name w:val="Table Body1"/>
    <w:basedOn w:val="Normal"/>
    <w:link w:val="TableBody1Char"/>
    <w:qFormat/>
    <w:rsid w:val="00414131"/>
    <w:rPr>
      <w:sz w:val="20"/>
    </w:rPr>
  </w:style>
  <w:style w:type="character" w:customStyle="1" w:styleId="TableBody1Char">
    <w:name w:val="Table Body1 Char"/>
    <w:basedOn w:val="DefaultParagraphFont"/>
    <w:link w:val="TableBody1"/>
    <w:rsid w:val="00414131"/>
    <w:rPr>
      <w:rFonts w:ascii="Segoe UI" w:eastAsiaTheme="minorEastAsia" w:hAnsi="Segoe UI"/>
      <w:sz w:val="20"/>
    </w:rPr>
  </w:style>
  <w:style w:type="paragraph" w:customStyle="1" w:styleId="NOTE0">
    <w:name w:val="NOTE"/>
    <w:basedOn w:val="Normal"/>
    <w:link w:val="NOTEChar0"/>
    <w:qFormat/>
    <w:rsid w:val="0009388B"/>
    <w:pPr>
      <w:pBdr>
        <w:left w:val="single" w:sz="12" w:space="4" w:color="ED7D31" w:themeColor="accent2"/>
      </w:pBdr>
      <w:spacing w:before="0" w:after="160" w:line="259" w:lineRule="auto"/>
    </w:pPr>
    <w:rPr>
      <w:rFonts w:asciiTheme="minorHAnsi" w:eastAsiaTheme="minorHAnsi" w:hAnsiTheme="minorHAnsi"/>
    </w:rPr>
  </w:style>
  <w:style w:type="character" w:customStyle="1" w:styleId="NOTEChar0">
    <w:name w:val="NOTE Char"/>
    <w:basedOn w:val="DefaultParagraphFont"/>
    <w:link w:val="NOTE0"/>
    <w:rsid w:val="0009388B"/>
  </w:style>
  <w:style w:type="table" w:customStyle="1" w:styleId="GridTable5Dark-Accent11">
    <w:name w:val="Grid Table 5 Dark - Accent 11"/>
    <w:basedOn w:val="TableNormal"/>
    <w:uiPriority w:val="50"/>
    <w:rsid w:val="007F388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GridTable4-Accent51">
    <w:name w:val="Grid Table 4 - Accent 51"/>
    <w:basedOn w:val="TableNormal"/>
    <w:uiPriority w:val="49"/>
    <w:rsid w:val="007F388B"/>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4-Accent11">
    <w:name w:val="Grid Table 4 - Accent 11"/>
    <w:basedOn w:val="TableNormal"/>
    <w:uiPriority w:val="49"/>
    <w:rsid w:val="007F388B"/>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3-Accent51">
    <w:name w:val="Grid Table 3 - Accent 51"/>
    <w:basedOn w:val="TableNormal"/>
    <w:uiPriority w:val="48"/>
    <w:rsid w:val="007F388B"/>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customStyle="1" w:styleId="GridTable5Dark-Accent51">
    <w:name w:val="Grid Table 5 Dark - Accent 51"/>
    <w:basedOn w:val="TableNormal"/>
    <w:uiPriority w:val="50"/>
    <w:rsid w:val="007F388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styleId="Revision">
    <w:name w:val="Revision"/>
    <w:hidden/>
    <w:uiPriority w:val="99"/>
    <w:semiHidden/>
    <w:rsid w:val="007F388B"/>
    <w:pPr>
      <w:spacing w:after="0" w:line="240" w:lineRule="auto"/>
    </w:pPr>
    <w:rPr>
      <w:rFonts w:ascii="Segoe UI" w:eastAsiaTheme="minorEastAsia" w:hAnsi="Segoe UI"/>
    </w:rPr>
  </w:style>
  <w:style w:type="table" w:customStyle="1" w:styleId="PlainTable11">
    <w:name w:val="Plain Table 11"/>
    <w:basedOn w:val="TableNormal"/>
    <w:uiPriority w:val="41"/>
    <w:rsid w:val="00E3661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5Dark-Accent31">
    <w:name w:val="Grid Table 5 Dark - Accent 31"/>
    <w:basedOn w:val="TableNormal"/>
    <w:uiPriority w:val="50"/>
    <w:rsid w:val="00E3661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Style2">
    <w:name w:val="Style2"/>
    <w:basedOn w:val="Heading4Numbered"/>
    <w:link w:val="Style2Char"/>
    <w:qFormat/>
    <w:rsid w:val="001C4D03"/>
    <w:pPr>
      <w:numPr>
        <w:ilvl w:val="3"/>
        <w:numId w:val="64"/>
      </w:numPr>
    </w:pPr>
  </w:style>
  <w:style w:type="character" w:customStyle="1" w:styleId="Heading4NumberedChar">
    <w:name w:val="Heading 4 (Numbered) Char"/>
    <w:basedOn w:val="DefaultParagraphFont"/>
    <w:link w:val="Heading4Numbered"/>
    <w:rsid w:val="001C4D03"/>
    <w:rPr>
      <w:rFonts w:ascii="Segoe UI" w:hAnsi="Segoe UI"/>
      <w:color w:val="008AC8"/>
      <w:sz w:val="24"/>
    </w:rPr>
  </w:style>
  <w:style w:type="character" w:customStyle="1" w:styleId="Style2Char">
    <w:name w:val="Style2 Char"/>
    <w:basedOn w:val="Heading4NumberedChar"/>
    <w:link w:val="Style2"/>
    <w:rsid w:val="001C4D03"/>
    <w:rPr>
      <w:rFonts w:ascii="Segoe UI" w:hAnsi="Segoe UI"/>
      <w:color w:val="008AC8"/>
      <w:sz w:val="24"/>
    </w:rPr>
  </w:style>
  <w:style w:type="character" w:customStyle="1" w:styleId="CaptionChar">
    <w:name w:val="Caption Char"/>
    <w:aliases w:val="PMO Caption Char"/>
    <w:basedOn w:val="DefaultParagraphFont"/>
    <w:link w:val="Caption"/>
    <w:rsid w:val="00B06F58"/>
    <w:rPr>
      <w:rFonts w:ascii="Segoe UI" w:eastAsiaTheme="minorEastAsia" w:hAnsi="Segoe UI"/>
      <w:i/>
      <w:iCs/>
      <w:color w:val="44546A" w:themeColor="text2"/>
      <w:sz w:val="18"/>
      <w:szCs w:val="18"/>
    </w:rPr>
  </w:style>
  <w:style w:type="table" w:customStyle="1" w:styleId="ListTable31">
    <w:name w:val="List Table 31"/>
    <w:basedOn w:val="TableNormal"/>
    <w:uiPriority w:val="48"/>
    <w:rsid w:val="00245066"/>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pl-s">
    <w:name w:val="pl-s"/>
    <w:basedOn w:val="DefaultParagraphFont"/>
    <w:rsid w:val="00F82036"/>
  </w:style>
  <w:style w:type="character" w:customStyle="1" w:styleId="pl-pds">
    <w:name w:val="pl-pds"/>
    <w:basedOn w:val="DefaultParagraphFont"/>
    <w:rsid w:val="00F82036"/>
  </w:style>
  <w:style w:type="paragraph" w:styleId="HTMLPreformatted">
    <w:name w:val="HTML Preformatted"/>
    <w:basedOn w:val="Normal"/>
    <w:link w:val="HTMLPreformattedChar"/>
    <w:uiPriority w:val="99"/>
    <w:unhideWhenUsed/>
    <w:rsid w:val="002A22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2A2257"/>
    <w:rPr>
      <w:rFonts w:ascii="Courier New" w:eastAsia="Times New Roman" w:hAnsi="Courier New" w:cs="Courier New"/>
      <w:sz w:val="20"/>
      <w:szCs w:val="20"/>
    </w:rPr>
  </w:style>
  <w:style w:type="character" w:customStyle="1" w:styleId="pln">
    <w:name w:val="pln"/>
    <w:basedOn w:val="DefaultParagraphFont"/>
    <w:rsid w:val="002A2257"/>
  </w:style>
  <w:style w:type="character" w:customStyle="1" w:styleId="pun">
    <w:name w:val="pun"/>
    <w:basedOn w:val="DefaultParagraphFont"/>
    <w:rsid w:val="002A2257"/>
  </w:style>
  <w:style w:type="character" w:customStyle="1" w:styleId="str">
    <w:name w:val="str"/>
    <w:basedOn w:val="DefaultParagraphFont"/>
    <w:rsid w:val="002A2257"/>
  </w:style>
  <w:style w:type="character" w:customStyle="1" w:styleId="typ">
    <w:name w:val="typ"/>
    <w:basedOn w:val="DefaultParagraphFont"/>
    <w:rsid w:val="002A2257"/>
  </w:style>
  <w:style w:type="table" w:customStyle="1" w:styleId="TableGridLight11">
    <w:name w:val="Table Grid Light11"/>
    <w:basedOn w:val="TableNormal"/>
    <w:uiPriority w:val="40"/>
    <w:rsid w:val="004B6D04"/>
    <w:pPr>
      <w:spacing w:after="0" w:line="240" w:lineRule="auto"/>
    </w:pPr>
    <w:rPr>
      <w:rFonts w:ascii="Calibri" w:eastAsia="MS Mincho" w:hAnsi="Calibri" w:cs="Arial"/>
      <w:lang w:val="en-AU" w:eastAsia="en-A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Light12">
    <w:name w:val="Table Grid Light12"/>
    <w:basedOn w:val="TableNormal"/>
    <w:uiPriority w:val="40"/>
    <w:rsid w:val="00426F3B"/>
    <w:pPr>
      <w:spacing w:after="0" w:line="240" w:lineRule="auto"/>
    </w:pPr>
    <w:rPr>
      <w:rFonts w:ascii="Calibri" w:eastAsia="MS Mincho" w:hAnsi="Calibri" w:cs="Arial"/>
      <w:lang w:val="en-AU" w:eastAsia="en-A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53704">
      <w:bodyDiv w:val="1"/>
      <w:marLeft w:val="0"/>
      <w:marRight w:val="0"/>
      <w:marTop w:val="0"/>
      <w:marBottom w:val="0"/>
      <w:divBdr>
        <w:top w:val="none" w:sz="0" w:space="0" w:color="auto"/>
        <w:left w:val="none" w:sz="0" w:space="0" w:color="auto"/>
        <w:bottom w:val="none" w:sz="0" w:space="0" w:color="auto"/>
        <w:right w:val="none" w:sz="0" w:space="0" w:color="auto"/>
      </w:divBdr>
      <w:divsChild>
        <w:div w:id="1992824623">
          <w:marLeft w:val="0"/>
          <w:marRight w:val="0"/>
          <w:marTop w:val="0"/>
          <w:marBottom w:val="0"/>
          <w:divBdr>
            <w:top w:val="none" w:sz="0" w:space="0" w:color="auto"/>
            <w:left w:val="none" w:sz="0" w:space="0" w:color="auto"/>
            <w:bottom w:val="none" w:sz="0" w:space="0" w:color="auto"/>
            <w:right w:val="none" w:sz="0" w:space="0" w:color="auto"/>
          </w:divBdr>
          <w:divsChild>
            <w:div w:id="1654724115">
              <w:marLeft w:val="0"/>
              <w:marRight w:val="0"/>
              <w:marTop w:val="0"/>
              <w:marBottom w:val="0"/>
              <w:divBdr>
                <w:top w:val="none" w:sz="0" w:space="0" w:color="auto"/>
                <w:left w:val="none" w:sz="0" w:space="0" w:color="auto"/>
                <w:bottom w:val="none" w:sz="0" w:space="0" w:color="auto"/>
                <w:right w:val="none" w:sz="0" w:space="0" w:color="auto"/>
              </w:divBdr>
              <w:divsChild>
                <w:div w:id="1520118292">
                  <w:marLeft w:val="3360"/>
                  <w:marRight w:val="0"/>
                  <w:marTop w:val="0"/>
                  <w:marBottom w:val="0"/>
                  <w:divBdr>
                    <w:top w:val="none" w:sz="0" w:space="0" w:color="auto"/>
                    <w:left w:val="none" w:sz="0" w:space="0" w:color="auto"/>
                    <w:bottom w:val="none" w:sz="0" w:space="0" w:color="auto"/>
                    <w:right w:val="none" w:sz="0" w:space="0" w:color="auto"/>
                  </w:divBdr>
                  <w:divsChild>
                    <w:div w:id="324482621">
                      <w:marLeft w:val="0"/>
                      <w:marRight w:val="0"/>
                      <w:marTop w:val="0"/>
                      <w:marBottom w:val="0"/>
                      <w:divBdr>
                        <w:top w:val="none" w:sz="0" w:space="0" w:color="auto"/>
                        <w:left w:val="none" w:sz="0" w:space="0" w:color="auto"/>
                        <w:bottom w:val="none" w:sz="0" w:space="0" w:color="auto"/>
                        <w:right w:val="none" w:sz="0" w:space="0" w:color="auto"/>
                      </w:divBdr>
                      <w:divsChild>
                        <w:div w:id="68503504">
                          <w:marLeft w:val="0"/>
                          <w:marRight w:val="0"/>
                          <w:marTop w:val="0"/>
                          <w:marBottom w:val="0"/>
                          <w:divBdr>
                            <w:top w:val="none" w:sz="0" w:space="0" w:color="auto"/>
                            <w:left w:val="none" w:sz="0" w:space="0" w:color="auto"/>
                            <w:bottom w:val="none" w:sz="0" w:space="0" w:color="auto"/>
                            <w:right w:val="none" w:sz="0" w:space="0" w:color="auto"/>
                          </w:divBdr>
                          <w:divsChild>
                            <w:div w:id="342240880">
                              <w:marLeft w:val="0"/>
                              <w:marRight w:val="0"/>
                              <w:marTop w:val="0"/>
                              <w:marBottom w:val="0"/>
                              <w:divBdr>
                                <w:top w:val="none" w:sz="0" w:space="0" w:color="auto"/>
                                <w:left w:val="none" w:sz="0" w:space="0" w:color="auto"/>
                                <w:bottom w:val="none" w:sz="0" w:space="0" w:color="auto"/>
                                <w:right w:val="none" w:sz="0" w:space="0" w:color="auto"/>
                              </w:divBdr>
                              <w:divsChild>
                                <w:div w:id="1093207875">
                                  <w:marLeft w:val="0"/>
                                  <w:marRight w:val="0"/>
                                  <w:marTop w:val="0"/>
                                  <w:marBottom w:val="0"/>
                                  <w:divBdr>
                                    <w:top w:val="none" w:sz="0" w:space="0" w:color="auto"/>
                                    <w:left w:val="none" w:sz="0" w:space="0" w:color="auto"/>
                                    <w:bottom w:val="none" w:sz="0" w:space="0" w:color="auto"/>
                                    <w:right w:val="none" w:sz="0" w:space="0" w:color="auto"/>
                                  </w:divBdr>
                                  <w:divsChild>
                                    <w:div w:id="429813836">
                                      <w:marLeft w:val="0"/>
                                      <w:marRight w:val="0"/>
                                      <w:marTop w:val="0"/>
                                      <w:marBottom w:val="0"/>
                                      <w:divBdr>
                                        <w:top w:val="none" w:sz="0" w:space="0" w:color="auto"/>
                                        <w:left w:val="none" w:sz="0" w:space="0" w:color="auto"/>
                                        <w:bottom w:val="none" w:sz="0" w:space="0" w:color="auto"/>
                                        <w:right w:val="none" w:sz="0" w:space="0" w:color="auto"/>
                                      </w:divBdr>
                                      <w:divsChild>
                                        <w:div w:id="611933311">
                                          <w:marLeft w:val="0"/>
                                          <w:marRight w:val="0"/>
                                          <w:marTop w:val="0"/>
                                          <w:marBottom w:val="0"/>
                                          <w:divBdr>
                                            <w:top w:val="none" w:sz="0" w:space="0" w:color="auto"/>
                                            <w:left w:val="none" w:sz="0" w:space="0" w:color="auto"/>
                                            <w:bottom w:val="none" w:sz="0" w:space="0" w:color="auto"/>
                                            <w:right w:val="none" w:sz="0" w:space="0" w:color="auto"/>
                                          </w:divBdr>
                                          <w:divsChild>
                                            <w:div w:id="803545421">
                                              <w:marLeft w:val="0"/>
                                              <w:marRight w:val="0"/>
                                              <w:marTop w:val="0"/>
                                              <w:marBottom w:val="0"/>
                                              <w:divBdr>
                                                <w:top w:val="none" w:sz="0" w:space="0" w:color="auto"/>
                                                <w:left w:val="none" w:sz="0" w:space="0" w:color="auto"/>
                                                <w:bottom w:val="none" w:sz="0" w:space="0" w:color="auto"/>
                                                <w:right w:val="none" w:sz="0" w:space="0" w:color="auto"/>
                                              </w:divBdr>
                                              <w:divsChild>
                                                <w:div w:id="176942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11461">
      <w:bodyDiv w:val="1"/>
      <w:marLeft w:val="0"/>
      <w:marRight w:val="0"/>
      <w:marTop w:val="0"/>
      <w:marBottom w:val="0"/>
      <w:divBdr>
        <w:top w:val="none" w:sz="0" w:space="0" w:color="auto"/>
        <w:left w:val="none" w:sz="0" w:space="0" w:color="auto"/>
        <w:bottom w:val="none" w:sz="0" w:space="0" w:color="auto"/>
        <w:right w:val="none" w:sz="0" w:space="0" w:color="auto"/>
      </w:divBdr>
      <w:divsChild>
        <w:div w:id="525873048">
          <w:marLeft w:val="0"/>
          <w:marRight w:val="0"/>
          <w:marTop w:val="0"/>
          <w:marBottom w:val="0"/>
          <w:divBdr>
            <w:top w:val="none" w:sz="0" w:space="0" w:color="auto"/>
            <w:left w:val="none" w:sz="0" w:space="0" w:color="auto"/>
            <w:bottom w:val="none" w:sz="0" w:space="0" w:color="auto"/>
            <w:right w:val="none" w:sz="0" w:space="0" w:color="auto"/>
          </w:divBdr>
          <w:divsChild>
            <w:div w:id="361782756">
              <w:marLeft w:val="0"/>
              <w:marRight w:val="0"/>
              <w:marTop w:val="0"/>
              <w:marBottom w:val="0"/>
              <w:divBdr>
                <w:top w:val="none" w:sz="0" w:space="0" w:color="auto"/>
                <w:left w:val="none" w:sz="0" w:space="0" w:color="auto"/>
                <w:bottom w:val="none" w:sz="0" w:space="0" w:color="auto"/>
                <w:right w:val="none" w:sz="0" w:space="0" w:color="auto"/>
              </w:divBdr>
              <w:divsChild>
                <w:div w:id="2060981804">
                  <w:marLeft w:val="0"/>
                  <w:marRight w:val="0"/>
                  <w:marTop w:val="0"/>
                  <w:marBottom w:val="0"/>
                  <w:divBdr>
                    <w:top w:val="none" w:sz="0" w:space="0" w:color="auto"/>
                    <w:left w:val="none" w:sz="0" w:space="0" w:color="auto"/>
                    <w:bottom w:val="none" w:sz="0" w:space="0" w:color="auto"/>
                    <w:right w:val="none" w:sz="0" w:space="0" w:color="auto"/>
                  </w:divBdr>
                  <w:divsChild>
                    <w:div w:id="372342766">
                      <w:marLeft w:val="0"/>
                      <w:marRight w:val="0"/>
                      <w:marTop w:val="0"/>
                      <w:marBottom w:val="0"/>
                      <w:divBdr>
                        <w:top w:val="none" w:sz="0" w:space="0" w:color="auto"/>
                        <w:left w:val="none" w:sz="0" w:space="0" w:color="auto"/>
                        <w:bottom w:val="none" w:sz="0" w:space="0" w:color="auto"/>
                        <w:right w:val="none" w:sz="0" w:space="0" w:color="auto"/>
                      </w:divBdr>
                      <w:divsChild>
                        <w:div w:id="1011883140">
                          <w:marLeft w:val="0"/>
                          <w:marRight w:val="0"/>
                          <w:marTop w:val="0"/>
                          <w:marBottom w:val="0"/>
                          <w:divBdr>
                            <w:top w:val="none" w:sz="0" w:space="0" w:color="auto"/>
                            <w:left w:val="none" w:sz="0" w:space="0" w:color="auto"/>
                            <w:bottom w:val="none" w:sz="0" w:space="0" w:color="auto"/>
                            <w:right w:val="none" w:sz="0" w:space="0" w:color="auto"/>
                          </w:divBdr>
                          <w:divsChild>
                            <w:div w:id="1393695577">
                              <w:marLeft w:val="150"/>
                              <w:marRight w:val="150"/>
                              <w:marTop w:val="150"/>
                              <w:marBottom w:val="150"/>
                              <w:divBdr>
                                <w:top w:val="none" w:sz="0" w:space="0" w:color="auto"/>
                                <w:left w:val="none" w:sz="0" w:space="0" w:color="auto"/>
                                <w:bottom w:val="none" w:sz="0" w:space="0" w:color="auto"/>
                                <w:right w:val="none" w:sz="0" w:space="0" w:color="auto"/>
                              </w:divBdr>
                              <w:divsChild>
                                <w:div w:id="321616727">
                                  <w:marLeft w:val="0"/>
                                  <w:marRight w:val="0"/>
                                  <w:marTop w:val="0"/>
                                  <w:marBottom w:val="0"/>
                                  <w:divBdr>
                                    <w:top w:val="none" w:sz="0" w:space="0" w:color="auto"/>
                                    <w:left w:val="none" w:sz="0" w:space="0" w:color="auto"/>
                                    <w:bottom w:val="none" w:sz="0" w:space="0" w:color="auto"/>
                                    <w:right w:val="none" w:sz="0" w:space="0" w:color="auto"/>
                                  </w:divBdr>
                                  <w:divsChild>
                                    <w:div w:id="1281179376">
                                      <w:marLeft w:val="0"/>
                                      <w:marRight w:val="0"/>
                                      <w:marTop w:val="0"/>
                                      <w:marBottom w:val="0"/>
                                      <w:divBdr>
                                        <w:top w:val="none" w:sz="0" w:space="0" w:color="auto"/>
                                        <w:left w:val="none" w:sz="0" w:space="0" w:color="auto"/>
                                        <w:bottom w:val="none" w:sz="0" w:space="0" w:color="auto"/>
                                        <w:right w:val="none" w:sz="0" w:space="0" w:color="auto"/>
                                      </w:divBdr>
                                      <w:divsChild>
                                        <w:div w:id="785005771">
                                          <w:marLeft w:val="0"/>
                                          <w:marRight w:val="0"/>
                                          <w:marTop w:val="0"/>
                                          <w:marBottom w:val="0"/>
                                          <w:divBdr>
                                            <w:top w:val="none" w:sz="0" w:space="0" w:color="auto"/>
                                            <w:left w:val="none" w:sz="0" w:space="0" w:color="auto"/>
                                            <w:bottom w:val="none" w:sz="0" w:space="0" w:color="auto"/>
                                            <w:right w:val="none" w:sz="0" w:space="0" w:color="auto"/>
                                          </w:divBdr>
                                          <w:divsChild>
                                            <w:div w:id="182015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3043743">
      <w:bodyDiv w:val="1"/>
      <w:marLeft w:val="0"/>
      <w:marRight w:val="0"/>
      <w:marTop w:val="0"/>
      <w:marBottom w:val="0"/>
      <w:divBdr>
        <w:top w:val="none" w:sz="0" w:space="0" w:color="auto"/>
        <w:left w:val="none" w:sz="0" w:space="0" w:color="auto"/>
        <w:bottom w:val="none" w:sz="0" w:space="0" w:color="auto"/>
        <w:right w:val="none" w:sz="0" w:space="0" w:color="auto"/>
      </w:divBdr>
      <w:divsChild>
        <w:div w:id="1949266071">
          <w:marLeft w:val="0"/>
          <w:marRight w:val="0"/>
          <w:marTop w:val="0"/>
          <w:marBottom w:val="0"/>
          <w:divBdr>
            <w:top w:val="none" w:sz="0" w:space="0" w:color="auto"/>
            <w:left w:val="none" w:sz="0" w:space="0" w:color="auto"/>
            <w:bottom w:val="none" w:sz="0" w:space="0" w:color="auto"/>
            <w:right w:val="none" w:sz="0" w:space="0" w:color="auto"/>
          </w:divBdr>
          <w:divsChild>
            <w:div w:id="531964256">
              <w:marLeft w:val="0"/>
              <w:marRight w:val="0"/>
              <w:marTop w:val="0"/>
              <w:marBottom w:val="0"/>
              <w:divBdr>
                <w:top w:val="none" w:sz="0" w:space="0" w:color="auto"/>
                <w:left w:val="none" w:sz="0" w:space="0" w:color="auto"/>
                <w:bottom w:val="none" w:sz="0" w:space="0" w:color="auto"/>
                <w:right w:val="none" w:sz="0" w:space="0" w:color="auto"/>
              </w:divBdr>
              <w:divsChild>
                <w:div w:id="462384440">
                  <w:marLeft w:val="4200"/>
                  <w:marRight w:val="0"/>
                  <w:marTop w:val="0"/>
                  <w:marBottom w:val="0"/>
                  <w:divBdr>
                    <w:top w:val="none" w:sz="0" w:space="0" w:color="auto"/>
                    <w:left w:val="none" w:sz="0" w:space="0" w:color="auto"/>
                    <w:bottom w:val="none" w:sz="0" w:space="0" w:color="auto"/>
                    <w:right w:val="none" w:sz="0" w:space="0" w:color="auto"/>
                  </w:divBdr>
                  <w:divsChild>
                    <w:div w:id="190147192">
                      <w:marLeft w:val="0"/>
                      <w:marRight w:val="0"/>
                      <w:marTop w:val="0"/>
                      <w:marBottom w:val="0"/>
                      <w:divBdr>
                        <w:top w:val="none" w:sz="0" w:space="0" w:color="auto"/>
                        <w:left w:val="none" w:sz="0" w:space="0" w:color="auto"/>
                        <w:bottom w:val="none" w:sz="0" w:space="0" w:color="auto"/>
                        <w:right w:val="none" w:sz="0" w:space="0" w:color="auto"/>
                      </w:divBdr>
                      <w:divsChild>
                        <w:div w:id="347106015">
                          <w:marLeft w:val="0"/>
                          <w:marRight w:val="0"/>
                          <w:marTop w:val="0"/>
                          <w:marBottom w:val="0"/>
                          <w:divBdr>
                            <w:top w:val="none" w:sz="0" w:space="0" w:color="auto"/>
                            <w:left w:val="none" w:sz="0" w:space="0" w:color="auto"/>
                            <w:bottom w:val="none" w:sz="0" w:space="0" w:color="auto"/>
                            <w:right w:val="none" w:sz="0" w:space="0" w:color="auto"/>
                          </w:divBdr>
                          <w:divsChild>
                            <w:div w:id="1260067485">
                              <w:marLeft w:val="0"/>
                              <w:marRight w:val="0"/>
                              <w:marTop w:val="0"/>
                              <w:marBottom w:val="0"/>
                              <w:divBdr>
                                <w:top w:val="none" w:sz="0" w:space="0" w:color="auto"/>
                                <w:left w:val="none" w:sz="0" w:space="0" w:color="auto"/>
                                <w:bottom w:val="none" w:sz="0" w:space="0" w:color="auto"/>
                                <w:right w:val="none" w:sz="0" w:space="0" w:color="auto"/>
                              </w:divBdr>
                              <w:divsChild>
                                <w:div w:id="23291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3049065">
      <w:bodyDiv w:val="1"/>
      <w:marLeft w:val="0"/>
      <w:marRight w:val="0"/>
      <w:marTop w:val="0"/>
      <w:marBottom w:val="0"/>
      <w:divBdr>
        <w:top w:val="none" w:sz="0" w:space="0" w:color="auto"/>
        <w:left w:val="none" w:sz="0" w:space="0" w:color="auto"/>
        <w:bottom w:val="none" w:sz="0" w:space="0" w:color="auto"/>
        <w:right w:val="none" w:sz="0" w:space="0" w:color="auto"/>
      </w:divBdr>
    </w:div>
    <w:div w:id="53235631">
      <w:bodyDiv w:val="1"/>
      <w:marLeft w:val="0"/>
      <w:marRight w:val="0"/>
      <w:marTop w:val="0"/>
      <w:marBottom w:val="0"/>
      <w:divBdr>
        <w:top w:val="none" w:sz="0" w:space="0" w:color="auto"/>
        <w:left w:val="none" w:sz="0" w:space="0" w:color="auto"/>
        <w:bottom w:val="none" w:sz="0" w:space="0" w:color="auto"/>
        <w:right w:val="none" w:sz="0" w:space="0" w:color="auto"/>
      </w:divBdr>
      <w:divsChild>
        <w:div w:id="2031760528">
          <w:marLeft w:val="0"/>
          <w:marRight w:val="0"/>
          <w:marTop w:val="0"/>
          <w:marBottom w:val="0"/>
          <w:divBdr>
            <w:top w:val="none" w:sz="0" w:space="0" w:color="auto"/>
            <w:left w:val="none" w:sz="0" w:space="0" w:color="auto"/>
            <w:bottom w:val="none" w:sz="0" w:space="0" w:color="auto"/>
            <w:right w:val="none" w:sz="0" w:space="0" w:color="auto"/>
          </w:divBdr>
          <w:divsChild>
            <w:div w:id="1559392157">
              <w:marLeft w:val="0"/>
              <w:marRight w:val="0"/>
              <w:marTop w:val="0"/>
              <w:marBottom w:val="0"/>
              <w:divBdr>
                <w:top w:val="none" w:sz="0" w:space="0" w:color="auto"/>
                <w:left w:val="none" w:sz="0" w:space="0" w:color="auto"/>
                <w:bottom w:val="none" w:sz="0" w:space="0" w:color="auto"/>
                <w:right w:val="none" w:sz="0" w:space="0" w:color="auto"/>
              </w:divBdr>
              <w:divsChild>
                <w:div w:id="238491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349906">
      <w:bodyDiv w:val="1"/>
      <w:marLeft w:val="0"/>
      <w:marRight w:val="0"/>
      <w:marTop w:val="0"/>
      <w:marBottom w:val="0"/>
      <w:divBdr>
        <w:top w:val="none" w:sz="0" w:space="0" w:color="auto"/>
        <w:left w:val="none" w:sz="0" w:space="0" w:color="auto"/>
        <w:bottom w:val="none" w:sz="0" w:space="0" w:color="auto"/>
        <w:right w:val="none" w:sz="0" w:space="0" w:color="auto"/>
      </w:divBdr>
      <w:divsChild>
        <w:div w:id="1038237871">
          <w:marLeft w:val="0"/>
          <w:marRight w:val="0"/>
          <w:marTop w:val="0"/>
          <w:marBottom w:val="0"/>
          <w:divBdr>
            <w:top w:val="none" w:sz="0" w:space="0" w:color="auto"/>
            <w:left w:val="none" w:sz="0" w:space="0" w:color="auto"/>
            <w:bottom w:val="none" w:sz="0" w:space="0" w:color="auto"/>
            <w:right w:val="none" w:sz="0" w:space="0" w:color="auto"/>
          </w:divBdr>
          <w:divsChild>
            <w:div w:id="1770465117">
              <w:marLeft w:val="4"/>
              <w:marRight w:val="4"/>
              <w:marTop w:val="0"/>
              <w:marBottom w:val="0"/>
              <w:divBdr>
                <w:top w:val="none" w:sz="0" w:space="0" w:color="auto"/>
                <w:left w:val="none" w:sz="0" w:space="0" w:color="auto"/>
                <w:bottom w:val="none" w:sz="0" w:space="0" w:color="auto"/>
                <w:right w:val="none" w:sz="0" w:space="0" w:color="auto"/>
              </w:divBdr>
              <w:divsChild>
                <w:div w:id="1164512103">
                  <w:marLeft w:val="0"/>
                  <w:marRight w:val="0"/>
                  <w:marTop w:val="4"/>
                  <w:marBottom w:val="0"/>
                  <w:divBdr>
                    <w:top w:val="none" w:sz="0" w:space="0" w:color="auto"/>
                    <w:left w:val="none" w:sz="0" w:space="0" w:color="auto"/>
                    <w:bottom w:val="none" w:sz="0" w:space="0" w:color="auto"/>
                    <w:right w:val="none" w:sz="0" w:space="0" w:color="auto"/>
                  </w:divBdr>
                </w:div>
              </w:divsChild>
            </w:div>
          </w:divsChild>
        </w:div>
      </w:divsChild>
    </w:div>
    <w:div w:id="81490312">
      <w:bodyDiv w:val="1"/>
      <w:marLeft w:val="0"/>
      <w:marRight w:val="0"/>
      <w:marTop w:val="0"/>
      <w:marBottom w:val="0"/>
      <w:divBdr>
        <w:top w:val="none" w:sz="0" w:space="0" w:color="auto"/>
        <w:left w:val="none" w:sz="0" w:space="0" w:color="auto"/>
        <w:bottom w:val="none" w:sz="0" w:space="0" w:color="auto"/>
        <w:right w:val="none" w:sz="0" w:space="0" w:color="auto"/>
      </w:divBdr>
      <w:divsChild>
        <w:div w:id="519779201">
          <w:marLeft w:val="0"/>
          <w:marRight w:val="0"/>
          <w:marTop w:val="0"/>
          <w:marBottom w:val="0"/>
          <w:divBdr>
            <w:top w:val="none" w:sz="0" w:space="0" w:color="auto"/>
            <w:left w:val="none" w:sz="0" w:space="0" w:color="auto"/>
            <w:bottom w:val="none" w:sz="0" w:space="0" w:color="auto"/>
            <w:right w:val="none" w:sz="0" w:space="0" w:color="auto"/>
          </w:divBdr>
          <w:divsChild>
            <w:div w:id="1731224647">
              <w:marLeft w:val="0"/>
              <w:marRight w:val="0"/>
              <w:marTop w:val="0"/>
              <w:marBottom w:val="0"/>
              <w:divBdr>
                <w:top w:val="none" w:sz="0" w:space="0" w:color="auto"/>
                <w:left w:val="none" w:sz="0" w:space="0" w:color="auto"/>
                <w:bottom w:val="none" w:sz="0" w:space="0" w:color="auto"/>
                <w:right w:val="none" w:sz="0" w:space="0" w:color="auto"/>
              </w:divBdr>
              <w:divsChild>
                <w:div w:id="1832679028">
                  <w:marLeft w:val="0"/>
                  <w:marRight w:val="0"/>
                  <w:marTop w:val="0"/>
                  <w:marBottom w:val="0"/>
                  <w:divBdr>
                    <w:top w:val="none" w:sz="0" w:space="0" w:color="auto"/>
                    <w:left w:val="none" w:sz="0" w:space="0" w:color="auto"/>
                    <w:bottom w:val="none" w:sz="0" w:space="0" w:color="auto"/>
                    <w:right w:val="none" w:sz="0" w:space="0" w:color="auto"/>
                  </w:divBdr>
                  <w:divsChild>
                    <w:div w:id="859390993">
                      <w:marLeft w:val="0"/>
                      <w:marRight w:val="0"/>
                      <w:marTop w:val="0"/>
                      <w:marBottom w:val="0"/>
                      <w:divBdr>
                        <w:top w:val="none" w:sz="0" w:space="0" w:color="auto"/>
                        <w:left w:val="none" w:sz="0" w:space="0" w:color="auto"/>
                        <w:bottom w:val="none" w:sz="0" w:space="0" w:color="auto"/>
                        <w:right w:val="none" w:sz="0" w:space="0" w:color="auto"/>
                      </w:divBdr>
                      <w:divsChild>
                        <w:div w:id="2132900770">
                          <w:marLeft w:val="0"/>
                          <w:marRight w:val="0"/>
                          <w:marTop w:val="0"/>
                          <w:marBottom w:val="0"/>
                          <w:divBdr>
                            <w:top w:val="none" w:sz="0" w:space="0" w:color="auto"/>
                            <w:left w:val="none" w:sz="0" w:space="0" w:color="auto"/>
                            <w:bottom w:val="none" w:sz="0" w:space="0" w:color="auto"/>
                            <w:right w:val="none" w:sz="0" w:space="0" w:color="auto"/>
                          </w:divBdr>
                          <w:divsChild>
                            <w:div w:id="1728410485">
                              <w:marLeft w:val="150"/>
                              <w:marRight w:val="150"/>
                              <w:marTop w:val="150"/>
                              <w:marBottom w:val="150"/>
                              <w:divBdr>
                                <w:top w:val="none" w:sz="0" w:space="0" w:color="auto"/>
                                <w:left w:val="none" w:sz="0" w:space="0" w:color="auto"/>
                                <w:bottom w:val="none" w:sz="0" w:space="0" w:color="auto"/>
                                <w:right w:val="none" w:sz="0" w:space="0" w:color="auto"/>
                              </w:divBdr>
                              <w:divsChild>
                                <w:div w:id="1337463428">
                                  <w:marLeft w:val="0"/>
                                  <w:marRight w:val="0"/>
                                  <w:marTop w:val="0"/>
                                  <w:marBottom w:val="0"/>
                                  <w:divBdr>
                                    <w:top w:val="none" w:sz="0" w:space="0" w:color="auto"/>
                                    <w:left w:val="none" w:sz="0" w:space="0" w:color="auto"/>
                                    <w:bottom w:val="none" w:sz="0" w:space="0" w:color="auto"/>
                                    <w:right w:val="none" w:sz="0" w:space="0" w:color="auto"/>
                                  </w:divBdr>
                                  <w:divsChild>
                                    <w:div w:id="2012369361">
                                      <w:marLeft w:val="0"/>
                                      <w:marRight w:val="0"/>
                                      <w:marTop w:val="0"/>
                                      <w:marBottom w:val="0"/>
                                      <w:divBdr>
                                        <w:top w:val="none" w:sz="0" w:space="0" w:color="auto"/>
                                        <w:left w:val="none" w:sz="0" w:space="0" w:color="auto"/>
                                        <w:bottom w:val="none" w:sz="0" w:space="0" w:color="auto"/>
                                        <w:right w:val="none" w:sz="0" w:space="0" w:color="auto"/>
                                      </w:divBdr>
                                      <w:divsChild>
                                        <w:div w:id="1687511570">
                                          <w:marLeft w:val="0"/>
                                          <w:marRight w:val="0"/>
                                          <w:marTop w:val="0"/>
                                          <w:marBottom w:val="0"/>
                                          <w:divBdr>
                                            <w:top w:val="none" w:sz="0" w:space="0" w:color="auto"/>
                                            <w:left w:val="none" w:sz="0" w:space="0" w:color="auto"/>
                                            <w:bottom w:val="none" w:sz="0" w:space="0" w:color="auto"/>
                                            <w:right w:val="none" w:sz="0" w:space="0" w:color="auto"/>
                                          </w:divBdr>
                                          <w:divsChild>
                                            <w:div w:id="482939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6368788">
      <w:bodyDiv w:val="1"/>
      <w:marLeft w:val="0"/>
      <w:marRight w:val="0"/>
      <w:marTop w:val="0"/>
      <w:marBottom w:val="0"/>
      <w:divBdr>
        <w:top w:val="none" w:sz="0" w:space="0" w:color="auto"/>
        <w:left w:val="none" w:sz="0" w:space="0" w:color="auto"/>
        <w:bottom w:val="none" w:sz="0" w:space="0" w:color="auto"/>
        <w:right w:val="none" w:sz="0" w:space="0" w:color="auto"/>
      </w:divBdr>
      <w:divsChild>
        <w:div w:id="385421964">
          <w:marLeft w:val="547"/>
          <w:marRight w:val="0"/>
          <w:marTop w:val="173"/>
          <w:marBottom w:val="0"/>
          <w:divBdr>
            <w:top w:val="none" w:sz="0" w:space="0" w:color="auto"/>
            <w:left w:val="none" w:sz="0" w:space="0" w:color="auto"/>
            <w:bottom w:val="none" w:sz="0" w:space="0" w:color="auto"/>
            <w:right w:val="none" w:sz="0" w:space="0" w:color="auto"/>
          </w:divBdr>
        </w:div>
        <w:div w:id="756631917">
          <w:marLeft w:val="547"/>
          <w:marRight w:val="0"/>
          <w:marTop w:val="96"/>
          <w:marBottom w:val="0"/>
          <w:divBdr>
            <w:top w:val="none" w:sz="0" w:space="0" w:color="auto"/>
            <w:left w:val="none" w:sz="0" w:space="0" w:color="auto"/>
            <w:bottom w:val="none" w:sz="0" w:space="0" w:color="auto"/>
            <w:right w:val="none" w:sz="0" w:space="0" w:color="auto"/>
          </w:divBdr>
        </w:div>
        <w:div w:id="861212132">
          <w:marLeft w:val="547"/>
          <w:marRight w:val="0"/>
          <w:marTop w:val="96"/>
          <w:marBottom w:val="0"/>
          <w:divBdr>
            <w:top w:val="none" w:sz="0" w:space="0" w:color="auto"/>
            <w:left w:val="none" w:sz="0" w:space="0" w:color="auto"/>
            <w:bottom w:val="none" w:sz="0" w:space="0" w:color="auto"/>
            <w:right w:val="none" w:sz="0" w:space="0" w:color="auto"/>
          </w:divBdr>
        </w:div>
        <w:div w:id="905457151">
          <w:marLeft w:val="547"/>
          <w:marRight w:val="0"/>
          <w:marTop w:val="96"/>
          <w:marBottom w:val="0"/>
          <w:divBdr>
            <w:top w:val="none" w:sz="0" w:space="0" w:color="auto"/>
            <w:left w:val="none" w:sz="0" w:space="0" w:color="auto"/>
            <w:bottom w:val="none" w:sz="0" w:space="0" w:color="auto"/>
            <w:right w:val="none" w:sz="0" w:space="0" w:color="auto"/>
          </w:divBdr>
        </w:div>
        <w:div w:id="1208950679">
          <w:marLeft w:val="547"/>
          <w:marRight w:val="0"/>
          <w:marTop w:val="96"/>
          <w:marBottom w:val="0"/>
          <w:divBdr>
            <w:top w:val="none" w:sz="0" w:space="0" w:color="auto"/>
            <w:left w:val="none" w:sz="0" w:space="0" w:color="auto"/>
            <w:bottom w:val="none" w:sz="0" w:space="0" w:color="auto"/>
            <w:right w:val="none" w:sz="0" w:space="0" w:color="auto"/>
          </w:divBdr>
        </w:div>
        <w:div w:id="1345018586">
          <w:marLeft w:val="547"/>
          <w:marRight w:val="0"/>
          <w:marTop w:val="173"/>
          <w:marBottom w:val="0"/>
          <w:divBdr>
            <w:top w:val="none" w:sz="0" w:space="0" w:color="auto"/>
            <w:left w:val="none" w:sz="0" w:space="0" w:color="auto"/>
            <w:bottom w:val="none" w:sz="0" w:space="0" w:color="auto"/>
            <w:right w:val="none" w:sz="0" w:space="0" w:color="auto"/>
          </w:divBdr>
        </w:div>
        <w:div w:id="1413773821">
          <w:marLeft w:val="547"/>
          <w:marRight w:val="0"/>
          <w:marTop w:val="173"/>
          <w:marBottom w:val="0"/>
          <w:divBdr>
            <w:top w:val="none" w:sz="0" w:space="0" w:color="auto"/>
            <w:left w:val="none" w:sz="0" w:space="0" w:color="auto"/>
            <w:bottom w:val="none" w:sz="0" w:space="0" w:color="auto"/>
            <w:right w:val="none" w:sz="0" w:space="0" w:color="auto"/>
          </w:divBdr>
        </w:div>
        <w:div w:id="1544898754">
          <w:marLeft w:val="547"/>
          <w:marRight w:val="0"/>
          <w:marTop w:val="96"/>
          <w:marBottom w:val="0"/>
          <w:divBdr>
            <w:top w:val="none" w:sz="0" w:space="0" w:color="auto"/>
            <w:left w:val="none" w:sz="0" w:space="0" w:color="auto"/>
            <w:bottom w:val="none" w:sz="0" w:space="0" w:color="auto"/>
            <w:right w:val="none" w:sz="0" w:space="0" w:color="auto"/>
          </w:divBdr>
        </w:div>
        <w:div w:id="1771311549">
          <w:marLeft w:val="547"/>
          <w:marRight w:val="0"/>
          <w:marTop w:val="96"/>
          <w:marBottom w:val="0"/>
          <w:divBdr>
            <w:top w:val="none" w:sz="0" w:space="0" w:color="auto"/>
            <w:left w:val="none" w:sz="0" w:space="0" w:color="auto"/>
            <w:bottom w:val="none" w:sz="0" w:space="0" w:color="auto"/>
            <w:right w:val="none" w:sz="0" w:space="0" w:color="auto"/>
          </w:divBdr>
        </w:div>
      </w:divsChild>
    </w:div>
    <w:div w:id="102044974">
      <w:bodyDiv w:val="1"/>
      <w:marLeft w:val="0"/>
      <w:marRight w:val="0"/>
      <w:marTop w:val="0"/>
      <w:marBottom w:val="0"/>
      <w:divBdr>
        <w:top w:val="none" w:sz="0" w:space="0" w:color="auto"/>
        <w:left w:val="none" w:sz="0" w:space="0" w:color="auto"/>
        <w:bottom w:val="none" w:sz="0" w:space="0" w:color="auto"/>
        <w:right w:val="none" w:sz="0" w:space="0" w:color="auto"/>
      </w:divBdr>
    </w:div>
    <w:div w:id="106197651">
      <w:bodyDiv w:val="1"/>
      <w:marLeft w:val="0"/>
      <w:marRight w:val="0"/>
      <w:marTop w:val="0"/>
      <w:marBottom w:val="0"/>
      <w:divBdr>
        <w:top w:val="none" w:sz="0" w:space="0" w:color="auto"/>
        <w:left w:val="none" w:sz="0" w:space="0" w:color="auto"/>
        <w:bottom w:val="none" w:sz="0" w:space="0" w:color="auto"/>
        <w:right w:val="none" w:sz="0" w:space="0" w:color="auto"/>
      </w:divBdr>
      <w:divsChild>
        <w:div w:id="2121756336">
          <w:marLeft w:val="0"/>
          <w:marRight w:val="0"/>
          <w:marTop w:val="0"/>
          <w:marBottom w:val="0"/>
          <w:divBdr>
            <w:top w:val="none" w:sz="0" w:space="0" w:color="auto"/>
            <w:left w:val="none" w:sz="0" w:space="0" w:color="auto"/>
            <w:bottom w:val="none" w:sz="0" w:space="0" w:color="auto"/>
            <w:right w:val="none" w:sz="0" w:space="0" w:color="auto"/>
          </w:divBdr>
          <w:divsChild>
            <w:div w:id="508101355">
              <w:marLeft w:val="4"/>
              <w:marRight w:val="4"/>
              <w:marTop w:val="0"/>
              <w:marBottom w:val="0"/>
              <w:divBdr>
                <w:top w:val="none" w:sz="0" w:space="0" w:color="auto"/>
                <w:left w:val="none" w:sz="0" w:space="0" w:color="auto"/>
                <w:bottom w:val="none" w:sz="0" w:space="0" w:color="auto"/>
                <w:right w:val="none" w:sz="0" w:space="0" w:color="auto"/>
              </w:divBdr>
              <w:divsChild>
                <w:div w:id="204097125">
                  <w:marLeft w:val="0"/>
                  <w:marRight w:val="0"/>
                  <w:marTop w:val="4"/>
                  <w:marBottom w:val="0"/>
                  <w:divBdr>
                    <w:top w:val="none" w:sz="0" w:space="0" w:color="auto"/>
                    <w:left w:val="none" w:sz="0" w:space="0" w:color="auto"/>
                    <w:bottom w:val="none" w:sz="0" w:space="0" w:color="auto"/>
                    <w:right w:val="none" w:sz="0" w:space="0" w:color="auto"/>
                  </w:divBdr>
                  <w:divsChild>
                    <w:div w:id="39719070">
                      <w:marLeft w:val="0"/>
                      <w:marRight w:val="0"/>
                      <w:marTop w:val="75"/>
                      <w:marBottom w:val="0"/>
                      <w:divBdr>
                        <w:top w:val="none" w:sz="0" w:space="0" w:color="auto"/>
                        <w:left w:val="single" w:sz="36" w:space="11" w:color="89C402"/>
                        <w:bottom w:val="none" w:sz="0" w:space="0" w:color="auto"/>
                        <w:right w:val="none" w:sz="0" w:space="0" w:color="auto"/>
                      </w:divBdr>
                    </w:div>
                  </w:divsChild>
                </w:div>
              </w:divsChild>
            </w:div>
          </w:divsChild>
        </w:div>
      </w:divsChild>
    </w:div>
    <w:div w:id="114761363">
      <w:bodyDiv w:val="1"/>
      <w:marLeft w:val="0"/>
      <w:marRight w:val="0"/>
      <w:marTop w:val="0"/>
      <w:marBottom w:val="0"/>
      <w:divBdr>
        <w:top w:val="none" w:sz="0" w:space="0" w:color="auto"/>
        <w:left w:val="none" w:sz="0" w:space="0" w:color="auto"/>
        <w:bottom w:val="none" w:sz="0" w:space="0" w:color="auto"/>
        <w:right w:val="none" w:sz="0" w:space="0" w:color="auto"/>
      </w:divBdr>
      <w:divsChild>
        <w:div w:id="256594300">
          <w:marLeft w:val="547"/>
          <w:marRight w:val="0"/>
          <w:marTop w:val="173"/>
          <w:marBottom w:val="0"/>
          <w:divBdr>
            <w:top w:val="none" w:sz="0" w:space="0" w:color="auto"/>
            <w:left w:val="none" w:sz="0" w:space="0" w:color="auto"/>
            <w:bottom w:val="none" w:sz="0" w:space="0" w:color="auto"/>
            <w:right w:val="none" w:sz="0" w:space="0" w:color="auto"/>
          </w:divBdr>
        </w:div>
        <w:div w:id="294918488">
          <w:marLeft w:val="547"/>
          <w:marRight w:val="0"/>
          <w:marTop w:val="173"/>
          <w:marBottom w:val="0"/>
          <w:divBdr>
            <w:top w:val="none" w:sz="0" w:space="0" w:color="auto"/>
            <w:left w:val="none" w:sz="0" w:space="0" w:color="auto"/>
            <w:bottom w:val="none" w:sz="0" w:space="0" w:color="auto"/>
            <w:right w:val="none" w:sz="0" w:space="0" w:color="auto"/>
          </w:divBdr>
        </w:div>
        <w:div w:id="427434586">
          <w:marLeft w:val="547"/>
          <w:marRight w:val="0"/>
          <w:marTop w:val="96"/>
          <w:marBottom w:val="0"/>
          <w:divBdr>
            <w:top w:val="none" w:sz="0" w:space="0" w:color="auto"/>
            <w:left w:val="none" w:sz="0" w:space="0" w:color="auto"/>
            <w:bottom w:val="none" w:sz="0" w:space="0" w:color="auto"/>
            <w:right w:val="none" w:sz="0" w:space="0" w:color="auto"/>
          </w:divBdr>
        </w:div>
        <w:div w:id="752898489">
          <w:marLeft w:val="547"/>
          <w:marRight w:val="0"/>
          <w:marTop w:val="96"/>
          <w:marBottom w:val="0"/>
          <w:divBdr>
            <w:top w:val="none" w:sz="0" w:space="0" w:color="auto"/>
            <w:left w:val="none" w:sz="0" w:space="0" w:color="auto"/>
            <w:bottom w:val="none" w:sz="0" w:space="0" w:color="auto"/>
            <w:right w:val="none" w:sz="0" w:space="0" w:color="auto"/>
          </w:divBdr>
        </w:div>
        <w:div w:id="761993069">
          <w:marLeft w:val="547"/>
          <w:marRight w:val="0"/>
          <w:marTop w:val="96"/>
          <w:marBottom w:val="0"/>
          <w:divBdr>
            <w:top w:val="none" w:sz="0" w:space="0" w:color="auto"/>
            <w:left w:val="none" w:sz="0" w:space="0" w:color="auto"/>
            <w:bottom w:val="none" w:sz="0" w:space="0" w:color="auto"/>
            <w:right w:val="none" w:sz="0" w:space="0" w:color="auto"/>
          </w:divBdr>
        </w:div>
        <w:div w:id="955022547">
          <w:marLeft w:val="547"/>
          <w:marRight w:val="0"/>
          <w:marTop w:val="96"/>
          <w:marBottom w:val="0"/>
          <w:divBdr>
            <w:top w:val="none" w:sz="0" w:space="0" w:color="auto"/>
            <w:left w:val="none" w:sz="0" w:space="0" w:color="auto"/>
            <w:bottom w:val="none" w:sz="0" w:space="0" w:color="auto"/>
            <w:right w:val="none" w:sz="0" w:space="0" w:color="auto"/>
          </w:divBdr>
        </w:div>
        <w:div w:id="1091243504">
          <w:marLeft w:val="547"/>
          <w:marRight w:val="0"/>
          <w:marTop w:val="96"/>
          <w:marBottom w:val="0"/>
          <w:divBdr>
            <w:top w:val="none" w:sz="0" w:space="0" w:color="auto"/>
            <w:left w:val="none" w:sz="0" w:space="0" w:color="auto"/>
            <w:bottom w:val="none" w:sz="0" w:space="0" w:color="auto"/>
            <w:right w:val="none" w:sz="0" w:space="0" w:color="auto"/>
          </w:divBdr>
        </w:div>
        <w:div w:id="1299336355">
          <w:marLeft w:val="547"/>
          <w:marRight w:val="0"/>
          <w:marTop w:val="173"/>
          <w:marBottom w:val="0"/>
          <w:divBdr>
            <w:top w:val="none" w:sz="0" w:space="0" w:color="auto"/>
            <w:left w:val="none" w:sz="0" w:space="0" w:color="auto"/>
            <w:bottom w:val="none" w:sz="0" w:space="0" w:color="auto"/>
            <w:right w:val="none" w:sz="0" w:space="0" w:color="auto"/>
          </w:divBdr>
        </w:div>
        <w:div w:id="2146660767">
          <w:marLeft w:val="547"/>
          <w:marRight w:val="0"/>
          <w:marTop w:val="96"/>
          <w:marBottom w:val="0"/>
          <w:divBdr>
            <w:top w:val="none" w:sz="0" w:space="0" w:color="auto"/>
            <w:left w:val="none" w:sz="0" w:space="0" w:color="auto"/>
            <w:bottom w:val="none" w:sz="0" w:space="0" w:color="auto"/>
            <w:right w:val="none" w:sz="0" w:space="0" w:color="auto"/>
          </w:divBdr>
        </w:div>
      </w:divsChild>
    </w:div>
    <w:div w:id="121850498">
      <w:bodyDiv w:val="1"/>
      <w:marLeft w:val="0"/>
      <w:marRight w:val="0"/>
      <w:marTop w:val="0"/>
      <w:marBottom w:val="0"/>
      <w:divBdr>
        <w:top w:val="none" w:sz="0" w:space="0" w:color="auto"/>
        <w:left w:val="none" w:sz="0" w:space="0" w:color="auto"/>
        <w:bottom w:val="none" w:sz="0" w:space="0" w:color="auto"/>
        <w:right w:val="none" w:sz="0" w:space="0" w:color="auto"/>
      </w:divBdr>
      <w:divsChild>
        <w:div w:id="1962832591">
          <w:marLeft w:val="0"/>
          <w:marRight w:val="0"/>
          <w:marTop w:val="0"/>
          <w:marBottom w:val="0"/>
          <w:divBdr>
            <w:top w:val="none" w:sz="0" w:space="0" w:color="auto"/>
            <w:left w:val="none" w:sz="0" w:space="0" w:color="auto"/>
            <w:bottom w:val="none" w:sz="0" w:space="0" w:color="auto"/>
            <w:right w:val="none" w:sz="0" w:space="0" w:color="auto"/>
          </w:divBdr>
          <w:divsChild>
            <w:div w:id="586965075">
              <w:marLeft w:val="0"/>
              <w:marRight w:val="0"/>
              <w:marTop w:val="0"/>
              <w:marBottom w:val="0"/>
              <w:divBdr>
                <w:top w:val="none" w:sz="0" w:space="0" w:color="auto"/>
                <w:left w:val="none" w:sz="0" w:space="0" w:color="auto"/>
                <w:bottom w:val="none" w:sz="0" w:space="0" w:color="auto"/>
                <w:right w:val="none" w:sz="0" w:space="0" w:color="auto"/>
              </w:divBdr>
              <w:divsChild>
                <w:div w:id="1740709871">
                  <w:marLeft w:val="4935"/>
                  <w:marRight w:val="0"/>
                  <w:marTop w:val="0"/>
                  <w:marBottom w:val="0"/>
                  <w:divBdr>
                    <w:top w:val="none" w:sz="0" w:space="0" w:color="auto"/>
                    <w:left w:val="none" w:sz="0" w:space="0" w:color="auto"/>
                    <w:bottom w:val="none" w:sz="0" w:space="0" w:color="auto"/>
                    <w:right w:val="none" w:sz="0" w:space="0" w:color="auto"/>
                  </w:divBdr>
                  <w:divsChild>
                    <w:div w:id="1366633785">
                      <w:marLeft w:val="0"/>
                      <w:marRight w:val="0"/>
                      <w:marTop w:val="0"/>
                      <w:marBottom w:val="0"/>
                      <w:divBdr>
                        <w:top w:val="none" w:sz="0" w:space="0" w:color="auto"/>
                        <w:left w:val="none" w:sz="0" w:space="0" w:color="auto"/>
                        <w:bottom w:val="none" w:sz="0" w:space="0" w:color="auto"/>
                        <w:right w:val="none" w:sz="0" w:space="0" w:color="auto"/>
                      </w:divBdr>
                      <w:divsChild>
                        <w:div w:id="1979451014">
                          <w:marLeft w:val="0"/>
                          <w:marRight w:val="0"/>
                          <w:marTop w:val="0"/>
                          <w:marBottom w:val="0"/>
                          <w:divBdr>
                            <w:top w:val="none" w:sz="0" w:space="0" w:color="auto"/>
                            <w:left w:val="none" w:sz="0" w:space="0" w:color="auto"/>
                            <w:bottom w:val="none" w:sz="0" w:space="0" w:color="auto"/>
                            <w:right w:val="none" w:sz="0" w:space="0" w:color="auto"/>
                          </w:divBdr>
                          <w:divsChild>
                            <w:div w:id="1836527656">
                              <w:marLeft w:val="0"/>
                              <w:marRight w:val="0"/>
                              <w:marTop w:val="0"/>
                              <w:marBottom w:val="0"/>
                              <w:divBdr>
                                <w:top w:val="none" w:sz="0" w:space="0" w:color="auto"/>
                                <w:left w:val="none" w:sz="0" w:space="0" w:color="auto"/>
                                <w:bottom w:val="none" w:sz="0" w:space="0" w:color="auto"/>
                                <w:right w:val="none" w:sz="0" w:space="0" w:color="auto"/>
                              </w:divBdr>
                              <w:divsChild>
                                <w:div w:id="2063744067">
                                  <w:marLeft w:val="0"/>
                                  <w:marRight w:val="0"/>
                                  <w:marTop w:val="0"/>
                                  <w:marBottom w:val="0"/>
                                  <w:divBdr>
                                    <w:top w:val="none" w:sz="0" w:space="0" w:color="auto"/>
                                    <w:left w:val="none" w:sz="0" w:space="0" w:color="auto"/>
                                    <w:bottom w:val="none" w:sz="0" w:space="0" w:color="auto"/>
                                    <w:right w:val="none" w:sz="0" w:space="0" w:color="auto"/>
                                  </w:divBdr>
                                  <w:divsChild>
                                    <w:div w:id="1363093700">
                                      <w:marLeft w:val="0"/>
                                      <w:marRight w:val="0"/>
                                      <w:marTop w:val="0"/>
                                      <w:marBottom w:val="0"/>
                                      <w:divBdr>
                                        <w:top w:val="none" w:sz="0" w:space="0" w:color="auto"/>
                                        <w:left w:val="none" w:sz="0" w:space="0" w:color="auto"/>
                                        <w:bottom w:val="none" w:sz="0" w:space="0" w:color="auto"/>
                                        <w:right w:val="none" w:sz="0" w:space="0" w:color="auto"/>
                                      </w:divBdr>
                                      <w:divsChild>
                                        <w:div w:id="1194999578">
                                          <w:marLeft w:val="0"/>
                                          <w:marRight w:val="0"/>
                                          <w:marTop w:val="0"/>
                                          <w:marBottom w:val="0"/>
                                          <w:divBdr>
                                            <w:top w:val="none" w:sz="0" w:space="0" w:color="auto"/>
                                            <w:left w:val="none" w:sz="0" w:space="0" w:color="auto"/>
                                            <w:bottom w:val="none" w:sz="0" w:space="0" w:color="auto"/>
                                            <w:right w:val="none" w:sz="0" w:space="0" w:color="auto"/>
                                          </w:divBdr>
                                          <w:divsChild>
                                            <w:div w:id="1817794037">
                                              <w:marLeft w:val="0"/>
                                              <w:marRight w:val="0"/>
                                              <w:marTop w:val="0"/>
                                              <w:marBottom w:val="0"/>
                                              <w:divBdr>
                                                <w:top w:val="none" w:sz="0" w:space="0" w:color="auto"/>
                                                <w:left w:val="none" w:sz="0" w:space="0" w:color="auto"/>
                                                <w:bottom w:val="none" w:sz="0" w:space="0" w:color="auto"/>
                                                <w:right w:val="none" w:sz="0" w:space="0" w:color="auto"/>
                                              </w:divBdr>
                                              <w:divsChild>
                                                <w:div w:id="450049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1261776">
      <w:bodyDiv w:val="1"/>
      <w:marLeft w:val="0"/>
      <w:marRight w:val="0"/>
      <w:marTop w:val="0"/>
      <w:marBottom w:val="0"/>
      <w:divBdr>
        <w:top w:val="none" w:sz="0" w:space="0" w:color="auto"/>
        <w:left w:val="none" w:sz="0" w:space="0" w:color="auto"/>
        <w:bottom w:val="none" w:sz="0" w:space="0" w:color="auto"/>
        <w:right w:val="none" w:sz="0" w:space="0" w:color="auto"/>
      </w:divBdr>
    </w:div>
    <w:div w:id="172692074">
      <w:bodyDiv w:val="1"/>
      <w:marLeft w:val="0"/>
      <w:marRight w:val="0"/>
      <w:marTop w:val="0"/>
      <w:marBottom w:val="0"/>
      <w:divBdr>
        <w:top w:val="none" w:sz="0" w:space="0" w:color="auto"/>
        <w:left w:val="none" w:sz="0" w:space="0" w:color="auto"/>
        <w:bottom w:val="none" w:sz="0" w:space="0" w:color="auto"/>
        <w:right w:val="none" w:sz="0" w:space="0" w:color="auto"/>
      </w:divBdr>
    </w:div>
    <w:div w:id="173888713">
      <w:bodyDiv w:val="1"/>
      <w:marLeft w:val="0"/>
      <w:marRight w:val="0"/>
      <w:marTop w:val="0"/>
      <w:marBottom w:val="0"/>
      <w:divBdr>
        <w:top w:val="none" w:sz="0" w:space="0" w:color="auto"/>
        <w:left w:val="none" w:sz="0" w:space="0" w:color="auto"/>
        <w:bottom w:val="none" w:sz="0" w:space="0" w:color="auto"/>
        <w:right w:val="none" w:sz="0" w:space="0" w:color="auto"/>
      </w:divBdr>
      <w:divsChild>
        <w:div w:id="1520003096">
          <w:marLeft w:val="0"/>
          <w:marRight w:val="0"/>
          <w:marTop w:val="0"/>
          <w:marBottom w:val="0"/>
          <w:divBdr>
            <w:top w:val="none" w:sz="0" w:space="0" w:color="auto"/>
            <w:left w:val="none" w:sz="0" w:space="0" w:color="auto"/>
            <w:bottom w:val="none" w:sz="0" w:space="0" w:color="auto"/>
            <w:right w:val="none" w:sz="0" w:space="0" w:color="auto"/>
          </w:divBdr>
          <w:divsChild>
            <w:div w:id="442309076">
              <w:marLeft w:val="0"/>
              <w:marRight w:val="0"/>
              <w:marTop w:val="0"/>
              <w:marBottom w:val="0"/>
              <w:divBdr>
                <w:top w:val="none" w:sz="0" w:space="0" w:color="auto"/>
                <w:left w:val="none" w:sz="0" w:space="0" w:color="auto"/>
                <w:bottom w:val="none" w:sz="0" w:space="0" w:color="auto"/>
                <w:right w:val="none" w:sz="0" w:space="0" w:color="auto"/>
              </w:divBdr>
              <w:divsChild>
                <w:div w:id="1248367">
                  <w:marLeft w:val="3360"/>
                  <w:marRight w:val="0"/>
                  <w:marTop w:val="0"/>
                  <w:marBottom w:val="0"/>
                  <w:divBdr>
                    <w:top w:val="none" w:sz="0" w:space="0" w:color="auto"/>
                    <w:left w:val="none" w:sz="0" w:space="0" w:color="auto"/>
                    <w:bottom w:val="none" w:sz="0" w:space="0" w:color="auto"/>
                    <w:right w:val="none" w:sz="0" w:space="0" w:color="auto"/>
                  </w:divBdr>
                  <w:divsChild>
                    <w:div w:id="1597861642">
                      <w:marLeft w:val="0"/>
                      <w:marRight w:val="0"/>
                      <w:marTop w:val="0"/>
                      <w:marBottom w:val="0"/>
                      <w:divBdr>
                        <w:top w:val="none" w:sz="0" w:space="0" w:color="auto"/>
                        <w:left w:val="none" w:sz="0" w:space="0" w:color="auto"/>
                        <w:bottom w:val="none" w:sz="0" w:space="0" w:color="auto"/>
                        <w:right w:val="none" w:sz="0" w:space="0" w:color="auto"/>
                      </w:divBdr>
                      <w:divsChild>
                        <w:div w:id="1777023186">
                          <w:marLeft w:val="0"/>
                          <w:marRight w:val="0"/>
                          <w:marTop w:val="0"/>
                          <w:marBottom w:val="0"/>
                          <w:divBdr>
                            <w:top w:val="none" w:sz="0" w:space="0" w:color="auto"/>
                            <w:left w:val="none" w:sz="0" w:space="0" w:color="auto"/>
                            <w:bottom w:val="none" w:sz="0" w:space="0" w:color="auto"/>
                            <w:right w:val="none" w:sz="0" w:space="0" w:color="auto"/>
                          </w:divBdr>
                          <w:divsChild>
                            <w:div w:id="257372867">
                              <w:marLeft w:val="0"/>
                              <w:marRight w:val="0"/>
                              <w:marTop w:val="0"/>
                              <w:marBottom w:val="0"/>
                              <w:divBdr>
                                <w:top w:val="none" w:sz="0" w:space="0" w:color="auto"/>
                                <w:left w:val="none" w:sz="0" w:space="0" w:color="auto"/>
                                <w:bottom w:val="none" w:sz="0" w:space="0" w:color="auto"/>
                                <w:right w:val="none" w:sz="0" w:space="0" w:color="auto"/>
                              </w:divBdr>
                              <w:divsChild>
                                <w:div w:id="232784860">
                                  <w:marLeft w:val="0"/>
                                  <w:marRight w:val="0"/>
                                  <w:marTop w:val="0"/>
                                  <w:marBottom w:val="0"/>
                                  <w:divBdr>
                                    <w:top w:val="none" w:sz="0" w:space="0" w:color="auto"/>
                                    <w:left w:val="none" w:sz="0" w:space="0" w:color="auto"/>
                                    <w:bottom w:val="none" w:sz="0" w:space="0" w:color="auto"/>
                                    <w:right w:val="none" w:sz="0" w:space="0" w:color="auto"/>
                                  </w:divBdr>
                                  <w:divsChild>
                                    <w:div w:id="1906529840">
                                      <w:marLeft w:val="0"/>
                                      <w:marRight w:val="0"/>
                                      <w:marTop w:val="0"/>
                                      <w:marBottom w:val="0"/>
                                      <w:divBdr>
                                        <w:top w:val="none" w:sz="0" w:space="0" w:color="auto"/>
                                        <w:left w:val="none" w:sz="0" w:space="0" w:color="auto"/>
                                        <w:bottom w:val="none" w:sz="0" w:space="0" w:color="auto"/>
                                        <w:right w:val="none" w:sz="0" w:space="0" w:color="auto"/>
                                      </w:divBdr>
                                      <w:divsChild>
                                        <w:div w:id="801852481">
                                          <w:marLeft w:val="0"/>
                                          <w:marRight w:val="0"/>
                                          <w:marTop w:val="0"/>
                                          <w:marBottom w:val="0"/>
                                          <w:divBdr>
                                            <w:top w:val="none" w:sz="0" w:space="0" w:color="auto"/>
                                            <w:left w:val="none" w:sz="0" w:space="0" w:color="auto"/>
                                            <w:bottom w:val="none" w:sz="0" w:space="0" w:color="auto"/>
                                            <w:right w:val="none" w:sz="0" w:space="0" w:color="auto"/>
                                          </w:divBdr>
                                          <w:divsChild>
                                            <w:div w:id="1202204463">
                                              <w:marLeft w:val="0"/>
                                              <w:marRight w:val="0"/>
                                              <w:marTop w:val="0"/>
                                              <w:marBottom w:val="0"/>
                                              <w:divBdr>
                                                <w:top w:val="none" w:sz="0" w:space="0" w:color="auto"/>
                                                <w:left w:val="none" w:sz="0" w:space="0" w:color="auto"/>
                                                <w:bottom w:val="none" w:sz="0" w:space="0" w:color="auto"/>
                                                <w:right w:val="none" w:sz="0" w:space="0" w:color="auto"/>
                                              </w:divBdr>
                                            </w:div>
                                            <w:div w:id="1667006235">
                                              <w:marLeft w:val="0"/>
                                              <w:marRight w:val="0"/>
                                              <w:marTop w:val="0"/>
                                              <w:marBottom w:val="0"/>
                                              <w:divBdr>
                                                <w:top w:val="none" w:sz="0" w:space="0" w:color="auto"/>
                                                <w:left w:val="none" w:sz="0" w:space="0" w:color="auto"/>
                                                <w:bottom w:val="none" w:sz="0" w:space="0" w:color="auto"/>
                                                <w:right w:val="none" w:sz="0" w:space="0" w:color="auto"/>
                                              </w:divBdr>
                                            </w:div>
                                            <w:div w:id="482739779">
                                              <w:marLeft w:val="0"/>
                                              <w:marRight w:val="0"/>
                                              <w:marTop w:val="0"/>
                                              <w:marBottom w:val="0"/>
                                              <w:divBdr>
                                                <w:top w:val="none" w:sz="0" w:space="0" w:color="auto"/>
                                                <w:left w:val="none" w:sz="0" w:space="0" w:color="auto"/>
                                                <w:bottom w:val="none" w:sz="0" w:space="0" w:color="auto"/>
                                                <w:right w:val="none" w:sz="0" w:space="0" w:color="auto"/>
                                              </w:divBdr>
                                            </w:div>
                                            <w:div w:id="1334069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0819224">
      <w:bodyDiv w:val="1"/>
      <w:marLeft w:val="0"/>
      <w:marRight w:val="0"/>
      <w:marTop w:val="0"/>
      <w:marBottom w:val="0"/>
      <w:divBdr>
        <w:top w:val="none" w:sz="0" w:space="0" w:color="auto"/>
        <w:left w:val="none" w:sz="0" w:space="0" w:color="auto"/>
        <w:bottom w:val="none" w:sz="0" w:space="0" w:color="auto"/>
        <w:right w:val="none" w:sz="0" w:space="0" w:color="auto"/>
      </w:divBdr>
    </w:div>
    <w:div w:id="186143010">
      <w:bodyDiv w:val="1"/>
      <w:marLeft w:val="0"/>
      <w:marRight w:val="0"/>
      <w:marTop w:val="0"/>
      <w:marBottom w:val="0"/>
      <w:divBdr>
        <w:top w:val="none" w:sz="0" w:space="0" w:color="auto"/>
        <w:left w:val="none" w:sz="0" w:space="0" w:color="auto"/>
        <w:bottom w:val="none" w:sz="0" w:space="0" w:color="auto"/>
        <w:right w:val="none" w:sz="0" w:space="0" w:color="auto"/>
      </w:divBdr>
    </w:div>
    <w:div w:id="194512128">
      <w:bodyDiv w:val="1"/>
      <w:marLeft w:val="0"/>
      <w:marRight w:val="0"/>
      <w:marTop w:val="0"/>
      <w:marBottom w:val="0"/>
      <w:divBdr>
        <w:top w:val="none" w:sz="0" w:space="0" w:color="auto"/>
        <w:left w:val="none" w:sz="0" w:space="0" w:color="auto"/>
        <w:bottom w:val="none" w:sz="0" w:space="0" w:color="auto"/>
        <w:right w:val="none" w:sz="0" w:space="0" w:color="auto"/>
      </w:divBdr>
      <w:divsChild>
        <w:div w:id="2024940223">
          <w:marLeft w:val="0"/>
          <w:marRight w:val="0"/>
          <w:marTop w:val="0"/>
          <w:marBottom w:val="0"/>
          <w:divBdr>
            <w:top w:val="none" w:sz="0" w:space="0" w:color="auto"/>
            <w:left w:val="none" w:sz="0" w:space="0" w:color="auto"/>
            <w:bottom w:val="none" w:sz="0" w:space="0" w:color="auto"/>
            <w:right w:val="none" w:sz="0" w:space="0" w:color="auto"/>
          </w:divBdr>
          <w:divsChild>
            <w:div w:id="318656627">
              <w:marLeft w:val="0"/>
              <w:marRight w:val="0"/>
              <w:marTop w:val="0"/>
              <w:marBottom w:val="0"/>
              <w:divBdr>
                <w:top w:val="none" w:sz="0" w:space="0" w:color="auto"/>
                <w:left w:val="none" w:sz="0" w:space="0" w:color="auto"/>
                <w:bottom w:val="none" w:sz="0" w:space="0" w:color="auto"/>
                <w:right w:val="none" w:sz="0" w:space="0" w:color="auto"/>
              </w:divBdr>
              <w:divsChild>
                <w:div w:id="1166283661">
                  <w:marLeft w:val="0"/>
                  <w:marRight w:val="0"/>
                  <w:marTop w:val="0"/>
                  <w:marBottom w:val="0"/>
                  <w:divBdr>
                    <w:top w:val="none" w:sz="0" w:space="0" w:color="auto"/>
                    <w:left w:val="none" w:sz="0" w:space="0" w:color="auto"/>
                    <w:bottom w:val="none" w:sz="0" w:space="0" w:color="auto"/>
                    <w:right w:val="none" w:sz="0" w:space="0" w:color="auto"/>
                  </w:divBdr>
                  <w:divsChild>
                    <w:div w:id="848445716">
                      <w:marLeft w:val="0"/>
                      <w:marRight w:val="0"/>
                      <w:marTop w:val="0"/>
                      <w:marBottom w:val="0"/>
                      <w:divBdr>
                        <w:top w:val="none" w:sz="0" w:space="0" w:color="auto"/>
                        <w:left w:val="none" w:sz="0" w:space="0" w:color="auto"/>
                        <w:bottom w:val="none" w:sz="0" w:space="0" w:color="auto"/>
                        <w:right w:val="none" w:sz="0" w:space="0" w:color="auto"/>
                      </w:divBdr>
                      <w:divsChild>
                        <w:div w:id="486090586">
                          <w:marLeft w:val="0"/>
                          <w:marRight w:val="0"/>
                          <w:marTop w:val="0"/>
                          <w:marBottom w:val="0"/>
                          <w:divBdr>
                            <w:top w:val="none" w:sz="0" w:space="0" w:color="auto"/>
                            <w:left w:val="none" w:sz="0" w:space="0" w:color="auto"/>
                            <w:bottom w:val="none" w:sz="0" w:space="0" w:color="auto"/>
                            <w:right w:val="none" w:sz="0" w:space="0" w:color="auto"/>
                          </w:divBdr>
                          <w:divsChild>
                            <w:div w:id="55126570">
                              <w:marLeft w:val="150"/>
                              <w:marRight w:val="150"/>
                              <w:marTop w:val="150"/>
                              <w:marBottom w:val="150"/>
                              <w:divBdr>
                                <w:top w:val="none" w:sz="0" w:space="0" w:color="auto"/>
                                <w:left w:val="none" w:sz="0" w:space="0" w:color="auto"/>
                                <w:bottom w:val="none" w:sz="0" w:space="0" w:color="auto"/>
                                <w:right w:val="none" w:sz="0" w:space="0" w:color="auto"/>
                              </w:divBdr>
                              <w:divsChild>
                                <w:div w:id="1241986689">
                                  <w:marLeft w:val="0"/>
                                  <w:marRight w:val="0"/>
                                  <w:marTop w:val="0"/>
                                  <w:marBottom w:val="0"/>
                                  <w:divBdr>
                                    <w:top w:val="none" w:sz="0" w:space="0" w:color="auto"/>
                                    <w:left w:val="none" w:sz="0" w:space="0" w:color="auto"/>
                                    <w:bottom w:val="none" w:sz="0" w:space="0" w:color="auto"/>
                                    <w:right w:val="none" w:sz="0" w:space="0" w:color="auto"/>
                                  </w:divBdr>
                                  <w:divsChild>
                                    <w:div w:id="1270158709">
                                      <w:marLeft w:val="0"/>
                                      <w:marRight w:val="0"/>
                                      <w:marTop w:val="0"/>
                                      <w:marBottom w:val="0"/>
                                      <w:divBdr>
                                        <w:top w:val="none" w:sz="0" w:space="0" w:color="auto"/>
                                        <w:left w:val="none" w:sz="0" w:space="0" w:color="auto"/>
                                        <w:bottom w:val="none" w:sz="0" w:space="0" w:color="auto"/>
                                        <w:right w:val="none" w:sz="0" w:space="0" w:color="auto"/>
                                      </w:divBdr>
                                      <w:divsChild>
                                        <w:div w:id="1974217249">
                                          <w:marLeft w:val="0"/>
                                          <w:marRight w:val="0"/>
                                          <w:marTop w:val="0"/>
                                          <w:marBottom w:val="0"/>
                                          <w:divBdr>
                                            <w:top w:val="none" w:sz="0" w:space="0" w:color="auto"/>
                                            <w:left w:val="none" w:sz="0" w:space="0" w:color="auto"/>
                                            <w:bottom w:val="none" w:sz="0" w:space="0" w:color="auto"/>
                                            <w:right w:val="none" w:sz="0" w:space="0" w:color="auto"/>
                                          </w:divBdr>
                                          <w:divsChild>
                                            <w:div w:id="92627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9050927">
      <w:bodyDiv w:val="1"/>
      <w:marLeft w:val="0"/>
      <w:marRight w:val="0"/>
      <w:marTop w:val="0"/>
      <w:marBottom w:val="0"/>
      <w:divBdr>
        <w:top w:val="none" w:sz="0" w:space="0" w:color="auto"/>
        <w:left w:val="none" w:sz="0" w:space="0" w:color="auto"/>
        <w:bottom w:val="none" w:sz="0" w:space="0" w:color="auto"/>
        <w:right w:val="none" w:sz="0" w:space="0" w:color="auto"/>
      </w:divBdr>
      <w:divsChild>
        <w:div w:id="1764258741">
          <w:marLeft w:val="0"/>
          <w:marRight w:val="0"/>
          <w:marTop w:val="0"/>
          <w:marBottom w:val="0"/>
          <w:divBdr>
            <w:top w:val="none" w:sz="0" w:space="0" w:color="auto"/>
            <w:left w:val="none" w:sz="0" w:space="0" w:color="auto"/>
            <w:bottom w:val="none" w:sz="0" w:space="0" w:color="auto"/>
            <w:right w:val="none" w:sz="0" w:space="0" w:color="auto"/>
          </w:divBdr>
          <w:divsChild>
            <w:div w:id="555092291">
              <w:marLeft w:val="0"/>
              <w:marRight w:val="0"/>
              <w:marTop w:val="0"/>
              <w:marBottom w:val="0"/>
              <w:divBdr>
                <w:top w:val="none" w:sz="0" w:space="0" w:color="auto"/>
                <w:left w:val="none" w:sz="0" w:space="0" w:color="auto"/>
                <w:bottom w:val="none" w:sz="0" w:space="0" w:color="auto"/>
                <w:right w:val="none" w:sz="0" w:space="0" w:color="auto"/>
              </w:divBdr>
              <w:divsChild>
                <w:div w:id="1519348521">
                  <w:marLeft w:val="3360"/>
                  <w:marRight w:val="0"/>
                  <w:marTop w:val="0"/>
                  <w:marBottom w:val="0"/>
                  <w:divBdr>
                    <w:top w:val="none" w:sz="0" w:space="0" w:color="auto"/>
                    <w:left w:val="none" w:sz="0" w:space="0" w:color="auto"/>
                    <w:bottom w:val="none" w:sz="0" w:space="0" w:color="auto"/>
                    <w:right w:val="none" w:sz="0" w:space="0" w:color="auto"/>
                  </w:divBdr>
                  <w:divsChild>
                    <w:div w:id="1096943979">
                      <w:marLeft w:val="0"/>
                      <w:marRight w:val="0"/>
                      <w:marTop w:val="0"/>
                      <w:marBottom w:val="0"/>
                      <w:divBdr>
                        <w:top w:val="none" w:sz="0" w:space="0" w:color="auto"/>
                        <w:left w:val="none" w:sz="0" w:space="0" w:color="auto"/>
                        <w:bottom w:val="none" w:sz="0" w:space="0" w:color="auto"/>
                        <w:right w:val="none" w:sz="0" w:space="0" w:color="auto"/>
                      </w:divBdr>
                      <w:divsChild>
                        <w:div w:id="327827676">
                          <w:marLeft w:val="0"/>
                          <w:marRight w:val="0"/>
                          <w:marTop w:val="0"/>
                          <w:marBottom w:val="0"/>
                          <w:divBdr>
                            <w:top w:val="none" w:sz="0" w:space="0" w:color="auto"/>
                            <w:left w:val="none" w:sz="0" w:space="0" w:color="auto"/>
                            <w:bottom w:val="none" w:sz="0" w:space="0" w:color="auto"/>
                            <w:right w:val="none" w:sz="0" w:space="0" w:color="auto"/>
                          </w:divBdr>
                          <w:divsChild>
                            <w:div w:id="399600718">
                              <w:marLeft w:val="0"/>
                              <w:marRight w:val="0"/>
                              <w:marTop w:val="0"/>
                              <w:marBottom w:val="0"/>
                              <w:divBdr>
                                <w:top w:val="none" w:sz="0" w:space="0" w:color="auto"/>
                                <w:left w:val="none" w:sz="0" w:space="0" w:color="auto"/>
                                <w:bottom w:val="none" w:sz="0" w:space="0" w:color="auto"/>
                                <w:right w:val="none" w:sz="0" w:space="0" w:color="auto"/>
                              </w:divBdr>
                              <w:divsChild>
                                <w:div w:id="1122653254">
                                  <w:marLeft w:val="0"/>
                                  <w:marRight w:val="0"/>
                                  <w:marTop w:val="0"/>
                                  <w:marBottom w:val="0"/>
                                  <w:divBdr>
                                    <w:top w:val="none" w:sz="0" w:space="0" w:color="auto"/>
                                    <w:left w:val="none" w:sz="0" w:space="0" w:color="auto"/>
                                    <w:bottom w:val="none" w:sz="0" w:space="0" w:color="auto"/>
                                    <w:right w:val="none" w:sz="0" w:space="0" w:color="auto"/>
                                  </w:divBdr>
                                  <w:divsChild>
                                    <w:div w:id="383673716">
                                      <w:marLeft w:val="0"/>
                                      <w:marRight w:val="0"/>
                                      <w:marTop w:val="0"/>
                                      <w:marBottom w:val="0"/>
                                      <w:divBdr>
                                        <w:top w:val="none" w:sz="0" w:space="0" w:color="auto"/>
                                        <w:left w:val="none" w:sz="0" w:space="0" w:color="auto"/>
                                        <w:bottom w:val="none" w:sz="0" w:space="0" w:color="auto"/>
                                        <w:right w:val="none" w:sz="0" w:space="0" w:color="auto"/>
                                      </w:divBdr>
                                      <w:divsChild>
                                        <w:div w:id="1208227502">
                                          <w:marLeft w:val="0"/>
                                          <w:marRight w:val="0"/>
                                          <w:marTop w:val="0"/>
                                          <w:marBottom w:val="0"/>
                                          <w:divBdr>
                                            <w:top w:val="none" w:sz="0" w:space="0" w:color="auto"/>
                                            <w:left w:val="none" w:sz="0" w:space="0" w:color="auto"/>
                                            <w:bottom w:val="none" w:sz="0" w:space="0" w:color="auto"/>
                                            <w:right w:val="none" w:sz="0" w:space="0" w:color="auto"/>
                                          </w:divBdr>
                                          <w:divsChild>
                                            <w:div w:id="386149711">
                                              <w:marLeft w:val="0"/>
                                              <w:marRight w:val="0"/>
                                              <w:marTop w:val="0"/>
                                              <w:marBottom w:val="0"/>
                                              <w:divBdr>
                                                <w:top w:val="none" w:sz="0" w:space="0" w:color="auto"/>
                                                <w:left w:val="none" w:sz="0" w:space="0" w:color="auto"/>
                                                <w:bottom w:val="none" w:sz="0" w:space="0" w:color="auto"/>
                                                <w:right w:val="none" w:sz="0" w:space="0" w:color="auto"/>
                                              </w:divBdr>
                                              <w:divsChild>
                                                <w:div w:id="1487816332">
                                                  <w:marLeft w:val="0"/>
                                                  <w:marRight w:val="0"/>
                                                  <w:marTop w:val="0"/>
                                                  <w:marBottom w:val="0"/>
                                                  <w:divBdr>
                                                    <w:top w:val="none" w:sz="0" w:space="0" w:color="auto"/>
                                                    <w:left w:val="none" w:sz="0" w:space="0" w:color="auto"/>
                                                    <w:bottom w:val="none" w:sz="0" w:space="0" w:color="auto"/>
                                                    <w:right w:val="none" w:sz="0" w:space="0" w:color="auto"/>
                                                  </w:divBdr>
                                                  <w:divsChild>
                                                    <w:div w:id="60713587">
                                                      <w:marLeft w:val="0"/>
                                                      <w:marRight w:val="0"/>
                                                      <w:marTop w:val="0"/>
                                                      <w:marBottom w:val="0"/>
                                                      <w:divBdr>
                                                        <w:top w:val="none" w:sz="0" w:space="0" w:color="auto"/>
                                                        <w:left w:val="none" w:sz="0" w:space="0" w:color="auto"/>
                                                        <w:bottom w:val="none" w:sz="0" w:space="0" w:color="auto"/>
                                                        <w:right w:val="none" w:sz="0" w:space="0" w:color="auto"/>
                                                      </w:divBdr>
                                                      <w:divsChild>
                                                        <w:div w:id="1631475348">
                                                          <w:marLeft w:val="0"/>
                                                          <w:marRight w:val="0"/>
                                                          <w:marTop w:val="0"/>
                                                          <w:marBottom w:val="0"/>
                                                          <w:divBdr>
                                                            <w:top w:val="none" w:sz="0" w:space="0" w:color="auto"/>
                                                            <w:left w:val="none" w:sz="0" w:space="0" w:color="auto"/>
                                                            <w:bottom w:val="none" w:sz="0" w:space="0" w:color="auto"/>
                                                            <w:right w:val="none" w:sz="0" w:space="0" w:color="auto"/>
                                                          </w:divBdr>
                                                          <w:divsChild>
                                                            <w:div w:id="416488402">
                                                              <w:marLeft w:val="0"/>
                                                              <w:marRight w:val="0"/>
                                                              <w:marTop w:val="0"/>
                                                              <w:marBottom w:val="0"/>
                                                              <w:divBdr>
                                                                <w:top w:val="none" w:sz="0" w:space="0" w:color="auto"/>
                                                                <w:left w:val="none" w:sz="0" w:space="0" w:color="auto"/>
                                                                <w:bottom w:val="none" w:sz="0" w:space="0" w:color="auto"/>
                                                                <w:right w:val="none" w:sz="0" w:space="0" w:color="auto"/>
                                                              </w:divBdr>
                                                            </w:div>
                                                          </w:divsChild>
                                                        </w:div>
                                                        <w:div w:id="2118795922">
                                                          <w:marLeft w:val="0"/>
                                                          <w:marRight w:val="0"/>
                                                          <w:marTop w:val="0"/>
                                                          <w:marBottom w:val="0"/>
                                                          <w:divBdr>
                                                            <w:top w:val="none" w:sz="0" w:space="0" w:color="auto"/>
                                                            <w:left w:val="none" w:sz="0" w:space="0" w:color="auto"/>
                                                            <w:bottom w:val="none" w:sz="0" w:space="0" w:color="auto"/>
                                                            <w:right w:val="none" w:sz="0" w:space="0" w:color="auto"/>
                                                          </w:divBdr>
                                                        </w:div>
                                                      </w:divsChild>
                                                    </w:div>
                                                    <w:div w:id="471139780">
                                                      <w:marLeft w:val="0"/>
                                                      <w:marRight w:val="0"/>
                                                      <w:marTop w:val="0"/>
                                                      <w:marBottom w:val="0"/>
                                                      <w:divBdr>
                                                        <w:top w:val="none" w:sz="0" w:space="0" w:color="auto"/>
                                                        <w:left w:val="none" w:sz="0" w:space="0" w:color="auto"/>
                                                        <w:bottom w:val="none" w:sz="0" w:space="0" w:color="auto"/>
                                                        <w:right w:val="none" w:sz="0" w:space="0" w:color="auto"/>
                                                      </w:divBdr>
                                                      <w:divsChild>
                                                        <w:div w:id="504130451">
                                                          <w:marLeft w:val="0"/>
                                                          <w:marRight w:val="0"/>
                                                          <w:marTop w:val="0"/>
                                                          <w:marBottom w:val="0"/>
                                                          <w:divBdr>
                                                            <w:top w:val="none" w:sz="0" w:space="0" w:color="auto"/>
                                                            <w:left w:val="none" w:sz="0" w:space="0" w:color="auto"/>
                                                            <w:bottom w:val="none" w:sz="0" w:space="0" w:color="auto"/>
                                                            <w:right w:val="none" w:sz="0" w:space="0" w:color="auto"/>
                                                          </w:divBdr>
                                                        </w:div>
                                                        <w:div w:id="1325476004">
                                                          <w:marLeft w:val="0"/>
                                                          <w:marRight w:val="0"/>
                                                          <w:marTop w:val="0"/>
                                                          <w:marBottom w:val="0"/>
                                                          <w:divBdr>
                                                            <w:top w:val="none" w:sz="0" w:space="0" w:color="auto"/>
                                                            <w:left w:val="none" w:sz="0" w:space="0" w:color="auto"/>
                                                            <w:bottom w:val="none" w:sz="0" w:space="0" w:color="auto"/>
                                                            <w:right w:val="none" w:sz="0" w:space="0" w:color="auto"/>
                                                          </w:divBdr>
                                                          <w:divsChild>
                                                            <w:div w:id="1177690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483250">
                                                      <w:marLeft w:val="0"/>
                                                      <w:marRight w:val="0"/>
                                                      <w:marTop w:val="0"/>
                                                      <w:marBottom w:val="0"/>
                                                      <w:divBdr>
                                                        <w:top w:val="none" w:sz="0" w:space="0" w:color="auto"/>
                                                        <w:left w:val="none" w:sz="0" w:space="0" w:color="auto"/>
                                                        <w:bottom w:val="none" w:sz="0" w:space="0" w:color="auto"/>
                                                        <w:right w:val="none" w:sz="0" w:space="0" w:color="auto"/>
                                                      </w:divBdr>
                                                      <w:divsChild>
                                                        <w:div w:id="1931770608">
                                                          <w:marLeft w:val="0"/>
                                                          <w:marRight w:val="0"/>
                                                          <w:marTop w:val="0"/>
                                                          <w:marBottom w:val="0"/>
                                                          <w:divBdr>
                                                            <w:top w:val="none" w:sz="0" w:space="0" w:color="auto"/>
                                                            <w:left w:val="none" w:sz="0" w:space="0" w:color="auto"/>
                                                            <w:bottom w:val="none" w:sz="0" w:space="0" w:color="auto"/>
                                                            <w:right w:val="none" w:sz="0" w:space="0" w:color="auto"/>
                                                          </w:divBdr>
                                                          <w:divsChild>
                                                            <w:div w:id="1181705329">
                                                              <w:marLeft w:val="0"/>
                                                              <w:marRight w:val="0"/>
                                                              <w:marTop w:val="0"/>
                                                              <w:marBottom w:val="0"/>
                                                              <w:divBdr>
                                                                <w:top w:val="none" w:sz="0" w:space="0" w:color="auto"/>
                                                                <w:left w:val="none" w:sz="0" w:space="0" w:color="auto"/>
                                                                <w:bottom w:val="none" w:sz="0" w:space="0" w:color="auto"/>
                                                                <w:right w:val="none" w:sz="0" w:space="0" w:color="auto"/>
                                                              </w:divBdr>
                                                            </w:div>
                                                          </w:divsChild>
                                                        </w:div>
                                                        <w:div w:id="1968777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9975550">
      <w:bodyDiv w:val="1"/>
      <w:marLeft w:val="0"/>
      <w:marRight w:val="0"/>
      <w:marTop w:val="0"/>
      <w:marBottom w:val="0"/>
      <w:divBdr>
        <w:top w:val="none" w:sz="0" w:space="0" w:color="auto"/>
        <w:left w:val="none" w:sz="0" w:space="0" w:color="auto"/>
        <w:bottom w:val="none" w:sz="0" w:space="0" w:color="auto"/>
        <w:right w:val="none" w:sz="0" w:space="0" w:color="auto"/>
      </w:divBdr>
      <w:divsChild>
        <w:div w:id="433481065">
          <w:marLeft w:val="0"/>
          <w:marRight w:val="0"/>
          <w:marTop w:val="0"/>
          <w:marBottom w:val="0"/>
          <w:divBdr>
            <w:top w:val="none" w:sz="0" w:space="0" w:color="auto"/>
            <w:left w:val="none" w:sz="0" w:space="0" w:color="auto"/>
            <w:bottom w:val="none" w:sz="0" w:space="0" w:color="auto"/>
            <w:right w:val="none" w:sz="0" w:space="0" w:color="auto"/>
          </w:divBdr>
          <w:divsChild>
            <w:div w:id="1635017335">
              <w:marLeft w:val="0"/>
              <w:marRight w:val="0"/>
              <w:marTop w:val="0"/>
              <w:marBottom w:val="0"/>
              <w:divBdr>
                <w:top w:val="none" w:sz="0" w:space="0" w:color="auto"/>
                <w:left w:val="none" w:sz="0" w:space="0" w:color="auto"/>
                <w:bottom w:val="none" w:sz="0" w:space="0" w:color="auto"/>
                <w:right w:val="none" w:sz="0" w:space="0" w:color="auto"/>
              </w:divBdr>
              <w:divsChild>
                <w:div w:id="864027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6017372">
      <w:bodyDiv w:val="1"/>
      <w:marLeft w:val="0"/>
      <w:marRight w:val="0"/>
      <w:marTop w:val="0"/>
      <w:marBottom w:val="0"/>
      <w:divBdr>
        <w:top w:val="none" w:sz="0" w:space="0" w:color="auto"/>
        <w:left w:val="none" w:sz="0" w:space="0" w:color="auto"/>
        <w:bottom w:val="none" w:sz="0" w:space="0" w:color="auto"/>
        <w:right w:val="none" w:sz="0" w:space="0" w:color="auto"/>
      </w:divBdr>
      <w:divsChild>
        <w:div w:id="1513833901">
          <w:marLeft w:val="0"/>
          <w:marRight w:val="0"/>
          <w:marTop w:val="0"/>
          <w:marBottom w:val="0"/>
          <w:divBdr>
            <w:top w:val="none" w:sz="0" w:space="0" w:color="auto"/>
            <w:left w:val="none" w:sz="0" w:space="0" w:color="auto"/>
            <w:bottom w:val="none" w:sz="0" w:space="0" w:color="auto"/>
            <w:right w:val="none" w:sz="0" w:space="0" w:color="auto"/>
          </w:divBdr>
          <w:divsChild>
            <w:div w:id="1094935635">
              <w:marLeft w:val="0"/>
              <w:marRight w:val="0"/>
              <w:marTop w:val="0"/>
              <w:marBottom w:val="0"/>
              <w:divBdr>
                <w:top w:val="none" w:sz="0" w:space="0" w:color="auto"/>
                <w:left w:val="none" w:sz="0" w:space="0" w:color="auto"/>
                <w:bottom w:val="none" w:sz="0" w:space="0" w:color="auto"/>
                <w:right w:val="none" w:sz="0" w:space="0" w:color="auto"/>
              </w:divBdr>
              <w:divsChild>
                <w:div w:id="1495104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5337518">
      <w:bodyDiv w:val="1"/>
      <w:marLeft w:val="0"/>
      <w:marRight w:val="0"/>
      <w:marTop w:val="0"/>
      <w:marBottom w:val="0"/>
      <w:divBdr>
        <w:top w:val="none" w:sz="0" w:space="0" w:color="auto"/>
        <w:left w:val="none" w:sz="0" w:space="0" w:color="auto"/>
        <w:bottom w:val="none" w:sz="0" w:space="0" w:color="auto"/>
        <w:right w:val="none" w:sz="0" w:space="0" w:color="auto"/>
      </w:divBdr>
    </w:div>
    <w:div w:id="234435885">
      <w:bodyDiv w:val="1"/>
      <w:marLeft w:val="0"/>
      <w:marRight w:val="0"/>
      <w:marTop w:val="0"/>
      <w:marBottom w:val="0"/>
      <w:divBdr>
        <w:top w:val="none" w:sz="0" w:space="0" w:color="auto"/>
        <w:left w:val="none" w:sz="0" w:space="0" w:color="auto"/>
        <w:bottom w:val="none" w:sz="0" w:space="0" w:color="auto"/>
        <w:right w:val="none" w:sz="0" w:space="0" w:color="auto"/>
      </w:divBdr>
    </w:div>
    <w:div w:id="253589890">
      <w:bodyDiv w:val="1"/>
      <w:marLeft w:val="0"/>
      <w:marRight w:val="0"/>
      <w:marTop w:val="0"/>
      <w:marBottom w:val="0"/>
      <w:divBdr>
        <w:top w:val="none" w:sz="0" w:space="0" w:color="auto"/>
        <w:left w:val="none" w:sz="0" w:space="0" w:color="auto"/>
        <w:bottom w:val="none" w:sz="0" w:space="0" w:color="auto"/>
        <w:right w:val="none" w:sz="0" w:space="0" w:color="auto"/>
      </w:divBdr>
      <w:divsChild>
        <w:div w:id="1889143609">
          <w:marLeft w:val="0"/>
          <w:marRight w:val="0"/>
          <w:marTop w:val="0"/>
          <w:marBottom w:val="0"/>
          <w:divBdr>
            <w:top w:val="none" w:sz="0" w:space="0" w:color="auto"/>
            <w:left w:val="none" w:sz="0" w:space="0" w:color="auto"/>
            <w:bottom w:val="none" w:sz="0" w:space="0" w:color="auto"/>
            <w:right w:val="none" w:sz="0" w:space="0" w:color="auto"/>
          </w:divBdr>
          <w:divsChild>
            <w:div w:id="1040592919">
              <w:marLeft w:val="0"/>
              <w:marRight w:val="0"/>
              <w:marTop w:val="0"/>
              <w:marBottom w:val="0"/>
              <w:divBdr>
                <w:top w:val="none" w:sz="0" w:space="0" w:color="auto"/>
                <w:left w:val="none" w:sz="0" w:space="0" w:color="auto"/>
                <w:bottom w:val="none" w:sz="0" w:space="0" w:color="auto"/>
                <w:right w:val="none" w:sz="0" w:space="0" w:color="auto"/>
              </w:divBdr>
              <w:divsChild>
                <w:div w:id="57247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038105">
      <w:bodyDiv w:val="1"/>
      <w:marLeft w:val="0"/>
      <w:marRight w:val="0"/>
      <w:marTop w:val="0"/>
      <w:marBottom w:val="0"/>
      <w:divBdr>
        <w:top w:val="none" w:sz="0" w:space="0" w:color="auto"/>
        <w:left w:val="none" w:sz="0" w:space="0" w:color="auto"/>
        <w:bottom w:val="none" w:sz="0" w:space="0" w:color="auto"/>
        <w:right w:val="none" w:sz="0" w:space="0" w:color="auto"/>
      </w:divBdr>
    </w:div>
    <w:div w:id="273371860">
      <w:bodyDiv w:val="1"/>
      <w:marLeft w:val="0"/>
      <w:marRight w:val="0"/>
      <w:marTop w:val="0"/>
      <w:marBottom w:val="0"/>
      <w:divBdr>
        <w:top w:val="none" w:sz="0" w:space="0" w:color="auto"/>
        <w:left w:val="none" w:sz="0" w:space="0" w:color="auto"/>
        <w:bottom w:val="none" w:sz="0" w:space="0" w:color="auto"/>
        <w:right w:val="none" w:sz="0" w:space="0" w:color="auto"/>
      </w:divBdr>
      <w:divsChild>
        <w:div w:id="1486386638">
          <w:marLeft w:val="0"/>
          <w:marRight w:val="0"/>
          <w:marTop w:val="0"/>
          <w:marBottom w:val="0"/>
          <w:divBdr>
            <w:top w:val="none" w:sz="0" w:space="0" w:color="auto"/>
            <w:left w:val="none" w:sz="0" w:space="0" w:color="auto"/>
            <w:bottom w:val="none" w:sz="0" w:space="0" w:color="auto"/>
            <w:right w:val="none" w:sz="0" w:space="0" w:color="auto"/>
          </w:divBdr>
          <w:divsChild>
            <w:div w:id="1087267159">
              <w:marLeft w:val="0"/>
              <w:marRight w:val="0"/>
              <w:marTop w:val="0"/>
              <w:marBottom w:val="0"/>
              <w:divBdr>
                <w:top w:val="none" w:sz="0" w:space="0" w:color="auto"/>
                <w:left w:val="none" w:sz="0" w:space="0" w:color="auto"/>
                <w:bottom w:val="none" w:sz="0" w:space="0" w:color="auto"/>
                <w:right w:val="none" w:sz="0" w:space="0" w:color="auto"/>
              </w:divBdr>
              <w:divsChild>
                <w:div w:id="1718310733">
                  <w:marLeft w:val="0"/>
                  <w:marRight w:val="0"/>
                  <w:marTop w:val="0"/>
                  <w:marBottom w:val="0"/>
                  <w:divBdr>
                    <w:top w:val="none" w:sz="0" w:space="0" w:color="auto"/>
                    <w:left w:val="none" w:sz="0" w:space="0" w:color="auto"/>
                    <w:bottom w:val="none" w:sz="0" w:space="0" w:color="auto"/>
                    <w:right w:val="none" w:sz="0" w:space="0" w:color="auto"/>
                  </w:divBdr>
                  <w:divsChild>
                    <w:div w:id="1397125761">
                      <w:marLeft w:val="0"/>
                      <w:marRight w:val="0"/>
                      <w:marTop w:val="0"/>
                      <w:marBottom w:val="0"/>
                      <w:divBdr>
                        <w:top w:val="none" w:sz="0" w:space="0" w:color="auto"/>
                        <w:left w:val="none" w:sz="0" w:space="0" w:color="auto"/>
                        <w:bottom w:val="none" w:sz="0" w:space="0" w:color="auto"/>
                        <w:right w:val="none" w:sz="0" w:space="0" w:color="auto"/>
                      </w:divBdr>
                      <w:divsChild>
                        <w:div w:id="916790503">
                          <w:marLeft w:val="0"/>
                          <w:marRight w:val="0"/>
                          <w:marTop w:val="0"/>
                          <w:marBottom w:val="0"/>
                          <w:divBdr>
                            <w:top w:val="none" w:sz="0" w:space="0" w:color="auto"/>
                            <w:left w:val="none" w:sz="0" w:space="0" w:color="auto"/>
                            <w:bottom w:val="none" w:sz="0" w:space="0" w:color="auto"/>
                            <w:right w:val="none" w:sz="0" w:space="0" w:color="auto"/>
                          </w:divBdr>
                          <w:divsChild>
                            <w:div w:id="1000161593">
                              <w:marLeft w:val="150"/>
                              <w:marRight w:val="150"/>
                              <w:marTop w:val="150"/>
                              <w:marBottom w:val="150"/>
                              <w:divBdr>
                                <w:top w:val="none" w:sz="0" w:space="0" w:color="auto"/>
                                <w:left w:val="none" w:sz="0" w:space="0" w:color="auto"/>
                                <w:bottom w:val="none" w:sz="0" w:space="0" w:color="auto"/>
                                <w:right w:val="none" w:sz="0" w:space="0" w:color="auto"/>
                              </w:divBdr>
                              <w:divsChild>
                                <w:div w:id="529029208">
                                  <w:marLeft w:val="0"/>
                                  <w:marRight w:val="0"/>
                                  <w:marTop w:val="0"/>
                                  <w:marBottom w:val="0"/>
                                  <w:divBdr>
                                    <w:top w:val="none" w:sz="0" w:space="0" w:color="auto"/>
                                    <w:left w:val="none" w:sz="0" w:space="0" w:color="auto"/>
                                    <w:bottom w:val="none" w:sz="0" w:space="0" w:color="auto"/>
                                    <w:right w:val="none" w:sz="0" w:space="0" w:color="auto"/>
                                  </w:divBdr>
                                  <w:divsChild>
                                    <w:div w:id="1987850951">
                                      <w:marLeft w:val="0"/>
                                      <w:marRight w:val="0"/>
                                      <w:marTop w:val="0"/>
                                      <w:marBottom w:val="0"/>
                                      <w:divBdr>
                                        <w:top w:val="none" w:sz="0" w:space="0" w:color="auto"/>
                                        <w:left w:val="none" w:sz="0" w:space="0" w:color="auto"/>
                                        <w:bottom w:val="none" w:sz="0" w:space="0" w:color="auto"/>
                                        <w:right w:val="none" w:sz="0" w:space="0" w:color="auto"/>
                                      </w:divBdr>
                                      <w:divsChild>
                                        <w:div w:id="770050979">
                                          <w:marLeft w:val="0"/>
                                          <w:marRight w:val="0"/>
                                          <w:marTop w:val="0"/>
                                          <w:marBottom w:val="0"/>
                                          <w:divBdr>
                                            <w:top w:val="none" w:sz="0" w:space="0" w:color="auto"/>
                                            <w:left w:val="none" w:sz="0" w:space="0" w:color="auto"/>
                                            <w:bottom w:val="none" w:sz="0" w:space="0" w:color="auto"/>
                                            <w:right w:val="none" w:sz="0" w:space="0" w:color="auto"/>
                                          </w:divBdr>
                                          <w:divsChild>
                                            <w:div w:id="784422055">
                                              <w:marLeft w:val="0"/>
                                              <w:marRight w:val="0"/>
                                              <w:marTop w:val="0"/>
                                              <w:marBottom w:val="0"/>
                                              <w:divBdr>
                                                <w:top w:val="none" w:sz="0" w:space="0" w:color="auto"/>
                                                <w:left w:val="none" w:sz="0" w:space="0" w:color="auto"/>
                                                <w:bottom w:val="none" w:sz="0" w:space="0" w:color="auto"/>
                                                <w:right w:val="none" w:sz="0" w:space="0" w:color="auto"/>
                                              </w:divBdr>
                                              <w:divsChild>
                                                <w:div w:id="90672299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76059449">
      <w:bodyDiv w:val="1"/>
      <w:marLeft w:val="0"/>
      <w:marRight w:val="0"/>
      <w:marTop w:val="0"/>
      <w:marBottom w:val="0"/>
      <w:divBdr>
        <w:top w:val="none" w:sz="0" w:space="0" w:color="auto"/>
        <w:left w:val="none" w:sz="0" w:space="0" w:color="auto"/>
        <w:bottom w:val="none" w:sz="0" w:space="0" w:color="auto"/>
        <w:right w:val="none" w:sz="0" w:space="0" w:color="auto"/>
      </w:divBdr>
    </w:div>
    <w:div w:id="277491898">
      <w:bodyDiv w:val="1"/>
      <w:marLeft w:val="0"/>
      <w:marRight w:val="0"/>
      <w:marTop w:val="0"/>
      <w:marBottom w:val="0"/>
      <w:divBdr>
        <w:top w:val="none" w:sz="0" w:space="0" w:color="auto"/>
        <w:left w:val="none" w:sz="0" w:space="0" w:color="auto"/>
        <w:bottom w:val="none" w:sz="0" w:space="0" w:color="auto"/>
        <w:right w:val="none" w:sz="0" w:space="0" w:color="auto"/>
      </w:divBdr>
      <w:divsChild>
        <w:div w:id="139006293">
          <w:marLeft w:val="922"/>
          <w:marRight w:val="0"/>
          <w:marTop w:val="115"/>
          <w:marBottom w:val="0"/>
          <w:divBdr>
            <w:top w:val="none" w:sz="0" w:space="0" w:color="auto"/>
            <w:left w:val="none" w:sz="0" w:space="0" w:color="auto"/>
            <w:bottom w:val="none" w:sz="0" w:space="0" w:color="auto"/>
            <w:right w:val="none" w:sz="0" w:space="0" w:color="auto"/>
          </w:divBdr>
        </w:div>
        <w:div w:id="231887181">
          <w:marLeft w:val="547"/>
          <w:marRight w:val="0"/>
          <w:marTop w:val="192"/>
          <w:marBottom w:val="0"/>
          <w:divBdr>
            <w:top w:val="none" w:sz="0" w:space="0" w:color="auto"/>
            <w:left w:val="none" w:sz="0" w:space="0" w:color="auto"/>
            <w:bottom w:val="none" w:sz="0" w:space="0" w:color="auto"/>
            <w:right w:val="none" w:sz="0" w:space="0" w:color="auto"/>
          </w:divBdr>
        </w:div>
        <w:div w:id="401217824">
          <w:marLeft w:val="547"/>
          <w:marRight w:val="0"/>
          <w:marTop w:val="192"/>
          <w:marBottom w:val="0"/>
          <w:divBdr>
            <w:top w:val="none" w:sz="0" w:space="0" w:color="auto"/>
            <w:left w:val="none" w:sz="0" w:space="0" w:color="auto"/>
            <w:bottom w:val="none" w:sz="0" w:space="0" w:color="auto"/>
            <w:right w:val="none" w:sz="0" w:space="0" w:color="auto"/>
          </w:divBdr>
        </w:div>
        <w:div w:id="630328748">
          <w:marLeft w:val="922"/>
          <w:marRight w:val="0"/>
          <w:marTop w:val="115"/>
          <w:marBottom w:val="0"/>
          <w:divBdr>
            <w:top w:val="none" w:sz="0" w:space="0" w:color="auto"/>
            <w:left w:val="none" w:sz="0" w:space="0" w:color="auto"/>
            <w:bottom w:val="none" w:sz="0" w:space="0" w:color="auto"/>
            <w:right w:val="none" w:sz="0" w:space="0" w:color="auto"/>
          </w:divBdr>
        </w:div>
        <w:div w:id="988291665">
          <w:marLeft w:val="922"/>
          <w:marRight w:val="0"/>
          <w:marTop w:val="115"/>
          <w:marBottom w:val="0"/>
          <w:divBdr>
            <w:top w:val="none" w:sz="0" w:space="0" w:color="auto"/>
            <w:left w:val="none" w:sz="0" w:space="0" w:color="auto"/>
            <w:bottom w:val="none" w:sz="0" w:space="0" w:color="auto"/>
            <w:right w:val="none" w:sz="0" w:space="0" w:color="auto"/>
          </w:divBdr>
        </w:div>
        <w:div w:id="1047074281">
          <w:marLeft w:val="922"/>
          <w:marRight w:val="0"/>
          <w:marTop w:val="115"/>
          <w:marBottom w:val="0"/>
          <w:divBdr>
            <w:top w:val="none" w:sz="0" w:space="0" w:color="auto"/>
            <w:left w:val="none" w:sz="0" w:space="0" w:color="auto"/>
            <w:bottom w:val="none" w:sz="0" w:space="0" w:color="auto"/>
            <w:right w:val="none" w:sz="0" w:space="0" w:color="auto"/>
          </w:divBdr>
        </w:div>
        <w:div w:id="1077435464">
          <w:marLeft w:val="922"/>
          <w:marRight w:val="0"/>
          <w:marTop w:val="115"/>
          <w:marBottom w:val="0"/>
          <w:divBdr>
            <w:top w:val="none" w:sz="0" w:space="0" w:color="auto"/>
            <w:left w:val="none" w:sz="0" w:space="0" w:color="auto"/>
            <w:bottom w:val="none" w:sz="0" w:space="0" w:color="auto"/>
            <w:right w:val="none" w:sz="0" w:space="0" w:color="auto"/>
          </w:divBdr>
        </w:div>
        <w:div w:id="1329869543">
          <w:marLeft w:val="922"/>
          <w:marRight w:val="0"/>
          <w:marTop w:val="115"/>
          <w:marBottom w:val="0"/>
          <w:divBdr>
            <w:top w:val="none" w:sz="0" w:space="0" w:color="auto"/>
            <w:left w:val="none" w:sz="0" w:space="0" w:color="auto"/>
            <w:bottom w:val="none" w:sz="0" w:space="0" w:color="auto"/>
            <w:right w:val="none" w:sz="0" w:space="0" w:color="auto"/>
          </w:divBdr>
        </w:div>
        <w:div w:id="1581670427">
          <w:marLeft w:val="547"/>
          <w:marRight w:val="0"/>
          <w:marTop w:val="192"/>
          <w:marBottom w:val="0"/>
          <w:divBdr>
            <w:top w:val="none" w:sz="0" w:space="0" w:color="auto"/>
            <w:left w:val="none" w:sz="0" w:space="0" w:color="auto"/>
            <w:bottom w:val="none" w:sz="0" w:space="0" w:color="auto"/>
            <w:right w:val="none" w:sz="0" w:space="0" w:color="auto"/>
          </w:divBdr>
        </w:div>
        <w:div w:id="1737968224">
          <w:marLeft w:val="922"/>
          <w:marRight w:val="0"/>
          <w:marTop w:val="115"/>
          <w:marBottom w:val="0"/>
          <w:divBdr>
            <w:top w:val="none" w:sz="0" w:space="0" w:color="auto"/>
            <w:left w:val="none" w:sz="0" w:space="0" w:color="auto"/>
            <w:bottom w:val="none" w:sz="0" w:space="0" w:color="auto"/>
            <w:right w:val="none" w:sz="0" w:space="0" w:color="auto"/>
          </w:divBdr>
        </w:div>
      </w:divsChild>
    </w:div>
    <w:div w:id="286088711">
      <w:bodyDiv w:val="1"/>
      <w:marLeft w:val="0"/>
      <w:marRight w:val="0"/>
      <w:marTop w:val="0"/>
      <w:marBottom w:val="0"/>
      <w:divBdr>
        <w:top w:val="none" w:sz="0" w:space="0" w:color="auto"/>
        <w:left w:val="none" w:sz="0" w:space="0" w:color="auto"/>
        <w:bottom w:val="none" w:sz="0" w:space="0" w:color="auto"/>
        <w:right w:val="none" w:sz="0" w:space="0" w:color="auto"/>
      </w:divBdr>
      <w:divsChild>
        <w:div w:id="1706057285">
          <w:marLeft w:val="0"/>
          <w:marRight w:val="0"/>
          <w:marTop w:val="0"/>
          <w:marBottom w:val="0"/>
          <w:divBdr>
            <w:top w:val="none" w:sz="0" w:space="0" w:color="auto"/>
            <w:left w:val="none" w:sz="0" w:space="0" w:color="auto"/>
            <w:bottom w:val="none" w:sz="0" w:space="0" w:color="auto"/>
            <w:right w:val="none" w:sz="0" w:space="0" w:color="auto"/>
          </w:divBdr>
          <w:divsChild>
            <w:div w:id="1269849394">
              <w:marLeft w:val="0"/>
              <w:marRight w:val="0"/>
              <w:marTop w:val="0"/>
              <w:marBottom w:val="0"/>
              <w:divBdr>
                <w:top w:val="none" w:sz="0" w:space="0" w:color="auto"/>
                <w:left w:val="none" w:sz="0" w:space="0" w:color="auto"/>
                <w:bottom w:val="none" w:sz="0" w:space="0" w:color="auto"/>
                <w:right w:val="none" w:sz="0" w:space="0" w:color="auto"/>
              </w:divBdr>
              <w:divsChild>
                <w:div w:id="1336297906">
                  <w:marLeft w:val="4935"/>
                  <w:marRight w:val="0"/>
                  <w:marTop w:val="0"/>
                  <w:marBottom w:val="0"/>
                  <w:divBdr>
                    <w:top w:val="none" w:sz="0" w:space="0" w:color="auto"/>
                    <w:left w:val="none" w:sz="0" w:space="0" w:color="auto"/>
                    <w:bottom w:val="none" w:sz="0" w:space="0" w:color="auto"/>
                    <w:right w:val="none" w:sz="0" w:space="0" w:color="auto"/>
                  </w:divBdr>
                  <w:divsChild>
                    <w:div w:id="1166702816">
                      <w:marLeft w:val="0"/>
                      <w:marRight w:val="0"/>
                      <w:marTop w:val="0"/>
                      <w:marBottom w:val="0"/>
                      <w:divBdr>
                        <w:top w:val="none" w:sz="0" w:space="0" w:color="auto"/>
                        <w:left w:val="none" w:sz="0" w:space="0" w:color="auto"/>
                        <w:bottom w:val="none" w:sz="0" w:space="0" w:color="auto"/>
                        <w:right w:val="none" w:sz="0" w:space="0" w:color="auto"/>
                      </w:divBdr>
                      <w:divsChild>
                        <w:div w:id="1781219010">
                          <w:marLeft w:val="0"/>
                          <w:marRight w:val="0"/>
                          <w:marTop w:val="0"/>
                          <w:marBottom w:val="0"/>
                          <w:divBdr>
                            <w:top w:val="none" w:sz="0" w:space="0" w:color="auto"/>
                            <w:left w:val="none" w:sz="0" w:space="0" w:color="auto"/>
                            <w:bottom w:val="none" w:sz="0" w:space="0" w:color="auto"/>
                            <w:right w:val="none" w:sz="0" w:space="0" w:color="auto"/>
                          </w:divBdr>
                          <w:divsChild>
                            <w:div w:id="322860250">
                              <w:marLeft w:val="0"/>
                              <w:marRight w:val="0"/>
                              <w:marTop w:val="0"/>
                              <w:marBottom w:val="0"/>
                              <w:divBdr>
                                <w:top w:val="none" w:sz="0" w:space="0" w:color="auto"/>
                                <w:left w:val="none" w:sz="0" w:space="0" w:color="auto"/>
                                <w:bottom w:val="none" w:sz="0" w:space="0" w:color="auto"/>
                                <w:right w:val="none" w:sz="0" w:space="0" w:color="auto"/>
                              </w:divBdr>
                              <w:divsChild>
                                <w:div w:id="323166201">
                                  <w:marLeft w:val="0"/>
                                  <w:marRight w:val="0"/>
                                  <w:marTop w:val="0"/>
                                  <w:marBottom w:val="0"/>
                                  <w:divBdr>
                                    <w:top w:val="none" w:sz="0" w:space="0" w:color="auto"/>
                                    <w:left w:val="none" w:sz="0" w:space="0" w:color="auto"/>
                                    <w:bottom w:val="none" w:sz="0" w:space="0" w:color="auto"/>
                                    <w:right w:val="none" w:sz="0" w:space="0" w:color="auto"/>
                                  </w:divBdr>
                                  <w:divsChild>
                                    <w:div w:id="1047608511">
                                      <w:marLeft w:val="0"/>
                                      <w:marRight w:val="0"/>
                                      <w:marTop w:val="0"/>
                                      <w:marBottom w:val="0"/>
                                      <w:divBdr>
                                        <w:top w:val="none" w:sz="0" w:space="0" w:color="auto"/>
                                        <w:left w:val="none" w:sz="0" w:space="0" w:color="auto"/>
                                        <w:bottom w:val="none" w:sz="0" w:space="0" w:color="auto"/>
                                        <w:right w:val="none" w:sz="0" w:space="0" w:color="auto"/>
                                      </w:divBdr>
                                      <w:divsChild>
                                        <w:div w:id="1253246998">
                                          <w:marLeft w:val="0"/>
                                          <w:marRight w:val="0"/>
                                          <w:marTop w:val="0"/>
                                          <w:marBottom w:val="0"/>
                                          <w:divBdr>
                                            <w:top w:val="none" w:sz="0" w:space="0" w:color="auto"/>
                                            <w:left w:val="none" w:sz="0" w:space="0" w:color="auto"/>
                                            <w:bottom w:val="none" w:sz="0" w:space="0" w:color="auto"/>
                                            <w:right w:val="none" w:sz="0" w:space="0" w:color="auto"/>
                                          </w:divBdr>
                                          <w:divsChild>
                                            <w:div w:id="1939674172">
                                              <w:marLeft w:val="0"/>
                                              <w:marRight w:val="0"/>
                                              <w:marTop w:val="0"/>
                                              <w:marBottom w:val="0"/>
                                              <w:divBdr>
                                                <w:top w:val="none" w:sz="0" w:space="0" w:color="auto"/>
                                                <w:left w:val="none" w:sz="0" w:space="0" w:color="auto"/>
                                                <w:bottom w:val="none" w:sz="0" w:space="0" w:color="auto"/>
                                                <w:right w:val="none" w:sz="0" w:space="0" w:color="auto"/>
                                              </w:divBdr>
                                              <w:divsChild>
                                                <w:div w:id="662583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90206318">
      <w:bodyDiv w:val="1"/>
      <w:marLeft w:val="0"/>
      <w:marRight w:val="0"/>
      <w:marTop w:val="0"/>
      <w:marBottom w:val="0"/>
      <w:divBdr>
        <w:top w:val="none" w:sz="0" w:space="0" w:color="auto"/>
        <w:left w:val="none" w:sz="0" w:space="0" w:color="auto"/>
        <w:bottom w:val="none" w:sz="0" w:space="0" w:color="auto"/>
        <w:right w:val="none" w:sz="0" w:space="0" w:color="auto"/>
      </w:divBdr>
      <w:divsChild>
        <w:div w:id="1833056797">
          <w:marLeft w:val="0"/>
          <w:marRight w:val="0"/>
          <w:marTop w:val="0"/>
          <w:marBottom w:val="0"/>
          <w:divBdr>
            <w:top w:val="none" w:sz="0" w:space="0" w:color="auto"/>
            <w:left w:val="none" w:sz="0" w:space="0" w:color="auto"/>
            <w:bottom w:val="none" w:sz="0" w:space="0" w:color="auto"/>
            <w:right w:val="none" w:sz="0" w:space="0" w:color="auto"/>
          </w:divBdr>
          <w:divsChild>
            <w:div w:id="1833836329">
              <w:marLeft w:val="0"/>
              <w:marRight w:val="0"/>
              <w:marTop w:val="0"/>
              <w:marBottom w:val="0"/>
              <w:divBdr>
                <w:top w:val="none" w:sz="0" w:space="0" w:color="auto"/>
                <w:left w:val="none" w:sz="0" w:space="0" w:color="auto"/>
                <w:bottom w:val="none" w:sz="0" w:space="0" w:color="auto"/>
                <w:right w:val="none" w:sz="0" w:space="0" w:color="auto"/>
              </w:divBdr>
              <w:divsChild>
                <w:div w:id="1721242298">
                  <w:marLeft w:val="0"/>
                  <w:marRight w:val="0"/>
                  <w:marTop w:val="0"/>
                  <w:marBottom w:val="0"/>
                  <w:divBdr>
                    <w:top w:val="none" w:sz="0" w:space="0" w:color="auto"/>
                    <w:left w:val="none" w:sz="0" w:space="0" w:color="auto"/>
                    <w:bottom w:val="none" w:sz="0" w:space="0" w:color="auto"/>
                    <w:right w:val="none" w:sz="0" w:space="0" w:color="auto"/>
                  </w:divBdr>
                  <w:divsChild>
                    <w:div w:id="1426000836">
                      <w:marLeft w:val="0"/>
                      <w:marRight w:val="0"/>
                      <w:marTop w:val="0"/>
                      <w:marBottom w:val="0"/>
                      <w:divBdr>
                        <w:top w:val="none" w:sz="0" w:space="0" w:color="auto"/>
                        <w:left w:val="none" w:sz="0" w:space="0" w:color="auto"/>
                        <w:bottom w:val="none" w:sz="0" w:space="0" w:color="auto"/>
                        <w:right w:val="none" w:sz="0" w:space="0" w:color="auto"/>
                      </w:divBdr>
                      <w:divsChild>
                        <w:div w:id="2022783015">
                          <w:marLeft w:val="0"/>
                          <w:marRight w:val="0"/>
                          <w:marTop w:val="0"/>
                          <w:marBottom w:val="0"/>
                          <w:divBdr>
                            <w:top w:val="none" w:sz="0" w:space="0" w:color="auto"/>
                            <w:left w:val="none" w:sz="0" w:space="0" w:color="auto"/>
                            <w:bottom w:val="none" w:sz="0" w:space="0" w:color="auto"/>
                            <w:right w:val="none" w:sz="0" w:space="0" w:color="auto"/>
                          </w:divBdr>
                          <w:divsChild>
                            <w:div w:id="211625049">
                              <w:marLeft w:val="0"/>
                              <w:marRight w:val="0"/>
                              <w:marTop w:val="0"/>
                              <w:marBottom w:val="0"/>
                              <w:divBdr>
                                <w:top w:val="none" w:sz="0" w:space="0" w:color="auto"/>
                                <w:left w:val="none" w:sz="0" w:space="0" w:color="auto"/>
                                <w:bottom w:val="none" w:sz="0" w:space="0" w:color="auto"/>
                                <w:right w:val="none" w:sz="0" w:space="0" w:color="auto"/>
                              </w:divBdr>
                              <w:divsChild>
                                <w:div w:id="1656571339">
                                  <w:marLeft w:val="0"/>
                                  <w:marRight w:val="0"/>
                                  <w:marTop w:val="0"/>
                                  <w:marBottom w:val="0"/>
                                  <w:divBdr>
                                    <w:top w:val="none" w:sz="0" w:space="0" w:color="auto"/>
                                    <w:left w:val="none" w:sz="0" w:space="0" w:color="auto"/>
                                    <w:bottom w:val="none" w:sz="0" w:space="0" w:color="auto"/>
                                    <w:right w:val="none" w:sz="0" w:space="0" w:color="auto"/>
                                  </w:divBdr>
                                  <w:divsChild>
                                    <w:div w:id="880362220">
                                      <w:marLeft w:val="0"/>
                                      <w:marRight w:val="0"/>
                                      <w:marTop w:val="0"/>
                                      <w:marBottom w:val="0"/>
                                      <w:divBdr>
                                        <w:top w:val="none" w:sz="0" w:space="0" w:color="auto"/>
                                        <w:left w:val="none" w:sz="0" w:space="0" w:color="auto"/>
                                        <w:bottom w:val="none" w:sz="0" w:space="0" w:color="auto"/>
                                        <w:right w:val="none" w:sz="0" w:space="0" w:color="auto"/>
                                      </w:divBdr>
                                      <w:divsChild>
                                        <w:div w:id="1130828249">
                                          <w:marLeft w:val="0"/>
                                          <w:marRight w:val="0"/>
                                          <w:marTop w:val="0"/>
                                          <w:marBottom w:val="0"/>
                                          <w:divBdr>
                                            <w:top w:val="none" w:sz="0" w:space="0" w:color="auto"/>
                                            <w:left w:val="none" w:sz="0" w:space="0" w:color="auto"/>
                                            <w:bottom w:val="none" w:sz="0" w:space="0" w:color="auto"/>
                                            <w:right w:val="none" w:sz="0" w:space="0" w:color="auto"/>
                                          </w:divBdr>
                                          <w:divsChild>
                                            <w:div w:id="1940673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02735277">
      <w:bodyDiv w:val="1"/>
      <w:marLeft w:val="0"/>
      <w:marRight w:val="0"/>
      <w:marTop w:val="0"/>
      <w:marBottom w:val="0"/>
      <w:divBdr>
        <w:top w:val="none" w:sz="0" w:space="0" w:color="auto"/>
        <w:left w:val="none" w:sz="0" w:space="0" w:color="auto"/>
        <w:bottom w:val="none" w:sz="0" w:space="0" w:color="auto"/>
        <w:right w:val="none" w:sz="0" w:space="0" w:color="auto"/>
      </w:divBdr>
      <w:divsChild>
        <w:div w:id="1037925699">
          <w:marLeft w:val="0"/>
          <w:marRight w:val="0"/>
          <w:marTop w:val="0"/>
          <w:marBottom w:val="0"/>
          <w:divBdr>
            <w:top w:val="none" w:sz="0" w:space="0" w:color="auto"/>
            <w:left w:val="none" w:sz="0" w:space="0" w:color="auto"/>
            <w:bottom w:val="none" w:sz="0" w:space="0" w:color="auto"/>
            <w:right w:val="none" w:sz="0" w:space="0" w:color="auto"/>
          </w:divBdr>
          <w:divsChild>
            <w:div w:id="669409335">
              <w:marLeft w:val="0"/>
              <w:marRight w:val="0"/>
              <w:marTop w:val="0"/>
              <w:marBottom w:val="0"/>
              <w:divBdr>
                <w:top w:val="none" w:sz="0" w:space="0" w:color="auto"/>
                <w:left w:val="none" w:sz="0" w:space="0" w:color="auto"/>
                <w:bottom w:val="none" w:sz="0" w:space="0" w:color="auto"/>
                <w:right w:val="none" w:sz="0" w:space="0" w:color="auto"/>
              </w:divBdr>
              <w:divsChild>
                <w:div w:id="1115906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9600027">
      <w:bodyDiv w:val="1"/>
      <w:marLeft w:val="0"/>
      <w:marRight w:val="0"/>
      <w:marTop w:val="0"/>
      <w:marBottom w:val="0"/>
      <w:divBdr>
        <w:top w:val="none" w:sz="0" w:space="0" w:color="auto"/>
        <w:left w:val="none" w:sz="0" w:space="0" w:color="auto"/>
        <w:bottom w:val="none" w:sz="0" w:space="0" w:color="auto"/>
        <w:right w:val="none" w:sz="0" w:space="0" w:color="auto"/>
      </w:divBdr>
      <w:divsChild>
        <w:div w:id="572736030">
          <w:marLeft w:val="0"/>
          <w:marRight w:val="0"/>
          <w:marTop w:val="0"/>
          <w:marBottom w:val="0"/>
          <w:divBdr>
            <w:top w:val="none" w:sz="0" w:space="0" w:color="auto"/>
            <w:left w:val="none" w:sz="0" w:space="0" w:color="auto"/>
            <w:bottom w:val="none" w:sz="0" w:space="0" w:color="auto"/>
            <w:right w:val="none" w:sz="0" w:space="0" w:color="auto"/>
          </w:divBdr>
          <w:divsChild>
            <w:div w:id="1270115577">
              <w:marLeft w:val="0"/>
              <w:marRight w:val="0"/>
              <w:marTop w:val="0"/>
              <w:marBottom w:val="0"/>
              <w:divBdr>
                <w:top w:val="none" w:sz="0" w:space="0" w:color="auto"/>
                <w:left w:val="none" w:sz="0" w:space="0" w:color="auto"/>
                <w:bottom w:val="none" w:sz="0" w:space="0" w:color="auto"/>
                <w:right w:val="none" w:sz="0" w:space="0" w:color="auto"/>
              </w:divBdr>
              <w:divsChild>
                <w:div w:id="706759006">
                  <w:marLeft w:val="3360"/>
                  <w:marRight w:val="0"/>
                  <w:marTop w:val="0"/>
                  <w:marBottom w:val="0"/>
                  <w:divBdr>
                    <w:top w:val="none" w:sz="0" w:space="0" w:color="auto"/>
                    <w:left w:val="none" w:sz="0" w:space="0" w:color="auto"/>
                    <w:bottom w:val="none" w:sz="0" w:space="0" w:color="auto"/>
                    <w:right w:val="none" w:sz="0" w:space="0" w:color="auto"/>
                  </w:divBdr>
                  <w:divsChild>
                    <w:div w:id="267275160">
                      <w:marLeft w:val="0"/>
                      <w:marRight w:val="0"/>
                      <w:marTop w:val="0"/>
                      <w:marBottom w:val="0"/>
                      <w:divBdr>
                        <w:top w:val="none" w:sz="0" w:space="0" w:color="auto"/>
                        <w:left w:val="none" w:sz="0" w:space="0" w:color="auto"/>
                        <w:bottom w:val="none" w:sz="0" w:space="0" w:color="auto"/>
                        <w:right w:val="none" w:sz="0" w:space="0" w:color="auto"/>
                      </w:divBdr>
                      <w:divsChild>
                        <w:div w:id="1082533467">
                          <w:marLeft w:val="0"/>
                          <w:marRight w:val="0"/>
                          <w:marTop w:val="0"/>
                          <w:marBottom w:val="0"/>
                          <w:divBdr>
                            <w:top w:val="none" w:sz="0" w:space="0" w:color="auto"/>
                            <w:left w:val="none" w:sz="0" w:space="0" w:color="auto"/>
                            <w:bottom w:val="none" w:sz="0" w:space="0" w:color="auto"/>
                            <w:right w:val="none" w:sz="0" w:space="0" w:color="auto"/>
                          </w:divBdr>
                          <w:divsChild>
                            <w:div w:id="966009450">
                              <w:marLeft w:val="0"/>
                              <w:marRight w:val="0"/>
                              <w:marTop w:val="0"/>
                              <w:marBottom w:val="0"/>
                              <w:divBdr>
                                <w:top w:val="none" w:sz="0" w:space="0" w:color="auto"/>
                                <w:left w:val="none" w:sz="0" w:space="0" w:color="auto"/>
                                <w:bottom w:val="none" w:sz="0" w:space="0" w:color="auto"/>
                                <w:right w:val="none" w:sz="0" w:space="0" w:color="auto"/>
                              </w:divBdr>
                              <w:divsChild>
                                <w:div w:id="1866941523">
                                  <w:marLeft w:val="0"/>
                                  <w:marRight w:val="0"/>
                                  <w:marTop w:val="0"/>
                                  <w:marBottom w:val="0"/>
                                  <w:divBdr>
                                    <w:top w:val="none" w:sz="0" w:space="0" w:color="auto"/>
                                    <w:left w:val="none" w:sz="0" w:space="0" w:color="auto"/>
                                    <w:bottom w:val="none" w:sz="0" w:space="0" w:color="auto"/>
                                    <w:right w:val="none" w:sz="0" w:space="0" w:color="auto"/>
                                  </w:divBdr>
                                  <w:divsChild>
                                    <w:div w:id="1868518148">
                                      <w:marLeft w:val="0"/>
                                      <w:marRight w:val="0"/>
                                      <w:marTop w:val="0"/>
                                      <w:marBottom w:val="0"/>
                                      <w:divBdr>
                                        <w:top w:val="none" w:sz="0" w:space="0" w:color="auto"/>
                                        <w:left w:val="none" w:sz="0" w:space="0" w:color="auto"/>
                                        <w:bottom w:val="none" w:sz="0" w:space="0" w:color="auto"/>
                                        <w:right w:val="none" w:sz="0" w:space="0" w:color="auto"/>
                                      </w:divBdr>
                                      <w:divsChild>
                                        <w:div w:id="1885633744">
                                          <w:marLeft w:val="0"/>
                                          <w:marRight w:val="0"/>
                                          <w:marTop w:val="0"/>
                                          <w:marBottom w:val="0"/>
                                          <w:divBdr>
                                            <w:top w:val="none" w:sz="0" w:space="0" w:color="auto"/>
                                            <w:left w:val="none" w:sz="0" w:space="0" w:color="auto"/>
                                            <w:bottom w:val="none" w:sz="0" w:space="0" w:color="auto"/>
                                            <w:right w:val="none" w:sz="0" w:space="0" w:color="auto"/>
                                          </w:divBdr>
                                          <w:divsChild>
                                            <w:div w:id="2017343962">
                                              <w:marLeft w:val="0"/>
                                              <w:marRight w:val="0"/>
                                              <w:marTop w:val="0"/>
                                              <w:marBottom w:val="0"/>
                                              <w:divBdr>
                                                <w:top w:val="none" w:sz="0" w:space="0" w:color="auto"/>
                                                <w:left w:val="none" w:sz="0" w:space="0" w:color="auto"/>
                                                <w:bottom w:val="none" w:sz="0" w:space="0" w:color="auto"/>
                                                <w:right w:val="none" w:sz="0" w:space="0" w:color="auto"/>
                                              </w:divBdr>
                                              <w:divsChild>
                                                <w:div w:id="455951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320232643">
      <w:bodyDiv w:val="1"/>
      <w:marLeft w:val="0"/>
      <w:marRight w:val="0"/>
      <w:marTop w:val="0"/>
      <w:marBottom w:val="0"/>
      <w:divBdr>
        <w:top w:val="none" w:sz="0" w:space="0" w:color="auto"/>
        <w:left w:val="none" w:sz="0" w:space="0" w:color="auto"/>
        <w:bottom w:val="none" w:sz="0" w:space="0" w:color="auto"/>
        <w:right w:val="none" w:sz="0" w:space="0" w:color="auto"/>
      </w:divBdr>
    </w:div>
    <w:div w:id="345908717">
      <w:bodyDiv w:val="1"/>
      <w:marLeft w:val="0"/>
      <w:marRight w:val="0"/>
      <w:marTop w:val="0"/>
      <w:marBottom w:val="0"/>
      <w:divBdr>
        <w:top w:val="none" w:sz="0" w:space="0" w:color="auto"/>
        <w:left w:val="none" w:sz="0" w:space="0" w:color="auto"/>
        <w:bottom w:val="none" w:sz="0" w:space="0" w:color="auto"/>
        <w:right w:val="none" w:sz="0" w:space="0" w:color="auto"/>
      </w:divBdr>
    </w:div>
    <w:div w:id="370687676">
      <w:bodyDiv w:val="1"/>
      <w:marLeft w:val="0"/>
      <w:marRight w:val="0"/>
      <w:marTop w:val="0"/>
      <w:marBottom w:val="0"/>
      <w:divBdr>
        <w:top w:val="none" w:sz="0" w:space="0" w:color="auto"/>
        <w:left w:val="none" w:sz="0" w:space="0" w:color="auto"/>
        <w:bottom w:val="none" w:sz="0" w:space="0" w:color="auto"/>
        <w:right w:val="none" w:sz="0" w:space="0" w:color="auto"/>
      </w:divBdr>
      <w:divsChild>
        <w:div w:id="2089030808">
          <w:marLeft w:val="0"/>
          <w:marRight w:val="0"/>
          <w:marTop w:val="0"/>
          <w:marBottom w:val="0"/>
          <w:divBdr>
            <w:top w:val="none" w:sz="0" w:space="0" w:color="auto"/>
            <w:left w:val="none" w:sz="0" w:space="0" w:color="auto"/>
            <w:bottom w:val="none" w:sz="0" w:space="0" w:color="auto"/>
            <w:right w:val="none" w:sz="0" w:space="0" w:color="auto"/>
          </w:divBdr>
          <w:divsChild>
            <w:div w:id="1351879083">
              <w:marLeft w:val="0"/>
              <w:marRight w:val="0"/>
              <w:marTop w:val="0"/>
              <w:marBottom w:val="0"/>
              <w:divBdr>
                <w:top w:val="none" w:sz="0" w:space="0" w:color="auto"/>
                <w:left w:val="none" w:sz="0" w:space="0" w:color="auto"/>
                <w:bottom w:val="none" w:sz="0" w:space="0" w:color="auto"/>
                <w:right w:val="none" w:sz="0" w:space="0" w:color="auto"/>
              </w:divBdr>
              <w:divsChild>
                <w:div w:id="1307932279">
                  <w:marLeft w:val="6135"/>
                  <w:marRight w:val="0"/>
                  <w:marTop w:val="0"/>
                  <w:marBottom w:val="0"/>
                  <w:divBdr>
                    <w:top w:val="none" w:sz="0" w:space="0" w:color="auto"/>
                    <w:left w:val="none" w:sz="0" w:space="0" w:color="auto"/>
                    <w:bottom w:val="none" w:sz="0" w:space="0" w:color="auto"/>
                    <w:right w:val="none" w:sz="0" w:space="0" w:color="auto"/>
                  </w:divBdr>
                  <w:divsChild>
                    <w:div w:id="837309871">
                      <w:marLeft w:val="0"/>
                      <w:marRight w:val="0"/>
                      <w:marTop w:val="0"/>
                      <w:marBottom w:val="0"/>
                      <w:divBdr>
                        <w:top w:val="none" w:sz="0" w:space="0" w:color="auto"/>
                        <w:left w:val="none" w:sz="0" w:space="0" w:color="auto"/>
                        <w:bottom w:val="none" w:sz="0" w:space="0" w:color="auto"/>
                        <w:right w:val="none" w:sz="0" w:space="0" w:color="auto"/>
                      </w:divBdr>
                      <w:divsChild>
                        <w:div w:id="1585728312">
                          <w:marLeft w:val="0"/>
                          <w:marRight w:val="0"/>
                          <w:marTop w:val="0"/>
                          <w:marBottom w:val="0"/>
                          <w:divBdr>
                            <w:top w:val="none" w:sz="0" w:space="0" w:color="auto"/>
                            <w:left w:val="none" w:sz="0" w:space="0" w:color="auto"/>
                            <w:bottom w:val="none" w:sz="0" w:space="0" w:color="auto"/>
                            <w:right w:val="none" w:sz="0" w:space="0" w:color="auto"/>
                          </w:divBdr>
                          <w:divsChild>
                            <w:div w:id="665210214">
                              <w:marLeft w:val="0"/>
                              <w:marRight w:val="0"/>
                              <w:marTop w:val="0"/>
                              <w:marBottom w:val="0"/>
                              <w:divBdr>
                                <w:top w:val="none" w:sz="0" w:space="0" w:color="auto"/>
                                <w:left w:val="none" w:sz="0" w:space="0" w:color="auto"/>
                                <w:bottom w:val="none" w:sz="0" w:space="0" w:color="auto"/>
                                <w:right w:val="none" w:sz="0" w:space="0" w:color="auto"/>
                              </w:divBdr>
                              <w:divsChild>
                                <w:div w:id="1783916819">
                                  <w:marLeft w:val="0"/>
                                  <w:marRight w:val="0"/>
                                  <w:marTop w:val="0"/>
                                  <w:marBottom w:val="0"/>
                                  <w:divBdr>
                                    <w:top w:val="none" w:sz="0" w:space="0" w:color="auto"/>
                                    <w:left w:val="none" w:sz="0" w:space="0" w:color="auto"/>
                                    <w:bottom w:val="none" w:sz="0" w:space="0" w:color="auto"/>
                                    <w:right w:val="none" w:sz="0" w:space="0" w:color="auto"/>
                                  </w:divBdr>
                                  <w:divsChild>
                                    <w:div w:id="1041975197">
                                      <w:marLeft w:val="0"/>
                                      <w:marRight w:val="0"/>
                                      <w:marTop w:val="0"/>
                                      <w:marBottom w:val="0"/>
                                      <w:divBdr>
                                        <w:top w:val="none" w:sz="0" w:space="0" w:color="auto"/>
                                        <w:left w:val="none" w:sz="0" w:space="0" w:color="auto"/>
                                        <w:bottom w:val="none" w:sz="0" w:space="0" w:color="auto"/>
                                        <w:right w:val="none" w:sz="0" w:space="0" w:color="auto"/>
                                      </w:divBdr>
                                      <w:divsChild>
                                        <w:div w:id="99372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73892988">
      <w:bodyDiv w:val="1"/>
      <w:marLeft w:val="0"/>
      <w:marRight w:val="0"/>
      <w:marTop w:val="0"/>
      <w:marBottom w:val="0"/>
      <w:divBdr>
        <w:top w:val="none" w:sz="0" w:space="0" w:color="auto"/>
        <w:left w:val="none" w:sz="0" w:space="0" w:color="auto"/>
        <w:bottom w:val="none" w:sz="0" w:space="0" w:color="auto"/>
        <w:right w:val="none" w:sz="0" w:space="0" w:color="auto"/>
      </w:divBdr>
      <w:divsChild>
        <w:div w:id="1223978172">
          <w:marLeft w:val="0"/>
          <w:marRight w:val="0"/>
          <w:marTop w:val="0"/>
          <w:marBottom w:val="0"/>
          <w:divBdr>
            <w:top w:val="none" w:sz="0" w:space="0" w:color="auto"/>
            <w:left w:val="none" w:sz="0" w:space="0" w:color="auto"/>
            <w:bottom w:val="none" w:sz="0" w:space="0" w:color="auto"/>
            <w:right w:val="none" w:sz="0" w:space="0" w:color="auto"/>
          </w:divBdr>
          <w:divsChild>
            <w:div w:id="394743682">
              <w:marLeft w:val="0"/>
              <w:marRight w:val="0"/>
              <w:marTop w:val="0"/>
              <w:marBottom w:val="0"/>
              <w:divBdr>
                <w:top w:val="none" w:sz="0" w:space="0" w:color="auto"/>
                <w:left w:val="none" w:sz="0" w:space="0" w:color="auto"/>
                <w:bottom w:val="none" w:sz="0" w:space="0" w:color="auto"/>
                <w:right w:val="none" w:sz="0" w:space="0" w:color="auto"/>
              </w:divBdr>
              <w:divsChild>
                <w:div w:id="1798378271">
                  <w:marLeft w:val="4935"/>
                  <w:marRight w:val="0"/>
                  <w:marTop w:val="0"/>
                  <w:marBottom w:val="0"/>
                  <w:divBdr>
                    <w:top w:val="none" w:sz="0" w:space="0" w:color="auto"/>
                    <w:left w:val="none" w:sz="0" w:space="0" w:color="auto"/>
                    <w:bottom w:val="none" w:sz="0" w:space="0" w:color="auto"/>
                    <w:right w:val="none" w:sz="0" w:space="0" w:color="auto"/>
                  </w:divBdr>
                  <w:divsChild>
                    <w:div w:id="213737271">
                      <w:marLeft w:val="0"/>
                      <w:marRight w:val="0"/>
                      <w:marTop w:val="0"/>
                      <w:marBottom w:val="0"/>
                      <w:divBdr>
                        <w:top w:val="none" w:sz="0" w:space="0" w:color="auto"/>
                        <w:left w:val="none" w:sz="0" w:space="0" w:color="auto"/>
                        <w:bottom w:val="none" w:sz="0" w:space="0" w:color="auto"/>
                        <w:right w:val="none" w:sz="0" w:space="0" w:color="auto"/>
                      </w:divBdr>
                      <w:divsChild>
                        <w:div w:id="1217355476">
                          <w:marLeft w:val="0"/>
                          <w:marRight w:val="0"/>
                          <w:marTop w:val="0"/>
                          <w:marBottom w:val="0"/>
                          <w:divBdr>
                            <w:top w:val="none" w:sz="0" w:space="0" w:color="auto"/>
                            <w:left w:val="none" w:sz="0" w:space="0" w:color="auto"/>
                            <w:bottom w:val="none" w:sz="0" w:space="0" w:color="auto"/>
                            <w:right w:val="none" w:sz="0" w:space="0" w:color="auto"/>
                          </w:divBdr>
                          <w:divsChild>
                            <w:div w:id="1731540337">
                              <w:marLeft w:val="0"/>
                              <w:marRight w:val="0"/>
                              <w:marTop w:val="0"/>
                              <w:marBottom w:val="0"/>
                              <w:divBdr>
                                <w:top w:val="none" w:sz="0" w:space="0" w:color="auto"/>
                                <w:left w:val="none" w:sz="0" w:space="0" w:color="auto"/>
                                <w:bottom w:val="none" w:sz="0" w:space="0" w:color="auto"/>
                                <w:right w:val="none" w:sz="0" w:space="0" w:color="auto"/>
                              </w:divBdr>
                              <w:divsChild>
                                <w:div w:id="896010844">
                                  <w:marLeft w:val="0"/>
                                  <w:marRight w:val="0"/>
                                  <w:marTop w:val="0"/>
                                  <w:marBottom w:val="0"/>
                                  <w:divBdr>
                                    <w:top w:val="none" w:sz="0" w:space="0" w:color="auto"/>
                                    <w:left w:val="none" w:sz="0" w:space="0" w:color="auto"/>
                                    <w:bottom w:val="none" w:sz="0" w:space="0" w:color="auto"/>
                                    <w:right w:val="none" w:sz="0" w:space="0" w:color="auto"/>
                                  </w:divBdr>
                                  <w:divsChild>
                                    <w:div w:id="1535578368">
                                      <w:marLeft w:val="0"/>
                                      <w:marRight w:val="0"/>
                                      <w:marTop w:val="0"/>
                                      <w:marBottom w:val="0"/>
                                      <w:divBdr>
                                        <w:top w:val="none" w:sz="0" w:space="0" w:color="auto"/>
                                        <w:left w:val="none" w:sz="0" w:space="0" w:color="auto"/>
                                        <w:bottom w:val="none" w:sz="0" w:space="0" w:color="auto"/>
                                        <w:right w:val="none" w:sz="0" w:space="0" w:color="auto"/>
                                      </w:divBdr>
                                      <w:divsChild>
                                        <w:div w:id="127941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75398068">
      <w:bodyDiv w:val="1"/>
      <w:marLeft w:val="0"/>
      <w:marRight w:val="0"/>
      <w:marTop w:val="0"/>
      <w:marBottom w:val="0"/>
      <w:divBdr>
        <w:top w:val="none" w:sz="0" w:space="0" w:color="auto"/>
        <w:left w:val="none" w:sz="0" w:space="0" w:color="auto"/>
        <w:bottom w:val="none" w:sz="0" w:space="0" w:color="auto"/>
        <w:right w:val="none" w:sz="0" w:space="0" w:color="auto"/>
      </w:divBdr>
      <w:divsChild>
        <w:div w:id="922226748">
          <w:marLeft w:val="360"/>
          <w:marRight w:val="0"/>
          <w:marTop w:val="204"/>
          <w:marBottom w:val="0"/>
          <w:divBdr>
            <w:top w:val="none" w:sz="0" w:space="0" w:color="auto"/>
            <w:left w:val="none" w:sz="0" w:space="0" w:color="auto"/>
            <w:bottom w:val="none" w:sz="0" w:space="0" w:color="auto"/>
            <w:right w:val="none" w:sz="0" w:space="0" w:color="auto"/>
          </w:divBdr>
        </w:div>
        <w:div w:id="467090485">
          <w:marLeft w:val="360"/>
          <w:marRight w:val="0"/>
          <w:marTop w:val="204"/>
          <w:marBottom w:val="0"/>
          <w:divBdr>
            <w:top w:val="none" w:sz="0" w:space="0" w:color="auto"/>
            <w:left w:val="none" w:sz="0" w:space="0" w:color="auto"/>
            <w:bottom w:val="none" w:sz="0" w:space="0" w:color="auto"/>
            <w:right w:val="none" w:sz="0" w:space="0" w:color="auto"/>
          </w:divBdr>
        </w:div>
        <w:div w:id="966155718">
          <w:marLeft w:val="360"/>
          <w:marRight w:val="0"/>
          <w:marTop w:val="204"/>
          <w:marBottom w:val="0"/>
          <w:divBdr>
            <w:top w:val="none" w:sz="0" w:space="0" w:color="auto"/>
            <w:left w:val="none" w:sz="0" w:space="0" w:color="auto"/>
            <w:bottom w:val="none" w:sz="0" w:space="0" w:color="auto"/>
            <w:right w:val="none" w:sz="0" w:space="0" w:color="auto"/>
          </w:divBdr>
        </w:div>
        <w:div w:id="754670180">
          <w:marLeft w:val="360"/>
          <w:marRight w:val="0"/>
          <w:marTop w:val="204"/>
          <w:marBottom w:val="0"/>
          <w:divBdr>
            <w:top w:val="none" w:sz="0" w:space="0" w:color="auto"/>
            <w:left w:val="none" w:sz="0" w:space="0" w:color="auto"/>
            <w:bottom w:val="none" w:sz="0" w:space="0" w:color="auto"/>
            <w:right w:val="none" w:sz="0" w:space="0" w:color="auto"/>
          </w:divBdr>
        </w:div>
        <w:div w:id="1277063143">
          <w:marLeft w:val="360"/>
          <w:marRight w:val="0"/>
          <w:marTop w:val="204"/>
          <w:marBottom w:val="0"/>
          <w:divBdr>
            <w:top w:val="none" w:sz="0" w:space="0" w:color="auto"/>
            <w:left w:val="none" w:sz="0" w:space="0" w:color="auto"/>
            <w:bottom w:val="none" w:sz="0" w:space="0" w:color="auto"/>
            <w:right w:val="none" w:sz="0" w:space="0" w:color="auto"/>
          </w:divBdr>
        </w:div>
        <w:div w:id="705446899">
          <w:marLeft w:val="360"/>
          <w:marRight w:val="0"/>
          <w:marTop w:val="204"/>
          <w:marBottom w:val="0"/>
          <w:divBdr>
            <w:top w:val="none" w:sz="0" w:space="0" w:color="auto"/>
            <w:left w:val="none" w:sz="0" w:space="0" w:color="auto"/>
            <w:bottom w:val="none" w:sz="0" w:space="0" w:color="auto"/>
            <w:right w:val="none" w:sz="0" w:space="0" w:color="auto"/>
          </w:divBdr>
        </w:div>
        <w:div w:id="178204495">
          <w:marLeft w:val="360"/>
          <w:marRight w:val="0"/>
          <w:marTop w:val="204"/>
          <w:marBottom w:val="0"/>
          <w:divBdr>
            <w:top w:val="none" w:sz="0" w:space="0" w:color="auto"/>
            <w:left w:val="none" w:sz="0" w:space="0" w:color="auto"/>
            <w:bottom w:val="none" w:sz="0" w:space="0" w:color="auto"/>
            <w:right w:val="none" w:sz="0" w:space="0" w:color="auto"/>
          </w:divBdr>
        </w:div>
        <w:div w:id="1819570108">
          <w:marLeft w:val="360"/>
          <w:marRight w:val="0"/>
          <w:marTop w:val="204"/>
          <w:marBottom w:val="0"/>
          <w:divBdr>
            <w:top w:val="none" w:sz="0" w:space="0" w:color="auto"/>
            <w:left w:val="none" w:sz="0" w:space="0" w:color="auto"/>
            <w:bottom w:val="none" w:sz="0" w:space="0" w:color="auto"/>
            <w:right w:val="none" w:sz="0" w:space="0" w:color="auto"/>
          </w:divBdr>
        </w:div>
      </w:divsChild>
    </w:div>
    <w:div w:id="375543134">
      <w:bodyDiv w:val="1"/>
      <w:marLeft w:val="0"/>
      <w:marRight w:val="0"/>
      <w:marTop w:val="0"/>
      <w:marBottom w:val="0"/>
      <w:divBdr>
        <w:top w:val="none" w:sz="0" w:space="0" w:color="auto"/>
        <w:left w:val="none" w:sz="0" w:space="0" w:color="auto"/>
        <w:bottom w:val="none" w:sz="0" w:space="0" w:color="auto"/>
        <w:right w:val="none" w:sz="0" w:space="0" w:color="auto"/>
      </w:divBdr>
      <w:divsChild>
        <w:div w:id="641812345">
          <w:marLeft w:val="0"/>
          <w:marRight w:val="0"/>
          <w:marTop w:val="0"/>
          <w:marBottom w:val="0"/>
          <w:divBdr>
            <w:top w:val="none" w:sz="0" w:space="0" w:color="auto"/>
            <w:left w:val="none" w:sz="0" w:space="0" w:color="auto"/>
            <w:bottom w:val="none" w:sz="0" w:space="0" w:color="auto"/>
            <w:right w:val="none" w:sz="0" w:space="0" w:color="auto"/>
          </w:divBdr>
          <w:divsChild>
            <w:div w:id="196893096">
              <w:marLeft w:val="0"/>
              <w:marRight w:val="0"/>
              <w:marTop w:val="0"/>
              <w:marBottom w:val="0"/>
              <w:divBdr>
                <w:top w:val="none" w:sz="0" w:space="0" w:color="auto"/>
                <w:left w:val="none" w:sz="0" w:space="0" w:color="auto"/>
                <w:bottom w:val="none" w:sz="0" w:space="0" w:color="auto"/>
                <w:right w:val="none" w:sz="0" w:space="0" w:color="auto"/>
              </w:divBdr>
              <w:divsChild>
                <w:div w:id="618609575">
                  <w:marLeft w:val="0"/>
                  <w:marRight w:val="0"/>
                  <w:marTop w:val="0"/>
                  <w:marBottom w:val="0"/>
                  <w:divBdr>
                    <w:top w:val="none" w:sz="0" w:space="0" w:color="auto"/>
                    <w:left w:val="none" w:sz="0" w:space="0" w:color="auto"/>
                    <w:bottom w:val="none" w:sz="0" w:space="0" w:color="auto"/>
                    <w:right w:val="none" w:sz="0" w:space="0" w:color="auto"/>
                  </w:divBdr>
                  <w:divsChild>
                    <w:div w:id="1966764378">
                      <w:marLeft w:val="0"/>
                      <w:marRight w:val="0"/>
                      <w:marTop w:val="0"/>
                      <w:marBottom w:val="0"/>
                      <w:divBdr>
                        <w:top w:val="none" w:sz="0" w:space="0" w:color="auto"/>
                        <w:left w:val="none" w:sz="0" w:space="0" w:color="auto"/>
                        <w:bottom w:val="none" w:sz="0" w:space="0" w:color="auto"/>
                        <w:right w:val="none" w:sz="0" w:space="0" w:color="auto"/>
                      </w:divBdr>
                      <w:divsChild>
                        <w:div w:id="1159349129">
                          <w:marLeft w:val="0"/>
                          <w:marRight w:val="0"/>
                          <w:marTop w:val="0"/>
                          <w:marBottom w:val="0"/>
                          <w:divBdr>
                            <w:top w:val="none" w:sz="0" w:space="0" w:color="auto"/>
                            <w:left w:val="none" w:sz="0" w:space="0" w:color="auto"/>
                            <w:bottom w:val="none" w:sz="0" w:space="0" w:color="auto"/>
                            <w:right w:val="none" w:sz="0" w:space="0" w:color="auto"/>
                          </w:divBdr>
                          <w:divsChild>
                            <w:div w:id="1390106672">
                              <w:marLeft w:val="0"/>
                              <w:marRight w:val="0"/>
                              <w:marTop w:val="0"/>
                              <w:marBottom w:val="0"/>
                              <w:divBdr>
                                <w:top w:val="none" w:sz="0" w:space="0" w:color="auto"/>
                                <w:left w:val="none" w:sz="0" w:space="0" w:color="auto"/>
                                <w:bottom w:val="none" w:sz="0" w:space="0" w:color="auto"/>
                                <w:right w:val="none" w:sz="0" w:space="0" w:color="auto"/>
                              </w:divBdr>
                              <w:divsChild>
                                <w:div w:id="2124300328">
                                  <w:marLeft w:val="0"/>
                                  <w:marRight w:val="0"/>
                                  <w:marTop w:val="0"/>
                                  <w:marBottom w:val="0"/>
                                  <w:divBdr>
                                    <w:top w:val="none" w:sz="0" w:space="0" w:color="auto"/>
                                    <w:left w:val="none" w:sz="0" w:space="0" w:color="auto"/>
                                    <w:bottom w:val="none" w:sz="0" w:space="0" w:color="auto"/>
                                    <w:right w:val="none" w:sz="0" w:space="0" w:color="auto"/>
                                  </w:divBdr>
                                  <w:divsChild>
                                    <w:div w:id="1780368025">
                                      <w:marLeft w:val="0"/>
                                      <w:marRight w:val="0"/>
                                      <w:marTop w:val="0"/>
                                      <w:marBottom w:val="0"/>
                                      <w:divBdr>
                                        <w:top w:val="none" w:sz="0" w:space="0" w:color="auto"/>
                                        <w:left w:val="none" w:sz="0" w:space="0" w:color="auto"/>
                                        <w:bottom w:val="none" w:sz="0" w:space="0" w:color="auto"/>
                                        <w:right w:val="none" w:sz="0" w:space="0" w:color="auto"/>
                                      </w:divBdr>
                                      <w:divsChild>
                                        <w:div w:id="1218277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87461998">
      <w:bodyDiv w:val="1"/>
      <w:marLeft w:val="0"/>
      <w:marRight w:val="0"/>
      <w:marTop w:val="0"/>
      <w:marBottom w:val="0"/>
      <w:divBdr>
        <w:top w:val="none" w:sz="0" w:space="0" w:color="auto"/>
        <w:left w:val="none" w:sz="0" w:space="0" w:color="auto"/>
        <w:bottom w:val="none" w:sz="0" w:space="0" w:color="auto"/>
        <w:right w:val="none" w:sz="0" w:space="0" w:color="auto"/>
      </w:divBdr>
    </w:div>
    <w:div w:id="388110173">
      <w:bodyDiv w:val="1"/>
      <w:marLeft w:val="0"/>
      <w:marRight w:val="0"/>
      <w:marTop w:val="0"/>
      <w:marBottom w:val="0"/>
      <w:divBdr>
        <w:top w:val="none" w:sz="0" w:space="0" w:color="auto"/>
        <w:left w:val="none" w:sz="0" w:space="0" w:color="auto"/>
        <w:bottom w:val="none" w:sz="0" w:space="0" w:color="auto"/>
        <w:right w:val="none" w:sz="0" w:space="0" w:color="auto"/>
      </w:divBdr>
      <w:divsChild>
        <w:div w:id="299192686">
          <w:marLeft w:val="547"/>
          <w:marRight w:val="0"/>
          <w:marTop w:val="192"/>
          <w:marBottom w:val="0"/>
          <w:divBdr>
            <w:top w:val="none" w:sz="0" w:space="0" w:color="auto"/>
            <w:left w:val="none" w:sz="0" w:space="0" w:color="auto"/>
            <w:bottom w:val="none" w:sz="0" w:space="0" w:color="auto"/>
            <w:right w:val="none" w:sz="0" w:space="0" w:color="auto"/>
          </w:divBdr>
        </w:div>
        <w:div w:id="328826082">
          <w:marLeft w:val="922"/>
          <w:marRight w:val="0"/>
          <w:marTop w:val="115"/>
          <w:marBottom w:val="0"/>
          <w:divBdr>
            <w:top w:val="none" w:sz="0" w:space="0" w:color="auto"/>
            <w:left w:val="none" w:sz="0" w:space="0" w:color="auto"/>
            <w:bottom w:val="none" w:sz="0" w:space="0" w:color="auto"/>
            <w:right w:val="none" w:sz="0" w:space="0" w:color="auto"/>
          </w:divBdr>
        </w:div>
        <w:div w:id="526530907">
          <w:marLeft w:val="547"/>
          <w:marRight w:val="0"/>
          <w:marTop w:val="192"/>
          <w:marBottom w:val="0"/>
          <w:divBdr>
            <w:top w:val="none" w:sz="0" w:space="0" w:color="auto"/>
            <w:left w:val="none" w:sz="0" w:space="0" w:color="auto"/>
            <w:bottom w:val="none" w:sz="0" w:space="0" w:color="auto"/>
            <w:right w:val="none" w:sz="0" w:space="0" w:color="auto"/>
          </w:divBdr>
        </w:div>
        <w:div w:id="707531436">
          <w:marLeft w:val="1267"/>
          <w:marRight w:val="0"/>
          <w:marTop w:val="115"/>
          <w:marBottom w:val="0"/>
          <w:divBdr>
            <w:top w:val="none" w:sz="0" w:space="0" w:color="auto"/>
            <w:left w:val="none" w:sz="0" w:space="0" w:color="auto"/>
            <w:bottom w:val="none" w:sz="0" w:space="0" w:color="auto"/>
            <w:right w:val="none" w:sz="0" w:space="0" w:color="auto"/>
          </w:divBdr>
        </w:div>
        <w:div w:id="885409750">
          <w:marLeft w:val="922"/>
          <w:marRight w:val="0"/>
          <w:marTop w:val="115"/>
          <w:marBottom w:val="0"/>
          <w:divBdr>
            <w:top w:val="none" w:sz="0" w:space="0" w:color="auto"/>
            <w:left w:val="none" w:sz="0" w:space="0" w:color="auto"/>
            <w:bottom w:val="none" w:sz="0" w:space="0" w:color="auto"/>
            <w:right w:val="none" w:sz="0" w:space="0" w:color="auto"/>
          </w:divBdr>
        </w:div>
        <w:div w:id="1025519178">
          <w:marLeft w:val="922"/>
          <w:marRight w:val="0"/>
          <w:marTop w:val="115"/>
          <w:marBottom w:val="0"/>
          <w:divBdr>
            <w:top w:val="none" w:sz="0" w:space="0" w:color="auto"/>
            <w:left w:val="none" w:sz="0" w:space="0" w:color="auto"/>
            <w:bottom w:val="none" w:sz="0" w:space="0" w:color="auto"/>
            <w:right w:val="none" w:sz="0" w:space="0" w:color="auto"/>
          </w:divBdr>
        </w:div>
        <w:div w:id="1141925191">
          <w:marLeft w:val="547"/>
          <w:marRight w:val="0"/>
          <w:marTop w:val="192"/>
          <w:marBottom w:val="0"/>
          <w:divBdr>
            <w:top w:val="none" w:sz="0" w:space="0" w:color="auto"/>
            <w:left w:val="none" w:sz="0" w:space="0" w:color="auto"/>
            <w:bottom w:val="none" w:sz="0" w:space="0" w:color="auto"/>
            <w:right w:val="none" w:sz="0" w:space="0" w:color="auto"/>
          </w:divBdr>
        </w:div>
        <w:div w:id="1326322841">
          <w:marLeft w:val="1267"/>
          <w:marRight w:val="0"/>
          <w:marTop w:val="115"/>
          <w:marBottom w:val="0"/>
          <w:divBdr>
            <w:top w:val="none" w:sz="0" w:space="0" w:color="auto"/>
            <w:left w:val="none" w:sz="0" w:space="0" w:color="auto"/>
            <w:bottom w:val="none" w:sz="0" w:space="0" w:color="auto"/>
            <w:right w:val="none" w:sz="0" w:space="0" w:color="auto"/>
          </w:divBdr>
        </w:div>
        <w:div w:id="1933514886">
          <w:marLeft w:val="1267"/>
          <w:marRight w:val="0"/>
          <w:marTop w:val="115"/>
          <w:marBottom w:val="0"/>
          <w:divBdr>
            <w:top w:val="none" w:sz="0" w:space="0" w:color="auto"/>
            <w:left w:val="none" w:sz="0" w:space="0" w:color="auto"/>
            <w:bottom w:val="none" w:sz="0" w:space="0" w:color="auto"/>
            <w:right w:val="none" w:sz="0" w:space="0" w:color="auto"/>
          </w:divBdr>
        </w:div>
        <w:div w:id="2141730483">
          <w:marLeft w:val="922"/>
          <w:marRight w:val="0"/>
          <w:marTop w:val="115"/>
          <w:marBottom w:val="0"/>
          <w:divBdr>
            <w:top w:val="none" w:sz="0" w:space="0" w:color="auto"/>
            <w:left w:val="none" w:sz="0" w:space="0" w:color="auto"/>
            <w:bottom w:val="none" w:sz="0" w:space="0" w:color="auto"/>
            <w:right w:val="none" w:sz="0" w:space="0" w:color="auto"/>
          </w:divBdr>
        </w:div>
      </w:divsChild>
    </w:div>
    <w:div w:id="388580409">
      <w:bodyDiv w:val="1"/>
      <w:marLeft w:val="0"/>
      <w:marRight w:val="0"/>
      <w:marTop w:val="0"/>
      <w:marBottom w:val="0"/>
      <w:divBdr>
        <w:top w:val="none" w:sz="0" w:space="0" w:color="auto"/>
        <w:left w:val="none" w:sz="0" w:space="0" w:color="auto"/>
        <w:bottom w:val="none" w:sz="0" w:space="0" w:color="auto"/>
        <w:right w:val="none" w:sz="0" w:space="0" w:color="auto"/>
      </w:divBdr>
      <w:divsChild>
        <w:div w:id="1056078443">
          <w:marLeft w:val="0"/>
          <w:marRight w:val="0"/>
          <w:marTop w:val="0"/>
          <w:marBottom w:val="0"/>
          <w:divBdr>
            <w:top w:val="none" w:sz="0" w:space="0" w:color="auto"/>
            <w:left w:val="none" w:sz="0" w:space="0" w:color="auto"/>
            <w:bottom w:val="none" w:sz="0" w:space="0" w:color="auto"/>
            <w:right w:val="none" w:sz="0" w:space="0" w:color="auto"/>
          </w:divBdr>
          <w:divsChild>
            <w:div w:id="1230267784">
              <w:marLeft w:val="0"/>
              <w:marRight w:val="0"/>
              <w:marTop w:val="0"/>
              <w:marBottom w:val="0"/>
              <w:divBdr>
                <w:top w:val="none" w:sz="0" w:space="0" w:color="auto"/>
                <w:left w:val="none" w:sz="0" w:space="0" w:color="auto"/>
                <w:bottom w:val="none" w:sz="0" w:space="0" w:color="auto"/>
                <w:right w:val="none" w:sz="0" w:space="0" w:color="auto"/>
              </w:divBdr>
              <w:divsChild>
                <w:div w:id="1837110836">
                  <w:marLeft w:val="0"/>
                  <w:marRight w:val="0"/>
                  <w:marTop w:val="0"/>
                  <w:marBottom w:val="0"/>
                  <w:divBdr>
                    <w:top w:val="none" w:sz="0" w:space="0" w:color="auto"/>
                    <w:left w:val="none" w:sz="0" w:space="0" w:color="auto"/>
                    <w:bottom w:val="none" w:sz="0" w:space="0" w:color="auto"/>
                    <w:right w:val="none" w:sz="0" w:space="0" w:color="auto"/>
                  </w:divBdr>
                  <w:divsChild>
                    <w:div w:id="404491394">
                      <w:marLeft w:val="0"/>
                      <w:marRight w:val="0"/>
                      <w:marTop w:val="0"/>
                      <w:marBottom w:val="0"/>
                      <w:divBdr>
                        <w:top w:val="none" w:sz="0" w:space="0" w:color="auto"/>
                        <w:left w:val="none" w:sz="0" w:space="0" w:color="auto"/>
                        <w:bottom w:val="none" w:sz="0" w:space="0" w:color="auto"/>
                        <w:right w:val="none" w:sz="0" w:space="0" w:color="auto"/>
                      </w:divBdr>
                      <w:divsChild>
                        <w:div w:id="513499620">
                          <w:marLeft w:val="0"/>
                          <w:marRight w:val="0"/>
                          <w:marTop w:val="0"/>
                          <w:marBottom w:val="0"/>
                          <w:divBdr>
                            <w:top w:val="none" w:sz="0" w:space="0" w:color="auto"/>
                            <w:left w:val="none" w:sz="0" w:space="0" w:color="auto"/>
                            <w:bottom w:val="none" w:sz="0" w:space="0" w:color="auto"/>
                            <w:right w:val="none" w:sz="0" w:space="0" w:color="auto"/>
                          </w:divBdr>
                          <w:divsChild>
                            <w:div w:id="448814678">
                              <w:marLeft w:val="150"/>
                              <w:marRight w:val="150"/>
                              <w:marTop w:val="150"/>
                              <w:marBottom w:val="150"/>
                              <w:divBdr>
                                <w:top w:val="none" w:sz="0" w:space="0" w:color="auto"/>
                                <w:left w:val="none" w:sz="0" w:space="0" w:color="auto"/>
                                <w:bottom w:val="none" w:sz="0" w:space="0" w:color="auto"/>
                                <w:right w:val="none" w:sz="0" w:space="0" w:color="auto"/>
                              </w:divBdr>
                              <w:divsChild>
                                <w:div w:id="748384501">
                                  <w:marLeft w:val="0"/>
                                  <w:marRight w:val="0"/>
                                  <w:marTop w:val="0"/>
                                  <w:marBottom w:val="0"/>
                                  <w:divBdr>
                                    <w:top w:val="none" w:sz="0" w:space="0" w:color="auto"/>
                                    <w:left w:val="none" w:sz="0" w:space="0" w:color="auto"/>
                                    <w:bottom w:val="none" w:sz="0" w:space="0" w:color="auto"/>
                                    <w:right w:val="none" w:sz="0" w:space="0" w:color="auto"/>
                                  </w:divBdr>
                                  <w:divsChild>
                                    <w:div w:id="1003776692">
                                      <w:marLeft w:val="0"/>
                                      <w:marRight w:val="0"/>
                                      <w:marTop w:val="0"/>
                                      <w:marBottom w:val="0"/>
                                      <w:divBdr>
                                        <w:top w:val="none" w:sz="0" w:space="0" w:color="auto"/>
                                        <w:left w:val="none" w:sz="0" w:space="0" w:color="auto"/>
                                        <w:bottom w:val="none" w:sz="0" w:space="0" w:color="auto"/>
                                        <w:right w:val="none" w:sz="0" w:space="0" w:color="auto"/>
                                      </w:divBdr>
                                      <w:divsChild>
                                        <w:div w:id="5133276">
                                          <w:marLeft w:val="0"/>
                                          <w:marRight w:val="0"/>
                                          <w:marTop w:val="0"/>
                                          <w:marBottom w:val="0"/>
                                          <w:divBdr>
                                            <w:top w:val="none" w:sz="0" w:space="0" w:color="auto"/>
                                            <w:left w:val="none" w:sz="0" w:space="0" w:color="auto"/>
                                            <w:bottom w:val="none" w:sz="0" w:space="0" w:color="auto"/>
                                            <w:right w:val="none" w:sz="0" w:space="0" w:color="auto"/>
                                          </w:divBdr>
                                          <w:divsChild>
                                            <w:div w:id="367527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90424173">
      <w:bodyDiv w:val="1"/>
      <w:marLeft w:val="0"/>
      <w:marRight w:val="0"/>
      <w:marTop w:val="0"/>
      <w:marBottom w:val="0"/>
      <w:divBdr>
        <w:top w:val="none" w:sz="0" w:space="0" w:color="auto"/>
        <w:left w:val="none" w:sz="0" w:space="0" w:color="auto"/>
        <w:bottom w:val="none" w:sz="0" w:space="0" w:color="auto"/>
        <w:right w:val="none" w:sz="0" w:space="0" w:color="auto"/>
      </w:divBdr>
      <w:divsChild>
        <w:div w:id="470712009">
          <w:marLeft w:val="0"/>
          <w:marRight w:val="0"/>
          <w:marTop w:val="0"/>
          <w:marBottom w:val="0"/>
          <w:divBdr>
            <w:top w:val="none" w:sz="0" w:space="0" w:color="auto"/>
            <w:left w:val="none" w:sz="0" w:space="0" w:color="auto"/>
            <w:bottom w:val="none" w:sz="0" w:space="0" w:color="auto"/>
            <w:right w:val="none" w:sz="0" w:space="0" w:color="auto"/>
          </w:divBdr>
          <w:divsChild>
            <w:div w:id="642856084">
              <w:marLeft w:val="0"/>
              <w:marRight w:val="0"/>
              <w:marTop w:val="0"/>
              <w:marBottom w:val="0"/>
              <w:divBdr>
                <w:top w:val="none" w:sz="0" w:space="0" w:color="auto"/>
                <w:left w:val="none" w:sz="0" w:space="0" w:color="auto"/>
                <w:bottom w:val="none" w:sz="0" w:space="0" w:color="auto"/>
                <w:right w:val="none" w:sz="0" w:space="0" w:color="auto"/>
              </w:divBdr>
              <w:divsChild>
                <w:div w:id="883371245">
                  <w:marLeft w:val="0"/>
                  <w:marRight w:val="0"/>
                  <w:marTop w:val="0"/>
                  <w:marBottom w:val="0"/>
                  <w:divBdr>
                    <w:top w:val="none" w:sz="0" w:space="0" w:color="auto"/>
                    <w:left w:val="none" w:sz="0" w:space="0" w:color="auto"/>
                    <w:bottom w:val="none" w:sz="0" w:space="0" w:color="auto"/>
                    <w:right w:val="none" w:sz="0" w:space="0" w:color="auto"/>
                  </w:divBdr>
                  <w:divsChild>
                    <w:div w:id="410396132">
                      <w:marLeft w:val="0"/>
                      <w:marRight w:val="0"/>
                      <w:marTop w:val="0"/>
                      <w:marBottom w:val="0"/>
                      <w:divBdr>
                        <w:top w:val="none" w:sz="0" w:space="0" w:color="auto"/>
                        <w:left w:val="none" w:sz="0" w:space="0" w:color="auto"/>
                        <w:bottom w:val="none" w:sz="0" w:space="0" w:color="auto"/>
                        <w:right w:val="none" w:sz="0" w:space="0" w:color="auto"/>
                      </w:divBdr>
                      <w:divsChild>
                        <w:div w:id="149568286">
                          <w:marLeft w:val="0"/>
                          <w:marRight w:val="0"/>
                          <w:marTop w:val="0"/>
                          <w:marBottom w:val="0"/>
                          <w:divBdr>
                            <w:top w:val="none" w:sz="0" w:space="0" w:color="auto"/>
                            <w:left w:val="none" w:sz="0" w:space="0" w:color="auto"/>
                            <w:bottom w:val="none" w:sz="0" w:space="0" w:color="auto"/>
                            <w:right w:val="none" w:sz="0" w:space="0" w:color="auto"/>
                          </w:divBdr>
                          <w:divsChild>
                            <w:div w:id="776756701">
                              <w:marLeft w:val="150"/>
                              <w:marRight w:val="150"/>
                              <w:marTop w:val="150"/>
                              <w:marBottom w:val="150"/>
                              <w:divBdr>
                                <w:top w:val="none" w:sz="0" w:space="0" w:color="auto"/>
                                <w:left w:val="none" w:sz="0" w:space="0" w:color="auto"/>
                                <w:bottom w:val="none" w:sz="0" w:space="0" w:color="auto"/>
                                <w:right w:val="none" w:sz="0" w:space="0" w:color="auto"/>
                              </w:divBdr>
                              <w:divsChild>
                                <w:div w:id="2079093295">
                                  <w:marLeft w:val="0"/>
                                  <w:marRight w:val="0"/>
                                  <w:marTop w:val="0"/>
                                  <w:marBottom w:val="0"/>
                                  <w:divBdr>
                                    <w:top w:val="none" w:sz="0" w:space="0" w:color="auto"/>
                                    <w:left w:val="none" w:sz="0" w:space="0" w:color="auto"/>
                                    <w:bottom w:val="none" w:sz="0" w:space="0" w:color="auto"/>
                                    <w:right w:val="none" w:sz="0" w:space="0" w:color="auto"/>
                                  </w:divBdr>
                                  <w:divsChild>
                                    <w:div w:id="15811755">
                                      <w:marLeft w:val="0"/>
                                      <w:marRight w:val="0"/>
                                      <w:marTop w:val="0"/>
                                      <w:marBottom w:val="0"/>
                                      <w:divBdr>
                                        <w:top w:val="none" w:sz="0" w:space="0" w:color="auto"/>
                                        <w:left w:val="none" w:sz="0" w:space="0" w:color="auto"/>
                                        <w:bottom w:val="none" w:sz="0" w:space="0" w:color="auto"/>
                                        <w:right w:val="none" w:sz="0" w:space="0" w:color="auto"/>
                                      </w:divBdr>
                                      <w:divsChild>
                                        <w:div w:id="866258218">
                                          <w:marLeft w:val="0"/>
                                          <w:marRight w:val="0"/>
                                          <w:marTop w:val="0"/>
                                          <w:marBottom w:val="0"/>
                                          <w:divBdr>
                                            <w:top w:val="none" w:sz="0" w:space="0" w:color="auto"/>
                                            <w:left w:val="none" w:sz="0" w:space="0" w:color="auto"/>
                                            <w:bottom w:val="none" w:sz="0" w:space="0" w:color="auto"/>
                                            <w:right w:val="none" w:sz="0" w:space="0" w:color="auto"/>
                                          </w:divBdr>
                                          <w:divsChild>
                                            <w:div w:id="1631592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95781874">
      <w:bodyDiv w:val="1"/>
      <w:marLeft w:val="0"/>
      <w:marRight w:val="0"/>
      <w:marTop w:val="0"/>
      <w:marBottom w:val="0"/>
      <w:divBdr>
        <w:top w:val="none" w:sz="0" w:space="0" w:color="auto"/>
        <w:left w:val="none" w:sz="0" w:space="0" w:color="auto"/>
        <w:bottom w:val="none" w:sz="0" w:space="0" w:color="auto"/>
        <w:right w:val="none" w:sz="0" w:space="0" w:color="auto"/>
      </w:divBdr>
    </w:div>
    <w:div w:id="420880283">
      <w:bodyDiv w:val="1"/>
      <w:marLeft w:val="0"/>
      <w:marRight w:val="0"/>
      <w:marTop w:val="0"/>
      <w:marBottom w:val="0"/>
      <w:divBdr>
        <w:top w:val="none" w:sz="0" w:space="0" w:color="auto"/>
        <w:left w:val="none" w:sz="0" w:space="0" w:color="auto"/>
        <w:bottom w:val="none" w:sz="0" w:space="0" w:color="auto"/>
        <w:right w:val="none" w:sz="0" w:space="0" w:color="auto"/>
      </w:divBdr>
      <w:divsChild>
        <w:div w:id="264264094">
          <w:marLeft w:val="0"/>
          <w:marRight w:val="0"/>
          <w:marTop w:val="0"/>
          <w:marBottom w:val="0"/>
          <w:divBdr>
            <w:top w:val="none" w:sz="0" w:space="0" w:color="auto"/>
            <w:left w:val="none" w:sz="0" w:space="0" w:color="auto"/>
            <w:bottom w:val="none" w:sz="0" w:space="0" w:color="auto"/>
            <w:right w:val="none" w:sz="0" w:space="0" w:color="auto"/>
          </w:divBdr>
          <w:divsChild>
            <w:div w:id="2065056426">
              <w:marLeft w:val="0"/>
              <w:marRight w:val="0"/>
              <w:marTop w:val="0"/>
              <w:marBottom w:val="0"/>
              <w:divBdr>
                <w:top w:val="none" w:sz="0" w:space="0" w:color="auto"/>
                <w:left w:val="none" w:sz="0" w:space="0" w:color="auto"/>
                <w:bottom w:val="none" w:sz="0" w:space="0" w:color="auto"/>
                <w:right w:val="none" w:sz="0" w:space="0" w:color="auto"/>
              </w:divBdr>
              <w:divsChild>
                <w:div w:id="31730124">
                  <w:marLeft w:val="4935"/>
                  <w:marRight w:val="0"/>
                  <w:marTop w:val="0"/>
                  <w:marBottom w:val="0"/>
                  <w:divBdr>
                    <w:top w:val="none" w:sz="0" w:space="0" w:color="auto"/>
                    <w:left w:val="none" w:sz="0" w:space="0" w:color="auto"/>
                    <w:bottom w:val="none" w:sz="0" w:space="0" w:color="auto"/>
                    <w:right w:val="none" w:sz="0" w:space="0" w:color="auto"/>
                  </w:divBdr>
                  <w:divsChild>
                    <w:div w:id="410009798">
                      <w:marLeft w:val="0"/>
                      <w:marRight w:val="0"/>
                      <w:marTop w:val="0"/>
                      <w:marBottom w:val="0"/>
                      <w:divBdr>
                        <w:top w:val="none" w:sz="0" w:space="0" w:color="auto"/>
                        <w:left w:val="none" w:sz="0" w:space="0" w:color="auto"/>
                        <w:bottom w:val="none" w:sz="0" w:space="0" w:color="auto"/>
                        <w:right w:val="none" w:sz="0" w:space="0" w:color="auto"/>
                      </w:divBdr>
                      <w:divsChild>
                        <w:div w:id="677971378">
                          <w:marLeft w:val="0"/>
                          <w:marRight w:val="0"/>
                          <w:marTop w:val="0"/>
                          <w:marBottom w:val="0"/>
                          <w:divBdr>
                            <w:top w:val="none" w:sz="0" w:space="0" w:color="auto"/>
                            <w:left w:val="none" w:sz="0" w:space="0" w:color="auto"/>
                            <w:bottom w:val="none" w:sz="0" w:space="0" w:color="auto"/>
                            <w:right w:val="none" w:sz="0" w:space="0" w:color="auto"/>
                          </w:divBdr>
                          <w:divsChild>
                            <w:div w:id="926621365">
                              <w:marLeft w:val="0"/>
                              <w:marRight w:val="0"/>
                              <w:marTop w:val="0"/>
                              <w:marBottom w:val="0"/>
                              <w:divBdr>
                                <w:top w:val="none" w:sz="0" w:space="0" w:color="auto"/>
                                <w:left w:val="none" w:sz="0" w:space="0" w:color="auto"/>
                                <w:bottom w:val="none" w:sz="0" w:space="0" w:color="auto"/>
                                <w:right w:val="none" w:sz="0" w:space="0" w:color="auto"/>
                              </w:divBdr>
                              <w:divsChild>
                                <w:div w:id="1630239934">
                                  <w:marLeft w:val="0"/>
                                  <w:marRight w:val="0"/>
                                  <w:marTop w:val="0"/>
                                  <w:marBottom w:val="0"/>
                                  <w:divBdr>
                                    <w:top w:val="none" w:sz="0" w:space="0" w:color="auto"/>
                                    <w:left w:val="none" w:sz="0" w:space="0" w:color="auto"/>
                                    <w:bottom w:val="none" w:sz="0" w:space="0" w:color="auto"/>
                                    <w:right w:val="none" w:sz="0" w:space="0" w:color="auto"/>
                                  </w:divBdr>
                                  <w:divsChild>
                                    <w:div w:id="1015154307">
                                      <w:marLeft w:val="0"/>
                                      <w:marRight w:val="0"/>
                                      <w:marTop w:val="0"/>
                                      <w:marBottom w:val="0"/>
                                      <w:divBdr>
                                        <w:top w:val="none" w:sz="0" w:space="0" w:color="auto"/>
                                        <w:left w:val="none" w:sz="0" w:space="0" w:color="auto"/>
                                        <w:bottom w:val="none" w:sz="0" w:space="0" w:color="auto"/>
                                        <w:right w:val="none" w:sz="0" w:space="0" w:color="auto"/>
                                      </w:divBdr>
                                      <w:divsChild>
                                        <w:div w:id="1785728302">
                                          <w:marLeft w:val="0"/>
                                          <w:marRight w:val="0"/>
                                          <w:marTop w:val="0"/>
                                          <w:marBottom w:val="0"/>
                                          <w:divBdr>
                                            <w:top w:val="none" w:sz="0" w:space="0" w:color="auto"/>
                                            <w:left w:val="none" w:sz="0" w:space="0" w:color="auto"/>
                                            <w:bottom w:val="none" w:sz="0" w:space="0" w:color="auto"/>
                                            <w:right w:val="none" w:sz="0" w:space="0" w:color="auto"/>
                                          </w:divBdr>
                                          <w:divsChild>
                                            <w:div w:id="498423293">
                                              <w:marLeft w:val="0"/>
                                              <w:marRight w:val="0"/>
                                              <w:marTop w:val="0"/>
                                              <w:marBottom w:val="0"/>
                                              <w:divBdr>
                                                <w:top w:val="none" w:sz="0" w:space="0" w:color="auto"/>
                                                <w:left w:val="none" w:sz="0" w:space="0" w:color="auto"/>
                                                <w:bottom w:val="none" w:sz="0" w:space="0" w:color="auto"/>
                                                <w:right w:val="none" w:sz="0" w:space="0" w:color="auto"/>
                                              </w:divBdr>
                                              <w:divsChild>
                                                <w:div w:id="1831213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22994092">
      <w:bodyDiv w:val="1"/>
      <w:marLeft w:val="0"/>
      <w:marRight w:val="0"/>
      <w:marTop w:val="0"/>
      <w:marBottom w:val="0"/>
      <w:divBdr>
        <w:top w:val="none" w:sz="0" w:space="0" w:color="auto"/>
        <w:left w:val="none" w:sz="0" w:space="0" w:color="auto"/>
        <w:bottom w:val="none" w:sz="0" w:space="0" w:color="auto"/>
        <w:right w:val="none" w:sz="0" w:space="0" w:color="auto"/>
      </w:divBdr>
      <w:divsChild>
        <w:div w:id="1557860550">
          <w:marLeft w:val="0"/>
          <w:marRight w:val="0"/>
          <w:marTop w:val="0"/>
          <w:marBottom w:val="0"/>
          <w:divBdr>
            <w:top w:val="none" w:sz="0" w:space="0" w:color="auto"/>
            <w:left w:val="none" w:sz="0" w:space="0" w:color="auto"/>
            <w:bottom w:val="none" w:sz="0" w:space="0" w:color="auto"/>
            <w:right w:val="none" w:sz="0" w:space="0" w:color="auto"/>
          </w:divBdr>
        </w:div>
      </w:divsChild>
    </w:div>
    <w:div w:id="431515125">
      <w:bodyDiv w:val="1"/>
      <w:marLeft w:val="0"/>
      <w:marRight w:val="0"/>
      <w:marTop w:val="0"/>
      <w:marBottom w:val="0"/>
      <w:divBdr>
        <w:top w:val="none" w:sz="0" w:space="0" w:color="auto"/>
        <w:left w:val="none" w:sz="0" w:space="0" w:color="auto"/>
        <w:bottom w:val="none" w:sz="0" w:space="0" w:color="auto"/>
        <w:right w:val="none" w:sz="0" w:space="0" w:color="auto"/>
      </w:divBdr>
      <w:divsChild>
        <w:div w:id="103353896">
          <w:marLeft w:val="547"/>
          <w:marRight w:val="0"/>
          <w:marTop w:val="96"/>
          <w:marBottom w:val="0"/>
          <w:divBdr>
            <w:top w:val="none" w:sz="0" w:space="0" w:color="auto"/>
            <w:left w:val="none" w:sz="0" w:space="0" w:color="auto"/>
            <w:bottom w:val="none" w:sz="0" w:space="0" w:color="auto"/>
            <w:right w:val="none" w:sz="0" w:space="0" w:color="auto"/>
          </w:divBdr>
        </w:div>
        <w:div w:id="162282882">
          <w:marLeft w:val="547"/>
          <w:marRight w:val="0"/>
          <w:marTop w:val="96"/>
          <w:marBottom w:val="0"/>
          <w:divBdr>
            <w:top w:val="none" w:sz="0" w:space="0" w:color="auto"/>
            <w:left w:val="none" w:sz="0" w:space="0" w:color="auto"/>
            <w:bottom w:val="none" w:sz="0" w:space="0" w:color="auto"/>
            <w:right w:val="none" w:sz="0" w:space="0" w:color="auto"/>
          </w:divBdr>
        </w:div>
        <w:div w:id="665209178">
          <w:marLeft w:val="547"/>
          <w:marRight w:val="0"/>
          <w:marTop w:val="173"/>
          <w:marBottom w:val="0"/>
          <w:divBdr>
            <w:top w:val="none" w:sz="0" w:space="0" w:color="auto"/>
            <w:left w:val="none" w:sz="0" w:space="0" w:color="auto"/>
            <w:bottom w:val="none" w:sz="0" w:space="0" w:color="auto"/>
            <w:right w:val="none" w:sz="0" w:space="0" w:color="auto"/>
          </w:divBdr>
        </w:div>
        <w:div w:id="861012056">
          <w:marLeft w:val="547"/>
          <w:marRight w:val="0"/>
          <w:marTop w:val="173"/>
          <w:marBottom w:val="0"/>
          <w:divBdr>
            <w:top w:val="none" w:sz="0" w:space="0" w:color="auto"/>
            <w:left w:val="none" w:sz="0" w:space="0" w:color="auto"/>
            <w:bottom w:val="none" w:sz="0" w:space="0" w:color="auto"/>
            <w:right w:val="none" w:sz="0" w:space="0" w:color="auto"/>
          </w:divBdr>
        </w:div>
        <w:div w:id="950475782">
          <w:marLeft w:val="547"/>
          <w:marRight w:val="0"/>
          <w:marTop w:val="96"/>
          <w:marBottom w:val="0"/>
          <w:divBdr>
            <w:top w:val="none" w:sz="0" w:space="0" w:color="auto"/>
            <w:left w:val="none" w:sz="0" w:space="0" w:color="auto"/>
            <w:bottom w:val="none" w:sz="0" w:space="0" w:color="auto"/>
            <w:right w:val="none" w:sz="0" w:space="0" w:color="auto"/>
          </w:divBdr>
        </w:div>
        <w:div w:id="1168328469">
          <w:marLeft w:val="547"/>
          <w:marRight w:val="0"/>
          <w:marTop w:val="173"/>
          <w:marBottom w:val="0"/>
          <w:divBdr>
            <w:top w:val="none" w:sz="0" w:space="0" w:color="auto"/>
            <w:left w:val="none" w:sz="0" w:space="0" w:color="auto"/>
            <w:bottom w:val="none" w:sz="0" w:space="0" w:color="auto"/>
            <w:right w:val="none" w:sz="0" w:space="0" w:color="auto"/>
          </w:divBdr>
        </w:div>
        <w:div w:id="1392533003">
          <w:marLeft w:val="547"/>
          <w:marRight w:val="0"/>
          <w:marTop w:val="96"/>
          <w:marBottom w:val="0"/>
          <w:divBdr>
            <w:top w:val="none" w:sz="0" w:space="0" w:color="auto"/>
            <w:left w:val="none" w:sz="0" w:space="0" w:color="auto"/>
            <w:bottom w:val="none" w:sz="0" w:space="0" w:color="auto"/>
            <w:right w:val="none" w:sz="0" w:space="0" w:color="auto"/>
          </w:divBdr>
        </w:div>
        <w:div w:id="1669482938">
          <w:marLeft w:val="547"/>
          <w:marRight w:val="0"/>
          <w:marTop w:val="96"/>
          <w:marBottom w:val="0"/>
          <w:divBdr>
            <w:top w:val="none" w:sz="0" w:space="0" w:color="auto"/>
            <w:left w:val="none" w:sz="0" w:space="0" w:color="auto"/>
            <w:bottom w:val="none" w:sz="0" w:space="0" w:color="auto"/>
            <w:right w:val="none" w:sz="0" w:space="0" w:color="auto"/>
          </w:divBdr>
        </w:div>
        <w:div w:id="2004772020">
          <w:marLeft w:val="547"/>
          <w:marRight w:val="0"/>
          <w:marTop w:val="96"/>
          <w:marBottom w:val="0"/>
          <w:divBdr>
            <w:top w:val="none" w:sz="0" w:space="0" w:color="auto"/>
            <w:left w:val="none" w:sz="0" w:space="0" w:color="auto"/>
            <w:bottom w:val="none" w:sz="0" w:space="0" w:color="auto"/>
            <w:right w:val="none" w:sz="0" w:space="0" w:color="auto"/>
          </w:divBdr>
        </w:div>
      </w:divsChild>
    </w:div>
    <w:div w:id="434206381">
      <w:bodyDiv w:val="1"/>
      <w:marLeft w:val="0"/>
      <w:marRight w:val="0"/>
      <w:marTop w:val="0"/>
      <w:marBottom w:val="0"/>
      <w:divBdr>
        <w:top w:val="none" w:sz="0" w:space="0" w:color="auto"/>
        <w:left w:val="none" w:sz="0" w:space="0" w:color="auto"/>
        <w:bottom w:val="none" w:sz="0" w:space="0" w:color="auto"/>
        <w:right w:val="none" w:sz="0" w:space="0" w:color="auto"/>
      </w:divBdr>
    </w:div>
    <w:div w:id="439222726">
      <w:bodyDiv w:val="1"/>
      <w:marLeft w:val="0"/>
      <w:marRight w:val="0"/>
      <w:marTop w:val="0"/>
      <w:marBottom w:val="0"/>
      <w:divBdr>
        <w:top w:val="none" w:sz="0" w:space="0" w:color="auto"/>
        <w:left w:val="none" w:sz="0" w:space="0" w:color="auto"/>
        <w:bottom w:val="none" w:sz="0" w:space="0" w:color="auto"/>
        <w:right w:val="none" w:sz="0" w:space="0" w:color="auto"/>
      </w:divBdr>
      <w:divsChild>
        <w:div w:id="1661225616">
          <w:marLeft w:val="0"/>
          <w:marRight w:val="0"/>
          <w:marTop w:val="0"/>
          <w:marBottom w:val="0"/>
          <w:divBdr>
            <w:top w:val="none" w:sz="0" w:space="0" w:color="auto"/>
            <w:left w:val="none" w:sz="0" w:space="0" w:color="auto"/>
            <w:bottom w:val="none" w:sz="0" w:space="0" w:color="auto"/>
            <w:right w:val="none" w:sz="0" w:space="0" w:color="auto"/>
          </w:divBdr>
          <w:divsChild>
            <w:div w:id="158466544">
              <w:marLeft w:val="0"/>
              <w:marRight w:val="0"/>
              <w:marTop w:val="0"/>
              <w:marBottom w:val="0"/>
              <w:divBdr>
                <w:top w:val="none" w:sz="0" w:space="0" w:color="auto"/>
                <w:left w:val="none" w:sz="0" w:space="0" w:color="auto"/>
                <w:bottom w:val="none" w:sz="0" w:space="0" w:color="auto"/>
                <w:right w:val="none" w:sz="0" w:space="0" w:color="auto"/>
              </w:divBdr>
              <w:divsChild>
                <w:div w:id="1442066749">
                  <w:marLeft w:val="4200"/>
                  <w:marRight w:val="0"/>
                  <w:marTop w:val="0"/>
                  <w:marBottom w:val="0"/>
                  <w:divBdr>
                    <w:top w:val="none" w:sz="0" w:space="0" w:color="auto"/>
                    <w:left w:val="none" w:sz="0" w:space="0" w:color="auto"/>
                    <w:bottom w:val="none" w:sz="0" w:space="0" w:color="auto"/>
                    <w:right w:val="none" w:sz="0" w:space="0" w:color="auto"/>
                  </w:divBdr>
                  <w:divsChild>
                    <w:div w:id="478694945">
                      <w:marLeft w:val="0"/>
                      <w:marRight w:val="0"/>
                      <w:marTop w:val="0"/>
                      <w:marBottom w:val="0"/>
                      <w:divBdr>
                        <w:top w:val="none" w:sz="0" w:space="0" w:color="auto"/>
                        <w:left w:val="none" w:sz="0" w:space="0" w:color="auto"/>
                        <w:bottom w:val="none" w:sz="0" w:space="0" w:color="auto"/>
                        <w:right w:val="none" w:sz="0" w:space="0" w:color="auto"/>
                      </w:divBdr>
                      <w:divsChild>
                        <w:div w:id="1257783648">
                          <w:marLeft w:val="0"/>
                          <w:marRight w:val="0"/>
                          <w:marTop w:val="0"/>
                          <w:marBottom w:val="0"/>
                          <w:divBdr>
                            <w:top w:val="none" w:sz="0" w:space="0" w:color="auto"/>
                            <w:left w:val="none" w:sz="0" w:space="0" w:color="auto"/>
                            <w:bottom w:val="none" w:sz="0" w:space="0" w:color="auto"/>
                            <w:right w:val="none" w:sz="0" w:space="0" w:color="auto"/>
                          </w:divBdr>
                          <w:divsChild>
                            <w:div w:id="221795743">
                              <w:marLeft w:val="0"/>
                              <w:marRight w:val="0"/>
                              <w:marTop w:val="0"/>
                              <w:marBottom w:val="0"/>
                              <w:divBdr>
                                <w:top w:val="none" w:sz="0" w:space="0" w:color="auto"/>
                                <w:left w:val="none" w:sz="0" w:space="0" w:color="auto"/>
                                <w:bottom w:val="none" w:sz="0" w:space="0" w:color="auto"/>
                                <w:right w:val="none" w:sz="0" w:space="0" w:color="auto"/>
                              </w:divBdr>
                              <w:divsChild>
                                <w:div w:id="1201672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49709477">
      <w:bodyDiv w:val="1"/>
      <w:marLeft w:val="0"/>
      <w:marRight w:val="0"/>
      <w:marTop w:val="0"/>
      <w:marBottom w:val="0"/>
      <w:divBdr>
        <w:top w:val="none" w:sz="0" w:space="0" w:color="auto"/>
        <w:left w:val="none" w:sz="0" w:space="0" w:color="auto"/>
        <w:bottom w:val="none" w:sz="0" w:space="0" w:color="auto"/>
        <w:right w:val="none" w:sz="0" w:space="0" w:color="auto"/>
      </w:divBdr>
      <w:divsChild>
        <w:div w:id="474831685">
          <w:marLeft w:val="0"/>
          <w:marRight w:val="0"/>
          <w:marTop w:val="0"/>
          <w:marBottom w:val="0"/>
          <w:divBdr>
            <w:top w:val="none" w:sz="0" w:space="0" w:color="auto"/>
            <w:left w:val="none" w:sz="0" w:space="0" w:color="auto"/>
            <w:bottom w:val="none" w:sz="0" w:space="0" w:color="auto"/>
            <w:right w:val="none" w:sz="0" w:space="0" w:color="auto"/>
          </w:divBdr>
        </w:div>
      </w:divsChild>
    </w:div>
    <w:div w:id="452021390">
      <w:bodyDiv w:val="1"/>
      <w:marLeft w:val="0"/>
      <w:marRight w:val="0"/>
      <w:marTop w:val="0"/>
      <w:marBottom w:val="0"/>
      <w:divBdr>
        <w:top w:val="none" w:sz="0" w:space="0" w:color="auto"/>
        <w:left w:val="none" w:sz="0" w:space="0" w:color="auto"/>
        <w:bottom w:val="none" w:sz="0" w:space="0" w:color="auto"/>
        <w:right w:val="none" w:sz="0" w:space="0" w:color="auto"/>
      </w:divBdr>
      <w:divsChild>
        <w:div w:id="536622481">
          <w:marLeft w:val="0"/>
          <w:marRight w:val="0"/>
          <w:marTop w:val="0"/>
          <w:marBottom w:val="0"/>
          <w:divBdr>
            <w:top w:val="none" w:sz="0" w:space="0" w:color="auto"/>
            <w:left w:val="none" w:sz="0" w:space="0" w:color="auto"/>
            <w:bottom w:val="none" w:sz="0" w:space="0" w:color="auto"/>
            <w:right w:val="none" w:sz="0" w:space="0" w:color="auto"/>
          </w:divBdr>
          <w:divsChild>
            <w:div w:id="122775146">
              <w:marLeft w:val="0"/>
              <w:marRight w:val="0"/>
              <w:marTop w:val="0"/>
              <w:marBottom w:val="0"/>
              <w:divBdr>
                <w:top w:val="none" w:sz="0" w:space="0" w:color="auto"/>
                <w:left w:val="none" w:sz="0" w:space="0" w:color="auto"/>
                <w:bottom w:val="none" w:sz="0" w:space="0" w:color="auto"/>
                <w:right w:val="none" w:sz="0" w:space="0" w:color="auto"/>
              </w:divBdr>
              <w:divsChild>
                <w:div w:id="895118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3060917">
      <w:bodyDiv w:val="1"/>
      <w:marLeft w:val="0"/>
      <w:marRight w:val="0"/>
      <w:marTop w:val="0"/>
      <w:marBottom w:val="0"/>
      <w:divBdr>
        <w:top w:val="none" w:sz="0" w:space="0" w:color="auto"/>
        <w:left w:val="none" w:sz="0" w:space="0" w:color="auto"/>
        <w:bottom w:val="none" w:sz="0" w:space="0" w:color="auto"/>
        <w:right w:val="none" w:sz="0" w:space="0" w:color="auto"/>
      </w:divBdr>
      <w:divsChild>
        <w:div w:id="652376084">
          <w:marLeft w:val="360"/>
          <w:marRight w:val="0"/>
          <w:marTop w:val="204"/>
          <w:marBottom w:val="0"/>
          <w:divBdr>
            <w:top w:val="none" w:sz="0" w:space="0" w:color="auto"/>
            <w:left w:val="none" w:sz="0" w:space="0" w:color="auto"/>
            <w:bottom w:val="none" w:sz="0" w:space="0" w:color="auto"/>
            <w:right w:val="none" w:sz="0" w:space="0" w:color="auto"/>
          </w:divBdr>
        </w:div>
        <w:div w:id="1612860298">
          <w:marLeft w:val="360"/>
          <w:marRight w:val="0"/>
          <w:marTop w:val="204"/>
          <w:marBottom w:val="0"/>
          <w:divBdr>
            <w:top w:val="none" w:sz="0" w:space="0" w:color="auto"/>
            <w:left w:val="none" w:sz="0" w:space="0" w:color="auto"/>
            <w:bottom w:val="none" w:sz="0" w:space="0" w:color="auto"/>
            <w:right w:val="none" w:sz="0" w:space="0" w:color="auto"/>
          </w:divBdr>
        </w:div>
        <w:div w:id="1086464558">
          <w:marLeft w:val="360"/>
          <w:marRight w:val="0"/>
          <w:marTop w:val="204"/>
          <w:marBottom w:val="0"/>
          <w:divBdr>
            <w:top w:val="none" w:sz="0" w:space="0" w:color="auto"/>
            <w:left w:val="none" w:sz="0" w:space="0" w:color="auto"/>
            <w:bottom w:val="none" w:sz="0" w:space="0" w:color="auto"/>
            <w:right w:val="none" w:sz="0" w:space="0" w:color="auto"/>
          </w:divBdr>
        </w:div>
        <w:div w:id="1144616966">
          <w:marLeft w:val="360"/>
          <w:marRight w:val="0"/>
          <w:marTop w:val="204"/>
          <w:marBottom w:val="0"/>
          <w:divBdr>
            <w:top w:val="none" w:sz="0" w:space="0" w:color="auto"/>
            <w:left w:val="none" w:sz="0" w:space="0" w:color="auto"/>
            <w:bottom w:val="none" w:sz="0" w:space="0" w:color="auto"/>
            <w:right w:val="none" w:sz="0" w:space="0" w:color="auto"/>
          </w:divBdr>
        </w:div>
      </w:divsChild>
    </w:div>
    <w:div w:id="474300332">
      <w:bodyDiv w:val="1"/>
      <w:marLeft w:val="0"/>
      <w:marRight w:val="0"/>
      <w:marTop w:val="0"/>
      <w:marBottom w:val="0"/>
      <w:divBdr>
        <w:top w:val="none" w:sz="0" w:space="0" w:color="auto"/>
        <w:left w:val="none" w:sz="0" w:space="0" w:color="auto"/>
        <w:bottom w:val="none" w:sz="0" w:space="0" w:color="auto"/>
        <w:right w:val="none" w:sz="0" w:space="0" w:color="auto"/>
      </w:divBdr>
    </w:div>
    <w:div w:id="479927172">
      <w:bodyDiv w:val="1"/>
      <w:marLeft w:val="0"/>
      <w:marRight w:val="0"/>
      <w:marTop w:val="0"/>
      <w:marBottom w:val="0"/>
      <w:divBdr>
        <w:top w:val="none" w:sz="0" w:space="0" w:color="auto"/>
        <w:left w:val="none" w:sz="0" w:space="0" w:color="auto"/>
        <w:bottom w:val="none" w:sz="0" w:space="0" w:color="auto"/>
        <w:right w:val="none" w:sz="0" w:space="0" w:color="auto"/>
      </w:divBdr>
    </w:div>
    <w:div w:id="481242758">
      <w:bodyDiv w:val="1"/>
      <w:marLeft w:val="0"/>
      <w:marRight w:val="0"/>
      <w:marTop w:val="0"/>
      <w:marBottom w:val="0"/>
      <w:divBdr>
        <w:top w:val="none" w:sz="0" w:space="0" w:color="auto"/>
        <w:left w:val="none" w:sz="0" w:space="0" w:color="auto"/>
        <w:bottom w:val="none" w:sz="0" w:space="0" w:color="auto"/>
        <w:right w:val="none" w:sz="0" w:space="0" w:color="auto"/>
      </w:divBdr>
    </w:div>
    <w:div w:id="482163834">
      <w:bodyDiv w:val="1"/>
      <w:marLeft w:val="0"/>
      <w:marRight w:val="0"/>
      <w:marTop w:val="0"/>
      <w:marBottom w:val="0"/>
      <w:divBdr>
        <w:top w:val="none" w:sz="0" w:space="0" w:color="auto"/>
        <w:left w:val="none" w:sz="0" w:space="0" w:color="auto"/>
        <w:bottom w:val="none" w:sz="0" w:space="0" w:color="auto"/>
        <w:right w:val="none" w:sz="0" w:space="0" w:color="auto"/>
      </w:divBdr>
    </w:div>
    <w:div w:id="497040993">
      <w:bodyDiv w:val="1"/>
      <w:marLeft w:val="0"/>
      <w:marRight w:val="0"/>
      <w:marTop w:val="0"/>
      <w:marBottom w:val="0"/>
      <w:divBdr>
        <w:top w:val="none" w:sz="0" w:space="0" w:color="auto"/>
        <w:left w:val="none" w:sz="0" w:space="0" w:color="auto"/>
        <w:bottom w:val="none" w:sz="0" w:space="0" w:color="auto"/>
        <w:right w:val="none" w:sz="0" w:space="0" w:color="auto"/>
      </w:divBdr>
      <w:divsChild>
        <w:div w:id="97339568">
          <w:marLeft w:val="0"/>
          <w:marRight w:val="0"/>
          <w:marTop w:val="0"/>
          <w:marBottom w:val="0"/>
          <w:divBdr>
            <w:top w:val="none" w:sz="0" w:space="0" w:color="auto"/>
            <w:left w:val="none" w:sz="0" w:space="0" w:color="auto"/>
            <w:bottom w:val="none" w:sz="0" w:space="0" w:color="auto"/>
            <w:right w:val="none" w:sz="0" w:space="0" w:color="auto"/>
          </w:divBdr>
          <w:divsChild>
            <w:div w:id="497502817">
              <w:marLeft w:val="0"/>
              <w:marRight w:val="0"/>
              <w:marTop w:val="0"/>
              <w:marBottom w:val="0"/>
              <w:divBdr>
                <w:top w:val="none" w:sz="0" w:space="0" w:color="auto"/>
                <w:left w:val="none" w:sz="0" w:space="0" w:color="auto"/>
                <w:bottom w:val="none" w:sz="0" w:space="0" w:color="auto"/>
                <w:right w:val="none" w:sz="0" w:space="0" w:color="auto"/>
              </w:divBdr>
              <w:divsChild>
                <w:div w:id="1338339957">
                  <w:marLeft w:val="4935"/>
                  <w:marRight w:val="0"/>
                  <w:marTop w:val="0"/>
                  <w:marBottom w:val="0"/>
                  <w:divBdr>
                    <w:top w:val="none" w:sz="0" w:space="0" w:color="auto"/>
                    <w:left w:val="none" w:sz="0" w:space="0" w:color="auto"/>
                    <w:bottom w:val="none" w:sz="0" w:space="0" w:color="auto"/>
                    <w:right w:val="none" w:sz="0" w:space="0" w:color="auto"/>
                  </w:divBdr>
                  <w:divsChild>
                    <w:div w:id="1562902753">
                      <w:marLeft w:val="0"/>
                      <w:marRight w:val="0"/>
                      <w:marTop w:val="0"/>
                      <w:marBottom w:val="0"/>
                      <w:divBdr>
                        <w:top w:val="none" w:sz="0" w:space="0" w:color="auto"/>
                        <w:left w:val="none" w:sz="0" w:space="0" w:color="auto"/>
                        <w:bottom w:val="none" w:sz="0" w:space="0" w:color="auto"/>
                        <w:right w:val="none" w:sz="0" w:space="0" w:color="auto"/>
                      </w:divBdr>
                      <w:divsChild>
                        <w:div w:id="1176845662">
                          <w:marLeft w:val="0"/>
                          <w:marRight w:val="0"/>
                          <w:marTop w:val="0"/>
                          <w:marBottom w:val="0"/>
                          <w:divBdr>
                            <w:top w:val="none" w:sz="0" w:space="0" w:color="auto"/>
                            <w:left w:val="none" w:sz="0" w:space="0" w:color="auto"/>
                            <w:bottom w:val="none" w:sz="0" w:space="0" w:color="auto"/>
                            <w:right w:val="none" w:sz="0" w:space="0" w:color="auto"/>
                          </w:divBdr>
                          <w:divsChild>
                            <w:div w:id="2060664354">
                              <w:marLeft w:val="0"/>
                              <w:marRight w:val="0"/>
                              <w:marTop w:val="0"/>
                              <w:marBottom w:val="0"/>
                              <w:divBdr>
                                <w:top w:val="none" w:sz="0" w:space="0" w:color="auto"/>
                                <w:left w:val="none" w:sz="0" w:space="0" w:color="auto"/>
                                <w:bottom w:val="none" w:sz="0" w:space="0" w:color="auto"/>
                                <w:right w:val="none" w:sz="0" w:space="0" w:color="auto"/>
                              </w:divBdr>
                              <w:divsChild>
                                <w:div w:id="2072577855">
                                  <w:marLeft w:val="0"/>
                                  <w:marRight w:val="0"/>
                                  <w:marTop w:val="0"/>
                                  <w:marBottom w:val="0"/>
                                  <w:divBdr>
                                    <w:top w:val="none" w:sz="0" w:space="0" w:color="auto"/>
                                    <w:left w:val="none" w:sz="0" w:space="0" w:color="auto"/>
                                    <w:bottom w:val="none" w:sz="0" w:space="0" w:color="auto"/>
                                    <w:right w:val="none" w:sz="0" w:space="0" w:color="auto"/>
                                  </w:divBdr>
                                  <w:divsChild>
                                    <w:div w:id="473106939">
                                      <w:marLeft w:val="0"/>
                                      <w:marRight w:val="0"/>
                                      <w:marTop w:val="0"/>
                                      <w:marBottom w:val="0"/>
                                      <w:divBdr>
                                        <w:top w:val="none" w:sz="0" w:space="0" w:color="auto"/>
                                        <w:left w:val="none" w:sz="0" w:space="0" w:color="auto"/>
                                        <w:bottom w:val="none" w:sz="0" w:space="0" w:color="auto"/>
                                        <w:right w:val="none" w:sz="0" w:space="0" w:color="auto"/>
                                      </w:divBdr>
                                      <w:divsChild>
                                        <w:div w:id="1432508533">
                                          <w:marLeft w:val="0"/>
                                          <w:marRight w:val="0"/>
                                          <w:marTop w:val="0"/>
                                          <w:marBottom w:val="0"/>
                                          <w:divBdr>
                                            <w:top w:val="none" w:sz="0" w:space="0" w:color="auto"/>
                                            <w:left w:val="none" w:sz="0" w:space="0" w:color="auto"/>
                                            <w:bottom w:val="none" w:sz="0" w:space="0" w:color="auto"/>
                                            <w:right w:val="none" w:sz="0" w:space="0" w:color="auto"/>
                                          </w:divBdr>
                                          <w:divsChild>
                                            <w:div w:id="1392466382">
                                              <w:marLeft w:val="0"/>
                                              <w:marRight w:val="0"/>
                                              <w:marTop w:val="0"/>
                                              <w:marBottom w:val="0"/>
                                              <w:divBdr>
                                                <w:top w:val="none" w:sz="0" w:space="0" w:color="auto"/>
                                                <w:left w:val="none" w:sz="0" w:space="0" w:color="auto"/>
                                                <w:bottom w:val="none" w:sz="0" w:space="0" w:color="auto"/>
                                                <w:right w:val="none" w:sz="0" w:space="0" w:color="auto"/>
                                              </w:divBdr>
                                              <w:divsChild>
                                                <w:div w:id="364718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97506570">
      <w:bodyDiv w:val="1"/>
      <w:marLeft w:val="0"/>
      <w:marRight w:val="0"/>
      <w:marTop w:val="0"/>
      <w:marBottom w:val="0"/>
      <w:divBdr>
        <w:top w:val="none" w:sz="0" w:space="0" w:color="auto"/>
        <w:left w:val="none" w:sz="0" w:space="0" w:color="auto"/>
        <w:bottom w:val="none" w:sz="0" w:space="0" w:color="auto"/>
        <w:right w:val="none" w:sz="0" w:space="0" w:color="auto"/>
      </w:divBdr>
      <w:divsChild>
        <w:div w:id="137261555">
          <w:marLeft w:val="0"/>
          <w:marRight w:val="0"/>
          <w:marTop w:val="0"/>
          <w:marBottom w:val="0"/>
          <w:divBdr>
            <w:top w:val="none" w:sz="0" w:space="0" w:color="auto"/>
            <w:left w:val="none" w:sz="0" w:space="0" w:color="auto"/>
            <w:bottom w:val="none" w:sz="0" w:space="0" w:color="auto"/>
            <w:right w:val="none" w:sz="0" w:space="0" w:color="auto"/>
          </w:divBdr>
          <w:divsChild>
            <w:div w:id="117141168">
              <w:marLeft w:val="0"/>
              <w:marRight w:val="0"/>
              <w:marTop w:val="0"/>
              <w:marBottom w:val="0"/>
              <w:divBdr>
                <w:top w:val="none" w:sz="0" w:space="0" w:color="auto"/>
                <w:left w:val="none" w:sz="0" w:space="0" w:color="auto"/>
                <w:bottom w:val="none" w:sz="0" w:space="0" w:color="auto"/>
                <w:right w:val="none" w:sz="0" w:space="0" w:color="auto"/>
              </w:divBdr>
              <w:divsChild>
                <w:div w:id="1096368062">
                  <w:marLeft w:val="4200"/>
                  <w:marRight w:val="0"/>
                  <w:marTop w:val="0"/>
                  <w:marBottom w:val="0"/>
                  <w:divBdr>
                    <w:top w:val="none" w:sz="0" w:space="0" w:color="auto"/>
                    <w:left w:val="none" w:sz="0" w:space="0" w:color="auto"/>
                    <w:bottom w:val="none" w:sz="0" w:space="0" w:color="auto"/>
                    <w:right w:val="none" w:sz="0" w:space="0" w:color="auto"/>
                  </w:divBdr>
                  <w:divsChild>
                    <w:div w:id="523792033">
                      <w:marLeft w:val="0"/>
                      <w:marRight w:val="0"/>
                      <w:marTop w:val="0"/>
                      <w:marBottom w:val="0"/>
                      <w:divBdr>
                        <w:top w:val="none" w:sz="0" w:space="0" w:color="auto"/>
                        <w:left w:val="none" w:sz="0" w:space="0" w:color="auto"/>
                        <w:bottom w:val="none" w:sz="0" w:space="0" w:color="auto"/>
                        <w:right w:val="none" w:sz="0" w:space="0" w:color="auto"/>
                      </w:divBdr>
                      <w:divsChild>
                        <w:div w:id="959578193">
                          <w:marLeft w:val="0"/>
                          <w:marRight w:val="0"/>
                          <w:marTop w:val="0"/>
                          <w:marBottom w:val="0"/>
                          <w:divBdr>
                            <w:top w:val="none" w:sz="0" w:space="0" w:color="auto"/>
                            <w:left w:val="none" w:sz="0" w:space="0" w:color="auto"/>
                            <w:bottom w:val="none" w:sz="0" w:space="0" w:color="auto"/>
                            <w:right w:val="none" w:sz="0" w:space="0" w:color="auto"/>
                          </w:divBdr>
                          <w:divsChild>
                            <w:div w:id="150752032">
                              <w:marLeft w:val="0"/>
                              <w:marRight w:val="0"/>
                              <w:marTop w:val="0"/>
                              <w:marBottom w:val="0"/>
                              <w:divBdr>
                                <w:top w:val="none" w:sz="0" w:space="0" w:color="auto"/>
                                <w:left w:val="none" w:sz="0" w:space="0" w:color="auto"/>
                                <w:bottom w:val="none" w:sz="0" w:space="0" w:color="auto"/>
                                <w:right w:val="none" w:sz="0" w:space="0" w:color="auto"/>
                              </w:divBdr>
                              <w:divsChild>
                                <w:div w:id="1062555367">
                                  <w:marLeft w:val="0"/>
                                  <w:marRight w:val="0"/>
                                  <w:marTop w:val="0"/>
                                  <w:marBottom w:val="0"/>
                                  <w:divBdr>
                                    <w:top w:val="none" w:sz="0" w:space="0" w:color="auto"/>
                                    <w:left w:val="none" w:sz="0" w:space="0" w:color="auto"/>
                                    <w:bottom w:val="none" w:sz="0" w:space="0" w:color="auto"/>
                                    <w:right w:val="none" w:sz="0" w:space="0" w:color="auto"/>
                                  </w:divBdr>
                                  <w:divsChild>
                                    <w:div w:id="1403992700">
                                      <w:marLeft w:val="0"/>
                                      <w:marRight w:val="0"/>
                                      <w:marTop w:val="0"/>
                                      <w:marBottom w:val="0"/>
                                      <w:divBdr>
                                        <w:top w:val="none" w:sz="0" w:space="0" w:color="auto"/>
                                        <w:left w:val="none" w:sz="0" w:space="0" w:color="auto"/>
                                        <w:bottom w:val="none" w:sz="0" w:space="0" w:color="auto"/>
                                        <w:right w:val="none" w:sz="0" w:space="0" w:color="auto"/>
                                      </w:divBdr>
                                      <w:divsChild>
                                        <w:div w:id="1499030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04789389">
      <w:bodyDiv w:val="1"/>
      <w:marLeft w:val="0"/>
      <w:marRight w:val="0"/>
      <w:marTop w:val="0"/>
      <w:marBottom w:val="0"/>
      <w:divBdr>
        <w:top w:val="none" w:sz="0" w:space="0" w:color="auto"/>
        <w:left w:val="none" w:sz="0" w:space="0" w:color="auto"/>
        <w:bottom w:val="none" w:sz="0" w:space="0" w:color="auto"/>
        <w:right w:val="none" w:sz="0" w:space="0" w:color="auto"/>
      </w:divBdr>
    </w:div>
    <w:div w:id="507521531">
      <w:bodyDiv w:val="1"/>
      <w:marLeft w:val="0"/>
      <w:marRight w:val="0"/>
      <w:marTop w:val="0"/>
      <w:marBottom w:val="0"/>
      <w:divBdr>
        <w:top w:val="none" w:sz="0" w:space="0" w:color="auto"/>
        <w:left w:val="none" w:sz="0" w:space="0" w:color="auto"/>
        <w:bottom w:val="none" w:sz="0" w:space="0" w:color="auto"/>
        <w:right w:val="none" w:sz="0" w:space="0" w:color="auto"/>
      </w:divBdr>
    </w:div>
    <w:div w:id="508452344">
      <w:bodyDiv w:val="1"/>
      <w:marLeft w:val="0"/>
      <w:marRight w:val="0"/>
      <w:marTop w:val="0"/>
      <w:marBottom w:val="0"/>
      <w:divBdr>
        <w:top w:val="none" w:sz="0" w:space="0" w:color="auto"/>
        <w:left w:val="none" w:sz="0" w:space="0" w:color="auto"/>
        <w:bottom w:val="none" w:sz="0" w:space="0" w:color="auto"/>
        <w:right w:val="none" w:sz="0" w:space="0" w:color="auto"/>
      </w:divBdr>
    </w:div>
    <w:div w:id="510606528">
      <w:bodyDiv w:val="1"/>
      <w:marLeft w:val="0"/>
      <w:marRight w:val="0"/>
      <w:marTop w:val="0"/>
      <w:marBottom w:val="0"/>
      <w:divBdr>
        <w:top w:val="none" w:sz="0" w:space="0" w:color="auto"/>
        <w:left w:val="none" w:sz="0" w:space="0" w:color="auto"/>
        <w:bottom w:val="none" w:sz="0" w:space="0" w:color="auto"/>
        <w:right w:val="none" w:sz="0" w:space="0" w:color="auto"/>
      </w:divBdr>
    </w:div>
    <w:div w:id="515727948">
      <w:bodyDiv w:val="1"/>
      <w:marLeft w:val="0"/>
      <w:marRight w:val="0"/>
      <w:marTop w:val="0"/>
      <w:marBottom w:val="0"/>
      <w:divBdr>
        <w:top w:val="none" w:sz="0" w:space="0" w:color="auto"/>
        <w:left w:val="none" w:sz="0" w:space="0" w:color="auto"/>
        <w:bottom w:val="none" w:sz="0" w:space="0" w:color="auto"/>
        <w:right w:val="none" w:sz="0" w:space="0" w:color="auto"/>
      </w:divBdr>
      <w:divsChild>
        <w:div w:id="1424228930">
          <w:marLeft w:val="0"/>
          <w:marRight w:val="0"/>
          <w:marTop w:val="0"/>
          <w:marBottom w:val="0"/>
          <w:divBdr>
            <w:top w:val="none" w:sz="0" w:space="0" w:color="auto"/>
            <w:left w:val="none" w:sz="0" w:space="0" w:color="auto"/>
            <w:bottom w:val="none" w:sz="0" w:space="0" w:color="auto"/>
            <w:right w:val="none" w:sz="0" w:space="0" w:color="auto"/>
          </w:divBdr>
          <w:divsChild>
            <w:div w:id="1573655305">
              <w:marLeft w:val="0"/>
              <w:marRight w:val="0"/>
              <w:marTop w:val="0"/>
              <w:marBottom w:val="0"/>
              <w:divBdr>
                <w:top w:val="none" w:sz="0" w:space="0" w:color="auto"/>
                <w:left w:val="none" w:sz="0" w:space="0" w:color="auto"/>
                <w:bottom w:val="none" w:sz="0" w:space="0" w:color="auto"/>
                <w:right w:val="none" w:sz="0" w:space="0" w:color="auto"/>
              </w:divBdr>
              <w:divsChild>
                <w:div w:id="894507369">
                  <w:marLeft w:val="4935"/>
                  <w:marRight w:val="0"/>
                  <w:marTop w:val="0"/>
                  <w:marBottom w:val="0"/>
                  <w:divBdr>
                    <w:top w:val="none" w:sz="0" w:space="0" w:color="auto"/>
                    <w:left w:val="none" w:sz="0" w:space="0" w:color="auto"/>
                    <w:bottom w:val="none" w:sz="0" w:space="0" w:color="auto"/>
                    <w:right w:val="none" w:sz="0" w:space="0" w:color="auto"/>
                  </w:divBdr>
                  <w:divsChild>
                    <w:div w:id="1518034492">
                      <w:marLeft w:val="0"/>
                      <w:marRight w:val="0"/>
                      <w:marTop w:val="0"/>
                      <w:marBottom w:val="0"/>
                      <w:divBdr>
                        <w:top w:val="none" w:sz="0" w:space="0" w:color="auto"/>
                        <w:left w:val="none" w:sz="0" w:space="0" w:color="auto"/>
                        <w:bottom w:val="none" w:sz="0" w:space="0" w:color="auto"/>
                        <w:right w:val="none" w:sz="0" w:space="0" w:color="auto"/>
                      </w:divBdr>
                      <w:divsChild>
                        <w:div w:id="2102021978">
                          <w:marLeft w:val="0"/>
                          <w:marRight w:val="0"/>
                          <w:marTop w:val="0"/>
                          <w:marBottom w:val="0"/>
                          <w:divBdr>
                            <w:top w:val="none" w:sz="0" w:space="0" w:color="auto"/>
                            <w:left w:val="none" w:sz="0" w:space="0" w:color="auto"/>
                            <w:bottom w:val="none" w:sz="0" w:space="0" w:color="auto"/>
                            <w:right w:val="none" w:sz="0" w:space="0" w:color="auto"/>
                          </w:divBdr>
                          <w:divsChild>
                            <w:div w:id="1447384780">
                              <w:marLeft w:val="0"/>
                              <w:marRight w:val="0"/>
                              <w:marTop w:val="0"/>
                              <w:marBottom w:val="0"/>
                              <w:divBdr>
                                <w:top w:val="none" w:sz="0" w:space="0" w:color="auto"/>
                                <w:left w:val="none" w:sz="0" w:space="0" w:color="auto"/>
                                <w:bottom w:val="none" w:sz="0" w:space="0" w:color="auto"/>
                                <w:right w:val="none" w:sz="0" w:space="0" w:color="auto"/>
                              </w:divBdr>
                              <w:divsChild>
                                <w:div w:id="924411997">
                                  <w:marLeft w:val="0"/>
                                  <w:marRight w:val="0"/>
                                  <w:marTop w:val="0"/>
                                  <w:marBottom w:val="0"/>
                                  <w:divBdr>
                                    <w:top w:val="none" w:sz="0" w:space="0" w:color="auto"/>
                                    <w:left w:val="none" w:sz="0" w:space="0" w:color="auto"/>
                                    <w:bottom w:val="none" w:sz="0" w:space="0" w:color="auto"/>
                                    <w:right w:val="none" w:sz="0" w:space="0" w:color="auto"/>
                                  </w:divBdr>
                                  <w:divsChild>
                                    <w:div w:id="1146705133">
                                      <w:marLeft w:val="0"/>
                                      <w:marRight w:val="0"/>
                                      <w:marTop w:val="0"/>
                                      <w:marBottom w:val="0"/>
                                      <w:divBdr>
                                        <w:top w:val="none" w:sz="0" w:space="0" w:color="auto"/>
                                        <w:left w:val="none" w:sz="0" w:space="0" w:color="auto"/>
                                        <w:bottom w:val="none" w:sz="0" w:space="0" w:color="auto"/>
                                        <w:right w:val="none" w:sz="0" w:space="0" w:color="auto"/>
                                      </w:divBdr>
                                      <w:divsChild>
                                        <w:div w:id="632757752">
                                          <w:marLeft w:val="0"/>
                                          <w:marRight w:val="0"/>
                                          <w:marTop w:val="0"/>
                                          <w:marBottom w:val="0"/>
                                          <w:divBdr>
                                            <w:top w:val="none" w:sz="0" w:space="0" w:color="auto"/>
                                            <w:left w:val="none" w:sz="0" w:space="0" w:color="auto"/>
                                            <w:bottom w:val="none" w:sz="0" w:space="0" w:color="auto"/>
                                            <w:right w:val="none" w:sz="0" w:space="0" w:color="auto"/>
                                          </w:divBdr>
                                          <w:divsChild>
                                            <w:div w:id="433479764">
                                              <w:marLeft w:val="0"/>
                                              <w:marRight w:val="0"/>
                                              <w:marTop w:val="0"/>
                                              <w:marBottom w:val="0"/>
                                              <w:divBdr>
                                                <w:top w:val="none" w:sz="0" w:space="0" w:color="auto"/>
                                                <w:left w:val="none" w:sz="0" w:space="0" w:color="auto"/>
                                                <w:bottom w:val="none" w:sz="0" w:space="0" w:color="auto"/>
                                                <w:right w:val="none" w:sz="0" w:space="0" w:color="auto"/>
                                              </w:divBdr>
                                              <w:divsChild>
                                                <w:div w:id="901332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18390900">
      <w:bodyDiv w:val="1"/>
      <w:marLeft w:val="0"/>
      <w:marRight w:val="0"/>
      <w:marTop w:val="0"/>
      <w:marBottom w:val="0"/>
      <w:divBdr>
        <w:top w:val="none" w:sz="0" w:space="0" w:color="auto"/>
        <w:left w:val="none" w:sz="0" w:space="0" w:color="auto"/>
        <w:bottom w:val="none" w:sz="0" w:space="0" w:color="auto"/>
        <w:right w:val="none" w:sz="0" w:space="0" w:color="auto"/>
      </w:divBdr>
    </w:div>
    <w:div w:id="524638320">
      <w:bodyDiv w:val="1"/>
      <w:marLeft w:val="0"/>
      <w:marRight w:val="0"/>
      <w:marTop w:val="0"/>
      <w:marBottom w:val="0"/>
      <w:divBdr>
        <w:top w:val="none" w:sz="0" w:space="0" w:color="auto"/>
        <w:left w:val="none" w:sz="0" w:space="0" w:color="auto"/>
        <w:bottom w:val="none" w:sz="0" w:space="0" w:color="auto"/>
        <w:right w:val="none" w:sz="0" w:space="0" w:color="auto"/>
      </w:divBdr>
    </w:div>
    <w:div w:id="535118225">
      <w:bodyDiv w:val="1"/>
      <w:marLeft w:val="0"/>
      <w:marRight w:val="0"/>
      <w:marTop w:val="0"/>
      <w:marBottom w:val="0"/>
      <w:divBdr>
        <w:top w:val="none" w:sz="0" w:space="0" w:color="auto"/>
        <w:left w:val="none" w:sz="0" w:space="0" w:color="auto"/>
        <w:bottom w:val="none" w:sz="0" w:space="0" w:color="auto"/>
        <w:right w:val="none" w:sz="0" w:space="0" w:color="auto"/>
      </w:divBdr>
    </w:div>
    <w:div w:id="546382928">
      <w:bodyDiv w:val="1"/>
      <w:marLeft w:val="0"/>
      <w:marRight w:val="0"/>
      <w:marTop w:val="0"/>
      <w:marBottom w:val="0"/>
      <w:divBdr>
        <w:top w:val="none" w:sz="0" w:space="0" w:color="auto"/>
        <w:left w:val="none" w:sz="0" w:space="0" w:color="auto"/>
        <w:bottom w:val="none" w:sz="0" w:space="0" w:color="auto"/>
        <w:right w:val="none" w:sz="0" w:space="0" w:color="auto"/>
      </w:divBdr>
    </w:div>
    <w:div w:id="563494885">
      <w:bodyDiv w:val="1"/>
      <w:marLeft w:val="0"/>
      <w:marRight w:val="0"/>
      <w:marTop w:val="0"/>
      <w:marBottom w:val="0"/>
      <w:divBdr>
        <w:top w:val="none" w:sz="0" w:space="0" w:color="auto"/>
        <w:left w:val="none" w:sz="0" w:space="0" w:color="auto"/>
        <w:bottom w:val="none" w:sz="0" w:space="0" w:color="auto"/>
        <w:right w:val="none" w:sz="0" w:space="0" w:color="auto"/>
      </w:divBdr>
    </w:div>
    <w:div w:id="600912342">
      <w:bodyDiv w:val="1"/>
      <w:marLeft w:val="0"/>
      <w:marRight w:val="0"/>
      <w:marTop w:val="0"/>
      <w:marBottom w:val="0"/>
      <w:divBdr>
        <w:top w:val="none" w:sz="0" w:space="0" w:color="auto"/>
        <w:left w:val="none" w:sz="0" w:space="0" w:color="auto"/>
        <w:bottom w:val="none" w:sz="0" w:space="0" w:color="auto"/>
        <w:right w:val="none" w:sz="0" w:space="0" w:color="auto"/>
      </w:divBdr>
      <w:divsChild>
        <w:div w:id="1693413518">
          <w:marLeft w:val="0"/>
          <w:marRight w:val="0"/>
          <w:marTop w:val="0"/>
          <w:marBottom w:val="0"/>
          <w:divBdr>
            <w:top w:val="none" w:sz="0" w:space="0" w:color="auto"/>
            <w:left w:val="none" w:sz="0" w:space="0" w:color="auto"/>
            <w:bottom w:val="none" w:sz="0" w:space="0" w:color="auto"/>
            <w:right w:val="none" w:sz="0" w:space="0" w:color="auto"/>
          </w:divBdr>
          <w:divsChild>
            <w:div w:id="320744066">
              <w:marLeft w:val="4"/>
              <w:marRight w:val="4"/>
              <w:marTop w:val="0"/>
              <w:marBottom w:val="0"/>
              <w:divBdr>
                <w:top w:val="none" w:sz="0" w:space="0" w:color="auto"/>
                <w:left w:val="none" w:sz="0" w:space="0" w:color="auto"/>
                <w:bottom w:val="none" w:sz="0" w:space="0" w:color="auto"/>
                <w:right w:val="none" w:sz="0" w:space="0" w:color="auto"/>
              </w:divBdr>
              <w:divsChild>
                <w:div w:id="1451360850">
                  <w:marLeft w:val="0"/>
                  <w:marRight w:val="0"/>
                  <w:marTop w:val="4"/>
                  <w:marBottom w:val="0"/>
                  <w:divBdr>
                    <w:top w:val="none" w:sz="0" w:space="0" w:color="auto"/>
                    <w:left w:val="none" w:sz="0" w:space="0" w:color="auto"/>
                    <w:bottom w:val="none" w:sz="0" w:space="0" w:color="auto"/>
                    <w:right w:val="none" w:sz="0" w:space="0" w:color="auto"/>
                  </w:divBdr>
                </w:div>
              </w:divsChild>
            </w:div>
          </w:divsChild>
        </w:div>
      </w:divsChild>
    </w:div>
    <w:div w:id="634482464">
      <w:bodyDiv w:val="1"/>
      <w:marLeft w:val="0"/>
      <w:marRight w:val="0"/>
      <w:marTop w:val="0"/>
      <w:marBottom w:val="0"/>
      <w:divBdr>
        <w:top w:val="none" w:sz="0" w:space="0" w:color="auto"/>
        <w:left w:val="none" w:sz="0" w:space="0" w:color="auto"/>
        <w:bottom w:val="none" w:sz="0" w:space="0" w:color="auto"/>
        <w:right w:val="none" w:sz="0" w:space="0" w:color="auto"/>
      </w:divBdr>
    </w:div>
    <w:div w:id="640303501">
      <w:bodyDiv w:val="1"/>
      <w:marLeft w:val="0"/>
      <w:marRight w:val="0"/>
      <w:marTop w:val="0"/>
      <w:marBottom w:val="0"/>
      <w:divBdr>
        <w:top w:val="none" w:sz="0" w:space="0" w:color="auto"/>
        <w:left w:val="none" w:sz="0" w:space="0" w:color="auto"/>
        <w:bottom w:val="none" w:sz="0" w:space="0" w:color="auto"/>
        <w:right w:val="none" w:sz="0" w:space="0" w:color="auto"/>
      </w:divBdr>
      <w:divsChild>
        <w:div w:id="1387601996">
          <w:marLeft w:val="0"/>
          <w:marRight w:val="0"/>
          <w:marTop w:val="0"/>
          <w:marBottom w:val="0"/>
          <w:divBdr>
            <w:top w:val="none" w:sz="0" w:space="0" w:color="auto"/>
            <w:left w:val="none" w:sz="0" w:space="0" w:color="auto"/>
            <w:bottom w:val="none" w:sz="0" w:space="0" w:color="auto"/>
            <w:right w:val="none" w:sz="0" w:space="0" w:color="auto"/>
          </w:divBdr>
          <w:divsChild>
            <w:div w:id="2106876146">
              <w:marLeft w:val="0"/>
              <w:marRight w:val="0"/>
              <w:marTop w:val="0"/>
              <w:marBottom w:val="0"/>
              <w:divBdr>
                <w:top w:val="none" w:sz="0" w:space="0" w:color="auto"/>
                <w:left w:val="none" w:sz="0" w:space="0" w:color="auto"/>
                <w:bottom w:val="none" w:sz="0" w:space="0" w:color="auto"/>
                <w:right w:val="none" w:sz="0" w:space="0" w:color="auto"/>
              </w:divBdr>
              <w:divsChild>
                <w:div w:id="1003357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4846402">
      <w:bodyDiv w:val="1"/>
      <w:marLeft w:val="0"/>
      <w:marRight w:val="0"/>
      <w:marTop w:val="0"/>
      <w:marBottom w:val="0"/>
      <w:divBdr>
        <w:top w:val="none" w:sz="0" w:space="0" w:color="auto"/>
        <w:left w:val="none" w:sz="0" w:space="0" w:color="auto"/>
        <w:bottom w:val="none" w:sz="0" w:space="0" w:color="auto"/>
        <w:right w:val="none" w:sz="0" w:space="0" w:color="auto"/>
      </w:divBdr>
    </w:div>
    <w:div w:id="659693277">
      <w:bodyDiv w:val="1"/>
      <w:marLeft w:val="0"/>
      <w:marRight w:val="0"/>
      <w:marTop w:val="0"/>
      <w:marBottom w:val="0"/>
      <w:divBdr>
        <w:top w:val="none" w:sz="0" w:space="0" w:color="auto"/>
        <w:left w:val="none" w:sz="0" w:space="0" w:color="auto"/>
        <w:bottom w:val="none" w:sz="0" w:space="0" w:color="auto"/>
        <w:right w:val="none" w:sz="0" w:space="0" w:color="auto"/>
      </w:divBdr>
    </w:div>
    <w:div w:id="665403517">
      <w:bodyDiv w:val="1"/>
      <w:marLeft w:val="0"/>
      <w:marRight w:val="0"/>
      <w:marTop w:val="0"/>
      <w:marBottom w:val="0"/>
      <w:divBdr>
        <w:top w:val="none" w:sz="0" w:space="0" w:color="auto"/>
        <w:left w:val="none" w:sz="0" w:space="0" w:color="auto"/>
        <w:bottom w:val="none" w:sz="0" w:space="0" w:color="auto"/>
        <w:right w:val="none" w:sz="0" w:space="0" w:color="auto"/>
      </w:divBdr>
      <w:divsChild>
        <w:div w:id="1808693763">
          <w:marLeft w:val="0"/>
          <w:marRight w:val="0"/>
          <w:marTop w:val="0"/>
          <w:marBottom w:val="0"/>
          <w:divBdr>
            <w:top w:val="none" w:sz="0" w:space="0" w:color="auto"/>
            <w:left w:val="none" w:sz="0" w:space="0" w:color="auto"/>
            <w:bottom w:val="none" w:sz="0" w:space="0" w:color="auto"/>
            <w:right w:val="none" w:sz="0" w:space="0" w:color="auto"/>
          </w:divBdr>
        </w:div>
        <w:div w:id="1107582363">
          <w:marLeft w:val="0"/>
          <w:marRight w:val="0"/>
          <w:marTop w:val="0"/>
          <w:marBottom w:val="0"/>
          <w:divBdr>
            <w:top w:val="none" w:sz="0" w:space="0" w:color="auto"/>
            <w:left w:val="none" w:sz="0" w:space="0" w:color="auto"/>
            <w:bottom w:val="none" w:sz="0" w:space="0" w:color="auto"/>
            <w:right w:val="none" w:sz="0" w:space="0" w:color="auto"/>
          </w:divBdr>
        </w:div>
      </w:divsChild>
    </w:div>
    <w:div w:id="668866891">
      <w:bodyDiv w:val="1"/>
      <w:marLeft w:val="0"/>
      <w:marRight w:val="0"/>
      <w:marTop w:val="0"/>
      <w:marBottom w:val="0"/>
      <w:divBdr>
        <w:top w:val="none" w:sz="0" w:space="0" w:color="auto"/>
        <w:left w:val="none" w:sz="0" w:space="0" w:color="auto"/>
        <w:bottom w:val="none" w:sz="0" w:space="0" w:color="auto"/>
        <w:right w:val="none" w:sz="0" w:space="0" w:color="auto"/>
      </w:divBdr>
    </w:div>
    <w:div w:id="700209221">
      <w:bodyDiv w:val="1"/>
      <w:marLeft w:val="0"/>
      <w:marRight w:val="0"/>
      <w:marTop w:val="0"/>
      <w:marBottom w:val="0"/>
      <w:divBdr>
        <w:top w:val="none" w:sz="0" w:space="0" w:color="auto"/>
        <w:left w:val="none" w:sz="0" w:space="0" w:color="auto"/>
        <w:bottom w:val="none" w:sz="0" w:space="0" w:color="auto"/>
        <w:right w:val="none" w:sz="0" w:space="0" w:color="auto"/>
      </w:divBdr>
    </w:div>
    <w:div w:id="703596504">
      <w:bodyDiv w:val="1"/>
      <w:marLeft w:val="0"/>
      <w:marRight w:val="0"/>
      <w:marTop w:val="0"/>
      <w:marBottom w:val="0"/>
      <w:divBdr>
        <w:top w:val="none" w:sz="0" w:space="0" w:color="auto"/>
        <w:left w:val="none" w:sz="0" w:space="0" w:color="auto"/>
        <w:bottom w:val="none" w:sz="0" w:space="0" w:color="auto"/>
        <w:right w:val="none" w:sz="0" w:space="0" w:color="auto"/>
      </w:divBdr>
      <w:divsChild>
        <w:div w:id="851533735">
          <w:marLeft w:val="0"/>
          <w:marRight w:val="0"/>
          <w:marTop w:val="0"/>
          <w:marBottom w:val="0"/>
          <w:divBdr>
            <w:top w:val="none" w:sz="0" w:space="0" w:color="auto"/>
            <w:left w:val="none" w:sz="0" w:space="0" w:color="auto"/>
            <w:bottom w:val="none" w:sz="0" w:space="0" w:color="auto"/>
            <w:right w:val="none" w:sz="0" w:space="0" w:color="auto"/>
          </w:divBdr>
          <w:divsChild>
            <w:div w:id="1946838508">
              <w:marLeft w:val="0"/>
              <w:marRight w:val="0"/>
              <w:marTop w:val="0"/>
              <w:marBottom w:val="0"/>
              <w:divBdr>
                <w:top w:val="none" w:sz="0" w:space="0" w:color="auto"/>
                <w:left w:val="none" w:sz="0" w:space="0" w:color="auto"/>
                <w:bottom w:val="none" w:sz="0" w:space="0" w:color="auto"/>
                <w:right w:val="none" w:sz="0" w:space="0" w:color="auto"/>
              </w:divBdr>
              <w:divsChild>
                <w:div w:id="59089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6486761">
      <w:bodyDiv w:val="1"/>
      <w:marLeft w:val="0"/>
      <w:marRight w:val="0"/>
      <w:marTop w:val="0"/>
      <w:marBottom w:val="0"/>
      <w:divBdr>
        <w:top w:val="none" w:sz="0" w:space="0" w:color="auto"/>
        <w:left w:val="none" w:sz="0" w:space="0" w:color="auto"/>
        <w:bottom w:val="none" w:sz="0" w:space="0" w:color="auto"/>
        <w:right w:val="none" w:sz="0" w:space="0" w:color="auto"/>
      </w:divBdr>
    </w:div>
    <w:div w:id="712580302">
      <w:bodyDiv w:val="1"/>
      <w:marLeft w:val="0"/>
      <w:marRight w:val="0"/>
      <w:marTop w:val="0"/>
      <w:marBottom w:val="0"/>
      <w:divBdr>
        <w:top w:val="none" w:sz="0" w:space="0" w:color="auto"/>
        <w:left w:val="none" w:sz="0" w:space="0" w:color="auto"/>
        <w:bottom w:val="none" w:sz="0" w:space="0" w:color="auto"/>
        <w:right w:val="none" w:sz="0" w:space="0" w:color="auto"/>
      </w:divBdr>
      <w:divsChild>
        <w:div w:id="128088931">
          <w:marLeft w:val="-7200"/>
          <w:marRight w:val="0"/>
          <w:marTop w:val="0"/>
          <w:marBottom w:val="0"/>
          <w:divBdr>
            <w:top w:val="none" w:sz="0" w:space="0" w:color="auto"/>
            <w:left w:val="none" w:sz="0" w:space="0" w:color="auto"/>
            <w:bottom w:val="none" w:sz="0" w:space="0" w:color="auto"/>
            <w:right w:val="none" w:sz="0" w:space="0" w:color="auto"/>
          </w:divBdr>
          <w:divsChild>
            <w:div w:id="1987855004">
              <w:marLeft w:val="3000"/>
              <w:marRight w:val="0"/>
              <w:marTop w:val="300"/>
              <w:marBottom w:val="900"/>
              <w:divBdr>
                <w:top w:val="none" w:sz="0" w:space="0" w:color="auto"/>
                <w:left w:val="none" w:sz="0" w:space="0" w:color="auto"/>
                <w:bottom w:val="none" w:sz="0" w:space="0" w:color="auto"/>
                <w:right w:val="none" w:sz="0" w:space="0" w:color="auto"/>
              </w:divBdr>
              <w:divsChild>
                <w:div w:id="1851213665">
                  <w:marLeft w:val="0"/>
                  <w:marRight w:val="0"/>
                  <w:marTop w:val="0"/>
                  <w:marBottom w:val="0"/>
                  <w:divBdr>
                    <w:top w:val="none" w:sz="0" w:space="0" w:color="auto"/>
                    <w:left w:val="none" w:sz="0" w:space="0" w:color="auto"/>
                    <w:bottom w:val="none" w:sz="0" w:space="0" w:color="auto"/>
                    <w:right w:val="none" w:sz="0" w:space="0" w:color="auto"/>
                  </w:divBdr>
                  <w:divsChild>
                    <w:div w:id="676928290">
                      <w:marLeft w:val="0"/>
                      <w:marRight w:val="0"/>
                      <w:marTop w:val="0"/>
                      <w:marBottom w:val="0"/>
                      <w:divBdr>
                        <w:top w:val="none" w:sz="0" w:space="0" w:color="auto"/>
                        <w:left w:val="none" w:sz="0" w:space="0" w:color="auto"/>
                        <w:bottom w:val="none" w:sz="0" w:space="0" w:color="auto"/>
                        <w:right w:val="none" w:sz="0" w:space="0" w:color="auto"/>
                      </w:divBdr>
                      <w:divsChild>
                        <w:div w:id="441850389">
                          <w:marLeft w:val="0"/>
                          <w:marRight w:val="0"/>
                          <w:marTop w:val="300"/>
                          <w:marBottom w:val="0"/>
                          <w:divBdr>
                            <w:top w:val="none" w:sz="0" w:space="0" w:color="auto"/>
                            <w:left w:val="none" w:sz="0" w:space="0" w:color="auto"/>
                            <w:bottom w:val="none" w:sz="0" w:space="0" w:color="auto"/>
                            <w:right w:val="none" w:sz="0" w:space="0" w:color="auto"/>
                          </w:divBdr>
                          <w:divsChild>
                            <w:div w:id="1755935342">
                              <w:marLeft w:val="0"/>
                              <w:marRight w:val="0"/>
                              <w:marTop w:val="0"/>
                              <w:marBottom w:val="0"/>
                              <w:divBdr>
                                <w:top w:val="none" w:sz="0" w:space="0" w:color="auto"/>
                                <w:left w:val="none" w:sz="0" w:space="0" w:color="auto"/>
                                <w:bottom w:val="none" w:sz="0" w:space="0" w:color="auto"/>
                                <w:right w:val="none" w:sz="0" w:space="0" w:color="auto"/>
                              </w:divBdr>
                              <w:divsChild>
                                <w:div w:id="1386757998">
                                  <w:marLeft w:val="0"/>
                                  <w:marRight w:val="0"/>
                                  <w:marTop w:val="0"/>
                                  <w:marBottom w:val="0"/>
                                  <w:divBdr>
                                    <w:top w:val="none" w:sz="0" w:space="0" w:color="auto"/>
                                    <w:left w:val="none" w:sz="0" w:space="0" w:color="auto"/>
                                    <w:bottom w:val="none" w:sz="0" w:space="0" w:color="auto"/>
                                    <w:right w:val="none" w:sz="0" w:space="0" w:color="auto"/>
                                  </w:divBdr>
                                  <w:divsChild>
                                    <w:div w:id="1655061911">
                                      <w:marLeft w:val="0"/>
                                      <w:marRight w:val="0"/>
                                      <w:marTop w:val="0"/>
                                      <w:marBottom w:val="0"/>
                                      <w:divBdr>
                                        <w:top w:val="none" w:sz="0" w:space="0" w:color="auto"/>
                                        <w:left w:val="none" w:sz="0" w:space="0" w:color="auto"/>
                                        <w:bottom w:val="none" w:sz="0" w:space="0" w:color="auto"/>
                                        <w:right w:val="none" w:sz="0" w:space="0" w:color="auto"/>
                                      </w:divBdr>
                                      <w:divsChild>
                                        <w:div w:id="1460227353">
                                          <w:marLeft w:val="0"/>
                                          <w:marRight w:val="0"/>
                                          <w:marTop w:val="0"/>
                                          <w:marBottom w:val="0"/>
                                          <w:divBdr>
                                            <w:top w:val="none" w:sz="0" w:space="0" w:color="auto"/>
                                            <w:left w:val="none" w:sz="0" w:space="0" w:color="auto"/>
                                            <w:bottom w:val="none" w:sz="0" w:space="0" w:color="auto"/>
                                            <w:right w:val="none" w:sz="0" w:space="0" w:color="auto"/>
                                          </w:divBdr>
                                          <w:divsChild>
                                            <w:div w:id="256599469">
                                              <w:marLeft w:val="0"/>
                                              <w:marRight w:val="0"/>
                                              <w:marTop w:val="0"/>
                                              <w:marBottom w:val="0"/>
                                              <w:divBdr>
                                                <w:top w:val="none" w:sz="0" w:space="0" w:color="auto"/>
                                                <w:left w:val="none" w:sz="0" w:space="0" w:color="auto"/>
                                                <w:bottom w:val="none" w:sz="0" w:space="0" w:color="auto"/>
                                                <w:right w:val="none" w:sz="0" w:space="0" w:color="auto"/>
                                              </w:divBdr>
                                              <w:divsChild>
                                                <w:div w:id="1357468391">
                                                  <w:marLeft w:val="0"/>
                                                  <w:marRight w:val="0"/>
                                                  <w:marTop w:val="0"/>
                                                  <w:marBottom w:val="0"/>
                                                  <w:divBdr>
                                                    <w:top w:val="none" w:sz="0" w:space="0" w:color="auto"/>
                                                    <w:left w:val="none" w:sz="0" w:space="0" w:color="auto"/>
                                                    <w:bottom w:val="none" w:sz="0" w:space="0" w:color="auto"/>
                                                    <w:right w:val="none" w:sz="0" w:space="0" w:color="auto"/>
                                                  </w:divBdr>
                                                  <w:divsChild>
                                                    <w:div w:id="100954042">
                                                      <w:marLeft w:val="0"/>
                                                      <w:marRight w:val="0"/>
                                                      <w:marTop w:val="0"/>
                                                      <w:marBottom w:val="0"/>
                                                      <w:divBdr>
                                                        <w:top w:val="none" w:sz="0" w:space="0" w:color="auto"/>
                                                        <w:left w:val="none" w:sz="0" w:space="0" w:color="auto"/>
                                                        <w:bottom w:val="none" w:sz="0" w:space="0" w:color="auto"/>
                                                        <w:right w:val="none" w:sz="0" w:space="0" w:color="auto"/>
                                                      </w:divBdr>
                                                      <w:divsChild>
                                                        <w:div w:id="1954631792">
                                                          <w:marLeft w:val="0"/>
                                                          <w:marRight w:val="0"/>
                                                          <w:marTop w:val="0"/>
                                                          <w:marBottom w:val="0"/>
                                                          <w:divBdr>
                                                            <w:top w:val="none" w:sz="0" w:space="0" w:color="auto"/>
                                                            <w:left w:val="none" w:sz="0" w:space="0" w:color="auto"/>
                                                            <w:bottom w:val="none" w:sz="0" w:space="0" w:color="auto"/>
                                                            <w:right w:val="none" w:sz="0" w:space="0" w:color="auto"/>
                                                          </w:divBdr>
                                                          <w:divsChild>
                                                            <w:div w:id="841508975">
                                                              <w:marLeft w:val="0"/>
                                                              <w:marRight w:val="0"/>
                                                              <w:marTop w:val="0"/>
                                                              <w:marBottom w:val="0"/>
                                                              <w:divBdr>
                                                                <w:top w:val="none" w:sz="0" w:space="0" w:color="auto"/>
                                                                <w:left w:val="none" w:sz="0" w:space="0" w:color="auto"/>
                                                                <w:bottom w:val="none" w:sz="0" w:space="0" w:color="auto"/>
                                                                <w:right w:val="none" w:sz="0" w:space="0" w:color="auto"/>
                                                              </w:divBdr>
                                                              <w:divsChild>
                                                                <w:div w:id="179517236">
                                                                  <w:marLeft w:val="0"/>
                                                                  <w:marRight w:val="390"/>
                                                                  <w:marTop w:val="0"/>
                                                                  <w:marBottom w:val="0"/>
                                                                  <w:divBdr>
                                                                    <w:top w:val="single" w:sz="6" w:space="0" w:color="BCBCBC"/>
                                                                    <w:left w:val="single" w:sz="6" w:space="4" w:color="BCBCBC"/>
                                                                    <w:bottom w:val="single" w:sz="6" w:space="0" w:color="BCBCBC"/>
                                                                    <w:right w:val="none" w:sz="0" w:space="0" w:color="auto"/>
                                                                  </w:divBdr>
                                                                </w:div>
                                                                <w:div w:id="1376275287">
                                                                  <w:marLeft w:val="0"/>
                                                                  <w:marRight w:val="390"/>
                                                                  <w:marTop w:val="0"/>
                                                                  <w:marBottom w:val="0"/>
                                                                  <w:divBdr>
                                                                    <w:top w:val="single" w:sz="6" w:space="0" w:color="BCBCBC"/>
                                                                    <w:left w:val="single" w:sz="6" w:space="4" w:color="BCBCBC"/>
                                                                    <w:bottom w:val="single" w:sz="6" w:space="0" w:color="BCBCBC"/>
                                                                    <w:right w:val="none" w:sz="0" w:space="0" w:color="auto"/>
                                                                  </w:divBdr>
                                                                </w:div>
                                                                <w:div w:id="1784685595">
                                                                  <w:marLeft w:val="15"/>
                                                                  <w:marRight w:val="15"/>
                                                                  <w:marTop w:val="15"/>
                                                                  <w:marBottom w:val="15"/>
                                                                  <w:divBdr>
                                                                    <w:top w:val="none" w:sz="0" w:space="0" w:color="auto"/>
                                                                    <w:left w:val="none" w:sz="0" w:space="0" w:color="auto"/>
                                                                    <w:bottom w:val="none" w:sz="0" w:space="0" w:color="auto"/>
                                                                    <w:right w:val="none" w:sz="0" w:space="0" w:color="auto"/>
                                                                  </w:divBdr>
                                                                </w:div>
                                                              </w:divsChild>
                                                            </w:div>
                                                            <w:div w:id="1496610837">
                                                              <w:marLeft w:val="0"/>
                                                              <w:marRight w:val="0"/>
                                                              <w:marTop w:val="0"/>
                                                              <w:marBottom w:val="0"/>
                                                              <w:divBdr>
                                                                <w:top w:val="none" w:sz="0" w:space="0" w:color="auto"/>
                                                                <w:left w:val="none" w:sz="0" w:space="0" w:color="auto"/>
                                                                <w:bottom w:val="none" w:sz="0" w:space="0" w:color="auto"/>
                                                                <w:right w:val="none" w:sz="0" w:space="0" w:color="auto"/>
                                                              </w:divBdr>
                                                              <w:divsChild>
                                                                <w:div w:id="555051972">
                                                                  <w:marLeft w:val="0"/>
                                                                  <w:marRight w:val="390"/>
                                                                  <w:marTop w:val="0"/>
                                                                  <w:marBottom w:val="0"/>
                                                                  <w:divBdr>
                                                                    <w:top w:val="single" w:sz="6" w:space="0" w:color="BCBCBC"/>
                                                                    <w:left w:val="single" w:sz="6" w:space="4" w:color="BCBCBC"/>
                                                                    <w:bottom w:val="single" w:sz="6" w:space="0" w:color="BCBCBC"/>
                                                                    <w:right w:val="none" w:sz="0" w:space="0" w:color="auto"/>
                                                                  </w:divBdr>
                                                                </w:div>
                                                                <w:div w:id="1532567814">
                                                                  <w:marLeft w:val="0"/>
                                                                  <w:marRight w:val="390"/>
                                                                  <w:marTop w:val="0"/>
                                                                  <w:marBottom w:val="0"/>
                                                                  <w:divBdr>
                                                                    <w:top w:val="single" w:sz="6" w:space="0" w:color="BCBCBC"/>
                                                                    <w:left w:val="single" w:sz="6" w:space="4" w:color="BCBCBC"/>
                                                                    <w:bottom w:val="single" w:sz="6" w:space="0" w:color="BCBCBC"/>
                                                                    <w:right w:val="none" w:sz="0" w:space="0" w:color="auto"/>
                                                                  </w:divBdr>
                                                                </w:div>
                                                                <w:div w:id="1964001574">
                                                                  <w:marLeft w:val="15"/>
                                                                  <w:marRight w:val="15"/>
                                                                  <w:marTop w:val="15"/>
                                                                  <w:marBottom w:val="15"/>
                                                                  <w:divBdr>
                                                                    <w:top w:val="none" w:sz="0" w:space="0" w:color="auto"/>
                                                                    <w:left w:val="none" w:sz="0" w:space="0" w:color="auto"/>
                                                                    <w:bottom w:val="none" w:sz="0" w:space="0" w:color="auto"/>
                                                                    <w:right w:val="none" w:sz="0" w:space="0" w:color="auto"/>
                                                                  </w:divBdr>
                                                                </w:div>
                                                              </w:divsChild>
                                                            </w:div>
                                                            <w:div w:id="1008681066">
                                                              <w:marLeft w:val="0"/>
                                                              <w:marRight w:val="0"/>
                                                              <w:marTop w:val="0"/>
                                                              <w:marBottom w:val="0"/>
                                                              <w:divBdr>
                                                                <w:top w:val="none" w:sz="0" w:space="0" w:color="auto"/>
                                                                <w:left w:val="none" w:sz="0" w:space="0" w:color="auto"/>
                                                                <w:bottom w:val="none" w:sz="0" w:space="0" w:color="auto"/>
                                                                <w:right w:val="none" w:sz="0" w:space="0" w:color="auto"/>
                                                              </w:divBdr>
                                                              <w:divsChild>
                                                                <w:div w:id="1979989557">
                                                                  <w:marLeft w:val="0"/>
                                                                  <w:marRight w:val="390"/>
                                                                  <w:marTop w:val="0"/>
                                                                  <w:marBottom w:val="0"/>
                                                                  <w:divBdr>
                                                                    <w:top w:val="single" w:sz="6" w:space="0" w:color="BCBCBC"/>
                                                                    <w:left w:val="single" w:sz="6" w:space="4" w:color="BCBCBC"/>
                                                                    <w:bottom w:val="single" w:sz="6" w:space="0" w:color="BCBCBC"/>
                                                                    <w:right w:val="none" w:sz="0" w:space="0" w:color="auto"/>
                                                                  </w:divBdr>
                                                                </w:div>
                                                                <w:div w:id="96099980">
                                                                  <w:marLeft w:val="0"/>
                                                                  <w:marRight w:val="390"/>
                                                                  <w:marTop w:val="0"/>
                                                                  <w:marBottom w:val="0"/>
                                                                  <w:divBdr>
                                                                    <w:top w:val="single" w:sz="6" w:space="0" w:color="BCBCBC"/>
                                                                    <w:left w:val="single" w:sz="6" w:space="4" w:color="BCBCBC"/>
                                                                    <w:bottom w:val="single" w:sz="6" w:space="0" w:color="BCBCBC"/>
                                                                    <w:right w:val="none" w:sz="0" w:space="0" w:color="auto"/>
                                                                  </w:divBdr>
                                                                </w:div>
                                                                <w:div w:id="1466041476">
                                                                  <w:marLeft w:val="15"/>
                                                                  <w:marRight w:val="15"/>
                                                                  <w:marTop w:val="15"/>
                                                                  <w:marBottom w:val="15"/>
                                                                  <w:divBdr>
                                                                    <w:top w:val="none" w:sz="0" w:space="0" w:color="auto"/>
                                                                    <w:left w:val="none" w:sz="0" w:space="0" w:color="auto"/>
                                                                    <w:bottom w:val="none" w:sz="0" w:space="0" w:color="auto"/>
                                                                    <w:right w:val="none" w:sz="0" w:space="0" w:color="auto"/>
                                                                  </w:divBdr>
                                                                </w:div>
                                                              </w:divsChild>
                                                            </w:div>
                                                            <w:div w:id="1929389636">
                                                              <w:marLeft w:val="0"/>
                                                              <w:marRight w:val="0"/>
                                                              <w:marTop w:val="0"/>
                                                              <w:marBottom w:val="0"/>
                                                              <w:divBdr>
                                                                <w:top w:val="none" w:sz="0" w:space="0" w:color="auto"/>
                                                                <w:left w:val="none" w:sz="0" w:space="0" w:color="auto"/>
                                                                <w:bottom w:val="none" w:sz="0" w:space="0" w:color="auto"/>
                                                                <w:right w:val="none" w:sz="0" w:space="0" w:color="auto"/>
                                                              </w:divBdr>
                                                              <w:divsChild>
                                                                <w:div w:id="1237743274">
                                                                  <w:marLeft w:val="0"/>
                                                                  <w:marRight w:val="390"/>
                                                                  <w:marTop w:val="0"/>
                                                                  <w:marBottom w:val="0"/>
                                                                  <w:divBdr>
                                                                    <w:top w:val="single" w:sz="6" w:space="0" w:color="BCBCBC"/>
                                                                    <w:left w:val="single" w:sz="6" w:space="4" w:color="BCBCBC"/>
                                                                    <w:bottom w:val="single" w:sz="6" w:space="0" w:color="BCBCBC"/>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713426071">
      <w:bodyDiv w:val="1"/>
      <w:marLeft w:val="0"/>
      <w:marRight w:val="0"/>
      <w:marTop w:val="0"/>
      <w:marBottom w:val="0"/>
      <w:divBdr>
        <w:top w:val="none" w:sz="0" w:space="0" w:color="auto"/>
        <w:left w:val="none" w:sz="0" w:space="0" w:color="auto"/>
        <w:bottom w:val="none" w:sz="0" w:space="0" w:color="auto"/>
        <w:right w:val="none" w:sz="0" w:space="0" w:color="auto"/>
      </w:divBdr>
      <w:divsChild>
        <w:div w:id="1255238458">
          <w:marLeft w:val="0"/>
          <w:marRight w:val="0"/>
          <w:marTop w:val="0"/>
          <w:marBottom w:val="0"/>
          <w:divBdr>
            <w:top w:val="none" w:sz="0" w:space="0" w:color="auto"/>
            <w:left w:val="none" w:sz="0" w:space="0" w:color="auto"/>
            <w:bottom w:val="none" w:sz="0" w:space="0" w:color="auto"/>
            <w:right w:val="none" w:sz="0" w:space="0" w:color="auto"/>
          </w:divBdr>
          <w:divsChild>
            <w:div w:id="1684476454">
              <w:marLeft w:val="4"/>
              <w:marRight w:val="4"/>
              <w:marTop w:val="0"/>
              <w:marBottom w:val="0"/>
              <w:divBdr>
                <w:top w:val="none" w:sz="0" w:space="0" w:color="auto"/>
                <w:left w:val="none" w:sz="0" w:space="0" w:color="auto"/>
                <w:bottom w:val="none" w:sz="0" w:space="0" w:color="auto"/>
                <w:right w:val="none" w:sz="0" w:space="0" w:color="auto"/>
              </w:divBdr>
              <w:divsChild>
                <w:div w:id="1141734475">
                  <w:marLeft w:val="0"/>
                  <w:marRight w:val="0"/>
                  <w:marTop w:val="0"/>
                  <w:marBottom w:val="0"/>
                  <w:divBdr>
                    <w:top w:val="none" w:sz="0" w:space="0" w:color="auto"/>
                    <w:left w:val="none" w:sz="0" w:space="0" w:color="auto"/>
                    <w:bottom w:val="none" w:sz="0" w:space="0" w:color="auto"/>
                    <w:right w:val="none" w:sz="0" w:space="0" w:color="auto"/>
                  </w:divBdr>
                  <w:divsChild>
                    <w:div w:id="607394493">
                      <w:marLeft w:val="0"/>
                      <w:marRight w:val="0"/>
                      <w:marTop w:val="75"/>
                      <w:marBottom w:val="0"/>
                      <w:divBdr>
                        <w:top w:val="none" w:sz="0" w:space="0" w:color="auto"/>
                        <w:left w:val="single" w:sz="36" w:space="11" w:color="89C402"/>
                        <w:bottom w:val="none" w:sz="0" w:space="0" w:color="auto"/>
                        <w:right w:val="none" w:sz="0" w:space="0" w:color="auto"/>
                      </w:divBdr>
                    </w:div>
                  </w:divsChild>
                </w:div>
              </w:divsChild>
            </w:div>
          </w:divsChild>
        </w:div>
      </w:divsChild>
    </w:div>
    <w:div w:id="713889303">
      <w:bodyDiv w:val="1"/>
      <w:marLeft w:val="0"/>
      <w:marRight w:val="0"/>
      <w:marTop w:val="0"/>
      <w:marBottom w:val="0"/>
      <w:divBdr>
        <w:top w:val="none" w:sz="0" w:space="0" w:color="auto"/>
        <w:left w:val="none" w:sz="0" w:space="0" w:color="auto"/>
        <w:bottom w:val="none" w:sz="0" w:space="0" w:color="auto"/>
        <w:right w:val="none" w:sz="0" w:space="0" w:color="auto"/>
      </w:divBdr>
    </w:div>
    <w:div w:id="720061405">
      <w:bodyDiv w:val="1"/>
      <w:marLeft w:val="0"/>
      <w:marRight w:val="0"/>
      <w:marTop w:val="0"/>
      <w:marBottom w:val="0"/>
      <w:divBdr>
        <w:top w:val="none" w:sz="0" w:space="0" w:color="auto"/>
        <w:left w:val="none" w:sz="0" w:space="0" w:color="auto"/>
        <w:bottom w:val="none" w:sz="0" w:space="0" w:color="auto"/>
        <w:right w:val="none" w:sz="0" w:space="0" w:color="auto"/>
      </w:divBdr>
    </w:div>
    <w:div w:id="725642403">
      <w:bodyDiv w:val="1"/>
      <w:marLeft w:val="0"/>
      <w:marRight w:val="0"/>
      <w:marTop w:val="0"/>
      <w:marBottom w:val="0"/>
      <w:divBdr>
        <w:top w:val="none" w:sz="0" w:space="0" w:color="auto"/>
        <w:left w:val="none" w:sz="0" w:space="0" w:color="auto"/>
        <w:bottom w:val="none" w:sz="0" w:space="0" w:color="auto"/>
        <w:right w:val="none" w:sz="0" w:space="0" w:color="auto"/>
      </w:divBdr>
      <w:divsChild>
        <w:div w:id="1128208013">
          <w:marLeft w:val="0"/>
          <w:marRight w:val="0"/>
          <w:marTop w:val="0"/>
          <w:marBottom w:val="0"/>
          <w:divBdr>
            <w:top w:val="none" w:sz="0" w:space="0" w:color="auto"/>
            <w:left w:val="none" w:sz="0" w:space="0" w:color="auto"/>
            <w:bottom w:val="none" w:sz="0" w:space="0" w:color="auto"/>
            <w:right w:val="none" w:sz="0" w:space="0" w:color="auto"/>
          </w:divBdr>
          <w:divsChild>
            <w:div w:id="1569421963">
              <w:marLeft w:val="0"/>
              <w:marRight w:val="0"/>
              <w:marTop w:val="0"/>
              <w:marBottom w:val="0"/>
              <w:divBdr>
                <w:top w:val="none" w:sz="0" w:space="0" w:color="auto"/>
                <w:left w:val="none" w:sz="0" w:space="0" w:color="auto"/>
                <w:bottom w:val="none" w:sz="0" w:space="0" w:color="auto"/>
                <w:right w:val="none" w:sz="0" w:space="0" w:color="auto"/>
              </w:divBdr>
              <w:divsChild>
                <w:div w:id="1033580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748026">
      <w:bodyDiv w:val="1"/>
      <w:marLeft w:val="0"/>
      <w:marRight w:val="0"/>
      <w:marTop w:val="0"/>
      <w:marBottom w:val="0"/>
      <w:divBdr>
        <w:top w:val="none" w:sz="0" w:space="0" w:color="auto"/>
        <w:left w:val="none" w:sz="0" w:space="0" w:color="auto"/>
        <w:bottom w:val="none" w:sz="0" w:space="0" w:color="auto"/>
        <w:right w:val="none" w:sz="0" w:space="0" w:color="auto"/>
      </w:divBdr>
      <w:divsChild>
        <w:div w:id="1715345991">
          <w:marLeft w:val="0"/>
          <w:marRight w:val="0"/>
          <w:marTop w:val="0"/>
          <w:marBottom w:val="0"/>
          <w:divBdr>
            <w:top w:val="none" w:sz="0" w:space="0" w:color="auto"/>
            <w:left w:val="none" w:sz="0" w:space="0" w:color="auto"/>
            <w:bottom w:val="none" w:sz="0" w:space="0" w:color="auto"/>
            <w:right w:val="none" w:sz="0" w:space="0" w:color="auto"/>
          </w:divBdr>
          <w:divsChild>
            <w:div w:id="519507595">
              <w:marLeft w:val="0"/>
              <w:marRight w:val="0"/>
              <w:marTop w:val="0"/>
              <w:marBottom w:val="0"/>
              <w:divBdr>
                <w:top w:val="none" w:sz="0" w:space="0" w:color="auto"/>
                <w:left w:val="none" w:sz="0" w:space="0" w:color="auto"/>
                <w:bottom w:val="none" w:sz="0" w:space="0" w:color="auto"/>
                <w:right w:val="none" w:sz="0" w:space="0" w:color="auto"/>
              </w:divBdr>
              <w:divsChild>
                <w:div w:id="899707412">
                  <w:marLeft w:val="3360"/>
                  <w:marRight w:val="0"/>
                  <w:marTop w:val="0"/>
                  <w:marBottom w:val="0"/>
                  <w:divBdr>
                    <w:top w:val="none" w:sz="0" w:space="0" w:color="auto"/>
                    <w:left w:val="none" w:sz="0" w:space="0" w:color="auto"/>
                    <w:bottom w:val="none" w:sz="0" w:space="0" w:color="auto"/>
                    <w:right w:val="none" w:sz="0" w:space="0" w:color="auto"/>
                  </w:divBdr>
                  <w:divsChild>
                    <w:div w:id="1823545340">
                      <w:marLeft w:val="0"/>
                      <w:marRight w:val="0"/>
                      <w:marTop w:val="0"/>
                      <w:marBottom w:val="0"/>
                      <w:divBdr>
                        <w:top w:val="none" w:sz="0" w:space="0" w:color="auto"/>
                        <w:left w:val="none" w:sz="0" w:space="0" w:color="auto"/>
                        <w:bottom w:val="none" w:sz="0" w:space="0" w:color="auto"/>
                        <w:right w:val="none" w:sz="0" w:space="0" w:color="auto"/>
                      </w:divBdr>
                      <w:divsChild>
                        <w:div w:id="1323850474">
                          <w:marLeft w:val="0"/>
                          <w:marRight w:val="0"/>
                          <w:marTop w:val="0"/>
                          <w:marBottom w:val="0"/>
                          <w:divBdr>
                            <w:top w:val="none" w:sz="0" w:space="0" w:color="auto"/>
                            <w:left w:val="none" w:sz="0" w:space="0" w:color="auto"/>
                            <w:bottom w:val="none" w:sz="0" w:space="0" w:color="auto"/>
                            <w:right w:val="none" w:sz="0" w:space="0" w:color="auto"/>
                          </w:divBdr>
                          <w:divsChild>
                            <w:div w:id="1673072246">
                              <w:marLeft w:val="0"/>
                              <w:marRight w:val="0"/>
                              <w:marTop w:val="0"/>
                              <w:marBottom w:val="0"/>
                              <w:divBdr>
                                <w:top w:val="none" w:sz="0" w:space="0" w:color="auto"/>
                                <w:left w:val="none" w:sz="0" w:space="0" w:color="auto"/>
                                <w:bottom w:val="none" w:sz="0" w:space="0" w:color="auto"/>
                                <w:right w:val="none" w:sz="0" w:space="0" w:color="auto"/>
                              </w:divBdr>
                              <w:divsChild>
                                <w:div w:id="646057984">
                                  <w:marLeft w:val="0"/>
                                  <w:marRight w:val="0"/>
                                  <w:marTop w:val="0"/>
                                  <w:marBottom w:val="0"/>
                                  <w:divBdr>
                                    <w:top w:val="none" w:sz="0" w:space="0" w:color="auto"/>
                                    <w:left w:val="none" w:sz="0" w:space="0" w:color="auto"/>
                                    <w:bottom w:val="none" w:sz="0" w:space="0" w:color="auto"/>
                                    <w:right w:val="none" w:sz="0" w:space="0" w:color="auto"/>
                                  </w:divBdr>
                                  <w:divsChild>
                                    <w:div w:id="1932202563">
                                      <w:marLeft w:val="0"/>
                                      <w:marRight w:val="0"/>
                                      <w:marTop w:val="0"/>
                                      <w:marBottom w:val="0"/>
                                      <w:divBdr>
                                        <w:top w:val="none" w:sz="0" w:space="0" w:color="auto"/>
                                        <w:left w:val="none" w:sz="0" w:space="0" w:color="auto"/>
                                        <w:bottom w:val="none" w:sz="0" w:space="0" w:color="auto"/>
                                        <w:right w:val="none" w:sz="0" w:space="0" w:color="auto"/>
                                      </w:divBdr>
                                      <w:divsChild>
                                        <w:div w:id="1388409133">
                                          <w:marLeft w:val="0"/>
                                          <w:marRight w:val="0"/>
                                          <w:marTop w:val="0"/>
                                          <w:marBottom w:val="0"/>
                                          <w:divBdr>
                                            <w:top w:val="none" w:sz="0" w:space="0" w:color="auto"/>
                                            <w:left w:val="none" w:sz="0" w:space="0" w:color="auto"/>
                                            <w:bottom w:val="none" w:sz="0" w:space="0" w:color="auto"/>
                                            <w:right w:val="none" w:sz="0" w:space="0" w:color="auto"/>
                                          </w:divBdr>
                                          <w:divsChild>
                                            <w:div w:id="1117335731">
                                              <w:marLeft w:val="0"/>
                                              <w:marRight w:val="0"/>
                                              <w:marTop w:val="0"/>
                                              <w:marBottom w:val="0"/>
                                              <w:divBdr>
                                                <w:top w:val="none" w:sz="0" w:space="0" w:color="auto"/>
                                                <w:left w:val="none" w:sz="0" w:space="0" w:color="auto"/>
                                                <w:bottom w:val="none" w:sz="0" w:space="0" w:color="auto"/>
                                                <w:right w:val="none" w:sz="0" w:space="0" w:color="auto"/>
                                              </w:divBdr>
                                              <w:divsChild>
                                                <w:div w:id="1705397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37822577">
      <w:bodyDiv w:val="1"/>
      <w:marLeft w:val="0"/>
      <w:marRight w:val="0"/>
      <w:marTop w:val="0"/>
      <w:marBottom w:val="0"/>
      <w:divBdr>
        <w:top w:val="none" w:sz="0" w:space="0" w:color="auto"/>
        <w:left w:val="none" w:sz="0" w:space="0" w:color="auto"/>
        <w:bottom w:val="none" w:sz="0" w:space="0" w:color="auto"/>
        <w:right w:val="none" w:sz="0" w:space="0" w:color="auto"/>
      </w:divBdr>
      <w:divsChild>
        <w:div w:id="952399985">
          <w:marLeft w:val="0"/>
          <w:marRight w:val="0"/>
          <w:marTop w:val="0"/>
          <w:marBottom w:val="0"/>
          <w:divBdr>
            <w:top w:val="none" w:sz="0" w:space="0" w:color="auto"/>
            <w:left w:val="none" w:sz="0" w:space="0" w:color="auto"/>
            <w:bottom w:val="none" w:sz="0" w:space="0" w:color="auto"/>
            <w:right w:val="none" w:sz="0" w:space="0" w:color="auto"/>
          </w:divBdr>
          <w:divsChild>
            <w:div w:id="1119683806">
              <w:marLeft w:val="4"/>
              <w:marRight w:val="4"/>
              <w:marTop w:val="0"/>
              <w:marBottom w:val="0"/>
              <w:divBdr>
                <w:top w:val="none" w:sz="0" w:space="0" w:color="auto"/>
                <w:left w:val="none" w:sz="0" w:space="0" w:color="auto"/>
                <w:bottom w:val="none" w:sz="0" w:space="0" w:color="auto"/>
                <w:right w:val="none" w:sz="0" w:space="0" w:color="auto"/>
              </w:divBdr>
              <w:divsChild>
                <w:div w:id="1459715813">
                  <w:marLeft w:val="0"/>
                  <w:marRight w:val="0"/>
                  <w:marTop w:val="4"/>
                  <w:marBottom w:val="0"/>
                  <w:divBdr>
                    <w:top w:val="none" w:sz="0" w:space="0" w:color="auto"/>
                    <w:left w:val="none" w:sz="0" w:space="0" w:color="auto"/>
                    <w:bottom w:val="none" w:sz="0" w:space="0" w:color="auto"/>
                    <w:right w:val="none" w:sz="0" w:space="0" w:color="auto"/>
                  </w:divBdr>
                </w:div>
              </w:divsChild>
            </w:div>
          </w:divsChild>
        </w:div>
      </w:divsChild>
    </w:div>
    <w:div w:id="739253041">
      <w:bodyDiv w:val="1"/>
      <w:marLeft w:val="0"/>
      <w:marRight w:val="0"/>
      <w:marTop w:val="0"/>
      <w:marBottom w:val="0"/>
      <w:divBdr>
        <w:top w:val="none" w:sz="0" w:space="0" w:color="auto"/>
        <w:left w:val="none" w:sz="0" w:space="0" w:color="auto"/>
        <w:bottom w:val="none" w:sz="0" w:space="0" w:color="auto"/>
        <w:right w:val="none" w:sz="0" w:space="0" w:color="auto"/>
      </w:divBdr>
    </w:div>
    <w:div w:id="763264209">
      <w:bodyDiv w:val="1"/>
      <w:marLeft w:val="0"/>
      <w:marRight w:val="0"/>
      <w:marTop w:val="0"/>
      <w:marBottom w:val="0"/>
      <w:divBdr>
        <w:top w:val="none" w:sz="0" w:space="0" w:color="auto"/>
        <w:left w:val="none" w:sz="0" w:space="0" w:color="auto"/>
        <w:bottom w:val="none" w:sz="0" w:space="0" w:color="auto"/>
        <w:right w:val="none" w:sz="0" w:space="0" w:color="auto"/>
      </w:divBdr>
      <w:divsChild>
        <w:div w:id="1354989144">
          <w:marLeft w:val="0"/>
          <w:marRight w:val="0"/>
          <w:marTop w:val="0"/>
          <w:marBottom w:val="0"/>
          <w:divBdr>
            <w:top w:val="none" w:sz="0" w:space="0" w:color="auto"/>
            <w:left w:val="none" w:sz="0" w:space="0" w:color="auto"/>
            <w:bottom w:val="none" w:sz="0" w:space="0" w:color="auto"/>
            <w:right w:val="none" w:sz="0" w:space="0" w:color="auto"/>
          </w:divBdr>
          <w:divsChild>
            <w:div w:id="755786417">
              <w:marLeft w:val="4"/>
              <w:marRight w:val="4"/>
              <w:marTop w:val="0"/>
              <w:marBottom w:val="0"/>
              <w:divBdr>
                <w:top w:val="none" w:sz="0" w:space="0" w:color="auto"/>
                <w:left w:val="none" w:sz="0" w:space="0" w:color="auto"/>
                <w:bottom w:val="none" w:sz="0" w:space="0" w:color="auto"/>
                <w:right w:val="none" w:sz="0" w:space="0" w:color="auto"/>
              </w:divBdr>
              <w:divsChild>
                <w:div w:id="839006350">
                  <w:marLeft w:val="0"/>
                  <w:marRight w:val="0"/>
                  <w:marTop w:val="4"/>
                  <w:marBottom w:val="0"/>
                  <w:divBdr>
                    <w:top w:val="none" w:sz="0" w:space="0" w:color="auto"/>
                    <w:left w:val="none" w:sz="0" w:space="0" w:color="auto"/>
                    <w:bottom w:val="none" w:sz="0" w:space="0" w:color="auto"/>
                    <w:right w:val="none" w:sz="0" w:space="0" w:color="auto"/>
                  </w:divBdr>
                </w:div>
              </w:divsChild>
            </w:div>
          </w:divsChild>
        </w:div>
      </w:divsChild>
    </w:div>
    <w:div w:id="765151384">
      <w:bodyDiv w:val="1"/>
      <w:marLeft w:val="0"/>
      <w:marRight w:val="0"/>
      <w:marTop w:val="0"/>
      <w:marBottom w:val="0"/>
      <w:divBdr>
        <w:top w:val="none" w:sz="0" w:space="0" w:color="auto"/>
        <w:left w:val="none" w:sz="0" w:space="0" w:color="auto"/>
        <w:bottom w:val="none" w:sz="0" w:space="0" w:color="auto"/>
        <w:right w:val="none" w:sz="0" w:space="0" w:color="auto"/>
      </w:divBdr>
    </w:div>
    <w:div w:id="785463061">
      <w:bodyDiv w:val="1"/>
      <w:marLeft w:val="0"/>
      <w:marRight w:val="0"/>
      <w:marTop w:val="0"/>
      <w:marBottom w:val="0"/>
      <w:divBdr>
        <w:top w:val="none" w:sz="0" w:space="0" w:color="auto"/>
        <w:left w:val="none" w:sz="0" w:space="0" w:color="auto"/>
        <w:bottom w:val="none" w:sz="0" w:space="0" w:color="auto"/>
        <w:right w:val="none" w:sz="0" w:space="0" w:color="auto"/>
      </w:divBdr>
      <w:divsChild>
        <w:div w:id="2123913463">
          <w:marLeft w:val="0"/>
          <w:marRight w:val="0"/>
          <w:marTop w:val="0"/>
          <w:marBottom w:val="0"/>
          <w:divBdr>
            <w:top w:val="none" w:sz="0" w:space="0" w:color="auto"/>
            <w:left w:val="none" w:sz="0" w:space="0" w:color="auto"/>
            <w:bottom w:val="none" w:sz="0" w:space="0" w:color="auto"/>
            <w:right w:val="none" w:sz="0" w:space="0" w:color="auto"/>
          </w:divBdr>
          <w:divsChild>
            <w:div w:id="1397436489">
              <w:marLeft w:val="0"/>
              <w:marRight w:val="0"/>
              <w:marTop w:val="0"/>
              <w:marBottom w:val="0"/>
              <w:divBdr>
                <w:top w:val="none" w:sz="0" w:space="0" w:color="auto"/>
                <w:left w:val="none" w:sz="0" w:space="0" w:color="auto"/>
                <w:bottom w:val="none" w:sz="0" w:space="0" w:color="auto"/>
                <w:right w:val="none" w:sz="0" w:space="0" w:color="auto"/>
              </w:divBdr>
              <w:divsChild>
                <w:div w:id="660962565">
                  <w:marLeft w:val="0"/>
                  <w:marRight w:val="0"/>
                  <w:marTop w:val="0"/>
                  <w:marBottom w:val="0"/>
                  <w:divBdr>
                    <w:top w:val="none" w:sz="0" w:space="0" w:color="auto"/>
                    <w:left w:val="none" w:sz="0" w:space="0" w:color="auto"/>
                    <w:bottom w:val="none" w:sz="0" w:space="0" w:color="auto"/>
                    <w:right w:val="none" w:sz="0" w:space="0" w:color="auto"/>
                  </w:divBdr>
                  <w:divsChild>
                    <w:div w:id="716274891">
                      <w:marLeft w:val="0"/>
                      <w:marRight w:val="0"/>
                      <w:marTop w:val="0"/>
                      <w:marBottom w:val="0"/>
                      <w:divBdr>
                        <w:top w:val="none" w:sz="0" w:space="0" w:color="auto"/>
                        <w:left w:val="none" w:sz="0" w:space="0" w:color="auto"/>
                        <w:bottom w:val="none" w:sz="0" w:space="0" w:color="auto"/>
                        <w:right w:val="none" w:sz="0" w:space="0" w:color="auto"/>
                      </w:divBdr>
                      <w:divsChild>
                        <w:div w:id="946693158">
                          <w:marLeft w:val="0"/>
                          <w:marRight w:val="0"/>
                          <w:marTop w:val="0"/>
                          <w:marBottom w:val="0"/>
                          <w:divBdr>
                            <w:top w:val="none" w:sz="0" w:space="0" w:color="auto"/>
                            <w:left w:val="none" w:sz="0" w:space="0" w:color="auto"/>
                            <w:bottom w:val="none" w:sz="0" w:space="0" w:color="auto"/>
                            <w:right w:val="none" w:sz="0" w:space="0" w:color="auto"/>
                          </w:divBdr>
                          <w:divsChild>
                            <w:div w:id="288321602">
                              <w:marLeft w:val="150"/>
                              <w:marRight w:val="150"/>
                              <w:marTop w:val="150"/>
                              <w:marBottom w:val="150"/>
                              <w:divBdr>
                                <w:top w:val="none" w:sz="0" w:space="0" w:color="auto"/>
                                <w:left w:val="none" w:sz="0" w:space="0" w:color="auto"/>
                                <w:bottom w:val="none" w:sz="0" w:space="0" w:color="auto"/>
                                <w:right w:val="none" w:sz="0" w:space="0" w:color="auto"/>
                              </w:divBdr>
                              <w:divsChild>
                                <w:div w:id="820804717">
                                  <w:marLeft w:val="0"/>
                                  <w:marRight w:val="0"/>
                                  <w:marTop w:val="0"/>
                                  <w:marBottom w:val="0"/>
                                  <w:divBdr>
                                    <w:top w:val="none" w:sz="0" w:space="0" w:color="auto"/>
                                    <w:left w:val="none" w:sz="0" w:space="0" w:color="auto"/>
                                    <w:bottom w:val="none" w:sz="0" w:space="0" w:color="auto"/>
                                    <w:right w:val="none" w:sz="0" w:space="0" w:color="auto"/>
                                  </w:divBdr>
                                  <w:divsChild>
                                    <w:div w:id="274219054">
                                      <w:marLeft w:val="0"/>
                                      <w:marRight w:val="0"/>
                                      <w:marTop w:val="0"/>
                                      <w:marBottom w:val="0"/>
                                      <w:divBdr>
                                        <w:top w:val="none" w:sz="0" w:space="0" w:color="auto"/>
                                        <w:left w:val="none" w:sz="0" w:space="0" w:color="auto"/>
                                        <w:bottom w:val="none" w:sz="0" w:space="0" w:color="auto"/>
                                        <w:right w:val="none" w:sz="0" w:space="0" w:color="auto"/>
                                      </w:divBdr>
                                      <w:divsChild>
                                        <w:div w:id="1608344960">
                                          <w:marLeft w:val="0"/>
                                          <w:marRight w:val="0"/>
                                          <w:marTop w:val="0"/>
                                          <w:marBottom w:val="0"/>
                                          <w:divBdr>
                                            <w:top w:val="none" w:sz="0" w:space="0" w:color="auto"/>
                                            <w:left w:val="none" w:sz="0" w:space="0" w:color="auto"/>
                                            <w:bottom w:val="none" w:sz="0" w:space="0" w:color="auto"/>
                                            <w:right w:val="none" w:sz="0" w:space="0" w:color="auto"/>
                                          </w:divBdr>
                                          <w:divsChild>
                                            <w:div w:id="347754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89590912">
      <w:bodyDiv w:val="1"/>
      <w:marLeft w:val="0"/>
      <w:marRight w:val="0"/>
      <w:marTop w:val="0"/>
      <w:marBottom w:val="0"/>
      <w:divBdr>
        <w:top w:val="none" w:sz="0" w:space="0" w:color="auto"/>
        <w:left w:val="none" w:sz="0" w:space="0" w:color="auto"/>
        <w:bottom w:val="none" w:sz="0" w:space="0" w:color="auto"/>
        <w:right w:val="none" w:sz="0" w:space="0" w:color="auto"/>
      </w:divBdr>
      <w:divsChild>
        <w:div w:id="2051102674">
          <w:marLeft w:val="0"/>
          <w:marRight w:val="0"/>
          <w:marTop w:val="0"/>
          <w:marBottom w:val="0"/>
          <w:divBdr>
            <w:top w:val="none" w:sz="0" w:space="0" w:color="auto"/>
            <w:left w:val="none" w:sz="0" w:space="0" w:color="auto"/>
            <w:bottom w:val="none" w:sz="0" w:space="0" w:color="auto"/>
            <w:right w:val="none" w:sz="0" w:space="0" w:color="auto"/>
          </w:divBdr>
          <w:divsChild>
            <w:div w:id="271283391">
              <w:marLeft w:val="0"/>
              <w:marRight w:val="0"/>
              <w:marTop w:val="0"/>
              <w:marBottom w:val="0"/>
              <w:divBdr>
                <w:top w:val="none" w:sz="0" w:space="0" w:color="auto"/>
                <w:left w:val="none" w:sz="0" w:space="0" w:color="auto"/>
                <w:bottom w:val="none" w:sz="0" w:space="0" w:color="auto"/>
                <w:right w:val="none" w:sz="0" w:space="0" w:color="auto"/>
              </w:divBdr>
              <w:divsChild>
                <w:div w:id="969553814">
                  <w:marLeft w:val="0"/>
                  <w:marRight w:val="0"/>
                  <w:marTop w:val="0"/>
                  <w:marBottom w:val="0"/>
                  <w:divBdr>
                    <w:top w:val="none" w:sz="0" w:space="0" w:color="auto"/>
                    <w:left w:val="none" w:sz="0" w:space="0" w:color="auto"/>
                    <w:bottom w:val="none" w:sz="0" w:space="0" w:color="auto"/>
                    <w:right w:val="none" w:sz="0" w:space="0" w:color="auto"/>
                  </w:divBdr>
                  <w:divsChild>
                    <w:div w:id="675351234">
                      <w:marLeft w:val="0"/>
                      <w:marRight w:val="0"/>
                      <w:marTop w:val="0"/>
                      <w:marBottom w:val="0"/>
                      <w:divBdr>
                        <w:top w:val="none" w:sz="0" w:space="0" w:color="auto"/>
                        <w:left w:val="none" w:sz="0" w:space="0" w:color="auto"/>
                        <w:bottom w:val="none" w:sz="0" w:space="0" w:color="auto"/>
                        <w:right w:val="none" w:sz="0" w:space="0" w:color="auto"/>
                      </w:divBdr>
                      <w:divsChild>
                        <w:div w:id="2045789383">
                          <w:marLeft w:val="0"/>
                          <w:marRight w:val="0"/>
                          <w:marTop w:val="0"/>
                          <w:marBottom w:val="0"/>
                          <w:divBdr>
                            <w:top w:val="none" w:sz="0" w:space="0" w:color="auto"/>
                            <w:left w:val="none" w:sz="0" w:space="0" w:color="auto"/>
                            <w:bottom w:val="none" w:sz="0" w:space="0" w:color="auto"/>
                            <w:right w:val="none" w:sz="0" w:space="0" w:color="auto"/>
                          </w:divBdr>
                          <w:divsChild>
                            <w:div w:id="964896874">
                              <w:marLeft w:val="150"/>
                              <w:marRight w:val="150"/>
                              <w:marTop w:val="150"/>
                              <w:marBottom w:val="150"/>
                              <w:divBdr>
                                <w:top w:val="none" w:sz="0" w:space="0" w:color="auto"/>
                                <w:left w:val="none" w:sz="0" w:space="0" w:color="auto"/>
                                <w:bottom w:val="none" w:sz="0" w:space="0" w:color="auto"/>
                                <w:right w:val="none" w:sz="0" w:space="0" w:color="auto"/>
                              </w:divBdr>
                              <w:divsChild>
                                <w:div w:id="113795794">
                                  <w:marLeft w:val="0"/>
                                  <w:marRight w:val="0"/>
                                  <w:marTop w:val="0"/>
                                  <w:marBottom w:val="0"/>
                                  <w:divBdr>
                                    <w:top w:val="none" w:sz="0" w:space="0" w:color="auto"/>
                                    <w:left w:val="none" w:sz="0" w:space="0" w:color="auto"/>
                                    <w:bottom w:val="none" w:sz="0" w:space="0" w:color="auto"/>
                                    <w:right w:val="none" w:sz="0" w:space="0" w:color="auto"/>
                                  </w:divBdr>
                                  <w:divsChild>
                                    <w:div w:id="757941073">
                                      <w:marLeft w:val="0"/>
                                      <w:marRight w:val="0"/>
                                      <w:marTop w:val="0"/>
                                      <w:marBottom w:val="0"/>
                                      <w:divBdr>
                                        <w:top w:val="none" w:sz="0" w:space="0" w:color="auto"/>
                                        <w:left w:val="none" w:sz="0" w:space="0" w:color="auto"/>
                                        <w:bottom w:val="none" w:sz="0" w:space="0" w:color="auto"/>
                                        <w:right w:val="none" w:sz="0" w:space="0" w:color="auto"/>
                                      </w:divBdr>
                                      <w:divsChild>
                                        <w:div w:id="1712344891">
                                          <w:marLeft w:val="0"/>
                                          <w:marRight w:val="0"/>
                                          <w:marTop w:val="0"/>
                                          <w:marBottom w:val="0"/>
                                          <w:divBdr>
                                            <w:top w:val="none" w:sz="0" w:space="0" w:color="auto"/>
                                            <w:left w:val="none" w:sz="0" w:space="0" w:color="auto"/>
                                            <w:bottom w:val="none" w:sz="0" w:space="0" w:color="auto"/>
                                            <w:right w:val="none" w:sz="0" w:space="0" w:color="auto"/>
                                          </w:divBdr>
                                          <w:divsChild>
                                            <w:div w:id="2003001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95829846">
      <w:bodyDiv w:val="1"/>
      <w:marLeft w:val="0"/>
      <w:marRight w:val="0"/>
      <w:marTop w:val="0"/>
      <w:marBottom w:val="0"/>
      <w:divBdr>
        <w:top w:val="none" w:sz="0" w:space="0" w:color="auto"/>
        <w:left w:val="none" w:sz="0" w:space="0" w:color="auto"/>
        <w:bottom w:val="none" w:sz="0" w:space="0" w:color="auto"/>
        <w:right w:val="none" w:sz="0" w:space="0" w:color="auto"/>
      </w:divBdr>
    </w:div>
    <w:div w:id="797802459">
      <w:bodyDiv w:val="1"/>
      <w:marLeft w:val="0"/>
      <w:marRight w:val="0"/>
      <w:marTop w:val="0"/>
      <w:marBottom w:val="0"/>
      <w:divBdr>
        <w:top w:val="none" w:sz="0" w:space="0" w:color="auto"/>
        <w:left w:val="none" w:sz="0" w:space="0" w:color="auto"/>
        <w:bottom w:val="none" w:sz="0" w:space="0" w:color="auto"/>
        <w:right w:val="none" w:sz="0" w:space="0" w:color="auto"/>
      </w:divBdr>
      <w:divsChild>
        <w:div w:id="390808966">
          <w:marLeft w:val="0"/>
          <w:marRight w:val="0"/>
          <w:marTop w:val="0"/>
          <w:marBottom w:val="0"/>
          <w:divBdr>
            <w:top w:val="none" w:sz="0" w:space="0" w:color="auto"/>
            <w:left w:val="none" w:sz="0" w:space="0" w:color="auto"/>
            <w:bottom w:val="none" w:sz="0" w:space="0" w:color="auto"/>
            <w:right w:val="none" w:sz="0" w:space="0" w:color="auto"/>
          </w:divBdr>
          <w:divsChild>
            <w:div w:id="1712609317">
              <w:marLeft w:val="0"/>
              <w:marRight w:val="0"/>
              <w:marTop w:val="0"/>
              <w:marBottom w:val="0"/>
              <w:divBdr>
                <w:top w:val="none" w:sz="0" w:space="0" w:color="auto"/>
                <w:left w:val="none" w:sz="0" w:space="0" w:color="auto"/>
                <w:bottom w:val="none" w:sz="0" w:space="0" w:color="auto"/>
                <w:right w:val="none" w:sz="0" w:space="0" w:color="auto"/>
              </w:divBdr>
              <w:divsChild>
                <w:div w:id="1567956123">
                  <w:marLeft w:val="4200"/>
                  <w:marRight w:val="0"/>
                  <w:marTop w:val="0"/>
                  <w:marBottom w:val="0"/>
                  <w:divBdr>
                    <w:top w:val="none" w:sz="0" w:space="0" w:color="auto"/>
                    <w:left w:val="none" w:sz="0" w:space="0" w:color="auto"/>
                    <w:bottom w:val="none" w:sz="0" w:space="0" w:color="auto"/>
                    <w:right w:val="none" w:sz="0" w:space="0" w:color="auto"/>
                  </w:divBdr>
                  <w:divsChild>
                    <w:div w:id="592056383">
                      <w:marLeft w:val="0"/>
                      <w:marRight w:val="0"/>
                      <w:marTop w:val="0"/>
                      <w:marBottom w:val="0"/>
                      <w:divBdr>
                        <w:top w:val="none" w:sz="0" w:space="0" w:color="auto"/>
                        <w:left w:val="none" w:sz="0" w:space="0" w:color="auto"/>
                        <w:bottom w:val="none" w:sz="0" w:space="0" w:color="auto"/>
                        <w:right w:val="none" w:sz="0" w:space="0" w:color="auto"/>
                      </w:divBdr>
                      <w:divsChild>
                        <w:div w:id="1816679010">
                          <w:marLeft w:val="0"/>
                          <w:marRight w:val="0"/>
                          <w:marTop w:val="0"/>
                          <w:marBottom w:val="0"/>
                          <w:divBdr>
                            <w:top w:val="none" w:sz="0" w:space="0" w:color="auto"/>
                            <w:left w:val="none" w:sz="0" w:space="0" w:color="auto"/>
                            <w:bottom w:val="none" w:sz="0" w:space="0" w:color="auto"/>
                            <w:right w:val="none" w:sz="0" w:space="0" w:color="auto"/>
                          </w:divBdr>
                          <w:divsChild>
                            <w:div w:id="1016006896">
                              <w:marLeft w:val="0"/>
                              <w:marRight w:val="0"/>
                              <w:marTop w:val="0"/>
                              <w:marBottom w:val="0"/>
                              <w:divBdr>
                                <w:top w:val="none" w:sz="0" w:space="0" w:color="auto"/>
                                <w:left w:val="none" w:sz="0" w:space="0" w:color="auto"/>
                                <w:bottom w:val="none" w:sz="0" w:space="0" w:color="auto"/>
                                <w:right w:val="none" w:sz="0" w:space="0" w:color="auto"/>
                              </w:divBdr>
                              <w:divsChild>
                                <w:div w:id="1730109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05203303">
      <w:bodyDiv w:val="1"/>
      <w:marLeft w:val="0"/>
      <w:marRight w:val="0"/>
      <w:marTop w:val="0"/>
      <w:marBottom w:val="0"/>
      <w:divBdr>
        <w:top w:val="none" w:sz="0" w:space="0" w:color="auto"/>
        <w:left w:val="none" w:sz="0" w:space="0" w:color="auto"/>
        <w:bottom w:val="none" w:sz="0" w:space="0" w:color="auto"/>
        <w:right w:val="none" w:sz="0" w:space="0" w:color="auto"/>
      </w:divBdr>
      <w:divsChild>
        <w:div w:id="356395036">
          <w:marLeft w:val="922"/>
          <w:marRight w:val="0"/>
          <w:marTop w:val="154"/>
          <w:marBottom w:val="0"/>
          <w:divBdr>
            <w:top w:val="none" w:sz="0" w:space="0" w:color="auto"/>
            <w:left w:val="none" w:sz="0" w:space="0" w:color="auto"/>
            <w:bottom w:val="none" w:sz="0" w:space="0" w:color="auto"/>
            <w:right w:val="none" w:sz="0" w:space="0" w:color="auto"/>
          </w:divBdr>
        </w:div>
        <w:div w:id="807939682">
          <w:marLeft w:val="922"/>
          <w:marRight w:val="0"/>
          <w:marTop w:val="154"/>
          <w:marBottom w:val="0"/>
          <w:divBdr>
            <w:top w:val="none" w:sz="0" w:space="0" w:color="auto"/>
            <w:left w:val="none" w:sz="0" w:space="0" w:color="auto"/>
            <w:bottom w:val="none" w:sz="0" w:space="0" w:color="auto"/>
            <w:right w:val="none" w:sz="0" w:space="0" w:color="auto"/>
          </w:divBdr>
        </w:div>
        <w:div w:id="1234465398">
          <w:marLeft w:val="922"/>
          <w:marRight w:val="0"/>
          <w:marTop w:val="154"/>
          <w:marBottom w:val="0"/>
          <w:divBdr>
            <w:top w:val="none" w:sz="0" w:space="0" w:color="auto"/>
            <w:left w:val="none" w:sz="0" w:space="0" w:color="auto"/>
            <w:bottom w:val="none" w:sz="0" w:space="0" w:color="auto"/>
            <w:right w:val="none" w:sz="0" w:space="0" w:color="auto"/>
          </w:divBdr>
        </w:div>
      </w:divsChild>
    </w:div>
    <w:div w:id="807698123">
      <w:bodyDiv w:val="1"/>
      <w:marLeft w:val="0"/>
      <w:marRight w:val="0"/>
      <w:marTop w:val="0"/>
      <w:marBottom w:val="0"/>
      <w:divBdr>
        <w:top w:val="none" w:sz="0" w:space="0" w:color="auto"/>
        <w:left w:val="none" w:sz="0" w:space="0" w:color="auto"/>
        <w:bottom w:val="none" w:sz="0" w:space="0" w:color="auto"/>
        <w:right w:val="none" w:sz="0" w:space="0" w:color="auto"/>
      </w:divBdr>
    </w:div>
    <w:div w:id="811749163">
      <w:bodyDiv w:val="1"/>
      <w:marLeft w:val="0"/>
      <w:marRight w:val="0"/>
      <w:marTop w:val="0"/>
      <w:marBottom w:val="0"/>
      <w:divBdr>
        <w:top w:val="none" w:sz="0" w:space="0" w:color="auto"/>
        <w:left w:val="none" w:sz="0" w:space="0" w:color="auto"/>
        <w:bottom w:val="none" w:sz="0" w:space="0" w:color="auto"/>
        <w:right w:val="none" w:sz="0" w:space="0" w:color="auto"/>
      </w:divBdr>
    </w:div>
    <w:div w:id="818611701">
      <w:bodyDiv w:val="1"/>
      <w:marLeft w:val="0"/>
      <w:marRight w:val="0"/>
      <w:marTop w:val="0"/>
      <w:marBottom w:val="0"/>
      <w:divBdr>
        <w:top w:val="none" w:sz="0" w:space="0" w:color="auto"/>
        <w:left w:val="none" w:sz="0" w:space="0" w:color="auto"/>
        <w:bottom w:val="none" w:sz="0" w:space="0" w:color="auto"/>
        <w:right w:val="none" w:sz="0" w:space="0" w:color="auto"/>
      </w:divBdr>
    </w:div>
    <w:div w:id="825434704">
      <w:bodyDiv w:val="1"/>
      <w:marLeft w:val="0"/>
      <w:marRight w:val="0"/>
      <w:marTop w:val="0"/>
      <w:marBottom w:val="0"/>
      <w:divBdr>
        <w:top w:val="none" w:sz="0" w:space="0" w:color="auto"/>
        <w:left w:val="none" w:sz="0" w:space="0" w:color="auto"/>
        <w:bottom w:val="none" w:sz="0" w:space="0" w:color="auto"/>
        <w:right w:val="none" w:sz="0" w:space="0" w:color="auto"/>
      </w:divBdr>
    </w:div>
    <w:div w:id="826626957">
      <w:bodyDiv w:val="1"/>
      <w:marLeft w:val="0"/>
      <w:marRight w:val="0"/>
      <w:marTop w:val="0"/>
      <w:marBottom w:val="0"/>
      <w:divBdr>
        <w:top w:val="none" w:sz="0" w:space="0" w:color="auto"/>
        <w:left w:val="none" w:sz="0" w:space="0" w:color="auto"/>
        <w:bottom w:val="none" w:sz="0" w:space="0" w:color="auto"/>
        <w:right w:val="none" w:sz="0" w:space="0" w:color="auto"/>
      </w:divBdr>
    </w:div>
    <w:div w:id="838736065">
      <w:bodyDiv w:val="1"/>
      <w:marLeft w:val="0"/>
      <w:marRight w:val="0"/>
      <w:marTop w:val="0"/>
      <w:marBottom w:val="0"/>
      <w:divBdr>
        <w:top w:val="none" w:sz="0" w:space="0" w:color="auto"/>
        <w:left w:val="none" w:sz="0" w:space="0" w:color="auto"/>
        <w:bottom w:val="none" w:sz="0" w:space="0" w:color="auto"/>
        <w:right w:val="none" w:sz="0" w:space="0" w:color="auto"/>
      </w:divBdr>
      <w:divsChild>
        <w:div w:id="596716965">
          <w:marLeft w:val="0"/>
          <w:marRight w:val="0"/>
          <w:marTop w:val="0"/>
          <w:marBottom w:val="0"/>
          <w:divBdr>
            <w:top w:val="none" w:sz="0" w:space="0" w:color="auto"/>
            <w:left w:val="none" w:sz="0" w:space="0" w:color="auto"/>
            <w:bottom w:val="none" w:sz="0" w:space="0" w:color="auto"/>
            <w:right w:val="none" w:sz="0" w:space="0" w:color="auto"/>
          </w:divBdr>
          <w:divsChild>
            <w:div w:id="1764448226">
              <w:marLeft w:val="4"/>
              <w:marRight w:val="4"/>
              <w:marTop w:val="0"/>
              <w:marBottom w:val="0"/>
              <w:divBdr>
                <w:top w:val="none" w:sz="0" w:space="0" w:color="auto"/>
                <w:left w:val="none" w:sz="0" w:space="0" w:color="auto"/>
                <w:bottom w:val="none" w:sz="0" w:space="0" w:color="auto"/>
                <w:right w:val="none" w:sz="0" w:space="0" w:color="auto"/>
              </w:divBdr>
              <w:divsChild>
                <w:div w:id="320885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8931138">
      <w:bodyDiv w:val="1"/>
      <w:marLeft w:val="0"/>
      <w:marRight w:val="0"/>
      <w:marTop w:val="0"/>
      <w:marBottom w:val="0"/>
      <w:divBdr>
        <w:top w:val="none" w:sz="0" w:space="0" w:color="auto"/>
        <w:left w:val="none" w:sz="0" w:space="0" w:color="auto"/>
        <w:bottom w:val="none" w:sz="0" w:space="0" w:color="auto"/>
        <w:right w:val="none" w:sz="0" w:space="0" w:color="auto"/>
      </w:divBdr>
      <w:divsChild>
        <w:div w:id="1989088034">
          <w:marLeft w:val="0"/>
          <w:marRight w:val="0"/>
          <w:marTop w:val="0"/>
          <w:marBottom w:val="0"/>
          <w:divBdr>
            <w:top w:val="none" w:sz="0" w:space="0" w:color="auto"/>
            <w:left w:val="none" w:sz="0" w:space="0" w:color="auto"/>
            <w:bottom w:val="none" w:sz="0" w:space="0" w:color="auto"/>
            <w:right w:val="none" w:sz="0" w:space="0" w:color="auto"/>
          </w:divBdr>
        </w:div>
        <w:div w:id="1390155609">
          <w:marLeft w:val="0"/>
          <w:marRight w:val="0"/>
          <w:marTop w:val="0"/>
          <w:marBottom w:val="0"/>
          <w:divBdr>
            <w:top w:val="none" w:sz="0" w:space="0" w:color="auto"/>
            <w:left w:val="none" w:sz="0" w:space="0" w:color="auto"/>
            <w:bottom w:val="none" w:sz="0" w:space="0" w:color="auto"/>
            <w:right w:val="none" w:sz="0" w:space="0" w:color="auto"/>
          </w:divBdr>
        </w:div>
      </w:divsChild>
    </w:div>
    <w:div w:id="845633482">
      <w:bodyDiv w:val="1"/>
      <w:marLeft w:val="0"/>
      <w:marRight w:val="0"/>
      <w:marTop w:val="0"/>
      <w:marBottom w:val="0"/>
      <w:divBdr>
        <w:top w:val="none" w:sz="0" w:space="0" w:color="auto"/>
        <w:left w:val="none" w:sz="0" w:space="0" w:color="auto"/>
        <w:bottom w:val="none" w:sz="0" w:space="0" w:color="auto"/>
        <w:right w:val="none" w:sz="0" w:space="0" w:color="auto"/>
      </w:divBdr>
      <w:divsChild>
        <w:div w:id="491067685">
          <w:marLeft w:val="0"/>
          <w:marRight w:val="0"/>
          <w:marTop w:val="0"/>
          <w:marBottom w:val="0"/>
          <w:divBdr>
            <w:top w:val="none" w:sz="0" w:space="0" w:color="auto"/>
            <w:left w:val="none" w:sz="0" w:space="0" w:color="auto"/>
            <w:bottom w:val="none" w:sz="0" w:space="0" w:color="auto"/>
            <w:right w:val="none" w:sz="0" w:space="0" w:color="auto"/>
          </w:divBdr>
          <w:divsChild>
            <w:div w:id="295186629">
              <w:marLeft w:val="0"/>
              <w:marRight w:val="0"/>
              <w:marTop w:val="0"/>
              <w:marBottom w:val="0"/>
              <w:divBdr>
                <w:top w:val="none" w:sz="0" w:space="0" w:color="auto"/>
                <w:left w:val="none" w:sz="0" w:space="0" w:color="auto"/>
                <w:bottom w:val="none" w:sz="0" w:space="0" w:color="auto"/>
                <w:right w:val="none" w:sz="0" w:space="0" w:color="auto"/>
              </w:divBdr>
              <w:divsChild>
                <w:div w:id="960115879">
                  <w:marLeft w:val="4935"/>
                  <w:marRight w:val="0"/>
                  <w:marTop w:val="0"/>
                  <w:marBottom w:val="0"/>
                  <w:divBdr>
                    <w:top w:val="none" w:sz="0" w:space="0" w:color="auto"/>
                    <w:left w:val="none" w:sz="0" w:space="0" w:color="auto"/>
                    <w:bottom w:val="none" w:sz="0" w:space="0" w:color="auto"/>
                    <w:right w:val="none" w:sz="0" w:space="0" w:color="auto"/>
                  </w:divBdr>
                  <w:divsChild>
                    <w:div w:id="69737422">
                      <w:marLeft w:val="0"/>
                      <w:marRight w:val="0"/>
                      <w:marTop w:val="0"/>
                      <w:marBottom w:val="0"/>
                      <w:divBdr>
                        <w:top w:val="none" w:sz="0" w:space="0" w:color="auto"/>
                        <w:left w:val="none" w:sz="0" w:space="0" w:color="auto"/>
                        <w:bottom w:val="none" w:sz="0" w:space="0" w:color="auto"/>
                        <w:right w:val="none" w:sz="0" w:space="0" w:color="auto"/>
                      </w:divBdr>
                      <w:divsChild>
                        <w:div w:id="1290866312">
                          <w:marLeft w:val="0"/>
                          <w:marRight w:val="0"/>
                          <w:marTop w:val="0"/>
                          <w:marBottom w:val="0"/>
                          <w:divBdr>
                            <w:top w:val="none" w:sz="0" w:space="0" w:color="auto"/>
                            <w:left w:val="none" w:sz="0" w:space="0" w:color="auto"/>
                            <w:bottom w:val="none" w:sz="0" w:space="0" w:color="auto"/>
                            <w:right w:val="none" w:sz="0" w:space="0" w:color="auto"/>
                          </w:divBdr>
                          <w:divsChild>
                            <w:div w:id="1418093146">
                              <w:marLeft w:val="0"/>
                              <w:marRight w:val="0"/>
                              <w:marTop w:val="0"/>
                              <w:marBottom w:val="0"/>
                              <w:divBdr>
                                <w:top w:val="none" w:sz="0" w:space="0" w:color="auto"/>
                                <w:left w:val="none" w:sz="0" w:space="0" w:color="auto"/>
                                <w:bottom w:val="none" w:sz="0" w:space="0" w:color="auto"/>
                                <w:right w:val="none" w:sz="0" w:space="0" w:color="auto"/>
                              </w:divBdr>
                              <w:divsChild>
                                <w:div w:id="728915633">
                                  <w:marLeft w:val="0"/>
                                  <w:marRight w:val="0"/>
                                  <w:marTop w:val="0"/>
                                  <w:marBottom w:val="0"/>
                                  <w:divBdr>
                                    <w:top w:val="none" w:sz="0" w:space="0" w:color="auto"/>
                                    <w:left w:val="none" w:sz="0" w:space="0" w:color="auto"/>
                                    <w:bottom w:val="none" w:sz="0" w:space="0" w:color="auto"/>
                                    <w:right w:val="none" w:sz="0" w:space="0" w:color="auto"/>
                                  </w:divBdr>
                                  <w:divsChild>
                                    <w:div w:id="1098599657">
                                      <w:marLeft w:val="0"/>
                                      <w:marRight w:val="0"/>
                                      <w:marTop w:val="0"/>
                                      <w:marBottom w:val="0"/>
                                      <w:divBdr>
                                        <w:top w:val="none" w:sz="0" w:space="0" w:color="auto"/>
                                        <w:left w:val="none" w:sz="0" w:space="0" w:color="auto"/>
                                        <w:bottom w:val="none" w:sz="0" w:space="0" w:color="auto"/>
                                        <w:right w:val="none" w:sz="0" w:space="0" w:color="auto"/>
                                      </w:divBdr>
                                      <w:divsChild>
                                        <w:div w:id="116877034">
                                          <w:marLeft w:val="0"/>
                                          <w:marRight w:val="0"/>
                                          <w:marTop w:val="0"/>
                                          <w:marBottom w:val="0"/>
                                          <w:divBdr>
                                            <w:top w:val="none" w:sz="0" w:space="0" w:color="auto"/>
                                            <w:left w:val="none" w:sz="0" w:space="0" w:color="auto"/>
                                            <w:bottom w:val="none" w:sz="0" w:space="0" w:color="auto"/>
                                            <w:right w:val="none" w:sz="0" w:space="0" w:color="auto"/>
                                          </w:divBdr>
                                          <w:divsChild>
                                            <w:div w:id="1849363397">
                                              <w:marLeft w:val="0"/>
                                              <w:marRight w:val="0"/>
                                              <w:marTop w:val="0"/>
                                              <w:marBottom w:val="0"/>
                                              <w:divBdr>
                                                <w:top w:val="none" w:sz="0" w:space="0" w:color="auto"/>
                                                <w:left w:val="none" w:sz="0" w:space="0" w:color="auto"/>
                                                <w:bottom w:val="none" w:sz="0" w:space="0" w:color="auto"/>
                                                <w:right w:val="none" w:sz="0" w:space="0" w:color="auto"/>
                                              </w:divBdr>
                                              <w:divsChild>
                                                <w:div w:id="234438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55115068">
      <w:bodyDiv w:val="1"/>
      <w:marLeft w:val="0"/>
      <w:marRight w:val="0"/>
      <w:marTop w:val="0"/>
      <w:marBottom w:val="0"/>
      <w:divBdr>
        <w:top w:val="none" w:sz="0" w:space="0" w:color="auto"/>
        <w:left w:val="none" w:sz="0" w:space="0" w:color="auto"/>
        <w:bottom w:val="none" w:sz="0" w:space="0" w:color="auto"/>
        <w:right w:val="none" w:sz="0" w:space="0" w:color="auto"/>
      </w:divBdr>
    </w:div>
    <w:div w:id="866676498">
      <w:bodyDiv w:val="1"/>
      <w:marLeft w:val="0"/>
      <w:marRight w:val="0"/>
      <w:marTop w:val="0"/>
      <w:marBottom w:val="0"/>
      <w:divBdr>
        <w:top w:val="none" w:sz="0" w:space="0" w:color="auto"/>
        <w:left w:val="none" w:sz="0" w:space="0" w:color="auto"/>
        <w:bottom w:val="none" w:sz="0" w:space="0" w:color="auto"/>
        <w:right w:val="none" w:sz="0" w:space="0" w:color="auto"/>
      </w:divBdr>
    </w:div>
    <w:div w:id="876045311">
      <w:bodyDiv w:val="1"/>
      <w:marLeft w:val="0"/>
      <w:marRight w:val="0"/>
      <w:marTop w:val="0"/>
      <w:marBottom w:val="0"/>
      <w:divBdr>
        <w:top w:val="none" w:sz="0" w:space="0" w:color="auto"/>
        <w:left w:val="none" w:sz="0" w:space="0" w:color="auto"/>
        <w:bottom w:val="none" w:sz="0" w:space="0" w:color="auto"/>
        <w:right w:val="none" w:sz="0" w:space="0" w:color="auto"/>
      </w:divBdr>
      <w:divsChild>
        <w:div w:id="1558278724">
          <w:marLeft w:val="0"/>
          <w:marRight w:val="0"/>
          <w:marTop w:val="0"/>
          <w:marBottom w:val="0"/>
          <w:divBdr>
            <w:top w:val="none" w:sz="0" w:space="0" w:color="auto"/>
            <w:left w:val="none" w:sz="0" w:space="0" w:color="auto"/>
            <w:bottom w:val="none" w:sz="0" w:space="0" w:color="auto"/>
            <w:right w:val="none" w:sz="0" w:space="0" w:color="auto"/>
          </w:divBdr>
          <w:divsChild>
            <w:div w:id="278535272">
              <w:marLeft w:val="0"/>
              <w:marRight w:val="0"/>
              <w:marTop w:val="0"/>
              <w:marBottom w:val="0"/>
              <w:divBdr>
                <w:top w:val="none" w:sz="0" w:space="0" w:color="auto"/>
                <w:left w:val="none" w:sz="0" w:space="0" w:color="auto"/>
                <w:bottom w:val="none" w:sz="0" w:space="0" w:color="auto"/>
                <w:right w:val="none" w:sz="0" w:space="0" w:color="auto"/>
              </w:divBdr>
              <w:divsChild>
                <w:div w:id="275405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6167079">
      <w:bodyDiv w:val="1"/>
      <w:marLeft w:val="0"/>
      <w:marRight w:val="0"/>
      <w:marTop w:val="0"/>
      <w:marBottom w:val="0"/>
      <w:divBdr>
        <w:top w:val="none" w:sz="0" w:space="0" w:color="auto"/>
        <w:left w:val="none" w:sz="0" w:space="0" w:color="auto"/>
        <w:bottom w:val="none" w:sz="0" w:space="0" w:color="auto"/>
        <w:right w:val="none" w:sz="0" w:space="0" w:color="auto"/>
      </w:divBdr>
      <w:divsChild>
        <w:div w:id="565527828">
          <w:marLeft w:val="0"/>
          <w:marRight w:val="0"/>
          <w:marTop w:val="0"/>
          <w:marBottom w:val="0"/>
          <w:divBdr>
            <w:top w:val="none" w:sz="0" w:space="0" w:color="auto"/>
            <w:left w:val="none" w:sz="0" w:space="0" w:color="auto"/>
            <w:bottom w:val="none" w:sz="0" w:space="0" w:color="auto"/>
            <w:right w:val="none" w:sz="0" w:space="0" w:color="auto"/>
          </w:divBdr>
          <w:divsChild>
            <w:div w:id="407845002">
              <w:marLeft w:val="0"/>
              <w:marRight w:val="0"/>
              <w:marTop w:val="0"/>
              <w:marBottom w:val="0"/>
              <w:divBdr>
                <w:top w:val="none" w:sz="0" w:space="0" w:color="auto"/>
                <w:left w:val="none" w:sz="0" w:space="0" w:color="auto"/>
                <w:bottom w:val="none" w:sz="0" w:space="0" w:color="auto"/>
                <w:right w:val="none" w:sz="0" w:space="0" w:color="auto"/>
              </w:divBdr>
              <w:divsChild>
                <w:div w:id="71854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441105">
      <w:bodyDiv w:val="1"/>
      <w:marLeft w:val="0"/>
      <w:marRight w:val="0"/>
      <w:marTop w:val="0"/>
      <w:marBottom w:val="0"/>
      <w:divBdr>
        <w:top w:val="none" w:sz="0" w:space="0" w:color="auto"/>
        <w:left w:val="none" w:sz="0" w:space="0" w:color="auto"/>
        <w:bottom w:val="none" w:sz="0" w:space="0" w:color="auto"/>
        <w:right w:val="none" w:sz="0" w:space="0" w:color="auto"/>
      </w:divBdr>
      <w:divsChild>
        <w:div w:id="1553420035">
          <w:marLeft w:val="0"/>
          <w:marRight w:val="0"/>
          <w:marTop w:val="0"/>
          <w:marBottom w:val="0"/>
          <w:divBdr>
            <w:top w:val="none" w:sz="0" w:space="0" w:color="auto"/>
            <w:left w:val="none" w:sz="0" w:space="0" w:color="auto"/>
            <w:bottom w:val="none" w:sz="0" w:space="0" w:color="auto"/>
            <w:right w:val="none" w:sz="0" w:space="0" w:color="auto"/>
          </w:divBdr>
          <w:divsChild>
            <w:div w:id="519322457">
              <w:marLeft w:val="0"/>
              <w:marRight w:val="0"/>
              <w:marTop w:val="0"/>
              <w:marBottom w:val="0"/>
              <w:divBdr>
                <w:top w:val="none" w:sz="0" w:space="0" w:color="auto"/>
                <w:left w:val="none" w:sz="0" w:space="0" w:color="auto"/>
                <w:bottom w:val="none" w:sz="0" w:space="0" w:color="auto"/>
                <w:right w:val="none" w:sz="0" w:space="0" w:color="auto"/>
              </w:divBdr>
              <w:divsChild>
                <w:div w:id="216553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165686">
      <w:bodyDiv w:val="1"/>
      <w:marLeft w:val="0"/>
      <w:marRight w:val="0"/>
      <w:marTop w:val="0"/>
      <w:marBottom w:val="0"/>
      <w:divBdr>
        <w:top w:val="none" w:sz="0" w:space="0" w:color="auto"/>
        <w:left w:val="none" w:sz="0" w:space="0" w:color="auto"/>
        <w:bottom w:val="none" w:sz="0" w:space="0" w:color="auto"/>
        <w:right w:val="none" w:sz="0" w:space="0" w:color="auto"/>
      </w:divBdr>
    </w:div>
    <w:div w:id="916093065">
      <w:bodyDiv w:val="1"/>
      <w:marLeft w:val="0"/>
      <w:marRight w:val="0"/>
      <w:marTop w:val="0"/>
      <w:marBottom w:val="0"/>
      <w:divBdr>
        <w:top w:val="none" w:sz="0" w:space="0" w:color="auto"/>
        <w:left w:val="none" w:sz="0" w:space="0" w:color="auto"/>
        <w:bottom w:val="none" w:sz="0" w:space="0" w:color="auto"/>
        <w:right w:val="none" w:sz="0" w:space="0" w:color="auto"/>
      </w:divBdr>
    </w:div>
    <w:div w:id="925653675">
      <w:bodyDiv w:val="1"/>
      <w:marLeft w:val="0"/>
      <w:marRight w:val="0"/>
      <w:marTop w:val="0"/>
      <w:marBottom w:val="0"/>
      <w:divBdr>
        <w:top w:val="none" w:sz="0" w:space="0" w:color="auto"/>
        <w:left w:val="none" w:sz="0" w:space="0" w:color="auto"/>
        <w:bottom w:val="none" w:sz="0" w:space="0" w:color="auto"/>
        <w:right w:val="none" w:sz="0" w:space="0" w:color="auto"/>
      </w:divBdr>
      <w:divsChild>
        <w:div w:id="664433513">
          <w:marLeft w:val="0"/>
          <w:marRight w:val="0"/>
          <w:marTop w:val="0"/>
          <w:marBottom w:val="0"/>
          <w:divBdr>
            <w:top w:val="none" w:sz="0" w:space="0" w:color="auto"/>
            <w:left w:val="none" w:sz="0" w:space="0" w:color="auto"/>
            <w:bottom w:val="none" w:sz="0" w:space="0" w:color="auto"/>
            <w:right w:val="none" w:sz="0" w:space="0" w:color="auto"/>
          </w:divBdr>
          <w:divsChild>
            <w:div w:id="1104417744">
              <w:marLeft w:val="0"/>
              <w:marRight w:val="0"/>
              <w:marTop w:val="0"/>
              <w:marBottom w:val="0"/>
              <w:divBdr>
                <w:top w:val="none" w:sz="0" w:space="0" w:color="auto"/>
                <w:left w:val="none" w:sz="0" w:space="0" w:color="auto"/>
                <w:bottom w:val="none" w:sz="0" w:space="0" w:color="auto"/>
                <w:right w:val="none" w:sz="0" w:space="0" w:color="auto"/>
              </w:divBdr>
              <w:divsChild>
                <w:div w:id="973297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0161381">
      <w:bodyDiv w:val="1"/>
      <w:marLeft w:val="0"/>
      <w:marRight w:val="0"/>
      <w:marTop w:val="0"/>
      <w:marBottom w:val="0"/>
      <w:divBdr>
        <w:top w:val="none" w:sz="0" w:space="0" w:color="auto"/>
        <w:left w:val="none" w:sz="0" w:space="0" w:color="auto"/>
        <w:bottom w:val="none" w:sz="0" w:space="0" w:color="auto"/>
        <w:right w:val="none" w:sz="0" w:space="0" w:color="auto"/>
      </w:divBdr>
    </w:div>
    <w:div w:id="940644720">
      <w:bodyDiv w:val="1"/>
      <w:marLeft w:val="0"/>
      <w:marRight w:val="0"/>
      <w:marTop w:val="0"/>
      <w:marBottom w:val="0"/>
      <w:divBdr>
        <w:top w:val="none" w:sz="0" w:space="0" w:color="auto"/>
        <w:left w:val="none" w:sz="0" w:space="0" w:color="auto"/>
        <w:bottom w:val="none" w:sz="0" w:space="0" w:color="auto"/>
        <w:right w:val="none" w:sz="0" w:space="0" w:color="auto"/>
      </w:divBdr>
      <w:divsChild>
        <w:div w:id="1227305128">
          <w:marLeft w:val="0"/>
          <w:marRight w:val="0"/>
          <w:marTop w:val="0"/>
          <w:marBottom w:val="0"/>
          <w:divBdr>
            <w:top w:val="none" w:sz="0" w:space="0" w:color="auto"/>
            <w:left w:val="none" w:sz="0" w:space="0" w:color="auto"/>
            <w:bottom w:val="none" w:sz="0" w:space="0" w:color="auto"/>
            <w:right w:val="none" w:sz="0" w:space="0" w:color="auto"/>
          </w:divBdr>
          <w:divsChild>
            <w:div w:id="1553888670">
              <w:marLeft w:val="0"/>
              <w:marRight w:val="0"/>
              <w:marTop w:val="0"/>
              <w:marBottom w:val="0"/>
              <w:divBdr>
                <w:top w:val="none" w:sz="0" w:space="0" w:color="auto"/>
                <w:left w:val="none" w:sz="0" w:space="0" w:color="auto"/>
                <w:bottom w:val="none" w:sz="0" w:space="0" w:color="auto"/>
                <w:right w:val="none" w:sz="0" w:space="0" w:color="auto"/>
              </w:divBdr>
              <w:divsChild>
                <w:div w:id="1515731467">
                  <w:marLeft w:val="0"/>
                  <w:marRight w:val="0"/>
                  <w:marTop w:val="0"/>
                  <w:marBottom w:val="0"/>
                  <w:divBdr>
                    <w:top w:val="none" w:sz="0" w:space="0" w:color="auto"/>
                    <w:left w:val="none" w:sz="0" w:space="0" w:color="auto"/>
                    <w:bottom w:val="none" w:sz="0" w:space="0" w:color="auto"/>
                    <w:right w:val="none" w:sz="0" w:space="0" w:color="auto"/>
                  </w:divBdr>
                  <w:divsChild>
                    <w:div w:id="55249523">
                      <w:marLeft w:val="0"/>
                      <w:marRight w:val="0"/>
                      <w:marTop w:val="0"/>
                      <w:marBottom w:val="0"/>
                      <w:divBdr>
                        <w:top w:val="none" w:sz="0" w:space="0" w:color="auto"/>
                        <w:left w:val="none" w:sz="0" w:space="0" w:color="auto"/>
                        <w:bottom w:val="none" w:sz="0" w:space="0" w:color="auto"/>
                        <w:right w:val="none" w:sz="0" w:space="0" w:color="auto"/>
                      </w:divBdr>
                      <w:divsChild>
                        <w:div w:id="264970496">
                          <w:marLeft w:val="0"/>
                          <w:marRight w:val="0"/>
                          <w:marTop w:val="0"/>
                          <w:marBottom w:val="0"/>
                          <w:divBdr>
                            <w:top w:val="none" w:sz="0" w:space="0" w:color="auto"/>
                            <w:left w:val="none" w:sz="0" w:space="0" w:color="auto"/>
                            <w:bottom w:val="none" w:sz="0" w:space="0" w:color="auto"/>
                            <w:right w:val="none" w:sz="0" w:space="0" w:color="auto"/>
                          </w:divBdr>
                          <w:divsChild>
                            <w:div w:id="1639412374">
                              <w:marLeft w:val="0"/>
                              <w:marRight w:val="0"/>
                              <w:marTop w:val="0"/>
                              <w:marBottom w:val="0"/>
                              <w:divBdr>
                                <w:top w:val="none" w:sz="0" w:space="0" w:color="auto"/>
                                <w:left w:val="none" w:sz="0" w:space="0" w:color="auto"/>
                                <w:bottom w:val="none" w:sz="0" w:space="0" w:color="auto"/>
                                <w:right w:val="none" w:sz="0" w:space="0" w:color="auto"/>
                              </w:divBdr>
                              <w:divsChild>
                                <w:div w:id="1005282824">
                                  <w:marLeft w:val="0"/>
                                  <w:marRight w:val="0"/>
                                  <w:marTop w:val="0"/>
                                  <w:marBottom w:val="0"/>
                                  <w:divBdr>
                                    <w:top w:val="none" w:sz="0" w:space="0" w:color="auto"/>
                                    <w:left w:val="none" w:sz="0" w:space="0" w:color="auto"/>
                                    <w:bottom w:val="none" w:sz="0" w:space="0" w:color="auto"/>
                                    <w:right w:val="none" w:sz="0" w:space="0" w:color="auto"/>
                                  </w:divBdr>
                                  <w:divsChild>
                                    <w:div w:id="1271740912">
                                      <w:marLeft w:val="0"/>
                                      <w:marRight w:val="0"/>
                                      <w:marTop w:val="0"/>
                                      <w:marBottom w:val="0"/>
                                      <w:divBdr>
                                        <w:top w:val="none" w:sz="0" w:space="0" w:color="auto"/>
                                        <w:left w:val="none" w:sz="0" w:space="0" w:color="auto"/>
                                        <w:bottom w:val="none" w:sz="0" w:space="0" w:color="auto"/>
                                        <w:right w:val="none" w:sz="0" w:space="0" w:color="auto"/>
                                      </w:divBdr>
                                      <w:divsChild>
                                        <w:div w:id="1832674536">
                                          <w:marLeft w:val="0"/>
                                          <w:marRight w:val="0"/>
                                          <w:marTop w:val="0"/>
                                          <w:marBottom w:val="0"/>
                                          <w:divBdr>
                                            <w:top w:val="none" w:sz="0" w:space="0" w:color="auto"/>
                                            <w:left w:val="none" w:sz="0" w:space="0" w:color="auto"/>
                                            <w:bottom w:val="none" w:sz="0" w:space="0" w:color="auto"/>
                                            <w:right w:val="none" w:sz="0" w:space="0" w:color="auto"/>
                                          </w:divBdr>
                                          <w:divsChild>
                                            <w:div w:id="1074619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54021597">
      <w:bodyDiv w:val="1"/>
      <w:marLeft w:val="0"/>
      <w:marRight w:val="0"/>
      <w:marTop w:val="0"/>
      <w:marBottom w:val="0"/>
      <w:divBdr>
        <w:top w:val="none" w:sz="0" w:space="0" w:color="auto"/>
        <w:left w:val="none" w:sz="0" w:space="0" w:color="auto"/>
        <w:bottom w:val="none" w:sz="0" w:space="0" w:color="auto"/>
        <w:right w:val="none" w:sz="0" w:space="0" w:color="auto"/>
      </w:divBdr>
    </w:div>
    <w:div w:id="961232547">
      <w:bodyDiv w:val="1"/>
      <w:marLeft w:val="0"/>
      <w:marRight w:val="0"/>
      <w:marTop w:val="0"/>
      <w:marBottom w:val="0"/>
      <w:divBdr>
        <w:top w:val="none" w:sz="0" w:space="0" w:color="auto"/>
        <w:left w:val="none" w:sz="0" w:space="0" w:color="auto"/>
        <w:bottom w:val="none" w:sz="0" w:space="0" w:color="auto"/>
        <w:right w:val="none" w:sz="0" w:space="0" w:color="auto"/>
      </w:divBdr>
    </w:div>
    <w:div w:id="971403839">
      <w:bodyDiv w:val="1"/>
      <w:marLeft w:val="0"/>
      <w:marRight w:val="0"/>
      <w:marTop w:val="0"/>
      <w:marBottom w:val="0"/>
      <w:divBdr>
        <w:top w:val="none" w:sz="0" w:space="0" w:color="auto"/>
        <w:left w:val="none" w:sz="0" w:space="0" w:color="auto"/>
        <w:bottom w:val="none" w:sz="0" w:space="0" w:color="auto"/>
        <w:right w:val="none" w:sz="0" w:space="0" w:color="auto"/>
      </w:divBdr>
      <w:divsChild>
        <w:div w:id="1551720146">
          <w:marLeft w:val="0"/>
          <w:marRight w:val="0"/>
          <w:marTop w:val="0"/>
          <w:marBottom w:val="0"/>
          <w:divBdr>
            <w:top w:val="none" w:sz="0" w:space="0" w:color="auto"/>
            <w:left w:val="none" w:sz="0" w:space="0" w:color="auto"/>
            <w:bottom w:val="none" w:sz="0" w:space="0" w:color="auto"/>
            <w:right w:val="none" w:sz="0" w:space="0" w:color="auto"/>
          </w:divBdr>
          <w:divsChild>
            <w:div w:id="146016686">
              <w:marLeft w:val="4"/>
              <w:marRight w:val="4"/>
              <w:marTop w:val="0"/>
              <w:marBottom w:val="0"/>
              <w:divBdr>
                <w:top w:val="none" w:sz="0" w:space="0" w:color="auto"/>
                <w:left w:val="none" w:sz="0" w:space="0" w:color="auto"/>
                <w:bottom w:val="none" w:sz="0" w:space="0" w:color="auto"/>
                <w:right w:val="none" w:sz="0" w:space="0" w:color="auto"/>
              </w:divBdr>
              <w:divsChild>
                <w:div w:id="332802191">
                  <w:marLeft w:val="0"/>
                  <w:marRight w:val="0"/>
                  <w:marTop w:val="4"/>
                  <w:marBottom w:val="0"/>
                  <w:divBdr>
                    <w:top w:val="none" w:sz="0" w:space="0" w:color="auto"/>
                    <w:left w:val="none" w:sz="0" w:space="0" w:color="auto"/>
                    <w:bottom w:val="none" w:sz="0" w:space="0" w:color="auto"/>
                    <w:right w:val="none" w:sz="0" w:space="0" w:color="auto"/>
                  </w:divBdr>
                </w:div>
              </w:divsChild>
            </w:div>
          </w:divsChild>
        </w:div>
      </w:divsChild>
    </w:div>
    <w:div w:id="981883320">
      <w:bodyDiv w:val="1"/>
      <w:marLeft w:val="0"/>
      <w:marRight w:val="0"/>
      <w:marTop w:val="0"/>
      <w:marBottom w:val="0"/>
      <w:divBdr>
        <w:top w:val="none" w:sz="0" w:space="0" w:color="auto"/>
        <w:left w:val="none" w:sz="0" w:space="0" w:color="auto"/>
        <w:bottom w:val="none" w:sz="0" w:space="0" w:color="auto"/>
        <w:right w:val="none" w:sz="0" w:space="0" w:color="auto"/>
      </w:divBdr>
      <w:divsChild>
        <w:div w:id="1448160988">
          <w:marLeft w:val="0"/>
          <w:marRight w:val="0"/>
          <w:marTop w:val="0"/>
          <w:marBottom w:val="0"/>
          <w:divBdr>
            <w:top w:val="none" w:sz="0" w:space="0" w:color="auto"/>
            <w:left w:val="none" w:sz="0" w:space="0" w:color="auto"/>
            <w:bottom w:val="none" w:sz="0" w:space="0" w:color="auto"/>
            <w:right w:val="none" w:sz="0" w:space="0" w:color="auto"/>
          </w:divBdr>
          <w:divsChild>
            <w:div w:id="474183907">
              <w:marLeft w:val="0"/>
              <w:marRight w:val="0"/>
              <w:marTop w:val="0"/>
              <w:marBottom w:val="0"/>
              <w:divBdr>
                <w:top w:val="none" w:sz="0" w:space="0" w:color="auto"/>
                <w:left w:val="none" w:sz="0" w:space="0" w:color="auto"/>
                <w:bottom w:val="none" w:sz="0" w:space="0" w:color="auto"/>
                <w:right w:val="none" w:sz="0" w:space="0" w:color="auto"/>
              </w:divBdr>
              <w:divsChild>
                <w:div w:id="812210483">
                  <w:marLeft w:val="0"/>
                  <w:marRight w:val="0"/>
                  <w:marTop w:val="0"/>
                  <w:marBottom w:val="0"/>
                  <w:divBdr>
                    <w:top w:val="none" w:sz="0" w:space="0" w:color="auto"/>
                    <w:left w:val="none" w:sz="0" w:space="0" w:color="auto"/>
                    <w:bottom w:val="none" w:sz="0" w:space="0" w:color="auto"/>
                    <w:right w:val="none" w:sz="0" w:space="0" w:color="auto"/>
                  </w:divBdr>
                  <w:divsChild>
                    <w:div w:id="368071894">
                      <w:marLeft w:val="0"/>
                      <w:marRight w:val="0"/>
                      <w:marTop w:val="0"/>
                      <w:marBottom w:val="0"/>
                      <w:divBdr>
                        <w:top w:val="none" w:sz="0" w:space="0" w:color="auto"/>
                        <w:left w:val="none" w:sz="0" w:space="0" w:color="auto"/>
                        <w:bottom w:val="none" w:sz="0" w:space="0" w:color="auto"/>
                        <w:right w:val="none" w:sz="0" w:space="0" w:color="auto"/>
                      </w:divBdr>
                      <w:divsChild>
                        <w:div w:id="1828084332">
                          <w:marLeft w:val="0"/>
                          <w:marRight w:val="0"/>
                          <w:marTop w:val="0"/>
                          <w:marBottom w:val="0"/>
                          <w:divBdr>
                            <w:top w:val="none" w:sz="0" w:space="0" w:color="auto"/>
                            <w:left w:val="none" w:sz="0" w:space="0" w:color="auto"/>
                            <w:bottom w:val="none" w:sz="0" w:space="0" w:color="auto"/>
                            <w:right w:val="none" w:sz="0" w:space="0" w:color="auto"/>
                          </w:divBdr>
                          <w:divsChild>
                            <w:div w:id="1873416106">
                              <w:marLeft w:val="150"/>
                              <w:marRight w:val="150"/>
                              <w:marTop w:val="150"/>
                              <w:marBottom w:val="150"/>
                              <w:divBdr>
                                <w:top w:val="none" w:sz="0" w:space="0" w:color="auto"/>
                                <w:left w:val="none" w:sz="0" w:space="0" w:color="auto"/>
                                <w:bottom w:val="none" w:sz="0" w:space="0" w:color="auto"/>
                                <w:right w:val="none" w:sz="0" w:space="0" w:color="auto"/>
                              </w:divBdr>
                              <w:divsChild>
                                <w:div w:id="372928683">
                                  <w:marLeft w:val="0"/>
                                  <w:marRight w:val="0"/>
                                  <w:marTop w:val="0"/>
                                  <w:marBottom w:val="0"/>
                                  <w:divBdr>
                                    <w:top w:val="none" w:sz="0" w:space="0" w:color="auto"/>
                                    <w:left w:val="none" w:sz="0" w:space="0" w:color="auto"/>
                                    <w:bottom w:val="none" w:sz="0" w:space="0" w:color="auto"/>
                                    <w:right w:val="none" w:sz="0" w:space="0" w:color="auto"/>
                                  </w:divBdr>
                                  <w:divsChild>
                                    <w:div w:id="2085712938">
                                      <w:marLeft w:val="0"/>
                                      <w:marRight w:val="0"/>
                                      <w:marTop w:val="0"/>
                                      <w:marBottom w:val="0"/>
                                      <w:divBdr>
                                        <w:top w:val="none" w:sz="0" w:space="0" w:color="auto"/>
                                        <w:left w:val="none" w:sz="0" w:space="0" w:color="auto"/>
                                        <w:bottom w:val="none" w:sz="0" w:space="0" w:color="auto"/>
                                        <w:right w:val="none" w:sz="0" w:space="0" w:color="auto"/>
                                      </w:divBdr>
                                      <w:divsChild>
                                        <w:div w:id="789975581">
                                          <w:marLeft w:val="0"/>
                                          <w:marRight w:val="0"/>
                                          <w:marTop w:val="0"/>
                                          <w:marBottom w:val="0"/>
                                          <w:divBdr>
                                            <w:top w:val="none" w:sz="0" w:space="0" w:color="auto"/>
                                            <w:left w:val="none" w:sz="0" w:space="0" w:color="auto"/>
                                            <w:bottom w:val="none" w:sz="0" w:space="0" w:color="auto"/>
                                            <w:right w:val="none" w:sz="0" w:space="0" w:color="auto"/>
                                          </w:divBdr>
                                          <w:divsChild>
                                            <w:div w:id="2001956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98459599">
      <w:bodyDiv w:val="1"/>
      <w:marLeft w:val="0"/>
      <w:marRight w:val="0"/>
      <w:marTop w:val="0"/>
      <w:marBottom w:val="0"/>
      <w:divBdr>
        <w:top w:val="none" w:sz="0" w:space="0" w:color="auto"/>
        <w:left w:val="none" w:sz="0" w:space="0" w:color="auto"/>
        <w:bottom w:val="none" w:sz="0" w:space="0" w:color="auto"/>
        <w:right w:val="none" w:sz="0" w:space="0" w:color="auto"/>
      </w:divBdr>
    </w:div>
    <w:div w:id="1013191664">
      <w:bodyDiv w:val="1"/>
      <w:marLeft w:val="0"/>
      <w:marRight w:val="0"/>
      <w:marTop w:val="0"/>
      <w:marBottom w:val="0"/>
      <w:divBdr>
        <w:top w:val="none" w:sz="0" w:space="0" w:color="auto"/>
        <w:left w:val="none" w:sz="0" w:space="0" w:color="auto"/>
        <w:bottom w:val="none" w:sz="0" w:space="0" w:color="auto"/>
        <w:right w:val="none" w:sz="0" w:space="0" w:color="auto"/>
      </w:divBdr>
      <w:divsChild>
        <w:div w:id="2085251248">
          <w:marLeft w:val="0"/>
          <w:marRight w:val="0"/>
          <w:marTop w:val="0"/>
          <w:marBottom w:val="0"/>
          <w:divBdr>
            <w:top w:val="none" w:sz="0" w:space="0" w:color="auto"/>
            <w:left w:val="none" w:sz="0" w:space="0" w:color="auto"/>
            <w:bottom w:val="none" w:sz="0" w:space="0" w:color="auto"/>
            <w:right w:val="none" w:sz="0" w:space="0" w:color="auto"/>
          </w:divBdr>
          <w:divsChild>
            <w:div w:id="483352362">
              <w:marLeft w:val="0"/>
              <w:marRight w:val="0"/>
              <w:marTop w:val="0"/>
              <w:marBottom w:val="0"/>
              <w:divBdr>
                <w:top w:val="none" w:sz="0" w:space="0" w:color="auto"/>
                <w:left w:val="none" w:sz="0" w:space="0" w:color="auto"/>
                <w:bottom w:val="none" w:sz="0" w:space="0" w:color="auto"/>
                <w:right w:val="none" w:sz="0" w:space="0" w:color="auto"/>
              </w:divBdr>
              <w:divsChild>
                <w:div w:id="1444884778">
                  <w:marLeft w:val="0"/>
                  <w:marRight w:val="0"/>
                  <w:marTop w:val="0"/>
                  <w:marBottom w:val="0"/>
                  <w:divBdr>
                    <w:top w:val="none" w:sz="0" w:space="0" w:color="auto"/>
                    <w:left w:val="none" w:sz="0" w:space="0" w:color="auto"/>
                    <w:bottom w:val="none" w:sz="0" w:space="0" w:color="auto"/>
                    <w:right w:val="none" w:sz="0" w:space="0" w:color="auto"/>
                  </w:divBdr>
                  <w:divsChild>
                    <w:div w:id="1120223178">
                      <w:marLeft w:val="0"/>
                      <w:marRight w:val="0"/>
                      <w:marTop w:val="0"/>
                      <w:marBottom w:val="0"/>
                      <w:divBdr>
                        <w:top w:val="none" w:sz="0" w:space="0" w:color="auto"/>
                        <w:left w:val="none" w:sz="0" w:space="0" w:color="auto"/>
                        <w:bottom w:val="none" w:sz="0" w:space="0" w:color="auto"/>
                        <w:right w:val="none" w:sz="0" w:space="0" w:color="auto"/>
                      </w:divBdr>
                      <w:divsChild>
                        <w:div w:id="747656526">
                          <w:marLeft w:val="0"/>
                          <w:marRight w:val="0"/>
                          <w:marTop w:val="0"/>
                          <w:marBottom w:val="0"/>
                          <w:divBdr>
                            <w:top w:val="none" w:sz="0" w:space="0" w:color="auto"/>
                            <w:left w:val="none" w:sz="0" w:space="0" w:color="auto"/>
                            <w:bottom w:val="none" w:sz="0" w:space="0" w:color="auto"/>
                            <w:right w:val="none" w:sz="0" w:space="0" w:color="auto"/>
                          </w:divBdr>
                          <w:divsChild>
                            <w:div w:id="482812641">
                              <w:marLeft w:val="0"/>
                              <w:marRight w:val="0"/>
                              <w:marTop w:val="0"/>
                              <w:marBottom w:val="0"/>
                              <w:divBdr>
                                <w:top w:val="none" w:sz="0" w:space="0" w:color="auto"/>
                                <w:left w:val="none" w:sz="0" w:space="0" w:color="auto"/>
                                <w:bottom w:val="none" w:sz="0" w:space="0" w:color="auto"/>
                                <w:right w:val="none" w:sz="0" w:space="0" w:color="auto"/>
                              </w:divBdr>
                              <w:divsChild>
                                <w:div w:id="1822840892">
                                  <w:marLeft w:val="0"/>
                                  <w:marRight w:val="0"/>
                                  <w:marTop w:val="0"/>
                                  <w:marBottom w:val="0"/>
                                  <w:divBdr>
                                    <w:top w:val="none" w:sz="0" w:space="0" w:color="auto"/>
                                    <w:left w:val="none" w:sz="0" w:space="0" w:color="auto"/>
                                    <w:bottom w:val="none" w:sz="0" w:space="0" w:color="auto"/>
                                    <w:right w:val="none" w:sz="0" w:space="0" w:color="auto"/>
                                  </w:divBdr>
                                  <w:divsChild>
                                    <w:div w:id="2031641636">
                                      <w:marLeft w:val="0"/>
                                      <w:marRight w:val="0"/>
                                      <w:marTop w:val="0"/>
                                      <w:marBottom w:val="0"/>
                                      <w:divBdr>
                                        <w:top w:val="none" w:sz="0" w:space="0" w:color="auto"/>
                                        <w:left w:val="none" w:sz="0" w:space="0" w:color="auto"/>
                                        <w:bottom w:val="none" w:sz="0" w:space="0" w:color="auto"/>
                                        <w:right w:val="none" w:sz="0" w:space="0" w:color="auto"/>
                                      </w:divBdr>
                                      <w:divsChild>
                                        <w:div w:id="721640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19313261">
      <w:bodyDiv w:val="1"/>
      <w:marLeft w:val="0"/>
      <w:marRight w:val="0"/>
      <w:marTop w:val="0"/>
      <w:marBottom w:val="0"/>
      <w:divBdr>
        <w:top w:val="none" w:sz="0" w:space="0" w:color="auto"/>
        <w:left w:val="none" w:sz="0" w:space="0" w:color="auto"/>
        <w:bottom w:val="none" w:sz="0" w:space="0" w:color="auto"/>
        <w:right w:val="none" w:sz="0" w:space="0" w:color="auto"/>
      </w:divBdr>
      <w:divsChild>
        <w:div w:id="810176305">
          <w:marLeft w:val="0"/>
          <w:marRight w:val="0"/>
          <w:marTop w:val="0"/>
          <w:marBottom w:val="0"/>
          <w:divBdr>
            <w:top w:val="none" w:sz="0" w:space="0" w:color="auto"/>
            <w:left w:val="none" w:sz="0" w:space="0" w:color="auto"/>
            <w:bottom w:val="none" w:sz="0" w:space="0" w:color="auto"/>
            <w:right w:val="none" w:sz="0" w:space="0" w:color="auto"/>
          </w:divBdr>
          <w:divsChild>
            <w:div w:id="395785644">
              <w:marLeft w:val="4"/>
              <w:marRight w:val="4"/>
              <w:marTop w:val="0"/>
              <w:marBottom w:val="0"/>
              <w:divBdr>
                <w:top w:val="none" w:sz="0" w:space="0" w:color="auto"/>
                <w:left w:val="none" w:sz="0" w:space="0" w:color="auto"/>
                <w:bottom w:val="none" w:sz="0" w:space="0" w:color="auto"/>
                <w:right w:val="none" w:sz="0" w:space="0" w:color="auto"/>
              </w:divBdr>
              <w:divsChild>
                <w:div w:id="439102828">
                  <w:marLeft w:val="0"/>
                  <w:marRight w:val="0"/>
                  <w:marTop w:val="4"/>
                  <w:marBottom w:val="0"/>
                  <w:divBdr>
                    <w:top w:val="none" w:sz="0" w:space="0" w:color="auto"/>
                    <w:left w:val="none" w:sz="0" w:space="0" w:color="auto"/>
                    <w:bottom w:val="none" w:sz="0" w:space="0" w:color="auto"/>
                    <w:right w:val="none" w:sz="0" w:space="0" w:color="auto"/>
                  </w:divBdr>
                </w:div>
              </w:divsChild>
            </w:div>
          </w:divsChild>
        </w:div>
      </w:divsChild>
    </w:div>
    <w:div w:id="1024937189">
      <w:bodyDiv w:val="1"/>
      <w:marLeft w:val="0"/>
      <w:marRight w:val="0"/>
      <w:marTop w:val="0"/>
      <w:marBottom w:val="0"/>
      <w:divBdr>
        <w:top w:val="none" w:sz="0" w:space="0" w:color="auto"/>
        <w:left w:val="none" w:sz="0" w:space="0" w:color="auto"/>
        <w:bottom w:val="none" w:sz="0" w:space="0" w:color="auto"/>
        <w:right w:val="none" w:sz="0" w:space="0" w:color="auto"/>
      </w:divBdr>
    </w:div>
    <w:div w:id="1033652148">
      <w:bodyDiv w:val="1"/>
      <w:marLeft w:val="0"/>
      <w:marRight w:val="0"/>
      <w:marTop w:val="0"/>
      <w:marBottom w:val="0"/>
      <w:divBdr>
        <w:top w:val="none" w:sz="0" w:space="0" w:color="auto"/>
        <w:left w:val="none" w:sz="0" w:space="0" w:color="auto"/>
        <w:bottom w:val="none" w:sz="0" w:space="0" w:color="auto"/>
        <w:right w:val="none" w:sz="0" w:space="0" w:color="auto"/>
      </w:divBdr>
      <w:divsChild>
        <w:div w:id="401876499">
          <w:marLeft w:val="0"/>
          <w:marRight w:val="0"/>
          <w:marTop w:val="0"/>
          <w:marBottom w:val="0"/>
          <w:divBdr>
            <w:top w:val="none" w:sz="0" w:space="0" w:color="auto"/>
            <w:left w:val="none" w:sz="0" w:space="0" w:color="auto"/>
            <w:bottom w:val="none" w:sz="0" w:space="0" w:color="auto"/>
            <w:right w:val="none" w:sz="0" w:space="0" w:color="auto"/>
          </w:divBdr>
          <w:divsChild>
            <w:div w:id="1546209519">
              <w:marLeft w:val="0"/>
              <w:marRight w:val="0"/>
              <w:marTop w:val="0"/>
              <w:marBottom w:val="0"/>
              <w:divBdr>
                <w:top w:val="none" w:sz="0" w:space="0" w:color="auto"/>
                <w:left w:val="none" w:sz="0" w:space="0" w:color="auto"/>
                <w:bottom w:val="none" w:sz="0" w:space="0" w:color="auto"/>
                <w:right w:val="none" w:sz="0" w:space="0" w:color="auto"/>
              </w:divBdr>
              <w:divsChild>
                <w:div w:id="832374390">
                  <w:marLeft w:val="4200"/>
                  <w:marRight w:val="0"/>
                  <w:marTop w:val="0"/>
                  <w:marBottom w:val="0"/>
                  <w:divBdr>
                    <w:top w:val="none" w:sz="0" w:space="0" w:color="auto"/>
                    <w:left w:val="none" w:sz="0" w:space="0" w:color="auto"/>
                    <w:bottom w:val="none" w:sz="0" w:space="0" w:color="auto"/>
                    <w:right w:val="none" w:sz="0" w:space="0" w:color="auto"/>
                  </w:divBdr>
                  <w:divsChild>
                    <w:div w:id="38170406">
                      <w:marLeft w:val="0"/>
                      <w:marRight w:val="0"/>
                      <w:marTop w:val="0"/>
                      <w:marBottom w:val="0"/>
                      <w:divBdr>
                        <w:top w:val="none" w:sz="0" w:space="0" w:color="auto"/>
                        <w:left w:val="none" w:sz="0" w:space="0" w:color="auto"/>
                        <w:bottom w:val="none" w:sz="0" w:space="0" w:color="auto"/>
                        <w:right w:val="none" w:sz="0" w:space="0" w:color="auto"/>
                      </w:divBdr>
                      <w:divsChild>
                        <w:div w:id="1320765505">
                          <w:marLeft w:val="0"/>
                          <w:marRight w:val="0"/>
                          <w:marTop w:val="0"/>
                          <w:marBottom w:val="0"/>
                          <w:divBdr>
                            <w:top w:val="none" w:sz="0" w:space="0" w:color="auto"/>
                            <w:left w:val="none" w:sz="0" w:space="0" w:color="auto"/>
                            <w:bottom w:val="none" w:sz="0" w:space="0" w:color="auto"/>
                            <w:right w:val="none" w:sz="0" w:space="0" w:color="auto"/>
                          </w:divBdr>
                          <w:divsChild>
                            <w:div w:id="785851106">
                              <w:marLeft w:val="0"/>
                              <w:marRight w:val="0"/>
                              <w:marTop w:val="0"/>
                              <w:marBottom w:val="0"/>
                              <w:divBdr>
                                <w:top w:val="none" w:sz="0" w:space="0" w:color="auto"/>
                                <w:left w:val="none" w:sz="0" w:space="0" w:color="auto"/>
                                <w:bottom w:val="none" w:sz="0" w:space="0" w:color="auto"/>
                                <w:right w:val="none" w:sz="0" w:space="0" w:color="auto"/>
                              </w:divBdr>
                              <w:divsChild>
                                <w:div w:id="440297510">
                                  <w:marLeft w:val="0"/>
                                  <w:marRight w:val="0"/>
                                  <w:marTop w:val="0"/>
                                  <w:marBottom w:val="0"/>
                                  <w:divBdr>
                                    <w:top w:val="none" w:sz="0" w:space="0" w:color="auto"/>
                                    <w:left w:val="none" w:sz="0" w:space="0" w:color="auto"/>
                                    <w:bottom w:val="none" w:sz="0" w:space="0" w:color="auto"/>
                                    <w:right w:val="none" w:sz="0" w:space="0" w:color="auto"/>
                                  </w:divBdr>
                                  <w:divsChild>
                                    <w:div w:id="1956256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48914999">
      <w:bodyDiv w:val="1"/>
      <w:marLeft w:val="0"/>
      <w:marRight w:val="0"/>
      <w:marTop w:val="0"/>
      <w:marBottom w:val="0"/>
      <w:divBdr>
        <w:top w:val="none" w:sz="0" w:space="0" w:color="auto"/>
        <w:left w:val="none" w:sz="0" w:space="0" w:color="auto"/>
        <w:bottom w:val="none" w:sz="0" w:space="0" w:color="auto"/>
        <w:right w:val="none" w:sz="0" w:space="0" w:color="auto"/>
      </w:divBdr>
      <w:divsChild>
        <w:div w:id="1375545045">
          <w:marLeft w:val="0"/>
          <w:marRight w:val="0"/>
          <w:marTop w:val="0"/>
          <w:marBottom w:val="0"/>
          <w:divBdr>
            <w:top w:val="none" w:sz="0" w:space="0" w:color="auto"/>
            <w:left w:val="none" w:sz="0" w:space="0" w:color="auto"/>
            <w:bottom w:val="none" w:sz="0" w:space="0" w:color="auto"/>
            <w:right w:val="none" w:sz="0" w:space="0" w:color="auto"/>
          </w:divBdr>
          <w:divsChild>
            <w:div w:id="1549757329">
              <w:marLeft w:val="0"/>
              <w:marRight w:val="0"/>
              <w:marTop w:val="0"/>
              <w:marBottom w:val="0"/>
              <w:divBdr>
                <w:top w:val="none" w:sz="0" w:space="0" w:color="auto"/>
                <w:left w:val="none" w:sz="0" w:space="0" w:color="auto"/>
                <w:bottom w:val="none" w:sz="0" w:space="0" w:color="auto"/>
                <w:right w:val="none" w:sz="0" w:space="0" w:color="auto"/>
              </w:divBdr>
              <w:divsChild>
                <w:div w:id="1129515037">
                  <w:marLeft w:val="0"/>
                  <w:marRight w:val="0"/>
                  <w:marTop w:val="0"/>
                  <w:marBottom w:val="0"/>
                  <w:divBdr>
                    <w:top w:val="none" w:sz="0" w:space="0" w:color="auto"/>
                    <w:left w:val="none" w:sz="0" w:space="0" w:color="auto"/>
                    <w:bottom w:val="none" w:sz="0" w:space="0" w:color="auto"/>
                    <w:right w:val="none" w:sz="0" w:space="0" w:color="auto"/>
                  </w:divBdr>
                  <w:divsChild>
                    <w:div w:id="1011030997">
                      <w:marLeft w:val="0"/>
                      <w:marRight w:val="0"/>
                      <w:marTop w:val="0"/>
                      <w:marBottom w:val="0"/>
                      <w:divBdr>
                        <w:top w:val="none" w:sz="0" w:space="0" w:color="auto"/>
                        <w:left w:val="none" w:sz="0" w:space="0" w:color="auto"/>
                        <w:bottom w:val="none" w:sz="0" w:space="0" w:color="auto"/>
                        <w:right w:val="none" w:sz="0" w:space="0" w:color="auto"/>
                      </w:divBdr>
                      <w:divsChild>
                        <w:div w:id="1619871360">
                          <w:marLeft w:val="0"/>
                          <w:marRight w:val="0"/>
                          <w:marTop w:val="0"/>
                          <w:marBottom w:val="0"/>
                          <w:divBdr>
                            <w:top w:val="none" w:sz="0" w:space="0" w:color="auto"/>
                            <w:left w:val="none" w:sz="0" w:space="0" w:color="auto"/>
                            <w:bottom w:val="none" w:sz="0" w:space="0" w:color="auto"/>
                            <w:right w:val="none" w:sz="0" w:space="0" w:color="auto"/>
                          </w:divBdr>
                          <w:divsChild>
                            <w:div w:id="1872298740">
                              <w:marLeft w:val="150"/>
                              <w:marRight w:val="150"/>
                              <w:marTop w:val="150"/>
                              <w:marBottom w:val="150"/>
                              <w:divBdr>
                                <w:top w:val="none" w:sz="0" w:space="0" w:color="auto"/>
                                <w:left w:val="none" w:sz="0" w:space="0" w:color="auto"/>
                                <w:bottom w:val="none" w:sz="0" w:space="0" w:color="auto"/>
                                <w:right w:val="none" w:sz="0" w:space="0" w:color="auto"/>
                              </w:divBdr>
                              <w:divsChild>
                                <w:div w:id="1868639054">
                                  <w:marLeft w:val="0"/>
                                  <w:marRight w:val="0"/>
                                  <w:marTop w:val="0"/>
                                  <w:marBottom w:val="0"/>
                                  <w:divBdr>
                                    <w:top w:val="none" w:sz="0" w:space="0" w:color="auto"/>
                                    <w:left w:val="none" w:sz="0" w:space="0" w:color="auto"/>
                                    <w:bottom w:val="none" w:sz="0" w:space="0" w:color="auto"/>
                                    <w:right w:val="none" w:sz="0" w:space="0" w:color="auto"/>
                                  </w:divBdr>
                                  <w:divsChild>
                                    <w:div w:id="1613659811">
                                      <w:marLeft w:val="0"/>
                                      <w:marRight w:val="0"/>
                                      <w:marTop w:val="0"/>
                                      <w:marBottom w:val="0"/>
                                      <w:divBdr>
                                        <w:top w:val="none" w:sz="0" w:space="0" w:color="auto"/>
                                        <w:left w:val="none" w:sz="0" w:space="0" w:color="auto"/>
                                        <w:bottom w:val="none" w:sz="0" w:space="0" w:color="auto"/>
                                        <w:right w:val="none" w:sz="0" w:space="0" w:color="auto"/>
                                      </w:divBdr>
                                      <w:divsChild>
                                        <w:div w:id="354579737">
                                          <w:marLeft w:val="0"/>
                                          <w:marRight w:val="0"/>
                                          <w:marTop w:val="0"/>
                                          <w:marBottom w:val="0"/>
                                          <w:divBdr>
                                            <w:top w:val="none" w:sz="0" w:space="0" w:color="auto"/>
                                            <w:left w:val="none" w:sz="0" w:space="0" w:color="auto"/>
                                            <w:bottom w:val="none" w:sz="0" w:space="0" w:color="auto"/>
                                            <w:right w:val="none" w:sz="0" w:space="0" w:color="auto"/>
                                          </w:divBdr>
                                          <w:divsChild>
                                            <w:div w:id="1519545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0374607">
      <w:bodyDiv w:val="1"/>
      <w:marLeft w:val="0"/>
      <w:marRight w:val="0"/>
      <w:marTop w:val="0"/>
      <w:marBottom w:val="0"/>
      <w:divBdr>
        <w:top w:val="none" w:sz="0" w:space="0" w:color="auto"/>
        <w:left w:val="none" w:sz="0" w:space="0" w:color="auto"/>
        <w:bottom w:val="none" w:sz="0" w:space="0" w:color="auto"/>
        <w:right w:val="none" w:sz="0" w:space="0" w:color="auto"/>
      </w:divBdr>
      <w:divsChild>
        <w:div w:id="1893497232">
          <w:marLeft w:val="0"/>
          <w:marRight w:val="0"/>
          <w:marTop w:val="0"/>
          <w:marBottom w:val="0"/>
          <w:divBdr>
            <w:top w:val="none" w:sz="0" w:space="0" w:color="auto"/>
            <w:left w:val="none" w:sz="0" w:space="0" w:color="auto"/>
            <w:bottom w:val="none" w:sz="0" w:space="0" w:color="auto"/>
            <w:right w:val="none" w:sz="0" w:space="0" w:color="auto"/>
          </w:divBdr>
          <w:divsChild>
            <w:div w:id="22488313">
              <w:marLeft w:val="0"/>
              <w:marRight w:val="0"/>
              <w:marTop w:val="0"/>
              <w:marBottom w:val="0"/>
              <w:divBdr>
                <w:top w:val="none" w:sz="0" w:space="0" w:color="auto"/>
                <w:left w:val="none" w:sz="0" w:space="0" w:color="auto"/>
                <w:bottom w:val="none" w:sz="0" w:space="0" w:color="auto"/>
                <w:right w:val="none" w:sz="0" w:space="0" w:color="auto"/>
              </w:divBdr>
              <w:divsChild>
                <w:div w:id="1172375332">
                  <w:marLeft w:val="0"/>
                  <w:marRight w:val="0"/>
                  <w:marTop w:val="0"/>
                  <w:marBottom w:val="0"/>
                  <w:divBdr>
                    <w:top w:val="none" w:sz="0" w:space="0" w:color="auto"/>
                    <w:left w:val="none" w:sz="0" w:space="0" w:color="auto"/>
                    <w:bottom w:val="none" w:sz="0" w:space="0" w:color="auto"/>
                    <w:right w:val="none" w:sz="0" w:space="0" w:color="auto"/>
                  </w:divBdr>
                  <w:divsChild>
                    <w:div w:id="286547926">
                      <w:marLeft w:val="0"/>
                      <w:marRight w:val="0"/>
                      <w:marTop w:val="0"/>
                      <w:marBottom w:val="0"/>
                      <w:divBdr>
                        <w:top w:val="none" w:sz="0" w:space="0" w:color="auto"/>
                        <w:left w:val="none" w:sz="0" w:space="0" w:color="auto"/>
                        <w:bottom w:val="none" w:sz="0" w:space="0" w:color="auto"/>
                        <w:right w:val="none" w:sz="0" w:space="0" w:color="auto"/>
                      </w:divBdr>
                      <w:divsChild>
                        <w:div w:id="1714310530">
                          <w:marLeft w:val="0"/>
                          <w:marRight w:val="0"/>
                          <w:marTop w:val="0"/>
                          <w:marBottom w:val="0"/>
                          <w:divBdr>
                            <w:top w:val="none" w:sz="0" w:space="0" w:color="auto"/>
                            <w:left w:val="none" w:sz="0" w:space="0" w:color="auto"/>
                            <w:bottom w:val="none" w:sz="0" w:space="0" w:color="auto"/>
                            <w:right w:val="none" w:sz="0" w:space="0" w:color="auto"/>
                          </w:divBdr>
                          <w:divsChild>
                            <w:div w:id="1866672697">
                              <w:marLeft w:val="150"/>
                              <w:marRight w:val="150"/>
                              <w:marTop w:val="150"/>
                              <w:marBottom w:val="150"/>
                              <w:divBdr>
                                <w:top w:val="none" w:sz="0" w:space="0" w:color="auto"/>
                                <w:left w:val="none" w:sz="0" w:space="0" w:color="auto"/>
                                <w:bottom w:val="none" w:sz="0" w:space="0" w:color="auto"/>
                                <w:right w:val="none" w:sz="0" w:space="0" w:color="auto"/>
                              </w:divBdr>
                              <w:divsChild>
                                <w:div w:id="1116633990">
                                  <w:marLeft w:val="0"/>
                                  <w:marRight w:val="0"/>
                                  <w:marTop w:val="0"/>
                                  <w:marBottom w:val="0"/>
                                  <w:divBdr>
                                    <w:top w:val="none" w:sz="0" w:space="0" w:color="auto"/>
                                    <w:left w:val="none" w:sz="0" w:space="0" w:color="auto"/>
                                    <w:bottom w:val="none" w:sz="0" w:space="0" w:color="auto"/>
                                    <w:right w:val="none" w:sz="0" w:space="0" w:color="auto"/>
                                  </w:divBdr>
                                  <w:divsChild>
                                    <w:div w:id="1841122715">
                                      <w:marLeft w:val="0"/>
                                      <w:marRight w:val="0"/>
                                      <w:marTop w:val="0"/>
                                      <w:marBottom w:val="0"/>
                                      <w:divBdr>
                                        <w:top w:val="none" w:sz="0" w:space="0" w:color="auto"/>
                                        <w:left w:val="none" w:sz="0" w:space="0" w:color="auto"/>
                                        <w:bottom w:val="none" w:sz="0" w:space="0" w:color="auto"/>
                                        <w:right w:val="none" w:sz="0" w:space="0" w:color="auto"/>
                                      </w:divBdr>
                                      <w:divsChild>
                                        <w:div w:id="971056907">
                                          <w:marLeft w:val="0"/>
                                          <w:marRight w:val="0"/>
                                          <w:marTop w:val="0"/>
                                          <w:marBottom w:val="0"/>
                                          <w:divBdr>
                                            <w:top w:val="none" w:sz="0" w:space="0" w:color="auto"/>
                                            <w:left w:val="none" w:sz="0" w:space="0" w:color="auto"/>
                                            <w:bottom w:val="none" w:sz="0" w:space="0" w:color="auto"/>
                                            <w:right w:val="none" w:sz="0" w:space="0" w:color="auto"/>
                                          </w:divBdr>
                                          <w:divsChild>
                                            <w:div w:id="102775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1074969">
      <w:bodyDiv w:val="1"/>
      <w:marLeft w:val="0"/>
      <w:marRight w:val="0"/>
      <w:marTop w:val="0"/>
      <w:marBottom w:val="0"/>
      <w:divBdr>
        <w:top w:val="none" w:sz="0" w:space="0" w:color="auto"/>
        <w:left w:val="none" w:sz="0" w:space="0" w:color="auto"/>
        <w:bottom w:val="none" w:sz="0" w:space="0" w:color="auto"/>
        <w:right w:val="none" w:sz="0" w:space="0" w:color="auto"/>
      </w:divBdr>
    </w:div>
    <w:div w:id="1057320643">
      <w:bodyDiv w:val="1"/>
      <w:marLeft w:val="0"/>
      <w:marRight w:val="0"/>
      <w:marTop w:val="0"/>
      <w:marBottom w:val="0"/>
      <w:divBdr>
        <w:top w:val="none" w:sz="0" w:space="0" w:color="auto"/>
        <w:left w:val="none" w:sz="0" w:space="0" w:color="auto"/>
        <w:bottom w:val="none" w:sz="0" w:space="0" w:color="auto"/>
        <w:right w:val="none" w:sz="0" w:space="0" w:color="auto"/>
      </w:divBdr>
      <w:divsChild>
        <w:div w:id="425808063">
          <w:marLeft w:val="0"/>
          <w:marRight w:val="0"/>
          <w:marTop w:val="0"/>
          <w:marBottom w:val="0"/>
          <w:divBdr>
            <w:top w:val="none" w:sz="0" w:space="0" w:color="auto"/>
            <w:left w:val="none" w:sz="0" w:space="0" w:color="auto"/>
            <w:bottom w:val="none" w:sz="0" w:space="0" w:color="auto"/>
            <w:right w:val="none" w:sz="0" w:space="0" w:color="auto"/>
          </w:divBdr>
          <w:divsChild>
            <w:div w:id="279728698">
              <w:marLeft w:val="0"/>
              <w:marRight w:val="0"/>
              <w:marTop w:val="0"/>
              <w:marBottom w:val="0"/>
              <w:divBdr>
                <w:top w:val="none" w:sz="0" w:space="0" w:color="auto"/>
                <w:left w:val="none" w:sz="0" w:space="0" w:color="auto"/>
                <w:bottom w:val="none" w:sz="0" w:space="0" w:color="auto"/>
                <w:right w:val="none" w:sz="0" w:space="0" w:color="auto"/>
              </w:divBdr>
              <w:divsChild>
                <w:div w:id="1210848858">
                  <w:marLeft w:val="4200"/>
                  <w:marRight w:val="0"/>
                  <w:marTop w:val="0"/>
                  <w:marBottom w:val="0"/>
                  <w:divBdr>
                    <w:top w:val="none" w:sz="0" w:space="0" w:color="auto"/>
                    <w:left w:val="none" w:sz="0" w:space="0" w:color="auto"/>
                    <w:bottom w:val="none" w:sz="0" w:space="0" w:color="auto"/>
                    <w:right w:val="none" w:sz="0" w:space="0" w:color="auto"/>
                  </w:divBdr>
                  <w:divsChild>
                    <w:div w:id="1496872126">
                      <w:marLeft w:val="0"/>
                      <w:marRight w:val="0"/>
                      <w:marTop w:val="0"/>
                      <w:marBottom w:val="0"/>
                      <w:divBdr>
                        <w:top w:val="none" w:sz="0" w:space="0" w:color="auto"/>
                        <w:left w:val="none" w:sz="0" w:space="0" w:color="auto"/>
                        <w:bottom w:val="none" w:sz="0" w:space="0" w:color="auto"/>
                        <w:right w:val="none" w:sz="0" w:space="0" w:color="auto"/>
                      </w:divBdr>
                      <w:divsChild>
                        <w:div w:id="1862015664">
                          <w:marLeft w:val="0"/>
                          <w:marRight w:val="0"/>
                          <w:marTop w:val="0"/>
                          <w:marBottom w:val="0"/>
                          <w:divBdr>
                            <w:top w:val="none" w:sz="0" w:space="0" w:color="auto"/>
                            <w:left w:val="none" w:sz="0" w:space="0" w:color="auto"/>
                            <w:bottom w:val="none" w:sz="0" w:space="0" w:color="auto"/>
                            <w:right w:val="none" w:sz="0" w:space="0" w:color="auto"/>
                          </w:divBdr>
                          <w:divsChild>
                            <w:div w:id="357894020">
                              <w:marLeft w:val="0"/>
                              <w:marRight w:val="0"/>
                              <w:marTop w:val="0"/>
                              <w:marBottom w:val="0"/>
                              <w:divBdr>
                                <w:top w:val="none" w:sz="0" w:space="0" w:color="auto"/>
                                <w:left w:val="none" w:sz="0" w:space="0" w:color="auto"/>
                                <w:bottom w:val="none" w:sz="0" w:space="0" w:color="auto"/>
                                <w:right w:val="none" w:sz="0" w:space="0" w:color="auto"/>
                              </w:divBdr>
                              <w:divsChild>
                                <w:div w:id="1123307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70035526">
      <w:bodyDiv w:val="1"/>
      <w:marLeft w:val="0"/>
      <w:marRight w:val="0"/>
      <w:marTop w:val="0"/>
      <w:marBottom w:val="0"/>
      <w:divBdr>
        <w:top w:val="none" w:sz="0" w:space="0" w:color="auto"/>
        <w:left w:val="none" w:sz="0" w:space="0" w:color="auto"/>
        <w:bottom w:val="none" w:sz="0" w:space="0" w:color="auto"/>
        <w:right w:val="none" w:sz="0" w:space="0" w:color="auto"/>
      </w:divBdr>
      <w:divsChild>
        <w:div w:id="1021972025">
          <w:marLeft w:val="0"/>
          <w:marRight w:val="0"/>
          <w:marTop w:val="0"/>
          <w:marBottom w:val="0"/>
          <w:divBdr>
            <w:top w:val="none" w:sz="0" w:space="0" w:color="auto"/>
            <w:left w:val="none" w:sz="0" w:space="0" w:color="auto"/>
            <w:bottom w:val="none" w:sz="0" w:space="0" w:color="auto"/>
            <w:right w:val="none" w:sz="0" w:space="0" w:color="auto"/>
          </w:divBdr>
          <w:divsChild>
            <w:div w:id="1539321123">
              <w:marLeft w:val="0"/>
              <w:marRight w:val="0"/>
              <w:marTop w:val="0"/>
              <w:marBottom w:val="0"/>
              <w:divBdr>
                <w:top w:val="none" w:sz="0" w:space="0" w:color="auto"/>
                <w:left w:val="none" w:sz="0" w:space="0" w:color="auto"/>
                <w:bottom w:val="none" w:sz="0" w:space="0" w:color="auto"/>
                <w:right w:val="none" w:sz="0" w:space="0" w:color="auto"/>
              </w:divBdr>
              <w:divsChild>
                <w:div w:id="1538741163">
                  <w:marLeft w:val="0"/>
                  <w:marRight w:val="0"/>
                  <w:marTop w:val="0"/>
                  <w:marBottom w:val="0"/>
                  <w:divBdr>
                    <w:top w:val="none" w:sz="0" w:space="0" w:color="auto"/>
                    <w:left w:val="none" w:sz="0" w:space="0" w:color="auto"/>
                    <w:bottom w:val="none" w:sz="0" w:space="0" w:color="auto"/>
                    <w:right w:val="none" w:sz="0" w:space="0" w:color="auto"/>
                  </w:divBdr>
                  <w:divsChild>
                    <w:div w:id="1906143205">
                      <w:marLeft w:val="0"/>
                      <w:marRight w:val="0"/>
                      <w:marTop w:val="0"/>
                      <w:marBottom w:val="0"/>
                      <w:divBdr>
                        <w:top w:val="none" w:sz="0" w:space="0" w:color="auto"/>
                        <w:left w:val="none" w:sz="0" w:space="0" w:color="auto"/>
                        <w:bottom w:val="none" w:sz="0" w:space="0" w:color="auto"/>
                        <w:right w:val="none" w:sz="0" w:space="0" w:color="auto"/>
                      </w:divBdr>
                      <w:divsChild>
                        <w:div w:id="526143697">
                          <w:marLeft w:val="0"/>
                          <w:marRight w:val="0"/>
                          <w:marTop w:val="0"/>
                          <w:marBottom w:val="0"/>
                          <w:divBdr>
                            <w:top w:val="none" w:sz="0" w:space="0" w:color="auto"/>
                            <w:left w:val="none" w:sz="0" w:space="0" w:color="auto"/>
                            <w:bottom w:val="none" w:sz="0" w:space="0" w:color="auto"/>
                            <w:right w:val="none" w:sz="0" w:space="0" w:color="auto"/>
                          </w:divBdr>
                          <w:divsChild>
                            <w:div w:id="887649009">
                              <w:marLeft w:val="150"/>
                              <w:marRight w:val="150"/>
                              <w:marTop w:val="150"/>
                              <w:marBottom w:val="150"/>
                              <w:divBdr>
                                <w:top w:val="none" w:sz="0" w:space="0" w:color="auto"/>
                                <w:left w:val="none" w:sz="0" w:space="0" w:color="auto"/>
                                <w:bottom w:val="none" w:sz="0" w:space="0" w:color="auto"/>
                                <w:right w:val="none" w:sz="0" w:space="0" w:color="auto"/>
                              </w:divBdr>
                              <w:divsChild>
                                <w:div w:id="1561015868">
                                  <w:marLeft w:val="0"/>
                                  <w:marRight w:val="0"/>
                                  <w:marTop w:val="0"/>
                                  <w:marBottom w:val="0"/>
                                  <w:divBdr>
                                    <w:top w:val="none" w:sz="0" w:space="0" w:color="auto"/>
                                    <w:left w:val="none" w:sz="0" w:space="0" w:color="auto"/>
                                    <w:bottom w:val="none" w:sz="0" w:space="0" w:color="auto"/>
                                    <w:right w:val="none" w:sz="0" w:space="0" w:color="auto"/>
                                  </w:divBdr>
                                  <w:divsChild>
                                    <w:div w:id="1736971841">
                                      <w:marLeft w:val="0"/>
                                      <w:marRight w:val="0"/>
                                      <w:marTop w:val="0"/>
                                      <w:marBottom w:val="0"/>
                                      <w:divBdr>
                                        <w:top w:val="none" w:sz="0" w:space="0" w:color="auto"/>
                                        <w:left w:val="none" w:sz="0" w:space="0" w:color="auto"/>
                                        <w:bottom w:val="none" w:sz="0" w:space="0" w:color="auto"/>
                                        <w:right w:val="none" w:sz="0" w:space="0" w:color="auto"/>
                                      </w:divBdr>
                                      <w:divsChild>
                                        <w:div w:id="2006088312">
                                          <w:marLeft w:val="0"/>
                                          <w:marRight w:val="0"/>
                                          <w:marTop w:val="0"/>
                                          <w:marBottom w:val="0"/>
                                          <w:divBdr>
                                            <w:top w:val="none" w:sz="0" w:space="0" w:color="auto"/>
                                            <w:left w:val="none" w:sz="0" w:space="0" w:color="auto"/>
                                            <w:bottom w:val="none" w:sz="0" w:space="0" w:color="auto"/>
                                            <w:right w:val="none" w:sz="0" w:space="0" w:color="auto"/>
                                          </w:divBdr>
                                          <w:divsChild>
                                            <w:div w:id="1332830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01535031">
      <w:bodyDiv w:val="1"/>
      <w:marLeft w:val="0"/>
      <w:marRight w:val="0"/>
      <w:marTop w:val="0"/>
      <w:marBottom w:val="0"/>
      <w:divBdr>
        <w:top w:val="none" w:sz="0" w:space="0" w:color="auto"/>
        <w:left w:val="none" w:sz="0" w:space="0" w:color="auto"/>
        <w:bottom w:val="none" w:sz="0" w:space="0" w:color="auto"/>
        <w:right w:val="none" w:sz="0" w:space="0" w:color="auto"/>
      </w:divBdr>
      <w:divsChild>
        <w:div w:id="1239514162">
          <w:marLeft w:val="0"/>
          <w:marRight w:val="0"/>
          <w:marTop w:val="0"/>
          <w:marBottom w:val="0"/>
          <w:divBdr>
            <w:top w:val="none" w:sz="0" w:space="0" w:color="auto"/>
            <w:left w:val="none" w:sz="0" w:space="0" w:color="auto"/>
            <w:bottom w:val="none" w:sz="0" w:space="0" w:color="auto"/>
            <w:right w:val="none" w:sz="0" w:space="0" w:color="auto"/>
          </w:divBdr>
          <w:divsChild>
            <w:div w:id="1434475345">
              <w:marLeft w:val="0"/>
              <w:marRight w:val="0"/>
              <w:marTop w:val="0"/>
              <w:marBottom w:val="0"/>
              <w:divBdr>
                <w:top w:val="none" w:sz="0" w:space="0" w:color="auto"/>
                <w:left w:val="none" w:sz="0" w:space="0" w:color="auto"/>
                <w:bottom w:val="none" w:sz="0" w:space="0" w:color="auto"/>
                <w:right w:val="none" w:sz="0" w:space="0" w:color="auto"/>
              </w:divBdr>
              <w:divsChild>
                <w:div w:id="1165821611">
                  <w:marLeft w:val="4935"/>
                  <w:marRight w:val="0"/>
                  <w:marTop w:val="0"/>
                  <w:marBottom w:val="0"/>
                  <w:divBdr>
                    <w:top w:val="none" w:sz="0" w:space="0" w:color="auto"/>
                    <w:left w:val="none" w:sz="0" w:space="0" w:color="auto"/>
                    <w:bottom w:val="none" w:sz="0" w:space="0" w:color="auto"/>
                    <w:right w:val="none" w:sz="0" w:space="0" w:color="auto"/>
                  </w:divBdr>
                  <w:divsChild>
                    <w:div w:id="1314989477">
                      <w:marLeft w:val="0"/>
                      <w:marRight w:val="0"/>
                      <w:marTop w:val="0"/>
                      <w:marBottom w:val="0"/>
                      <w:divBdr>
                        <w:top w:val="none" w:sz="0" w:space="0" w:color="auto"/>
                        <w:left w:val="none" w:sz="0" w:space="0" w:color="auto"/>
                        <w:bottom w:val="none" w:sz="0" w:space="0" w:color="auto"/>
                        <w:right w:val="none" w:sz="0" w:space="0" w:color="auto"/>
                      </w:divBdr>
                      <w:divsChild>
                        <w:div w:id="989167013">
                          <w:marLeft w:val="0"/>
                          <w:marRight w:val="0"/>
                          <w:marTop w:val="0"/>
                          <w:marBottom w:val="0"/>
                          <w:divBdr>
                            <w:top w:val="none" w:sz="0" w:space="0" w:color="auto"/>
                            <w:left w:val="none" w:sz="0" w:space="0" w:color="auto"/>
                            <w:bottom w:val="none" w:sz="0" w:space="0" w:color="auto"/>
                            <w:right w:val="none" w:sz="0" w:space="0" w:color="auto"/>
                          </w:divBdr>
                          <w:divsChild>
                            <w:div w:id="1058017880">
                              <w:marLeft w:val="0"/>
                              <w:marRight w:val="0"/>
                              <w:marTop w:val="0"/>
                              <w:marBottom w:val="0"/>
                              <w:divBdr>
                                <w:top w:val="none" w:sz="0" w:space="0" w:color="auto"/>
                                <w:left w:val="none" w:sz="0" w:space="0" w:color="auto"/>
                                <w:bottom w:val="none" w:sz="0" w:space="0" w:color="auto"/>
                                <w:right w:val="none" w:sz="0" w:space="0" w:color="auto"/>
                              </w:divBdr>
                              <w:divsChild>
                                <w:div w:id="1656061045">
                                  <w:marLeft w:val="0"/>
                                  <w:marRight w:val="0"/>
                                  <w:marTop w:val="0"/>
                                  <w:marBottom w:val="0"/>
                                  <w:divBdr>
                                    <w:top w:val="none" w:sz="0" w:space="0" w:color="auto"/>
                                    <w:left w:val="none" w:sz="0" w:space="0" w:color="auto"/>
                                    <w:bottom w:val="none" w:sz="0" w:space="0" w:color="auto"/>
                                    <w:right w:val="none" w:sz="0" w:space="0" w:color="auto"/>
                                  </w:divBdr>
                                  <w:divsChild>
                                    <w:div w:id="741021487">
                                      <w:marLeft w:val="0"/>
                                      <w:marRight w:val="0"/>
                                      <w:marTop w:val="0"/>
                                      <w:marBottom w:val="0"/>
                                      <w:divBdr>
                                        <w:top w:val="none" w:sz="0" w:space="0" w:color="auto"/>
                                        <w:left w:val="none" w:sz="0" w:space="0" w:color="auto"/>
                                        <w:bottom w:val="none" w:sz="0" w:space="0" w:color="auto"/>
                                        <w:right w:val="none" w:sz="0" w:space="0" w:color="auto"/>
                                      </w:divBdr>
                                      <w:divsChild>
                                        <w:div w:id="2054231192">
                                          <w:marLeft w:val="0"/>
                                          <w:marRight w:val="0"/>
                                          <w:marTop w:val="0"/>
                                          <w:marBottom w:val="0"/>
                                          <w:divBdr>
                                            <w:top w:val="none" w:sz="0" w:space="0" w:color="auto"/>
                                            <w:left w:val="none" w:sz="0" w:space="0" w:color="auto"/>
                                            <w:bottom w:val="none" w:sz="0" w:space="0" w:color="auto"/>
                                            <w:right w:val="none" w:sz="0" w:space="0" w:color="auto"/>
                                          </w:divBdr>
                                          <w:divsChild>
                                            <w:div w:id="1938370146">
                                              <w:marLeft w:val="0"/>
                                              <w:marRight w:val="0"/>
                                              <w:marTop w:val="0"/>
                                              <w:marBottom w:val="0"/>
                                              <w:divBdr>
                                                <w:top w:val="none" w:sz="0" w:space="0" w:color="auto"/>
                                                <w:left w:val="none" w:sz="0" w:space="0" w:color="auto"/>
                                                <w:bottom w:val="none" w:sz="0" w:space="0" w:color="auto"/>
                                                <w:right w:val="none" w:sz="0" w:space="0" w:color="auto"/>
                                              </w:divBdr>
                                              <w:divsChild>
                                                <w:div w:id="1007829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03501898">
      <w:bodyDiv w:val="1"/>
      <w:marLeft w:val="0"/>
      <w:marRight w:val="0"/>
      <w:marTop w:val="0"/>
      <w:marBottom w:val="0"/>
      <w:divBdr>
        <w:top w:val="none" w:sz="0" w:space="0" w:color="auto"/>
        <w:left w:val="none" w:sz="0" w:space="0" w:color="auto"/>
        <w:bottom w:val="none" w:sz="0" w:space="0" w:color="auto"/>
        <w:right w:val="none" w:sz="0" w:space="0" w:color="auto"/>
      </w:divBdr>
    </w:div>
    <w:div w:id="1105080797">
      <w:bodyDiv w:val="1"/>
      <w:marLeft w:val="0"/>
      <w:marRight w:val="0"/>
      <w:marTop w:val="0"/>
      <w:marBottom w:val="0"/>
      <w:divBdr>
        <w:top w:val="none" w:sz="0" w:space="0" w:color="auto"/>
        <w:left w:val="none" w:sz="0" w:space="0" w:color="auto"/>
        <w:bottom w:val="none" w:sz="0" w:space="0" w:color="auto"/>
        <w:right w:val="none" w:sz="0" w:space="0" w:color="auto"/>
      </w:divBdr>
      <w:divsChild>
        <w:div w:id="59063752">
          <w:marLeft w:val="0"/>
          <w:marRight w:val="0"/>
          <w:marTop w:val="0"/>
          <w:marBottom w:val="0"/>
          <w:divBdr>
            <w:top w:val="none" w:sz="0" w:space="0" w:color="auto"/>
            <w:left w:val="none" w:sz="0" w:space="0" w:color="auto"/>
            <w:bottom w:val="none" w:sz="0" w:space="0" w:color="auto"/>
            <w:right w:val="none" w:sz="0" w:space="0" w:color="auto"/>
          </w:divBdr>
          <w:divsChild>
            <w:div w:id="1731727394">
              <w:marLeft w:val="0"/>
              <w:marRight w:val="0"/>
              <w:marTop w:val="0"/>
              <w:marBottom w:val="0"/>
              <w:divBdr>
                <w:top w:val="none" w:sz="0" w:space="0" w:color="auto"/>
                <w:left w:val="none" w:sz="0" w:space="0" w:color="auto"/>
                <w:bottom w:val="none" w:sz="0" w:space="0" w:color="auto"/>
                <w:right w:val="none" w:sz="0" w:space="0" w:color="auto"/>
              </w:divBdr>
              <w:divsChild>
                <w:div w:id="460881888">
                  <w:marLeft w:val="4200"/>
                  <w:marRight w:val="0"/>
                  <w:marTop w:val="0"/>
                  <w:marBottom w:val="0"/>
                  <w:divBdr>
                    <w:top w:val="none" w:sz="0" w:space="0" w:color="auto"/>
                    <w:left w:val="none" w:sz="0" w:space="0" w:color="auto"/>
                    <w:bottom w:val="none" w:sz="0" w:space="0" w:color="auto"/>
                    <w:right w:val="none" w:sz="0" w:space="0" w:color="auto"/>
                  </w:divBdr>
                  <w:divsChild>
                    <w:div w:id="1512262618">
                      <w:marLeft w:val="0"/>
                      <w:marRight w:val="0"/>
                      <w:marTop w:val="0"/>
                      <w:marBottom w:val="0"/>
                      <w:divBdr>
                        <w:top w:val="none" w:sz="0" w:space="0" w:color="auto"/>
                        <w:left w:val="none" w:sz="0" w:space="0" w:color="auto"/>
                        <w:bottom w:val="none" w:sz="0" w:space="0" w:color="auto"/>
                        <w:right w:val="none" w:sz="0" w:space="0" w:color="auto"/>
                      </w:divBdr>
                      <w:divsChild>
                        <w:div w:id="805899767">
                          <w:marLeft w:val="0"/>
                          <w:marRight w:val="0"/>
                          <w:marTop w:val="0"/>
                          <w:marBottom w:val="0"/>
                          <w:divBdr>
                            <w:top w:val="none" w:sz="0" w:space="0" w:color="auto"/>
                            <w:left w:val="none" w:sz="0" w:space="0" w:color="auto"/>
                            <w:bottom w:val="none" w:sz="0" w:space="0" w:color="auto"/>
                            <w:right w:val="none" w:sz="0" w:space="0" w:color="auto"/>
                          </w:divBdr>
                          <w:divsChild>
                            <w:div w:id="787622519">
                              <w:marLeft w:val="0"/>
                              <w:marRight w:val="0"/>
                              <w:marTop w:val="0"/>
                              <w:marBottom w:val="0"/>
                              <w:divBdr>
                                <w:top w:val="none" w:sz="0" w:space="0" w:color="auto"/>
                                <w:left w:val="none" w:sz="0" w:space="0" w:color="auto"/>
                                <w:bottom w:val="none" w:sz="0" w:space="0" w:color="auto"/>
                                <w:right w:val="none" w:sz="0" w:space="0" w:color="auto"/>
                              </w:divBdr>
                              <w:divsChild>
                                <w:div w:id="61568673">
                                  <w:marLeft w:val="0"/>
                                  <w:marRight w:val="0"/>
                                  <w:marTop w:val="0"/>
                                  <w:marBottom w:val="0"/>
                                  <w:divBdr>
                                    <w:top w:val="none" w:sz="0" w:space="0" w:color="auto"/>
                                    <w:left w:val="none" w:sz="0" w:space="0" w:color="auto"/>
                                    <w:bottom w:val="none" w:sz="0" w:space="0" w:color="auto"/>
                                    <w:right w:val="none" w:sz="0" w:space="0" w:color="auto"/>
                                  </w:divBdr>
                                  <w:divsChild>
                                    <w:div w:id="445077684">
                                      <w:marLeft w:val="0"/>
                                      <w:marRight w:val="0"/>
                                      <w:marTop w:val="0"/>
                                      <w:marBottom w:val="0"/>
                                      <w:divBdr>
                                        <w:top w:val="none" w:sz="0" w:space="0" w:color="auto"/>
                                        <w:left w:val="none" w:sz="0" w:space="0" w:color="auto"/>
                                        <w:bottom w:val="none" w:sz="0" w:space="0" w:color="auto"/>
                                        <w:right w:val="none" w:sz="0" w:space="0" w:color="auto"/>
                                      </w:divBdr>
                                      <w:divsChild>
                                        <w:div w:id="407464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14137282">
      <w:bodyDiv w:val="1"/>
      <w:marLeft w:val="0"/>
      <w:marRight w:val="0"/>
      <w:marTop w:val="0"/>
      <w:marBottom w:val="0"/>
      <w:divBdr>
        <w:top w:val="none" w:sz="0" w:space="0" w:color="auto"/>
        <w:left w:val="none" w:sz="0" w:space="0" w:color="auto"/>
        <w:bottom w:val="none" w:sz="0" w:space="0" w:color="auto"/>
        <w:right w:val="none" w:sz="0" w:space="0" w:color="auto"/>
      </w:divBdr>
      <w:divsChild>
        <w:div w:id="484786939">
          <w:marLeft w:val="0"/>
          <w:marRight w:val="0"/>
          <w:marTop w:val="0"/>
          <w:marBottom w:val="0"/>
          <w:divBdr>
            <w:top w:val="none" w:sz="0" w:space="0" w:color="auto"/>
            <w:left w:val="none" w:sz="0" w:space="0" w:color="auto"/>
            <w:bottom w:val="none" w:sz="0" w:space="0" w:color="auto"/>
            <w:right w:val="none" w:sz="0" w:space="0" w:color="auto"/>
          </w:divBdr>
          <w:divsChild>
            <w:div w:id="7218840">
              <w:marLeft w:val="0"/>
              <w:marRight w:val="0"/>
              <w:marTop w:val="0"/>
              <w:marBottom w:val="0"/>
              <w:divBdr>
                <w:top w:val="none" w:sz="0" w:space="0" w:color="auto"/>
                <w:left w:val="none" w:sz="0" w:space="0" w:color="auto"/>
                <w:bottom w:val="none" w:sz="0" w:space="0" w:color="auto"/>
                <w:right w:val="none" w:sz="0" w:space="0" w:color="auto"/>
              </w:divBdr>
              <w:divsChild>
                <w:div w:id="2032291966">
                  <w:marLeft w:val="4935"/>
                  <w:marRight w:val="0"/>
                  <w:marTop w:val="0"/>
                  <w:marBottom w:val="0"/>
                  <w:divBdr>
                    <w:top w:val="none" w:sz="0" w:space="0" w:color="auto"/>
                    <w:left w:val="none" w:sz="0" w:space="0" w:color="auto"/>
                    <w:bottom w:val="none" w:sz="0" w:space="0" w:color="auto"/>
                    <w:right w:val="none" w:sz="0" w:space="0" w:color="auto"/>
                  </w:divBdr>
                  <w:divsChild>
                    <w:div w:id="1871600996">
                      <w:marLeft w:val="0"/>
                      <w:marRight w:val="0"/>
                      <w:marTop w:val="0"/>
                      <w:marBottom w:val="0"/>
                      <w:divBdr>
                        <w:top w:val="none" w:sz="0" w:space="0" w:color="auto"/>
                        <w:left w:val="none" w:sz="0" w:space="0" w:color="auto"/>
                        <w:bottom w:val="none" w:sz="0" w:space="0" w:color="auto"/>
                        <w:right w:val="none" w:sz="0" w:space="0" w:color="auto"/>
                      </w:divBdr>
                      <w:divsChild>
                        <w:div w:id="596057413">
                          <w:marLeft w:val="0"/>
                          <w:marRight w:val="0"/>
                          <w:marTop w:val="0"/>
                          <w:marBottom w:val="0"/>
                          <w:divBdr>
                            <w:top w:val="none" w:sz="0" w:space="0" w:color="auto"/>
                            <w:left w:val="none" w:sz="0" w:space="0" w:color="auto"/>
                            <w:bottom w:val="none" w:sz="0" w:space="0" w:color="auto"/>
                            <w:right w:val="none" w:sz="0" w:space="0" w:color="auto"/>
                          </w:divBdr>
                          <w:divsChild>
                            <w:div w:id="433791356">
                              <w:marLeft w:val="0"/>
                              <w:marRight w:val="0"/>
                              <w:marTop w:val="0"/>
                              <w:marBottom w:val="0"/>
                              <w:divBdr>
                                <w:top w:val="none" w:sz="0" w:space="0" w:color="auto"/>
                                <w:left w:val="none" w:sz="0" w:space="0" w:color="auto"/>
                                <w:bottom w:val="none" w:sz="0" w:space="0" w:color="auto"/>
                                <w:right w:val="none" w:sz="0" w:space="0" w:color="auto"/>
                              </w:divBdr>
                              <w:divsChild>
                                <w:div w:id="1638946889">
                                  <w:marLeft w:val="0"/>
                                  <w:marRight w:val="0"/>
                                  <w:marTop w:val="0"/>
                                  <w:marBottom w:val="0"/>
                                  <w:divBdr>
                                    <w:top w:val="none" w:sz="0" w:space="0" w:color="auto"/>
                                    <w:left w:val="none" w:sz="0" w:space="0" w:color="auto"/>
                                    <w:bottom w:val="none" w:sz="0" w:space="0" w:color="auto"/>
                                    <w:right w:val="none" w:sz="0" w:space="0" w:color="auto"/>
                                  </w:divBdr>
                                  <w:divsChild>
                                    <w:div w:id="362483715">
                                      <w:marLeft w:val="0"/>
                                      <w:marRight w:val="0"/>
                                      <w:marTop w:val="0"/>
                                      <w:marBottom w:val="0"/>
                                      <w:divBdr>
                                        <w:top w:val="none" w:sz="0" w:space="0" w:color="auto"/>
                                        <w:left w:val="none" w:sz="0" w:space="0" w:color="auto"/>
                                        <w:bottom w:val="none" w:sz="0" w:space="0" w:color="auto"/>
                                        <w:right w:val="none" w:sz="0" w:space="0" w:color="auto"/>
                                      </w:divBdr>
                                      <w:divsChild>
                                        <w:div w:id="486823899">
                                          <w:marLeft w:val="0"/>
                                          <w:marRight w:val="0"/>
                                          <w:marTop w:val="0"/>
                                          <w:marBottom w:val="0"/>
                                          <w:divBdr>
                                            <w:top w:val="none" w:sz="0" w:space="0" w:color="auto"/>
                                            <w:left w:val="none" w:sz="0" w:space="0" w:color="auto"/>
                                            <w:bottom w:val="none" w:sz="0" w:space="0" w:color="auto"/>
                                            <w:right w:val="none" w:sz="0" w:space="0" w:color="auto"/>
                                          </w:divBdr>
                                          <w:divsChild>
                                            <w:div w:id="1298099962">
                                              <w:marLeft w:val="0"/>
                                              <w:marRight w:val="0"/>
                                              <w:marTop w:val="0"/>
                                              <w:marBottom w:val="0"/>
                                              <w:divBdr>
                                                <w:top w:val="none" w:sz="0" w:space="0" w:color="auto"/>
                                                <w:left w:val="none" w:sz="0" w:space="0" w:color="auto"/>
                                                <w:bottom w:val="none" w:sz="0" w:space="0" w:color="auto"/>
                                                <w:right w:val="none" w:sz="0" w:space="0" w:color="auto"/>
                                              </w:divBdr>
                                              <w:divsChild>
                                                <w:div w:id="1814443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20108102">
      <w:bodyDiv w:val="1"/>
      <w:marLeft w:val="0"/>
      <w:marRight w:val="0"/>
      <w:marTop w:val="0"/>
      <w:marBottom w:val="0"/>
      <w:divBdr>
        <w:top w:val="none" w:sz="0" w:space="0" w:color="auto"/>
        <w:left w:val="none" w:sz="0" w:space="0" w:color="auto"/>
        <w:bottom w:val="none" w:sz="0" w:space="0" w:color="auto"/>
        <w:right w:val="none" w:sz="0" w:space="0" w:color="auto"/>
      </w:divBdr>
      <w:divsChild>
        <w:div w:id="1620406238">
          <w:marLeft w:val="0"/>
          <w:marRight w:val="0"/>
          <w:marTop w:val="0"/>
          <w:marBottom w:val="0"/>
          <w:divBdr>
            <w:top w:val="none" w:sz="0" w:space="0" w:color="auto"/>
            <w:left w:val="none" w:sz="0" w:space="0" w:color="auto"/>
            <w:bottom w:val="none" w:sz="0" w:space="0" w:color="auto"/>
            <w:right w:val="none" w:sz="0" w:space="0" w:color="auto"/>
          </w:divBdr>
          <w:divsChild>
            <w:div w:id="1809084746">
              <w:marLeft w:val="0"/>
              <w:marRight w:val="0"/>
              <w:marTop w:val="0"/>
              <w:marBottom w:val="0"/>
              <w:divBdr>
                <w:top w:val="none" w:sz="0" w:space="0" w:color="auto"/>
                <w:left w:val="none" w:sz="0" w:space="0" w:color="auto"/>
                <w:bottom w:val="none" w:sz="0" w:space="0" w:color="auto"/>
                <w:right w:val="none" w:sz="0" w:space="0" w:color="auto"/>
              </w:divBdr>
              <w:divsChild>
                <w:div w:id="1664311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919428">
      <w:bodyDiv w:val="1"/>
      <w:marLeft w:val="0"/>
      <w:marRight w:val="0"/>
      <w:marTop w:val="0"/>
      <w:marBottom w:val="0"/>
      <w:divBdr>
        <w:top w:val="none" w:sz="0" w:space="0" w:color="auto"/>
        <w:left w:val="none" w:sz="0" w:space="0" w:color="auto"/>
        <w:bottom w:val="none" w:sz="0" w:space="0" w:color="auto"/>
        <w:right w:val="none" w:sz="0" w:space="0" w:color="auto"/>
      </w:divBdr>
      <w:divsChild>
        <w:div w:id="1834956288">
          <w:marLeft w:val="0"/>
          <w:marRight w:val="0"/>
          <w:marTop w:val="0"/>
          <w:marBottom w:val="0"/>
          <w:divBdr>
            <w:top w:val="none" w:sz="0" w:space="0" w:color="auto"/>
            <w:left w:val="none" w:sz="0" w:space="0" w:color="auto"/>
            <w:bottom w:val="none" w:sz="0" w:space="0" w:color="auto"/>
            <w:right w:val="none" w:sz="0" w:space="0" w:color="auto"/>
          </w:divBdr>
          <w:divsChild>
            <w:div w:id="1146313130">
              <w:marLeft w:val="0"/>
              <w:marRight w:val="0"/>
              <w:marTop w:val="0"/>
              <w:marBottom w:val="0"/>
              <w:divBdr>
                <w:top w:val="none" w:sz="0" w:space="0" w:color="auto"/>
                <w:left w:val="none" w:sz="0" w:space="0" w:color="auto"/>
                <w:bottom w:val="none" w:sz="0" w:space="0" w:color="auto"/>
                <w:right w:val="none" w:sz="0" w:space="0" w:color="auto"/>
              </w:divBdr>
              <w:divsChild>
                <w:div w:id="919024792">
                  <w:marLeft w:val="4200"/>
                  <w:marRight w:val="0"/>
                  <w:marTop w:val="0"/>
                  <w:marBottom w:val="0"/>
                  <w:divBdr>
                    <w:top w:val="none" w:sz="0" w:space="0" w:color="auto"/>
                    <w:left w:val="none" w:sz="0" w:space="0" w:color="auto"/>
                    <w:bottom w:val="none" w:sz="0" w:space="0" w:color="auto"/>
                    <w:right w:val="none" w:sz="0" w:space="0" w:color="auto"/>
                  </w:divBdr>
                  <w:divsChild>
                    <w:div w:id="1630745265">
                      <w:marLeft w:val="0"/>
                      <w:marRight w:val="0"/>
                      <w:marTop w:val="0"/>
                      <w:marBottom w:val="0"/>
                      <w:divBdr>
                        <w:top w:val="none" w:sz="0" w:space="0" w:color="auto"/>
                        <w:left w:val="none" w:sz="0" w:space="0" w:color="auto"/>
                        <w:bottom w:val="none" w:sz="0" w:space="0" w:color="auto"/>
                        <w:right w:val="none" w:sz="0" w:space="0" w:color="auto"/>
                      </w:divBdr>
                      <w:divsChild>
                        <w:div w:id="1936093591">
                          <w:marLeft w:val="0"/>
                          <w:marRight w:val="0"/>
                          <w:marTop w:val="0"/>
                          <w:marBottom w:val="0"/>
                          <w:divBdr>
                            <w:top w:val="none" w:sz="0" w:space="0" w:color="auto"/>
                            <w:left w:val="none" w:sz="0" w:space="0" w:color="auto"/>
                            <w:bottom w:val="none" w:sz="0" w:space="0" w:color="auto"/>
                            <w:right w:val="none" w:sz="0" w:space="0" w:color="auto"/>
                          </w:divBdr>
                          <w:divsChild>
                            <w:div w:id="1234924682">
                              <w:marLeft w:val="0"/>
                              <w:marRight w:val="0"/>
                              <w:marTop w:val="0"/>
                              <w:marBottom w:val="0"/>
                              <w:divBdr>
                                <w:top w:val="none" w:sz="0" w:space="0" w:color="auto"/>
                                <w:left w:val="none" w:sz="0" w:space="0" w:color="auto"/>
                                <w:bottom w:val="none" w:sz="0" w:space="0" w:color="auto"/>
                                <w:right w:val="none" w:sz="0" w:space="0" w:color="auto"/>
                              </w:divBdr>
                              <w:divsChild>
                                <w:div w:id="1538737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25729950">
      <w:bodyDiv w:val="1"/>
      <w:marLeft w:val="0"/>
      <w:marRight w:val="0"/>
      <w:marTop w:val="0"/>
      <w:marBottom w:val="0"/>
      <w:divBdr>
        <w:top w:val="none" w:sz="0" w:space="0" w:color="auto"/>
        <w:left w:val="none" w:sz="0" w:space="0" w:color="auto"/>
        <w:bottom w:val="none" w:sz="0" w:space="0" w:color="auto"/>
        <w:right w:val="none" w:sz="0" w:space="0" w:color="auto"/>
      </w:divBdr>
    </w:div>
    <w:div w:id="1133134848">
      <w:bodyDiv w:val="1"/>
      <w:marLeft w:val="0"/>
      <w:marRight w:val="0"/>
      <w:marTop w:val="0"/>
      <w:marBottom w:val="0"/>
      <w:divBdr>
        <w:top w:val="none" w:sz="0" w:space="0" w:color="auto"/>
        <w:left w:val="none" w:sz="0" w:space="0" w:color="auto"/>
        <w:bottom w:val="none" w:sz="0" w:space="0" w:color="auto"/>
        <w:right w:val="none" w:sz="0" w:space="0" w:color="auto"/>
      </w:divBdr>
      <w:divsChild>
        <w:div w:id="1817337727">
          <w:marLeft w:val="0"/>
          <w:marRight w:val="0"/>
          <w:marTop w:val="0"/>
          <w:marBottom w:val="0"/>
          <w:divBdr>
            <w:top w:val="none" w:sz="0" w:space="0" w:color="auto"/>
            <w:left w:val="none" w:sz="0" w:space="0" w:color="auto"/>
            <w:bottom w:val="none" w:sz="0" w:space="0" w:color="auto"/>
            <w:right w:val="none" w:sz="0" w:space="0" w:color="auto"/>
          </w:divBdr>
        </w:div>
        <w:div w:id="900480430">
          <w:marLeft w:val="0"/>
          <w:marRight w:val="0"/>
          <w:marTop w:val="0"/>
          <w:marBottom w:val="0"/>
          <w:divBdr>
            <w:top w:val="none" w:sz="0" w:space="0" w:color="auto"/>
            <w:left w:val="none" w:sz="0" w:space="0" w:color="auto"/>
            <w:bottom w:val="none" w:sz="0" w:space="0" w:color="auto"/>
            <w:right w:val="none" w:sz="0" w:space="0" w:color="auto"/>
          </w:divBdr>
        </w:div>
      </w:divsChild>
    </w:div>
    <w:div w:id="1146624028">
      <w:bodyDiv w:val="1"/>
      <w:marLeft w:val="0"/>
      <w:marRight w:val="0"/>
      <w:marTop w:val="0"/>
      <w:marBottom w:val="0"/>
      <w:divBdr>
        <w:top w:val="none" w:sz="0" w:space="0" w:color="auto"/>
        <w:left w:val="none" w:sz="0" w:space="0" w:color="auto"/>
        <w:bottom w:val="none" w:sz="0" w:space="0" w:color="auto"/>
        <w:right w:val="none" w:sz="0" w:space="0" w:color="auto"/>
      </w:divBdr>
    </w:div>
    <w:div w:id="1148866064">
      <w:bodyDiv w:val="1"/>
      <w:marLeft w:val="0"/>
      <w:marRight w:val="0"/>
      <w:marTop w:val="0"/>
      <w:marBottom w:val="0"/>
      <w:divBdr>
        <w:top w:val="none" w:sz="0" w:space="0" w:color="auto"/>
        <w:left w:val="none" w:sz="0" w:space="0" w:color="auto"/>
        <w:bottom w:val="none" w:sz="0" w:space="0" w:color="auto"/>
        <w:right w:val="none" w:sz="0" w:space="0" w:color="auto"/>
      </w:divBdr>
    </w:div>
    <w:div w:id="1152218643">
      <w:bodyDiv w:val="1"/>
      <w:marLeft w:val="0"/>
      <w:marRight w:val="0"/>
      <w:marTop w:val="0"/>
      <w:marBottom w:val="0"/>
      <w:divBdr>
        <w:top w:val="none" w:sz="0" w:space="0" w:color="auto"/>
        <w:left w:val="none" w:sz="0" w:space="0" w:color="auto"/>
        <w:bottom w:val="none" w:sz="0" w:space="0" w:color="auto"/>
        <w:right w:val="none" w:sz="0" w:space="0" w:color="auto"/>
      </w:divBdr>
      <w:divsChild>
        <w:div w:id="1165316607">
          <w:marLeft w:val="0"/>
          <w:marRight w:val="0"/>
          <w:marTop w:val="0"/>
          <w:marBottom w:val="0"/>
          <w:divBdr>
            <w:top w:val="none" w:sz="0" w:space="0" w:color="auto"/>
            <w:left w:val="none" w:sz="0" w:space="0" w:color="auto"/>
            <w:bottom w:val="none" w:sz="0" w:space="0" w:color="auto"/>
            <w:right w:val="none" w:sz="0" w:space="0" w:color="auto"/>
          </w:divBdr>
          <w:divsChild>
            <w:div w:id="980382720">
              <w:marLeft w:val="0"/>
              <w:marRight w:val="0"/>
              <w:marTop w:val="0"/>
              <w:marBottom w:val="0"/>
              <w:divBdr>
                <w:top w:val="none" w:sz="0" w:space="0" w:color="auto"/>
                <w:left w:val="none" w:sz="0" w:space="0" w:color="auto"/>
                <w:bottom w:val="none" w:sz="0" w:space="0" w:color="auto"/>
                <w:right w:val="none" w:sz="0" w:space="0" w:color="auto"/>
              </w:divBdr>
              <w:divsChild>
                <w:div w:id="1092968116">
                  <w:marLeft w:val="0"/>
                  <w:marRight w:val="0"/>
                  <w:marTop w:val="0"/>
                  <w:marBottom w:val="0"/>
                  <w:divBdr>
                    <w:top w:val="none" w:sz="0" w:space="0" w:color="auto"/>
                    <w:left w:val="none" w:sz="0" w:space="0" w:color="auto"/>
                    <w:bottom w:val="none" w:sz="0" w:space="0" w:color="auto"/>
                    <w:right w:val="none" w:sz="0" w:space="0" w:color="auto"/>
                  </w:divBdr>
                  <w:divsChild>
                    <w:div w:id="1154567815">
                      <w:marLeft w:val="0"/>
                      <w:marRight w:val="0"/>
                      <w:marTop w:val="0"/>
                      <w:marBottom w:val="0"/>
                      <w:divBdr>
                        <w:top w:val="none" w:sz="0" w:space="0" w:color="auto"/>
                        <w:left w:val="none" w:sz="0" w:space="0" w:color="auto"/>
                        <w:bottom w:val="none" w:sz="0" w:space="0" w:color="auto"/>
                        <w:right w:val="none" w:sz="0" w:space="0" w:color="auto"/>
                      </w:divBdr>
                      <w:divsChild>
                        <w:div w:id="1058551840">
                          <w:marLeft w:val="0"/>
                          <w:marRight w:val="0"/>
                          <w:marTop w:val="0"/>
                          <w:marBottom w:val="0"/>
                          <w:divBdr>
                            <w:top w:val="none" w:sz="0" w:space="0" w:color="auto"/>
                            <w:left w:val="none" w:sz="0" w:space="0" w:color="auto"/>
                            <w:bottom w:val="none" w:sz="0" w:space="0" w:color="auto"/>
                            <w:right w:val="none" w:sz="0" w:space="0" w:color="auto"/>
                          </w:divBdr>
                          <w:divsChild>
                            <w:div w:id="2121991270">
                              <w:marLeft w:val="150"/>
                              <w:marRight w:val="150"/>
                              <w:marTop w:val="150"/>
                              <w:marBottom w:val="150"/>
                              <w:divBdr>
                                <w:top w:val="none" w:sz="0" w:space="0" w:color="auto"/>
                                <w:left w:val="none" w:sz="0" w:space="0" w:color="auto"/>
                                <w:bottom w:val="none" w:sz="0" w:space="0" w:color="auto"/>
                                <w:right w:val="none" w:sz="0" w:space="0" w:color="auto"/>
                              </w:divBdr>
                              <w:divsChild>
                                <w:div w:id="528103541">
                                  <w:marLeft w:val="0"/>
                                  <w:marRight w:val="0"/>
                                  <w:marTop w:val="0"/>
                                  <w:marBottom w:val="0"/>
                                  <w:divBdr>
                                    <w:top w:val="none" w:sz="0" w:space="0" w:color="auto"/>
                                    <w:left w:val="none" w:sz="0" w:space="0" w:color="auto"/>
                                    <w:bottom w:val="none" w:sz="0" w:space="0" w:color="auto"/>
                                    <w:right w:val="none" w:sz="0" w:space="0" w:color="auto"/>
                                  </w:divBdr>
                                  <w:divsChild>
                                    <w:div w:id="1369794935">
                                      <w:marLeft w:val="0"/>
                                      <w:marRight w:val="0"/>
                                      <w:marTop w:val="0"/>
                                      <w:marBottom w:val="0"/>
                                      <w:divBdr>
                                        <w:top w:val="none" w:sz="0" w:space="0" w:color="auto"/>
                                        <w:left w:val="none" w:sz="0" w:space="0" w:color="auto"/>
                                        <w:bottom w:val="none" w:sz="0" w:space="0" w:color="auto"/>
                                        <w:right w:val="none" w:sz="0" w:space="0" w:color="auto"/>
                                      </w:divBdr>
                                      <w:divsChild>
                                        <w:div w:id="1438940831">
                                          <w:marLeft w:val="0"/>
                                          <w:marRight w:val="0"/>
                                          <w:marTop w:val="0"/>
                                          <w:marBottom w:val="0"/>
                                          <w:divBdr>
                                            <w:top w:val="none" w:sz="0" w:space="0" w:color="auto"/>
                                            <w:left w:val="none" w:sz="0" w:space="0" w:color="auto"/>
                                            <w:bottom w:val="none" w:sz="0" w:space="0" w:color="auto"/>
                                            <w:right w:val="none" w:sz="0" w:space="0" w:color="auto"/>
                                          </w:divBdr>
                                          <w:divsChild>
                                            <w:div w:id="58864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54033283">
      <w:bodyDiv w:val="1"/>
      <w:marLeft w:val="0"/>
      <w:marRight w:val="0"/>
      <w:marTop w:val="0"/>
      <w:marBottom w:val="0"/>
      <w:divBdr>
        <w:top w:val="none" w:sz="0" w:space="0" w:color="auto"/>
        <w:left w:val="none" w:sz="0" w:space="0" w:color="auto"/>
        <w:bottom w:val="none" w:sz="0" w:space="0" w:color="auto"/>
        <w:right w:val="none" w:sz="0" w:space="0" w:color="auto"/>
      </w:divBdr>
    </w:div>
    <w:div w:id="1167011689">
      <w:bodyDiv w:val="1"/>
      <w:marLeft w:val="0"/>
      <w:marRight w:val="0"/>
      <w:marTop w:val="0"/>
      <w:marBottom w:val="0"/>
      <w:divBdr>
        <w:top w:val="none" w:sz="0" w:space="0" w:color="auto"/>
        <w:left w:val="none" w:sz="0" w:space="0" w:color="auto"/>
        <w:bottom w:val="none" w:sz="0" w:space="0" w:color="auto"/>
        <w:right w:val="none" w:sz="0" w:space="0" w:color="auto"/>
      </w:divBdr>
    </w:div>
    <w:div w:id="1171682513">
      <w:bodyDiv w:val="1"/>
      <w:marLeft w:val="0"/>
      <w:marRight w:val="0"/>
      <w:marTop w:val="0"/>
      <w:marBottom w:val="0"/>
      <w:divBdr>
        <w:top w:val="none" w:sz="0" w:space="0" w:color="auto"/>
        <w:left w:val="none" w:sz="0" w:space="0" w:color="auto"/>
        <w:bottom w:val="none" w:sz="0" w:space="0" w:color="auto"/>
        <w:right w:val="none" w:sz="0" w:space="0" w:color="auto"/>
      </w:divBdr>
    </w:div>
    <w:div w:id="1179345862">
      <w:bodyDiv w:val="1"/>
      <w:marLeft w:val="0"/>
      <w:marRight w:val="0"/>
      <w:marTop w:val="0"/>
      <w:marBottom w:val="0"/>
      <w:divBdr>
        <w:top w:val="none" w:sz="0" w:space="0" w:color="auto"/>
        <w:left w:val="none" w:sz="0" w:space="0" w:color="auto"/>
        <w:bottom w:val="none" w:sz="0" w:space="0" w:color="auto"/>
        <w:right w:val="none" w:sz="0" w:space="0" w:color="auto"/>
      </w:divBdr>
      <w:divsChild>
        <w:div w:id="1060523165">
          <w:marLeft w:val="0"/>
          <w:marRight w:val="0"/>
          <w:marTop w:val="0"/>
          <w:marBottom w:val="0"/>
          <w:divBdr>
            <w:top w:val="none" w:sz="0" w:space="0" w:color="auto"/>
            <w:left w:val="none" w:sz="0" w:space="0" w:color="auto"/>
            <w:bottom w:val="none" w:sz="0" w:space="0" w:color="auto"/>
            <w:right w:val="none" w:sz="0" w:space="0" w:color="auto"/>
          </w:divBdr>
          <w:divsChild>
            <w:div w:id="1192301674">
              <w:marLeft w:val="0"/>
              <w:marRight w:val="0"/>
              <w:marTop w:val="0"/>
              <w:marBottom w:val="0"/>
              <w:divBdr>
                <w:top w:val="none" w:sz="0" w:space="0" w:color="auto"/>
                <w:left w:val="none" w:sz="0" w:space="0" w:color="auto"/>
                <w:bottom w:val="none" w:sz="0" w:space="0" w:color="auto"/>
                <w:right w:val="none" w:sz="0" w:space="0" w:color="auto"/>
              </w:divBdr>
              <w:divsChild>
                <w:div w:id="609822137">
                  <w:marLeft w:val="3360"/>
                  <w:marRight w:val="0"/>
                  <w:marTop w:val="0"/>
                  <w:marBottom w:val="0"/>
                  <w:divBdr>
                    <w:top w:val="none" w:sz="0" w:space="0" w:color="auto"/>
                    <w:left w:val="none" w:sz="0" w:space="0" w:color="auto"/>
                    <w:bottom w:val="none" w:sz="0" w:space="0" w:color="auto"/>
                    <w:right w:val="none" w:sz="0" w:space="0" w:color="auto"/>
                  </w:divBdr>
                  <w:divsChild>
                    <w:div w:id="2049839166">
                      <w:marLeft w:val="0"/>
                      <w:marRight w:val="0"/>
                      <w:marTop w:val="0"/>
                      <w:marBottom w:val="0"/>
                      <w:divBdr>
                        <w:top w:val="none" w:sz="0" w:space="0" w:color="auto"/>
                        <w:left w:val="none" w:sz="0" w:space="0" w:color="auto"/>
                        <w:bottom w:val="none" w:sz="0" w:space="0" w:color="auto"/>
                        <w:right w:val="none" w:sz="0" w:space="0" w:color="auto"/>
                      </w:divBdr>
                      <w:divsChild>
                        <w:div w:id="1286497904">
                          <w:marLeft w:val="0"/>
                          <w:marRight w:val="0"/>
                          <w:marTop w:val="0"/>
                          <w:marBottom w:val="0"/>
                          <w:divBdr>
                            <w:top w:val="none" w:sz="0" w:space="0" w:color="auto"/>
                            <w:left w:val="none" w:sz="0" w:space="0" w:color="auto"/>
                            <w:bottom w:val="none" w:sz="0" w:space="0" w:color="auto"/>
                            <w:right w:val="none" w:sz="0" w:space="0" w:color="auto"/>
                          </w:divBdr>
                          <w:divsChild>
                            <w:div w:id="915238701">
                              <w:marLeft w:val="0"/>
                              <w:marRight w:val="0"/>
                              <w:marTop w:val="0"/>
                              <w:marBottom w:val="0"/>
                              <w:divBdr>
                                <w:top w:val="none" w:sz="0" w:space="0" w:color="auto"/>
                                <w:left w:val="none" w:sz="0" w:space="0" w:color="auto"/>
                                <w:bottom w:val="none" w:sz="0" w:space="0" w:color="auto"/>
                                <w:right w:val="none" w:sz="0" w:space="0" w:color="auto"/>
                              </w:divBdr>
                              <w:divsChild>
                                <w:div w:id="2000497425">
                                  <w:marLeft w:val="0"/>
                                  <w:marRight w:val="0"/>
                                  <w:marTop w:val="0"/>
                                  <w:marBottom w:val="0"/>
                                  <w:divBdr>
                                    <w:top w:val="none" w:sz="0" w:space="0" w:color="auto"/>
                                    <w:left w:val="none" w:sz="0" w:space="0" w:color="auto"/>
                                    <w:bottom w:val="none" w:sz="0" w:space="0" w:color="auto"/>
                                    <w:right w:val="none" w:sz="0" w:space="0" w:color="auto"/>
                                  </w:divBdr>
                                  <w:divsChild>
                                    <w:div w:id="1612978574">
                                      <w:marLeft w:val="0"/>
                                      <w:marRight w:val="0"/>
                                      <w:marTop w:val="0"/>
                                      <w:marBottom w:val="0"/>
                                      <w:divBdr>
                                        <w:top w:val="none" w:sz="0" w:space="0" w:color="auto"/>
                                        <w:left w:val="none" w:sz="0" w:space="0" w:color="auto"/>
                                        <w:bottom w:val="none" w:sz="0" w:space="0" w:color="auto"/>
                                        <w:right w:val="none" w:sz="0" w:space="0" w:color="auto"/>
                                      </w:divBdr>
                                      <w:divsChild>
                                        <w:div w:id="932788030">
                                          <w:marLeft w:val="0"/>
                                          <w:marRight w:val="0"/>
                                          <w:marTop w:val="0"/>
                                          <w:marBottom w:val="0"/>
                                          <w:divBdr>
                                            <w:top w:val="none" w:sz="0" w:space="0" w:color="auto"/>
                                            <w:left w:val="none" w:sz="0" w:space="0" w:color="auto"/>
                                            <w:bottom w:val="none" w:sz="0" w:space="0" w:color="auto"/>
                                            <w:right w:val="none" w:sz="0" w:space="0" w:color="auto"/>
                                          </w:divBdr>
                                          <w:divsChild>
                                            <w:div w:id="542063615">
                                              <w:marLeft w:val="0"/>
                                              <w:marRight w:val="0"/>
                                              <w:marTop w:val="0"/>
                                              <w:marBottom w:val="0"/>
                                              <w:divBdr>
                                                <w:top w:val="none" w:sz="0" w:space="0" w:color="auto"/>
                                                <w:left w:val="none" w:sz="0" w:space="0" w:color="auto"/>
                                                <w:bottom w:val="none" w:sz="0" w:space="0" w:color="auto"/>
                                                <w:right w:val="none" w:sz="0" w:space="0" w:color="auto"/>
                                              </w:divBdr>
                                            </w:div>
                                            <w:div w:id="141432115">
                                              <w:marLeft w:val="0"/>
                                              <w:marRight w:val="0"/>
                                              <w:marTop w:val="0"/>
                                              <w:marBottom w:val="0"/>
                                              <w:divBdr>
                                                <w:top w:val="none" w:sz="0" w:space="0" w:color="auto"/>
                                                <w:left w:val="none" w:sz="0" w:space="0" w:color="auto"/>
                                                <w:bottom w:val="none" w:sz="0" w:space="0" w:color="auto"/>
                                                <w:right w:val="none" w:sz="0" w:space="0" w:color="auto"/>
                                              </w:divBdr>
                                            </w:div>
                                            <w:div w:id="1741830114">
                                              <w:marLeft w:val="0"/>
                                              <w:marRight w:val="0"/>
                                              <w:marTop w:val="0"/>
                                              <w:marBottom w:val="0"/>
                                              <w:divBdr>
                                                <w:top w:val="none" w:sz="0" w:space="0" w:color="auto"/>
                                                <w:left w:val="none" w:sz="0" w:space="0" w:color="auto"/>
                                                <w:bottom w:val="none" w:sz="0" w:space="0" w:color="auto"/>
                                                <w:right w:val="none" w:sz="0" w:space="0" w:color="auto"/>
                                              </w:divBdr>
                                            </w:div>
                                            <w:div w:id="26276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81431610">
      <w:bodyDiv w:val="1"/>
      <w:marLeft w:val="0"/>
      <w:marRight w:val="0"/>
      <w:marTop w:val="0"/>
      <w:marBottom w:val="0"/>
      <w:divBdr>
        <w:top w:val="none" w:sz="0" w:space="0" w:color="auto"/>
        <w:left w:val="none" w:sz="0" w:space="0" w:color="auto"/>
        <w:bottom w:val="none" w:sz="0" w:space="0" w:color="auto"/>
        <w:right w:val="none" w:sz="0" w:space="0" w:color="auto"/>
      </w:divBdr>
      <w:divsChild>
        <w:div w:id="13727417">
          <w:marLeft w:val="547"/>
          <w:marRight w:val="0"/>
          <w:marTop w:val="192"/>
          <w:marBottom w:val="0"/>
          <w:divBdr>
            <w:top w:val="none" w:sz="0" w:space="0" w:color="auto"/>
            <w:left w:val="none" w:sz="0" w:space="0" w:color="auto"/>
            <w:bottom w:val="none" w:sz="0" w:space="0" w:color="auto"/>
            <w:right w:val="none" w:sz="0" w:space="0" w:color="auto"/>
          </w:divBdr>
        </w:div>
        <w:div w:id="160200319">
          <w:marLeft w:val="922"/>
          <w:marRight w:val="0"/>
          <w:marTop w:val="115"/>
          <w:marBottom w:val="0"/>
          <w:divBdr>
            <w:top w:val="none" w:sz="0" w:space="0" w:color="auto"/>
            <w:left w:val="none" w:sz="0" w:space="0" w:color="auto"/>
            <w:bottom w:val="none" w:sz="0" w:space="0" w:color="auto"/>
            <w:right w:val="none" w:sz="0" w:space="0" w:color="auto"/>
          </w:divBdr>
        </w:div>
        <w:div w:id="433478442">
          <w:marLeft w:val="547"/>
          <w:marRight w:val="0"/>
          <w:marTop w:val="192"/>
          <w:marBottom w:val="0"/>
          <w:divBdr>
            <w:top w:val="none" w:sz="0" w:space="0" w:color="auto"/>
            <w:left w:val="none" w:sz="0" w:space="0" w:color="auto"/>
            <w:bottom w:val="none" w:sz="0" w:space="0" w:color="auto"/>
            <w:right w:val="none" w:sz="0" w:space="0" w:color="auto"/>
          </w:divBdr>
        </w:div>
        <w:div w:id="653946198">
          <w:marLeft w:val="1267"/>
          <w:marRight w:val="0"/>
          <w:marTop w:val="115"/>
          <w:marBottom w:val="0"/>
          <w:divBdr>
            <w:top w:val="none" w:sz="0" w:space="0" w:color="auto"/>
            <w:left w:val="none" w:sz="0" w:space="0" w:color="auto"/>
            <w:bottom w:val="none" w:sz="0" w:space="0" w:color="auto"/>
            <w:right w:val="none" w:sz="0" w:space="0" w:color="auto"/>
          </w:divBdr>
        </w:div>
        <w:div w:id="912161824">
          <w:marLeft w:val="1267"/>
          <w:marRight w:val="0"/>
          <w:marTop w:val="115"/>
          <w:marBottom w:val="0"/>
          <w:divBdr>
            <w:top w:val="none" w:sz="0" w:space="0" w:color="auto"/>
            <w:left w:val="none" w:sz="0" w:space="0" w:color="auto"/>
            <w:bottom w:val="none" w:sz="0" w:space="0" w:color="auto"/>
            <w:right w:val="none" w:sz="0" w:space="0" w:color="auto"/>
          </w:divBdr>
        </w:div>
        <w:div w:id="920674264">
          <w:marLeft w:val="547"/>
          <w:marRight w:val="0"/>
          <w:marTop w:val="192"/>
          <w:marBottom w:val="0"/>
          <w:divBdr>
            <w:top w:val="none" w:sz="0" w:space="0" w:color="auto"/>
            <w:left w:val="none" w:sz="0" w:space="0" w:color="auto"/>
            <w:bottom w:val="none" w:sz="0" w:space="0" w:color="auto"/>
            <w:right w:val="none" w:sz="0" w:space="0" w:color="auto"/>
          </w:divBdr>
        </w:div>
        <w:div w:id="1045452128">
          <w:marLeft w:val="922"/>
          <w:marRight w:val="0"/>
          <w:marTop w:val="115"/>
          <w:marBottom w:val="0"/>
          <w:divBdr>
            <w:top w:val="none" w:sz="0" w:space="0" w:color="auto"/>
            <w:left w:val="none" w:sz="0" w:space="0" w:color="auto"/>
            <w:bottom w:val="none" w:sz="0" w:space="0" w:color="auto"/>
            <w:right w:val="none" w:sz="0" w:space="0" w:color="auto"/>
          </w:divBdr>
        </w:div>
        <w:div w:id="1330211034">
          <w:marLeft w:val="1267"/>
          <w:marRight w:val="0"/>
          <w:marTop w:val="115"/>
          <w:marBottom w:val="0"/>
          <w:divBdr>
            <w:top w:val="none" w:sz="0" w:space="0" w:color="auto"/>
            <w:left w:val="none" w:sz="0" w:space="0" w:color="auto"/>
            <w:bottom w:val="none" w:sz="0" w:space="0" w:color="auto"/>
            <w:right w:val="none" w:sz="0" w:space="0" w:color="auto"/>
          </w:divBdr>
        </w:div>
        <w:div w:id="1693264040">
          <w:marLeft w:val="922"/>
          <w:marRight w:val="0"/>
          <w:marTop w:val="115"/>
          <w:marBottom w:val="0"/>
          <w:divBdr>
            <w:top w:val="none" w:sz="0" w:space="0" w:color="auto"/>
            <w:left w:val="none" w:sz="0" w:space="0" w:color="auto"/>
            <w:bottom w:val="none" w:sz="0" w:space="0" w:color="auto"/>
            <w:right w:val="none" w:sz="0" w:space="0" w:color="auto"/>
          </w:divBdr>
        </w:div>
        <w:div w:id="2086798592">
          <w:marLeft w:val="922"/>
          <w:marRight w:val="0"/>
          <w:marTop w:val="115"/>
          <w:marBottom w:val="0"/>
          <w:divBdr>
            <w:top w:val="none" w:sz="0" w:space="0" w:color="auto"/>
            <w:left w:val="none" w:sz="0" w:space="0" w:color="auto"/>
            <w:bottom w:val="none" w:sz="0" w:space="0" w:color="auto"/>
            <w:right w:val="none" w:sz="0" w:space="0" w:color="auto"/>
          </w:divBdr>
        </w:div>
      </w:divsChild>
    </w:div>
    <w:div w:id="1192305732">
      <w:bodyDiv w:val="1"/>
      <w:marLeft w:val="0"/>
      <w:marRight w:val="0"/>
      <w:marTop w:val="0"/>
      <w:marBottom w:val="0"/>
      <w:divBdr>
        <w:top w:val="none" w:sz="0" w:space="0" w:color="auto"/>
        <w:left w:val="none" w:sz="0" w:space="0" w:color="auto"/>
        <w:bottom w:val="none" w:sz="0" w:space="0" w:color="auto"/>
        <w:right w:val="none" w:sz="0" w:space="0" w:color="auto"/>
      </w:divBdr>
      <w:divsChild>
        <w:div w:id="422847032">
          <w:marLeft w:val="0"/>
          <w:marRight w:val="0"/>
          <w:marTop w:val="0"/>
          <w:marBottom w:val="0"/>
          <w:divBdr>
            <w:top w:val="none" w:sz="0" w:space="0" w:color="auto"/>
            <w:left w:val="none" w:sz="0" w:space="0" w:color="auto"/>
            <w:bottom w:val="none" w:sz="0" w:space="0" w:color="auto"/>
            <w:right w:val="none" w:sz="0" w:space="0" w:color="auto"/>
          </w:divBdr>
          <w:divsChild>
            <w:div w:id="1226256124">
              <w:marLeft w:val="0"/>
              <w:marRight w:val="0"/>
              <w:marTop w:val="0"/>
              <w:marBottom w:val="0"/>
              <w:divBdr>
                <w:top w:val="none" w:sz="0" w:space="0" w:color="auto"/>
                <w:left w:val="none" w:sz="0" w:space="0" w:color="auto"/>
                <w:bottom w:val="none" w:sz="0" w:space="0" w:color="auto"/>
                <w:right w:val="none" w:sz="0" w:space="0" w:color="auto"/>
              </w:divBdr>
              <w:divsChild>
                <w:div w:id="1150906318">
                  <w:marLeft w:val="4935"/>
                  <w:marRight w:val="0"/>
                  <w:marTop w:val="0"/>
                  <w:marBottom w:val="0"/>
                  <w:divBdr>
                    <w:top w:val="none" w:sz="0" w:space="0" w:color="auto"/>
                    <w:left w:val="none" w:sz="0" w:space="0" w:color="auto"/>
                    <w:bottom w:val="none" w:sz="0" w:space="0" w:color="auto"/>
                    <w:right w:val="none" w:sz="0" w:space="0" w:color="auto"/>
                  </w:divBdr>
                  <w:divsChild>
                    <w:div w:id="1452093952">
                      <w:marLeft w:val="0"/>
                      <w:marRight w:val="0"/>
                      <w:marTop w:val="0"/>
                      <w:marBottom w:val="0"/>
                      <w:divBdr>
                        <w:top w:val="none" w:sz="0" w:space="0" w:color="auto"/>
                        <w:left w:val="none" w:sz="0" w:space="0" w:color="auto"/>
                        <w:bottom w:val="none" w:sz="0" w:space="0" w:color="auto"/>
                        <w:right w:val="none" w:sz="0" w:space="0" w:color="auto"/>
                      </w:divBdr>
                      <w:divsChild>
                        <w:div w:id="1325208693">
                          <w:marLeft w:val="0"/>
                          <w:marRight w:val="0"/>
                          <w:marTop w:val="0"/>
                          <w:marBottom w:val="0"/>
                          <w:divBdr>
                            <w:top w:val="none" w:sz="0" w:space="0" w:color="auto"/>
                            <w:left w:val="none" w:sz="0" w:space="0" w:color="auto"/>
                            <w:bottom w:val="none" w:sz="0" w:space="0" w:color="auto"/>
                            <w:right w:val="none" w:sz="0" w:space="0" w:color="auto"/>
                          </w:divBdr>
                          <w:divsChild>
                            <w:div w:id="1608541990">
                              <w:marLeft w:val="0"/>
                              <w:marRight w:val="0"/>
                              <w:marTop w:val="0"/>
                              <w:marBottom w:val="0"/>
                              <w:divBdr>
                                <w:top w:val="none" w:sz="0" w:space="0" w:color="auto"/>
                                <w:left w:val="none" w:sz="0" w:space="0" w:color="auto"/>
                                <w:bottom w:val="none" w:sz="0" w:space="0" w:color="auto"/>
                                <w:right w:val="none" w:sz="0" w:space="0" w:color="auto"/>
                              </w:divBdr>
                              <w:divsChild>
                                <w:div w:id="1534420041">
                                  <w:marLeft w:val="0"/>
                                  <w:marRight w:val="0"/>
                                  <w:marTop w:val="0"/>
                                  <w:marBottom w:val="0"/>
                                  <w:divBdr>
                                    <w:top w:val="none" w:sz="0" w:space="0" w:color="auto"/>
                                    <w:left w:val="none" w:sz="0" w:space="0" w:color="auto"/>
                                    <w:bottom w:val="none" w:sz="0" w:space="0" w:color="auto"/>
                                    <w:right w:val="none" w:sz="0" w:space="0" w:color="auto"/>
                                  </w:divBdr>
                                  <w:divsChild>
                                    <w:div w:id="657002109">
                                      <w:marLeft w:val="0"/>
                                      <w:marRight w:val="0"/>
                                      <w:marTop w:val="0"/>
                                      <w:marBottom w:val="0"/>
                                      <w:divBdr>
                                        <w:top w:val="none" w:sz="0" w:space="0" w:color="auto"/>
                                        <w:left w:val="none" w:sz="0" w:space="0" w:color="auto"/>
                                        <w:bottom w:val="none" w:sz="0" w:space="0" w:color="auto"/>
                                        <w:right w:val="none" w:sz="0" w:space="0" w:color="auto"/>
                                      </w:divBdr>
                                      <w:divsChild>
                                        <w:div w:id="160437574">
                                          <w:marLeft w:val="0"/>
                                          <w:marRight w:val="0"/>
                                          <w:marTop w:val="0"/>
                                          <w:marBottom w:val="0"/>
                                          <w:divBdr>
                                            <w:top w:val="none" w:sz="0" w:space="0" w:color="auto"/>
                                            <w:left w:val="none" w:sz="0" w:space="0" w:color="auto"/>
                                            <w:bottom w:val="none" w:sz="0" w:space="0" w:color="auto"/>
                                            <w:right w:val="none" w:sz="0" w:space="0" w:color="auto"/>
                                          </w:divBdr>
                                          <w:divsChild>
                                            <w:div w:id="1416131522">
                                              <w:marLeft w:val="0"/>
                                              <w:marRight w:val="0"/>
                                              <w:marTop w:val="0"/>
                                              <w:marBottom w:val="0"/>
                                              <w:divBdr>
                                                <w:top w:val="none" w:sz="0" w:space="0" w:color="auto"/>
                                                <w:left w:val="none" w:sz="0" w:space="0" w:color="auto"/>
                                                <w:bottom w:val="none" w:sz="0" w:space="0" w:color="auto"/>
                                                <w:right w:val="none" w:sz="0" w:space="0" w:color="auto"/>
                                              </w:divBdr>
                                              <w:divsChild>
                                                <w:div w:id="536547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00246079">
      <w:bodyDiv w:val="1"/>
      <w:marLeft w:val="0"/>
      <w:marRight w:val="0"/>
      <w:marTop w:val="0"/>
      <w:marBottom w:val="0"/>
      <w:divBdr>
        <w:top w:val="none" w:sz="0" w:space="0" w:color="auto"/>
        <w:left w:val="none" w:sz="0" w:space="0" w:color="auto"/>
        <w:bottom w:val="none" w:sz="0" w:space="0" w:color="auto"/>
        <w:right w:val="none" w:sz="0" w:space="0" w:color="auto"/>
      </w:divBdr>
    </w:div>
    <w:div w:id="1205366081">
      <w:bodyDiv w:val="1"/>
      <w:marLeft w:val="0"/>
      <w:marRight w:val="0"/>
      <w:marTop w:val="0"/>
      <w:marBottom w:val="0"/>
      <w:divBdr>
        <w:top w:val="none" w:sz="0" w:space="0" w:color="auto"/>
        <w:left w:val="none" w:sz="0" w:space="0" w:color="auto"/>
        <w:bottom w:val="none" w:sz="0" w:space="0" w:color="auto"/>
        <w:right w:val="none" w:sz="0" w:space="0" w:color="auto"/>
      </w:divBdr>
      <w:divsChild>
        <w:div w:id="1956252898">
          <w:marLeft w:val="0"/>
          <w:marRight w:val="0"/>
          <w:marTop w:val="0"/>
          <w:marBottom w:val="0"/>
          <w:divBdr>
            <w:top w:val="none" w:sz="0" w:space="0" w:color="auto"/>
            <w:left w:val="none" w:sz="0" w:space="0" w:color="auto"/>
            <w:bottom w:val="none" w:sz="0" w:space="0" w:color="auto"/>
            <w:right w:val="none" w:sz="0" w:space="0" w:color="auto"/>
          </w:divBdr>
          <w:divsChild>
            <w:div w:id="1523981147">
              <w:marLeft w:val="4"/>
              <w:marRight w:val="4"/>
              <w:marTop w:val="0"/>
              <w:marBottom w:val="0"/>
              <w:divBdr>
                <w:top w:val="none" w:sz="0" w:space="0" w:color="auto"/>
                <w:left w:val="none" w:sz="0" w:space="0" w:color="auto"/>
                <w:bottom w:val="none" w:sz="0" w:space="0" w:color="auto"/>
                <w:right w:val="none" w:sz="0" w:space="0" w:color="auto"/>
              </w:divBdr>
              <w:divsChild>
                <w:div w:id="1855728258">
                  <w:marLeft w:val="0"/>
                  <w:marRight w:val="0"/>
                  <w:marTop w:val="4"/>
                  <w:marBottom w:val="0"/>
                  <w:divBdr>
                    <w:top w:val="none" w:sz="0" w:space="0" w:color="auto"/>
                    <w:left w:val="none" w:sz="0" w:space="0" w:color="auto"/>
                    <w:bottom w:val="none" w:sz="0" w:space="0" w:color="auto"/>
                    <w:right w:val="none" w:sz="0" w:space="0" w:color="auto"/>
                  </w:divBdr>
                  <w:divsChild>
                    <w:div w:id="1815751466">
                      <w:marLeft w:val="0"/>
                      <w:marRight w:val="0"/>
                      <w:marTop w:val="75"/>
                      <w:marBottom w:val="0"/>
                      <w:divBdr>
                        <w:top w:val="none" w:sz="0" w:space="0" w:color="auto"/>
                        <w:left w:val="single" w:sz="36" w:space="11" w:color="89C402"/>
                        <w:bottom w:val="none" w:sz="0" w:space="0" w:color="auto"/>
                        <w:right w:val="none" w:sz="0" w:space="0" w:color="auto"/>
                      </w:divBdr>
                    </w:div>
                  </w:divsChild>
                </w:div>
              </w:divsChild>
            </w:div>
          </w:divsChild>
        </w:div>
      </w:divsChild>
    </w:div>
    <w:div w:id="1213619012">
      <w:bodyDiv w:val="1"/>
      <w:marLeft w:val="0"/>
      <w:marRight w:val="0"/>
      <w:marTop w:val="0"/>
      <w:marBottom w:val="0"/>
      <w:divBdr>
        <w:top w:val="none" w:sz="0" w:space="0" w:color="auto"/>
        <w:left w:val="none" w:sz="0" w:space="0" w:color="auto"/>
        <w:bottom w:val="none" w:sz="0" w:space="0" w:color="auto"/>
        <w:right w:val="none" w:sz="0" w:space="0" w:color="auto"/>
      </w:divBdr>
      <w:divsChild>
        <w:div w:id="1891184275">
          <w:marLeft w:val="0"/>
          <w:marRight w:val="0"/>
          <w:marTop w:val="0"/>
          <w:marBottom w:val="0"/>
          <w:divBdr>
            <w:top w:val="none" w:sz="0" w:space="0" w:color="auto"/>
            <w:left w:val="none" w:sz="0" w:space="0" w:color="auto"/>
            <w:bottom w:val="none" w:sz="0" w:space="0" w:color="auto"/>
            <w:right w:val="none" w:sz="0" w:space="0" w:color="auto"/>
          </w:divBdr>
          <w:divsChild>
            <w:div w:id="538712179">
              <w:marLeft w:val="4"/>
              <w:marRight w:val="4"/>
              <w:marTop w:val="0"/>
              <w:marBottom w:val="0"/>
              <w:divBdr>
                <w:top w:val="none" w:sz="0" w:space="0" w:color="auto"/>
                <w:left w:val="none" w:sz="0" w:space="0" w:color="auto"/>
                <w:bottom w:val="none" w:sz="0" w:space="0" w:color="auto"/>
                <w:right w:val="none" w:sz="0" w:space="0" w:color="auto"/>
              </w:divBdr>
              <w:divsChild>
                <w:div w:id="975185139">
                  <w:marLeft w:val="0"/>
                  <w:marRight w:val="0"/>
                  <w:marTop w:val="4"/>
                  <w:marBottom w:val="0"/>
                  <w:divBdr>
                    <w:top w:val="none" w:sz="0" w:space="0" w:color="auto"/>
                    <w:left w:val="none" w:sz="0" w:space="0" w:color="auto"/>
                    <w:bottom w:val="none" w:sz="0" w:space="0" w:color="auto"/>
                    <w:right w:val="none" w:sz="0" w:space="0" w:color="auto"/>
                  </w:divBdr>
                </w:div>
              </w:divsChild>
            </w:div>
          </w:divsChild>
        </w:div>
      </w:divsChild>
    </w:div>
    <w:div w:id="1220290784">
      <w:bodyDiv w:val="1"/>
      <w:marLeft w:val="0"/>
      <w:marRight w:val="0"/>
      <w:marTop w:val="0"/>
      <w:marBottom w:val="0"/>
      <w:divBdr>
        <w:top w:val="none" w:sz="0" w:space="0" w:color="auto"/>
        <w:left w:val="none" w:sz="0" w:space="0" w:color="auto"/>
        <w:bottom w:val="none" w:sz="0" w:space="0" w:color="auto"/>
        <w:right w:val="none" w:sz="0" w:space="0" w:color="auto"/>
      </w:divBdr>
    </w:div>
    <w:div w:id="1229223653">
      <w:bodyDiv w:val="1"/>
      <w:marLeft w:val="0"/>
      <w:marRight w:val="0"/>
      <w:marTop w:val="0"/>
      <w:marBottom w:val="0"/>
      <w:divBdr>
        <w:top w:val="none" w:sz="0" w:space="0" w:color="auto"/>
        <w:left w:val="none" w:sz="0" w:space="0" w:color="auto"/>
        <w:bottom w:val="none" w:sz="0" w:space="0" w:color="auto"/>
        <w:right w:val="none" w:sz="0" w:space="0" w:color="auto"/>
      </w:divBdr>
      <w:divsChild>
        <w:div w:id="249780402">
          <w:marLeft w:val="0"/>
          <w:marRight w:val="0"/>
          <w:marTop w:val="0"/>
          <w:marBottom w:val="0"/>
          <w:divBdr>
            <w:top w:val="none" w:sz="0" w:space="0" w:color="auto"/>
            <w:left w:val="none" w:sz="0" w:space="0" w:color="auto"/>
            <w:bottom w:val="none" w:sz="0" w:space="0" w:color="auto"/>
            <w:right w:val="none" w:sz="0" w:space="0" w:color="auto"/>
          </w:divBdr>
        </w:div>
      </w:divsChild>
    </w:div>
    <w:div w:id="1287005224">
      <w:bodyDiv w:val="1"/>
      <w:marLeft w:val="0"/>
      <w:marRight w:val="0"/>
      <w:marTop w:val="0"/>
      <w:marBottom w:val="0"/>
      <w:divBdr>
        <w:top w:val="none" w:sz="0" w:space="0" w:color="auto"/>
        <w:left w:val="none" w:sz="0" w:space="0" w:color="auto"/>
        <w:bottom w:val="none" w:sz="0" w:space="0" w:color="auto"/>
        <w:right w:val="none" w:sz="0" w:space="0" w:color="auto"/>
      </w:divBdr>
    </w:div>
    <w:div w:id="1298727139">
      <w:bodyDiv w:val="1"/>
      <w:marLeft w:val="0"/>
      <w:marRight w:val="0"/>
      <w:marTop w:val="0"/>
      <w:marBottom w:val="0"/>
      <w:divBdr>
        <w:top w:val="none" w:sz="0" w:space="0" w:color="auto"/>
        <w:left w:val="none" w:sz="0" w:space="0" w:color="auto"/>
        <w:bottom w:val="none" w:sz="0" w:space="0" w:color="auto"/>
        <w:right w:val="none" w:sz="0" w:space="0" w:color="auto"/>
      </w:divBdr>
    </w:div>
    <w:div w:id="1299143581">
      <w:bodyDiv w:val="1"/>
      <w:marLeft w:val="0"/>
      <w:marRight w:val="0"/>
      <w:marTop w:val="0"/>
      <w:marBottom w:val="0"/>
      <w:divBdr>
        <w:top w:val="none" w:sz="0" w:space="0" w:color="auto"/>
        <w:left w:val="none" w:sz="0" w:space="0" w:color="auto"/>
        <w:bottom w:val="none" w:sz="0" w:space="0" w:color="auto"/>
        <w:right w:val="none" w:sz="0" w:space="0" w:color="auto"/>
      </w:divBdr>
      <w:divsChild>
        <w:div w:id="86267382">
          <w:marLeft w:val="0"/>
          <w:marRight w:val="0"/>
          <w:marTop w:val="0"/>
          <w:marBottom w:val="0"/>
          <w:divBdr>
            <w:top w:val="none" w:sz="0" w:space="0" w:color="auto"/>
            <w:left w:val="none" w:sz="0" w:space="0" w:color="auto"/>
            <w:bottom w:val="none" w:sz="0" w:space="0" w:color="auto"/>
            <w:right w:val="none" w:sz="0" w:space="0" w:color="auto"/>
          </w:divBdr>
          <w:divsChild>
            <w:div w:id="887497994">
              <w:marLeft w:val="4"/>
              <w:marRight w:val="4"/>
              <w:marTop w:val="0"/>
              <w:marBottom w:val="0"/>
              <w:divBdr>
                <w:top w:val="none" w:sz="0" w:space="0" w:color="auto"/>
                <w:left w:val="none" w:sz="0" w:space="0" w:color="auto"/>
                <w:bottom w:val="none" w:sz="0" w:space="0" w:color="auto"/>
                <w:right w:val="none" w:sz="0" w:space="0" w:color="auto"/>
              </w:divBdr>
            </w:div>
          </w:divsChild>
        </w:div>
      </w:divsChild>
    </w:div>
    <w:div w:id="1308391509">
      <w:bodyDiv w:val="1"/>
      <w:marLeft w:val="0"/>
      <w:marRight w:val="0"/>
      <w:marTop w:val="0"/>
      <w:marBottom w:val="0"/>
      <w:divBdr>
        <w:top w:val="none" w:sz="0" w:space="0" w:color="auto"/>
        <w:left w:val="none" w:sz="0" w:space="0" w:color="auto"/>
        <w:bottom w:val="none" w:sz="0" w:space="0" w:color="auto"/>
        <w:right w:val="none" w:sz="0" w:space="0" w:color="auto"/>
      </w:divBdr>
    </w:div>
    <w:div w:id="1329285418">
      <w:bodyDiv w:val="1"/>
      <w:marLeft w:val="0"/>
      <w:marRight w:val="0"/>
      <w:marTop w:val="0"/>
      <w:marBottom w:val="0"/>
      <w:divBdr>
        <w:top w:val="none" w:sz="0" w:space="0" w:color="auto"/>
        <w:left w:val="none" w:sz="0" w:space="0" w:color="auto"/>
        <w:bottom w:val="none" w:sz="0" w:space="0" w:color="auto"/>
        <w:right w:val="none" w:sz="0" w:space="0" w:color="auto"/>
      </w:divBdr>
      <w:divsChild>
        <w:div w:id="891187240">
          <w:marLeft w:val="0"/>
          <w:marRight w:val="0"/>
          <w:marTop w:val="0"/>
          <w:marBottom w:val="0"/>
          <w:divBdr>
            <w:top w:val="none" w:sz="0" w:space="0" w:color="auto"/>
            <w:left w:val="none" w:sz="0" w:space="0" w:color="auto"/>
            <w:bottom w:val="none" w:sz="0" w:space="0" w:color="auto"/>
            <w:right w:val="none" w:sz="0" w:space="0" w:color="auto"/>
          </w:divBdr>
          <w:divsChild>
            <w:div w:id="1073508001">
              <w:marLeft w:val="0"/>
              <w:marRight w:val="0"/>
              <w:marTop w:val="0"/>
              <w:marBottom w:val="0"/>
              <w:divBdr>
                <w:top w:val="none" w:sz="0" w:space="0" w:color="auto"/>
                <w:left w:val="none" w:sz="0" w:space="0" w:color="auto"/>
                <w:bottom w:val="none" w:sz="0" w:space="0" w:color="auto"/>
                <w:right w:val="none" w:sz="0" w:space="0" w:color="auto"/>
              </w:divBdr>
              <w:divsChild>
                <w:div w:id="1482691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6372814">
      <w:bodyDiv w:val="1"/>
      <w:marLeft w:val="0"/>
      <w:marRight w:val="0"/>
      <w:marTop w:val="0"/>
      <w:marBottom w:val="0"/>
      <w:divBdr>
        <w:top w:val="none" w:sz="0" w:space="0" w:color="auto"/>
        <w:left w:val="none" w:sz="0" w:space="0" w:color="auto"/>
        <w:bottom w:val="none" w:sz="0" w:space="0" w:color="auto"/>
        <w:right w:val="none" w:sz="0" w:space="0" w:color="auto"/>
      </w:divBdr>
    </w:div>
    <w:div w:id="1339117558">
      <w:bodyDiv w:val="1"/>
      <w:marLeft w:val="0"/>
      <w:marRight w:val="0"/>
      <w:marTop w:val="0"/>
      <w:marBottom w:val="0"/>
      <w:divBdr>
        <w:top w:val="none" w:sz="0" w:space="0" w:color="auto"/>
        <w:left w:val="none" w:sz="0" w:space="0" w:color="auto"/>
        <w:bottom w:val="none" w:sz="0" w:space="0" w:color="auto"/>
        <w:right w:val="none" w:sz="0" w:space="0" w:color="auto"/>
      </w:divBdr>
    </w:div>
    <w:div w:id="1343627118">
      <w:bodyDiv w:val="1"/>
      <w:marLeft w:val="0"/>
      <w:marRight w:val="0"/>
      <w:marTop w:val="0"/>
      <w:marBottom w:val="0"/>
      <w:divBdr>
        <w:top w:val="none" w:sz="0" w:space="0" w:color="auto"/>
        <w:left w:val="none" w:sz="0" w:space="0" w:color="auto"/>
        <w:bottom w:val="none" w:sz="0" w:space="0" w:color="auto"/>
        <w:right w:val="none" w:sz="0" w:space="0" w:color="auto"/>
      </w:divBdr>
    </w:div>
    <w:div w:id="1351909052">
      <w:bodyDiv w:val="1"/>
      <w:marLeft w:val="0"/>
      <w:marRight w:val="0"/>
      <w:marTop w:val="0"/>
      <w:marBottom w:val="0"/>
      <w:divBdr>
        <w:top w:val="none" w:sz="0" w:space="0" w:color="auto"/>
        <w:left w:val="none" w:sz="0" w:space="0" w:color="auto"/>
        <w:bottom w:val="none" w:sz="0" w:space="0" w:color="auto"/>
        <w:right w:val="none" w:sz="0" w:space="0" w:color="auto"/>
      </w:divBdr>
      <w:divsChild>
        <w:div w:id="403337728">
          <w:marLeft w:val="547"/>
          <w:marRight w:val="0"/>
          <w:marTop w:val="173"/>
          <w:marBottom w:val="0"/>
          <w:divBdr>
            <w:top w:val="none" w:sz="0" w:space="0" w:color="auto"/>
            <w:left w:val="none" w:sz="0" w:space="0" w:color="auto"/>
            <w:bottom w:val="none" w:sz="0" w:space="0" w:color="auto"/>
            <w:right w:val="none" w:sz="0" w:space="0" w:color="auto"/>
          </w:divBdr>
        </w:div>
        <w:div w:id="536550160">
          <w:marLeft w:val="547"/>
          <w:marRight w:val="0"/>
          <w:marTop w:val="96"/>
          <w:marBottom w:val="0"/>
          <w:divBdr>
            <w:top w:val="none" w:sz="0" w:space="0" w:color="auto"/>
            <w:left w:val="none" w:sz="0" w:space="0" w:color="auto"/>
            <w:bottom w:val="none" w:sz="0" w:space="0" w:color="auto"/>
            <w:right w:val="none" w:sz="0" w:space="0" w:color="auto"/>
          </w:divBdr>
        </w:div>
        <w:div w:id="623118468">
          <w:marLeft w:val="547"/>
          <w:marRight w:val="0"/>
          <w:marTop w:val="173"/>
          <w:marBottom w:val="0"/>
          <w:divBdr>
            <w:top w:val="none" w:sz="0" w:space="0" w:color="auto"/>
            <w:left w:val="none" w:sz="0" w:space="0" w:color="auto"/>
            <w:bottom w:val="none" w:sz="0" w:space="0" w:color="auto"/>
            <w:right w:val="none" w:sz="0" w:space="0" w:color="auto"/>
          </w:divBdr>
        </w:div>
        <w:div w:id="865366244">
          <w:marLeft w:val="547"/>
          <w:marRight w:val="0"/>
          <w:marTop w:val="173"/>
          <w:marBottom w:val="0"/>
          <w:divBdr>
            <w:top w:val="none" w:sz="0" w:space="0" w:color="auto"/>
            <w:left w:val="none" w:sz="0" w:space="0" w:color="auto"/>
            <w:bottom w:val="none" w:sz="0" w:space="0" w:color="auto"/>
            <w:right w:val="none" w:sz="0" w:space="0" w:color="auto"/>
          </w:divBdr>
        </w:div>
        <w:div w:id="958032462">
          <w:marLeft w:val="547"/>
          <w:marRight w:val="0"/>
          <w:marTop w:val="96"/>
          <w:marBottom w:val="0"/>
          <w:divBdr>
            <w:top w:val="none" w:sz="0" w:space="0" w:color="auto"/>
            <w:left w:val="none" w:sz="0" w:space="0" w:color="auto"/>
            <w:bottom w:val="none" w:sz="0" w:space="0" w:color="auto"/>
            <w:right w:val="none" w:sz="0" w:space="0" w:color="auto"/>
          </w:divBdr>
        </w:div>
        <w:div w:id="1102337198">
          <w:marLeft w:val="547"/>
          <w:marRight w:val="0"/>
          <w:marTop w:val="96"/>
          <w:marBottom w:val="0"/>
          <w:divBdr>
            <w:top w:val="none" w:sz="0" w:space="0" w:color="auto"/>
            <w:left w:val="none" w:sz="0" w:space="0" w:color="auto"/>
            <w:bottom w:val="none" w:sz="0" w:space="0" w:color="auto"/>
            <w:right w:val="none" w:sz="0" w:space="0" w:color="auto"/>
          </w:divBdr>
        </w:div>
        <w:div w:id="1664117519">
          <w:marLeft w:val="547"/>
          <w:marRight w:val="0"/>
          <w:marTop w:val="96"/>
          <w:marBottom w:val="0"/>
          <w:divBdr>
            <w:top w:val="none" w:sz="0" w:space="0" w:color="auto"/>
            <w:left w:val="none" w:sz="0" w:space="0" w:color="auto"/>
            <w:bottom w:val="none" w:sz="0" w:space="0" w:color="auto"/>
            <w:right w:val="none" w:sz="0" w:space="0" w:color="auto"/>
          </w:divBdr>
        </w:div>
        <w:div w:id="2123723979">
          <w:marLeft w:val="547"/>
          <w:marRight w:val="0"/>
          <w:marTop w:val="96"/>
          <w:marBottom w:val="0"/>
          <w:divBdr>
            <w:top w:val="none" w:sz="0" w:space="0" w:color="auto"/>
            <w:left w:val="none" w:sz="0" w:space="0" w:color="auto"/>
            <w:bottom w:val="none" w:sz="0" w:space="0" w:color="auto"/>
            <w:right w:val="none" w:sz="0" w:space="0" w:color="auto"/>
          </w:divBdr>
        </w:div>
      </w:divsChild>
    </w:div>
    <w:div w:id="1357273743">
      <w:bodyDiv w:val="1"/>
      <w:marLeft w:val="0"/>
      <w:marRight w:val="0"/>
      <w:marTop w:val="0"/>
      <w:marBottom w:val="0"/>
      <w:divBdr>
        <w:top w:val="none" w:sz="0" w:space="0" w:color="auto"/>
        <w:left w:val="none" w:sz="0" w:space="0" w:color="auto"/>
        <w:bottom w:val="none" w:sz="0" w:space="0" w:color="auto"/>
        <w:right w:val="none" w:sz="0" w:space="0" w:color="auto"/>
      </w:divBdr>
    </w:div>
    <w:div w:id="1358778985">
      <w:bodyDiv w:val="1"/>
      <w:marLeft w:val="0"/>
      <w:marRight w:val="0"/>
      <w:marTop w:val="0"/>
      <w:marBottom w:val="0"/>
      <w:divBdr>
        <w:top w:val="none" w:sz="0" w:space="0" w:color="auto"/>
        <w:left w:val="none" w:sz="0" w:space="0" w:color="auto"/>
        <w:bottom w:val="none" w:sz="0" w:space="0" w:color="auto"/>
        <w:right w:val="none" w:sz="0" w:space="0" w:color="auto"/>
      </w:divBdr>
      <w:divsChild>
        <w:div w:id="1818762211">
          <w:marLeft w:val="0"/>
          <w:marRight w:val="0"/>
          <w:marTop w:val="0"/>
          <w:marBottom w:val="0"/>
          <w:divBdr>
            <w:top w:val="none" w:sz="0" w:space="0" w:color="auto"/>
            <w:left w:val="none" w:sz="0" w:space="0" w:color="auto"/>
            <w:bottom w:val="none" w:sz="0" w:space="0" w:color="auto"/>
            <w:right w:val="none" w:sz="0" w:space="0" w:color="auto"/>
          </w:divBdr>
        </w:div>
      </w:divsChild>
    </w:div>
    <w:div w:id="1358849038">
      <w:bodyDiv w:val="1"/>
      <w:marLeft w:val="0"/>
      <w:marRight w:val="0"/>
      <w:marTop w:val="0"/>
      <w:marBottom w:val="0"/>
      <w:divBdr>
        <w:top w:val="none" w:sz="0" w:space="0" w:color="auto"/>
        <w:left w:val="none" w:sz="0" w:space="0" w:color="auto"/>
        <w:bottom w:val="none" w:sz="0" w:space="0" w:color="auto"/>
        <w:right w:val="none" w:sz="0" w:space="0" w:color="auto"/>
      </w:divBdr>
    </w:div>
    <w:div w:id="1359813121">
      <w:bodyDiv w:val="1"/>
      <w:marLeft w:val="0"/>
      <w:marRight w:val="0"/>
      <w:marTop w:val="0"/>
      <w:marBottom w:val="0"/>
      <w:divBdr>
        <w:top w:val="none" w:sz="0" w:space="0" w:color="auto"/>
        <w:left w:val="none" w:sz="0" w:space="0" w:color="auto"/>
        <w:bottom w:val="none" w:sz="0" w:space="0" w:color="auto"/>
        <w:right w:val="none" w:sz="0" w:space="0" w:color="auto"/>
      </w:divBdr>
    </w:div>
    <w:div w:id="1367020450">
      <w:bodyDiv w:val="1"/>
      <w:marLeft w:val="0"/>
      <w:marRight w:val="0"/>
      <w:marTop w:val="0"/>
      <w:marBottom w:val="0"/>
      <w:divBdr>
        <w:top w:val="none" w:sz="0" w:space="0" w:color="auto"/>
        <w:left w:val="none" w:sz="0" w:space="0" w:color="auto"/>
        <w:bottom w:val="none" w:sz="0" w:space="0" w:color="auto"/>
        <w:right w:val="none" w:sz="0" w:space="0" w:color="auto"/>
      </w:divBdr>
      <w:divsChild>
        <w:div w:id="272782724">
          <w:marLeft w:val="0"/>
          <w:marRight w:val="0"/>
          <w:marTop w:val="0"/>
          <w:marBottom w:val="0"/>
          <w:divBdr>
            <w:top w:val="none" w:sz="0" w:space="0" w:color="auto"/>
            <w:left w:val="none" w:sz="0" w:space="0" w:color="auto"/>
            <w:bottom w:val="none" w:sz="0" w:space="0" w:color="auto"/>
            <w:right w:val="none" w:sz="0" w:space="0" w:color="auto"/>
          </w:divBdr>
          <w:divsChild>
            <w:div w:id="1800226421">
              <w:marLeft w:val="0"/>
              <w:marRight w:val="0"/>
              <w:marTop w:val="0"/>
              <w:marBottom w:val="0"/>
              <w:divBdr>
                <w:top w:val="none" w:sz="0" w:space="0" w:color="auto"/>
                <w:left w:val="none" w:sz="0" w:space="0" w:color="auto"/>
                <w:bottom w:val="none" w:sz="0" w:space="0" w:color="auto"/>
                <w:right w:val="none" w:sz="0" w:space="0" w:color="auto"/>
              </w:divBdr>
              <w:divsChild>
                <w:div w:id="85422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7558215">
      <w:bodyDiv w:val="1"/>
      <w:marLeft w:val="0"/>
      <w:marRight w:val="0"/>
      <w:marTop w:val="0"/>
      <w:marBottom w:val="0"/>
      <w:divBdr>
        <w:top w:val="none" w:sz="0" w:space="0" w:color="auto"/>
        <w:left w:val="none" w:sz="0" w:space="0" w:color="auto"/>
        <w:bottom w:val="none" w:sz="0" w:space="0" w:color="auto"/>
        <w:right w:val="none" w:sz="0" w:space="0" w:color="auto"/>
      </w:divBdr>
      <w:divsChild>
        <w:div w:id="98524656">
          <w:marLeft w:val="0"/>
          <w:marRight w:val="0"/>
          <w:marTop w:val="0"/>
          <w:marBottom w:val="0"/>
          <w:divBdr>
            <w:top w:val="none" w:sz="0" w:space="0" w:color="auto"/>
            <w:left w:val="none" w:sz="0" w:space="0" w:color="auto"/>
            <w:bottom w:val="none" w:sz="0" w:space="0" w:color="auto"/>
            <w:right w:val="none" w:sz="0" w:space="0" w:color="auto"/>
          </w:divBdr>
          <w:divsChild>
            <w:div w:id="625358455">
              <w:marLeft w:val="0"/>
              <w:marRight w:val="0"/>
              <w:marTop w:val="0"/>
              <w:marBottom w:val="0"/>
              <w:divBdr>
                <w:top w:val="none" w:sz="0" w:space="0" w:color="auto"/>
                <w:left w:val="none" w:sz="0" w:space="0" w:color="auto"/>
                <w:bottom w:val="none" w:sz="0" w:space="0" w:color="auto"/>
                <w:right w:val="none" w:sz="0" w:space="0" w:color="auto"/>
              </w:divBdr>
              <w:divsChild>
                <w:div w:id="1098064482">
                  <w:marLeft w:val="3360"/>
                  <w:marRight w:val="0"/>
                  <w:marTop w:val="0"/>
                  <w:marBottom w:val="0"/>
                  <w:divBdr>
                    <w:top w:val="none" w:sz="0" w:space="0" w:color="auto"/>
                    <w:left w:val="none" w:sz="0" w:space="0" w:color="auto"/>
                    <w:bottom w:val="none" w:sz="0" w:space="0" w:color="auto"/>
                    <w:right w:val="none" w:sz="0" w:space="0" w:color="auto"/>
                  </w:divBdr>
                  <w:divsChild>
                    <w:div w:id="943195134">
                      <w:marLeft w:val="0"/>
                      <w:marRight w:val="0"/>
                      <w:marTop w:val="0"/>
                      <w:marBottom w:val="0"/>
                      <w:divBdr>
                        <w:top w:val="none" w:sz="0" w:space="0" w:color="auto"/>
                        <w:left w:val="none" w:sz="0" w:space="0" w:color="auto"/>
                        <w:bottom w:val="none" w:sz="0" w:space="0" w:color="auto"/>
                        <w:right w:val="none" w:sz="0" w:space="0" w:color="auto"/>
                      </w:divBdr>
                      <w:divsChild>
                        <w:div w:id="599799983">
                          <w:marLeft w:val="0"/>
                          <w:marRight w:val="0"/>
                          <w:marTop w:val="0"/>
                          <w:marBottom w:val="0"/>
                          <w:divBdr>
                            <w:top w:val="none" w:sz="0" w:space="0" w:color="auto"/>
                            <w:left w:val="none" w:sz="0" w:space="0" w:color="auto"/>
                            <w:bottom w:val="none" w:sz="0" w:space="0" w:color="auto"/>
                            <w:right w:val="none" w:sz="0" w:space="0" w:color="auto"/>
                          </w:divBdr>
                          <w:divsChild>
                            <w:div w:id="1286426093">
                              <w:marLeft w:val="0"/>
                              <w:marRight w:val="0"/>
                              <w:marTop w:val="0"/>
                              <w:marBottom w:val="0"/>
                              <w:divBdr>
                                <w:top w:val="none" w:sz="0" w:space="0" w:color="auto"/>
                                <w:left w:val="none" w:sz="0" w:space="0" w:color="auto"/>
                                <w:bottom w:val="none" w:sz="0" w:space="0" w:color="auto"/>
                                <w:right w:val="none" w:sz="0" w:space="0" w:color="auto"/>
                              </w:divBdr>
                              <w:divsChild>
                                <w:div w:id="1589344426">
                                  <w:marLeft w:val="0"/>
                                  <w:marRight w:val="0"/>
                                  <w:marTop w:val="0"/>
                                  <w:marBottom w:val="0"/>
                                  <w:divBdr>
                                    <w:top w:val="none" w:sz="0" w:space="0" w:color="auto"/>
                                    <w:left w:val="none" w:sz="0" w:space="0" w:color="auto"/>
                                    <w:bottom w:val="none" w:sz="0" w:space="0" w:color="auto"/>
                                    <w:right w:val="none" w:sz="0" w:space="0" w:color="auto"/>
                                  </w:divBdr>
                                  <w:divsChild>
                                    <w:div w:id="268586809">
                                      <w:marLeft w:val="0"/>
                                      <w:marRight w:val="0"/>
                                      <w:marTop w:val="0"/>
                                      <w:marBottom w:val="0"/>
                                      <w:divBdr>
                                        <w:top w:val="none" w:sz="0" w:space="0" w:color="auto"/>
                                        <w:left w:val="none" w:sz="0" w:space="0" w:color="auto"/>
                                        <w:bottom w:val="none" w:sz="0" w:space="0" w:color="auto"/>
                                        <w:right w:val="none" w:sz="0" w:space="0" w:color="auto"/>
                                      </w:divBdr>
                                      <w:divsChild>
                                        <w:div w:id="2080059085">
                                          <w:marLeft w:val="0"/>
                                          <w:marRight w:val="0"/>
                                          <w:marTop w:val="0"/>
                                          <w:marBottom w:val="0"/>
                                          <w:divBdr>
                                            <w:top w:val="none" w:sz="0" w:space="0" w:color="auto"/>
                                            <w:left w:val="none" w:sz="0" w:space="0" w:color="auto"/>
                                            <w:bottom w:val="none" w:sz="0" w:space="0" w:color="auto"/>
                                            <w:right w:val="none" w:sz="0" w:space="0" w:color="auto"/>
                                          </w:divBdr>
                                          <w:divsChild>
                                            <w:div w:id="609819216">
                                              <w:marLeft w:val="0"/>
                                              <w:marRight w:val="0"/>
                                              <w:marTop w:val="0"/>
                                              <w:marBottom w:val="0"/>
                                              <w:divBdr>
                                                <w:top w:val="none" w:sz="0" w:space="0" w:color="auto"/>
                                                <w:left w:val="none" w:sz="0" w:space="0" w:color="auto"/>
                                                <w:bottom w:val="none" w:sz="0" w:space="0" w:color="auto"/>
                                                <w:right w:val="none" w:sz="0" w:space="0" w:color="auto"/>
                                              </w:divBdr>
                                              <w:divsChild>
                                                <w:div w:id="339047186">
                                                  <w:marLeft w:val="0"/>
                                                  <w:marRight w:val="0"/>
                                                  <w:marTop w:val="0"/>
                                                  <w:marBottom w:val="0"/>
                                                  <w:divBdr>
                                                    <w:top w:val="none" w:sz="0" w:space="0" w:color="auto"/>
                                                    <w:left w:val="none" w:sz="0" w:space="0" w:color="auto"/>
                                                    <w:bottom w:val="none" w:sz="0" w:space="0" w:color="auto"/>
                                                    <w:right w:val="none" w:sz="0" w:space="0" w:color="auto"/>
                                                  </w:divBdr>
                                                  <w:divsChild>
                                                    <w:div w:id="1405181792">
                                                      <w:marLeft w:val="0"/>
                                                      <w:marRight w:val="0"/>
                                                      <w:marTop w:val="0"/>
                                                      <w:marBottom w:val="0"/>
                                                      <w:divBdr>
                                                        <w:top w:val="none" w:sz="0" w:space="0" w:color="auto"/>
                                                        <w:left w:val="none" w:sz="0" w:space="0" w:color="auto"/>
                                                        <w:bottom w:val="none" w:sz="0" w:space="0" w:color="auto"/>
                                                        <w:right w:val="none" w:sz="0" w:space="0" w:color="auto"/>
                                                      </w:divBdr>
                                                      <w:divsChild>
                                                        <w:div w:id="788529">
                                                          <w:marLeft w:val="0"/>
                                                          <w:marRight w:val="0"/>
                                                          <w:marTop w:val="0"/>
                                                          <w:marBottom w:val="0"/>
                                                          <w:divBdr>
                                                            <w:top w:val="none" w:sz="0" w:space="0" w:color="auto"/>
                                                            <w:left w:val="none" w:sz="0" w:space="0" w:color="auto"/>
                                                            <w:bottom w:val="none" w:sz="0" w:space="0" w:color="auto"/>
                                                            <w:right w:val="none" w:sz="0" w:space="0" w:color="auto"/>
                                                          </w:divBdr>
                                                          <w:divsChild>
                                                            <w:div w:id="8994593">
                                                              <w:marLeft w:val="0"/>
                                                              <w:marRight w:val="0"/>
                                                              <w:marTop w:val="0"/>
                                                              <w:marBottom w:val="0"/>
                                                              <w:divBdr>
                                                                <w:top w:val="none" w:sz="0" w:space="0" w:color="auto"/>
                                                                <w:left w:val="none" w:sz="0" w:space="0" w:color="auto"/>
                                                                <w:bottom w:val="none" w:sz="0" w:space="0" w:color="auto"/>
                                                                <w:right w:val="none" w:sz="0" w:space="0" w:color="auto"/>
                                                              </w:divBdr>
                                                            </w:div>
                                                          </w:divsChild>
                                                        </w:div>
                                                        <w:div w:id="1478494017">
                                                          <w:marLeft w:val="0"/>
                                                          <w:marRight w:val="0"/>
                                                          <w:marTop w:val="0"/>
                                                          <w:marBottom w:val="0"/>
                                                          <w:divBdr>
                                                            <w:top w:val="none" w:sz="0" w:space="0" w:color="auto"/>
                                                            <w:left w:val="none" w:sz="0" w:space="0" w:color="auto"/>
                                                            <w:bottom w:val="none" w:sz="0" w:space="0" w:color="auto"/>
                                                            <w:right w:val="none" w:sz="0" w:space="0" w:color="auto"/>
                                                          </w:divBdr>
                                                        </w:div>
                                                      </w:divsChild>
                                                    </w:div>
                                                    <w:div w:id="474375353">
                                                      <w:marLeft w:val="0"/>
                                                      <w:marRight w:val="0"/>
                                                      <w:marTop w:val="0"/>
                                                      <w:marBottom w:val="0"/>
                                                      <w:divBdr>
                                                        <w:top w:val="none" w:sz="0" w:space="0" w:color="auto"/>
                                                        <w:left w:val="none" w:sz="0" w:space="0" w:color="auto"/>
                                                        <w:bottom w:val="none" w:sz="0" w:space="0" w:color="auto"/>
                                                        <w:right w:val="none" w:sz="0" w:space="0" w:color="auto"/>
                                                      </w:divBdr>
                                                      <w:divsChild>
                                                        <w:div w:id="292296824">
                                                          <w:marLeft w:val="0"/>
                                                          <w:marRight w:val="0"/>
                                                          <w:marTop w:val="0"/>
                                                          <w:marBottom w:val="0"/>
                                                          <w:divBdr>
                                                            <w:top w:val="none" w:sz="0" w:space="0" w:color="auto"/>
                                                            <w:left w:val="none" w:sz="0" w:space="0" w:color="auto"/>
                                                            <w:bottom w:val="none" w:sz="0" w:space="0" w:color="auto"/>
                                                            <w:right w:val="none" w:sz="0" w:space="0" w:color="auto"/>
                                                          </w:divBdr>
                                                          <w:divsChild>
                                                            <w:div w:id="19674276">
                                                              <w:marLeft w:val="0"/>
                                                              <w:marRight w:val="0"/>
                                                              <w:marTop w:val="0"/>
                                                              <w:marBottom w:val="0"/>
                                                              <w:divBdr>
                                                                <w:top w:val="none" w:sz="0" w:space="0" w:color="auto"/>
                                                                <w:left w:val="none" w:sz="0" w:space="0" w:color="auto"/>
                                                                <w:bottom w:val="none" w:sz="0" w:space="0" w:color="auto"/>
                                                                <w:right w:val="none" w:sz="0" w:space="0" w:color="auto"/>
                                                              </w:divBdr>
                                                            </w:div>
                                                          </w:divsChild>
                                                        </w:div>
                                                        <w:div w:id="1076368129">
                                                          <w:marLeft w:val="0"/>
                                                          <w:marRight w:val="0"/>
                                                          <w:marTop w:val="0"/>
                                                          <w:marBottom w:val="0"/>
                                                          <w:divBdr>
                                                            <w:top w:val="none" w:sz="0" w:space="0" w:color="auto"/>
                                                            <w:left w:val="none" w:sz="0" w:space="0" w:color="auto"/>
                                                            <w:bottom w:val="none" w:sz="0" w:space="0" w:color="auto"/>
                                                            <w:right w:val="none" w:sz="0" w:space="0" w:color="auto"/>
                                                          </w:divBdr>
                                                        </w:div>
                                                      </w:divsChild>
                                                    </w:div>
                                                    <w:div w:id="28724866">
                                                      <w:marLeft w:val="0"/>
                                                      <w:marRight w:val="0"/>
                                                      <w:marTop w:val="0"/>
                                                      <w:marBottom w:val="0"/>
                                                      <w:divBdr>
                                                        <w:top w:val="none" w:sz="0" w:space="0" w:color="auto"/>
                                                        <w:left w:val="none" w:sz="0" w:space="0" w:color="auto"/>
                                                        <w:bottom w:val="none" w:sz="0" w:space="0" w:color="auto"/>
                                                        <w:right w:val="none" w:sz="0" w:space="0" w:color="auto"/>
                                                      </w:divBdr>
                                                      <w:divsChild>
                                                        <w:div w:id="2005279348">
                                                          <w:marLeft w:val="0"/>
                                                          <w:marRight w:val="0"/>
                                                          <w:marTop w:val="0"/>
                                                          <w:marBottom w:val="0"/>
                                                          <w:divBdr>
                                                            <w:top w:val="none" w:sz="0" w:space="0" w:color="auto"/>
                                                            <w:left w:val="none" w:sz="0" w:space="0" w:color="auto"/>
                                                            <w:bottom w:val="none" w:sz="0" w:space="0" w:color="auto"/>
                                                            <w:right w:val="none" w:sz="0" w:space="0" w:color="auto"/>
                                                          </w:divBdr>
                                                          <w:divsChild>
                                                            <w:div w:id="791706058">
                                                              <w:marLeft w:val="0"/>
                                                              <w:marRight w:val="0"/>
                                                              <w:marTop w:val="0"/>
                                                              <w:marBottom w:val="0"/>
                                                              <w:divBdr>
                                                                <w:top w:val="none" w:sz="0" w:space="0" w:color="auto"/>
                                                                <w:left w:val="none" w:sz="0" w:space="0" w:color="auto"/>
                                                                <w:bottom w:val="none" w:sz="0" w:space="0" w:color="auto"/>
                                                                <w:right w:val="none" w:sz="0" w:space="0" w:color="auto"/>
                                                              </w:divBdr>
                                                            </w:div>
                                                          </w:divsChild>
                                                        </w:div>
                                                        <w:div w:id="1121922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68221457">
      <w:bodyDiv w:val="1"/>
      <w:marLeft w:val="0"/>
      <w:marRight w:val="0"/>
      <w:marTop w:val="0"/>
      <w:marBottom w:val="0"/>
      <w:divBdr>
        <w:top w:val="none" w:sz="0" w:space="0" w:color="auto"/>
        <w:left w:val="none" w:sz="0" w:space="0" w:color="auto"/>
        <w:bottom w:val="none" w:sz="0" w:space="0" w:color="auto"/>
        <w:right w:val="none" w:sz="0" w:space="0" w:color="auto"/>
      </w:divBdr>
      <w:divsChild>
        <w:div w:id="1502696539">
          <w:marLeft w:val="0"/>
          <w:marRight w:val="0"/>
          <w:marTop w:val="0"/>
          <w:marBottom w:val="0"/>
          <w:divBdr>
            <w:top w:val="none" w:sz="0" w:space="0" w:color="auto"/>
            <w:left w:val="none" w:sz="0" w:space="0" w:color="auto"/>
            <w:bottom w:val="none" w:sz="0" w:space="0" w:color="auto"/>
            <w:right w:val="none" w:sz="0" w:space="0" w:color="auto"/>
          </w:divBdr>
          <w:divsChild>
            <w:div w:id="987705997">
              <w:marLeft w:val="0"/>
              <w:marRight w:val="0"/>
              <w:marTop w:val="0"/>
              <w:marBottom w:val="0"/>
              <w:divBdr>
                <w:top w:val="none" w:sz="0" w:space="0" w:color="auto"/>
                <w:left w:val="none" w:sz="0" w:space="0" w:color="auto"/>
                <w:bottom w:val="none" w:sz="0" w:space="0" w:color="auto"/>
                <w:right w:val="none" w:sz="0" w:space="0" w:color="auto"/>
              </w:divBdr>
              <w:divsChild>
                <w:div w:id="937102952">
                  <w:marLeft w:val="0"/>
                  <w:marRight w:val="0"/>
                  <w:marTop w:val="0"/>
                  <w:marBottom w:val="0"/>
                  <w:divBdr>
                    <w:top w:val="none" w:sz="0" w:space="0" w:color="auto"/>
                    <w:left w:val="none" w:sz="0" w:space="0" w:color="auto"/>
                    <w:bottom w:val="none" w:sz="0" w:space="0" w:color="auto"/>
                    <w:right w:val="none" w:sz="0" w:space="0" w:color="auto"/>
                  </w:divBdr>
                  <w:divsChild>
                    <w:div w:id="804465245">
                      <w:marLeft w:val="0"/>
                      <w:marRight w:val="0"/>
                      <w:marTop w:val="0"/>
                      <w:marBottom w:val="0"/>
                      <w:divBdr>
                        <w:top w:val="none" w:sz="0" w:space="0" w:color="auto"/>
                        <w:left w:val="none" w:sz="0" w:space="0" w:color="auto"/>
                        <w:bottom w:val="none" w:sz="0" w:space="0" w:color="auto"/>
                        <w:right w:val="none" w:sz="0" w:space="0" w:color="auto"/>
                      </w:divBdr>
                      <w:divsChild>
                        <w:div w:id="1519076782">
                          <w:marLeft w:val="0"/>
                          <w:marRight w:val="0"/>
                          <w:marTop w:val="0"/>
                          <w:marBottom w:val="0"/>
                          <w:divBdr>
                            <w:top w:val="none" w:sz="0" w:space="0" w:color="auto"/>
                            <w:left w:val="none" w:sz="0" w:space="0" w:color="auto"/>
                            <w:bottom w:val="none" w:sz="0" w:space="0" w:color="auto"/>
                            <w:right w:val="none" w:sz="0" w:space="0" w:color="auto"/>
                          </w:divBdr>
                          <w:divsChild>
                            <w:div w:id="1840925190">
                              <w:marLeft w:val="150"/>
                              <w:marRight w:val="150"/>
                              <w:marTop w:val="150"/>
                              <w:marBottom w:val="150"/>
                              <w:divBdr>
                                <w:top w:val="none" w:sz="0" w:space="0" w:color="auto"/>
                                <w:left w:val="none" w:sz="0" w:space="0" w:color="auto"/>
                                <w:bottom w:val="none" w:sz="0" w:space="0" w:color="auto"/>
                                <w:right w:val="none" w:sz="0" w:space="0" w:color="auto"/>
                              </w:divBdr>
                              <w:divsChild>
                                <w:div w:id="564606189">
                                  <w:marLeft w:val="0"/>
                                  <w:marRight w:val="0"/>
                                  <w:marTop w:val="0"/>
                                  <w:marBottom w:val="0"/>
                                  <w:divBdr>
                                    <w:top w:val="none" w:sz="0" w:space="0" w:color="auto"/>
                                    <w:left w:val="none" w:sz="0" w:space="0" w:color="auto"/>
                                    <w:bottom w:val="none" w:sz="0" w:space="0" w:color="auto"/>
                                    <w:right w:val="none" w:sz="0" w:space="0" w:color="auto"/>
                                  </w:divBdr>
                                  <w:divsChild>
                                    <w:div w:id="1393580056">
                                      <w:marLeft w:val="0"/>
                                      <w:marRight w:val="0"/>
                                      <w:marTop w:val="0"/>
                                      <w:marBottom w:val="0"/>
                                      <w:divBdr>
                                        <w:top w:val="none" w:sz="0" w:space="0" w:color="auto"/>
                                        <w:left w:val="none" w:sz="0" w:space="0" w:color="auto"/>
                                        <w:bottom w:val="none" w:sz="0" w:space="0" w:color="auto"/>
                                        <w:right w:val="none" w:sz="0" w:space="0" w:color="auto"/>
                                      </w:divBdr>
                                      <w:divsChild>
                                        <w:div w:id="222570371">
                                          <w:marLeft w:val="0"/>
                                          <w:marRight w:val="0"/>
                                          <w:marTop w:val="0"/>
                                          <w:marBottom w:val="0"/>
                                          <w:divBdr>
                                            <w:top w:val="none" w:sz="0" w:space="0" w:color="auto"/>
                                            <w:left w:val="none" w:sz="0" w:space="0" w:color="auto"/>
                                            <w:bottom w:val="none" w:sz="0" w:space="0" w:color="auto"/>
                                            <w:right w:val="none" w:sz="0" w:space="0" w:color="auto"/>
                                          </w:divBdr>
                                          <w:divsChild>
                                            <w:div w:id="2031295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77706597">
      <w:bodyDiv w:val="1"/>
      <w:marLeft w:val="0"/>
      <w:marRight w:val="0"/>
      <w:marTop w:val="0"/>
      <w:marBottom w:val="0"/>
      <w:divBdr>
        <w:top w:val="none" w:sz="0" w:space="0" w:color="auto"/>
        <w:left w:val="none" w:sz="0" w:space="0" w:color="auto"/>
        <w:bottom w:val="none" w:sz="0" w:space="0" w:color="auto"/>
        <w:right w:val="none" w:sz="0" w:space="0" w:color="auto"/>
      </w:divBdr>
    </w:div>
    <w:div w:id="1383597170">
      <w:bodyDiv w:val="1"/>
      <w:marLeft w:val="0"/>
      <w:marRight w:val="0"/>
      <w:marTop w:val="0"/>
      <w:marBottom w:val="0"/>
      <w:divBdr>
        <w:top w:val="none" w:sz="0" w:space="0" w:color="auto"/>
        <w:left w:val="none" w:sz="0" w:space="0" w:color="auto"/>
        <w:bottom w:val="none" w:sz="0" w:space="0" w:color="auto"/>
        <w:right w:val="none" w:sz="0" w:space="0" w:color="auto"/>
      </w:divBdr>
    </w:div>
    <w:div w:id="1384017754">
      <w:bodyDiv w:val="1"/>
      <w:marLeft w:val="0"/>
      <w:marRight w:val="0"/>
      <w:marTop w:val="0"/>
      <w:marBottom w:val="0"/>
      <w:divBdr>
        <w:top w:val="none" w:sz="0" w:space="0" w:color="auto"/>
        <w:left w:val="none" w:sz="0" w:space="0" w:color="auto"/>
        <w:bottom w:val="none" w:sz="0" w:space="0" w:color="auto"/>
        <w:right w:val="none" w:sz="0" w:space="0" w:color="auto"/>
      </w:divBdr>
      <w:divsChild>
        <w:div w:id="386801716">
          <w:marLeft w:val="648"/>
          <w:marRight w:val="0"/>
          <w:marTop w:val="204"/>
          <w:marBottom w:val="0"/>
          <w:divBdr>
            <w:top w:val="none" w:sz="0" w:space="0" w:color="auto"/>
            <w:left w:val="none" w:sz="0" w:space="0" w:color="auto"/>
            <w:bottom w:val="none" w:sz="0" w:space="0" w:color="auto"/>
            <w:right w:val="none" w:sz="0" w:space="0" w:color="auto"/>
          </w:divBdr>
        </w:div>
        <w:div w:id="761295032">
          <w:marLeft w:val="648"/>
          <w:marRight w:val="0"/>
          <w:marTop w:val="204"/>
          <w:marBottom w:val="0"/>
          <w:divBdr>
            <w:top w:val="none" w:sz="0" w:space="0" w:color="auto"/>
            <w:left w:val="none" w:sz="0" w:space="0" w:color="auto"/>
            <w:bottom w:val="none" w:sz="0" w:space="0" w:color="auto"/>
            <w:right w:val="none" w:sz="0" w:space="0" w:color="auto"/>
          </w:divBdr>
        </w:div>
        <w:div w:id="1235698645">
          <w:marLeft w:val="648"/>
          <w:marRight w:val="0"/>
          <w:marTop w:val="204"/>
          <w:marBottom w:val="0"/>
          <w:divBdr>
            <w:top w:val="none" w:sz="0" w:space="0" w:color="auto"/>
            <w:left w:val="none" w:sz="0" w:space="0" w:color="auto"/>
            <w:bottom w:val="none" w:sz="0" w:space="0" w:color="auto"/>
            <w:right w:val="none" w:sz="0" w:space="0" w:color="auto"/>
          </w:divBdr>
        </w:div>
      </w:divsChild>
    </w:div>
    <w:div w:id="1423644258">
      <w:bodyDiv w:val="1"/>
      <w:marLeft w:val="0"/>
      <w:marRight w:val="0"/>
      <w:marTop w:val="0"/>
      <w:marBottom w:val="0"/>
      <w:divBdr>
        <w:top w:val="none" w:sz="0" w:space="0" w:color="auto"/>
        <w:left w:val="none" w:sz="0" w:space="0" w:color="auto"/>
        <w:bottom w:val="none" w:sz="0" w:space="0" w:color="auto"/>
        <w:right w:val="none" w:sz="0" w:space="0" w:color="auto"/>
      </w:divBdr>
      <w:divsChild>
        <w:div w:id="1398091865">
          <w:marLeft w:val="0"/>
          <w:marRight w:val="0"/>
          <w:marTop w:val="0"/>
          <w:marBottom w:val="0"/>
          <w:divBdr>
            <w:top w:val="none" w:sz="0" w:space="0" w:color="auto"/>
            <w:left w:val="none" w:sz="0" w:space="0" w:color="auto"/>
            <w:bottom w:val="none" w:sz="0" w:space="0" w:color="auto"/>
            <w:right w:val="none" w:sz="0" w:space="0" w:color="auto"/>
          </w:divBdr>
          <w:divsChild>
            <w:div w:id="947858320">
              <w:marLeft w:val="0"/>
              <w:marRight w:val="0"/>
              <w:marTop w:val="0"/>
              <w:marBottom w:val="0"/>
              <w:divBdr>
                <w:top w:val="none" w:sz="0" w:space="0" w:color="auto"/>
                <w:left w:val="none" w:sz="0" w:space="0" w:color="auto"/>
                <w:bottom w:val="none" w:sz="0" w:space="0" w:color="auto"/>
                <w:right w:val="none" w:sz="0" w:space="0" w:color="auto"/>
              </w:divBdr>
              <w:divsChild>
                <w:div w:id="1855339179">
                  <w:marLeft w:val="4935"/>
                  <w:marRight w:val="0"/>
                  <w:marTop w:val="0"/>
                  <w:marBottom w:val="0"/>
                  <w:divBdr>
                    <w:top w:val="none" w:sz="0" w:space="0" w:color="auto"/>
                    <w:left w:val="none" w:sz="0" w:space="0" w:color="auto"/>
                    <w:bottom w:val="none" w:sz="0" w:space="0" w:color="auto"/>
                    <w:right w:val="none" w:sz="0" w:space="0" w:color="auto"/>
                  </w:divBdr>
                  <w:divsChild>
                    <w:div w:id="358821717">
                      <w:marLeft w:val="0"/>
                      <w:marRight w:val="0"/>
                      <w:marTop w:val="0"/>
                      <w:marBottom w:val="0"/>
                      <w:divBdr>
                        <w:top w:val="none" w:sz="0" w:space="0" w:color="auto"/>
                        <w:left w:val="none" w:sz="0" w:space="0" w:color="auto"/>
                        <w:bottom w:val="none" w:sz="0" w:space="0" w:color="auto"/>
                        <w:right w:val="none" w:sz="0" w:space="0" w:color="auto"/>
                      </w:divBdr>
                      <w:divsChild>
                        <w:div w:id="1427532001">
                          <w:marLeft w:val="0"/>
                          <w:marRight w:val="0"/>
                          <w:marTop w:val="0"/>
                          <w:marBottom w:val="0"/>
                          <w:divBdr>
                            <w:top w:val="none" w:sz="0" w:space="0" w:color="auto"/>
                            <w:left w:val="none" w:sz="0" w:space="0" w:color="auto"/>
                            <w:bottom w:val="none" w:sz="0" w:space="0" w:color="auto"/>
                            <w:right w:val="none" w:sz="0" w:space="0" w:color="auto"/>
                          </w:divBdr>
                          <w:divsChild>
                            <w:div w:id="972831543">
                              <w:marLeft w:val="0"/>
                              <w:marRight w:val="0"/>
                              <w:marTop w:val="0"/>
                              <w:marBottom w:val="0"/>
                              <w:divBdr>
                                <w:top w:val="none" w:sz="0" w:space="0" w:color="auto"/>
                                <w:left w:val="none" w:sz="0" w:space="0" w:color="auto"/>
                                <w:bottom w:val="none" w:sz="0" w:space="0" w:color="auto"/>
                                <w:right w:val="none" w:sz="0" w:space="0" w:color="auto"/>
                              </w:divBdr>
                              <w:divsChild>
                                <w:div w:id="1926180752">
                                  <w:marLeft w:val="0"/>
                                  <w:marRight w:val="0"/>
                                  <w:marTop w:val="0"/>
                                  <w:marBottom w:val="0"/>
                                  <w:divBdr>
                                    <w:top w:val="none" w:sz="0" w:space="0" w:color="auto"/>
                                    <w:left w:val="none" w:sz="0" w:space="0" w:color="auto"/>
                                    <w:bottom w:val="none" w:sz="0" w:space="0" w:color="auto"/>
                                    <w:right w:val="none" w:sz="0" w:space="0" w:color="auto"/>
                                  </w:divBdr>
                                  <w:divsChild>
                                    <w:div w:id="1322655222">
                                      <w:marLeft w:val="0"/>
                                      <w:marRight w:val="0"/>
                                      <w:marTop w:val="0"/>
                                      <w:marBottom w:val="0"/>
                                      <w:divBdr>
                                        <w:top w:val="none" w:sz="0" w:space="0" w:color="auto"/>
                                        <w:left w:val="none" w:sz="0" w:space="0" w:color="auto"/>
                                        <w:bottom w:val="none" w:sz="0" w:space="0" w:color="auto"/>
                                        <w:right w:val="none" w:sz="0" w:space="0" w:color="auto"/>
                                      </w:divBdr>
                                      <w:divsChild>
                                        <w:div w:id="281234079">
                                          <w:marLeft w:val="0"/>
                                          <w:marRight w:val="0"/>
                                          <w:marTop w:val="0"/>
                                          <w:marBottom w:val="0"/>
                                          <w:divBdr>
                                            <w:top w:val="none" w:sz="0" w:space="0" w:color="auto"/>
                                            <w:left w:val="none" w:sz="0" w:space="0" w:color="auto"/>
                                            <w:bottom w:val="none" w:sz="0" w:space="0" w:color="auto"/>
                                            <w:right w:val="none" w:sz="0" w:space="0" w:color="auto"/>
                                          </w:divBdr>
                                          <w:divsChild>
                                            <w:div w:id="1143500838">
                                              <w:marLeft w:val="0"/>
                                              <w:marRight w:val="0"/>
                                              <w:marTop w:val="0"/>
                                              <w:marBottom w:val="0"/>
                                              <w:divBdr>
                                                <w:top w:val="none" w:sz="0" w:space="0" w:color="auto"/>
                                                <w:left w:val="none" w:sz="0" w:space="0" w:color="auto"/>
                                                <w:bottom w:val="none" w:sz="0" w:space="0" w:color="auto"/>
                                                <w:right w:val="none" w:sz="0" w:space="0" w:color="auto"/>
                                              </w:divBdr>
                                              <w:divsChild>
                                                <w:div w:id="1758135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38984093">
      <w:bodyDiv w:val="1"/>
      <w:marLeft w:val="0"/>
      <w:marRight w:val="0"/>
      <w:marTop w:val="0"/>
      <w:marBottom w:val="0"/>
      <w:divBdr>
        <w:top w:val="none" w:sz="0" w:space="0" w:color="auto"/>
        <w:left w:val="none" w:sz="0" w:space="0" w:color="auto"/>
        <w:bottom w:val="none" w:sz="0" w:space="0" w:color="auto"/>
        <w:right w:val="none" w:sz="0" w:space="0" w:color="auto"/>
      </w:divBdr>
    </w:div>
    <w:div w:id="1445073623">
      <w:bodyDiv w:val="1"/>
      <w:marLeft w:val="0"/>
      <w:marRight w:val="0"/>
      <w:marTop w:val="0"/>
      <w:marBottom w:val="0"/>
      <w:divBdr>
        <w:top w:val="none" w:sz="0" w:space="0" w:color="auto"/>
        <w:left w:val="none" w:sz="0" w:space="0" w:color="auto"/>
        <w:bottom w:val="none" w:sz="0" w:space="0" w:color="auto"/>
        <w:right w:val="none" w:sz="0" w:space="0" w:color="auto"/>
      </w:divBdr>
    </w:div>
    <w:div w:id="1451824528">
      <w:bodyDiv w:val="1"/>
      <w:marLeft w:val="0"/>
      <w:marRight w:val="0"/>
      <w:marTop w:val="0"/>
      <w:marBottom w:val="0"/>
      <w:divBdr>
        <w:top w:val="none" w:sz="0" w:space="0" w:color="auto"/>
        <w:left w:val="none" w:sz="0" w:space="0" w:color="auto"/>
        <w:bottom w:val="none" w:sz="0" w:space="0" w:color="auto"/>
        <w:right w:val="none" w:sz="0" w:space="0" w:color="auto"/>
      </w:divBdr>
    </w:div>
    <w:div w:id="1454178800">
      <w:bodyDiv w:val="1"/>
      <w:marLeft w:val="0"/>
      <w:marRight w:val="0"/>
      <w:marTop w:val="0"/>
      <w:marBottom w:val="0"/>
      <w:divBdr>
        <w:top w:val="none" w:sz="0" w:space="0" w:color="auto"/>
        <w:left w:val="none" w:sz="0" w:space="0" w:color="auto"/>
        <w:bottom w:val="none" w:sz="0" w:space="0" w:color="auto"/>
        <w:right w:val="none" w:sz="0" w:space="0" w:color="auto"/>
      </w:divBdr>
    </w:div>
    <w:div w:id="1459638392">
      <w:bodyDiv w:val="1"/>
      <w:marLeft w:val="0"/>
      <w:marRight w:val="0"/>
      <w:marTop w:val="0"/>
      <w:marBottom w:val="0"/>
      <w:divBdr>
        <w:top w:val="none" w:sz="0" w:space="0" w:color="auto"/>
        <w:left w:val="none" w:sz="0" w:space="0" w:color="auto"/>
        <w:bottom w:val="none" w:sz="0" w:space="0" w:color="auto"/>
        <w:right w:val="none" w:sz="0" w:space="0" w:color="auto"/>
      </w:divBdr>
    </w:div>
    <w:div w:id="1467821578">
      <w:bodyDiv w:val="1"/>
      <w:marLeft w:val="0"/>
      <w:marRight w:val="0"/>
      <w:marTop w:val="0"/>
      <w:marBottom w:val="0"/>
      <w:divBdr>
        <w:top w:val="none" w:sz="0" w:space="0" w:color="auto"/>
        <w:left w:val="none" w:sz="0" w:space="0" w:color="auto"/>
        <w:bottom w:val="none" w:sz="0" w:space="0" w:color="auto"/>
        <w:right w:val="none" w:sz="0" w:space="0" w:color="auto"/>
      </w:divBdr>
      <w:divsChild>
        <w:div w:id="1993485971">
          <w:marLeft w:val="0"/>
          <w:marRight w:val="0"/>
          <w:marTop w:val="0"/>
          <w:marBottom w:val="0"/>
          <w:divBdr>
            <w:top w:val="none" w:sz="0" w:space="0" w:color="auto"/>
            <w:left w:val="none" w:sz="0" w:space="0" w:color="auto"/>
            <w:bottom w:val="none" w:sz="0" w:space="0" w:color="auto"/>
            <w:right w:val="none" w:sz="0" w:space="0" w:color="auto"/>
          </w:divBdr>
          <w:divsChild>
            <w:div w:id="367072073">
              <w:marLeft w:val="0"/>
              <w:marRight w:val="0"/>
              <w:marTop w:val="0"/>
              <w:marBottom w:val="0"/>
              <w:divBdr>
                <w:top w:val="none" w:sz="0" w:space="0" w:color="auto"/>
                <w:left w:val="none" w:sz="0" w:space="0" w:color="auto"/>
                <w:bottom w:val="none" w:sz="0" w:space="0" w:color="auto"/>
                <w:right w:val="none" w:sz="0" w:space="0" w:color="auto"/>
              </w:divBdr>
              <w:divsChild>
                <w:div w:id="828981490">
                  <w:marLeft w:val="0"/>
                  <w:marRight w:val="0"/>
                  <w:marTop w:val="0"/>
                  <w:marBottom w:val="0"/>
                  <w:divBdr>
                    <w:top w:val="none" w:sz="0" w:space="0" w:color="auto"/>
                    <w:left w:val="none" w:sz="0" w:space="0" w:color="auto"/>
                    <w:bottom w:val="none" w:sz="0" w:space="0" w:color="auto"/>
                    <w:right w:val="none" w:sz="0" w:space="0" w:color="auto"/>
                  </w:divBdr>
                  <w:divsChild>
                    <w:div w:id="100927707">
                      <w:marLeft w:val="0"/>
                      <w:marRight w:val="0"/>
                      <w:marTop w:val="0"/>
                      <w:marBottom w:val="0"/>
                      <w:divBdr>
                        <w:top w:val="none" w:sz="0" w:space="0" w:color="auto"/>
                        <w:left w:val="none" w:sz="0" w:space="0" w:color="auto"/>
                        <w:bottom w:val="none" w:sz="0" w:space="0" w:color="auto"/>
                        <w:right w:val="none" w:sz="0" w:space="0" w:color="auto"/>
                      </w:divBdr>
                      <w:divsChild>
                        <w:div w:id="801269754">
                          <w:marLeft w:val="0"/>
                          <w:marRight w:val="0"/>
                          <w:marTop w:val="0"/>
                          <w:marBottom w:val="0"/>
                          <w:divBdr>
                            <w:top w:val="none" w:sz="0" w:space="0" w:color="auto"/>
                            <w:left w:val="none" w:sz="0" w:space="0" w:color="auto"/>
                            <w:bottom w:val="none" w:sz="0" w:space="0" w:color="auto"/>
                            <w:right w:val="none" w:sz="0" w:space="0" w:color="auto"/>
                          </w:divBdr>
                          <w:divsChild>
                            <w:div w:id="2137136061">
                              <w:marLeft w:val="150"/>
                              <w:marRight w:val="150"/>
                              <w:marTop w:val="150"/>
                              <w:marBottom w:val="150"/>
                              <w:divBdr>
                                <w:top w:val="none" w:sz="0" w:space="0" w:color="auto"/>
                                <w:left w:val="none" w:sz="0" w:space="0" w:color="auto"/>
                                <w:bottom w:val="none" w:sz="0" w:space="0" w:color="auto"/>
                                <w:right w:val="none" w:sz="0" w:space="0" w:color="auto"/>
                              </w:divBdr>
                              <w:divsChild>
                                <w:div w:id="1951011224">
                                  <w:marLeft w:val="0"/>
                                  <w:marRight w:val="0"/>
                                  <w:marTop w:val="0"/>
                                  <w:marBottom w:val="0"/>
                                  <w:divBdr>
                                    <w:top w:val="none" w:sz="0" w:space="0" w:color="auto"/>
                                    <w:left w:val="none" w:sz="0" w:space="0" w:color="auto"/>
                                    <w:bottom w:val="none" w:sz="0" w:space="0" w:color="auto"/>
                                    <w:right w:val="none" w:sz="0" w:space="0" w:color="auto"/>
                                  </w:divBdr>
                                  <w:divsChild>
                                    <w:div w:id="1703434476">
                                      <w:marLeft w:val="0"/>
                                      <w:marRight w:val="0"/>
                                      <w:marTop w:val="0"/>
                                      <w:marBottom w:val="0"/>
                                      <w:divBdr>
                                        <w:top w:val="none" w:sz="0" w:space="0" w:color="auto"/>
                                        <w:left w:val="none" w:sz="0" w:space="0" w:color="auto"/>
                                        <w:bottom w:val="none" w:sz="0" w:space="0" w:color="auto"/>
                                        <w:right w:val="none" w:sz="0" w:space="0" w:color="auto"/>
                                      </w:divBdr>
                                      <w:divsChild>
                                        <w:div w:id="220874369">
                                          <w:marLeft w:val="0"/>
                                          <w:marRight w:val="0"/>
                                          <w:marTop w:val="0"/>
                                          <w:marBottom w:val="0"/>
                                          <w:divBdr>
                                            <w:top w:val="none" w:sz="0" w:space="0" w:color="auto"/>
                                            <w:left w:val="none" w:sz="0" w:space="0" w:color="auto"/>
                                            <w:bottom w:val="none" w:sz="0" w:space="0" w:color="auto"/>
                                            <w:right w:val="none" w:sz="0" w:space="0" w:color="auto"/>
                                          </w:divBdr>
                                          <w:divsChild>
                                            <w:div w:id="360783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71943096">
      <w:bodyDiv w:val="1"/>
      <w:marLeft w:val="0"/>
      <w:marRight w:val="0"/>
      <w:marTop w:val="0"/>
      <w:marBottom w:val="0"/>
      <w:divBdr>
        <w:top w:val="none" w:sz="0" w:space="0" w:color="auto"/>
        <w:left w:val="none" w:sz="0" w:space="0" w:color="auto"/>
        <w:bottom w:val="none" w:sz="0" w:space="0" w:color="auto"/>
        <w:right w:val="none" w:sz="0" w:space="0" w:color="auto"/>
      </w:divBdr>
      <w:divsChild>
        <w:div w:id="1828014125">
          <w:marLeft w:val="360"/>
          <w:marRight w:val="0"/>
          <w:marTop w:val="200"/>
          <w:marBottom w:val="0"/>
          <w:divBdr>
            <w:top w:val="none" w:sz="0" w:space="0" w:color="auto"/>
            <w:left w:val="none" w:sz="0" w:space="0" w:color="auto"/>
            <w:bottom w:val="none" w:sz="0" w:space="0" w:color="auto"/>
            <w:right w:val="none" w:sz="0" w:space="0" w:color="auto"/>
          </w:divBdr>
        </w:div>
        <w:div w:id="1917859904">
          <w:marLeft w:val="1080"/>
          <w:marRight w:val="0"/>
          <w:marTop w:val="100"/>
          <w:marBottom w:val="0"/>
          <w:divBdr>
            <w:top w:val="none" w:sz="0" w:space="0" w:color="auto"/>
            <w:left w:val="none" w:sz="0" w:space="0" w:color="auto"/>
            <w:bottom w:val="none" w:sz="0" w:space="0" w:color="auto"/>
            <w:right w:val="none" w:sz="0" w:space="0" w:color="auto"/>
          </w:divBdr>
        </w:div>
        <w:div w:id="1389302176">
          <w:marLeft w:val="1080"/>
          <w:marRight w:val="0"/>
          <w:marTop w:val="100"/>
          <w:marBottom w:val="0"/>
          <w:divBdr>
            <w:top w:val="none" w:sz="0" w:space="0" w:color="auto"/>
            <w:left w:val="none" w:sz="0" w:space="0" w:color="auto"/>
            <w:bottom w:val="none" w:sz="0" w:space="0" w:color="auto"/>
            <w:right w:val="none" w:sz="0" w:space="0" w:color="auto"/>
          </w:divBdr>
        </w:div>
        <w:div w:id="952056707">
          <w:marLeft w:val="1080"/>
          <w:marRight w:val="0"/>
          <w:marTop w:val="100"/>
          <w:marBottom w:val="0"/>
          <w:divBdr>
            <w:top w:val="none" w:sz="0" w:space="0" w:color="auto"/>
            <w:left w:val="none" w:sz="0" w:space="0" w:color="auto"/>
            <w:bottom w:val="none" w:sz="0" w:space="0" w:color="auto"/>
            <w:right w:val="none" w:sz="0" w:space="0" w:color="auto"/>
          </w:divBdr>
        </w:div>
        <w:div w:id="530842779">
          <w:marLeft w:val="360"/>
          <w:marRight w:val="0"/>
          <w:marTop w:val="200"/>
          <w:marBottom w:val="0"/>
          <w:divBdr>
            <w:top w:val="none" w:sz="0" w:space="0" w:color="auto"/>
            <w:left w:val="none" w:sz="0" w:space="0" w:color="auto"/>
            <w:bottom w:val="none" w:sz="0" w:space="0" w:color="auto"/>
            <w:right w:val="none" w:sz="0" w:space="0" w:color="auto"/>
          </w:divBdr>
        </w:div>
        <w:div w:id="1545365313">
          <w:marLeft w:val="1080"/>
          <w:marRight w:val="0"/>
          <w:marTop w:val="100"/>
          <w:marBottom w:val="0"/>
          <w:divBdr>
            <w:top w:val="none" w:sz="0" w:space="0" w:color="auto"/>
            <w:left w:val="none" w:sz="0" w:space="0" w:color="auto"/>
            <w:bottom w:val="none" w:sz="0" w:space="0" w:color="auto"/>
            <w:right w:val="none" w:sz="0" w:space="0" w:color="auto"/>
          </w:divBdr>
        </w:div>
        <w:div w:id="313530748">
          <w:marLeft w:val="1800"/>
          <w:marRight w:val="0"/>
          <w:marTop w:val="100"/>
          <w:marBottom w:val="0"/>
          <w:divBdr>
            <w:top w:val="none" w:sz="0" w:space="0" w:color="auto"/>
            <w:left w:val="none" w:sz="0" w:space="0" w:color="auto"/>
            <w:bottom w:val="none" w:sz="0" w:space="0" w:color="auto"/>
            <w:right w:val="none" w:sz="0" w:space="0" w:color="auto"/>
          </w:divBdr>
        </w:div>
        <w:div w:id="776365200">
          <w:marLeft w:val="1800"/>
          <w:marRight w:val="0"/>
          <w:marTop w:val="100"/>
          <w:marBottom w:val="0"/>
          <w:divBdr>
            <w:top w:val="none" w:sz="0" w:space="0" w:color="auto"/>
            <w:left w:val="none" w:sz="0" w:space="0" w:color="auto"/>
            <w:bottom w:val="none" w:sz="0" w:space="0" w:color="auto"/>
            <w:right w:val="none" w:sz="0" w:space="0" w:color="auto"/>
          </w:divBdr>
        </w:div>
        <w:div w:id="1797139244">
          <w:marLeft w:val="1080"/>
          <w:marRight w:val="0"/>
          <w:marTop w:val="100"/>
          <w:marBottom w:val="0"/>
          <w:divBdr>
            <w:top w:val="none" w:sz="0" w:space="0" w:color="auto"/>
            <w:left w:val="none" w:sz="0" w:space="0" w:color="auto"/>
            <w:bottom w:val="none" w:sz="0" w:space="0" w:color="auto"/>
            <w:right w:val="none" w:sz="0" w:space="0" w:color="auto"/>
          </w:divBdr>
        </w:div>
      </w:divsChild>
    </w:div>
    <w:div w:id="1483082768">
      <w:bodyDiv w:val="1"/>
      <w:marLeft w:val="0"/>
      <w:marRight w:val="0"/>
      <w:marTop w:val="0"/>
      <w:marBottom w:val="0"/>
      <w:divBdr>
        <w:top w:val="none" w:sz="0" w:space="0" w:color="auto"/>
        <w:left w:val="none" w:sz="0" w:space="0" w:color="auto"/>
        <w:bottom w:val="none" w:sz="0" w:space="0" w:color="auto"/>
        <w:right w:val="none" w:sz="0" w:space="0" w:color="auto"/>
      </w:divBdr>
    </w:div>
    <w:div w:id="1483737420">
      <w:bodyDiv w:val="1"/>
      <w:marLeft w:val="0"/>
      <w:marRight w:val="0"/>
      <w:marTop w:val="0"/>
      <w:marBottom w:val="0"/>
      <w:divBdr>
        <w:top w:val="none" w:sz="0" w:space="0" w:color="auto"/>
        <w:left w:val="none" w:sz="0" w:space="0" w:color="auto"/>
        <w:bottom w:val="none" w:sz="0" w:space="0" w:color="auto"/>
        <w:right w:val="none" w:sz="0" w:space="0" w:color="auto"/>
      </w:divBdr>
    </w:div>
    <w:div w:id="1484857273">
      <w:bodyDiv w:val="1"/>
      <w:marLeft w:val="0"/>
      <w:marRight w:val="0"/>
      <w:marTop w:val="0"/>
      <w:marBottom w:val="0"/>
      <w:divBdr>
        <w:top w:val="none" w:sz="0" w:space="0" w:color="auto"/>
        <w:left w:val="none" w:sz="0" w:space="0" w:color="auto"/>
        <w:bottom w:val="none" w:sz="0" w:space="0" w:color="auto"/>
        <w:right w:val="none" w:sz="0" w:space="0" w:color="auto"/>
      </w:divBdr>
    </w:div>
    <w:div w:id="1485580468">
      <w:bodyDiv w:val="1"/>
      <w:marLeft w:val="0"/>
      <w:marRight w:val="0"/>
      <w:marTop w:val="0"/>
      <w:marBottom w:val="0"/>
      <w:divBdr>
        <w:top w:val="none" w:sz="0" w:space="0" w:color="auto"/>
        <w:left w:val="none" w:sz="0" w:space="0" w:color="auto"/>
        <w:bottom w:val="none" w:sz="0" w:space="0" w:color="auto"/>
        <w:right w:val="none" w:sz="0" w:space="0" w:color="auto"/>
      </w:divBdr>
      <w:divsChild>
        <w:div w:id="1032533738">
          <w:marLeft w:val="0"/>
          <w:marRight w:val="0"/>
          <w:marTop w:val="0"/>
          <w:marBottom w:val="0"/>
          <w:divBdr>
            <w:top w:val="none" w:sz="0" w:space="0" w:color="auto"/>
            <w:left w:val="none" w:sz="0" w:space="0" w:color="auto"/>
            <w:bottom w:val="none" w:sz="0" w:space="0" w:color="auto"/>
            <w:right w:val="none" w:sz="0" w:space="0" w:color="auto"/>
          </w:divBdr>
          <w:divsChild>
            <w:div w:id="1872299026">
              <w:marLeft w:val="0"/>
              <w:marRight w:val="0"/>
              <w:marTop w:val="0"/>
              <w:marBottom w:val="0"/>
              <w:divBdr>
                <w:top w:val="none" w:sz="0" w:space="0" w:color="auto"/>
                <w:left w:val="none" w:sz="0" w:space="0" w:color="auto"/>
                <w:bottom w:val="none" w:sz="0" w:space="0" w:color="auto"/>
                <w:right w:val="none" w:sz="0" w:space="0" w:color="auto"/>
              </w:divBdr>
              <w:divsChild>
                <w:div w:id="1190021862">
                  <w:marLeft w:val="3360"/>
                  <w:marRight w:val="0"/>
                  <w:marTop w:val="0"/>
                  <w:marBottom w:val="0"/>
                  <w:divBdr>
                    <w:top w:val="none" w:sz="0" w:space="0" w:color="auto"/>
                    <w:left w:val="none" w:sz="0" w:space="0" w:color="auto"/>
                    <w:bottom w:val="none" w:sz="0" w:space="0" w:color="auto"/>
                    <w:right w:val="none" w:sz="0" w:space="0" w:color="auto"/>
                  </w:divBdr>
                  <w:divsChild>
                    <w:div w:id="114107693">
                      <w:marLeft w:val="0"/>
                      <w:marRight w:val="0"/>
                      <w:marTop w:val="0"/>
                      <w:marBottom w:val="0"/>
                      <w:divBdr>
                        <w:top w:val="none" w:sz="0" w:space="0" w:color="auto"/>
                        <w:left w:val="none" w:sz="0" w:space="0" w:color="auto"/>
                        <w:bottom w:val="none" w:sz="0" w:space="0" w:color="auto"/>
                        <w:right w:val="none" w:sz="0" w:space="0" w:color="auto"/>
                      </w:divBdr>
                      <w:divsChild>
                        <w:div w:id="205291142">
                          <w:marLeft w:val="0"/>
                          <w:marRight w:val="0"/>
                          <w:marTop w:val="0"/>
                          <w:marBottom w:val="0"/>
                          <w:divBdr>
                            <w:top w:val="none" w:sz="0" w:space="0" w:color="auto"/>
                            <w:left w:val="none" w:sz="0" w:space="0" w:color="auto"/>
                            <w:bottom w:val="none" w:sz="0" w:space="0" w:color="auto"/>
                            <w:right w:val="none" w:sz="0" w:space="0" w:color="auto"/>
                          </w:divBdr>
                          <w:divsChild>
                            <w:div w:id="351495576">
                              <w:marLeft w:val="0"/>
                              <w:marRight w:val="0"/>
                              <w:marTop w:val="0"/>
                              <w:marBottom w:val="0"/>
                              <w:divBdr>
                                <w:top w:val="none" w:sz="0" w:space="0" w:color="auto"/>
                                <w:left w:val="none" w:sz="0" w:space="0" w:color="auto"/>
                                <w:bottom w:val="none" w:sz="0" w:space="0" w:color="auto"/>
                                <w:right w:val="none" w:sz="0" w:space="0" w:color="auto"/>
                              </w:divBdr>
                              <w:divsChild>
                                <w:div w:id="2128694975">
                                  <w:marLeft w:val="0"/>
                                  <w:marRight w:val="0"/>
                                  <w:marTop w:val="0"/>
                                  <w:marBottom w:val="0"/>
                                  <w:divBdr>
                                    <w:top w:val="none" w:sz="0" w:space="0" w:color="auto"/>
                                    <w:left w:val="none" w:sz="0" w:space="0" w:color="auto"/>
                                    <w:bottom w:val="none" w:sz="0" w:space="0" w:color="auto"/>
                                    <w:right w:val="none" w:sz="0" w:space="0" w:color="auto"/>
                                  </w:divBdr>
                                  <w:divsChild>
                                    <w:div w:id="1181704467">
                                      <w:marLeft w:val="0"/>
                                      <w:marRight w:val="0"/>
                                      <w:marTop w:val="0"/>
                                      <w:marBottom w:val="0"/>
                                      <w:divBdr>
                                        <w:top w:val="none" w:sz="0" w:space="0" w:color="auto"/>
                                        <w:left w:val="none" w:sz="0" w:space="0" w:color="auto"/>
                                        <w:bottom w:val="none" w:sz="0" w:space="0" w:color="auto"/>
                                        <w:right w:val="none" w:sz="0" w:space="0" w:color="auto"/>
                                      </w:divBdr>
                                      <w:divsChild>
                                        <w:div w:id="317459656">
                                          <w:marLeft w:val="0"/>
                                          <w:marRight w:val="0"/>
                                          <w:marTop w:val="0"/>
                                          <w:marBottom w:val="0"/>
                                          <w:divBdr>
                                            <w:top w:val="none" w:sz="0" w:space="0" w:color="auto"/>
                                            <w:left w:val="none" w:sz="0" w:space="0" w:color="auto"/>
                                            <w:bottom w:val="none" w:sz="0" w:space="0" w:color="auto"/>
                                            <w:right w:val="none" w:sz="0" w:space="0" w:color="auto"/>
                                          </w:divBdr>
                                          <w:divsChild>
                                            <w:div w:id="699815299">
                                              <w:marLeft w:val="0"/>
                                              <w:marRight w:val="0"/>
                                              <w:marTop w:val="0"/>
                                              <w:marBottom w:val="0"/>
                                              <w:divBdr>
                                                <w:top w:val="none" w:sz="0" w:space="0" w:color="auto"/>
                                                <w:left w:val="none" w:sz="0" w:space="0" w:color="auto"/>
                                                <w:bottom w:val="none" w:sz="0" w:space="0" w:color="auto"/>
                                                <w:right w:val="none" w:sz="0" w:space="0" w:color="auto"/>
                                              </w:divBdr>
                                            </w:div>
                                          </w:divsChild>
                                        </w:div>
                                        <w:div w:id="1419912340">
                                          <w:marLeft w:val="0"/>
                                          <w:marRight w:val="0"/>
                                          <w:marTop w:val="0"/>
                                          <w:marBottom w:val="0"/>
                                          <w:divBdr>
                                            <w:top w:val="none" w:sz="0" w:space="0" w:color="auto"/>
                                            <w:left w:val="none" w:sz="0" w:space="0" w:color="auto"/>
                                            <w:bottom w:val="none" w:sz="0" w:space="0" w:color="auto"/>
                                            <w:right w:val="none" w:sz="0" w:space="0" w:color="auto"/>
                                          </w:divBdr>
                                        </w:div>
                                      </w:divsChild>
                                    </w:div>
                                    <w:div w:id="426577988">
                                      <w:marLeft w:val="0"/>
                                      <w:marRight w:val="0"/>
                                      <w:marTop w:val="0"/>
                                      <w:marBottom w:val="0"/>
                                      <w:divBdr>
                                        <w:top w:val="none" w:sz="0" w:space="0" w:color="auto"/>
                                        <w:left w:val="none" w:sz="0" w:space="0" w:color="auto"/>
                                        <w:bottom w:val="none" w:sz="0" w:space="0" w:color="auto"/>
                                        <w:right w:val="none" w:sz="0" w:space="0" w:color="auto"/>
                                      </w:divBdr>
                                      <w:divsChild>
                                        <w:div w:id="794913753">
                                          <w:marLeft w:val="0"/>
                                          <w:marRight w:val="0"/>
                                          <w:marTop w:val="0"/>
                                          <w:marBottom w:val="0"/>
                                          <w:divBdr>
                                            <w:top w:val="none" w:sz="0" w:space="0" w:color="auto"/>
                                            <w:left w:val="none" w:sz="0" w:space="0" w:color="auto"/>
                                            <w:bottom w:val="none" w:sz="0" w:space="0" w:color="auto"/>
                                            <w:right w:val="none" w:sz="0" w:space="0" w:color="auto"/>
                                          </w:divBdr>
                                        </w:div>
                                        <w:div w:id="2114592384">
                                          <w:marLeft w:val="0"/>
                                          <w:marRight w:val="0"/>
                                          <w:marTop w:val="0"/>
                                          <w:marBottom w:val="0"/>
                                          <w:divBdr>
                                            <w:top w:val="none" w:sz="0" w:space="0" w:color="auto"/>
                                            <w:left w:val="none" w:sz="0" w:space="0" w:color="auto"/>
                                            <w:bottom w:val="none" w:sz="0" w:space="0" w:color="auto"/>
                                            <w:right w:val="none" w:sz="0" w:space="0" w:color="auto"/>
                                          </w:divBdr>
                                          <w:divsChild>
                                            <w:div w:id="1239560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5117023">
                                      <w:marLeft w:val="0"/>
                                      <w:marRight w:val="0"/>
                                      <w:marTop w:val="0"/>
                                      <w:marBottom w:val="0"/>
                                      <w:divBdr>
                                        <w:top w:val="none" w:sz="0" w:space="0" w:color="auto"/>
                                        <w:left w:val="none" w:sz="0" w:space="0" w:color="auto"/>
                                        <w:bottom w:val="none" w:sz="0" w:space="0" w:color="auto"/>
                                        <w:right w:val="none" w:sz="0" w:space="0" w:color="auto"/>
                                      </w:divBdr>
                                      <w:divsChild>
                                        <w:div w:id="495849592">
                                          <w:marLeft w:val="0"/>
                                          <w:marRight w:val="0"/>
                                          <w:marTop w:val="0"/>
                                          <w:marBottom w:val="0"/>
                                          <w:divBdr>
                                            <w:top w:val="none" w:sz="0" w:space="0" w:color="auto"/>
                                            <w:left w:val="none" w:sz="0" w:space="0" w:color="auto"/>
                                            <w:bottom w:val="none" w:sz="0" w:space="0" w:color="auto"/>
                                            <w:right w:val="none" w:sz="0" w:space="0" w:color="auto"/>
                                          </w:divBdr>
                                        </w:div>
                                        <w:div w:id="1097751348">
                                          <w:marLeft w:val="0"/>
                                          <w:marRight w:val="0"/>
                                          <w:marTop w:val="0"/>
                                          <w:marBottom w:val="0"/>
                                          <w:divBdr>
                                            <w:top w:val="none" w:sz="0" w:space="0" w:color="auto"/>
                                            <w:left w:val="none" w:sz="0" w:space="0" w:color="auto"/>
                                            <w:bottom w:val="none" w:sz="0" w:space="0" w:color="auto"/>
                                            <w:right w:val="none" w:sz="0" w:space="0" w:color="auto"/>
                                          </w:divBdr>
                                          <w:divsChild>
                                            <w:div w:id="1399281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919803">
                                      <w:marLeft w:val="0"/>
                                      <w:marRight w:val="0"/>
                                      <w:marTop w:val="0"/>
                                      <w:marBottom w:val="0"/>
                                      <w:divBdr>
                                        <w:top w:val="none" w:sz="0" w:space="0" w:color="auto"/>
                                        <w:left w:val="none" w:sz="0" w:space="0" w:color="auto"/>
                                        <w:bottom w:val="none" w:sz="0" w:space="0" w:color="auto"/>
                                        <w:right w:val="none" w:sz="0" w:space="0" w:color="auto"/>
                                      </w:divBdr>
                                      <w:divsChild>
                                        <w:div w:id="1038090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94449464">
      <w:bodyDiv w:val="1"/>
      <w:marLeft w:val="0"/>
      <w:marRight w:val="0"/>
      <w:marTop w:val="0"/>
      <w:marBottom w:val="0"/>
      <w:divBdr>
        <w:top w:val="none" w:sz="0" w:space="0" w:color="auto"/>
        <w:left w:val="none" w:sz="0" w:space="0" w:color="auto"/>
        <w:bottom w:val="none" w:sz="0" w:space="0" w:color="auto"/>
        <w:right w:val="none" w:sz="0" w:space="0" w:color="auto"/>
      </w:divBdr>
      <w:divsChild>
        <w:div w:id="1812863670">
          <w:marLeft w:val="360"/>
          <w:marRight w:val="0"/>
          <w:marTop w:val="200"/>
          <w:marBottom w:val="0"/>
          <w:divBdr>
            <w:top w:val="none" w:sz="0" w:space="0" w:color="auto"/>
            <w:left w:val="none" w:sz="0" w:space="0" w:color="auto"/>
            <w:bottom w:val="none" w:sz="0" w:space="0" w:color="auto"/>
            <w:right w:val="none" w:sz="0" w:space="0" w:color="auto"/>
          </w:divBdr>
        </w:div>
        <w:div w:id="668287259">
          <w:marLeft w:val="1080"/>
          <w:marRight w:val="0"/>
          <w:marTop w:val="100"/>
          <w:marBottom w:val="0"/>
          <w:divBdr>
            <w:top w:val="none" w:sz="0" w:space="0" w:color="auto"/>
            <w:left w:val="none" w:sz="0" w:space="0" w:color="auto"/>
            <w:bottom w:val="none" w:sz="0" w:space="0" w:color="auto"/>
            <w:right w:val="none" w:sz="0" w:space="0" w:color="auto"/>
          </w:divBdr>
        </w:div>
        <w:div w:id="1881087287">
          <w:marLeft w:val="1080"/>
          <w:marRight w:val="0"/>
          <w:marTop w:val="100"/>
          <w:marBottom w:val="0"/>
          <w:divBdr>
            <w:top w:val="none" w:sz="0" w:space="0" w:color="auto"/>
            <w:left w:val="none" w:sz="0" w:space="0" w:color="auto"/>
            <w:bottom w:val="none" w:sz="0" w:space="0" w:color="auto"/>
            <w:right w:val="none" w:sz="0" w:space="0" w:color="auto"/>
          </w:divBdr>
        </w:div>
        <w:div w:id="1760636141">
          <w:marLeft w:val="1080"/>
          <w:marRight w:val="0"/>
          <w:marTop w:val="100"/>
          <w:marBottom w:val="0"/>
          <w:divBdr>
            <w:top w:val="none" w:sz="0" w:space="0" w:color="auto"/>
            <w:left w:val="none" w:sz="0" w:space="0" w:color="auto"/>
            <w:bottom w:val="none" w:sz="0" w:space="0" w:color="auto"/>
            <w:right w:val="none" w:sz="0" w:space="0" w:color="auto"/>
          </w:divBdr>
        </w:div>
        <w:div w:id="1222445897">
          <w:marLeft w:val="360"/>
          <w:marRight w:val="0"/>
          <w:marTop w:val="200"/>
          <w:marBottom w:val="0"/>
          <w:divBdr>
            <w:top w:val="none" w:sz="0" w:space="0" w:color="auto"/>
            <w:left w:val="none" w:sz="0" w:space="0" w:color="auto"/>
            <w:bottom w:val="none" w:sz="0" w:space="0" w:color="auto"/>
            <w:right w:val="none" w:sz="0" w:space="0" w:color="auto"/>
          </w:divBdr>
        </w:div>
        <w:div w:id="781191620">
          <w:marLeft w:val="1080"/>
          <w:marRight w:val="0"/>
          <w:marTop w:val="100"/>
          <w:marBottom w:val="0"/>
          <w:divBdr>
            <w:top w:val="none" w:sz="0" w:space="0" w:color="auto"/>
            <w:left w:val="none" w:sz="0" w:space="0" w:color="auto"/>
            <w:bottom w:val="none" w:sz="0" w:space="0" w:color="auto"/>
            <w:right w:val="none" w:sz="0" w:space="0" w:color="auto"/>
          </w:divBdr>
        </w:div>
        <w:div w:id="665591577">
          <w:marLeft w:val="1800"/>
          <w:marRight w:val="0"/>
          <w:marTop w:val="100"/>
          <w:marBottom w:val="0"/>
          <w:divBdr>
            <w:top w:val="none" w:sz="0" w:space="0" w:color="auto"/>
            <w:left w:val="none" w:sz="0" w:space="0" w:color="auto"/>
            <w:bottom w:val="none" w:sz="0" w:space="0" w:color="auto"/>
            <w:right w:val="none" w:sz="0" w:space="0" w:color="auto"/>
          </w:divBdr>
        </w:div>
        <w:div w:id="2009212144">
          <w:marLeft w:val="1800"/>
          <w:marRight w:val="0"/>
          <w:marTop w:val="100"/>
          <w:marBottom w:val="0"/>
          <w:divBdr>
            <w:top w:val="none" w:sz="0" w:space="0" w:color="auto"/>
            <w:left w:val="none" w:sz="0" w:space="0" w:color="auto"/>
            <w:bottom w:val="none" w:sz="0" w:space="0" w:color="auto"/>
            <w:right w:val="none" w:sz="0" w:space="0" w:color="auto"/>
          </w:divBdr>
        </w:div>
        <w:div w:id="805664301">
          <w:marLeft w:val="1080"/>
          <w:marRight w:val="0"/>
          <w:marTop w:val="100"/>
          <w:marBottom w:val="0"/>
          <w:divBdr>
            <w:top w:val="none" w:sz="0" w:space="0" w:color="auto"/>
            <w:left w:val="none" w:sz="0" w:space="0" w:color="auto"/>
            <w:bottom w:val="none" w:sz="0" w:space="0" w:color="auto"/>
            <w:right w:val="none" w:sz="0" w:space="0" w:color="auto"/>
          </w:divBdr>
        </w:div>
      </w:divsChild>
    </w:div>
    <w:div w:id="1501310408">
      <w:bodyDiv w:val="1"/>
      <w:marLeft w:val="0"/>
      <w:marRight w:val="0"/>
      <w:marTop w:val="0"/>
      <w:marBottom w:val="0"/>
      <w:divBdr>
        <w:top w:val="none" w:sz="0" w:space="0" w:color="auto"/>
        <w:left w:val="none" w:sz="0" w:space="0" w:color="auto"/>
        <w:bottom w:val="none" w:sz="0" w:space="0" w:color="auto"/>
        <w:right w:val="none" w:sz="0" w:space="0" w:color="auto"/>
      </w:divBdr>
    </w:div>
    <w:div w:id="1502237391">
      <w:bodyDiv w:val="1"/>
      <w:marLeft w:val="0"/>
      <w:marRight w:val="0"/>
      <w:marTop w:val="0"/>
      <w:marBottom w:val="0"/>
      <w:divBdr>
        <w:top w:val="none" w:sz="0" w:space="0" w:color="auto"/>
        <w:left w:val="none" w:sz="0" w:space="0" w:color="auto"/>
        <w:bottom w:val="none" w:sz="0" w:space="0" w:color="auto"/>
        <w:right w:val="none" w:sz="0" w:space="0" w:color="auto"/>
      </w:divBdr>
      <w:divsChild>
        <w:div w:id="169755882">
          <w:marLeft w:val="0"/>
          <w:marRight w:val="0"/>
          <w:marTop w:val="0"/>
          <w:marBottom w:val="0"/>
          <w:divBdr>
            <w:top w:val="none" w:sz="0" w:space="0" w:color="auto"/>
            <w:left w:val="none" w:sz="0" w:space="0" w:color="auto"/>
            <w:bottom w:val="none" w:sz="0" w:space="0" w:color="auto"/>
            <w:right w:val="none" w:sz="0" w:space="0" w:color="auto"/>
          </w:divBdr>
          <w:divsChild>
            <w:div w:id="2007783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072683">
      <w:bodyDiv w:val="1"/>
      <w:marLeft w:val="0"/>
      <w:marRight w:val="0"/>
      <w:marTop w:val="0"/>
      <w:marBottom w:val="0"/>
      <w:divBdr>
        <w:top w:val="none" w:sz="0" w:space="0" w:color="auto"/>
        <w:left w:val="none" w:sz="0" w:space="0" w:color="auto"/>
        <w:bottom w:val="none" w:sz="0" w:space="0" w:color="auto"/>
        <w:right w:val="none" w:sz="0" w:space="0" w:color="auto"/>
      </w:divBdr>
    </w:div>
    <w:div w:id="1536306618">
      <w:bodyDiv w:val="1"/>
      <w:marLeft w:val="0"/>
      <w:marRight w:val="0"/>
      <w:marTop w:val="0"/>
      <w:marBottom w:val="0"/>
      <w:divBdr>
        <w:top w:val="none" w:sz="0" w:space="0" w:color="auto"/>
        <w:left w:val="none" w:sz="0" w:space="0" w:color="auto"/>
        <w:bottom w:val="none" w:sz="0" w:space="0" w:color="auto"/>
        <w:right w:val="none" w:sz="0" w:space="0" w:color="auto"/>
      </w:divBdr>
    </w:div>
    <w:div w:id="1556695955">
      <w:bodyDiv w:val="1"/>
      <w:marLeft w:val="0"/>
      <w:marRight w:val="0"/>
      <w:marTop w:val="0"/>
      <w:marBottom w:val="0"/>
      <w:divBdr>
        <w:top w:val="none" w:sz="0" w:space="0" w:color="auto"/>
        <w:left w:val="none" w:sz="0" w:space="0" w:color="auto"/>
        <w:bottom w:val="none" w:sz="0" w:space="0" w:color="auto"/>
        <w:right w:val="none" w:sz="0" w:space="0" w:color="auto"/>
      </w:divBdr>
      <w:divsChild>
        <w:div w:id="1223373353">
          <w:marLeft w:val="0"/>
          <w:marRight w:val="0"/>
          <w:marTop w:val="0"/>
          <w:marBottom w:val="0"/>
          <w:divBdr>
            <w:top w:val="none" w:sz="0" w:space="0" w:color="auto"/>
            <w:left w:val="none" w:sz="0" w:space="0" w:color="auto"/>
            <w:bottom w:val="none" w:sz="0" w:space="0" w:color="auto"/>
            <w:right w:val="none" w:sz="0" w:space="0" w:color="auto"/>
          </w:divBdr>
          <w:divsChild>
            <w:div w:id="382827284">
              <w:marLeft w:val="0"/>
              <w:marRight w:val="0"/>
              <w:marTop w:val="0"/>
              <w:marBottom w:val="0"/>
              <w:divBdr>
                <w:top w:val="none" w:sz="0" w:space="0" w:color="auto"/>
                <w:left w:val="none" w:sz="0" w:space="0" w:color="auto"/>
                <w:bottom w:val="none" w:sz="0" w:space="0" w:color="auto"/>
                <w:right w:val="none" w:sz="0" w:space="0" w:color="auto"/>
              </w:divBdr>
              <w:divsChild>
                <w:div w:id="2067676662">
                  <w:marLeft w:val="4935"/>
                  <w:marRight w:val="0"/>
                  <w:marTop w:val="0"/>
                  <w:marBottom w:val="0"/>
                  <w:divBdr>
                    <w:top w:val="none" w:sz="0" w:space="0" w:color="auto"/>
                    <w:left w:val="none" w:sz="0" w:space="0" w:color="auto"/>
                    <w:bottom w:val="none" w:sz="0" w:space="0" w:color="auto"/>
                    <w:right w:val="none" w:sz="0" w:space="0" w:color="auto"/>
                  </w:divBdr>
                  <w:divsChild>
                    <w:div w:id="1542785671">
                      <w:marLeft w:val="0"/>
                      <w:marRight w:val="0"/>
                      <w:marTop w:val="0"/>
                      <w:marBottom w:val="0"/>
                      <w:divBdr>
                        <w:top w:val="none" w:sz="0" w:space="0" w:color="auto"/>
                        <w:left w:val="none" w:sz="0" w:space="0" w:color="auto"/>
                        <w:bottom w:val="none" w:sz="0" w:space="0" w:color="auto"/>
                        <w:right w:val="none" w:sz="0" w:space="0" w:color="auto"/>
                      </w:divBdr>
                      <w:divsChild>
                        <w:div w:id="1623878102">
                          <w:marLeft w:val="0"/>
                          <w:marRight w:val="0"/>
                          <w:marTop w:val="0"/>
                          <w:marBottom w:val="0"/>
                          <w:divBdr>
                            <w:top w:val="none" w:sz="0" w:space="0" w:color="auto"/>
                            <w:left w:val="none" w:sz="0" w:space="0" w:color="auto"/>
                            <w:bottom w:val="none" w:sz="0" w:space="0" w:color="auto"/>
                            <w:right w:val="none" w:sz="0" w:space="0" w:color="auto"/>
                          </w:divBdr>
                          <w:divsChild>
                            <w:div w:id="485709706">
                              <w:marLeft w:val="0"/>
                              <w:marRight w:val="0"/>
                              <w:marTop w:val="0"/>
                              <w:marBottom w:val="0"/>
                              <w:divBdr>
                                <w:top w:val="none" w:sz="0" w:space="0" w:color="auto"/>
                                <w:left w:val="none" w:sz="0" w:space="0" w:color="auto"/>
                                <w:bottom w:val="none" w:sz="0" w:space="0" w:color="auto"/>
                                <w:right w:val="none" w:sz="0" w:space="0" w:color="auto"/>
                              </w:divBdr>
                              <w:divsChild>
                                <w:div w:id="1497921475">
                                  <w:marLeft w:val="0"/>
                                  <w:marRight w:val="0"/>
                                  <w:marTop w:val="0"/>
                                  <w:marBottom w:val="0"/>
                                  <w:divBdr>
                                    <w:top w:val="none" w:sz="0" w:space="0" w:color="auto"/>
                                    <w:left w:val="none" w:sz="0" w:space="0" w:color="auto"/>
                                    <w:bottom w:val="none" w:sz="0" w:space="0" w:color="auto"/>
                                    <w:right w:val="none" w:sz="0" w:space="0" w:color="auto"/>
                                  </w:divBdr>
                                  <w:divsChild>
                                    <w:div w:id="204997614">
                                      <w:marLeft w:val="0"/>
                                      <w:marRight w:val="0"/>
                                      <w:marTop w:val="0"/>
                                      <w:marBottom w:val="0"/>
                                      <w:divBdr>
                                        <w:top w:val="none" w:sz="0" w:space="0" w:color="auto"/>
                                        <w:left w:val="none" w:sz="0" w:space="0" w:color="auto"/>
                                        <w:bottom w:val="none" w:sz="0" w:space="0" w:color="auto"/>
                                        <w:right w:val="none" w:sz="0" w:space="0" w:color="auto"/>
                                      </w:divBdr>
                                      <w:divsChild>
                                        <w:div w:id="1047295945">
                                          <w:marLeft w:val="0"/>
                                          <w:marRight w:val="0"/>
                                          <w:marTop w:val="0"/>
                                          <w:marBottom w:val="0"/>
                                          <w:divBdr>
                                            <w:top w:val="none" w:sz="0" w:space="0" w:color="auto"/>
                                            <w:left w:val="none" w:sz="0" w:space="0" w:color="auto"/>
                                            <w:bottom w:val="none" w:sz="0" w:space="0" w:color="auto"/>
                                            <w:right w:val="none" w:sz="0" w:space="0" w:color="auto"/>
                                          </w:divBdr>
                                          <w:divsChild>
                                            <w:div w:id="828251270">
                                              <w:marLeft w:val="0"/>
                                              <w:marRight w:val="0"/>
                                              <w:marTop w:val="0"/>
                                              <w:marBottom w:val="0"/>
                                              <w:divBdr>
                                                <w:top w:val="none" w:sz="0" w:space="0" w:color="auto"/>
                                                <w:left w:val="none" w:sz="0" w:space="0" w:color="auto"/>
                                                <w:bottom w:val="none" w:sz="0" w:space="0" w:color="auto"/>
                                                <w:right w:val="none" w:sz="0" w:space="0" w:color="auto"/>
                                              </w:divBdr>
                                              <w:divsChild>
                                                <w:div w:id="1236432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66992910">
      <w:bodyDiv w:val="1"/>
      <w:marLeft w:val="0"/>
      <w:marRight w:val="0"/>
      <w:marTop w:val="0"/>
      <w:marBottom w:val="0"/>
      <w:divBdr>
        <w:top w:val="none" w:sz="0" w:space="0" w:color="auto"/>
        <w:left w:val="none" w:sz="0" w:space="0" w:color="auto"/>
        <w:bottom w:val="none" w:sz="0" w:space="0" w:color="auto"/>
        <w:right w:val="none" w:sz="0" w:space="0" w:color="auto"/>
      </w:divBdr>
      <w:divsChild>
        <w:div w:id="344871554">
          <w:marLeft w:val="0"/>
          <w:marRight w:val="0"/>
          <w:marTop w:val="0"/>
          <w:marBottom w:val="0"/>
          <w:divBdr>
            <w:top w:val="none" w:sz="0" w:space="0" w:color="auto"/>
            <w:left w:val="none" w:sz="0" w:space="0" w:color="auto"/>
            <w:bottom w:val="none" w:sz="0" w:space="0" w:color="auto"/>
            <w:right w:val="none" w:sz="0" w:space="0" w:color="auto"/>
          </w:divBdr>
          <w:divsChild>
            <w:div w:id="1146359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6863310">
      <w:bodyDiv w:val="1"/>
      <w:marLeft w:val="0"/>
      <w:marRight w:val="0"/>
      <w:marTop w:val="0"/>
      <w:marBottom w:val="0"/>
      <w:divBdr>
        <w:top w:val="none" w:sz="0" w:space="0" w:color="auto"/>
        <w:left w:val="none" w:sz="0" w:space="0" w:color="auto"/>
        <w:bottom w:val="none" w:sz="0" w:space="0" w:color="auto"/>
        <w:right w:val="none" w:sz="0" w:space="0" w:color="auto"/>
      </w:divBdr>
    </w:div>
    <w:div w:id="1579552677">
      <w:bodyDiv w:val="1"/>
      <w:marLeft w:val="0"/>
      <w:marRight w:val="0"/>
      <w:marTop w:val="0"/>
      <w:marBottom w:val="0"/>
      <w:divBdr>
        <w:top w:val="none" w:sz="0" w:space="0" w:color="auto"/>
        <w:left w:val="none" w:sz="0" w:space="0" w:color="auto"/>
        <w:bottom w:val="none" w:sz="0" w:space="0" w:color="auto"/>
        <w:right w:val="none" w:sz="0" w:space="0" w:color="auto"/>
      </w:divBdr>
      <w:divsChild>
        <w:div w:id="903222676">
          <w:marLeft w:val="0"/>
          <w:marRight w:val="0"/>
          <w:marTop w:val="0"/>
          <w:marBottom w:val="0"/>
          <w:divBdr>
            <w:top w:val="none" w:sz="0" w:space="0" w:color="auto"/>
            <w:left w:val="none" w:sz="0" w:space="0" w:color="auto"/>
            <w:bottom w:val="none" w:sz="0" w:space="0" w:color="auto"/>
            <w:right w:val="none" w:sz="0" w:space="0" w:color="auto"/>
          </w:divBdr>
          <w:divsChild>
            <w:div w:id="725179837">
              <w:marLeft w:val="4"/>
              <w:marRight w:val="4"/>
              <w:marTop w:val="0"/>
              <w:marBottom w:val="0"/>
              <w:divBdr>
                <w:top w:val="none" w:sz="0" w:space="0" w:color="auto"/>
                <w:left w:val="none" w:sz="0" w:space="0" w:color="auto"/>
                <w:bottom w:val="none" w:sz="0" w:space="0" w:color="auto"/>
                <w:right w:val="none" w:sz="0" w:space="0" w:color="auto"/>
              </w:divBdr>
              <w:divsChild>
                <w:div w:id="49992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1404663">
      <w:bodyDiv w:val="1"/>
      <w:marLeft w:val="0"/>
      <w:marRight w:val="0"/>
      <w:marTop w:val="0"/>
      <w:marBottom w:val="0"/>
      <w:divBdr>
        <w:top w:val="none" w:sz="0" w:space="0" w:color="auto"/>
        <w:left w:val="none" w:sz="0" w:space="0" w:color="auto"/>
        <w:bottom w:val="none" w:sz="0" w:space="0" w:color="auto"/>
        <w:right w:val="none" w:sz="0" w:space="0" w:color="auto"/>
      </w:divBdr>
      <w:divsChild>
        <w:div w:id="224727931">
          <w:marLeft w:val="0"/>
          <w:marRight w:val="0"/>
          <w:marTop w:val="0"/>
          <w:marBottom w:val="0"/>
          <w:divBdr>
            <w:top w:val="none" w:sz="0" w:space="0" w:color="auto"/>
            <w:left w:val="none" w:sz="0" w:space="0" w:color="auto"/>
            <w:bottom w:val="none" w:sz="0" w:space="0" w:color="auto"/>
            <w:right w:val="none" w:sz="0" w:space="0" w:color="auto"/>
          </w:divBdr>
          <w:divsChild>
            <w:div w:id="688413382">
              <w:marLeft w:val="0"/>
              <w:marRight w:val="0"/>
              <w:marTop w:val="0"/>
              <w:marBottom w:val="0"/>
              <w:divBdr>
                <w:top w:val="none" w:sz="0" w:space="0" w:color="auto"/>
                <w:left w:val="none" w:sz="0" w:space="0" w:color="auto"/>
                <w:bottom w:val="none" w:sz="0" w:space="0" w:color="auto"/>
                <w:right w:val="none" w:sz="0" w:space="0" w:color="auto"/>
              </w:divBdr>
              <w:divsChild>
                <w:div w:id="1645159090">
                  <w:marLeft w:val="0"/>
                  <w:marRight w:val="0"/>
                  <w:marTop w:val="0"/>
                  <w:marBottom w:val="0"/>
                  <w:divBdr>
                    <w:top w:val="none" w:sz="0" w:space="0" w:color="auto"/>
                    <w:left w:val="none" w:sz="0" w:space="0" w:color="auto"/>
                    <w:bottom w:val="none" w:sz="0" w:space="0" w:color="auto"/>
                    <w:right w:val="none" w:sz="0" w:space="0" w:color="auto"/>
                  </w:divBdr>
                  <w:divsChild>
                    <w:div w:id="1944990956">
                      <w:marLeft w:val="0"/>
                      <w:marRight w:val="0"/>
                      <w:marTop w:val="0"/>
                      <w:marBottom w:val="0"/>
                      <w:divBdr>
                        <w:top w:val="none" w:sz="0" w:space="0" w:color="auto"/>
                        <w:left w:val="none" w:sz="0" w:space="0" w:color="auto"/>
                        <w:bottom w:val="none" w:sz="0" w:space="0" w:color="auto"/>
                        <w:right w:val="none" w:sz="0" w:space="0" w:color="auto"/>
                      </w:divBdr>
                      <w:divsChild>
                        <w:div w:id="1299988738">
                          <w:marLeft w:val="0"/>
                          <w:marRight w:val="0"/>
                          <w:marTop w:val="0"/>
                          <w:marBottom w:val="0"/>
                          <w:divBdr>
                            <w:top w:val="none" w:sz="0" w:space="0" w:color="auto"/>
                            <w:left w:val="none" w:sz="0" w:space="0" w:color="auto"/>
                            <w:bottom w:val="none" w:sz="0" w:space="0" w:color="auto"/>
                            <w:right w:val="none" w:sz="0" w:space="0" w:color="auto"/>
                          </w:divBdr>
                          <w:divsChild>
                            <w:div w:id="325474532">
                              <w:marLeft w:val="0"/>
                              <w:marRight w:val="0"/>
                              <w:marTop w:val="0"/>
                              <w:marBottom w:val="0"/>
                              <w:divBdr>
                                <w:top w:val="none" w:sz="0" w:space="0" w:color="auto"/>
                                <w:left w:val="none" w:sz="0" w:space="0" w:color="auto"/>
                                <w:bottom w:val="none" w:sz="0" w:space="0" w:color="auto"/>
                                <w:right w:val="none" w:sz="0" w:space="0" w:color="auto"/>
                              </w:divBdr>
                              <w:divsChild>
                                <w:div w:id="1417479669">
                                  <w:marLeft w:val="0"/>
                                  <w:marRight w:val="0"/>
                                  <w:marTop w:val="0"/>
                                  <w:marBottom w:val="0"/>
                                  <w:divBdr>
                                    <w:top w:val="none" w:sz="0" w:space="0" w:color="auto"/>
                                    <w:left w:val="none" w:sz="0" w:space="0" w:color="auto"/>
                                    <w:bottom w:val="none" w:sz="0" w:space="0" w:color="auto"/>
                                    <w:right w:val="none" w:sz="0" w:space="0" w:color="auto"/>
                                  </w:divBdr>
                                  <w:divsChild>
                                    <w:div w:id="945187930">
                                      <w:marLeft w:val="0"/>
                                      <w:marRight w:val="0"/>
                                      <w:marTop w:val="0"/>
                                      <w:marBottom w:val="0"/>
                                      <w:divBdr>
                                        <w:top w:val="none" w:sz="0" w:space="0" w:color="auto"/>
                                        <w:left w:val="none" w:sz="0" w:space="0" w:color="auto"/>
                                        <w:bottom w:val="none" w:sz="0" w:space="0" w:color="auto"/>
                                        <w:right w:val="none" w:sz="0" w:space="0" w:color="auto"/>
                                      </w:divBdr>
                                      <w:divsChild>
                                        <w:div w:id="253319789">
                                          <w:marLeft w:val="0"/>
                                          <w:marRight w:val="0"/>
                                          <w:marTop w:val="0"/>
                                          <w:marBottom w:val="0"/>
                                          <w:divBdr>
                                            <w:top w:val="none" w:sz="0" w:space="0" w:color="auto"/>
                                            <w:left w:val="none" w:sz="0" w:space="0" w:color="auto"/>
                                            <w:bottom w:val="none" w:sz="0" w:space="0" w:color="auto"/>
                                            <w:right w:val="none" w:sz="0" w:space="0" w:color="auto"/>
                                          </w:divBdr>
                                          <w:divsChild>
                                            <w:div w:id="1649282416">
                                              <w:marLeft w:val="0"/>
                                              <w:marRight w:val="0"/>
                                              <w:marTop w:val="0"/>
                                              <w:marBottom w:val="0"/>
                                              <w:divBdr>
                                                <w:top w:val="none" w:sz="0" w:space="0" w:color="auto"/>
                                                <w:left w:val="none" w:sz="0" w:space="0" w:color="auto"/>
                                                <w:bottom w:val="none" w:sz="0" w:space="0" w:color="auto"/>
                                                <w:right w:val="none" w:sz="0" w:space="0" w:color="auto"/>
                                              </w:divBdr>
                                              <w:divsChild>
                                                <w:div w:id="1324892624">
                                                  <w:marLeft w:val="0"/>
                                                  <w:marRight w:val="0"/>
                                                  <w:marTop w:val="0"/>
                                                  <w:marBottom w:val="0"/>
                                                  <w:divBdr>
                                                    <w:top w:val="none" w:sz="0" w:space="0" w:color="auto"/>
                                                    <w:left w:val="none" w:sz="0" w:space="0" w:color="auto"/>
                                                    <w:bottom w:val="none" w:sz="0" w:space="0" w:color="auto"/>
                                                    <w:right w:val="none" w:sz="0" w:space="0" w:color="auto"/>
                                                  </w:divBdr>
                                                  <w:divsChild>
                                                    <w:div w:id="734624375">
                                                      <w:marLeft w:val="0"/>
                                                      <w:marRight w:val="0"/>
                                                      <w:marTop w:val="0"/>
                                                      <w:marBottom w:val="0"/>
                                                      <w:divBdr>
                                                        <w:top w:val="none" w:sz="0" w:space="0" w:color="auto"/>
                                                        <w:left w:val="none" w:sz="0" w:space="0" w:color="auto"/>
                                                        <w:bottom w:val="none" w:sz="0" w:space="0" w:color="auto"/>
                                                        <w:right w:val="none" w:sz="0" w:space="0" w:color="auto"/>
                                                      </w:divBdr>
                                                      <w:divsChild>
                                                        <w:div w:id="778529487">
                                                          <w:marLeft w:val="0"/>
                                                          <w:marRight w:val="0"/>
                                                          <w:marTop w:val="0"/>
                                                          <w:marBottom w:val="0"/>
                                                          <w:divBdr>
                                                            <w:top w:val="none" w:sz="0" w:space="0" w:color="auto"/>
                                                            <w:left w:val="none" w:sz="0" w:space="0" w:color="auto"/>
                                                            <w:bottom w:val="none" w:sz="0" w:space="0" w:color="auto"/>
                                                            <w:right w:val="none" w:sz="0" w:space="0" w:color="auto"/>
                                                          </w:divBdr>
                                                          <w:divsChild>
                                                            <w:div w:id="1267231419">
                                                              <w:marLeft w:val="0"/>
                                                              <w:marRight w:val="0"/>
                                                              <w:marTop w:val="0"/>
                                                              <w:marBottom w:val="0"/>
                                                              <w:divBdr>
                                                                <w:top w:val="none" w:sz="0" w:space="0" w:color="auto"/>
                                                                <w:left w:val="none" w:sz="0" w:space="0" w:color="auto"/>
                                                                <w:bottom w:val="none" w:sz="0" w:space="0" w:color="auto"/>
                                                                <w:right w:val="none" w:sz="0" w:space="0" w:color="auto"/>
                                                              </w:divBdr>
                                                              <w:divsChild>
                                                                <w:div w:id="1132595896">
                                                                  <w:marLeft w:val="0"/>
                                                                  <w:marRight w:val="0"/>
                                                                  <w:marTop w:val="0"/>
                                                                  <w:marBottom w:val="0"/>
                                                                  <w:divBdr>
                                                                    <w:top w:val="none" w:sz="0" w:space="0" w:color="auto"/>
                                                                    <w:left w:val="none" w:sz="0" w:space="0" w:color="auto"/>
                                                                    <w:bottom w:val="none" w:sz="0" w:space="0" w:color="auto"/>
                                                                    <w:right w:val="none" w:sz="0" w:space="0" w:color="auto"/>
                                                                  </w:divBdr>
                                                                  <w:divsChild>
                                                                    <w:div w:id="208424333">
                                                                      <w:marLeft w:val="0"/>
                                                                      <w:marRight w:val="0"/>
                                                                      <w:marTop w:val="0"/>
                                                                      <w:marBottom w:val="0"/>
                                                                      <w:divBdr>
                                                                        <w:top w:val="none" w:sz="0" w:space="0" w:color="auto"/>
                                                                        <w:left w:val="none" w:sz="0" w:space="0" w:color="auto"/>
                                                                        <w:bottom w:val="none" w:sz="0" w:space="0" w:color="auto"/>
                                                                        <w:right w:val="none" w:sz="0" w:space="0" w:color="auto"/>
                                                                      </w:divBdr>
                                                                      <w:divsChild>
                                                                        <w:div w:id="609170793">
                                                                          <w:marLeft w:val="0"/>
                                                                          <w:marRight w:val="0"/>
                                                                          <w:marTop w:val="0"/>
                                                                          <w:marBottom w:val="0"/>
                                                                          <w:divBdr>
                                                                            <w:top w:val="none" w:sz="0" w:space="0" w:color="auto"/>
                                                                            <w:left w:val="none" w:sz="0" w:space="0" w:color="auto"/>
                                                                            <w:bottom w:val="none" w:sz="0" w:space="0" w:color="auto"/>
                                                                            <w:right w:val="none" w:sz="0" w:space="0" w:color="auto"/>
                                                                          </w:divBdr>
                                                                          <w:divsChild>
                                                                            <w:div w:id="160319254">
                                                                              <w:marLeft w:val="0"/>
                                                                              <w:marRight w:val="0"/>
                                                                              <w:marTop w:val="0"/>
                                                                              <w:marBottom w:val="0"/>
                                                                              <w:divBdr>
                                                                                <w:top w:val="none" w:sz="0" w:space="0" w:color="auto"/>
                                                                                <w:left w:val="none" w:sz="0" w:space="0" w:color="auto"/>
                                                                                <w:bottom w:val="none" w:sz="0" w:space="0" w:color="auto"/>
                                                                                <w:right w:val="none" w:sz="0" w:space="0" w:color="auto"/>
                                                                              </w:divBdr>
                                                                              <w:divsChild>
                                                                                <w:div w:id="1268658196">
                                                                                  <w:marLeft w:val="0"/>
                                                                                  <w:marRight w:val="0"/>
                                                                                  <w:marTop w:val="0"/>
                                                                                  <w:marBottom w:val="0"/>
                                                                                  <w:divBdr>
                                                                                    <w:top w:val="none" w:sz="0" w:space="0" w:color="auto"/>
                                                                                    <w:left w:val="none" w:sz="0" w:space="0" w:color="auto"/>
                                                                                    <w:bottom w:val="none" w:sz="0" w:space="0" w:color="auto"/>
                                                                                    <w:right w:val="none" w:sz="0" w:space="0" w:color="auto"/>
                                                                                  </w:divBdr>
                                                                                  <w:divsChild>
                                                                                    <w:div w:id="307826277">
                                                                                      <w:marLeft w:val="0"/>
                                                                                      <w:marRight w:val="0"/>
                                                                                      <w:marTop w:val="0"/>
                                                                                      <w:marBottom w:val="0"/>
                                                                                      <w:divBdr>
                                                                                        <w:top w:val="none" w:sz="0" w:space="0" w:color="auto"/>
                                                                                        <w:left w:val="none" w:sz="0" w:space="0" w:color="auto"/>
                                                                                        <w:bottom w:val="none" w:sz="0" w:space="0" w:color="auto"/>
                                                                                        <w:right w:val="none" w:sz="0" w:space="0" w:color="auto"/>
                                                                                      </w:divBdr>
                                                                                      <w:divsChild>
                                                                                        <w:div w:id="1194423084">
                                                                                          <w:marLeft w:val="0"/>
                                                                                          <w:marRight w:val="0"/>
                                                                                          <w:marTop w:val="100"/>
                                                                                          <w:marBottom w:val="100"/>
                                                                                          <w:divBdr>
                                                                                            <w:top w:val="none" w:sz="0" w:space="0" w:color="auto"/>
                                                                                            <w:left w:val="none" w:sz="0" w:space="0" w:color="auto"/>
                                                                                            <w:bottom w:val="none" w:sz="0" w:space="0" w:color="auto"/>
                                                                                            <w:right w:val="none" w:sz="0" w:space="0" w:color="auto"/>
                                                                                          </w:divBdr>
                                                                                          <w:divsChild>
                                                                                            <w:div w:id="20714813">
                                                                                              <w:marLeft w:val="0"/>
                                                                                              <w:marRight w:val="0"/>
                                                                                              <w:marTop w:val="0"/>
                                                                                              <w:marBottom w:val="0"/>
                                                                                              <w:divBdr>
                                                                                                <w:top w:val="none" w:sz="0" w:space="0" w:color="auto"/>
                                                                                                <w:left w:val="none" w:sz="0" w:space="0" w:color="auto"/>
                                                                                                <w:bottom w:val="none" w:sz="0" w:space="0" w:color="auto"/>
                                                                                                <w:right w:val="none" w:sz="0" w:space="0" w:color="auto"/>
                                                                                              </w:divBdr>
                                                                                              <w:divsChild>
                                                                                                <w:div w:id="16277664">
                                                                                                  <w:marLeft w:val="0"/>
                                                                                                  <w:marRight w:val="0"/>
                                                                                                  <w:marTop w:val="0"/>
                                                                                                  <w:marBottom w:val="0"/>
                                                                                                  <w:divBdr>
                                                                                                    <w:top w:val="none" w:sz="0" w:space="0" w:color="auto"/>
                                                                                                    <w:left w:val="none" w:sz="0" w:space="0" w:color="auto"/>
                                                                                                    <w:bottom w:val="none" w:sz="0" w:space="0" w:color="auto"/>
                                                                                                    <w:right w:val="none" w:sz="0" w:space="0" w:color="auto"/>
                                                                                                  </w:divBdr>
                                                                                                  <w:divsChild>
                                                                                                    <w:div w:id="1850561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82566436">
      <w:bodyDiv w:val="1"/>
      <w:marLeft w:val="0"/>
      <w:marRight w:val="0"/>
      <w:marTop w:val="0"/>
      <w:marBottom w:val="0"/>
      <w:divBdr>
        <w:top w:val="none" w:sz="0" w:space="0" w:color="auto"/>
        <w:left w:val="none" w:sz="0" w:space="0" w:color="auto"/>
        <w:bottom w:val="none" w:sz="0" w:space="0" w:color="auto"/>
        <w:right w:val="none" w:sz="0" w:space="0" w:color="auto"/>
      </w:divBdr>
      <w:divsChild>
        <w:div w:id="813086">
          <w:marLeft w:val="0"/>
          <w:marRight w:val="0"/>
          <w:marTop w:val="0"/>
          <w:marBottom w:val="0"/>
          <w:divBdr>
            <w:top w:val="none" w:sz="0" w:space="0" w:color="auto"/>
            <w:left w:val="none" w:sz="0" w:space="0" w:color="auto"/>
            <w:bottom w:val="none" w:sz="0" w:space="0" w:color="auto"/>
            <w:right w:val="none" w:sz="0" w:space="0" w:color="auto"/>
          </w:divBdr>
          <w:divsChild>
            <w:div w:id="339622799">
              <w:marLeft w:val="0"/>
              <w:marRight w:val="0"/>
              <w:marTop w:val="0"/>
              <w:marBottom w:val="0"/>
              <w:divBdr>
                <w:top w:val="none" w:sz="0" w:space="0" w:color="auto"/>
                <w:left w:val="none" w:sz="0" w:space="0" w:color="auto"/>
                <w:bottom w:val="none" w:sz="0" w:space="0" w:color="auto"/>
                <w:right w:val="none" w:sz="0" w:space="0" w:color="auto"/>
              </w:divBdr>
              <w:divsChild>
                <w:div w:id="853419565">
                  <w:marLeft w:val="3360"/>
                  <w:marRight w:val="0"/>
                  <w:marTop w:val="0"/>
                  <w:marBottom w:val="0"/>
                  <w:divBdr>
                    <w:top w:val="none" w:sz="0" w:space="0" w:color="auto"/>
                    <w:left w:val="none" w:sz="0" w:space="0" w:color="auto"/>
                    <w:bottom w:val="none" w:sz="0" w:space="0" w:color="auto"/>
                    <w:right w:val="none" w:sz="0" w:space="0" w:color="auto"/>
                  </w:divBdr>
                  <w:divsChild>
                    <w:div w:id="1329478741">
                      <w:marLeft w:val="0"/>
                      <w:marRight w:val="0"/>
                      <w:marTop w:val="0"/>
                      <w:marBottom w:val="0"/>
                      <w:divBdr>
                        <w:top w:val="none" w:sz="0" w:space="0" w:color="auto"/>
                        <w:left w:val="none" w:sz="0" w:space="0" w:color="auto"/>
                        <w:bottom w:val="none" w:sz="0" w:space="0" w:color="auto"/>
                        <w:right w:val="none" w:sz="0" w:space="0" w:color="auto"/>
                      </w:divBdr>
                      <w:divsChild>
                        <w:div w:id="17707397">
                          <w:marLeft w:val="0"/>
                          <w:marRight w:val="0"/>
                          <w:marTop w:val="0"/>
                          <w:marBottom w:val="0"/>
                          <w:divBdr>
                            <w:top w:val="none" w:sz="0" w:space="0" w:color="auto"/>
                            <w:left w:val="none" w:sz="0" w:space="0" w:color="auto"/>
                            <w:bottom w:val="none" w:sz="0" w:space="0" w:color="auto"/>
                            <w:right w:val="none" w:sz="0" w:space="0" w:color="auto"/>
                          </w:divBdr>
                          <w:divsChild>
                            <w:div w:id="1545825077">
                              <w:marLeft w:val="0"/>
                              <w:marRight w:val="0"/>
                              <w:marTop w:val="0"/>
                              <w:marBottom w:val="0"/>
                              <w:divBdr>
                                <w:top w:val="none" w:sz="0" w:space="0" w:color="auto"/>
                                <w:left w:val="none" w:sz="0" w:space="0" w:color="auto"/>
                                <w:bottom w:val="none" w:sz="0" w:space="0" w:color="auto"/>
                                <w:right w:val="none" w:sz="0" w:space="0" w:color="auto"/>
                              </w:divBdr>
                              <w:divsChild>
                                <w:div w:id="134833078">
                                  <w:marLeft w:val="0"/>
                                  <w:marRight w:val="0"/>
                                  <w:marTop w:val="0"/>
                                  <w:marBottom w:val="0"/>
                                  <w:divBdr>
                                    <w:top w:val="none" w:sz="0" w:space="0" w:color="auto"/>
                                    <w:left w:val="none" w:sz="0" w:space="0" w:color="auto"/>
                                    <w:bottom w:val="none" w:sz="0" w:space="0" w:color="auto"/>
                                    <w:right w:val="none" w:sz="0" w:space="0" w:color="auto"/>
                                  </w:divBdr>
                                  <w:divsChild>
                                    <w:div w:id="431434385">
                                      <w:marLeft w:val="0"/>
                                      <w:marRight w:val="0"/>
                                      <w:marTop w:val="0"/>
                                      <w:marBottom w:val="0"/>
                                      <w:divBdr>
                                        <w:top w:val="none" w:sz="0" w:space="0" w:color="auto"/>
                                        <w:left w:val="none" w:sz="0" w:space="0" w:color="auto"/>
                                        <w:bottom w:val="none" w:sz="0" w:space="0" w:color="auto"/>
                                        <w:right w:val="none" w:sz="0" w:space="0" w:color="auto"/>
                                      </w:divBdr>
                                      <w:divsChild>
                                        <w:div w:id="833179350">
                                          <w:marLeft w:val="0"/>
                                          <w:marRight w:val="0"/>
                                          <w:marTop w:val="0"/>
                                          <w:marBottom w:val="0"/>
                                          <w:divBdr>
                                            <w:top w:val="none" w:sz="0" w:space="0" w:color="auto"/>
                                            <w:left w:val="none" w:sz="0" w:space="0" w:color="auto"/>
                                            <w:bottom w:val="none" w:sz="0" w:space="0" w:color="auto"/>
                                            <w:right w:val="none" w:sz="0" w:space="0" w:color="auto"/>
                                          </w:divBdr>
                                          <w:divsChild>
                                            <w:div w:id="2084838099">
                                              <w:marLeft w:val="0"/>
                                              <w:marRight w:val="0"/>
                                              <w:marTop w:val="0"/>
                                              <w:marBottom w:val="0"/>
                                              <w:divBdr>
                                                <w:top w:val="none" w:sz="0" w:space="0" w:color="auto"/>
                                                <w:left w:val="none" w:sz="0" w:space="0" w:color="auto"/>
                                                <w:bottom w:val="none" w:sz="0" w:space="0" w:color="auto"/>
                                                <w:right w:val="none" w:sz="0" w:space="0" w:color="auto"/>
                                              </w:divBdr>
                                              <w:divsChild>
                                                <w:div w:id="1642811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92397462">
      <w:bodyDiv w:val="1"/>
      <w:marLeft w:val="0"/>
      <w:marRight w:val="0"/>
      <w:marTop w:val="0"/>
      <w:marBottom w:val="0"/>
      <w:divBdr>
        <w:top w:val="none" w:sz="0" w:space="0" w:color="auto"/>
        <w:left w:val="none" w:sz="0" w:space="0" w:color="auto"/>
        <w:bottom w:val="none" w:sz="0" w:space="0" w:color="auto"/>
        <w:right w:val="none" w:sz="0" w:space="0" w:color="auto"/>
      </w:divBdr>
      <w:divsChild>
        <w:div w:id="574706696">
          <w:marLeft w:val="0"/>
          <w:marRight w:val="0"/>
          <w:marTop w:val="0"/>
          <w:marBottom w:val="0"/>
          <w:divBdr>
            <w:top w:val="none" w:sz="0" w:space="0" w:color="auto"/>
            <w:left w:val="none" w:sz="0" w:space="0" w:color="auto"/>
            <w:bottom w:val="none" w:sz="0" w:space="0" w:color="auto"/>
            <w:right w:val="none" w:sz="0" w:space="0" w:color="auto"/>
          </w:divBdr>
          <w:divsChild>
            <w:div w:id="571546974">
              <w:marLeft w:val="0"/>
              <w:marRight w:val="0"/>
              <w:marTop w:val="0"/>
              <w:marBottom w:val="0"/>
              <w:divBdr>
                <w:top w:val="none" w:sz="0" w:space="0" w:color="auto"/>
                <w:left w:val="none" w:sz="0" w:space="0" w:color="auto"/>
                <w:bottom w:val="none" w:sz="0" w:space="0" w:color="auto"/>
                <w:right w:val="none" w:sz="0" w:space="0" w:color="auto"/>
              </w:divBdr>
              <w:divsChild>
                <w:div w:id="658265278">
                  <w:marLeft w:val="4200"/>
                  <w:marRight w:val="0"/>
                  <w:marTop w:val="0"/>
                  <w:marBottom w:val="0"/>
                  <w:divBdr>
                    <w:top w:val="none" w:sz="0" w:space="0" w:color="auto"/>
                    <w:left w:val="none" w:sz="0" w:space="0" w:color="auto"/>
                    <w:bottom w:val="none" w:sz="0" w:space="0" w:color="auto"/>
                    <w:right w:val="none" w:sz="0" w:space="0" w:color="auto"/>
                  </w:divBdr>
                  <w:divsChild>
                    <w:div w:id="1716536649">
                      <w:marLeft w:val="0"/>
                      <w:marRight w:val="0"/>
                      <w:marTop w:val="0"/>
                      <w:marBottom w:val="0"/>
                      <w:divBdr>
                        <w:top w:val="none" w:sz="0" w:space="0" w:color="auto"/>
                        <w:left w:val="none" w:sz="0" w:space="0" w:color="auto"/>
                        <w:bottom w:val="none" w:sz="0" w:space="0" w:color="auto"/>
                        <w:right w:val="none" w:sz="0" w:space="0" w:color="auto"/>
                      </w:divBdr>
                      <w:divsChild>
                        <w:div w:id="987829095">
                          <w:marLeft w:val="0"/>
                          <w:marRight w:val="0"/>
                          <w:marTop w:val="0"/>
                          <w:marBottom w:val="0"/>
                          <w:divBdr>
                            <w:top w:val="none" w:sz="0" w:space="0" w:color="auto"/>
                            <w:left w:val="none" w:sz="0" w:space="0" w:color="auto"/>
                            <w:bottom w:val="none" w:sz="0" w:space="0" w:color="auto"/>
                            <w:right w:val="none" w:sz="0" w:space="0" w:color="auto"/>
                          </w:divBdr>
                          <w:divsChild>
                            <w:div w:id="1853257087">
                              <w:marLeft w:val="0"/>
                              <w:marRight w:val="0"/>
                              <w:marTop w:val="0"/>
                              <w:marBottom w:val="0"/>
                              <w:divBdr>
                                <w:top w:val="none" w:sz="0" w:space="0" w:color="auto"/>
                                <w:left w:val="none" w:sz="0" w:space="0" w:color="auto"/>
                                <w:bottom w:val="none" w:sz="0" w:space="0" w:color="auto"/>
                                <w:right w:val="none" w:sz="0" w:space="0" w:color="auto"/>
                              </w:divBdr>
                              <w:divsChild>
                                <w:div w:id="1386106711">
                                  <w:marLeft w:val="0"/>
                                  <w:marRight w:val="0"/>
                                  <w:marTop w:val="0"/>
                                  <w:marBottom w:val="0"/>
                                  <w:divBdr>
                                    <w:top w:val="none" w:sz="0" w:space="0" w:color="auto"/>
                                    <w:left w:val="none" w:sz="0" w:space="0" w:color="auto"/>
                                    <w:bottom w:val="none" w:sz="0" w:space="0" w:color="auto"/>
                                    <w:right w:val="none" w:sz="0" w:space="0" w:color="auto"/>
                                  </w:divBdr>
                                  <w:divsChild>
                                    <w:div w:id="139618887">
                                      <w:marLeft w:val="0"/>
                                      <w:marRight w:val="0"/>
                                      <w:marTop w:val="0"/>
                                      <w:marBottom w:val="0"/>
                                      <w:divBdr>
                                        <w:top w:val="none" w:sz="0" w:space="0" w:color="auto"/>
                                        <w:left w:val="none" w:sz="0" w:space="0" w:color="auto"/>
                                        <w:bottom w:val="none" w:sz="0" w:space="0" w:color="auto"/>
                                        <w:right w:val="none" w:sz="0" w:space="0" w:color="auto"/>
                                      </w:divBdr>
                                      <w:divsChild>
                                        <w:div w:id="684670176">
                                          <w:marLeft w:val="0"/>
                                          <w:marRight w:val="0"/>
                                          <w:marTop w:val="0"/>
                                          <w:marBottom w:val="0"/>
                                          <w:divBdr>
                                            <w:top w:val="none" w:sz="0" w:space="0" w:color="auto"/>
                                            <w:left w:val="none" w:sz="0" w:space="0" w:color="auto"/>
                                            <w:bottom w:val="none" w:sz="0" w:space="0" w:color="auto"/>
                                            <w:right w:val="none" w:sz="0" w:space="0" w:color="auto"/>
                                          </w:divBdr>
                                          <w:divsChild>
                                            <w:div w:id="784613081">
                                              <w:marLeft w:val="0"/>
                                              <w:marRight w:val="0"/>
                                              <w:marTop w:val="0"/>
                                              <w:marBottom w:val="0"/>
                                              <w:divBdr>
                                                <w:top w:val="none" w:sz="0" w:space="0" w:color="auto"/>
                                                <w:left w:val="none" w:sz="0" w:space="0" w:color="auto"/>
                                                <w:bottom w:val="none" w:sz="0" w:space="0" w:color="auto"/>
                                                <w:right w:val="none" w:sz="0" w:space="0" w:color="auto"/>
                                              </w:divBdr>
                                              <w:divsChild>
                                                <w:div w:id="184092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10625574">
      <w:bodyDiv w:val="1"/>
      <w:marLeft w:val="0"/>
      <w:marRight w:val="0"/>
      <w:marTop w:val="0"/>
      <w:marBottom w:val="0"/>
      <w:divBdr>
        <w:top w:val="none" w:sz="0" w:space="0" w:color="auto"/>
        <w:left w:val="none" w:sz="0" w:space="0" w:color="auto"/>
        <w:bottom w:val="none" w:sz="0" w:space="0" w:color="auto"/>
        <w:right w:val="none" w:sz="0" w:space="0" w:color="auto"/>
      </w:divBdr>
    </w:div>
    <w:div w:id="1628051354">
      <w:bodyDiv w:val="1"/>
      <w:marLeft w:val="0"/>
      <w:marRight w:val="0"/>
      <w:marTop w:val="0"/>
      <w:marBottom w:val="0"/>
      <w:divBdr>
        <w:top w:val="none" w:sz="0" w:space="0" w:color="auto"/>
        <w:left w:val="none" w:sz="0" w:space="0" w:color="auto"/>
        <w:bottom w:val="none" w:sz="0" w:space="0" w:color="auto"/>
        <w:right w:val="none" w:sz="0" w:space="0" w:color="auto"/>
      </w:divBdr>
    </w:div>
    <w:div w:id="1662537914">
      <w:bodyDiv w:val="1"/>
      <w:marLeft w:val="0"/>
      <w:marRight w:val="0"/>
      <w:marTop w:val="0"/>
      <w:marBottom w:val="0"/>
      <w:divBdr>
        <w:top w:val="none" w:sz="0" w:space="0" w:color="auto"/>
        <w:left w:val="none" w:sz="0" w:space="0" w:color="auto"/>
        <w:bottom w:val="none" w:sz="0" w:space="0" w:color="auto"/>
        <w:right w:val="none" w:sz="0" w:space="0" w:color="auto"/>
      </w:divBdr>
      <w:divsChild>
        <w:div w:id="1431123337">
          <w:marLeft w:val="0"/>
          <w:marRight w:val="0"/>
          <w:marTop w:val="0"/>
          <w:marBottom w:val="0"/>
          <w:divBdr>
            <w:top w:val="none" w:sz="0" w:space="0" w:color="auto"/>
            <w:left w:val="none" w:sz="0" w:space="0" w:color="auto"/>
            <w:bottom w:val="none" w:sz="0" w:space="0" w:color="auto"/>
            <w:right w:val="none" w:sz="0" w:space="0" w:color="auto"/>
          </w:divBdr>
          <w:divsChild>
            <w:div w:id="938487253">
              <w:marLeft w:val="0"/>
              <w:marRight w:val="0"/>
              <w:marTop w:val="0"/>
              <w:marBottom w:val="0"/>
              <w:divBdr>
                <w:top w:val="none" w:sz="0" w:space="0" w:color="auto"/>
                <w:left w:val="none" w:sz="0" w:space="0" w:color="auto"/>
                <w:bottom w:val="none" w:sz="0" w:space="0" w:color="auto"/>
                <w:right w:val="none" w:sz="0" w:space="0" w:color="auto"/>
              </w:divBdr>
              <w:divsChild>
                <w:div w:id="1822893153">
                  <w:marLeft w:val="4200"/>
                  <w:marRight w:val="0"/>
                  <w:marTop w:val="0"/>
                  <w:marBottom w:val="0"/>
                  <w:divBdr>
                    <w:top w:val="none" w:sz="0" w:space="0" w:color="auto"/>
                    <w:left w:val="none" w:sz="0" w:space="0" w:color="auto"/>
                    <w:bottom w:val="none" w:sz="0" w:space="0" w:color="auto"/>
                    <w:right w:val="none" w:sz="0" w:space="0" w:color="auto"/>
                  </w:divBdr>
                  <w:divsChild>
                    <w:div w:id="1423457554">
                      <w:marLeft w:val="0"/>
                      <w:marRight w:val="0"/>
                      <w:marTop w:val="0"/>
                      <w:marBottom w:val="0"/>
                      <w:divBdr>
                        <w:top w:val="none" w:sz="0" w:space="0" w:color="auto"/>
                        <w:left w:val="none" w:sz="0" w:space="0" w:color="auto"/>
                        <w:bottom w:val="none" w:sz="0" w:space="0" w:color="auto"/>
                        <w:right w:val="none" w:sz="0" w:space="0" w:color="auto"/>
                      </w:divBdr>
                      <w:divsChild>
                        <w:div w:id="981421360">
                          <w:marLeft w:val="0"/>
                          <w:marRight w:val="0"/>
                          <w:marTop w:val="0"/>
                          <w:marBottom w:val="0"/>
                          <w:divBdr>
                            <w:top w:val="none" w:sz="0" w:space="0" w:color="auto"/>
                            <w:left w:val="none" w:sz="0" w:space="0" w:color="auto"/>
                            <w:bottom w:val="none" w:sz="0" w:space="0" w:color="auto"/>
                            <w:right w:val="none" w:sz="0" w:space="0" w:color="auto"/>
                          </w:divBdr>
                          <w:divsChild>
                            <w:div w:id="132063726">
                              <w:marLeft w:val="0"/>
                              <w:marRight w:val="0"/>
                              <w:marTop w:val="0"/>
                              <w:marBottom w:val="0"/>
                              <w:divBdr>
                                <w:top w:val="none" w:sz="0" w:space="0" w:color="auto"/>
                                <w:left w:val="none" w:sz="0" w:space="0" w:color="auto"/>
                                <w:bottom w:val="none" w:sz="0" w:space="0" w:color="auto"/>
                                <w:right w:val="none" w:sz="0" w:space="0" w:color="auto"/>
                              </w:divBdr>
                              <w:divsChild>
                                <w:div w:id="322245447">
                                  <w:marLeft w:val="0"/>
                                  <w:marRight w:val="0"/>
                                  <w:marTop w:val="0"/>
                                  <w:marBottom w:val="0"/>
                                  <w:divBdr>
                                    <w:top w:val="none" w:sz="0" w:space="0" w:color="auto"/>
                                    <w:left w:val="none" w:sz="0" w:space="0" w:color="auto"/>
                                    <w:bottom w:val="none" w:sz="0" w:space="0" w:color="auto"/>
                                    <w:right w:val="none" w:sz="0" w:space="0" w:color="auto"/>
                                  </w:divBdr>
                                  <w:divsChild>
                                    <w:div w:id="1781757013">
                                      <w:marLeft w:val="0"/>
                                      <w:marRight w:val="0"/>
                                      <w:marTop w:val="0"/>
                                      <w:marBottom w:val="0"/>
                                      <w:divBdr>
                                        <w:top w:val="none" w:sz="0" w:space="0" w:color="auto"/>
                                        <w:left w:val="none" w:sz="0" w:space="0" w:color="auto"/>
                                        <w:bottom w:val="none" w:sz="0" w:space="0" w:color="auto"/>
                                        <w:right w:val="none" w:sz="0" w:space="0" w:color="auto"/>
                                      </w:divBdr>
                                      <w:divsChild>
                                        <w:div w:id="834223902">
                                          <w:marLeft w:val="0"/>
                                          <w:marRight w:val="0"/>
                                          <w:marTop w:val="0"/>
                                          <w:marBottom w:val="0"/>
                                          <w:divBdr>
                                            <w:top w:val="none" w:sz="0" w:space="0" w:color="auto"/>
                                            <w:left w:val="none" w:sz="0" w:space="0" w:color="auto"/>
                                            <w:bottom w:val="none" w:sz="0" w:space="0" w:color="auto"/>
                                            <w:right w:val="none" w:sz="0" w:space="0" w:color="auto"/>
                                          </w:divBdr>
                                          <w:divsChild>
                                            <w:div w:id="1652054934">
                                              <w:marLeft w:val="0"/>
                                              <w:marRight w:val="0"/>
                                              <w:marTop w:val="0"/>
                                              <w:marBottom w:val="0"/>
                                              <w:divBdr>
                                                <w:top w:val="none" w:sz="0" w:space="0" w:color="auto"/>
                                                <w:left w:val="none" w:sz="0" w:space="0" w:color="auto"/>
                                                <w:bottom w:val="none" w:sz="0" w:space="0" w:color="auto"/>
                                                <w:right w:val="none" w:sz="0" w:space="0" w:color="auto"/>
                                              </w:divBdr>
                                              <w:divsChild>
                                                <w:div w:id="181313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09721016">
      <w:bodyDiv w:val="1"/>
      <w:marLeft w:val="0"/>
      <w:marRight w:val="0"/>
      <w:marTop w:val="0"/>
      <w:marBottom w:val="0"/>
      <w:divBdr>
        <w:top w:val="none" w:sz="0" w:space="0" w:color="auto"/>
        <w:left w:val="none" w:sz="0" w:space="0" w:color="auto"/>
        <w:bottom w:val="none" w:sz="0" w:space="0" w:color="auto"/>
        <w:right w:val="none" w:sz="0" w:space="0" w:color="auto"/>
      </w:divBdr>
    </w:div>
    <w:div w:id="1719932423">
      <w:bodyDiv w:val="1"/>
      <w:marLeft w:val="0"/>
      <w:marRight w:val="0"/>
      <w:marTop w:val="0"/>
      <w:marBottom w:val="0"/>
      <w:divBdr>
        <w:top w:val="none" w:sz="0" w:space="0" w:color="auto"/>
        <w:left w:val="none" w:sz="0" w:space="0" w:color="auto"/>
        <w:bottom w:val="none" w:sz="0" w:space="0" w:color="auto"/>
        <w:right w:val="none" w:sz="0" w:space="0" w:color="auto"/>
      </w:divBdr>
      <w:divsChild>
        <w:div w:id="818961307">
          <w:marLeft w:val="0"/>
          <w:marRight w:val="0"/>
          <w:marTop w:val="0"/>
          <w:marBottom w:val="0"/>
          <w:divBdr>
            <w:top w:val="none" w:sz="0" w:space="0" w:color="auto"/>
            <w:left w:val="none" w:sz="0" w:space="0" w:color="auto"/>
            <w:bottom w:val="none" w:sz="0" w:space="0" w:color="auto"/>
            <w:right w:val="none" w:sz="0" w:space="0" w:color="auto"/>
          </w:divBdr>
          <w:divsChild>
            <w:div w:id="1937709846">
              <w:marLeft w:val="4"/>
              <w:marRight w:val="4"/>
              <w:marTop w:val="0"/>
              <w:marBottom w:val="0"/>
              <w:divBdr>
                <w:top w:val="none" w:sz="0" w:space="0" w:color="auto"/>
                <w:left w:val="none" w:sz="0" w:space="0" w:color="auto"/>
                <w:bottom w:val="none" w:sz="0" w:space="0" w:color="auto"/>
                <w:right w:val="none" w:sz="0" w:space="0" w:color="auto"/>
              </w:divBdr>
              <w:divsChild>
                <w:div w:id="204216168">
                  <w:marLeft w:val="0"/>
                  <w:marRight w:val="0"/>
                  <w:marTop w:val="4"/>
                  <w:marBottom w:val="0"/>
                  <w:divBdr>
                    <w:top w:val="none" w:sz="0" w:space="0" w:color="auto"/>
                    <w:left w:val="none" w:sz="0" w:space="0" w:color="auto"/>
                    <w:bottom w:val="none" w:sz="0" w:space="0" w:color="auto"/>
                    <w:right w:val="none" w:sz="0" w:space="0" w:color="auto"/>
                  </w:divBdr>
                </w:div>
              </w:divsChild>
            </w:div>
          </w:divsChild>
        </w:div>
      </w:divsChild>
    </w:div>
    <w:div w:id="1735620612">
      <w:bodyDiv w:val="1"/>
      <w:marLeft w:val="0"/>
      <w:marRight w:val="0"/>
      <w:marTop w:val="0"/>
      <w:marBottom w:val="0"/>
      <w:divBdr>
        <w:top w:val="none" w:sz="0" w:space="0" w:color="auto"/>
        <w:left w:val="none" w:sz="0" w:space="0" w:color="auto"/>
        <w:bottom w:val="none" w:sz="0" w:space="0" w:color="auto"/>
        <w:right w:val="none" w:sz="0" w:space="0" w:color="auto"/>
      </w:divBdr>
      <w:divsChild>
        <w:div w:id="1593049">
          <w:marLeft w:val="0"/>
          <w:marRight w:val="0"/>
          <w:marTop w:val="0"/>
          <w:marBottom w:val="0"/>
          <w:divBdr>
            <w:top w:val="none" w:sz="0" w:space="0" w:color="auto"/>
            <w:left w:val="none" w:sz="0" w:space="0" w:color="auto"/>
            <w:bottom w:val="none" w:sz="0" w:space="0" w:color="auto"/>
            <w:right w:val="none" w:sz="0" w:space="0" w:color="auto"/>
          </w:divBdr>
          <w:divsChild>
            <w:div w:id="1215115037">
              <w:marLeft w:val="0"/>
              <w:marRight w:val="0"/>
              <w:marTop w:val="0"/>
              <w:marBottom w:val="0"/>
              <w:divBdr>
                <w:top w:val="none" w:sz="0" w:space="0" w:color="auto"/>
                <w:left w:val="none" w:sz="0" w:space="0" w:color="auto"/>
                <w:bottom w:val="none" w:sz="0" w:space="0" w:color="auto"/>
                <w:right w:val="none" w:sz="0" w:space="0" w:color="auto"/>
              </w:divBdr>
              <w:divsChild>
                <w:div w:id="364791274">
                  <w:marLeft w:val="4200"/>
                  <w:marRight w:val="0"/>
                  <w:marTop w:val="0"/>
                  <w:marBottom w:val="0"/>
                  <w:divBdr>
                    <w:top w:val="none" w:sz="0" w:space="0" w:color="auto"/>
                    <w:left w:val="none" w:sz="0" w:space="0" w:color="auto"/>
                    <w:bottom w:val="none" w:sz="0" w:space="0" w:color="auto"/>
                    <w:right w:val="none" w:sz="0" w:space="0" w:color="auto"/>
                  </w:divBdr>
                  <w:divsChild>
                    <w:div w:id="812408639">
                      <w:marLeft w:val="0"/>
                      <w:marRight w:val="0"/>
                      <w:marTop w:val="0"/>
                      <w:marBottom w:val="0"/>
                      <w:divBdr>
                        <w:top w:val="none" w:sz="0" w:space="0" w:color="auto"/>
                        <w:left w:val="none" w:sz="0" w:space="0" w:color="auto"/>
                        <w:bottom w:val="none" w:sz="0" w:space="0" w:color="auto"/>
                        <w:right w:val="none" w:sz="0" w:space="0" w:color="auto"/>
                      </w:divBdr>
                      <w:divsChild>
                        <w:div w:id="1314871340">
                          <w:marLeft w:val="0"/>
                          <w:marRight w:val="0"/>
                          <w:marTop w:val="0"/>
                          <w:marBottom w:val="0"/>
                          <w:divBdr>
                            <w:top w:val="none" w:sz="0" w:space="0" w:color="auto"/>
                            <w:left w:val="none" w:sz="0" w:space="0" w:color="auto"/>
                            <w:bottom w:val="none" w:sz="0" w:space="0" w:color="auto"/>
                            <w:right w:val="none" w:sz="0" w:space="0" w:color="auto"/>
                          </w:divBdr>
                          <w:divsChild>
                            <w:div w:id="337775959">
                              <w:marLeft w:val="0"/>
                              <w:marRight w:val="0"/>
                              <w:marTop w:val="0"/>
                              <w:marBottom w:val="0"/>
                              <w:divBdr>
                                <w:top w:val="none" w:sz="0" w:space="0" w:color="auto"/>
                                <w:left w:val="none" w:sz="0" w:space="0" w:color="auto"/>
                                <w:bottom w:val="none" w:sz="0" w:space="0" w:color="auto"/>
                                <w:right w:val="none" w:sz="0" w:space="0" w:color="auto"/>
                              </w:divBdr>
                              <w:divsChild>
                                <w:div w:id="598176907">
                                  <w:marLeft w:val="0"/>
                                  <w:marRight w:val="0"/>
                                  <w:marTop w:val="0"/>
                                  <w:marBottom w:val="0"/>
                                  <w:divBdr>
                                    <w:top w:val="none" w:sz="0" w:space="0" w:color="auto"/>
                                    <w:left w:val="none" w:sz="0" w:space="0" w:color="auto"/>
                                    <w:bottom w:val="none" w:sz="0" w:space="0" w:color="auto"/>
                                    <w:right w:val="none" w:sz="0" w:space="0" w:color="auto"/>
                                  </w:divBdr>
                                  <w:divsChild>
                                    <w:div w:id="486285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39133434">
      <w:bodyDiv w:val="1"/>
      <w:marLeft w:val="0"/>
      <w:marRight w:val="0"/>
      <w:marTop w:val="0"/>
      <w:marBottom w:val="0"/>
      <w:divBdr>
        <w:top w:val="none" w:sz="0" w:space="0" w:color="auto"/>
        <w:left w:val="none" w:sz="0" w:space="0" w:color="auto"/>
        <w:bottom w:val="none" w:sz="0" w:space="0" w:color="auto"/>
        <w:right w:val="none" w:sz="0" w:space="0" w:color="auto"/>
      </w:divBdr>
      <w:divsChild>
        <w:div w:id="1535458524">
          <w:marLeft w:val="0"/>
          <w:marRight w:val="0"/>
          <w:marTop w:val="0"/>
          <w:marBottom w:val="0"/>
          <w:divBdr>
            <w:top w:val="none" w:sz="0" w:space="0" w:color="auto"/>
            <w:left w:val="none" w:sz="0" w:space="0" w:color="auto"/>
            <w:bottom w:val="none" w:sz="0" w:space="0" w:color="auto"/>
            <w:right w:val="none" w:sz="0" w:space="0" w:color="auto"/>
          </w:divBdr>
          <w:divsChild>
            <w:div w:id="770786705">
              <w:marLeft w:val="0"/>
              <w:marRight w:val="0"/>
              <w:marTop w:val="0"/>
              <w:marBottom w:val="0"/>
              <w:divBdr>
                <w:top w:val="none" w:sz="0" w:space="0" w:color="auto"/>
                <w:left w:val="none" w:sz="0" w:space="0" w:color="auto"/>
                <w:bottom w:val="none" w:sz="0" w:space="0" w:color="auto"/>
                <w:right w:val="none" w:sz="0" w:space="0" w:color="auto"/>
              </w:divBdr>
              <w:divsChild>
                <w:div w:id="572274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6802035">
      <w:bodyDiv w:val="1"/>
      <w:marLeft w:val="0"/>
      <w:marRight w:val="0"/>
      <w:marTop w:val="0"/>
      <w:marBottom w:val="0"/>
      <w:divBdr>
        <w:top w:val="none" w:sz="0" w:space="0" w:color="auto"/>
        <w:left w:val="none" w:sz="0" w:space="0" w:color="auto"/>
        <w:bottom w:val="none" w:sz="0" w:space="0" w:color="auto"/>
        <w:right w:val="none" w:sz="0" w:space="0" w:color="auto"/>
      </w:divBdr>
      <w:divsChild>
        <w:div w:id="1956860990">
          <w:marLeft w:val="0"/>
          <w:marRight w:val="0"/>
          <w:marTop w:val="0"/>
          <w:marBottom w:val="0"/>
          <w:divBdr>
            <w:top w:val="none" w:sz="0" w:space="0" w:color="auto"/>
            <w:left w:val="none" w:sz="0" w:space="0" w:color="auto"/>
            <w:bottom w:val="none" w:sz="0" w:space="0" w:color="auto"/>
            <w:right w:val="none" w:sz="0" w:space="0" w:color="auto"/>
          </w:divBdr>
          <w:divsChild>
            <w:div w:id="918056847">
              <w:marLeft w:val="0"/>
              <w:marRight w:val="0"/>
              <w:marTop w:val="0"/>
              <w:marBottom w:val="0"/>
              <w:divBdr>
                <w:top w:val="none" w:sz="0" w:space="0" w:color="auto"/>
                <w:left w:val="none" w:sz="0" w:space="0" w:color="auto"/>
                <w:bottom w:val="none" w:sz="0" w:space="0" w:color="auto"/>
                <w:right w:val="none" w:sz="0" w:space="0" w:color="auto"/>
              </w:divBdr>
              <w:divsChild>
                <w:div w:id="1712068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7453340">
      <w:bodyDiv w:val="1"/>
      <w:marLeft w:val="0"/>
      <w:marRight w:val="0"/>
      <w:marTop w:val="0"/>
      <w:marBottom w:val="0"/>
      <w:divBdr>
        <w:top w:val="none" w:sz="0" w:space="0" w:color="auto"/>
        <w:left w:val="none" w:sz="0" w:space="0" w:color="auto"/>
        <w:bottom w:val="none" w:sz="0" w:space="0" w:color="auto"/>
        <w:right w:val="none" w:sz="0" w:space="0" w:color="auto"/>
      </w:divBdr>
      <w:divsChild>
        <w:div w:id="1988901985">
          <w:marLeft w:val="0"/>
          <w:marRight w:val="0"/>
          <w:marTop w:val="0"/>
          <w:marBottom w:val="0"/>
          <w:divBdr>
            <w:top w:val="none" w:sz="0" w:space="0" w:color="auto"/>
            <w:left w:val="none" w:sz="0" w:space="0" w:color="auto"/>
            <w:bottom w:val="none" w:sz="0" w:space="0" w:color="auto"/>
            <w:right w:val="none" w:sz="0" w:space="0" w:color="auto"/>
          </w:divBdr>
          <w:divsChild>
            <w:div w:id="1612778546">
              <w:marLeft w:val="0"/>
              <w:marRight w:val="0"/>
              <w:marTop w:val="0"/>
              <w:marBottom w:val="0"/>
              <w:divBdr>
                <w:top w:val="none" w:sz="0" w:space="0" w:color="auto"/>
                <w:left w:val="none" w:sz="0" w:space="0" w:color="auto"/>
                <w:bottom w:val="none" w:sz="0" w:space="0" w:color="auto"/>
                <w:right w:val="none" w:sz="0" w:space="0" w:color="auto"/>
              </w:divBdr>
              <w:divsChild>
                <w:div w:id="1562135383">
                  <w:marLeft w:val="0"/>
                  <w:marRight w:val="0"/>
                  <w:marTop w:val="0"/>
                  <w:marBottom w:val="0"/>
                  <w:divBdr>
                    <w:top w:val="none" w:sz="0" w:space="0" w:color="auto"/>
                    <w:left w:val="none" w:sz="0" w:space="0" w:color="auto"/>
                    <w:bottom w:val="none" w:sz="0" w:space="0" w:color="auto"/>
                    <w:right w:val="none" w:sz="0" w:space="0" w:color="auto"/>
                  </w:divBdr>
                  <w:divsChild>
                    <w:div w:id="531455762">
                      <w:marLeft w:val="0"/>
                      <w:marRight w:val="0"/>
                      <w:marTop w:val="0"/>
                      <w:marBottom w:val="0"/>
                      <w:divBdr>
                        <w:top w:val="none" w:sz="0" w:space="0" w:color="auto"/>
                        <w:left w:val="none" w:sz="0" w:space="0" w:color="auto"/>
                        <w:bottom w:val="none" w:sz="0" w:space="0" w:color="auto"/>
                        <w:right w:val="none" w:sz="0" w:space="0" w:color="auto"/>
                      </w:divBdr>
                      <w:divsChild>
                        <w:div w:id="1318201">
                          <w:marLeft w:val="0"/>
                          <w:marRight w:val="0"/>
                          <w:marTop w:val="0"/>
                          <w:marBottom w:val="0"/>
                          <w:divBdr>
                            <w:top w:val="none" w:sz="0" w:space="0" w:color="auto"/>
                            <w:left w:val="none" w:sz="0" w:space="0" w:color="auto"/>
                            <w:bottom w:val="none" w:sz="0" w:space="0" w:color="auto"/>
                            <w:right w:val="none" w:sz="0" w:space="0" w:color="auto"/>
                          </w:divBdr>
                          <w:divsChild>
                            <w:div w:id="441728638">
                              <w:marLeft w:val="150"/>
                              <w:marRight w:val="150"/>
                              <w:marTop w:val="150"/>
                              <w:marBottom w:val="150"/>
                              <w:divBdr>
                                <w:top w:val="none" w:sz="0" w:space="0" w:color="auto"/>
                                <w:left w:val="none" w:sz="0" w:space="0" w:color="auto"/>
                                <w:bottom w:val="none" w:sz="0" w:space="0" w:color="auto"/>
                                <w:right w:val="none" w:sz="0" w:space="0" w:color="auto"/>
                              </w:divBdr>
                              <w:divsChild>
                                <w:div w:id="52044396">
                                  <w:marLeft w:val="0"/>
                                  <w:marRight w:val="0"/>
                                  <w:marTop w:val="0"/>
                                  <w:marBottom w:val="0"/>
                                  <w:divBdr>
                                    <w:top w:val="none" w:sz="0" w:space="0" w:color="auto"/>
                                    <w:left w:val="none" w:sz="0" w:space="0" w:color="auto"/>
                                    <w:bottom w:val="none" w:sz="0" w:space="0" w:color="auto"/>
                                    <w:right w:val="none" w:sz="0" w:space="0" w:color="auto"/>
                                  </w:divBdr>
                                  <w:divsChild>
                                    <w:div w:id="1745755869">
                                      <w:marLeft w:val="0"/>
                                      <w:marRight w:val="0"/>
                                      <w:marTop w:val="0"/>
                                      <w:marBottom w:val="0"/>
                                      <w:divBdr>
                                        <w:top w:val="none" w:sz="0" w:space="0" w:color="auto"/>
                                        <w:left w:val="none" w:sz="0" w:space="0" w:color="auto"/>
                                        <w:bottom w:val="none" w:sz="0" w:space="0" w:color="auto"/>
                                        <w:right w:val="none" w:sz="0" w:space="0" w:color="auto"/>
                                      </w:divBdr>
                                      <w:divsChild>
                                        <w:div w:id="1196574631">
                                          <w:marLeft w:val="0"/>
                                          <w:marRight w:val="0"/>
                                          <w:marTop w:val="0"/>
                                          <w:marBottom w:val="0"/>
                                          <w:divBdr>
                                            <w:top w:val="none" w:sz="0" w:space="0" w:color="auto"/>
                                            <w:left w:val="none" w:sz="0" w:space="0" w:color="auto"/>
                                            <w:bottom w:val="none" w:sz="0" w:space="0" w:color="auto"/>
                                            <w:right w:val="none" w:sz="0" w:space="0" w:color="auto"/>
                                          </w:divBdr>
                                          <w:divsChild>
                                            <w:div w:id="1736850098">
                                              <w:marLeft w:val="0"/>
                                              <w:marRight w:val="0"/>
                                              <w:marTop w:val="0"/>
                                              <w:marBottom w:val="0"/>
                                              <w:divBdr>
                                                <w:top w:val="none" w:sz="0" w:space="0" w:color="auto"/>
                                                <w:left w:val="none" w:sz="0" w:space="0" w:color="auto"/>
                                                <w:bottom w:val="none" w:sz="0" w:space="0" w:color="auto"/>
                                                <w:right w:val="none" w:sz="0" w:space="0" w:color="auto"/>
                                              </w:divBdr>
                                              <w:divsChild>
                                                <w:div w:id="121819992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47998240">
      <w:bodyDiv w:val="1"/>
      <w:marLeft w:val="0"/>
      <w:marRight w:val="0"/>
      <w:marTop w:val="0"/>
      <w:marBottom w:val="0"/>
      <w:divBdr>
        <w:top w:val="none" w:sz="0" w:space="0" w:color="auto"/>
        <w:left w:val="none" w:sz="0" w:space="0" w:color="auto"/>
        <w:bottom w:val="none" w:sz="0" w:space="0" w:color="auto"/>
        <w:right w:val="none" w:sz="0" w:space="0" w:color="auto"/>
      </w:divBdr>
      <w:divsChild>
        <w:div w:id="852110158">
          <w:marLeft w:val="0"/>
          <w:marRight w:val="0"/>
          <w:marTop w:val="0"/>
          <w:marBottom w:val="0"/>
          <w:divBdr>
            <w:top w:val="none" w:sz="0" w:space="0" w:color="auto"/>
            <w:left w:val="none" w:sz="0" w:space="0" w:color="auto"/>
            <w:bottom w:val="none" w:sz="0" w:space="0" w:color="auto"/>
            <w:right w:val="none" w:sz="0" w:space="0" w:color="auto"/>
          </w:divBdr>
          <w:divsChild>
            <w:div w:id="551500295">
              <w:marLeft w:val="0"/>
              <w:marRight w:val="0"/>
              <w:marTop w:val="0"/>
              <w:marBottom w:val="0"/>
              <w:divBdr>
                <w:top w:val="none" w:sz="0" w:space="0" w:color="auto"/>
                <w:left w:val="none" w:sz="0" w:space="0" w:color="auto"/>
                <w:bottom w:val="none" w:sz="0" w:space="0" w:color="auto"/>
                <w:right w:val="none" w:sz="0" w:space="0" w:color="auto"/>
              </w:divBdr>
              <w:divsChild>
                <w:div w:id="2093381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9691301">
      <w:bodyDiv w:val="1"/>
      <w:marLeft w:val="0"/>
      <w:marRight w:val="0"/>
      <w:marTop w:val="0"/>
      <w:marBottom w:val="0"/>
      <w:divBdr>
        <w:top w:val="none" w:sz="0" w:space="0" w:color="auto"/>
        <w:left w:val="none" w:sz="0" w:space="0" w:color="auto"/>
        <w:bottom w:val="none" w:sz="0" w:space="0" w:color="auto"/>
        <w:right w:val="none" w:sz="0" w:space="0" w:color="auto"/>
      </w:divBdr>
      <w:divsChild>
        <w:div w:id="654721481">
          <w:marLeft w:val="0"/>
          <w:marRight w:val="0"/>
          <w:marTop w:val="0"/>
          <w:marBottom w:val="0"/>
          <w:divBdr>
            <w:top w:val="none" w:sz="0" w:space="0" w:color="auto"/>
            <w:left w:val="none" w:sz="0" w:space="0" w:color="auto"/>
            <w:bottom w:val="none" w:sz="0" w:space="0" w:color="auto"/>
            <w:right w:val="none" w:sz="0" w:space="0" w:color="auto"/>
          </w:divBdr>
          <w:divsChild>
            <w:div w:id="1345747020">
              <w:marLeft w:val="0"/>
              <w:marRight w:val="0"/>
              <w:marTop w:val="0"/>
              <w:marBottom w:val="0"/>
              <w:divBdr>
                <w:top w:val="none" w:sz="0" w:space="0" w:color="auto"/>
                <w:left w:val="none" w:sz="0" w:space="0" w:color="auto"/>
                <w:bottom w:val="none" w:sz="0" w:space="0" w:color="auto"/>
                <w:right w:val="none" w:sz="0" w:space="0" w:color="auto"/>
              </w:divBdr>
              <w:divsChild>
                <w:div w:id="113109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4665192">
      <w:bodyDiv w:val="1"/>
      <w:marLeft w:val="0"/>
      <w:marRight w:val="0"/>
      <w:marTop w:val="0"/>
      <w:marBottom w:val="0"/>
      <w:divBdr>
        <w:top w:val="none" w:sz="0" w:space="0" w:color="auto"/>
        <w:left w:val="none" w:sz="0" w:space="0" w:color="auto"/>
        <w:bottom w:val="none" w:sz="0" w:space="0" w:color="auto"/>
        <w:right w:val="none" w:sz="0" w:space="0" w:color="auto"/>
      </w:divBdr>
    </w:div>
    <w:div w:id="1758940815">
      <w:bodyDiv w:val="1"/>
      <w:marLeft w:val="0"/>
      <w:marRight w:val="0"/>
      <w:marTop w:val="0"/>
      <w:marBottom w:val="0"/>
      <w:divBdr>
        <w:top w:val="none" w:sz="0" w:space="0" w:color="auto"/>
        <w:left w:val="none" w:sz="0" w:space="0" w:color="auto"/>
        <w:bottom w:val="none" w:sz="0" w:space="0" w:color="auto"/>
        <w:right w:val="none" w:sz="0" w:space="0" w:color="auto"/>
      </w:divBdr>
      <w:divsChild>
        <w:div w:id="1526017807">
          <w:marLeft w:val="0"/>
          <w:marRight w:val="0"/>
          <w:marTop w:val="0"/>
          <w:marBottom w:val="0"/>
          <w:divBdr>
            <w:top w:val="none" w:sz="0" w:space="0" w:color="auto"/>
            <w:left w:val="none" w:sz="0" w:space="0" w:color="auto"/>
            <w:bottom w:val="none" w:sz="0" w:space="0" w:color="auto"/>
            <w:right w:val="none" w:sz="0" w:space="0" w:color="auto"/>
          </w:divBdr>
          <w:divsChild>
            <w:div w:id="865631520">
              <w:marLeft w:val="4"/>
              <w:marRight w:val="4"/>
              <w:marTop w:val="0"/>
              <w:marBottom w:val="0"/>
              <w:divBdr>
                <w:top w:val="none" w:sz="0" w:space="0" w:color="auto"/>
                <w:left w:val="none" w:sz="0" w:space="0" w:color="auto"/>
                <w:bottom w:val="none" w:sz="0" w:space="0" w:color="auto"/>
                <w:right w:val="none" w:sz="0" w:space="0" w:color="auto"/>
              </w:divBdr>
              <w:divsChild>
                <w:div w:id="776870161">
                  <w:marLeft w:val="0"/>
                  <w:marRight w:val="0"/>
                  <w:marTop w:val="4"/>
                  <w:marBottom w:val="0"/>
                  <w:divBdr>
                    <w:top w:val="none" w:sz="0" w:space="0" w:color="auto"/>
                    <w:left w:val="none" w:sz="0" w:space="0" w:color="auto"/>
                    <w:bottom w:val="none" w:sz="0" w:space="0" w:color="auto"/>
                    <w:right w:val="none" w:sz="0" w:space="0" w:color="auto"/>
                  </w:divBdr>
                </w:div>
              </w:divsChild>
            </w:div>
          </w:divsChild>
        </w:div>
      </w:divsChild>
    </w:div>
    <w:div w:id="1768194043">
      <w:bodyDiv w:val="1"/>
      <w:marLeft w:val="0"/>
      <w:marRight w:val="0"/>
      <w:marTop w:val="0"/>
      <w:marBottom w:val="0"/>
      <w:divBdr>
        <w:top w:val="none" w:sz="0" w:space="0" w:color="auto"/>
        <w:left w:val="none" w:sz="0" w:space="0" w:color="auto"/>
        <w:bottom w:val="none" w:sz="0" w:space="0" w:color="auto"/>
        <w:right w:val="none" w:sz="0" w:space="0" w:color="auto"/>
      </w:divBdr>
      <w:divsChild>
        <w:div w:id="1971552207">
          <w:marLeft w:val="0"/>
          <w:marRight w:val="0"/>
          <w:marTop w:val="0"/>
          <w:marBottom w:val="0"/>
          <w:divBdr>
            <w:top w:val="none" w:sz="0" w:space="0" w:color="auto"/>
            <w:left w:val="none" w:sz="0" w:space="0" w:color="auto"/>
            <w:bottom w:val="none" w:sz="0" w:space="0" w:color="auto"/>
            <w:right w:val="none" w:sz="0" w:space="0" w:color="auto"/>
          </w:divBdr>
          <w:divsChild>
            <w:div w:id="189035484">
              <w:marLeft w:val="0"/>
              <w:marRight w:val="0"/>
              <w:marTop w:val="0"/>
              <w:marBottom w:val="0"/>
              <w:divBdr>
                <w:top w:val="none" w:sz="0" w:space="0" w:color="auto"/>
                <w:left w:val="none" w:sz="0" w:space="0" w:color="auto"/>
                <w:bottom w:val="none" w:sz="0" w:space="0" w:color="auto"/>
                <w:right w:val="none" w:sz="0" w:space="0" w:color="auto"/>
              </w:divBdr>
              <w:divsChild>
                <w:div w:id="1234007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5200485">
      <w:bodyDiv w:val="1"/>
      <w:marLeft w:val="0"/>
      <w:marRight w:val="0"/>
      <w:marTop w:val="0"/>
      <w:marBottom w:val="0"/>
      <w:divBdr>
        <w:top w:val="none" w:sz="0" w:space="0" w:color="auto"/>
        <w:left w:val="none" w:sz="0" w:space="0" w:color="auto"/>
        <w:bottom w:val="none" w:sz="0" w:space="0" w:color="auto"/>
        <w:right w:val="none" w:sz="0" w:space="0" w:color="auto"/>
      </w:divBdr>
    </w:div>
    <w:div w:id="1786657472">
      <w:bodyDiv w:val="1"/>
      <w:marLeft w:val="0"/>
      <w:marRight w:val="0"/>
      <w:marTop w:val="0"/>
      <w:marBottom w:val="0"/>
      <w:divBdr>
        <w:top w:val="none" w:sz="0" w:space="0" w:color="auto"/>
        <w:left w:val="none" w:sz="0" w:space="0" w:color="auto"/>
        <w:bottom w:val="none" w:sz="0" w:space="0" w:color="auto"/>
        <w:right w:val="none" w:sz="0" w:space="0" w:color="auto"/>
      </w:divBdr>
      <w:divsChild>
        <w:div w:id="1716007989">
          <w:marLeft w:val="0"/>
          <w:marRight w:val="0"/>
          <w:marTop w:val="0"/>
          <w:marBottom w:val="0"/>
          <w:divBdr>
            <w:top w:val="none" w:sz="0" w:space="0" w:color="auto"/>
            <w:left w:val="none" w:sz="0" w:space="0" w:color="auto"/>
            <w:bottom w:val="none" w:sz="0" w:space="0" w:color="auto"/>
            <w:right w:val="none" w:sz="0" w:space="0" w:color="auto"/>
          </w:divBdr>
          <w:divsChild>
            <w:div w:id="1410227966">
              <w:marLeft w:val="0"/>
              <w:marRight w:val="0"/>
              <w:marTop w:val="0"/>
              <w:marBottom w:val="0"/>
              <w:divBdr>
                <w:top w:val="none" w:sz="0" w:space="0" w:color="auto"/>
                <w:left w:val="none" w:sz="0" w:space="0" w:color="auto"/>
                <w:bottom w:val="none" w:sz="0" w:space="0" w:color="auto"/>
                <w:right w:val="none" w:sz="0" w:space="0" w:color="auto"/>
              </w:divBdr>
              <w:divsChild>
                <w:div w:id="130550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3746477">
      <w:bodyDiv w:val="1"/>
      <w:marLeft w:val="0"/>
      <w:marRight w:val="0"/>
      <w:marTop w:val="0"/>
      <w:marBottom w:val="0"/>
      <w:divBdr>
        <w:top w:val="none" w:sz="0" w:space="0" w:color="auto"/>
        <w:left w:val="none" w:sz="0" w:space="0" w:color="auto"/>
        <w:bottom w:val="none" w:sz="0" w:space="0" w:color="auto"/>
        <w:right w:val="none" w:sz="0" w:space="0" w:color="auto"/>
      </w:divBdr>
    </w:div>
    <w:div w:id="1813862379">
      <w:bodyDiv w:val="1"/>
      <w:marLeft w:val="0"/>
      <w:marRight w:val="0"/>
      <w:marTop w:val="0"/>
      <w:marBottom w:val="0"/>
      <w:divBdr>
        <w:top w:val="none" w:sz="0" w:space="0" w:color="auto"/>
        <w:left w:val="none" w:sz="0" w:space="0" w:color="auto"/>
        <w:bottom w:val="none" w:sz="0" w:space="0" w:color="auto"/>
        <w:right w:val="none" w:sz="0" w:space="0" w:color="auto"/>
      </w:divBdr>
      <w:divsChild>
        <w:div w:id="1194079138">
          <w:marLeft w:val="0"/>
          <w:marRight w:val="0"/>
          <w:marTop w:val="0"/>
          <w:marBottom w:val="0"/>
          <w:divBdr>
            <w:top w:val="none" w:sz="0" w:space="0" w:color="auto"/>
            <w:left w:val="none" w:sz="0" w:space="0" w:color="auto"/>
            <w:bottom w:val="none" w:sz="0" w:space="0" w:color="auto"/>
            <w:right w:val="none" w:sz="0" w:space="0" w:color="auto"/>
          </w:divBdr>
          <w:divsChild>
            <w:div w:id="958530055">
              <w:marLeft w:val="0"/>
              <w:marRight w:val="0"/>
              <w:marTop w:val="0"/>
              <w:marBottom w:val="0"/>
              <w:divBdr>
                <w:top w:val="none" w:sz="0" w:space="0" w:color="auto"/>
                <w:left w:val="none" w:sz="0" w:space="0" w:color="auto"/>
                <w:bottom w:val="none" w:sz="0" w:space="0" w:color="auto"/>
                <w:right w:val="none" w:sz="0" w:space="0" w:color="auto"/>
              </w:divBdr>
              <w:divsChild>
                <w:div w:id="2119906449">
                  <w:marLeft w:val="4200"/>
                  <w:marRight w:val="0"/>
                  <w:marTop w:val="0"/>
                  <w:marBottom w:val="0"/>
                  <w:divBdr>
                    <w:top w:val="none" w:sz="0" w:space="0" w:color="auto"/>
                    <w:left w:val="none" w:sz="0" w:space="0" w:color="auto"/>
                    <w:bottom w:val="none" w:sz="0" w:space="0" w:color="auto"/>
                    <w:right w:val="none" w:sz="0" w:space="0" w:color="auto"/>
                  </w:divBdr>
                  <w:divsChild>
                    <w:div w:id="231502963">
                      <w:marLeft w:val="0"/>
                      <w:marRight w:val="0"/>
                      <w:marTop w:val="0"/>
                      <w:marBottom w:val="0"/>
                      <w:divBdr>
                        <w:top w:val="none" w:sz="0" w:space="0" w:color="auto"/>
                        <w:left w:val="none" w:sz="0" w:space="0" w:color="auto"/>
                        <w:bottom w:val="none" w:sz="0" w:space="0" w:color="auto"/>
                        <w:right w:val="none" w:sz="0" w:space="0" w:color="auto"/>
                      </w:divBdr>
                      <w:divsChild>
                        <w:div w:id="1188179251">
                          <w:marLeft w:val="0"/>
                          <w:marRight w:val="0"/>
                          <w:marTop w:val="0"/>
                          <w:marBottom w:val="0"/>
                          <w:divBdr>
                            <w:top w:val="none" w:sz="0" w:space="0" w:color="auto"/>
                            <w:left w:val="none" w:sz="0" w:space="0" w:color="auto"/>
                            <w:bottom w:val="none" w:sz="0" w:space="0" w:color="auto"/>
                            <w:right w:val="none" w:sz="0" w:space="0" w:color="auto"/>
                          </w:divBdr>
                          <w:divsChild>
                            <w:div w:id="582303393">
                              <w:marLeft w:val="0"/>
                              <w:marRight w:val="0"/>
                              <w:marTop w:val="0"/>
                              <w:marBottom w:val="0"/>
                              <w:divBdr>
                                <w:top w:val="none" w:sz="0" w:space="0" w:color="auto"/>
                                <w:left w:val="none" w:sz="0" w:space="0" w:color="auto"/>
                                <w:bottom w:val="none" w:sz="0" w:space="0" w:color="auto"/>
                                <w:right w:val="none" w:sz="0" w:space="0" w:color="auto"/>
                              </w:divBdr>
                              <w:divsChild>
                                <w:div w:id="349992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15950382">
      <w:bodyDiv w:val="1"/>
      <w:marLeft w:val="0"/>
      <w:marRight w:val="0"/>
      <w:marTop w:val="0"/>
      <w:marBottom w:val="0"/>
      <w:divBdr>
        <w:top w:val="none" w:sz="0" w:space="0" w:color="auto"/>
        <w:left w:val="none" w:sz="0" w:space="0" w:color="auto"/>
        <w:bottom w:val="none" w:sz="0" w:space="0" w:color="auto"/>
        <w:right w:val="none" w:sz="0" w:space="0" w:color="auto"/>
      </w:divBdr>
      <w:divsChild>
        <w:div w:id="291063439">
          <w:marLeft w:val="922"/>
          <w:marRight w:val="0"/>
          <w:marTop w:val="115"/>
          <w:marBottom w:val="0"/>
          <w:divBdr>
            <w:top w:val="none" w:sz="0" w:space="0" w:color="auto"/>
            <w:left w:val="none" w:sz="0" w:space="0" w:color="auto"/>
            <w:bottom w:val="none" w:sz="0" w:space="0" w:color="auto"/>
            <w:right w:val="none" w:sz="0" w:space="0" w:color="auto"/>
          </w:divBdr>
        </w:div>
      </w:divsChild>
    </w:div>
    <w:div w:id="1830635195">
      <w:bodyDiv w:val="1"/>
      <w:marLeft w:val="0"/>
      <w:marRight w:val="0"/>
      <w:marTop w:val="0"/>
      <w:marBottom w:val="0"/>
      <w:divBdr>
        <w:top w:val="none" w:sz="0" w:space="0" w:color="auto"/>
        <w:left w:val="none" w:sz="0" w:space="0" w:color="auto"/>
        <w:bottom w:val="none" w:sz="0" w:space="0" w:color="auto"/>
        <w:right w:val="none" w:sz="0" w:space="0" w:color="auto"/>
      </w:divBdr>
    </w:div>
    <w:div w:id="1852721670">
      <w:bodyDiv w:val="1"/>
      <w:marLeft w:val="0"/>
      <w:marRight w:val="0"/>
      <w:marTop w:val="0"/>
      <w:marBottom w:val="0"/>
      <w:divBdr>
        <w:top w:val="none" w:sz="0" w:space="0" w:color="auto"/>
        <w:left w:val="none" w:sz="0" w:space="0" w:color="auto"/>
        <w:bottom w:val="none" w:sz="0" w:space="0" w:color="auto"/>
        <w:right w:val="none" w:sz="0" w:space="0" w:color="auto"/>
      </w:divBdr>
      <w:divsChild>
        <w:div w:id="961233787">
          <w:marLeft w:val="0"/>
          <w:marRight w:val="0"/>
          <w:marTop w:val="0"/>
          <w:marBottom w:val="0"/>
          <w:divBdr>
            <w:top w:val="none" w:sz="0" w:space="0" w:color="auto"/>
            <w:left w:val="none" w:sz="0" w:space="0" w:color="auto"/>
            <w:bottom w:val="none" w:sz="0" w:space="0" w:color="auto"/>
            <w:right w:val="none" w:sz="0" w:space="0" w:color="auto"/>
          </w:divBdr>
          <w:divsChild>
            <w:div w:id="683098185">
              <w:marLeft w:val="4"/>
              <w:marRight w:val="4"/>
              <w:marTop w:val="0"/>
              <w:marBottom w:val="0"/>
              <w:divBdr>
                <w:top w:val="none" w:sz="0" w:space="0" w:color="auto"/>
                <w:left w:val="none" w:sz="0" w:space="0" w:color="auto"/>
                <w:bottom w:val="none" w:sz="0" w:space="0" w:color="auto"/>
                <w:right w:val="none" w:sz="0" w:space="0" w:color="auto"/>
              </w:divBdr>
            </w:div>
            <w:div w:id="1211838692">
              <w:marLeft w:val="4"/>
              <w:marRight w:val="4"/>
              <w:marTop w:val="0"/>
              <w:marBottom w:val="0"/>
              <w:divBdr>
                <w:top w:val="none" w:sz="0" w:space="0" w:color="auto"/>
                <w:left w:val="none" w:sz="0" w:space="0" w:color="auto"/>
                <w:bottom w:val="none" w:sz="0" w:space="0" w:color="auto"/>
                <w:right w:val="none" w:sz="0" w:space="0" w:color="auto"/>
              </w:divBdr>
            </w:div>
            <w:div w:id="1569412477">
              <w:marLeft w:val="4"/>
              <w:marRight w:val="4"/>
              <w:marTop w:val="0"/>
              <w:marBottom w:val="0"/>
              <w:divBdr>
                <w:top w:val="none" w:sz="0" w:space="0" w:color="auto"/>
                <w:left w:val="none" w:sz="0" w:space="0" w:color="auto"/>
                <w:bottom w:val="none" w:sz="0" w:space="0" w:color="auto"/>
                <w:right w:val="none" w:sz="0" w:space="0" w:color="auto"/>
              </w:divBdr>
            </w:div>
            <w:div w:id="1757943912">
              <w:marLeft w:val="4"/>
              <w:marRight w:val="4"/>
              <w:marTop w:val="0"/>
              <w:marBottom w:val="0"/>
              <w:divBdr>
                <w:top w:val="none" w:sz="0" w:space="0" w:color="auto"/>
                <w:left w:val="none" w:sz="0" w:space="0" w:color="auto"/>
                <w:bottom w:val="none" w:sz="0" w:space="0" w:color="auto"/>
                <w:right w:val="none" w:sz="0" w:space="0" w:color="auto"/>
              </w:divBdr>
            </w:div>
          </w:divsChild>
        </w:div>
      </w:divsChild>
    </w:div>
    <w:div w:id="1881622814">
      <w:bodyDiv w:val="1"/>
      <w:marLeft w:val="0"/>
      <w:marRight w:val="0"/>
      <w:marTop w:val="0"/>
      <w:marBottom w:val="0"/>
      <w:divBdr>
        <w:top w:val="none" w:sz="0" w:space="0" w:color="auto"/>
        <w:left w:val="none" w:sz="0" w:space="0" w:color="auto"/>
        <w:bottom w:val="none" w:sz="0" w:space="0" w:color="auto"/>
        <w:right w:val="none" w:sz="0" w:space="0" w:color="auto"/>
      </w:divBdr>
    </w:div>
    <w:div w:id="1882553559">
      <w:bodyDiv w:val="1"/>
      <w:marLeft w:val="0"/>
      <w:marRight w:val="0"/>
      <w:marTop w:val="0"/>
      <w:marBottom w:val="0"/>
      <w:divBdr>
        <w:top w:val="none" w:sz="0" w:space="0" w:color="auto"/>
        <w:left w:val="none" w:sz="0" w:space="0" w:color="auto"/>
        <w:bottom w:val="none" w:sz="0" w:space="0" w:color="auto"/>
        <w:right w:val="none" w:sz="0" w:space="0" w:color="auto"/>
      </w:divBdr>
      <w:divsChild>
        <w:div w:id="62680563">
          <w:marLeft w:val="547"/>
          <w:marRight w:val="0"/>
          <w:marTop w:val="192"/>
          <w:marBottom w:val="0"/>
          <w:divBdr>
            <w:top w:val="none" w:sz="0" w:space="0" w:color="auto"/>
            <w:left w:val="none" w:sz="0" w:space="0" w:color="auto"/>
            <w:bottom w:val="none" w:sz="0" w:space="0" w:color="auto"/>
            <w:right w:val="none" w:sz="0" w:space="0" w:color="auto"/>
          </w:divBdr>
        </w:div>
        <w:div w:id="78522132">
          <w:marLeft w:val="922"/>
          <w:marRight w:val="0"/>
          <w:marTop w:val="115"/>
          <w:marBottom w:val="0"/>
          <w:divBdr>
            <w:top w:val="none" w:sz="0" w:space="0" w:color="auto"/>
            <w:left w:val="none" w:sz="0" w:space="0" w:color="auto"/>
            <w:bottom w:val="none" w:sz="0" w:space="0" w:color="auto"/>
            <w:right w:val="none" w:sz="0" w:space="0" w:color="auto"/>
          </w:divBdr>
        </w:div>
        <w:div w:id="243421059">
          <w:marLeft w:val="922"/>
          <w:marRight w:val="0"/>
          <w:marTop w:val="115"/>
          <w:marBottom w:val="0"/>
          <w:divBdr>
            <w:top w:val="none" w:sz="0" w:space="0" w:color="auto"/>
            <w:left w:val="none" w:sz="0" w:space="0" w:color="auto"/>
            <w:bottom w:val="none" w:sz="0" w:space="0" w:color="auto"/>
            <w:right w:val="none" w:sz="0" w:space="0" w:color="auto"/>
          </w:divBdr>
        </w:div>
        <w:div w:id="262806873">
          <w:marLeft w:val="547"/>
          <w:marRight w:val="0"/>
          <w:marTop w:val="192"/>
          <w:marBottom w:val="0"/>
          <w:divBdr>
            <w:top w:val="none" w:sz="0" w:space="0" w:color="auto"/>
            <w:left w:val="none" w:sz="0" w:space="0" w:color="auto"/>
            <w:bottom w:val="none" w:sz="0" w:space="0" w:color="auto"/>
            <w:right w:val="none" w:sz="0" w:space="0" w:color="auto"/>
          </w:divBdr>
        </w:div>
        <w:div w:id="520243547">
          <w:marLeft w:val="922"/>
          <w:marRight w:val="0"/>
          <w:marTop w:val="115"/>
          <w:marBottom w:val="0"/>
          <w:divBdr>
            <w:top w:val="none" w:sz="0" w:space="0" w:color="auto"/>
            <w:left w:val="none" w:sz="0" w:space="0" w:color="auto"/>
            <w:bottom w:val="none" w:sz="0" w:space="0" w:color="auto"/>
            <w:right w:val="none" w:sz="0" w:space="0" w:color="auto"/>
          </w:divBdr>
        </w:div>
        <w:div w:id="550313756">
          <w:marLeft w:val="922"/>
          <w:marRight w:val="0"/>
          <w:marTop w:val="115"/>
          <w:marBottom w:val="0"/>
          <w:divBdr>
            <w:top w:val="none" w:sz="0" w:space="0" w:color="auto"/>
            <w:left w:val="none" w:sz="0" w:space="0" w:color="auto"/>
            <w:bottom w:val="none" w:sz="0" w:space="0" w:color="auto"/>
            <w:right w:val="none" w:sz="0" w:space="0" w:color="auto"/>
          </w:divBdr>
        </w:div>
        <w:div w:id="913127704">
          <w:marLeft w:val="547"/>
          <w:marRight w:val="0"/>
          <w:marTop w:val="192"/>
          <w:marBottom w:val="0"/>
          <w:divBdr>
            <w:top w:val="none" w:sz="0" w:space="0" w:color="auto"/>
            <w:left w:val="none" w:sz="0" w:space="0" w:color="auto"/>
            <w:bottom w:val="none" w:sz="0" w:space="0" w:color="auto"/>
            <w:right w:val="none" w:sz="0" w:space="0" w:color="auto"/>
          </w:divBdr>
        </w:div>
        <w:div w:id="1304891127">
          <w:marLeft w:val="547"/>
          <w:marRight w:val="0"/>
          <w:marTop w:val="192"/>
          <w:marBottom w:val="0"/>
          <w:divBdr>
            <w:top w:val="none" w:sz="0" w:space="0" w:color="auto"/>
            <w:left w:val="none" w:sz="0" w:space="0" w:color="auto"/>
            <w:bottom w:val="none" w:sz="0" w:space="0" w:color="auto"/>
            <w:right w:val="none" w:sz="0" w:space="0" w:color="auto"/>
          </w:divBdr>
        </w:div>
      </w:divsChild>
    </w:div>
    <w:div w:id="1884515324">
      <w:bodyDiv w:val="1"/>
      <w:marLeft w:val="0"/>
      <w:marRight w:val="0"/>
      <w:marTop w:val="0"/>
      <w:marBottom w:val="0"/>
      <w:divBdr>
        <w:top w:val="none" w:sz="0" w:space="0" w:color="auto"/>
        <w:left w:val="none" w:sz="0" w:space="0" w:color="auto"/>
        <w:bottom w:val="none" w:sz="0" w:space="0" w:color="auto"/>
        <w:right w:val="none" w:sz="0" w:space="0" w:color="auto"/>
      </w:divBdr>
    </w:div>
    <w:div w:id="1886024338">
      <w:bodyDiv w:val="1"/>
      <w:marLeft w:val="0"/>
      <w:marRight w:val="0"/>
      <w:marTop w:val="0"/>
      <w:marBottom w:val="0"/>
      <w:divBdr>
        <w:top w:val="none" w:sz="0" w:space="0" w:color="auto"/>
        <w:left w:val="none" w:sz="0" w:space="0" w:color="auto"/>
        <w:bottom w:val="none" w:sz="0" w:space="0" w:color="auto"/>
        <w:right w:val="none" w:sz="0" w:space="0" w:color="auto"/>
      </w:divBdr>
    </w:div>
    <w:div w:id="1889026819">
      <w:bodyDiv w:val="1"/>
      <w:marLeft w:val="0"/>
      <w:marRight w:val="0"/>
      <w:marTop w:val="0"/>
      <w:marBottom w:val="0"/>
      <w:divBdr>
        <w:top w:val="none" w:sz="0" w:space="0" w:color="auto"/>
        <w:left w:val="none" w:sz="0" w:space="0" w:color="auto"/>
        <w:bottom w:val="none" w:sz="0" w:space="0" w:color="auto"/>
        <w:right w:val="none" w:sz="0" w:space="0" w:color="auto"/>
      </w:divBdr>
    </w:div>
    <w:div w:id="1913932721">
      <w:bodyDiv w:val="1"/>
      <w:marLeft w:val="0"/>
      <w:marRight w:val="0"/>
      <w:marTop w:val="0"/>
      <w:marBottom w:val="0"/>
      <w:divBdr>
        <w:top w:val="none" w:sz="0" w:space="0" w:color="auto"/>
        <w:left w:val="none" w:sz="0" w:space="0" w:color="auto"/>
        <w:bottom w:val="none" w:sz="0" w:space="0" w:color="auto"/>
        <w:right w:val="none" w:sz="0" w:space="0" w:color="auto"/>
      </w:divBdr>
      <w:divsChild>
        <w:div w:id="430318861">
          <w:marLeft w:val="0"/>
          <w:marRight w:val="0"/>
          <w:marTop w:val="0"/>
          <w:marBottom w:val="0"/>
          <w:divBdr>
            <w:top w:val="none" w:sz="0" w:space="0" w:color="auto"/>
            <w:left w:val="none" w:sz="0" w:space="0" w:color="auto"/>
            <w:bottom w:val="none" w:sz="0" w:space="0" w:color="auto"/>
            <w:right w:val="none" w:sz="0" w:space="0" w:color="auto"/>
          </w:divBdr>
          <w:divsChild>
            <w:div w:id="501091593">
              <w:marLeft w:val="0"/>
              <w:marRight w:val="0"/>
              <w:marTop w:val="0"/>
              <w:marBottom w:val="0"/>
              <w:divBdr>
                <w:top w:val="none" w:sz="0" w:space="0" w:color="auto"/>
                <w:left w:val="none" w:sz="0" w:space="0" w:color="auto"/>
                <w:bottom w:val="none" w:sz="0" w:space="0" w:color="auto"/>
                <w:right w:val="none" w:sz="0" w:space="0" w:color="auto"/>
              </w:divBdr>
              <w:divsChild>
                <w:div w:id="372122594">
                  <w:marLeft w:val="4200"/>
                  <w:marRight w:val="0"/>
                  <w:marTop w:val="0"/>
                  <w:marBottom w:val="0"/>
                  <w:divBdr>
                    <w:top w:val="none" w:sz="0" w:space="0" w:color="auto"/>
                    <w:left w:val="none" w:sz="0" w:space="0" w:color="auto"/>
                    <w:bottom w:val="none" w:sz="0" w:space="0" w:color="auto"/>
                    <w:right w:val="none" w:sz="0" w:space="0" w:color="auto"/>
                  </w:divBdr>
                  <w:divsChild>
                    <w:div w:id="1204051121">
                      <w:marLeft w:val="0"/>
                      <w:marRight w:val="0"/>
                      <w:marTop w:val="0"/>
                      <w:marBottom w:val="0"/>
                      <w:divBdr>
                        <w:top w:val="none" w:sz="0" w:space="0" w:color="auto"/>
                        <w:left w:val="none" w:sz="0" w:space="0" w:color="auto"/>
                        <w:bottom w:val="none" w:sz="0" w:space="0" w:color="auto"/>
                        <w:right w:val="none" w:sz="0" w:space="0" w:color="auto"/>
                      </w:divBdr>
                      <w:divsChild>
                        <w:div w:id="191649436">
                          <w:marLeft w:val="0"/>
                          <w:marRight w:val="0"/>
                          <w:marTop w:val="0"/>
                          <w:marBottom w:val="0"/>
                          <w:divBdr>
                            <w:top w:val="none" w:sz="0" w:space="0" w:color="auto"/>
                            <w:left w:val="none" w:sz="0" w:space="0" w:color="auto"/>
                            <w:bottom w:val="none" w:sz="0" w:space="0" w:color="auto"/>
                            <w:right w:val="none" w:sz="0" w:space="0" w:color="auto"/>
                          </w:divBdr>
                          <w:divsChild>
                            <w:div w:id="763457324">
                              <w:marLeft w:val="0"/>
                              <w:marRight w:val="0"/>
                              <w:marTop w:val="0"/>
                              <w:marBottom w:val="0"/>
                              <w:divBdr>
                                <w:top w:val="none" w:sz="0" w:space="0" w:color="auto"/>
                                <w:left w:val="none" w:sz="0" w:space="0" w:color="auto"/>
                                <w:bottom w:val="none" w:sz="0" w:space="0" w:color="auto"/>
                                <w:right w:val="none" w:sz="0" w:space="0" w:color="auto"/>
                              </w:divBdr>
                              <w:divsChild>
                                <w:div w:id="68575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22173108">
      <w:bodyDiv w:val="1"/>
      <w:marLeft w:val="0"/>
      <w:marRight w:val="0"/>
      <w:marTop w:val="0"/>
      <w:marBottom w:val="0"/>
      <w:divBdr>
        <w:top w:val="none" w:sz="0" w:space="0" w:color="auto"/>
        <w:left w:val="none" w:sz="0" w:space="0" w:color="auto"/>
        <w:bottom w:val="none" w:sz="0" w:space="0" w:color="auto"/>
        <w:right w:val="none" w:sz="0" w:space="0" w:color="auto"/>
      </w:divBdr>
    </w:div>
    <w:div w:id="1935161106">
      <w:bodyDiv w:val="1"/>
      <w:marLeft w:val="0"/>
      <w:marRight w:val="0"/>
      <w:marTop w:val="0"/>
      <w:marBottom w:val="0"/>
      <w:divBdr>
        <w:top w:val="none" w:sz="0" w:space="0" w:color="auto"/>
        <w:left w:val="none" w:sz="0" w:space="0" w:color="auto"/>
        <w:bottom w:val="none" w:sz="0" w:space="0" w:color="auto"/>
        <w:right w:val="none" w:sz="0" w:space="0" w:color="auto"/>
      </w:divBdr>
    </w:div>
    <w:div w:id="1936938764">
      <w:bodyDiv w:val="1"/>
      <w:marLeft w:val="0"/>
      <w:marRight w:val="0"/>
      <w:marTop w:val="0"/>
      <w:marBottom w:val="0"/>
      <w:divBdr>
        <w:top w:val="none" w:sz="0" w:space="0" w:color="auto"/>
        <w:left w:val="none" w:sz="0" w:space="0" w:color="auto"/>
        <w:bottom w:val="none" w:sz="0" w:space="0" w:color="auto"/>
        <w:right w:val="none" w:sz="0" w:space="0" w:color="auto"/>
      </w:divBdr>
      <w:divsChild>
        <w:div w:id="762264303">
          <w:marLeft w:val="0"/>
          <w:marRight w:val="0"/>
          <w:marTop w:val="0"/>
          <w:marBottom w:val="0"/>
          <w:divBdr>
            <w:top w:val="none" w:sz="0" w:space="0" w:color="auto"/>
            <w:left w:val="none" w:sz="0" w:space="0" w:color="auto"/>
            <w:bottom w:val="none" w:sz="0" w:space="0" w:color="auto"/>
            <w:right w:val="none" w:sz="0" w:space="0" w:color="auto"/>
          </w:divBdr>
          <w:divsChild>
            <w:div w:id="1651668324">
              <w:marLeft w:val="0"/>
              <w:marRight w:val="0"/>
              <w:marTop w:val="0"/>
              <w:marBottom w:val="0"/>
              <w:divBdr>
                <w:top w:val="none" w:sz="0" w:space="0" w:color="auto"/>
                <w:left w:val="none" w:sz="0" w:space="0" w:color="auto"/>
                <w:bottom w:val="none" w:sz="0" w:space="0" w:color="auto"/>
                <w:right w:val="none" w:sz="0" w:space="0" w:color="auto"/>
              </w:divBdr>
              <w:divsChild>
                <w:div w:id="520977346">
                  <w:marLeft w:val="0"/>
                  <w:marRight w:val="0"/>
                  <w:marTop w:val="0"/>
                  <w:marBottom w:val="0"/>
                  <w:divBdr>
                    <w:top w:val="none" w:sz="0" w:space="0" w:color="auto"/>
                    <w:left w:val="none" w:sz="0" w:space="0" w:color="auto"/>
                    <w:bottom w:val="none" w:sz="0" w:space="0" w:color="auto"/>
                    <w:right w:val="none" w:sz="0" w:space="0" w:color="auto"/>
                  </w:divBdr>
                  <w:divsChild>
                    <w:div w:id="2143110316">
                      <w:marLeft w:val="0"/>
                      <w:marRight w:val="0"/>
                      <w:marTop w:val="0"/>
                      <w:marBottom w:val="0"/>
                      <w:divBdr>
                        <w:top w:val="none" w:sz="0" w:space="0" w:color="auto"/>
                        <w:left w:val="none" w:sz="0" w:space="0" w:color="auto"/>
                        <w:bottom w:val="none" w:sz="0" w:space="0" w:color="auto"/>
                        <w:right w:val="none" w:sz="0" w:space="0" w:color="auto"/>
                      </w:divBdr>
                      <w:divsChild>
                        <w:div w:id="815419474">
                          <w:marLeft w:val="0"/>
                          <w:marRight w:val="0"/>
                          <w:marTop w:val="0"/>
                          <w:marBottom w:val="0"/>
                          <w:divBdr>
                            <w:top w:val="none" w:sz="0" w:space="0" w:color="auto"/>
                            <w:left w:val="none" w:sz="0" w:space="0" w:color="auto"/>
                            <w:bottom w:val="none" w:sz="0" w:space="0" w:color="auto"/>
                            <w:right w:val="none" w:sz="0" w:space="0" w:color="auto"/>
                          </w:divBdr>
                          <w:divsChild>
                            <w:div w:id="1176920936">
                              <w:marLeft w:val="0"/>
                              <w:marRight w:val="0"/>
                              <w:marTop w:val="0"/>
                              <w:marBottom w:val="0"/>
                              <w:divBdr>
                                <w:top w:val="none" w:sz="0" w:space="0" w:color="auto"/>
                                <w:left w:val="none" w:sz="0" w:space="0" w:color="auto"/>
                                <w:bottom w:val="none" w:sz="0" w:space="0" w:color="auto"/>
                                <w:right w:val="none" w:sz="0" w:space="0" w:color="auto"/>
                              </w:divBdr>
                              <w:divsChild>
                                <w:div w:id="1376082338">
                                  <w:marLeft w:val="0"/>
                                  <w:marRight w:val="0"/>
                                  <w:marTop w:val="0"/>
                                  <w:marBottom w:val="0"/>
                                  <w:divBdr>
                                    <w:top w:val="none" w:sz="0" w:space="0" w:color="auto"/>
                                    <w:left w:val="none" w:sz="0" w:space="0" w:color="auto"/>
                                    <w:bottom w:val="none" w:sz="0" w:space="0" w:color="auto"/>
                                    <w:right w:val="none" w:sz="0" w:space="0" w:color="auto"/>
                                  </w:divBdr>
                                  <w:divsChild>
                                    <w:div w:id="1318262130">
                                      <w:marLeft w:val="0"/>
                                      <w:marRight w:val="0"/>
                                      <w:marTop w:val="0"/>
                                      <w:marBottom w:val="0"/>
                                      <w:divBdr>
                                        <w:top w:val="none" w:sz="0" w:space="0" w:color="auto"/>
                                        <w:left w:val="none" w:sz="0" w:space="0" w:color="auto"/>
                                        <w:bottom w:val="none" w:sz="0" w:space="0" w:color="auto"/>
                                        <w:right w:val="none" w:sz="0" w:space="0" w:color="auto"/>
                                      </w:divBdr>
                                      <w:divsChild>
                                        <w:div w:id="476528967">
                                          <w:marLeft w:val="0"/>
                                          <w:marRight w:val="0"/>
                                          <w:marTop w:val="0"/>
                                          <w:marBottom w:val="0"/>
                                          <w:divBdr>
                                            <w:top w:val="none" w:sz="0" w:space="0" w:color="auto"/>
                                            <w:left w:val="none" w:sz="0" w:space="0" w:color="auto"/>
                                            <w:bottom w:val="none" w:sz="0" w:space="0" w:color="auto"/>
                                            <w:right w:val="none" w:sz="0" w:space="0" w:color="auto"/>
                                          </w:divBdr>
                                          <w:divsChild>
                                            <w:div w:id="1536576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42102926">
      <w:bodyDiv w:val="1"/>
      <w:marLeft w:val="0"/>
      <w:marRight w:val="0"/>
      <w:marTop w:val="0"/>
      <w:marBottom w:val="0"/>
      <w:divBdr>
        <w:top w:val="none" w:sz="0" w:space="0" w:color="auto"/>
        <w:left w:val="none" w:sz="0" w:space="0" w:color="auto"/>
        <w:bottom w:val="none" w:sz="0" w:space="0" w:color="auto"/>
        <w:right w:val="none" w:sz="0" w:space="0" w:color="auto"/>
      </w:divBdr>
      <w:divsChild>
        <w:div w:id="2060670324">
          <w:marLeft w:val="0"/>
          <w:marRight w:val="0"/>
          <w:marTop w:val="0"/>
          <w:marBottom w:val="0"/>
          <w:divBdr>
            <w:top w:val="none" w:sz="0" w:space="0" w:color="auto"/>
            <w:left w:val="none" w:sz="0" w:space="0" w:color="auto"/>
            <w:bottom w:val="none" w:sz="0" w:space="0" w:color="auto"/>
            <w:right w:val="none" w:sz="0" w:space="0" w:color="auto"/>
          </w:divBdr>
          <w:divsChild>
            <w:div w:id="531111084">
              <w:marLeft w:val="0"/>
              <w:marRight w:val="0"/>
              <w:marTop w:val="0"/>
              <w:marBottom w:val="0"/>
              <w:divBdr>
                <w:top w:val="none" w:sz="0" w:space="0" w:color="auto"/>
                <w:left w:val="none" w:sz="0" w:space="0" w:color="auto"/>
                <w:bottom w:val="none" w:sz="0" w:space="0" w:color="auto"/>
                <w:right w:val="none" w:sz="0" w:space="0" w:color="auto"/>
              </w:divBdr>
              <w:divsChild>
                <w:div w:id="1924796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5843890">
      <w:bodyDiv w:val="1"/>
      <w:marLeft w:val="0"/>
      <w:marRight w:val="0"/>
      <w:marTop w:val="0"/>
      <w:marBottom w:val="0"/>
      <w:divBdr>
        <w:top w:val="none" w:sz="0" w:space="0" w:color="auto"/>
        <w:left w:val="none" w:sz="0" w:space="0" w:color="auto"/>
        <w:bottom w:val="none" w:sz="0" w:space="0" w:color="auto"/>
        <w:right w:val="none" w:sz="0" w:space="0" w:color="auto"/>
      </w:divBdr>
      <w:divsChild>
        <w:div w:id="1464074907">
          <w:marLeft w:val="0"/>
          <w:marRight w:val="0"/>
          <w:marTop w:val="0"/>
          <w:marBottom w:val="0"/>
          <w:divBdr>
            <w:top w:val="none" w:sz="0" w:space="0" w:color="auto"/>
            <w:left w:val="none" w:sz="0" w:space="0" w:color="auto"/>
            <w:bottom w:val="none" w:sz="0" w:space="0" w:color="auto"/>
            <w:right w:val="none" w:sz="0" w:space="0" w:color="auto"/>
          </w:divBdr>
          <w:divsChild>
            <w:div w:id="1642232009">
              <w:marLeft w:val="0"/>
              <w:marRight w:val="0"/>
              <w:marTop w:val="0"/>
              <w:marBottom w:val="0"/>
              <w:divBdr>
                <w:top w:val="none" w:sz="0" w:space="0" w:color="auto"/>
                <w:left w:val="none" w:sz="0" w:space="0" w:color="auto"/>
                <w:bottom w:val="none" w:sz="0" w:space="0" w:color="auto"/>
                <w:right w:val="none" w:sz="0" w:space="0" w:color="auto"/>
              </w:divBdr>
              <w:divsChild>
                <w:div w:id="130289834">
                  <w:marLeft w:val="0"/>
                  <w:marRight w:val="0"/>
                  <w:marTop w:val="0"/>
                  <w:marBottom w:val="0"/>
                  <w:divBdr>
                    <w:top w:val="none" w:sz="0" w:space="0" w:color="auto"/>
                    <w:left w:val="none" w:sz="0" w:space="0" w:color="auto"/>
                    <w:bottom w:val="none" w:sz="0" w:space="0" w:color="auto"/>
                    <w:right w:val="none" w:sz="0" w:space="0" w:color="auto"/>
                  </w:divBdr>
                  <w:divsChild>
                    <w:div w:id="255137350">
                      <w:marLeft w:val="0"/>
                      <w:marRight w:val="0"/>
                      <w:marTop w:val="0"/>
                      <w:marBottom w:val="0"/>
                      <w:divBdr>
                        <w:top w:val="none" w:sz="0" w:space="0" w:color="auto"/>
                        <w:left w:val="none" w:sz="0" w:space="0" w:color="auto"/>
                        <w:bottom w:val="none" w:sz="0" w:space="0" w:color="auto"/>
                        <w:right w:val="none" w:sz="0" w:space="0" w:color="auto"/>
                      </w:divBdr>
                      <w:divsChild>
                        <w:div w:id="667368996">
                          <w:marLeft w:val="0"/>
                          <w:marRight w:val="0"/>
                          <w:marTop w:val="0"/>
                          <w:marBottom w:val="0"/>
                          <w:divBdr>
                            <w:top w:val="none" w:sz="0" w:space="0" w:color="auto"/>
                            <w:left w:val="none" w:sz="0" w:space="0" w:color="auto"/>
                            <w:bottom w:val="none" w:sz="0" w:space="0" w:color="auto"/>
                            <w:right w:val="none" w:sz="0" w:space="0" w:color="auto"/>
                          </w:divBdr>
                          <w:divsChild>
                            <w:div w:id="2022776335">
                              <w:marLeft w:val="150"/>
                              <w:marRight w:val="150"/>
                              <w:marTop w:val="150"/>
                              <w:marBottom w:val="150"/>
                              <w:divBdr>
                                <w:top w:val="none" w:sz="0" w:space="0" w:color="auto"/>
                                <w:left w:val="none" w:sz="0" w:space="0" w:color="auto"/>
                                <w:bottom w:val="none" w:sz="0" w:space="0" w:color="auto"/>
                                <w:right w:val="none" w:sz="0" w:space="0" w:color="auto"/>
                              </w:divBdr>
                              <w:divsChild>
                                <w:div w:id="839781990">
                                  <w:marLeft w:val="0"/>
                                  <w:marRight w:val="0"/>
                                  <w:marTop w:val="0"/>
                                  <w:marBottom w:val="0"/>
                                  <w:divBdr>
                                    <w:top w:val="none" w:sz="0" w:space="0" w:color="auto"/>
                                    <w:left w:val="none" w:sz="0" w:space="0" w:color="auto"/>
                                    <w:bottom w:val="none" w:sz="0" w:space="0" w:color="auto"/>
                                    <w:right w:val="none" w:sz="0" w:space="0" w:color="auto"/>
                                  </w:divBdr>
                                  <w:divsChild>
                                    <w:div w:id="1637561549">
                                      <w:marLeft w:val="0"/>
                                      <w:marRight w:val="0"/>
                                      <w:marTop w:val="0"/>
                                      <w:marBottom w:val="0"/>
                                      <w:divBdr>
                                        <w:top w:val="none" w:sz="0" w:space="0" w:color="auto"/>
                                        <w:left w:val="none" w:sz="0" w:space="0" w:color="auto"/>
                                        <w:bottom w:val="none" w:sz="0" w:space="0" w:color="auto"/>
                                        <w:right w:val="none" w:sz="0" w:space="0" w:color="auto"/>
                                      </w:divBdr>
                                      <w:divsChild>
                                        <w:div w:id="754088711">
                                          <w:marLeft w:val="0"/>
                                          <w:marRight w:val="0"/>
                                          <w:marTop w:val="0"/>
                                          <w:marBottom w:val="0"/>
                                          <w:divBdr>
                                            <w:top w:val="none" w:sz="0" w:space="0" w:color="auto"/>
                                            <w:left w:val="none" w:sz="0" w:space="0" w:color="auto"/>
                                            <w:bottom w:val="none" w:sz="0" w:space="0" w:color="auto"/>
                                            <w:right w:val="none" w:sz="0" w:space="0" w:color="auto"/>
                                          </w:divBdr>
                                          <w:divsChild>
                                            <w:div w:id="320088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46376933">
      <w:bodyDiv w:val="1"/>
      <w:marLeft w:val="0"/>
      <w:marRight w:val="0"/>
      <w:marTop w:val="0"/>
      <w:marBottom w:val="0"/>
      <w:divBdr>
        <w:top w:val="none" w:sz="0" w:space="0" w:color="auto"/>
        <w:left w:val="none" w:sz="0" w:space="0" w:color="auto"/>
        <w:bottom w:val="none" w:sz="0" w:space="0" w:color="auto"/>
        <w:right w:val="none" w:sz="0" w:space="0" w:color="auto"/>
      </w:divBdr>
    </w:div>
    <w:div w:id="1953199045">
      <w:bodyDiv w:val="1"/>
      <w:marLeft w:val="0"/>
      <w:marRight w:val="0"/>
      <w:marTop w:val="0"/>
      <w:marBottom w:val="0"/>
      <w:divBdr>
        <w:top w:val="none" w:sz="0" w:space="0" w:color="auto"/>
        <w:left w:val="none" w:sz="0" w:space="0" w:color="auto"/>
        <w:bottom w:val="none" w:sz="0" w:space="0" w:color="auto"/>
        <w:right w:val="none" w:sz="0" w:space="0" w:color="auto"/>
      </w:divBdr>
      <w:divsChild>
        <w:div w:id="1394616446">
          <w:marLeft w:val="0"/>
          <w:marRight w:val="0"/>
          <w:marTop w:val="0"/>
          <w:marBottom w:val="0"/>
          <w:divBdr>
            <w:top w:val="none" w:sz="0" w:space="0" w:color="auto"/>
            <w:left w:val="none" w:sz="0" w:space="0" w:color="auto"/>
            <w:bottom w:val="none" w:sz="0" w:space="0" w:color="auto"/>
            <w:right w:val="none" w:sz="0" w:space="0" w:color="auto"/>
          </w:divBdr>
          <w:divsChild>
            <w:div w:id="1746293167">
              <w:marLeft w:val="4"/>
              <w:marRight w:val="4"/>
              <w:marTop w:val="0"/>
              <w:marBottom w:val="0"/>
              <w:divBdr>
                <w:top w:val="none" w:sz="0" w:space="0" w:color="auto"/>
                <w:left w:val="none" w:sz="0" w:space="0" w:color="auto"/>
                <w:bottom w:val="none" w:sz="0" w:space="0" w:color="auto"/>
                <w:right w:val="none" w:sz="0" w:space="0" w:color="auto"/>
              </w:divBdr>
              <w:divsChild>
                <w:div w:id="1292442655">
                  <w:marLeft w:val="0"/>
                  <w:marRight w:val="0"/>
                  <w:marTop w:val="4"/>
                  <w:marBottom w:val="0"/>
                  <w:divBdr>
                    <w:top w:val="none" w:sz="0" w:space="0" w:color="auto"/>
                    <w:left w:val="none" w:sz="0" w:space="0" w:color="auto"/>
                    <w:bottom w:val="none" w:sz="0" w:space="0" w:color="auto"/>
                    <w:right w:val="none" w:sz="0" w:space="0" w:color="auto"/>
                  </w:divBdr>
                </w:div>
              </w:divsChild>
            </w:div>
          </w:divsChild>
        </w:div>
      </w:divsChild>
    </w:div>
    <w:div w:id="1955477742">
      <w:bodyDiv w:val="1"/>
      <w:marLeft w:val="0"/>
      <w:marRight w:val="0"/>
      <w:marTop w:val="0"/>
      <w:marBottom w:val="0"/>
      <w:divBdr>
        <w:top w:val="none" w:sz="0" w:space="0" w:color="auto"/>
        <w:left w:val="none" w:sz="0" w:space="0" w:color="auto"/>
        <w:bottom w:val="none" w:sz="0" w:space="0" w:color="auto"/>
        <w:right w:val="none" w:sz="0" w:space="0" w:color="auto"/>
      </w:divBdr>
    </w:div>
    <w:div w:id="1956406153">
      <w:bodyDiv w:val="1"/>
      <w:marLeft w:val="0"/>
      <w:marRight w:val="0"/>
      <w:marTop w:val="0"/>
      <w:marBottom w:val="0"/>
      <w:divBdr>
        <w:top w:val="none" w:sz="0" w:space="0" w:color="auto"/>
        <w:left w:val="none" w:sz="0" w:space="0" w:color="auto"/>
        <w:bottom w:val="none" w:sz="0" w:space="0" w:color="auto"/>
        <w:right w:val="none" w:sz="0" w:space="0" w:color="auto"/>
      </w:divBdr>
      <w:divsChild>
        <w:div w:id="2007125277">
          <w:marLeft w:val="0"/>
          <w:marRight w:val="0"/>
          <w:marTop w:val="0"/>
          <w:marBottom w:val="0"/>
          <w:divBdr>
            <w:top w:val="none" w:sz="0" w:space="0" w:color="auto"/>
            <w:left w:val="none" w:sz="0" w:space="0" w:color="auto"/>
            <w:bottom w:val="none" w:sz="0" w:space="0" w:color="auto"/>
            <w:right w:val="none" w:sz="0" w:space="0" w:color="auto"/>
          </w:divBdr>
          <w:divsChild>
            <w:div w:id="1736583741">
              <w:marLeft w:val="0"/>
              <w:marRight w:val="0"/>
              <w:marTop w:val="0"/>
              <w:marBottom w:val="0"/>
              <w:divBdr>
                <w:top w:val="none" w:sz="0" w:space="0" w:color="auto"/>
                <w:left w:val="none" w:sz="0" w:space="0" w:color="auto"/>
                <w:bottom w:val="none" w:sz="0" w:space="0" w:color="auto"/>
                <w:right w:val="none" w:sz="0" w:space="0" w:color="auto"/>
              </w:divBdr>
              <w:divsChild>
                <w:div w:id="625964403">
                  <w:marLeft w:val="0"/>
                  <w:marRight w:val="0"/>
                  <w:marTop w:val="0"/>
                  <w:marBottom w:val="0"/>
                  <w:divBdr>
                    <w:top w:val="none" w:sz="0" w:space="0" w:color="auto"/>
                    <w:left w:val="none" w:sz="0" w:space="0" w:color="auto"/>
                    <w:bottom w:val="none" w:sz="0" w:space="0" w:color="auto"/>
                    <w:right w:val="none" w:sz="0" w:space="0" w:color="auto"/>
                  </w:divBdr>
                  <w:divsChild>
                    <w:div w:id="221410360">
                      <w:marLeft w:val="0"/>
                      <w:marRight w:val="0"/>
                      <w:marTop w:val="0"/>
                      <w:marBottom w:val="0"/>
                      <w:divBdr>
                        <w:top w:val="none" w:sz="0" w:space="0" w:color="auto"/>
                        <w:left w:val="none" w:sz="0" w:space="0" w:color="auto"/>
                        <w:bottom w:val="none" w:sz="0" w:space="0" w:color="auto"/>
                        <w:right w:val="none" w:sz="0" w:space="0" w:color="auto"/>
                      </w:divBdr>
                      <w:divsChild>
                        <w:div w:id="57360168">
                          <w:marLeft w:val="0"/>
                          <w:marRight w:val="0"/>
                          <w:marTop w:val="0"/>
                          <w:marBottom w:val="0"/>
                          <w:divBdr>
                            <w:top w:val="none" w:sz="0" w:space="0" w:color="auto"/>
                            <w:left w:val="none" w:sz="0" w:space="0" w:color="auto"/>
                            <w:bottom w:val="none" w:sz="0" w:space="0" w:color="auto"/>
                            <w:right w:val="none" w:sz="0" w:space="0" w:color="auto"/>
                          </w:divBdr>
                          <w:divsChild>
                            <w:div w:id="221789802">
                              <w:marLeft w:val="0"/>
                              <w:marRight w:val="0"/>
                              <w:marTop w:val="0"/>
                              <w:marBottom w:val="0"/>
                              <w:divBdr>
                                <w:top w:val="none" w:sz="0" w:space="0" w:color="auto"/>
                                <w:left w:val="none" w:sz="0" w:space="0" w:color="auto"/>
                                <w:bottom w:val="none" w:sz="0" w:space="0" w:color="auto"/>
                                <w:right w:val="none" w:sz="0" w:space="0" w:color="auto"/>
                              </w:divBdr>
                              <w:divsChild>
                                <w:div w:id="1249190938">
                                  <w:marLeft w:val="0"/>
                                  <w:marRight w:val="0"/>
                                  <w:marTop w:val="0"/>
                                  <w:marBottom w:val="0"/>
                                  <w:divBdr>
                                    <w:top w:val="none" w:sz="0" w:space="0" w:color="auto"/>
                                    <w:left w:val="none" w:sz="0" w:space="0" w:color="auto"/>
                                    <w:bottom w:val="none" w:sz="0" w:space="0" w:color="auto"/>
                                    <w:right w:val="none" w:sz="0" w:space="0" w:color="auto"/>
                                  </w:divBdr>
                                  <w:divsChild>
                                    <w:div w:id="148333550">
                                      <w:marLeft w:val="0"/>
                                      <w:marRight w:val="0"/>
                                      <w:marTop w:val="0"/>
                                      <w:marBottom w:val="0"/>
                                      <w:divBdr>
                                        <w:top w:val="none" w:sz="0" w:space="0" w:color="auto"/>
                                        <w:left w:val="none" w:sz="0" w:space="0" w:color="auto"/>
                                        <w:bottom w:val="none" w:sz="0" w:space="0" w:color="auto"/>
                                        <w:right w:val="none" w:sz="0" w:space="0" w:color="auto"/>
                                      </w:divBdr>
                                      <w:divsChild>
                                        <w:div w:id="859855949">
                                          <w:marLeft w:val="0"/>
                                          <w:marRight w:val="0"/>
                                          <w:marTop w:val="0"/>
                                          <w:marBottom w:val="0"/>
                                          <w:divBdr>
                                            <w:top w:val="none" w:sz="0" w:space="0" w:color="auto"/>
                                            <w:left w:val="none" w:sz="0" w:space="0" w:color="auto"/>
                                            <w:bottom w:val="none" w:sz="0" w:space="0" w:color="auto"/>
                                            <w:right w:val="none" w:sz="0" w:space="0" w:color="auto"/>
                                          </w:divBdr>
                                          <w:divsChild>
                                            <w:div w:id="476148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70939401">
      <w:bodyDiv w:val="1"/>
      <w:marLeft w:val="0"/>
      <w:marRight w:val="0"/>
      <w:marTop w:val="0"/>
      <w:marBottom w:val="0"/>
      <w:divBdr>
        <w:top w:val="none" w:sz="0" w:space="0" w:color="auto"/>
        <w:left w:val="none" w:sz="0" w:space="0" w:color="auto"/>
        <w:bottom w:val="none" w:sz="0" w:space="0" w:color="auto"/>
        <w:right w:val="none" w:sz="0" w:space="0" w:color="auto"/>
      </w:divBdr>
      <w:divsChild>
        <w:div w:id="1326664329">
          <w:marLeft w:val="0"/>
          <w:marRight w:val="0"/>
          <w:marTop w:val="0"/>
          <w:marBottom w:val="0"/>
          <w:divBdr>
            <w:top w:val="none" w:sz="0" w:space="0" w:color="auto"/>
            <w:left w:val="none" w:sz="0" w:space="0" w:color="auto"/>
            <w:bottom w:val="none" w:sz="0" w:space="0" w:color="auto"/>
            <w:right w:val="none" w:sz="0" w:space="0" w:color="auto"/>
          </w:divBdr>
          <w:divsChild>
            <w:div w:id="381057742">
              <w:marLeft w:val="0"/>
              <w:marRight w:val="0"/>
              <w:marTop w:val="0"/>
              <w:marBottom w:val="0"/>
              <w:divBdr>
                <w:top w:val="none" w:sz="0" w:space="0" w:color="auto"/>
                <w:left w:val="none" w:sz="0" w:space="0" w:color="auto"/>
                <w:bottom w:val="none" w:sz="0" w:space="0" w:color="auto"/>
                <w:right w:val="none" w:sz="0" w:space="0" w:color="auto"/>
              </w:divBdr>
              <w:divsChild>
                <w:div w:id="1936401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6786982">
      <w:bodyDiv w:val="1"/>
      <w:marLeft w:val="0"/>
      <w:marRight w:val="0"/>
      <w:marTop w:val="0"/>
      <w:marBottom w:val="0"/>
      <w:divBdr>
        <w:top w:val="none" w:sz="0" w:space="0" w:color="auto"/>
        <w:left w:val="none" w:sz="0" w:space="0" w:color="auto"/>
        <w:bottom w:val="none" w:sz="0" w:space="0" w:color="auto"/>
        <w:right w:val="none" w:sz="0" w:space="0" w:color="auto"/>
      </w:divBdr>
      <w:divsChild>
        <w:div w:id="1549489214">
          <w:marLeft w:val="0"/>
          <w:marRight w:val="0"/>
          <w:marTop w:val="0"/>
          <w:marBottom w:val="0"/>
          <w:divBdr>
            <w:top w:val="none" w:sz="0" w:space="0" w:color="auto"/>
            <w:left w:val="none" w:sz="0" w:space="0" w:color="auto"/>
            <w:bottom w:val="none" w:sz="0" w:space="0" w:color="auto"/>
            <w:right w:val="none" w:sz="0" w:space="0" w:color="auto"/>
          </w:divBdr>
          <w:divsChild>
            <w:div w:id="806509590">
              <w:marLeft w:val="0"/>
              <w:marRight w:val="0"/>
              <w:marTop w:val="0"/>
              <w:marBottom w:val="0"/>
              <w:divBdr>
                <w:top w:val="none" w:sz="0" w:space="0" w:color="auto"/>
                <w:left w:val="none" w:sz="0" w:space="0" w:color="auto"/>
                <w:bottom w:val="none" w:sz="0" w:space="0" w:color="auto"/>
                <w:right w:val="none" w:sz="0" w:space="0" w:color="auto"/>
              </w:divBdr>
              <w:divsChild>
                <w:div w:id="577717130">
                  <w:marLeft w:val="0"/>
                  <w:marRight w:val="0"/>
                  <w:marTop w:val="0"/>
                  <w:marBottom w:val="0"/>
                  <w:divBdr>
                    <w:top w:val="none" w:sz="0" w:space="0" w:color="auto"/>
                    <w:left w:val="none" w:sz="0" w:space="0" w:color="auto"/>
                    <w:bottom w:val="none" w:sz="0" w:space="0" w:color="auto"/>
                    <w:right w:val="none" w:sz="0" w:space="0" w:color="auto"/>
                  </w:divBdr>
                  <w:divsChild>
                    <w:div w:id="1842115940">
                      <w:marLeft w:val="0"/>
                      <w:marRight w:val="0"/>
                      <w:marTop w:val="0"/>
                      <w:marBottom w:val="0"/>
                      <w:divBdr>
                        <w:top w:val="none" w:sz="0" w:space="0" w:color="auto"/>
                        <w:left w:val="none" w:sz="0" w:space="0" w:color="auto"/>
                        <w:bottom w:val="none" w:sz="0" w:space="0" w:color="auto"/>
                        <w:right w:val="none" w:sz="0" w:space="0" w:color="auto"/>
                      </w:divBdr>
                      <w:divsChild>
                        <w:div w:id="117992829">
                          <w:marLeft w:val="0"/>
                          <w:marRight w:val="0"/>
                          <w:marTop w:val="0"/>
                          <w:marBottom w:val="0"/>
                          <w:divBdr>
                            <w:top w:val="none" w:sz="0" w:space="0" w:color="auto"/>
                            <w:left w:val="none" w:sz="0" w:space="0" w:color="auto"/>
                            <w:bottom w:val="none" w:sz="0" w:space="0" w:color="auto"/>
                            <w:right w:val="none" w:sz="0" w:space="0" w:color="auto"/>
                          </w:divBdr>
                          <w:divsChild>
                            <w:div w:id="1683433528">
                              <w:marLeft w:val="150"/>
                              <w:marRight w:val="150"/>
                              <w:marTop w:val="150"/>
                              <w:marBottom w:val="150"/>
                              <w:divBdr>
                                <w:top w:val="none" w:sz="0" w:space="0" w:color="auto"/>
                                <w:left w:val="none" w:sz="0" w:space="0" w:color="auto"/>
                                <w:bottom w:val="none" w:sz="0" w:space="0" w:color="auto"/>
                                <w:right w:val="none" w:sz="0" w:space="0" w:color="auto"/>
                              </w:divBdr>
                              <w:divsChild>
                                <w:div w:id="1834026607">
                                  <w:marLeft w:val="0"/>
                                  <w:marRight w:val="0"/>
                                  <w:marTop w:val="0"/>
                                  <w:marBottom w:val="0"/>
                                  <w:divBdr>
                                    <w:top w:val="none" w:sz="0" w:space="0" w:color="auto"/>
                                    <w:left w:val="none" w:sz="0" w:space="0" w:color="auto"/>
                                    <w:bottom w:val="none" w:sz="0" w:space="0" w:color="auto"/>
                                    <w:right w:val="none" w:sz="0" w:space="0" w:color="auto"/>
                                  </w:divBdr>
                                  <w:divsChild>
                                    <w:div w:id="1153327117">
                                      <w:marLeft w:val="0"/>
                                      <w:marRight w:val="0"/>
                                      <w:marTop w:val="0"/>
                                      <w:marBottom w:val="0"/>
                                      <w:divBdr>
                                        <w:top w:val="none" w:sz="0" w:space="0" w:color="auto"/>
                                        <w:left w:val="none" w:sz="0" w:space="0" w:color="auto"/>
                                        <w:bottom w:val="none" w:sz="0" w:space="0" w:color="auto"/>
                                        <w:right w:val="none" w:sz="0" w:space="0" w:color="auto"/>
                                      </w:divBdr>
                                      <w:divsChild>
                                        <w:div w:id="867987152">
                                          <w:marLeft w:val="0"/>
                                          <w:marRight w:val="0"/>
                                          <w:marTop w:val="0"/>
                                          <w:marBottom w:val="0"/>
                                          <w:divBdr>
                                            <w:top w:val="none" w:sz="0" w:space="0" w:color="auto"/>
                                            <w:left w:val="none" w:sz="0" w:space="0" w:color="auto"/>
                                            <w:bottom w:val="none" w:sz="0" w:space="0" w:color="auto"/>
                                            <w:right w:val="none" w:sz="0" w:space="0" w:color="auto"/>
                                          </w:divBdr>
                                          <w:divsChild>
                                            <w:div w:id="644622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92826101">
      <w:bodyDiv w:val="1"/>
      <w:marLeft w:val="0"/>
      <w:marRight w:val="0"/>
      <w:marTop w:val="0"/>
      <w:marBottom w:val="0"/>
      <w:divBdr>
        <w:top w:val="none" w:sz="0" w:space="0" w:color="auto"/>
        <w:left w:val="none" w:sz="0" w:space="0" w:color="auto"/>
        <w:bottom w:val="none" w:sz="0" w:space="0" w:color="auto"/>
        <w:right w:val="none" w:sz="0" w:space="0" w:color="auto"/>
      </w:divBdr>
      <w:divsChild>
        <w:div w:id="155876177">
          <w:marLeft w:val="0"/>
          <w:marRight w:val="0"/>
          <w:marTop w:val="0"/>
          <w:marBottom w:val="0"/>
          <w:divBdr>
            <w:top w:val="none" w:sz="0" w:space="0" w:color="auto"/>
            <w:left w:val="none" w:sz="0" w:space="0" w:color="auto"/>
            <w:bottom w:val="none" w:sz="0" w:space="0" w:color="auto"/>
            <w:right w:val="none" w:sz="0" w:space="0" w:color="auto"/>
          </w:divBdr>
          <w:divsChild>
            <w:div w:id="1120493498">
              <w:marLeft w:val="0"/>
              <w:marRight w:val="0"/>
              <w:marTop w:val="0"/>
              <w:marBottom w:val="0"/>
              <w:divBdr>
                <w:top w:val="none" w:sz="0" w:space="0" w:color="auto"/>
                <w:left w:val="none" w:sz="0" w:space="0" w:color="auto"/>
                <w:bottom w:val="none" w:sz="0" w:space="0" w:color="auto"/>
                <w:right w:val="none" w:sz="0" w:space="0" w:color="auto"/>
              </w:divBdr>
              <w:divsChild>
                <w:div w:id="381100423">
                  <w:marLeft w:val="0"/>
                  <w:marRight w:val="0"/>
                  <w:marTop w:val="0"/>
                  <w:marBottom w:val="0"/>
                  <w:divBdr>
                    <w:top w:val="none" w:sz="0" w:space="0" w:color="auto"/>
                    <w:left w:val="none" w:sz="0" w:space="0" w:color="auto"/>
                    <w:bottom w:val="none" w:sz="0" w:space="0" w:color="auto"/>
                    <w:right w:val="none" w:sz="0" w:space="0" w:color="auto"/>
                  </w:divBdr>
                  <w:divsChild>
                    <w:div w:id="1117330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4359887">
      <w:bodyDiv w:val="1"/>
      <w:marLeft w:val="0"/>
      <w:marRight w:val="0"/>
      <w:marTop w:val="0"/>
      <w:marBottom w:val="0"/>
      <w:divBdr>
        <w:top w:val="none" w:sz="0" w:space="0" w:color="auto"/>
        <w:left w:val="none" w:sz="0" w:space="0" w:color="auto"/>
        <w:bottom w:val="none" w:sz="0" w:space="0" w:color="auto"/>
        <w:right w:val="none" w:sz="0" w:space="0" w:color="auto"/>
      </w:divBdr>
      <w:divsChild>
        <w:div w:id="788936541">
          <w:marLeft w:val="0"/>
          <w:marRight w:val="0"/>
          <w:marTop w:val="0"/>
          <w:marBottom w:val="0"/>
          <w:divBdr>
            <w:top w:val="none" w:sz="0" w:space="0" w:color="auto"/>
            <w:left w:val="none" w:sz="0" w:space="0" w:color="auto"/>
            <w:bottom w:val="none" w:sz="0" w:space="0" w:color="auto"/>
            <w:right w:val="none" w:sz="0" w:space="0" w:color="auto"/>
          </w:divBdr>
          <w:divsChild>
            <w:div w:id="1164390778">
              <w:marLeft w:val="0"/>
              <w:marRight w:val="0"/>
              <w:marTop w:val="0"/>
              <w:marBottom w:val="0"/>
              <w:divBdr>
                <w:top w:val="none" w:sz="0" w:space="0" w:color="auto"/>
                <w:left w:val="none" w:sz="0" w:space="0" w:color="auto"/>
                <w:bottom w:val="none" w:sz="0" w:space="0" w:color="auto"/>
                <w:right w:val="none" w:sz="0" w:space="0" w:color="auto"/>
              </w:divBdr>
              <w:divsChild>
                <w:div w:id="520776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231854">
      <w:bodyDiv w:val="1"/>
      <w:marLeft w:val="0"/>
      <w:marRight w:val="0"/>
      <w:marTop w:val="0"/>
      <w:marBottom w:val="0"/>
      <w:divBdr>
        <w:top w:val="none" w:sz="0" w:space="0" w:color="auto"/>
        <w:left w:val="none" w:sz="0" w:space="0" w:color="auto"/>
        <w:bottom w:val="none" w:sz="0" w:space="0" w:color="auto"/>
        <w:right w:val="none" w:sz="0" w:space="0" w:color="auto"/>
      </w:divBdr>
      <w:divsChild>
        <w:div w:id="91437790">
          <w:marLeft w:val="1080"/>
          <w:marRight w:val="0"/>
          <w:marTop w:val="100"/>
          <w:marBottom w:val="0"/>
          <w:divBdr>
            <w:top w:val="none" w:sz="0" w:space="0" w:color="auto"/>
            <w:left w:val="none" w:sz="0" w:space="0" w:color="auto"/>
            <w:bottom w:val="none" w:sz="0" w:space="0" w:color="auto"/>
            <w:right w:val="none" w:sz="0" w:space="0" w:color="auto"/>
          </w:divBdr>
        </w:div>
        <w:div w:id="115225676">
          <w:marLeft w:val="1080"/>
          <w:marRight w:val="0"/>
          <w:marTop w:val="100"/>
          <w:marBottom w:val="0"/>
          <w:divBdr>
            <w:top w:val="none" w:sz="0" w:space="0" w:color="auto"/>
            <w:left w:val="none" w:sz="0" w:space="0" w:color="auto"/>
            <w:bottom w:val="none" w:sz="0" w:space="0" w:color="auto"/>
            <w:right w:val="none" w:sz="0" w:space="0" w:color="auto"/>
          </w:divBdr>
        </w:div>
        <w:div w:id="307050929">
          <w:marLeft w:val="1080"/>
          <w:marRight w:val="0"/>
          <w:marTop w:val="100"/>
          <w:marBottom w:val="0"/>
          <w:divBdr>
            <w:top w:val="none" w:sz="0" w:space="0" w:color="auto"/>
            <w:left w:val="none" w:sz="0" w:space="0" w:color="auto"/>
            <w:bottom w:val="none" w:sz="0" w:space="0" w:color="auto"/>
            <w:right w:val="none" w:sz="0" w:space="0" w:color="auto"/>
          </w:divBdr>
        </w:div>
        <w:div w:id="521939544">
          <w:marLeft w:val="1080"/>
          <w:marRight w:val="0"/>
          <w:marTop w:val="100"/>
          <w:marBottom w:val="0"/>
          <w:divBdr>
            <w:top w:val="none" w:sz="0" w:space="0" w:color="auto"/>
            <w:left w:val="none" w:sz="0" w:space="0" w:color="auto"/>
            <w:bottom w:val="none" w:sz="0" w:space="0" w:color="auto"/>
            <w:right w:val="none" w:sz="0" w:space="0" w:color="auto"/>
          </w:divBdr>
        </w:div>
        <w:div w:id="712071481">
          <w:marLeft w:val="360"/>
          <w:marRight w:val="0"/>
          <w:marTop w:val="200"/>
          <w:marBottom w:val="0"/>
          <w:divBdr>
            <w:top w:val="none" w:sz="0" w:space="0" w:color="auto"/>
            <w:left w:val="none" w:sz="0" w:space="0" w:color="auto"/>
            <w:bottom w:val="none" w:sz="0" w:space="0" w:color="auto"/>
            <w:right w:val="none" w:sz="0" w:space="0" w:color="auto"/>
          </w:divBdr>
        </w:div>
        <w:div w:id="1491941433">
          <w:marLeft w:val="1080"/>
          <w:marRight w:val="0"/>
          <w:marTop w:val="100"/>
          <w:marBottom w:val="0"/>
          <w:divBdr>
            <w:top w:val="none" w:sz="0" w:space="0" w:color="auto"/>
            <w:left w:val="none" w:sz="0" w:space="0" w:color="auto"/>
            <w:bottom w:val="none" w:sz="0" w:space="0" w:color="auto"/>
            <w:right w:val="none" w:sz="0" w:space="0" w:color="auto"/>
          </w:divBdr>
        </w:div>
        <w:div w:id="1592467378">
          <w:marLeft w:val="360"/>
          <w:marRight w:val="0"/>
          <w:marTop w:val="200"/>
          <w:marBottom w:val="0"/>
          <w:divBdr>
            <w:top w:val="none" w:sz="0" w:space="0" w:color="auto"/>
            <w:left w:val="none" w:sz="0" w:space="0" w:color="auto"/>
            <w:bottom w:val="none" w:sz="0" w:space="0" w:color="auto"/>
            <w:right w:val="none" w:sz="0" w:space="0" w:color="auto"/>
          </w:divBdr>
        </w:div>
        <w:div w:id="1940333286">
          <w:marLeft w:val="1800"/>
          <w:marRight w:val="0"/>
          <w:marTop w:val="100"/>
          <w:marBottom w:val="0"/>
          <w:divBdr>
            <w:top w:val="none" w:sz="0" w:space="0" w:color="auto"/>
            <w:left w:val="none" w:sz="0" w:space="0" w:color="auto"/>
            <w:bottom w:val="none" w:sz="0" w:space="0" w:color="auto"/>
            <w:right w:val="none" w:sz="0" w:space="0" w:color="auto"/>
          </w:divBdr>
        </w:div>
        <w:div w:id="1987125746">
          <w:marLeft w:val="1800"/>
          <w:marRight w:val="0"/>
          <w:marTop w:val="100"/>
          <w:marBottom w:val="0"/>
          <w:divBdr>
            <w:top w:val="none" w:sz="0" w:space="0" w:color="auto"/>
            <w:left w:val="none" w:sz="0" w:space="0" w:color="auto"/>
            <w:bottom w:val="none" w:sz="0" w:space="0" w:color="auto"/>
            <w:right w:val="none" w:sz="0" w:space="0" w:color="auto"/>
          </w:divBdr>
        </w:div>
      </w:divsChild>
    </w:div>
    <w:div w:id="2027829489">
      <w:bodyDiv w:val="1"/>
      <w:marLeft w:val="0"/>
      <w:marRight w:val="0"/>
      <w:marTop w:val="0"/>
      <w:marBottom w:val="0"/>
      <w:divBdr>
        <w:top w:val="none" w:sz="0" w:space="0" w:color="auto"/>
        <w:left w:val="none" w:sz="0" w:space="0" w:color="auto"/>
        <w:bottom w:val="none" w:sz="0" w:space="0" w:color="auto"/>
        <w:right w:val="none" w:sz="0" w:space="0" w:color="auto"/>
      </w:divBdr>
    </w:div>
    <w:div w:id="2032030021">
      <w:bodyDiv w:val="1"/>
      <w:marLeft w:val="0"/>
      <w:marRight w:val="0"/>
      <w:marTop w:val="0"/>
      <w:marBottom w:val="0"/>
      <w:divBdr>
        <w:top w:val="none" w:sz="0" w:space="0" w:color="auto"/>
        <w:left w:val="none" w:sz="0" w:space="0" w:color="auto"/>
        <w:bottom w:val="none" w:sz="0" w:space="0" w:color="auto"/>
        <w:right w:val="none" w:sz="0" w:space="0" w:color="auto"/>
      </w:divBdr>
    </w:div>
    <w:div w:id="2042051964">
      <w:bodyDiv w:val="1"/>
      <w:marLeft w:val="0"/>
      <w:marRight w:val="0"/>
      <w:marTop w:val="0"/>
      <w:marBottom w:val="0"/>
      <w:divBdr>
        <w:top w:val="none" w:sz="0" w:space="0" w:color="auto"/>
        <w:left w:val="none" w:sz="0" w:space="0" w:color="auto"/>
        <w:bottom w:val="none" w:sz="0" w:space="0" w:color="auto"/>
        <w:right w:val="none" w:sz="0" w:space="0" w:color="auto"/>
      </w:divBdr>
      <w:divsChild>
        <w:div w:id="1560820676">
          <w:marLeft w:val="0"/>
          <w:marRight w:val="0"/>
          <w:marTop w:val="0"/>
          <w:marBottom w:val="0"/>
          <w:divBdr>
            <w:top w:val="none" w:sz="0" w:space="0" w:color="auto"/>
            <w:left w:val="none" w:sz="0" w:space="0" w:color="auto"/>
            <w:bottom w:val="none" w:sz="0" w:space="0" w:color="auto"/>
            <w:right w:val="none" w:sz="0" w:space="0" w:color="auto"/>
          </w:divBdr>
          <w:divsChild>
            <w:div w:id="1372533546">
              <w:marLeft w:val="0"/>
              <w:marRight w:val="0"/>
              <w:marTop w:val="0"/>
              <w:marBottom w:val="0"/>
              <w:divBdr>
                <w:top w:val="none" w:sz="0" w:space="0" w:color="auto"/>
                <w:left w:val="none" w:sz="0" w:space="0" w:color="auto"/>
                <w:bottom w:val="none" w:sz="0" w:space="0" w:color="auto"/>
                <w:right w:val="none" w:sz="0" w:space="0" w:color="auto"/>
              </w:divBdr>
              <w:divsChild>
                <w:div w:id="2070419019">
                  <w:marLeft w:val="4935"/>
                  <w:marRight w:val="0"/>
                  <w:marTop w:val="0"/>
                  <w:marBottom w:val="0"/>
                  <w:divBdr>
                    <w:top w:val="none" w:sz="0" w:space="0" w:color="auto"/>
                    <w:left w:val="none" w:sz="0" w:space="0" w:color="auto"/>
                    <w:bottom w:val="none" w:sz="0" w:space="0" w:color="auto"/>
                    <w:right w:val="none" w:sz="0" w:space="0" w:color="auto"/>
                  </w:divBdr>
                  <w:divsChild>
                    <w:div w:id="333996282">
                      <w:marLeft w:val="0"/>
                      <w:marRight w:val="0"/>
                      <w:marTop w:val="0"/>
                      <w:marBottom w:val="0"/>
                      <w:divBdr>
                        <w:top w:val="none" w:sz="0" w:space="0" w:color="auto"/>
                        <w:left w:val="none" w:sz="0" w:space="0" w:color="auto"/>
                        <w:bottom w:val="none" w:sz="0" w:space="0" w:color="auto"/>
                        <w:right w:val="none" w:sz="0" w:space="0" w:color="auto"/>
                      </w:divBdr>
                      <w:divsChild>
                        <w:div w:id="18774876">
                          <w:marLeft w:val="0"/>
                          <w:marRight w:val="0"/>
                          <w:marTop w:val="0"/>
                          <w:marBottom w:val="0"/>
                          <w:divBdr>
                            <w:top w:val="none" w:sz="0" w:space="0" w:color="auto"/>
                            <w:left w:val="none" w:sz="0" w:space="0" w:color="auto"/>
                            <w:bottom w:val="none" w:sz="0" w:space="0" w:color="auto"/>
                            <w:right w:val="none" w:sz="0" w:space="0" w:color="auto"/>
                          </w:divBdr>
                          <w:divsChild>
                            <w:div w:id="120266858">
                              <w:marLeft w:val="0"/>
                              <w:marRight w:val="0"/>
                              <w:marTop w:val="0"/>
                              <w:marBottom w:val="0"/>
                              <w:divBdr>
                                <w:top w:val="none" w:sz="0" w:space="0" w:color="auto"/>
                                <w:left w:val="none" w:sz="0" w:space="0" w:color="auto"/>
                                <w:bottom w:val="none" w:sz="0" w:space="0" w:color="auto"/>
                                <w:right w:val="none" w:sz="0" w:space="0" w:color="auto"/>
                              </w:divBdr>
                              <w:divsChild>
                                <w:div w:id="990669785">
                                  <w:marLeft w:val="0"/>
                                  <w:marRight w:val="0"/>
                                  <w:marTop w:val="0"/>
                                  <w:marBottom w:val="0"/>
                                  <w:divBdr>
                                    <w:top w:val="none" w:sz="0" w:space="0" w:color="auto"/>
                                    <w:left w:val="none" w:sz="0" w:space="0" w:color="auto"/>
                                    <w:bottom w:val="none" w:sz="0" w:space="0" w:color="auto"/>
                                    <w:right w:val="none" w:sz="0" w:space="0" w:color="auto"/>
                                  </w:divBdr>
                                  <w:divsChild>
                                    <w:div w:id="784277064">
                                      <w:marLeft w:val="0"/>
                                      <w:marRight w:val="0"/>
                                      <w:marTop w:val="0"/>
                                      <w:marBottom w:val="0"/>
                                      <w:divBdr>
                                        <w:top w:val="none" w:sz="0" w:space="0" w:color="auto"/>
                                        <w:left w:val="none" w:sz="0" w:space="0" w:color="auto"/>
                                        <w:bottom w:val="none" w:sz="0" w:space="0" w:color="auto"/>
                                        <w:right w:val="none" w:sz="0" w:space="0" w:color="auto"/>
                                      </w:divBdr>
                                      <w:divsChild>
                                        <w:div w:id="934630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47438069">
      <w:bodyDiv w:val="1"/>
      <w:marLeft w:val="0"/>
      <w:marRight w:val="0"/>
      <w:marTop w:val="0"/>
      <w:marBottom w:val="0"/>
      <w:divBdr>
        <w:top w:val="none" w:sz="0" w:space="0" w:color="auto"/>
        <w:left w:val="none" w:sz="0" w:space="0" w:color="auto"/>
        <w:bottom w:val="none" w:sz="0" w:space="0" w:color="auto"/>
        <w:right w:val="none" w:sz="0" w:space="0" w:color="auto"/>
      </w:divBdr>
    </w:div>
    <w:div w:id="2061778974">
      <w:bodyDiv w:val="1"/>
      <w:marLeft w:val="0"/>
      <w:marRight w:val="0"/>
      <w:marTop w:val="0"/>
      <w:marBottom w:val="0"/>
      <w:divBdr>
        <w:top w:val="none" w:sz="0" w:space="0" w:color="auto"/>
        <w:left w:val="none" w:sz="0" w:space="0" w:color="auto"/>
        <w:bottom w:val="none" w:sz="0" w:space="0" w:color="auto"/>
        <w:right w:val="none" w:sz="0" w:space="0" w:color="auto"/>
      </w:divBdr>
    </w:div>
    <w:div w:id="2064285101">
      <w:bodyDiv w:val="1"/>
      <w:marLeft w:val="0"/>
      <w:marRight w:val="0"/>
      <w:marTop w:val="0"/>
      <w:marBottom w:val="0"/>
      <w:divBdr>
        <w:top w:val="none" w:sz="0" w:space="0" w:color="auto"/>
        <w:left w:val="none" w:sz="0" w:space="0" w:color="auto"/>
        <w:bottom w:val="none" w:sz="0" w:space="0" w:color="auto"/>
        <w:right w:val="none" w:sz="0" w:space="0" w:color="auto"/>
      </w:divBdr>
    </w:div>
    <w:div w:id="2071034522">
      <w:bodyDiv w:val="1"/>
      <w:marLeft w:val="0"/>
      <w:marRight w:val="0"/>
      <w:marTop w:val="0"/>
      <w:marBottom w:val="0"/>
      <w:divBdr>
        <w:top w:val="none" w:sz="0" w:space="0" w:color="auto"/>
        <w:left w:val="none" w:sz="0" w:space="0" w:color="auto"/>
        <w:bottom w:val="none" w:sz="0" w:space="0" w:color="auto"/>
        <w:right w:val="none" w:sz="0" w:space="0" w:color="auto"/>
      </w:divBdr>
      <w:divsChild>
        <w:div w:id="561915380">
          <w:marLeft w:val="0"/>
          <w:marRight w:val="0"/>
          <w:marTop w:val="0"/>
          <w:marBottom w:val="0"/>
          <w:divBdr>
            <w:top w:val="none" w:sz="0" w:space="0" w:color="auto"/>
            <w:left w:val="none" w:sz="0" w:space="0" w:color="auto"/>
            <w:bottom w:val="none" w:sz="0" w:space="0" w:color="auto"/>
            <w:right w:val="none" w:sz="0" w:space="0" w:color="auto"/>
          </w:divBdr>
        </w:div>
      </w:divsChild>
    </w:div>
    <w:div w:id="2078160180">
      <w:bodyDiv w:val="1"/>
      <w:marLeft w:val="0"/>
      <w:marRight w:val="0"/>
      <w:marTop w:val="0"/>
      <w:marBottom w:val="0"/>
      <w:divBdr>
        <w:top w:val="none" w:sz="0" w:space="0" w:color="auto"/>
        <w:left w:val="none" w:sz="0" w:space="0" w:color="auto"/>
        <w:bottom w:val="none" w:sz="0" w:space="0" w:color="auto"/>
        <w:right w:val="none" w:sz="0" w:space="0" w:color="auto"/>
      </w:divBdr>
    </w:div>
    <w:div w:id="2095087557">
      <w:bodyDiv w:val="1"/>
      <w:marLeft w:val="0"/>
      <w:marRight w:val="0"/>
      <w:marTop w:val="0"/>
      <w:marBottom w:val="0"/>
      <w:divBdr>
        <w:top w:val="none" w:sz="0" w:space="0" w:color="auto"/>
        <w:left w:val="none" w:sz="0" w:space="0" w:color="auto"/>
        <w:bottom w:val="none" w:sz="0" w:space="0" w:color="auto"/>
        <w:right w:val="none" w:sz="0" w:space="0" w:color="auto"/>
      </w:divBdr>
      <w:divsChild>
        <w:div w:id="1077166361">
          <w:marLeft w:val="0"/>
          <w:marRight w:val="0"/>
          <w:marTop w:val="0"/>
          <w:marBottom w:val="0"/>
          <w:divBdr>
            <w:top w:val="none" w:sz="0" w:space="0" w:color="auto"/>
            <w:left w:val="none" w:sz="0" w:space="0" w:color="auto"/>
            <w:bottom w:val="none" w:sz="0" w:space="0" w:color="auto"/>
            <w:right w:val="none" w:sz="0" w:space="0" w:color="auto"/>
          </w:divBdr>
          <w:divsChild>
            <w:div w:id="87820884">
              <w:marLeft w:val="0"/>
              <w:marRight w:val="0"/>
              <w:marTop w:val="0"/>
              <w:marBottom w:val="0"/>
              <w:divBdr>
                <w:top w:val="none" w:sz="0" w:space="0" w:color="auto"/>
                <w:left w:val="none" w:sz="0" w:space="0" w:color="auto"/>
                <w:bottom w:val="none" w:sz="0" w:space="0" w:color="auto"/>
                <w:right w:val="none" w:sz="0" w:space="0" w:color="auto"/>
              </w:divBdr>
              <w:divsChild>
                <w:div w:id="1717045909">
                  <w:marLeft w:val="0"/>
                  <w:marRight w:val="0"/>
                  <w:marTop w:val="0"/>
                  <w:marBottom w:val="0"/>
                  <w:divBdr>
                    <w:top w:val="none" w:sz="0" w:space="0" w:color="auto"/>
                    <w:left w:val="none" w:sz="0" w:space="0" w:color="auto"/>
                    <w:bottom w:val="none" w:sz="0" w:space="0" w:color="auto"/>
                    <w:right w:val="none" w:sz="0" w:space="0" w:color="auto"/>
                  </w:divBdr>
                  <w:divsChild>
                    <w:div w:id="2119641520">
                      <w:marLeft w:val="0"/>
                      <w:marRight w:val="0"/>
                      <w:marTop w:val="0"/>
                      <w:marBottom w:val="0"/>
                      <w:divBdr>
                        <w:top w:val="none" w:sz="0" w:space="0" w:color="auto"/>
                        <w:left w:val="none" w:sz="0" w:space="0" w:color="auto"/>
                        <w:bottom w:val="none" w:sz="0" w:space="0" w:color="auto"/>
                        <w:right w:val="none" w:sz="0" w:space="0" w:color="auto"/>
                      </w:divBdr>
                      <w:divsChild>
                        <w:div w:id="2141916828">
                          <w:marLeft w:val="0"/>
                          <w:marRight w:val="0"/>
                          <w:marTop w:val="0"/>
                          <w:marBottom w:val="0"/>
                          <w:divBdr>
                            <w:top w:val="none" w:sz="0" w:space="0" w:color="auto"/>
                            <w:left w:val="none" w:sz="0" w:space="0" w:color="auto"/>
                            <w:bottom w:val="none" w:sz="0" w:space="0" w:color="auto"/>
                            <w:right w:val="none" w:sz="0" w:space="0" w:color="auto"/>
                          </w:divBdr>
                          <w:divsChild>
                            <w:div w:id="1067073407">
                              <w:marLeft w:val="150"/>
                              <w:marRight w:val="150"/>
                              <w:marTop w:val="150"/>
                              <w:marBottom w:val="150"/>
                              <w:divBdr>
                                <w:top w:val="none" w:sz="0" w:space="0" w:color="auto"/>
                                <w:left w:val="none" w:sz="0" w:space="0" w:color="auto"/>
                                <w:bottom w:val="none" w:sz="0" w:space="0" w:color="auto"/>
                                <w:right w:val="none" w:sz="0" w:space="0" w:color="auto"/>
                              </w:divBdr>
                              <w:divsChild>
                                <w:div w:id="547649619">
                                  <w:marLeft w:val="0"/>
                                  <w:marRight w:val="0"/>
                                  <w:marTop w:val="0"/>
                                  <w:marBottom w:val="0"/>
                                  <w:divBdr>
                                    <w:top w:val="none" w:sz="0" w:space="0" w:color="auto"/>
                                    <w:left w:val="none" w:sz="0" w:space="0" w:color="auto"/>
                                    <w:bottom w:val="none" w:sz="0" w:space="0" w:color="auto"/>
                                    <w:right w:val="none" w:sz="0" w:space="0" w:color="auto"/>
                                  </w:divBdr>
                                  <w:divsChild>
                                    <w:div w:id="1812870022">
                                      <w:marLeft w:val="0"/>
                                      <w:marRight w:val="0"/>
                                      <w:marTop w:val="0"/>
                                      <w:marBottom w:val="0"/>
                                      <w:divBdr>
                                        <w:top w:val="none" w:sz="0" w:space="0" w:color="auto"/>
                                        <w:left w:val="none" w:sz="0" w:space="0" w:color="auto"/>
                                        <w:bottom w:val="none" w:sz="0" w:space="0" w:color="auto"/>
                                        <w:right w:val="none" w:sz="0" w:space="0" w:color="auto"/>
                                      </w:divBdr>
                                      <w:divsChild>
                                        <w:div w:id="819225736">
                                          <w:marLeft w:val="0"/>
                                          <w:marRight w:val="0"/>
                                          <w:marTop w:val="0"/>
                                          <w:marBottom w:val="0"/>
                                          <w:divBdr>
                                            <w:top w:val="none" w:sz="0" w:space="0" w:color="auto"/>
                                            <w:left w:val="none" w:sz="0" w:space="0" w:color="auto"/>
                                            <w:bottom w:val="none" w:sz="0" w:space="0" w:color="auto"/>
                                            <w:right w:val="none" w:sz="0" w:space="0" w:color="auto"/>
                                          </w:divBdr>
                                          <w:divsChild>
                                            <w:div w:id="1832789933">
                                              <w:marLeft w:val="0"/>
                                              <w:marRight w:val="0"/>
                                              <w:marTop w:val="0"/>
                                              <w:marBottom w:val="0"/>
                                              <w:divBdr>
                                                <w:top w:val="none" w:sz="0" w:space="0" w:color="auto"/>
                                                <w:left w:val="none" w:sz="0" w:space="0" w:color="auto"/>
                                                <w:bottom w:val="none" w:sz="0" w:space="0" w:color="auto"/>
                                                <w:right w:val="none" w:sz="0" w:space="0" w:color="auto"/>
                                              </w:divBdr>
                                              <w:divsChild>
                                                <w:div w:id="13162567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105103894">
      <w:bodyDiv w:val="1"/>
      <w:marLeft w:val="0"/>
      <w:marRight w:val="0"/>
      <w:marTop w:val="0"/>
      <w:marBottom w:val="0"/>
      <w:divBdr>
        <w:top w:val="none" w:sz="0" w:space="0" w:color="auto"/>
        <w:left w:val="none" w:sz="0" w:space="0" w:color="auto"/>
        <w:bottom w:val="none" w:sz="0" w:space="0" w:color="auto"/>
        <w:right w:val="none" w:sz="0" w:space="0" w:color="auto"/>
      </w:divBdr>
    </w:div>
    <w:div w:id="2120563021">
      <w:bodyDiv w:val="1"/>
      <w:marLeft w:val="0"/>
      <w:marRight w:val="0"/>
      <w:marTop w:val="0"/>
      <w:marBottom w:val="0"/>
      <w:divBdr>
        <w:top w:val="none" w:sz="0" w:space="0" w:color="auto"/>
        <w:left w:val="none" w:sz="0" w:space="0" w:color="auto"/>
        <w:bottom w:val="none" w:sz="0" w:space="0" w:color="auto"/>
        <w:right w:val="none" w:sz="0" w:space="0" w:color="auto"/>
      </w:divBdr>
    </w:div>
    <w:div w:id="2127194911">
      <w:bodyDiv w:val="1"/>
      <w:marLeft w:val="0"/>
      <w:marRight w:val="0"/>
      <w:marTop w:val="0"/>
      <w:marBottom w:val="0"/>
      <w:divBdr>
        <w:top w:val="none" w:sz="0" w:space="0" w:color="auto"/>
        <w:left w:val="none" w:sz="0" w:space="0" w:color="auto"/>
        <w:bottom w:val="none" w:sz="0" w:space="0" w:color="auto"/>
        <w:right w:val="none" w:sz="0" w:space="0" w:color="auto"/>
      </w:divBdr>
      <w:divsChild>
        <w:div w:id="1274362280">
          <w:marLeft w:val="0"/>
          <w:marRight w:val="0"/>
          <w:marTop w:val="0"/>
          <w:marBottom w:val="0"/>
          <w:divBdr>
            <w:top w:val="none" w:sz="0" w:space="0" w:color="auto"/>
            <w:left w:val="none" w:sz="0" w:space="0" w:color="auto"/>
            <w:bottom w:val="none" w:sz="0" w:space="0" w:color="auto"/>
            <w:right w:val="none" w:sz="0" w:space="0" w:color="auto"/>
          </w:divBdr>
          <w:divsChild>
            <w:div w:id="1480490832">
              <w:marLeft w:val="0"/>
              <w:marRight w:val="0"/>
              <w:marTop w:val="0"/>
              <w:marBottom w:val="0"/>
              <w:divBdr>
                <w:top w:val="none" w:sz="0" w:space="0" w:color="auto"/>
                <w:left w:val="none" w:sz="0" w:space="0" w:color="auto"/>
                <w:bottom w:val="none" w:sz="0" w:space="0" w:color="auto"/>
                <w:right w:val="none" w:sz="0" w:space="0" w:color="auto"/>
              </w:divBdr>
              <w:divsChild>
                <w:div w:id="2110927738">
                  <w:marLeft w:val="4200"/>
                  <w:marRight w:val="0"/>
                  <w:marTop w:val="0"/>
                  <w:marBottom w:val="0"/>
                  <w:divBdr>
                    <w:top w:val="none" w:sz="0" w:space="0" w:color="auto"/>
                    <w:left w:val="none" w:sz="0" w:space="0" w:color="auto"/>
                    <w:bottom w:val="none" w:sz="0" w:space="0" w:color="auto"/>
                    <w:right w:val="none" w:sz="0" w:space="0" w:color="auto"/>
                  </w:divBdr>
                  <w:divsChild>
                    <w:div w:id="1792357179">
                      <w:marLeft w:val="0"/>
                      <w:marRight w:val="0"/>
                      <w:marTop w:val="0"/>
                      <w:marBottom w:val="0"/>
                      <w:divBdr>
                        <w:top w:val="none" w:sz="0" w:space="0" w:color="auto"/>
                        <w:left w:val="none" w:sz="0" w:space="0" w:color="auto"/>
                        <w:bottom w:val="none" w:sz="0" w:space="0" w:color="auto"/>
                        <w:right w:val="none" w:sz="0" w:space="0" w:color="auto"/>
                      </w:divBdr>
                      <w:divsChild>
                        <w:div w:id="987366590">
                          <w:marLeft w:val="0"/>
                          <w:marRight w:val="0"/>
                          <w:marTop w:val="0"/>
                          <w:marBottom w:val="0"/>
                          <w:divBdr>
                            <w:top w:val="none" w:sz="0" w:space="0" w:color="auto"/>
                            <w:left w:val="none" w:sz="0" w:space="0" w:color="auto"/>
                            <w:bottom w:val="none" w:sz="0" w:space="0" w:color="auto"/>
                            <w:right w:val="none" w:sz="0" w:space="0" w:color="auto"/>
                          </w:divBdr>
                          <w:divsChild>
                            <w:div w:id="591742542">
                              <w:marLeft w:val="0"/>
                              <w:marRight w:val="0"/>
                              <w:marTop w:val="0"/>
                              <w:marBottom w:val="0"/>
                              <w:divBdr>
                                <w:top w:val="none" w:sz="0" w:space="0" w:color="auto"/>
                                <w:left w:val="none" w:sz="0" w:space="0" w:color="auto"/>
                                <w:bottom w:val="none" w:sz="0" w:space="0" w:color="auto"/>
                                <w:right w:val="none" w:sz="0" w:space="0" w:color="auto"/>
                              </w:divBdr>
                              <w:divsChild>
                                <w:div w:id="1139808108">
                                  <w:marLeft w:val="0"/>
                                  <w:marRight w:val="0"/>
                                  <w:marTop w:val="0"/>
                                  <w:marBottom w:val="0"/>
                                  <w:divBdr>
                                    <w:top w:val="none" w:sz="0" w:space="0" w:color="auto"/>
                                    <w:left w:val="none" w:sz="0" w:space="0" w:color="auto"/>
                                    <w:bottom w:val="none" w:sz="0" w:space="0" w:color="auto"/>
                                    <w:right w:val="none" w:sz="0" w:space="0" w:color="auto"/>
                                  </w:divBdr>
                                  <w:divsChild>
                                    <w:div w:id="424348628">
                                      <w:marLeft w:val="0"/>
                                      <w:marRight w:val="0"/>
                                      <w:marTop w:val="0"/>
                                      <w:marBottom w:val="0"/>
                                      <w:divBdr>
                                        <w:top w:val="none" w:sz="0" w:space="0" w:color="auto"/>
                                        <w:left w:val="none" w:sz="0" w:space="0" w:color="auto"/>
                                        <w:bottom w:val="none" w:sz="0" w:space="0" w:color="auto"/>
                                        <w:right w:val="none" w:sz="0" w:space="0" w:color="auto"/>
                                      </w:divBdr>
                                      <w:divsChild>
                                        <w:div w:id="430666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29740886">
      <w:bodyDiv w:val="1"/>
      <w:marLeft w:val="0"/>
      <w:marRight w:val="0"/>
      <w:marTop w:val="0"/>
      <w:marBottom w:val="0"/>
      <w:divBdr>
        <w:top w:val="none" w:sz="0" w:space="0" w:color="auto"/>
        <w:left w:val="none" w:sz="0" w:space="0" w:color="auto"/>
        <w:bottom w:val="none" w:sz="0" w:space="0" w:color="auto"/>
        <w:right w:val="none" w:sz="0" w:space="0" w:color="auto"/>
      </w:divBdr>
      <w:divsChild>
        <w:div w:id="1076439867">
          <w:marLeft w:val="0"/>
          <w:marRight w:val="0"/>
          <w:marTop w:val="0"/>
          <w:marBottom w:val="0"/>
          <w:divBdr>
            <w:top w:val="none" w:sz="0" w:space="0" w:color="auto"/>
            <w:left w:val="none" w:sz="0" w:space="0" w:color="auto"/>
            <w:bottom w:val="none" w:sz="0" w:space="0" w:color="auto"/>
            <w:right w:val="none" w:sz="0" w:space="0" w:color="auto"/>
          </w:divBdr>
          <w:divsChild>
            <w:div w:id="1851917414">
              <w:marLeft w:val="0"/>
              <w:marRight w:val="0"/>
              <w:marTop w:val="0"/>
              <w:marBottom w:val="0"/>
              <w:divBdr>
                <w:top w:val="none" w:sz="0" w:space="0" w:color="auto"/>
                <w:left w:val="none" w:sz="0" w:space="0" w:color="auto"/>
                <w:bottom w:val="none" w:sz="0" w:space="0" w:color="auto"/>
                <w:right w:val="none" w:sz="0" w:space="0" w:color="auto"/>
              </w:divBdr>
              <w:divsChild>
                <w:div w:id="620693224">
                  <w:marLeft w:val="4200"/>
                  <w:marRight w:val="0"/>
                  <w:marTop w:val="0"/>
                  <w:marBottom w:val="0"/>
                  <w:divBdr>
                    <w:top w:val="none" w:sz="0" w:space="0" w:color="auto"/>
                    <w:left w:val="none" w:sz="0" w:space="0" w:color="auto"/>
                    <w:bottom w:val="none" w:sz="0" w:space="0" w:color="auto"/>
                    <w:right w:val="none" w:sz="0" w:space="0" w:color="auto"/>
                  </w:divBdr>
                  <w:divsChild>
                    <w:div w:id="1857307920">
                      <w:marLeft w:val="0"/>
                      <w:marRight w:val="0"/>
                      <w:marTop w:val="0"/>
                      <w:marBottom w:val="0"/>
                      <w:divBdr>
                        <w:top w:val="none" w:sz="0" w:space="0" w:color="auto"/>
                        <w:left w:val="none" w:sz="0" w:space="0" w:color="auto"/>
                        <w:bottom w:val="none" w:sz="0" w:space="0" w:color="auto"/>
                        <w:right w:val="none" w:sz="0" w:space="0" w:color="auto"/>
                      </w:divBdr>
                      <w:divsChild>
                        <w:div w:id="1903829164">
                          <w:marLeft w:val="0"/>
                          <w:marRight w:val="0"/>
                          <w:marTop w:val="0"/>
                          <w:marBottom w:val="0"/>
                          <w:divBdr>
                            <w:top w:val="none" w:sz="0" w:space="0" w:color="auto"/>
                            <w:left w:val="none" w:sz="0" w:space="0" w:color="auto"/>
                            <w:bottom w:val="none" w:sz="0" w:space="0" w:color="auto"/>
                            <w:right w:val="none" w:sz="0" w:space="0" w:color="auto"/>
                          </w:divBdr>
                          <w:divsChild>
                            <w:div w:id="314996530">
                              <w:marLeft w:val="0"/>
                              <w:marRight w:val="0"/>
                              <w:marTop w:val="0"/>
                              <w:marBottom w:val="0"/>
                              <w:divBdr>
                                <w:top w:val="none" w:sz="0" w:space="0" w:color="auto"/>
                                <w:left w:val="none" w:sz="0" w:space="0" w:color="auto"/>
                                <w:bottom w:val="none" w:sz="0" w:space="0" w:color="auto"/>
                                <w:right w:val="none" w:sz="0" w:space="0" w:color="auto"/>
                              </w:divBdr>
                              <w:divsChild>
                                <w:div w:id="564800752">
                                  <w:marLeft w:val="0"/>
                                  <w:marRight w:val="0"/>
                                  <w:marTop w:val="0"/>
                                  <w:marBottom w:val="0"/>
                                  <w:divBdr>
                                    <w:top w:val="none" w:sz="0" w:space="0" w:color="auto"/>
                                    <w:left w:val="none" w:sz="0" w:space="0" w:color="auto"/>
                                    <w:bottom w:val="none" w:sz="0" w:space="0" w:color="auto"/>
                                    <w:right w:val="none" w:sz="0" w:space="0" w:color="auto"/>
                                  </w:divBdr>
                                  <w:divsChild>
                                    <w:div w:id="2087994967">
                                      <w:marLeft w:val="0"/>
                                      <w:marRight w:val="0"/>
                                      <w:marTop w:val="0"/>
                                      <w:marBottom w:val="0"/>
                                      <w:divBdr>
                                        <w:top w:val="none" w:sz="0" w:space="0" w:color="auto"/>
                                        <w:left w:val="none" w:sz="0" w:space="0" w:color="auto"/>
                                        <w:bottom w:val="none" w:sz="0" w:space="0" w:color="auto"/>
                                        <w:right w:val="none" w:sz="0" w:space="0" w:color="auto"/>
                                      </w:divBdr>
                                      <w:divsChild>
                                        <w:div w:id="303394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46968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0.png"/><Relationship Id="rId671" Type="http://schemas.openxmlformats.org/officeDocument/2006/relationships/hyperlink" Target="http://www.microsoft.com/pth" TargetMode="External"/><Relationship Id="rId21" Type="http://schemas.openxmlformats.org/officeDocument/2006/relationships/image" Target="media/image6.png"/><Relationship Id="rId324" Type="http://schemas.openxmlformats.org/officeDocument/2006/relationships/hyperlink" Target="https://azure.microsoft.com/en-us/documentation/articles/machine-learning-what-is-machine-learning/" TargetMode="External"/><Relationship Id="rId531" Type="http://schemas.openxmlformats.org/officeDocument/2006/relationships/image" Target="media/image120.png"/><Relationship Id="rId629" Type="http://schemas.openxmlformats.org/officeDocument/2006/relationships/hyperlink" Target="http://azure.microsoft.com/en-us/documentation/articles/key-vault-get-started/" TargetMode="External"/><Relationship Id="rId170" Type="http://schemas.openxmlformats.org/officeDocument/2006/relationships/hyperlink" Target="https://msdn.microsoft.com/en-us/library/azure/jj672979.aspx" TargetMode="External"/><Relationship Id="rId268" Type="http://schemas.openxmlformats.org/officeDocument/2006/relationships/image" Target="media/image55.jpg"/><Relationship Id="rId475" Type="http://schemas.openxmlformats.org/officeDocument/2006/relationships/hyperlink" Target="http://www.cloudlinktech.com/choose-your-cloud/microsoft-azure/" TargetMode="External"/><Relationship Id="rId682" Type="http://schemas.openxmlformats.org/officeDocument/2006/relationships/hyperlink" Target="http://aka.ms/bpsad" TargetMode="External"/><Relationship Id="rId32" Type="http://schemas.openxmlformats.org/officeDocument/2006/relationships/hyperlink" Target="http://azure.microsoft.com/en-us/services/" TargetMode="External"/><Relationship Id="rId128" Type="http://schemas.openxmlformats.org/officeDocument/2006/relationships/hyperlink" Target="https://msdn.microsoft.com/en-us/library/dd179349.aspx" TargetMode="External"/><Relationship Id="rId335" Type="http://schemas.openxmlformats.org/officeDocument/2006/relationships/hyperlink" Target="http://azure.microsoft.com/en-us/services/cache/" TargetMode="External"/><Relationship Id="rId542" Type="http://schemas.openxmlformats.org/officeDocument/2006/relationships/image" Target="media/image126.emf"/><Relationship Id="rId181" Type="http://schemas.openxmlformats.org/officeDocument/2006/relationships/hyperlink" Target="http://blogs.msdn.com/b/windowsazurestorage/archive/2014/03/11/windows-azure-storage-explorers-2014.aspx" TargetMode="External"/><Relationship Id="rId402" Type="http://schemas.openxmlformats.org/officeDocument/2006/relationships/hyperlink" Target="http://azure.microsoft.com/en-us/pricing/details/expressroute/" TargetMode="External"/><Relationship Id="rId279" Type="http://schemas.openxmlformats.org/officeDocument/2006/relationships/hyperlink" Target="http://azure.microsoft.com/documentation/articles/traffic-manager-load-balancing-methods" TargetMode="External"/><Relationship Id="rId486" Type="http://schemas.openxmlformats.org/officeDocument/2006/relationships/hyperlink" Target="https://msdn.microsoft.com/en-us/library/ff423674.aspx" TargetMode="External"/><Relationship Id="rId693" Type="http://schemas.openxmlformats.org/officeDocument/2006/relationships/hyperlink" Target="https://technet.microsoft.com/en-us/library/cc738131(v=ws.10).aspx" TargetMode="External"/><Relationship Id="rId43" Type="http://schemas.openxmlformats.org/officeDocument/2006/relationships/hyperlink" Target="http://azure.microsoft.com/blog/2014/05/14/regional-virtual-networks/" TargetMode="External"/><Relationship Id="rId139" Type="http://schemas.openxmlformats.org/officeDocument/2006/relationships/hyperlink" Target="https://msdn.microsoft.com/library/azure/dd179428.aspx" TargetMode="External"/><Relationship Id="rId346" Type="http://schemas.openxmlformats.org/officeDocument/2006/relationships/hyperlink" Target="http://azure.microsoft.com/en-us/documentation/articles/api-management-howto-mutual-certificates/" TargetMode="External"/><Relationship Id="rId553" Type="http://schemas.openxmlformats.org/officeDocument/2006/relationships/image" Target="media/image127.png"/><Relationship Id="rId192" Type="http://schemas.openxmlformats.org/officeDocument/2006/relationships/image" Target="media/image44.tmp"/><Relationship Id="rId206" Type="http://schemas.openxmlformats.org/officeDocument/2006/relationships/hyperlink" Target="http://www.controlyourstorage.com/" TargetMode="External"/><Relationship Id="rId413" Type="http://schemas.openxmlformats.org/officeDocument/2006/relationships/package" Target="embeddings/Microsoft_Visio_Drawing13.vsdx"/><Relationship Id="rId497" Type="http://schemas.openxmlformats.org/officeDocument/2006/relationships/image" Target="media/image101.emf"/><Relationship Id="rId620" Type="http://schemas.openxmlformats.org/officeDocument/2006/relationships/hyperlink" Target="https://msdn.microsoft.com/en-us/library/azure/dn783447.aspx" TargetMode="External"/><Relationship Id="rId357" Type="http://schemas.openxmlformats.org/officeDocument/2006/relationships/hyperlink" Target="https://azure.microsoft.com/en-us/documentation/articles/virtual-networks-reserved-public-ip/" TargetMode="External"/><Relationship Id="rId54" Type="http://schemas.openxmlformats.org/officeDocument/2006/relationships/hyperlink" Target="https://manage.windowsazure.com" TargetMode="External"/><Relationship Id="rId217" Type="http://schemas.openxmlformats.org/officeDocument/2006/relationships/hyperlink" Target="http://azure.microsoft.com/blog/2014/04/28/basic-tier-virtual-machines-2/" TargetMode="External"/><Relationship Id="rId564" Type="http://schemas.openxmlformats.org/officeDocument/2006/relationships/image" Target="media/image130.emf"/><Relationship Id="rId424" Type="http://schemas.openxmlformats.org/officeDocument/2006/relationships/hyperlink" Target="https://msdn.microsoft.com/en-us/library/azure/dn495269.aspx" TargetMode="External"/><Relationship Id="rId631" Type="http://schemas.openxmlformats.org/officeDocument/2006/relationships/hyperlink" Target="http://azure.microsoft.com/en-us/documentation/articles/cloud-services-how-to-monitor/" TargetMode="External"/><Relationship Id="rId270" Type="http://schemas.openxmlformats.org/officeDocument/2006/relationships/image" Target="media/image57.jpg"/><Relationship Id="rId65" Type="http://schemas.openxmlformats.org/officeDocument/2006/relationships/hyperlink" Target="http://aka.ms/AzureEntSupport" TargetMode="External"/><Relationship Id="rId130" Type="http://schemas.openxmlformats.org/officeDocument/2006/relationships/hyperlink" Target="http://azure.microsoft.com/en-us/documentation/articles/storage-custom-domain-name" TargetMode="External"/><Relationship Id="rId368" Type="http://schemas.openxmlformats.org/officeDocument/2006/relationships/image" Target="media/image66.png"/><Relationship Id="rId575" Type="http://schemas.openxmlformats.org/officeDocument/2006/relationships/hyperlink" Target="https://msdn.microsoft.com/en-us/library/azure/dn877980.aspx" TargetMode="External"/><Relationship Id="rId228" Type="http://schemas.openxmlformats.org/officeDocument/2006/relationships/image" Target="media/image47.png"/><Relationship Id="rId435" Type="http://schemas.openxmlformats.org/officeDocument/2006/relationships/hyperlink" Target="http://azure.microsoft.com/en-us/documentation/services/active-directory/" TargetMode="External"/><Relationship Id="rId642" Type="http://schemas.openxmlformats.org/officeDocument/2006/relationships/hyperlink" Target="http://azure.microsoft.com/en-us/documentation/articles/operational-insights-capacity/" TargetMode="External"/><Relationship Id="rId281" Type="http://schemas.openxmlformats.org/officeDocument/2006/relationships/hyperlink" Target="http://azure.microsoft.com/blog/2014/08/19/azure-virtual-machine-disk-encryption-using-cloudlink/" TargetMode="External"/><Relationship Id="rId502" Type="http://schemas.openxmlformats.org/officeDocument/2006/relationships/image" Target="media/image105.emf"/><Relationship Id="rId76" Type="http://schemas.openxmlformats.org/officeDocument/2006/relationships/image" Target="media/image32.emf"/><Relationship Id="rId141" Type="http://schemas.openxmlformats.org/officeDocument/2006/relationships/hyperlink" Target="http://blogs.msdn.com/b/windowsazurestorage/archive/2014/03/11/windows-azure-storage-explorers-2014.aspx" TargetMode="External"/><Relationship Id="rId379" Type="http://schemas.openxmlformats.org/officeDocument/2006/relationships/image" Target="media/image68.emf"/><Relationship Id="rId586" Type="http://schemas.openxmlformats.org/officeDocument/2006/relationships/hyperlink" Target="https://www.microsoftvirtualacademy.com/en-US/training-courses/automating-the-cloud-with-azure-automation-8323" TargetMode="External"/><Relationship Id="rId7" Type="http://schemas.openxmlformats.org/officeDocument/2006/relationships/numbering" Target="numbering.xml"/><Relationship Id="rId239" Type="http://schemas.openxmlformats.org/officeDocument/2006/relationships/hyperlink" Target="http://azure.microsoft.com/en-us/documentation/articles/virtual-machines-docker-vm-extension/" TargetMode="External"/><Relationship Id="rId446" Type="http://schemas.openxmlformats.org/officeDocument/2006/relationships/hyperlink" Target="http://social.technet.microsoft.com/wiki/contents/articles/24096.dirsync-using-alternate-login-ids-with-azure-active-directory.aspx" TargetMode="External"/><Relationship Id="rId653" Type="http://schemas.openxmlformats.org/officeDocument/2006/relationships/hyperlink" Target="https://technet.microsoft.com/en-us/windowsserver/bb332157" TargetMode="External"/><Relationship Id="rId292" Type="http://schemas.openxmlformats.org/officeDocument/2006/relationships/hyperlink" Target="https://msdn.microsoft.com/en-us/library/azure/jj155995.aspx" TargetMode="External"/><Relationship Id="rId306" Type="http://schemas.openxmlformats.org/officeDocument/2006/relationships/hyperlink" Target="https://msdn.microsoft.com/en-us/library/azure/gg433110.aspx" TargetMode="External"/><Relationship Id="rId87" Type="http://schemas.openxmlformats.org/officeDocument/2006/relationships/image" Target="media/image35.png"/><Relationship Id="rId513" Type="http://schemas.openxmlformats.org/officeDocument/2006/relationships/image" Target="media/image114.jpeg"/><Relationship Id="rId597" Type="http://schemas.openxmlformats.org/officeDocument/2006/relationships/hyperlink" Target="https://azure.microsoft.com/documentation/articles/backup-azure-backup-and-recover/" TargetMode="External"/><Relationship Id="rId152" Type="http://schemas.openxmlformats.org/officeDocument/2006/relationships/hyperlink" Target="https://channel9.msdn.com/Blogs/AzurePartner/Guest-Post-CloudLink-Secures-Azure-VMs-via-BitLocker-and-Native-Linux-Encryption" TargetMode="External"/><Relationship Id="rId457" Type="http://schemas.openxmlformats.org/officeDocument/2006/relationships/hyperlink" Target="https://msdn.microsoft.com/en-us/library/azure/dn906722.aspx" TargetMode="External"/><Relationship Id="rId664" Type="http://schemas.openxmlformats.org/officeDocument/2006/relationships/image" Target="media/image139.png"/><Relationship Id="rId14" Type="http://schemas.openxmlformats.org/officeDocument/2006/relationships/image" Target="media/image2.png"/><Relationship Id="rId317" Type="http://schemas.openxmlformats.org/officeDocument/2006/relationships/hyperlink" Target="http://azure.microsoft.com/en-us/documentation/articles/batch-technical-overview/" TargetMode="External"/><Relationship Id="rId524" Type="http://schemas.openxmlformats.org/officeDocument/2006/relationships/hyperlink" Target="http://blogs.msdn.com/b/webdev/archive/2014/03/28/owin-security-components-in-asp-net-openid-connect.aspx" TargetMode="External"/><Relationship Id="rId98" Type="http://schemas.openxmlformats.org/officeDocument/2006/relationships/image" Target="media/image38.png"/><Relationship Id="rId163" Type="http://schemas.openxmlformats.org/officeDocument/2006/relationships/hyperlink" Target="http://blogs.msdn.com/b/skaufman/archive/2012/10/15/blob-storage-and-shared-access-signatures.aspx" TargetMode="External"/><Relationship Id="rId370" Type="http://schemas.openxmlformats.org/officeDocument/2006/relationships/hyperlink" Target="https://msdn.microsoft.com/en-us/library/azure/jj156210.aspx" TargetMode="External"/><Relationship Id="rId230" Type="http://schemas.openxmlformats.org/officeDocument/2006/relationships/image" Target="media/image48.png"/><Relationship Id="rId468" Type="http://schemas.openxmlformats.org/officeDocument/2006/relationships/image" Target="media/image89.png"/><Relationship Id="rId675" Type="http://schemas.openxmlformats.org/officeDocument/2006/relationships/hyperlink" Target="http://blogs.technet.com/b/srd/archive/2014/06/05/an-overview-of-kb2871997.aspx" TargetMode="External"/><Relationship Id="rId25" Type="http://schemas.openxmlformats.org/officeDocument/2006/relationships/image" Target="media/image9.png"/><Relationship Id="rId328" Type="http://schemas.openxmlformats.org/officeDocument/2006/relationships/hyperlink" Target="https://msdn.microsoft.com/en-us/library/azure/dn482130.aspx" TargetMode="External"/><Relationship Id="rId535" Type="http://schemas.openxmlformats.org/officeDocument/2006/relationships/hyperlink" Target="https://portal.azure.com" TargetMode="External"/><Relationship Id="rId174" Type="http://schemas.openxmlformats.org/officeDocument/2006/relationships/hyperlink" Target="https://msdn.microsoft.com/en-us/library/azure/dn790330.aspx" TargetMode="External"/><Relationship Id="rId381" Type="http://schemas.openxmlformats.org/officeDocument/2006/relationships/image" Target="media/image69.emf"/><Relationship Id="rId602" Type="http://schemas.openxmlformats.org/officeDocument/2006/relationships/hyperlink" Target="https://gallery.technet.microsoft.com/Estimating-Azure-Backup-e0d4abbc" TargetMode="External"/><Relationship Id="rId241" Type="http://schemas.openxmlformats.org/officeDocument/2006/relationships/hyperlink" Target="http://azure.microsoft.com/blog/2014/08/25/using-vmaccess-extension-to-reset-login-credentials-for-linux-vm/" TargetMode="External"/><Relationship Id="rId479" Type="http://schemas.openxmlformats.org/officeDocument/2006/relationships/hyperlink" Target="http://azure.microsoft.com/blog/2014/08/19/azure-virtual-machine-disk-encryption-using-cloudlink/" TargetMode="External"/><Relationship Id="rId686" Type="http://schemas.openxmlformats.org/officeDocument/2006/relationships/hyperlink" Target="http://technet.microsoft.com/en-us/library/cc732525.aspx" TargetMode="External"/><Relationship Id="rId36" Type="http://schemas.openxmlformats.org/officeDocument/2006/relationships/image" Target="media/image15.png"/><Relationship Id="rId339" Type="http://schemas.openxmlformats.org/officeDocument/2006/relationships/hyperlink" Target="https://msdn.microsoft.com/en-us/library/ee732537.aspx" TargetMode="External"/><Relationship Id="rId546" Type="http://schemas.openxmlformats.org/officeDocument/2006/relationships/hyperlink" Target="http://www.microsoft.com/pth" TargetMode="External"/><Relationship Id="rId101" Type="http://schemas.openxmlformats.org/officeDocument/2006/relationships/hyperlink" Target="http://azure.microsoft.com/en-us/documentation/templates/" TargetMode="External"/><Relationship Id="rId185" Type="http://schemas.openxmlformats.org/officeDocument/2006/relationships/hyperlink" Target="https://azure.microsoft.com/en-us/documentation/articles/storage-use-emulator/" TargetMode="External"/><Relationship Id="rId406" Type="http://schemas.openxmlformats.org/officeDocument/2006/relationships/hyperlink" Target="http://azure.microsoft.com/documentation/articles/vpn-gateway-site-to-site-create/" TargetMode="External"/><Relationship Id="rId392" Type="http://schemas.openxmlformats.org/officeDocument/2006/relationships/package" Target="embeddings/Microsoft_Visio_Drawing9.vsdx"/><Relationship Id="rId613" Type="http://schemas.openxmlformats.org/officeDocument/2006/relationships/hyperlink" Target="https://azure.microsoft.com/en-in/documentation/articles/site-recovery-overview/" TargetMode="External"/><Relationship Id="rId697" Type="http://schemas.openxmlformats.org/officeDocument/2006/relationships/hyperlink" Target="http://windows.microsoft.com/en-us/windows/what-is-windows-remote-assistance" TargetMode="External"/><Relationship Id="rId252" Type="http://schemas.openxmlformats.org/officeDocument/2006/relationships/hyperlink" Target="http://azure.microsoft.com/en-us/documentation/articles/virtual-machines-install-symantec/" TargetMode="External"/><Relationship Id="rId47" Type="http://schemas.openxmlformats.org/officeDocument/2006/relationships/hyperlink" Target="http://blogs.msdn.com/b/igorpag/archive/2014/11/11/azure-a_2d00_series-and-d_2d00_series-consistent-performances-and-size-change-considerations.aspx" TargetMode="External"/><Relationship Id="rId112" Type="http://schemas.openxmlformats.org/officeDocument/2006/relationships/hyperlink" Target="https://azure.microsoft.com/en-us/documentation/articles/billing-usage-rate-card-partner-solution-cloudcruiser/" TargetMode="External"/><Relationship Id="rId557" Type="http://schemas.openxmlformats.org/officeDocument/2006/relationships/image" Target="media/image128.png"/><Relationship Id="rId196" Type="http://schemas.openxmlformats.org/officeDocument/2006/relationships/hyperlink" Target="http://azure.microsoft.com/en-us/documentation/articles/storage-analytics" TargetMode="External"/><Relationship Id="rId417" Type="http://schemas.openxmlformats.org/officeDocument/2006/relationships/image" Target="media/image80.png"/><Relationship Id="rId624" Type="http://schemas.openxmlformats.org/officeDocument/2006/relationships/hyperlink" Target="http://backup.cloudberrylab.com/?provider=azure&amp;src=bing&amp;utm_source=bing&amp;utm_medium=cpc&amp;utm_campaign=1.4%20Azure%20Backup&amp;utm_term=+azure%20+backup" TargetMode="External"/><Relationship Id="rId263" Type="http://schemas.openxmlformats.org/officeDocument/2006/relationships/hyperlink" Target="https://azure.microsoft.com/en-us/documentation/services/cloud-services/" TargetMode="External"/><Relationship Id="rId470" Type="http://schemas.openxmlformats.org/officeDocument/2006/relationships/hyperlink" Target="https://technet.microsoft.com/en-us/library/cc780182(v=ws.10).aspx" TargetMode="External"/><Relationship Id="rId58" Type="http://schemas.openxmlformats.org/officeDocument/2006/relationships/hyperlink" Target="https://portal.azure.com" TargetMode="External"/><Relationship Id="rId123" Type="http://schemas.openxmlformats.org/officeDocument/2006/relationships/hyperlink" Target="http://blogs.msdn.com/b/windowsazurestorage" TargetMode="External"/><Relationship Id="rId330" Type="http://schemas.openxmlformats.org/officeDocument/2006/relationships/hyperlink" Target="https://msdn.microsoft.com/en-us/library/azure/dn592104.aspx" TargetMode="External"/><Relationship Id="rId568" Type="http://schemas.openxmlformats.org/officeDocument/2006/relationships/hyperlink" Target="http://go.microsoft.com/fwlink/p/?linkid=320376&amp;clcid=0x409" TargetMode="External"/><Relationship Id="rId428" Type="http://schemas.openxmlformats.org/officeDocument/2006/relationships/hyperlink" Target="https://azure.microsoft.com/en-us/documentation/articles/dns-domain-delegation/" TargetMode="External"/><Relationship Id="rId635" Type="http://schemas.openxmlformats.org/officeDocument/2006/relationships/hyperlink" Target="http://www.microsoft.com/en-us/download/details.aspx?id=38414" TargetMode="External"/><Relationship Id="rId274" Type="http://schemas.openxmlformats.org/officeDocument/2006/relationships/hyperlink" Target="http://azure.microsoft.com/en-us/documentation/articles/remoteapp-create-hybrid-deployment/" TargetMode="External"/><Relationship Id="rId481" Type="http://schemas.openxmlformats.org/officeDocument/2006/relationships/hyperlink" Target="https://technet.microsoft.com/en-us/library/cc772726(v=ws.10).aspx" TargetMode="External"/><Relationship Id="rId702" Type="http://schemas.openxmlformats.org/officeDocument/2006/relationships/hyperlink" Target="http://msdn.microsoft.com/en-us/library/ie/ms537361(v=vs.85).aspx" TargetMode="External"/><Relationship Id="rId69" Type="http://schemas.openxmlformats.org/officeDocument/2006/relationships/package" Target="embeddings/Microsoft_Visio_Drawing4.vsdx"/><Relationship Id="rId134" Type="http://schemas.openxmlformats.org/officeDocument/2006/relationships/hyperlink" Target="http://azure.microsoft.com/en-us/pricing/details/storage/" TargetMode="External"/><Relationship Id="rId579" Type="http://schemas.openxmlformats.org/officeDocument/2006/relationships/hyperlink" Target="https://technet.microsoft.com/en-us/library/jj574197.aspx" TargetMode="External"/><Relationship Id="rId341" Type="http://schemas.openxmlformats.org/officeDocument/2006/relationships/hyperlink" Target="https://msdn.microsoft.com/en-us/library/dn789973.aspx" TargetMode="External"/><Relationship Id="rId439" Type="http://schemas.openxmlformats.org/officeDocument/2006/relationships/image" Target="media/image83.png"/><Relationship Id="rId646" Type="http://schemas.openxmlformats.org/officeDocument/2006/relationships/hyperlink" Target="http://azure.microsoft.com/en-us/documentation/articles/operational-insights-security-audit/" TargetMode="External"/><Relationship Id="rId201" Type="http://schemas.openxmlformats.org/officeDocument/2006/relationships/hyperlink" Target="http://blogs.msdn.com/b/mast/archive/2014/08/02/how-to-monitor-for-storage-account-throttling.aspx" TargetMode="External"/><Relationship Id="rId285" Type="http://schemas.openxmlformats.org/officeDocument/2006/relationships/hyperlink" Target="https://azure.microsoft.com/documentation/articles/virtual-networks-create-vnet/" TargetMode="External"/><Relationship Id="rId506" Type="http://schemas.openxmlformats.org/officeDocument/2006/relationships/image" Target="media/image109.emf"/><Relationship Id="rId492" Type="http://schemas.openxmlformats.org/officeDocument/2006/relationships/image" Target="media/image96.emf"/><Relationship Id="rId145" Type="http://schemas.openxmlformats.org/officeDocument/2006/relationships/hyperlink" Target="http://blogs.technet.com/b/kv/archive/2015/01/08/azure-key-vault-making-the-cloud-safer.aspx" TargetMode="External"/><Relationship Id="rId352" Type="http://schemas.openxmlformats.org/officeDocument/2006/relationships/hyperlink" Target="http://azure.microsoft.com/en-us/documentation/articles/azure-architectures-cpif-foundation-azure-search-tier/" TargetMode="External"/><Relationship Id="rId212" Type="http://schemas.openxmlformats.org/officeDocument/2006/relationships/hyperlink" Target="http://azure.microsoft.com/en-us/documentation/articles/storage-windows-attach-disk/" TargetMode="External"/><Relationship Id="rId657" Type="http://schemas.openxmlformats.org/officeDocument/2006/relationships/image" Target="media/image134.emf"/><Relationship Id="rId296" Type="http://schemas.openxmlformats.org/officeDocument/2006/relationships/hyperlink" Target="http://blogs.msdn.com/b/visualstudioalm/archive/2015/02/09/deploying-azure-cloud-service-using-release-management.aspx" TargetMode="External"/><Relationship Id="rId517" Type="http://schemas.openxmlformats.org/officeDocument/2006/relationships/hyperlink" Target="https://msdn.microsoft.com/en-us/library/azure/dn768219.aspx" TargetMode="External"/><Relationship Id="rId60" Type="http://schemas.openxmlformats.org/officeDocument/2006/relationships/hyperlink" Target="https://account.windowsazure.com/PremiumOffer/Index?offer=MS-AZR-0110P&amp;returnUrl=https://manage.windowsazure.com/%3c-csp-%3e.onmicrosoft.com" TargetMode="External"/><Relationship Id="rId156" Type="http://schemas.openxmlformats.org/officeDocument/2006/relationships/hyperlink" Target="https://azure.microsoft.com/en-us/documentation/articles/storage-import-export-service/" TargetMode="External"/><Relationship Id="rId363" Type="http://schemas.openxmlformats.org/officeDocument/2006/relationships/hyperlink" Target="https://msdn.microsoft.com/en-us/library/azure/dn133803.aspx" TargetMode="External"/><Relationship Id="rId570" Type="http://schemas.openxmlformats.org/officeDocument/2006/relationships/image" Target="media/image131.png"/><Relationship Id="rId223" Type="http://schemas.openxmlformats.org/officeDocument/2006/relationships/hyperlink" Target="https://azure.microsoft.com/documentation/articles/virtual-networks-migrate-to-regional-vnet/" TargetMode="External"/><Relationship Id="rId430" Type="http://schemas.openxmlformats.org/officeDocument/2006/relationships/hyperlink" Target="http://azure.microsoft.com/documentation/articles/load-balancer-overview" TargetMode="External"/><Relationship Id="rId668" Type="http://schemas.openxmlformats.org/officeDocument/2006/relationships/hyperlink" Target="http://support.microsoft.com/kb/303972/en-us" TargetMode="External"/><Relationship Id="rId18" Type="http://schemas.openxmlformats.org/officeDocument/2006/relationships/footer" Target="footer2.xml"/><Relationship Id="rId528" Type="http://schemas.openxmlformats.org/officeDocument/2006/relationships/image" Target="media/image117.png"/><Relationship Id="rId125" Type="http://schemas.openxmlformats.org/officeDocument/2006/relationships/hyperlink" Target="http://blogs.msdn.com/b/windowsazurestorage/archive/2015/04/13/introducing-azure-storage-append-blob.aspx" TargetMode="External"/><Relationship Id="rId167" Type="http://schemas.openxmlformats.org/officeDocument/2006/relationships/hyperlink" Target="http://azure.microsoft.com/blog/2013/08/01/using-microsoft-sql-server-security-features-in-windows-azure-virtual-machines/" TargetMode="External"/><Relationship Id="rId332" Type="http://schemas.openxmlformats.org/officeDocument/2006/relationships/hyperlink" Target="http://azure.microsoft.com/en-us/documentation/articles/cdn-overview/" TargetMode="External"/><Relationship Id="rId374" Type="http://schemas.openxmlformats.org/officeDocument/2006/relationships/hyperlink" Target="http://azure.microsoft.com/documentation/articles/expressroute-prerequisites/" TargetMode="External"/><Relationship Id="rId581" Type="http://schemas.openxmlformats.org/officeDocument/2006/relationships/hyperlink" Target="http://kelverion.com/integration-packs/ip-microsoft-system-center/" TargetMode="External"/><Relationship Id="rId71" Type="http://schemas.openxmlformats.org/officeDocument/2006/relationships/image" Target="media/image27.emf"/><Relationship Id="rId234" Type="http://schemas.openxmlformats.org/officeDocument/2006/relationships/hyperlink" Target="https://azure.microsoft.com/en-us/documentation/articles/powershell-install-configure/" TargetMode="External"/><Relationship Id="rId637" Type="http://schemas.openxmlformats.org/officeDocument/2006/relationships/hyperlink" Target="http://azure.microsoft.com/en-us/documentation/articles/app-insights-monitor-web-app-availability/" TargetMode="External"/><Relationship Id="rId679" Type="http://schemas.openxmlformats.org/officeDocument/2006/relationships/hyperlink" Target="http://technet.microsoft.com/en-us/library/cc730808%28v=ws.10%29.aspx" TargetMode="External"/><Relationship Id="rId2" Type="http://schemas.openxmlformats.org/officeDocument/2006/relationships/customXml" Target="../customXml/item1.xml"/><Relationship Id="rId29" Type="http://schemas.openxmlformats.org/officeDocument/2006/relationships/image" Target="media/image12.png"/><Relationship Id="rId276" Type="http://schemas.openxmlformats.org/officeDocument/2006/relationships/hyperlink" Target="http://azure.microsoft.com/en-us/documentation/articles/remoteapp-bestpractices/" TargetMode="External"/><Relationship Id="rId441" Type="http://schemas.openxmlformats.org/officeDocument/2006/relationships/image" Target="media/image85.emf"/><Relationship Id="rId483" Type="http://schemas.openxmlformats.org/officeDocument/2006/relationships/hyperlink" Target="https://support.microsoft.com/en-us/kb/875495" TargetMode="External"/><Relationship Id="rId539" Type="http://schemas.openxmlformats.org/officeDocument/2006/relationships/image" Target="media/image125.png"/><Relationship Id="rId690" Type="http://schemas.openxmlformats.org/officeDocument/2006/relationships/hyperlink" Target="http://technet.microsoft.com/en-us/library/hh831782.aspx" TargetMode="External"/><Relationship Id="rId704" Type="http://schemas.openxmlformats.org/officeDocument/2006/relationships/fontTable" Target="fontTable.xml"/><Relationship Id="rId40" Type="http://schemas.openxmlformats.org/officeDocument/2006/relationships/hyperlink" Target="http://azure.microsoft.com/en-us/pricing/" TargetMode="External"/><Relationship Id="rId136" Type="http://schemas.openxmlformats.org/officeDocument/2006/relationships/hyperlink" Target="http://azure.microsoft.com/en-us/regions/" TargetMode="External"/><Relationship Id="rId178" Type="http://schemas.openxmlformats.org/officeDocument/2006/relationships/hyperlink" Target="https://msdn.microsoft.com/en-us/library/azure/dd179355.aspx" TargetMode="External"/><Relationship Id="rId301" Type="http://schemas.openxmlformats.org/officeDocument/2006/relationships/hyperlink" Target="https://msdn.microsoft.com/en-us/library/azure/gg433055.aspx" TargetMode="External"/><Relationship Id="rId343" Type="http://schemas.openxmlformats.org/officeDocument/2006/relationships/hyperlink" Target="http://azure.microsoft.com/en-us/documentation/articles/api-management-key-concepts/" TargetMode="External"/><Relationship Id="rId550" Type="http://schemas.openxmlformats.org/officeDocument/2006/relationships/hyperlink" Target="http://azure.microsoft.com/en-us/support/trust-center/" TargetMode="External"/><Relationship Id="rId82" Type="http://schemas.openxmlformats.org/officeDocument/2006/relationships/hyperlink" Target="https://account.windowsazure.com/subscriptions" TargetMode="External"/><Relationship Id="rId203" Type="http://schemas.openxmlformats.org/officeDocument/2006/relationships/hyperlink" Target="https://msdn.microsoft.com/en-us/library/azure/dn772442.aspx" TargetMode="External"/><Relationship Id="rId385" Type="http://schemas.openxmlformats.org/officeDocument/2006/relationships/hyperlink" Target="https://tools.ietf.org/html/rfc1918" TargetMode="External"/><Relationship Id="rId592" Type="http://schemas.openxmlformats.org/officeDocument/2006/relationships/hyperlink" Target="https://msdn.microsoft.com/en-us/library/azure/hh831765.aspx" TargetMode="External"/><Relationship Id="rId606" Type="http://schemas.openxmlformats.org/officeDocument/2006/relationships/hyperlink" Target="https://technet.microsoft.com/en-us/library/dn741303.aspx" TargetMode="External"/><Relationship Id="rId648" Type="http://schemas.openxmlformats.org/officeDocument/2006/relationships/hyperlink" Target="http://azure.microsoft.com/en-us/documentation/articles/operational-insights-alerts/" TargetMode="External"/><Relationship Id="rId245" Type="http://schemas.openxmlformats.org/officeDocument/2006/relationships/hyperlink" Target="http://www.powershellmagazine.com/2014/05/21/installing-and-configuring-dsc-for-linux/" TargetMode="External"/><Relationship Id="rId287" Type="http://schemas.openxmlformats.org/officeDocument/2006/relationships/hyperlink" Target="http://azure.microsoft.com/blog/2014/10/30/multiple-vm-nics-and-network-virtual-appliances-in-azure/" TargetMode="External"/><Relationship Id="rId410" Type="http://schemas.openxmlformats.org/officeDocument/2006/relationships/image" Target="media/image77.png"/><Relationship Id="rId452" Type="http://schemas.openxmlformats.org/officeDocument/2006/relationships/hyperlink" Target="http://social.technet.microsoft.com/wiki/contents/articles/17857.how-to-switch-from-single-sign-on-to-password-sync.aspx" TargetMode="External"/><Relationship Id="rId494" Type="http://schemas.openxmlformats.org/officeDocument/2006/relationships/image" Target="media/image98.emf"/><Relationship Id="rId508" Type="http://schemas.openxmlformats.org/officeDocument/2006/relationships/image" Target="media/image111.emf"/><Relationship Id="rId105" Type="http://schemas.openxmlformats.org/officeDocument/2006/relationships/hyperlink" Target="http://azure.microsoft.com/en-us/documentation/templates/101-tags-vm/" TargetMode="External"/><Relationship Id="rId147" Type="http://schemas.openxmlformats.org/officeDocument/2006/relationships/hyperlink" Target="https://channel9.msdn.com/Events/Ignite/2015/BRK3490" TargetMode="External"/><Relationship Id="rId312" Type="http://schemas.openxmlformats.org/officeDocument/2006/relationships/hyperlink" Target="https://msdn.microsoft.com/library/azure/ee730903.aspx" TargetMode="External"/><Relationship Id="rId354" Type="http://schemas.openxmlformats.org/officeDocument/2006/relationships/hyperlink" Target="http://azure.microsoft.com/documentation/articles/traffic-manager-load-balancing-methods" TargetMode="External"/><Relationship Id="rId51" Type="http://schemas.openxmlformats.org/officeDocument/2006/relationships/hyperlink" Target="https://account.windowsazure.com" TargetMode="External"/><Relationship Id="rId93" Type="http://schemas.openxmlformats.org/officeDocument/2006/relationships/hyperlink" Target="https://ea.windowsazure.com/home/pricingoverview.pdf" TargetMode="External"/><Relationship Id="rId189" Type="http://schemas.openxmlformats.org/officeDocument/2006/relationships/image" Target="media/image42.tmp"/><Relationship Id="rId396" Type="http://schemas.openxmlformats.org/officeDocument/2006/relationships/package" Target="embeddings/Microsoft_Visio_Drawing11.vsdx"/><Relationship Id="rId561" Type="http://schemas.openxmlformats.org/officeDocument/2006/relationships/hyperlink" Target="http://www.microsoft.com/sdl" TargetMode="External"/><Relationship Id="rId617" Type="http://schemas.openxmlformats.org/officeDocument/2006/relationships/hyperlink" Target="https://msdn.microsoft.com/en-us/library/azure/jj650016.aspx" TargetMode="External"/><Relationship Id="rId659" Type="http://schemas.openxmlformats.org/officeDocument/2006/relationships/image" Target="media/image135.png"/><Relationship Id="rId214" Type="http://schemas.openxmlformats.org/officeDocument/2006/relationships/hyperlink" Target="https://azure.microsoft.com/documentation/articles/cloud-services-sizes-specs/" TargetMode="External"/><Relationship Id="rId256" Type="http://schemas.openxmlformats.org/officeDocument/2006/relationships/image" Target="media/image49.png"/><Relationship Id="rId298" Type="http://schemas.openxmlformats.org/officeDocument/2006/relationships/hyperlink" Target="https://microsoft.sharepoint.com/teams/cloudscratch/Shared%20Documents/Enterprise/1_Cloud%20Integration%20Framework/Architecture%20Pillar/Modern%20Datacenter%20-%20Architecture%20Patterns%20-%20Foundational%20-%20Web%20Tier.docx?d=w4445341c54a548838d7a3ebfd8bedf1d" TargetMode="External"/><Relationship Id="rId421" Type="http://schemas.openxmlformats.org/officeDocument/2006/relationships/hyperlink" Target="http://blogs.technet.com/b/privatecloud/archive/2011/10/12/security-considerations-for-infrastructure-as-a-service-iaas-private-cloud.aspx" TargetMode="External"/><Relationship Id="rId463" Type="http://schemas.openxmlformats.org/officeDocument/2006/relationships/hyperlink" Target="https://msdn.microsoft.com/en-us/library/azure/dn641267.aspx" TargetMode="External"/><Relationship Id="rId519" Type="http://schemas.openxmlformats.org/officeDocument/2006/relationships/hyperlink" Target="http://www.cloudidentity.com/blog/2010/06/23/ALL-WILL-BE-REVEALED-7-HOURS-RECORDINGS-FROM-THE-WIF-WORKSHOPS/" TargetMode="External"/><Relationship Id="rId670" Type="http://schemas.openxmlformats.org/officeDocument/2006/relationships/hyperlink" Target="http://social.technet.microsoft.com/wiki/contents/articles/6477.how-to-view-or-delete-active-directory-delegated-permissions.aspx" TargetMode="External"/><Relationship Id="rId116" Type="http://schemas.openxmlformats.org/officeDocument/2006/relationships/image" Target="media/image39.png"/><Relationship Id="rId158" Type="http://schemas.openxmlformats.org/officeDocument/2006/relationships/hyperlink" Target="https://azure.microsoft.com/en-us/documentation/articles/storage-create-storage-account" TargetMode="External"/><Relationship Id="rId323" Type="http://schemas.openxmlformats.org/officeDocument/2006/relationships/image" Target="media/image63.png"/><Relationship Id="rId530" Type="http://schemas.openxmlformats.org/officeDocument/2006/relationships/image" Target="media/image119.png"/><Relationship Id="rId20" Type="http://schemas.openxmlformats.org/officeDocument/2006/relationships/image" Target="media/image5.png"/><Relationship Id="rId62" Type="http://schemas.openxmlformats.org/officeDocument/2006/relationships/hyperlink" Target="https://portal.azure.com" TargetMode="External"/><Relationship Id="rId365" Type="http://schemas.openxmlformats.org/officeDocument/2006/relationships/hyperlink" Target="https://msdn.microsoft.com/en-us/library/azure/jj156075.aspx" TargetMode="External"/><Relationship Id="rId572" Type="http://schemas.openxmlformats.org/officeDocument/2006/relationships/hyperlink" Target="http://blogs.msdn.com/b/powershell/archive/2014/04/03/configuring-an-azure-vm-using-powershell-dsc.aspx" TargetMode="External"/><Relationship Id="rId628" Type="http://schemas.openxmlformats.org/officeDocument/2006/relationships/hyperlink" Target="http://azure.microsoft.com/en-us/documentation/articles/key-vault-whatis/" TargetMode="External"/><Relationship Id="rId225" Type="http://schemas.openxmlformats.org/officeDocument/2006/relationships/hyperlink" Target="http://azure.microsoft.com/en-us/documentation/articles/powershell-azure-resource-manager/" TargetMode="External"/><Relationship Id="rId267" Type="http://schemas.openxmlformats.org/officeDocument/2006/relationships/hyperlink" Target="http://remoteapp.azure.com/" TargetMode="External"/><Relationship Id="rId432" Type="http://schemas.openxmlformats.org/officeDocument/2006/relationships/hyperlink" Target="http://azure.microsoft.com/documentation/articles/load-balancer-internal-overview" TargetMode="External"/><Relationship Id="rId474" Type="http://schemas.openxmlformats.org/officeDocument/2006/relationships/hyperlink" Target="https://technet.microsoft.com/library/hh831786" TargetMode="External"/><Relationship Id="rId127" Type="http://schemas.openxmlformats.org/officeDocument/2006/relationships/hyperlink" Target="https://msdn.microsoft.com/en-us/library/dd135715.aspx" TargetMode="External"/><Relationship Id="rId681" Type="http://schemas.openxmlformats.org/officeDocument/2006/relationships/image" Target="media/image142.png"/><Relationship Id="rId31" Type="http://schemas.openxmlformats.org/officeDocument/2006/relationships/image" Target="media/image13.png"/><Relationship Id="rId73" Type="http://schemas.openxmlformats.org/officeDocument/2006/relationships/image" Target="media/image29.emf"/><Relationship Id="rId169" Type="http://schemas.openxmlformats.org/officeDocument/2006/relationships/hyperlink" Target="http://download.microsoft.com/download/6/9/A/69A81B3A-E111-4797-AD31-02671D501D87/StorSimple_Security_Brief.pdf" TargetMode="External"/><Relationship Id="rId334" Type="http://schemas.openxmlformats.org/officeDocument/2006/relationships/hyperlink" Target="http://azure.microsoft.com/en-us/documentation/articles/cdn-serve-content-from-cdn-in-your-web-application/" TargetMode="External"/><Relationship Id="rId376" Type="http://schemas.openxmlformats.org/officeDocument/2006/relationships/hyperlink" Target="http://azure.microsoft.com/en-us/documentation/articles/azure-architectures-cpif-infrastructure-hybrid-networking/" TargetMode="External"/><Relationship Id="rId541" Type="http://schemas.openxmlformats.org/officeDocument/2006/relationships/hyperlink" Target="http://www.microsoft.com/en-us/download/details.aspx?id=34793" TargetMode="External"/><Relationship Id="rId583" Type="http://schemas.openxmlformats.org/officeDocument/2006/relationships/hyperlink" Target="https://msdn.microsoft.com/en-us/library/azure/dn643629.aspx" TargetMode="External"/><Relationship Id="rId639" Type="http://schemas.openxmlformats.org/officeDocument/2006/relationships/hyperlink" Target="http://azure.microsoft.com/en-us/documentation/articles/app-insights-overview-usage/" TargetMode="External"/><Relationship Id="rId4" Type="http://schemas.openxmlformats.org/officeDocument/2006/relationships/customXml" Target="../customXml/item3.xml"/><Relationship Id="rId180" Type="http://schemas.openxmlformats.org/officeDocument/2006/relationships/hyperlink" Target="https://msdn.microsoft.com/en-us/library/azure/dn529096.aspx" TargetMode="External"/><Relationship Id="rId236" Type="http://schemas.openxmlformats.org/officeDocument/2006/relationships/hyperlink" Target="https://msdn.microsoft.com/en-us/library/y7f5zaaa.aspx" TargetMode="External"/><Relationship Id="rId278" Type="http://schemas.openxmlformats.org/officeDocument/2006/relationships/hyperlink" Target="http://www.windowsazure.com/en-us/manage/windows/common-tasks/how-to-load-balance-virtual-machines/" TargetMode="External"/><Relationship Id="rId401" Type="http://schemas.openxmlformats.org/officeDocument/2006/relationships/package" Target="embeddings/Microsoft_Visio_Drawing12.vsdx"/><Relationship Id="rId443" Type="http://schemas.openxmlformats.org/officeDocument/2006/relationships/hyperlink" Target="https://azure.microsoft.com/en-us/documentation/articles/multi-factor-authentication-get-started-adfs/" TargetMode="External"/><Relationship Id="rId650" Type="http://schemas.openxmlformats.org/officeDocument/2006/relationships/hyperlink" Target="https://technet.microsoft.com/en-us/library/jj860370.aspx" TargetMode="External"/><Relationship Id="rId303" Type="http://schemas.openxmlformats.org/officeDocument/2006/relationships/hyperlink" Target="https://msdn.microsoft.com/en-us/library/azure/jj717232" TargetMode="External"/><Relationship Id="rId485" Type="http://schemas.openxmlformats.org/officeDocument/2006/relationships/image" Target="media/image90.emf"/><Relationship Id="rId692" Type="http://schemas.openxmlformats.org/officeDocument/2006/relationships/hyperlink" Target="http://social.technet.microsoft.com/wiki/contents/articles/26945.authentication-policies-and-authentication-silos-restricting-domain-controller-access.aspx" TargetMode="External"/><Relationship Id="rId42" Type="http://schemas.openxmlformats.org/officeDocument/2006/relationships/image" Target="media/image17.png"/><Relationship Id="rId84" Type="http://schemas.openxmlformats.org/officeDocument/2006/relationships/image" Target="media/image33.png"/><Relationship Id="rId138" Type="http://schemas.openxmlformats.org/officeDocument/2006/relationships/hyperlink" Target="https://msdn.microsoft.com/en-us/library/azure/hh225339.aspx" TargetMode="External"/><Relationship Id="rId345" Type="http://schemas.openxmlformats.org/officeDocument/2006/relationships/hyperlink" Target="https://msdn.microsoft.com/en-us/library/azure/dn776327.aspx" TargetMode="External"/><Relationship Id="rId387" Type="http://schemas.openxmlformats.org/officeDocument/2006/relationships/hyperlink" Target="https://azure.microsoft.com/documentation/articles/virtual-networks-public-ip-within-vnet/" TargetMode="External"/><Relationship Id="rId510" Type="http://schemas.openxmlformats.org/officeDocument/2006/relationships/image" Target="media/image112.emf"/><Relationship Id="rId552" Type="http://schemas.openxmlformats.org/officeDocument/2006/relationships/hyperlink" Target="http://blogs.technet.com/b/windowsserver/archive/2015/05/05/protecting-your-datacenter-and-cloud-from-emerging-threats.aspx" TargetMode="External"/><Relationship Id="rId594" Type="http://schemas.openxmlformats.org/officeDocument/2006/relationships/hyperlink" Target="http://azure.microsoft.com/en-us/documentation/articles/storage-import-export-service/" TargetMode="External"/><Relationship Id="rId608" Type="http://schemas.openxmlformats.org/officeDocument/2006/relationships/image" Target="media/image133.tmp"/><Relationship Id="rId191" Type="http://schemas.openxmlformats.org/officeDocument/2006/relationships/hyperlink" Target="http://blogs.msdn.com/b/mast/archive/2014/08/02/how-to-monitor-for-storage-account-throttling.aspx" TargetMode="External"/><Relationship Id="rId205" Type="http://schemas.openxmlformats.org/officeDocument/2006/relationships/hyperlink" Target="http://www.microsoft.com/en-us/server-cloud/products/storsimple/overview.aspx" TargetMode="External"/><Relationship Id="rId247" Type="http://schemas.openxmlformats.org/officeDocument/2006/relationships/hyperlink" Target="http://www.cloudlinktech.com/azure" TargetMode="External"/><Relationship Id="rId412" Type="http://schemas.openxmlformats.org/officeDocument/2006/relationships/image" Target="media/image78.emf"/><Relationship Id="rId107" Type="http://schemas.openxmlformats.org/officeDocument/2006/relationships/hyperlink" Target="http://azure.microsoft.com/en-us/documentation/templates/201-nsg-dmz-in-vnet/" TargetMode="External"/><Relationship Id="rId289" Type="http://schemas.openxmlformats.org/officeDocument/2006/relationships/image" Target="media/image59.png"/><Relationship Id="rId454" Type="http://schemas.openxmlformats.org/officeDocument/2006/relationships/hyperlink" Target="https://msdn.microsoft.com/en-us/library/azure/dn906877.aspx" TargetMode="External"/><Relationship Id="rId496" Type="http://schemas.openxmlformats.org/officeDocument/2006/relationships/image" Target="media/image100.emf"/><Relationship Id="rId661" Type="http://schemas.openxmlformats.org/officeDocument/2006/relationships/image" Target="media/image137.png"/><Relationship Id="rId11" Type="http://schemas.openxmlformats.org/officeDocument/2006/relationships/footnotes" Target="footnotes.xml"/><Relationship Id="rId53" Type="http://schemas.openxmlformats.org/officeDocument/2006/relationships/hyperlink" Target="https://manage.windowsazure.com" TargetMode="External"/><Relationship Id="rId149" Type="http://schemas.openxmlformats.org/officeDocument/2006/relationships/hyperlink" Target="http://azure.microsoft.com/blog/2014/08/19/azure-virtual-machine-disk-encryption-using-cloudlink/" TargetMode="External"/><Relationship Id="rId314" Type="http://schemas.openxmlformats.org/officeDocument/2006/relationships/image" Target="media/image60.png"/><Relationship Id="rId356" Type="http://schemas.openxmlformats.org/officeDocument/2006/relationships/hyperlink" Target="https://msdn.microsoft.com/en-us/library/azure/jj156088.aspx" TargetMode="External"/><Relationship Id="rId398" Type="http://schemas.openxmlformats.org/officeDocument/2006/relationships/hyperlink" Target="http://azure.microsoft.com/documentation/articles/expressroute-configuring-exps/" TargetMode="External"/><Relationship Id="rId521" Type="http://schemas.openxmlformats.org/officeDocument/2006/relationships/hyperlink" Target="http://blogs.msdn.com/b/webdev/archive/2014/03/28/owin-security-components-in-asp-net-openid-connect.aspx" TargetMode="External"/><Relationship Id="rId563" Type="http://schemas.openxmlformats.org/officeDocument/2006/relationships/hyperlink" Target="http://blogs.microsoft.com/cybertrust/2014/03/20/threat-modeling-a-retail-environment/" TargetMode="External"/><Relationship Id="rId619" Type="http://schemas.openxmlformats.org/officeDocument/2006/relationships/hyperlink" Target="https://msdn.microsoft.com/en-us/library/azure/hh852669.aspx" TargetMode="External"/><Relationship Id="rId95" Type="http://schemas.openxmlformats.org/officeDocument/2006/relationships/hyperlink" Target="mailto:alias2763@outlook.com" TargetMode="External"/><Relationship Id="rId160" Type="http://schemas.openxmlformats.org/officeDocument/2006/relationships/hyperlink" Target="https://azure.microsoft.com/en-us/documentation/articles/storage-dotnet-shared-access-signature-part-1/" TargetMode="External"/><Relationship Id="rId216" Type="http://schemas.openxmlformats.org/officeDocument/2006/relationships/hyperlink" Target="http://azure.microsoft.com/en-us/documentation/articles/azure-subscription-service-limits/" TargetMode="External"/><Relationship Id="rId423" Type="http://schemas.openxmlformats.org/officeDocument/2006/relationships/image" Target="media/image81.png"/><Relationship Id="rId258" Type="http://schemas.openxmlformats.org/officeDocument/2006/relationships/hyperlink" Target="http://azure.microsoft.com/documentation/articles/traffic-manager-load-balancing-methods" TargetMode="External"/><Relationship Id="rId465" Type="http://schemas.openxmlformats.org/officeDocument/2006/relationships/hyperlink" Target="https://msdn.microsoft.com/en-us/library/azure/dn889921.aspx" TargetMode="External"/><Relationship Id="rId630" Type="http://schemas.openxmlformats.org/officeDocument/2006/relationships/hyperlink" Target="https://msdn.microsoft.com/library/azure/dn868052" TargetMode="External"/><Relationship Id="rId672" Type="http://schemas.openxmlformats.org/officeDocument/2006/relationships/hyperlink" Target="http://www.microsoft.com/sysinternals" TargetMode="External"/><Relationship Id="rId22" Type="http://schemas.openxmlformats.org/officeDocument/2006/relationships/image" Target="media/image7.jpeg"/><Relationship Id="rId64" Type="http://schemas.openxmlformats.org/officeDocument/2006/relationships/image" Target="media/image23.png"/><Relationship Id="rId118" Type="http://schemas.openxmlformats.org/officeDocument/2006/relationships/hyperlink" Target="http://azure.microsoft.com/en-us/documentation/articles/storage-introduction/" TargetMode="External"/><Relationship Id="rId325" Type="http://schemas.openxmlformats.org/officeDocument/2006/relationships/hyperlink" Target="http://research.microsoft.com/en-us/projects/azure/default.aspx" TargetMode="External"/><Relationship Id="rId367" Type="http://schemas.openxmlformats.org/officeDocument/2006/relationships/hyperlink" Target="https://msdn.microsoft.com/en-us/library/azure/jj156075.aspx" TargetMode="External"/><Relationship Id="rId532" Type="http://schemas.openxmlformats.org/officeDocument/2006/relationships/image" Target="media/image121.emf"/><Relationship Id="rId574" Type="http://schemas.openxmlformats.org/officeDocument/2006/relationships/hyperlink" Target="https://technet.microsoft.com/en-us/library/dn249927.aspx" TargetMode="External"/><Relationship Id="rId171" Type="http://schemas.openxmlformats.org/officeDocument/2006/relationships/hyperlink" Target="https://msdn.microsoft.com/en-us/library/azure/dn790303.aspx" TargetMode="External"/><Relationship Id="rId227" Type="http://schemas.openxmlformats.org/officeDocument/2006/relationships/hyperlink" Target="http://social.technet.microsoft.com/wiki/contents/articles/7916.importance-of-windows-azure-affinity-groups.aspx" TargetMode="External"/><Relationship Id="rId269" Type="http://schemas.openxmlformats.org/officeDocument/2006/relationships/image" Target="media/image56.jpg"/><Relationship Id="rId434" Type="http://schemas.openxmlformats.org/officeDocument/2006/relationships/hyperlink" Target="http://social.technet.microsoft.com/wiki/contents/articles/15530.the-four-pillars-of-identity-identity-management-in-the-age-of-hybrid-it.aspx" TargetMode="External"/><Relationship Id="rId476" Type="http://schemas.openxmlformats.org/officeDocument/2006/relationships/hyperlink" Target="https://technet.microsoft.com/en-us/library/cc732801(v=ws.10).aspx" TargetMode="External"/><Relationship Id="rId641" Type="http://schemas.openxmlformats.org/officeDocument/2006/relationships/hyperlink" Target="http://www.nuget.org/packages/Microsoft.ApplicationInsights.Web/" TargetMode="External"/><Relationship Id="rId683" Type="http://schemas.openxmlformats.org/officeDocument/2006/relationships/hyperlink" Target="https://technet.microsoft.com/en-us/library/security/3062591.aspx" TargetMode="External"/><Relationship Id="rId33" Type="http://schemas.openxmlformats.org/officeDocument/2006/relationships/hyperlink" Target="http://csrc.nist.gov/publications/nistpubs/800-145/SP800-145.pdf" TargetMode="External"/><Relationship Id="rId129" Type="http://schemas.openxmlformats.org/officeDocument/2006/relationships/hyperlink" Target="https://msdn.microsoft.com/en-us/library/azure/dd179338.aspx" TargetMode="External"/><Relationship Id="rId280" Type="http://schemas.openxmlformats.org/officeDocument/2006/relationships/hyperlink" Target="http://azure.microsoft.com/documentation/articles/load-balancer-internal-overview" TargetMode="External"/><Relationship Id="rId336" Type="http://schemas.openxmlformats.org/officeDocument/2006/relationships/hyperlink" Target="https://msdn.microsoft.com/library/azure/dn690521.aspx" TargetMode="External"/><Relationship Id="rId501" Type="http://schemas.openxmlformats.org/officeDocument/2006/relationships/image" Target="media/image104.emf"/><Relationship Id="rId543" Type="http://schemas.openxmlformats.org/officeDocument/2006/relationships/package" Target="embeddings/Microsoft_Visio_Drawing15.vsdx"/><Relationship Id="rId75" Type="http://schemas.openxmlformats.org/officeDocument/2006/relationships/image" Target="media/image31.emf"/><Relationship Id="rId140" Type="http://schemas.openxmlformats.org/officeDocument/2006/relationships/hyperlink" Target="http://blogs.msdn.com/b/windowsazurestorage/archive/2014/03/11/windows-azure-storage-explorers-2014.aspx" TargetMode="External"/><Relationship Id="rId182" Type="http://schemas.openxmlformats.org/officeDocument/2006/relationships/hyperlink" Target="http://azure.microsoft.com/en-us/documentation/articles/virtual-machines-command-line-tools/" TargetMode="External"/><Relationship Id="rId378" Type="http://schemas.openxmlformats.org/officeDocument/2006/relationships/package" Target="embeddings/Microsoft_Visio_Drawing5.vsdx"/><Relationship Id="rId403" Type="http://schemas.openxmlformats.org/officeDocument/2006/relationships/hyperlink" Target="https://azure.microsoft.com/en-us/documentation/articles/expressroute-faqs/" TargetMode="External"/><Relationship Id="rId585" Type="http://schemas.openxmlformats.org/officeDocument/2006/relationships/hyperlink" Target="http://blogs.msdn.com/b/microsoft_press/archive/2015/03/11/free-ebook-microsoft-azure-essentials-azure-automation.aspx" TargetMode="External"/><Relationship Id="rId6" Type="http://schemas.openxmlformats.org/officeDocument/2006/relationships/customXml" Target="../customXml/item5.xml"/><Relationship Id="rId238" Type="http://schemas.openxmlformats.org/officeDocument/2006/relationships/hyperlink" Target="http://azure.microsoft.com/blog/2014/09/02/windows-azure-virtual-machine-monitoring-with-wad-extension/" TargetMode="External"/><Relationship Id="rId445" Type="http://schemas.openxmlformats.org/officeDocument/2006/relationships/hyperlink" Target="https://msdn.microsoft.com/en-us/library/azure/dn757602.aspx" TargetMode="External"/><Relationship Id="rId487" Type="http://schemas.openxmlformats.org/officeDocument/2006/relationships/image" Target="media/image91.emf"/><Relationship Id="rId610" Type="http://schemas.openxmlformats.org/officeDocument/2006/relationships/hyperlink" Target="https://msdn.microsoft.com/en-us/library/azure/dn337341.aspx" TargetMode="External"/><Relationship Id="rId652" Type="http://schemas.openxmlformats.org/officeDocument/2006/relationships/hyperlink" Target="http://azure.microsoft.com/en-us/documentation/articles/cloud-services-dotnet-diagnostics/" TargetMode="External"/><Relationship Id="rId694" Type="http://schemas.openxmlformats.org/officeDocument/2006/relationships/hyperlink" Target="https://technet.microsoft.com/en-us/library/cc728449(v=ws.10).aspx" TargetMode="External"/><Relationship Id="rId291" Type="http://schemas.openxmlformats.org/officeDocument/2006/relationships/hyperlink" Target="http://azure.microsoft.com/en-us/documentation/articles/fundamentals-application-models/" TargetMode="External"/><Relationship Id="rId305" Type="http://schemas.openxmlformats.org/officeDocument/2006/relationships/hyperlink" Target="https://msdn.microsoft.com/en-us/library/azure/gg433059.aspx" TargetMode="External"/><Relationship Id="rId347" Type="http://schemas.openxmlformats.org/officeDocument/2006/relationships/image" Target="media/image64.png"/><Relationship Id="rId512" Type="http://schemas.openxmlformats.org/officeDocument/2006/relationships/image" Target="media/image113.emf"/><Relationship Id="rId44" Type="http://schemas.openxmlformats.org/officeDocument/2006/relationships/image" Target="media/image18.png"/><Relationship Id="rId86" Type="http://schemas.openxmlformats.org/officeDocument/2006/relationships/image" Target="media/image34.png"/><Relationship Id="rId151" Type="http://schemas.openxmlformats.org/officeDocument/2006/relationships/hyperlink" Target="http://www.cloudlinktech.com/choose-your-cloud/microsoft-azure/" TargetMode="External"/><Relationship Id="rId389" Type="http://schemas.openxmlformats.org/officeDocument/2006/relationships/image" Target="media/image70.emf"/><Relationship Id="rId554" Type="http://schemas.openxmlformats.org/officeDocument/2006/relationships/hyperlink" Target="https://www.microsoft.com/en-us/sdl/adopt/threatmodeling.aspx" TargetMode="External"/><Relationship Id="rId596" Type="http://schemas.openxmlformats.org/officeDocument/2006/relationships/hyperlink" Target="http://azure.microsoft.com/en-us/documentation/articles/backup-configure-vault/" TargetMode="External"/><Relationship Id="rId193" Type="http://schemas.openxmlformats.org/officeDocument/2006/relationships/hyperlink" Target="http://azure.microsoft.com/en-us/documentation/articles/storage-monitor-storage-account/" TargetMode="External"/><Relationship Id="rId207" Type="http://schemas.openxmlformats.org/officeDocument/2006/relationships/image" Target="media/image46.jpeg"/><Relationship Id="rId249" Type="http://schemas.openxmlformats.org/officeDocument/2006/relationships/hyperlink" Target="http://azure.microsoft.com/en-us/documentation/articles/virtual-machines-install-trend/" TargetMode="External"/><Relationship Id="rId414" Type="http://schemas.openxmlformats.org/officeDocument/2006/relationships/image" Target="media/image79.png"/><Relationship Id="rId456" Type="http://schemas.openxmlformats.org/officeDocument/2006/relationships/hyperlink" Target="http://azure.microsoft.com/en-us/status/" TargetMode="External"/><Relationship Id="rId498" Type="http://schemas.openxmlformats.org/officeDocument/2006/relationships/image" Target="media/image102.emf"/><Relationship Id="rId621" Type="http://schemas.openxmlformats.org/officeDocument/2006/relationships/hyperlink" Target="http://azure.microsoft.com/en-us/documentation/articles/sql-database-get-started-sql-data-sync/" TargetMode="External"/><Relationship Id="rId663" Type="http://schemas.openxmlformats.org/officeDocument/2006/relationships/image" Target="media/image138.png"/><Relationship Id="rId13" Type="http://schemas.openxmlformats.org/officeDocument/2006/relationships/image" Target="media/image1.png"/><Relationship Id="rId109" Type="http://schemas.openxmlformats.org/officeDocument/2006/relationships/hyperlink" Target="http://www.apptio.com/blog/using-azure-tags-manage-your-cloud-spend" TargetMode="External"/><Relationship Id="rId260" Type="http://schemas.openxmlformats.org/officeDocument/2006/relationships/image" Target="media/image52.png"/><Relationship Id="rId316" Type="http://schemas.openxmlformats.org/officeDocument/2006/relationships/image" Target="media/image62.png"/><Relationship Id="rId523" Type="http://schemas.openxmlformats.org/officeDocument/2006/relationships/hyperlink" Target="http://www.cloudidentity.com/blog/2014/02/20/ws-federation-in-microsoft-owin-componentsa-quick-start/" TargetMode="External"/><Relationship Id="rId55" Type="http://schemas.openxmlformats.org/officeDocument/2006/relationships/hyperlink" Target="https://ea.azure.com/" TargetMode="External"/><Relationship Id="rId97" Type="http://schemas.openxmlformats.org/officeDocument/2006/relationships/image" Target="media/image37.png"/><Relationship Id="rId120" Type="http://schemas.openxmlformats.org/officeDocument/2006/relationships/hyperlink" Target="http://azure.microsoft.com/en-us/documentation/articles/storage-premium-storage-preview-portal/" TargetMode="External"/><Relationship Id="rId358" Type="http://schemas.openxmlformats.org/officeDocument/2006/relationships/hyperlink" Target="javascript:void(0)" TargetMode="External"/><Relationship Id="rId565" Type="http://schemas.openxmlformats.org/officeDocument/2006/relationships/hyperlink" Target="http://azure.microsoft.com/en-us/documentation/articles/powershell-install-configure/" TargetMode="External"/><Relationship Id="rId162" Type="http://schemas.openxmlformats.org/officeDocument/2006/relationships/hyperlink" Target="http://blogs.msdn.com/b/windowsazurestorage/archive/2012/06/12/introducing-table-sas-shared-access-signature-queue-sas-and-update-to-blob-sas.aspx" TargetMode="External"/><Relationship Id="rId218" Type="http://schemas.openxmlformats.org/officeDocument/2006/relationships/hyperlink" Target="http://azure.microsoft.com/en-us/documentation/articles/storage-scalability-targets/" TargetMode="External"/><Relationship Id="rId425" Type="http://schemas.openxmlformats.org/officeDocument/2006/relationships/hyperlink" Target="https://msdn.microsoft.com/en-us/library/azure/jj156088.aspx" TargetMode="External"/><Relationship Id="rId467" Type="http://schemas.openxmlformats.org/officeDocument/2006/relationships/image" Target="media/image88.png"/><Relationship Id="rId632" Type="http://schemas.openxmlformats.org/officeDocument/2006/relationships/hyperlink" Target="http://azure.microsoft.com/en-us/documentation/articles/storage-monitor-storage-account/" TargetMode="External"/><Relationship Id="rId271" Type="http://schemas.openxmlformats.org/officeDocument/2006/relationships/image" Target="media/image58.jpg"/><Relationship Id="rId674" Type="http://schemas.openxmlformats.org/officeDocument/2006/relationships/hyperlink" Target="http://technet.microsoft.com/en-us/security/jj653751" TargetMode="External"/><Relationship Id="rId24" Type="http://schemas.openxmlformats.org/officeDocument/2006/relationships/package" Target="embeddings/Microsoft_Visio_Drawing1.vsdx"/><Relationship Id="rId66" Type="http://schemas.openxmlformats.org/officeDocument/2006/relationships/image" Target="media/image24.emf"/><Relationship Id="rId131" Type="http://schemas.openxmlformats.org/officeDocument/2006/relationships/hyperlink" Target="http://azure.microsoft.com/en-us/documentation/articles/storage-introduction/" TargetMode="External"/><Relationship Id="rId327" Type="http://schemas.openxmlformats.org/officeDocument/2006/relationships/hyperlink" Target="http://azure.microsoft.com/en-us/documentation/articles/machine-learning-publish-a-machine-learning-web-service/" TargetMode="External"/><Relationship Id="rId369" Type="http://schemas.openxmlformats.org/officeDocument/2006/relationships/hyperlink" Target="http://azure.microsoft.com/documentation/articles/vpn-gateway-site-to-site-create/" TargetMode="External"/><Relationship Id="rId534" Type="http://schemas.openxmlformats.org/officeDocument/2006/relationships/hyperlink" Target="https://manage.windowsazure.com" TargetMode="External"/><Relationship Id="rId576" Type="http://schemas.openxmlformats.org/officeDocument/2006/relationships/hyperlink" Target="http://blogs.technet.com/b/privatecloud/archive/2013/08/09/automation-an-introduction-to-service-management-automation.aspx" TargetMode="External"/><Relationship Id="rId173" Type="http://schemas.openxmlformats.org/officeDocument/2006/relationships/hyperlink" Target="https://msdn.microsoft.com/en-us/library/azure/dn790344.aspx" TargetMode="External"/><Relationship Id="rId229" Type="http://schemas.openxmlformats.org/officeDocument/2006/relationships/hyperlink" Target="http://www.windowsazure.com/en-us/manage/windows/common-tasks/how-to-load-balance-virtual-machines/" TargetMode="External"/><Relationship Id="rId380" Type="http://schemas.openxmlformats.org/officeDocument/2006/relationships/package" Target="embeddings/Microsoft_Visio_Drawing6.vsdx"/><Relationship Id="rId436" Type="http://schemas.openxmlformats.org/officeDocument/2006/relationships/hyperlink" Target="http://azure.microsoft.com/en-us/documentation/articles/active-directory-whatis" TargetMode="External"/><Relationship Id="rId601" Type="http://schemas.openxmlformats.org/officeDocument/2006/relationships/hyperlink" Target="http://azure.microsoft.com/blog/2015/03/31/azure-backup-announcing-new-pricing-model-for-tco-reduction/" TargetMode="External"/><Relationship Id="rId643" Type="http://schemas.openxmlformats.org/officeDocument/2006/relationships/hyperlink" Target="http://azure.microsoft.com/en-us/documentation/articles/operational-insights-updates/" TargetMode="External"/><Relationship Id="rId240" Type="http://schemas.openxmlformats.org/officeDocument/2006/relationships/hyperlink" Target="https://msdn.microsoft.com/en-us/library/dn606308.aspx" TargetMode="External"/><Relationship Id="rId478" Type="http://schemas.openxmlformats.org/officeDocument/2006/relationships/hyperlink" Target="https://technet.microsoft.com/library/hh831786" TargetMode="External"/><Relationship Id="rId685" Type="http://schemas.openxmlformats.org/officeDocument/2006/relationships/hyperlink" Target="https://www.microsoft.com/en-us/sdl/adopt/threatmodeling.aspx" TargetMode="External"/><Relationship Id="rId35" Type="http://schemas.openxmlformats.org/officeDocument/2006/relationships/package" Target="embeddings/Microsoft_Visio_Drawing2.vsdx"/><Relationship Id="rId77" Type="http://schemas.openxmlformats.org/officeDocument/2006/relationships/hyperlink" Target="https://manage.windowsazure.com/publishsettings/Index?client=vs&amp;SchemaVersion=1.0" TargetMode="External"/><Relationship Id="rId100" Type="http://schemas.openxmlformats.org/officeDocument/2006/relationships/hyperlink" Target="http://azure.microsoft.com/en-us/documentation/articles/role-based-access-control-configure/" TargetMode="External"/><Relationship Id="rId282" Type="http://schemas.openxmlformats.org/officeDocument/2006/relationships/hyperlink" Target="http://azure.microsoft.com/blog/2014/11/13/encrypting-azure-virtual-machines-with-cloudlink-securevm/" TargetMode="External"/><Relationship Id="rId338" Type="http://schemas.openxmlformats.org/officeDocument/2006/relationships/hyperlink" Target="https://msdn.microsoft.com/library/azure/dn762132.aspx" TargetMode="External"/><Relationship Id="rId503" Type="http://schemas.openxmlformats.org/officeDocument/2006/relationships/image" Target="media/image106.emf"/><Relationship Id="rId545" Type="http://schemas.openxmlformats.org/officeDocument/2006/relationships/hyperlink" Target="http://go.microsoft.com/fwlink/?linkid=518999&amp;clcid=0x409" TargetMode="External"/><Relationship Id="rId587" Type="http://schemas.openxmlformats.org/officeDocument/2006/relationships/hyperlink" Target="https://azure.microsoft.com/en-us/documentation/articles/automation-hybrid-runbook-worker/" TargetMode="External"/><Relationship Id="rId8" Type="http://schemas.openxmlformats.org/officeDocument/2006/relationships/styles" Target="styles.xml"/><Relationship Id="rId142" Type="http://schemas.openxmlformats.org/officeDocument/2006/relationships/hyperlink" Target="https://msdn.microsoft.com/en-us/library/azure/dn140255.aspx" TargetMode="External"/><Relationship Id="rId184" Type="http://schemas.openxmlformats.org/officeDocument/2006/relationships/hyperlink" Target="http://azure.microsoft.com/en-us/documentation/articles/storage-import-export-service" TargetMode="External"/><Relationship Id="rId391" Type="http://schemas.openxmlformats.org/officeDocument/2006/relationships/image" Target="media/image71.emf"/><Relationship Id="rId405" Type="http://schemas.openxmlformats.org/officeDocument/2006/relationships/hyperlink" Target="https://msdn.microsoft.com/en-us/library/azure/dn690124.aspx" TargetMode="External"/><Relationship Id="rId447" Type="http://schemas.openxmlformats.org/officeDocument/2006/relationships/hyperlink" Target="https://technet.microsoft.com/en-us/library/dn659436.aspx" TargetMode="External"/><Relationship Id="rId612" Type="http://schemas.openxmlformats.org/officeDocument/2006/relationships/hyperlink" Target="https://technet.microsoft.com/en-us/library/dn741303.aspx" TargetMode="External"/><Relationship Id="rId251" Type="http://schemas.openxmlformats.org/officeDocument/2006/relationships/hyperlink" Target="http://go.microsoft.com/fwlink/?linkid=398023&amp;clcid=0x409" TargetMode="External"/><Relationship Id="rId489" Type="http://schemas.openxmlformats.org/officeDocument/2006/relationships/image" Target="media/image93.emf"/><Relationship Id="rId654" Type="http://schemas.openxmlformats.org/officeDocument/2006/relationships/hyperlink" Target="https://technet.microsoft.com/en-us/library/dd939906(WS.10).aspx" TargetMode="External"/><Relationship Id="rId696" Type="http://schemas.openxmlformats.org/officeDocument/2006/relationships/hyperlink" Target="http://www.microsoft.com/pth" TargetMode="External"/><Relationship Id="rId46" Type="http://schemas.openxmlformats.org/officeDocument/2006/relationships/image" Target="media/image20.png"/><Relationship Id="rId293" Type="http://schemas.openxmlformats.org/officeDocument/2006/relationships/hyperlink" Target="https://msdn.microsoft.com/en-us/library/azure/jj717232.aspx" TargetMode="External"/><Relationship Id="rId307" Type="http://schemas.openxmlformats.org/officeDocument/2006/relationships/hyperlink" Target="http://azure.microsoft.com/en-us/documentation/articles/websites-webjobs-resources/" TargetMode="External"/><Relationship Id="rId349" Type="http://schemas.openxmlformats.org/officeDocument/2006/relationships/hyperlink" Target="http://azure.microsoft.com/en-us/documentation/articles/fundamentals-azure-search-chappell/" TargetMode="External"/><Relationship Id="rId514" Type="http://schemas.openxmlformats.org/officeDocument/2006/relationships/hyperlink" Target="https://msdn.microsoft.com/en-us/library/azure/dn308588.aspx" TargetMode="External"/><Relationship Id="rId556" Type="http://schemas.openxmlformats.org/officeDocument/2006/relationships/hyperlink" Target="http://www.microsoft.com/pth" TargetMode="External"/><Relationship Id="rId88" Type="http://schemas.openxmlformats.org/officeDocument/2006/relationships/image" Target="media/image36.png"/><Relationship Id="rId111" Type="http://schemas.openxmlformats.org/officeDocument/2006/relationships/hyperlink" Target="https://www.cloudyn.com/microsoft-azure/" TargetMode="External"/><Relationship Id="rId153" Type="http://schemas.openxmlformats.org/officeDocument/2006/relationships/hyperlink" Target="http://blogs.msdn.com/b/windowsazurestorage/archive/2015/04/29/microsoft-azure-storage-client-library-for-c-v1-0-0-general-availability.aspx" TargetMode="External"/><Relationship Id="rId195" Type="http://schemas.openxmlformats.org/officeDocument/2006/relationships/hyperlink" Target="http://azure.microsoft.com/en-us/documentation/articles/storage-e2e-troubleshooting" TargetMode="External"/><Relationship Id="rId209" Type="http://schemas.openxmlformats.org/officeDocument/2006/relationships/hyperlink" Target="https://azure.microsoft.com/en-us/documentation/articles/virtual-machines-size-specs/" TargetMode="External"/><Relationship Id="rId360" Type="http://schemas.openxmlformats.org/officeDocument/2006/relationships/hyperlink" Target="http://msdn.microsoft.com/library/system.diagnostics.tracing.eventsource(v=vs.110).aspx" TargetMode="External"/><Relationship Id="rId416" Type="http://schemas.openxmlformats.org/officeDocument/2006/relationships/hyperlink" Target="https://azure.microsoft.com/en-us/documentation/articles/virtual-networks-acl/" TargetMode="External"/><Relationship Id="rId598" Type="http://schemas.openxmlformats.org/officeDocument/2006/relationships/image" Target="media/image132.png"/><Relationship Id="rId220" Type="http://schemas.openxmlformats.org/officeDocument/2006/relationships/hyperlink" Target="https://azure.microsoft.com/en-us/documentation/articles/cloud-services-sizes-specs/" TargetMode="External"/><Relationship Id="rId458" Type="http://schemas.openxmlformats.org/officeDocument/2006/relationships/hyperlink" Target="https://msdn.microsoft.com/en-us/library/azure/dn906733.aspx" TargetMode="External"/><Relationship Id="rId623" Type="http://schemas.openxmlformats.org/officeDocument/2006/relationships/hyperlink" Target="http://azure.microsoft.com/en-us/documentation/articles/app-service-changes-existing-services/" TargetMode="External"/><Relationship Id="rId665" Type="http://schemas.openxmlformats.org/officeDocument/2006/relationships/image" Target="media/image140.png"/><Relationship Id="rId15" Type="http://schemas.openxmlformats.org/officeDocument/2006/relationships/header" Target="header1.xml"/><Relationship Id="rId57" Type="http://schemas.openxmlformats.org/officeDocument/2006/relationships/hyperlink" Target="https://manage.windowsazure.com" TargetMode="External"/><Relationship Id="rId262" Type="http://schemas.openxmlformats.org/officeDocument/2006/relationships/image" Target="media/image54.png"/><Relationship Id="rId318" Type="http://schemas.openxmlformats.org/officeDocument/2006/relationships/hyperlink" Target="https://msdn.microsoft.com/en-us/library/azure/dn820177.aspx" TargetMode="External"/><Relationship Id="rId525" Type="http://schemas.openxmlformats.org/officeDocument/2006/relationships/hyperlink" Target="https://myapps.microsoft.com" TargetMode="External"/><Relationship Id="rId567" Type="http://schemas.openxmlformats.org/officeDocument/2006/relationships/hyperlink" Target="http://blogs.technet.com/b/heyscriptingguy/archive/2013/06/22/weekend-scripter-getting-started-with-windows-azure-and-powershell.aspx" TargetMode="External"/><Relationship Id="rId99" Type="http://schemas.openxmlformats.org/officeDocument/2006/relationships/hyperlink" Target="http://portal.azure.com/" TargetMode="External"/><Relationship Id="rId122" Type="http://schemas.openxmlformats.org/officeDocument/2006/relationships/hyperlink" Target="http://azure.microsoft.com/en-us/documentation/articles/storage-getting-started-guide/" TargetMode="External"/><Relationship Id="rId164" Type="http://schemas.openxmlformats.org/officeDocument/2006/relationships/hyperlink" Target="https://msdn.microsoft.com/en-us/library/bb934049.aspx" TargetMode="External"/><Relationship Id="rId371" Type="http://schemas.openxmlformats.org/officeDocument/2006/relationships/hyperlink" Target="https://msdn.microsoft.com/en-us/library/azure/dn690124.aspx" TargetMode="External"/><Relationship Id="rId427" Type="http://schemas.openxmlformats.org/officeDocument/2006/relationships/hyperlink" Target="http://azure.microsoft.com/en-us/documentation/articles/web-sites-custom-domain-name/" TargetMode="External"/><Relationship Id="rId469" Type="http://schemas.openxmlformats.org/officeDocument/2006/relationships/hyperlink" Target="https://technet.microsoft.com/en-us/library/dn532270.aspx" TargetMode="External"/><Relationship Id="rId634" Type="http://schemas.openxmlformats.org/officeDocument/2006/relationships/hyperlink" Target="http://azure.microsoft.com/en-us/documentation/articles/traffic-manager-monitoring/" TargetMode="External"/><Relationship Id="rId676" Type="http://schemas.openxmlformats.org/officeDocument/2006/relationships/hyperlink" Target="http://www.microsoft.com/pth" TargetMode="External"/><Relationship Id="rId26" Type="http://schemas.openxmlformats.org/officeDocument/2006/relationships/image" Target="media/image10.png"/><Relationship Id="rId231" Type="http://schemas.openxmlformats.org/officeDocument/2006/relationships/hyperlink" Target="https://azure.microsoft.com/en-us/documentation/articles/virtual-machines-create-upload-vhd-windows-server/" TargetMode="External"/><Relationship Id="rId273" Type="http://schemas.openxmlformats.org/officeDocument/2006/relationships/hyperlink" Target="http://azure.microsoft.com/en-us/documentation/articles/remoteapp-create-cloud-deployment/" TargetMode="External"/><Relationship Id="rId329" Type="http://schemas.openxmlformats.org/officeDocument/2006/relationships/hyperlink" Target="https://msdn.microsoft.com/en-us/library/azure/dn518135.aspx" TargetMode="External"/><Relationship Id="rId480" Type="http://schemas.openxmlformats.org/officeDocument/2006/relationships/hyperlink" Target="https://support.microsoft.com/en-us/kb/875495" TargetMode="External"/><Relationship Id="rId536" Type="http://schemas.openxmlformats.org/officeDocument/2006/relationships/hyperlink" Target="https://azure.microsoft.com/en-us/documentation/articles/active-directory-integrating-applications/" TargetMode="External"/><Relationship Id="rId701" Type="http://schemas.openxmlformats.org/officeDocument/2006/relationships/hyperlink" Target="http://technet.microsoft.com/library/cc722487.aspx" TargetMode="External"/><Relationship Id="rId68" Type="http://schemas.openxmlformats.org/officeDocument/2006/relationships/image" Target="media/image25.emf"/><Relationship Id="rId133" Type="http://schemas.openxmlformats.org/officeDocument/2006/relationships/hyperlink" Target="http://azure.microsoft.com/en-us/support/legal/sla/" TargetMode="External"/><Relationship Id="rId175" Type="http://schemas.openxmlformats.org/officeDocument/2006/relationships/hyperlink" Target="http://azure.microsoft.com/en-us/documentation/articles/virtual-machines-windows-change-drive-letter" TargetMode="External"/><Relationship Id="rId340" Type="http://schemas.openxmlformats.org/officeDocument/2006/relationships/hyperlink" Target="https://msdn.microsoft.com/en-us/library/dn194201.aspx" TargetMode="External"/><Relationship Id="rId578" Type="http://schemas.openxmlformats.org/officeDocument/2006/relationships/hyperlink" Target="https://technet.microsoft.com/en-us/library/jj134242.aspx" TargetMode="External"/><Relationship Id="rId200" Type="http://schemas.openxmlformats.org/officeDocument/2006/relationships/hyperlink" Target="http://www.microsoft.com/en-us/download/details.aspx?id=38414" TargetMode="External"/><Relationship Id="rId382" Type="http://schemas.openxmlformats.org/officeDocument/2006/relationships/package" Target="embeddings/Microsoft_Visio_Drawing7.vsdx"/><Relationship Id="rId438" Type="http://schemas.openxmlformats.org/officeDocument/2006/relationships/image" Target="media/image82.png"/><Relationship Id="rId603" Type="http://schemas.openxmlformats.org/officeDocument/2006/relationships/hyperlink" Target="https://azure.microsoft.com/en-us/pricing/calculator/?scenario=data-management" TargetMode="External"/><Relationship Id="rId645" Type="http://schemas.openxmlformats.org/officeDocument/2006/relationships/hyperlink" Target="http://azure.microsoft.com/en-us/documentation/articles/operational-insights-antimalware/" TargetMode="External"/><Relationship Id="rId687" Type="http://schemas.openxmlformats.org/officeDocument/2006/relationships/hyperlink" Target="http://blogs.technet.com/b/poshchap/archive/2015/05/01/security-focus-analysing-39-account-is-sensitive-and-cannot-be-delegated-39.aspx" TargetMode="External"/><Relationship Id="rId242" Type="http://schemas.openxmlformats.org/officeDocument/2006/relationships/hyperlink" Target="https://www.chef.io/chef/" TargetMode="External"/><Relationship Id="rId284" Type="http://schemas.openxmlformats.org/officeDocument/2006/relationships/hyperlink" Target="javascript:void(0)" TargetMode="External"/><Relationship Id="rId491" Type="http://schemas.openxmlformats.org/officeDocument/2006/relationships/image" Target="media/image95.emf"/><Relationship Id="rId505" Type="http://schemas.openxmlformats.org/officeDocument/2006/relationships/image" Target="media/image108.emf"/><Relationship Id="rId37" Type="http://schemas.openxmlformats.org/officeDocument/2006/relationships/hyperlink" Target="http://azure.microsoft.com/regions/" TargetMode="External"/><Relationship Id="rId79" Type="http://schemas.openxmlformats.org/officeDocument/2006/relationships/hyperlink" Target="https://github.com/Azure/azure-powershell" TargetMode="External"/><Relationship Id="rId102" Type="http://schemas.openxmlformats.org/officeDocument/2006/relationships/hyperlink" Target="http://azure.microsoft.com/en-us/documentation/templates/101-create-applicationgateway-publicip/" TargetMode="External"/><Relationship Id="rId144" Type="http://schemas.openxmlformats.org/officeDocument/2006/relationships/hyperlink" Target="https://technet.microsoft.com/en-us/library/cc732774.aspx" TargetMode="External"/><Relationship Id="rId547" Type="http://schemas.openxmlformats.org/officeDocument/2006/relationships/hyperlink" Target="http://www.microsoft.com/en-us/download/details.aspx?id=34793" TargetMode="External"/><Relationship Id="rId589" Type="http://schemas.openxmlformats.org/officeDocument/2006/relationships/hyperlink" Target="https://msdn.microsoft.com/en-us/library/azure/dn835138.aspx" TargetMode="External"/><Relationship Id="rId90" Type="http://schemas.openxmlformats.org/officeDocument/2006/relationships/hyperlink" Target="http://azure.microsoft.com/en-us/pricing/calculator/" TargetMode="External"/><Relationship Id="rId186" Type="http://schemas.openxmlformats.org/officeDocument/2006/relationships/hyperlink" Target="http://research.microsoft.com/en-us/downloads/5c8189b9-53aa-4d6a-a086-013d927e15a7/default.aspx" TargetMode="External"/><Relationship Id="rId351" Type="http://schemas.openxmlformats.org/officeDocument/2006/relationships/hyperlink" Target="https://msdn.microsoft.com/en-us/library/azure/dn798941.aspx" TargetMode="External"/><Relationship Id="rId393" Type="http://schemas.openxmlformats.org/officeDocument/2006/relationships/image" Target="media/image72.emf"/><Relationship Id="rId407" Type="http://schemas.openxmlformats.org/officeDocument/2006/relationships/hyperlink" Target="http://azure.microsoft.com/documentation/articles/vpn-gateway-point-to-site-create/" TargetMode="External"/><Relationship Id="rId449" Type="http://schemas.openxmlformats.org/officeDocument/2006/relationships/hyperlink" Target="https://msdn.microsoft.com/en-us/library/azure/dn879065.aspx" TargetMode="External"/><Relationship Id="rId614" Type="http://schemas.openxmlformats.org/officeDocument/2006/relationships/hyperlink" Target="https://azure.microsoft.com/en-in/documentation/articles/site-recovery-best-practices/" TargetMode="External"/><Relationship Id="rId656" Type="http://schemas.openxmlformats.org/officeDocument/2006/relationships/hyperlink" Target="https://technet.microsoft.com/en-us/library/230dfec0-bddb-4429-a5db-30020e881f1e" TargetMode="External"/><Relationship Id="rId211" Type="http://schemas.openxmlformats.org/officeDocument/2006/relationships/hyperlink" Target="http://blogs.msdn.com/b/windowsazurestorage/archive/2012/06/28/exploring-windows-azure-drives-disks-and-images.aspx" TargetMode="External"/><Relationship Id="rId253" Type="http://schemas.openxmlformats.org/officeDocument/2006/relationships/hyperlink" Target="http://azure.microsoft.com/blog/2014/09/02/windows-azure-virtual-machine-monitoring-with-wad-extension/" TargetMode="External"/><Relationship Id="rId295" Type="http://schemas.openxmlformats.org/officeDocument/2006/relationships/hyperlink" Target="https://msdn.microsoft.com/en-us/library/azure/hh472157.aspx" TargetMode="External"/><Relationship Id="rId309" Type="http://schemas.openxmlformats.org/officeDocument/2006/relationships/hyperlink" Target="http://channel9.msdn.com/Series/Windows-Azure-Web-Sites-Tutorials" TargetMode="External"/><Relationship Id="rId460" Type="http://schemas.openxmlformats.org/officeDocument/2006/relationships/hyperlink" Target="https://msdn.microsoft.com/en-us/library/azure/dn906733.aspx" TargetMode="External"/><Relationship Id="rId516" Type="http://schemas.openxmlformats.org/officeDocument/2006/relationships/hyperlink" Target="http://openid.net/connect/" TargetMode="External"/><Relationship Id="rId698" Type="http://schemas.openxmlformats.org/officeDocument/2006/relationships/hyperlink" Target="https://gallery.technet.microsoft.com/Shielded-VMs-and-Guarded-44176db3" TargetMode="External"/><Relationship Id="rId48" Type="http://schemas.openxmlformats.org/officeDocument/2006/relationships/image" Target="media/image21.png"/><Relationship Id="rId113" Type="http://schemas.openxmlformats.org/officeDocument/2006/relationships/hyperlink" Target="http://www.hanuinsight.com/" TargetMode="External"/><Relationship Id="rId320" Type="http://schemas.openxmlformats.org/officeDocument/2006/relationships/hyperlink" Target="http://azure.microsoft.com/en-us/documentation/articles/hdinsight-component-versioning/" TargetMode="External"/><Relationship Id="rId558" Type="http://schemas.openxmlformats.org/officeDocument/2006/relationships/hyperlink" Target="http://www.microsoft.com/pth" TargetMode="External"/><Relationship Id="rId155" Type="http://schemas.openxmlformats.org/officeDocument/2006/relationships/hyperlink" Target="https://azure.microsoft.com/en-us/documentation/articles/storage-client-side-encryption" TargetMode="External"/><Relationship Id="rId197" Type="http://schemas.openxmlformats.org/officeDocument/2006/relationships/hyperlink" Target="https://msdn.microsoft.com/en-us/library/azure/dn306638.aspx" TargetMode="External"/><Relationship Id="rId362" Type="http://schemas.openxmlformats.org/officeDocument/2006/relationships/hyperlink" Target="https://msdn.microsoft.com/library/azure/jj156007.aspx" TargetMode="External"/><Relationship Id="rId418" Type="http://schemas.openxmlformats.org/officeDocument/2006/relationships/hyperlink" Target="http://download.microsoft.com/download/C/A/3/CA3FC5C0-ECE0-4F87-BF4B-D74064A00846/AzureNetworkSecurity_v3_Feb2015.pdf" TargetMode="External"/><Relationship Id="rId625" Type="http://schemas.openxmlformats.org/officeDocument/2006/relationships/hyperlink" Target="http://www.evault.com/microsoft-azure/" TargetMode="External"/><Relationship Id="rId222" Type="http://schemas.openxmlformats.org/officeDocument/2006/relationships/hyperlink" Target="http://social.technet.microsoft.com/wiki/contents/articles/7916.importance-of-windows-azure-affinity-groups.aspx" TargetMode="External"/><Relationship Id="rId264" Type="http://schemas.openxmlformats.org/officeDocument/2006/relationships/hyperlink" Target="https://azure.microsoft.com/en-us/documentation/articles/load-balancer-multivip/" TargetMode="External"/><Relationship Id="rId471" Type="http://schemas.openxmlformats.org/officeDocument/2006/relationships/hyperlink" Target="http://azure.microsoft.com/en-us/support/trust-center/security/" TargetMode="External"/><Relationship Id="rId667" Type="http://schemas.openxmlformats.org/officeDocument/2006/relationships/hyperlink" Target="http://technet.microsoft.com/en-us/library/cc732525.aspx" TargetMode="External"/><Relationship Id="rId17" Type="http://schemas.openxmlformats.org/officeDocument/2006/relationships/header" Target="header2.xml"/><Relationship Id="rId59" Type="http://schemas.openxmlformats.org/officeDocument/2006/relationships/hyperlink" Target="https://partnercenter.microsoft.com" TargetMode="External"/><Relationship Id="rId124" Type="http://schemas.openxmlformats.org/officeDocument/2006/relationships/hyperlink" Target="https://msdn.microsoft.com/en-us/library/ee691964.aspx" TargetMode="External"/><Relationship Id="rId527" Type="http://schemas.openxmlformats.org/officeDocument/2006/relationships/image" Target="media/image116.png"/><Relationship Id="rId569" Type="http://schemas.openxmlformats.org/officeDocument/2006/relationships/hyperlink" Target="http://blogs.technet.com/cfs-file.ashx/__key/communityserver-blogs-components-weblogfiles/00-00-00-85-24-metablogapi/1374.image_5F00_22AB5572.png" TargetMode="External"/><Relationship Id="rId70" Type="http://schemas.openxmlformats.org/officeDocument/2006/relationships/image" Target="media/image26.png"/><Relationship Id="rId166" Type="http://schemas.openxmlformats.org/officeDocument/2006/relationships/hyperlink" Target="https://channel9.msdn.com/Shows/Data-Exposed/TDE-in-Azure-SQL-Database" TargetMode="External"/><Relationship Id="rId331" Type="http://schemas.openxmlformats.org/officeDocument/2006/relationships/hyperlink" Target="http://azure.microsoft.com/en-us/documentation/articles/cloud-services-setup-hybrid-hpcpack-cluster/" TargetMode="External"/><Relationship Id="rId373" Type="http://schemas.openxmlformats.org/officeDocument/2006/relationships/hyperlink" Target="http://azure.microsoft.com/documentation/articles/expressroute-introduction/" TargetMode="External"/><Relationship Id="rId429" Type="http://schemas.openxmlformats.org/officeDocument/2006/relationships/hyperlink" Target="https://azure.microsoft.com/en-us/documentation/articles/resource-group-using-tags/" TargetMode="External"/><Relationship Id="rId580" Type="http://schemas.openxmlformats.org/officeDocument/2006/relationships/hyperlink" Target="https://technet.microsoft.com/en-us/library/jj721956.aspx" TargetMode="External"/><Relationship Id="rId636" Type="http://schemas.openxmlformats.org/officeDocument/2006/relationships/hyperlink" Target="http://blogs.technet.com/b/momteam/archive/2013/04/11/pre-release-of-the-management-pack-for-windows-azure-fabric-now-available.aspx" TargetMode="External"/><Relationship Id="rId1" Type="http://schemas.microsoft.com/office/2006/relationships/keyMapCustomizations" Target="customizations.xml"/><Relationship Id="rId233" Type="http://schemas.openxmlformats.org/officeDocument/2006/relationships/hyperlink" Target="https://msdn.microsoft.com/en-us/library/ee210664.aspx" TargetMode="External"/><Relationship Id="rId440" Type="http://schemas.openxmlformats.org/officeDocument/2006/relationships/image" Target="media/image84.emf"/><Relationship Id="rId678" Type="http://schemas.openxmlformats.org/officeDocument/2006/relationships/hyperlink" Target="http://technet.microsoft.com/en-us/library/hh824898.aspx" TargetMode="External"/><Relationship Id="rId28" Type="http://schemas.openxmlformats.org/officeDocument/2006/relationships/image" Target="media/image11.png"/><Relationship Id="rId275" Type="http://schemas.openxmlformats.org/officeDocument/2006/relationships/hyperlink" Target="http://azure.microsoft.com/en-us/documentation/articles/remoteapp-licensing/" TargetMode="External"/><Relationship Id="rId300" Type="http://schemas.openxmlformats.org/officeDocument/2006/relationships/hyperlink" Target="https://msdn.microsoft.com/en-us/library/azure/hh180155.aspx" TargetMode="External"/><Relationship Id="rId482" Type="http://schemas.openxmlformats.org/officeDocument/2006/relationships/hyperlink" Target="http://azure.microsoft.com/blog/2015/04/07/service-healing-auto-recovery-of-virtual-machines/" TargetMode="External"/><Relationship Id="rId538" Type="http://schemas.openxmlformats.org/officeDocument/2006/relationships/image" Target="media/image124.bin"/><Relationship Id="rId703" Type="http://schemas.openxmlformats.org/officeDocument/2006/relationships/footer" Target="footer3.xml"/><Relationship Id="rId81" Type="http://schemas.openxmlformats.org/officeDocument/2006/relationships/hyperlink" Target="http://azure.microsoft.com/en-us/documentation/articles/azure-subscription-service-limits/" TargetMode="External"/><Relationship Id="rId135" Type="http://schemas.openxmlformats.org/officeDocument/2006/relationships/hyperlink" Target="http://azure.microsoft.com/en-us/documentation/articles/azure-preview-portal-using-resource-groups" TargetMode="External"/><Relationship Id="rId177" Type="http://schemas.openxmlformats.org/officeDocument/2006/relationships/hyperlink" Target="https://azure.microsoft.com/en-us/documentation/articles/storage-use-azcopy/" TargetMode="External"/><Relationship Id="rId342" Type="http://schemas.openxmlformats.org/officeDocument/2006/relationships/hyperlink" Target="http://azure.microsoft.com/en-us/documentation/articles/service-bus-build-reliable-and-elastic-cloud-apps/" TargetMode="External"/><Relationship Id="rId384" Type="http://schemas.openxmlformats.org/officeDocument/2006/relationships/hyperlink" Target="http://azure.microsoft.com/en-us/documentation/articles/azure-architectures-cpif-infrastructure-hybrid-networking/" TargetMode="External"/><Relationship Id="rId591" Type="http://schemas.openxmlformats.org/officeDocument/2006/relationships/hyperlink" Target="http://azure.microsoft.com/en-us/documentation/articles/backup-configure-vault/" TargetMode="External"/><Relationship Id="rId605" Type="http://schemas.openxmlformats.org/officeDocument/2006/relationships/hyperlink" Target="https://msdn.microsoft.com/en-us/library/azure/dn337332.aspx" TargetMode="External"/><Relationship Id="rId202" Type="http://schemas.openxmlformats.org/officeDocument/2006/relationships/image" Target="media/image45.emf"/><Relationship Id="rId244" Type="http://schemas.openxmlformats.org/officeDocument/2006/relationships/hyperlink" Target="https://technet.microsoft.com/en-us/library/dn249912.aspx" TargetMode="External"/><Relationship Id="rId647" Type="http://schemas.openxmlformats.org/officeDocument/2006/relationships/hyperlink" Target="http://azure.microsoft.com/en-us/documentation/articles/operational-insights-assessment/" TargetMode="External"/><Relationship Id="rId689" Type="http://schemas.openxmlformats.org/officeDocument/2006/relationships/hyperlink" Target="https://technet.microsoft.com/en-us/library/ff641731(v=ws.10).aspx" TargetMode="External"/><Relationship Id="rId39" Type="http://schemas.openxmlformats.org/officeDocument/2006/relationships/hyperlink" Target="http://azure.microsoft.com/en-us/regions/" TargetMode="External"/><Relationship Id="rId286" Type="http://schemas.openxmlformats.org/officeDocument/2006/relationships/hyperlink" Target="https://msdn.microsoft.com/en-us/library/azure/dn133798.aspx" TargetMode="External"/><Relationship Id="rId451" Type="http://schemas.openxmlformats.org/officeDocument/2006/relationships/hyperlink" Target="https://msdn.microsoft.com/en-us/library/azure/dn394284.aspx" TargetMode="External"/><Relationship Id="rId493" Type="http://schemas.openxmlformats.org/officeDocument/2006/relationships/image" Target="media/image97.emf"/><Relationship Id="rId507" Type="http://schemas.openxmlformats.org/officeDocument/2006/relationships/image" Target="media/image110.emf"/><Relationship Id="rId549" Type="http://schemas.openxmlformats.org/officeDocument/2006/relationships/hyperlink" Target="http://products.office.com/en-us/business/office-365-trust-center-cloud-computing-security" TargetMode="External"/><Relationship Id="rId50" Type="http://schemas.openxmlformats.org/officeDocument/2006/relationships/hyperlink" Target="https://account.windowsazure.com" TargetMode="External"/><Relationship Id="rId104" Type="http://schemas.openxmlformats.org/officeDocument/2006/relationships/hyperlink" Target="http://azure.microsoft.com/en-us/documentation/templates/201-1-vm-loadbalancer-2-nics/" TargetMode="External"/><Relationship Id="rId146" Type="http://schemas.openxmlformats.org/officeDocument/2006/relationships/hyperlink" Target="http://azure.microsoft.com/en-us/services/key-vault" TargetMode="External"/><Relationship Id="rId188" Type="http://schemas.openxmlformats.org/officeDocument/2006/relationships/image" Target="media/image41.tmp"/><Relationship Id="rId311" Type="http://schemas.openxmlformats.org/officeDocument/2006/relationships/hyperlink" Target="http://azure.microsoft.com/en-us/documentation/articles/data-management-azure-sql-database-and-sql-server-iaas/" TargetMode="External"/><Relationship Id="rId353" Type="http://schemas.openxmlformats.org/officeDocument/2006/relationships/hyperlink" Target="http://azure.microsoft.com/documentation/articles/load-balancer-overview" TargetMode="External"/><Relationship Id="rId395" Type="http://schemas.openxmlformats.org/officeDocument/2006/relationships/image" Target="media/image73.emf"/><Relationship Id="rId409" Type="http://schemas.openxmlformats.org/officeDocument/2006/relationships/image" Target="media/image76.png"/><Relationship Id="rId560" Type="http://schemas.openxmlformats.org/officeDocument/2006/relationships/image" Target="media/image129.png"/><Relationship Id="rId92" Type="http://schemas.openxmlformats.org/officeDocument/2006/relationships/hyperlink" Target="http://azure.microsoft.com/en-us/pricing/enterprise-agreement/" TargetMode="External"/><Relationship Id="rId213" Type="http://schemas.openxmlformats.org/officeDocument/2006/relationships/hyperlink" Target="http://azure.microsoft.com/en-us/documentation/articles/virtual-machines-create-upload-vhd-windows-server/" TargetMode="External"/><Relationship Id="rId420" Type="http://schemas.openxmlformats.org/officeDocument/2006/relationships/hyperlink" Target="http://blogs.technet.com/b/privatecloud/archive/2013/04/09/active-directory-considerations-in-azure-virtual-machines-and-virtual-networks-part-5-domains-and-gcs.aspx" TargetMode="External"/><Relationship Id="rId616" Type="http://schemas.openxmlformats.org/officeDocument/2006/relationships/hyperlink" Target="https://msdn.microsoft.com/en-us/library/azure/jj650016.aspx" TargetMode="External"/><Relationship Id="rId658" Type="http://schemas.openxmlformats.org/officeDocument/2006/relationships/package" Target="embeddings/Microsoft_Visio_Drawing16.vsdx"/><Relationship Id="rId255" Type="http://schemas.openxmlformats.org/officeDocument/2006/relationships/hyperlink" Target="https://github.com/Azure/azure-linux-extensions" TargetMode="External"/><Relationship Id="rId297" Type="http://schemas.openxmlformats.org/officeDocument/2006/relationships/hyperlink" Target="https://microsoft.sharepoint.com/teams/cloudscratch/Shared%20Documents/Enterprise/1_Cloud%20Integration%20Framework/Architecture%20Pillar/Modern%20Datacenter%20-%20Architecture%20Patterns%20-%20Foundational%20-%20Offsite%20Batch%20Processing%20Tier.DOCX?d=wf80396dfd933437e9ba01922f3ed2ba0" TargetMode="External"/><Relationship Id="rId462" Type="http://schemas.openxmlformats.org/officeDocument/2006/relationships/hyperlink" Target="https://msdn.microsoft.com/en-us/library/azure/dn919664.aspx" TargetMode="External"/><Relationship Id="rId518" Type="http://schemas.openxmlformats.org/officeDocument/2006/relationships/hyperlink" Target="https://msdn.microsoft.com/en-us/library/azure/dn308588.aspx" TargetMode="External"/><Relationship Id="rId115" Type="http://schemas.openxmlformats.org/officeDocument/2006/relationships/hyperlink" Target="http://azure.microsoft.com/en-us/documentation/articles/azure-subscription-service-limits" TargetMode="External"/><Relationship Id="rId157" Type="http://schemas.openxmlformats.org/officeDocument/2006/relationships/hyperlink" Target="http://blogs.msdn.com/b/windowsazurestorage/archive/2014/05/13/announcing-microsoft-azure-import-export-service-ga.aspx" TargetMode="External"/><Relationship Id="rId322" Type="http://schemas.openxmlformats.org/officeDocument/2006/relationships/hyperlink" Target="http://azure.microsoft.com/en-us/documentation/articles/hdinsight-use-pig/" TargetMode="External"/><Relationship Id="rId364" Type="http://schemas.openxmlformats.org/officeDocument/2006/relationships/hyperlink" Target="https://msdn.microsoft.com/en-us/library/azure/dn133798.aspx" TargetMode="External"/><Relationship Id="rId61" Type="http://schemas.openxmlformats.org/officeDocument/2006/relationships/hyperlink" Target="https://manage.windowsazure.com" TargetMode="External"/><Relationship Id="rId199" Type="http://schemas.openxmlformats.org/officeDocument/2006/relationships/hyperlink" Target="http://blogs.technet.com/b/omx/archive/2014/08/15/azure-storage-analytics-metrics-management-pack.aspx" TargetMode="External"/><Relationship Id="rId571" Type="http://schemas.openxmlformats.org/officeDocument/2006/relationships/hyperlink" Target="http://blogs.msdn.com/b/powershell/archive/2014/08/07/introducing-the-azure-powershell-dsc-desired-state-configuration-extension.aspx" TargetMode="External"/><Relationship Id="rId627" Type="http://schemas.openxmlformats.org/officeDocument/2006/relationships/hyperlink" Target="http://azure.microsoft.com/en-us/services/key-vault/" TargetMode="External"/><Relationship Id="rId669" Type="http://schemas.openxmlformats.org/officeDocument/2006/relationships/hyperlink" Target="http://technet.microsoft.com/en-us/library/cc720599(v=WS.10).aspx" TargetMode="External"/><Relationship Id="rId19" Type="http://schemas.openxmlformats.org/officeDocument/2006/relationships/image" Target="media/image4.png"/><Relationship Id="rId224" Type="http://schemas.openxmlformats.org/officeDocument/2006/relationships/hyperlink" Target="http://azure.microsoft.com/en-us/documentation/articles/role-based-access-control-configure/" TargetMode="External"/><Relationship Id="rId266" Type="http://schemas.openxmlformats.org/officeDocument/2006/relationships/hyperlink" Target="https://azure.microsoft.com/en-us/documentation/articles/load-balancer-internal-overview/" TargetMode="External"/><Relationship Id="rId431" Type="http://schemas.openxmlformats.org/officeDocument/2006/relationships/hyperlink" Target="https://azure.microsoft.com/en-us/documentation/articles/traffic-manager-monitoring/" TargetMode="External"/><Relationship Id="rId473" Type="http://schemas.openxmlformats.org/officeDocument/2006/relationships/hyperlink" Target="http://social.technet.microsoft.com/wiki/contents/articles/29558.controlling-object-visibility-list-object-mode-in-active-directory.aspx" TargetMode="External"/><Relationship Id="rId529" Type="http://schemas.openxmlformats.org/officeDocument/2006/relationships/image" Target="media/image118.png"/><Relationship Id="rId680" Type="http://schemas.openxmlformats.org/officeDocument/2006/relationships/hyperlink" Target="https://www.microsoft.com/en-us/sdl/adopt/threatmodeling.aspx" TargetMode="External"/><Relationship Id="rId30" Type="http://schemas.openxmlformats.org/officeDocument/2006/relationships/hyperlink" Target="http://azure.microsoft.com/en-us/regions/" TargetMode="External"/><Relationship Id="rId126" Type="http://schemas.openxmlformats.org/officeDocument/2006/relationships/hyperlink" Target="http://azure.microsoft.com/en-us/documentation/articles/azure-subscription-service-limits/" TargetMode="External"/><Relationship Id="rId168" Type="http://schemas.openxmlformats.org/officeDocument/2006/relationships/hyperlink" Target="http://www.storsimple.com/Portals/65157/docs/StorSimple-Solution-Overview-Security.pdf" TargetMode="External"/><Relationship Id="rId333" Type="http://schemas.openxmlformats.org/officeDocument/2006/relationships/hyperlink" Target="https://azure.microsoft.com/en-us/documentation/articles/cdn-pop-locations/" TargetMode="External"/><Relationship Id="rId540" Type="http://schemas.openxmlformats.org/officeDocument/2006/relationships/hyperlink" Target="https://msdn.microsoft.com/en-us/library/azure/jj151815.aspx" TargetMode="External"/><Relationship Id="rId72" Type="http://schemas.openxmlformats.org/officeDocument/2006/relationships/image" Target="media/image28.emf"/><Relationship Id="rId375" Type="http://schemas.openxmlformats.org/officeDocument/2006/relationships/hyperlink" Target="https://azure.microsoft.com/en-us/documentation/articles/expressroute-coexist/" TargetMode="External"/><Relationship Id="rId582" Type="http://schemas.openxmlformats.org/officeDocument/2006/relationships/hyperlink" Target="https://technet.microsoft.com/en-us/library/hh237242.aspx" TargetMode="External"/><Relationship Id="rId638" Type="http://schemas.openxmlformats.org/officeDocument/2006/relationships/hyperlink" Target="http://azure.microsoft.com/en-us/documentation/articles/app-insights-detect-triage-diagnose/" TargetMode="External"/><Relationship Id="rId3" Type="http://schemas.openxmlformats.org/officeDocument/2006/relationships/customXml" Target="../customXml/item2.xml"/><Relationship Id="rId235" Type="http://schemas.openxmlformats.org/officeDocument/2006/relationships/hyperlink" Target="https://azure.microsoft.com/en-us/documentation/articles/virtual-machines-command-line-tools/" TargetMode="External"/><Relationship Id="rId277" Type="http://schemas.openxmlformats.org/officeDocument/2006/relationships/hyperlink" Target="http://azure.microsoft.com/en-us/documentation/articles/remoteapp-faq/" TargetMode="External"/><Relationship Id="rId400" Type="http://schemas.openxmlformats.org/officeDocument/2006/relationships/image" Target="media/image74.emf"/><Relationship Id="rId442" Type="http://schemas.openxmlformats.org/officeDocument/2006/relationships/image" Target="media/image86.emf"/><Relationship Id="rId484" Type="http://schemas.openxmlformats.org/officeDocument/2006/relationships/hyperlink" Target="https://technet.microsoft.com/en-us/library/cc772726(v=ws.10).aspx" TargetMode="External"/><Relationship Id="rId705" Type="http://schemas.openxmlformats.org/officeDocument/2006/relationships/theme" Target="theme/theme1.xml"/><Relationship Id="rId137" Type="http://schemas.openxmlformats.org/officeDocument/2006/relationships/hyperlink" Target="http://azure.microsoft.com/en-us/documentation/articles/storage-manage-access-to-resources/" TargetMode="External"/><Relationship Id="rId302" Type="http://schemas.openxmlformats.org/officeDocument/2006/relationships/hyperlink" Target="https://msdn.microsoft.com/en-us/library/azure/ff729422.aspx" TargetMode="External"/><Relationship Id="rId344" Type="http://schemas.openxmlformats.org/officeDocument/2006/relationships/hyperlink" Target="http://azure.microsoft.com/en-us/documentation/articles/api-management-get-started/" TargetMode="External"/><Relationship Id="rId691" Type="http://schemas.openxmlformats.org/officeDocument/2006/relationships/hyperlink" Target="https://technet.microsoft.com/en-us/library/cc780182(v=ws.10).aspx" TargetMode="External"/><Relationship Id="rId41" Type="http://schemas.openxmlformats.org/officeDocument/2006/relationships/hyperlink" Target="https://azure.microsoft.com/en-us/documentation/articles/virtual-networks-migrate-to-regional-vnet/" TargetMode="External"/><Relationship Id="rId83" Type="http://schemas.openxmlformats.org/officeDocument/2006/relationships/hyperlink" Target="http://azure.microsoft.com/en-us/pricing/faq/virtual-machines-how-do-instance-sizes-get-billed/" TargetMode="External"/><Relationship Id="rId179" Type="http://schemas.openxmlformats.org/officeDocument/2006/relationships/hyperlink" Target="https://msdn.microsoft.com/en-us/library/azure/dn261237.aspx" TargetMode="External"/><Relationship Id="rId386" Type="http://schemas.openxmlformats.org/officeDocument/2006/relationships/hyperlink" Target="http://azure.microsoft.com/en-us/updates/non-rfc-1918-space-is-now-allowed-in-a-virtual-network" TargetMode="External"/><Relationship Id="rId551" Type="http://schemas.openxmlformats.org/officeDocument/2006/relationships/hyperlink" Target="https://technet.microsoft.com/en-us/library/dn919927(v=office.15).aspx" TargetMode="External"/><Relationship Id="rId593" Type="http://schemas.openxmlformats.org/officeDocument/2006/relationships/hyperlink" Target="https://azure.microsoft.com/en-us/documentation/articles/backup-try-azure-backup-in-10-mins/" TargetMode="External"/><Relationship Id="rId607" Type="http://schemas.openxmlformats.org/officeDocument/2006/relationships/hyperlink" Target="https://azure.microsoft.com/en-us/documentation/articles/backup-azure-dpm-introduction/" TargetMode="External"/><Relationship Id="rId649" Type="http://schemas.openxmlformats.org/officeDocument/2006/relationships/hyperlink" Target="https://technet.microsoft.com/library/jj860368.aspx" TargetMode="External"/><Relationship Id="rId190" Type="http://schemas.openxmlformats.org/officeDocument/2006/relationships/image" Target="media/image43.tmp"/><Relationship Id="rId204" Type="http://schemas.openxmlformats.org/officeDocument/2006/relationships/hyperlink" Target="https://www.youtube.com/watch?v=4MhJT5xrvQw" TargetMode="External"/><Relationship Id="rId246" Type="http://schemas.openxmlformats.org/officeDocument/2006/relationships/hyperlink" Target="http://social.technet.microsoft.com/wiki/contents/articles/18274.system-center-2012-r2-virtual-machine-role-authoring-guide-resource-extension-package.aspx" TargetMode="External"/><Relationship Id="rId288" Type="http://schemas.openxmlformats.org/officeDocument/2006/relationships/hyperlink" Target="http://msdn.microsoft.com/library/system.diagnostics.tracing.eventsource(v=vs.110).aspx" TargetMode="External"/><Relationship Id="rId411" Type="http://schemas.openxmlformats.org/officeDocument/2006/relationships/hyperlink" Target="https://azure.microsoft.com/en-us/documentation/articles/virtual-networks-udr-overview/" TargetMode="External"/><Relationship Id="rId453" Type="http://schemas.openxmlformats.org/officeDocument/2006/relationships/hyperlink" Target="http://azure.microsoft.com/en-us/documentation/articles/multi-factor-authentication/" TargetMode="External"/><Relationship Id="rId509" Type="http://schemas.openxmlformats.org/officeDocument/2006/relationships/package" Target="embeddings/Microsoft_Visio_Drawing14.vsdx"/><Relationship Id="rId660" Type="http://schemas.openxmlformats.org/officeDocument/2006/relationships/image" Target="media/image136.png"/><Relationship Id="rId106" Type="http://schemas.openxmlformats.org/officeDocument/2006/relationships/hyperlink" Target="http://azure.microsoft.com/en-us/documentation/templates/201-2-vms-loadbalancer-lbrules/" TargetMode="External"/><Relationship Id="rId313" Type="http://schemas.openxmlformats.org/officeDocument/2006/relationships/hyperlink" Target="https://msdn.microsoft.com/library/azure/e6f95976-cc09-4b46-9d8c-4cf23119598d" TargetMode="External"/><Relationship Id="rId495" Type="http://schemas.openxmlformats.org/officeDocument/2006/relationships/image" Target="media/image99.emf"/><Relationship Id="rId10" Type="http://schemas.openxmlformats.org/officeDocument/2006/relationships/webSettings" Target="webSettings.xml"/><Relationship Id="rId52" Type="http://schemas.openxmlformats.org/officeDocument/2006/relationships/hyperlink" Target="https://manage.windowsazure.com" TargetMode="External"/><Relationship Id="rId94" Type="http://schemas.openxmlformats.org/officeDocument/2006/relationships/hyperlink" Target="mailto:FirstName.LastName.xyz@outlook.com" TargetMode="External"/><Relationship Id="rId148" Type="http://schemas.openxmlformats.org/officeDocument/2006/relationships/hyperlink" Target="http://blogs.msdn.com/b/azuresecurity/archive/2015/05/11/azure-disk-encryption-management-for-windows-and-linux-virtual-machines.aspx" TargetMode="External"/><Relationship Id="rId355" Type="http://schemas.openxmlformats.org/officeDocument/2006/relationships/hyperlink" Target="http://azure.microsoft.com/documentation/articles/load-balancer-internal-overview" TargetMode="External"/><Relationship Id="rId397" Type="http://schemas.openxmlformats.org/officeDocument/2006/relationships/hyperlink" Target="http://azure.microsoft.com/documentation/articles/expressroute-configuring-nsps/" TargetMode="External"/><Relationship Id="rId520" Type="http://schemas.openxmlformats.org/officeDocument/2006/relationships/hyperlink" Target="http://www.cloudidentity.com/blog/2014/02/20/ws-federation-in-microsoft-owin-componentsa-quick-start/" TargetMode="External"/><Relationship Id="rId562" Type="http://schemas.openxmlformats.org/officeDocument/2006/relationships/hyperlink" Target="https://www.microsoft.com/en-us/sdl/adopt/threatmodeling.aspx" TargetMode="External"/><Relationship Id="rId618" Type="http://schemas.openxmlformats.org/officeDocument/2006/relationships/hyperlink" Target="https://msdn.microsoft.com/en-us/library/azure/jj650016.aspx" TargetMode="External"/><Relationship Id="rId215" Type="http://schemas.openxmlformats.org/officeDocument/2006/relationships/hyperlink" Target="https://azure.microsoft.com/en-us/documentation/articles/virtual-machines-size-specs/" TargetMode="External"/><Relationship Id="rId257" Type="http://schemas.openxmlformats.org/officeDocument/2006/relationships/image" Target="media/image50.png"/><Relationship Id="rId422" Type="http://schemas.openxmlformats.org/officeDocument/2006/relationships/hyperlink" Target="http://blogs.msdn.com/b/cloud_solution_architect/archive/2014/11/08/vips-dips-and-pips-in-microsoft-azure.aspx" TargetMode="External"/><Relationship Id="rId464" Type="http://schemas.openxmlformats.org/officeDocument/2006/relationships/hyperlink" Target="https://msdn.microsoft.com/en-us/library/azure/dn641268.aspx" TargetMode="External"/><Relationship Id="rId299" Type="http://schemas.openxmlformats.org/officeDocument/2006/relationships/hyperlink" Target="https://msdn.microsoft.com/en-us/library/azure/jj155995.aspx" TargetMode="External"/><Relationship Id="rId63" Type="http://schemas.openxmlformats.org/officeDocument/2006/relationships/image" Target="media/image22.png"/><Relationship Id="rId159" Type="http://schemas.openxmlformats.org/officeDocument/2006/relationships/hyperlink" Target="http://blogs.msdn.com/b/mast/archive/2013/11/07/why-does-a-storage-account-have-two-access-keys.aspx" TargetMode="External"/><Relationship Id="rId366" Type="http://schemas.openxmlformats.org/officeDocument/2006/relationships/hyperlink" Target="http://azure.microsoft.com/en-us/documentation/services/expressroute/" TargetMode="External"/><Relationship Id="rId573" Type="http://schemas.openxmlformats.org/officeDocument/2006/relationships/hyperlink" Target="https://technet.microsoft.com/en-us/library/dn249921.aspx" TargetMode="External"/><Relationship Id="rId226" Type="http://schemas.openxmlformats.org/officeDocument/2006/relationships/hyperlink" Target="http://azure.microsoft.com/en-us/documentation/articles/azure-preview-portal-using-resource-groups/" TargetMode="External"/><Relationship Id="rId433" Type="http://schemas.openxmlformats.org/officeDocument/2006/relationships/hyperlink" Target="http://azure.microsoft.com/documentation/articles/load-balancer-internal-overview" TargetMode="External"/><Relationship Id="rId640" Type="http://schemas.openxmlformats.org/officeDocument/2006/relationships/hyperlink" Target="http://azure.microsoft.com/en-us/documentation/articles/app-insights-sharepoint/" TargetMode="External"/><Relationship Id="rId74" Type="http://schemas.openxmlformats.org/officeDocument/2006/relationships/image" Target="media/image30.emf"/><Relationship Id="rId377" Type="http://schemas.openxmlformats.org/officeDocument/2006/relationships/image" Target="media/image67.emf"/><Relationship Id="rId500" Type="http://schemas.openxmlformats.org/officeDocument/2006/relationships/hyperlink" Target="http://tools.ietf.org/html/rfc6749" TargetMode="External"/><Relationship Id="rId584" Type="http://schemas.openxmlformats.org/officeDocument/2006/relationships/hyperlink" Target="https://azure.microsoft.com/en-us/documentation/articles/automation-intro/" TargetMode="External"/><Relationship Id="rId5" Type="http://schemas.openxmlformats.org/officeDocument/2006/relationships/customXml" Target="../customXml/item4.xml"/><Relationship Id="rId237" Type="http://schemas.openxmlformats.org/officeDocument/2006/relationships/hyperlink" Target="http://social.technet.microsoft.com/wiki/contents/articles/18274.system-center-2012-r2-virtual-machine-role-authoring-guide-resource-extension-package.aspx" TargetMode="External"/><Relationship Id="rId444" Type="http://schemas.openxmlformats.org/officeDocument/2006/relationships/image" Target="media/image87.emf"/><Relationship Id="rId651" Type="http://schemas.openxmlformats.org/officeDocument/2006/relationships/hyperlink" Target="https://technet.microsoft.com/en-us/library/jj860376.aspx" TargetMode="External"/><Relationship Id="rId290" Type="http://schemas.openxmlformats.org/officeDocument/2006/relationships/hyperlink" Target="http://azure.microsoft.com/en-us/documentation/articles/fundamentals-application-models/" TargetMode="External"/><Relationship Id="rId304" Type="http://schemas.openxmlformats.org/officeDocument/2006/relationships/hyperlink" Target="https://msdn.microsoft.com/en-us/library/azure/hh180152.aspx" TargetMode="External"/><Relationship Id="rId388" Type="http://schemas.openxmlformats.org/officeDocument/2006/relationships/hyperlink" Target="http://www.microsoft.com/en-us/download/details.aspx?id=41653" TargetMode="External"/><Relationship Id="rId511" Type="http://schemas.openxmlformats.org/officeDocument/2006/relationships/hyperlink" Target="https://msdn.microsoft.com/en-us/library/azure/dn768219.aspx" TargetMode="External"/><Relationship Id="rId609" Type="http://schemas.openxmlformats.org/officeDocument/2006/relationships/hyperlink" Target="https://msdn.microsoft.com/en-us/library/azure/dn337336.aspx" TargetMode="External"/><Relationship Id="rId85" Type="http://schemas.openxmlformats.org/officeDocument/2006/relationships/hyperlink" Target="http://azure.microsoft.com/en-us/documentation/articles/azure-billing-understand-your-bill/" TargetMode="External"/><Relationship Id="rId150" Type="http://schemas.openxmlformats.org/officeDocument/2006/relationships/hyperlink" Target="http://azure.microsoft.com/blog/2014/11/13/encrypting-azure-virtual-machines-with-cloudlink-securevm/" TargetMode="External"/><Relationship Id="rId595" Type="http://schemas.openxmlformats.org/officeDocument/2006/relationships/hyperlink" Target="http://azure.microsoft.com/blog/2015/03/26/azure-backup-announcing-support-for-backup-of-azure-iaas-vms" TargetMode="External"/><Relationship Id="rId248" Type="http://schemas.openxmlformats.org/officeDocument/2006/relationships/hyperlink" Target="http://www.mcafeeasap.com/" TargetMode="External"/><Relationship Id="rId455" Type="http://schemas.openxmlformats.org/officeDocument/2006/relationships/hyperlink" Target="http://azure.microsoft.com/en-us/documentation/articles/multi-factor-authentication/" TargetMode="External"/><Relationship Id="rId662" Type="http://schemas.openxmlformats.org/officeDocument/2006/relationships/hyperlink" Target="http://www.microsoft.com/pth" TargetMode="External"/><Relationship Id="rId12" Type="http://schemas.openxmlformats.org/officeDocument/2006/relationships/endnotes" Target="endnotes.xml"/><Relationship Id="rId108" Type="http://schemas.openxmlformats.org/officeDocument/2006/relationships/hyperlink" Target="http://azure.microsoft.com/en-us/documentation/templates/101-networkinterface-with-publicip-vnet/" TargetMode="External"/><Relationship Id="rId315" Type="http://schemas.openxmlformats.org/officeDocument/2006/relationships/image" Target="media/image61.png"/><Relationship Id="rId522" Type="http://schemas.openxmlformats.org/officeDocument/2006/relationships/hyperlink" Target="http://www.cloudidentity.com/blog/2010/06/23/ALL-WILL-BE-REVEALED-7-HOURS-RECORDINGS-FROM-THE-WIF-WORKSHOPS/" TargetMode="External"/><Relationship Id="rId96" Type="http://schemas.openxmlformats.org/officeDocument/2006/relationships/hyperlink" Target="https://account.windowsazure.com/Subscriptions" TargetMode="External"/><Relationship Id="rId161" Type="http://schemas.openxmlformats.org/officeDocument/2006/relationships/hyperlink" Target="https://azure.microsoft.com/en-us/documentation/articles/storage-dotnet-shared-access-signature-part-2/" TargetMode="External"/><Relationship Id="rId399" Type="http://schemas.openxmlformats.org/officeDocument/2006/relationships/hyperlink" Target="http://download.microsoft.com/download/0/F/B/0FBFAA46-2BFD-478F-8E56-7BF3C672DF9D/Microsoft%20Azure%20ExpressRoute.pdf" TargetMode="External"/><Relationship Id="rId259" Type="http://schemas.openxmlformats.org/officeDocument/2006/relationships/image" Target="media/image51.png"/><Relationship Id="rId466" Type="http://schemas.openxmlformats.org/officeDocument/2006/relationships/hyperlink" Target="https://msdn.microsoft.com/en-us/library/azure/dn913807.aspx" TargetMode="External"/><Relationship Id="rId673" Type="http://schemas.openxmlformats.org/officeDocument/2006/relationships/hyperlink" Target="https://www.microsoft.com/en-us/download/details.aspx?id=46899" TargetMode="External"/><Relationship Id="rId23" Type="http://schemas.openxmlformats.org/officeDocument/2006/relationships/image" Target="media/image8.emf"/><Relationship Id="rId119" Type="http://schemas.openxmlformats.org/officeDocument/2006/relationships/hyperlink" Target="http://azure.microsoft.com/en-us/documentation/services/storage/" TargetMode="External"/><Relationship Id="rId326" Type="http://schemas.openxmlformats.org/officeDocument/2006/relationships/hyperlink" Target="http://azure.microsoft.com/en-us/documentation/articles/machine-learning-what-is-ml-studio/" TargetMode="External"/><Relationship Id="rId533" Type="http://schemas.openxmlformats.org/officeDocument/2006/relationships/image" Target="media/image122.emf"/><Relationship Id="rId172" Type="http://schemas.openxmlformats.org/officeDocument/2006/relationships/hyperlink" Target="https://msdn.microsoft.com/en-us/library/azure/dn790290.aspx" TargetMode="External"/><Relationship Id="rId477" Type="http://schemas.openxmlformats.org/officeDocument/2006/relationships/hyperlink" Target="http://azure.microsoft.com/en-us/support/trust-center/security/" TargetMode="External"/><Relationship Id="rId600" Type="http://schemas.openxmlformats.org/officeDocument/2006/relationships/hyperlink" Target="https://azure.microsoft.com/en-us/blog/general-availability-of-backup-for-azure-iaas-vms/" TargetMode="External"/><Relationship Id="rId684" Type="http://schemas.openxmlformats.org/officeDocument/2006/relationships/hyperlink" Target="http://blogs.technet.com/b/poshchap/archive/2015/05/01/security-focus-analysing-39-account-is-sensitive-and-cannot-be-delegated-39.aspx" TargetMode="External"/><Relationship Id="rId337" Type="http://schemas.openxmlformats.org/officeDocument/2006/relationships/hyperlink" Target="https://msdn.microsoft.com/library/azure/dn793612.aspx" TargetMode="External"/><Relationship Id="rId34" Type="http://schemas.openxmlformats.org/officeDocument/2006/relationships/image" Target="media/image14.emf"/><Relationship Id="rId544" Type="http://schemas.openxmlformats.org/officeDocument/2006/relationships/hyperlink" Target="https://technet.microsoft.com/en-us/library/dn919927(v=office.15).aspx" TargetMode="External"/><Relationship Id="rId183" Type="http://schemas.openxmlformats.org/officeDocument/2006/relationships/hyperlink" Target="http://azure.microsoft.com/en-us/documentation/articles/xplat-cli" TargetMode="External"/><Relationship Id="rId390" Type="http://schemas.openxmlformats.org/officeDocument/2006/relationships/package" Target="embeddings/Microsoft_Visio_Drawing8.vsdx"/><Relationship Id="rId404" Type="http://schemas.openxmlformats.org/officeDocument/2006/relationships/hyperlink" Target="https://msdn.microsoft.com/en-us/library/azure/jj156075.aspx" TargetMode="External"/><Relationship Id="rId611" Type="http://schemas.openxmlformats.org/officeDocument/2006/relationships/hyperlink" Target="https://msdn.microsoft.com/en-us/library/azure/dn337334.aspx" TargetMode="External"/><Relationship Id="rId250" Type="http://schemas.openxmlformats.org/officeDocument/2006/relationships/hyperlink" Target="http://blog.trendmicro.com/securing-sharepoint-deployment-azure/" TargetMode="External"/><Relationship Id="rId488" Type="http://schemas.openxmlformats.org/officeDocument/2006/relationships/image" Target="media/image92.emf"/><Relationship Id="rId695" Type="http://schemas.openxmlformats.org/officeDocument/2006/relationships/hyperlink" Target="http://www.microsoft.com/en-us/download/details.aspx?id=36036" TargetMode="External"/><Relationship Id="rId45" Type="http://schemas.openxmlformats.org/officeDocument/2006/relationships/image" Target="media/image19.png"/><Relationship Id="rId110" Type="http://schemas.openxmlformats.org/officeDocument/2006/relationships/hyperlink" Target="https://cloudability.com/" TargetMode="External"/><Relationship Id="rId348" Type="http://schemas.openxmlformats.org/officeDocument/2006/relationships/hyperlink" Target="https://msdn.microsoft.com/library/azure/dn798933.aspx" TargetMode="External"/><Relationship Id="rId555" Type="http://schemas.openxmlformats.org/officeDocument/2006/relationships/hyperlink" Target="https://www.microsoft.com/en-us/download/details.aspx?id=2955" TargetMode="External"/><Relationship Id="rId194" Type="http://schemas.openxmlformats.org/officeDocument/2006/relationships/hyperlink" Target="http://azure.microsoft.com/en-us/documentation/articles/storage-monitoring-diagnosing-troubleshooting/" TargetMode="External"/><Relationship Id="rId208" Type="http://schemas.openxmlformats.org/officeDocument/2006/relationships/hyperlink" Target="http://azure.microsoft.com/en-us/documentation/services/virtual-machines/" TargetMode="External"/><Relationship Id="rId415" Type="http://schemas.openxmlformats.org/officeDocument/2006/relationships/hyperlink" Target="http://azure.microsoft.com/en-us/documentation/articles/virtual-machines-set-up-endpoints/" TargetMode="External"/><Relationship Id="rId622" Type="http://schemas.openxmlformats.org/officeDocument/2006/relationships/hyperlink" Target="http://azure.microsoft.com/en-us/documentation/articles/sql-database-business-continuity/" TargetMode="External"/><Relationship Id="rId261" Type="http://schemas.openxmlformats.org/officeDocument/2006/relationships/image" Target="media/image53.png"/><Relationship Id="rId499" Type="http://schemas.openxmlformats.org/officeDocument/2006/relationships/image" Target="media/image103.emf"/><Relationship Id="rId56" Type="http://schemas.openxmlformats.org/officeDocument/2006/relationships/hyperlink" Target="https://account.windowsazure.com" TargetMode="External"/><Relationship Id="rId359" Type="http://schemas.openxmlformats.org/officeDocument/2006/relationships/hyperlink" Target="https://azure.microsoft.com/documentation/articles/virtual-networks-create-vnet/" TargetMode="External"/><Relationship Id="rId566" Type="http://schemas.openxmlformats.org/officeDocument/2006/relationships/hyperlink" Target="https://msdn.microsoft.com/en-us/library/azure/jj554330.aspx" TargetMode="External"/><Relationship Id="rId121" Type="http://schemas.openxmlformats.org/officeDocument/2006/relationships/hyperlink" Target="http://azure.microsoft.com/en-us/documentation/articles/storage-create-storage-account/" TargetMode="External"/><Relationship Id="rId219" Type="http://schemas.openxmlformats.org/officeDocument/2006/relationships/hyperlink" Target="https://msdn.microsoft.com/en-us/library/azure/dn133149.aspx" TargetMode="External"/><Relationship Id="rId426" Type="http://schemas.openxmlformats.org/officeDocument/2006/relationships/hyperlink" Target="http://azure.microsoft.com/en-us/documentation/articles/storage-custom-domain-name/" TargetMode="External"/><Relationship Id="rId633" Type="http://schemas.openxmlformats.org/officeDocument/2006/relationships/hyperlink" Target="http://azure.microsoft.com/en-us/documentation/articles/insights-how-to-customize-monitoring/" TargetMode="External"/><Relationship Id="rId67" Type="http://schemas.openxmlformats.org/officeDocument/2006/relationships/package" Target="embeddings/Microsoft_Visio_Drawing3.vsdx"/><Relationship Id="rId272" Type="http://schemas.openxmlformats.org/officeDocument/2006/relationships/hyperlink" Target="http://blogs.msdn.com/b/rds/archive/2014/05/12/windows-apps-in-the-cloud-introducing-microsoft-azure-remoteapp.aspx" TargetMode="External"/><Relationship Id="rId577" Type="http://schemas.openxmlformats.org/officeDocument/2006/relationships/hyperlink" Target="https://technet.microsoft.com/en-us/library/dn469260.aspx" TargetMode="External"/><Relationship Id="rId700" Type="http://schemas.openxmlformats.org/officeDocument/2006/relationships/hyperlink" Target="http://www.microsoft.com/en-us/download/details.aspx?id=24487" TargetMode="External"/><Relationship Id="rId132" Type="http://schemas.openxmlformats.org/officeDocument/2006/relationships/hyperlink" Target="http://azure.microsoft.com/en-us/documentation/articles/storage-redundancy/" TargetMode="External"/><Relationship Id="rId437" Type="http://schemas.openxmlformats.org/officeDocument/2006/relationships/hyperlink" Target="https://msdn.microsoft.com/en-us/library/azure/hh969247.aspx" TargetMode="External"/><Relationship Id="rId644" Type="http://schemas.openxmlformats.org/officeDocument/2006/relationships/hyperlink" Target="http://azure.microsoft.com/en-us/documentation/articles/operational-insights-search/" TargetMode="External"/><Relationship Id="rId283" Type="http://schemas.openxmlformats.org/officeDocument/2006/relationships/hyperlink" Target="http://azure.microsoft.com/documentation/articles/virtual-networks-reserved-private-ip" TargetMode="External"/><Relationship Id="rId490" Type="http://schemas.openxmlformats.org/officeDocument/2006/relationships/image" Target="media/image94.emf"/><Relationship Id="rId504" Type="http://schemas.openxmlformats.org/officeDocument/2006/relationships/image" Target="media/image107.emf"/><Relationship Id="rId78" Type="http://schemas.openxmlformats.org/officeDocument/2006/relationships/hyperlink" Target="http://azure.microsoft.com/en-us/downloads/" TargetMode="External"/><Relationship Id="rId143" Type="http://schemas.openxmlformats.org/officeDocument/2006/relationships/hyperlink" Target="http://azure.microsoft.com/en-us/support/trust-center/" TargetMode="External"/><Relationship Id="rId350" Type="http://schemas.openxmlformats.org/officeDocument/2006/relationships/hyperlink" Target="https://msdn.microsoft.com/en-us/library/azure/dn798935.aspx" TargetMode="External"/><Relationship Id="rId588" Type="http://schemas.openxmlformats.org/officeDocument/2006/relationships/hyperlink" Target="http://azure.microsoft.com/en-us/documentation/articles/azure-preview-portal-using-resource-groups/" TargetMode="External"/><Relationship Id="rId9" Type="http://schemas.openxmlformats.org/officeDocument/2006/relationships/settings" Target="settings.xml"/><Relationship Id="rId210" Type="http://schemas.openxmlformats.org/officeDocument/2006/relationships/hyperlink" Target="https://msdn.microsoft.com/en-us/library/azure/dn790344.aspx" TargetMode="External"/><Relationship Id="rId448" Type="http://schemas.openxmlformats.org/officeDocument/2006/relationships/hyperlink" Target="https://msdn.microsoft.com/en-us/library/azure/jj205461.aspx" TargetMode="External"/><Relationship Id="rId655" Type="http://schemas.openxmlformats.org/officeDocument/2006/relationships/hyperlink" Target="https://technet.microsoft.com/en-us/library/hh272770.aspx" TargetMode="External"/><Relationship Id="rId294" Type="http://schemas.openxmlformats.org/officeDocument/2006/relationships/hyperlink" Target="https://msdn.microsoft.com/en-us/library/azure/jj156146.aspx" TargetMode="External"/><Relationship Id="rId308" Type="http://schemas.openxmlformats.org/officeDocument/2006/relationships/hyperlink" Target="https://msdn.microsoft.com/en-us/library/azure/dn948515.aspx" TargetMode="External"/><Relationship Id="rId515" Type="http://schemas.openxmlformats.org/officeDocument/2006/relationships/hyperlink" Target="https://msdn.microsoft.com/en-us/library/ff423674.aspx" TargetMode="External"/><Relationship Id="rId89" Type="http://schemas.openxmlformats.org/officeDocument/2006/relationships/hyperlink" Target="http://azure.microsoft.com/en-us/pricing/details" TargetMode="External"/><Relationship Id="rId154" Type="http://schemas.openxmlformats.org/officeDocument/2006/relationships/hyperlink" Target="http://blogs.msdn.com/b/windowsazurestorage/archive/2015/04/29/getting-started-with-client-side-encryption-for-microsoft-azure-storage.aspx" TargetMode="External"/><Relationship Id="rId361" Type="http://schemas.openxmlformats.org/officeDocument/2006/relationships/image" Target="media/image65.jpeg"/><Relationship Id="rId599" Type="http://schemas.openxmlformats.org/officeDocument/2006/relationships/hyperlink" Target="https://azure.microsoft.com/en-us/documentation/articles/backup-azure-vms/" TargetMode="External"/><Relationship Id="rId459" Type="http://schemas.openxmlformats.org/officeDocument/2006/relationships/hyperlink" Target="http://azure.microsoft.com/en-us/status/" TargetMode="External"/><Relationship Id="rId666" Type="http://schemas.openxmlformats.org/officeDocument/2006/relationships/image" Target="media/image141.png"/><Relationship Id="rId16" Type="http://schemas.openxmlformats.org/officeDocument/2006/relationships/footer" Target="footer1.xml"/><Relationship Id="rId221" Type="http://schemas.openxmlformats.org/officeDocument/2006/relationships/hyperlink" Target="https://azure.microsoft.com/en-us/documentation/articles/virtual-machines-size-specs/" TargetMode="External"/><Relationship Id="rId319" Type="http://schemas.openxmlformats.org/officeDocument/2006/relationships/hyperlink" Target="http://azure.microsoft.com/en-us/documentation/articles/hdinsight-hadoop-introduction/" TargetMode="External"/><Relationship Id="rId526" Type="http://schemas.openxmlformats.org/officeDocument/2006/relationships/image" Target="media/image115.png"/><Relationship Id="rId165" Type="http://schemas.openxmlformats.org/officeDocument/2006/relationships/hyperlink" Target="http://blogs.msdn.com/b/sqlsecurity/archive/2015/04/29/announcing-transparent-data-encryption-for-azure-sql-database.aspx" TargetMode="External"/><Relationship Id="rId372" Type="http://schemas.openxmlformats.org/officeDocument/2006/relationships/hyperlink" Target="http://azure.microsoft.com/documentation/articles/expressroute-configuring-vnet-gateway/" TargetMode="External"/><Relationship Id="rId677" Type="http://schemas.openxmlformats.org/officeDocument/2006/relationships/hyperlink" Target="http://www.microsoft.com/en-us/download/details.aspx?id=24487" TargetMode="External"/><Relationship Id="rId232" Type="http://schemas.openxmlformats.org/officeDocument/2006/relationships/hyperlink" Target="https://msdn.microsoft.com/en-us/library/azure/dn790290.aspx" TargetMode="External"/><Relationship Id="rId27" Type="http://schemas.openxmlformats.org/officeDocument/2006/relationships/hyperlink" Target="http://azure.microsoft.com/en-us/documentation/articles/azure-architectures-cpif-overview/" TargetMode="External"/><Relationship Id="rId537" Type="http://schemas.openxmlformats.org/officeDocument/2006/relationships/image" Target="media/image123.bin"/><Relationship Id="rId80" Type="http://schemas.openxmlformats.org/officeDocument/2006/relationships/hyperlink" Target="https://github.com/azure/azure-xplat-cli" TargetMode="External"/><Relationship Id="rId176" Type="http://schemas.openxmlformats.org/officeDocument/2006/relationships/hyperlink" Target="http://azure.microsoft.com/blog/2014/10/22/migrate-azure-virtual-machines-between-storage-accounts/" TargetMode="External"/><Relationship Id="rId383" Type="http://schemas.openxmlformats.org/officeDocument/2006/relationships/hyperlink" Target="https://azure.microsoft.com/en-us/documentation/articles/virtual-networks-arm-asm-s2s/" TargetMode="External"/><Relationship Id="rId590" Type="http://schemas.openxmlformats.org/officeDocument/2006/relationships/hyperlink" Target="https://azure.microsoft.com/documentation/articles/backup-introduction-to-azure-backup/" TargetMode="External"/><Relationship Id="rId604" Type="http://schemas.openxmlformats.org/officeDocument/2006/relationships/hyperlink" Target="https://gallery.technet.microsoft.com/Azure-Backup-Monthly-bill-093fd095" TargetMode="External"/><Relationship Id="rId243" Type="http://schemas.openxmlformats.org/officeDocument/2006/relationships/hyperlink" Target="http://puppetlabs.com/solutions/microsoft" TargetMode="External"/><Relationship Id="rId450" Type="http://schemas.openxmlformats.org/officeDocument/2006/relationships/hyperlink" Target="https://msdn.microsoft.com/en-us/library/azure/jj679342.aspx" TargetMode="External"/><Relationship Id="rId688" Type="http://schemas.openxmlformats.org/officeDocument/2006/relationships/hyperlink" Target="http://www.microsoft.com/en-us/server-cloud/products/advanced-threat-analytics/" TargetMode="External"/><Relationship Id="rId38" Type="http://schemas.openxmlformats.org/officeDocument/2006/relationships/image" Target="media/image16.png"/><Relationship Id="rId103" Type="http://schemas.openxmlformats.org/officeDocument/2006/relationships/hyperlink" Target="http://azure.microsoft.com/en-us/documentation/templates/arm-asm-s2s/" TargetMode="External"/><Relationship Id="rId310" Type="http://schemas.openxmlformats.org/officeDocument/2006/relationships/hyperlink" Target="https://www.movemetothecloud.net/" TargetMode="External"/><Relationship Id="rId548" Type="http://schemas.openxmlformats.org/officeDocument/2006/relationships/hyperlink" Target="http://channel9.msdn.com/Events/TechEd/NorthAmerica/2014/DCIM-B213" TargetMode="External"/><Relationship Id="rId91" Type="http://schemas.openxmlformats.org/officeDocument/2006/relationships/hyperlink" Target="http://azure.microsoft.com/en-us/pricing/member-offers/" TargetMode="External"/><Relationship Id="rId187" Type="http://schemas.openxmlformats.org/officeDocument/2006/relationships/hyperlink" Target="http://www.informationshield.com/intprivacylaws.html" TargetMode="External"/><Relationship Id="rId394" Type="http://schemas.openxmlformats.org/officeDocument/2006/relationships/package" Target="embeddings/Microsoft_Visio_Drawing10.vsdx"/><Relationship Id="rId408" Type="http://schemas.openxmlformats.org/officeDocument/2006/relationships/image" Target="media/image75.png"/><Relationship Id="rId615" Type="http://schemas.openxmlformats.org/officeDocument/2006/relationships/hyperlink" Target="https://msdn.microsoft.com/en-us/library/azure/jj650016.aspx" TargetMode="External"/><Relationship Id="rId254" Type="http://schemas.openxmlformats.org/officeDocument/2006/relationships/hyperlink" Target="http://azure.microsoft.com/blog/2014/10/23/automate-linux-vm-os-updates-using-ospatching-extension/" TargetMode="External"/><Relationship Id="rId699" Type="http://schemas.openxmlformats.org/officeDocument/2006/relationships/hyperlink" Target="http://technet.microsoft.com/en-us/security/gg749821.aspx" TargetMode="External"/><Relationship Id="rId49" Type="http://schemas.openxmlformats.org/officeDocument/2006/relationships/hyperlink" Target="https://ea.azure.com" TargetMode="External"/><Relationship Id="rId114" Type="http://schemas.openxmlformats.org/officeDocument/2006/relationships/hyperlink" Target="https://www.rightscale.com/cloud-analytics-free-trial" TargetMode="External"/><Relationship Id="rId461" Type="http://schemas.openxmlformats.org/officeDocument/2006/relationships/hyperlink" Target="https://msdn.microsoft.com/en-us/library/azure/dn906723.aspx" TargetMode="External"/><Relationship Id="rId559" Type="http://schemas.openxmlformats.org/officeDocument/2006/relationships/hyperlink" Target="http://www.microsoft.com/ata" TargetMode="External"/><Relationship Id="rId198" Type="http://schemas.openxmlformats.org/officeDocument/2006/relationships/hyperlink" Target="https://msdn.microsoft.com/en-us/library/azure/dn306639.aspx" TargetMode="External"/><Relationship Id="rId321" Type="http://schemas.openxmlformats.org/officeDocument/2006/relationships/hyperlink" Target="http://hadoop.apache.org/" TargetMode="External"/><Relationship Id="rId419" Type="http://schemas.openxmlformats.org/officeDocument/2006/relationships/hyperlink" Target="https://msdn.microsoft.com/en-us/library/azure/dn133147.aspx" TargetMode="External"/><Relationship Id="rId626" Type="http://schemas.openxmlformats.org/officeDocument/2006/relationships/hyperlink" Target="http://www.uranium-backup.com/cloud-backup-microsoft-azure-storage/" TargetMode="External"/><Relationship Id="rId265" Type="http://schemas.openxmlformats.org/officeDocument/2006/relationships/hyperlink" Target="https://azure.microsoft.com/en-us/documentation/articles/load-balancer-internet-overview/" TargetMode="External"/><Relationship Id="rId472" Type="http://schemas.openxmlformats.org/officeDocument/2006/relationships/hyperlink" Target="https://technet.microsoft.com/en-us/library/cc732801(v=ws.10).aspx"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azure.microsoft.com/en-us/documentation/articles/cloud-services-sizes-specs/" TargetMode="External"/><Relationship Id="rId3" Type="http://schemas.openxmlformats.org/officeDocument/2006/relationships/hyperlink" Target="file:///C:/Users/v-diree/Downloads/:%20http:/azure.microsoft.com/en-us/services/preview/" TargetMode="External"/><Relationship Id="rId7" Type="http://schemas.openxmlformats.org/officeDocument/2006/relationships/hyperlink" Target="http://azure.microsoft.com/en-us/services/preview/" TargetMode="External"/><Relationship Id="rId12" Type="http://schemas.openxmlformats.org/officeDocument/2006/relationships/hyperlink" Target="https://microsoft.sharepoint.com/teams/cloudscratch/Shared%20Documents/Enterprise/AZRA/v1_3/Azure%20Preview%20features" TargetMode="External"/><Relationship Id="rId2" Type="http://schemas.openxmlformats.org/officeDocument/2006/relationships/hyperlink" Target="file:///C:/Users/v-diree/Downloads/:%20http:/azure.microsoft.com/en-us/services/preview/" TargetMode="External"/><Relationship Id="rId1" Type="http://schemas.openxmlformats.org/officeDocument/2006/relationships/hyperlink" Target="http://research.microsoft.com/en-us/downloads/5c8189b9-53aa-4d6a-a086-013d927e15a7/default.aspx" TargetMode="External"/><Relationship Id="rId6" Type="http://schemas.openxmlformats.org/officeDocument/2006/relationships/hyperlink" Target="http://azure.microsoft.com/en-us/services/preview/" TargetMode="External"/><Relationship Id="rId11" Type="http://schemas.openxmlformats.org/officeDocument/2006/relationships/hyperlink" Target="http://azure.microsoft.com/blog/2014/06/04/azure-limits-quotas-increase-requests" TargetMode="External"/><Relationship Id="rId5" Type="http://schemas.openxmlformats.org/officeDocument/2006/relationships/hyperlink" Target="http://azure.microsoft.com/en-us/services/preview/" TargetMode="External"/><Relationship Id="rId10" Type="http://schemas.openxmlformats.org/officeDocument/2006/relationships/hyperlink" Target="http://azure.microsoft.com/en-us/documentation/articles/azure-subscription-service-limits/" TargetMode="External"/><Relationship Id="rId4" Type="http://schemas.openxmlformats.org/officeDocument/2006/relationships/hyperlink" Target="file:///C:/Users/v-diree/Downloads/:%20http:/azure.microsoft.com/en-us/services/preview/" TargetMode="External"/><Relationship Id="rId9" Type="http://schemas.openxmlformats.org/officeDocument/2006/relationships/hyperlink" Target="https://azure.microsoft.com/en-us/documentation/articles/virtual-machines-size-spec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cdb0bdc2-6baa-483a-84de-d1434f216ba7">
      <UserInfo>
        <DisplayName>TJ Filley (Daves &amp; Associates)</DisplayName>
        <AccountId>309</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root>
  <title>title</title>
  <subject>subject</subject>
  <status>status</status>
  <customer>Update Customer Name in Properties</customer>
  <version>#</version>
  <author>author</author>
  <FileName>FileName</FileName>
  <templateversion>#</templateversion>
</root>
</file>

<file path=customXml/item4.xml><?xml version="1.0" encoding="utf-8"?>
<ct:contentTypeSchema xmlns:ct="http://schemas.microsoft.com/office/2006/metadata/contentType" xmlns:ma="http://schemas.microsoft.com/office/2006/metadata/properties/metaAttributes" ct:_="" ma:_="" ma:contentTypeName="Document" ma:contentTypeID="0x010100FB72D74744C7D540871102394C2F0F5E" ma:contentTypeVersion="2" ma:contentTypeDescription="Create a new document." ma:contentTypeScope="" ma:versionID="0135780b703cfad295efb06bda563baa">
  <xsd:schema xmlns:xsd="http://www.w3.org/2001/XMLSchema" xmlns:xs="http://www.w3.org/2001/XMLSchema" xmlns:p="http://schemas.microsoft.com/office/2006/metadata/properties" xmlns:ns2="cdb0bdc2-6baa-483a-84de-d1434f216ba7" targetNamespace="http://schemas.microsoft.com/office/2006/metadata/properties" ma:root="true" ma:fieldsID="8f4b346d1f73fd44e05bf1a8153d750f" ns2:_="">
    <xsd:import namespace="cdb0bdc2-6baa-483a-84de-d1434f216ba7"/>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b0bdc2-6baa-483a-84de-d1434f216ba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D13ED6-F641-44AE-BC9A-1E713F50FBC0}"/>
</file>

<file path=customXml/itemProps2.xml><?xml version="1.0" encoding="utf-8"?>
<ds:datastoreItem xmlns:ds="http://schemas.openxmlformats.org/officeDocument/2006/customXml" ds:itemID="{A68381BA-13AD-4300-A852-EA524627686C}"/>
</file>

<file path=customXml/itemProps3.xml><?xml version="1.0" encoding="utf-8"?>
<ds:datastoreItem xmlns:ds="http://schemas.openxmlformats.org/officeDocument/2006/customXml" ds:itemID="{69F1653A-B135-4A2E-86E4-2F9CFA302878}"/>
</file>

<file path=customXml/itemProps4.xml><?xml version="1.0" encoding="utf-8"?>
<ds:datastoreItem xmlns:ds="http://schemas.openxmlformats.org/officeDocument/2006/customXml" ds:itemID="{A3374C49-7864-4C7C-B4DD-497BABDD2A31}"/>
</file>

<file path=customXml/itemProps5.xml><?xml version="1.0" encoding="utf-8"?>
<ds:datastoreItem xmlns:ds="http://schemas.openxmlformats.org/officeDocument/2006/customXml" ds:itemID="{A8F7840E-1F4B-4E40-8AF3-5D86714EC47B}"/>
</file>

<file path=docProps/app.xml><?xml version="1.0" encoding="utf-8"?>
<Properties xmlns="http://schemas.openxmlformats.org/officeDocument/2006/extended-properties" xmlns:vt="http://schemas.openxmlformats.org/officeDocument/2006/docPropsVTypes">
  <Template>Normal</Template>
  <TotalTime>0</TotalTime>
  <Pages>455</Pages>
  <Words>124371</Words>
  <Characters>708917</Characters>
  <Application>Microsoft Office Word</Application>
  <DocSecurity>4</DocSecurity>
  <Lines>5907</Lines>
  <Paragraphs>1663</Paragraphs>
  <ScaleCrop>false</ScaleCrop>
  <HeadingPairs>
    <vt:vector size="2" baseType="variant">
      <vt:variant>
        <vt:lpstr>Title</vt:lpstr>
      </vt:variant>
      <vt:variant>
        <vt:i4>1</vt:i4>
      </vt:variant>
    </vt:vector>
  </HeadingPairs>
  <TitlesOfParts>
    <vt:vector size="1" baseType="lpstr">
      <vt:lpstr>Hybrid Cloud</vt:lpstr>
    </vt:vector>
  </TitlesOfParts>
  <Manager>[Type Manager Name Here]</Manager>
  <Company>Microsoft</Company>
  <LinksUpToDate>false</LinksUpToDate>
  <CharactersWithSpaces>831625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Hybrid Cloud</dc:title>
  <dc:subject>Azure Reference Architecture</dc:subject>
  <dc:creator>David Alberto, Jeff Baker, Randy Campbell, Richard Carpenter, Michael Collier, Jason Cornellier, Aaron Cushner, Robert Deluca, Simon Gurevich, Jim Hamel, Andrew Harris, Julia Hazelwood, Ulrich Homann, Kevin Jellow, Robert Larson, Michael Lubanski, Neil Mackenzie, Marc Mercuri, Duzianthan Mohanadoss, George Moore, Ian Nelson, Junior Sawney, Henry Schulman, Mark Simos, Ken St. Cyr, Cale Teeter, Boklyn Wong, Rafael Yactayo, Joel Yoker, David Ziembicki</dc:creator>
  <cp:keywords/>
  <dc:description/>
  <cp:lastModifiedBy>TJ Filley (Daves &amp; Associates)</cp:lastModifiedBy>
  <cp:revision>2</cp:revision>
  <cp:lastPrinted>2015-03-19T17:29:00Z</cp:lastPrinted>
  <dcterms:created xsi:type="dcterms:W3CDTF">2015-11-12T21:51:00Z</dcterms:created>
  <dcterms:modified xsi:type="dcterms:W3CDTF">2015-11-12T21:51:00Z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ssetType">
    <vt:lpwstr/>
  </property>
  <property fmtid="{D5CDD505-2E9C-101B-9397-08002B2CF9AE}" pid="3" name="Author Email">
    <vt:lpwstr>Update [Author Email] in Doc Properties</vt:lpwstr>
  </property>
  <property fmtid="{D5CDD505-2E9C-101B-9397-08002B2CF9AE}" pid="4" name="Author Position">
    <vt:lpwstr>Update [Author Position] in Doc Properties</vt:lpwstr>
  </property>
  <property fmtid="{D5CDD505-2E9C-101B-9397-08002B2CF9AE}" pid="5" name="Business Scenarios">
    <vt:lpwstr/>
  </property>
  <property fmtid="{D5CDD505-2E9C-101B-9397-08002B2CF9AE}" pid="6" name="Communities">
    <vt:lpwstr/>
  </property>
  <property fmtid="{D5CDD505-2E9C-101B-9397-08002B2CF9AE}" pid="7" name="ContentTypeId">
    <vt:lpwstr>0x010100FB72D74744C7D540871102394C2F0F5E</vt:lpwstr>
  </property>
  <property fmtid="{D5CDD505-2E9C-101B-9397-08002B2CF9AE}" pid="8" name="Contributors">
    <vt:lpwstr>Update [Contributors] in Doc Properties</vt:lpwstr>
  </property>
  <property fmtid="{D5CDD505-2E9C-101B-9397-08002B2CF9AE}" pid="9" name="Customer">
    <vt:lpwstr>Update [Customer] in Doc Properties</vt:lpwstr>
  </property>
  <property fmtid="{D5CDD505-2E9C-101B-9397-08002B2CF9AE}" pid="10" name="Deliverable Type">
    <vt:lpwstr/>
  </property>
  <property fmtid="{D5CDD505-2E9C-101B-9397-08002B2CF9AE}" pid="11" name="Document Status">
    <vt:lpwstr/>
  </property>
  <property fmtid="{D5CDD505-2E9C-101B-9397-08002B2CF9AE}" pid="12" name="Engagement Phase">
    <vt:lpwstr/>
  </property>
  <property fmtid="{D5CDD505-2E9C-101B-9397-08002B2CF9AE}" pid="13" name="Geography">
    <vt:lpwstr/>
  </property>
  <property fmtid="{D5CDD505-2E9C-101B-9397-08002B2CF9AE}" pid="14" name="Industry">
    <vt:lpwstr/>
  </property>
  <property fmtid="{D5CDD505-2E9C-101B-9397-08002B2CF9AE}" pid="15" name="Offering">
    <vt:lpwstr/>
  </property>
  <property fmtid="{D5CDD505-2E9C-101B-9397-08002B2CF9AE}" pid="16" name="Org">
    <vt:lpwstr>Microsoft</vt:lpwstr>
  </property>
  <property fmtid="{D5CDD505-2E9C-101B-9397-08002B2CF9AE}" pid="17" name="Org Prof Svcs Local">
    <vt:lpwstr>Microsoft Services</vt:lpwstr>
  </property>
  <property fmtid="{D5CDD505-2E9C-101B-9397-08002B2CF9AE}" pid="18" name="Org Prof Svcs Remote">
    <vt:lpwstr>Global Delivery</vt:lpwstr>
  </property>
  <property fmtid="{D5CDD505-2E9C-101B-9397-08002B2CF9AE}" pid="19" name="Org Prof Svcs Support">
    <vt:lpwstr>Microsoft Premier Support</vt:lpwstr>
  </property>
  <property fmtid="{D5CDD505-2E9C-101B-9397-08002B2CF9AE}" pid="20" name="Products">
    <vt:lpwstr/>
  </property>
  <property fmtid="{D5CDD505-2E9C-101B-9397-08002B2CF9AE}" pid="21" name="Service Line">
    <vt:lpwstr/>
  </property>
  <property fmtid="{D5CDD505-2E9C-101B-9397-08002B2CF9AE}" pid="22" name="Solution Name">
    <vt:lpwstr/>
  </property>
  <property fmtid="{D5CDD505-2E9C-101B-9397-08002B2CF9AE}" pid="23" name="Status">
    <vt:lpwstr/>
  </property>
  <property fmtid="{D5CDD505-2E9C-101B-9397-08002B2CF9AE}" pid="24" name="TemplateName">
    <vt:lpwstr>SDMtemplate-new-1.0-Portrait.docx</vt:lpwstr>
  </property>
  <property fmtid="{D5CDD505-2E9C-101B-9397-08002B2CF9AE}" pid="25" name="TemplateVersion">
    <vt:lpwstr>1.0</vt:lpwstr>
  </property>
  <property fmtid="{D5CDD505-2E9C-101B-9397-08002B2CF9AE}" pid="26" name="Version">
    <vt:lpwstr>0.1</vt:lpwstr>
  </property>
  <property fmtid="{D5CDD505-2E9C-101B-9397-08002B2CF9AE}" pid="27" name="ie6d2fd56e2d423f9ae5744f65e04598">
    <vt:lpwstr/>
  </property>
  <property fmtid="{D5CDD505-2E9C-101B-9397-08002B2CF9AE}" pid="28" name="VerticalIndustries">
    <vt:lpwstr/>
  </property>
  <property fmtid="{D5CDD505-2E9C-101B-9397-08002B2CF9AE}" pid="29" name="OfferingID">
    <vt:lpwstr>4208;#</vt:lpwstr>
  </property>
  <property fmtid="{D5CDD505-2E9C-101B-9397-08002B2CF9AE}" pid="30" name="SalesGeography">
    <vt:lpwstr/>
  </property>
  <property fmtid="{D5CDD505-2E9C-101B-9397-08002B2CF9AE}" pid="31" name="MS Language">
    <vt:lpwstr>3;#English|cb91f272-ce4d-4a7e-9bbf-78b58e3d188d</vt:lpwstr>
  </property>
  <property fmtid="{D5CDD505-2E9C-101B-9397-08002B2CF9AE}" pid="32" name="MSProducts">
    <vt:lpwstr/>
  </property>
  <property fmtid="{D5CDD505-2E9C-101B-9397-08002B2CF9AE}" pid="33" name="_dlc_DocIdItemGuid">
    <vt:lpwstr>3441cada-3a0f-4413-8044-3569a7f9f439</vt:lpwstr>
  </property>
  <property fmtid="{D5CDD505-2E9C-101B-9397-08002B2CF9AE}" pid="34" name="EnterpriseServices">
    <vt:lpwstr/>
  </property>
  <property fmtid="{D5CDD505-2E9C-101B-9397-08002B2CF9AE}" pid="35" name="Services Marketing Audience">
    <vt:lpwstr/>
  </property>
  <property fmtid="{D5CDD505-2E9C-101B-9397-08002B2CF9AE}" pid="36" name="ServicesIPTypes">
    <vt:lpwstr/>
  </property>
  <property fmtid="{D5CDD505-2E9C-101B-9397-08002B2CF9AE}" pid="37" name="ServicesLifecycleStage">
    <vt:lpwstr/>
  </property>
  <property fmtid="{D5CDD505-2E9C-101B-9397-08002B2CF9AE}" pid="38" name="ServicesCommunities">
    <vt:lpwstr/>
  </property>
  <property fmtid="{D5CDD505-2E9C-101B-9397-08002B2CF9AE}" pid="39" name="bc28b5f076654a3b96073bbbebfeb8c9">
    <vt:lpwstr/>
  </property>
  <property fmtid="{D5CDD505-2E9C-101B-9397-08002B2CF9AE}" pid="40" name="MSLanguage">
    <vt:lpwstr/>
  </property>
</Properties>
</file>